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64CEF" w14:textId="252E4ACC" w:rsidR="00045036" w:rsidRDefault="00984D42" w:rsidP="00984D42">
      <w:pPr>
        <w:pStyle w:val="Pagedecouverture"/>
        <w:rPr>
          <w:noProof/>
        </w:rPr>
      </w:pPr>
      <w:bookmarkStart w:id="0" w:name="LW_BM_COVERPAGE"/>
      <w:r>
        <w:rPr>
          <w:noProof/>
        </w:rPr>
        <w:pict w14:anchorId="5E067E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481576E-122C-49A5-86AB-56DF03D8AEA9" style="width:455.25pt;height:313.5pt">
            <v:imagedata r:id="rId11" o:title=""/>
          </v:shape>
        </w:pict>
      </w:r>
    </w:p>
    <w:bookmarkEnd w:id="0"/>
    <w:p w14:paraId="3A92555A" w14:textId="77777777" w:rsidR="00045036" w:rsidRDefault="00045036" w:rsidP="0084523E">
      <w:pPr>
        <w:rPr>
          <w:noProof/>
          <w:lang w:val="en-IE"/>
        </w:rPr>
        <w:sectPr w:rsidR="00045036" w:rsidSect="00984D4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5CC3B35" w14:textId="07C2A402" w:rsidR="00035637" w:rsidRDefault="00035637" w:rsidP="00045036">
      <w:pPr>
        <w:pStyle w:val="Pagedecouverture"/>
        <w:rPr>
          <w:noProof/>
          <w:lang w:val="en-IE"/>
        </w:rPr>
      </w:pPr>
      <w:bookmarkStart w:id="1" w:name="_GoBack"/>
      <w:bookmarkEnd w:id="1"/>
    </w:p>
    <w:p w14:paraId="23C928F7" w14:textId="77777777" w:rsidR="00470393" w:rsidRPr="004E1DD0" w:rsidRDefault="00470393" w:rsidP="00470393">
      <w:pPr>
        <w:rPr>
          <w:noProof/>
        </w:rPr>
      </w:pPr>
      <w:bookmarkStart w:id="2" w:name="_Hlk516480556"/>
      <w:bookmarkEnd w:id="2"/>
    </w:p>
    <w:p w14:paraId="777BFE8E" w14:textId="431CD941" w:rsidR="00470393" w:rsidRPr="004E1DD0" w:rsidRDefault="00470393" w:rsidP="00E13694">
      <w:pPr>
        <w:pStyle w:val="TOCHeading"/>
        <w:spacing w:before="0" w:after="120" w:line="240" w:lineRule="auto"/>
        <w:jc w:val="center"/>
        <w:rPr>
          <w:rFonts w:ascii="Times New Roman" w:eastAsia="Times New Roman" w:hAnsi="Times New Roman" w:cs="Times New Roman"/>
          <w:noProof/>
          <w:color w:val="auto"/>
          <w:sz w:val="24"/>
          <w:szCs w:val="24"/>
          <w:lang w:val="en-IE"/>
        </w:rPr>
      </w:pPr>
    </w:p>
    <w:sdt>
      <w:sdtPr>
        <w:rPr>
          <w:rFonts w:ascii="Times New Roman" w:eastAsia="Times New Roman" w:hAnsi="Times New Roman" w:cs="Times New Roman"/>
          <w:noProof/>
          <w:color w:val="auto"/>
          <w:sz w:val="22"/>
          <w:szCs w:val="22"/>
        </w:rPr>
        <w:id w:val="1509403065"/>
        <w:docPartObj>
          <w:docPartGallery w:val="Table of Contents"/>
          <w:docPartUnique/>
        </w:docPartObj>
      </w:sdtPr>
      <w:sdtEndPr/>
      <w:sdtContent>
        <w:p w14:paraId="17F9EF3B" w14:textId="6C1EDFC8" w:rsidR="00282B17" w:rsidRPr="004E1DD0" w:rsidRDefault="7FAC1148" w:rsidP="7B8E4445">
          <w:pPr>
            <w:pStyle w:val="TOCHeading"/>
            <w:spacing w:before="0" w:after="120" w:line="240" w:lineRule="auto"/>
            <w:jc w:val="center"/>
            <w:rPr>
              <w:rFonts w:ascii="Times New Roman" w:hAnsi="Times New Roman" w:cs="Times New Roman"/>
              <w:b/>
              <w:bCs/>
              <w:noProof/>
              <w:color w:val="auto"/>
            </w:rPr>
          </w:pPr>
          <w:r>
            <w:rPr>
              <w:rFonts w:ascii="Times New Roman" w:hAnsi="Times New Roman"/>
              <w:b/>
              <w:noProof/>
              <w:color w:val="auto"/>
            </w:rPr>
            <w:t>Table des matières</w:t>
          </w:r>
        </w:p>
        <w:p w14:paraId="6A5B63E7" w14:textId="77777777" w:rsidR="00282B17" w:rsidRPr="004E1DD0" w:rsidRDefault="00282B17">
          <w:pPr>
            <w:rPr>
              <w:noProof/>
              <w:sz w:val="24"/>
              <w:szCs w:val="24"/>
              <w:lang w:val="en-IE"/>
            </w:rPr>
          </w:pPr>
        </w:p>
        <w:p w14:paraId="61964B10" w14:textId="6F1232AA" w:rsidR="00CA6F2D" w:rsidRDefault="00357AEC">
          <w:pPr>
            <w:pStyle w:val="TOC1"/>
            <w:rPr>
              <w:rFonts w:asciiTheme="minorHAnsi" w:eastAsiaTheme="minorEastAsia" w:hAnsiTheme="minorHAnsi" w:cstheme="minorBidi"/>
              <w:noProof/>
              <w:kern w:val="2"/>
              <w:sz w:val="24"/>
              <w:szCs w:val="24"/>
              <w:lang w:val="en-IE" w:eastAsia="en-IE"/>
              <w14:ligatures w14:val="standardContextual"/>
            </w:rPr>
          </w:pPr>
          <w:r>
            <w:rPr>
              <w:noProof/>
            </w:rPr>
            <w:fldChar w:fldCharType="begin"/>
          </w:r>
          <w:r w:rsidR="00A33633">
            <w:rPr>
              <w:noProof/>
            </w:rPr>
            <w:instrText>TOC \o "1-3" \z \u \h</w:instrText>
          </w:r>
          <w:r>
            <w:rPr>
              <w:noProof/>
            </w:rPr>
            <w:fldChar w:fldCharType="separate"/>
          </w:r>
          <w:hyperlink w:anchor="_Toc233968355" w:history="1">
            <w:r w:rsidR="00CA6F2D" w:rsidRPr="00B106DB">
              <w:rPr>
                <w:rStyle w:val="Hyperlink"/>
                <w:bCs/>
                <w:noProof/>
              </w:rPr>
              <w:t>1.</w:t>
            </w:r>
            <w:r w:rsidR="00CA6F2D">
              <w:rPr>
                <w:rFonts w:asciiTheme="minorHAnsi" w:eastAsiaTheme="minorEastAsia" w:hAnsiTheme="minorHAnsi" w:cstheme="minorBidi"/>
                <w:noProof/>
                <w:kern w:val="2"/>
                <w:sz w:val="24"/>
                <w:szCs w:val="24"/>
                <w:lang w:val="en-IE" w:eastAsia="en-IE"/>
                <w14:ligatures w14:val="standardContextual"/>
              </w:rPr>
              <w:tab/>
            </w:r>
            <w:r w:rsidR="00CA6F2D" w:rsidRPr="00B106DB">
              <w:rPr>
                <w:rStyle w:val="Hyperlink"/>
                <w:noProof/>
              </w:rPr>
              <w:t>Introduction</w:t>
            </w:r>
            <w:r w:rsidR="00CA6F2D">
              <w:rPr>
                <w:noProof/>
                <w:webHidden/>
              </w:rPr>
              <w:tab/>
            </w:r>
            <w:r w:rsidR="00CA6F2D">
              <w:rPr>
                <w:noProof/>
                <w:webHidden/>
              </w:rPr>
              <w:fldChar w:fldCharType="begin"/>
            </w:r>
            <w:r w:rsidR="00CA6F2D">
              <w:rPr>
                <w:noProof/>
                <w:webHidden/>
              </w:rPr>
              <w:instrText xml:space="preserve"> PAGEREF _Toc233968355 \h </w:instrText>
            </w:r>
            <w:r w:rsidR="00CA6F2D">
              <w:rPr>
                <w:noProof/>
                <w:webHidden/>
              </w:rPr>
            </w:r>
            <w:r w:rsidR="00CA6F2D">
              <w:rPr>
                <w:noProof/>
                <w:webHidden/>
              </w:rPr>
              <w:fldChar w:fldCharType="separate"/>
            </w:r>
            <w:r w:rsidR="00CA6F2D">
              <w:rPr>
                <w:noProof/>
                <w:webHidden/>
              </w:rPr>
              <w:t>2</w:t>
            </w:r>
            <w:r w:rsidR="00CA6F2D">
              <w:rPr>
                <w:noProof/>
                <w:webHidden/>
              </w:rPr>
              <w:fldChar w:fldCharType="end"/>
            </w:r>
          </w:hyperlink>
        </w:p>
        <w:p w14:paraId="5DCA84A5" w14:textId="1C9A910D" w:rsidR="00CA6F2D" w:rsidRDefault="00984D42">
          <w:pPr>
            <w:pStyle w:val="TOC1"/>
            <w:rPr>
              <w:rFonts w:asciiTheme="minorHAnsi" w:eastAsiaTheme="minorEastAsia" w:hAnsiTheme="minorHAnsi" w:cstheme="minorBidi"/>
              <w:noProof/>
              <w:kern w:val="2"/>
              <w:sz w:val="24"/>
              <w:szCs w:val="24"/>
              <w:lang w:val="en-IE" w:eastAsia="en-IE"/>
              <w14:ligatures w14:val="standardContextual"/>
            </w:rPr>
          </w:pPr>
          <w:hyperlink w:anchor="_Toc233968356" w:history="1">
            <w:r w:rsidR="00CA6F2D" w:rsidRPr="00B106DB">
              <w:rPr>
                <w:rStyle w:val="Hyperlink"/>
                <w:bCs/>
                <w:noProof/>
              </w:rPr>
              <w:t>2.</w:t>
            </w:r>
            <w:r w:rsidR="00CA6F2D">
              <w:rPr>
                <w:rFonts w:asciiTheme="minorHAnsi" w:eastAsiaTheme="minorEastAsia" w:hAnsiTheme="minorHAnsi" w:cstheme="minorBidi"/>
                <w:noProof/>
                <w:kern w:val="2"/>
                <w:sz w:val="24"/>
                <w:szCs w:val="24"/>
                <w:lang w:val="en-IE" w:eastAsia="en-IE"/>
                <w14:ligatures w14:val="standardContextual"/>
              </w:rPr>
              <w:tab/>
            </w:r>
            <w:r w:rsidR="00CA6F2D" w:rsidRPr="00B106DB">
              <w:rPr>
                <w:rStyle w:val="Hyperlink"/>
                <w:noProof/>
              </w:rPr>
              <w:t>Résumé</w:t>
            </w:r>
            <w:r w:rsidR="00CA6F2D">
              <w:rPr>
                <w:noProof/>
                <w:webHidden/>
              </w:rPr>
              <w:tab/>
            </w:r>
            <w:r w:rsidR="00CA6F2D">
              <w:rPr>
                <w:noProof/>
                <w:webHidden/>
              </w:rPr>
              <w:fldChar w:fldCharType="begin"/>
            </w:r>
            <w:r w:rsidR="00CA6F2D">
              <w:rPr>
                <w:noProof/>
                <w:webHidden/>
              </w:rPr>
              <w:instrText xml:space="preserve"> PAGEREF _Toc233968356 \h </w:instrText>
            </w:r>
            <w:r w:rsidR="00CA6F2D">
              <w:rPr>
                <w:noProof/>
                <w:webHidden/>
              </w:rPr>
            </w:r>
            <w:r w:rsidR="00CA6F2D">
              <w:rPr>
                <w:noProof/>
                <w:webHidden/>
              </w:rPr>
              <w:fldChar w:fldCharType="separate"/>
            </w:r>
            <w:r w:rsidR="00CA6F2D">
              <w:rPr>
                <w:noProof/>
                <w:webHidden/>
              </w:rPr>
              <w:t>4</w:t>
            </w:r>
            <w:r w:rsidR="00CA6F2D">
              <w:rPr>
                <w:noProof/>
                <w:webHidden/>
              </w:rPr>
              <w:fldChar w:fldCharType="end"/>
            </w:r>
          </w:hyperlink>
        </w:p>
        <w:p w14:paraId="3D4F93FF" w14:textId="623F05FA" w:rsidR="00CA6F2D" w:rsidRDefault="00984D42">
          <w:pPr>
            <w:pStyle w:val="TOC1"/>
            <w:rPr>
              <w:rFonts w:asciiTheme="minorHAnsi" w:eastAsiaTheme="minorEastAsia" w:hAnsiTheme="minorHAnsi" w:cstheme="minorBidi"/>
              <w:noProof/>
              <w:kern w:val="2"/>
              <w:sz w:val="24"/>
              <w:szCs w:val="24"/>
              <w:lang w:val="en-IE" w:eastAsia="en-IE"/>
              <w14:ligatures w14:val="standardContextual"/>
            </w:rPr>
          </w:pPr>
          <w:hyperlink w:anchor="_Toc233968357" w:history="1">
            <w:r w:rsidR="00CA6F2D" w:rsidRPr="00B106DB">
              <w:rPr>
                <w:rStyle w:val="Hyperlink"/>
                <w:bCs/>
                <w:noProof/>
              </w:rPr>
              <w:t>3.</w:t>
            </w:r>
            <w:r w:rsidR="00CA6F2D">
              <w:rPr>
                <w:rFonts w:asciiTheme="minorHAnsi" w:eastAsiaTheme="minorEastAsia" w:hAnsiTheme="minorHAnsi" w:cstheme="minorBidi"/>
                <w:noProof/>
                <w:kern w:val="2"/>
                <w:sz w:val="24"/>
                <w:szCs w:val="24"/>
                <w:lang w:val="en-IE" w:eastAsia="en-IE"/>
                <w14:ligatures w14:val="standardContextual"/>
              </w:rPr>
              <w:tab/>
            </w:r>
            <w:r w:rsidR="00CA6F2D" w:rsidRPr="00B106DB">
              <w:rPr>
                <w:rStyle w:val="Hyperlink"/>
                <w:noProof/>
              </w:rPr>
              <w:t>Contenu du rapport</w:t>
            </w:r>
            <w:r w:rsidR="00CA6F2D">
              <w:rPr>
                <w:noProof/>
                <w:webHidden/>
              </w:rPr>
              <w:tab/>
            </w:r>
            <w:r w:rsidR="00CA6F2D">
              <w:rPr>
                <w:noProof/>
                <w:webHidden/>
              </w:rPr>
              <w:fldChar w:fldCharType="begin"/>
            </w:r>
            <w:r w:rsidR="00CA6F2D">
              <w:rPr>
                <w:noProof/>
                <w:webHidden/>
              </w:rPr>
              <w:instrText xml:space="preserve"> PAGEREF _Toc233968357 \h </w:instrText>
            </w:r>
            <w:r w:rsidR="00CA6F2D">
              <w:rPr>
                <w:noProof/>
                <w:webHidden/>
              </w:rPr>
            </w:r>
            <w:r w:rsidR="00CA6F2D">
              <w:rPr>
                <w:noProof/>
                <w:webHidden/>
              </w:rPr>
              <w:fldChar w:fldCharType="separate"/>
            </w:r>
            <w:r w:rsidR="00CA6F2D">
              <w:rPr>
                <w:noProof/>
                <w:webHidden/>
              </w:rPr>
              <w:t>6</w:t>
            </w:r>
            <w:r w:rsidR="00CA6F2D">
              <w:rPr>
                <w:noProof/>
                <w:webHidden/>
              </w:rPr>
              <w:fldChar w:fldCharType="end"/>
            </w:r>
          </w:hyperlink>
        </w:p>
        <w:p w14:paraId="30ED6040" w14:textId="5A2B5A0C" w:rsidR="00CA6F2D" w:rsidRDefault="00984D42">
          <w:pPr>
            <w:pStyle w:val="TOC1"/>
            <w:rPr>
              <w:rFonts w:asciiTheme="minorHAnsi" w:eastAsiaTheme="minorEastAsia" w:hAnsiTheme="minorHAnsi" w:cstheme="minorBidi"/>
              <w:noProof/>
              <w:kern w:val="2"/>
              <w:sz w:val="24"/>
              <w:szCs w:val="24"/>
              <w:lang w:val="en-IE" w:eastAsia="en-IE"/>
              <w14:ligatures w14:val="standardContextual"/>
            </w:rPr>
          </w:pPr>
          <w:hyperlink w:anchor="_Toc233968358" w:history="1">
            <w:r w:rsidR="00CA6F2D" w:rsidRPr="00B106DB">
              <w:rPr>
                <w:rStyle w:val="Hyperlink"/>
                <w:bCs/>
                <w:noProof/>
              </w:rPr>
              <w:t>4.</w:t>
            </w:r>
            <w:r w:rsidR="00CA6F2D">
              <w:rPr>
                <w:rFonts w:asciiTheme="minorHAnsi" w:eastAsiaTheme="minorEastAsia" w:hAnsiTheme="minorHAnsi" w:cstheme="minorBidi"/>
                <w:noProof/>
                <w:kern w:val="2"/>
                <w:sz w:val="24"/>
                <w:szCs w:val="24"/>
                <w:lang w:val="en-IE" w:eastAsia="en-IE"/>
                <w14:ligatures w14:val="standardContextual"/>
              </w:rPr>
              <w:tab/>
            </w:r>
            <w:r w:rsidR="00CA6F2D" w:rsidRPr="00B106DB">
              <w:rPr>
                <w:rStyle w:val="Hyperlink"/>
                <w:noProof/>
              </w:rPr>
              <w:t>Responsabilités relatives à la mise en œuvre numérique du CDU</w:t>
            </w:r>
            <w:r w:rsidR="00CA6F2D">
              <w:rPr>
                <w:noProof/>
                <w:webHidden/>
              </w:rPr>
              <w:tab/>
            </w:r>
            <w:r w:rsidR="00CA6F2D">
              <w:rPr>
                <w:noProof/>
                <w:webHidden/>
              </w:rPr>
              <w:fldChar w:fldCharType="begin"/>
            </w:r>
            <w:r w:rsidR="00CA6F2D">
              <w:rPr>
                <w:noProof/>
                <w:webHidden/>
              </w:rPr>
              <w:instrText xml:space="preserve"> PAGEREF _Toc233968358 \h </w:instrText>
            </w:r>
            <w:r w:rsidR="00CA6F2D">
              <w:rPr>
                <w:noProof/>
                <w:webHidden/>
              </w:rPr>
            </w:r>
            <w:r w:rsidR="00CA6F2D">
              <w:rPr>
                <w:noProof/>
                <w:webHidden/>
              </w:rPr>
              <w:fldChar w:fldCharType="separate"/>
            </w:r>
            <w:r w:rsidR="00CA6F2D">
              <w:rPr>
                <w:noProof/>
                <w:webHidden/>
              </w:rPr>
              <w:t>7</w:t>
            </w:r>
            <w:r w:rsidR="00CA6F2D">
              <w:rPr>
                <w:noProof/>
                <w:webHidden/>
              </w:rPr>
              <w:fldChar w:fldCharType="end"/>
            </w:r>
          </w:hyperlink>
        </w:p>
        <w:p w14:paraId="1D923D16" w14:textId="1169587A" w:rsidR="00CA6F2D" w:rsidRDefault="00984D42">
          <w:pPr>
            <w:pStyle w:val="TOC1"/>
            <w:rPr>
              <w:rFonts w:asciiTheme="minorHAnsi" w:eastAsiaTheme="minorEastAsia" w:hAnsiTheme="minorHAnsi" w:cstheme="minorBidi"/>
              <w:noProof/>
              <w:kern w:val="2"/>
              <w:sz w:val="24"/>
              <w:szCs w:val="24"/>
              <w:lang w:val="en-IE" w:eastAsia="en-IE"/>
              <w14:ligatures w14:val="standardContextual"/>
            </w:rPr>
          </w:pPr>
          <w:hyperlink w:anchor="_Toc233968359" w:history="1">
            <w:r w:rsidR="00CA6F2D" w:rsidRPr="00B106DB">
              <w:rPr>
                <w:rStyle w:val="Hyperlink"/>
                <w:bCs/>
                <w:noProof/>
              </w:rPr>
              <w:t>5.</w:t>
            </w:r>
            <w:r w:rsidR="00CA6F2D">
              <w:rPr>
                <w:rFonts w:asciiTheme="minorHAnsi" w:eastAsiaTheme="minorEastAsia" w:hAnsiTheme="minorHAnsi" w:cstheme="minorBidi"/>
                <w:noProof/>
                <w:kern w:val="2"/>
                <w:sz w:val="24"/>
                <w:szCs w:val="24"/>
                <w:lang w:val="en-IE" w:eastAsia="en-IE"/>
                <w14:ligatures w14:val="standardContextual"/>
              </w:rPr>
              <w:tab/>
            </w:r>
            <w:r w:rsidR="00CA6F2D" w:rsidRPr="00B106DB">
              <w:rPr>
                <w:rStyle w:val="Hyperlink"/>
                <w:noProof/>
              </w:rPr>
              <w:t>Aperçu général des progrès réalisés dans la mise en œuvre des systèmes électroniques prévus dans le CDU</w:t>
            </w:r>
            <w:r w:rsidR="00CA6F2D">
              <w:rPr>
                <w:noProof/>
                <w:webHidden/>
              </w:rPr>
              <w:tab/>
            </w:r>
            <w:r w:rsidR="00CA6F2D">
              <w:rPr>
                <w:noProof/>
                <w:webHidden/>
              </w:rPr>
              <w:fldChar w:fldCharType="begin"/>
            </w:r>
            <w:r w:rsidR="00CA6F2D">
              <w:rPr>
                <w:noProof/>
                <w:webHidden/>
              </w:rPr>
              <w:instrText xml:space="preserve"> PAGEREF _Toc233968359 \h </w:instrText>
            </w:r>
            <w:r w:rsidR="00CA6F2D">
              <w:rPr>
                <w:noProof/>
                <w:webHidden/>
              </w:rPr>
            </w:r>
            <w:r w:rsidR="00CA6F2D">
              <w:rPr>
                <w:noProof/>
                <w:webHidden/>
              </w:rPr>
              <w:fldChar w:fldCharType="separate"/>
            </w:r>
            <w:r w:rsidR="00CA6F2D">
              <w:rPr>
                <w:noProof/>
                <w:webHidden/>
              </w:rPr>
              <w:t>7</w:t>
            </w:r>
            <w:r w:rsidR="00CA6F2D">
              <w:rPr>
                <w:noProof/>
                <w:webHidden/>
              </w:rPr>
              <w:fldChar w:fldCharType="end"/>
            </w:r>
          </w:hyperlink>
        </w:p>
        <w:p w14:paraId="0E3E3390" w14:textId="28066EAA" w:rsidR="00CA6F2D" w:rsidRDefault="00984D42">
          <w:pPr>
            <w:pStyle w:val="TOC3"/>
            <w:tabs>
              <w:tab w:val="left" w:pos="960"/>
              <w:tab w:val="right" w:leader="dot" w:pos="9060"/>
            </w:tabs>
            <w:rPr>
              <w:rFonts w:asciiTheme="minorHAnsi" w:eastAsiaTheme="minorEastAsia" w:hAnsiTheme="minorHAnsi" w:cstheme="minorBidi"/>
              <w:noProof/>
              <w:kern w:val="2"/>
              <w:sz w:val="24"/>
              <w:szCs w:val="24"/>
              <w:lang w:val="en-IE" w:eastAsia="en-IE"/>
              <w14:ligatures w14:val="standardContextual"/>
            </w:rPr>
          </w:pPr>
          <w:hyperlink w:anchor="_Toc233968360" w:history="1">
            <w:r w:rsidR="00CA6F2D" w:rsidRPr="00B106DB">
              <w:rPr>
                <w:rStyle w:val="Hyperlink"/>
                <w:rFonts w:eastAsia="PMingLiU"/>
                <w:caps/>
                <w:noProof/>
              </w:rPr>
              <w:t>5.1</w:t>
            </w:r>
            <w:r w:rsidR="00CA6F2D">
              <w:rPr>
                <w:rFonts w:asciiTheme="minorHAnsi" w:eastAsiaTheme="minorEastAsia" w:hAnsiTheme="minorHAnsi" w:cstheme="minorBidi"/>
                <w:noProof/>
                <w:kern w:val="2"/>
                <w:sz w:val="24"/>
                <w:szCs w:val="24"/>
                <w:lang w:val="en-IE" w:eastAsia="en-IE"/>
                <w14:ligatures w14:val="standardContextual"/>
              </w:rPr>
              <w:tab/>
            </w:r>
            <w:r w:rsidR="00CA6F2D" w:rsidRPr="00B106DB">
              <w:rPr>
                <w:rStyle w:val="Hyperlink"/>
                <w:caps/>
                <w:noProof/>
              </w:rPr>
              <w:t>Projets achevés avant 2025</w:t>
            </w:r>
            <w:r w:rsidR="00CA6F2D">
              <w:rPr>
                <w:noProof/>
                <w:webHidden/>
              </w:rPr>
              <w:tab/>
            </w:r>
            <w:r w:rsidR="00CA6F2D">
              <w:rPr>
                <w:noProof/>
                <w:webHidden/>
              </w:rPr>
              <w:fldChar w:fldCharType="begin"/>
            </w:r>
            <w:r w:rsidR="00CA6F2D">
              <w:rPr>
                <w:noProof/>
                <w:webHidden/>
              </w:rPr>
              <w:instrText xml:space="preserve"> PAGEREF _Toc233968360 \h </w:instrText>
            </w:r>
            <w:r w:rsidR="00CA6F2D">
              <w:rPr>
                <w:noProof/>
                <w:webHidden/>
              </w:rPr>
            </w:r>
            <w:r w:rsidR="00CA6F2D">
              <w:rPr>
                <w:noProof/>
                <w:webHidden/>
              </w:rPr>
              <w:fldChar w:fldCharType="separate"/>
            </w:r>
            <w:r w:rsidR="00CA6F2D">
              <w:rPr>
                <w:noProof/>
                <w:webHidden/>
              </w:rPr>
              <w:t>7</w:t>
            </w:r>
            <w:r w:rsidR="00CA6F2D">
              <w:rPr>
                <w:noProof/>
                <w:webHidden/>
              </w:rPr>
              <w:fldChar w:fldCharType="end"/>
            </w:r>
          </w:hyperlink>
        </w:p>
        <w:p w14:paraId="034CC221" w14:textId="621AF880" w:rsidR="00CA6F2D" w:rsidRDefault="00984D42">
          <w:pPr>
            <w:pStyle w:val="TOC3"/>
            <w:tabs>
              <w:tab w:val="left" w:pos="960"/>
              <w:tab w:val="right" w:leader="dot" w:pos="9060"/>
            </w:tabs>
            <w:rPr>
              <w:rFonts w:asciiTheme="minorHAnsi" w:eastAsiaTheme="minorEastAsia" w:hAnsiTheme="minorHAnsi" w:cstheme="minorBidi"/>
              <w:noProof/>
              <w:kern w:val="2"/>
              <w:sz w:val="24"/>
              <w:szCs w:val="24"/>
              <w:lang w:val="en-IE" w:eastAsia="en-IE"/>
              <w14:ligatures w14:val="standardContextual"/>
            </w:rPr>
          </w:pPr>
          <w:hyperlink w:anchor="_Toc233968361" w:history="1">
            <w:r w:rsidR="00CA6F2D" w:rsidRPr="00B106DB">
              <w:rPr>
                <w:rStyle w:val="Hyperlink"/>
                <w:rFonts w:eastAsia="PMingLiU"/>
                <w:caps/>
                <w:noProof/>
              </w:rPr>
              <w:t>5.2</w:t>
            </w:r>
            <w:r w:rsidR="00CA6F2D">
              <w:rPr>
                <w:rFonts w:asciiTheme="minorHAnsi" w:eastAsiaTheme="minorEastAsia" w:hAnsiTheme="minorHAnsi" w:cstheme="minorBidi"/>
                <w:noProof/>
                <w:kern w:val="2"/>
                <w:sz w:val="24"/>
                <w:szCs w:val="24"/>
                <w:lang w:val="en-IE" w:eastAsia="en-IE"/>
                <w14:ligatures w14:val="standardContextual"/>
              </w:rPr>
              <w:tab/>
            </w:r>
            <w:r w:rsidR="00CA6F2D" w:rsidRPr="00B106DB">
              <w:rPr>
                <w:rStyle w:val="Hyperlink"/>
                <w:caps/>
                <w:noProof/>
              </w:rPr>
              <w:t>projets PROGRESS en 2025</w:t>
            </w:r>
            <w:r w:rsidR="00CA6F2D">
              <w:rPr>
                <w:noProof/>
                <w:webHidden/>
              </w:rPr>
              <w:tab/>
            </w:r>
            <w:r w:rsidR="00CA6F2D">
              <w:rPr>
                <w:noProof/>
                <w:webHidden/>
              </w:rPr>
              <w:fldChar w:fldCharType="begin"/>
            </w:r>
            <w:r w:rsidR="00CA6F2D">
              <w:rPr>
                <w:noProof/>
                <w:webHidden/>
              </w:rPr>
              <w:instrText xml:space="preserve"> PAGEREF _Toc233968361 \h </w:instrText>
            </w:r>
            <w:r w:rsidR="00CA6F2D">
              <w:rPr>
                <w:noProof/>
                <w:webHidden/>
              </w:rPr>
            </w:r>
            <w:r w:rsidR="00CA6F2D">
              <w:rPr>
                <w:noProof/>
                <w:webHidden/>
              </w:rPr>
              <w:fldChar w:fldCharType="separate"/>
            </w:r>
            <w:r w:rsidR="00CA6F2D">
              <w:rPr>
                <w:noProof/>
                <w:webHidden/>
              </w:rPr>
              <w:t>8</w:t>
            </w:r>
            <w:r w:rsidR="00CA6F2D">
              <w:rPr>
                <w:noProof/>
                <w:webHidden/>
              </w:rPr>
              <w:fldChar w:fldCharType="end"/>
            </w:r>
          </w:hyperlink>
        </w:p>
        <w:p w14:paraId="32C022E9" w14:textId="316AA1AC" w:rsidR="00CA6F2D" w:rsidRDefault="00984D42">
          <w:pPr>
            <w:pStyle w:val="TOC3"/>
            <w:tabs>
              <w:tab w:val="left" w:pos="960"/>
              <w:tab w:val="right" w:leader="dot" w:pos="9060"/>
            </w:tabs>
            <w:rPr>
              <w:rFonts w:asciiTheme="minorHAnsi" w:eastAsiaTheme="minorEastAsia" w:hAnsiTheme="minorHAnsi" w:cstheme="minorBidi"/>
              <w:noProof/>
              <w:kern w:val="2"/>
              <w:sz w:val="24"/>
              <w:szCs w:val="24"/>
              <w:lang w:val="en-IE" w:eastAsia="en-IE"/>
              <w14:ligatures w14:val="standardContextual"/>
            </w:rPr>
          </w:pPr>
          <w:hyperlink w:anchor="_Toc233968362" w:history="1">
            <w:r w:rsidR="00CA6F2D" w:rsidRPr="00B106DB">
              <w:rPr>
                <w:rStyle w:val="Hyperlink"/>
                <w:noProof/>
              </w:rPr>
              <w:t>5.3</w:t>
            </w:r>
            <w:r w:rsidR="00CA6F2D">
              <w:rPr>
                <w:rFonts w:asciiTheme="minorHAnsi" w:eastAsiaTheme="minorEastAsia" w:hAnsiTheme="minorHAnsi" w:cstheme="minorBidi"/>
                <w:noProof/>
                <w:kern w:val="2"/>
                <w:sz w:val="24"/>
                <w:szCs w:val="24"/>
                <w:lang w:val="en-IE" w:eastAsia="en-IE"/>
                <w14:ligatures w14:val="standardContextual"/>
              </w:rPr>
              <w:tab/>
            </w:r>
            <w:r w:rsidR="00CA6F2D" w:rsidRPr="00B106DB">
              <w:rPr>
                <w:rStyle w:val="Hyperlink"/>
                <w:caps/>
                <w:noProof/>
              </w:rPr>
              <w:t>Risques et mesures d’atténuation</w:t>
            </w:r>
            <w:r w:rsidR="00CA6F2D">
              <w:rPr>
                <w:noProof/>
                <w:webHidden/>
              </w:rPr>
              <w:tab/>
            </w:r>
            <w:r w:rsidR="00CA6F2D">
              <w:rPr>
                <w:noProof/>
                <w:webHidden/>
              </w:rPr>
              <w:fldChar w:fldCharType="begin"/>
            </w:r>
            <w:r w:rsidR="00CA6F2D">
              <w:rPr>
                <w:noProof/>
                <w:webHidden/>
              </w:rPr>
              <w:instrText xml:space="preserve"> PAGEREF _Toc233968362 \h </w:instrText>
            </w:r>
            <w:r w:rsidR="00CA6F2D">
              <w:rPr>
                <w:noProof/>
                <w:webHidden/>
              </w:rPr>
            </w:r>
            <w:r w:rsidR="00CA6F2D">
              <w:rPr>
                <w:noProof/>
                <w:webHidden/>
              </w:rPr>
              <w:fldChar w:fldCharType="separate"/>
            </w:r>
            <w:r w:rsidR="00CA6F2D">
              <w:rPr>
                <w:noProof/>
                <w:webHidden/>
              </w:rPr>
              <w:t>19</w:t>
            </w:r>
            <w:r w:rsidR="00CA6F2D">
              <w:rPr>
                <w:noProof/>
                <w:webHidden/>
              </w:rPr>
              <w:fldChar w:fldCharType="end"/>
            </w:r>
          </w:hyperlink>
        </w:p>
        <w:p w14:paraId="7873DD87" w14:textId="100823F5" w:rsidR="00357AEC" w:rsidRDefault="00357AEC" w:rsidP="00D4180C">
          <w:pPr>
            <w:pStyle w:val="TOC1"/>
            <w:rPr>
              <w:rStyle w:val="Hyperlink"/>
              <w:noProof/>
            </w:rPr>
          </w:pPr>
          <w:r>
            <w:rPr>
              <w:noProof/>
            </w:rPr>
            <w:fldChar w:fldCharType="end"/>
          </w:r>
        </w:p>
      </w:sdtContent>
    </w:sdt>
    <w:p w14:paraId="3795905B" w14:textId="10068D51" w:rsidR="00282B17" w:rsidRPr="004E1DD0" w:rsidRDefault="00282B17">
      <w:pPr>
        <w:rPr>
          <w:noProof/>
          <w:sz w:val="24"/>
          <w:szCs w:val="24"/>
          <w:lang w:val="en-IE"/>
        </w:rPr>
      </w:pPr>
    </w:p>
    <w:p w14:paraId="7FCFD25D" w14:textId="771F34D2" w:rsidR="00282B17" w:rsidRPr="004E1DD0" w:rsidRDefault="00A33633">
      <w:pPr>
        <w:jc w:val="left"/>
        <w:rPr>
          <w:rFonts w:eastAsiaTheme="majorEastAsia"/>
          <w:noProof/>
          <w:sz w:val="24"/>
          <w:szCs w:val="24"/>
        </w:rPr>
      </w:pPr>
      <w:r>
        <w:rPr>
          <w:noProof/>
        </w:rPr>
        <w:br w:type="page"/>
      </w:r>
    </w:p>
    <w:p w14:paraId="62C63BC9" w14:textId="1BA23767" w:rsidR="00282B17" w:rsidRPr="004E1DD0" w:rsidRDefault="7FAC1148" w:rsidP="7B8E4445">
      <w:pPr>
        <w:pStyle w:val="Heading1"/>
        <w:keepLines w:val="0"/>
        <w:numPr>
          <w:ilvl w:val="0"/>
          <w:numId w:val="5"/>
        </w:numPr>
        <w:spacing w:after="240"/>
        <w:ind w:left="567" w:hanging="567"/>
        <w:jc w:val="left"/>
        <w:rPr>
          <w:rFonts w:ascii="Times New Roman" w:eastAsia="Times New Roman" w:hAnsi="Times New Roman" w:cs="Times New Roman"/>
          <w:noProof/>
        </w:rPr>
      </w:pPr>
      <w:bookmarkStart w:id="3" w:name="_Toc52475146"/>
      <w:bookmarkStart w:id="4" w:name="_Toc233968355"/>
      <w:r>
        <w:rPr>
          <w:rFonts w:ascii="Times New Roman" w:hAnsi="Times New Roman"/>
          <w:noProof/>
        </w:rPr>
        <w:t>Introduction</w:t>
      </w:r>
      <w:bookmarkEnd w:id="3"/>
      <w:bookmarkEnd w:id="4"/>
    </w:p>
    <w:p w14:paraId="069CB2F9" w14:textId="072FB76B" w:rsidR="00FC79F0" w:rsidRPr="00972E59" w:rsidRDefault="0D77CE58" w:rsidP="00972E59">
      <w:pPr>
        <w:rPr>
          <w:rFonts w:eastAsiaTheme="minorEastAsia"/>
          <w:b/>
          <w:bCs/>
          <w:noProof/>
          <w:color w:val="000000" w:themeColor="text1"/>
        </w:rPr>
      </w:pPr>
      <w:r>
        <w:rPr>
          <w:noProof/>
          <w:color w:val="000000" w:themeColor="text1"/>
        </w:rPr>
        <w:t>Le présent document est le rapport annuel 2025 sur l’état d’avancement de la mise en œuvre numérique du code des douanes de l’Union</w:t>
      </w:r>
      <w:r w:rsidR="0077620D" w:rsidRPr="00566DA0">
        <w:rPr>
          <w:rStyle w:val="FootnoteReference"/>
          <w:rFonts w:eastAsiaTheme="minorEastAsia"/>
          <w:noProof/>
          <w:color w:val="000000"/>
          <w:lang w:val="en-IE"/>
        </w:rPr>
        <w:footnoteReference w:id="2"/>
      </w:r>
      <w:r>
        <w:rPr>
          <w:noProof/>
          <w:color w:val="000000" w:themeColor="text1"/>
        </w:rPr>
        <w:t xml:space="preserve"> (CDU), le </w:t>
      </w:r>
      <w:r>
        <w:rPr>
          <w:b/>
          <w:noProof/>
          <w:color w:val="000000" w:themeColor="text1"/>
        </w:rPr>
        <w:t>septième et dernier</w:t>
      </w:r>
      <w:r>
        <w:rPr>
          <w:noProof/>
          <w:color w:val="000000" w:themeColor="text1"/>
        </w:rPr>
        <w:t xml:space="preserve"> établi par la Commission conformément à l’article 278 </w:t>
      </w:r>
      <w:r>
        <w:rPr>
          <w:i/>
          <w:iCs/>
          <w:noProof/>
          <w:color w:val="000000" w:themeColor="text1"/>
        </w:rPr>
        <w:t>bis</w:t>
      </w:r>
      <w:r>
        <w:rPr>
          <w:noProof/>
          <w:color w:val="000000" w:themeColor="text1"/>
        </w:rPr>
        <w:t xml:space="preserve"> du CDU, sur les progrès réalisés dans le développement des systèmes électroniques</w:t>
      </w:r>
      <w:r w:rsidR="00EF4F29" w:rsidRPr="00972E59">
        <w:rPr>
          <w:rFonts w:eastAsiaTheme="minorEastAsia"/>
          <w:noProof/>
          <w:color w:val="000000"/>
          <w:vertAlign w:val="superscript"/>
          <w:lang w:val="en-IE"/>
        </w:rPr>
        <w:footnoteReference w:id="3"/>
      </w:r>
      <w:r>
        <w:rPr>
          <w:noProof/>
          <w:color w:val="000000" w:themeColor="text1"/>
        </w:rPr>
        <w:t>.</w:t>
      </w:r>
      <w:r>
        <w:rPr>
          <w:b/>
          <w:noProof/>
          <w:color w:val="000000" w:themeColor="text1"/>
        </w:rPr>
        <w:t xml:space="preserve"> </w:t>
      </w:r>
    </w:p>
    <w:p w14:paraId="65026C81" w14:textId="77777777" w:rsidR="0009460F" w:rsidRDefault="005C295F" w:rsidP="005C295F">
      <w:pPr>
        <w:rPr>
          <w:rFonts w:eastAsiaTheme="minorEastAsia"/>
          <w:noProof/>
          <w:color w:val="000000"/>
        </w:rPr>
      </w:pPr>
      <w:r>
        <w:rPr>
          <w:noProof/>
          <w:color w:val="000000"/>
        </w:rPr>
        <w:t>Le CDU est entré en vigueur le 1</w:t>
      </w:r>
      <w:r>
        <w:rPr>
          <w:noProof/>
          <w:color w:val="000000"/>
          <w:vertAlign w:val="superscript"/>
        </w:rPr>
        <w:t>er</w:t>
      </w:r>
      <w:r>
        <w:rPr>
          <w:noProof/>
          <w:color w:val="000000"/>
        </w:rPr>
        <w:t> mai 2016 et, après avoir été modifié en 2019</w:t>
      </w:r>
      <w:r w:rsidRPr="004E1DD0">
        <w:rPr>
          <w:rFonts w:eastAsiaTheme="minorEastAsia"/>
          <w:noProof/>
          <w:vertAlign w:val="superscript"/>
          <w:lang w:val="en-IE"/>
        </w:rPr>
        <w:footnoteReference w:id="4"/>
      </w:r>
      <w:r>
        <w:rPr>
          <w:noProof/>
          <w:color w:val="000000"/>
        </w:rPr>
        <w:t xml:space="preserve">, il fixe les dates limites en 2020, 2022 et 2025 pour l’achèvement progressif des projets relatifs à la transition et à la mise en œuvre numériques du CDU. Au cours de la période de transition, les systèmes électroniques et sur support papier existants pourraient être utilisés pour accomplir des formalités douanières (les «mesures transitoires») jusqu’au moment où les systèmes électroniques prévus par le CDU, qu’ils soient nouveaux ou mis à niveau, sont opérationnels. </w:t>
      </w:r>
    </w:p>
    <w:p w14:paraId="69B0CB5B" w14:textId="290990B1" w:rsidR="005C295F" w:rsidRPr="003C103F" w:rsidRDefault="00FC3EBC" w:rsidP="005C295F">
      <w:pPr>
        <w:rPr>
          <w:rFonts w:eastAsiaTheme="minorEastAsia"/>
          <w:noProof/>
          <w:color w:val="000000" w:themeColor="text1"/>
        </w:rPr>
      </w:pPr>
      <w:r>
        <w:rPr>
          <w:noProof/>
          <w:color w:val="000000"/>
        </w:rPr>
        <w:t>Dans ce contexte, le programme de travail du CDU</w:t>
      </w:r>
      <w:r w:rsidRPr="004E1DD0">
        <w:rPr>
          <w:rFonts w:eastAsiaTheme="minorEastAsia"/>
          <w:noProof/>
          <w:color w:val="000000"/>
          <w:vertAlign w:val="superscript"/>
          <w:lang w:val="en-IE"/>
        </w:rPr>
        <w:footnoteReference w:id="5"/>
      </w:r>
      <w:r>
        <w:rPr>
          <w:noProof/>
          <w:color w:val="000000"/>
        </w:rPr>
        <w:t xml:space="preserve"> (PT CDU) et le règlement d’exécution établissant des dispositions techniques relatives aux systèmes électroniques</w:t>
      </w:r>
      <w:r w:rsidRPr="004E1DD0">
        <w:rPr>
          <w:rStyle w:val="FootnoteReference"/>
          <w:rFonts w:eastAsiaTheme="minorEastAsia"/>
          <w:noProof/>
          <w:color w:val="000000"/>
          <w:lang w:val="en-IE"/>
        </w:rPr>
        <w:footnoteReference w:id="6"/>
      </w:r>
      <w:r>
        <w:rPr>
          <w:noProof/>
          <w:color w:val="000000"/>
        </w:rPr>
        <w:t xml:space="preserve"> doivent être lus en liaison avec le CDU et ses actes délégués et d’exécution.</w:t>
      </w:r>
    </w:p>
    <w:p w14:paraId="24876772" w14:textId="39112F08" w:rsidR="005C295F" w:rsidRPr="00447E31" w:rsidRDefault="005C295F" w:rsidP="005C295F">
      <w:pPr>
        <w:rPr>
          <w:rFonts w:eastAsiaTheme="minorEastAsia"/>
          <w:noProof/>
          <w:color w:val="000000"/>
        </w:rPr>
      </w:pPr>
      <w:r>
        <w:rPr>
          <w:noProof/>
          <w:color w:val="000000" w:themeColor="text1"/>
        </w:rPr>
        <w:t xml:space="preserve">Le PT CDU est </w:t>
      </w:r>
      <w:r>
        <w:rPr>
          <w:noProof/>
          <w:color w:val="000000"/>
        </w:rPr>
        <w:t>l’instrument juridique permettant d’orienter le processus de transition tridimensionnel progressif et complexe vers un environnement douanier entièrement numérique, en tenant compte des interdépendances entre les systèmes et de la situation de l’évolution réelle. Il s’agit</w:t>
      </w:r>
      <w:r>
        <w:rPr>
          <w:noProof/>
          <w:color w:val="000000" w:themeColor="text1"/>
        </w:rPr>
        <w:t xml:space="preserve"> de l’instrument utilisé pour orienter les parties prenantes des projets (États membres, Commission, opérateurs économiques) vers une mise en œuvre commune et réalisable des projets d’ici au 31 décembre 2025, date limite de fin de la transition numérique.</w:t>
      </w:r>
      <w:r>
        <w:rPr>
          <w:noProof/>
          <w:color w:val="000000"/>
        </w:rPr>
        <w:t xml:space="preserve"> Le règlement d’exécution établissant des dispositions techniques relatives aux systèmes électroniques définit les modalités techniques de chacun des systèmes en termes de composants, de responsabilités, d’accès aux données et de transition technique.</w:t>
      </w:r>
    </w:p>
    <w:p w14:paraId="4486E5C9" w14:textId="0320C735" w:rsidR="00972E59" w:rsidRPr="00447E31" w:rsidRDefault="005C295F" w:rsidP="00972E59">
      <w:pPr>
        <w:autoSpaceDE w:val="0"/>
        <w:autoSpaceDN w:val="0"/>
        <w:adjustRightInd w:val="0"/>
        <w:rPr>
          <w:rFonts w:eastAsiaTheme="minorEastAsia"/>
          <w:noProof/>
          <w:color w:val="000000" w:themeColor="text1"/>
        </w:rPr>
      </w:pPr>
      <w:r>
        <w:rPr>
          <w:noProof/>
          <w:color w:val="000000" w:themeColor="text1"/>
        </w:rPr>
        <w:t xml:space="preserve">Le présent rapport s’appuie sur le PT CDU, </w:t>
      </w:r>
      <w:r>
        <w:rPr>
          <w:noProof/>
          <w:color w:val="000000"/>
        </w:rPr>
        <w:t>adopté par la Commission le 15 décembre 2023</w:t>
      </w:r>
      <w:r>
        <w:rPr>
          <w:noProof/>
          <w:color w:val="000000" w:themeColor="text1"/>
        </w:rPr>
        <w:t xml:space="preserve">, comme base de référence pour rendre compte des progrès accomplis. Les aspects relatifs à la gouvernance du programme et du projet sont définis </w:t>
      </w:r>
      <w:r>
        <w:rPr>
          <w:noProof/>
          <w:color w:val="000000"/>
        </w:rPr>
        <w:t xml:space="preserve">dans le plan stratégique pluriannuel dans le domaine douanier (MASP-C). </w:t>
      </w:r>
      <w:r>
        <w:rPr>
          <w:b/>
          <w:noProof/>
          <w:color w:val="000000"/>
        </w:rPr>
        <w:t>Le rapport</w:t>
      </w:r>
      <w:r>
        <w:rPr>
          <w:b/>
          <w:noProof/>
        </w:rPr>
        <w:t xml:space="preserve"> couvre les progrès accomplis au fil des ans pour mettre en place un système douanier entièrement numérique dans l’Union européenne en 2025, qui marque la dernière année de mise en œuvre du CDU</w:t>
      </w:r>
      <w:r>
        <w:rPr>
          <w:noProof/>
        </w:rPr>
        <w:t>.</w:t>
      </w:r>
      <w:r>
        <w:rPr>
          <w:noProof/>
          <w:color w:val="000000" w:themeColor="text1"/>
        </w:rPr>
        <w:t xml:space="preserve"> </w:t>
      </w:r>
    </w:p>
    <w:p w14:paraId="5C860ABB" w14:textId="77777777" w:rsidR="00447E31" w:rsidRPr="007043C8" w:rsidRDefault="00972E59" w:rsidP="00447E31">
      <w:pPr>
        <w:autoSpaceDE w:val="0"/>
        <w:autoSpaceDN w:val="0"/>
        <w:adjustRightInd w:val="0"/>
        <w:rPr>
          <w:rFonts w:eastAsiaTheme="minorEastAsia"/>
          <w:noProof/>
          <w:color w:val="000000"/>
        </w:rPr>
      </w:pPr>
      <w:r>
        <w:rPr>
          <w:noProof/>
        </w:rPr>
        <w:t xml:space="preserve">Si le CDU établit la base juridique d’un cadre douanier entièrement numérique et harmonisé dans l’ensemble de l’Union européenne et de ses frontières extérieures, sa mise en œuvre complète et uniforme dans tous les domaines douaniers et dans tous les États membres constitue une </w:t>
      </w:r>
      <w:r>
        <w:rPr>
          <w:b/>
          <w:noProof/>
        </w:rPr>
        <w:t>condition préalable au bon fonctionnement de l’union douanière et jette les bases de la prochaine phase de la réforme douanière</w:t>
      </w:r>
      <w:r>
        <w:rPr>
          <w:noProof/>
        </w:rPr>
        <w:t xml:space="preserve">. </w:t>
      </w:r>
      <w:r>
        <w:rPr>
          <w:noProof/>
          <w:color w:val="000000" w:themeColor="text1"/>
        </w:rPr>
        <w:t xml:space="preserve">Il est donc essentiel que tous les États membres réalisent leur part de la mise en œuvre de l’actuel CDU actuel afin de veiller à ce que les opérateurs et agents économiques en tirent pleinement parti avant d’entamer la réforme douanière de l’UE. </w:t>
      </w:r>
      <w:r>
        <w:rPr>
          <w:noProof/>
          <w:color w:val="000000"/>
        </w:rPr>
        <w:t>La Commission a adopté, le 17 mai 2023, une proposition de réforme globale de l’union douanière, y compris un nouveau CDU, qui marque une transformation importante du cadre douanier de l’UE</w:t>
      </w:r>
      <w:r w:rsidR="00122C76" w:rsidRPr="00447E31">
        <w:rPr>
          <w:rStyle w:val="FootnoteReference"/>
          <w:rFonts w:eastAsiaTheme="minorEastAsia"/>
          <w:noProof/>
          <w:color w:val="000000"/>
          <w:lang w:val="en-IE"/>
        </w:rPr>
        <w:footnoteReference w:id="7"/>
      </w:r>
      <w:r>
        <w:rPr>
          <w:noProof/>
          <w:color w:val="000000"/>
        </w:rPr>
        <w:t xml:space="preserve">. Le 26 mars 2026, le Parlement européen et le Conseil sont parvenus à un accord politique en trilogue sur la proposition de la Commission relative à la réforme la plus ambitieuse de la réglementation douanière de l’UE depuis 1968. Le projet de texte devrait désormais être réexaminé par des juristes-linguistes, puis approuvé par le Conseil et le Parlement européen en vue de sa publication au </w:t>
      </w:r>
      <w:r>
        <w:rPr>
          <w:i/>
          <w:iCs/>
          <w:noProof/>
          <w:color w:val="000000"/>
        </w:rPr>
        <w:t>Journal officiel de l’Union européenne</w:t>
      </w:r>
      <w:r>
        <w:rPr>
          <w:noProof/>
          <w:color w:val="000000"/>
        </w:rPr>
        <w:t xml:space="preserve"> d’ici novembre 2026. </w:t>
      </w:r>
    </w:p>
    <w:p w14:paraId="71385AE7" w14:textId="2EED3138" w:rsidR="00447E31" w:rsidRPr="007043C8" w:rsidRDefault="00447E31" w:rsidP="00447E31">
      <w:pPr>
        <w:autoSpaceDE w:val="0"/>
        <w:autoSpaceDN w:val="0"/>
        <w:adjustRightInd w:val="0"/>
        <w:rPr>
          <w:rFonts w:eastAsiaTheme="minorEastAsia"/>
          <w:noProof/>
          <w:color w:val="000000"/>
        </w:rPr>
      </w:pPr>
      <w:r>
        <w:rPr>
          <w:noProof/>
          <w:color w:val="000000"/>
        </w:rPr>
        <w:t xml:space="preserve">La réforme douanière s’articule autour de trois grands piliers: </w:t>
      </w:r>
    </w:p>
    <w:p w14:paraId="1A045631" w14:textId="77777777" w:rsidR="00447E31" w:rsidRPr="007043C8" w:rsidRDefault="00447E31" w:rsidP="00447E31">
      <w:pPr>
        <w:pStyle w:val="ListParagraph"/>
        <w:numPr>
          <w:ilvl w:val="0"/>
          <w:numId w:val="33"/>
        </w:numPr>
        <w:autoSpaceDE w:val="0"/>
        <w:autoSpaceDN w:val="0"/>
        <w:adjustRightInd w:val="0"/>
        <w:ind w:left="714" w:hanging="357"/>
        <w:contextualSpacing w:val="0"/>
        <w:rPr>
          <w:rFonts w:eastAsiaTheme="minorEastAsia"/>
          <w:noProof/>
          <w:color w:val="000000"/>
        </w:rPr>
      </w:pPr>
      <w:r>
        <w:rPr>
          <w:b/>
          <w:noProof/>
          <w:color w:val="000000"/>
        </w:rPr>
        <w:t>une gestion plus intelligente des risques et des contrôles douaniers grâce à la création d’une Autorité douanière de l’UE et d’une plateforme des données douanières de l’UE:</w:t>
      </w:r>
      <w:r>
        <w:rPr>
          <w:noProof/>
          <w:color w:val="000000"/>
          <w:sz w:val="24"/>
        </w:rPr>
        <w:t xml:space="preserve"> </w:t>
      </w:r>
      <w:r>
        <w:rPr>
          <w:noProof/>
          <w:color w:val="000000"/>
        </w:rPr>
        <w:t xml:space="preserve">elle permettra de numériser et de simplifier les procédures, de réduire les coûts et les formalités administratives, de promouvoir une approche plus uniforme aux frontières extérieures et de mieux protéger le marché unique grâce à une gestion des risques et à une application des règles plus fortes et fondées sur les données; </w:t>
      </w:r>
    </w:p>
    <w:p w14:paraId="336B5C76" w14:textId="77777777" w:rsidR="00447E31" w:rsidRPr="007043C8" w:rsidRDefault="00447E31" w:rsidP="00447E31">
      <w:pPr>
        <w:pStyle w:val="ListParagraph"/>
        <w:numPr>
          <w:ilvl w:val="0"/>
          <w:numId w:val="33"/>
        </w:numPr>
        <w:autoSpaceDE w:val="0"/>
        <w:autoSpaceDN w:val="0"/>
        <w:adjustRightInd w:val="0"/>
        <w:ind w:left="714" w:hanging="357"/>
        <w:contextualSpacing w:val="0"/>
        <w:rPr>
          <w:rFonts w:eastAsiaTheme="minorEastAsia"/>
          <w:noProof/>
          <w:color w:val="000000"/>
        </w:rPr>
      </w:pPr>
      <w:r>
        <w:rPr>
          <w:b/>
          <w:noProof/>
          <w:color w:val="000000"/>
        </w:rPr>
        <w:t>un partenariat renforcé avec les entreprises:</w:t>
      </w:r>
      <w:r>
        <w:rPr>
          <w:noProof/>
          <w:color w:val="000000"/>
        </w:rPr>
        <w:t xml:space="preserve"> un nouveau partenariat avec les opérateurs commerciaux, fondé sur des processus transparents, qui permettra aux flux commerciaux conformes de fonctionner sans interaction douanière formelle et allégera la charge administrative correspondante; </w:t>
      </w:r>
    </w:p>
    <w:p w14:paraId="38C6D95C" w14:textId="77777777" w:rsidR="00447E31" w:rsidRPr="007043C8" w:rsidRDefault="00447E31" w:rsidP="00447E31">
      <w:pPr>
        <w:pStyle w:val="ListParagraph"/>
        <w:numPr>
          <w:ilvl w:val="0"/>
          <w:numId w:val="33"/>
        </w:numPr>
        <w:autoSpaceDE w:val="0"/>
        <w:autoSpaceDN w:val="0"/>
        <w:adjustRightInd w:val="0"/>
        <w:ind w:left="714" w:hanging="357"/>
        <w:contextualSpacing w:val="0"/>
        <w:rPr>
          <w:rFonts w:eastAsiaTheme="minorEastAsia"/>
          <w:noProof/>
          <w:color w:val="000000"/>
        </w:rPr>
      </w:pPr>
      <w:r>
        <w:rPr>
          <w:b/>
          <w:noProof/>
          <w:color w:val="000000"/>
        </w:rPr>
        <w:t>un cadre moderne pour le commerce électronique:</w:t>
      </w:r>
      <w:r>
        <w:rPr>
          <w:noProof/>
          <w:color w:val="000000"/>
        </w:rPr>
        <w:t xml:space="preserve"> un régime douanier sur mesure pour le commerce électronique, qui fera des plateformes en ligne les acteurs clés pour garantir que les biens vendus en ligne directement aux consommateurs de l’Union respectent toutes les obligations douanières.</w:t>
      </w:r>
    </w:p>
    <w:p w14:paraId="3F8D64A1" w14:textId="77777777" w:rsidR="00447E31" w:rsidRPr="00E92369" w:rsidRDefault="00447E31" w:rsidP="00447E31">
      <w:pPr>
        <w:pStyle w:val="NormalWeb"/>
        <w:jc w:val="both"/>
        <w:rPr>
          <w:noProof/>
          <w:color w:val="000000"/>
          <w:sz w:val="22"/>
          <w:szCs w:val="22"/>
        </w:rPr>
      </w:pPr>
      <w:r>
        <w:rPr>
          <w:noProof/>
          <w:color w:val="000000"/>
          <w:sz w:val="22"/>
        </w:rPr>
        <w:t xml:space="preserve">Les douanes jouent un rôle essentiel dans la préservation de la sécurité du marché unique et de ses citoyens. Grâce à la réforme douanière, les douanes européennes seront en mesure de s’adapter à l’évolution rapide du commerce international. Dans ce contexte, la réforme prévoit plusieurs mesures ciblées visant à répondre à la croissance rapide du commerce électronique. Entre-temps, </w:t>
      </w:r>
      <w:r>
        <w:rPr>
          <w:b/>
          <w:noProof/>
          <w:color w:val="000000"/>
          <w:sz w:val="22"/>
        </w:rPr>
        <w:t>à titre de solution temporaire</w:t>
      </w:r>
      <w:r>
        <w:rPr>
          <w:noProof/>
          <w:color w:val="000000"/>
          <w:sz w:val="22"/>
        </w:rPr>
        <w:t>, la Commission et les États membres sont convenus, en novembre 2025, de supprimer l’exonération de droits qui était en vigueur jusqu’à présent pour les colis d’une valeur inférieure à 150 EUR et d’</w:t>
      </w:r>
      <w:hyperlink r:id="rId18" w:tgtFrame="_blank" w:history="1">
        <w:r>
          <w:rPr>
            <w:noProof/>
            <w:color w:val="000000"/>
            <w:sz w:val="22"/>
          </w:rPr>
          <w:t>introduire un droit de 3 EUR</w:t>
        </w:r>
      </w:hyperlink>
      <w:r>
        <w:rPr>
          <w:noProof/>
          <w:color w:val="000000"/>
          <w:sz w:val="22"/>
        </w:rPr>
        <w:t xml:space="preserve"> sur ces colis à partir du 1</w:t>
      </w:r>
      <w:r>
        <w:rPr>
          <w:noProof/>
          <w:color w:val="000000"/>
          <w:sz w:val="22"/>
          <w:vertAlign w:val="superscript"/>
        </w:rPr>
        <w:t>er</w:t>
      </w:r>
      <w:r>
        <w:rPr>
          <w:noProof/>
          <w:color w:val="000000"/>
          <w:sz w:val="22"/>
        </w:rPr>
        <w:t xml:space="preserve"> juillet 2026. La suppression du seuil vise à garantir des conditions de concurrence équitables entre les ventes par voie électronique et le commerce de détail traditionnel, en rétablissant l’équité tout en préservant le choix des consommateurs.  En outre, avec l’accord conclu lors du trilogue du 26 mars, une </w:t>
      </w:r>
      <w:r>
        <w:rPr>
          <w:b/>
          <w:noProof/>
          <w:color w:val="000000"/>
          <w:sz w:val="22"/>
        </w:rPr>
        <w:t>taxe de traitement</w:t>
      </w:r>
      <w:r>
        <w:rPr>
          <w:noProof/>
          <w:color w:val="000000"/>
          <w:sz w:val="22"/>
        </w:rPr>
        <w:t xml:space="preserve"> sur les marchandises de faible valeur importées dans l’UE est en cours d’introduction, afin de compenser l’augmentation des coûts pour les autorités douanières. Cette taxe sera instaurée au plus tard le 1</w:t>
      </w:r>
      <w:r>
        <w:rPr>
          <w:noProof/>
          <w:color w:val="000000"/>
          <w:sz w:val="22"/>
          <w:vertAlign w:val="superscript"/>
        </w:rPr>
        <w:t>er</w:t>
      </w:r>
      <w:r>
        <w:rPr>
          <w:noProof/>
          <w:color w:val="000000"/>
          <w:sz w:val="22"/>
        </w:rPr>
        <w:t xml:space="preserve"> novembre 2026. Une fois que la plateforme des données douanières de l’UE sera pleinement opérationnelle, les droits de douane habituels s’appliqueront. </w:t>
      </w:r>
    </w:p>
    <w:p w14:paraId="446D30C7" w14:textId="357B4A4D" w:rsidR="00A60B00" w:rsidRPr="00447E31" w:rsidRDefault="00447E31" w:rsidP="00447E31">
      <w:pPr>
        <w:pStyle w:val="NormalWeb"/>
        <w:jc w:val="both"/>
        <w:rPr>
          <w:noProof/>
          <w:color w:val="000000"/>
          <w:sz w:val="22"/>
          <w:szCs w:val="22"/>
        </w:rPr>
      </w:pPr>
      <w:r>
        <w:rPr>
          <w:noProof/>
          <w:sz w:val="22"/>
        </w:rPr>
        <w:t xml:space="preserve">Il convient de noter qu’à ce stade, alors que toute l’attention politique se concentre sur la réforme douanière et le commerce électronique, </w:t>
      </w:r>
      <w:r>
        <w:rPr>
          <w:b/>
          <w:noProof/>
          <w:sz w:val="22"/>
        </w:rPr>
        <w:t>le risque existe que les retards dans la mise en œuvre numérique du CDU soient considérés comme de simples retards techniques</w:t>
      </w:r>
      <w:r>
        <w:rPr>
          <w:noProof/>
          <w:sz w:val="22"/>
        </w:rPr>
        <w:t>, tandis que les conséquences systémiques de ces retards pourraient être graves pour l’UE. Des systèmes d’exportation et d’importation défaillants ou qui ne fonctionnent que partiellement pourraient entraîner une congestion aux principaux points d’entrée ou de sortie, provoquant des protestations, des défaillances de la surveillance et des retards dans la chaîne d’approvisionnement. En outre, des données mal alignées pourraient entraîner la mise en circulation de biens à haut risque (biens à double usage, marchandises faisant l’objet de sanctions, importations sous-évaluées) avant une analyse de risque complète, notamment en limitant la capacité de la Commission à détecter les problèmes et à élaborer une stratégie de réaction en temps utile.</w:t>
      </w:r>
    </w:p>
    <w:p w14:paraId="287E46BA" w14:textId="0A6CBE5D" w:rsidR="00A60B00" w:rsidRDefault="00A60B00" w:rsidP="00A60B00">
      <w:pPr>
        <w:autoSpaceDE w:val="0"/>
        <w:autoSpaceDN w:val="0"/>
        <w:adjustRightInd w:val="0"/>
        <w:rPr>
          <w:rFonts w:eastAsiaTheme="minorEastAsia"/>
          <w:noProof/>
          <w:color w:val="000000" w:themeColor="text1"/>
        </w:rPr>
      </w:pPr>
      <w:r>
        <w:rPr>
          <w:b/>
          <w:noProof/>
          <w:color w:val="000000" w:themeColor="text1"/>
        </w:rPr>
        <w:t>L’achèvement en temps utile du programme numérique du CDU est une priorité absolue afin de concrétiser les avantages offerts aux opérateurs dans le cadre du CDU</w:t>
      </w:r>
      <w:r>
        <w:rPr>
          <w:noProof/>
          <w:color w:val="000000" w:themeColor="text1"/>
        </w:rPr>
        <w:t xml:space="preserve">, notamment grâce à une harmonisation accrue des processus, à la numérisation dès la conception, étayée par un modèle de données douanières de l’UE aligné et intégré au niveau international, ainsi qu’à des simplifications considérables pour les opérateurs de confiance. En ce sens, l’achèvement de la mise en œuvre numérique du CDU est essentiel pour soutenir et alimenter la réforme douanière et le développement de la future plateforme des données douanières de l’UE, afin de garantir que les simplifications importantes promises par la réforme douanière s’appuient sur une base solide d’harmonisation et de numérisation. </w:t>
      </w:r>
    </w:p>
    <w:p w14:paraId="35A02679" w14:textId="77777777" w:rsidR="00F51917" w:rsidRPr="00CA6F2D" w:rsidRDefault="00F51917" w:rsidP="00A60B00">
      <w:pPr>
        <w:autoSpaceDE w:val="0"/>
        <w:autoSpaceDN w:val="0"/>
        <w:adjustRightInd w:val="0"/>
        <w:rPr>
          <w:rFonts w:eastAsiaTheme="minorEastAsia"/>
          <w:noProof/>
          <w:color w:val="000000" w:themeColor="text1"/>
          <w:lang w:val="fr-BE"/>
        </w:rPr>
      </w:pPr>
    </w:p>
    <w:p w14:paraId="2D7DB798" w14:textId="13D55443" w:rsidR="007C4CBC" w:rsidRPr="004E1DD0" w:rsidRDefault="007C4CBC" w:rsidP="007C4CBC">
      <w:pPr>
        <w:pStyle w:val="Heading1"/>
        <w:keepLines w:val="0"/>
        <w:numPr>
          <w:ilvl w:val="0"/>
          <w:numId w:val="5"/>
        </w:numPr>
        <w:spacing w:after="240"/>
        <w:ind w:left="567" w:hanging="567"/>
        <w:jc w:val="left"/>
        <w:rPr>
          <w:rFonts w:ascii="Times New Roman" w:eastAsia="Times New Roman" w:hAnsi="Times New Roman" w:cs="Times New Roman"/>
          <w:noProof/>
        </w:rPr>
      </w:pPr>
      <w:bookmarkStart w:id="5" w:name="_Toc52475150"/>
      <w:bookmarkStart w:id="6" w:name="_Ref73536869"/>
      <w:bookmarkStart w:id="7" w:name="_Ref73536875"/>
      <w:bookmarkStart w:id="8" w:name="_Ref73621895"/>
      <w:bookmarkStart w:id="9" w:name="_Ref73621922"/>
      <w:bookmarkStart w:id="10" w:name="_Ref73621936"/>
      <w:bookmarkStart w:id="11" w:name="_Ref137491449"/>
      <w:bookmarkStart w:id="12" w:name="_Toc233968356"/>
      <w:r>
        <w:rPr>
          <w:rFonts w:ascii="Times New Roman" w:hAnsi="Times New Roman"/>
          <w:noProof/>
        </w:rPr>
        <w:t>Résumé</w:t>
      </w:r>
      <w:bookmarkEnd w:id="5"/>
      <w:bookmarkEnd w:id="6"/>
      <w:bookmarkEnd w:id="7"/>
      <w:bookmarkEnd w:id="8"/>
      <w:bookmarkEnd w:id="9"/>
      <w:bookmarkEnd w:id="10"/>
      <w:bookmarkEnd w:id="11"/>
      <w:bookmarkEnd w:id="12"/>
    </w:p>
    <w:p w14:paraId="7DE6303E" w14:textId="74E829B3" w:rsidR="00FA4A06" w:rsidRPr="005A3062" w:rsidRDefault="007C4CBC" w:rsidP="00FA4A06">
      <w:pPr>
        <w:autoSpaceDE w:val="0"/>
        <w:autoSpaceDN w:val="0"/>
        <w:adjustRightInd w:val="0"/>
        <w:rPr>
          <w:rFonts w:eastAsia="Arial"/>
          <w:noProof/>
        </w:rPr>
      </w:pPr>
      <w:r>
        <w:rPr>
          <w:b/>
          <w:noProof/>
        </w:rPr>
        <w:t>La mise en œuvre du CDU en est à sa dernière année, qui sera décisive.</w:t>
      </w:r>
      <w:r>
        <w:rPr>
          <w:noProof/>
        </w:rPr>
        <w:t xml:space="preserve"> Depuis l’adoption du programme de travail du CDU en 2014, les efforts conjoints de la Commission, des États membres et des opérateurs économiques ont joué un rôle déterminant dans la mise en place progressive d'un environnement douanier entièrement numérique. Au début de 2025, 70 % du programme de travail numérique avait été mené à bien. Tout au long de l’année 2025, le processus de mise en œuvre a été marqué par des progrès significatifs et plusieurs étapes majeures ont été franchies tant au niveau des systèmes transeuropéens que des systèmes nationaux, ce qui s’est traduit par une évolution constante vers un paysage de mise en œuvre largement «vert» dans l’ensemble des États membres. Le présent rapport montre que </w:t>
      </w:r>
      <w:r>
        <w:rPr>
          <w:b/>
          <w:noProof/>
        </w:rPr>
        <w:t>la mise en œuvre numérique du CDU était pratiquement achevée à la fin de 2025</w:t>
      </w:r>
      <w:r>
        <w:rPr>
          <w:noProof/>
        </w:rPr>
        <w:t xml:space="preserve">, comme l’illustre la figure 1. Les projets marqués en vert sont terminés; les projets marqués en orange indiquent les zones où moins de 90 % des États membres sont prêts, et ceux marqués en jaune indiquent celles où entre 90 % et 99 % des États membres sont prêts.  </w:t>
      </w:r>
    </w:p>
    <w:p w14:paraId="6613131D" w14:textId="77777777" w:rsidR="00095608" w:rsidRDefault="00095608" w:rsidP="00A47410">
      <w:pPr>
        <w:autoSpaceDE w:val="0"/>
        <w:autoSpaceDN w:val="0"/>
        <w:adjustRightInd w:val="0"/>
        <w:rPr>
          <w:noProof/>
        </w:rPr>
      </w:pPr>
    </w:p>
    <w:p w14:paraId="6925773D" w14:textId="48D4CE5A" w:rsidR="00095608" w:rsidRDefault="00FD3EF9" w:rsidP="00A47410">
      <w:pPr>
        <w:autoSpaceDE w:val="0"/>
        <w:autoSpaceDN w:val="0"/>
        <w:adjustRightInd w:val="0"/>
        <w:rPr>
          <w:noProof/>
        </w:rPr>
      </w:pPr>
      <w:r w:rsidRPr="008B4BB3">
        <w:rPr>
          <w:noProof/>
          <w:lang w:val="en-GB" w:eastAsia="en-GB"/>
        </w:rPr>
        <w:drawing>
          <wp:inline distT="0" distB="0" distL="0" distR="0" wp14:anchorId="26FD1FF3" wp14:editId="4E7338FE">
            <wp:extent cx="5759450" cy="3663315"/>
            <wp:effectExtent l="0" t="0" r="0" b="0"/>
            <wp:docPr id="797752124"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752124" name="Picture 1" descr="A screenshot of a computer screen&#10;&#10;AI-generated content may be incorrect."/>
                    <pic:cNvPicPr/>
                  </pic:nvPicPr>
                  <pic:blipFill>
                    <a:blip r:embed="rId19"/>
                    <a:stretch>
                      <a:fillRect/>
                    </a:stretch>
                  </pic:blipFill>
                  <pic:spPr>
                    <a:xfrm>
                      <a:off x="0" y="0"/>
                      <a:ext cx="5759450" cy="3663315"/>
                    </a:xfrm>
                    <a:prstGeom prst="rect">
                      <a:avLst/>
                    </a:prstGeom>
                  </pic:spPr>
                </pic:pic>
              </a:graphicData>
            </a:graphic>
          </wp:inline>
        </w:drawing>
      </w:r>
    </w:p>
    <w:p w14:paraId="0EAD3F6D" w14:textId="3786A893" w:rsidR="001C73DE" w:rsidRDefault="001C73DE" w:rsidP="001C73DE">
      <w:pPr>
        <w:jc w:val="center"/>
        <w:rPr>
          <w:noProof/>
        </w:rPr>
      </w:pPr>
      <w:r>
        <w:rPr>
          <w:noProof/>
        </w:rPr>
        <w:t xml:space="preserve">Figure 1 — Vue d’ensemble de la planification </w:t>
      </w:r>
    </w:p>
    <w:p w14:paraId="6F679FA5" w14:textId="77777777" w:rsidR="00BE3A13" w:rsidRPr="00CA6F2D" w:rsidRDefault="00BE3A13" w:rsidP="001C73DE">
      <w:pPr>
        <w:jc w:val="center"/>
        <w:rPr>
          <w:noProof/>
          <w:lang w:val="fr-BE"/>
        </w:rPr>
      </w:pPr>
    </w:p>
    <w:p w14:paraId="187821ED" w14:textId="144C9690" w:rsidR="009B38AF" w:rsidRDefault="00BE3A13" w:rsidP="009B38AF">
      <w:pPr>
        <w:autoSpaceDE w:val="0"/>
        <w:autoSpaceDN w:val="0"/>
        <w:adjustRightInd w:val="0"/>
        <w:rPr>
          <w:noProof/>
        </w:rPr>
      </w:pPr>
      <w:r>
        <w:rPr>
          <w:noProof/>
        </w:rPr>
        <w:t xml:space="preserve">À ce jour, </w:t>
      </w:r>
      <w:r>
        <w:rPr>
          <w:b/>
          <w:noProof/>
        </w:rPr>
        <w:t>la mise en œuvre numérique du code des douanes de l’Union (CDU) est en grande partie achevée</w:t>
      </w:r>
      <w:r>
        <w:rPr>
          <w:noProof/>
        </w:rPr>
        <w:t xml:space="preserve">, la grande majorité des systèmes du CDU étant désormais déployés et les États membres travaillant dans un environnement numérique du CDU pleinement intégré. </w:t>
      </w:r>
      <w:r>
        <w:rPr>
          <w:b/>
          <w:noProof/>
        </w:rPr>
        <w:t>À la fin de 2025, 96 % de l’ensemble des systèmes nationaux et 100 % de l’ensemble des systèmes transeuropéens centralisés sont déployés.</w:t>
      </w:r>
      <w:r>
        <w:rPr>
          <w:noProof/>
        </w:rPr>
        <w:t xml:space="preserve"> </w:t>
      </w:r>
      <w:r>
        <w:rPr>
          <w:b/>
          <w:noProof/>
        </w:rPr>
        <w:t>Les défis restants sont limités et propres à chaque pays et à chaque projet.</w:t>
      </w:r>
      <w:r>
        <w:rPr>
          <w:noProof/>
        </w:rPr>
        <w:t xml:space="preserve"> Ils ne concernent plus l’architecture globale du CDU, mais portent sur des retards résiduels ou des questions de transition dans un petit nombre d’États membres. Le projet de dédouanement centralisé à l’importation est le plus critique. Parmi les autres projets nécessitant un suivi spécifique dans certains États membres, il convient de citer: le déploiement du système national de dépôt temporaire et du système national d’importation, ainsi que le déploiement de la composante nationale pour la gestion des garanties, du système automatisé d’exportation (non essentiel), du nouveau système de transit informatisé — phase 5 (non essentiel) et phase 6 (faisant l’objet d’une dérogation jusqu’au 31 mai 2026) et de la preuve du statut douanier de l’Union — phase 2 (faisant l’objet d’une dérogation jusqu’au 1</w:t>
      </w:r>
      <w:r>
        <w:rPr>
          <w:noProof/>
          <w:vertAlign w:val="superscript"/>
        </w:rPr>
        <w:t>er</w:t>
      </w:r>
      <w:r>
        <w:rPr>
          <w:noProof/>
        </w:rPr>
        <w:t> mars 2027).</w:t>
      </w:r>
    </w:p>
    <w:p w14:paraId="56B12DBC" w14:textId="52A236D0" w:rsidR="00BA6F23" w:rsidRDefault="00A47410" w:rsidP="004F1F3C">
      <w:pPr>
        <w:autoSpaceDE w:val="0"/>
        <w:autoSpaceDN w:val="0"/>
        <w:adjustRightInd w:val="0"/>
        <w:rPr>
          <w:noProof/>
        </w:rPr>
      </w:pPr>
      <w:r>
        <w:rPr>
          <w:b/>
          <w:noProof/>
        </w:rPr>
        <w:t>Les activités restantes concernent principalement l’achèvement des mises à niveau finales par certains États membres, les essais ou les validations préalables au déploiement des systèmes, la transition des opérateurs économiques des systèmes récemment déployés et les interconnexions entre les systèmes.</w:t>
      </w:r>
      <w:r>
        <w:rPr>
          <w:noProof/>
        </w:rPr>
        <w:t xml:space="preserve"> Dans ce contexte, la Commission a adopté trois décisions de dérogation en 2025 afin d’assurer la sécurité juridique et la continuité des activités, principalement pour soutenir la transition des opérateurs économiques en vue de la présentation des exigences de l’UE en matière de sécurité aux frontières en combinaison avec le transit [système de contrôle à l’importation (ICS 2) — version 3 et nouveau système de transit informatisé (NSTI) — phase 6] et de la présentation du manifeste douanier des marchandises en tant que preuve du statut douanier de l’Union (PoUS — phase 2). Elles restent limitées en termes de portée et de prolongation des délais, et des mécanismes de suivi détaillés ont été mis en place pour suivre de près les progrès réalisés jusqu’à leur achèvement complet.</w:t>
      </w:r>
    </w:p>
    <w:p w14:paraId="57679B47" w14:textId="27E9B4ED" w:rsidR="009B38AF" w:rsidRPr="007043C8" w:rsidRDefault="00AE04EB" w:rsidP="004F1F3C">
      <w:pPr>
        <w:autoSpaceDE w:val="0"/>
        <w:autoSpaceDN w:val="0"/>
        <w:adjustRightInd w:val="0"/>
        <w:rPr>
          <w:noProof/>
        </w:rPr>
      </w:pPr>
      <w:r>
        <w:rPr>
          <w:noProof/>
        </w:rPr>
        <w:t xml:space="preserve">En outre, </w:t>
      </w:r>
      <w:r>
        <w:rPr>
          <w:b/>
          <w:noProof/>
        </w:rPr>
        <w:t>la Commission a décidé en 2025 d’engager des poursuites judiciaires contre quatorze États membres</w:t>
      </w:r>
      <w:r>
        <w:rPr>
          <w:noProof/>
        </w:rPr>
        <w:t xml:space="preserve"> au total pour manquement à leurs obligations au titre du CDU et de ses actes d’exécution. Ces poursuites concernent deux types principaux de non-conformité: le premier concerne le déploiement de systèmes numériques douaniers (à savoir le régime de dépôt temporaire pour le transport aérien, le système national d’importation, le système automatisé d’exportation, y compris la garantie de l’état de préparation opérationnelle et la migration des systèmes des opérateurs économiques), qui concerne dix États membres au total; et le second concerne la transmission de l’ensemble complet des 57 éléments de données douanières normalisés dans le format requis par l’intermédiaire du système Surveillance, qui est essentiel pour la collecte, le suivi et la gestion des risques liés aux données douanières de l’UE, qui concerne treize États membres au total. </w:t>
      </w:r>
    </w:p>
    <w:p w14:paraId="440D8AF6" w14:textId="77777777" w:rsidR="00E86BEB" w:rsidRPr="007043C8" w:rsidRDefault="00E86BEB" w:rsidP="007043C8">
      <w:pPr>
        <w:autoSpaceDE w:val="0"/>
        <w:autoSpaceDN w:val="0"/>
        <w:adjustRightInd w:val="0"/>
        <w:rPr>
          <w:noProof/>
        </w:rPr>
      </w:pPr>
      <w:r>
        <w:rPr>
          <w:b/>
          <w:noProof/>
        </w:rPr>
        <w:t>Les activités de la Commission en vue d’une combinaison de la planification, de la coordination, du soutien à certains États membres, du suivi et du contrôle de l’application se sont révélées efficaces.</w:t>
      </w:r>
      <w:r>
        <w:rPr>
          <w:noProof/>
        </w:rPr>
        <w:t xml:space="preserve"> </w:t>
      </w:r>
    </w:p>
    <w:p w14:paraId="0ABB4F18" w14:textId="0C40B8C5" w:rsidR="00697BCC" w:rsidRDefault="00AE04EB" w:rsidP="004F1F3C">
      <w:pPr>
        <w:autoSpaceDE w:val="0"/>
        <w:autoSpaceDN w:val="0"/>
        <w:adjustRightInd w:val="0"/>
        <w:rPr>
          <w:noProof/>
        </w:rPr>
      </w:pPr>
      <w:r>
        <w:rPr>
          <w:noProof/>
        </w:rPr>
        <w:t xml:space="preserve">À la fin de 2025, la plupart des États membres concernés étaient parvenus à remédier aux retards de manière appropriée. Avec un ensemble limité de déploiements résiduels s’étendant jusqu’en 2026 et, dans quelques cas spécifiques, jusqu’en 2027, les lacunes restantes sont clairement identifiées, limitées dans le temps et font l’objet d’un suivi étroit. Elles sont couvertes par des décisions de dérogation et/ou font l’objet d’un suivi renforcé et, le cas échéant, de mesures d’exécution renforcées. Dans le même temps, toutefois, les difficultés rencontrées par les États membres dans la mise en œuvre de projets critiques, en particulier les composantes et systèmes nationaux, ont mis en évidence </w:t>
      </w:r>
      <w:r>
        <w:rPr>
          <w:b/>
          <w:noProof/>
        </w:rPr>
        <w:t>la fragilité d’une entreprise commune de transformation numérique complexe, mobilisant la Commission, les 27 États membres et des milliers d’opérateurs économiques autour d’un champ d’application et d’une date d’achèvement convenus d’un commun accord</w:t>
      </w:r>
      <w:r>
        <w:rPr>
          <w:noProof/>
        </w:rPr>
        <w:t xml:space="preserve">.  Cela nécessite l’intégration de nouveaux systèmes aux systèmes existants et l’interopérabilité entre différents domaines, tels que l’exportation suivie du transit. La complexité devient encore plus critique lorsque l’interopérabilité avec d’autres programmes de transformation numérique non douaniers, tels que le système de guichet unique maritime européen, est requise.  </w:t>
      </w:r>
    </w:p>
    <w:p w14:paraId="3E1F5E8E" w14:textId="5FB87FD9" w:rsidR="00972E59" w:rsidRDefault="00697BCC" w:rsidP="00972E59">
      <w:pPr>
        <w:spacing w:beforeAutospacing="1"/>
        <w:rPr>
          <w:rFonts w:eastAsia="Arial"/>
          <w:noProof/>
        </w:rPr>
      </w:pPr>
      <w:r>
        <w:rPr>
          <w:b/>
          <w:noProof/>
        </w:rPr>
        <w:t>En réexaminant l’ensemble des expériences acquises en matière de transformation numérique et de mise en œuvre du programme de travail du CDU sur une période de dix ans, une tendance claire s’est dégagée. Les États membres ont souligné que les difficultés les plus importantes qu’ils ont rencontrées pour mener à bien ces projets étaient les suivantes:</w:t>
      </w:r>
      <w:r>
        <w:rPr>
          <w:noProof/>
        </w:rPr>
        <w:t xml:space="preserve"> 1) des structures de gouvernance permettant une prise de décision rapide, 2) préserver l’engagement des parties prenantes et 3) définir et maintenir un champ d’application clair. </w:t>
      </w:r>
    </w:p>
    <w:p w14:paraId="6073E319" w14:textId="6ECB2723" w:rsidR="00972E59" w:rsidRPr="00972E59" w:rsidRDefault="00FA4A06" w:rsidP="00972E59">
      <w:pPr>
        <w:rPr>
          <w:rFonts w:eastAsia="Arial"/>
          <w:b/>
          <w:bCs/>
          <w:noProof/>
        </w:rPr>
      </w:pPr>
      <w:r>
        <w:rPr>
          <w:b/>
          <w:noProof/>
        </w:rPr>
        <w:t>Dans l’ensemble, l’échéance fixée à la fin 2025 a marqué la clôture formelle de la mise en œuvre numérique du CDU.</w:t>
      </w:r>
      <w:r>
        <w:rPr>
          <w:noProof/>
        </w:rPr>
        <w:t xml:space="preserve"> </w:t>
      </w:r>
      <w:r>
        <w:rPr>
          <w:b/>
          <w:noProof/>
        </w:rPr>
        <w:t>Le cadre numérique central prévu par le CDU étant désormais opérationnel au niveau de l’UE, il s'agit d'une réalisation majeure qui renforcera le contrôle des frontières extérieures de l’UE et des flux commerciaux dans un contexte de fortes turbulences géopolitiques et géoéconomiques.</w:t>
      </w:r>
      <w:r>
        <w:rPr>
          <w:noProof/>
        </w:rPr>
        <w:t xml:space="preserve"> </w:t>
      </w:r>
      <w:r>
        <w:rPr>
          <w:b/>
          <w:noProof/>
        </w:rPr>
        <w:t>L’union douanière est désormais en mesure de passer de la phase de transition et de mise en œuvre à celle de consolidation et de stabilisation, le CDU fournissant une base solide et crédible pour la prochaine réforme douanière.</w:t>
      </w:r>
    </w:p>
    <w:p w14:paraId="23FA2C9F" w14:textId="13F22D1F" w:rsidR="0084206A" w:rsidRPr="004E1DD0" w:rsidRDefault="08A656C1" w:rsidP="7B8E4445">
      <w:pPr>
        <w:pStyle w:val="Heading1"/>
        <w:keepLines w:val="0"/>
        <w:numPr>
          <w:ilvl w:val="0"/>
          <w:numId w:val="5"/>
        </w:numPr>
        <w:spacing w:after="240"/>
        <w:ind w:left="567" w:hanging="567"/>
        <w:jc w:val="left"/>
        <w:rPr>
          <w:rFonts w:ascii="Times New Roman" w:eastAsia="Times New Roman" w:hAnsi="Times New Roman" w:cs="Times New Roman"/>
          <w:noProof/>
        </w:rPr>
      </w:pPr>
      <w:bookmarkStart w:id="13" w:name="_Toc168222736"/>
      <w:bookmarkStart w:id="14" w:name="_Toc233968357"/>
      <w:bookmarkEnd w:id="13"/>
      <w:r>
        <w:rPr>
          <w:rFonts w:ascii="Times New Roman" w:hAnsi="Times New Roman"/>
          <w:noProof/>
        </w:rPr>
        <w:t>Contenu du rapport</w:t>
      </w:r>
      <w:bookmarkEnd w:id="14"/>
    </w:p>
    <w:p w14:paraId="0E847D65" w14:textId="4FC3F8E6" w:rsidR="00A940DE" w:rsidRPr="004E1DD0" w:rsidRDefault="00A940DE" w:rsidP="703B235F">
      <w:pPr>
        <w:widowControl w:val="0"/>
        <w:autoSpaceDE w:val="0"/>
        <w:autoSpaceDN w:val="0"/>
        <w:adjustRightInd w:val="0"/>
        <w:rPr>
          <w:noProof/>
        </w:rPr>
      </w:pPr>
      <w:r>
        <w:rPr>
          <w:noProof/>
        </w:rPr>
        <w:t>Les projets répertoriés dans le PT CDU peuvent être répartis en trois catégories de systèmes sur la base des définitions prévues par le règlement d’exécution établissant des dispositions techniques</w:t>
      </w:r>
      <w:r w:rsidR="00C9300A">
        <w:rPr>
          <w:rStyle w:val="FootnoteReference"/>
          <w:noProof/>
          <w:lang w:val="en-IE" w:eastAsia="en-GB"/>
        </w:rPr>
        <w:footnoteReference w:id="8"/>
      </w:r>
      <w:r>
        <w:rPr>
          <w:noProof/>
        </w:rPr>
        <w:t xml:space="preserve">: </w:t>
      </w:r>
    </w:p>
    <w:p w14:paraId="0BCB3EA5" w14:textId="5E22710C" w:rsidR="00A940DE" w:rsidRPr="004E1DD0" w:rsidRDefault="00DD5B30" w:rsidP="703B235F">
      <w:pPr>
        <w:widowControl w:val="0"/>
        <w:numPr>
          <w:ilvl w:val="0"/>
          <w:numId w:val="10"/>
        </w:numPr>
        <w:autoSpaceDE w:val="0"/>
        <w:autoSpaceDN w:val="0"/>
        <w:adjustRightInd w:val="0"/>
        <w:ind w:left="851" w:hanging="491"/>
        <w:contextualSpacing/>
        <w:rPr>
          <w:noProof/>
        </w:rPr>
      </w:pPr>
      <w:r>
        <w:rPr>
          <w:b/>
          <w:noProof/>
        </w:rPr>
        <w:t>les systèmes centraux transeuropéens</w:t>
      </w:r>
      <w:r>
        <w:rPr>
          <w:noProof/>
        </w:rPr>
        <w:t xml:space="preserve"> devant être conçus ou mis à niveau par la Commission (ils requièrent souvent également le développement ou la mise à niveau des systèmes nationaux par les États membres);</w:t>
      </w:r>
    </w:p>
    <w:p w14:paraId="0F2F0734" w14:textId="115E1E62" w:rsidR="00A940DE" w:rsidRPr="004E1DD0" w:rsidRDefault="00DD5B30" w:rsidP="703B235F">
      <w:pPr>
        <w:widowControl w:val="0"/>
        <w:numPr>
          <w:ilvl w:val="0"/>
          <w:numId w:val="10"/>
        </w:numPr>
        <w:autoSpaceDE w:val="0"/>
        <w:autoSpaceDN w:val="0"/>
        <w:adjustRightInd w:val="0"/>
        <w:ind w:left="851" w:hanging="491"/>
        <w:contextualSpacing/>
        <w:rPr>
          <w:noProof/>
        </w:rPr>
      </w:pPr>
      <w:r>
        <w:rPr>
          <w:b/>
          <w:noProof/>
        </w:rPr>
        <w:t>les systèmes transeuropéens décentralisés</w:t>
      </w:r>
      <w:r>
        <w:rPr>
          <w:noProof/>
        </w:rPr>
        <w:t xml:space="preserve"> devant être conçus ou mis à niveau par la Commission, mais qui présentent une composante nationale essentielle devant être mise en œuvre par les États membres;</w:t>
      </w:r>
    </w:p>
    <w:p w14:paraId="0B7BC8CD" w14:textId="087CF5B1" w:rsidR="00C41DF5" w:rsidRPr="004E1DD0" w:rsidRDefault="00DD5B30" w:rsidP="703B235F">
      <w:pPr>
        <w:widowControl w:val="0"/>
        <w:numPr>
          <w:ilvl w:val="0"/>
          <w:numId w:val="10"/>
        </w:numPr>
        <w:autoSpaceDE w:val="0"/>
        <w:autoSpaceDN w:val="0"/>
        <w:adjustRightInd w:val="0"/>
        <w:ind w:left="851" w:hanging="491"/>
        <w:rPr>
          <w:noProof/>
        </w:rPr>
      </w:pPr>
      <w:r>
        <w:rPr>
          <w:b/>
          <w:noProof/>
        </w:rPr>
        <w:t>les systèmes nationaux</w:t>
      </w:r>
      <w:r>
        <w:rPr>
          <w:noProof/>
        </w:rPr>
        <w:t xml:space="preserve"> devant être conçus ou mis à niveau exclusivement par les États membres. </w:t>
      </w:r>
    </w:p>
    <w:p w14:paraId="0E8C44BA" w14:textId="63981DAE" w:rsidR="009B4BC8" w:rsidRPr="004E1DD0" w:rsidRDefault="0061782F" w:rsidP="003029EE">
      <w:pPr>
        <w:widowControl w:val="0"/>
        <w:autoSpaceDE w:val="0"/>
        <w:autoSpaceDN w:val="0"/>
        <w:adjustRightInd w:val="0"/>
        <w:rPr>
          <w:noProof/>
        </w:rPr>
      </w:pPr>
      <w:r>
        <w:rPr>
          <w:noProof/>
        </w:rPr>
        <w:t xml:space="preserve">Le présent rapport explique tout d’abord la méthode de création du rapport et les sources utilisées (section 2), puis couvre brièvement les responsabilités relatives aux systèmes électroniques du CDU (section 4). En outre, il contient une vue d’ensemble des différents projets et de leurs progrès (section 5) et met également en évidence les risques ainsi que les mesures d’atténuation (section 6). </w:t>
      </w:r>
    </w:p>
    <w:p w14:paraId="158D9469" w14:textId="3B627C4E" w:rsidR="007F6AB0" w:rsidRPr="004E1DD0" w:rsidRDefault="007F6AB0" w:rsidP="703B235F">
      <w:pPr>
        <w:autoSpaceDE w:val="0"/>
        <w:autoSpaceDN w:val="0"/>
        <w:adjustRightInd w:val="0"/>
        <w:rPr>
          <w:noProof/>
        </w:rPr>
      </w:pPr>
      <w:r>
        <w:rPr>
          <w:noProof/>
        </w:rPr>
        <w:t xml:space="preserve">Il est </w:t>
      </w:r>
      <w:r>
        <w:rPr>
          <w:b/>
          <w:noProof/>
        </w:rPr>
        <w:t>accompagné d’un document de travail des services de la Commission</w:t>
      </w:r>
      <w:r w:rsidR="00123E71" w:rsidRPr="004E1DD0">
        <w:rPr>
          <w:rStyle w:val="FootnoteReference"/>
          <w:noProof/>
          <w:lang w:val="en-IE"/>
        </w:rPr>
        <w:footnoteReference w:id="9"/>
      </w:r>
      <w:r>
        <w:rPr>
          <w:noProof/>
        </w:rPr>
        <w:t xml:space="preserve"> qui est publié en même temps et qui contient des informations détaillées sur la planification et l’état d’avancement des différents projets communiqués par les États membres à la fin du mois de juin 2025. Ces travaux ont été menés par un contractant externe. Les dernières mises à jour des États membres ont été principalement traitées dans le rapport.</w:t>
      </w:r>
    </w:p>
    <w:p w14:paraId="7782C7EE" w14:textId="3DEFD585" w:rsidR="00203651" w:rsidRPr="004E1DD0" w:rsidRDefault="005B6A3C" w:rsidP="703B235F">
      <w:pPr>
        <w:autoSpaceDE w:val="0"/>
        <w:autoSpaceDN w:val="0"/>
        <w:adjustRightInd w:val="0"/>
        <w:rPr>
          <w:rFonts w:eastAsiaTheme="minorEastAsia"/>
          <w:b/>
          <w:bCs/>
          <w:noProof/>
          <w:color w:val="000000"/>
        </w:rPr>
      </w:pPr>
      <w:r>
        <w:rPr>
          <w:noProof/>
        </w:rPr>
        <w:t xml:space="preserve">Le rapport et le document de travail des services de la Commission sont établis sur la base des informations recueillies à partir des </w:t>
      </w:r>
      <w:r>
        <w:rPr>
          <w:b/>
          <w:noProof/>
        </w:rPr>
        <w:t>sources</w:t>
      </w:r>
      <w:r>
        <w:rPr>
          <w:noProof/>
        </w:rPr>
        <w:t xml:space="preserve"> suivantes:</w:t>
      </w:r>
      <w:r>
        <w:rPr>
          <w:b/>
          <w:noProof/>
          <w:color w:val="000000"/>
        </w:rPr>
        <w:t xml:space="preserve"> </w:t>
      </w:r>
    </w:p>
    <w:p w14:paraId="6BE5BA38" w14:textId="007FA16B" w:rsidR="001649B6" w:rsidRPr="004E1DD0" w:rsidRDefault="00A33633" w:rsidP="009B4BC8">
      <w:pPr>
        <w:autoSpaceDE w:val="0"/>
        <w:autoSpaceDN w:val="0"/>
        <w:adjustRightInd w:val="0"/>
        <w:ind w:firstLine="709"/>
        <w:rPr>
          <w:rFonts w:eastAsiaTheme="minorEastAsia"/>
          <w:noProof/>
          <w:color w:val="000000"/>
        </w:rPr>
      </w:pPr>
      <w:r>
        <w:rPr>
          <w:b/>
          <w:noProof/>
          <w:color w:val="000000" w:themeColor="text1"/>
        </w:rPr>
        <w:t>1)</w:t>
      </w:r>
      <w:r>
        <w:rPr>
          <w:noProof/>
          <w:color w:val="000000" w:themeColor="text1"/>
        </w:rPr>
        <w:t xml:space="preserve"> les </w:t>
      </w:r>
      <w:r>
        <w:rPr>
          <w:b/>
          <w:noProof/>
          <w:color w:val="000000" w:themeColor="text1"/>
        </w:rPr>
        <w:t>plans de projet nationaux</w:t>
      </w:r>
      <w:r>
        <w:rPr>
          <w:noProof/>
          <w:color w:val="000000" w:themeColor="text1"/>
        </w:rPr>
        <w:t xml:space="preserve"> que les États membres sont tenus de présenter deux fois par an (en janvier et en juin), et une nouvelle mise à jour a été demandée vers la fin de 2025.</w:t>
      </w:r>
    </w:p>
    <w:p w14:paraId="12672D57" w14:textId="4F5D4400" w:rsidR="000A5E61" w:rsidRPr="004E1DD0" w:rsidRDefault="00741B50" w:rsidP="703B235F">
      <w:pPr>
        <w:autoSpaceDE w:val="0"/>
        <w:autoSpaceDN w:val="0"/>
        <w:adjustRightInd w:val="0"/>
        <w:rPr>
          <w:rFonts w:eastAsiaTheme="minorEastAsia"/>
          <w:b/>
          <w:bCs/>
          <w:noProof/>
          <w:color w:val="000000"/>
        </w:rPr>
      </w:pPr>
      <w:r>
        <w:rPr>
          <w:noProof/>
        </w:rPr>
        <w:t>Les informations recueillies pour chaque projet comprennent des dates spécifiques, le statut et l’état d’avancement de chacune des étapes fixées dans le PT CDU;</w:t>
      </w:r>
      <w:r>
        <w:rPr>
          <w:b/>
          <w:noProof/>
          <w:color w:val="000000" w:themeColor="text1"/>
        </w:rPr>
        <w:t xml:space="preserve"> </w:t>
      </w:r>
    </w:p>
    <w:p w14:paraId="3B36091C" w14:textId="046210E5" w:rsidR="002F1887" w:rsidRPr="004E1DD0" w:rsidRDefault="00A33633" w:rsidP="009B4BC8">
      <w:pPr>
        <w:autoSpaceDE w:val="0"/>
        <w:autoSpaceDN w:val="0"/>
        <w:adjustRightInd w:val="0"/>
        <w:ind w:firstLine="709"/>
        <w:rPr>
          <w:rFonts w:eastAsiaTheme="minorEastAsia"/>
          <w:noProof/>
          <w:color w:val="000000" w:themeColor="text1"/>
        </w:rPr>
      </w:pPr>
      <w:r>
        <w:rPr>
          <w:b/>
          <w:noProof/>
          <w:color w:val="000000" w:themeColor="text1"/>
        </w:rPr>
        <w:t>2)</w:t>
      </w:r>
      <w:r>
        <w:rPr>
          <w:noProof/>
          <w:color w:val="000000" w:themeColor="text1"/>
        </w:rPr>
        <w:t> l’</w:t>
      </w:r>
      <w:r>
        <w:rPr>
          <w:b/>
          <w:noProof/>
          <w:color w:val="000000" w:themeColor="text1"/>
        </w:rPr>
        <w:t>enquête</w:t>
      </w:r>
      <w:r>
        <w:rPr>
          <w:noProof/>
          <w:color w:val="000000" w:themeColor="text1"/>
        </w:rPr>
        <w:t xml:space="preserve"> diffusée aux États membres.</w:t>
      </w:r>
    </w:p>
    <w:p w14:paraId="19746653" w14:textId="0125F87D" w:rsidR="005B7D2B" w:rsidRPr="004E1DD0" w:rsidRDefault="18C78C98" w:rsidP="703B235F">
      <w:pPr>
        <w:autoSpaceDE w:val="0"/>
        <w:autoSpaceDN w:val="0"/>
        <w:adjustRightInd w:val="0"/>
        <w:rPr>
          <w:rFonts w:eastAsiaTheme="minorEastAsia"/>
          <w:noProof/>
          <w:color w:val="000000"/>
        </w:rPr>
      </w:pPr>
      <w:r>
        <w:rPr>
          <w:noProof/>
          <w:color w:val="000000" w:themeColor="text1"/>
        </w:rPr>
        <w:t xml:space="preserve">Ces informations portaient sur l’évaluation des risques, des retards et des raisons de ces retards, ainsi que sur les mesures d’atténuation prévues et/ou prises en rapport avec les projets. De plus, dans la continuité de l’approche adoptée en 2023, les États membres ont également fourni des informations sur les enseignements tirés de l’élaboration des projets et sur la nécessité éventuelle d’un soutien supplémentaire; </w:t>
      </w:r>
    </w:p>
    <w:p w14:paraId="17FE74BE" w14:textId="4C788B0F" w:rsidR="00282B17" w:rsidRPr="004E1DD0" w:rsidRDefault="00E0026F" w:rsidP="009B4BC8">
      <w:pPr>
        <w:autoSpaceDE w:val="0"/>
        <w:autoSpaceDN w:val="0"/>
        <w:adjustRightInd w:val="0"/>
        <w:ind w:firstLine="709"/>
        <w:rPr>
          <w:rFonts w:eastAsiaTheme="minorEastAsia"/>
          <w:noProof/>
          <w:color w:val="000000"/>
        </w:rPr>
      </w:pPr>
      <w:r>
        <w:rPr>
          <w:b/>
          <w:noProof/>
          <w:color w:val="000000" w:themeColor="text1"/>
        </w:rPr>
        <w:t>3)</w:t>
      </w:r>
      <w:r>
        <w:rPr>
          <w:noProof/>
          <w:color w:val="000000" w:themeColor="text1"/>
        </w:rPr>
        <w:t xml:space="preserve"> les </w:t>
      </w:r>
      <w:r>
        <w:rPr>
          <w:b/>
          <w:noProof/>
          <w:color w:val="000000" w:themeColor="text1"/>
        </w:rPr>
        <w:t>réunions bilatérales de haut niveau</w:t>
      </w:r>
      <w:r>
        <w:rPr>
          <w:noProof/>
          <w:color w:val="000000" w:themeColor="text1"/>
        </w:rPr>
        <w:t xml:space="preserve"> avec les États membres.</w:t>
      </w:r>
    </w:p>
    <w:p w14:paraId="0030A75D" w14:textId="4C742AF9" w:rsidR="009E25AF" w:rsidRPr="004E1DD0" w:rsidRDefault="005F3B79" w:rsidP="703B235F">
      <w:pPr>
        <w:autoSpaceDE w:val="0"/>
        <w:autoSpaceDN w:val="0"/>
        <w:adjustRightInd w:val="0"/>
        <w:rPr>
          <w:rFonts w:eastAsiaTheme="minorEastAsia"/>
          <w:noProof/>
          <w:color w:val="000000"/>
        </w:rPr>
      </w:pPr>
      <w:r>
        <w:rPr>
          <w:noProof/>
          <w:color w:val="000000" w:themeColor="text1"/>
        </w:rPr>
        <w:t xml:space="preserve">Au cours des réunions bilatérales, les États membres acquièrent une compréhension complète et précise de l’état d’avancement de chacun des projets relevant du CDU, y compris les difficultés qu’ils ont rencontrées, et des idées sont formulées pour améliorer les situations problématiques; </w:t>
      </w:r>
    </w:p>
    <w:p w14:paraId="1630AD3F" w14:textId="299C754C" w:rsidR="00737D37" w:rsidRPr="004E1DD0" w:rsidRDefault="00737D37" w:rsidP="009B4BC8">
      <w:pPr>
        <w:autoSpaceDE w:val="0"/>
        <w:autoSpaceDN w:val="0"/>
        <w:adjustRightInd w:val="0"/>
        <w:ind w:firstLine="709"/>
        <w:rPr>
          <w:rFonts w:eastAsiaTheme="minorEastAsia"/>
          <w:noProof/>
          <w:color w:val="000000"/>
        </w:rPr>
      </w:pPr>
      <w:r>
        <w:rPr>
          <w:b/>
          <w:noProof/>
          <w:color w:val="000000" w:themeColor="text1"/>
        </w:rPr>
        <w:t>4)</w:t>
      </w:r>
      <w:r>
        <w:rPr>
          <w:noProof/>
          <w:color w:val="000000" w:themeColor="text1"/>
        </w:rPr>
        <w:t xml:space="preserve"> les </w:t>
      </w:r>
      <w:r>
        <w:rPr>
          <w:b/>
          <w:noProof/>
          <w:color w:val="000000" w:themeColor="text1"/>
        </w:rPr>
        <w:t>résultats des programmes transeuropéens de coordination et de suivi</w:t>
      </w:r>
      <w:r>
        <w:rPr>
          <w:noProof/>
          <w:color w:val="000000" w:themeColor="text1"/>
        </w:rPr>
        <w:t>.</w:t>
      </w:r>
    </w:p>
    <w:p w14:paraId="13DB0DFC" w14:textId="46F16B36" w:rsidR="00737D37" w:rsidRPr="004E1DD0" w:rsidRDefault="00737D37" w:rsidP="703B235F">
      <w:pPr>
        <w:autoSpaceDE w:val="0"/>
        <w:autoSpaceDN w:val="0"/>
        <w:adjustRightInd w:val="0"/>
        <w:rPr>
          <w:rFonts w:eastAsiaTheme="minorEastAsia"/>
          <w:noProof/>
          <w:color w:val="000000" w:themeColor="text1"/>
        </w:rPr>
      </w:pPr>
      <w:r>
        <w:rPr>
          <w:noProof/>
          <w:color w:val="000000" w:themeColor="text1"/>
        </w:rPr>
        <w:t xml:space="preserve">Le présent rapport contient également une analyse fondée sur des informations </w:t>
      </w:r>
      <w:r>
        <w:rPr>
          <w:noProof/>
        </w:rPr>
        <w:t xml:space="preserve">plus détaillées fournies par les gestionnaires de projet de la direction générale de la fiscalité et de l’union douanière (DG TAXUD) de </w:t>
      </w:r>
      <w:r>
        <w:rPr>
          <w:noProof/>
          <w:color w:val="000000" w:themeColor="text1"/>
        </w:rPr>
        <w:t xml:space="preserve">la Commission et communiquées par les États membres dans le cadre des programmes de coordination en place depuis 2020 pour les systèmes transeuropéens. </w:t>
      </w:r>
    </w:p>
    <w:p w14:paraId="4FB82748" w14:textId="6178DADB" w:rsidR="00282B17" w:rsidRPr="00AA45E7" w:rsidRDefault="76528A86" w:rsidP="7B8E4445">
      <w:pPr>
        <w:pStyle w:val="Heading1"/>
        <w:keepLines w:val="0"/>
        <w:numPr>
          <w:ilvl w:val="0"/>
          <w:numId w:val="5"/>
        </w:numPr>
        <w:spacing w:after="240"/>
        <w:ind w:left="567" w:hanging="567"/>
        <w:jc w:val="left"/>
        <w:rPr>
          <w:rFonts w:ascii="Times New Roman" w:eastAsia="Times New Roman" w:hAnsi="Times New Roman" w:cs="Times New Roman"/>
          <w:noProof/>
        </w:rPr>
      </w:pPr>
      <w:bookmarkStart w:id="15" w:name="_Toc168222738"/>
      <w:bookmarkStart w:id="16" w:name="_Toc117261080"/>
      <w:bookmarkStart w:id="17" w:name="_Toc52475148"/>
      <w:bookmarkStart w:id="18" w:name="_Toc233968358"/>
      <w:bookmarkEnd w:id="15"/>
      <w:bookmarkEnd w:id="16"/>
      <w:r>
        <w:rPr>
          <w:rFonts w:ascii="Times New Roman" w:hAnsi="Times New Roman"/>
          <w:noProof/>
        </w:rPr>
        <w:t>Responsabilités relatives à la mise en œuvre numérique du CDU</w:t>
      </w:r>
      <w:bookmarkEnd w:id="17"/>
      <w:bookmarkEnd w:id="18"/>
    </w:p>
    <w:p w14:paraId="66AF8E8E" w14:textId="21CB20B8" w:rsidR="001520CC" w:rsidRPr="00716841" w:rsidRDefault="28947407" w:rsidP="7B8E4445">
      <w:pPr>
        <w:widowControl w:val="0"/>
        <w:autoSpaceDE w:val="0"/>
        <w:autoSpaceDN w:val="0"/>
        <w:adjustRightInd w:val="0"/>
        <w:rPr>
          <w:rFonts w:eastAsiaTheme="minorEastAsia"/>
          <w:noProof/>
          <w:color w:val="000000"/>
        </w:rPr>
      </w:pPr>
      <w:r>
        <w:rPr>
          <w:noProof/>
          <w:color w:val="000000" w:themeColor="text1"/>
        </w:rPr>
        <w:t xml:space="preserve">En fonction de l’architecture convenue par les États membres et la Commission pour chacun des systèmes (centralisé, décentralisé ou national), un </w:t>
      </w:r>
      <w:r>
        <w:rPr>
          <w:b/>
          <w:noProof/>
          <w:color w:val="000000" w:themeColor="text1"/>
        </w:rPr>
        <w:t>partage des rôles</w:t>
      </w:r>
      <w:r>
        <w:rPr>
          <w:noProof/>
          <w:color w:val="000000" w:themeColor="text1"/>
        </w:rPr>
        <w:t xml:space="preserve"> est défini en ce qui concerne les </w:t>
      </w:r>
      <w:r>
        <w:rPr>
          <w:b/>
          <w:noProof/>
          <w:color w:val="000000" w:themeColor="text1"/>
        </w:rPr>
        <w:t>responsabilités</w:t>
      </w:r>
      <w:r>
        <w:rPr>
          <w:noProof/>
          <w:color w:val="000000" w:themeColor="text1"/>
        </w:rPr>
        <w:t xml:space="preserve"> en matière de développement, de déploiement, d’exploitation et de maintenance des systèmes liés à la mise en œuvre numérique du CDU. C’est ce que prévoit le règlement d’exécution établissant des dispositions techniques, qui décrit les composantes de ces systèmes et leur nature — nationale (mise au point au niveau national) ou commune (mise au point au niveau de l’UE). Du point de vue de l’architecture, les systèmes centraux et décentralisés sont de nature transeuropéenne et contiennent par défaut des composantes communes, parfois en combinaison avec des composantes nationales, tandis que les systèmes nationaux ne sont composés que de composantes nationales. </w:t>
      </w:r>
    </w:p>
    <w:p w14:paraId="4ADA5CD6" w14:textId="77777777" w:rsidR="009B4BC8" w:rsidRDefault="0061782F" w:rsidP="703B235F">
      <w:pPr>
        <w:widowControl w:val="0"/>
        <w:autoSpaceDE w:val="0"/>
        <w:autoSpaceDN w:val="0"/>
        <w:adjustRightInd w:val="0"/>
        <w:rPr>
          <w:rFonts w:eastAsiaTheme="minorEastAsia"/>
          <w:noProof/>
          <w:color w:val="000000" w:themeColor="text1"/>
        </w:rPr>
      </w:pPr>
      <w:r>
        <w:rPr>
          <w:noProof/>
          <w:color w:val="000000" w:themeColor="text1"/>
        </w:rPr>
        <w:t xml:space="preserve">Conformément à l’article 103 de ce même règlement, les </w:t>
      </w:r>
      <w:r>
        <w:rPr>
          <w:b/>
          <w:noProof/>
          <w:color w:val="000000" w:themeColor="text1"/>
        </w:rPr>
        <w:t>composantes communes</w:t>
      </w:r>
      <w:r>
        <w:rPr>
          <w:noProof/>
          <w:color w:val="000000" w:themeColor="text1"/>
        </w:rPr>
        <w:t xml:space="preserve"> sont conçues, testées, déployées et gérées par la Commission, et peuvent être testées par les États membres. Les </w:t>
      </w:r>
      <w:r>
        <w:rPr>
          <w:b/>
          <w:noProof/>
          <w:color w:val="000000" w:themeColor="text1"/>
        </w:rPr>
        <w:t>composantes nationales</w:t>
      </w:r>
      <w:r>
        <w:rPr>
          <w:noProof/>
          <w:color w:val="000000" w:themeColor="text1"/>
        </w:rPr>
        <w:t xml:space="preserve"> sont conçues, testées, déployées et gérées par les États membres. </w:t>
      </w:r>
    </w:p>
    <w:p w14:paraId="48264E25" w14:textId="522A5437" w:rsidR="00AA45E7" w:rsidRPr="004E1DD0" w:rsidRDefault="3955D9FB" w:rsidP="7B8E4445">
      <w:pPr>
        <w:widowControl w:val="0"/>
        <w:autoSpaceDE w:val="0"/>
        <w:autoSpaceDN w:val="0"/>
        <w:adjustRightInd w:val="0"/>
        <w:rPr>
          <w:rFonts w:eastAsiaTheme="minorEastAsia"/>
          <w:noProof/>
          <w:color w:val="000000" w:themeColor="text1"/>
        </w:rPr>
      </w:pPr>
      <w:r>
        <w:rPr>
          <w:noProof/>
          <w:color w:val="000000" w:themeColor="text1"/>
        </w:rPr>
        <w:t>Les États membres veillent à l’interopérabilité des composantes nationales avec les composantes communes. La Commission conçoit et gère les spécifications communes des systèmes décentralisés en étroite coopération avec les États membres. Les États membres conçoivent, exploitent et gèrent des interfaces afin de fournir les fonctionnalités des systèmes décentralisés nécessaires à l’échange d’informations avec les opérateurs économiques et d’autres personnes au moyen des composantes et interfaces nationales, et avec les autres États membres au moyen des composantes communes.</w:t>
      </w:r>
    </w:p>
    <w:p w14:paraId="2E19F7B0" w14:textId="6522FF7E" w:rsidR="00282B17" w:rsidRPr="004E1DD0" w:rsidRDefault="5FB6AE84" w:rsidP="7B8E4445">
      <w:pPr>
        <w:pStyle w:val="Heading1"/>
        <w:keepLines w:val="0"/>
        <w:numPr>
          <w:ilvl w:val="0"/>
          <w:numId w:val="5"/>
        </w:numPr>
        <w:spacing w:after="240"/>
        <w:ind w:left="567" w:hanging="567"/>
        <w:jc w:val="left"/>
        <w:rPr>
          <w:rFonts w:ascii="Times New Roman" w:eastAsia="Times New Roman" w:hAnsi="Times New Roman" w:cs="Times New Roman"/>
          <w:noProof/>
        </w:rPr>
      </w:pPr>
      <w:bookmarkStart w:id="19" w:name="_Toc52475149"/>
      <w:bookmarkStart w:id="20" w:name="_Toc233968359"/>
      <w:r>
        <w:rPr>
          <w:rFonts w:ascii="Times New Roman" w:hAnsi="Times New Roman"/>
          <w:noProof/>
        </w:rPr>
        <w:t>Aperçu général des progrès réalisés dans la mise en œuvre des systèmes électroniques prévus dans le CDU</w:t>
      </w:r>
      <w:bookmarkEnd w:id="19"/>
      <w:bookmarkEnd w:id="20"/>
    </w:p>
    <w:p w14:paraId="353FE917" w14:textId="1927C588" w:rsidR="00282B17" w:rsidRPr="004E1DD0" w:rsidRDefault="00A33633">
      <w:pPr>
        <w:rPr>
          <w:noProof/>
        </w:rPr>
      </w:pPr>
      <w:r>
        <w:rPr>
          <w:noProof/>
        </w:rPr>
        <w:t xml:space="preserve">Le PT CDU comprend dix-sept projets destinés au déploiement des systèmes électroniques requis: quatorze </w:t>
      </w:r>
      <w:r>
        <w:rPr>
          <w:b/>
          <w:noProof/>
        </w:rPr>
        <w:t>projets transeuropéens</w:t>
      </w:r>
      <w:r>
        <w:rPr>
          <w:noProof/>
        </w:rPr>
        <w:t xml:space="preserve"> qui relèvent de la responsabilité de la Commission et des États membres (aboutissant à des systèmes centralisés et décentralisés) et trois </w:t>
      </w:r>
      <w:r>
        <w:rPr>
          <w:b/>
          <w:noProof/>
        </w:rPr>
        <w:t>projets nationaux</w:t>
      </w:r>
      <w:r>
        <w:rPr>
          <w:noProof/>
        </w:rPr>
        <w:t xml:space="preserve"> qui relèvent de la responsabilité exclusive des États membres (aboutissant à des systèmes nationaux).</w:t>
      </w:r>
    </w:p>
    <w:p w14:paraId="2EE0C316" w14:textId="1503521B" w:rsidR="00DA0232" w:rsidRPr="004E1DD0" w:rsidRDefault="3E99AC33" w:rsidP="69104C74">
      <w:pPr>
        <w:pStyle w:val="Heading3"/>
        <w:numPr>
          <w:ilvl w:val="1"/>
          <w:numId w:val="5"/>
        </w:numPr>
        <w:spacing w:before="240" w:after="240"/>
        <w:ind w:left="567" w:hanging="567"/>
        <w:jc w:val="left"/>
        <w:rPr>
          <w:rFonts w:eastAsia="PMingLiU" w:cs="Times New Roman"/>
          <w:caps/>
          <w:noProof/>
        </w:rPr>
      </w:pPr>
      <w:bookmarkStart w:id="21" w:name="_Toc233968360"/>
      <w:r>
        <w:rPr>
          <w:caps/>
          <w:noProof/>
        </w:rPr>
        <w:t>Projets achevés avant 2025</w:t>
      </w:r>
      <w:bookmarkEnd w:id="21"/>
    </w:p>
    <w:p w14:paraId="692C9BEE" w14:textId="562832E9" w:rsidR="00282B17" w:rsidRPr="004E1DD0" w:rsidRDefault="00DE2B1F" w:rsidP="69104C74">
      <w:pPr>
        <w:rPr>
          <w:rFonts w:eastAsiaTheme="minorEastAsia"/>
          <w:noProof/>
        </w:rPr>
      </w:pPr>
      <w:r>
        <w:rPr>
          <w:noProof/>
        </w:rPr>
        <w:t xml:space="preserve">La Commission a mené à bien tous les projets numériques relevant de sa responsabilité. Les États membres ont encore progressé en ce qui concerne les systèmes et les composantes. Comme indiqué dans les rapports précédents, cela a permis le déploiement réussi des douze </w:t>
      </w:r>
      <w:r>
        <w:rPr>
          <w:b/>
          <w:noProof/>
        </w:rPr>
        <w:t>nouveaux systèmes ou mises à niveau</w:t>
      </w:r>
      <w:r>
        <w:rPr>
          <w:noProof/>
        </w:rPr>
        <w:t xml:space="preserve"> suivants: </w:t>
      </w:r>
    </w:p>
    <w:p w14:paraId="6F66D878" w14:textId="6DE0A11F" w:rsidR="00282B17" w:rsidRPr="004E1DD0" w:rsidRDefault="00A33633" w:rsidP="703B235F">
      <w:pPr>
        <w:numPr>
          <w:ilvl w:val="0"/>
          <w:numId w:val="8"/>
        </w:numPr>
        <w:ind w:left="992" w:hanging="567"/>
        <w:jc w:val="left"/>
        <w:rPr>
          <w:noProof/>
        </w:rPr>
      </w:pPr>
      <w:r>
        <w:rPr>
          <w:noProof/>
        </w:rPr>
        <w:t xml:space="preserve">système des exportateurs enregistrés dans le cadre du CDU — </w:t>
      </w:r>
      <w:r>
        <w:rPr>
          <w:i/>
          <w:noProof/>
        </w:rPr>
        <w:t>REX</w:t>
      </w:r>
      <w:r>
        <w:rPr>
          <w:noProof/>
        </w:rPr>
        <w:t xml:space="preserve"> (nouveau): déployé en 2017; </w:t>
      </w:r>
    </w:p>
    <w:p w14:paraId="578B59B8" w14:textId="49160E6D" w:rsidR="00282B17" w:rsidRPr="004E1DD0" w:rsidRDefault="00A33633" w:rsidP="703B235F">
      <w:pPr>
        <w:numPr>
          <w:ilvl w:val="0"/>
          <w:numId w:val="8"/>
        </w:numPr>
        <w:ind w:left="992" w:hanging="567"/>
        <w:jc w:val="left"/>
        <w:rPr>
          <w:noProof/>
        </w:rPr>
      </w:pPr>
      <w:r>
        <w:rPr>
          <w:noProof/>
        </w:rPr>
        <w:t xml:space="preserve">décisions douanières dans le cadre du CDU — </w:t>
      </w:r>
      <w:r>
        <w:rPr>
          <w:i/>
          <w:noProof/>
        </w:rPr>
        <w:t>CDS</w:t>
      </w:r>
      <w:r>
        <w:rPr>
          <w:noProof/>
        </w:rPr>
        <w:t xml:space="preserve"> (nouveau): déployé en 2017;</w:t>
      </w:r>
    </w:p>
    <w:p w14:paraId="17FDD7DD" w14:textId="684FB4BA" w:rsidR="00282B17" w:rsidRPr="004E1DD0" w:rsidRDefault="00A33633" w:rsidP="703B235F">
      <w:pPr>
        <w:numPr>
          <w:ilvl w:val="0"/>
          <w:numId w:val="8"/>
        </w:numPr>
        <w:ind w:left="992" w:hanging="567"/>
        <w:jc w:val="left"/>
        <w:rPr>
          <w:noProof/>
        </w:rPr>
      </w:pPr>
      <w:r>
        <w:rPr>
          <w:noProof/>
        </w:rPr>
        <w:t xml:space="preserve">accès direct des opérateurs aux systèmes d’information européens dans le cadre du CDU — </w:t>
      </w:r>
      <w:r>
        <w:rPr>
          <w:i/>
          <w:noProof/>
        </w:rPr>
        <w:t>UUM&amp;DS</w:t>
      </w:r>
      <w:r>
        <w:rPr>
          <w:noProof/>
        </w:rPr>
        <w:t xml:space="preserve"> (gestion uniforme des utilisateurs et signature numérique) (nouveau): déployé en 2017;</w:t>
      </w:r>
    </w:p>
    <w:p w14:paraId="004F01F8" w14:textId="0FEFCA25" w:rsidR="00282B17" w:rsidRPr="004E1DD0" w:rsidRDefault="00A33633" w:rsidP="703B235F">
      <w:pPr>
        <w:numPr>
          <w:ilvl w:val="0"/>
          <w:numId w:val="8"/>
        </w:numPr>
        <w:ind w:left="992" w:hanging="567"/>
        <w:jc w:val="left"/>
        <w:rPr>
          <w:noProof/>
        </w:rPr>
      </w:pPr>
      <w:r>
        <w:rPr>
          <w:noProof/>
        </w:rPr>
        <w:t xml:space="preserve">version 2 du système d’enregistrement et d’identification des opérateurs économiques dans le cadre du CDU — </w:t>
      </w:r>
      <w:r>
        <w:rPr>
          <w:i/>
          <w:noProof/>
        </w:rPr>
        <w:t>EORI2</w:t>
      </w:r>
      <w:r>
        <w:rPr>
          <w:noProof/>
        </w:rPr>
        <w:t xml:space="preserve"> (mise à niveau): déployée en 2018;</w:t>
      </w:r>
    </w:p>
    <w:p w14:paraId="720B41E9" w14:textId="26DFDE51" w:rsidR="00282B17" w:rsidRPr="004E1DD0" w:rsidRDefault="00A33633" w:rsidP="703B235F">
      <w:pPr>
        <w:numPr>
          <w:ilvl w:val="0"/>
          <w:numId w:val="8"/>
        </w:numPr>
        <w:ind w:left="992" w:hanging="567"/>
        <w:jc w:val="left"/>
        <w:rPr>
          <w:noProof/>
        </w:rPr>
      </w:pPr>
      <w:r>
        <w:rPr>
          <w:noProof/>
        </w:rPr>
        <w:t xml:space="preserve">Surveillance 3 dans le cadre du CDU — </w:t>
      </w:r>
      <w:r>
        <w:rPr>
          <w:i/>
          <w:noProof/>
        </w:rPr>
        <w:t>SURV3</w:t>
      </w:r>
      <w:r>
        <w:rPr>
          <w:noProof/>
        </w:rPr>
        <w:t xml:space="preserve"> (mise à niveau): déployé en 2018</w:t>
      </w:r>
      <w:r w:rsidR="005930B0">
        <w:rPr>
          <w:rStyle w:val="FootnoteReference"/>
          <w:noProof/>
          <w:lang w:val="en-IE"/>
        </w:rPr>
        <w:footnoteReference w:id="10"/>
      </w:r>
      <w:r>
        <w:rPr>
          <w:noProof/>
        </w:rPr>
        <w:t xml:space="preserve">; </w:t>
      </w:r>
    </w:p>
    <w:p w14:paraId="34EC780A" w14:textId="5B97D0E3" w:rsidR="00282B17" w:rsidRPr="004E1DD0" w:rsidRDefault="00A33633" w:rsidP="703B235F">
      <w:pPr>
        <w:numPr>
          <w:ilvl w:val="0"/>
          <w:numId w:val="8"/>
        </w:numPr>
        <w:ind w:left="992" w:hanging="567"/>
        <w:jc w:val="left"/>
        <w:rPr>
          <w:noProof/>
        </w:rPr>
      </w:pPr>
      <w:r>
        <w:rPr>
          <w:noProof/>
        </w:rPr>
        <w:t xml:space="preserve">renseignements tarifaires contraignants dans le cadre du CDU — </w:t>
      </w:r>
      <w:r>
        <w:rPr>
          <w:i/>
          <w:noProof/>
        </w:rPr>
        <w:t>RTC</w:t>
      </w:r>
      <w:r>
        <w:rPr>
          <w:noProof/>
        </w:rPr>
        <w:t xml:space="preserve"> (mise à niveau): déployé en 2019;</w:t>
      </w:r>
    </w:p>
    <w:p w14:paraId="6EC5EB2D" w14:textId="70F231D6" w:rsidR="00282B17" w:rsidRPr="004E1DD0" w:rsidRDefault="00A33633" w:rsidP="703B235F">
      <w:pPr>
        <w:numPr>
          <w:ilvl w:val="0"/>
          <w:numId w:val="8"/>
        </w:numPr>
        <w:ind w:left="992" w:hanging="567"/>
        <w:jc w:val="left"/>
        <w:rPr>
          <w:noProof/>
        </w:rPr>
      </w:pPr>
      <w:r>
        <w:rPr>
          <w:noProof/>
        </w:rPr>
        <w:t xml:space="preserve">opérateurs économiques agréés dans le cadre du CDU — </w:t>
      </w:r>
      <w:r>
        <w:rPr>
          <w:i/>
          <w:noProof/>
        </w:rPr>
        <w:t>OEA</w:t>
      </w:r>
      <w:r>
        <w:rPr>
          <w:noProof/>
        </w:rPr>
        <w:t xml:space="preserve"> (mise à niveau): déployé en 2019;</w:t>
      </w:r>
    </w:p>
    <w:p w14:paraId="39DC0B7E" w14:textId="40A49C3E" w:rsidR="00282B17" w:rsidRPr="004E1DD0" w:rsidRDefault="00A33633" w:rsidP="703B235F">
      <w:pPr>
        <w:numPr>
          <w:ilvl w:val="0"/>
          <w:numId w:val="8"/>
        </w:numPr>
        <w:ind w:left="992" w:hanging="567"/>
        <w:jc w:val="left"/>
        <w:rPr>
          <w:noProof/>
        </w:rPr>
      </w:pPr>
      <w:r>
        <w:rPr>
          <w:noProof/>
        </w:rPr>
        <w:t xml:space="preserve">bulletins d’information pour les régimes particuliers dans le cadre du CDU — </w:t>
      </w:r>
      <w:r>
        <w:rPr>
          <w:i/>
          <w:noProof/>
        </w:rPr>
        <w:t>INF</w:t>
      </w:r>
      <w:r>
        <w:rPr>
          <w:noProof/>
        </w:rPr>
        <w:t xml:space="preserve"> (nouveau): déployé en 2020;</w:t>
      </w:r>
    </w:p>
    <w:p w14:paraId="75593CF5" w14:textId="5D23347A" w:rsidR="00B90964" w:rsidRPr="004E1DD0" w:rsidRDefault="54C90130" w:rsidP="703B235F">
      <w:pPr>
        <w:numPr>
          <w:ilvl w:val="0"/>
          <w:numId w:val="8"/>
        </w:numPr>
        <w:ind w:left="992" w:hanging="567"/>
        <w:jc w:val="left"/>
        <w:rPr>
          <w:noProof/>
        </w:rPr>
      </w:pPr>
      <w:r>
        <w:rPr>
          <w:noProof/>
        </w:rPr>
        <w:t xml:space="preserve">versions 1 et 2 du système de contrôle des importations 2 dans le cadre du CDU — </w:t>
      </w:r>
      <w:r>
        <w:rPr>
          <w:i/>
          <w:noProof/>
        </w:rPr>
        <w:t>versions 1 et 2 de l’ICS 2</w:t>
      </w:r>
      <w:r>
        <w:rPr>
          <w:noProof/>
        </w:rPr>
        <w:t xml:space="preserve"> (mise à niveau): déployées en 2021 et 2023, respectivement.</w:t>
      </w:r>
    </w:p>
    <w:p w14:paraId="24A098C5" w14:textId="3C91B2F4" w:rsidR="1A48AFE9" w:rsidRDefault="1027CEA6" w:rsidP="69104C74">
      <w:pPr>
        <w:numPr>
          <w:ilvl w:val="0"/>
          <w:numId w:val="8"/>
        </w:numPr>
        <w:ind w:left="992" w:hanging="567"/>
        <w:jc w:val="left"/>
        <w:rPr>
          <w:noProof/>
        </w:rPr>
      </w:pPr>
      <w:r>
        <w:rPr>
          <w:noProof/>
        </w:rPr>
        <w:t>Gestion de garantie dans le cadre du CDU — composante 1 — GUM C1 déployée en 2024</w:t>
      </w:r>
    </w:p>
    <w:p w14:paraId="18BE088D" w14:textId="7B76872A" w:rsidR="4E6C5093" w:rsidRDefault="2252F4D7" w:rsidP="7B8E4445">
      <w:pPr>
        <w:numPr>
          <w:ilvl w:val="0"/>
          <w:numId w:val="8"/>
        </w:numPr>
        <w:ind w:left="992" w:hanging="567"/>
        <w:jc w:val="left"/>
        <w:rPr>
          <w:i/>
          <w:iCs/>
          <w:noProof/>
        </w:rPr>
      </w:pPr>
      <w:r>
        <w:rPr>
          <w:noProof/>
        </w:rPr>
        <w:t xml:space="preserve">Preuve du statut douanier de l’Union dans le cadre du CDU, phase 1 — </w:t>
      </w:r>
      <w:r>
        <w:rPr>
          <w:i/>
          <w:iCs/>
          <w:noProof/>
        </w:rPr>
        <w:t>PoUS</w:t>
      </w:r>
      <w:r>
        <w:rPr>
          <w:noProof/>
        </w:rPr>
        <w:t xml:space="preserve"> déployée en 2024</w:t>
      </w:r>
    </w:p>
    <w:p w14:paraId="048FB78E" w14:textId="18B454B1" w:rsidR="7D78CDBF" w:rsidRDefault="644ABE2E" w:rsidP="69104C74">
      <w:pPr>
        <w:numPr>
          <w:ilvl w:val="0"/>
          <w:numId w:val="8"/>
        </w:numPr>
        <w:ind w:left="992" w:hanging="567"/>
        <w:jc w:val="left"/>
        <w:rPr>
          <w:noProof/>
        </w:rPr>
      </w:pPr>
      <w:r>
        <w:rPr>
          <w:noProof/>
        </w:rPr>
        <w:t xml:space="preserve">Phase 5 du nouveau système de transit informatisé dans le cadre du CDU — </w:t>
      </w:r>
      <w:r>
        <w:rPr>
          <w:i/>
          <w:noProof/>
        </w:rPr>
        <w:t>NSTI P5</w:t>
      </w:r>
      <w:r>
        <w:rPr>
          <w:noProof/>
        </w:rPr>
        <w:t xml:space="preserve"> déployée en 2024</w:t>
      </w:r>
    </w:p>
    <w:p w14:paraId="5AC29F02" w14:textId="16F2C8F6" w:rsidR="00B548E7" w:rsidRPr="004E1DD0" w:rsidRDefault="5FB6AE84" w:rsidP="69104C74">
      <w:pPr>
        <w:pStyle w:val="Heading3"/>
        <w:numPr>
          <w:ilvl w:val="1"/>
          <w:numId w:val="5"/>
        </w:numPr>
        <w:spacing w:before="240" w:after="240"/>
        <w:ind w:left="567" w:hanging="567"/>
        <w:jc w:val="left"/>
        <w:rPr>
          <w:rFonts w:eastAsia="PMingLiU" w:cs="Times New Roman"/>
          <w:caps/>
          <w:noProof/>
        </w:rPr>
      </w:pPr>
      <w:bookmarkStart w:id="22" w:name="_Ref201910728"/>
      <w:bookmarkStart w:id="23" w:name="_Toc233968361"/>
      <w:r>
        <w:rPr>
          <w:caps/>
          <w:noProof/>
        </w:rPr>
        <w:t>projets PROGRESS en 2025</w:t>
      </w:r>
      <w:bookmarkEnd w:id="22"/>
      <w:bookmarkEnd w:id="23"/>
    </w:p>
    <w:p w14:paraId="6838848D" w14:textId="5F8C83B7" w:rsidR="008568D2" w:rsidRDefault="2AF932CA">
      <w:pPr>
        <w:rPr>
          <w:noProof/>
        </w:rPr>
      </w:pPr>
      <w:r>
        <w:rPr>
          <w:noProof/>
        </w:rPr>
        <w:t xml:space="preserve">Le présent rapport vise à mettre en évidence les réalisations, les progrès et les difficultés rencontrées dans la mise en œuvre des projets en cours en 2025 par la Commission et les États membres. </w:t>
      </w:r>
    </w:p>
    <w:p w14:paraId="7E8993D6" w14:textId="4315D044" w:rsidR="00B548E7" w:rsidRPr="004E1DD0" w:rsidRDefault="00EE17B3" w:rsidP="703B235F">
      <w:pPr>
        <w:pStyle w:val="Heading4"/>
        <w:keepLines w:val="0"/>
        <w:spacing w:before="240" w:after="240"/>
        <w:ind w:left="567" w:hanging="567"/>
        <w:rPr>
          <w:rFonts w:ascii="Times New Roman" w:eastAsia="Times New Roman" w:hAnsi="Times New Roman" w:cs="Times New Roman"/>
          <w:b/>
          <w:bCs/>
          <w:i w:val="0"/>
          <w:iCs w:val="0"/>
          <w:noProof/>
          <w:color w:val="auto"/>
          <w:sz w:val="24"/>
          <w:szCs w:val="24"/>
        </w:rPr>
      </w:pPr>
      <w:bookmarkStart w:id="24" w:name="_Ref106895189"/>
      <w:r>
        <w:rPr>
          <w:rFonts w:ascii="Times New Roman" w:hAnsi="Times New Roman"/>
          <w:b/>
          <w:i w:val="0"/>
          <w:noProof/>
          <w:color w:val="auto"/>
          <w:sz w:val="24"/>
        </w:rPr>
        <w:t>5.2.1 Projets transeuropéens</w:t>
      </w:r>
      <w:bookmarkEnd w:id="24"/>
    </w:p>
    <w:p w14:paraId="1920548B" w14:textId="2EEB1599" w:rsidR="00E05CB2" w:rsidRPr="004E1DD0" w:rsidRDefault="00263768" w:rsidP="00E05CB2">
      <w:pPr>
        <w:rPr>
          <w:noProof/>
        </w:rPr>
      </w:pPr>
      <w:r>
        <w:rPr>
          <w:noProof/>
        </w:rPr>
        <w:t>Les projets transeuropéens présentent une structure particulière, qui peut comporter un système central ou une combinaison de composantes centrales et nationales. Comme indiqué à l’article 278, paragraphe 3, du CDU, ils doivent être achevés le 31 décembre 2025 au plus tard. Une brève description et l’état d’avancement de chaque projet sont présentés ci-dessous. Pour plus de précisions, veuillez vous reporter aux sections 3 et 4 du document de travail des services de la Commission accompagnant le présent rapport.</w:t>
      </w:r>
    </w:p>
    <w:p w14:paraId="375A4423" w14:textId="6E2F9D5E" w:rsidR="00AE1C36" w:rsidRPr="00AE1C36" w:rsidRDefault="00A33633" w:rsidP="00907801">
      <w:pPr>
        <w:numPr>
          <w:ilvl w:val="0"/>
          <w:numId w:val="9"/>
        </w:numPr>
        <w:ind w:left="567" w:hanging="567"/>
        <w:rPr>
          <w:noProof/>
        </w:rPr>
      </w:pPr>
      <w:r>
        <w:rPr>
          <w:b/>
          <w:noProof/>
        </w:rPr>
        <w:t>Gestion des garanties dans le cadre du CDU</w:t>
      </w:r>
      <w:r>
        <w:rPr>
          <w:noProof/>
        </w:rPr>
        <w:t xml:space="preserve"> — GUM (nouveau): vise à garantir la gestion efficace et efficiente au sein de l’Union de divers types de garanties, en mettant l’accent sur l’amélioration de la rapidité de traitement, de la traçabilité et du suivi des garanties entre les bureaux de douane. </w:t>
      </w:r>
      <w:r>
        <w:rPr>
          <w:noProof/>
          <w:shd w:val="clear" w:color="auto" w:fill="FFFFFF"/>
        </w:rPr>
        <w:t xml:space="preserve">La gestion des garanties s’effectue à deux niveaux. En substance, la composante centrale du projet GUM (volet 1) est utilisée pour la gestion des autorisations de garanties globales (y compris l’enregistrement du montant de référence, ventilé par régime douanier et par État membre concerné), tandis que l’enregistrement et la gestion des garanties globales et le suivi des montants de référence correspondants sont effectués au niveau national dans le cadre d’un volet de gestion des garanties conforme au CDU (volet 2) élaboré au niveau national, qui comprend également l’enregistrement et la gestion d’autres types de garanties. </w:t>
      </w:r>
    </w:p>
    <w:p w14:paraId="05B52996" w14:textId="5F39EDA2" w:rsidR="008D17FD" w:rsidRPr="004E1DD0" w:rsidRDefault="00A33633" w:rsidP="00907801">
      <w:pPr>
        <w:ind w:left="567"/>
        <w:rPr>
          <w:noProof/>
        </w:rPr>
      </w:pPr>
      <w:r>
        <w:rPr>
          <w:b/>
          <w:noProof/>
        </w:rPr>
        <w:t>État d’avancement:</w:t>
      </w:r>
      <w:r>
        <w:rPr>
          <w:noProof/>
        </w:rPr>
        <w:t xml:space="preserve"> le </w:t>
      </w:r>
      <w:r>
        <w:rPr>
          <w:i/>
          <w:noProof/>
        </w:rPr>
        <w:t>volet 1 du projet GUM</w:t>
      </w:r>
      <w:r>
        <w:rPr>
          <w:noProof/>
        </w:rPr>
        <w:t xml:space="preserve">, qui gère de manière centralisée les garanties pouvant être utilisées dans plusieurs États membres, est entré en service le 11 mars 2024 dans le cadre du système de décisions douanières. Compte tenu de l’interconnexion des deux composantes, les essais de conformité restent disponibles jusqu’à ce que les États membres mettent en œuvre le </w:t>
      </w:r>
      <w:r>
        <w:rPr>
          <w:i/>
          <w:noProof/>
        </w:rPr>
        <w:t>volet 2 de leurs systèmes GUM</w:t>
      </w:r>
      <w:r>
        <w:rPr>
          <w:noProof/>
        </w:rPr>
        <w:t xml:space="preserve">. </w:t>
      </w:r>
    </w:p>
    <w:p w14:paraId="12D91B9B" w14:textId="5F697140" w:rsidR="00282B17" w:rsidRPr="00E4198E" w:rsidRDefault="19B11214" w:rsidP="00907801">
      <w:pPr>
        <w:ind w:left="567"/>
        <w:rPr>
          <w:noProof/>
        </w:rPr>
      </w:pPr>
      <w:r>
        <w:rPr>
          <w:noProof/>
        </w:rPr>
        <w:t xml:space="preserve">En ce qui concerne la composante nationale, le </w:t>
      </w:r>
      <w:r>
        <w:rPr>
          <w:i/>
          <w:noProof/>
        </w:rPr>
        <w:t>volet 2 du projet GUM</w:t>
      </w:r>
      <w:r>
        <w:rPr>
          <w:noProof/>
        </w:rPr>
        <w:t xml:space="preserve">, les États membres devaient établir des connexions opérationnelles avec la composante centrale entre le 11 mars 2024 et le 2 juin 2025. Dix États membres ont veillé au déploiement dans les délais de leur composante nationale. </w:t>
      </w:r>
    </w:p>
    <w:p w14:paraId="70C7FE7A" w14:textId="13E65D3A" w:rsidR="75D56115" w:rsidRPr="00101266" w:rsidRDefault="6ECACDEA" w:rsidP="00907801">
      <w:pPr>
        <w:ind w:left="567"/>
        <w:rPr>
          <w:noProof/>
        </w:rPr>
      </w:pPr>
      <w:r>
        <w:rPr>
          <w:noProof/>
        </w:rPr>
        <w:t xml:space="preserve">À la fin de 2025, 21 États membres avaient déployé le </w:t>
      </w:r>
      <w:r>
        <w:rPr>
          <w:i/>
          <w:noProof/>
        </w:rPr>
        <w:t>volet 2 de leurs systèmes GUM</w:t>
      </w:r>
      <w:r>
        <w:rPr>
          <w:noProof/>
        </w:rPr>
        <w:t xml:space="preserve">, soit un </w:t>
      </w:r>
      <w:r>
        <w:rPr>
          <w:b/>
          <w:noProof/>
        </w:rPr>
        <w:t>taux d’achèvement de 78 %</w:t>
      </w:r>
      <w:r>
        <w:rPr>
          <w:noProof/>
        </w:rPr>
        <w:t>. Les six États membres restants (DK, FR, GR, HR, CY et IT) prévoient d’être prêts début 2026</w:t>
      </w:r>
      <w:r w:rsidR="00A26258">
        <w:rPr>
          <w:rStyle w:val="FootnoteReference"/>
          <w:noProof/>
          <w:lang w:val="en-IE"/>
        </w:rPr>
        <w:footnoteReference w:id="11"/>
      </w:r>
      <w:r>
        <w:rPr>
          <w:noProof/>
        </w:rPr>
        <w:t>.</w:t>
      </w:r>
    </w:p>
    <w:p w14:paraId="5BCFC902" w14:textId="7ADFA1FD" w:rsidR="00DD5B30" w:rsidRPr="004E1DD0" w:rsidRDefault="00A33633" w:rsidP="00907801">
      <w:pPr>
        <w:numPr>
          <w:ilvl w:val="0"/>
          <w:numId w:val="9"/>
        </w:numPr>
        <w:ind w:left="567" w:hanging="567"/>
        <w:rPr>
          <w:noProof/>
        </w:rPr>
      </w:pPr>
      <w:r>
        <w:rPr>
          <w:b/>
          <w:noProof/>
        </w:rPr>
        <w:t>Système de contrôle des importations 2 dans le cadre du CDU</w:t>
      </w:r>
      <w:r>
        <w:rPr>
          <w:noProof/>
        </w:rPr>
        <w:t xml:space="preserve"> — </w:t>
      </w:r>
      <w:r>
        <w:rPr>
          <w:i/>
          <w:noProof/>
        </w:rPr>
        <w:t>ICS 2</w:t>
      </w:r>
      <w:r>
        <w:rPr>
          <w:noProof/>
        </w:rPr>
        <w:t xml:space="preserve"> (mise à niveau): vise à renforcer la sécurité et la sûreté de la chaîne d’approvisionnement en améliorant la qualité des données, les fichiers de données, ainsi que la disponibilité et le partage d’informations anticipées sur les marchandises.</w:t>
      </w:r>
    </w:p>
    <w:p w14:paraId="5A07482A" w14:textId="6460C04E" w:rsidR="00C93E24" w:rsidRPr="00101266" w:rsidRDefault="00A33633" w:rsidP="00907801">
      <w:pPr>
        <w:ind w:left="567"/>
        <w:rPr>
          <w:noProof/>
        </w:rPr>
      </w:pPr>
      <w:r>
        <w:rPr>
          <w:b/>
          <w:noProof/>
        </w:rPr>
        <w:t>État d’avancement:</w:t>
      </w:r>
      <w:r>
        <w:rPr>
          <w:noProof/>
        </w:rPr>
        <w:t xml:space="preserve"> La </w:t>
      </w:r>
      <w:r>
        <w:rPr>
          <w:i/>
          <w:noProof/>
        </w:rPr>
        <w:t>version 3 de l’ICS 2</w:t>
      </w:r>
      <w:r>
        <w:rPr>
          <w:noProof/>
        </w:rPr>
        <w:t xml:space="preserve"> étend le champ d’application du transport aérien au trafic maritime et fluvial, routier et ferroviaire. Alors que les versions 1 et 2 sont pleinement mises en œuvre dans le cadre du projet ICS 2, les travaux se sont poursuivis pour la version 3. Les opérateurs économiques doivent utiliser la version 3 de l’ICS 2 en trois étapes: </w:t>
      </w:r>
      <w:r>
        <w:rPr>
          <w:b/>
          <w:noProof/>
        </w:rPr>
        <w:t>les transporteurs par voie maritime et par voies navigables intérieures au plus tard le 4 décembre 2024 (étape 1), le transport par voie maritime et par voies navigables intérieures au plus tard le 1</w:t>
      </w:r>
      <w:r>
        <w:rPr>
          <w:b/>
          <w:noProof/>
          <w:vertAlign w:val="superscript"/>
        </w:rPr>
        <w:t>er</w:t>
      </w:r>
      <w:r>
        <w:rPr>
          <w:b/>
          <w:noProof/>
        </w:rPr>
        <w:t> avril 2025 (étape 2) et les transporteurs routiers et ferroviaires, y compris les marchandises contenues dans des envois postaux transportés par ces moyens de transport, d’ici le 1</w:t>
      </w:r>
      <w:r>
        <w:rPr>
          <w:b/>
          <w:noProof/>
          <w:vertAlign w:val="superscript"/>
        </w:rPr>
        <w:t>er</w:t>
      </w:r>
      <w:r>
        <w:rPr>
          <w:b/>
          <w:noProof/>
        </w:rPr>
        <w:t> septembre 2025 (étape 3)</w:t>
      </w:r>
      <w:r>
        <w:rPr>
          <w:noProof/>
        </w:rPr>
        <w:t xml:space="preserve">. </w:t>
      </w:r>
    </w:p>
    <w:p w14:paraId="57552760" w14:textId="0FEBC3A1" w:rsidR="00F436FD" w:rsidRDefault="004175C3" w:rsidP="00907801">
      <w:pPr>
        <w:ind w:left="567"/>
        <w:rPr>
          <w:noProof/>
        </w:rPr>
      </w:pPr>
      <w:r>
        <w:rPr>
          <w:noProof/>
        </w:rPr>
        <w:t xml:space="preserve">Dans la mesure où il s’agit d’un système central, les essais de conformité pour cette version sont exclusivement effectués par les opérateurs économiques. À la mi-2025, des signes inquiétants ont été observés dans certains États membres en ce qui concerne l’état de préparation des opérateurs économiques pour l’étape 3 de l’ICS 2 — version 3. </w:t>
      </w:r>
    </w:p>
    <w:p w14:paraId="54B5C9B5" w14:textId="77E56511" w:rsidR="006D3B5A" w:rsidRDefault="004175C3" w:rsidP="00907801">
      <w:pPr>
        <w:ind w:left="567"/>
        <w:rPr>
          <w:noProof/>
        </w:rPr>
      </w:pPr>
      <w:r>
        <w:rPr>
          <w:noProof/>
        </w:rPr>
        <w:t xml:space="preserve">Il a été démontré que la nécessité d’intégrer l’ICS 2 aux systèmes de frontières intelligentes, le grand nombre d’opérateurs économiques qui éprouvent des difficultés à se faire enregistrer auprès d’un État membre pour se connecter aux systèmes informatiques, la complexité du déploiement du système ICS 2 et les ressources nécessaires à l’interopérabilité avec les systèmes et interfaces nationaux, tant pour les États membres que pour les opérateurs économiques, ainsi que le caractère spécifique et complexe des mécanismes de transport concernés par ce déploiement, qui comprend des formes multimodales, touchent davantage certains États membres et opérateurs économiques que d’autres. Afin de garantir la sécurité juridique, la continuité opérationnelle et une transition en douceur vers la mise en œuvre des exigences de la version 3, étape 3, de l’ICS 2, la Commission a accordé une dérogation demandée par certains États membres et le Royaume-Uni en ce qui concerne l’Irlande du Nord conformément au règlement (UE) nº 952/2013 du Parlement européen et du Conseil pour la version 3 du système de contrôle des importations 2 (IE, GR, ES, FR, IT, LT, HU, FI et UK en ce qui concerne XI) jusqu’au 31 décembre 2025. </w:t>
      </w:r>
    </w:p>
    <w:p w14:paraId="07D58DFB" w14:textId="16F14212" w:rsidR="00F436FD" w:rsidRPr="00101266" w:rsidRDefault="006D3B5A" w:rsidP="00907801">
      <w:pPr>
        <w:ind w:left="567"/>
        <w:rPr>
          <w:noProof/>
        </w:rPr>
      </w:pPr>
      <w:r>
        <w:rPr>
          <w:noProof/>
        </w:rPr>
        <w:t xml:space="preserve">À la fin de 2025, l’ICS 2 est utilisé dans tous les États membres dans le délai imparti, ce qui signifie un </w:t>
      </w:r>
      <w:r>
        <w:rPr>
          <w:b/>
          <w:noProof/>
        </w:rPr>
        <w:t>taux d’achèvement de 100 %</w:t>
      </w:r>
      <w:r>
        <w:rPr>
          <w:noProof/>
        </w:rPr>
        <w:t xml:space="preserve">, marquant une autre étape importante franchie en 2025. </w:t>
      </w:r>
    </w:p>
    <w:p w14:paraId="62C1C78B" w14:textId="0DD5211A" w:rsidR="00282B17" w:rsidRPr="00C878B2" w:rsidRDefault="00807A18" w:rsidP="00907801">
      <w:pPr>
        <w:pStyle w:val="ListParagraph"/>
        <w:numPr>
          <w:ilvl w:val="0"/>
          <w:numId w:val="9"/>
        </w:numPr>
        <w:ind w:left="588"/>
        <w:rPr>
          <w:noProof/>
        </w:rPr>
      </w:pPr>
      <w:r>
        <w:rPr>
          <w:b/>
          <w:noProof/>
        </w:rPr>
        <w:t>Preuve du statut douanier de l’Union dans le cadre du CDU</w:t>
      </w:r>
      <w:r>
        <w:rPr>
          <w:noProof/>
        </w:rPr>
        <w:t xml:space="preserve"> — </w:t>
      </w:r>
      <w:r>
        <w:rPr>
          <w:i/>
          <w:noProof/>
        </w:rPr>
        <w:t xml:space="preserve">PoUS </w:t>
      </w:r>
      <w:r>
        <w:rPr>
          <w:noProof/>
        </w:rPr>
        <w:t>(nouveau): vise à stocker, gérer et consulter l’ensemble des preuves fournies pour prouver que les opérateurs indiquent le statut douanier de l’Union de leurs marchandises. En raison des interdépendances avec le manifeste douanier des marchandises dans le cadre du CDU (MDM) et avec le système de guichet unique maritime européen (EMSWe), l’achèvement du projet s’effectuera en deux phases distinctes afin de réduire au minimum les risques et les incohérences.</w:t>
      </w:r>
    </w:p>
    <w:p w14:paraId="3F110F24" w14:textId="2BFA346B" w:rsidR="00282B17" w:rsidRPr="00C878B2" w:rsidRDefault="00A33633" w:rsidP="00907801">
      <w:pPr>
        <w:ind w:left="568"/>
        <w:rPr>
          <w:noProof/>
        </w:rPr>
      </w:pPr>
      <w:r>
        <w:rPr>
          <w:b/>
          <w:noProof/>
        </w:rPr>
        <w:t>État d’avancement:</w:t>
      </w:r>
      <w:r>
        <w:rPr>
          <w:noProof/>
        </w:rPr>
        <w:t xml:space="preserve"> les activités de la </w:t>
      </w:r>
      <w:r>
        <w:rPr>
          <w:rStyle w:val="normaltextrun"/>
          <w:i/>
          <w:noProof/>
          <w:color w:val="000000" w:themeColor="text1"/>
        </w:rPr>
        <w:t>phase 1</w:t>
      </w:r>
      <w:r>
        <w:rPr>
          <w:i/>
          <w:noProof/>
        </w:rPr>
        <w:t xml:space="preserve"> du projet </w:t>
      </w:r>
      <w:r>
        <w:rPr>
          <w:rStyle w:val="normaltextrun"/>
          <w:i/>
          <w:noProof/>
          <w:color w:val="000000" w:themeColor="text1"/>
        </w:rPr>
        <w:t>PoUS</w:t>
      </w:r>
      <w:r>
        <w:rPr>
          <w:rStyle w:val="normaltextrun"/>
          <w:noProof/>
          <w:color w:val="000000" w:themeColor="text1"/>
        </w:rPr>
        <w:t xml:space="preserve"> ont commencé le 1</w:t>
      </w:r>
      <w:r>
        <w:rPr>
          <w:rStyle w:val="normaltextrun"/>
          <w:noProof/>
          <w:color w:val="000000" w:themeColor="text1"/>
          <w:vertAlign w:val="superscript"/>
        </w:rPr>
        <w:t>er</w:t>
      </w:r>
      <w:r>
        <w:rPr>
          <w:rStyle w:val="normaltextrun"/>
          <w:noProof/>
          <w:color w:val="000000" w:themeColor="text1"/>
        </w:rPr>
        <w:t> mars 2024 comme prévu.</w:t>
      </w:r>
    </w:p>
    <w:p w14:paraId="5A50CBB1" w14:textId="77777777" w:rsidR="00E05CB2" w:rsidRDefault="00613293" w:rsidP="00907801">
      <w:pPr>
        <w:ind w:left="568"/>
        <w:rPr>
          <w:noProof/>
        </w:rPr>
      </w:pPr>
      <w:r>
        <w:rPr>
          <w:noProof/>
        </w:rPr>
        <w:t xml:space="preserve">En ce qui concerne la </w:t>
      </w:r>
      <w:r>
        <w:rPr>
          <w:i/>
          <w:noProof/>
        </w:rPr>
        <w:t>phase 2</w:t>
      </w:r>
      <w:r>
        <w:rPr>
          <w:noProof/>
        </w:rPr>
        <w:t xml:space="preserve"> du projet </w:t>
      </w:r>
      <w:bookmarkStart w:id="25" w:name="_Hlk159412628"/>
      <w:r>
        <w:rPr>
          <w:i/>
          <w:noProof/>
        </w:rPr>
        <w:t>PoUS</w:t>
      </w:r>
      <w:bookmarkEnd w:id="25"/>
      <w:r>
        <w:rPr>
          <w:noProof/>
        </w:rPr>
        <w:t xml:space="preserve">, la Commission a achevé les spécifications techniques en 2023, et les essais de conformité ont été conclus en 2025. La Commission a veillé à ce que le système central soit opérationnel le 15 août 2025, conformément au délai visé dans le PT CDU. Quelques États membres ont décidé d’utiliser leur système national et de le connecter au système central (mode hybride). Les services douaniers de la Commission et des États membres ont veillé à ce que le projet soit mené à bien dans les délais légaux. Les services maritimes des États membres étaient censés mettre en œuvre l’interconnexion entre la preuve du statut douanier de l’Union et le système de guichet unique maritime européen (EMSWe) afin de faciliter la tâche des opérateurs et de leur permettre de soumettre toutes les données (y compris les données des manifestes douaniers) par l’intermédiaire d’un nouveau portail maritime unique au niveau national. À cette fin, les deux dates de déploiement figurant dans la législation de l’UE ont été alignées. </w:t>
      </w:r>
    </w:p>
    <w:p w14:paraId="3157A776" w14:textId="616AC4C7" w:rsidR="005670BC" w:rsidRPr="00101266" w:rsidRDefault="00E05CB2" w:rsidP="00907801">
      <w:pPr>
        <w:ind w:left="568"/>
        <w:rPr>
          <w:noProof/>
        </w:rPr>
      </w:pPr>
      <w:r>
        <w:rPr>
          <w:noProof/>
        </w:rPr>
        <w:t>Toutefois, en raison de la mise en œuvre tardive de l’EMSWe, les transporteurs maritimes devaient faire face à d’importants obstacles s’ils devaient utiliser la preuve du statut douanier de l’Union (PoUS) sans disposer des guichets uniques maritimes nationaux dans le cadre de l’EMSWe.  La Commission a donc accordé une dérogation en vertu du règlement (UE) nº 952/2013 du Parlement européen et du Conseil pour la phase 2 de la preuve du statut douanier de l’Union à certains États membres (BE, BG, CY, DE, DK, EE, IE, FI, FR, HR, IT, LV, NL, PL, PT, SE et SI) jusqu’au 1</w:t>
      </w:r>
      <w:r>
        <w:rPr>
          <w:noProof/>
          <w:vertAlign w:val="superscript"/>
        </w:rPr>
        <w:t>er</w:t>
      </w:r>
      <w:r>
        <w:rPr>
          <w:noProof/>
        </w:rPr>
        <w:t xml:space="preserve"> mars 2027. </w:t>
      </w:r>
    </w:p>
    <w:p w14:paraId="03252EC8" w14:textId="51053EC9" w:rsidR="00764821" w:rsidRPr="00E86BEB" w:rsidRDefault="00A33633" w:rsidP="0049472A">
      <w:pPr>
        <w:numPr>
          <w:ilvl w:val="0"/>
          <w:numId w:val="9"/>
        </w:numPr>
        <w:ind w:left="567" w:hanging="567"/>
        <w:rPr>
          <w:noProof/>
        </w:rPr>
      </w:pPr>
      <w:bookmarkStart w:id="26" w:name="_Hlk161392667"/>
      <w:bookmarkStart w:id="27" w:name="_Hlk116289904"/>
      <w:r>
        <w:rPr>
          <w:b/>
          <w:noProof/>
        </w:rPr>
        <w:t>Dédouanement centralisé des importations dans le cadre du CDU</w:t>
      </w:r>
      <w:r>
        <w:rPr>
          <w:noProof/>
        </w:rPr>
        <w:t xml:space="preserve"> — Le nouveau </w:t>
      </w:r>
      <w:r>
        <w:rPr>
          <w:i/>
          <w:noProof/>
        </w:rPr>
        <w:t>système DCI</w:t>
      </w:r>
      <w:r>
        <w:rPr>
          <w:noProof/>
        </w:rPr>
        <w:t xml:space="preserve"> transeuropéen assure la numérisation du processus de dédouanement centralisé au niveau européen, tel que défini dans le code des douanes de l’Union (CDU). Il permet aux opérateurs de confiance de présenter une déclaration en douane au bureau de douane de contrôle de l’État membre où ils sont établis, pour les marchandises présentées physiquement à un bureau de douane de tout autre État membre, ce qui permet le traitement de la déclaration en douane et la mainlevée physique des marchandises de manière numérique, efficace, prévisible et coordonnée entre les bureaux de douane situés dans différents États membres. Le système DCI a été mis en œuvre en deux phases.</w:t>
      </w:r>
    </w:p>
    <w:p w14:paraId="2B02E195" w14:textId="44805060" w:rsidR="00764821" w:rsidRDefault="00E80D63" w:rsidP="00907801">
      <w:pPr>
        <w:ind w:left="567"/>
        <w:rPr>
          <w:noProof/>
        </w:rPr>
      </w:pPr>
      <w:r>
        <w:rPr>
          <w:noProof/>
        </w:rPr>
        <w:t xml:space="preserve">La </w:t>
      </w:r>
      <w:r>
        <w:rPr>
          <w:b/>
          <w:i/>
          <w:noProof/>
        </w:rPr>
        <w:t>phase 1 du DCI</w:t>
      </w:r>
      <w:r>
        <w:rPr>
          <w:noProof/>
        </w:rPr>
        <w:t xml:space="preserve"> permet le traitement automatisé des déclarations normales et simplifiées, y compris des déclarations en douane déposées préalablement, ainsi que des déclarations complémentaires à caractère périodique ou général pour le placement des marchandises sous le régime de la mise en libre pratique, de l’entreposage douanier, du perfectionnement actif et de l’utilisation finale. </w:t>
      </w:r>
    </w:p>
    <w:p w14:paraId="723A15B9" w14:textId="480C41C7" w:rsidR="007D0C59" w:rsidRPr="006B5B50" w:rsidRDefault="00E80D63" w:rsidP="00907801">
      <w:pPr>
        <w:ind w:left="567"/>
        <w:rPr>
          <w:noProof/>
        </w:rPr>
      </w:pPr>
      <w:r>
        <w:rPr>
          <w:noProof/>
        </w:rPr>
        <w:t xml:space="preserve">La </w:t>
      </w:r>
      <w:r>
        <w:rPr>
          <w:b/>
          <w:i/>
          <w:noProof/>
        </w:rPr>
        <w:t>phase 2 du DCI</w:t>
      </w:r>
      <w:r>
        <w:rPr>
          <w:noProof/>
        </w:rPr>
        <w:t xml:space="preserve"> s’appuie sur la phase 1 en étendant le champ d’application à tous les scénarios de DCI restants, y compris les types de déclarations et flux de processus plus complexes. Elle vise à achever l’intégration numérique et la fonctionnalité du dédouanement centralisé des importations dans l’ensemble de l’UE. Les deux phases sont liées entre elles et certains États membres ont choisi de mettre en œuvre les deux phases simultanément afin de rationaliser les efforts nationaux.</w:t>
      </w:r>
    </w:p>
    <w:bookmarkEnd w:id="26"/>
    <w:p w14:paraId="44749335" w14:textId="4CECF256" w:rsidR="0015464D" w:rsidRDefault="05444962" w:rsidP="00907801">
      <w:pPr>
        <w:ind w:left="567"/>
        <w:rPr>
          <w:noProof/>
        </w:rPr>
      </w:pPr>
      <w:r>
        <w:rPr>
          <w:b/>
          <w:noProof/>
        </w:rPr>
        <w:t>État d’avancement:</w:t>
      </w:r>
      <w:r>
        <w:rPr>
          <w:noProof/>
        </w:rPr>
        <w:t xml:space="preserve"> Pour la </w:t>
      </w:r>
      <w:r>
        <w:rPr>
          <w:i/>
          <w:noProof/>
        </w:rPr>
        <w:t>phase 1 du DCI</w:t>
      </w:r>
      <w:r>
        <w:rPr>
          <w:noProof/>
        </w:rPr>
        <w:t>, le système est entré dans sa première phase de mise en œuvre le 1</w:t>
      </w:r>
      <w:r>
        <w:rPr>
          <w:noProof/>
          <w:vertAlign w:val="superscript"/>
        </w:rPr>
        <w:t>er</w:t>
      </w:r>
      <w:r>
        <w:rPr>
          <w:noProof/>
        </w:rPr>
        <w:t xml:space="preserve"> juillet 2024 avec l’état de préparation des composantes communes et de certaines composantes nationales. Au 2 juin 2025, le système était accessible aux entreprises européennes dans dix États membres (BG, EE, ES, LU, LT, LV, PL, RO, HR et IT). En octobre 2025, deux autres États membres (BE et SE) avaient rejoint le système du DCI. </w:t>
      </w:r>
    </w:p>
    <w:p w14:paraId="14EEB0A7" w14:textId="47855068" w:rsidR="00DE7E66" w:rsidRPr="00101266" w:rsidRDefault="00101266" w:rsidP="00907801">
      <w:pPr>
        <w:ind w:left="567"/>
        <w:rPr>
          <w:noProof/>
        </w:rPr>
      </w:pPr>
      <w:r>
        <w:rPr>
          <w:noProof/>
        </w:rPr>
        <w:t xml:space="preserve">Comme le montre la figure 2, fin 2025, 17 États membres au total (BE, BG, HR, CY, EE, FI, IE, IT, LV, LT, LU, MT, PL, RO, SI, ES, SE) avaient déployé la phase 1 de leur système de DCI, soit un </w:t>
      </w:r>
      <w:r>
        <w:rPr>
          <w:b/>
          <w:noProof/>
        </w:rPr>
        <w:t>taux d’achèvement de 63 %</w:t>
      </w:r>
      <w:r>
        <w:rPr>
          <w:noProof/>
        </w:rPr>
        <w:t>. Les dix États membres restants (AT, CZ, DE, DK, FR, GR, HU, NL, PT, SK) devraient être déployés tout au long de l’année 2026</w:t>
      </w:r>
      <w:r w:rsidR="00537FEB">
        <w:rPr>
          <w:rStyle w:val="FootnoteReference"/>
          <w:noProof/>
        </w:rPr>
        <w:footnoteReference w:id="12"/>
      </w:r>
      <w:r>
        <w:rPr>
          <w:noProof/>
        </w:rPr>
        <w:t>.</w:t>
      </w:r>
    </w:p>
    <w:p w14:paraId="49AF7823" w14:textId="34CAD5C9" w:rsidR="02BB932C" w:rsidRDefault="02BB932C" w:rsidP="6D7A57F0">
      <w:pPr>
        <w:ind w:left="992"/>
        <w:jc w:val="center"/>
        <w:rPr>
          <w:noProof/>
        </w:rPr>
      </w:pPr>
    </w:p>
    <w:p w14:paraId="5A2D76D3" w14:textId="07FD2F2B" w:rsidR="00373549" w:rsidRPr="004E1DD0" w:rsidRDefault="00FD3EF9" w:rsidP="00447E31">
      <w:pPr>
        <w:ind w:left="992"/>
        <w:jc w:val="left"/>
        <w:rPr>
          <w:noProof/>
        </w:rPr>
      </w:pPr>
      <w:r w:rsidRPr="008B4BB3">
        <w:rPr>
          <w:noProof/>
          <w:lang w:val="en-GB" w:eastAsia="en-GB"/>
        </w:rPr>
        <w:drawing>
          <wp:inline distT="0" distB="0" distL="0" distR="0" wp14:anchorId="17074A15" wp14:editId="0DB1C9B8">
            <wp:extent cx="5101872" cy="3884623"/>
            <wp:effectExtent l="0" t="0" r="3810" b="1905"/>
            <wp:docPr id="1862280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09757" cy="3890627"/>
                    </a:xfrm>
                    <a:prstGeom prst="rect">
                      <a:avLst/>
                    </a:prstGeom>
                    <a:noFill/>
                    <a:ln>
                      <a:noFill/>
                    </a:ln>
                  </pic:spPr>
                </pic:pic>
              </a:graphicData>
            </a:graphic>
          </wp:inline>
        </w:drawing>
      </w:r>
    </w:p>
    <w:p w14:paraId="5780816C" w14:textId="2D233568" w:rsidR="02BB932C" w:rsidRPr="004E1DD0" w:rsidRDefault="4DAC1CDD" w:rsidP="6D7A57F0">
      <w:pPr>
        <w:ind w:left="992"/>
        <w:jc w:val="center"/>
        <w:rPr>
          <w:rFonts w:ascii="Calibri" w:eastAsia="Calibri" w:hAnsi="Calibri" w:cs="Calibri"/>
          <w:i/>
          <w:iCs/>
          <w:noProof/>
        </w:rPr>
      </w:pPr>
      <w:r>
        <w:rPr>
          <w:noProof/>
        </w:rPr>
        <w:t>Figure 2: Mise en service de la phase 1 du DCI dans les États membres (</w:t>
      </w:r>
      <w:r>
        <w:rPr>
          <w:rFonts w:ascii="Calibri" w:hAnsi="Calibri"/>
          <w:i/>
          <w:noProof/>
        </w:rPr>
        <w:t>situation au 31 décembre 2025)</w:t>
      </w:r>
    </w:p>
    <w:p w14:paraId="2690879E" w14:textId="77777777" w:rsidR="00447E31" w:rsidRPr="00CA6F2D" w:rsidRDefault="00447E31" w:rsidP="00D87C61">
      <w:pPr>
        <w:ind w:left="567"/>
        <w:rPr>
          <w:noProof/>
          <w:lang w:val="fr-BE"/>
        </w:rPr>
      </w:pPr>
    </w:p>
    <w:p w14:paraId="7544AA35" w14:textId="16611C8A" w:rsidR="00CE0A2C" w:rsidRPr="00D87C61" w:rsidRDefault="29D80B85" w:rsidP="00D87C61">
      <w:pPr>
        <w:ind w:left="567"/>
        <w:rPr>
          <w:noProof/>
        </w:rPr>
      </w:pPr>
      <w:r>
        <w:rPr>
          <w:noProof/>
        </w:rPr>
        <w:t xml:space="preserve">En ce qui concerne la </w:t>
      </w:r>
      <w:r>
        <w:rPr>
          <w:i/>
          <w:noProof/>
        </w:rPr>
        <w:t>phase 2 du DCI</w:t>
      </w:r>
      <w:r>
        <w:rPr>
          <w:noProof/>
        </w:rPr>
        <w:t xml:space="preserve">, la Commission a arrêté les spécifications techniques en 2022. Afin d’aider les États membres et les opérateurs à mettre en œuvre tous les scénarios et processus du DCI, la Commission a élaboré un </w:t>
      </w:r>
      <w:bookmarkEnd w:id="27"/>
      <w:r>
        <w:rPr>
          <w:noProof/>
        </w:rPr>
        <w:t xml:space="preserve">ensemble complet de spécifications techniques, consolidant les spécifications pour les deux phases, ainsi qu’un guide. L’évaluation réalisée à la mi-2025 a montré que, si la plupart des États membres progressaient dans l’évolution de la situation, un nombre important d’États membres n’avaient pas atteint l’étape finale du déploiement le 2 juin 2025. </w:t>
      </w:r>
    </w:p>
    <w:p w14:paraId="2674C809" w14:textId="606A6E76" w:rsidR="000F0937" w:rsidRPr="00D87C61" w:rsidRDefault="7741598E" w:rsidP="00D87C61">
      <w:pPr>
        <w:ind w:left="567"/>
        <w:rPr>
          <w:noProof/>
        </w:rPr>
      </w:pPr>
      <w:r>
        <w:rPr>
          <w:noProof/>
        </w:rPr>
        <w:t xml:space="preserve">À la fin de 2025, comme le montre la figure 3, le </w:t>
      </w:r>
      <w:r>
        <w:rPr>
          <w:b/>
          <w:noProof/>
        </w:rPr>
        <w:t>taux</w:t>
      </w:r>
      <w:r>
        <w:rPr>
          <w:noProof/>
        </w:rPr>
        <w:t xml:space="preserve"> global </w:t>
      </w:r>
      <w:r>
        <w:rPr>
          <w:b/>
          <w:noProof/>
        </w:rPr>
        <w:t>d’achèvement</w:t>
      </w:r>
      <w:r>
        <w:rPr>
          <w:noProof/>
        </w:rPr>
        <w:t xml:space="preserve"> complet du DCI était </w:t>
      </w:r>
      <w:r>
        <w:rPr>
          <w:b/>
          <w:noProof/>
        </w:rPr>
        <w:t>de 44 %</w:t>
      </w:r>
      <w:r>
        <w:rPr>
          <w:noProof/>
        </w:rPr>
        <w:t xml:space="preserve"> (douze États membres). Sur la base des plans de projet nationaux, la plupart États membres restants envisagent d’achever leurs activités de test de conformité au cours des premiers trimestres de 2026 et prévoient ensuite de déployer l’ensemble complet du DCI, l’Allemagne, le Danemark, la Slovaquie, la Grèce et la République tchèque devant intervenir au cours du premier semestre de 2026</w:t>
      </w:r>
      <w:r w:rsidR="009B7947">
        <w:rPr>
          <w:rStyle w:val="FootnoteReference"/>
          <w:noProof/>
        </w:rPr>
        <w:footnoteReference w:id="13"/>
      </w:r>
      <w:r>
        <w:rPr>
          <w:noProof/>
        </w:rPr>
        <w:t xml:space="preserve"> et l’Autriche, la France, les Pays-Bas, le Portugal et la Hongrie au cours du second semestre. </w:t>
      </w:r>
    </w:p>
    <w:p w14:paraId="042F11B4" w14:textId="1214E32B" w:rsidR="0D619399" w:rsidRPr="00373549" w:rsidRDefault="000F0937" w:rsidP="00373549">
      <w:pPr>
        <w:ind w:firstLine="567"/>
        <w:rPr>
          <w:noProof/>
          <w:color w:val="000000"/>
        </w:rPr>
      </w:pPr>
      <w:r>
        <w:rPr>
          <w:noProof/>
          <w:color w:val="000000"/>
        </w:rPr>
        <w:t>La Commission poursuivra son programme de suivi trimestriel jusqu’à ce que le DCI soit achevé.</w:t>
      </w:r>
    </w:p>
    <w:p w14:paraId="54238773" w14:textId="4C56DF70" w:rsidR="00373549" w:rsidRPr="004E1DD0" w:rsidRDefault="00FD3EF9" w:rsidP="00447E31">
      <w:pPr>
        <w:ind w:left="992"/>
        <w:jc w:val="left"/>
        <w:rPr>
          <w:noProof/>
        </w:rPr>
      </w:pPr>
      <w:r w:rsidRPr="008B4BB3">
        <w:rPr>
          <w:noProof/>
          <w:lang w:val="en-GB" w:eastAsia="en-GB"/>
        </w:rPr>
        <w:drawing>
          <wp:inline distT="0" distB="0" distL="0" distR="0" wp14:anchorId="3BC6B902" wp14:editId="51B45C17">
            <wp:extent cx="5132419" cy="3714355"/>
            <wp:effectExtent l="0" t="0" r="0" b="635"/>
            <wp:docPr id="7725977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44923" cy="3723404"/>
                    </a:xfrm>
                    <a:prstGeom prst="rect">
                      <a:avLst/>
                    </a:prstGeom>
                    <a:noFill/>
                    <a:ln>
                      <a:noFill/>
                    </a:ln>
                  </pic:spPr>
                </pic:pic>
              </a:graphicData>
            </a:graphic>
          </wp:inline>
        </w:drawing>
      </w:r>
    </w:p>
    <w:p w14:paraId="24487F24" w14:textId="22D04271" w:rsidR="1D2FBF8E" w:rsidRDefault="1D2FBF8E" w:rsidP="6D7A57F0">
      <w:pPr>
        <w:ind w:left="992"/>
        <w:jc w:val="center"/>
        <w:rPr>
          <w:rFonts w:ascii="Calibri" w:eastAsia="Calibri" w:hAnsi="Calibri" w:cs="Calibri"/>
          <w:i/>
          <w:iCs/>
          <w:noProof/>
        </w:rPr>
      </w:pPr>
      <w:r>
        <w:rPr>
          <w:noProof/>
        </w:rPr>
        <w:t>Figure 3: Mise en service de la phase 2 du DCI dans les États membres (</w:t>
      </w:r>
      <w:r>
        <w:rPr>
          <w:rFonts w:ascii="Calibri" w:hAnsi="Calibri"/>
          <w:i/>
          <w:noProof/>
        </w:rPr>
        <w:t>situation au 31 décembre 2025).</w:t>
      </w:r>
    </w:p>
    <w:p w14:paraId="4DAF580C" w14:textId="77777777" w:rsidR="00447E31" w:rsidRPr="00CA6F2D" w:rsidRDefault="00447E31" w:rsidP="6D7A57F0">
      <w:pPr>
        <w:ind w:left="992"/>
        <w:jc w:val="center"/>
        <w:rPr>
          <w:noProof/>
          <w:lang w:val="fr-BE"/>
        </w:rPr>
      </w:pPr>
    </w:p>
    <w:p w14:paraId="0EB73D9D" w14:textId="134AB6DB" w:rsidR="005050DB" w:rsidRPr="00E05CB2" w:rsidRDefault="12140BA4" w:rsidP="00E05CB2">
      <w:pPr>
        <w:pStyle w:val="ListParagraph"/>
        <w:numPr>
          <w:ilvl w:val="0"/>
          <w:numId w:val="9"/>
        </w:numPr>
        <w:ind w:left="588"/>
        <w:rPr>
          <w:noProof/>
        </w:rPr>
      </w:pPr>
      <w:r>
        <w:rPr>
          <w:b/>
          <w:noProof/>
        </w:rPr>
        <w:t>Nouveau système de transit informatisé dans le cadre du CDU</w:t>
      </w:r>
      <w:r>
        <w:rPr>
          <w:noProof/>
        </w:rPr>
        <w:t> —</w:t>
      </w:r>
      <w:r>
        <w:rPr>
          <w:b/>
          <w:noProof/>
        </w:rPr>
        <w:t xml:space="preserve"> </w:t>
      </w:r>
      <w:r>
        <w:rPr>
          <w:i/>
          <w:noProof/>
        </w:rPr>
        <w:t>NSTI</w:t>
      </w:r>
      <w:r>
        <w:rPr>
          <w:noProof/>
        </w:rPr>
        <w:t xml:space="preserve"> (mise à niveau): vise à aligner le système de transit commun de l’Union existant sur les dispositions législatives du CDU, notamment sur les exigences du CDU en matière de données et sur les interfaces avec d’autres systèmes.</w:t>
      </w:r>
    </w:p>
    <w:p w14:paraId="362D985E" w14:textId="44D0CD6A" w:rsidR="6D9C2D36" w:rsidRPr="00D91335" w:rsidRDefault="05444962" w:rsidP="00937DA1">
      <w:pPr>
        <w:ind w:left="588"/>
        <w:rPr>
          <w:noProof/>
        </w:rPr>
      </w:pPr>
      <w:r>
        <w:rPr>
          <w:b/>
          <w:noProof/>
        </w:rPr>
        <w:t>État d’avancement:</w:t>
      </w:r>
      <w:r>
        <w:rPr>
          <w:noProof/>
        </w:rPr>
        <w:t xml:space="preserve">  Le système </w:t>
      </w:r>
      <w:r>
        <w:rPr>
          <w:i/>
          <w:noProof/>
        </w:rPr>
        <w:t>NSTI</w:t>
      </w:r>
      <w:r>
        <w:rPr>
          <w:noProof/>
        </w:rPr>
        <w:t xml:space="preserve">, dans sa </w:t>
      </w:r>
      <w:r>
        <w:rPr>
          <w:i/>
          <w:iCs/>
          <w:noProof/>
        </w:rPr>
        <w:t>phase 5</w:t>
      </w:r>
      <w:r>
        <w:rPr>
          <w:noProof/>
        </w:rPr>
        <w:t>, est devenu opérationnel le 2 décembre 2024 et les mesures transitoires ont pris fin le 21 janvier 2025. Tous les États membres utilisent actuellement avec succès la phase 5 du NSTI. Certains États membres doivent encore finaliser les fonctionnalités non essentielles.</w:t>
      </w:r>
    </w:p>
    <w:p w14:paraId="070C885B" w14:textId="24F27B34" w:rsidR="00F90C85" w:rsidRPr="004E1DD0" w:rsidRDefault="00F90C85" w:rsidP="00D87C61">
      <w:pPr>
        <w:ind w:left="588"/>
        <w:rPr>
          <w:noProof/>
        </w:rPr>
      </w:pPr>
      <w:r>
        <w:rPr>
          <w:noProof/>
        </w:rPr>
        <w:t xml:space="preserve">Le nouveau système de transit informatisé (NSTI) continue d’évoluer dans le cadre de la modernisation plus large des processus douaniers dans l’ensemble de l’UE et des pays signataires de la convention relative à un régime de transit commun (CTC). Alors que tous les États membres ont achevé le déploiement de la phase 5 du NSTI le 21 janvier 2025 et qu’au total 41 pays appliquent le transit de l’Union/commun et le NSTI, l’attention s’est désormais portée sur la phase suivante du NSTI. </w:t>
      </w:r>
    </w:p>
    <w:p w14:paraId="31A8B4F0" w14:textId="587987DC" w:rsidR="005C5C2E" w:rsidRPr="005C5C2E" w:rsidRDefault="11044DB4" w:rsidP="00D87C61">
      <w:pPr>
        <w:ind w:left="588"/>
        <w:rPr>
          <w:noProof/>
        </w:rPr>
      </w:pPr>
      <w:r>
        <w:rPr>
          <w:i/>
          <w:noProof/>
        </w:rPr>
        <w:t>Pour la phase 6 du NSTI</w:t>
      </w:r>
      <w:r>
        <w:rPr>
          <w:noProof/>
        </w:rPr>
        <w:t>, deux options sont proposées, et il appartient aux États membres de décider laquelle ils mettront en œuvre: </w:t>
      </w:r>
    </w:p>
    <w:p w14:paraId="303234A7" w14:textId="56FD17AE" w:rsidR="005C5C2E" w:rsidRPr="005C5C2E" w:rsidRDefault="005C5C2E" w:rsidP="005C5C2E">
      <w:pPr>
        <w:numPr>
          <w:ilvl w:val="0"/>
          <w:numId w:val="34"/>
        </w:numPr>
        <w:tabs>
          <w:tab w:val="num" w:pos="720"/>
        </w:tabs>
        <w:rPr>
          <w:noProof/>
        </w:rPr>
      </w:pPr>
      <w:r>
        <w:rPr>
          <w:noProof/>
        </w:rPr>
        <w:t>l’option de non-participation signifie que les énonciations de la déclaration sommaire d’entrée ne figurent pas dans la déclaration de transit et que la déclaration sommaire d’entrée est déposée directement dans l’ICS 2;</w:t>
      </w:r>
    </w:p>
    <w:p w14:paraId="111ABFDD" w14:textId="70D50EC1" w:rsidR="005C5C2E" w:rsidRPr="005C5C2E" w:rsidRDefault="005C5C2E" w:rsidP="005C5C2E">
      <w:pPr>
        <w:numPr>
          <w:ilvl w:val="0"/>
          <w:numId w:val="34"/>
        </w:numPr>
        <w:tabs>
          <w:tab w:val="num" w:pos="720"/>
        </w:tabs>
        <w:rPr>
          <w:noProof/>
        </w:rPr>
      </w:pPr>
      <w:r>
        <w:rPr>
          <w:noProof/>
        </w:rPr>
        <w:t xml:space="preserve">L’option de participation signifie que les énonciations de la déclaration sommaire d’entrée figurent dans la déclaration de transit et que la phase 6 du NSTI est reliée à l’ICS 2 afin de garantir que les exigences de l’ICS 2 concernant les processus opérationnels de la déclaration sommaire d’entrée (analyse de risque, recommandations de contrôle, décisions, etc.) sont également respectées. </w:t>
      </w:r>
    </w:p>
    <w:p w14:paraId="4FEFB3EC" w14:textId="3FD43CBF" w:rsidR="00C1200B" w:rsidRPr="00C1200B" w:rsidRDefault="00C1200B" w:rsidP="00D87C61">
      <w:pPr>
        <w:ind w:left="588"/>
        <w:rPr>
          <w:noProof/>
        </w:rPr>
      </w:pPr>
      <w:r>
        <w:rPr>
          <w:noProof/>
        </w:rPr>
        <w:t>Le calendrier de la phase 6 du NSTI a été synchronisé avec celui de l’ICS 2</w:t>
      </w:r>
      <w:r w:rsidRPr="00D87C61">
        <w:rPr>
          <w:noProof/>
          <w:vertAlign w:val="superscript"/>
        </w:rPr>
        <w:footnoteReference w:id="14"/>
      </w:r>
      <w:r>
        <w:rPr>
          <w:noProof/>
        </w:rPr>
        <w:t>. Au cours du premier semestre de 2025, les États membres ont indiqué progresser de manière satisfaisante, bien que plusieurs d’entre eux aient fait état d’un niveau de risque moyen à élevé quant au déploiement dans les délais d’ici au 1</w:t>
      </w:r>
      <w:r>
        <w:rPr>
          <w:noProof/>
          <w:vertAlign w:val="superscript"/>
        </w:rPr>
        <w:t>er</w:t>
      </w:r>
      <w:r>
        <w:rPr>
          <w:noProof/>
        </w:rPr>
        <w:t xml:space="preserve"> septembre 2025. </w:t>
      </w:r>
    </w:p>
    <w:p w14:paraId="1419C8B5" w14:textId="2124D2F2" w:rsidR="00140FD3" w:rsidRDefault="001C4821" w:rsidP="00D87C61">
      <w:pPr>
        <w:ind w:left="588"/>
        <w:rPr>
          <w:noProof/>
        </w:rPr>
      </w:pPr>
      <w:r>
        <w:rPr>
          <w:noProof/>
        </w:rPr>
        <w:t>Les États membres n’ayant pas réussi à traiter correctement le risque de retards tout au long de l’année 2025, il en a résulté une situation de non-préparation de la phase 6 du NSTI au 1</w:t>
      </w:r>
      <w:r>
        <w:rPr>
          <w:noProof/>
          <w:vertAlign w:val="superscript"/>
        </w:rPr>
        <w:t>er</w:t>
      </w:r>
      <w:r>
        <w:rPr>
          <w:noProof/>
        </w:rPr>
        <w:t> septembre 2025. Pour les États membres qui ont recours à l’option de non-participation, les modifications transitoires minimales ont été traitées au niveau technique. En ce qui concerne l’option de participation volontaire, les retards ont eu une incidence sur les autres États membres et sur les opérateurs économiques, car ceux-ci n’étaient pas en mesure de bénéficier d’une procédure simplifiée de déclaration des données relatives au transit ainsi qu’à la sûreté et à la sécurité. Afin d’éviter une charge supplémentaire pour les opérateurs économiques (y compris ceux des pays voisins tels que l’Ukraine et la Turquie), la Commission a accordé une dérogation à six États membres en vertu du règlement (UE) nº 952/2013 du Parlement européen et du Conseil pour l’utilisation de la phase 6 du nouveau système de transit informatisé jusqu’au 1</w:t>
      </w:r>
      <w:r>
        <w:rPr>
          <w:noProof/>
          <w:vertAlign w:val="superscript"/>
        </w:rPr>
        <w:t>er</w:t>
      </w:r>
      <w:r>
        <w:rPr>
          <w:noProof/>
        </w:rPr>
        <w:t xml:space="preserve"> juin 2026. Ces dérogations prévoient que les opérateurs ferroviaires et routiers peuvent se connecter à l’ICS 2 jusqu’à la fin de 2025 et que la connexion au système de transit (phase 6 du NSTI) en interface avec l’ICS 2 peut avoir lieu jusqu’au 31 mai 2026. Cette prolongation de délai supplémentaire était justifiée, compte tenu de la complexité accrue du développement et des essais requis pour cette interconnexion. La dérogation impose aux États membres l’obligation légale de rendre compte de l’état d’avancement à la Commission. </w:t>
      </w:r>
    </w:p>
    <w:p w14:paraId="125E027A" w14:textId="0D019BC2" w:rsidR="00B53C52" w:rsidRPr="00D8352F" w:rsidRDefault="00F90C85" w:rsidP="00D87C61">
      <w:pPr>
        <w:ind w:left="588"/>
        <w:rPr>
          <w:noProof/>
        </w:rPr>
      </w:pPr>
      <w:bookmarkStart w:id="28" w:name="_Hlk224569905"/>
      <w:r>
        <w:rPr>
          <w:noProof/>
        </w:rPr>
        <w:t>Fin 2025, six États membres avaient bénéficié d’une dérogation formelle (BG, HR, LV, PL, RO, SK) et seize États membres au total (AT, BG, CY, CZ, DE, EE, ES, FI, IE, IT, LT, LU, LV, MT, PT, SI) avaient déployé la phase 6 du NSTI. Compte tenu des dérogations accordées, cela signifie un taux de conformité de 74 %. Le Danemark, la France, la Hongrie et la Suède programment le déploiement de leur système avant le 1</w:t>
      </w:r>
      <w:r>
        <w:rPr>
          <w:noProof/>
          <w:vertAlign w:val="superscript"/>
        </w:rPr>
        <w:t>er</w:t>
      </w:r>
      <w:r>
        <w:rPr>
          <w:noProof/>
        </w:rPr>
        <w:t> mars 2026. Les sept États membres restants (BE, GR, HR, NL, PL, RO et SK) ont l’intention de déployer leur système au plus tard le 1</w:t>
      </w:r>
      <w:r>
        <w:rPr>
          <w:noProof/>
          <w:vertAlign w:val="superscript"/>
        </w:rPr>
        <w:t>er</w:t>
      </w:r>
      <w:r>
        <w:rPr>
          <w:noProof/>
        </w:rPr>
        <w:t> juin 2026, conformément à la prolongation de la dérogation.</w:t>
      </w:r>
    </w:p>
    <w:bookmarkEnd w:id="28"/>
    <w:p w14:paraId="5AC890B4" w14:textId="56CD05A2" w:rsidR="00EA7F7D" w:rsidRPr="00E05CB2" w:rsidRDefault="12140BA4" w:rsidP="00E05CB2">
      <w:pPr>
        <w:pStyle w:val="ListParagraph"/>
        <w:numPr>
          <w:ilvl w:val="0"/>
          <w:numId w:val="9"/>
        </w:numPr>
        <w:ind w:left="588"/>
        <w:rPr>
          <w:noProof/>
        </w:rPr>
      </w:pPr>
      <w:r>
        <w:rPr>
          <w:b/>
          <w:noProof/>
        </w:rPr>
        <w:t>Système automatisé d’exportation dans le cadre du CDU</w:t>
      </w:r>
      <w:r>
        <w:rPr>
          <w:noProof/>
        </w:rPr>
        <w:t xml:space="preserve"> — </w:t>
      </w:r>
      <w:r>
        <w:rPr>
          <w:i/>
          <w:noProof/>
        </w:rPr>
        <w:t>SAE (mise à niveau)</w:t>
      </w:r>
      <w:r>
        <w:rPr>
          <w:noProof/>
        </w:rPr>
        <w:t>: vise à mettre en œuvre les exigences du CDU en matière d’exportations et de sortie de marchandises, ainsi que les simplifications du CDU proposées aux opérateurs.</w:t>
      </w:r>
    </w:p>
    <w:p w14:paraId="48A7A97B" w14:textId="196542D6" w:rsidR="002D0FD4" w:rsidRPr="00D87C61" w:rsidRDefault="00A33633" w:rsidP="00D87C61">
      <w:pPr>
        <w:ind w:left="588"/>
        <w:rPr>
          <w:noProof/>
        </w:rPr>
      </w:pPr>
      <w:r>
        <w:rPr>
          <w:b/>
          <w:noProof/>
        </w:rPr>
        <w:t>État d’avancement:</w:t>
      </w:r>
      <w:r>
        <w:rPr>
          <w:noProof/>
        </w:rPr>
        <w:t xml:space="preserve"> selon le PT CDU 2023, les États membres peuvent déployer le SAE en trois étapes: les fonctionnalités essentielles au plus tard le 1</w:t>
      </w:r>
      <w:r>
        <w:rPr>
          <w:noProof/>
          <w:vertAlign w:val="superscript"/>
        </w:rPr>
        <w:t>er</w:t>
      </w:r>
      <w:r>
        <w:rPr>
          <w:noProof/>
        </w:rPr>
        <w:t xml:space="preserve"> décembre 2023, l’interface avec l’accise au plus tard le 13 février 2024 et les fonctionnalités non essentielles au plus tard le 2 décembre 2024. La période transitoire pour les opérateurs économiques a été prolongée jusqu’au 14 décembre 2025. Toutefois, comme indiqué dans le rapport précédent, le développement complet des composantes nationales par les États membres n’était pas réalisable, étant donné que certains États membres n’ont pas été en mesure de respecter la date limite du 2 décembre 2024 ni la fin de la période transitoire du 11 février 2025 et ont demandé une prolongation des mesures transitoires. Dans ce contexte, la modification juridique du règlement d’exécution relatif aux arrangements techniques, votée le 7 février 2025 au sein du comité du code des douanes et adoptée le 13 mars 2025, comprenait la prolongation de la période transitoire jusqu’au 14 décembre 2025.  </w:t>
      </w:r>
    </w:p>
    <w:p w14:paraId="1FFFE761" w14:textId="203A7A07" w:rsidR="261E34A5" w:rsidRDefault="597B7797" w:rsidP="00D87C61">
      <w:pPr>
        <w:ind w:left="588"/>
        <w:rPr>
          <w:noProof/>
          <w:color w:val="000000" w:themeColor="text1"/>
        </w:rPr>
      </w:pPr>
      <w:r>
        <w:rPr>
          <w:noProof/>
          <w:color w:val="000000" w:themeColor="text1"/>
        </w:rPr>
        <w:t xml:space="preserve">Comme le montre </w:t>
      </w:r>
      <w:r>
        <w:rPr>
          <w:noProof/>
        </w:rPr>
        <w:t>la figure 4, douze États membres ont commencé à utiliser des fonctionnalités essentielles le 1</w:t>
      </w:r>
      <w:r>
        <w:rPr>
          <w:noProof/>
          <w:vertAlign w:val="superscript"/>
        </w:rPr>
        <w:t>er</w:t>
      </w:r>
      <w:r>
        <w:rPr>
          <w:noProof/>
        </w:rPr>
        <w:t xml:space="preserve"> décembre 2023, et d’autres États membres les ont rejoints au cours des années 2024 et 2025. Toutefois, la situation est redevenue critique au cours du second semestre de 2025 en raison du déploiement tardif de certains États membres (HU, PT, MT, FR, GR), ce qui a laissé aux opérateurs économiques une marge de manœuvre moyenne à très étroite pour la transition vers le nouveau SAE. Dans certains pays, comme la France, cela entraînait un risque important de longues files d’attente de camions aux points de sortie de l’UE. Grâce au </w:t>
      </w:r>
      <w:r>
        <w:rPr>
          <w:noProof/>
          <w:color w:val="000000" w:themeColor="text1"/>
        </w:rPr>
        <w:t xml:space="preserve">renforcement du suivi et du soutien fournis par la Commission, ainsi qu’à l’engagement des États membres et des opérateurs économiques, </w:t>
      </w:r>
      <w:r>
        <w:rPr>
          <w:b/>
          <w:noProof/>
          <w:color w:val="000000" w:themeColor="text1"/>
        </w:rPr>
        <w:t>le SAE a été mis en service dans toute l’UE le 15 décembre 2025</w:t>
      </w:r>
      <w:r>
        <w:rPr>
          <w:noProof/>
          <w:color w:val="000000" w:themeColor="text1"/>
        </w:rPr>
        <w:t>.</w:t>
      </w:r>
      <w:r>
        <w:rPr>
          <w:b/>
          <w:noProof/>
          <w:color w:val="000000" w:themeColor="text1"/>
        </w:rPr>
        <w:t xml:space="preserve"> </w:t>
      </w:r>
      <w:r>
        <w:rPr>
          <w:noProof/>
          <w:color w:val="000000" w:themeColor="text1"/>
        </w:rPr>
        <w:t xml:space="preserve">Ce </w:t>
      </w:r>
      <w:r>
        <w:rPr>
          <w:b/>
          <w:noProof/>
          <w:color w:val="000000" w:themeColor="text1"/>
        </w:rPr>
        <w:t>taux d’achèvement de 100 %</w:t>
      </w:r>
      <w:r>
        <w:rPr>
          <w:noProof/>
          <w:color w:val="000000" w:themeColor="text1"/>
        </w:rPr>
        <w:t xml:space="preserve"> du déploiement du SAE avec ses fonctionnalités essentielles a constitué une étape majeure contribuant à la mise en œuvre numérique du CDU.</w:t>
      </w:r>
    </w:p>
    <w:p w14:paraId="3812D84A" w14:textId="70F7BB5F" w:rsidR="00E4474F" w:rsidRPr="00E4198E" w:rsidRDefault="00E4474F" w:rsidP="00937DA1">
      <w:pPr>
        <w:ind w:firstLine="588"/>
        <w:rPr>
          <w:noProof/>
          <w:color w:val="000000" w:themeColor="text1"/>
        </w:rPr>
      </w:pPr>
      <w:r>
        <w:rPr>
          <w:noProof/>
          <w:color w:val="000000" w:themeColor="text1"/>
        </w:rPr>
        <w:t>Certains États membres sont confrontés à de nouveaux retards dans le déploiement des fonctionnalités non essentielles.</w:t>
      </w:r>
    </w:p>
    <w:p w14:paraId="19AC8601" w14:textId="77777777" w:rsidR="004007BB" w:rsidRPr="00CA6F2D" w:rsidRDefault="004007BB" w:rsidP="004007BB">
      <w:pPr>
        <w:ind w:firstLine="588"/>
        <w:rPr>
          <w:noProof/>
          <w:color w:val="000000" w:themeColor="text1"/>
          <w:lang w:val="fr-BE"/>
        </w:rPr>
      </w:pPr>
    </w:p>
    <w:p w14:paraId="244698F6" w14:textId="04FDDA4E" w:rsidR="02BB932C" w:rsidRPr="004E1DD0" w:rsidRDefault="597B7797" w:rsidP="004007BB">
      <w:pPr>
        <w:ind w:firstLine="588"/>
        <w:rPr>
          <w:noProof/>
        </w:rPr>
      </w:pPr>
      <w:r>
        <w:rPr>
          <w:noProof/>
          <w:color w:val="000000" w:themeColor="text1"/>
        </w:rPr>
        <w:t xml:space="preserve">En ce qui concerne le </w:t>
      </w:r>
      <w:r>
        <w:rPr>
          <w:i/>
          <w:noProof/>
          <w:color w:val="000000" w:themeColor="text1"/>
        </w:rPr>
        <w:t>volet 2 du SAE</w:t>
      </w:r>
      <w:r>
        <w:rPr>
          <w:noProof/>
          <w:color w:val="000000" w:themeColor="text1"/>
        </w:rPr>
        <w:t>, la plupart des États membres l’ont déployé en 2025.</w:t>
      </w:r>
      <w:r>
        <w:rPr>
          <w:noProof/>
        </w:rPr>
        <w:t xml:space="preserve">           </w:t>
      </w:r>
    </w:p>
    <w:p w14:paraId="657E911F" w14:textId="4225457C" w:rsidR="006B52A0" w:rsidRPr="006B52A0" w:rsidRDefault="00FD3EF9" w:rsidP="006B52A0">
      <w:pPr>
        <w:jc w:val="center"/>
        <w:rPr>
          <w:rFonts w:ascii="Aptos" w:hAnsi="Aptos"/>
          <w:noProof/>
        </w:rPr>
      </w:pPr>
      <w:r w:rsidRPr="008B4BB3">
        <w:rPr>
          <w:noProof/>
          <w:lang w:val="en-GB" w:eastAsia="en-GB"/>
        </w:rPr>
        <w:drawing>
          <wp:inline distT="0" distB="0" distL="0" distR="0" wp14:anchorId="2AE784C2" wp14:editId="0EDCDC33">
            <wp:extent cx="4951875" cy="2668116"/>
            <wp:effectExtent l="0" t="0" r="1270" b="0"/>
            <wp:docPr id="1157114254" name="Picture 1" descr="A graph with green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114254" name="Picture 1" descr="A graph with green and black text&#10;&#10;AI-generated content may be incorrect."/>
                    <pic:cNvPicPr/>
                  </pic:nvPicPr>
                  <pic:blipFill>
                    <a:blip r:embed="rId22"/>
                    <a:stretch>
                      <a:fillRect/>
                    </a:stretch>
                  </pic:blipFill>
                  <pic:spPr>
                    <a:xfrm>
                      <a:off x="0" y="0"/>
                      <a:ext cx="4975741" cy="2680975"/>
                    </a:xfrm>
                    <a:prstGeom prst="rect">
                      <a:avLst/>
                    </a:prstGeom>
                  </pic:spPr>
                </pic:pic>
              </a:graphicData>
            </a:graphic>
          </wp:inline>
        </w:drawing>
      </w:r>
    </w:p>
    <w:p w14:paraId="06F682C5" w14:textId="0E8E0D23" w:rsidR="00D54F6A" w:rsidRPr="004E1DD0" w:rsidRDefault="00CA53F1" w:rsidP="0062240B">
      <w:pPr>
        <w:pStyle w:val="Caption"/>
        <w:rPr>
          <w:noProof/>
        </w:rPr>
      </w:pPr>
      <w:bookmarkStart w:id="29" w:name="_Ref137115985"/>
      <w:r>
        <w:rPr>
          <w:noProof/>
        </w:rPr>
        <w:t>Figure </w:t>
      </w:r>
      <w:bookmarkEnd w:id="29"/>
      <w:r>
        <w:rPr>
          <w:noProof/>
        </w:rPr>
        <w:t xml:space="preserve">4: Mise en service du SAE dans les États membres </w:t>
      </w:r>
    </w:p>
    <w:p w14:paraId="41B3848F" w14:textId="77777777" w:rsidR="007651CB" w:rsidRPr="00CA6F2D" w:rsidRDefault="007651CB" w:rsidP="007651CB">
      <w:pPr>
        <w:rPr>
          <w:noProof/>
          <w:lang w:val="fr-BE"/>
        </w:rPr>
      </w:pPr>
    </w:p>
    <w:p w14:paraId="0EA54FFB" w14:textId="7BEB47EF" w:rsidR="00D52C6C" w:rsidRPr="00DF6090" w:rsidRDefault="2CC5642A" w:rsidP="6D7A57F0">
      <w:pPr>
        <w:rPr>
          <w:noProof/>
        </w:rPr>
      </w:pPr>
      <w:r>
        <w:rPr>
          <w:b/>
          <w:noProof/>
        </w:rPr>
        <w:t>Pour résumer</w:t>
      </w:r>
      <w:r>
        <w:rPr>
          <w:noProof/>
        </w:rPr>
        <w:t xml:space="preserve"> l’état d’avancement des projets transeuropéens indiqués ci-dessus, la Commission était en bonne voie pour respecter les délais légaux prévus dans le CDU et le PT CDU. En ce qui concerne les déploiements par les États membres des composantes nationales de ces systèmes transeuropéens, de sérieux risques de retard ont été mis en évidence au cours de l’année 2025, en particulier pour le </w:t>
      </w:r>
      <w:r>
        <w:rPr>
          <w:i/>
          <w:noProof/>
        </w:rPr>
        <w:t>DCI</w:t>
      </w:r>
      <w:r>
        <w:rPr>
          <w:noProof/>
        </w:rPr>
        <w:t xml:space="preserve">, la </w:t>
      </w:r>
      <w:r>
        <w:rPr>
          <w:i/>
          <w:noProof/>
        </w:rPr>
        <w:t>phase 6 du NSTI</w:t>
      </w:r>
      <w:r>
        <w:rPr>
          <w:noProof/>
        </w:rPr>
        <w:t>, l’</w:t>
      </w:r>
      <w:r>
        <w:rPr>
          <w:i/>
          <w:iCs/>
          <w:noProof/>
        </w:rPr>
        <w:t>étape 3 ferroviaire et routière de l’ICS 2</w:t>
      </w:r>
      <w:r>
        <w:rPr>
          <w:noProof/>
        </w:rPr>
        <w:t xml:space="preserve">, le projet </w:t>
      </w:r>
      <w:r>
        <w:rPr>
          <w:i/>
          <w:iCs/>
          <w:noProof/>
        </w:rPr>
        <w:t>PoUS</w:t>
      </w:r>
      <w:r>
        <w:rPr>
          <w:noProof/>
        </w:rPr>
        <w:t xml:space="preserve"> et le </w:t>
      </w:r>
      <w:r>
        <w:rPr>
          <w:i/>
          <w:iCs/>
          <w:noProof/>
        </w:rPr>
        <w:t>SAE</w:t>
      </w:r>
      <w:r>
        <w:rPr>
          <w:noProof/>
        </w:rPr>
        <w:t xml:space="preserve"> (voir la section </w:t>
      </w:r>
      <w:r w:rsidR="00EF3EA4" w:rsidRPr="004E1DD0">
        <w:rPr>
          <w:noProof/>
        </w:rPr>
        <w:fldChar w:fldCharType="begin"/>
      </w:r>
      <w:r w:rsidR="00EF3EA4" w:rsidRPr="004E1DD0">
        <w:rPr>
          <w:noProof/>
        </w:rPr>
        <w:instrText xml:space="preserve"> REF _Ref137491743 \r \h </w:instrText>
      </w:r>
      <w:r w:rsidR="007068F6" w:rsidRPr="004E1DD0">
        <w:rPr>
          <w:noProof/>
        </w:rPr>
        <w:instrText xml:space="preserve"> \* MERGEFORMAT </w:instrText>
      </w:r>
      <w:r w:rsidR="00EF3EA4" w:rsidRPr="004E1DD0">
        <w:rPr>
          <w:noProof/>
        </w:rPr>
      </w:r>
      <w:r w:rsidR="00EF3EA4" w:rsidRPr="004E1DD0">
        <w:rPr>
          <w:noProof/>
        </w:rPr>
        <w:fldChar w:fldCharType="separate"/>
      </w:r>
      <w:r w:rsidR="00CB5DA2">
        <w:rPr>
          <w:noProof/>
        </w:rPr>
        <w:t>5.3</w:t>
      </w:r>
      <w:r w:rsidR="00EF3EA4" w:rsidRPr="004E1DD0">
        <w:rPr>
          <w:noProof/>
        </w:rPr>
        <w:fldChar w:fldCharType="end"/>
      </w:r>
      <w:r>
        <w:rPr>
          <w:noProof/>
        </w:rPr>
        <w:t xml:space="preserve">). À la fin de 2025, le système lié à la phase 2 du projet PoUS a été déployé, le SAE est entré en service avec les fonctionnalités essentielles dans tous les États membres et l’ICS 2 était opérationnel pour tous les modes de transport. Au-delà de 2025, il existe une situation de non-conformité pour les déploiements en cours de fonctionnalités non essentielles du DCI et du SAE dans certains États membres. </w:t>
      </w:r>
    </w:p>
    <w:p w14:paraId="55A905F9" w14:textId="536D8686" w:rsidR="00B548E7" w:rsidRPr="004E1DD0" w:rsidRDefault="00EE17B3" w:rsidP="001C12AA">
      <w:pPr>
        <w:pStyle w:val="Heading4"/>
        <w:keepLines w:val="0"/>
        <w:spacing w:before="240" w:after="240"/>
        <w:ind w:left="567" w:hanging="567"/>
        <w:rPr>
          <w:rFonts w:ascii="Times New Roman" w:eastAsia="Times New Roman" w:hAnsi="Times New Roman" w:cs="Times New Roman"/>
          <w:b/>
          <w:i w:val="0"/>
          <w:noProof/>
          <w:color w:val="auto"/>
          <w:sz w:val="24"/>
          <w:szCs w:val="24"/>
        </w:rPr>
      </w:pPr>
      <w:bookmarkStart w:id="30" w:name="_Ref75940933"/>
      <w:bookmarkStart w:id="31" w:name="_Ref75940953"/>
      <w:r>
        <w:rPr>
          <w:rFonts w:ascii="Times New Roman" w:hAnsi="Times New Roman"/>
          <w:b/>
          <w:i w:val="0"/>
          <w:noProof/>
          <w:color w:val="auto"/>
          <w:sz w:val="24"/>
        </w:rPr>
        <w:t>5.2.2 Projets nationaux</w:t>
      </w:r>
      <w:bookmarkEnd w:id="30"/>
      <w:bookmarkEnd w:id="31"/>
    </w:p>
    <w:p w14:paraId="1877B61A" w14:textId="77777777" w:rsidR="00D8352F" w:rsidRDefault="227ADBD8" w:rsidP="3C329334">
      <w:pPr>
        <w:rPr>
          <w:noProof/>
        </w:rPr>
      </w:pPr>
      <w:r>
        <w:rPr>
          <w:noProof/>
        </w:rPr>
        <w:t xml:space="preserve">Il était prévu que les États membres achèvent la mise à niveau de leurs systèmes pour les </w:t>
      </w:r>
      <w:r>
        <w:rPr>
          <w:b/>
          <w:noProof/>
        </w:rPr>
        <w:t>trois projets pleinement nationaux</w:t>
      </w:r>
      <w:r w:rsidR="12140BA4" w:rsidRPr="004E1DD0">
        <w:rPr>
          <w:rStyle w:val="FootnoteReference"/>
          <w:noProof/>
          <w:lang w:val="en-IE"/>
        </w:rPr>
        <w:footnoteReference w:id="15"/>
      </w:r>
      <w:r w:rsidRPr="00CA6F2D">
        <w:rPr>
          <w:rStyle w:val="FootnoteReference"/>
          <w:noProof/>
          <w:lang w:val="fr-BE"/>
        </w:rPr>
        <w:t xml:space="preserve"> </w:t>
      </w:r>
      <w:r>
        <w:rPr>
          <w:rStyle w:val="FootnoteReference"/>
          <w:b/>
          <w:noProof/>
        </w:rPr>
        <w:t xml:space="preserve"> </w:t>
      </w:r>
      <w:r>
        <w:rPr>
          <w:noProof/>
        </w:rPr>
        <w:t>le 31 décembre 2022 au plus tard, conformément à l’article 278, paragraphe 2, du CDU. Toutefois, vingt-deux États membres n’ont pas pu respecter ce délai et, à leur demande, une dérogation leur a été accordée, la date limite du déploiement étant désormais fixée au 31 décembre 2023</w:t>
      </w:r>
      <w:r w:rsidR="00C753C4" w:rsidRPr="004E1DD0">
        <w:rPr>
          <w:rStyle w:val="FootnoteReference"/>
          <w:noProof/>
          <w:lang w:val="en-IE"/>
        </w:rPr>
        <w:footnoteReference w:id="16"/>
      </w:r>
      <w:r>
        <w:rPr>
          <w:noProof/>
        </w:rPr>
        <w:t xml:space="preserve">. </w:t>
      </w:r>
    </w:p>
    <w:p w14:paraId="31A4AB4F" w14:textId="77777777" w:rsidR="00C57965" w:rsidRPr="00CA6F2D" w:rsidRDefault="00C57965" w:rsidP="006103C6">
      <w:pPr>
        <w:rPr>
          <w:noProof/>
          <w:lang w:val="fr-BE"/>
        </w:rPr>
      </w:pPr>
    </w:p>
    <w:p w14:paraId="5FB8E37E" w14:textId="550811EE" w:rsidR="006103C6" w:rsidRDefault="1FDF67F4" w:rsidP="006103C6">
      <w:pPr>
        <w:rPr>
          <w:noProof/>
        </w:rPr>
      </w:pPr>
      <w:r>
        <w:rPr>
          <w:noProof/>
        </w:rPr>
        <w:t>Le rapport de l’année dernière faisait état de nouveaux retards, principalement en ce qui concerne les systèmes nationaux d’importation et le système de dépôt temporaire. L’état d’avancement de chaque projet national en 2025 est présenté ci-dessous et illustré à la figure 5. Pour plus de précisions, veuillez vous reporter à la section 3 du document de travail des services de la Commission accompagnant le présent rapport.</w:t>
      </w:r>
    </w:p>
    <w:p w14:paraId="2C8417B5" w14:textId="07093287" w:rsidR="00282B17" w:rsidRPr="004E1DD0" w:rsidRDefault="00A33633" w:rsidP="703B235F">
      <w:pPr>
        <w:numPr>
          <w:ilvl w:val="0"/>
          <w:numId w:val="18"/>
        </w:numPr>
        <w:ind w:left="567" w:hanging="567"/>
        <w:rPr>
          <w:noProof/>
        </w:rPr>
      </w:pPr>
      <w:r>
        <w:rPr>
          <w:b/>
          <w:noProof/>
        </w:rPr>
        <w:t>Notification d’arrivée, notification de présentation et dépôt temporaire dans le cadre du CDU</w:t>
      </w:r>
      <w:r>
        <w:rPr>
          <w:noProof/>
        </w:rPr>
        <w:t xml:space="preserve"> (</w:t>
      </w:r>
      <w:r>
        <w:rPr>
          <w:i/>
          <w:noProof/>
        </w:rPr>
        <w:t>NA, NP et DT</w:t>
      </w:r>
      <w:r>
        <w:rPr>
          <w:noProof/>
        </w:rPr>
        <w:t>) (mise à niveau): vise à automatiser les processus nationaux d’entrée et à harmoniser l’échange de données entre les opérateurs et les douanes dans l’ensemble des États membres.</w:t>
      </w:r>
    </w:p>
    <w:p w14:paraId="12729178" w14:textId="7FFA0CA8" w:rsidR="00292963" w:rsidRDefault="7164DE29" w:rsidP="00292963">
      <w:pPr>
        <w:ind w:left="567"/>
        <w:rPr>
          <w:noProof/>
        </w:rPr>
      </w:pPr>
      <w:r>
        <w:rPr>
          <w:b/>
          <w:noProof/>
        </w:rPr>
        <w:t>État d’avancement:</w:t>
      </w:r>
      <w:r>
        <w:rPr>
          <w:noProof/>
        </w:rPr>
        <w:t xml:space="preserve"> dans les précédents rapports, la mise en œuvre des systèmes nationaux dans les délais a été considérée comme présentant un risque, mais des progrès importants ont été réalisés au cours de l’année 2025. En 2025, certains États membres étaient toujours confrontés à des retards dans le déploiement du système de dépôt temporaire et/ou dans la transition de leurs opérateurs économiques. Ces cas étant allés bien au-delà du délai légal, la Commission a lancé une procédure d’infraction contre huit États membres (AT, BE, CY, DK, GR, PT, RO, SK) pour non-respect total de l’obligation légale de déployer le dépôt temporaire — transport aérien.</w:t>
      </w:r>
    </w:p>
    <w:p w14:paraId="2D51C9E0" w14:textId="0D2F845A" w:rsidR="6F435E64" w:rsidRDefault="00292963" w:rsidP="76761D12">
      <w:pPr>
        <w:ind w:left="567"/>
        <w:rPr>
          <w:noProof/>
        </w:rPr>
      </w:pPr>
      <w:r>
        <w:rPr>
          <w:noProof/>
        </w:rPr>
        <w:t xml:space="preserve">À la fin de 2025, la plupart des derniers États membres sont parvenus à déployer leur système. Cela peut se résumer à un </w:t>
      </w:r>
      <w:r>
        <w:rPr>
          <w:b/>
          <w:noProof/>
        </w:rPr>
        <w:t>taux d’achèvement de 98 %</w:t>
      </w:r>
      <w:r w:rsidR="00C57965">
        <w:rPr>
          <w:rStyle w:val="FootnoteReference"/>
          <w:b/>
          <w:bCs/>
          <w:noProof/>
          <w:lang w:val="en-IE"/>
        </w:rPr>
        <w:footnoteReference w:id="17"/>
      </w:r>
      <w:r>
        <w:rPr>
          <w:noProof/>
        </w:rPr>
        <w:t>.</w:t>
      </w:r>
      <w:r>
        <w:rPr>
          <w:b/>
          <w:noProof/>
        </w:rPr>
        <w:t xml:space="preserve"> </w:t>
      </w:r>
      <w:r>
        <w:rPr>
          <w:noProof/>
        </w:rPr>
        <w:t>Comme l’illustre la figure 5, pour la notification d’arrivée et la notification de présentation, tous les États membres ont achevé la mise en œuvre. En ce qui concerne le dépôt temporaire, trois États membres étaient confrontés à des retards supplémentaires et ont indiqué une date de déploiement postérieure à 2025. Dans le cas de l’Autriche, la mise en œuvre intégrale est prévue pour avril 2026</w:t>
      </w:r>
      <w:r w:rsidR="004007BB">
        <w:rPr>
          <w:rStyle w:val="FootnoteReference"/>
          <w:noProof/>
          <w:lang w:val="en-IE"/>
        </w:rPr>
        <w:footnoteReference w:id="18"/>
      </w:r>
      <w:r>
        <w:rPr>
          <w:noProof/>
        </w:rPr>
        <w:t>, tandis que la Grèce et la Slovaquie prévoient une mise en œuvre en 2027. La Commission ne pouvant accepter aucun retard, les procédures d’infraction se poursuivent.</w:t>
      </w:r>
    </w:p>
    <w:p w14:paraId="13284FBF" w14:textId="01D55B6A" w:rsidR="00D02703" w:rsidRPr="00716841" w:rsidRDefault="00A33633" w:rsidP="703B235F">
      <w:pPr>
        <w:numPr>
          <w:ilvl w:val="0"/>
          <w:numId w:val="18"/>
        </w:numPr>
        <w:ind w:left="567" w:hanging="567"/>
        <w:rPr>
          <w:noProof/>
        </w:rPr>
      </w:pPr>
      <w:r>
        <w:rPr>
          <w:b/>
          <w:noProof/>
        </w:rPr>
        <w:t>Systèmes nationaux d’importation dans le cadre du CDU</w:t>
      </w:r>
      <w:r>
        <w:rPr>
          <w:noProof/>
        </w:rPr>
        <w:t> </w:t>
      </w:r>
      <w:r>
        <w:rPr>
          <w:b/>
          <w:noProof/>
        </w:rPr>
        <w:t xml:space="preserve">— </w:t>
      </w:r>
      <w:r>
        <w:rPr>
          <w:i/>
          <w:noProof/>
        </w:rPr>
        <w:t>SNI</w:t>
      </w:r>
      <w:r>
        <w:rPr>
          <w:noProof/>
        </w:rPr>
        <w:t xml:space="preserve"> (mise à niveau): vise à mettre en œuvre toutes les exigences en matière de procédures et de données qui concernent les importations de marchandises, telles qu’énoncées dans le CDU.</w:t>
      </w:r>
    </w:p>
    <w:p w14:paraId="53D28E58" w14:textId="57FE3199" w:rsidR="00292963" w:rsidRDefault="7082309C" w:rsidP="000E6F49">
      <w:pPr>
        <w:ind w:left="567"/>
        <w:rPr>
          <w:noProof/>
        </w:rPr>
      </w:pPr>
      <w:r>
        <w:rPr>
          <w:b/>
          <w:noProof/>
        </w:rPr>
        <w:t xml:space="preserve">État d’avancement: </w:t>
      </w:r>
      <w:r>
        <w:rPr>
          <w:noProof/>
        </w:rPr>
        <w:t xml:space="preserve">Plusieurs États membres ont fait état de risques liés à la mise en œuvre dans les délais du projet depuis 2022, date limite initiale pour le déploiement des SNI par les États membres.  Au cours du premier semestre de 2025, certains États membres étaient toujours confrontés à des retards dans le déploiement des SNI et/ou dans la transition de leurs opérateurs économiques. Par conséquent, la Commission a engagé une procédure d’infraction au cours du premier semestre de 2025 pour respect incomplet de l’obligation légale de déployer le SNI à l’encontre de huit États membres (AT, CZ, CY, DK, GR, FR, PT, RO). En 2025, la plupart des États membres (AT, CY, DK, MT, PL, SK) ont pris des mesures pour remédier aux retards et ont achevé le projet en 2025.  </w:t>
      </w:r>
    </w:p>
    <w:p w14:paraId="15F08DC7" w14:textId="3DA4A4EA" w:rsidR="0D619399" w:rsidRPr="000E6F49" w:rsidRDefault="5C78006F" w:rsidP="000E6F49">
      <w:pPr>
        <w:ind w:left="567"/>
        <w:rPr>
          <w:noProof/>
        </w:rPr>
      </w:pPr>
      <w:r>
        <w:rPr>
          <w:noProof/>
        </w:rPr>
        <w:t xml:space="preserve">À la fin de 2025, tous les États membres, à l’exception d’un seul, avaient déployé le système, ce qui correspond à </w:t>
      </w:r>
      <w:r>
        <w:rPr>
          <w:b/>
          <w:noProof/>
        </w:rPr>
        <w:t>un taux d’achèvement de 96 %</w:t>
      </w:r>
      <w:r>
        <w:rPr>
          <w:noProof/>
        </w:rPr>
        <w:t>. Dans le cas de la République tchèque, un déploiement complet est envisagé pour le deuxième trimestre de 2026. Dans quelques États membres, certaines mises à niveau sont toujours en attente d’une mise en œuvre pleinement conforme au CDU et au modèle de données douanières de l’Union.</w:t>
      </w:r>
    </w:p>
    <w:p w14:paraId="1D062831" w14:textId="548CBF35" w:rsidR="00282B17" w:rsidRPr="004E1DD0" w:rsidRDefault="00A33633" w:rsidP="703B235F">
      <w:pPr>
        <w:numPr>
          <w:ilvl w:val="0"/>
          <w:numId w:val="18"/>
        </w:numPr>
        <w:ind w:left="567" w:hanging="567"/>
        <w:rPr>
          <w:noProof/>
          <w:color w:val="ED7D31" w:themeColor="accent2"/>
        </w:rPr>
      </w:pPr>
      <w:r>
        <w:rPr>
          <w:b/>
          <w:noProof/>
        </w:rPr>
        <w:t>Régimes particuliers dans le cadre du CDU</w:t>
      </w:r>
      <w:r>
        <w:rPr>
          <w:noProof/>
        </w:rPr>
        <w:t xml:space="preserve"> — </w:t>
      </w:r>
      <w:r>
        <w:rPr>
          <w:i/>
          <w:noProof/>
        </w:rPr>
        <w:t>RP</w:t>
      </w:r>
      <w:r>
        <w:rPr>
          <w:noProof/>
        </w:rPr>
        <w:t xml:space="preserve"> (mise à niveau): vise à harmoniser les régimes particuliers (entrepôt douanier, destination particulière, admission temporaire et perfectionnement actif/passif).</w:t>
      </w:r>
    </w:p>
    <w:p w14:paraId="1E9CCE2B" w14:textId="7A946E49" w:rsidR="009C2254" w:rsidRDefault="7082309C" w:rsidP="006E2311">
      <w:pPr>
        <w:ind w:left="567"/>
        <w:rPr>
          <w:noProof/>
        </w:rPr>
      </w:pPr>
      <w:r>
        <w:rPr>
          <w:b/>
          <w:noProof/>
        </w:rPr>
        <w:t xml:space="preserve">État d’avancement: </w:t>
      </w:r>
      <w:r>
        <w:rPr>
          <w:noProof/>
        </w:rPr>
        <w:t xml:space="preserve"> Comme le montre la figure 5, la plupart des États membres devaient disposer du </w:t>
      </w:r>
      <w:r>
        <w:rPr>
          <w:i/>
          <w:noProof/>
        </w:rPr>
        <w:t>volet 2 du RP IMP</w:t>
      </w:r>
      <w:r>
        <w:rPr>
          <w:noProof/>
        </w:rPr>
        <w:t xml:space="preserve">, soit un </w:t>
      </w:r>
      <w:r>
        <w:rPr>
          <w:b/>
          <w:noProof/>
        </w:rPr>
        <w:t>taux d’achèvement de 96 %</w:t>
      </w:r>
      <w:r>
        <w:rPr>
          <w:noProof/>
        </w:rPr>
        <w:t>, l’Autriche et la République tchèque étant les derniers États membres à déployer leur système aux deuxième et troisième trimestres de 2026</w:t>
      </w:r>
      <w:r w:rsidR="007F1971" w:rsidRPr="001B4873">
        <w:rPr>
          <w:rStyle w:val="FootnoteReference"/>
          <w:noProof/>
          <w:lang w:val="en-IE"/>
        </w:rPr>
        <w:footnoteReference w:id="19"/>
      </w:r>
      <w:r>
        <w:rPr>
          <w:noProof/>
        </w:rPr>
        <w:t xml:space="preserve">. En ce qui concerne le </w:t>
      </w:r>
      <w:r>
        <w:rPr>
          <w:i/>
          <w:noProof/>
        </w:rPr>
        <w:t>volet 1 du RP EXP</w:t>
      </w:r>
      <w:r>
        <w:rPr>
          <w:noProof/>
        </w:rPr>
        <w:t xml:space="preserve">, la plupart des États membres avaient déployé le système d’ici au 2 décembre 2024, malgré les interdépendances avec le </w:t>
      </w:r>
      <w:r>
        <w:rPr>
          <w:i/>
          <w:noProof/>
        </w:rPr>
        <w:t>système SAE</w:t>
      </w:r>
      <w:r>
        <w:rPr>
          <w:noProof/>
        </w:rPr>
        <w:t xml:space="preserve">. Les autres États membres (AT, FR, GR, HU, MT et PT) avaient déployé le système à la fin de 2025, soit </w:t>
      </w:r>
      <w:r>
        <w:rPr>
          <w:b/>
          <w:noProof/>
        </w:rPr>
        <w:t>un taux d’achèvement de 100 %</w:t>
      </w:r>
      <w:r>
        <w:rPr>
          <w:noProof/>
        </w:rPr>
        <w:t>, tandis que pour certains États membres, la transition des opérateurs économiques était toujours en cours.</w:t>
      </w:r>
    </w:p>
    <w:p w14:paraId="44A82DB4" w14:textId="47874329" w:rsidR="00CC467F" w:rsidRDefault="5C78006F" w:rsidP="002D0FD4">
      <w:pPr>
        <w:rPr>
          <w:noProof/>
        </w:rPr>
      </w:pPr>
      <w:r>
        <w:rPr>
          <w:b/>
          <w:noProof/>
        </w:rPr>
        <w:t>En résumé</w:t>
      </w:r>
      <w:r>
        <w:rPr>
          <w:noProof/>
        </w:rPr>
        <w:t xml:space="preserve">, des efforts considérables ont été déployés par les États membres en 2025 et les systèmes nationaux sont désormais opérationnels, tandis que seul un nombre limité de retards critiques persistent au-delà de 2025, ce qui place peu d’États membres dans une situation de non-conformité.  </w:t>
      </w:r>
    </w:p>
    <w:tbl>
      <w:tblPr>
        <w:tblW w:w="0" w:type="auto"/>
        <w:tblLayout w:type="fixed"/>
        <w:tblLook w:val="04A0" w:firstRow="1" w:lastRow="0" w:firstColumn="1" w:lastColumn="0" w:noHBand="0" w:noVBand="1"/>
      </w:tblPr>
      <w:tblGrid>
        <w:gridCol w:w="1285"/>
        <w:gridCol w:w="1554"/>
        <w:gridCol w:w="1554"/>
        <w:gridCol w:w="1556"/>
        <w:gridCol w:w="1554"/>
        <w:gridCol w:w="1556"/>
      </w:tblGrid>
      <w:tr w:rsidR="0D619399" w:rsidRPr="004E1DD0" w14:paraId="58B63777" w14:textId="77777777" w:rsidTr="6D7A57F0">
        <w:trPr>
          <w:trHeight w:val="300"/>
        </w:trPr>
        <w:tc>
          <w:tcPr>
            <w:tcW w:w="1285" w:type="dxa"/>
            <w:tcBorders>
              <w:top w:val="nil"/>
              <w:left w:val="nil"/>
              <w:bottom w:val="single" w:sz="8" w:space="0" w:color="auto"/>
              <w:right w:val="nil"/>
            </w:tcBorders>
            <w:tcMar>
              <w:left w:w="70" w:type="dxa"/>
              <w:right w:w="70" w:type="dxa"/>
            </w:tcMar>
            <w:vAlign w:val="center"/>
          </w:tcPr>
          <w:p w14:paraId="1A131089" w14:textId="5D2C952B" w:rsidR="0D619399" w:rsidRPr="004E1DD0" w:rsidRDefault="00CC467F">
            <w:pPr>
              <w:rPr>
                <w:noProof/>
              </w:rPr>
            </w:pPr>
            <w:bookmarkStart w:id="32" w:name="_Hlk230017066"/>
            <w:r>
              <w:rPr>
                <w:noProof/>
              </w:rPr>
              <w:t xml:space="preserve"> </w:t>
            </w:r>
          </w:p>
        </w:tc>
        <w:tc>
          <w:tcPr>
            <w:tcW w:w="1554" w:type="dxa"/>
            <w:tcBorders>
              <w:top w:val="single" w:sz="8" w:space="0" w:color="auto"/>
              <w:left w:val="single" w:sz="8" w:space="0" w:color="auto"/>
              <w:bottom w:val="single" w:sz="8" w:space="0" w:color="FFFFFF" w:themeColor="background1"/>
              <w:right w:val="nil"/>
            </w:tcBorders>
            <w:shd w:val="clear" w:color="auto" w:fill="034EA2"/>
            <w:tcMar>
              <w:left w:w="70" w:type="dxa"/>
              <w:right w:w="70" w:type="dxa"/>
            </w:tcMar>
            <w:vAlign w:val="bottom"/>
          </w:tcPr>
          <w:p w14:paraId="5EA80E34" w14:textId="121FD9D1" w:rsidR="0D619399" w:rsidRPr="004E1DD0" w:rsidRDefault="0D619399" w:rsidP="0D619399">
            <w:pPr>
              <w:spacing w:after="0"/>
              <w:jc w:val="center"/>
              <w:rPr>
                <w:noProof/>
              </w:rPr>
            </w:pPr>
            <w:r>
              <w:rPr>
                <w:b/>
                <w:noProof/>
                <w:color w:val="FFFFFF" w:themeColor="background1"/>
                <w:sz w:val="20"/>
              </w:rPr>
              <w:t>NA</w:t>
            </w:r>
          </w:p>
        </w:tc>
        <w:tc>
          <w:tcPr>
            <w:tcW w:w="1554" w:type="dxa"/>
            <w:tcBorders>
              <w:top w:val="single" w:sz="8" w:space="0" w:color="auto"/>
              <w:left w:val="single" w:sz="8" w:space="0" w:color="FFFFFF" w:themeColor="background1"/>
              <w:bottom w:val="single" w:sz="8" w:space="0" w:color="FFFFFF" w:themeColor="background1"/>
              <w:right w:val="nil"/>
            </w:tcBorders>
            <w:shd w:val="clear" w:color="auto" w:fill="034EA2"/>
            <w:tcMar>
              <w:left w:w="70" w:type="dxa"/>
              <w:right w:w="70" w:type="dxa"/>
            </w:tcMar>
            <w:vAlign w:val="bottom"/>
          </w:tcPr>
          <w:p w14:paraId="2A562A60" w14:textId="43999C59" w:rsidR="0D619399" w:rsidRPr="004E1DD0" w:rsidRDefault="0D619399" w:rsidP="0D619399">
            <w:pPr>
              <w:spacing w:after="0"/>
              <w:jc w:val="center"/>
              <w:rPr>
                <w:noProof/>
              </w:rPr>
            </w:pPr>
            <w:r>
              <w:rPr>
                <w:b/>
                <w:noProof/>
                <w:color w:val="FFFFFF" w:themeColor="background1"/>
                <w:sz w:val="20"/>
              </w:rPr>
              <w:t>NP</w:t>
            </w:r>
          </w:p>
        </w:tc>
        <w:tc>
          <w:tcPr>
            <w:tcW w:w="1556" w:type="dxa"/>
            <w:tcBorders>
              <w:top w:val="single" w:sz="8" w:space="0" w:color="auto"/>
              <w:left w:val="single" w:sz="8" w:space="0" w:color="FFFFFF" w:themeColor="background1"/>
              <w:bottom w:val="single" w:sz="8" w:space="0" w:color="FFFFFF" w:themeColor="background1"/>
              <w:right w:val="single" w:sz="8" w:space="0" w:color="FFFFFF" w:themeColor="background1"/>
            </w:tcBorders>
            <w:shd w:val="clear" w:color="auto" w:fill="034EA2"/>
            <w:tcMar>
              <w:left w:w="70" w:type="dxa"/>
              <w:right w:w="70" w:type="dxa"/>
            </w:tcMar>
            <w:vAlign w:val="bottom"/>
          </w:tcPr>
          <w:p w14:paraId="487CF4B2" w14:textId="1D339970" w:rsidR="0D619399" w:rsidRPr="004E1DD0" w:rsidRDefault="0D619399" w:rsidP="0D619399">
            <w:pPr>
              <w:spacing w:after="0"/>
              <w:jc w:val="center"/>
              <w:rPr>
                <w:noProof/>
              </w:rPr>
            </w:pPr>
            <w:r>
              <w:rPr>
                <w:b/>
                <w:noProof/>
                <w:color w:val="FFFFFF" w:themeColor="background1"/>
                <w:sz w:val="20"/>
              </w:rPr>
              <w:t>DT</w:t>
            </w:r>
          </w:p>
        </w:tc>
        <w:tc>
          <w:tcPr>
            <w:tcW w:w="1554" w:type="dxa"/>
            <w:tcBorders>
              <w:top w:val="single" w:sz="8" w:space="0" w:color="auto"/>
              <w:left w:val="single" w:sz="8" w:space="0" w:color="FFFFFF" w:themeColor="background1"/>
              <w:bottom w:val="single" w:sz="8" w:space="0" w:color="FFFFFF" w:themeColor="background1"/>
              <w:right w:val="single" w:sz="8" w:space="0" w:color="FFFFFF" w:themeColor="background1"/>
            </w:tcBorders>
            <w:shd w:val="clear" w:color="auto" w:fill="034EA2"/>
            <w:tcMar>
              <w:left w:w="70" w:type="dxa"/>
              <w:right w:w="70" w:type="dxa"/>
            </w:tcMar>
            <w:vAlign w:val="bottom"/>
          </w:tcPr>
          <w:p w14:paraId="3BEA76F5" w14:textId="36839E39" w:rsidR="0D619399" w:rsidRPr="004E1DD0" w:rsidRDefault="0D619399" w:rsidP="0D619399">
            <w:pPr>
              <w:spacing w:after="0"/>
              <w:jc w:val="center"/>
              <w:rPr>
                <w:noProof/>
              </w:rPr>
            </w:pPr>
            <w:r>
              <w:rPr>
                <w:b/>
                <w:noProof/>
                <w:color w:val="FFFFFF" w:themeColor="background1"/>
                <w:sz w:val="20"/>
              </w:rPr>
              <w:t>SNI</w:t>
            </w:r>
          </w:p>
        </w:tc>
        <w:tc>
          <w:tcPr>
            <w:tcW w:w="1556" w:type="dxa"/>
            <w:tcBorders>
              <w:top w:val="single" w:sz="8" w:space="0" w:color="auto"/>
              <w:left w:val="single" w:sz="8" w:space="0" w:color="FFFFFF" w:themeColor="background1"/>
              <w:bottom w:val="single" w:sz="8" w:space="0" w:color="FFFFFF" w:themeColor="background1"/>
              <w:right w:val="single" w:sz="8" w:space="0" w:color="auto"/>
            </w:tcBorders>
            <w:shd w:val="clear" w:color="auto" w:fill="034EA2"/>
            <w:tcMar>
              <w:left w:w="70" w:type="dxa"/>
              <w:right w:w="70" w:type="dxa"/>
            </w:tcMar>
            <w:vAlign w:val="bottom"/>
          </w:tcPr>
          <w:p w14:paraId="59544613" w14:textId="24C45E22" w:rsidR="0D619399" w:rsidRPr="004E1DD0" w:rsidRDefault="0D619399" w:rsidP="0D619399">
            <w:pPr>
              <w:spacing w:after="0"/>
              <w:jc w:val="center"/>
              <w:rPr>
                <w:noProof/>
              </w:rPr>
            </w:pPr>
            <w:r>
              <w:rPr>
                <w:b/>
                <w:noProof/>
                <w:color w:val="FFFFFF" w:themeColor="background1"/>
                <w:sz w:val="20"/>
              </w:rPr>
              <w:t>RP IMP</w:t>
            </w:r>
          </w:p>
        </w:tc>
      </w:tr>
      <w:tr w:rsidR="0D619399" w:rsidRPr="004E1DD0" w14:paraId="22823667" w14:textId="77777777" w:rsidTr="6D7A57F0">
        <w:trPr>
          <w:trHeight w:val="300"/>
        </w:trPr>
        <w:tc>
          <w:tcPr>
            <w:tcW w:w="1285" w:type="dxa"/>
            <w:tcBorders>
              <w:top w:val="single" w:sz="8" w:space="0" w:color="auto"/>
              <w:left w:val="single" w:sz="8" w:space="0" w:color="auto"/>
              <w:bottom w:val="single" w:sz="8" w:space="0" w:color="auto"/>
              <w:right w:val="single" w:sz="8" w:space="0" w:color="FFFFFF" w:themeColor="background1"/>
            </w:tcBorders>
            <w:shd w:val="clear" w:color="auto" w:fill="F2F2F2" w:themeFill="background1" w:themeFillShade="F2"/>
            <w:tcMar>
              <w:left w:w="70" w:type="dxa"/>
              <w:right w:w="70" w:type="dxa"/>
            </w:tcMar>
            <w:vAlign w:val="center"/>
          </w:tcPr>
          <w:p w14:paraId="7565DF50" w14:textId="11898D59" w:rsidR="0D619399" w:rsidRPr="004E1DD0" w:rsidRDefault="0D619399" w:rsidP="0D619399">
            <w:pPr>
              <w:spacing w:after="0"/>
              <w:jc w:val="center"/>
              <w:rPr>
                <w:noProof/>
              </w:rPr>
            </w:pPr>
            <w:r>
              <w:rPr>
                <w:b/>
                <w:noProof/>
                <w:color w:val="000000" w:themeColor="text1"/>
                <w:sz w:val="20"/>
              </w:rPr>
              <w:t>Délai prévu dans le PT CDU</w:t>
            </w:r>
          </w:p>
        </w:tc>
        <w:tc>
          <w:tcPr>
            <w:tcW w:w="4664" w:type="dxa"/>
            <w:gridSpan w:val="3"/>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F2F2F2" w:themeFill="background1" w:themeFillShade="F2"/>
            <w:tcMar>
              <w:left w:w="70" w:type="dxa"/>
              <w:right w:w="70" w:type="dxa"/>
            </w:tcMar>
            <w:vAlign w:val="center"/>
          </w:tcPr>
          <w:p w14:paraId="3A9F5667" w14:textId="2111BA14" w:rsidR="0D619399" w:rsidRPr="004E1DD0" w:rsidRDefault="495213EA" w:rsidP="54AD8F9A">
            <w:pPr>
              <w:spacing w:after="0"/>
              <w:jc w:val="center"/>
              <w:rPr>
                <w:rStyle w:val="Hyperlink"/>
                <w:noProof/>
                <w:color w:val="000000" w:themeColor="text1"/>
                <w:sz w:val="20"/>
                <w:szCs w:val="20"/>
                <w:vertAlign w:val="superscript"/>
              </w:rPr>
            </w:pPr>
            <w:r>
              <w:rPr>
                <w:noProof/>
                <w:color w:val="000000" w:themeColor="text1"/>
                <w:sz w:val="18"/>
              </w:rPr>
              <w:t>31.12.2022</w:t>
            </w:r>
            <w:r>
              <w:rPr>
                <w:noProof/>
              </w:rPr>
              <w:br/>
            </w:r>
            <w:r>
              <w:rPr>
                <w:noProof/>
                <w:color w:val="000000" w:themeColor="text1"/>
                <w:sz w:val="18"/>
              </w:rPr>
              <w:t xml:space="preserve"> avec prolongation jusqu’au 31.12.2023</w:t>
            </w:r>
            <w:hyperlink r:id="rId23" w:anchor="_ftn1">
              <w:r>
                <w:rPr>
                  <w:rStyle w:val="Hyperlink"/>
                  <w:noProof/>
                  <w:color w:val="000000" w:themeColor="text1"/>
                  <w:sz w:val="20"/>
                  <w:vertAlign w:val="superscript"/>
                </w:rPr>
                <w:t>[1]</w:t>
              </w:r>
            </w:hyperlink>
          </w:p>
        </w:tc>
        <w:tc>
          <w:tcPr>
            <w:tcW w:w="3110" w:type="dxa"/>
            <w:gridSpan w:val="2"/>
            <w:tcBorders>
              <w:top w:val="single" w:sz="8" w:space="0" w:color="FFFFFF" w:themeColor="background1"/>
              <w:left w:val="nil"/>
              <w:bottom w:val="single" w:sz="8" w:space="0" w:color="auto"/>
              <w:right w:val="single" w:sz="8" w:space="0" w:color="000000" w:themeColor="text1"/>
            </w:tcBorders>
            <w:shd w:val="clear" w:color="auto" w:fill="F2F2F2" w:themeFill="background1" w:themeFillShade="F2"/>
            <w:tcMar>
              <w:left w:w="70" w:type="dxa"/>
              <w:right w:w="70" w:type="dxa"/>
            </w:tcMar>
            <w:vAlign w:val="center"/>
          </w:tcPr>
          <w:p w14:paraId="31DB4614" w14:textId="152B3F42" w:rsidR="0D619399" w:rsidRPr="004E1DD0" w:rsidRDefault="0D619399" w:rsidP="0D619399">
            <w:pPr>
              <w:spacing w:after="0"/>
              <w:jc w:val="center"/>
              <w:rPr>
                <w:noProof/>
              </w:rPr>
            </w:pPr>
            <w:r>
              <w:rPr>
                <w:noProof/>
                <w:color w:val="000000" w:themeColor="text1"/>
                <w:sz w:val="18"/>
              </w:rPr>
              <w:t xml:space="preserve">31.12.2022 </w:t>
            </w:r>
            <w:r>
              <w:rPr>
                <w:noProof/>
              </w:rPr>
              <w:br/>
            </w:r>
            <w:r>
              <w:rPr>
                <w:noProof/>
                <w:color w:val="000000" w:themeColor="text1"/>
                <w:sz w:val="18"/>
              </w:rPr>
              <w:t>avec prolongation jusqu’au 31.12.2023</w:t>
            </w:r>
            <w:hyperlink r:id="rId24" w:anchor="_ftn2">
              <w:r>
                <w:rPr>
                  <w:rStyle w:val="Hyperlink"/>
                  <w:noProof/>
                  <w:color w:val="000000" w:themeColor="text1"/>
                  <w:sz w:val="20"/>
                  <w:vertAlign w:val="superscript"/>
                </w:rPr>
                <w:t>[2]</w:t>
              </w:r>
            </w:hyperlink>
          </w:p>
        </w:tc>
      </w:tr>
      <w:tr w:rsidR="00101266" w:rsidRPr="004E1DD0" w14:paraId="4D07AB6E" w14:textId="77777777" w:rsidTr="00AC3858">
        <w:trPr>
          <w:trHeight w:val="300"/>
        </w:trPr>
        <w:tc>
          <w:tcPr>
            <w:tcW w:w="1285" w:type="dxa"/>
            <w:tcBorders>
              <w:top w:val="single" w:sz="8" w:space="0" w:color="auto"/>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062BE172" w14:textId="45DC4273" w:rsidR="0D619399" w:rsidRPr="004E1DD0" w:rsidRDefault="0D619399" w:rsidP="0D619399">
            <w:pPr>
              <w:spacing w:after="0"/>
              <w:jc w:val="center"/>
              <w:rPr>
                <w:noProof/>
              </w:rPr>
            </w:pPr>
            <w:r>
              <w:rPr>
                <w:b/>
                <w:noProof/>
                <w:color w:val="000000" w:themeColor="text1"/>
                <w:sz w:val="20"/>
              </w:rPr>
              <w:t>AT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12D60E7" w14:textId="0EBCCCE4" w:rsidR="0D619399" w:rsidRPr="008C3BC1" w:rsidRDefault="37B7B20B" w:rsidP="00F32997">
            <w:pPr>
              <w:spacing w:after="0"/>
              <w:jc w:val="center"/>
              <w:rPr>
                <w:noProof/>
                <w:color w:val="375623"/>
                <w:sz w:val="20"/>
                <w:szCs w:val="20"/>
              </w:rPr>
            </w:pPr>
            <w:r>
              <w:rPr>
                <w:noProof/>
                <w:color w:val="375623"/>
                <w:sz w:val="20"/>
              </w:rPr>
              <w:t>01.07.2023</w:t>
            </w:r>
          </w:p>
        </w:tc>
        <w:tc>
          <w:tcPr>
            <w:tcW w:w="1554" w:type="dxa"/>
            <w:tcBorders>
              <w:top w:val="nil"/>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9AD831E" w14:textId="5B0314A0" w:rsidR="0D619399" w:rsidRPr="004E1DD0" w:rsidRDefault="49469EB2" w:rsidP="0D619399">
            <w:pPr>
              <w:spacing w:after="0"/>
              <w:jc w:val="center"/>
              <w:rPr>
                <w:noProof/>
              </w:rPr>
            </w:pPr>
            <w:r>
              <w:rPr>
                <w:noProof/>
                <w:color w:val="375623"/>
                <w:sz w:val="20"/>
              </w:rPr>
              <w:t>16.05.2023</w:t>
            </w:r>
          </w:p>
        </w:tc>
        <w:tc>
          <w:tcPr>
            <w:tcW w:w="1556" w:type="dxa"/>
            <w:tcBorders>
              <w:top w:val="nil"/>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0AE0F61A" w14:textId="0A29A3A9" w:rsidR="0D619399" w:rsidRPr="00C17060" w:rsidRDefault="69BFE6D6" w:rsidP="6D7A57F0">
            <w:pPr>
              <w:spacing w:after="0"/>
              <w:jc w:val="center"/>
              <w:rPr>
                <w:b/>
                <w:bCs/>
                <w:noProof/>
                <w:color w:val="375623"/>
                <w:sz w:val="20"/>
                <w:szCs w:val="20"/>
              </w:rPr>
            </w:pPr>
            <w:r>
              <w:rPr>
                <w:b/>
                <w:noProof/>
                <w:color w:val="FF0000"/>
                <w:sz w:val="20"/>
              </w:rPr>
              <w:t>15.04.2026</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0B069802" w14:textId="238D07EF" w:rsidR="0D619399" w:rsidRPr="004E1DD0" w:rsidRDefault="001267CC" w:rsidP="7B8E4445">
            <w:pPr>
              <w:spacing w:after="0"/>
              <w:jc w:val="center"/>
              <w:rPr>
                <w:noProof/>
                <w:color w:val="385623" w:themeColor="accent6" w:themeShade="80"/>
                <w:sz w:val="20"/>
                <w:szCs w:val="20"/>
              </w:rPr>
            </w:pPr>
            <w:r>
              <w:rPr>
                <w:noProof/>
                <w:color w:val="385623" w:themeColor="accent6" w:themeShade="80"/>
                <w:sz w:val="20"/>
              </w:rPr>
              <w:t>14.12.2025</w:t>
            </w:r>
          </w:p>
        </w:tc>
        <w:tc>
          <w:tcPr>
            <w:tcW w:w="1556" w:type="dxa"/>
            <w:tcBorders>
              <w:top w:val="nil"/>
              <w:left w:val="single" w:sz="8" w:space="0" w:color="FFFFFF" w:themeColor="background1"/>
              <w:bottom w:val="single" w:sz="8" w:space="0" w:color="FFFFFF" w:themeColor="background1"/>
              <w:right w:val="single" w:sz="8" w:space="0" w:color="000000" w:themeColor="text1"/>
            </w:tcBorders>
            <w:shd w:val="clear" w:color="auto" w:fill="FFCCCC"/>
            <w:tcMar>
              <w:left w:w="70" w:type="dxa"/>
              <w:right w:w="70" w:type="dxa"/>
            </w:tcMar>
            <w:vAlign w:val="center"/>
          </w:tcPr>
          <w:p w14:paraId="3A0C850B" w14:textId="2E91F80F" w:rsidR="0D619399" w:rsidRPr="00101266" w:rsidRDefault="0D3E4449" w:rsidP="6D7A57F0">
            <w:pPr>
              <w:spacing w:after="0"/>
              <w:jc w:val="center"/>
              <w:rPr>
                <w:b/>
                <w:bCs/>
                <w:noProof/>
                <w:color w:val="385623" w:themeColor="accent6" w:themeShade="80"/>
                <w:sz w:val="20"/>
                <w:szCs w:val="20"/>
              </w:rPr>
            </w:pPr>
            <w:r>
              <w:rPr>
                <w:b/>
                <w:noProof/>
                <w:color w:val="C00000"/>
                <w:sz w:val="20"/>
              </w:rPr>
              <w:t>01.09.2026</w:t>
            </w:r>
          </w:p>
        </w:tc>
      </w:tr>
      <w:tr w:rsidR="0D619399" w:rsidRPr="004E1DD0" w14:paraId="09C1A2CD"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A087225" w14:textId="67A92EB4" w:rsidR="0D619399" w:rsidRPr="004E1DD0" w:rsidRDefault="0D619399" w:rsidP="0D619399">
            <w:pPr>
              <w:spacing w:after="0"/>
              <w:jc w:val="center"/>
              <w:rPr>
                <w:noProof/>
              </w:rPr>
            </w:pPr>
            <w:r>
              <w:rPr>
                <w:b/>
                <w:noProof/>
                <w:color w:val="000000" w:themeColor="text1"/>
                <w:sz w:val="20"/>
              </w:rPr>
              <w:t>BE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7FF6F40" w14:textId="627543E7" w:rsidR="0D619399" w:rsidRPr="008C3BC1" w:rsidRDefault="0D619399" w:rsidP="0D619399">
            <w:pPr>
              <w:spacing w:after="0"/>
              <w:jc w:val="center"/>
              <w:rPr>
                <w:noProof/>
                <w:color w:val="375623"/>
                <w:sz w:val="20"/>
                <w:szCs w:val="20"/>
              </w:rPr>
            </w:pPr>
            <w:r>
              <w:rPr>
                <w:noProof/>
                <w:color w:val="375623"/>
                <w:sz w:val="20"/>
              </w:rPr>
              <w:t>30.06.2023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4EE05C2" w14:textId="31957D4C" w:rsidR="0D619399" w:rsidRPr="004E1DD0" w:rsidRDefault="0D619399" w:rsidP="0D619399">
            <w:pPr>
              <w:spacing w:after="0"/>
              <w:jc w:val="center"/>
              <w:rPr>
                <w:noProof/>
              </w:rPr>
            </w:pPr>
            <w:r>
              <w:rPr>
                <w:noProof/>
                <w:color w:val="375623"/>
                <w:sz w:val="20"/>
              </w:rPr>
              <w:t>05.07.2023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4C2B801" w14:textId="4F1D20CF" w:rsidR="0D619399" w:rsidRPr="004E1DD0" w:rsidRDefault="0D619399" w:rsidP="0D619399">
            <w:pPr>
              <w:spacing w:after="0"/>
              <w:jc w:val="center"/>
              <w:rPr>
                <w:noProof/>
              </w:rPr>
            </w:pPr>
            <w:r>
              <w:rPr>
                <w:noProof/>
                <w:color w:val="375623"/>
                <w:sz w:val="20"/>
              </w:rPr>
              <w:t>29.11.2023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4F126DA" w14:textId="3C5CB2D8" w:rsidR="0D619399" w:rsidRPr="004E1DD0" w:rsidRDefault="0D619399" w:rsidP="0D619399">
            <w:pPr>
              <w:spacing w:after="0"/>
              <w:jc w:val="center"/>
              <w:rPr>
                <w:noProof/>
              </w:rPr>
            </w:pPr>
            <w:r>
              <w:rPr>
                <w:noProof/>
                <w:color w:val="375623"/>
                <w:sz w:val="20"/>
              </w:rPr>
              <w:t>28.08.2024*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590715D" w14:textId="3B9E9CB2" w:rsidR="0D619399" w:rsidRPr="004E1DD0" w:rsidRDefault="0D619399" w:rsidP="0D619399">
            <w:pPr>
              <w:spacing w:after="0"/>
              <w:jc w:val="center"/>
              <w:rPr>
                <w:noProof/>
              </w:rPr>
            </w:pPr>
            <w:r>
              <w:rPr>
                <w:noProof/>
                <w:color w:val="375623"/>
                <w:sz w:val="20"/>
              </w:rPr>
              <w:t>28.08.2024</w:t>
            </w:r>
          </w:p>
        </w:tc>
      </w:tr>
      <w:tr w:rsidR="0D619399" w:rsidRPr="004E1DD0" w14:paraId="44119002"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536F96D" w14:textId="584BC3E8" w:rsidR="0D619399" w:rsidRPr="004E1DD0" w:rsidRDefault="0D619399" w:rsidP="0D619399">
            <w:pPr>
              <w:spacing w:after="0"/>
              <w:jc w:val="center"/>
              <w:rPr>
                <w:noProof/>
              </w:rPr>
            </w:pPr>
            <w:r>
              <w:rPr>
                <w:b/>
                <w:noProof/>
                <w:color w:val="000000" w:themeColor="text1"/>
                <w:sz w:val="20"/>
              </w:rPr>
              <w:t>BG</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23E75CD" w14:textId="5FB9FEA9" w:rsidR="0D619399" w:rsidRPr="008C3BC1" w:rsidRDefault="0D619399" w:rsidP="0D619399">
            <w:pPr>
              <w:spacing w:after="0"/>
              <w:jc w:val="center"/>
              <w:rPr>
                <w:noProof/>
                <w:color w:val="375623"/>
                <w:sz w:val="20"/>
                <w:szCs w:val="20"/>
              </w:rPr>
            </w:pPr>
            <w:r>
              <w:rPr>
                <w:noProof/>
                <w:color w:val="375623"/>
                <w:sz w:val="20"/>
              </w:rPr>
              <w:t>01.03.2023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F2276A5" w14:textId="23B1A3B5" w:rsidR="0D619399" w:rsidRPr="004E1DD0" w:rsidRDefault="0D619399" w:rsidP="0D619399">
            <w:pPr>
              <w:spacing w:after="0"/>
              <w:jc w:val="center"/>
              <w:rPr>
                <w:noProof/>
              </w:rPr>
            </w:pPr>
            <w:r>
              <w:rPr>
                <w:noProof/>
                <w:color w:val="375623"/>
                <w:sz w:val="20"/>
              </w:rPr>
              <w:t>10.11.2023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1B33659" w14:textId="4E9BC1E5" w:rsidR="0D619399" w:rsidRPr="004E1DD0" w:rsidRDefault="0D619399" w:rsidP="0D619399">
            <w:pPr>
              <w:spacing w:after="0"/>
              <w:jc w:val="center"/>
              <w:rPr>
                <w:noProof/>
              </w:rPr>
            </w:pPr>
            <w:r>
              <w:rPr>
                <w:noProof/>
                <w:color w:val="375623"/>
                <w:sz w:val="20"/>
              </w:rPr>
              <w:t>10.11.2023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06F2F33" w14:textId="4E0B5309" w:rsidR="0D619399" w:rsidRPr="004E1DD0" w:rsidRDefault="0D619399" w:rsidP="0D619399">
            <w:pPr>
              <w:spacing w:after="0"/>
              <w:jc w:val="center"/>
              <w:rPr>
                <w:noProof/>
              </w:rPr>
            </w:pPr>
            <w:r>
              <w:rPr>
                <w:noProof/>
                <w:color w:val="375623"/>
                <w:sz w:val="20"/>
              </w:rPr>
              <w:t>10.11.2023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57EEDE72" w14:textId="6BCA83D7" w:rsidR="0D619399" w:rsidRPr="004E1DD0" w:rsidRDefault="0D619399" w:rsidP="0D619399">
            <w:pPr>
              <w:spacing w:after="0"/>
              <w:jc w:val="center"/>
              <w:rPr>
                <w:noProof/>
              </w:rPr>
            </w:pPr>
            <w:r>
              <w:rPr>
                <w:noProof/>
                <w:color w:val="375623"/>
                <w:sz w:val="20"/>
              </w:rPr>
              <w:t>10.11.2023</w:t>
            </w:r>
          </w:p>
        </w:tc>
      </w:tr>
      <w:tr w:rsidR="0D619399" w:rsidRPr="004E1DD0" w14:paraId="39D558E8"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5D064B31" w14:textId="0D83E2E2" w:rsidR="0D619399" w:rsidRPr="004E1DD0" w:rsidRDefault="0D619399" w:rsidP="0D619399">
            <w:pPr>
              <w:spacing w:after="0"/>
              <w:jc w:val="center"/>
              <w:rPr>
                <w:noProof/>
              </w:rPr>
            </w:pPr>
            <w:r>
              <w:rPr>
                <w:b/>
                <w:noProof/>
                <w:color w:val="000000" w:themeColor="text1"/>
                <w:sz w:val="20"/>
              </w:rPr>
              <w:t>CY</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75C22D1" w14:textId="6F6FC9E8" w:rsidR="0D619399" w:rsidRPr="008C3BC1" w:rsidRDefault="0D619399" w:rsidP="02BB932C">
            <w:pPr>
              <w:spacing w:after="0"/>
              <w:jc w:val="center"/>
              <w:rPr>
                <w:noProof/>
                <w:color w:val="375623"/>
                <w:sz w:val="20"/>
                <w:szCs w:val="20"/>
              </w:rPr>
            </w:pPr>
            <w:r>
              <w:rPr>
                <w:noProof/>
                <w:color w:val="375623"/>
                <w:sz w:val="20"/>
              </w:rPr>
              <w:t>30.10.2024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0AED1AA" w14:textId="1955171A"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30.10.2024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1836C27" w14:textId="4DB12CE4"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30.10.2024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2B35BCEF" w14:textId="432E2559" w:rsidR="0D619399" w:rsidRPr="004E1DD0" w:rsidRDefault="01814BE4" w:rsidP="02BB932C">
            <w:pPr>
              <w:spacing w:after="0"/>
              <w:jc w:val="center"/>
              <w:rPr>
                <w:noProof/>
                <w:color w:val="385623" w:themeColor="accent6" w:themeShade="80"/>
                <w:sz w:val="20"/>
                <w:szCs w:val="20"/>
              </w:rPr>
            </w:pPr>
            <w:r>
              <w:rPr>
                <w:noProof/>
                <w:color w:val="385623" w:themeColor="accent6" w:themeShade="80"/>
                <w:sz w:val="20"/>
              </w:rPr>
              <w:t>19.05.2025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30F1FCCD" w14:textId="5B727193" w:rsidR="0D619399" w:rsidRPr="004E1DD0" w:rsidRDefault="31288E1F" w:rsidP="02BB932C">
            <w:pPr>
              <w:spacing w:after="0"/>
              <w:jc w:val="center"/>
              <w:rPr>
                <w:noProof/>
                <w:color w:val="385623" w:themeColor="accent6" w:themeShade="80"/>
                <w:sz w:val="20"/>
                <w:szCs w:val="20"/>
              </w:rPr>
            </w:pPr>
            <w:r>
              <w:rPr>
                <w:noProof/>
                <w:color w:val="385623" w:themeColor="accent6" w:themeShade="80"/>
                <w:sz w:val="20"/>
              </w:rPr>
              <w:t>19.05.2025</w:t>
            </w:r>
          </w:p>
        </w:tc>
      </w:tr>
      <w:tr w:rsidR="0D619399" w:rsidRPr="004E1DD0" w14:paraId="4BE5EB6C" w14:textId="77777777" w:rsidTr="004876B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B4B629F" w14:textId="2186D193" w:rsidR="0D619399" w:rsidRPr="004E1DD0" w:rsidRDefault="0D619399" w:rsidP="0D619399">
            <w:pPr>
              <w:spacing w:after="0"/>
              <w:jc w:val="center"/>
              <w:rPr>
                <w:noProof/>
              </w:rPr>
            </w:pPr>
            <w:r>
              <w:rPr>
                <w:b/>
                <w:noProof/>
                <w:color w:val="000000" w:themeColor="text1"/>
                <w:sz w:val="20"/>
              </w:rPr>
              <w:t>CZ</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9952F65" w14:textId="19064EC1" w:rsidR="0D619399" w:rsidRPr="008C3BC1" w:rsidRDefault="0D619399" w:rsidP="0D619399">
            <w:pPr>
              <w:spacing w:after="0"/>
              <w:jc w:val="center"/>
              <w:rPr>
                <w:noProof/>
                <w:color w:val="375623"/>
                <w:sz w:val="20"/>
                <w:szCs w:val="20"/>
              </w:rPr>
            </w:pPr>
            <w:r>
              <w:rPr>
                <w:noProof/>
                <w:color w:val="375623"/>
                <w:sz w:val="20"/>
              </w:rPr>
              <w:t>05.12.2023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6858355" w14:textId="07BB6289" w:rsidR="0D619399" w:rsidRPr="004E1DD0" w:rsidRDefault="0D619399" w:rsidP="0D619399">
            <w:pPr>
              <w:spacing w:after="0"/>
              <w:jc w:val="center"/>
              <w:rPr>
                <w:noProof/>
              </w:rPr>
            </w:pPr>
            <w:r>
              <w:rPr>
                <w:noProof/>
                <w:color w:val="375623"/>
                <w:sz w:val="20"/>
              </w:rPr>
              <w:t>05.12.2023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34BBCCE" w14:textId="3DCD83B9" w:rsidR="0D619399" w:rsidRPr="004E1DD0" w:rsidRDefault="0D619399" w:rsidP="0D619399">
            <w:pPr>
              <w:spacing w:after="0"/>
              <w:jc w:val="center"/>
              <w:rPr>
                <w:noProof/>
              </w:rPr>
            </w:pPr>
            <w:r>
              <w:rPr>
                <w:noProof/>
                <w:color w:val="375623"/>
                <w:sz w:val="20"/>
              </w:rPr>
              <w:t>05.12.2023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46510A82" w14:textId="4E5B11AD" w:rsidR="0D619399" w:rsidRPr="00C17060" w:rsidRDefault="614128F1" w:rsidP="02BB932C">
            <w:pPr>
              <w:spacing w:after="0"/>
              <w:jc w:val="center"/>
              <w:rPr>
                <w:b/>
                <w:bCs/>
                <w:noProof/>
                <w:color w:val="FF0000"/>
                <w:sz w:val="20"/>
                <w:szCs w:val="20"/>
              </w:rPr>
            </w:pPr>
            <w:r>
              <w:rPr>
                <w:b/>
                <w:noProof/>
                <w:color w:val="FF0000"/>
                <w:sz w:val="20"/>
              </w:rPr>
              <w:t>18.05.2026</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4CF6327C" w14:textId="1772EFBC" w:rsidR="0D619399" w:rsidRPr="00C17060" w:rsidRDefault="614128F1" w:rsidP="02BB932C">
            <w:pPr>
              <w:spacing w:after="0"/>
              <w:jc w:val="center"/>
              <w:rPr>
                <w:b/>
                <w:bCs/>
                <w:noProof/>
                <w:color w:val="FF0000"/>
                <w:sz w:val="20"/>
                <w:szCs w:val="20"/>
              </w:rPr>
            </w:pPr>
            <w:r>
              <w:rPr>
                <w:b/>
                <w:noProof/>
                <w:color w:val="FF0000"/>
                <w:sz w:val="20"/>
              </w:rPr>
              <w:t>18.05.2026</w:t>
            </w:r>
          </w:p>
        </w:tc>
      </w:tr>
      <w:tr w:rsidR="0D619399" w:rsidRPr="004E1DD0" w14:paraId="07F825EC" w14:textId="77777777" w:rsidTr="0051689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C5E0583" w14:textId="4CCA46BB" w:rsidR="0D619399" w:rsidRPr="004E1DD0" w:rsidRDefault="0D619399" w:rsidP="0D619399">
            <w:pPr>
              <w:spacing w:after="0"/>
              <w:jc w:val="center"/>
              <w:rPr>
                <w:noProof/>
              </w:rPr>
            </w:pPr>
            <w:r>
              <w:rPr>
                <w:b/>
                <w:noProof/>
                <w:color w:val="000000" w:themeColor="text1"/>
                <w:sz w:val="20"/>
              </w:rPr>
              <w:t>DE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CBDCB23" w14:textId="27A966A4" w:rsidR="0D619399" w:rsidRPr="008C3BC1" w:rsidRDefault="0D619399" w:rsidP="0D619399">
            <w:pPr>
              <w:spacing w:after="0"/>
              <w:jc w:val="center"/>
              <w:rPr>
                <w:noProof/>
                <w:color w:val="375623"/>
                <w:sz w:val="20"/>
                <w:szCs w:val="20"/>
              </w:rPr>
            </w:pPr>
            <w:r>
              <w:rPr>
                <w:noProof/>
                <w:color w:val="375623"/>
                <w:sz w:val="20"/>
              </w:rPr>
              <w:t xml:space="preserve"> s.o.</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53F2A3A" w14:textId="0C2ADEDF" w:rsidR="0D619399" w:rsidRPr="004E1DD0" w:rsidRDefault="0D619399" w:rsidP="0D619399">
            <w:pPr>
              <w:spacing w:after="0"/>
              <w:jc w:val="center"/>
              <w:rPr>
                <w:noProof/>
              </w:rPr>
            </w:pPr>
            <w:r>
              <w:rPr>
                <w:noProof/>
                <w:color w:val="375623"/>
                <w:sz w:val="20"/>
              </w:rPr>
              <w:t>06.03.2021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D8967F1" w14:textId="0A1EFE21" w:rsidR="0D619399" w:rsidRPr="004E1DD0" w:rsidRDefault="0D619399" w:rsidP="0D619399">
            <w:pPr>
              <w:spacing w:after="0"/>
              <w:jc w:val="center"/>
              <w:rPr>
                <w:noProof/>
              </w:rPr>
            </w:pPr>
            <w:r>
              <w:rPr>
                <w:noProof/>
                <w:color w:val="375623"/>
                <w:sz w:val="20"/>
              </w:rPr>
              <w:t>06.03.2021</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2E644BC" w14:textId="0495B376" w:rsidR="0D619399" w:rsidRPr="004E1DD0" w:rsidRDefault="21872CCF" w:rsidP="54AD8F9A">
            <w:pPr>
              <w:spacing w:after="0"/>
              <w:jc w:val="center"/>
              <w:rPr>
                <w:noProof/>
                <w:color w:val="375623"/>
                <w:sz w:val="20"/>
                <w:szCs w:val="20"/>
              </w:rPr>
            </w:pPr>
            <w:r>
              <w:rPr>
                <w:noProof/>
                <w:color w:val="375623"/>
                <w:sz w:val="20"/>
              </w:rPr>
              <w:t>06.03.2021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57F8E08F" w14:textId="5398C5C7" w:rsidR="0D619399" w:rsidRPr="004E1DD0" w:rsidRDefault="0D619399" w:rsidP="0D619399">
            <w:pPr>
              <w:spacing w:after="0"/>
              <w:jc w:val="center"/>
              <w:rPr>
                <w:noProof/>
              </w:rPr>
            </w:pPr>
            <w:r>
              <w:rPr>
                <w:noProof/>
                <w:color w:val="375623"/>
                <w:sz w:val="20"/>
              </w:rPr>
              <w:t>06.03.2021</w:t>
            </w:r>
          </w:p>
        </w:tc>
      </w:tr>
      <w:tr w:rsidR="0D619399" w:rsidRPr="004E1DD0" w14:paraId="4BAB7C0F"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5D8BB34F" w14:textId="0AA9B59A" w:rsidR="0D619399" w:rsidRPr="004E1DD0" w:rsidRDefault="0D619399" w:rsidP="0D619399">
            <w:pPr>
              <w:spacing w:after="0"/>
              <w:jc w:val="center"/>
              <w:rPr>
                <w:noProof/>
              </w:rPr>
            </w:pPr>
            <w:r>
              <w:rPr>
                <w:b/>
                <w:noProof/>
                <w:color w:val="000000" w:themeColor="text1"/>
                <w:sz w:val="20"/>
              </w:rPr>
              <w:t>DK</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4D14F9E" w14:textId="009F8DBE" w:rsidR="0D619399" w:rsidRPr="004E1DD0" w:rsidRDefault="0D619399" w:rsidP="0D619399">
            <w:pPr>
              <w:spacing w:after="0"/>
              <w:jc w:val="center"/>
              <w:rPr>
                <w:noProof/>
              </w:rPr>
            </w:pPr>
            <w:r>
              <w:rPr>
                <w:noProof/>
                <w:color w:val="375623"/>
                <w:sz w:val="20"/>
              </w:rPr>
              <w:t>06.11.2023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38B97DC" w14:textId="1C29886F" w:rsidR="0D619399" w:rsidRPr="004E1DD0" w:rsidRDefault="0D619399" w:rsidP="0D619399">
            <w:pPr>
              <w:spacing w:after="0"/>
              <w:jc w:val="center"/>
              <w:rPr>
                <w:noProof/>
              </w:rPr>
            </w:pPr>
            <w:r>
              <w:rPr>
                <w:noProof/>
                <w:color w:val="375623"/>
                <w:sz w:val="20"/>
              </w:rPr>
              <w:t>06.11.2023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7B5CE786" w14:textId="1F91F144" w:rsidR="0D619399" w:rsidRPr="004E1DD0" w:rsidRDefault="549454CD" w:rsidP="7B8E4445">
            <w:pPr>
              <w:spacing w:after="0"/>
              <w:jc w:val="center"/>
              <w:rPr>
                <w:noProof/>
                <w:color w:val="385623" w:themeColor="accent6" w:themeShade="80"/>
                <w:sz w:val="20"/>
                <w:szCs w:val="20"/>
              </w:rPr>
            </w:pPr>
            <w:r>
              <w:rPr>
                <w:noProof/>
                <w:color w:val="385623" w:themeColor="accent6" w:themeShade="80"/>
                <w:sz w:val="20"/>
              </w:rPr>
              <w:t>07.06.2025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DF187AC" w14:textId="3B59F159" w:rsidR="0D619399" w:rsidRPr="004E1DD0" w:rsidRDefault="3488E9B9" w:rsidP="7B8E4445">
            <w:pPr>
              <w:spacing w:after="0"/>
              <w:jc w:val="center"/>
              <w:rPr>
                <w:noProof/>
                <w:color w:val="385623" w:themeColor="accent6" w:themeShade="80"/>
                <w:sz w:val="20"/>
                <w:szCs w:val="20"/>
              </w:rPr>
            </w:pPr>
            <w:r>
              <w:rPr>
                <w:noProof/>
                <w:color w:val="385623" w:themeColor="accent6" w:themeShade="80"/>
                <w:sz w:val="20"/>
              </w:rPr>
              <w:t>07.06.2025*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5C56EB8C" w14:textId="289E7597" w:rsidR="0D619399" w:rsidRPr="004E1DD0" w:rsidRDefault="0E56FC59" w:rsidP="7B8E4445">
            <w:pPr>
              <w:spacing w:after="0"/>
              <w:jc w:val="center"/>
              <w:rPr>
                <w:noProof/>
                <w:color w:val="385623" w:themeColor="accent6" w:themeShade="80"/>
                <w:sz w:val="20"/>
                <w:szCs w:val="20"/>
              </w:rPr>
            </w:pPr>
            <w:r>
              <w:rPr>
                <w:noProof/>
                <w:color w:val="385623" w:themeColor="accent6" w:themeShade="80"/>
                <w:sz w:val="20"/>
              </w:rPr>
              <w:t>07.06.2025</w:t>
            </w:r>
          </w:p>
        </w:tc>
      </w:tr>
      <w:tr w:rsidR="0D619399" w:rsidRPr="004E1DD0" w14:paraId="67311C56"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F85B13E" w14:textId="1408AEC1" w:rsidR="0D619399" w:rsidRPr="004E1DD0" w:rsidRDefault="0D619399" w:rsidP="0D619399">
            <w:pPr>
              <w:spacing w:after="0"/>
              <w:jc w:val="center"/>
              <w:rPr>
                <w:noProof/>
              </w:rPr>
            </w:pPr>
            <w:r>
              <w:rPr>
                <w:b/>
                <w:noProof/>
                <w:color w:val="000000" w:themeColor="text1"/>
                <w:sz w:val="20"/>
              </w:rPr>
              <w:t>EE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306CE25" w14:textId="1A6C4223" w:rsidR="0D619399" w:rsidRPr="004E1DD0" w:rsidRDefault="0D619399" w:rsidP="0D619399">
            <w:pPr>
              <w:spacing w:after="0"/>
              <w:jc w:val="center"/>
              <w:rPr>
                <w:noProof/>
              </w:rPr>
            </w:pPr>
            <w:r>
              <w:rPr>
                <w:noProof/>
                <w:color w:val="375623"/>
                <w:sz w:val="20"/>
              </w:rPr>
              <w:t>01.10.2023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F60A97C" w14:textId="2683AC88" w:rsidR="0D619399" w:rsidRPr="004E1DD0" w:rsidRDefault="0D619399" w:rsidP="0D619399">
            <w:pPr>
              <w:spacing w:after="0"/>
              <w:jc w:val="center"/>
              <w:rPr>
                <w:noProof/>
              </w:rPr>
            </w:pPr>
            <w:r>
              <w:rPr>
                <w:noProof/>
                <w:color w:val="375623"/>
                <w:sz w:val="20"/>
              </w:rPr>
              <w:t>15.03.2021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DA0B4D9" w14:textId="3E4D8589" w:rsidR="0D619399" w:rsidRPr="004E1DD0" w:rsidRDefault="0D619399" w:rsidP="0D619399">
            <w:pPr>
              <w:spacing w:after="0"/>
              <w:jc w:val="center"/>
              <w:rPr>
                <w:noProof/>
              </w:rPr>
            </w:pPr>
            <w:r>
              <w:rPr>
                <w:noProof/>
                <w:color w:val="375623"/>
                <w:sz w:val="20"/>
              </w:rPr>
              <w:t>01.07.2021</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22F4B8A" w14:textId="70CAD078" w:rsidR="0D619399" w:rsidRPr="004E1DD0" w:rsidRDefault="0D619399" w:rsidP="0D619399">
            <w:pPr>
              <w:spacing w:after="0"/>
              <w:jc w:val="center"/>
              <w:rPr>
                <w:noProof/>
              </w:rPr>
            </w:pPr>
            <w:r>
              <w:rPr>
                <w:noProof/>
                <w:color w:val="375623"/>
                <w:sz w:val="20"/>
              </w:rPr>
              <w:t>01.07.2021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18EC3C9B" w14:textId="201AE348" w:rsidR="0D619399" w:rsidRPr="004E1DD0" w:rsidRDefault="0D619399" w:rsidP="0D619399">
            <w:pPr>
              <w:spacing w:after="0"/>
              <w:jc w:val="center"/>
              <w:rPr>
                <w:noProof/>
              </w:rPr>
            </w:pPr>
            <w:r>
              <w:rPr>
                <w:noProof/>
                <w:color w:val="375623"/>
                <w:sz w:val="20"/>
              </w:rPr>
              <w:t>01.07.2021</w:t>
            </w:r>
          </w:p>
        </w:tc>
      </w:tr>
      <w:tr w:rsidR="0D619399" w:rsidRPr="004E1DD0" w14:paraId="43E041DF"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B3DD707" w14:textId="413A9FBB" w:rsidR="0D619399" w:rsidRPr="004E1DD0" w:rsidRDefault="0D619399" w:rsidP="0D619399">
            <w:pPr>
              <w:spacing w:after="0"/>
              <w:jc w:val="center"/>
              <w:rPr>
                <w:noProof/>
              </w:rPr>
            </w:pPr>
            <w:r>
              <w:rPr>
                <w:b/>
                <w:noProof/>
                <w:color w:val="000000" w:themeColor="text1"/>
                <w:sz w:val="20"/>
              </w:rPr>
              <w:t>ES</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9F4FF49" w14:textId="384F99CC" w:rsidR="0D619399" w:rsidRPr="004E1DD0" w:rsidRDefault="0D619399" w:rsidP="0D619399">
            <w:pPr>
              <w:spacing w:after="0"/>
              <w:jc w:val="center"/>
              <w:rPr>
                <w:noProof/>
              </w:rPr>
            </w:pPr>
            <w:r>
              <w:rPr>
                <w:noProof/>
                <w:color w:val="375623"/>
                <w:sz w:val="20"/>
              </w:rPr>
              <w:t>01.03.2023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9BD2135" w14:textId="084C3643" w:rsidR="0D619399" w:rsidRPr="004E1DD0" w:rsidRDefault="0D619399" w:rsidP="0D619399">
            <w:pPr>
              <w:spacing w:after="0"/>
              <w:jc w:val="center"/>
              <w:rPr>
                <w:noProof/>
              </w:rPr>
            </w:pPr>
            <w:r>
              <w:rPr>
                <w:noProof/>
                <w:color w:val="375623"/>
                <w:sz w:val="20"/>
              </w:rPr>
              <w:t>01.01.2024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80FE62F" w14:textId="11A0B43A" w:rsidR="0D619399" w:rsidRPr="004E1DD0" w:rsidRDefault="0D619399" w:rsidP="0D619399">
            <w:pPr>
              <w:spacing w:after="0"/>
              <w:jc w:val="center"/>
              <w:rPr>
                <w:noProof/>
              </w:rPr>
            </w:pPr>
            <w:r>
              <w:rPr>
                <w:noProof/>
                <w:color w:val="375623"/>
                <w:sz w:val="20"/>
              </w:rPr>
              <w:t>01.01.2024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7EEED87" w14:textId="6EC113C8" w:rsidR="0D619399" w:rsidRPr="004E1DD0" w:rsidRDefault="0D619399" w:rsidP="0D619399">
            <w:pPr>
              <w:spacing w:after="0"/>
              <w:jc w:val="center"/>
              <w:rPr>
                <w:noProof/>
              </w:rPr>
            </w:pPr>
            <w:r>
              <w:rPr>
                <w:noProof/>
                <w:color w:val="375623"/>
                <w:sz w:val="20"/>
              </w:rPr>
              <w:t>05.09.2023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4F10219F" w14:textId="26E7D718" w:rsidR="0D619399" w:rsidRPr="004E1DD0" w:rsidRDefault="0D619399" w:rsidP="0D619399">
            <w:pPr>
              <w:spacing w:after="0"/>
              <w:jc w:val="center"/>
              <w:rPr>
                <w:noProof/>
              </w:rPr>
            </w:pPr>
            <w:r>
              <w:rPr>
                <w:noProof/>
                <w:color w:val="375623"/>
                <w:sz w:val="20"/>
              </w:rPr>
              <w:t>05.09.2023</w:t>
            </w:r>
          </w:p>
        </w:tc>
      </w:tr>
      <w:tr w:rsidR="0D619399" w:rsidRPr="004E1DD0" w14:paraId="61820F8A" w14:textId="77777777" w:rsidTr="00516890">
        <w:trPr>
          <w:trHeight w:val="353"/>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4EE852C" w14:textId="4981AEAE" w:rsidR="0D619399" w:rsidRPr="004E1DD0" w:rsidRDefault="0D619399" w:rsidP="0D619399">
            <w:pPr>
              <w:spacing w:after="0"/>
              <w:jc w:val="center"/>
              <w:rPr>
                <w:noProof/>
              </w:rPr>
            </w:pPr>
            <w:r>
              <w:rPr>
                <w:b/>
                <w:noProof/>
                <w:color w:val="000000" w:themeColor="text1"/>
                <w:sz w:val="20"/>
              </w:rPr>
              <w:t>FI</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329288B" w14:textId="1258D7D0"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31.03.2023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BD78E7A" w14:textId="7E79FABA"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31.03.2021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6F399EC" w14:textId="337F1161"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31.12.2022</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38D15E7" w14:textId="085125B9" w:rsidR="0D619399" w:rsidRPr="004E1DD0" w:rsidRDefault="7CEBD625" w:rsidP="00516890">
            <w:pPr>
              <w:spacing w:after="0"/>
              <w:jc w:val="center"/>
              <w:rPr>
                <w:noProof/>
                <w:color w:val="385623" w:themeColor="accent6" w:themeShade="80"/>
                <w:sz w:val="20"/>
                <w:szCs w:val="20"/>
              </w:rPr>
            </w:pPr>
            <w:r>
              <w:rPr>
                <w:noProof/>
                <w:color w:val="385623" w:themeColor="accent6" w:themeShade="80"/>
                <w:sz w:val="20"/>
              </w:rPr>
              <w:t>31.12.2022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11C70F81" w14:textId="49C3C50D"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31.12.2022</w:t>
            </w:r>
          </w:p>
        </w:tc>
      </w:tr>
      <w:tr w:rsidR="0D619399" w:rsidRPr="004E1DD0" w14:paraId="134D1663"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FB65858" w14:textId="03C5016E" w:rsidR="0D619399" w:rsidRPr="004E1DD0" w:rsidRDefault="0D619399" w:rsidP="0D619399">
            <w:pPr>
              <w:spacing w:after="0"/>
              <w:jc w:val="center"/>
              <w:rPr>
                <w:noProof/>
              </w:rPr>
            </w:pPr>
            <w:r>
              <w:rPr>
                <w:b/>
                <w:noProof/>
                <w:color w:val="000000" w:themeColor="text1"/>
                <w:sz w:val="20"/>
              </w:rPr>
              <w:t>FR</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DF1D43A" w14:textId="28FC1C94"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30.06.2023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19FF867" w14:textId="71BCAA90"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06.03.2024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7AC1752D" w14:textId="741AB774"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06.03.2024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598F6D5" w14:textId="7D13D98B"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30.11.2024*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34E1D563" w14:textId="103797AA"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30.11.2024</w:t>
            </w:r>
          </w:p>
        </w:tc>
      </w:tr>
      <w:tr w:rsidR="0D619399" w:rsidRPr="004E1DD0" w14:paraId="149049CD"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323E64D" w14:textId="25D95BAD" w:rsidR="0D619399" w:rsidRPr="004E1DD0" w:rsidRDefault="0D619399" w:rsidP="0D619399">
            <w:pPr>
              <w:spacing w:after="0"/>
              <w:jc w:val="center"/>
              <w:rPr>
                <w:noProof/>
              </w:rPr>
            </w:pPr>
            <w:r>
              <w:rPr>
                <w:b/>
                <w:noProof/>
                <w:color w:val="000000" w:themeColor="text1"/>
                <w:sz w:val="20"/>
              </w:rPr>
              <w:t>GR</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DBF5A41" w14:textId="6AA29686" w:rsidR="0D619399" w:rsidRPr="004E1DD0" w:rsidRDefault="0D619399" w:rsidP="0D619399">
            <w:pPr>
              <w:spacing w:after="0"/>
              <w:jc w:val="center"/>
              <w:rPr>
                <w:noProof/>
              </w:rPr>
            </w:pPr>
            <w:r>
              <w:rPr>
                <w:noProof/>
                <w:color w:val="375623"/>
                <w:sz w:val="20"/>
              </w:rPr>
              <w:t>31.12.2023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AF1E3DB" w14:textId="448F4210" w:rsidR="0D619399" w:rsidRPr="004E1DD0" w:rsidRDefault="0D619399" w:rsidP="0D619399">
            <w:pPr>
              <w:spacing w:after="0"/>
              <w:jc w:val="center"/>
              <w:rPr>
                <w:noProof/>
              </w:rPr>
            </w:pPr>
            <w:r>
              <w:rPr>
                <w:noProof/>
                <w:color w:val="375623"/>
                <w:sz w:val="20"/>
              </w:rPr>
              <w:t>31.12.2023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CCC"/>
            <w:tcMar>
              <w:left w:w="70" w:type="dxa"/>
              <w:right w:w="70" w:type="dxa"/>
            </w:tcMar>
            <w:vAlign w:val="center"/>
          </w:tcPr>
          <w:p w14:paraId="7B811F77" w14:textId="332D922C" w:rsidR="0D619399" w:rsidRPr="004E1DD0" w:rsidRDefault="065FBE94" w:rsidP="02BB932C">
            <w:pPr>
              <w:spacing w:after="0"/>
              <w:jc w:val="center"/>
              <w:rPr>
                <w:b/>
                <w:bCs/>
                <w:noProof/>
                <w:color w:val="C00000"/>
                <w:sz w:val="20"/>
                <w:szCs w:val="20"/>
              </w:rPr>
            </w:pPr>
            <w:r>
              <w:rPr>
                <w:b/>
                <w:noProof/>
                <w:color w:val="C00000"/>
                <w:sz w:val="20"/>
              </w:rPr>
              <w:t>31.12.2027</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B7F473B" w14:textId="6BB7F714" w:rsidR="0D619399" w:rsidRPr="004E1DD0" w:rsidRDefault="6ADFBDF5" w:rsidP="7B8E4445">
            <w:pPr>
              <w:spacing w:after="0"/>
              <w:jc w:val="center"/>
              <w:rPr>
                <w:noProof/>
                <w:color w:val="385623" w:themeColor="accent6" w:themeShade="80"/>
                <w:sz w:val="20"/>
                <w:szCs w:val="20"/>
              </w:rPr>
            </w:pPr>
            <w:r>
              <w:rPr>
                <w:noProof/>
                <w:color w:val="385623" w:themeColor="accent6" w:themeShade="80"/>
                <w:sz w:val="20"/>
              </w:rPr>
              <w:t>06.08.2024*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5205E047" w14:textId="05620EBE" w:rsidR="0D619399" w:rsidRPr="004E1DD0" w:rsidRDefault="4543F0D0" w:rsidP="7B8E4445">
            <w:pPr>
              <w:spacing w:after="0"/>
              <w:jc w:val="center"/>
              <w:rPr>
                <w:noProof/>
                <w:color w:val="385623" w:themeColor="accent6" w:themeShade="80"/>
                <w:sz w:val="20"/>
                <w:szCs w:val="20"/>
              </w:rPr>
            </w:pPr>
            <w:r>
              <w:rPr>
                <w:noProof/>
                <w:color w:val="385623" w:themeColor="accent6" w:themeShade="80"/>
                <w:sz w:val="20"/>
              </w:rPr>
              <w:t>06.08.2024</w:t>
            </w:r>
          </w:p>
        </w:tc>
      </w:tr>
      <w:tr w:rsidR="0D619399" w:rsidRPr="004E1DD0" w14:paraId="38CEC47E"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CEB162A" w14:textId="21F16C18" w:rsidR="0D619399" w:rsidRPr="004E1DD0" w:rsidRDefault="0D619399" w:rsidP="0D619399">
            <w:pPr>
              <w:spacing w:after="0"/>
              <w:jc w:val="center"/>
              <w:rPr>
                <w:noProof/>
              </w:rPr>
            </w:pPr>
            <w:r>
              <w:rPr>
                <w:b/>
                <w:noProof/>
                <w:color w:val="000000" w:themeColor="text1"/>
                <w:sz w:val="20"/>
              </w:rPr>
              <w:t>HR</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82FD068" w14:textId="12F5B190" w:rsidR="0D619399" w:rsidRPr="004E1DD0" w:rsidRDefault="0D619399" w:rsidP="0D619399">
            <w:pPr>
              <w:spacing w:after="0"/>
              <w:jc w:val="center"/>
              <w:rPr>
                <w:noProof/>
              </w:rPr>
            </w:pPr>
            <w:r>
              <w:rPr>
                <w:noProof/>
                <w:color w:val="375623"/>
                <w:sz w:val="20"/>
              </w:rPr>
              <w:t>01.07.2023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C2CBA92" w14:textId="05FD85FA" w:rsidR="0D619399" w:rsidRPr="004E1DD0" w:rsidRDefault="0D619399" w:rsidP="0D619399">
            <w:pPr>
              <w:spacing w:after="0"/>
              <w:jc w:val="center"/>
              <w:rPr>
                <w:noProof/>
              </w:rPr>
            </w:pPr>
            <w:r>
              <w:rPr>
                <w:noProof/>
                <w:color w:val="375623"/>
                <w:sz w:val="20"/>
              </w:rPr>
              <w:t>01.03.2023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0D20320" w14:textId="6EFF23D3" w:rsidR="0D619399" w:rsidRPr="004E1DD0" w:rsidRDefault="0D619399" w:rsidP="0D619399">
            <w:pPr>
              <w:spacing w:after="0"/>
              <w:jc w:val="center"/>
              <w:rPr>
                <w:noProof/>
              </w:rPr>
            </w:pPr>
            <w:r>
              <w:rPr>
                <w:noProof/>
                <w:color w:val="375623"/>
                <w:sz w:val="20"/>
              </w:rPr>
              <w:t>17.04.2023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00E4222" w14:textId="411CDF4A" w:rsidR="0D619399" w:rsidRPr="004E1DD0" w:rsidRDefault="0D619399" w:rsidP="0D619399">
            <w:pPr>
              <w:spacing w:after="0"/>
              <w:jc w:val="center"/>
              <w:rPr>
                <w:noProof/>
              </w:rPr>
            </w:pPr>
            <w:r>
              <w:rPr>
                <w:noProof/>
                <w:color w:val="375623"/>
                <w:sz w:val="20"/>
              </w:rPr>
              <w:t>01.01.2023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53F3CBB2" w14:textId="125F7647" w:rsidR="0D619399" w:rsidRPr="004E1DD0" w:rsidRDefault="0D619399" w:rsidP="0D619399">
            <w:pPr>
              <w:spacing w:after="0"/>
              <w:jc w:val="center"/>
              <w:rPr>
                <w:noProof/>
              </w:rPr>
            </w:pPr>
            <w:r>
              <w:rPr>
                <w:noProof/>
                <w:color w:val="375623"/>
                <w:sz w:val="20"/>
              </w:rPr>
              <w:t>01.01.2023</w:t>
            </w:r>
          </w:p>
        </w:tc>
      </w:tr>
      <w:tr w:rsidR="0D619399" w:rsidRPr="004E1DD0" w14:paraId="60983699"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6600E3D9" w14:textId="217953C0" w:rsidR="0D619399" w:rsidRPr="004E1DD0" w:rsidRDefault="0D619399" w:rsidP="0D619399">
            <w:pPr>
              <w:spacing w:after="0"/>
              <w:jc w:val="center"/>
              <w:rPr>
                <w:noProof/>
              </w:rPr>
            </w:pPr>
            <w:r>
              <w:rPr>
                <w:b/>
                <w:noProof/>
                <w:color w:val="000000" w:themeColor="text1"/>
                <w:sz w:val="20"/>
              </w:rPr>
              <w:t>HU</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2BB9258" w14:textId="0626C3D2" w:rsidR="0D619399" w:rsidRPr="004E1DD0" w:rsidRDefault="0D619399" w:rsidP="0D619399">
            <w:pPr>
              <w:spacing w:after="0"/>
              <w:jc w:val="center"/>
              <w:rPr>
                <w:noProof/>
              </w:rPr>
            </w:pPr>
            <w:r>
              <w:rPr>
                <w:noProof/>
                <w:color w:val="375623"/>
                <w:sz w:val="20"/>
              </w:rPr>
              <w:t>02.04.2024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5EADA11" w14:textId="6449661F" w:rsidR="0D619399" w:rsidRPr="004E1DD0" w:rsidRDefault="0D619399" w:rsidP="0D619399">
            <w:pPr>
              <w:spacing w:after="0"/>
              <w:jc w:val="center"/>
              <w:rPr>
                <w:noProof/>
              </w:rPr>
            </w:pPr>
            <w:r>
              <w:rPr>
                <w:noProof/>
                <w:color w:val="375623"/>
                <w:sz w:val="20"/>
              </w:rPr>
              <w:t>02.04.2024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1C37D1B" w14:textId="17582BBE" w:rsidR="0D619399" w:rsidRPr="004E1DD0" w:rsidRDefault="0D619399" w:rsidP="0D619399">
            <w:pPr>
              <w:spacing w:after="0"/>
              <w:jc w:val="center"/>
              <w:rPr>
                <w:noProof/>
              </w:rPr>
            </w:pPr>
            <w:r>
              <w:rPr>
                <w:noProof/>
                <w:color w:val="375623"/>
                <w:sz w:val="20"/>
              </w:rPr>
              <w:t>02.04.2024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50A059C" w14:textId="2D75B967" w:rsidR="0D619399" w:rsidRPr="004E1DD0" w:rsidRDefault="1D9E9A98" w:rsidP="54AD8F9A">
            <w:pPr>
              <w:spacing w:after="0"/>
              <w:jc w:val="center"/>
              <w:rPr>
                <w:noProof/>
                <w:color w:val="375623"/>
                <w:sz w:val="20"/>
                <w:szCs w:val="20"/>
              </w:rPr>
            </w:pPr>
            <w:r>
              <w:rPr>
                <w:noProof/>
                <w:color w:val="375623"/>
                <w:sz w:val="20"/>
              </w:rPr>
              <w:t>01.11.2023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2568AD72" w14:textId="7BD66473" w:rsidR="0D619399" w:rsidRPr="004E1DD0" w:rsidRDefault="156A5CDA" w:rsidP="54AD8F9A">
            <w:pPr>
              <w:spacing w:after="0"/>
              <w:jc w:val="center"/>
              <w:rPr>
                <w:noProof/>
                <w:color w:val="375623"/>
                <w:sz w:val="20"/>
                <w:szCs w:val="20"/>
              </w:rPr>
            </w:pPr>
            <w:r>
              <w:rPr>
                <w:noProof/>
                <w:color w:val="375623"/>
                <w:sz w:val="20"/>
              </w:rPr>
              <w:t>01.11.2023</w:t>
            </w:r>
          </w:p>
        </w:tc>
      </w:tr>
      <w:tr w:rsidR="0D619399" w:rsidRPr="004E1DD0" w14:paraId="5F4DF80E"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F7DCFF1" w14:textId="43C897B9" w:rsidR="0D619399" w:rsidRPr="004E1DD0" w:rsidRDefault="0D619399" w:rsidP="0D619399">
            <w:pPr>
              <w:spacing w:after="0"/>
              <w:jc w:val="center"/>
              <w:rPr>
                <w:noProof/>
              </w:rPr>
            </w:pPr>
            <w:r>
              <w:rPr>
                <w:b/>
                <w:noProof/>
                <w:color w:val="000000" w:themeColor="text1"/>
                <w:sz w:val="20"/>
              </w:rPr>
              <w:t>IE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5DF2F8B" w14:textId="0D770762" w:rsidR="0D619399" w:rsidRPr="004E1DD0" w:rsidRDefault="0D619399" w:rsidP="0D619399">
            <w:pPr>
              <w:spacing w:after="0"/>
              <w:jc w:val="center"/>
              <w:rPr>
                <w:noProof/>
              </w:rPr>
            </w:pPr>
            <w:r>
              <w:rPr>
                <w:noProof/>
                <w:color w:val="375623"/>
                <w:sz w:val="20"/>
              </w:rPr>
              <w:t>01.07.2023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F18E768" w14:textId="10EC331F" w:rsidR="0D619399" w:rsidRPr="004E1DD0" w:rsidRDefault="0D619399" w:rsidP="0D619399">
            <w:pPr>
              <w:spacing w:after="0"/>
              <w:jc w:val="center"/>
              <w:rPr>
                <w:noProof/>
              </w:rPr>
            </w:pPr>
            <w:r>
              <w:rPr>
                <w:noProof/>
                <w:color w:val="375623"/>
                <w:sz w:val="20"/>
              </w:rPr>
              <w:t>23.11.2020</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E5F44D7" w14:textId="7FB7F5A2" w:rsidR="0D619399" w:rsidRPr="004E1DD0" w:rsidRDefault="0D619399" w:rsidP="0D619399">
            <w:pPr>
              <w:spacing w:after="0"/>
              <w:jc w:val="center"/>
              <w:rPr>
                <w:noProof/>
              </w:rPr>
            </w:pPr>
            <w:r>
              <w:rPr>
                <w:noProof/>
                <w:color w:val="375623"/>
                <w:sz w:val="20"/>
              </w:rPr>
              <w:t>23.11.2020</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2D20E3A" w14:textId="61BD8ABF" w:rsidR="0D619399" w:rsidRPr="004E1DD0" w:rsidRDefault="16E5B4DB" w:rsidP="7B8E4445">
            <w:pPr>
              <w:spacing w:after="0"/>
              <w:jc w:val="center"/>
              <w:rPr>
                <w:noProof/>
                <w:color w:val="385623" w:themeColor="accent6" w:themeShade="80"/>
                <w:sz w:val="20"/>
                <w:szCs w:val="20"/>
              </w:rPr>
            </w:pPr>
            <w:r>
              <w:rPr>
                <w:noProof/>
                <w:color w:val="385623" w:themeColor="accent6" w:themeShade="80"/>
                <w:sz w:val="20"/>
              </w:rPr>
              <w:t>05.10.2021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D7953E7" w14:textId="0117BB30" w:rsidR="0D619399" w:rsidRPr="004E1DD0" w:rsidRDefault="0D619399" w:rsidP="0D619399">
            <w:pPr>
              <w:spacing w:after="0"/>
              <w:jc w:val="center"/>
              <w:rPr>
                <w:noProof/>
              </w:rPr>
            </w:pPr>
            <w:r>
              <w:rPr>
                <w:noProof/>
                <w:color w:val="375623"/>
                <w:sz w:val="20"/>
              </w:rPr>
              <w:t>23.11.2020</w:t>
            </w:r>
          </w:p>
        </w:tc>
      </w:tr>
      <w:tr w:rsidR="0D619399" w:rsidRPr="004E1DD0" w14:paraId="32329F1C"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4E9D9454" w14:textId="1094C747" w:rsidR="0D619399" w:rsidRPr="004E1DD0" w:rsidRDefault="0D619399" w:rsidP="0D619399">
            <w:pPr>
              <w:spacing w:after="0"/>
              <w:jc w:val="center"/>
              <w:rPr>
                <w:noProof/>
              </w:rPr>
            </w:pPr>
            <w:r>
              <w:rPr>
                <w:b/>
                <w:noProof/>
                <w:color w:val="000000" w:themeColor="text1"/>
                <w:sz w:val="20"/>
              </w:rPr>
              <w:t>IT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C8BB6CA" w14:textId="5F9F0924" w:rsidR="0D619399" w:rsidRPr="004E1DD0" w:rsidRDefault="0D619399" w:rsidP="0D619399">
            <w:pPr>
              <w:spacing w:after="0"/>
              <w:jc w:val="center"/>
              <w:rPr>
                <w:noProof/>
              </w:rPr>
            </w:pPr>
            <w:r>
              <w:rPr>
                <w:noProof/>
                <w:color w:val="375623"/>
                <w:sz w:val="20"/>
              </w:rPr>
              <w:t>13.12.2022</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AAE32E4" w14:textId="626264B2" w:rsidR="0D619399" w:rsidRPr="004E1DD0" w:rsidRDefault="0D619399" w:rsidP="0D619399">
            <w:pPr>
              <w:spacing w:after="0"/>
              <w:jc w:val="center"/>
              <w:rPr>
                <w:noProof/>
              </w:rPr>
            </w:pPr>
            <w:r>
              <w:rPr>
                <w:noProof/>
                <w:color w:val="375623"/>
                <w:sz w:val="20"/>
              </w:rPr>
              <w:t>13.12.2022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98841CF" w14:textId="7B9E85CB" w:rsidR="0D619399" w:rsidRPr="004E1DD0" w:rsidRDefault="0D619399" w:rsidP="0D619399">
            <w:pPr>
              <w:spacing w:after="0"/>
              <w:jc w:val="center"/>
              <w:rPr>
                <w:noProof/>
              </w:rPr>
            </w:pPr>
            <w:r>
              <w:rPr>
                <w:noProof/>
                <w:color w:val="375623"/>
                <w:sz w:val="20"/>
              </w:rPr>
              <w:t>13.12.2022</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126B736" w14:textId="5272E690" w:rsidR="0D619399" w:rsidRPr="004E1DD0" w:rsidRDefault="7ED063F7" w:rsidP="54AD8F9A">
            <w:pPr>
              <w:spacing w:after="0"/>
              <w:jc w:val="center"/>
              <w:rPr>
                <w:noProof/>
                <w:color w:val="375623"/>
                <w:sz w:val="20"/>
                <w:szCs w:val="20"/>
              </w:rPr>
            </w:pPr>
            <w:r>
              <w:rPr>
                <w:noProof/>
                <w:color w:val="375623"/>
                <w:sz w:val="20"/>
              </w:rPr>
              <w:t>01.07.2021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1476C59F" w14:textId="7C23BB9E" w:rsidR="0D619399" w:rsidRPr="004E1DD0" w:rsidRDefault="097ACFF7" w:rsidP="54AD8F9A">
            <w:pPr>
              <w:spacing w:after="0"/>
              <w:jc w:val="center"/>
              <w:rPr>
                <w:noProof/>
                <w:color w:val="375623"/>
                <w:sz w:val="20"/>
                <w:szCs w:val="20"/>
              </w:rPr>
            </w:pPr>
            <w:r>
              <w:rPr>
                <w:noProof/>
                <w:color w:val="375623"/>
                <w:sz w:val="20"/>
              </w:rPr>
              <w:t>01.07.2021</w:t>
            </w:r>
          </w:p>
        </w:tc>
      </w:tr>
      <w:tr w:rsidR="0D619399" w:rsidRPr="004E1DD0" w14:paraId="41F4C359"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6053EB2A" w14:textId="2D3DC35E" w:rsidR="0D619399" w:rsidRPr="004E1DD0" w:rsidRDefault="0D619399" w:rsidP="0D619399">
            <w:pPr>
              <w:spacing w:after="0"/>
              <w:jc w:val="center"/>
              <w:rPr>
                <w:noProof/>
              </w:rPr>
            </w:pPr>
            <w:r>
              <w:rPr>
                <w:b/>
                <w:noProof/>
                <w:color w:val="000000" w:themeColor="text1"/>
                <w:sz w:val="20"/>
              </w:rPr>
              <w:t>LT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34914D0" w14:textId="5F1A7746" w:rsidR="0D619399" w:rsidRPr="004E1DD0" w:rsidRDefault="0D619399" w:rsidP="0D619399">
            <w:pPr>
              <w:spacing w:after="0"/>
              <w:jc w:val="center"/>
              <w:rPr>
                <w:noProof/>
              </w:rPr>
            </w:pPr>
            <w:r>
              <w:rPr>
                <w:noProof/>
                <w:color w:val="375623"/>
                <w:sz w:val="20"/>
              </w:rPr>
              <w:t>01.03.2023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E143EC5" w14:textId="741A3D46" w:rsidR="0D619399" w:rsidRPr="004E1DD0" w:rsidRDefault="0D619399" w:rsidP="0D619399">
            <w:pPr>
              <w:spacing w:after="0"/>
              <w:jc w:val="center"/>
              <w:rPr>
                <w:noProof/>
              </w:rPr>
            </w:pPr>
            <w:r>
              <w:rPr>
                <w:noProof/>
                <w:color w:val="375623"/>
                <w:sz w:val="20"/>
              </w:rPr>
              <w:t>28.02.2023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6592704" w14:textId="524118B4" w:rsidR="0D619399" w:rsidRPr="004E1DD0" w:rsidRDefault="0D619399" w:rsidP="0D619399">
            <w:pPr>
              <w:spacing w:after="0"/>
              <w:jc w:val="center"/>
              <w:rPr>
                <w:noProof/>
              </w:rPr>
            </w:pPr>
            <w:r>
              <w:rPr>
                <w:noProof/>
                <w:color w:val="375623"/>
                <w:sz w:val="20"/>
              </w:rPr>
              <w:t>31.10.2023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7E9FD59" w14:textId="2B723483" w:rsidR="0D619399" w:rsidRPr="004E1DD0" w:rsidRDefault="0EF91324" w:rsidP="7B8E4445">
            <w:pPr>
              <w:spacing w:after="0"/>
              <w:jc w:val="center"/>
              <w:rPr>
                <w:noProof/>
                <w:color w:val="375623"/>
                <w:sz w:val="20"/>
                <w:szCs w:val="20"/>
              </w:rPr>
            </w:pPr>
            <w:r>
              <w:rPr>
                <w:noProof/>
                <w:color w:val="375623"/>
                <w:sz w:val="20"/>
              </w:rPr>
              <w:t>31.12.2023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0CF285D8" w14:textId="3AD11220" w:rsidR="0D619399" w:rsidRPr="004E1DD0" w:rsidRDefault="03546572" w:rsidP="0D619399">
            <w:pPr>
              <w:spacing w:after="0"/>
              <w:jc w:val="center"/>
              <w:rPr>
                <w:noProof/>
              </w:rPr>
            </w:pPr>
            <w:r>
              <w:rPr>
                <w:noProof/>
                <w:color w:val="375623"/>
                <w:sz w:val="20"/>
              </w:rPr>
              <w:t>31.12.2023</w:t>
            </w:r>
          </w:p>
        </w:tc>
      </w:tr>
      <w:tr w:rsidR="0D619399" w:rsidRPr="004E1DD0" w14:paraId="6B14ED31"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541DF65" w14:textId="345D4FF4" w:rsidR="0D619399" w:rsidRPr="004E1DD0" w:rsidRDefault="0D619399" w:rsidP="0D619399">
            <w:pPr>
              <w:spacing w:after="0"/>
              <w:jc w:val="center"/>
              <w:rPr>
                <w:noProof/>
              </w:rPr>
            </w:pPr>
            <w:r>
              <w:rPr>
                <w:b/>
                <w:noProof/>
                <w:color w:val="000000" w:themeColor="text1"/>
                <w:sz w:val="20"/>
              </w:rPr>
              <w:t>LU</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F6C130C" w14:textId="1780C8F8" w:rsidR="0D619399" w:rsidRPr="004E1DD0" w:rsidRDefault="0D619399" w:rsidP="0D619399">
            <w:pPr>
              <w:spacing w:after="0"/>
              <w:jc w:val="center"/>
              <w:rPr>
                <w:noProof/>
              </w:rPr>
            </w:pPr>
            <w:r>
              <w:rPr>
                <w:noProof/>
                <w:color w:val="375623"/>
                <w:sz w:val="20"/>
              </w:rPr>
              <w:t>01.03.2023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B23241C" w14:textId="7ED3ED30" w:rsidR="0D619399" w:rsidRPr="004E1DD0" w:rsidRDefault="0D619399" w:rsidP="0D619399">
            <w:pPr>
              <w:spacing w:after="0"/>
              <w:jc w:val="center"/>
              <w:rPr>
                <w:noProof/>
              </w:rPr>
            </w:pPr>
            <w:r>
              <w:rPr>
                <w:noProof/>
                <w:color w:val="375623"/>
                <w:sz w:val="20"/>
              </w:rPr>
              <w:t>10.01.2023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92B6A49" w14:textId="79B1E9A1" w:rsidR="0D619399" w:rsidRPr="004E1DD0" w:rsidRDefault="0D619399" w:rsidP="0D619399">
            <w:pPr>
              <w:spacing w:after="0"/>
              <w:jc w:val="center"/>
              <w:rPr>
                <w:noProof/>
              </w:rPr>
            </w:pPr>
            <w:r>
              <w:rPr>
                <w:noProof/>
                <w:color w:val="375623"/>
                <w:sz w:val="20"/>
              </w:rPr>
              <w:t>10.01.2023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F209B34" w14:textId="2327C601" w:rsidR="0D619399" w:rsidRPr="004E1DD0" w:rsidRDefault="0D619399" w:rsidP="0D619399">
            <w:pPr>
              <w:spacing w:after="0"/>
              <w:jc w:val="center"/>
              <w:rPr>
                <w:noProof/>
              </w:rPr>
            </w:pPr>
            <w:r>
              <w:rPr>
                <w:noProof/>
                <w:color w:val="375623"/>
                <w:sz w:val="20"/>
              </w:rPr>
              <w:t>02.05.2023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106FE4F5" w14:textId="06D44CCB" w:rsidR="0D619399" w:rsidRPr="004E1DD0" w:rsidRDefault="0D619399" w:rsidP="0D619399">
            <w:pPr>
              <w:spacing w:after="0"/>
              <w:jc w:val="center"/>
              <w:rPr>
                <w:noProof/>
              </w:rPr>
            </w:pPr>
            <w:r>
              <w:rPr>
                <w:noProof/>
                <w:color w:val="375623"/>
                <w:sz w:val="20"/>
              </w:rPr>
              <w:t>02.05.2023</w:t>
            </w:r>
          </w:p>
        </w:tc>
      </w:tr>
      <w:tr w:rsidR="0D619399" w:rsidRPr="004E1DD0" w14:paraId="0A629C41"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5CDE454D" w14:textId="4A190842" w:rsidR="0D619399" w:rsidRPr="004E1DD0" w:rsidRDefault="0D619399" w:rsidP="0D619399">
            <w:pPr>
              <w:spacing w:after="0"/>
              <w:jc w:val="center"/>
              <w:rPr>
                <w:noProof/>
              </w:rPr>
            </w:pPr>
            <w:r>
              <w:rPr>
                <w:b/>
                <w:noProof/>
                <w:color w:val="000000" w:themeColor="text1"/>
                <w:sz w:val="20"/>
              </w:rPr>
              <w:t>LV</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2F4CFF11" w14:textId="4595AA55"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24.09.2017</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01F432CB" w14:textId="51F139A6"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24.09.2017</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7BF936B1" w14:textId="02AED7E8"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24.09.2017</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B772638" w14:textId="17BBA007" w:rsidR="0D619399" w:rsidRPr="004E1DD0" w:rsidRDefault="00F32997" w:rsidP="00F32997">
            <w:pPr>
              <w:spacing w:after="0"/>
              <w:jc w:val="center"/>
              <w:rPr>
                <w:noProof/>
                <w:color w:val="385623" w:themeColor="accent6" w:themeShade="80"/>
                <w:sz w:val="20"/>
                <w:szCs w:val="20"/>
              </w:rPr>
            </w:pPr>
            <w:r>
              <w:rPr>
                <w:noProof/>
                <w:color w:val="385623" w:themeColor="accent6" w:themeShade="80"/>
                <w:sz w:val="20"/>
              </w:rPr>
              <w:t>04.06.2018</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05C556C0" w14:textId="6C807955" w:rsidR="0D619399" w:rsidRPr="004E1DD0" w:rsidRDefault="00F32997" w:rsidP="00F32997">
            <w:pPr>
              <w:spacing w:after="0"/>
              <w:jc w:val="center"/>
              <w:rPr>
                <w:noProof/>
                <w:color w:val="385623" w:themeColor="accent6" w:themeShade="80"/>
                <w:sz w:val="20"/>
                <w:szCs w:val="20"/>
              </w:rPr>
            </w:pPr>
            <w:r>
              <w:rPr>
                <w:noProof/>
                <w:color w:val="385623" w:themeColor="accent6" w:themeShade="80"/>
                <w:sz w:val="20"/>
              </w:rPr>
              <w:t>04.06.2018</w:t>
            </w:r>
          </w:p>
        </w:tc>
      </w:tr>
      <w:tr w:rsidR="0D619399" w:rsidRPr="004E1DD0" w14:paraId="0347CFC5"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98510AA" w14:textId="48FD5245" w:rsidR="0D619399" w:rsidRPr="004E1DD0" w:rsidRDefault="0D619399" w:rsidP="0D619399">
            <w:pPr>
              <w:spacing w:after="0"/>
              <w:jc w:val="center"/>
              <w:rPr>
                <w:noProof/>
              </w:rPr>
            </w:pPr>
            <w:r>
              <w:rPr>
                <w:b/>
                <w:noProof/>
                <w:color w:val="000000" w:themeColor="text1"/>
                <w:sz w:val="20"/>
              </w:rPr>
              <w:t>MT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49182B31" w14:textId="6034153F" w:rsidR="0D619399" w:rsidRPr="004E1DD0" w:rsidRDefault="22CDAD97" w:rsidP="02BB932C">
            <w:pPr>
              <w:spacing w:after="0"/>
              <w:jc w:val="center"/>
              <w:rPr>
                <w:noProof/>
                <w:color w:val="385623" w:themeColor="accent6" w:themeShade="80"/>
                <w:sz w:val="20"/>
                <w:szCs w:val="20"/>
              </w:rPr>
            </w:pPr>
            <w:r>
              <w:rPr>
                <w:noProof/>
                <w:color w:val="385623" w:themeColor="accent6" w:themeShade="80"/>
                <w:sz w:val="20"/>
              </w:rPr>
              <w:t>24.03.2025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78DD36B4" w14:textId="37F81126" w:rsidR="0D619399" w:rsidRPr="004E1DD0" w:rsidRDefault="433FF4BB" w:rsidP="02BB932C">
            <w:pPr>
              <w:spacing w:after="0"/>
              <w:jc w:val="center"/>
              <w:rPr>
                <w:noProof/>
                <w:color w:val="385623" w:themeColor="accent6" w:themeShade="80"/>
                <w:sz w:val="20"/>
                <w:szCs w:val="20"/>
              </w:rPr>
            </w:pPr>
            <w:r>
              <w:rPr>
                <w:noProof/>
                <w:color w:val="385623" w:themeColor="accent6" w:themeShade="80"/>
                <w:sz w:val="20"/>
              </w:rPr>
              <w:t>24.03.2025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9D2F8E0" w14:textId="3591376E" w:rsidR="0D619399" w:rsidRPr="004E1DD0" w:rsidRDefault="23F706C0" w:rsidP="02BB932C">
            <w:pPr>
              <w:spacing w:after="0"/>
              <w:jc w:val="center"/>
              <w:rPr>
                <w:noProof/>
                <w:color w:val="385623" w:themeColor="accent6" w:themeShade="80"/>
                <w:sz w:val="20"/>
                <w:szCs w:val="20"/>
              </w:rPr>
            </w:pPr>
            <w:r>
              <w:rPr>
                <w:noProof/>
                <w:color w:val="385623" w:themeColor="accent6" w:themeShade="80"/>
                <w:sz w:val="20"/>
              </w:rPr>
              <w:t>24.03.2025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09435A1" w14:textId="26ABD893" w:rsidR="0D619399" w:rsidRPr="004E1DD0" w:rsidRDefault="353AA1CF" w:rsidP="360F65CF">
            <w:pPr>
              <w:spacing w:after="0"/>
              <w:jc w:val="center"/>
              <w:rPr>
                <w:noProof/>
                <w:color w:val="385623" w:themeColor="accent6" w:themeShade="80"/>
                <w:sz w:val="20"/>
                <w:szCs w:val="20"/>
              </w:rPr>
            </w:pPr>
            <w:r>
              <w:rPr>
                <w:noProof/>
                <w:color w:val="385623" w:themeColor="accent6" w:themeShade="80"/>
                <w:sz w:val="20"/>
              </w:rPr>
              <w:t>24.03.2025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1ED389DB" w14:textId="0D25D6FD" w:rsidR="0D619399" w:rsidRPr="004E1DD0" w:rsidRDefault="15C372C5" w:rsidP="360F65CF">
            <w:pPr>
              <w:spacing w:after="0"/>
              <w:jc w:val="center"/>
              <w:rPr>
                <w:noProof/>
                <w:color w:val="385623" w:themeColor="accent6" w:themeShade="80"/>
                <w:sz w:val="20"/>
                <w:szCs w:val="20"/>
              </w:rPr>
            </w:pPr>
            <w:r>
              <w:rPr>
                <w:noProof/>
                <w:color w:val="385623" w:themeColor="accent6" w:themeShade="80"/>
                <w:sz w:val="20"/>
              </w:rPr>
              <w:t>24.03.2025</w:t>
            </w:r>
          </w:p>
        </w:tc>
      </w:tr>
      <w:tr w:rsidR="0D619399" w:rsidRPr="004E1DD0" w14:paraId="3A624267"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07E714D7" w14:textId="0CFAD987" w:rsidR="0D619399" w:rsidRPr="004E1DD0" w:rsidRDefault="0D619399" w:rsidP="0D619399">
            <w:pPr>
              <w:spacing w:after="0"/>
              <w:jc w:val="center"/>
              <w:rPr>
                <w:noProof/>
              </w:rPr>
            </w:pPr>
            <w:r>
              <w:rPr>
                <w:b/>
                <w:noProof/>
                <w:color w:val="000000" w:themeColor="text1"/>
                <w:sz w:val="20"/>
              </w:rPr>
              <w:t>NL</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CD615D1" w14:textId="5F981A2B" w:rsidR="0D619399" w:rsidRPr="004E1DD0" w:rsidRDefault="0D619399" w:rsidP="0D619399">
            <w:pPr>
              <w:spacing w:after="0"/>
              <w:jc w:val="center"/>
              <w:rPr>
                <w:noProof/>
              </w:rPr>
            </w:pPr>
            <w:r>
              <w:rPr>
                <w:noProof/>
                <w:color w:val="375623"/>
                <w:sz w:val="20"/>
              </w:rPr>
              <w:t>30.06.2023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5EEA0AD" w14:textId="709411BC" w:rsidR="0D619399" w:rsidRPr="004E1DD0" w:rsidRDefault="0D619399" w:rsidP="0D619399">
            <w:pPr>
              <w:spacing w:after="0"/>
              <w:jc w:val="center"/>
              <w:rPr>
                <w:noProof/>
              </w:rPr>
            </w:pPr>
            <w:r>
              <w:rPr>
                <w:noProof/>
                <w:color w:val="375623"/>
                <w:sz w:val="20"/>
              </w:rPr>
              <w:t>01.12.2023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26DD743" w14:textId="03907AE0" w:rsidR="0D619399" w:rsidRPr="004E1DD0" w:rsidRDefault="0D619399" w:rsidP="0D619399">
            <w:pPr>
              <w:spacing w:after="0"/>
              <w:jc w:val="center"/>
              <w:rPr>
                <w:noProof/>
              </w:rPr>
            </w:pPr>
            <w:r>
              <w:rPr>
                <w:noProof/>
                <w:color w:val="375623"/>
                <w:sz w:val="20"/>
              </w:rPr>
              <w:t>01.12.2023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2C11896" w14:textId="65BD5C3F" w:rsidR="0D619399" w:rsidRPr="004E1DD0" w:rsidRDefault="0D619399" w:rsidP="0D619399">
            <w:pPr>
              <w:spacing w:after="0"/>
              <w:jc w:val="center"/>
              <w:rPr>
                <w:noProof/>
              </w:rPr>
            </w:pPr>
            <w:r>
              <w:rPr>
                <w:noProof/>
                <w:color w:val="375623"/>
                <w:sz w:val="20"/>
              </w:rPr>
              <w:t>01.04.2022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6BEE09DD" w14:textId="37AF3527" w:rsidR="0D619399" w:rsidRPr="004E1DD0" w:rsidRDefault="0D619399" w:rsidP="0D619399">
            <w:pPr>
              <w:spacing w:after="0"/>
              <w:jc w:val="center"/>
              <w:rPr>
                <w:noProof/>
              </w:rPr>
            </w:pPr>
            <w:r>
              <w:rPr>
                <w:noProof/>
                <w:color w:val="375623"/>
                <w:sz w:val="20"/>
              </w:rPr>
              <w:t>01.04.2022</w:t>
            </w:r>
          </w:p>
        </w:tc>
      </w:tr>
      <w:tr w:rsidR="0D619399" w:rsidRPr="004E1DD0" w14:paraId="69C04DA1"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42188B0" w14:textId="057EDDE7" w:rsidR="0D619399" w:rsidRPr="004E1DD0" w:rsidRDefault="0D619399" w:rsidP="0D619399">
            <w:pPr>
              <w:spacing w:after="0"/>
              <w:jc w:val="center"/>
              <w:rPr>
                <w:noProof/>
              </w:rPr>
            </w:pPr>
            <w:r>
              <w:rPr>
                <w:b/>
                <w:noProof/>
                <w:color w:val="000000" w:themeColor="text1"/>
                <w:sz w:val="20"/>
              </w:rPr>
              <w:t>PL</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3A94EC9" w14:textId="34024AA3" w:rsidR="0D619399" w:rsidRPr="004E1DD0" w:rsidRDefault="0D619399" w:rsidP="0D619399">
            <w:pPr>
              <w:spacing w:after="0"/>
              <w:jc w:val="center"/>
              <w:rPr>
                <w:noProof/>
              </w:rPr>
            </w:pPr>
            <w:r>
              <w:rPr>
                <w:noProof/>
                <w:color w:val="375623"/>
                <w:sz w:val="20"/>
              </w:rPr>
              <w:t>01.07.2023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D63DB37" w14:textId="21674D7F" w:rsidR="0D619399" w:rsidRPr="004E1DD0" w:rsidRDefault="614128F1" w:rsidP="02BB932C">
            <w:pPr>
              <w:spacing w:after="0"/>
              <w:jc w:val="center"/>
              <w:rPr>
                <w:noProof/>
                <w:color w:val="385623" w:themeColor="accent6" w:themeShade="80"/>
                <w:sz w:val="20"/>
                <w:szCs w:val="20"/>
              </w:rPr>
            </w:pPr>
            <w:r>
              <w:rPr>
                <w:noProof/>
                <w:color w:val="385623" w:themeColor="accent6" w:themeShade="80"/>
                <w:sz w:val="20"/>
              </w:rPr>
              <w:t>20.04.2025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A910A20" w14:textId="1F81B795" w:rsidR="0D619399" w:rsidRPr="004E1DD0" w:rsidRDefault="614128F1" w:rsidP="02BB932C">
            <w:pPr>
              <w:spacing w:after="0"/>
              <w:jc w:val="center"/>
              <w:rPr>
                <w:noProof/>
                <w:color w:val="385623" w:themeColor="accent6" w:themeShade="80"/>
                <w:sz w:val="20"/>
                <w:szCs w:val="20"/>
              </w:rPr>
            </w:pPr>
            <w:r>
              <w:rPr>
                <w:noProof/>
                <w:color w:val="385623" w:themeColor="accent6" w:themeShade="80"/>
                <w:sz w:val="20"/>
              </w:rPr>
              <w:t>20.04.2025*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8EDB9DA" w14:textId="4C97E143" w:rsidR="0D619399" w:rsidRPr="004E1DD0" w:rsidRDefault="614128F1" w:rsidP="02BB932C">
            <w:pPr>
              <w:spacing w:after="0"/>
              <w:jc w:val="center"/>
              <w:rPr>
                <w:noProof/>
                <w:color w:val="385623" w:themeColor="accent6" w:themeShade="80"/>
                <w:sz w:val="20"/>
                <w:szCs w:val="20"/>
              </w:rPr>
            </w:pPr>
            <w:r>
              <w:rPr>
                <w:noProof/>
                <w:color w:val="385623" w:themeColor="accent6" w:themeShade="80"/>
                <w:sz w:val="20"/>
              </w:rPr>
              <w:t>20.04.2025*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47BD70D0" w14:textId="0F70E9F0" w:rsidR="0D619399" w:rsidRPr="004E1DD0" w:rsidRDefault="0B7D0A34" w:rsidP="54AD8F9A">
            <w:pPr>
              <w:spacing w:after="0"/>
              <w:jc w:val="center"/>
              <w:rPr>
                <w:noProof/>
                <w:color w:val="375623"/>
                <w:sz w:val="20"/>
                <w:szCs w:val="20"/>
              </w:rPr>
            </w:pPr>
            <w:r>
              <w:rPr>
                <w:noProof/>
                <w:color w:val="375623"/>
                <w:sz w:val="20"/>
              </w:rPr>
              <w:t>01.07.2021</w:t>
            </w:r>
          </w:p>
        </w:tc>
      </w:tr>
      <w:tr w:rsidR="0D619399" w:rsidRPr="004E1DD0" w14:paraId="7C0F455F"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97BE2A4" w14:textId="72162E9A" w:rsidR="0D619399" w:rsidRPr="004E1DD0" w:rsidRDefault="0D619399" w:rsidP="0D619399">
            <w:pPr>
              <w:spacing w:after="0"/>
              <w:jc w:val="center"/>
              <w:rPr>
                <w:noProof/>
              </w:rPr>
            </w:pPr>
            <w:r>
              <w:rPr>
                <w:b/>
                <w:noProof/>
                <w:color w:val="000000" w:themeColor="text1"/>
                <w:sz w:val="20"/>
              </w:rPr>
              <w:t>PT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0D1DC81C" w14:textId="08AB67FF" w:rsidR="0D619399" w:rsidRPr="004E1DD0" w:rsidRDefault="7A303854" w:rsidP="02BB932C">
            <w:pPr>
              <w:spacing w:after="0"/>
              <w:jc w:val="center"/>
              <w:rPr>
                <w:noProof/>
                <w:color w:val="385623" w:themeColor="accent6" w:themeShade="80"/>
                <w:sz w:val="20"/>
                <w:szCs w:val="20"/>
              </w:rPr>
            </w:pPr>
            <w:r>
              <w:rPr>
                <w:noProof/>
                <w:color w:val="385623" w:themeColor="accent6" w:themeShade="80"/>
                <w:sz w:val="20"/>
              </w:rPr>
              <w:t>30.09.2025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8ACE5F3" w14:textId="744B351E" w:rsidR="0D619399" w:rsidRPr="004E1DD0" w:rsidRDefault="2CEFB1E7" w:rsidP="02BB932C">
            <w:pPr>
              <w:spacing w:after="0"/>
              <w:jc w:val="center"/>
              <w:rPr>
                <w:noProof/>
                <w:color w:val="385623" w:themeColor="accent6" w:themeShade="80"/>
                <w:sz w:val="20"/>
                <w:szCs w:val="20"/>
              </w:rPr>
            </w:pPr>
            <w:r>
              <w:rPr>
                <w:noProof/>
                <w:color w:val="385623" w:themeColor="accent6" w:themeShade="80"/>
                <w:sz w:val="20"/>
              </w:rPr>
              <w:t>30.09.2025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1992F86" w14:textId="5D944906" w:rsidR="0D619399" w:rsidRPr="004E1DD0" w:rsidRDefault="6DD0DBB0" w:rsidP="02BB932C">
            <w:pPr>
              <w:spacing w:after="0"/>
              <w:jc w:val="center"/>
              <w:rPr>
                <w:noProof/>
                <w:color w:val="385623" w:themeColor="accent6" w:themeShade="80"/>
                <w:sz w:val="20"/>
                <w:szCs w:val="20"/>
              </w:rPr>
            </w:pPr>
            <w:r>
              <w:rPr>
                <w:noProof/>
                <w:color w:val="385623" w:themeColor="accent6" w:themeShade="80"/>
                <w:sz w:val="20"/>
              </w:rPr>
              <w:t>30.09.2025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06A83D7" w14:textId="150ABF1C" w:rsidR="0D619399" w:rsidRPr="004E1DD0" w:rsidRDefault="7BDA9DB7" w:rsidP="02BB932C">
            <w:pPr>
              <w:spacing w:after="0"/>
              <w:jc w:val="center"/>
              <w:rPr>
                <w:noProof/>
                <w:color w:val="385623" w:themeColor="accent6" w:themeShade="80"/>
                <w:sz w:val="20"/>
                <w:szCs w:val="20"/>
              </w:rPr>
            </w:pPr>
            <w:r>
              <w:rPr>
                <w:noProof/>
                <w:color w:val="385623" w:themeColor="accent6" w:themeShade="80"/>
                <w:sz w:val="20"/>
              </w:rPr>
              <w:t>01.10.2025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78969565" w14:textId="726E7822" w:rsidR="0D619399" w:rsidRPr="004E1DD0" w:rsidRDefault="15D41186" w:rsidP="02BB932C">
            <w:pPr>
              <w:spacing w:after="0"/>
              <w:jc w:val="center"/>
              <w:rPr>
                <w:noProof/>
                <w:color w:val="385623" w:themeColor="accent6" w:themeShade="80"/>
                <w:sz w:val="20"/>
                <w:szCs w:val="20"/>
              </w:rPr>
            </w:pPr>
            <w:r>
              <w:rPr>
                <w:noProof/>
                <w:color w:val="385623" w:themeColor="accent6" w:themeShade="80"/>
                <w:sz w:val="20"/>
              </w:rPr>
              <w:t>30.09.2025</w:t>
            </w:r>
          </w:p>
        </w:tc>
      </w:tr>
      <w:tr w:rsidR="0D619399" w:rsidRPr="004E1DD0" w14:paraId="6743B4E5"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A8CB58D" w14:textId="5F849042" w:rsidR="0D619399" w:rsidRPr="004E1DD0" w:rsidRDefault="0D619399" w:rsidP="0D619399">
            <w:pPr>
              <w:spacing w:after="0"/>
              <w:jc w:val="center"/>
              <w:rPr>
                <w:noProof/>
              </w:rPr>
            </w:pPr>
            <w:r>
              <w:rPr>
                <w:b/>
                <w:noProof/>
                <w:color w:val="000000" w:themeColor="text1"/>
                <w:sz w:val="20"/>
              </w:rPr>
              <w:t>RO</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2B1E04A4" w14:textId="475E2C06"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01.05.2024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86F51A8" w14:textId="24C0EC8F"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30.09.2024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2BB82AB" w14:textId="543C7555" w:rsidR="0D619399" w:rsidRPr="004E1DD0" w:rsidRDefault="614128F1" w:rsidP="02BB932C">
            <w:pPr>
              <w:spacing w:after="0"/>
              <w:jc w:val="center"/>
              <w:rPr>
                <w:noProof/>
                <w:color w:val="385623" w:themeColor="accent6" w:themeShade="80"/>
                <w:sz w:val="20"/>
                <w:szCs w:val="20"/>
              </w:rPr>
            </w:pPr>
            <w:r>
              <w:rPr>
                <w:noProof/>
                <w:color w:val="385623" w:themeColor="accent6" w:themeShade="80"/>
                <w:sz w:val="20"/>
              </w:rPr>
              <w:t>30.08.2025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8679762" w14:textId="7C4E01EC" w:rsidR="0D619399" w:rsidRPr="004E1DD0" w:rsidRDefault="614128F1" w:rsidP="02BB932C">
            <w:pPr>
              <w:spacing w:after="0"/>
              <w:jc w:val="center"/>
              <w:rPr>
                <w:noProof/>
                <w:color w:val="385623" w:themeColor="accent6" w:themeShade="80"/>
                <w:sz w:val="20"/>
                <w:szCs w:val="20"/>
              </w:rPr>
            </w:pPr>
            <w:r>
              <w:rPr>
                <w:noProof/>
                <w:color w:val="385623" w:themeColor="accent6" w:themeShade="80"/>
                <w:sz w:val="20"/>
              </w:rPr>
              <w:t>30.08.2025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74D72096" w14:textId="3AB73CF6" w:rsidR="0D619399" w:rsidRPr="004E1DD0" w:rsidRDefault="614128F1" w:rsidP="02BB932C">
            <w:pPr>
              <w:spacing w:after="0"/>
              <w:jc w:val="center"/>
              <w:rPr>
                <w:noProof/>
                <w:color w:val="385623" w:themeColor="accent6" w:themeShade="80"/>
                <w:sz w:val="20"/>
                <w:szCs w:val="20"/>
              </w:rPr>
            </w:pPr>
            <w:r>
              <w:rPr>
                <w:noProof/>
                <w:color w:val="385623" w:themeColor="accent6" w:themeShade="80"/>
                <w:sz w:val="20"/>
              </w:rPr>
              <w:t>30.08.2025</w:t>
            </w:r>
          </w:p>
        </w:tc>
      </w:tr>
      <w:tr w:rsidR="0D619399" w:rsidRPr="004E1DD0" w14:paraId="32781E53"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48A80A39" w14:textId="40F9D75B" w:rsidR="0D619399" w:rsidRPr="004E1DD0" w:rsidRDefault="0D619399" w:rsidP="0D619399">
            <w:pPr>
              <w:spacing w:after="0"/>
              <w:jc w:val="center"/>
              <w:rPr>
                <w:noProof/>
              </w:rPr>
            </w:pPr>
            <w:r>
              <w:rPr>
                <w:b/>
                <w:noProof/>
                <w:color w:val="000000" w:themeColor="text1"/>
                <w:sz w:val="20"/>
              </w:rPr>
              <w:t>SE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C9B3AB4" w14:textId="6B9138DA" w:rsidR="0D619399" w:rsidRPr="004E1DD0" w:rsidRDefault="0D619399" w:rsidP="0D619399">
            <w:pPr>
              <w:spacing w:after="0"/>
              <w:jc w:val="center"/>
              <w:rPr>
                <w:noProof/>
              </w:rPr>
            </w:pPr>
            <w:r>
              <w:rPr>
                <w:noProof/>
                <w:color w:val="375623"/>
                <w:sz w:val="20"/>
              </w:rPr>
              <w:t>01.03.2023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2DFD30E" w14:textId="3C7B6BE0" w:rsidR="0D619399" w:rsidRPr="004E1DD0" w:rsidRDefault="0D619399" w:rsidP="0D619399">
            <w:pPr>
              <w:spacing w:after="0"/>
              <w:jc w:val="center"/>
              <w:rPr>
                <w:noProof/>
              </w:rPr>
            </w:pPr>
            <w:r>
              <w:rPr>
                <w:noProof/>
                <w:color w:val="375623"/>
                <w:sz w:val="20"/>
              </w:rPr>
              <w:t>27.09.2023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ACEEE1F" w14:textId="66B032C6" w:rsidR="0D619399" w:rsidRPr="004E1DD0" w:rsidRDefault="614128F1" w:rsidP="7B8E4445">
            <w:pPr>
              <w:spacing w:after="0"/>
              <w:jc w:val="center"/>
              <w:rPr>
                <w:noProof/>
                <w:color w:val="375623"/>
                <w:sz w:val="20"/>
                <w:szCs w:val="20"/>
              </w:rPr>
            </w:pPr>
            <w:r>
              <w:rPr>
                <w:noProof/>
                <w:color w:val="375623"/>
                <w:sz w:val="20"/>
              </w:rPr>
              <w:t>02.12.2025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06B783B" w14:textId="17313EE2" w:rsidR="0D619399" w:rsidRPr="004E1DD0" w:rsidRDefault="681E2037" w:rsidP="54AD8F9A">
            <w:pPr>
              <w:spacing w:after="0"/>
              <w:jc w:val="center"/>
              <w:rPr>
                <w:noProof/>
                <w:color w:val="375623"/>
                <w:sz w:val="20"/>
                <w:szCs w:val="20"/>
              </w:rPr>
            </w:pPr>
            <w:r>
              <w:rPr>
                <w:noProof/>
                <w:color w:val="375623"/>
                <w:sz w:val="20"/>
              </w:rPr>
              <w:t>15.03.2022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A1A34ED" w14:textId="7A9A46E0" w:rsidR="0D619399" w:rsidRPr="004E1DD0" w:rsidRDefault="75BF8B17" w:rsidP="54AD8F9A">
            <w:pPr>
              <w:spacing w:after="0"/>
              <w:jc w:val="center"/>
              <w:rPr>
                <w:noProof/>
                <w:color w:val="375623"/>
                <w:sz w:val="20"/>
                <w:szCs w:val="20"/>
              </w:rPr>
            </w:pPr>
            <w:r>
              <w:rPr>
                <w:noProof/>
                <w:color w:val="375623"/>
                <w:sz w:val="20"/>
              </w:rPr>
              <w:t>23.02.2023</w:t>
            </w:r>
          </w:p>
        </w:tc>
      </w:tr>
      <w:tr w:rsidR="0D619399" w:rsidRPr="004E1DD0" w14:paraId="3C9ADED3" w14:textId="77777777" w:rsidTr="0051689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077A7851" w14:textId="1E9DC3F4" w:rsidR="0D619399" w:rsidRPr="004E1DD0" w:rsidRDefault="0D619399" w:rsidP="0D619399">
            <w:pPr>
              <w:spacing w:after="0"/>
              <w:jc w:val="center"/>
              <w:rPr>
                <w:noProof/>
              </w:rPr>
            </w:pPr>
            <w:r>
              <w:rPr>
                <w:b/>
                <w:noProof/>
                <w:color w:val="000000" w:themeColor="text1"/>
                <w:sz w:val="20"/>
              </w:rPr>
              <w:t>SI</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B7582C1" w14:textId="6BEF53F0" w:rsidR="0D619399" w:rsidRPr="004E1DD0" w:rsidRDefault="0C68EA99" w:rsidP="54AD8F9A">
            <w:pPr>
              <w:spacing w:after="0"/>
              <w:jc w:val="center"/>
              <w:rPr>
                <w:noProof/>
                <w:color w:val="000000" w:themeColor="text1"/>
                <w:sz w:val="20"/>
                <w:szCs w:val="20"/>
              </w:rPr>
            </w:pPr>
            <w:r>
              <w:rPr>
                <w:noProof/>
                <w:color w:val="385623" w:themeColor="accent6" w:themeShade="80"/>
                <w:sz w:val="20"/>
              </w:rPr>
              <w:t>01.03.2023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B890A11" w14:textId="64819848" w:rsidR="0D619399" w:rsidRPr="004E1DD0" w:rsidRDefault="0D619399" w:rsidP="0D619399">
            <w:pPr>
              <w:spacing w:after="0"/>
              <w:jc w:val="center"/>
              <w:rPr>
                <w:noProof/>
              </w:rPr>
            </w:pPr>
            <w:r>
              <w:rPr>
                <w:noProof/>
                <w:color w:val="375623"/>
                <w:sz w:val="20"/>
              </w:rPr>
              <w:t>01.03.2023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876E82E" w14:textId="743126D0" w:rsidR="0D619399" w:rsidRPr="004E1DD0" w:rsidRDefault="0D619399" w:rsidP="0D619399">
            <w:pPr>
              <w:spacing w:after="0"/>
              <w:jc w:val="center"/>
              <w:rPr>
                <w:noProof/>
              </w:rPr>
            </w:pPr>
            <w:r>
              <w:rPr>
                <w:noProof/>
                <w:color w:val="375623"/>
                <w:sz w:val="20"/>
              </w:rPr>
              <w:t>01.03.2024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F6F05AF" w14:textId="684C215D" w:rsidR="0D619399" w:rsidRPr="004E1DD0" w:rsidRDefault="0D619399" w:rsidP="0D619399">
            <w:pPr>
              <w:spacing w:after="0"/>
              <w:jc w:val="center"/>
              <w:rPr>
                <w:noProof/>
              </w:rPr>
            </w:pPr>
            <w:r>
              <w:rPr>
                <w:noProof/>
                <w:color w:val="375623"/>
                <w:sz w:val="20"/>
              </w:rPr>
              <w:t>01.01.2022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1F336B2" w14:textId="360D8AA8" w:rsidR="0D619399" w:rsidRPr="004E1DD0" w:rsidRDefault="0D619399" w:rsidP="0D619399">
            <w:pPr>
              <w:spacing w:after="0"/>
              <w:jc w:val="center"/>
              <w:rPr>
                <w:noProof/>
              </w:rPr>
            </w:pPr>
            <w:r>
              <w:rPr>
                <w:noProof/>
                <w:color w:val="375623"/>
                <w:sz w:val="20"/>
              </w:rPr>
              <w:t>01.01.2022</w:t>
            </w:r>
          </w:p>
        </w:tc>
      </w:tr>
      <w:tr w:rsidR="0D619399" w:rsidRPr="004E1DD0" w14:paraId="20D39F5D" w14:textId="77777777" w:rsidTr="00C17060">
        <w:trPr>
          <w:trHeight w:val="300"/>
        </w:trPr>
        <w:tc>
          <w:tcPr>
            <w:tcW w:w="1285" w:type="dxa"/>
            <w:tcBorders>
              <w:top w:val="single" w:sz="8" w:space="0" w:color="A5A5A5" w:themeColor="accent3"/>
              <w:left w:val="single" w:sz="8" w:space="0" w:color="auto"/>
              <w:bottom w:val="single" w:sz="8" w:space="0" w:color="auto"/>
              <w:right w:val="nil"/>
            </w:tcBorders>
            <w:shd w:val="clear" w:color="auto" w:fill="F2F2F2" w:themeFill="background1" w:themeFillShade="F2"/>
            <w:tcMar>
              <w:left w:w="70" w:type="dxa"/>
              <w:right w:w="70" w:type="dxa"/>
            </w:tcMar>
            <w:vAlign w:val="center"/>
          </w:tcPr>
          <w:p w14:paraId="57AC8E50" w14:textId="75AF0CCA" w:rsidR="0D619399" w:rsidRPr="004E1DD0" w:rsidRDefault="0D619399" w:rsidP="0D619399">
            <w:pPr>
              <w:spacing w:after="0"/>
              <w:jc w:val="center"/>
              <w:rPr>
                <w:noProof/>
              </w:rPr>
            </w:pPr>
            <w:r>
              <w:rPr>
                <w:b/>
                <w:noProof/>
                <w:color w:val="000000" w:themeColor="text1"/>
                <w:sz w:val="20"/>
              </w:rPr>
              <w:t>SK</w:t>
            </w:r>
          </w:p>
        </w:tc>
        <w:tc>
          <w:tcPr>
            <w:tcW w:w="1554"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C6E0B4"/>
            <w:tcMar>
              <w:left w:w="70" w:type="dxa"/>
              <w:right w:w="70" w:type="dxa"/>
            </w:tcMar>
            <w:vAlign w:val="center"/>
          </w:tcPr>
          <w:p w14:paraId="651B2D8C" w14:textId="6D3404E3" w:rsidR="0D619399" w:rsidRPr="004E1DD0" w:rsidRDefault="0D619399" w:rsidP="0D619399">
            <w:pPr>
              <w:spacing w:after="0"/>
              <w:jc w:val="center"/>
              <w:rPr>
                <w:noProof/>
              </w:rPr>
            </w:pPr>
            <w:r>
              <w:rPr>
                <w:noProof/>
                <w:color w:val="375623"/>
                <w:sz w:val="20"/>
              </w:rPr>
              <w:t>01.03.2023</w:t>
            </w:r>
          </w:p>
        </w:tc>
        <w:tc>
          <w:tcPr>
            <w:tcW w:w="1554"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C6E0B4"/>
            <w:tcMar>
              <w:left w:w="70" w:type="dxa"/>
              <w:right w:w="70" w:type="dxa"/>
            </w:tcMar>
            <w:vAlign w:val="center"/>
          </w:tcPr>
          <w:p w14:paraId="6E04EAEF" w14:textId="6D34C40A" w:rsidR="0D619399" w:rsidRPr="004E1DD0" w:rsidRDefault="0D619399" w:rsidP="0D619399">
            <w:pPr>
              <w:spacing w:after="0"/>
              <w:jc w:val="center"/>
              <w:rPr>
                <w:noProof/>
              </w:rPr>
            </w:pPr>
            <w:r>
              <w:rPr>
                <w:noProof/>
                <w:color w:val="375623"/>
                <w:sz w:val="20"/>
              </w:rPr>
              <w:t>01.10.2023</w:t>
            </w:r>
          </w:p>
        </w:tc>
        <w:tc>
          <w:tcPr>
            <w:tcW w:w="1556"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FFCCCC"/>
            <w:tcMar>
              <w:left w:w="70" w:type="dxa"/>
              <w:right w:w="70" w:type="dxa"/>
            </w:tcMar>
            <w:vAlign w:val="center"/>
          </w:tcPr>
          <w:p w14:paraId="114D2C82" w14:textId="629CA10F" w:rsidR="0D619399" w:rsidRPr="004E1DD0" w:rsidRDefault="174527AB" w:rsidP="02BB932C">
            <w:pPr>
              <w:spacing w:after="0"/>
              <w:jc w:val="center"/>
              <w:rPr>
                <w:b/>
                <w:bCs/>
                <w:noProof/>
                <w:color w:val="C00000"/>
                <w:sz w:val="20"/>
                <w:szCs w:val="20"/>
              </w:rPr>
            </w:pPr>
            <w:r>
              <w:rPr>
                <w:b/>
                <w:noProof/>
                <w:color w:val="C00000"/>
                <w:sz w:val="20"/>
              </w:rPr>
              <w:t>31.03.2027*</w:t>
            </w:r>
          </w:p>
        </w:tc>
        <w:tc>
          <w:tcPr>
            <w:tcW w:w="1554"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C5E0B3" w:themeFill="accent6" w:themeFillTint="66"/>
            <w:tcMar>
              <w:left w:w="70" w:type="dxa"/>
              <w:right w:w="70" w:type="dxa"/>
            </w:tcMar>
            <w:vAlign w:val="center"/>
          </w:tcPr>
          <w:p w14:paraId="69D18B0F" w14:textId="0875844D" w:rsidR="0D619399" w:rsidRPr="004E1DD0" w:rsidRDefault="4F71E4DF" w:rsidP="7B8E4445">
            <w:pPr>
              <w:spacing w:after="0"/>
              <w:jc w:val="center"/>
              <w:rPr>
                <w:noProof/>
                <w:color w:val="385623" w:themeColor="accent6" w:themeShade="80"/>
                <w:sz w:val="20"/>
                <w:szCs w:val="20"/>
              </w:rPr>
            </w:pPr>
            <w:r>
              <w:rPr>
                <w:noProof/>
                <w:color w:val="385623" w:themeColor="accent6" w:themeShade="80"/>
                <w:sz w:val="20"/>
              </w:rPr>
              <w:t>30.09.2025*</w:t>
            </w:r>
          </w:p>
        </w:tc>
        <w:tc>
          <w:tcPr>
            <w:tcW w:w="1556" w:type="dxa"/>
            <w:tcBorders>
              <w:top w:val="single" w:sz="8" w:space="0" w:color="FFFFFF" w:themeColor="background1"/>
              <w:left w:val="single" w:sz="8" w:space="0" w:color="FFFFFF" w:themeColor="background1"/>
              <w:bottom w:val="single" w:sz="8" w:space="0" w:color="auto"/>
              <w:right w:val="single" w:sz="8" w:space="0" w:color="auto"/>
            </w:tcBorders>
            <w:shd w:val="clear" w:color="auto" w:fill="C6E0B4"/>
            <w:tcMar>
              <w:left w:w="70" w:type="dxa"/>
              <w:right w:w="70" w:type="dxa"/>
            </w:tcMar>
            <w:vAlign w:val="center"/>
          </w:tcPr>
          <w:p w14:paraId="458C180D" w14:textId="6FE8A595" w:rsidR="0D619399" w:rsidRPr="004E1DD0" w:rsidRDefault="0D619399" w:rsidP="0D619399">
            <w:pPr>
              <w:spacing w:after="0"/>
              <w:jc w:val="center"/>
              <w:rPr>
                <w:noProof/>
              </w:rPr>
            </w:pPr>
            <w:r>
              <w:rPr>
                <w:noProof/>
                <w:color w:val="375623"/>
                <w:sz w:val="20"/>
              </w:rPr>
              <w:t>11.06.2016</w:t>
            </w:r>
          </w:p>
        </w:tc>
      </w:tr>
      <w:tr w:rsidR="00372D61" w:rsidRPr="00372D61" w14:paraId="04606ED8" w14:textId="77777777" w:rsidTr="00C17060">
        <w:trPr>
          <w:trHeight w:val="448"/>
        </w:trPr>
        <w:tc>
          <w:tcPr>
            <w:tcW w:w="128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1C07B4" w14:textId="434C2B31" w:rsidR="00372D61" w:rsidRPr="00372D61" w:rsidRDefault="00372D61" w:rsidP="00372D61">
            <w:pPr>
              <w:jc w:val="center"/>
              <w:rPr>
                <w:b/>
                <w:bCs/>
                <w:noProof/>
                <w:color w:val="7030A0"/>
                <w:sz w:val="20"/>
                <w:szCs w:val="20"/>
              </w:rPr>
            </w:pPr>
            <w:r>
              <w:rPr>
                <w:b/>
                <w:noProof/>
                <w:color w:val="7030A0"/>
                <w:sz w:val="20"/>
              </w:rPr>
              <w:t>Taux d’achèvement d’ici à 2025</w:t>
            </w:r>
          </w:p>
        </w:tc>
        <w:tc>
          <w:tcPr>
            <w:tcW w:w="155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left w:w="70" w:type="dxa"/>
              <w:right w:w="70" w:type="dxa"/>
            </w:tcMar>
            <w:vAlign w:val="bottom"/>
          </w:tcPr>
          <w:p w14:paraId="57605071" w14:textId="25ED7F04" w:rsidR="00372D61" w:rsidRPr="00372D61" w:rsidRDefault="00372D61" w:rsidP="00372D61">
            <w:pPr>
              <w:jc w:val="center"/>
              <w:rPr>
                <w:b/>
                <w:bCs/>
                <w:noProof/>
                <w:color w:val="7030A0"/>
                <w:sz w:val="20"/>
                <w:szCs w:val="20"/>
              </w:rPr>
            </w:pPr>
            <w:r>
              <w:rPr>
                <w:b/>
                <w:noProof/>
                <w:color w:val="7030A0"/>
                <w:sz w:val="20"/>
              </w:rPr>
              <w:t>100 %</w:t>
            </w:r>
          </w:p>
        </w:tc>
        <w:tc>
          <w:tcPr>
            <w:tcW w:w="155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left w:w="70" w:type="dxa"/>
              <w:right w:w="70" w:type="dxa"/>
            </w:tcMar>
            <w:vAlign w:val="bottom"/>
          </w:tcPr>
          <w:p w14:paraId="24FAE6E7" w14:textId="6EC2AEB1" w:rsidR="00372D61" w:rsidRPr="00372D61" w:rsidRDefault="00372D61" w:rsidP="00372D61">
            <w:pPr>
              <w:jc w:val="center"/>
              <w:rPr>
                <w:b/>
                <w:bCs/>
                <w:noProof/>
                <w:color w:val="7030A0"/>
                <w:sz w:val="20"/>
                <w:szCs w:val="20"/>
              </w:rPr>
            </w:pPr>
            <w:r>
              <w:rPr>
                <w:b/>
                <w:noProof/>
                <w:color w:val="7030A0"/>
                <w:sz w:val="20"/>
              </w:rPr>
              <w:t>100 %</w:t>
            </w:r>
          </w:p>
        </w:tc>
        <w:tc>
          <w:tcPr>
            <w:tcW w:w="1556" w:type="dxa"/>
            <w:tcBorders>
              <w:top w:val="single" w:sz="8" w:space="0" w:color="auto"/>
              <w:left w:val="single" w:sz="8" w:space="0" w:color="auto"/>
              <w:bottom w:val="single" w:sz="8" w:space="0" w:color="auto"/>
              <w:right w:val="single" w:sz="8" w:space="0" w:color="auto"/>
            </w:tcBorders>
            <w:shd w:val="clear" w:color="auto" w:fill="D9E2F3" w:themeFill="accent5" w:themeFillTint="33"/>
            <w:tcMar>
              <w:left w:w="70" w:type="dxa"/>
              <w:right w:w="70" w:type="dxa"/>
            </w:tcMar>
            <w:vAlign w:val="bottom"/>
          </w:tcPr>
          <w:p w14:paraId="4878FC51" w14:textId="09C3D42E" w:rsidR="00372D61" w:rsidRPr="00372D61" w:rsidRDefault="00C17060" w:rsidP="00372D61">
            <w:pPr>
              <w:jc w:val="center"/>
              <w:rPr>
                <w:b/>
                <w:bCs/>
                <w:noProof/>
                <w:color w:val="7030A0"/>
                <w:sz w:val="20"/>
                <w:szCs w:val="20"/>
              </w:rPr>
            </w:pPr>
            <w:r>
              <w:rPr>
                <w:b/>
                <w:noProof/>
                <w:color w:val="7030A0"/>
                <w:sz w:val="20"/>
              </w:rPr>
              <w:t>89 %</w:t>
            </w:r>
          </w:p>
        </w:tc>
        <w:tc>
          <w:tcPr>
            <w:tcW w:w="155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left w:w="70" w:type="dxa"/>
              <w:right w:w="70" w:type="dxa"/>
            </w:tcMar>
            <w:vAlign w:val="bottom"/>
          </w:tcPr>
          <w:p w14:paraId="64748571" w14:textId="547039E5" w:rsidR="00372D61" w:rsidRPr="00372D61" w:rsidRDefault="00372D61" w:rsidP="00372D61">
            <w:pPr>
              <w:jc w:val="center"/>
              <w:rPr>
                <w:b/>
                <w:bCs/>
                <w:noProof/>
                <w:color w:val="7030A0"/>
                <w:sz w:val="20"/>
                <w:szCs w:val="20"/>
              </w:rPr>
            </w:pPr>
            <w:r>
              <w:rPr>
                <w:b/>
                <w:noProof/>
                <w:color w:val="7030A0"/>
                <w:sz w:val="20"/>
              </w:rPr>
              <w:t>96 %</w:t>
            </w:r>
          </w:p>
        </w:tc>
        <w:tc>
          <w:tcPr>
            <w:tcW w:w="1556" w:type="dxa"/>
            <w:tcBorders>
              <w:top w:val="single" w:sz="8" w:space="0" w:color="auto"/>
              <w:left w:val="single" w:sz="8" w:space="0" w:color="auto"/>
              <w:bottom w:val="single" w:sz="8" w:space="0" w:color="auto"/>
              <w:right w:val="single" w:sz="8" w:space="0" w:color="auto"/>
            </w:tcBorders>
            <w:shd w:val="clear" w:color="auto" w:fill="D9E2F3" w:themeFill="accent5" w:themeFillTint="33"/>
            <w:tcMar>
              <w:left w:w="70" w:type="dxa"/>
              <w:right w:w="70" w:type="dxa"/>
            </w:tcMar>
            <w:vAlign w:val="bottom"/>
          </w:tcPr>
          <w:p w14:paraId="65302DF8" w14:textId="41290147" w:rsidR="00372D61" w:rsidRPr="00372D61" w:rsidRDefault="00372D61" w:rsidP="00372D61">
            <w:pPr>
              <w:jc w:val="center"/>
              <w:rPr>
                <w:b/>
                <w:bCs/>
                <w:noProof/>
                <w:color w:val="7030A0"/>
                <w:sz w:val="20"/>
                <w:szCs w:val="20"/>
              </w:rPr>
            </w:pPr>
            <w:r>
              <w:rPr>
                <w:b/>
                <w:noProof/>
                <w:color w:val="7030A0"/>
                <w:sz w:val="20"/>
              </w:rPr>
              <w:t>93 %</w:t>
            </w:r>
          </w:p>
        </w:tc>
      </w:tr>
      <w:tr w:rsidR="0D619399" w:rsidRPr="004E1DD0" w14:paraId="6501F2F2" w14:textId="77777777" w:rsidTr="00C17060">
        <w:trPr>
          <w:trHeight w:val="300"/>
        </w:trPr>
        <w:tc>
          <w:tcPr>
            <w:tcW w:w="1285" w:type="dxa"/>
            <w:tcBorders>
              <w:top w:val="single" w:sz="8" w:space="0" w:color="auto"/>
            </w:tcBorders>
            <w:tcMar>
              <w:left w:w="70" w:type="dxa"/>
              <w:right w:w="70" w:type="dxa"/>
            </w:tcMar>
            <w:vAlign w:val="center"/>
          </w:tcPr>
          <w:p w14:paraId="702497EE" w14:textId="53791A87" w:rsidR="0D619399" w:rsidRPr="004E1DD0" w:rsidRDefault="0D619399">
            <w:pPr>
              <w:rPr>
                <w:noProof/>
                <w:lang w:val="en-IE"/>
              </w:rPr>
            </w:pPr>
          </w:p>
        </w:tc>
        <w:tc>
          <w:tcPr>
            <w:tcW w:w="1554" w:type="dxa"/>
            <w:tcBorders>
              <w:top w:val="single" w:sz="8" w:space="0" w:color="auto"/>
            </w:tcBorders>
            <w:tcMar>
              <w:left w:w="70" w:type="dxa"/>
              <w:right w:w="70" w:type="dxa"/>
            </w:tcMar>
            <w:vAlign w:val="bottom"/>
          </w:tcPr>
          <w:p w14:paraId="391603CC" w14:textId="7B55BA9B" w:rsidR="0D619399" w:rsidRPr="004E1DD0" w:rsidRDefault="0D619399">
            <w:pPr>
              <w:rPr>
                <w:noProof/>
                <w:lang w:val="en-IE"/>
              </w:rPr>
            </w:pPr>
          </w:p>
        </w:tc>
        <w:tc>
          <w:tcPr>
            <w:tcW w:w="1554" w:type="dxa"/>
            <w:tcBorders>
              <w:top w:val="single" w:sz="8" w:space="0" w:color="auto"/>
            </w:tcBorders>
            <w:tcMar>
              <w:left w:w="70" w:type="dxa"/>
              <w:right w:w="70" w:type="dxa"/>
            </w:tcMar>
            <w:vAlign w:val="bottom"/>
          </w:tcPr>
          <w:p w14:paraId="69A0106A" w14:textId="203E86DD" w:rsidR="0D619399" w:rsidRPr="004E1DD0" w:rsidRDefault="0D619399">
            <w:pPr>
              <w:rPr>
                <w:noProof/>
                <w:lang w:val="en-IE"/>
              </w:rPr>
            </w:pPr>
          </w:p>
        </w:tc>
        <w:tc>
          <w:tcPr>
            <w:tcW w:w="1556" w:type="dxa"/>
            <w:tcBorders>
              <w:top w:val="single" w:sz="8" w:space="0" w:color="auto"/>
            </w:tcBorders>
            <w:tcMar>
              <w:left w:w="70" w:type="dxa"/>
              <w:right w:w="70" w:type="dxa"/>
            </w:tcMar>
            <w:vAlign w:val="bottom"/>
          </w:tcPr>
          <w:p w14:paraId="126D7E14" w14:textId="4DDAC8C8" w:rsidR="0D619399" w:rsidRPr="004E1DD0" w:rsidRDefault="0D619399">
            <w:pPr>
              <w:rPr>
                <w:noProof/>
                <w:lang w:val="en-IE"/>
              </w:rPr>
            </w:pPr>
          </w:p>
        </w:tc>
        <w:tc>
          <w:tcPr>
            <w:tcW w:w="1554" w:type="dxa"/>
            <w:tcBorders>
              <w:top w:val="single" w:sz="8" w:space="0" w:color="auto"/>
            </w:tcBorders>
            <w:tcMar>
              <w:left w:w="70" w:type="dxa"/>
              <w:right w:w="70" w:type="dxa"/>
            </w:tcMar>
            <w:vAlign w:val="bottom"/>
          </w:tcPr>
          <w:p w14:paraId="50EE5E64" w14:textId="44D1BC76" w:rsidR="0D619399" w:rsidRPr="004E1DD0" w:rsidRDefault="0D619399">
            <w:pPr>
              <w:rPr>
                <w:noProof/>
                <w:lang w:val="en-IE"/>
              </w:rPr>
            </w:pPr>
          </w:p>
        </w:tc>
        <w:tc>
          <w:tcPr>
            <w:tcW w:w="1556" w:type="dxa"/>
            <w:tcBorders>
              <w:top w:val="single" w:sz="8" w:space="0" w:color="auto"/>
            </w:tcBorders>
            <w:tcMar>
              <w:left w:w="70" w:type="dxa"/>
              <w:right w:w="70" w:type="dxa"/>
            </w:tcMar>
            <w:vAlign w:val="bottom"/>
          </w:tcPr>
          <w:p w14:paraId="28F092A3" w14:textId="5EE2BD49" w:rsidR="0D619399" w:rsidRPr="004E1DD0" w:rsidRDefault="0D619399">
            <w:pPr>
              <w:rPr>
                <w:noProof/>
                <w:lang w:val="en-IE"/>
              </w:rPr>
            </w:pPr>
          </w:p>
        </w:tc>
      </w:tr>
      <w:tr w:rsidR="0D619399" w:rsidRPr="004E1DD0" w14:paraId="6E252358" w14:textId="77777777" w:rsidTr="6D7A57F0">
        <w:trPr>
          <w:trHeight w:val="300"/>
        </w:trPr>
        <w:tc>
          <w:tcPr>
            <w:tcW w:w="9059" w:type="dxa"/>
            <w:gridSpan w:val="6"/>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55C6A5D" w14:textId="6C2E3DA6" w:rsidR="0D619399" w:rsidRPr="004E1DD0" w:rsidRDefault="0D619399" w:rsidP="0D619399">
            <w:pPr>
              <w:spacing w:after="0"/>
              <w:jc w:val="left"/>
              <w:rPr>
                <w:noProof/>
              </w:rPr>
            </w:pPr>
            <w:r>
              <w:rPr>
                <w:b/>
                <w:noProof/>
                <w:sz w:val="20"/>
              </w:rPr>
              <w:t>Légende</w:t>
            </w:r>
          </w:p>
        </w:tc>
      </w:tr>
      <w:tr w:rsidR="0D619399" w:rsidRPr="004E1DD0" w14:paraId="17A78A39" w14:textId="77777777" w:rsidTr="6D7A57F0">
        <w:trPr>
          <w:trHeight w:val="300"/>
        </w:trPr>
        <w:tc>
          <w:tcPr>
            <w:tcW w:w="1285" w:type="dxa"/>
            <w:tcBorders>
              <w:top w:val="single" w:sz="8" w:space="0" w:color="auto"/>
              <w:left w:val="single" w:sz="8" w:space="0" w:color="auto"/>
              <w:bottom w:val="single" w:sz="8" w:space="0" w:color="auto"/>
              <w:right w:val="single" w:sz="8" w:space="0" w:color="auto"/>
            </w:tcBorders>
            <w:shd w:val="clear" w:color="auto" w:fill="C6E0B4"/>
            <w:tcMar>
              <w:left w:w="70" w:type="dxa"/>
              <w:right w:w="70" w:type="dxa"/>
            </w:tcMar>
            <w:vAlign w:val="center"/>
          </w:tcPr>
          <w:p w14:paraId="120356CB" w14:textId="4F9FFD7C" w:rsidR="0D619399" w:rsidRPr="004E1DD0" w:rsidRDefault="0D619399" w:rsidP="0D619399">
            <w:pPr>
              <w:spacing w:after="0"/>
              <w:jc w:val="left"/>
              <w:rPr>
                <w:noProof/>
              </w:rPr>
            </w:pPr>
            <w:r>
              <w:rPr>
                <w:b/>
                <w:i/>
                <w:noProof/>
                <w:color w:val="757171"/>
                <w:sz w:val="20"/>
              </w:rPr>
              <w:t xml:space="preserve"> </w:t>
            </w:r>
          </w:p>
        </w:tc>
        <w:tc>
          <w:tcPr>
            <w:tcW w:w="7774" w:type="dxa"/>
            <w:gridSpan w:val="5"/>
            <w:tcBorders>
              <w:top w:val="nil"/>
              <w:left w:val="single" w:sz="8" w:space="0" w:color="auto"/>
              <w:bottom w:val="single" w:sz="8" w:space="0" w:color="auto"/>
              <w:right w:val="single" w:sz="8" w:space="0" w:color="auto"/>
            </w:tcBorders>
            <w:tcMar>
              <w:left w:w="70" w:type="dxa"/>
              <w:right w:w="70" w:type="dxa"/>
            </w:tcMar>
            <w:vAlign w:val="bottom"/>
          </w:tcPr>
          <w:p w14:paraId="0960F6F3" w14:textId="3AEAD15C" w:rsidR="0D619399" w:rsidRPr="004E1DD0" w:rsidRDefault="0F0A9892" w:rsidP="02BB932C">
            <w:pPr>
              <w:spacing w:after="0"/>
              <w:jc w:val="left"/>
              <w:rPr>
                <w:noProof/>
                <w:color w:val="000000" w:themeColor="text1"/>
                <w:sz w:val="20"/>
                <w:szCs w:val="20"/>
              </w:rPr>
            </w:pPr>
            <w:r>
              <w:rPr>
                <w:noProof/>
                <w:color w:val="000000" w:themeColor="text1"/>
                <w:sz w:val="20"/>
              </w:rPr>
              <w:t>Déploiement achevé au 31.12.2025</w:t>
            </w:r>
          </w:p>
        </w:tc>
      </w:tr>
      <w:tr w:rsidR="0D619399" w:rsidRPr="004E1DD0" w14:paraId="482D7C63" w14:textId="77777777" w:rsidTr="6D7A57F0">
        <w:trPr>
          <w:trHeight w:val="300"/>
        </w:trPr>
        <w:tc>
          <w:tcPr>
            <w:tcW w:w="1285" w:type="dxa"/>
            <w:tcBorders>
              <w:top w:val="single" w:sz="8" w:space="0" w:color="auto"/>
              <w:left w:val="single" w:sz="8" w:space="0" w:color="auto"/>
              <w:bottom w:val="single" w:sz="8" w:space="0" w:color="auto"/>
              <w:right w:val="single" w:sz="8" w:space="0" w:color="auto"/>
            </w:tcBorders>
            <w:shd w:val="clear" w:color="auto" w:fill="FFCCCC"/>
            <w:tcMar>
              <w:left w:w="70" w:type="dxa"/>
              <w:right w:w="70" w:type="dxa"/>
            </w:tcMar>
            <w:vAlign w:val="center"/>
          </w:tcPr>
          <w:p w14:paraId="22D4A831" w14:textId="24D67F93" w:rsidR="0D619399" w:rsidRPr="004E1DD0" w:rsidRDefault="0D619399" w:rsidP="0D619399">
            <w:pPr>
              <w:spacing w:after="0"/>
              <w:jc w:val="left"/>
              <w:rPr>
                <w:noProof/>
              </w:rPr>
            </w:pPr>
            <w:r>
              <w:rPr>
                <w:noProof/>
                <w:color w:val="9C0006"/>
              </w:rPr>
              <w:t xml:space="preserve"> </w:t>
            </w:r>
          </w:p>
        </w:tc>
        <w:tc>
          <w:tcPr>
            <w:tcW w:w="7774" w:type="dxa"/>
            <w:gridSpan w:val="5"/>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3BE20141" w14:textId="1B81F144" w:rsidR="0D619399" w:rsidRPr="004E1DD0" w:rsidRDefault="614128F1" w:rsidP="02BB932C">
            <w:pPr>
              <w:spacing w:after="0"/>
              <w:jc w:val="left"/>
              <w:rPr>
                <w:noProof/>
                <w:color w:val="000000" w:themeColor="text1"/>
                <w:sz w:val="20"/>
                <w:szCs w:val="20"/>
              </w:rPr>
            </w:pPr>
            <w:r>
              <w:rPr>
                <w:noProof/>
                <w:color w:val="000000" w:themeColor="text1"/>
                <w:sz w:val="20"/>
              </w:rPr>
              <w:t>Système non déployé au 31.12.2025</w:t>
            </w:r>
          </w:p>
        </w:tc>
      </w:tr>
      <w:tr w:rsidR="0D619399" w:rsidRPr="004E1DD0" w14:paraId="16B9E293" w14:textId="77777777" w:rsidTr="6D7A57F0">
        <w:trPr>
          <w:trHeight w:val="300"/>
        </w:trPr>
        <w:tc>
          <w:tcPr>
            <w:tcW w:w="1285" w:type="dxa"/>
            <w:tcBorders>
              <w:top w:val="single" w:sz="8" w:space="0" w:color="auto"/>
              <w:left w:val="single" w:sz="8" w:space="0" w:color="auto"/>
              <w:bottom w:val="single" w:sz="12" w:space="0" w:color="auto"/>
              <w:right w:val="single" w:sz="8" w:space="0" w:color="auto"/>
            </w:tcBorders>
            <w:shd w:val="clear" w:color="auto" w:fill="D9D9D9" w:themeFill="background1" w:themeFillShade="D9"/>
            <w:tcMar>
              <w:left w:w="70" w:type="dxa"/>
              <w:right w:w="70" w:type="dxa"/>
            </w:tcMar>
            <w:vAlign w:val="bottom"/>
          </w:tcPr>
          <w:p w14:paraId="4F6E1881" w14:textId="1A36168F" w:rsidR="0D619399" w:rsidRPr="004E1DD0" w:rsidRDefault="0D619399" w:rsidP="0D619399">
            <w:pPr>
              <w:spacing w:after="0"/>
              <w:jc w:val="left"/>
              <w:rPr>
                <w:noProof/>
              </w:rPr>
            </w:pPr>
            <w:r>
              <w:rPr>
                <w:noProof/>
                <w:color w:val="000000" w:themeColor="text1"/>
                <w:sz w:val="20"/>
              </w:rPr>
              <w:t xml:space="preserve"> </w:t>
            </w:r>
          </w:p>
        </w:tc>
        <w:tc>
          <w:tcPr>
            <w:tcW w:w="7774" w:type="dxa"/>
            <w:gridSpan w:val="5"/>
            <w:tcBorders>
              <w:top w:val="single" w:sz="8" w:space="0" w:color="auto"/>
              <w:left w:val="single" w:sz="8" w:space="0" w:color="auto"/>
              <w:bottom w:val="single" w:sz="12" w:space="0" w:color="auto"/>
              <w:right w:val="single" w:sz="8" w:space="0" w:color="auto"/>
            </w:tcBorders>
            <w:tcMar>
              <w:left w:w="70" w:type="dxa"/>
              <w:right w:w="70" w:type="dxa"/>
            </w:tcMar>
            <w:vAlign w:val="bottom"/>
          </w:tcPr>
          <w:p w14:paraId="0DB33A44" w14:textId="47B08B66" w:rsidR="0D619399" w:rsidRPr="004E1DD0" w:rsidRDefault="0D619399" w:rsidP="0D619399">
            <w:pPr>
              <w:spacing w:after="0"/>
              <w:jc w:val="left"/>
              <w:rPr>
                <w:noProof/>
              </w:rPr>
            </w:pPr>
            <w:r>
              <w:rPr>
                <w:noProof/>
                <w:color w:val="000000" w:themeColor="text1"/>
                <w:sz w:val="20"/>
              </w:rPr>
              <w:t>Aucune date n’est indiquée dans les plans de projet nationaux ou le déploiement n’est pas applicable</w:t>
            </w:r>
          </w:p>
        </w:tc>
      </w:tr>
      <w:bookmarkEnd w:id="32"/>
    </w:tbl>
    <w:p w14:paraId="78CB9DA6" w14:textId="77777777" w:rsidR="00372D61" w:rsidRPr="00CA6F2D" w:rsidRDefault="00372D61" w:rsidP="0062240B">
      <w:pPr>
        <w:pStyle w:val="Caption"/>
        <w:rPr>
          <w:noProof/>
          <w:lang w:val="fr-BE"/>
        </w:rPr>
      </w:pPr>
    </w:p>
    <w:p w14:paraId="5926A280" w14:textId="1F116139" w:rsidR="0062240B" w:rsidRPr="004E1DD0" w:rsidRDefault="1CAECF1B" w:rsidP="0062240B">
      <w:pPr>
        <w:pStyle w:val="Caption"/>
        <w:rPr>
          <w:noProof/>
        </w:rPr>
      </w:pPr>
      <w:r>
        <w:rPr>
          <w:noProof/>
        </w:rPr>
        <w:t>Figure 5: Planification du déploiement des systèmes nationaux d’entrée/d’importation</w:t>
      </w:r>
    </w:p>
    <w:p w14:paraId="13850553" w14:textId="77777777" w:rsidR="00F32997" w:rsidRPr="00CA6F2D" w:rsidRDefault="00F32997" w:rsidP="00F32997">
      <w:pPr>
        <w:rPr>
          <w:noProof/>
          <w:lang w:val="fr-BE"/>
        </w:rPr>
      </w:pPr>
    </w:p>
    <w:p w14:paraId="0C7BBFB5" w14:textId="21B702BE" w:rsidR="006C7EE0" w:rsidRPr="004E1DD0" w:rsidRDefault="00984D42" w:rsidP="006C7EE0">
      <w:pPr>
        <w:spacing w:after="0"/>
        <w:rPr>
          <w:noProof/>
        </w:rPr>
      </w:pPr>
      <w:hyperlink r:id="rId25" w:anchor="_ftnref1">
        <w:r w:rsidR="006C7EE0">
          <w:rPr>
            <w:rStyle w:val="Hyperlink"/>
            <w:noProof/>
            <w:sz w:val="18"/>
            <w:vertAlign w:val="superscript"/>
          </w:rPr>
          <w:t>[1]</w:t>
        </w:r>
      </w:hyperlink>
      <w:r w:rsidR="006C7EE0">
        <w:rPr>
          <w:noProof/>
          <w:sz w:val="18"/>
        </w:rPr>
        <w:t xml:space="preserve"> Jusqu’au 31.12.2023 pour les États membres qui ont obtenu une dérogation. </w:t>
      </w:r>
    </w:p>
    <w:p w14:paraId="02762AD8" w14:textId="0113F075" w:rsidR="006C7EE0" w:rsidRPr="004E1DD0" w:rsidRDefault="00984D42" w:rsidP="006C7EE0">
      <w:pPr>
        <w:spacing w:after="0"/>
        <w:rPr>
          <w:noProof/>
          <w:sz w:val="18"/>
          <w:szCs w:val="18"/>
        </w:rPr>
      </w:pPr>
      <w:hyperlink r:id="rId26" w:anchor="_ftnref2">
        <w:r w:rsidR="006C7EE0">
          <w:rPr>
            <w:rStyle w:val="Hyperlink"/>
            <w:noProof/>
            <w:sz w:val="18"/>
            <w:vertAlign w:val="superscript"/>
          </w:rPr>
          <w:t>[2]</w:t>
        </w:r>
      </w:hyperlink>
      <w:r w:rsidR="006C7EE0">
        <w:rPr>
          <w:noProof/>
          <w:sz w:val="18"/>
        </w:rPr>
        <w:t xml:space="preserve"> Jusqu’au 31.12.2023 pour les États membres qui ont obtenu une dérogation ou jusqu’au 01.07.2024, lorsque l’article 2, paragraphe 4 </w:t>
      </w:r>
      <w:r w:rsidR="006C7EE0">
        <w:rPr>
          <w:i/>
          <w:iCs/>
          <w:noProof/>
          <w:sz w:val="18"/>
        </w:rPr>
        <w:t>bis</w:t>
      </w:r>
      <w:r w:rsidR="006C7EE0">
        <w:rPr>
          <w:noProof/>
          <w:sz w:val="18"/>
        </w:rPr>
        <w:t>, du règlement délégué (UE) 2015/2446 de la Commission s’applique.</w:t>
      </w:r>
    </w:p>
    <w:p w14:paraId="7F12A8AB" w14:textId="54B1CE63" w:rsidR="00A55DD5" w:rsidRPr="004E1DD0" w:rsidRDefault="00A55DD5" w:rsidP="006C7EE0">
      <w:pPr>
        <w:spacing w:after="0"/>
        <w:rPr>
          <w:noProof/>
        </w:rPr>
      </w:pPr>
      <w:r>
        <w:rPr>
          <w:noProof/>
          <w:sz w:val="18"/>
        </w:rPr>
        <w:t>* Le système national a été mis à niveau dans les délais, mais doit encore être aligné sur le CDU et le modèle de données douanières de l’Union et/ou la transition des opérateurs économiques est toujours en cours.</w:t>
      </w:r>
    </w:p>
    <w:p w14:paraId="02E6C547" w14:textId="2FD611CF" w:rsidR="00B5314C" w:rsidRPr="00536B9D" w:rsidRDefault="00EE17B3" w:rsidP="00536B9D">
      <w:pPr>
        <w:pStyle w:val="Heading4"/>
        <w:keepLines w:val="0"/>
        <w:spacing w:before="240" w:after="240"/>
        <w:ind w:left="567" w:hanging="567"/>
        <w:rPr>
          <w:rFonts w:ascii="Times New Roman" w:eastAsia="Times New Roman" w:hAnsi="Times New Roman" w:cs="Times New Roman"/>
          <w:b/>
          <w:bCs/>
          <w:i w:val="0"/>
          <w:noProof/>
          <w:color w:val="auto"/>
          <w:sz w:val="24"/>
          <w:szCs w:val="24"/>
        </w:rPr>
      </w:pPr>
      <w:r>
        <w:rPr>
          <w:rFonts w:ascii="Times New Roman" w:hAnsi="Times New Roman"/>
          <w:b/>
          <w:i w:val="0"/>
          <w:noProof/>
          <w:color w:val="auto"/>
          <w:sz w:val="24"/>
        </w:rPr>
        <w:t xml:space="preserve">5.2.3 Données de surveillance </w:t>
      </w:r>
    </w:p>
    <w:p w14:paraId="66CF5360" w14:textId="0716DC44" w:rsidR="00907801" w:rsidRDefault="007E2459" w:rsidP="008A7CDE">
      <w:pPr>
        <w:rPr>
          <w:noProof/>
          <w:color w:val="000000" w:themeColor="text1"/>
        </w:rPr>
      </w:pPr>
      <w:r>
        <w:rPr>
          <w:noProof/>
        </w:rPr>
        <w:t xml:space="preserve">Dans le rapport de cette année, nous tenons à souligner les difficultés qui subsistent en ce qui concerne la transmission des données requises au </w:t>
      </w:r>
      <w:r>
        <w:rPr>
          <w:b/>
          <w:noProof/>
          <w:color w:val="000000" w:themeColor="text1"/>
        </w:rPr>
        <w:t xml:space="preserve">système Surveillance 3 </w:t>
      </w:r>
      <w:r>
        <w:rPr>
          <w:b/>
          <w:noProof/>
        </w:rPr>
        <w:t>(SURV3)</w:t>
      </w:r>
      <w:r>
        <w:rPr>
          <w:noProof/>
        </w:rPr>
        <w:t xml:space="preserve">. Le système Surveillance de la Commission joue un rôle crucial dans le climat géoéconomique et géopolitique actuel. Son objectif premier est de créer un cadre de surveillance global permettant de suivre les flux commerciaux, de protéger les intérêts financiers de l’Union et de préserver son marché intérieur contre les pratiques déloyales ou irrégulières. Ce système constitue la base analytique permettant de détecter les anomalies commerciales, de prévenir la fraude et de garantir une concurrence loyale pour les industries de l’UE. </w:t>
      </w:r>
      <w:r>
        <w:rPr>
          <w:noProof/>
          <w:color w:val="000000" w:themeColor="text1"/>
        </w:rPr>
        <w:t xml:space="preserve">En ce qui concerne le système Surveillance 3, qui constitue l’épine dorsale technique de l’architecture de suivi des données douanières de l’UE dans la mesure où il collecte et traite les données commerciales issues des déclarations en douane présentées aux administrations douanières des États membres, </w:t>
      </w:r>
      <w:r>
        <w:rPr>
          <w:b/>
          <w:noProof/>
          <w:color w:val="000000" w:themeColor="text1"/>
        </w:rPr>
        <w:t>la qualité et la disponibilité des données communiquées par l’intermédiaire du SNI sont essentielles</w:t>
      </w:r>
      <w:r>
        <w:rPr>
          <w:noProof/>
          <w:color w:val="000000" w:themeColor="text1"/>
        </w:rPr>
        <w:t xml:space="preserve">. </w:t>
      </w:r>
    </w:p>
    <w:p w14:paraId="1854FBFD" w14:textId="3C1EDF81" w:rsidR="006D1031" w:rsidRDefault="00907801" w:rsidP="008A7CDE">
      <w:pPr>
        <w:rPr>
          <w:noProof/>
          <w:color w:val="000000" w:themeColor="text1"/>
        </w:rPr>
      </w:pPr>
      <w:r>
        <w:rPr>
          <w:noProof/>
          <w:color w:val="000000" w:themeColor="text1"/>
        </w:rPr>
        <w:t xml:space="preserve">Or, un nombre important d’États membres ont continué à soumettre la plupart de leurs données d’importation en utilisant d’anciens systèmes. Ce nombre est passé à deux États membres (AT, FR) si l’on tient compte des données relatives aux exportations. </w:t>
      </w:r>
    </w:p>
    <w:p w14:paraId="572BDB4F" w14:textId="3C69632D" w:rsidR="009F090C" w:rsidRDefault="59CBD011" w:rsidP="7B8E4445">
      <w:pPr>
        <w:rPr>
          <w:noProof/>
        </w:rPr>
      </w:pPr>
      <w:r>
        <w:rPr>
          <w:noProof/>
        </w:rPr>
        <w:t>Compte tenu de ce qui précède, la Commission a engagé en 2025 des procédures d’infraction à l’encontre de treize États membres (AT, BE, CY, CZ, DK, FR, IE, IT, MT, PT, RO, SI, SK) pour non-respect total des obligations en matière de transmission de données SURV 3, notamment en ce qui concerne l’exhaustivité des données et la conformité du format.</w:t>
      </w:r>
    </w:p>
    <w:p w14:paraId="26BF9ACE" w14:textId="0853568E" w:rsidR="00101266" w:rsidRDefault="00907801" w:rsidP="7B8E4445">
      <w:pPr>
        <w:rPr>
          <w:noProof/>
        </w:rPr>
      </w:pPr>
      <w:r>
        <w:rPr>
          <w:noProof/>
        </w:rPr>
        <w:t>Alors que cinq États membres (BE, IT, MT, RO, SI) sont parvenus à prendre des mesures appropriées au cours de l’année 2025, huit États membres au total (AT, CY, CZ, DK, FR, IE, PT, SK) ne transmettaient toujours pas l’ensemble des données d’importations à SURV 3 à la fin de l’année 2025</w:t>
      </w:r>
      <w:r w:rsidR="00F8171E">
        <w:rPr>
          <w:rStyle w:val="FootnoteReference"/>
          <w:noProof/>
          <w:lang w:val="en-IE"/>
        </w:rPr>
        <w:footnoteReference w:id="20"/>
      </w:r>
      <w:r>
        <w:rPr>
          <w:noProof/>
        </w:rPr>
        <w:t xml:space="preserve">. Cela peut se résumer à un </w:t>
      </w:r>
      <w:r>
        <w:rPr>
          <w:b/>
          <w:noProof/>
        </w:rPr>
        <w:t>taux d’achèvement de 70 %</w:t>
      </w:r>
      <w:r>
        <w:rPr>
          <w:noProof/>
        </w:rPr>
        <w:t>.</w:t>
      </w:r>
    </w:p>
    <w:p w14:paraId="51B1A856" w14:textId="44B31913" w:rsidR="00CF23E6" w:rsidRPr="00E4198E" w:rsidRDefault="00EE17B3" w:rsidP="00536B9D">
      <w:pPr>
        <w:pStyle w:val="Heading4"/>
        <w:keepLines w:val="0"/>
        <w:spacing w:before="240" w:after="240"/>
        <w:ind w:left="567" w:hanging="567"/>
        <w:rPr>
          <w:b/>
          <w:bCs/>
          <w:iCs w:val="0"/>
          <w:noProof/>
          <w:sz w:val="24"/>
          <w:szCs w:val="24"/>
        </w:rPr>
      </w:pPr>
      <w:r>
        <w:rPr>
          <w:rFonts w:ascii="Times New Roman" w:hAnsi="Times New Roman"/>
          <w:b/>
          <w:i w:val="0"/>
          <w:noProof/>
          <w:color w:val="auto"/>
          <w:sz w:val="24"/>
        </w:rPr>
        <w:t>5.2.4. État de la situation pour les pays visés par l’élargissement</w:t>
      </w:r>
    </w:p>
    <w:p w14:paraId="2793DF02" w14:textId="65BFEF2C" w:rsidR="00CF23E6" w:rsidRPr="004E1DD0" w:rsidRDefault="00CF23E6" w:rsidP="00CF23E6">
      <w:pPr>
        <w:rPr>
          <w:noProof/>
        </w:rPr>
      </w:pPr>
      <w:r>
        <w:rPr>
          <w:noProof/>
        </w:rPr>
        <w:t xml:space="preserve">Les pays candidats à l’élargissement de l’UE et d’autres pays, tels que les parties contractantes à la convention relative à un régime de transit commun (CTC) doivent tenir compte de la transition vers la mise à niveau des systèmes électroniques du CDU et des nouvelles approches numériques mises en place par la proposition de réforme douanière. </w:t>
      </w:r>
    </w:p>
    <w:p w14:paraId="6EDF1B8D" w14:textId="77777777" w:rsidR="00CF23E6" w:rsidRPr="004E1DD0" w:rsidRDefault="00CF23E6" w:rsidP="00CF23E6">
      <w:pPr>
        <w:rPr>
          <w:noProof/>
        </w:rPr>
      </w:pPr>
      <w:bookmarkStart w:id="33" w:name="_Hlk202953981"/>
      <w:r>
        <w:rPr>
          <w:noProof/>
        </w:rPr>
        <w:t>La Commission ne suit pas systématiquement les progrès accomplis par ces pays dans la conception et le déploiement de systèmes électroniques dans le cadre de l’obligation d’information en vertu de l’article 278 </w:t>
      </w:r>
      <w:r>
        <w:rPr>
          <w:i/>
          <w:iCs/>
          <w:noProof/>
        </w:rPr>
        <w:t>bis</w:t>
      </w:r>
      <w:r>
        <w:rPr>
          <w:noProof/>
        </w:rPr>
        <w:t xml:space="preserve"> du CDU. Toutefois, dans le cadre de la stratégie d’élargissement, y compris des accords d’association avec l’Union, le développement d’une stratégie numérique et de l’environnement numérique favorisant leur alignement sur la législation douanière de l’Union constitue un élément clé des évaluations régulières effectuées par l’Union. </w:t>
      </w:r>
    </w:p>
    <w:bookmarkEnd w:id="33"/>
    <w:p w14:paraId="0030E989" w14:textId="77777777" w:rsidR="00CF23E6" w:rsidRPr="004E1DD0" w:rsidRDefault="00CF23E6" w:rsidP="00CF23E6">
      <w:pPr>
        <w:rPr>
          <w:noProof/>
        </w:rPr>
      </w:pPr>
      <w:r>
        <w:rPr>
          <w:noProof/>
        </w:rPr>
        <w:t xml:space="preserve">Les pays candidats devront progressivement se connecter aux systèmes du CDU ou les mettre en place en vue de leur adhésion au territoire douanier de l’Union. En fonction de la date d’adhésion prévue, ils pourraient également être tenus de remplir les fonctionnalités de la future plateforme des données douanières de l’UE proposée dans le paquet de réforme douanière. </w:t>
      </w:r>
    </w:p>
    <w:p w14:paraId="6F7BE33D" w14:textId="77777777" w:rsidR="00CF23E6" w:rsidRDefault="00CF23E6" w:rsidP="00CF23E6">
      <w:pPr>
        <w:rPr>
          <w:noProof/>
        </w:rPr>
      </w:pPr>
      <w:r>
        <w:rPr>
          <w:noProof/>
        </w:rPr>
        <w:t xml:space="preserve">À l’avenir, dans le cadre de la préparation de l’élargissement impliquant les pays candidats, plusieurs activités clés devront se dérouler régulièrement. Il s’agit notamment de rendre compte de la mise en œuvre numérique et de participer aux essais de conformité afin de garantir l’interopérabilité entre leurs systèmes nationaux et ceux des États membres et de l’Union. En outre, l’Union devra évaluer régulièrement les performances des systèmes. </w:t>
      </w:r>
    </w:p>
    <w:p w14:paraId="4E73692F" w14:textId="7F17BE81" w:rsidR="00CF23E6" w:rsidRPr="00CA6F2D" w:rsidRDefault="00CF23E6" w:rsidP="7B8E4445">
      <w:pPr>
        <w:rPr>
          <w:noProof/>
          <w:lang w:val="fr-BE"/>
        </w:rPr>
        <w:sectPr w:rsidR="00CF23E6" w:rsidRPr="00CA6F2D" w:rsidSect="00C67353">
          <w:headerReference w:type="even" r:id="rId27"/>
          <w:headerReference w:type="default" r:id="rId28"/>
          <w:footerReference w:type="even" r:id="rId29"/>
          <w:footerReference w:type="default" r:id="rId30"/>
          <w:headerReference w:type="first" r:id="rId31"/>
          <w:footerReference w:type="first" r:id="rId32"/>
          <w:pgSz w:w="11906" w:h="16838"/>
          <w:pgMar w:top="1418" w:right="1418" w:bottom="1418" w:left="1418" w:header="709" w:footer="709" w:gutter="0"/>
          <w:cols w:space="720"/>
          <w:docGrid w:linePitch="360"/>
        </w:sectPr>
      </w:pPr>
    </w:p>
    <w:p w14:paraId="57315EAD" w14:textId="48861BF6" w:rsidR="00CD510E" w:rsidRPr="00CB5DA2" w:rsidRDefault="335A55E9" w:rsidP="7B8E4445">
      <w:pPr>
        <w:pStyle w:val="Heading3"/>
        <w:numPr>
          <w:ilvl w:val="1"/>
          <w:numId w:val="5"/>
        </w:numPr>
        <w:spacing w:before="240" w:after="240"/>
        <w:ind w:left="567" w:hanging="567"/>
        <w:jc w:val="left"/>
        <w:rPr>
          <w:noProof/>
          <w:color w:val="000000" w:themeColor="text1"/>
        </w:rPr>
      </w:pPr>
      <w:bookmarkStart w:id="34" w:name="_Toc233968362"/>
      <w:bookmarkStart w:id="35" w:name="_Ref137453230"/>
      <w:bookmarkStart w:id="36" w:name="_Ref137453236"/>
      <w:bookmarkStart w:id="37" w:name="_Ref137463351"/>
      <w:bookmarkStart w:id="38" w:name="_Ref137463828"/>
      <w:bookmarkStart w:id="39" w:name="_Ref137491743"/>
      <w:r>
        <w:rPr>
          <w:caps/>
          <w:noProof/>
          <w:color w:val="000000" w:themeColor="text1"/>
        </w:rPr>
        <w:t>Risques et mesures d’atténuation</w:t>
      </w:r>
      <w:bookmarkEnd w:id="34"/>
      <w:r>
        <w:rPr>
          <w:caps/>
          <w:noProof/>
          <w:color w:val="000000" w:themeColor="text1"/>
        </w:rPr>
        <w:t xml:space="preserve"> </w:t>
      </w:r>
      <w:bookmarkEnd w:id="35"/>
      <w:bookmarkEnd w:id="36"/>
      <w:bookmarkEnd w:id="37"/>
      <w:bookmarkEnd w:id="38"/>
      <w:bookmarkEnd w:id="39"/>
    </w:p>
    <w:p w14:paraId="6DF5B279" w14:textId="03630151" w:rsidR="002445AC" w:rsidRPr="00F257ED" w:rsidRDefault="00F257ED" w:rsidP="7B8E4445">
      <w:pPr>
        <w:rPr>
          <w:noProof/>
        </w:rPr>
      </w:pPr>
      <w:r>
        <w:rPr>
          <w:noProof/>
        </w:rPr>
        <w:t xml:space="preserve">Le partage des responsabilités, défini et convenu avec toutes les parties prenantes dès le départ, devrait être respecté tout au long du cycle de vie du projet. Étant donné que la Commission est parvenue à atteindre un taux d’achèvement de 100 % pour le déploiement des composantes et systèmes centraux relevant de sa responsabilité, et que les États membres ont eux aussi atteint un degré très élevé de mise en œuvre à l’échéance globale de 2025 pour la transition numérique, </w:t>
      </w:r>
      <w:r>
        <w:rPr>
          <w:b/>
          <w:noProof/>
        </w:rPr>
        <w:t>les risques et les mesures d’atténuation ne concernent plus qu’une petite partie de la mise en œuvre numérique globale</w:t>
      </w:r>
      <w:r>
        <w:rPr>
          <w:noProof/>
        </w:rPr>
        <w:t xml:space="preserve">. </w:t>
      </w:r>
    </w:p>
    <w:p w14:paraId="37FA4861" w14:textId="2798B243" w:rsidR="00CD510E" w:rsidRDefault="00F257ED" w:rsidP="7B8E4445">
      <w:pPr>
        <w:rPr>
          <w:noProof/>
        </w:rPr>
      </w:pPr>
      <w:r>
        <w:rPr>
          <w:noProof/>
        </w:rPr>
        <w:t xml:space="preserve">Comme expliqué également dans les rapports précédents, </w:t>
      </w:r>
      <w:r>
        <w:rPr>
          <w:b/>
          <w:noProof/>
        </w:rPr>
        <w:t>les raisons sous-jacentes invoquées par les États membres pour expliquer les retards sont multiples et largement récurrentes</w:t>
      </w:r>
      <w:r>
        <w:rPr>
          <w:noProof/>
        </w:rPr>
        <w:t xml:space="preserve">. Il s’agit notamment de pénuries de ressources financières et humaines, de priorités informatiques nationales concurrentes et d’interdépendances avec d’autres projets. En outre, les États membres ont souligné l’incapacité de certaines infrastructures informatiques nationales à répondre aux spécifications techniques, aux problèmes de capacité des contractants et aux dépendances à l’égard d’acteurs externes. Parmi les autres facteurs qui contribuent à cette situation figurent les tests de conformité étendus, le degré de préparation des opérateurs économiques, la longueur des procédures de passation des marchés publics, les défis en matière de gouvernance et la complexité de l’intégration de nouveaux systèmes dans les environnements informatiques existants. </w:t>
      </w:r>
    </w:p>
    <w:p w14:paraId="7F232558" w14:textId="7378A392" w:rsidR="009A071C" w:rsidRDefault="005147C8" w:rsidP="009A071C">
      <w:pPr>
        <w:rPr>
          <w:noProof/>
        </w:rPr>
      </w:pPr>
      <w:r>
        <w:rPr>
          <w:noProof/>
        </w:rPr>
        <w:t xml:space="preserve">Les États membres ont également décrit dans l’enquête les différentes mesures d’atténuation recensées et mises en place pour remédier aux retards rencontrés. Ces mesures consistent notamment à optimiser l’allocation des ressources, à adopter des méthodologies souples, à mettre en œuvre des solutions systémiques intégrées et à renforcer la coordination avec les contractants afin d’améliorer l’efficacité et d’intensifier la collaboration. D’autres États membres ont mis en place des mesures visant à améliorer les structures organisationnelles, à rationaliser les procédures et à affiner la planification afin d’optimiser la gestion des projets et le processus décisionnel. Ces mesures ont été mentionnées pour les projets nationaux et transeuropéens. </w:t>
      </w:r>
    </w:p>
    <w:p w14:paraId="3F6C9248" w14:textId="13722625" w:rsidR="00767952" w:rsidRPr="009A071C" w:rsidRDefault="407F4C63" w:rsidP="009A071C">
      <w:pPr>
        <w:rPr>
          <w:noProof/>
        </w:rPr>
      </w:pPr>
      <w:r>
        <w:rPr>
          <w:noProof/>
        </w:rPr>
        <w:t xml:space="preserve">En ce qui concerne les projets nationaux, un taux global d’achèvement de 96 % a été atteint à la fin de 2025 pour les déploiements nationaux des systèmes nationaux d’entrée et d’importation. Outre les quelques États membres en retard, certains autres États membres continuent de proposer l’ancien et le nouveau système à leurs opérateurs économiques et/ou se préparent encore à quelques mises à niveau mineures de leurs systèmes nationaux afin d’assurer une conformité à 100 % avec le CDU et le modèle de données douanières de l’Union. L’achèvement complet est essentiel compte tenu de l’incidence sur les systèmes transeuropéens tels que le DCI et sur la transmission des données au système Surveillance. Pour que le système Surveillance fonctionne correctement, il est impératif que tous les États membres passent aux nouveaux formats de données dès que possible. Cela permettra d’améliorer la disponibilité et la qualité des données, ainsi que de renforcer la capacité du système à surveiller les flux commerciaux et à protéger les intérêts financiers de l’UE. </w:t>
      </w:r>
    </w:p>
    <w:p w14:paraId="610055CE" w14:textId="2C0144EA" w:rsidR="002B7EB6" w:rsidRPr="009A071C" w:rsidRDefault="001E4CA3" w:rsidP="002B7EB6">
      <w:pPr>
        <w:rPr>
          <w:noProof/>
        </w:rPr>
      </w:pPr>
      <w:r>
        <w:rPr>
          <w:noProof/>
        </w:rPr>
        <w:t>La Commission a engagé en 2025 des mesures coercitives à l’encontre des États membres accusant des retards dans le déploiement de leurs systèmes nationaux d’entrée/d’importation et/ou dans la transmission des données requises à Surveillance, et elle prendra d’autres mesures juridiques en 2026, parallèlement à la poursuite d’actions de soutien et de suivi.</w:t>
      </w:r>
    </w:p>
    <w:p w14:paraId="7B37084A" w14:textId="2AE54505" w:rsidR="00767952" w:rsidRPr="00767952" w:rsidRDefault="00767952" w:rsidP="0084523E">
      <w:pPr>
        <w:rPr>
          <w:b/>
          <w:bCs/>
          <w:noProof/>
        </w:rPr>
      </w:pPr>
      <w:r>
        <w:rPr>
          <w:b/>
          <w:noProof/>
        </w:rPr>
        <w:t xml:space="preserve">En ce qui concerne les systèmes transeuropéens décentralisés comportant des composantes nationales, la situation est très positive pour certains projets, mais critique pour d’autres, comme décrit ci-dessous. </w:t>
      </w:r>
    </w:p>
    <w:p w14:paraId="229476E5" w14:textId="38302AC3" w:rsidR="00623E35" w:rsidRDefault="00767952" w:rsidP="005147C8">
      <w:pPr>
        <w:rPr>
          <w:noProof/>
        </w:rPr>
      </w:pPr>
      <w:r>
        <w:rPr>
          <w:noProof/>
        </w:rPr>
        <w:t xml:space="preserve">Les risques signalés dans le rapport de 2024 ont été bien pris en compte par les États membres en ce qui concerne le </w:t>
      </w:r>
      <w:r>
        <w:rPr>
          <w:b/>
          <w:noProof/>
        </w:rPr>
        <w:t>déploiement de la phase 5 du NSTI</w:t>
      </w:r>
      <w:r>
        <w:rPr>
          <w:noProof/>
        </w:rPr>
        <w:t xml:space="preserve">, ce qui a permis de clôturer avec succès la période de transition le 21 janvier 2025. En ce qui concerne également la </w:t>
      </w:r>
      <w:r>
        <w:rPr>
          <w:b/>
          <w:noProof/>
        </w:rPr>
        <w:t>version 3 de l’ICS 2</w:t>
      </w:r>
      <w:r>
        <w:rPr>
          <w:noProof/>
        </w:rPr>
        <w:t xml:space="preserve">, la transition des opérateurs économiques du transport routier et ferroviaire s’est achevée avec succès le 31 décembre 2025. Cela est dû aux efforts déployés par les États membres et les opérateurs économiques, tandis que la Commission a, par différents moyens, continué de leur apporter son soutien dans leurs activités de développement de la version 3 de l’ICS 2. Il s’est agi notamment d’organiser des webinaires spécifiques, d’offrir une assistance au moyen de FAQ, de suivre et de coordonner les réunions plénières afin de garantir l’alignement des plans de projet sur les étapes de la mise en œuvre informatique de la Commission. Enfin, des campagnes de communication et des séances de formation en ligne ont été organisées et de la documentation a été mise à disposition dans la bibliothèque publique CIRCABC et sur le site web Europa. </w:t>
      </w:r>
    </w:p>
    <w:p w14:paraId="18EC58A0" w14:textId="77777777" w:rsidR="005147C8" w:rsidRDefault="005147C8" w:rsidP="005147C8">
      <w:pPr>
        <w:rPr>
          <w:noProof/>
        </w:rPr>
      </w:pPr>
      <w:r>
        <w:rPr>
          <w:noProof/>
        </w:rPr>
        <w:t xml:space="preserve">En ce qui concerne la mise en œuvre du </w:t>
      </w:r>
      <w:r>
        <w:rPr>
          <w:b/>
          <w:noProof/>
        </w:rPr>
        <w:t>SAE</w:t>
      </w:r>
      <w:r>
        <w:rPr>
          <w:noProof/>
        </w:rPr>
        <w:t>, le rapport précédent indiquait que quelques États membres planifiaient une date de mise en service au cours de l’année 2025, au-delà des délais initiaux fixés dans le PT CDU</w:t>
      </w:r>
      <w:r w:rsidRPr="003340FE">
        <w:rPr>
          <w:rStyle w:val="FootnoteReference"/>
          <w:noProof/>
          <w:sz w:val="18"/>
          <w:szCs w:val="18"/>
        </w:rPr>
        <w:footnoteReference w:id="21"/>
      </w:r>
      <w:r>
        <w:rPr>
          <w:noProof/>
        </w:rPr>
        <w:t xml:space="preserve">. À leur demande et afin d’éviter toute perturbation des flux commerciaux, la Commission a prolongé jusqu’au 14 décembre 2025 la période permettant le maintien des mesures transitoires en matière d’exportation et de sortie. La Commission a également poursuivi le «programme de coordination des administrations nationales» afin d’aider les États membres à concevoir et à déployer leurs composantes nationales. Les activités comprennent </w:t>
      </w:r>
      <w:r>
        <w:rPr>
          <w:noProof/>
          <w:color w:val="000000" w:themeColor="text1"/>
        </w:rPr>
        <w:t>un service d’assistance spécialisé, des réunions virtuelles afin d’atténuer les retards pris par les États membres dans leurs activités de développement, la diffusion d’informations à jour auprès de la communauté des opérateurs et la présentation de rapports réguliers au groupe de coordination sur la douane électronique (ECCG) et au groupe de politique douanière (GPD). En outre, la Commission publie des rapports trimestriels consolidés sur l’état d’avancement de la transition vers les nouveaux systèmes depuis le premier trimestre de 2021, qui incluent des indicateurs clés de performance (ICP) pour la détection des alertes précoces.</w:t>
      </w:r>
      <w:r>
        <w:rPr>
          <w:noProof/>
        </w:rPr>
        <w:t xml:space="preserve"> Des modules d’apprentissage en ligne, des documents d’orientation et d’autres supports d’information ont été mis à la disposition des États membres et des opérateurs économiques. Au 15 décembre 2025, tous les États membres avaient réussi à déployer leur système en ce qui concerne les fonctionnalités essentielles, le Portugal, la France et la Grèce étant les derniers à le faire. Cela démontre que les mesures d’atténuation convenues à la fin de 2024 avec la modification de la date de transition et le suivi renforcé des progrès accomplis se sont révélées être la bonne voie à suivre. Quelques États membres doivent encore mener à bien la mise en œuvre des fonctionnalités non essentielles, qui feront l’objet d’un suivi plus approfondi tout au long de l’année 2026 afin de veiller à ce que les opérateurs économiques puissent bénéficier de toutes les simplifications offertes par le CDU, telles que le dédouanement centralisé des exportations. </w:t>
      </w:r>
    </w:p>
    <w:p w14:paraId="38B87E4F" w14:textId="557D0B34" w:rsidR="008A2683" w:rsidRDefault="008A2683" w:rsidP="008A2683">
      <w:pPr>
        <w:rPr>
          <w:noProof/>
        </w:rPr>
      </w:pPr>
      <w:r>
        <w:rPr>
          <w:noProof/>
        </w:rPr>
        <w:t xml:space="preserve">En ce qui concerne la </w:t>
      </w:r>
      <w:r>
        <w:rPr>
          <w:b/>
          <w:noProof/>
        </w:rPr>
        <w:t>phase 2 du projet PoUS</w:t>
      </w:r>
      <w:r>
        <w:rPr>
          <w:noProof/>
        </w:rPr>
        <w:t>, son fonctionnement central dépend des déploiements nationaux. Du point de vue des douanes centrales, le projet est conforme au calendrier, mais la mise à disposition des guichets uniques maritimes nationaux par les autorités maritimes des États membres accuse des retards importants, comme indiqué dans la communication de la Commission du 22.10.2024 présentant la mise à jour pour 2024 du plan de mise en œuvre pluriannuel pour l’établissement d’un système de guichet unique maritime européen (C/2024/6300).</w:t>
      </w:r>
      <w:bookmarkStart w:id="40" w:name="_Hlk223697832"/>
      <w:r>
        <w:rPr>
          <w:noProof/>
        </w:rPr>
        <w:t xml:space="preserve"> Conformément à la décision de dérogation accordée, les États membres sont tenus de rendre compte des progrès accomplis dans la fourniture de l’interface entre le système PoUS visé dans la décision d’exécution (UE) 2023/2879 et le guichet unique maritime national prévu par le règlement (UE) 2019/1239, tous les quatre mois à partir du 15 août 2025, au plus tard le quinzième jour suivant le quatrième mois.</w:t>
      </w:r>
      <w:bookmarkEnd w:id="40"/>
      <w:r>
        <w:rPr>
          <w:noProof/>
        </w:rPr>
        <w:t xml:space="preserve"> La Commission a pris contact avec les administrations douanières lors des réunions du groupe de coordination sur la douane électronique (ECCG) et du groupe sur les opérations douanières afin de travailler en étroite collaboration avec les autorités maritimes et de tirer parti de leur expertise en vue de la mise en œuvre. </w:t>
      </w:r>
    </w:p>
    <w:p w14:paraId="57CF2D8B" w14:textId="6AF7A83C" w:rsidR="004772B4" w:rsidRPr="005147C8" w:rsidRDefault="6595FC95" w:rsidP="005147C8">
      <w:pPr>
        <w:rPr>
          <w:noProof/>
        </w:rPr>
      </w:pPr>
      <w:r>
        <w:rPr>
          <w:noProof/>
        </w:rPr>
        <w:t xml:space="preserve">D’autres déploiements étaient attendus en 2025 pour la </w:t>
      </w:r>
      <w:r>
        <w:rPr>
          <w:b/>
          <w:noProof/>
        </w:rPr>
        <w:t>phase 6 du NSTI</w:t>
      </w:r>
      <w:r>
        <w:rPr>
          <w:noProof/>
        </w:rPr>
        <w:t>, étant donné que les opérateurs de transport routier et ferroviaire devaient se conformer aux nouvelles exigences de sécurité douanière de l’UE à compter du 1</w:t>
      </w:r>
      <w:r>
        <w:rPr>
          <w:noProof/>
          <w:vertAlign w:val="superscript"/>
        </w:rPr>
        <w:t>er</w:t>
      </w:r>
      <w:r>
        <w:rPr>
          <w:noProof/>
        </w:rPr>
        <w:t> septembre 2025. Comme pour les raisons exposées aux sections 3.7.2, 4.2 et 4.5.2, cette date a été reportée au 1</w:t>
      </w:r>
      <w:r>
        <w:rPr>
          <w:noProof/>
          <w:vertAlign w:val="superscript"/>
        </w:rPr>
        <w:t>er</w:t>
      </w:r>
      <w:r>
        <w:rPr>
          <w:noProof/>
        </w:rPr>
        <w:t> juin 2026 pour la phase 6 du NSTI. Conformément à la décision de dérogation accordée pour la phase 6 du NSTI, les États membres sont tenus de rendre compte, chaque mois à la Commission européenne, des progrès accomplis dans le développement de l’interconnexion prévue par la décision d’exécution (UE) 2023/2879 de la Commission. La phase 6 du NSTI constitue une étape majeure vers un environnement de transit plus harmonisé fondé sur les données dans toute l’Europe, mais la transition est inégale. Certains opérateurs bénéficieront rapidement de fichiers de données rationalisés, tandis que d’autres devront continuer à traiter séparément les déclarations de transit et de sécurité. Au cours de la transition, pour les envois multimodaux ou plurinationaux, les règles de dépôt peuvent varier entre le pays de départ, le pays de transit et le pays de destination. D’ici la mi-2026, la transition devrait être achevée et tous les États membres devraient avoir atteint la phase 6 du NSTI. En attendant, les États membres et les opérateurs économiques devraient se préparer à la phase 6 du NSTI et veiller à ce qu’il soit techniquement prêt, contribuant à ce que les marchandises circulent sans heurts dans un environnement de transit en constante évolution. La Commission suivra de très près les progrès accomplis.</w:t>
      </w:r>
    </w:p>
    <w:p w14:paraId="7B1BFBB4" w14:textId="2B0240C2" w:rsidR="004837D2" w:rsidRDefault="00245505" w:rsidP="004837D2">
      <w:pPr>
        <w:spacing w:after="0"/>
        <w:rPr>
          <w:noProof/>
        </w:rPr>
      </w:pPr>
      <w:r>
        <w:rPr>
          <w:noProof/>
        </w:rPr>
        <w:t>En ce qui concerne la situation du système DCI, dix-sept États membres n’ont pas respecté la date de déploiement de la phase 1 du DCI fixée au 1</w:t>
      </w:r>
      <w:r>
        <w:rPr>
          <w:noProof/>
          <w:vertAlign w:val="superscript"/>
        </w:rPr>
        <w:t>er</w:t>
      </w:r>
      <w:r>
        <w:rPr>
          <w:noProof/>
        </w:rPr>
        <w:t> juillet 2024 dans le PT CDU</w:t>
      </w:r>
      <w:r w:rsidR="00A663C4" w:rsidRPr="00B94F4D">
        <w:rPr>
          <w:noProof/>
          <w:vertAlign w:val="superscript"/>
          <w:lang w:val="en-US"/>
        </w:rPr>
        <w:footnoteReference w:id="22"/>
      </w:r>
      <w:r>
        <w:rPr>
          <w:noProof/>
        </w:rPr>
        <w:t>, tandis que pour la phase 2 du DCI, dix-neuf États membres n’ont pas respecté la date limite du 2 juin 2025. Les retards pris par les États membres, conjugués aux différentes approches adoptées pour le développement et le déploiement progressifs du système DCI (voir figure 6 ci-dessous sur la planification opérationnelle), créent un déséquilibre entre la mise en œuvre du champ d’application du DCI dans les États membres et les exigences des opérateurs économiques découlant de la mise en œuvre intégrale du DCI.</w:t>
      </w:r>
    </w:p>
    <w:p w14:paraId="0D0FFE61" w14:textId="77777777" w:rsidR="004837D2" w:rsidRPr="00CA6F2D" w:rsidRDefault="004837D2" w:rsidP="004837D2">
      <w:pPr>
        <w:spacing w:after="0"/>
        <w:rPr>
          <w:noProof/>
          <w:lang w:val="fr-BE"/>
        </w:rPr>
      </w:pPr>
    </w:p>
    <w:p w14:paraId="5AD5EBDA" w14:textId="5076FBBC" w:rsidR="00EE0544" w:rsidRDefault="00FD3EF9" w:rsidP="00EE0544">
      <w:pPr>
        <w:rPr>
          <w:noProof/>
          <w:color w:val="000000" w:themeColor="text1"/>
        </w:rPr>
      </w:pPr>
      <w:r w:rsidRPr="008B4BB3">
        <w:rPr>
          <w:noProof/>
          <w:lang w:val="en-GB" w:eastAsia="en-GB"/>
        </w:rPr>
        <w:drawing>
          <wp:inline distT="0" distB="0" distL="0" distR="0" wp14:anchorId="7FA43369" wp14:editId="20C42914">
            <wp:extent cx="5760720" cy="3023235"/>
            <wp:effectExtent l="0" t="0" r="0" b="5715"/>
            <wp:docPr id="15474115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0720" cy="3023235"/>
                    </a:xfrm>
                    <a:prstGeom prst="rect">
                      <a:avLst/>
                    </a:prstGeom>
                    <a:noFill/>
                    <a:ln>
                      <a:noFill/>
                    </a:ln>
                  </pic:spPr>
                </pic:pic>
              </a:graphicData>
            </a:graphic>
          </wp:inline>
        </w:drawing>
      </w:r>
    </w:p>
    <w:p w14:paraId="51F3C165" w14:textId="7ADF70D4" w:rsidR="004837D2" w:rsidRPr="004E1DD0" w:rsidRDefault="004837D2" w:rsidP="004837D2">
      <w:pPr>
        <w:pStyle w:val="Caption"/>
        <w:rPr>
          <w:noProof/>
        </w:rPr>
      </w:pPr>
      <w:r>
        <w:rPr>
          <w:noProof/>
        </w:rPr>
        <w:t>Figure 6: planification opérationnelle par les administrations nationales (AN) des États membres</w:t>
      </w:r>
    </w:p>
    <w:p w14:paraId="37AC27D1" w14:textId="77777777" w:rsidR="004837D2" w:rsidRPr="00CA6F2D" w:rsidRDefault="004837D2" w:rsidP="00EE0544">
      <w:pPr>
        <w:rPr>
          <w:noProof/>
          <w:color w:val="000000" w:themeColor="text1"/>
          <w:lang w:val="fr-BE"/>
        </w:rPr>
      </w:pPr>
    </w:p>
    <w:p w14:paraId="74B26CE4" w14:textId="77777777" w:rsidR="004837D2" w:rsidRDefault="004837D2" w:rsidP="004837D2">
      <w:pPr>
        <w:spacing w:after="0"/>
        <w:rPr>
          <w:noProof/>
        </w:rPr>
      </w:pPr>
      <w:r>
        <w:rPr>
          <w:noProof/>
        </w:rPr>
        <w:t xml:space="preserve">La Commission a poursuivi ses activités afin de suivre de près l’état d’avancement du développement des composantes nationales par les États membres pour le </w:t>
      </w:r>
      <w:r>
        <w:rPr>
          <w:b/>
          <w:noProof/>
        </w:rPr>
        <w:t>projet DCI</w:t>
      </w:r>
      <w:r>
        <w:rPr>
          <w:noProof/>
        </w:rPr>
        <w:t xml:space="preserve"> et a établi un rapport d’avancement consolidé trimestriel à partir du premier trimestre de 2024. De plus, l’équipe opérationnelle de la Commission chargée du DCI a poursuivi ses efforts pour répondre aux questions des États membres sur les importations et les simplifications à l’importation, telles que le dédouanement centralisé. En outre, des réunions du groupe sur les opérations douanières du DCI ont été organisées afin de coordonner, entre autres, les activités liées aux demandes d’autorisation du DCI, ainsi que des réunions techniques régulières, chaque semaine et toutes les deux semaines, et des séances de retour d’information sur les tests de conformité.  </w:t>
      </w:r>
    </w:p>
    <w:p w14:paraId="380CE587" w14:textId="1E0A2194" w:rsidR="004837D2" w:rsidRDefault="00EE0544" w:rsidP="00557967">
      <w:pPr>
        <w:rPr>
          <w:noProof/>
        </w:rPr>
      </w:pPr>
      <w:r>
        <w:rPr>
          <w:noProof/>
        </w:rPr>
        <w:t>Des modules d’apprentissage en ligne et du matériel de communication ont été publiés sur le site web Europa afin de soutenir la transition vers les nouveaux systèmes et leur mise en œuvre. La Commission a également adressé des lettres administratives aux États membres accusant des retards dans la mise en œuvre du projet DCI au-delà du délai légal.</w:t>
      </w:r>
    </w:p>
    <w:p w14:paraId="0EC76797" w14:textId="0E5698DF" w:rsidR="00FF1CAF" w:rsidRDefault="00FF1CAF" w:rsidP="00FF1CAF">
      <w:pPr>
        <w:rPr>
          <w:noProof/>
          <w:color w:val="000000" w:themeColor="text1"/>
        </w:rPr>
      </w:pPr>
      <w:r>
        <w:rPr>
          <w:noProof/>
        </w:rPr>
        <w:t xml:space="preserve">Les retards enregistrés par les États membres ont des répercussions sur la mise en œuvre des systèmes transeuropéens en intégralité, qui, à leur tour, ont une </w:t>
      </w:r>
      <w:r>
        <w:rPr>
          <w:b/>
          <w:noProof/>
        </w:rPr>
        <w:t>incidence sur les activités de la Commission</w:t>
      </w:r>
      <w:r>
        <w:rPr>
          <w:noProof/>
        </w:rPr>
        <w:t>. Cela nécessite un investissement continu dans les ressources affectées aux tests de conformité, à la coordination et aux activités de soutien pour les projets transeuropéens, ainsi qu’une maintenance étendue des composantes centrales pendant les périodes de transition. Cela implique également une aide supplémentaire à apporter aux États membres et un suivi des progrès accomplis.</w:t>
      </w:r>
    </w:p>
    <w:p w14:paraId="68548EA5" w14:textId="68A7DBB1" w:rsidR="004772B4" w:rsidRPr="004E1DD0" w:rsidRDefault="004772B4" w:rsidP="004772B4">
      <w:pPr>
        <w:rPr>
          <w:noProof/>
        </w:rPr>
      </w:pPr>
      <w:r>
        <w:rPr>
          <w:noProof/>
        </w:rPr>
        <w:t xml:space="preserve">En résumé, tout au long de l’année 2025, </w:t>
      </w:r>
      <w:r>
        <w:rPr>
          <w:b/>
          <w:noProof/>
        </w:rPr>
        <w:t>la Commission</w:t>
      </w:r>
      <w:r>
        <w:rPr>
          <w:noProof/>
        </w:rPr>
        <w:t xml:space="preserve"> a également pris un certain nombre de mesures, complémentaires de celles recensées et mises en œuvre au niveau national par les États membres. </w:t>
      </w:r>
    </w:p>
    <w:p w14:paraId="0BBEBA80" w14:textId="02098E0B" w:rsidR="001C6589" w:rsidRPr="004E1DD0" w:rsidRDefault="001A061E" w:rsidP="703B235F">
      <w:pPr>
        <w:rPr>
          <w:noProof/>
        </w:rPr>
      </w:pPr>
      <w:bookmarkStart w:id="41" w:name="_Toc117261088"/>
      <w:bookmarkEnd w:id="41"/>
      <w:r>
        <w:rPr>
          <w:i/>
          <w:noProof/>
        </w:rPr>
        <w:t>Premièrement</w:t>
      </w:r>
      <w:r>
        <w:rPr>
          <w:noProof/>
        </w:rPr>
        <w:t xml:space="preserve">, elle </w:t>
      </w:r>
      <w:r>
        <w:rPr>
          <w:b/>
          <w:noProof/>
        </w:rPr>
        <w:t>a renforcé la supervision et le suivi du programme de travail numérique du CDU</w:t>
      </w:r>
      <w:r>
        <w:rPr>
          <w:noProof/>
        </w:rPr>
        <w:t xml:space="preserve"> en augmentant la fréquence des rapports d’avancement et en organisant des réunions et missions bilatérales au niveau des directeurs avec chacun des États membres. La mise en œuvre du PT CDU a également toujours été placée à l’ordre du jour des réunions et des missions menées par le directeur général et lors de réunions plénières de haut niveau avec les directeurs généraux des États membres comme dans le groupe de politique douanière ainsi qu’avec les responsables de l’information des États membres au sein du réseau des responsables de l’information. Les États membres ont été encouragés à suivre de près l’état d’avancement des projets restants et à prendre des mesures d’atténuation en vue d’achever le programme numérique du CDU d’ici la fin de 2025.</w:t>
      </w:r>
    </w:p>
    <w:p w14:paraId="11F66409" w14:textId="543A68AE" w:rsidR="0077637E" w:rsidRPr="004E1DD0" w:rsidRDefault="0077637E" w:rsidP="703B235F">
      <w:pPr>
        <w:rPr>
          <w:noProof/>
        </w:rPr>
      </w:pPr>
      <w:r>
        <w:rPr>
          <w:noProof/>
        </w:rPr>
        <w:t>La Commission a continué d’utiliser le tableau de bord du plan stratégique pluriannuel dans le domaine douanier (MASP-C), fondé sur le MASP-C révisé en 2023 et le PT CDU 2023, pour suivre l’avancement des projets, les étapes des projets et repérer les retards à un stade précoce. Le tableau de bord est présenté tous les trimestres aux États membres au sein du groupe de coordination sur la douane électronique (ECCG), qui se réunit conjointement avec la communauté des opérateurs.</w:t>
      </w:r>
    </w:p>
    <w:p w14:paraId="057BA1A8" w14:textId="73F8BE35" w:rsidR="00D30682" w:rsidRPr="004E1DD0" w:rsidRDefault="00252A75" w:rsidP="703B235F">
      <w:pPr>
        <w:rPr>
          <w:noProof/>
        </w:rPr>
      </w:pPr>
      <w:r>
        <w:rPr>
          <w:i/>
          <w:noProof/>
        </w:rPr>
        <w:t>Deuxièmement</w:t>
      </w:r>
      <w:r>
        <w:rPr>
          <w:noProof/>
        </w:rPr>
        <w:t>, la Commission a poursuivi le renforcement de l’</w:t>
      </w:r>
      <w:r>
        <w:rPr>
          <w:b/>
          <w:noProof/>
        </w:rPr>
        <w:t>aide apportée aux États membres pour les systèmes transeuropéens</w:t>
      </w:r>
      <w:r>
        <w:rPr>
          <w:noProof/>
        </w:rPr>
        <w:t xml:space="preserve"> en adoptant une approche souple et itérative du développement et du déploiement des systèmes électroniques prévus dans le CDU. Cette approche, qui passe par la mise au point de prototypes, la résolution rapide des problèmes et un bon équilibre de la charge de travail entre la Commission et les États membres, renforce la qualité des systèmes et facilite la réalisation de progrès tangibles.  Elle a été bien accueillie par les États membres et les opérateurs. </w:t>
      </w:r>
    </w:p>
    <w:p w14:paraId="581D74D6" w14:textId="5BA0D714" w:rsidR="00D30682" w:rsidRPr="004E1DD0" w:rsidRDefault="00D30682" w:rsidP="703B235F">
      <w:pPr>
        <w:rPr>
          <w:noProof/>
        </w:rPr>
      </w:pPr>
      <w:r>
        <w:rPr>
          <w:noProof/>
        </w:rPr>
        <w:t xml:space="preserve">En outre, la Commission a mis en place un </w:t>
      </w:r>
      <w:r>
        <w:rPr>
          <w:b/>
          <w:noProof/>
        </w:rPr>
        <w:t>mécanisme de collaboration</w:t>
      </w:r>
      <w:r>
        <w:rPr>
          <w:noProof/>
        </w:rPr>
        <w:t xml:space="preserve"> entre les parties prenantes dès le début des projets afin d’optimiser les activités préparatoires, de prévenir les difficultés décisionnelles et de garantir la transparence grâce à la mise à jour régulière des projets. </w:t>
      </w:r>
    </w:p>
    <w:p w14:paraId="2C61F2AF" w14:textId="275EAE09" w:rsidR="00282B17" w:rsidRPr="004E1DD0" w:rsidRDefault="00D30682" w:rsidP="142D53D2">
      <w:pPr>
        <w:rPr>
          <w:noProof/>
        </w:rPr>
      </w:pPr>
      <w:r>
        <w:rPr>
          <w:noProof/>
        </w:rPr>
        <w:t xml:space="preserve">La Commission a également poursuivi </w:t>
      </w:r>
      <w:r>
        <w:rPr>
          <w:b/>
          <w:noProof/>
        </w:rPr>
        <w:t>la coordination et le suivi des programmes</w:t>
      </w:r>
      <w:r>
        <w:rPr>
          <w:noProof/>
        </w:rPr>
        <w:t xml:space="preserve"> pour chacun des projets en cours liés aux systèmes transeuropéens ICS 2, NSTI, DCI et SAE.    </w:t>
      </w:r>
    </w:p>
    <w:p w14:paraId="346F06C5" w14:textId="0EC5C231" w:rsidR="003B707C" w:rsidRPr="004E1DD0" w:rsidRDefault="003F30AA" w:rsidP="006C7EE0">
      <w:pPr>
        <w:spacing w:line="259" w:lineRule="auto"/>
        <w:rPr>
          <w:noProof/>
        </w:rPr>
      </w:pPr>
      <w:r>
        <w:rPr>
          <w:i/>
          <w:noProof/>
        </w:rPr>
        <w:t>Troisièmement</w:t>
      </w:r>
      <w:r>
        <w:rPr>
          <w:noProof/>
        </w:rPr>
        <w:t xml:space="preserve">, la Commission a invité les États membres, par le biais d’enquêtes et d’autres moyens, à exposer leurs contraintes et à indiquer le soutien dont ils auraient besoin pour atténuer les risques. Les États membres ont indiqué que les réunions bilatérales au niveau des directeurs et le dialogue technique avec la DG TAXUD avaient été très bénéfiques. La Commission a également poursuivi l’exercice destiné à recueillir </w:t>
      </w:r>
      <w:r>
        <w:rPr>
          <w:b/>
          <w:noProof/>
        </w:rPr>
        <w:t>les enseignements tirés</w:t>
      </w:r>
      <w:r>
        <w:rPr>
          <w:noProof/>
        </w:rPr>
        <w:t xml:space="preserve"> et </w:t>
      </w:r>
      <w:r>
        <w:rPr>
          <w:b/>
          <w:noProof/>
        </w:rPr>
        <w:t>les meilleures pratiques</w:t>
      </w:r>
      <w:r>
        <w:rPr>
          <w:noProof/>
        </w:rPr>
        <w:t xml:space="preserve"> pour le développement des projets numériques. À cette fin, l’enquête menée en 2025 </w:t>
      </w:r>
      <w:r>
        <w:rPr>
          <w:noProof/>
          <w:color w:val="000000" w:themeColor="text1"/>
        </w:rPr>
        <w:t xml:space="preserve">a fourni ces informations </w:t>
      </w:r>
      <w:r>
        <w:rPr>
          <w:noProof/>
        </w:rPr>
        <w:t xml:space="preserve">et les résultats ont été ajoutés à la section 1 du document de travail des services de la Commission accompagnant le présent rapport. En outre, plusieurs États membres ont partagé leurs expériences et pratiques nationales en matière de transformation numérique dans le cadre du CDU lors de la réunion de haut niveau du groupe de politique douanière en juillet et décembre 2025 et de la réunion du réseau des responsables de l’information en novembre 2025. </w:t>
      </w:r>
    </w:p>
    <w:p w14:paraId="49575CF4" w14:textId="435C0896" w:rsidR="00804C60" w:rsidRDefault="00CB5DA2" w:rsidP="00903BD6">
      <w:pPr>
        <w:rPr>
          <w:noProof/>
        </w:rPr>
      </w:pPr>
      <w:r>
        <w:rPr>
          <w:i/>
          <w:noProof/>
        </w:rPr>
        <w:t>Quatrièmement</w:t>
      </w:r>
      <w:r>
        <w:rPr>
          <w:noProof/>
        </w:rPr>
        <w:t xml:space="preserve">, conformément à la </w:t>
      </w:r>
      <w:r>
        <w:rPr>
          <w:b/>
          <w:noProof/>
        </w:rPr>
        <w:t>stratégie d’application du droit de l’Union</w:t>
      </w:r>
      <w:r>
        <w:rPr>
          <w:noProof/>
        </w:rPr>
        <w:t xml:space="preserve">, la Commission a également échangé une correspondance formelle avec les États membres accusant des retards dans la mise en œuvre des systèmes numériques. La Commission a décidé de poursuivre les États membres pour non-respect des obligations qui leur incombent en vertu du CDU et du PT CDU. Des procédures d’infraction contre 14 États membres (AT, BE, </w:t>
      </w:r>
      <w:bookmarkStart w:id="42" w:name="_Toc164064191"/>
      <w:bookmarkStart w:id="43" w:name="_Hlk202953993"/>
      <w:bookmarkEnd w:id="42"/>
      <w:r>
        <w:rPr>
          <w:noProof/>
        </w:rPr>
        <w:t xml:space="preserve">CZ, CY, DK, FR, GR, IE, IT, MT, SK, SI, PT, RO) </w:t>
      </w:r>
      <w:r>
        <w:rPr>
          <w:rStyle w:val="FootnoteReference"/>
          <w:noProof/>
        </w:rPr>
        <w:t xml:space="preserve"> </w:t>
      </w:r>
      <w:r>
        <w:rPr>
          <w:noProof/>
        </w:rPr>
        <w:t>ont été ouvertes en mai</w:t>
      </w:r>
      <w:r w:rsidR="00557967" w:rsidRPr="00B43E28">
        <w:rPr>
          <w:rStyle w:val="FootnoteReference"/>
          <w:noProof/>
        </w:rPr>
        <w:footnoteReference w:id="23"/>
      </w:r>
      <w:r>
        <w:rPr>
          <w:noProof/>
        </w:rPr>
        <w:t>, juin</w:t>
      </w:r>
      <w:r w:rsidR="00557967" w:rsidRPr="00B43E28">
        <w:rPr>
          <w:rStyle w:val="FootnoteReference"/>
          <w:noProof/>
        </w:rPr>
        <w:footnoteReference w:id="24"/>
      </w:r>
      <w:r w:rsidR="00557967" w:rsidRPr="00B43E28">
        <w:rPr>
          <w:rStyle w:val="FootnoteReference"/>
          <w:noProof/>
        </w:rPr>
        <w:t xml:space="preserve"> </w:t>
      </w:r>
      <w:r>
        <w:rPr>
          <w:rStyle w:val="FootnoteReference"/>
          <w:noProof/>
        </w:rPr>
        <w:t xml:space="preserve"> </w:t>
      </w:r>
      <w:r>
        <w:rPr>
          <w:noProof/>
        </w:rPr>
        <w:t>et juillet</w:t>
      </w:r>
      <w:r w:rsidR="00557967" w:rsidRPr="00B43E28">
        <w:rPr>
          <w:rStyle w:val="FootnoteReference"/>
          <w:noProof/>
        </w:rPr>
        <w:footnoteReference w:id="25"/>
      </w:r>
      <w:r w:rsidR="00557967" w:rsidRPr="00B43E28">
        <w:rPr>
          <w:rStyle w:val="FootnoteReference"/>
          <w:noProof/>
        </w:rPr>
        <w:t xml:space="preserve"> </w:t>
      </w:r>
      <w:r>
        <w:rPr>
          <w:rStyle w:val="FootnoteReference"/>
          <w:noProof/>
        </w:rPr>
        <w:t xml:space="preserve"> </w:t>
      </w:r>
      <w:r>
        <w:rPr>
          <w:noProof/>
        </w:rPr>
        <w:t>2025 pour manquement à leurs obligations de déploiement du système de dépôt temporaire pour le transport aérien (DT Air), du système national d’importation (SNI) et du système automatisé d’exportation (SAE) et pour manquement à leurs obligations en matière de transmission des données douanières au système Surveillance (SURV 3).</w:t>
      </w:r>
    </w:p>
    <w:p w14:paraId="4860E366" w14:textId="540A9A94" w:rsidR="00B43E28" w:rsidRPr="004543E7" w:rsidRDefault="00804C60" w:rsidP="00B43E28">
      <w:pPr>
        <w:rPr>
          <w:noProof/>
        </w:rPr>
      </w:pPr>
      <w:r>
        <w:rPr>
          <w:noProof/>
        </w:rPr>
        <w:t xml:space="preserve">En examinant les expériences globales acquises sur une période de dix ans en matière de transition numérique et de mise en œuvre du CDU, les États membres ont été invités, lors d’une réunion spéciale des responsables de l’information, à donner leur avis sur les plus grands défis rencontrés à l’occasion de la mise en œuvre numérique du CDU.  Les réponses ont révélé une tendance claire: </w:t>
      </w:r>
      <w:r>
        <w:rPr>
          <w:b/>
          <w:noProof/>
        </w:rPr>
        <w:t>les trois difficultés les plus significatives étaient, dans une large mesure, 1) les structures de gouvernance permettant une prise de décision rapide, 2) le maintien de l’engagement des parties prenantes et 3) la définition et le maintien d’un champ d’application clair</w:t>
      </w:r>
      <w:r>
        <w:rPr>
          <w:noProof/>
        </w:rPr>
        <w:t xml:space="preserve">. </w:t>
      </w:r>
      <w:bookmarkEnd w:id="43"/>
      <w:r>
        <w:rPr>
          <w:noProof/>
        </w:rPr>
        <w:t>La complexité des dispositifs nationaux de gouvernance a, dans certains cas, entraîné une dilution des responsabilités. Dans les programmes de transformation numérique à grande échelle tels que le CDU, la dilution des responsabilités se traduit directement par un risque pour la mise en œuvre. L’expérience de la Commission a montré que la mise en œuvre ne s’accélère que lorsqu’une appropriation claire de haut niveau, un pilotage et une coordination centrale sont établis au niveau national; les progrès ont alors été nettement plus rapides et plus prévisibles.</w:t>
      </w:r>
    </w:p>
    <w:p w14:paraId="498115F0" w14:textId="36167C14" w:rsidR="360F65CF" w:rsidRPr="00B43E28" w:rsidRDefault="360F65CF" w:rsidP="7B8E4445">
      <w:pPr>
        <w:rPr>
          <w:noProof/>
        </w:rPr>
      </w:pPr>
    </w:p>
    <w:p w14:paraId="0907BED2" w14:textId="77777777" w:rsidR="006D4D5B" w:rsidRPr="006D4D5B" w:rsidRDefault="006D4D5B" w:rsidP="00D4180C">
      <w:pPr>
        <w:rPr>
          <w:noProof/>
        </w:rPr>
      </w:pPr>
      <w:bookmarkStart w:id="44" w:name="_Toc117261090"/>
      <w:bookmarkStart w:id="45" w:name="_Toc51832874"/>
      <w:bookmarkStart w:id="46" w:name="_Toc51832875"/>
      <w:bookmarkEnd w:id="44"/>
      <w:bookmarkEnd w:id="45"/>
      <w:bookmarkEnd w:id="46"/>
    </w:p>
    <w:sectPr w:rsidR="006D4D5B" w:rsidRPr="006D4D5B" w:rsidSect="00E775AC">
      <w:headerReference w:type="default" r:id="rId34"/>
      <w:footerReference w:type="default" r:id="rId35"/>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71B00" w14:textId="77777777" w:rsidR="00A04937" w:rsidRDefault="00A04937">
      <w:pPr>
        <w:spacing w:after="0"/>
      </w:pPr>
      <w:r>
        <w:separator/>
      </w:r>
    </w:p>
  </w:endnote>
  <w:endnote w:type="continuationSeparator" w:id="0">
    <w:p w14:paraId="5873330E" w14:textId="77777777" w:rsidR="00A04937" w:rsidRDefault="00A04937">
      <w:pPr>
        <w:spacing w:after="0"/>
      </w:pPr>
      <w:r>
        <w:continuationSeparator/>
      </w:r>
    </w:p>
  </w:endnote>
  <w:endnote w:type="continuationNotice" w:id="1">
    <w:p w14:paraId="33007D9B" w14:textId="77777777" w:rsidR="00A04937" w:rsidRDefault="00A0493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A4BC3" w14:textId="5119278A" w:rsidR="00984D42" w:rsidRPr="00984D42" w:rsidRDefault="00984D42" w:rsidP="00984D42">
    <w:pPr>
      <w:pStyle w:val="FooterCoverPage"/>
      <w:rPr>
        <w:rFonts w:ascii="Arial" w:hAnsi="Arial" w:cs="Arial"/>
        <w:b/>
        <w:sz w:val="48"/>
      </w:rPr>
    </w:pPr>
    <w:r w:rsidRPr="00984D42">
      <w:rPr>
        <w:rFonts w:ascii="Arial" w:hAnsi="Arial" w:cs="Arial"/>
        <w:b/>
        <w:sz w:val="48"/>
      </w:rPr>
      <w:t>FR</w:t>
    </w:r>
    <w:r w:rsidRPr="00984D42">
      <w:rPr>
        <w:rFonts w:ascii="Arial" w:hAnsi="Arial" w:cs="Arial"/>
        <w:b/>
        <w:sz w:val="48"/>
      </w:rPr>
      <w:tab/>
    </w:r>
    <w:r w:rsidRPr="00984D42">
      <w:rPr>
        <w:rFonts w:ascii="Arial" w:hAnsi="Arial" w:cs="Arial"/>
        <w:b/>
        <w:sz w:val="48"/>
      </w:rPr>
      <w:tab/>
    </w:r>
    <w:r w:rsidRPr="00984D42">
      <w:tab/>
    </w:r>
    <w:r w:rsidRPr="00984D4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4C6E8" w14:textId="384F10EE" w:rsidR="00984D42" w:rsidRPr="00984D42" w:rsidRDefault="00984D42" w:rsidP="00984D42">
    <w:pPr>
      <w:pStyle w:val="FooterCoverPage"/>
      <w:rPr>
        <w:rFonts w:ascii="Arial" w:hAnsi="Arial" w:cs="Arial"/>
        <w:b/>
        <w:sz w:val="48"/>
      </w:rPr>
    </w:pPr>
    <w:r w:rsidRPr="00984D42">
      <w:rPr>
        <w:rFonts w:ascii="Arial" w:hAnsi="Arial" w:cs="Arial"/>
        <w:b/>
        <w:sz w:val="48"/>
      </w:rPr>
      <w:t>FR</w:t>
    </w:r>
    <w:r w:rsidRPr="00984D42">
      <w:rPr>
        <w:rFonts w:ascii="Arial" w:hAnsi="Arial" w:cs="Arial"/>
        <w:b/>
        <w:sz w:val="48"/>
      </w:rPr>
      <w:tab/>
    </w:r>
    <w:r w:rsidRPr="00984D42">
      <w:rPr>
        <w:rFonts w:ascii="Arial" w:hAnsi="Arial" w:cs="Arial"/>
        <w:b/>
        <w:sz w:val="48"/>
      </w:rPr>
      <w:tab/>
    </w:r>
    <w:r w:rsidRPr="00984D42">
      <w:tab/>
    </w:r>
    <w:r w:rsidRPr="00984D4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53373" w14:textId="77777777" w:rsidR="00984D42" w:rsidRPr="00984D42" w:rsidRDefault="00984D42" w:rsidP="00984D4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F47E8" w14:textId="77777777" w:rsidR="008411A2" w:rsidRDefault="008411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5724893"/>
      <w:docPartObj>
        <w:docPartGallery w:val="Page Numbers (Bottom of Page)"/>
        <w:docPartUnique/>
      </w:docPartObj>
    </w:sdtPr>
    <w:sdtEndPr/>
    <w:sdtContent>
      <w:p w14:paraId="131870FC" w14:textId="73FDA034" w:rsidR="00C67353" w:rsidRDefault="00C67353" w:rsidP="002B4B98">
        <w:pPr>
          <w:pStyle w:val="Footer"/>
          <w:jc w:val="center"/>
        </w:pPr>
        <w:r>
          <w:fldChar w:fldCharType="begin"/>
        </w:r>
        <w:r>
          <w:instrText>PAGE   \* MERGEFORMAT</w:instrText>
        </w:r>
        <w:r>
          <w:fldChar w:fldCharType="separate"/>
        </w:r>
        <w:r w:rsidR="00984D42">
          <w:rPr>
            <w:noProof/>
          </w:rPr>
          <w:t>1</w:t>
        </w:r>
        <w:r>
          <w:fldChar w:fldCharType="end"/>
        </w:r>
      </w:p>
    </w:sdtContent>
  </w:sdt>
  <w:p w14:paraId="3E498868" w14:textId="5A379FA8" w:rsidR="008411A2" w:rsidRDefault="008411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31309" w14:textId="77777777" w:rsidR="008411A2" w:rsidRDefault="008411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3910324"/>
      <w:docPartObj>
        <w:docPartGallery w:val="Page Numbers (Bottom of Page)"/>
        <w:docPartUnique/>
      </w:docPartObj>
    </w:sdtPr>
    <w:sdtEndPr/>
    <w:sdtContent>
      <w:p w14:paraId="1E501D2D" w14:textId="77777777" w:rsidR="00035637" w:rsidRDefault="00035637" w:rsidP="002B4B98">
        <w:pPr>
          <w:pStyle w:val="Footer"/>
          <w:jc w:val="center"/>
        </w:pPr>
        <w:r>
          <w:fldChar w:fldCharType="begin"/>
        </w:r>
        <w:r>
          <w:instrText>PAGE   \* MERGEFORMAT</w:instrText>
        </w:r>
        <w:r>
          <w:fldChar w:fldCharType="separate"/>
        </w:r>
        <w:r>
          <w:t>2</w:t>
        </w:r>
        <w:r>
          <w:fldChar w:fldCharType="end"/>
        </w:r>
      </w:p>
    </w:sdtContent>
  </w:sdt>
  <w:p w14:paraId="027C1667" w14:textId="77777777" w:rsidR="00035637" w:rsidRDefault="00035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E83FEF" w14:textId="77777777" w:rsidR="00A04937" w:rsidRDefault="00A04937">
      <w:pPr>
        <w:spacing w:after="0"/>
      </w:pPr>
      <w:r>
        <w:separator/>
      </w:r>
    </w:p>
  </w:footnote>
  <w:footnote w:type="continuationSeparator" w:id="0">
    <w:p w14:paraId="02A52A32" w14:textId="77777777" w:rsidR="00A04937" w:rsidRDefault="00A04937">
      <w:pPr>
        <w:spacing w:after="0"/>
      </w:pPr>
      <w:r>
        <w:continuationSeparator/>
      </w:r>
    </w:p>
  </w:footnote>
  <w:footnote w:type="continuationNotice" w:id="1">
    <w:p w14:paraId="4C7C54B7" w14:textId="77777777" w:rsidR="00A04937" w:rsidRDefault="00A04937">
      <w:pPr>
        <w:spacing w:after="0"/>
      </w:pPr>
    </w:p>
  </w:footnote>
  <w:footnote w:id="2">
    <w:p w14:paraId="40579783" w14:textId="51F49760" w:rsidR="0077620D" w:rsidRPr="00037710" w:rsidRDefault="0077620D" w:rsidP="0077620D">
      <w:pPr>
        <w:pStyle w:val="FootnoteText"/>
        <w:rPr>
          <w:sz w:val="18"/>
          <w:szCs w:val="18"/>
        </w:rPr>
      </w:pPr>
      <w:r>
        <w:rPr>
          <w:rStyle w:val="FootnoteReference"/>
        </w:rPr>
        <w:footnoteRef/>
      </w:r>
      <w:r>
        <w:t xml:space="preserve"> </w:t>
      </w:r>
      <w:r>
        <w:rPr>
          <w:sz w:val="18"/>
        </w:rPr>
        <w:t>Règlement (UE) nº 952/2013 du Parlement européen et du Conseil du 9 octobre 2013 établissant le code des douanes de l’Union, JO L 269 du 10.10.2013, p. 1.</w:t>
      </w:r>
    </w:p>
  </w:footnote>
  <w:footnote w:id="3">
    <w:p w14:paraId="6A0C84C2" w14:textId="173AD978" w:rsidR="00EF4F29" w:rsidRPr="002A43BD" w:rsidRDefault="00EF4F29" w:rsidP="00EF4F29">
      <w:pPr>
        <w:pStyle w:val="FootnoteText"/>
        <w:rPr>
          <w:sz w:val="18"/>
          <w:szCs w:val="18"/>
        </w:rPr>
      </w:pPr>
      <w:r>
        <w:rPr>
          <w:rStyle w:val="FootnoteReference"/>
        </w:rPr>
        <w:footnoteRef/>
      </w:r>
      <w:r>
        <w:t xml:space="preserve"> </w:t>
      </w:r>
      <w:r>
        <w:rPr>
          <w:sz w:val="18"/>
        </w:rPr>
        <w:t xml:space="preserve">Rapport de la Commission au Parlement européen et au Conseil: </w:t>
      </w:r>
    </w:p>
    <w:p w14:paraId="7D4DE76E" w14:textId="77777777" w:rsidR="00EF4F29" w:rsidRPr="007368F5" w:rsidRDefault="00EF4F29" w:rsidP="00EF4F29">
      <w:pPr>
        <w:pStyle w:val="FootnoteText"/>
        <w:rPr>
          <w:sz w:val="18"/>
          <w:szCs w:val="18"/>
        </w:rPr>
      </w:pPr>
      <w:r>
        <w:rPr>
          <w:sz w:val="18"/>
        </w:rPr>
        <w:t xml:space="preserve">2019: </w:t>
      </w:r>
      <w:hyperlink r:id="rId1" w:history="1">
        <w:r>
          <w:rPr>
            <w:rStyle w:val="Hyperlink"/>
            <w:sz w:val="18"/>
          </w:rPr>
          <w:t>https://eur-lex.europa.eu/legal-content/EN/ALL/?uri=CELEX%3A52019SC0434</w:t>
        </w:r>
      </w:hyperlink>
      <w:r>
        <w:rPr>
          <w:sz w:val="18"/>
        </w:rPr>
        <w:t>;</w:t>
      </w:r>
    </w:p>
    <w:p w14:paraId="30B468D0" w14:textId="77777777" w:rsidR="00EF4F29" w:rsidRPr="002A43BD" w:rsidRDefault="00EF4F29" w:rsidP="00EF4F29">
      <w:pPr>
        <w:pStyle w:val="FootnoteText"/>
        <w:rPr>
          <w:sz w:val="18"/>
          <w:szCs w:val="18"/>
        </w:rPr>
      </w:pPr>
      <w:r>
        <w:rPr>
          <w:sz w:val="18"/>
        </w:rPr>
        <w:t xml:space="preserve">2020: </w:t>
      </w:r>
      <w:hyperlink r:id="rId2" w:history="1">
        <w:r>
          <w:rPr>
            <w:rStyle w:val="Hyperlink"/>
            <w:sz w:val="18"/>
          </w:rPr>
          <w:t>https://eur-lex.europa.eu/legal-content/EN/TXT/?uri=CELEX%3A52020SC0339</w:t>
        </w:r>
      </w:hyperlink>
      <w:r>
        <w:rPr>
          <w:sz w:val="18"/>
        </w:rPr>
        <w:t>;</w:t>
      </w:r>
    </w:p>
    <w:p w14:paraId="1425C52A" w14:textId="77777777" w:rsidR="00EF4F29" w:rsidRPr="00C0030F" w:rsidRDefault="00EF4F29" w:rsidP="00EF4F29">
      <w:pPr>
        <w:pStyle w:val="FootnoteText"/>
        <w:rPr>
          <w:rStyle w:val="Hyperlink"/>
          <w:sz w:val="18"/>
          <w:szCs w:val="18"/>
        </w:rPr>
      </w:pPr>
      <w:r>
        <w:rPr>
          <w:sz w:val="18"/>
        </w:rPr>
        <w:t>2021:</w:t>
      </w:r>
      <w:r>
        <w:rPr>
          <w:rStyle w:val="Hyperlink"/>
          <w:sz w:val="18"/>
          <w:u w:val="none"/>
        </w:rPr>
        <w:t xml:space="preserve"> </w:t>
      </w:r>
      <w:hyperlink r:id="rId3" w:history="1">
        <w:r>
          <w:rPr>
            <w:rStyle w:val="Hyperlink"/>
            <w:sz w:val="18"/>
          </w:rPr>
          <w:t>https://eur-lex.europa.eu/legal-content/EN/TXT/?uri=CELEX%3A52021SC0382</w:t>
        </w:r>
      </w:hyperlink>
      <w:r>
        <w:rPr>
          <w:rStyle w:val="Hyperlink"/>
          <w:color w:val="auto"/>
          <w:sz w:val="18"/>
          <w:u w:val="none"/>
        </w:rPr>
        <w:t>;</w:t>
      </w:r>
    </w:p>
    <w:p w14:paraId="08098852" w14:textId="2B3EB2EF" w:rsidR="00EF4F29" w:rsidRDefault="00EF4F29" w:rsidP="00EF4F29">
      <w:pPr>
        <w:pStyle w:val="FootnoteText"/>
        <w:rPr>
          <w:rStyle w:val="Hyperlink"/>
          <w:color w:val="auto"/>
          <w:sz w:val="18"/>
          <w:szCs w:val="18"/>
          <w:u w:val="none"/>
        </w:rPr>
      </w:pPr>
      <w:r>
        <w:rPr>
          <w:sz w:val="18"/>
        </w:rPr>
        <w:t>2022:</w:t>
      </w:r>
      <w:r>
        <w:t xml:space="preserve"> </w:t>
      </w:r>
      <w:hyperlink r:id="rId4" w:history="1">
        <w:r>
          <w:rPr>
            <w:rStyle w:val="Hyperlink"/>
            <w:sz w:val="18"/>
          </w:rPr>
          <w:t>https://eur-lex.europa.eu/legal-content/EN/TXT/?uri=CELEX%3A52023SC0029</w:t>
        </w:r>
      </w:hyperlink>
      <w:r>
        <w:rPr>
          <w:rStyle w:val="Hyperlink"/>
          <w:color w:val="auto"/>
          <w:sz w:val="18"/>
          <w:u w:val="none"/>
        </w:rPr>
        <w:t>;</w:t>
      </w:r>
    </w:p>
    <w:p w14:paraId="2D7D710D" w14:textId="4066DDE8" w:rsidR="007043C8" w:rsidRPr="00E07749" w:rsidRDefault="69104C74" w:rsidP="00EF4F29">
      <w:pPr>
        <w:pStyle w:val="FootnoteText"/>
        <w:rPr>
          <w:rStyle w:val="Hyperlink"/>
          <w:sz w:val="18"/>
          <w:szCs w:val="18"/>
        </w:rPr>
      </w:pPr>
      <w:r>
        <w:rPr>
          <w:rStyle w:val="Hyperlink"/>
          <w:color w:val="auto"/>
          <w:sz w:val="18"/>
          <w:u w:val="none"/>
        </w:rPr>
        <w:t xml:space="preserve">2023: </w:t>
      </w:r>
      <w:hyperlink r:id="rId5" w:history="1">
        <w:r>
          <w:rPr>
            <w:rStyle w:val="Hyperlink"/>
            <w:sz w:val="18"/>
          </w:rPr>
          <w:t>h</w:t>
        </w:r>
      </w:hyperlink>
      <w:r>
        <w:rPr>
          <w:rStyle w:val="Hyperlink"/>
          <w:sz w:val="18"/>
        </w:rPr>
        <w:t>ttps://eur-lex.europa.eu/legal-content/FR/TXT/?uri=COM:2024:395:FIN;</w:t>
      </w:r>
    </w:p>
    <w:p w14:paraId="1C4C33B7" w14:textId="76016E7B" w:rsidR="69104C74" w:rsidRPr="00E07749" w:rsidRDefault="69104C74" w:rsidP="69104C74">
      <w:pPr>
        <w:pStyle w:val="FootnoteText"/>
        <w:rPr>
          <w:rStyle w:val="Hyperlink"/>
          <w:sz w:val="18"/>
          <w:szCs w:val="18"/>
        </w:rPr>
      </w:pPr>
      <w:r>
        <w:rPr>
          <w:sz w:val="18"/>
        </w:rPr>
        <w:t>2024</w:t>
      </w:r>
      <w:r>
        <w:rPr>
          <w:rStyle w:val="Hyperlink"/>
          <w:sz w:val="18"/>
        </w:rPr>
        <w:t>: https://eur-lex.europa.eu/legal-content/FR/TXT/?uri=celex:52025DC0579.</w:t>
      </w:r>
    </w:p>
  </w:footnote>
  <w:footnote w:id="4">
    <w:p w14:paraId="2CF5B1FE" w14:textId="615FFF3E" w:rsidR="005C295F" w:rsidRDefault="005C295F" w:rsidP="005C295F">
      <w:pPr>
        <w:pStyle w:val="FootnoteText"/>
        <w:rPr>
          <w:sz w:val="18"/>
          <w:szCs w:val="18"/>
        </w:rPr>
      </w:pPr>
      <w:r>
        <w:rPr>
          <w:rStyle w:val="FootnoteReference"/>
        </w:rPr>
        <w:footnoteRef/>
      </w:r>
      <w:r>
        <w:rPr>
          <w:sz w:val="18"/>
        </w:rPr>
        <w:t xml:space="preserve"> Règlement (UE) 2019/632 du Parlement européen et du Conseil du 17 avril 2019 modifiant le règlement (UE) nº 952/2013 afin de prolonger l’utilisation transitoire de moyens autres que les procédés informatiques de traitement des données prévus par le code des douanes de l’Union, JO L 111 du 25.4.2019, p. 54.</w:t>
      </w:r>
    </w:p>
  </w:footnote>
  <w:footnote w:id="5">
    <w:p w14:paraId="7FA19446" w14:textId="416A06CA" w:rsidR="00FC3EBC" w:rsidRDefault="00FC3EBC" w:rsidP="00FC3EBC">
      <w:pPr>
        <w:pStyle w:val="FootnoteText"/>
        <w:rPr>
          <w:sz w:val="18"/>
          <w:szCs w:val="18"/>
        </w:rPr>
      </w:pPr>
      <w:r>
        <w:rPr>
          <w:rStyle w:val="FootnoteReference"/>
        </w:rPr>
        <w:footnoteRef/>
      </w:r>
      <w:r>
        <w:rPr>
          <w:sz w:val="18"/>
        </w:rPr>
        <w:t xml:space="preserve"> Décision d’exécution (UE) 2023/2879 de la Commission du 15 décembre 2023 établissant le programme de travail portant sur la conception et le déploiement des systèmes électroniques prévus dans le code des douanes de l’Union, JO L 2023/2879, 22.12.2023, p. 1, </w:t>
      </w:r>
      <w:hyperlink r:id="rId6" w:history="1">
        <w:r>
          <w:rPr>
            <w:rStyle w:val="Hyperlink"/>
            <w:sz w:val="18"/>
          </w:rPr>
          <w:t>https://eur-lex.europa.eu/legal-content/EN/TXT/PDF/?uri=OJ:L_202302879</w:t>
        </w:r>
      </w:hyperlink>
      <w:r>
        <w:rPr>
          <w:rStyle w:val="Hyperlink"/>
        </w:rPr>
        <w:t>.</w:t>
      </w:r>
    </w:p>
  </w:footnote>
  <w:footnote w:id="6">
    <w:p w14:paraId="629A7E9B" w14:textId="7D8D6F4C" w:rsidR="005F3B79" w:rsidRPr="00A33A10" w:rsidRDefault="00FC3EBC" w:rsidP="00A33A10">
      <w:pPr>
        <w:pStyle w:val="FootnoteText"/>
        <w:rPr>
          <w:sz w:val="18"/>
          <w:szCs w:val="18"/>
        </w:rPr>
      </w:pPr>
      <w:r>
        <w:rPr>
          <w:rStyle w:val="FootnoteReference"/>
        </w:rPr>
        <w:footnoteRef/>
      </w:r>
      <w:r>
        <w:t xml:space="preserve"> </w:t>
      </w:r>
      <w:r>
        <w:rPr>
          <w:sz w:val="18"/>
        </w:rPr>
        <w:t xml:space="preserve">Règlement d’exécution (UE) 2025/512 de la Commission du 13 mars 2025 établissant des dispositions techniques aux fins de la conception, du fonctionnement et de l’exploitation des systèmes électroniques pour l’échange et le stockage d’informations, conformément au règlement (UE) nº 952/2013 du Parlement européen et du Conseil, JO L 512, 20.3.2025, p. 1, </w:t>
      </w:r>
      <w:hyperlink r:id="rId7" w:history="1">
        <w:r>
          <w:rPr>
            <w:rStyle w:val="Hyperlink"/>
            <w:sz w:val="18"/>
          </w:rPr>
          <w:t>https://eur-lex.europa.eu/eli/reg_impl/2025/512/oj/eng</w:t>
        </w:r>
      </w:hyperlink>
      <w:r>
        <w:rPr>
          <w:sz w:val="18"/>
        </w:rPr>
        <w:t>.</w:t>
      </w:r>
    </w:p>
  </w:footnote>
  <w:footnote w:id="7">
    <w:p w14:paraId="4FA7605F" w14:textId="74A00387" w:rsidR="00122C76" w:rsidRPr="00C97C4B" w:rsidRDefault="00122C76" w:rsidP="00122C76">
      <w:pPr>
        <w:pStyle w:val="FootnoteText"/>
      </w:pPr>
      <w:r>
        <w:rPr>
          <w:rStyle w:val="FootnoteReference"/>
        </w:rPr>
        <w:footnoteRef/>
      </w:r>
      <w:r>
        <w:t xml:space="preserve"> Proposition de RÈGLEMENT DU PARLEMENT EUROPÉEN ET DU CONSEIL établissant le code des douanes de l’Union et l’Autorité douanière de l’Union européenne, et abrogeant le règlement (UE) nº 952/2013 (COM/2023/258 final).</w:t>
      </w:r>
    </w:p>
  </w:footnote>
  <w:footnote w:id="8">
    <w:p w14:paraId="3D74A933" w14:textId="4F018692" w:rsidR="00C9300A" w:rsidRPr="00C9300A" w:rsidRDefault="00C9300A">
      <w:pPr>
        <w:pStyle w:val="FootnoteText"/>
      </w:pPr>
      <w:r>
        <w:rPr>
          <w:rStyle w:val="FootnoteReference"/>
        </w:rPr>
        <w:footnoteRef/>
      </w:r>
      <w:r>
        <w:rPr>
          <w:sz w:val="18"/>
        </w:rPr>
        <w:tab/>
        <w:t xml:space="preserve">Règlement d’exécution (UE) 2025/512 de la Commission du 13 mars 2025 établissant des dispositions techniques aux fins de la conception, du fonctionnement et de l’exploitation des systèmes électroniques pour l’échange et le stockage d’informations, conformément au règlement (UE) nº 952/2013 du Parlement européen et du Conseil, JO L 2025/512, 20.3.2025, p. 1, </w:t>
      </w:r>
      <w:hyperlink r:id="rId8" w:history="1">
        <w:r>
          <w:rPr>
            <w:rStyle w:val="Hyperlink"/>
            <w:sz w:val="18"/>
          </w:rPr>
          <w:t>https://eur-lex.europa.eu/eli/reg_impl/2025/512/oj/eng</w:t>
        </w:r>
      </w:hyperlink>
      <w:r>
        <w:t>.</w:t>
      </w:r>
    </w:p>
  </w:footnote>
  <w:footnote w:id="9">
    <w:p w14:paraId="51F72CBF" w14:textId="62DFC46F" w:rsidR="00123E71" w:rsidRPr="00667DD3" w:rsidRDefault="00123E71" w:rsidP="00123E71">
      <w:pPr>
        <w:pStyle w:val="FootnoteText"/>
        <w:rPr>
          <w:sz w:val="18"/>
          <w:szCs w:val="18"/>
        </w:rPr>
      </w:pPr>
      <w:r>
        <w:rPr>
          <w:rStyle w:val="FootnoteReference"/>
        </w:rPr>
        <w:footnoteRef/>
      </w:r>
      <w:r>
        <w:tab/>
      </w:r>
      <w:r>
        <w:rPr>
          <w:sz w:val="18"/>
        </w:rPr>
        <w:t>Document de travail des services de la Commission accompagnant le rapport de la Commission au Parlement européen et au Conseil conformément à l’article 278 bis du code des douanes de l’Union sur les progrès réalisés dans le développement des systèmes électroniques prévus dans le code,</w:t>
      </w:r>
      <w:r>
        <w:t xml:space="preserve"> </w:t>
      </w:r>
      <w:r>
        <w:rPr>
          <w:sz w:val="18"/>
        </w:rPr>
        <w:t>SWD(2026) 180 final.</w:t>
      </w:r>
    </w:p>
  </w:footnote>
  <w:footnote w:id="10">
    <w:p w14:paraId="319E236B" w14:textId="35A2E948" w:rsidR="005930B0" w:rsidRPr="005930B0" w:rsidRDefault="005930B0">
      <w:pPr>
        <w:pStyle w:val="FootnoteText"/>
      </w:pPr>
      <w:r>
        <w:rPr>
          <w:rStyle w:val="FootnoteReference"/>
        </w:rPr>
        <w:footnoteRef/>
      </w:r>
      <w:r>
        <w:t xml:space="preserve"> Toutefois, des difficultés subsistent en ce qui concerne la transmission des données par les États membres.</w:t>
      </w:r>
    </w:p>
  </w:footnote>
  <w:footnote w:id="11">
    <w:p w14:paraId="079324EF" w14:textId="50DCC071" w:rsidR="00A26258" w:rsidRPr="00A26258" w:rsidRDefault="00A26258">
      <w:pPr>
        <w:pStyle w:val="FootnoteText"/>
      </w:pPr>
      <w:r>
        <w:rPr>
          <w:rStyle w:val="FootnoteReference"/>
        </w:rPr>
        <w:footnoteRef/>
      </w:r>
      <w:r>
        <w:t xml:space="preserve"> </w:t>
      </w:r>
      <w:r>
        <w:rPr>
          <w:sz w:val="16"/>
        </w:rPr>
        <w:t>Sur la base des dernières informations sur la planification nationale des projets, la Croatie a déployé ses composantes nationales du projet GUM le 1</w:t>
      </w:r>
      <w:r>
        <w:rPr>
          <w:sz w:val="16"/>
          <w:vertAlign w:val="superscript"/>
        </w:rPr>
        <w:t>er</w:t>
      </w:r>
      <w:r>
        <w:rPr>
          <w:sz w:val="16"/>
        </w:rPr>
        <w:t> mars 2026, d’autres (IT, CY, DK, FR) suivront au cours de la période allant jusqu’au 1</w:t>
      </w:r>
      <w:r>
        <w:rPr>
          <w:sz w:val="16"/>
          <w:vertAlign w:val="superscript"/>
        </w:rPr>
        <w:t>er</w:t>
      </w:r>
      <w:r>
        <w:rPr>
          <w:sz w:val="16"/>
        </w:rPr>
        <w:t> juillet 2026 et la Grèce déploiera ses composantes en décembre 2026.</w:t>
      </w:r>
    </w:p>
  </w:footnote>
  <w:footnote w:id="12">
    <w:p w14:paraId="7A6EA5CD" w14:textId="31E915D5" w:rsidR="00537FEB" w:rsidRPr="007043C8" w:rsidRDefault="00537FEB">
      <w:pPr>
        <w:pStyle w:val="FootnoteText"/>
      </w:pPr>
      <w:r>
        <w:rPr>
          <w:rStyle w:val="FootnoteReference"/>
        </w:rPr>
        <w:footnoteRef/>
      </w:r>
      <w:r>
        <w:rPr>
          <w:sz w:val="16"/>
        </w:rPr>
        <w:t xml:space="preserve"> La Slovaquie s’est déployée le 14 février 2026 et le Danemark le 19 mars 2026. </w:t>
      </w:r>
    </w:p>
  </w:footnote>
  <w:footnote w:id="13">
    <w:p w14:paraId="6E1C860C" w14:textId="228DA994" w:rsidR="009B7947" w:rsidRPr="00537FEB" w:rsidRDefault="009B7947" w:rsidP="009B7947">
      <w:pPr>
        <w:pStyle w:val="FootnoteText"/>
      </w:pPr>
      <w:r>
        <w:rPr>
          <w:rStyle w:val="FootnoteReference"/>
        </w:rPr>
        <w:footnoteRef/>
      </w:r>
      <w:r>
        <w:rPr>
          <w:sz w:val="16"/>
        </w:rPr>
        <w:t xml:space="preserve">La Slovaquie a déployé l’ensemble du système DCI (phases 1 et 2) le 14 février 2026, le Danemark le 19 mars 2026 et la Tchéquie le 18 mai 2026. </w:t>
      </w:r>
    </w:p>
  </w:footnote>
  <w:footnote w:id="14">
    <w:p w14:paraId="39D63236" w14:textId="4C18258B" w:rsidR="00C1200B" w:rsidRPr="00E54536" w:rsidRDefault="00C1200B" w:rsidP="00C1200B">
      <w:pPr>
        <w:pStyle w:val="FootnoteText"/>
        <w:rPr>
          <w:sz w:val="18"/>
          <w:szCs w:val="18"/>
        </w:rPr>
      </w:pPr>
      <w:r>
        <w:rPr>
          <w:rStyle w:val="FootnoteReference"/>
          <w:sz w:val="18"/>
          <w:szCs w:val="18"/>
        </w:rPr>
        <w:footnoteRef/>
      </w:r>
      <w:r>
        <w:rPr>
          <w:sz w:val="18"/>
        </w:rPr>
        <w:t xml:space="preserve"> Comme indiqué dans le PT CDU 2023, la période de transition entre la phase 5 du NSTI et la phase 6 du NSTI doit avoir lieu entre le 1</w:t>
      </w:r>
      <w:r>
        <w:rPr>
          <w:sz w:val="18"/>
          <w:vertAlign w:val="superscript"/>
        </w:rPr>
        <w:t>er</w:t>
      </w:r>
      <w:r>
        <w:rPr>
          <w:sz w:val="18"/>
        </w:rPr>
        <w:t> mars 2025 et le 1</w:t>
      </w:r>
      <w:r>
        <w:rPr>
          <w:sz w:val="18"/>
          <w:vertAlign w:val="superscript"/>
        </w:rPr>
        <w:t>er</w:t>
      </w:r>
      <w:r>
        <w:rPr>
          <w:sz w:val="18"/>
        </w:rPr>
        <w:t> septembre 2025, soit à la même période que les transitions de la version 2 de l’ICS 2 à la version 3 de l’ICS 2, ce qui permettra de synchroniser les deux systèmes.</w:t>
      </w:r>
    </w:p>
  </w:footnote>
  <w:footnote w:id="15">
    <w:p w14:paraId="32975455" w14:textId="65C424A8" w:rsidR="3C329334" w:rsidRDefault="3C329334" w:rsidP="00177586">
      <w:pPr>
        <w:spacing w:after="0"/>
        <w:rPr>
          <w:sz w:val="18"/>
          <w:szCs w:val="18"/>
        </w:rPr>
      </w:pPr>
      <w:r>
        <w:rPr>
          <w:rStyle w:val="FootnoteReference"/>
          <w:sz w:val="20"/>
          <w:szCs w:val="20"/>
        </w:rPr>
        <w:footnoteRef/>
      </w:r>
      <w:r>
        <w:rPr>
          <w:sz w:val="20"/>
        </w:rPr>
        <w:t xml:space="preserve"> </w:t>
      </w:r>
      <w:r>
        <w:rPr>
          <w:sz w:val="18"/>
        </w:rPr>
        <w:t xml:space="preserve">Ce calendrier exclut le volet «exportation» du système national relatif aux régimes particuliers, pour lequel les activités et la planification sont étroitement liées au </w:t>
      </w:r>
      <w:r>
        <w:rPr>
          <w:i/>
          <w:sz w:val="18"/>
        </w:rPr>
        <w:t>SAE</w:t>
      </w:r>
      <w:r>
        <w:rPr>
          <w:sz w:val="18"/>
        </w:rPr>
        <w:t>.</w:t>
      </w:r>
    </w:p>
  </w:footnote>
  <w:footnote w:id="16">
    <w:p w14:paraId="61D20B3B" w14:textId="304E197A" w:rsidR="00EC3F3E" w:rsidRDefault="00C753C4" w:rsidP="00EC3F3E">
      <w:pPr>
        <w:pStyle w:val="FootnoteText"/>
        <w:rPr>
          <w:sz w:val="18"/>
          <w:szCs w:val="18"/>
        </w:rPr>
      </w:pPr>
      <w:r>
        <w:rPr>
          <w:rStyle w:val="FootnoteReference"/>
        </w:rPr>
        <w:footnoteRef/>
      </w:r>
      <w:r>
        <w:t xml:space="preserve"> </w:t>
      </w:r>
      <w:r>
        <w:rPr>
          <w:sz w:val="18"/>
        </w:rPr>
        <w:t>Décision d’exécution (UE) 2023/235 de la Commission du 1</w:t>
      </w:r>
      <w:r>
        <w:rPr>
          <w:sz w:val="18"/>
          <w:vertAlign w:val="superscript"/>
        </w:rPr>
        <w:t>er</w:t>
      </w:r>
      <w:r>
        <w:rPr>
          <w:sz w:val="18"/>
        </w:rPr>
        <w:t> février 2023 accordant une dérogation demandée par certains États membres en application du règlement (UE) n</w:t>
      </w:r>
      <w:r>
        <w:rPr>
          <w:sz w:val="18"/>
          <w:vertAlign w:val="superscript"/>
        </w:rPr>
        <w:t>o</w:t>
      </w:r>
      <w:r>
        <w:rPr>
          <w:sz w:val="18"/>
        </w:rPr>
        <w:t> 952/2013 du Parlement européen et du Conseil relative à l’utilisation de moyens autres que des procédés informatiques de traitement des données pour l’échange et le stockage d’informations aux fins de la notification de l’arrivée d’un navire de mer ou d’un aéronef (JO L 32 du 3.2.2023, p. 220).</w:t>
      </w:r>
    </w:p>
    <w:p w14:paraId="43607C88" w14:textId="14B5457F" w:rsidR="00EC3F3E" w:rsidRDefault="00EC3F3E" w:rsidP="00EC3F3E">
      <w:pPr>
        <w:pStyle w:val="FootnoteText"/>
        <w:rPr>
          <w:sz w:val="18"/>
          <w:szCs w:val="18"/>
        </w:rPr>
      </w:pPr>
      <w:r>
        <w:rPr>
          <w:sz w:val="18"/>
        </w:rPr>
        <w:t>Décision d’exécution (UE) 2023/234 de la Commission du 1</w:t>
      </w:r>
      <w:r>
        <w:rPr>
          <w:sz w:val="18"/>
          <w:vertAlign w:val="superscript"/>
        </w:rPr>
        <w:t>er</w:t>
      </w:r>
      <w:r>
        <w:rPr>
          <w:sz w:val="18"/>
        </w:rPr>
        <w:t> février 2023 accordant une dérogation demandée par certains États membres en application du règlement (UE) nº 952/2013 du Parlement européen et du Conseil relative à l’utilisation de moyens autres que des procédés informatiques de traitement des données pour l’échange et le stockage d’informations aux fins de la notification de présentation concernant les marchandises introduites sur le territoire douanier de l’Union (JO L 32 du 3.2.2023, p. 217).</w:t>
      </w:r>
    </w:p>
    <w:p w14:paraId="03B1487B" w14:textId="5516EB5E" w:rsidR="00EC3F3E" w:rsidRDefault="00EC3F3E" w:rsidP="00EC3F3E">
      <w:pPr>
        <w:pStyle w:val="FootnoteText"/>
        <w:rPr>
          <w:sz w:val="18"/>
          <w:szCs w:val="18"/>
        </w:rPr>
      </w:pPr>
      <w:r>
        <w:rPr>
          <w:sz w:val="18"/>
        </w:rPr>
        <w:t>Décision d’exécution (UE) 2023/236 de la Commission du 1</w:t>
      </w:r>
      <w:r>
        <w:rPr>
          <w:sz w:val="18"/>
          <w:vertAlign w:val="superscript"/>
        </w:rPr>
        <w:t>er</w:t>
      </w:r>
      <w:r>
        <w:rPr>
          <w:sz w:val="18"/>
        </w:rPr>
        <w:t> février 2023 accordant une dérogation demandée par certains États membres en application du règlement (UE) nº 952/2013 du Parlement européen et du Conseil relative à l’utilisation de moyens autres que des procédés informatiques de traitement des données pour l’échange et le stockage d’informations aux fins de la déclaration de dépôt temporaire relative aux marchandises non-Union présentées en douane (JO L 32 du 3.2.2023, p. 223).</w:t>
      </w:r>
    </w:p>
    <w:p w14:paraId="054BC491" w14:textId="4A410F79" w:rsidR="009C1904" w:rsidRPr="00055057" w:rsidRDefault="00EC3F3E" w:rsidP="00EC3F3E">
      <w:pPr>
        <w:pStyle w:val="FootnoteText"/>
      </w:pPr>
      <w:r>
        <w:rPr>
          <w:sz w:val="18"/>
        </w:rPr>
        <w:t>Décision d’exécution (UE) 2023/237 de la Commission du 1</w:t>
      </w:r>
      <w:r>
        <w:rPr>
          <w:sz w:val="18"/>
          <w:vertAlign w:val="superscript"/>
        </w:rPr>
        <w:t>er</w:t>
      </w:r>
      <w:r>
        <w:rPr>
          <w:sz w:val="18"/>
        </w:rPr>
        <w:t xml:space="preserve"> février 2023 accordant une dérogation demandée par certains États membres relative à l’utilisation de moyens autres que des procédés informatiques de traitement des données pour l’échange et le stockage d’informations concernant la déclaration en douane des marchandises introduites sur le territoire douanier de l’Union visées aux articles 158, 162, 163, 166, 167, 170 à 174, 201, 240, 250, 254 et 256 du règlement (UE) nº 952/2013 du Parlement européen et du Conseil établissant le code des douanes de l’Union (JO L 32 du 3.2.2023, p. 226).  </w:t>
      </w:r>
    </w:p>
  </w:footnote>
  <w:footnote w:id="17">
    <w:p w14:paraId="757424BC" w14:textId="4FD74E7D" w:rsidR="00C57965" w:rsidRPr="00C57965" w:rsidRDefault="00C57965">
      <w:pPr>
        <w:pStyle w:val="FootnoteText"/>
      </w:pPr>
      <w:r>
        <w:rPr>
          <w:rStyle w:val="FootnoteReference"/>
        </w:rPr>
        <w:footnoteRef/>
      </w:r>
      <w:r>
        <w:t xml:space="preserve"> </w:t>
      </w:r>
      <w:r>
        <w:rPr>
          <w:sz w:val="18"/>
        </w:rPr>
        <w:t>Pour la mise en œuvre du stockage temporaire lié au transport maritime, le taux d’achèvement est de 96 % et pour les modes autres que le transport aérien ou maritime, il est de 89 %.</w:t>
      </w:r>
      <w:r>
        <w:t xml:space="preserve">  </w:t>
      </w:r>
    </w:p>
  </w:footnote>
  <w:footnote w:id="18">
    <w:p w14:paraId="5B177641" w14:textId="5C76E410" w:rsidR="004007BB" w:rsidRPr="004007BB" w:rsidRDefault="004007BB">
      <w:pPr>
        <w:pStyle w:val="FootnoteText"/>
        <w:rPr>
          <w:sz w:val="18"/>
          <w:szCs w:val="18"/>
        </w:rPr>
      </w:pPr>
      <w:r>
        <w:rPr>
          <w:rStyle w:val="FootnoteReference"/>
        </w:rPr>
        <w:footnoteRef/>
      </w:r>
      <w:r>
        <w:t xml:space="preserve"> </w:t>
      </w:r>
      <w:r>
        <w:rPr>
          <w:sz w:val="18"/>
        </w:rPr>
        <w:t>L’Autriche a déployé le système le 15 avril 2026.</w:t>
      </w:r>
    </w:p>
  </w:footnote>
  <w:footnote w:id="19">
    <w:p w14:paraId="507301F5" w14:textId="5295DA83" w:rsidR="007F1971" w:rsidRPr="007F1971" w:rsidRDefault="007F1971">
      <w:pPr>
        <w:pStyle w:val="FootnoteText"/>
      </w:pPr>
      <w:r>
        <w:rPr>
          <w:rStyle w:val="FootnoteReference"/>
        </w:rPr>
        <w:footnoteRef/>
      </w:r>
      <w:r>
        <w:t xml:space="preserve"> </w:t>
      </w:r>
      <w:r>
        <w:rPr>
          <w:sz w:val="18"/>
        </w:rPr>
        <w:t>La Tchéquie a déployé le SNI, y compris le RP IMP, le 18 mai 2026.</w:t>
      </w:r>
      <w:r>
        <w:t xml:space="preserve"> </w:t>
      </w:r>
    </w:p>
  </w:footnote>
  <w:footnote w:id="20">
    <w:p w14:paraId="224B00C7" w14:textId="2DE339EE" w:rsidR="00F8171E" w:rsidRPr="00F8171E" w:rsidRDefault="00F8171E">
      <w:pPr>
        <w:pStyle w:val="FootnoteText"/>
      </w:pPr>
      <w:r>
        <w:rPr>
          <w:rStyle w:val="FootnoteReference"/>
        </w:rPr>
        <w:footnoteRef/>
      </w:r>
      <w:r>
        <w:t xml:space="preserve"> </w:t>
      </w:r>
      <w:r>
        <w:rPr>
          <w:sz w:val="16"/>
        </w:rPr>
        <w:t>La France, le Danemark, la Slovaquie ont soumis les données SURV 3 avant la fin du premier trimestre de 2026 et l’Autriche, l’Irlande, le Portugal et la Tchéquie ont prévu de se mettre en conformité d’ici au deuxième trimestre de 2026.</w:t>
      </w:r>
    </w:p>
  </w:footnote>
  <w:footnote w:id="21">
    <w:p w14:paraId="1B0E69E8" w14:textId="0D47E975" w:rsidR="005147C8" w:rsidRPr="00F7283D" w:rsidRDefault="005147C8" w:rsidP="005147C8">
      <w:pPr>
        <w:pStyle w:val="FootnoteText"/>
        <w:rPr>
          <w:sz w:val="18"/>
          <w:szCs w:val="18"/>
        </w:rPr>
      </w:pPr>
      <w:r>
        <w:rPr>
          <w:rStyle w:val="FootnoteReference"/>
          <w:sz w:val="18"/>
          <w:szCs w:val="18"/>
        </w:rPr>
        <w:footnoteRef/>
      </w:r>
      <w:r>
        <w:rPr>
          <w:sz w:val="18"/>
        </w:rPr>
        <w:t xml:space="preserve">Dans le PT CDU 2023, la fin de la fenêtre de déploiement des fonctionnalités essentielles du système est prévue le 1.12.2023, l’achèvement du développement d’une interface harmonisée avec le système d’informatisation des mouvements et des contrôles des produits soumis à accise (EMCS) le 13.2.2024, et la mise en service des fonctionnalités restantes le 2.12.2024. Le 2.12.2024 au plus tard, tous les États membres et tous les opérateurs économiques devraient utiliser le </w:t>
      </w:r>
      <w:r>
        <w:rPr>
          <w:i/>
          <w:sz w:val="18"/>
        </w:rPr>
        <w:t>SAE</w:t>
      </w:r>
      <w:r>
        <w:rPr>
          <w:sz w:val="18"/>
        </w:rPr>
        <w:t>, la période de transition prenant fin le 11.2.2025.</w:t>
      </w:r>
    </w:p>
  </w:footnote>
  <w:footnote w:id="22">
    <w:p w14:paraId="00AB65E3" w14:textId="7D7E20D9" w:rsidR="00A663C4" w:rsidRPr="00613293" w:rsidRDefault="00A663C4" w:rsidP="00A663C4">
      <w:pPr>
        <w:pStyle w:val="FootnoteText"/>
      </w:pPr>
      <w:r>
        <w:rPr>
          <w:rStyle w:val="FootnoteReference"/>
          <w:sz w:val="18"/>
          <w:szCs w:val="18"/>
        </w:rPr>
        <w:footnoteRef/>
      </w:r>
      <w:r>
        <w:rPr>
          <w:sz w:val="18"/>
        </w:rPr>
        <w:t xml:space="preserve"> Dans le PT CDU 2023, la fin de la fenêtre de déploiement est prévue le 1.7.2024.</w:t>
      </w:r>
    </w:p>
  </w:footnote>
  <w:footnote w:id="23">
    <w:p w14:paraId="3CC2427A" w14:textId="211F283A" w:rsidR="00557967" w:rsidRPr="001271E7" w:rsidRDefault="00557967" w:rsidP="00557967">
      <w:pPr>
        <w:spacing w:before="240" w:after="240"/>
        <w:rPr>
          <w:sz w:val="18"/>
          <w:szCs w:val="18"/>
        </w:rPr>
      </w:pPr>
      <w:r>
        <w:rPr>
          <w:rStyle w:val="FootnoteReference"/>
        </w:rPr>
        <w:footnoteRef/>
      </w:r>
      <w:r>
        <w:t xml:space="preserve"> </w:t>
      </w:r>
      <w:r>
        <w:rPr>
          <w:sz w:val="18"/>
        </w:rPr>
        <w:t xml:space="preserve">Des lettres de mise en demeure (LMD) ont été envoyées à la Tchéquie [INFR(2025)2017], au Danemark [INFR(2025)2018], à la Grèce [INFR(2025)2019], à l’Autriche [INFR(2025)2015], à la Roumanie [INFR(2025)2020] et à la Slovaquie [INFR(2025)2021] pour défaut de déploiement, avant la date limite du 31 décembre 2023, des systèmes électroniques de dépôt temporaire pour le transport aérien et, dans certains cas, du système national d’importation. En outre, le Danemark [INFR(2025)2011], la France [INFR(2025)2012], Chypre [INFR(2025)2010], l’Autriche [INFR(2025)2007], le Portugal [INFR(2025)2013] et la Roumanie [INFR(2025)2014] ont reçu une LMD pour défaut de transmission de données douanières complètes à la Commission par l’intermédiaire de SURV 3. </w:t>
      </w:r>
      <w:hyperlink r:id="rId9" w:anchor="_blank" w:history="1">
        <w:r>
          <w:rPr>
            <w:rStyle w:val="Hyperlink"/>
            <w:sz w:val="18"/>
          </w:rPr>
          <w:t>https://ec.europa.eu/commission/presscorner/detail/en/inf_25_982#_blank</w:t>
        </w:r>
      </w:hyperlink>
      <w:r>
        <w:t>.</w:t>
      </w:r>
    </w:p>
  </w:footnote>
  <w:footnote w:id="24">
    <w:p w14:paraId="037D0FF3" w14:textId="0CC37B94" w:rsidR="00557967" w:rsidRPr="001271E7" w:rsidRDefault="00557967" w:rsidP="00557967">
      <w:pPr>
        <w:spacing w:before="240" w:after="240"/>
        <w:rPr>
          <w:color w:val="0563C1" w:themeColor="hyperlink"/>
          <w:sz w:val="18"/>
          <w:szCs w:val="18"/>
          <w:u w:val="single"/>
        </w:rPr>
      </w:pPr>
      <w:r>
        <w:rPr>
          <w:rStyle w:val="FootnoteReference"/>
        </w:rPr>
        <w:footnoteRef/>
      </w:r>
      <w:r>
        <w:rPr>
          <w:sz w:val="18"/>
        </w:rPr>
        <w:t xml:space="preserve">Des procédures d’infraction ont été engagées contre le Portugal [INFR(2025)2064] et la Belgique [INFR(2025)2016] pour non-déploiement du système de dépôt temporaire pour le transport aérien et, dans le cas du Portugal, également pour le système national d’importation. En outre, une lettre de mise en demeure (LMD) a été envoyée à la Belgique [INFR(2025)2009] pour défaut de transmission de données douanières complètes à la Commission par l’intermédiaire du système SURV 3. </w:t>
      </w:r>
      <w:hyperlink r:id="rId10" w:history="1">
        <w:r>
          <w:rPr>
            <w:rStyle w:val="Hyperlink"/>
            <w:sz w:val="18"/>
          </w:rPr>
          <w:t>https://ec.europa.eu/commission/presscorner/detail/en/inf_25_1241</w:t>
        </w:r>
      </w:hyperlink>
      <w:r>
        <w:t>.</w:t>
      </w:r>
    </w:p>
  </w:footnote>
  <w:footnote w:id="25">
    <w:p w14:paraId="6FD997A5" w14:textId="2661EE63" w:rsidR="00557967" w:rsidRPr="001271E7" w:rsidRDefault="00557967" w:rsidP="00557967">
      <w:pPr>
        <w:spacing w:before="240" w:after="240"/>
        <w:rPr>
          <w:rStyle w:val="Hyperlink"/>
          <w:sz w:val="18"/>
          <w:szCs w:val="18"/>
        </w:rPr>
      </w:pPr>
      <w:r>
        <w:rPr>
          <w:rStyle w:val="FootnoteReference"/>
        </w:rPr>
        <w:footnoteRef/>
      </w:r>
      <w:r>
        <w:rPr>
          <w:rStyle w:val="FootnoteReference"/>
        </w:rPr>
        <w:t xml:space="preserve"> </w:t>
      </w:r>
      <w:r>
        <w:rPr>
          <w:sz w:val="18"/>
        </w:rPr>
        <w:t xml:space="preserve">La Commission a adressé des lettres de mise en demeure (LMD) à la France [INFR(2025)2060] et à Chypre [INFR(2025)2061] pour non-déploiement du système de dépôt temporaire et du système national d’importation et, dans le cas de la France, également pour le système automatisé d’exportation. En outre, la Tchéquie [INFR(2025)2054], l’Irlande [INFR(2025)2055], l’Italie [INFR(2025)2056], Malte [INFR(2025)2057], la Slovénie [INFR(2025)2059] et la Slovaquie [INFR(2025)2058] ont été citées pour ne pas avoir transmis des données douanières complètes à la Commission par l’intermédiaire du système SURV 3 </w:t>
      </w:r>
      <w:hyperlink r:id="rId11" w:history="1">
        <w:r>
          <w:rPr>
            <w:rStyle w:val="Hyperlink"/>
            <w:sz w:val="18"/>
          </w:rPr>
          <w:t>https://ec.europa.eu/commission/presscorner/detail/en/inf_25_1628</w:t>
        </w:r>
      </w:hyperlink>
    </w:p>
    <w:p w14:paraId="099B81E4" w14:textId="77777777" w:rsidR="00557967" w:rsidRDefault="00557967" w:rsidP="005579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80C7C" w14:textId="77777777" w:rsidR="00984D42" w:rsidRPr="00984D42" w:rsidRDefault="00984D42" w:rsidP="00984D4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49485" w14:textId="77777777" w:rsidR="00984D42" w:rsidRPr="00984D42" w:rsidRDefault="00984D42" w:rsidP="00984D4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D50DD" w14:textId="77777777" w:rsidR="00984D42" w:rsidRPr="00984D42" w:rsidRDefault="00984D42" w:rsidP="00984D4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63982" w14:textId="77777777" w:rsidR="008411A2" w:rsidRDefault="008411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16C98" w14:textId="77777777" w:rsidR="008411A2" w:rsidRDefault="008411A2">
    <w:pPr>
      <w:pStyle w:val="Header"/>
      <w:jc w:val="right"/>
    </w:pPr>
  </w:p>
  <w:p w14:paraId="17CFE30E" w14:textId="77777777" w:rsidR="008411A2" w:rsidRDefault="008411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AFA7C" w14:textId="77777777" w:rsidR="008411A2" w:rsidRDefault="008411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939A5" w14:textId="77777777" w:rsidR="00035637" w:rsidRDefault="00035637">
    <w:pPr>
      <w:pStyle w:val="Header"/>
      <w:jc w:val="right"/>
    </w:pPr>
  </w:p>
  <w:p w14:paraId="06B51EAD" w14:textId="77777777" w:rsidR="00035637" w:rsidRDefault="00035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73AA6"/>
    <w:multiLevelType w:val="hybridMultilevel"/>
    <w:tmpl w:val="645A3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20F51"/>
    <w:multiLevelType w:val="multilevel"/>
    <w:tmpl w:val="70FA8D60"/>
    <w:lvl w:ilvl="0">
      <w:start w:val="1"/>
      <w:numFmt w:val="bullet"/>
      <w:lvlText w:val=""/>
      <w:lvlJc w:val="left"/>
      <w:pPr>
        <w:tabs>
          <w:tab w:val="num" w:pos="1352"/>
        </w:tabs>
        <w:ind w:left="1352" w:hanging="360"/>
      </w:pPr>
      <w:rPr>
        <w:rFonts w:ascii="Symbol" w:hAnsi="Symbol" w:hint="default"/>
        <w:sz w:val="20"/>
      </w:rPr>
    </w:lvl>
    <w:lvl w:ilvl="1" w:tentative="1">
      <w:start w:val="1"/>
      <w:numFmt w:val="bullet"/>
      <w:lvlText w:val=""/>
      <w:lvlJc w:val="left"/>
      <w:pPr>
        <w:tabs>
          <w:tab w:val="num" w:pos="2072"/>
        </w:tabs>
        <w:ind w:left="2072" w:hanging="360"/>
      </w:pPr>
      <w:rPr>
        <w:rFonts w:ascii="Symbol" w:hAnsi="Symbol" w:hint="default"/>
        <w:sz w:val="20"/>
      </w:rPr>
    </w:lvl>
    <w:lvl w:ilvl="2" w:tentative="1">
      <w:start w:val="1"/>
      <w:numFmt w:val="bullet"/>
      <w:lvlText w:val=""/>
      <w:lvlJc w:val="left"/>
      <w:pPr>
        <w:tabs>
          <w:tab w:val="num" w:pos="2792"/>
        </w:tabs>
        <w:ind w:left="2792" w:hanging="360"/>
      </w:pPr>
      <w:rPr>
        <w:rFonts w:ascii="Symbol" w:hAnsi="Symbol" w:hint="default"/>
        <w:sz w:val="20"/>
      </w:rPr>
    </w:lvl>
    <w:lvl w:ilvl="3" w:tentative="1">
      <w:start w:val="1"/>
      <w:numFmt w:val="bullet"/>
      <w:lvlText w:val=""/>
      <w:lvlJc w:val="left"/>
      <w:pPr>
        <w:tabs>
          <w:tab w:val="num" w:pos="3512"/>
        </w:tabs>
        <w:ind w:left="3512" w:hanging="360"/>
      </w:pPr>
      <w:rPr>
        <w:rFonts w:ascii="Symbol" w:hAnsi="Symbol" w:hint="default"/>
        <w:sz w:val="20"/>
      </w:rPr>
    </w:lvl>
    <w:lvl w:ilvl="4" w:tentative="1">
      <w:start w:val="1"/>
      <w:numFmt w:val="bullet"/>
      <w:lvlText w:val=""/>
      <w:lvlJc w:val="left"/>
      <w:pPr>
        <w:tabs>
          <w:tab w:val="num" w:pos="4232"/>
        </w:tabs>
        <w:ind w:left="4232" w:hanging="360"/>
      </w:pPr>
      <w:rPr>
        <w:rFonts w:ascii="Symbol" w:hAnsi="Symbol" w:hint="default"/>
        <w:sz w:val="20"/>
      </w:rPr>
    </w:lvl>
    <w:lvl w:ilvl="5" w:tentative="1">
      <w:start w:val="1"/>
      <w:numFmt w:val="bullet"/>
      <w:lvlText w:val=""/>
      <w:lvlJc w:val="left"/>
      <w:pPr>
        <w:tabs>
          <w:tab w:val="num" w:pos="4952"/>
        </w:tabs>
        <w:ind w:left="4952" w:hanging="360"/>
      </w:pPr>
      <w:rPr>
        <w:rFonts w:ascii="Symbol" w:hAnsi="Symbol" w:hint="default"/>
        <w:sz w:val="20"/>
      </w:rPr>
    </w:lvl>
    <w:lvl w:ilvl="6" w:tentative="1">
      <w:start w:val="1"/>
      <w:numFmt w:val="bullet"/>
      <w:lvlText w:val=""/>
      <w:lvlJc w:val="left"/>
      <w:pPr>
        <w:tabs>
          <w:tab w:val="num" w:pos="5672"/>
        </w:tabs>
        <w:ind w:left="5672" w:hanging="360"/>
      </w:pPr>
      <w:rPr>
        <w:rFonts w:ascii="Symbol" w:hAnsi="Symbol" w:hint="default"/>
        <w:sz w:val="20"/>
      </w:rPr>
    </w:lvl>
    <w:lvl w:ilvl="7" w:tentative="1">
      <w:start w:val="1"/>
      <w:numFmt w:val="bullet"/>
      <w:lvlText w:val=""/>
      <w:lvlJc w:val="left"/>
      <w:pPr>
        <w:tabs>
          <w:tab w:val="num" w:pos="6392"/>
        </w:tabs>
        <w:ind w:left="6392" w:hanging="360"/>
      </w:pPr>
      <w:rPr>
        <w:rFonts w:ascii="Symbol" w:hAnsi="Symbol" w:hint="default"/>
        <w:sz w:val="20"/>
      </w:rPr>
    </w:lvl>
    <w:lvl w:ilvl="8" w:tentative="1">
      <w:start w:val="1"/>
      <w:numFmt w:val="bullet"/>
      <w:lvlText w:val=""/>
      <w:lvlJc w:val="left"/>
      <w:pPr>
        <w:tabs>
          <w:tab w:val="num" w:pos="7112"/>
        </w:tabs>
        <w:ind w:left="7112" w:hanging="360"/>
      </w:pPr>
      <w:rPr>
        <w:rFonts w:ascii="Symbol" w:hAnsi="Symbol" w:hint="default"/>
        <w:sz w:val="20"/>
      </w:rPr>
    </w:lvl>
  </w:abstractNum>
  <w:abstractNum w:abstractNumId="2" w15:restartNumberingAfterBreak="0">
    <w:nsid w:val="090827D5"/>
    <w:multiLevelType w:val="hybridMultilevel"/>
    <w:tmpl w:val="A5F050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D34622"/>
    <w:multiLevelType w:val="hybridMultilevel"/>
    <w:tmpl w:val="81AACD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69402D"/>
    <w:multiLevelType w:val="multilevel"/>
    <w:tmpl w:val="F0EC1FEA"/>
    <w:lvl w:ilvl="0">
      <w:start w:val="1"/>
      <w:numFmt w:val="decimal"/>
      <w:lvlText w:val="%1)"/>
      <w:lvlJc w:val="left"/>
      <w:pPr>
        <w:ind w:left="219" w:hanging="588"/>
      </w:pPr>
      <w:rPr>
        <w:rFonts w:hint="default"/>
        <w:b/>
        <w:bCs/>
      </w:rPr>
    </w:lvl>
    <w:lvl w:ilvl="1">
      <w:start w:val="1"/>
      <w:numFmt w:val="lowerLetter"/>
      <w:lvlText w:val="%2)"/>
      <w:lvlJc w:val="left"/>
      <w:pPr>
        <w:ind w:left="-414" w:hanging="360"/>
      </w:pPr>
      <w:rPr>
        <w:rFonts w:hint="default"/>
      </w:rPr>
    </w:lvl>
    <w:lvl w:ilvl="2">
      <w:start w:val="1"/>
      <w:numFmt w:val="lowerRoman"/>
      <w:lvlText w:val="%3)"/>
      <w:lvlJc w:val="left"/>
      <w:pPr>
        <w:ind w:left="-54" w:hanging="360"/>
      </w:pPr>
      <w:rPr>
        <w:rFonts w:hint="default"/>
      </w:rPr>
    </w:lvl>
    <w:lvl w:ilvl="3">
      <w:start w:val="1"/>
      <w:numFmt w:val="decimal"/>
      <w:lvlText w:val="(%4)"/>
      <w:lvlJc w:val="left"/>
      <w:pPr>
        <w:ind w:left="306" w:hanging="360"/>
      </w:pPr>
      <w:rPr>
        <w:rFonts w:hint="default"/>
      </w:rPr>
    </w:lvl>
    <w:lvl w:ilvl="4">
      <w:start w:val="1"/>
      <w:numFmt w:val="lowerLetter"/>
      <w:lvlText w:val="(%5)"/>
      <w:lvlJc w:val="left"/>
      <w:pPr>
        <w:ind w:left="666" w:hanging="360"/>
      </w:pPr>
      <w:rPr>
        <w:rFonts w:hint="default"/>
      </w:rPr>
    </w:lvl>
    <w:lvl w:ilvl="5">
      <w:start w:val="1"/>
      <w:numFmt w:val="lowerRoman"/>
      <w:lvlText w:val="(%6)"/>
      <w:lvlJc w:val="left"/>
      <w:pPr>
        <w:ind w:left="1026" w:hanging="360"/>
      </w:pPr>
      <w:rPr>
        <w:rFonts w:hint="default"/>
      </w:rPr>
    </w:lvl>
    <w:lvl w:ilvl="6">
      <w:start w:val="1"/>
      <w:numFmt w:val="decimal"/>
      <w:lvlText w:val="%7."/>
      <w:lvlJc w:val="left"/>
      <w:pPr>
        <w:ind w:left="1386" w:hanging="360"/>
      </w:pPr>
      <w:rPr>
        <w:rFonts w:hint="default"/>
      </w:rPr>
    </w:lvl>
    <w:lvl w:ilvl="7">
      <w:start w:val="1"/>
      <w:numFmt w:val="lowerLetter"/>
      <w:lvlText w:val="%8."/>
      <w:lvlJc w:val="left"/>
      <w:pPr>
        <w:ind w:left="1746" w:hanging="360"/>
      </w:pPr>
      <w:rPr>
        <w:rFonts w:hint="default"/>
      </w:rPr>
    </w:lvl>
    <w:lvl w:ilvl="8">
      <w:start w:val="1"/>
      <w:numFmt w:val="lowerRoman"/>
      <w:lvlText w:val="%9."/>
      <w:lvlJc w:val="left"/>
      <w:pPr>
        <w:ind w:left="2106" w:hanging="360"/>
      </w:pPr>
      <w:rPr>
        <w:rFonts w:hint="default"/>
      </w:rPr>
    </w:lvl>
  </w:abstractNum>
  <w:abstractNum w:abstractNumId="5" w15:restartNumberingAfterBreak="0">
    <w:nsid w:val="157B3E2D"/>
    <w:multiLevelType w:val="hybridMultilevel"/>
    <w:tmpl w:val="2C66AA9C"/>
    <w:lvl w:ilvl="0" w:tplc="9CA4E6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FA54E6"/>
    <w:multiLevelType w:val="multilevel"/>
    <w:tmpl w:val="A65C9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1F0420C2"/>
    <w:multiLevelType w:val="multilevel"/>
    <w:tmpl w:val="F1B6937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9766B2"/>
    <w:multiLevelType w:val="hybridMultilevel"/>
    <w:tmpl w:val="5148CF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27BB5E43"/>
    <w:multiLevelType w:val="hybridMultilevel"/>
    <w:tmpl w:val="E67CC39A"/>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1" w15:restartNumberingAfterBreak="0">
    <w:nsid w:val="28AD2B04"/>
    <w:multiLevelType w:val="multilevel"/>
    <w:tmpl w:val="052A9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A4D80E"/>
    <w:multiLevelType w:val="hybridMultilevel"/>
    <w:tmpl w:val="FFFFFFFF"/>
    <w:lvl w:ilvl="0" w:tplc="19344AAE">
      <w:start w:val="1"/>
      <w:numFmt w:val="bullet"/>
      <w:lvlText w:val=""/>
      <w:lvlJc w:val="left"/>
      <w:pPr>
        <w:ind w:left="1712" w:hanging="360"/>
      </w:pPr>
      <w:rPr>
        <w:rFonts w:ascii="Symbol" w:hAnsi="Symbol" w:hint="default"/>
      </w:rPr>
    </w:lvl>
    <w:lvl w:ilvl="1" w:tplc="4414053C">
      <w:start w:val="1"/>
      <w:numFmt w:val="bullet"/>
      <w:lvlText w:val=""/>
      <w:lvlJc w:val="left"/>
      <w:pPr>
        <w:ind w:left="2432" w:hanging="360"/>
      </w:pPr>
      <w:rPr>
        <w:rFonts w:ascii="Symbol" w:hAnsi="Symbol" w:hint="default"/>
      </w:rPr>
    </w:lvl>
    <w:lvl w:ilvl="2" w:tplc="2312C5B6">
      <w:start w:val="1"/>
      <w:numFmt w:val="bullet"/>
      <w:lvlText w:val=""/>
      <w:lvlJc w:val="left"/>
      <w:pPr>
        <w:ind w:left="3152" w:hanging="360"/>
      </w:pPr>
      <w:rPr>
        <w:rFonts w:ascii="Wingdings" w:hAnsi="Wingdings" w:hint="default"/>
      </w:rPr>
    </w:lvl>
    <w:lvl w:ilvl="3" w:tplc="5BDA1E08">
      <w:start w:val="1"/>
      <w:numFmt w:val="bullet"/>
      <w:lvlText w:val=""/>
      <w:lvlJc w:val="left"/>
      <w:pPr>
        <w:ind w:left="3872" w:hanging="360"/>
      </w:pPr>
      <w:rPr>
        <w:rFonts w:ascii="Symbol" w:hAnsi="Symbol" w:hint="default"/>
      </w:rPr>
    </w:lvl>
    <w:lvl w:ilvl="4" w:tplc="6C0A59EC">
      <w:start w:val="1"/>
      <w:numFmt w:val="bullet"/>
      <w:lvlText w:val="o"/>
      <w:lvlJc w:val="left"/>
      <w:pPr>
        <w:ind w:left="4592" w:hanging="360"/>
      </w:pPr>
      <w:rPr>
        <w:rFonts w:ascii="Courier New" w:hAnsi="Courier New" w:hint="default"/>
      </w:rPr>
    </w:lvl>
    <w:lvl w:ilvl="5" w:tplc="3348E282">
      <w:start w:val="1"/>
      <w:numFmt w:val="bullet"/>
      <w:lvlText w:val=""/>
      <w:lvlJc w:val="left"/>
      <w:pPr>
        <w:ind w:left="5312" w:hanging="360"/>
      </w:pPr>
      <w:rPr>
        <w:rFonts w:ascii="Wingdings" w:hAnsi="Wingdings" w:hint="default"/>
      </w:rPr>
    </w:lvl>
    <w:lvl w:ilvl="6" w:tplc="55784C9C">
      <w:start w:val="1"/>
      <w:numFmt w:val="bullet"/>
      <w:lvlText w:val=""/>
      <w:lvlJc w:val="left"/>
      <w:pPr>
        <w:ind w:left="6032" w:hanging="360"/>
      </w:pPr>
      <w:rPr>
        <w:rFonts w:ascii="Symbol" w:hAnsi="Symbol" w:hint="default"/>
      </w:rPr>
    </w:lvl>
    <w:lvl w:ilvl="7" w:tplc="9384BBFE">
      <w:start w:val="1"/>
      <w:numFmt w:val="bullet"/>
      <w:lvlText w:val="o"/>
      <w:lvlJc w:val="left"/>
      <w:pPr>
        <w:ind w:left="6752" w:hanging="360"/>
      </w:pPr>
      <w:rPr>
        <w:rFonts w:ascii="Courier New" w:hAnsi="Courier New" w:hint="default"/>
      </w:rPr>
    </w:lvl>
    <w:lvl w:ilvl="8" w:tplc="7160D6DA">
      <w:start w:val="1"/>
      <w:numFmt w:val="bullet"/>
      <w:lvlText w:val=""/>
      <w:lvlJc w:val="left"/>
      <w:pPr>
        <w:ind w:left="7472" w:hanging="360"/>
      </w:pPr>
      <w:rPr>
        <w:rFonts w:ascii="Wingdings" w:hAnsi="Wingdings" w:hint="default"/>
      </w:rPr>
    </w:lvl>
  </w:abstractNum>
  <w:abstractNum w:abstractNumId="13" w15:restartNumberingAfterBreak="0">
    <w:nsid w:val="2A58276B"/>
    <w:multiLevelType w:val="hybridMultilevel"/>
    <w:tmpl w:val="DB3899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B3BB26A"/>
    <w:multiLevelType w:val="hybridMultilevel"/>
    <w:tmpl w:val="AF4EBE0C"/>
    <w:lvl w:ilvl="0" w:tplc="6FF20DC4">
      <w:start w:val="1"/>
      <w:numFmt w:val="decimal"/>
      <w:lvlText w:val="%1."/>
      <w:lvlJc w:val="left"/>
      <w:pPr>
        <w:ind w:left="720" w:hanging="360"/>
      </w:pPr>
    </w:lvl>
    <w:lvl w:ilvl="1" w:tplc="7474F25C">
      <w:start w:val="1"/>
      <w:numFmt w:val="lowerLetter"/>
      <w:lvlText w:val="%2."/>
      <w:lvlJc w:val="left"/>
      <w:pPr>
        <w:ind w:left="1440" w:hanging="360"/>
      </w:pPr>
    </w:lvl>
    <w:lvl w:ilvl="2" w:tplc="351CDE6C">
      <w:start w:val="1"/>
      <w:numFmt w:val="lowerRoman"/>
      <w:lvlText w:val="%3."/>
      <w:lvlJc w:val="right"/>
      <w:pPr>
        <w:ind w:left="2160" w:hanging="180"/>
      </w:pPr>
    </w:lvl>
    <w:lvl w:ilvl="3" w:tplc="9476FBF8">
      <w:start w:val="1"/>
      <w:numFmt w:val="decimal"/>
      <w:lvlText w:val="%4."/>
      <w:lvlJc w:val="left"/>
      <w:pPr>
        <w:ind w:left="2880" w:hanging="360"/>
      </w:pPr>
    </w:lvl>
    <w:lvl w:ilvl="4" w:tplc="EB5CD69A">
      <w:start w:val="1"/>
      <w:numFmt w:val="lowerLetter"/>
      <w:lvlText w:val="%5."/>
      <w:lvlJc w:val="left"/>
      <w:pPr>
        <w:ind w:left="3600" w:hanging="360"/>
      </w:pPr>
    </w:lvl>
    <w:lvl w:ilvl="5" w:tplc="527E262E">
      <w:start w:val="1"/>
      <w:numFmt w:val="lowerRoman"/>
      <w:lvlText w:val="%6."/>
      <w:lvlJc w:val="right"/>
      <w:pPr>
        <w:ind w:left="4320" w:hanging="180"/>
      </w:pPr>
    </w:lvl>
    <w:lvl w:ilvl="6" w:tplc="3AAE9FE6">
      <w:start w:val="1"/>
      <w:numFmt w:val="decimal"/>
      <w:lvlText w:val="%7."/>
      <w:lvlJc w:val="left"/>
      <w:pPr>
        <w:ind w:left="5040" w:hanging="360"/>
      </w:pPr>
    </w:lvl>
    <w:lvl w:ilvl="7" w:tplc="E2F46932">
      <w:start w:val="1"/>
      <w:numFmt w:val="lowerLetter"/>
      <w:lvlText w:val="%8."/>
      <w:lvlJc w:val="left"/>
      <w:pPr>
        <w:ind w:left="5760" w:hanging="360"/>
      </w:pPr>
    </w:lvl>
    <w:lvl w:ilvl="8" w:tplc="2E2CA80E">
      <w:start w:val="1"/>
      <w:numFmt w:val="lowerRoman"/>
      <w:lvlText w:val="%9."/>
      <w:lvlJc w:val="right"/>
      <w:pPr>
        <w:ind w:left="6480" w:hanging="180"/>
      </w:pPr>
    </w:lvl>
  </w:abstractNum>
  <w:abstractNum w:abstractNumId="15" w15:restartNumberingAfterBreak="0">
    <w:nsid w:val="2FF50F05"/>
    <w:multiLevelType w:val="multilevel"/>
    <w:tmpl w:val="F1E6A550"/>
    <w:lvl w:ilvl="0">
      <w:start w:val="1"/>
      <w:numFmt w:val="decimal"/>
      <w:lvlText w:val="%1."/>
      <w:lvlJc w:val="left"/>
      <w:pPr>
        <w:ind w:left="720" w:hanging="360"/>
      </w:pPr>
      <w:rPr>
        <w:rFonts w:hint="default"/>
        <w:b/>
        <w:bCs/>
      </w:rPr>
    </w:lvl>
    <w:lvl w:ilvl="1">
      <w:start w:val="1"/>
      <w:numFmt w:val="decimal"/>
      <w:isLgl/>
      <w:lvlText w:val="%1.%2"/>
      <w:lvlJc w:val="left"/>
      <w:pPr>
        <w:ind w:left="4329"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lang w:val="en-GB"/>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B421696"/>
    <w:multiLevelType w:val="multilevel"/>
    <w:tmpl w:val="53986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C33545"/>
    <w:multiLevelType w:val="hybridMultilevel"/>
    <w:tmpl w:val="989E59D6"/>
    <w:lvl w:ilvl="0" w:tplc="D2F214E2">
      <w:start w:val="1"/>
      <w:numFmt w:val="bullet"/>
      <w:lvlText w:val=""/>
      <w:lvlJc w:val="left"/>
      <w:pPr>
        <w:ind w:left="720" w:hanging="360"/>
      </w:pPr>
      <w:rPr>
        <w:rFonts w:ascii="Wingdings" w:hAnsi="Wingdings" w:hint="default"/>
      </w:rPr>
    </w:lvl>
    <w:lvl w:ilvl="1" w:tplc="93BE45C2">
      <w:start w:val="1"/>
      <w:numFmt w:val="bullet"/>
      <w:lvlText w:val=""/>
      <w:lvlJc w:val="left"/>
      <w:pPr>
        <w:ind w:left="1440" w:hanging="360"/>
      </w:pPr>
      <w:rPr>
        <w:rFonts w:ascii="Wingdings" w:hAnsi="Wingdings" w:hint="default"/>
      </w:rPr>
    </w:lvl>
    <w:lvl w:ilvl="2" w:tplc="A4D4FAA2">
      <w:start w:val="1"/>
      <w:numFmt w:val="bullet"/>
      <w:lvlText w:val=""/>
      <w:lvlJc w:val="left"/>
      <w:pPr>
        <w:ind w:left="2160" w:hanging="360"/>
      </w:pPr>
      <w:rPr>
        <w:rFonts w:ascii="Wingdings" w:hAnsi="Wingdings" w:hint="default"/>
      </w:rPr>
    </w:lvl>
    <w:lvl w:ilvl="3" w:tplc="BAE80BDE">
      <w:start w:val="1"/>
      <w:numFmt w:val="bullet"/>
      <w:lvlText w:val=""/>
      <w:lvlJc w:val="left"/>
      <w:pPr>
        <w:ind w:left="2880" w:hanging="360"/>
      </w:pPr>
      <w:rPr>
        <w:rFonts w:ascii="Wingdings" w:hAnsi="Wingdings" w:hint="default"/>
      </w:rPr>
    </w:lvl>
    <w:lvl w:ilvl="4" w:tplc="AED6C120">
      <w:start w:val="1"/>
      <w:numFmt w:val="bullet"/>
      <w:lvlText w:val=""/>
      <w:lvlJc w:val="left"/>
      <w:pPr>
        <w:ind w:left="3600" w:hanging="360"/>
      </w:pPr>
      <w:rPr>
        <w:rFonts w:ascii="Wingdings" w:hAnsi="Wingdings" w:hint="default"/>
      </w:rPr>
    </w:lvl>
    <w:lvl w:ilvl="5" w:tplc="5EDEE5A8">
      <w:start w:val="1"/>
      <w:numFmt w:val="bullet"/>
      <w:lvlText w:val=""/>
      <w:lvlJc w:val="left"/>
      <w:pPr>
        <w:ind w:left="4320" w:hanging="360"/>
      </w:pPr>
      <w:rPr>
        <w:rFonts w:ascii="Wingdings" w:hAnsi="Wingdings" w:hint="default"/>
      </w:rPr>
    </w:lvl>
    <w:lvl w:ilvl="6" w:tplc="F542ACC6">
      <w:start w:val="1"/>
      <w:numFmt w:val="bullet"/>
      <w:lvlText w:val=""/>
      <w:lvlJc w:val="left"/>
      <w:pPr>
        <w:ind w:left="5040" w:hanging="360"/>
      </w:pPr>
      <w:rPr>
        <w:rFonts w:ascii="Wingdings" w:hAnsi="Wingdings" w:hint="default"/>
      </w:rPr>
    </w:lvl>
    <w:lvl w:ilvl="7" w:tplc="B538AD26">
      <w:start w:val="1"/>
      <w:numFmt w:val="bullet"/>
      <w:lvlText w:val=""/>
      <w:lvlJc w:val="left"/>
      <w:pPr>
        <w:ind w:left="5760" w:hanging="360"/>
      </w:pPr>
      <w:rPr>
        <w:rFonts w:ascii="Wingdings" w:hAnsi="Wingdings" w:hint="default"/>
      </w:rPr>
    </w:lvl>
    <w:lvl w:ilvl="8" w:tplc="40CC4D64">
      <w:start w:val="1"/>
      <w:numFmt w:val="bullet"/>
      <w:lvlText w:val=""/>
      <w:lvlJc w:val="left"/>
      <w:pPr>
        <w:ind w:left="6480" w:hanging="360"/>
      </w:pPr>
      <w:rPr>
        <w:rFonts w:ascii="Wingdings" w:hAnsi="Wingdings" w:hint="default"/>
      </w:rPr>
    </w:lvl>
  </w:abstractNum>
  <w:abstractNum w:abstractNumId="1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9" w15:restartNumberingAfterBreak="0">
    <w:nsid w:val="45B57C14"/>
    <w:multiLevelType w:val="hybridMultilevel"/>
    <w:tmpl w:val="A0C8B7D4"/>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20" w15:restartNumberingAfterBreak="0">
    <w:nsid w:val="48C90A5F"/>
    <w:multiLevelType w:val="hybridMultilevel"/>
    <w:tmpl w:val="3350F6FE"/>
    <w:lvl w:ilvl="0" w:tplc="AE9E8C18">
      <w:start w:val="2"/>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1" w15:restartNumberingAfterBreak="0">
    <w:nsid w:val="4E833D53"/>
    <w:multiLevelType w:val="multilevel"/>
    <w:tmpl w:val="9BC09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5970F9"/>
    <w:multiLevelType w:val="hybridMultilevel"/>
    <w:tmpl w:val="C1BAB6DC"/>
    <w:lvl w:ilvl="0" w:tplc="831ADB70">
      <w:start w:val="1"/>
      <w:numFmt w:val="bullet"/>
      <w:lvlText w:val="•"/>
      <w:lvlJc w:val="left"/>
      <w:pPr>
        <w:tabs>
          <w:tab w:val="num" w:pos="720"/>
        </w:tabs>
        <w:ind w:left="720" w:hanging="360"/>
      </w:pPr>
      <w:rPr>
        <w:rFonts w:ascii="Arial" w:hAnsi="Arial" w:hint="default"/>
      </w:rPr>
    </w:lvl>
    <w:lvl w:ilvl="1" w:tplc="DE68F382">
      <w:numFmt w:val="bullet"/>
      <w:lvlText w:val="•"/>
      <w:lvlJc w:val="left"/>
      <w:pPr>
        <w:tabs>
          <w:tab w:val="num" w:pos="1440"/>
        </w:tabs>
        <w:ind w:left="1440" w:hanging="360"/>
      </w:pPr>
      <w:rPr>
        <w:rFonts w:ascii="Arial" w:hAnsi="Arial" w:hint="default"/>
      </w:rPr>
    </w:lvl>
    <w:lvl w:ilvl="2" w:tplc="6D689F92" w:tentative="1">
      <w:start w:val="1"/>
      <w:numFmt w:val="bullet"/>
      <w:lvlText w:val="•"/>
      <w:lvlJc w:val="left"/>
      <w:pPr>
        <w:tabs>
          <w:tab w:val="num" w:pos="2160"/>
        </w:tabs>
        <w:ind w:left="2160" w:hanging="360"/>
      </w:pPr>
      <w:rPr>
        <w:rFonts w:ascii="Arial" w:hAnsi="Arial" w:hint="default"/>
      </w:rPr>
    </w:lvl>
    <w:lvl w:ilvl="3" w:tplc="4F4A3D68" w:tentative="1">
      <w:start w:val="1"/>
      <w:numFmt w:val="bullet"/>
      <w:lvlText w:val="•"/>
      <w:lvlJc w:val="left"/>
      <w:pPr>
        <w:tabs>
          <w:tab w:val="num" w:pos="2880"/>
        </w:tabs>
        <w:ind w:left="2880" w:hanging="360"/>
      </w:pPr>
      <w:rPr>
        <w:rFonts w:ascii="Arial" w:hAnsi="Arial" w:hint="default"/>
      </w:rPr>
    </w:lvl>
    <w:lvl w:ilvl="4" w:tplc="45EAB922" w:tentative="1">
      <w:start w:val="1"/>
      <w:numFmt w:val="bullet"/>
      <w:lvlText w:val="•"/>
      <w:lvlJc w:val="left"/>
      <w:pPr>
        <w:tabs>
          <w:tab w:val="num" w:pos="3600"/>
        </w:tabs>
        <w:ind w:left="3600" w:hanging="360"/>
      </w:pPr>
      <w:rPr>
        <w:rFonts w:ascii="Arial" w:hAnsi="Arial" w:hint="default"/>
      </w:rPr>
    </w:lvl>
    <w:lvl w:ilvl="5" w:tplc="E5C8C0CC" w:tentative="1">
      <w:start w:val="1"/>
      <w:numFmt w:val="bullet"/>
      <w:lvlText w:val="•"/>
      <w:lvlJc w:val="left"/>
      <w:pPr>
        <w:tabs>
          <w:tab w:val="num" w:pos="4320"/>
        </w:tabs>
        <w:ind w:left="4320" w:hanging="360"/>
      </w:pPr>
      <w:rPr>
        <w:rFonts w:ascii="Arial" w:hAnsi="Arial" w:hint="default"/>
      </w:rPr>
    </w:lvl>
    <w:lvl w:ilvl="6" w:tplc="08ECBF54" w:tentative="1">
      <w:start w:val="1"/>
      <w:numFmt w:val="bullet"/>
      <w:lvlText w:val="•"/>
      <w:lvlJc w:val="left"/>
      <w:pPr>
        <w:tabs>
          <w:tab w:val="num" w:pos="5040"/>
        </w:tabs>
        <w:ind w:left="5040" w:hanging="360"/>
      </w:pPr>
      <w:rPr>
        <w:rFonts w:ascii="Arial" w:hAnsi="Arial" w:hint="default"/>
      </w:rPr>
    </w:lvl>
    <w:lvl w:ilvl="7" w:tplc="A830B4BC" w:tentative="1">
      <w:start w:val="1"/>
      <w:numFmt w:val="bullet"/>
      <w:lvlText w:val="•"/>
      <w:lvlJc w:val="left"/>
      <w:pPr>
        <w:tabs>
          <w:tab w:val="num" w:pos="5760"/>
        </w:tabs>
        <w:ind w:left="5760" w:hanging="360"/>
      </w:pPr>
      <w:rPr>
        <w:rFonts w:ascii="Arial" w:hAnsi="Arial" w:hint="default"/>
      </w:rPr>
    </w:lvl>
    <w:lvl w:ilvl="8" w:tplc="0182493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55F6E15"/>
    <w:multiLevelType w:val="hybridMultilevel"/>
    <w:tmpl w:val="80D4DB68"/>
    <w:lvl w:ilvl="0" w:tplc="B22CD882">
      <w:start w:val="1"/>
      <w:numFmt w:val="bullet"/>
      <w:lvlText w:val=""/>
      <w:lvlJc w:val="left"/>
      <w:pPr>
        <w:ind w:left="720" w:hanging="360"/>
      </w:pPr>
      <w:rPr>
        <w:rFonts w:ascii="Symbol" w:hAnsi="Symbol" w:hint="default"/>
      </w:rPr>
    </w:lvl>
    <w:lvl w:ilvl="1" w:tplc="77DC97F8">
      <w:start w:val="1"/>
      <w:numFmt w:val="bullet"/>
      <w:lvlText w:val="o"/>
      <w:lvlJc w:val="left"/>
      <w:pPr>
        <w:ind w:left="1440" w:hanging="360"/>
      </w:pPr>
      <w:rPr>
        <w:rFonts w:ascii="Courier New" w:hAnsi="Courier New" w:hint="default"/>
      </w:rPr>
    </w:lvl>
    <w:lvl w:ilvl="2" w:tplc="AC8864A0">
      <w:start w:val="1"/>
      <w:numFmt w:val="bullet"/>
      <w:lvlText w:val=""/>
      <w:lvlJc w:val="left"/>
      <w:pPr>
        <w:ind w:left="2160" w:hanging="360"/>
      </w:pPr>
      <w:rPr>
        <w:rFonts w:ascii="Wingdings" w:hAnsi="Wingdings" w:hint="default"/>
      </w:rPr>
    </w:lvl>
    <w:lvl w:ilvl="3" w:tplc="C930D06E">
      <w:start w:val="1"/>
      <w:numFmt w:val="bullet"/>
      <w:lvlText w:val=""/>
      <w:lvlJc w:val="left"/>
      <w:pPr>
        <w:ind w:left="2880" w:hanging="360"/>
      </w:pPr>
      <w:rPr>
        <w:rFonts w:ascii="Symbol" w:hAnsi="Symbol" w:hint="default"/>
      </w:rPr>
    </w:lvl>
    <w:lvl w:ilvl="4" w:tplc="8592DC98">
      <w:start w:val="1"/>
      <w:numFmt w:val="bullet"/>
      <w:lvlText w:val="o"/>
      <w:lvlJc w:val="left"/>
      <w:pPr>
        <w:ind w:left="3600" w:hanging="360"/>
      </w:pPr>
      <w:rPr>
        <w:rFonts w:ascii="Courier New" w:hAnsi="Courier New" w:hint="default"/>
      </w:rPr>
    </w:lvl>
    <w:lvl w:ilvl="5" w:tplc="4C7C895A">
      <w:start w:val="1"/>
      <w:numFmt w:val="bullet"/>
      <w:lvlText w:val=""/>
      <w:lvlJc w:val="left"/>
      <w:pPr>
        <w:ind w:left="4320" w:hanging="360"/>
      </w:pPr>
      <w:rPr>
        <w:rFonts w:ascii="Wingdings" w:hAnsi="Wingdings" w:hint="default"/>
      </w:rPr>
    </w:lvl>
    <w:lvl w:ilvl="6" w:tplc="D0C4A804">
      <w:start w:val="1"/>
      <w:numFmt w:val="bullet"/>
      <w:lvlText w:val=""/>
      <w:lvlJc w:val="left"/>
      <w:pPr>
        <w:ind w:left="5040" w:hanging="360"/>
      </w:pPr>
      <w:rPr>
        <w:rFonts w:ascii="Symbol" w:hAnsi="Symbol" w:hint="default"/>
      </w:rPr>
    </w:lvl>
    <w:lvl w:ilvl="7" w:tplc="30C2CA1A">
      <w:start w:val="1"/>
      <w:numFmt w:val="bullet"/>
      <w:lvlText w:val="o"/>
      <w:lvlJc w:val="left"/>
      <w:pPr>
        <w:ind w:left="5760" w:hanging="360"/>
      </w:pPr>
      <w:rPr>
        <w:rFonts w:ascii="Courier New" w:hAnsi="Courier New" w:hint="default"/>
      </w:rPr>
    </w:lvl>
    <w:lvl w:ilvl="8" w:tplc="FE5A5D20">
      <w:start w:val="1"/>
      <w:numFmt w:val="bullet"/>
      <w:lvlText w:val=""/>
      <w:lvlJc w:val="left"/>
      <w:pPr>
        <w:ind w:left="6480" w:hanging="360"/>
      </w:pPr>
      <w:rPr>
        <w:rFonts w:ascii="Wingdings" w:hAnsi="Wingdings" w:hint="default"/>
      </w:rPr>
    </w:lvl>
  </w:abstractNum>
  <w:abstractNum w:abstractNumId="24" w15:restartNumberingAfterBreak="0">
    <w:nsid w:val="55FF5A0C"/>
    <w:multiLevelType w:val="hybridMultilevel"/>
    <w:tmpl w:val="DF16F34E"/>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5" w15:restartNumberingAfterBreak="0">
    <w:nsid w:val="59CF22B3"/>
    <w:multiLevelType w:val="hybridMultilevel"/>
    <w:tmpl w:val="CAC0C49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788" w:hanging="708"/>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5F2CA7"/>
    <w:multiLevelType w:val="hybridMultilevel"/>
    <w:tmpl w:val="7E38A4B4"/>
    <w:lvl w:ilvl="0" w:tplc="1B48FE94">
      <w:start w:val="1"/>
      <w:numFmt w:val="bullet"/>
      <w:lvlText w:val=""/>
      <w:lvlJc w:val="left"/>
      <w:pPr>
        <w:tabs>
          <w:tab w:val="num" w:pos="720"/>
        </w:tabs>
        <w:ind w:left="720" w:hanging="360"/>
      </w:pPr>
      <w:rPr>
        <w:rFonts w:ascii="Wingdings" w:hAnsi="Wingdings" w:hint="default"/>
      </w:rPr>
    </w:lvl>
    <w:lvl w:ilvl="1" w:tplc="03289864">
      <w:numFmt w:val="bullet"/>
      <w:lvlText w:val=""/>
      <w:lvlJc w:val="left"/>
      <w:pPr>
        <w:tabs>
          <w:tab w:val="num" w:pos="1440"/>
        </w:tabs>
        <w:ind w:left="1440" w:hanging="360"/>
      </w:pPr>
      <w:rPr>
        <w:rFonts w:ascii="Wingdings" w:hAnsi="Wingdings" w:hint="default"/>
      </w:rPr>
    </w:lvl>
    <w:lvl w:ilvl="2" w:tplc="AC744BC0">
      <w:start w:val="1"/>
      <w:numFmt w:val="bullet"/>
      <w:lvlText w:val=""/>
      <w:lvlJc w:val="left"/>
      <w:pPr>
        <w:tabs>
          <w:tab w:val="num" w:pos="2160"/>
        </w:tabs>
        <w:ind w:left="2160" w:hanging="360"/>
      </w:pPr>
      <w:rPr>
        <w:rFonts w:ascii="Wingdings" w:hAnsi="Wingdings" w:hint="default"/>
      </w:rPr>
    </w:lvl>
    <w:lvl w:ilvl="3" w:tplc="92E0493A" w:tentative="1">
      <w:start w:val="1"/>
      <w:numFmt w:val="bullet"/>
      <w:lvlText w:val=""/>
      <w:lvlJc w:val="left"/>
      <w:pPr>
        <w:tabs>
          <w:tab w:val="num" w:pos="2880"/>
        </w:tabs>
        <w:ind w:left="2880" w:hanging="360"/>
      </w:pPr>
      <w:rPr>
        <w:rFonts w:ascii="Wingdings" w:hAnsi="Wingdings" w:hint="default"/>
      </w:rPr>
    </w:lvl>
    <w:lvl w:ilvl="4" w:tplc="894EE6FC" w:tentative="1">
      <w:start w:val="1"/>
      <w:numFmt w:val="bullet"/>
      <w:lvlText w:val=""/>
      <w:lvlJc w:val="left"/>
      <w:pPr>
        <w:tabs>
          <w:tab w:val="num" w:pos="3600"/>
        </w:tabs>
        <w:ind w:left="3600" w:hanging="360"/>
      </w:pPr>
      <w:rPr>
        <w:rFonts w:ascii="Wingdings" w:hAnsi="Wingdings" w:hint="default"/>
      </w:rPr>
    </w:lvl>
    <w:lvl w:ilvl="5" w:tplc="D72E7BCE" w:tentative="1">
      <w:start w:val="1"/>
      <w:numFmt w:val="bullet"/>
      <w:lvlText w:val=""/>
      <w:lvlJc w:val="left"/>
      <w:pPr>
        <w:tabs>
          <w:tab w:val="num" w:pos="4320"/>
        </w:tabs>
        <w:ind w:left="4320" w:hanging="360"/>
      </w:pPr>
      <w:rPr>
        <w:rFonts w:ascii="Wingdings" w:hAnsi="Wingdings" w:hint="default"/>
      </w:rPr>
    </w:lvl>
    <w:lvl w:ilvl="6" w:tplc="1CA42984" w:tentative="1">
      <w:start w:val="1"/>
      <w:numFmt w:val="bullet"/>
      <w:lvlText w:val=""/>
      <w:lvlJc w:val="left"/>
      <w:pPr>
        <w:tabs>
          <w:tab w:val="num" w:pos="5040"/>
        </w:tabs>
        <w:ind w:left="5040" w:hanging="360"/>
      </w:pPr>
      <w:rPr>
        <w:rFonts w:ascii="Wingdings" w:hAnsi="Wingdings" w:hint="default"/>
      </w:rPr>
    </w:lvl>
    <w:lvl w:ilvl="7" w:tplc="F5EAC1AC" w:tentative="1">
      <w:start w:val="1"/>
      <w:numFmt w:val="bullet"/>
      <w:lvlText w:val=""/>
      <w:lvlJc w:val="left"/>
      <w:pPr>
        <w:tabs>
          <w:tab w:val="num" w:pos="5760"/>
        </w:tabs>
        <w:ind w:left="5760" w:hanging="360"/>
      </w:pPr>
      <w:rPr>
        <w:rFonts w:ascii="Wingdings" w:hAnsi="Wingdings" w:hint="default"/>
      </w:rPr>
    </w:lvl>
    <w:lvl w:ilvl="8" w:tplc="58EA7E8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1E3227"/>
    <w:multiLevelType w:val="hybridMultilevel"/>
    <w:tmpl w:val="71985946"/>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AAA58B2"/>
    <w:multiLevelType w:val="hybridMultilevel"/>
    <w:tmpl w:val="38D247EE"/>
    <w:lvl w:ilvl="0" w:tplc="DC3A21C8">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75EC3D0D"/>
    <w:multiLevelType w:val="hybridMultilevel"/>
    <w:tmpl w:val="C128D570"/>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6004026"/>
    <w:multiLevelType w:val="hybridMultilevel"/>
    <w:tmpl w:val="483690B0"/>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31" w15:restartNumberingAfterBreak="0">
    <w:nsid w:val="76B01AF3"/>
    <w:multiLevelType w:val="hybridMultilevel"/>
    <w:tmpl w:val="D4766C1A"/>
    <w:lvl w:ilvl="0" w:tplc="ABC63B78">
      <w:start w:val="1"/>
      <w:numFmt w:val="decimal"/>
      <w:lvlText w:val="%1."/>
      <w:lvlJc w:val="left"/>
      <w:pPr>
        <w:ind w:left="720" w:hanging="360"/>
      </w:pPr>
    </w:lvl>
    <w:lvl w:ilvl="1" w:tplc="BAFCE7D0">
      <w:start w:val="1"/>
      <w:numFmt w:val="lowerLetter"/>
      <w:lvlText w:val="%2."/>
      <w:lvlJc w:val="left"/>
      <w:pPr>
        <w:ind w:left="1440" w:hanging="360"/>
      </w:pPr>
    </w:lvl>
    <w:lvl w:ilvl="2" w:tplc="B1906FBC">
      <w:start w:val="1"/>
      <w:numFmt w:val="lowerRoman"/>
      <w:lvlText w:val="%3."/>
      <w:lvlJc w:val="right"/>
      <w:pPr>
        <w:ind w:left="2160" w:hanging="180"/>
      </w:pPr>
    </w:lvl>
    <w:lvl w:ilvl="3" w:tplc="FA30BB0E">
      <w:start w:val="1"/>
      <w:numFmt w:val="decimal"/>
      <w:lvlText w:val="%4."/>
      <w:lvlJc w:val="left"/>
      <w:pPr>
        <w:ind w:left="2880" w:hanging="360"/>
      </w:pPr>
    </w:lvl>
    <w:lvl w:ilvl="4" w:tplc="85F473AC">
      <w:start w:val="1"/>
      <w:numFmt w:val="lowerLetter"/>
      <w:lvlText w:val="%5."/>
      <w:lvlJc w:val="left"/>
      <w:pPr>
        <w:ind w:left="3600" w:hanging="360"/>
      </w:pPr>
    </w:lvl>
    <w:lvl w:ilvl="5" w:tplc="011A90E0">
      <w:start w:val="1"/>
      <w:numFmt w:val="lowerRoman"/>
      <w:lvlText w:val="%6."/>
      <w:lvlJc w:val="right"/>
      <w:pPr>
        <w:ind w:left="4320" w:hanging="180"/>
      </w:pPr>
    </w:lvl>
    <w:lvl w:ilvl="6" w:tplc="43DA5DE6">
      <w:start w:val="1"/>
      <w:numFmt w:val="decimal"/>
      <w:lvlText w:val="%7."/>
      <w:lvlJc w:val="left"/>
      <w:pPr>
        <w:ind w:left="5040" w:hanging="360"/>
      </w:pPr>
    </w:lvl>
    <w:lvl w:ilvl="7" w:tplc="BC56B82E">
      <w:start w:val="1"/>
      <w:numFmt w:val="lowerLetter"/>
      <w:lvlText w:val="%8."/>
      <w:lvlJc w:val="left"/>
      <w:pPr>
        <w:ind w:left="5760" w:hanging="360"/>
      </w:pPr>
    </w:lvl>
    <w:lvl w:ilvl="8" w:tplc="63BE0D3C">
      <w:start w:val="1"/>
      <w:numFmt w:val="lowerRoman"/>
      <w:lvlText w:val="%9."/>
      <w:lvlJc w:val="right"/>
      <w:pPr>
        <w:ind w:left="6480" w:hanging="180"/>
      </w:pPr>
    </w:lvl>
  </w:abstractNum>
  <w:abstractNum w:abstractNumId="32" w15:restartNumberingAfterBreak="0">
    <w:nsid w:val="7911437D"/>
    <w:multiLevelType w:val="hybridMultilevel"/>
    <w:tmpl w:val="D826B1EC"/>
    <w:lvl w:ilvl="0" w:tplc="A5369328">
      <w:start w:val="1"/>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AA26DD5"/>
    <w:multiLevelType w:val="hybridMultilevel"/>
    <w:tmpl w:val="BC382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321124"/>
    <w:multiLevelType w:val="hybridMultilevel"/>
    <w:tmpl w:val="AEE2B5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220A4B"/>
    <w:multiLevelType w:val="hybridMultilevel"/>
    <w:tmpl w:val="0B0AFDB4"/>
    <w:lvl w:ilvl="0" w:tplc="99E44500">
      <w:start w:val="1"/>
      <w:numFmt w:val="bullet"/>
      <w:lvlText w:val="•"/>
      <w:lvlJc w:val="left"/>
      <w:pPr>
        <w:tabs>
          <w:tab w:val="num" w:pos="720"/>
        </w:tabs>
        <w:ind w:left="720" w:hanging="360"/>
      </w:pPr>
      <w:rPr>
        <w:rFonts w:ascii="Arial" w:hAnsi="Arial" w:hint="default"/>
      </w:rPr>
    </w:lvl>
    <w:lvl w:ilvl="1" w:tplc="67A0DB18">
      <w:start w:val="1"/>
      <w:numFmt w:val="bullet"/>
      <w:lvlText w:val="•"/>
      <w:lvlJc w:val="left"/>
      <w:pPr>
        <w:tabs>
          <w:tab w:val="num" w:pos="1440"/>
        </w:tabs>
        <w:ind w:left="1440" w:hanging="360"/>
      </w:pPr>
      <w:rPr>
        <w:rFonts w:ascii="Arial" w:hAnsi="Arial" w:hint="default"/>
      </w:rPr>
    </w:lvl>
    <w:lvl w:ilvl="2" w:tplc="BC602FB4" w:tentative="1">
      <w:start w:val="1"/>
      <w:numFmt w:val="bullet"/>
      <w:lvlText w:val="•"/>
      <w:lvlJc w:val="left"/>
      <w:pPr>
        <w:tabs>
          <w:tab w:val="num" w:pos="2160"/>
        </w:tabs>
        <w:ind w:left="2160" w:hanging="360"/>
      </w:pPr>
      <w:rPr>
        <w:rFonts w:ascii="Arial" w:hAnsi="Arial" w:hint="default"/>
      </w:rPr>
    </w:lvl>
    <w:lvl w:ilvl="3" w:tplc="5C4663A0" w:tentative="1">
      <w:start w:val="1"/>
      <w:numFmt w:val="bullet"/>
      <w:lvlText w:val="•"/>
      <w:lvlJc w:val="left"/>
      <w:pPr>
        <w:tabs>
          <w:tab w:val="num" w:pos="2880"/>
        </w:tabs>
        <w:ind w:left="2880" w:hanging="360"/>
      </w:pPr>
      <w:rPr>
        <w:rFonts w:ascii="Arial" w:hAnsi="Arial" w:hint="default"/>
      </w:rPr>
    </w:lvl>
    <w:lvl w:ilvl="4" w:tplc="6DEA2CA2" w:tentative="1">
      <w:start w:val="1"/>
      <w:numFmt w:val="bullet"/>
      <w:lvlText w:val="•"/>
      <w:lvlJc w:val="left"/>
      <w:pPr>
        <w:tabs>
          <w:tab w:val="num" w:pos="3600"/>
        </w:tabs>
        <w:ind w:left="3600" w:hanging="360"/>
      </w:pPr>
      <w:rPr>
        <w:rFonts w:ascii="Arial" w:hAnsi="Arial" w:hint="default"/>
      </w:rPr>
    </w:lvl>
    <w:lvl w:ilvl="5" w:tplc="9C4CA146" w:tentative="1">
      <w:start w:val="1"/>
      <w:numFmt w:val="bullet"/>
      <w:lvlText w:val="•"/>
      <w:lvlJc w:val="left"/>
      <w:pPr>
        <w:tabs>
          <w:tab w:val="num" w:pos="4320"/>
        </w:tabs>
        <w:ind w:left="4320" w:hanging="360"/>
      </w:pPr>
      <w:rPr>
        <w:rFonts w:ascii="Arial" w:hAnsi="Arial" w:hint="default"/>
      </w:rPr>
    </w:lvl>
    <w:lvl w:ilvl="6" w:tplc="925C5602" w:tentative="1">
      <w:start w:val="1"/>
      <w:numFmt w:val="bullet"/>
      <w:lvlText w:val="•"/>
      <w:lvlJc w:val="left"/>
      <w:pPr>
        <w:tabs>
          <w:tab w:val="num" w:pos="5040"/>
        </w:tabs>
        <w:ind w:left="5040" w:hanging="360"/>
      </w:pPr>
      <w:rPr>
        <w:rFonts w:ascii="Arial" w:hAnsi="Arial" w:hint="default"/>
      </w:rPr>
    </w:lvl>
    <w:lvl w:ilvl="7" w:tplc="025604D4" w:tentative="1">
      <w:start w:val="1"/>
      <w:numFmt w:val="bullet"/>
      <w:lvlText w:val="•"/>
      <w:lvlJc w:val="left"/>
      <w:pPr>
        <w:tabs>
          <w:tab w:val="num" w:pos="5760"/>
        </w:tabs>
        <w:ind w:left="5760" w:hanging="360"/>
      </w:pPr>
      <w:rPr>
        <w:rFonts w:ascii="Arial" w:hAnsi="Arial" w:hint="default"/>
      </w:rPr>
    </w:lvl>
    <w:lvl w:ilvl="8" w:tplc="A148B918"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7" w15:restartNumberingAfterBreak="0">
    <w:nsid w:val="7DCC5A7A"/>
    <w:multiLevelType w:val="multilevel"/>
    <w:tmpl w:val="68804C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EA378EB"/>
    <w:multiLevelType w:val="multilevel"/>
    <w:tmpl w:val="1C60D4C4"/>
    <w:lvl w:ilvl="0">
      <w:start w:val="1"/>
      <w:numFmt w:val="decimal"/>
      <w:lvlText w:val="%1)"/>
      <w:lvlJc w:val="left"/>
      <w:pPr>
        <w:ind w:left="360" w:hanging="360"/>
      </w:pPr>
      <w:rPr>
        <w:rFonts w:hint="default"/>
        <w:b/>
        <w:bCs/>
        <w:color w:val="auto"/>
      </w:rPr>
    </w:lvl>
    <w:lvl w:ilvl="1">
      <w:start w:val="1"/>
      <w:numFmt w:val="lowerLetter"/>
      <w:lvlText w:val="%2)"/>
      <w:lvlJc w:val="left"/>
      <w:pPr>
        <w:ind w:left="-130" w:hanging="360"/>
      </w:pPr>
    </w:lvl>
    <w:lvl w:ilvl="2">
      <w:start w:val="1"/>
      <w:numFmt w:val="lowerRoman"/>
      <w:lvlText w:val="%3)"/>
      <w:lvlJc w:val="left"/>
      <w:pPr>
        <w:ind w:left="230" w:hanging="360"/>
      </w:pPr>
    </w:lvl>
    <w:lvl w:ilvl="3">
      <w:start w:val="1"/>
      <w:numFmt w:val="decimal"/>
      <w:lvlText w:val="(%4)"/>
      <w:lvlJc w:val="left"/>
      <w:pPr>
        <w:ind w:left="590" w:hanging="360"/>
      </w:pPr>
    </w:lvl>
    <w:lvl w:ilvl="4">
      <w:start w:val="1"/>
      <w:numFmt w:val="lowerLetter"/>
      <w:lvlText w:val="(%5)"/>
      <w:lvlJc w:val="left"/>
      <w:pPr>
        <w:ind w:left="950" w:hanging="360"/>
      </w:pPr>
    </w:lvl>
    <w:lvl w:ilvl="5">
      <w:start w:val="1"/>
      <w:numFmt w:val="lowerRoman"/>
      <w:lvlText w:val="(%6)"/>
      <w:lvlJc w:val="left"/>
      <w:pPr>
        <w:ind w:left="1310" w:hanging="360"/>
      </w:pPr>
    </w:lvl>
    <w:lvl w:ilvl="6">
      <w:start w:val="1"/>
      <w:numFmt w:val="decimal"/>
      <w:lvlText w:val="%7."/>
      <w:lvlJc w:val="left"/>
      <w:pPr>
        <w:ind w:left="1670" w:hanging="360"/>
      </w:pPr>
    </w:lvl>
    <w:lvl w:ilvl="7">
      <w:start w:val="1"/>
      <w:numFmt w:val="lowerLetter"/>
      <w:lvlText w:val="%8."/>
      <w:lvlJc w:val="left"/>
      <w:pPr>
        <w:ind w:left="2030" w:hanging="360"/>
      </w:pPr>
    </w:lvl>
    <w:lvl w:ilvl="8">
      <w:start w:val="1"/>
      <w:numFmt w:val="lowerRoman"/>
      <w:lvlText w:val="%9."/>
      <w:lvlJc w:val="left"/>
      <w:pPr>
        <w:ind w:left="2390" w:hanging="360"/>
      </w:pPr>
    </w:lvl>
  </w:abstractNum>
  <w:num w:numId="1">
    <w:abstractNumId w:val="23"/>
  </w:num>
  <w:num w:numId="2">
    <w:abstractNumId w:val="17"/>
  </w:num>
  <w:num w:numId="3">
    <w:abstractNumId w:val="31"/>
  </w:num>
  <w:num w:numId="4">
    <w:abstractNumId w:val="14"/>
  </w:num>
  <w:num w:numId="5">
    <w:abstractNumId w:val="1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4"/>
  </w:num>
  <w:num w:numId="9">
    <w:abstractNumId w:val="4"/>
  </w:num>
  <w:num w:numId="10">
    <w:abstractNumId w:val="28"/>
  </w:num>
  <w:num w:numId="11">
    <w:abstractNumId w:val="0"/>
  </w:num>
  <w:num w:numId="12">
    <w:abstractNumId w:val="33"/>
  </w:num>
  <w:num w:numId="13">
    <w:abstractNumId w:val="19"/>
  </w:num>
  <w:num w:numId="14">
    <w:abstractNumId w:val="5"/>
  </w:num>
  <w:num w:numId="15">
    <w:abstractNumId w:val="8"/>
  </w:num>
  <w:num w:numId="16">
    <w:abstractNumId w:val="9"/>
  </w:num>
  <w:num w:numId="17">
    <w:abstractNumId w:val="34"/>
  </w:num>
  <w:num w:numId="18">
    <w:abstractNumId w:val="38"/>
  </w:num>
  <w:num w:numId="19">
    <w:abstractNumId w:val="10"/>
  </w:num>
  <w:num w:numId="20">
    <w:abstractNumId w:val="25"/>
  </w:num>
  <w:num w:numId="21">
    <w:abstractNumId w:val="36"/>
  </w:num>
  <w:num w:numId="22">
    <w:abstractNumId w:val="2"/>
  </w:num>
  <w:num w:numId="23">
    <w:abstractNumId w:val="22"/>
  </w:num>
  <w:num w:numId="24">
    <w:abstractNumId w:val="27"/>
  </w:num>
  <w:num w:numId="25">
    <w:abstractNumId w:val="32"/>
  </w:num>
  <w:num w:numId="26">
    <w:abstractNumId w:val="35"/>
  </w:num>
  <w:num w:numId="27">
    <w:abstractNumId w:val="3"/>
  </w:num>
  <w:num w:numId="28">
    <w:abstractNumId w:val="12"/>
  </w:num>
  <w:num w:numId="29">
    <w:abstractNumId w:val="13"/>
  </w:num>
  <w:num w:numId="30">
    <w:abstractNumId w:val="30"/>
  </w:num>
  <w:num w:numId="31">
    <w:abstractNumId w:val="26"/>
  </w:num>
  <w:num w:numId="32">
    <w:abstractNumId w:val="21"/>
  </w:num>
  <w:num w:numId="33">
    <w:abstractNumId w:val="29"/>
  </w:num>
  <w:num w:numId="34">
    <w:abstractNumId w:val="1"/>
  </w:num>
  <w:num w:numId="35">
    <w:abstractNumId w:val="6"/>
  </w:num>
  <w:num w:numId="36">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11"/>
  </w:num>
  <w:num w:numId="39">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revisionView w:markup="0"/>
  <w:defaultTabStop w:val="709"/>
  <w:hyphenationZone w:val="425"/>
  <w:drawingGridHorizontalSpacing w:val="181"/>
  <w:drawingGridVerticalSpacing w:val="181"/>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481576E-122C-49A5-86AB-56DF03D8AEA9"/>
    <w:docVar w:name="LW_COVERPAGE_TYPE" w:val="1"/>
    <w:docVar w:name="LW_CROSSREFERENCE" w:val="{SWD(2026) 180 final}"/>
    <w:docVar w:name="LW_DocType" w:val="NORMAL"/>
    <w:docVar w:name="LW_EMISSION" w:val="13.7.2026"/>
    <w:docVar w:name="LW_EMISSION_ISODATE" w:val="2026-07-13"/>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formément à l\u8217?article 278 &lt;FMT:Italic&gt;bis&lt;/FMT&gt; du code des douanes de l\u8217?Union Union sur les progrès réalisés dans le développement des systèmes électroniques prévus dans le code_x000b_"/>
    <w:docVar w:name="LW_TYPE.DOC.CP" w:val="RAPPORT DE LA COMMISSION AU PARLEMENT EUROPÉEN ET AU CONSEIL"/>
    <w:docVar w:name="LwApiVersions" w:val="LW4CoDe 1.24.5.0; LW 9.2, Build 20251112"/>
  </w:docVars>
  <w:rsids>
    <w:rsidRoot w:val="00282B17"/>
    <w:rsid w:val="00000237"/>
    <w:rsid w:val="00000264"/>
    <w:rsid w:val="000002EE"/>
    <w:rsid w:val="00000A95"/>
    <w:rsid w:val="00000DAA"/>
    <w:rsid w:val="00000F00"/>
    <w:rsid w:val="00001081"/>
    <w:rsid w:val="00001474"/>
    <w:rsid w:val="00001793"/>
    <w:rsid w:val="00001A69"/>
    <w:rsid w:val="00001AB0"/>
    <w:rsid w:val="00001D18"/>
    <w:rsid w:val="0000204A"/>
    <w:rsid w:val="0000220A"/>
    <w:rsid w:val="00002358"/>
    <w:rsid w:val="00002C18"/>
    <w:rsid w:val="0000393F"/>
    <w:rsid w:val="00003A29"/>
    <w:rsid w:val="00003A35"/>
    <w:rsid w:val="00003AB9"/>
    <w:rsid w:val="00003BEB"/>
    <w:rsid w:val="00003FB3"/>
    <w:rsid w:val="00003FB4"/>
    <w:rsid w:val="00004510"/>
    <w:rsid w:val="00004575"/>
    <w:rsid w:val="00004F8B"/>
    <w:rsid w:val="000054F8"/>
    <w:rsid w:val="000055E4"/>
    <w:rsid w:val="000056AF"/>
    <w:rsid w:val="0000596C"/>
    <w:rsid w:val="00005998"/>
    <w:rsid w:val="00005A8E"/>
    <w:rsid w:val="00005E07"/>
    <w:rsid w:val="00005FBC"/>
    <w:rsid w:val="0000612E"/>
    <w:rsid w:val="00006245"/>
    <w:rsid w:val="0000640C"/>
    <w:rsid w:val="0000640F"/>
    <w:rsid w:val="00006A51"/>
    <w:rsid w:val="00006A67"/>
    <w:rsid w:val="00006FF9"/>
    <w:rsid w:val="000071AE"/>
    <w:rsid w:val="00007220"/>
    <w:rsid w:val="0000728A"/>
    <w:rsid w:val="0000793A"/>
    <w:rsid w:val="0000799C"/>
    <w:rsid w:val="000079B2"/>
    <w:rsid w:val="000079C1"/>
    <w:rsid w:val="00007EC6"/>
    <w:rsid w:val="00010786"/>
    <w:rsid w:val="00010960"/>
    <w:rsid w:val="00010EE6"/>
    <w:rsid w:val="00011181"/>
    <w:rsid w:val="00011823"/>
    <w:rsid w:val="0001183A"/>
    <w:rsid w:val="00011F18"/>
    <w:rsid w:val="000120A1"/>
    <w:rsid w:val="000121E3"/>
    <w:rsid w:val="000121F1"/>
    <w:rsid w:val="000129DF"/>
    <w:rsid w:val="00013583"/>
    <w:rsid w:val="000137BB"/>
    <w:rsid w:val="00013B61"/>
    <w:rsid w:val="00013B85"/>
    <w:rsid w:val="0001459C"/>
    <w:rsid w:val="00014C1B"/>
    <w:rsid w:val="00014E1B"/>
    <w:rsid w:val="00014E3F"/>
    <w:rsid w:val="00015109"/>
    <w:rsid w:val="000159F0"/>
    <w:rsid w:val="00015A86"/>
    <w:rsid w:val="00015B2E"/>
    <w:rsid w:val="00015DF0"/>
    <w:rsid w:val="00015E06"/>
    <w:rsid w:val="00016429"/>
    <w:rsid w:val="00016584"/>
    <w:rsid w:val="00017236"/>
    <w:rsid w:val="000172C9"/>
    <w:rsid w:val="00017763"/>
    <w:rsid w:val="000178CF"/>
    <w:rsid w:val="000203AC"/>
    <w:rsid w:val="00020640"/>
    <w:rsid w:val="000207CE"/>
    <w:rsid w:val="00020A9F"/>
    <w:rsid w:val="00020B4D"/>
    <w:rsid w:val="00020CDA"/>
    <w:rsid w:val="000212BC"/>
    <w:rsid w:val="00021404"/>
    <w:rsid w:val="0002180A"/>
    <w:rsid w:val="00021A0D"/>
    <w:rsid w:val="0002284A"/>
    <w:rsid w:val="000229D2"/>
    <w:rsid w:val="00022CC1"/>
    <w:rsid w:val="00022EEB"/>
    <w:rsid w:val="0002303E"/>
    <w:rsid w:val="00023229"/>
    <w:rsid w:val="00023503"/>
    <w:rsid w:val="00023BED"/>
    <w:rsid w:val="00023D55"/>
    <w:rsid w:val="00023E38"/>
    <w:rsid w:val="00023E5E"/>
    <w:rsid w:val="000242FC"/>
    <w:rsid w:val="00024580"/>
    <w:rsid w:val="0002464C"/>
    <w:rsid w:val="0002485A"/>
    <w:rsid w:val="000250A2"/>
    <w:rsid w:val="000253BA"/>
    <w:rsid w:val="00025653"/>
    <w:rsid w:val="000257CD"/>
    <w:rsid w:val="000257EB"/>
    <w:rsid w:val="000259AB"/>
    <w:rsid w:val="00025ADB"/>
    <w:rsid w:val="00026577"/>
    <w:rsid w:val="000267A6"/>
    <w:rsid w:val="000268C5"/>
    <w:rsid w:val="00026BA3"/>
    <w:rsid w:val="00026DB7"/>
    <w:rsid w:val="00026DBC"/>
    <w:rsid w:val="00026DF4"/>
    <w:rsid w:val="00026EB7"/>
    <w:rsid w:val="000273D1"/>
    <w:rsid w:val="00027493"/>
    <w:rsid w:val="000275C3"/>
    <w:rsid w:val="00027CBE"/>
    <w:rsid w:val="00027D35"/>
    <w:rsid w:val="00027E89"/>
    <w:rsid w:val="0003034E"/>
    <w:rsid w:val="000304E3"/>
    <w:rsid w:val="00030A88"/>
    <w:rsid w:val="00030BB7"/>
    <w:rsid w:val="00030E76"/>
    <w:rsid w:val="00031219"/>
    <w:rsid w:val="00031967"/>
    <w:rsid w:val="00031AC8"/>
    <w:rsid w:val="00031C2D"/>
    <w:rsid w:val="00031C7B"/>
    <w:rsid w:val="00031E3E"/>
    <w:rsid w:val="00032477"/>
    <w:rsid w:val="000325AF"/>
    <w:rsid w:val="000328A1"/>
    <w:rsid w:val="00032BFE"/>
    <w:rsid w:val="00033015"/>
    <w:rsid w:val="00033033"/>
    <w:rsid w:val="000332EF"/>
    <w:rsid w:val="000332F8"/>
    <w:rsid w:val="0003361F"/>
    <w:rsid w:val="0003368E"/>
    <w:rsid w:val="00033819"/>
    <w:rsid w:val="000339A5"/>
    <w:rsid w:val="00033B6F"/>
    <w:rsid w:val="000341EA"/>
    <w:rsid w:val="000346E2"/>
    <w:rsid w:val="00034D74"/>
    <w:rsid w:val="00034E79"/>
    <w:rsid w:val="00035059"/>
    <w:rsid w:val="00035395"/>
    <w:rsid w:val="00035637"/>
    <w:rsid w:val="00035DA4"/>
    <w:rsid w:val="00036857"/>
    <w:rsid w:val="00036A6E"/>
    <w:rsid w:val="0003703F"/>
    <w:rsid w:val="000371A6"/>
    <w:rsid w:val="00037421"/>
    <w:rsid w:val="00037616"/>
    <w:rsid w:val="00037710"/>
    <w:rsid w:val="0003788D"/>
    <w:rsid w:val="000378BC"/>
    <w:rsid w:val="000378E7"/>
    <w:rsid w:val="000379F0"/>
    <w:rsid w:val="00040152"/>
    <w:rsid w:val="000402E7"/>
    <w:rsid w:val="0004050E"/>
    <w:rsid w:val="0004054D"/>
    <w:rsid w:val="00040626"/>
    <w:rsid w:val="000406CC"/>
    <w:rsid w:val="00040A72"/>
    <w:rsid w:val="00041498"/>
    <w:rsid w:val="00041DA5"/>
    <w:rsid w:val="00042611"/>
    <w:rsid w:val="000428B3"/>
    <w:rsid w:val="00042EF9"/>
    <w:rsid w:val="00043180"/>
    <w:rsid w:val="00043461"/>
    <w:rsid w:val="000434F6"/>
    <w:rsid w:val="0004358B"/>
    <w:rsid w:val="00043697"/>
    <w:rsid w:val="00043866"/>
    <w:rsid w:val="00043B0E"/>
    <w:rsid w:val="0004433A"/>
    <w:rsid w:val="00044DBA"/>
    <w:rsid w:val="00045036"/>
    <w:rsid w:val="00045270"/>
    <w:rsid w:val="00046C5B"/>
    <w:rsid w:val="00046E43"/>
    <w:rsid w:val="00046ECE"/>
    <w:rsid w:val="00047040"/>
    <w:rsid w:val="00047E2A"/>
    <w:rsid w:val="00047F3E"/>
    <w:rsid w:val="000502BD"/>
    <w:rsid w:val="00050307"/>
    <w:rsid w:val="00051A8F"/>
    <w:rsid w:val="000520F8"/>
    <w:rsid w:val="0005236B"/>
    <w:rsid w:val="0005261E"/>
    <w:rsid w:val="00052BB6"/>
    <w:rsid w:val="00052C4D"/>
    <w:rsid w:val="00052E03"/>
    <w:rsid w:val="00053147"/>
    <w:rsid w:val="00053437"/>
    <w:rsid w:val="0005389A"/>
    <w:rsid w:val="000545C6"/>
    <w:rsid w:val="00054E7E"/>
    <w:rsid w:val="00055057"/>
    <w:rsid w:val="00055140"/>
    <w:rsid w:val="0005525D"/>
    <w:rsid w:val="000552DF"/>
    <w:rsid w:val="0005573F"/>
    <w:rsid w:val="00055BC4"/>
    <w:rsid w:val="00055CAE"/>
    <w:rsid w:val="00056CC7"/>
    <w:rsid w:val="00056DDA"/>
    <w:rsid w:val="00057479"/>
    <w:rsid w:val="0005769B"/>
    <w:rsid w:val="00057808"/>
    <w:rsid w:val="00057941"/>
    <w:rsid w:val="00057997"/>
    <w:rsid w:val="00057ADD"/>
    <w:rsid w:val="00057F63"/>
    <w:rsid w:val="00060352"/>
    <w:rsid w:val="00060CA1"/>
    <w:rsid w:val="00060FF1"/>
    <w:rsid w:val="0006106F"/>
    <w:rsid w:val="0006119E"/>
    <w:rsid w:val="00061D78"/>
    <w:rsid w:val="00061E1C"/>
    <w:rsid w:val="00062137"/>
    <w:rsid w:val="00062139"/>
    <w:rsid w:val="0006261A"/>
    <w:rsid w:val="00062685"/>
    <w:rsid w:val="00062DE0"/>
    <w:rsid w:val="0006318F"/>
    <w:rsid w:val="00063211"/>
    <w:rsid w:val="000633A2"/>
    <w:rsid w:val="00063A13"/>
    <w:rsid w:val="00063D55"/>
    <w:rsid w:val="000640FF"/>
    <w:rsid w:val="0006457B"/>
    <w:rsid w:val="00064608"/>
    <w:rsid w:val="0006461C"/>
    <w:rsid w:val="00064DD7"/>
    <w:rsid w:val="00064F81"/>
    <w:rsid w:val="00065247"/>
    <w:rsid w:val="000653DC"/>
    <w:rsid w:val="000657E8"/>
    <w:rsid w:val="00065C49"/>
    <w:rsid w:val="00065E4A"/>
    <w:rsid w:val="0006630C"/>
    <w:rsid w:val="00066593"/>
    <w:rsid w:val="000667D9"/>
    <w:rsid w:val="00066869"/>
    <w:rsid w:val="00066B22"/>
    <w:rsid w:val="00066D28"/>
    <w:rsid w:val="00066D37"/>
    <w:rsid w:val="0006746F"/>
    <w:rsid w:val="000674FE"/>
    <w:rsid w:val="00067563"/>
    <w:rsid w:val="00067900"/>
    <w:rsid w:val="000679C8"/>
    <w:rsid w:val="00067B05"/>
    <w:rsid w:val="00067D61"/>
    <w:rsid w:val="00067EBE"/>
    <w:rsid w:val="000701A4"/>
    <w:rsid w:val="0007083D"/>
    <w:rsid w:val="000708C5"/>
    <w:rsid w:val="00070B3F"/>
    <w:rsid w:val="000713B2"/>
    <w:rsid w:val="0007141F"/>
    <w:rsid w:val="00071E3D"/>
    <w:rsid w:val="000720C5"/>
    <w:rsid w:val="000728F1"/>
    <w:rsid w:val="00072948"/>
    <w:rsid w:val="00072A56"/>
    <w:rsid w:val="00072B2E"/>
    <w:rsid w:val="000730E0"/>
    <w:rsid w:val="00073421"/>
    <w:rsid w:val="0007410F"/>
    <w:rsid w:val="000746BD"/>
    <w:rsid w:val="0007474E"/>
    <w:rsid w:val="000747A1"/>
    <w:rsid w:val="00074E38"/>
    <w:rsid w:val="000753FE"/>
    <w:rsid w:val="00075A0B"/>
    <w:rsid w:val="00075F9D"/>
    <w:rsid w:val="000760CF"/>
    <w:rsid w:val="000763A5"/>
    <w:rsid w:val="000765E6"/>
    <w:rsid w:val="00076708"/>
    <w:rsid w:val="000768C1"/>
    <w:rsid w:val="00076944"/>
    <w:rsid w:val="00076D5D"/>
    <w:rsid w:val="000776DA"/>
    <w:rsid w:val="000777EE"/>
    <w:rsid w:val="000778C7"/>
    <w:rsid w:val="000779BE"/>
    <w:rsid w:val="00077EAB"/>
    <w:rsid w:val="000802E9"/>
    <w:rsid w:val="00080404"/>
    <w:rsid w:val="00080890"/>
    <w:rsid w:val="0008110A"/>
    <w:rsid w:val="00081192"/>
    <w:rsid w:val="000812F3"/>
    <w:rsid w:val="000813FC"/>
    <w:rsid w:val="000814D3"/>
    <w:rsid w:val="000815A3"/>
    <w:rsid w:val="0008178B"/>
    <w:rsid w:val="00081A9D"/>
    <w:rsid w:val="000825DD"/>
    <w:rsid w:val="000828B0"/>
    <w:rsid w:val="00082B7C"/>
    <w:rsid w:val="00082E23"/>
    <w:rsid w:val="000830DC"/>
    <w:rsid w:val="00083311"/>
    <w:rsid w:val="000837EC"/>
    <w:rsid w:val="00084D89"/>
    <w:rsid w:val="00085654"/>
    <w:rsid w:val="0008578F"/>
    <w:rsid w:val="00085AA4"/>
    <w:rsid w:val="00085C8C"/>
    <w:rsid w:val="00085D36"/>
    <w:rsid w:val="00085D97"/>
    <w:rsid w:val="000861D5"/>
    <w:rsid w:val="00086A18"/>
    <w:rsid w:val="00086A3C"/>
    <w:rsid w:val="0008728F"/>
    <w:rsid w:val="000872DA"/>
    <w:rsid w:val="00087449"/>
    <w:rsid w:val="00087B52"/>
    <w:rsid w:val="00087F49"/>
    <w:rsid w:val="0008E133"/>
    <w:rsid w:val="0009022C"/>
    <w:rsid w:val="00090242"/>
    <w:rsid w:val="000908E0"/>
    <w:rsid w:val="00090929"/>
    <w:rsid w:val="00090CC3"/>
    <w:rsid w:val="00090F98"/>
    <w:rsid w:val="00091333"/>
    <w:rsid w:val="00091375"/>
    <w:rsid w:val="00091402"/>
    <w:rsid w:val="00091BF5"/>
    <w:rsid w:val="00091CFE"/>
    <w:rsid w:val="00092163"/>
    <w:rsid w:val="0009227C"/>
    <w:rsid w:val="000926B4"/>
    <w:rsid w:val="00092D5F"/>
    <w:rsid w:val="000933BF"/>
    <w:rsid w:val="00093456"/>
    <w:rsid w:val="000934A8"/>
    <w:rsid w:val="00093C34"/>
    <w:rsid w:val="0009460F"/>
    <w:rsid w:val="0009475F"/>
    <w:rsid w:val="00094BE7"/>
    <w:rsid w:val="00094D66"/>
    <w:rsid w:val="00095097"/>
    <w:rsid w:val="00095140"/>
    <w:rsid w:val="00095164"/>
    <w:rsid w:val="00095175"/>
    <w:rsid w:val="00095608"/>
    <w:rsid w:val="00095EE1"/>
    <w:rsid w:val="0009616E"/>
    <w:rsid w:val="00096B0B"/>
    <w:rsid w:val="00096BC5"/>
    <w:rsid w:val="00096BCA"/>
    <w:rsid w:val="00096D18"/>
    <w:rsid w:val="00096EBA"/>
    <w:rsid w:val="000974F0"/>
    <w:rsid w:val="00097B06"/>
    <w:rsid w:val="00097BFC"/>
    <w:rsid w:val="00097C37"/>
    <w:rsid w:val="000A00EF"/>
    <w:rsid w:val="000A0363"/>
    <w:rsid w:val="000A0AA9"/>
    <w:rsid w:val="000A0B3F"/>
    <w:rsid w:val="000A1A23"/>
    <w:rsid w:val="000A1B8C"/>
    <w:rsid w:val="000A1BA8"/>
    <w:rsid w:val="000A2049"/>
    <w:rsid w:val="000A23A2"/>
    <w:rsid w:val="000A29E9"/>
    <w:rsid w:val="000A2DFF"/>
    <w:rsid w:val="000A2FEA"/>
    <w:rsid w:val="000A3646"/>
    <w:rsid w:val="000A37A1"/>
    <w:rsid w:val="000A3820"/>
    <w:rsid w:val="000A3F22"/>
    <w:rsid w:val="000A3F8B"/>
    <w:rsid w:val="000A44F4"/>
    <w:rsid w:val="000A4798"/>
    <w:rsid w:val="000A4D48"/>
    <w:rsid w:val="000A4DDD"/>
    <w:rsid w:val="000A505A"/>
    <w:rsid w:val="000A5282"/>
    <w:rsid w:val="000A5B69"/>
    <w:rsid w:val="000A5C1C"/>
    <w:rsid w:val="000A5E61"/>
    <w:rsid w:val="000A6629"/>
    <w:rsid w:val="000A690D"/>
    <w:rsid w:val="000A6BC7"/>
    <w:rsid w:val="000A739D"/>
    <w:rsid w:val="000A75B2"/>
    <w:rsid w:val="000A779C"/>
    <w:rsid w:val="000A7816"/>
    <w:rsid w:val="000A7929"/>
    <w:rsid w:val="000A79A2"/>
    <w:rsid w:val="000A7A6D"/>
    <w:rsid w:val="000A7CFD"/>
    <w:rsid w:val="000B0213"/>
    <w:rsid w:val="000B101F"/>
    <w:rsid w:val="000B1343"/>
    <w:rsid w:val="000B138A"/>
    <w:rsid w:val="000B1841"/>
    <w:rsid w:val="000B1A3E"/>
    <w:rsid w:val="000B1EA7"/>
    <w:rsid w:val="000B2000"/>
    <w:rsid w:val="000B2065"/>
    <w:rsid w:val="000B2119"/>
    <w:rsid w:val="000B2B08"/>
    <w:rsid w:val="000B2BA7"/>
    <w:rsid w:val="000B31F8"/>
    <w:rsid w:val="000B324C"/>
    <w:rsid w:val="000B3454"/>
    <w:rsid w:val="000B3521"/>
    <w:rsid w:val="000B385C"/>
    <w:rsid w:val="000B3A8D"/>
    <w:rsid w:val="000B416C"/>
    <w:rsid w:val="000B4583"/>
    <w:rsid w:val="000B45A9"/>
    <w:rsid w:val="000B48F5"/>
    <w:rsid w:val="000B4AFB"/>
    <w:rsid w:val="000B4EC6"/>
    <w:rsid w:val="000B4FB2"/>
    <w:rsid w:val="000B52CF"/>
    <w:rsid w:val="000B5787"/>
    <w:rsid w:val="000B5F1F"/>
    <w:rsid w:val="000B5F69"/>
    <w:rsid w:val="000B5FCF"/>
    <w:rsid w:val="000B6376"/>
    <w:rsid w:val="000B6947"/>
    <w:rsid w:val="000B6E23"/>
    <w:rsid w:val="000B76E3"/>
    <w:rsid w:val="000B7E8A"/>
    <w:rsid w:val="000C00F1"/>
    <w:rsid w:val="000C06E2"/>
    <w:rsid w:val="000C08D0"/>
    <w:rsid w:val="000C0FE2"/>
    <w:rsid w:val="000C10B0"/>
    <w:rsid w:val="000C1111"/>
    <w:rsid w:val="000C125D"/>
    <w:rsid w:val="000C14D3"/>
    <w:rsid w:val="000C15A5"/>
    <w:rsid w:val="000C1989"/>
    <w:rsid w:val="000C23CE"/>
    <w:rsid w:val="000C2822"/>
    <w:rsid w:val="000C2855"/>
    <w:rsid w:val="000C288A"/>
    <w:rsid w:val="000C2E0A"/>
    <w:rsid w:val="000C3317"/>
    <w:rsid w:val="000C3470"/>
    <w:rsid w:val="000C34E2"/>
    <w:rsid w:val="000C3982"/>
    <w:rsid w:val="000C3D4F"/>
    <w:rsid w:val="000C3D8C"/>
    <w:rsid w:val="000C4572"/>
    <w:rsid w:val="000C45C8"/>
    <w:rsid w:val="000C4773"/>
    <w:rsid w:val="000C4E3A"/>
    <w:rsid w:val="000C4F0F"/>
    <w:rsid w:val="000C502E"/>
    <w:rsid w:val="000C51AB"/>
    <w:rsid w:val="000C528F"/>
    <w:rsid w:val="000C5462"/>
    <w:rsid w:val="000C595C"/>
    <w:rsid w:val="000C5AFD"/>
    <w:rsid w:val="000C61E1"/>
    <w:rsid w:val="000C629D"/>
    <w:rsid w:val="000C6321"/>
    <w:rsid w:val="000C6844"/>
    <w:rsid w:val="000C6AA3"/>
    <w:rsid w:val="000C73E4"/>
    <w:rsid w:val="000C73EE"/>
    <w:rsid w:val="000C7A69"/>
    <w:rsid w:val="000C7F93"/>
    <w:rsid w:val="000D0B3A"/>
    <w:rsid w:val="000D0CB0"/>
    <w:rsid w:val="000D11F9"/>
    <w:rsid w:val="000D12ED"/>
    <w:rsid w:val="000D136C"/>
    <w:rsid w:val="000D2968"/>
    <w:rsid w:val="000D29BF"/>
    <w:rsid w:val="000D3059"/>
    <w:rsid w:val="000D3291"/>
    <w:rsid w:val="000D3337"/>
    <w:rsid w:val="000D35D2"/>
    <w:rsid w:val="000D383E"/>
    <w:rsid w:val="000D3BC4"/>
    <w:rsid w:val="000D3BEF"/>
    <w:rsid w:val="000D40FA"/>
    <w:rsid w:val="000D41FD"/>
    <w:rsid w:val="000D44E7"/>
    <w:rsid w:val="000D4517"/>
    <w:rsid w:val="000D45D7"/>
    <w:rsid w:val="000D4A51"/>
    <w:rsid w:val="000D4A68"/>
    <w:rsid w:val="000D528A"/>
    <w:rsid w:val="000D5CC5"/>
    <w:rsid w:val="000D63FB"/>
    <w:rsid w:val="000D6A9A"/>
    <w:rsid w:val="000D6D74"/>
    <w:rsid w:val="000D6ED3"/>
    <w:rsid w:val="000D724A"/>
    <w:rsid w:val="000D73EC"/>
    <w:rsid w:val="000D755F"/>
    <w:rsid w:val="000D767F"/>
    <w:rsid w:val="000D7B31"/>
    <w:rsid w:val="000E053D"/>
    <w:rsid w:val="000E055A"/>
    <w:rsid w:val="000E0CE8"/>
    <w:rsid w:val="000E0EAF"/>
    <w:rsid w:val="000E11DB"/>
    <w:rsid w:val="000E1644"/>
    <w:rsid w:val="000E1833"/>
    <w:rsid w:val="000E20E0"/>
    <w:rsid w:val="000E2264"/>
    <w:rsid w:val="000E281B"/>
    <w:rsid w:val="000E2B5B"/>
    <w:rsid w:val="000E33C7"/>
    <w:rsid w:val="000E34D7"/>
    <w:rsid w:val="000E359D"/>
    <w:rsid w:val="000E3B92"/>
    <w:rsid w:val="000E47DC"/>
    <w:rsid w:val="000E50DB"/>
    <w:rsid w:val="000E5396"/>
    <w:rsid w:val="000E55B3"/>
    <w:rsid w:val="000E60A7"/>
    <w:rsid w:val="000E640C"/>
    <w:rsid w:val="000E6502"/>
    <w:rsid w:val="000E6F49"/>
    <w:rsid w:val="000E7313"/>
    <w:rsid w:val="000E7374"/>
    <w:rsid w:val="000E76BE"/>
    <w:rsid w:val="000E7CC5"/>
    <w:rsid w:val="000E7E3C"/>
    <w:rsid w:val="000E9427"/>
    <w:rsid w:val="000F015B"/>
    <w:rsid w:val="000F0937"/>
    <w:rsid w:val="000F0BD7"/>
    <w:rsid w:val="000F0CED"/>
    <w:rsid w:val="000F0DDA"/>
    <w:rsid w:val="000F15D7"/>
    <w:rsid w:val="000F1AC1"/>
    <w:rsid w:val="000F1F6B"/>
    <w:rsid w:val="000F2CD3"/>
    <w:rsid w:val="000F36A9"/>
    <w:rsid w:val="000F3FD9"/>
    <w:rsid w:val="000F4073"/>
    <w:rsid w:val="000F439A"/>
    <w:rsid w:val="000F491B"/>
    <w:rsid w:val="000F4CB7"/>
    <w:rsid w:val="000F52E2"/>
    <w:rsid w:val="000F5C10"/>
    <w:rsid w:val="000F5EC6"/>
    <w:rsid w:val="000F634C"/>
    <w:rsid w:val="000F642C"/>
    <w:rsid w:val="000F657C"/>
    <w:rsid w:val="000F66B3"/>
    <w:rsid w:val="000F6822"/>
    <w:rsid w:val="000F736C"/>
    <w:rsid w:val="000F76CB"/>
    <w:rsid w:val="00100482"/>
    <w:rsid w:val="00100858"/>
    <w:rsid w:val="00101266"/>
    <w:rsid w:val="00101A25"/>
    <w:rsid w:val="00101EB4"/>
    <w:rsid w:val="0010281E"/>
    <w:rsid w:val="0010287A"/>
    <w:rsid w:val="00102B71"/>
    <w:rsid w:val="00102E7F"/>
    <w:rsid w:val="0010303E"/>
    <w:rsid w:val="001033BB"/>
    <w:rsid w:val="00103D65"/>
    <w:rsid w:val="0010409F"/>
    <w:rsid w:val="00104319"/>
    <w:rsid w:val="001045F0"/>
    <w:rsid w:val="001050F9"/>
    <w:rsid w:val="00105477"/>
    <w:rsid w:val="00105670"/>
    <w:rsid w:val="00105933"/>
    <w:rsid w:val="00105A28"/>
    <w:rsid w:val="00105ACF"/>
    <w:rsid w:val="00106026"/>
    <w:rsid w:val="001060F7"/>
    <w:rsid w:val="00106D9B"/>
    <w:rsid w:val="00107347"/>
    <w:rsid w:val="0010738B"/>
    <w:rsid w:val="001073B1"/>
    <w:rsid w:val="00107665"/>
    <w:rsid w:val="00107A2D"/>
    <w:rsid w:val="00107B39"/>
    <w:rsid w:val="001104BC"/>
    <w:rsid w:val="0011067F"/>
    <w:rsid w:val="001106CE"/>
    <w:rsid w:val="00110AFA"/>
    <w:rsid w:val="00110BD3"/>
    <w:rsid w:val="00110C5B"/>
    <w:rsid w:val="00111274"/>
    <w:rsid w:val="00111C79"/>
    <w:rsid w:val="00111D3B"/>
    <w:rsid w:val="00111D46"/>
    <w:rsid w:val="00111F26"/>
    <w:rsid w:val="00112C7C"/>
    <w:rsid w:val="00112D07"/>
    <w:rsid w:val="00112FDD"/>
    <w:rsid w:val="00113049"/>
    <w:rsid w:val="00113517"/>
    <w:rsid w:val="00113573"/>
    <w:rsid w:val="00113EF9"/>
    <w:rsid w:val="0011424C"/>
    <w:rsid w:val="001142AE"/>
    <w:rsid w:val="001145F9"/>
    <w:rsid w:val="00114929"/>
    <w:rsid w:val="001149A9"/>
    <w:rsid w:val="00114A06"/>
    <w:rsid w:val="00114A95"/>
    <w:rsid w:val="00114FBB"/>
    <w:rsid w:val="00115086"/>
    <w:rsid w:val="00115654"/>
    <w:rsid w:val="001159C5"/>
    <w:rsid w:val="00115BC3"/>
    <w:rsid w:val="00115EFC"/>
    <w:rsid w:val="00115F9B"/>
    <w:rsid w:val="00116216"/>
    <w:rsid w:val="001163EA"/>
    <w:rsid w:val="001163F5"/>
    <w:rsid w:val="00116449"/>
    <w:rsid w:val="001168A0"/>
    <w:rsid w:val="00116EF0"/>
    <w:rsid w:val="001177F4"/>
    <w:rsid w:val="001201CC"/>
    <w:rsid w:val="001206D9"/>
    <w:rsid w:val="0012085D"/>
    <w:rsid w:val="00120883"/>
    <w:rsid w:val="001211C1"/>
    <w:rsid w:val="001211F6"/>
    <w:rsid w:val="0012130C"/>
    <w:rsid w:val="00121CA7"/>
    <w:rsid w:val="00121F5B"/>
    <w:rsid w:val="00121F5F"/>
    <w:rsid w:val="00122558"/>
    <w:rsid w:val="001226E6"/>
    <w:rsid w:val="0012284A"/>
    <w:rsid w:val="00122A83"/>
    <w:rsid w:val="00122C76"/>
    <w:rsid w:val="00122DCF"/>
    <w:rsid w:val="00122FB0"/>
    <w:rsid w:val="0012316F"/>
    <w:rsid w:val="001235C2"/>
    <w:rsid w:val="00123660"/>
    <w:rsid w:val="00123930"/>
    <w:rsid w:val="00123E71"/>
    <w:rsid w:val="00124215"/>
    <w:rsid w:val="001245EE"/>
    <w:rsid w:val="001246DE"/>
    <w:rsid w:val="00124C68"/>
    <w:rsid w:val="00125295"/>
    <w:rsid w:val="0012590C"/>
    <w:rsid w:val="00125CD9"/>
    <w:rsid w:val="00125F00"/>
    <w:rsid w:val="00125F30"/>
    <w:rsid w:val="001267CC"/>
    <w:rsid w:val="00126814"/>
    <w:rsid w:val="001268F3"/>
    <w:rsid w:val="00126A26"/>
    <w:rsid w:val="00126A3F"/>
    <w:rsid w:val="00127064"/>
    <w:rsid w:val="00127197"/>
    <w:rsid w:val="001271E7"/>
    <w:rsid w:val="00127F1C"/>
    <w:rsid w:val="00130463"/>
    <w:rsid w:val="00130772"/>
    <w:rsid w:val="00130CD8"/>
    <w:rsid w:val="00130FC0"/>
    <w:rsid w:val="001314AC"/>
    <w:rsid w:val="0013175C"/>
    <w:rsid w:val="00131C67"/>
    <w:rsid w:val="00131CD5"/>
    <w:rsid w:val="0013267C"/>
    <w:rsid w:val="001326AD"/>
    <w:rsid w:val="00132B45"/>
    <w:rsid w:val="00132FBF"/>
    <w:rsid w:val="001332FF"/>
    <w:rsid w:val="00133434"/>
    <w:rsid w:val="001337CB"/>
    <w:rsid w:val="00133BB3"/>
    <w:rsid w:val="00133E69"/>
    <w:rsid w:val="0013402E"/>
    <w:rsid w:val="00134225"/>
    <w:rsid w:val="00134543"/>
    <w:rsid w:val="00134C83"/>
    <w:rsid w:val="00134F74"/>
    <w:rsid w:val="0013539A"/>
    <w:rsid w:val="0013541C"/>
    <w:rsid w:val="0013562E"/>
    <w:rsid w:val="00135A86"/>
    <w:rsid w:val="00135ACC"/>
    <w:rsid w:val="00135D6D"/>
    <w:rsid w:val="001367E1"/>
    <w:rsid w:val="00136926"/>
    <w:rsid w:val="001369BE"/>
    <w:rsid w:val="00136D0A"/>
    <w:rsid w:val="00136F12"/>
    <w:rsid w:val="00136FB0"/>
    <w:rsid w:val="001370AE"/>
    <w:rsid w:val="001377EA"/>
    <w:rsid w:val="0014010E"/>
    <w:rsid w:val="00140496"/>
    <w:rsid w:val="00140593"/>
    <w:rsid w:val="00140985"/>
    <w:rsid w:val="00140A3C"/>
    <w:rsid w:val="00140C80"/>
    <w:rsid w:val="00140F94"/>
    <w:rsid w:val="00140FD3"/>
    <w:rsid w:val="001410A4"/>
    <w:rsid w:val="00141387"/>
    <w:rsid w:val="00141A7A"/>
    <w:rsid w:val="00141B90"/>
    <w:rsid w:val="00141EAE"/>
    <w:rsid w:val="0014207A"/>
    <w:rsid w:val="00142B48"/>
    <w:rsid w:val="00142E7A"/>
    <w:rsid w:val="001431AA"/>
    <w:rsid w:val="00143B04"/>
    <w:rsid w:val="00143D25"/>
    <w:rsid w:val="00143D84"/>
    <w:rsid w:val="001446F2"/>
    <w:rsid w:val="00144983"/>
    <w:rsid w:val="00144A2F"/>
    <w:rsid w:val="00144A5A"/>
    <w:rsid w:val="00144FCD"/>
    <w:rsid w:val="00144FD2"/>
    <w:rsid w:val="001454F5"/>
    <w:rsid w:val="00145F38"/>
    <w:rsid w:val="001468CC"/>
    <w:rsid w:val="0014729E"/>
    <w:rsid w:val="00147355"/>
    <w:rsid w:val="001473B7"/>
    <w:rsid w:val="0014780B"/>
    <w:rsid w:val="00147844"/>
    <w:rsid w:val="001478E5"/>
    <w:rsid w:val="00147F45"/>
    <w:rsid w:val="00147FF6"/>
    <w:rsid w:val="0015000E"/>
    <w:rsid w:val="001504B6"/>
    <w:rsid w:val="0015073E"/>
    <w:rsid w:val="001507B5"/>
    <w:rsid w:val="00150AA4"/>
    <w:rsid w:val="00150BA7"/>
    <w:rsid w:val="00150C5A"/>
    <w:rsid w:val="00150C7C"/>
    <w:rsid w:val="001512BE"/>
    <w:rsid w:val="001519B6"/>
    <w:rsid w:val="00151DE6"/>
    <w:rsid w:val="00151F1D"/>
    <w:rsid w:val="0015207F"/>
    <w:rsid w:val="001520CC"/>
    <w:rsid w:val="001521FE"/>
    <w:rsid w:val="00152C51"/>
    <w:rsid w:val="00152DCE"/>
    <w:rsid w:val="00153801"/>
    <w:rsid w:val="00153B54"/>
    <w:rsid w:val="00153F05"/>
    <w:rsid w:val="001541C1"/>
    <w:rsid w:val="001541D6"/>
    <w:rsid w:val="00154304"/>
    <w:rsid w:val="0015439F"/>
    <w:rsid w:val="0015464D"/>
    <w:rsid w:val="00154671"/>
    <w:rsid w:val="001546FF"/>
    <w:rsid w:val="00154823"/>
    <w:rsid w:val="001548B5"/>
    <w:rsid w:val="00154A8E"/>
    <w:rsid w:val="001555E8"/>
    <w:rsid w:val="00155C7B"/>
    <w:rsid w:val="00156680"/>
    <w:rsid w:val="0015679C"/>
    <w:rsid w:val="00156958"/>
    <w:rsid w:val="00156BFD"/>
    <w:rsid w:val="00156DE8"/>
    <w:rsid w:val="00156F79"/>
    <w:rsid w:val="001578E3"/>
    <w:rsid w:val="00157AA8"/>
    <w:rsid w:val="00157C2B"/>
    <w:rsid w:val="00157CAB"/>
    <w:rsid w:val="0016024E"/>
    <w:rsid w:val="001602FC"/>
    <w:rsid w:val="001605A8"/>
    <w:rsid w:val="00160AE3"/>
    <w:rsid w:val="00160D6E"/>
    <w:rsid w:val="00160F42"/>
    <w:rsid w:val="001613BB"/>
    <w:rsid w:val="00161D35"/>
    <w:rsid w:val="001623E1"/>
    <w:rsid w:val="001623E9"/>
    <w:rsid w:val="00162888"/>
    <w:rsid w:val="00162F3F"/>
    <w:rsid w:val="001631AF"/>
    <w:rsid w:val="001634DC"/>
    <w:rsid w:val="00163C6E"/>
    <w:rsid w:val="00163D4F"/>
    <w:rsid w:val="00163E03"/>
    <w:rsid w:val="00163F3D"/>
    <w:rsid w:val="001642F3"/>
    <w:rsid w:val="0016436D"/>
    <w:rsid w:val="00164546"/>
    <w:rsid w:val="00164628"/>
    <w:rsid w:val="0016468D"/>
    <w:rsid w:val="001649B0"/>
    <w:rsid w:val="001649B6"/>
    <w:rsid w:val="001649D1"/>
    <w:rsid w:val="00164C05"/>
    <w:rsid w:val="001657D6"/>
    <w:rsid w:val="001658CF"/>
    <w:rsid w:val="00165A9F"/>
    <w:rsid w:val="00165D47"/>
    <w:rsid w:val="0016686D"/>
    <w:rsid w:val="00167020"/>
    <w:rsid w:val="00167255"/>
    <w:rsid w:val="0016766C"/>
    <w:rsid w:val="00167A22"/>
    <w:rsid w:val="00167ADE"/>
    <w:rsid w:val="001702EA"/>
    <w:rsid w:val="0017070C"/>
    <w:rsid w:val="001708B9"/>
    <w:rsid w:val="00170983"/>
    <w:rsid w:val="00170C7D"/>
    <w:rsid w:val="00170EAE"/>
    <w:rsid w:val="001711D3"/>
    <w:rsid w:val="00171479"/>
    <w:rsid w:val="00172857"/>
    <w:rsid w:val="00172FBF"/>
    <w:rsid w:val="001731AF"/>
    <w:rsid w:val="001734DA"/>
    <w:rsid w:val="00173826"/>
    <w:rsid w:val="00173D3B"/>
    <w:rsid w:val="00174140"/>
    <w:rsid w:val="0017420D"/>
    <w:rsid w:val="00174518"/>
    <w:rsid w:val="0017466F"/>
    <w:rsid w:val="001746BD"/>
    <w:rsid w:val="00174731"/>
    <w:rsid w:val="001754A3"/>
    <w:rsid w:val="0017552E"/>
    <w:rsid w:val="00175C89"/>
    <w:rsid w:val="00175FA3"/>
    <w:rsid w:val="001763F9"/>
    <w:rsid w:val="001767E3"/>
    <w:rsid w:val="001772DA"/>
    <w:rsid w:val="00177540"/>
    <w:rsid w:val="00177576"/>
    <w:rsid w:val="00177586"/>
    <w:rsid w:val="00177A2D"/>
    <w:rsid w:val="00177C27"/>
    <w:rsid w:val="0017C36B"/>
    <w:rsid w:val="00180122"/>
    <w:rsid w:val="001804C1"/>
    <w:rsid w:val="00180738"/>
    <w:rsid w:val="00180EC8"/>
    <w:rsid w:val="00180FD9"/>
    <w:rsid w:val="001813BA"/>
    <w:rsid w:val="001816D8"/>
    <w:rsid w:val="00181BC0"/>
    <w:rsid w:val="0018211F"/>
    <w:rsid w:val="00182711"/>
    <w:rsid w:val="0018290B"/>
    <w:rsid w:val="00182C09"/>
    <w:rsid w:val="00182D1F"/>
    <w:rsid w:val="001831E9"/>
    <w:rsid w:val="001832E9"/>
    <w:rsid w:val="001836B6"/>
    <w:rsid w:val="00183740"/>
    <w:rsid w:val="00183BA2"/>
    <w:rsid w:val="0018483F"/>
    <w:rsid w:val="00184A6B"/>
    <w:rsid w:val="00184EF4"/>
    <w:rsid w:val="00185217"/>
    <w:rsid w:val="001859F4"/>
    <w:rsid w:val="00185C52"/>
    <w:rsid w:val="001861CB"/>
    <w:rsid w:val="0018698B"/>
    <w:rsid w:val="00186C6F"/>
    <w:rsid w:val="00186C8C"/>
    <w:rsid w:val="00187461"/>
    <w:rsid w:val="00187DC1"/>
    <w:rsid w:val="0019041C"/>
    <w:rsid w:val="00191081"/>
    <w:rsid w:val="001911A0"/>
    <w:rsid w:val="00191F7E"/>
    <w:rsid w:val="0019234F"/>
    <w:rsid w:val="00192CCF"/>
    <w:rsid w:val="001930A1"/>
    <w:rsid w:val="00193284"/>
    <w:rsid w:val="001933AC"/>
    <w:rsid w:val="001933D2"/>
    <w:rsid w:val="001933EF"/>
    <w:rsid w:val="0019386E"/>
    <w:rsid w:val="001940F3"/>
    <w:rsid w:val="001944E8"/>
    <w:rsid w:val="00194B0D"/>
    <w:rsid w:val="00195198"/>
    <w:rsid w:val="001957C1"/>
    <w:rsid w:val="00195B5E"/>
    <w:rsid w:val="00195CFE"/>
    <w:rsid w:val="001967E4"/>
    <w:rsid w:val="00196C11"/>
    <w:rsid w:val="00197199"/>
    <w:rsid w:val="0019767C"/>
    <w:rsid w:val="00197B69"/>
    <w:rsid w:val="00197C08"/>
    <w:rsid w:val="00197C0B"/>
    <w:rsid w:val="001A02BB"/>
    <w:rsid w:val="001A061E"/>
    <w:rsid w:val="001A078B"/>
    <w:rsid w:val="001A0A1C"/>
    <w:rsid w:val="001A0D72"/>
    <w:rsid w:val="001A0DA3"/>
    <w:rsid w:val="001A1491"/>
    <w:rsid w:val="001A185F"/>
    <w:rsid w:val="001A18F0"/>
    <w:rsid w:val="001A1EEF"/>
    <w:rsid w:val="001A25BF"/>
    <w:rsid w:val="001A2F2D"/>
    <w:rsid w:val="001A330F"/>
    <w:rsid w:val="001A3353"/>
    <w:rsid w:val="001A34F7"/>
    <w:rsid w:val="001A350A"/>
    <w:rsid w:val="001A3512"/>
    <w:rsid w:val="001A3DB7"/>
    <w:rsid w:val="001A44CE"/>
    <w:rsid w:val="001A4696"/>
    <w:rsid w:val="001A4B1A"/>
    <w:rsid w:val="001A4EA0"/>
    <w:rsid w:val="001A5044"/>
    <w:rsid w:val="001A5370"/>
    <w:rsid w:val="001A59BE"/>
    <w:rsid w:val="001A5E00"/>
    <w:rsid w:val="001A6039"/>
    <w:rsid w:val="001A6499"/>
    <w:rsid w:val="001A6926"/>
    <w:rsid w:val="001A6A40"/>
    <w:rsid w:val="001A6FA8"/>
    <w:rsid w:val="001A7BC7"/>
    <w:rsid w:val="001A7EDF"/>
    <w:rsid w:val="001B0AC9"/>
    <w:rsid w:val="001B0B9F"/>
    <w:rsid w:val="001B0C91"/>
    <w:rsid w:val="001B0CA9"/>
    <w:rsid w:val="001B0FFD"/>
    <w:rsid w:val="001B10A0"/>
    <w:rsid w:val="001B1249"/>
    <w:rsid w:val="001B2644"/>
    <w:rsid w:val="001B2926"/>
    <w:rsid w:val="001B2E1C"/>
    <w:rsid w:val="001B3181"/>
    <w:rsid w:val="001B33A7"/>
    <w:rsid w:val="001B33B7"/>
    <w:rsid w:val="001B34D8"/>
    <w:rsid w:val="001B37F6"/>
    <w:rsid w:val="001B3C8F"/>
    <w:rsid w:val="001B3DB8"/>
    <w:rsid w:val="001B3EF3"/>
    <w:rsid w:val="001B402A"/>
    <w:rsid w:val="001B4873"/>
    <w:rsid w:val="001B4C44"/>
    <w:rsid w:val="001B58E5"/>
    <w:rsid w:val="001B5BA1"/>
    <w:rsid w:val="001B5DB9"/>
    <w:rsid w:val="001B670B"/>
    <w:rsid w:val="001B6B66"/>
    <w:rsid w:val="001B6C9B"/>
    <w:rsid w:val="001B6EBA"/>
    <w:rsid w:val="001B6F61"/>
    <w:rsid w:val="001B7603"/>
    <w:rsid w:val="001B7796"/>
    <w:rsid w:val="001B7BEA"/>
    <w:rsid w:val="001B7F07"/>
    <w:rsid w:val="001C02F2"/>
    <w:rsid w:val="001C04E2"/>
    <w:rsid w:val="001C08D3"/>
    <w:rsid w:val="001C0950"/>
    <w:rsid w:val="001C0F13"/>
    <w:rsid w:val="001C12AA"/>
    <w:rsid w:val="001C16E1"/>
    <w:rsid w:val="001C1FF9"/>
    <w:rsid w:val="001C2054"/>
    <w:rsid w:val="001C21BD"/>
    <w:rsid w:val="001C21F5"/>
    <w:rsid w:val="001C25E3"/>
    <w:rsid w:val="001C26E8"/>
    <w:rsid w:val="001C29E2"/>
    <w:rsid w:val="001C2BA4"/>
    <w:rsid w:val="001C2C7C"/>
    <w:rsid w:val="001C2FAE"/>
    <w:rsid w:val="001C375D"/>
    <w:rsid w:val="001C39A4"/>
    <w:rsid w:val="001C3F3A"/>
    <w:rsid w:val="001C4560"/>
    <w:rsid w:val="001C4821"/>
    <w:rsid w:val="001C4C9D"/>
    <w:rsid w:val="001C5594"/>
    <w:rsid w:val="001C58BA"/>
    <w:rsid w:val="001C58F4"/>
    <w:rsid w:val="001C5D02"/>
    <w:rsid w:val="001C5DED"/>
    <w:rsid w:val="001C6589"/>
    <w:rsid w:val="001C66FE"/>
    <w:rsid w:val="001C6786"/>
    <w:rsid w:val="001C6B58"/>
    <w:rsid w:val="001C6BC4"/>
    <w:rsid w:val="001C6CEA"/>
    <w:rsid w:val="001C6F13"/>
    <w:rsid w:val="001C73DE"/>
    <w:rsid w:val="001C741D"/>
    <w:rsid w:val="001C7EC5"/>
    <w:rsid w:val="001D0303"/>
    <w:rsid w:val="001D052F"/>
    <w:rsid w:val="001D07B3"/>
    <w:rsid w:val="001D10D9"/>
    <w:rsid w:val="001D1379"/>
    <w:rsid w:val="001D19DE"/>
    <w:rsid w:val="001D1BBC"/>
    <w:rsid w:val="001D1D02"/>
    <w:rsid w:val="001D22DC"/>
    <w:rsid w:val="001D2381"/>
    <w:rsid w:val="001D24CE"/>
    <w:rsid w:val="001D2AC0"/>
    <w:rsid w:val="001D2BD7"/>
    <w:rsid w:val="001D3476"/>
    <w:rsid w:val="001D3609"/>
    <w:rsid w:val="001D36BD"/>
    <w:rsid w:val="001D3A86"/>
    <w:rsid w:val="001D3C84"/>
    <w:rsid w:val="001D4241"/>
    <w:rsid w:val="001D45D7"/>
    <w:rsid w:val="001D4761"/>
    <w:rsid w:val="001D47F9"/>
    <w:rsid w:val="001D4BAB"/>
    <w:rsid w:val="001D5307"/>
    <w:rsid w:val="001D575F"/>
    <w:rsid w:val="001D5A00"/>
    <w:rsid w:val="001D5A2B"/>
    <w:rsid w:val="001D5BBF"/>
    <w:rsid w:val="001D6891"/>
    <w:rsid w:val="001D6C64"/>
    <w:rsid w:val="001D7110"/>
    <w:rsid w:val="001D7190"/>
    <w:rsid w:val="001D724E"/>
    <w:rsid w:val="001D7329"/>
    <w:rsid w:val="001D75F3"/>
    <w:rsid w:val="001D789E"/>
    <w:rsid w:val="001D78E9"/>
    <w:rsid w:val="001E0415"/>
    <w:rsid w:val="001E0D87"/>
    <w:rsid w:val="001E0ECE"/>
    <w:rsid w:val="001E120A"/>
    <w:rsid w:val="001E160F"/>
    <w:rsid w:val="001E16D2"/>
    <w:rsid w:val="001E20AE"/>
    <w:rsid w:val="001E263F"/>
    <w:rsid w:val="001E2826"/>
    <w:rsid w:val="001E2CB1"/>
    <w:rsid w:val="001E2CEB"/>
    <w:rsid w:val="001E375D"/>
    <w:rsid w:val="001E3825"/>
    <w:rsid w:val="001E3828"/>
    <w:rsid w:val="001E3DB9"/>
    <w:rsid w:val="001E3E25"/>
    <w:rsid w:val="001E4C5E"/>
    <w:rsid w:val="001E4C65"/>
    <w:rsid w:val="001E4C6A"/>
    <w:rsid w:val="001E4C86"/>
    <w:rsid w:val="001E4CA3"/>
    <w:rsid w:val="001E4E74"/>
    <w:rsid w:val="001E566F"/>
    <w:rsid w:val="001E5BBD"/>
    <w:rsid w:val="001E5FE0"/>
    <w:rsid w:val="001E60E4"/>
    <w:rsid w:val="001E698B"/>
    <w:rsid w:val="001E6B84"/>
    <w:rsid w:val="001E6C41"/>
    <w:rsid w:val="001E6E8B"/>
    <w:rsid w:val="001E722F"/>
    <w:rsid w:val="001E7C23"/>
    <w:rsid w:val="001E7EDB"/>
    <w:rsid w:val="001F0886"/>
    <w:rsid w:val="001F12F2"/>
    <w:rsid w:val="001F1425"/>
    <w:rsid w:val="001F176B"/>
    <w:rsid w:val="001F1999"/>
    <w:rsid w:val="001F1A63"/>
    <w:rsid w:val="001F1B8C"/>
    <w:rsid w:val="001F1D0E"/>
    <w:rsid w:val="001F2919"/>
    <w:rsid w:val="001F2975"/>
    <w:rsid w:val="001F29C4"/>
    <w:rsid w:val="001F2C5C"/>
    <w:rsid w:val="001F3581"/>
    <w:rsid w:val="001F3777"/>
    <w:rsid w:val="001F3825"/>
    <w:rsid w:val="001F402C"/>
    <w:rsid w:val="001F41C7"/>
    <w:rsid w:val="001F4514"/>
    <w:rsid w:val="001F46F9"/>
    <w:rsid w:val="001F47D4"/>
    <w:rsid w:val="001F4CD1"/>
    <w:rsid w:val="001F5213"/>
    <w:rsid w:val="001F599E"/>
    <w:rsid w:val="001F5C00"/>
    <w:rsid w:val="001F5F56"/>
    <w:rsid w:val="001F5FAA"/>
    <w:rsid w:val="001F619A"/>
    <w:rsid w:val="001F69EF"/>
    <w:rsid w:val="001F69FA"/>
    <w:rsid w:val="001F6BD8"/>
    <w:rsid w:val="001F7166"/>
    <w:rsid w:val="001F7474"/>
    <w:rsid w:val="001F7542"/>
    <w:rsid w:val="001F7C1F"/>
    <w:rsid w:val="00200020"/>
    <w:rsid w:val="002005BD"/>
    <w:rsid w:val="00200BB2"/>
    <w:rsid w:val="00201403"/>
    <w:rsid w:val="002015E8"/>
    <w:rsid w:val="0020174D"/>
    <w:rsid w:val="002019CE"/>
    <w:rsid w:val="002020F0"/>
    <w:rsid w:val="002021B4"/>
    <w:rsid w:val="002021E7"/>
    <w:rsid w:val="0020226C"/>
    <w:rsid w:val="002023CB"/>
    <w:rsid w:val="0020241C"/>
    <w:rsid w:val="002024B5"/>
    <w:rsid w:val="002027F4"/>
    <w:rsid w:val="002029AC"/>
    <w:rsid w:val="00202E87"/>
    <w:rsid w:val="00203026"/>
    <w:rsid w:val="00203651"/>
    <w:rsid w:val="00203719"/>
    <w:rsid w:val="00203B6C"/>
    <w:rsid w:val="00203B75"/>
    <w:rsid w:val="00203DDA"/>
    <w:rsid w:val="00204148"/>
    <w:rsid w:val="00204BD4"/>
    <w:rsid w:val="002050E1"/>
    <w:rsid w:val="002056E5"/>
    <w:rsid w:val="00205FB8"/>
    <w:rsid w:val="00206057"/>
    <w:rsid w:val="00206DAB"/>
    <w:rsid w:val="00206F77"/>
    <w:rsid w:val="002071C6"/>
    <w:rsid w:val="00207488"/>
    <w:rsid w:val="002076D9"/>
    <w:rsid w:val="0020793F"/>
    <w:rsid w:val="00207A2D"/>
    <w:rsid w:val="00207C06"/>
    <w:rsid w:val="00207C20"/>
    <w:rsid w:val="00207CAF"/>
    <w:rsid w:val="00207EC0"/>
    <w:rsid w:val="0021081E"/>
    <w:rsid w:val="00210AF5"/>
    <w:rsid w:val="00210E2C"/>
    <w:rsid w:val="00210E9B"/>
    <w:rsid w:val="00210EA8"/>
    <w:rsid w:val="00210FEE"/>
    <w:rsid w:val="002111EB"/>
    <w:rsid w:val="002116F0"/>
    <w:rsid w:val="00211DB6"/>
    <w:rsid w:val="00212013"/>
    <w:rsid w:val="0021215D"/>
    <w:rsid w:val="0021216C"/>
    <w:rsid w:val="00212B94"/>
    <w:rsid w:val="00212B99"/>
    <w:rsid w:val="00212BC6"/>
    <w:rsid w:val="00212CF7"/>
    <w:rsid w:val="00212DC4"/>
    <w:rsid w:val="00212EED"/>
    <w:rsid w:val="00212FC1"/>
    <w:rsid w:val="0021329E"/>
    <w:rsid w:val="00213671"/>
    <w:rsid w:val="002136A7"/>
    <w:rsid w:val="0021458E"/>
    <w:rsid w:val="002146EE"/>
    <w:rsid w:val="002147BB"/>
    <w:rsid w:val="00214BEA"/>
    <w:rsid w:val="00214DF1"/>
    <w:rsid w:val="00214EBD"/>
    <w:rsid w:val="00215C22"/>
    <w:rsid w:val="00215CA2"/>
    <w:rsid w:val="00215D18"/>
    <w:rsid w:val="00215D9C"/>
    <w:rsid w:val="00216154"/>
    <w:rsid w:val="002162F3"/>
    <w:rsid w:val="00216CC6"/>
    <w:rsid w:val="00217175"/>
    <w:rsid w:val="00217641"/>
    <w:rsid w:val="00217B93"/>
    <w:rsid w:val="00217F8F"/>
    <w:rsid w:val="0021A19F"/>
    <w:rsid w:val="00220241"/>
    <w:rsid w:val="0022079D"/>
    <w:rsid w:val="00220DB8"/>
    <w:rsid w:val="0022280E"/>
    <w:rsid w:val="00222CBA"/>
    <w:rsid w:val="00223B13"/>
    <w:rsid w:val="00223C09"/>
    <w:rsid w:val="00223CEB"/>
    <w:rsid w:val="00224607"/>
    <w:rsid w:val="00224A11"/>
    <w:rsid w:val="00224B55"/>
    <w:rsid w:val="00224B8D"/>
    <w:rsid w:val="00224CF1"/>
    <w:rsid w:val="002257AD"/>
    <w:rsid w:val="00225B09"/>
    <w:rsid w:val="002260C0"/>
    <w:rsid w:val="002263B6"/>
    <w:rsid w:val="002264AC"/>
    <w:rsid w:val="00226AFF"/>
    <w:rsid w:val="00226DB1"/>
    <w:rsid w:val="002271FD"/>
    <w:rsid w:val="0022733D"/>
    <w:rsid w:val="00227642"/>
    <w:rsid w:val="002277DA"/>
    <w:rsid w:val="00227944"/>
    <w:rsid w:val="0022795F"/>
    <w:rsid w:val="00227ACD"/>
    <w:rsid w:val="00227C7C"/>
    <w:rsid w:val="00227CD2"/>
    <w:rsid w:val="00230148"/>
    <w:rsid w:val="002303BF"/>
    <w:rsid w:val="00230444"/>
    <w:rsid w:val="002309E9"/>
    <w:rsid w:val="00230B05"/>
    <w:rsid w:val="00230BBC"/>
    <w:rsid w:val="00231354"/>
    <w:rsid w:val="002313F2"/>
    <w:rsid w:val="0023146F"/>
    <w:rsid w:val="00231731"/>
    <w:rsid w:val="00231F31"/>
    <w:rsid w:val="00231F33"/>
    <w:rsid w:val="002323F0"/>
    <w:rsid w:val="002324C0"/>
    <w:rsid w:val="00232FF5"/>
    <w:rsid w:val="002336AF"/>
    <w:rsid w:val="002339FA"/>
    <w:rsid w:val="00233CBD"/>
    <w:rsid w:val="00233F10"/>
    <w:rsid w:val="00234257"/>
    <w:rsid w:val="002347F8"/>
    <w:rsid w:val="00234E26"/>
    <w:rsid w:val="00234F2A"/>
    <w:rsid w:val="00234F31"/>
    <w:rsid w:val="00235691"/>
    <w:rsid w:val="00235BDE"/>
    <w:rsid w:val="00235D2A"/>
    <w:rsid w:val="0023654E"/>
    <w:rsid w:val="002368DC"/>
    <w:rsid w:val="00236F60"/>
    <w:rsid w:val="0023712F"/>
    <w:rsid w:val="002374E6"/>
    <w:rsid w:val="00237950"/>
    <w:rsid w:val="00237FA7"/>
    <w:rsid w:val="0024027B"/>
    <w:rsid w:val="00240406"/>
    <w:rsid w:val="002407B6"/>
    <w:rsid w:val="00240848"/>
    <w:rsid w:val="0024091F"/>
    <w:rsid w:val="00241C95"/>
    <w:rsid w:val="00241FFF"/>
    <w:rsid w:val="002420B7"/>
    <w:rsid w:val="00242501"/>
    <w:rsid w:val="00242677"/>
    <w:rsid w:val="00242DC2"/>
    <w:rsid w:val="00242E6A"/>
    <w:rsid w:val="002433D5"/>
    <w:rsid w:val="00243B9E"/>
    <w:rsid w:val="002445AC"/>
    <w:rsid w:val="002445C2"/>
    <w:rsid w:val="0024472D"/>
    <w:rsid w:val="0024481F"/>
    <w:rsid w:val="00244F6B"/>
    <w:rsid w:val="00245458"/>
    <w:rsid w:val="00245505"/>
    <w:rsid w:val="00245D3A"/>
    <w:rsid w:val="0024657E"/>
    <w:rsid w:val="002466C3"/>
    <w:rsid w:val="002470E8"/>
    <w:rsid w:val="002479D0"/>
    <w:rsid w:val="00247AC6"/>
    <w:rsid w:val="0025062D"/>
    <w:rsid w:val="00251651"/>
    <w:rsid w:val="002519D4"/>
    <w:rsid w:val="00251B6E"/>
    <w:rsid w:val="00252123"/>
    <w:rsid w:val="002526D4"/>
    <w:rsid w:val="0025271F"/>
    <w:rsid w:val="002527E0"/>
    <w:rsid w:val="0025281D"/>
    <w:rsid w:val="00252A75"/>
    <w:rsid w:val="00252D83"/>
    <w:rsid w:val="00252EBB"/>
    <w:rsid w:val="002532F0"/>
    <w:rsid w:val="002536B5"/>
    <w:rsid w:val="002538FA"/>
    <w:rsid w:val="0025486C"/>
    <w:rsid w:val="00254BFD"/>
    <w:rsid w:val="0025501E"/>
    <w:rsid w:val="002551D9"/>
    <w:rsid w:val="00255298"/>
    <w:rsid w:val="002557E4"/>
    <w:rsid w:val="002559A7"/>
    <w:rsid w:val="00255A01"/>
    <w:rsid w:val="00255C0C"/>
    <w:rsid w:val="00255D32"/>
    <w:rsid w:val="00255E7F"/>
    <w:rsid w:val="0025630A"/>
    <w:rsid w:val="002565CC"/>
    <w:rsid w:val="002567BD"/>
    <w:rsid w:val="0025735D"/>
    <w:rsid w:val="00257599"/>
    <w:rsid w:val="00257898"/>
    <w:rsid w:val="00257984"/>
    <w:rsid w:val="00257C05"/>
    <w:rsid w:val="00257C85"/>
    <w:rsid w:val="00257DA3"/>
    <w:rsid w:val="00257E65"/>
    <w:rsid w:val="0026017E"/>
    <w:rsid w:val="0026023E"/>
    <w:rsid w:val="002607E5"/>
    <w:rsid w:val="00260806"/>
    <w:rsid w:val="00260A3E"/>
    <w:rsid w:val="00260C33"/>
    <w:rsid w:val="00260F90"/>
    <w:rsid w:val="002612C9"/>
    <w:rsid w:val="00261A29"/>
    <w:rsid w:val="00261AB0"/>
    <w:rsid w:val="00261CAB"/>
    <w:rsid w:val="002621A9"/>
    <w:rsid w:val="00262C72"/>
    <w:rsid w:val="00262F14"/>
    <w:rsid w:val="00262FF4"/>
    <w:rsid w:val="0026359A"/>
    <w:rsid w:val="00263768"/>
    <w:rsid w:val="002639C4"/>
    <w:rsid w:val="00263A89"/>
    <w:rsid w:val="002648D4"/>
    <w:rsid w:val="002648F9"/>
    <w:rsid w:val="002654EB"/>
    <w:rsid w:val="0026571F"/>
    <w:rsid w:val="00265B5D"/>
    <w:rsid w:val="00265E3D"/>
    <w:rsid w:val="00266017"/>
    <w:rsid w:val="00266298"/>
    <w:rsid w:val="002662A4"/>
    <w:rsid w:val="002664A4"/>
    <w:rsid w:val="00266E30"/>
    <w:rsid w:val="002672C1"/>
    <w:rsid w:val="00267D68"/>
    <w:rsid w:val="00267F69"/>
    <w:rsid w:val="00270BBA"/>
    <w:rsid w:val="00270BDD"/>
    <w:rsid w:val="00270F5F"/>
    <w:rsid w:val="00271C68"/>
    <w:rsid w:val="00272008"/>
    <w:rsid w:val="002720E9"/>
    <w:rsid w:val="00272859"/>
    <w:rsid w:val="00272912"/>
    <w:rsid w:val="00272C52"/>
    <w:rsid w:val="00272E56"/>
    <w:rsid w:val="00273291"/>
    <w:rsid w:val="0027367E"/>
    <w:rsid w:val="00273C75"/>
    <w:rsid w:val="00273C99"/>
    <w:rsid w:val="00273D1C"/>
    <w:rsid w:val="00273F42"/>
    <w:rsid w:val="0027402A"/>
    <w:rsid w:val="002757A7"/>
    <w:rsid w:val="00275D29"/>
    <w:rsid w:val="00275E34"/>
    <w:rsid w:val="0027604B"/>
    <w:rsid w:val="002760DF"/>
    <w:rsid w:val="00276957"/>
    <w:rsid w:val="002769C7"/>
    <w:rsid w:val="00276AFD"/>
    <w:rsid w:val="00276D46"/>
    <w:rsid w:val="00276DF4"/>
    <w:rsid w:val="002774A6"/>
    <w:rsid w:val="002774BC"/>
    <w:rsid w:val="00277C2C"/>
    <w:rsid w:val="002801B9"/>
    <w:rsid w:val="0028052B"/>
    <w:rsid w:val="00281A24"/>
    <w:rsid w:val="00281C60"/>
    <w:rsid w:val="00281F58"/>
    <w:rsid w:val="00281FA3"/>
    <w:rsid w:val="00282039"/>
    <w:rsid w:val="0028205D"/>
    <w:rsid w:val="00282140"/>
    <w:rsid w:val="002821A1"/>
    <w:rsid w:val="002826A3"/>
    <w:rsid w:val="002826D2"/>
    <w:rsid w:val="002826EE"/>
    <w:rsid w:val="00282B17"/>
    <w:rsid w:val="00282C27"/>
    <w:rsid w:val="00283A77"/>
    <w:rsid w:val="00283D89"/>
    <w:rsid w:val="002840E2"/>
    <w:rsid w:val="002845B0"/>
    <w:rsid w:val="002856AF"/>
    <w:rsid w:val="00285E1F"/>
    <w:rsid w:val="00286332"/>
    <w:rsid w:val="00286357"/>
    <w:rsid w:val="0028644C"/>
    <w:rsid w:val="002865B6"/>
    <w:rsid w:val="00286843"/>
    <w:rsid w:val="00286B1C"/>
    <w:rsid w:val="00286C17"/>
    <w:rsid w:val="00286DDF"/>
    <w:rsid w:val="00286F6A"/>
    <w:rsid w:val="00286FBB"/>
    <w:rsid w:val="00286FF6"/>
    <w:rsid w:val="00287050"/>
    <w:rsid w:val="00287444"/>
    <w:rsid w:val="00287524"/>
    <w:rsid w:val="0028774B"/>
    <w:rsid w:val="0028777F"/>
    <w:rsid w:val="0028779B"/>
    <w:rsid w:val="00287B05"/>
    <w:rsid w:val="00287FD5"/>
    <w:rsid w:val="002901DE"/>
    <w:rsid w:val="00290855"/>
    <w:rsid w:val="002909DC"/>
    <w:rsid w:val="00290AAC"/>
    <w:rsid w:val="00291041"/>
    <w:rsid w:val="00291076"/>
    <w:rsid w:val="0029111A"/>
    <w:rsid w:val="00291300"/>
    <w:rsid w:val="002917C8"/>
    <w:rsid w:val="00291F04"/>
    <w:rsid w:val="0029207E"/>
    <w:rsid w:val="00292224"/>
    <w:rsid w:val="00292487"/>
    <w:rsid w:val="00292727"/>
    <w:rsid w:val="00292963"/>
    <w:rsid w:val="00292968"/>
    <w:rsid w:val="00292D68"/>
    <w:rsid w:val="00293738"/>
    <w:rsid w:val="00293A72"/>
    <w:rsid w:val="00293EEF"/>
    <w:rsid w:val="0029464E"/>
    <w:rsid w:val="0029479B"/>
    <w:rsid w:val="0029498B"/>
    <w:rsid w:val="00295149"/>
    <w:rsid w:val="00295234"/>
    <w:rsid w:val="002952BE"/>
    <w:rsid w:val="002957EA"/>
    <w:rsid w:val="00295858"/>
    <w:rsid w:val="00295B12"/>
    <w:rsid w:val="00295FE8"/>
    <w:rsid w:val="00296303"/>
    <w:rsid w:val="00296379"/>
    <w:rsid w:val="00296CC5"/>
    <w:rsid w:val="00296E80"/>
    <w:rsid w:val="00297747"/>
    <w:rsid w:val="002A03BF"/>
    <w:rsid w:val="002A088B"/>
    <w:rsid w:val="002A0D1E"/>
    <w:rsid w:val="002A0EB4"/>
    <w:rsid w:val="002A10C4"/>
    <w:rsid w:val="002A1388"/>
    <w:rsid w:val="002A1A27"/>
    <w:rsid w:val="002A2029"/>
    <w:rsid w:val="002A2138"/>
    <w:rsid w:val="002A214A"/>
    <w:rsid w:val="002A2549"/>
    <w:rsid w:val="002A2915"/>
    <w:rsid w:val="002A2AF8"/>
    <w:rsid w:val="002A2E43"/>
    <w:rsid w:val="002A2F7D"/>
    <w:rsid w:val="002A3239"/>
    <w:rsid w:val="002A39A7"/>
    <w:rsid w:val="002A4ED4"/>
    <w:rsid w:val="002A5090"/>
    <w:rsid w:val="002A5801"/>
    <w:rsid w:val="002A6241"/>
    <w:rsid w:val="002A680C"/>
    <w:rsid w:val="002A6E56"/>
    <w:rsid w:val="002A72C7"/>
    <w:rsid w:val="002A7578"/>
    <w:rsid w:val="002A764A"/>
    <w:rsid w:val="002A7AC2"/>
    <w:rsid w:val="002A7DD6"/>
    <w:rsid w:val="002A7EE5"/>
    <w:rsid w:val="002B009D"/>
    <w:rsid w:val="002B0162"/>
    <w:rsid w:val="002B0491"/>
    <w:rsid w:val="002B0589"/>
    <w:rsid w:val="002B0891"/>
    <w:rsid w:val="002B092D"/>
    <w:rsid w:val="002B0D07"/>
    <w:rsid w:val="002B0D9A"/>
    <w:rsid w:val="002B0FB3"/>
    <w:rsid w:val="002B12C0"/>
    <w:rsid w:val="002B14A0"/>
    <w:rsid w:val="002B1755"/>
    <w:rsid w:val="002B1BF8"/>
    <w:rsid w:val="002B1E98"/>
    <w:rsid w:val="002B1EEC"/>
    <w:rsid w:val="002B20B3"/>
    <w:rsid w:val="002B2357"/>
    <w:rsid w:val="002B252A"/>
    <w:rsid w:val="002B28AB"/>
    <w:rsid w:val="002B2B6B"/>
    <w:rsid w:val="002B33CF"/>
    <w:rsid w:val="002B33E3"/>
    <w:rsid w:val="002B35E6"/>
    <w:rsid w:val="002B3806"/>
    <w:rsid w:val="002B3DC3"/>
    <w:rsid w:val="002B3E12"/>
    <w:rsid w:val="002B3FB5"/>
    <w:rsid w:val="002B4537"/>
    <w:rsid w:val="002B4538"/>
    <w:rsid w:val="002B4B98"/>
    <w:rsid w:val="002B4CC0"/>
    <w:rsid w:val="002B50A4"/>
    <w:rsid w:val="002B59C0"/>
    <w:rsid w:val="002B5E79"/>
    <w:rsid w:val="002B66AF"/>
    <w:rsid w:val="002B7131"/>
    <w:rsid w:val="002B76D5"/>
    <w:rsid w:val="002B7768"/>
    <w:rsid w:val="002B7AF3"/>
    <w:rsid w:val="002B7EB6"/>
    <w:rsid w:val="002C01BF"/>
    <w:rsid w:val="002C03CC"/>
    <w:rsid w:val="002C04CD"/>
    <w:rsid w:val="002C106E"/>
    <w:rsid w:val="002C1249"/>
    <w:rsid w:val="002C1B44"/>
    <w:rsid w:val="002C2685"/>
    <w:rsid w:val="002C269C"/>
    <w:rsid w:val="002C2BBE"/>
    <w:rsid w:val="002C31D5"/>
    <w:rsid w:val="002C3455"/>
    <w:rsid w:val="002C3CBB"/>
    <w:rsid w:val="002C433B"/>
    <w:rsid w:val="002C4380"/>
    <w:rsid w:val="002C44E3"/>
    <w:rsid w:val="002C4A0D"/>
    <w:rsid w:val="002C5046"/>
    <w:rsid w:val="002C5828"/>
    <w:rsid w:val="002C5A15"/>
    <w:rsid w:val="002C5D82"/>
    <w:rsid w:val="002C6127"/>
    <w:rsid w:val="002C646C"/>
    <w:rsid w:val="002C65F5"/>
    <w:rsid w:val="002C72DB"/>
    <w:rsid w:val="002C7A09"/>
    <w:rsid w:val="002C7A1B"/>
    <w:rsid w:val="002C7C0D"/>
    <w:rsid w:val="002C7D2A"/>
    <w:rsid w:val="002D032F"/>
    <w:rsid w:val="002D0A69"/>
    <w:rsid w:val="002D0C29"/>
    <w:rsid w:val="002D0DD4"/>
    <w:rsid w:val="002D0FD4"/>
    <w:rsid w:val="002D15B8"/>
    <w:rsid w:val="002D16F8"/>
    <w:rsid w:val="002D1868"/>
    <w:rsid w:val="002D19BB"/>
    <w:rsid w:val="002D1A10"/>
    <w:rsid w:val="002D2DF7"/>
    <w:rsid w:val="002D307B"/>
    <w:rsid w:val="002D3201"/>
    <w:rsid w:val="002D3230"/>
    <w:rsid w:val="002D328B"/>
    <w:rsid w:val="002D396E"/>
    <w:rsid w:val="002D39BC"/>
    <w:rsid w:val="002D3BC8"/>
    <w:rsid w:val="002D4359"/>
    <w:rsid w:val="002D4931"/>
    <w:rsid w:val="002D4960"/>
    <w:rsid w:val="002D4F06"/>
    <w:rsid w:val="002D5861"/>
    <w:rsid w:val="002D5B5F"/>
    <w:rsid w:val="002D5FA4"/>
    <w:rsid w:val="002D6205"/>
    <w:rsid w:val="002D673B"/>
    <w:rsid w:val="002D71A2"/>
    <w:rsid w:val="002D71F4"/>
    <w:rsid w:val="002D786B"/>
    <w:rsid w:val="002E0515"/>
    <w:rsid w:val="002E06A7"/>
    <w:rsid w:val="002E0833"/>
    <w:rsid w:val="002E0EA9"/>
    <w:rsid w:val="002E1B2A"/>
    <w:rsid w:val="002E1ECE"/>
    <w:rsid w:val="002E25E0"/>
    <w:rsid w:val="002E26E9"/>
    <w:rsid w:val="002E2B01"/>
    <w:rsid w:val="002E2F00"/>
    <w:rsid w:val="002E31F9"/>
    <w:rsid w:val="002E3763"/>
    <w:rsid w:val="002E37AC"/>
    <w:rsid w:val="002E3829"/>
    <w:rsid w:val="002E38C6"/>
    <w:rsid w:val="002E3CF2"/>
    <w:rsid w:val="002E3E0A"/>
    <w:rsid w:val="002E3E32"/>
    <w:rsid w:val="002E413B"/>
    <w:rsid w:val="002E428C"/>
    <w:rsid w:val="002E43E3"/>
    <w:rsid w:val="002E4D10"/>
    <w:rsid w:val="002E4D7A"/>
    <w:rsid w:val="002E500E"/>
    <w:rsid w:val="002E50E2"/>
    <w:rsid w:val="002E54DA"/>
    <w:rsid w:val="002E587E"/>
    <w:rsid w:val="002E5A5C"/>
    <w:rsid w:val="002E5EC9"/>
    <w:rsid w:val="002E5F2D"/>
    <w:rsid w:val="002E60A5"/>
    <w:rsid w:val="002E60E1"/>
    <w:rsid w:val="002E684A"/>
    <w:rsid w:val="002E68E3"/>
    <w:rsid w:val="002E6905"/>
    <w:rsid w:val="002E762A"/>
    <w:rsid w:val="002E7B8D"/>
    <w:rsid w:val="002F0097"/>
    <w:rsid w:val="002F0597"/>
    <w:rsid w:val="002F07F9"/>
    <w:rsid w:val="002F08D0"/>
    <w:rsid w:val="002F0974"/>
    <w:rsid w:val="002F0C7A"/>
    <w:rsid w:val="002F1231"/>
    <w:rsid w:val="002F13DA"/>
    <w:rsid w:val="002F1550"/>
    <w:rsid w:val="002F1583"/>
    <w:rsid w:val="002F1887"/>
    <w:rsid w:val="002F19DC"/>
    <w:rsid w:val="002F21A8"/>
    <w:rsid w:val="002F2386"/>
    <w:rsid w:val="002F28F7"/>
    <w:rsid w:val="002F2933"/>
    <w:rsid w:val="002F2A01"/>
    <w:rsid w:val="002F3B10"/>
    <w:rsid w:val="002F3B2B"/>
    <w:rsid w:val="002F3B99"/>
    <w:rsid w:val="002F3DA5"/>
    <w:rsid w:val="002F4150"/>
    <w:rsid w:val="002F4ACF"/>
    <w:rsid w:val="002F4D31"/>
    <w:rsid w:val="002F5187"/>
    <w:rsid w:val="002F556E"/>
    <w:rsid w:val="002F57A1"/>
    <w:rsid w:val="002F5AC9"/>
    <w:rsid w:val="002F61D1"/>
    <w:rsid w:val="002F6923"/>
    <w:rsid w:val="002F70F2"/>
    <w:rsid w:val="002F718C"/>
    <w:rsid w:val="002F796E"/>
    <w:rsid w:val="002F7F00"/>
    <w:rsid w:val="0030038E"/>
    <w:rsid w:val="003003AD"/>
    <w:rsid w:val="00300423"/>
    <w:rsid w:val="00300C1C"/>
    <w:rsid w:val="00300DA7"/>
    <w:rsid w:val="00300EED"/>
    <w:rsid w:val="003013F7"/>
    <w:rsid w:val="003019EC"/>
    <w:rsid w:val="00301AAB"/>
    <w:rsid w:val="00301E2A"/>
    <w:rsid w:val="003020BF"/>
    <w:rsid w:val="003024B1"/>
    <w:rsid w:val="0030253C"/>
    <w:rsid w:val="003025FD"/>
    <w:rsid w:val="00302681"/>
    <w:rsid w:val="003029EE"/>
    <w:rsid w:val="00302C6F"/>
    <w:rsid w:val="00303556"/>
    <w:rsid w:val="0030359E"/>
    <w:rsid w:val="00303993"/>
    <w:rsid w:val="00303A3C"/>
    <w:rsid w:val="00303EF8"/>
    <w:rsid w:val="003043D0"/>
    <w:rsid w:val="0030472F"/>
    <w:rsid w:val="00304A87"/>
    <w:rsid w:val="00304FBB"/>
    <w:rsid w:val="00305493"/>
    <w:rsid w:val="003057E8"/>
    <w:rsid w:val="0030583B"/>
    <w:rsid w:val="00305D08"/>
    <w:rsid w:val="00306441"/>
    <w:rsid w:val="00306741"/>
    <w:rsid w:val="00306C92"/>
    <w:rsid w:val="003070F6"/>
    <w:rsid w:val="003070FE"/>
    <w:rsid w:val="003075F0"/>
    <w:rsid w:val="0030765D"/>
    <w:rsid w:val="0030784A"/>
    <w:rsid w:val="0030790D"/>
    <w:rsid w:val="00307B2C"/>
    <w:rsid w:val="00310447"/>
    <w:rsid w:val="0031050F"/>
    <w:rsid w:val="0031078C"/>
    <w:rsid w:val="003107D2"/>
    <w:rsid w:val="0031087A"/>
    <w:rsid w:val="00310F32"/>
    <w:rsid w:val="0031123B"/>
    <w:rsid w:val="00311536"/>
    <w:rsid w:val="00311B73"/>
    <w:rsid w:val="00311FCF"/>
    <w:rsid w:val="0031258E"/>
    <w:rsid w:val="00312920"/>
    <w:rsid w:val="0031338B"/>
    <w:rsid w:val="003138C9"/>
    <w:rsid w:val="00313A1C"/>
    <w:rsid w:val="00313AB6"/>
    <w:rsid w:val="003142FD"/>
    <w:rsid w:val="00315472"/>
    <w:rsid w:val="0031576F"/>
    <w:rsid w:val="00315ABC"/>
    <w:rsid w:val="00315B43"/>
    <w:rsid w:val="00315F88"/>
    <w:rsid w:val="00316699"/>
    <w:rsid w:val="00316F4D"/>
    <w:rsid w:val="00317C03"/>
    <w:rsid w:val="003208C2"/>
    <w:rsid w:val="00320963"/>
    <w:rsid w:val="00320DAB"/>
    <w:rsid w:val="00320F2D"/>
    <w:rsid w:val="00321240"/>
    <w:rsid w:val="003215D5"/>
    <w:rsid w:val="0032166B"/>
    <w:rsid w:val="00321B3F"/>
    <w:rsid w:val="00321CE8"/>
    <w:rsid w:val="00321D7C"/>
    <w:rsid w:val="00322110"/>
    <w:rsid w:val="00322D43"/>
    <w:rsid w:val="00322D7B"/>
    <w:rsid w:val="00322FC0"/>
    <w:rsid w:val="0032303A"/>
    <w:rsid w:val="003230DC"/>
    <w:rsid w:val="00324004"/>
    <w:rsid w:val="0032448F"/>
    <w:rsid w:val="00324A8A"/>
    <w:rsid w:val="00324FA2"/>
    <w:rsid w:val="003254E7"/>
    <w:rsid w:val="003255FC"/>
    <w:rsid w:val="00325E86"/>
    <w:rsid w:val="00326045"/>
    <w:rsid w:val="00326396"/>
    <w:rsid w:val="00326957"/>
    <w:rsid w:val="0032744F"/>
    <w:rsid w:val="003275C8"/>
    <w:rsid w:val="003276DF"/>
    <w:rsid w:val="003279EE"/>
    <w:rsid w:val="00327F41"/>
    <w:rsid w:val="003305BA"/>
    <w:rsid w:val="00330E23"/>
    <w:rsid w:val="00330F7D"/>
    <w:rsid w:val="0033106F"/>
    <w:rsid w:val="00331514"/>
    <w:rsid w:val="00331665"/>
    <w:rsid w:val="00331DF5"/>
    <w:rsid w:val="00331E79"/>
    <w:rsid w:val="00331EA0"/>
    <w:rsid w:val="0033245B"/>
    <w:rsid w:val="003324EE"/>
    <w:rsid w:val="00332E83"/>
    <w:rsid w:val="003330A1"/>
    <w:rsid w:val="003331F3"/>
    <w:rsid w:val="00333506"/>
    <w:rsid w:val="003337EE"/>
    <w:rsid w:val="00333C67"/>
    <w:rsid w:val="00333D71"/>
    <w:rsid w:val="00334087"/>
    <w:rsid w:val="003340FE"/>
    <w:rsid w:val="00334134"/>
    <w:rsid w:val="0033492F"/>
    <w:rsid w:val="003350AB"/>
    <w:rsid w:val="003351AB"/>
    <w:rsid w:val="00335608"/>
    <w:rsid w:val="00335733"/>
    <w:rsid w:val="00335CE4"/>
    <w:rsid w:val="00335F1A"/>
    <w:rsid w:val="00336165"/>
    <w:rsid w:val="003361EA"/>
    <w:rsid w:val="00336712"/>
    <w:rsid w:val="003367B9"/>
    <w:rsid w:val="00336A2F"/>
    <w:rsid w:val="00336B43"/>
    <w:rsid w:val="003370AD"/>
    <w:rsid w:val="00337B38"/>
    <w:rsid w:val="00337D6A"/>
    <w:rsid w:val="00340604"/>
    <w:rsid w:val="00340BE7"/>
    <w:rsid w:val="00340CC6"/>
    <w:rsid w:val="00340CCD"/>
    <w:rsid w:val="00340D1A"/>
    <w:rsid w:val="0034107A"/>
    <w:rsid w:val="0034147D"/>
    <w:rsid w:val="0034176D"/>
    <w:rsid w:val="003422BF"/>
    <w:rsid w:val="00342973"/>
    <w:rsid w:val="00343098"/>
    <w:rsid w:val="00343297"/>
    <w:rsid w:val="003433E9"/>
    <w:rsid w:val="003434D8"/>
    <w:rsid w:val="00343622"/>
    <w:rsid w:val="00343759"/>
    <w:rsid w:val="003437BE"/>
    <w:rsid w:val="00343820"/>
    <w:rsid w:val="00343A1D"/>
    <w:rsid w:val="00343A5B"/>
    <w:rsid w:val="00343D1D"/>
    <w:rsid w:val="00343EC3"/>
    <w:rsid w:val="0034407D"/>
    <w:rsid w:val="003442A4"/>
    <w:rsid w:val="003449F0"/>
    <w:rsid w:val="00344B2A"/>
    <w:rsid w:val="003454D4"/>
    <w:rsid w:val="003458DF"/>
    <w:rsid w:val="00345E3B"/>
    <w:rsid w:val="003462D4"/>
    <w:rsid w:val="0034656D"/>
    <w:rsid w:val="00346C5F"/>
    <w:rsid w:val="00347144"/>
    <w:rsid w:val="00347661"/>
    <w:rsid w:val="00347CC3"/>
    <w:rsid w:val="00350140"/>
    <w:rsid w:val="00350162"/>
    <w:rsid w:val="003508F2"/>
    <w:rsid w:val="00350A62"/>
    <w:rsid w:val="00350C73"/>
    <w:rsid w:val="0035105F"/>
    <w:rsid w:val="00351AD3"/>
    <w:rsid w:val="003523C6"/>
    <w:rsid w:val="003523D1"/>
    <w:rsid w:val="003525C5"/>
    <w:rsid w:val="003526B6"/>
    <w:rsid w:val="00352792"/>
    <w:rsid w:val="00352F2A"/>
    <w:rsid w:val="003535CC"/>
    <w:rsid w:val="003537E7"/>
    <w:rsid w:val="00353C0A"/>
    <w:rsid w:val="00353FC7"/>
    <w:rsid w:val="0035412C"/>
    <w:rsid w:val="00354351"/>
    <w:rsid w:val="00354483"/>
    <w:rsid w:val="003546C6"/>
    <w:rsid w:val="00354A15"/>
    <w:rsid w:val="00354C35"/>
    <w:rsid w:val="00354ECD"/>
    <w:rsid w:val="003550D2"/>
    <w:rsid w:val="0035513B"/>
    <w:rsid w:val="00355561"/>
    <w:rsid w:val="00355818"/>
    <w:rsid w:val="00355D19"/>
    <w:rsid w:val="00356F5D"/>
    <w:rsid w:val="003571B1"/>
    <w:rsid w:val="00357336"/>
    <w:rsid w:val="003577C2"/>
    <w:rsid w:val="0035798D"/>
    <w:rsid w:val="00357A14"/>
    <w:rsid w:val="00357AEC"/>
    <w:rsid w:val="00357C40"/>
    <w:rsid w:val="00357D00"/>
    <w:rsid w:val="00360806"/>
    <w:rsid w:val="00360AB4"/>
    <w:rsid w:val="00360E0A"/>
    <w:rsid w:val="00361441"/>
    <w:rsid w:val="00361603"/>
    <w:rsid w:val="00361828"/>
    <w:rsid w:val="00361964"/>
    <w:rsid w:val="003622EF"/>
    <w:rsid w:val="003630AC"/>
    <w:rsid w:val="003636F2"/>
    <w:rsid w:val="0036422C"/>
    <w:rsid w:val="003642D0"/>
    <w:rsid w:val="00364821"/>
    <w:rsid w:val="003648B2"/>
    <w:rsid w:val="00364908"/>
    <w:rsid w:val="00364D26"/>
    <w:rsid w:val="00365383"/>
    <w:rsid w:val="0036557A"/>
    <w:rsid w:val="0036587E"/>
    <w:rsid w:val="003659E1"/>
    <w:rsid w:val="00365BE1"/>
    <w:rsid w:val="00365BE8"/>
    <w:rsid w:val="00365DB4"/>
    <w:rsid w:val="00365F83"/>
    <w:rsid w:val="0036609D"/>
    <w:rsid w:val="003660C4"/>
    <w:rsid w:val="0036611F"/>
    <w:rsid w:val="00366194"/>
    <w:rsid w:val="003662E5"/>
    <w:rsid w:val="0036635D"/>
    <w:rsid w:val="003667A4"/>
    <w:rsid w:val="00366888"/>
    <w:rsid w:val="00367930"/>
    <w:rsid w:val="00367B76"/>
    <w:rsid w:val="00367DC6"/>
    <w:rsid w:val="00367E46"/>
    <w:rsid w:val="003704ED"/>
    <w:rsid w:val="003709BA"/>
    <w:rsid w:val="003714ED"/>
    <w:rsid w:val="003715A2"/>
    <w:rsid w:val="00371C86"/>
    <w:rsid w:val="00372164"/>
    <w:rsid w:val="00372C96"/>
    <w:rsid w:val="00372CE7"/>
    <w:rsid w:val="00372D16"/>
    <w:rsid w:val="00372D61"/>
    <w:rsid w:val="00372EE0"/>
    <w:rsid w:val="00373105"/>
    <w:rsid w:val="00373549"/>
    <w:rsid w:val="003735AD"/>
    <w:rsid w:val="00373726"/>
    <w:rsid w:val="0037396C"/>
    <w:rsid w:val="00373C2D"/>
    <w:rsid w:val="00373D23"/>
    <w:rsid w:val="00373F3E"/>
    <w:rsid w:val="003744A3"/>
    <w:rsid w:val="00374667"/>
    <w:rsid w:val="0037488C"/>
    <w:rsid w:val="00374F96"/>
    <w:rsid w:val="003755E4"/>
    <w:rsid w:val="0037595D"/>
    <w:rsid w:val="0037626A"/>
    <w:rsid w:val="00376288"/>
    <w:rsid w:val="003765D9"/>
    <w:rsid w:val="00376821"/>
    <w:rsid w:val="003768EB"/>
    <w:rsid w:val="00376C23"/>
    <w:rsid w:val="003773F0"/>
    <w:rsid w:val="00377416"/>
    <w:rsid w:val="0037753B"/>
    <w:rsid w:val="003779C5"/>
    <w:rsid w:val="00377C65"/>
    <w:rsid w:val="003800D4"/>
    <w:rsid w:val="0038023A"/>
    <w:rsid w:val="00380482"/>
    <w:rsid w:val="003807FC"/>
    <w:rsid w:val="003808AB"/>
    <w:rsid w:val="00380CC0"/>
    <w:rsid w:val="00380EF1"/>
    <w:rsid w:val="00381344"/>
    <w:rsid w:val="00381418"/>
    <w:rsid w:val="003819D7"/>
    <w:rsid w:val="00381AD7"/>
    <w:rsid w:val="00381D3D"/>
    <w:rsid w:val="00382AB9"/>
    <w:rsid w:val="00382DA6"/>
    <w:rsid w:val="0038416C"/>
    <w:rsid w:val="003848AD"/>
    <w:rsid w:val="0038501C"/>
    <w:rsid w:val="003850F5"/>
    <w:rsid w:val="00385142"/>
    <w:rsid w:val="003855B8"/>
    <w:rsid w:val="003866A3"/>
    <w:rsid w:val="00386A62"/>
    <w:rsid w:val="00386BCB"/>
    <w:rsid w:val="00386E87"/>
    <w:rsid w:val="00386F05"/>
    <w:rsid w:val="003873D8"/>
    <w:rsid w:val="003877E1"/>
    <w:rsid w:val="00387818"/>
    <w:rsid w:val="0038786A"/>
    <w:rsid w:val="00390202"/>
    <w:rsid w:val="00390353"/>
    <w:rsid w:val="00390941"/>
    <w:rsid w:val="00390C3E"/>
    <w:rsid w:val="0039106D"/>
    <w:rsid w:val="0039110C"/>
    <w:rsid w:val="0039115F"/>
    <w:rsid w:val="003916AD"/>
    <w:rsid w:val="00391766"/>
    <w:rsid w:val="003917F4"/>
    <w:rsid w:val="00391893"/>
    <w:rsid w:val="00391A13"/>
    <w:rsid w:val="00391A87"/>
    <w:rsid w:val="00392430"/>
    <w:rsid w:val="00392747"/>
    <w:rsid w:val="00392881"/>
    <w:rsid w:val="00392DC6"/>
    <w:rsid w:val="00393093"/>
    <w:rsid w:val="00393102"/>
    <w:rsid w:val="0039385C"/>
    <w:rsid w:val="00393B0D"/>
    <w:rsid w:val="00393D1B"/>
    <w:rsid w:val="00393D66"/>
    <w:rsid w:val="00393DA9"/>
    <w:rsid w:val="00393E42"/>
    <w:rsid w:val="00393E48"/>
    <w:rsid w:val="0039464A"/>
    <w:rsid w:val="003947D0"/>
    <w:rsid w:val="00394C12"/>
    <w:rsid w:val="003952D2"/>
    <w:rsid w:val="0039566A"/>
    <w:rsid w:val="00395816"/>
    <w:rsid w:val="00395C5E"/>
    <w:rsid w:val="00395F2F"/>
    <w:rsid w:val="00395FE6"/>
    <w:rsid w:val="003962C3"/>
    <w:rsid w:val="0039663B"/>
    <w:rsid w:val="00396858"/>
    <w:rsid w:val="00396983"/>
    <w:rsid w:val="003969D3"/>
    <w:rsid w:val="00396A8C"/>
    <w:rsid w:val="00396C6B"/>
    <w:rsid w:val="003973ED"/>
    <w:rsid w:val="003973FB"/>
    <w:rsid w:val="0039775D"/>
    <w:rsid w:val="003978EC"/>
    <w:rsid w:val="00397CFA"/>
    <w:rsid w:val="003A030E"/>
    <w:rsid w:val="003A064E"/>
    <w:rsid w:val="003A06EC"/>
    <w:rsid w:val="003A09D9"/>
    <w:rsid w:val="003A0BD7"/>
    <w:rsid w:val="003A10BF"/>
    <w:rsid w:val="003A1580"/>
    <w:rsid w:val="003A17FB"/>
    <w:rsid w:val="003A1A2E"/>
    <w:rsid w:val="003A1B70"/>
    <w:rsid w:val="003A20B0"/>
    <w:rsid w:val="003A214E"/>
    <w:rsid w:val="003A22A4"/>
    <w:rsid w:val="003A2667"/>
    <w:rsid w:val="003A291F"/>
    <w:rsid w:val="003A3036"/>
    <w:rsid w:val="003A3452"/>
    <w:rsid w:val="003A3877"/>
    <w:rsid w:val="003A3A30"/>
    <w:rsid w:val="003A3E6B"/>
    <w:rsid w:val="003A3E6D"/>
    <w:rsid w:val="003A3EF4"/>
    <w:rsid w:val="003A4078"/>
    <w:rsid w:val="003A4A5D"/>
    <w:rsid w:val="003A4ADF"/>
    <w:rsid w:val="003A4B71"/>
    <w:rsid w:val="003A4C4D"/>
    <w:rsid w:val="003A4CFD"/>
    <w:rsid w:val="003A654D"/>
    <w:rsid w:val="003A669F"/>
    <w:rsid w:val="003A66DB"/>
    <w:rsid w:val="003A67CF"/>
    <w:rsid w:val="003A6DCA"/>
    <w:rsid w:val="003A6EA2"/>
    <w:rsid w:val="003A6F58"/>
    <w:rsid w:val="003A70ED"/>
    <w:rsid w:val="003A7185"/>
    <w:rsid w:val="003A731C"/>
    <w:rsid w:val="003A7412"/>
    <w:rsid w:val="003A7596"/>
    <w:rsid w:val="003A7AEF"/>
    <w:rsid w:val="003B02C3"/>
    <w:rsid w:val="003B043B"/>
    <w:rsid w:val="003B04D9"/>
    <w:rsid w:val="003B07E0"/>
    <w:rsid w:val="003B1605"/>
    <w:rsid w:val="003B1781"/>
    <w:rsid w:val="003B1917"/>
    <w:rsid w:val="003B23A5"/>
    <w:rsid w:val="003B2792"/>
    <w:rsid w:val="003B3595"/>
    <w:rsid w:val="003B3AAE"/>
    <w:rsid w:val="003B4A66"/>
    <w:rsid w:val="003B5029"/>
    <w:rsid w:val="003B577A"/>
    <w:rsid w:val="003B5B42"/>
    <w:rsid w:val="003B5F56"/>
    <w:rsid w:val="003B65E2"/>
    <w:rsid w:val="003B6BAE"/>
    <w:rsid w:val="003B6D1A"/>
    <w:rsid w:val="003B707C"/>
    <w:rsid w:val="003B7565"/>
    <w:rsid w:val="003B756F"/>
    <w:rsid w:val="003B7820"/>
    <w:rsid w:val="003B79F6"/>
    <w:rsid w:val="003B7AC2"/>
    <w:rsid w:val="003B7E87"/>
    <w:rsid w:val="003C09EB"/>
    <w:rsid w:val="003C0A3D"/>
    <w:rsid w:val="003C0D28"/>
    <w:rsid w:val="003C0FE4"/>
    <w:rsid w:val="003C103F"/>
    <w:rsid w:val="003C1124"/>
    <w:rsid w:val="003C1300"/>
    <w:rsid w:val="003C152C"/>
    <w:rsid w:val="003C1838"/>
    <w:rsid w:val="003C1B2A"/>
    <w:rsid w:val="003C20C0"/>
    <w:rsid w:val="003C2193"/>
    <w:rsid w:val="003C2B46"/>
    <w:rsid w:val="003C2DF0"/>
    <w:rsid w:val="003C2F35"/>
    <w:rsid w:val="003C2FBD"/>
    <w:rsid w:val="003C30AC"/>
    <w:rsid w:val="003C39DD"/>
    <w:rsid w:val="003C39F6"/>
    <w:rsid w:val="003C4115"/>
    <w:rsid w:val="003C44D7"/>
    <w:rsid w:val="003C44ED"/>
    <w:rsid w:val="003C4604"/>
    <w:rsid w:val="003C495F"/>
    <w:rsid w:val="003C4981"/>
    <w:rsid w:val="003C5831"/>
    <w:rsid w:val="003C6230"/>
    <w:rsid w:val="003C62F0"/>
    <w:rsid w:val="003C6679"/>
    <w:rsid w:val="003C67DD"/>
    <w:rsid w:val="003C6962"/>
    <w:rsid w:val="003C6B18"/>
    <w:rsid w:val="003C6B9A"/>
    <w:rsid w:val="003C6DF1"/>
    <w:rsid w:val="003C773A"/>
    <w:rsid w:val="003C7ED4"/>
    <w:rsid w:val="003D01A6"/>
    <w:rsid w:val="003D072A"/>
    <w:rsid w:val="003D09C9"/>
    <w:rsid w:val="003D0B03"/>
    <w:rsid w:val="003D0D95"/>
    <w:rsid w:val="003D10AC"/>
    <w:rsid w:val="003D1B18"/>
    <w:rsid w:val="003D1F1B"/>
    <w:rsid w:val="003D2355"/>
    <w:rsid w:val="003D23C8"/>
    <w:rsid w:val="003D23ED"/>
    <w:rsid w:val="003D296A"/>
    <w:rsid w:val="003D2D57"/>
    <w:rsid w:val="003D2D80"/>
    <w:rsid w:val="003D2E1C"/>
    <w:rsid w:val="003D2E3D"/>
    <w:rsid w:val="003D3589"/>
    <w:rsid w:val="003D385A"/>
    <w:rsid w:val="003D4AD4"/>
    <w:rsid w:val="003D5004"/>
    <w:rsid w:val="003D526C"/>
    <w:rsid w:val="003D52B8"/>
    <w:rsid w:val="003D53FA"/>
    <w:rsid w:val="003D5476"/>
    <w:rsid w:val="003D613A"/>
    <w:rsid w:val="003D6834"/>
    <w:rsid w:val="003D6DD9"/>
    <w:rsid w:val="003D75DD"/>
    <w:rsid w:val="003D7862"/>
    <w:rsid w:val="003D7911"/>
    <w:rsid w:val="003DD62B"/>
    <w:rsid w:val="003E011A"/>
    <w:rsid w:val="003E0355"/>
    <w:rsid w:val="003E131D"/>
    <w:rsid w:val="003E14DC"/>
    <w:rsid w:val="003E1915"/>
    <w:rsid w:val="003E1A4B"/>
    <w:rsid w:val="003E1B04"/>
    <w:rsid w:val="003E1E50"/>
    <w:rsid w:val="003E2468"/>
    <w:rsid w:val="003E248E"/>
    <w:rsid w:val="003E258C"/>
    <w:rsid w:val="003E2895"/>
    <w:rsid w:val="003E2B58"/>
    <w:rsid w:val="003E2F4E"/>
    <w:rsid w:val="003E31B7"/>
    <w:rsid w:val="003E3812"/>
    <w:rsid w:val="003E398C"/>
    <w:rsid w:val="003E3F21"/>
    <w:rsid w:val="003E447F"/>
    <w:rsid w:val="003E4504"/>
    <w:rsid w:val="003E4637"/>
    <w:rsid w:val="003E474A"/>
    <w:rsid w:val="003E4D2D"/>
    <w:rsid w:val="003E4DFE"/>
    <w:rsid w:val="003E4E41"/>
    <w:rsid w:val="003E51C7"/>
    <w:rsid w:val="003E52A3"/>
    <w:rsid w:val="003E53A4"/>
    <w:rsid w:val="003E590A"/>
    <w:rsid w:val="003E5BD7"/>
    <w:rsid w:val="003E5D1D"/>
    <w:rsid w:val="003E637B"/>
    <w:rsid w:val="003E6758"/>
    <w:rsid w:val="003E67DF"/>
    <w:rsid w:val="003E681D"/>
    <w:rsid w:val="003E6959"/>
    <w:rsid w:val="003E6BB5"/>
    <w:rsid w:val="003E7394"/>
    <w:rsid w:val="003E74B4"/>
    <w:rsid w:val="003E7B6A"/>
    <w:rsid w:val="003E7DA4"/>
    <w:rsid w:val="003F01DB"/>
    <w:rsid w:val="003F05D8"/>
    <w:rsid w:val="003F0645"/>
    <w:rsid w:val="003F06F2"/>
    <w:rsid w:val="003F0B17"/>
    <w:rsid w:val="003F0CFA"/>
    <w:rsid w:val="003F0E19"/>
    <w:rsid w:val="003F10CE"/>
    <w:rsid w:val="003F125C"/>
    <w:rsid w:val="003F1618"/>
    <w:rsid w:val="003F165F"/>
    <w:rsid w:val="003F1885"/>
    <w:rsid w:val="003F1981"/>
    <w:rsid w:val="003F22E2"/>
    <w:rsid w:val="003F26C7"/>
    <w:rsid w:val="003F30AA"/>
    <w:rsid w:val="003F3109"/>
    <w:rsid w:val="003F31AF"/>
    <w:rsid w:val="003F32CB"/>
    <w:rsid w:val="003F336D"/>
    <w:rsid w:val="003F37D9"/>
    <w:rsid w:val="003F3805"/>
    <w:rsid w:val="003F3C81"/>
    <w:rsid w:val="003F48B2"/>
    <w:rsid w:val="003F4900"/>
    <w:rsid w:val="003F533A"/>
    <w:rsid w:val="003F568D"/>
    <w:rsid w:val="003F5F2D"/>
    <w:rsid w:val="003F6312"/>
    <w:rsid w:val="003F6AFC"/>
    <w:rsid w:val="003F6CDA"/>
    <w:rsid w:val="003F7A31"/>
    <w:rsid w:val="003F7F46"/>
    <w:rsid w:val="00400003"/>
    <w:rsid w:val="00400459"/>
    <w:rsid w:val="00400735"/>
    <w:rsid w:val="004007BB"/>
    <w:rsid w:val="00400998"/>
    <w:rsid w:val="004009F2"/>
    <w:rsid w:val="00400D79"/>
    <w:rsid w:val="00401073"/>
    <w:rsid w:val="00401117"/>
    <w:rsid w:val="00401995"/>
    <w:rsid w:val="00401BA2"/>
    <w:rsid w:val="00401C7F"/>
    <w:rsid w:val="00401D80"/>
    <w:rsid w:val="0040274D"/>
    <w:rsid w:val="0040285B"/>
    <w:rsid w:val="00402BDE"/>
    <w:rsid w:val="00402BF0"/>
    <w:rsid w:val="00402D3A"/>
    <w:rsid w:val="00402E68"/>
    <w:rsid w:val="00403B7E"/>
    <w:rsid w:val="00403F01"/>
    <w:rsid w:val="004043AC"/>
    <w:rsid w:val="00404576"/>
    <w:rsid w:val="0040486F"/>
    <w:rsid w:val="00404899"/>
    <w:rsid w:val="00404BE4"/>
    <w:rsid w:val="004050C2"/>
    <w:rsid w:val="00405B5B"/>
    <w:rsid w:val="00405E5F"/>
    <w:rsid w:val="004062DF"/>
    <w:rsid w:val="004066F5"/>
    <w:rsid w:val="0040676E"/>
    <w:rsid w:val="00406CC2"/>
    <w:rsid w:val="00406D9F"/>
    <w:rsid w:val="004074E5"/>
    <w:rsid w:val="004103DA"/>
    <w:rsid w:val="00410563"/>
    <w:rsid w:val="00410602"/>
    <w:rsid w:val="004106A1"/>
    <w:rsid w:val="00410864"/>
    <w:rsid w:val="004108D1"/>
    <w:rsid w:val="004108F0"/>
    <w:rsid w:val="00410A2D"/>
    <w:rsid w:val="00410BD1"/>
    <w:rsid w:val="00410D35"/>
    <w:rsid w:val="00411656"/>
    <w:rsid w:val="00411EB6"/>
    <w:rsid w:val="00411F40"/>
    <w:rsid w:val="0041229C"/>
    <w:rsid w:val="0041336E"/>
    <w:rsid w:val="004137B3"/>
    <w:rsid w:val="00413DC6"/>
    <w:rsid w:val="004146B1"/>
    <w:rsid w:val="004147D4"/>
    <w:rsid w:val="00414A09"/>
    <w:rsid w:val="00414A81"/>
    <w:rsid w:val="00414E4F"/>
    <w:rsid w:val="00414FFD"/>
    <w:rsid w:val="00415230"/>
    <w:rsid w:val="004152DB"/>
    <w:rsid w:val="00415595"/>
    <w:rsid w:val="004158D3"/>
    <w:rsid w:val="00415E1C"/>
    <w:rsid w:val="004161C3"/>
    <w:rsid w:val="00417419"/>
    <w:rsid w:val="0041751B"/>
    <w:rsid w:val="004175C3"/>
    <w:rsid w:val="004175F9"/>
    <w:rsid w:val="00417BB1"/>
    <w:rsid w:val="00417D7E"/>
    <w:rsid w:val="00420026"/>
    <w:rsid w:val="004202DD"/>
    <w:rsid w:val="00420329"/>
    <w:rsid w:val="00420D77"/>
    <w:rsid w:val="00421EC9"/>
    <w:rsid w:val="00422434"/>
    <w:rsid w:val="00422629"/>
    <w:rsid w:val="004229A6"/>
    <w:rsid w:val="00422EE1"/>
    <w:rsid w:val="00423E05"/>
    <w:rsid w:val="00423E93"/>
    <w:rsid w:val="00424974"/>
    <w:rsid w:val="004251A1"/>
    <w:rsid w:val="0042534D"/>
    <w:rsid w:val="00425B63"/>
    <w:rsid w:val="00425D79"/>
    <w:rsid w:val="00425E2B"/>
    <w:rsid w:val="00425E6E"/>
    <w:rsid w:val="004264D2"/>
    <w:rsid w:val="0042674A"/>
    <w:rsid w:val="00426902"/>
    <w:rsid w:val="00426981"/>
    <w:rsid w:val="00426C6D"/>
    <w:rsid w:val="00426FFF"/>
    <w:rsid w:val="00427074"/>
    <w:rsid w:val="0042726D"/>
    <w:rsid w:val="0042747A"/>
    <w:rsid w:val="00427743"/>
    <w:rsid w:val="004278F8"/>
    <w:rsid w:val="00427C23"/>
    <w:rsid w:val="00427C54"/>
    <w:rsid w:val="00427EFC"/>
    <w:rsid w:val="004300F4"/>
    <w:rsid w:val="004305AF"/>
    <w:rsid w:val="00430941"/>
    <w:rsid w:val="00430AA6"/>
    <w:rsid w:val="0043102E"/>
    <w:rsid w:val="0043135B"/>
    <w:rsid w:val="004320AA"/>
    <w:rsid w:val="00432785"/>
    <w:rsid w:val="004329DA"/>
    <w:rsid w:val="00432D6C"/>
    <w:rsid w:val="00433074"/>
    <w:rsid w:val="004333B8"/>
    <w:rsid w:val="00433592"/>
    <w:rsid w:val="004346AE"/>
    <w:rsid w:val="00434AC8"/>
    <w:rsid w:val="00434EA5"/>
    <w:rsid w:val="004350D4"/>
    <w:rsid w:val="00435823"/>
    <w:rsid w:val="0043599B"/>
    <w:rsid w:val="00435C6C"/>
    <w:rsid w:val="004361F4"/>
    <w:rsid w:val="00436A20"/>
    <w:rsid w:val="00436DE3"/>
    <w:rsid w:val="00437471"/>
    <w:rsid w:val="00437A8F"/>
    <w:rsid w:val="00437B48"/>
    <w:rsid w:val="00437C9B"/>
    <w:rsid w:val="0044008F"/>
    <w:rsid w:val="00440400"/>
    <w:rsid w:val="00440461"/>
    <w:rsid w:val="00441263"/>
    <w:rsid w:val="00441480"/>
    <w:rsid w:val="0044149D"/>
    <w:rsid w:val="00441A59"/>
    <w:rsid w:val="00441AB7"/>
    <w:rsid w:val="00441D03"/>
    <w:rsid w:val="00441F4D"/>
    <w:rsid w:val="0044201B"/>
    <w:rsid w:val="0044291A"/>
    <w:rsid w:val="00442F68"/>
    <w:rsid w:val="00443A62"/>
    <w:rsid w:val="00443A85"/>
    <w:rsid w:val="00443C20"/>
    <w:rsid w:val="004442FE"/>
    <w:rsid w:val="00444437"/>
    <w:rsid w:val="00444AA5"/>
    <w:rsid w:val="00444F3C"/>
    <w:rsid w:val="00445042"/>
    <w:rsid w:val="00445152"/>
    <w:rsid w:val="0044531E"/>
    <w:rsid w:val="004453D7"/>
    <w:rsid w:val="00445819"/>
    <w:rsid w:val="00445B75"/>
    <w:rsid w:val="00445C0C"/>
    <w:rsid w:val="00446437"/>
    <w:rsid w:val="0044670A"/>
    <w:rsid w:val="00446E7E"/>
    <w:rsid w:val="00446FCE"/>
    <w:rsid w:val="004470B7"/>
    <w:rsid w:val="00447CFE"/>
    <w:rsid w:val="00447D3B"/>
    <w:rsid w:val="00447E31"/>
    <w:rsid w:val="00447F66"/>
    <w:rsid w:val="004501E6"/>
    <w:rsid w:val="00450442"/>
    <w:rsid w:val="0045061F"/>
    <w:rsid w:val="00451110"/>
    <w:rsid w:val="004511CA"/>
    <w:rsid w:val="00451631"/>
    <w:rsid w:val="00451B7C"/>
    <w:rsid w:val="00451F01"/>
    <w:rsid w:val="00451F0C"/>
    <w:rsid w:val="004524DF"/>
    <w:rsid w:val="0045272F"/>
    <w:rsid w:val="00452CA4"/>
    <w:rsid w:val="004533B0"/>
    <w:rsid w:val="00453689"/>
    <w:rsid w:val="004538AD"/>
    <w:rsid w:val="00453C1B"/>
    <w:rsid w:val="0045407D"/>
    <w:rsid w:val="0045445F"/>
    <w:rsid w:val="00454BD7"/>
    <w:rsid w:val="00454E4A"/>
    <w:rsid w:val="00455310"/>
    <w:rsid w:val="004557F4"/>
    <w:rsid w:val="00456365"/>
    <w:rsid w:val="00456DF7"/>
    <w:rsid w:val="00456E47"/>
    <w:rsid w:val="00456F0D"/>
    <w:rsid w:val="00457326"/>
    <w:rsid w:val="0045745F"/>
    <w:rsid w:val="00457B30"/>
    <w:rsid w:val="00457BEA"/>
    <w:rsid w:val="00460033"/>
    <w:rsid w:val="00460405"/>
    <w:rsid w:val="0046085A"/>
    <w:rsid w:val="00460DC4"/>
    <w:rsid w:val="00460F89"/>
    <w:rsid w:val="00461327"/>
    <w:rsid w:val="00461469"/>
    <w:rsid w:val="0046158F"/>
    <w:rsid w:val="0046183A"/>
    <w:rsid w:val="004619EE"/>
    <w:rsid w:val="00461AE0"/>
    <w:rsid w:val="00461CB7"/>
    <w:rsid w:val="00461FCF"/>
    <w:rsid w:val="00462013"/>
    <w:rsid w:val="0046331C"/>
    <w:rsid w:val="00463327"/>
    <w:rsid w:val="00463AB1"/>
    <w:rsid w:val="00463D91"/>
    <w:rsid w:val="00464054"/>
    <w:rsid w:val="0046448B"/>
    <w:rsid w:val="004649EB"/>
    <w:rsid w:val="00465305"/>
    <w:rsid w:val="00465AEB"/>
    <w:rsid w:val="00465B9E"/>
    <w:rsid w:val="00465DBD"/>
    <w:rsid w:val="00466008"/>
    <w:rsid w:val="00466147"/>
    <w:rsid w:val="004663E8"/>
    <w:rsid w:val="004663FF"/>
    <w:rsid w:val="00466F06"/>
    <w:rsid w:val="00467AD8"/>
    <w:rsid w:val="00467ADD"/>
    <w:rsid w:val="00467B65"/>
    <w:rsid w:val="00467C50"/>
    <w:rsid w:val="0047011B"/>
    <w:rsid w:val="00470393"/>
    <w:rsid w:val="004708E0"/>
    <w:rsid w:val="004709D0"/>
    <w:rsid w:val="00471250"/>
    <w:rsid w:val="00471548"/>
    <w:rsid w:val="0047189E"/>
    <w:rsid w:val="00472698"/>
    <w:rsid w:val="00472A61"/>
    <w:rsid w:val="00472B22"/>
    <w:rsid w:val="00473097"/>
    <w:rsid w:val="00473233"/>
    <w:rsid w:val="0047339D"/>
    <w:rsid w:val="00473744"/>
    <w:rsid w:val="00473CC8"/>
    <w:rsid w:val="00473CF9"/>
    <w:rsid w:val="00474C0C"/>
    <w:rsid w:val="0047523B"/>
    <w:rsid w:val="00475269"/>
    <w:rsid w:val="00475310"/>
    <w:rsid w:val="00475831"/>
    <w:rsid w:val="00475B7D"/>
    <w:rsid w:val="00475C5E"/>
    <w:rsid w:val="00475CA8"/>
    <w:rsid w:val="00476090"/>
    <w:rsid w:val="004760FF"/>
    <w:rsid w:val="004764F3"/>
    <w:rsid w:val="0047694E"/>
    <w:rsid w:val="00476CA4"/>
    <w:rsid w:val="00476E09"/>
    <w:rsid w:val="00477064"/>
    <w:rsid w:val="004770A2"/>
    <w:rsid w:val="0047715A"/>
    <w:rsid w:val="004772B4"/>
    <w:rsid w:val="0047778C"/>
    <w:rsid w:val="00477851"/>
    <w:rsid w:val="004778B7"/>
    <w:rsid w:val="00477A03"/>
    <w:rsid w:val="00477DFD"/>
    <w:rsid w:val="00477E9F"/>
    <w:rsid w:val="004804E6"/>
    <w:rsid w:val="00480545"/>
    <w:rsid w:val="00480669"/>
    <w:rsid w:val="004811C8"/>
    <w:rsid w:val="00481381"/>
    <w:rsid w:val="004814E1"/>
    <w:rsid w:val="00481AF0"/>
    <w:rsid w:val="00481C12"/>
    <w:rsid w:val="00482053"/>
    <w:rsid w:val="00482369"/>
    <w:rsid w:val="00482375"/>
    <w:rsid w:val="004824F9"/>
    <w:rsid w:val="004827E9"/>
    <w:rsid w:val="004829FA"/>
    <w:rsid w:val="00482A39"/>
    <w:rsid w:val="004837D2"/>
    <w:rsid w:val="00483888"/>
    <w:rsid w:val="00483A4D"/>
    <w:rsid w:val="00483B47"/>
    <w:rsid w:val="00483CD6"/>
    <w:rsid w:val="00483D94"/>
    <w:rsid w:val="00483FC3"/>
    <w:rsid w:val="0048439F"/>
    <w:rsid w:val="004844BA"/>
    <w:rsid w:val="00484642"/>
    <w:rsid w:val="0048475D"/>
    <w:rsid w:val="00484BF0"/>
    <w:rsid w:val="0048515A"/>
    <w:rsid w:val="00485237"/>
    <w:rsid w:val="00486215"/>
    <w:rsid w:val="00486AE1"/>
    <w:rsid w:val="00486B70"/>
    <w:rsid w:val="00486BE4"/>
    <w:rsid w:val="00486EE6"/>
    <w:rsid w:val="004874C8"/>
    <w:rsid w:val="00487654"/>
    <w:rsid w:val="004876B0"/>
    <w:rsid w:val="004879C8"/>
    <w:rsid w:val="004906C9"/>
    <w:rsid w:val="00490C50"/>
    <w:rsid w:val="004910B5"/>
    <w:rsid w:val="00491C20"/>
    <w:rsid w:val="00491C48"/>
    <w:rsid w:val="00492384"/>
    <w:rsid w:val="00492A9F"/>
    <w:rsid w:val="004932F1"/>
    <w:rsid w:val="00493A6A"/>
    <w:rsid w:val="00493B3D"/>
    <w:rsid w:val="00493B8F"/>
    <w:rsid w:val="00493D07"/>
    <w:rsid w:val="00493F6F"/>
    <w:rsid w:val="0049412A"/>
    <w:rsid w:val="00494382"/>
    <w:rsid w:val="00494781"/>
    <w:rsid w:val="00494892"/>
    <w:rsid w:val="00494AFF"/>
    <w:rsid w:val="00494B3D"/>
    <w:rsid w:val="00494CF8"/>
    <w:rsid w:val="00494DC6"/>
    <w:rsid w:val="00494E29"/>
    <w:rsid w:val="00494E55"/>
    <w:rsid w:val="0049560A"/>
    <w:rsid w:val="00495A4C"/>
    <w:rsid w:val="00495B9F"/>
    <w:rsid w:val="00495F2C"/>
    <w:rsid w:val="004963F8"/>
    <w:rsid w:val="00496626"/>
    <w:rsid w:val="00496785"/>
    <w:rsid w:val="004969C3"/>
    <w:rsid w:val="00496CB6"/>
    <w:rsid w:val="00496D7C"/>
    <w:rsid w:val="00496FDD"/>
    <w:rsid w:val="0049748E"/>
    <w:rsid w:val="00497730"/>
    <w:rsid w:val="00497904"/>
    <w:rsid w:val="00497AF3"/>
    <w:rsid w:val="00497AF5"/>
    <w:rsid w:val="00497F6E"/>
    <w:rsid w:val="004A0306"/>
    <w:rsid w:val="004A0909"/>
    <w:rsid w:val="004A0AC0"/>
    <w:rsid w:val="004A0B84"/>
    <w:rsid w:val="004A1005"/>
    <w:rsid w:val="004A1430"/>
    <w:rsid w:val="004A16F4"/>
    <w:rsid w:val="004A18F1"/>
    <w:rsid w:val="004A191E"/>
    <w:rsid w:val="004A1C73"/>
    <w:rsid w:val="004A1E3E"/>
    <w:rsid w:val="004A220B"/>
    <w:rsid w:val="004A2737"/>
    <w:rsid w:val="004A2A3C"/>
    <w:rsid w:val="004A2D38"/>
    <w:rsid w:val="004A33FF"/>
    <w:rsid w:val="004A3955"/>
    <w:rsid w:val="004A3C23"/>
    <w:rsid w:val="004A44ED"/>
    <w:rsid w:val="004A454B"/>
    <w:rsid w:val="004A4884"/>
    <w:rsid w:val="004A49E2"/>
    <w:rsid w:val="004A4CEA"/>
    <w:rsid w:val="004A54B7"/>
    <w:rsid w:val="004A550B"/>
    <w:rsid w:val="004A5684"/>
    <w:rsid w:val="004A587C"/>
    <w:rsid w:val="004A60D4"/>
    <w:rsid w:val="004A61C6"/>
    <w:rsid w:val="004A651C"/>
    <w:rsid w:val="004A655A"/>
    <w:rsid w:val="004A6826"/>
    <w:rsid w:val="004A6A14"/>
    <w:rsid w:val="004A6A5F"/>
    <w:rsid w:val="004A7381"/>
    <w:rsid w:val="004A7448"/>
    <w:rsid w:val="004A74C4"/>
    <w:rsid w:val="004A7765"/>
    <w:rsid w:val="004A798B"/>
    <w:rsid w:val="004B014A"/>
    <w:rsid w:val="004B027B"/>
    <w:rsid w:val="004B032E"/>
    <w:rsid w:val="004B0345"/>
    <w:rsid w:val="004B0486"/>
    <w:rsid w:val="004B0934"/>
    <w:rsid w:val="004B0970"/>
    <w:rsid w:val="004B17BE"/>
    <w:rsid w:val="004B193C"/>
    <w:rsid w:val="004B1F91"/>
    <w:rsid w:val="004B2B5D"/>
    <w:rsid w:val="004B2B80"/>
    <w:rsid w:val="004B2C2C"/>
    <w:rsid w:val="004B315D"/>
    <w:rsid w:val="004B342A"/>
    <w:rsid w:val="004B3A3A"/>
    <w:rsid w:val="004B4651"/>
    <w:rsid w:val="004B49A3"/>
    <w:rsid w:val="004B4CDD"/>
    <w:rsid w:val="004B55D3"/>
    <w:rsid w:val="004B5803"/>
    <w:rsid w:val="004B5835"/>
    <w:rsid w:val="004B5A55"/>
    <w:rsid w:val="004B5B45"/>
    <w:rsid w:val="004B630D"/>
    <w:rsid w:val="004B64AD"/>
    <w:rsid w:val="004B6655"/>
    <w:rsid w:val="004B66D5"/>
    <w:rsid w:val="004B6A64"/>
    <w:rsid w:val="004B6BF3"/>
    <w:rsid w:val="004B6C1B"/>
    <w:rsid w:val="004B7575"/>
    <w:rsid w:val="004B76EC"/>
    <w:rsid w:val="004B7B97"/>
    <w:rsid w:val="004B7E28"/>
    <w:rsid w:val="004B7E79"/>
    <w:rsid w:val="004B7E99"/>
    <w:rsid w:val="004C0D95"/>
    <w:rsid w:val="004C10D0"/>
    <w:rsid w:val="004C16E1"/>
    <w:rsid w:val="004C1728"/>
    <w:rsid w:val="004C189B"/>
    <w:rsid w:val="004C18A2"/>
    <w:rsid w:val="004C192E"/>
    <w:rsid w:val="004C219B"/>
    <w:rsid w:val="004C266E"/>
    <w:rsid w:val="004C2709"/>
    <w:rsid w:val="004C2735"/>
    <w:rsid w:val="004C286A"/>
    <w:rsid w:val="004C2C77"/>
    <w:rsid w:val="004C3044"/>
    <w:rsid w:val="004C33C5"/>
    <w:rsid w:val="004C3D79"/>
    <w:rsid w:val="004C44DC"/>
    <w:rsid w:val="004C47C0"/>
    <w:rsid w:val="004C4CC8"/>
    <w:rsid w:val="004C4D45"/>
    <w:rsid w:val="004C55F1"/>
    <w:rsid w:val="004C5A62"/>
    <w:rsid w:val="004C5B7E"/>
    <w:rsid w:val="004C69E4"/>
    <w:rsid w:val="004C76B5"/>
    <w:rsid w:val="004C7702"/>
    <w:rsid w:val="004C7CCA"/>
    <w:rsid w:val="004C7E71"/>
    <w:rsid w:val="004C7F7F"/>
    <w:rsid w:val="004D05CC"/>
    <w:rsid w:val="004D0FAE"/>
    <w:rsid w:val="004D126C"/>
    <w:rsid w:val="004D1313"/>
    <w:rsid w:val="004D14B0"/>
    <w:rsid w:val="004D174C"/>
    <w:rsid w:val="004D1868"/>
    <w:rsid w:val="004D18B8"/>
    <w:rsid w:val="004D1BAA"/>
    <w:rsid w:val="004D1E88"/>
    <w:rsid w:val="004D1F07"/>
    <w:rsid w:val="004D229A"/>
    <w:rsid w:val="004D2522"/>
    <w:rsid w:val="004D26E9"/>
    <w:rsid w:val="004D2716"/>
    <w:rsid w:val="004D27F4"/>
    <w:rsid w:val="004D2A74"/>
    <w:rsid w:val="004D326D"/>
    <w:rsid w:val="004D384D"/>
    <w:rsid w:val="004D38B4"/>
    <w:rsid w:val="004D3D56"/>
    <w:rsid w:val="004D40CE"/>
    <w:rsid w:val="004D4121"/>
    <w:rsid w:val="004D4249"/>
    <w:rsid w:val="004D432A"/>
    <w:rsid w:val="004D4508"/>
    <w:rsid w:val="004D5A6D"/>
    <w:rsid w:val="004D5D39"/>
    <w:rsid w:val="004D60FB"/>
    <w:rsid w:val="004D6738"/>
    <w:rsid w:val="004D6967"/>
    <w:rsid w:val="004D6F2C"/>
    <w:rsid w:val="004D6F7A"/>
    <w:rsid w:val="004D6FE0"/>
    <w:rsid w:val="004D735E"/>
    <w:rsid w:val="004D764B"/>
    <w:rsid w:val="004D7A5D"/>
    <w:rsid w:val="004D7D49"/>
    <w:rsid w:val="004E0CB2"/>
    <w:rsid w:val="004E0DC7"/>
    <w:rsid w:val="004E1196"/>
    <w:rsid w:val="004E163C"/>
    <w:rsid w:val="004E16B5"/>
    <w:rsid w:val="004E18AD"/>
    <w:rsid w:val="004E195C"/>
    <w:rsid w:val="004E1B03"/>
    <w:rsid w:val="004E1DAD"/>
    <w:rsid w:val="004E1DD0"/>
    <w:rsid w:val="004E1F85"/>
    <w:rsid w:val="004E225E"/>
    <w:rsid w:val="004E31F0"/>
    <w:rsid w:val="004E32B3"/>
    <w:rsid w:val="004E3513"/>
    <w:rsid w:val="004E42B6"/>
    <w:rsid w:val="004E4914"/>
    <w:rsid w:val="004E4D99"/>
    <w:rsid w:val="004E51D2"/>
    <w:rsid w:val="004E595E"/>
    <w:rsid w:val="004E59CF"/>
    <w:rsid w:val="004E5C4D"/>
    <w:rsid w:val="004E620D"/>
    <w:rsid w:val="004E6211"/>
    <w:rsid w:val="004E6288"/>
    <w:rsid w:val="004E65A6"/>
    <w:rsid w:val="004E65CC"/>
    <w:rsid w:val="004E666A"/>
    <w:rsid w:val="004E67B7"/>
    <w:rsid w:val="004E6FAC"/>
    <w:rsid w:val="004E751B"/>
    <w:rsid w:val="004E770F"/>
    <w:rsid w:val="004E7ADB"/>
    <w:rsid w:val="004E7E73"/>
    <w:rsid w:val="004E7FB8"/>
    <w:rsid w:val="004F01AB"/>
    <w:rsid w:val="004F03A6"/>
    <w:rsid w:val="004F048F"/>
    <w:rsid w:val="004F0561"/>
    <w:rsid w:val="004F09A8"/>
    <w:rsid w:val="004F0B5C"/>
    <w:rsid w:val="004F0B6E"/>
    <w:rsid w:val="004F10C9"/>
    <w:rsid w:val="004F124F"/>
    <w:rsid w:val="004F166D"/>
    <w:rsid w:val="004F1F3C"/>
    <w:rsid w:val="004F212F"/>
    <w:rsid w:val="004F2BBA"/>
    <w:rsid w:val="004F2DDC"/>
    <w:rsid w:val="004F2E39"/>
    <w:rsid w:val="004F2E3D"/>
    <w:rsid w:val="004F33B3"/>
    <w:rsid w:val="004F3E55"/>
    <w:rsid w:val="004F3E9E"/>
    <w:rsid w:val="004F4259"/>
    <w:rsid w:val="004F4296"/>
    <w:rsid w:val="004F4329"/>
    <w:rsid w:val="004F43B5"/>
    <w:rsid w:val="004F492B"/>
    <w:rsid w:val="004F4C3D"/>
    <w:rsid w:val="004F50AD"/>
    <w:rsid w:val="004F5623"/>
    <w:rsid w:val="004F5B00"/>
    <w:rsid w:val="004F5BF2"/>
    <w:rsid w:val="004F62E7"/>
    <w:rsid w:val="004F690C"/>
    <w:rsid w:val="004F6EEF"/>
    <w:rsid w:val="004F7377"/>
    <w:rsid w:val="004F78EC"/>
    <w:rsid w:val="004FD462"/>
    <w:rsid w:val="005004C3"/>
    <w:rsid w:val="00500DC9"/>
    <w:rsid w:val="00500E1B"/>
    <w:rsid w:val="00501045"/>
    <w:rsid w:val="005010EF"/>
    <w:rsid w:val="005013EE"/>
    <w:rsid w:val="005018DE"/>
    <w:rsid w:val="0050217A"/>
    <w:rsid w:val="0050275D"/>
    <w:rsid w:val="005027E1"/>
    <w:rsid w:val="005027EE"/>
    <w:rsid w:val="00502FD9"/>
    <w:rsid w:val="00503329"/>
    <w:rsid w:val="005035C6"/>
    <w:rsid w:val="00503C97"/>
    <w:rsid w:val="00503D0D"/>
    <w:rsid w:val="00504357"/>
    <w:rsid w:val="005044DB"/>
    <w:rsid w:val="00504539"/>
    <w:rsid w:val="0050495F"/>
    <w:rsid w:val="00504E0B"/>
    <w:rsid w:val="005050DB"/>
    <w:rsid w:val="00505272"/>
    <w:rsid w:val="00505FC5"/>
    <w:rsid w:val="005061B6"/>
    <w:rsid w:val="00506275"/>
    <w:rsid w:val="005068EC"/>
    <w:rsid w:val="005069A7"/>
    <w:rsid w:val="00506A87"/>
    <w:rsid w:val="00507395"/>
    <w:rsid w:val="005076BB"/>
    <w:rsid w:val="00507703"/>
    <w:rsid w:val="005079DB"/>
    <w:rsid w:val="00507B3E"/>
    <w:rsid w:val="00507C24"/>
    <w:rsid w:val="005101DA"/>
    <w:rsid w:val="005110D4"/>
    <w:rsid w:val="005112A0"/>
    <w:rsid w:val="0051134A"/>
    <w:rsid w:val="00511FE2"/>
    <w:rsid w:val="00512520"/>
    <w:rsid w:val="00512688"/>
    <w:rsid w:val="005126D3"/>
    <w:rsid w:val="005128F7"/>
    <w:rsid w:val="00512BF9"/>
    <w:rsid w:val="00512D48"/>
    <w:rsid w:val="00512DAB"/>
    <w:rsid w:val="00512F2F"/>
    <w:rsid w:val="005131C9"/>
    <w:rsid w:val="005132E5"/>
    <w:rsid w:val="00513528"/>
    <w:rsid w:val="005143D4"/>
    <w:rsid w:val="0051468E"/>
    <w:rsid w:val="00514760"/>
    <w:rsid w:val="005147C8"/>
    <w:rsid w:val="00514CBC"/>
    <w:rsid w:val="00514F65"/>
    <w:rsid w:val="0051599B"/>
    <w:rsid w:val="005159A9"/>
    <w:rsid w:val="00515AC0"/>
    <w:rsid w:val="0051610A"/>
    <w:rsid w:val="00516890"/>
    <w:rsid w:val="00516D2D"/>
    <w:rsid w:val="0051730A"/>
    <w:rsid w:val="005178BA"/>
    <w:rsid w:val="00517B17"/>
    <w:rsid w:val="00517C03"/>
    <w:rsid w:val="00517CF2"/>
    <w:rsid w:val="00520395"/>
    <w:rsid w:val="005205B7"/>
    <w:rsid w:val="005208A4"/>
    <w:rsid w:val="00520C94"/>
    <w:rsid w:val="00521B91"/>
    <w:rsid w:val="00522356"/>
    <w:rsid w:val="0052282F"/>
    <w:rsid w:val="00522913"/>
    <w:rsid w:val="0052301A"/>
    <w:rsid w:val="005233EA"/>
    <w:rsid w:val="00523C22"/>
    <w:rsid w:val="00523EC4"/>
    <w:rsid w:val="00524404"/>
    <w:rsid w:val="005244EB"/>
    <w:rsid w:val="00524C39"/>
    <w:rsid w:val="00524CB1"/>
    <w:rsid w:val="00524EC1"/>
    <w:rsid w:val="00524FE2"/>
    <w:rsid w:val="00525048"/>
    <w:rsid w:val="005251DC"/>
    <w:rsid w:val="00525240"/>
    <w:rsid w:val="005252C5"/>
    <w:rsid w:val="00525372"/>
    <w:rsid w:val="005253A6"/>
    <w:rsid w:val="005258E3"/>
    <w:rsid w:val="005259FF"/>
    <w:rsid w:val="00525BE5"/>
    <w:rsid w:val="00525E50"/>
    <w:rsid w:val="00526103"/>
    <w:rsid w:val="0052616E"/>
    <w:rsid w:val="00526197"/>
    <w:rsid w:val="0052633A"/>
    <w:rsid w:val="00526533"/>
    <w:rsid w:val="00526A0F"/>
    <w:rsid w:val="00526B71"/>
    <w:rsid w:val="00526B87"/>
    <w:rsid w:val="005274E3"/>
    <w:rsid w:val="0052761E"/>
    <w:rsid w:val="00527F6C"/>
    <w:rsid w:val="0053046D"/>
    <w:rsid w:val="00530755"/>
    <w:rsid w:val="005316A6"/>
    <w:rsid w:val="00531838"/>
    <w:rsid w:val="00531F44"/>
    <w:rsid w:val="005321C5"/>
    <w:rsid w:val="005323CD"/>
    <w:rsid w:val="00533354"/>
    <w:rsid w:val="005335E3"/>
    <w:rsid w:val="0053383C"/>
    <w:rsid w:val="00533B05"/>
    <w:rsid w:val="005346B5"/>
    <w:rsid w:val="0053537E"/>
    <w:rsid w:val="00535462"/>
    <w:rsid w:val="00535491"/>
    <w:rsid w:val="00535588"/>
    <w:rsid w:val="00536B9D"/>
    <w:rsid w:val="00536F5E"/>
    <w:rsid w:val="005378AF"/>
    <w:rsid w:val="00537C50"/>
    <w:rsid w:val="00537D8A"/>
    <w:rsid w:val="00537E03"/>
    <w:rsid w:val="00537FEB"/>
    <w:rsid w:val="00540075"/>
    <w:rsid w:val="005401E1"/>
    <w:rsid w:val="00540290"/>
    <w:rsid w:val="0054047E"/>
    <w:rsid w:val="005404CA"/>
    <w:rsid w:val="00540944"/>
    <w:rsid w:val="00541471"/>
    <w:rsid w:val="00541718"/>
    <w:rsid w:val="005418E5"/>
    <w:rsid w:val="00541996"/>
    <w:rsid w:val="00541B56"/>
    <w:rsid w:val="00541CF6"/>
    <w:rsid w:val="00541E4D"/>
    <w:rsid w:val="00541F24"/>
    <w:rsid w:val="005421AD"/>
    <w:rsid w:val="00542236"/>
    <w:rsid w:val="005424AA"/>
    <w:rsid w:val="005429A1"/>
    <w:rsid w:val="00542D89"/>
    <w:rsid w:val="005432B7"/>
    <w:rsid w:val="005435FF"/>
    <w:rsid w:val="00543A07"/>
    <w:rsid w:val="00543C09"/>
    <w:rsid w:val="00544214"/>
    <w:rsid w:val="00544590"/>
    <w:rsid w:val="005450B5"/>
    <w:rsid w:val="00545369"/>
    <w:rsid w:val="005458AA"/>
    <w:rsid w:val="00545FE9"/>
    <w:rsid w:val="00546046"/>
    <w:rsid w:val="0054672D"/>
    <w:rsid w:val="00547228"/>
    <w:rsid w:val="005474D4"/>
    <w:rsid w:val="00547580"/>
    <w:rsid w:val="005476FC"/>
    <w:rsid w:val="005477B4"/>
    <w:rsid w:val="00550EA2"/>
    <w:rsid w:val="00551299"/>
    <w:rsid w:val="00551AFA"/>
    <w:rsid w:val="00551BA6"/>
    <w:rsid w:val="00551C80"/>
    <w:rsid w:val="00551CE6"/>
    <w:rsid w:val="00551F1E"/>
    <w:rsid w:val="00552430"/>
    <w:rsid w:val="00552ACC"/>
    <w:rsid w:val="00552F07"/>
    <w:rsid w:val="00552FA9"/>
    <w:rsid w:val="0055319E"/>
    <w:rsid w:val="005534D3"/>
    <w:rsid w:val="00553550"/>
    <w:rsid w:val="0055371B"/>
    <w:rsid w:val="00553FDA"/>
    <w:rsid w:val="005540A6"/>
    <w:rsid w:val="0055489F"/>
    <w:rsid w:val="00554934"/>
    <w:rsid w:val="0055493F"/>
    <w:rsid w:val="0055558C"/>
    <w:rsid w:val="00555809"/>
    <w:rsid w:val="00555A59"/>
    <w:rsid w:val="00555F44"/>
    <w:rsid w:val="005560C7"/>
    <w:rsid w:val="0055657E"/>
    <w:rsid w:val="00556885"/>
    <w:rsid w:val="00556D22"/>
    <w:rsid w:val="00556F38"/>
    <w:rsid w:val="00557282"/>
    <w:rsid w:val="00557313"/>
    <w:rsid w:val="00557378"/>
    <w:rsid w:val="00557882"/>
    <w:rsid w:val="005578AC"/>
    <w:rsid w:val="00557967"/>
    <w:rsid w:val="00557B17"/>
    <w:rsid w:val="00557B25"/>
    <w:rsid w:val="00557D97"/>
    <w:rsid w:val="00557E4D"/>
    <w:rsid w:val="00557E4E"/>
    <w:rsid w:val="0056045B"/>
    <w:rsid w:val="0056072D"/>
    <w:rsid w:val="00560737"/>
    <w:rsid w:val="00561754"/>
    <w:rsid w:val="00561A10"/>
    <w:rsid w:val="00562319"/>
    <w:rsid w:val="005629BA"/>
    <w:rsid w:val="00562ABB"/>
    <w:rsid w:val="00562E46"/>
    <w:rsid w:val="00562FD1"/>
    <w:rsid w:val="0056333D"/>
    <w:rsid w:val="005635D2"/>
    <w:rsid w:val="00563686"/>
    <w:rsid w:val="00563804"/>
    <w:rsid w:val="00563963"/>
    <w:rsid w:val="0056405C"/>
    <w:rsid w:val="00564065"/>
    <w:rsid w:val="00564B46"/>
    <w:rsid w:val="00564CB1"/>
    <w:rsid w:val="00564D6F"/>
    <w:rsid w:val="00564E4F"/>
    <w:rsid w:val="005655A6"/>
    <w:rsid w:val="0056561D"/>
    <w:rsid w:val="0056565B"/>
    <w:rsid w:val="005658BB"/>
    <w:rsid w:val="005659D7"/>
    <w:rsid w:val="00565C44"/>
    <w:rsid w:val="00565CB1"/>
    <w:rsid w:val="00565CD2"/>
    <w:rsid w:val="00565D61"/>
    <w:rsid w:val="00565E1E"/>
    <w:rsid w:val="005661C0"/>
    <w:rsid w:val="0056630A"/>
    <w:rsid w:val="00566384"/>
    <w:rsid w:val="0056652D"/>
    <w:rsid w:val="00566851"/>
    <w:rsid w:val="00566DA0"/>
    <w:rsid w:val="00566ECB"/>
    <w:rsid w:val="005670BC"/>
    <w:rsid w:val="0056712D"/>
    <w:rsid w:val="00567C5A"/>
    <w:rsid w:val="00567D7C"/>
    <w:rsid w:val="00570499"/>
    <w:rsid w:val="00570C47"/>
    <w:rsid w:val="00570D73"/>
    <w:rsid w:val="00570F48"/>
    <w:rsid w:val="00570F50"/>
    <w:rsid w:val="00571036"/>
    <w:rsid w:val="00571044"/>
    <w:rsid w:val="0057114C"/>
    <w:rsid w:val="0057294F"/>
    <w:rsid w:val="00572C26"/>
    <w:rsid w:val="0057330A"/>
    <w:rsid w:val="005734E1"/>
    <w:rsid w:val="00573700"/>
    <w:rsid w:val="005744A4"/>
    <w:rsid w:val="005748CE"/>
    <w:rsid w:val="00574C57"/>
    <w:rsid w:val="00574F3E"/>
    <w:rsid w:val="00574F9D"/>
    <w:rsid w:val="00575406"/>
    <w:rsid w:val="005756BE"/>
    <w:rsid w:val="005757A5"/>
    <w:rsid w:val="00575A45"/>
    <w:rsid w:val="00575D7D"/>
    <w:rsid w:val="005764F3"/>
    <w:rsid w:val="00576A2B"/>
    <w:rsid w:val="0057706E"/>
    <w:rsid w:val="005770D2"/>
    <w:rsid w:val="00577319"/>
    <w:rsid w:val="005776B1"/>
    <w:rsid w:val="0057789A"/>
    <w:rsid w:val="00577C50"/>
    <w:rsid w:val="00577F0C"/>
    <w:rsid w:val="00580346"/>
    <w:rsid w:val="005808D0"/>
    <w:rsid w:val="00580939"/>
    <w:rsid w:val="00580A73"/>
    <w:rsid w:val="00581386"/>
    <w:rsid w:val="0058140A"/>
    <w:rsid w:val="00581567"/>
    <w:rsid w:val="00581770"/>
    <w:rsid w:val="00581A71"/>
    <w:rsid w:val="00581DB3"/>
    <w:rsid w:val="00581FCB"/>
    <w:rsid w:val="005820E3"/>
    <w:rsid w:val="00582883"/>
    <w:rsid w:val="0058290A"/>
    <w:rsid w:val="0058303E"/>
    <w:rsid w:val="005834E1"/>
    <w:rsid w:val="005836F0"/>
    <w:rsid w:val="0058382B"/>
    <w:rsid w:val="00584067"/>
    <w:rsid w:val="00584092"/>
    <w:rsid w:val="00584920"/>
    <w:rsid w:val="00584B06"/>
    <w:rsid w:val="00584B39"/>
    <w:rsid w:val="00584BA9"/>
    <w:rsid w:val="00584C78"/>
    <w:rsid w:val="00584DDB"/>
    <w:rsid w:val="00584EB6"/>
    <w:rsid w:val="00584ECA"/>
    <w:rsid w:val="0058589E"/>
    <w:rsid w:val="0058594B"/>
    <w:rsid w:val="00585CB8"/>
    <w:rsid w:val="00585DFD"/>
    <w:rsid w:val="005873F1"/>
    <w:rsid w:val="00587771"/>
    <w:rsid w:val="00587C2C"/>
    <w:rsid w:val="00587C9F"/>
    <w:rsid w:val="005902AA"/>
    <w:rsid w:val="0059056F"/>
    <w:rsid w:val="00590B9C"/>
    <w:rsid w:val="00590E28"/>
    <w:rsid w:val="005922C4"/>
    <w:rsid w:val="005923E5"/>
    <w:rsid w:val="0059273A"/>
    <w:rsid w:val="0059301D"/>
    <w:rsid w:val="005930B0"/>
    <w:rsid w:val="00593FAE"/>
    <w:rsid w:val="005940DA"/>
    <w:rsid w:val="0059469F"/>
    <w:rsid w:val="00594782"/>
    <w:rsid w:val="00594FBA"/>
    <w:rsid w:val="0059504E"/>
    <w:rsid w:val="005950EA"/>
    <w:rsid w:val="0059539A"/>
    <w:rsid w:val="005962DD"/>
    <w:rsid w:val="00596388"/>
    <w:rsid w:val="005963F6"/>
    <w:rsid w:val="005964FF"/>
    <w:rsid w:val="00596525"/>
    <w:rsid w:val="005970A3"/>
    <w:rsid w:val="00597205"/>
    <w:rsid w:val="0059744A"/>
    <w:rsid w:val="005A0317"/>
    <w:rsid w:val="005A0414"/>
    <w:rsid w:val="005A0619"/>
    <w:rsid w:val="005A0EBB"/>
    <w:rsid w:val="005A0F2B"/>
    <w:rsid w:val="005A1CAD"/>
    <w:rsid w:val="005A256C"/>
    <w:rsid w:val="005A2957"/>
    <w:rsid w:val="005A2C66"/>
    <w:rsid w:val="005A3062"/>
    <w:rsid w:val="005A3269"/>
    <w:rsid w:val="005A35F8"/>
    <w:rsid w:val="005A3DFF"/>
    <w:rsid w:val="005A415E"/>
    <w:rsid w:val="005A4AE3"/>
    <w:rsid w:val="005A50B4"/>
    <w:rsid w:val="005A5340"/>
    <w:rsid w:val="005A55C6"/>
    <w:rsid w:val="005A578E"/>
    <w:rsid w:val="005A5F08"/>
    <w:rsid w:val="005A60FB"/>
    <w:rsid w:val="005A61C2"/>
    <w:rsid w:val="005A633D"/>
    <w:rsid w:val="005A673E"/>
    <w:rsid w:val="005A6F58"/>
    <w:rsid w:val="005A707E"/>
    <w:rsid w:val="005A724F"/>
    <w:rsid w:val="005A768A"/>
    <w:rsid w:val="005A78D0"/>
    <w:rsid w:val="005B09C6"/>
    <w:rsid w:val="005B0AED"/>
    <w:rsid w:val="005B0E2E"/>
    <w:rsid w:val="005B0F57"/>
    <w:rsid w:val="005B12F4"/>
    <w:rsid w:val="005B131B"/>
    <w:rsid w:val="005B194A"/>
    <w:rsid w:val="005B205D"/>
    <w:rsid w:val="005B20F5"/>
    <w:rsid w:val="005B21B8"/>
    <w:rsid w:val="005B2483"/>
    <w:rsid w:val="005B2522"/>
    <w:rsid w:val="005B27BA"/>
    <w:rsid w:val="005B2B18"/>
    <w:rsid w:val="005B2C8C"/>
    <w:rsid w:val="005B3196"/>
    <w:rsid w:val="005B3E5C"/>
    <w:rsid w:val="005B3E88"/>
    <w:rsid w:val="005B4696"/>
    <w:rsid w:val="005B46AD"/>
    <w:rsid w:val="005B4792"/>
    <w:rsid w:val="005B48AA"/>
    <w:rsid w:val="005B49B9"/>
    <w:rsid w:val="005B4B10"/>
    <w:rsid w:val="005B4F07"/>
    <w:rsid w:val="005B4F9F"/>
    <w:rsid w:val="005B5450"/>
    <w:rsid w:val="005B5502"/>
    <w:rsid w:val="005B60A7"/>
    <w:rsid w:val="005B6185"/>
    <w:rsid w:val="005B61EB"/>
    <w:rsid w:val="005B6431"/>
    <w:rsid w:val="005B652F"/>
    <w:rsid w:val="005B6A3C"/>
    <w:rsid w:val="005B6D5A"/>
    <w:rsid w:val="005B71AA"/>
    <w:rsid w:val="005B732B"/>
    <w:rsid w:val="005B742F"/>
    <w:rsid w:val="005B780D"/>
    <w:rsid w:val="005B7906"/>
    <w:rsid w:val="005B792F"/>
    <w:rsid w:val="005B7D2B"/>
    <w:rsid w:val="005B7DB4"/>
    <w:rsid w:val="005C00FD"/>
    <w:rsid w:val="005C01EB"/>
    <w:rsid w:val="005C03E8"/>
    <w:rsid w:val="005C04FC"/>
    <w:rsid w:val="005C0648"/>
    <w:rsid w:val="005C06CC"/>
    <w:rsid w:val="005C0D39"/>
    <w:rsid w:val="005C1DBC"/>
    <w:rsid w:val="005C1FE7"/>
    <w:rsid w:val="005C2386"/>
    <w:rsid w:val="005C2637"/>
    <w:rsid w:val="005C295F"/>
    <w:rsid w:val="005C3047"/>
    <w:rsid w:val="005C33C0"/>
    <w:rsid w:val="005C382E"/>
    <w:rsid w:val="005C3B86"/>
    <w:rsid w:val="005C3F34"/>
    <w:rsid w:val="005C401A"/>
    <w:rsid w:val="005C4C32"/>
    <w:rsid w:val="005C4D56"/>
    <w:rsid w:val="005C4D96"/>
    <w:rsid w:val="005C505C"/>
    <w:rsid w:val="005C5367"/>
    <w:rsid w:val="005C54BB"/>
    <w:rsid w:val="005C5634"/>
    <w:rsid w:val="005C5AFE"/>
    <w:rsid w:val="005C5C2E"/>
    <w:rsid w:val="005C62F5"/>
    <w:rsid w:val="005C670B"/>
    <w:rsid w:val="005C6A35"/>
    <w:rsid w:val="005C6AAC"/>
    <w:rsid w:val="005C6B65"/>
    <w:rsid w:val="005C6C7C"/>
    <w:rsid w:val="005C7400"/>
    <w:rsid w:val="005C745E"/>
    <w:rsid w:val="005C74BC"/>
    <w:rsid w:val="005C773E"/>
    <w:rsid w:val="005C7D5F"/>
    <w:rsid w:val="005C7F6E"/>
    <w:rsid w:val="005D0381"/>
    <w:rsid w:val="005D080B"/>
    <w:rsid w:val="005D0B1B"/>
    <w:rsid w:val="005D0BDB"/>
    <w:rsid w:val="005D0C08"/>
    <w:rsid w:val="005D0F56"/>
    <w:rsid w:val="005D20E0"/>
    <w:rsid w:val="005D22D2"/>
    <w:rsid w:val="005D284E"/>
    <w:rsid w:val="005D2987"/>
    <w:rsid w:val="005D29B1"/>
    <w:rsid w:val="005D2C12"/>
    <w:rsid w:val="005D368B"/>
    <w:rsid w:val="005D3898"/>
    <w:rsid w:val="005D3F20"/>
    <w:rsid w:val="005D4C90"/>
    <w:rsid w:val="005D50C4"/>
    <w:rsid w:val="005D517B"/>
    <w:rsid w:val="005D53BB"/>
    <w:rsid w:val="005D570D"/>
    <w:rsid w:val="005D5812"/>
    <w:rsid w:val="005D5F25"/>
    <w:rsid w:val="005D5FEA"/>
    <w:rsid w:val="005D6232"/>
    <w:rsid w:val="005D6707"/>
    <w:rsid w:val="005D67CB"/>
    <w:rsid w:val="005D6AFE"/>
    <w:rsid w:val="005D6E95"/>
    <w:rsid w:val="005D6F11"/>
    <w:rsid w:val="005D7911"/>
    <w:rsid w:val="005D7997"/>
    <w:rsid w:val="005E0298"/>
    <w:rsid w:val="005E02AA"/>
    <w:rsid w:val="005E04C2"/>
    <w:rsid w:val="005E05B9"/>
    <w:rsid w:val="005E067E"/>
    <w:rsid w:val="005E074B"/>
    <w:rsid w:val="005E08C5"/>
    <w:rsid w:val="005E0985"/>
    <w:rsid w:val="005E09B6"/>
    <w:rsid w:val="005E0A21"/>
    <w:rsid w:val="005E0BE5"/>
    <w:rsid w:val="005E0E04"/>
    <w:rsid w:val="005E0F95"/>
    <w:rsid w:val="005E1328"/>
    <w:rsid w:val="005E142F"/>
    <w:rsid w:val="005E1951"/>
    <w:rsid w:val="005E1AFC"/>
    <w:rsid w:val="005E1C47"/>
    <w:rsid w:val="005E2594"/>
    <w:rsid w:val="005E2982"/>
    <w:rsid w:val="005E2BD6"/>
    <w:rsid w:val="005E2CEE"/>
    <w:rsid w:val="005E3C1E"/>
    <w:rsid w:val="005E3D19"/>
    <w:rsid w:val="005E4366"/>
    <w:rsid w:val="005E4990"/>
    <w:rsid w:val="005E4AF3"/>
    <w:rsid w:val="005E4FA7"/>
    <w:rsid w:val="005E547C"/>
    <w:rsid w:val="005E5D5E"/>
    <w:rsid w:val="005E6180"/>
    <w:rsid w:val="005E658F"/>
    <w:rsid w:val="005E670B"/>
    <w:rsid w:val="005E67AE"/>
    <w:rsid w:val="005E69A0"/>
    <w:rsid w:val="005E6C0A"/>
    <w:rsid w:val="005E6C14"/>
    <w:rsid w:val="005E6DAD"/>
    <w:rsid w:val="005E79C1"/>
    <w:rsid w:val="005E7AF2"/>
    <w:rsid w:val="005E7DC5"/>
    <w:rsid w:val="005E7EE0"/>
    <w:rsid w:val="005F05DF"/>
    <w:rsid w:val="005F0BA2"/>
    <w:rsid w:val="005F0CDC"/>
    <w:rsid w:val="005F0FB5"/>
    <w:rsid w:val="005F10AE"/>
    <w:rsid w:val="005F10CB"/>
    <w:rsid w:val="005F11E3"/>
    <w:rsid w:val="005F191A"/>
    <w:rsid w:val="005F1988"/>
    <w:rsid w:val="005F1FCD"/>
    <w:rsid w:val="005F2249"/>
    <w:rsid w:val="005F2506"/>
    <w:rsid w:val="005F2613"/>
    <w:rsid w:val="005F26A7"/>
    <w:rsid w:val="005F2BA1"/>
    <w:rsid w:val="005F2F3A"/>
    <w:rsid w:val="005F3477"/>
    <w:rsid w:val="005F3544"/>
    <w:rsid w:val="005F356E"/>
    <w:rsid w:val="005F3826"/>
    <w:rsid w:val="005F3B70"/>
    <w:rsid w:val="005F3B79"/>
    <w:rsid w:val="005F3F55"/>
    <w:rsid w:val="005F411C"/>
    <w:rsid w:val="005F45E8"/>
    <w:rsid w:val="005F4840"/>
    <w:rsid w:val="005F48BE"/>
    <w:rsid w:val="005F4C94"/>
    <w:rsid w:val="005F4CEB"/>
    <w:rsid w:val="005F5378"/>
    <w:rsid w:val="005F58EB"/>
    <w:rsid w:val="005F59A1"/>
    <w:rsid w:val="005F5AFD"/>
    <w:rsid w:val="005F61C7"/>
    <w:rsid w:val="005F6308"/>
    <w:rsid w:val="005F670F"/>
    <w:rsid w:val="005F68A4"/>
    <w:rsid w:val="005F6F7A"/>
    <w:rsid w:val="005F70FA"/>
    <w:rsid w:val="005F7E70"/>
    <w:rsid w:val="005F7EF6"/>
    <w:rsid w:val="00600350"/>
    <w:rsid w:val="006009CC"/>
    <w:rsid w:val="006009E1"/>
    <w:rsid w:val="00600FC4"/>
    <w:rsid w:val="00601A8C"/>
    <w:rsid w:val="00601C46"/>
    <w:rsid w:val="0060271C"/>
    <w:rsid w:val="00602AB5"/>
    <w:rsid w:val="00602DAE"/>
    <w:rsid w:val="0060338F"/>
    <w:rsid w:val="0060393E"/>
    <w:rsid w:val="00603976"/>
    <w:rsid w:val="00603AFA"/>
    <w:rsid w:val="00603B91"/>
    <w:rsid w:val="00603D72"/>
    <w:rsid w:val="00603EE4"/>
    <w:rsid w:val="0060404A"/>
    <w:rsid w:val="006040A3"/>
    <w:rsid w:val="00604133"/>
    <w:rsid w:val="006045C7"/>
    <w:rsid w:val="006046F7"/>
    <w:rsid w:val="00604C7A"/>
    <w:rsid w:val="00604E81"/>
    <w:rsid w:val="00605388"/>
    <w:rsid w:val="00605407"/>
    <w:rsid w:val="006059D0"/>
    <w:rsid w:val="00605A50"/>
    <w:rsid w:val="00605A8A"/>
    <w:rsid w:val="00605B70"/>
    <w:rsid w:val="00605F51"/>
    <w:rsid w:val="00605F77"/>
    <w:rsid w:val="0060649C"/>
    <w:rsid w:val="006065A4"/>
    <w:rsid w:val="00606862"/>
    <w:rsid w:val="006068C0"/>
    <w:rsid w:val="00606AAD"/>
    <w:rsid w:val="00606B49"/>
    <w:rsid w:val="00606B6F"/>
    <w:rsid w:val="00606BD9"/>
    <w:rsid w:val="00606E63"/>
    <w:rsid w:val="00607098"/>
    <w:rsid w:val="00607353"/>
    <w:rsid w:val="00607388"/>
    <w:rsid w:val="0060779B"/>
    <w:rsid w:val="00607FFE"/>
    <w:rsid w:val="0061038E"/>
    <w:rsid w:val="006103C6"/>
    <w:rsid w:val="006108DD"/>
    <w:rsid w:val="00610A38"/>
    <w:rsid w:val="00610F1B"/>
    <w:rsid w:val="00611475"/>
    <w:rsid w:val="006115F0"/>
    <w:rsid w:val="00611912"/>
    <w:rsid w:val="006119E1"/>
    <w:rsid w:val="00612448"/>
    <w:rsid w:val="006124E1"/>
    <w:rsid w:val="0061262C"/>
    <w:rsid w:val="0061318D"/>
    <w:rsid w:val="00613293"/>
    <w:rsid w:val="00613601"/>
    <w:rsid w:val="006136A8"/>
    <w:rsid w:val="00613EE8"/>
    <w:rsid w:val="00614CEF"/>
    <w:rsid w:val="00615775"/>
    <w:rsid w:val="006157D1"/>
    <w:rsid w:val="00615B39"/>
    <w:rsid w:val="00615C86"/>
    <w:rsid w:val="00615F75"/>
    <w:rsid w:val="006160DE"/>
    <w:rsid w:val="006164F7"/>
    <w:rsid w:val="00616697"/>
    <w:rsid w:val="0061673A"/>
    <w:rsid w:val="00616930"/>
    <w:rsid w:val="00616F05"/>
    <w:rsid w:val="00616F99"/>
    <w:rsid w:val="0061709C"/>
    <w:rsid w:val="0061782F"/>
    <w:rsid w:val="00620279"/>
    <w:rsid w:val="006206F9"/>
    <w:rsid w:val="00620D93"/>
    <w:rsid w:val="00620E20"/>
    <w:rsid w:val="00620FFE"/>
    <w:rsid w:val="00621248"/>
    <w:rsid w:val="006212FB"/>
    <w:rsid w:val="00621B8D"/>
    <w:rsid w:val="00621F82"/>
    <w:rsid w:val="00622307"/>
    <w:rsid w:val="0062240B"/>
    <w:rsid w:val="0062269F"/>
    <w:rsid w:val="006228A9"/>
    <w:rsid w:val="00622A76"/>
    <w:rsid w:val="00622DE3"/>
    <w:rsid w:val="006231C9"/>
    <w:rsid w:val="0062372D"/>
    <w:rsid w:val="00623E35"/>
    <w:rsid w:val="0062419E"/>
    <w:rsid w:val="006244D1"/>
    <w:rsid w:val="00624731"/>
    <w:rsid w:val="00625399"/>
    <w:rsid w:val="00625B1E"/>
    <w:rsid w:val="00625C8F"/>
    <w:rsid w:val="00625CB8"/>
    <w:rsid w:val="0062647D"/>
    <w:rsid w:val="006267FF"/>
    <w:rsid w:val="00627041"/>
    <w:rsid w:val="0062709E"/>
    <w:rsid w:val="0062714D"/>
    <w:rsid w:val="00627170"/>
    <w:rsid w:val="00627E40"/>
    <w:rsid w:val="0063006E"/>
    <w:rsid w:val="006302C6"/>
    <w:rsid w:val="0063042F"/>
    <w:rsid w:val="00630E36"/>
    <w:rsid w:val="00630EC9"/>
    <w:rsid w:val="00631116"/>
    <w:rsid w:val="0063137D"/>
    <w:rsid w:val="006316D8"/>
    <w:rsid w:val="00631827"/>
    <w:rsid w:val="006319AC"/>
    <w:rsid w:val="00631A26"/>
    <w:rsid w:val="00631CEF"/>
    <w:rsid w:val="00631DDF"/>
    <w:rsid w:val="00631FFF"/>
    <w:rsid w:val="0063213F"/>
    <w:rsid w:val="00632234"/>
    <w:rsid w:val="006322A7"/>
    <w:rsid w:val="00632735"/>
    <w:rsid w:val="006330BD"/>
    <w:rsid w:val="00633926"/>
    <w:rsid w:val="00633B7D"/>
    <w:rsid w:val="00633BDF"/>
    <w:rsid w:val="00633EAD"/>
    <w:rsid w:val="006341AE"/>
    <w:rsid w:val="006344F4"/>
    <w:rsid w:val="0063466C"/>
    <w:rsid w:val="00634837"/>
    <w:rsid w:val="00634C8F"/>
    <w:rsid w:val="00634E41"/>
    <w:rsid w:val="0063506E"/>
    <w:rsid w:val="006357F1"/>
    <w:rsid w:val="006364A4"/>
    <w:rsid w:val="00636734"/>
    <w:rsid w:val="0063673B"/>
    <w:rsid w:val="00636EF9"/>
    <w:rsid w:val="006372DD"/>
    <w:rsid w:val="0063742C"/>
    <w:rsid w:val="006375E2"/>
    <w:rsid w:val="00637DB6"/>
    <w:rsid w:val="0064027C"/>
    <w:rsid w:val="006404AF"/>
    <w:rsid w:val="00640A49"/>
    <w:rsid w:val="00640BC0"/>
    <w:rsid w:val="00640FB6"/>
    <w:rsid w:val="006413AD"/>
    <w:rsid w:val="00641688"/>
    <w:rsid w:val="006418CC"/>
    <w:rsid w:val="00641ACC"/>
    <w:rsid w:val="00641B89"/>
    <w:rsid w:val="006422E0"/>
    <w:rsid w:val="006428EA"/>
    <w:rsid w:val="00642D99"/>
    <w:rsid w:val="00642E8C"/>
    <w:rsid w:val="00642F03"/>
    <w:rsid w:val="00642F98"/>
    <w:rsid w:val="00643162"/>
    <w:rsid w:val="006434FD"/>
    <w:rsid w:val="006439DB"/>
    <w:rsid w:val="00643BD9"/>
    <w:rsid w:val="006446F4"/>
    <w:rsid w:val="0064565E"/>
    <w:rsid w:val="006467D2"/>
    <w:rsid w:val="00646FA8"/>
    <w:rsid w:val="006472B3"/>
    <w:rsid w:val="00647317"/>
    <w:rsid w:val="006473BF"/>
    <w:rsid w:val="00647600"/>
    <w:rsid w:val="00647AFB"/>
    <w:rsid w:val="006500A7"/>
    <w:rsid w:val="006509F9"/>
    <w:rsid w:val="00651162"/>
    <w:rsid w:val="006513BE"/>
    <w:rsid w:val="006514BF"/>
    <w:rsid w:val="006515C2"/>
    <w:rsid w:val="0065165F"/>
    <w:rsid w:val="00651B4F"/>
    <w:rsid w:val="00651C11"/>
    <w:rsid w:val="0065200D"/>
    <w:rsid w:val="0065251B"/>
    <w:rsid w:val="006528AA"/>
    <w:rsid w:val="00652B12"/>
    <w:rsid w:val="00652BF6"/>
    <w:rsid w:val="0065358F"/>
    <w:rsid w:val="006541B0"/>
    <w:rsid w:val="00654333"/>
    <w:rsid w:val="00654334"/>
    <w:rsid w:val="0065484D"/>
    <w:rsid w:val="00654AF0"/>
    <w:rsid w:val="00654EAD"/>
    <w:rsid w:val="0065512B"/>
    <w:rsid w:val="0065685D"/>
    <w:rsid w:val="00656A2C"/>
    <w:rsid w:val="00656A41"/>
    <w:rsid w:val="00656C52"/>
    <w:rsid w:val="00656E8B"/>
    <w:rsid w:val="00656ED1"/>
    <w:rsid w:val="006573AB"/>
    <w:rsid w:val="00657919"/>
    <w:rsid w:val="00657996"/>
    <w:rsid w:val="00657BCC"/>
    <w:rsid w:val="006596E1"/>
    <w:rsid w:val="00660649"/>
    <w:rsid w:val="006608D4"/>
    <w:rsid w:val="00660BC6"/>
    <w:rsid w:val="0066121B"/>
    <w:rsid w:val="006618F9"/>
    <w:rsid w:val="00661B93"/>
    <w:rsid w:val="00661CE5"/>
    <w:rsid w:val="00661D8B"/>
    <w:rsid w:val="00662124"/>
    <w:rsid w:val="006621FA"/>
    <w:rsid w:val="00662391"/>
    <w:rsid w:val="006624F0"/>
    <w:rsid w:val="006625D1"/>
    <w:rsid w:val="00662CD6"/>
    <w:rsid w:val="0066327B"/>
    <w:rsid w:val="006632CC"/>
    <w:rsid w:val="00663308"/>
    <w:rsid w:val="006634F2"/>
    <w:rsid w:val="006638BB"/>
    <w:rsid w:val="00663A0D"/>
    <w:rsid w:val="00663BEE"/>
    <w:rsid w:val="00663CC7"/>
    <w:rsid w:val="00664B3E"/>
    <w:rsid w:val="00664D15"/>
    <w:rsid w:val="00664DB2"/>
    <w:rsid w:val="0066537A"/>
    <w:rsid w:val="006653D5"/>
    <w:rsid w:val="00665A84"/>
    <w:rsid w:val="00665D29"/>
    <w:rsid w:val="00666DBE"/>
    <w:rsid w:val="0066710D"/>
    <w:rsid w:val="00667384"/>
    <w:rsid w:val="006677B9"/>
    <w:rsid w:val="00667880"/>
    <w:rsid w:val="00667AED"/>
    <w:rsid w:val="00667B73"/>
    <w:rsid w:val="00667C3C"/>
    <w:rsid w:val="00667DD3"/>
    <w:rsid w:val="00667F9E"/>
    <w:rsid w:val="0067005C"/>
    <w:rsid w:val="00670440"/>
    <w:rsid w:val="006706CB"/>
    <w:rsid w:val="00670863"/>
    <w:rsid w:val="00670CEC"/>
    <w:rsid w:val="006712E7"/>
    <w:rsid w:val="00671789"/>
    <w:rsid w:val="00671937"/>
    <w:rsid w:val="00671D57"/>
    <w:rsid w:val="0067211B"/>
    <w:rsid w:val="00672246"/>
    <w:rsid w:val="00672322"/>
    <w:rsid w:val="006724B5"/>
    <w:rsid w:val="0067258C"/>
    <w:rsid w:val="00672FF5"/>
    <w:rsid w:val="00673865"/>
    <w:rsid w:val="00673CFA"/>
    <w:rsid w:val="00674298"/>
    <w:rsid w:val="006746C8"/>
    <w:rsid w:val="006748B5"/>
    <w:rsid w:val="00675023"/>
    <w:rsid w:val="0067529C"/>
    <w:rsid w:val="006753F7"/>
    <w:rsid w:val="00675DF5"/>
    <w:rsid w:val="006760C8"/>
    <w:rsid w:val="00676448"/>
    <w:rsid w:val="006765A0"/>
    <w:rsid w:val="00676EFE"/>
    <w:rsid w:val="006771C2"/>
    <w:rsid w:val="00677284"/>
    <w:rsid w:val="006772BA"/>
    <w:rsid w:val="006772D4"/>
    <w:rsid w:val="00677937"/>
    <w:rsid w:val="00677B8C"/>
    <w:rsid w:val="00677C81"/>
    <w:rsid w:val="00677E77"/>
    <w:rsid w:val="00680920"/>
    <w:rsid w:val="006809EE"/>
    <w:rsid w:val="006815B8"/>
    <w:rsid w:val="00682143"/>
    <w:rsid w:val="00682D10"/>
    <w:rsid w:val="00683510"/>
    <w:rsid w:val="006840FC"/>
    <w:rsid w:val="006844BD"/>
    <w:rsid w:val="006848DB"/>
    <w:rsid w:val="00684B43"/>
    <w:rsid w:val="00684F4F"/>
    <w:rsid w:val="006855BA"/>
    <w:rsid w:val="00685606"/>
    <w:rsid w:val="0068572B"/>
    <w:rsid w:val="00685B74"/>
    <w:rsid w:val="00685C7B"/>
    <w:rsid w:val="0068623F"/>
    <w:rsid w:val="00686374"/>
    <w:rsid w:val="006864C4"/>
    <w:rsid w:val="0068677B"/>
    <w:rsid w:val="00686B71"/>
    <w:rsid w:val="00686F7A"/>
    <w:rsid w:val="00687082"/>
    <w:rsid w:val="006870D0"/>
    <w:rsid w:val="0068714C"/>
    <w:rsid w:val="006871C6"/>
    <w:rsid w:val="006877FC"/>
    <w:rsid w:val="00690997"/>
    <w:rsid w:val="00690A29"/>
    <w:rsid w:val="00690F8B"/>
    <w:rsid w:val="006910DB"/>
    <w:rsid w:val="006915AE"/>
    <w:rsid w:val="006915D3"/>
    <w:rsid w:val="006919B6"/>
    <w:rsid w:val="00691B33"/>
    <w:rsid w:val="00691E15"/>
    <w:rsid w:val="006922C9"/>
    <w:rsid w:val="00692448"/>
    <w:rsid w:val="0069274B"/>
    <w:rsid w:val="00692B81"/>
    <w:rsid w:val="00692D8F"/>
    <w:rsid w:val="00693030"/>
    <w:rsid w:val="006933BC"/>
    <w:rsid w:val="00693B13"/>
    <w:rsid w:val="00693EAA"/>
    <w:rsid w:val="00693EAB"/>
    <w:rsid w:val="006942DE"/>
    <w:rsid w:val="00694373"/>
    <w:rsid w:val="006944A1"/>
    <w:rsid w:val="00694964"/>
    <w:rsid w:val="006949E2"/>
    <w:rsid w:val="00694A21"/>
    <w:rsid w:val="00694D70"/>
    <w:rsid w:val="00695014"/>
    <w:rsid w:val="006955A7"/>
    <w:rsid w:val="00695AC5"/>
    <w:rsid w:val="00695FE4"/>
    <w:rsid w:val="0069600C"/>
    <w:rsid w:val="006961FF"/>
    <w:rsid w:val="006963BF"/>
    <w:rsid w:val="006964C6"/>
    <w:rsid w:val="006966E7"/>
    <w:rsid w:val="00696BCB"/>
    <w:rsid w:val="006973FB"/>
    <w:rsid w:val="00697BA3"/>
    <w:rsid w:val="00697BCC"/>
    <w:rsid w:val="00697D6F"/>
    <w:rsid w:val="006A0064"/>
    <w:rsid w:val="006A02A5"/>
    <w:rsid w:val="006A1448"/>
    <w:rsid w:val="006A14F7"/>
    <w:rsid w:val="006A1637"/>
    <w:rsid w:val="006A1734"/>
    <w:rsid w:val="006A1BF5"/>
    <w:rsid w:val="006A1CFB"/>
    <w:rsid w:val="006A1FA5"/>
    <w:rsid w:val="006A27A1"/>
    <w:rsid w:val="006A36B0"/>
    <w:rsid w:val="006A3FDF"/>
    <w:rsid w:val="006A409A"/>
    <w:rsid w:val="006A42B0"/>
    <w:rsid w:val="006A4396"/>
    <w:rsid w:val="006A44A4"/>
    <w:rsid w:val="006A48FB"/>
    <w:rsid w:val="006A4AC8"/>
    <w:rsid w:val="006A4C4A"/>
    <w:rsid w:val="006A4D3F"/>
    <w:rsid w:val="006A5133"/>
    <w:rsid w:val="006A51EB"/>
    <w:rsid w:val="006A5425"/>
    <w:rsid w:val="006A55CC"/>
    <w:rsid w:val="006A565C"/>
    <w:rsid w:val="006A58DC"/>
    <w:rsid w:val="006A5C49"/>
    <w:rsid w:val="006A6339"/>
    <w:rsid w:val="006A65CC"/>
    <w:rsid w:val="006A6B3F"/>
    <w:rsid w:val="006A6EF8"/>
    <w:rsid w:val="006A7CDF"/>
    <w:rsid w:val="006B0224"/>
    <w:rsid w:val="006B04A4"/>
    <w:rsid w:val="006B06C4"/>
    <w:rsid w:val="006B06EE"/>
    <w:rsid w:val="006B0934"/>
    <w:rsid w:val="006B135F"/>
    <w:rsid w:val="006B1464"/>
    <w:rsid w:val="006B18F7"/>
    <w:rsid w:val="006B1C30"/>
    <w:rsid w:val="006B1D6D"/>
    <w:rsid w:val="006B1D6E"/>
    <w:rsid w:val="006B21C7"/>
    <w:rsid w:val="006B29CD"/>
    <w:rsid w:val="006B2C36"/>
    <w:rsid w:val="006B2F37"/>
    <w:rsid w:val="006B3413"/>
    <w:rsid w:val="006B3683"/>
    <w:rsid w:val="006B3872"/>
    <w:rsid w:val="006B3E70"/>
    <w:rsid w:val="006B42E1"/>
    <w:rsid w:val="006B4472"/>
    <w:rsid w:val="006B45C4"/>
    <w:rsid w:val="006B46DA"/>
    <w:rsid w:val="006B4C4A"/>
    <w:rsid w:val="006B52A0"/>
    <w:rsid w:val="006B58B4"/>
    <w:rsid w:val="006B591A"/>
    <w:rsid w:val="006B5A75"/>
    <w:rsid w:val="006B5A7C"/>
    <w:rsid w:val="006B5B50"/>
    <w:rsid w:val="006B5C68"/>
    <w:rsid w:val="006B63F0"/>
    <w:rsid w:val="006B6C96"/>
    <w:rsid w:val="006B7040"/>
    <w:rsid w:val="006B7185"/>
    <w:rsid w:val="006B74BB"/>
    <w:rsid w:val="006B767B"/>
    <w:rsid w:val="006B76AF"/>
    <w:rsid w:val="006B77C5"/>
    <w:rsid w:val="006B7AE6"/>
    <w:rsid w:val="006B7E38"/>
    <w:rsid w:val="006B7EC4"/>
    <w:rsid w:val="006C03F0"/>
    <w:rsid w:val="006C0494"/>
    <w:rsid w:val="006C0670"/>
    <w:rsid w:val="006C07E2"/>
    <w:rsid w:val="006C0903"/>
    <w:rsid w:val="006C09BB"/>
    <w:rsid w:val="006C0E5B"/>
    <w:rsid w:val="006C135D"/>
    <w:rsid w:val="006C1628"/>
    <w:rsid w:val="006C19BA"/>
    <w:rsid w:val="006C1ED8"/>
    <w:rsid w:val="006C20C4"/>
    <w:rsid w:val="006C2261"/>
    <w:rsid w:val="006C22DA"/>
    <w:rsid w:val="006C2426"/>
    <w:rsid w:val="006C24E7"/>
    <w:rsid w:val="006C29D9"/>
    <w:rsid w:val="006C2B70"/>
    <w:rsid w:val="006C313C"/>
    <w:rsid w:val="006C33AD"/>
    <w:rsid w:val="006C34F1"/>
    <w:rsid w:val="006C372F"/>
    <w:rsid w:val="006C3812"/>
    <w:rsid w:val="006C39A8"/>
    <w:rsid w:val="006C3C5D"/>
    <w:rsid w:val="006C3D43"/>
    <w:rsid w:val="006C434F"/>
    <w:rsid w:val="006C442D"/>
    <w:rsid w:val="006C447F"/>
    <w:rsid w:val="006C472B"/>
    <w:rsid w:val="006C4A8E"/>
    <w:rsid w:val="006C4EA5"/>
    <w:rsid w:val="006C500C"/>
    <w:rsid w:val="006C5A42"/>
    <w:rsid w:val="006C5BB8"/>
    <w:rsid w:val="006C5C00"/>
    <w:rsid w:val="006C61B1"/>
    <w:rsid w:val="006C63B7"/>
    <w:rsid w:val="006C6664"/>
    <w:rsid w:val="006C6AAE"/>
    <w:rsid w:val="006C6BE3"/>
    <w:rsid w:val="006C7296"/>
    <w:rsid w:val="006C72A4"/>
    <w:rsid w:val="006C72F3"/>
    <w:rsid w:val="006C7597"/>
    <w:rsid w:val="006C7C35"/>
    <w:rsid w:val="006C7EE0"/>
    <w:rsid w:val="006C7F6A"/>
    <w:rsid w:val="006D0A58"/>
    <w:rsid w:val="006D0AA9"/>
    <w:rsid w:val="006D1031"/>
    <w:rsid w:val="006D10BC"/>
    <w:rsid w:val="006D15F5"/>
    <w:rsid w:val="006D15F6"/>
    <w:rsid w:val="006D167C"/>
    <w:rsid w:val="006D333F"/>
    <w:rsid w:val="006D398C"/>
    <w:rsid w:val="006D3B5A"/>
    <w:rsid w:val="006D3C6F"/>
    <w:rsid w:val="006D40F4"/>
    <w:rsid w:val="006D4120"/>
    <w:rsid w:val="006D42EA"/>
    <w:rsid w:val="006D48F2"/>
    <w:rsid w:val="006D4D11"/>
    <w:rsid w:val="006D4D5B"/>
    <w:rsid w:val="006D4EA0"/>
    <w:rsid w:val="006D4FA4"/>
    <w:rsid w:val="006D5394"/>
    <w:rsid w:val="006D5B05"/>
    <w:rsid w:val="006D5F59"/>
    <w:rsid w:val="006D649A"/>
    <w:rsid w:val="006D680C"/>
    <w:rsid w:val="006D6D6F"/>
    <w:rsid w:val="006D6E18"/>
    <w:rsid w:val="006D6E5F"/>
    <w:rsid w:val="006D70C1"/>
    <w:rsid w:val="006D70E1"/>
    <w:rsid w:val="006D726D"/>
    <w:rsid w:val="006D729F"/>
    <w:rsid w:val="006D75C4"/>
    <w:rsid w:val="006D7601"/>
    <w:rsid w:val="006D77A6"/>
    <w:rsid w:val="006D7928"/>
    <w:rsid w:val="006D7D6C"/>
    <w:rsid w:val="006D7DA5"/>
    <w:rsid w:val="006E099F"/>
    <w:rsid w:val="006E09A0"/>
    <w:rsid w:val="006E0BAF"/>
    <w:rsid w:val="006E0BBC"/>
    <w:rsid w:val="006E0E1A"/>
    <w:rsid w:val="006E11D3"/>
    <w:rsid w:val="006E15B7"/>
    <w:rsid w:val="006E1654"/>
    <w:rsid w:val="006E16CB"/>
    <w:rsid w:val="006E176C"/>
    <w:rsid w:val="006E1A35"/>
    <w:rsid w:val="006E1B58"/>
    <w:rsid w:val="006E2023"/>
    <w:rsid w:val="006E2311"/>
    <w:rsid w:val="006E2383"/>
    <w:rsid w:val="006E24F6"/>
    <w:rsid w:val="006E363A"/>
    <w:rsid w:val="006E38D3"/>
    <w:rsid w:val="006E4160"/>
    <w:rsid w:val="006E437C"/>
    <w:rsid w:val="006E4D51"/>
    <w:rsid w:val="006E50C3"/>
    <w:rsid w:val="006E5765"/>
    <w:rsid w:val="006E5A87"/>
    <w:rsid w:val="006E5D45"/>
    <w:rsid w:val="006E61B7"/>
    <w:rsid w:val="006E6803"/>
    <w:rsid w:val="006E6F93"/>
    <w:rsid w:val="006E79D6"/>
    <w:rsid w:val="006E7B31"/>
    <w:rsid w:val="006E7CE3"/>
    <w:rsid w:val="006E7D64"/>
    <w:rsid w:val="006F0146"/>
    <w:rsid w:val="006F0451"/>
    <w:rsid w:val="006F0660"/>
    <w:rsid w:val="006F0DE1"/>
    <w:rsid w:val="006F10EA"/>
    <w:rsid w:val="006F15D0"/>
    <w:rsid w:val="006F15E7"/>
    <w:rsid w:val="006F2250"/>
    <w:rsid w:val="006F2514"/>
    <w:rsid w:val="006F2717"/>
    <w:rsid w:val="006F28C5"/>
    <w:rsid w:val="006F28D2"/>
    <w:rsid w:val="006F2B0A"/>
    <w:rsid w:val="006F2B66"/>
    <w:rsid w:val="006F2C6D"/>
    <w:rsid w:val="006F341F"/>
    <w:rsid w:val="006F3586"/>
    <w:rsid w:val="006F3DC3"/>
    <w:rsid w:val="006F435B"/>
    <w:rsid w:val="006F463A"/>
    <w:rsid w:val="006F49FC"/>
    <w:rsid w:val="006F4AB7"/>
    <w:rsid w:val="006F4D75"/>
    <w:rsid w:val="006F4D7F"/>
    <w:rsid w:val="006F504D"/>
    <w:rsid w:val="006F521D"/>
    <w:rsid w:val="006F52EB"/>
    <w:rsid w:val="006F5337"/>
    <w:rsid w:val="006F5637"/>
    <w:rsid w:val="006F576F"/>
    <w:rsid w:val="006F59F2"/>
    <w:rsid w:val="006F5DE2"/>
    <w:rsid w:val="006F5EF7"/>
    <w:rsid w:val="006F62DB"/>
    <w:rsid w:val="006F685F"/>
    <w:rsid w:val="006F6FA8"/>
    <w:rsid w:val="006F75E2"/>
    <w:rsid w:val="006F7639"/>
    <w:rsid w:val="006F7849"/>
    <w:rsid w:val="006F7A65"/>
    <w:rsid w:val="006F7AD0"/>
    <w:rsid w:val="006F7ADC"/>
    <w:rsid w:val="006F7AEF"/>
    <w:rsid w:val="006F7CFD"/>
    <w:rsid w:val="00700442"/>
    <w:rsid w:val="007004E9"/>
    <w:rsid w:val="007008AB"/>
    <w:rsid w:val="00701661"/>
    <w:rsid w:val="00702BE4"/>
    <w:rsid w:val="00703620"/>
    <w:rsid w:val="00703B43"/>
    <w:rsid w:val="00703BBC"/>
    <w:rsid w:val="00703E74"/>
    <w:rsid w:val="00703ECC"/>
    <w:rsid w:val="007040EA"/>
    <w:rsid w:val="007041B1"/>
    <w:rsid w:val="007043C8"/>
    <w:rsid w:val="00704585"/>
    <w:rsid w:val="00704771"/>
    <w:rsid w:val="00704A84"/>
    <w:rsid w:val="0070501D"/>
    <w:rsid w:val="00705109"/>
    <w:rsid w:val="00705154"/>
    <w:rsid w:val="00705206"/>
    <w:rsid w:val="007052BE"/>
    <w:rsid w:val="00706612"/>
    <w:rsid w:val="007068F6"/>
    <w:rsid w:val="0070713F"/>
    <w:rsid w:val="00707373"/>
    <w:rsid w:val="00707453"/>
    <w:rsid w:val="00707A08"/>
    <w:rsid w:val="00707A13"/>
    <w:rsid w:val="00707F8C"/>
    <w:rsid w:val="007102CC"/>
    <w:rsid w:val="007102F6"/>
    <w:rsid w:val="007105D6"/>
    <w:rsid w:val="00710749"/>
    <w:rsid w:val="007109A0"/>
    <w:rsid w:val="00710A5F"/>
    <w:rsid w:val="00711172"/>
    <w:rsid w:val="007112D0"/>
    <w:rsid w:val="007113CA"/>
    <w:rsid w:val="00711866"/>
    <w:rsid w:val="00711C95"/>
    <w:rsid w:val="00711F6F"/>
    <w:rsid w:val="007126FF"/>
    <w:rsid w:val="00712889"/>
    <w:rsid w:val="0071310A"/>
    <w:rsid w:val="00713142"/>
    <w:rsid w:val="00713342"/>
    <w:rsid w:val="007136B8"/>
    <w:rsid w:val="0071370A"/>
    <w:rsid w:val="0071387D"/>
    <w:rsid w:val="007138E4"/>
    <w:rsid w:val="00713D2E"/>
    <w:rsid w:val="00713F10"/>
    <w:rsid w:val="007146B0"/>
    <w:rsid w:val="00714B88"/>
    <w:rsid w:val="00714BB2"/>
    <w:rsid w:val="00714CDA"/>
    <w:rsid w:val="00715A9E"/>
    <w:rsid w:val="00715CA5"/>
    <w:rsid w:val="007167A4"/>
    <w:rsid w:val="00716841"/>
    <w:rsid w:val="00716A41"/>
    <w:rsid w:val="0071727B"/>
    <w:rsid w:val="00717460"/>
    <w:rsid w:val="00717461"/>
    <w:rsid w:val="007175E2"/>
    <w:rsid w:val="00717719"/>
    <w:rsid w:val="00717998"/>
    <w:rsid w:val="007202CF"/>
    <w:rsid w:val="00720372"/>
    <w:rsid w:val="0072054C"/>
    <w:rsid w:val="00720894"/>
    <w:rsid w:val="00720C1C"/>
    <w:rsid w:val="00720C3E"/>
    <w:rsid w:val="00720F95"/>
    <w:rsid w:val="00721487"/>
    <w:rsid w:val="007214B2"/>
    <w:rsid w:val="00721930"/>
    <w:rsid w:val="00721B86"/>
    <w:rsid w:val="007220C4"/>
    <w:rsid w:val="00722353"/>
    <w:rsid w:val="00722B4B"/>
    <w:rsid w:val="00722C7D"/>
    <w:rsid w:val="00722D8C"/>
    <w:rsid w:val="007233CA"/>
    <w:rsid w:val="007235DE"/>
    <w:rsid w:val="00723AE8"/>
    <w:rsid w:val="00723CD7"/>
    <w:rsid w:val="00723D9A"/>
    <w:rsid w:val="007244DA"/>
    <w:rsid w:val="00724D2C"/>
    <w:rsid w:val="00725445"/>
    <w:rsid w:val="00725BAE"/>
    <w:rsid w:val="00725C6A"/>
    <w:rsid w:val="00725DE2"/>
    <w:rsid w:val="00725E04"/>
    <w:rsid w:val="00726446"/>
    <w:rsid w:val="0072646E"/>
    <w:rsid w:val="007270C7"/>
    <w:rsid w:val="00727400"/>
    <w:rsid w:val="007275E9"/>
    <w:rsid w:val="00727A4D"/>
    <w:rsid w:val="00727EB1"/>
    <w:rsid w:val="00730086"/>
    <w:rsid w:val="00730353"/>
    <w:rsid w:val="0073049A"/>
    <w:rsid w:val="00730945"/>
    <w:rsid w:val="00730BD4"/>
    <w:rsid w:val="00730E10"/>
    <w:rsid w:val="00730F7E"/>
    <w:rsid w:val="0073100C"/>
    <w:rsid w:val="007312A9"/>
    <w:rsid w:val="007315B8"/>
    <w:rsid w:val="007318E6"/>
    <w:rsid w:val="00732058"/>
    <w:rsid w:val="00732BAC"/>
    <w:rsid w:val="00732E15"/>
    <w:rsid w:val="0073306B"/>
    <w:rsid w:val="00733315"/>
    <w:rsid w:val="00733402"/>
    <w:rsid w:val="007337AC"/>
    <w:rsid w:val="007337CD"/>
    <w:rsid w:val="00733D27"/>
    <w:rsid w:val="007340F8"/>
    <w:rsid w:val="00734567"/>
    <w:rsid w:val="00734C5C"/>
    <w:rsid w:val="0073503C"/>
    <w:rsid w:val="007355B8"/>
    <w:rsid w:val="0073563F"/>
    <w:rsid w:val="0073599C"/>
    <w:rsid w:val="007359FE"/>
    <w:rsid w:val="00735D44"/>
    <w:rsid w:val="00735D86"/>
    <w:rsid w:val="007368F5"/>
    <w:rsid w:val="00736D49"/>
    <w:rsid w:val="007376C7"/>
    <w:rsid w:val="00737C13"/>
    <w:rsid w:val="00737CBB"/>
    <w:rsid w:val="00737D05"/>
    <w:rsid w:val="00737D37"/>
    <w:rsid w:val="007402C1"/>
    <w:rsid w:val="007402C5"/>
    <w:rsid w:val="007406D4"/>
    <w:rsid w:val="00740FB9"/>
    <w:rsid w:val="0074184A"/>
    <w:rsid w:val="00741A78"/>
    <w:rsid w:val="00741B50"/>
    <w:rsid w:val="00741B91"/>
    <w:rsid w:val="00741F41"/>
    <w:rsid w:val="0074210A"/>
    <w:rsid w:val="00742879"/>
    <w:rsid w:val="00742DA4"/>
    <w:rsid w:val="00742F59"/>
    <w:rsid w:val="007430B0"/>
    <w:rsid w:val="00743228"/>
    <w:rsid w:val="007435DA"/>
    <w:rsid w:val="00743971"/>
    <w:rsid w:val="00743F6E"/>
    <w:rsid w:val="0074409A"/>
    <w:rsid w:val="0074471F"/>
    <w:rsid w:val="007448C0"/>
    <w:rsid w:val="00745074"/>
    <w:rsid w:val="0074517C"/>
    <w:rsid w:val="007458EF"/>
    <w:rsid w:val="00745AFE"/>
    <w:rsid w:val="00745EF0"/>
    <w:rsid w:val="00746686"/>
    <w:rsid w:val="00746917"/>
    <w:rsid w:val="007469B8"/>
    <w:rsid w:val="00746CD8"/>
    <w:rsid w:val="00746E5D"/>
    <w:rsid w:val="00747028"/>
    <w:rsid w:val="007473DB"/>
    <w:rsid w:val="00747464"/>
    <w:rsid w:val="00747906"/>
    <w:rsid w:val="00747BD0"/>
    <w:rsid w:val="007502B5"/>
    <w:rsid w:val="00750ADC"/>
    <w:rsid w:val="00750C2D"/>
    <w:rsid w:val="00750F43"/>
    <w:rsid w:val="00751523"/>
    <w:rsid w:val="00751646"/>
    <w:rsid w:val="00751A1F"/>
    <w:rsid w:val="00751F71"/>
    <w:rsid w:val="00752A87"/>
    <w:rsid w:val="00752DF1"/>
    <w:rsid w:val="00753FE7"/>
    <w:rsid w:val="007545E2"/>
    <w:rsid w:val="007546C9"/>
    <w:rsid w:val="0075470E"/>
    <w:rsid w:val="00754A3B"/>
    <w:rsid w:val="00754AB4"/>
    <w:rsid w:val="00754AD1"/>
    <w:rsid w:val="00754E43"/>
    <w:rsid w:val="0075533B"/>
    <w:rsid w:val="007555DB"/>
    <w:rsid w:val="00755744"/>
    <w:rsid w:val="007559A8"/>
    <w:rsid w:val="00756157"/>
    <w:rsid w:val="00756936"/>
    <w:rsid w:val="00756B8B"/>
    <w:rsid w:val="007571C5"/>
    <w:rsid w:val="00757226"/>
    <w:rsid w:val="007576A2"/>
    <w:rsid w:val="00757A09"/>
    <w:rsid w:val="00757F3A"/>
    <w:rsid w:val="007601F0"/>
    <w:rsid w:val="00760315"/>
    <w:rsid w:val="007604D6"/>
    <w:rsid w:val="007605E7"/>
    <w:rsid w:val="007608C6"/>
    <w:rsid w:val="007608DA"/>
    <w:rsid w:val="0076113D"/>
    <w:rsid w:val="007615ED"/>
    <w:rsid w:val="00761AF7"/>
    <w:rsid w:val="00761C62"/>
    <w:rsid w:val="00761F43"/>
    <w:rsid w:val="00761F90"/>
    <w:rsid w:val="00761F9D"/>
    <w:rsid w:val="00762465"/>
    <w:rsid w:val="007628DE"/>
    <w:rsid w:val="00762F9B"/>
    <w:rsid w:val="00762FD9"/>
    <w:rsid w:val="00763018"/>
    <w:rsid w:val="00763215"/>
    <w:rsid w:val="007632EE"/>
    <w:rsid w:val="007634EE"/>
    <w:rsid w:val="00763508"/>
    <w:rsid w:val="007638BF"/>
    <w:rsid w:val="00763926"/>
    <w:rsid w:val="00763C39"/>
    <w:rsid w:val="00763C5B"/>
    <w:rsid w:val="00764154"/>
    <w:rsid w:val="00764296"/>
    <w:rsid w:val="0076436A"/>
    <w:rsid w:val="00764821"/>
    <w:rsid w:val="00764EF9"/>
    <w:rsid w:val="007651CB"/>
    <w:rsid w:val="00765D74"/>
    <w:rsid w:val="00765EFE"/>
    <w:rsid w:val="00766802"/>
    <w:rsid w:val="00766CD6"/>
    <w:rsid w:val="0076726F"/>
    <w:rsid w:val="007672FC"/>
    <w:rsid w:val="00767952"/>
    <w:rsid w:val="00767F67"/>
    <w:rsid w:val="0077006B"/>
    <w:rsid w:val="007700F0"/>
    <w:rsid w:val="007705DB"/>
    <w:rsid w:val="007706AA"/>
    <w:rsid w:val="00770BA7"/>
    <w:rsid w:val="00770E05"/>
    <w:rsid w:val="0077105A"/>
    <w:rsid w:val="00771130"/>
    <w:rsid w:val="0077116B"/>
    <w:rsid w:val="007711B8"/>
    <w:rsid w:val="0077125D"/>
    <w:rsid w:val="0077163C"/>
    <w:rsid w:val="007716BA"/>
    <w:rsid w:val="007717C1"/>
    <w:rsid w:val="00771D57"/>
    <w:rsid w:val="00771DD6"/>
    <w:rsid w:val="00772141"/>
    <w:rsid w:val="0077246C"/>
    <w:rsid w:val="00772810"/>
    <w:rsid w:val="00772974"/>
    <w:rsid w:val="00772C1C"/>
    <w:rsid w:val="00772C70"/>
    <w:rsid w:val="00772D34"/>
    <w:rsid w:val="00772DD9"/>
    <w:rsid w:val="00773300"/>
    <w:rsid w:val="00773C18"/>
    <w:rsid w:val="00773F6D"/>
    <w:rsid w:val="00773FCF"/>
    <w:rsid w:val="00774648"/>
    <w:rsid w:val="0077479D"/>
    <w:rsid w:val="0077481D"/>
    <w:rsid w:val="00774900"/>
    <w:rsid w:val="00774AA5"/>
    <w:rsid w:val="00774B67"/>
    <w:rsid w:val="00774D50"/>
    <w:rsid w:val="00774FF5"/>
    <w:rsid w:val="00775903"/>
    <w:rsid w:val="00775ADB"/>
    <w:rsid w:val="0077620D"/>
    <w:rsid w:val="00776298"/>
    <w:rsid w:val="0077637E"/>
    <w:rsid w:val="00776927"/>
    <w:rsid w:val="00776AD0"/>
    <w:rsid w:val="00776AE4"/>
    <w:rsid w:val="00776FCE"/>
    <w:rsid w:val="0077780B"/>
    <w:rsid w:val="00777BFD"/>
    <w:rsid w:val="00777D21"/>
    <w:rsid w:val="00777D50"/>
    <w:rsid w:val="00777DC4"/>
    <w:rsid w:val="007803E1"/>
    <w:rsid w:val="00780413"/>
    <w:rsid w:val="00780675"/>
    <w:rsid w:val="0078068E"/>
    <w:rsid w:val="0078069E"/>
    <w:rsid w:val="007808D1"/>
    <w:rsid w:val="00780949"/>
    <w:rsid w:val="00780B95"/>
    <w:rsid w:val="00780DC8"/>
    <w:rsid w:val="00782581"/>
    <w:rsid w:val="00782898"/>
    <w:rsid w:val="00782FB7"/>
    <w:rsid w:val="007831DE"/>
    <w:rsid w:val="0078348A"/>
    <w:rsid w:val="007834D2"/>
    <w:rsid w:val="0078364A"/>
    <w:rsid w:val="00783FF3"/>
    <w:rsid w:val="007844F5"/>
    <w:rsid w:val="00785261"/>
    <w:rsid w:val="007852A8"/>
    <w:rsid w:val="00785402"/>
    <w:rsid w:val="00785767"/>
    <w:rsid w:val="00785E29"/>
    <w:rsid w:val="0078606D"/>
    <w:rsid w:val="00786133"/>
    <w:rsid w:val="00786187"/>
    <w:rsid w:val="007863C9"/>
    <w:rsid w:val="007869D8"/>
    <w:rsid w:val="00786A37"/>
    <w:rsid w:val="00786A5F"/>
    <w:rsid w:val="00787003"/>
    <w:rsid w:val="007873CF"/>
    <w:rsid w:val="00787EA8"/>
    <w:rsid w:val="00787FFB"/>
    <w:rsid w:val="00790366"/>
    <w:rsid w:val="00791180"/>
    <w:rsid w:val="007917AA"/>
    <w:rsid w:val="00791970"/>
    <w:rsid w:val="00791D41"/>
    <w:rsid w:val="00791D54"/>
    <w:rsid w:val="00792157"/>
    <w:rsid w:val="00792158"/>
    <w:rsid w:val="00792637"/>
    <w:rsid w:val="007927D0"/>
    <w:rsid w:val="007927DD"/>
    <w:rsid w:val="00792DD4"/>
    <w:rsid w:val="007931FB"/>
    <w:rsid w:val="00793290"/>
    <w:rsid w:val="007936D0"/>
    <w:rsid w:val="007938C9"/>
    <w:rsid w:val="007947A1"/>
    <w:rsid w:val="00794D1D"/>
    <w:rsid w:val="007952DB"/>
    <w:rsid w:val="00795915"/>
    <w:rsid w:val="00795BC1"/>
    <w:rsid w:val="00795E12"/>
    <w:rsid w:val="0079628C"/>
    <w:rsid w:val="00796816"/>
    <w:rsid w:val="00796CA8"/>
    <w:rsid w:val="00796CE8"/>
    <w:rsid w:val="00796EE1"/>
    <w:rsid w:val="00796F2A"/>
    <w:rsid w:val="007978EB"/>
    <w:rsid w:val="00797AD8"/>
    <w:rsid w:val="007A035A"/>
    <w:rsid w:val="007A1013"/>
    <w:rsid w:val="007A1039"/>
    <w:rsid w:val="007A126B"/>
    <w:rsid w:val="007A165E"/>
    <w:rsid w:val="007A2337"/>
    <w:rsid w:val="007A41A9"/>
    <w:rsid w:val="007A4ACB"/>
    <w:rsid w:val="007A4C01"/>
    <w:rsid w:val="007A4D46"/>
    <w:rsid w:val="007A58A8"/>
    <w:rsid w:val="007A59AF"/>
    <w:rsid w:val="007A5B6C"/>
    <w:rsid w:val="007A5C62"/>
    <w:rsid w:val="007A5CAC"/>
    <w:rsid w:val="007A6319"/>
    <w:rsid w:val="007A66ED"/>
    <w:rsid w:val="007A6C79"/>
    <w:rsid w:val="007A6DE8"/>
    <w:rsid w:val="007A6ECA"/>
    <w:rsid w:val="007A6F2C"/>
    <w:rsid w:val="007A7188"/>
    <w:rsid w:val="007A73B2"/>
    <w:rsid w:val="007A7B4B"/>
    <w:rsid w:val="007A7E1C"/>
    <w:rsid w:val="007A7ED6"/>
    <w:rsid w:val="007A7FE4"/>
    <w:rsid w:val="007B0043"/>
    <w:rsid w:val="007B0195"/>
    <w:rsid w:val="007B09E2"/>
    <w:rsid w:val="007B0D45"/>
    <w:rsid w:val="007B0F37"/>
    <w:rsid w:val="007B10B7"/>
    <w:rsid w:val="007B1358"/>
    <w:rsid w:val="007B1813"/>
    <w:rsid w:val="007B1861"/>
    <w:rsid w:val="007B19AC"/>
    <w:rsid w:val="007B19BA"/>
    <w:rsid w:val="007B2231"/>
    <w:rsid w:val="007B2320"/>
    <w:rsid w:val="007B2731"/>
    <w:rsid w:val="007B2E97"/>
    <w:rsid w:val="007B32D0"/>
    <w:rsid w:val="007B37D8"/>
    <w:rsid w:val="007B3CB8"/>
    <w:rsid w:val="007B418A"/>
    <w:rsid w:val="007B4B2D"/>
    <w:rsid w:val="007B4CBD"/>
    <w:rsid w:val="007B4F38"/>
    <w:rsid w:val="007B5397"/>
    <w:rsid w:val="007B5823"/>
    <w:rsid w:val="007B5DB7"/>
    <w:rsid w:val="007B5EB7"/>
    <w:rsid w:val="007B61E6"/>
    <w:rsid w:val="007B62EF"/>
    <w:rsid w:val="007B65B0"/>
    <w:rsid w:val="007B6686"/>
    <w:rsid w:val="007B6C72"/>
    <w:rsid w:val="007B6E99"/>
    <w:rsid w:val="007B7ACB"/>
    <w:rsid w:val="007C0150"/>
    <w:rsid w:val="007C01A5"/>
    <w:rsid w:val="007C01F2"/>
    <w:rsid w:val="007C0288"/>
    <w:rsid w:val="007C04B5"/>
    <w:rsid w:val="007C0538"/>
    <w:rsid w:val="007C0B58"/>
    <w:rsid w:val="007C0D69"/>
    <w:rsid w:val="007C10EE"/>
    <w:rsid w:val="007C12E9"/>
    <w:rsid w:val="007C15DB"/>
    <w:rsid w:val="007C1EB7"/>
    <w:rsid w:val="007C1F0D"/>
    <w:rsid w:val="007C21DB"/>
    <w:rsid w:val="007C23B1"/>
    <w:rsid w:val="007C2D5B"/>
    <w:rsid w:val="007C3269"/>
    <w:rsid w:val="007C3634"/>
    <w:rsid w:val="007C38AB"/>
    <w:rsid w:val="007C4351"/>
    <w:rsid w:val="007C4662"/>
    <w:rsid w:val="007C4A12"/>
    <w:rsid w:val="007C4C32"/>
    <w:rsid w:val="007C4CBC"/>
    <w:rsid w:val="007C508C"/>
    <w:rsid w:val="007C54E7"/>
    <w:rsid w:val="007C5964"/>
    <w:rsid w:val="007C5E90"/>
    <w:rsid w:val="007C6897"/>
    <w:rsid w:val="007C68B2"/>
    <w:rsid w:val="007C6AE5"/>
    <w:rsid w:val="007C70FD"/>
    <w:rsid w:val="007C7124"/>
    <w:rsid w:val="007C7317"/>
    <w:rsid w:val="007C7CE3"/>
    <w:rsid w:val="007C7E50"/>
    <w:rsid w:val="007D0013"/>
    <w:rsid w:val="007D0283"/>
    <w:rsid w:val="007D03B4"/>
    <w:rsid w:val="007D05BA"/>
    <w:rsid w:val="007D0AB7"/>
    <w:rsid w:val="007D0C59"/>
    <w:rsid w:val="007D1C40"/>
    <w:rsid w:val="007D24C4"/>
    <w:rsid w:val="007D28A7"/>
    <w:rsid w:val="007D2B88"/>
    <w:rsid w:val="007D2C28"/>
    <w:rsid w:val="007D2DFC"/>
    <w:rsid w:val="007D3208"/>
    <w:rsid w:val="007D3381"/>
    <w:rsid w:val="007D3390"/>
    <w:rsid w:val="007D3598"/>
    <w:rsid w:val="007D3B12"/>
    <w:rsid w:val="007D41A4"/>
    <w:rsid w:val="007D4309"/>
    <w:rsid w:val="007D4462"/>
    <w:rsid w:val="007D456A"/>
    <w:rsid w:val="007D46E9"/>
    <w:rsid w:val="007D4709"/>
    <w:rsid w:val="007D475B"/>
    <w:rsid w:val="007D4DA4"/>
    <w:rsid w:val="007D4FEC"/>
    <w:rsid w:val="007D5444"/>
    <w:rsid w:val="007D55BC"/>
    <w:rsid w:val="007D572F"/>
    <w:rsid w:val="007D5F5F"/>
    <w:rsid w:val="007D6390"/>
    <w:rsid w:val="007D6705"/>
    <w:rsid w:val="007D688A"/>
    <w:rsid w:val="007D68BC"/>
    <w:rsid w:val="007D6FD1"/>
    <w:rsid w:val="007D70E8"/>
    <w:rsid w:val="007D7721"/>
    <w:rsid w:val="007D77E2"/>
    <w:rsid w:val="007E009F"/>
    <w:rsid w:val="007E03DF"/>
    <w:rsid w:val="007E05FB"/>
    <w:rsid w:val="007E0AD5"/>
    <w:rsid w:val="007E0CF6"/>
    <w:rsid w:val="007E13B5"/>
    <w:rsid w:val="007E13F4"/>
    <w:rsid w:val="007E1443"/>
    <w:rsid w:val="007E18D7"/>
    <w:rsid w:val="007E1944"/>
    <w:rsid w:val="007E1F59"/>
    <w:rsid w:val="007E2296"/>
    <w:rsid w:val="007E2459"/>
    <w:rsid w:val="007E2975"/>
    <w:rsid w:val="007E3794"/>
    <w:rsid w:val="007E3EA5"/>
    <w:rsid w:val="007E422C"/>
    <w:rsid w:val="007E43EE"/>
    <w:rsid w:val="007E44FE"/>
    <w:rsid w:val="007E48C9"/>
    <w:rsid w:val="007E4DF5"/>
    <w:rsid w:val="007E500B"/>
    <w:rsid w:val="007E514F"/>
    <w:rsid w:val="007E581A"/>
    <w:rsid w:val="007E58E9"/>
    <w:rsid w:val="007E61C7"/>
    <w:rsid w:val="007E6B92"/>
    <w:rsid w:val="007E705B"/>
    <w:rsid w:val="007E712C"/>
    <w:rsid w:val="007E73D2"/>
    <w:rsid w:val="007E7477"/>
    <w:rsid w:val="007E7ED5"/>
    <w:rsid w:val="007F020F"/>
    <w:rsid w:val="007F03C9"/>
    <w:rsid w:val="007F05D8"/>
    <w:rsid w:val="007F06CD"/>
    <w:rsid w:val="007F16A6"/>
    <w:rsid w:val="007F1971"/>
    <w:rsid w:val="007F1FAA"/>
    <w:rsid w:val="007F25EE"/>
    <w:rsid w:val="007F28B0"/>
    <w:rsid w:val="007F2D41"/>
    <w:rsid w:val="007F2E0B"/>
    <w:rsid w:val="007F47A6"/>
    <w:rsid w:val="007F4A60"/>
    <w:rsid w:val="007F5306"/>
    <w:rsid w:val="007F56F3"/>
    <w:rsid w:val="007F5B18"/>
    <w:rsid w:val="007F6032"/>
    <w:rsid w:val="007F61E1"/>
    <w:rsid w:val="007F6253"/>
    <w:rsid w:val="007F668D"/>
    <w:rsid w:val="007F6AB0"/>
    <w:rsid w:val="007F7DB0"/>
    <w:rsid w:val="00800049"/>
    <w:rsid w:val="00800170"/>
    <w:rsid w:val="00800333"/>
    <w:rsid w:val="00800B4D"/>
    <w:rsid w:val="0080131A"/>
    <w:rsid w:val="00801477"/>
    <w:rsid w:val="0080175C"/>
    <w:rsid w:val="008017B0"/>
    <w:rsid w:val="00801909"/>
    <w:rsid w:val="00801D02"/>
    <w:rsid w:val="00801E48"/>
    <w:rsid w:val="0080210D"/>
    <w:rsid w:val="008027CC"/>
    <w:rsid w:val="00802873"/>
    <w:rsid w:val="00802A14"/>
    <w:rsid w:val="0080323F"/>
    <w:rsid w:val="00803761"/>
    <w:rsid w:val="0080378E"/>
    <w:rsid w:val="00803876"/>
    <w:rsid w:val="00804C60"/>
    <w:rsid w:val="00805063"/>
    <w:rsid w:val="0080512B"/>
    <w:rsid w:val="008057F8"/>
    <w:rsid w:val="00806995"/>
    <w:rsid w:val="00806E02"/>
    <w:rsid w:val="00807A18"/>
    <w:rsid w:val="00807E42"/>
    <w:rsid w:val="008100F1"/>
    <w:rsid w:val="00810249"/>
    <w:rsid w:val="008106FA"/>
    <w:rsid w:val="00810874"/>
    <w:rsid w:val="008109FE"/>
    <w:rsid w:val="00810C10"/>
    <w:rsid w:val="00810D67"/>
    <w:rsid w:val="00811769"/>
    <w:rsid w:val="00811998"/>
    <w:rsid w:val="00811A1A"/>
    <w:rsid w:val="00812011"/>
    <w:rsid w:val="008128EB"/>
    <w:rsid w:val="00812E8E"/>
    <w:rsid w:val="00813723"/>
    <w:rsid w:val="0081387A"/>
    <w:rsid w:val="00813B2E"/>
    <w:rsid w:val="008148CB"/>
    <w:rsid w:val="00814B5B"/>
    <w:rsid w:val="00814CEF"/>
    <w:rsid w:val="00814E70"/>
    <w:rsid w:val="00815002"/>
    <w:rsid w:val="008152AA"/>
    <w:rsid w:val="00815D54"/>
    <w:rsid w:val="0081622D"/>
    <w:rsid w:val="0081651D"/>
    <w:rsid w:val="008167E9"/>
    <w:rsid w:val="00816D4C"/>
    <w:rsid w:val="00817343"/>
    <w:rsid w:val="0081792C"/>
    <w:rsid w:val="00817AA7"/>
    <w:rsid w:val="00820290"/>
    <w:rsid w:val="0082085B"/>
    <w:rsid w:val="00820957"/>
    <w:rsid w:val="008209FC"/>
    <w:rsid w:val="00821B9F"/>
    <w:rsid w:val="00821BCD"/>
    <w:rsid w:val="00821BE2"/>
    <w:rsid w:val="00821CD6"/>
    <w:rsid w:val="00821F7A"/>
    <w:rsid w:val="00822363"/>
    <w:rsid w:val="00822F60"/>
    <w:rsid w:val="00823183"/>
    <w:rsid w:val="008232CD"/>
    <w:rsid w:val="008233B4"/>
    <w:rsid w:val="00823B2C"/>
    <w:rsid w:val="00823B5E"/>
    <w:rsid w:val="00823E61"/>
    <w:rsid w:val="008240E0"/>
    <w:rsid w:val="00824101"/>
    <w:rsid w:val="008241F6"/>
    <w:rsid w:val="00824222"/>
    <w:rsid w:val="008243C3"/>
    <w:rsid w:val="00824E09"/>
    <w:rsid w:val="00824EC9"/>
    <w:rsid w:val="008250E0"/>
    <w:rsid w:val="00825D9B"/>
    <w:rsid w:val="00826027"/>
    <w:rsid w:val="008265E5"/>
    <w:rsid w:val="00826740"/>
    <w:rsid w:val="0082680D"/>
    <w:rsid w:val="00826DD9"/>
    <w:rsid w:val="00826DE2"/>
    <w:rsid w:val="00827170"/>
    <w:rsid w:val="00827434"/>
    <w:rsid w:val="00827745"/>
    <w:rsid w:val="00827B18"/>
    <w:rsid w:val="00830692"/>
    <w:rsid w:val="00830798"/>
    <w:rsid w:val="0083092A"/>
    <w:rsid w:val="00830A80"/>
    <w:rsid w:val="00830DF8"/>
    <w:rsid w:val="00831011"/>
    <w:rsid w:val="008312ED"/>
    <w:rsid w:val="00831510"/>
    <w:rsid w:val="00831BC9"/>
    <w:rsid w:val="00832194"/>
    <w:rsid w:val="0083227C"/>
    <w:rsid w:val="00832626"/>
    <w:rsid w:val="00832A27"/>
    <w:rsid w:val="00832A6F"/>
    <w:rsid w:val="00832C3C"/>
    <w:rsid w:val="00832FF4"/>
    <w:rsid w:val="00833073"/>
    <w:rsid w:val="008331BF"/>
    <w:rsid w:val="008331DD"/>
    <w:rsid w:val="00833942"/>
    <w:rsid w:val="00833AEF"/>
    <w:rsid w:val="00833E0A"/>
    <w:rsid w:val="0083411F"/>
    <w:rsid w:val="0083459A"/>
    <w:rsid w:val="00834625"/>
    <w:rsid w:val="00834A4F"/>
    <w:rsid w:val="008356DD"/>
    <w:rsid w:val="00835C44"/>
    <w:rsid w:val="00835F9A"/>
    <w:rsid w:val="008360DB"/>
    <w:rsid w:val="008362A7"/>
    <w:rsid w:val="008363CE"/>
    <w:rsid w:val="008371A3"/>
    <w:rsid w:val="00837217"/>
    <w:rsid w:val="00837603"/>
    <w:rsid w:val="00837709"/>
    <w:rsid w:val="00837A59"/>
    <w:rsid w:val="00837A7E"/>
    <w:rsid w:val="00837B2E"/>
    <w:rsid w:val="00840274"/>
    <w:rsid w:val="00840F71"/>
    <w:rsid w:val="00841007"/>
    <w:rsid w:val="008410CE"/>
    <w:rsid w:val="008411A2"/>
    <w:rsid w:val="00841216"/>
    <w:rsid w:val="0084134A"/>
    <w:rsid w:val="008418DF"/>
    <w:rsid w:val="00841BC4"/>
    <w:rsid w:val="0084206A"/>
    <w:rsid w:val="00842B07"/>
    <w:rsid w:val="00842F95"/>
    <w:rsid w:val="00843512"/>
    <w:rsid w:val="00843A36"/>
    <w:rsid w:val="008448E9"/>
    <w:rsid w:val="00844D01"/>
    <w:rsid w:val="00844DD3"/>
    <w:rsid w:val="008451A1"/>
    <w:rsid w:val="0084523E"/>
    <w:rsid w:val="008452E5"/>
    <w:rsid w:val="008455AF"/>
    <w:rsid w:val="00845AAB"/>
    <w:rsid w:val="00845EC9"/>
    <w:rsid w:val="00846081"/>
    <w:rsid w:val="00846128"/>
    <w:rsid w:val="00846305"/>
    <w:rsid w:val="00846814"/>
    <w:rsid w:val="008468EC"/>
    <w:rsid w:val="00846DED"/>
    <w:rsid w:val="00846E1A"/>
    <w:rsid w:val="00846E41"/>
    <w:rsid w:val="00847305"/>
    <w:rsid w:val="00847941"/>
    <w:rsid w:val="0085012F"/>
    <w:rsid w:val="008505D8"/>
    <w:rsid w:val="00850AD7"/>
    <w:rsid w:val="0085111B"/>
    <w:rsid w:val="00851374"/>
    <w:rsid w:val="0085151B"/>
    <w:rsid w:val="00851925"/>
    <w:rsid w:val="00851AE8"/>
    <w:rsid w:val="00852124"/>
    <w:rsid w:val="008522C3"/>
    <w:rsid w:val="008525CA"/>
    <w:rsid w:val="00852B9F"/>
    <w:rsid w:val="00852BCD"/>
    <w:rsid w:val="00852FB5"/>
    <w:rsid w:val="00853855"/>
    <w:rsid w:val="00853E1F"/>
    <w:rsid w:val="00853F8B"/>
    <w:rsid w:val="00854312"/>
    <w:rsid w:val="00854AB4"/>
    <w:rsid w:val="00854E85"/>
    <w:rsid w:val="0085502C"/>
    <w:rsid w:val="008559CE"/>
    <w:rsid w:val="00855B43"/>
    <w:rsid w:val="00856120"/>
    <w:rsid w:val="00856546"/>
    <w:rsid w:val="008567B2"/>
    <w:rsid w:val="008568D2"/>
    <w:rsid w:val="00856AA4"/>
    <w:rsid w:val="00856AB7"/>
    <w:rsid w:val="00856AE1"/>
    <w:rsid w:val="00857141"/>
    <w:rsid w:val="008572C2"/>
    <w:rsid w:val="00857647"/>
    <w:rsid w:val="008601DB"/>
    <w:rsid w:val="00860C8A"/>
    <w:rsid w:val="00861343"/>
    <w:rsid w:val="008619B2"/>
    <w:rsid w:val="00861AF8"/>
    <w:rsid w:val="008624B5"/>
    <w:rsid w:val="0086259C"/>
    <w:rsid w:val="00863170"/>
    <w:rsid w:val="00863199"/>
    <w:rsid w:val="008632DA"/>
    <w:rsid w:val="00863648"/>
    <w:rsid w:val="00863966"/>
    <w:rsid w:val="00863A56"/>
    <w:rsid w:val="00863A6B"/>
    <w:rsid w:val="00863DCB"/>
    <w:rsid w:val="00864379"/>
    <w:rsid w:val="00864B18"/>
    <w:rsid w:val="00865550"/>
    <w:rsid w:val="008659C4"/>
    <w:rsid w:val="00865D9C"/>
    <w:rsid w:val="00866107"/>
    <w:rsid w:val="008663AF"/>
    <w:rsid w:val="00866CD9"/>
    <w:rsid w:val="00866D0D"/>
    <w:rsid w:val="00866F4F"/>
    <w:rsid w:val="00866FC3"/>
    <w:rsid w:val="00867044"/>
    <w:rsid w:val="008672E2"/>
    <w:rsid w:val="008674C4"/>
    <w:rsid w:val="008677A7"/>
    <w:rsid w:val="008703D6"/>
    <w:rsid w:val="00870590"/>
    <w:rsid w:val="008707EE"/>
    <w:rsid w:val="0087084B"/>
    <w:rsid w:val="00870D2D"/>
    <w:rsid w:val="00870E0A"/>
    <w:rsid w:val="00870EA5"/>
    <w:rsid w:val="00870FA4"/>
    <w:rsid w:val="00871126"/>
    <w:rsid w:val="008715DF"/>
    <w:rsid w:val="008718D7"/>
    <w:rsid w:val="008719E7"/>
    <w:rsid w:val="00871E75"/>
    <w:rsid w:val="00871F45"/>
    <w:rsid w:val="0087282D"/>
    <w:rsid w:val="00872C18"/>
    <w:rsid w:val="00872EAC"/>
    <w:rsid w:val="008733FC"/>
    <w:rsid w:val="00874418"/>
    <w:rsid w:val="00874756"/>
    <w:rsid w:val="00874C3A"/>
    <w:rsid w:val="00875022"/>
    <w:rsid w:val="0087534B"/>
    <w:rsid w:val="008754AA"/>
    <w:rsid w:val="008754D0"/>
    <w:rsid w:val="008758A5"/>
    <w:rsid w:val="00875BF6"/>
    <w:rsid w:val="00875CCD"/>
    <w:rsid w:val="00876AD2"/>
    <w:rsid w:val="00876E08"/>
    <w:rsid w:val="00876EA8"/>
    <w:rsid w:val="00876ECC"/>
    <w:rsid w:val="00876F11"/>
    <w:rsid w:val="00876F21"/>
    <w:rsid w:val="00877709"/>
    <w:rsid w:val="0087778E"/>
    <w:rsid w:val="00877D10"/>
    <w:rsid w:val="00880077"/>
    <w:rsid w:val="00880192"/>
    <w:rsid w:val="008805BB"/>
    <w:rsid w:val="00880615"/>
    <w:rsid w:val="008806E3"/>
    <w:rsid w:val="00880ABE"/>
    <w:rsid w:val="00880B4B"/>
    <w:rsid w:val="00880BFE"/>
    <w:rsid w:val="008815F7"/>
    <w:rsid w:val="00881D1A"/>
    <w:rsid w:val="00881D2B"/>
    <w:rsid w:val="00882015"/>
    <w:rsid w:val="008820B1"/>
    <w:rsid w:val="00882199"/>
    <w:rsid w:val="00882349"/>
    <w:rsid w:val="00882678"/>
    <w:rsid w:val="008828C2"/>
    <w:rsid w:val="00882CD7"/>
    <w:rsid w:val="00882EA6"/>
    <w:rsid w:val="0088372A"/>
    <w:rsid w:val="00883ABA"/>
    <w:rsid w:val="00883AF8"/>
    <w:rsid w:val="00883F72"/>
    <w:rsid w:val="00884125"/>
    <w:rsid w:val="008844C0"/>
    <w:rsid w:val="00884690"/>
    <w:rsid w:val="00884CD1"/>
    <w:rsid w:val="0088554F"/>
    <w:rsid w:val="0088565D"/>
    <w:rsid w:val="008856D1"/>
    <w:rsid w:val="00885BA8"/>
    <w:rsid w:val="00885C38"/>
    <w:rsid w:val="00885C43"/>
    <w:rsid w:val="00886891"/>
    <w:rsid w:val="00887161"/>
    <w:rsid w:val="0088792D"/>
    <w:rsid w:val="00887C0B"/>
    <w:rsid w:val="00890212"/>
    <w:rsid w:val="00890539"/>
    <w:rsid w:val="0089120E"/>
    <w:rsid w:val="00891490"/>
    <w:rsid w:val="00891991"/>
    <w:rsid w:val="00891B65"/>
    <w:rsid w:val="0089223B"/>
    <w:rsid w:val="00892333"/>
    <w:rsid w:val="0089233A"/>
    <w:rsid w:val="008923A7"/>
    <w:rsid w:val="00892630"/>
    <w:rsid w:val="00892678"/>
    <w:rsid w:val="008936D3"/>
    <w:rsid w:val="00893E1D"/>
    <w:rsid w:val="008942C5"/>
    <w:rsid w:val="00894886"/>
    <w:rsid w:val="008948AF"/>
    <w:rsid w:val="00894AF6"/>
    <w:rsid w:val="00895901"/>
    <w:rsid w:val="00895B29"/>
    <w:rsid w:val="00895F9F"/>
    <w:rsid w:val="0089614B"/>
    <w:rsid w:val="00896659"/>
    <w:rsid w:val="00896886"/>
    <w:rsid w:val="00896895"/>
    <w:rsid w:val="00896C67"/>
    <w:rsid w:val="00896D89"/>
    <w:rsid w:val="00896D8E"/>
    <w:rsid w:val="00896F85"/>
    <w:rsid w:val="0089740A"/>
    <w:rsid w:val="008974FD"/>
    <w:rsid w:val="00897788"/>
    <w:rsid w:val="008978CE"/>
    <w:rsid w:val="00897936"/>
    <w:rsid w:val="0089795F"/>
    <w:rsid w:val="00897B3E"/>
    <w:rsid w:val="00897F43"/>
    <w:rsid w:val="008A0212"/>
    <w:rsid w:val="008A02D2"/>
    <w:rsid w:val="008A08B2"/>
    <w:rsid w:val="008A08E5"/>
    <w:rsid w:val="008A0A47"/>
    <w:rsid w:val="008A0F1D"/>
    <w:rsid w:val="008A141D"/>
    <w:rsid w:val="008A14DC"/>
    <w:rsid w:val="008A167B"/>
    <w:rsid w:val="008A21D1"/>
    <w:rsid w:val="008A21D6"/>
    <w:rsid w:val="008A2683"/>
    <w:rsid w:val="008A29BD"/>
    <w:rsid w:val="008A2D00"/>
    <w:rsid w:val="008A2F40"/>
    <w:rsid w:val="008A3035"/>
    <w:rsid w:val="008A4ED8"/>
    <w:rsid w:val="008A503C"/>
    <w:rsid w:val="008A5594"/>
    <w:rsid w:val="008A56D7"/>
    <w:rsid w:val="008A5C59"/>
    <w:rsid w:val="008A617B"/>
    <w:rsid w:val="008A6465"/>
    <w:rsid w:val="008A6626"/>
    <w:rsid w:val="008A6777"/>
    <w:rsid w:val="008A67E6"/>
    <w:rsid w:val="008A6827"/>
    <w:rsid w:val="008A6A41"/>
    <w:rsid w:val="008A6C21"/>
    <w:rsid w:val="008A6C24"/>
    <w:rsid w:val="008A7107"/>
    <w:rsid w:val="008A7549"/>
    <w:rsid w:val="008A7CDE"/>
    <w:rsid w:val="008B009D"/>
    <w:rsid w:val="008B0167"/>
    <w:rsid w:val="008B0212"/>
    <w:rsid w:val="008B0269"/>
    <w:rsid w:val="008B03B3"/>
    <w:rsid w:val="008B0933"/>
    <w:rsid w:val="008B0E27"/>
    <w:rsid w:val="008B1382"/>
    <w:rsid w:val="008B16D3"/>
    <w:rsid w:val="008B185D"/>
    <w:rsid w:val="008B19A6"/>
    <w:rsid w:val="008B2115"/>
    <w:rsid w:val="008B27EA"/>
    <w:rsid w:val="008B2A22"/>
    <w:rsid w:val="008B2E95"/>
    <w:rsid w:val="008B38B4"/>
    <w:rsid w:val="008B3D2B"/>
    <w:rsid w:val="008B41CB"/>
    <w:rsid w:val="008B41EA"/>
    <w:rsid w:val="008B4854"/>
    <w:rsid w:val="008B4FAC"/>
    <w:rsid w:val="008B518B"/>
    <w:rsid w:val="008B533B"/>
    <w:rsid w:val="008B565D"/>
    <w:rsid w:val="008B592E"/>
    <w:rsid w:val="008B5CBB"/>
    <w:rsid w:val="008B5CD7"/>
    <w:rsid w:val="008B5EB3"/>
    <w:rsid w:val="008B678F"/>
    <w:rsid w:val="008B67B5"/>
    <w:rsid w:val="008B6AC5"/>
    <w:rsid w:val="008B6D75"/>
    <w:rsid w:val="008B705B"/>
    <w:rsid w:val="008B74D1"/>
    <w:rsid w:val="008B74D6"/>
    <w:rsid w:val="008C04FC"/>
    <w:rsid w:val="008C0AD0"/>
    <w:rsid w:val="008C0B1D"/>
    <w:rsid w:val="008C0E06"/>
    <w:rsid w:val="008C133F"/>
    <w:rsid w:val="008C1BCB"/>
    <w:rsid w:val="008C1CE5"/>
    <w:rsid w:val="008C1D2B"/>
    <w:rsid w:val="008C2292"/>
    <w:rsid w:val="008C2302"/>
    <w:rsid w:val="008C27BB"/>
    <w:rsid w:val="008C288F"/>
    <w:rsid w:val="008C295C"/>
    <w:rsid w:val="008C2DC0"/>
    <w:rsid w:val="008C2FBE"/>
    <w:rsid w:val="008C33F5"/>
    <w:rsid w:val="008C3BC1"/>
    <w:rsid w:val="008C3D9F"/>
    <w:rsid w:val="008C46E6"/>
    <w:rsid w:val="008C4979"/>
    <w:rsid w:val="008C49AA"/>
    <w:rsid w:val="008C4CD8"/>
    <w:rsid w:val="008C53C0"/>
    <w:rsid w:val="008C5439"/>
    <w:rsid w:val="008C55AE"/>
    <w:rsid w:val="008C5D0C"/>
    <w:rsid w:val="008C6979"/>
    <w:rsid w:val="008C6E49"/>
    <w:rsid w:val="008C7FD4"/>
    <w:rsid w:val="008D090A"/>
    <w:rsid w:val="008D090B"/>
    <w:rsid w:val="008D0947"/>
    <w:rsid w:val="008D0A64"/>
    <w:rsid w:val="008D0B12"/>
    <w:rsid w:val="008D0FA5"/>
    <w:rsid w:val="008D135C"/>
    <w:rsid w:val="008D1633"/>
    <w:rsid w:val="008D17FD"/>
    <w:rsid w:val="008D1A52"/>
    <w:rsid w:val="008D1AA9"/>
    <w:rsid w:val="008D2274"/>
    <w:rsid w:val="008D2423"/>
    <w:rsid w:val="008D24F2"/>
    <w:rsid w:val="008D2EED"/>
    <w:rsid w:val="008D3420"/>
    <w:rsid w:val="008D35C0"/>
    <w:rsid w:val="008D38C0"/>
    <w:rsid w:val="008D3EA5"/>
    <w:rsid w:val="008D4398"/>
    <w:rsid w:val="008D4473"/>
    <w:rsid w:val="008D48CF"/>
    <w:rsid w:val="008D4DFD"/>
    <w:rsid w:val="008D5059"/>
    <w:rsid w:val="008D51F4"/>
    <w:rsid w:val="008D5B90"/>
    <w:rsid w:val="008D5BC1"/>
    <w:rsid w:val="008D5DB4"/>
    <w:rsid w:val="008D6005"/>
    <w:rsid w:val="008D6149"/>
    <w:rsid w:val="008D6822"/>
    <w:rsid w:val="008D6C50"/>
    <w:rsid w:val="008D6EBA"/>
    <w:rsid w:val="008D6F49"/>
    <w:rsid w:val="008D6FF0"/>
    <w:rsid w:val="008D7000"/>
    <w:rsid w:val="008D707C"/>
    <w:rsid w:val="008D787B"/>
    <w:rsid w:val="008D7978"/>
    <w:rsid w:val="008D7C74"/>
    <w:rsid w:val="008D7FAB"/>
    <w:rsid w:val="008E01C3"/>
    <w:rsid w:val="008E0775"/>
    <w:rsid w:val="008E07EE"/>
    <w:rsid w:val="008E0FD7"/>
    <w:rsid w:val="008E1660"/>
    <w:rsid w:val="008E1D20"/>
    <w:rsid w:val="008E1DB5"/>
    <w:rsid w:val="008E29EE"/>
    <w:rsid w:val="008E2AA2"/>
    <w:rsid w:val="008E2D32"/>
    <w:rsid w:val="008E3288"/>
    <w:rsid w:val="008E3A05"/>
    <w:rsid w:val="008E3E50"/>
    <w:rsid w:val="008E405A"/>
    <w:rsid w:val="008E42CC"/>
    <w:rsid w:val="008E42F3"/>
    <w:rsid w:val="008E436A"/>
    <w:rsid w:val="008E51B8"/>
    <w:rsid w:val="008E5488"/>
    <w:rsid w:val="008E5522"/>
    <w:rsid w:val="008E5A83"/>
    <w:rsid w:val="008E5EDA"/>
    <w:rsid w:val="008E648C"/>
    <w:rsid w:val="008E682C"/>
    <w:rsid w:val="008E6AB0"/>
    <w:rsid w:val="008E6DF4"/>
    <w:rsid w:val="008E7022"/>
    <w:rsid w:val="008E75F5"/>
    <w:rsid w:val="008E7760"/>
    <w:rsid w:val="008F0528"/>
    <w:rsid w:val="008F06E4"/>
    <w:rsid w:val="008F09AA"/>
    <w:rsid w:val="008F1B10"/>
    <w:rsid w:val="008F2154"/>
    <w:rsid w:val="008F2377"/>
    <w:rsid w:val="008F24FC"/>
    <w:rsid w:val="008F2AC2"/>
    <w:rsid w:val="008F303D"/>
    <w:rsid w:val="008F368F"/>
    <w:rsid w:val="008F382B"/>
    <w:rsid w:val="008F3EEC"/>
    <w:rsid w:val="008F3EF1"/>
    <w:rsid w:val="008F45DB"/>
    <w:rsid w:val="008F4655"/>
    <w:rsid w:val="008F4939"/>
    <w:rsid w:val="008F4E37"/>
    <w:rsid w:val="008F5179"/>
    <w:rsid w:val="008F5483"/>
    <w:rsid w:val="008F55F3"/>
    <w:rsid w:val="008F56AA"/>
    <w:rsid w:val="008F5CD6"/>
    <w:rsid w:val="008F5D74"/>
    <w:rsid w:val="008F6053"/>
    <w:rsid w:val="008F691B"/>
    <w:rsid w:val="008F707C"/>
    <w:rsid w:val="008F74BC"/>
    <w:rsid w:val="008F7562"/>
    <w:rsid w:val="008F7A8D"/>
    <w:rsid w:val="008F7E10"/>
    <w:rsid w:val="00900055"/>
    <w:rsid w:val="009000B4"/>
    <w:rsid w:val="009001EF"/>
    <w:rsid w:val="009004FC"/>
    <w:rsid w:val="00900504"/>
    <w:rsid w:val="009010B1"/>
    <w:rsid w:val="00901246"/>
    <w:rsid w:val="00901399"/>
    <w:rsid w:val="009016F7"/>
    <w:rsid w:val="00901A6F"/>
    <w:rsid w:val="00901D78"/>
    <w:rsid w:val="00901FB1"/>
    <w:rsid w:val="00902E31"/>
    <w:rsid w:val="0090320D"/>
    <w:rsid w:val="009034B6"/>
    <w:rsid w:val="009038EC"/>
    <w:rsid w:val="00903AB1"/>
    <w:rsid w:val="00903BD6"/>
    <w:rsid w:val="00903D45"/>
    <w:rsid w:val="00904C09"/>
    <w:rsid w:val="00904D3A"/>
    <w:rsid w:val="00905902"/>
    <w:rsid w:val="009059C3"/>
    <w:rsid w:val="00905A78"/>
    <w:rsid w:val="00905D53"/>
    <w:rsid w:val="00905D94"/>
    <w:rsid w:val="00906ACB"/>
    <w:rsid w:val="00907186"/>
    <w:rsid w:val="009072D9"/>
    <w:rsid w:val="00907801"/>
    <w:rsid w:val="00907D34"/>
    <w:rsid w:val="00907EC3"/>
    <w:rsid w:val="00907ED7"/>
    <w:rsid w:val="00907F71"/>
    <w:rsid w:val="00910050"/>
    <w:rsid w:val="00910856"/>
    <w:rsid w:val="009112BF"/>
    <w:rsid w:val="0091162F"/>
    <w:rsid w:val="00911835"/>
    <w:rsid w:val="00911854"/>
    <w:rsid w:val="00911B0C"/>
    <w:rsid w:val="00911B2A"/>
    <w:rsid w:val="00911DA6"/>
    <w:rsid w:val="00911E5F"/>
    <w:rsid w:val="0091253C"/>
    <w:rsid w:val="0091253D"/>
    <w:rsid w:val="00912F96"/>
    <w:rsid w:val="00913774"/>
    <w:rsid w:val="009137F9"/>
    <w:rsid w:val="0091385A"/>
    <w:rsid w:val="00913E3F"/>
    <w:rsid w:val="009145E3"/>
    <w:rsid w:val="00914865"/>
    <w:rsid w:val="009154A0"/>
    <w:rsid w:val="00915AEC"/>
    <w:rsid w:val="009160E7"/>
    <w:rsid w:val="009161EE"/>
    <w:rsid w:val="00916508"/>
    <w:rsid w:val="00916613"/>
    <w:rsid w:val="00916668"/>
    <w:rsid w:val="009168A5"/>
    <w:rsid w:val="00916A36"/>
    <w:rsid w:val="00916A9C"/>
    <w:rsid w:val="009172AC"/>
    <w:rsid w:val="0091743D"/>
    <w:rsid w:val="00917440"/>
    <w:rsid w:val="00917628"/>
    <w:rsid w:val="009177C7"/>
    <w:rsid w:val="009177D0"/>
    <w:rsid w:val="00920D02"/>
    <w:rsid w:val="00920D60"/>
    <w:rsid w:val="0092138F"/>
    <w:rsid w:val="0092177C"/>
    <w:rsid w:val="009219E3"/>
    <w:rsid w:val="009223DB"/>
    <w:rsid w:val="0092359C"/>
    <w:rsid w:val="00923C9F"/>
    <w:rsid w:val="00923F50"/>
    <w:rsid w:val="00925E36"/>
    <w:rsid w:val="00925EE8"/>
    <w:rsid w:val="0092730B"/>
    <w:rsid w:val="00927346"/>
    <w:rsid w:val="00927845"/>
    <w:rsid w:val="00927EB0"/>
    <w:rsid w:val="009305D2"/>
    <w:rsid w:val="009307B3"/>
    <w:rsid w:val="00930C34"/>
    <w:rsid w:val="009314EB"/>
    <w:rsid w:val="009314FD"/>
    <w:rsid w:val="0093151C"/>
    <w:rsid w:val="00931AD4"/>
    <w:rsid w:val="00931B4A"/>
    <w:rsid w:val="00932404"/>
    <w:rsid w:val="00932875"/>
    <w:rsid w:val="00932C2F"/>
    <w:rsid w:val="00932DCE"/>
    <w:rsid w:val="00933366"/>
    <w:rsid w:val="0093355D"/>
    <w:rsid w:val="009337CD"/>
    <w:rsid w:val="0093398C"/>
    <w:rsid w:val="00933AC1"/>
    <w:rsid w:val="00933B2C"/>
    <w:rsid w:val="00933CC4"/>
    <w:rsid w:val="0093486C"/>
    <w:rsid w:val="00934A22"/>
    <w:rsid w:val="00934A82"/>
    <w:rsid w:val="00934BE0"/>
    <w:rsid w:val="00934BEF"/>
    <w:rsid w:val="00934E5E"/>
    <w:rsid w:val="00934E89"/>
    <w:rsid w:val="00934EFC"/>
    <w:rsid w:val="00934F8A"/>
    <w:rsid w:val="009353B5"/>
    <w:rsid w:val="0093547A"/>
    <w:rsid w:val="0093599A"/>
    <w:rsid w:val="00935A0F"/>
    <w:rsid w:val="00935C72"/>
    <w:rsid w:val="00935ECA"/>
    <w:rsid w:val="00936173"/>
    <w:rsid w:val="00936305"/>
    <w:rsid w:val="00936DDA"/>
    <w:rsid w:val="009370B3"/>
    <w:rsid w:val="009372B0"/>
    <w:rsid w:val="00937DA1"/>
    <w:rsid w:val="0094018A"/>
    <w:rsid w:val="0094138E"/>
    <w:rsid w:val="00941E92"/>
    <w:rsid w:val="00942104"/>
    <w:rsid w:val="00942239"/>
    <w:rsid w:val="0094235C"/>
    <w:rsid w:val="009425F7"/>
    <w:rsid w:val="00942700"/>
    <w:rsid w:val="009427BB"/>
    <w:rsid w:val="00942872"/>
    <w:rsid w:val="009429C2"/>
    <w:rsid w:val="00942E6C"/>
    <w:rsid w:val="009430C0"/>
    <w:rsid w:val="00943321"/>
    <w:rsid w:val="00943550"/>
    <w:rsid w:val="0094383F"/>
    <w:rsid w:val="00943C05"/>
    <w:rsid w:val="00943D2B"/>
    <w:rsid w:val="009441F1"/>
    <w:rsid w:val="009442F8"/>
    <w:rsid w:val="00944337"/>
    <w:rsid w:val="009444BA"/>
    <w:rsid w:val="00944954"/>
    <w:rsid w:val="00944B21"/>
    <w:rsid w:val="00945419"/>
    <w:rsid w:val="00945752"/>
    <w:rsid w:val="00945ABA"/>
    <w:rsid w:val="00945EC4"/>
    <w:rsid w:val="00945FF9"/>
    <w:rsid w:val="0094617F"/>
    <w:rsid w:val="0094640F"/>
    <w:rsid w:val="00946A61"/>
    <w:rsid w:val="00946E32"/>
    <w:rsid w:val="0094702C"/>
    <w:rsid w:val="009478FB"/>
    <w:rsid w:val="00947936"/>
    <w:rsid w:val="00947CBD"/>
    <w:rsid w:val="009502EE"/>
    <w:rsid w:val="0095032A"/>
    <w:rsid w:val="00950B69"/>
    <w:rsid w:val="00950C1D"/>
    <w:rsid w:val="00950DC2"/>
    <w:rsid w:val="009514C4"/>
    <w:rsid w:val="00951848"/>
    <w:rsid w:val="00952655"/>
    <w:rsid w:val="009529E3"/>
    <w:rsid w:val="00952A17"/>
    <w:rsid w:val="00952D54"/>
    <w:rsid w:val="00952E3B"/>
    <w:rsid w:val="00953578"/>
    <w:rsid w:val="00953787"/>
    <w:rsid w:val="009537DF"/>
    <w:rsid w:val="00953845"/>
    <w:rsid w:val="00953996"/>
    <w:rsid w:val="00953F70"/>
    <w:rsid w:val="0095403F"/>
    <w:rsid w:val="00954636"/>
    <w:rsid w:val="00954E2A"/>
    <w:rsid w:val="0095529D"/>
    <w:rsid w:val="009552B7"/>
    <w:rsid w:val="00955331"/>
    <w:rsid w:val="0095579E"/>
    <w:rsid w:val="00955B9C"/>
    <w:rsid w:val="00955DC7"/>
    <w:rsid w:val="00955FCC"/>
    <w:rsid w:val="0095673C"/>
    <w:rsid w:val="00956A12"/>
    <w:rsid w:val="00956E2F"/>
    <w:rsid w:val="00957B1B"/>
    <w:rsid w:val="00957BC7"/>
    <w:rsid w:val="00957C60"/>
    <w:rsid w:val="00957D9F"/>
    <w:rsid w:val="00957DEA"/>
    <w:rsid w:val="00960078"/>
    <w:rsid w:val="0096028B"/>
    <w:rsid w:val="0096079E"/>
    <w:rsid w:val="00960E0A"/>
    <w:rsid w:val="0096172D"/>
    <w:rsid w:val="00961D31"/>
    <w:rsid w:val="00962A99"/>
    <w:rsid w:val="00962CCA"/>
    <w:rsid w:val="00963690"/>
    <w:rsid w:val="00963FA9"/>
    <w:rsid w:val="009640EC"/>
    <w:rsid w:val="009643A9"/>
    <w:rsid w:val="009645D0"/>
    <w:rsid w:val="0096501F"/>
    <w:rsid w:val="009651D7"/>
    <w:rsid w:val="009659D7"/>
    <w:rsid w:val="00965B86"/>
    <w:rsid w:val="00965CC3"/>
    <w:rsid w:val="00965F93"/>
    <w:rsid w:val="00966153"/>
    <w:rsid w:val="009664D8"/>
    <w:rsid w:val="009665C7"/>
    <w:rsid w:val="0096664D"/>
    <w:rsid w:val="00966E56"/>
    <w:rsid w:val="00967548"/>
    <w:rsid w:val="00967798"/>
    <w:rsid w:val="00967A31"/>
    <w:rsid w:val="00967B4D"/>
    <w:rsid w:val="00967C28"/>
    <w:rsid w:val="0096B0AF"/>
    <w:rsid w:val="00970576"/>
    <w:rsid w:val="00970C6C"/>
    <w:rsid w:val="0097124D"/>
    <w:rsid w:val="009713CF"/>
    <w:rsid w:val="009717CC"/>
    <w:rsid w:val="00971872"/>
    <w:rsid w:val="00971E76"/>
    <w:rsid w:val="009721BA"/>
    <w:rsid w:val="00972550"/>
    <w:rsid w:val="009725D3"/>
    <w:rsid w:val="00972646"/>
    <w:rsid w:val="00972659"/>
    <w:rsid w:val="00972B26"/>
    <w:rsid w:val="00972C04"/>
    <w:rsid w:val="00972C11"/>
    <w:rsid w:val="00972D2B"/>
    <w:rsid w:val="00972D82"/>
    <w:rsid w:val="00972E59"/>
    <w:rsid w:val="00973091"/>
    <w:rsid w:val="009735F3"/>
    <w:rsid w:val="009737A1"/>
    <w:rsid w:val="009737B9"/>
    <w:rsid w:val="00973949"/>
    <w:rsid w:val="00973C79"/>
    <w:rsid w:val="00974306"/>
    <w:rsid w:val="0097432D"/>
    <w:rsid w:val="00974452"/>
    <w:rsid w:val="009744A7"/>
    <w:rsid w:val="009753E8"/>
    <w:rsid w:val="0097550F"/>
    <w:rsid w:val="00975960"/>
    <w:rsid w:val="00975BC8"/>
    <w:rsid w:val="00975E5A"/>
    <w:rsid w:val="0097601B"/>
    <w:rsid w:val="00976521"/>
    <w:rsid w:val="0097664C"/>
    <w:rsid w:val="00976829"/>
    <w:rsid w:val="00976A7F"/>
    <w:rsid w:val="00976C35"/>
    <w:rsid w:val="00976F60"/>
    <w:rsid w:val="00976FA7"/>
    <w:rsid w:val="00977818"/>
    <w:rsid w:val="00980B00"/>
    <w:rsid w:val="00980CE1"/>
    <w:rsid w:val="0098111D"/>
    <w:rsid w:val="009811CC"/>
    <w:rsid w:val="0098124D"/>
    <w:rsid w:val="0098130F"/>
    <w:rsid w:val="00981401"/>
    <w:rsid w:val="0098161C"/>
    <w:rsid w:val="009818F0"/>
    <w:rsid w:val="0098206E"/>
    <w:rsid w:val="009821BD"/>
    <w:rsid w:val="009828D8"/>
    <w:rsid w:val="00983390"/>
    <w:rsid w:val="00983782"/>
    <w:rsid w:val="0098397C"/>
    <w:rsid w:val="00983988"/>
    <w:rsid w:val="00983FF1"/>
    <w:rsid w:val="00984291"/>
    <w:rsid w:val="00984615"/>
    <w:rsid w:val="00984866"/>
    <w:rsid w:val="00984A1E"/>
    <w:rsid w:val="00984D42"/>
    <w:rsid w:val="00984DA7"/>
    <w:rsid w:val="00985040"/>
    <w:rsid w:val="00985059"/>
    <w:rsid w:val="00985142"/>
    <w:rsid w:val="00986421"/>
    <w:rsid w:val="00986422"/>
    <w:rsid w:val="00986492"/>
    <w:rsid w:val="009868A3"/>
    <w:rsid w:val="00986A94"/>
    <w:rsid w:val="00986D2C"/>
    <w:rsid w:val="009873B2"/>
    <w:rsid w:val="00987CCB"/>
    <w:rsid w:val="00987E56"/>
    <w:rsid w:val="00987E8A"/>
    <w:rsid w:val="00990034"/>
    <w:rsid w:val="00990746"/>
    <w:rsid w:val="00990818"/>
    <w:rsid w:val="009908CA"/>
    <w:rsid w:val="00990AC0"/>
    <w:rsid w:val="00991406"/>
    <w:rsid w:val="00991A13"/>
    <w:rsid w:val="00991C6B"/>
    <w:rsid w:val="0099264F"/>
    <w:rsid w:val="00992696"/>
    <w:rsid w:val="0099269A"/>
    <w:rsid w:val="00992AF8"/>
    <w:rsid w:val="00993785"/>
    <w:rsid w:val="00994236"/>
    <w:rsid w:val="0099434B"/>
    <w:rsid w:val="009946EF"/>
    <w:rsid w:val="009948A7"/>
    <w:rsid w:val="0099494A"/>
    <w:rsid w:val="009949B8"/>
    <w:rsid w:val="00995050"/>
    <w:rsid w:val="0099581F"/>
    <w:rsid w:val="00995A71"/>
    <w:rsid w:val="00995C54"/>
    <w:rsid w:val="009961E6"/>
    <w:rsid w:val="0099635A"/>
    <w:rsid w:val="00996D3B"/>
    <w:rsid w:val="00996EC4"/>
    <w:rsid w:val="009973BC"/>
    <w:rsid w:val="00997869"/>
    <w:rsid w:val="00997B51"/>
    <w:rsid w:val="00997E94"/>
    <w:rsid w:val="009A02E8"/>
    <w:rsid w:val="009A05C0"/>
    <w:rsid w:val="009A063D"/>
    <w:rsid w:val="009A06AF"/>
    <w:rsid w:val="009A071C"/>
    <w:rsid w:val="009A07AF"/>
    <w:rsid w:val="009A0978"/>
    <w:rsid w:val="009A1342"/>
    <w:rsid w:val="009A13D4"/>
    <w:rsid w:val="009A1471"/>
    <w:rsid w:val="009A1A81"/>
    <w:rsid w:val="009A1F21"/>
    <w:rsid w:val="009A1F74"/>
    <w:rsid w:val="009A20DB"/>
    <w:rsid w:val="009A2C74"/>
    <w:rsid w:val="009A2E4F"/>
    <w:rsid w:val="009A3179"/>
    <w:rsid w:val="009A37C6"/>
    <w:rsid w:val="009A39A3"/>
    <w:rsid w:val="009A3ABC"/>
    <w:rsid w:val="009A3D27"/>
    <w:rsid w:val="009A4193"/>
    <w:rsid w:val="009A487E"/>
    <w:rsid w:val="009A4A47"/>
    <w:rsid w:val="009A4D1D"/>
    <w:rsid w:val="009A51B4"/>
    <w:rsid w:val="009A528F"/>
    <w:rsid w:val="009A5540"/>
    <w:rsid w:val="009A57AD"/>
    <w:rsid w:val="009A5813"/>
    <w:rsid w:val="009A5CDD"/>
    <w:rsid w:val="009A5E5E"/>
    <w:rsid w:val="009A620A"/>
    <w:rsid w:val="009A641E"/>
    <w:rsid w:val="009A6744"/>
    <w:rsid w:val="009A67B9"/>
    <w:rsid w:val="009A69F3"/>
    <w:rsid w:val="009A6A62"/>
    <w:rsid w:val="009A6C3D"/>
    <w:rsid w:val="009A6F1E"/>
    <w:rsid w:val="009A74F9"/>
    <w:rsid w:val="009A7B80"/>
    <w:rsid w:val="009B0ABA"/>
    <w:rsid w:val="009B0B91"/>
    <w:rsid w:val="009B0D9F"/>
    <w:rsid w:val="009B0EB8"/>
    <w:rsid w:val="009B0F62"/>
    <w:rsid w:val="009B1096"/>
    <w:rsid w:val="009B15D2"/>
    <w:rsid w:val="009B16F5"/>
    <w:rsid w:val="009B18F9"/>
    <w:rsid w:val="009B1B96"/>
    <w:rsid w:val="009B1BA3"/>
    <w:rsid w:val="009B1C88"/>
    <w:rsid w:val="009B1CEF"/>
    <w:rsid w:val="009B1CF4"/>
    <w:rsid w:val="009B248F"/>
    <w:rsid w:val="009B2DD3"/>
    <w:rsid w:val="009B33FE"/>
    <w:rsid w:val="009B38AF"/>
    <w:rsid w:val="009B38D1"/>
    <w:rsid w:val="009B3A21"/>
    <w:rsid w:val="009B3E33"/>
    <w:rsid w:val="009B3E84"/>
    <w:rsid w:val="009B4739"/>
    <w:rsid w:val="009B4797"/>
    <w:rsid w:val="009B4BC8"/>
    <w:rsid w:val="009B504A"/>
    <w:rsid w:val="009B5C67"/>
    <w:rsid w:val="009B606D"/>
    <w:rsid w:val="009B67DD"/>
    <w:rsid w:val="009B6B0A"/>
    <w:rsid w:val="009B6D5C"/>
    <w:rsid w:val="009B7947"/>
    <w:rsid w:val="009B7C40"/>
    <w:rsid w:val="009C057E"/>
    <w:rsid w:val="009C0D4D"/>
    <w:rsid w:val="009C0FDA"/>
    <w:rsid w:val="009C13FF"/>
    <w:rsid w:val="009C1514"/>
    <w:rsid w:val="009C1904"/>
    <w:rsid w:val="009C2060"/>
    <w:rsid w:val="009C2254"/>
    <w:rsid w:val="009C2391"/>
    <w:rsid w:val="009C2ACF"/>
    <w:rsid w:val="009C2CAD"/>
    <w:rsid w:val="009C2D21"/>
    <w:rsid w:val="009C38F4"/>
    <w:rsid w:val="009C3C12"/>
    <w:rsid w:val="009C3D56"/>
    <w:rsid w:val="009C4350"/>
    <w:rsid w:val="009C48EA"/>
    <w:rsid w:val="009C4E6D"/>
    <w:rsid w:val="009C5012"/>
    <w:rsid w:val="009C501D"/>
    <w:rsid w:val="009C5349"/>
    <w:rsid w:val="009C552C"/>
    <w:rsid w:val="009C56F2"/>
    <w:rsid w:val="009C5906"/>
    <w:rsid w:val="009C5B69"/>
    <w:rsid w:val="009C5B99"/>
    <w:rsid w:val="009C5BD8"/>
    <w:rsid w:val="009C5D9B"/>
    <w:rsid w:val="009C5FC3"/>
    <w:rsid w:val="009C6300"/>
    <w:rsid w:val="009C64F4"/>
    <w:rsid w:val="009C6826"/>
    <w:rsid w:val="009C6F32"/>
    <w:rsid w:val="009C71A3"/>
    <w:rsid w:val="009C7408"/>
    <w:rsid w:val="009C774C"/>
    <w:rsid w:val="009C7C32"/>
    <w:rsid w:val="009D026B"/>
    <w:rsid w:val="009D044A"/>
    <w:rsid w:val="009D05C8"/>
    <w:rsid w:val="009D07C5"/>
    <w:rsid w:val="009D09AF"/>
    <w:rsid w:val="009D0B90"/>
    <w:rsid w:val="009D1021"/>
    <w:rsid w:val="009D168A"/>
    <w:rsid w:val="009D1BE3"/>
    <w:rsid w:val="009D1E4C"/>
    <w:rsid w:val="009D21C2"/>
    <w:rsid w:val="009D2670"/>
    <w:rsid w:val="009D2F10"/>
    <w:rsid w:val="009D32D1"/>
    <w:rsid w:val="009D39DA"/>
    <w:rsid w:val="009D3A0D"/>
    <w:rsid w:val="009D3DC5"/>
    <w:rsid w:val="009D3F69"/>
    <w:rsid w:val="009D476C"/>
    <w:rsid w:val="009D480E"/>
    <w:rsid w:val="009D4974"/>
    <w:rsid w:val="009D4B00"/>
    <w:rsid w:val="009D5497"/>
    <w:rsid w:val="009D5F5D"/>
    <w:rsid w:val="009D621D"/>
    <w:rsid w:val="009D630A"/>
    <w:rsid w:val="009D66B8"/>
    <w:rsid w:val="009D6776"/>
    <w:rsid w:val="009D68E6"/>
    <w:rsid w:val="009D69A7"/>
    <w:rsid w:val="009D6A38"/>
    <w:rsid w:val="009D73CF"/>
    <w:rsid w:val="009D7BC5"/>
    <w:rsid w:val="009D7C69"/>
    <w:rsid w:val="009D7FFB"/>
    <w:rsid w:val="009E01CD"/>
    <w:rsid w:val="009E0255"/>
    <w:rsid w:val="009E0777"/>
    <w:rsid w:val="009E1A8E"/>
    <w:rsid w:val="009E1ADE"/>
    <w:rsid w:val="009E1F34"/>
    <w:rsid w:val="009E25AF"/>
    <w:rsid w:val="009E2EB1"/>
    <w:rsid w:val="009E324E"/>
    <w:rsid w:val="009E338E"/>
    <w:rsid w:val="009E361B"/>
    <w:rsid w:val="009E3A15"/>
    <w:rsid w:val="009E3B22"/>
    <w:rsid w:val="009E3BE2"/>
    <w:rsid w:val="009E3C47"/>
    <w:rsid w:val="009E3D83"/>
    <w:rsid w:val="009E3F03"/>
    <w:rsid w:val="009E41D3"/>
    <w:rsid w:val="009E457F"/>
    <w:rsid w:val="009E4CFD"/>
    <w:rsid w:val="009E4EB0"/>
    <w:rsid w:val="009E4F21"/>
    <w:rsid w:val="009E5281"/>
    <w:rsid w:val="009E53B0"/>
    <w:rsid w:val="009E555F"/>
    <w:rsid w:val="009E5789"/>
    <w:rsid w:val="009E5898"/>
    <w:rsid w:val="009E5C1D"/>
    <w:rsid w:val="009E6350"/>
    <w:rsid w:val="009E6B57"/>
    <w:rsid w:val="009E6C17"/>
    <w:rsid w:val="009E7188"/>
    <w:rsid w:val="009E7342"/>
    <w:rsid w:val="009E7961"/>
    <w:rsid w:val="009E796B"/>
    <w:rsid w:val="009E7B70"/>
    <w:rsid w:val="009E7C09"/>
    <w:rsid w:val="009EC385"/>
    <w:rsid w:val="009F02A0"/>
    <w:rsid w:val="009F0541"/>
    <w:rsid w:val="009F090C"/>
    <w:rsid w:val="009F0910"/>
    <w:rsid w:val="009F0B90"/>
    <w:rsid w:val="009F0C01"/>
    <w:rsid w:val="009F100D"/>
    <w:rsid w:val="009F1341"/>
    <w:rsid w:val="009F148B"/>
    <w:rsid w:val="009F15C6"/>
    <w:rsid w:val="009F19E3"/>
    <w:rsid w:val="009F1C5B"/>
    <w:rsid w:val="009F1E6A"/>
    <w:rsid w:val="009F231C"/>
    <w:rsid w:val="009F28C0"/>
    <w:rsid w:val="009F2AB4"/>
    <w:rsid w:val="009F2B36"/>
    <w:rsid w:val="009F32D3"/>
    <w:rsid w:val="009F3A8C"/>
    <w:rsid w:val="009F3B65"/>
    <w:rsid w:val="009F3F7E"/>
    <w:rsid w:val="009F40A2"/>
    <w:rsid w:val="009F516C"/>
    <w:rsid w:val="009F5668"/>
    <w:rsid w:val="009F587A"/>
    <w:rsid w:val="009F5ADA"/>
    <w:rsid w:val="009F5B19"/>
    <w:rsid w:val="009F5BED"/>
    <w:rsid w:val="009F5C29"/>
    <w:rsid w:val="009F5CFD"/>
    <w:rsid w:val="009F5DA3"/>
    <w:rsid w:val="009F6185"/>
    <w:rsid w:val="009F62D1"/>
    <w:rsid w:val="009F6544"/>
    <w:rsid w:val="009F6A25"/>
    <w:rsid w:val="009F6FFF"/>
    <w:rsid w:val="009F703E"/>
    <w:rsid w:val="009F710C"/>
    <w:rsid w:val="009F71E9"/>
    <w:rsid w:val="009F73D2"/>
    <w:rsid w:val="009F7622"/>
    <w:rsid w:val="009F77DB"/>
    <w:rsid w:val="00A00667"/>
    <w:rsid w:val="00A00AB9"/>
    <w:rsid w:val="00A01305"/>
    <w:rsid w:val="00A014FA"/>
    <w:rsid w:val="00A01B9A"/>
    <w:rsid w:val="00A01E34"/>
    <w:rsid w:val="00A02876"/>
    <w:rsid w:val="00A02E1C"/>
    <w:rsid w:val="00A02FA6"/>
    <w:rsid w:val="00A03259"/>
    <w:rsid w:val="00A036E5"/>
    <w:rsid w:val="00A03D5A"/>
    <w:rsid w:val="00A03FB7"/>
    <w:rsid w:val="00A04312"/>
    <w:rsid w:val="00A04937"/>
    <w:rsid w:val="00A051C3"/>
    <w:rsid w:val="00A052F9"/>
    <w:rsid w:val="00A0604B"/>
    <w:rsid w:val="00A060EF"/>
    <w:rsid w:val="00A067D2"/>
    <w:rsid w:val="00A06CF1"/>
    <w:rsid w:val="00A071C4"/>
    <w:rsid w:val="00A0724A"/>
    <w:rsid w:val="00A07689"/>
    <w:rsid w:val="00A078F8"/>
    <w:rsid w:val="00A07E3F"/>
    <w:rsid w:val="00A10555"/>
    <w:rsid w:val="00A108F3"/>
    <w:rsid w:val="00A10C32"/>
    <w:rsid w:val="00A10F5F"/>
    <w:rsid w:val="00A11972"/>
    <w:rsid w:val="00A11A6D"/>
    <w:rsid w:val="00A11C14"/>
    <w:rsid w:val="00A11E33"/>
    <w:rsid w:val="00A11E81"/>
    <w:rsid w:val="00A11ED7"/>
    <w:rsid w:val="00A12465"/>
    <w:rsid w:val="00A12850"/>
    <w:rsid w:val="00A12B1E"/>
    <w:rsid w:val="00A133B9"/>
    <w:rsid w:val="00A133E5"/>
    <w:rsid w:val="00A13A76"/>
    <w:rsid w:val="00A13CDD"/>
    <w:rsid w:val="00A13D0B"/>
    <w:rsid w:val="00A14208"/>
    <w:rsid w:val="00A142A1"/>
    <w:rsid w:val="00A1494D"/>
    <w:rsid w:val="00A14A2B"/>
    <w:rsid w:val="00A14ABA"/>
    <w:rsid w:val="00A15109"/>
    <w:rsid w:val="00A15889"/>
    <w:rsid w:val="00A15B56"/>
    <w:rsid w:val="00A15E37"/>
    <w:rsid w:val="00A1629E"/>
    <w:rsid w:val="00A162E2"/>
    <w:rsid w:val="00A1706A"/>
    <w:rsid w:val="00A1753B"/>
    <w:rsid w:val="00A205BC"/>
    <w:rsid w:val="00A20D10"/>
    <w:rsid w:val="00A21055"/>
    <w:rsid w:val="00A211BC"/>
    <w:rsid w:val="00A2132E"/>
    <w:rsid w:val="00A22049"/>
    <w:rsid w:val="00A22744"/>
    <w:rsid w:val="00A23506"/>
    <w:rsid w:val="00A236F5"/>
    <w:rsid w:val="00A24121"/>
    <w:rsid w:val="00A24521"/>
    <w:rsid w:val="00A24765"/>
    <w:rsid w:val="00A24AC6"/>
    <w:rsid w:val="00A24DFE"/>
    <w:rsid w:val="00A253E6"/>
    <w:rsid w:val="00A253E7"/>
    <w:rsid w:val="00A2590F"/>
    <w:rsid w:val="00A259FF"/>
    <w:rsid w:val="00A25B6E"/>
    <w:rsid w:val="00A25FD4"/>
    <w:rsid w:val="00A2609E"/>
    <w:rsid w:val="00A26258"/>
    <w:rsid w:val="00A267DA"/>
    <w:rsid w:val="00A2685F"/>
    <w:rsid w:val="00A270B8"/>
    <w:rsid w:val="00A2731C"/>
    <w:rsid w:val="00A27530"/>
    <w:rsid w:val="00A27A7F"/>
    <w:rsid w:val="00A27B08"/>
    <w:rsid w:val="00A3050E"/>
    <w:rsid w:val="00A3067A"/>
    <w:rsid w:val="00A30896"/>
    <w:rsid w:val="00A314A1"/>
    <w:rsid w:val="00A314C2"/>
    <w:rsid w:val="00A3162B"/>
    <w:rsid w:val="00A31912"/>
    <w:rsid w:val="00A32147"/>
    <w:rsid w:val="00A329CB"/>
    <w:rsid w:val="00A33034"/>
    <w:rsid w:val="00A33633"/>
    <w:rsid w:val="00A336D3"/>
    <w:rsid w:val="00A33906"/>
    <w:rsid w:val="00A33A10"/>
    <w:rsid w:val="00A33AE0"/>
    <w:rsid w:val="00A33B69"/>
    <w:rsid w:val="00A33E3D"/>
    <w:rsid w:val="00A3442F"/>
    <w:rsid w:val="00A34B5D"/>
    <w:rsid w:val="00A34FF7"/>
    <w:rsid w:val="00A35292"/>
    <w:rsid w:val="00A35302"/>
    <w:rsid w:val="00A3560B"/>
    <w:rsid w:val="00A35638"/>
    <w:rsid w:val="00A3582C"/>
    <w:rsid w:val="00A35831"/>
    <w:rsid w:val="00A359B0"/>
    <w:rsid w:val="00A35A3A"/>
    <w:rsid w:val="00A366B9"/>
    <w:rsid w:val="00A36BF2"/>
    <w:rsid w:val="00A36E33"/>
    <w:rsid w:val="00A36FD0"/>
    <w:rsid w:val="00A3760B"/>
    <w:rsid w:val="00A4074A"/>
    <w:rsid w:val="00A40A08"/>
    <w:rsid w:val="00A40A65"/>
    <w:rsid w:val="00A40EFA"/>
    <w:rsid w:val="00A4117A"/>
    <w:rsid w:val="00A41686"/>
    <w:rsid w:val="00A422FB"/>
    <w:rsid w:val="00A42493"/>
    <w:rsid w:val="00A42848"/>
    <w:rsid w:val="00A42E6B"/>
    <w:rsid w:val="00A43039"/>
    <w:rsid w:val="00A4321D"/>
    <w:rsid w:val="00A433E1"/>
    <w:rsid w:val="00A43652"/>
    <w:rsid w:val="00A43C64"/>
    <w:rsid w:val="00A43CA9"/>
    <w:rsid w:val="00A4426E"/>
    <w:rsid w:val="00A443FA"/>
    <w:rsid w:val="00A4446E"/>
    <w:rsid w:val="00A445F8"/>
    <w:rsid w:val="00A45377"/>
    <w:rsid w:val="00A4540A"/>
    <w:rsid w:val="00A45564"/>
    <w:rsid w:val="00A45707"/>
    <w:rsid w:val="00A45743"/>
    <w:rsid w:val="00A45842"/>
    <w:rsid w:val="00A4590E"/>
    <w:rsid w:val="00A45E05"/>
    <w:rsid w:val="00A4634B"/>
    <w:rsid w:val="00A466C3"/>
    <w:rsid w:val="00A4671F"/>
    <w:rsid w:val="00A4674A"/>
    <w:rsid w:val="00A46AA5"/>
    <w:rsid w:val="00A4704D"/>
    <w:rsid w:val="00A471EE"/>
    <w:rsid w:val="00A47410"/>
    <w:rsid w:val="00A4761C"/>
    <w:rsid w:val="00A4774F"/>
    <w:rsid w:val="00A4781A"/>
    <w:rsid w:val="00A47DAC"/>
    <w:rsid w:val="00A504D3"/>
    <w:rsid w:val="00A50760"/>
    <w:rsid w:val="00A50803"/>
    <w:rsid w:val="00A50F0B"/>
    <w:rsid w:val="00A51078"/>
    <w:rsid w:val="00A5132F"/>
    <w:rsid w:val="00A51781"/>
    <w:rsid w:val="00A5185A"/>
    <w:rsid w:val="00A5191C"/>
    <w:rsid w:val="00A51A4E"/>
    <w:rsid w:val="00A51C2F"/>
    <w:rsid w:val="00A5216A"/>
    <w:rsid w:val="00A5265E"/>
    <w:rsid w:val="00A529A6"/>
    <w:rsid w:val="00A52CC1"/>
    <w:rsid w:val="00A53AA4"/>
    <w:rsid w:val="00A53D1B"/>
    <w:rsid w:val="00A53DF4"/>
    <w:rsid w:val="00A543AD"/>
    <w:rsid w:val="00A54B6B"/>
    <w:rsid w:val="00A54BAE"/>
    <w:rsid w:val="00A54E03"/>
    <w:rsid w:val="00A55362"/>
    <w:rsid w:val="00A554AF"/>
    <w:rsid w:val="00A55754"/>
    <w:rsid w:val="00A55777"/>
    <w:rsid w:val="00A55881"/>
    <w:rsid w:val="00A55C20"/>
    <w:rsid w:val="00A55DD5"/>
    <w:rsid w:val="00A55F29"/>
    <w:rsid w:val="00A55FF0"/>
    <w:rsid w:val="00A56370"/>
    <w:rsid w:val="00A56A6E"/>
    <w:rsid w:val="00A56F92"/>
    <w:rsid w:val="00A577C4"/>
    <w:rsid w:val="00A57A11"/>
    <w:rsid w:val="00A57B23"/>
    <w:rsid w:val="00A60B00"/>
    <w:rsid w:val="00A60E11"/>
    <w:rsid w:val="00A6125D"/>
    <w:rsid w:val="00A612F3"/>
    <w:rsid w:val="00A6157B"/>
    <w:rsid w:val="00A616CC"/>
    <w:rsid w:val="00A61B52"/>
    <w:rsid w:val="00A61BE6"/>
    <w:rsid w:val="00A61E88"/>
    <w:rsid w:val="00A6220F"/>
    <w:rsid w:val="00A62244"/>
    <w:rsid w:val="00A622FE"/>
    <w:rsid w:val="00A62707"/>
    <w:rsid w:val="00A62807"/>
    <w:rsid w:val="00A6293B"/>
    <w:rsid w:val="00A62BFD"/>
    <w:rsid w:val="00A62EAD"/>
    <w:rsid w:val="00A6350A"/>
    <w:rsid w:val="00A63A4D"/>
    <w:rsid w:val="00A63AEB"/>
    <w:rsid w:val="00A640D4"/>
    <w:rsid w:val="00A641B7"/>
    <w:rsid w:val="00A64378"/>
    <w:rsid w:val="00A64A5C"/>
    <w:rsid w:val="00A64D9B"/>
    <w:rsid w:val="00A66230"/>
    <w:rsid w:val="00A663C4"/>
    <w:rsid w:val="00A66524"/>
    <w:rsid w:val="00A666E1"/>
    <w:rsid w:val="00A66776"/>
    <w:rsid w:val="00A66C0D"/>
    <w:rsid w:val="00A671B1"/>
    <w:rsid w:val="00A676C7"/>
    <w:rsid w:val="00A67D72"/>
    <w:rsid w:val="00A67F8B"/>
    <w:rsid w:val="00A7051E"/>
    <w:rsid w:val="00A70523"/>
    <w:rsid w:val="00A706A4"/>
    <w:rsid w:val="00A707E4"/>
    <w:rsid w:val="00A70806"/>
    <w:rsid w:val="00A716F0"/>
    <w:rsid w:val="00A71BA6"/>
    <w:rsid w:val="00A7249F"/>
    <w:rsid w:val="00A725C1"/>
    <w:rsid w:val="00A7273C"/>
    <w:rsid w:val="00A729F7"/>
    <w:rsid w:val="00A72F49"/>
    <w:rsid w:val="00A72F56"/>
    <w:rsid w:val="00A732A8"/>
    <w:rsid w:val="00A734BA"/>
    <w:rsid w:val="00A737D3"/>
    <w:rsid w:val="00A73AB8"/>
    <w:rsid w:val="00A74126"/>
    <w:rsid w:val="00A74344"/>
    <w:rsid w:val="00A748F9"/>
    <w:rsid w:val="00A7531A"/>
    <w:rsid w:val="00A753D8"/>
    <w:rsid w:val="00A75476"/>
    <w:rsid w:val="00A7553E"/>
    <w:rsid w:val="00A75630"/>
    <w:rsid w:val="00A757B7"/>
    <w:rsid w:val="00A75CBE"/>
    <w:rsid w:val="00A75F59"/>
    <w:rsid w:val="00A75FFC"/>
    <w:rsid w:val="00A76691"/>
    <w:rsid w:val="00A7673C"/>
    <w:rsid w:val="00A7675C"/>
    <w:rsid w:val="00A76CD3"/>
    <w:rsid w:val="00A76D1C"/>
    <w:rsid w:val="00A76E9F"/>
    <w:rsid w:val="00A76FEF"/>
    <w:rsid w:val="00A773DF"/>
    <w:rsid w:val="00A77738"/>
    <w:rsid w:val="00A80032"/>
    <w:rsid w:val="00A80872"/>
    <w:rsid w:val="00A80C4E"/>
    <w:rsid w:val="00A81116"/>
    <w:rsid w:val="00A81950"/>
    <w:rsid w:val="00A81AE0"/>
    <w:rsid w:val="00A823A2"/>
    <w:rsid w:val="00A82437"/>
    <w:rsid w:val="00A82853"/>
    <w:rsid w:val="00A829B5"/>
    <w:rsid w:val="00A82B1E"/>
    <w:rsid w:val="00A82C59"/>
    <w:rsid w:val="00A82C6E"/>
    <w:rsid w:val="00A830F8"/>
    <w:rsid w:val="00A83780"/>
    <w:rsid w:val="00A838EA"/>
    <w:rsid w:val="00A83B92"/>
    <w:rsid w:val="00A83B94"/>
    <w:rsid w:val="00A84DB3"/>
    <w:rsid w:val="00A8528D"/>
    <w:rsid w:val="00A86232"/>
    <w:rsid w:val="00A8628D"/>
    <w:rsid w:val="00A86727"/>
    <w:rsid w:val="00A86C11"/>
    <w:rsid w:val="00A86F0C"/>
    <w:rsid w:val="00A875FD"/>
    <w:rsid w:val="00A8785A"/>
    <w:rsid w:val="00A87875"/>
    <w:rsid w:val="00A87D55"/>
    <w:rsid w:val="00A87FB1"/>
    <w:rsid w:val="00A9009B"/>
    <w:rsid w:val="00A90498"/>
    <w:rsid w:val="00A9073E"/>
    <w:rsid w:val="00A907FE"/>
    <w:rsid w:val="00A91CE9"/>
    <w:rsid w:val="00A92216"/>
    <w:rsid w:val="00A92584"/>
    <w:rsid w:val="00A926EA"/>
    <w:rsid w:val="00A93326"/>
    <w:rsid w:val="00A93500"/>
    <w:rsid w:val="00A935E9"/>
    <w:rsid w:val="00A936FE"/>
    <w:rsid w:val="00A9386A"/>
    <w:rsid w:val="00A93AB8"/>
    <w:rsid w:val="00A93B6B"/>
    <w:rsid w:val="00A93B72"/>
    <w:rsid w:val="00A9400F"/>
    <w:rsid w:val="00A940DE"/>
    <w:rsid w:val="00A94398"/>
    <w:rsid w:val="00A945CC"/>
    <w:rsid w:val="00A9479B"/>
    <w:rsid w:val="00A9489D"/>
    <w:rsid w:val="00A94B99"/>
    <w:rsid w:val="00A94C3A"/>
    <w:rsid w:val="00A9545E"/>
    <w:rsid w:val="00A9594D"/>
    <w:rsid w:val="00A95EE2"/>
    <w:rsid w:val="00A961BA"/>
    <w:rsid w:val="00A96E1A"/>
    <w:rsid w:val="00A96F00"/>
    <w:rsid w:val="00A9705C"/>
    <w:rsid w:val="00A974B5"/>
    <w:rsid w:val="00A97548"/>
    <w:rsid w:val="00A977DE"/>
    <w:rsid w:val="00A97818"/>
    <w:rsid w:val="00A9782A"/>
    <w:rsid w:val="00A9789E"/>
    <w:rsid w:val="00AA0383"/>
    <w:rsid w:val="00AA0BA5"/>
    <w:rsid w:val="00AA0D0F"/>
    <w:rsid w:val="00AA0FAE"/>
    <w:rsid w:val="00AA11F4"/>
    <w:rsid w:val="00AA21E4"/>
    <w:rsid w:val="00AA2261"/>
    <w:rsid w:val="00AA290C"/>
    <w:rsid w:val="00AA2A52"/>
    <w:rsid w:val="00AA31DD"/>
    <w:rsid w:val="00AA32FF"/>
    <w:rsid w:val="00AA34DD"/>
    <w:rsid w:val="00AA3574"/>
    <w:rsid w:val="00AA35D5"/>
    <w:rsid w:val="00AA38D0"/>
    <w:rsid w:val="00AA3DA2"/>
    <w:rsid w:val="00AA4257"/>
    <w:rsid w:val="00AA45E7"/>
    <w:rsid w:val="00AA4919"/>
    <w:rsid w:val="00AA492A"/>
    <w:rsid w:val="00AA498F"/>
    <w:rsid w:val="00AA4E63"/>
    <w:rsid w:val="00AA55BC"/>
    <w:rsid w:val="00AA5B1C"/>
    <w:rsid w:val="00AA5FAF"/>
    <w:rsid w:val="00AA5FD6"/>
    <w:rsid w:val="00AA6169"/>
    <w:rsid w:val="00AA6ACC"/>
    <w:rsid w:val="00AA7054"/>
    <w:rsid w:val="00AA74B6"/>
    <w:rsid w:val="00AA7C70"/>
    <w:rsid w:val="00AA7C7C"/>
    <w:rsid w:val="00AB010F"/>
    <w:rsid w:val="00AB02EC"/>
    <w:rsid w:val="00AB04EE"/>
    <w:rsid w:val="00AB075A"/>
    <w:rsid w:val="00AB07AF"/>
    <w:rsid w:val="00AB0AF6"/>
    <w:rsid w:val="00AB12AE"/>
    <w:rsid w:val="00AB15B5"/>
    <w:rsid w:val="00AB18E7"/>
    <w:rsid w:val="00AB1931"/>
    <w:rsid w:val="00AB2AD6"/>
    <w:rsid w:val="00AB30FA"/>
    <w:rsid w:val="00AB37DF"/>
    <w:rsid w:val="00AB3815"/>
    <w:rsid w:val="00AB395A"/>
    <w:rsid w:val="00AB3A63"/>
    <w:rsid w:val="00AB3BC7"/>
    <w:rsid w:val="00AB4032"/>
    <w:rsid w:val="00AB40D0"/>
    <w:rsid w:val="00AB4622"/>
    <w:rsid w:val="00AB4688"/>
    <w:rsid w:val="00AB49AD"/>
    <w:rsid w:val="00AB49FF"/>
    <w:rsid w:val="00AB4C8C"/>
    <w:rsid w:val="00AB5B59"/>
    <w:rsid w:val="00AB5D12"/>
    <w:rsid w:val="00AB69E7"/>
    <w:rsid w:val="00AB6CC8"/>
    <w:rsid w:val="00AB6EF6"/>
    <w:rsid w:val="00AB70AC"/>
    <w:rsid w:val="00AB7823"/>
    <w:rsid w:val="00AB7D75"/>
    <w:rsid w:val="00AC01E5"/>
    <w:rsid w:val="00AC1B25"/>
    <w:rsid w:val="00AC1EE9"/>
    <w:rsid w:val="00AC2692"/>
    <w:rsid w:val="00AC2DAD"/>
    <w:rsid w:val="00AC3858"/>
    <w:rsid w:val="00AC3A3A"/>
    <w:rsid w:val="00AC41D8"/>
    <w:rsid w:val="00AC45A0"/>
    <w:rsid w:val="00AC5220"/>
    <w:rsid w:val="00AC56FC"/>
    <w:rsid w:val="00AC5739"/>
    <w:rsid w:val="00AC57DB"/>
    <w:rsid w:val="00AC5FD2"/>
    <w:rsid w:val="00AC61B4"/>
    <w:rsid w:val="00AC64FF"/>
    <w:rsid w:val="00AC69CF"/>
    <w:rsid w:val="00AC6AF9"/>
    <w:rsid w:val="00AC701F"/>
    <w:rsid w:val="00AC73DE"/>
    <w:rsid w:val="00AC77DC"/>
    <w:rsid w:val="00AC7BCC"/>
    <w:rsid w:val="00AD0498"/>
    <w:rsid w:val="00AD05F7"/>
    <w:rsid w:val="00AD08FD"/>
    <w:rsid w:val="00AD0F54"/>
    <w:rsid w:val="00AD107E"/>
    <w:rsid w:val="00AD11BC"/>
    <w:rsid w:val="00AD11FD"/>
    <w:rsid w:val="00AD1213"/>
    <w:rsid w:val="00AD14D9"/>
    <w:rsid w:val="00AD1524"/>
    <w:rsid w:val="00AD192A"/>
    <w:rsid w:val="00AD19ED"/>
    <w:rsid w:val="00AD1A9B"/>
    <w:rsid w:val="00AD1BD2"/>
    <w:rsid w:val="00AD21BD"/>
    <w:rsid w:val="00AD24EC"/>
    <w:rsid w:val="00AD2806"/>
    <w:rsid w:val="00AD2F42"/>
    <w:rsid w:val="00AD3006"/>
    <w:rsid w:val="00AD35A0"/>
    <w:rsid w:val="00AD36E6"/>
    <w:rsid w:val="00AD3719"/>
    <w:rsid w:val="00AD37F9"/>
    <w:rsid w:val="00AD38DD"/>
    <w:rsid w:val="00AD4254"/>
    <w:rsid w:val="00AD4DA7"/>
    <w:rsid w:val="00AD4E75"/>
    <w:rsid w:val="00AD531F"/>
    <w:rsid w:val="00AD56B9"/>
    <w:rsid w:val="00AD5A00"/>
    <w:rsid w:val="00AD5B39"/>
    <w:rsid w:val="00AD5CC3"/>
    <w:rsid w:val="00AD5D56"/>
    <w:rsid w:val="00AD6EAC"/>
    <w:rsid w:val="00AD6F2C"/>
    <w:rsid w:val="00AD7986"/>
    <w:rsid w:val="00AD79A9"/>
    <w:rsid w:val="00AE0245"/>
    <w:rsid w:val="00AE04EB"/>
    <w:rsid w:val="00AE052C"/>
    <w:rsid w:val="00AE0A29"/>
    <w:rsid w:val="00AE0A53"/>
    <w:rsid w:val="00AE0C00"/>
    <w:rsid w:val="00AE0E61"/>
    <w:rsid w:val="00AE0E77"/>
    <w:rsid w:val="00AE101D"/>
    <w:rsid w:val="00AE1111"/>
    <w:rsid w:val="00AE1187"/>
    <w:rsid w:val="00AE14F6"/>
    <w:rsid w:val="00AE1636"/>
    <w:rsid w:val="00AE19B9"/>
    <w:rsid w:val="00AE1C36"/>
    <w:rsid w:val="00AE1EE3"/>
    <w:rsid w:val="00AE257A"/>
    <w:rsid w:val="00AE26B8"/>
    <w:rsid w:val="00AE2CFD"/>
    <w:rsid w:val="00AE2E8D"/>
    <w:rsid w:val="00AE3062"/>
    <w:rsid w:val="00AE30CF"/>
    <w:rsid w:val="00AE3176"/>
    <w:rsid w:val="00AE3E43"/>
    <w:rsid w:val="00AE40D1"/>
    <w:rsid w:val="00AE4292"/>
    <w:rsid w:val="00AE4430"/>
    <w:rsid w:val="00AE44C2"/>
    <w:rsid w:val="00AE4B9A"/>
    <w:rsid w:val="00AE4C1A"/>
    <w:rsid w:val="00AE4C82"/>
    <w:rsid w:val="00AE4CBC"/>
    <w:rsid w:val="00AE5412"/>
    <w:rsid w:val="00AE548A"/>
    <w:rsid w:val="00AE556C"/>
    <w:rsid w:val="00AE57BA"/>
    <w:rsid w:val="00AE5A6D"/>
    <w:rsid w:val="00AE5D03"/>
    <w:rsid w:val="00AE62E2"/>
    <w:rsid w:val="00AE6C72"/>
    <w:rsid w:val="00AE7191"/>
    <w:rsid w:val="00AE7278"/>
    <w:rsid w:val="00AE7390"/>
    <w:rsid w:val="00AE7B77"/>
    <w:rsid w:val="00AE7ED8"/>
    <w:rsid w:val="00AF00BF"/>
    <w:rsid w:val="00AF00FA"/>
    <w:rsid w:val="00AF01B0"/>
    <w:rsid w:val="00AF01BB"/>
    <w:rsid w:val="00AF0299"/>
    <w:rsid w:val="00AF03AF"/>
    <w:rsid w:val="00AF040C"/>
    <w:rsid w:val="00AF06E2"/>
    <w:rsid w:val="00AF0A01"/>
    <w:rsid w:val="00AF10F7"/>
    <w:rsid w:val="00AF112B"/>
    <w:rsid w:val="00AF134C"/>
    <w:rsid w:val="00AF1484"/>
    <w:rsid w:val="00AF175F"/>
    <w:rsid w:val="00AF1946"/>
    <w:rsid w:val="00AF1C2E"/>
    <w:rsid w:val="00AF1CCE"/>
    <w:rsid w:val="00AF1D4C"/>
    <w:rsid w:val="00AF1EBC"/>
    <w:rsid w:val="00AF1F0A"/>
    <w:rsid w:val="00AF2812"/>
    <w:rsid w:val="00AF2B03"/>
    <w:rsid w:val="00AF2D55"/>
    <w:rsid w:val="00AF2F5F"/>
    <w:rsid w:val="00AF2F6F"/>
    <w:rsid w:val="00AF3284"/>
    <w:rsid w:val="00AF3563"/>
    <w:rsid w:val="00AF376A"/>
    <w:rsid w:val="00AF3A76"/>
    <w:rsid w:val="00AF3AC8"/>
    <w:rsid w:val="00AF3D4B"/>
    <w:rsid w:val="00AF3D6A"/>
    <w:rsid w:val="00AF44B1"/>
    <w:rsid w:val="00AF4562"/>
    <w:rsid w:val="00AF487E"/>
    <w:rsid w:val="00AF493C"/>
    <w:rsid w:val="00AF49BE"/>
    <w:rsid w:val="00AF4C5D"/>
    <w:rsid w:val="00AF5064"/>
    <w:rsid w:val="00AF59E3"/>
    <w:rsid w:val="00AF5BE6"/>
    <w:rsid w:val="00AF5F1F"/>
    <w:rsid w:val="00AF6487"/>
    <w:rsid w:val="00AF65B3"/>
    <w:rsid w:val="00AF664E"/>
    <w:rsid w:val="00AF6698"/>
    <w:rsid w:val="00AF6B56"/>
    <w:rsid w:val="00AF6D4A"/>
    <w:rsid w:val="00AF7490"/>
    <w:rsid w:val="00AF766A"/>
    <w:rsid w:val="00AF766C"/>
    <w:rsid w:val="00AF7DE1"/>
    <w:rsid w:val="00B0068D"/>
    <w:rsid w:val="00B0086F"/>
    <w:rsid w:val="00B01073"/>
    <w:rsid w:val="00B0112B"/>
    <w:rsid w:val="00B01343"/>
    <w:rsid w:val="00B01931"/>
    <w:rsid w:val="00B01A46"/>
    <w:rsid w:val="00B01C11"/>
    <w:rsid w:val="00B02A58"/>
    <w:rsid w:val="00B02C0E"/>
    <w:rsid w:val="00B040EF"/>
    <w:rsid w:val="00B0488C"/>
    <w:rsid w:val="00B05021"/>
    <w:rsid w:val="00B05457"/>
    <w:rsid w:val="00B0549D"/>
    <w:rsid w:val="00B05AF9"/>
    <w:rsid w:val="00B05C89"/>
    <w:rsid w:val="00B060C0"/>
    <w:rsid w:val="00B062EC"/>
    <w:rsid w:val="00B0638F"/>
    <w:rsid w:val="00B0671B"/>
    <w:rsid w:val="00B0678E"/>
    <w:rsid w:val="00B067E2"/>
    <w:rsid w:val="00B069F6"/>
    <w:rsid w:val="00B06A7C"/>
    <w:rsid w:val="00B06B0A"/>
    <w:rsid w:val="00B06B9D"/>
    <w:rsid w:val="00B06EEE"/>
    <w:rsid w:val="00B07242"/>
    <w:rsid w:val="00B0724D"/>
    <w:rsid w:val="00B0727B"/>
    <w:rsid w:val="00B07294"/>
    <w:rsid w:val="00B07976"/>
    <w:rsid w:val="00B079A9"/>
    <w:rsid w:val="00B07E11"/>
    <w:rsid w:val="00B10461"/>
    <w:rsid w:val="00B10662"/>
    <w:rsid w:val="00B10912"/>
    <w:rsid w:val="00B10A01"/>
    <w:rsid w:val="00B10AAA"/>
    <w:rsid w:val="00B10CFA"/>
    <w:rsid w:val="00B10F41"/>
    <w:rsid w:val="00B12545"/>
    <w:rsid w:val="00B1259A"/>
    <w:rsid w:val="00B12940"/>
    <w:rsid w:val="00B12963"/>
    <w:rsid w:val="00B1296A"/>
    <w:rsid w:val="00B12B59"/>
    <w:rsid w:val="00B13691"/>
    <w:rsid w:val="00B136C1"/>
    <w:rsid w:val="00B1388A"/>
    <w:rsid w:val="00B13C33"/>
    <w:rsid w:val="00B13D64"/>
    <w:rsid w:val="00B14582"/>
    <w:rsid w:val="00B145E0"/>
    <w:rsid w:val="00B14955"/>
    <w:rsid w:val="00B149F1"/>
    <w:rsid w:val="00B14A71"/>
    <w:rsid w:val="00B155A2"/>
    <w:rsid w:val="00B1577B"/>
    <w:rsid w:val="00B15895"/>
    <w:rsid w:val="00B15B07"/>
    <w:rsid w:val="00B15D6A"/>
    <w:rsid w:val="00B15F7C"/>
    <w:rsid w:val="00B161DA"/>
    <w:rsid w:val="00B16289"/>
    <w:rsid w:val="00B16394"/>
    <w:rsid w:val="00B1684F"/>
    <w:rsid w:val="00B170C9"/>
    <w:rsid w:val="00B17312"/>
    <w:rsid w:val="00B173DB"/>
    <w:rsid w:val="00B17444"/>
    <w:rsid w:val="00B176A3"/>
    <w:rsid w:val="00B17DCA"/>
    <w:rsid w:val="00B17EFC"/>
    <w:rsid w:val="00B20B2A"/>
    <w:rsid w:val="00B210EF"/>
    <w:rsid w:val="00B214F9"/>
    <w:rsid w:val="00B218DD"/>
    <w:rsid w:val="00B21C9E"/>
    <w:rsid w:val="00B2232C"/>
    <w:rsid w:val="00B2256E"/>
    <w:rsid w:val="00B227DF"/>
    <w:rsid w:val="00B22922"/>
    <w:rsid w:val="00B23817"/>
    <w:rsid w:val="00B2415F"/>
    <w:rsid w:val="00B24966"/>
    <w:rsid w:val="00B24D8A"/>
    <w:rsid w:val="00B25061"/>
    <w:rsid w:val="00B25690"/>
    <w:rsid w:val="00B25AD4"/>
    <w:rsid w:val="00B25BEA"/>
    <w:rsid w:val="00B25C8B"/>
    <w:rsid w:val="00B26BBE"/>
    <w:rsid w:val="00B26BE9"/>
    <w:rsid w:val="00B26C1F"/>
    <w:rsid w:val="00B26D1D"/>
    <w:rsid w:val="00B27888"/>
    <w:rsid w:val="00B27A9F"/>
    <w:rsid w:val="00B27AE6"/>
    <w:rsid w:val="00B27BC4"/>
    <w:rsid w:val="00B27E14"/>
    <w:rsid w:val="00B30242"/>
    <w:rsid w:val="00B30357"/>
    <w:rsid w:val="00B304D4"/>
    <w:rsid w:val="00B30501"/>
    <w:rsid w:val="00B30CA1"/>
    <w:rsid w:val="00B31358"/>
    <w:rsid w:val="00B315EF"/>
    <w:rsid w:val="00B31744"/>
    <w:rsid w:val="00B31C23"/>
    <w:rsid w:val="00B324DD"/>
    <w:rsid w:val="00B3252D"/>
    <w:rsid w:val="00B32F38"/>
    <w:rsid w:val="00B33590"/>
    <w:rsid w:val="00B33CB2"/>
    <w:rsid w:val="00B34227"/>
    <w:rsid w:val="00B34858"/>
    <w:rsid w:val="00B34954"/>
    <w:rsid w:val="00B34AA8"/>
    <w:rsid w:val="00B34FC8"/>
    <w:rsid w:val="00B359C3"/>
    <w:rsid w:val="00B35EAA"/>
    <w:rsid w:val="00B3611A"/>
    <w:rsid w:val="00B36180"/>
    <w:rsid w:val="00B366DA"/>
    <w:rsid w:val="00B36C1C"/>
    <w:rsid w:val="00B36C86"/>
    <w:rsid w:val="00B36EEF"/>
    <w:rsid w:val="00B37732"/>
    <w:rsid w:val="00B3780F"/>
    <w:rsid w:val="00B378FD"/>
    <w:rsid w:val="00B37CDC"/>
    <w:rsid w:val="00B37F68"/>
    <w:rsid w:val="00B40029"/>
    <w:rsid w:val="00B4159B"/>
    <w:rsid w:val="00B41BFF"/>
    <w:rsid w:val="00B41CB4"/>
    <w:rsid w:val="00B41E7B"/>
    <w:rsid w:val="00B42203"/>
    <w:rsid w:val="00B42353"/>
    <w:rsid w:val="00B42400"/>
    <w:rsid w:val="00B4255E"/>
    <w:rsid w:val="00B42A24"/>
    <w:rsid w:val="00B42DA6"/>
    <w:rsid w:val="00B42FA9"/>
    <w:rsid w:val="00B431C7"/>
    <w:rsid w:val="00B43408"/>
    <w:rsid w:val="00B43975"/>
    <w:rsid w:val="00B43E28"/>
    <w:rsid w:val="00B43FCC"/>
    <w:rsid w:val="00B449E5"/>
    <w:rsid w:val="00B44B63"/>
    <w:rsid w:val="00B44BCA"/>
    <w:rsid w:val="00B44C8A"/>
    <w:rsid w:val="00B44DA3"/>
    <w:rsid w:val="00B45361"/>
    <w:rsid w:val="00B45421"/>
    <w:rsid w:val="00B45666"/>
    <w:rsid w:val="00B46292"/>
    <w:rsid w:val="00B46792"/>
    <w:rsid w:val="00B46A0F"/>
    <w:rsid w:val="00B47593"/>
    <w:rsid w:val="00B47794"/>
    <w:rsid w:val="00B47E41"/>
    <w:rsid w:val="00B47F05"/>
    <w:rsid w:val="00B5073E"/>
    <w:rsid w:val="00B50F16"/>
    <w:rsid w:val="00B5115E"/>
    <w:rsid w:val="00B51412"/>
    <w:rsid w:val="00B51586"/>
    <w:rsid w:val="00B51879"/>
    <w:rsid w:val="00B51A4F"/>
    <w:rsid w:val="00B51ED4"/>
    <w:rsid w:val="00B52083"/>
    <w:rsid w:val="00B52317"/>
    <w:rsid w:val="00B5244B"/>
    <w:rsid w:val="00B52BDE"/>
    <w:rsid w:val="00B52F33"/>
    <w:rsid w:val="00B52F95"/>
    <w:rsid w:val="00B52FA3"/>
    <w:rsid w:val="00B530E1"/>
    <w:rsid w:val="00B5314C"/>
    <w:rsid w:val="00B53BF0"/>
    <w:rsid w:val="00B53C52"/>
    <w:rsid w:val="00B540DD"/>
    <w:rsid w:val="00B54316"/>
    <w:rsid w:val="00B548E7"/>
    <w:rsid w:val="00B54B5B"/>
    <w:rsid w:val="00B54E7E"/>
    <w:rsid w:val="00B54E80"/>
    <w:rsid w:val="00B550CF"/>
    <w:rsid w:val="00B55392"/>
    <w:rsid w:val="00B555C5"/>
    <w:rsid w:val="00B55D4C"/>
    <w:rsid w:val="00B55D54"/>
    <w:rsid w:val="00B5649A"/>
    <w:rsid w:val="00B564D2"/>
    <w:rsid w:val="00B565EA"/>
    <w:rsid w:val="00B56C7D"/>
    <w:rsid w:val="00B56CC5"/>
    <w:rsid w:val="00B570F3"/>
    <w:rsid w:val="00B574D7"/>
    <w:rsid w:val="00B57C43"/>
    <w:rsid w:val="00B606D8"/>
    <w:rsid w:val="00B612D7"/>
    <w:rsid w:val="00B6147D"/>
    <w:rsid w:val="00B61B84"/>
    <w:rsid w:val="00B621EE"/>
    <w:rsid w:val="00B62869"/>
    <w:rsid w:val="00B6298B"/>
    <w:rsid w:val="00B62B58"/>
    <w:rsid w:val="00B62D26"/>
    <w:rsid w:val="00B62E5B"/>
    <w:rsid w:val="00B6322C"/>
    <w:rsid w:val="00B63521"/>
    <w:rsid w:val="00B63918"/>
    <w:rsid w:val="00B641EF"/>
    <w:rsid w:val="00B64A42"/>
    <w:rsid w:val="00B64E1A"/>
    <w:rsid w:val="00B64F1C"/>
    <w:rsid w:val="00B64F76"/>
    <w:rsid w:val="00B6534F"/>
    <w:rsid w:val="00B657A2"/>
    <w:rsid w:val="00B65989"/>
    <w:rsid w:val="00B65A31"/>
    <w:rsid w:val="00B65CE3"/>
    <w:rsid w:val="00B65DB9"/>
    <w:rsid w:val="00B65EC6"/>
    <w:rsid w:val="00B66302"/>
    <w:rsid w:val="00B66745"/>
    <w:rsid w:val="00B6698C"/>
    <w:rsid w:val="00B66E5C"/>
    <w:rsid w:val="00B672D5"/>
    <w:rsid w:val="00B676B8"/>
    <w:rsid w:val="00B67762"/>
    <w:rsid w:val="00B67BB9"/>
    <w:rsid w:val="00B703C6"/>
    <w:rsid w:val="00B70470"/>
    <w:rsid w:val="00B70D08"/>
    <w:rsid w:val="00B70F0E"/>
    <w:rsid w:val="00B70F31"/>
    <w:rsid w:val="00B710F6"/>
    <w:rsid w:val="00B71294"/>
    <w:rsid w:val="00B722CC"/>
    <w:rsid w:val="00B724AC"/>
    <w:rsid w:val="00B72548"/>
    <w:rsid w:val="00B72CD8"/>
    <w:rsid w:val="00B72E05"/>
    <w:rsid w:val="00B73912"/>
    <w:rsid w:val="00B73ADC"/>
    <w:rsid w:val="00B73F2F"/>
    <w:rsid w:val="00B74637"/>
    <w:rsid w:val="00B75541"/>
    <w:rsid w:val="00B75D96"/>
    <w:rsid w:val="00B760C8"/>
    <w:rsid w:val="00B7661D"/>
    <w:rsid w:val="00B76733"/>
    <w:rsid w:val="00B76B60"/>
    <w:rsid w:val="00B770A1"/>
    <w:rsid w:val="00B778AA"/>
    <w:rsid w:val="00B77A6F"/>
    <w:rsid w:val="00B77D5E"/>
    <w:rsid w:val="00B77D60"/>
    <w:rsid w:val="00B804D4"/>
    <w:rsid w:val="00B8080B"/>
    <w:rsid w:val="00B8090D"/>
    <w:rsid w:val="00B80DD7"/>
    <w:rsid w:val="00B8109F"/>
    <w:rsid w:val="00B814B9"/>
    <w:rsid w:val="00B814D4"/>
    <w:rsid w:val="00B81612"/>
    <w:rsid w:val="00B81718"/>
    <w:rsid w:val="00B817DC"/>
    <w:rsid w:val="00B819D1"/>
    <w:rsid w:val="00B831BC"/>
    <w:rsid w:val="00B83381"/>
    <w:rsid w:val="00B833AA"/>
    <w:rsid w:val="00B8355F"/>
    <w:rsid w:val="00B83DEF"/>
    <w:rsid w:val="00B83E9E"/>
    <w:rsid w:val="00B83FA9"/>
    <w:rsid w:val="00B8438A"/>
    <w:rsid w:val="00B84418"/>
    <w:rsid w:val="00B84729"/>
    <w:rsid w:val="00B848B0"/>
    <w:rsid w:val="00B84A7C"/>
    <w:rsid w:val="00B84E65"/>
    <w:rsid w:val="00B859D1"/>
    <w:rsid w:val="00B85AFD"/>
    <w:rsid w:val="00B85CF5"/>
    <w:rsid w:val="00B8636E"/>
    <w:rsid w:val="00B86823"/>
    <w:rsid w:val="00B86BAE"/>
    <w:rsid w:val="00B86C41"/>
    <w:rsid w:val="00B87236"/>
    <w:rsid w:val="00B875F4"/>
    <w:rsid w:val="00B877C3"/>
    <w:rsid w:val="00B87B50"/>
    <w:rsid w:val="00B90362"/>
    <w:rsid w:val="00B90418"/>
    <w:rsid w:val="00B90579"/>
    <w:rsid w:val="00B907C3"/>
    <w:rsid w:val="00B90964"/>
    <w:rsid w:val="00B90ABA"/>
    <w:rsid w:val="00B91649"/>
    <w:rsid w:val="00B91941"/>
    <w:rsid w:val="00B91B59"/>
    <w:rsid w:val="00B91CD2"/>
    <w:rsid w:val="00B91CDA"/>
    <w:rsid w:val="00B92964"/>
    <w:rsid w:val="00B92A2B"/>
    <w:rsid w:val="00B92D07"/>
    <w:rsid w:val="00B92F4E"/>
    <w:rsid w:val="00B93230"/>
    <w:rsid w:val="00B9437D"/>
    <w:rsid w:val="00B94588"/>
    <w:rsid w:val="00B94A74"/>
    <w:rsid w:val="00B94B5A"/>
    <w:rsid w:val="00B94E9F"/>
    <w:rsid w:val="00B94F4D"/>
    <w:rsid w:val="00B95380"/>
    <w:rsid w:val="00B95425"/>
    <w:rsid w:val="00B959A5"/>
    <w:rsid w:val="00B95C2A"/>
    <w:rsid w:val="00B962CE"/>
    <w:rsid w:val="00B96645"/>
    <w:rsid w:val="00B9673A"/>
    <w:rsid w:val="00B96994"/>
    <w:rsid w:val="00B96CAC"/>
    <w:rsid w:val="00B96E2A"/>
    <w:rsid w:val="00B97777"/>
    <w:rsid w:val="00B977E0"/>
    <w:rsid w:val="00B97AA5"/>
    <w:rsid w:val="00B97D2E"/>
    <w:rsid w:val="00BA03C6"/>
    <w:rsid w:val="00BA0BB9"/>
    <w:rsid w:val="00BA0D2C"/>
    <w:rsid w:val="00BA10A0"/>
    <w:rsid w:val="00BA1160"/>
    <w:rsid w:val="00BA14C3"/>
    <w:rsid w:val="00BA14F0"/>
    <w:rsid w:val="00BA2128"/>
    <w:rsid w:val="00BA21B9"/>
    <w:rsid w:val="00BA291C"/>
    <w:rsid w:val="00BA2B00"/>
    <w:rsid w:val="00BA2C8A"/>
    <w:rsid w:val="00BA2E13"/>
    <w:rsid w:val="00BA32E0"/>
    <w:rsid w:val="00BA3A5B"/>
    <w:rsid w:val="00BA41D0"/>
    <w:rsid w:val="00BA4337"/>
    <w:rsid w:val="00BA4523"/>
    <w:rsid w:val="00BA4785"/>
    <w:rsid w:val="00BA5026"/>
    <w:rsid w:val="00BA51CE"/>
    <w:rsid w:val="00BA535C"/>
    <w:rsid w:val="00BA55BC"/>
    <w:rsid w:val="00BA60DC"/>
    <w:rsid w:val="00BA6926"/>
    <w:rsid w:val="00BA6AB0"/>
    <w:rsid w:val="00BA6E46"/>
    <w:rsid w:val="00BA6F23"/>
    <w:rsid w:val="00BA7511"/>
    <w:rsid w:val="00BA76A2"/>
    <w:rsid w:val="00BB016D"/>
    <w:rsid w:val="00BB045C"/>
    <w:rsid w:val="00BB0924"/>
    <w:rsid w:val="00BB0B07"/>
    <w:rsid w:val="00BB0CA7"/>
    <w:rsid w:val="00BB16AF"/>
    <w:rsid w:val="00BB1A3C"/>
    <w:rsid w:val="00BB25CE"/>
    <w:rsid w:val="00BB2928"/>
    <w:rsid w:val="00BB2E39"/>
    <w:rsid w:val="00BB2EAD"/>
    <w:rsid w:val="00BB303C"/>
    <w:rsid w:val="00BB3B4B"/>
    <w:rsid w:val="00BB3DE4"/>
    <w:rsid w:val="00BB4C51"/>
    <w:rsid w:val="00BB4D55"/>
    <w:rsid w:val="00BB51AF"/>
    <w:rsid w:val="00BB52A0"/>
    <w:rsid w:val="00BB5598"/>
    <w:rsid w:val="00BB6067"/>
    <w:rsid w:val="00BB60E4"/>
    <w:rsid w:val="00BB6186"/>
    <w:rsid w:val="00BB64A8"/>
    <w:rsid w:val="00BB6986"/>
    <w:rsid w:val="00BB6B20"/>
    <w:rsid w:val="00BB6BA5"/>
    <w:rsid w:val="00BB6BC5"/>
    <w:rsid w:val="00BB6DF4"/>
    <w:rsid w:val="00BB6F5D"/>
    <w:rsid w:val="00BB7261"/>
    <w:rsid w:val="00BB742E"/>
    <w:rsid w:val="00BB778D"/>
    <w:rsid w:val="00BB77AE"/>
    <w:rsid w:val="00BB7DE3"/>
    <w:rsid w:val="00BC09C8"/>
    <w:rsid w:val="00BC0DF1"/>
    <w:rsid w:val="00BC0E3A"/>
    <w:rsid w:val="00BC12F0"/>
    <w:rsid w:val="00BC1CC3"/>
    <w:rsid w:val="00BC1ED2"/>
    <w:rsid w:val="00BC2373"/>
    <w:rsid w:val="00BC23B8"/>
    <w:rsid w:val="00BC2509"/>
    <w:rsid w:val="00BC2681"/>
    <w:rsid w:val="00BC272C"/>
    <w:rsid w:val="00BC287F"/>
    <w:rsid w:val="00BC2E62"/>
    <w:rsid w:val="00BC3294"/>
    <w:rsid w:val="00BC3476"/>
    <w:rsid w:val="00BC36F9"/>
    <w:rsid w:val="00BC37B3"/>
    <w:rsid w:val="00BC3814"/>
    <w:rsid w:val="00BC38D8"/>
    <w:rsid w:val="00BC3D7B"/>
    <w:rsid w:val="00BC418A"/>
    <w:rsid w:val="00BC4549"/>
    <w:rsid w:val="00BC4BB9"/>
    <w:rsid w:val="00BC50FF"/>
    <w:rsid w:val="00BC5B8A"/>
    <w:rsid w:val="00BC6027"/>
    <w:rsid w:val="00BC610B"/>
    <w:rsid w:val="00BC611D"/>
    <w:rsid w:val="00BC6265"/>
    <w:rsid w:val="00BC6348"/>
    <w:rsid w:val="00BC6378"/>
    <w:rsid w:val="00BC64A1"/>
    <w:rsid w:val="00BC6A6B"/>
    <w:rsid w:val="00BC6B57"/>
    <w:rsid w:val="00BC76CA"/>
    <w:rsid w:val="00BC775E"/>
    <w:rsid w:val="00BC78C0"/>
    <w:rsid w:val="00BC7FA2"/>
    <w:rsid w:val="00BD03C2"/>
    <w:rsid w:val="00BD05D7"/>
    <w:rsid w:val="00BD0FC6"/>
    <w:rsid w:val="00BD12D0"/>
    <w:rsid w:val="00BD14A6"/>
    <w:rsid w:val="00BD1596"/>
    <w:rsid w:val="00BD168D"/>
    <w:rsid w:val="00BD1B35"/>
    <w:rsid w:val="00BD1E97"/>
    <w:rsid w:val="00BD21AF"/>
    <w:rsid w:val="00BD281B"/>
    <w:rsid w:val="00BD2B06"/>
    <w:rsid w:val="00BD2B42"/>
    <w:rsid w:val="00BD2E40"/>
    <w:rsid w:val="00BD3491"/>
    <w:rsid w:val="00BD48AA"/>
    <w:rsid w:val="00BD4998"/>
    <w:rsid w:val="00BD5CCB"/>
    <w:rsid w:val="00BD5D90"/>
    <w:rsid w:val="00BD6112"/>
    <w:rsid w:val="00BD64EE"/>
    <w:rsid w:val="00BD6752"/>
    <w:rsid w:val="00BD6B85"/>
    <w:rsid w:val="00BD6B8A"/>
    <w:rsid w:val="00BD6DAD"/>
    <w:rsid w:val="00BD76B3"/>
    <w:rsid w:val="00BD77F7"/>
    <w:rsid w:val="00BD7808"/>
    <w:rsid w:val="00BD7BA8"/>
    <w:rsid w:val="00BE0168"/>
    <w:rsid w:val="00BE0210"/>
    <w:rsid w:val="00BE05A5"/>
    <w:rsid w:val="00BE05E3"/>
    <w:rsid w:val="00BE0905"/>
    <w:rsid w:val="00BE0A9C"/>
    <w:rsid w:val="00BE0D57"/>
    <w:rsid w:val="00BE1235"/>
    <w:rsid w:val="00BE1261"/>
    <w:rsid w:val="00BE1714"/>
    <w:rsid w:val="00BE19F3"/>
    <w:rsid w:val="00BE1B24"/>
    <w:rsid w:val="00BE1B9A"/>
    <w:rsid w:val="00BE1CD7"/>
    <w:rsid w:val="00BE1E15"/>
    <w:rsid w:val="00BE1EDF"/>
    <w:rsid w:val="00BE217A"/>
    <w:rsid w:val="00BE2773"/>
    <w:rsid w:val="00BE2955"/>
    <w:rsid w:val="00BE3020"/>
    <w:rsid w:val="00BE30CA"/>
    <w:rsid w:val="00BE352D"/>
    <w:rsid w:val="00BE392C"/>
    <w:rsid w:val="00BE3A13"/>
    <w:rsid w:val="00BE3A50"/>
    <w:rsid w:val="00BE3B4C"/>
    <w:rsid w:val="00BE3B4D"/>
    <w:rsid w:val="00BE3F42"/>
    <w:rsid w:val="00BE42F9"/>
    <w:rsid w:val="00BE4643"/>
    <w:rsid w:val="00BE4CF0"/>
    <w:rsid w:val="00BE4F6B"/>
    <w:rsid w:val="00BE4FA3"/>
    <w:rsid w:val="00BE5322"/>
    <w:rsid w:val="00BE579E"/>
    <w:rsid w:val="00BE5BA2"/>
    <w:rsid w:val="00BE5C45"/>
    <w:rsid w:val="00BE6128"/>
    <w:rsid w:val="00BE63EE"/>
    <w:rsid w:val="00BE6E6B"/>
    <w:rsid w:val="00BE71A1"/>
    <w:rsid w:val="00BE79AD"/>
    <w:rsid w:val="00BE79DD"/>
    <w:rsid w:val="00BE7AF6"/>
    <w:rsid w:val="00BE7F05"/>
    <w:rsid w:val="00BF03A2"/>
    <w:rsid w:val="00BF0547"/>
    <w:rsid w:val="00BF05BE"/>
    <w:rsid w:val="00BF08C7"/>
    <w:rsid w:val="00BF091E"/>
    <w:rsid w:val="00BF0A2F"/>
    <w:rsid w:val="00BF0C58"/>
    <w:rsid w:val="00BF0D4D"/>
    <w:rsid w:val="00BF1108"/>
    <w:rsid w:val="00BF136A"/>
    <w:rsid w:val="00BF145B"/>
    <w:rsid w:val="00BF1656"/>
    <w:rsid w:val="00BF1B79"/>
    <w:rsid w:val="00BF20C1"/>
    <w:rsid w:val="00BF23AE"/>
    <w:rsid w:val="00BF270D"/>
    <w:rsid w:val="00BF27CF"/>
    <w:rsid w:val="00BF2FE0"/>
    <w:rsid w:val="00BF3791"/>
    <w:rsid w:val="00BF37B8"/>
    <w:rsid w:val="00BF3901"/>
    <w:rsid w:val="00BF3A9B"/>
    <w:rsid w:val="00BF3EC9"/>
    <w:rsid w:val="00BF3F9A"/>
    <w:rsid w:val="00BF420F"/>
    <w:rsid w:val="00BF442F"/>
    <w:rsid w:val="00BF4583"/>
    <w:rsid w:val="00BF4666"/>
    <w:rsid w:val="00BF4834"/>
    <w:rsid w:val="00BF4B2F"/>
    <w:rsid w:val="00BF4E64"/>
    <w:rsid w:val="00BF515B"/>
    <w:rsid w:val="00BF52B2"/>
    <w:rsid w:val="00BF5599"/>
    <w:rsid w:val="00BF5A21"/>
    <w:rsid w:val="00BF626F"/>
    <w:rsid w:val="00BF62DE"/>
    <w:rsid w:val="00BF635F"/>
    <w:rsid w:val="00BF661D"/>
    <w:rsid w:val="00BF66FE"/>
    <w:rsid w:val="00BF6A16"/>
    <w:rsid w:val="00BF7687"/>
    <w:rsid w:val="00BF7736"/>
    <w:rsid w:val="00BF7875"/>
    <w:rsid w:val="00BF7CFA"/>
    <w:rsid w:val="00BF7DE1"/>
    <w:rsid w:val="00C0027D"/>
    <w:rsid w:val="00C00441"/>
    <w:rsid w:val="00C00B3C"/>
    <w:rsid w:val="00C00FFF"/>
    <w:rsid w:val="00C01343"/>
    <w:rsid w:val="00C01764"/>
    <w:rsid w:val="00C01C93"/>
    <w:rsid w:val="00C02058"/>
    <w:rsid w:val="00C020A1"/>
    <w:rsid w:val="00C023FA"/>
    <w:rsid w:val="00C02408"/>
    <w:rsid w:val="00C028A3"/>
    <w:rsid w:val="00C02B0C"/>
    <w:rsid w:val="00C033FD"/>
    <w:rsid w:val="00C0415F"/>
    <w:rsid w:val="00C04D7F"/>
    <w:rsid w:val="00C050CF"/>
    <w:rsid w:val="00C051C2"/>
    <w:rsid w:val="00C05251"/>
    <w:rsid w:val="00C055E7"/>
    <w:rsid w:val="00C05709"/>
    <w:rsid w:val="00C062A4"/>
    <w:rsid w:val="00C068DA"/>
    <w:rsid w:val="00C069C1"/>
    <w:rsid w:val="00C06D82"/>
    <w:rsid w:val="00C06F2A"/>
    <w:rsid w:val="00C0726B"/>
    <w:rsid w:val="00C07AAA"/>
    <w:rsid w:val="00C07DBC"/>
    <w:rsid w:val="00C1003C"/>
    <w:rsid w:val="00C101C2"/>
    <w:rsid w:val="00C10436"/>
    <w:rsid w:val="00C10745"/>
    <w:rsid w:val="00C10AB9"/>
    <w:rsid w:val="00C111FE"/>
    <w:rsid w:val="00C11891"/>
    <w:rsid w:val="00C1200B"/>
    <w:rsid w:val="00C121E8"/>
    <w:rsid w:val="00C12BF7"/>
    <w:rsid w:val="00C12F60"/>
    <w:rsid w:val="00C13AD3"/>
    <w:rsid w:val="00C13C41"/>
    <w:rsid w:val="00C13E35"/>
    <w:rsid w:val="00C13EC4"/>
    <w:rsid w:val="00C14715"/>
    <w:rsid w:val="00C1485A"/>
    <w:rsid w:val="00C14F87"/>
    <w:rsid w:val="00C15089"/>
    <w:rsid w:val="00C150A4"/>
    <w:rsid w:val="00C159A9"/>
    <w:rsid w:val="00C16357"/>
    <w:rsid w:val="00C1640E"/>
    <w:rsid w:val="00C164C2"/>
    <w:rsid w:val="00C1667D"/>
    <w:rsid w:val="00C16C0B"/>
    <w:rsid w:val="00C17060"/>
    <w:rsid w:val="00C1776E"/>
    <w:rsid w:val="00C17A21"/>
    <w:rsid w:val="00C2078F"/>
    <w:rsid w:val="00C21437"/>
    <w:rsid w:val="00C2148D"/>
    <w:rsid w:val="00C2169F"/>
    <w:rsid w:val="00C224F4"/>
    <w:rsid w:val="00C2270B"/>
    <w:rsid w:val="00C22A85"/>
    <w:rsid w:val="00C24113"/>
    <w:rsid w:val="00C241F0"/>
    <w:rsid w:val="00C24514"/>
    <w:rsid w:val="00C246B9"/>
    <w:rsid w:val="00C24B86"/>
    <w:rsid w:val="00C24F62"/>
    <w:rsid w:val="00C25857"/>
    <w:rsid w:val="00C25CCE"/>
    <w:rsid w:val="00C25DC7"/>
    <w:rsid w:val="00C25EF4"/>
    <w:rsid w:val="00C25F65"/>
    <w:rsid w:val="00C26093"/>
    <w:rsid w:val="00C26ABF"/>
    <w:rsid w:val="00C26DA9"/>
    <w:rsid w:val="00C2722A"/>
    <w:rsid w:val="00C274E6"/>
    <w:rsid w:val="00C27866"/>
    <w:rsid w:val="00C27B28"/>
    <w:rsid w:val="00C27B99"/>
    <w:rsid w:val="00C27DFF"/>
    <w:rsid w:val="00C3009F"/>
    <w:rsid w:val="00C3096C"/>
    <w:rsid w:val="00C3097A"/>
    <w:rsid w:val="00C30E57"/>
    <w:rsid w:val="00C310C4"/>
    <w:rsid w:val="00C31439"/>
    <w:rsid w:val="00C31D99"/>
    <w:rsid w:val="00C320F3"/>
    <w:rsid w:val="00C32A2C"/>
    <w:rsid w:val="00C32CDD"/>
    <w:rsid w:val="00C33A78"/>
    <w:rsid w:val="00C33BF1"/>
    <w:rsid w:val="00C3451B"/>
    <w:rsid w:val="00C34E46"/>
    <w:rsid w:val="00C35057"/>
    <w:rsid w:val="00C35469"/>
    <w:rsid w:val="00C354D8"/>
    <w:rsid w:val="00C35685"/>
    <w:rsid w:val="00C35837"/>
    <w:rsid w:val="00C35A6C"/>
    <w:rsid w:val="00C35E24"/>
    <w:rsid w:val="00C35F66"/>
    <w:rsid w:val="00C36640"/>
    <w:rsid w:val="00C366AA"/>
    <w:rsid w:val="00C368C1"/>
    <w:rsid w:val="00C36BEC"/>
    <w:rsid w:val="00C36E35"/>
    <w:rsid w:val="00C37165"/>
    <w:rsid w:val="00C37219"/>
    <w:rsid w:val="00C37C11"/>
    <w:rsid w:val="00C37F9E"/>
    <w:rsid w:val="00C401B7"/>
    <w:rsid w:val="00C40390"/>
    <w:rsid w:val="00C40575"/>
    <w:rsid w:val="00C409D8"/>
    <w:rsid w:val="00C410CE"/>
    <w:rsid w:val="00C41262"/>
    <w:rsid w:val="00C4137B"/>
    <w:rsid w:val="00C41551"/>
    <w:rsid w:val="00C41762"/>
    <w:rsid w:val="00C41D07"/>
    <w:rsid w:val="00C41DF5"/>
    <w:rsid w:val="00C41F30"/>
    <w:rsid w:val="00C426F0"/>
    <w:rsid w:val="00C431BF"/>
    <w:rsid w:val="00C43290"/>
    <w:rsid w:val="00C43390"/>
    <w:rsid w:val="00C43B8B"/>
    <w:rsid w:val="00C440E8"/>
    <w:rsid w:val="00C44C1D"/>
    <w:rsid w:val="00C44EBC"/>
    <w:rsid w:val="00C45084"/>
    <w:rsid w:val="00C45321"/>
    <w:rsid w:val="00C455DD"/>
    <w:rsid w:val="00C45707"/>
    <w:rsid w:val="00C45927"/>
    <w:rsid w:val="00C45AA0"/>
    <w:rsid w:val="00C45BEB"/>
    <w:rsid w:val="00C467C8"/>
    <w:rsid w:val="00C46808"/>
    <w:rsid w:val="00C468CF"/>
    <w:rsid w:val="00C46E2A"/>
    <w:rsid w:val="00C46FDC"/>
    <w:rsid w:val="00C473F7"/>
    <w:rsid w:val="00C4790D"/>
    <w:rsid w:val="00C50219"/>
    <w:rsid w:val="00C509B3"/>
    <w:rsid w:val="00C50A8C"/>
    <w:rsid w:val="00C50B83"/>
    <w:rsid w:val="00C50CC7"/>
    <w:rsid w:val="00C50E6F"/>
    <w:rsid w:val="00C515D1"/>
    <w:rsid w:val="00C51707"/>
    <w:rsid w:val="00C51834"/>
    <w:rsid w:val="00C519D4"/>
    <w:rsid w:val="00C51F75"/>
    <w:rsid w:val="00C5209C"/>
    <w:rsid w:val="00C52447"/>
    <w:rsid w:val="00C5256B"/>
    <w:rsid w:val="00C52619"/>
    <w:rsid w:val="00C529B6"/>
    <w:rsid w:val="00C52C21"/>
    <w:rsid w:val="00C53100"/>
    <w:rsid w:val="00C531BC"/>
    <w:rsid w:val="00C531FD"/>
    <w:rsid w:val="00C53343"/>
    <w:rsid w:val="00C5403E"/>
    <w:rsid w:val="00C547EF"/>
    <w:rsid w:val="00C54B75"/>
    <w:rsid w:val="00C54BF7"/>
    <w:rsid w:val="00C5500C"/>
    <w:rsid w:val="00C55137"/>
    <w:rsid w:val="00C55259"/>
    <w:rsid w:val="00C55335"/>
    <w:rsid w:val="00C553BA"/>
    <w:rsid w:val="00C5589C"/>
    <w:rsid w:val="00C559B0"/>
    <w:rsid w:val="00C55F9E"/>
    <w:rsid w:val="00C560E7"/>
    <w:rsid w:val="00C56B06"/>
    <w:rsid w:val="00C56DC5"/>
    <w:rsid w:val="00C57713"/>
    <w:rsid w:val="00C5771A"/>
    <w:rsid w:val="00C5771D"/>
    <w:rsid w:val="00C57965"/>
    <w:rsid w:val="00C57C2E"/>
    <w:rsid w:val="00C57DD2"/>
    <w:rsid w:val="00C6006B"/>
    <w:rsid w:val="00C60076"/>
    <w:rsid w:val="00C60735"/>
    <w:rsid w:val="00C60E6B"/>
    <w:rsid w:val="00C61053"/>
    <w:rsid w:val="00C6143A"/>
    <w:rsid w:val="00C618E3"/>
    <w:rsid w:val="00C61F34"/>
    <w:rsid w:val="00C622BE"/>
    <w:rsid w:val="00C623FE"/>
    <w:rsid w:val="00C62961"/>
    <w:rsid w:val="00C62A3C"/>
    <w:rsid w:val="00C63034"/>
    <w:rsid w:val="00C635C4"/>
    <w:rsid w:val="00C6379E"/>
    <w:rsid w:val="00C63DD6"/>
    <w:rsid w:val="00C6494C"/>
    <w:rsid w:val="00C64A6B"/>
    <w:rsid w:val="00C64B49"/>
    <w:rsid w:val="00C64B62"/>
    <w:rsid w:val="00C65242"/>
    <w:rsid w:val="00C653E1"/>
    <w:rsid w:val="00C65571"/>
    <w:rsid w:val="00C656D0"/>
    <w:rsid w:val="00C65973"/>
    <w:rsid w:val="00C65C4B"/>
    <w:rsid w:val="00C65E1B"/>
    <w:rsid w:val="00C65EE4"/>
    <w:rsid w:val="00C66205"/>
    <w:rsid w:val="00C6656F"/>
    <w:rsid w:val="00C665B2"/>
    <w:rsid w:val="00C6685A"/>
    <w:rsid w:val="00C66B17"/>
    <w:rsid w:val="00C66FAB"/>
    <w:rsid w:val="00C67353"/>
    <w:rsid w:val="00C67399"/>
    <w:rsid w:val="00C676D5"/>
    <w:rsid w:val="00C67ACB"/>
    <w:rsid w:val="00C705CF"/>
    <w:rsid w:val="00C709A1"/>
    <w:rsid w:val="00C70C72"/>
    <w:rsid w:val="00C70D26"/>
    <w:rsid w:val="00C70E94"/>
    <w:rsid w:val="00C71102"/>
    <w:rsid w:val="00C71A3E"/>
    <w:rsid w:val="00C725EA"/>
    <w:rsid w:val="00C73214"/>
    <w:rsid w:val="00C733BD"/>
    <w:rsid w:val="00C73609"/>
    <w:rsid w:val="00C73FF2"/>
    <w:rsid w:val="00C74007"/>
    <w:rsid w:val="00C74477"/>
    <w:rsid w:val="00C75211"/>
    <w:rsid w:val="00C753C4"/>
    <w:rsid w:val="00C75673"/>
    <w:rsid w:val="00C75815"/>
    <w:rsid w:val="00C75C1A"/>
    <w:rsid w:val="00C76227"/>
    <w:rsid w:val="00C762C8"/>
    <w:rsid w:val="00C764B3"/>
    <w:rsid w:val="00C768E1"/>
    <w:rsid w:val="00C76F02"/>
    <w:rsid w:val="00C76F49"/>
    <w:rsid w:val="00C76F74"/>
    <w:rsid w:val="00C770B7"/>
    <w:rsid w:val="00C779B6"/>
    <w:rsid w:val="00C77E4B"/>
    <w:rsid w:val="00C80418"/>
    <w:rsid w:val="00C806E8"/>
    <w:rsid w:val="00C80982"/>
    <w:rsid w:val="00C811DC"/>
    <w:rsid w:val="00C81A18"/>
    <w:rsid w:val="00C81A99"/>
    <w:rsid w:val="00C81F39"/>
    <w:rsid w:val="00C81FF0"/>
    <w:rsid w:val="00C82564"/>
    <w:rsid w:val="00C82656"/>
    <w:rsid w:val="00C827D2"/>
    <w:rsid w:val="00C82E66"/>
    <w:rsid w:val="00C831AD"/>
    <w:rsid w:val="00C83BCD"/>
    <w:rsid w:val="00C8400C"/>
    <w:rsid w:val="00C843F0"/>
    <w:rsid w:val="00C84616"/>
    <w:rsid w:val="00C84853"/>
    <w:rsid w:val="00C849DB"/>
    <w:rsid w:val="00C84A09"/>
    <w:rsid w:val="00C84ED6"/>
    <w:rsid w:val="00C85068"/>
    <w:rsid w:val="00C85147"/>
    <w:rsid w:val="00C85620"/>
    <w:rsid w:val="00C85BFD"/>
    <w:rsid w:val="00C85C98"/>
    <w:rsid w:val="00C86059"/>
    <w:rsid w:val="00C8644A"/>
    <w:rsid w:val="00C8672D"/>
    <w:rsid w:val="00C868D2"/>
    <w:rsid w:val="00C86C44"/>
    <w:rsid w:val="00C86F21"/>
    <w:rsid w:val="00C870B5"/>
    <w:rsid w:val="00C873BF"/>
    <w:rsid w:val="00C878B2"/>
    <w:rsid w:val="00C87946"/>
    <w:rsid w:val="00C87C99"/>
    <w:rsid w:val="00C87F23"/>
    <w:rsid w:val="00C90A54"/>
    <w:rsid w:val="00C90C46"/>
    <w:rsid w:val="00C90F59"/>
    <w:rsid w:val="00C91364"/>
    <w:rsid w:val="00C913FA"/>
    <w:rsid w:val="00C915D9"/>
    <w:rsid w:val="00C91788"/>
    <w:rsid w:val="00C91B6A"/>
    <w:rsid w:val="00C91C04"/>
    <w:rsid w:val="00C92C2D"/>
    <w:rsid w:val="00C9300A"/>
    <w:rsid w:val="00C9395E"/>
    <w:rsid w:val="00C93E24"/>
    <w:rsid w:val="00C94706"/>
    <w:rsid w:val="00C950C3"/>
    <w:rsid w:val="00C95245"/>
    <w:rsid w:val="00C9531D"/>
    <w:rsid w:val="00C95B27"/>
    <w:rsid w:val="00C95DD4"/>
    <w:rsid w:val="00C961B0"/>
    <w:rsid w:val="00C963F4"/>
    <w:rsid w:val="00C96AE7"/>
    <w:rsid w:val="00C97098"/>
    <w:rsid w:val="00C970D8"/>
    <w:rsid w:val="00C97538"/>
    <w:rsid w:val="00C977B8"/>
    <w:rsid w:val="00C97885"/>
    <w:rsid w:val="00CA03D5"/>
    <w:rsid w:val="00CA04D6"/>
    <w:rsid w:val="00CA06FD"/>
    <w:rsid w:val="00CA088A"/>
    <w:rsid w:val="00CA0CA0"/>
    <w:rsid w:val="00CA0D71"/>
    <w:rsid w:val="00CA0F20"/>
    <w:rsid w:val="00CA0F82"/>
    <w:rsid w:val="00CA1010"/>
    <w:rsid w:val="00CA11FF"/>
    <w:rsid w:val="00CA157D"/>
    <w:rsid w:val="00CA1903"/>
    <w:rsid w:val="00CA2479"/>
    <w:rsid w:val="00CA24D9"/>
    <w:rsid w:val="00CA253F"/>
    <w:rsid w:val="00CA2D06"/>
    <w:rsid w:val="00CA3704"/>
    <w:rsid w:val="00CA3783"/>
    <w:rsid w:val="00CA3B68"/>
    <w:rsid w:val="00CA3EC4"/>
    <w:rsid w:val="00CA4811"/>
    <w:rsid w:val="00CA49B1"/>
    <w:rsid w:val="00CA5102"/>
    <w:rsid w:val="00CA53F1"/>
    <w:rsid w:val="00CA5C7D"/>
    <w:rsid w:val="00CA6F2D"/>
    <w:rsid w:val="00CA716E"/>
    <w:rsid w:val="00CA738F"/>
    <w:rsid w:val="00CA7419"/>
    <w:rsid w:val="00CA766A"/>
    <w:rsid w:val="00CA78C6"/>
    <w:rsid w:val="00CA7B3F"/>
    <w:rsid w:val="00CA7B90"/>
    <w:rsid w:val="00CA7C92"/>
    <w:rsid w:val="00CA7EAE"/>
    <w:rsid w:val="00CB0463"/>
    <w:rsid w:val="00CB063C"/>
    <w:rsid w:val="00CB08E6"/>
    <w:rsid w:val="00CB0C14"/>
    <w:rsid w:val="00CB0DCE"/>
    <w:rsid w:val="00CB1404"/>
    <w:rsid w:val="00CB1BA0"/>
    <w:rsid w:val="00CB1E21"/>
    <w:rsid w:val="00CB1EB2"/>
    <w:rsid w:val="00CB23B1"/>
    <w:rsid w:val="00CB25BC"/>
    <w:rsid w:val="00CB2898"/>
    <w:rsid w:val="00CB2B01"/>
    <w:rsid w:val="00CB39E8"/>
    <w:rsid w:val="00CB3AC2"/>
    <w:rsid w:val="00CB3CC6"/>
    <w:rsid w:val="00CB40CA"/>
    <w:rsid w:val="00CB452E"/>
    <w:rsid w:val="00CB4674"/>
    <w:rsid w:val="00CB4E34"/>
    <w:rsid w:val="00CB5DA2"/>
    <w:rsid w:val="00CB5FC2"/>
    <w:rsid w:val="00CB6013"/>
    <w:rsid w:val="00CB6087"/>
    <w:rsid w:val="00CB75A0"/>
    <w:rsid w:val="00CB75A2"/>
    <w:rsid w:val="00CB7766"/>
    <w:rsid w:val="00CB7FBD"/>
    <w:rsid w:val="00CC0317"/>
    <w:rsid w:val="00CC0C8A"/>
    <w:rsid w:val="00CC199C"/>
    <w:rsid w:val="00CC1B10"/>
    <w:rsid w:val="00CC20AE"/>
    <w:rsid w:val="00CC2177"/>
    <w:rsid w:val="00CC26EB"/>
    <w:rsid w:val="00CC27D6"/>
    <w:rsid w:val="00CC2B15"/>
    <w:rsid w:val="00CC2D66"/>
    <w:rsid w:val="00CC33E9"/>
    <w:rsid w:val="00CC3963"/>
    <w:rsid w:val="00CC3D97"/>
    <w:rsid w:val="00CC467F"/>
    <w:rsid w:val="00CC4B8C"/>
    <w:rsid w:val="00CC4DF5"/>
    <w:rsid w:val="00CC4FE8"/>
    <w:rsid w:val="00CC5086"/>
    <w:rsid w:val="00CC5304"/>
    <w:rsid w:val="00CC5D3F"/>
    <w:rsid w:val="00CC6B35"/>
    <w:rsid w:val="00CC6C45"/>
    <w:rsid w:val="00CC7110"/>
    <w:rsid w:val="00CC7700"/>
    <w:rsid w:val="00CC79FE"/>
    <w:rsid w:val="00CC7C76"/>
    <w:rsid w:val="00CC7C9F"/>
    <w:rsid w:val="00CC7FA1"/>
    <w:rsid w:val="00CD0054"/>
    <w:rsid w:val="00CD00ED"/>
    <w:rsid w:val="00CD03D8"/>
    <w:rsid w:val="00CD1452"/>
    <w:rsid w:val="00CD1A74"/>
    <w:rsid w:val="00CD1B7F"/>
    <w:rsid w:val="00CD1C3A"/>
    <w:rsid w:val="00CD1E2C"/>
    <w:rsid w:val="00CD225E"/>
    <w:rsid w:val="00CD2683"/>
    <w:rsid w:val="00CD2884"/>
    <w:rsid w:val="00CD296F"/>
    <w:rsid w:val="00CD3282"/>
    <w:rsid w:val="00CD3359"/>
    <w:rsid w:val="00CD348C"/>
    <w:rsid w:val="00CD3627"/>
    <w:rsid w:val="00CD368F"/>
    <w:rsid w:val="00CD389E"/>
    <w:rsid w:val="00CD3DBB"/>
    <w:rsid w:val="00CD4444"/>
    <w:rsid w:val="00CD4544"/>
    <w:rsid w:val="00CD458B"/>
    <w:rsid w:val="00CD47B2"/>
    <w:rsid w:val="00CD4F90"/>
    <w:rsid w:val="00CD50E9"/>
    <w:rsid w:val="00CD510E"/>
    <w:rsid w:val="00CD5274"/>
    <w:rsid w:val="00CD5334"/>
    <w:rsid w:val="00CD560F"/>
    <w:rsid w:val="00CD6181"/>
    <w:rsid w:val="00CD6689"/>
    <w:rsid w:val="00CD67EF"/>
    <w:rsid w:val="00CD6867"/>
    <w:rsid w:val="00CD6A62"/>
    <w:rsid w:val="00CD77A8"/>
    <w:rsid w:val="00CD7D4A"/>
    <w:rsid w:val="00CE0685"/>
    <w:rsid w:val="00CE0826"/>
    <w:rsid w:val="00CE0A2C"/>
    <w:rsid w:val="00CE0A60"/>
    <w:rsid w:val="00CE1D7C"/>
    <w:rsid w:val="00CE2091"/>
    <w:rsid w:val="00CE2276"/>
    <w:rsid w:val="00CE24D9"/>
    <w:rsid w:val="00CE274C"/>
    <w:rsid w:val="00CE27A5"/>
    <w:rsid w:val="00CE3AF3"/>
    <w:rsid w:val="00CE4088"/>
    <w:rsid w:val="00CE46CD"/>
    <w:rsid w:val="00CE493C"/>
    <w:rsid w:val="00CE49D1"/>
    <w:rsid w:val="00CE4C3C"/>
    <w:rsid w:val="00CE4CA5"/>
    <w:rsid w:val="00CE5030"/>
    <w:rsid w:val="00CE5321"/>
    <w:rsid w:val="00CE53F4"/>
    <w:rsid w:val="00CE54C9"/>
    <w:rsid w:val="00CE5699"/>
    <w:rsid w:val="00CE6959"/>
    <w:rsid w:val="00CE6EAD"/>
    <w:rsid w:val="00CE6F82"/>
    <w:rsid w:val="00CE7077"/>
    <w:rsid w:val="00CE7503"/>
    <w:rsid w:val="00CE75DE"/>
    <w:rsid w:val="00CE7759"/>
    <w:rsid w:val="00CE79F9"/>
    <w:rsid w:val="00CF09CD"/>
    <w:rsid w:val="00CF09F4"/>
    <w:rsid w:val="00CF1121"/>
    <w:rsid w:val="00CF1A3B"/>
    <w:rsid w:val="00CF2054"/>
    <w:rsid w:val="00CF2293"/>
    <w:rsid w:val="00CF2306"/>
    <w:rsid w:val="00CF23E6"/>
    <w:rsid w:val="00CF2903"/>
    <w:rsid w:val="00CF2B26"/>
    <w:rsid w:val="00CF2E7A"/>
    <w:rsid w:val="00CF3457"/>
    <w:rsid w:val="00CF4302"/>
    <w:rsid w:val="00CF489E"/>
    <w:rsid w:val="00CF48EF"/>
    <w:rsid w:val="00CF4DC1"/>
    <w:rsid w:val="00CF51F3"/>
    <w:rsid w:val="00CF54F0"/>
    <w:rsid w:val="00CF575E"/>
    <w:rsid w:val="00CF5929"/>
    <w:rsid w:val="00CF5964"/>
    <w:rsid w:val="00CF5F02"/>
    <w:rsid w:val="00CF6122"/>
    <w:rsid w:val="00CF6A0A"/>
    <w:rsid w:val="00CF6B2A"/>
    <w:rsid w:val="00CF6F9F"/>
    <w:rsid w:val="00CF6FF6"/>
    <w:rsid w:val="00CF73C0"/>
    <w:rsid w:val="00CF75A1"/>
    <w:rsid w:val="00CF7654"/>
    <w:rsid w:val="00CF7DD3"/>
    <w:rsid w:val="00CF7EEF"/>
    <w:rsid w:val="00D002CB"/>
    <w:rsid w:val="00D005F0"/>
    <w:rsid w:val="00D007A3"/>
    <w:rsid w:val="00D007CC"/>
    <w:rsid w:val="00D008CF"/>
    <w:rsid w:val="00D009F4"/>
    <w:rsid w:val="00D01218"/>
    <w:rsid w:val="00D018EC"/>
    <w:rsid w:val="00D0194C"/>
    <w:rsid w:val="00D02080"/>
    <w:rsid w:val="00D022A2"/>
    <w:rsid w:val="00D02703"/>
    <w:rsid w:val="00D02B90"/>
    <w:rsid w:val="00D0304E"/>
    <w:rsid w:val="00D035D9"/>
    <w:rsid w:val="00D03726"/>
    <w:rsid w:val="00D03ABD"/>
    <w:rsid w:val="00D03C4A"/>
    <w:rsid w:val="00D03F52"/>
    <w:rsid w:val="00D041CE"/>
    <w:rsid w:val="00D0433D"/>
    <w:rsid w:val="00D04503"/>
    <w:rsid w:val="00D0498E"/>
    <w:rsid w:val="00D058A2"/>
    <w:rsid w:val="00D0621F"/>
    <w:rsid w:val="00D063DF"/>
    <w:rsid w:val="00D06553"/>
    <w:rsid w:val="00D06B3C"/>
    <w:rsid w:val="00D06C30"/>
    <w:rsid w:val="00D06C33"/>
    <w:rsid w:val="00D07044"/>
    <w:rsid w:val="00D072F9"/>
    <w:rsid w:val="00D0759E"/>
    <w:rsid w:val="00D07893"/>
    <w:rsid w:val="00D0790F"/>
    <w:rsid w:val="00D07EED"/>
    <w:rsid w:val="00D103F7"/>
    <w:rsid w:val="00D105C6"/>
    <w:rsid w:val="00D10718"/>
    <w:rsid w:val="00D10B0A"/>
    <w:rsid w:val="00D10DE7"/>
    <w:rsid w:val="00D11B8C"/>
    <w:rsid w:val="00D120E6"/>
    <w:rsid w:val="00D121A0"/>
    <w:rsid w:val="00D121CD"/>
    <w:rsid w:val="00D122AC"/>
    <w:rsid w:val="00D127D4"/>
    <w:rsid w:val="00D12E0F"/>
    <w:rsid w:val="00D12F66"/>
    <w:rsid w:val="00D13556"/>
    <w:rsid w:val="00D13919"/>
    <w:rsid w:val="00D13DBB"/>
    <w:rsid w:val="00D13FBA"/>
    <w:rsid w:val="00D142CA"/>
    <w:rsid w:val="00D14495"/>
    <w:rsid w:val="00D14665"/>
    <w:rsid w:val="00D14E02"/>
    <w:rsid w:val="00D1506D"/>
    <w:rsid w:val="00D1573D"/>
    <w:rsid w:val="00D159B3"/>
    <w:rsid w:val="00D16525"/>
    <w:rsid w:val="00D1667E"/>
    <w:rsid w:val="00D1671A"/>
    <w:rsid w:val="00D16F42"/>
    <w:rsid w:val="00D17483"/>
    <w:rsid w:val="00D178C1"/>
    <w:rsid w:val="00D18A37"/>
    <w:rsid w:val="00D20200"/>
    <w:rsid w:val="00D20441"/>
    <w:rsid w:val="00D2098D"/>
    <w:rsid w:val="00D20AE2"/>
    <w:rsid w:val="00D21597"/>
    <w:rsid w:val="00D215B6"/>
    <w:rsid w:val="00D21763"/>
    <w:rsid w:val="00D21B42"/>
    <w:rsid w:val="00D2294C"/>
    <w:rsid w:val="00D22996"/>
    <w:rsid w:val="00D22D6E"/>
    <w:rsid w:val="00D22F14"/>
    <w:rsid w:val="00D23178"/>
    <w:rsid w:val="00D231EA"/>
    <w:rsid w:val="00D23239"/>
    <w:rsid w:val="00D2348E"/>
    <w:rsid w:val="00D23631"/>
    <w:rsid w:val="00D238E6"/>
    <w:rsid w:val="00D23928"/>
    <w:rsid w:val="00D23935"/>
    <w:rsid w:val="00D247B2"/>
    <w:rsid w:val="00D24875"/>
    <w:rsid w:val="00D249F6"/>
    <w:rsid w:val="00D249F7"/>
    <w:rsid w:val="00D24A67"/>
    <w:rsid w:val="00D2524D"/>
    <w:rsid w:val="00D25509"/>
    <w:rsid w:val="00D25827"/>
    <w:rsid w:val="00D25B49"/>
    <w:rsid w:val="00D25D30"/>
    <w:rsid w:val="00D26710"/>
    <w:rsid w:val="00D268F9"/>
    <w:rsid w:val="00D269AA"/>
    <w:rsid w:val="00D26BBC"/>
    <w:rsid w:val="00D271AB"/>
    <w:rsid w:val="00D279F4"/>
    <w:rsid w:val="00D27D8E"/>
    <w:rsid w:val="00D27FA1"/>
    <w:rsid w:val="00D29819"/>
    <w:rsid w:val="00D303B8"/>
    <w:rsid w:val="00D30682"/>
    <w:rsid w:val="00D306B4"/>
    <w:rsid w:val="00D306F9"/>
    <w:rsid w:val="00D30EC0"/>
    <w:rsid w:val="00D30FF1"/>
    <w:rsid w:val="00D31504"/>
    <w:rsid w:val="00D3166E"/>
    <w:rsid w:val="00D31E0D"/>
    <w:rsid w:val="00D31EAD"/>
    <w:rsid w:val="00D323F4"/>
    <w:rsid w:val="00D32605"/>
    <w:rsid w:val="00D32C1B"/>
    <w:rsid w:val="00D32C67"/>
    <w:rsid w:val="00D330C7"/>
    <w:rsid w:val="00D3316B"/>
    <w:rsid w:val="00D33310"/>
    <w:rsid w:val="00D3331E"/>
    <w:rsid w:val="00D3336A"/>
    <w:rsid w:val="00D33529"/>
    <w:rsid w:val="00D335F6"/>
    <w:rsid w:val="00D341D1"/>
    <w:rsid w:val="00D34810"/>
    <w:rsid w:val="00D348CE"/>
    <w:rsid w:val="00D350A0"/>
    <w:rsid w:val="00D35466"/>
    <w:rsid w:val="00D35F51"/>
    <w:rsid w:val="00D365DA"/>
    <w:rsid w:val="00D36B48"/>
    <w:rsid w:val="00D3758B"/>
    <w:rsid w:val="00D3776E"/>
    <w:rsid w:val="00D37A35"/>
    <w:rsid w:val="00D37D90"/>
    <w:rsid w:val="00D37DFD"/>
    <w:rsid w:val="00D37FF0"/>
    <w:rsid w:val="00D402A9"/>
    <w:rsid w:val="00D4034D"/>
    <w:rsid w:val="00D40E3C"/>
    <w:rsid w:val="00D410F3"/>
    <w:rsid w:val="00D4180C"/>
    <w:rsid w:val="00D41A64"/>
    <w:rsid w:val="00D42296"/>
    <w:rsid w:val="00D42D78"/>
    <w:rsid w:val="00D43892"/>
    <w:rsid w:val="00D43CBD"/>
    <w:rsid w:val="00D442BC"/>
    <w:rsid w:val="00D44587"/>
    <w:rsid w:val="00D448DB"/>
    <w:rsid w:val="00D44B4F"/>
    <w:rsid w:val="00D44C15"/>
    <w:rsid w:val="00D45577"/>
    <w:rsid w:val="00D45A74"/>
    <w:rsid w:val="00D45ED5"/>
    <w:rsid w:val="00D45FFE"/>
    <w:rsid w:val="00D463E5"/>
    <w:rsid w:val="00D46B38"/>
    <w:rsid w:val="00D46D3F"/>
    <w:rsid w:val="00D477C0"/>
    <w:rsid w:val="00D47823"/>
    <w:rsid w:val="00D4CA9B"/>
    <w:rsid w:val="00D50078"/>
    <w:rsid w:val="00D50DA0"/>
    <w:rsid w:val="00D51288"/>
    <w:rsid w:val="00D51520"/>
    <w:rsid w:val="00D519B8"/>
    <w:rsid w:val="00D51CB1"/>
    <w:rsid w:val="00D52764"/>
    <w:rsid w:val="00D52781"/>
    <w:rsid w:val="00D52A14"/>
    <w:rsid w:val="00D52C45"/>
    <w:rsid w:val="00D52C6C"/>
    <w:rsid w:val="00D52CB1"/>
    <w:rsid w:val="00D52F77"/>
    <w:rsid w:val="00D53420"/>
    <w:rsid w:val="00D5394C"/>
    <w:rsid w:val="00D53A0B"/>
    <w:rsid w:val="00D53CD0"/>
    <w:rsid w:val="00D53D10"/>
    <w:rsid w:val="00D53D75"/>
    <w:rsid w:val="00D54687"/>
    <w:rsid w:val="00D54BBE"/>
    <w:rsid w:val="00D54F6A"/>
    <w:rsid w:val="00D555A5"/>
    <w:rsid w:val="00D5574F"/>
    <w:rsid w:val="00D557F5"/>
    <w:rsid w:val="00D55D35"/>
    <w:rsid w:val="00D56245"/>
    <w:rsid w:val="00D56415"/>
    <w:rsid w:val="00D5665C"/>
    <w:rsid w:val="00D566EA"/>
    <w:rsid w:val="00D56BFF"/>
    <w:rsid w:val="00D56D43"/>
    <w:rsid w:val="00D57052"/>
    <w:rsid w:val="00D570A8"/>
    <w:rsid w:val="00D5715F"/>
    <w:rsid w:val="00D57163"/>
    <w:rsid w:val="00D5755A"/>
    <w:rsid w:val="00D57CA7"/>
    <w:rsid w:val="00D60498"/>
    <w:rsid w:val="00D6079E"/>
    <w:rsid w:val="00D60E1C"/>
    <w:rsid w:val="00D610A9"/>
    <w:rsid w:val="00D61182"/>
    <w:rsid w:val="00D615E4"/>
    <w:rsid w:val="00D61697"/>
    <w:rsid w:val="00D61BAE"/>
    <w:rsid w:val="00D61D83"/>
    <w:rsid w:val="00D622A1"/>
    <w:rsid w:val="00D622CB"/>
    <w:rsid w:val="00D62741"/>
    <w:rsid w:val="00D62AE2"/>
    <w:rsid w:val="00D63220"/>
    <w:rsid w:val="00D6395B"/>
    <w:rsid w:val="00D640F4"/>
    <w:rsid w:val="00D647AB"/>
    <w:rsid w:val="00D6507C"/>
    <w:rsid w:val="00D6517F"/>
    <w:rsid w:val="00D65AA4"/>
    <w:rsid w:val="00D65C5B"/>
    <w:rsid w:val="00D65CB8"/>
    <w:rsid w:val="00D65E09"/>
    <w:rsid w:val="00D662C1"/>
    <w:rsid w:val="00D6670E"/>
    <w:rsid w:val="00D667A3"/>
    <w:rsid w:val="00D66DBA"/>
    <w:rsid w:val="00D66E7B"/>
    <w:rsid w:val="00D67C31"/>
    <w:rsid w:val="00D67E40"/>
    <w:rsid w:val="00D67F98"/>
    <w:rsid w:val="00D70F8D"/>
    <w:rsid w:val="00D70FE4"/>
    <w:rsid w:val="00D71D3D"/>
    <w:rsid w:val="00D72204"/>
    <w:rsid w:val="00D72440"/>
    <w:rsid w:val="00D72601"/>
    <w:rsid w:val="00D727D6"/>
    <w:rsid w:val="00D72B0A"/>
    <w:rsid w:val="00D72B2B"/>
    <w:rsid w:val="00D72E36"/>
    <w:rsid w:val="00D72F34"/>
    <w:rsid w:val="00D7344C"/>
    <w:rsid w:val="00D73FFB"/>
    <w:rsid w:val="00D741B5"/>
    <w:rsid w:val="00D74A31"/>
    <w:rsid w:val="00D74F6C"/>
    <w:rsid w:val="00D74FC3"/>
    <w:rsid w:val="00D754D6"/>
    <w:rsid w:val="00D755CA"/>
    <w:rsid w:val="00D75775"/>
    <w:rsid w:val="00D75E50"/>
    <w:rsid w:val="00D76735"/>
    <w:rsid w:val="00D76888"/>
    <w:rsid w:val="00D76B63"/>
    <w:rsid w:val="00D76E0B"/>
    <w:rsid w:val="00D76EA2"/>
    <w:rsid w:val="00D7736A"/>
    <w:rsid w:val="00D77632"/>
    <w:rsid w:val="00D77A38"/>
    <w:rsid w:val="00D80041"/>
    <w:rsid w:val="00D803EA"/>
    <w:rsid w:val="00D804A3"/>
    <w:rsid w:val="00D80949"/>
    <w:rsid w:val="00D80D5E"/>
    <w:rsid w:val="00D80EAC"/>
    <w:rsid w:val="00D80EAD"/>
    <w:rsid w:val="00D813BF"/>
    <w:rsid w:val="00D818CE"/>
    <w:rsid w:val="00D81B47"/>
    <w:rsid w:val="00D81E46"/>
    <w:rsid w:val="00D81F29"/>
    <w:rsid w:val="00D82390"/>
    <w:rsid w:val="00D82625"/>
    <w:rsid w:val="00D8262C"/>
    <w:rsid w:val="00D8292C"/>
    <w:rsid w:val="00D82A6A"/>
    <w:rsid w:val="00D8334C"/>
    <w:rsid w:val="00D8352F"/>
    <w:rsid w:val="00D838B1"/>
    <w:rsid w:val="00D83A48"/>
    <w:rsid w:val="00D8401D"/>
    <w:rsid w:val="00D84C63"/>
    <w:rsid w:val="00D84D51"/>
    <w:rsid w:val="00D85920"/>
    <w:rsid w:val="00D85B2C"/>
    <w:rsid w:val="00D85F64"/>
    <w:rsid w:val="00D861A3"/>
    <w:rsid w:val="00D861B8"/>
    <w:rsid w:val="00D86252"/>
    <w:rsid w:val="00D86447"/>
    <w:rsid w:val="00D86503"/>
    <w:rsid w:val="00D86645"/>
    <w:rsid w:val="00D86EB2"/>
    <w:rsid w:val="00D86FDB"/>
    <w:rsid w:val="00D8700C"/>
    <w:rsid w:val="00D87AFA"/>
    <w:rsid w:val="00D87B7A"/>
    <w:rsid w:val="00D87C61"/>
    <w:rsid w:val="00D87F6E"/>
    <w:rsid w:val="00D904EE"/>
    <w:rsid w:val="00D91335"/>
    <w:rsid w:val="00D91838"/>
    <w:rsid w:val="00D91A93"/>
    <w:rsid w:val="00D91C6B"/>
    <w:rsid w:val="00D929D5"/>
    <w:rsid w:val="00D9345B"/>
    <w:rsid w:val="00D93577"/>
    <w:rsid w:val="00D93588"/>
    <w:rsid w:val="00D939FB"/>
    <w:rsid w:val="00D93D09"/>
    <w:rsid w:val="00D93F19"/>
    <w:rsid w:val="00D9444F"/>
    <w:rsid w:val="00D9508A"/>
    <w:rsid w:val="00D95486"/>
    <w:rsid w:val="00D95648"/>
    <w:rsid w:val="00D9584D"/>
    <w:rsid w:val="00D9585A"/>
    <w:rsid w:val="00D95A8C"/>
    <w:rsid w:val="00D95D6D"/>
    <w:rsid w:val="00D95E68"/>
    <w:rsid w:val="00D966B2"/>
    <w:rsid w:val="00D96BB4"/>
    <w:rsid w:val="00D9735A"/>
    <w:rsid w:val="00D974DD"/>
    <w:rsid w:val="00D97815"/>
    <w:rsid w:val="00D9787C"/>
    <w:rsid w:val="00D97930"/>
    <w:rsid w:val="00DA00E7"/>
    <w:rsid w:val="00DA0232"/>
    <w:rsid w:val="00DA0593"/>
    <w:rsid w:val="00DA09C7"/>
    <w:rsid w:val="00DA0B1E"/>
    <w:rsid w:val="00DA0CD0"/>
    <w:rsid w:val="00DA0E26"/>
    <w:rsid w:val="00DA1489"/>
    <w:rsid w:val="00DA1751"/>
    <w:rsid w:val="00DA1864"/>
    <w:rsid w:val="00DA1AE1"/>
    <w:rsid w:val="00DA2172"/>
    <w:rsid w:val="00DA3093"/>
    <w:rsid w:val="00DA33D6"/>
    <w:rsid w:val="00DA3EFE"/>
    <w:rsid w:val="00DA4CCB"/>
    <w:rsid w:val="00DA4FD9"/>
    <w:rsid w:val="00DA506B"/>
    <w:rsid w:val="00DA5648"/>
    <w:rsid w:val="00DA5817"/>
    <w:rsid w:val="00DA6234"/>
    <w:rsid w:val="00DA6BA6"/>
    <w:rsid w:val="00DA6BDF"/>
    <w:rsid w:val="00DA7306"/>
    <w:rsid w:val="00DA76E1"/>
    <w:rsid w:val="00DA7C66"/>
    <w:rsid w:val="00DA7C70"/>
    <w:rsid w:val="00DA7F00"/>
    <w:rsid w:val="00DB0505"/>
    <w:rsid w:val="00DB0AB2"/>
    <w:rsid w:val="00DB1089"/>
    <w:rsid w:val="00DB11BC"/>
    <w:rsid w:val="00DB141C"/>
    <w:rsid w:val="00DB14FF"/>
    <w:rsid w:val="00DB19A0"/>
    <w:rsid w:val="00DB24AA"/>
    <w:rsid w:val="00DB29AD"/>
    <w:rsid w:val="00DB2CDF"/>
    <w:rsid w:val="00DB2DF6"/>
    <w:rsid w:val="00DB3005"/>
    <w:rsid w:val="00DB33FF"/>
    <w:rsid w:val="00DB354B"/>
    <w:rsid w:val="00DB3BDE"/>
    <w:rsid w:val="00DB4164"/>
    <w:rsid w:val="00DB45F4"/>
    <w:rsid w:val="00DB4653"/>
    <w:rsid w:val="00DB46CD"/>
    <w:rsid w:val="00DB593D"/>
    <w:rsid w:val="00DB5C1B"/>
    <w:rsid w:val="00DB6434"/>
    <w:rsid w:val="00DB64B4"/>
    <w:rsid w:val="00DB66E8"/>
    <w:rsid w:val="00DB6999"/>
    <w:rsid w:val="00DB6C22"/>
    <w:rsid w:val="00DB6EEF"/>
    <w:rsid w:val="00DB721D"/>
    <w:rsid w:val="00DB7931"/>
    <w:rsid w:val="00DB7CE8"/>
    <w:rsid w:val="00DC087F"/>
    <w:rsid w:val="00DC0CC4"/>
    <w:rsid w:val="00DC0DCA"/>
    <w:rsid w:val="00DC1218"/>
    <w:rsid w:val="00DC16E6"/>
    <w:rsid w:val="00DC181F"/>
    <w:rsid w:val="00DC1AE6"/>
    <w:rsid w:val="00DC1E72"/>
    <w:rsid w:val="00DC28FE"/>
    <w:rsid w:val="00DC38EA"/>
    <w:rsid w:val="00DC3A52"/>
    <w:rsid w:val="00DC3E9C"/>
    <w:rsid w:val="00DC406F"/>
    <w:rsid w:val="00DC44E2"/>
    <w:rsid w:val="00DC4C54"/>
    <w:rsid w:val="00DC5108"/>
    <w:rsid w:val="00DC5775"/>
    <w:rsid w:val="00DC58A6"/>
    <w:rsid w:val="00DC598E"/>
    <w:rsid w:val="00DC5D59"/>
    <w:rsid w:val="00DC5F55"/>
    <w:rsid w:val="00DC61A2"/>
    <w:rsid w:val="00DC62E1"/>
    <w:rsid w:val="00DC66DA"/>
    <w:rsid w:val="00DC741A"/>
    <w:rsid w:val="00DC74C9"/>
    <w:rsid w:val="00DC7687"/>
    <w:rsid w:val="00DC7B80"/>
    <w:rsid w:val="00DC7CA3"/>
    <w:rsid w:val="00DC7CBE"/>
    <w:rsid w:val="00DC7ED1"/>
    <w:rsid w:val="00DD0322"/>
    <w:rsid w:val="00DD05C2"/>
    <w:rsid w:val="00DD089A"/>
    <w:rsid w:val="00DD0B28"/>
    <w:rsid w:val="00DD0C38"/>
    <w:rsid w:val="00DD0C6C"/>
    <w:rsid w:val="00DD1374"/>
    <w:rsid w:val="00DD2019"/>
    <w:rsid w:val="00DD2181"/>
    <w:rsid w:val="00DD22FB"/>
    <w:rsid w:val="00DD2FD1"/>
    <w:rsid w:val="00DD30C2"/>
    <w:rsid w:val="00DD3130"/>
    <w:rsid w:val="00DD38E5"/>
    <w:rsid w:val="00DD3AB9"/>
    <w:rsid w:val="00DD3C92"/>
    <w:rsid w:val="00DD412D"/>
    <w:rsid w:val="00DD4283"/>
    <w:rsid w:val="00DD430B"/>
    <w:rsid w:val="00DD4DF3"/>
    <w:rsid w:val="00DD5A36"/>
    <w:rsid w:val="00DD5A61"/>
    <w:rsid w:val="00DD5AF5"/>
    <w:rsid w:val="00DD5B30"/>
    <w:rsid w:val="00DD6239"/>
    <w:rsid w:val="00DD62F5"/>
    <w:rsid w:val="00DD636E"/>
    <w:rsid w:val="00DD6B58"/>
    <w:rsid w:val="00DD6CF8"/>
    <w:rsid w:val="00DD6DA7"/>
    <w:rsid w:val="00DD6DE1"/>
    <w:rsid w:val="00DD72D9"/>
    <w:rsid w:val="00DD76ED"/>
    <w:rsid w:val="00DD76FA"/>
    <w:rsid w:val="00DD7ECE"/>
    <w:rsid w:val="00DD7F63"/>
    <w:rsid w:val="00DE023F"/>
    <w:rsid w:val="00DE04C7"/>
    <w:rsid w:val="00DE0681"/>
    <w:rsid w:val="00DE0878"/>
    <w:rsid w:val="00DE0CFA"/>
    <w:rsid w:val="00DE0DC2"/>
    <w:rsid w:val="00DE12DF"/>
    <w:rsid w:val="00DE186D"/>
    <w:rsid w:val="00DE1E31"/>
    <w:rsid w:val="00DE1F1F"/>
    <w:rsid w:val="00DE2135"/>
    <w:rsid w:val="00DE2B1F"/>
    <w:rsid w:val="00DE2CE9"/>
    <w:rsid w:val="00DE2D2E"/>
    <w:rsid w:val="00DE31C5"/>
    <w:rsid w:val="00DE33FA"/>
    <w:rsid w:val="00DE34E4"/>
    <w:rsid w:val="00DE39DD"/>
    <w:rsid w:val="00DE3C6A"/>
    <w:rsid w:val="00DE3E72"/>
    <w:rsid w:val="00DE3FC8"/>
    <w:rsid w:val="00DE417C"/>
    <w:rsid w:val="00DE4779"/>
    <w:rsid w:val="00DE481F"/>
    <w:rsid w:val="00DE4B43"/>
    <w:rsid w:val="00DE55D4"/>
    <w:rsid w:val="00DE56F4"/>
    <w:rsid w:val="00DE5E14"/>
    <w:rsid w:val="00DE5EE8"/>
    <w:rsid w:val="00DE60E8"/>
    <w:rsid w:val="00DE6250"/>
    <w:rsid w:val="00DE632A"/>
    <w:rsid w:val="00DE6335"/>
    <w:rsid w:val="00DE6857"/>
    <w:rsid w:val="00DE691E"/>
    <w:rsid w:val="00DE697A"/>
    <w:rsid w:val="00DE6A84"/>
    <w:rsid w:val="00DE7B72"/>
    <w:rsid w:val="00DE7D25"/>
    <w:rsid w:val="00DE7E1C"/>
    <w:rsid w:val="00DE7E28"/>
    <w:rsid w:val="00DE7E66"/>
    <w:rsid w:val="00DE7F1D"/>
    <w:rsid w:val="00DF027B"/>
    <w:rsid w:val="00DF0952"/>
    <w:rsid w:val="00DF0958"/>
    <w:rsid w:val="00DF09BB"/>
    <w:rsid w:val="00DF0C3B"/>
    <w:rsid w:val="00DF0E7B"/>
    <w:rsid w:val="00DF15F8"/>
    <w:rsid w:val="00DF1C48"/>
    <w:rsid w:val="00DF224B"/>
    <w:rsid w:val="00DF23C5"/>
    <w:rsid w:val="00DF27E2"/>
    <w:rsid w:val="00DF2C0D"/>
    <w:rsid w:val="00DF2EAA"/>
    <w:rsid w:val="00DF38AD"/>
    <w:rsid w:val="00DF39EA"/>
    <w:rsid w:val="00DF4086"/>
    <w:rsid w:val="00DF4278"/>
    <w:rsid w:val="00DF4391"/>
    <w:rsid w:val="00DF4799"/>
    <w:rsid w:val="00DF4D46"/>
    <w:rsid w:val="00DF4EC5"/>
    <w:rsid w:val="00DF4F75"/>
    <w:rsid w:val="00DF58C1"/>
    <w:rsid w:val="00DF6090"/>
    <w:rsid w:val="00DF661F"/>
    <w:rsid w:val="00DF68B0"/>
    <w:rsid w:val="00DF68F4"/>
    <w:rsid w:val="00DF6FCA"/>
    <w:rsid w:val="00DF713E"/>
    <w:rsid w:val="00DF76BE"/>
    <w:rsid w:val="00DF78AF"/>
    <w:rsid w:val="00DF7B42"/>
    <w:rsid w:val="00DF7C2F"/>
    <w:rsid w:val="00DF7CC7"/>
    <w:rsid w:val="00DF7D4C"/>
    <w:rsid w:val="00E00067"/>
    <w:rsid w:val="00E0026F"/>
    <w:rsid w:val="00E002FD"/>
    <w:rsid w:val="00E00775"/>
    <w:rsid w:val="00E00C78"/>
    <w:rsid w:val="00E01081"/>
    <w:rsid w:val="00E01292"/>
    <w:rsid w:val="00E01741"/>
    <w:rsid w:val="00E01BFF"/>
    <w:rsid w:val="00E02144"/>
    <w:rsid w:val="00E02995"/>
    <w:rsid w:val="00E029A8"/>
    <w:rsid w:val="00E02CDB"/>
    <w:rsid w:val="00E02E6C"/>
    <w:rsid w:val="00E031F5"/>
    <w:rsid w:val="00E032F5"/>
    <w:rsid w:val="00E03307"/>
    <w:rsid w:val="00E0391F"/>
    <w:rsid w:val="00E03C49"/>
    <w:rsid w:val="00E03DA1"/>
    <w:rsid w:val="00E03FB4"/>
    <w:rsid w:val="00E04C23"/>
    <w:rsid w:val="00E05946"/>
    <w:rsid w:val="00E05B6D"/>
    <w:rsid w:val="00E05CB2"/>
    <w:rsid w:val="00E06118"/>
    <w:rsid w:val="00E0631E"/>
    <w:rsid w:val="00E065D3"/>
    <w:rsid w:val="00E0712C"/>
    <w:rsid w:val="00E07686"/>
    <w:rsid w:val="00E076DD"/>
    <w:rsid w:val="00E07749"/>
    <w:rsid w:val="00E0795D"/>
    <w:rsid w:val="00E079CE"/>
    <w:rsid w:val="00E07D5A"/>
    <w:rsid w:val="00E102AC"/>
    <w:rsid w:val="00E10780"/>
    <w:rsid w:val="00E10818"/>
    <w:rsid w:val="00E10AD6"/>
    <w:rsid w:val="00E10D55"/>
    <w:rsid w:val="00E1152F"/>
    <w:rsid w:val="00E11671"/>
    <w:rsid w:val="00E11AF0"/>
    <w:rsid w:val="00E11BBE"/>
    <w:rsid w:val="00E11D75"/>
    <w:rsid w:val="00E121D7"/>
    <w:rsid w:val="00E12B83"/>
    <w:rsid w:val="00E12B92"/>
    <w:rsid w:val="00E12D57"/>
    <w:rsid w:val="00E13694"/>
    <w:rsid w:val="00E1369D"/>
    <w:rsid w:val="00E136A7"/>
    <w:rsid w:val="00E146CC"/>
    <w:rsid w:val="00E14891"/>
    <w:rsid w:val="00E14E22"/>
    <w:rsid w:val="00E151E4"/>
    <w:rsid w:val="00E15340"/>
    <w:rsid w:val="00E154CB"/>
    <w:rsid w:val="00E15636"/>
    <w:rsid w:val="00E15684"/>
    <w:rsid w:val="00E1568B"/>
    <w:rsid w:val="00E15DD7"/>
    <w:rsid w:val="00E162D3"/>
    <w:rsid w:val="00E16606"/>
    <w:rsid w:val="00E17303"/>
    <w:rsid w:val="00E17AE5"/>
    <w:rsid w:val="00E17BEC"/>
    <w:rsid w:val="00E17D1D"/>
    <w:rsid w:val="00E206D2"/>
    <w:rsid w:val="00E20965"/>
    <w:rsid w:val="00E20B8D"/>
    <w:rsid w:val="00E20C19"/>
    <w:rsid w:val="00E20FE2"/>
    <w:rsid w:val="00E21028"/>
    <w:rsid w:val="00E21051"/>
    <w:rsid w:val="00E21AD1"/>
    <w:rsid w:val="00E21D9E"/>
    <w:rsid w:val="00E2261B"/>
    <w:rsid w:val="00E22A5A"/>
    <w:rsid w:val="00E22BE5"/>
    <w:rsid w:val="00E22E2B"/>
    <w:rsid w:val="00E22F4B"/>
    <w:rsid w:val="00E24520"/>
    <w:rsid w:val="00E24E25"/>
    <w:rsid w:val="00E2519D"/>
    <w:rsid w:val="00E251D7"/>
    <w:rsid w:val="00E25274"/>
    <w:rsid w:val="00E25483"/>
    <w:rsid w:val="00E257BD"/>
    <w:rsid w:val="00E25EB4"/>
    <w:rsid w:val="00E2602F"/>
    <w:rsid w:val="00E2614E"/>
    <w:rsid w:val="00E2620A"/>
    <w:rsid w:val="00E26238"/>
    <w:rsid w:val="00E26313"/>
    <w:rsid w:val="00E26348"/>
    <w:rsid w:val="00E26359"/>
    <w:rsid w:val="00E269EE"/>
    <w:rsid w:val="00E26B96"/>
    <w:rsid w:val="00E2740A"/>
    <w:rsid w:val="00E27430"/>
    <w:rsid w:val="00E27B78"/>
    <w:rsid w:val="00E27CBE"/>
    <w:rsid w:val="00E27DC9"/>
    <w:rsid w:val="00E27E32"/>
    <w:rsid w:val="00E27FB6"/>
    <w:rsid w:val="00E308EC"/>
    <w:rsid w:val="00E30DEC"/>
    <w:rsid w:val="00E30F31"/>
    <w:rsid w:val="00E3156B"/>
    <w:rsid w:val="00E32323"/>
    <w:rsid w:val="00E329B7"/>
    <w:rsid w:val="00E3307D"/>
    <w:rsid w:val="00E332F4"/>
    <w:rsid w:val="00E333E1"/>
    <w:rsid w:val="00E3521B"/>
    <w:rsid w:val="00E35275"/>
    <w:rsid w:val="00E35B39"/>
    <w:rsid w:val="00E35F2C"/>
    <w:rsid w:val="00E3638F"/>
    <w:rsid w:val="00E365F5"/>
    <w:rsid w:val="00E369F9"/>
    <w:rsid w:val="00E36CCA"/>
    <w:rsid w:val="00E372A6"/>
    <w:rsid w:val="00E37378"/>
    <w:rsid w:val="00E376A4"/>
    <w:rsid w:val="00E37B36"/>
    <w:rsid w:val="00E37B80"/>
    <w:rsid w:val="00E37F5F"/>
    <w:rsid w:val="00E40F96"/>
    <w:rsid w:val="00E4108B"/>
    <w:rsid w:val="00E414AB"/>
    <w:rsid w:val="00E418A7"/>
    <w:rsid w:val="00E41965"/>
    <w:rsid w:val="00E4198E"/>
    <w:rsid w:val="00E4198F"/>
    <w:rsid w:val="00E41ADC"/>
    <w:rsid w:val="00E41C1E"/>
    <w:rsid w:val="00E422F7"/>
    <w:rsid w:val="00E42B11"/>
    <w:rsid w:val="00E42B60"/>
    <w:rsid w:val="00E42FF4"/>
    <w:rsid w:val="00E436A1"/>
    <w:rsid w:val="00E43D49"/>
    <w:rsid w:val="00E43DDD"/>
    <w:rsid w:val="00E441D1"/>
    <w:rsid w:val="00E44439"/>
    <w:rsid w:val="00E445AD"/>
    <w:rsid w:val="00E445C5"/>
    <w:rsid w:val="00E4474F"/>
    <w:rsid w:val="00E448A8"/>
    <w:rsid w:val="00E44A3C"/>
    <w:rsid w:val="00E44AF6"/>
    <w:rsid w:val="00E44C7F"/>
    <w:rsid w:val="00E44C9E"/>
    <w:rsid w:val="00E450D4"/>
    <w:rsid w:val="00E455EF"/>
    <w:rsid w:val="00E45D43"/>
    <w:rsid w:val="00E46228"/>
    <w:rsid w:val="00E4625D"/>
    <w:rsid w:val="00E463BB"/>
    <w:rsid w:val="00E46AB1"/>
    <w:rsid w:val="00E47627"/>
    <w:rsid w:val="00E47878"/>
    <w:rsid w:val="00E47914"/>
    <w:rsid w:val="00E47AF1"/>
    <w:rsid w:val="00E47C99"/>
    <w:rsid w:val="00E47E22"/>
    <w:rsid w:val="00E47EA5"/>
    <w:rsid w:val="00E5072C"/>
    <w:rsid w:val="00E5084B"/>
    <w:rsid w:val="00E50B1E"/>
    <w:rsid w:val="00E50C31"/>
    <w:rsid w:val="00E512ED"/>
    <w:rsid w:val="00E5175E"/>
    <w:rsid w:val="00E51DAA"/>
    <w:rsid w:val="00E51E96"/>
    <w:rsid w:val="00E5318D"/>
    <w:rsid w:val="00E536A9"/>
    <w:rsid w:val="00E53D4A"/>
    <w:rsid w:val="00E53E13"/>
    <w:rsid w:val="00E54536"/>
    <w:rsid w:val="00E548B5"/>
    <w:rsid w:val="00E54EF5"/>
    <w:rsid w:val="00E550EA"/>
    <w:rsid w:val="00E55486"/>
    <w:rsid w:val="00E55A6D"/>
    <w:rsid w:val="00E5617C"/>
    <w:rsid w:val="00E56775"/>
    <w:rsid w:val="00E56805"/>
    <w:rsid w:val="00E56A97"/>
    <w:rsid w:val="00E56F04"/>
    <w:rsid w:val="00E5738F"/>
    <w:rsid w:val="00E578CE"/>
    <w:rsid w:val="00E57CAC"/>
    <w:rsid w:val="00E60437"/>
    <w:rsid w:val="00E604CC"/>
    <w:rsid w:val="00E6061B"/>
    <w:rsid w:val="00E60636"/>
    <w:rsid w:val="00E609DE"/>
    <w:rsid w:val="00E60BCC"/>
    <w:rsid w:val="00E6122E"/>
    <w:rsid w:val="00E61291"/>
    <w:rsid w:val="00E613CD"/>
    <w:rsid w:val="00E6199F"/>
    <w:rsid w:val="00E6212C"/>
    <w:rsid w:val="00E622E8"/>
    <w:rsid w:val="00E629AC"/>
    <w:rsid w:val="00E62A26"/>
    <w:rsid w:val="00E6310D"/>
    <w:rsid w:val="00E6329E"/>
    <w:rsid w:val="00E634C1"/>
    <w:rsid w:val="00E63E15"/>
    <w:rsid w:val="00E6403F"/>
    <w:rsid w:val="00E64148"/>
    <w:rsid w:val="00E64184"/>
    <w:rsid w:val="00E645F1"/>
    <w:rsid w:val="00E6484C"/>
    <w:rsid w:val="00E64E9A"/>
    <w:rsid w:val="00E6549B"/>
    <w:rsid w:val="00E657AD"/>
    <w:rsid w:val="00E65CEA"/>
    <w:rsid w:val="00E65F51"/>
    <w:rsid w:val="00E65F55"/>
    <w:rsid w:val="00E660D9"/>
    <w:rsid w:val="00E66797"/>
    <w:rsid w:val="00E66892"/>
    <w:rsid w:val="00E66C6F"/>
    <w:rsid w:val="00E66D59"/>
    <w:rsid w:val="00E66ED6"/>
    <w:rsid w:val="00E66EEB"/>
    <w:rsid w:val="00E676E1"/>
    <w:rsid w:val="00E67A23"/>
    <w:rsid w:val="00E712B9"/>
    <w:rsid w:val="00E715A7"/>
    <w:rsid w:val="00E718A2"/>
    <w:rsid w:val="00E71EBB"/>
    <w:rsid w:val="00E720AA"/>
    <w:rsid w:val="00E727BC"/>
    <w:rsid w:val="00E72D83"/>
    <w:rsid w:val="00E738B2"/>
    <w:rsid w:val="00E738D7"/>
    <w:rsid w:val="00E73E6E"/>
    <w:rsid w:val="00E741F7"/>
    <w:rsid w:val="00E742A9"/>
    <w:rsid w:val="00E749E9"/>
    <w:rsid w:val="00E74B81"/>
    <w:rsid w:val="00E75071"/>
    <w:rsid w:val="00E754EC"/>
    <w:rsid w:val="00E7554A"/>
    <w:rsid w:val="00E755D6"/>
    <w:rsid w:val="00E75B91"/>
    <w:rsid w:val="00E75CF8"/>
    <w:rsid w:val="00E75ED5"/>
    <w:rsid w:val="00E76900"/>
    <w:rsid w:val="00E7695B"/>
    <w:rsid w:val="00E76B2C"/>
    <w:rsid w:val="00E76D1A"/>
    <w:rsid w:val="00E77332"/>
    <w:rsid w:val="00E77403"/>
    <w:rsid w:val="00E77498"/>
    <w:rsid w:val="00E774A0"/>
    <w:rsid w:val="00E774E9"/>
    <w:rsid w:val="00E775AC"/>
    <w:rsid w:val="00E77AA5"/>
    <w:rsid w:val="00E80280"/>
    <w:rsid w:val="00E802BA"/>
    <w:rsid w:val="00E80838"/>
    <w:rsid w:val="00E80D63"/>
    <w:rsid w:val="00E80EBB"/>
    <w:rsid w:val="00E811FC"/>
    <w:rsid w:val="00E81256"/>
    <w:rsid w:val="00E81370"/>
    <w:rsid w:val="00E81772"/>
    <w:rsid w:val="00E81DAA"/>
    <w:rsid w:val="00E82BA8"/>
    <w:rsid w:val="00E82EAA"/>
    <w:rsid w:val="00E82F4F"/>
    <w:rsid w:val="00E84464"/>
    <w:rsid w:val="00E84BD7"/>
    <w:rsid w:val="00E84FAC"/>
    <w:rsid w:val="00E8560A"/>
    <w:rsid w:val="00E857AE"/>
    <w:rsid w:val="00E85CC2"/>
    <w:rsid w:val="00E86349"/>
    <w:rsid w:val="00E86634"/>
    <w:rsid w:val="00E86635"/>
    <w:rsid w:val="00E86885"/>
    <w:rsid w:val="00E869B3"/>
    <w:rsid w:val="00E86BAF"/>
    <w:rsid w:val="00E86BEB"/>
    <w:rsid w:val="00E86C02"/>
    <w:rsid w:val="00E86CE1"/>
    <w:rsid w:val="00E872F0"/>
    <w:rsid w:val="00E87658"/>
    <w:rsid w:val="00E8796E"/>
    <w:rsid w:val="00E87CC8"/>
    <w:rsid w:val="00E87D18"/>
    <w:rsid w:val="00E901E1"/>
    <w:rsid w:val="00E908B3"/>
    <w:rsid w:val="00E90B81"/>
    <w:rsid w:val="00E91CF3"/>
    <w:rsid w:val="00E920AC"/>
    <w:rsid w:val="00E92B01"/>
    <w:rsid w:val="00E92CC5"/>
    <w:rsid w:val="00E92D7B"/>
    <w:rsid w:val="00E92E18"/>
    <w:rsid w:val="00E92E83"/>
    <w:rsid w:val="00E93206"/>
    <w:rsid w:val="00E93F50"/>
    <w:rsid w:val="00E941BA"/>
    <w:rsid w:val="00E94462"/>
    <w:rsid w:val="00E951A3"/>
    <w:rsid w:val="00E953AB"/>
    <w:rsid w:val="00E95ED8"/>
    <w:rsid w:val="00E9621A"/>
    <w:rsid w:val="00E9644E"/>
    <w:rsid w:val="00E965C6"/>
    <w:rsid w:val="00E96A62"/>
    <w:rsid w:val="00E9739B"/>
    <w:rsid w:val="00E97EDF"/>
    <w:rsid w:val="00EA01C1"/>
    <w:rsid w:val="00EA0224"/>
    <w:rsid w:val="00EA0B17"/>
    <w:rsid w:val="00EA0D0D"/>
    <w:rsid w:val="00EA1541"/>
    <w:rsid w:val="00EA18C7"/>
    <w:rsid w:val="00EA1D22"/>
    <w:rsid w:val="00EA2BBA"/>
    <w:rsid w:val="00EA2CC3"/>
    <w:rsid w:val="00EA31A8"/>
    <w:rsid w:val="00EA3763"/>
    <w:rsid w:val="00EA3812"/>
    <w:rsid w:val="00EA3F00"/>
    <w:rsid w:val="00EA42EF"/>
    <w:rsid w:val="00EA43C9"/>
    <w:rsid w:val="00EA49A8"/>
    <w:rsid w:val="00EA4CEB"/>
    <w:rsid w:val="00EA4E2D"/>
    <w:rsid w:val="00EA5006"/>
    <w:rsid w:val="00EA545F"/>
    <w:rsid w:val="00EA5AA2"/>
    <w:rsid w:val="00EA60F5"/>
    <w:rsid w:val="00EA6C3D"/>
    <w:rsid w:val="00EA6D00"/>
    <w:rsid w:val="00EA769F"/>
    <w:rsid w:val="00EA7C4B"/>
    <w:rsid w:val="00EA7F7D"/>
    <w:rsid w:val="00EB02AF"/>
    <w:rsid w:val="00EB051B"/>
    <w:rsid w:val="00EB052E"/>
    <w:rsid w:val="00EB0DE7"/>
    <w:rsid w:val="00EB0E9A"/>
    <w:rsid w:val="00EB104B"/>
    <w:rsid w:val="00EB108F"/>
    <w:rsid w:val="00EB19FA"/>
    <w:rsid w:val="00EB1A59"/>
    <w:rsid w:val="00EB1AF8"/>
    <w:rsid w:val="00EB1D4E"/>
    <w:rsid w:val="00EB1D7F"/>
    <w:rsid w:val="00EB1DBE"/>
    <w:rsid w:val="00EB216C"/>
    <w:rsid w:val="00EB22A9"/>
    <w:rsid w:val="00EB28D3"/>
    <w:rsid w:val="00EB2EC1"/>
    <w:rsid w:val="00EB3427"/>
    <w:rsid w:val="00EB34CB"/>
    <w:rsid w:val="00EB3DF9"/>
    <w:rsid w:val="00EB3E84"/>
    <w:rsid w:val="00EB436B"/>
    <w:rsid w:val="00EB469A"/>
    <w:rsid w:val="00EB4ACC"/>
    <w:rsid w:val="00EB4E0A"/>
    <w:rsid w:val="00EB5579"/>
    <w:rsid w:val="00EB60A1"/>
    <w:rsid w:val="00EB6268"/>
    <w:rsid w:val="00EB672F"/>
    <w:rsid w:val="00EB6EE0"/>
    <w:rsid w:val="00EB7035"/>
    <w:rsid w:val="00EB7180"/>
    <w:rsid w:val="00EB7494"/>
    <w:rsid w:val="00EC03DE"/>
    <w:rsid w:val="00EC0440"/>
    <w:rsid w:val="00EC07A7"/>
    <w:rsid w:val="00EC1264"/>
    <w:rsid w:val="00EC230F"/>
    <w:rsid w:val="00EC241D"/>
    <w:rsid w:val="00EC2A91"/>
    <w:rsid w:val="00EC2AAA"/>
    <w:rsid w:val="00EC2BA3"/>
    <w:rsid w:val="00EC2C5A"/>
    <w:rsid w:val="00EC2CDB"/>
    <w:rsid w:val="00EC2EA9"/>
    <w:rsid w:val="00EC390E"/>
    <w:rsid w:val="00EC3CC8"/>
    <w:rsid w:val="00EC3D89"/>
    <w:rsid w:val="00EC3DDF"/>
    <w:rsid w:val="00EC3F3E"/>
    <w:rsid w:val="00EC4450"/>
    <w:rsid w:val="00EC4659"/>
    <w:rsid w:val="00EC4860"/>
    <w:rsid w:val="00EC5198"/>
    <w:rsid w:val="00EC5A27"/>
    <w:rsid w:val="00EC5ADE"/>
    <w:rsid w:val="00EC6125"/>
    <w:rsid w:val="00EC6257"/>
    <w:rsid w:val="00EC661C"/>
    <w:rsid w:val="00EC6630"/>
    <w:rsid w:val="00EC675A"/>
    <w:rsid w:val="00EC6A99"/>
    <w:rsid w:val="00EC6E13"/>
    <w:rsid w:val="00EC7039"/>
    <w:rsid w:val="00EC754C"/>
    <w:rsid w:val="00EC7718"/>
    <w:rsid w:val="00EC78AF"/>
    <w:rsid w:val="00EC7BA9"/>
    <w:rsid w:val="00ED0541"/>
    <w:rsid w:val="00ED06DD"/>
    <w:rsid w:val="00ED1233"/>
    <w:rsid w:val="00ED1DD9"/>
    <w:rsid w:val="00ED1E7C"/>
    <w:rsid w:val="00ED20EE"/>
    <w:rsid w:val="00ED22B0"/>
    <w:rsid w:val="00ED2677"/>
    <w:rsid w:val="00ED277D"/>
    <w:rsid w:val="00ED279A"/>
    <w:rsid w:val="00ED2851"/>
    <w:rsid w:val="00ED2E5D"/>
    <w:rsid w:val="00ED3607"/>
    <w:rsid w:val="00ED37F6"/>
    <w:rsid w:val="00ED3834"/>
    <w:rsid w:val="00ED3A99"/>
    <w:rsid w:val="00ED3C4C"/>
    <w:rsid w:val="00ED4438"/>
    <w:rsid w:val="00ED44C5"/>
    <w:rsid w:val="00ED4545"/>
    <w:rsid w:val="00ED4D51"/>
    <w:rsid w:val="00ED50B6"/>
    <w:rsid w:val="00ED52A2"/>
    <w:rsid w:val="00ED5766"/>
    <w:rsid w:val="00ED57F8"/>
    <w:rsid w:val="00ED588D"/>
    <w:rsid w:val="00ED612F"/>
    <w:rsid w:val="00ED6332"/>
    <w:rsid w:val="00ED63C9"/>
    <w:rsid w:val="00ED6455"/>
    <w:rsid w:val="00ED658B"/>
    <w:rsid w:val="00ED6649"/>
    <w:rsid w:val="00ED6824"/>
    <w:rsid w:val="00ED6835"/>
    <w:rsid w:val="00ED6E1C"/>
    <w:rsid w:val="00ED721C"/>
    <w:rsid w:val="00ED72D8"/>
    <w:rsid w:val="00ED79D0"/>
    <w:rsid w:val="00ED93B7"/>
    <w:rsid w:val="00EE02BC"/>
    <w:rsid w:val="00EE0544"/>
    <w:rsid w:val="00EE06B5"/>
    <w:rsid w:val="00EE0B0C"/>
    <w:rsid w:val="00EE0CC5"/>
    <w:rsid w:val="00EE101E"/>
    <w:rsid w:val="00EE14CC"/>
    <w:rsid w:val="00EE1625"/>
    <w:rsid w:val="00EE17B3"/>
    <w:rsid w:val="00EE1DDE"/>
    <w:rsid w:val="00EE1FC9"/>
    <w:rsid w:val="00EE20BF"/>
    <w:rsid w:val="00EE29C2"/>
    <w:rsid w:val="00EE3283"/>
    <w:rsid w:val="00EE37BF"/>
    <w:rsid w:val="00EE42EF"/>
    <w:rsid w:val="00EE4393"/>
    <w:rsid w:val="00EE441A"/>
    <w:rsid w:val="00EE4BF2"/>
    <w:rsid w:val="00EE54AB"/>
    <w:rsid w:val="00EE5FC3"/>
    <w:rsid w:val="00EE6200"/>
    <w:rsid w:val="00EE7143"/>
    <w:rsid w:val="00EE759D"/>
    <w:rsid w:val="00EE75AA"/>
    <w:rsid w:val="00EF0DDD"/>
    <w:rsid w:val="00EF0DF4"/>
    <w:rsid w:val="00EF14D5"/>
    <w:rsid w:val="00EF1571"/>
    <w:rsid w:val="00EF1DA1"/>
    <w:rsid w:val="00EF1E3D"/>
    <w:rsid w:val="00EF1F6E"/>
    <w:rsid w:val="00EF20D6"/>
    <w:rsid w:val="00EF2134"/>
    <w:rsid w:val="00EF229B"/>
    <w:rsid w:val="00EF23B9"/>
    <w:rsid w:val="00EF3A68"/>
    <w:rsid w:val="00EF3B30"/>
    <w:rsid w:val="00EF3C23"/>
    <w:rsid w:val="00EF3CF3"/>
    <w:rsid w:val="00EF3EA4"/>
    <w:rsid w:val="00EF4390"/>
    <w:rsid w:val="00EF44D2"/>
    <w:rsid w:val="00EF4593"/>
    <w:rsid w:val="00EF459B"/>
    <w:rsid w:val="00EF4A0A"/>
    <w:rsid w:val="00EF4BBD"/>
    <w:rsid w:val="00EF4F29"/>
    <w:rsid w:val="00EF5488"/>
    <w:rsid w:val="00EF566F"/>
    <w:rsid w:val="00EF579B"/>
    <w:rsid w:val="00EF57DD"/>
    <w:rsid w:val="00EF5D08"/>
    <w:rsid w:val="00EF5ED3"/>
    <w:rsid w:val="00EF5F9C"/>
    <w:rsid w:val="00EF61A0"/>
    <w:rsid w:val="00EF68FF"/>
    <w:rsid w:val="00EF6960"/>
    <w:rsid w:val="00EF7197"/>
    <w:rsid w:val="00EF7EF7"/>
    <w:rsid w:val="00F00128"/>
    <w:rsid w:val="00F00938"/>
    <w:rsid w:val="00F00A6A"/>
    <w:rsid w:val="00F00C52"/>
    <w:rsid w:val="00F01036"/>
    <w:rsid w:val="00F01110"/>
    <w:rsid w:val="00F0131B"/>
    <w:rsid w:val="00F01D7F"/>
    <w:rsid w:val="00F01FCF"/>
    <w:rsid w:val="00F02308"/>
    <w:rsid w:val="00F028BC"/>
    <w:rsid w:val="00F029CE"/>
    <w:rsid w:val="00F02D7B"/>
    <w:rsid w:val="00F03137"/>
    <w:rsid w:val="00F0323F"/>
    <w:rsid w:val="00F03271"/>
    <w:rsid w:val="00F033B2"/>
    <w:rsid w:val="00F03408"/>
    <w:rsid w:val="00F0340B"/>
    <w:rsid w:val="00F037CB"/>
    <w:rsid w:val="00F03C43"/>
    <w:rsid w:val="00F03D4A"/>
    <w:rsid w:val="00F03EDC"/>
    <w:rsid w:val="00F0416B"/>
    <w:rsid w:val="00F04961"/>
    <w:rsid w:val="00F04A80"/>
    <w:rsid w:val="00F04E87"/>
    <w:rsid w:val="00F05728"/>
    <w:rsid w:val="00F058D9"/>
    <w:rsid w:val="00F05C06"/>
    <w:rsid w:val="00F05E7F"/>
    <w:rsid w:val="00F060D1"/>
    <w:rsid w:val="00F0634F"/>
    <w:rsid w:val="00F069F2"/>
    <w:rsid w:val="00F06ADD"/>
    <w:rsid w:val="00F06C7B"/>
    <w:rsid w:val="00F06D42"/>
    <w:rsid w:val="00F07072"/>
    <w:rsid w:val="00F07258"/>
    <w:rsid w:val="00F076B2"/>
    <w:rsid w:val="00F078B8"/>
    <w:rsid w:val="00F07D7B"/>
    <w:rsid w:val="00F07E6D"/>
    <w:rsid w:val="00F07E94"/>
    <w:rsid w:val="00F10669"/>
    <w:rsid w:val="00F11224"/>
    <w:rsid w:val="00F113E6"/>
    <w:rsid w:val="00F11404"/>
    <w:rsid w:val="00F1164D"/>
    <w:rsid w:val="00F11656"/>
    <w:rsid w:val="00F11DA9"/>
    <w:rsid w:val="00F120AB"/>
    <w:rsid w:val="00F120B8"/>
    <w:rsid w:val="00F12480"/>
    <w:rsid w:val="00F1290A"/>
    <w:rsid w:val="00F1359D"/>
    <w:rsid w:val="00F13870"/>
    <w:rsid w:val="00F13AF5"/>
    <w:rsid w:val="00F13EF7"/>
    <w:rsid w:val="00F140B9"/>
    <w:rsid w:val="00F14713"/>
    <w:rsid w:val="00F147C0"/>
    <w:rsid w:val="00F1483F"/>
    <w:rsid w:val="00F14A84"/>
    <w:rsid w:val="00F14AAD"/>
    <w:rsid w:val="00F14B74"/>
    <w:rsid w:val="00F14C3B"/>
    <w:rsid w:val="00F14CD5"/>
    <w:rsid w:val="00F14D09"/>
    <w:rsid w:val="00F14F75"/>
    <w:rsid w:val="00F15351"/>
    <w:rsid w:val="00F154F3"/>
    <w:rsid w:val="00F155BC"/>
    <w:rsid w:val="00F15792"/>
    <w:rsid w:val="00F1582E"/>
    <w:rsid w:val="00F159B0"/>
    <w:rsid w:val="00F16038"/>
    <w:rsid w:val="00F161A2"/>
    <w:rsid w:val="00F16507"/>
    <w:rsid w:val="00F16723"/>
    <w:rsid w:val="00F16CF9"/>
    <w:rsid w:val="00F16D15"/>
    <w:rsid w:val="00F16D54"/>
    <w:rsid w:val="00F1B8B8"/>
    <w:rsid w:val="00F20837"/>
    <w:rsid w:val="00F20F7B"/>
    <w:rsid w:val="00F211C9"/>
    <w:rsid w:val="00F2124E"/>
    <w:rsid w:val="00F21715"/>
    <w:rsid w:val="00F21F56"/>
    <w:rsid w:val="00F22554"/>
    <w:rsid w:val="00F2264F"/>
    <w:rsid w:val="00F2270B"/>
    <w:rsid w:val="00F2331E"/>
    <w:rsid w:val="00F23423"/>
    <w:rsid w:val="00F2349A"/>
    <w:rsid w:val="00F23EA5"/>
    <w:rsid w:val="00F23F9E"/>
    <w:rsid w:val="00F241AE"/>
    <w:rsid w:val="00F2427E"/>
    <w:rsid w:val="00F24CC4"/>
    <w:rsid w:val="00F25627"/>
    <w:rsid w:val="00F257ED"/>
    <w:rsid w:val="00F25921"/>
    <w:rsid w:val="00F25BDA"/>
    <w:rsid w:val="00F26315"/>
    <w:rsid w:val="00F2666F"/>
    <w:rsid w:val="00F266E8"/>
    <w:rsid w:val="00F27548"/>
    <w:rsid w:val="00F27D34"/>
    <w:rsid w:val="00F27E3D"/>
    <w:rsid w:val="00F27F60"/>
    <w:rsid w:val="00F27FBB"/>
    <w:rsid w:val="00F30557"/>
    <w:rsid w:val="00F30C65"/>
    <w:rsid w:val="00F30ED9"/>
    <w:rsid w:val="00F30FC9"/>
    <w:rsid w:val="00F313A6"/>
    <w:rsid w:val="00F315FF"/>
    <w:rsid w:val="00F317C5"/>
    <w:rsid w:val="00F31FF5"/>
    <w:rsid w:val="00F32232"/>
    <w:rsid w:val="00F32506"/>
    <w:rsid w:val="00F3252B"/>
    <w:rsid w:val="00F32807"/>
    <w:rsid w:val="00F32937"/>
    <w:rsid w:val="00F32997"/>
    <w:rsid w:val="00F32DA4"/>
    <w:rsid w:val="00F331FA"/>
    <w:rsid w:val="00F33268"/>
    <w:rsid w:val="00F336CB"/>
    <w:rsid w:val="00F33898"/>
    <w:rsid w:val="00F33A0B"/>
    <w:rsid w:val="00F33A0E"/>
    <w:rsid w:val="00F33AAA"/>
    <w:rsid w:val="00F33C4F"/>
    <w:rsid w:val="00F33F79"/>
    <w:rsid w:val="00F34C6D"/>
    <w:rsid w:val="00F35B94"/>
    <w:rsid w:val="00F3634F"/>
    <w:rsid w:val="00F3682F"/>
    <w:rsid w:val="00F36850"/>
    <w:rsid w:val="00F3695A"/>
    <w:rsid w:val="00F36B1B"/>
    <w:rsid w:val="00F37491"/>
    <w:rsid w:val="00F37856"/>
    <w:rsid w:val="00F37927"/>
    <w:rsid w:val="00F37EB5"/>
    <w:rsid w:val="00F407CF"/>
    <w:rsid w:val="00F40C0C"/>
    <w:rsid w:val="00F40DA3"/>
    <w:rsid w:val="00F410CF"/>
    <w:rsid w:val="00F4168D"/>
    <w:rsid w:val="00F417DC"/>
    <w:rsid w:val="00F417DF"/>
    <w:rsid w:val="00F41984"/>
    <w:rsid w:val="00F41E6C"/>
    <w:rsid w:val="00F428A6"/>
    <w:rsid w:val="00F42D1A"/>
    <w:rsid w:val="00F42D9D"/>
    <w:rsid w:val="00F43257"/>
    <w:rsid w:val="00F436FD"/>
    <w:rsid w:val="00F43D10"/>
    <w:rsid w:val="00F43D7D"/>
    <w:rsid w:val="00F4464F"/>
    <w:rsid w:val="00F446CF"/>
    <w:rsid w:val="00F44B8B"/>
    <w:rsid w:val="00F454CD"/>
    <w:rsid w:val="00F45799"/>
    <w:rsid w:val="00F45C61"/>
    <w:rsid w:val="00F45EFB"/>
    <w:rsid w:val="00F45F02"/>
    <w:rsid w:val="00F46054"/>
    <w:rsid w:val="00F466FA"/>
    <w:rsid w:val="00F46847"/>
    <w:rsid w:val="00F46B46"/>
    <w:rsid w:val="00F46FE4"/>
    <w:rsid w:val="00F4764E"/>
    <w:rsid w:val="00F47BB3"/>
    <w:rsid w:val="00F50050"/>
    <w:rsid w:val="00F502B9"/>
    <w:rsid w:val="00F50BF2"/>
    <w:rsid w:val="00F50DBD"/>
    <w:rsid w:val="00F510EB"/>
    <w:rsid w:val="00F5115B"/>
    <w:rsid w:val="00F512DD"/>
    <w:rsid w:val="00F515F4"/>
    <w:rsid w:val="00F5179D"/>
    <w:rsid w:val="00F51917"/>
    <w:rsid w:val="00F52335"/>
    <w:rsid w:val="00F523EB"/>
    <w:rsid w:val="00F52434"/>
    <w:rsid w:val="00F525B5"/>
    <w:rsid w:val="00F527FC"/>
    <w:rsid w:val="00F5311A"/>
    <w:rsid w:val="00F53735"/>
    <w:rsid w:val="00F53B0E"/>
    <w:rsid w:val="00F53E6A"/>
    <w:rsid w:val="00F54111"/>
    <w:rsid w:val="00F54336"/>
    <w:rsid w:val="00F5463B"/>
    <w:rsid w:val="00F553AD"/>
    <w:rsid w:val="00F55446"/>
    <w:rsid w:val="00F5597C"/>
    <w:rsid w:val="00F56B4D"/>
    <w:rsid w:val="00F56BC9"/>
    <w:rsid w:val="00F56CE1"/>
    <w:rsid w:val="00F56D1F"/>
    <w:rsid w:val="00F56DB5"/>
    <w:rsid w:val="00F56F1E"/>
    <w:rsid w:val="00F570E0"/>
    <w:rsid w:val="00F575DB"/>
    <w:rsid w:val="00F578B9"/>
    <w:rsid w:val="00F57DB6"/>
    <w:rsid w:val="00F60128"/>
    <w:rsid w:val="00F601D7"/>
    <w:rsid w:val="00F60251"/>
    <w:rsid w:val="00F606E2"/>
    <w:rsid w:val="00F6077B"/>
    <w:rsid w:val="00F60D18"/>
    <w:rsid w:val="00F60E53"/>
    <w:rsid w:val="00F60FF9"/>
    <w:rsid w:val="00F61C12"/>
    <w:rsid w:val="00F61F35"/>
    <w:rsid w:val="00F62001"/>
    <w:rsid w:val="00F62AAD"/>
    <w:rsid w:val="00F62EED"/>
    <w:rsid w:val="00F6310B"/>
    <w:rsid w:val="00F632EB"/>
    <w:rsid w:val="00F639B7"/>
    <w:rsid w:val="00F639C9"/>
    <w:rsid w:val="00F63D02"/>
    <w:rsid w:val="00F63D31"/>
    <w:rsid w:val="00F63E14"/>
    <w:rsid w:val="00F63EC9"/>
    <w:rsid w:val="00F64119"/>
    <w:rsid w:val="00F64650"/>
    <w:rsid w:val="00F646BC"/>
    <w:rsid w:val="00F64BD2"/>
    <w:rsid w:val="00F6543B"/>
    <w:rsid w:val="00F65980"/>
    <w:rsid w:val="00F66093"/>
    <w:rsid w:val="00F6682A"/>
    <w:rsid w:val="00F66F98"/>
    <w:rsid w:val="00F66F9E"/>
    <w:rsid w:val="00F6721A"/>
    <w:rsid w:val="00F67278"/>
    <w:rsid w:val="00F67806"/>
    <w:rsid w:val="00F679D8"/>
    <w:rsid w:val="00F67BFC"/>
    <w:rsid w:val="00F67FE2"/>
    <w:rsid w:val="00F700D7"/>
    <w:rsid w:val="00F7013C"/>
    <w:rsid w:val="00F70513"/>
    <w:rsid w:val="00F706A1"/>
    <w:rsid w:val="00F706A9"/>
    <w:rsid w:val="00F7077E"/>
    <w:rsid w:val="00F70FE6"/>
    <w:rsid w:val="00F718DC"/>
    <w:rsid w:val="00F7196A"/>
    <w:rsid w:val="00F71C96"/>
    <w:rsid w:val="00F72811"/>
    <w:rsid w:val="00F7283D"/>
    <w:rsid w:val="00F7315F"/>
    <w:rsid w:val="00F732E4"/>
    <w:rsid w:val="00F733FD"/>
    <w:rsid w:val="00F734D7"/>
    <w:rsid w:val="00F735ED"/>
    <w:rsid w:val="00F7363A"/>
    <w:rsid w:val="00F73AD3"/>
    <w:rsid w:val="00F74270"/>
    <w:rsid w:val="00F74C1C"/>
    <w:rsid w:val="00F74D49"/>
    <w:rsid w:val="00F75A87"/>
    <w:rsid w:val="00F75C1E"/>
    <w:rsid w:val="00F75C82"/>
    <w:rsid w:val="00F75CDA"/>
    <w:rsid w:val="00F75EDF"/>
    <w:rsid w:val="00F76011"/>
    <w:rsid w:val="00F767E8"/>
    <w:rsid w:val="00F76E22"/>
    <w:rsid w:val="00F76F03"/>
    <w:rsid w:val="00F76F04"/>
    <w:rsid w:val="00F77172"/>
    <w:rsid w:val="00F77435"/>
    <w:rsid w:val="00F7746C"/>
    <w:rsid w:val="00F77685"/>
    <w:rsid w:val="00F8042D"/>
    <w:rsid w:val="00F80704"/>
    <w:rsid w:val="00F8089E"/>
    <w:rsid w:val="00F81326"/>
    <w:rsid w:val="00F813AA"/>
    <w:rsid w:val="00F81433"/>
    <w:rsid w:val="00F8171E"/>
    <w:rsid w:val="00F81753"/>
    <w:rsid w:val="00F82434"/>
    <w:rsid w:val="00F82527"/>
    <w:rsid w:val="00F826BD"/>
    <w:rsid w:val="00F826F8"/>
    <w:rsid w:val="00F82819"/>
    <w:rsid w:val="00F830B1"/>
    <w:rsid w:val="00F833D6"/>
    <w:rsid w:val="00F8392C"/>
    <w:rsid w:val="00F839EE"/>
    <w:rsid w:val="00F83EB7"/>
    <w:rsid w:val="00F8447F"/>
    <w:rsid w:val="00F84563"/>
    <w:rsid w:val="00F849CD"/>
    <w:rsid w:val="00F850B9"/>
    <w:rsid w:val="00F863D3"/>
    <w:rsid w:val="00F86780"/>
    <w:rsid w:val="00F86911"/>
    <w:rsid w:val="00F87181"/>
    <w:rsid w:val="00F87679"/>
    <w:rsid w:val="00F905D1"/>
    <w:rsid w:val="00F90619"/>
    <w:rsid w:val="00F90C85"/>
    <w:rsid w:val="00F910AB"/>
    <w:rsid w:val="00F913D0"/>
    <w:rsid w:val="00F9163E"/>
    <w:rsid w:val="00F919AE"/>
    <w:rsid w:val="00F91ADD"/>
    <w:rsid w:val="00F922F7"/>
    <w:rsid w:val="00F92FB0"/>
    <w:rsid w:val="00F932BC"/>
    <w:rsid w:val="00F93400"/>
    <w:rsid w:val="00F93657"/>
    <w:rsid w:val="00F938B2"/>
    <w:rsid w:val="00F93A85"/>
    <w:rsid w:val="00F93AD9"/>
    <w:rsid w:val="00F93D56"/>
    <w:rsid w:val="00F93D88"/>
    <w:rsid w:val="00F93DE7"/>
    <w:rsid w:val="00F94428"/>
    <w:rsid w:val="00F95389"/>
    <w:rsid w:val="00F95762"/>
    <w:rsid w:val="00F957E4"/>
    <w:rsid w:val="00F95A16"/>
    <w:rsid w:val="00F95B83"/>
    <w:rsid w:val="00F95EC8"/>
    <w:rsid w:val="00F95F85"/>
    <w:rsid w:val="00F96140"/>
    <w:rsid w:val="00F96215"/>
    <w:rsid w:val="00F96553"/>
    <w:rsid w:val="00F966F1"/>
    <w:rsid w:val="00F96711"/>
    <w:rsid w:val="00F96A00"/>
    <w:rsid w:val="00F96A28"/>
    <w:rsid w:val="00F96E8A"/>
    <w:rsid w:val="00F97734"/>
    <w:rsid w:val="00F978E6"/>
    <w:rsid w:val="00F97DE6"/>
    <w:rsid w:val="00F9E6A4"/>
    <w:rsid w:val="00FA0559"/>
    <w:rsid w:val="00FA0AFE"/>
    <w:rsid w:val="00FA0BB5"/>
    <w:rsid w:val="00FA0F22"/>
    <w:rsid w:val="00FA13CD"/>
    <w:rsid w:val="00FA142C"/>
    <w:rsid w:val="00FA14D9"/>
    <w:rsid w:val="00FA17CF"/>
    <w:rsid w:val="00FA1876"/>
    <w:rsid w:val="00FA2045"/>
    <w:rsid w:val="00FA20A7"/>
    <w:rsid w:val="00FA2287"/>
    <w:rsid w:val="00FA2345"/>
    <w:rsid w:val="00FA23CE"/>
    <w:rsid w:val="00FA24B1"/>
    <w:rsid w:val="00FA2F19"/>
    <w:rsid w:val="00FA3072"/>
    <w:rsid w:val="00FA3293"/>
    <w:rsid w:val="00FA391F"/>
    <w:rsid w:val="00FA3944"/>
    <w:rsid w:val="00FA3AAE"/>
    <w:rsid w:val="00FA3D10"/>
    <w:rsid w:val="00FA4A06"/>
    <w:rsid w:val="00FA6237"/>
    <w:rsid w:val="00FA6275"/>
    <w:rsid w:val="00FA6435"/>
    <w:rsid w:val="00FA6DA9"/>
    <w:rsid w:val="00FA705E"/>
    <w:rsid w:val="00FA7149"/>
    <w:rsid w:val="00FA71E2"/>
    <w:rsid w:val="00FA7391"/>
    <w:rsid w:val="00FA758D"/>
    <w:rsid w:val="00FA776F"/>
    <w:rsid w:val="00FA7806"/>
    <w:rsid w:val="00FA7B1D"/>
    <w:rsid w:val="00FA7BC0"/>
    <w:rsid w:val="00FA7E76"/>
    <w:rsid w:val="00FA7F85"/>
    <w:rsid w:val="00FB0130"/>
    <w:rsid w:val="00FB01E2"/>
    <w:rsid w:val="00FB03EE"/>
    <w:rsid w:val="00FB06B0"/>
    <w:rsid w:val="00FB0765"/>
    <w:rsid w:val="00FB07B3"/>
    <w:rsid w:val="00FB0A6F"/>
    <w:rsid w:val="00FB0ACE"/>
    <w:rsid w:val="00FB0F9C"/>
    <w:rsid w:val="00FB1312"/>
    <w:rsid w:val="00FB1759"/>
    <w:rsid w:val="00FB17C2"/>
    <w:rsid w:val="00FB1802"/>
    <w:rsid w:val="00FB1936"/>
    <w:rsid w:val="00FB1A3C"/>
    <w:rsid w:val="00FB1A56"/>
    <w:rsid w:val="00FB1F40"/>
    <w:rsid w:val="00FB2426"/>
    <w:rsid w:val="00FB242A"/>
    <w:rsid w:val="00FB2485"/>
    <w:rsid w:val="00FB2771"/>
    <w:rsid w:val="00FB2B85"/>
    <w:rsid w:val="00FB2BC2"/>
    <w:rsid w:val="00FB2DA4"/>
    <w:rsid w:val="00FB2FEF"/>
    <w:rsid w:val="00FB3054"/>
    <w:rsid w:val="00FB32A1"/>
    <w:rsid w:val="00FB3A0B"/>
    <w:rsid w:val="00FB3A88"/>
    <w:rsid w:val="00FB3EC8"/>
    <w:rsid w:val="00FB4714"/>
    <w:rsid w:val="00FB5236"/>
    <w:rsid w:val="00FB5493"/>
    <w:rsid w:val="00FB56A0"/>
    <w:rsid w:val="00FB56A3"/>
    <w:rsid w:val="00FB5B64"/>
    <w:rsid w:val="00FB5EA6"/>
    <w:rsid w:val="00FB6295"/>
    <w:rsid w:val="00FB7569"/>
    <w:rsid w:val="00FB78E5"/>
    <w:rsid w:val="00FB7BCD"/>
    <w:rsid w:val="00FB7FB5"/>
    <w:rsid w:val="00FC00C9"/>
    <w:rsid w:val="00FC0957"/>
    <w:rsid w:val="00FC0BE3"/>
    <w:rsid w:val="00FC0C97"/>
    <w:rsid w:val="00FC12D6"/>
    <w:rsid w:val="00FC1355"/>
    <w:rsid w:val="00FC14C9"/>
    <w:rsid w:val="00FC1A0F"/>
    <w:rsid w:val="00FC1A87"/>
    <w:rsid w:val="00FC1F99"/>
    <w:rsid w:val="00FC2090"/>
    <w:rsid w:val="00FC2C3A"/>
    <w:rsid w:val="00FC3084"/>
    <w:rsid w:val="00FC31C9"/>
    <w:rsid w:val="00FC34D1"/>
    <w:rsid w:val="00FC35BE"/>
    <w:rsid w:val="00FC3B27"/>
    <w:rsid w:val="00FC3EBC"/>
    <w:rsid w:val="00FC405B"/>
    <w:rsid w:val="00FC4195"/>
    <w:rsid w:val="00FC41A2"/>
    <w:rsid w:val="00FC46DA"/>
    <w:rsid w:val="00FC4A85"/>
    <w:rsid w:val="00FC5296"/>
    <w:rsid w:val="00FC5504"/>
    <w:rsid w:val="00FC5C7B"/>
    <w:rsid w:val="00FC5CE3"/>
    <w:rsid w:val="00FC5E2A"/>
    <w:rsid w:val="00FC5FF2"/>
    <w:rsid w:val="00FC61E5"/>
    <w:rsid w:val="00FC66E2"/>
    <w:rsid w:val="00FC6C25"/>
    <w:rsid w:val="00FC6D38"/>
    <w:rsid w:val="00FC6F60"/>
    <w:rsid w:val="00FC7321"/>
    <w:rsid w:val="00FC7375"/>
    <w:rsid w:val="00FC7523"/>
    <w:rsid w:val="00FC76D9"/>
    <w:rsid w:val="00FC7935"/>
    <w:rsid w:val="00FC79F0"/>
    <w:rsid w:val="00FC7E29"/>
    <w:rsid w:val="00FC7F2F"/>
    <w:rsid w:val="00FD05E0"/>
    <w:rsid w:val="00FD0AAF"/>
    <w:rsid w:val="00FD0F03"/>
    <w:rsid w:val="00FD1274"/>
    <w:rsid w:val="00FD1B9F"/>
    <w:rsid w:val="00FD208F"/>
    <w:rsid w:val="00FD29B6"/>
    <w:rsid w:val="00FD2A0B"/>
    <w:rsid w:val="00FD2B0D"/>
    <w:rsid w:val="00FD2CE7"/>
    <w:rsid w:val="00FD2FC3"/>
    <w:rsid w:val="00FD33DB"/>
    <w:rsid w:val="00FD35FD"/>
    <w:rsid w:val="00FD3BCB"/>
    <w:rsid w:val="00FD3C5A"/>
    <w:rsid w:val="00FD3CB8"/>
    <w:rsid w:val="00FD3EF9"/>
    <w:rsid w:val="00FD3F27"/>
    <w:rsid w:val="00FD45B4"/>
    <w:rsid w:val="00FD4810"/>
    <w:rsid w:val="00FD49F7"/>
    <w:rsid w:val="00FD55CD"/>
    <w:rsid w:val="00FD5688"/>
    <w:rsid w:val="00FD5995"/>
    <w:rsid w:val="00FD5C5B"/>
    <w:rsid w:val="00FD5F06"/>
    <w:rsid w:val="00FD5FF5"/>
    <w:rsid w:val="00FD618E"/>
    <w:rsid w:val="00FD6419"/>
    <w:rsid w:val="00FD6886"/>
    <w:rsid w:val="00FD6E7E"/>
    <w:rsid w:val="00FD6F54"/>
    <w:rsid w:val="00FD6FF8"/>
    <w:rsid w:val="00FD7FC9"/>
    <w:rsid w:val="00FE02AA"/>
    <w:rsid w:val="00FE13C8"/>
    <w:rsid w:val="00FE2353"/>
    <w:rsid w:val="00FE2777"/>
    <w:rsid w:val="00FE2B79"/>
    <w:rsid w:val="00FE2E89"/>
    <w:rsid w:val="00FE2FAD"/>
    <w:rsid w:val="00FE30CF"/>
    <w:rsid w:val="00FE366B"/>
    <w:rsid w:val="00FE370D"/>
    <w:rsid w:val="00FE38D7"/>
    <w:rsid w:val="00FE38F5"/>
    <w:rsid w:val="00FE3D71"/>
    <w:rsid w:val="00FE489B"/>
    <w:rsid w:val="00FE4EBA"/>
    <w:rsid w:val="00FE53C0"/>
    <w:rsid w:val="00FE58DB"/>
    <w:rsid w:val="00FE5C2C"/>
    <w:rsid w:val="00FE5D0F"/>
    <w:rsid w:val="00FE60A9"/>
    <w:rsid w:val="00FE63E3"/>
    <w:rsid w:val="00FE6565"/>
    <w:rsid w:val="00FE66C8"/>
    <w:rsid w:val="00FE691C"/>
    <w:rsid w:val="00FE692D"/>
    <w:rsid w:val="00FE6A29"/>
    <w:rsid w:val="00FE6C1B"/>
    <w:rsid w:val="00FE6EB7"/>
    <w:rsid w:val="00FE6FCF"/>
    <w:rsid w:val="00FE70F6"/>
    <w:rsid w:val="00FE7309"/>
    <w:rsid w:val="00FE7826"/>
    <w:rsid w:val="00FF0152"/>
    <w:rsid w:val="00FF0432"/>
    <w:rsid w:val="00FF0456"/>
    <w:rsid w:val="00FF074E"/>
    <w:rsid w:val="00FF077F"/>
    <w:rsid w:val="00FF07BE"/>
    <w:rsid w:val="00FF0BD1"/>
    <w:rsid w:val="00FF0E99"/>
    <w:rsid w:val="00FF0ED7"/>
    <w:rsid w:val="00FF1457"/>
    <w:rsid w:val="00FF156A"/>
    <w:rsid w:val="00FF1A2C"/>
    <w:rsid w:val="00FF1B84"/>
    <w:rsid w:val="00FF1CAF"/>
    <w:rsid w:val="00FF206C"/>
    <w:rsid w:val="00FF2301"/>
    <w:rsid w:val="00FF2EB4"/>
    <w:rsid w:val="00FF361E"/>
    <w:rsid w:val="00FF3674"/>
    <w:rsid w:val="00FF3797"/>
    <w:rsid w:val="00FF3B9A"/>
    <w:rsid w:val="00FF447A"/>
    <w:rsid w:val="00FF4AE7"/>
    <w:rsid w:val="00FF54AE"/>
    <w:rsid w:val="00FF59BA"/>
    <w:rsid w:val="00FF5CD8"/>
    <w:rsid w:val="00FF5CF8"/>
    <w:rsid w:val="00FF5CF9"/>
    <w:rsid w:val="00FF6023"/>
    <w:rsid w:val="00FF6712"/>
    <w:rsid w:val="00FF6FA5"/>
    <w:rsid w:val="00FF7188"/>
    <w:rsid w:val="00FF73BF"/>
    <w:rsid w:val="00FF74E0"/>
    <w:rsid w:val="00FF757D"/>
    <w:rsid w:val="00FF7B99"/>
    <w:rsid w:val="00FF7F90"/>
    <w:rsid w:val="00FFD754"/>
    <w:rsid w:val="0105B4E1"/>
    <w:rsid w:val="010F251D"/>
    <w:rsid w:val="0114F686"/>
    <w:rsid w:val="0127C816"/>
    <w:rsid w:val="0136EE6F"/>
    <w:rsid w:val="01391E64"/>
    <w:rsid w:val="013C5ACF"/>
    <w:rsid w:val="0144BF0C"/>
    <w:rsid w:val="014E7986"/>
    <w:rsid w:val="0158871F"/>
    <w:rsid w:val="0163F97D"/>
    <w:rsid w:val="0167E9CF"/>
    <w:rsid w:val="01814BE4"/>
    <w:rsid w:val="0187C008"/>
    <w:rsid w:val="0199CAFE"/>
    <w:rsid w:val="019D4B94"/>
    <w:rsid w:val="01AE850F"/>
    <w:rsid w:val="01B61FE7"/>
    <w:rsid w:val="01B9FF77"/>
    <w:rsid w:val="01C27D68"/>
    <w:rsid w:val="01C91328"/>
    <w:rsid w:val="01D210AD"/>
    <w:rsid w:val="01D3E311"/>
    <w:rsid w:val="01D4BFCC"/>
    <w:rsid w:val="01E7049E"/>
    <w:rsid w:val="01EED15E"/>
    <w:rsid w:val="01F10C97"/>
    <w:rsid w:val="01F13B37"/>
    <w:rsid w:val="01FB7F4C"/>
    <w:rsid w:val="01FE0EFC"/>
    <w:rsid w:val="020357A9"/>
    <w:rsid w:val="0206AA4E"/>
    <w:rsid w:val="020ECAEA"/>
    <w:rsid w:val="020F863F"/>
    <w:rsid w:val="0210700B"/>
    <w:rsid w:val="02189B9C"/>
    <w:rsid w:val="0230FF51"/>
    <w:rsid w:val="02369FDB"/>
    <w:rsid w:val="02627782"/>
    <w:rsid w:val="0262A4AF"/>
    <w:rsid w:val="026570C7"/>
    <w:rsid w:val="026791F1"/>
    <w:rsid w:val="0269747E"/>
    <w:rsid w:val="026DD489"/>
    <w:rsid w:val="02701074"/>
    <w:rsid w:val="02791F40"/>
    <w:rsid w:val="027B7C83"/>
    <w:rsid w:val="02821E41"/>
    <w:rsid w:val="02863A68"/>
    <w:rsid w:val="02863BFE"/>
    <w:rsid w:val="028D55F5"/>
    <w:rsid w:val="029A0F25"/>
    <w:rsid w:val="02A2E862"/>
    <w:rsid w:val="02AA6CED"/>
    <w:rsid w:val="02AAAB8E"/>
    <w:rsid w:val="02ACD1E3"/>
    <w:rsid w:val="02BAD23F"/>
    <w:rsid w:val="02BB932C"/>
    <w:rsid w:val="02BF4CEE"/>
    <w:rsid w:val="02C28BA3"/>
    <w:rsid w:val="02C56782"/>
    <w:rsid w:val="02EF39AF"/>
    <w:rsid w:val="02F79A16"/>
    <w:rsid w:val="02FCD954"/>
    <w:rsid w:val="02FEAE51"/>
    <w:rsid w:val="02FF1397"/>
    <w:rsid w:val="02FF3074"/>
    <w:rsid w:val="03029D15"/>
    <w:rsid w:val="03162585"/>
    <w:rsid w:val="0316AB89"/>
    <w:rsid w:val="0319604C"/>
    <w:rsid w:val="031B3762"/>
    <w:rsid w:val="032442B9"/>
    <w:rsid w:val="032F81C8"/>
    <w:rsid w:val="0332B994"/>
    <w:rsid w:val="033667DA"/>
    <w:rsid w:val="033D5244"/>
    <w:rsid w:val="03522442"/>
    <w:rsid w:val="03546572"/>
    <w:rsid w:val="035C9988"/>
    <w:rsid w:val="03608FA1"/>
    <w:rsid w:val="03649ED9"/>
    <w:rsid w:val="0365E19C"/>
    <w:rsid w:val="037BDD82"/>
    <w:rsid w:val="0390FCE7"/>
    <w:rsid w:val="03979AA9"/>
    <w:rsid w:val="03AEA1BB"/>
    <w:rsid w:val="03BBED8E"/>
    <w:rsid w:val="03BFDBC4"/>
    <w:rsid w:val="03C1F262"/>
    <w:rsid w:val="03CD3D5F"/>
    <w:rsid w:val="03EE3883"/>
    <w:rsid w:val="03F8BFDC"/>
    <w:rsid w:val="03FFF590"/>
    <w:rsid w:val="04004731"/>
    <w:rsid w:val="0402B62D"/>
    <w:rsid w:val="0405EBD3"/>
    <w:rsid w:val="0411D1FD"/>
    <w:rsid w:val="042626F3"/>
    <w:rsid w:val="043B63B2"/>
    <w:rsid w:val="043C04B4"/>
    <w:rsid w:val="0459CAFE"/>
    <w:rsid w:val="045C9992"/>
    <w:rsid w:val="04673630"/>
    <w:rsid w:val="0478838B"/>
    <w:rsid w:val="0483AD2B"/>
    <w:rsid w:val="048CE97C"/>
    <w:rsid w:val="049B9FA6"/>
    <w:rsid w:val="049F4278"/>
    <w:rsid w:val="04A1C6C3"/>
    <w:rsid w:val="04B222C7"/>
    <w:rsid w:val="04B28893"/>
    <w:rsid w:val="04CD74B6"/>
    <w:rsid w:val="04CFC7F6"/>
    <w:rsid w:val="04DF2921"/>
    <w:rsid w:val="04E3ACCC"/>
    <w:rsid w:val="04E4A5DE"/>
    <w:rsid w:val="04EBB543"/>
    <w:rsid w:val="05038C8E"/>
    <w:rsid w:val="050602EC"/>
    <w:rsid w:val="050756D8"/>
    <w:rsid w:val="0510107F"/>
    <w:rsid w:val="0514671D"/>
    <w:rsid w:val="051B9FC1"/>
    <w:rsid w:val="051C4290"/>
    <w:rsid w:val="052A5483"/>
    <w:rsid w:val="052B9584"/>
    <w:rsid w:val="053509DF"/>
    <w:rsid w:val="0535DB81"/>
    <w:rsid w:val="053C373B"/>
    <w:rsid w:val="05444962"/>
    <w:rsid w:val="054F1AB1"/>
    <w:rsid w:val="05548359"/>
    <w:rsid w:val="0564C8AB"/>
    <w:rsid w:val="056CBEB3"/>
    <w:rsid w:val="0578C354"/>
    <w:rsid w:val="057E8325"/>
    <w:rsid w:val="059686A6"/>
    <w:rsid w:val="05990237"/>
    <w:rsid w:val="059988D3"/>
    <w:rsid w:val="05A37EB6"/>
    <w:rsid w:val="05BE7635"/>
    <w:rsid w:val="05C050AC"/>
    <w:rsid w:val="05C6830A"/>
    <w:rsid w:val="05CEE192"/>
    <w:rsid w:val="05D2D982"/>
    <w:rsid w:val="05DF6C68"/>
    <w:rsid w:val="05EAE17C"/>
    <w:rsid w:val="05F1B583"/>
    <w:rsid w:val="0601EF49"/>
    <w:rsid w:val="06038E32"/>
    <w:rsid w:val="0604FFA4"/>
    <w:rsid w:val="0607BB65"/>
    <w:rsid w:val="060C47A0"/>
    <w:rsid w:val="0626D21B"/>
    <w:rsid w:val="064200F0"/>
    <w:rsid w:val="064CB11D"/>
    <w:rsid w:val="065FBE75"/>
    <w:rsid w:val="065FBE94"/>
    <w:rsid w:val="066230B3"/>
    <w:rsid w:val="0668F786"/>
    <w:rsid w:val="068674E0"/>
    <w:rsid w:val="0687BBE6"/>
    <w:rsid w:val="0687FBA5"/>
    <w:rsid w:val="06906190"/>
    <w:rsid w:val="069B649B"/>
    <w:rsid w:val="06B8F185"/>
    <w:rsid w:val="06C8199D"/>
    <w:rsid w:val="06D37E28"/>
    <w:rsid w:val="06D8BFAF"/>
    <w:rsid w:val="06E35863"/>
    <w:rsid w:val="06E479F3"/>
    <w:rsid w:val="06E56204"/>
    <w:rsid w:val="06F18190"/>
    <w:rsid w:val="06F3DB5D"/>
    <w:rsid w:val="06FA1D91"/>
    <w:rsid w:val="0714312E"/>
    <w:rsid w:val="071E8B0C"/>
    <w:rsid w:val="07394E28"/>
    <w:rsid w:val="074295DC"/>
    <w:rsid w:val="075CFFA6"/>
    <w:rsid w:val="07602535"/>
    <w:rsid w:val="076B9D90"/>
    <w:rsid w:val="07703E36"/>
    <w:rsid w:val="0775D689"/>
    <w:rsid w:val="077F7FDA"/>
    <w:rsid w:val="0780E76A"/>
    <w:rsid w:val="07875201"/>
    <w:rsid w:val="079A03F4"/>
    <w:rsid w:val="079D8F65"/>
    <w:rsid w:val="079E56F8"/>
    <w:rsid w:val="07A8B325"/>
    <w:rsid w:val="07BB220D"/>
    <w:rsid w:val="07DBA963"/>
    <w:rsid w:val="07E14730"/>
    <w:rsid w:val="07EAC8F3"/>
    <w:rsid w:val="07F0A51F"/>
    <w:rsid w:val="07F0DD2E"/>
    <w:rsid w:val="07F25C63"/>
    <w:rsid w:val="07F9DE33"/>
    <w:rsid w:val="07FB46C5"/>
    <w:rsid w:val="07FCDD7D"/>
    <w:rsid w:val="07FD7897"/>
    <w:rsid w:val="080F122D"/>
    <w:rsid w:val="0817CEDA"/>
    <w:rsid w:val="081C6D0F"/>
    <w:rsid w:val="081F4507"/>
    <w:rsid w:val="082DB9C9"/>
    <w:rsid w:val="08444560"/>
    <w:rsid w:val="085B67F3"/>
    <w:rsid w:val="08886B81"/>
    <w:rsid w:val="088DB2BE"/>
    <w:rsid w:val="0893259F"/>
    <w:rsid w:val="0895F8F8"/>
    <w:rsid w:val="08A0AF4B"/>
    <w:rsid w:val="08A656C1"/>
    <w:rsid w:val="08A80FB0"/>
    <w:rsid w:val="08BC3491"/>
    <w:rsid w:val="08BFC0DD"/>
    <w:rsid w:val="08C5169F"/>
    <w:rsid w:val="08C5D3FC"/>
    <w:rsid w:val="08CB4F27"/>
    <w:rsid w:val="08E23D59"/>
    <w:rsid w:val="08F24F2F"/>
    <w:rsid w:val="08F4ACAE"/>
    <w:rsid w:val="08FE99C5"/>
    <w:rsid w:val="09077BCD"/>
    <w:rsid w:val="090C5BBF"/>
    <w:rsid w:val="091888EA"/>
    <w:rsid w:val="091A112A"/>
    <w:rsid w:val="092AD6B8"/>
    <w:rsid w:val="093792E7"/>
    <w:rsid w:val="09473CDC"/>
    <w:rsid w:val="0951EA86"/>
    <w:rsid w:val="09652585"/>
    <w:rsid w:val="096AB0FF"/>
    <w:rsid w:val="096ABB51"/>
    <w:rsid w:val="096BB6A8"/>
    <w:rsid w:val="097169F3"/>
    <w:rsid w:val="09758CA8"/>
    <w:rsid w:val="0976931B"/>
    <w:rsid w:val="097ACFF7"/>
    <w:rsid w:val="097C88E3"/>
    <w:rsid w:val="097D4CBB"/>
    <w:rsid w:val="0984CBFB"/>
    <w:rsid w:val="098B1DEE"/>
    <w:rsid w:val="09915B78"/>
    <w:rsid w:val="0991E9E2"/>
    <w:rsid w:val="099948F8"/>
    <w:rsid w:val="09AE1FE4"/>
    <w:rsid w:val="09BE6C9E"/>
    <w:rsid w:val="09D1DCA8"/>
    <w:rsid w:val="09D2EB86"/>
    <w:rsid w:val="09D5A84C"/>
    <w:rsid w:val="09D76D5E"/>
    <w:rsid w:val="09DB2F35"/>
    <w:rsid w:val="09DD3D37"/>
    <w:rsid w:val="09DD5CB2"/>
    <w:rsid w:val="09E2C9C8"/>
    <w:rsid w:val="09EE0DB3"/>
    <w:rsid w:val="09F29E3A"/>
    <w:rsid w:val="09F76F9D"/>
    <w:rsid w:val="0A0BA2BA"/>
    <w:rsid w:val="0A0CAC4D"/>
    <w:rsid w:val="0A0EB400"/>
    <w:rsid w:val="0A107325"/>
    <w:rsid w:val="0A128777"/>
    <w:rsid w:val="0A1B373A"/>
    <w:rsid w:val="0A1B4808"/>
    <w:rsid w:val="0A1E0E98"/>
    <w:rsid w:val="0A20E8C4"/>
    <w:rsid w:val="0A254932"/>
    <w:rsid w:val="0A27F47C"/>
    <w:rsid w:val="0A2E2D87"/>
    <w:rsid w:val="0A367FA7"/>
    <w:rsid w:val="0A424831"/>
    <w:rsid w:val="0A42D5B9"/>
    <w:rsid w:val="0A4DC2B6"/>
    <w:rsid w:val="0A5FA4DD"/>
    <w:rsid w:val="0A6A4973"/>
    <w:rsid w:val="0A6EC169"/>
    <w:rsid w:val="0A70729F"/>
    <w:rsid w:val="0A714973"/>
    <w:rsid w:val="0A774A77"/>
    <w:rsid w:val="0A794BF0"/>
    <w:rsid w:val="0A7ED3B6"/>
    <w:rsid w:val="0A7F2E79"/>
    <w:rsid w:val="0A93C670"/>
    <w:rsid w:val="0A9ABB3F"/>
    <w:rsid w:val="0AA836B5"/>
    <w:rsid w:val="0AB881D4"/>
    <w:rsid w:val="0AC7B70B"/>
    <w:rsid w:val="0ACB41DB"/>
    <w:rsid w:val="0ACD5C7E"/>
    <w:rsid w:val="0ACDF334"/>
    <w:rsid w:val="0AEBF2E4"/>
    <w:rsid w:val="0AEDE901"/>
    <w:rsid w:val="0AF0F030"/>
    <w:rsid w:val="0B09EBE5"/>
    <w:rsid w:val="0B0CA9A8"/>
    <w:rsid w:val="0B110847"/>
    <w:rsid w:val="0B1DAF19"/>
    <w:rsid w:val="0B2BD080"/>
    <w:rsid w:val="0B3C045C"/>
    <w:rsid w:val="0B4ACDA2"/>
    <w:rsid w:val="0B55F56D"/>
    <w:rsid w:val="0B6F027E"/>
    <w:rsid w:val="0B7D0A34"/>
    <w:rsid w:val="0B8CB426"/>
    <w:rsid w:val="0B95C846"/>
    <w:rsid w:val="0BA6BC37"/>
    <w:rsid w:val="0BAC80AD"/>
    <w:rsid w:val="0BB3946F"/>
    <w:rsid w:val="0BB6206C"/>
    <w:rsid w:val="0BBF9AD3"/>
    <w:rsid w:val="0BC70BF9"/>
    <w:rsid w:val="0BD14916"/>
    <w:rsid w:val="0BD776AF"/>
    <w:rsid w:val="0BDB88C5"/>
    <w:rsid w:val="0BDD9F5E"/>
    <w:rsid w:val="0BE485DB"/>
    <w:rsid w:val="0BFEC0E8"/>
    <w:rsid w:val="0C0C6DAB"/>
    <w:rsid w:val="0C14EDE4"/>
    <w:rsid w:val="0C1AD0FF"/>
    <w:rsid w:val="0C2501F7"/>
    <w:rsid w:val="0C2A4B4D"/>
    <w:rsid w:val="0C2AEE5D"/>
    <w:rsid w:val="0C345639"/>
    <w:rsid w:val="0C48F954"/>
    <w:rsid w:val="0C5B30E9"/>
    <w:rsid w:val="0C613889"/>
    <w:rsid w:val="0C616D90"/>
    <w:rsid w:val="0C650088"/>
    <w:rsid w:val="0C68EA99"/>
    <w:rsid w:val="0C8D2190"/>
    <w:rsid w:val="0C9DF99B"/>
    <w:rsid w:val="0C9E7ABB"/>
    <w:rsid w:val="0CBAB97B"/>
    <w:rsid w:val="0CC2C8FB"/>
    <w:rsid w:val="0CC6FA1A"/>
    <w:rsid w:val="0CCA162B"/>
    <w:rsid w:val="0CD39C8D"/>
    <w:rsid w:val="0CD7BB41"/>
    <w:rsid w:val="0CEAB936"/>
    <w:rsid w:val="0CECA67F"/>
    <w:rsid w:val="0CECEADB"/>
    <w:rsid w:val="0CEE1F62"/>
    <w:rsid w:val="0CEF46C3"/>
    <w:rsid w:val="0CF525F0"/>
    <w:rsid w:val="0CF8E9FC"/>
    <w:rsid w:val="0D03A497"/>
    <w:rsid w:val="0D087283"/>
    <w:rsid w:val="0D0A61A1"/>
    <w:rsid w:val="0D204ED4"/>
    <w:rsid w:val="0D3519A1"/>
    <w:rsid w:val="0D39AE2B"/>
    <w:rsid w:val="0D3B3B9D"/>
    <w:rsid w:val="0D3E4449"/>
    <w:rsid w:val="0D404402"/>
    <w:rsid w:val="0D4181E1"/>
    <w:rsid w:val="0D469F76"/>
    <w:rsid w:val="0D4CC320"/>
    <w:rsid w:val="0D4D0E46"/>
    <w:rsid w:val="0D4D871B"/>
    <w:rsid w:val="0D5044B6"/>
    <w:rsid w:val="0D5525B6"/>
    <w:rsid w:val="0D57F776"/>
    <w:rsid w:val="0D5E1D11"/>
    <w:rsid w:val="0D619399"/>
    <w:rsid w:val="0D620831"/>
    <w:rsid w:val="0D65C09E"/>
    <w:rsid w:val="0D76642A"/>
    <w:rsid w:val="0D77CE58"/>
    <w:rsid w:val="0D82E908"/>
    <w:rsid w:val="0D891269"/>
    <w:rsid w:val="0D8BC875"/>
    <w:rsid w:val="0D942FB9"/>
    <w:rsid w:val="0D95AE81"/>
    <w:rsid w:val="0DABED89"/>
    <w:rsid w:val="0DC14790"/>
    <w:rsid w:val="0DC333EC"/>
    <w:rsid w:val="0DC8ACB5"/>
    <w:rsid w:val="0DCB2BB0"/>
    <w:rsid w:val="0E09DF6C"/>
    <w:rsid w:val="0E0EF6D9"/>
    <w:rsid w:val="0E1998EB"/>
    <w:rsid w:val="0E26A20E"/>
    <w:rsid w:val="0E291E74"/>
    <w:rsid w:val="0E2A84BD"/>
    <w:rsid w:val="0E306638"/>
    <w:rsid w:val="0E3B9CE0"/>
    <w:rsid w:val="0E4AE38B"/>
    <w:rsid w:val="0E56FC59"/>
    <w:rsid w:val="0E5E6FBD"/>
    <w:rsid w:val="0E68CA73"/>
    <w:rsid w:val="0E710416"/>
    <w:rsid w:val="0E8A1DE5"/>
    <w:rsid w:val="0E8C65B7"/>
    <w:rsid w:val="0E8CC58D"/>
    <w:rsid w:val="0E912501"/>
    <w:rsid w:val="0E962527"/>
    <w:rsid w:val="0E977391"/>
    <w:rsid w:val="0E9B6B69"/>
    <w:rsid w:val="0E9CB4FE"/>
    <w:rsid w:val="0EA2D75E"/>
    <w:rsid w:val="0EACEA13"/>
    <w:rsid w:val="0EB72C5D"/>
    <w:rsid w:val="0ECF17DD"/>
    <w:rsid w:val="0EDCB452"/>
    <w:rsid w:val="0EDDC89B"/>
    <w:rsid w:val="0EE43DC1"/>
    <w:rsid w:val="0EE5CA12"/>
    <w:rsid w:val="0EF42317"/>
    <w:rsid w:val="0EF91324"/>
    <w:rsid w:val="0F008D1A"/>
    <w:rsid w:val="0F0705FB"/>
    <w:rsid w:val="0F0A9892"/>
    <w:rsid w:val="0F104170"/>
    <w:rsid w:val="0F130014"/>
    <w:rsid w:val="0F174D91"/>
    <w:rsid w:val="0F175AA2"/>
    <w:rsid w:val="0F180358"/>
    <w:rsid w:val="0F18E9E9"/>
    <w:rsid w:val="0F1B76C5"/>
    <w:rsid w:val="0F1FFD2F"/>
    <w:rsid w:val="0F23E127"/>
    <w:rsid w:val="0F318564"/>
    <w:rsid w:val="0F375C01"/>
    <w:rsid w:val="0F3A225D"/>
    <w:rsid w:val="0F3CC622"/>
    <w:rsid w:val="0F44EA7A"/>
    <w:rsid w:val="0F50D0A8"/>
    <w:rsid w:val="0F5D3497"/>
    <w:rsid w:val="0F5DCB26"/>
    <w:rsid w:val="0F6115C9"/>
    <w:rsid w:val="0F64919A"/>
    <w:rsid w:val="0F65AE38"/>
    <w:rsid w:val="0F665A32"/>
    <w:rsid w:val="0F6850E8"/>
    <w:rsid w:val="0F6FDE15"/>
    <w:rsid w:val="0F746F8C"/>
    <w:rsid w:val="0F74F534"/>
    <w:rsid w:val="0F760EA3"/>
    <w:rsid w:val="0F775901"/>
    <w:rsid w:val="0F7A1094"/>
    <w:rsid w:val="0F7AC88E"/>
    <w:rsid w:val="0F819138"/>
    <w:rsid w:val="0F82D687"/>
    <w:rsid w:val="0F84CAC3"/>
    <w:rsid w:val="0F98015A"/>
    <w:rsid w:val="0F9EB738"/>
    <w:rsid w:val="0F9EB78C"/>
    <w:rsid w:val="0FA2FBE6"/>
    <w:rsid w:val="0FA6041A"/>
    <w:rsid w:val="0FAB80EC"/>
    <w:rsid w:val="0FAD7DF1"/>
    <w:rsid w:val="0FB02B7B"/>
    <w:rsid w:val="0FB22930"/>
    <w:rsid w:val="0FB28634"/>
    <w:rsid w:val="0FBE5795"/>
    <w:rsid w:val="0FC09046"/>
    <w:rsid w:val="0FC6C512"/>
    <w:rsid w:val="0FDC9879"/>
    <w:rsid w:val="0FDCA538"/>
    <w:rsid w:val="0FDD1753"/>
    <w:rsid w:val="0FEEB564"/>
    <w:rsid w:val="0FF430A9"/>
    <w:rsid w:val="0FF4380A"/>
    <w:rsid w:val="0FFE5075"/>
    <w:rsid w:val="10031DEE"/>
    <w:rsid w:val="100CD37D"/>
    <w:rsid w:val="100FA09E"/>
    <w:rsid w:val="1014D1FD"/>
    <w:rsid w:val="10197646"/>
    <w:rsid w:val="101EEF1A"/>
    <w:rsid w:val="1022964C"/>
    <w:rsid w:val="1027421A"/>
    <w:rsid w:val="1027CEA6"/>
    <w:rsid w:val="102D926D"/>
    <w:rsid w:val="10357FDE"/>
    <w:rsid w:val="1040AB9F"/>
    <w:rsid w:val="1043A0FE"/>
    <w:rsid w:val="1047E85D"/>
    <w:rsid w:val="105B19DF"/>
    <w:rsid w:val="105D6B4C"/>
    <w:rsid w:val="1060F0AE"/>
    <w:rsid w:val="10657527"/>
    <w:rsid w:val="1066F81C"/>
    <w:rsid w:val="106A85D4"/>
    <w:rsid w:val="106AB357"/>
    <w:rsid w:val="106F8D73"/>
    <w:rsid w:val="10717526"/>
    <w:rsid w:val="107A7750"/>
    <w:rsid w:val="1089B867"/>
    <w:rsid w:val="10919079"/>
    <w:rsid w:val="1097E7CB"/>
    <w:rsid w:val="109AB5CE"/>
    <w:rsid w:val="10AC6C02"/>
    <w:rsid w:val="10C2D4F8"/>
    <w:rsid w:val="10D5584B"/>
    <w:rsid w:val="10D60345"/>
    <w:rsid w:val="10E1E4F6"/>
    <w:rsid w:val="10E321B2"/>
    <w:rsid w:val="10E38E52"/>
    <w:rsid w:val="10E648C5"/>
    <w:rsid w:val="10E6D5F1"/>
    <w:rsid w:val="10F802E4"/>
    <w:rsid w:val="10FAEE2D"/>
    <w:rsid w:val="11044DB4"/>
    <w:rsid w:val="110BF529"/>
    <w:rsid w:val="110C73EB"/>
    <w:rsid w:val="110FC4AB"/>
    <w:rsid w:val="1121D2C8"/>
    <w:rsid w:val="11243E11"/>
    <w:rsid w:val="1127FF70"/>
    <w:rsid w:val="11291F75"/>
    <w:rsid w:val="11293670"/>
    <w:rsid w:val="11324355"/>
    <w:rsid w:val="113B1C4F"/>
    <w:rsid w:val="11529108"/>
    <w:rsid w:val="115BCAB9"/>
    <w:rsid w:val="11713FC4"/>
    <w:rsid w:val="1172BF75"/>
    <w:rsid w:val="11754C29"/>
    <w:rsid w:val="1176B583"/>
    <w:rsid w:val="117AE21E"/>
    <w:rsid w:val="1182CCB0"/>
    <w:rsid w:val="118AEE16"/>
    <w:rsid w:val="11954D18"/>
    <w:rsid w:val="11AB2327"/>
    <w:rsid w:val="11ABC484"/>
    <w:rsid w:val="11ABF801"/>
    <w:rsid w:val="11AD300E"/>
    <w:rsid w:val="11B26920"/>
    <w:rsid w:val="11B3C01F"/>
    <w:rsid w:val="11BF1FB0"/>
    <w:rsid w:val="11C93818"/>
    <w:rsid w:val="11D3559B"/>
    <w:rsid w:val="11E3380B"/>
    <w:rsid w:val="11E37FC9"/>
    <w:rsid w:val="11E7B99F"/>
    <w:rsid w:val="11F7858B"/>
    <w:rsid w:val="11F9A6C0"/>
    <w:rsid w:val="12140BA4"/>
    <w:rsid w:val="12184970"/>
    <w:rsid w:val="121ED2E9"/>
    <w:rsid w:val="12245236"/>
    <w:rsid w:val="1231BF92"/>
    <w:rsid w:val="1235D6C2"/>
    <w:rsid w:val="1237BEC2"/>
    <w:rsid w:val="1238BD51"/>
    <w:rsid w:val="123BF096"/>
    <w:rsid w:val="123D908A"/>
    <w:rsid w:val="123F251C"/>
    <w:rsid w:val="123F8599"/>
    <w:rsid w:val="12405DF4"/>
    <w:rsid w:val="1255C851"/>
    <w:rsid w:val="126A9F89"/>
    <w:rsid w:val="1271BA87"/>
    <w:rsid w:val="1274DC65"/>
    <w:rsid w:val="127AE0FE"/>
    <w:rsid w:val="127E7E08"/>
    <w:rsid w:val="128C8279"/>
    <w:rsid w:val="128DB84C"/>
    <w:rsid w:val="128F2879"/>
    <w:rsid w:val="12907FF4"/>
    <w:rsid w:val="129A5820"/>
    <w:rsid w:val="129E3270"/>
    <w:rsid w:val="12A1F796"/>
    <w:rsid w:val="12AC499F"/>
    <w:rsid w:val="12ACA37D"/>
    <w:rsid w:val="12AF5366"/>
    <w:rsid w:val="12B10D71"/>
    <w:rsid w:val="12B7E4D8"/>
    <w:rsid w:val="12BC57E6"/>
    <w:rsid w:val="12C0AF86"/>
    <w:rsid w:val="12CFA186"/>
    <w:rsid w:val="12D40871"/>
    <w:rsid w:val="12E8A67B"/>
    <w:rsid w:val="12EFCFF2"/>
    <w:rsid w:val="12F105FE"/>
    <w:rsid w:val="12F27177"/>
    <w:rsid w:val="12F3AD56"/>
    <w:rsid w:val="1300B29A"/>
    <w:rsid w:val="1308C1F7"/>
    <w:rsid w:val="1323E63F"/>
    <w:rsid w:val="1328D75D"/>
    <w:rsid w:val="1328FE2D"/>
    <w:rsid w:val="133DDD88"/>
    <w:rsid w:val="1345874C"/>
    <w:rsid w:val="1351B1A3"/>
    <w:rsid w:val="13528763"/>
    <w:rsid w:val="13584EFF"/>
    <w:rsid w:val="135A3A9B"/>
    <w:rsid w:val="1360C3CF"/>
    <w:rsid w:val="13710B8E"/>
    <w:rsid w:val="1374EA60"/>
    <w:rsid w:val="1377DF78"/>
    <w:rsid w:val="1377E398"/>
    <w:rsid w:val="137CDE5E"/>
    <w:rsid w:val="137E11A3"/>
    <w:rsid w:val="138071A5"/>
    <w:rsid w:val="13890D66"/>
    <w:rsid w:val="139774ED"/>
    <w:rsid w:val="139E0EE7"/>
    <w:rsid w:val="13A5B0EE"/>
    <w:rsid w:val="13AE73C0"/>
    <w:rsid w:val="13B6FAC1"/>
    <w:rsid w:val="13BD5829"/>
    <w:rsid w:val="13C1F7EE"/>
    <w:rsid w:val="13C65FC7"/>
    <w:rsid w:val="13DB9DB0"/>
    <w:rsid w:val="13E710C9"/>
    <w:rsid w:val="13F08D47"/>
    <w:rsid w:val="13F70824"/>
    <w:rsid w:val="140535EE"/>
    <w:rsid w:val="140A6DA6"/>
    <w:rsid w:val="14194A16"/>
    <w:rsid w:val="1428F1FF"/>
    <w:rsid w:val="142D53D2"/>
    <w:rsid w:val="142F0035"/>
    <w:rsid w:val="1430C499"/>
    <w:rsid w:val="14370E8B"/>
    <w:rsid w:val="1439592D"/>
    <w:rsid w:val="145234F5"/>
    <w:rsid w:val="145EBC4A"/>
    <w:rsid w:val="14625F6A"/>
    <w:rsid w:val="1482E81F"/>
    <w:rsid w:val="1486847C"/>
    <w:rsid w:val="148CD1B8"/>
    <w:rsid w:val="148D1C5C"/>
    <w:rsid w:val="148D2102"/>
    <w:rsid w:val="148D80AA"/>
    <w:rsid w:val="1496903F"/>
    <w:rsid w:val="1499EECC"/>
    <w:rsid w:val="149D3574"/>
    <w:rsid w:val="14A869CF"/>
    <w:rsid w:val="14A9C4B9"/>
    <w:rsid w:val="14B02E8E"/>
    <w:rsid w:val="14B031FB"/>
    <w:rsid w:val="14B1BDE3"/>
    <w:rsid w:val="14B42C78"/>
    <w:rsid w:val="14B6EFFA"/>
    <w:rsid w:val="14BE0956"/>
    <w:rsid w:val="14C1D95F"/>
    <w:rsid w:val="14C299B5"/>
    <w:rsid w:val="14C85145"/>
    <w:rsid w:val="14C9145B"/>
    <w:rsid w:val="14CC6B83"/>
    <w:rsid w:val="14CF087D"/>
    <w:rsid w:val="14D5D34A"/>
    <w:rsid w:val="14DDC9C7"/>
    <w:rsid w:val="14EB2856"/>
    <w:rsid w:val="14F12018"/>
    <w:rsid w:val="14F680A8"/>
    <w:rsid w:val="14F95E7B"/>
    <w:rsid w:val="14FC35AD"/>
    <w:rsid w:val="1509F32F"/>
    <w:rsid w:val="1513FBA7"/>
    <w:rsid w:val="1528AD5B"/>
    <w:rsid w:val="1528EEC9"/>
    <w:rsid w:val="153AE8CB"/>
    <w:rsid w:val="153BD070"/>
    <w:rsid w:val="153DCC86"/>
    <w:rsid w:val="1548A55E"/>
    <w:rsid w:val="1555883D"/>
    <w:rsid w:val="155B5F9F"/>
    <w:rsid w:val="156611AD"/>
    <w:rsid w:val="1568B712"/>
    <w:rsid w:val="156A5CDA"/>
    <w:rsid w:val="156CA384"/>
    <w:rsid w:val="1573F6E0"/>
    <w:rsid w:val="15773DFE"/>
    <w:rsid w:val="1577EB41"/>
    <w:rsid w:val="158B5B01"/>
    <w:rsid w:val="1590B161"/>
    <w:rsid w:val="159ABA68"/>
    <w:rsid w:val="15A0515A"/>
    <w:rsid w:val="15A0BFBE"/>
    <w:rsid w:val="15A4E2E6"/>
    <w:rsid w:val="15B0F6AE"/>
    <w:rsid w:val="15B20998"/>
    <w:rsid w:val="15B5F5A6"/>
    <w:rsid w:val="15B7CB20"/>
    <w:rsid w:val="15B93B5D"/>
    <w:rsid w:val="15C372C5"/>
    <w:rsid w:val="15CB83A8"/>
    <w:rsid w:val="15D41186"/>
    <w:rsid w:val="15DA4741"/>
    <w:rsid w:val="15DFF5C7"/>
    <w:rsid w:val="15E08ED0"/>
    <w:rsid w:val="15E38F91"/>
    <w:rsid w:val="15EB81BE"/>
    <w:rsid w:val="15ECB13D"/>
    <w:rsid w:val="15F6F7F7"/>
    <w:rsid w:val="15F853B3"/>
    <w:rsid w:val="16194E16"/>
    <w:rsid w:val="162141B2"/>
    <w:rsid w:val="16231074"/>
    <w:rsid w:val="16276908"/>
    <w:rsid w:val="16277C3B"/>
    <w:rsid w:val="1634E3FF"/>
    <w:rsid w:val="163871BE"/>
    <w:rsid w:val="164298C3"/>
    <w:rsid w:val="164CE01F"/>
    <w:rsid w:val="164E4160"/>
    <w:rsid w:val="1652C757"/>
    <w:rsid w:val="1652F7E3"/>
    <w:rsid w:val="1653E961"/>
    <w:rsid w:val="1655C763"/>
    <w:rsid w:val="165BF5D0"/>
    <w:rsid w:val="1687EC62"/>
    <w:rsid w:val="1691A562"/>
    <w:rsid w:val="16936C48"/>
    <w:rsid w:val="16A3D449"/>
    <w:rsid w:val="16B7C760"/>
    <w:rsid w:val="16BFD780"/>
    <w:rsid w:val="16CD3C85"/>
    <w:rsid w:val="16E5B4DB"/>
    <w:rsid w:val="16FFBB51"/>
    <w:rsid w:val="170C60B4"/>
    <w:rsid w:val="1715AA22"/>
    <w:rsid w:val="17169804"/>
    <w:rsid w:val="1729B860"/>
    <w:rsid w:val="1734BC64"/>
    <w:rsid w:val="17358CDF"/>
    <w:rsid w:val="173A1BC0"/>
    <w:rsid w:val="173CDB44"/>
    <w:rsid w:val="17425642"/>
    <w:rsid w:val="174527AB"/>
    <w:rsid w:val="17517B56"/>
    <w:rsid w:val="17539968"/>
    <w:rsid w:val="175419F9"/>
    <w:rsid w:val="17666840"/>
    <w:rsid w:val="1766A021"/>
    <w:rsid w:val="17780EFC"/>
    <w:rsid w:val="177AC6FA"/>
    <w:rsid w:val="17846444"/>
    <w:rsid w:val="17897054"/>
    <w:rsid w:val="1789F10A"/>
    <w:rsid w:val="1794F39E"/>
    <w:rsid w:val="1798B610"/>
    <w:rsid w:val="17996E5A"/>
    <w:rsid w:val="179D62C9"/>
    <w:rsid w:val="179DA26E"/>
    <w:rsid w:val="17A39BD4"/>
    <w:rsid w:val="17BA40C9"/>
    <w:rsid w:val="17D5C70B"/>
    <w:rsid w:val="17E94B3E"/>
    <w:rsid w:val="180FD228"/>
    <w:rsid w:val="1813B423"/>
    <w:rsid w:val="181769A2"/>
    <w:rsid w:val="182EC157"/>
    <w:rsid w:val="18429EEB"/>
    <w:rsid w:val="1842DA35"/>
    <w:rsid w:val="1842E7C5"/>
    <w:rsid w:val="184329AB"/>
    <w:rsid w:val="1845880F"/>
    <w:rsid w:val="184C7EDA"/>
    <w:rsid w:val="18516E1C"/>
    <w:rsid w:val="1855A27E"/>
    <w:rsid w:val="18582FAB"/>
    <w:rsid w:val="185F2A32"/>
    <w:rsid w:val="18618B00"/>
    <w:rsid w:val="1869E615"/>
    <w:rsid w:val="186AA599"/>
    <w:rsid w:val="186B0004"/>
    <w:rsid w:val="1879EBB7"/>
    <w:rsid w:val="187FF960"/>
    <w:rsid w:val="1880DC47"/>
    <w:rsid w:val="18958350"/>
    <w:rsid w:val="18975841"/>
    <w:rsid w:val="18B9DA79"/>
    <w:rsid w:val="18C78C98"/>
    <w:rsid w:val="18CEB1E4"/>
    <w:rsid w:val="18D20AC5"/>
    <w:rsid w:val="18D5D4A6"/>
    <w:rsid w:val="18DB9AFE"/>
    <w:rsid w:val="18F82ACA"/>
    <w:rsid w:val="18F853D0"/>
    <w:rsid w:val="18F953ED"/>
    <w:rsid w:val="18FAC4B7"/>
    <w:rsid w:val="19027082"/>
    <w:rsid w:val="19195BDC"/>
    <w:rsid w:val="1920B908"/>
    <w:rsid w:val="19327D70"/>
    <w:rsid w:val="1938E9F9"/>
    <w:rsid w:val="193F40A3"/>
    <w:rsid w:val="194C62E8"/>
    <w:rsid w:val="194CF4AB"/>
    <w:rsid w:val="1956F01D"/>
    <w:rsid w:val="1958C794"/>
    <w:rsid w:val="1960F821"/>
    <w:rsid w:val="19685E98"/>
    <w:rsid w:val="196B0D34"/>
    <w:rsid w:val="196BDC5F"/>
    <w:rsid w:val="196F0D2B"/>
    <w:rsid w:val="19892A9F"/>
    <w:rsid w:val="19A912CA"/>
    <w:rsid w:val="19B11214"/>
    <w:rsid w:val="19B1E751"/>
    <w:rsid w:val="19B21B23"/>
    <w:rsid w:val="19B99F31"/>
    <w:rsid w:val="19C38AA0"/>
    <w:rsid w:val="19E4DD3A"/>
    <w:rsid w:val="1A0B310F"/>
    <w:rsid w:val="1A117BDD"/>
    <w:rsid w:val="1A13E977"/>
    <w:rsid w:val="1A194428"/>
    <w:rsid w:val="1A220C7F"/>
    <w:rsid w:val="1A244A14"/>
    <w:rsid w:val="1A2A4ABE"/>
    <w:rsid w:val="1A316CA9"/>
    <w:rsid w:val="1A352A52"/>
    <w:rsid w:val="1A35A6EC"/>
    <w:rsid w:val="1A48AFE9"/>
    <w:rsid w:val="1A57804A"/>
    <w:rsid w:val="1A6326AC"/>
    <w:rsid w:val="1A709C5A"/>
    <w:rsid w:val="1A7901F8"/>
    <w:rsid w:val="1A79B882"/>
    <w:rsid w:val="1A7E259C"/>
    <w:rsid w:val="1A8A8A95"/>
    <w:rsid w:val="1A8A99FB"/>
    <w:rsid w:val="1A994090"/>
    <w:rsid w:val="1AA3F577"/>
    <w:rsid w:val="1AA43DA1"/>
    <w:rsid w:val="1AAB475A"/>
    <w:rsid w:val="1AD06E72"/>
    <w:rsid w:val="1AD5E8E1"/>
    <w:rsid w:val="1AD667EE"/>
    <w:rsid w:val="1ADA5B0D"/>
    <w:rsid w:val="1ADBCE3A"/>
    <w:rsid w:val="1ADE35A7"/>
    <w:rsid w:val="1AEF0766"/>
    <w:rsid w:val="1AFA480A"/>
    <w:rsid w:val="1AFBD83B"/>
    <w:rsid w:val="1AFCCDFF"/>
    <w:rsid w:val="1B02017A"/>
    <w:rsid w:val="1B07FF95"/>
    <w:rsid w:val="1B095557"/>
    <w:rsid w:val="1B0D70BF"/>
    <w:rsid w:val="1B1A831A"/>
    <w:rsid w:val="1B2A2D96"/>
    <w:rsid w:val="1B2EC428"/>
    <w:rsid w:val="1B3DC0C2"/>
    <w:rsid w:val="1B3F94F0"/>
    <w:rsid w:val="1B5A5E2C"/>
    <w:rsid w:val="1B5F81F8"/>
    <w:rsid w:val="1B64FE39"/>
    <w:rsid w:val="1B765503"/>
    <w:rsid w:val="1B7694A8"/>
    <w:rsid w:val="1B8C6E91"/>
    <w:rsid w:val="1B8ECA2B"/>
    <w:rsid w:val="1B95E0D0"/>
    <w:rsid w:val="1BA36D67"/>
    <w:rsid w:val="1BA9A213"/>
    <w:rsid w:val="1BB6C29D"/>
    <w:rsid w:val="1BBB1B5A"/>
    <w:rsid w:val="1BBCB73C"/>
    <w:rsid w:val="1BD1295D"/>
    <w:rsid w:val="1BD49EA6"/>
    <w:rsid w:val="1BDD300D"/>
    <w:rsid w:val="1BE1F638"/>
    <w:rsid w:val="1BEA0C6D"/>
    <w:rsid w:val="1BEA4DB3"/>
    <w:rsid w:val="1BEE3CAD"/>
    <w:rsid w:val="1BF3F560"/>
    <w:rsid w:val="1BF4A8AD"/>
    <w:rsid w:val="1BFBB7C2"/>
    <w:rsid w:val="1C022DE8"/>
    <w:rsid w:val="1C0AC228"/>
    <w:rsid w:val="1C157B21"/>
    <w:rsid w:val="1C1F9357"/>
    <w:rsid w:val="1C2D11EF"/>
    <w:rsid w:val="1C3082CD"/>
    <w:rsid w:val="1C3CE233"/>
    <w:rsid w:val="1C3D1F5A"/>
    <w:rsid w:val="1C4FE86E"/>
    <w:rsid w:val="1C593928"/>
    <w:rsid w:val="1C63B40E"/>
    <w:rsid w:val="1C6F50C0"/>
    <w:rsid w:val="1C7AF38C"/>
    <w:rsid w:val="1C7BE844"/>
    <w:rsid w:val="1C7C2CA9"/>
    <w:rsid w:val="1C91960D"/>
    <w:rsid w:val="1C96B9E9"/>
    <w:rsid w:val="1C981D05"/>
    <w:rsid w:val="1CAECF1B"/>
    <w:rsid w:val="1CB3CF48"/>
    <w:rsid w:val="1CCAE9F8"/>
    <w:rsid w:val="1CCDB425"/>
    <w:rsid w:val="1CD0F822"/>
    <w:rsid w:val="1CD60B2C"/>
    <w:rsid w:val="1CDCBE56"/>
    <w:rsid w:val="1CDCD3B2"/>
    <w:rsid w:val="1CE1F9E7"/>
    <w:rsid w:val="1CF58466"/>
    <w:rsid w:val="1D0C928D"/>
    <w:rsid w:val="1D151676"/>
    <w:rsid w:val="1D1B85C5"/>
    <w:rsid w:val="1D1BCE27"/>
    <w:rsid w:val="1D1F5504"/>
    <w:rsid w:val="1D261F7D"/>
    <w:rsid w:val="1D290DA3"/>
    <w:rsid w:val="1D2B8DD3"/>
    <w:rsid w:val="1D2DA576"/>
    <w:rsid w:val="1D2FBF8E"/>
    <w:rsid w:val="1D360973"/>
    <w:rsid w:val="1D3F3C0A"/>
    <w:rsid w:val="1D417708"/>
    <w:rsid w:val="1D4E4B2C"/>
    <w:rsid w:val="1D504029"/>
    <w:rsid w:val="1D5256BC"/>
    <w:rsid w:val="1D537ECA"/>
    <w:rsid w:val="1D594CA2"/>
    <w:rsid w:val="1D5AC4EB"/>
    <w:rsid w:val="1D5D4958"/>
    <w:rsid w:val="1D628C3C"/>
    <w:rsid w:val="1D67E0F5"/>
    <w:rsid w:val="1D76620B"/>
    <w:rsid w:val="1D9B2F3D"/>
    <w:rsid w:val="1D9CA5AB"/>
    <w:rsid w:val="1D9E9A98"/>
    <w:rsid w:val="1DA1B282"/>
    <w:rsid w:val="1DA560C0"/>
    <w:rsid w:val="1DB81C8B"/>
    <w:rsid w:val="1DBE5F1E"/>
    <w:rsid w:val="1DC3CC15"/>
    <w:rsid w:val="1DCD04DC"/>
    <w:rsid w:val="1DD4B59C"/>
    <w:rsid w:val="1DD7A43F"/>
    <w:rsid w:val="1DE03DD5"/>
    <w:rsid w:val="1DE8BFD8"/>
    <w:rsid w:val="1DEEA36F"/>
    <w:rsid w:val="1E24E693"/>
    <w:rsid w:val="1E29EEB1"/>
    <w:rsid w:val="1E397F8B"/>
    <w:rsid w:val="1E5AD76F"/>
    <w:rsid w:val="1E60522C"/>
    <w:rsid w:val="1E71BCD2"/>
    <w:rsid w:val="1E75A4E9"/>
    <w:rsid w:val="1E76FE5E"/>
    <w:rsid w:val="1E7B8121"/>
    <w:rsid w:val="1E7D6CE6"/>
    <w:rsid w:val="1E7F39D4"/>
    <w:rsid w:val="1E87911A"/>
    <w:rsid w:val="1E8C5282"/>
    <w:rsid w:val="1EA029B3"/>
    <w:rsid w:val="1EBB2BF4"/>
    <w:rsid w:val="1EBFF45C"/>
    <w:rsid w:val="1EC70723"/>
    <w:rsid w:val="1EE007AB"/>
    <w:rsid w:val="1EE9F443"/>
    <w:rsid w:val="1EEB5844"/>
    <w:rsid w:val="1EEF95D3"/>
    <w:rsid w:val="1EF40857"/>
    <w:rsid w:val="1EF7CA69"/>
    <w:rsid w:val="1EFD88F4"/>
    <w:rsid w:val="1EFDEBDD"/>
    <w:rsid w:val="1F07F596"/>
    <w:rsid w:val="1F0CAD33"/>
    <w:rsid w:val="1F11EC35"/>
    <w:rsid w:val="1F1925B9"/>
    <w:rsid w:val="1F1EDD94"/>
    <w:rsid w:val="1F208401"/>
    <w:rsid w:val="1F365D63"/>
    <w:rsid w:val="1F3D7554"/>
    <w:rsid w:val="1F481DF4"/>
    <w:rsid w:val="1F57C6BE"/>
    <w:rsid w:val="1F6357B7"/>
    <w:rsid w:val="1F63C500"/>
    <w:rsid w:val="1F6AFB75"/>
    <w:rsid w:val="1F7C71F5"/>
    <w:rsid w:val="1F7E393D"/>
    <w:rsid w:val="1F83A0EE"/>
    <w:rsid w:val="1F963C63"/>
    <w:rsid w:val="1F9666CB"/>
    <w:rsid w:val="1FA50A47"/>
    <w:rsid w:val="1FA86CCE"/>
    <w:rsid w:val="1FAA9987"/>
    <w:rsid w:val="1FAB5987"/>
    <w:rsid w:val="1FB4BFE9"/>
    <w:rsid w:val="1FC8F157"/>
    <w:rsid w:val="1FDF67F4"/>
    <w:rsid w:val="1FE832A5"/>
    <w:rsid w:val="1FE98DF8"/>
    <w:rsid w:val="1FF1285E"/>
    <w:rsid w:val="1FF1E012"/>
    <w:rsid w:val="1FF3D974"/>
    <w:rsid w:val="1FF6A637"/>
    <w:rsid w:val="2002AB5D"/>
    <w:rsid w:val="2005050D"/>
    <w:rsid w:val="20070364"/>
    <w:rsid w:val="20187DB5"/>
    <w:rsid w:val="20230ED6"/>
    <w:rsid w:val="20248553"/>
    <w:rsid w:val="20283421"/>
    <w:rsid w:val="20339CAE"/>
    <w:rsid w:val="20352F1C"/>
    <w:rsid w:val="203D57D5"/>
    <w:rsid w:val="204572C1"/>
    <w:rsid w:val="20466585"/>
    <w:rsid w:val="20481717"/>
    <w:rsid w:val="204843E4"/>
    <w:rsid w:val="20489DEA"/>
    <w:rsid w:val="204BFE68"/>
    <w:rsid w:val="2061F5DB"/>
    <w:rsid w:val="206232F3"/>
    <w:rsid w:val="20684D52"/>
    <w:rsid w:val="20821960"/>
    <w:rsid w:val="20897C30"/>
    <w:rsid w:val="209635D7"/>
    <w:rsid w:val="209690AE"/>
    <w:rsid w:val="20A45CFE"/>
    <w:rsid w:val="20A5262C"/>
    <w:rsid w:val="20A60C2F"/>
    <w:rsid w:val="20AF6B9A"/>
    <w:rsid w:val="20B9F5ED"/>
    <w:rsid w:val="20C0E7D4"/>
    <w:rsid w:val="20D3A36A"/>
    <w:rsid w:val="20E01383"/>
    <w:rsid w:val="20E33EC5"/>
    <w:rsid w:val="20F586DF"/>
    <w:rsid w:val="20F64B6D"/>
    <w:rsid w:val="2105175E"/>
    <w:rsid w:val="21098C23"/>
    <w:rsid w:val="2109C03A"/>
    <w:rsid w:val="2113FD3D"/>
    <w:rsid w:val="21153829"/>
    <w:rsid w:val="2116B0AC"/>
    <w:rsid w:val="211A1113"/>
    <w:rsid w:val="211A7290"/>
    <w:rsid w:val="211E4B98"/>
    <w:rsid w:val="21295EB2"/>
    <w:rsid w:val="212DBE1A"/>
    <w:rsid w:val="212F79A1"/>
    <w:rsid w:val="213070EB"/>
    <w:rsid w:val="2147105F"/>
    <w:rsid w:val="214E56F2"/>
    <w:rsid w:val="21508A3B"/>
    <w:rsid w:val="216299CD"/>
    <w:rsid w:val="216E43F9"/>
    <w:rsid w:val="216EC8C5"/>
    <w:rsid w:val="2173B2A8"/>
    <w:rsid w:val="21872CCF"/>
    <w:rsid w:val="218CA7C3"/>
    <w:rsid w:val="21A2F54B"/>
    <w:rsid w:val="21AAE662"/>
    <w:rsid w:val="21B26E81"/>
    <w:rsid w:val="21B67F5B"/>
    <w:rsid w:val="21C66013"/>
    <w:rsid w:val="21CA7A4A"/>
    <w:rsid w:val="21CA8743"/>
    <w:rsid w:val="21D4ACBD"/>
    <w:rsid w:val="21D84EAB"/>
    <w:rsid w:val="21DC1BA1"/>
    <w:rsid w:val="21EC7ECD"/>
    <w:rsid w:val="21FA1EFE"/>
    <w:rsid w:val="220E83CE"/>
    <w:rsid w:val="2216477D"/>
    <w:rsid w:val="221773C4"/>
    <w:rsid w:val="221843E5"/>
    <w:rsid w:val="221B79F1"/>
    <w:rsid w:val="2226EC1A"/>
    <w:rsid w:val="2233E70A"/>
    <w:rsid w:val="223E7D60"/>
    <w:rsid w:val="22422EE0"/>
    <w:rsid w:val="224C713E"/>
    <w:rsid w:val="2252F4D7"/>
    <w:rsid w:val="225EDFA2"/>
    <w:rsid w:val="227528E9"/>
    <w:rsid w:val="227ADBD8"/>
    <w:rsid w:val="227FF108"/>
    <w:rsid w:val="22912270"/>
    <w:rsid w:val="22921DDE"/>
    <w:rsid w:val="229381C4"/>
    <w:rsid w:val="22951E2B"/>
    <w:rsid w:val="229A551A"/>
    <w:rsid w:val="22A0EB9F"/>
    <w:rsid w:val="22A8F1D1"/>
    <w:rsid w:val="22A97835"/>
    <w:rsid w:val="22AB7FCF"/>
    <w:rsid w:val="22ABB0A8"/>
    <w:rsid w:val="22B7BEF5"/>
    <w:rsid w:val="22C63DE8"/>
    <w:rsid w:val="22CACE66"/>
    <w:rsid w:val="22CDAD97"/>
    <w:rsid w:val="22DDD59B"/>
    <w:rsid w:val="22DF8AB6"/>
    <w:rsid w:val="22E695CE"/>
    <w:rsid w:val="22EBD3B1"/>
    <w:rsid w:val="22F3129F"/>
    <w:rsid w:val="230DBE3B"/>
    <w:rsid w:val="23105FB8"/>
    <w:rsid w:val="23162F37"/>
    <w:rsid w:val="2319BDDA"/>
    <w:rsid w:val="231CC003"/>
    <w:rsid w:val="2322AB6A"/>
    <w:rsid w:val="232AB415"/>
    <w:rsid w:val="2332C1F9"/>
    <w:rsid w:val="235C1D67"/>
    <w:rsid w:val="236073E1"/>
    <w:rsid w:val="238363D0"/>
    <w:rsid w:val="23857AC6"/>
    <w:rsid w:val="23888911"/>
    <w:rsid w:val="238F2495"/>
    <w:rsid w:val="2392549B"/>
    <w:rsid w:val="23A19583"/>
    <w:rsid w:val="23A38E24"/>
    <w:rsid w:val="23B108A1"/>
    <w:rsid w:val="23C287C9"/>
    <w:rsid w:val="23CA1CBA"/>
    <w:rsid w:val="23DC69A6"/>
    <w:rsid w:val="23F39CCC"/>
    <w:rsid w:val="23F706C0"/>
    <w:rsid w:val="23FF165F"/>
    <w:rsid w:val="24000CD4"/>
    <w:rsid w:val="240B8170"/>
    <w:rsid w:val="241487C4"/>
    <w:rsid w:val="24241A5B"/>
    <w:rsid w:val="2438A27D"/>
    <w:rsid w:val="244B691C"/>
    <w:rsid w:val="244FCE69"/>
    <w:rsid w:val="245EA9B2"/>
    <w:rsid w:val="24849430"/>
    <w:rsid w:val="2485A578"/>
    <w:rsid w:val="248B1D02"/>
    <w:rsid w:val="248DA79A"/>
    <w:rsid w:val="249A85AB"/>
    <w:rsid w:val="249EF3E2"/>
    <w:rsid w:val="24A8D529"/>
    <w:rsid w:val="24AA6BA2"/>
    <w:rsid w:val="24B0152D"/>
    <w:rsid w:val="24B734CF"/>
    <w:rsid w:val="24B7B358"/>
    <w:rsid w:val="24C744D4"/>
    <w:rsid w:val="24D5278E"/>
    <w:rsid w:val="24D98012"/>
    <w:rsid w:val="24E10DAF"/>
    <w:rsid w:val="24E57FB2"/>
    <w:rsid w:val="24F639B6"/>
    <w:rsid w:val="24F8AB17"/>
    <w:rsid w:val="25049785"/>
    <w:rsid w:val="25093378"/>
    <w:rsid w:val="2539F809"/>
    <w:rsid w:val="25431AA6"/>
    <w:rsid w:val="25441BB3"/>
    <w:rsid w:val="25463BDC"/>
    <w:rsid w:val="254759E8"/>
    <w:rsid w:val="25482237"/>
    <w:rsid w:val="254C1AFD"/>
    <w:rsid w:val="2550F3FB"/>
    <w:rsid w:val="2560CCB6"/>
    <w:rsid w:val="2561C5FF"/>
    <w:rsid w:val="256604CF"/>
    <w:rsid w:val="2566E14B"/>
    <w:rsid w:val="257DAA3A"/>
    <w:rsid w:val="257E5D68"/>
    <w:rsid w:val="2584A6B7"/>
    <w:rsid w:val="25865FB3"/>
    <w:rsid w:val="25882BC8"/>
    <w:rsid w:val="25908E3F"/>
    <w:rsid w:val="2593046E"/>
    <w:rsid w:val="2597CDCF"/>
    <w:rsid w:val="25A8B66D"/>
    <w:rsid w:val="25ACCAA6"/>
    <w:rsid w:val="25BCE9FF"/>
    <w:rsid w:val="25C0316C"/>
    <w:rsid w:val="25C4A285"/>
    <w:rsid w:val="25C80464"/>
    <w:rsid w:val="25C84C88"/>
    <w:rsid w:val="25CFC572"/>
    <w:rsid w:val="25D23D4E"/>
    <w:rsid w:val="25E66CA0"/>
    <w:rsid w:val="25E6EA93"/>
    <w:rsid w:val="25E74F45"/>
    <w:rsid w:val="25EFAA8C"/>
    <w:rsid w:val="260DB623"/>
    <w:rsid w:val="261356B5"/>
    <w:rsid w:val="261505D9"/>
    <w:rsid w:val="261537A3"/>
    <w:rsid w:val="261C1BC5"/>
    <w:rsid w:val="261E34A5"/>
    <w:rsid w:val="2622990B"/>
    <w:rsid w:val="26233269"/>
    <w:rsid w:val="26244EB3"/>
    <w:rsid w:val="262793E2"/>
    <w:rsid w:val="26493275"/>
    <w:rsid w:val="264FEAA1"/>
    <w:rsid w:val="2653D62C"/>
    <w:rsid w:val="2654D51E"/>
    <w:rsid w:val="2668A05A"/>
    <w:rsid w:val="267872D2"/>
    <w:rsid w:val="267CE7C4"/>
    <w:rsid w:val="2685ED07"/>
    <w:rsid w:val="268E22C4"/>
    <w:rsid w:val="26A4CB35"/>
    <w:rsid w:val="26B6F87A"/>
    <w:rsid w:val="26C0F2D2"/>
    <w:rsid w:val="26C97033"/>
    <w:rsid w:val="26D3F293"/>
    <w:rsid w:val="26F0AB06"/>
    <w:rsid w:val="26F75351"/>
    <w:rsid w:val="26F82C59"/>
    <w:rsid w:val="270B7E24"/>
    <w:rsid w:val="27201275"/>
    <w:rsid w:val="27204F3E"/>
    <w:rsid w:val="2724CFCC"/>
    <w:rsid w:val="2727E9C7"/>
    <w:rsid w:val="27311A6A"/>
    <w:rsid w:val="27325D21"/>
    <w:rsid w:val="273B33C7"/>
    <w:rsid w:val="2746C4EF"/>
    <w:rsid w:val="2767D03B"/>
    <w:rsid w:val="27772DCA"/>
    <w:rsid w:val="277A04C4"/>
    <w:rsid w:val="277F1D7E"/>
    <w:rsid w:val="27892840"/>
    <w:rsid w:val="27ABF9F3"/>
    <w:rsid w:val="27ADCA55"/>
    <w:rsid w:val="27B30464"/>
    <w:rsid w:val="27C86E78"/>
    <w:rsid w:val="27D3BC0B"/>
    <w:rsid w:val="27D59561"/>
    <w:rsid w:val="27E1B613"/>
    <w:rsid w:val="27E33DA4"/>
    <w:rsid w:val="27E574AE"/>
    <w:rsid w:val="27E8395D"/>
    <w:rsid w:val="27E99A45"/>
    <w:rsid w:val="27F6880B"/>
    <w:rsid w:val="27F821DE"/>
    <w:rsid w:val="28268FBB"/>
    <w:rsid w:val="282F0910"/>
    <w:rsid w:val="28329D42"/>
    <w:rsid w:val="28345B37"/>
    <w:rsid w:val="283C7031"/>
    <w:rsid w:val="283FB2E5"/>
    <w:rsid w:val="284BBEE3"/>
    <w:rsid w:val="285DD41A"/>
    <w:rsid w:val="285EB385"/>
    <w:rsid w:val="285ECE7B"/>
    <w:rsid w:val="28680284"/>
    <w:rsid w:val="286AF738"/>
    <w:rsid w:val="28764D17"/>
    <w:rsid w:val="287B2BC6"/>
    <w:rsid w:val="28947407"/>
    <w:rsid w:val="28A0DEC5"/>
    <w:rsid w:val="28A45A7D"/>
    <w:rsid w:val="28B8582A"/>
    <w:rsid w:val="28C45E76"/>
    <w:rsid w:val="28C72336"/>
    <w:rsid w:val="28C73BB9"/>
    <w:rsid w:val="28CA5399"/>
    <w:rsid w:val="28CE1EEB"/>
    <w:rsid w:val="28D5BE8A"/>
    <w:rsid w:val="28DFBE40"/>
    <w:rsid w:val="28E0A100"/>
    <w:rsid w:val="28E25278"/>
    <w:rsid w:val="28E31EA1"/>
    <w:rsid w:val="28E5EE8B"/>
    <w:rsid w:val="28F873A7"/>
    <w:rsid w:val="28FC2065"/>
    <w:rsid w:val="28FE8848"/>
    <w:rsid w:val="2906C5C0"/>
    <w:rsid w:val="2907356C"/>
    <w:rsid w:val="290F331E"/>
    <w:rsid w:val="2911AFBC"/>
    <w:rsid w:val="2912DB89"/>
    <w:rsid w:val="2916F2CC"/>
    <w:rsid w:val="2919C66F"/>
    <w:rsid w:val="291E0B42"/>
    <w:rsid w:val="2929BE07"/>
    <w:rsid w:val="2935D9AE"/>
    <w:rsid w:val="2936DD5E"/>
    <w:rsid w:val="293BEE3C"/>
    <w:rsid w:val="293EA66D"/>
    <w:rsid w:val="294E0CE3"/>
    <w:rsid w:val="2950ED6C"/>
    <w:rsid w:val="295567B6"/>
    <w:rsid w:val="295F7C7D"/>
    <w:rsid w:val="2964E04A"/>
    <w:rsid w:val="296AC466"/>
    <w:rsid w:val="2972C2CC"/>
    <w:rsid w:val="29754ABE"/>
    <w:rsid w:val="297AC945"/>
    <w:rsid w:val="297C7FC0"/>
    <w:rsid w:val="298766D9"/>
    <w:rsid w:val="29A265C8"/>
    <w:rsid w:val="29A5EEE7"/>
    <w:rsid w:val="29B705C4"/>
    <w:rsid w:val="29B98CF6"/>
    <w:rsid w:val="29C347C4"/>
    <w:rsid w:val="29D7FAF9"/>
    <w:rsid w:val="29D80B85"/>
    <w:rsid w:val="29D850B4"/>
    <w:rsid w:val="29DB9A30"/>
    <w:rsid w:val="29DDB109"/>
    <w:rsid w:val="29DEAFE3"/>
    <w:rsid w:val="29E00D86"/>
    <w:rsid w:val="29E3AACA"/>
    <w:rsid w:val="29E496C7"/>
    <w:rsid w:val="29E6BE06"/>
    <w:rsid w:val="29ED2644"/>
    <w:rsid w:val="29ED2B33"/>
    <w:rsid w:val="29F3CE1E"/>
    <w:rsid w:val="29F65AE8"/>
    <w:rsid w:val="29FB87FE"/>
    <w:rsid w:val="29FE7BBA"/>
    <w:rsid w:val="2A008023"/>
    <w:rsid w:val="2A020656"/>
    <w:rsid w:val="2A13FCEE"/>
    <w:rsid w:val="2A160CC7"/>
    <w:rsid w:val="2A1B9708"/>
    <w:rsid w:val="2A22F471"/>
    <w:rsid w:val="2A48EEC9"/>
    <w:rsid w:val="2A4AC64B"/>
    <w:rsid w:val="2A4CEA10"/>
    <w:rsid w:val="2A55771B"/>
    <w:rsid w:val="2A58DF5C"/>
    <w:rsid w:val="2A5D45D7"/>
    <w:rsid w:val="2A668A51"/>
    <w:rsid w:val="2A675D3D"/>
    <w:rsid w:val="2A6D3101"/>
    <w:rsid w:val="2A83C84B"/>
    <w:rsid w:val="2A8C0A43"/>
    <w:rsid w:val="2A8CD468"/>
    <w:rsid w:val="2A8D23FF"/>
    <w:rsid w:val="2A8D5AED"/>
    <w:rsid w:val="2A8E8CB3"/>
    <w:rsid w:val="2A9143B4"/>
    <w:rsid w:val="2A92A182"/>
    <w:rsid w:val="2A9442D0"/>
    <w:rsid w:val="2A9FA80A"/>
    <w:rsid w:val="2AA16AD5"/>
    <w:rsid w:val="2AA5CBDD"/>
    <w:rsid w:val="2AB6C28D"/>
    <w:rsid w:val="2AB829A4"/>
    <w:rsid w:val="2ABBD88B"/>
    <w:rsid w:val="2ABCF79D"/>
    <w:rsid w:val="2AC6F955"/>
    <w:rsid w:val="2ACA3FAF"/>
    <w:rsid w:val="2AD1902D"/>
    <w:rsid w:val="2AD98B99"/>
    <w:rsid w:val="2ADE9B0F"/>
    <w:rsid w:val="2AE97D89"/>
    <w:rsid w:val="2AF036F8"/>
    <w:rsid w:val="2AF932CA"/>
    <w:rsid w:val="2B0F61C5"/>
    <w:rsid w:val="2B29B404"/>
    <w:rsid w:val="2B30FC45"/>
    <w:rsid w:val="2B39D4FB"/>
    <w:rsid w:val="2B3DFAC9"/>
    <w:rsid w:val="2B3E9E1B"/>
    <w:rsid w:val="2B47A10F"/>
    <w:rsid w:val="2B695D54"/>
    <w:rsid w:val="2B6AC990"/>
    <w:rsid w:val="2B6D6C31"/>
    <w:rsid w:val="2B729C3A"/>
    <w:rsid w:val="2B74CF5F"/>
    <w:rsid w:val="2B814AC1"/>
    <w:rsid w:val="2B8F88A4"/>
    <w:rsid w:val="2B9DE3CD"/>
    <w:rsid w:val="2B9ED940"/>
    <w:rsid w:val="2B9F1B90"/>
    <w:rsid w:val="2BA85E4A"/>
    <w:rsid w:val="2BAA532A"/>
    <w:rsid w:val="2BB6C37D"/>
    <w:rsid w:val="2BBA2FA8"/>
    <w:rsid w:val="2BC40BB9"/>
    <w:rsid w:val="2BC76017"/>
    <w:rsid w:val="2BDBE876"/>
    <w:rsid w:val="2BE84FD5"/>
    <w:rsid w:val="2BEE3EAD"/>
    <w:rsid w:val="2BFC21E8"/>
    <w:rsid w:val="2C00F49B"/>
    <w:rsid w:val="2C04B2F4"/>
    <w:rsid w:val="2C0B1253"/>
    <w:rsid w:val="2C114E9C"/>
    <w:rsid w:val="2C1DF481"/>
    <w:rsid w:val="2C2903CA"/>
    <w:rsid w:val="2C3242BF"/>
    <w:rsid w:val="2C467A49"/>
    <w:rsid w:val="2C49FDE4"/>
    <w:rsid w:val="2C4B13A5"/>
    <w:rsid w:val="2C51FC57"/>
    <w:rsid w:val="2C562BF6"/>
    <w:rsid w:val="2C5EC630"/>
    <w:rsid w:val="2C61741F"/>
    <w:rsid w:val="2C645EE7"/>
    <w:rsid w:val="2C70E531"/>
    <w:rsid w:val="2C730534"/>
    <w:rsid w:val="2C7B66C8"/>
    <w:rsid w:val="2C7FB78C"/>
    <w:rsid w:val="2C89D2BD"/>
    <w:rsid w:val="2C985EB5"/>
    <w:rsid w:val="2CA03BC8"/>
    <w:rsid w:val="2CA55AC3"/>
    <w:rsid w:val="2CAE72E8"/>
    <w:rsid w:val="2CBAF6C1"/>
    <w:rsid w:val="2CC03EDF"/>
    <w:rsid w:val="2CC33B49"/>
    <w:rsid w:val="2CC5642A"/>
    <w:rsid w:val="2CCEE41E"/>
    <w:rsid w:val="2CD17D15"/>
    <w:rsid w:val="2CDCB15F"/>
    <w:rsid w:val="2CDD3C51"/>
    <w:rsid w:val="2CDF2533"/>
    <w:rsid w:val="2CE6B762"/>
    <w:rsid w:val="2CED608C"/>
    <w:rsid w:val="2CEFB1E7"/>
    <w:rsid w:val="2CF6B599"/>
    <w:rsid w:val="2CF8FADD"/>
    <w:rsid w:val="2D04EC11"/>
    <w:rsid w:val="2D17258E"/>
    <w:rsid w:val="2D1AA288"/>
    <w:rsid w:val="2D1FB9FE"/>
    <w:rsid w:val="2D282849"/>
    <w:rsid w:val="2D34C387"/>
    <w:rsid w:val="2D654A3C"/>
    <w:rsid w:val="2D688D95"/>
    <w:rsid w:val="2D6B4B92"/>
    <w:rsid w:val="2D6E3074"/>
    <w:rsid w:val="2D6FC6A2"/>
    <w:rsid w:val="2D6FF4D0"/>
    <w:rsid w:val="2D72621D"/>
    <w:rsid w:val="2D87D783"/>
    <w:rsid w:val="2D891F31"/>
    <w:rsid w:val="2D91B0CA"/>
    <w:rsid w:val="2D974534"/>
    <w:rsid w:val="2D99E86A"/>
    <w:rsid w:val="2DAE3F14"/>
    <w:rsid w:val="2DB76FBC"/>
    <w:rsid w:val="2DE2B386"/>
    <w:rsid w:val="2DEB3E59"/>
    <w:rsid w:val="2E0731D4"/>
    <w:rsid w:val="2E079B65"/>
    <w:rsid w:val="2E175B01"/>
    <w:rsid w:val="2E1FA6C6"/>
    <w:rsid w:val="2E2AB2A9"/>
    <w:rsid w:val="2E2CD827"/>
    <w:rsid w:val="2E304C9C"/>
    <w:rsid w:val="2E473C1F"/>
    <w:rsid w:val="2E47A685"/>
    <w:rsid w:val="2E5286BF"/>
    <w:rsid w:val="2E5BE297"/>
    <w:rsid w:val="2E687924"/>
    <w:rsid w:val="2E6C225E"/>
    <w:rsid w:val="2E7929BA"/>
    <w:rsid w:val="2E884CC3"/>
    <w:rsid w:val="2E885FA9"/>
    <w:rsid w:val="2E92DA5D"/>
    <w:rsid w:val="2E9E7EA2"/>
    <w:rsid w:val="2EA02AAF"/>
    <w:rsid w:val="2EA0D63A"/>
    <w:rsid w:val="2EB5CBA2"/>
    <w:rsid w:val="2EB81347"/>
    <w:rsid w:val="2EC7DBC4"/>
    <w:rsid w:val="2ECE01CB"/>
    <w:rsid w:val="2ED24B00"/>
    <w:rsid w:val="2ED4590F"/>
    <w:rsid w:val="2EF37719"/>
    <w:rsid w:val="2EF43421"/>
    <w:rsid w:val="2EFBE585"/>
    <w:rsid w:val="2F036A84"/>
    <w:rsid w:val="2F3570A4"/>
    <w:rsid w:val="2F3D3388"/>
    <w:rsid w:val="2F501B04"/>
    <w:rsid w:val="2F5A1944"/>
    <w:rsid w:val="2F635574"/>
    <w:rsid w:val="2F6A9EB3"/>
    <w:rsid w:val="2F6E870F"/>
    <w:rsid w:val="2F7B71EE"/>
    <w:rsid w:val="2F893F6D"/>
    <w:rsid w:val="2F8A1191"/>
    <w:rsid w:val="2F8FFCD6"/>
    <w:rsid w:val="2F92529E"/>
    <w:rsid w:val="2FA89368"/>
    <w:rsid w:val="2FAA0420"/>
    <w:rsid w:val="2FBF0CB0"/>
    <w:rsid w:val="2FC3F7C6"/>
    <w:rsid w:val="2FCA686D"/>
    <w:rsid w:val="2FCCFABF"/>
    <w:rsid w:val="2FD08BCF"/>
    <w:rsid w:val="2FD3DD35"/>
    <w:rsid w:val="2FD6731A"/>
    <w:rsid w:val="2FD80DB0"/>
    <w:rsid w:val="2FE87090"/>
    <w:rsid w:val="2FEC86BF"/>
    <w:rsid w:val="2FECDB17"/>
    <w:rsid w:val="2FF907CD"/>
    <w:rsid w:val="300293E4"/>
    <w:rsid w:val="30125472"/>
    <w:rsid w:val="30148DDF"/>
    <w:rsid w:val="301B38B5"/>
    <w:rsid w:val="302C877A"/>
    <w:rsid w:val="302EA058"/>
    <w:rsid w:val="302FEAE9"/>
    <w:rsid w:val="3032DE30"/>
    <w:rsid w:val="3042F0F2"/>
    <w:rsid w:val="30675503"/>
    <w:rsid w:val="3068674C"/>
    <w:rsid w:val="30702D98"/>
    <w:rsid w:val="307C1E5F"/>
    <w:rsid w:val="30808B25"/>
    <w:rsid w:val="3082BE0B"/>
    <w:rsid w:val="30842355"/>
    <w:rsid w:val="30887BEA"/>
    <w:rsid w:val="308A05F4"/>
    <w:rsid w:val="3095CFB6"/>
    <w:rsid w:val="30A1FBBA"/>
    <w:rsid w:val="30A4950B"/>
    <w:rsid w:val="30B0C1B2"/>
    <w:rsid w:val="30B28542"/>
    <w:rsid w:val="30B692DD"/>
    <w:rsid w:val="30C47007"/>
    <w:rsid w:val="30C7C042"/>
    <w:rsid w:val="30D21AC0"/>
    <w:rsid w:val="30D82734"/>
    <w:rsid w:val="30D98311"/>
    <w:rsid w:val="30DF48C9"/>
    <w:rsid w:val="30F4D9C7"/>
    <w:rsid w:val="30FB4A08"/>
    <w:rsid w:val="310611DC"/>
    <w:rsid w:val="31076F42"/>
    <w:rsid w:val="310B49F7"/>
    <w:rsid w:val="310DA77F"/>
    <w:rsid w:val="31106874"/>
    <w:rsid w:val="311543B3"/>
    <w:rsid w:val="311B574C"/>
    <w:rsid w:val="311E4125"/>
    <w:rsid w:val="31288E1F"/>
    <w:rsid w:val="312E4B8C"/>
    <w:rsid w:val="31305147"/>
    <w:rsid w:val="3135FB7B"/>
    <w:rsid w:val="314B4F7E"/>
    <w:rsid w:val="31593F96"/>
    <w:rsid w:val="315D1A38"/>
    <w:rsid w:val="3172340F"/>
    <w:rsid w:val="31778C87"/>
    <w:rsid w:val="3179B4CC"/>
    <w:rsid w:val="3181046C"/>
    <w:rsid w:val="3182B353"/>
    <w:rsid w:val="3182B6D2"/>
    <w:rsid w:val="318CD84A"/>
    <w:rsid w:val="31916538"/>
    <w:rsid w:val="319D11B0"/>
    <w:rsid w:val="31A17AA6"/>
    <w:rsid w:val="31A357C2"/>
    <w:rsid w:val="31AED433"/>
    <w:rsid w:val="31B4219B"/>
    <w:rsid w:val="31D25089"/>
    <w:rsid w:val="31D69CE7"/>
    <w:rsid w:val="31F7FEE2"/>
    <w:rsid w:val="321497CF"/>
    <w:rsid w:val="321A7B86"/>
    <w:rsid w:val="321B971E"/>
    <w:rsid w:val="323E1573"/>
    <w:rsid w:val="323E451C"/>
    <w:rsid w:val="32535174"/>
    <w:rsid w:val="32557AD3"/>
    <w:rsid w:val="326234E7"/>
    <w:rsid w:val="3267A282"/>
    <w:rsid w:val="3271FF1E"/>
    <w:rsid w:val="32791267"/>
    <w:rsid w:val="327F4764"/>
    <w:rsid w:val="32804C91"/>
    <w:rsid w:val="3285BC96"/>
    <w:rsid w:val="328AD00E"/>
    <w:rsid w:val="328F2DD9"/>
    <w:rsid w:val="32988672"/>
    <w:rsid w:val="329BB97F"/>
    <w:rsid w:val="32A8AC15"/>
    <w:rsid w:val="32DB5131"/>
    <w:rsid w:val="32DF8579"/>
    <w:rsid w:val="32E435A6"/>
    <w:rsid w:val="32E816C0"/>
    <w:rsid w:val="32ED2409"/>
    <w:rsid w:val="32EFDD64"/>
    <w:rsid w:val="32F411DB"/>
    <w:rsid w:val="32F81556"/>
    <w:rsid w:val="32FFDFD0"/>
    <w:rsid w:val="33043CE3"/>
    <w:rsid w:val="3320BDC2"/>
    <w:rsid w:val="3320C733"/>
    <w:rsid w:val="3324C475"/>
    <w:rsid w:val="332F6DE8"/>
    <w:rsid w:val="333BBCF1"/>
    <w:rsid w:val="333D829C"/>
    <w:rsid w:val="3343E059"/>
    <w:rsid w:val="3350854A"/>
    <w:rsid w:val="33562E45"/>
    <w:rsid w:val="335A0D54"/>
    <w:rsid w:val="335A2479"/>
    <w:rsid w:val="335A55E9"/>
    <w:rsid w:val="335F1831"/>
    <w:rsid w:val="3369116C"/>
    <w:rsid w:val="3371B333"/>
    <w:rsid w:val="337682EC"/>
    <w:rsid w:val="3378AEBF"/>
    <w:rsid w:val="337F7019"/>
    <w:rsid w:val="338257D6"/>
    <w:rsid w:val="33877D98"/>
    <w:rsid w:val="3390DD25"/>
    <w:rsid w:val="33A65247"/>
    <w:rsid w:val="33AEA7FE"/>
    <w:rsid w:val="33B93788"/>
    <w:rsid w:val="33CC098C"/>
    <w:rsid w:val="33CDCA6C"/>
    <w:rsid w:val="33D4F183"/>
    <w:rsid w:val="33E78CA4"/>
    <w:rsid w:val="33ED8847"/>
    <w:rsid w:val="33F7C9DF"/>
    <w:rsid w:val="3418B5FC"/>
    <w:rsid w:val="341E0B76"/>
    <w:rsid w:val="3423688A"/>
    <w:rsid w:val="3433FA88"/>
    <w:rsid w:val="34391547"/>
    <w:rsid w:val="3441212A"/>
    <w:rsid w:val="3443E8AC"/>
    <w:rsid w:val="3446E8AA"/>
    <w:rsid w:val="3448B184"/>
    <w:rsid w:val="3449B5E7"/>
    <w:rsid w:val="344AAA0B"/>
    <w:rsid w:val="344EFAEE"/>
    <w:rsid w:val="3463310C"/>
    <w:rsid w:val="34771A92"/>
    <w:rsid w:val="347E395C"/>
    <w:rsid w:val="3485789A"/>
    <w:rsid w:val="3488E9B9"/>
    <w:rsid w:val="348B5A05"/>
    <w:rsid w:val="348D7759"/>
    <w:rsid w:val="349197C3"/>
    <w:rsid w:val="3495EA11"/>
    <w:rsid w:val="349FA8BB"/>
    <w:rsid w:val="34A9FB38"/>
    <w:rsid w:val="34AB54C3"/>
    <w:rsid w:val="34B1ADB4"/>
    <w:rsid w:val="34B8A122"/>
    <w:rsid w:val="34BCAC50"/>
    <w:rsid w:val="34BCC5E1"/>
    <w:rsid w:val="34C13B88"/>
    <w:rsid w:val="34C74299"/>
    <w:rsid w:val="34C8095E"/>
    <w:rsid w:val="34CE2A5E"/>
    <w:rsid w:val="34CEF711"/>
    <w:rsid w:val="34D48F51"/>
    <w:rsid w:val="34D53066"/>
    <w:rsid w:val="34D6C897"/>
    <w:rsid w:val="34E0F216"/>
    <w:rsid w:val="34ECCF49"/>
    <w:rsid w:val="34ED3226"/>
    <w:rsid w:val="34F9A281"/>
    <w:rsid w:val="35019636"/>
    <w:rsid w:val="350D79CF"/>
    <w:rsid w:val="350E8545"/>
    <w:rsid w:val="350EC733"/>
    <w:rsid w:val="351F29FA"/>
    <w:rsid w:val="35212C9C"/>
    <w:rsid w:val="352AABDC"/>
    <w:rsid w:val="35395A1A"/>
    <w:rsid w:val="353AA1CF"/>
    <w:rsid w:val="3541A115"/>
    <w:rsid w:val="355BA284"/>
    <w:rsid w:val="35697530"/>
    <w:rsid w:val="3569EEC0"/>
    <w:rsid w:val="35730971"/>
    <w:rsid w:val="35768576"/>
    <w:rsid w:val="35775EB8"/>
    <w:rsid w:val="357BEEE6"/>
    <w:rsid w:val="35806E75"/>
    <w:rsid w:val="3584DBD8"/>
    <w:rsid w:val="358DD687"/>
    <w:rsid w:val="3592F569"/>
    <w:rsid w:val="359774CB"/>
    <w:rsid w:val="35993BFF"/>
    <w:rsid w:val="35A1443B"/>
    <w:rsid w:val="35A821DC"/>
    <w:rsid w:val="35A97766"/>
    <w:rsid w:val="35AAF8FA"/>
    <w:rsid w:val="35B2B0D2"/>
    <w:rsid w:val="35B4E151"/>
    <w:rsid w:val="35B905B6"/>
    <w:rsid w:val="35B9FF1D"/>
    <w:rsid w:val="35C163A4"/>
    <w:rsid w:val="35C96371"/>
    <w:rsid w:val="35DA33CC"/>
    <w:rsid w:val="35DFC739"/>
    <w:rsid w:val="35F35543"/>
    <w:rsid w:val="360943BA"/>
    <w:rsid w:val="360F65CF"/>
    <w:rsid w:val="3618B4B1"/>
    <w:rsid w:val="36380EC7"/>
    <w:rsid w:val="365D7B37"/>
    <w:rsid w:val="368CE9C8"/>
    <w:rsid w:val="36916C5A"/>
    <w:rsid w:val="36A1D428"/>
    <w:rsid w:val="36AB5F83"/>
    <w:rsid w:val="36C22175"/>
    <w:rsid w:val="36CB77EB"/>
    <w:rsid w:val="36D4FC3E"/>
    <w:rsid w:val="36DC4411"/>
    <w:rsid w:val="36F435E5"/>
    <w:rsid w:val="36FF8C6D"/>
    <w:rsid w:val="3717C196"/>
    <w:rsid w:val="372846DA"/>
    <w:rsid w:val="373876C4"/>
    <w:rsid w:val="373CF39E"/>
    <w:rsid w:val="3749A97A"/>
    <w:rsid w:val="37619C5F"/>
    <w:rsid w:val="376915D8"/>
    <w:rsid w:val="3794E067"/>
    <w:rsid w:val="3799232F"/>
    <w:rsid w:val="379FADE4"/>
    <w:rsid w:val="37A01CCF"/>
    <w:rsid w:val="37A9E374"/>
    <w:rsid w:val="37B0A354"/>
    <w:rsid w:val="37B7B20B"/>
    <w:rsid w:val="37C02882"/>
    <w:rsid w:val="37C984DE"/>
    <w:rsid w:val="37D32E55"/>
    <w:rsid w:val="37D42888"/>
    <w:rsid w:val="37E9F151"/>
    <w:rsid w:val="37EA17D1"/>
    <w:rsid w:val="37F163FC"/>
    <w:rsid w:val="3806AEE6"/>
    <w:rsid w:val="38077ABF"/>
    <w:rsid w:val="380DBED1"/>
    <w:rsid w:val="381A5B1C"/>
    <w:rsid w:val="38220FD4"/>
    <w:rsid w:val="38244A01"/>
    <w:rsid w:val="3825E29B"/>
    <w:rsid w:val="382793AC"/>
    <w:rsid w:val="382AD63B"/>
    <w:rsid w:val="382C5B2E"/>
    <w:rsid w:val="383B5D92"/>
    <w:rsid w:val="38461590"/>
    <w:rsid w:val="384E164A"/>
    <w:rsid w:val="3858CAF9"/>
    <w:rsid w:val="3860A218"/>
    <w:rsid w:val="38639224"/>
    <w:rsid w:val="386B36CE"/>
    <w:rsid w:val="387413A1"/>
    <w:rsid w:val="38879594"/>
    <w:rsid w:val="38A1AFA0"/>
    <w:rsid w:val="38A93002"/>
    <w:rsid w:val="38A9632F"/>
    <w:rsid w:val="38AF438C"/>
    <w:rsid w:val="38C52ECD"/>
    <w:rsid w:val="38C54923"/>
    <w:rsid w:val="38CC715E"/>
    <w:rsid w:val="38D332AA"/>
    <w:rsid w:val="38D643DB"/>
    <w:rsid w:val="38D71EFE"/>
    <w:rsid w:val="38DA5345"/>
    <w:rsid w:val="38DA5DF7"/>
    <w:rsid w:val="38DAB7FD"/>
    <w:rsid w:val="38E63B29"/>
    <w:rsid w:val="38F0A15E"/>
    <w:rsid w:val="3919A376"/>
    <w:rsid w:val="3925A52F"/>
    <w:rsid w:val="392FF5C5"/>
    <w:rsid w:val="3938C0E1"/>
    <w:rsid w:val="3938F158"/>
    <w:rsid w:val="393C0FBA"/>
    <w:rsid w:val="393E5090"/>
    <w:rsid w:val="3943B97A"/>
    <w:rsid w:val="3955D9FB"/>
    <w:rsid w:val="395645A5"/>
    <w:rsid w:val="3961D6C4"/>
    <w:rsid w:val="397380F0"/>
    <w:rsid w:val="39796E98"/>
    <w:rsid w:val="397D45F4"/>
    <w:rsid w:val="397FB01E"/>
    <w:rsid w:val="398C3762"/>
    <w:rsid w:val="398E16EC"/>
    <w:rsid w:val="39937FA0"/>
    <w:rsid w:val="39995B50"/>
    <w:rsid w:val="39C05B0E"/>
    <w:rsid w:val="39DFF4AB"/>
    <w:rsid w:val="39E09FCD"/>
    <w:rsid w:val="39EB03F2"/>
    <w:rsid w:val="39EBDF01"/>
    <w:rsid w:val="39F78DB7"/>
    <w:rsid w:val="3A035EFC"/>
    <w:rsid w:val="3A03F269"/>
    <w:rsid w:val="3A11D571"/>
    <w:rsid w:val="3A34C4BF"/>
    <w:rsid w:val="3A3C8E09"/>
    <w:rsid w:val="3A47C235"/>
    <w:rsid w:val="3A6A3503"/>
    <w:rsid w:val="3A6E2918"/>
    <w:rsid w:val="3A6E6355"/>
    <w:rsid w:val="3A6EF77A"/>
    <w:rsid w:val="3A7C292C"/>
    <w:rsid w:val="3A7C3E25"/>
    <w:rsid w:val="3A81F81F"/>
    <w:rsid w:val="3A8469AA"/>
    <w:rsid w:val="3A93E9EA"/>
    <w:rsid w:val="3AA65F03"/>
    <w:rsid w:val="3AA8DF2B"/>
    <w:rsid w:val="3AABD093"/>
    <w:rsid w:val="3AB2564A"/>
    <w:rsid w:val="3ABA1164"/>
    <w:rsid w:val="3AC64D9F"/>
    <w:rsid w:val="3ACB593C"/>
    <w:rsid w:val="3ACDF934"/>
    <w:rsid w:val="3AD84286"/>
    <w:rsid w:val="3AED51C0"/>
    <w:rsid w:val="3AF0BA65"/>
    <w:rsid w:val="3AF4717B"/>
    <w:rsid w:val="3AFBCEFE"/>
    <w:rsid w:val="3B0EADB7"/>
    <w:rsid w:val="3B19FF54"/>
    <w:rsid w:val="3B3B7D96"/>
    <w:rsid w:val="3B7C0C57"/>
    <w:rsid w:val="3B8233ED"/>
    <w:rsid w:val="3B8C3763"/>
    <w:rsid w:val="3B95E21D"/>
    <w:rsid w:val="3B9805D6"/>
    <w:rsid w:val="3BA2C8CE"/>
    <w:rsid w:val="3BACC575"/>
    <w:rsid w:val="3BB2D501"/>
    <w:rsid w:val="3BCB1861"/>
    <w:rsid w:val="3BCE1D55"/>
    <w:rsid w:val="3BD3897B"/>
    <w:rsid w:val="3BD9DD24"/>
    <w:rsid w:val="3BE7B21F"/>
    <w:rsid w:val="3BE84B5D"/>
    <w:rsid w:val="3BF9DFE8"/>
    <w:rsid w:val="3BFCB50C"/>
    <w:rsid w:val="3C055CC4"/>
    <w:rsid w:val="3C0593EE"/>
    <w:rsid w:val="3C0AD16F"/>
    <w:rsid w:val="3C171A32"/>
    <w:rsid w:val="3C1ABBE5"/>
    <w:rsid w:val="3C254EF6"/>
    <w:rsid w:val="3C26F070"/>
    <w:rsid w:val="3C295E60"/>
    <w:rsid w:val="3C2E4D93"/>
    <w:rsid w:val="3C327F42"/>
    <w:rsid w:val="3C329334"/>
    <w:rsid w:val="3C33476D"/>
    <w:rsid w:val="3C382128"/>
    <w:rsid w:val="3C4759F3"/>
    <w:rsid w:val="3C47C2DD"/>
    <w:rsid w:val="3C5244EF"/>
    <w:rsid w:val="3C54CE14"/>
    <w:rsid w:val="3C5890A9"/>
    <w:rsid w:val="3C596AFB"/>
    <w:rsid w:val="3C622478"/>
    <w:rsid w:val="3C64BB5F"/>
    <w:rsid w:val="3C6D0DB2"/>
    <w:rsid w:val="3C6D7950"/>
    <w:rsid w:val="3C9046B0"/>
    <w:rsid w:val="3CA8F597"/>
    <w:rsid w:val="3CB1F8EF"/>
    <w:rsid w:val="3CB9D2CA"/>
    <w:rsid w:val="3CC70EFE"/>
    <w:rsid w:val="3CD11AF9"/>
    <w:rsid w:val="3CD2A17B"/>
    <w:rsid w:val="3CD788D7"/>
    <w:rsid w:val="3CEAB356"/>
    <w:rsid w:val="3CED1D08"/>
    <w:rsid w:val="3CF29807"/>
    <w:rsid w:val="3CF66535"/>
    <w:rsid w:val="3D082AD3"/>
    <w:rsid w:val="3D0CC5C0"/>
    <w:rsid w:val="3D2380F7"/>
    <w:rsid w:val="3D2B8D2D"/>
    <w:rsid w:val="3D387E89"/>
    <w:rsid w:val="3D3E1E38"/>
    <w:rsid w:val="3D450BC3"/>
    <w:rsid w:val="3D50832C"/>
    <w:rsid w:val="3D511A60"/>
    <w:rsid w:val="3D5189D5"/>
    <w:rsid w:val="3D549454"/>
    <w:rsid w:val="3D5D9C78"/>
    <w:rsid w:val="3D6EE44A"/>
    <w:rsid w:val="3D78875F"/>
    <w:rsid w:val="3D7BC6D2"/>
    <w:rsid w:val="3D8D230E"/>
    <w:rsid w:val="3D93CD36"/>
    <w:rsid w:val="3D974357"/>
    <w:rsid w:val="3D9AD997"/>
    <w:rsid w:val="3DA4E2CE"/>
    <w:rsid w:val="3DA94D06"/>
    <w:rsid w:val="3DB049A3"/>
    <w:rsid w:val="3DC2F3FC"/>
    <w:rsid w:val="3DCFC861"/>
    <w:rsid w:val="3DD527BA"/>
    <w:rsid w:val="3DE10248"/>
    <w:rsid w:val="3DEA8D00"/>
    <w:rsid w:val="3DEFE51F"/>
    <w:rsid w:val="3DFCA2A7"/>
    <w:rsid w:val="3DFDF4D9"/>
    <w:rsid w:val="3E09C970"/>
    <w:rsid w:val="3E160BD4"/>
    <w:rsid w:val="3E1BB83F"/>
    <w:rsid w:val="3E1F144B"/>
    <w:rsid w:val="3E2CF530"/>
    <w:rsid w:val="3E3015A7"/>
    <w:rsid w:val="3E329719"/>
    <w:rsid w:val="3E3BB55C"/>
    <w:rsid w:val="3E46F69E"/>
    <w:rsid w:val="3E49D688"/>
    <w:rsid w:val="3E4A1A09"/>
    <w:rsid w:val="3E4B29F8"/>
    <w:rsid w:val="3E5670EA"/>
    <w:rsid w:val="3E641390"/>
    <w:rsid w:val="3E684A5D"/>
    <w:rsid w:val="3E785FCF"/>
    <w:rsid w:val="3E7B863E"/>
    <w:rsid w:val="3E7CCEA1"/>
    <w:rsid w:val="3E89D701"/>
    <w:rsid w:val="3E8E6AC1"/>
    <w:rsid w:val="3E8F5EE1"/>
    <w:rsid w:val="3E953AB6"/>
    <w:rsid w:val="3E984628"/>
    <w:rsid w:val="3E99AC33"/>
    <w:rsid w:val="3E9B9722"/>
    <w:rsid w:val="3EA9810C"/>
    <w:rsid w:val="3EAA6AF1"/>
    <w:rsid w:val="3EB922E4"/>
    <w:rsid w:val="3EC3182E"/>
    <w:rsid w:val="3ECAEF6A"/>
    <w:rsid w:val="3ECFB966"/>
    <w:rsid w:val="3ED254C4"/>
    <w:rsid w:val="3ED329D4"/>
    <w:rsid w:val="3EDA85A0"/>
    <w:rsid w:val="3EDD8E18"/>
    <w:rsid w:val="3EE4EE16"/>
    <w:rsid w:val="3EF3F2DD"/>
    <w:rsid w:val="3EF84A0C"/>
    <w:rsid w:val="3EF91C3C"/>
    <w:rsid w:val="3EFD34D4"/>
    <w:rsid w:val="3F1015B7"/>
    <w:rsid w:val="3F1BC0B2"/>
    <w:rsid w:val="3F22AE95"/>
    <w:rsid w:val="3F2DDF21"/>
    <w:rsid w:val="3F4A340D"/>
    <w:rsid w:val="3F4CC18E"/>
    <w:rsid w:val="3F4EF890"/>
    <w:rsid w:val="3F5241A0"/>
    <w:rsid w:val="3F7658CE"/>
    <w:rsid w:val="3F7BC53A"/>
    <w:rsid w:val="3F7CEFE9"/>
    <w:rsid w:val="3F7FAC94"/>
    <w:rsid w:val="3F822DE3"/>
    <w:rsid w:val="3F823E45"/>
    <w:rsid w:val="3F85ED6A"/>
    <w:rsid w:val="3F8D31C1"/>
    <w:rsid w:val="3F8F98B8"/>
    <w:rsid w:val="3FA0C294"/>
    <w:rsid w:val="3FAD0F67"/>
    <w:rsid w:val="3FAD70BE"/>
    <w:rsid w:val="3FB19FAA"/>
    <w:rsid w:val="3FB42ACD"/>
    <w:rsid w:val="3FBBFA18"/>
    <w:rsid w:val="3FBE4D50"/>
    <w:rsid w:val="3FC5D79D"/>
    <w:rsid w:val="3FCB0B25"/>
    <w:rsid w:val="3FCE0EC3"/>
    <w:rsid w:val="3FDD8D39"/>
    <w:rsid w:val="3FE10120"/>
    <w:rsid w:val="3FE7E01B"/>
    <w:rsid w:val="3FE9F720"/>
    <w:rsid w:val="3FED14AC"/>
    <w:rsid w:val="3FF1952F"/>
    <w:rsid w:val="3FF2BE14"/>
    <w:rsid w:val="4012FFA2"/>
    <w:rsid w:val="4017D046"/>
    <w:rsid w:val="401E3853"/>
    <w:rsid w:val="40212A8E"/>
    <w:rsid w:val="4032A13D"/>
    <w:rsid w:val="4033D84C"/>
    <w:rsid w:val="404309F5"/>
    <w:rsid w:val="4047C469"/>
    <w:rsid w:val="404B57EC"/>
    <w:rsid w:val="404F4A5F"/>
    <w:rsid w:val="4057FD11"/>
    <w:rsid w:val="405C3F0B"/>
    <w:rsid w:val="40621FA2"/>
    <w:rsid w:val="4069DDF4"/>
    <w:rsid w:val="40744E52"/>
    <w:rsid w:val="4077F977"/>
    <w:rsid w:val="407F4C63"/>
    <w:rsid w:val="40802B4E"/>
    <w:rsid w:val="4083E4A1"/>
    <w:rsid w:val="4084DEEC"/>
    <w:rsid w:val="4089BB40"/>
    <w:rsid w:val="408C4FBA"/>
    <w:rsid w:val="40913FB3"/>
    <w:rsid w:val="40941A6D"/>
    <w:rsid w:val="409D8780"/>
    <w:rsid w:val="40A66023"/>
    <w:rsid w:val="40AA8518"/>
    <w:rsid w:val="40B5FAD5"/>
    <w:rsid w:val="40BD0F49"/>
    <w:rsid w:val="40C5F594"/>
    <w:rsid w:val="40D225BD"/>
    <w:rsid w:val="40D29514"/>
    <w:rsid w:val="40D6A070"/>
    <w:rsid w:val="40DCA3FF"/>
    <w:rsid w:val="40DF1796"/>
    <w:rsid w:val="40E03C1D"/>
    <w:rsid w:val="40EA7D07"/>
    <w:rsid w:val="40EEDB57"/>
    <w:rsid w:val="40F3C37B"/>
    <w:rsid w:val="41089298"/>
    <w:rsid w:val="41202822"/>
    <w:rsid w:val="412111A4"/>
    <w:rsid w:val="4122A36F"/>
    <w:rsid w:val="412C5411"/>
    <w:rsid w:val="4138CD28"/>
    <w:rsid w:val="4142FD36"/>
    <w:rsid w:val="4145EC87"/>
    <w:rsid w:val="4146BB19"/>
    <w:rsid w:val="414F5E84"/>
    <w:rsid w:val="4151650C"/>
    <w:rsid w:val="4152C797"/>
    <w:rsid w:val="4164A8E0"/>
    <w:rsid w:val="416ECB1E"/>
    <w:rsid w:val="417DE03C"/>
    <w:rsid w:val="4180609D"/>
    <w:rsid w:val="4193209A"/>
    <w:rsid w:val="419AA22D"/>
    <w:rsid w:val="41ACDA8F"/>
    <w:rsid w:val="41B077B8"/>
    <w:rsid w:val="41B9B24C"/>
    <w:rsid w:val="41CFA597"/>
    <w:rsid w:val="41D92223"/>
    <w:rsid w:val="41DCD4D0"/>
    <w:rsid w:val="41E82E00"/>
    <w:rsid w:val="41ED91E0"/>
    <w:rsid w:val="41F5636C"/>
    <w:rsid w:val="41FEEEA1"/>
    <w:rsid w:val="420459C1"/>
    <w:rsid w:val="421931FF"/>
    <w:rsid w:val="421BBE81"/>
    <w:rsid w:val="421CAB54"/>
    <w:rsid w:val="421DEF9C"/>
    <w:rsid w:val="42214323"/>
    <w:rsid w:val="42277348"/>
    <w:rsid w:val="422894FC"/>
    <w:rsid w:val="422CD2E1"/>
    <w:rsid w:val="4240D6CB"/>
    <w:rsid w:val="4242023A"/>
    <w:rsid w:val="42472386"/>
    <w:rsid w:val="42481485"/>
    <w:rsid w:val="425037EF"/>
    <w:rsid w:val="425727E1"/>
    <w:rsid w:val="425F4B07"/>
    <w:rsid w:val="4261C31F"/>
    <w:rsid w:val="4263EC01"/>
    <w:rsid w:val="426F11EA"/>
    <w:rsid w:val="42725D43"/>
    <w:rsid w:val="427C872E"/>
    <w:rsid w:val="428BC986"/>
    <w:rsid w:val="429EACE6"/>
    <w:rsid w:val="42A29483"/>
    <w:rsid w:val="42C35ABF"/>
    <w:rsid w:val="42C71568"/>
    <w:rsid w:val="42C9A38C"/>
    <w:rsid w:val="42D8F59C"/>
    <w:rsid w:val="42F50EB4"/>
    <w:rsid w:val="42F8D8B5"/>
    <w:rsid w:val="42FB2E5B"/>
    <w:rsid w:val="4315ACE9"/>
    <w:rsid w:val="431701EC"/>
    <w:rsid w:val="432F8C62"/>
    <w:rsid w:val="43303A43"/>
    <w:rsid w:val="4332C3A7"/>
    <w:rsid w:val="43391283"/>
    <w:rsid w:val="433F5FD4"/>
    <w:rsid w:val="433FF4BB"/>
    <w:rsid w:val="43681A5B"/>
    <w:rsid w:val="437FA562"/>
    <w:rsid w:val="438A7CB2"/>
    <w:rsid w:val="43948492"/>
    <w:rsid w:val="4394B911"/>
    <w:rsid w:val="43AE2E84"/>
    <w:rsid w:val="43BE620C"/>
    <w:rsid w:val="43BFA399"/>
    <w:rsid w:val="43BFB87A"/>
    <w:rsid w:val="43CC3FD1"/>
    <w:rsid w:val="43D2CC48"/>
    <w:rsid w:val="43E0A3D5"/>
    <w:rsid w:val="43E3D967"/>
    <w:rsid w:val="43E8CEBA"/>
    <w:rsid w:val="43EA4D49"/>
    <w:rsid w:val="43F127C0"/>
    <w:rsid w:val="43FC668D"/>
    <w:rsid w:val="44098C09"/>
    <w:rsid w:val="441C071C"/>
    <w:rsid w:val="4424BA37"/>
    <w:rsid w:val="444317F5"/>
    <w:rsid w:val="44523839"/>
    <w:rsid w:val="445B4CDA"/>
    <w:rsid w:val="44628DC6"/>
    <w:rsid w:val="44664E19"/>
    <w:rsid w:val="446E4464"/>
    <w:rsid w:val="446FBDD4"/>
    <w:rsid w:val="44817CDA"/>
    <w:rsid w:val="448DFEA0"/>
    <w:rsid w:val="4495D6D4"/>
    <w:rsid w:val="44A61E54"/>
    <w:rsid w:val="44B64660"/>
    <w:rsid w:val="44BCD6AE"/>
    <w:rsid w:val="44C50652"/>
    <w:rsid w:val="44C5A5DE"/>
    <w:rsid w:val="44CF3D28"/>
    <w:rsid w:val="44D5D8AF"/>
    <w:rsid w:val="44EE18C3"/>
    <w:rsid w:val="45008BCC"/>
    <w:rsid w:val="45091634"/>
    <w:rsid w:val="450947AD"/>
    <w:rsid w:val="451B398D"/>
    <w:rsid w:val="451F1854"/>
    <w:rsid w:val="45287809"/>
    <w:rsid w:val="4530C3C0"/>
    <w:rsid w:val="45365DBC"/>
    <w:rsid w:val="453B5A97"/>
    <w:rsid w:val="4543EFB6"/>
    <w:rsid w:val="4543F0D0"/>
    <w:rsid w:val="4563FB2A"/>
    <w:rsid w:val="456CDEF0"/>
    <w:rsid w:val="4571989A"/>
    <w:rsid w:val="457261CB"/>
    <w:rsid w:val="4576B94E"/>
    <w:rsid w:val="45773DF5"/>
    <w:rsid w:val="4586C76B"/>
    <w:rsid w:val="45888281"/>
    <w:rsid w:val="4590EFAE"/>
    <w:rsid w:val="45A5D4A4"/>
    <w:rsid w:val="45AC63CA"/>
    <w:rsid w:val="45ADC07E"/>
    <w:rsid w:val="45E11F11"/>
    <w:rsid w:val="45E72930"/>
    <w:rsid w:val="45E9CEA2"/>
    <w:rsid w:val="45EB95E8"/>
    <w:rsid w:val="45EFA05D"/>
    <w:rsid w:val="45F1E7A3"/>
    <w:rsid w:val="45FE9F5B"/>
    <w:rsid w:val="4607F8AC"/>
    <w:rsid w:val="460CF110"/>
    <w:rsid w:val="4610D67C"/>
    <w:rsid w:val="4622D90C"/>
    <w:rsid w:val="4628099D"/>
    <w:rsid w:val="4639AC82"/>
    <w:rsid w:val="46408DF7"/>
    <w:rsid w:val="46644503"/>
    <w:rsid w:val="46677029"/>
    <w:rsid w:val="46756F68"/>
    <w:rsid w:val="467F56E5"/>
    <w:rsid w:val="469F493B"/>
    <w:rsid w:val="46A191B2"/>
    <w:rsid w:val="46AF763C"/>
    <w:rsid w:val="46CAFB3F"/>
    <w:rsid w:val="46D054A3"/>
    <w:rsid w:val="46D3D47A"/>
    <w:rsid w:val="46D4064C"/>
    <w:rsid w:val="46D76526"/>
    <w:rsid w:val="46D7A1F1"/>
    <w:rsid w:val="46D894DE"/>
    <w:rsid w:val="46D96C75"/>
    <w:rsid w:val="46DB180B"/>
    <w:rsid w:val="46DCE891"/>
    <w:rsid w:val="46E3E738"/>
    <w:rsid w:val="46EEBF9B"/>
    <w:rsid w:val="46EF2B4D"/>
    <w:rsid w:val="46F39F05"/>
    <w:rsid w:val="46F6C84F"/>
    <w:rsid w:val="4706CC9C"/>
    <w:rsid w:val="470B884D"/>
    <w:rsid w:val="470BFAE7"/>
    <w:rsid w:val="471BF184"/>
    <w:rsid w:val="471C65F9"/>
    <w:rsid w:val="47226885"/>
    <w:rsid w:val="472AAD8E"/>
    <w:rsid w:val="473A90E5"/>
    <w:rsid w:val="47412797"/>
    <w:rsid w:val="47491CE4"/>
    <w:rsid w:val="474FB611"/>
    <w:rsid w:val="475FCF5E"/>
    <w:rsid w:val="476032BE"/>
    <w:rsid w:val="47784513"/>
    <w:rsid w:val="477FCDCA"/>
    <w:rsid w:val="4788B59B"/>
    <w:rsid w:val="478D37A6"/>
    <w:rsid w:val="479A0170"/>
    <w:rsid w:val="47A98056"/>
    <w:rsid w:val="47AB5E01"/>
    <w:rsid w:val="47B1163F"/>
    <w:rsid w:val="47B27F54"/>
    <w:rsid w:val="47B9544C"/>
    <w:rsid w:val="47D41DD9"/>
    <w:rsid w:val="4808987B"/>
    <w:rsid w:val="480DBC78"/>
    <w:rsid w:val="480FDEFB"/>
    <w:rsid w:val="48113327"/>
    <w:rsid w:val="481B3AD1"/>
    <w:rsid w:val="481F0303"/>
    <w:rsid w:val="482209C9"/>
    <w:rsid w:val="4826E25C"/>
    <w:rsid w:val="482CBEE3"/>
    <w:rsid w:val="4839B729"/>
    <w:rsid w:val="4843EBB5"/>
    <w:rsid w:val="4846D670"/>
    <w:rsid w:val="48487999"/>
    <w:rsid w:val="484F20AB"/>
    <w:rsid w:val="484FD5F3"/>
    <w:rsid w:val="485089E1"/>
    <w:rsid w:val="485E0D41"/>
    <w:rsid w:val="486054FC"/>
    <w:rsid w:val="48651751"/>
    <w:rsid w:val="486AD89C"/>
    <w:rsid w:val="487325AF"/>
    <w:rsid w:val="487DF568"/>
    <w:rsid w:val="488385FB"/>
    <w:rsid w:val="4888B20E"/>
    <w:rsid w:val="4889299A"/>
    <w:rsid w:val="48932895"/>
    <w:rsid w:val="489BAD37"/>
    <w:rsid w:val="48ACA769"/>
    <w:rsid w:val="48B00114"/>
    <w:rsid w:val="48B9BFA9"/>
    <w:rsid w:val="48C74B28"/>
    <w:rsid w:val="48D939B5"/>
    <w:rsid w:val="48E4ED45"/>
    <w:rsid w:val="48E9B380"/>
    <w:rsid w:val="48EE331B"/>
    <w:rsid w:val="48FB1851"/>
    <w:rsid w:val="49206611"/>
    <w:rsid w:val="493278F8"/>
    <w:rsid w:val="4939BD44"/>
    <w:rsid w:val="493C139B"/>
    <w:rsid w:val="4943CD37"/>
    <w:rsid w:val="49469EB2"/>
    <w:rsid w:val="49477AA0"/>
    <w:rsid w:val="495213EA"/>
    <w:rsid w:val="49598971"/>
    <w:rsid w:val="496ECB49"/>
    <w:rsid w:val="49708529"/>
    <w:rsid w:val="497AE682"/>
    <w:rsid w:val="497AF01D"/>
    <w:rsid w:val="4983B587"/>
    <w:rsid w:val="4991695E"/>
    <w:rsid w:val="49936C7B"/>
    <w:rsid w:val="499B8C76"/>
    <w:rsid w:val="499BF5A3"/>
    <w:rsid w:val="49A2BE4F"/>
    <w:rsid w:val="49A38E80"/>
    <w:rsid w:val="49BA5518"/>
    <w:rsid w:val="49C119F6"/>
    <w:rsid w:val="49C44180"/>
    <w:rsid w:val="49C55228"/>
    <w:rsid w:val="49C55696"/>
    <w:rsid w:val="49CD718B"/>
    <w:rsid w:val="49D02485"/>
    <w:rsid w:val="49D7EC1E"/>
    <w:rsid w:val="49DB9026"/>
    <w:rsid w:val="49DBDE0E"/>
    <w:rsid w:val="49DC36C9"/>
    <w:rsid w:val="49E4F6D7"/>
    <w:rsid w:val="49FC4A94"/>
    <w:rsid w:val="4A0020B2"/>
    <w:rsid w:val="4A01DED7"/>
    <w:rsid w:val="4A2390B4"/>
    <w:rsid w:val="4A24669E"/>
    <w:rsid w:val="4A26A727"/>
    <w:rsid w:val="4A27E74E"/>
    <w:rsid w:val="4A32CA22"/>
    <w:rsid w:val="4A343838"/>
    <w:rsid w:val="4A36CDE3"/>
    <w:rsid w:val="4A420EB5"/>
    <w:rsid w:val="4A484DBA"/>
    <w:rsid w:val="4A5BFA57"/>
    <w:rsid w:val="4A69E523"/>
    <w:rsid w:val="4A6EEF86"/>
    <w:rsid w:val="4A7C64B3"/>
    <w:rsid w:val="4A8512AA"/>
    <w:rsid w:val="4A86ACE9"/>
    <w:rsid w:val="4A914B15"/>
    <w:rsid w:val="4AAD35EC"/>
    <w:rsid w:val="4AC42D25"/>
    <w:rsid w:val="4AC44624"/>
    <w:rsid w:val="4AD927C6"/>
    <w:rsid w:val="4AE40468"/>
    <w:rsid w:val="4AF42F21"/>
    <w:rsid w:val="4AF7185E"/>
    <w:rsid w:val="4B0369EA"/>
    <w:rsid w:val="4B1C09F1"/>
    <w:rsid w:val="4B1EFAA3"/>
    <w:rsid w:val="4B20D7F1"/>
    <w:rsid w:val="4B30E4A3"/>
    <w:rsid w:val="4B363018"/>
    <w:rsid w:val="4B3C2EDE"/>
    <w:rsid w:val="4B3D8E0E"/>
    <w:rsid w:val="4B3ECD9E"/>
    <w:rsid w:val="4B465ED3"/>
    <w:rsid w:val="4B4991D9"/>
    <w:rsid w:val="4B4B9F22"/>
    <w:rsid w:val="4B5B7ECD"/>
    <w:rsid w:val="4B5C8044"/>
    <w:rsid w:val="4B6486D6"/>
    <w:rsid w:val="4B6E4CBC"/>
    <w:rsid w:val="4B6ED0B5"/>
    <w:rsid w:val="4B7332AE"/>
    <w:rsid w:val="4B78FCC1"/>
    <w:rsid w:val="4B883178"/>
    <w:rsid w:val="4B95A94E"/>
    <w:rsid w:val="4B96220E"/>
    <w:rsid w:val="4B9B86C7"/>
    <w:rsid w:val="4BA3A0A1"/>
    <w:rsid w:val="4BA4AE20"/>
    <w:rsid w:val="4BA5A2CB"/>
    <w:rsid w:val="4BAF78D4"/>
    <w:rsid w:val="4BB3B33D"/>
    <w:rsid w:val="4BBA7B9E"/>
    <w:rsid w:val="4BBD1654"/>
    <w:rsid w:val="4BBD2513"/>
    <w:rsid w:val="4BBEC4FC"/>
    <w:rsid w:val="4BC14971"/>
    <w:rsid w:val="4BC331A4"/>
    <w:rsid w:val="4BC77823"/>
    <w:rsid w:val="4BCB659B"/>
    <w:rsid w:val="4BE1C8AD"/>
    <w:rsid w:val="4BE99C43"/>
    <w:rsid w:val="4C11705F"/>
    <w:rsid w:val="4C132760"/>
    <w:rsid w:val="4C14514F"/>
    <w:rsid w:val="4C149918"/>
    <w:rsid w:val="4C161885"/>
    <w:rsid w:val="4C178267"/>
    <w:rsid w:val="4C203370"/>
    <w:rsid w:val="4C204136"/>
    <w:rsid w:val="4C2D0366"/>
    <w:rsid w:val="4C35B419"/>
    <w:rsid w:val="4C370302"/>
    <w:rsid w:val="4C39E900"/>
    <w:rsid w:val="4C3DAB61"/>
    <w:rsid w:val="4C4F0A50"/>
    <w:rsid w:val="4C58ADB5"/>
    <w:rsid w:val="4C5C3373"/>
    <w:rsid w:val="4C5D7757"/>
    <w:rsid w:val="4C613A26"/>
    <w:rsid w:val="4C6F344B"/>
    <w:rsid w:val="4C709EAB"/>
    <w:rsid w:val="4C76A2B4"/>
    <w:rsid w:val="4C8C4A64"/>
    <w:rsid w:val="4C9A0848"/>
    <w:rsid w:val="4CB21376"/>
    <w:rsid w:val="4CBF8F5E"/>
    <w:rsid w:val="4CC46486"/>
    <w:rsid w:val="4CC5DCA4"/>
    <w:rsid w:val="4CD5D455"/>
    <w:rsid w:val="4CDFCFF0"/>
    <w:rsid w:val="4CE13BFF"/>
    <w:rsid w:val="4CEE481F"/>
    <w:rsid w:val="4CF4B97F"/>
    <w:rsid w:val="4CF821F5"/>
    <w:rsid w:val="4CF863CF"/>
    <w:rsid w:val="4CFA6676"/>
    <w:rsid w:val="4CFB7221"/>
    <w:rsid w:val="4D0DB880"/>
    <w:rsid w:val="4D26BA21"/>
    <w:rsid w:val="4D43AA78"/>
    <w:rsid w:val="4D45DF6B"/>
    <w:rsid w:val="4D542F03"/>
    <w:rsid w:val="4D597518"/>
    <w:rsid w:val="4D617293"/>
    <w:rsid w:val="4D68E0D0"/>
    <w:rsid w:val="4D6A0294"/>
    <w:rsid w:val="4D78C372"/>
    <w:rsid w:val="4D8CB8D5"/>
    <w:rsid w:val="4D8D8282"/>
    <w:rsid w:val="4D95F952"/>
    <w:rsid w:val="4D9C4498"/>
    <w:rsid w:val="4DAB8801"/>
    <w:rsid w:val="4DAC1CDD"/>
    <w:rsid w:val="4DAC6C03"/>
    <w:rsid w:val="4DB1B4BC"/>
    <w:rsid w:val="4DC39A83"/>
    <w:rsid w:val="4DC80D18"/>
    <w:rsid w:val="4DD9CB2C"/>
    <w:rsid w:val="4DDF11F3"/>
    <w:rsid w:val="4DEA9592"/>
    <w:rsid w:val="4DEB3C87"/>
    <w:rsid w:val="4DF2C530"/>
    <w:rsid w:val="4DF76A31"/>
    <w:rsid w:val="4E038679"/>
    <w:rsid w:val="4E0671FD"/>
    <w:rsid w:val="4E09700C"/>
    <w:rsid w:val="4E1D3D34"/>
    <w:rsid w:val="4E216AD5"/>
    <w:rsid w:val="4E22FCC4"/>
    <w:rsid w:val="4E25B819"/>
    <w:rsid w:val="4E385484"/>
    <w:rsid w:val="4E4D47EA"/>
    <w:rsid w:val="4E50BCDF"/>
    <w:rsid w:val="4E5530B7"/>
    <w:rsid w:val="4E5AD2AC"/>
    <w:rsid w:val="4E6C3A76"/>
    <w:rsid w:val="4E6C5093"/>
    <w:rsid w:val="4E6CEEA4"/>
    <w:rsid w:val="4E723CC3"/>
    <w:rsid w:val="4E7D4CF4"/>
    <w:rsid w:val="4EB144A2"/>
    <w:rsid w:val="4EB54DF6"/>
    <w:rsid w:val="4EC70FB0"/>
    <w:rsid w:val="4ED914F0"/>
    <w:rsid w:val="4ED917BA"/>
    <w:rsid w:val="4EE5D3AC"/>
    <w:rsid w:val="4EEEB339"/>
    <w:rsid w:val="4EFC30AB"/>
    <w:rsid w:val="4F03F5E5"/>
    <w:rsid w:val="4F1C599B"/>
    <w:rsid w:val="4F1DF704"/>
    <w:rsid w:val="4F26E423"/>
    <w:rsid w:val="4F2B2FD5"/>
    <w:rsid w:val="4F2B3FE3"/>
    <w:rsid w:val="4F2C15C8"/>
    <w:rsid w:val="4F2D5195"/>
    <w:rsid w:val="4F4AD989"/>
    <w:rsid w:val="4F4F5341"/>
    <w:rsid w:val="4F55978B"/>
    <w:rsid w:val="4F5B3468"/>
    <w:rsid w:val="4F5FB053"/>
    <w:rsid w:val="4F643726"/>
    <w:rsid w:val="4F645F4C"/>
    <w:rsid w:val="4F652E1C"/>
    <w:rsid w:val="4F6924F7"/>
    <w:rsid w:val="4F6C0933"/>
    <w:rsid w:val="4F6E58C7"/>
    <w:rsid w:val="4F6ED53E"/>
    <w:rsid w:val="4F70FA3E"/>
    <w:rsid w:val="4F71E4DF"/>
    <w:rsid w:val="4F79A123"/>
    <w:rsid w:val="4F7E3722"/>
    <w:rsid w:val="4F872DF3"/>
    <w:rsid w:val="4F8945DB"/>
    <w:rsid w:val="4F8E3D1A"/>
    <w:rsid w:val="4F98F876"/>
    <w:rsid w:val="4FA63D90"/>
    <w:rsid w:val="4FBB0CEA"/>
    <w:rsid w:val="4FBCECB5"/>
    <w:rsid w:val="4FBD03B2"/>
    <w:rsid w:val="4FD4BA18"/>
    <w:rsid w:val="4FD5B2C3"/>
    <w:rsid w:val="4FF4B890"/>
    <w:rsid w:val="5005561A"/>
    <w:rsid w:val="50071D10"/>
    <w:rsid w:val="501308E3"/>
    <w:rsid w:val="501AA8DE"/>
    <w:rsid w:val="501E0042"/>
    <w:rsid w:val="501E13D9"/>
    <w:rsid w:val="503427A9"/>
    <w:rsid w:val="503A2036"/>
    <w:rsid w:val="503C1453"/>
    <w:rsid w:val="503E809A"/>
    <w:rsid w:val="50407BE9"/>
    <w:rsid w:val="5048DE1F"/>
    <w:rsid w:val="50534D62"/>
    <w:rsid w:val="505E5AE3"/>
    <w:rsid w:val="5065FBC0"/>
    <w:rsid w:val="506AD52D"/>
    <w:rsid w:val="5074C9FE"/>
    <w:rsid w:val="5076B0D8"/>
    <w:rsid w:val="5077C8A5"/>
    <w:rsid w:val="507BD2C8"/>
    <w:rsid w:val="507C3044"/>
    <w:rsid w:val="507D944B"/>
    <w:rsid w:val="507DFE14"/>
    <w:rsid w:val="507FD93E"/>
    <w:rsid w:val="508F74EC"/>
    <w:rsid w:val="50956A86"/>
    <w:rsid w:val="5098F13C"/>
    <w:rsid w:val="509F28C9"/>
    <w:rsid w:val="50A6D4F5"/>
    <w:rsid w:val="50A81DEA"/>
    <w:rsid w:val="50B99270"/>
    <w:rsid w:val="50C2AA94"/>
    <w:rsid w:val="50DB0307"/>
    <w:rsid w:val="50DD2F81"/>
    <w:rsid w:val="50E04BE6"/>
    <w:rsid w:val="50ECE0AD"/>
    <w:rsid w:val="50ECFDAD"/>
    <w:rsid w:val="510846FB"/>
    <w:rsid w:val="511F288B"/>
    <w:rsid w:val="51215514"/>
    <w:rsid w:val="5127E871"/>
    <w:rsid w:val="513C9BA8"/>
    <w:rsid w:val="514DB643"/>
    <w:rsid w:val="5150BB70"/>
    <w:rsid w:val="516468CB"/>
    <w:rsid w:val="517E96BC"/>
    <w:rsid w:val="5184CF86"/>
    <w:rsid w:val="51855DD8"/>
    <w:rsid w:val="518C5FAC"/>
    <w:rsid w:val="5190FFD0"/>
    <w:rsid w:val="51976762"/>
    <w:rsid w:val="519BF9DE"/>
    <w:rsid w:val="51A86DCC"/>
    <w:rsid w:val="51C693E1"/>
    <w:rsid w:val="51CB87A5"/>
    <w:rsid w:val="51D6C007"/>
    <w:rsid w:val="51D7D0CC"/>
    <w:rsid w:val="51DAC695"/>
    <w:rsid w:val="51DC520C"/>
    <w:rsid w:val="51E77EF0"/>
    <w:rsid w:val="51FFA9AD"/>
    <w:rsid w:val="520A332D"/>
    <w:rsid w:val="521156FC"/>
    <w:rsid w:val="5211AE81"/>
    <w:rsid w:val="521D0C50"/>
    <w:rsid w:val="521FDEAB"/>
    <w:rsid w:val="52207C95"/>
    <w:rsid w:val="525B61FB"/>
    <w:rsid w:val="5269F55B"/>
    <w:rsid w:val="5285CF05"/>
    <w:rsid w:val="5288AFA5"/>
    <w:rsid w:val="52A26A92"/>
    <w:rsid w:val="52AAA3D6"/>
    <w:rsid w:val="52AD36DD"/>
    <w:rsid w:val="52AD4DBB"/>
    <w:rsid w:val="52BA466A"/>
    <w:rsid w:val="52BA9407"/>
    <w:rsid w:val="52C478CA"/>
    <w:rsid w:val="52C82E8A"/>
    <w:rsid w:val="52F07484"/>
    <w:rsid w:val="53206F6E"/>
    <w:rsid w:val="532AA9EF"/>
    <w:rsid w:val="533AB8D4"/>
    <w:rsid w:val="5343E338"/>
    <w:rsid w:val="5353EA51"/>
    <w:rsid w:val="535926CD"/>
    <w:rsid w:val="53667F86"/>
    <w:rsid w:val="5366D4BF"/>
    <w:rsid w:val="53709DAF"/>
    <w:rsid w:val="5371C2EE"/>
    <w:rsid w:val="537858DF"/>
    <w:rsid w:val="537C52FF"/>
    <w:rsid w:val="537D8902"/>
    <w:rsid w:val="537F2A89"/>
    <w:rsid w:val="5385B8CC"/>
    <w:rsid w:val="53936321"/>
    <w:rsid w:val="53A9D6D6"/>
    <w:rsid w:val="53ABFFA6"/>
    <w:rsid w:val="53CA8514"/>
    <w:rsid w:val="53D4C74C"/>
    <w:rsid w:val="53DFA166"/>
    <w:rsid w:val="53E2FAFF"/>
    <w:rsid w:val="53EF786B"/>
    <w:rsid w:val="53F55B93"/>
    <w:rsid w:val="53FDD81D"/>
    <w:rsid w:val="53FE7063"/>
    <w:rsid w:val="54044BC9"/>
    <w:rsid w:val="5410EE04"/>
    <w:rsid w:val="54132DAD"/>
    <w:rsid w:val="541434B0"/>
    <w:rsid w:val="5416C0B0"/>
    <w:rsid w:val="541A01D5"/>
    <w:rsid w:val="541E095D"/>
    <w:rsid w:val="54261A66"/>
    <w:rsid w:val="5427810F"/>
    <w:rsid w:val="542CE74E"/>
    <w:rsid w:val="542DE0C6"/>
    <w:rsid w:val="54356828"/>
    <w:rsid w:val="544453F8"/>
    <w:rsid w:val="54451A5C"/>
    <w:rsid w:val="544B84C4"/>
    <w:rsid w:val="544E4EB2"/>
    <w:rsid w:val="545F8874"/>
    <w:rsid w:val="54669FC0"/>
    <w:rsid w:val="5466C62E"/>
    <w:rsid w:val="54677F8F"/>
    <w:rsid w:val="546D3ACC"/>
    <w:rsid w:val="546D3F47"/>
    <w:rsid w:val="546DC4E9"/>
    <w:rsid w:val="547E380B"/>
    <w:rsid w:val="547F0662"/>
    <w:rsid w:val="5480B80B"/>
    <w:rsid w:val="5485A8FD"/>
    <w:rsid w:val="5488BB34"/>
    <w:rsid w:val="548ECCA2"/>
    <w:rsid w:val="5493F412"/>
    <w:rsid w:val="549454CD"/>
    <w:rsid w:val="549C1F5D"/>
    <w:rsid w:val="54AC9274"/>
    <w:rsid w:val="54ACECCB"/>
    <w:rsid w:val="54AD8F9A"/>
    <w:rsid w:val="54AE8B8D"/>
    <w:rsid w:val="54B7C807"/>
    <w:rsid w:val="54B8C8DD"/>
    <w:rsid w:val="54BCE786"/>
    <w:rsid w:val="54BFF325"/>
    <w:rsid w:val="54C1C28A"/>
    <w:rsid w:val="54C49867"/>
    <w:rsid w:val="54C8FE68"/>
    <w:rsid w:val="54C90130"/>
    <w:rsid w:val="54CB4B06"/>
    <w:rsid w:val="54D1F5D2"/>
    <w:rsid w:val="54DE7173"/>
    <w:rsid w:val="54DF22ED"/>
    <w:rsid w:val="54E140D0"/>
    <w:rsid w:val="54E6B659"/>
    <w:rsid w:val="54E9BC8A"/>
    <w:rsid w:val="54EF6E0B"/>
    <w:rsid w:val="54FD9234"/>
    <w:rsid w:val="54FEDA02"/>
    <w:rsid w:val="5500EE01"/>
    <w:rsid w:val="550401C4"/>
    <w:rsid w:val="5508C732"/>
    <w:rsid w:val="550AFCB7"/>
    <w:rsid w:val="551D43AB"/>
    <w:rsid w:val="55302005"/>
    <w:rsid w:val="55307F77"/>
    <w:rsid w:val="5535CA44"/>
    <w:rsid w:val="553F4BE9"/>
    <w:rsid w:val="5540AF3F"/>
    <w:rsid w:val="554701CD"/>
    <w:rsid w:val="55499F04"/>
    <w:rsid w:val="5554ADF4"/>
    <w:rsid w:val="5566CEF0"/>
    <w:rsid w:val="558E9B86"/>
    <w:rsid w:val="5594ECF1"/>
    <w:rsid w:val="55B594CA"/>
    <w:rsid w:val="55CDEA15"/>
    <w:rsid w:val="55D4A5D1"/>
    <w:rsid w:val="55D6C3A3"/>
    <w:rsid w:val="55DFE5F0"/>
    <w:rsid w:val="56035380"/>
    <w:rsid w:val="561483C2"/>
    <w:rsid w:val="5616951B"/>
    <w:rsid w:val="561A7C09"/>
    <w:rsid w:val="561EDBEA"/>
    <w:rsid w:val="5620163B"/>
    <w:rsid w:val="5625C4BD"/>
    <w:rsid w:val="56412A40"/>
    <w:rsid w:val="564FEC7F"/>
    <w:rsid w:val="56528057"/>
    <w:rsid w:val="5656FED6"/>
    <w:rsid w:val="56588124"/>
    <w:rsid w:val="567DA674"/>
    <w:rsid w:val="56849E5E"/>
    <w:rsid w:val="56857728"/>
    <w:rsid w:val="568E08A8"/>
    <w:rsid w:val="568FEDBA"/>
    <w:rsid w:val="569A7FBC"/>
    <w:rsid w:val="569F0D4F"/>
    <w:rsid w:val="56A0B0ED"/>
    <w:rsid w:val="56A9451C"/>
    <w:rsid w:val="56BC5C1F"/>
    <w:rsid w:val="56CEFD0F"/>
    <w:rsid w:val="56D2E17F"/>
    <w:rsid w:val="56D66A30"/>
    <w:rsid w:val="56D928E4"/>
    <w:rsid w:val="56D98A3A"/>
    <w:rsid w:val="56DB85E3"/>
    <w:rsid w:val="56DEA829"/>
    <w:rsid w:val="56E409EF"/>
    <w:rsid w:val="56EA9FDC"/>
    <w:rsid w:val="56EFFB46"/>
    <w:rsid w:val="56F960A2"/>
    <w:rsid w:val="570D4717"/>
    <w:rsid w:val="5711CBC4"/>
    <w:rsid w:val="57158A79"/>
    <w:rsid w:val="571905F9"/>
    <w:rsid w:val="5727F1C9"/>
    <w:rsid w:val="57597617"/>
    <w:rsid w:val="5764894B"/>
    <w:rsid w:val="57798038"/>
    <w:rsid w:val="578F0E0B"/>
    <w:rsid w:val="57915FCB"/>
    <w:rsid w:val="579285A7"/>
    <w:rsid w:val="5793552F"/>
    <w:rsid w:val="57ADB015"/>
    <w:rsid w:val="57B2025E"/>
    <w:rsid w:val="57C99824"/>
    <w:rsid w:val="57CD3B65"/>
    <w:rsid w:val="57D8BF5E"/>
    <w:rsid w:val="57E0A45B"/>
    <w:rsid w:val="57E4A56D"/>
    <w:rsid w:val="57EDF17C"/>
    <w:rsid w:val="57FC8250"/>
    <w:rsid w:val="580686DC"/>
    <w:rsid w:val="5809E39F"/>
    <w:rsid w:val="58164FB4"/>
    <w:rsid w:val="582DD554"/>
    <w:rsid w:val="5831F0DE"/>
    <w:rsid w:val="5842E86E"/>
    <w:rsid w:val="58436622"/>
    <w:rsid w:val="5853E481"/>
    <w:rsid w:val="585514FB"/>
    <w:rsid w:val="58564C61"/>
    <w:rsid w:val="5868BAFB"/>
    <w:rsid w:val="586D0A83"/>
    <w:rsid w:val="586D8D9A"/>
    <w:rsid w:val="5870400C"/>
    <w:rsid w:val="587C6D22"/>
    <w:rsid w:val="5882F2A6"/>
    <w:rsid w:val="58898941"/>
    <w:rsid w:val="588AE033"/>
    <w:rsid w:val="589DCD3A"/>
    <w:rsid w:val="58A30027"/>
    <w:rsid w:val="58A8EB1F"/>
    <w:rsid w:val="58A90C25"/>
    <w:rsid w:val="58B1EE7C"/>
    <w:rsid w:val="58B270D5"/>
    <w:rsid w:val="58C3E3AD"/>
    <w:rsid w:val="58C653AD"/>
    <w:rsid w:val="58D79580"/>
    <w:rsid w:val="58D8FDB6"/>
    <w:rsid w:val="58E560FF"/>
    <w:rsid w:val="58EEA774"/>
    <w:rsid w:val="58F46537"/>
    <w:rsid w:val="58FD47BE"/>
    <w:rsid w:val="58FE4C73"/>
    <w:rsid w:val="590276A6"/>
    <w:rsid w:val="590C73D5"/>
    <w:rsid w:val="5919F5A6"/>
    <w:rsid w:val="591F51A0"/>
    <w:rsid w:val="5930C1FD"/>
    <w:rsid w:val="593973B7"/>
    <w:rsid w:val="59448F0C"/>
    <w:rsid w:val="59642D43"/>
    <w:rsid w:val="5975B1D0"/>
    <w:rsid w:val="597B7797"/>
    <w:rsid w:val="59A5C578"/>
    <w:rsid w:val="59AF940B"/>
    <w:rsid w:val="59AFC13C"/>
    <w:rsid w:val="59B726A0"/>
    <w:rsid w:val="59CBD011"/>
    <w:rsid w:val="59DB3C6C"/>
    <w:rsid w:val="59E610C4"/>
    <w:rsid w:val="59E8A372"/>
    <w:rsid w:val="59F0DA90"/>
    <w:rsid w:val="5A1A03E6"/>
    <w:rsid w:val="5A2E7DC1"/>
    <w:rsid w:val="5A33EA04"/>
    <w:rsid w:val="5A41833B"/>
    <w:rsid w:val="5A455F75"/>
    <w:rsid w:val="5A466BDD"/>
    <w:rsid w:val="5A4F3E1E"/>
    <w:rsid w:val="5A546E52"/>
    <w:rsid w:val="5A54FF87"/>
    <w:rsid w:val="5A60B64C"/>
    <w:rsid w:val="5A6270E9"/>
    <w:rsid w:val="5A627CE7"/>
    <w:rsid w:val="5A62EBE7"/>
    <w:rsid w:val="5A6BE749"/>
    <w:rsid w:val="5A720BF7"/>
    <w:rsid w:val="5A7354A5"/>
    <w:rsid w:val="5A77CDA1"/>
    <w:rsid w:val="5A7C152F"/>
    <w:rsid w:val="5A7E79EE"/>
    <w:rsid w:val="5A7FA111"/>
    <w:rsid w:val="5AA5D7C8"/>
    <w:rsid w:val="5AAA9A07"/>
    <w:rsid w:val="5AAA9EFA"/>
    <w:rsid w:val="5AAAFAB6"/>
    <w:rsid w:val="5ABC717B"/>
    <w:rsid w:val="5AD9C7B7"/>
    <w:rsid w:val="5ADA7284"/>
    <w:rsid w:val="5ADEA14B"/>
    <w:rsid w:val="5AFC64F9"/>
    <w:rsid w:val="5B068D9C"/>
    <w:rsid w:val="5B1416C8"/>
    <w:rsid w:val="5B2B5A73"/>
    <w:rsid w:val="5B3F7888"/>
    <w:rsid w:val="5B4A8E98"/>
    <w:rsid w:val="5B52DD48"/>
    <w:rsid w:val="5B5A1AF3"/>
    <w:rsid w:val="5B5F24C1"/>
    <w:rsid w:val="5B6BE337"/>
    <w:rsid w:val="5B71E93A"/>
    <w:rsid w:val="5B7E7BE6"/>
    <w:rsid w:val="5B800DC8"/>
    <w:rsid w:val="5B810DF8"/>
    <w:rsid w:val="5B86B625"/>
    <w:rsid w:val="5B96065E"/>
    <w:rsid w:val="5B9C847A"/>
    <w:rsid w:val="5B9FC1D3"/>
    <w:rsid w:val="5BA22FF5"/>
    <w:rsid w:val="5BBC083C"/>
    <w:rsid w:val="5BC21CCC"/>
    <w:rsid w:val="5BCE6EF3"/>
    <w:rsid w:val="5BD3F6C3"/>
    <w:rsid w:val="5BDAD254"/>
    <w:rsid w:val="5BDB0813"/>
    <w:rsid w:val="5BE4885F"/>
    <w:rsid w:val="5BEA83E8"/>
    <w:rsid w:val="5BF73F33"/>
    <w:rsid w:val="5BF8BD80"/>
    <w:rsid w:val="5BFD571E"/>
    <w:rsid w:val="5BFF586F"/>
    <w:rsid w:val="5C056F70"/>
    <w:rsid w:val="5C0A66E7"/>
    <w:rsid w:val="5C1A043F"/>
    <w:rsid w:val="5C1A468D"/>
    <w:rsid w:val="5C1F94C8"/>
    <w:rsid w:val="5C23474E"/>
    <w:rsid w:val="5C250636"/>
    <w:rsid w:val="5C297DF9"/>
    <w:rsid w:val="5C2F9DC6"/>
    <w:rsid w:val="5C3D1DAE"/>
    <w:rsid w:val="5C3D83F4"/>
    <w:rsid w:val="5C3F13A6"/>
    <w:rsid w:val="5C44A932"/>
    <w:rsid w:val="5C47BA85"/>
    <w:rsid w:val="5C48DA04"/>
    <w:rsid w:val="5C49A24D"/>
    <w:rsid w:val="5C5B4970"/>
    <w:rsid w:val="5C5CD57F"/>
    <w:rsid w:val="5C715AFC"/>
    <w:rsid w:val="5C78006F"/>
    <w:rsid w:val="5C7CC184"/>
    <w:rsid w:val="5C829418"/>
    <w:rsid w:val="5C86E54A"/>
    <w:rsid w:val="5C87AAE6"/>
    <w:rsid w:val="5C9008BB"/>
    <w:rsid w:val="5C90540D"/>
    <w:rsid w:val="5C95CCEF"/>
    <w:rsid w:val="5C974837"/>
    <w:rsid w:val="5C97F4B1"/>
    <w:rsid w:val="5CA0F339"/>
    <w:rsid w:val="5CA76217"/>
    <w:rsid w:val="5CAA3AB1"/>
    <w:rsid w:val="5CB3FAA7"/>
    <w:rsid w:val="5CB7959D"/>
    <w:rsid w:val="5CB9531B"/>
    <w:rsid w:val="5CBB8F41"/>
    <w:rsid w:val="5CC14A5A"/>
    <w:rsid w:val="5CC84AD9"/>
    <w:rsid w:val="5CD629DE"/>
    <w:rsid w:val="5CDD6558"/>
    <w:rsid w:val="5CE17E87"/>
    <w:rsid w:val="5CEA1A6E"/>
    <w:rsid w:val="5CF152CB"/>
    <w:rsid w:val="5CF82736"/>
    <w:rsid w:val="5CF91839"/>
    <w:rsid w:val="5CF99524"/>
    <w:rsid w:val="5CFEF4DD"/>
    <w:rsid w:val="5D114279"/>
    <w:rsid w:val="5D189337"/>
    <w:rsid w:val="5D1FE9C1"/>
    <w:rsid w:val="5D22F244"/>
    <w:rsid w:val="5D242B06"/>
    <w:rsid w:val="5D31FB6A"/>
    <w:rsid w:val="5D322849"/>
    <w:rsid w:val="5D3F5278"/>
    <w:rsid w:val="5D634414"/>
    <w:rsid w:val="5D679000"/>
    <w:rsid w:val="5D79E75B"/>
    <w:rsid w:val="5D8052CA"/>
    <w:rsid w:val="5D858F2F"/>
    <w:rsid w:val="5D89AB32"/>
    <w:rsid w:val="5D93FCC4"/>
    <w:rsid w:val="5D9A0C9F"/>
    <w:rsid w:val="5D9BDCA6"/>
    <w:rsid w:val="5DAB42C1"/>
    <w:rsid w:val="5DB441BA"/>
    <w:rsid w:val="5DB7DB64"/>
    <w:rsid w:val="5DB9F1A4"/>
    <w:rsid w:val="5DBDC36D"/>
    <w:rsid w:val="5DBFEE51"/>
    <w:rsid w:val="5DC454E1"/>
    <w:rsid w:val="5DC52CB3"/>
    <w:rsid w:val="5DCB9AFB"/>
    <w:rsid w:val="5DE5EA72"/>
    <w:rsid w:val="5DEA6E8E"/>
    <w:rsid w:val="5DEC04B3"/>
    <w:rsid w:val="5DF92B49"/>
    <w:rsid w:val="5DFD4359"/>
    <w:rsid w:val="5E09730F"/>
    <w:rsid w:val="5E12275D"/>
    <w:rsid w:val="5E16324F"/>
    <w:rsid w:val="5E1BDD95"/>
    <w:rsid w:val="5E29977E"/>
    <w:rsid w:val="5E362B39"/>
    <w:rsid w:val="5E493822"/>
    <w:rsid w:val="5E695F6C"/>
    <w:rsid w:val="5E6B062B"/>
    <w:rsid w:val="5E7EC7AF"/>
    <w:rsid w:val="5E820F23"/>
    <w:rsid w:val="5E87D796"/>
    <w:rsid w:val="5E9282A9"/>
    <w:rsid w:val="5EA8A535"/>
    <w:rsid w:val="5EBA920F"/>
    <w:rsid w:val="5EBDAD13"/>
    <w:rsid w:val="5EC93355"/>
    <w:rsid w:val="5ECE59EB"/>
    <w:rsid w:val="5ECF1A04"/>
    <w:rsid w:val="5ED39C74"/>
    <w:rsid w:val="5ED85358"/>
    <w:rsid w:val="5EDC027E"/>
    <w:rsid w:val="5EDD831E"/>
    <w:rsid w:val="5EE66225"/>
    <w:rsid w:val="5EEC3E2A"/>
    <w:rsid w:val="5EEDE59A"/>
    <w:rsid w:val="5F0C05CD"/>
    <w:rsid w:val="5F0DC291"/>
    <w:rsid w:val="5F1BB5C1"/>
    <w:rsid w:val="5F1E5408"/>
    <w:rsid w:val="5F2229C0"/>
    <w:rsid w:val="5F3120D2"/>
    <w:rsid w:val="5F32CC95"/>
    <w:rsid w:val="5F3532FE"/>
    <w:rsid w:val="5F4C8339"/>
    <w:rsid w:val="5F4F21AD"/>
    <w:rsid w:val="5F51A6EE"/>
    <w:rsid w:val="5F5CA6F8"/>
    <w:rsid w:val="5F5E3478"/>
    <w:rsid w:val="5F65BB76"/>
    <w:rsid w:val="5F67E10E"/>
    <w:rsid w:val="5F6DAA1C"/>
    <w:rsid w:val="5F7095C9"/>
    <w:rsid w:val="5F7A57C9"/>
    <w:rsid w:val="5F854524"/>
    <w:rsid w:val="5F895D12"/>
    <w:rsid w:val="5FAD87E3"/>
    <w:rsid w:val="5FADA154"/>
    <w:rsid w:val="5FB12989"/>
    <w:rsid w:val="5FB6AE84"/>
    <w:rsid w:val="5FB8D5A5"/>
    <w:rsid w:val="5FC0F7D1"/>
    <w:rsid w:val="5FC21F31"/>
    <w:rsid w:val="5FC5EEE0"/>
    <w:rsid w:val="5FD6C65E"/>
    <w:rsid w:val="5FD7120D"/>
    <w:rsid w:val="5FE45D4E"/>
    <w:rsid w:val="5FE4869E"/>
    <w:rsid w:val="5FEFFB16"/>
    <w:rsid w:val="601444C0"/>
    <w:rsid w:val="601554ED"/>
    <w:rsid w:val="601872A4"/>
    <w:rsid w:val="601EE084"/>
    <w:rsid w:val="6027A682"/>
    <w:rsid w:val="602E6E4C"/>
    <w:rsid w:val="604A782B"/>
    <w:rsid w:val="604F5795"/>
    <w:rsid w:val="6055C54A"/>
    <w:rsid w:val="605907CF"/>
    <w:rsid w:val="6064DD53"/>
    <w:rsid w:val="60766C12"/>
    <w:rsid w:val="6076A146"/>
    <w:rsid w:val="6077766A"/>
    <w:rsid w:val="6088D4AB"/>
    <w:rsid w:val="608C6757"/>
    <w:rsid w:val="60965207"/>
    <w:rsid w:val="609C447E"/>
    <w:rsid w:val="60A9B446"/>
    <w:rsid w:val="60AC1267"/>
    <w:rsid w:val="60ADA66A"/>
    <w:rsid w:val="60B5C3F2"/>
    <w:rsid w:val="60BF3ECF"/>
    <w:rsid w:val="60C4BCFE"/>
    <w:rsid w:val="60D698D4"/>
    <w:rsid w:val="60D78971"/>
    <w:rsid w:val="60E3CC4E"/>
    <w:rsid w:val="60E97865"/>
    <w:rsid w:val="60F41DCD"/>
    <w:rsid w:val="60FADBB1"/>
    <w:rsid w:val="610DC23F"/>
    <w:rsid w:val="61140AAE"/>
    <w:rsid w:val="6121D101"/>
    <w:rsid w:val="6125AF28"/>
    <w:rsid w:val="613AD096"/>
    <w:rsid w:val="614128F1"/>
    <w:rsid w:val="6162A250"/>
    <w:rsid w:val="617B3457"/>
    <w:rsid w:val="617CD591"/>
    <w:rsid w:val="61893C01"/>
    <w:rsid w:val="618AF5AA"/>
    <w:rsid w:val="61A504CC"/>
    <w:rsid w:val="61A985D7"/>
    <w:rsid w:val="61B8BE8B"/>
    <w:rsid w:val="61C3FA1B"/>
    <w:rsid w:val="61CB286E"/>
    <w:rsid w:val="61CF088C"/>
    <w:rsid w:val="61D15F0C"/>
    <w:rsid w:val="61E26BAE"/>
    <w:rsid w:val="61E4BCF8"/>
    <w:rsid w:val="61E8EE35"/>
    <w:rsid w:val="61EEDA7B"/>
    <w:rsid w:val="61F6BB2A"/>
    <w:rsid w:val="61F7C93B"/>
    <w:rsid w:val="61F9689C"/>
    <w:rsid w:val="620255BA"/>
    <w:rsid w:val="620FB3A0"/>
    <w:rsid w:val="62270D58"/>
    <w:rsid w:val="622B7D5B"/>
    <w:rsid w:val="62376105"/>
    <w:rsid w:val="623B6248"/>
    <w:rsid w:val="623BACF9"/>
    <w:rsid w:val="6252D58E"/>
    <w:rsid w:val="6259FBF7"/>
    <w:rsid w:val="625FA3A4"/>
    <w:rsid w:val="6264DD6C"/>
    <w:rsid w:val="6268E0AF"/>
    <w:rsid w:val="626B6149"/>
    <w:rsid w:val="626EB1B8"/>
    <w:rsid w:val="626F9AD3"/>
    <w:rsid w:val="62706559"/>
    <w:rsid w:val="6273BD4B"/>
    <w:rsid w:val="6274F5DF"/>
    <w:rsid w:val="6277B51E"/>
    <w:rsid w:val="627BEDD7"/>
    <w:rsid w:val="62AA7F2E"/>
    <w:rsid w:val="62AD1F9B"/>
    <w:rsid w:val="62AFE965"/>
    <w:rsid w:val="62B2D5EB"/>
    <w:rsid w:val="62B40519"/>
    <w:rsid w:val="62B78886"/>
    <w:rsid w:val="62B8FCAA"/>
    <w:rsid w:val="62C94196"/>
    <w:rsid w:val="62CA2F96"/>
    <w:rsid w:val="62CD6115"/>
    <w:rsid w:val="62D25C02"/>
    <w:rsid w:val="62D5173B"/>
    <w:rsid w:val="62D98C91"/>
    <w:rsid w:val="62DF61B7"/>
    <w:rsid w:val="62E18F19"/>
    <w:rsid w:val="62F8B8E8"/>
    <w:rsid w:val="630802BF"/>
    <w:rsid w:val="6315D8BD"/>
    <w:rsid w:val="63195367"/>
    <w:rsid w:val="633601B6"/>
    <w:rsid w:val="633EBEAB"/>
    <w:rsid w:val="63465FAA"/>
    <w:rsid w:val="6353A767"/>
    <w:rsid w:val="635AAB8F"/>
    <w:rsid w:val="63636406"/>
    <w:rsid w:val="63708A98"/>
    <w:rsid w:val="637720B7"/>
    <w:rsid w:val="637A1018"/>
    <w:rsid w:val="637F7EA1"/>
    <w:rsid w:val="637FD8D1"/>
    <w:rsid w:val="638FC5F7"/>
    <w:rsid w:val="639000C7"/>
    <w:rsid w:val="63976AF8"/>
    <w:rsid w:val="63A760AE"/>
    <w:rsid w:val="63AC6A59"/>
    <w:rsid w:val="63AEE6CB"/>
    <w:rsid w:val="63B72A17"/>
    <w:rsid w:val="63D2791A"/>
    <w:rsid w:val="63E29999"/>
    <w:rsid w:val="63E5F33D"/>
    <w:rsid w:val="63EE854D"/>
    <w:rsid w:val="63F3552E"/>
    <w:rsid w:val="63F6138F"/>
    <w:rsid w:val="6415F56B"/>
    <w:rsid w:val="641A3A02"/>
    <w:rsid w:val="641BE3B3"/>
    <w:rsid w:val="641E0D09"/>
    <w:rsid w:val="6424967F"/>
    <w:rsid w:val="6427E983"/>
    <w:rsid w:val="642C4152"/>
    <w:rsid w:val="6437778E"/>
    <w:rsid w:val="643DB108"/>
    <w:rsid w:val="6447A9AE"/>
    <w:rsid w:val="644ABE2E"/>
    <w:rsid w:val="644F3C13"/>
    <w:rsid w:val="64500CFC"/>
    <w:rsid w:val="6450F3CC"/>
    <w:rsid w:val="645E5189"/>
    <w:rsid w:val="645F5C43"/>
    <w:rsid w:val="6461FA5A"/>
    <w:rsid w:val="6469C10C"/>
    <w:rsid w:val="6471224A"/>
    <w:rsid w:val="647F9CE9"/>
    <w:rsid w:val="64972E4B"/>
    <w:rsid w:val="64989F5B"/>
    <w:rsid w:val="649F7730"/>
    <w:rsid w:val="64A8C8BE"/>
    <w:rsid w:val="64B9C87A"/>
    <w:rsid w:val="64C0BA9C"/>
    <w:rsid w:val="64D1CE68"/>
    <w:rsid w:val="64E2C507"/>
    <w:rsid w:val="64EBA875"/>
    <w:rsid w:val="64EE7D37"/>
    <w:rsid w:val="65009B33"/>
    <w:rsid w:val="651595F1"/>
    <w:rsid w:val="6520C9F2"/>
    <w:rsid w:val="6527B424"/>
    <w:rsid w:val="652B71D8"/>
    <w:rsid w:val="6538CE02"/>
    <w:rsid w:val="653D6928"/>
    <w:rsid w:val="65406F58"/>
    <w:rsid w:val="6545D15A"/>
    <w:rsid w:val="654944D3"/>
    <w:rsid w:val="655760EE"/>
    <w:rsid w:val="655C917A"/>
    <w:rsid w:val="6566A441"/>
    <w:rsid w:val="65696FF0"/>
    <w:rsid w:val="65715730"/>
    <w:rsid w:val="657D478C"/>
    <w:rsid w:val="6586BD8E"/>
    <w:rsid w:val="6594A6A9"/>
    <w:rsid w:val="6595D97F"/>
    <w:rsid w:val="6595FC95"/>
    <w:rsid w:val="659AC965"/>
    <w:rsid w:val="65A056DF"/>
    <w:rsid w:val="65ADB548"/>
    <w:rsid w:val="65B199F7"/>
    <w:rsid w:val="65B3BBA4"/>
    <w:rsid w:val="65B3E58A"/>
    <w:rsid w:val="65B4C09E"/>
    <w:rsid w:val="65C3C7EB"/>
    <w:rsid w:val="65C55826"/>
    <w:rsid w:val="65C9F5F7"/>
    <w:rsid w:val="65CA5EB1"/>
    <w:rsid w:val="65CA8E82"/>
    <w:rsid w:val="65E2D428"/>
    <w:rsid w:val="65EFE65C"/>
    <w:rsid w:val="65F0CE18"/>
    <w:rsid w:val="65F21F7E"/>
    <w:rsid w:val="66049129"/>
    <w:rsid w:val="6608FA14"/>
    <w:rsid w:val="660BE864"/>
    <w:rsid w:val="660F6EEE"/>
    <w:rsid w:val="6613F04B"/>
    <w:rsid w:val="662271D6"/>
    <w:rsid w:val="66348302"/>
    <w:rsid w:val="663737A4"/>
    <w:rsid w:val="665DB6EC"/>
    <w:rsid w:val="66839AE5"/>
    <w:rsid w:val="6693E80C"/>
    <w:rsid w:val="66957FB0"/>
    <w:rsid w:val="6698BE0C"/>
    <w:rsid w:val="669B9434"/>
    <w:rsid w:val="66A7A4A6"/>
    <w:rsid w:val="66AF2DC7"/>
    <w:rsid w:val="66B5A909"/>
    <w:rsid w:val="66B9C3F6"/>
    <w:rsid w:val="66BBC55D"/>
    <w:rsid w:val="66C00967"/>
    <w:rsid w:val="66C37B28"/>
    <w:rsid w:val="66C82E87"/>
    <w:rsid w:val="66D39788"/>
    <w:rsid w:val="66D3D975"/>
    <w:rsid w:val="66E6FAA8"/>
    <w:rsid w:val="66F599A7"/>
    <w:rsid w:val="66FBB936"/>
    <w:rsid w:val="6703BB70"/>
    <w:rsid w:val="67040CBE"/>
    <w:rsid w:val="670F1E97"/>
    <w:rsid w:val="671195C2"/>
    <w:rsid w:val="672A7872"/>
    <w:rsid w:val="6730E376"/>
    <w:rsid w:val="673B0F44"/>
    <w:rsid w:val="67410711"/>
    <w:rsid w:val="6743D6D6"/>
    <w:rsid w:val="6762A4AD"/>
    <w:rsid w:val="676D1257"/>
    <w:rsid w:val="677F42FC"/>
    <w:rsid w:val="6786076B"/>
    <w:rsid w:val="67896944"/>
    <w:rsid w:val="678F4588"/>
    <w:rsid w:val="67A1EA2C"/>
    <w:rsid w:val="67B01548"/>
    <w:rsid w:val="67B40AD2"/>
    <w:rsid w:val="67C4D1B2"/>
    <w:rsid w:val="67C76B54"/>
    <w:rsid w:val="67CB5859"/>
    <w:rsid w:val="67CDEEDC"/>
    <w:rsid w:val="67CE06BE"/>
    <w:rsid w:val="67D1DD03"/>
    <w:rsid w:val="67D876D1"/>
    <w:rsid w:val="67D939D6"/>
    <w:rsid w:val="67DE7B42"/>
    <w:rsid w:val="6803FCA3"/>
    <w:rsid w:val="6807527D"/>
    <w:rsid w:val="680875B7"/>
    <w:rsid w:val="681D731B"/>
    <w:rsid w:val="681E2037"/>
    <w:rsid w:val="6828E0DD"/>
    <w:rsid w:val="683B8C21"/>
    <w:rsid w:val="683E4A8C"/>
    <w:rsid w:val="68415DE9"/>
    <w:rsid w:val="68475146"/>
    <w:rsid w:val="684AAAB2"/>
    <w:rsid w:val="684D1524"/>
    <w:rsid w:val="68510AC0"/>
    <w:rsid w:val="6851D4ED"/>
    <w:rsid w:val="686FE233"/>
    <w:rsid w:val="68701E60"/>
    <w:rsid w:val="687082B9"/>
    <w:rsid w:val="68756C7F"/>
    <w:rsid w:val="68861A7E"/>
    <w:rsid w:val="68872C58"/>
    <w:rsid w:val="688D61EB"/>
    <w:rsid w:val="68949488"/>
    <w:rsid w:val="689796A2"/>
    <w:rsid w:val="689CE76A"/>
    <w:rsid w:val="68A3B755"/>
    <w:rsid w:val="68B2D7BE"/>
    <w:rsid w:val="68B400B5"/>
    <w:rsid w:val="68B68450"/>
    <w:rsid w:val="68BE4FB4"/>
    <w:rsid w:val="68D1D7F0"/>
    <w:rsid w:val="68DEF00D"/>
    <w:rsid w:val="68F05EF1"/>
    <w:rsid w:val="68F0D6A7"/>
    <w:rsid w:val="68F7F432"/>
    <w:rsid w:val="690C1237"/>
    <w:rsid w:val="69104C74"/>
    <w:rsid w:val="6910D038"/>
    <w:rsid w:val="691949B9"/>
    <w:rsid w:val="691A0075"/>
    <w:rsid w:val="691BC0FA"/>
    <w:rsid w:val="69200AEA"/>
    <w:rsid w:val="692BA351"/>
    <w:rsid w:val="6934CB97"/>
    <w:rsid w:val="69352557"/>
    <w:rsid w:val="69531886"/>
    <w:rsid w:val="695DAFFA"/>
    <w:rsid w:val="69606168"/>
    <w:rsid w:val="69670575"/>
    <w:rsid w:val="6982C95A"/>
    <w:rsid w:val="698CDFA4"/>
    <w:rsid w:val="69A02830"/>
    <w:rsid w:val="69A6992B"/>
    <w:rsid w:val="69AC6818"/>
    <w:rsid w:val="69BF3DEA"/>
    <w:rsid w:val="69BFDADD"/>
    <w:rsid w:val="69BFE6D6"/>
    <w:rsid w:val="69C8710C"/>
    <w:rsid w:val="69CF200A"/>
    <w:rsid w:val="69D1024E"/>
    <w:rsid w:val="69D86D17"/>
    <w:rsid w:val="69D8C176"/>
    <w:rsid w:val="69DB78C8"/>
    <w:rsid w:val="69F2A18B"/>
    <w:rsid w:val="69FC3F48"/>
    <w:rsid w:val="69FE0ADF"/>
    <w:rsid w:val="6A1414FC"/>
    <w:rsid w:val="6A293F88"/>
    <w:rsid w:val="6A2CE50F"/>
    <w:rsid w:val="6A36C4DB"/>
    <w:rsid w:val="6A3CFCD0"/>
    <w:rsid w:val="6A3E039E"/>
    <w:rsid w:val="6A3EDA07"/>
    <w:rsid w:val="6A551700"/>
    <w:rsid w:val="6A563F20"/>
    <w:rsid w:val="6A62D9A6"/>
    <w:rsid w:val="6A65FFEB"/>
    <w:rsid w:val="6A6B17CD"/>
    <w:rsid w:val="6A6E663B"/>
    <w:rsid w:val="6A6EBF55"/>
    <w:rsid w:val="6A70F6DE"/>
    <w:rsid w:val="6A8C261F"/>
    <w:rsid w:val="6A988058"/>
    <w:rsid w:val="6AA435D5"/>
    <w:rsid w:val="6ABCE9E1"/>
    <w:rsid w:val="6AC68FF0"/>
    <w:rsid w:val="6ACE61C7"/>
    <w:rsid w:val="6AD1A023"/>
    <w:rsid w:val="6ADD9692"/>
    <w:rsid w:val="6ADDE661"/>
    <w:rsid w:val="6ADFBDF5"/>
    <w:rsid w:val="6AF4CE16"/>
    <w:rsid w:val="6B078315"/>
    <w:rsid w:val="6B0D5AB3"/>
    <w:rsid w:val="6B157866"/>
    <w:rsid w:val="6B17E8E0"/>
    <w:rsid w:val="6B20468D"/>
    <w:rsid w:val="6B22F429"/>
    <w:rsid w:val="6B25223B"/>
    <w:rsid w:val="6B28B005"/>
    <w:rsid w:val="6B2ED015"/>
    <w:rsid w:val="6B3285A1"/>
    <w:rsid w:val="6B32BAB1"/>
    <w:rsid w:val="6B3BAE2D"/>
    <w:rsid w:val="6B44C254"/>
    <w:rsid w:val="6B48BE1B"/>
    <w:rsid w:val="6B57FD25"/>
    <w:rsid w:val="6B6AE0AE"/>
    <w:rsid w:val="6B82833F"/>
    <w:rsid w:val="6B88ED76"/>
    <w:rsid w:val="6B93B440"/>
    <w:rsid w:val="6B9DA6C4"/>
    <w:rsid w:val="6BA0B39E"/>
    <w:rsid w:val="6BA2C6D3"/>
    <w:rsid w:val="6BA60CD5"/>
    <w:rsid w:val="6BA74332"/>
    <w:rsid w:val="6BB84C4E"/>
    <w:rsid w:val="6BB97412"/>
    <w:rsid w:val="6BBD92B4"/>
    <w:rsid w:val="6BC6FB3D"/>
    <w:rsid w:val="6BC81E5D"/>
    <w:rsid w:val="6BC9E36F"/>
    <w:rsid w:val="6BD5D193"/>
    <w:rsid w:val="6BDCEB20"/>
    <w:rsid w:val="6BE3BABA"/>
    <w:rsid w:val="6BE7343E"/>
    <w:rsid w:val="6BEF49F9"/>
    <w:rsid w:val="6BF0FF85"/>
    <w:rsid w:val="6BF11DEE"/>
    <w:rsid w:val="6BF188B7"/>
    <w:rsid w:val="6BF8AEE2"/>
    <w:rsid w:val="6C018013"/>
    <w:rsid w:val="6C046C0F"/>
    <w:rsid w:val="6C0D7C6F"/>
    <w:rsid w:val="6C2618B7"/>
    <w:rsid w:val="6C31B5A5"/>
    <w:rsid w:val="6C346462"/>
    <w:rsid w:val="6C36EEE3"/>
    <w:rsid w:val="6C3A5ECB"/>
    <w:rsid w:val="6C44E782"/>
    <w:rsid w:val="6C463175"/>
    <w:rsid w:val="6C4D566C"/>
    <w:rsid w:val="6C5CDABA"/>
    <w:rsid w:val="6C5DCD4E"/>
    <w:rsid w:val="6C5DEB12"/>
    <w:rsid w:val="6C821A5E"/>
    <w:rsid w:val="6C9018BC"/>
    <w:rsid w:val="6C91303D"/>
    <w:rsid w:val="6CA2636E"/>
    <w:rsid w:val="6CA9E4C6"/>
    <w:rsid w:val="6CC471CF"/>
    <w:rsid w:val="6CDCD1D9"/>
    <w:rsid w:val="6CED90CB"/>
    <w:rsid w:val="6CF1D251"/>
    <w:rsid w:val="6D027055"/>
    <w:rsid w:val="6D03E61C"/>
    <w:rsid w:val="6D0BFE91"/>
    <w:rsid w:val="6D125CB9"/>
    <w:rsid w:val="6D1B3C93"/>
    <w:rsid w:val="6D1FBD73"/>
    <w:rsid w:val="6D20E320"/>
    <w:rsid w:val="6D2E0D06"/>
    <w:rsid w:val="6D3AD75F"/>
    <w:rsid w:val="6D43EC68"/>
    <w:rsid w:val="6D4FD585"/>
    <w:rsid w:val="6D59BF61"/>
    <w:rsid w:val="6D5A0731"/>
    <w:rsid w:val="6D5E98FB"/>
    <w:rsid w:val="6D6B8733"/>
    <w:rsid w:val="6D76DB89"/>
    <w:rsid w:val="6D7A57F0"/>
    <w:rsid w:val="6D84AA77"/>
    <w:rsid w:val="6D90D6EA"/>
    <w:rsid w:val="6D91074C"/>
    <w:rsid w:val="6D9C2D36"/>
    <w:rsid w:val="6D9E0B9C"/>
    <w:rsid w:val="6DA27B76"/>
    <w:rsid w:val="6DAB3035"/>
    <w:rsid w:val="6DC1A505"/>
    <w:rsid w:val="6DC47E95"/>
    <w:rsid w:val="6DC68D40"/>
    <w:rsid w:val="6DCD3DE5"/>
    <w:rsid w:val="6DD0DBB0"/>
    <w:rsid w:val="6DDF86CD"/>
    <w:rsid w:val="6DEA1024"/>
    <w:rsid w:val="6E06BF0A"/>
    <w:rsid w:val="6E189671"/>
    <w:rsid w:val="6E18B123"/>
    <w:rsid w:val="6E18F94D"/>
    <w:rsid w:val="6E27B55B"/>
    <w:rsid w:val="6E2B5893"/>
    <w:rsid w:val="6E3CEF73"/>
    <w:rsid w:val="6E4DD0EF"/>
    <w:rsid w:val="6E73D3E9"/>
    <w:rsid w:val="6E7A0042"/>
    <w:rsid w:val="6E8D50E4"/>
    <w:rsid w:val="6E9705FD"/>
    <w:rsid w:val="6E9E643C"/>
    <w:rsid w:val="6E9F6CEB"/>
    <w:rsid w:val="6ECACDEA"/>
    <w:rsid w:val="6ECF6FEB"/>
    <w:rsid w:val="6EE26262"/>
    <w:rsid w:val="6EECFF22"/>
    <w:rsid w:val="6EEEF547"/>
    <w:rsid w:val="6EF80B37"/>
    <w:rsid w:val="6EFA9673"/>
    <w:rsid w:val="6EFBFCA8"/>
    <w:rsid w:val="6F029CB9"/>
    <w:rsid w:val="6F095ECA"/>
    <w:rsid w:val="6F101ADF"/>
    <w:rsid w:val="6F141E0C"/>
    <w:rsid w:val="6F2305E2"/>
    <w:rsid w:val="6F2363FF"/>
    <w:rsid w:val="6F2C82AC"/>
    <w:rsid w:val="6F435E64"/>
    <w:rsid w:val="6F45DD8F"/>
    <w:rsid w:val="6F461BEE"/>
    <w:rsid w:val="6F4A0920"/>
    <w:rsid w:val="6F5C8234"/>
    <w:rsid w:val="6F652472"/>
    <w:rsid w:val="6F7040A7"/>
    <w:rsid w:val="6F75214E"/>
    <w:rsid w:val="6F763473"/>
    <w:rsid w:val="6F8B7F61"/>
    <w:rsid w:val="6F8F4819"/>
    <w:rsid w:val="6FA2C298"/>
    <w:rsid w:val="6FA3651A"/>
    <w:rsid w:val="6FB2321D"/>
    <w:rsid w:val="6FC1D12E"/>
    <w:rsid w:val="6FC2F264"/>
    <w:rsid w:val="6FC3C5EE"/>
    <w:rsid w:val="6FCEE4FE"/>
    <w:rsid w:val="6FD020B9"/>
    <w:rsid w:val="6FDF708B"/>
    <w:rsid w:val="6FE21EF7"/>
    <w:rsid w:val="6FEED27E"/>
    <w:rsid w:val="6FF0B1F9"/>
    <w:rsid w:val="6FFE1DB5"/>
    <w:rsid w:val="7001004E"/>
    <w:rsid w:val="700C9575"/>
    <w:rsid w:val="70144ABF"/>
    <w:rsid w:val="70208235"/>
    <w:rsid w:val="70249DD7"/>
    <w:rsid w:val="70252EAA"/>
    <w:rsid w:val="703B235F"/>
    <w:rsid w:val="703B8B96"/>
    <w:rsid w:val="7046E076"/>
    <w:rsid w:val="704C1DFD"/>
    <w:rsid w:val="70590B9A"/>
    <w:rsid w:val="7068BA9F"/>
    <w:rsid w:val="706A58FF"/>
    <w:rsid w:val="706B0955"/>
    <w:rsid w:val="706D24E0"/>
    <w:rsid w:val="70774254"/>
    <w:rsid w:val="7082309C"/>
    <w:rsid w:val="7088C754"/>
    <w:rsid w:val="709074D8"/>
    <w:rsid w:val="7097226D"/>
    <w:rsid w:val="70974422"/>
    <w:rsid w:val="709EC388"/>
    <w:rsid w:val="70ABA062"/>
    <w:rsid w:val="70B3D93E"/>
    <w:rsid w:val="70C2BFDD"/>
    <w:rsid w:val="70C77D50"/>
    <w:rsid w:val="70CA7BC3"/>
    <w:rsid w:val="70DED92D"/>
    <w:rsid w:val="70E65D00"/>
    <w:rsid w:val="70F264BD"/>
    <w:rsid w:val="70F69315"/>
    <w:rsid w:val="70FA3288"/>
    <w:rsid w:val="710A602F"/>
    <w:rsid w:val="710E9EF3"/>
    <w:rsid w:val="7115849C"/>
    <w:rsid w:val="7134F29F"/>
    <w:rsid w:val="713A4B78"/>
    <w:rsid w:val="715B4B5B"/>
    <w:rsid w:val="715C72A3"/>
    <w:rsid w:val="7161446B"/>
    <w:rsid w:val="71634CDA"/>
    <w:rsid w:val="7164DE29"/>
    <w:rsid w:val="7174EC2F"/>
    <w:rsid w:val="7180A0F3"/>
    <w:rsid w:val="7184A4BC"/>
    <w:rsid w:val="7189E58F"/>
    <w:rsid w:val="7197A621"/>
    <w:rsid w:val="7198A776"/>
    <w:rsid w:val="719BED04"/>
    <w:rsid w:val="719C29E7"/>
    <w:rsid w:val="71A779E5"/>
    <w:rsid w:val="71BC3357"/>
    <w:rsid w:val="71BEADB7"/>
    <w:rsid w:val="71CCA501"/>
    <w:rsid w:val="71D8331B"/>
    <w:rsid w:val="71DD7DFC"/>
    <w:rsid w:val="71E3D54D"/>
    <w:rsid w:val="71E63930"/>
    <w:rsid w:val="71ED2290"/>
    <w:rsid w:val="71F13495"/>
    <w:rsid w:val="71F891DB"/>
    <w:rsid w:val="71FC118B"/>
    <w:rsid w:val="72036D49"/>
    <w:rsid w:val="720A4867"/>
    <w:rsid w:val="721E44A9"/>
    <w:rsid w:val="722266EC"/>
    <w:rsid w:val="7225849E"/>
    <w:rsid w:val="7227ADC2"/>
    <w:rsid w:val="72292101"/>
    <w:rsid w:val="722CF100"/>
    <w:rsid w:val="723FD845"/>
    <w:rsid w:val="7244953D"/>
    <w:rsid w:val="725AE621"/>
    <w:rsid w:val="72627584"/>
    <w:rsid w:val="7267BE56"/>
    <w:rsid w:val="726911A7"/>
    <w:rsid w:val="726EF6C8"/>
    <w:rsid w:val="7276410E"/>
    <w:rsid w:val="7278C180"/>
    <w:rsid w:val="727A2322"/>
    <w:rsid w:val="727BF53E"/>
    <w:rsid w:val="72836757"/>
    <w:rsid w:val="7286E9FB"/>
    <w:rsid w:val="728C5CCB"/>
    <w:rsid w:val="72ABE647"/>
    <w:rsid w:val="72ACD697"/>
    <w:rsid w:val="72B889CB"/>
    <w:rsid w:val="72B9DF73"/>
    <w:rsid w:val="72CA33CE"/>
    <w:rsid w:val="72D19ED6"/>
    <w:rsid w:val="72D2C090"/>
    <w:rsid w:val="72D44F57"/>
    <w:rsid w:val="72E05D43"/>
    <w:rsid w:val="72E5AE3B"/>
    <w:rsid w:val="72EDD3E5"/>
    <w:rsid w:val="72EF638F"/>
    <w:rsid w:val="72F26AAC"/>
    <w:rsid w:val="72FB7DE6"/>
    <w:rsid w:val="7301BBCF"/>
    <w:rsid w:val="7312742A"/>
    <w:rsid w:val="732693D3"/>
    <w:rsid w:val="732EBB73"/>
    <w:rsid w:val="7331719A"/>
    <w:rsid w:val="73337682"/>
    <w:rsid w:val="733B6863"/>
    <w:rsid w:val="734877A3"/>
    <w:rsid w:val="734C7575"/>
    <w:rsid w:val="734EA18E"/>
    <w:rsid w:val="73520D3B"/>
    <w:rsid w:val="735F2795"/>
    <w:rsid w:val="73773091"/>
    <w:rsid w:val="737D25B6"/>
    <w:rsid w:val="73838AA2"/>
    <w:rsid w:val="7388AE14"/>
    <w:rsid w:val="7388F2F1"/>
    <w:rsid w:val="738E43F6"/>
    <w:rsid w:val="73A138B0"/>
    <w:rsid w:val="73A89B01"/>
    <w:rsid w:val="73A8F69D"/>
    <w:rsid w:val="73C1A662"/>
    <w:rsid w:val="73CCD458"/>
    <w:rsid w:val="73D23EC1"/>
    <w:rsid w:val="73D3FD19"/>
    <w:rsid w:val="73DA618C"/>
    <w:rsid w:val="73DE9EB3"/>
    <w:rsid w:val="73E81595"/>
    <w:rsid w:val="73FAF4F1"/>
    <w:rsid w:val="73FBD624"/>
    <w:rsid w:val="74029ABE"/>
    <w:rsid w:val="74054DB0"/>
    <w:rsid w:val="740C6A43"/>
    <w:rsid w:val="740D5905"/>
    <w:rsid w:val="741293BF"/>
    <w:rsid w:val="741474AB"/>
    <w:rsid w:val="74181442"/>
    <w:rsid w:val="742AA97B"/>
    <w:rsid w:val="743383A3"/>
    <w:rsid w:val="7439ED2D"/>
    <w:rsid w:val="743CD38E"/>
    <w:rsid w:val="7448996C"/>
    <w:rsid w:val="74571B85"/>
    <w:rsid w:val="74572A9A"/>
    <w:rsid w:val="7476079D"/>
    <w:rsid w:val="748ECDF5"/>
    <w:rsid w:val="74A4DF67"/>
    <w:rsid w:val="74CBF222"/>
    <w:rsid w:val="74D83785"/>
    <w:rsid w:val="74E22EF8"/>
    <w:rsid w:val="74E9E0CA"/>
    <w:rsid w:val="74F0D784"/>
    <w:rsid w:val="750B64AF"/>
    <w:rsid w:val="750BB50B"/>
    <w:rsid w:val="750C1F34"/>
    <w:rsid w:val="750F9D43"/>
    <w:rsid w:val="7513332E"/>
    <w:rsid w:val="751CF12E"/>
    <w:rsid w:val="752B08B9"/>
    <w:rsid w:val="753411D8"/>
    <w:rsid w:val="7534D2D2"/>
    <w:rsid w:val="75370DDF"/>
    <w:rsid w:val="7545A7E2"/>
    <w:rsid w:val="7565D0FF"/>
    <w:rsid w:val="7569C4EB"/>
    <w:rsid w:val="756A653F"/>
    <w:rsid w:val="756FD590"/>
    <w:rsid w:val="757D8A9D"/>
    <w:rsid w:val="757DCAEF"/>
    <w:rsid w:val="758C6F3F"/>
    <w:rsid w:val="758D95E9"/>
    <w:rsid w:val="7596AE8D"/>
    <w:rsid w:val="7597D097"/>
    <w:rsid w:val="759D4ABB"/>
    <w:rsid w:val="75A02045"/>
    <w:rsid w:val="75A037C3"/>
    <w:rsid w:val="75A31064"/>
    <w:rsid w:val="75AE7BEA"/>
    <w:rsid w:val="75B47DEB"/>
    <w:rsid w:val="75B6C3AE"/>
    <w:rsid w:val="75BC8B75"/>
    <w:rsid w:val="75BF8B17"/>
    <w:rsid w:val="75D56115"/>
    <w:rsid w:val="75D812C2"/>
    <w:rsid w:val="75DC1238"/>
    <w:rsid w:val="75DDEA97"/>
    <w:rsid w:val="75E95C12"/>
    <w:rsid w:val="75F2CD65"/>
    <w:rsid w:val="76017F3C"/>
    <w:rsid w:val="76034F14"/>
    <w:rsid w:val="7606732B"/>
    <w:rsid w:val="7609013E"/>
    <w:rsid w:val="760FDAD2"/>
    <w:rsid w:val="761242BD"/>
    <w:rsid w:val="7616DAD2"/>
    <w:rsid w:val="76238888"/>
    <w:rsid w:val="762A5C52"/>
    <w:rsid w:val="762F19E8"/>
    <w:rsid w:val="7638375C"/>
    <w:rsid w:val="764CA4C6"/>
    <w:rsid w:val="764CB6DD"/>
    <w:rsid w:val="764F0DD3"/>
    <w:rsid w:val="76528A86"/>
    <w:rsid w:val="765ADBA0"/>
    <w:rsid w:val="76609FD9"/>
    <w:rsid w:val="76638FC3"/>
    <w:rsid w:val="7665F7B1"/>
    <w:rsid w:val="76680ED2"/>
    <w:rsid w:val="766EB88E"/>
    <w:rsid w:val="767198BC"/>
    <w:rsid w:val="76761D12"/>
    <w:rsid w:val="767A3C7B"/>
    <w:rsid w:val="767D949F"/>
    <w:rsid w:val="767F2A73"/>
    <w:rsid w:val="768CCCB7"/>
    <w:rsid w:val="768FF43C"/>
    <w:rsid w:val="7699D692"/>
    <w:rsid w:val="76A2BF6A"/>
    <w:rsid w:val="76A93407"/>
    <w:rsid w:val="76A97824"/>
    <w:rsid w:val="76B14BDE"/>
    <w:rsid w:val="76C2F3D2"/>
    <w:rsid w:val="76C5D8B1"/>
    <w:rsid w:val="76CAA00F"/>
    <w:rsid w:val="76DC13E1"/>
    <w:rsid w:val="76E6A774"/>
    <w:rsid w:val="76E75F06"/>
    <w:rsid w:val="76EDD100"/>
    <w:rsid w:val="76F5CC38"/>
    <w:rsid w:val="76F8B656"/>
    <w:rsid w:val="770076E0"/>
    <w:rsid w:val="7713B6C9"/>
    <w:rsid w:val="77175C70"/>
    <w:rsid w:val="771768C2"/>
    <w:rsid w:val="7725F49F"/>
    <w:rsid w:val="77316091"/>
    <w:rsid w:val="7732B2AF"/>
    <w:rsid w:val="773AD52B"/>
    <w:rsid w:val="7741598E"/>
    <w:rsid w:val="7743D04D"/>
    <w:rsid w:val="7747E8AD"/>
    <w:rsid w:val="7755F8A9"/>
    <w:rsid w:val="776EF4B9"/>
    <w:rsid w:val="777452D8"/>
    <w:rsid w:val="777BBA29"/>
    <w:rsid w:val="777BCDD0"/>
    <w:rsid w:val="777ECBE2"/>
    <w:rsid w:val="7785622F"/>
    <w:rsid w:val="77879D19"/>
    <w:rsid w:val="779614CB"/>
    <w:rsid w:val="77979B0C"/>
    <w:rsid w:val="779F46BF"/>
    <w:rsid w:val="77AD9407"/>
    <w:rsid w:val="77B140A1"/>
    <w:rsid w:val="77BAC59E"/>
    <w:rsid w:val="77D07A83"/>
    <w:rsid w:val="77D53B28"/>
    <w:rsid w:val="77F1745B"/>
    <w:rsid w:val="77F17D30"/>
    <w:rsid w:val="77F9A54E"/>
    <w:rsid w:val="77FD1AE4"/>
    <w:rsid w:val="780014C0"/>
    <w:rsid w:val="78039089"/>
    <w:rsid w:val="7803B993"/>
    <w:rsid w:val="780A29FE"/>
    <w:rsid w:val="7823F49E"/>
    <w:rsid w:val="7828B2A9"/>
    <w:rsid w:val="782D43AC"/>
    <w:rsid w:val="7839676E"/>
    <w:rsid w:val="783A78E6"/>
    <w:rsid w:val="784911D4"/>
    <w:rsid w:val="784F955D"/>
    <w:rsid w:val="78531C43"/>
    <w:rsid w:val="78676E6E"/>
    <w:rsid w:val="786AC2AA"/>
    <w:rsid w:val="786C09F2"/>
    <w:rsid w:val="78706CF4"/>
    <w:rsid w:val="7892886B"/>
    <w:rsid w:val="789513E6"/>
    <w:rsid w:val="789D1384"/>
    <w:rsid w:val="78A85881"/>
    <w:rsid w:val="78ADFA67"/>
    <w:rsid w:val="78AEFDCE"/>
    <w:rsid w:val="78B178CE"/>
    <w:rsid w:val="78B33AA0"/>
    <w:rsid w:val="78BBC214"/>
    <w:rsid w:val="78C08404"/>
    <w:rsid w:val="78C1D9C5"/>
    <w:rsid w:val="78C86726"/>
    <w:rsid w:val="78CEF2A0"/>
    <w:rsid w:val="78D0A8A7"/>
    <w:rsid w:val="78E290F1"/>
    <w:rsid w:val="78ED89B4"/>
    <w:rsid w:val="78F7943E"/>
    <w:rsid w:val="78FCCEFC"/>
    <w:rsid w:val="790DF644"/>
    <w:rsid w:val="7912208F"/>
    <w:rsid w:val="7915A1CD"/>
    <w:rsid w:val="7916580D"/>
    <w:rsid w:val="7916A571"/>
    <w:rsid w:val="7916B906"/>
    <w:rsid w:val="791EACF9"/>
    <w:rsid w:val="79251C32"/>
    <w:rsid w:val="79280F39"/>
    <w:rsid w:val="792958F8"/>
    <w:rsid w:val="7938CAE9"/>
    <w:rsid w:val="79424C83"/>
    <w:rsid w:val="794311B8"/>
    <w:rsid w:val="79438DF9"/>
    <w:rsid w:val="795D9A48"/>
    <w:rsid w:val="795FF303"/>
    <w:rsid w:val="7965BB97"/>
    <w:rsid w:val="796FA527"/>
    <w:rsid w:val="79701419"/>
    <w:rsid w:val="7971E54E"/>
    <w:rsid w:val="797EF18C"/>
    <w:rsid w:val="7985C38A"/>
    <w:rsid w:val="799DD4B2"/>
    <w:rsid w:val="79A3B24F"/>
    <w:rsid w:val="79A9925D"/>
    <w:rsid w:val="79AAE671"/>
    <w:rsid w:val="79AD73ED"/>
    <w:rsid w:val="79B2C645"/>
    <w:rsid w:val="79B9EF62"/>
    <w:rsid w:val="79BF1FA5"/>
    <w:rsid w:val="79C7438E"/>
    <w:rsid w:val="79CA5D8D"/>
    <w:rsid w:val="79CB0BB9"/>
    <w:rsid w:val="79DF0C18"/>
    <w:rsid w:val="79E31D83"/>
    <w:rsid w:val="79E9B727"/>
    <w:rsid w:val="79EE77BA"/>
    <w:rsid w:val="79FAD14C"/>
    <w:rsid w:val="79FB6CCB"/>
    <w:rsid w:val="7A05B892"/>
    <w:rsid w:val="7A088F50"/>
    <w:rsid w:val="7A0A5BF9"/>
    <w:rsid w:val="7A24F353"/>
    <w:rsid w:val="7A303854"/>
    <w:rsid w:val="7A324A6C"/>
    <w:rsid w:val="7A372C25"/>
    <w:rsid w:val="7A3BDEF4"/>
    <w:rsid w:val="7A3D75D7"/>
    <w:rsid w:val="7A48CBCC"/>
    <w:rsid w:val="7A4BC5D7"/>
    <w:rsid w:val="7A4E3946"/>
    <w:rsid w:val="7A537608"/>
    <w:rsid w:val="7A5E8C75"/>
    <w:rsid w:val="7A6103E8"/>
    <w:rsid w:val="7A6548E5"/>
    <w:rsid w:val="7A754454"/>
    <w:rsid w:val="7A86A44F"/>
    <w:rsid w:val="7A8B0A11"/>
    <w:rsid w:val="7A8C6E7D"/>
    <w:rsid w:val="7A9090B1"/>
    <w:rsid w:val="7A9C804B"/>
    <w:rsid w:val="7AA7D299"/>
    <w:rsid w:val="7AA94405"/>
    <w:rsid w:val="7AB64902"/>
    <w:rsid w:val="7AB98D86"/>
    <w:rsid w:val="7ABA18D1"/>
    <w:rsid w:val="7AE3093F"/>
    <w:rsid w:val="7AE326FC"/>
    <w:rsid w:val="7AE7DEAC"/>
    <w:rsid w:val="7AE9C1F6"/>
    <w:rsid w:val="7AEDA7B8"/>
    <w:rsid w:val="7AEE9CE6"/>
    <w:rsid w:val="7AEF3F11"/>
    <w:rsid w:val="7B00C698"/>
    <w:rsid w:val="7B03C1E8"/>
    <w:rsid w:val="7B0B78BF"/>
    <w:rsid w:val="7B17BF88"/>
    <w:rsid w:val="7B18A9A7"/>
    <w:rsid w:val="7B1E3119"/>
    <w:rsid w:val="7B286DF9"/>
    <w:rsid w:val="7B2D9F73"/>
    <w:rsid w:val="7B2ED2A8"/>
    <w:rsid w:val="7B355616"/>
    <w:rsid w:val="7B41D6CF"/>
    <w:rsid w:val="7B6030C6"/>
    <w:rsid w:val="7B64DBB2"/>
    <w:rsid w:val="7B655838"/>
    <w:rsid w:val="7B81FAB5"/>
    <w:rsid w:val="7B825066"/>
    <w:rsid w:val="7B8BACB3"/>
    <w:rsid w:val="7B8E4445"/>
    <w:rsid w:val="7B96CB3E"/>
    <w:rsid w:val="7B970ADE"/>
    <w:rsid w:val="7B9BE69E"/>
    <w:rsid w:val="7BAE473C"/>
    <w:rsid w:val="7BAE54EC"/>
    <w:rsid w:val="7BBF1A70"/>
    <w:rsid w:val="7BC40AD4"/>
    <w:rsid w:val="7BC7CA5C"/>
    <w:rsid w:val="7BC9C6C0"/>
    <w:rsid w:val="7BDA9DB7"/>
    <w:rsid w:val="7BE20B00"/>
    <w:rsid w:val="7BE35468"/>
    <w:rsid w:val="7BFD420D"/>
    <w:rsid w:val="7BFF29A6"/>
    <w:rsid w:val="7BFFF2B6"/>
    <w:rsid w:val="7C0C4CD5"/>
    <w:rsid w:val="7C0D7931"/>
    <w:rsid w:val="7C0F88C4"/>
    <w:rsid w:val="7C10D9E3"/>
    <w:rsid w:val="7C161723"/>
    <w:rsid w:val="7C18FA30"/>
    <w:rsid w:val="7C1E9AAF"/>
    <w:rsid w:val="7C225A0B"/>
    <w:rsid w:val="7C22930B"/>
    <w:rsid w:val="7C238AFB"/>
    <w:rsid w:val="7C2D4912"/>
    <w:rsid w:val="7C3C7BAD"/>
    <w:rsid w:val="7C46F18D"/>
    <w:rsid w:val="7C4ACAD9"/>
    <w:rsid w:val="7C5B441D"/>
    <w:rsid w:val="7C6335D0"/>
    <w:rsid w:val="7C645D7B"/>
    <w:rsid w:val="7C79D159"/>
    <w:rsid w:val="7C83DD0B"/>
    <w:rsid w:val="7C8AC52C"/>
    <w:rsid w:val="7C8EC056"/>
    <w:rsid w:val="7C9DAACC"/>
    <w:rsid w:val="7CA4D7AF"/>
    <w:rsid w:val="7CA51D6D"/>
    <w:rsid w:val="7CA64BD8"/>
    <w:rsid w:val="7CABC000"/>
    <w:rsid w:val="7CB20029"/>
    <w:rsid w:val="7CBDF36C"/>
    <w:rsid w:val="7CC4D4D2"/>
    <w:rsid w:val="7CD558D0"/>
    <w:rsid w:val="7CDA3A1B"/>
    <w:rsid w:val="7CE3F855"/>
    <w:rsid w:val="7CE78574"/>
    <w:rsid w:val="7CEBD625"/>
    <w:rsid w:val="7CF00EDA"/>
    <w:rsid w:val="7CF9D396"/>
    <w:rsid w:val="7CFB0100"/>
    <w:rsid w:val="7D081AF1"/>
    <w:rsid w:val="7D298FC6"/>
    <w:rsid w:val="7D3EAD33"/>
    <w:rsid w:val="7D44155A"/>
    <w:rsid w:val="7D459495"/>
    <w:rsid w:val="7D4DBD84"/>
    <w:rsid w:val="7D4E1F1E"/>
    <w:rsid w:val="7D50351B"/>
    <w:rsid w:val="7D50CDFC"/>
    <w:rsid w:val="7D56C2F9"/>
    <w:rsid w:val="7D56D8BD"/>
    <w:rsid w:val="7D5834D5"/>
    <w:rsid w:val="7D6299D0"/>
    <w:rsid w:val="7D62A365"/>
    <w:rsid w:val="7D67A95D"/>
    <w:rsid w:val="7D70D85C"/>
    <w:rsid w:val="7D77F049"/>
    <w:rsid w:val="7D78CDBF"/>
    <w:rsid w:val="7D7DD014"/>
    <w:rsid w:val="7D7E7D04"/>
    <w:rsid w:val="7D85B790"/>
    <w:rsid w:val="7D86085B"/>
    <w:rsid w:val="7DA5727C"/>
    <w:rsid w:val="7DB70729"/>
    <w:rsid w:val="7DBAD9A6"/>
    <w:rsid w:val="7DBB8FEF"/>
    <w:rsid w:val="7DBDCE4F"/>
    <w:rsid w:val="7DC5D35E"/>
    <w:rsid w:val="7DC5FDF0"/>
    <w:rsid w:val="7DC78DE7"/>
    <w:rsid w:val="7DCF7CFA"/>
    <w:rsid w:val="7DD14084"/>
    <w:rsid w:val="7DD20821"/>
    <w:rsid w:val="7DD50840"/>
    <w:rsid w:val="7DDF2019"/>
    <w:rsid w:val="7DE22B51"/>
    <w:rsid w:val="7DF37234"/>
    <w:rsid w:val="7DF4AC59"/>
    <w:rsid w:val="7DF854DA"/>
    <w:rsid w:val="7DF8E4BD"/>
    <w:rsid w:val="7DF9893A"/>
    <w:rsid w:val="7DFF6EFD"/>
    <w:rsid w:val="7DFF9103"/>
    <w:rsid w:val="7E0318D4"/>
    <w:rsid w:val="7E09F303"/>
    <w:rsid w:val="7E20B6C3"/>
    <w:rsid w:val="7E24808C"/>
    <w:rsid w:val="7E2803AA"/>
    <w:rsid w:val="7E280730"/>
    <w:rsid w:val="7E2FD638"/>
    <w:rsid w:val="7E3C40EC"/>
    <w:rsid w:val="7E42A78C"/>
    <w:rsid w:val="7E52FBE8"/>
    <w:rsid w:val="7E6992D0"/>
    <w:rsid w:val="7E77D652"/>
    <w:rsid w:val="7E7E9448"/>
    <w:rsid w:val="7E8ED49D"/>
    <w:rsid w:val="7E9ED2B6"/>
    <w:rsid w:val="7EAA2B20"/>
    <w:rsid w:val="7EAE30AB"/>
    <w:rsid w:val="7EB2A488"/>
    <w:rsid w:val="7EB7170C"/>
    <w:rsid w:val="7EC1114D"/>
    <w:rsid w:val="7EC3AA6D"/>
    <w:rsid w:val="7ED063F7"/>
    <w:rsid w:val="7EF54D97"/>
    <w:rsid w:val="7EF9BA85"/>
    <w:rsid w:val="7EF9FD26"/>
    <w:rsid w:val="7F0433FF"/>
    <w:rsid w:val="7F0AC930"/>
    <w:rsid w:val="7F2B458D"/>
    <w:rsid w:val="7F2BA250"/>
    <w:rsid w:val="7F31EFA2"/>
    <w:rsid w:val="7F35B7AE"/>
    <w:rsid w:val="7F36D31E"/>
    <w:rsid w:val="7F3D94DB"/>
    <w:rsid w:val="7F4026DE"/>
    <w:rsid w:val="7F5DE90F"/>
    <w:rsid w:val="7F644E80"/>
    <w:rsid w:val="7F66C952"/>
    <w:rsid w:val="7F70C54C"/>
    <w:rsid w:val="7F713A12"/>
    <w:rsid w:val="7F75B059"/>
    <w:rsid w:val="7F858BE3"/>
    <w:rsid w:val="7F92A35A"/>
    <w:rsid w:val="7FA76477"/>
    <w:rsid w:val="7FAC1148"/>
    <w:rsid w:val="7FAF0916"/>
    <w:rsid w:val="7FC55B11"/>
    <w:rsid w:val="7FCBBECD"/>
    <w:rsid w:val="7FE2AA2C"/>
    <w:rsid w:val="7FE51FD0"/>
    <w:rsid w:val="7FE74671"/>
    <w:rsid w:val="7FE97261"/>
    <w:rsid w:val="7FF327FB"/>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8BDC8DE"/>
  <w15:docId w15:val="{0AB0C85A-B73B-46E6-BE6D-6A47E648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85"/>
    <w:pPr>
      <w:spacing w:after="120" w:line="240" w:lineRule="auto"/>
      <w:jc w:val="both"/>
    </w:pPr>
    <w:rPr>
      <w:rFonts w:ascii="Times New Roman" w:eastAsia="Times New Roman" w:hAnsi="Times New Roman" w:cs="Times New Roman"/>
    </w:rPr>
  </w:style>
  <w:style w:type="paragraph" w:styleId="Heading1">
    <w:name w:val="heading 1"/>
    <w:basedOn w:val="Normal"/>
    <w:next w:val="Normal"/>
    <w:link w:val="Heading1Char"/>
    <w:qFormat/>
    <w:pPr>
      <w:keepNext/>
      <w:keepLines/>
      <w:spacing w:before="240" w:after="0"/>
      <w:outlineLvl w:val="0"/>
    </w:pPr>
    <w:rPr>
      <w:rFonts w:ascii="Times New Roman Bold" w:eastAsiaTheme="majorEastAsia" w:hAnsi="Times New Roman Bold" w:cstheme="majorBidi"/>
      <w:b/>
      <w:caps/>
      <w:sz w:val="24"/>
      <w:szCs w:val="32"/>
    </w:rPr>
  </w:style>
  <w:style w:type="paragraph" w:styleId="Heading2">
    <w:name w:val="heading 2"/>
    <w:aliases w:val="szd_h2,Headline 2,h2,2,headi,heading2,h21,h22,21,H2,l2,kopregel 2"/>
    <w:basedOn w:val="Normal"/>
    <w:next w:val="Normal"/>
    <w:link w:val="Heading2Char"/>
    <w:unhideWhenUsed/>
    <w:qFormat/>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nhideWhenUsed/>
    <w:qFormat/>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jc w:val="center"/>
      <w:outlineLvl w:val="4"/>
    </w:pPr>
    <w:rPr>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st level - Bullet List Paragraph,List Paragraph1,Lettre d'introduction,Paragrafo elenco,Medium Grid 1 - Accent 21,List Paragraph 1,OBC Bullet,Normal 1,Task Body,Viñetas (Inicio Parrafo),3 Txt tabla,Zerrenda-paragrafoa"/>
    <w:basedOn w:val="Normal"/>
    <w:link w:val="ListParagraphChar"/>
    <w:uiPriority w:val="34"/>
    <w:qFormat/>
    <w:pPr>
      <w:ind w:left="720"/>
      <w:contextualSpacing/>
    </w:pPr>
  </w:style>
  <w:style w:type="paragraph" w:styleId="Date">
    <w:name w:val="Date"/>
    <w:basedOn w:val="Normal"/>
    <w:next w:val="Normal"/>
    <w:link w:val="DateChar"/>
    <w:pPr>
      <w:suppressAutoHyphens/>
      <w:spacing w:after="0"/>
      <w:ind w:left="5103" w:right="-567"/>
    </w:pPr>
    <w:rPr>
      <w:sz w:val="24"/>
      <w:szCs w:val="20"/>
      <w:lang w:eastAsia="ar-SA"/>
    </w:rPr>
  </w:style>
  <w:style w:type="character" w:customStyle="1" w:styleId="DateChar">
    <w:name w:val="Date Char"/>
    <w:basedOn w:val="DefaultParagraphFont"/>
    <w:link w:val="Date"/>
    <w:rPr>
      <w:rFonts w:ascii="Times New Roman" w:eastAsia="Times New Roman" w:hAnsi="Times New Roman" w:cs="Times New Roman"/>
      <w:sz w:val="24"/>
      <w:szCs w:val="20"/>
      <w:lang w:val="fr-FR" w:eastAsia="ar-SA"/>
    </w:rPr>
  </w:style>
  <w:style w:type="paragraph" w:customStyle="1" w:styleId="ZCom">
    <w:name w:val="Z_Com"/>
    <w:basedOn w:val="Normal"/>
    <w:next w:val="ZDGName"/>
    <w:pPr>
      <w:widowControl w:val="0"/>
      <w:suppressAutoHyphens/>
      <w:spacing w:after="0"/>
      <w:ind w:right="85"/>
    </w:pPr>
    <w:rPr>
      <w:rFonts w:ascii="Arial" w:hAnsi="Arial"/>
      <w:sz w:val="24"/>
      <w:szCs w:val="20"/>
      <w:lang w:eastAsia="ar-SA"/>
    </w:rPr>
  </w:style>
  <w:style w:type="paragraph" w:customStyle="1" w:styleId="ZDGName">
    <w:name w:val="Z_DGName"/>
    <w:basedOn w:val="Normal"/>
    <w:uiPriority w:val="99"/>
    <w:pPr>
      <w:widowControl w:val="0"/>
      <w:suppressAutoHyphens/>
      <w:spacing w:after="0"/>
      <w:ind w:right="85"/>
    </w:pPr>
    <w:rPr>
      <w:rFonts w:ascii="Arial" w:hAnsi="Arial"/>
      <w:sz w:val="16"/>
      <w:szCs w:val="20"/>
      <w:lang w:eastAsia="ar-SA"/>
    </w:rPr>
  </w:style>
  <w:style w:type="paragraph" w:styleId="Title">
    <w:name w:val="Title"/>
    <w:basedOn w:val="Normal"/>
    <w:next w:val="Normal"/>
    <w:link w:val="TitleChar"/>
    <w:autoRedefine/>
    <w:uiPriority w:val="10"/>
    <w:qFormat/>
    <w:pPr>
      <w:spacing w:before="240" w:after="60"/>
      <w:jc w:val="center"/>
      <w:outlineLvl w:val="0"/>
    </w:pPr>
    <w:rPr>
      <w:b/>
      <w:bCs/>
      <w:kern w:val="28"/>
      <w:sz w:val="44"/>
      <w:szCs w:val="32"/>
    </w:rPr>
  </w:style>
  <w:style w:type="character" w:customStyle="1" w:styleId="TitleChar">
    <w:name w:val="Title Char"/>
    <w:basedOn w:val="DefaultParagraphFont"/>
    <w:link w:val="Title"/>
    <w:uiPriority w:val="10"/>
    <w:rPr>
      <w:rFonts w:ascii="Times New Roman" w:eastAsia="Times New Roman" w:hAnsi="Times New Roman" w:cs="Times New Roman"/>
      <w:b/>
      <w:bCs/>
      <w:kern w:val="28"/>
      <w:sz w:val="44"/>
      <w:szCs w:val="32"/>
      <w:lang w:val="fr-FR"/>
    </w:rPr>
  </w:style>
  <w:style w:type="character" w:customStyle="1" w:styleId="Heading1Char">
    <w:name w:val="Heading 1 Char"/>
    <w:basedOn w:val="DefaultParagraphFont"/>
    <w:link w:val="Heading1"/>
    <w:rPr>
      <w:rFonts w:ascii="Times New Roman Bold" w:eastAsiaTheme="majorEastAsia" w:hAnsi="Times New Roman Bold" w:cstheme="majorBidi"/>
      <w:b/>
      <w:caps/>
      <w:sz w:val="24"/>
      <w:szCs w:val="32"/>
      <w:lang w:val="fr-FR"/>
    </w:rPr>
  </w:style>
  <w:style w:type="character" w:customStyle="1" w:styleId="Heading2Char">
    <w:name w:val="Heading 2 Char"/>
    <w:aliases w:val="szd_h2 Char,Headline 2 Char,h2 Char,2 Char,headi Char,heading2 Char,h21 Char,h22 Char,21 Char,H2 Char,l2 Char,kopregel 2 Char"/>
    <w:basedOn w:val="DefaultParagraphFont"/>
    <w:link w:val="Heading2"/>
    <w:uiPriority w:val="34"/>
    <w:rPr>
      <w:rFonts w:ascii="Times New Roman" w:eastAsiaTheme="majorEastAsia" w:hAnsi="Times New Roman" w:cstheme="majorBidi"/>
      <w:b/>
      <w:sz w:val="24"/>
      <w:szCs w:val="26"/>
      <w:lang w:val="fr-FR"/>
    </w:rPr>
  </w:style>
  <w:style w:type="paragraph" w:styleId="Caption">
    <w:name w:val="caption"/>
    <w:aliases w:val="CaptionCFMU,CaptionTLS,Caption Figure,Figure1,Figure2,Figure3,Figure4,Figure5,%Caption,Char Char Char,Char Char Char Char,Char Char Char Char Char,Char Char Char Char Char Char,Char Char Char Char Char1 Char,Caption Char1"/>
    <w:basedOn w:val="Normal"/>
    <w:next w:val="Normal"/>
    <w:link w:val="CaptionChar"/>
    <w:autoRedefine/>
    <w:unhideWhenUsed/>
    <w:qFormat/>
    <w:rsid w:val="0062240B"/>
    <w:pPr>
      <w:keepNext/>
      <w:keepLines/>
      <w:spacing w:after="0"/>
      <w:jc w:val="center"/>
    </w:pPr>
    <w:rPr>
      <w:i/>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Pr>
      <w:rFonts w:ascii="Times New Roman" w:eastAsiaTheme="majorEastAsia" w:hAnsi="Times New Roman" w:cstheme="majorBidi"/>
      <w:b/>
      <w:sz w:val="24"/>
      <w:szCs w:val="24"/>
      <w:lang w:val="fr-FR"/>
    </w:rPr>
  </w:style>
  <w:style w:type="paragraph" w:styleId="TOCHeading">
    <w:name w:val="TOC Heading"/>
    <w:basedOn w:val="Heading1"/>
    <w:next w:val="Normal"/>
    <w:uiPriority w:val="39"/>
    <w:unhideWhenUsed/>
    <w:qFormat/>
    <w:pPr>
      <w:spacing w:line="259" w:lineRule="auto"/>
      <w:jc w:val="left"/>
      <w:outlineLvl w:val="9"/>
    </w:pPr>
    <w:rPr>
      <w:rFonts w:asciiTheme="majorHAnsi" w:hAnsiTheme="majorHAnsi"/>
      <w:b w:val="0"/>
      <w:caps w:val="0"/>
      <w:color w:val="2E74B5" w:themeColor="accent1" w:themeShade="BF"/>
      <w:sz w:val="32"/>
    </w:rPr>
  </w:style>
  <w:style w:type="paragraph" w:styleId="TOC1">
    <w:name w:val="toc 1"/>
    <w:basedOn w:val="Normal"/>
    <w:next w:val="Normal"/>
    <w:link w:val="TOC1Char"/>
    <w:autoRedefine/>
    <w:uiPriority w:val="39"/>
    <w:unhideWhenUsed/>
    <w:rsid w:val="00CA3B68"/>
    <w:pPr>
      <w:tabs>
        <w:tab w:val="left" w:pos="440"/>
        <w:tab w:val="left" w:pos="880"/>
        <w:tab w:val="right" w:leader="dot" w:pos="9062"/>
      </w:tabs>
      <w:ind w:left="215"/>
    </w:pPr>
  </w:style>
  <w:style w:type="paragraph" w:styleId="TOC2">
    <w:name w:val="toc 2"/>
    <w:basedOn w:val="Normal"/>
    <w:next w:val="Normal"/>
    <w:autoRedefine/>
    <w:uiPriority w:val="39"/>
    <w:unhideWhenUsed/>
    <w:pPr>
      <w:tabs>
        <w:tab w:val="left" w:pos="880"/>
        <w:tab w:val="right" w:leader="dot" w:pos="9062"/>
      </w:tabs>
      <w:ind w:left="215"/>
    </w:pPr>
  </w:style>
  <w:style w:type="paragraph" w:styleId="TOC3">
    <w:name w:val="toc 3"/>
    <w:basedOn w:val="Normal"/>
    <w:next w:val="Normal"/>
    <w:autoRedefine/>
    <w:uiPriority w:val="39"/>
    <w:unhideWhenUsed/>
    <w:pPr>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lang w:val="fr-FR"/>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rFonts w:ascii="Times New Roman" w:eastAsia="Times New Roman" w:hAnsi="Times New Roman" w:cs="Times New Roman"/>
      <w:lang w:val="fr-FR"/>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FR"/>
    </w:rPr>
  </w:style>
  <w:style w:type="paragraph" w:styleId="BalloonText">
    <w:name w:val="Balloon Text"/>
    <w:basedOn w:val="Normal"/>
    <w:link w:val="BalloonTextChar"/>
    <w:uiPriority w:val="99"/>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lang w:val="fr-FR"/>
    </w:rPr>
  </w:style>
  <w:style w:type="paragraph" w:styleId="BodyTextIndent">
    <w:name w:val="Body Text Indent"/>
    <w:basedOn w:val="Normal"/>
    <w:link w:val="BodyTextIndentChar"/>
    <w:uiPriority w:val="99"/>
    <w:unhideWhenUsed/>
    <w:pPr>
      <w:ind w:left="708"/>
    </w:p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lang w:val="fr-FR"/>
    </w:rPr>
  </w:style>
  <w:style w:type="paragraph" w:styleId="BodyText">
    <w:name w:val="Body Text"/>
    <w:basedOn w:val="Normal"/>
    <w:link w:val="BodyTextChar"/>
    <w:uiPriority w:val="99"/>
    <w:unhideWhenUsed/>
    <w:rPr>
      <w:i/>
      <w:color w:val="1F4E79" w:themeColor="accent1" w:themeShade="80"/>
    </w:rPr>
  </w:style>
  <w:style w:type="character" w:customStyle="1" w:styleId="BodyTextChar">
    <w:name w:val="Body Text Char"/>
    <w:basedOn w:val="DefaultParagraphFont"/>
    <w:link w:val="BodyText"/>
    <w:uiPriority w:val="99"/>
    <w:rPr>
      <w:rFonts w:ascii="Times New Roman" w:eastAsia="Times New Roman" w:hAnsi="Times New Roman" w:cs="Times New Roman"/>
      <w:i/>
      <w:color w:val="1F4E79" w:themeColor="accent1" w:themeShade="80"/>
      <w:lang w:val="fr-FR"/>
    </w:rPr>
  </w:style>
  <w:style w:type="paragraph" w:styleId="Revision">
    <w:name w:val="Revision"/>
    <w:hidden/>
    <w:uiPriority w:val="99"/>
    <w:semiHidden/>
    <w:pPr>
      <w:spacing w:after="0" w:line="240" w:lineRule="auto"/>
    </w:pPr>
    <w:rPr>
      <w:rFonts w:ascii="Times New Roman" w:eastAsia="Times New Roman" w:hAnsi="Times New Roman" w:cs="Times New Roman"/>
    </w:rPr>
  </w:style>
  <w:style w:type="paragraph" w:styleId="FootnoteText">
    <w:name w:val="footnote text"/>
    <w:aliases w:val="Footnote text,Schriftart: 9 pt,Schriftart: 10 pt,Schriftart: 8 pt Char Char,Schriftart: 8 pt,single space,FOOTNOTES,fn,ADB,pod carou,Char,Fußnote,Carattere,Footnotes,Footnote ak,Footnote Text Char Char,fn Char Char"/>
    <w:basedOn w:val="Normal"/>
    <w:link w:val="FootnoteTextChar"/>
    <w:unhideWhenUsed/>
    <w:qFormat/>
    <w:pPr>
      <w:spacing w:after="0"/>
    </w:pPr>
    <w:rPr>
      <w:sz w:val="20"/>
      <w:szCs w:val="20"/>
    </w:rPr>
  </w:style>
  <w:style w:type="character" w:customStyle="1" w:styleId="FootnoteTextChar">
    <w:name w:val="Footnote Text Char"/>
    <w:aliases w:val="Footnote text Char,Schriftart: 9 pt Char,Schriftart: 10 pt Char,Schriftart: 8 pt Char Char Char,Schriftart: 8 pt Char,single space Char,FOOTNOTES Char,fn Char,ADB Char,pod carou Char,Char Char,Fußnote Char,Carattere Char"/>
    <w:basedOn w:val="DefaultParagraphFont"/>
    <w:link w:val="FootnoteText"/>
    <w:rPr>
      <w:rFonts w:ascii="Times New Roman" w:eastAsia="Times New Roman" w:hAnsi="Times New Roman" w:cs="Times New Roman"/>
      <w:sz w:val="20"/>
      <w:szCs w:val="20"/>
      <w:lang w:val="fr-FR"/>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Footnote"/>
    <w:basedOn w:val="DefaultParagraphFont"/>
    <w:link w:val="SUPERSCharCharCharCharCharCharCharChar"/>
    <w:uiPriority w:val="99"/>
    <w:unhideWhenUsed/>
    <w:qFormat/>
    <w:rPr>
      <w:vertAlign w:val="superscript"/>
    </w:rPr>
  </w:style>
  <w:style w:type="character" w:customStyle="1" w:styleId="Heading4Char">
    <w:name w:val="Heading 4 Char"/>
    <w:basedOn w:val="DefaultParagraphFont"/>
    <w:link w:val="Heading4"/>
    <w:rPr>
      <w:rFonts w:asciiTheme="majorHAnsi" w:eastAsiaTheme="majorEastAsia" w:hAnsiTheme="majorHAnsi" w:cstheme="majorBidi"/>
      <w:i/>
      <w:iCs/>
      <w:color w:val="2E74B5" w:themeColor="accent1" w:themeShade="BF"/>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TableofFigures">
    <w:name w:val="table of figures"/>
    <w:basedOn w:val="Normal"/>
    <w:next w:val="Normal"/>
    <w:uiPriority w:val="99"/>
    <w:unhideWhenUsed/>
    <w:pPr>
      <w:spacing w:after="0"/>
    </w:pPr>
  </w:style>
  <w:style w:type="character" w:customStyle="1" w:styleId="Heading5Char">
    <w:name w:val="Heading 5 Char"/>
    <w:basedOn w:val="DefaultParagraphFont"/>
    <w:link w:val="Heading5"/>
    <w:uiPriority w:val="9"/>
    <w:rPr>
      <w:rFonts w:ascii="Times New Roman" w:eastAsia="Times New Roman" w:hAnsi="Times New Roman" w:cs="Times New Roman"/>
      <w:i/>
      <w:iCs/>
      <w:sz w:val="18"/>
      <w:szCs w:val="18"/>
      <w:lang w:val="fr-FR"/>
    </w:rPr>
  </w:style>
  <w:style w:type="paragraph" w:styleId="BodyTextIndent2">
    <w:name w:val="Body Text Indent 2"/>
    <w:basedOn w:val="Normal"/>
    <w:link w:val="BodyTextIndent2Char"/>
    <w:uiPriority w:val="99"/>
    <w:unhideWhenUsed/>
    <w:pPr>
      <w:spacing w:afterLines="120" w:after="288"/>
      <w:ind w:left="360"/>
    </w:p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lang w:val="fr-FR"/>
    </w:rPr>
  </w:style>
  <w:style w:type="paragraph" w:styleId="NormalWeb">
    <w:name w:val="Normal (Web)"/>
    <w:basedOn w:val="Normal"/>
    <w:uiPriority w:val="99"/>
    <w:unhideWhenUsed/>
    <w:pPr>
      <w:spacing w:before="100" w:beforeAutospacing="1" w:after="100" w:afterAutospacing="1"/>
      <w:jc w:val="left"/>
    </w:pPr>
    <w:rPr>
      <w:rFonts w:eastAsiaTheme="minorEastAsia"/>
      <w:sz w:val="24"/>
      <w:szCs w:val="24"/>
      <w:lang w:eastAsia="en-GB"/>
    </w:rPr>
  </w:style>
  <w:style w:type="character" w:styleId="Strong">
    <w:name w:val="Strong"/>
    <w:basedOn w:val="DefaultParagraphFont"/>
    <w:uiPriority w:val="22"/>
    <w:qFormat/>
    <w:rPr>
      <w:b/>
      <w:bCs/>
    </w:rPr>
  </w:style>
  <w:style w:type="paragraph" w:styleId="BodyText2">
    <w:name w:val="Body Text 2"/>
    <w:basedOn w:val="Normal"/>
    <w:link w:val="BodyText2Char"/>
    <w:uiPriority w:val="99"/>
    <w:unhideWhenUsed/>
    <w:pPr>
      <w:jc w:val="left"/>
    </w:pPr>
    <w:rPr>
      <w:shd w:val="clear" w:color="auto" w:fill="FFFFFF"/>
    </w:rPr>
  </w:style>
  <w:style w:type="character" w:customStyle="1" w:styleId="BodyText2Char">
    <w:name w:val="Body Text 2 Char"/>
    <w:basedOn w:val="DefaultParagraphFont"/>
    <w:link w:val="BodyText2"/>
    <w:uiPriority w:val="99"/>
    <w:rPr>
      <w:rFonts w:ascii="Times New Roman" w:eastAsia="Times New Roman" w:hAnsi="Times New Roman" w:cs="Times New Roman"/>
      <w:lang w:val="fr-FR"/>
    </w:rPr>
  </w:style>
  <w:style w:type="paragraph" w:styleId="BodyText3">
    <w:name w:val="Body Text 3"/>
    <w:basedOn w:val="Normal"/>
    <w:link w:val="BodyText3Char"/>
    <w:uiPriority w:val="99"/>
    <w:unhideWhenUsed/>
    <w:pPr>
      <w:widowControl w:val="0"/>
      <w:autoSpaceDE w:val="0"/>
      <w:autoSpaceDN w:val="0"/>
      <w:spacing w:before="119" w:after="0"/>
      <w:ind w:right="91"/>
    </w:pPr>
  </w:style>
  <w:style w:type="character" w:customStyle="1" w:styleId="BodyText3Char">
    <w:name w:val="Body Text 3 Char"/>
    <w:basedOn w:val="DefaultParagraphFont"/>
    <w:link w:val="BodyText3"/>
    <w:uiPriority w:val="99"/>
    <w:rPr>
      <w:rFonts w:ascii="Times New Roman" w:eastAsia="Times New Roman" w:hAnsi="Times New Roman" w:cs="Times New Roman"/>
      <w:lang w:val="fr-FR"/>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fr-FR"/>
    </w:rPr>
  </w:style>
  <w:style w:type="character" w:styleId="EndnoteReference">
    <w:name w:val="endnote reference"/>
    <w:basedOn w:val="DefaultParagraphFont"/>
    <w:uiPriority w:val="99"/>
    <w:semiHidden/>
    <w:unhideWhenUsed/>
    <w:rPr>
      <w:vertAlign w:val="superscript"/>
    </w:rPr>
  </w:style>
  <w:style w:type="paragraph" w:customStyle="1" w:styleId="Point0number">
    <w:name w:val="Point 0 (number)"/>
    <w:basedOn w:val="Normal"/>
    <w:pPr>
      <w:numPr>
        <w:numId w:val="6"/>
      </w:numPr>
      <w:spacing w:before="120"/>
    </w:pPr>
    <w:rPr>
      <w:rFonts w:eastAsiaTheme="minorHAnsi"/>
      <w:sz w:val="24"/>
    </w:rPr>
  </w:style>
  <w:style w:type="paragraph" w:customStyle="1" w:styleId="Point1number">
    <w:name w:val="Point 1 (number)"/>
    <w:basedOn w:val="Normal"/>
    <w:pPr>
      <w:numPr>
        <w:ilvl w:val="2"/>
        <w:numId w:val="6"/>
      </w:numPr>
      <w:spacing w:before="120"/>
    </w:pPr>
    <w:rPr>
      <w:rFonts w:eastAsiaTheme="minorHAnsi"/>
      <w:sz w:val="24"/>
    </w:rPr>
  </w:style>
  <w:style w:type="paragraph" w:customStyle="1" w:styleId="Point2number">
    <w:name w:val="Point 2 (number)"/>
    <w:basedOn w:val="Normal"/>
    <w:pPr>
      <w:numPr>
        <w:ilvl w:val="4"/>
        <w:numId w:val="6"/>
      </w:numPr>
      <w:spacing w:before="120"/>
    </w:pPr>
    <w:rPr>
      <w:rFonts w:eastAsiaTheme="minorHAnsi"/>
      <w:sz w:val="24"/>
    </w:rPr>
  </w:style>
  <w:style w:type="paragraph" w:customStyle="1" w:styleId="Point3number">
    <w:name w:val="Point 3 (number)"/>
    <w:basedOn w:val="Normal"/>
    <w:pPr>
      <w:numPr>
        <w:ilvl w:val="6"/>
        <w:numId w:val="6"/>
      </w:numPr>
      <w:spacing w:before="120"/>
    </w:pPr>
    <w:rPr>
      <w:rFonts w:eastAsiaTheme="minorHAnsi"/>
      <w:sz w:val="24"/>
    </w:rPr>
  </w:style>
  <w:style w:type="paragraph" w:customStyle="1" w:styleId="Point0letter">
    <w:name w:val="Point 0 (letter)"/>
    <w:basedOn w:val="Normal"/>
    <w:pPr>
      <w:numPr>
        <w:ilvl w:val="1"/>
        <w:numId w:val="6"/>
      </w:numPr>
      <w:spacing w:before="120"/>
    </w:pPr>
    <w:rPr>
      <w:rFonts w:eastAsiaTheme="minorHAnsi"/>
      <w:sz w:val="24"/>
    </w:rPr>
  </w:style>
  <w:style w:type="paragraph" w:customStyle="1" w:styleId="Point1letter">
    <w:name w:val="Point 1 (letter)"/>
    <w:basedOn w:val="Normal"/>
    <w:pPr>
      <w:numPr>
        <w:ilvl w:val="3"/>
        <w:numId w:val="6"/>
      </w:numPr>
      <w:spacing w:before="120"/>
    </w:pPr>
    <w:rPr>
      <w:rFonts w:eastAsiaTheme="minorHAnsi"/>
      <w:sz w:val="24"/>
    </w:rPr>
  </w:style>
  <w:style w:type="paragraph" w:customStyle="1" w:styleId="Point2letter">
    <w:name w:val="Point 2 (letter)"/>
    <w:basedOn w:val="Normal"/>
    <w:pPr>
      <w:numPr>
        <w:ilvl w:val="5"/>
        <w:numId w:val="6"/>
      </w:numPr>
      <w:spacing w:before="120"/>
    </w:pPr>
    <w:rPr>
      <w:rFonts w:eastAsiaTheme="minorHAnsi"/>
      <w:sz w:val="24"/>
    </w:rPr>
  </w:style>
  <w:style w:type="paragraph" w:customStyle="1" w:styleId="Point3letter">
    <w:name w:val="Point 3 (letter)"/>
    <w:basedOn w:val="Normal"/>
    <w:pPr>
      <w:numPr>
        <w:ilvl w:val="7"/>
        <w:numId w:val="6"/>
      </w:numPr>
      <w:spacing w:before="120"/>
    </w:pPr>
    <w:rPr>
      <w:rFonts w:eastAsiaTheme="minorHAnsi"/>
      <w:sz w:val="24"/>
    </w:rPr>
  </w:style>
  <w:style w:type="paragraph" w:customStyle="1" w:styleId="Point4letter">
    <w:name w:val="Point 4 (letter)"/>
    <w:basedOn w:val="Normal"/>
    <w:pPr>
      <w:numPr>
        <w:ilvl w:val="8"/>
        <w:numId w:val="6"/>
      </w:numPr>
      <w:spacing w:before="120"/>
    </w:pPr>
    <w:rPr>
      <w:rFonts w:eastAsiaTheme="minorHAnsi"/>
      <w:sz w:val="24"/>
    </w:rPr>
  </w:style>
  <w:style w:type="paragraph" w:customStyle="1" w:styleId="Bullet0">
    <w:name w:val="Bullet 0"/>
    <w:basedOn w:val="Normal"/>
    <w:pPr>
      <w:numPr>
        <w:numId w:val="7"/>
      </w:numPr>
      <w:spacing w:before="120"/>
    </w:pPr>
    <w:rPr>
      <w:rFonts w:eastAsiaTheme="minorHAnsi"/>
      <w:sz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 w:val="24"/>
    </w:rPr>
  </w:style>
  <w:style w:type="character" w:customStyle="1" w:styleId="TOC1Char">
    <w:name w:val="TOC 1 Char"/>
    <w:basedOn w:val="DefaultParagraphFont"/>
    <w:link w:val="TOC1"/>
    <w:uiPriority w:val="39"/>
    <w:rsid w:val="00CA3B68"/>
    <w:rPr>
      <w:rFonts w:ascii="Times New Roman" w:eastAsia="Times New Roman" w:hAnsi="Times New Roman" w:cs="Times New Roman"/>
      <w:lang w:val="fr-FR"/>
    </w:rPr>
  </w:style>
  <w:style w:type="character" w:customStyle="1" w:styleId="FooterCoverPageChar">
    <w:name w:val="Footer Cover Page Char"/>
    <w:basedOn w:val="TOC1Char"/>
    <w:link w:val="FooterCoverPage"/>
    <w:rPr>
      <w:rFonts w:ascii="Times New Roman" w:eastAsia="Times New Roman" w:hAnsi="Times New Roman" w:cs="Times New Roman"/>
      <w:sz w:val="24"/>
      <w:lang w:val="fr-FR"/>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OC1Char"/>
    <w:link w:val="FooterSensitivity"/>
    <w:rPr>
      <w:rFonts w:ascii="Times New Roman" w:eastAsia="Times New Roman" w:hAnsi="Times New Roman" w:cs="Times New Roman"/>
      <w:b/>
      <w:sz w:val="32"/>
      <w:lang w:val="fr-FR"/>
    </w:rPr>
  </w:style>
  <w:style w:type="paragraph" w:customStyle="1" w:styleId="HeaderCoverPage">
    <w:name w:val="Header Cover Page"/>
    <w:basedOn w:val="Normal"/>
    <w:link w:val="HeaderCoverPageChar"/>
    <w:pPr>
      <w:tabs>
        <w:tab w:val="center" w:pos="4535"/>
        <w:tab w:val="right" w:pos="9071"/>
      </w:tabs>
    </w:pPr>
    <w:rPr>
      <w:sz w:val="24"/>
    </w:rPr>
  </w:style>
  <w:style w:type="character" w:customStyle="1" w:styleId="HeaderCoverPageChar">
    <w:name w:val="Header Cover Page Char"/>
    <w:basedOn w:val="TOC1Char"/>
    <w:link w:val="HeaderCoverPage"/>
    <w:rPr>
      <w:rFonts w:ascii="Times New Roman" w:eastAsia="Times New Roman" w:hAnsi="Times New Roman" w:cs="Times New Roman"/>
      <w:sz w:val="24"/>
      <w:lang w:val="fr-F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TOC1Char"/>
    <w:link w:val="HeaderSensitivity"/>
    <w:rPr>
      <w:rFonts w:ascii="Times New Roman" w:eastAsia="Times New Roman" w:hAnsi="Times New Roman" w:cs="Times New Roman"/>
      <w:b/>
      <w:sz w:val="32"/>
      <w:lang w:val="fr-FR"/>
    </w:rPr>
  </w:style>
  <w:style w:type="paragraph" w:customStyle="1" w:styleId="HeaderSensitivityRight">
    <w:name w:val="Header Sensitivity Right"/>
    <w:basedOn w:val="Normal"/>
    <w:link w:val="HeaderSensitivityRightChar"/>
    <w:pPr>
      <w:jc w:val="right"/>
    </w:pPr>
    <w:rPr>
      <w:sz w:val="28"/>
    </w:rPr>
  </w:style>
  <w:style w:type="character" w:customStyle="1" w:styleId="HeaderSensitivityRightChar">
    <w:name w:val="Header Sensitivity Right Char"/>
    <w:basedOn w:val="TOC1Char"/>
    <w:link w:val="HeaderSensitivityRight"/>
    <w:rPr>
      <w:rFonts w:ascii="Times New Roman" w:eastAsia="Times New Roman" w:hAnsi="Times New Roman" w:cs="Times New Roman"/>
      <w:sz w:val="28"/>
      <w:lang w:val="fr-FR"/>
    </w:rPr>
  </w:style>
  <w:style w:type="paragraph" w:customStyle="1" w:styleId="Normal1">
    <w:name w:val="Normal1"/>
    <w:basedOn w:val="Normal"/>
    <w:pPr>
      <w:spacing w:before="100" w:beforeAutospacing="1" w:after="100" w:afterAutospacing="1"/>
      <w:jc w:val="left"/>
    </w:pPr>
    <w:rPr>
      <w:sz w:val="24"/>
      <w:szCs w:val="24"/>
      <w:lang w:eastAsia="en-GB"/>
    </w:rPr>
  </w:style>
  <w:style w:type="character" w:customStyle="1" w:styleId="ListParagraphChar">
    <w:name w:val="List Paragraph Char"/>
    <w:aliases w:val="1st level - Bullet List Paragraph Char,List Paragraph1 Char,Lettre d'introduction Char,Paragrafo elenco Char,Medium Grid 1 - Accent 21 Char,List Paragraph 1 Char,OBC Bullet Char,Normal 1 Char,Task Body Char,3 Txt tabla Char"/>
    <w:link w:val="ListParagraph"/>
    <w:uiPriority w:val="34"/>
    <w:locked/>
    <w:rPr>
      <w:rFonts w:ascii="Times New Roman" w:eastAsia="Times New Roman" w:hAnsi="Times New Roman" w:cs="Times New Roman"/>
      <w:lang w:val="fr-FR"/>
    </w:rPr>
  </w:style>
  <w:style w:type="character" w:customStyle="1" w:styleId="CaptionChar">
    <w:name w:val="Caption Char"/>
    <w:aliases w:val="CaptionCFMU Char,CaptionTLS Char,Caption Figure Char,Figure1 Char,Figure2 Char,Figure3 Char,Figure4 Char,Figure5 Char,%Caption Char,Char Char Char Char1,Char Char Char Char Char1,Char Char Char Char Char Char1,Caption Char1 Char"/>
    <w:link w:val="Caption"/>
    <w:rsid w:val="0062240B"/>
    <w:rPr>
      <w:rFonts w:ascii="Times New Roman" w:eastAsia="Times New Roman" w:hAnsi="Times New Roman" w:cs="Times New Roman"/>
      <w:i/>
      <w:lang w:val="fr-FR"/>
    </w:rPr>
  </w:style>
  <w:style w:type="character" w:styleId="FollowedHyperlink">
    <w:name w:val="FollowedHyperlink"/>
    <w:basedOn w:val="DefaultParagraphFont"/>
    <w:uiPriority w:val="99"/>
    <w:semiHidden/>
    <w:unhideWhenUsed/>
    <w:rsid w:val="00A33633"/>
    <w:rPr>
      <w:color w:val="954F72" w:themeColor="followedHyperlink"/>
      <w:u w:val="single"/>
    </w:rPr>
  </w:style>
  <w:style w:type="character" w:styleId="Emphasis">
    <w:name w:val="Emphasis"/>
    <w:basedOn w:val="DefaultParagraphFont"/>
    <w:uiPriority w:val="20"/>
    <w:qFormat/>
    <w:rsid w:val="00320DAB"/>
    <w:rPr>
      <w:i/>
      <w:iCs/>
    </w:rPr>
  </w:style>
  <w:style w:type="paragraph" w:customStyle="1" w:styleId="dcr-s23rjr">
    <w:name w:val="dcr-s23rjr"/>
    <w:basedOn w:val="Normal"/>
    <w:rsid w:val="006B5C68"/>
    <w:pPr>
      <w:spacing w:before="100" w:beforeAutospacing="1" w:after="100" w:afterAutospacing="1"/>
      <w:jc w:val="left"/>
    </w:pPr>
    <w:rPr>
      <w:sz w:val="24"/>
      <w:szCs w:val="24"/>
      <w:lang w:eastAsia="en-GB"/>
    </w:rPr>
  </w:style>
  <w:style w:type="character" w:styleId="SubtleReference">
    <w:name w:val="Subtle Reference"/>
    <w:basedOn w:val="DefaultParagraphFont"/>
    <w:uiPriority w:val="31"/>
    <w:qFormat/>
    <w:rsid w:val="00606B6F"/>
    <w:rPr>
      <w:smallCaps/>
      <w:color w:val="5A5A5A" w:themeColor="text1" w:themeTint="A5"/>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1832E9"/>
    <w:pPr>
      <w:spacing w:after="160" w:line="240" w:lineRule="exact"/>
      <w:jc w:val="left"/>
    </w:pPr>
    <w:rPr>
      <w:rFonts w:asciiTheme="minorHAnsi" w:eastAsiaTheme="minorHAnsi" w:hAnsiTheme="minorHAnsi" w:cstheme="minorBidi"/>
      <w:vertAlign w:val="superscript"/>
    </w:rPr>
  </w:style>
  <w:style w:type="paragraph" w:customStyle="1" w:styleId="Typedudocument">
    <w:name w:val="Type du document"/>
    <w:basedOn w:val="Normal"/>
    <w:next w:val="Normal"/>
    <w:rsid w:val="00470393"/>
    <w:pPr>
      <w:spacing w:before="360" w:after="0"/>
      <w:jc w:val="center"/>
    </w:pPr>
    <w:rPr>
      <w:rFonts w:eastAsiaTheme="minorHAnsi"/>
      <w:b/>
      <w:sz w:val="24"/>
    </w:rPr>
  </w:style>
  <w:style w:type="paragraph" w:customStyle="1" w:styleId="Titreobjet">
    <w:name w:val="Titre objet"/>
    <w:basedOn w:val="Normal"/>
    <w:next w:val="Normal"/>
    <w:rsid w:val="00470393"/>
    <w:pPr>
      <w:spacing w:before="360" w:after="360"/>
      <w:jc w:val="center"/>
    </w:pPr>
    <w:rPr>
      <w:rFonts w:eastAsiaTheme="minorHAnsi"/>
      <w:b/>
      <w:sz w:val="24"/>
    </w:rPr>
  </w:style>
  <w:style w:type="paragraph" w:customStyle="1" w:styleId="Considrant">
    <w:name w:val="Considérant"/>
    <w:basedOn w:val="Normal"/>
    <w:rsid w:val="00E41965"/>
    <w:pPr>
      <w:numPr>
        <w:numId w:val="21"/>
      </w:numPr>
      <w:spacing w:before="120"/>
    </w:pPr>
    <w:rPr>
      <w:rFonts w:eastAsiaTheme="minorHAnsi"/>
      <w:sz w:val="24"/>
    </w:rPr>
  </w:style>
  <w:style w:type="character" w:customStyle="1" w:styleId="normaltextrun">
    <w:name w:val="normaltextrun"/>
    <w:basedOn w:val="DefaultParagraphFont"/>
    <w:rsid w:val="00943550"/>
  </w:style>
  <w:style w:type="character" w:customStyle="1" w:styleId="eop">
    <w:name w:val="eop"/>
    <w:basedOn w:val="DefaultParagraphFont"/>
    <w:rsid w:val="00943550"/>
  </w:style>
  <w:style w:type="character" w:customStyle="1" w:styleId="UnresolvedMention">
    <w:name w:val="Unresolved Mention"/>
    <w:basedOn w:val="DefaultParagraphFont"/>
    <w:uiPriority w:val="99"/>
    <w:semiHidden/>
    <w:unhideWhenUsed/>
    <w:rsid w:val="00AC3A3A"/>
    <w:rPr>
      <w:color w:val="605E5C"/>
      <w:shd w:val="clear" w:color="auto" w:fill="E1DFDD"/>
    </w:rPr>
  </w:style>
  <w:style w:type="paragraph" w:customStyle="1" w:styleId="oj-tbl-txt">
    <w:name w:val="oj-tbl-txt"/>
    <w:basedOn w:val="Normal"/>
    <w:rsid w:val="009059C3"/>
    <w:pPr>
      <w:spacing w:before="100" w:beforeAutospacing="1" w:after="100" w:afterAutospacing="1"/>
      <w:jc w:val="left"/>
    </w:pPr>
    <w:rPr>
      <w:sz w:val="24"/>
      <w:szCs w:val="24"/>
      <w:lang w:eastAsia="en-IE"/>
    </w:rPr>
  </w:style>
  <w:style w:type="character" w:customStyle="1" w:styleId="ui-provider">
    <w:name w:val="ui-provider"/>
    <w:basedOn w:val="DefaultParagraphFont"/>
    <w:rsid w:val="00CA738F"/>
  </w:style>
  <w:style w:type="paragraph" w:customStyle="1" w:styleId="Languesfaisantfoi">
    <w:name w:val="Langues faisant foi"/>
    <w:basedOn w:val="Normal"/>
    <w:next w:val="Normal"/>
    <w:rsid w:val="00045036"/>
    <w:pPr>
      <w:spacing w:before="360" w:after="240"/>
      <w:jc w:val="center"/>
    </w:pPr>
    <w:rPr>
      <w:rFonts w:eastAsiaTheme="minorHAnsi"/>
      <w:sz w:val="24"/>
    </w:rPr>
  </w:style>
  <w:style w:type="paragraph" w:customStyle="1" w:styleId="LanguesfaisantfoiPagedecouverture">
    <w:name w:val="Langues faisant foi (Page de couverture)"/>
    <w:basedOn w:val="Normal"/>
    <w:next w:val="Normal"/>
    <w:rsid w:val="00045036"/>
    <w:pPr>
      <w:spacing w:before="360" w:after="240"/>
      <w:jc w:val="center"/>
    </w:pPr>
    <w:rPr>
      <w:rFonts w:eastAsiaTheme="minorHAnsi"/>
      <w:sz w:val="24"/>
    </w:rPr>
  </w:style>
  <w:style w:type="paragraph" w:customStyle="1" w:styleId="IntrtEEE">
    <w:name w:val="Intérêt EEE"/>
    <w:basedOn w:val="Languesfaisantfoi"/>
    <w:next w:val="Normal"/>
    <w:rsid w:val="00045036"/>
    <w:pPr>
      <w:spacing w:after="0"/>
    </w:pPr>
  </w:style>
  <w:style w:type="paragraph" w:customStyle="1" w:styleId="IntrtEEEPagedecouverture">
    <w:name w:val="Intérêt EEE (Page de couverture)"/>
    <w:basedOn w:val="IntrtEEE"/>
    <w:next w:val="Normal"/>
    <w:rsid w:val="00045036"/>
  </w:style>
  <w:style w:type="character" w:customStyle="1" w:styleId="cf01">
    <w:name w:val="cf01"/>
    <w:basedOn w:val="DefaultParagraphFont"/>
    <w:rsid w:val="00A663C4"/>
    <w:rPr>
      <w:rFonts w:ascii="Segoe UI" w:hAnsi="Segoe UI" w:cs="Segoe UI" w:hint="default"/>
      <w:sz w:val="18"/>
      <w:szCs w:val="18"/>
    </w:rPr>
  </w:style>
  <w:style w:type="character" w:customStyle="1" w:styleId="font-700">
    <w:name w:val="font-[700]"/>
    <w:basedOn w:val="DefaultParagraphFont"/>
    <w:rsid w:val="00F90C85"/>
  </w:style>
  <w:style w:type="paragraph" w:customStyle="1" w:styleId="pf0">
    <w:name w:val="pf0"/>
    <w:basedOn w:val="Normal"/>
    <w:rsid w:val="00AE1C36"/>
    <w:pPr>
      <w:spacing w:before="100" w:beforeAutospacing="1" w:after="100" w:afterAutospacing="1"/>
      <w:jc w:val="left"/>
    </w:pPr>
    <w:rPr>
      <w:sz w:val="24"/>
      <w:szCs w:val="24"/>
      <w:lang w:eastAsia="en-IE"/>
    </w:rPr>
  </w:style>
  <w:style w:type="paragraph" w:customStyle="1" w:styleId="Sous-titreobjet">
    <w:name w:val="Sous-titre objet"/>
    <w:rsid w:val="00CC467F"/>
    <w:pPr>
      <w:suppressAutoHyphens/>
      <w:spacing w:after="0" w:line="240" w:lineRule="auto"/>
      <w:jc w:val="center"/>
    </w:pPr>
    <w:rPr>
      <w:rFonts w:ascii="Times New Roman Bold" w:eastAsia="Times New Roman Bold" w:hAnsi="Times New Roman Bold" w:cs="Times New Roman Bold"/>
      <w:color w:val="000000"/>
      <w:kern w:val="1"/>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74827">
      <w:bodyDiv w:val="1"/>
      <w:marLeft w:val="0"/>
      <w:marRight w:val="0"/>
      <w:marTop w:val="0"/>
      <w:marBottom w:val="0"/>
      <w:divBdr>
        <w:top w:val="none" w:sz="0" w:space="0" w:color="auto"/>
        <w:left w:val="none" w:sz="0" w:space="0" w:color="auto"/>
        <w:bottom w:val="none" w:sz="0" w:space="0" w:color="auto"/>
        <w:right w:val="none" w:sz="0" w:space="0" w:color="auto"/>
      </w:divBdr>
    </w:div>
    <w:div w:id="39405885">
      <w:bodyDiv w:val="1"/>
      <w:marLeft w:val="0"/>
      <w:marRight w:val="0"/>
      <w:marTop w:val="0"/>
      <w:marBottom w:val="0"/>
      <w:divBdr>
        <w:top w:val="none" w:sz="0" w:space="0" w:color="auto"/>
        <w:left w:val="none" w:sz="0" w:space="0" w:color="auto"/>
        <w:bottom w:val="none" w:sz="0" w:space="0" w:color="auto"/>
        <w:right w:val="none" w:sz="0" w:space="0" w:color="auto"/>
      </w:divBdr>
    </w:div>
    <w:div w:id="41440263">
      <w:bodyDiv w:val="1"/>
      <w:marLeft w:val="0"/>
      <w:marRight w:val="0"/>
      <w:marTop w:val="0"/>
      <w:marBottom w:val="0"/>
      <w:divBdr>
        <w:top w:val="none" w:sz="0" w:space="0" w:color="auto"/>
        <w:left w:val="none" w:sz="0" w:space="0" w:color="auto"/>
        <w:bottom w:val="none" w:sz="0" w:space="0" w:color="auto"/>
        <w:right w:val="none" w:sz="0" w:space="0" w:color="auto"/>
      </w:divBdr>
    </w:div>
    <w:div w:id="46223573">
      <w:bodyDiv w:val="1"/>
      <w:marLeft w:val="0"/>
      <w:marRight w:val="0"/>
      <w:marTop w:val="0"/>
      <w:marBottom w:val="0"/>
      <w:divBdr>
        <w:top w:val="none" w:sz="0" w:space="0" w:color="auto"/>
        <w:left w:val="none" w:sz="0" w:space="0" w:color="auto"/>
        <w:bottom w:val="none" w:sz="0" w:space="0" w:color="auto"/>
        <w:right w:val="none" w:sz="0" w:space="0" w:color="auto"/>
      </w:divBdr>
    </w:div>
    <w:div w:id="55322723">
      <w:bodyDiv w:val="1"/>
      <w:marLeft w:val="0"/>
      <w:marRight w:val="0"/>
      <w:marTop w:val="0"/>
      <w:marBottom w:val="0"/>
      <w:divBdr>
        <w:top w:val="none" w:sz="0" w:space="0" w:color="auto"/>
        <w:left w:val="none" w:sz="0" w:space="0" w:color="auto"/>
        <w:bottom w:val="none" w:sz="0" w:space="0" w:color="auto"/>
        <w:right w:val="none" w:sz="0" w:space="0" w:color="auto"/>
      </w:divBdr>
    </w:div>
    <w:div w:id="69234408">
      <w:bodyDiv w:val="1"/>
      <w:marLeft w:val="0"/>
      <w:marRight w:val="0"/>
      <w:marTop w:val="0"/>
      <w:marBottom w:val="0"/>
      <w:divBdr>
        <w:top w:val="none" w:sz="0" w:space="0" w:color="auto"/>
        <w:left w:val="none" w:sz="0" w:space="0" w:color="auto"/>
        <w:bottom w:val="none" w:sz="0" w:space="0" w:color="auto"/>
        <w:right w:val="none" w:sz="0" w:space="0" w:color="auto"/>
      </w:divBdr>
    </w:div>
    <w:div w:id="81875615">
      <w:bodyDiv w:val="1"/>
      <w:marLeft w:val="0"/>
      <w:marRight w:val="0"/>
      <w:marTop w:val="0"/>
      <w:marBottom w:val="0"/>
      <w:divBdr>
        <w:top w:val="none" w:sz="0" w:space="0" w:color="auto"/>
        <w:left w:val="none" w:sz="0" w:space="0" w:color="auto"/>
        <w:bottom w:val="none" w:sz="0" w:space="0" w:color="auto"/>
        <w:right w:val="none" w:sz="0" w:space="0" w:color="auto"/>
      </w:divBdr>
    </w:div>
    <w:div w:id="118039884">
      <w:bodyDiv w:val="1"/>
      <w:marLeft w:val="0"/>
      <w:marRight w:val="0"/>
      <w:marTop w:val="0"/>
      <w:marBottom w:val="0"/>
      <w:divBdr>
        <w:top w:val="none" w:sz="0" w:space="0" w:color="auto"/>
        <w:left w:val="none" w:sz="0" w:space="0" w:color="auto"/>
        <w:bottom w:val="none" w:sz="0" w:space="0" w:color="auto"/>
        <w:right w:val="none" w:sz="0" w:space="0" w:color="auto"/>
      </w:divBdr>
    </w:div>
    <w:div w:id="124009991">
      <w:bodyDiv w:val="1"/>
      <w:marLeft w:val="0"/>
      <w:marRight w:val="0"/>
      <w:marTop w:val="0"/>
      <w:marBottom w:val="0"/>
      <w:divBdr>
        <w:top w:val="none" w:sz="0" w:space="0" w:color="auto"/>
        <w:left w:val="none" w:sz="0" w:space="0" w:color="auto"/>
        <w:bottom w:val="none" w:sz="0" w:space="0" w:color="auto"/>
        <w:right w:val="none" w:sz="0" w:space="0" w:color="auto"/>
      </w:divBdr>
      <w:divsChild>
        <w:div w:id="497968187">
          <w:marLeft w:val="1166"/>
          <w:marRight w:val="0"/>
          <w:marTop w:val="0"/>
          <w:marBottom w:val="120"/>
          <w:divBdr>
            <w:top w:val="none" w:sz="0" w:space="0" w:color="auto"/>
            <w:left w:val="none" w:sz="0" w:space="0" w:color="auto"/>
            <w:bottom w:val="none" w:sz="0" w:space="0" w:color="auto"/>
            <w:right w:val="none" w:sz="0" w:space="0" w:color="auto"/>
          </w:divBdr>
        </w:div>
        <w:div w:id="1820488493">
          <w:marLeft w:val="1166"/>
          <w:marRight w:val="0"/>
          <w:marTop w:val="0"/>
          <w:marBottom w:val="120"/>
          <w:divBdr>
            <w:top w:val="none" w:sz="0" w:space="0" w:color="auto"/>
            <w:left w:val="none" w:sz="0" w:space="0" w:color="auto"/>
            <w:bottom w:val="none" w:sz="0" w:space="0" w:color="auto"/>
            <w:right w:val="none" w:sz="0" w:space="0" w:color="auto"/>
          </w:divBdr>
        </w:div>
        <w:div w:id="1897549890">
          <w:marLeft w:val="446"/>
          <w:marRight w:val="0"/>
          <w:marTop w:val="0"/>
          <w:marBottom w:val="120"/>
          <w:divBdr>
            <w:top w:val="none" w:sz="0" w:space="0" w:color="auto"/>
            <w:left w:val="none" w:sz="0" w:space="0" w:color="auto"/>
            <w:bottom w:val="none" w:sz="0" w:space="0" w:color="auto"/>
            <w:right w:val="none" w:sz="0" w:space="0" w:color="auto"/>
          </w:divBdr>
        </w:div>
        <w:div w:id="1946112012">
          <w:marLeft w:val="446"/>
          <w:marRight w:val="0"/>
          <w:marTop w:val="0"/>
          <w:marBottom w:val="0"/>
          <w:divBdr>
            <w:top w:val="none" w:sz="0" w:space="0" w:color="auto"/>
            <w:left w:val="none" w:sz="0" w:space="0" w:color="auto"/>
            <w:bottom w:val="none" w:sz="0" w:space="0" w:color="auto"/>
            <w:right w:val="none" w:sz="0" w:space="0" w:color="auto"/>
          </w:divBdr>
        </w:div>
      </w:divsChild>
    </w:div>
    <w:div w:id="125509124">
      <w:bodyDiv w:val="1"/>
      <w:marLeft w:val="0"/>
      <w:marRight w:val="0"/>
      <w:marTop w:val="0"/>
      <w:marBottom w:val="0"/>
      <w:divBdr>
        <w:top w:val="none" w:sz="0" w:space="0" w:color="auto"/>
        <w:left w:val="none" w:sz="0" w:space="0" w:color="auto"/>
        <w:bottom w:val="none" w:sz="0" w:space="0" w:color="auto"/>
        <w:right w:val="none" w:sz="0" w:space="0" w:color="auto"/>
      </w:divBdr>
    </w:div>
    <w:div w:id="128674400">
      <w:bodyDiv w:val="1"/>
      <w:marLeft w:val="0"/>
      <w:marRight w:val="0"/>
      <w:marTop w:val="0"/>
      <w:marBottom w:val="0"/>
      <w:divBdr>
        <w:top w:val="none" w:sz="0" w:space="0" w:color="auto"/>
        <w:left w:val="none" w:sz="0" w:space="0" w:color="auto"/>
        <w:bottom w:val="none" w:sz="0" w:space="0" w:color="auto"/>
        <w:right w:val="none" w:sz="0" w:space="0" w:color="auto"/>
      </w:divBdr>
    </w:div>
    <w:div w:id="173686347">
      <w:bodyDiv w:val="1"/>
      <w:marLeft w:val="0"/>
      <w:marRight w:val="0"/>
      <w:marTop w:val="0"/>
      <w:marBottom w:val="0"/>
      <w:divBdr>
        <w:top w:val="none" w:sz="0" w:space="0" w:color="auto"/>
        <w:left w:val="none" w:sz="0" w:space="0" w:color="auto"/>
        <w:bottom w:val="none" w:sz="0" w:space="0" w:color="auto"/>
        <w:right w:val="none" w:sz="0" w:space="0" w:color="auto"/>
      </w:divBdr>
    </w:div>
    <w:div w:id="176816715">
      <w:bodyDiv w:val="1"/>
      <w:marLeft w:val="0"/>
      <w:marRight w:val="0"/>
      <w:marTop w:val="0"/>
      <w:marBottom w:val="0"/>
      <w:divBdr>
        <w:top w:val="none" w:sz="0" w:space="0" w:color="auto"/>
        <w:left w:val="none" w:sz="0" w:space="0" w:color="auto"/>
        <w:bottom w:val="none" w:sz="0" w:space="0" w:color="auto"/>
        <w:right w:val="none" w:sz="0" w:space="0" w:color="auto"/>
      </w:divBdr>
    </w:div>
    <w:div w:id="179442405">
      <w:bodyDiv w:val="1"/>
      <w:marLeft w:val="0"/>
      <w:marRight w:val="0"/>
      <w:marTop w:val="0"/>
      <w:marBottom w:val="0"/>
      <w:divBdr>
        <w:top w:val="none" w:sz="0" w:space="0" w:color="auto"/>
        <w:left w:val="none" w:sz="0" w:space="0" w:color="auto"/>
        <w:bottom w:val="none" w:sz="0" w:space="0" w:color="auto"/>
        <w:right w:val="none" w:sz="0" w:space="0" w:color="auto"/>
      </w:divBdr>
    </w:div>
    <w:div w:id="216283358">
      <w:bodyDiv w:val="1"/>
      <w:marLeft w:val="0"/>
      <w:marRight w:val="0"/>
      <w:marTop w:val="0"/>
      <w:marBottom w:val="0"/>
      <w:divBdr>
        <w:top w:val="none" w:sz="0" w:space="0" w:color="auto"/>
        <w:left w:val="none" w:sz="0" w:space="0" w:color="auto"/>
        <w:bottom w:val="none" w:sz="0" w:space="0" w:color="auto"/>
        <w:right w:val="none" w:sz="0" w:space="0" w:color="auto"/>
      </w:divBdr>
    </w:div>
    <w:div w:id="246959811">
      <w:bodyDiv w:val="1"/>
      <w:marLeft w:val="0"/>
      <w:marRight w:val="0"/>
      <w:marTop w:val="0"/>
      <w:marBottom w:val="0"/>
      <w:divBdr>
        <w:top w:val="none" w:sz="0" w:space="0" w:color="auto"/>
        <w:left w:val="none" w:sz="0" w:space="0" w:color="auto"/>
        <w:bottom w:val="none" w:sz="0" w:space="0" w:color="auto"/>
        <w:right w:val="none" w:sz="0" w:space="0" w:color="auto"/>
      </w:divBdr>
    </w:div>
    <w:div w:id="273220357">
      <w:bodyDiv w:val="1"/>
      <w:marLeft w:val="0"/>
      <w:marRight w:val="0"/>
      <w:marTop w:val="0"/>
      <w:marBottom w:val="0"/>
      <w:divBdr>
        <w:top w:val="none" w:sz="0" w:space="0" w:color="auto"/>
        <w:left w:val="none" w:sz="0" w:space="0" w:color="auto"/>
        <w:bottom w:val="none" w:sz="0" w:space="0" w:color="auto"/>
        <w:right w:val="none" w:sz="0" w:space="0" w:color="auto"/>
      </w:divBdr>
    </w:div>
    <w:div w:id="273633673">
      <w:bodyDiv w:val="1"/>
      <w:marLeft w:val="0"/>
      <w:marRight w:val="0"/>
      <w:marTop w:val="0"/>
      <w:marBottom w:val="0"/>
      <w:divBdr>
        <w:top w:val="none" w:sz="0" w:space="0" w:color="auto"/>
        <w:left w:val="none" w:sz="0" w:space="0" w:color="auto"/>
        <w:bottom w:val="none" w:sz="0" w:space="0" w:color="auto"/>
        <w:right w:val="none" w:sz="0" w:space="0" w:color="auto"/>
      </w:divBdr>
    </w:div>
    <w:div w:id="300889682">
      <w:bodyDiv w:val="1"/>
      <w:marLeft w:val="0"/>
      <w:marRight w:val="0"/>
      <w:marTop w:val="0"/>
      <w:marBottom w:val="0"/>
      <w:divBdr>
        <w:top w:val="none" w:sz="0" w:space="0" w:color="auto"/>
        <w:left w:val="none" w:sz="0" w:space="0" w:color="auto"/>
        <w:bottom w:val="none" w:sz="0" w:space="0" w:color="auto"/>
        <w:right w:val="none" w:sz="0" w:space="0" w:color="auto"/>
      </w:divBdr>
    </w:div>
    <w:div w:id="325059431">
      <w:bodyDiv w:val="1"/>
      <w:marLeft w:val="0"/>
      <w:marRight w:val="0"/>
      <w:marTop w:val="0"/>
      <w:marBottom w:val="0"/>
      <w:divBdr>
        <w:top w:val="none" w:sz="0" w:space="0" w:color="auto"/>
        <w:left w:val="none" w:sz="0" w:space="0" w:color="auto"/>
        <w:bottom w:val="none" w:sz="0" w:space="0" w:color="auto"/>
        <w:right w:val="none" w:sz="0" w:space="0" w:color="auto"/>
      </w:divBdr>
    </w:div>
    <w:div w:id="330909178">
      <w:bodyDiv w:val="1"/>
      <w:marLeft w:val="0"/>
      <w:marRight w:val="0"/>
      <w:marTop w:val="0"/>
      <w:marBottom w:val="0"/>
      <w:divBdr>
        <w:top w:val="none" w:sz="0" w:space="0" w:color="auto"/>
        <w:left w:val="none" w:sz="0" w:space="0" w:color="auto"/>
        <w:bottom w:val="none" w:sz="0" w:space="0" w:color="auto"/>
        <w:right w:val="none" w:sz="0" w:space="0" w:color="auto"/>
      </w:divBdr>
    </w:div>
    <w:div w:id="335110032">
      <w:bodyDiv w:val="1"/>
      <w:marLeft w:val="0"/>
      <w:marRight w:val="0"/>
      <w:marTop w:val="0"/>
      <w:marBottom w:val="0"/>
      <w:divBdr>
        <w:top w:val="none" w:sz="0" w:space="0" w:color="auto"/>
        <w:left w:val="none" w:sz="0" w:space="0" w:color="auto"/>
        <w:bottom w:val="none" w:sz="0" w:space="0" w:color="auto"/>
        <w:right w:val="none" w:sz="0" w:space="0" w:color="auto"/>
      </w:divBdr>
    </w:div>
    <w:div w:id="338582174">
      <w:bodyDiv w:val="1"/>
      <w:marLeft w:val="0"/>
      <w:marRight w:val="0"/>
      <w:marTop w:val="0"/>
      <w:marBottom w:val="0"/>
      <w:divBdr>
        <w:top w:val="none" w:sz="0" w:space="0" w:color="auto"/>
        <w:left w:val="none" w:sz="0" w:space="0" w:color="auto"/>
        <w:bottom w:val="none" w:sz="0" w:space="0" w:color="auto"/>
        <w:right w:val="none" w:sz="0" w:space="0" w:color="auto"/>
      </w:divBdr>
    </w:div>
    <w:div w:id="353767465">
      <w:bodyDiv w:val="1"/>
      <w:marLeft w:val="0"/>
      <w:marRight w:val="0"/>
      <w:marTop w:val="0"/>
      <w:marBottom w:val="0"/>
      <w:divBdr>
        <w:top w:val="none" w:sz="0" w:space="0" w:color="auto"/>
        <w:left w:val="none" w:sz="0" w:space="0" w:color="auto"/>
        <w:bottom w:val="none" w:sz="0" w:space="0" w:color="auto"/>
        <w:right w:val="none" w:sz="0" w:space="0" w:color="auto"/>
      </w:divBdr>
    </w:div>
    <w:div w:id="360086075">
      <w:bodyDiv w:val="1"/>
      <w:marLeft w:val="0"/>
      <w:marRight w:val="0"/>
      <w:marTop w:val="0"/>
      <w:marBottom w:val="0"/>
      <w:divBdr>
        <w:top w:val="none" w:sz="0" w:space="0" w:color="auto"/>
        <w:left w:val="none" w:sz="0" w:space="0" w:color="auto"/>
        <w:bottom w:val="none" w:sz="0" w:space="0" w:color="auto"/>
        <w:right w:val="none" w:sz="0" w:space="0" w:color="auto"/>
      </w:divBdr>
    </w:div>
    <w:div w:id="374744890">
      <w:bodyDiv w:val="1"/>
      <w:marLeft w:val="0"/>
      <w:marRight w:val="0"/>
      <w:marTop w:val="0"/>
      <w:marBottom w:val="0"/>
      <w:divBdr>
        <w:top w:val="none" w:sz="0" w:space="0" w:color="auto"/>
        <w:left w:val="none" w:sz="0" w:space="0" w:color="auto"/>
        <w:bottom w:val="none" w:sz="0" w:space="0" w:color="auto"/>
        <w:right w:val="none" w:sz="0" w:space="0" w:color="auto"/>
      </w:divBdr>
    </w:div>
    <w:div w:id="375667053">
      <w:bodyDiv w:val="1"/>
      <w:marLeft w:val="0"/>
      <w:marRight w:val="0"/>
      <w:marTop w:val="0"/>
      <w:marBottom w:val="0"/>
      <w:divBdr>
        <w:top w:val="none" w:sz="0" w:space="0" w:color="auto"/>
        <w:left w:val="none" w:sz="0" w:space="0" w:color="auto"/>
        <w:bottom w:val="none" w:sz="0" w:space="0" w:color="auto"/>
        <w:right w:val="none" w:sz="0" w:space="0" w:color="auto"/>
      </w:divBdr>
    </w:div>
    <w:div w:id="381027208">
      <w:bodyDiv w:val="1"/>
      <w:marLeft w:val="0"/>
      <w:marRight w:val="0"/>
      <w:marTop w:val="0"/>
      <w:marBottom w:val="0"/>
      <w:divBdr>
        <w:top w:val="none" w:sz="0" w:space="0" w:color="auto"/>
        <w:left w:val="none" w:sz="0" w:space="0" w:color="auto"/>
        <w:bottom w:val="none" w:sz="0" w:space="0" w:color="auto"/>
        <w:right w:val="none" w:sz="0" w:space="0" w:color="auto"/>
      </w:divBdr>
    </w:div>
    <w:div w:id="381028459">
      <w:bodyDiv w:val="1"/>
      <w:marLeft w:val="0"/>
      <w:marRight w:val="0"/>
      <w:marTop w:val="0"/>
      <w:marBottom w:val="0"/>
      <w:divBdr>
        <w:top w:val="none" w:sz="0" w:space="0" w:color="auto"/>
        <w:left w:val="none" w:sz="0" w:space="0" w:color="auto"/>
        <w:bottom w:val="none" w:sz="0" w:space="0" w:color="auto"/>
        <w:right w:val="none" w:sz="0" w:space="0" w:color="auto"/>
      </w:divBdr>
    </w:div>
    <w:div w:id="391347144">
      <w:bodyDiv w:val="1"/>
      <w:marLeft w:val="0"/>
      <w:marRight w:val="0"/>
      <w:marTop w:val="0"/>
      <w:marBottom w:val="0"/>
      <w:divBdr>
        <w:top w:val="none" w:sz="0" w:space="0" w:color="auto"/>
        <w:left w:val="none" w:sz="0" w:space="0" w:color="auto"/>
        <w:bottom w:val="none" w:sz="0" w:space="0" w:color="auto"/>
        <w:right w:val="none" w:sz="0" w:space="0" w:color="auto"/>
      </w:divBdr>
    </w:div>
    <w:div w:id="391461724">
      <w:bodyDiv w:val="1"/>
      <w:marLeft w:val="0"/>
      <w:marRight w:val="0"/>
      <w:marTop w:val="0"/>
      <w:marBottom w:val="0"/>
      <w:divBdr>
        <w:top w:val="none" w:sz="0" w:space="0" w:color="auto"/>
        <w:left w:val="none" w:sz="0" w:space="0" w:color="auto"/>
        <w:bottom w:val="none" w:sz="0" w:space="0" w:color="auto"/>
        <w:right w:val="none" w:sz="0" w:space="0" w:color="auto"/>
      </w:divBdr>
    </w:div>
    <w:div w:id="391855611">
      <w:bodyDiv w:val="1"/>
      <w:marLeft w:val="0"/>
      <w:marRight w:val="0"/>
      <w:marTop w:val="0"/>
      <w:marBottom w:val="0"/>
      <w:divBdr>
        <w:top w:val="none" w:sz="0" w:space="0" w:color="auto"/>
        <w:left w:val="none" w:sz="0" w:space="0" w:color="auto"/>
        <w:bottom w:val="none" w:sz="0" w:space="0" w:color="auto"/>
        <w:right w:val="none" w:sz="0" w:space="0" w:color="auto"/>
      </w:divBdr>
    </w:div>
    <w:div w:id="402072426">
      <w:bodyDiv w:val="1"/>
      <w:marLeft w:val="0"/>
      <w:marRight w:val="0"/>
      <w:marTop w:val="0"/>
      <w:marBottom w:val="0"/>
      <w:divBdr>
        <w:top w:val="none" w:sz="0" w:space="0" w:color="auto"/>
        <w:left w:val="none" w:sz="0" w:space="0" w:color="auto"/>
        <w:bottom w:val="none" w:sz="0" w:space="0" w:color="auto"/>
        <w:right w:val="none" w:sz="0" w:space="0" w:color="auto"/>
      </w:divBdr>
    </w:div>
    <w:div w:id="421151234">
      <w:bodyDiv w:val="1"/>
      <w:marLeft w:val="0"/>
      <w:marRight w:val="0"/>
      <w:marTop w:val="0"/>
      <w:marBottom w:val="0"/>
      <w:divBdr>
        <w:top w:val="none" w:sz="0" w:space="0" w:color="auto"/>
        <w:left w:val="none" w:sz="0" w:space="0" w:color="auto"/>
        <w:bottom w:val="none" w:sz="0" w:space="0" w:color="auto"/>
        <w:right w:val="none" w:sz="0" w:space="0" w:color="auto"/>
      </w:divBdr>
    </w:div>
    <w:div w:id="424886214">
      <w:bodyDiv w:val="1"/>
      <w:marLeft w:val="0"/>
      <w:marRight w:val="0"/>
      <w:marTop w:val="0"/>
      <w:marBottom w:val="0"/>
      <w:divBdr>
        <w:top w:val="none" w:sz="0" w:space="0" w:color="auto"/>
        <w:left w:val="none" w:sz="0" w:space="0" w:color="auto"/>
        <w:bottom w:val="none" w:sz="0" w:space="0" w:color="auto"/>
        <w:right w:val="none" w:sz="0" w:space="0" w:color="auto"/>
      </w:divBdr>
    </w:div>
    <w:div w:id="430666464">
      <w:bodyDiv w:val="1"/>
      <w:marLeft w:val="0"/>
      <w:marRight w:val="0"/>
      <w:marTop w:val="0"/>
      <w:marBottom w:val="0"/>
      <w:divBdr>
        <w:top w:val="none" w:sz="0" w:space="0" w:color="auto"/>
        <w:left w:val="none" w:sz="0" w:space="0" w:color="auto"/>
        <w:bottom w:val="none" w:sz="0" w:space="0" w:color="auto"/>
        <w:right w:val="none" w:sz="0" w:space="0" w:color="auto"/>
      </w:divBdr>
      <w:divsChild>
        <w:div w:id="1647781608">
          <w:marLeft w:val="0"/>
          <w:marRight w:val="0"/>
          <w:marTop w:val="0"/>
          <w:marBottom w:val="0"/>
          <w:divBdr>
            <w:top w:val="none" w:sz="0" w:space="0" w:color="auto"/>
            <w:left w:val="none" w:sz="0" w:space="0" w:color="auto"/>
            <w:bottom w:val="none" w:sz="0" w:space="0" w:color="auto"/>
            <w:right w:val="none" w:sz="0" w:space="0" w:color="auto"/>
          </w:divBdr>
        </w:div>
      </w:divsChild>
    </w:div>
    <w:div w:id="438140846">
      <w:bodyDiv w:val="1"/>
      <w:marLeft w:val="0"/>
      <w:marRight w:val="0"/>
      <w:marTop w:val="0"/>
      <w:marBottom w:val="0"/>
      <w:divBdr>
        <w:top w:val="none" w:sz="0" w:space="0" w:color="auto"/>
        <w:left w:val="none" w:sz="0" w:space="0" w:color="auto"/>
        <w:bottom w:val="none" w:sz="0" w:space="0" w:color="auto"/>
        <w:right w:val="none" w:sz="0" w:space="0" w:color="auto"/>
      </w:divBdr>
    </w:div>
    <w:div w:id="447235380">
      <w:bodyDiv w:val="1"/>
      <w:marLeft w:val="0"/>
      <w:marRight w:val="0"/>
      <w:marTop w:val="0"/>
      <w:marBottom w:val="0"/>
      <w:divBdr>
        <w:top w:val="none" w:sz="0" w:space="0" w:color="auto"/>
        <w:left w:val="none" w:sz="0" w:space="0" w:color="auto"/>
        <w:bottom w:val="none" w:sz="0" w:space="0" w:color="auto"/>
        <w:right w:val="none" w:sz="0" w:space="0" w:color="auto"/>
      </w:divBdr>
    </w:div>
    <w:div w:id="467356868">
      <w:bodyDiv w:val="1"/>
      <w:marLeft w:val="0"/>
      <w:marRight w:val="0"/>
      <w:marTop w:val="0"/>
      <w:marBottom w:val="0"/>
      <w:divBdr>
        <w:top w:val="none" w:sz="0" w:space="0" w:color="auto"/>
        <w:left w:val="none" w:sz="0" w:space="0" w:color="auto"/>
        <w:bottom w:val="none" w:sz="0" w:space="0" w:color="auto"/>
        <w:right w:val="none" w:sz="0" w:space="0" w:color="auto"/>
      </w:divBdr>
    </w:div>
    <w:div w:id="474563754">
      <w:bodyDiv w:val="1"/>
      <w:marLeft w:val="0"/>
      <w:marRight w:val="0"/>
      <w:marTop w:val="0"/>
      <w:marBottom w:val="0"/>
      <w:divBdr>
        <w:top w:val="none" w:sz="0" w:space="0" w:color="auto"/>
        <w:left w:val="none" w:sz="0" w:space="0" w:color="auto"/>
        <w:bottom w:val="none" w:sz="0" w:space="0" w:color="auto"/>
        <w:right w:val="none" w:sz="0" w:space="0" w:color="auto"/>
      </w:divBdr>
    </w:div>
    <w:div w:id="477962746">
      <w:bodyDiv w:val="1"/>
      <w:marLeft w:val="0"/>
      <w:marRight w:val="0"/>
      <w:marTop w:val="0"/>
      <w:marBottom w:val="0"/>
      <w:divBdr>
        <w:top w:val="none" w:sz="0" w:space="0" w:color="auto"/>
        <w:left w:val="none" w:sz="0" w:space="0" w:color="auto"/>
        <w:bottom w:val="none" w:sz="0" w:space="0" w:color="auto"/>
        <w:right w:val="none" w:sz="0" w:space="0" w:color="auto"/>
      </w:divBdr>
    </w:div>
    <w:div w:id="481429508">
      <w:bodyDiv w:val="1"/>
      <w:marLeft w:val="0"/>
      <w:marRight w:val="0"/>
      <w:marTop w:val="0"/>
      <w:marBottom w:val="0"/>
      <w:divBdr>
        <w:top w:val="none" w:sz="0" w:space="0" w:color="auto"/>
        <w:left w:val="none" w:sz="0" w:space="0" w:color="auto"/>
        <w:bottom w:val="none" w:sz="0" w:space="0" w:color="auto"/>
        <w:right w:val="none" w:sz="0" w:space="0" w:color="auto"/>
      </w:divBdr>
    </w:div>
    <w:div w:id="500971705">
      <w:bodyDiv w:val="1"/>
      <w:marLeft w:val="0"/>
      <w:marRight w:val="0"/>
      <w:marTop w:val="0"/>
      <w:marBottom w:val="0"/>
      <w:divBdr>
        <w:top w:val="none" w:sz="0" w:space="0" w:color="auto"/>
        <w:left w:val="none" w:sz="0" w:space="0" w:color="auto"/>
        <w:bottom w:val="none" w:sz="0" w:space="0" w:color="auto"/>
        <w:right w:val="none" w:sz="0" w:space="0" w:color="auto"/>
      </w:divBdr>
    </w:div>
    <w:div w:id="506791066">
      <w:bodyDiv w:val="1"/>
      <w:marLeft w:val="0"/>
      <w:marRight w:val="0"/>
      <w:marTop w:val="0"/>
      <w:marBottom w:val="0"/>
      <w:divBdr>
        <w:top w:val="none" w:sz="0" w:space="0" w:color="auto"/>
        <w:left w:val="none" w:sz="0" w:space="0" w:color="auto"/>
        <w:bottom w:val="none" w:sz="0" w:space="0" w:color="auto"/>
        <w:right w:val="none" w:sz="0" w:space="0" w:color="auto"/>
      </w:divBdr>
    </w:div>
    <w:div w:id="507721970">
      <w:bodyDiv w:val="1"/>
      <w:marLeft w:val="0"/>
      <w:marRight w:val="0"/>
      <w:marTop w:val="0"/>
      <w:marBottom w:val="0"/>
      <w:divBdr>
        <w:top w:val="none" w:sz="0" w:space="0" w:color="auto"/>
        <w:left w:val="none" w:sz="0" w:space="0" w:color="auto"/>
        <w:bottom w:val="none" w:sz="0" w:space="0" w:color="auto"/>
        <w:right w:val="none" w:sz="0" w:space="0" w:color="auto"/>
      </w:divBdr>
    </w:div>
    <w:div w:id="508495590">
      <w:bodyDiv w:val="1"/>
      <w:marLeft w:val="0"/>
      <w:marRight w:val="0"/>
      <w:marTop w:val="0"/>
      <w:marBottom w:val="0"/>
      <w:divBdr>
        <w:top w:val="none" w:sz="0" w:space="0" w:color="auto"/>
        <w:left w:val="none" w:sz="0" w:space="0" w:color="auto"/>
        <w:bottom w:val="none" w:sz="0" w:space="0" w:color="auto"/>
        <w:right w:val="none" w:sz="0" w:space="0" w:color="auto"/>
      </w:divBdr>
    </w:div>
    <w:div w:id="517155993">
      <w:bodyDiv w:val="1"/>
      <w:marLeft w:val="0"/>
      <w:marRight w:val="0"/>
      <w:marTop w:val="0"/>
      <w:marBottom w:val="0"/>
      <w:divBdr>
        <w:top w:val="none" w:sz="0" w:space="0" w:color="auto"/>
        <w:left w:val="none" w:sz="0" w:space="0" w:color="auto"/>
        <w:bottom w:val="none" w:sz="0" w:space="0" w:color="auto"/>
        <w:right w:val="none" w:sz="0" w:space="0" w:color="auto"/>
      </w:divBdr>
    </w:div>
    <w:div w:id="520626793">
      <w:bodyDiv w:val="1"/>
      <w:marLeft w:val="0"/>
      <w:marRight w:val="0"/>
      <w:marTop w:val="0"/>
      <w:marBottom w:val="0"/>
      <w:divBdr>
        <w:top w:val="none" w:sz="0" w:space="0" w:color="auto"/>
        <w:left w:val="none" w:sz="0" w:space="0" w:color="auto"/>
        <w:bottom w:val="none" w:sz="0" w:space="0" w:color="auto"/>
        <w:right w:val="none" w:sz="0" w:space="0" w:color="auto"/>
      </w:divBdr>
    </w:div>
    <w:div w:id="538935076">
      <w:bodyDiv w:val="1"/>
      <w:marLeft w:val="0"/>
      <w:marRight w:val="0"/>
      <w:marTop w:val="0"/>
      <w:marBottom w:val="0"/>
      <w:divBdr>
        <w:top w:val="none" w:sz="0" w:space="0" w:color="auto"/>
        <w:left w:val="none" w:sz="0" w:space="0" w:color="auto"/>
        <w:bottom w:val="none" w:sz="0" w:space="0" w:color="auto"/>
        <w:right w:val="none" w:sz="0" w:space="0" w:color="auto"/>
      </w:divBdr>
    </w:div>
    <w:div w:id="551618578">
      <w:bodyDiv w:val="1"/>
      <w:marLeft w:val="0"/>
      <w:marRight w:val="0"/>
      <w:marTop w:val="0"/>
      <w:marBottom w:val="0"/>
      <w:divBdr>
        <w:top w:val="none" w:sz="0" w:space="0" w:color="auto"/>
        <w:left w:val="none" w:sz="0" w:space="0" w:color="auto"/>
        <w:bottom w:val="none" w:sz="0" w:space="0" w:color="auto"/>
        <w:right w:val="none" w:sz="0" w:space="0" w:color="auto"/>
      </w:divBdr>
      <w:divsChild>
        <w:div w:id="63843605">
          <w:marLeft w:val="274"/>
          <w:marRight w:val="0"/>
          <w:marTop w:val="0"/>
          <w:marBottom w:val="0"/>
          <w:divBdr>
            <w:top w:val="none" w:sz="0" w:space="0" w:color="auto"/>
            <w:left w:val="none" w:sz="0" w:space="0" w:color="auto"/>
            <w:bottom w:val="none" w:sz="0" w:space="0" w:color="auto"/>
            <w:right w:val="none" w:sz="0" w:space="0" w:color="auto"/>
          </w:divBdr>
        </w:div>
        <w:div w:id="597835177">
          <w:marLeft w:val="994"/>
          <w:marRight w:val="0"/>
          <w:marTop w:val="0"/>
          <w:marBottom w:val="0"/>
          <w:divBdr>
            <w:top w:val="none" w:sz="0" w:space="0" w:color="auto"/>
            <w:left w:val="none" w:sz="0" w:space="0" w:color="auto"/>
            <w:bottom w:val="none" w:sz="0" w:space="0" w:color="auto"/>
            <w:right w:val="none" w:sz="0" w:space="0" w:color="auto"/>
          </w:divBdr>
        </w:div>
        <w:div w:id="634801381">
          <w:marLeft w:val="274"/>
          <w:marRight w:val="0"/>
          <w:marTop w:val="0"/>
          <w:marBottom w:val="0"/>
          <w:divBdr>
            <w:top w:val="none" w:sz="0" w:space="0" w:color="auto"/>
            <w:left w:val="none" w:sz="0" w:space="0" w:color="auto"/>
            <w:bottom w:val="none" w:sz="0" w:space="0" w:color="auto"/>
            <w:right w:val="none" w:sz="0" w:space="0" w:color="auto"/>
          </w:divBdr>
        </w:div>
        <w:div w:id="1254127463">
          <w:marLeft w:val="994"/>
          <w:marRight w:val="0"/>
          <w:marTop w:val="0"/>
          <w:marBottom w:val="0"/>
          <w:divBdr>
            <w:top w:val="none" w:sz="0" w:space="0" w:color="auto"/>
            <w:left w:val="none" w:sz="0" w:space="0" w:color="auto"/>
            <w:bottom w:val="none" w:sz="0" w:space="0" w:color="auto"/>
            <w:right w:val="none" w:sz="0" w:space="0" w:color="auto"/>
          </w:divBdr>
        </w:div>
        <w:div w:id="1358967452">
          <w:marLeft w:val="274"/>
          <w:marRight w:val="0"/>
          <w:marTop w:val="0"/>
          <w:marBottom w:val="0"/>
          <w:divBdr>
            <w:top w:val="none" w:sz="0" w:space="0" w:color="auto"/>
            <w:left w:val="none" w:sz="0" w:space="0" w:color="auto"/>
            <w:bottom w:val="none" w:sz="0" w:space="0" w:color="auto"/>
            <w:right w:val="none" w:sz="0" w:space="0" w:color="auto"/>
          </w:divBdr>
        </w:div>
        <w:div w:id="1896042430">
          <w:marLeft w:val="274"/>
          <w:marRight w:val="0"/>
          <w:marTop w:val="0"/>
          <w:marBottom w:val="0"/>
          <w:divBdr>
            <w:top w:val="none" w:sz="0" w:space="0" w:color="auto"/>
            <w:left w:val="none" w:sz="0" w:space="0" w:color="auto"/>
            <w:bottom w:val="none" w:sz="0" w:space="0" w:color="auto"/>
            <w:right w:val="none" w:sz="0" w:space="0" w:color="auto"/>
          </w:divBdr>
        </w:div>
        <w:div w:id="1899198771">
          <w:marLeft w:val="994"/>
          <w:marRight w:val="0"/>
          <w:marTop w:val="0"/>
          <w:marBottom w:val="0"/>
          <w:divBdr>
            <w:top w:val="none" w:sz="0" w:space="0" w:color="auto"/>
            <w:left w:val="none" w:sz="0" w:space="0" w:color="auto"/>
            <w:bottom w:val="none" w:sz="0" w:space="0" w:color="auto"/>
            <w:right w:val="none" w:sz="0" w:space="0" w:color="auto"/>
          </w:divBdr>
        </w:div>
      </w:divsChild>
    </w:div>
    <w:div w:id="576862088">
      <w:bodyDiv w:val="1"/>
      <w:marLeft w:val="0"/>
      <w:marRight w:val="0"/>
      <w:marTop w:val="0"/>
      <w:marBottom w:val="0"/>
      <w:divBdr>
        <w:top w:val="none" w:sz="0" w:space="0" w:color="auto"/>
        <w:left w:val="none" w:sz="0" w:space="0" w:color="auto"/>
        <w:bottom w:val="none" w:sz="0" w:space="0" w:color="auto"/>
        <w:right w:val="none" w:sz="0" w:space="0" w:color="auto"/>
      </w:divBdr>
    </w:div>
    <w:div w:id="583222993">
      <w:bodyDiv w:val="1"/>
      <w:marLeft w:val="0"/>
      <w:marRight w:val="0"/>
      <w:marTop w:val="0"/>
      <w:marBottom w:val="0"/>
      <w:divBdr>
        <w:top w:val="none" w:sz="0" w:space="0" w:color="auto"/>
        <w:left w:val="none" w:sz="0" w:space="0" w:color="auto"/>
        <w:bottom w:val="none" w:sz="0" w:space="0" w:color="auto"/>
        <w:right w:val="none" w:sz="0" w:space="0" w:color="auto"/>
      </w:divBdr>
    </w:div>
    <w:div w:id="616525560">
      <w:bodyDiv w:val="1"/>
      <w:marLeft w:val="0"/>
      <w:marRight w:val="0"/>
      <w:marTop w:val="0"/>
      <w:marBottom w:val="0"/>
      <w:divBdr>
        <w:top w:val="none" w:sz="0" w:space="0" w:color="auto"/>
        <w:left w:val="none" w:sz="0" w:space="0" w:color="auto"/>
        <w:bottom w:val="none" w:sz="0" w:space="0" w:color="auto"/>
        <w:right w:val="none" w:sz="0" w:space="0" w:color="auto"/>
      </w:divBdr>
    </w:div>
    <w:div w:id="643780754">
      <w:bodyDiv w:val="1"/>
      <w:marLeft w:val="0"/>
      <w:marRight w:val="0"/>
      <w:marTop w:val="0"/>
      <w:marBottom w:val="0"/>
      <w:divBdr>
        <w:top w:val="none" w:sz="0" w:space="0" w:color="auto"/>
        <w:left w:val="none" w:sz="0" w:space="0" w:color="auto"/>
        <w:bottom w:val="none" w:sz="0" w:space="0" w:color="auto"/>
        <w:right w:val="none" w:sz="0" w:space="0" w:color="auto"/>
      </w:divBdr>
    </w:div>
    <w:div w:id="681854053">
      <w:bodyDiv w:val="1"/>
      <w:marLeft w:val="0"/>
      <w:marRight w:val="0"/>
      <w:marTop w:val="0"/>
      <w:marBottom w:val="0"/>
      <w:divBdr>
        <w:top w:val="none" w:sz="0" w:space="0" w:color="auto"/>
        <w:left w:val="none" w:sz="0" w:space="0" w:color="auto"/>
        <w:bottom w:val="none" w:sz="0" w:space="0" w:color="auto"/>
        <w:right w:val="none" w:sz="0" w:space="0" w:color="auto"/>
      </w:divBdr>
    </w:div>
    <w:div w:id="692072129">
      <w:bodyDiv w:val="1"/>
      <w:marLeft w:val="0"/>
      <w:marRight w:val="0"/>
      <w:marTop w:val="0"/>
      <w:marBottom w:val="0"/>
      <w:divBdr>
        <w:top w:val="none" w:sz="0" w:space="0" w:color="auto"/>
        <w:left w:val="none" w:sz="0" w:space="0" w:color="auto"/>
        <w:bottom w:val="none" w:sz="0" w:space="0" w:color="auto"/>
        <w:right w:val="none" w:sz="0" w:space="0" w:color="auto"/>
      </w:divBdr>
    </w:div>
    <w:div w:id="711072526">
      <w:bodyDiv w:val="1"/>
      <w:marLeft w:val="0"/>
      <w:marRight w:val="0"/>
      <w:marTop w:val="0"/>
      <w:marBottom w:val="0"/>
      <w:divBdr>
        <w:top w:val="none" w:sz="0" w:space="0" w:color="auto"/>
        <w:left w:val="none" w:sz="0" w:space="0" w:color="auto"/>
        <w:bottom w:val="none" w:sz="0" w:space="0" w:color="auto"/>
        <w:right w:val="none" w:sz="0" w:space="0" w:color="auto"/>
      </w:divBdr>
    </w:div>
    <w:div w:id="740256637">
      <w:bodyDiv w:val="1"/>
      <w:marLeft w:val="0"/>
      <w:marRight w:val="0"/>
      <w:marTop w:val="0"/>
      <w:marBottom w:val="0"/>
      <w:divBdr>
        <w:top w:val="none" w:sz="0" w:space="0" w:color="auto"/>
        <w:left w:val="none" w:sz="0" w:space="0" w:color="auto"/>
        <w:bottom w:val="none" w:sz="0" w:space="0" w:color="auto"/>
        <w:right w:val="none" w:sz="0" w:space="0" w:color="auto"/>
      </w:divBdr>
    </w:div>
    <w:div w:id="764544174">
      <w:bodyDiv w:val="1"/>
      <w:marLeft w:val="0"/>
      <w:marRight w:val="0"/>
      <w:marTop w:val="0"/>
      <w:marBottom w:val="0"/>
      <w:divBdr>
        <w:top w:val="none" w:sz="0" w:space="0" w:color="auto"/>
        <w:left w:val="none" w:sz="0" w:space="0" w:color="auto"/>
        <w:bottom w:val="none" w:sz="0" w:space="0" w:color="auto"/>
        <w:right w:val="none" w:sz="0" w:space="0" w:color="auto"/>
      </w:divBdr>
    </w:div>
    <w:div w:id="773521544">
      <w:bodyDiv w:val="1"/>
      <w:marLeft w:val="0"/>
      <w:marRight w:val="0"/>
      <w:marTop w:val="0"/>
      <w:marBottom w:val="0"/>
      <w:divBdr>
        <w:top w:val="none" w:sz="0" w:space="0" w:color="auto"/>
        <w:left w:val="none" w:sz="0" w:space="0" w:color="auto"/>
        <w:bottom w:val="none" w:sz="0" w:space="0" w:color="auto"/>
        <w:right w:val="none" w:sz="0" w:space="0" w:color="auto"/>
      </w:divBdr>
    </w:div>
    <w:div w:id="774134777">
      <w:bodyDiv w:val="1"/>
      <w:marLeft w:val="0"/>
      <w:marRight w:val="0"/>
      <w:marTop w:val="0"/>
      <w:marBottom w:val="0"/>
      <w:divBdr>
        <w:top w:val="none" w:sz="0" w:space="0" w:color="auto"/>
        <w:left w:val="none" w:sz="0" w:space="0" w:color="auto"/>
        <w:bottom w:val="none" w:sz="0" w:space="0" w:color="auto"/>
        <w:right w:val="none" w:sz="0" w:space="0" w:color="auto"/>
      </w:divBdr>
    </w:div>
    <w:div w:id="782069169">
      <w:bodyDiv w:val="1"/>
      <w:marLeft w:val="0"/>
      <w:marRight w:val="0"/>
      <w:marTop w:val="0"/>
      <w:marBottom w:val="0"/>
      <w:divBdr>
        <w:top w:val="none" w:sz="0" w:space="0" w:color="auto"/>
        <w:left w:val="none" w:sz="0" w:space="0" w:color="auto"/>
        <w:bottom w:val="none" w:sz="0" w:space="0" w:color="auto"/>
        <w:right w:val="none" w:sz="0" w:space="0" w:color="auto"/>
      </w:divBdr>
    </w:div>
    <w:div w:id="794106337">
      <w:bodyDiv w:val="1"/>
      <w:marLeft w:val="0"/>
      <w:marRight w:val="0"/>
      <w:marTop w:val="0"/>
      <w:marBottom w:val="0"/>
      <w:divBdr>
        <w:top w:val="none" w:sz="0" w:space="0" w:color="auto"/>
        <w:left w:val="none" w:sz="0" w:space="0" w:color="auto"/>
        <w:bottom w:val="none" w:sz="0" w:space="0" w:color="auto"/>
        <w:right w:val="none" w:sz="0" w:space="0" w:color="auto"/>
      </w:divBdr>
    </w:div>
    <w:div w:id="795221902">
      <w:bodyDiv w:val="1"/>
      <w:marLeft w:val="0"/>
      <w:marRight w:val="0"/>
      <w:marTop w:val="0"/>
      <w:marBottom w:val="0"/>
      <w:divBdr>
        <w:top w:val="none" w:sz="0" w:space="0" w:color="auto"/>
        <w:left w:val="none" w:sz="0" w:space="0" w:color="auto"/>
        <w:bottom w:val="none" w:sz="0" w:space="0" w:color="auto"/>
        <w:right w:val="none" w:sz="0" w:space="0" w:color="auto"/>
      </w:divBdr>
    </w:div>
    <w:div w:id="808402325">
      <w:bodyDiv w:val="1"/>
      <w:marLeft w:val="0"/>
      <w:marRight w:val="0"/>
      <w:marTop w:val="0"/>
      <w:marBottom w:val="0"/>
      <w:divBdr>
        <w:top w:val="none" w:sz="0" w:space="0" w:color="auto"/>
        <w:left w:val="none" w:sz="0" w:space="0" w:color="auto"/>
        <w:bottom w:val="none" w:sz="0" w:space="0" w:color="auto"/>
        <w:right w:val="none" w:sz="0" w:space="0" w:color="auto"/>
      </w:divBdr>
    </w:div>
    <w:div w:id="824667164">
      <w:bodyDiv w:val="1"/>
      <w:marLeft w:val="0"/>
      <w:marRight w:val="0"/>
      <w:marTop w:val="0"/>
      <w:marBottom w:val="0"/>
      <w:divBdr>
        <w:top w:val="none" w:sz="0" w:space="0" w:color="auto"/>
        <w:left w:val="none" w:sz="0" w:space="0" w:color="auto"/>
        <w:bottom w:val="none" w:sz="0" w:space="0" w:color="auto"/>
        <w:right w:val="none" w:sz="0" w:space="0" w:color="auto"/>
      </w:divBdr>
    </w:div>
    <w:div w:id="856895471">
      <w:bodyDiv w:val="1"/>
      <w:marLeft w:val="0"/>
      <w:marRight w:val="0"/>
      <w:marTop w:val="0"/>
      <w:marBottom w:val="0"/>
      <w:divBdr>
        <w:top w:val="none" w:sz="0" w:space="0" w:color="auto"/>
        <w:left w:val="none" w:sz="0" w:space="0" w:color="auto"/>
        <w:bottom w:val="none" w:sz="0" w:space="0" w:color="auto"/>
        <w:right w:val="none" w:sz="0" w:space="0" w:color="auto"/>
      </w:divBdr>
    </w:div>
    <w:div w:id="858008210">
      <w:bodyDiv w:val="1"/>
      <w:marLeft w:val="0"/>
      <w:marRight w:val="0"/>
      <w:marTop w:val="0"/>
      <w:marBottom w:val="0"/>
      <w:divBdr>
        <w:top w:val="none" w:sz="0" w:space="0" w:color="auto"/>
        <w:left w:val="none" w:sz="0" w:space="0" w:color="auto"/>
        <w:bottom w:val="none" w:sz="0" w:space="0" w:color="auto"/>
        <w:right w:val="none" w:sz="0" w:space="0" w:color="auto"/>
      </w:divBdr>
    </w:div>
    <w:div w:id="860554764">
      <w:bodyDiv w:val="1"/>
      <w:marLeft w:val="0"/>
      <w:marRight w:val="0"/>
      <w:marTop w:val="0"/>
      <w:marBottom w:val="0"/>
      <w:divBdr>
        <w:top w:val="none" w:sz="0" w:space="0" w:color="auto"/>
        <w:left w:val="none" w:sz="0" w:space="0" w:color="auto"/>
        <w:bottom w:val="none" w:sz="0" w:space="0" w:color="auto"/>
        <w:right w:val="none" w:sz="0" w:space="0" w:color="auto"/>
      </w:divBdr>
    </w:div>
    <w:div w:id="866216474">
      <w:bodyDiv w:val="1"/>
      <w:marLeft w:val="0"/>
      <w:marRight w:val="0"/>
      <w:marTop w:val="0"/>
      <w:marBottom w:val="0"/>
      <w:divBdr>
        <w:top w:val="none" w:sz="0" w:space="0" w:color="auto"/>
        <w:left w:val="none" w:sz="0" w:space="0" w:color="auto"/>
        <w:bottom w:val="none" w:sz="0" w:space="0" w:color="auto"/>
        <w:right w:val="none" w:sz="0" w:space="0" w:color="auto"/>
      </w:divBdr>
    </w:div>
    <w:div w:id="871769037">
      <w:bodyDiv w:val="1"/>
      <w:marLeft w:val="0"/>
      <w:marRight w:val="0"/>
      <w:marTop w:val="0"/>
      <w:marBottom w:val="0"/>
      <w:divBdr>
        <w:top w:val="none" w:sz="0" w:space="0" w:color="auto"/>
        <w:left w:val="none" w:sz="0" w:space="0" w:color="auto"/>
        <w:bottom w:val="none" w:sz="0" w:space="0" w:color="auto"/>
        <w:right w:val="none" w:sz="0" w:space="0" w:color="auto"/>
      </w:divBdr>
    </w:div>
    <w:div w:id="872032502">
      <w:bodyDiv w:val="1"/>
      <w:marLeft w:val="0"/>
      <w:marRight w:val="0"/>
      <w:marTop w:val="0"/>
      <w:marBottom w:val="0"/>
      <w:divBdr>
        <w:top w:val="none" w:sz="0" w:space="0" w:color="auto"/>
        <w:left w:val="none" w:sz="0" w:space="0" w:color="auto"/>
        <w:bottom w:val="none" w:sz="0" w:space="0" w:color="auto"/>
        <w:right w:val="none" w:sz="0" w:space="0" w:color="auto"/>
      </w:divBdr>
    </w:div>
    <w:div w:id="878594307">
      <w:bodyDiv w:val="1"/>
      <w:marLeft w:val="0"/>
      <w:marRight w:val="0"/>
      <w:marTop w:val="0"/>
      <w:marBottom w:val="0"/>
      <w:divBdr>
        <w:top w:val="none" w:sz="0" w:space="0" w:color="auto"/>
        <w:left w:val="none" w:sz="0" w:space="0" w:color="auto"/>
        <w:bottom w:val="none" w:sz="0" w:space="0" w:color="auto"/>
        <w:right w:val="none" w:sz="0" w:space="0" w:color="auto"/>
      </w:divBdr>
    </w:div>
    <w:div w:id="900556130">
      <w:bodyDiv w:val="1"/>
      <w:marLeft w:val="0"/>
      <w:marRight w:val="0"/>
      <w:marTop w:val="0"/>
      <w:marBottom w:val="0"/>
      <w:divBdr>
        <w:top w:val="none" w:sz="0" w:space="0" w:color="auto"/>
        <w:left w:val="none" w:sz="0" w:space="0" w:color="auto"/>
        <w:bottom w:val="none" w:sz="0" w:space="0" w:color="auto"/>
        <w:right w:val="none" w:sz="0" w:space="0" w:color="auto"/>
      </w:divBdr>
    </w:div>
    <w:div w:id="917709514">
      <w:bodyDiv w:val="1"/>
      <w:marLeft w:val="0"/>
      <w:marRight w:val="0"/>
      <w:marTop w:val="0"/>
      <w:marBottom w:val="0"/>
      <w:divBdr>
        <w:top w:val="none" w:sz="0" w:space="0" w:color="auto"/>
        <w:left w:val="none" w:sz="0" w:space="0" w:color="auto"/>
        <w:bottom w:val="none" w:sz="0" w:space="0" w:color="auto"/>
        <w:right w:val="none" w:sz="0" w:space="0" w:color="auto"/>
      </w:divBdr>
    </w:div>
    <w:div w:id="920800271">
      <w:bodyDiv w:val="1"/>
      <w:marLeft w:val="0"/>
      <w:marRight w:val="0"/>
      <w:marTop w:val="0"/>
      <w:marBottom w:val="0"/>
      <w:divBdr>
        <w:top w:val="none" w:sz="0" w:space="0" w:color="auto"/>
        <w:left w:val="none" w:sz="0" w:space="0" w:color="auto"/>
        <w:bottom w:val="none" w:sz="0" w:space="0" w:color="auto"/>
        <w:right w:val="none" w:sz="0" w:space="0" w:color="auto"/>
      </w:divBdr>
    </w:div>
    <w:div w:id="934286155">
      <w:bodyDiv w:val="1"/>
      <w:marLeft w:val="0"/>
      <w:marRight w:val="0"/>
      <w:marTop w:val="0"/>
      <w:marBottom w:val="0"/>
      <w:divBdr>
        <w:top w:val="none" w:sz="0" w:space="0" w:color="auto"/>
        <w:left w:val="none" w:sz="0" w:space="0" w:color="auto"/>
        <w:bottom w:val="none" w:sz="0" w:space="0" w:color="auto"/>
        <w:right w:val="none" w:sz="0" w:space="0" w:color="auto"/>
      </w:divBdr>
    </w:div>
    <w:div w:id="940721734">
      <w:bodyDiv w:val="1"/>
      <w:marLeft w:val="0"/>
      <w:marRight w:val="0"/>
      <w:marTop w:val="0"/>
      <w:marBottom w:val="0"/>
      <w:divBdr>
        <w:top w:val="none" w:sz="0" w:space="0" w:color="auto"/>
        <w:left w:val="none" w:sz="0" w:space="0" w:color="auto"/>
        <w:bottom w:val="none" w:sz="0" w:space="0" w:color="auto"/>
        <w:right w:val="none" w:sz="0" w:space="0" w:color="auto"/>
      </w:divBdr>
    </w:div>
    <w:div w:id="942763171">
      <w:bodyDiv w:val="1"/>
      <w:marLeft w:val="0"/>
      <w:marRight w:val="0"/>
      <w:marTop w:val="0"/>
      <w:marBottom w:val="0"/>
      <w:divBdr>
        <w:top w:val="none" w:sz="0" w:space="0" w:color="auto"/>
        <w:left w:val="none" w:sz="0" w:space="0" w:color="auto"/>
        <w:bottom w:val="none" w:sz="0" w:space="0" w:color="auto"/>
        <w:right w:val="none" w:sz="0" w:space="0" w:color="auto"/>
      </w:divBdr>
    </w:div>
    <w:div w:id="945430972">
      <w:bodyDiv w:val="1"/>
      <w:marLeft w:val="0"/>
      <w:marRight w:val="0"/>
      <w:marTop w:val="0"/>
      <w:marBottom w:val="0"/>
      <w:divBdr>
        <w:top w:val="none" w:sz="0" w:space="0" w:color="auto"/>
        <w:left w:val="none" w:sz="0" w:space="0" w:color="auto"/>
        <w:bottom w:val="none" w:sz="0" w:space="0" w:color="auto"/>
        <w:right w:val="none" w:sz="0" w:space="0" w:color="auto"/>
      </w:divBdr>
    </w:div>
    <w:div w:id="949699675">
      <w:bodyDiv w:val="1"/>
      <w:marLeft w:val="0"/>
      <w:marRight w:val="0"/>
      <w:marTop w:val="0"/>
      <w:marBottom w:val="0"/>
      <w:divBdr>
        <w:top w:val="none" w:sz="0" w:space="0" w:color="auto"/>
        <w:left w:val="none" w:sz="0" w:space="0" w:color="auto"/>
        <w:bottom w:val="none" w:sz="0" w:space="0" w:color="auto"/>
        <w:right w:val="none" w:sz="0" w:space="0" w:color="auto"/>
      </w:divBdr>
    </w:div>
    <w:div w:id="986785992">
      <w:bodyDiv w:val="1"/>
      <w:marLeft w:val="0"/>
      <w:marRight w:val="0"/>
      <w:marTop w:val="0"/>
      <w:marBottom w:val="0"/>
      <w:divBdr>
        <w:top w:val="none" w:sz="0" w:space="0" w:color="auto"/>
        <w:left w:val="none" w:sz="0" w:space="0" w:color="auto"/>
        <w:bottom w:val="none" w:sz="0" w:space="0" w:color="auto"/>
        <w:right w:val="none" w:sz="0" w:space="0" w:color="auto"/>
      </w:divBdr>
      <w:divsChild>
        <w:div w:id="678972112">
          <w:blockQuote w:val="1"/>
          <w:marLeft w:val="0"/>
          <w:marRight w:val="0"/>
          <w:marTop w:val="0"/>
          <w:marBottom w:val="0"/>
          <w:divBdr>
            <w:top w:val="none" w:sz="0" w:space="0" w:color="auto"/>
            <w:left w:val="none" w:sz="0" w:space="0" w:color="auto"/>
            <w:bottom w:val="none" w:sz="0" w:space="0" w:color="auto"/>
            <w:right w:val="none" w:sz="0" w:space="0" w:color="auto"/>
          </w:divBdr>
          <w:divsChild>
            <w:div w:id="20217391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89213099">
      <w:bodyDiv w:val="1"/>
      <w:marLeft w:val="0"/>
      <w:marRight w:val="0"/>
      <w:marTop w:val="0"/>
      <w:marBottom w:val="0"/>
      <w:divBdr>
        <w:top w:val="none" w:sz="0" w:space="0" w:color="auto"/>
        <w:left w:val="none" w:sz="0" w:space="0" w:color="auto"/>
        <w:bottom w:val="none" w:sz="0" w:space="0" w:color="auto"/>
        <w:right w:val="none" w:sz="0" w:space="0" w:color="auto"/>
      </w:divBdr>
    </w:div>
    <w:div w:id="994335906">
      <w:bodyDiv w:val="1"/>
      <w:marLeft w:val="0"/>
      <w:marRight w:val="0"/>
      <w:marTop w:val="0"/>
      <w:marBottom w:val="0"/>
      <w:divBdr>
        <w:top w:val="none" w:sz="0" w:space="0" w:color="auto"/>
        <w:left w:val="none" w:sz="0" w:space="0" w:color="auto"/>
        <w:bottom w:val="none" w:sz="0" w:space="0" w:color="auto"/>
        <w:right w:val="none" w:sz="0" w:space="0" w:color="auto"/>
      </w:divBdr>
    </w:div>
    <w:div w:id="1001087235">
      <w:bodyDiv w:val="1"/>
      <w:marLeft w:val="0"/>
      <w:marRight w:val="0"/>
      <w:marTop w:val="0"/>
      <w:marBottom w:val="0"/>
      <w:divBdr>
        <w:top w:val="none" w:sz="0" w:space="0" w:color="auto"/>
        <w:left w:val="none" w:sz="0" w:space="0" w:color="auto"/>
        <w:bottom w:val="none" w:sz="0" w:space="0" w:color="auto"/>
        <w:right w:val="none" w:sz="0" w:space="0" w:color="auto"/>
      </w:divBdr>
    </w:div>
    <w:div w:id="1010763105">
      <w:bodyDiv w:val="1"/>
      <w:marLeft w:val="0"/>
      <w:marRight w:val="0"/>
      <w:marTop w:val="0"/>
      <w:marBottom w:val="0"/>
      <w:divBdr>
        <w:top w:val="none" w:sz="0" w:space="0" w:color="auto"/>
        <w:left w:val="none" w:sz="0" w:space="0" w:color="auto"/>
        <w:bottom w:val="none" w:sz="0" w:space="0" w:color="auto"/>
        <w:right w:val="none" w:sz="0" w:space="0" w:color="auto"/>
      </w:divBdr>
    </w:div>
    <w:div w:id="1014964886">
      <w:bodyDiv w:val="1"/>
      <w:marLeft w:val="0"/>
      <w:marRight w:val="0"/>
      <w:marTop w:val="0"/>
      <w:marBottom w:val="0"/>
      <w:divBdr>
        <w:top w:val="none" w:sz="0" w:space="0" w:color="auto"/>
        <w:left w:val="none" w:sz="0" w:space="0" w:color="auto"/>
        <w:bottom w:val="none" w:sz="0" w:space="0" w:color="auto"/>
        <w:right w:val="none" w:sz="0" w:space="0" w:color="auto"/>
      </w:divBdr>
    </w:div>
    <w:div w:id="1029380664">
      <w:bodyDiv w:val="1"/>
      <w:marLeft w:val="0"/>
      <w:marRight w:val="0"/>
      <w:marTop w:val="0"/>
      <w:marBottom w:val="0"/>
      <w:divBdr>
        <w:top w:val="none" w:sz="0" w:space="0" w:color="auto"/>
        <w:left w:val="none" w:sz="0" w:space="0" w:color="auto"/>
        <w:bottom w:val="none" w:sz="0" w:space="0" w:color="auto"/>
        <w:right w:val="none" w:sz="0" w:space="0" w:color="auto"/>
      </w:divBdr>
    </w:div>
    <w:div w:id="1047871276">
      <w:bodyDiv w:val="1"/>
      <w:marLeft w:val="0"/>
      <w:marRight w:val="0"/>
      <w:marTop w:val="0"/>
      <w:marBottom w:val="0"/>
      <w:divBdr>
        <w:top w:val="none" w:sz="0" w:space="0" w:color="auto"/>
        <w:left w:val="none" w:sz="0" w:space="0" w:color="auto"/>
        <w:bottom w:val="none" w:sz="0" w:space="0" w:color="auto"/>
        <w:right w:val="none" w:sz="0" w:space="0" w:color="auto"/>
      </w:divBdr>
    </w:div>
    <w:div w:id="1086879811">
      <w:bodyDiv w:val="1"/>
      <w:marLeft w:val="0"/>
      <w:marRight w:val="0"/>
      <w:marTop w:val="0"/>
      <w:marBottom w:val="0"/>
      <w:divBdr>
        <w:top w:val="none" w:sz="0" w:space="0" w:color="auto"/>
        <w:left w:val="none" w:sz="0" w:space="0" w:color="auto"/>
        <w:bottom w:val="none" w:sz="0" w:space="0" w:color="auto"/>
        <w:right w:val="none" w:sz="0" w:space="0" w:color="auto"/>
      </w:divBdr>
    </w:div>
    <w:div w:id="1102919688">
      <w:bodyDiv w:val="1"/>
      <w:marLeft w:val="0"/>
      <w:marRight w:val="0"/>
      <w:marTop w:val="0"/>
      <w:marBottom w:val="0"/>
      <w:divBdr>
        <w:top w:val="none" w:sz="0" w:space="0" w:color="auto"/>
        <w:left w:val="none" w:sz="0" w:space="0" w:color="auto"/>
        <w:bottom w:val="none" w:sz="0" w:space="0" w:color="auto"/>
        <w:right w:val="none" w:sz="0" w:space="0" w:color="auto"/>
      </w:divBdr>
    </w:div>
    <w:div w:id="1115907127">
      <w:bodyDiv w:val="1"/>
      <w:marLeft w:val="0"/>
      <w:marRight w:val="0"/>
      <w:marTop w:val="0"/>
      <w:marBottom w:val="0"/>
      <w:divBdr>
        <w:top w:val="none" w:sz="0" w:space="0" w:color="auto"/>
        <w:left w:val="none" w:sz="0" w:space="0" w:color="auto"/>
        <w:bottom w:val="none" w:sz="0" w:space="0" w:color="auto"/>
        <w:right w:val="none" w:sz="0" w:space="0" w:color="auto"/>
      </w:divBdr>
    </w:div>
    <w:div w:id="1123767620">
      <w:bodyDiv w:val="1"/>
      <w:marLeft w:val="0"/>
      <w:marRight w:val="0"/>
      <w:marTop w:val="0"/>
      <w:marBottom w:val="0"/>
      <w:divBdr>
        <w:top w:val="none" w:sz="0" w:space="0" w:color="auto"/>
        <w:left w:val="none" w:sz="0" w:space="0" w:color="auto"/>
        <w:bottom w:val="none" w:sz="0" w:space="0" w:color="auto"/>
        <w:right w:val="none" w:sz="0" w:space="0" w:color="auto"/>
      </w:divBdr>
    </w:div>
    <w:div w:id="1131174033">
      <w:bodyDiv w:val="1"/>
      <w:marLeft w:val="0"/>
      <w:marRight w:val="0"/>
      <w:marTop w:val="0"/>
      <w:marBottom w:val="0"/>
      <w:divBdr>
        <w:top w:val="none" w:sz="0" w:space="0" w:color="auto"/>
        <w:left w:val="none" w:sz="0" w:space="0" w:color="auto"/>
        <w:bottom w:val="none" w:sz="0" w:space="0" w:color="auto"/>
        <w:right w:val="none" w:sz="0" w:space="0" w:color="auto"/>
      </w:divBdr>
      <w:divsChild>
        <w:div w:id="55863813">
          <w:marLeft w:val="0"/>
          <w:marRight w:val="0"/>
          <w:marTop w:val="0"/>
          <w:marBottom w:val="0"/>
          <w:divBdr>
            <w:top w:val="none" w:sz="0" w:space="0" w:color="auto"/>
            <w:left w:val="none" w:sz="0" w:space="0" w:color="auto"/>
            <w:bottom w:val="none" w:sz="0" w:space="0" w:color="auto"/>
            <w:right w:val="none" w:sz="0" w:space="0" w:color="auto"/>
          </w:divBdr>
        </w:div>
        <w:div w:id="1657175961">
          <w:marLeft w:val="0"/>
          <w:marRight w:val="0"/>
          <w:marTop w:val="0"/>
          <w:marBottom w:val="0"/>
          <w:divBdr>
            <w:top w:val="none" w:sz="0" w:space="0" w:color="auto"/>
            <w:left w:val="none" w:sz="0" w:space="0" w:color="auto"/>
            <w:bottom w:val="none" w:sz="0" w:space="0" w:color="auto"/>
            <w:right w:val="none" w:sz="0" w:space="0" w:color="auto"/>
          </w:divBdr>
        </w:div>
      </w:divsChild>
    </w:div>
    <w:div w:id="1169324151">
      <w:bodyDiv w:val="1"/>
      <w:marLeft w:val="0"/>
      <w:marRight w:val="0"/>
      <w:marTop w:val="0"/>
      <w:marBottom w:val="0"/>
      <w:divBdr>
        <w:top w:val="none" w:sz="0" w:space="0" w:color="auto"/>
        <w:left w:val="none" w:sz="0" w:space="0" w:color="auto"/>
        <w:bottom w:val="none" w:sz="0" w:space="0" w:color="auto"/>
        <w:right w:val="none" w:sz="0" w:space="0" w:color="auto"/>
      </w:divBdr>
    </w:div>
    <w:div w:id="1179925462">
      <w:bodyDiv w:val="1"/>
      <w:marLeft w:val="0"/>
      <w:marRight w:val="0"/>
      <w:marTop w:val="0"/>
      <w:marBottom w:val="0"/>
      <w:divBdr>
        <w:top w:val="none" w:sz="0" w:space="0" w:color="auto"/>
        <w:left w:val="none" w:sz="0" w:space="0" w:color="auto"/>
        <w:bottom w:val="none" w:sz="0" w:space="0" w:color="auto"/>
        <w:right w:val="none" w:sz="0" w:space="0" w:color="auto"/>
      </w:divBdr>
    </w:div>
    <w:div w:id="1194466450">
      <w:bodyDiv w:val="1"/>
      <w:marLeft w:val="0"/>
      <w:marRight w:val="0"/>
      <w:marTop w:val="0"/>
      <w:marBottom w:val="0"/>
      <w:divBdr>
        <w:top w:val="none" w:sz="0" w:space="0" w:color="auto"/>
        <w:left w:val="none" w:sz="0" w:space="0" w:color="auto"/>
        <w:bottom w:val="none" w:sz="0" w:space="0" w:color="auto"/>
        <w:right w:val="none" w:sz="0" w:space="0" w:color="auto"/>
      </w:divBdr>
    </w:div>
    <w:div w:id="1246721698">
      <w:bodyDiv w:val="1"/>
      <w:marLeft w:val="0"/>
      <w:marRight w:val="0"/>
      <w:marTop w:val="0"/>
      <w:marBottom w:val="0"/>
      <w:divBdr>
        <w:top w:val="none" w:sz="0" w:space="0" w:color="auto"/>
        <w:left w:val="none" w:sz="0" w:space="0" w:color="auto"/>
        <w:bottom w:val="none" w:sz="0" w:space="0" w:color="auto"/>
        <w:right w:val="none" w:sz="0" w:space="0" w:color="auto"/>
      </w:divBdr>
      <w:divsChild>
        <w:div w:id="1126120381">
          <w:marLeft w:val="0"/>
          <w:marRight w:val="0"/>
          <w:marTop w:val="0"/>
          <w:marBottom w:val="0"/>
          <w:divBdr>
            <w:top w:val="none" w:sz="0" w:space="0" w:color="auto"/>
            <w:left w:val="none" w:sz="0" w:space="0" w:color="auto"/>
            <w:bottom w:val="none" w:sz="0" w:space="0" w:color="auto"/>
            <w:right w:val="none" w:sz="0" w:space="0" w:color="auto"/>
          </w:divBdr>
          <w:divsChild>
            <w:div w:id="1352292837">
              <w:marLeft w:val="0"/>
              <w:marRight w:val="0"/>
              <w:marTop w:val="150"/>
              <w:marBottom w:val="0"/>
              <w:divBdr>
                <w:top w:val="none" w:sz="0" w:space="0" w:color="auto"/>
                <w:left w:val="none" w:sz="0" w:space="0" w:color="auto"/>
                <w:bottom w:val="none" w:sz="0" w:space="0" w:color="auto"/>
                <w:right w:val="none" w:sz="0" w:space="0" w:color="auto"/>
              </w:divBdr>
              <w:divsChild>
                <w:div w:id="1030107645">
                  <w:marLeft w:val="-225"/>
                  <w:marRight w:val="-225"/>
                  <w:marTop w:val="0"/>
                  <w:marBottom w:val="0"/>
                  <w:divBdr>
                    <w:top w:val="none" w:sz="0" w:space="0" w:color="auto"/>
                    <w:left w:val="none" w:sz="0" w:space="0" w:color="auto"/>
                    <w:bottom w:val="none" w:sz="0" w:space="0" w:color="auto"/>
                    <w:right w:val="none" w:sz="0" w:space="0" w:color="auto"/>
                  </w:divBdr>
                  <w:divsChild>
                    <w:div w:id="957299281">
                      <w:marLeft w:val="0"/>
                      <w:marRight w:val="0"/>
                      <w:marTop w:val="0"/>
                      <w:marBottom w:val="0"/>
                      <w:divBdr>
                        <w:top w:val="none" w:sz="0" w:space="0" w:color="auto"/>
                        <w:left w:val="none" w:sz="0" w:space="0" w:color="auto"/>
                        <w:bottom w:val="none" w:sz="0" w:space="0" w:color="auto"/>
                        <w:right w:val="none" w:sz="0" w:space="0" w:color="auto"/>
                      </w:divBdr>
                      <w:divsChild>
                        <w:div w:id="2077897880">
                          <w:marLeft w:val="-225"/>
                          <w:marRight w:val="-225"/>
                          <w:marTop w:val="0"/>
                          <w:marBottom w:val="0"/>
                          <w:divBdr>
                            <w:top w:val="none" w:sz="0" w:space="0" w:color="auto"/>
                            <w:left w:val="none" w:sz="0" w:space="0" w:color="auto"/>
                            <w:bottom w:val="none" w:sz="0" w:space="0" w:color="auto"/>
                            <w:right w:val="none" w:sz="0" w:space="0" w:color="auto"/>
                          </w:divBdr>
                          <w:divsChild>
                            <w:div w:id="1741172806">
                              <w:marLeft w:val="0"/>
                              <w:marRight w:val="0"/>
                              <w:marTop w:val="0"/>
                              <w:marBottom w:val="0"/>
                              <w:divBdr>
                                <w:top w:val="none" w:sz="0" w:space="0" w:color="auto"/>
                                <w:left w:val="none" w:sz="0" w:space="0" w:color="auto"/>
                                <w:bottom w:val="none" w:sz="0" w:space="0" w:color="auto"/>
                                <w:right w:val="none" w:sz="0" w:space="0" w:color="auto"/>
                              </w:divBdr>
                              <w:divsChild>
                                <w:div w:id="1806578611">
                                  <w:marLeft w:val="0"/>
                                  <w:marRight w:val="0"/>
                                  <w:marTop w:val="0"/>
                                  <w:marBottom w:val="0"/>
                                  <w:divBdr>
                                    <w:top w:val="none" w:sz="0" w:space="0" w:color="auto"/>
                                    <w:left w:val="none" w:sz="0" w:space="0" w:color="auto"/>
                                    <w:bottom w:val="none" w:sz="0" w:space="0" w:color="auto"/>
                                    <w:right w:val="none" w:sz="0" w:space="0" w:color="auto"/>
                                  </w:divBdr>
                                  <w:divsChild>
                                    <w:div w:id="969212874">
                                      <w:marLeft w:val="0"/>
                                      <w:marRight w:val="0"/>
                                      <w:marTop w:val="0"/>
                                      <w:marBottom w:val="0"/>
                                      <w:divBdr>
                                        <w:top w:val="none" w:sz="0" w:space="0" w:color="auto"/>
                                        <w:left w:val="none" w:sz="0" w:space="0" w:color="auto"/>
                                        <w:bottom w:val="none" w:sz="0" w:space="0" w:color="auto"/>
                                        <w:right w:val="none" w:sz="0" w:space="0" w:color="auto"/>
                                      </w:divBdr>
                                      <w:divsChild>
                                        <w:div w:id="198323545">
                                          <w:marLeft w:val="0"/>
                                          <w:marRight w:val="0"/>
                                          <w:marTop w:val="0"/>
                                          <w:marBottom w:val="0"/>
                                          <w:divBdr>
                                            <w:top w:val="none" w:sz="0" w:space="0" w:color="auto"/>
                                            <w:left w:val="none" w:sz="0" w:space="0" w:color="auto"/>
                                            <w:bottom w:val="none" w:sz="0" w:space="0" w:color="auto"/>
                                            <w:right w:val="none" w:sz="0" w:space="0" w:color="auto"/>
                                          </w:divBdr>
                                          <w:divsChild>
                                            <w:div w:id="1549101003">
                                              <w:marLeft w:val="0"/>
                                              <w:marRight w:val="0"/>
                                              <w:marTop w:val="0"/>
                                              <w:marBottom w:val="0"/>
                                              <w:divBdr>
                                                <w:top w:val="none" w:sz="0" w:space="0" w:color="auto"/>
                                                <w:left w:val="none" w:sz="0" w:space="0" w:color="auto"/>
                                                <w:bottom w:val="none" w:sz="0" w:space="0" w:color="auto"/>
                                                <w:right w:val="none" w:sz="0" w:space="0" w:color="auto"/>
                                              </w:divBdr>
                                              <w:divsChild>
                                                <w:div w:id="2043240113">
                                                  <w:marLeft w:val="0"/>
                                                  <w:marRight w:val="0"/>
                                                  <w:marTop w:val="0"/>
                                                  <w:marBottom w:val="0"/>
                                                  <w:divBdr>
                                                    <w:top w:val="none" w:sz="0" w:space="0" w:color="auto"/>
                                                    <w:left w:val="none" w:sz="0" w:space="0" w:color="auto"/>
                                                    <w:bottom w:val="none" w:sz="0" w:space="0" w:color="auto"/>
                                                    <w:right w:val="none" w:sz="0" w:space="0" w:color="auto"/>
                                                  </w:divBdr>
                                                  <w:divsChild>
                                                    <w:div w:id="1479611453">
                                                      <w:marLeft w:val="0"/>
                                                      <w:marRight w:val="0"/>
                                                      <w:marTop w:val="0"/>
                                                      <w:marBottom w:val="0"/>
                                                      <w:divBdr>
                                                        <w:top w:val="none" w:sz="0" w:space="0" w:color="auto"/>
                                                        <w:left w:val="none" w:sz="0" w:space="0" w:color="auto"/>
                                                        <w:bottom w:val="none" w:sz="0" w:space="0" w:color="auto"/>
                                                        <w:right w:val="none" w:sz="0" w:space="0" w:color="auto"/>
                                                      </w:divBdr>
                                                      <w:divsChild>
                                                        <w:div w:id="1336226378">
                                                          <w:marLeft w:val="0"/>
                                                          <w:marRight w:val="0"/>
                                                          <w:marTop w:val="0"/>
                                                          <w:marBottom w:val="0"/>
                                                          <w:divBdr>
                                                            <w:top w:val="none" w:sz="0" w:space="0" w:color="auto"/>
                                                            <w:left w:val="none" w:sz="0" w:space="0" w:color="auto"/>
                                                            <w:bottom w:val="none" w:sz="0" w:space="0" w:color="auto"/>
                                                            <w:right w:val="none" w:sz="0" w:space="0" w:color="auto"/>
                                                          </w:divBdr>
                                                          <w:divsChild>
                                                            <w:div w:id="251857689">
                                                              <w:marLeft w:val="0"/>
                                                              <w:marRight w:val="0"/>
                                                              <w:marTop w:val="0"/>
                                                              <w:marBottom w:val="0"/>
                                                              <w:divBdr>
                                                                <w:top w:val="none" w:sz="0" w:space="0" w:color="auto"/>
                                                                <w:left w:val="none" w:sz="0" w:space="0" w:color="auto"/>
                                                                <w:bottom w:val="none" w:sz="0" w:space="0" w:color="auto"/>
                                                                <w:right w:val="none" w:sz="0" w:space="0" w:color="auto"/>
                                                              </w:divBdr>
                                                              <w:divsChild>
                                                                <w:div w:id="1059982741">
                                                                  <w:marLeft w:val="0"/>
                                                                  <w:marRight w:val="0"/>
                                                                  <w:marTop w:val="0"/>
                                                                  <w:marBottom w:val="0"/>
                                                                  <w:divBdr>
                                                                    <w:top w:val="none" w:sz="0" w:space="0" w:color="auto"/>
                                                                    <w:left w:val="none" w:sz="0" w:space="0" w:color="auto"/>
                                                                    <w:bottom w:val="none" w:sz="0" w:space="0" w:color="auto"/>
                                                                    <w:right w:val="none" w:sz="0" w:space="0" w:color="auto"/>
                                                                  </w:divBdr>
                                                                  <w:divsChild>
                                                                    <w:div w:id="1109661726">
                                                                      <w:marLeft w:val="0"/>
                                                                      <w:marRight w:val="0"/>
                                                                      <w:marTop w:val="0"/>
                                                                      <w:marBottom w:val="0"/>
                                                                      <w:divBdr>
                                                                        <w:top w:val="none" w:sz="0" w:space="0" w:color="auto"/>
                                                                        <w:left w:val="none" w:sz="0" w:space="0" w:color="auto"/>
                                                                        <w:bottom w:val="none" w:sz="0" w:space="0" w:color="auto"/>
                                                                        <w:right w:val="none" w:sz="0" w:space="0" w:color="auto"/>
                                                                      </w:divBdr>
                                                                      <w:divsChild>
                                                                        <w:div w:id="2103842422">
                                                                          <w:marLeft w:val="0"/>
                                                                          <w:marRight w:val="0"/>
                                                                          <w:marTop w:val="0"/>
                                                                          <w:marBottom w:val="0"/>
                                                                          <w:divBdr>
                                                                            <w:top w:val="none" w:sz="0" w:space="0" w:color="auto"/>
                                                                            <w:left w:val="none" w:sz="0" w:space="0" w:color="auto"/>
                                                                            <w:bottom w:val="none" w:sz="0" w:space="0" w:color="auto"/>
                                                                            <w:right w:val="none" w:sz="0" w:space="0" w:color="auto"/>
                                                                          </w:divBdr>
                                                                          <w:divsChild>
                                                                            <w:div w:id="932981903">
                                                                              <w:marLeft w:val="0"/>
                                                                              <w:marRight w:val="0"/>
                                                                              <w:marTop w:val="0"/>
                                                                              <w:marBottom w:val="0"/>
                                                                              <w:divBdr>
                                                                                <w:top w:val="none" w:sz="0" w:space="0" w:color="auto"/>
                                                                                <w:left w:val="none" w:sz="0" w:space="0" w:color="auto"/>
                                                                                <w:bottom w:val="none" w:sz="0" w:space="0" w:color="auto"/>
                                                                                <w:right w:val="none" w:sz="0" w:space="0" w:color="auto"/>
                                                                              </w:divBdr>
                                                                              <w:divsChild>
                                                                                <w:div w:id="782917193">
                                                                                  <w:marLeft w:val="0"/>
                                                                                  <w:marRight w:val="0"/>
                                                                                  <w:marTop w:val="0"/>
                                                                                  <w:marBottom w:val="0"/>
                                                                                  <w:divBdr>
                                                                                    <w:top w:val="none" w:sz="0" w:space="0" w:color="auto"/>
                                                                                    <w:left w:val="none" w:sz="0" w:space="0" w:color="auto"/>
                                                                                    <w:bottom w:val="none" w:sz="0" w:space="0" w:color="auto"/>
                                                                                    <w:right w:val="none" w:sz="0" w:space="0" w:color="auto"/>
                                                                                  </w:divBdr>
                                                                                  <w:divsChild>
                                                                                    <w:div w:id="144927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232890">
      <w:bodyDiv w:val="1"/>
      <w:marLeft w:val="0"/>
      <w:marRight w:val="0"/>
      <w:marTop w:val="0"/>
      <w:marBottom w:val="0"/>
      <w:divBdr>
        <w:top w:val="none" w:sz="0" w:space="0" w:color="auto"/>
        <w:left w:val="none" w:sz="0" w:space="0" w:color="auto"/>
        <w:bottom w:val="none" w:sz="0" w:space="0" w:color="auto"/>
        <w:right w:val="none" w:sz="0" w:space="0" w:color="auto"/>
      </w:divBdr>
    </w:div>
    <w:div w:id="1259406917">
      <w:bodyDiv w:val="1"/>
      <w:marLeft w:val="0"/>
      <w:marRight w:val="0"/>
      <w:marTop w:val="0"/>
      <w:marBottom w:val="0"/>
      <w:divBdr>
        <w:top w:val="none" w:sz="0" w:space="0" w:color="auto"/>
        <w:left w:val="none" w:sz="0" w:space="0" w:color="auto"/>
        <w:bottom w:val="none" w:sz="0" w:space="0" w:color="auto"/>
        <w:right w:val="none" w:sz="0" w:space="0" w:color="auto"/>
      </w:divBdr>
    </w:div>
    <w:div w:id="1259483845">
      <w:bodyDiv w:val="1"/>
      <w:marLeft w:val="0"/>
      <w:marRight w:val="0"/>
      <w:marTop w:val="0"/>
      <w:marBottom w:val="0"/>
      <w:divBdr>
        <w:top w:val="none" w:sz="0" w:space="0" w:color="auto"/>
        <w:left w:val="none" w:sz="0" w:space="0" w:color="auto"/>
        <w:bottom w:val="none" w:sz="0" w:space="0" w:color="auto"/>
        <w:right w:val="none" w:sz="0" w:space="0" w:color="auto"/>
      </w:divBdr>
    </w:div>
    <w:div w:id="1261452746">
      <w:bodyDiv w:val="1"/>
      <w:marLeft w:val="0"/>
      <w:marRight w:val="0"/>
      <w:marTop w:val="0"/>
      <w:marBottom w:val="0"/>
      <w:divBdr>
        <w:top w:val="none" w:sz="0" w:space="0" w:color="auto"/>
        <w:left w:val="none" w:sz="0" w:space="0" w:color="auto"/>
        <w:bottom w:val="none" w:sz="0" w:space="0" w:color="auto"/>
        <w:right w:val="none" w:sz="0" w:space="0" w:color="auto"/>
      </w:divBdr>
    </w:div>
    <w:div w:id="1269240913">
      <w:bodyDiv w:val="1"/>
      <w:marLeft w:val="0"/>
      <w:marRight w:val="0"/>
      <w:marTop w:val="0"/>
      <w:marBottom w:val="0"/>
      <w:divBdr>
        <w:top w:val="none" w:sz="0" w:space="0" w:color="auto"/>
        <w:left w:val="none" w:sz="0" w:space="0" w:color="auto"/>
        <w:bottom w:val="none" w:sz="0" w:space="0" w:color="auto"/>
        <w:right w:val="none" w:sz="0" w:space="0" w:color="auto"/>
      </w:divBdr>
    </w:div>
    <w:div w:id="1271742466">
      <w:bodyDiv w:val="1"/>
      <w:marLeft w:val="0"/>
      <w:marRight w:val="0"/>
      <w:marTop w:val="0"/>
      <w:marBottom w:val="0"/>
      <w:divBdr>
        <w:top w:val="none" w:sz="0" w:space="0" w:color="auto"/>
        <w:left w:val="none" w:sz="0" w:space="0" w:color="auto"/>
        <w:bottom w:val="none" w:sz="0" w:space="0" w:color="auto"/>
        <w:right w:val="none" w:sz="0" w:space="0" w:color="auto"/>
      </w:divBdr>
    </w:div>
    <w:div w:id="1287660576">
      <w:bodyDiv w:val="1"/>
      <w:marLeft w:val="0"/>
      <w:marRight w:val="0"/>
      <w:marTop w:val="0"/>
      <w:marBottom w:val="0"/>
      <w:divBdr>
        <w:top w:val="none" w:sz="0" w:space="0" w:color="auto"/>
        <w:left w:val="none" w:sz="0" w:space="0" w:color="auto"/>
        <w:bottom w:val="none" w:sz="0" w:space="0" w:color="auto"/>
        <w:right w:val="none" w:sz="0" w:space="0" w:color="auto"/>
      </w:divBdr>
    </w:div>
    <w:div w:id="1288664444">
      <w:bodyDiv w:val="1"/>
      <w:marLeft w:val="0"/>
      <w:marRight w:val="0"/>
      <w:marTop w:val="0"/>
      <w:marBottom w:val="0"/>
      <w:divBdr>
        <w:top w:val="none" w:sz="0" w:space="0" w:color="auto"/>
        <w:left w:val="none" w:sz="0" w:space="0" w:color="auto"/>
        <w:bottom w:val="none" w:sz="0" w:space="0" w:color="auto"/>
        <w:right w:val="none" w:sz="0" w:space="0" w:color="auto"/>
      </w:divBdr>
    </w:div>
    <w:div w:id="1307510025">
      <w:bodyDiv w:val="1"/>
      <w:marLeft w:val="0"/>
      <w:marRight w:val="0"/>
      <w:marTop w:val="0"/>
      <w:marBottom w:val="0"/>
      <w:divBdr>
        <w:top w:val="none" w:sz="0" w:space="0" w:color="auto"/>
        <w:left w:val="none" w:sz="0" w:space="0" w:color="auto"/>
        <w:bottom w:val="none" w:sz="0" w:space="0" w:color="auto"/>
        <w:right w:val="none" w:sz="0" w:space="0" w:color="auto"/>
      </w:divBdr>
    </w:div>
    <w:div w:id="1316059750">
      <w:bodyDiv w:val="1"/>
      <w:marLeft w:val="0"/>
      <w:marRight w:val="0"/>
      <w:marTop w:val="0"/>
      <w:marBottom w:val="0"/>
      <w:divBdr>
        <w:top w:val="none" w:sz="0" w:space="0" w:color="auto"/>
        <w:left w:val="none" w:sz="0" w:space="0" w:color="auto"/>
        <w:bottom w:val="none" w:sz="0" w:space="0" w:color="auto"/>
        <w:right w:val="none" w:sz="0" w:space="0" w:color="auto"/>
      </w:divBdr>
    </w:div>
    <w:div w:id="1331517735">
      <w:bodyDiv w:val="1"/>
      <w:marLeft w:val="0"/>
      <w:marRight w:val="0"/>
      <w:marTop w:val="0"/>
      <w:marBottom w:val="0"/>
      <w:divBdr>
        <w:top w:val="none" w:sz="0" w:space="0" w:color="auto"/>
        <w:left w:val="none" w:sz="0" w:space="0" w:color="auto"/>
        <w:bottom w:val="none" w:sz="0" w:space="0" w:color="auto"/>
        <w:right w:val="none" w:sz="0" w:space="0" w:color="auto"/>
      </w:divBdr>
    </w:div>
    <w:div w:id="1331760159">
      <w:bodyDiv w:val="1"/>
      <w:marLeft w:val="0"/>
      <w:marRight w:val="0"/>
      <w:marTop w:val="0"/>
      <w:marBottom w:val="0"/>
      <w:divBdr>
        <w:top w:val="none" w:sz="0" w:space="0" w:color="auto"/>
        <w:left w:val="none" w:sz="0" w:space="0" w:color="auto"/>
        <w:bottom w:val="none" w:sz="0" w:space="0" w:color="auto"/>
        <w:right w:val="none" w:sz="0" w:space="0" w:color="auto"/>
      </w:divBdr>
    </w:div>
    <w:div w:id="1339847313">
      <w:bodyDiv w:val="1"/>
      <w:marLeft w:val="0"/>
      <w:marRight w:val="0"/>
      <w:marTop w:val="0"/>
      <w:marBottom w:val="0"/>
      <w:divBdr>
        <w:top w:val="none" w:sz="0" w:space="0" w:color="auto"/>
        <w:left w:val="none" w:sz="0" w:space="0" w:color="auto"/>
        <w:bottom w:val="none" w:sz="0" w:space="0" w:color="auto"/>
        <w:right w:val="none" w:sz="0" w:space="0" w:color="auto"/>
      </w:divBdr>
    </w:div>
    <w:div w:id="1353385050">
      <w:bodyDiv w:val="1"/>
      <w:marLeft w:val="0"/>
      <w:marRight w:val="0"/>
      <w:marTop w:val="0"/>
      <w:marBottom w:val="0"/>
      <w:divBdr>
        <w:top w:val="none" w:sz="0" w:space="0" w:color="auto"/>
        <w:left w:val="none" w:sz="0" w:space="0" w:color="auto"/>
        <w:bottom w:val="none" w:sz="0" w:space="0" w:color="auto"/>
        <w:right w:val="none" w:sz="0" w:space="0" w:color="auto"/>
      </w:divBdr>
    </w:div>
    <w:div w:id="1357466432">
      <w:bodyDiv w:val="1"/>
      <w:marLeft w:val="0"/>
      <w:marRight w:val="0"/>
      <w:marTop w:val="0"/>
      <w:marBottom w:val="0"/>
      <w:divBdr>
        <w:top w:val="none" w:sz="0" w:space="0" w:color="auto"/>
        <w:left w:val="none" w:sz="0" w:space="0" w:color="auto"/>
        <w:bottom w:val="none" w:sz="0" w:space="0" w:color="auto"/>
        <w:right w:val="none" w:sz="0" w:space="0" w:color="auto"/>
      </w:divBdr>
    </w:div>
    <w:div w:id="1357845743">
      <w:bodyDiv w:val="1"/>
      <w:marLeft w:val="0"/>
      <w:marRight w:val="0"/>
      <w:marTop w:val="0"/>
      <w:marBottom w:val="0"/>
      <w:divBdr>
        <w:top w:val="none" w:sz="0" w:space="0" w:color="auto"/>
        <w:left w:val="none" w:sz="0" w:space="0" w:color="auto"/>
        <w:bottom w:val="none" w:sz="0" w:space="0" w:color="auto"/>
        <w:right w:val="none" w:sz="0" w:space="0" w:color="auto"/>
      </w:divBdr>
    </w:div>
    <w:div w:id="1367607827">
      <w:bodyDiv w:val="1"/>
      <w:marLeft w:val="0"/>
      <w:marRight w:val="0"/>
      <w:marTop w:val="0"/>
      <w:marBottom w:val="0"/>
      <w:divBdr>
        <w:top w:val="none" w:sz="0" w:space="0" w:color="auto"/>
        <w:left w:val="none" w:sz="0" w:space="0" w:color="auto"/>
        <w:bottom w:val="none" w:sz="0" w:space="0" w:color="auto"/>
        <w:right w:val="none" w:sz="0" w:space="0" w:color="auto"/>
      </w:divBdr>
    </w:div>
    <w:div w:id="1368288418">
      <w:bodyDiv w:val="1"/>
      <w:marLeft w:val="0"/>
      <w:marRight w:val="0"/>
      <w:marTop w:val="0"/>
      <w:marBottom w:val="0"/>
      <w:divBdr>
        <w:top w:val="none" w:sz="0" w:space="0" w:color="auto"/>
        <w:left w:val="none" w:sz="0" w:space="0" w:color="auto"/>
        <w:bottom w:val="none" w:sz="0" w:space="0" w:color="auto"/>
        <w:right w:val="none" w:sz="0" w:space="0" w:color="auto"/>
      </w:divBdr>
    </w:div>
    <w:div w:id="1376274795">
      <w:bodyDiv w:val="1"/>
      <w:marLeft w:val="0"/>
      <w:marRight w:val="0"/>
      <w:marTop w:val="0"/>
      <w:marBottom w:val="0"/>
      <w:divBdr>
        <w:top w:val="none" w:sz="0" w:space="0" w:color="auto"/>
        <w:left w:val="none" w:sz="0" w:space="0" w:color="auto"/>
        <w:bottom w:val="none" w:sz="0" w:space="0" w:color="auto"/>
        <w:right w:val="none" w:sz="0" w:space="0" w:color="auto"/>
      </w:divBdr>
    </w:div>
    <w:div w:id="1394961087">
      <w:bodyDiv w:val="1"/>
      <w:marLeft w:val="0"/>
      <w:marRight w:val="0"/>
      <w:marTop w:val="0"/>
      <w:marBottom w:val="0"/>
      <w:divBdr>
        <w:top w:val="none" w:sz="0" w:space="0" w:color="auto"/>
        <w:left w:val="none" w:sz="0" w:space="0" w:color="auto"/>
        <w:bottom w:val="none" w:sz="0" w:space="0" w:color="auto"/>
        <w:right w:val="none" w:sz="0" w:space="0" w:color="auto"/>
      </w:divBdr>
    </w:div>
    <w:div w:id="1402174591">
      <w:bodyDiv w:val="1"/>
      <w:marLeft w:val="0"/>
      <w:marRight w:val="0"/>
      <w:marTop w:val="0"/>
      <w:marBottom w:val="0"/>
      <w:divBdr>
        <w:top w:val="none" w:sz="0" w:space="0" w:color="auto"/>
        <w:left w:val="none" w:sz="0" w:space="0" w:color="auto"/>
        <w:bottom w:val="none" w:sz="0" w:space="0" w:color="auto"/>
        <w:right w:val="none" w:sz="0" w:space="0" w:color="auto"/>
      </w:divBdr>
    </w:div>
    <w:div w:id="1418214082">
      <w:bodyDiv w:val="1"/>
      <w:marLeft w:val="0"/>
      <w:marRight w:val="0"/>
      <w:marTop w:val="0"/>
      <w:marBottom w:val="0"/>
      <w:divBdr>
        <w:top w:val="none" w:sz="0" w:space="0" w:color="auto"/>
        <w:left w:val="none" w:sz="0" w:space="0" w:color="auto"/>
        <w:bottom w:val="none" w:sz="0" w:space="0" w:color="auto"/>
        <w:right w:val="none" w:sz="0" w:space="0" w:color="auto"/>
      </w:divBdr>
    </w:div>
    <w:div w:id="1428693519">
      <w:bodyDiv w:val="1"/>
      <w:marLeft w:val="0"/>
      <w:marRight w:val="0"/>
      <w:marTop w:val="0"/>
      <w:marBottom w:val="0"/>
      <w:divBdr>
        <w:top w:val="none" w:sz="0" w:space="0" w:color="auto"/>
        <w:left w:val="none" w:sz="0" w:space="0" w:color="auto"/>
        <w:bottom w:val="none" w:sz="0" w:space="0" w:color="auto"/>
        <w:right w:val="none" w:sz="0" w:space="0" w:color="auto"/>
      </w:divBdr>
    </w:div>
    <w:div w:id="1433624444">
      <w:bodyDiv w:val="1"/>
      <w:marLeft w:val="0"/>
      <w:marRight w:val="0"/>
      <w:marTop w:val="0"/>
      <w:marBottom w:val="0"/>
      <w:divBdr>
        <w:top w:val="none" w:sz="0" w:space="0" w:color="auto"/>
        <w:left w:val="none" w:sz="0" w:space="0" w:color="auto"/>
        <w:bottom w:val="none" w:sz="0" w:space="0" w:color="auto"/>
        <w:right w:val="none" w:sz="0" w:space="0" w:color="auto"/>
      </w:divBdr>
    </w:div>
    <w:div w:id="1454054350">
      <w:bodyDiv w:val="1"/>
      <w:marLeft w:val="0"/>
      <w:marRight w:val="0"/>
      <w:marTop w:val="0"/>
      <w:marBottom w:val="0"/>
      <w:divBdr>
        <w:top w:val="none" w:sz="0" w:space="0" w:color="auto"/>
        <w:left w:val="none" w:sz="0" w:space="0" w:color="auto"/>
        <w:bottom w:val="none" w:sz="0" w:space="0" w:color="auto"/>
        <w:right w:val="none" w:sz="0" w:space="0" w:color="auto"/>
      </w:divBdr>
    </w:div>
    <w:div w:id="1469588636">
      <w:bodyDiv w:val="1"/>
      <w:marLeft w:val="0"/>
      <w:marRight w:val="0"/>
      <w:marTop w:val="0"/>
      <w:marBottom w:val="0"/>
      <w:divBdr>
        <w:top w:val="none" w:sz="0" w:space="0" w:color="auto"/>
        <w:left w:val="none" w:sz="0" w:space="0" w:color="auto"/>
        <w:bottom w:val="none" w:sz="0" w:space="0" w:color="auto"/>
        <w:right w:val="none" w:sz="0" w:space="0" w:color="auto"/>
      </w:divBdr>
    </w:div>
    <w:div w:id="1498351389">
      <w:bodyDiv w:val="1"/>
      <w:marLeft w:val="0"/>
      <w:marRight w:val="0"/>
      <w:marTop w:val="0"/>
      <w:marBottom w:val="0"/>
      <w:divBdr>
        <w:top w:val="none" w:sz="0" w:space="0" w:color="auto"/>
        <w:left w:val="none" w:sz="0" w:space="0" w:color="auto"/>
        <w:bottom w:val="none" w:sz="0" w:space="0" w:color="auto"/>
        <w:right w:val="none" w:sz="0" w:space="0" w:color="auto"/>
      </w:divBdr>
    </w:div>
    <w:div w:id="1505700882">
      <w:bodyDiv w:val="1"/>
      <w:marLeft w:val="0"/>
      <w:marRight w:val="0"/>
      <w:marTop w:val="0"/>
      <w:marBottom w:val="0"/>
      <w:divBdr>
        <w:top w:val="none" w:sz="0" w:space="0" w:color="auto"/>
        <w:left w:val="none" w:sz="0" w:space="0" w:color="auto"/>
        <w:bottom w:val="none" w:sz="0" w:space="0" w:color="auto"/>
        <w:right w:val="none" w:sz="0" w:space="0" w:color="auto"/>
      </w:divBdr>
    </w:div>
    <w:div w:id="1512136359">
      <w:bodyDiv w:val="1"/>
      <w:marLeft w:val="0"/>
      <w:marRight w:val="0"/>
      <w:marTop w:val="0"/>
      <w:marBottom w:val="0"/>
      <w:divBdr>
        <w:top w:val="none" w:sz="0" w:space="0" w:color="auto"/>
        <w:left w:val="none" w:sz="0" w:space="0" w:color="auto"/>
        <w:bottom w:val="none" w:sz="0" w:space="0" w:color="auto"/>
        <w:right w:val="none" w:sz="0" w:space="0" w:color="auto"/>
      </w:divBdr>
    </w:div>
    <w:div w:id="1520267814">
      <w:bodyDiv w:val="1"/>
      <w:marLeft w:val="0"/>
      <w:marRight w:val="0"/>
      <w:marTop w:val="0"/>
      <w:marBottom w:val="0"/>
      <w:divBdr>
        <w:top w:val="none" w:sz="0" w:space="0" w:color="auto"/>
        <w:left w:val="none" w:sz="0" w:space="0" w:color="auto"/>
        <w:bottom w:val="none" w:sz="0" w:space="0" w:color="auto"/>
        <w:right w:val="none" w:sz="0" w:space="0" w:color="auto"/>
      </w:divBdr>
    </w:div>
    <w:div w:id="1530530401">
      <w:bodyDiv w:val="1"/>
      <w:marLeft w:val="0"/>
      <w:marRight w:val="0"/>
      <w:marTop w:val="0"/>
      <w:marBottom w:val="0"/>
      <w:divBdr>
        <w:top w:val="none" w:sz="0" w:space="0" w:color="auto"/>
        <w:left w:val="none" w:sz="0" w:space="0" w:color="auto"/>
        <w:bottom w:val="none" w:sz="0" w:space="0" w:color="auto"/>
        <w:right w:val="none" w:sz="0" w:space="0" w:color="auto"/>
      </w:divBdr>
    </w:div>
    <w:div w:id="1535926676">
      <w:bodyDiv w:val="1"/>
      <w:marLeft w:val="0"/>
      <w:marRight w:val="0"/>
      <w:marTop w:val="0"/>
      <w:marBottom w:val="0"/>
      <w:divBdr>
        <w:top w:val="none" w:sz="0" w:space="0" w:color="auto"/>
        <w:left w:val="none" w:sz="0" w:space="0" w:color="auto"/>
        <w:bottom w:val="none" w:sz="0" w:space="0" w:color="auto"/>
        <w:right w:val="none" w:sz="0" w:space="0" w:color="auto"/>
      </w:divBdr>
    </w:div>
    <w:div w:id="1548178286">
      <w:bodyDiv w:val="1"/>
      <w:marLeft w:val="0"/>
      <w:marRight w:val="0"/>
      <w:marTop w:val="0"/>
      <w:marBottom w:val="0"/>
      <w:divBdr>
        <w:top w:val="none" w:sz="0" w:space="0" w:color="auto"/>
        <w:left w:val="none" w:sz="0" w:space="0" w:color="auto"/>
        <w:bottom w:val="none" w:sz="0" w:space="0" w:color="auto"/>
        <w:right w:val="none" w:sz="0" w:space="0" w:color="auto"/>
      </w:divBdr>
      <w:divsChild>
        <w:div w:id="114519907">
          <w:marLeft w:val="0"/>
          <w:marRight w:val="0"/>
          <w:marTop w:val="0"/>
          <w:marBottom w:val="0"/>
          <w:divBdr>
            <w:top w:val="none" w:sz="0" w:space="0" w:color="auto"/>
            <w:left w:val="none" w:sz="0" w:space="0" w:color="auto"/>
            <w:bottom w:val="none" w:sz="0" w:space="0" w:color="auto"/>
            <w:right w:val="none" w:sz="0" w:space="0" w:color="auto"/>
          </w:divBdr>
        </w:div>
        <w:div w:id="626858195">
          <w:marLeft w:val="0"/>
          <w:marRight w:val="0"/>
          <w:marTop w:val="0"/>
          <w:marBottom w:val="0"/>
          <w:divBdr>
            <w:top w:val="none" w:sz="0" w:space="0" w:color="auto"/>
            <w:left w:val="none" w:sz="0" w:space="0" w:color="auto"/>
            <w:bottom w:val="none" w:sz="0" w:space="0" w:color="auto"/>
            <w:right w:val="none" w:sz="0" w:space="0" w:color="auto"/>
          </w:divBdr>
        </w:div>
        <w:div w:id="1102459356">
          <w:marLeft w:val="0"/>
          <w:marRight w:val="0"/>
          <w:marTop w:val="0"/>
          <w:marBottom w:val="0"/>
          <w:divBdr>
            <w:top w:val="none" w:sz="0" w:space="0" w:color="auto"/>
            <w:left w:val="none" w:sz="0" w:space="0" w:color="auto"/>
            <w:bottom w:val="none" w:sz="0" w:space="0" w:color="auto"/>
            <w:right w:val="none" w:sz="0" w:space="0" w:color="auto"/>
          </w:divBdr>
        </w:div>
      </w:divsChild>
    </w:div>
    <w:div w:id="1549030903">
      <w:bodyDiv w:val="1"/>
      <w:marLeft w:val="0"/>
      <w:marRight w:val="0"/>
      <w:marTop w:val="0"/>
      <w:marBottom w:val="0"/>
      <w:divBdr>
        <w:top w:val="none" w:sz="0" w:space="0" w:color="auto"/>
        <w:left w:val="none" w:sz="0" w:space="0" w:color="auto"/>
        <w:bottom w:val="none" w:sz="0" w:space="0" w:color="auto"/>
        <w:right w:val="none" w:sz="0" w:space="0" w:color="auto"/>
      </w:divBdr>
    </w:div>
    <w:div w:id="1557399060">
      <w:bodyDiv w:val="1"/>
      <w:marLeft w:val="0"/>
      <w:marRight w:val="0"/>
      <w:marTop w:val="0"/>
      <w:marBottom w:val="0"/>
      <w:divBdr>
        <w:top w:val="none" w:sz="0" w:space="0" w:color="auto"/>
        <w:left w:val="none" w:sz="0" w:space="0" w:color="auto"/>
        <w:bottom w:val="none" w:sz="0" w:space="0" w:color="auto"/>
        <w:right w:val="none" w:sz="0" w:space="0" w:color="auto"/>
      </w:divBdr>
    </w:div>
    <w:div w:id="1560285420">
      <w:bodyDiv w:val="1"/>
      <w:marLeft w:val="0"/>
      <w:marRight w:val="0"/>
      <w:marTop w:val="0"/>
      <w:marBottom w:val="0"/>
      <w:divBdr>
        <w:top w:val="none" w:sz="0" w:space="0" w:color="auto"/>
        <w:left w:val="none" w:sz="0" w:space="0" w:color="auto"/>
        <w:bottom w:val="none" w:sz="0" w:space="0" w:color="auto"/>
        <w:right w:val="none" w:sz="0" w:space="0" w:color="auto"/>
      </w:divBdr>
    </w:div>
    <w:div w:id="1575820163">
      <w:bodyDiv w:val="1"/>
      <w:marLeft w:val="0"/>
      <w:marRight w:val="0"/>
      <w:marTop w:val="0"/>
      <w:marBottom w:val="0"/>
      <w:divBdr>
        <w:top w:val="none" w:sz="0" w:space="0" w:color="auto"/>
        <w:left w:val="none" w:sz="0" w:space="0" w:color="auto"/>
        <w:bottom w:val="none" w:sz="0" w:space="0" w:color="auto"/>
        <w:right w:val="none" w:sz="0" w:space="0" w:color="auto"/>
      </w:divBdr>
    </w:div>
    <w:div w:id="1579361862">
      <w:bodyDiv w:val="1"/>
      <w:marLeft w:val="0"/>
      <w:marRight w:val="0"/>
      <w:marTop w:val="0"/>
      <w:marBottom w:val="0"/>
      <w:divBdr>
        <w:top w:val="none" w:sz="0" w:space="0" w:color="auto"/>
        <w:left w:val="none" w:sz="0" w:space="0" w:color="auto"/>
        <w:bottom w:val="none" w:sz="0" w:space="0" w:color="auto"/>
        <w:right w:val="none" w:sz="0" w:space="0" w:color="auto"/>
      </w:divBdr>
    </w:div>
    <w:div w:id="1581478963">
      <w:bodyDiv w:val="1"/>
      <w:marLeft w:val="0"/>
      <w:marRight w:val="0"/>
      <w:marTop w:val="0"/>
      <w:marBottom w:val="0"/>
      <w:divBdr>
        <w:top w:val="none" w:sz="0" w:space="0" w:color="auto"/>
        <w:left w:val="none" w:sz="0" w:space="0" w:color="auto"/>
        <w:bottom w:val="none" w:sz="0" w:space="0" w:color="auto"/>
        <w:right w:val="none" w:sz="0" w:space="0" w:color="auto"/>
      </w:divBdr>
    </w:div>
    <w:div w:id="1590918609">
      <w:bodyDiv w:val="1"/>
      <w:marLeft w:val="0"/>
      <w:marRight w:val="0"/>
      <w:marTop w:val="0"/>
      <w:marBottom w:val="0"/>
      <w:divBdr>
        <w:top w:val="none" w:sz="0" w:space="0" w:color="auto"/>
        <w:left w:val="none" w:sz="0" w:space="0" w:color="auto"/>
        <w:bottom w:val="none" w:sz="0" w:space="0" w:color="auto"/>
        <w:right w:val="none" w:sz="0" w:space="0" w:color="auto"/>
      </w:divBdr>
    </w:div>
    <w:div w:id="1591622068">
      <w:bodyDiv w:val="1"/>
      <w:marLeft w:val="0"/>
      <w:marRight w:val="0"/>
      <w:marTop w:val="0"/>
      <w:marBottom w:val="0"/>
      <w:divBdr>
        <w:top w:val="none" w:sz="0" w:space="0" w:color="auto"/>
        <w:left w:val="none" w:sz="0" w:space="0" w:color="auto"/>
        <w:bottom w:val="none" w:sz="0" w:space="0" w:color="auto"/>
        <w:right w:val="none" w:sz="0" w:space="0" w:color="auto"/>
      </w:divBdr>
    </w:div>
    <w:div w:id="1612711689">
      <w:bodyDiv w:val="1"/>
      <w:marLeft w:val="0"/>
      <w:marRight w:val="0"/>
      <w:marTop w:val="0"/>
      <w:marBottom w:val="0"/>
      <w:divBdr>
        <w:top w:val="none" w:sz="0" w:space="0" w:color="auto"/>
        <w:left w:val="none" w:sz="0" w:space="0" w:color="auto"/>
        <w:bottom w:val="none" w:sz="0" w:space="0" w:color="auto"/>
        <w:right w:val="none" w:sz="0" w:space="0" w:color="auto"/>
      </w:divBdr>
    </w:div>
    <w:div w:id="1642535064">
      <w:bodyDiv w:val="1"/>
      <w:marLeft w:val="0"/>
      <w:marRight w:val="0"/>
      <w:marTop w:val="0"/>
      <w:marBottom w:val="0"/>
      <w:divBdr>
        <w:top w:val="none" w:sz="0" w:space="0" w:color="auto"/>
        <w:left w:val="none" w:sz="0" w:space="0" w:color="auto"/>
        <w:bottom w:val="none" w:sz="0" w:space="0" w:color="auto"/>
        <w:right w:val="none" w:sz="0" w:space="0" w:color="auto"/>
      </w:divBdr>
    </w:div>
    <w:div w:id="1648122164">
      <w:bodyDiv w:val="1"/>
      <w:marLeft w:val="0"/>
      <w:marRight w:val="0"/>
      <w:marTop w:val="0"/>
      <w:marBottom w:val="0"/>
      <w:divBdr>
        <w:top w:val="none" w:sz="0" w:space="0" w:color="auto"/>
        <w:left w:val="none" w:sz="0" w:space="0" w:color="auto"/>
        <w:bottom w:val="none" w:sz="0" w:space="0" w:color="auto"/>
        <w:right w:val="none" w:sz="0" w:space="0" w:color="auto"/>
      </w:divBdr>
    </w:div>
    <w:div w:id="1655601921">
      <w:bodyDiv w:val="1"/>
      <w:marLeft w:val="0"/>
      <w:marRight w:val="0"/>
      <w:marTop w:val="0"/>
      <w:marBottom w:val="0"/>
      <w:divBdr>
        <w:top w:val="none" w:sz="0" w:space="0" w:color="auto"/>
        <w:left w:val="none" w:sz="0" w:space="0" w:color="auto"/>
        <w:bottom w:val="none" w:sz="0" w:space="0" w:color="auto"/>
        <w:right w:val="none" w:sz="0" w:space="0" w:color="auto"/>
      </w:divBdr>
    </w:div>
    <w:div w:id="1707949173">
      <w:bodyDiv w:val="1"/>
      <w:marLeft w:val="0"/>
      <w:marRight w:val="0"/>
      <w:marTop w:val="0"/>
      <w:marBottom w:val="0"/>
      <w:divBdr>
        <w:top w:val="none" w:sz="0" w:space="0" w:color="auto"/>
        <w:left w:val="none" w:sz="0" w:space="0" w:color="auto"/>
        <w:bottom w:val="none" w:sz="0" w:space="0" w:color="auto"/>
        <w:right w:val="none" w:sz="0" w:space="0" w:color="auto"/>
      </w:divBdr>
      <w:divsChild>
        <w:div w:id="1935704007">
          <w:marLeft w:val="0"/>
          <w:marRight w:val="0"/>
          <w:marTop w:val="0"/>
          <w:marBottom w:val="0"/>
          <w:divBdr>
            <w:top w:val="none" w:sz="0" w:space="0" w:color="auto"/>
            <w:left w:val="none" w:sz="0" w:space="0" w:color="auto"/>
            <w:bottom w:val="none" w:sz="0" w:space="0" w:color="auto"/>
            <w:right w:val="none" w:sz="0" w:space="0" w:color="auto"/>
          </w:divBdr>
        </w:div>
        <w:div w:id="572738174">
          <w:marLeft w:val="0"/>
          <w:marRight w:val="0"/>
          <w:marTop w:val="0"/>
          <w:marBottom w:val="0"/>
          <w:divBdr>
            <w:top w:val="none" w:sz="0" w:space="0" w:color="auto"/>
            <w:left w:val="none" w:sz="0" w:space="0" w:color="auto"/>
            <w:bottom w:val="none" w:sz="0" w:space="0" w:color="auto"/>
            <w:right w:val="none" w:sz="0" w:space="0" w:color="auto"/>
          </w:divBdr>
        </w:div>
      </w:divsChild>
    </w:div>
    <w:div w:id="1719475247">
      <w:bodyDiv w:val="1"/>
      <w:marLeft w:val="0"/>
      <w:marRight w:val="0"/>
      <w:marTop w:val="0"/>
      <w:marBottom w:val="0"/>
      <w:divBdr>
        <w:top w:val="none" w:sz="0" w:space="0" w:color="auto"/>
        <w:left w:val="none" w:sz="0" w:space="0" w:color="auto"/>
        <w:bottom w:val="none" w:sz="0" w:space="0" w:color="auto"/>
        <w:right w:val="none" w:sz="0" w:space="0" w:color="auto"/>
      </w:divBdr>
    </w:div>
    <w:div w:id="1740206544">
      <w:bodyDiv w:val="1"/>
      <w:marLeft w:val="0"/>
      <w:marRight w:val="0"/>
      <w:marTop w:val="0"/>
      <w:marBottom w:val="0"/>
      <w:divBdr>
        <w:top w:val="none" w:sz="0" w:space="0" w:color="auto"/>
        <w:left w:val="none" w:sz="0" w:space="0" w:color="auto"/>
        <w:bottom w:val="none" w:sz="0" w:space="0" w:color="auto"/>
        <w:right w:val="none" w:sz="0" w:space="0" w:color="auto"/>
      </w:divBdr>
    </w:div>
    <w:div w:id="1745443903">
      <w:bodyDiv w:val="1"/>
      <w:marLeft w:val="0"/>
      <w:marRight w:val="0"/>
      <w:marTop w:val="0"/>
      <w:marBottom w:val="0"/>
      <w:divBdr>
        <w:top w:val="none" w:sz="0" w:space="0" w:color="auto"/>
        <w:left w:val="none" w:sz="0" w:space="0" w:color="auto"/>
        <w:bottom w:val="none" w:sz="0" w:space="0" w:color="auto"/>
        <w:right w:val="none" w:sz="0" w:space="0" w:color="auto"/>
      </w:divBdr>
    </w:div>
    <w:div w:id="1753088075">
      <w:bodyDiv w:val="1"/>
      <w:marLeft w:val="0"/>
      <w:marRight w:val="0"/>
      <w:marTop w:val="0"/>
      <w:marBottom w:val="0"/>
      <w:divBdr>
        <w:top w:val="none" w:sz="0" w:space="0" w:color="auto"/>
        <w:left w:val="none" w:sz="0" w:space="0" w:color="auto"/>
        <w:bottom w:val="none" w:sz="0" w:space="0" w:color="auto"/>
        <w:right w:val="none" w:sz="0" w:space="0" w:color="auto"/>
      </w:divBdr>
    </w:div>
    <w:div w:id="1765344075">
      <w:bodyDiv w:val="1"/>
      <w:marLeft w:val="0"/>
      <w:marRight w:val="0"/>
      <w:marTop w:val="0"/>
      <w:marBottom w:val="0"/>
      <w:divBdr>
        <w:top w:val="none" w:sz="0" w:space="0" w:color="auto"/>
        <w:left w:val="none" w:sz="0" w:space="0" w:color="auto"/>
        <w:bottom w:val="none" w:sz="0" w:space="0" w:color="auto"/>
        <w:right w:val="none" w:sz="0" w:space="0" w:color="auto"/>
      </w:divBdr>
    </w:div>
    <w:div w:id="1768190773">
      <w:bodyDiv w:val="1"/>
      <w:marLeft w:val="0"/>
      <w:marRight w:val="0"/>
      <w:marTop w:val="0"/>
      <w:marBottom w:val="0"/>
      <w:divBdr>
        <w:top w:val="none" w:sz="0" w:space="0" w:color="auto"/>
        <w:left w:val="none" w:sz="0" w:space="0" w:color="auto"/>
        <w:bottom w:val="none" w:sz="0" w:space="0" w:color="auto"/>
        <w:right w:val="none" w:sz="0" w:space="0" w:color="auto"/>
      </w:divBdr>
    </w:div>
    <w:div w:id="1768427568">
      <w:bodyDiv w:val="1"/>
      <w:marLeft w:val="0"/>
      <w:marRight w:val="0"/>
      <w:marTop w:val="0"/>
      <w:marBottom w:val="0"/>
      <w:divBdr>
        <w:top w:val="none" w:sz="0" w:space="0" w:color="auto"/>
        <w:left w:val="none" w:sz="0" w:space="0" w:color="auto"/>
        <w:bottom w:val="none" w:sz="0" w:space="0" w:color="auto"/>
        <w:right w:val="none" w:sz="0" w:space="0" w:color="auto"/>
      </w:divBdr>
    </w:div>
    <w:div w:id="1770465118">
      <w:bodyDiv w:val="1"/>
      <w:marLeft w:val="0"/>
      <w:marRight w:val="0"/>
      <w:marTop w:val="0"/>
      <w:marBottom w:val="0"/>
      <w:divBdr>
        <w:top w:val="none" w:sz="0" w:space="0" w:color="auto"/>
        <w:left w:val="none" w:sz="0" w:space="0" w:color="auto"/>
        <w:bottom w:val="none" w:sz="0" w:space="0" w:color="auto"/>
        <w:right w:val="none" w:sz="0" w:space="0" w:color="auto"/>
      </w:divBdr>
    </w:div>
    <w:div w:id="1779645381">
      <w:bodyDiv w:val="1"/>
      <w:marLeft w:val="0"/>
      <w:marRight w:val="0"/>
      <w:marTop w:val="0"/>
      <w:marBottom w:val="0"/>
      <w:divBdr>
        <w:top w:val="none" w:sz="0" w:space="0" w:color="auto"/>
        <w:left w:val="none" w:sz="0" w:space="0" w:color="auto"/>
        <w:bottom w:val="none" w:sz="0" w:space="0" w:color="auto"/>
        <w:right w:val="none" w:sz="0" w:space="0" w:color="auto"/>
      </w:divBdr>
      <w:divsChild>
        <w:div w:id="859321057">
          <w:marLeft w:val="0"/>
          <w:marRight w:val="0"/>
          <w:marTop w:val="0"/>
          <w:marBottom w:val="0"/>
          <w:divBdr>
            <w:top w:val="none" w:sz="0" w:space="0" w:color="auto"/>
            <w:left w:val="none" w:sz="0" w:space="0" w:color="auto"/>
            <w:bottom w:val="none" w:sz="0" w:space="0" w:color="auto"/>
            <w:right w:val="none" w:sz="0" w:space="0" w:color="auto"/>
          </w:divBdr>
        </w:div>
      </w:divsChild>
    </w:div>
    <w:div w:id="1804496828">
      <w:bodyDiv w:val="1"/>
      <w:marLeft w:val="0"/>
      <w:marRight w:val="0"/>
      <w:marTop w:val="0"/>
      <w:marBottom w:val="0"/>
      <w:divBdr>
        <w:top w:val="none" w:sz="0" w:space="0" w:color="auto"/>
        <w:left w:val="none" w:sz="0" w:space="0" w:color="auto"/>
        <w:bottom w:val="none" w:sz="0" w:space="0" w:color="auto"/>
        <w:right w:val="none" w:sz="0" w:space="0" w:color="auto"/>
      </w:divBdr>
    </w:div>
    <w:div w:id="1819419889">
      <w:bodyDiv w:val="1"/>
      <w:marLeft w:val="0"/>
      <w:marRight w:val="0"/>
      <w:marTop w:val="0"/>
      <w:marBottom w:val="0"/>
      <w:divBdr>
        <w:top w:val="none" w:sz="0" w:space="0" w:color="auto"/>
        <w:left w:val="none" w:sz="0" w:space="0" w:color="auto"/>
        <w:bottom w:val="none" w:sz="0" w:space="0" w:color="auto"/>
        <w:right w:val="none" w:sz="0" w:space="0" w:color="auto"/>
      </w:divBdr>
    </w:div>
    <w:div w:id="1819492551">
      <w:bodyDiv w:val="1"/>
      <w:marLeft w:val="0"/>
      <w:marRight w:val="0"/>
      <w:marTop w:val="0"/>
      <w:marBottom w:val="0"/>
      <w:divBdr>
        <w:top w:val="none" w:sz="0" w:space="0" w:color="auto"/>
        <w:left w:val="none" w:sz="0" w:space="0" w:color="auto"/>
        <w:bottom w:val="none" w:sz="0" w:space="0" w:color="auto"/>
        <w:right w:val="none" w:sz="0" w:space="0" w:color="auto"/>
      </w:divBdr>
    </w:div>
    <w:div w:id="1828278397">
      <w:bodyDiv w:val="1"/>
      <w:marLeft w:val="0"/>
      <w:marRight w:val="0"/>
      <w:marTop w:val="0"/>
      <w:marBottom w:val="0"/>
      <w:divBdr>
        <w:top w:val="none" w:sz="0" w:space="0" w:color="auto"/>
        <w:left w:val="none" w:sz="0" w:space="0" w:color="auto"/>
        <w:bottom w:val="none" w:sz="0" w:space="0" w:color="auto"/>
        <w:right w:val="none" w:sz="0" w:space="0" w:color="auto"/>
      </w:divBdr>
    </w:div>
    <w:div w:id="1855798639">
      <w:bodyDiv w:val="1"/>
      <w:marLeft w:val="0"/>
      <w:marRight w:val="0"/>
      <w:marTop w:val="0"/>
      <w:marBottom w:val="0"/>
      <w:divBdr>
        <w:top w:val="none" w:sz="0" w:space="0" w:color="auto"/>
        <w:left w:val="none" w:sz="0" w:space="0" w:color="auto"/>
        <w:bottom w:val="none" w:sz="0" w:space="0" w:color="auto"/>
        <w:right w:val="none" w:sz="0" w:space="0" w:color="auto"/>
      </w:divBdr>
    </w:div>
    <w:div w:id="1865626959">
      <w:bodyDiv w:val="1"/>
      <w:marLeft w:val="0"/>
      <w:marRight w:val="0"/>
      <w:marTop w:val="0"/>
      <w:marBottom w:val="0"/>
      <w:divBdr>
        <w:top w:val="none" w:sz="0" w:space="0" w:color="auto"/>
        <w:left w:val="none" w:sz="0" w:space="0" w:color="auto"/>
        <w:bottom w:val="none" w:sz="0" w:space="0" w:color="auto"/>
        <w:right w:val="none" w:sz="0" w:space="0" w:color="auto"/>
      </w:divBdr>
    </w:div>
    <w:div w:id="1877430017">
      <w:bodyDiv w:val="1"/>
      <w:marLeft w:val="0"/>
      <w:marRight w:val="0"/>
      <w:marTop w:val="0"/>
      <w:marBottom w:val="0"/>
      <w:divBdr>
        <w:top w:val="none" w:sz="0" w:space="0" w:color="auto"/>
        <w:left w:val="none" w:sz="0" w:space="0" w:color="auto"/>
        <w:bottom w:val="none" w:sz="0" w:space="0" w:color="auto"/>
        <w:right w:val="none" w:sz="0" w:space="0" w:color="auto"/>
      </w:divBdr>
    </w:div>
    <w:div w:id="1881165698">
      <w:bodyDiv w:val="1"/>
      <w:marLeft w:val="0"/>
      <w:marRight w:val="0"/>
      <w:marTop w:val="0"/>
      <w:marBottom w:val="0"/>
      <w:divBdr>
        <w:top w:val="none" w:sz="0" w:space="0" w:color="auto"/>
        <w:left w:val="none" w:sz="0" w:space="0" w:color="auto"/>
        <w:bottom w:val="none" w:sz="0" w:space="0" w:color="auto"/>
        <w:right w:val="none" w:sz="0" w:space="0" w:color="auto"/>
      </w:divBdr>
    </w:div>
    <w:div w:id="1894415873">
      <w:bodyDiv w:val="1"/>
      <w:marLeft w:val="0"/>
      <w:marRight w:val="0"/>
      <w:marTop w:val="0"/>
      <w:marBottom w:val="0"/>
      <w:divBdr>
        <w:top w:val="none" w:sz="0" w:space="0" w:color="auto"/>
        <w:left w:val="none" w:sz="0" w:space="0" w:color="auto"/>
        <w:bottom w:val="none" w:sz="0" w:space="0" w:color="auto"/>
        <w:right w:val="none" w:sz="0" w:space="0" w:color="auto"/>
      </w:divBdr>
    </w:div>
    <w:div w:id="1899777906">
      <w:bodyDiv w:val="1"/>
      <w:marLeft w:val="0"/>
      <w:marRight w:val="0"/>
      <w:marTop w:val="0"/>
      <w:marBottom w:val="0"/>
      <w:divBdr>
        <w:top w:val="none" w:sz="0" w:space="0" w:color="auto"/>
        <w:left w:val="none" w:sz="0" w:space="0" w:color="auto"/>
        <w:bottom w:val="none" w:sz="0" w:space="0" w:color="auto"/>
        <w:right w:val="none" w:sz="0" w:space="0" w:color="auto"/>
      </w:divBdr>
    </w:div>
    <w:div w:id="1907832670">
      <w:bodyDiv w:val="1"/>
      <w:marLeft w:val="0"/>
      <w:marRight w:val="0"/>
      <w:marTop w:val="0"/>
      <w:marBottom w:val="0"/>
      <w:divBdr>
        <w:top w:val="none" w:sz="0" w:space="0" w:color="auto"/>
        <w:left w:val="none" w:sz="0" w:space="0" w:color="auto"/>
        <w:bottom w:val="none" w:sz="0" w:space="0" w:color="auto"/>
        <w:right w:val="none" w:sz="0" w:space="0" w:color="auto"/>
      </w:divBdr>
    </w:div>
    <w:div w:id="1935749120">
      <w:bodyDiv w:val="1"/>
      <w:marLeft w:val="0"/>
      <w:marRight w:val="0"/>
      <w:marTop w:val="0"/>
      <w:marBottom w:val="0"/>
      <w:divBdr>
        <w:top w:val="none" w:sz="0" w:space="0" w:color="auto"/>
        <w:left w:val="none" w:sz="0" w:space="0" w:color="auto"/>
        <w:bottom w:val="none" w:sz="0" w:space="0" w:color="auto"/>
        <w:right w:val="none" w:sz="0" w:space="0" w:color="auto"/>
      </w:divBdr>
    </w:div>
    <w:div w:id="1953395012">
      <w:bodyDiv w:val="1"/>
      <w:marLeft w:val="0"/>
      <w:marRight w:val="0"/>
      <w:marTop w:val="0"/>
      <w:marBottom w:val="0"/>
      <w:divBdr>
        <w:top w:val="none" w:sz="0" w:space="0" w:color="auto"/>
        <w:left w:val="none" w:sz="0" w:space="0" w:color="auto"/>
        <w:bottom w:val="none" w:sz="0" w:space="0" w:color="auto"/>
        <w:right w:val="none" w:sz="0" w:space="0" w:color="auto"/>
      </w:divBdr>
    </w:div>
    <w:div w:id="1967275778">
      <w:bodyDiv w:val="1"/>
      <w:marLeft w:val="0"/>
      <w:marRight w:val="0"/>
      <w:marTop w:val="0"/>
      <w:marBottom w:val="0"/>
      <w:divBdr>
        <w:top w:val="none" w:sz="0" w:space="0" w:color="auto"/>
        <w:left w:val="none" w:sz="0" w:space="0" w:color="auto"/>
        <w:bottom w:val="none" w:sz="0" w:space="0" w:color="auto"/>
        <w:right w:val="none" w:sz="0" w:space="0" w:color="auto"/>
      </w:divBdr>
    </w:div>
    <w:div w:id="1977711707">
      <w:bodyDiv w:val="1"/>
      <w:marLeft w:val="0"/>
      <w:marRight w:val="0"/>
      <w:marTop w:val="0"/>
      <w:marBottom w:val="0"/>
      <w:divBdr>
        <w:top w:val="none" w:sz="0" w:space="0" w:color="auto"/>
        <w:left w:val="none" w:sz="0" w:space="0" w:color="auto"/>
        <w:bottom w:val="none" w:sz="0" w:space="0" w:color="auto"/>
        <w:right w:val="none" w:sz="0" w:space="0" w:color="auto"/>
      </w:divBdr>
    </w:div>
    <w:div w:id="1984845510">
      <w:bodyDiv w:val="1"/>
      <w:marLeft w:val="0"/>
      <w:marRight w:val="0"/>
      <w:marTop w:val="0"/>
      <w:marBottom w:val="0"/>
      <w:divBdr>
        <w:top w:val="none" w:sz="0" w:space="0" w:color="auto"/>
        <w:left w:val="none" w:sz="0" w:space="0" w:color="auto"/>
        <w:bottom w:val="none" w:sz="0" w:space="0" w:color="auto"/>
        <w:right w:val="none" w:sz="0" w:space="0" w:color="auto"/>
      </w:divBdr>
    </w:div>
    <w:div w:id="1997345448">
      <w:bodyDiv w:val="1"/>
      <w:marLeft w:val="0"/>
      <w:marRight w:val="0"/>
      <w:marTop w:val="0"/>
      <w:marBottom w:val="0"/>
      <w:divBdr>
        <w:top w:val="none" w:sz="0" w:space="0" w:color="auto"/>
        <w:left w:val="none" w:sz="0" w:space="0" w:color="auto"/>
        <w:bottom w:val="none" w:sz="0" w:space="0" w:color="auto"/>
        <w:right w:val="none" w:sz="0" w:space="0" w:color="auto"/>
      </w:divBdr>
    </w:div>
    <w:div w:id="2003073205">
      <w:bodyDiv w:val="1"/>
      <w:marLeft w:val="0"/>
      <w:marRight w:val="0"/>
      <w:marTop w:val="0"/>
      <w:marBottom w:val="0"/>
      <w:divBdr>
        <w:top w:val="none" w:sz="0" w:space="0" w:color="auto"/>
        <w:left w:val="none" w:sz="0" w:space="0" w:color="auto"/>
        <w:bottom w:val="none" w:sz="0" w:space="0" w:color="auto"/>
        <w:right w:val="none" w:sz="0" w:space="0" w:color="auto"/>
      </w:divBdr>
    </w:div>
    <w:div w:id="2027906852">
      <w:bodyDiv w:val="1"/>
      <w:marLeft w:val="0"/>
      <w:marRight w:val="0"/>
      <w:marTop w:val="0"/>
      <w:marBottom w:val="0"/>
      <w:divBdr>
        <w:top w:val="none" w:sz="0" w:space="0" w:color="auto"/>
        <w:left w:val="none" w:sz="0" w:space="0" w:color="auto"/>
        <w:bottom w:val="none" w:sz="0" w:space="0" w:color="auto"/>
        <w:right w:val="none" w:sz="0" w:space="0" w:color="auto"/>
      </w:divBdr>
    </w:div>
    <w:div w:id="2029410748">
      <w:bodyDiv w:val="1"/>
      <w:marLeft w:val="0"/>
      <w:marRight w:val="0"/>
      <w:marTop w:val="0"/>
      <w:marBottom w:val="0"/>
      <w:divBdr>
        <w:top w:val="none" w:sz="0" w:space="0" w:color="auto"/>
        <w:left w:val="none" w:sz="0" w:space="0" w:color="auto"/>
        <w:bottom w:val="none" w:sz="0" w:space="0" w:color="auto"/>
        <w:right w:val="none" w:sz="0" w:space="0" w:color="auto"/>
      </w:divBdr>
    </w:div>
    <w:div w:id="2041128785">
      <w:bodyDiv w:val="1"/>
      <w:marLeft w:val="0"/>
      <w:marRight w:val="0"/>
      <w:marTop w:val="0"/>
      <w:marBottom w:val="0"/>
      <w:divBdr>
        <w:top w:val="none" w:sz="0" w:space="0" w:color="auto"/>
        <w:left w:val="none" w:sz="0" w:space="0" w:color="auto"/>
        <w:bottom w:val="none" w:sz="0" w:space="0" w:color="auto"/>
        <w:right w:val="none" w:sz="0" w:space="0" w:color="auto"/>
      </w:divBdr>
    </w:div>
    <w:div w:id="2057387678">
      <w:bodyDiv w:val="1"/>
      <w:marLeft w:val="0"/>
      <w:marRight w:val="0"/>
      <w:marTop w:val="0"/>
      <w:marBottom w:val="0"/>
      <w:divBdr>
        <w:top w:val="none" w:sz="0" w:space="0" w:color="auto"/>
        <w:left w:val="none" w:sz="0" w:space="0" w:color="auto"/>
        <w:bottom w:val="none" w:sz="0" w:space="0" w:color="auto"/>
        <w:right w:val="none" w:sz="0" w:space="0" w:color="auto"/>
      </w:divBdr>
    </w:div>
    <w:div w:id="2058435391">
      <w:bodyDiv w:val="1"/>
      <w:marLeft w:val="0"/>
      <w:marRight w:val="0"/>
      <w:marTop w:val="0"/>
      <w:marBottom w:val="0"/>
      <w:divBdr>
        <w:top w:val="none" w:sz="0" w:space="0" w:color="auto"/>
        <w:left w:val="none" w:sz="0" w:space="0" w:color="auto"/>
        <w:bottom w:val="none" w:sz="0" w:space="0" w:color="auto"/>
        <w:right w:val="none" w:sz="0" w:space="0" w:color="auto"/>
      </w:divBdr>
    </w:div>
    <w:div w:id="2059282736">
      <w:bodyDiv w:val="1"/>
      <w:marLeft w:val="0"/>
      <w:marRight w:val="0"/>
      <w:marTop w:val="0"/>
      <w:marBottom w:val="0"/>
      <w:divBdr>
        <w:top w:val="none" w:sz="0" w:space="0" w:color="auto"/>
        <w:left w:val="none" w:sz="0" w:space="0" w:color="auto"/>
        <w:bottom w:val="none" w:sz="0" w:space="0" w:color="auto"/>
        <w:right w:val="none" w:sz="0" w:space="0" w:color="auto"/>
      </w:divBdr>
    </w:div>
    <w:div w:id="2073113988">
      <w:bodyDiv w:val="1"/>
      <w:marLeft w:val="0"/>
      <w:marRight w:val="0"/>
      <w:marTop w:val="0"/>
      <w:marBottom w:val="0"/>
      <w:divBdr>
        <w:top w:val="none" w:sz="0" w:space="0" w:color="auto"/>
        <w:left w:val="none" w:sz="0" w:space="0" w:color="auto"/>
        <w:bottom w:val="none" w:sz="0" w:space="0" w:color="auto"/>
        <w:right w:val="none" w:sz="0" w:space="0" w:color="auto"/>
      </w:divBdr>
    </w:div>
    <w:div w:id="2074961612">
      <w:bodyDiv w:val="1"/>
      <w:marLeft w:val="0"/>
      <w:marRight w:val="0"/>
      <w:marTop w:val="0"/>
      <w:marBottom w:val="0"/>
      <w:divBdr>
        <w:top w:val="none" w:sz="0" w:space="0" w:color="auto"/>
        <w:left w:val="none" w:sz="0" w:space="0" w:color="auto"/>
        <w:bottom w:val="none" w:sz="0" w:space="0" w:color="auto"/>
        <w:right w:val="none" w:sz="0" w:space="0" w:color="auto"/>
      </w:divBdr>
    </w:div>
    <w:div w:id="2076127939">
      <w:bodyDiv w:val="1"/>
      <w:marLeft w:val="0"/>
      <w:marRight w:val="0"/>
      <w:marTop w:val="0"/>
      <w:marBottom w:val="0"/>
      <w:divBdr>
        <w:top w:val="none" w:sz="0" w:space="0" w:color="auto"/>
        <w:left w:val="none" w:sz="0" w:space="0" w:color="auto"/>
        <w:bottom w:val="none" w:sz="0" w:space="0" w:color="auto"/>
        <w:right w:val="none" w:sz="0" w:space="0" w:color="auto"/>
      </w:divBdr>
    </w:div>
    <w:div w:id="2084639869">
      <w:bodyDiv w:val="1"/>
      <w:marLeft w:val="0"/>
      <w:marRight w:val="0"/>
      <w:marTop w:val="0"/>
      <w:marBottom w:val="0"/>
      <w:divBdr>
        <w:top w:val="none" w:sz="0" w:space="0" w:color="auto"/>
        <w:left w:val="none" w:sz="0" w:space="0" w:color="auto"/>
        <w:bottom w:val="none" w:sz="0" w:space="0" w:color="auto"/>
        <w:right w:val="none" w:sz="0" w:space="0" w:color="auto"/>
      </w:divBdr>
    </w:div>
    <w:div w:id="2103720891">
      <w:bodyDiv w:val="1"/>
      <w:marLeft w:val="0"/>
      <w:marRight w:val="0"/>
      <w:marTop w:val="0"/>
      <w:marBottom w:val="0"/>
      <w:divBdr>
        <w:top w:val="none" w:sz="0" w:space="0" w:color="auto"/>
        <w:left w:val="none" w:sz="0" w:space="0" w:color="auto"/>
        <w:bottom w:val="none" w:sz="0" w:space="0" w:color="auto"/>
        <w:right w:val="none" w:sz="0" w:space="0" w:color="auto"/>
      </w:divBdr>
    </w:div>
    <w:div w:id="2124183908">
      <w:bodyDiv w:val="1"/>
      <w:marLeft w:val="0"/>
      <w:marRight w:val="0"/>
      <w:marTop w:val="0"/>
      <w:marBottom w:val="0"/>
      <w:divBdr>
        <w:top w:val="none" w:sz="0" w:space="0" w:color="auto"/>
        <w:left w:val="none" w:sz="0" w:space="0" w:color="auto"/>
        <w:bottom w:val="none" w:sz="0" w:space="0" w:color="auto"/>
        <w:right w:val="none" w:sz="0" w:space="0" w:color="auto"/>
      </w:divBdr>
    </w:div>
    <w:div w:id="213517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c.europa.eu/commission/presscorner/detail/fr/ip_25_3045" TargetMode="External"/><Relationship Id="rId26"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3" Type="http://schemas.openxmlformats.org/officeDocument/2006/relationships/customXml" Target="../customXml/item3.xml"/><Relationship Id="rId21" Type="http://schemas.openxmlformats.org/officeDocument/2006/relationships/image" Target="media/image4.emf"/><Relationship Id="rId34"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33"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em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32" Type="http://schemas.openxmlformats.org/officeDocument/2006/relationships/footer" Target="footer6.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28" Type="http://schemas.openxmlformats.org/officeDocument/2006/relationships/header" Target="header5.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g_impl/2025/512/oj/fre" TargetMode="External"/><Relationship Id="rId3" Type="http://schemas.openxmlformats.org/officeDocument/2006/relationships/hyperlink" Target="https://eur-lex.europa.eu/legal-content/EN/TXT/?uri=CELEX%3A52021SC0382" TargetMode="External"/><Relationship Id="rId7" Type="http://schemas.openxmlformats.org/officeDocument/2006/relationships/hyperlink" Target="https://eur-lex.europa.eu/eli/reg_impl/2025/512/oj/fre" TargetMode="External"/><Relationship Id="rId2" Type="http://schemas.openxmlformats.org/officeDocument/2006/relationships/hyperlink" Target="https://eur-lex.europa.eu/legal-content/EN/TXT/?uri=CELEX%3A52020SC0339" TargetMode="External"/><Relationship Id="rId1" Type="http://schemas.openxmlformats.org/officeDocument/2006/relationships/hyperlink" Target="https://eur-lex.europa.eu/legal-content/EN/ALL/?uri=CELEX%3A52019SC0434" TargetMode="External"/><Relationship Id="rId6" Type="http://schemas.openxmlformats.org/officeDocument/2006/relationships/hyperlink" Target="https://eur-lex.europa.eu/legal-content/FR/TXT/HTML/?uri=OJ:L_202302879" TargetMode="External"/><Relationship Id="rId11" Type="http://schemas.openxmlformats.org/officeDocument/2006/relationships/hyperlink" Target="https://ec.europa.eu/commission/presscorner/detail/en/inf_25_1628" TargetMode="External"/><Relationship Id="rId5" Type="http://schemas.openxmlformats.org/officeDocument/2006/relationships/hyperlink" Target="https://eur-lex.europa.eu/legal-content/EN/TXT/?uri=COM:2024:395:FINh" TargetMode="External"/><Relationship Id="rId10" Type="http://schemas.openxmlformats.org/officeDocument/2006/relationships/hyperlink" Target="https://ec.europa.eu/commission/presscorner/detail/en/inf_25_1241" TargetMode="External"/><Relationship Id="rId4" Type="http://schemas.openxmlformats.org/officeDocument/2006/relationships/hyperlink" Target="https://eur-lex.europa.eu/legal-content/EN/TXT/?uri=CELEX%3A52023SC0029" TargetMode="External"/><Relationship Id="rId9" Type="http://schemas.openxmlformats.org/officeDocument/2006/relationships/hyperlink" Target="https://ec.europa.eu/commission/presscorner/detail/en/inf_25_9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DD7ACF1DBB0C4DA5ED6301C9CD68E1" ma:contentTypeVersion="16" ma:contentTypeDescription="Create a new document." ma:contentTypeScope="" ma:versionID="4d1e941aee20759957fb20f03d9ec5dd">
  <xsd:schema xmlns:xsd="http://www.w3.org/2001/XMLSchema" xmlns:xs="http://www.w3.org/2001/XMLSchema" xmlns:p="http://schemas.microsoft.com/office/2006/metadata/properties" xmlns:ns2="0b61c19b-fd01-4a7e-a2a1-d0fb0818c996" xmlns:ns3="8d82ef2e-2665-4d75-ad12-ca052c5613cd" xmlns:ns4="a08df92a-58e1-4487-a015-e4fd8d9f435e" targetNamespace="http://schemas.microsoft.com/office/2006/metadata/properties" ma:root="true" ma:fieldsID="de9f113d63c94f935853ae3f6486f619" ns2:_="" ns3:_="" ns4:_="">
    <xsd:import namespace="0b61c19b-fd01-4a7e-a2a1-d0fb0818c996"/>
    <xsd:import namespace="8d82ef2e-2665-4d75-ad12-ca052c5613cd"/>
    <xsd:import namespace="a08df92a-58e1-4487-a015-e4fd8d9f435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Creationdate"/>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Statu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1c19b-fd01-4a7e-a2a1-d0fb0818c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Creationdate" ma:index="13" ma:displayName="Creation date" ma:default="[today]" ma:description="Creation date" ma:format="DateTime" ma:internalName="Creationdate">
      <xsd:simpleType>
        <xsd:restriction base="dms:DateTim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Status" ma:index="19" nillable="true" ma:displayName="Status" ma:format="Dropdown" ma:internalName="Status">
      <xsd:simpleType>
        <xsd:union memberTypes="dms:Text">
          <xsd:simpleType>
            <xsd:restriction base="dms:Choice">
              <xsd:enumeration value="drafting"/>
              <xsd:enumeration value="management approval ongoing"/>
              <xsd:enumeration value="approved"/>
            </xsd:restriction>
          </xsd:simpleType>
        </xsd:un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82ef2e-2665-4d75-ad12-ca052c5613cd"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8df92a-58e1-4487-a015-e4fd8d9f435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1b096f2-46a3-4f58-87ab-e1c0784965a7}" ma:internalName="TaxCatchAll" ma:showField="CatchAllData" ma:web="a08df92a-58e1-4487-a015-e4fd8d9f43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08df92a-58e1-4487-a015-e4fd8d9f435e" xsi:nil="true"/>
    <Creationdate xmlns="0b61c19b-fd01-4a7e-a2a1-d0fb0818c996">2025-10-09T10:37:04+00:00</Creationdate>
    <lcf76f155ced4ddcb4097134ff3c332f xmlns="0b61c19b-fd01-4a7e-a2a1-d0fb0818c996">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Status xmlns="0b61c19b-fd01-4a7e-a2a1-d0fb0818c99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D7F18-9B9F-4AA9-BD56-1CD24EE0F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1c19b-fd01-4a7e-a2a1-d0fb0818c996"/>
    <ds:schemaRef ds:uri="8d82ef2e-2665-4d75-ad12-ca052c5613cd"/>
    <ds:schemaRef ds:uri="a08df92a-58e1-4487-a015-e4fd8d9f43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012EC0-A174-4988-8D5D-D2DDED938424}">
  <ds:schemaRefs>
    <ds:schemaRef ds:uri="http://schemas.microsoft.com/office/2006/metadata/properties"/>
    <ds:schemaRef ds:uri="http://schemas.microsoft.com/office/infopath/2007/PartnerControls"/>
    <ds:schemaRef ds:uri="a08df92a-58e1-4487-a015-e4fd8d9f435e"/>
    <ds:schemaRef ds:uri="0b61c19b-fd01-4a7e-a2a1-d0fb0818c996"/>
  </ds:schemaRefs>
</ds:datastoreItem>
</file>

<file path=customXml/itemProps3.xml><?xml version="1.0" encoding="utf-8"?>
<ds:datastoreItem xmlns:ds="http://schemas.openxmlformats.org/officeDocument/2006/customXml" ds:itemID="{CE583596-A31E-4AD8-8B22-E48CB2EE9970}">
  <ds:schemaRefs>
    <ds:schemaRef ds:uri="http://schemas.microsoft.com/sharepoint/v3/contenttype/forms"/>
  </ds:schemaRefs>
</ds:datastoreItem>
</file>

<file path=customXml/itemProps4.xml><?xml version="1.0" encoding="utf-8"?>
<ds:datastoreItem xmlns:ds="http://schemas.openxmlformats.org/officeDocument/2006/customXml" ds:itemID="{6098B0DE-C5F0-4C1E-A307-DD34145CE0A2}">
  <ds:schemaRefs>
    <ds:schemaRef ds:uri="http://schemas.openxmlformats.org/officeDocument/2006/bibliography"/>
  </ds:schemaRefs>
</ds:datastoreItem>
</file>

<file path=docMetadata/LabelInfo.xml><?xml version="1.0" encoding="utf-8"?>
<clbl:labelList xmlns:clbl="http://schemas.microsoft.com/office/2020/mipLabelMetadata">
  <clbl:label id="{7808e005-1489-4374-954b-d3b08f193920}" enabled="0" method="" siteId="{7808e005-1489-4374-954b-d3b08f193920}"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15</Pages>
  <Words>11424</Words>
  <Characters>65118</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UCC Work Programme Annual Progress Report 2023</vt:lpstr>
    </vt:vector>
  </TitlesOfParts>
  <Manager/>
  <Company/>
  <LinksUpToDate>false</LinksUpToDate>
  <CharactersWithSpaces>76390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UCC Work Programme Annual Progress Report 2023</dc:title>
  <dc:subject/>
  <dc:creator/>
  <cp:keywords>UCC, Work Programme</cp:keywords>
  <dc:description/>
  <cp:lastModifiedBy>EC CoDe</cp:lastModifiedBy>
  <cp:revision>7</cp:revision>
  <cp:lastPrinted>2026-03-10T16:02:00Z</cp:lastPrinted>
  <dcterms:created xsi:type="dcterms:W3CDTF">2026-07-02T15:45:00Z</dcterms:created>
  <dcterms:modified xsi:type="dcterms:W3CDTF">2026-07-08T15:11:00Z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 Build 20190717</vt:lpwstr>
  </property>
  <property fmtid="{D5CDD505-2E9C-101B-9397-08002B2CF9AE}" pid="9" name="Docear4Word_StyleTitle">
    <vt:lpwstr>Modern Language Association with URL</vt:lpwstr>
  </property>
  <property fmtid="{D5CDD505-2E9C-101B-9397-08002B2CF9AE}" pid="10" name="_LW_INVALIDATED__LW_INVALIDATED__LW_INVALIDATED_ContentTypeId">
    <vt:lpwstr>0x010100258AA79CEB83498886A3A08681123250001ADDC396B85D904E92F5615562E9313A</vt:lpwstr>
  </property>
  <property fmtid="{D5CDD505-2E9C-101B-9397-08002B2CF9AE}" pid="11" name="SfRFilename">
    <vt:lpwstr>UCC_ANNUAL_2022_REPORT_FROM_COMMISSION_EN_v0.10.docx</vt:lpwstr>
  </property>
  <property fmtid="{D5CDD505-2E9C-101B-9397-08002B2CF9AE}" pid="12" name="QCNumber">
    <vt:lpwstr>unknown</vt:lpwstr>
  </property>
  <property fmtid="{D5CDD505-2E9C-101B-9397-08002B2CF9AE}" pid="13" name="MSIP_Label_6bd9ddd1-4d20-43f6-abfa-fc3c07406f94_Enabled">
    <vt:lpwstr>true</vt:lpwstr>
  </property>
  <property fmtid="{D5CDD505-2E9C-101B-9397-08002B2CF9AE}" pid="14" name="MSIP_Label_6bd9ddd1-4d20-43f6-abfa-fc3c07406f94_SetDate">
    <vt:lpwstr>2022-07-05T09:25:00Z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a860cadf-15c9-4ee5-9769-918e021aa308</vt:lpwstr>
  </property>
  <property fmtid="{D5CDD505-2E9C-101B-9397-08002B2CF9AE}" pid="19" name="MSIP_Label_6bd9ddd1-4d20-43f6-abfa-fc3c07406f94_ContentBits">
    <vt:lpwstr>0</vt:lpwstr>
  </property>
  <property fmtid="{D5CDD505-2E9C-101B-9397-08002B2CF9AE}" pid="20" name="ContentTypeId">
    <vt:lpwstr>0x01010008DD7ACF1DBB0C4DA5ED6301C9CD68E1</vt:lpwstr>
  </property>
  <property fmtid="{D5CDD505-2E9C-101B-9397-08002B2CF9AE}" pid="21" name="MediaServiceImageTags">
    <vt:lpwstr/>
  </property>
  <property fmtid="{D5CDD505-2E9C-101B-9397-08002B2CF9AE}" pid="22" name="GrammarlyDocumentId">
    <vt:lpwstr>5e5099c6c80a1f34ab07218328d473abbcd36312e402a2ce6f0274c959da036b</vt:lpwstr>
  </property>
</Properties>
</file>