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A8DE21" w14:textId="2FC2AD3E" w:rsidR="00F81E69" w:rsidRPr="00193A9A" w:rsidRDefault="00DA7CC4" w:rsidP="00DA7CC4">
      <w:pPr>
        <w:pStyle w:val="Pagedecouverture"/>
        <w:rPr>
          <w:noProof/>
        </w:rPr>
      </w:pPr>
      <w:bookmarkStart w:id="0" w:name="_Toc213340788"/>
      <w:bookmarkStart w:id="1" w:name="_Toc214348070"/>
      <w:bookmarkStart w:id="2" w:name="LW_BM_COVERPAGE"/>
      <w:r>
        <w:rPr>
          <w:noProof/>
        </w:rPr>
        <w:pict w14:anchorId="09E00F2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78EE395A-F3A9-43E5-B1BF-172FFA8ACBB2" style="width:455.25pt;height:327.75pt">
            <v:imagedata r:id="rId14" o:title=""/>
          </v:shape>
        </w:pict>
      </w:r>
    </w:p>
    <w:bookmarkEnd w:id="2"/>
    <w:p w14:paraId="40F4A804" w14:textId="77777777" w:rsidR="00F81E69" w:rsidRPr="00193A9A" w:rsidRDefault="00F81E69" w:rsidP="00F81E69">
      <w:pPr>
        <w:rPr>
          <w:noProof/>
        </w:rPr>
        <w:sectPr w:rsidR="00F81E69" w:rsidRPr="00193A9A" w:rsidSect="00DA7CC4">
          <w:headerReference w:type="even" r:id="rId15"/>
          <w:headerReference w:type="default" r:id="rId16"/>
          <w:footerReference w:type="even" r:id="rId17"/>
          <w:footerReference w:type="default" r:id="rId18"/>
          <w:headerReference w:type="first" r:id="rId19"/>
          <w:footerReference w:type="first" r:id="rId20"/>
          <w:endnotePr>
            <w:numFmt w:val="lowerLetter"/>
          </w:endnotePr>
          <w:pgSz w:w="11906" w:h="16838"/>
          <w:pgMar w:top="1134" w:right="1417" w:bottom="1134" w:left="1417" w:header="709" w:footer="709" w:gutter="0"/>
          <w:pgNumType w:start="0"/>
          <w:cols w:space="720"/>
          <w:docGrid w:linePitch="326"/>
        </w:sectPr>
      </w:pPr>
    </w:p>
    <w:p w14:paraId="15473B2A" w14:textId="54DFB17D" w:rsidR="00E1403D" w:rsidRPr="00193A9A" w:rsidRDefault="003D371A" w:rsidP="003D371A">
      <w:pPr>
        <w:pStyle w:val="Heading1"/>
        <w:rPr>
          <w:noProof/>
        </w:rPr>
      </w:pPr>
      <w:bookmarkStart w:id="3" w:name="_GoBack"/>
      <w:bookmarkEnd w:id="3"/>
      <w:r w:rsidRPr="00193A9A">
        <w:rPr>
          <w:noProof/>
        </w:rPr>
        <w:lastRenderedPageBreak/>
        <w:t>Introduction</w:t>
      </w:r>
      <w:bookmarkEnd w:id="0"/>
      <w:bookmarkEnd w:id="1"/>
    </w:p>
    <w:p w14:paraId="4FDDBAE6" w14:textId="36FAC986" w:rsidR="0074177C" w:rsidRPr="00193A9A" w:rsidRDefault="00E266EC" w:rsidP="0074177C">
      <w:pPr>
        <w:pStyle w:val="Text1"/>
        <w:rPr>
          <w:noProof/>
        </w:rPr>
      </w:pPr>
      <w:r w:rsidRPr="00193A9A">
        <w:rPr>
          <w:noProof/>
        </w:rPr>
        <w:t>The</w:t>
      </w:r>
      <w:r w:rsidR="008B3216" w:rsidRPr="00193A9A">
        <w:rPr>
          <w:noProof/>
        </w:rPr>
        <w:t xml:space="preserve"> Racial Equality Directive</w:t>
      </w:r>
      <w:r w:rsidR="008E4083">
        <w:rPr>
          <w:noProof/>
        </w:rPr>
        <w:t xml:space="preserve"> </w:t>
      </w:r>
      <w:r w:rsidR="008B3216" w:rsidRPr="00193A9A">
        <w:rPr>
          <w:noProof/>
        </w:rPr>
        <w:t>and the Employment Equality Directive (</w:t>
      </w:r>
      <w:r w:rsidR="008E4083">
        <w:rPr>
          <w:noProof/>
        </w:rPr>
        <w:t>‘</w:t>
      </w:r>
      <w:r w:rsidR="008B3216" w:rsidRPr="00193A9A">
        <w:rPr>
          <w:noProof/>
        </w:rPr>
        <w:t>the Directives’)</w:t>
      </w:r>
      <w:r w:rsidR="00777AC7" w:rsidRPr="00193A9A">
        <w:rPr>
          <w:noProof/>
        </w:rPr>
        <w:t> (</w:t>
      </w:r>
      <w:r w:rsidR="00777AC7" w:rsidRPr="00193A9A">
        <w:rPr>
          <w:rStyle w:val="FootnoteReference"/>
          <w:noProof/>
        </w:rPr>
        <w:footnoteReference w:id="2"/>
      </w:r>
      <w:r w:rsidR="00777AC7" w:rsidRPr="00193A9A">
        <w:rPr>
          <w:noProof/>
        </w:rPr>
        <w:t>)</w:t>
      </w:r>
      <w:r w:rsidR="008B3216" w:rsidRPr="00193A9A">
        <w:rPr>
          <w:noProof/>
        </w:rPr>
        <w:t xml:space="preserve"> </w:t>
      </w:r>
      <w:r w:rsidR="000A2C17" w:rsidRPr="00193A9A">
        <w:rPr>
          <w:noProof/>
        </w:rPr>
        <w:t>are</w:t>
      </w:r>
      <w:r w:rsidR="004A4B68" w:rsidRPr="00193A9A">
        <w:rPr>
          <w:noProof/>
        </w:rPr>
        <w:t xml:space="preserve"> </w:t>
      </w:r>
      <w:r w:rsidR="00800D22">
        <w:rPr>
          <w:noProof/>
        </w:rPr>
        <w:t>the cornerstones</w:t>
      </w:r>
      <w:r w:rsidRPr="00193A9A">
        <w:rPr>
          <w:noProof/>
        </w:rPr>
        <w:t xml:space="preserve"> of</w:t>
      </w:r>
      <w:r w:rsidR="004A4B68" w:rsidRPr="00193A9A">
        <w:rPr>
          <w:noProof/>
        </w:rPr>
        <w:t xml:space="preserve"> </w:t>
      </w:r>
      <w:r w:rsidRPr="00193A9A">
        <w:rPr>
          <w:noProof/>
        </w:rPr>
        <w:t>th</w:t>
      </w:r>
      <w:r w:rsidR="00C322F9" w:rsidRPr="00193A9A">
        <w:rPr>
          <w:noProof/>
        </w:rPr>
        <w:t>e</w:t>
      </w:r>
      <w:r w:rsidRPr="00193A9A">
        <w:rPr>
          <w:noProof/>
        </w:rPr>
        <w:t xml:space="preserve"> </w:t>
      </w:r>
      <w:r w:rsidR="000A2C17" w:rsidRPr="00193A9A">
        <w:rPr>
          <w:noProof/>
        </w:rPr>
        <w:t>EU’s</w:t>
      </w:r>
      <w:r w:rsidR="008213D8" w:rsidRPr="00193A9A">
        <w:rPr>
          <w:noProof/>
        </w:rPr>
        <w:t xml:space="preserve"> </w:t>
      </w:r>
      <w:r w:rsidR="00800D22">
        <w:rPr>
          <w:noProof/>
        </w:rPr>
        <w:t>efforts</w:t>
      </w:r>
      <w:r w:rsidR="00800D22" w:rsidRPr="00193A9A">
        <w:rPr>
          <w:noProof/>
        </w:rPr>
        <w:t xml:space="preserve"> </w:t>
      </w:r>
      <w:r w:rsidR="008B3216" w:rsidRPr="00193A9A">
        <w:rPr>
          <w:noProof/>
        </w:rPr>
        <w:t xml:space="preserve">to </w:t>
      </w:r>
      <w:r w:rsidR="000A2C17" w:rsidRPr="00193A9A">
        <w:rPr>
          <w:noProof/>
        </w:rPr>
        <w:t>build a Union of Equality</w:t>
      </w:r>
      <w:r w:rsidR="0074177C" w:rsidRPr="00193A9A">
        <w:rPr>
          <w:noProof/>
        </w:rPr>
        <w:t>. The Racial Equality Directive requires people</w:t>
      </w:r>
      <w:r w:rsidR="00FE3EC4">
        <w:rPr>
          <w:noProof/>
        </w:rPr>
        <w:t xml:space="preserve"> to</w:t>
      </w:r>
      <w:r w:rsidR="0074177C" w:rsidRPr="00193A9A">
        <w:rPr>
          <w:noProof/>
        </w:rPr>
        <w:t xml:space="preserve"> be treated equally in the </w:t>
      </w:r>
      <w:r w:rsidR="003A34E3">
        <w:rPr>
          <w:noProof/>
        </w:rPr>
        <w:t>fields</w:t>
      </w:r>
      <w:r w:rsidR="003A34E3" w:rsidRPr="00193A9A">
        <w:rPr>
          <w:noProof/>
        </w:rPr>
        <w:t xml:space="preserve"> </w:t>
      </w:r>
      <w:r w:rsidR="0074177C" w:rsidRPr="00193A9A">
        <w:rPr>
          <w:noProof/>
        </w:rPr>
        <w:t xml:space="preserve">of employment and vocational training, education, social protection </w:t>
      </w:r>
      <w:r w:rsidR="008036CD">
        <w:rPr>
          <w:noProof/>
        </w:rPr>
        <w:t>(</w:t>
      </w:r>
      <w:r w:rsidR="0074177C" w:rsidRPr="00193A9A">
        <w:rPr>
          <w:noProof/>
        </w:rPr>
        <w:t>including social security and healthcare</w:t>
      </w:r>
      <w:r w:rsidR="008036CD">
        <w:rPr>
          <w:noProof/>
        </w:rPr>
        <w:t>)</w:t>
      </w:r>
      <w:r w:rsidR="0074177C" w:rsidRPr="00193A9A">
        <w:rPr>
          <w:noProof/>
        </w:rPr>
        <w:t>,</w:t>
      </w:r>
      <w:r w:rsidR="008036CD">
        <w:rPr>
          <w:noProof/>
        </w:rPr>
        <w:t xml:space="preserve"> and</w:t>
      </w:r>
      <w:r w:rsidR="0074177C" w:rsidRPr="00193A9A">
        <w:rPr>
          <w:noProof/>
        </w:rPr>
        <w:t xml:space="preserve"> access to and supply of goods and services (including housing), regardless of their racial or ethnic origin. The Employment Equality Directive requires people</w:t>
      </w:r>
      <w:r w:rsidR="00FE3EC4">
        <w:rPr>
          <w:noProof/>
        </w:rPr>
        <w:t xml:space="preserve"> to</w:t>
      </w:r>
      <w:r w:rsidR="0074177C" w:rsidRPr="00193A9A">
        <w:rPr>
          <w:noProof/>
        </w:rPr>
        <w:t xml:space="preserve"> be treated equally in employment and vocational training</w:t>
      </w:r>
      <w:r w:rsidR="008036CD">
        <w:rPr>
          <w:noProof/>
        </w:rPr>
        <w:t>,</w:t>
      </w:r>
      <w:r w:rsidR="0074177C" w:rsidRPr="00193A9A">
        <w:rPr>
          <w:noProof/>
        </w:rPr>
        <w:t xml:space="preserve"> regardless of their religion or belief, disability, age </w:t>
      </w:r>
      <w:r w:rsidR="008036CD">
        <w:rPr>
          <w:noProof/>
        </w:rPr>
        <w:t>or</w:t>
      </w:r>
      <w:r w:rsidR="008036CD" w:rsidRPr="00193A9A">
        <w:rPr>
          <w:noProof/>
        </w:rPr>
        <w:t xml:space="preserve"> </w:t>
      </w:r>
      <w:r w:rsidR="0074177C" w:rsidRPr="00193A9A">
        <w:rPr>
          <w:noProof/>
        </w:rPr>
        <w:t>sexual orientatio</w:t>
      </w:r>
      <w:r w:rsidR="00E8758D" w:rsidRPr="00193A9A">
        <w:rPr>
          <w:noProof/>
        </w:rPr>
        <w:t>n</w:t>
      </w:r>
      <w:r w:rsidR="0074177C" w:rsidRPr="00193A9A">
        <w:rPr>
          <w:noProof/>
        </w:rPr>
        <w:t>.</w:t>
      </w:r>
    </w:p>
    <w:p w14:paraId="7610549B" w14:textId="7C0BB949" w:rsidR="00E266EC" w:rsidRPr="00193A9A" w:rsidRDefault="000D1EE4" w:rsidP="007D792F">
      <w:pPr>
        <w:pStyle w:val="Text1"/>
        <w:rPr>
          <w:noProof/>
        </w:rPr>
      </w:pPr>
      <w:r w:rsidRPr="00193A9A">
        <w:rPr>
          <w:noProof/>
        </w:rPr>
        <w:t xml:space="preserve">The </w:t>
      </w:r>
      <w:r w:rsidR="0074177C" w:rsidRPr="00193A9A">
        <w:rPr>
          <w:noProof/>
        </w:rPr>
        <w:t>Directives</w:t>
      </w:r>
      <w:r w:rsidR="000A2C17" w:rsidRPr="00193A9A">
        <w:rPr>
          <w:noProof/>
        </w:rPr>
        <w:t xml:space="preserve"> </w:t>
      </w:r>
      <w:r w:rsidR="008B3216" w:rsidRPr="00193A9A">
        <w:rPr>
          <w:noProof/>
        </w:rPr>
        <w:t xml:space="preserve">implement the </w:t>
      </w:r>
      <w:r w:rsidR="006B17E2" w:rsidRPr="00193A9A">
        <w:rPr>
          <w:noProof/>
        </w:rPr>
        <w:t xml:space="preserve">fundamental values </w:t>
      </w:r>
      <w:r w:rsidR="008B3216" w:rsidRPr="00193A9A">
        <w:rPr>
          <w:noProof/>
        </w:rPr>
        <w:t>enshrined in Article</w:t>
      </w:r>
      <w:r w:rsidR="00193A9A">
        <w:rPr>
          <w:noProof/>
        </w:rPr>
        <w:t> </w:t>
      </w:r>
      <w:r w:rsidR="008B3216" w:rsidRPr="00193A9A">
        <w:rPr>
          <w:noProof/>
        </w:rPr>
        <w:t xml:space="preserve">2 of the Treaty on European Union. </w:t>
      </w:r>
      <w:r w:rsidRPr="00193A9A">
        <w:rPr>
          <w:noProof/>
        </w:rPr>
        <w:t>Since 2000, they have played a key role in</w:t>
      </w:r>
      <w:r w:rsidR="007364EC" w:rsidRPr="00193A9A">
        <w:rPr>
          <w:noProof/>
        </w:rPr>
        <w:t xml:space="preserve"> ensuring </w:t>
      </w:r>
      <w:r w:rsidRPr="00193A9A">
        <w:rPr>
          <w:noProof/>
        </w:rPr>
        <w:t xml:space="preserve">that </w:t>
      </w:r>
      <w:r w:rsidR="007364EC" w:rsidRPr="00193A9A">
        <w:rPr>
          <w:noProof/>
        </w:rPr>
        <w:t>all individuals</w:t>
      </w:r>
      <w:r w:rsidRPr="00193A9A">
        <w:rPr>
          <w:noProof/>
        </w:rPr>
        <w:t xml:space="preserve"> can participate fully</w:t>
      </w:r>
      <w:r w:rsidR="007364EC" w:rsidRPr="00193A9A">
        <w:rPr>
          <w:noProof/>
        </w:rPr>
        <w:t xml:space="preserve"> in economic, cultural and social life</w:t>
      </w:r>
      <w:r w:rsidR="007D792F" w:rsidRPr="00193A9A">
        <w:rPr>
          <w:noProof/>
        </w:rPr>
        <w:t xml:space="preserve">, free from discrimination on the grounds of racial or ethnic origin, religion or belief, disability, age </w:t>
      </w:r>
      <w:r w:rsidR="001C02EC">
        <w:rPr>
          <w:noProof/>
        </w:rPr>
        <w:t>or</w:t>
      </w:r>
      <w:r w:rsidR="001C02EC" w:rsidRPr="00193A9A">
        <w:rPr>
          <w:noProof/>
        </w:rPr>
        <w:t xml:space="preserve"> </w:t>
      </w:r>
      <w:r w:rsidR="007D792F" w:rsidRPr="00193A9A">
        <w:rPr>
          <w:noProof/>
        </w:rPr>
        <w:t>sexual orientation.</w:t>
      </w:r>
    </w:p>
    <w:p w14:paraId="68E77E68" w14:textId="54A2D644" w:rsidR="00442773" w:rsidRPr="00193A9A" w:rsidRDefault="00442773" w:rsidP="007D792F">
      <w:pPr>
        <w:pStyle w:val="Text1"/>
        <w:rPr>
          <w:noProof/>
        </w:rPr>
      </w:pPr>
      <w:r w:rsidRPr="00193A9A">
        <w:rPr>
          <w:b/>
          <w:bCs/>
          <w:noProof/>
        </w:rPr>
        <w:t xml:space="preserve">A significant development </w:t>
      </w:r>
      <w:r w:rsidR="00E3576F">
        <w:rPr>
          <w:b/>
          <w:bCs/>
          <w:noProof/>
        </w:rPr>
        <w:t>over</w:t>
      </w:r>
      <w:r w:rsidR="00E3576F" w:rsidRPr="00193A9A">
        <w:rPr>
          <w:b/>
          <w:bCs/>
          <w:noProof/>
        </w:rPr>
        <w:t xml:space="preserve"> </w:t>
      </w:r>
      <w:r w:rsidRPr="00193A9A">
        <w:rPr>
          <w:b/>
          <w:bCs/>
          <w:noProof/>
        </w:rPr>
        <w:t>this period has been the</w:t>
      </w:r>
      <w:r w:rsidR="00E3576F">
        <w:rPr>
          <w:b/>
          <w:bCs/>
          <w:noProof/>
        </w:rPr>
        <w:t xml:space="preserve"> role of the</w:t>
      </w:r>
      <w:r w:rsidRPr="00193A9A">
        <w:rPr>
          <w:b/>
          <w:bCs/>
          <w:noProof/>
        </w:rPr>
        <w:t xml:space="preserve"> Court of Justice of the European Union (CJEU) </w:t>
      </w:r>
      <w:r w:rsidR="00F52432">
        <w:rPr>
          <w:b/>
          <w:bCs/>
          <w:noProof/>
        </w:rPr>
        <w:t xml:space="preserve">case-law </w:t>
      </w:r>
      <w:r w:rsidRPr="00193A9A">
        <w:rPr>
          <w:b/>
          <w:bCs/>
          <w:noProof/>
        </w:rPr>
        <w:t>in clarifying</w:t>
      </w:r>
      <w:r w:rsidR="00E3576F">
        <w:rPr>
          <w:b/>
          <w:bCs/>
          <w:noProof/>
        </w:rPr>
        <w:t xml:space="preserve"> the</w:t>
      </w:r>
      <w:r w:rsidRPr="00193A9A">
        <w:rPr>
          <w:b/>
          <w:bCs/>
          <w:noProof/>
        </w:rPr>
        <w:t xml:space="preserve"> fundamental concepts of non-discrimination law</w:t>
      </w:r>
      <w:r w:rsidRPr="003A34E3">
        <w:rPr>
          <w:b/>
          <w:bCs/>
          <w:noProof/>
        </w:rPr>
        <w:t>.</w:t>
      </w:r>
      <w:r w:rsidRPr="00193A9A">
        <w:rPr>
          <w:noProof/>
        </w:rPr>
        <w:t xml:space="preserve"> </w:t>
      </w:r>
      <w:r w:rsidR="00F52432">
        <w:rPr>
          <w:noProof/>
        </w:rPr>
        <w:t>In particular, t</w:t>
      </w:r>
      <w:r w:rsidRPr="00193A9A">
        <w:rPr>
          <w:noProof/>
        </w:rPr>
        <w:t xml:space="preserve">hrough </w:t>
      </w:r>
      <w:r w:rsidR="00E3576F">
        <w:rPr>
          <w:noProof/>
        </w:rPr>
        <w:t>the many</w:t>
      </w:r>
      <w:r w:rsidR="00E3576F" w:rsidRPr="00193A9A">
        <w:rPr>
          <w:noProof/>
        </w:rPr>
        <w:t xml:space="preserve"> </w:t>
      </w:r>
      <w:r w:rsidRPr="00193A9A">
        <w:rPr>
          <w:noProof/>
        </w:rPr>
        <w:t xml:space="preserve">preliminary rulings </w:t>
      </w:r>
      <w:r w:rsidR="00E3576F">
        <w:rPr>
          <w:noProof/>
        </w:rPr>
        <w:t xml:space="preserve">it has issued at the </w:t>
      </w:r>
      <w:r w:rsidRPr="00193A9A">
        <w:rPr>
          <w:noProof/>
        </w:rPr>
        <w:t xml:space="preserve">request </w:t>
      </w:r>
      <w:r w:rsidR="00E3576F">
        <w:rPr>
          <w:noProof/>
        </w:rPr>
        <w:t>of</w:t>
      </w:r>
      <w:r w:rsidRPr="00193A9A">
        <w:rPr>
          <w:noProof/>
        </w:rPr>
        <w:t xml:space="preserve"> national courts, the CJEU has </w:t>
      </w:r>
      <w:r w:rsidR="00DB4897">
        <w:rPr>
          <w:noProof/>
        </w:rPr>
        <w:t>significantly</w:t>
      </w:r>
      <w:r w:rsidR="00DB4897" w:rsidRPr="00193A9A">
        <w:rPr>
          <w:noProof/>
        </w:rPr>
        <w:t xml:space="preserve"> </w:t>
      </w:r>
      <w:r w:rsidRPr="00193A9A">
        <w:rPr>
          <w:noProof/>
        </w:rPr>
        <w:t>enhanced anti-discrimination protection across the EU. Th</w:t>
      </w:r>
      <w:r w:rsidR="00F52432">
        <w:rPr>
          <w:noProof/>
        </w:rPr>
        <w:t>e</w:t>
      </w:r>
      <w:r w:rsidR="00200B00">
        <w:rPr>
          <w:noProof/>
        </w:rPr>
        <w:t xml:space="preserve"> </w:t>
      </w:r>
      <w:r w:rsidRPr="00193A9A">
        <w:rPr>
          <w:noProof/>
        </w:rPr>
        <w:t xml:space="preserve">minimal challenges reported by Member States </w:t>
      </w:r>
      <w:r w:rsidR="006D7DA6">
        <w:rPr>
          <w:noProof/>
        </w:rPr>
        <w:t xml:space="preserve">in implementing </w:t>
      </w:r>
      <w:r w:rsidRPr="00193A9A">
        <w:rPr>
          <w:noProof/>
        </w:rPr>
        <w:t>the core principles of EU non-discrimination law</w:t>
      </w:r>
      <w:r w:rsidR="00200B00">
        <w:rPr>
          <w:noProof/>
        </w:rPr>
        <w:t xml:space="preserve"> confirm the enhanced clarity achieved through CJEU rulings</w:t>
      </w:r>
      <w:r w:rsidRPr="00193A9A">
        <w:rPr>
          <w:noProof/>
        </w:rPr>
        <w:t>.</w:t>
      </w:r>
    </w:p>
    <w:p w14:paraId="1B4DA23D" w14:textId="1BBCD06A" w:rsidR="008B3216" w:rsidRPr="00193A9A" w:rsidRDefault="002F1D70" w:rsidP="00E266EC">
      <w:pPr>
        <w:pStyle w:val="Text1"/>
        <w:rPr>
          <w:noProof/>
        </w:rPr>
      </w:pPr>
      <w:r>
        <w:rPr>
          <w:noProof/>
        </w:rPr>
        <w:t>Nevertheless</w:t>
      </w:r>
      <w:r w:rsidR="00C570D7" w:rsidRPr="00193A9A">
        <w:rPr>
          <w:noProof/>
        </w:rPr>
        <w:t>,</w:t>
      </w:r>
      <w:r w:rsidR="00C322F9" w:rsidRPr="00193A9A">
        <w:rPr>
          <w:noProof/>
        </w:rPr>
        <w:t xml:space="preserve"> more than 25 years after the adoption of the Directives,</w:t>
      </w:r>
      <w:r w:rsidR="00C570D7" w:rsidRPr="00193A9A">
        <w:rPr>
          <w:b/>
          <w:bCs/>
          <w:noProof/>
        </w:rPr>
        <w:t xml:space="preserve"> </w:t>
      </w:r>
      <w:r w:rsidR="00104987" w:rsidRPr="00193A9A">
        <w:rPr>
          <w:b/>
          <w:bCs/>
          <w:noProof/>
        </w:rPr>
        <w:t xml:space="preserve">ensuring that individuals </w:t>
      </w:r>
      <w:r w:rsidR="00F42460" w:rsidRPr="00193A9A">
        <w:rPr>
          <w:b/>
          <w:bCs/>
          <w:noProof/>
        </w:rPr>
        <w:t>have effective recourse to</w:t>
      </w:r>
      <w:r w:rsidR="00104987" w:rsidRPr="00193A9A">
        <w:rPr>
          <w:b/>
          <w:bCs/>
          <w:noProof/>
        </w:rPr>
        <w:t xml:space="preserve"> </w:t>
      </w:r>
      <w:r w:rsidR="00C570D7" w:rsidRPr="00193A9A">
        <w:rPr>
          <w:b/>
          <w:bCs/>
          <w:noProof/>
        </w:rPr>
        <w:t xml:space="preserve">the right to non-discrimination </w:t>
      </w:r>
      <w:r w:rsidR="000A2C17" w:rsidRPr="00193A9A">
        <w:rPr>
          <w:b/>
          <w:bCs/>
          <w:noProof/>
        </w:rPr>
        <w:t xml:space="preserve">and equal treatment </w:t>
      </w:r>
      <w:r w:rsidR="00C570D7" w:rsidRPr="00193A9A">
        <w:rPr>
          <w:b/>
          <w:bCs/>
          <w:noProof/>
        </w:rPr>
        <w:t>remains a considerable challenge</w:t>
      </w:r>
      <w:r w:rsidR="00C570D7" w:rsidRPr="00193A9A">
        <w:rPr>
          <w:noProof/>
        </w:rPr>
        <w:t>.</w:t>
      </w:r>
    </w:p>
    <w:p w14:paraId="31DCECE4" w14:textId="39F2DFA5" w:rsidR="00522840" w:rsidRDefault="000B73B0" w:rsidP="00442773">
      <w:pPr>
        <w:pStyle w:val="Text1"/>
        <w:rPr>
          <w:noProof/>
        </w:rPr>
      </w:pPr>
      <w:r w:rsidRPr="00193A9A">
        <w:rPr>
          <w:noProof/>
        </w:rPr>
        <w:t>Every five years,</w:t>
      </w:r>
      <w:r w:rsidR="008213D8" w:rsidRPr="00193A9A">
        <w:rPr>
          <w:noProof/>
        </w:rPr>
        <w:t xml:space="preserve"> the Commission </w:t>
      </w:r>
      <w:r w:rsidR="008B5B38">
        <w:rPr>
          <w:noProof/>
        </w:rPr>
        <w:t>must</w:t>
      </w:r>
      <w:r w:rsidR="002F1D70" w:rsidRPr="00193A9A">
        <w:rPr>
          <w:noProof/>
        </w:rPr>
        <w:t xml:space="preserve"> </w:t>
      </w:r>
      <w:r w:rsidRPr="00193A9A">
        <w:rPr>
          <w:noProof/>
        </w:rPr>
        <w:t>provide</w:t>
      </w:r>
      <w:r w:rsidR="00455D06" w:rsidRPr="00193A9A">
        <w:rPr>
          <w:noProof/>
        </w:rPr>
        <w:t xml:space="preserve"> information</w:t>
      </w:r>
      <w:r w:rsidR="008213D8" w:rsidRPr="00193A9A">
        <w:rPr>
          <w:noProof/>
        </w:rPr>
        <w:t xml:space="preserve"> on </w:t>
      </w:r>
      <w:r w:rsidR="00106C3E" w:rsidRPr="00193A9A">
        <w:rPr>
          <w:noProof/>
        </w:rPr>
        <w:t>t</w:t>
      </w:r>
      <w:r w:rsidR="008213D8" w:rsidRPr="00193A9A">
        <w:rPr>
          <w:noProof/>
        </w:rPr>
        <w:t xml:space="preserve">he application of the Directives </w:t>
      </w:r>
      <w:r w:rsidR="00455D06" w:rsidRPr="00193A9A">
        <w:rPr>
          <w:noProof/>
        </w:rPr>
        <w:t>to</w:t>
      </w:r>
      <w:r w:rsidR="008213D8" w:rsidRPr="00193A9A">
        <w:rPr>
          <w:noProof/>
        </w:rPr>
        <w:t xml:space="preserve"> the European Parliament and the Council</w:t>
      </w:r>
      <w:r w:rsidR="00334612">
        <w:rPr>
          <w:noProof/>
        </w:rPr>
        <w:t> </w:t>
      </w:r>
      <w:r w:rsidR="008213D8" w:rsidRPr="00193A9A">
        <w:rPr>
          <w:noProof/>
        </w:rPr>
        <w:t>(</w:t>
      </w:r>
      <w:r w:rsidR="008213D8" w:rsidRPr="00193A9A">
        <w:rPr>
          <w:rStyle w:val="FootnoteReference"/>
          <w:noProof/>
        </w:rPr>
        <w:footnoteReference w:id="3"/>
      </w:r>
      <w:r w:rsidR="008213D8" w:rsidRPr="00193A9A">
        <w:rPr>
          <w:noProof/>
        </w:rPr>
        <w:t xml:space="preserve">). </w:t>
      </w:r>
      <w:r w:rsidR="002F1D70">
        <w:rPr>
          <w:noProof/>
        </w:rPr>
        <w:t>T</w:t>
      </w:r>
      <w:r w:rsidRPr="00193A9A">
        <w:rPr>
          <w:noProof/>
        </w:rPr>
        <w:t xml:space="preserve">his report </w:t>
      </w:r>
      <w:r w:rsidR="002F1D70">
        <w:rPr>
          <w:noProof/>
        </w:rPr>
        <w:t xml:space="preserve">fulfils that obligation, while also </w:t>
      </w:r>
      <w:r w:rsidRPr="00193A9A">
        <w:rPr>
          <w:noProof/>
        </w:rPr>
        <w:t>illustrat</w:t>
      </w:r>
      <w:r w:rsidR="002F1D70">
        <w:rPr>
          <w:noProof/>
        </w:rPr>
        <w:t>ing</w:t>
      </w:r>
      <w:r w:rsidRPr="00193A9A">
        <w:rPr>
          <w:noProof/>
        </w:rPr>
        <w:t xml:space="preserve"> </w:t>
      </w:r>
      <w:r w:rsidR="008A4AB4" w:rsidRPr="00193A9A">
        <w:rPr>
          <w:noProof/>
        </w:rPr>
        <w:t xml:space="preserve">the progress made and </w:t>
      </w:r>
      <w:r w:rsidRPr="00193A9A">
        <w:rPr>
          <w:noProof/>
        </w:rPr>
        <w:t xml:space="preserve">the ongoing challenges </w:t>
      </w:r>
      <w:r w:rsidR="002F1D70">
        <w:rPr>
          <w:noProof/>
        </w:rPr>
        <w:t xml:space="preserve">faced </w:t>
      </w:r>
      <w:r w:rsidRPr="00193A9A">
        <w:rPr>
          <w:noProof/>
        </w:rPr>
        <w:t xml:space="preserve">in </w:t>
      </w:r>
      <w:r w:rsidR="003B2D6F" w:rsidRPr="00193A9A">
        <w:rPr>
          <w:noProof/>
        </w:rPr>
        <w:t xml:space="preserve">applying and </w:t>
      </w:r>
      <w:r w:rsidRPr="00193A9A">
        <w:rPr>
          <w:noProof/>
        </w:rPr>
        <w:t xml:space="preserve">enforcing </w:t>
      </w:r>
      <w:r w:rsidR="00EF54B2" w:rsidRPr="00193A9A">
        <w:rPr>
          <w:noProof/>
        </w:rPr>
        <w:t xml:space="preserve">non-discrimination </w:t>
      </w:r>
      <w:r w:rsidRPr="00193A9A">
        <w:rPr>
          <w:noProof/>
        </w:rPr>
        <w:t>law.</w:t>
      </w:r>
      <w:r w:rsidR="008213D8" w:rsidRPr="00193A9A">
        <w:rPr>
          <w:noProof/>
        </w:rPr>
        <w:t xml:space="preserve"> </w:t>
      </w:r>
      <w:r w:rsidR="001529E3" w:rsidRPr="00193A9A">
        <w:rPr>
          <w:noProof/>
        </w:rPr>
        <w:t xml:space="preserve">It covers the period </w:t>
      </w:r>
      <w:r w:rsidR="008A4AB4" w:rsidRPr="00193A9A">
        <w:rPr>
          <w:noProof/>
        </w:rPr>
        <w:t xml:space="preserve">from </w:t>
      </w:r>
      <w:r w:rsidR="001529E3" w:rsidRPr="00193A9A">
        <w:rPr>
          <w:noProof/>
        </w:rPr>
        <w:t>2021</w:t>
      </w:r>
      <w:r w:rsidR="008A4AB4" w:rsidRPr="00193A9A">
        <w:rPr>
          <w:noProof/>
        </w:rPr>
        <w:t xml:space="preserve"> to </w:t>
      </w:r>
      <w:r w:rsidR="001529E3" w:rsidRPr="00193A9A">
        <w:rPr>
          <w:noProof/>
        </w:rPr>
        <w:t>2025</w:t>
      </w:r>
      <w:r w:rsidR="008A4AB4" w:rsidRPr="00193A9A">
        <w:rPr>
          <w:noProof/>
        </w:rPr>
        <w:t xml:space="preserve"> and</w:t>
      </w:r>
      <w:r w:rsidR="001529E3" w:rsidRPr="00193A9A">
        <w:rPr>
          <w:noProof/>
        </w:rPr>
        <w:t xml:space="preserve"> </w:t>
      </w:r>
      <w:r w:rsidR="003A34E3">
        <w:rPr>
          <w:noProof/>
        </w:rPr>
        <w:t>outlines</w:t>
      </w:r>
      <w:r w:rsidR="003A34E3" w:rsidRPr="00193A9A">
        <w:rPr>
          <w:noProof/>
        </w:rPr>
        <w:t xml:space="preserve"> </w:t>
      </w:r>
      <w:r w:rsidR="002F1D70">
        <w:rPr>
          <w:noProof/>
        </w:rPr>
        <w:t xml:space="preserve">the </w:t>
      </w:r>
      <w:r w:rsidR="004A70E2" w:rsidRPr="00193A9A">
        <w:rPr>
          <w:noProof/>
        </w:rPr>
        <w:t xml:space="preserve">developments since the </w:t>
      </w:r>
      <w:r w:rsidR="0039261F">
        <w:rPr>
          <w:noProof/>
        </w:rPr>
        <w:t>last</w:t>
      </w:r>
      <w:r w:rsidR="002F1D70" w:rsidRPr="00193A9A">
        <w:rPr>
          <w:noProof/>
        </w:rPr>
        <w:t xml:space="preserve"> </w:t>
      </w:r>
      <w:r w:rsidR="001529E3" w:rsidRPr="00193A9A">
        <w:rPr>
          <w:noProof/>
        </w:rPr>
        <w:t>report</w:t>
      </w:r>
      <w:r w:rsidR="008A4AB4" w:rsidRPr="00193A9A">
        <w:rPr>
          <w:noProof/>
        </w:rPr>
        <w:t>, which was</w:t>
      </w:r>
      <w:r w:rsidR="001529E3" w:rsidRPr="00193A9A">
        <w:rPr>
          <w:noProof/>
        </w:rPr>
        <w:t xml:space="preserve"> published </w:t>
      </w:r>
      <w:r w:rsidR="004A70E2" w:rsidRPr="00193A9A">
        <w:rPr>
          <w:noProof/>
        </w:rPr>
        <w:t>in March 2021 (</w:t>
      </w:r>
      <w:r w:rsidR="004A70E2" w:rsidRPr="00193A9A">
        <w:rPr>
          <w:rStyle w:val="FootnoteReference"/>
          <w:noProof/>
        </w:rPr>
        <w:footnoteReference w:id="4"/>
      </w:r>
      <w:r w:rsidR="004A70E2" w:rsidRPr="00193A9A">
        <w:rPr>
          <w:noProof/>
        </w:rPr>
        <w:t>).</w:t>
      </w:r>
    </w:p>
    <w:p w14:paraId="067D2450" w14:textId="2F10CCEA" w:rsidR="00C113FB" w:rsidRPr="00193A9A" w:rsidRDefault="00C113FB" w:rsidP="00442773">
      <w:pPr>
        <w:pStyle w:val="Text1"/>
        <w:rPr>
          <w:noProof/>
        </w:rPr>
      </w:pPr>
      <w:r w:rsidRPr="00193A9A">
        <w:rPr>
          <w:noProof/>
        </w:rPr>
        <w:t>Th</w:t>
      </w:r>
      <w:r>
        <w:rPr>
          <w:noProof/>
        </w:rPr>
        <w:t>is</w:t>
      </w:r>
      <w:r w:rsidRPr="00193A9A">
        <w:rPr>
          <w:noProof/>
        </w:rPr>
        <w:t xml:space="preserve"> report </w:t>
      </w:r>
      <w:r>
        <w:rPr>
          <w:noProof/>
        </w:rPr>
        <w:t>follows up on</w:t>
      </w:r>
      <w:r w:rsidRPr="00193A9A">
        <w:rPr>
          <w:noProof/>
        </w:rPr>
        <w:t xml:space="preserve"> the EU’s equality action plans and strategies, in particular, the EU anti-racism strategy 2026-2030</w:t>
      </w:r>
      <w:r>
        <w:rPr>
          <w:noProof/>
        </w:rPr>
        <w:t> </w:t>
      </w:r>
      <w:r w:rsidRPr="00193A9A">
        <w:rPr>
          <w:noProof/>
        </w:rPr>
        <w:t>(</w:t>
      </w:r>
      <w:r w:rsidRPr="00193A9A">
        <w:rPr>
          <w:rStyle w:val="FootnoteReference"/>
          <w:noProof/>
        </w:rPr>
        <w:footnoteReference w:id="5"/>
      </w:r>
      <w:r w:rsidRPr="00193A9A">
        <w:rPr>
          <w:noProof/>
        </w:rPr>
        <w:t>) and the LGBTIQ+ equality strategy 2026-2030 (</w:t>
      </w:r>
      <w:r w:rsidRPr="00193A9A">
        <w:rPr>
          <w:rStyle w:val="FootnoteReference"/>
          <w:noProof/>
        </w:rPr>
        <w:footnoteReference w:id="6"/>
      </w:r>
      <w:r w:rsidRPr="00193A9A">
        <w:rPr>
          <w:noProof/>
        </w:rPr>
        <w:t>).</w:t>
      </w:r>
      <w:r>
        <w:rPr>
          <w:noProof/>
        </w:rPr>
        <w:t xml:space="preserve"> </w:t>
      </w:r>
      <w:r w:rsidR="00CC1C37">
        <w:rPr>
          <w:noProof/>
        </w:rPr>
        <w:t>These strategies stress that ensuring effective application of the EU anti-discrimination law is a Commission priority and emphasise the importance of effective sanctions against discrimination. The report is a key action for delivering on the anti-racism strategy’s commitment to ensuring the effective implementation of the Racial Equality Directive, in particular by focusing on its enforcement and application in cases of algorithmic discrimination. T</w:t>
      </w:r>
      <w:r w:rsidR="00CC1C37" w:rsidRPr="00193A9A">
        <w:rPr>
          <w:noProof/>
        </w:rPr>
        <w:t xml:space="preserve">he report </w:t>
      </w:r>
      <w:r w:rsidR="00CC1C37">
        <w:rPr>
          <w:noProof/>
        </w:rPr>
        <w:t xml:space="preserve">also </w:t>
      </w:r>
      <w:r w:rsidR="00CC1C37" w:rsidRPr="00193A9A">
        <w:rPr>
          <w:noProof/>
        </w:rPr>
        <w:t xml:space="preserve">discusses the </w:t>
      </w:r>
      <w:r w:rsidR="00C73366">
        <w:rPr>
          <w:noProof/>
        </w:rPr>
        <w:t>application</w:t>
      </w:r>
      <w:r w:rsidR="00CC1C37" w:rsidRPr="00193A9A">
        <w:rPr>
          <w:noProof/>
        </w:rPr>
        <w:t xml:space="preserve"> of the Directives to address structural discrimination</w:t>
      </w:r>
      <w:r w:rsidR="00C73366">
        <w:rPr>
          <w:noProof/>
        </w:rPr>
        <w:t>.</w:t>
      </w:r>
    </w:p>
    <w:p w14:paraId="2AF8E66C" w14:textId="043C7260" w:rsidR="00A85BDA" w:rsidRPr="00193A9A" w:rsidRDefault="000A2C17" w:rsidP="00710F29">
      <w:pPr>
        <w:pStyle w:val="Text1"/>
        <w:rPr>
          <w:noProof/>
        </w:rPr>
      </w:pPr>
      <w:r w:rsidRPr="00193A9A">
        <w:rPr>
          <w:noProof/>
        </w:rPr>
        <w:t>V</w:t>
      </w:r>
      <w:r w:rsidR="005A784C" w:rsidRPr="00193A9A">
        <w:rPr>
          <w:noProof/>
        </w:rPr>
        <w:t xml:space="preserve">ictims rarely report discrimination to institutions. </w:t>
      </w:r>
      <w:r w:rsidR="007905F7">
        <w:rPr>
          <w:noProof/>
        </w:rPr>
        <w:t>A</w:t>
      </w:r>
      <w:r w:rsidR="007F3D8A">
        <w:rPr>
          <w:noProof/>
        </w:rPr>
        <w:t>ccording to</w:t>
      </w:r>
      <w:r w:rsidR="007F3D8A" w:rsidRPr="00193A9A">
        <w:rPr>
          <w:noProof/>
        </w:rPr>
        <w:t xml:space="preserve"> </w:t>
      </w:r>
      <w:r w:rsidR="007F3D8A">
        <w:rPr>
          <w:noProof/>
        </w:rPr>
        <w:t>various</w:t>
      </w:r>
      <w:r w:rsidR="007F3D8A" w:rsidRPr="00193A9A">
        <w:rPr>
          <w:noProof/>
        </w:rPr>
        <w:t xml:space="preserve"> </w:t>
      </w:r>
      <w:r w:rsidR="005A784C" w:rsidRPr="00193A9A">
        <w:rPr>
          <w:noProof/>
        </w:rPr>
        <w:t>surveys (</w:t>
      </w:r>
      <w:r w:rsidR="005A784C" w:rsidRPr="00193A9A">
        <w:rPr>
          <w:rStyle w:val="FootnoteReference"/>
          <w:noProof/>
        </w:rPr>
        <w:footnoteReference w:id="7"/>
      </w:r>
      <w:r w:rsidR="005A784C" w:rsidRPr="00193A9A">
        <w:rPr>
          <w:noProof/>
        </w:rPr>
        <w:t>) conducted by the EU Agency for Fundamental Rights (FRA)</w:t>
      </w:r>
      <w:r w:rsidR="007905F7">
        <w:rPr>
          <w:noProof/>
        </w:rPr>
        <w:t>, the reporting rate ranges from 5% to 11%</w:t>
      </w:r>
      <w:r w:rsidR="005A784C" w:rsidRPr="00193A9A">
        <w:rPr>
          <w:noProof/>
        </w:rPr>
        <w:t xml:space="preserve">. </w:t>
      </w:r>
      <w:r w:rsidR="00C1577D" w:rsidRPr="00193A9A">
        <w:rPr>
          <w:noProof/>
        </w:rPr>
        <w:t>Th</w:t>
      </w:r>
      <w:r w:rsidR="007905F7">
        <w:rPr>
          <w:noProof/>
        </w:rPr>
        <w:t>is</w:t>
      </w:r>
      <w:r w:rsidR="00C1577D" w:rsidRPr="00193A9A">
        <w:rPr>
          <w:noProof/>
        </w:rPr>
        <w:t xml:space="preserve"> under</w:t>
      </w:r>
      <w:r w:rsidR="00DB63E3">
        <w:rPr>
          <w:noProof/>
        </w:rPr>
        <w:t>-</w:t>
      </w:r>
      <w:r w:rsidR="00C1577D" w:rsidRPr="00193A9A">
        <w:rPr>
          <w:noProof/>
        </w:rPr>
        <w:t>reporting</w:t>
      </w:r>
      <w:r w:rsidR="005A784C" w:rsidRPr="00193A9A">
        <w:rPr>
          <w:noProof/>
        </w:rPr>
        <w:t xml:space="preserve"> results</w:t>
      </w:r>
      <w:r w:rsidR="00E266EC" w:rsidRPr="00193A9A">
        <w:rPr>
          <w:noProof/>
        </w:rPr>
        <w:t xml:space="preserve"> mostly</w:t>
      </w:r>
      <w:r w:rsidR="005A784C" w:rsidRPr="00193A9A">
        <w:rPr>
          <w:noProof/>
        </w:rPr>
        <w:t xml:space="preserve"> from the belief among victims that reporting discrimination will not lead to any action or change</w:t>
      </w:r>
      <w:r w:rsidR="00E266EC" w:rsidRPr="00193A9A">
        <w:rPr>
          <w:noProof/>
        </w:rPr>
        <w:t> (</w:t>
      </w:r>
      <w:r w:rsidR="00E266EC" w:rsidRPr="00193A9A">
        <w:rPr>
          <w:rStyle w:val="FootnoteReference"/>
          <w:noProof/>
        </w:rPr>
        <w:footnoteReference w:id="8"/>
      </w:r>
      <w:r w:rsidR="00E266EC" w:rsidRPr="00193A9A">
        <w:rPr>
          <w:noProof/>
        </w:rPr>
        <w:t>)</w:t>
      </w:r>
      <w:r w:rsidR="005A784C" w:rsidRPr="00193A9A">
        <w:rPr>
          <w:noProof/>
        </w:rPr>
        <w:t>.</w:t>
      </w:r>
    </w:p>
    <w:p w14:paraId="24BC2F29" w14:textId="6F8F7CB8" w:rsidR="005A784C" w:rsidRPr="00193A9A" w:rsidRDefault="003A28F7" w:rsidP="005A784C">
      <w:pPr>
        <w:pStyle w:val="Text1"/>
        <w:rPr>
          <w:noProof/>
        </w:rPr>
      </w:pPr>
      <w:r w:rsidRPr="00193A9A">
        <w:rPr>
          <w:noProof/>
        </w:rPr>
        <w:t>The</w:t>
      </w:r>
      <w:r w:rsidR="00DE2CA4" w:rsidRPr="00193A9A">
        <w:rPr>
          <w:noProof/>
        </w:rPr>
        <w:t xml:space="preserve"> l</w:t>
      </w:r>
      <w:r w:rsidR="005A784C" w:rsidRPr="00193A9A">
        <w:rPr>
          <w:noProof/>
        </w:rPr>
        <w:t xml:space="preserve">ack of trust in the existing processes and systems for reporting discrimination </w:t>
      </w:r>
      <w:r w:rsidR="00CE7DAF">
        <w:rPr>
          <w:noProof/>
        </w:rPr>
        <w:t>is</w:t>
      </w:r>
      <w:r w:rsidR="000A2C17" w:rsidRPr="00193A9A">
        <w:rPr>
          <w:noProof/>
        </w:rPr>
        <w:t xml:space="preserve"> parallel</w:t>
      </w:r>
      <w:r w:rsidR="00CE7DAF">
        <w:rPr>
          <w:noProof/>
        </w:rPr>
        <w:t>ed</w:t>
      </w:r>
      <w:r w:rsidR="000A2C17" w:rsidRPr="00193A9A">
        <w:rPr>
          <w:noProof/>
        </w:rPr>
        <w:t xml:space="preserve"> </w:t>
      </w:r>
      <w:r w:rsidR="00CE7DAF">
        <w:rPr>
          <w:noProof/>
        </w:rPr>
        <w:t>by</w:t>
      </w:r>
      <w:r w:rsidR="00CE7DAF" w:rsidRPr="00193A9A">
        <w:rPr>
          <w:noProof/>
        </w:rPr>
        <w:t xml:space="preserve"> </w:t>
      </w:r>
      <w:r w:rsidR="000A2C17" w:rsidRPr="00193A9A">
        <w:rPr>
          <w:noProof/>
        </w:rPr>
        <w:t>the</w:t>
      </w:r>
      <w:r w:rsidR="005A784C" w:rsidRPr="00193A9A">
        <w:rPr>
          <w:noProof/>
        </w:rPr>
        <w:t xml:space="preserve"> </w:t>
      </w:r>
      <w:r w:rsidR="00E01824">
        <w:rPr>
          <w:noProof/>
        </w:rPr>
        <w:t xml:space="preserve">perceived </w:t>
      </w:r>
      <w:r w:rsidR="005A784C" w:rsidRPr="00193A9A">
        <w:rPr>
          <w:noProof/>
        </w:rPr>
        <w:t xml:space="preserve">limited progress </w:t>
      </w:r>
      <w:r w:rsidR="00CE7DAF">
        <w:rPr>
          <w:noProof/>
        </w:rPr>
        <w:t>made on</w:t>
      </w:r>
      <w:r w:rsidR="00CE7DAF" w:rsidRPr="00193A9A">
        <w:rPr>
          <w:noProof/>
        </w:rPr>
        <w:t xml:space="preserve"> </w:t>
      </w:r>
      <w:r w:rsidR="005A784C" w:rsidRPr="00193A9A">
        <w:rPr>
          <w:noProof/>
        </w:rPr>
        <w:t>combating discrimination</w:t>
      </w:r>
      <w:r w:rsidR="00CE7DAF">
        <w:rPr>
          <w:noProof/>
        </w:rPr>
        <w:t> </w:t>
      </w:r>
      <w:r w:rsidR="00D864B9" w:rsidRPr="00193A9A">
        <w:rPr>
          <w:noProof/>
        </w:rPr>
        <w:t>(</w:t>
      </w:r>
      <w:r w:rsidR="00D864B9" w:rsidRPr="00193A9A">
        <w:rPr>
          <w:rStyle w:val="FootnoteReference"/>
          <w:noProof/>
        </w:rPr>
        <w:footnoteReference w:id="9"/>
      </w:r>
      <w:r w:rsidR="00D864B9" w:rsidRPr="00193A9A">
        <w:rPr>
          <w:noProof/>
        </w:rPr>
        <w:t>)</w:t>
      </w:r>
      <w:r w:rsidR="005A784C" w:rsidRPr="00193A9A">
        <w:rPr>
          <w:noProof/>
        </w:rPr>
        <w:t xml:space="preserve"> since the </w:t>
      </w:r>
      <w:r w:rsidR="00CE7DAF">
        <w:rPr>
          <w:noProof/>
        </w:rPr>
        <w:t>last</w:t>
      </w:r>
      <w:r w:rsidR="00CE7DAF" w:rsidRPr="00193A9A">
        <w:rPr>
          <w:noProof/>
        </w:rPr>
        <w:t xml:space="preserve"> </w:t>
      </w:r>
      <w:r w:rsidR="005A784C" w:rsidRPr="00193A9A">
        <w:rPr>
          <w:noProof/>
        </w:rPr>
        <w:t>report on the Directives.</w:t>
      </w:r>
    </w:p>
    <w:p w14:paraId="73C621C4" w14:textId="347546ED" w:rsidR="005A784C" w:rsidRPr="00193A9A" w:rsidRDefault="00DF7E98" w:rsidP="005A784C">
      <w:pPr>
        <w:pStyle w:val="Text1"/>
        <w:rPr>
          <w:noProof/>
        </w:rPr>
      </w:pPr>
      <w:r w:rsidRPr="00193A9A">
        <w:rPr>
          <w:noProof/>
        </w:rPr>
        <w:t>The</w:t>
      </w:r>
      <w:r w:rsidR="005A784C" w:rsidRPr="00193A9A">
        <w:rPr>
          <w:noProof/>
        </w:rPr>
        <w:t xml:space="preserve"> general population continues to view discrimination as widespread in the EU</w:t>
      </w:r>
      <w:r w:rsidR="00CF7817">
        <w:rPr>
          <w:noProof/>
        </w:rPr>
        <w:t> </w:t>
      </w:r>
      <w:r w:rsidR="005A784C" w:rsidRPr="00193A9A">
        <w:rPr>
          <w:noProof/>
        </w:rPr>
        <w:t>(</w:t>
      </w:r>
      <w:r w:rsidR="005A784C" w:rsidRPr="00193A9A">
        <w:rPr>
          <w:rStyle w:val="FootnoteReference"/>
          <w:noProof/>
        </w:rPr>
        <w:footnoteReference w:id="10"/>
      </w:r>
      <w:r w:rsidR="005A784C" w:rsidRPr="00193A9A">
        <w:rPr>
          <w:noProof/>
        </w:rPr>
        <w:t xml:space="preserve">). </w:t>
      </w:r>
      <w:r w:rsidR="00AE57F1">
        <w:rPr>
          <w:noProof/>
        </w:rPr>
        <w:t>50% of</w:t>
      </w:r>
      <w:r w:rsidR="00AE57F1" w:rsidRPr="00193A9A">
        <w:rPr>
          <w:noProof/>
        </w:rPr>
        <w:t xml:space="preserve"> </w:t>
      </w:r>
      <w:r w:rsidR="005A784C" w:rsidRPr="00193A9A">
        <w:rPr>
          <w:noProof/>
        </w:rPr>
        <w:t>respondents to the 2022 EU Minorities and Discrimination Survey (EU-MIDIS III) reported feeling discriminated against on any ground (</w:t>
      </w:r>
      <w:r w:rsidR="005A784C" w:rsidRPr="00193A9A">
        <w:rPr>
          <w:rStyle w:val="FootnoteReference"/>
          <w:noProof/>
        </w:rPr>
        <w:footnoteReference w:id="11"/>
      </w:r>
      <w:r w:rsidR="005A784C" w:rsidRPr="00193A9A">
        <w:rPr>
          <w:noProof/>
        </w:rPr>
        <w:t xml:space="preserve">) in the five years preceding the survey. </w:t>
      </w:r>
      <w:r w:rsidR="00F72E43">
        <w:rPr>
          <w:noProof/>
        </w:rPr>
        <w:t>Experiences of r</w:t>
      </w:r>
      <w:r w:rsidR="005A784C" w:rsidRPr="00193A9A">
        <w:rPr>
          <w:noProof/>
        </w:rPr>
        <w:t>acial discrimination (</w:t>
      </w:r>
      <w:r w:rsidR="005A784C" w:rsidRPr="00193A9A">
        <w:rPr>
          <w:rStyle w:val="FootnoteReference"/>
          <w:noProof/>
        </w:rPr>
        <w:footnoteReference w:id="12"/>
      </w:r>
      <w:r w:rsidR="005A784C" w:rsidRPr="00193A9A">
        <w:rPr>
          <w:noProof/>
        </w:rPr>
        <w:t xml:space="preserve">) </w:t>
      </w:r>
      <w:r w:rsidR="000A2C17" w:rsidRPr="00193A9A">
        <w:rPr>
          <w:noProof/>
        </w:rPr>
        <w:t xml:space="preserve">alone </w:t>
      </w:r>
      <w:r w:rsidR="005A784C" w:rsidRPr="00193A9A">
        <w:rPr>
          <w:noProof/>
        </w:rPr>
        <w:t>ha</w:t>
      </w:r>
      <w:r w:rsidR="00F72E43">
        <w:rPr>
          <w:noProof/>
        </w:rPr>
        <w:t>ve</w:t>
      </w:r>
      <w:r w:rsidR="005A784C" w:rsidRPr="00193A9A">
        <w:rPr>
          <w:noProof/>
        </w:rPr>
        <w:t xml:space="preserve"> increased</w:t>
      </w:r>
      <w:r w:rsidR="00D44738" w:rsidRPr="00193A9A">
        <w:rPr>
          <w:noProof/>
        </w:rPr>
        <w:t xml:space="preserve"> between 2016 and 2023</w:t>
      </w:r>
      <w:r w:rsidR="00F72E43" w:rsidRPr="00F72E43">
        <w:rPr>
          <w:noProof/>
        </w:rPr>
        <w:t> (</w:t>
      </w:r>
      <w:r w:rsidR="00F72E43">
        <w:rPr>
          <w:rStyle w:val="FootnoteReference"/>
          <w:noProof/>
        </w:rPr>
        <w:footnoteReference w:id="13"/>
      </w:r>
      <w:r w:rsidR="00F72E43">
        <w:rPr>
          <w:noProof/>
        </w:rPr>
        <w:t>)</w:t>
      </w:r>
      <w:r w:rsidR="005A784C" w:rsidRPr="00193A9A">
        <w:rPr>
          <w:noProof/>
        </w:rPr>
        <w:t>.</w:t>
      </w:r>
    </w:p>
    <w:p w14:paraId="6E7890A3" w14:textId="5C41C990" w:rsidR="009377ED" w:rsidRPr="00193A9A" w:rsidRDefault="00C570D7" w:rsidP="00C322F9">
      <w:pPr>
        <w:pStyle w:val="Text1"/>
        <w:rPr>
          <w:noProof/>
        </w:rPr>
      </w:pPr>
      <w:r w:rsidRPr="00193A9A">
        <w:rPr>
          <w:b/>
          <w:bCs/>
          <w:noProof/>
        </w:rPr>
        <w:t xml:space="preserve">The </w:t>
      </w:r>
      <w:r w:rsidR="0039261F">
        <w:rPr>
          <w:b/>
          <w:bCs/>
          <w:noProof/>
        </w:rPr>
        <w:t>last</w:t>
      </w:r>
      <w:r w:rsidR="000B1BB8" w:rsidRPr="00193A9A">
        <w:rPr>
          <w:b/>
          <w:bCs/>
          <w:noProof/>
        </w:rPr>
        <w:t xml:space="preserve"> </w:t>
      </w:r>
      <w:r w:rsidRPr="00193A9A">
        <w:rPr>
          <w:b/>
          <w:bCs/>
          <w:noProof/>
        </w:rPr>
        <w:t xml:space="preserve">report on the application of the Directives </w:t>
      </w:r>
      <w:r w:rsidR="0043658C" w:rsidRPr="00193A9A">
        <w:rPr>
          <w:b/>
          <w:bCs/>
          <w:noProof/>
        </w:rPr>
        <w:t xml:space="preserve">already </w:t>
      </w:r>
      <w:r w:rsidRPr="00193A9A">
        <w:rPr>
          <w:b/>
          <w:bCs/>
          <w:noProof/>
        </w:rPr>
        <w:t>highlighted several key issues.</w:t>
      </w:r>
      <w:r w:rsidRPr="00193A9A">
        <w:rPr>
          <w:noProof/>
        </w:rPr>
        <w:t xml:space="preserve"> These included victims</w:t>
      </w:r>
      <w:r w:rsidR="00193A9A">
        <w:rPr>
          <w:noProof/>
        </w:rPr>
        <w:t>’</w:t>
      </w:r>
      <w:r w:rsidRPr="00193A9A">
        <w:rPr>
          <w:noProof/>
        </w:rPr>
        <w:t xml:space="preserve"> fear of reprisals, inadequate levels of compensation, difficulty gathering evidence and a lack of awareness </w:t>
      </w:r>
      <w:r w:rsidR="000B1BB8">
        <w:rPr>
          <w:noProof/>
        </w:rPr>
        <w:t xml:space="preserve">by victims </w:t>
      </w:r>
      <w:r w:rsidRPr="00193A9A">
        <w:rPr>
          <w:noProof/>
        </w:rPr>
        <w:t xml:space="preserve">of </w:t>
      </w:r>
      <w:r w:rsidR="000B1BB8">
        <w:rPr>
          <w:noProof/>
        </w:rPr>
        <w:t xml:space="preserve">their </w:t>
      </w:r>
      <w:r w:rsidRPr="00193A9A">
        <w:rPr>
          <w:noProof/>
        </w:rPr>
        <w:t xml:space="preserve">rights and </w:t>
      </w:r>
      <w:r w:rsidR="000B1BB8">
        <w:rPr>
          <w:noProof/>
        </w:rPr>
        <w:t xml:space="preserve">the </w:t>
      </w:r>
      <w:r w:rsidRPr="00193A9A">
        <w:rPr>
          <w:noProof/>
        </w:rPr>
        <w:t>support services</w:t>
      </w:r>
      <w:r w:rsidR="000B1BB8">
        <w:rPr>
          <w:noProof/>
        </w:rPr>
        <w:t xml:space="preserve"> available to them</w:t>
      </w:r>
      <w:r w:rsidRPr="00193A9A">
        <w:rPr>
          <w:noProof/>
        </w:rPr>
        <w:t xml:space="preserve">, </w:t>
      </w:r>
      <w:r w:rsidR="000B1BB8">
        <w:rPr>
          <w:noProof/>
        </w:rPr>
        <w:t>e.g. through</w:t>
      </w:r>
      <w:r w:rsidRPr="00193A9A">
        <w:rPr>
          <w:noProof/>
        </w:rPr>
        <w:t xml:space="preserve"> equality bodies.</w:t>
      </w:r>
      <w:r w:rsidR="0071178A" w:rsidRPr="00193A9A">
        <w:rPr>
          <w:noProof/>
        </w:rPr>
        <w:t xml:space="preserve"> </w:t>
      </w:r>
      <w:r w:rsidR="00927D85" w:rsidRPr="00193A9A">
        <w:rPr>
          <w:noProof/>
        </w:rPr>
        <w:t xml:space="preserve">It also pointed </w:t>
      </w:r>
      <w:r w:rsidR="008B0B26">
        <w:rPr>
          <w:noProof/>
        </w:rPr>
        <w:t>to</w:t>
      </w:r>
      <w:r w:rsidR="008B0B26" w:rsidRPr="00193A9A">
        <w:rPr>
          <w:noProof/>
        </w:rPr>
        <w:t xml:space="preserve"> </w:t>
      </w:r>
      <w:r w:rsidR="00A76EE2" w:rsidRPr="00193A9A">
        <w:rPr>
          <w:noProof/>
        </w:rPr>
        <w:t>the</w:t>
      </w:r>
      <w:r w:rsidR="00927D85" w:rsidRPr="00193A9A">
        <w:rPr>
          <w:noProof/>
        </w:rPr>
        <w:t xml:space="preserve"> </w:t>
      </w:r>
      <w:r w:rsidR="008B0B26">
        <w:rPr>
          <w:noProof/>
        </w:rPr>
        <w:t>uneven</w:t>
      </w:r>
      <w:r w:rsidR="008B0B26" w:rsidRPr="00193A9A">
        <w:rPr>
          <w:noProof/>
        </w:rPr>
        <w:t xml:space="preserve"> </w:t>
      </w:r>
      <w:r w:rsidR="00927D85" w:rsidRPr="00193A9A">
        <w:rPr>
          <w:noProof/>
        </w:rPr>
        <w:t>promotion of equality among the general public and national institutions</w:t>
      </w:r>
      <w:r w:rsidR="009377ED" w:rsidRPr="00193A9A">
        <w:rPr>
          <w:noProof/>
        </w:rPr>
        <w:t xml:space="preserve">, </w:t>
      </w:r>
      <w:r w:rsidR="00A76EE2" w:rsidRPr="00193A9A">
        <w:rPr>
          <w:noProof/>
        </w:rPr>
        <w:t xml:space="preserve">which varied </w:t>
      </w:r>
      <w:r w:rsidR="009377ED" w:rsidRPr="00193A9A">
        <w:rPr>
          <w:noProof/>
        </w:rPr>
        <w:t>depending on the Member State</w:t>
      </w:r>
      <w:r w:rsidR="00927D85" w:rsidRPr="00193A9A">
        <w:rPr>
          <w:noProof/>
        </w:rPr>
        <w:t>.</w:t>
      </w:r>
    </w:p>
    <w:p w14:paraId="3F267018" w14:textId="4ADC76BB" w:rsidR="00CE642C" w:rsidRPr="00193A9A" w:rsidRDefault="00587453" w:rsidP="00BE426B">
      <w:pPr>
        <w:pStyle w:val="Text1"/>
        <w:rPr>
          <w:noProof/>
        </w:rPr>
      </w:pPr>
      <w:r w:rsidRPr="00B61149">
        <w:rPr>
          <w:noProof/>
        </w:rPr>
        <w:t>Building on the previous report,</w:t>
      </w:r>
      <w:r w:rsidR="00193A9A" w:rsidRPr="00B61149">
        <w:rPr>
          <w:noProof/>
        </w:rPr>
        <w:t xml:space="preserve"> </w:t>
      </w:r>
      <w:r w:rsidRPr="00B61149">
        <w:rPr>
          <w:noProof/>
        </w:rPr>
        <w:t>t</w:t>
      </w:r>
      <w:r w:rsidR="009377ED" w:rsidRPr="00B61149">
        <w:rPr>
          <w:noProof/>
        </w:rPr>
        <w:t xml:space="preserve">his </w:t>
      </w:r>
      <w:r w:rsidRPr="00B61149">
        <w:rPr>
          <w:noProof/>
        </w:rPr>
        <w:t xml:space="preserve">new </w:t>
      </w:r>
      <w:r w:rsidR="009377ED" w:rsidRPr="00B61149">
        <w:rPr>
          <w:noProof/>
        </w:rPr>
        <w:t xml:space="preserve">report </w:t>
      </w:r>
      <w:r w:rsidR="008B0B26" w:rsidRPr="00B61149">
        <w:rPr>
          <w:noProof/>
        </w:rPr>
        <w:t xml:space="preserve">provides </w:t>
      </w:r>
      <w:r w:rsidR="009377ED" w:rsidRPr="00B61149">
        <w:rPr>
          <w:noProof/>
        </w:rPr>
        <w:t>an overview of the persisting and new challenges</w:t>
      </w:r>
      <w:r w:rsidR="00751ADE" w:rsidRPr="00B61149">
        <w:rPr>
          <w:noProof/>
        </w:rPr>
        <w:t xml:space="preserve"> faced</w:t>
      </w:r>
      <w:r w:rsidR="00A76EE2" w:rsidRPr="00B61149">
        <w:rPr>
          <w:noProof/>
        </w:rPr>
        <w:t>,</w:t>
      </w:r>
      <w:r w:rsidR="00751ADE" w:rsidRPr="00B61149">
        <w:rPr>
          <w:noProof/>
        </w:rPr>
        <w:t xml:space="preserve"> the</w:t>
      </w:r>
      <w:r w:rsidR="00A76EE2" w:rsidRPr="00B61149">
        <w:rPr>
          <w:noProof/>
        </w:rPr>
        <w:t xml:space="preserve"> progress</w:t>
      </w:r>
      <w:r w:rsidR="00751ADE" w:rsidRPr="00B61149">
        <w:rPr>
          <w:noProof/>
        </w:rPr>
        <w:t xml:space="preserve"> made</w:t>
      </w:r>
      <w:r w:rsidR="009377ED" w:rsidRPr="00B61149">
        <w:rPr>
          <w:noProof/>
        </w:rPr>
        <w:t xml:space="preserve"> and </w:t>
      </w:r>
      <w:r w:rsidR="000719B5" w:rsidRPr="00B61149">
        <w:rPr>
          <w:noProof/>
        </w:rPr>
        <w:t xml:space="preserve">the </w:t>
      </w:r>
      <w:r w:rsidR="009377ED" w:rsidRPr="00B61149">
        <w:rPr>
          <w:noProof/>
        </w:rPr>
        <w:t>good practices</w:t>
      </w:r>
      <w:r w:rsidR="000719B5" w:rsidRPr="00B61149">
        <w:rPr>
          <w:noProof/>
        </w:rPr>
        <w:t xml:space="preserve"> adopted</w:t>
      </w:r>
      <w:r w:rsidR="009377ED" w:rsidRPr="00B61149">
        <w:rPr>
          <w:noProof/>
        </w:rPr>
        <w:t xml:space="preserve"> in </w:t>
      </w:r>
      <w:r w:rsidR="00751ADE" w:rsidRPr="00B61149">
        <w:rPr>
          <w:noProof/>
        </w:rPr>
        <w:t>applying</w:t>
      </w:r>
      <w:r w:rsidR="009377ED" w:rsidRPr="00B61149">
        <w:rPr>
          <w:noProof/>
        </w:rPr>
        <w:t xml:space="preserve"> the Directives</w:t>
      </w:r>
      <w:r w:rsidRPr="00B61149">
        <w:rPr>
          <w:noProof/>
        </w:rPr>
        <w:t xml:space="preserve"> since 2021.</w:t>
      </w:r>
    </w:p>
    <w:p w14:paraId="35D3FBFE" w14:textId="41501830" w:rsidR="003C3574" w:rsidRPr="00193A9A" w:rsidRDefault="009377ED" w:rsidP="00BE426B">
      <w:pPr>
        <w:pStyle w:val="Text1"/>
        <w:rPr>
          <w:noProof/>
        </w:rPr>
      </w:pPr>
      <w:r w:rsidRPr="00193A9A">
        <w:rPr>
          <w:b/>
          <w:bCs/>
          <w:noProof/>
        </w:rPr>
        <w:t>During the reporting period</w:t>
      </w:r>
      <w:r w:rsidR="004D5B51" w:rsidRPr="00193A9A">
        <w:rPr>
          <w:b/>
          <w:bCs/>
          <w:noProof/>
        </w:rPr>
        <w:t xml:space="preserve">, the EU </w:t>
      </w:r>
      <w:r w:rsidR="00837EDF" w:rsidRPr="00193A9A">
        <w:rPr>
          <w:b/>
          <w:bCs/>
          <w:noProof/>
        </w:rPr>
        <w:t xml:space="preserve">has taken concrete steps to improve the </w:t>
      </w:r>
      <w:r w:rsidR="00EF54B2" w:rsidRPr="00193A9A">
        <w:rPr>
          <w:b/>
          <w:bCs/>
          <w:noProof/>
        </w:rPr>
        <w:t xml:space="preserve">application and </w:t>
      </w:r>
      <w:r w:rsidR="00837EDF" w:rsidRPr="00193A9A">
        <w:rPr>
          <w:b/>
          <w:bCs/>
          <w:noProof/>
        </w:rPr>
        <w:t xml:space="preserve">enforcement of </w:t>
      </w:r>
      <w:r w:rsidR="003546FF" w:rsidRPr="00193A9A">
        <w:rPr>
          <w:b/>
          <w:bCs/>
          <w:noProof/>
        </w:rPr>
        <w:t>the Directives</w:t>
      </w:r>
      <w:r w:rsidR="00837EDF" w:rsidRPr="00193A9A">
        <w:rPr>
          <w:noProof/>
        </w:rPr>
        <w:t>. Most importantly</w:t>
      </w:r>
      <w:r w:rsidR="004D5B51" w:rsidRPr="00193A9A">
        <w:rPr>
          <w:noProof/>
        </w:rPr>
        <w:t xml:space="preserve">, </w:t>
      </w:r>
      <w:r w:rsidR="0039261F">
        <w:rPr>
          <w:noProof/>
        </w:rPr>
        <w:t>since</w:t>
      </w:r>
      <w:r w:rsidR="0039261F" w:rsidRPr="00193A9A">
        <w:rPr>
          <w:noProof/>
        </w:rPr>
        <w:t xml:space="preserve"> </w:t>
      </w:r>
      <w:r w:rsidR="00C322F9" w:rsidRPr="00193A9A">
        <w:rPr>
          <w:noProof/>
        </w:rPr>
        <w:t xml:space="preserve">the </w:t>
      </w:r>
      <w:r w:rsidR="0039261F">
        <w:rPr>
          <w:noProof/>
        </w:rPr>
        <w:t>last</w:t>
      </w:r>
      <w:r w:rsidR="0039261F" w:rsidRPr="00193A9A">
        <w:rPr>
          <w:noProof/>
        </w:rPr>
        <w:t xml:space="preserve"> </w:t>
      </w:r>
      <w:r w:rsidR="00C322F9" w:rsidRPr="00193A9A">
        <w:rPr>
          <w:noProof/>
        </w:rPr>
        <w:t xml:space="preserve">report, </w:t>
      </w:r>
      <w:r w:rsidR="00C0391C" w:rsidRPr="00193A9A">
        <w:rPr>
          <w:noProof/>
        </w:rPr>
        <w:t xml:space="preserve">the EU </w:t>
      </w:r>
      <w:r w:rsidR="00837EDF" w:rsidRPr="00193A9A">
        <w:rPr>
          <w:noProof/>
        </w:rPr>
        <w:t xml:space="preserve">has </w:t>
      </w:r>
      <w:r w:rsidR="004D5B51" w:rsidRPr="00193A9A">
        <w:rPr>
          <w:noProof/>
        </w:rPr>
        <w:t>adopted</w:t>
      </w:r>
      <w:r w:rsidR="00D76B2B">
        <w:rPr>
          <w:noProof/>
        </w:rPr>
        <w:t xml:space="preserve"> the</w:t>
      </w:r>
      <w:r w:rsidR="004D5B51" w:rsidRPr="00193A9A">
        <w:rPr>
          <w:noProof/>
        </w:rPr>
        <w:t xml:space="preserve"> </w:t>
      </w:r>
      <w:r w:rsidR="00F5000B" w:rsidRPr="00193A9A">
        <w:rPr>
          <w:noProof/>
        </w:rPr>
        <w:t>Equality Bodies Directives</w:t>
      </w:r>
      <w:r w:rsidR="001F4E86">
        <w:rPr>
          <w:noProof/>
        </w:rPr>
        <w:t> </w:t>
      </w:r>
      <w:r w:rsidR="004D5B51" w:rsidRPr="00193A9A">
        <w:rPr>
          <w:noProof/>
        </w:rPr>
        <w:t>(</w:t>
      </w:r>
      <w:r w:rsidR="004D5B51" w:rsidRPr="00193A9A">
        <w:rPr>
          <w:rStyle w:val="FootnoteReference"/>
          <w:noProof/>
        </w:rPr>
        <w:footnoteReference w:id="14"/>
      </w:r>
      <w:r w:rsidR="004D5B51" w:rsidRPr="00193A9A">
        <w:rPr>
          <w:noProof/>
        </w:rPr>
        <w:t>)</w:t>
      </w:r>
      <w:r w:rsidR="00A85BDA" w:rsidRPr="00193A9A">
        <w:rPr>
          <w:noProof/>
        </w:rPr>
        <w:t xml:space="preserve"> </w:t>
      </w:r>
      <w:r w:rsidR="004D5B51" w:rsidRPr="00193A9A">
        <w:rPr>
          <w:noProof/>
        </w:rPr>
        <w:t xml:space="preserve">to strengthen </w:t>
      </w:r>
      <w:r w:rsidR="00464416" w:rsidRPr="00193A9A">
        <w:rPr>
          <w:noProof/>
        </w:rPr>
        <w:t>the</w:t>
      </w:r>
      <w:r w:rsidR="004D5B51" w:rsidRPr="00193A9A">
        <w:rPr>
          <w:noProof/>
        </w:rPr>
        <w:t xml:space="preserve"> national bodies responsible for promoting equality and preventing and </w:t>
      </w:r>
      <w:r w:rsidR="00193A9A">
        <w:rPr>
          <w:noProof/>
        </w:rPr>
        <w:t>combating</w:t>
      </w:r>
      <w:r w:rsidR="004D5B51" w:rsidRPr="00193A9A">
        <w:rPr>
          <w:noProof/>
        </w:rPr>
        <w:t xml:space="preserve"> discrimination</w:t>
      </w:r>
      <w:r w:rsidR="00F5000B" w:rsidRPr="00193A9A">
        <w:rPr>
          <w:noProof/>
        </w:rPr>
        <w:t>,</w:t>
      </w:r>
      <w:r w:rsidR="00BE426B" w:rsidRPr="00193A9A">
        <w:rPr>
          <w:noProof/>
        </w:rPr>
        <w:t xml:space="preserve"> </w:t>
      </w:r>
      <w:r w:rsidR="00F5000B" w:rsidRPr="00193A9A">
        <w:rPr>
          <w:noProof/>
        </w:rPr>
        <w:t xml:space="preserve">including by better supporting </w:t>
      </w:r>
      <w:r w:rsidR="00BE426B" w:rsidRPr="00193A9A">
        <w:rPr>
          <w:noProof/>
        </w:rPr>
        <w:t xml:space="preserve">individuals and groups discriminated against </w:t>
      </w:r>
      <w:r w:rsidR="00F5000B" w:rsidRPr="00193A9A">
        <w:rPr>
          <w:noProof/>
        </w:rPr>
        <w:t>in accessing justice.</w:t>
      </w:r>
      <w:r w:rsidR="008E61DE" w:rsidRPr="00193A9A">
        <w:rPr>
          <w:noProof/>
        </w:rPr>
        <w:t xml:space="preserve"> </w:t>
      </w:r>
    </w:p>
    <w:p w14:paraId="57539DEC" w14:textId="4D454114" w:rsidR="004D5B51" w:rsidRPr="00193A9A" w:rsidRDefault="00E01824" w:rsidP="00BE426B">
      <w:pPr>
        <w:pStyle w:val="Text1"/>
        <w:rPr>
          <w:noProof/>
        </w:rPr>
      </w:pPr>
      <w:r>
        <w:rPr>
          <w:noProof/>
        </w:rPr>
        <w:t xml:space="preserve">The Directives require Member States to establish effective, dissuasive and proportionate sanctions for discrimination. </w:t>
      </w:r>
      <w:r w:rsidR="002A4FE0">
        <w:rPr>
          <w:noProof/>
        </w:rPr>
        <w:t>T</w:t>
      </w:r>
      <w:r w:rsidR="002A4FE0" w:rsidRPr="00193A9A">
        <w:rPr>
          <w:noProof/>
        </w:rPr>
        <w:t xml:space="preserve">o </w:t>
      </w:r>
      <w:r>
        <w:rPr>
          <w:noProof/>
        </w:rPr>
        <w:t>support Member States</w:t>
      </w:r>
      <w:r w:rsidR="002A4FE0">
        <w:rPr>
          <w:noProof/>
        </w:rPr>
        <w:t>,</w:t>
      </w:r>
      <w:r w:rsidR="002A4FE0" w:rsidRPr="00193A9A">
        <w:rPr>
          <w:noProof/>
        </w:rPr>
        <w:t xml:space="preserve"> </w:t>
      </w:r>
      <w:r w:rsidR="002A4FE0">
        <w:rPr>
          <w:noProof/>
        </w:rPr>
        <w:t>t</w:t>
      </w:r>
      <w:r w:rsidR="008E61DE" w:rsidRPr="00193A9A">
        <w:rPr>
          <w:noProof/>
        </w:rPr>
        <w:t xml:space="preserve">he Commission commissioned </w:t>
      </w:r>
      <w:r w:rsidR="008E61DE" w:rsidRPr="00193A9A">
        <w:rPr>
          <w:b/>
          <w:bCs/>
          <w:noProof/>
        </w:rPr>
        <w:t>a study on the legislation and application of sanctions for racial, ethnic and religious discrimination</w:t>
      </w:r>
      <w:r w:rsidR="00A31731" w:rsidRPr="00193A9A">
        <w:rPr>
          <w:noProof/>
        </w:rPr>
        <w:t>.</w:t>
      </w:r>
      <w:r w:rsidR="003C3574" w:rsidRPr="00193A9A">
        <w:rPr>
          <w:noProof/>
        </w:rPr>
        <w:t xml:space="preserve"> The study reveal</w:t>
      </w:r>
      <w:r w:rsidR="002A4FE0">
        <w:rPr>
          <w:noProof/>
        </w:rPr>
        <w:t>ed</w:t>
      </w:r>
      <w:r w:rsidR="003C3574" w:rsidRPr="00193A9A">
        <w:rPr>
          <w:noProof/>
        </w:rPr>
        <w:t xml:space="preserve"> that legal protection and long-term prevention of discrimination</w:t>
      </w:r>
      <w:r w:rsidR="002A4FE0">
        <w:rPr>
          <w:noProof/>
        </w:rPr>
        <w:t xml:space="preserve"> are undermined by low and symbolic sanctions</w:t>
      </w:r>
      <w:r w:rsidR="003C3574" w:rsidRPr="00193A9A">
        <w:rPr>
          <w:noProof/>
        </w:rPr>
        <w:t xml:space="preserve">. It </w:t>
      </w:r>
      <w:r w:rsidR="002A4FE0">
        <w:rPr>
          <w:noProof/>
        </w:rPr>
        <w:t>highlighted</w:t>
      </w:r>
      <w:r w:rsidR="002A4FE0" w:rsidRPr="00193A9A">
        <w:rPr>
          <w:noProof/>
        </w:rPr>
        <w:t xml:space="preserve"> </w:t>
      </w:r>
      <w:r w:rsidR="003C3574" w:rsidRPr="00193A9A">
        <w:rPr>
          <w:noProof/>
        </w:rPr>
        <w:t xml:space="preserve">the need for </w:t>
      </w:r>
      <w:r w:rsidR="00EC0A2C">
        <w:rPr>
          <w:noProof/>
        </w:rPr>
        <w:t>more effective</w:t>
      </w:r>
      <w:r w:rsidR="00EC0A2C" w:rsidRPr="00193A9A">
        <w:rPr>
          <w:noProof/>
        </w:rPr>
        <w:t xml:space="preserve"> </w:t>
      </w:r>
      <w:r w:rsidR="003C3574" w:rsidRPr="00193A9A">
        <w:rPr>
          <w:noProof/>
        </w:rPr>
        <w:t>sanctions that fully compensate victims and promote lasting solutions, along with stronger enforcement and capacity-building for legal practitioners and civil society.</w:t>
      </w:r>
    </w:p>
    <w:p w14:paraId="7FB87868" w14:textId="02CF4D5F" w:rsidR="00CF6FEA" w:rsidRPr="00193A9A" w:rsidRDefault="006F5177" w:rsidP="00455D06">
      <w:pPr>
        <w:pStyle w:val="Text1"/>
        <w:rPr>
          <w:noProof/>
        </w:rPr>
      </w:pPr>
      <w:r w:rsidRPr="00193A9A">
        <w:rPr>
          <w:noProof/>
        </w:rPr>
        <w:t>I</w:t>
      </w:r>
      <w:r w:rsidR="00455D06" w:rsidRPr="00193A9A">
        <w:rPr>
          <w:noProof/>
        </w:rPr>
        <w:t xml:space="preserve">n view of </w:t>
      </w:r>
      <w:r w:rsidR="005B3296">
        <w:rPr>
          <w:noProof/>
        </w:rPr>
        <w:t>recent</w:t>
      </w:r>
      <w:r w:rsidR="005B3296" w:rsidRPr="00193A9A">
        <w:rPr>
          <w:noProof/>
        </w:rPr>
        <w:t xml:space="preserve"> </w:t>
      </w:r>
      <w:r w:rsidR="005B3296">
        <w:rPr>
          <w:noProof/>
        </w:rPr>
        <w:t>technological</w:t>
      </w:r>
      <w:r w:rsidR="005B3296" w:rsidRPr="00193A9A">
        <w:rPr>
          <w:noProof/>
        </w:rPr>
        <w:t xml:space="preserve"> </w:t>
      </w:r>
      <w:r w:rsidR="00455D06" w:rsidRPr="00193A9A">
        <w:rPr>
          <w:noProof/>
        </w:rPr>
        <w:t xml:space="preserve">developments, including </w:t>
      </w:r>
      <w:r w:rsidR="00455D06" w:rsidRPr="00193A9A">
        <w:rPr>
          <w:b/>
          <w:bCs/>
          <w:noProof/>
        </w:rPr>
        <w:t xml:space="preserve">the rise of automated and </w:t>
      </w:r>
      <w:r w:rsidR="007540FB">
        <w:rPr>
          <w:b/>
          <w:bCs/>
          <w:noProof/>
        </w:rPr>
        <w:t>artificial intelligence (</w:t>
      </w:r>
      <w:r w:rsidR="00455D06" w:rsidRPr="00193A9A">
        <w:rPr>
          <w:b/>
          <w:bCs/>
          <w:noProof/>
        </w:rPr>
        <w:t>AI</w:t>
      </w:r>
      <w:r w:rsidR="007540FB">
        <w:rPr>
          <w:b/>
          <w:bCs/>
          <w:noProof/>
        </w:rPr>
        <w:t>)</w:t>
      </w:r>
      <w:r w:rsidR="00455D06" w:rsidRPr="00193A9A">
        <w:rPr>
          <w:b/>
          <w:bCs/>
          <w:noProof/>
        </w:rPr>
        <w:t xml:space="preserve"> systems</w:t>
      </w:r>
      <w:r w:rsidR="00455D06" w:rsidRPr="00193A9A">
        <w:rPr>
          <w:noProof/>
        </w:rPr>
        <w:t xml:space="preserve">, </w:t>
      </w:r>
      <w:r w:rsidR="00F5000B" w:rsidRPr="00193A9A">
        <w:rPr>
          <w:noProof/>
        </w:rPr>
        <w:t xml:space="preserve">the report </w:t>
      </w:r>
      <w:r w:rsidR="003D3338" w:rsidRPr="00193A9A">
        <w:rPr>
          <w:noProof/>
        </w:rPr>
        <w:t xml:space="preserve">also </w:t>
      </w:r>
      <w:r w:rsidR="00455D06" w:rsidRPr="00193A9A">
        <w:rPr>
          <w:noProof/>
        </w:rPr>
        <w:t>analyses the application of non-discrimination law in Member States in cases of algorithmic discrimination</w:t>
      </w:r>
      <w:r w:rsidR="003546FF" w:rsidRPr="00193A9A">
        <w:rPr>
          <w:noProof/>
        </w:rPr>
        <w:t xml:space="preserve">. </w:t>
      </w:r>
      <w:r w:rsidR="00622AF4" w:rsidRPr="00193A9A">
        <w:rPr>
          <w:noProof/>
        </w:rPr>
        <w:t xml:space="preserve">It demonstrates </w:t>
      </w:r>
      <w:r w:rsidR="00683236" w:rsidRPr="00193A9A">
        <w:rPr>
          <w:noProof/>
        </w:rPr>
        <w:t xml:space="preserve">the need </w:t>
      </w:r>
      <w:r w:rsidR="00442773" w:rsidRPr="00193A9A">
        <w:rPr>
          <w:noProof/>
        </w:rPr>
        <w:t>to build capacities</w:t>
      </w:r>
      <w:r w:rsidR="00683236" w:rsidRPr="00193A9A">
        <w:rPr>
          <w:noProof/>
        </w:rPr>
        <w:t xml:space="preserve"> and </w:t>
      </w:r>
      <w:r w:rsidR="00622AF4" w:rsidRPr="00193A9A">
        <w:rPr>
          <w:noProof/>
        </w:rPr>
        <w:t xml:space="preserve">to establish </w:t>
      </w:r>
      <w:r w:rsidR="005B3296">
        <w:rPr>
          <w:noProof/>
        </w:rPr>
        <w:t xml:space="preserve">mechanisms for </w:t>
      </w:r>
      <w:r w:rsidR="00622AF4" w:rsidRPr="00193A9A">
        <w:rPr>
          <w:noProof/>
        </w:rPr>
        <w:t>effective cooperation between different enforcement bodies.</w:t>
      </w:r>
    </w:p>
    <w:p w14:paraId="0535FB95" w14:textId="74DE8743" w:rsidR="00587453" w:rsidRPr="00193A9A" w:rsidRDefault="00473E42" w:rsidP="00932D21">
      <w:pPr>
        <w:pStyle w:val="Text1"/>
        <w:rPr>
          <w:noProof/>
        </w:rPr>
      </w:pPr>
      <w:r w:rsidRPr="00193A9A">
        <w:rPr>
          <w:noProof/>
        </w:rPr>
        <w:t>Th</w:t>
      </w:r>
      <w:r w:rsidR="00612B93">
        <w:rPr>
          <w:noProof/>
        </w:rPr>
        <w:t>is</w:t>
      </w:r>
      <w:r w:rsidRPr="00193A9A">
        <w:rPr>
          <w:noProof/>
        </w:rPr>
        <w:t xml:space="preserve"> report </w:t>
      </w:r>
      <w:r w:rsidR="006E0B00" w:rsidRPr="00193A9A">
        <w:rPr>
          <w:noProof/>
        </w:rPr>
        <w:t>draw</w:t>
      </w:r>
      <w:r w:rsidR="001E73CE" w:rsidRPr="00193A9A">
        <w:rPr>
          <w:noProof/>
        </w:rPr>
        <w:t>s</w:t>
      </w:r>
      <w:r w:rsidR="00605BF3" w:rsidRPr="00193A9A">
        <w:rPr>
          <w:noProof/>
        </w:rPr>
        <w:t xml:space="preserve"> on</w:t>
      </w:r>
      <w:r w:rsidR="009D027E" w:rsidRPr="00193A9A">
        <w:rPr>
          <w:noProof/>
        </w:rPr>
        <w:t xml:space="preserve"> the results of targeted consultations (</w:t>
      </w:r>
      <w:r w:rsidR="009D027E" w:rsidRPr="00193A9A">
        <w:rPr>
          <w:rStyle w:val="FootnoteReference"/>
          <w:noProof/>
        </w:rPr>
        <w:footnoteReference w:id="15"/>
      </w:r>
      <w:r w:rsidR="009D027E" w:rsidRPr="00193A9A">
        <w:rPr>
          <w:noProof/>
        </w:rPr>
        <w:t>). In</w:t>
      </w:r>
      <w:r w:rsidR="00605BF3" w:rsidRPr="00193A9A">
        <w:rPr>
          <w:noProof/>
        </w:rPr>
        <w:t xml:space="preserve"> </w:t>
      </w:r>
      <w:r w:rsidRPr="00193A9A">
        <w:rPr>
          <w:noProof/>
        </w:rPr>
        <w:t>response</w:t>
      </w:r>
      <w:r w:rsidR="009D027E" w:rsidRPr="00193A9A">
        <w:rPr>
          <w:noProof/>
        </w:rPr>
        <w:t xml:space="preserve"> to tailored questionnaires, the Commission received contributions</w:t>
      </w:r>
      <w:r w:rsidR="00605BF3" w:rsidRPr="00193A9A">
        <w:rPr>
          <w:noProof/>
        </w:rPr>
        <w:t xml:space="preserve"> </w:t>
      </w:r>
      <w:r w:rsidRPr="00193A9A">
        <w:rPr>
          <w:noProof/>
        </w:rPr>
        <w:t>from</w:t>
      </w:r>
      <w:r w:rsidR="00E100D2" w:rsidRPr="00193A9A">
        <w:rPr>
          <w:noProof/>
        </w:rPr>
        <w:t xml:space="preserve"> all</w:t>
      </w:r>
      <w:r w:rsidRPr="00193A9A">
        <w:rPr>
          <w:noProof/>
        </w:rPr>
        <w:t xml:space="preserve"> </w:t>
      </w:r>
      <w:r w:rsidR="00605BF3" w:rsidRPr="00193A9A">
        <w:rPr>
          <w:noProof/>
        </w:rPr>
        <w:t>Member States</w:t>
      </w:r>
      <w:r w:rsidRPr="00193A9A">
        <w:rPr>
          <w:noProof/>
        </w:rPr>
        <w:t xml:space="preserve"> and</w:t>
      </w:r>
      <w:r w:rsidR="00605BF3" w:rsidRPr="00193A9A">
        <w:rPr>
          <w:noProof/>
        </w:rPr>
        <w:t xml:space="preserve"> </w:t>
      </w:r>
      <w:r w:rsidR="006E0B00" w:rsidRPr="00193A9A">
        <w:rPr>
          <w:noProof/>
        </w:rPr>
        <w:t>various stakeholders</w:t>
      </w:r>
      <w:r w:rsidR="00EC0A2C">
        <w:rPr>
          <w:noProof/>
        </w:rPr>
        <w:t xml:space="preserve"> and institutions</w:t>
      </w:r>
      <w:r w:rsidR="006E0B00" w:rsidRPr="00193A9A">
        <w:rPr>
          <w:noProof/>
        </w:rPr>
        <w:t xml:space="preserve">, including </w:t>
      </w:r>
      <w:r w:rsidR="00605BF3" w:rsidRPr="00193A9A">
        <w:rPr>
          <w:noProof/>
        </w:rPr>
        <w:t xml:space="preserve">the </w:t>
      </w:r>
      <w:r w:rsidR="006E0B00" w:rsidRPr="00193A9A">
        <w:rPr>
          <w:noProof/>
        </w:rPr>
        <w:t>EU</w:t>
      </w:r>
      <w:r w:rsidR="00605BF3" w:rsidRPr="00193A9A">
        <w:rPr>
          <w:noProof/>
        </w:rPr>
        <w:t xml:space="preserve"> Agency for Fundamental Rights, the European Institute for Gender Equality</w:t>
      </w:r>
      <w:r w:rsidR="00A61B32" w:rsidRPr="00193A9A">
        <w:rPr>
          <w:noProof/>
        </w:rPr>
        <w:t xml:space="preserve"> (EIGE)</w:t>
      </w:r>
      <w:r w:rsidR="00605BF3" w:rsidRPr="00193A9A">
        <w:rPr>
          <w:noProof/>
        </w:rPr>
        <w:t>,</w:t>
      </w:r>
      <w:r w:rsidR="00035A22" w:rsidRPr="00193A9A">
        <w:rPr>
          <w:noProof/>
        </w:rPr>
        <w:t xml:space="preserve"> 11</w:t>
      </w:r>
      <w:r w:rsidR="00605BF3" w:rsidRPr="00193A9A">
        <w:rPr>
          <w:noProof/>
        </w:rPr>
        <w:t xml:space="preserve"> equality bodies, </w:t>
      </w:r>
      <w:r w:rsidR="00035A22" w:rsidRPr="00193A9A">
        <w:rPr>
          <w:noProof/>
        </w:rPr>
        <w:t>2</w:t>
      </w:r>
      <w:r w:rsidR="00605BF3" w:rsidRPr="00193A9A">
        <w:rPr>
          <w:noProof/>
        </w:rPr>
        <w:t xml:space="preserve"> social partners</w:t>
      </w:r>
      <w:r w:rsidR="00035A22" w:rsidRPr="00193A9A">
        <w:rPr>
          <w:noProof/>
        </w:rPr>
        <w:t>, 17</w:t>
      </w:r>
      <w:r w:rsidR="00605BF3" w:rsidRPr="00193A9A">
        <w:rPr>
          <w:noProof/>
        </w:rPr>
        <w:t xml:space="preserve"> civil society organisations</w:t>
      </w:r>
      <w:r w:rsidR="00035A22" w:rsidRPr="00193A9A">
        <w:rPr>
          <w:noProof/>
        </w:rPr>
        <w:t xml:space="preserve"> and the European Network of Equality Bodies</w:t>
      </w:r>
      <w:r w:rsidR="00A61B32" w:rsidRPr="00193A9A">
        <w:rPr>
          <w:noProof/>
        </w:rPr>
        <w:t xml:space="preserve"> (Equinet)</w:t>
      </w:r>
      <w:r w:rsidR="00605BF3" w:rsidRPr="00193A9A">
        <w:rPr>
          <w:noProof/>
        </w:rPr>
        <w:t xml:space="preserve">. </w:t>
      </w:r>
      <w:r w:rsidR="00264829" w:rsidRPr="00193A9A">
        <w:rPr>
          <w:noProof/>
        </w:rPr>
        <w:t xml:space="preserve">The </w:t>
      </w:r>
      <w:r w:rsidR="00EC0A2C">
        <w:rPr>
          <w:noProof/>
        </w:rPr>
        <w:t>statistics</w:t>
      </w:r>
      <w:r w:rsidR="00EC0A2C" w:rsidRPr="00193A9A">
        <w:rPr>
          <w:noProof/>
        </w:rPr>
        <w:t xml:space="preserve"> </w:t>
      </w:r>
      <w:r w:rsidR="00D2792E">
        <w:rPr>
          <w:noProof/>
        </w:rPr>
        <w:t>cited</w:t>
      </w:r>
      <w:r w:rsidR="00612B93" w:rsidRPr="00193A9A">
        <w:rPr>
          <w:noProof/>
        </w:rPr>
        <w:t xml:space="preserve"> </w:t>
      </w:r>
      <w:r w:rsidR="00264829" w:rsidRPr="00193A9A">
        <w:rPr>
          <w:noProof/>
        </w:rPr>
        <w:t xml:space="preserve">in </w:t>
      </w:r>
      <w:r w:rsidR="0084764F">
        <w:rPr>
          <w:noProof/>
        </w:rPr>
        <w:t>this</w:t>
      </w:r>
      <w:r w:rsidR="0084764F" w:rsidRPr="00193A9A">
        <w:rPr>
          <w:noProof/>
        </w:rPr>
        <w:t xml:space="preserve"> </w:t>
      </w:r>
      <w:r w:rsidR="00264829" w:rsidRPr="00193A9A">
        <w:rPr>
          <w:noProof/>
        </w:rPr>
        <w:t>report are base</w:t>
      </w:r>
      <w:r w:rsidR="00E8758D" w:rsidRPr="00193A9A">
        <w:rPr>
          <w:noProof/>
        </w:rPr>
        <w:t>d</w:t>
      </w:r>
      <w:r w:rsidR="00264829" w:rsidRPr="00193A9A">
        <w:rPr>
          <w:noProof/>
        </w:rPr>
        <w:t xml:space="preserve"> on </w:t>
      </w:r>
      <w:r w:rsidR="00612B93" w:rsidRPr="00193A9A">
        <w:rPr>
          <w:noProof/>
        </w:rPr>
        <w:t>th</w:t>
      </w:r>
      <w:r w:rsidR="00612B93">
        <w:rPr>
          <w:noProof/>
        </w:rPr>
        <w:t>o</w:t>
      </w:r>
      <w:r w:rsidR="00612B93" w:rsidRPr="00193A9A">
        <w:rPr>
          <w:noProof/>
        </w:rPr>
        <w:t xml:space="preserve">se </w:t>
      </w:r>
      <w:r w:rsidR="00264829" w:rsidRPr="00193A9A">
        <w:rPr>
          <w:noProof/>
        </w:rPr>
        <w:t>responses</w:t>
      </w:r>
      <w:r w:rsidR="00551423" w:rsidRPr="00193A9A">
        <w:rPr>
          <w:noProof/>
        </w:rPr>
        <w:t>.</w:t>
      </w:r>
    </w:p>
    <w:p w14:paraId="5DFB54B0" w14:textId="1099609B" w:rsidR="006E0B00" w:rsidRPr="00193A9A" w:rsidRDefault="00F26DFE" w:rsidP="00932D21">
      <w:pPr>
        <w:pStyle w:val="Text1"/>
        <w:rPr>
          <w:noProof/>
        </w:rPr>
      </w:pPr>
      <w:r w:rsidRPr="00193A9A">
        <w:rPr>
          <w:noProof/>
        </w:rPr>
        <w:t>Th</w:t>
      </w:r>
      <w:r w:rsidR="00612B93">
        <w:rPr>
          <w:noProof/>
        </w:rPr>
        <w:t>is</w:t>
      </w:r>
      <w:r w:rsidRPr="00193A9A">
        <w:rPr>
          <w:noProof/>
        </w:rPr>
        <w:t xml:space="preserve"> report</w:t>
      </w:r>
      <w:r w:rsidR="006E0B00" w:rsidRPr="00193A9A">
        <w:rPr>
          <w:noProof/>
        </w:rPr>
        <w:t xml:space="preserve"> focuses on</w:t>
      </w:r>
      <w:r w:rsidR="00AD2D24" w:rsidRPr="00193A9A">
        <w:rPr>
          <w:noProof/>
        </w:rPr>
        <w:t xml:space="preserve"> </w:t>
      </w:r>
      <w:r w:rsidR="00612B93">
        <w:rPr>
          <w:noProof/>
        </w:rPr>
        <w:t xml:space="preserve">the </w:t>
      </w:r>
      <w:r w:rsidR="00AD2D24" w:rsidRPr="00193A9A">
        <w:rPr>
          <w:noProof/>
        </w:rPr>
        <w:t>effective application and enforcement of</w:t>
      </w:r>
      <w:r w:rsidR="006E0B00" w:rsidRPr="00193A9A">
        <w:rPr>
          <w:noProof/>
        </w:rPr>
        <w:t xml:space="preserve"> EU </w:t>
      </w:r>
      <w:r w:rsidR="00AD2D24" w:rsidRPr="00193A9A">
        <w:rPr>
          <w:noProof/>
        </w:rPr>
        <w:t xml:space="preserve">non-discrimination </w:t>
      </w:r>
      <w:r w:rsidR="006E0B00" w:rsidRPr="00193A9A">
        <w:rPr>
          <w:noProof/>
        </w:rPr>
        <w:t>law by highlighting the importance of:</w:t>
      </w:r>
    </w:p>
    <w:p w14:paraId="0B4C275B" w14:textId="671BE562" w:rsidR="00AD2D24" w:rsidRPr="00193A9A" w:rsidRDefault="00605BF3" w:rsidP="006E0B00">
      <w:pPr>
        <w:pStyle w:val="ListDash1"/>
        <w:rPr>
          <w:noProof/>
        </w:rPr>
      </w:pPr>
      <w:r w:rsidRPr="00193A9A">
        <w:rPr>
          <w:noProof/>
        </w:rPr>
        <w:t>equality bodies</w:t>
      </w:r>
      <w:r w:rsidR="00612B93">
        <w:rPr>
          <w:noProof/>
        </w:rPr>
        <w:t>;</w:t>
      </w:r>
    </w:p>
    <w:p w14:paraId="7003C48D" w14:textId="7831D03F" w:rsidR="006E0B00" w:rsidRPr="00193A9A" w:rsidRDefault="00AD2D24" w:rsidP="006E0B00">
      <w:pPr>
        <w:pStyle w:val="ListDash1"/>
        <w:rPr>
          <w:noProof/>
        </w:rPr>
      </w:pPr>
      <w:r w:rsidRPr="00193A9A">
        <w:rPr>
          <w:noProof/>
        </w:rPr>
        <w:t>effective, dissuasive and proportionate sanctions</w:t>
      </w:r>
      <w:r w:rsidR="00612B93">
        <w:rPr>
          <w:noProof/>
        </w:rPr>
        <w:t>;</w:t>
      </w:r>
    </w:p>
    <w:p w14:paraId="1DABB731" w14:textId="1B5C301B" w:rsidR="006E0B00" w:rsidRPr="00193A9A" w:rsidRDefault="00605BF3" w:rsidP="006E0B00">
      <w:pPr>
        <w:pStyle w:val="ListDash1"/>
        <w:rPr>
          <w:noProof/>
        </w:rPr>
      </w:pPr>
      <w:r w:rsidRPr="00193A9A">
        <w:rPr>
          <w:noProof/>
        </w:rPr>
        <w:t>improv</w:t>
      </w:r>
      <w:r w:rsidR="00AD2D24" w:rsidRPr="00193A9A">
        <w:rPr>
          <w:noProof/>
        </w:rPr>
        <w:t>ing</w:t>
      </w:r>
      <w:r w:rsidRPr="00193A9A">
        <w:rPr>
          <w:noProof/>
        </w:rPr>
        <w:t xml:space="preserve"> access to justice</w:t>
      </w:r>
      <w:r w:rsidR="00AD2D24" w:rsidRPr="00193A9A">
        <w:rPr>
          <w:noProof/>
        </w:rPr>
        <w:t xml:space="preserve"> and evidence</w:t>
      </w:r>
      <w:r w:rsidRPr="00193A9A">
        <w:rPr>
          <w:noProof/>
        </w:rPr>
        <w:t xml:space="preserve"> for victims</w:t>
      </w:r>
      <w:r w:rsidR="00612B93">
        <w:rPr>
          <w:noProof/>
        </w:rPr>
        <w:t>;</w:t>
      </w:r>
    </w:p>
    <w:p w14:paraId="1B2D2F15" w14:textId="3AAE477D" w:rsidR="00E8758D" w:rsidRPr="00193A9A" w:rsidRDefault="002C5A3F" w:rsidP="00E8758D">
      <w:pPr>
        <w:pStyle w:val="ListDash1"/>
        <w:rPr>
          <w:noProof/>
        </w:rPr>
      </w:pPr>
      <w:r w:rsidRPr="00193A9A">
        <w:rPr>
          <w:noProof/>
        </w:rPr>
        <w:t>empowerment and cooperation of stakeholders</w:t>
      </w:r>
      <w:r w:rsidR="00612B93">
        <w:rPr>
          <w:noProof/>
        </w:rPr>
        <w:t>;</w:t>
      </w:r>
      <w:r w:rsidR="00AD2D24" w:rsidRPr="00193A9A">
        <w:rPr>
          <w:noProof/>
        </w:rPr>
        <w:t xml:space="preserve"> and</w:t>
      </w:r>
    </w:p>
    <w:p w14:paraId="56B6DA1C" w14:textId="58CF2CE0" w:rsidR="00E8758D" w:rsidRPr="00193A9A" w:rsidRDefault="000F1C11" w:rsidP="00E8758D">
      <w:pPr>
        <w:pStyle w:val="ListDash1"/>
        <w:rPr>
          <w:noProof/>
        </w:rPr>
      </w:pPr>
      <w:r w:rsidRPr="00193A9A">
        <w:rPr>
          <w:noProof/>
        </w:rPr>
        <w:t>the case</w:t>
      </w:r>
      <w:r w:rsidR="004A70F3">
        <w:rPr>
          <w:noProof/>
        </w:rPr>
        <w:t>-</w:t>
      </w:r>
      <w:r w:rsidRPr="00193A9A">
        <w:rPr>
          <w:noProof/>
        </w:rPr>
        <w:t xml:space="preserve">law of the </w:t>
      </w:r>
      <w:r w:rsidR="00612B93">
        <w:rPr>
          <w:noProof/>
        </w:rPr>
        <w:t>CJEU</w:t>
      </w:r>
      <w:r w:rsidRPr="00193A9A">
        <w:rPr>
          <w:noProof/>
        </w:rPr>
        <w:t>.</w:t>
      </w:r>
      <w:bookmarkStart w:id="4" w:name="_Toc213340789"/>
      <w:bookmarkStart w:id="5" w:name="_Toc214348071"/>
    </w:p>
    <w:p w14:paraId="2EE83BA9" w14:textId="698017E7" w:rsidR="00AA2E1D" w:rsidRPr="00193A9A" w:rsidRDefault="00A76EE2" w:rsidP="00E8758D">
      <w:pPr>
        <w:pStyle w:val="Text1"/>
        <w:rPr>
          <w:noProof/>
        </w:rPr>
      </w:pPr>
      <w:r w:rsidRPr="00193A9A">
        <w:rPr>
          <w:noProof/>
        </w:rPr>
        <w:t>The ‘k</w:t>
      </w:r>
      <w:r w:rsidR="00AA2E1D" w:rsidRPr="00193A9A">
        <w:rPr>
          <w:noProof/>
        </w:rPr>
        <w:t>ey takeaways</w:t>
      </w:r>
      <w:r w:rsidRPr="00193A9A">
        <w:rPr>
          <w:noProof/>
        </w:rPr>
        <w:t>’</w:t>
      </w:r>
      <w:r w:rsidR="00AA2E1D" w:rsidRPr="00193A9A">
        <w:rPr>
          <w:noProof/>
        </w:rPr>
        <w:t xml:space="preserve"> </w:t>
      </w:r>
      <w:r w:rsidR="00612B93">
        <w:rPr>
          <w:noProof/>
        </w:rPr>
        <w:t xml:space="preserve">set out </w:t>
      </w:r>
      <w:r w:rsidRPr="00193A9A">
        <w:rPr>
          <w:noProof/>
        </w:rPr>
        <w:t xml:space="preserve">at the beginning of each section </w:t>
      </w:r>
      <w:r w:rsidR="00AA2E1D" w:rsidRPr="00193A9A">
        <w:rPr>
          <w:noProof/>
        </w:rPr>
        <w:t xml:space="preserve">summarise the </w:t>
      </w:r>
      <w:r w:rsidR="00612B93">
        <w:rPr>
          <w:noProof/>
        </w:rPr>
        <w:t xml:space="preserve">report’s </w:t>
      </w:r>
      <w:r w:rsidR="00AA2E1D" w:rsidRPr="00193A9A">
        <w:rPr>
          <w:noProof/>
        </w:rPr>
        <w:t xml:space="preserve">main findings. Additional </w:t>
      </w:r>
      <w:r w:rsidR="00612B93">
        <w:rPr>
          <w:noProof/>
        </w:rPr>
        <w:t xml:space="preserve">text </w:t>
      </w:r>
      <w:r w:rsidR="00AA2E1D" w:rsidRPr="00193A9A">
        <w:rPr>
          <w:noProof/>
        </w:rPr>
        <w:t xml:space="preserve">boxes </w:t>
      </w:r>
      <w:r w:rsidRPr="00193A9A">
        <w:rPr>
          <w:noProof/>
        </w:rPr>
        <w:t>provide</w:t>
      </w:r>
      <w:r w:rsidR="00AA2E1D" w:rsidRPr="00193A9A">
        <w:rPr>
          <w:noProof/>
        </w:rPr>
        <w:t xml:space="preserve"> examples of promising </w:t>
      </w:r>
      <w:r w:rsidR="00AA2E1D" w:rsidRPr="00612B93">
        <w:rPr>
          <w:noProof/>
        </w:rPr>
        <w:t>practices</w:t>
      </w:r>
      <w:r w:rsidR="00AA2E1D" w:rsidRPr="00193A9A">
        <w:rPr>
          <w:noProof/>
        </w:rPr>
        <w:t>.</w:t>
      </w:r>
    </w:p>
    <w:p w14:paraId="76439058" w14:textId="56AEE0BC" w:rsidR="008B5516" w:rsidRPr="00193A9A" w:rsidRDefault="008B5516" w:rsidP="004361D3">
      <w:pPr>
        <w:pStyle w:val="Heading1"/>
        <w:spacing w:before="0"/>
        <w:ind w:left="475" w:hanging="475"/>
        <w:rPr>
          <w:noProof/>
        </w:rPr>
      </w:pPr>
      <w:r w:rsidRPr="00193A9A">
        <w:rPr>
          <w:noProof/>
        </w:rPr>
        <w:t xml:space="preserve">Implementation of the </w:t>
      </w:r>
      <w:r w:rsidR="00626A82" w:rsidRPr="00193A9A">
        <w:rPr>
          <w:noProof/>
        </w:rPr>
        <w:t xml:space="preserve">key </w:t>
      </w:r>
      <w:r w:rsidRPr="00193A9A">
        <w:rPr>
          <w:noProof/>
        </w:rPr>
        <w:t>actions set out in the previous report</w:t>
      </w:r>
    </w:p>
    <w:p w14:paraId="6BFE0697" w14:textId="192E40EC" w:rsidR="00A40C68" w:rsidRPr="00193A9A" w:rsidRDefault="006057F8" w:rsidP="00A40C68">
      <w:pPr>
        <w:pStyle w:val="Text1"/>
        <w:rPr>
          <w:noProof/>
        </w:rPr>
      </w:pPr>
      <w:r w:rsidRPr="00193A9A">
        <w:rPr>
          <w:noProof/>
        </w:rPr>
        <w:t xml:space="preserve">The previous report highlighted that </w:t>
      </w:r>
      <w:r w:rsidR="00A548C6">
        <w:rPr>
          <w:noProof/>
        </w:rPr>
        <w:t xml:space="preserve">it is essential to </w:t>
      </w:r>
      <w:r w:rsidRPr="00193A9A">
        <w:rPr>
          <w:noProof/>
        </w:rPr>
        <w:t>enhanc</w:t>
      </w:r>
      <w:r w:rsidR="00A548C6">
        <w:rPr>
          <w:noProof/>
        </w:rPr>
        <w:t>e</w:t>
      </w:r>
      <w:r w:rsidRPr="00193A9A">
        <w:rPr>
          <w:noProof/>
        </w:rPr>
        <w:t xml:space="preserve"> the visibility, role and independent functioning of equality bodies </w:t>
      </w:r>
      <w:r w:rsidR="00A548C6">
        <w:rPr>
          <w:noProof/>
        </w:rPr>
        <w:t xml:space="preserve">in order to </w:t>
      </w:r>
      <w:r w:rsidRPr="00193A9A">
        <w:rPr>
          <w:noProof/>
        </w:rPr>
        <w:t>address challenges in applying and enforcing the Directives. This led to the adoption of the Equality Bodies Directives following the Commission</w:t>
      </w:r>
      <w:r w:rsidR="00193A9A">
        <w:rPr>
          <w:noProof/>
        </w:rPr>
        <w:t>’</w:t>
      </w:r>
      <w:r w:rsidRPr="00193A9A">
        <w:rPr>
          <w:noProof/>
        </w:rPr>
        <w:t xml:space="preserve">s proposal. </w:t>
      </w:r>
      <w:r w:rsidR="006D740C">
        <w:rPr>
          <w:noProof/>
        </w:rPr>
        <w:t>T</w:t>
      </w:r>
      <w:r w:rsidRPr="00193A9A">
        <w:rPr>
          <w:noProof/>
        </w:rPr>
        <w:t xml:space="preserve">he Commission </w:t>
      </w:r>
      <w:r w:rsidR="006D740C">
        <w:rPr>
          <w:noProof/>
        </w:rPr>
        <w:t xml:space="preserve">also </w:t>
      </w:r>
      <w:r w:rsidRPr="00193A9A">
        <w:rPr>
          <w:noProof/>
        </w:rPr>
        <w:t xml:space="preserve">identified </w:t>
      </w:r>
      <w:r w:rsidR="006D740C">
        <w:rPr>
          <w:noProof/>
        </w:rPr>
        <w:t>a</w:t>
      </w:r>
      <w:r w:rsidR="006D740C" w:rsidRPr="00193A9A">
        <w:rPr>
          <w:noProof/>
        </w:rPr>
        <w:t xml:space="preserve"> </w:t>
      </w:r>
      <w:r w:rsidRPr="00193A9A">
        <w:rPr>
          <w:noProof/>
        </w:rPr>
        <w:t>need for closer monitoring of effective, proportionate and dissuasive sanctions, while providing support in this area. The following chapter examines the implementation of these key measures.</w:t>
      </w:r>
    </w:p>
    <w:tbl>
      <w:tblPr>
        <w:tblStyle w:val="EurolookClassicPurple2"/>
        <w:tblW w:w="0" w:type="auto"/>
        <w:tblInd w:w="442" w:type="dxa"/>
        <w:tblLook w:val="0620" w:firstRow="1" w:lastRow="0" w:firstColumn="0" w:lastColumn="0" w:noHBand="1" w:noVBand="1"/>
      </w:tblPr>
      <w:tblGrid>
        <w:gridCol w:w="8160"/>
      </w:tblGrid>
      <w:tr w:rsidR="00626A82" w:rsidRPr="00193A9A" w14:paraId="267135BB"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28F3A798" w14:textId="77777777" w:rsidR="00626A82" w:rsidRPr="00193A9A" w:rsidRDefault="00626A82" w:rsidP="004F2E3D">
            <w:pPr>
              <w:pStyle w:val="TableText"/>
              <w:rPr>
                <w:b/>
                <w:bCs/>
                <w:noProof/>
              </w:rPr>
            </w:pPr>
            <w:r w:rsidRPr="00193A9A">
              <w:rPr>
                <w:b/>
                <w:bCs/>
                <w:noProof/>
              </w:rPr>
              <w:t>Key takeaways</w:t>
            </w:r>
          </w:p>
        </w:tc>
      </w:tr>
      <w:tr w:rsidR="00626A82" w:rsidRPr="00193A9A" w14:paraId="0CD6430C" w14:textId="77777777" w:rsidTr="004F2E3D">
        <w:trPr>
          <w:cantSplit/>
        </w:trPr>
        <w:tc>
          <w:tcPr>
            <w:tcW w:w="8160" w:type="dxa"/>
          </w:tcPr>
          <w:p w14:paraId="60271F29" w14:textId="67544943" w:rsidR="00626A82" w:rsidRPr="00193A9A" w:rsidRDefault="00626A82" w:rsidP="00626A82">
            <w:pPr>
              <w:pStyle w:val="ListDash2"/>
              <w:rPr>
                <w:noProof/>
              </w:rPr>
            </w:pPr>
            <w:r w:rsidRPr="00193A9A">
              <w:rPr>
                <w:noProof/>
              </w:rPr>
              <w:t>The Equality Bodies Directives aim to strengthen the mandate, independence, resources and powers of equality bodies.</w:t>
            </w:r>
            <w:r w:rsidR="00734F41" w:rsidRPr="00193A9A">
              <w:rPr>
                <w:noProof/>
              </w:rPr>
              <w:t xml:space="preserve"> </w:t>
            </w:r>
            <w:r w:rsidR="00734F41">
              <w:rPr>
                <w:noProof/>
              </w:rPr>
              <w:t xml:space="preserve">This </w:t>
            </w:r>
            <w:r w:rsidR="00734F41" w:rsidRPr="00193A9A">
              <w:rPr>
                <w:noProof/>
              </w:rPr>
              <w:t>includ</w:t>
            </w:r>
            <w:r w:rsidR="00734F41">
              <w:rPr>
                <w:noProof/>
              </w:rPr>
              <w:t>es</w:t>
            </w:r>
            <w:r w:rsidR="00734F41" w:rsidRPr="00193A9A">
              <w:rPr>
                <w:noProof/>
              </w:rPr>
              <w:t xml:space="preserve"> </w:t>
            </w:r>
            <w:r w:rsidR="00734F41">
              <w:rPr>
                <w:noProof/>
              </w:rPr>
              <w:t xml:space="preserve">by </w:t>
            </w:r>
            <w:r w:rsidR="00734F41" w:rsidRPr="00193A9A">
              <w:rPr>
                <w:noProof/>
              </w:rPr>
              <w:t xml:space="preserve">extending their </w:t>
            </w:r>
            <w:r w:rsidR="00011B96">
              <w:rPr>
                <w:noProof/>
              </w:rPr>
              <w:t>remit to include</w:t>
            </w:r>
            <w:r w:rsidR="00734F41" w:rsidRPr="00193A9A">
              <w:rPr>
                <w:noProof/>
              </w:rPr>
              <w:t xml:space="preserve"> the grounds and fields </w:t>
            </w:r>
            <w:r w:rsidR="00734F41">
              <w:rPr>
                <w:noProof/>
              </w:rPr>
              <w:t>covered by</w:t>
            </w:r>
            <w:r w:rsidR="00734F41" w:rsidRPr="00193A9A">
              <w:rPr>
                <w:noProof/>
              </w:rPr>
              <w:t xml:space="preserve"> the Employment Equality Directive</w:t>
            </w:r>
            <w:r w:rsidR="00734F41">
              <w:rPr>
                <w:noProof/>
              </w:rPr>
              <w:t>.</w:t>
            </w:r>
          </w:p>
          <w:p w14:paraId="57E35062" w14:textId="32430798" w:rsidR="00626A82" w:rsidRPr="00193A9A" w:rsidRDefault="00626A82" w:rsidP="00626A82">
            <w:pPr>
              <w:pStyle w:val="ListDash2"/>
              <w:rPr>
                <w:noProof/>
              </w:rPr>
            </w:pPr>
            <w:r w:rsidRPr="00193A9A">
              <w:rPr>
                <w:noProof/>
              </w:rPr>
              <w:t xml:space="preserve">Equality bodies </w:t>
            </w:r>
            <w:r w:rsidR="00EC0A2C">
              <w:rPr>
                <w:noProof/>
              </w:rPr>
              <w:t>must</w:t>
            </w:r>
            <w:r w:rsidR="00EC0A2C" w:rsidRPr="00193A9A">
              <w:rPr>
                <w:noProof/>
              </w:rPr>
              <w:t xml:space="preserve"> </w:t>
            </w:r>
            <w:r w:rsidRPr="00193A9A">
              <w:rPr>
                <w:noProof/>
              </w:rPr>
              <w:t xml:space="preserve">have tools </w:t>
            </w:r>
            <w:r w:rsidR="0048735E">
              <w:rPr>
                <w:noProof/>
              </w:rPr>
              <w:t xml:space="preserve">and resources </w:t>
            </w:r>
            <w:r w:rsidRPr="00193A9A">
              <w:rPr>
                <w:noProof/>
              </w:rPr>
              <w:t xml:space="preserve">to prevent and respond to discrimination, including structural </w:t>
            </w:r>
            <w:r w:rsidR="006D740C">
              <w:rPr>
                <w:noProof/>
              </w:rPr>
              <w:t>discrimination</w:t>
            </w:r>
            <w:r w:rsidRPr="00193A9A">
              <w:rPr>
                <w:noProof/>
              </w:rPr>
              <w:t>.</w:t>
            </w:r>
          </w:p>
          <w:p w14:paraId="11EC0F2F" w14:textId="6859BC6B" w:rsidR="00626A82" w:rsidRPr="00193A9A" w:rsidRDefault="00626A82" w:rsidP="00626A82">
            <w:pPr>
              <w:pStyle w:val="ListDash2"/>
              <w:rPr>
                <w:noProof/>
              </w:rPr>
            </w:pPr>
            <w:r w:rsidRPr="00193A9A">
              <w:rPr>
                <w:noProof/>
              </w:rPr>
              <w:t xml:space="preserve">Equality bodies </w:t>
            </w:r>
            <w:r w:rsidR="00EC0A2C">
              <w:rPr>
                <w:noProof/>
              </w:rPr>
              <w:t>must</w:t>
            </w:r>
            <w:r w:rsidR="00EC0A2C" w:rsidRPr="00193A9A">
              <w:rPr>
                <w:noProof/>
              </w:rPr>
              <w:t xml:space="preserve"> </w:t>
            </w:r>
            <w:r w:rsidRPr="00193A9A">
              <w:rPr>
                <w:noProof/>
              </w:rPr>
              <w:t xml:space="preserve">have powers to act in court proceedings in support or on behalf of victims or in their own name to defend </w:t>
            </w:r>
            <w:r w:rsidR="006D740C">
              <w:rPr>
                <w:noProof/>
              </w:rPr>
              <w:t xml:space="preserve">the </w:t>
            </w:r>
            <w:r w:rsidRPr="00193A9A">
              <w:rPr>
                <w:noProof/>
              </w:rPr>
              <w:t>public interest.</w:t>
            </w:r>
          </w:p>
          <w:p w14:paraId="4F242531" w14:textId="25F43CD2" w:rsidR="00626A82" w:rsidRPr="00193A9A" w:rsidRDefault="00626A82" w:rsidP="00626A82">
            <w:pPr>
              <w:pStyle w:val="ListDash2"/>
              <w:rPr>
                <w:noProof/>
              </w:rPr>
            </w:pPr>
            <w:r w:rsidRPr="00193A9A">
              <w:rPr>
                <w:noProof/>
              </w:rPr>
              <w:t>Low sanctions and ineffective application</w:t>
            </w:r>
            <w:r w:rsidR="000C5F39">
              <w:rPr>
                <w:noProof/>
              </w:rPr>
              <w:t xml:space="preserve"> of sanctions</w:t>
            </w:r>
            <w:r w:rsidRPr="00193A9A">
              <w:rPr>
                <w:noProof/>
              </w:rPr>
              <w:t xml:space="preserve"> are the key bottlenecks in the sanction systems.</w:t>
            </w:r>
          </w:p>
          <w:p w14:paraId="468F91B9" w14:textId="25CDFDC3" w:rsidR="00626A82" w:rsidRPr="00193A9A" w:rsidRDefault="00626A82" w:rsidP="00626A82">
            <w:pPr>
              <w:pStyle w:val="ListDash2"/>
              <w:rPr>
                <w:noProof/>
              </w:rPr>
            </w:pPr>
            <w:r w:rsidRPr="00193A9A">
              <w:rPr>
                <w:noProof/>
              </w:rPr>
              <w:t>Consolidating legislation and introducing forward-looking sanctions would improve the sanction systems.</w:t>
            </w:r>
          </w:p>
        </w:tc>
      </w:tr>
    </w:tbl>
    <w:p w14:paraId="38FEF9F2" w14:textId="7B52C38B" w:rsidR="001E73CE" w:rsidRPr="00193A9A" w:rsidRDefault="001E73CE" w:rsidP="00D949BB">
      <w:pPr>
        <w:pStyle w:val="Heading2"/>
        <w:spacing w:before="240"/>
        <w:ind w:left="1195"/>
        <w:rPr>
          <w:noProof/>
        </w:rPr>
      </w:pPr>
      <w:bookmarkStart w:id="6" w:name="_Toc213340790"/>
      <w:bookmarkStart w:id="7" w:name="_Toc214348072"/>
      <w:bookmarkEnd w:id="4"/>
      <w:bookmarkEnd w:id="5"/>
      <w:r w:rsidRPr="00193A9A">
        <w:rPr>
          <w:noProof/>
        </w:rPr>
        <w:t xml:space="preserve">Stronger equality bodies – </w:t>
      </w:r>
      <w:r w:rsidR="00B85411" w:rsidRPr="00193A9A">
        <w:rPr>
          <w:noProof/>
        </w:rPr>
        <w:t xml:space="preserve">a new impetus for enforcement of EU </w:t>
      </w:r>
      <w:r w:rsidR="006057F8" w:rsidRPr="00193A9A">
        <w:rPr>
          <w:noProof/>
        </w:rPr>
        <w:t xml:space="preserve">non-discrimination </w:t>
      </w:r>
      <w:r w:rsidR="00B85411" w:rsidRPr="00193A9A">
        <w:rPr>
          <w:noProof/>
        </w:rPr>
        <w:t>law</w:t>
      </w:r>
      <w:bookmarkEnd w:id="6"/>
      <w:bookmarkEnd w:id="7"/>
    </w:p>
    <w:p w14:paraId="02D0A540" w14:textId="76AF9FCA" w:rsidR="00A76EE2" w:rsidRPr="00193A9A" w:rsidRDefault="0029769C" w:rsidP="004E77CC">
      <w:pPr>
        <w:pStyle w:val="Text1"/>
        <w:ind w:left="475"/>
        <w:rPr>
          <w:noProof/>
        </w:rPr>
      </w:pPr>
      <w:r w:rsidRPr="00193A9A">
        <w:rPr>
          <w:noProof/>
        </w:rPr>
        <w:t xml:space="preserve">Equality bodies are essential for enforcing EU </w:t>
      </w:r>
      <w:r w:rsidR="00BB3A8C" w:rsidRPr="00193A9A">
        <w:rPr>
          <w:noProof/>
        </w:rPr>
        <w:t xml:space="preserve">non-discrimination </w:t>
      </w:r>
      <w:r w:rsidRPr="00193A9A">
        <w:rPr>
          <w:noProof/>
        </w:rPr>
        <w:t xml:space="preserve">law. </w:t>
      </w:r>
      <w:r w:rsidR="00BB3A8C" w:rsidRPr="00193A9A">
        <w:rPr>
          <w:noProof/>
        </w:rPr>
        <w:t>Until 2024</w:t>
      </w:r>
      <w:r w:rsidRPr="00193A9A">
        <w:rPr>
          <w:noProof/>
        </w:rPr>
        <w:t>, t</w:t>
      </w:r>
      <w:r w:rsidR="00856349" w:rsidRPr="00193A9A">
        <w:rPr>
          <w:noProof/>
        </w:rPr>
        <w:t>he Racial Equality Directive</w:t>
      </w:r>
      <w:r w:rsidR="00384E1F" w:rsidRPr="00193A9A">
        <w:rPr>
          <w:noProof/>
        </w:rPr>
        <w:t xml:space="preserve"> </w:t>
      </w:r>
      <w:r w:rsidR="008A5A63" w:rsidRPr="00193A9A">
        <w:rPr>
          <w:noProof/>
        </w:rPr>
        <w:t xml:space="preserve">merely </w:t>
      </w:r>
      <w:r w:rsidR="00384E1F" w:rsidRPr="00193A9A">
        <w:rPr>
          <w:noProof/>
        </w:rPr>
        <w:t>empower</w:t>
      </w:r>
      <w:r w:rsidR="00BB3A8C" w:rsidRPr="00193A9A">
        <w:rPr>
          <w:noProof/>
        </w:rPr>
        <w:t>ed</w:t>
      </w:r>
      <w:r w:rsidR="00384E1F" w:rsidRPr="00193A9A">
        <w:rPr>
          <w:noProof/>
        </w:rPr>
        <w:t xml:space="preserve"> </w:t>
      </w:r>
      <w:r w:rsidR="00972243" w:rsidRPr="00193A9A">
        <w:rPr>
          <w:noProof/>
        </w:rPr>
        <w:t>equality bodies to provide independent assistance to victims of discrimination and to conduct and publish their own surveys, reports and recommendations (</w:t>
      </w:r>
      <w:r w:rsidR="00972243" w:rsidRPr="00193A9A">
        <w:rPr>
          <w:rStyle w:val="FootnoteReference"/>
          <w:noProof/>
        </w:rPr>
        <w:footnoteReference w:id="16"/>
      </w:r>
      <w:r w:rsidR="00972243" w:rsidRPr="00193A9A">
        <w:rPr>
          <w:noProof/>
        </w:rPr>
        <w:t>).</w:t>
      </w:r>
    </w:p>
    <w:p w14:paraId="3BC859E2" w14:textId="2377A16A" w:rsidR="00A76EE2" w:rsidRPr="00193A9A" w:rsidRDefault="004E77CC" w:rsidP="004E77CC">
      <w:pPr>
        <w:pStyle w:val="Text1"/>
        <w:ind w:left="475"/>
        <w:rPr>
          <w:noProof/>
        </w:rPr>
      </w:pPr>
      <w:r w:rsidRPr="00193A9A">
        <w:rPr>
          <w:noProof/>
        </w:rPr>
        <w:t xml:space="preserve">In the </w:t>
      </w:r>
      <w:r w:rsidR="006D4535">
        <w:rPr>
          <w:noProof/>
        </w:rPr>
        <w:t>s</w:t>
      </w:r>
      <w:r w:rsidRPr="00193A9A">
        <w:rPr>
          <w:noProof/>
        </w:rPr>
        <w:t xml:space="preserve">taff </w:t>
      </w:r>
      <w:r w:rsidR="006D4535">
        <w:rPr>
          <w:noProof/>
        </w:rPr>
        <w:t>w</w:t>
      </w:r>
      <w:r w:rsidRPr="00193A9A">
        <w:rPr>
          <w:noProof/>
        </w:rPr>
        <w:t xml:space="preserve">orking </w:t>
      </w:r>
      <w:r w:rsidR="006D4535">
        <w:rPr>
          <w:noProof/>
        </w:rPr>
        <w:t>d</w:t>
      </w:r>
      <w:r w:rsidRPr="00193A9A">
        <w:rPr>
          <w:noProof/>
        </w:rPr>
        <w:t>ocument accompanying the last report</w:t>
      </w:r>
      <w:r w:rsidR="00734F41">
        <w:rPr>
          <w:noProof/>
        </w:rPr>
        <w:t xml:space="preserve"> on the application of the Directives</w:t>
      </w:r>
      <w:r w:rsidRPr="00193A9A">
        <w:rPr>
          <w:noProof/>
        </w:rPr>
        <w:t> (</w:t>
      </w:r>
      <w:r w:rsidRPr="00193A9A">
        <w:rPr>
          <w:rStyle w:val="FootnoteReference"/>
          <w:noProof/>
        </w:rPr>
        <w:footnoteReference w:id="17"/>
      </w:r>
      <w:r w:rsidRPr="00193A9A">
        <w:rPr>
          <w:noProof/>
        </w:rPr>
        <w:t xml:space="preserve">), the Commission pointed </w:t>
      </w:r>
      <w:r w:rsidR="00734F41">
        <w:rPr>
          <w:noProof/>
        </w:rPr>
        <w:t>to</w:t>
      </w:r>
      <w:r w:rsidR="00734F41" w:rsidRPr="00193A9A">
        <w:rPr>
          <w:noProof/>
        </w:rPr>
        <w:t xml:space="preserve"> </w:t>
      </w:r>
      <w:r w:rsidRPr="00193A9A">
        <w:rPr>
          <w:noProof/>
        </w:rPr>
        <w:t>different levels of ambition and achievement in</w:t>
      </w:r>
      <w:r w:rsidR="00734F41">
        <w:rPr>
          <w:noProof/>
        </w:rPr>
        <w:t xml:space="preserve"> the</w:t>
      </w:r>
      <w:r w:rsidRPr="00193A9A">
        <w:rPr>
          <w:noProof/>
        </w:rPr>
        <w:t xml:space="preserve"> Member States. Key cross</w:t>
      </w:r>
      <w:r w:rsidR="00A76EE2" w:rsidRPr="00193A9A">
        <w:rPr>
          <w:noProof/>
        </w:rPr>
        <w:t>-</w:t>
      </w:r>
      <w:r w:rsidRPr="00193A9A">
        <w:rPr>
          <w:noProof/>
        </w:rPr>
        <w:t>cutting issues included the inadequacy of</w:t>
      </w:r>
      <w:r w:rsidR="00734F41" w:rsidRPr="00734F41">
        <w:rPr>
          <w:noProof/>
        </w:rPr>
        <w:t xml:space="preserve"> </w:t>
      </w:r>
      <w:r w:rsidR="00734F41">
        <w:rPr>
          <w:noProof/>
        </w:rPr>
        <w:t xml:space="preserve">the </w:t>
      </w:r>
      <w:r w:rsidR="00734F41" w:rsidRPr="00193A9A">
        <w:rPr>
          <w:noProof/>
        </w:rPr>
        <w:t>equality bodies’</w:t>
      </w:r>
      <w:r w:rsidRPr="00193A9A">
        <w:rPr>
          <w:noProof/>
        </w:rPr>
        <w:t xml:space="preserve"> resources</w:t>
      </w:r>
      <w:r w:rsidR="00734F41">
        <w:rPr>
          <w:noProof/>
        </w:rPr>
        <w:t>,</w:t>
      </w:r>
      <w:r w:rsidRPr="00193A9A">
        <w:rPr>
          <w:noProof/>
        </w:rPr>
        <w:t xml:space="preserve"> in terms of funding and staff, limited awareness of the equality bodies’ existence, </w:t>
      </w:r>
      <w:r w:rsidR="00011B96">
        <w:rPr>
          <w:noProof/>
        </w:rPr>
        <w:t xml:space="preserve">and </w:t>
      </w:r>
      <w:r w:rsidRPr="00193A9A">
        <w:rPr>
          <w:noProof/>
        </w:rPr>
        <w:t>their limited independence and legal standing.</w:t>
      </w:r>
    </w:p>
    <w:p w14:paraId="6D302556" w14:textId="7E4BEA65" w:rsidR="00C80CEE" w:rsidRPr="00193A9A" w:rsidRDefault="0029769C" w:rsidP="004E77CC">
      <w:pPr>
        <w:pStyle w:val="Text1"/>
        <w:ind w:left="475"/>
        <w:rPr>
          <w:noProof/>
        </w:rPr>
      </w:pPr>
      <w:r w:rsidRPr="00193A9A">
        <w:rPr>
          <w:noProof/>
        </w:rPr>
        <w:t>For this reason, t</w:t>
      </w:r>
      <w:r w:rsidR="009277D7" w:rsidRPr="00193A9A">
        <w:rPr>
          <w:noProof/>
        </w:rPr>
        <w:t xml:space="preserve">he </w:t>
      </w:r>
      <w:r w:rsidR="005C6FA0" w:rsidRPr="00193A9A">
        <w:rPr>
          <w:noProof/>
        </w:rPr>
        <w:t>EU</w:t>
      </w:r>
      <w:r w:rsidR="009277D7" w:rsidRPr="00193A9A">
        <w:rPr>
          <w:noProof/>
        </w:rPr>
        <w:t xml:space="preserve"> </w:t>
      </w:r>
      <w:r w:rsidR="005C6FA0" w:rsidRPr="00193A9A">
        <w:rPr>
          <w:noProof/>
        </w:rPr>
        <w:t>adopted</w:t>
      </w:r>
      <w:r w:rsidR="0069455D" w:rsidRPr="00193A9A">
        <w:rPr>
          <w:noProof/>
        </w:rPr>
        <w:t xml:space="preserve"> t</w:t>
      </w:r>
      <w:r w:rsidR="00AC4C73" w:rsidRPr="00193A9A">
        <w:rPr>
          <w:noProof/>
        </w:rPr>
        <w:t>he Equality Bodies Directives</w:t>
      </w:r>
      <w:r w:rsidR="00384E1F" w:rsidRPr="00193A9A">
        <w:rPr>
          <w:noProof/>
        </w:rPr>
        <w:t xml:space="preserve"> </w:t>
      </w:r>
      <w:r w:rsidR="00E81C62" w:rsidRPr="00193A9A">
        <w:rPr>
          <w:noProof/>
        </w:rPr>
        <w:t xml:space="preserve">to </w:t>
      </w:r>
      <w:r w:rsidR="00563F94" w:rsidRPr="00193A9A">
        <w:rPr>
          <w:noProof/>
        </w:rPr>
        <w:t xml:space="preserve">ensure that, by June 2026, all equality bodies are </w:t>
      </w:r>
      <w:r w:rsidR="00364AF5" w:rsidRPr="00193A9A">
        <w:rPr>
          <w:noProof/>
        </w:rPr>
        <w:t xml:space="preserve">better equipped </w:t>
      </w:r>
      <w:r w:rsidR="00563F94" w:rsidRPr="00193A9A">
        <w:rPr>
          <w:noProof/>
        </w:rPr>
        <w:t>to combat discrimination, support victims and promote equality.</w:t>
      </w:r>
    </w:p>
    <w:p w14:paraId="6B153F03" w14:textId="6939B6DE" w:rsidR="00C80CEE" w:rsidRPr="00193A9A" w:rsidRDefault="00AC4C73" w:rsidP="0067277A">
      <w:pPr>
        <w:pStyle w:val="Text1"/>
        <w:rPr>
          <w:noProof/>
        </w:rPr>
      </w:pPr>
      <w:r w:rsidRPr="00193A9A">
        <w:rPr>
          <w:noProof/>
        </w:rPr>
        <w:t>T</w:t>
      </w:r>
      <w:r w:rsidR="0067277A" w:rsidRPr="00193A9A">
        <w:rPr>
          <w:noProof/>
        </w:rPr>
        <w:t xml:space="preserve">he </w:t>
      </w:r>
      <w:r w:rsidR="00994F26" w:rsidRPr="00193A9A">
        <w:rPr>
          <w:noProof/>
        </w:rPr>
        <w:t xml:space="preserve">Equality Bodies Directives </w:t>
      </w:r>
      <w:r w:rsidR="0067277A" w:rsidRPr="00193A9A">
        <w:rPr>
          <w:noProof/>
        </w:rPr>
        <w:t xml:space="preserve">extend the remit of </w:t>
      </w:r>
      <w:r w:rsidR="005210E6">
        <w:rPr>
          <w:noProof/>
        </w:rPr>
        <w:t xml:space="preserve">the </w:t>
      </w:r>
      <w:r w:rsidR="0067277A" w:rsidRPr="00193A9A">
        <w:rPr>
          <w:noProof/>
        </w:rPr>
        <w:t>equality bodies</w:t>
      </w:r>
      <w:r w:rsidR="00464416" w:rsidRPr="00193A9A">
        <w:rPr>
          <w:noProof/>
        </w:rPr>
        <w:t xml:space="preserve"> </w:t>
      </w:r>
      <w:r w:rsidR="0067277A" w:rsidRPr="00193A9A">
        <w:rPr>
          <w:noProof/>
        </w:rPr>
        <w:t xml:space="preserve">to include </w:t>
      </w:r>
      <w:r w:rsidR="007A719B">
        <w:rPr>
          <w:noProof/>
        </w:rPr>
        <w:t xml:space="preserve">discrimination on the grounds of </w:t>
      </w:r>
      <w:r w:rsidR="0067277A" w:rsidRPr="00193A9A">
        <w:rPr>
          <w:noProof/>
        </w:rPr>
        <w:t xml:space="preserve">age, religion or belief, disability </w:t>
      </w:r>
      <w:r w:rsidR="007A719B">
        <w:rPr>
          <w:noProof/>
        </w:rPr>
        <w:t>or</w:t>
      </w:r>
      <w:r w:rsidR="007A719B" w:rsidRPr="00193A9A">
        <w:rPr>
          <w:noProof/>
        </w:rPr>
        <w:t xml:space="preserve"> </w:t>
      </w:r>
      <w:r w:rsidR="0067277A" w:rsidRPr="00193A9A">
        <w:rPr>
          <w:noProof/>
        </w:rPr>
        <w:t>sexual orientation in the field of employment</w:t>
      </w:r>
      <w:r w:rsidR="00563F94" w:rsidRPr="00193A9A">
        <w:rPr>
          <w:noProof/>
        </w:rPr>
        <w:t xml:space="preserve">. </w:t>
      </w:r>
      <w:r w:rsidR="004E77CC" w:rsidRPr="00193A9A">
        <w:rPr>
          <w:noProof/>
        </w:rPr>
        <w:t>Prior to this, equality bodies were mandated by EU law to promote, analyse, monitor and support the equal treatment of all persons on the grounds of racial or ethnic origin and sex only.</w:t>
      </w:r>
    </w:p>
    <w:p w14:paraId="33356310" w14:textId="3D8235C2" w:rsidR="00C80CEE" w:rsidRPr="00193A9A" w:rsidRDefault="00C80CEE" w:rsidP="00C80CEE">
      <w:pPr>
        <w:pStyle w:val="Text2"/>
        <w:ind w:left="482"/>
        <w:rPr>
          <w:noProof/>
        </w:rPr>
      </w:pPr>
      <w:r w:rsidRPr="00193A9A">
        <w:rPr>
          <w:noProof/>
        </w:rPr>
        <w:t xml:space="preserve">Furthermore, the </w:t>
      </w:r>
      <w:r w:rsidR="00AC4C73" w:rsidRPr="00193A9A">
        <w:rPr>
          <w:noProof/>
        </w:rPr>
        <w:t>E</w:t>
      </w:r>
      <w:r w:rsidR="00273111" w:rsidRPr="00193A9A">
        <w:rPr>
          <w:noProof/>
        </w:rPr>
        <w:t xml:space="preserve">quality </w:t>
      </w:r>
      <w:r w:rsidR="00AC4C73" w:rsidRPr="00193A9A">
        <w:rPr>
          <w:noProof/>
        </w:rPr>
        <w:t>B</w:t>
      </w:r>
      <w:r w:rsidR="00273111" w:rsidRPr="00193A9A">
        <w:rPr>
          <w:noProof/>
        </w:rPr>
        <w:t xml:space="preserve">odies </w:t>
      </w:r>
      <w:r w:rsidR="00464416" w:rsidRPr="00193A9A">
        <w:rPr>
          <w:noProof/>
        </w:rPr>
        <w:t xml:space="preserve">Directives </w:t>
      </w:r>
      <w:r w:rsidR="00FD47F1">
        <w:rPr>
          <w:noProof/>
        </w:rPr>
        <w:t>require</w:t>
      </w:r>
      <w:r w:rsidRPr="00193A9A">
        <w:rPr>
          <w:noProof/>
        </w:rPr>
        <w:t xml:space="preserve"> Member States </w:t>
      </w:r>
      <w:r w:rsidR="00FD47F1">
        <w:rPr>
          <w:noProof/>
        </w:rPr>
        <w:t>to</w:t>
      </w:r>
      <w:r w:rsidR="007A719B" w:rsidRPr="00193A9A">
        <w:rPr>
          <w:noProof/>
        </w:rPr>
        <w:t xml:space="preserve"> </w:t>
      </w:r>
      <w:r w:rsidRPr="00193A9A">
        <w:rPr>
          <w:noProof/>
        </w:rPr>
        <w:t xml:space="preserve">ensure </w:t>
      </w:r>
      <w:r w:rsidR="007A719B">
        <w:rPr>
          <w:noProof/>
        </w:rPr>
        <w:t>that</w:t>
      </w:r>
      <w:r w:rsidRPr="00193A9A">
        <w:rPr>
          <w:noProof/>
        </w:rPr>
        <w:t xml:space="preserve"> equality bodies</w:t>
      </w:r>
      <w:r w:rsidR="007A719B">
        <w:rPr>
          <w:noProof/>
        </w:rPr>
        <w:t xml:space="preserve"> are independent</w:t>
      </w:r>
      <w:r w:rsidR="00394FD4" w:rsidRPr="00193A9A">
        <w:rPr>
          <w:noProof/>
        </w:rPr>
        <w:t xml:space="preserve"> and</w:t>
      </w:r>
      <w:r w:rsidRPr="00193A9A">
        <w:rPr>
          <w:noProof/>
        </w:rPr>
        <w:t xml:space="preserve"> </w:t>
      </w:r>
      <w:r w:rsidR="00FD47F1">
        <w:rPr>
          <w:noProof/>
        </w:rPr>
        <w:t xml:space="preserve">to </w:t>
      </w:r>
      <w:r w:rsidR="00394FD4" w:rsidRPr="00193A9A">
        <w:rPr>
          <w:noProof/>
        </w:rPr>
        <w:t xml:space="preserve">provide </w:t>
      </w:r>
      <w:r w:rsidRPr="00193A9A">
        <w:rPr>
          <w:noProof/>
        </w:rPr>
        <w:t>the</w:t>
      </w:r>
      <w:r w:rsidR="00394FD4" w:rsidRPr="00193A9A">
        <w:rPr>
          <w:noProof/>
        </w:rPr>
        <w:t>m with</w:t>
      </w:r>
      <w:r w:rsidR="007A719B">
        <w:rPr>
          <w:noProof/>
        </w:rPr>
        <w:t xml:space="preserve"> the</w:t>
      </w:r>
      <w:r w:rsidRPr="00193A9A">
        <w:rPr>
          <w:noProof/>
        </w:rPr>
        <w:t xml:space="preserve"> necessary human, technical and financial resources</w:t>
      </w:r>
      <w:r w:rsidR="00394FD4" w:rsidRPr="00193A9A">
        <w:rPr>
          <w:noProof/>
        </w:rPr>
        <w:t xml:space="preserve">. </w:t>
      </w:r>
      <w:r w:rsidR="007A719B">
        <w:rPr>
          <w:noProof/>
        </w:rPr>
        <w:t>Those</w:t>
      </w:r>
      <w:r w:rsidR="007A719B" w:rsidRPr="00193A9A">
        <w:rPr>
          <w:noProof/>
        </w:rPr>
        <w:t xml:space="preserve"> </w:t>
      </w:r>
      <w:r w:rsidR="00394FD4" w:rsidRPr="00193A9A">
        <w:rPr>
          <w:noProof/>
        </w:rPr>
        <w:t>resources must</w:t>
      </w:r>
      <w:r w:rsidRPr="00193A9A">
        <w:rPr>
          <w:noProof/>
        </w:rPr>
        <w:t xml:space="preserve"> enable</w:t>
      </w:r>
      <w:r w:rsidR="00A41C25" w:rsidRPr="00193A9A">
        <w:rPr>
          <w:noProof/>
        </w:rPr>
        <w:t xml:space="preserve"> </w:t>
      </w:r>
      <w:r w:rsidR="00394FD4" w:rsidRPr="00193A9A">
        <w:rPr>
          <w:noProof/>
        </w:rPr>
        <w:t xml:space="preserve">the equality bodies </w:t>
      </w:r>
      <w:r w:rsidRPr="00193A9A">
        <w:rPr>
          <w:noProof/>
        </w:rPr>
        <w:t xml:space="preserve">to perform all their tasks and exercise all their </w:t>
      </w:r>
      <w:r w:rsidR="0082078A">
        <w:rPr>
          <w:noProof/>
        </w:rPr>
        <w:t>powers</w:t>
      </w:r>
      <w:r w:rsidR="0082078A" w:rsidRPr="00193A9A">
        <w:rPr>
          <w:noProof/>
        </w:rPr>
        <w:t xml:space="preserve"> </w:t>
      </w:r>
      <w:r w:rsidRPr="00193A9A">
        <w:rPr>
          <w:noProof/>
        </w:rPr>
        <w:t>effectively</w:t>
      </w:r>
      <w:r w:rsidR="00394FD4" w:rsidRPr="00193A9A">
        <w:rPr>
          <w:noProof/>
        </w:rPr>
        <w:t xml:space="preserve"> across all grounds and fields of discrimination</w:t>
      </w:r>
      <w:r w:rsidRPr="00193A9A">
        <w:rPr>
          <w:noProof/>
        </w:rPr>
        <w:t>.</w:t>
      </w:r>
    </w:p>
    <w:p w14:paraId="7875AE29" w14:textId="04E0BA56" w:rsidR="00B7094F" w:rsidRPr="00193A9A" w:rsidRDefault="00B7094F" w:rsidP="00B7094F">
      <w:pPr>
        <w:pStyle w:val="Text1"/>
        <w:rPr>
          <w:noProof/>
        </w:rPr>
      </w:pPr>
      <w:r w:rsidRPr="00193A9A">
        <w:rPr>
          <w:noProof/>
        </w:rPr>
        <w:t xml:space="preserve">Finally, the scope of the tasks and </w:t>
      </w:r>
      <w:r w:rsidR="0082078A">
        <w:rPr>
          <w:noProof/>
        </w:rPr>
        <w:t xml:space="preserve">powers </w:t>
      </w:r>
      <w:r w:rsidR="00F07E49">
        <w:rPr>
          <w:noProof/>
        </w:rPr>
        <w:t>of equality bodies</w:t>
      </w:r>
      <w:r w:rsidRPr="00193A9A">
        <w:rPr>
          <w:noProof/>
        </w:rPr>
        <w:t xml:space="preserve"> has </w:t>
      </w:r>
      <w:r w:rsidR="007D792F" w:rsidRPr="00193A9A">
        <w:rPr>
          <w:noProof/>
        </w:rPr>
        <w:t>been strengthened</w:t>
      </w:r>
      <w:r w:rsidRPr="00193A9A">
        <w:rPr>
          <w:noProof/>
        </w:rPr>
        <w:t xml:space="preserve"> substantially.</w:t>
      </w:r>
      <w:r w:rsidRPr="00641574">
        <w:rPr>
          <w:noProof/>
        </w:rPr>
        <w:t xml:space="preserve"> </w:t>
      </w:r>
      <w:r w:rsidR="003E43BE" w:rsidRPr="00193A9A">
        <w:rPr>
          <w:noProof/>
        </w:rPr>
        <w:t>The</w:t>
      </w:r>
      <w:r w:rsidR="00F07E49">
        <w:rPr>
          <w:noProof/>
        </w:rPr>
        <w:t>ir</w:t>
      </w:r>
      <w:r w:rsidR="003E43BE" w:rsidRPr="00193A9A">
        <w:rPr>
          <w:noProof/>
        </w:rPr>
        <w:t xml:space="preserve"> mandate</w:t>
      </w:r>
      <w:r w:rsidRPr="00193A9A">
        <w:rPr>
          <w:noProof/>
        </w:rPr>
        <w:t xml:space="preserve"> </w:t>
      </w:r>
      <w:r w:rsidR="007D792F" w:rsidRPr="00193A9A">
        <w:rPr>
          <w:noProof/>
        </w:rPr>
        <w:t>can</w:t>
      </w:r>
      <w:r w:rsidRPr="00193A9A">
        <w:rPr>
          <w:noProof/>
        </w:rPr>
        <w:t xml:space="preserve"> no</w:t>
      </w:r>
      <w:r w:rsidR="003E43BE" w:rsidRPr="00193A9A">
        <w:rPr>
          <w:noProof/>
        </w:rPr>
        <w:t xml:space="preserve"> longer be restricted to</w:t>
      </w:r>
      <w:r w:rsidRPr="00193A9A">
        <w:rPr>
          <w:noProof/>
        </w:rPr>
        <w:t xml:space="preserve"> respond</w:t>
      </w:r>
      <w:r w:rsidR="003E43BE" w:rsidRPr="00193A9A">
        <w:rPr>
          <w:noProof/>
        </w:rPr>
        <w:t>ing</w:t>
      </w:r>
      <w:r w:rsidRPr="00193A9A">
        <w:rPr>
          <w:noProof/>
        </w:rPr>
        <w:t xml:space="preserve"> to discrimination. They will </w:t>
      </w:r>
      <w:r w:rsidR="003E43BE" w:rsidRPr="00193A9A">
        <w:rPr>
          <w:noProof/>
        </w:rPr>
        <w:t xml:space="preserve">also </w:t>
      </w:r>
      <w:r w:rsidR="007D792F" w:rsidRPr="00193A9A">
        <w:rPr>
          <w:noProof/>
        </w:rPr>
        <w:t>need to have</w:t>
      </w:r>
      <w:r w:rsidR="003E43BE" w:rsidRPr="00193A9A">
        <w:rPr>
          <w:noProof/>
        </w:rPr>
        <w:t xml:space="preserve"> the power to </w:t>
      </w:r>
      <w:r w:rsidRPr="00193A9A">
        <w:rPr>
          <w:noProof/>
        </w:rPr>
        <w:t xml:space="preserve">take </w:t>
      </w:r>
      <w:r w:rsidR="0097716E" w:rsidRPr="00193A9A">
        <w:rPr>
          <w:noProof/>
        </w:rPr>
        <w:t xml:space="preserve">preventive </w:t>
      </w:r>
      <w:r w:rsidRPr="00193A9A">
        <w:rPr>
          <w:noProof/>
        </w:rPr>
        <w:t>action</w:t>
      </w:r>
      <w:r w:rsidR="00394FD4" w:rsidRPr="00193A9A">
        <w:rPr>
          <w:noProof/>
        </w:rPr>
        <w:t xml:space="preserve">, including in relation to discrimination </w:t>
      </w:r>
      <w:r w:rsidR="00F07E49">
        <w:rPr>
          <w:noProof/>
        </w:rPr>
        <w:t>on the basis of</w:t>
      </w:r>
      <w:r w:rsidR="00394FD4" w:rsidRPr="00193A9A">
        <w:rPr>
          <w:noProof/>
        </w:rPr>
        <w:t xml:space="preserve"> age, religion or belief, disability </w:t>
      </w:r>
      <w:r w:rsidR="00F07E49">
        <w:rPr>
          <w:noProof/>
        </w:rPr>
        <w:t>or</w:t>
      </w:r>
      <w:r w:rsidR="00F07E49" w:rsidRPr="00193A9A">
        <w:rPr>
          <w:noProof/>
        </w:rPr>
        <w:t xml:space="preserve"> </w:t>
      </w:r>
      <w:r w:rsidR="00394FD4" w:rsidRPr="00193A9A">
        <w:rPr>
          <w:noProof/>
        </w:rPr>
        <w:t xml:space="preserve">sexual orientation in the </w:t>
      </w:r>
      <w:r w:rsidR="00F07E49">
        <w:rPr>
          <w:noProof/>
        </w:rPr>
        <w:t>field</w:t>
      </w:r>
      <w:r w:rsidR="00F07E49" w:rsidRPr="00193A9A">
        <w:rPr>
          <w:noProof/>
        </w:rPr>
        <w:t xml:space="preserve"> </w:t>
      </w:r>
      <w:r w:rsidR="00394FD4" w:rsidRPr="00193A9A">
        <w:rPr>
          <w:noProof/>
        </w:rPr>
        <w:t>of employment and vocational training.</w:t>
      </w:r>
    </w:p>
    <w:p w14:paraId="4ADB3697" w14:textId="60C27E8B" w:rsidR="00B7094F" w:rsidRPr="00193A9A" w:rsidRDefault="00B7094F" w:rsidP="00B7094F">
      <w:pPr>
        <w:pStyle w:val="Text1"/>
        <w:rPr>
          <w:noProof/>
        </w:rPr>
      </w:pPr>
      <w:r w:rsidRPr="00193A9A">
        <w:rPr>
          <w:noProof/>
        </w:rPr>
        <w:t>To address the structural aspects of discrimination and to contribute to social change</w:t>
      </w:r>
      <w:r w:rsidR="00F07E49">
        <w:rPr>
          <w:noProof/>
        </w:rPr>
        <w:t> </w:t>
      </w:r>
      <w:r w:rsidR="00856349" w:rsidRPr="00193A9A">
        <w:rPr>
          <w:noProof/>
        </w:rPr>
        <w:t>(</w:t>
      </w:r>
      <w:r w:rsidR="00856349" w:rsidRPr="00193A9A">
        <w:rPr>
          <w:rStyle w:val="FootnoteReference"/>
          <w:noProof/>
        </w:rPr>
        <w:footnoteReference w:id="18"/>
      </w:r>
      <w:r w:rsidR="00856349" w:rsidRPr="00193A9A">
        <w:rPr>
          <w:noProof/>
        </w:rPr>
        <w:t>)</w:t>
      </w:r>
      <w:r w:rsidRPr="00193A9A">
        <w:rPr>
          <w:noProof/>
        </w:rPr>
        <w:t xml:space="preserve">, equality bodies </w:t>
      </w:r>
      <w:r w:rsidR="00273111" w:rsidRPr="00193A9A">
        <w:rPr>
          <w:noProof/>
        </w:rPr>
        <w:t>will</w:t>
      </w:r>
      <w:r w:rsidRPr="00193A9A">
        <w:rPr>
          <w:noProof/>
        </w:rPr>
        <w:t xml:space="preserve"> carry out awareness</w:t>
      </w:r>
      <w:r w:rsidR="00B116D6">
        <w:rPr>
          <w:noProof/>
        </w:rPr>
        <w:t>-</w:t>
      </w:r>
      <w:r w:rsidRPr="00193A9A">
        <w:rPr>
          <w:noProof/>
        </w:rPr>
        <w:t>raising, prevention and promotion</w:t>
      </w:r>
      <w:r w:rsidR="00872B82" w:rsidRPr="00193A9A">
        <w:rPr>
          <w:noProof/>
        </w:rPr>
        <w:t>al</w:t>
      </w:r>
      <w:r w:rsidRPr="00193A9A">
        <w:rPr>
          <w:noProof/>
        </w:rPr>
        <w:t xml:space="preserve"> activities (</w:t>
      </w:r>
      <w:r w:rsidRPr="00193A9A">
        <w:rPr>
          <w:rStyle w:val="FootnoteReference"/>
          <w:noProof/>
        </w:rPr>
        <w:footnoteReference w:id="19"/>
      </w:r>
      <w:r w:rsidRPr="00193A9A">
        <w:rPr>
          <w:noProof/>
        </w:rPr>
        <w:t xml:space="preserve">). Such activities can include sharing good </w:t>
      </w:r>
      <w:r w:rsidRPr="003B6006">
        <w:rPr>
          <w:noProof/>
        </w:rPr>
        <w:t>practices</w:t>
      </w:r>
      <w:r w:rsidRPr="00193A9A">
        <w:rPr>
          <w:noProof/>
        </w:rPr>
        <w:t xml:space="preserve">, </w:t>
      </w:r>
      <w:r w:rsidR="00BE5B82">
        <w:rPr>
          <w:noProof/>
        </w:rPr>
        <w:t xml:space="preserve">taking </w:t>
      </w:r>
      <w:r w:rsidRPr="00193A9A">
        <w:rPr>
          <w:noProof/>
        </w:rPr>
        <w:t xml:space="preserve">positive action, reporting on structural issues, equality mainstreaming among public and private entities, and providing </w:t>
      </w:r>
      <w:r w:rsidR="007138A8">
        <w:rPr>
          <w:noProof/>
        </w:rPr>
        <w:t>such entities</w:t>
      </w:r>
      <w:r w:rsidR="007138A8" w:rsidRPr="00193A9A">
        <w:rPr>
          <w:noProof/>
        </w:rPr>
        <w:t xml:space="preserve"> </w:t>
      </w:r>
      <w:r w:rsidRPr="00193A9A">
        <w:rPr>
          <w:noProof/>
        </w:rPr>
        <w:t>with relevant training, information, advice, guidance and support.</w:t>
      </w:r>
    </w:p>
    <w:p w14:paraId="3BD83D2A" w14:textId="20DD4789" w:rsidR="00394FD4" w:rsidRPr="00193A9A" w:rsidRDefault="00A6547E" w:rsidP="00F751AB">
      <w:pPr>
        <w:pStyle w:val="Text1"/>
        <w:rPr>
          <w:noProof/>
        </w:rPr>
      </w:pPr>
      <w:r>
        <w:rPr>
          <w:noProof/>
        </w:rPr>
        <w:t>T</w:t>
      </w:r>
      <w:r w:rsidR="00B7094F" w:rsidRPr="00193A9A">
        <w:rPr>
          <w:noProof/>
        </w:rPr>
        <w:t xml:space="preserve">he </w:t>
      </w:r>
      <w:r w:rsidR="00324417" w:rsidRPr="00193A9A">
        <w:rPr>
          <w:noProof/>
        </w:rPr>
        <w:t xml:space="preserve">Equality Bodies </w:t>
      </w:r>
      <w:r w:rsidR="004E7B8C" w:rsidRPr="00193A9A">
        <w:rPr>
          <w:noProof/>
        </w:rPr>
        <w:t xml:space="preserve">Directives </w:t>
      </w:r>
      <w:r w:rsidR="00B7094F" w:rsidRPr="00193A9A">
        <w:rPr>
          <w:noProof/>
        </w:rPr>
        <w:t xml:space="preserve">require Member States to </w:t>
      </w:r>
      <w:r w:rsidR="00CE4CFD">
        <w:rPr>
          <w:noProof/>
        </w:rPr>
        <w:t>give equality bodies</w:t>
      </w:r>
      <w:r w:rsidR="00CE4CFD" w:rsidRPr="00193A9A">
        <w:rPr>
          <w:noProof/>
        </w:rPr>
        <w:t xml:space="preserve"> </w:t>
      </w:r>
      <w:r w:rsidR="00B7094F" w:rsidRPr="00193A9A">
        <w:rPr>
          <w:noProof/>
        </w:rPr>
        <w:t>litigation powers (</w:t>
      </w:r>
      <w:r w:rsidR="00B7094F" w:rsidRPr="00193A9A">
        <w:rPr>
          <w:rStyle w:val="FootnoteReference"/>
          <w:noProof/>
        </w:rPr>
        <w:footnoteReference w:id="20"/>
      </w:r>
      <w:r w:rsidR="00B7094F" w:rsidRPr="00193A9A">
        <w:rPr>
          <w:noProof/>
        </w:rPr>
        <w:t xml:space="preserve">). </w:t>
      </w:r>
      <w:r w:rsidR="00F751AB" w:rsidRPr="00193A9A">
        <w:rPr>
          <w:noProof/>
        </w:rPr>
        <w:t xml:space="preserve">Previously, </w:t>
      </w:r>
      <w:r w:rsidR="00EC0A2C">
        <w:rPr>
          <w:noProof/>
        </w:rPr>
        <w:t>litigation powers</w:t>
      </w:r>
      <w:r w:rsidR="00F751AB" w:rsidRPr="00193A9A">
        <w:rPr>
          <w:noProof/>
        </w:rPr>
        <w:t xml:space="preserve"> of </w:t>
      </w:r>
      <w:r w:rsidR="00F82C11">
        <w:rPr>
          <w:noProof/>
        </w:rPr>
        <w:t>those</w:t>
      </w:r>
      <w:r w:rsidR="00F82C11" w:rsidRPr="00193A9A">
        <w:rPr>
          <w:noProof/>
        </w:rPr>
        <w:t xml:space="preserve"> </w:t>
      </w:r>
      <w:r w:rsidR="00F751AB" w:rsidRPr="00193A9A">
        <w:rPr>
          <w:noProof/>
        </w:rPr>
        <w:t xml:space="preserve">bodies varied significantly across the EU. </w:t>
      </w:r>
      <w:bookmarkStart w:id="8" w:name="_Hlk218531245"/>
      <w:r w:rsidR="00F751AB" w:rsidRPr="00193A9A">
        <w:rPr>
          <w:noProof/>
        </w:rPr>
        <w:t xml:space="preserve">With the new standards in place, all groups protected under EU law </w:t>
      </w:r>
      <w:r w:rsidR="00AC693F" w:rsidRPr="00193A9A">
        <w:rPr>
          <w:noProof/>
        </w:rPr>
        <w:t>will be able to</w:t>
      </w:r>
      <w:r w:rsidR="00F751AB" w:rsidRPr="00193A9A">
        <w:rPr>
          <w:noProof/>
        </w:rPr>
        <w:t xml:space="preserve"> seek support from equality bodies in the </w:t>
      </w:r>
      <w:r w:rsidR="00F30307">
        <w:rPr>
          <w:noProof/>
        </w:rPr>
        <w:t>fields</w:t>
      </w:r>
      <w:r w:rsidR="00F30307" w:rsidRPr="00193A9A">
        <w:rPr>
          <w:noProof/>
        </w:rPr>
        <w:t xml:space="preserve"> </w:t>
      </w:r>
      <w:r w:rsidR="00F751AB" w:rsidRPr="00193A9A">
        <w:rPr>
          <w:noProof/>
        </w:rPr>
        <w:t>covered by the Racial</w:t>
      </w:r>
      <w:r w:rsidR="00D84175">
        <w:rPr>
          <w:noProof/>
        </w:rPr>
        <w:t xml:space="preserve"> Equality Directive</w:t>
      </w:r>
      <w:r w:rsidR="00F751AB" w:rsidRPr="00193A9A">
        <w:rPr>
          <w:noProof/>
        </w:rPr>
        <w:t xml:space="preserve"> and Employment Equality Directive.</w:t>
      </w:r>
      <w:bookmarkEnd w:id="8"/>
    </w:p>
    <w:p w14:paraId="3BF5AAA9" w14:textId="640E28DC" w:rsidR="00B7094F" w:rsidRPr="00193A9A" w:rsidRDefault="00B7094F" w:rsidP="00B7094F">
      <w:pPr>
        <w:pStyle w:val="Text1"/>
        <w:rPr>
          <w:noProof/>
        </w:rPr>
      </w:pPr>
      <w:r w:rsidRPr="00193A9A">
        <w:rPr>
          <w:noProof/>
        </w:rPr>
        <w:t>In particular,</w:t>
      </w:r>
      <w:r w:rsidR="00F751AB" w:rsidRPr="00193A9A">
        <w:rPr>
          <w:noProof/>
        </w:rPr>
        <w:t xml:space="preserve"> the Equality Bodies Directives allow Member States to </w:t>
      </w:r>
      <w:r w:rsidR="00A41C25" w:rsidRPr="00193A9A">
        <w:rPr>
          <w:noProof/>
        </w:rPr>
        <w:t>empower</w:t>
      </w:r>
      <w:r w:rsidR="00F751AB" w:rsidRPr="00193A9A">
        <w:rPr>
          <w:noProof/>
        </w:rPr>
        <w:t xml:space="preserve"> equality bodies </w:t>
      </w:r>
      <w:r w:rsidR="00A41C25" w:rsidRPr="00193A9A">
        <w:rPr>
          <w:noProof/>
        </w:rPr>
        <w:t xml:space="preserve">to </w:t>
      </w:r>
      <w:r w:rsidR="00F751AB" w:rsidRPr="00193A9A">
        <w:rPr>
          <w:noProof/>
        </w:rPr>
        <w:t xml:space="preserve">support </w:t>
      </w:r>
      <w:r w:rsidR="00A41C25" w:rsidRPr="00193A9A">
        <w:rPr>
          <w:noProof/>
        </w:rPr>
        <w:t xml:space="preserve">both individual and </w:t>
      </w:r>
      <w:r w:rsidR="00F751AB" w:rsidRPr="00193A9A">
        <w:rPr>
          <w:noProof/>
        </w:rPr>
        <w:t>collective redress</w:t>
      </w:r>
      <w:r w:rsidR="000D3715" w:rsidRPr="00193A9A">
        <w:rPr>
          <w:noProof/>
        </w:rPr>
        <w:t> (</w:t>
      </w:r>
      <w:r w:rsidR="000D3715" w:rsidRPr="00193A9A">
        <w:rPr>
          <w:rStyle w:val="FootnoteReference"/>
          <w:noProof/>
        </w:rPr>
        <w:footnoteReference w:id="21"/>
      </w:r>
      <w:r w:rsidR="000D3715" w:rsidRPr="00193A9A">
        <w:rPr>
          <w:noProof/>
        </w:rPr>
        <w:t>)</w:t>
      </w:r>
      <w:r w:rsidR="00A41C25" w:rsidRPr="00193A9A">
        <w:rPr>
          <w:noProof/>
        </w:rPr>
        <w:t xml:space="preserve"> efforts</w:t>
      </w:r>
      <w:r w:rsidR="00F751AB" w:rsidRPr="00193A9A">
        <w:rPr>
          <w:noProof/>
        </w:rPr>
        <w:t>.</w:t>
      </w:r>
      <w:r w:rsidRPr="00193A9A">
        <w:rPr>
          <w:noProof/>
        </w:rPr>
        <w:t xml:space="preserve"> Member States may </w:t>
      </w:r>
      <w:r w:rsidR="00AC477A">
        <w:rPr>
          <w:noProof/>
        </w:rPr>
        <w:t>designate</w:t>
      </w:r>
      <w:r w:rsidR="00AC477A" w:rsidRPr="00193A9A">
        <w:rPr>
          <w:noProof/>
        </w:rPr>
        <w:t xml:space="preserve"> </w:t>
      </w:r>
      <w:r w:rsidRPr="00193A9A">
        <w:rPr>
          <w:noProof/>
        </w:rPr>
        <w:t>equality bodies to act</w:t>
      </w:r>
      <w:r w:rsidR="003C13D3" w:rsidRPr="00193A9A">
        <w:rPr>
          <w:noProof/>
        </w:rPr>
        <w:t xml:space="preserve"> in support or on behalf of several victims or</w:t>
      </w:r>
      <w:r w:rsidRPr="00193A9A">
        <w:rPr>
          <w:noProof/>
        </w:rPr>
        <w:t xml:space="preserve"> in their own name to combat discrimination in the public interest. This </w:t>
      </w:r>
      <w:r w:rsidR="00872B82" w:rsidRPr="00193A9A">
        <w:rPr>
          <w:noProof/>
        </w:rPr>
        <w:t xml:space="preserve">may be </w:t>
      </w:r>
      <w:r w:rsidR="00F30307">
        <w:rPr>
          <w:noProof/>
        </w:rPr>
        <w:t>necessary</w:t>
      </w:r>
      <w:r w:rsidR="00872B82" w:rsidRPr="00193A9A">
        <w:rPr>
          <w:noProof/>
        </w:rPr>
        <w:t xml:space="preserve">, for </w:t>
      </w:r>
      <w:r w:rsidR="00F30307">
        <w:rPr>
          <w:noProof/>
        </w:rPr>
        <w:t>example</w:t>
      </w:r>
      <w:r w:rsidR="00872B82" w:rsidRPr="00193A9A">
        <w:rPr>
          <w:noProof/>
        </w:rPr>
        <w:t>,</w:t>
      </w:r>
      <w:r w:rsidRPr="00193A9A">
        <w:rPr>
          <w:noProof/>
        </w:rPr>
        <w:t xml:space="preserve"> </w:t>
      </w:r>
      <w:r w:rsidR="00F30307">
        <w:rPr>
          <w:noProof/>
        </w:rPr>
        <w:t>because of</w:t>
      </w:r>
      <w:r w:rsidRPr="00193A9A">
        <w:rPr>
          <w:noProof/>
        </w:rPr>
        <w:t xml:space="preserve"> </w:t>
      </w:r>
      <w:r w:rsidR="00F30307">
        <w:rPr>
          <w:noProof/>
        </w:rPr>
        <w:t>the</w:t>
      </w:r>
      <w:r w:rsidRPr="00193A9A">
        <w:rPr>
          <w:noProof/>
        </w:rPr>
        <w:t xml:space="preserve"> abundance </w:t>
      </w:r>
      <w:r w:rsidR="00F30307">
        <w:rPr>
          <w:noProof/>
        </w:rPr>
        <w:t>or</w:t>
      </w:r>
      <w:r w:rsidRPr="00193A9A">
        <w:rPr>
          <w:noProof/>
        </w:rPr>
        <w:t xml:space="preserve"> seriousness of </w:t>
      </w:r>
      <w:r w:rsidR="00F30307">
        <w:rPr>
          <w:noProof/>
        </w:rPr>
        <w:t xml:space="preserve">the </w:t>
      </w:r>
      <w:r w:rsidRPr="00193A9A">
        <w:rPr>
          <w:noProof/>
        </w:rPr>
        <w:t>cases or the need for legal clarification. Each</w:t>
      </w:r>
      <w:r w:rsidR="00F30307">
        <w:rPr>
          <w:noProof/>
        </w:rPr>
        <w:t xml:space="preserve"> one</w:t>
      </w:r>
      <w:r w:rsidRPr="00193A9A">
        <w:rPr>
          <w:noProof/>
        </w:rPr>
        <w:t xml:space="preserve"> of </w:t>
      </w:r>
      <w:r w:rsidR="00F30307">
        <w:rPr>
          <w:noProof/>
        </w:rPr>
        <w:t>those</w:t>
      </w:r>
      <w:r w:rsidR="00F30307" w:rsidRPr="00193A9A">
        <w:rPr>
          <w:noProof/>
        </w:rPr>
        <w:t xml:space="preserve"> </w:t>
      </w:r>
      <w:r w:rsidRPr="00193A9A">
        <w:rPr>
          <w:noProof/>
        </w:rPr>
        <w:t>factors could imply that the discrimination is structural or systematic in nature (</w:t>
      </w:r>
      <w:r w:rsidRPr="00193A9A">
        <w:rPr>
          <w:rStyle w:val="FootnoteReference"/>
          <w:noProof/>
        </w:rPr>
        <w:footnoteReference w:id="22"/>
      </w:r>
      <w:r w:rsidRPr="00193A9A">
        <w:rPr>
          <w:noProof/>
        </w:rPr>
        <w:t>).</w:t>
      </w:r>
    </w:p>
    <w:p w14:paraId="08E14D4E" w14:textId="268810D4" w:rsidR="007D6352" w:rsidRDefault="00267A75" w:rsidP="007D6352">
      <w:pPr>
        <w:pStyle w:val="Text1"/>
        <w:rPr>
          <w:noProof/>
        </w:rPr>
      </w:pPr>
      <w:r>
        <w:rPr>
          <w:noProof/>
        </w:rPr>
        <w:t>E</w:t>
      </w:r>
      <w:r w:rsidR="003C13D3" w:rsidRPr="00193A9A">
        <w:rPr>
          <w:noProof/>
        </w:rPr>
        <w:t xml:space="preserve">quality bodies will continue to fulfil their central task of providing assistance to victims of </w:t>
      </w:r>
      <w:r w:rsidR="00A41C25" w:rsidRPr="00193A9A">
        <w:rPr>
          <w:noProof/>
        </w:rPr>
        <w:t xml:space="preserve">racial or ethnic </w:t>
      </w:r>
      <w:r w:rsidR="003C13D3" w:rsidRPr="00193A9A">
        <w:rPr>
          <w:noProof/>
        </w:rPr>
        <w:t>discrimination</w:t>
      </w:r>
      <w:r w:rsidR="004E7B8C" w:rsidRPr="00193A9A">
        <w:rPr>
          <w:noProof/>
        </w:rPr>
        <w:t xml:space="preserve">, including by </w:t>
      </w:r>
      <w:r w:rsidR="003270EF" w:rsidRPr="00193A9A">
        <w:rPr>
          <w:noProof/>
        </w:rPr>
        <w:t>replying to all complaints of discrimination</w:t>
      </w:r>
      <w:r w:rsidR="00437D1D" w:rsidRPr="00193A9A">
        <w:rPr>
          <w:noProof/>
        </w:rPr>
        <w:t> (</w:t>
      </w:r>
      <w:r w:rsidR="00437D1D" w:rsidRPr="00193A9A">
        <w:rPr>
          <w:rStyle w:val="FootnoteReference"/>
          <w:noProof/>
        </w:rPr>
        <w:footnoteReference w:id="23"/>
      </w:r>
      <w:r w:rsidR="00437D1D" w:rsidRPr="00193A9A">
        <w:rPr>
          <w:noProof/>
        </w:rPr>
        <w:t>)</w:t>
      </w:r>
      <w:r w:rsidR="00A41C25" w:rsidRPr="00193A9A">
        <w:rPr>
          <w:noProof/>
        </w:rPr>
        <w:t>. This task will now extend</w:t>
      </w:r>
      <w:r w:rsidR="00BA2A97">
        <w:rPr>
          <w:noProof/>
        </w:rPr>
        <w:t xml:space="preserve"> </w:t>
      </w:r>
      <w:r w:rsidR="00A41C25" w:rsidRPr="00193A9A">
        <w:rPr>
          <w:noProof/>
        </w:rPr>
        <w:t xml:space="preserve">to victims of </w:t>
      </w:r>
      <w:r>
        <w:rPr>
          <w:noProof/>
        </w:rPr>
        <w:t>discrimination</w:t>
      </w:r>
      <w:r w:rsidR="00EC7570">
        <w:rPr>
          <w:noProof/>
        </w:rPr>
        <w:t xml:space="preserve"> in employment</w:t>
      </w:r>
      <w:r>
        <w:rPr>
          <w:noProof/>
        </w:rPr>
        <w:t xml:space="preserve"> on the basis of </w:t>
      </w:r>
      <w:r w:rsidR="00A41C25" w:rsidRPr="00193A9A">
        <w:rPr>
          <w:noProof/>
        </w:rPr>
        <w:t>age, religio</w:t>
      </w:r>
      <w:r>
        <w:rPr>
          <w:noProof/>
        </w:rPr>
        <w:t>n or belief</w:t>
      </w:r>
      <w:r w:rsidR="00A41C25" w:rsidRPr="00193A9A">
        <w:rPr>
          <w:noProof/>
        </w:rPr>
        <w:t xml:space="preserve">, disability </w:t>
      </w:r>
      <w:r>
        <w:rPr>
          <w:noProof/>
        </w:rPr>
        <w:t>or</w:t>
      </w:r>
      <w:r w:rsidRPr="00193A9A">
        <w:rPr>
          <w:noProof/>
        </w:rPr>
        <w:t xml:space="preserve"> </w:t>
      </w:r>
      <w:r w:rsidR="00A41C25" w:rsidRPr="00193A9A">
        <w:rPr>
          <w:noProof/>
        </w:rPr>
        <w:t>sexual orientation</w:t>
      </w:r>
      <w:r w:rsidR="003C13D3" w:rsidRPr="00193A9A">
        <w:rPr>
          <w:noProof/>
        </w:rPr>
        <w:t xml:space="preserve">. </w:t>
      </w:r>
      <w:r w:rsidR="00A41C25" w:rsidRPr="00193A9A">
        <w:rPr>
          <w:noProof/>
        </w:rPr>
        <w:t>In addition</w:t>
      </w:r>
      <w:r w:rsidR="003C13D3" w:rsidRPr="00193A9A">
        <w:rPr>
          <w:noProof/>
        </w:rPr>
        <w:t xml:space="preserve">, under the new </w:t>
      </w:r>
      <w:r>
        <w:rPr>
          <w:noProof/>
        </w:rPr>
        <w:t xml:space="preserve">Equality Bodies </w:t>
      </w:r>
      <w:r w:rsidR="00280B33" w:rsidRPr="00193A9A">
        <w:rPr>
          <w:noProof/>
        </w:rPr>
        <w:t>Directives</w:t>
      </w:r>
      <w:r w:rsidR="003C13D3" w:rsidRPr="00193A9A">
        <w:rPr>
          <w:noProof/>
        </w:rPr>
        <w:t xml:space="preserve">, </w:t>
      </w:r>
      <w:r w:rsidR="00A41C25" w:rsidRPr="00193A9A">
        <w:rPr>
          <w:noProof/>
        </w:rPr>
        <w:t xml:space="preserve">equality bodies </w:t>
      </w:r>
      <w:r w:rsidR="003C13D3" w:rsidRPr="00193A9A">
        <w:rPr>
          <w:noProof/>
        </w:rPr>
        <w:t xml:space="preserve">also </w:t>
      </w:r>
      <w:r w:rsidR="00EC7570">
        <w:rPr>
          <w:noProof/>
        </w:rPr>
        <w:t xml:space="preserve">have to </w:t>
      </w:r>
      <w:r w:rsidR="003C13D3" w:rsidRPr="00193A9A">
        <w:rPr>
          <w:noProof/>
        </w:rPr>
        <w:t xml:space="preserve">be empowered to offer alternative dispute resolution, </w:t>
      </w:r>
      <w:r>
        <w:rPr>
          <w:noProof/>
        </w:rPr>
        <w:t xml:space="preserve">to </w:t>
      </w:r>
      <w:r w:rsidR="003C13D3" w:rsidRPr="00193A9A">
        <w:rPr>
          <w:noProof/>
        </w:rPr>
        <w:t xml:space="preserve">conduct inquiries into breaches of the principle of equal treatment and </w:t>
      </w:r>
      <w:r>
        <w:rPr>
          <w:noProof/>
        </w:rPr>
        <w:t xml:space="preserve">to </w:t>
      </w:r>
      <w:r w:rsidR="003C13D3" w:rsidRPr="00193A9A">
        <w:rPr>
          <w:noProof/>
        </w:rPr>
        <w:t>issue non-binding opinions or binding decisions</w:t>
      </w:r>
      <w:r w:rsidR="00437D1D" w:rsidRPr="00193A9A">
        <w:rPr>
          <w:noProof/>
        </w:rPr>
        <w:t> (</w:t>
      </w:r>
      <w:r w:rsidR="00437D1D" w:rsidRPr="00193A9A">
        <w:rPr>
          <w:rStyle w:val="FootnoteReference"/>
          <w:noProof/>
        </w:rPr>
        <w:footnoteReference w:id="24"/>
      </w:r>
      <w:r w:rsidR="00437D1D" w:rsidRPr="00193A9A">
        <w:rPr>
          <w:noProof/>
        </w:rPr>
        <w:t>)</w:t>
      </w:r>
      <w:r w:rsidR="003C13D3" w:rsidRPr="00193A9A">
        <w:rPr>
          <w:noProof/>
        </w:rPr>
        <w:t xml:space="preserve">. Their opinions or decisions </w:t>
      </w:r>
      <w:r w:rsidR="00846E1C" w:rsidRPr="00193A9A">
        <w:rPr>
          <w:noProof/>
        </w:rPr>
        <w:t xml:space="preserve">must </w:t>
      </w:r>
      <w:r w:rsidR="003C13D3" w:rsidRPr="00193A9A">
        <w:rPr>
          <w:noProof/>
        </w:rPr>
        <w:t>include appropriate remedial, monitoring and enforcement mechanisms.</w:t>
      </w:r>
    </w:p>
    <w:p w14:paraId="6239E675" w14:textId="20732135" w:rsidR="0008768D" w:rsidRDefault="0008768D" w:rsidP="0008768D">
      <w:pPr>
        <w:pStyle w:val="Text1"/>
        <w:rPr>
          <w:noProof/>
        </w:rPr>
      </w:pPr>
      <w:bookmarkStart w:id="9" w:name="_Hlk225503118"/>
      <w:r>
        <w:rPr>
          <w:noProof/>
        </w:rPr>
        <w:t xml:space="preserve">The Commission adopted the implementing act </w:t>
      </w:r>
      <w:r w:rsidRPr="00193A9A">
        <w:rPr>
          <w:noProof/>
        </w:rPr>
        <w:t>establishing a list of common indicators on the functioning of equality bodies</w:t>
      </w:r>
      <w:r w:rsidRPr="00E41105">
        <w:rPr>
          <w:noProof/>
        </w:rPr>
        <w:t> (</w:t>
      </w:r>
      <w:r>
        <w:rPr>
          <w:rStyle w:val="FootnoteReference"/>
          <w:noProof/>
        </w:rPr>
        <w:footnoteReference w:id="25"/>
      </w:r>
      <w:r>
        <w:rPr>
          <w:noProof/>
        </w:rPr>
        <w:t xml:space="preserve">). </w:t>
      </w:r>
      <w:r w:rsidRPr="00193A9A">
        <w:rPr>
          <w:noProof/>
        </w:rPr>
        <w:t xml:space="preserve">This </w:t>
      </w:r>
      <w:r>
        <w:rPr>
          <w:noProof/>
        </w:rPr>
        <w:t>will</w:t>
      </w:r>
      <w:r w:rsidRPr="00193A9A">
        <w:rPr>
          <w:noProof/>
        </w:rPr>
        <w:t xml:space="preserve"> </w:t>
      </w:r>
      <w:r>
        <w:rPr>
          <w:noProof/>
        </w:rPr>
        <w:t>make it easier to</w:t>
      </w:r>
      <w:r w:rsidRPr="00193A9A">
        <w:rPr>
          <w:noProof/>
        </w:rPr>
        <w:t xml:space="preserve"> monitor</w:t>
      </w:r>
      <w:r>
        <w:rPr>
          <w:noProof/>
        </w:rPr>
        <w:t xml:space="preserve"> how</w:t>
      </w:r>
      <w:r w:rsidRPr="00193A9A">
        <w:rPr>
          <w:noProof/>
        </w:rPr>
        <w:t xml:space="preserve"> the new standards </w:t>
      </w:r>
      <w:r>
        <w:rPr>
          <w:noProof/>
        </w:rPr>
        <w:t xml:space="preserve">are being applied </w:t>
      </w:r>
      <w:r w:rsidRPr="00193A9A">
        <w:rPr>
          <w:noProof/>
        </w:rPr>
        <w:t xml:space="preserve">in Member States and </w:t>
      </w:r>
      <w:r>
        <w:rPr>
          <w:noProof/>
        </w:rPr>
        <w:t>what</w:t>
      </w:r>
      <w:r w:rsidRPr="00193A9A">
        <w:rPr>
          <w:noProof/>
        </w:rPr>
        <w:t xml:space="preserve"> impact</w:t>
      </w:r>
      <w:r>
        <w:rPr>
          <w:noProof/>
        </w:rPr>
        <w:t xml:space="preserve"> they are having</w:t>
      </w:r>
      <w:r w:rsidRPr="00193A9A">
        <w:rPr>
          <w:noProof/>
        </w:rPr>
        <w:t xml:space="preserve"> on the enforcement of EU non-discrimination law.</w:t>
      </w:r>
      <w:bookmarkEnd w:id="9"/>
    </w:p>
    <w:tbl>
      <w:tblPr>
        <w:tblStyle w:val="EurolookClassicBlue2"/>
        <w:tblW w:w="0" w:type="auto"/>
        <w:tblInd w:w="442" w:type="dxa"/>
        <w:tblLook w:val="0620" w:firstRow="1" w:lastRow="0" w:firstColumn="0" w:lastColumn="0" w:noHBand="1" w:noVBand="1"/>
      </w:tblPr>
      <w:tblGrid>
        <w:gridCol w:w="8160"/>
      </w:tblGrid>
      <w:tr w:rsidR="007D6352" w14:paraId="5F4C1ECC" w14:textId="77777777" w:rsidTr="007D6352">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53437E2B" w14:textId="39EF6D9C" w:rsidR="007D6352" w:rsidRPr="007D6352" w:rsidRDefault="00A6547E" w:rsidP="007D6352">
            <w:pPr>
              <w:pStyle w:val="TableText"/>
              <w:rPr>
                <w:b/>
                <w:bCs/>
                <w:noProof/>
              </w:rPr>
            </w:pPr>
            <w:r>
              <w:rPr>
                <w:b/>
                <w:bCs/>
                <w:noProof/>
              </w:rPr>
              <w:t>Conclusions</w:t>
            </w:r>
          </w:p>
        </w:tc>
      </w:tr>
      <w:tr w:rsidR="007D6352" w14:paraId="5372010F" w14:textId="77777777" w:rsidTr="007D6352">
        <w:trPr>
          <w:cantSplit/>
        </w:trPr>
        <w:tc>
          <w:tcPr>
            <w:tcW w:w="8160" w:type="dxa"/>
          </w:tcPr>
          <w:p w14:paraId="7FF0B9CC" w14:textId="6973AD30" w:rsidR="00BA2A97" w:rsidRDefault="00BA2A97" w:rsidP="00B61149">
            <w:pPr>
              <w:pStyle w:val="Text2"/>
              <w:ind w:left="0"/>
              <w:rPr>
                <w:noProof/>
              </w:rPr>
            </w:pPr>
            <w:r w:rsidRPr="00B61149">
              <w:rPr>
                <w:i/>
                <w:iCs/>
                <w:noProof/>
              </w:rPr>
              <w:t>Member States must</w:t>
            </w:r>
            <w:r>
              <w:rPr>
                <w:noProof/>
              </w:rPr>
              <w:t>:</w:t>
            </w:r>
          </w:p>
          <w:p w14:paraId="277D4EA1" w14:textId="69154510" w:rsidR="007D6352" w:rsidRDefault="007D6352" w:rsidP="00D4121D">
            <w:pPr>
              <w:pStyle w:val="TableListDash"/>
              <w:jc w:val="both"/>
              <w:rPr>
                <w:noProof/>
              </w:rPr>
            </w:pPr>
            <w:r w:rsidRPr="00193A9A">
              <w:rPr>
                <w:noProof/>
              </w:rPr>
              <w:t>fully and correctly transpose the Equality Bodies Directives.</w:t>
            </w:r>
          </w:p>
          <w:p w14:paraId="004BCA5F" w14:textId="1FD8266D" w:rsidR="00BA2A97" w:rsidRPr="00193A9A" w:rsidRDefault="00BA2A97" w:rsidP="00B61149">
            <w:pPr>
              <w:pStyle w:val="Text2"/>
              <w:spacing w:before="240"/>
              <w:ind w:left="0"/>
              <w:rPr>
                <w:noProof/>
              </w:rPr>
            </w:pPr>
            <w:r w:rsidRPr="00B61149">
              <w:rPr>
                <w:i/>
                <w:iCs/>
                <w:noProof/>
              </w:rPr>
              <w:t>The Commission will</w:t>
            </w:r>
            <w:r>
              <w:rPr>
                <w:noProof/>
              </w:rPr>
              <w:t>:</w:t>
            </w:r>
          </w:p>
          <w:p w14:paraId="06465686" w14:textId="34B61CD1" w:rsidR="007D6352" w:rsidRDefault="006D2E7F" w:rsidP="00661A34">
            <w:pPr>
              <w:pStyle w:val="TableListDash"/>
              <w:jc w:val="both"/>
              <w:rPr>
                <w:noProof/>
              </w:rPr>
            </w:pPr>
            <w:r>
              <w:rPr>
                <w:noProof/>
              </w:rPr>
              <w:t xml:space="preserve">continue to provide </w:t>
            </w:r>
            <w:r w:rsidR="007D6352" w:rsidRPr="00193A9A">
              <w:rPr>
                <w:noProof/>
              </w:rPr>
              <w:t xml:space="preserve">support to Member States through dedicated expert group meetings and an online IT platform. It will monitor </w:t>
            </w:r>
            <w:r w:rsidR="007D6352">
              <w:rPr>
                <w:noProof/>
              </w:rPr>
              <w:t xml:space="preserve">the </w:t>
            </w:r>
            <w:r w:rsidR="007D6352" w:rsidRPr="00193A9A">
              <w:rPr>
                <w:noProof/>
              </w:rPr>
              <w:t>Member States</w:t>
            </w:r>
            <w:r w:rsidR="007D6352">
              <w:rPr>
                <w:noProof/>
              </w:rPr>
              <w:t>’</w:t>
            </w:r>
            <w:r w:rsidR="007D6352" w:rsidRPr="00193A9A">
              <w:rPr>
                <w:noProof/>
              </w:rPr>
              <w:t xml:space="preserve"> correct transpos</w:t>
            </w:r>
            <w:r w:rsidR="007D6352">
              <w:rPr>
                <w:noProof/>
              </w:rPr>
              <w:t>ition</w:t>
            </w:r>
            <w:r w:rsidR="007D6352" w:rsidRPr="00193A9A">
              <w:rPr>
                <w:noProof/>
              </w:rPr>
              <w:t xml:space="preserve"> </w:t>
            </w:r>
            <w:r w:rsidR="007D6352">
              <w:rPr>
                <w:noProof/>
              </w:rPr>
              <w:t xml:space="preserve">of </w:t>
            </w:r>
            <w:r w:rsidR="007D6352" w:rsidRPr="00193A9A">
              <w:rPr>
                <w:noProof/>
              </w:rPr>
              <w:t xml:space="preserve">the Equality Bodies Directives into their national legislation using all the tools at its disposal, </w:t>
            </w:r>
            <w:r w:rsidR="007D6352">
              <w:rPr>
                <w:noProof/>
              </w:rPr>
              <w:t>including</w:t>
            </w:r>
            <w:r w:rsidR="007D6352" w:rsidRPr="00193A9A">
              <w:rPr>
                <w:noProof/>
              </w:rPr>
              <w:t xml:space="preserve"> informal dialogues and formal infringement procedures.</w:t>
            </w:r>
          </w:p>
        </w:tc>
      </w:tr>
    </w:tbl>
    <w:p w14:paraId="616F8C22" w14:textId="031B44A4" w:rsidR="00075BFD" w:rsidRPr="00193A9A" w:rsidRDefault="00963111" w:rsidP="007D6352">
      <w:pPr>
        <w:pStyle w:val="Heading2"/>
        <w:spacing w:before="240"/>
        <w:ind w:left="1195"/>
        <w:rPr>
          <w:noProof/>
        </w:rPr>
      </w:pPr>
      <w:bookmarkStart w:id="10" w:name="_Toc213340803"/>
      <w:bookmarkStart w:id="11" w:name="_Toc214348085"/>
      <w:r w:rsidRPr="00193A9A">
        <w:rPr>
          <w:noProof/>
        </w:rPr>
        <w:t>Sanctions and remedies – the need for stronger safeguards</w:t>
      </w:r>
      <w:bookmarkEnd w:id="10"/>
      <w:bookmarkEnd w:id="11"/>
    </w:p>
    <w:p w14:paraId="53EB982A" w14:textId="5BF3E5F7" w:rsidR="00437D1D" w:rsidRPr="00193A9A" w:rsidRDefault="006A009F" w:rsidP="006A009F">
      <w:pPr>
        <w:pStyle w:val="Text1"/>
        <w:ind w:left="475"/>
        <w:rPr>
          <w:noProof/>
        </w:rPr>
      </w:pPr>
      <w:r w:rsidRPr="00193A9A">
        <w:rPr>
          <w:noProof/>
        </w:rPr>
        <w:t xml:space="preserve">Effective sanctions ensure that victims of discrimination receive full redress for the harm they have experienced. Furthermore, sanctions and remedies can </w:t>
      </w:r>
      <w:r w:rsidR="00DB3D16">
        <w:rPr>
          <w:noProof/>
        </w:rPr>
        <w:t>also be part of the</w:t>
      </w:r>
      <w:r w:rsidRPr="00193A9A">
        <w:rPr>
          <w:noProof/>
        </w:rPr>
        <w:t xml:space="preserve"> toolkit for preventing discrimination. </w:t>
      </w:r>
      <w:r w:rsidR="001F335C" w:rsidRPr="00193A9A">
        <w:rPr>
          <w:noProof/>
        </w:rPr>
        <w:t xml:space="preserve">The </w:t>
      </w:r>
      <w:r w:rsidR="0035122B" w:rsidRPr="00193A9A">
        <w:rPr>
          <w:noProof/>
        </w:rPr>
        <w:t xml:space="preserve">Directives require Member States </w:t>
      </w:r>
      <w:r w:rsidR="00DB3D16">
        <w:rPr>
          <w:noProof/>
        </w:rPr>
        <w:t>to provide for</w:t>
      </w:r>
      <w:r w:rsidR="00DB3D16" w:rsidRPr="00193A9A">
        <w:rPr>
          <w:noProof/>
        </w:rPr>
        <w:t xml:space="preserve"> </w:t>
      </w:r>
      <w:r w:rsidR="00756537" w:rsidRPr="00193A9A">
        <w:rPr>
          <w:noProof/>
        </w:rPr>
        <w:t>effective, proportionate and dissuasive</w:t>
      </w:r>
      <w:r w:rsidR="0035122B" w:rsidRPr="00193A9A">
        <w:rPr>
          <w:noProof/>
        </w:rPr>
        <w:t xml:space="preserve"> sanctions </w:t>
      </w:r>
      <w:r w:rsidR="00DB3D16">
        <w:rPr>
          <w:noProof/>
        </w:rPr>
        <w:t>for</w:t>
      </w:r>
      <w:r w:rsidR="0035122B" w:rsidRPr="00193A9A">
        <w:rPr>
          <w:noProof/>
        </w:rPr>
        <w:t xml:space="preserve"> </w:t>
      </w:r>
      <w:r w:rsidR="00637D99" w:rsidRPr="00193A9A">
        <w:rPr>
          <w:noProof/>
        </w:rPr>
        <w:t>discrimination</w:t>
      </w:r>
      <w:r w:rsidR="00756537" w:rsidRPr="00193A9A">
        <w:rPr>
          <w:noProof/>
        </w:rPr>
        <w:t xml:space="preserve"> and </w:t>
      </w:r>
      <w:r w:rsidR="00DB3D16">
        <w:rPr>
          <w:noProof/>
        </w:rPr>
        <w:t xml:space="preserve">to </w:t>
      </w:r>
      <w:r w:rsidR="00756537" w:rsidRPr="00193A9A">
        <w:rPr>
          <w:noProof/>
        </w:rPr>
        <w:t xml:space="preserve">ensure </w:t>
      </w:r>
      <w:r w:rsidR="00DB3D16">
        <w:rPr>
          <w:noProof/>
        </w:rPr>
        <w:t>that they are</w:t>
      </w:r>
      <w:r w:rsidR="00756537" w:rsidRPr="00193A9A">
        <w:rPr>
          <w:noProof/>
        </w:rPr>
        <w:t xml:space="preserve"> enforce</w:t>
      </w:r>
      <w:r w:rsidR="00DB3D16">
        <w:rPr>
          <w:noProof/>
        </w:rPr>
        <w:t>d</w:t>
      </w:r>
      <w:r w:rsidR="00756537" w:rsidRPr="00193A9A">
        <w:rPr>
          <w:noProof/>
        </w:rPr>
        <w:t>.</w:t>
      </w:r>
      <w:r w:rsidR="00CD4912" w:rsidRPr="00193A9A">
        <w:rPr>
          <w:noProof/>
        </w:rPr>
        <w:t xml:space="preserve"> Sanctions may </w:t>
      </w:r>
      <w:r w:rsidR="00DB3D16">
        <w:rPr>
          <w:noProof/>
        </w:rPr>
        <w:t>include</w:t>
      </w:r>
      <w:r w:rsidR="00DB3D16" w:rsidRPr="00193A9A">
        <w:rPr>
          <w:noProof/>
        </w:rPr>
        <w:t xml:space="preserve"> </w:t>
      </w:r>
      <w:r w:rsidR="00CD4912" w:rsidRPr="00193A9A">
        <w:rPr>
          <w:noProof/>
        </w:rPr>
        <w:t>the payment of compensation</w:t>
      </w:r>
      <w:r w:rsidR="00DB3D16">
        <w:rPr>
          <w:noProof/>
        </w:rPr>
        <w:t> </w:t>
      </w:r>
      <w:r w:rsidR="00A132C9" w:rsidRPr="00193A9A">
        <w:rPr>
          <w:noProof/>
        </w:rPr>
        <w:t>(</w:t>
      </w:r>
      <w:r w:rsidR="00A132C9" w:rsidRPr="00193A9A">
        <w:rPr>
          <w:rStyle w:val="FootnoteReference"/>
          <w:noProof/>
        </w:rPr>
        <w:footnoteReference w:id="26"/>
      </w:r>
      <w:r w:rsidR="00A132C9" w:rsidRPr="00193A9A">
        <w:rPr>
          <w:noProof/>
        </w:rPr>
        <w:t>)</w:t>
      </w:r>
      <w:r w:rsidR="0035122B" w:rsidRPr="00193A9A">
        <w:rPr>
          <w:noProof/>
        </w:rPr>
        <w:t>.</w:t>
      </w:r>
    </w:p>
    <w:p w14:paraId="1678C69A" w14:textId="30A89A6D" w:rsidR="0035122B" w:rsidRPr="00193A9A" w:rsidRDefault="008C0B7C" w:rsidP="006A009F">
      <w:pPr>
        <w:pStyle w:val="Text1"/>
        <w:ind w:left="475"/>
        <w:rPr>
          <w:noProof/>
        </w:rPr>
      </w:pPr>
      <w:r w:rsidRPr="00193A9A">
        <w:rPr>
          <w:noProof/>
        </w:rPr>
        <w:t xml:space="preserve">The last report concluded that some national courts </w:t>
      </w:r>
      <w:r w:rsidR="00437D1D" w:rsidRPr="00193A9A">
        <w:rPr>
          <w:noProof/>
        </w:rPr>
        <w:t xml:space="preserve">had </w:t>
      </w:r>
      <w:r w:rsidRPr="00193A9A">
        <w:rPr>
          <w:noProof/>
        </w:rPr>
        <w:t xml:space="preserve">established </w:t>
      </w:r>
      <w:r w:rsidR="00437D1D" w:rsidRPr="00193A9A">
        <w:rPr>
          <w:noProof/>
        </w:rPr>
        <w:t>relatively</w:t>
      </w:r>
      <w:r w:rsidRPr="00193A9A">
        <w:rPr>
          <w:noProof/>
        </w:rPr>
        <w:t xml:space="preserve"> low levels of damages</w:t>
      </w:r>
      <w:r w:rsidR="00437D1D" w:rsidRPr="00193A9A">
        <w:rPr>
          <w:noProof/>
        </w:rPr>
        <w:t>, which</w:t>
      </w:r>
      <w:r w:rsidRPr="00193A9A">
        <w:rPr>
          <w:noProof/>
        </w:rPr>
        <w:t xml:space="preserve"> discourag</w:t>
      </w:r>
      <w:r w:rsidR="00437D1D" w:rsidRPr="00193A9A">
        <w:rPr>
          <w:noProof/>
        </w:rPr>
        <w:t>ed</w:t>
      </w:r>
      <w:r w:rsidRPr="00193A9A">
        <w:rPr>
          <w:noProof/>
        </w:rPr>
        <w:t xml:space="preserve"> victims from taking legal action or asking for pecuniary compensation in court.</w:t>
      </w:r>
    </w:p>
    <w:p w14:paraId="50045E5F" w14:textId="2D1B1682" w:rsidR="0059523B" w:rsidRPr="00193A9A" w:rsidRDefault="0059523B" w:rsidP="0049476A">
      <w:pPr>
        <w:pStyle w:val="Text2"/>
        <w:ind w:left="482"/>
        <w:rPr>
          <w:noProof/>
        </w:rPr>
      </w:pPr>
      <w:r w:rsidRPr="00193A9A">
        <w:rPr>
          <w:noProof/>
        </w:rPr>
        <w:t xml:space="preserve">Since the </w:t>
      </w:r>
      <w:r w:rsidR="00DB3D16">
        <w:rPr>
          <w:noProof/>
        </w:rPr>
        <w:t>last</w:t>
      </w:r>
      <w:r w:rsidR="00DB3D16" w:rsidRPr="00193A9A">
        <w:rPr>
          <w:noProof/>
        </w:rPr>
        <w:t xml:space="preserve"> </w:t>
      </w:r>
      <w:r w:rsidRPr="00193A9A">
        <w:rPr>
          <w:noProof/>
        </w:rPr>
        <w:t xml:space="preserve">report, the CJEU has issued further clarification </w:t>
      </w:r>
      <w:r w:rsidR="00313163" w:rsidRPr="00193A9A">
        <w:rPr>
          <w:noProof/>
        </w:rPr>
        <w:t>on sanctions</w:t>
      </w:r>
      <w:r w:rsidRPr="00193A9A">
        <w:rPr>
          <w:noProof/>
        </w:rPr>
        <w:t xml:space="preserve">. In the </w:t>
      </w:r>
      <w:r w:rsidRPr="00193A9A">
        <w:rPr>
          <w:i/>
          <w:iCs/>
          <w:noProof/>
        </w:rPr>
        <w:t xml:space="preserve">Braathens Regional Aviation </w:t>
      </w:r>
      <w:r w:rsidRPr="00193A9A">
        <w:rPr>
          <w:noProof/>
        </w:rPr>
        <w:t xml:space="preserve">case, the CJEU explained that EU law </w:t>
      </w:r>
      <w:r w:rsidR="00A17F86">
        <w:rPr>
          <w:noProof/>
        </w:rPr>
        <w:t>precludes</w:t>
      </w:r>
      <w:r w:rsidR="00A17F86" w:rsidRPr="00193A9A">
        <w:rPr>
          <w:noProof/>
        </w:rPr>
        <w:t xml:space="preserve"> </w:t>
      </w:r>
      <w:r w:rsidRPr="00193A9A">
        <w:rPr>
          <w:noProof/>
        </w:rPr>
        <w:t>domestic legislation that would allow discrimination to go unrecognised by the courts if the defendant agrees to pay the compensation requested by the claimant (</w:t>
      </w:r>
      <w:r w:rsidRPr="00193A9A">
        <w:rPr>
          <w:rStyle w:val="FootnoteReference"/>
          <w:noProof/>
        </w:rPr>
        <w:footnoteReference w:id="27"/>
      </w:r>
      <w:r w:rsidRPr="00193A9A">
        <w:rPr>
          <w:noProof/>
        </w:rPr>
        <w:t>). Such rules would fail</w:t>
      </w:r>
      <w:r w:rsidR="005B36DC">
        <w:rPr>
          <w:noProof/>
        </w:rPr>
        <w:t>, in particular,</w:t>
      </w:r>
      <w:r w:rsidRPr="00193A9A">
        <w:rPr>
          <w:noProof/>
        </w:rPr>
        <w:t xml:space="preserve"> to meet the requirements for compensatory and dissuasive sanctions, as they would allow perpetrators to avoid acknowledging wrongdoing in order to protect their reputation.</w:t>
      </w:r>
    </w:p>
    <w:p w14:paraId="65B06099" w14:textId="64D852AD" w:rsidR="00B35D0A" w:rsidRPr="00193A9A" w:rsidRDefault="00B35D0A" w:rsidP="00CC55CB">
      <w:pPr>
        <w:pStyle w:val="Text1"/>
        <w:rPr>
          <w:b/>
          <w:bCs/>
          <w:noProof/>
        </w:rPr>
      </w:pPr>
      <w:r w:rsidRPr="00193A9A">
        <w:rPr>
          <w:b/>
          <w:bCs/>
          <w:noProof/>
        </w:rPr>
        <w:t>Findings of the study on</w:t>
      </w:r>
      <w:r w:rsidR="00D77830" w:rsidRPr="00193A9A">
        <w:rPr>
          <w:b/>
          <w:bCs/>
          <w:noProof/>
        </w:rPr>
        <w:t xml:space="preserve"> sanctions for discrimination on racial, ethnic and religious grounds</w:t>
      </w:r>
    </w:p>
    <w:p w14:paraId="073AEBF9" w14:textId="5CA346B7" w:rsidR="00B87FAB" w:rsidRPr="00193A9A" w:rsidRDefault="00B35D0A" w:rsidP="00CC55CB">
      <w:pPr>
        <w:pStyle w:val="Text1"/>
        <w:rPr>
          <w:noProof/>
        </w:rPr>
      </w:pPr>
      <w:r w:rsidRPr="00193A9A">
        <w:rPr>
          <w:noProof/>
        </w:rPr>
        <w:t xml:space="preserve">The </w:t>
      </w:r>
      <w:r w:rsidR="00210883">
        <w:rPr>
          <w:noProof/>
        </w:rPr>
        <w:t>last</w:t>
      </w:r>
      <w:r w:rsidR="00210883" w:rsidRPr="00193A9A">
        <w:rPr>
          <w:noProof/>
        </w:rPr>
        <w:t xml:space="preserve"> </w:t>
      </w:r>
      <w:r w:rsidRPr="00193A9A">
        <w:rPr>
          <w:noProof/>
        </w:rPr>
        <w:t xml:space="preserve">report </w:t>
      </w:r>
      <w:r w:rsidR="00210883">
        <w:rPr>
          <w:noProof/>
        </w:rPr>
        <w:t>highlighted</w:t>
      </w:r>
      <w:r w:rsidR="00210883" w:rsidRPr="00193A9A">
        <w:rPr>
          <w:noProof/>
        </w:rPr>
        <w:t xml:space="preserve"> </w:t>
      </w:r>
      <w:r w:rsidRPr="00193A9A">
        <w:rPr>
          <w:noProof/>
        </w:rPr>
        <w:t xml:space="preserve">the challenge </w:t>
      </w:r>
      <w:r w:rsidR="00210883">
        <w:rPr>
          <w:noProof/>
        </w:rPr>
        <w:t>posed by</w:t>
      </w:r>
      <w:r w:rsidRPr="00193A9A">
        <w:rPr>
          <w:noProof/>
        </w:rPr>
        <w:t xml:space="preserve"> the inadequate application of sanctions. </w:t>
      </w:r>
      <w:r w:rsidR="00D77830" w:rsidRPr="00193A9A">
        <w:rPr>
          <w:noProof/>
        </w:rPr>
        <w:t>T</w:t>
      </w:r>
      <w:r w:rsidR="008B6415" w:rsidRPr="00193A9A">
        <w:rPr>
          <w:noProof/>
        </w:rPr>
        <w:t xml:space="preserve">he Commission </w:t>
      </w:r>
      <w:r w:rsidR="00D77830" w:rsidRPr="00193A9A">
        <w:rPr>
          <w:noProof/>
        </w:rPr>
        <w:t xml:space="preserve">therefore </w:t>
      </w:r>
      <w:r w:rsidR="008B6415" w:rsidRPr="00193A9A">
        <w:rPr>
          <w:noProof/>
        </w:rPr>
        <w:t xml:space="preserve">decided to </w:t>
      </w:r>
      <w:r w:rsidR="00650298">
        <w:rPr>
          <w:noProof/>
        </w:rPr>
        <w:t>help</w:t>
      </w:r>
      <w:r w:rsidR="00650298" w:rsidRPr="00193A9A">
        <w:rPr>
          <w:noProof/>
        </w:rPr>
        <w:t xml:space="preserve"> </w:t>
      </w:r>
      <w:r w:rsidR="008B6415" w:rsidRPr="00193A9A">
        <w:rPr>
          <w:noProof/>
        </w:rPr>
        <w:t xml:space="preserve">Member States </w:t>
      </w:r>
      <w:r w:rsidR="00650298">
        <w:rPr>
          <w:noProof/>
        </w:rPr>
        <w:t>to</w:t>
      </w:r>
      <w:r w:rsidR="00650298" w:rsidRPr="00193A9A">
        <w:rPr>
          <w:noProof/>
        </w:rPr>
        <w:t xml:space="preserve"> </w:t>
      </w:r>
      <w:r w:rsidR="008B6415" w:rsidRPr="00193A9A">
        <w:rPr>
          <w:noProof/>
        </w:rPr>
        <w:t>implement the provisions</w:t>
      </w:r>
      <w:r w:rsidR="00836F68">
        <w:rPr>
          <w:noProof/>
        </w:rPr>
        <w:t xml:space="preserve"> on sanctions</w:t>
      </w:r>
      <w:r w:rsidR="008B6415" w:rsidRPr="00193A9A">
        <w:rPr>
          <w:noProof/>
        </w:rPr>
        <w:t xml:space="preserve"> </w:t>
      </w:r>
      <w:r w:rsidR="00650298">
        <w:rPr>
          <w:noProof/>
        </w:rPr>
        <w:t xml:space="preserve">effectively </w:t>
      </w:r>
      <w:r w:rsidR="008B6415" w:rsidRPr="00193A9A">
        <w:rPr>
          <w:noProof/>
        </w:rPr>
        <w:t>and commissioned a study on the legislation and application of sanctions for racial, ethnic and religious discrimination</w:t>
      </w:r>
      <w:r w:rsidR="0080366F" w:rsidRPr="00193A9A">
        <w:rPr>
          <w:noProof/>
        </w:rPr>
        <w:t> (</w:t>
      </w:r>
      <w:r w:rsidR="0080366F" w:rsidRPr="00193A9A">
        <w:rPr>
          <w:rStyle w:val="FootnoteReference"/>
          <w:noProof/>
        </w:rPr>
        <w:footnoteReference w:id="28"/>
      </w:r>
      <w:r w:rsidR="0080366F" w:rsidRPr="00193A9A">
        <w:rPr>
          <w:noProof/>
        </w:rPr>
        <w:t>)</w:t>
      </w:r>
      <w:r w:rsidR="008B6415" w:rsidRPr="00193A9A">
        <w:rPr>
          <w:noProof/>
        </w:rPr>
        <w:t>.</w:t>
      </w:r>
    </w:p>
    <w:p w14:paraId="7BC57134" w14:textId="36C6677F" w:rsidR="00CE7FE0" w:rsidRPr="00193A9A" w:rsidRDefault="00170B95" w:rsidP="00170B95">
      <w:pPr>
        <w:pStyle w:val="Text1"/>
        <w:rPr>
          <w:noProof/>
        </w:rPr>
      </w:pPr>
      <w:r w:rsidRPr="00193A9A">
        <w:rPr>
          <w:noProof/>
        </w:rPr>
        <w:t xml:space="preserve">The findings </w:t>
      </w:r>
      <w:r w:rsidR="00D36A76" w:rsidRPr="00193A9A">
        <w:rPr>
          <w:noProof/>
        </w:rPr>
        <w:t>revealed that</w:t>
      </w:r>
      <w:r w:rsidRPr="00193A9A">
        <w:rPr>
          <w:noProof/>
        </w:rPr>
        <w:t xml:space="preserve"> sanctions frameworks are </w:t>
      </w:r>
      <w:r w:rsidR="00CE7FE0" w:rsidRPr="00193A9A">
        <w:rPr>
          <w:noProof/>
        </w:rPr>
        <w:t xml:space="preserve">fragmented. The relevant provisions are scattered across many different laws. This makes it difficult for victims to determine their rights and the remedies available to them. </w:t>
      </w:r>
    </w:p>
    <w:p w14:paraId="4A893B51" w14:textId="256871A1" w:rsidR="00D61F21" w:rsidRPr="00193A9A" w:rsidRDefault="002042E6" w:rsidP="00661A34">
      <w:pPr>
        <w:pStyle w:val="Text1"/>
        <w:rPr>
          <w:noProof/>
        </w:rPr>
      </w:pPr>
      <w:r w:rsidRPr="00193A9A">
        <w:rPr>
          <w:noProof/>
        </w:rPr>
        <w:t>In several jurisdictions, the amounts/ranges of sanctions provided for in legislation are low and not severe enough to deter potential perpetrators.</w:t>
      </w:r>
      <w:r w:rsidR="00CE7FE0" w:rsidRPr="00193A9A">
        <w:rPr>
          <w:noProof/>
        </w:rPr>
        <w:t xml:space="preserve"> The list of possible sanctions is often limited, making it more difficult to tailor them to the specifics and gravity of the offence. In addition</w:t>
      </w:r>
      <w:r w:rsidRPr="00193A9A">
        <w:rPr>
          <w:noProof/>
        </w:rPr>
        <w:t xml:space="preserve">, the sanctions imposed are often symbolic and close to the legal minimum, while the cost of litigation is high, which </w:t>
      </w:r>
      <w:r w:rsidR="00F33E21" w:rsidRPr="00193A9A">
        <w:rPr>
          <w:noProof/>
        </w:rPr>
        <w:t xml:space="preserve">might </w:t>
      </w:r>
      <w:r w:rsidRPr="00193A9A">
        <w:rPr>
          <w:noProof/>
        </w:rPr>
        <w:t>undermine the system</w:t>
      </w:r>
      <w:r w:rsidR="00193A9A">
        <w:rPr>
          <w:noProof/>
        </w:rPr>
        <w:t>’</w:t>
      </w:r>
      <w:r w:rsidRPr="00193A9A">
        <w:rPr>
          <w:noProof/>
        </w:rPr>
        <w:t>s effectiveness</w:t>
      </w:r>
      <w:r w:rsidR="001C5B1C">
        <w:rPr>
          <w:noProof/>
        </w:rPr>
        <w:t xml:space="preserve"> </w:t>
      </w:r>
      <w:r w:rsidR="001C5B1C">
        <w:rPr>
          <w:noProof/>
          <w:lang w:val="en-IE"/>
        </w:rPr>
        <w:t>and disincentivise victims from reporting discrimination</w:t>
      </w:r>
      <w:r w:rsidRPr="00193A9A">
        <w:rPr>
          <w:noProof/>
        </w:rPr>
        <w:t>.</w:t>
      </w:r>
      <w:r w:rsidR="0048735E">
        <w:rPr>
          <w:noProof/>
        </w:rPr>
        <w:t xml:space="preserve"> </w:t>
      </w:r>
      <w:r w:rsidR="0048735E" w:rsidRPr="00193A9A">
        <w:rPr>
          <w:noProof/>
        </w:rPr>
        <w:t>Furthermore, sanctions are rarely amended, and many jurisdictions have outdated sanctions</w:t>
      </w:r>
      <w:r w:rsidR="0048735E">
        <w:rPr>
          <w:noProof/>
        </w:rPr>
        <w:t xml:space="preserve"> which do not take economic changes into account, such as inflation or the cost of living</w:t>
      </w:r>
      <w:r w:rsidR="0048735E" w:rsidRPr="00193A9A">
        <w:rPr>
          <w:noProof/>
        </w:rPr>
        <w:t>.</w:t>
      </w:r>
    </w:p>
    <w:p w14:paraId="70E7910A" w14:textId="35502D28" w:rsidR="008B6415" w:rsidRPr="00193A9A" w:rsidRDefault="002042E6" w:rsidP="00170B95">
      <w:pPr>
        <w:pStyle w:val="Text1"/>
        <w:rPr>
          <w:noProof/>
        </w:rPr>
      </w:pPr>
      <w:r w:rsidRPr="00193A9A">
        <w:rPr>
          <w:noProof/>
        </w:rPr>
        <w:t>Finally, sanctions generally focus only on past wrongdoing</w:t>
      </w:r>
      <w:r w:rsidR="0061005C" w:rsidRPr="00193A9A">
        <w:rPr>
          <w:noProof/>
        </w:rPr>
        <w:t>. They</w:t>
      </w:r>
      <w:r w:rsidRPr="00193A9A">
        <w:rPr>
          <w:noProof/>
        </w:rPr>
        <w:t xml:space="preserve"> serv</w:t>
      </w:r>
      <w:r w:rsidR="0061005C" w:rsidRPr="00193A9A">
        <w:rPr>
          <w:noProof/>
        </w:rPr>
        <w:t>e</w:t>
      </w:r>
      <w:r w:rsidRPr="00193A9A">
        <w:rPr>
          <w:noProof/>
        </w:rPr>
        <w:t xml:space="preserve"> to punish the perpetrator or compensate the victim</w:t>
      </w:r>
      <w:r w:rsidR="0061005C" w:rsidRPr="00193A9A">
        <w:rPr>
          <w:noProof/>
        </w:rPr>
        <w:t xml:space="preserve">, </w:t>
      </w:r>
      <w:r w:rsidR="00193F31" w:rsidRPr="00193A9A">
        <w:rPr>
          <w:noProof/>
        </w:rPr>
        <w:t>without leveraging their potential for prevention</w:t>
      </w:r>
      <w:r w:rsidRPr="00193A9A">
        <w:rPr>
          <w:noProof/>
        </w:rPr>
        <w:t>.</w:t>
      </w:r>
      <w:r w:rsidR="00AB2123" w:rsidRPr="00193A9A">
        <w:rPr>
          <w:noProof/>
        </w:rPr>
        <w:t xml:space="preserve"> </w:t>
      </w:r>
      <w:r w:rsidR="00807D83" w:rsidRPr="00193A9A">
        <w:rPr>
          <w:noProof/>
        </w:rPr>
        <w:t>M</w:t>
      </w:r>
      <w:r w:rsidRPr="00193A9A">
        <w:rPr>
          <w:noProof/>
        </w:rPr>
        <w:t>easures</w:t>
      </w:r>
      <w:r w:rsidR="00EF0CB3" w:rsidRPr="00193A9A">
        <w:rPr>
          <w:noProof/>
        </w:rPr>
        <w:t> (</w:t>
      </w:r>
      <w:r w:rsidR="00EF0CB3" w:rsidRPr="00193A9A">
        <w:rPr>
          <w:rStyle w:val="FootnoteReference"/>
          <w:noProof/>
        </w:rPr>
        <w:footnoteReference w:id="29"/>
      </w:r>
      <w:r w:rsidR="00EF0CB3" w:rsidRPr="00193A9A">
        <w:rPr>
          <w:noProof/>
        </w:rPr>
        <w:t>)</w:t>
      </w:r>
      <w:r w:rsidRPr="00193A9A">
        <w:rPr>
          <w:noProof/>
        </w:rPr>
        <w:t xml:space="preserve"> with a preventive or socio-preventive purpose, such as</w:t>
      </w:r>
      <w:r w:rsidR="001C5B1C">
        <w:rPr>
          <w:noProof/>
        </w:rPr>
        <w:t xml:space="preserve"> structural injunctions requiring, e.g.</w:t>
      </w:r>
      <w:r w:rsidRPr="00193A9A">
        <w:rPr>
          <w:noProof/>
        </w:rPr>
        <w:t xml:space="preserve"> desegregation plans or compulsory training for perpetrators, are usually lacking (</w:t>
      </w:r>
      <w:r w:rsidRPr="00193A9A">
        <w:rPr>
          <w:rStyle w:val="FootnoteReference"/>
          <w:noProof/>
        </w:rPr>
        <w:footnoteReference w:id="30"/>
      </w:r>
      <w:r w:rsidRPr="00193A9A">
        <w:rPr>
          <w:noProof/>
        </w:rPr>
        <w:t>).</w:t>
      </w:r>
    </w:p>
    <w:p w14:paraId="4998D3B8" w14:textId="7CCB8740" w:rsidR="00F46DD8" w:rsidRPr="00193A9A" w:rsidRDefault="00F46DD8" w:rsidP="00170B95">
      <w:pPr>
        <w:pStyle w:val="Text1"/>
        <w:rPr>
          <w:noProof/>
        </w:rPr>
      </w:pPr>
      <w:r w:rsidRPr="00193A9A">
        <w:rPr>
          <w:noProof/>
        </w:rPr>
        <w:t xml:space="preserve">The study also highlighted </w:t>
      </w:r>
      <w:r w:rsidR="00533CDB" w:rsidRPr="00193A9A">
        <w:rPr>
          <w:noProof/>
        </w:rPr>
        <w:t xml:space="preserve">the </w:t>
      </w:r>
      <w:r w:rsidR="009F52AA">
        <w:rPr>
          <w:noProof/>
        </w:rPr>
        <w:t>lack</w:t>
      </w:r>
      <w:r w:rsidR="009F52AA" w:rsidRPr="00193A9A">
        <w:rPr>
          <w:noProof/>
        </w:rPr>
        <w:t xml:space="preserve"> </w:t>
      </w:r>
      <w:r w:rsidR="00533CDB" w:rsidRPr="00193A9A">
        <w:rPr>
          <w:noProof/>
        </w:rPr>
        <w:t>of sanctions for discrimination cases affecting large groups of non-identifiable victims</w:t>
      </w:r>
      <w:r w:rsidR="001C5B1C" w:rsidRPr="001C5B1C">
        <w:rPr>
          <w:noProof/>
        </w:rPr>
        <w:t> (</w:t>
      </w:r>
      <w:r w:rsidR="001C5B1C">
        <w:rPr>
          <w:rStyle w:val="FootnoteReference"/>
          <w:noProof/>
        </w:rPr>
        <w:footnoteReference w:id="31"/>
      </w:r>
      <w:r w:rsidR="001C5B1C">
        <w:rPr>
          <w:noProof/>
        </w:rPr>
        <w:t>)</w:t>
      </w:r>
      <w:r w:rsidR="00533CDB" w:rsidRPr="00193A9A">
        <w:rPr>
          <w:noProof/>
        </w:rPr>
        <w:t xml:space="preserve">, including </w:t>
      </w:r>
      <w:r w:rsidR="00A454C9" w:rsidRPr="00193A9A">
        <w:rPr>
          <w:noProof/>
        </w:rPr>
        <w:t xml:space="preserve">cases </w:t>
      </w:r>
      <w:r w:rsidR="00533CDB" w:rsidRPr="00193A9A">
        <w:rPr>
          <w:noProof/>
        </w:rPr>
        <w:t>stemming from the use of AI or automated systems.</w:t>
      </w:r>
    </w:p>
    <w:p w14:paraId="4C6F39DA" w14:textId="29C448CE" w:rsidR="00CE7FE0" w:rsidRPr="00193A9A" w:rsidRDefault="00533CDB" w:rsidP="00170B95">
      <w:pPr>
        <w:pStyle w:val="Text1"/>
        <w:rPr>
          <w:noProof/>
        </w:rPr>
      </w:pPr>
      <w:r w:rsidRPr="00193A9A">
        <w:rPr>
          <w:noProof/>
        </w:rPr>
        <w:t xml:space="preserve">Further </w:t>
      </w:r>
      <w:r w:rsidR="00B867C8" w:rsidRPr="00193A9A">
        <w:rPr>
          <w:noProof/>
        </w:rPr>
        <w:t xml:space="preserve">challenges </w:t>
      </w:r>
      <w:r w:rsidRPr="00193A9A">
        <w:rPr>
          <w:noProof/>
        </w:rPr>
        <w:t>include insufficient consideration of certain characteristics or circumstances</w:t>
      </w:r>
      <w:r w:rsidR="0052420E" w:rsidRPr="00193A9A">
        <w:rPr>
          <w:noProof/>
        </w:rPr>
        <w:t xml:space="preserve"> </w:t>
      </w:r>
      <w:r w:rsidR="00AA6F8C" w:rsidRPr="00193A9A">
        <w:rPr>
          <w:noProof/>
        </w:rPr>
        <w:t xml:space="preserve">when </w:t>
      </w:r>
      <w:r w:rsidR="00A41140" w:rsidRPr="00193A9A">
        <w:rPr>
          <w:noProof/>
        </w:rPr>
        <w:t xml:space="preserve">deciding </w:t>
      </w:r>
      <w:r w:rsidR="00554C86" w:rsidRPr="00193A9A">
        <w:rPr>
          <w:noProof/>
        </w:rPr>
        <w:t>on</w:t>
      </w:r>
      <w:r w:rsidR="00A41140" w:rsidRPr="00193A9A">
        <w:rPr>
          <w:noProof/>
        </w:rPr>
        <w:t xml:space="preserve"> a sanction or </w:t>
      </w:r>
      <w:r w:rsidR="00F71824">
        <w:rPr>
          <w:noProof/>
        </w:rPr>
        <w:t>the</w:t>
      </w:r>
      <w:r w:rsidR="00F71824" w:rsidRPr="00193A9A">
        <w:rPr>
          <w:noProof/>
        </w:rPr>
        <w:t xml:space="preserve"> </w:t>
      </w:r>
      <w:r w:rsidR="00A41140" w:rsidRPr="00193A9A">
        <w:rPr>
          <w:noProof/>
        </w:rPr>
        <w:t>amount</w:t>
      </w:r>
      <w:r w:rsidR="00F71824">
        <w:rPr>
          <w:noProof/>
        </w:rPr>
        <w:t xml:space="preserve"> of the sanction</w:t>
      </w:r>
      <w:r w:rsidR="00F46DD8" w:rsidRPr="00193A9A">
        <w:rPr>
          <w:noProof/>
        </w:rPr>
        <w:t xml:space="preserve">. This is particularly the case with regard to </w:t>
      </w:r>
      <w:r w:rsidR="00746C4B" w:rsidRPr="00193A9A">
        <w:rPr>
          <w:noProof/>
        </w:rPr>
        <w:t>elements</w:t>
      </w:r>
      <w:r w:rsidR="00D51950" w:rsidRPr="00193A9A">
        <w:rPr>
          <w:noProof/>
        </w:rPr>
        <w:t xml:space="preserve"> that are</w:t>
      </w:r>
      <w:r w:rsidR="00746C4B" w:rsidRPr="00193A9A">
        <w:rPr>
          <w:noProof/>
        </w:rPr>
        <w:t xml:space="preserve"> not required</w:t>
      </w:r>
      <w:r w:rsidR="008A5A48">
        <w:rPr>
          <w:noProof/>
        </w:rPr>
        <w:t xml:space="preserve"> to be taken into account</w:t>
      </w:r>
      <w:r w:rsidR="00746C4B" w:rsidRPr="00193A9A">
        <w:rPr>
          <w:noProof/>
        </w:rPr>
        <w:t xml:space="preserve"> by </w:t>
      </w:r>
      <w:r w:rsidR="00D135D7">
        <w:rPr>
          <w:noProof/>
        </w:rPr>
        <w:t xml:space="preserve">national </w:t>
      </w:r>
      <w:r w:rsidR="00746C4B" w:rsidRPr="00193A9A">
        <w:rPr>
          <w:noProof/>
        </w:rPr>
        <w:t>law</w:t>
      </w:r>
      <w:r w:rsidR="00F46DD8" w:rsidRPr="00193A9A">
        <w:rPr>
          <w:noProof/>
        </w:rPr>
        <w:t>, such as</w:t>
      </w:r>
      <w:r w:rsidRPr="00193A9A">
        <w:rPr>
          <w:noProof/>
        </w:rPr>
        <w:t xml:space="preserve"> </w:t>
      </w:r>
      <w:r w:rsidR="00025403" w:rsidRPr="00193A9A">
        <w:rPr>
          <w:noProof/>
        </w:rPr>
        <w:t>cases involving</w:t>
      </w:r>
      <w:r w:rsidR="00894153" w:rsidRPr="00193A9A">
        <w:rPr>
          <w:noProof/>
        </w:rPr>
        <w:t xml:space="preserve"> </w:t>
      </w:r>
      <w:r w:rsidRPr="00193A9A">
        <w:rPr>
          <w:noProof/>
        </w:rPr>
        <w:t>multiple, intersectional or algorithmic discrimination</w:t>
      </w:r>
      <w:r w:rsidR="00F46DD8" w:rsidRPr="00193A9A">
        <w:rPr>
          <w:noProof/>
        </w:rPr>
        <w:t>.</w:t>
      </w:r>
    </w:p>
    <w:p w14:paraId="734676EA" w14:textId="6866585C" w:rsidR="00820D1B" w:rsidRPr="00193A9A" w:rsidRDefault="00F46DD8" w:rsidP="00170B95">
      <w:pPr>
        <w:pStyle w:val="Text1"/>
        <w:rPr>
          <w:noProof/>
        </w:rPr>
      </w:pPr>
      <w:r w:rsidRPr="00193A9A">
        <w:rPr>
          <w:noProof/>
        </w:rPr>
        <w:t xml:space="preserve">In addition, </w:t>
      </w:r>
      <w:r w:rsidR="00533CDB" w:rsidRPr="00193A9A">
        <w:rPr>
          <w:noProof/>
        </w:rPr>
        <w:t>inadequate enforcement and monitoring rules</w:t>
      </w:r>
      <w:r w:rsidRPr="00193A9A">
        <w:rPr>
          <w:noProof/>
        </w:rPr>
        <w:t xml:space="preserve"> often </w:t>
      </w:r>
      <w:r w:rsidR="00533CDB" w:rsidRPr="00193A9A">
        <w:rPr>
          <w:noProof/>
        </w:rPr>
        <w:t>lead to delays or non-execution of sanctions.</w:t>
      </w:r>
      <w:r w:rsidR="00DD779A" w:rsidRPr="00193A9A">
        <w:rPr>
          <w:noProof/>
        </w:rPr>
        <w:t xml:space="preserve"> Only a few jurisdictions provide </w:t>
      </w:r>
      <w:r w:rsidR="00C67712">
        <w:rPr>
          <w:noProof/>
        </w:rPr>
        <w:t>for effective</w:t>
      </w:r>
      <w:r w:rsidR="00C67712" w:rsidRPr="00193A9A">
        <w:rPr>
          <w:noProof/>
        </w:rPr>
        <w:t xml:space="preserve"> </w:t>
      </w:r>
      <w:r w:rsidR="00DD779A" w:rsidRPr="00193A9A">
        <w:rPr>
          <w:noProof/>
        </w:rPr>
        <w:t>enforcement measures</w:t>
      </w:r>
      <w:r w:rsidR="00C67712">
        <w:rPr>
          <w:noProof/>
        </w:rPr>
        <w:t>,</w:t>
      </w:r>
      <w:r w:rsidR="00DD779A" w:rsidRPr="00193A9A">
        <w:rPr>
          <w:noProof/>
        </w:rPr>
        <w:t xml:space="preserve"> such as penalty payments</w:t>
      </w:r>
      <w:r w:rsidR="00FC572C" w:rsidRPr="00193A9A">
        <w:rPr>
          <w:noProof/>
        </w:rPr>
        <w:t> (</w:t>
      </w:r>
      <w:r w:rsidR="00FC572C" w:rsidRPr="00193A9A">
        <w:rPr>
          <w:rStyle w:val="FootnoteReference"/>
          <w:noProof/>
        </w:rPr>
        <w:footnoteReference w:id="32"/>
      </w:r>
      <w:r w:rsidR="00FC572C" w:rsidRPr="00193A9A">
        <w:rPr>
          <w:noProof/>
        </w:rPr>
        <w:t>)</w:t>
      </w:r>
      <w:r w:rsidR="00DD779A" w:rsidRPr="00193A9A">
        <w:rPr>
          <w:noProof/>
        </w:rPr>
        <w:t xml:space="preserve"> or conditional fines</w:t>
      </w:r>
      <w:r w:rsidR="00FC572C" w:rsidRPr="00193A9A">
        <w:rPr>
          <w:noProof/>
        </w:rPr>
        <w:t> (</w:t>
      </w:r>
      <w:r w:rsidR="00FC572C" w:rsidRPr="00193A9A">
        <w:rPr>
          <w:rStyle w:val="FootnoteReference"/>
          <w:noProof/>
        </w:rPr>
        <w:footnoteReference w:id="33"/>
      </w:r>
      <w:r w:rsidR="00FC572C" w:rsidRPr="00193A9A">
        <w:rPr>
          <w:noProof/>
        </w:rPr>
        <w:t>)</w:t>
      </w:r>
      <w:r w:rsidR="00DD779A" w:rsidRPr="00193A9A">
        <w:rPr>
          <w:noProof/>
        </w:rPr>
        <w:t xml:space="preserve">. Similarly, monitoring </w:t>
      </w:r>
      <w:r w:rsidR="00C67712">
        <w:rPr>
          <w:noProof/>
        </w:rPr>
        <w:t>measures,</w:t>
      </w:r>
      <w:r w:rsidR="00C67712" w:rsidRPr="00193A9A">
        <w:rPr>
          <w:noProof/>
        </w:rPr>
        <w:t xml:space="preserve"> </w:t>
      </w:r>
      <w:r w:rsidR="00DD779A" w:rsidRPr="00193A9A">
        <w:rPr>
          <w:noProof/>
        </w:rPr>
        <w:t>in the form of follow-up reporting by perpetrators, follow-up hearings, interviews or inspections</w:t>
      </w:r>
      <w:r w:rsidR="00C67712">
        <w:rPr>
          <w:noProof/>
        </w:rPr>
        <w:t>,</w:t>
      </w:r>
      <w:r w:rsidR="00DD779A" w:rsidRPr="00193A9A">
        <w:rPr>
          <w:noProof/>
        </w:rPr>
        <w:t xml:space="preserve"> are largely absent.</w:t>
      </w:r>
    </w:p>
    <w:p w14:paraId="3731212B" w14:textId="2A22DE8B" w:rsidR="00D96E82" w:rsidRPr="00193A9A" w:rsidRDefault="002D290D" w:rsidP="00170B95">
      <w:pPr>
        <w:pStyle w:val="Text1"/>
        <w:rPr>
          <w:noProof/>
        </w:rPr>
      </w:pPr>
      <w:r w:rsidRPr="00193A9A">
        <w:rPr>
          <w:noProof/>
        </w:rPr>
        <w:t>B</w:t>
      </w:r>
      <w:r w:rsidR="00D96E82" w:rsidRPr="00193A9A">
        <w:rPr>
          <w:noProof/>
        </w:rPr>
        <w:t>oth Member States and stakeholders note</w:t>
      </w:r>
      <w:r w:rsidR="00041709">
        <w:rPr>
          <w:noProof/>
        </w:rPr>
        <w:t>d</w:t>
      </w:r>
      <w:r w:rsidR="00D96E82" w:rsidRPr="00193A9A">
        <w:rPr>
          <w:noProof/>
        </w:rPr>
        <w:t xml:space="preserve"> </w:t>
      </w:r>
      <w:r w:rsidR="00E27545">
        <w:rPr>
          <w:noProof/>
        </w:rPr>
        <w:t>that</w:t>
      </w:r>
      <w:r w:rsidR="00D96E82" w:rsidRPr="00193A9A">
        <w:rPr>
          <w:noProof/>
        </w:rPr>
        <w:t xml:space="preserve"> awareness of </w:t>
      </w:r>
      <w:r w:rsidR="00E27545">
        <w:rPr>
          <w:noProof/>
        </w:rPr>
        <w:t xml:space="preserve">the </w:t>
      </w:r>
      <w:r w:rsidR="00D96E82" w:rsidRPr="00193A9A">
        <w:rPr>
          <w:noProof/>
        </w:rPr>
        <w:t>rights established by the Directives</w:t>
      </w:r>
      <w:r w:rsidR="00E27545">
        <w:rPr>
          <w:noProof/>
        </w:rPr>
        <w:t xml:space="preserve"> is low</w:t>
      </w:r>
      <w:r w:rsidR="00D135D7">
        <w:rPr>
          <w:noProof/>
        </w:rPr>
        <w:t xml:space="preserve"> (see 3.2)</w:t>
      </w:r>
      <w:r w:rsidR="00D96E82" w:rsidRPr="00193A9A">
        <w:rPr>
          <w:noProof/>
        </w:rPr>
        <w:t xml:space="preserve">. Awareness of </w:t>
      </w:r>
      <w:r w:rsidR="00E27545">
        <w:rPr>
          <w:noProof/>
        </w:rPr>
        <w:t xml:space="preserve">the </w:t>
      </w:r>
      <w:r w:rsidR="00D96E82" w:rsidRPr="00193A9A">
        <w:rPr>
          <w:noProof/>
        </w:rPr>
        <w:t>available remedies is also limited or even non-existent.</w:t>
      </w:r>
    </w:p>
    <w:p w14:paraId="62D9964B" w14:textId="2AC8EA9A" w:rsidR="00DD779A" w:rsidRDefault="00D96E82" w:rsidP="00170B95">
      <w:pPr>
        <w:pStyle w:val="Text1"/>
        <w:rPr>
          <w:noProof/>
        </w:rPr>
      </w:pPr>
      <w:r w:rsidRPr="00193A9A">
        <w:rPr>
          <w:noProof/>
        </w:rPr>
        <w:t xml:space="preserve">Research has not identified any specific national rules </w:t>
      </w:r>
      <w:r w:rsidR="00E27545">
        <w:rPr>
          <w:noProof/>
        </w:rPr>
        <w:t>for raising</w:t>
      </w:r>
      <w:r w:rsidR="00E27545" w:rsidRPr="00193A9A">
        <w:rPr>
          <w:noProof/>
        </w:rPr>
        <w:t xml:space="preserve"> </w:t>
      </w:r>
      <w:r w:rsidRPr="00193A9A">
        <w:rPr>
          <w:noProof/>
        </w:rPr>
        <w:t>awareness about sanctions</w:t>
      </w:r>
      <w:r w:rsidR="00935CF9">
        <w:rPr>
          <w:noProof/>
        </w:rPr>
        <w:t xml:space="preserve"> for discrimination</w:t>
      </w:r>
      <w:r w:rsidRPr="00193A9A">
        <w:rPr>
          <w:noProof/>
        </w:rPr>
        <w:t>. Most awareness campaigns focus broadly on combating discrimination</w:t>
      </w:r>
      <w:r w:rsidR="00935CF9">
        <w:rPr>
          <w:noProof/>
        </w:rPr>
        <w:t>,</w:t>
      </w:r>
      <w:r w:rsidRPr="00193A9A">
        <w:rPr>
          <w:noProof/>
        </w:rPr>
        <w:t xml:space="preserve"> without explaining what victims can expect from the justice system when their rights are violated. </w:t>
      </w:r>
      <w:r w:rsidR="00935CF9">
        <w:rPr>
          <w:noProof/>
        </w:rPr>
        <w:t>Furthermore</w:t>
      </w:r>
      <w:r w:rsidRPr="00193A9A">
        <w:rPr>
          <w:noProof/>
        </w:rPr>
        <w:t xml:space="preserve">, there is a shortage of targeted training on </w:t>
      </w:r>
      <w:r w:rsidR="00935CF9">
        <w:rPr>
          <w:noProof/>
        </w:rPr>
        <w:t>these</w:t>
      </w:r>
      <w:r w:rsidR="00935CF9" w:rsidRPr="00193A9A">
        <w:rPr>
          <w:noProof/>
        </w:rPr>
        <w:t xml:space="preserve"> </w:t>
      </w:r>
      <w:r w:rsidRPr="00193A9A">
        <w:rPr>
          <w:noProof/>
        </w:rPr>
        <w:t>sanctions for professionals, including judges, which may affect the application of effective, proportionate and dissuasive sanctions.</w:t>
      </w:r>
    </w:p>
    <w:p w14:paraId="1C5C11DC" w14:textId="35D48035" w:rsidR="007F22F7" w:rsidRPr="00193A9A" w:rsidRDefault="007F22F7" w:rsidP="00170B95">
      <w:pPr>
        <w:pStyle w:val="Text1"/>
        <w:rPr>
          <w:noProof/>
        </w:rPr>
      </w:pPr>
      <w:r w:rsidRPr="007F22F7">
        <w:rPr>
          <w:noProof/>
        </w:rPr>
        <w:t>The good practice guide on sanctions for discrimination, which is part of the study, highlights a number of promising practices that have been implemented in Member States (</w:t>
      </w:r>
      <w:r>
        <w:rPr>
          <w:rStyle w:val="FootnoteReference"/>
          <w:noProof/>
        </w:rPr>
        <w:footnoteReference w:id="34"/>
      </w:r>
      <w:r>
        <w:rPr>
          <w:noProof/>
        </w:rPr>
        <w:t>).</w:t>
      </w:r>
    </w:p>
    <w:p w14:paraId="216D18B1" w14:textId="577230CE" w:rsidR="00F33E21" w:rsidRPr="00193A9A" w:rsidRDefault="00820D1B" w:rsidP="003423AF">
      <w:pPr>
        <w:pStyle w:val="Text1"/>
        <w:jc w:val="left"/>
        <w:rPr>
          <w:b/>
          <w:bCs/>
          <w:noProof/>
        </w:rPr>
      </w:pPr>
      <w:r w:rsidRPr="00193A9A">
        <w:rPr>
          <w:b/>
          <w:bCs/>
          <w:noProof/>
        </w:rPr>
        <w:t>Evaluation of sanction systems by Member States, equality bodies and civil society</w:t>
      </w:r>
    </w:p>
    <w:p w14:paraId="1FC11122" w14:textId="149EA87F" w:rsidR="00532AF9" w:rsidRPr="00193A9A" w:rsidRDefault="00935CF9" w:rsidP="002042E6">
      <w:pPr>
        <w:pStyle w:val="Text1"/>
        <w:rPr>
          <w:noProof/>
        </w:rPr>
      </w:pPr>
      <w:r>
        <w:rPr>
          <w:noProof/>
        </w:rPr>
        <w:t>Different s</w:t>
      </w:r>
      <w:r w:rsidR="009F5B40" w:rsidRPr="00193A9A">
        <w:rPr>
          <w:noProof/>
        </w:rPr>
        <w:t>takeholders</w:t>
      </w:r>
      <w:r w:rsidR="001C6FE8" w:rsidRPr="00193A9A">
        <w:rPr>
          <w:noProof/>
        </w:rPr>
        <w:t xml:space="preserve"> perce</w:t>
      </w:r>
      <w:r w:rsidR="009F5B40" w:rsidRPr="00193A9A">
        <w:rPr>
          <w:noProof/>
        </w:rPr>
        <w:t>ive</w:t>
      </w:r>
      <w:r w:rsidR="00041709">
        <w:rPr>
          <w:noProof/>
        </w:rPr>
        <w:t>d</w:t>
      </w:r>
      <w:r w:rsidR="001C6FE8" w:rsidRPr="00193A9A">
        <w:rPr>
          <w:noProof/>
        </w:rPr>
        <w:t xml:space="preserve"> the effectiveness of </w:t>
      </w:r>
      <w:r w:rsidR="00E1545F">
        <w:rPr>
          <w:noProof/>
        </w:rPr>
        <w:t xml:space="preserve">the </w:t>
      </w:r>
      <w:r w:rsidR="001C6FE8" w:rsidRPr="00193A9A">
        <w:rPr>
          <w:noProof/>
        </w:rPr>
        <w:t xml:space="preserve">sanction systems rather differently. While 12 of </w:t>
      </w:r>
      <w:r w:rsidR="008C0B7C" w:rsidRPr="00193A9A">
        <w:rPr>
          <w:noProof/>
        </w:rPr>
        <w:t xml:space="preserve">the </w:t>
      </w:r>
      <w:r w:rsidR="001C6FE8" w:rsidRPr="00193A9A">
        <w:rPr>
          <w:noProof/>
        </w:rPr>
        <w:t xml:space="preserve">17 civil society organisations </w:t>
      </w:r>
      <w:r w:rsidR="00A64C55" w:rsidRPr="00193A9A">
        <w:rPr>
          <w:noProof/>
        </w:rPr>
        <w:t>that</w:t>
      </w:r>
      <w:r w:rsidR="008C0B7C" w:rsidRPr="00193A9A">
        <w:rPr>
          <w:noProof/>
        </w:rPr>
        <w:t xml:space="preserve"> participated in the targeted consultation </w:t>
      </w:r>
      <w:r w:rsidR="00A64C55" w:rsidRPr="00193A9A">
        <w:rPr>
          <w:noProof/>
        </w:rPr>
        <w:t>prior to</w:t>
      </w:r>
      <w:r w:rsidR="008C0B7C" w:rsidRPr="00193A9A">
        <w:rPr>
          <w:noProof/>
        </w:rPr>
        <w:t xml:space="preserve"> the report </w:t>
      </w:r>
      <w:r w:rsidR="001C6FE8" w:rsidRPr="00193A9A">
        <w:rPr>
          <w:noProof/>
        </w:rPr>
        <w:t xml:space="preserve">considered sanctions for discrimination to be not very effective or not effective at all, </w:t>
      </w:r>
      <w:r w:rsidR="00F177DE" w:rsidRPr="00193A9A">
        <w:rPr>
          <w:noProof/>
        </w:rPr>
        <w:t xml:space="preserve">respondents from </w:t>
      </w:r>
      <w:r w:rsidR="001C6FE8" w:rsidRPr="00193A9A">
        <w:rPr>
          <w:noProof/>
        </w:rPr>
        <w:t>equality bodies were evenly divided in their assessment of the sanctions, and Member States were largely convinced of the effectiveness (</w:t>
      </w:r>
      <w:r w:rsidR="0085305A" w:rsidRPr="00193A9A">
        <w:rPr>
          <w:noProof/>
        </w:rPr>
        <w:t>five</w:t>
      </w:r>
      <w:r w:rsidR="001C6FE8" w:rsidRPr="00193A9A">
        <w:rPr>
          <w:noProof/>
        </w:rPr>
        <w:t xml:space="preserve"> M</w:t>
      </w:r>
      <w:r w:rsidR="0085305A" w:rsidRPr="00193A9A">
        <w:rPr>
          <w:noProof/>
        </w:rPr>
        <w:t>ember States</w:t>
      </w:r>
      <w:r w:rsidR="001C6FE8" w:rsidRPr="00193A9A">
        <w:rPr>
          <w:noProof/>
        </w:rPr>
        <w:t>) or relative effectiveness (1</w:t>
      </w:r>
      <w:r w:rsidR="0085305A" w:rsidRPr="00193A9A">
        <w:rPr>
          <w:noProof/>
        </w:rPr>
        <w:t>6</w:t>
      </w:r>
      <w:r w:rsidR="001C6FE8" w:rsidRPr="00193A9A">
        <w:rPr>
          <w:noProof/>
        </w:rPr>
        <w:t xml:space="preserve"> M</w:t>
      </w:r>
      <w:r w:rsidR="0085305A" w:rsidRPr="00193A9A">
        <w:rPr>
          <w:noProof/>
        </w:rPr>
        <w:t xml:space="preserve">ember </w:t>
      </w:r>
      <w:r w:rsidR="001C6FE8" w:rsidRPr="00193A9A">
        <w:rPr>
          <w:noProof/>
        </w:rPr>
        <w:t>S</w:t>
      </w:r>
      <w:r w:rsidR="0085305A" w:rsidRPr="00193A9A">
        <w:rPr>
          <w:noProof/>
        </w:rPr>
        <w:t>tates</w:t>
      </w:r>
      <w:r w:rsidR="001C6FE8" w:rsidRPr="00193A9A">
        <w:rPr>
          <w:noProof/>
        </w:rPr>
        <w:t>) of their sanction systems.</w:t>
      </w:r>
    </w:p>
    <w:p w14:paraId="1D8B6491" w14:textId="7D57B350" w:rsidR="00532AF9" w:rsidRPr="00193A9A" w:rsidRDefault="001C6FE8" w:rsidP="00A00931">
      <w:pPr>
        <w:pStyle w:val="Text1"/>
        <w:rPr>
          <w:noProof/>
        </w:rPr>
      </w:pPr>
      <w:r w:rsidRPr="00193A9A">
        <w:rPr>
          <w:noProof/>
        </w:rPr>
        <w:t xml:space="preserve">The </w:t>
      </w:r>
      <w:r w:rsidR="001D46AB">
        <w:rPr>
          <w:noProof/>
        </w:rPr>
        <w:t xml:space="preserve">reasons given for considering the sanction systems to be </w:t>
      </w:r>
      <w:r w:rsidRPr="00193A9A">
        <w:rPr>
          <w:noProof/>
        </w:rPr>
        <w:t xml:space="preserve">effective </w:t>
      </w:r>
      <w:r w:rsidR="001D46AB">
        <w:rPr>
          <w:noProof/>
        </w:rPr>
        <w:t>were</w:t>
      </w:r>
      <w:r w:rsidR="001D46AB" w:rsidRPr="00193A9A">
        <w:rPr>
          <w:noProof/>
        </w:rPr>
        <w:t xml:space="preserve"> </w:t>
      </w:r>
      <w:r w:rsidRPr="00193A9A">
        <w:rPr>
          <w:noProof/>
        </w:rPr>
        <w:t>usually the mere existence</w:t>
      </w:r>
      <w:r w:rsidR="001D46AB">
        <w:rPr>
          <w:noProof/>
        </w:rPr>
        <w:t xml:space="preserve"> of </w:t>
      </w:r>
      <w:r w:rsidR="00D4121D">
        <w:rPr>
          <w:noProof/>
        </w:rPr>
        <w:t>sanctions</w:t>
      </w:r>
      <w:r w:rsidRPr="00193A9A">
        <w:rPr>
          <w:noProof/>
        </w:rPr>
        <w:t xml:space="preserve">, </w:t>
      </w:r>
      <w:r w:rsidR="001703D6">
        <w:rPr>
          <w:noProof/>
        </w:rPr>
        <w:t xml:space="preserve">the </w:t>
      </w:r>
      <w:r w:rsidRPr="00193A9A">
        <w:rPr>
          <w:noProof/>
        </w:rPr>
        <w:t>availability</w:t>
      </w:r>
      <w:r w:rsidR="001041AA" w:rsidRPr="00193A9A">
        <w:rPr>
          <w:noProof/>
        </w:rPr>
        <w:t xml:space="preserve"> of</w:t>
      </w:r>
      <w:r w:rsidRPr="00193A9A">
        <w:rPr>
          <w:noProof/>
        </w:rPr>
        <w:t xml:space="preserve"> monitoring and enforcement mechanisms, or the alleged lack of </w:t>
      </w:r>
      <w:r w:rsidR="001D46AB">
        <w:rPr>
          <w:noProof/>
        </w:rPr>
        <w:t xml:space="preserve">any </w:t>
      </w:r>
      <w:r w:rsidRPr="00193A9A">
        <w:rPr>
          <w:noProof/>
        </w:rPr>
        <w:t xml:space="preserve">indication </w:t>
      </w:r>
      <w:r w:rsidR="001D46AB">
        <w:rPr>
          <w:noProof/>
        </w:rPr>
        <w:t xml:space="preserve">that </w:t>
      </w:r>
      <w:r w:rsidR="00D76B2B">
        <w:rPr>
          <w:noProof/>
        </w:rPr>
        <w:t>the sanction system</w:t>
      </w:r>
      <w:r w:rsidR="001D46AB">
        <w:rPr>
          <w:noProof/>
        </w:rPr>
        <w:t xml:space="preserve"> </w:t>
      </w:r>
      <w:r w:rsidR="00A620A6">
        <w:rPr>
          <w:noProof/>
        </w:rPr>
        <w:t>is</w:t>
      </w:r>
      <w:r w:rsidR="001D46AB">
        <w:rPr>
          <w:noProof/>
        </w:rPr>
        <w:t xml:space="preserve"> functioning</w:t>
      </w:r>
      <w:r w:rsidRPr="00193A9A">
        <w:rPr>
          <w:noProof/>
        </w:rPr>
        <w:t xml:space="preserve"> unsatisfactor</w:t>
      </w:r>
      <w:r w:rsidR="001D46AB">
        <w:rPr>
          <w:noProof/>
        </w:rPr>
        <w:t>il</w:t>
      </w:r>
      <w:r w:rsidRPr="00193A9A">
        <w:rPr>
          <w:noProof/>
        </w:rPr>
        <w:t>y.</w:t>
      </w:r>
      <w:r w:rsidR="00A00931" w:rsidRPr="00193A9A">
        <w:rPr>
          <w:noProof/>
        </w:rPr>
        <w:t xml:space="preserve"> </w:t>
      </w:r>
      <w:r w:rsidRPr="00193A9A">
        <w:rPr>
          <w:noProof/>
        </w:rPr>
        <w:t xml:space="preserve">However, </w:t>
      </w:r>
      <w:r w:rsidR="00D61F21" w:rsidRPr="00193A9A">
        <w:rPr>
          <w:noProof/>
        </w:rPr>
        <w:t>where</w:t>
      </w:r>
      <w:r w:rsidRPr="00193A9A">
        <w:rPr>
          <w:noProof/>
        </w:rPr>
        <w:t xml:space="preserve"> difficulties </w:t>
      </w:r>
      <w:r w:rsidR="00D61F21" w:rsidRPr="00193A9A">
        <w:rPr>
          <w:noProof/>
        </w:rPr>
        <w:t xml:space="preserve">were </w:t>
      </w:r>
      <w:r w:rsidRPr="00193A9A">
        <w:rPr>
          <w:noProof/>
        </w:rPr>
        <w:t xml:space="preserve">experienced, all stakeholders clearly identified the failure to apply </w:t>
      </w:r>
      <w:r w:rsidR="00BD6FEF">
        <w:rPr>
          <w:noProof/>
        </w:rPr>
        <w:t xml:space="preserve">the </w:t>
      </w:r>
      <w:r w:rsidRPr="00193A9A">
        <w:rPr>
          <w:noProof/>
        </w:rPr>
        <w:t xml:space="preserve">prescribed sanctions in </w:t>
      </w:r>
      <w:r w:rsidRPr="00E1545F">
        <w:rPr>
          <w:noProof/>
        </w:rPr>
        <w:t>practice</w:t>
      </w:r>
      <w:r w:rsidRPr="00193A9A">
        <w:rPr>
          <w:noProof/>
        </w:rPr>
        <w:t xml:space="preserve"> as the key bottleneck in the sanction systems.</w:t>
      </w:r>
    </w:p>
    <w:p w14:paraId="01D5CD2A" w14:textId="653A00FF" w:rsidR="0050097A" w:rsidRPr="00193A9A" w:rsidRDefault="008A259C" w:rsidP="0050097A">
      <w:pPr>
        <w:pStyle w:val="Text1"/>
        <w:rPr>
          <w:noProof/>
        </w:rPr>
      </w:pPr>
      <w:r>
        <w:rPr>
          <w:noProof/>
        </w:rPr>
        <w:t xml:space="preserve">The </w:t>
      </w:r>
      <w:r w:rsidR="001C6FE8" w:rsidRPr="00193A9A">
        <w:rPr>
          <w:noProof/>
        </w:rPr>
        <w:t xml:space="preserve">Member States, equality bodies and civil society </w:t>
      </w:r>
      <w:r w:rsidR="009C1E9E" w:rsidRPr="00193A9A">
        <w:rPr>
          <w:noProof/>
        </w:rPr>
        <w:t xml:space="preserve">organisations surveyed </w:t>
      </w:r>
      <w:r w:rsidR="002514A8" w:rsidRPr="00193A9A">
        <w:rPr>
          <w:noProof/>
        </w:rPr>
        <w:t>agreed</w:t>
      </w:r>
      <w:r w:rsidR="001C6FE8" w:rsidRPr="00193A9A">
        <w:rPr>
          <w:noProof/>
        </w:rPr>
        <w:t xml:space="preserve"> that consolidating </w:t>
      </w:r>
      <w:r w:rsidR="00023F5B">
        <w:rPr>
          <w:noProof/>
        </w:rPr>
        <w:t xml:space="preserve">the </w:t>
      </w:r>
      <w:r w:rsidR="001C6FE8" w:rsidRPr="00193A9A">
        <w:rPr>
          <w:noProof/>
        </w:rPr>
        <w:t xml:space="preserve">legislation and introducing forward-looking sanctions would improve </w:t>
      </w:r>
      <w:r w:rsidR="00637D99" w:rsidRPr="00193A9A">
        <w:rPr>
          <w:noProof/>
        </w:rPr>
        <w:t xml:space="preserve">the </w:t>
      </w:r>
      <w:r w:rsidR="001C6FE8" w:rsidRPr="00193A9A">
        <w:rPr>
          <w:noProof/>
        </w:rPr>
        <w:t xml:space="preserve">sanction systems. Furthermore, civil society organisations called on Member States to recognise and </w:t>
      </w:r>
      <w:r>
        <w:rPr>
          <w:noProof/>
        </w:rPr>
        <w:t>take account of</w:t>
      </w:r>
      <w:r w:rsidRPr="00193A9A">
        <w:rPr>
          <w:noProof/>
        </w:rPr>
        <w:t xml:space="preserve"> </w:t>
      </w:r>
      <w:r w:rsidR="001C6FE8" w:rsidRPr="00193A9A">
        <w:rPr>
          <w:noProof/>
        </w:rPr>
        <w:t>multiple and intersectional discrimination in their sanction systems.</w:t>
      </w:r>
      <w:r w:rsidR="0050097A" w:rsidRPr="00193A9A">
        <w:rPr>
          <w:noProof/>
        </w:rPr>
        <w:t xml:space="preserve"> </w:t>
      </w:r>
      <w:r w:rsidR="001F335C" w:rsidRPr="00193A9A">
        <w:rPr>
          <w:noProof/>
        </w:rPr>
        <w:t>In their view</w:t>
      </w:r>
      <w:r w:rsidR="00532AF9" w:rsidRPr="00193A9A">
        <w:rPr>
          <w:noProof/>
        </w:rPr>
        <w:t>,</w:t>
      </w:r>
      <w:r w:rsidR="001F335C" w:rsidRPr="00193A9A">
        <w:rPr>
          <w:noProof/>
        </w:rPr>
        <w:t xml:space="preserve"> </w:t>
      </w:r>
      <w:r w:rsidR="00E157DB" w:rsidRPr="00193A9A">
        <w:rPr>
          <w:noProof/>
        </w:rPr>
        <w:t>such reforms would facilitate the enforcement of sanctions for discrimination, anchor a victim-centred approach and enable prevention of discriminatory behaviours</w:t>
      </w:r>
      <w:r w:rsidR="006B0128">
        <w:rPr>
          <w:noProof/>
        </w:rPr>
        <w:t xml:space="preserve"> and</w:t>
      </w:r>
      <w:r w:rsidR="00E157DB" w:rsidRPr="00193A9A">
        <w:rPr>
          <w:noProof/>
        </w:rPr>
        <w:t xml:space="preserve"> not just punishment.</w:t>
      </w:r>
    </w:p>
    <w:p w14:paraId="3B4E7214" w14:textId="2998C274" w:rsidR="00E157DB" w:rsidRDefault="000B1D41" w:rsidP="002042E6">
      <w:pPr>
        <w:pStyle w:val="Text1"/>
        <w:rPr>
          <w:noProof/>
        </w:rPr>
      </w:pPr>
      <w:r>
        <w:rPr>
          <w:noProof/>
        </w:rPr>
        <w:t>In their replies to the consultation, o</w:t>
      </w:r>
      <w:r w:rsidR="00532AF9" w:rsidRPr="00193A9A">
        <w:rPr>
          <w:noProof/>
        </w:rPr>
        <w:t xml:space="preserve">nly </w:t>
      </w:r>
      <w:r w:rsidR="00E157DB" w:rsidRPr="00193A9A">
        <w:rPr>
          <w:noProof/>
        </w:rPr>
        <w:t xml:space="preserve">Latvia, Portugal and Spain, </w:t>
      </w:r>
      <w:r w:rsidR="006B0128">
        <w:rPr>
          <w:noProof/>
        </w:rPr>
        <w:t>saw</w:t>
      </w:r>
      <w:r w:rsidR="006B0128" w:rsidRPr="00193A9A">
        <w:rPr>
          <w:noProof/>
        </w:rPr>
        <w:t xml:space="preserve"> </w:t>
      </w:r>
      <w:r w:rsidR="000F157B" w:rsidRPr="00193A9A">
        <w:rPr>
          <w:noProof/>
        </w:rPr>
        <w:t>a</w:t>
      </w:r>
      <w:r w:rsidR="00E157DB" w:rsidRPr="00193A9A">
        <w:rPr>
          <w:noProof/>
        </w:rPr>
        <w:t xml:space="preserve"> need to adapt their sanction systems to the growing use of algorithmic decision-making tools.</w:t>
      </w:r>
    </w:p>
    <w:tbl>
      <w:tblPr>
        <w:tblStyle w:val="EurolookClassicBlue2"/>
        <w:tblW w:w="0" w:type="auto"/>
        <w:tblInd w:w="442" w:type="dxa"/>
        <w:tblLook w:val="0620" w:firstRow="1" w:lastRow="0" w:firstColumn="0" w:lastColumn="0" w:noHBand="1" w:noVBand="1"/>
      </w:tblPr>
      <w:tblGrid>
        <w:gridCol w:w="8160"/>
      </w:tblGrid>
      <w:tr w:rsidR="00D4121D" w14:paraId="21E89E6A" w14:textId="77777777" w:rsidTr="00D4121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3CEB1746" w14:textId="1B490757" w:rsidR="00D4121D" w:rsidRPr="00D4121D" w:rsidRDefault="00A6547E" w:rsidP="00D4121D">
            <w:pPr>
              <w:pStyle w:val="TableText"/>
              <w:rPr>
                <w:b/>
                <w:bCs/>
                <w:noProof/>
              </w:rPr>
            </w:pPr>
            <w:r>
              <w:rPr>
                <w:b/>
                <w:bCs/>
                <w:noProof/>
              </w:rPr>
              <w:t>Conclusions</w:t>
            </w:r>
          </w:p>
        </w:tc>
      </w:tr>
      <w:tr w:rsidR="00D4121D" w14:paraId="74BCD905" w14:textId="77777777" w:rsidTr="00D4121D">
        <w:trPr>
          <w:cantSplit/>
        </w:trPr>
        <w:tc>
          <w:tcPr>
            <w:tcW w:w="8160" w:type="dxa"/>
          </w:tcPr>
          <w:p w14:paraId="4714B2EE" w14:textId="4D03F3A2" w:rsidR="009C4145" w:rsidRDefault="009C4145" w:rsidP="00B61149">
            <w:pPr>
              <w:pStyle w:val="Text2"/>
              <w:ind w:left="0"/>
              <w:rPr>
                <w:noProof/>
              </w:rPr>
            </w:pPr>
            <w:r w:rsidRPr="00B61149">
              <w:rPr>
                <w:i/>
                <w:iCs/>
                <w:noProof/>
              </w:rPr>
              <w:t>Member States must</w:t>
            </w:r>
            <w:r>
              <w:rPr>
                <w:noProof/>
              </w:rPr>
              <w:t>:</w:t>
            </w:r>
          </w:p>
          <w:p w14:paraId="7E23567D" w14:textId="77777777" w:rsidR="00661A34" w:rsidRDefault="00D4121D" w:rsidP="00661A34">
            <w:pPr>
              <w:pStyle w:val="TableListDash"/>
              <w:jc w:val="both"/>
              <w:rPr>
                <w:noProof/>
              </w:rPr>
            </w:pPr>
            <w:r w:rsidRPr="00193A9A">
              <w:rPr>
                <w:noProof/>
              </w:rPr>
              <w:t xml:space="preserve">ensure that sanctions are applied effectively in </w:t>
            </w:r>
            <w:r w:rsidRPr="006B0128">
              <w:rPr>
                <w:noProof/>
              </w:rPr>
              <w:t>practice</w:t>
            </w:r>
            <w:r w:rsidR="005F504F">
              <w:rPr>
                <w:noProof/>
              </w:rPr>
              <w:t>. The amounts of monetary sanctions should</w:t>
            </w:r>
            <w:r w:rsidRPr="00193A9A">
              <w:rPr>
                <w:noProof/>
              </w:rPr>
              <w:t xml:space="preserve"> reflect the long-term harm caused by discrimination, provide redress for victims and drive profound change</w:t>
            </w:r>
            <w:r>
              <w:rPr>
                <w:noProof/>
              </w:rPr>
              <w:t>.</w:t>
            </w:r>
          </w:p>
          <w:p w14:paraId="45319058" w14:textId="44B56653" w:rsidR="0048711E" w:rsidRPr="00661A34" w:rsidRDefault="0048711E" w:rsidP="00661A34">
            <w:pPr>
              <w:pStyle w:val="TableListDash"/>
              <w:numPr>
                <w:ilvl w:val="0"/>
                <w:numId w:val="0"/>
              </w:numPr>
              <w:spacing w:before="240"/>
              <w:jc w:val="both"/>
              <w:rPr>
                <w:i/>
                <w:iCs/>
                <w:noProof/>
              </w:rPr>
            </w:pPr>
            <w:r w:rsidRPr="00661A34">
              <w:rPr>
                <w:i/>
                <w:iCs/>
                <w:noProof/>
              </w:rPr>
              <w:t xml:space="preserve">Member States should: </w:t>
            </w:r>
          </w:p>
          <w:p w14:paraId="2F7B2F4D" w14:textId="782F31A0" w:rsidR="0048711E" w:rsidRDefault="0048711E" w:rsidP="00661A34">
            <w:pPr>
              <w:pStyle w:val="TableListDash"/>
              <w:numPr>
                <w:ilvl w:val="0"/>
                <w:numId w:val="37"/>
              </w:numPr>
              <w:spacing w:before="240"/>
              <w:ind w:left="288" w:hanging="288"/>
              <w:jc w:val="both"/>
              <w:rPr>
                <w:noProof/>
              </w:rPr>
            </w:pPr>
            <w:r>
              <w:rPr>
                <w:noProof/>
              </w:rPr>
              <w:t xml:space="preserve">establish effective </w:t>
            </w:r>
            <w:r w:rsidRPr="0048711E">
              <w:rPr>
                <w:noProof/>
              </w:rPr>
              <w:t>sanctions for discrimination</w:t>
            </w:r>
            <w:r>
              <w:rPr>
                <w:noProof/>
              </w:rPr>
              <w:t xml:space="preserve"> involving</w:t>
            </w:r>
            <w:r w:rsidRPr="0048711E">
              <w:rPr>
                <w:noProof/>
              </w:rPr>
              <w:t xml:space="preserve"> large groups of non-identifiable victims, including </w:t>
            </w:r>
            <w:r>
              <w:rPr>
                <w:noProof/>
              </w:rPr>
              <w:t xml:space="preserve">in </w:t>
            </w:r>
            <w:r w:rsidRPr="0048711E">
              <w:rPr>
                <w:noProof/>
              </w:rPr>
              <w:t>cases stemming from the use of AI or automated systems</w:t>
            </w:r>
            <w:r>
              <w:rPr>
                <w:noProof/>
              </w:rPr>
              <w:t>.</w:t>
            </w:r>
          </w:p>
          <w:p w14:paraId="5210AB64" w14:textId="369AD876" w:rsidR="009C4145" w:rsidRDefault="009C4145" w:rsidP="00B61149">
            <w:pPr>
              <w:pStyle w:val="Text2"/>
              <w:spacing w:before="240"/>
              <w:ind w:left="0"/>
              <w:rPr>
                <w:noProof/>
              </w:rPr>
            </w:pPr>
            <w:r w:rsidRPr="00B61149">
              <w:rPr>
                <w:i/>
                <w:iCs/>
                <w:noProof/>
              </w:rPr>
              <w:t>The Commission will</w:t>
            </w:r>
            <w:r>
              <w:rPr>
                <w:noProof/>
              </w:rPr>
              <w:t xml:space="preserve">: </w:t>
            </w:r>
          </w:p>
          <w:p w14:paraId="74121502" w14:textId="4306E803" w:rsidR="00D4121D" w:rsidRDefault="00D4121D" w:rsidP="00D4121D">
            <w:pPr>
              <w:pStyle w:val="TableListDash"/>
              <w:numPr>
                <w:ilvl w:val="0"/>
                <w:numId w:val="37"/>
              </w:numPr>
              <w:jc w:val="both"/>
              <w:rPr>
                <w:noProof/>
              </w:rPr>
            </w:pPr>
            <w:r w:rsidRPr="00193A9A">
              <w:rPr>
                <w:noProof/>
              </w:rPr>
              <w:t xml:space="preserve">support the Member States by holding meetings </w:t>
            </w:r>
            <w:r>
              <w:rPr>
                <w:noProof/>
              </w:rPr>
              <w:t>to discuss</w:t>
            </w:r>
            <w:r w:rsidRPr="00193A9A">
              <w:rPr>
                <w:noProof/>
              </w:rPr>
              <w:t xml:space="preserve"> sanctions within the expert group on the implementation of EU equality law.</w:t>
            </w:r>
          </w:p>
        </w:tc>
      </w:tr>
    </w:tbl>
    <w:p w14:paraId="76C56796" w14:textId="77777777" w:rsidR="00FE3580" w:rsidRPr="00193A9A" w:rsidRDefault="00FE3580" w:rsidP="00D4121D">
      <w:pPr>
        <w:pStyle w:val="Text1"/>
        <w:ind w:left="0"/>
        <w:rPr>
          <w:noProof/>
        </w:rPr>
      </w:pPr>
    </w:p>
    <w:p w14:paraId="07DC4F21" w14:textId="44D2C03C" w:rsidR="009B3DD8" w:rsidRPr="00193A9A" w:rsidRDefault="00846E1C" w:rsidP="00D949BB">
      <w:pPr>
        <w:pStyle w:val="Heading1"/>
        <w:spacing w:before="0"/>
        <w:ind w:left="475" w:hanging="475"/>
        <w:rPr>
          <w:noProof/>
        </w:rPr>
      </w:pPr>
      <w:bookmarkStart w:id="12" w:name="_Toc213340804"/>
      <w:bookmarkStart w:id="13" w:name="_Toc214348086"/>
      <w:r w:rsidRPr="00193A9A">
        <w:rPr>
          <w:noProof/>
        </w:rPr>
        <w:t>D</w:t>
      </w:r>
      <w:r w:rsidR="006F7EA6" w:rsidRPr="00193A9A">
        <w:rPr>
          <w:noProof/>
        </w:rPr>
        <w:t>evelopments</w:t>
      </w:r>
      <w:r w:rsidR="009B3DD8" w:rsidRPr="00193A9A">
        <w:rPr>
          <w:noProof/>
        </w:rPr>
        <w:t xml:space="preserve"> </w:t>
      </w:r>
      <w:r w:rsidR="002676FD" w:rsidRPr="00193A9A">
        <w:rPr>
          <w:noProof/>
        </w:rPr>
        <w:t>common to both Directives</w:t>
      </w:r>
      <w:bookmarkEnd w:id="12"/>
      <w:bookmarkEnd w:id="13"/>
    </w:p>
    <w:p w14:paraId="704EBA10" w14:textId="463B3BCD" w:rsidR="006F7EA6" w:rsidRPr="00193A9A" w:rsidRDefault="0039290A" w:rsidP="0049476A">
      <w:pPr>
        <w:pStyle w:val="Text1"/>
        <w:rPr>
          <w:noProof/>
        </w:rPr>
      </w:pPr>
      <w:r w:rsidRPr="004637FD">
        <w:rPr>
          <w:noProof/>
        </w:rPr>
        <w:t>Since 2021, there have been developments in</w:t>
      </w:r>
      <w:r w:rsidR="004637FD">
        <w:rPr>
          <w:noProof/>
        </w:rPr>
        <w:t xml:space="preserve"> terms of</w:t>
      </w:r>
      <w:r w:rsidRPr="004637FD">
        <w:rPr>
          <w:noProof/>
        </w:rPr>
        <w:t xml:space="preserve"> legislation, implementation and application </w:t>
      </w:r>
      <w:r w:rsidR="00836DC3">
        <w:rPr>
          <w:noProof/>
        </w:rPr>
        <w:t>for</w:t>
      </w:r>
      <w:r w:rsidRPr="004637FD">
        <w:rPr>
          <w:noProof/>
        </w:rPr>
        <w:t xml:space="preserve"> </w:t>
      </w:r>
      <w:r w:rsidR="005C442C" w:rsidRPr="004637FD">
        <w:rPr>
          <w:noProof/>
        </w:rPr>
        <w:t xml:space="preserve">both </w:t>
      </w:r>
      <w:r w:rsidR="004A081E" w:rsidRPr="004637FD">
        <w:rPr>
          <w:noProof/>
        </w:rPr>
        <w:t>D</w:t>
      </w:r>
      <w:r w:rsidR="005C442C" w:rsidRPr="004637FD">
        <w:rPr>
          <w:noProof/>
        </w:rPr>
        <w:t>irectives</w:t>
      </w:r>
      <w:r w:rsidRPr="004637FD">
        <w:rPr>
          <w:noProof/>
        </w:rPr>
        <w:t xml:space="preserve">, </w:t>
      </w:r>
      <w:r w:rsidR="00836DC3">
        <w:rPr>
          <w:noProof/>
        </w:rPr>
        <w:t xml:space="preserve">while </w:t>
      </w:r>
      <w:r w:rsidRPr="004637FD">
        <w:rPr>
          <w:noProof/>
        </w:rPr>
        <w:t xml:space="preserve">external research </w:t>
      </w:r>
      <w:r w:rsidR="00836DC3">
        <w:rPr>
          <w:noProof/>
        </w:rPr>
        <w:t>has been carried out on</w:t>
      </w:r>
      <w:r w:rsidRPr="004637FD">
        <w:rPr>
          <w:noProof/>
        </w:rPr>
        <w:t xml:space="preserve"> the existing framework</w:t>
      </w:r>
      <w:r w:rsidR="005C442C" w:rsidRPr="004637FD">
        <w:rPr>
          <w:noProof/>
        </w:rPr>
        <w:t>, specific provision</w:t>
      </w:r>
      <w:r w:rsidR="006A7E34" w:rsidRPr="004637FD">
        <w:rPr>
          <w:noProof/>
        </w:rPr>
        <w:t>s</w:t>
      </w:r>
      <w:r w:rsidRPr="004637FD">
        <w:rPr>
          <w:noProof/>
        </w:rPr>
        <w:t xml:space="preserve"> and </w:t>
      </w:r>
      <w:r w:rsidR="005C442C" w:rsidRPr="004637FD">
        <w:rPr>
          <w:noProof/>
        </w:rPr>
        <w:t>the</w:t>
      </w:r>
      <w:r w:rsidR="00836DC3">
        <w:rPr>
          <w:noProof/>
        </w:rPr>
        <w:t xml:space="preserve"> application of the</w:t>
      </w:r>
      <w:r w:rsidR="005C442C" w:rsidRPr="004637FD">
        <w:rPr>
          <w:noProof/>
        </w:rPr>
        <w:t xml:space="preserve"> </w:t>
      </w:r>
      <w:r w:rsidR="00C95E51" w:rsidRPr="004637FD">
        <w:rPr>
          <w:noProof/>
        </w:rPr>
        <w:t>D</w:t>
      </w:r>
      <w:r w:rsidR="005C442C" w:rsidRPr="004637FD">
        <w:rPr>
          <w:noProof/>
        </w:rPr>
        <w:t>irective</w:t>
      </w:r>
      <w:r w:rsidR="00836DC3">
        <w:rPr>
          <w:noProof/>
        </w:rPr>
        <w:t>s</w:t>
      </w:r>
      <w:r w:rsidRPr="004637FD">
        <w:rPr>
          <w:noProof/>
        </w:rPr>
        <w:t>.</w:t>
      </w:r>
      <w:r w:rsidR="008019E8" w:rsidRPr="004637FD">
        <w:rPr>
          <w:noProof/>
        </w:rPr>
        <w:t xml:space="preserve"> The topics</w:t>
      </w:r>
      <w:r w:rsidR="0034258D" w:rsidRPr="004637FD">
        <w:rPr>
          <w:noProof/>
        </w:rPr>
        <w:t xml:space="preserve"> discussed</w:t>
      </w:r>
      <w:r w:rsidR="008019E8" w:rsidRPr="004637FD">
        <w:rPr>
          <w:noProof/>
        </w:rPr>
        <w:t xml:space="preserve"> below </w:t>
      </w:r>
      <w:r w:rsidR="00836DC3">
        <w:rPr>
          <w:noProof/>
        </w:rPr>
        <w:t>are based on</w:t>
      </w:r>
      <w:r w:rsidR="008019E8" w:rsidRPr="004637FD">
        <w:rPr>
          <w:noProof/>
        </w:rPr>
        <w:t xml:space="preserve"> the</w:t>
      </w:r>
      <w:r w:rsidR="000858CC" w:rsidRPr="004637FD">
        <w:rPr>
          <w:noProof/>
        </w:rPr>
        <w:t xml:space="preserve"> issues identified in the previous report, </w:t>
      </w:r>
      <w:r w:rsidR="007304E8" w:rsidRPr="004637FD">
        <w:rPr>
          <w:noProof/>
        </w:rPr>
        <w:t xml:space="preserve">subsequent </w:t>
      </w:r>
      <w:r w:rsidR="008019E8" w:rsidRPr="004637FD">
        <w:rPr>
          <w:noProof/>
        </w:rPr>
        <w:t>developments</w:t>
      </w:r>
      <w:r w:rsidR="003A7486" w:rsidRPr="004637FD">
        <w:rPr>
          <w:noProof/>
        </w:rPr>
        <w:t xml:space="preserve"> and</w:t>
      </w:r>
      <w:r w:rsidR="008019E8" w:rsidRPr="004637FD">
        <w:rPr>
          <w:noProof/>
        </w:rPr>
        <w:t xml:space="preserve"> the feedback received during targeted consultations.</w:t>
      </w:r>
    </w:p>
    <w:tbl>
      <w:tblPr>
        <w:tblStyle w:val="EurolookClassicPurple2"/>
        <w:tblW w:w="0" w:type="auto"/>
        <w:tblInd w:w="442" w:type="dxa"/>
        <w:tblLook w:val="0620" w:firstRow="1" w:lastRow="0" w:firstColumn="0" w:lastColumn="0" w:noHBand="1" w:noVBand="1"/>
      </w:tblPr>
      <w:tblGrid>
        <w:gridCol w:w="8160"/>
      </w:tblGrid>
      <w:tr w:rsidR="00626A82" w:rsidRPr="00193A9A" w14:paraId="46178A4C"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7986DEA0" w14:textId="77777777" w:rsidR="00626A82" w:rsidRPr="00193A9A" w:rsidRDefault="00626A82" w:rsidP="004F2E3D">
            <w:pPr>
              <w:pStyle w:val="TableText"/>
              <w:jc w:val="both"/>
              <w:rPr>
                <w:b/>
                <w:bCs/>
                <w:noProof/>
              </w:rPr>
            </w:pPr>
            <w:r w:rsidRPr="00193A9A">
              <w:rPr>
                <w:b/>
                <w:bCs/>
                <w:noProof/>
              </w:rPr>
              <w:t>Key takeaways</w:t>
            </w:r>
          </w:p>
        </w:tc>
      </w:tr>
      <w:tr w:rsidR="00626A82" w:rsidRPr="00193A9A" w14:paraId="5634F911" w14:textId="77777777" w:rsidTr="004F2E3D">
        <w:trPr>
          <w:cantSplit/>
        </w:trPr>
        <w:tc>
          <w:tcPr>
            <w:tcW w:w="8160" w:type="dxa"/>
          </w:tcPr>
          <w:p w14:paraId="519A1919" w14:textId="0066C320" w:rsidR="00626A82" w:rsidRPr="00193A9A" w:rsidRDefault="00D518AC" w:rsidP="007E37C0">
            <w:pPr>
              <w:pStyle w:val="ListDash2"/>
              <w:numPr>
                <w:ilvl w:val="0"/>
                <w:numId w:val="3"/>
              </w:numPr>
              <w:rPr>
                <w:noProof/>
              </w:rPr>
            </w:pPr>
            <w:r w:rsidRPr="00193A9A">
              <w:rPr>
                <w:noProof/>
              </w:rPr>
              <w:t xml:space="preserve">Member States </w:t>
            </w:r>
            <w:r w:rsidR="00F54E53">
              <w:rPr>
                <w:noProof/>
              </w:rPr>
              <w:t xml:space="preserve">provide </w:t>
            </w:r>
            <w:r w:rsidRPr="00193A9A">
              <w:rPr>
                <w:noProof/>
              </w:rPr>
              <w:t>protect</w:t>
            </w:r>
            <w:r w:rsidR="00F54E53">
              <w:rPr>
                <w:noProof/>
              </w:rPr>
              <w:t>ion</w:t>
            </w:r>
            <w:r w:rsidRPr="00193A9A">
              <w:rPr>
                <w:noProof/>
              </w:rPr>
              <w:t xml:space="preserve"> </w:t>
            </w:r>
            <w:r w:rsidR="00DF47D0" w:rsidRPr="00193A9A">
              <w:rPr>
                <w:noProof/>
              </w:rPr>
              <w:t>against harassment, instructions to discriminate and victimisation</w:t>
            </w:r>
            <w:r w:rsidRPr="00193A9A">
              <w:rPr>
                <w:noProof/>
              </w:rPr>
              <w:t>. Th</w:t>
            </w:r>
            <w:r w:rsidR="00F54E53">
              <w:rPr>
                <w:noProof/>
              </w:rPr>
              <w:t>is</w:t>
            </w:r>
            <w:r w:rsidRPr="00193A9A">
              <w:rPr>
                <w:noProof/>
              </w:rPr>
              <w:t xml:space="preserve"> protection var</w:t>
            </w:r>
            <w:r w:rsidR="00F54E53">
              <w:rPr>
                <w:noProof/>
              </w:rPr>
              <w:t>ies</w:t>
            </w:r>
            <w:r w:rsidRPr="00193A9A">
              <w:rPr>
                <w:noProof/>
              </w:rPr>
              <w:t xml:space="preserve"> </w:t>
            </w:r>
            <w:r w:rsidR="00DF47D0" w:rsidRPr="00193A9A">
              <w:rPr>
                <w:noProof/>
              </w:rPr>
              <w:t xml:space="preserve">widely across </w:t>
            </w:r>
            <w:r w:rsidR="00A620A6">
              <w:rPr>
                <w:noProof/>
              </w:rPr>
              <w:t xml:space="preserve">the </w:t>
            </w:r>
            <w:r w:rsidR="00DF47D0" w:rsidRPr="00193A9A">
              <w:rPr>
                <w:noProof/>
              </w:rPr>
              <w:t xml:space="preserve">Member States and </w:t>
            </w:r>
            <w:r w:rsidR="00F54E53">
              <w:rPr>
                <w:noProof/>
              </w:rPr>
              <w:t>is</w:t>
            </w:r>
            <w:r w:rsidRPr="00193A9A">
              <w:rPr>
                <w:noProof/>
              </w:rPr>
              <w:t xml:space="preserve"> sometimes</w:t>
            </w:r>
            <w:r w:rsidR="00DF47D0" w:rsidRPr="00193A9A">
              <w:rPr>
                <w:noProof/>
              </w:rPr>
              <w:t xml:space="preserve"> limited in </w:t>
            </w:r>
            <w:r w:rsidR="00DF47D0" w:rsidRPr="00F54E53">
              <w:rPr>
                <w:noProof/>
              </w:rPr>
              <w:t>practice</w:t>
            </w:r>
            <w:r w:rsidR="007E37C0" w:rsidRPr="00193A9A">
              <w:rPr>
                <w:noProof/>
              </w:rPr>
              <w:t>.</w:t>
            </w:r>
          </w:p>
          <w:p w14:paraId="28C96ADD" w14:textId="4724D86B" w:rsidR="00DF47D0" w:rsidRPr="00193A9A" w:rsidRDefault="00F54E53" w:rsidP="000B5FBE">
            <w:pPr>
              <w:pStyle w:val="ListDash2"/>
              <w:numPr>
                <w:ilvl w:val="0"/>
                <w:numId w:val="3"/>
              </w:numPr>
              <w:rPr>
                <w:noProof/>
              </w:rPr>
            </w:pPr>
            <w:r>
              <w:rPr>
                <w:noProof/>
              </w:rPr>
              <w:t>A</w:t>
            </w:r>
            <w:r w:rsidR="00D518AC" w:rsidRPr="00193A9A">
              <w:rPr>
                <w:noProof/>
              </w:rPr>
              <w:t>wareness of support services among ethnic groups</w:t>
            </w:r>
            <w:r w:rsidR="009C4145">
              <w:rPr>
                <w:noProof/>
              </w:rPr>
              <w:t xml:space="preserve"> and people with a migrant background</w:t>
            </w:r>
            <w:r w:rsidR="00D518AC" w:rsidRPr="00193A9A">
              <w:rPr>
                <w:noProof/>
              </w:rPr>
              <w:t xml:space="preserve"> has increased slightly since the </w:t>
            </w:r>
            <w:r>
              <w:rPr>
                <w:noProof/>
              </w:rPr>
              <w:t>last</w:t>
            </w:r>
            <w:r w:rsidRPr="00193A9A">
              <w:rPr>
                <w:noProof/>
              </w:rPr>
              <w:t xml:space="preserve"> </w:t>
            </w:r>
            <w:r w:rsidR="00D518AC" w:rsidRPr="00193A9A">
              <w:rPr>
                <w:noProof/>
              </w:rPr>
              <w:t>report.</w:t>
            </w:r>
            <w:r w:rsidR="000B5FBE" w:rsidRPr="00193A9A">
              <w:rPr>
                <w:noProof/>
              </w:rPr>
              <w:t xml:space="preserve"> Most Member States have implemented, or are continuing to implement, </w:t>
            </w:r>
            <w:r w:rsidR="000B5FBE" w:rsidRPr="00F54E53">
              <w:rPr>
                <w:noProof/>
              </w:rPr>
              <w:t>practices</w:t>
            </w:r>
            <w:r w:rsidR="000B5FBE" w:rsidRPr="00193A9A">
              <w:rPr>
                <w:noProof/>
              </w:rPr>
              <w:t xml:space="preserve"> that facilitate access to justice.</w:t>
            </w:r>
            <w:r w:rsidR="00D518AC" w:rsidRPr="00193A9A">
              <w:rPr>
                <w:noProof/>
              </w:rPr>
              <w:t xml:space="preserve"> However, l</w:t>
            </w:r>
            <w:r w:rsidR="00DF47D0" w:rsidRPr="00193A9A">
              <w:rPr>
                <w:noProof/>
              </w:rPr>
              <w:t xml:space="preserve">ow awareness of rights </w:t>
            </w:r>
            <w:r>
              <w:rPr>
                <w:noProof/>
              </w:rPr>
              <w:t>remains</w:t>
            </w:r>
            <w:r w:rsidR="00DF47D0" w:rsidRPr="00193A9A">
              <w:rPr>
                <w:noProof/>
              </w:rPr>
              <w:t xml:space="preserve"> a significant challenge.</w:t>
            </w:r>
          </w:p>
          <w:p w14:paraId="5215636C" w14:textId="6B8F4F78" w:rsidR="00DF47D0" w:rsidRPr="00193A9A" w:rsidRDefault="00DF47D0" w:rsidP="00DF47D0">
            <w:pPr>
              <w:pStyle w:val="ListDash2"/>
              <w:numPr>
                <w:ilvl w:val="0"/>
                <w:numId w:val="3"/>
              </w:numPr>
              <w:rPr>
                <w:noProof/>
              </w:rPr>
            </w:pPr>
            <w:r w:rsidRPr="00193A9A">
              <w:rPr>
                <w:noProof/>
              </w:rPr>
              <w:t xml:space="preserve">Courts and legal practitioners </w:t>
            </w:r>
            <w:r w:rsidR="00A04EF9">
              <w:rPr>
                <w:noProof/>
              </w:rPr>
              <w:t>often</w:t>
            </w:r>
            <w:r w:rsidR="00A04EF9" w:rsidRPr="00193A9A">
              <w:rPr>
                <w:noProof/>
              </w:rPr>
              <w:t xml:space="preserve"> </w:t>
            </w:r>
            <w:r w:rsidRPr="00193A9A">
              <w:rPr>
                <w:noProof/>
              </w:rPr>
              <w:t xml:space="preserve">lack understanding of </w:t>
            </w:r>
            <w:r w:rsidR="00F54E53">
              <w:rPr>
                <w:noProof/>
              </w:rPr>
              <w:t xml:space="preserve">the </w:t>
            </w:r>
            <w:r w:rsidR="00A04EF9">
              <w:rPr>
                <w:noProof/>
              </w:rPr>
              <w:t xml:space="preserve">Directives’ </w:t>
            </w:r>
            <w:r w:rsidR="00F54E53">
              <w:rPr>
                <w:noProof/>
              </w:rPr>
              <w:t xml:space="preserve">rules relating to </w:t>
            </w:r>
            <w:r w:rsidR="00A620A6">
              <w:rPr>
                <w:noProof/>
              </w:rPr>
              <w:t xml:space="preserve">the </w:t>
            </w:r>
            <w:r w:rsidRPr="00193A9A">
              <w:rPr>
                <w:noProof/>
              </w:rPr>
              <w:t>burden of proof.</w:t>
            </w:r>
          </w:p>
          <w:p w14:paraId="1993F67C" w14:textId="5EE84CC3" w:rsidR="00DF47D0" w:rsidRPr="00193A9A" w:rsidRDefault="00D518AC" w:rsidP="00DF47D0">
            <w:pPr>
              <w:pStyle w:val="ListDash2"/>
              <w:numPr>
                <w:ilvl w:val="0"/>
                <w:numId w:val="3"/>
              </w:numPr>
              <w:rPr>
                <w:noProof/>
              </w:rPr>
            </w:pPr>
            <w:r w:rsidRPr="00193A9A">
              <w:rPr>
                <w:noProof/>
              </w:rPr>
              <w:t>Most Member States have measures in place to promote dialogue with social partners and civil society. However, this is not systematic</w:t>
            </w:r>
            <w:r w:rsidR="00F54E53">
              <w:rPr>
                <w:noProof/>
              </w:rPr>
              <w:t>ally the case</w:t>
            </w:r>
            <w:r w:rsidRPr="00193A9A">
              <w:rPr>
                <w:noProof/>
              </w:rPr>
              <w:t xml:space="preserve"> across all Member States or for all grounds of discrimination. </w:t>
            </w:r>
            <w:r w:rsidR="00D237AC" w:rsidRPr="00193A9A">
              <w:rPr>
                <w:noProof/>
              </w:rPr>
              <w:t>In addition</w:t>
            </w:r>
            <w:r w:rsidR="00DF47D0" w:rsidRPr="00193A9A">
              <w:rPr>
                <w:noProof/>
              </w:rPr>
              <w:t xml:space="preserve">, most civil society organisations </w:t>
            </w:r>
            <w:r w:rsidR="00F54E53">
              <w:rPr>
                <w:noProof/>
              </w:rPr>
              <w:t>say that they</w:t>
            </w:r>
            <w:r w:rsidR="00DF47D0" w:rsidRPr="00193A9A">
              <w:rPr>
                <w:noProof/>
              </w:rPr>
              <w:t xml:space="preserve"> face persistent challenges.</w:t>
            </w:r>
          </w:p>
          <w:p w14:paraId="63C34B84" w14:textId="713C13A3" w:rsidR="007E37C0" w:rsidRPr="00193A9A" w:rsidRDefault="00DF47D0" w:rsidP="00DF47D0">
            <w:pPr>
              <w:pStyle w:val="ListDash2"/>
              <w:numPr>
                <w:ilvl w:val="0"/>
                <w:numId w:val="3"/>
              </w:numPr>
              <w:rPr>
                <w:noProof/>
              </w:rPr>
            </w:pPr>
            <w:r w:rsidRPr="00193A9A">
              <w:rPr>
                <w:noProof/>
              </w:rPr>
              <w:t>Nearly all Member States allow or encourage positive action</w:t>
            </w:r>
            <w:r w:rsidR="00F54E53">
              <w:rPr>
                <w:noProof/>
              </w:rPr>
              <w:t xml:space="preserve"> and</w:t>
            </w:r>
            <w:r w:rsidRPr="00193A9A">
              <w:rPr>
                <w:noProof/>
              </w:rPr>
              <w:t xml:space="preserve"> very few implementation challenges</w:t>
            </w:r>
            <w:r w:rsidR="0034258D">
              <w:rPr>
                <w:noProof/>
              </w:rPr>
              <w:t xml:space="preserve"> were reported</w:t>
            </w:r>
            <w:r w:rsidRPr="00193A9A">
              <w:rPr>
                <w:noProof/>
              </w:rPr>
              <w:t>.</w:t>
            </w:r>
          </w:p>
        </w:tc>
      </w:tr>
    </w:tbl>
    <w:p w14:paraId="4EA7293C" w14:textId="14B5D10E" w:rsidR="009979EB" w:rsidRPr="00193A9A" w:rsidRDefault="009979EB" w:rsidP="00E8758D">
      <w:pPr>
        <w:pStyle w:val="Heading2"/>
        <w:spacing w:before="240"/>
        <w:ind w:left="1195"/>
        <w:rPr>
          <w:noProof/>
        </w:rPr>
      </w:pPr>
      <w:bookmarkStart w:id="14" w:name="_Toc214348087"/>
      <w:r w:rsidRPr="00193A9A">
        <w:rPr>
          <w:noProof/>
        </w:rPr>
        <w:t>The concept of ‘discrimination’</w:t>
      </w:r>
      <w:bookmarkEnd w:id="14"/>
    </w:p>
    <w:p w14:paraId="12E5B3E9" w14:textId="2A399623" w:rsidR="00697048" w:rsidRPr="00193A9A" w:rsidRDefault="000858CC" w:rsidP="003D24AB">
      <w:pPr>
        <w:pStyle w:val="Text3"/>
        <w:spacing w:after="0"/>
        <w:ind w:left="446"/>
        <w:rPr>
          <w:noProof/>
        </w:rPr>
      </w:pPr>
      <w:r w:rsidRPr="00193A9A">
        <w:rPr>
          <w:noProof/>
        </w:rPr>
        <w:t xml:space="preserve">As highlighted in the previous report, </w:t>
      </w:r>
      <w:r w:rsidR="007433FA" w:rsidRPr="00193A9A">
        <w:rPr>
          <w:noProof/>
        </w:rPr>
        <w:t xml:space="preserve">a number of issues arise around </w:t>
      </w:r>
      <w:r w:rsidRPr="00193A9A">
        <w:rPr>
          <w:noProof/>
        </w:rPr>
        <w:t>the concept of discrimination. Besides</w:t>
      </w:r>
      <w:r w:rsidR="00697048" w:rsidRPr="00193A9A">
        <w:rPr>
          <w:noProof/>
        </w:rPr>
        <w:t xml:space="preserve"> </w:t>
      </w:r>
      <w:r w:rsidR="00A04EF9">
        <w:rPr>
          <w:noProof/>
        </w:rPr>
        <w:t xml:space="preserve">defining </w:t>
      </w:r>
      <w:r w:rsidR="00697048" w:rsidRPr="00193A9A">
        <w:rPr>
          <w:noProof/>
        </w:rPr>
        <w:t>‘direct’ and ‘indirect’ discrimination (</w:t>
      </w:r>
      <w:r w:rsidR="00697048" w:rsidRPr="00193A9A">
        <w:rPr>
          <w:rStyle w:val="FootnoteReference"/>
          <w:noProof/>
        </w:rPr>
        <w:footnoteReference w:id="35"/>
      </w:r>
      <w:r w:rsidR="00697048" w:rsidRPr="00193A9A">
        <w:rPr>
          <w:noProof/>
        </w:rPr>
        <w:t xml:space="preserve">), the Directives </w:t>
      </w:r>
      <w:r w:rsidR="007304E8" w:rsidRPr="00193A9A">
        <w:rPr>
          <w:noProof/>
        </w:rPr>
        <w:t xml:space="preserve">also </w:t>
      </w:r>
      <w:r w:rsidR="003A7486" w:rsidRPr="00193A9A">
        <w:rPr>
          <w:noProof/>
        </w:rPr>
        <w:t>prohibit ‘instruction to discriminate’</w:t>
      </w:r>
      <w:r w:rsidRPr="00193A9A">
        <w:rPr>
          <w:noProof/>
        </w:rPr>
        <w:t xml:space="preserve"> and </w:t>
      </w:r>
      <w:r w:rsidR="003A7486" w:rsidRPr="00193A9A">
        <w:rPr>
          <w:noProof/>
        </w:rPr>
        <w:t>‘harassment’</w:t>
      </w:r>
      <w:r w:rsidRPr="00193A9A">
        <w:rPr>
          <w:noProof/>
        </w:rPr>
        <w:t>. The</w:t>
      </w:r>
      <w:r w:rsidR="007304E8" w:rsidRPr="00193A9A">
        <w:rPr>
          <w:noProof/>
        </w:rPr>
        <w:t>re are also further</w:t>
      </w:r>
      <w:r w:rsidRPr="00193A9A">
        <w:rPr>
          <w:noProof/>
        </w:rPr>
        <w:t xml:space="preserve"> </w:t>
      </w:r>
      <w:r w:rsidR="007433FA" w:rsidRPr="00193A9A">
        <w:rPr>
          <w:noProof/>
        </w:rPr>
        <w:t xml:space="preserve">forms of discrimination, </w:t>
      </w:r>
      <w:r w:rsidR="007304E8" w:rsidRPr="00193A9A">
        <w:rPr>
          <w:noProof/>
        </w:rPr>
        <w:t xml:space="preserve">such as </w:t>
      </w:r>
      <w:r w:rsidRPr="00193A9A">
        <w:rPr>
          <w:noProof/>
        </w:rPr>
        <w:t xml:space="preserve">discrimination ‘by association’ </w:t>
      </w:r>
      <w:r w:rsidR="007433FA" w:rsidRPr="00193A9A">
        <w:rPr>
          <w:noProof/>
        </w:rPr>
        <w:t>and</w:t>
      </w:r>
      <w:r w:rsidRPr="00193A9A">
        <w:rPr>
          <w:noProof/>
        </w:rPr>
        <w:t xml:space="preserve"> ‘by assumption’</w:t>
      </w:r>
      <w:r w:rsidR="007433FA" w:rsidRPr="00193A9A">
        <w:rPr>
          <w:noProof/>
        </w:rPr>
        <w:t>.</w:t>
      </w:r>
    </w:p>
    <w:p w14:paraId="0B5B79B2" w14:textId="77777777" w:rsidR="00697048" w:rsidRPr="00193A9A" w:rsidRDefault="00697048" w:rsidP="003D24AB">
      <w:pPr>
        <w:pStyle w:val="Text3"/>
        <w:spacing w:after="0"/>
        <w:ind w:left="446"/>
        <w:rPr>
          <w:noProof/>
        </w:rPr>
      </w:pPr>
    </w:p>
    <w:p w14:paraId="76ADBA74" w14:textId="23446BBB" w:rsidR="001C121A" w:rsidRPr="00193A9A" w:rsidRDefault="001C121A" w:rsidP="003D24AB">
      <w:pPr>
        <w:pStyle w:val="Text3"/>
        <w:spacing w:after="0"/>
        <w:ind w:left="446"/>
        <w:rPr>
          <w:noProof/>
        </w:rPr>
      </w:pPr>
      <w:r w:rsidRPr="00193A9A">
        <w:rPr>
          <w:b/>
          <w:bCs/>
          <w:noProof/>
        </w:rPr>
        <w:t>Instruction to discriminate</w:t>
      </w:r>
    </w:p>
    <w:p w14:paraId="01D6E7C2" w14:textId="1A948A76" w:rsidR="001C121A" w:rsidRPr="00193A9A" w:rsidRDefault="001C121A" w:rsidP="001C121A">
      <w:pPr>
        <w:pStyle w:val="Text3"/>
        <w:spacing w:before="240" w:after="0"/>
        <w:ind w:left="446"/>
        <w:rPr>
          <w:noProof/>
        </w:rPr>
      </w:pPr>
      <w:r w:rsidRPr="00193A9A">
        <w:rPr>
          <w:noProof/>
        </w:rPr>
        <w:t xml:space="preserve">The Directives </w:t>
      </w:r>
      <w:r w:rsidR="00FD47F1">
        <w:rPr>
          <w:noProof/>
        </w:rPr>
        <w:t>state</w:t>
      </w:r>
      <w:r w:rsidR="00FD47F1" w:rsidRPr="00193A9A">
        <w:rPr>
          <w:noProof/>
        </w:rPr>
        <w:t xml:space="preserve"> </w:t>
      </w:r>
      <w:r w:rsidRPr="00193A9A">
        <w:rPr>
          <w:noProof/>
        </w:rPr>
        <w:t xml:space="preserve">that ‘an instruction to discriminate against persons’ on the grounds specified in the Directives </w:t>
      </w:r>
      <w:r w:rsidR="002944AE">
        <w:rPr>
          <w:noProof/>
        </w:rPr>
        <w:t>is to</w:t>
      </w:r>
      <w:r w:rsidR="002944AE" w:rsidRPr="00193A9A">
        <w:rPr>
          <w:noProof/>
        </w:rPr>
        <w:t xml:space="preserve"> </w:t>
      </w:r>
      <w:r w:rsidRPr="00193A9A">
        <w:rPr>
          <w:noProof/>
        </w:rPr>
        <w:t>be deemed to constitute discrimination (</w:t>
      </w:r>
      <w:r w:rsidRPr="00193A9A">
        <w:rPr>
          <w:rStyle w:val="FootnoteReference"/>
          <w:noProof/>
        </w:rPr>
        <w:footnoteReference w:id="36"/>
      </w:r>
      <w:r w:rsidRPr="00193A9A">
        <w:rPr>
          <w:noProof/>
        </w:rPr>
        <w:t>).</w:t>
      </w:r>
    </w:p>
    <w:p w14:paraId="2C85BB72" w14:textId="73E89D2F" w:rsidR="001C121A" w:rsidRPr="00193A9A" w:rsidRDefault="006423FB" w:rsidP="006423FB">
      <w:pPr>
        <w:pStyle w:val="Text3"/>
        <w:spacing w:before="240" w:after="0"/>
        <w:ind w:left="446"/>
        <w:rPr>
          <w:noProof/>
        </w:rPr>
      </w:pPr>
      <w:r w:rsidRPr="00193A9A">
        <w:rPr>
          <w:noProof/>
        </w:rPr>
        <w:t>Following the adoption of the Directives, the concept of ‘instruction to discriminate’ was introduced into the legal systems of all Member States. However, d</w:t>
      </w:r>
      <w:r w:rsidR="001C121A" w:rsidRPr="00193A9A">
        <w:rPr>
          <w:noProof/>
        </w:rPr>
        <w:t xml:space="preserve">ue to the general nature of the prohibition, the regulatory framework in </w:t>
      </w:r>
      <w:r w:rsidR="00EF1F5B">
        <w:rPr>
          <w:noProof/>
        </w:rPr>
        <w:t xml:space="preserve">the </w:t>
      </w:r>
      <w:r w:rsidR="001C121A" w:rsidRPr="00193A9A">
        <w:rPr>
          <w:noProof/>
        </w:rPr>
        <w:t xml:space="preserve">Member States is diverse and domestic </w:t>
      </w:r>
      <w:r w:rsidR="004A70F3">
        <w:rPr>
          <w:noProof/>
        </w:rPr>
        <w:t>case-law</w:t>
      </w:r>
      <w:r w:rsidR="001C121A" w:rsidRPr="00193A9A">
        <w:rPr>
          <w:noProof/>
        </w:rPr>
        <w:t xml:space="preserve"> is scarce.</w:t>
      </w:r>
    </w:p>
    <w:p w14:paraId="2174C036" w14:textId="1E77DC6F" w:rsidR="001C121A" w:rsidRPr="00193A9A" w:rsidRDefault="001C121A" w:rsidP="001C121A">
      <w:pPr>
        <w:pStyle w:val="Text3"/>
        <w:spacing w:before="240" w:after="0"/>
        <w:ind w:left="446"/>
        <w:rPr>
          <w:noProof/>
        </w:rPr>
      </w:pPr>
      <w:r w:rsidRPr="00193A9A">
        <w:rPr>
          <w:noProof/>
        </w:rPr>
        <w:t>In addition to</w:t>
      </w:r>
      <w:r w:rsidR="00A04EF9">
        <w:rPr>
          <w:noProof/>
        </w:rPr>
        <w:t xml:space="preserve"> the prohibition of</w:t>
      </w:r>
      <w:r w:rsidRPr="00193A9A">
        <w:rPr>
          <w:noProof/>
        </w:rPr>
        <w:t xml:space="preserve"> explicit instructions to discriminate, 22 Member States consider that their domestic legislation </w:t>
      </w:r>
      <w:r w:rsidR="00EF1F5B">
        <w:rPr>
          <w:noProof/>
        </w:rPr>
        <w:t xml:space="preserve">also </w:t>
      </w:r>
      <w:r w:rsidRPr="00193A9A">
        <w:rPr>
          <w:noProof/>
        </w:rPr>
        <w:t xml:space="preserve">prohibits implicit instructions, such as expressions of preference or encouragement to discriminate on one or more protected grounds. In seven Member States, there must </w:t>
      </w:r>
      <w:r w:rsidR="00EF1F5B">
        <w:rPr>
          <w:noProof/>
        </w:rPr>
        <w:t>be</w:t>
      </w:r>
      <w:r w:rsidR="00EF1F5B" w:rsidRPr="00193A9A">
        <w:rPr>
          <w:noProof/>
        </w:rPr>
        <w:t xml:space="preserve"> </w:t>
      </w:r>
      <w:r w:rsidRPr="00193A9A">
        <w:rPr>
          <w:noProof/>
        </w:rPr>
        <w:t xml:space="preserve">a hierarchical relationship between the </w:t>
      </w:r>
      <w:r w:rsidR="00EF1F5B">
        <w:rPr>
          <w:noProof/>
        </w:rPr>
        <w:t>person giving the instruction</w:t>
      </w:r>
      <w:r w:rsidR="00EF1F5B" w:rsidRPr="00193A9A">
        <w:rPr>
          <w:noProof/>
        </w:rPr>
        <w:t xml:space="preserve"> </w:t>
      </w:r>
      <w:r w:rsidRPr="00193A9A">
        <w:rPr>
          <w:noProof/>
        </w:rPr>
        <w:t xml:space="preserve">and the </w:t>
      </w:r>
      <w:r w:rsidR="00EF1F5B">
        <w:rPr>
          <w:noProof/>
        </w:rPr>
        <w:t>person receiving the instruction</w:t>
      </w:r>
      <w:r w:rsidR="00EF1F5B" w:rsidRPr="00193A9A">
        <w:rPr>
          <w:noProof/>
        </w:rPr>
        <w:t xml:space="preserve"> </w:t>
      </w:r>
      <w:r w:rsidRPr="00193A9A">
        <w:rPr>
          <w:noProof/>
        </w:rPr>
        <w:t xml:space="preserve">to trigger protection against instructions to discriminate. Finally, in 20 Member States, </w:t>
      </w:r>
      <w:r w:rsidR="00EF1F5B">
        <w:rPr>
          <w:noProof/>
        </w:rPr>
        <w:t>both</w:t>
      </w:r>
      <w:r w:rsidRPr="00193A9A">
        <w:rPr>
          <w:noProof/>
        </w:rPr>
        <w:t xml:space="preserve"> the </w:t>
      </w:r>
      <w:r w:rsidR="00EF1F5B">
        <w:rPr>
          <w:noProof/>
        </w:rPr>
        <w:t>person giving the instruction</w:t>
      </w:r>
      <w:r w:rsidR="00EF1F5B" w:rsidRPr="00193A9A">
        <w:rPr>
          <w:noProof/>
        </w:rPr>
        <w:t xml:space="preserve"> </w:t>
      </w:r>
      <w:r w:rsidR="00EF1F5B">
        <w:rPr>
          <w:noProof/>
        </w:rPr>
        <w:t>and</w:t>
      </w:r>
      <w:r w:rsidRPr="00193A9A">
        <w:rPr>
          <w:noProof/>
        </w:rPr>
        <w:t xml:space="preserve"> the person receiving the instruction can be held liable</w:t>
      </w:r>
      <w:r w:rsidR="00CA6862">
        <w:rPr>
          <w:noProof/>
        </w:rPr>
        <w:t xml:space="preserve"> </w:t>
      </w:r>
      <w:r w:rsidR="007304E8" w:rsidRPr="00193A9A">
        <w:rPr>
          <w:noProof/>
        </w:rPr>
        <w:t>(</w:t>
      </w:r>
      <w:r w:rsidR="007304E8" w:rsidRPr="00193A9A">
        <w:rPr>
          <w:rStyle w:val="FootnoteReference"/>
          <w:noProof/>
        </w:rPr>
        <w:footnoteReference w:id="37"/>
      </w:r>
      <w:r w:rsidR="007304E8" w:rsidRPr="00193A9A">
        <w:rPr>
          <w:noProof/>
        </w:rPr>
        <w:t>)</w:t>
      </w:r>
      <w:r w:rsidR="001A4A39" w:rsidRPr="00193A9A">
        <w:rPr>
          <w:noProof/>
        </w:rPr>
        <w:t>.</w:t>
      </w:r>
    </w:p>
    <w:p w14:paraId="56BE0369" w14:textId="07EA5F0A" w:rsidR="001C121A" w:rsidRPr="00193A9A" w:rsidRDefault="001C121A" w:rsidP="001C121A">
      <w:pPr>
        <w:pStyle w:val="Text3"/>
        <w:spacing w:before="240" w:after="0"/>
        <w:ind w:left="446"/>
        <w:rPr>
          <w:noProof/>
        </w:rPr>
      </w:pPr>
      <w:r w:rsidRPr="00193A9A">
        <w:rPr>
          <w:noProof/>
        </w:rPr>
        <w:t>In a recent report on instructions to discriminate (</w:t>
      </w:r>
      <w:r w:rsidRPr="00193A9A">
        <w:rPr>
          <w:rStyle w:val="FootnoteReference"/>
          <w:noProof/>
        </w:rPr>
        <w:footnoteReference w:id="38"/>
      </w:r>
      <w:r w:rsidRPr="00193A9A">
        <w:rPr>
          <w:noProof/>
        </w:rPr>
        <w:t xml:space="preserve">), experts </w:t>
      </w:r>
      <w:r w:rsidR="00E42340">
        <w:rPr>
          <w:noProof/>
        </w:rPr>
        <w:t>identified</w:t>
      </w:r>
      <w:r w:rsidRPr="00193A9A">
        <w:rPr>
          <w:noProof/>
        </w:rPr>
        <w:t xml:space="preserve"> 23 cases between 2002 and 2025</w:t>
      </w:r>
      <w:r w:rsidR="00E42340">
        <w:rPr>
          <w:noProof/>
        </w:rPr>
        <w:t>.</w:t>
      </w:r>
      <w:r w:rsidRPr="00193A9A">
        <w:rPr>
          <w:noProof/>
        </w:rPr>
        <w:t xml:space="preserve"> </w:t>
      </w:r>
      <w:r w:rsidR="00E42340">
        <w:rPr>
          <w:noProof/>
        </w:rPr>
        <w:t xml:space="preserve">Of those cases, </w:t>
      </w:r>
      <w:r w:rsidRPr="00193A9A">
        <w:rPr>
          <w:noProof/>
        </w:rPr>
        <w:t xml:space="preserve">14 concerned access to and supply of goods and services, including housing, </w:t>
      </w:r>
      <w:r w:rsidR="00E42340">
        <w:rPr>
          <w:noProof/>
        </w:rPr>
        <w:t>and</w:t>
      </w:r>
      <w:r w:rsidRPr="00193A9A">
        <w:rPr>
          <w:noProof/>
        </w:rPr>
        <w:t xml:space="preserve"> 17 were lodged on the grounds of racial or ethnic origin. In 12 Member States, there was no relevant </w:t>
      </w:r>
      <w:r w:rsidR="004A70F3">
        <w:rPr>
          <w:noProof/>
        </w:rPr>
        <w:t>case-law</w:t>
      </w:r>
      <w:r w:rsidRPr="00193A9A">
        <w:rPr>
          <w:noProof/>
        </w:rPr>
        <w:t>. The report</w:t>
      </w:r>
      <w:r w:rsidR="00193A9A">
        <w:rPr>
          <w:noProof/>
        </w:rPr>
        <w:t>’</w:t>
      </w:r>
      <w:r w:rsidRPr="00193A9A">
        <w:rPr>
          <w:noProof/>
        </w:rPr>
        <w:t xml:space="preserve">s authors suggest that this lack of </w:t>
      </w:r>
      <w:r w:rsidR="004A70F3">
        <w:rPr>
          <w:noProof/>
        </w:rPr>
        <w:t>case-law</w:t>
      </w:r>
      <w:r w:rsidRPr="00193A9A">
        <w:rPr>
          <w:noProof/>
        </w:rPr>
        <w:t xml:space="preserve"> stems</w:t>
      </w:r>
      <w:r w:rsidR="00F83ED5" w:rsidRPr="00F83ED5">
        <w:rPr>
          <w:noProof/>
        </w:rPr>
        <w:t xml:space="preserve"> </w:t>
      </w:r>
      <w:r w:rsidR="00F83ED5">
        <w:rPr>
          <w:noProof/>
        </w:rPr>
        <w:t>partly</w:t>
      </w:r>
      <w:r w:rsidRPr="00193A9A">
        <w:rPr>
          <w:noProof/>
        </w:rPr>
        <w:t xml:space="preserve"> from a lack of understanding of</w:t>
      </w:r>
      <w:r w:rsidR="00E42340">
        <w:rPr>
          <w:noProof/>
        </w:rPr>
        <w:t xml:space="preserve"> what constitutes an</w:t>
      </w:r>
      <w:r w:rsidRPr="00193A9A">
        <w:rPr>
          <w:noProof/>
        </w:rPr>
        <w:t xml:space="preserve"> instruction to discriminate</w:t>
      </w:r>
      <w:r w:rsidR="007540FB">
        <w:rPr>
          <w:noProof/>
        </w:rPr>
        <w:t>.</w:t>
      </w:r>
      <w:r w:rsidRPr="00193A9A">
        <w:rPr>
          <w:noProof/>
        </w:rPr>
        <w:t xml:space="preserve"> </w:t>
      </w:r>
      <w:r w:rsidR="00E42340">
        <w:rPr>
          <w:noProof/>
        </w:rPr>
        <w:t>C</w:t>
      </w:r>
      <w:r w:rsidRPr="00193A9A">
        <w:rPr>
          <w:noProof/>
        </w:rPr>
        <w:t>laimants are more likely to pursue an action for direct or indirect discrimination once an instruction has caused discrimination, rather than challenging the instruction itself.</w:t>
      </w:r>
    </w:p>
    <w:p w14:paraId="71268F06" w14:textId="6C5367B2" w:rsidR="009979EB" w:rsidRPr="00193A9A" w:rsidRDefault="009979EB" w:rsidP="001C121A">
      <w:pPr>
        <w:pStyle w:val="Text3"/>
        <w:spacing w:before="240"/>
        <w:ind w:left="446"/>
        <w:rPr>
          <w:b/>
          <w:bCs/>
          <w:noProof/>
        </w:rPr>
      </w:pPr>
      <w:r w:rsidRPr="00193A9A">
        <w:rPr>
          <w:b/>
          <w:bCs/>
          <w:noProof/>
        </w:rPr>
        <w:t>Harassment</w:t>
      </w:r>
    </w:p>
    <w:p w14:paraId="6F49C380" w14:textId="26FA15F9" w:rsidR="009979EB" w:rsidRPr="00193A9A" w:rsidRDefault="009979EB" w:rsidP="009979EB">
      <w:pPr>
        <w:pStyle w:val="Text3"/>
        <w:ind w:left="450"/>
        <w:rPr>
          <w:noProof/>
        </w:rPr>
      </w:pPr>
      <w:r w:rsidRPr="00193A9A">
        <w:rPr>
          <w:noProof/>
        </w:rPr>
        <w:t xml:space="preserve">The Directives provide a definition of harassment. However, they also emphasise that the concept of harassment may be defined in accordance with the national laws and </w:t>
      </w:r>
      <w:r w:rsidRPr="000449A5">
        <w:rPr>
          <w:noProof/>
        </w:rPr>
        <w:t>practices</w:t>
      </w:r>
      <w:r w:rsidRPr="00193A9A">
        <w:rPr>
          <w:noProof/>
        </w:rPr>
        <w:t xml:space="preserve"> of the Member States (</w:t>
      </w:r>
      <w:r w:rsidRPr="00193A9A">
        <w:rPr>
          <w:rStyle w:val="FootnoteReference"/>
          <w:noProof/>
        </w:rPr>
        <w:footnoteReference w:id="39"/>
      </w:r>
      <w:r w:rsidRPr="00193A9A">
        <w:rPr>
          <w:noProof/>
        </w:rPr>
        <w:t xml:space="preserve">). The regulatory landscape in </w:t>
      </w:r>
      <w:r w:rsidR="00E53E2F">
        <w:rPr>
          <w:noProof/>
        </w:rPr>
        <w:t xml:space="preserve">the </w:t>
      </w:r>
      <w:r w:rsidRPr="00193A9A">
        <w:rPr>
          <w:noProof/>
        </w:rPr>
        <w:t>Member States remains diverse</w:t>
      </w:r>
      <w:r w:rsidR="0065140E" w:rsidRPr="00193A9A">
        <w:rPr>
          <w:noProof/>
        </w:rPr>
        <w:t xml:space="preserve"> and</w:t>
      </w:r>
      <w:r w:rsidRPr="00193A9A">
        <w:rPr>
          <w:noProof/>
        </w:rPr>
        <w:t xml:space="preserve"> </w:t>
      </w:r>
      <w:r w:rsidR="004A70F3">
        <w:rPr>
          <w:noProof/>
        </w:rPr>
        <w:t>case-law</w:t>
      </w:r>
      <w:r w:rsidRPr="00193A9A">
        <w:rPr>
          <w:noProof/>
        </w:rPr>
        <w:t xml:space="preserve"> is scarce.</w:t>
      </w:r>
    </w:p>
    <w:p w14:paraId="7BDDFC1C" w14:textId="537F3138" w:rsidR="009979EB" w:rsidRPr="00193A9A" w:rsidRDefault="009979EB" w:rsidP="009979EB">
      <w:pPr>
        <w:pStyle w:val="Text3"/>
        <w:ind w:left="450"/>
        <w:rPr>
          <w:noProof/>
        </w:rPr>
      </w:pPr>
      <w:r w:rsidRPr="00193A9A">
        <w:rPr>
          <w:noProof/>
        </w:rPr>
        <w:t xml:space="preserve">Member States prohibit harassment </w:t>
      </w:r>
      <w:r w:rsidR="000449A5">
        <w:rPr>
          <w:noProof/>
        </w:rPr>
        <w:t xml:space="preserve">under </w:t>
      </w:r>
      <w:r w:rsidRPr="00193A9A">
        <w:rPr>
          <w:noProof/>
        </w:rPr>
        <w:t xml:space="preserve">either non-discrimination law </w:t>
      </w:r>
      <w:r w:rsidR="000449A5">
        <w:rPr>
          <w:noProof/>
        </w:rPr>
        <w:t xml:space="preserve">or </w:t>
      </w:r>
      <w:r w:rsidRPr="00193A9A">
        <w:rPr>
          <w:noProof/>
        </w:rPr>
        <w:t xml:space="preserve">criminal law or both. The choice of legislative means usually </w:t>
      </w:r>
      <w:r w:rsidR="003E2D63">
        <w:rPr>
          <w:noProof/>
        </w:rPr>
        <w:t>depends on</w:t>
      </w:r>
      <w:r w:rsidRPr="00193A9A">
        <w:rPr>
          <w:noProof/>
        </w:rPr>
        <w:t xml:space="preserve"> one of the following factors: the nature of the offence (</w:t>
      </w:r>
      <w:r w:rsidRPr="00193A9A">
        <w:rPr>
          <w:rStyle w:val="FootnoteReference"/>
          <w:noProof/>
        </w:rPr>
        <w:footnoteReference w:id="40"/>
      </w:r>
      <w:r w:rsidRPr="00193A9A">
        <w:rPr>
          <w:noProof/>
        </w:rPr>
        <w:t>), the severity of the act (</w:t>
      </w:r>
      <w:r w:rsidRPr="00193A9A">
        <w:rPr>
          <w:rStyle w:val="FootnoteReference"/>
          <w:noProof/>
        </w:rPr>
        <w:footnoteReference w:id="41"/>
      </w:r>
      <w:r w:rsidRPr="00193A9A">
        <w:rPr>
          <w:noProof/>
        </w:rPr>
        <w:t>) or the intent (</w:t>
      </w:r>
      <w:r w:rsidRPr="00193A9A">
        <w:rPr>
          <w:rStyle w:val="FootnoteReference"/>
          <w:noProof/>
        </w:rPr>
        <w:footnoteReference w:id="42"/>
      </w:r>
      <w:r w:rsidRPr="00193A9A">
        <w:rPr>
          <w:noProof/>
        </w:rPr>
        <w:t xml:space="preserve">). Member States also provided a long and diverse list of </w:t>
      </w:r>
      <w:r w:rsidR="003E2D63">
        <w:rPr>
          <w:noProof/>
        </w:rPr>
        <w:t xml:space="preserve">examples of </w:t>
      </w:r>
      <w:r w:rsidRPr="00193A9A">
        <w:rPr>
          <w:noProof/>
        </w:rPr>
        <w:t>behaviour that can fall under the definition of harassment. The</w:t>
      </w:r>
      <w:r w:rsidR="007A5D71">
        <w:rPr>
          <w:noProof/>
        </w:rPr>
        <w:t>ir</w:t>
      </w:r>
      <w:r w:rsidRPr="00193A9A">
        <w:rPr>
          <w:noProof/>
        </w:rPr>
        <w:t xml:space="preserve"> scope and type depend on the jurisdiction</w:t>
      </w:r>
      <w:r w:rsidR="003E2D63">
        <w:rPr>
          <w:noProof/>
        </w:rPr>
        <w:t> </w:t>
      </w:r>
      <w:r w:rsidRPr="00193A9A">
        <w:rPr>
          <w:noProof/>
        </w:rPr>
        <w:t>(</w:t>
      </w:r>
      <w:r w:rsidRPr="00193A9A">
        <w:rPr>
          <w:rStyle w:val="FootnoteReference"/>
          <w:noProof/>
        </w:rPr>
        <w:footnoteReference w:id="43"/>
      </w:r>
      <w:r w:rsidRPr="00193A9A">
        <w:rPr>
          <w:noProof/>
        </w:rPr>
        <w:t>).</w:t>
      </w:r>
    </w:p>
    <w:p w14:paraId="0E1DACB2" w14:textId="0A69B36B" w:rsidR="009979EB" w:rsidRPr="00193A9A" w:rsidRDefault="009979EB" w:rsidP="009979EB">
      <w:pPr>
        <w:pStyle w:val="Text3"/>
        <w:ind w:left="450"/>
        <w:rPr>
          <w:noProof/>
        </w:rPr>
      </w:pPr>
      <w:r w:rsidRPr="00193A9A">
        <w:rPr>
          <w:noProof/>
        </w:rPr>
        <w:t xml:space="preserve">Within the employment sector, three main liability models have emerged. Liability may </w:t>
      </w:r>
      <w:r w:rsidR="007A5D71">
        <w:rPr>
          <w:noProof/>
        </w:rPr>
        <w:t>lie</w:t>
      </w:r>
      <w:r w:rsidR="007A5D71" w:rsidRPr="00193A9A">
        <w:rPr>
          <w:noProof/>
        </w:rPr>
        <w:t xml:space="preserve"> </w:t>
      </w:r>
      <w:r w:rsidRPr="00193A9A">
        <w:rPr>
          <w:noProof/>
        </w:rPr>
        <w:t xml:space="preserve">with the harasser, the employer or both. Many Member States were unable to specify forms of protection against harassment </w:t>
      </w:r>
      <w:r w:rsidR="00003D55">
        <w:rPr>
          <w:noProof/>
        </w:rPr>
        <w:t>outside the field of</w:t>
      </w:r>
      <w:r w:rsidR="00003D55" w:rsidRPr="00193A9A">
        <w:rPr>
          <w:noProof/>
        </w:rPr>
        <w:t xml:space="preserve"> </w:t>
      </w:r>
      <w:r w:rsidRPr="00193A9A">
        <w:rPr>
          <w:noProof/>
        </w:rPr>
        <w:t>employment. Where</w:t>
      </w:r>
      <w:r w:rsidR="00F172E4" w:rsidRPr="00193A9A">
        <w:rPr>
          <w:noProof/>
        </w:rPr>
        <w:t xml:space="preserve"> </w:t>
      </w:r>
      <w:r w:rsidR="00517F2B" w:rsidRPr="00193A9A">
        <w:rPr>
          <w:noProof/>
        </w:rPr>
        <w:t>information</w:t>
      </w:r>
      <w:r w:rsidR="00F172E4" w:rsidRPr="00193A9A">
        <w:rPr>
          <w:noProof/>
        </w:rPr>
        <w:t xml:space="preserve"> was</w:t>
      </w:r>
      <w:r w:rsidRPr="00193A9A">
        <w:rPr>
          <w:noProof/>
        </w:rPr>
        <w:t xml:space="preserve"> available, Member States typically </w:t>
      </w:r>
      <w:r w:rsidR="00517F2B" w:rsidRPr="00193A9A">
        <w:rPr>
          <w:noProof/>
        </w:rPr>
        <w:t xml:space="preserve">elaborated </w:t>
      </w:r>
      <w:r w:rsidRPr="00193A9A">
        <w:rPr>
          <w:noProof/>
        </w:rPr>
        <w:t>on the regulatory framework for combating harassment in educational establishments, healthcare and public administration.</w:t>
      </w:r>
    </w:p>
    <w:p w14:paraId="2376D925" w14:textId="1D7138F1" w:rsidR="009979EB" w:rsidRPr="00193A9A" w:rsidRDefault="009979EB" w:rsidP="009979EB">
      <w:pPr>
        <w:pStyle w:val="Text3"/>
        <w:ind w:left="450"/>
        <w:rPr>
          <w:noProof/>
        </w:rPr>
      </w:pPr>
      <w:r w:rsidRPr="00193A9A">
        <w:rPr>
          <w:noProof/>
        </w:rPr>
        <w:t xml:space="preserve">In this regard, a number of </w:t>
      </w:r>
      <w:r w:rsidR="008225E0">
        <w:rPr>
          <w:noProof/>
        </w:rPr>
        <w:t>Member States</w:t>
      </w:r>
      <w:r w:rsidR="005C5799">
        <w:rPr>
          <w:noProof/>
        </w:rPr>
        <w:t xml:space="preserve"> indicated that</w:t>
      </w:r>
      <w:r w:rsidRPr="00193A9A">
        <w:rPr>
          <w:noProof/>
        </w:rPr>
        <w:t xml:space="preserve"> not only the harasser but also the relevant body or institution might be held liable for harassment due to negligence in fulfilling</w:t>
      </w:r>
      <w:r w:rsidR="009D24BD">
        <w:rPr>
          <w:noProof/>
        </w:rPr>
        <w:t xml:space="preserve"> its</w:t>
      </w:r>
      <w:r w:rsidRPr="00193A9A">
        <w:rPr>
          <w:noProof/>
        </w:rPr>
        <w:t xml:space="preserve"> obligation to prevent harassment (</w:t>
      </w:r>
      <w:r w:rsidRPr="00193A9A">
        <w:rPr>
          <w:rStyle w:val="FootnoteReference"/>
          <w:noProof/>
        </w:rPr>
        <w:footnoteReference w:id="44"/>
      </w:r>
      <w:r w:rsidRPr="00193A9A">
        <w:rPr>
          <w:noProof/>
        </w:rPr>
        <w:t>).</w:t>
      </w:r>
    </w:p>
    <w:p w14:paraId="217527ED" w14:textId="56150963" w:rsidR="009979EB" w:rsidRPr="00193A9A" w:rsidRDefault="008225E0" w:rsidP="009979EB">
      <w:pPr>
        <w:pStyle w:val="Text3"/>
        <w:ind w:left="450"/>
        <w:rPr>
          <w:noProof/>
        </w:rPr>
      </w:pPr>
      <w:r>
        <w:rPr>
          <w:noProof/>
        </w:rPr>
        <w:t>Ten</w:t>
      </w:r>
      <w:r w:rsidR="00B74B3D" w:rsidRPr="00193A9A">
        <w:rPr>
          <w:noProof/>
        </w:rPr>
        <w:t xml:space="preserve"> </w:t>
      </w:r>
      <w:r w:rsidR="009979EB" w:rsidRPr="00193A9A">
        <w:rPr>
          <w:noProof/>
        </w:rPr>
        <w:t xml:space="preserve">Member States highlighted difficulties in applying the concept of harassment under domestic law. Most notably, Member States </w:t>
      </w:r>
      <w:r w:rsidR="00E1254D">
        <w:rPr>
          <w:noProof/>
        </w:rPr>
        <w:t>indicated</w:t>
      </w:r>
      <w:r w:rsidR="00E1254D" w:rsidRPr="00193A9A">
        <w:rPr>
          <w:noProof/>
        </w:rPr>
        <w:t xml:space="preserve"> </w:t>
      </w:r>
      <w:r w:rsidR="009979EB" w:rsidRPr="00193A9A">
        <w:rPr>
          <w:noProof/>
        </w:rPr>
        <w:t xml:space="preserve">challenges in </w:t>
      </w:r>
      <w:r w:rsidR="00D008A3">
        <w:rPr>
          <w:noProof/>
        </w:rPr>
        <w:t>obtaining</w:t>
      </w:r>
      <w:r w:rsidR="00D008A3" w:rsidRPr="00193A9A">
        <w:rPr>
          <w:noProof/>
        </w:rPr>
        <w:t xml:space="preserve"> </w:t>
      </w:r>
      <w:r w:rsidR="009979EB" w:rsidRPr="00193A9A">
        <w:rPr>
          <w:noProof/>
        </w:rPr>
        <w:t xml:space="preserve">evidence to prove harassment. Furthermore, some of the issues have been attributed to </w:t>
      </w:r>
      <w:r w:rsidR="00D008A3">
        <w:rPr>
          <w:noProof/>
        </w:rPr>
        <w:t>a</w:t>
      </w:r>
      <w:r w:rsidR="00D008A3" w:rsidRPr="00193A9A">
        <w:rPr>
          <w:noProof/>
        </w:rPr>
        <w:t xml:space="preserve"> </w:t>
      </w:r>
      <w:r w:rsidR="0010704F">
        <w:rPr>
          <w:noProof/>
        </w:rPr>
        <w:t>national</w:t>
      </w:r>
      <w:r w:rsidR="009979EB" w:rsidRPr="00193A9A">
        <w:rPr>
          <w:noProof/>
        </w:rPr>
        <w:t xml:space="preserve"> implementation of the law, </w:t>
      </w:r>
      <w:r w:rsidR="00D008A3">
        <w:rPr>
          <w:noProof/>
        </w:rPr>
        <w:t xml:space="preserve">in </w:t>
      </w:r>
      <w:r w:rsidR="009979EB" w:rsidRPr="00193A9A">
        <w:rPr>
          <w:noProof/>
        </w:rPr>
        <w:t xml:space="preserve">which repeated behaviour, intent (rather than effects), </w:t>
      </w:r>
      <w:r w:rsidR="00D008A3">
        <w:rPr>
          <w:noProof/>
        </w:rPr>
        <w:t>identification of</w:t>
      </w:r>
      <w:r w:rsidR="00D008A3" w:rsidRPr="00193A9A">
        <w:rPr>
          <w:noProof/>
        </w:rPr>
        <w:t xml:space="preserve"> </w:t>
      </w:r>
      <w:r w:rsidR="00E437F5" w:rsidRPr="00193A9A">
        <w:rPr>
          <w:noProof/>
        </w:rPr>
        <w:t xml:space="preserve">individuals or groups in similar situations </w:t>
      </w:r>
      <w:r w:rsidR="009979EB" w:rsidRPr="00193A9A">
        <w:rPr>
          <w:noProof/>
        </w:rPr>
        <w:t>and</w:t>
      </w:r>
      <w:r w:rsidR="005739A3">
        <w:rPr>
          <w:noProof/>
        </w:rPr>
        <w:t xml:space="preserve"> </w:t>
      </w:r>
      <w:r w:rsidR="00D008A3">
        <w:rPr>
          <w:noProof/>
        </w:rPr>
        <w:t>a</w:t>
      </w:r>
      <w:r w:rsidR="009979EB" w:rsidRPr="00193A9A">
        <w:rPr>
          <w:noProof/>
        </w:rPr>
        <w:t xml:space="preserve"> hierarchical relationship </w:t>
      </w:r>
      <w:r w:rsidR="00D008A3">
        <w:rPr>
          <w:noProof/>
        </w:rPr>
        <w:t xml:space="preserve">are required for behaviour </w:t>
      </w:r>
      <w:r w:rsidR="009979EB" w:rsidRPr="00193A9A">
        <w:rPr>
          <w:noProof/>
        </w:rPr>
        <w:t>to constitute harassment</w:t>
      </w:r>
      <w:r w:rsidR="00D008A3">
        <w:rPr>
          <w:noProof/>
        </w:rPr>
        <w:t>.</w:t>
      </w:r>
      <w:r w:rsidR="009979EB" w:rsidRPr="00193A9A">
        <w:rPr>
          <w:noProof/>
        </w:rPr>
        <w:t xml:space="preserve"> </w:t>
      </w:r>
      <w:r w:rsidR="00D008A3">
        <w:rPr>
          <w:noProof/>
        </w:rPr>
        <w:t>N</w:t>
      </w:r>
      <w:r w:rsidR="009979EB" w:rsidRPr="00193A9A">
        <w:rPr>
          <w:noProof/>
        </w:rPr>
        <w:t xml:space="preserve">one of </w:t>
      </w:r>
      <w:r w:rsidR="00D008A3">
        <w:rPr>
          <w:noProof/>
        </w:rPr>
        <w:t>those</w:t>
      </w:r>
      <w:r w:rsidR="00D008A3" w:rsidRPr="00193A9A">
        <w:rPr>
          <w:noProof/>
        </w:rPr>
        <w:t xml:space="preserve"> </w:t>
      </w:r>
      <w:r w:rsidR="009979EB" w:rsidRPr="00193A9A">
        <w:rPr>
          <w:noProof/>
        </w:rPr>
        <w:t>are explicitly required under EU law.</w:t>
      </w:r>
    </w:p>
    <w:p w14:paraId="26896D84" w14:textId="60B4DF24" w:rsidR="009979EB" w:rsidRDefault="009979EB" w:rsidP="009979EB">
      <w:pPr>
        <w:pStyle w:val="Text3"/>
        <w:ind w:left="450"/>
        <w:rPr>
          <w:noProof/>
        </w:rPr>
      </w:pPr>
      <w:r w:rsidRPr="00193A9A">
        <w:rPr>
          <w:noProof/>
        </w:rPr>
        <w:t xml:space="preserve">In a few Member States, interesting </w:t>
      </w:r>
      <w:r w:rsidR="004A70F3">
        <w:rPr>
          <w:noProof/>
        </w:rPr>
        <w:t>case-law</w:t>
      </w:r>
      <w:r w:rsidRPr="00193A9A">
        <w:rPr>
          <w:noProof/>
        </w:rPr>
        <w:t xml:space="preserve"> has emerged regarding the use of </w:t>
      </w:r>
      <w:r w:rsidR="00C9347C" w:rsidRPr="00193A9A">
        <w:rPr>
          <w:noProof/>
        </w:rPr>
        <w:t xml:space="preserve">protection from </w:t>
      </w:r>
      <w:r w:rsidRPr="00193A9A">
        <w:rPr>
          <w:noProof/>
        </w:rPr>
        <w:t>harassment to address online discrimination affecting unspecified numbers of people</w:t>
      </w:r>
      <w:r w:rsidR="009F1223">
        <w:rPr>
          <w:noProof/>
        </w:rPr>
        <w:t xml:space="preserve"> and</w:t>
      </w:r>
      <w:r w:rsidRPr="00193A9A">
        <w:rPr>
          <w:noProof/>
        </w:rPr>
        <w:t xml:space="preserve"> to protect groups of individuals</w:t>
      </w:r>
      <w:r w:rsidR="00F549F4" w:rsidRPr="00193A9A">
        <w:rPr>
          <w:noProof/>
        </w:rPr>
        <w:t xml:space="preserve"> from discrimination</w:t>
      </w:r>
      <w:r w:rsidRPr="00193A9A">
        <w:rPr>
          <w:noProof/>
        </w:rPr>
        <w:t>.</w:t>
      </w:r>
    </w:p>
    <w:tbl>
      <w:tblPr>
        <w:tblStyle w:val="EurolookClassicOlive2"/>
        <w:tblW w:w="0" w:type="auto"/>
        <w:tblInd w:w="442" w:type="dxa"/>
        <w:tblLook w:val="0620" w:firstRow="1" w:lastRow="0" w:firstColumn="0" w:lastColumn="0" w:noHBand="1" w:noVBand="1"/>
      </w:tblPr>
      <w:tblGrid>
        <w:gridCol w:w="8160"/>
      </w:tblGrid>
      <w:tr w:rsidR="00E1254D" w14:paraId="668830E8" w14:textId="77777777" w:rsidTr="00E1254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0D3FE02F" w14:textId="327F8640" w:rsidR="00E1254D" w:rsidRDefault="00E1254D" w:rsidP="00E1254D">
            <w:pPr>
              <w:pStyle w:val="TableText"/>
              <w:rPr>
                <w:noProof/>
              </w:rPr>
            </w:pPr>
            <w:r w:rsidRPr="00193A9A">
              <w:rPr>
                <w:b/>
                <w:bCs/>
                <w:noProof/>
              </w:rPr>
              <w:t xml:space="preserve">Box </w:t>
            </w:r>
            <w:r>
              <w:rPr>
                <w:b/>
                <w:bCs/>
                <w:noProof/>
              </w:rPr>
              <w:t>1</w:t>
            </w:r>
            <w:r w:rsidRPr="00193A9A">
              <w:rPr>
                <w:b/>
                <w:bCs/>
                <w:noProof/>
              </w:rPr>
              <w:t>. Examples of harassment cases in Member States</w:t>
            </w:r>
            <w:r w:rsidR="00733068" w:rsidRPr="00733068">
              <w:rPr>
                <w:b/>
                <w:bCs/>
                <w:noProof/>
              </w:rPr>
              <w:t> (</w:t>
            </w:r>
            <w:r w:rsidR="00733068">
              <w:rPr>
                <w:rStyle w:val="FootnoteReference"/>
                <w:b/>
                <w:bCs/>
                <w:noProof/>
              </w:rPr>
              <w:footnoteReference w:id="45"/>
            </w:r>
            <w:r w:rsidR="00733068">
              <w:rPr>
                <w:b/>
                <w:bCs/>
                <w:noProof/>
              </w:rPr>
              <w:t>)</w:t>
            </w:r>
          </w:p>
        </w:tc>
      </w:tr>
      <w:tr w:rsidR="00E1254D" w14:paraId="6AD8F9CB" w14:textId="77777777" w:rsidTr="00E1254D">
        <w:trPr>
          <w:cantSplit/>
        </w:trPr>
        <w:tc>
          <w:tcPr>
            <w:tcW w:w="8160" w:type="dxa"/>
          </w:tcPr>
          <w:p w14:paraId="566253A1" w14:textId="77777777" w:rsidR="00E1254D" w:rsidRPr="00193A9A" w:rsidRDefault="00E1254D" w:rsidP="00E1254D">
            <w:pPr>
              <w:pStyle w:val="ListDash2"/>
              <w:numPr>
                <w:ilvl w:val="0"/>
                <w:numId w:val="38"/>
              </w:numPr>
              <w:rPr>
                <w:noProof/>
              </w:rPr>
            </w:pPr>
            <w:r w:rsidRPr="00193A9A">
              <w:rPr>
                <w:noProof/>
              </w:rPr>
              <w:t xml:space="preserve">In Bulgaria, </w:t>
            </w:r>
            <w:r>
              <w:rPr>
                <w:noProof/>
              </w:rPr>
              <w:t>there was a case</w:t>
            </w:r>
            <w:r w:rsidRPr="00193A9A">
              <w:rPr>
                <w:noProof/>
              </w:rPr>
              <w:t xml:space="preserve"> where </w:t>
            </w:r>
            <w:r>
              <w:rPr>
                <w:noProof/>
              </w:rPr>
              <w:t xml:space="preserve">the </w:t>
            </w:r>
            <w:r w:rsidRPr="00193A9A">
              <w:rPr>
                <w:noProof/>
              </w:rPr>
              <w:t xml:space="preserve">Supreme Administrative Court classified offensive social media posts from a political party as harassment </w:t>
            </w:r>
            <w:r>
              <w:rPr>
                <w:noProof/>
              </w:rPr>
              <w:t>on the ground of</w:t>
            </w:r>
            <w:r w:rsidRPr="00193A9A">
              <w:rPr>
                <w:noProof/>
              </w:rPr>
              <w:t xml:space="preserve"> sexual orientation (</w:t>
            </w:r>
            <w:r w:rsidRPr="00193A9A">
              <w:rPr>
                <w:rStyle w:val="FootnoteReference"/>
                <w:noProof/>
              </w:rPr>
              <w:footnoteReference w:id="46"/>
            </w:r>
            <w:r w:rsidRPr="00193A9A">
              <w:rPr>
                <w:noProof/>
              </w:rPr>
              <w:t xml:space="preserve">). In another decision, the Court found </w:t>
            </w:r>
            <w:r>
              <w:rPr>
                <w:noProof/>
              </w:rPr>
              <w:t xml:space="preserve">that </w:t>
            </w:r>
            <w:r w:rsidRPr="00193A9A">
              <w:rPr>
                <w:noProof/>
              </w:rPr>
              <w:t>stigmatising online articles targeting people of Roma ethnicity</w:t>
            </w:r>
            <w:r>
              <w:rPr>
                <w:noProof/>
              </w:rPr>
              <w:t xml:space="preserve"> constituted harassment on the ground of ethnicity</w:t>
            </w:r>
            <w:r w:rsidRPr="00193A9A">
              <w:rPr>
                <w:noProof/>
              </w:rPr>
              <w:t> (</w:t>
            </w:r>
            <w:r w:rsidRPr="00193A9A">
              <w:rPr>
                <w:rStyle w:val="FootnoteReference"/>
                <w:noProof/>
              </w:rPr>
              <w:footnoteReference w:id="47"/>
            </w:r>
            <w:r w:rsidRPr="00193A9A">
              <w:rPr>
                <w:noProof/>
              </w:rPr>
              <w:t>).</w:t>
            </w:r>
          </w:p>
          <w:p w14:paraId="11C91936" w14:textId="17F294E5" w:rsidR="00E1254D" w:rsidRDefault="007E5B04" w:rsidP="00E1254D">
            <w:pPr>
              <w:pStyle w:val="ListDash2"/>
              <w:numPr>
                <w:ilvl w:val="0"/>
                <w:numId w:val="38"/>
              </w:numPr>
              <w:rPr>
                <w:noProof/>
              </w:rPr>
            </w:pPr>
            <w:r>
              <w:rPr>
                <w:noProof/>
              </w:rPr>
              <w:t>In</w:t>
            </w:r>
            <w:r w:rsidR="00E1254D" w:rsidRPr="00193A9A">
              <w:rPr>
                <w:noProof/>
              </w:rPr>
              <w:t xml:space="preserve"> Belgium</w:t>
            </w:r>
            <w:r w:rsidR="00733068">
              <w:rPr>
                <w:noProof/>
              </w:rPr>
              <w:t xml:space="preserve"> (in the field of employment)</w:t>
            </w:r>
            <w:r w:rsidR="00E1254D" w:rsidRPr="00193A9A">
              <w:rPr>
                <w:noProof/>
              </w:rPr>
              <w:t> (</w:t>
            </w:r>
            <w:r w:rsidR="00E1254D" w:rsidRPr="00193A9A">
              <w:rPr>
                <w:rStyle w:val="FootnoteReference"/>
                <w:noProof/>
              </w:rPr>
              <w:footnoteReference w:id="48"/>
            </w:r>
            <w:r w:rsidR="00E1254D" w:rsidRPr="00193A9A">
              <w:rPr>
                <w:noProof/>
              </w:rPr>
              <w:t>)</w:t>
            </w:r>
            <w:r>
              <w:rPr>
                <w:noProof/>
              </w:rPr>
              <w:t xml:space="preserve"> and Italy </w:t>
            </w:r>
            <w:r w:rsidRPr="00193A9A">
              <w:rPr>
                <w:noProof/>
              </w:rPr>
              <w:t>(</w:t>
            </w:r>
            <w:r w:rsidRPr="00193A9A">
              <w:rPr>
                <w:rStyle w:val="FootnoteReference"/>
                <w:noProof/>
              </w:rPr>
              <w:footnoteReference w:id="49"/>
            </w:r>
            <w:r w:rsidRPr="00193A9A">
              <w:rPr>
                <w:noProof/>
              </w:rPr>
              <w:t>)</w:t>
            </w:r>
            <w:r w:rsidR="00E1254D" w:rsidRPr="00193A9A">
              <w:rPr>
                <w:noProof/>
              </w:rPr>
              <w:t>, courts have recognised harassment in cases where offensive opinions have been expressed on social networks or communication platforms, even if they have been shared with</w:t>
            </w:r>
            <w:r w:rsidR="00E1254D">
              <w:rPr>
                <w:noProof/>
              </w:rPr>
              <w:t xml:space="preserve"> only</w:t>
            </w:r>
            <w:r w:rsidR="00E1254D" w:rsidRPr="00193A9A">
              <w:rPr>
                <w:noProof/>
              </w:rPr>
              <w:t xml:space="preserve"> a limited number of people.</w:t>
            </w:r>
          </w:p>
        </w:tc>
      </w:tr>
    </w:tbl>
    <w:p w14:paraId="20573C63" w14:textId="77777777" w:rsidR="009979EB" w:rsidRPr="00193A9A" w:rsidRDefault="009979EB" w:rsidP="00E1254D">
      <w:pPr>
        <w:pStyle w:val="Text3"/>
        <w:spacing w:before="240" w:after="0"/>
        <w:ind w:left="446"/>
        <w:rPr>
          <w:b/>
          <w:bCs/>
          <w:noProof/>
        </w:rPr>
      </w:pPr>
      <w:r w:rsidRPr="00193A9A">
        <w:rPr>
          <w:b/>
          <w:bCs/>
          <w:noProof/>
        </w:rPr>
        <w:t>Discrimination by association or assumption</w:t>
      </w:r>
    </w:p>
    <w:p w14:paraId="2EF8A5ED" w14:textId="70F36DD9" w:rsidR="00C9584E" w:rsidRPr="00193A9A" w:rsidRDefault="009979EB" w:rsidP="00CD6509">
      <w:pPr>
        <w:pStyle w:val="Text3"/>
        <w:spacing w:before="240" w:after="0"/>
        <w:ind w:left="446"/>
        <w:rPr>
          <w:noProof/>
        </w:rPr>
      </w:pPr>
      <w:r w:rsidRPr="00193A9A">
        <w:rPr>
          <w:noProof/>
        </w:rPr>
        <w:t xml:space="preserve">Discrimination by association occurs when a victim is discriminated against because of their association with a protected </w:t>
      </w:r>
      <w:r w:rsidR="00B845AB" w:rsidRPr="00193A9A">
        <w:rPr>
          <w:noProof/>
        </w:rPr>
        <w:t xml:space="preserve">individual, group or </w:t>
      </w:r>
      <w:r w:rsidRPr="00193A9A">
        <w:rPr>
          <w:noProof/>
        </w:rPr>
        <w:t xml:space="preserve">characteristic. The </w:t>
      </w:r>
      <w:r w:rsidR="008643E0" w:rsidRPr="00193A9A">
        <w:rPr>
          <w:noProof/>
        </w:rPr>
        <w:t>CJEU</w:t>
      </w:r>
      <w:r w:rsidRPr="00193A9A">
        <w:rPr>
          <w:noProof/>
        </w:rPr>
        <w:t xml:space="preserve"> has consistently recognised this form of discrimination in its </w:t>
      </w:r>
      <w:r w:rsidR="004A70F3">
        <w:rPr>
          <w:noProof/>
        </w:rPr>
        <w:t>case-law</w:t>
      </w:r>
      <w:r w:rsidRPr="00193A9A">
        <w:rPr>
          <w:noProof/>
        </w:rPr>
        <w:t xml:space="preserve">, most recently in relation to indirect discrimination on the grounds of disability (see </w:t>
      </w:r>
      <w:r w:rsidR="00261717">
        <w:rPr>
          <w:noProof/>
        </w:rPr>
        <w:t>5.3.</w:t>
      </w:r>
      <w:r w:rsidRPr="00193A9A">
        <w:rPr>
          <w:noProof/>
        </w:rPr>
        <w:t>) (</w:t>
      </w:r>
      <w:r w:rsidRPr="00193A9A">
        <w:rPr>
          <w:rStyle w:val="FootnoteReference"/>
          <w:noProof/>
        </w:rPr>
        <w:footnoteReference w:id="50"/>
      </w:r>
      <w:r w:rsidRPr="00193A9A">
        <w:rPr>
          <w:noProof/>
        </w:rPr>
        <w:t>).</w:t>
      </w:r>
      <w:r w:rsidR="00A51931" w:rsidRPr="00193A9A">
        <w:rPr>
          <w:noProof/>
        </w:rPr>
        <w:t xml:space="preserve"> </w:t>
      </w:r>
      <w:r w:rsidR="006423FB" w:rsidRPr="00193A9A">
        <w:rPr>
          <w:noProof/>
        </w:rPr>
        <w:t xml:space="preserve">In addition, </w:t>
      </w:r>
      <w:r w:rsidRPr="00193A9A">
        <w:rPr>
          <w:noProof/>
        </w:rPr>
        <w:t>19 Member States</w:t>
      </w:r>
      <w:r w:rsidR="006423FB" w:rsidRPr="00193A9A">
        <w:rPr>
          <w:noProof/>
        </w:rPr>
        <w:t xml:space="preserve"> now</w:t>
      </w:r>
      <w:r w:rsidRPr="00193A9A">
        <w:rPr>
          <w:noProof/>
        </w:rPr>
        <w:t xml:space="preserve"> explicitly prohibit discrimination by association in their national legislation or </w:t>
      </w:r>
      <w:r w:rsidR="004A70F3">
        <w:rPr>
          <w:noProof/>
        </w:rPr>
        <w:t>case-law</w:t>
      </w:r>
      <w:r w:rsidRPr="00193A9A">
        <w:rPr>
          <w:noProof/>
        </w:rPr>
        <w:t> (</w:t>
      </w:r>
      <w:r w:rsidRPr="00193A9A">
        <w:rPr>
          <w:rStyle w:val="FootnoteReference"/>
          <w:noProof/>
        </w:rPr>
        <w:footnoteReference w:id="51"/>
      </w:r>
      <w:r w:rsidRPr="00193A9A">
        <w:rPr>
          <w:noProof/>
        </w:rPr>
        <w:t>).</w:t>
      </w:r>
    </w:p>
    <w:p w14:paraId="1A5B606F" w14:textId="0015F735" w:rsidR="009979EB" w:rsidRPr="00193A9A" w:rsidRDefault="009979EB" w:rsidP="009979EB">
      <w:pPr>
        <w:pStyle w:val="Text3"/>
        <w:spacing w:before="240" w:after="0"/>
        <w:ind w:left="446"/>
        <w:rPr>
          <w:noProof/>
        </w:rPr>
      </w:pPr>
      <w:r w:rsidRPr="00193A9A">
        <w:rPr>
          <w:noProof/>
        </w:rPr>
        <w:t xml:space="preserve">The </w:t>
      </w:r>
      <w:r w:rsidR="00822A86" w:rsidRPr="00193A9A">
        <w:rPr>
          <w:noProof/>
        </w:rPr>
        <w:t xml:space="preserve">CJEU </w:t>
      </w:r>
      <w:r w:rsidRPr="00193A9A">
        <w:rPr>
          <w:noProof/>
        </w:rPr>
        <w:t xml:space="preserve">has </w:t>
      </w:r>
      <w:r w:rsidR="0010624A">
        <w:rPr>
          <w:noProof/>
        </w:rPr>
        <w:t xml:space="preserve">not </w:t>
      </w:r>
      <w:r w:rsidRPr="00193A9A">
        <w:rPr>
          <w:noProof/>
        </w:rPr>
        <w:t>yet explicitly address</w:t>
      </w:r>
      <w:r w:rsidR="0010624A">
        <w:rPr>
          <w:noProof/>
        </w:rPr>
        <w:t>ed</w:t>
      </w:r>
      <w:r w:rsidRPr="00193A9A">
        <w:rPr>
          <w:noProof/>
        </w:rPr>
        <w:t xml:space="preserve"> the issue of </w:t>
      </w:r>
      <w:r w:rsidR="00193A9A">
        <w:rPr>
          <w:noProof/>
        </w:rPr>
        <w:t>‘</w:t>
      </w:r>
      <w:r w:rsidRPr="00193A9A">
        <w:rPr>
          <w:noProof/>
        </w:rPr>
        <w:t>discrimination by assumption</w:t>
      </w:r>
      <w:r w:rsidR="00193A9A">
        <w:rPr>
          <w:noProof/>
        </w:rPr>
        <w:t>’</w:t>
      </w:r>
      <w:r w:rsidRPr="00193A9A">
        <w:rPr>
          <w:noProof/>
        </w:rPr>
        <w:t xml:space="preserve">. This occurs when a person is discriminated against </w:t>
      </w:r>
      <w:r w:rsidR="00B2030B">
        <w:rPr>
          <w:noProof/>
        </w:rPr>
        <w:t>on the basis of</w:t>
      </w:r>
      <w:r w:rsidRPr="00193A9A">
        <w:rPr>
          <w:noProof/>
        </w:rPr>
        <w:t xml:space="preserve"> an incorrect belief or perception that they have one of the protected characteristics. </w:t>
      </w:r>
      <w:r w:rsidR="00B2030B">
        <w:rPr>
          <w:noProof/>
        </w:rPr>
        <w:t>It should be noted that</w:t>
      </w:r>
      <w:r w:rsidRPr="00193A9A">
        <w:rPr>
          <w:noProof/>
        </w:rPr>
        <w:t xml:space="preserve"> the </w:t>
      </w:r>
      <w:r w:rsidR="00B2030B">
        <w:rPr>
          <w:noProof/>
        </w:rPr>
        <w:t>European Court of Human Rights</w:t>
      </w:r>
      <w:r w:rsidRPr="00193A9A">
        <w:rPr>
          <w:noProof/>
        </w:rPr>
        <w:t xml:space="preserve"> has ruled</w:t>
      </w:r>
      <w:r w:rsidR="00B2030B">
        <w:rPr>
          <w:noProof/>
        </w:rPr>
        <w:t>,</w:t>
      </w:r>
      <w:r w:rsidRPr="00193A9A">
        <w:rPr>
          <w:noProof/>
        </w:rPr>
        <w:t xml:space="preserve"> in a series of cases</w:t>
      </w:r>
      <w:r w:rsidR="00B2030B">
        <w:rPr>
          <w:noProof/>
        </w:rPr>
        <w:t>,</w:t>
      </w:r>
      <w:r w:rsidRPr="00193A9A">
        <w:rPr>
          <w:noProof/>
        </w:rPr>
        <w:t xml:space="preserve"> that discrimination under the European Convention on Human Rights encompasses discrimination by assumption (</w:t>
      </w:r>
      <w:r w:rsidRPr="00193A9A">
        <w:rPr>
          <w:rStyle w:val="FootnoteReference"/>
          <w:noProof/>
        </w:rPr>
        <w:footnoteReference w:id="52"/>
      </w:r>
      <w:r w:rsidRPr="00193A9A">
        <w:rPr>
          <w:noProof/>
        </w:rPr>
        <w:t xml:space="preserve">). Furthermore, it appears that 19 Member States already prohibit it in either domestic legislation or </w:t>
      </w:r>
      <w:r w:rsidR="004A70F3">
        <w:rPr>
          <w:noProof/>
        </w:rPr>
        <w:t>case-law</w:t>
      </w:r>
      <w:r w:rsidR="00B2030B">
        <w:rPr>
          <w:noProof/>
        </w:rPr>
        <w:t> </w:t>
      </w:r>
      <w:r w:rsidRPr="00193A9A">
        <w:rPr>
          <w:noProof/>
        </w:rPr>
        <w:t>(</w:t>
      </w:r>
      <w:r w:rsidRPr="00193A9A">
        <w:rPr>
          <w:rStyle w:val="FootnoteReference"/>
          <w:noProof/>
        </w:rPr>
        <w:footnoteReference w:id="53"/>
      </w:r>
      <w:r w:rsidRPr="00193A9A">
        <w:rPr>
          <w:noProof/>
        </w:rPr>
        <w:t>).</w:t>
      </w:r>
    </w:p>
    <w:p w14:paraId="3E8F3281" w14:textId="63F4AE71" w:rsidR="009979EB" w:rsidRPr="00193A9A" w:rsidRDefault="5E3811A3" w:rsidP="009979EB">
      <w:pPr>
        <w:pStyle w:val="Text3"/>
        <w:spacing w:before="240" w:after="0"/>
        <w:ind w:left="446"/>
        <w:rPr>
          <w:noProof/>
        </w:rPr>
      </w:pPr>
      <w:r w:rsidRPr="00193A9A">
        <w:rPr>
          <w:noProof/>
        </w:rPr>
        <w:t>In some Member States, discrimination by association or assumption may also apply in cases of harassment, victimisation or denial of reasonable accommodation</w:t>
      </w:r>
      <w:r w:rsidR="001C3C6E" w:rsidRPr="001C3C6E">
        <w:rPr>
          <w:noProof/>
        </w:rPr>
        <w:t> (</w:t>
      </w:r>
      <w:r w:rsidR="001C3C6E">
        <w:rPr>
          <w:rStyle w:val="FootnoteReference"/>
          <w:noProof/>
        </w:rPr>
        <w:footnoteReference w:id="54"/>
      </w:r>
      <w:r w:rsidR="001C3C6E">
        <w:rPr>
          <w:noProof/>
        </w:rPr>
        <w:t>)</w:t>
      </w:r>
      <w:r w:rsidRPr="00193A9A">
        <w:rPr>
          <w:noProof/>
        </w:rPr>
        <w:t xml:space="preserve">. </w:t>
      </w:r>
      <w:r w:rsidR="00E80DC4">
        <w:rPr>
          <w:noProof/>
        </w:rPr>
        <w:t>Such</w:t>
      </w:r>
      <w:r w:rsidR="00E80DC4" w:rsidRPr="00193A9A">
        <w:rPr>
          <w:noProof/>
        </w:rPr>
        <w:t xml:space="preserve"> </w:t>
      </w:r>
      <w:r w:rsidRPr="00193A9A">
        <w:rPr>
          <w:noProof/>
        </w:rPr>
        <w:t>understandings rarely come from legislation. Instead, they often originate from</w:t>
      </w:r>
      <w:r w:rsidR="00701B13" w:rsidRPr="00193A9A">
        <w:rPr>
          <w:noProof/>
        </w:rPr>
        <w:t xml:space="preserve"> </w:t>
      </w:r>
      <w:r w:rsidR="004A70F3">
        <w:rPr>
          <w:noProof/>
        </w:rPr>
        <w:t>case-law</w:t>
      </w:r>
      <w:r w:rsidR="00701B13" w:rsidRPr="00193A9A">
        <w:rPr>
          <w:noProof/>
        </w:rPr>
        <w:t xml:space="preserve"> or</w:t>
      </w:r>
      <w:r w:rsidR="007757FF" w:rsidRPr="00193A9A">
        <w:rPr>
          <w:noProof/>
        </w:rPr>
        <w:t xml:space="preserve"> represent</w:t>
      </w:r>
      <w:r w:rsidRPr="00193A9A">
        <w:rPr>
          <w:noProof/>
        </w:rPr>
        <w:t xml:space="preserve"> the interpretation of </w:t>
      </w:r>
      <w:r w:rsidR="008A2874">
        <w:rPr>
          <w:noProof/>
        </w:rPr>
        <w:t>the</w:t>
      </w:r>
      <w:r w:rsidR="008A2874" w:rsidRPr="00193A9A">
        <w:rPr>
          <w:noProof/>
        </w:rPr>
        <w:t xml:space="preserve"> </w:t>
      </w:r>
      <w:r w:rsidRPr="00193A9A">
        <w:rPr>
          <w:noProof/>
        </w:rPr>
        <w:t>authorities</w:t>
      </w:r>
      <w:r w:rsidR="008A2874">
        <w:rPr>
          <w:noProof/>
        </w:rPr>
        <w:t xml:space="preserve"> surveyed</w:t>
      </w:r>
      <w:r w:rsidR="001A5D82" w:rsidRPr="00193A9A">
        <w:rPr>
          <w:rStyle w:val="CommentReference"/>
          <w:noProof/>
          <w:sz w:val="24"/>
          <w:szCs w:val="20"/>
        </w:rPr>
        <w:t>.</w:t>
      </w:r>
      <w:r w:rsidRPr="00193A9A">
        <w:rPr>
          <w:noProof/>
        </w:rPr>
        <w:t xml:space="preserve"> Other Member States were mostly unsure about the applicability of their domestic legislation to such cases.</w:t>
      </w:r>
    </w:p>
    <w:p w14:paraId="169150D6" w14:textId="45D99FB1" w:rsidR="009979EB" w:rsidRPr="00193A9A" w:rsidDel="002F55FC" w:rsidRDefault="5E3811A3" w:rsidP="009979EB">
      <w:pPr>
        <w:pStyle w:val="Text3"/>
        <w:spacing w:before="240" w:after="0"/>
        <w:ind w:left="446"/>
        <w:rPr>
          <w:noProof/>
        </w:rPr>
      </w:pPr>
      <w:r w:rsidRPr="00193A9A" w:rsidDel="002F55FC">
        <w:rPr>
          <w:noProof/>
        </w:rPr>
        <w:t xml:space="preserve">Despite the Court’s ruling in the </w:t>
      </w:r>
      <w:r w:rsidRPr="00193A9A" w:rsidDel="002F55FC">
        <w:rPr>
          <w:i/>
          <w:iCs/>
          <w:noProof/>
        </w:rPr>
        <w:t>CHEZ</w:t>
      </w:r>
      <w:r w:rsidRPr="00193A9A" w:rsidDel="002F55FC">
        <w:rPr>
          <w:noProof/>
        </w:rPr>
        <w:t xml:space="preserve"> case</w:t>
      </w:r>
      <w:r w:rsidR="00777AC7" w:rsidRPr="00193A9A">
        <w:rPr>
          <w:noProof/>
        </w:rPr>
        <w:t> (</w:t>
      </w:r>
      <w:r w:rsidR="00777AC7" w:rsidRPr="00193A9A">
        <w:rPr>
          <w:rStyle w:val="FootnoteReference"/>
          <w:noProof/>
        </w:rPr>
        <w:footnoteReference w:id="55"/>
      </w:r>
      <w:r w:rsidR="00777AC7" w:rsidRPr="00193A9A">
        <w:rPr>
          <w:noProof/>
        </w:rPr>
        <w:t>)</w:t>
      </w:r>
      <w:r w:rsidRPr="00193A9A" w:rsidDel="002F55FC">
        <w:rPr>
          <w:noProof/>
        </w:rPr>
        <w:t xml:space="preserve">, which found that discrimination by association does not depend on an intimate or close relationship between the alleged victim and the associated group, </w:t>
      </w:r>
      <w:r w:rsidR="00EB2A4C" w:rsidRPr="00193A9A" w:rsidDel="002F55FC">
        <w:rPr>
          <w:noProof/>
        </w:rPr>
        <w:t xml:space="preserve">a few </w:t>
      </w:r>
      <w:r w:rsidRPr="00193A9A" w:rsidDel="002F55FC">
        <w:rPr>
          <w:noProof/>
        </w:rPr>
        <w:t xml:space="preserve">Member States </w:t>
      </w:r>
      <w:r w:rsidR="00026F4A" w:rsidRPr="00193A9A" w:rsidDel="002F55FC">
        <w:rPr>
          <w:noProof/>
        </w:rPr>
        <w:t xml:space="preserve">may </w:t>
      </w:r>
      <w:r w:rsidRPr="00193A9A" w:rsidDel="002F55FC">
        <w:rPr>
          <w:noProof/>
        </w:rPr>
        <w:t>continue to demand it.</w:t>
      </w:r>
    </w:p>
    <w:p w14:paraId="5FD6F0A4" w14:textId="237E38B9" w:rsidR="009979EB" w:rsidRPr="00193A9A" w:rsidRDefault="009979EB" w:rsidP="009979EB">
      <w:pPr>
        <w:pStyle w:val="Text3"/>
        <w:spacing w:before="240" w:after="0"/>
        <w:ind w:left="446"/>
        <w:rPr>
          <w:noProof/>
        </w:rPr>
      </w:pPr>
      <w:r w:rsidRPr="00193A9A">
        <w:rPr>
          <w:b/>
          <w:bCs/>
          <w:noProof/>
        </w:rPr>
        <w:t>Multiple discrimination</w:t>
      </w:r>
    </w:p>
    <w:p w14:paraId="53DAA7AE" w14:textId="4BA204CE" w:rsidR="009979EB" w:rsidRPr="00193A9A" w:rsidRDefault="009979EB" w:rsidP="009979EB">
      <w:pPr>
        <w:pStyle w:val="Text3"/>
        <w:spacing w:before="240" w:after="0"/>
        <w:ind w:left="446"/>
        <w:rPr>
          <w:noProof/>
        </w:rPr>
      </w:pPr>
      <w:r w:rsidRPr="00193A9A">
        <w:rPr>
          <w:noProof/>
        </w:rPr>
        <w:t>Both Directives</w:t>
      </w:r>
      <w:r w:rsidR="00677C5D">
        <w:rPr>
          <w:noProof/>
        </w:rPr>
        <w:t> </w:t>
      </w:r>
      <w:r w:rsidRPr="00193A9A">
        <w:rPr>
          <w:noProof/>
        </w:rPr>
        <w:t>(</w:t>
      </w:r>
      <w:r w:rsidRPr="00193A9A">
        <w:rPr>
          <w:rStyle w:val="FootnoteReference"/>
          <w:noProof/>
        </w:rPr>
        <w:footnoteReference w:id="56"/>
      </w:r>
      <w:r w:rsidRPr="00193A9A">
        <w:rPr>
          <w:noProof/>
        </w:rPr>
        <w:t xml:space="preserve">) recognise that certain groups of people may experience discrimination on multiple grounds. </w:t>
      </w:r>
      <w:r w:rsidR="006423FB" w:rsidRPr="00193A9A">
        <w:rPr>
          <w:noProof/>
        </w:rPr>
        <w:t>To date</w:t>
      </w:r>
      <w:r w:rsidRPr="00193A9A">
        <w:rPr>
          <w:noProof/>
        </w:rPr>
        <w:t>, 14 Member States have</w:t>
      </w:r>
      <w:r w:rsidR="006423FB" w:rsidRPr="00193A9A">
        <w:rPr>
          <w:noProof/>
        </w:rPr>
        <w:t xml:space="preserve"> </w:t>
      </w:r>
      <w:r w:rsidR="007540FB">
        <w:rPr>
          <w:noProof/>
        </w:rPr>
        <w:t>adopted</w:t>
      </w:r>
      <w:r w:rsidR="007540FB" w:rsidRPr="00193A9A">
        <w:rPr>
          <w:noProof/>
        </w:rPr>
        <w:t xml:space="preserve"> </w:t>
      </w:r>
      <w:r w:rsidRPr="00193A9A">
        <w:rPr>
          <w:noProof/>
        </w:rPr>
        <w:t>legislation that explicitly recognises multiple discrimination.</w:t>
      </w:r>
    </w:p>
    <w:p w14:paraId="065FB1D4" w14:textId="2BCDE04A" w:rsidR="009979EB" w:rsidRPr="00193A9A" w:rsidRDefault="00EC0EE3" w:rsidP="009979EB">
      <w:pPr>
        <w:pStyle w:val="Text3"/>
        <w:spacing w:before="240" w:after="0"/>
        <w:ind w:left="446"/>
        <w:rPr>
          <w:noProof/>
        </w:rPr>
      </w:pPr>
      <w:r w:rsidRPr="00193A9A">
        <w:rPr>
          <w:noProof/>
        </w:rPr>
        <w:t xml:space="preserve">Within </w:t>
      </w:r>
      <w:r w:rsidR="00677C5D">
        <w:rPr>
          <w:noProof/>
        </w:rPr>
        <w:t>those</w:t>
      </w:r>
      <w:r w:rsidR="00677C5D" w:rsidRPr="00193A9A">
        <w:rPr>
          <w:noProof/>
        </w:rPr>
        <w:t xml:space="preserve"> </w:t>
      </w:r>
      <w:r w:rsidRPr="00193A9A">
        <w:rPr>
          <w:noProof/>
        </w:rPr>
        <w:t>14 Member States, t</w:t>
      </w:r>
      <w:r w:rsidR="009979EB" w:rsidRPr="00193A9A">
        <w:rPr>
          <w:noProof/>
        </w:rPr>
        <w:t xml:space="preserve">he practical and legal consequences of </w:t>
      </w:r>
      <w:r w:rsidR="00D84219" w:rsidRPr="00193A9A">
        <w:rPr>
          <w:noProof/>
        </w:rPr>
        <w:t xml:space="preserve">the </w:t>
      </w:r>
      <w:r w:rsidR="009979EB" w:rsidRPr="00193A9A">
        <w:rPr>
          <w:noProof/>
        </w:rPr>
        <w:t xml:space="preserve">recognition </w:t>
      </w:r>
      <w:r w:rsidR="00D84219" w:rsidRPr="00193A9A">
        <w:rPr>
          <w:noProof/>
        </w:rPr>
        <w:t xml:space="preserve">of multiple </w:t>
      </w:r>
      <w:r w:rsidR="00861567" w:rsidRPr="00193A9A">
        <w:rPr>
          <w:noProof/>
        </w:rPr>
        <w:t xml:space="preserve">discrimination </w:t>
      </w:r>
      <w:r w:rsidR="009979EB" w:rsidRPr="00193A9A">
        <w:rPr>
          <w:noProof/>
        </w:rPr>
        <w:t>vary significantly. In some Member States, it affects the type and severity of sanctions for discrimination</w:t>
      </w:r>
      <w:r w:rsidR="00677C5D">
        <w:rPr>
          <w:noProof/>
        </w:rPr>
        <w:t>.</w:t>
      </w:r>
      <w:r w:rsidR="009979EB" w:rsidRPr="00193A9A">
        <w:rPr>
          <w:noProof/>
        </w:rPr>
        <w:t xml:space="preserve"> </w:t>
      </w:r>
      <w:r w:rsidR="00677C5D">
        <w:rPr>
          <w:noProof/>
        </w:rPr>
        <w:t>I</w:t>
      </w:r>
      <w:r w:rsidR="009979EB" w:rsidRPr="00193A9A">
        <w:rPr>
          <w:noProof/>
        </w:rPr>
        <w:t>n others, it is considered one of the more severe forms of discrimination. In two Member States, multiple discrimination can set a higher evidentiary threshold for defendants, as separate proof of non-discrimination is required for each ground.</w:t>
      </w:r>
    </w:p>
    <w:p w14:paraId="4B75D278" w14:textId="1188FCD8" w:rsidR="009979EB" w:rsidRDefault="00086746" w:rsidP="009979EB">
      <w:pPr>
        <w:pStyle w:val="Text3"/>
        <w:spacing w:before="240" w:after="0"/>
        <w:ind w:left="446"/>
        <w:rPr>
          <w:noProof/>
        </w:rPr>
      </w:pPr>
      <w:r w:rsidRPr="00193A9A">
        <w:rPr>
          <w:noProof/>
        </w:rPr>
        <w:t xml:space="preserve">Half of the </w:t>
      </w:r>
      <w:r w:rsidR="009979EB" w:rsidRPr="00193A9A">
        <w:rPr>
          <w:noProof/>
        </w:rPr>
        <w:t>Member States</w:t>
      </w:r>
      <w:r w:rsidR="00AD7CB7" w:rsidRPr="00193A9A">
        <w:rPr>
          <w:noProof/>
        </w:rPr>
        <w:t xml:space="preserve"> </w:t>
      </w:r>
      <w:r w:rsidR="00E07FBB">
        <w:rPr>
          <w:noProof/>
        </w:rPr>
        <w:t xml:space="preserve">that </w:t>
      </w:r>
      <w:r w:rsidR="00AD7CB7" w:rsidRPr="00193A9A">
        <w:rPr>
          <w:noProof/>
        </w:rPr>
        <w:t>explicitly recognis</w:t>
      </w:r>
      <w:r w:rsidR="00E07FBB">
        <w:rPr>
          <w:noProof/>
        </w:rPr>
        <w:t>e</w:t>
      </w:r>
      <w:r w:rsidR="00AD7CB7" w:rsidRPr="00193A9A">
        <w:rPr>
          <w:noProof/>
        </w:rPr>
        <w:t xml:space="preserve"> multiple discrimination</w:t>
      </w:r>
      <w:r w:rsidR="009979EB" w:rsidRPr="00193A9A">
        <w:rPr>
          <w:noProof/>
        </w:rPr>
        <w:t xml:space="preserve"> have signalled significant difficulties in applying the concept. In </w:t>
      </w:r>
      <w:r w:rsidR="008440A9" w:rsidRPr="00193A9A">
        <w:rPr>
          <w:noProof/>
        </w:rPr>
        <w:t xml:space="preserve">six </w:t>
      </w:r>
      <w:r w:rsidR="009979EB" w:rsidRPr="00193A9A">
        <w:rPr>
          <w:noProof/>
        </w:rPr>
        <w:t xml:space="preserve">Member States, there is a lack of awareness of multiple discrimination. In </w:t>
      </w:r>
      <w:r w:rsidR="00566377" w:rsidRPr="00193A9A">
        <w:rPr>
          <w:noProof/>
        </w:rPr>
        <w:t xml:space="preserve">five </w:t>
      </w:r>
      <w:r w:rsidR="009979EB" w:rsidRPr="00193A9A">
        <w:rPr>
          <w:noProof/>
        </w:rPr>
        <w:t xml:space="preserve">Member States, there </w:t>
      </w:r>
      <w:r w:rsidR="00543C56" w:rsidRPr="00193A9A">
        <w:rPr>
          <w:noProof/>
        </w:rPr>
        <w:t>are</w:t>
      </w:r>
      <w:r w:rsidR="009979EB" w:rsidRPr="00193A9A">
        <w:rPr>
          <w:noProof/>
        </w:rPr>
        <w:t xml:space="preserve"> </w:t>
      </w:r>
      <w:r w:rsidR="006829B2" w:rsidRPr="00193A9A">
        <w:rPr>
          <w:noProof/>
        </w:rPr>
        <w:t>insufficient</w:t>
      </w:r>
      <w:r w:rsidR="009979EB" w:rsidRPr="00193A9A">
        <w:rPr>
          <w:noProof/>
        </w:rPr>
        <w:t xml:space="preserve"> statistics </w:t>
      </w:r>
      <w:r w:rsidR="006829B2" w:rsidRPr="00193A9A">
        <w:rPr>
          <w:noProof/>
        </w:rPr>
        <w:t xml:space="preserve">for all </w:t>
      </w:r>
      <w:r w:rsidR="00543C56" w:rsidRPr="00193A9A">
        <w:rPr>
          <w:noProof/>
        </w:rPr>
        <w:t xml:space="preserve">the </w:t>
      </w:r>
      <w:r w:rsidR="006829B2" w:rsidRPr="00193A9A">
        <w:rPr>
          <w:noProof/>
        </w:rPr>
        <w:t>relevant grounds</w:t>
      </w:r>
      <w:r w:rsidR="00E07FBB">
        <w:rPr>
          <w:noProof/>
        </w:rPr>
        <w:t xml:space="preserve"> </w:t>
      </w:r>
      <w:r w:rsidR="005739A3">
        <w:rPr>
          <w:noProof/>
        </w:rPr>
        <w:t>of</w:t>
      </w:r>
      <w:r w:rsidR="00E07FBB">
        <w:rPr>
          <w:noProof/>
        </w:rPr>
        <w:t xml:space="preserve"> discrimination</w:t>
      </w:r>
      <w:r w:rsidR="00563828" w:rsidRPr="00193A9A">
        <w:rPr>
          <w:noProof/>
        </w:rPr>
        <w:t xml:space="preserve">. </w:t>
      </w:r>
      <w:r w:rsidR="00DD62C3" w:rsidRPr="00193A9A">
        <w:rPr>
          <w:noProof/>
        </w:rPr>
        <w:t>Five</w:t>
      </w:r>
      <w:r w:rsidR="00563828" w:rsidRPr="00193A9A">
        <w:rPr>
          <w:noProof/>
        </w:rPr>
        <w:t xml:space="preserve"> Member States </w:t>
      </w:r>
      <w:r w:rsidR="00DD62C3" w:rsidRPr="00193A9A">
        <w:rPr>
          <w:noProof/>
        </w:rPr>
        <w:t>also</w:t>
      </w:r>
      <w:r w:rsidR="00C63A26" w:rsidRPr="00193A9A">
        <w:rPr>
          <w:noProof/>
        </w:rPr>
        <w:t xml:space="preserve"> found it</w:t>
      </w:r>
      <w:r w:rsidR="006829B2" w:rsidRPr="00193A9A">
        <w:rPr>
          <w:noProof/>
        </w:rPr>
        <w:t xml:space="preserve"> </w:t>
      </w:r>
      <w:r w:rsidR="00DD62C3" w:rsidRPr="00193A9A">
        <w:rPr>
          <w:noProof/>
        </w:rPr>
        <w:t>difficult to</w:t>
      </w:r>
      <w:r w:rsidR="00F40CBF" w:rsidRPr="00193A9A">
        <w:rPr>
          <w:noProof/>
        </w:rPr>
        <w:t xml:space="preserve"> </w:t>
      </w:r>
      <w:r w:rsidR="00DD62C3" w:rsidRPr="00193A9A">
        <w:rPr>
          <w:noProof/>
        </w:rPr>
        <w:t>identify</w:t>
      </w:r>
      <w:r w:rsidR="009979EB" w:rsidRPr="00193A9A">
        <w:rPr>
          <w:noProof/>
        </w:rPr>
        <w:t xml:space="preserve"> an appropriate comparison group</w:t>
      </w:r>
      <w:r w:rsidR="000E5263" w:rsidRPr="00193A9A">
        <w:rPr>
          <w:noProof/>
        </w:rPr>
        <w:t xml:space="preserve"> </w:t>
      </w:r>
      <w:r w:rsidR="002F44E2" w:rsidRPr="00193A9A">
        <w:rPr>
          <w:noProof/>
        </w:rPr>
        <w:t xml:space="preserve">in </w:t>
      </w:r>
      <w:r w:rsidR="00354C76" w:rsidRPr="00193A9A">
        <w:rPr>
          <w:noProof/>
        </w:rPr>
        <w:t xml:space="preserve">a </w:t>
      </w:r>
      <w:r w:rsidR="002F44E2" w:rsidRPr="00193A9A">
        <w:rPr>
          <w:noProof/>
        </w:rPr>
        <w:t xml:space="preserve">more favourable position in cases </w:t>
      </w:r>
      <w:r w:rsidR="00354C76" w:rsidRPr="00193A9A">
        <w:rPr>
          <w:noProof/>
        </w:rPr>
        <w:t>involving</w:t>
      </w:r>
      <w:r w:rsidR="002F44E2" w:rsidRPr="00193A9A">
        <w:rPr>
          <w:noProof/>
        </w:rPr>
        <w:t xml:space="preserve"> multiple discrimination</w:t>
      </w:r>
      <w:r w:rsidR="009979EB" w:rsidRPr="00193A9A">
        <w:rPr>
          <w:noProof/>
        </w:rPr>
        <w:t xml:space="preserve">. </w:t>
      </w:r>
      <w:r w:rsidR="0065140E" w:rsidRPr="00193A9A">
        <w:rPr>
          <w:noProof/>
        </w:rPr>
        <w:t>E</w:t>
      </w:r>
      <w:r w:rsidR="009979EB" w:rsidRPr="00193A9A">
        <w:rPr>
          <w:noProof/>
        </w:rPr>
        <w:t xml:space="preserve">quality bodies raised </w:t>
      </w:r>
      <w:r w:rsidR="00867063" w:rsidRPr="00193A9A">
        <w:rPr>
          <w:noProof/>
        </w:rPr>
        <w:t xml:space="preserve">similar </w:t>
      </w:r>
      <w:r w:rsidR="009979EB" w:rsidRPr="00193A9A">
        <w:rPr>
          <w:noProof/>
        </w:rPr>
        <w:t xml:space="preserve">concerns. However, in contrast to the Member States, almost all equality bodies reported difficulties in recognising </w:t>
      </w:r>
      <w:r w:rsidR="00E07FBB">
        <w:rPr>
          <w:noProof/>
        </w:rPr>
        <w:t>instances</w:t>
      </w:r>
      <w:r w:rsidR="00E07FBB" w:rsidRPr="00193A9A">
        <w:rPr>
          <w:noProof/>
        </w:rPr>
        <w:t xml:space="preserve"> </w:t>
      </w:r>
      <w:r w:rsidR="009979EB" w:rsidRPr="00193A9A">
        <w:rPr>
          <w:noProof/>
        </w:rPr>
        <w:t xml:space="preserve">of </w:t>
      </w:r>
      <w:r w:rsidR="00E07FBB" w:rsidRPr="00193A9A">
        <w:rPr>
          <w:noProof/>
        </w:rPr>
        <w:t xml:space="preserve">multiple </w:t>
      </w:r>
      <w:r w:rsidR="009979EB" w:rsidRPr="00193A9A">
        <w:rPr>
          <w:noProof/>
        </w:rPr>
        <w:t>discrimination.</w:t>
      </w:r>
    </w:p>
    <w:p w14:paraId="76056B2E" w14:textId="64C5A57C" w:rsidR="004E40CF" w:rsidRDefault="004E40CF" w:rsidP="004E40CF">
      <w:pPr>
        <w:pStyle w:val="Text3"/>
        <w:spacing w:before="240" w:after="0"/>
        <w:ind w:left="446"/>
        <w:rPr>
          <w:noProof/>
        </w:rPr>
      </w:pPr>
      <w:r>
        <w:rPr>
          <w:noProof/>
        </w:rPr>
        <w:t>There</w:t>
      </w:r>
      <w:r w:rsidRPr="00193A9A">
        <w:rPr>
          <w:noProof/>
        </w:rPr>
        <w:t xml:space="preserve"> is no legal basis for </w:t>
      </w:r>
      <w:r>
        <w:rPr>
          <w:noProof/>
        </w:rPr>
        <w:t xml:space="preserve">recognising </w:t>
      </w:r>
      <w:r w:rsidRPr="00193A9A">
        <w:rPr>
          <w:noProof/>
        </w:rPr>
        <w:t>intersectional discrimination in either Directive covered by this report</w:t>
      </w:r>
      <w:r>
        <w:rPr>
          <w:noProof/>
        </w:rPr>
        <w:t> </w:t>
      </w:r>
      <w:r w:rsidRPr="00193A9A">
        <w:rPr>
          <w:noProof/>
        </w:rPr>
        <w:t>(</w:t>
      </w:r>
      <w:r w:rsidRPr="00193A9A">
        <w:rPr>
          <w:rStyle w:val="FootnoteReference"/>
          <w:noProof/>
        </w:rPr>
        <w:footnoteReference w:id="57"/>
      </w:r>
      <w:r w:rsidRPr="00193A9A">
        <w:rPr>
          <w:noProof/>
        </w:rPr>
        <w:t>)</w:t>
      </w:r>
      <w:r>
        <w:rPr>
          <w:noProof/>
        </w:rPr>
        <w:t xml:space="preserve">. While the CJEU </w:t>
      </w:r>
      <w:r w:rsidRPr="004E40CF">
        <w:rPr>
          <w:noProof/>
          <w:lang w:val="en-IE"/>
        </w:rPr>
        <w:t>acknowledged that discrimination may be based on several of the grounds protected under EU law</w:t>
      </w:r>
      <w:r>
        <w:rPr>
          <w:noProof/>
          <w:lang w:val="en-IE"/>
        </w:rPr>
        <w:t xml:space="preserve">, </w:t>
      </w:r>
      <w:r w:rsidRPr="004E40CF">
        <w:rPr>
          <w:noProof/>
          <w:lang w:val="en-IE"/>
        </w:rPr>
        <w:t xml:space="preserve">it also held that </w:t>
      </w:r>
      <w:r>
        <w:rPr>
          <w:noProof/>
          <w:lang w:val="en-IE"/>
        </w:rPr>
        <w:t>‘</w:t>
      </w:r>
      <w:r w:rsidRPr="004E40CF">
        <w:rPr>
          <w:noProof/>
          <w:lang w:val="en-IE"/>
        </w:rPr>
        <w:t>no new category of discrimination resulting from the combination of more than one of those grounds</w:t>
      </w:r>
      <w:r>
        <w:rPr>
          <w:noProof/>
          <w:lang w:val="en-IE"/>
        </w:rPr>
        <w:t xml:space="preserve"> …</w:t>
      </w:r>
      <w:r w:rsidRPr="004E40CF">
        <w:rPr>
          <w:noProof/>
          <w:lang w:val="en-IE"/>
        </w:rPr>
        <w:t xml:space="preserve"> may be found to exist where discrimination on the basis of those grounds taken in isolation has not been established</w:t>
      </w:r>
      <w:r>
        <w:rPr>
          <w:noProof/>
          <w:lang w:val="en-IE"/>
        </w:rPr>
        <w:t xml:space="preserve">’ </w:t>
      </w:r>
      <w:r w:rsidRPr="00193A9A">
        <w:rPr>
          <w:noProof/>
        </w:rPr>
        <w:t>(</w:t>
      </w:r>
      <w:r w:rsidRPr="00193A9A">
        <w:rPr>
          <w:rStyle w:val="FootnoteReference"/>
          <w:noProof/>
        </w:rPr>
        <w:footnoteReference w:id="58"/>
      </w:r>
      <w:r w:rsidRPr="00193A9A">
        <w:rPr>
          <w:noProof/>
        </w:rPr>
        <w:t xml:space="preserve">). </w:t>
      </w:r>
    </w:p>
    <w:p w14:paraId="1601CC2E" w14:textId="00C3E3C3" w:rsidR="004E40CF" w:rsidRPr="00B61149" w:rsidRDefault="004E40CF" w:rsidP="004E40CF">
      <w:pPr>
        <w:pStyle w:val="Text3"/>
        <w:spacing w:before="240" w:after="0"/>
        <w:ind w:left="446"/>
        <w:rPr>
          <w:noProof/>
          <w:lang w:val="en-IE"/>
        </w:rPr>
      </w:pPr>
      <w:r>
        <w:rPr>
          <w:noProof/>
        </w:rPr>
        <w:t>The c</w:t>
      </w:r>
      <w:r w:rsidRPr="00193A9A">
        <w:rPr>
          <w:noProof/>
        </w:rPr>
        <w:t>ivil society organisations and equality bodies surveyed raised the need to anchor intersectional discrimination in the legal framework and provide guidance on how to frame, assess and adjudicate such claims.</w:t>
      </w:r>
    </w:p>
    <w:p w14:paraId="72CE133E" w14:textId="272ACD60" w:rsidR="009979EB" w:rsidRPr="00193A9A" w:rsidRDefault="00DE777B" w:rsidP="00B61149">
      <w:pPr>
        <w:pStyle w:val="Text3"/>
        <w:spacing w:before="240" w:after="0"/>
        <w:ind w:left="446"/>
        <w:rPr>
          <w:noProof/>
        </w:rPr>
      </w:pPr>
      <w:r w:rsidRPr="00193A9A">
        <w:rPr>
          <w:noProof/>
        </w:rPr>
        <w:t>S</w:t>
      </w:r>
      <w:r w:rsidR="009979EB" w:rsidRPr="00193A9A">
        <w:rPr>
          <w:noProof/>
        </w:rPr>
        <w:t xml:space="preserve">ince 2021, the </w:t>
      </w:r>
      <w:r w:rsidR="00E07FBB">
        <w:rPr>
          <w:noProof/>
        </w:rPr>
        <w:t>EU</w:t>
      </w:r>
      <w:r w:rsidR="00E07FBB" w:rsidRPr="00193A9A">
        <w:rPr>
          <w:noProof/>
        </w:rPr>
        <w:t xml:space="preserve"> </w:t>
      </w:r>
      <w:r w:rsidR="009979EB" w:rsidRPr="00193A9A">
        <w:rPr>
          <w:noProof/>
        </w:rPr>
        <w:t xml:space="preserve">has </w:t>
      </w:r>
      <w:r w:rsidR="004E40CF">
        <w:rPr>
          <w:noProof/>
        </w:rPr>
        <w:t>begun to address</w:t>
      </w:r>
      <w:r w:rsidR="009979EB" w:rsidRPr="00193A9A">
        <w:rPr>
          <w:noProof/>
        </w:rPr>
        <w:t xml:space="preserve"> intersectional discrimination</w:t>
      </w:r>
      <w:r w:rsidR="004E40CF">
        <w:rPr>
          <w:noProof/>
        </w:rPr>
        <w:t xml:space="preserve"> to a certain extent in EU law</w:t>
      </w:r>
      <w:r w:rsidR="009979EB" w:rsidRPr="00193A9A">
        <w:rPr>
          <w:noProof/>
        </w:rPr>
        <w:t>. The Pay Transparency Directive</w:t>
      </w:r>
      <w:r w:rsidR="00261717" w:rsidRPr="00261717">
        <w:rPr>
          <w:noProof/>
        </w:rPr>
        <w:t> (</w:t>
      </w:r>
      <w:r w:rsidR="00261717">
        <w:rPr>
          <w:rStyle w:val="FootnoteReference"/>
          <w:noProof/>
        </w:rPr>
        <w:footnoteReference w:id="59"/>
      </w:r>
      <w:r w:rsidR="00261717">
        <w:rPr>
          <w:noProof/>
        </w:rPr>
        <w:t>)</w:t>
      </w:r>
      <w:r w:rsidR="009979EB" w:rsidRPr="00193A9A">
        <w:rPr>
          <w:noProof/>
        </w:rPr>
        <w:t xml:space="preserve"> defines intersectional discrimination</w:t>
      </w:r>
      <w:r w:rsidR="00D935B2" w:rsidRPr="00193A9A">
        <w:rPr>
          <w:noProof/>
        </w:rPr>
        <w:t xml:space="preserve"> </w:t>
      </w:r>
      <w:r w:rsidR="001953F3" w:rsidRPr="00193A9A">
        <w:rPr>
          <w:noProof/>
        </w:rPr>
        <w:t xml:space="preserve">for the first time </w:t>
      </w:r>
      <w:r w:rsidR="00D935B2" w:rsidRPr="00193A9A">
        <w:rPr>
          <w:noProof/>
        </w:rPr>
        <w:t>in EU law</w:t>
      </w:r>
      <w:r w:rsidR="00B64675" w:rsidRPr="00193A9A">
        <w:rPr>
          <w:noProof/>
        </w:rPr>
        <w:t> (</w:t>
      </w:r>
      <w:r w:rsidR="00B64675" w:rsidRPr="00193A9A">
        <w:rPr>
          <w:rStyle w:val="FootnoteReference"/>
          <w:noProof/>
        </w:rPr>
        <w:footnoteReference w:id="60"/>
      </w:r>
      <w:r w:rsidR="00B64675" w:rsidRPr="00193A9A">
        <w:rPr>
          <w:noProof/>
        </w:rPr>
        <w:t>)</w:t>
      </w:r>
      <w:r w:rsidR="009979EB" w:rsidRPr="00193A9A">
        <w:rPr>
          <w:noProof/>
        </w:rPr>
        <w:t xml:space="preserve">. </w:t>
      </w:r>
      <w:r w:rsidR="007E4321" w:rsidRPr="00193A9A">
        <w:rPr>
          <w:noProof/>
        </w:rPr>
        <w:t>The Equality Bodies Directives</w:t>
      </w:r>
      <w:r w:rsidR="009979EB" w:rsidRPr="00193A9A">
        <w:rPr>
          <w:noProof/>
        </w:rPr>
        <w:t xml:space="preserve"> require</w:t>
      </w:r>
      <w:r w:rsidR="007E4321" w:rsidRPr="00193A9A">
        <w:rPr>
          <w:noProof/>
        </w:rPr>
        <w:t xml:space="preserve"> equality bodies </w:t>
      </w:r>
      <w:r w:rsidR="003347A7">
        <w:rPr>
          <w:noProof/>
        </w:rPr>
        <w:t>to be</w:t>
      </w:r>
      <w:r w:rsidR="003347A7" w:rsidRPr="00193A9A">
        <w:rPr>
          <w:noProof/>
        </w:rPr>
        <w:t xml:space="preserve"> </w:t>
      </w:r>
      <w:r w:rsidR="009979EB" w:rsidRPr="00193A9A">
        <w:rPr>
          <w:noProof/>
        </w:rPr>
        <w:t xml:space="preserve">empowered to take intersectional discrimination into account </w:t>
      </w:r>
      <w:r w:rsidR="003347A7">
        <w:rPr>
          <w:noProof/>
        </w:rPr>
        <w:t>in their</w:t>
      </w:r>
      <w:r w:rsidR="009979EB" w:rsidRPr="00193A9A">
        <w:rPr>
          <w:noProof/>
        </w:rPr>
        <w:t xml:space="preserve"> activities to prevent discrimination and promote equal treatment (</w:t>
      </w:r>
      <w:r w:rsidR="009979EB" w:rsidRPr="00193A9A">
        <w:rPr>
          <w:rStyle w:val="FootnoteReference"/>
          <w:noProof/>
        </w:rPr>
        <w:footnoteReference w:id="61"/>
      </w:r>
      <w:r w:rsidR="009979EB" w:rsidRPr="00193A9A">
        <w:rPr>
          <w:noProof/>
        </w:rPr>
        <w:t>). Furthermore, the Commission continues to recognise the importance of intersectional discrimination in equality strategies</w:t>
      </w:r>
      <w:r w:rsidR="003347A7">
        <w:rPr>
          <w:noProof/>
        </w:rPr>
        <w:t> </w:t>
      </w:r>
      <w:r w:rsidR="009979EB" w:rsidRPr="00193A9A">
        <w:rPr>
          <w:noProof/>
        </w:rPr>
        <w:t>(</w:t>
      </w:r>
      <w:r w:rsidR="009979EB" w:rsidRPr="00193A9A">
        <w:rPr>
          <w:rStyle w:val="FootnoteReference"/>
          <w:noProof/>
        </w:rPr>
        <w:footnoteReference w:id="62"/>
      </w:r>
      <w:r w:rsidR="009979EB" w:rsidRPr="00193A9A">
        <w:rPr>
          <w:noProof/>
        </w:rPr>
        <w:t>).</w:t>
      </w:r>
    </w:p>
    <w:p w14:paraId="4E88D6FC" w14:textId="77777777" w:rsidR="00846E1C" w:rsidRPr="00193A9A" w:rsidRDefault="00846E1C" w:rsidP="00846E1C">
      <w:pPr>
        <w:pStyle w:val="Heading2"/>
        <w:spacing w:before="240"/>
        <w:ind w:left="1195"/>
        <w:rPr>
          <w:noProof/>
        </w:rPr>
      </w:pPr>
      <w:bookmarkStart w:id="15" w:name="_Toc214348088"/>
      <w:r w:rsidRPr="00193A9A">
        <w:rPr>
          <w:noProof/>
        </w:rPr>
        <w:t>Access to justice – bridging the gap for victims</w:t>
      </w:r>
    </w:p>
    <w:p w14:paraId="31CAFF88" w14:textId="0C224DA8" w:rsidR="00846E1C" w:rsidRPr="00193A9A" w:rsidRDefault="00846E1C" w:rsidP="00D949BB">
      <w:pPr>
        <w:pStyle w:val="Text2"/>
        <w:ind w:left="475"/>
        <w:rPr>
          <w:noProof/>
        </w:rPr>
      </w:pPr>
      <w:r w:rsidRPr="00193A9A">
        <w:rPr>
          <w:noProof/>
        </w:rPr>
        <w:t xml:space="preserve">Member States </w:t>
      </w:r>
      <w:r w:rsidR="00E73D82">
        <w:rPr>
          <w:noProof/>
        </w:rPr>
        <w:t>must</w:t>
      </w:r>
      <w:r w:rsidR="00E73D82" w:rsidRPr="00193A9A">
        <w:rPr>
          <w:noProof/>
        </w:rPr>
        <w:t xml:space="preserve"> </w:t>
      </w:r>
      <w:r w:rsidRPr="00193A9A">
        <w:rPr>
          <w:noProof/>
        </w:rPr>
        <w:t xml:space="preserve">ensure that the </w:t>
      </w:r>
      <w:r w:rsidR="0076530E">
        <w:rPr>
          <w:noProof/>
        </w:rPr>
        <w:t>people</w:t>
      </w:r>
      <w:r w:rsidR="0076530E" w:rsidRPr="00193A9A">
        <w:rPr>
          <w:noProof/>
        </w:rPr>
        <w:t xml:space="preserve"> </w:t>
      </w:r>
      <w:r w:rsidRPr="00193A9A">
        <w:rPr>
          <w:noProof/>
        </w:rPr>
        <w:t>concerned are made aware of the national laws transposing the Directives by all appropriate means</w:t>
      </w:r>
      <w:r w:rsidR="0006422D" w:rsidRPr="0006422D">
        <w:rPr>
          <w:noProof/>
        </w:rPr>
        <w:t xml:space="preserve"> </w:t>
      </w:r>
      <w:r w:rsidR="0006422D" w:rsidRPr="00193A9A">
        <w:rPr>
          <w:noProof/>
        </w:rPr>
        <w:t>throughout their territory</w:t>
      </w:r>
      <w:r w:rsidRPr="00193A9A">
        <w:rPr>
          <w:noProof/>
        </w:rPr>
        <w:t> (</w:t>
      </w:r>
      <w:r w:rsidRPr="00193A9A">
        <w:rPr>
          <w:rStyle w:val="FootnoteReference"/>
          <w:noProof/>
        </w:rPr>
        <w:footnoteReference w:id="63"/>
      </w:r>
      <w:r w:rsidRPr="00193A9A">
        <w:rPr>
          <w:noProof/>
        </w:rPr>
        <w:t xml:space="preserve">). </w:t>
      </w:r>
      <w:r w:rsidR="00FB33B8" w:rsidRPr="00193A9A">
        <w:rPr>
          <w:noProof/>
        </w:rPr>
        <w:t>E</w:t>
      </w:r>
      <w:r w:rsidRPr="00193A9A">
        <w:rPr>
          <w:noProof/>
        </w:rPr>
        <w:t xml:space="preserve">nsuring </w:t>
      </w:r>
      <w:r w:rsidR="0076530E">
        <w:rPr>
          <w:noProof/>
        </w:rPr>
        <w:t xml:space="preserve">that people are </w:t>
      </w:r>
      <w:r w:rsidRPr="00193A9A">
        <w:rPr>
          <w:noProof/>
        </w:rPr>
        <w:t xml:space="preserve">aware of </w:t>
      </w:r>
      <w:r w:rsidR="0076530E">
        <w:rPr>
          <w:noProof/>
        </w:rPr>
        <w:t xml:space="preserve">their </w:t>
      </w:r>
      <w:r w:rsidRPr="00193A9A">
        <w:rPr>
          <w:noProof/>
        </w:rPr>
        <w:t>rights remains a major challenge</w:t>
      </w:r>
      <w:r w:rsidR="00FB33B8" w:rsidRPr="00193A9A">
        <w:rPr>
          <w:noProof/>
        </w:rPr>
        <w:t>.</w:t>
      </w:r>
      <w:r w:rsidRPr="00193A9A">
        <w:rPr>
          <w:noProof/>
        </w:rPr>
        <w:t xml:space="preserve"> </w:t>
      </w:r>
      <w:r w:rsidR="00FB33B8" w:rsidRPr="00193A9A">
        <w:rPr>
          <w:noProof/>
        </w:rPr>
        <w:t>However,</w:t>
      </w:r>
      <w:r w:rsidR="0065140E" w:rsidRPr="00193A9A">
        <w:rPr>
          <w:noProof/>
        </w:rPr>
        <w:t xml:space="preserve"> </w:t>
      </w:r>
      <w:r w:rsidRPr="00193A9A">
        <w:rPr>
          <w:noProof/>
        </w:rPr>
        <w:t>the situation is improving in some respects (</w:t>
      </w:r>
      <w:r w:rsidRPr="00193A9A">
        <w:rPr>
          <w:rStyle w:val="FootnoteReference"/>
          <w:noProof/>
        </w:rPr>
        <w:footnoteReference w:id="64"/>
      </w:r>
      <w:r w:rsidRPr="00193A9A">
        <w:rPr>
          <w:noProof/>
        </w:rPr>
        <w:t>).</w:t>
      </w:r>
    </w:p>
    <w:p w14:paraId="53B9BFD3" w14:textId="3754842A" w:rsidR="00846E1C" w:rsidRPr="00193A9A" w:rsidRDefault="00846E1C" w:rsidP="00846E1C">
      <w:pPr>
        <w:pStyle w:val="Text2"/>
        <w:ind w:left="482"/>
        <w:rPr>
          <w:noProof/>
        </w:rPr>
      </w:pPr>
      <w:r w:rsidRPr="00193A9A">
        <w:rPr>
          <w:noProof/>
        </w:rPr>
        <w:t>Half of the Member States (14) acknowledged that people’</w:t>
      </w:r>
      <w:r w:rsidR="0065140E" w:rsidRPr="00193A9A">
        <w:rPr>
          <w:noProof/>
        </w:rPr>
        <w:t>s</w:t>
      </w:r>
      <w:r w:rsidRPr="00193A9A">
        <w:rPr>
          <w:noProof/>
        </w:rPr>
        <w:t xml:space="preserve"> lack of awareness of the rights and obligations deriv</w:t>
      </w:r>
      <w:r w:rsidR="0065140E" w:rsidRPr="00193A9A">
        <w:rPr>
          <w:noProof/>
        </w:rPr>
        <w:t>ing</w:t>
      </w:r>
      <w:r w:rsidRPr="00193A9A">
        <w:rPr>
          <w:noProof/>
        </w:rPr>
        <w:t xml:space="preserve"> from the Directives was an issue. Similarly, almost all civil society organisations, </w:t>
      </w:r>
      <w:r w:rsidR="0082078A">
        <w:rPr>
          <w:noProof/>
        </w:rPr>
        <w:t>8</w:t>
      </w:r>
      <w:r w:rsidR="0082078A" w:rsidRPr="00193A9A">
        <w:rPr>
          <w:noProof/>
        </w:rPr>
        <w:t xml:space="preserve"> </w:t>
      </w:r>
      <w:r w:rsidRPr="00193A9A">
        <w:rPr>
          <w:noProof/>
        </w:rPr>
        <w:t>of</w:t>
      </w:r>
      <w:r w:rsidR="0076530E">
        <w:rPr>
          <w:noProof/>
        </w:rPr>
        <w:t xml:space="preserve"> the</w:t>
      </w:r>
      <w:r w:rsidRPr="00193A9A">
        <w:rPr>
          <w:noProof/>
        </w:rPr>
        <w:t xml:space="preserve"> </w:t>
      </w:r>
      <w:r w:rsidR="0082078A">
        <w:rPr>
          <w:noProof/>
        </w:rPr>
        <w:t>11</w:t>
      </w:r>
      <w:r w:rsidRPr="00193A9A">
        <w:rPr>
          <w:noProof/>
        </w:rPr>
        <w:t xml:space="preserve"> equality bodies and Equinet argued that </w:t>
      </w:r>
      <w:r w:rsidR="0076530E">
        <w:rPr>
          <w:noProof/>
        </w:rPr>
        <w:t xml:space="preserve">there was insufficient </w:t>
      </w:r>
      <w:r w:rsidRPr="00193A9A">
        <w:rPr>
          <w:noProof/>
        </w:rPr>
        <w:t>awareness of rights and obligations.</w:t>
      </w:r>
    </w:p>
    <w:p w14:paraId="1800DD11" w14:textId="7156C94A" w:rsidR="00846E1C" w:rsidRDefault="00846E1C" w:rsidP="00846E1C">
      <w:pPr>
        <w:pStyle w:val="Text2"/>
        <w:ind w:left="482"/>
        <w:rPr>
          <w:noProof/>
        </w:rPr>
      </w:pPr>
      <w:r w:rsidRPr="00193A9A">
        <w:rPr>
          <w:noProof/>
        </w:rPr>
        <w:t>Despite the relative consensus that lack of awareness is a root cause of</w:t>
      </w:r>
      <w:r w:rsidR="0076530E">
        <w:rPr>
          <w:noProof/>
        </w:rPr>
        <w:t xml:space="preserve"> the</w:t>
      </w:r>
      <w:r w:rsidRPr="00193A9A">
        <w:rPr>
          <w:noProof/>
        </w:rPr>
        <w:t xml:space="preserve"> inadequate enforcement of EU </w:t>
      </w:r>
      <w:r w:rsidR="00D071E0" w:rsidRPr="00193A9A">
        <w:rPr>
          <w:noProof/>
        </w:rPr>
        <w:t xml:space="preserve">non-discrimination </w:t>
      </w:r>
      <w:r w:rsidRPr="00193A9A">
        <w:rPr>
          <w:noProof/>
        </w:rPr>
        <w:t xml:space="preserve">law in </w:t>
      </w:r>
      <w:r w:rsidR="0076530E">
        <w:rPr>
          <w:noProof/>
        </w:rPr>
        <w:t xml:space="preserve">the </w:t>
      </w:r>
      <w:r w:rsidRPr="00193A9A">
        <w:rPr>
          <w:noProof/>
        </w:rPr>
        <w:t xml:space="preserve">Member States, neither Member States nor equality bodies </w:t>
      </w:r>
      <w:r w:rsidR="0076530E">
        <w:rPr>
          <w:noProof/>
        </w:rPr>
        <w:t>n</w:t>
      </w:r>
      <w:r w:rsidRPr="00193A9A">
        <w:rPr>
          <w:noProof/>
        </w:rPr>
        <w:t>or civil society</w:t>
      </w:r>
      <w:r w:rsidR="0076530E">
        <w:rPr>
          <w:noProof/>
        </w:rPr>
        <w:t xml:space="preserve"> organisations</w:t>
      </w:r>
      <w:r w:rsidRPr="00193A9A">
        <w:rPr>
          <w:noProof/>
        </w:rPr>
        <w:t xml:space="preserve"> seem to hold data on specific levels of awareness. Furthermore, only one equality body had information on the general population</w:t>
      </w:r>
      <w:r w:rsidR="00193A9A">
        <w:rPr>
          <w:noProof/>
        </w:rPr>
        <w:t>’</w:t>
      </w:r>
      <w:r w:rsidRPr="00193A9A">
        <w:rPr>
          <w:noProof/>
        </w:rPr>
        <w:t xml:space="preserve">s awareness of their </w:t>
      </w:r>
      <w:r w:rsidR="0076530E">
        <w:rPr>
          <w:noProof/>
        </w:rPr>
        <w:t>activities</w:t>
      </w:r>
      <w:r w:rsidRPr="00193A9A">
        <w:rPr>
          <w:noProof/>
        </w:rPr>
        <w:t>.</w:t>
      </w:r>
    </w:p>
    <w:tbl>
      <w:tblPr>
        <w:tblStyle w:val="EurolookClassicOlive2"/>
        <w:tblW w:w="0" w:type="auto"/>
        <w:tblInd w:w="442" w:type="dxa"/>
        <w:tblLook w:val="0620" w:firstRow="1" w:lastRow="0" w:firstColumn="0" w:lastColumn="0" w:noHBand="1" w:noVBand="1"/>
      </w:tblPr>
      <w:tblGrid>
        <w:gridCol w:w="8160"/>
      </w:tblGrid>
      <w:tr w:rsidR="00CC6348" w14:paraId="6200D66B" w14:textId="77777777" w:rsidTr="00CC6348">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79F25DAE" w14:textId="25005A2F" w:rsidR="00CC6348" w:rsidRDefault="00CC6348" w:rsidP="00CC6348">
            <w:pPr>
              <w:pStyle w:val="TableText"/>
              <w:rPr>
                <w:noProof/>
              </w:rPr>
            </w:pPr>
            <w:r w:rsidRPr="00193A9A">
              <w:rPr>
                <w:b/>
                <w:bCs/>
                <w:noProof/>
              </w:rPr>
              <w:t xml:space="preserve">Box </w:t>
            </w:r>
            <w:r>
              <w:rPr>
                <w:b/>
                <w:bCs/>
                <w:noProof/>
              </w:rPr>
              <w:t>2</w:t>
            </w:r>
            <w:r w:rsidRPr="00193A9A">
              <w:rPr>
                <w:b/>
                <w:bCs/>
                <w:noProof/>
              </w:rPr>
              <w:t>. A survey on awareness of the work of an equality body</w:t>
            </w:r>
          </w:p>
        </w:tc>
      </w:tr>
      <w:tr w:rsidR="00CC6348" w14:paraId="7A53A6B7" w14:textId="77777777" w:rsidTr="00CC6348">
        <w:trPr>
          <w:cantSplit/>
        </w:trPr>
        <w:tc>
          <w:tcPr>
            <w:tcW w:w="8160" w:type="dxa"/>
          </w:tcPr>
          <w:p w14:paraId="552EAA9A" w14:textId="6F34340F" w:rsidR="00CC6348" w:rsidRDefault="00CC6348" w:rsidP="00CC6348">
            <w:pPr>
              <w:pStyle w:val="TableText"/>
              <w:jc w:val="both"/>
              <w:rPr>
                <w:noProof/>
              </w:rPr>
            </w:pPr>
            <w:r w:rsidRPr="00193A9A">
              <w:rPr>
                <w:noProof/>
              </w:rPr>
              <w:t>In Malta, the Commission for the Rights of Persons with Disability (CRPD) carried out a representative telephone survey in 2024. It found that 59% of the general population ha</w:t>
            </w:r>
            <w:r>
              <w:rPr>
                <w:noProof/>
              </w:rPr>
              <w:t>d</w:t>
            </w:r>
            <w:r w:rsidRPr="00193A9A">
              <w:rPr>
                <w:noProof/>
              </w:rPr>
              <w:t xml:space="preserve"> heard of the CRPD and its activities</w:t>
            </w:r>
            <w:r>
              <w:rPr>
                <w:noProof/>
              </w:rPr>
              <w:t>.</w:t>
            </w:r>
          </w:p>
        </w:tc>
      </w:tr>
    </w:tbl>
    <w:p w14:paraId="050CE99A" w14:textId="73B8D9E2" w:rsidR="00E8758D" w:rsidRPr="00193A9A" w:rsidRDefault="00846E1C" w:rsidP="00CC6348">
      <w:pPr>
        <w:pStyle w:val="Text3"/>
        <w:spacing w:before="240" w:after="0"/>
        <w:ind w:left="446"/>
        <w:rPr>
          <w:noProof/>
        </w:rPr>
      </w:pPr>
      <w:r w:rsidRPr="00193A9A">
        <w:rPr>
          <w:noProof/>
        </w:rPr>
        <w:t>During the consultation, most Member States</w:t>
      </w:r>
      <w:r w:rsidR="00865951" w:rsidRPr="00193A9A">
        <w:rPr>
          <w:noProof/>
        </w:rPr>
        <w:t xml:space="preserve"> (20)</w:t>
      </w:r>
      <w:r w:rsidRPr="00193A9A">
        <w:rPr>
          <w:noProof/>
        </w:rPr>
        <w:t xml:space="preserve"> </w:t>
      </w:r>
      <w:r w:rsidR="002109FA">
        <w:rPr>
          <w:noProof/>
        </w:rPr>
        <w:t>said that they had</w:t>
      </w:r>
      <w:r w:rsidRPr="00193A9A">
        <w:rPr>
          <w:noProof/>
        </w:rPr>
        <w:t xml:space="preserve"> run awareness-raising campaigns</w:t>
      </w:r>
      <w:r w:rsidR="00511B7E" w:rsidRPr="00193A9A">
        <w:rPr>
          <w:noProof/>
        </w:rPr>
        <w:t xml:space="preserve"> </w:t>
      </w:r>
      <w:r w:rsidR="00892B06" w:rsidRPr="00193A9A">
        <w:rPr>
          <w:noProof/>
        </w:rPr>
        <w:t xml:space="preserve">on non-discrimination </w:t>
      </w:r>
      <w:r w:rsidR="00511B7E" w:rsidRPr="00193A9A">
        <w:rPr>
          <w:noProof/>
        </w:rPr>
        <w:t>since 2021</w:t>
      </w:r>
      <w:r w:rsidR="00FB33B8" w:rsidRPr="00193A9A">
        <w:rPr>
          <w:noProof/>
        </w:rPr>
        <w:t>. However,</w:t>
      </w:r>
      <w:r w:rsidRPr="00193A9A">
        <w:rPr>
          <w:noProof/>
        </w:rPr>
        <w:t xml:space="preserve"> </w:t>
      </w:r>
      <w:r w:rsidR="00D017E9" w:rsidRPr="00193A9A">
        <w:rPr>
          <w:noProof/>
        </w:rPr>
        <w:t xml:space="preserve">only </w:t>
      </w:r>
      <w:r w:rsidRPr="00193A9A">
        <w:rPr>
          <w:noProof/>
        </w:rPr>
        <w:t xml:space="preserve">a few Member States </w:t>
      </w:r>
      <w:r w:rsidR="0070577D">
        <w:rPr>
          <w:noProof/>
        </w:rPr>
        <w:t>had run</w:t>
      </w:r>
      <w:r w:rsidRPr="00193A9A">
        <w:rPr>
          <w:noProof/>
        </w:rPr>
        <w:t xml:space="preserve"> campaigns </w:t>
      </w:r>
      <w:r w:rsidR="00945E14">
        <w:rPr>
          <w:noProof/>
        </w:rPr>
        <w:t>that focused on</w:t>
      </w:r>
      <w:r w:rsidR="002109FA" w:rsidRPr="00193A9A">
        <w:rPr>
          <w:noProof/>
        </w:rPr>
        <w:t xml:space="preserve"> </w:t>
      </w:r>
      <w:r w:rsidR="00A61BCC">
        <w:rPr>
          <w:noProof/>
        </w:rPr>
        <w:t>the</w:t>
      </w:r>
      <w:r w:rsidRPr="00193A9A">
        <w:rPr>
          <w:noProof/>
        </w:rPr>
        <w:t xml:space="preserve"> ground</w:t>
      </w:r>
      <w:r w:rsidR="00A61BCC">
        <w:rPr>
          <w:noProof/>
        </w:rPr>
        <w:t>s</w:t>
      </w:r>
      <w:r w:rsidRPr="00193A9A">
        <w:rPr>
          <w:noProof/>
        </w:rPr>
        <w:t xml:space="preserve"> of discrimination protected </w:t>
      </w:r>
      <w:r w:rsidR="00945E14">
        <w:rPr>
          <w:noProof/>
        </w:rPr>
        <w:t>under</w:t>
      </w:r>
      <w:r w:rsidR="00945E14" w:rsidRPr="00193A9A">
        <w:rPr>
          <w:noProof/>
        </w:rPr>
        <w:t xml:space="preserve"> </w:t>
      </w:r>
      <w:r w:rsidRPr="00193A9A">
        <w:rPr>
          <w:noProof/>
        </w:rPr>
        <w:t xml:space="preserve">the Directives. </w:t>
      </w:r>
      <w:r w:rsidR="00511B7E" w:rsidRPr="00193A9A">
        <w:rPr>
          <w:noProof/>
        </w:rPr>
        <w:t>Most</w:t>
      </w:r>
      <w:r w:rsidR="001A6B93" w:rsidRPr="00193A9A">
        <w:rPr>
          <w:noProof/>
        </w:rPr>
        <w:t xml:space="preserve"> </w:t>
      </w:r>
      <w:r w:rsidRPr="00193A9A">
        <w:rPr>
          <w:noProof/>
        </w:rPr>
        <w:t xml:space="preserve">other campaigns </w:t>
      </w:r>
      <w:r w:rsidR="0070577D">
        <w:rPr>
          <w:noProof/>
        </w:rPr>
        <w:t>focused on</w:t>
      </w:r>
      <w:r w:rsidR="0070577D" w:rsidRPr="00193A9A">
        <w:rPr>
          <w:noProof/>
        </w:rPr>
        <w:t xml:space="preserve"> </w:t>
      </w:r>
      <w:r w:rsidRPr="00193A9A">
        <w:rPr>
          <w:noProof/>
        </w:rPr>
        <w:t>the ground of sex.</w:t>
      </w:r>
      <w:r w:rsidR="00865951" w:rsidRPr="00193A9A">
        <w:rPr>
          <w:noProof/>
        </w:rPr>
        <w:t xml:space="preserve"> </w:t>
      </w:r>
      <w:r w:rsidRPr="00193A9A">
        <w:rPr>
          <w:noProof/>
        </w:rPr>
        <w:t>Of the few campaigns</w:t>
      </w:r>
      <w:r w:rsidR="00D017E9" w:rsidRPr="00193A9A">
        <w:rPr>
          <w:noProof/>
        </w:rPr>
        <w:t xml:space="preserve"> relat</w:t>
      </w:r>
      <w:r w:rsidR="00945E14">
        <w:rPr>
          <w:noProof/>
        </w:rPr>
        <w:t>ing</w:t>
      </w:r>
      <w:r w:rsidR="00D017E9" w:rsidRPr="00193A9A">
        <w:rPr>
          <w:noProof/>
        </w:rPr>
        <w:t xml:space="preserve"> to grounds </w:t>
      </w:r>
      <w:r w:rsidR="00511B7E" w:rsidRPr="00193A9A">
        <w:rPr>
          <w:noProof/>
        </w:rPr>
        <w:t>covered by</w:t>
      </w:r>
      <w:r w:rsidR="00D017E9" w:rsidRPr="00193A9A">
        <w:rPr>
          <w:noProof/>
        </w:rPr>
        <w:t xml:space="preserve"> the Directives</w:t>
      </w:r>
      <w:r w:rsidRPr="00193A9A">
        <w:rPr>
          <w:noProof/>
        </w:rPr>
        <w:t xml:space="preserve">, </w:t>
      </w:r>
      <w:r w:rsidR="00FB33B8" w:rsidRPr="00193A9A">
        <w:rPr>
          <w:noProof/>
        </w:rPr>
        <w:t xml:space="preserve">even </w:t>
      </w:r>
      <w:r w:rsidR="00121BDC" w:rsidRPr="00193A9A">
        <w:rPr>
          <w:noProof/>
        </w:rPr>
        <w:t xml:space="preserve">fewer </w:t>
      </w:r>
      <w:r w:rsidRPr="00193A9A">
        <w:rPr>
          <w:noProof/>
        </w:rPr>
        <w:t xml:space="preserve">addressed rights and obligations </w:t>
      </w:r>
      <w:r w:rsidR="0070577D">
        <w:rPr>
          <w:noProof/>
        </w:rPr>
        <w:t>under</w:t>
      </w:r>
      <w:r w:rsidRPr="00193A9A">
        <w:rPr>
          <w:noProof/>
        </w:rPr>
        <w:t xml:space="preserve"> non-discrimination law</w:t>
      </w:r>
      <w:r w:rsidR="00865951" w:rsidRPr="00193A9A">
        <w:rPr>
          <w:noProof/>
        </w:rPr>
        <w:t>.</w:t>
      </w:r>
      <w:r w:rsidR="00FB33B8" w:rsidRPr="00193A9A">
        <w:rPr>
          <w:noProof/>
        </w:rPr>
        <w:t xml:space="preserve"> </w:t>
      </w:r>
      <w:r w:rsidR="0070577D">
        <w:rPr>
          <w:noProof/>
        </w:rPr>
        <w:t>Similarly</w:t>
      </w:r>
      <w:r w:rsidR="00FB33B8" w:rsidRPr="00193A9A">
        <w:rPr>
          <w:noProof/>
        </w:rPr>
        <w:t xml:space="preserve">, </w:t>
      </w:r>
      <w:r w:rsidR="0070577D">
        <w:rPr>
          <w:noProof/>
        </w:rPr>
        <w:t xml:space="preserve">the </w:t>
      </w:r>
      <w:r w:rsidR="00FB33B8" w:rsidRPr="00193A9A">
        <w:rPr>
          <w:noProof/>
        </w:rPr>
        <w:t xml:space="preserve">campaigns </w:t>
      </w:r>
      <w:r w:rsidR="0070577D">
        <w:rPr>
          <w:noProof/>
        </w:rPr>
        <w:t xml:space="preserve">run </w:t>
      </w:r>
      <w:r w:rsidR="00FB33B8" w:rsidRPr="00193A9A">
        <w:rPr>
          <w:noProof/>
        </w:rPr>
        <w:t xml:space="preserve">by civil society organisations also only occasionally addressed legal rights and obligations </w:t>
      </w:r>
      <w:r w:rsidR="0070577D">
        <w:rPr>
          <w:noProof/>
        </w:rPr>
        <w:t>under</w:t>
      </w:r>
      <w:r w:rsidR="00FB33B8" w:rsidRPr="00193A9A">
        <w:rPr>
          <w:noProof/>
        </w:rPr>
        <w:t xml:space="preserve"> non-discrimination law.</w:t>
      </w:r>
    </w:p>
    <w:p w14:paraId="34584B85" w14:textId="60069B0B" w:rsidR="00E8758D" w:rsidRPr="00193A9A" w:rsidRDefault="00865951" w:rsidP="00E8758D">
      <w:pPr>
        <w:pStyle w:val="Text3"/>
        <w:spacing w:before="240" w:after="0"/>
        <w:ind w:left="446"/>
        <w:rPr>
          <w:noProof/>
        </w:rPr>
      </w:pPr>
      <w:r w:rsidRPr="00193A9A">
        <w:rPr>
          <w:noProof/>
        </w:rPr>
        <w:t xml:space="preserve">Examples of </w:t>
      </w:r>
      <w:r w:rsidR="00FB33B8" w:rsidRPr="00193A9A">
        <w:rPr>
          <w:noProof/>
        </w:rPr>
        <w:t xml:space="preserve">relevant </w:t>
      </w:r>
      <w:r w:rsidRPr="00193A9A">
        <w:rPr>
          <w:noProof/>
        </w:rPr>
        <w:t>campaigns include</w:t>
      </w:r>
      <w:r w:rsidR="00824D5B">
        <w:rPr>
          <w:noProof/>
        </w:rPr>
        <w:t xml:space="preserve"> those</w:t>
      </w:r>
      <w:r w:rsidRPr="00193A9A">
        <w:rPr>
          <w:noProof/>
        </w:rPr>
        <w:t xml:space="preserve"> </w:t>
      </w:r>
      <w:r w:rsidR="00193A9A">
        <w:rPr>
          <w:noProof/>
        </w:rPr>
        <w:t>combating</w:t>
      </w:r>
      <w:r w:rsidRPr="00193A9A">
        <w:rPr>
          <w:noProof/>
        </w:rPr>
        <w:t xml:space="preserve"> anti-gypsyism (in </w:t>
      </w:r>
      <w:r w:rsidR="00424EC0">
        <w:rPr>
          <w:noProof/>
        </w:rPr>
        <w:t>four</w:t>
      </w:r>
      <w:r w:rsidRPr="00193A9A">
        <w:rPr>
          <w:noProof/>
        </w:rPr>
        <w:t xml:space="preserve"> Member States), LGBTIQ</w:t>
      </w:r>
      <w:r w:rsidR="00892B06" w:rsidRPr="00193A9A">
        <w:rPr>
          <w:noProof/>
        </w:rPr>
        <w:t>+</w:t>
      </w:r>
      <w:r w:rsidRPr="00193A9A">
        <w:rPr>
          <w:noProof/>
        </w:rPr>
        <w:t xml:space="preserve"> discrimination (in </w:t>
      </w:r>
      <w:r w:rsidR="00424EC0">
        <w:rPr>
          <w:noProof/>
        </w:rPr>
        <w:t>five</w:t>
      </w:r>
      <w:r w:rsidRPr="00193A9A">
        <w:rPr>
          <w:noProof/>
        </w:rPr>
        <w:t xml:space="preserve"> Member States) and racism (in </w:t>
      </w:r>
      <w:r w:rsidR="00424EC0">
        <w:rPr>
          <w:noProof/>
        </w:rPr>
        <w:t>five</w:t>
      </w:r>
      <w:r w:rsidRPr="00193A9A">
        <w:rPr>
          <w:noProof/>
        </w:rPr>
        <w:t xml:space="preserve"> Member States). </w:t>
      </w:r>
      <w:r w:rsidR="00FB33B8" w:rsidRPr="00193A9A">
        <w:rPr>
          <w:noProof/>
        </w:rPr>
        <w:t>Some t</w:t>
      </w:r>
      <w:r w:rsidRPr="00193A9A">
        <w:rPr>
          <w:noProof/>
        </w:rPr>
        <w:t xml:space="preserve">argeted campaigns </w:t>
      </w:r>
      <w:r w:rsidR="00FB33B8" w:rsidRPr="00193A9A">
        <w:rPr>
          <w:noProof/>
        </w:rPr>
        <w:t xml:space="preserve">also </w:t>
      </w:r>
      <w:r w:rsidRPr="00193A9A">
        <w:rPr>
          <w:noProof/>
        </w:rPr>
        <w:t>focused on age discrimination, accessibility and housing.</w:t>
      </w:r>
    </w:p>
    <w:p w14:paraId="3848EEDE" w14:textId="7C302EDE" w:rsidR="00846E1C" w:rsidRPr="00193A9A" w:rsidRDefault="00846E1C" w:rsidP="00E8758D">
      <w:pPr>
        <w:pStyle w:val="Text3"/>
        <w:spacing w:before="240"/>
        <w:ind w:left="446"/>
        <w:rPr>
          <w:noProof/>
        </w:rPr>
      </w:pPr>
      <w:r w:rsidRPr="00193A9A">
        <w:rPr>
          <w:noProof/>
        </w:rPr>
        <w:t xml:space="preserve">Furthermore, </w:t>
      </w:r>
      <w:r w:rsidR="00824D5B">
        <w:rPr>
          <w:noProof/>
        </w:rPr>
        <w:t xml:space="preserve">the </w:t>
      </w:r>
      <w:r w:rsidRPr="00193A9A">
        <w:rPr>
          <w:noProof/>
        </w:rPr>
        <w:t>campaigns reported by all types of stakeholders usually target the general public and are rarely evaluated for their impact, apart from tracking social media traffic or counting complaint numbers. Finally, civil society organisations highlighted that some Member States’ campaigns are not sustained over time.</w:t>
      </w:r>
    </w:p>
    <w:tbl>
      <w:tblPr>
        <w:tblStyle w:val="EurolookClassicPurple2"/>
        <w:tblW w:w="0" w:type="auto"/>
        <w:tblInd w:w="442" w:type="dxa"/>
        <w:tblLook w:val="0620" w:firstRow="1" w:lastRow="0" w:firstColumn="0" w:lastColumn="0" w:noHBand="1" w:noVBand="1"/>
      </w:tblPr>
      <w:tblGrid>
        <w:gridCol w:w="8160"/>
      </w:tblGrid>
      <w:tr w:rsidR="00846E1C" w:rsidRPr="00193A9A" w14:paraId="6AF7977D" w14:textId="77777777" w:rsidTr="00CC6348">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61007E3B" w14:textId="788D409D" w:rsidR="00846E1C" w:rsidRPr="00193A9A" w:rsidRDefault="00846E1C" w:rsidP="001B611E">
            <w:pPr>
              <w:pStyle w:val="TableText"/>
              <w:rPr>
                <w:b/>
                <w:bCs/>
                <w:noProof/>
              </w:rPr>
            </w:pPr>
            <w:r w:rsidRPr="00193A9A">
              <w:rPr>
                <w:b/>
                <w:bCs/>
                <w:noProof/>
              </w:rPr>
              <w:t xml:space="preserve">Box </w:t>
            </w:r>
            <w:r w:rsidR="00CC6348">
              <w:rPr>
                <w:b/>
                <w:bCs/>
                <w:noProof/>
              </w:rPr>
              <w:t>3</w:t>
            </w:r>
            <w:r w:rsidRPr="00193A9A">
              <w:rPr>
                <w:b/>
                <w:bCs/>
                <w:noProof/>
              </w:rPr>
              <w:t>. Anti-discrimination platform of the French equality body</w:t>
            </w:r>
            <w:r w:rsidR="00546535">
              <w:rPr>
                <w:b/>
                <w:bCs/>
                <w:noProof/>
              </w:rPr>
              <w:t> </w:t>
            </w:r>
            <w:r w:rsidRPr="00193A9A">
              <w:rPr>
                <w:b/>
                <w:bCs/>
                <w:noProof/>
              </w:rPr>
              <w:t>(</w:t>
            </w:r>
            <w:r w:rsidRPr="00CC6348">
              <w:rPr>
                <w:rStyle w:val="FootnoteReference"/>
                <w:bCs/>
                <w:noProof/>
              </w:rPr>
              <w:footnoteReference w:id="65"/>
            </w:r>
            <w:r w:rsidRPr="00193A9A">
              <w:rPr>
                <w:b/>
                <w:bCs/>
                <w:noProof/>
              </w:rPr>
              <w:t>)</w:t>
            </w:r>
          </w:p>
        </w:tc>
      </w:tr>
      <w:tr w:rsidR="00846E1C" w:rsidRPr="00193A9A" w14:paraId="1AAFBDD3" w14:textId="77777777" w:rsidTr="001B611E">
        <w:trPr>
          <w:cantSplit/>
        </w:trPr>
        <w:tc>
          <w:tcPr>
            <w:tcW w:w="8160" w:type="dxa"/>
          </w:tcPr>
          <w:p w14:paraId="377B927E" w14:textId="349331F0" w:rsidR="00846E1C" w:rsidRPr="00193A9A" w:rsidRDefault="00846E1C" w:rsidP="001B611E">
            <w:pPr>
              <w:pStyle w:val="Text2"/>
              <w:ind w:left="0"/>
              <w:rPr>
                <w:noProof/>
              </w:rPr>
            </w:pPr>
            <w:r w:rsidRPr="00193A9A">
              <w:rPr>
                <w:noProof/>
              </w:rPr>
              <w:t>In 2021, the</w:t>
            </w:r>
            <w:r w:rsidR="004A76D5">
              <w:rPr>
                <w:noProof/>
              </w:rPr>
              <w:t xml:space="preserve"> French equality body</w:t>
            </w:r>
            <w:r w:rsidRPr="00193A9A">
              <w:rPr>
                <w:noProof/>
              </w:rPr>
              <w:t xml:space="preserve"> </w:t>
            </w:r>
            <w:r w:rsidR="004A76D5" w:rsidRPr="004A76D5">
              <w:rPr>
                <w:noProof/>
              </w:rPr>
              <w:t xml:space="preserve">Défenseur des droits </w:t>
            </w:r>
            <w:r w:rsidR="004A76D5">
              <w:rPr>
                <w:noProof/>
              </w:rPr>
              <w:t>[</w:t>
            </w:r>
            <w:r w:rsidRPr="00193A9A">
              <w:rPr>
                <w:noProof/>
              </w:rPr>
              <w:t>Defender of Rights</w:t>
            </w:r>
            <w:r w:rsidR="004A76D5">
              <w:rPr>
                <w:noProof/>
              </w:rPr>
              <w:t>]</w:t>
            </w:r>
            <w:r w:rsidRPr="00193A9A">
              <w:rPr>
                <w:noProof/>
              </w:rPr>
              <w:t xml:space="preserve"> launched an anti-discrimination platform. The platform mobilised social media content creators to promote its anti-discrimination activities. The equality body also ran a keyword purchasing campaign to redirect visitors to the platform. By 2024, </w:t>
            </w:r>
            <w:r w:rsidR="004A76D5">
              <w:rPr>
                <w:noProof/>
              </w:rPr>
              <w:t>it</w:t>
            </w:r>
            <w:r w:rsidRPr="00193A9A">
              <w:rPr>
                <w:noProof/>
              </w:rPr>
              <w:t xml:space="preserve"> had 2</w:t>
            </w:r>
            <w:r w:rsidR="00193A9A">
              <w:rPr>
                <w:noProof/>
              </w:rPr>
              <w:t> </w:t>
            </w:r>
            <w:r w:rsidRPr="00193A9A">
              <w:rPr>
                <w:noProof/>
              </w:rPr>
              <w:t>109</w:t>
            </w:r>
            <w:r w:rsidR="00193A9A">
              <w:rPr>
                <w:noProof/>
              </w:rPr>
              <w:t> </w:t>
            </w:r>
            <w:r w:rsidRPr="00193A9A">
              <w:rPr>
                <w:noProof/>
              </w:rPr>
              <w:t xml:space="preserve">000 </w:t>
            </w:r>
            <w:r w:rsidR="004A76D5">
              <w:rPr>
                <w:noProof/>
              </w:rPr>
              <w:t>views</w:t>
            </w:r>
            <w:r w:rsidRPr="00193A9A">
              <w:rPr>
                <w:noProof/>
              </w:rPr>
              <w:t xml:space="preserve">. The top keywords </w:t>
            </w:r>
            <w:r w:rsidR="00A95500">
              <w:rPr>
                <w:noProof/>
              </w:rPr>
              <w:t xml:space="preserve">searched for online </w:t>
            </w:r>
            <w:r w:rsidRPr="00193A9A">
              <w:rPr>
                <w:noProof/>
              </w:rPr>
              <w:t xml:space="preserve">were </w:t>
            </w:r>
            <w:r w:rsidR="00193A9A">
              <w:rPr>
                <w:noProof/>
              </w:rPr>
              <w:t>‘</w:t>
            </w:r>
            <w:r w:rsidRPr="00193A9A">
              <w:rPr>
                <w:noProof/>
              </w:rPr>
              <w:t>harassment at work</w:t>
            </w:r>
            <w:r w:rsidR="00193A9A">
              <w:rPr>
                <w:noProof/>
              </w:rPr>
              <w:t>’</w:t>
            </w:r>
            <w:r w:rsidRPr="00193A9A">
              <w:rPr>
                <w:noProof/>
              </w:rPr>
              <w:t xml:space="preserve">, </w:t>
            </w:r>
            <w:r w:rsidR="00193A9A">
              <w:rPr>
                <w:noProof/>
              </w:rPr>
              <w:t>‘</w:t>
            </w:r>
            <w:r w:rsidRPr="00193A9A">
              <w:rPr>
                <w:noProof/>
              </w:rPr>
              <w:t>racial discrimination</w:t>
            </w:r>
            <w:r w:rsidR="00193A9A">
              <w:rPr>
                <w:noProof/>
              </w:rPr>
              <w:t>’</w:t>
            </w:r>
            <w:r w:rsidRPr="00193A9A">
              <w:rPr>
                <w:noProof/>
              </w:rPr>
              <w:t xml:space="preserve"> and </w:t>
            </w:r>
            <w:r w:rsidR="00193A9A">
              <w:rPr>
                <w:noProof/>
              </w:rPr>
              <w:t>‘</w:t>
            </w:r>
            <w:r w:rsidR="004A76D5">
              <w:rPr>
                <w:noProof/>
              </w:rPr>
              <w:t>psychological</w:t>
            </w:r>
            <w:r w:rsidR="004A76D5" w:rsidRPr="00193A9A">
              <w:rPr>
                <w:noProof/>
              </w:rPr>
              <w:t xml:space="preserve"> </w:t>
            </w:r>
            <w:r w:rsidRPr="00193A9A">
              <w:rPr>
                <w:noProof/>
              </w:rPr>
              <w:t>harassment at work</w:t>
            </w:r>
            <w:r w:rsidR="00193A9A">
              <w:rPr>
                <w:noProof/>
              </w:rPr>
              <w:t>’</w:t>
            </w:r>
            <w:r w:rsidRPr="00193A9A">
              <w:rPr>
                <w:noProof/>
              </w:rPr>
              <w:t>.</w:t>
            </w:r>
          </w:p>
        </w:tc>
      </w:tr>
    </w:tbl>
    <w:p w14:paraId="6311F728" w14:textId="6F9DC514" w:rsidR="00846E1C" w:rsidRPr="00193A9A" w:rsidRDefault="0050097D" w:rsidP="00846E1C">
      <w:pPr>
        <w:pStyle w:val="Text2"/>
        <w:spacing w:before="240"/>
        <w:ind w:left="475"/>
        <w:rPr>
          <w:noProof/>
        </w:rPr>
      </w:pPr>
      <w:r>
        <w:rPr>
          <w:noProof/>
        </w:rPr>
        <w:t>Besides</w:t>
      </w:r>
      <w:r w:rsidR="00846E1C" w:rsidRPr="00193A9A">
        <w:rPr>
          <w:noProof/>
        </w:rPr>
        <w:t xml:space="preserve"> lack of awareness, </w:t>
      </w:r>
      <w:r>
        <w:rPr>
          <w:noProof/>
        </w:rPr>
        <w:t xml:space="preserve">the </w:t>
      </w:r>
      <w:r w:rsidR="00846E1C" w:rsidRPr="00193A9A">
        <w:rPr>
          <w:noProof/>
        </w:rPr>
        <w:t>equality bodies and civil society organisations identified fear of victimisation and ‘inequality of arms’</w:t>
      </w:r>
      <w:r>
        <w:rPr>
          <w:noProof/>
        </w:rPr>
        <w:t> </w:t>
      </w:r>
      <w:r w:rsidR="00846E1C" w:rsidRPr="00193A9A">
        <w:rPr>
          <w:noProof/>
        </w:rPr>
        <w:t>(</w:t>
      </w:r>
      <w:r w:rsidR="00846E1C" w:rsidRPr="00193A9A">
        <w:rPr>
          <w:rStyle w:val="FootnoteReference"/>
          <w:noProof/>
        </w:rPr>
        <w:footnoteReference w:id="66"/>
      </w:r>
      <w:r w:rsidR="00846E1C" w:rsidRPr="00193A9A">
        <w:rPr>
          <w:noProof/>
        </w:rPr>
        <w:t xml:space="preserve">) as key obstacles to accessing justice. </w:t>
      </w:r>
      <w:r w:rsidR="009640EE">
        <w:rPr>
          <w:noProof/>
        </w:rPr>
        <w:t>T</w:t>
      </w:r>
      <w:r w:rsidR="00846E1C" w:rsidRPr="00193A9A">
        <w:rPr>
          <w:noProof/>
        </w:rPr>
        <w:t xml:space="preserve">hey </w:t>
      </w:r>
      <w:r w:rsidR="009640EE">
        <w:rPr>
          <w:noProof/>
        </w:rPr>
        <w:t xml:space="preserve">also </w:t>
      </w:r>
      <w:r w:rsidR="00846E1C" w:rsidRPr="00193A9A">
        <w:rPr>
          <w:noProof/>
        </w:rPr>
        <w:t xml:space="preserve">considered access to justice </w:t>
      </w:r>
      <w:r w:rsidR="004506DC">
        <w:rPr>
          <w:noProof/>
        </w:rPr>
        <w:t>to be</w:t>
      </w:r>
      <w:r w:rsidR="004506DC" w:rsidRPr="00193A9A">
        <w:rPr>
          <w:noProof/>
        </w:rPr>
        <w:t xml:space="preserve"> </w:t>
      </w:r>
      <w:r w:rsidR="00846E1C" w:rsidRPr="00193A9A">
        <w:rPr>
          <w:noProof/>
        </w:rPr>
        <w:t xml:space="preserve">hindered by insufficient legal advice and assistance, </w:t>
      </w:r>
      <w:r w:rsidR="009640EE">
        <w:rPr>
          <w:noProof/>
        </w:rPr>
        <w:t xml:space="preserve">the </w:t>
      </w:r>
      <w:r w:rsidR="00846E1C" w:rsidRPr="00193A9A">
        <w:rPr>
          <w:noProof/>
        </w:rPr>
        <w:t>complexity of legal proceedings and procedural obstacles, including the absence of collective redress in some Member States.</w:t>
      </w:r>
    </w:p>
    <w:p w14:paraId="43439984" w14:textId="03AB6EF4" w:rsidR="00846E1C" w:rsidRPr="00193A9A" w:rsidRDefault="00846E1C" w:rsidP="00846E1C">
      <w:pPr>
        <w:pStyle w:val="Text2"/>
        <w:ind w:left="482"/>
        <w:rPr>
          <w:noProof/>
        </w:rPr>
      </w:pPr>
      <w:r w:rsidRPr="00193A9A">
        <w:rPr>
          <w:noProof/>
        </w:rPr>
        <w:t xml:space="preserve">The previous report on the application of the two Directives identified a range of good </w:t>
      </w:r>
      <w:r w:rsidRPr="009640EE">
        <w:rPr>
          <w:noProof/>
        </w:rPr>
        <w:t>practices</w:t>
      </w:r>
      <w:r w:rsidRPr="00193A9A">
        <w:rPr>
          <w:noProof/>
        </w:rPr>
        <w:t xml:space="preserve"> intended to </w:t>
      </w:r>
      <w:r w:rsidR="009640EE">
        <w:rPr>
          <w:noProof/>
        </w:rPr>
        <w:t xml:space="preserve">make it easier to defend </w:t>
      </w:r>
      <w:r w:rsidRPr="00193A9A">
        <w:rPr>
          <w:noProof/>
        </w:rPr>
        <w:t>the rights of victims of discrimination (</w:t>
      </w:r>
      <w:r w:rsidRPr="00193A9A">
        <w:rPr>
          <w:rStyle w:val="FootnoteReference"/>
          <w:noProof/>
        </w:rPr>
        <w:footnoteReference w:id="67"/>
      </w:r>
      <w:r w:rsidRPr="00193A9A">
        <w:rPr>
          <w:noProof/>
        </w:rPr>
        <w:t xml:space="preserve">). </w:t>
      </w:r>
      <w:r w:rsidR="009640EE">
        <w:rPr>
          <w:noProof/>
        </w:rPr>
        <w:t xml:space="preserve">A total of </w:t>
      </w:r>
      <w:r w:rsidRPr="00193A9A">
        <w:rPr>
          <w:noProof/>
        </w:rPr>
        <w:t xml:space="preserve">21 Member States have implemented or </w:t>
      </w:r>
      <w:r w:rsidR="009640EE">
        <w:rPr>
          <w:noProof/>
        </w:rPr>
        <w:t>are</w:t>
      </w:r>
      <w:r w:rsidRPr="00193A9A">
        <w:rPr>
          <w:noProof/>
        </w:rPr>
        <w:t xml:space="preserve"> implementing some of </w:t>
      </w:r>
      <w:r w:rsidR="00893362">
        <w:rPr>
          <w:noProof/>
        </w:rPr>
        <w:t>those</w:t>
      </w:r>
      <w:r w:rsidR="009640EE" w:rsidRPr="00193A9A">
        <w:rPr>
          <w:noProof/>
        </w:rPr>
        <w:t xml:space="preserve"> </w:t>
      </w:r>
      <w:r w:rsidRPr="009640EE">
        <w:rPr>
          <w:noProof/>
        </w:rPr>
        <w:t>practices</w:t>
      </w:r>
      <w:r w:rsidRPr="00193A9A">
        <w:rPr>
          <w:noProof/>
        </w:rPr>
        <w:t xml:space="preserve">, </w:t>
      </w:r>
      <w:r w:rsidR="009640EE">
        <w:rPr>
          <w:noProof/>
        </w:rPr>
        <w:t>the most common ones being</w:t>
      </w:r>
      <w:r w:rsidRPr="00193A9A">
        <w:rPr>
          <w:noProof/>
        </w:rPr>
        <w:t xml:space="preserve"> legal aid (12 Member States), online reporting and improved access to local services (eight Member States).</w:t>
      </w:r>
    </w:p>
    <w:p w14:paraId="13652A95" w14:textId="6164C030" w:rsidR="00846E1C" w:rsidRPr="00193A9A" w:rsidRDefault="00DA6F2A" w:rsidP="00846E1C">
      <w:pPr>
        <w:pStyle w:val="Text1"/>
        <w:rPr>
          <w:noProof/>
        </w:rPr>
      </w:pPr>
      <w:r>
        <w:rPr>
          <w:noProof/>
        </w:rPr>
        <w:t xml:space="preserve">Other than </w:t>
      </w:r>
      <w:r w:rsidR="005B6334">
        <w:rPr>
          <w:noProof/>
        </w:rPr>
        <w:t>that</w:t>
      </w:r>
      <w:r w:rsidR="00846E1C" w:rsidRPr="00193A9A">
        <w:rPr>
          <w:noProof/>
        </w:rPr>
        <w:t xml:space="preserve">, </w:t>
      </w:r>
      <w:r w:rsidR="00846E1C" w:rsidRPr="00193A9A" w:rsidDel="005E1FEE">
        <w:rPr>
          <w:noProof/>
        </w:rPr>
        <w:t xml:space="preserve">Member States rarely </w:t>
      </w:r>
      <w:r>
        <w:rPr>
          <w:noProof/>
        </w:rPr>
        <w:t xml:space="preserve">take measures to </w:t>
      </w:r>
      <w:r w:rsidR="00846E1C" w:rsidRPr="00193A9A" w:rsidDel="005E1FEE">
        <w:rPr>
          <w:noProof/>
        </w:rPr>
        <w:t xml:space="preserve">address the procedural bottlenecks to effective access to justice. </w:t>
      </w:r>
      <w:r w:rsidR="00846E1C" w:rsidRPr="00193A9A">
        <w:rPr>
          <w:noProof/>
        </w:rPr>
        <w:t xml:space="preserve">For example, </w:t>
      </w:r>
      <w:r w:rsidR="005B6334">
        <w:rPr>
          <w:noProof/>
        </w:rPr>
        <w:t xml:space="preserve">only </w:t>
      </w:r>
      <w:r w:rsidR="00846E1C" w:rsidRPr="00193A9A">
        <w:rPr>
          <w:noProof/>
        </w:rPr>
        <w:t>two Member States waived court fees for discrimination cases or set up accessible dispute resolution bodies</w:t>
      </w:r>
      <w:r w:rsidR="005B6334">
        <w:rPr>
          <w:noProof/>
        </w:rPr>
        <w:t xml:space="preserve"> and just</w:t>
      </w:r>
      <w:r w:rsidR="00846E1C" w:rsidRPr="00193A9A">
        <w:rPr>
          <w:noProof/>
        </w:rPr>
        <w:t xml:space="preserve"> </w:t>
      </w:r>
      <w:r w:rsidR="005B6334">
        <w:rPr>
          <w:noProof/>
        </w:rPr>
        <w:t>o</w:t>
      </w:r>
      <w:r w:rsidR="00846E1C" w:rsidRPr="00193A9A">
        <w:rPr>
          <w:noProof/>
        </w:rPr>
        <w:t xml:space="preserve">ne Member State set up funds </w:t>
      </w:r>
      <w:r>
        <w:rPr>
          <w:noProof/>
        </w:rPr>
        <w:t>to</w:t>
      </w:r>
      <w:r w:rsidRPr="00193A9A">
        <w:rPr>
          <w:noProof/>
        </w:rPr>
        <w:t xml:space="preserve"> </w:t>
      </w:r>
      <w:r w:rsidR="00846E1C" w:rsidRPr="00193A9A">
        <w:rPr>
          <w:noProof/>
        </w:rPr>
        <w:t>provide victims with advance coverage of legal costs. Although</w:t>
      </w:r>
      <w:r w:rsidR="005B6334">
        <w:rPr>
          <w:noProof/>
        </w:rPr>
        <w:t xml:space="preserve"> it was</w:t>
      </w:r>
      <w:r w:rsidR="00846E1C" w:rsidRPr="00193A9A">
        <w:rPr>
          <w:noProof/>
        </w:rPr>
        <w:t xml:space="preserve"> identified as </w:t>
      </w:r>
      <w:r w:rsidR="005B6334">
        <w:rPr>
          <w:noProof/>
        </w:rPr>
        <w:t xml:space="preserve">a </w:t>
      </w:r>
      <w:r w:rsidR="00846E1C" w:rsidRPr="00193A9A">
        <w:rPr>
          <w:noProof/>
        </w:rPr>
        <w:t xml:space="preserve">good </w:t>
      </w:r>
      <w:r w:rsidR="00846E1C" w:rsidRPr="005B6334">
        <w:rPr>
          <w:noProof/>
        </w:rPr>
        <w:t>practice</w:t>
      </w:r>
      <w:r w:rsidR="00A95500">
        <w:rPr>
          <w:noProof/>
        </w:rPr>
        <w:t xml:space="preserve"> in the past report</w:t>
      </w:r>
      <w:r w:rsidR="00846E1C" w:rsidRPr="00193A9A">
        <w:rPr>
          <w:noProof/>
        </w:rPr>
        <w:t>, no Member State reduced court fees for discrimination cases.</w:t>
      </w:r>
    </w:p>
    <w:p w14:paraId="30D335E9" w14:textId="3E3C2CAB" w:rsidR="00C575B9" w:rsidRPr="00193A9A" w:rsidRDefault="003C4750" w:rsidP="0032458C">
      <w:pPr>
        <w:pStyle w:val="Text2"/>
        <w:ind w:left="482"/>
        <w:rPr>
          <w:noProof/>
        </w:rPr>
      </w:pPr>
      <w:r w:rsidRPr="00193A9A">
        <w:rPr>
          <w:noProof/>
        </w:rPr>
        <w:t>The new Equality Bodies Directives will help address some of the issues identified</w:t>
      </w:r>
      <w:r w:rsidR="00511B7E" w:rsidRPr="00193A9A">
        <w:rPr>
          <w:noProof/>
        </w:rPr>
        <w:t>,</w:t>
      </w:r>
      <w:r w:rsidRPr="00193A9A">
        <w:rPr>
          <w:noProof/>
        </w:rPr>
        <w:t xml:space="preserve"> notably by </w:t>
      </w:r>
      <w:r w:rsidR="00CC7EB1">
        <w:rPr>
          <w:noProof/>
        </w:rPr>
        <w:t>giving</w:t>
      </w:r>
      <w:r w:rsidR="00846E1C" w:rsidRPr="00193A9A">
        <w:rPr>
          <w:noProof/>
        </w:rPr>
        <w:t xml:space="preserve"> equality bodies</w:t>
      </w:r>
      <w:r w:rsidR="00CC7EB1">
        <w:rPr>
          <w:noProof/>
        </w:rPr>
        <w:t xml:space="preserve"> greater powers to</w:t>
      </w:r>
      <w:r w:rsidR="00846E1C" w:rsidRPr="00193A9A">
        <w:rPr>
          <w:noProof/>
        </w:rPr>
        <w:t xml:space="preserve"> provid</w:t>
      </w:r>
      <w:r w:rsidR="00CC7EB1">
        <w:rPr>
          <w:noProof/>
        </w:rPr>
        <w:t>e</w:t>
      </w:r>
      <w:r w:rsidR="00846E1C" w:rsidRPr="00193A9A">
        <w:rPr>
          <w:noProof/>
        </w:rPr>
        <w:t xml:space="preserve"> free assistance and alternative dispute resolution services and </w:t>
      </w:r>
      <w:r w:rsidR="005B6334">
        <w:rPr>
          <w:noProof/>
        </w:rPr>
        <w:t>by giving them</w:t>
      </w:r>
      <w:r w:rsidR="005B6334" w:rsidRPr="00193A9A">
        <w:rPr>
          <w:noProof/>
        </w:rPr>
        <w:t xml:space="preserve"> </w:t>
      </w:r>
      <w:r w:rsidR="00846E1C" w:rsidRPr="00193A9A">
        <w:rPr>
          <w:noProof/>
        </w:rPr>
        <w:t>litigation powers.</w:t>
      </w:r>
    </w:p>
    <w:p w14:paraId="6B600515" w14:textId="594AE621" w:rsidR="00846E1C" w:rsidRPr="00193A9A" w:rsidRDefault="00846E1C" w:rsidP="0032458C">
      <w:pPr>
        <w:pStyle w:val="Text2"/>
        <w:ind w:left="482"/>
        <w:rPr>
          <w:noProof/>
        </w:rPr>
      </w:pPr>
      <w:r w:rsidRPr="00193A9A">
        <w:rPr>
          <w:noProof/>
        </w:rPr>
        <w:t xml:space="preserve">Another </w:t>
      </w:r>
      <w:r w:rsidR="0036739A">
        <w:rPr>
          <w:noProof/>
        </w:rPr>
        <w:t>way</w:t>
      </w:r>
      <w:r w:rsidR="0036739A" w:rsidRPr="00193A9A">
        <w:rPr>
          <w:noProof/>
        </w:rPr>
        <w:t xml:space="preserve"> </w:t>
      </w:r>
      <w:r w:rsidRPr="00193A9A">
        <w:rPr>
          <w:noProof/>
        </w:rPr>
        <w:t xml:space="preserve">of improving victims’ access to justice is </w:t>
      </w:r>
      <w:r w:rsidR="0036739A">
        <w:rPr>
          <w:noProof/>
        </w:rPr>
        <w:t>for</w:t>
      </w:r>
      <w:r w:rsidRPr="00193A9A">
        <w:rPr>
          <w:noProof/>
        </w:rPr>
        <w:t xml:space="preserve"> equality bodies and civil society organisations </w:t>
      </w:r>
      <w:r w:rsidR="0036739A">
        <w:rPr>
          <w:noProof/>
        </w:rPr>
        <w:t xml:space="preserve">to collaborate </w:t>
      </w:r>
      <w:r w:rsidRPr="00193A9A">
        <w:rPr>
          <w:noProof/>
        </w:rPr>
        <w:t>on strategic litigation cases.</w:t>
      </w:r>
    </w:p>
    <w:p w14:paraId="66C52CDB" w14:textId="7E3F8F30" w:rsidR="009979EB" w:rsidRPr="00193A9A" w:rsidRDefault="009979EB" w:rsidP="00B61149">
      <w:pPr>
        <w:pStyle w:val="Heading2"/>
        <w:ind w:left="1195"/>
        <w:rPr>
          <w:noProof/>
        </w:rPr>
      </w:pPr>
      <w:r w:rsidRPr="00193A9A">
        <w:rPr>
          <w:noProof/>
        </w:rPr>
        <w:t>Proving a discrimination case</w:t>
      </w:r>
      <w:bookmarkEnd w:id="15"/>
    </w:p>
    <w:p w14:paraId="3556BDBA" w14:textId="1F9D66AC" w:rsidR="009979EB" w:rsidRPr="00193A9A" w:rsidRDefault="009979EB" w:rsidP="009979EB">
      <w:pPr>
        <w:pStyle w:val="Text2"/>
        <w:ind w:left="475"/>
        <w:rPr>
          <w:noProof/>
        </w:rPr>
      </w:pPr>
      <w:r w:rsidRPr="00193A9A">
        <w:rPr>
          <w:noProof/>
        </w:rPr>
        <w:t xml:space="preserve">The </w:t>
      </w:r>
      <w:r w:rsidR="0036739A">
        <w:rPr>
          <w:noProof/>
        </w:rPr>
        <w:t>last</w:t>
      </w:r>
      <w:r w:rsidR="0036739A" w:rsidRPr="00193A9A">
        <w:rPr>
          <w:noProof/>
        </w:rPr>
        <w:t xml:space="preserve"> </w:t>
      </w:r>
      <w:r w:rsidRPr="00193A9A">
        <w:rPr>
          <w:noProof/>
        </w:rPr>
        <w:t>report highlighted difficulties in proving discrimination as a key challenge for enforcement. This report show</w:t>
      </w:r>
      <w:r w:rsidR="0036739A">
        <w:rPr>
          <w:noProof/>
        </w:rPr>
        <w:t>s</w:t>
      </w:r>
      <w:r w:rsidRPr="00193A9A">
        <w:rPr>
          <w:noProof/>
        </w:rPr>
        <w:t xml:space="preserve"> </w:t>
      </w:r>
      <w:r w:rsidR="0036739A">
        <w:rPr>
          <w:noProof/>
        </w:rPr>
        <w:t>that</w:t>
      </w:r>
      <w:r w:rsidRPr="00193A9A">
        <w:rPr>
          <w:noProof/>
        </w:rPr>
        <w:t xml:space="preserve"> stakeholders </w:t>
      </w:r>
      <w:r w:rsidR="0036739A">
        <w:rPr>
          <w:noProof/>
        </w:rPr>
        <w:t xml:space="preserve">still have concerns </w:t>
      </w:r>
      <w:r w:rsidRPr="00193A9A">
        <w:rPr>
          <w:noProof/>
        </w:rPr>
        <w:t>about proving discrimination in relation to indirect discrimination, harassment, instructions to discriminate, multiple discrimination</w:t>
      </w:r>
      <w:r w:rsidR="00CE24DB" w:rsidRPr="00193A9A">
        <w:rPr>
          <w:noProof/>
        </w:rPr>
        <w:t xml:space="preserve"> and</w:t>
      </w:r>
      <w:r w:rsidRPr="00193A9A">
        <w:rPr>
          <w:noProof/>
        </w:rPr>
        <w:t xml:space="preserve"> victimisation.</w:t>
      </w:r>
    </w:p>
    <w:p w14:paraId="5BB95F30" w14:textId="77777777" w:rsidR="009979EB" w:rsidRPr="00193A9A" w:rsidRDefault="009979EB" w:rsidP="009979EB">
      <w:pPr>
        <w:pStyle w:val="Text2"/>
        <w:ind w:left="475"/>
        <w:rPr>
          <w:b/>
          <w:bCs/>
          <w:noProof/>
        </w:rPr>
      </w:pPr>
      <w:r w:rsidRPr="00193A9A">
        <w:rPr>
          <w:b/>
          <w:bCs/>
          <w:noProof/>
        </w:rPr>
        <w:t>Burden of proof</w:t>
      </w:r>
    </w:p>
    <w:p w14:paraId="71858D60" w14:textId="181A8426" w:rsidR="009979EB" w:rsidRPr="00193A9A" w:rsidRDefault="009979EB" w:rsidP="009979EB">
      <w:pPr>
        <w:pStyle w:val="Text2"/>
        <w:ind w:left="475"/>
        <w:rPr>
          <w:noProof/>
        </w:rPr>
      </w:pPr>
      <w:r w:rsidRPr="00193A9A">
        <w:rPr>
          <w:noProof/>
        </w:rPr>
        <w:t xml:space="preserve">Under the Directives, complainants benefit from </w:t>
      </w:r>
      <w:r w:rsidR="006C08A6" w:rsidRPr="00193A9A">
        <w:rPr>
          <w:noProof/>
        </w:rPr>
        <w:t xml:space="preserve">the </w:t>
      </w:r>
      <w:r w:rsidR="00A61BCC">
        <w:rPr>
          <w:noProof/>
        </w:rPr>
        <w:t>shift</w:t>
      </w:r>
      <w:r w:rsidR="00A61BCC" w:rsidRPr="00193A9A">
        <w:rPr>
          <w:noProof/>
        </w:rPr>
        <w:t xml:space="preserve"> </w:t>
      </w:r>
      <w:r w:rsidR="00074BD0" w:rsidRPr="00193A9A">
        <w:rPr>
          <w:noProof/>
        </w:rPr>
        <w:t>of</w:t>
      </w:r>
      <w:r w:rsidRPr="00193A9A">
        <w:rPr>
          <w:noProof/>
        </w:rPr>
        <w:t xml:space="preserve"> the burden of proof (</w:t>
      </w:r>
      <w:r w:rsidRPr="00193A9A">
        <w:rPr>
          <w:rStyle w:val="FootnoteReference"/>
          <w:noProof/>
        </w:rPr>
        <w:footnoteReference w:id="68"/>
      </w:r>
      <w:r w:rsidRPr="00193A9A">
        <w:rPr>
          <w:noProof/>
        </w:rPr>
        <w:t xml:space="preserve">). </w:t>
      </w:r>
      <w:r w:rsidR="00A61BCC">
        <w:rPr>
          <w:noProof/>
        </w:rPr>
        <w:t>The Directives require</w:t>
      </w:r>
      <w:r w:rsidR="006F1564">
        <w:rPr>
          <w:noProof/>
        </w:rPr>
        <w:t xml:space="preserve"> that,</w:t>
      </w:r>
      <w:r w:rsidR="006F1564" w:rsidRPr="00193A9A">
        <w:rPr>
          <w:noProof/>
        </w:rPr>
        <w:t xml:space="preserve"> where the complainant presents facts from which discrimination can be presumed</w:t>
      </w:r>
      <w:r w:rsidR="006F1564">
        <w:rPr>
          <w:noProof/>
        </w:rPr>
        <w:t>,</w:t>
      </w:r>
      <w:r w:rsidR="006F1564" w:rsidRPr="00193A9A">
        <w:rPr>
          <w:noProof/>
        </w:rPr>
        <w:t xml:space="preserve"> </w:t>
      </w:r>
      <w:r w:rsidRPr="00193A9A">
        <w:rPr>
          <w:noProof/>
        </w:rPr>
        <w:t>the burden of proof shift</w:t>
      </w:r>
      <w:r w:rsidR="006F1564">
        <w:rPr>
          <w:noProof/>
        </w:rPr>
        <w:t>s</w:t>
      </w:r>
      <w:r w:rsidRPr="00193A9A">
        <w:rPr>
          <w:noProof/>
        </w:rPr>
        <w:t xml:space="preserve"> to the defendant. However, the practical implementation of this principle faces multiple challenges.</w:t>
      </w:r>
    </w:p>
    <w:p w14:paraId="2B8D8D05" w14:textId="4C4C61D2" w:rsidR="009979EB" w:rsidRPr="00193A9A" w:rsidRDefault="006F1564" w:rsidP="009979EB">
      <w:pPr>
        <w:pStyle w:val="Text2"/>
        <w:ind w:left="475"/>
        <w:rPr>
          <w:noProof/>
        </w:rPr>
      </w:pPr>
      <w:r>
        <w:rPr>
          <w:noProof/>
        </w:rPr>
        <w:t>T</w:t>
      </w:r>
      <w:r w:rsidR="00A033A9" w:rsidRPr="00193A9A">
        <w:rPr>
          <w:noProof/>
        </w:rPr>
        <w:t>hree quarters</w:t>
      </w:r>
      <w:r w:rsidR="00C667AD" w:rsidRPr="00193A9A">
        <w:rPr>
          <w:noProof/>
        </w:rPr>
        <w:t xml:space="preserve"> of the</w:t>
      </w:r>
      <w:r w:rsidR="00A033A9" w:rsidRPr="00193A9A">
        <w:rPr>
          <w:noProof/>
        </w:rPr>
        <w:t xml:space="preserve"> </w:t>
      </w:r>
      <w:r w:rsidR="009979EB" w:rsidRPr="00193A9A">
        <w:rPr>
          <w:noProof/>
        </w:rPr>
        <w:t>equality bodies</w:t>
      </w:r>
      <w:r w:rsidR="007524E2" w:rsidRPr="00193A9A">
        <w:rPr>
          <w:noProof/>
        </w:rPr>
        <w:t xml:space="preserve"> surveyed</w:t>
      </w:r>
      <w:r>
        <w:rPr>
          <w:noProof/>
        </w:rPr>
        <w:t xml:space="preserve"> and 14 Member States</w:t>
      </w:r>
      <w:r w:rsidR="009979EB" w:rsidRPr="00193A9A">
        <w:rPr>
          <w:noProof/>
        </w:rPr>
        <w:t xml:space="preserve"> </w:t>
      </w:r>
      <w:r>
        <w:rPr>
          <w:noProof/>
        </w:rPr>
        <w:t>encountered</w:t>
      </w:r>
      <w:r w:rsidRPr="00193A9A">
        <w:rPr>
          <w:noProof/>
        </w:rPr>
        <w:t xml:space="preserve"> </w:t>
      </w:r>
      <w:r w:rsidR="009979EB" w:rsidRPr="00193A9A">
        <w:rPr>
          <w:noProof/>
        </w:rPr>
        <w:t xml:space="preserve">significant obstacles in </w:t>
      </w:r>
      <w:r>
        <w:rPr>
          <w:noProof/>
        </w:rPr>
        <w:t>applying</w:t>
      </w:r>
      <w:r w:rsidR="009979EB" w:rsidRPr="00193A9A">
        <w:rPr>
          <w:noProof/>
        </w:rPr>
        <w:t xml:space="preserve"> the </w:t>
      </w:r>
      <w:r w:rsidR="00A61BCC">
        <w:rPr>
          <w:noProof/>
        </w:rPr>
        <w:t>shifted</w:t>
      </w:r>
      <w:r w:rsidR="00A61BCC" w:rsidRPr="00193A9A">
        <w:rPr>
          <w:noProof/>
        </w:rPr>
        <w:t xml:space="preserve"> </w:t>
      </w:r>
      <w:r w:rsidR="009979EB" w:rsidRPr="00193A9A">
        <w:rPr>
          <w:noProof/>
        </w:rPr>
        <w:t xml:space="preserve">burden of proof. </w:t>
      </w:r>
      <w:r>
        <w:rPr>
          <w:noProof/>
        </w:rPr>
        <w:t>S</w:t>
      </w:r>
      <w:r w:rsidR="009979EB" w:rsidRPr="00193A9A">
        <w:rPr>
          <w:noProof/>
        </w:rPr>
        <w:t xml:space="preserve">pecifically, </w:t>
      </w:r>
      <w:r w:rsidR="00F90099" w:rsidRPr="00193A9A">
        <w:rPr>
          <w:noProof/>
        </w:rPr>
        <w:t>they</w:t>
      </w:r>
      <w:r w:rsidR="009979EB" w:rsidRPr="00193A9A">
        <w:rPr>
          <w:noProof/>
        </w:rPr>
        <w:t xml:space="preserve"> </w:t>
      </w:r>
      <w:r>
        <w:rPr>
          <w:noProof/>
        </w:rPr>
        <w:t xml:space="preserve">mainly </w:t>
      </w:r>
      <w:r w:rsidR="009979EB" w:rsidRPr="00193A9A">
        <w:rPr>
          <w:noProof/>
        </w:rPr>
        <w:t xml:space="preserve">pointed </w:t>
      </w:r>
      <w:r>
        <w:rPr>
          <w:noProof/>
        </w:rPr>
        <w:t>to</w:t>
      </w:r>
      <w:r w:rsidRPr="00193A9A">
        <w:rPr>
          <w:noProof/>
        </w:rPr>
        <w:t xml:space="preserve"> </w:t>
      </w:r>
      <w:r w:rsidR="00F01662" w:rsidRPr="00193A9A">
        <w:rPr>
          <w:noProof/>
        </w:rPr>
        <w:t xml:space="preserve">a general </w:t>
      </w:r>
      <w:r w:rsidR="009979EB" w:rsidRPr="00193A9A">
        <w:rPr>
          <w:noProof/>
        </w:rPr>
        <w:t>lack of awareness or understanding of the burden of proof rules among courts and legal practitioners.</w:t>
      </w:r>
    </w:p>
    <w:p w14:paraId="7067B714" w14:textId="2951A216" w:rsidR="009979EB" w:rsidRPr="00193A9A" w:rsidRDefault="5E3811A3" w:rsidP="009979EB">
      <w:pPr>
        <w:pStyle w:val="Text2"/>
        <w:ind w:left="475"/>
        <w:rPr>
          <w:noProof/>
        </w:rPr>
      </w:pPr>
      <w:r w:rsidRPr="00193A9A">
        <w:rPr>
          <w:noProof/>
        </w:rPr>
        <w:t>Despite the challenges</w:t>
      </w:r>
      <w:r w:rsidR="006F1564">
        <w:rPr>
          <w:noProof/>
        </w:rPr>
        <w:t xml:space="preserve"> faced</w:t>
      </w:r>
      <w:r w:rsidRPr="00193A9A">
        <w:rPr>
          <w:noProof/>
        </w:rPr>
        <w:t>, only two Member States have implemented measures to address the difficulties in applying the burden of proof</w:t>
      </w:r>
      <w:r w:rsidR="00A61BCC">
        <w:rPr>
          <w:noProof/>
        </w:rPr>
        <w:t xml:space="preserve"> rules</w:t>
      </w:r>
      <w:r w:rsidRPr="00193A9A">
        <w:rPr>
          <w:noProof/>
        </w:rPr>
        <w:t>. Conversely, most equality bodies</w:t>
      </w:r>
      <w:r w:rsidR="00C364F0">
        <w:rPr>
          <w:noProof/>
        </w:rPr>
        <w:t xml:space="preserve"> did</w:t>
      </w:r>
      <w:r w:rsidRPr="00193A9A">
        <w:rPr>
          <w:noProof/>
        </w:rPr>
        <w:t xml:space="preserve"> </w:t>
      </w:r>
      <w:r w:rsidR="00C364F0">
        <w:rPr>
          <w:noProof/>
        </w:rPr>
        <w:t>take</w:t>
      </w:r>
      <w:r w:rsidR="00C364F0" w:rsidRPr="00193A9A">
        <w:rPr>
          <w:noProof/>
        </w:rPr>
        <w:t xml:space="preserve"> </w:t>
      </w:r>
      <w:r w:rsidRPr="00193A9A">
        <w:rPr>
          <w:noProof/>
        </w:rPr>
        <w:t xml:space="preserve">some measures, including proposals for legislative changes </w:t>
      </w:r>
      <w:r w:rsidR="00F54610" w:rsidRPr="00193A9A">
        <w:rPr>
          <w:noProof/>
        </w:rPr>
        <w:t xml:space="preserve">to </w:t>
      </w:r>
      <w:r w:rsidRPr="00193A9A">
        <w:rPr>
          <w:noProof/>
        </w:rPr>
        <w:t>lower</w:t>
      </w:r>
      <w:r w:rsidR="00F301A9" w:rsidRPr="00193A9A">
        <w:rPr>
          <w:noProof/>
        </w:rPr>
        <w:t xml:space="preserve"> the threshold of</w:t>
      </w:r>
      <w:r w:rsidRPr="00193A9A">
        <w:rPr>
          <w:noProof/>
        </w:rPr>
        <w:t xml:space="preserve"> the burden of proof</w:t>
      </w:r>
      <w:r w:rsidR="00A61BCC" w:rsidRPr="00A61BCC">
        <w:rPr>
          <w:noProof/>
        </w:rPr>
        <w:t> (</w:t>
      </w:r>
      <w:r w:rsidR="00A61BCC">
        <w:rPr>
          <w:rStyle w:val="FootnoteReference"/>
          <w:noProof/>
        </w:rPr>
        <w:footnoteReference w:id="69"/>
      </w:r>
      <w:r w:rsidR="00A61BCC">
        <w:rPr>
          <w:noProof/>
        </w:rPr>
        <w:t>)</w:t>
      </w:r>
      <w:r w:rsidRPr="00193A9A">
        <w:rPr>
          <w:noProof/>
        </w:rPr>
        <w:t>, recommendations to public authorities, training</w:t>
      </w:r>
      <w:r w:rsidR="00DB1F01" w:rsidRPr="00193A9A">
        <w:rPr>
          <w:noProof/>
        </w:rPr>
        <w:t xml:space="preserve"> </w:t>
      </w:r>
      <w:r w:rsidRPr="00193A9A">
        <w:rPr>
          <w:noProof/>
        </w:rPr>
        <w:t xml:space="preserve">for </w:t>
      </w:r>
      <w:r w:rsidR="006F1564">
        <w:rPr>
          <w:noProof/>
        </w:rPr>
        <w:t xml:space="preserve">the </w:t>
      </w:r>
      <w:r w:rsidRPr="00193A9A">
        <w:rPr>
          <w:noProof/>
        </w:rPr>
        <w:t xml:space="preserve">judiciary, training for </w:t>
      </w:r>
      <w:r w:rsidR="00C364F0">
        <w:rPr>
          <w:noProof/>
        </w:rPr>
        <w:t xml:space="preserve">the </w:t>
      </w:r>
      <w:r w:rsidRPr="00193A9A">
        <w:rPr>
          <w:noProof/>
        </w:rPr>
        <w:t>public service and employers</w:t>
      </w:r>
      <w:r w:rsidR="00C364F0">
        <w:rPr>
          <w:noProof/>
        </w:rPr>
        <w:t xml:space="preserve"> and</w:t>
      </w:r>
      <w:r w:rsidRPr="00193A9A">
        <w:rPr>
          <w:noProof/>
        </w:rPr>
        <w:t xml:space="preserve"> consistent</w:t>
      </w:r>
      <w:r w:rsidR="00C364F0">
        <w:rPr>
          <w:noProof/>
        </w:rPr>
        <w:t>ly</w:t>
      </w:r>
      <w:r w:rsidRPr="00193A9A">
        <w:rPr>
          <w:noProof/>
        </w:rPr>
        <w:t xml:space="preserve"> </w:t>
      </w:r>
      <w:r w:rsidR="00C364F0">
        <w:rPr>
          <w:noProof/>
        </w:rPr>
        <w:t xml:space="preserve">applying the </w:t>
      </w:r>
      <w:r w:rsidR="00A61BCC">
        <w:rPr>
          <w:noProof/>
        </w:rPr>
        <w:t xml:space="preserve">shift </w:t>
      </w:r>
      <w:r w:rsidR="00C364F0">
        <w:rPr>
          <w:noProof/>
        </w:rPr>
        <w:t>of the burden of proof</w:t>
      </w:r>
      <w:r w:rsidR="00C364F0" w:rsidRPr="00193A9A">
        <w:rPr>
          <w:noProof/>
        </w:rPr>
        <w:t xml:space="preserve"> </w:t>
      </w:r>
      <w:r w:rsidRPr="00193A9A">
        <w:rPr>
          <w:noProof/>
        </w:rPr>
        <w:t xml:space="preserve">in </w:t>
      </w:r>
      <w:r w:rsidR="00C364F0">
        <w:rPr>
          <w:noProof/>
        </w:rPr>
        <w:t>their</w:t>
      </w:r>
      <w:r w:rsidR="00597C99" w:rsidRPr="00193A9A">
        <w:rPr>
          <w:noProof/>
        </w:rPr>
        <w:t xml:space="preserve"> </w:t>
      </w:r>
      <w:r w:rsidRPr="00193A9A">
        <w:rPr>
          <w:noProof/>
        </w:rPr>
        <w:t>non-binding opinions, evidence-gathering and guidance materials.</w:t>
      </w:r>
    </w:p>
    <w:p w14:paraId="55E7784B" w14:textId="77777777" w:rsidR="009979EB" w:rsidRPr="00193A9A" w:rsidRDefault="009979EB" w:rsidP="009979EB">
      <w:pPr>
        <w:pStyle w:val="Text2"/>
        <w:ind w:left="475"/>
        <w:rPr>
          <w:b/>
          <w:bCs/>
          <w:noProof/>
        </w:rPr>
      </w:pPr>
      <w:r w:rsidRPr="00193A9A">
        <w:rPr>
          <w:b/>
          <w:bCs/>
          <w:noProof/>
        </w:rPr>
        <w:t>Evidence</w:t>
      </w:r>
    </w:p>
    <w:p w14:paraId="2BFEC32B" w14:textId="3BC3F5F1" w:rsidR="009979EB" w:rsidRPr="00193A9A" w:rsidRDefault="009979EB" w:rsidP="009979EB">
      <w:pPr>
        <w:pStyle w:val="Text2"/>
        <w:ind w:left="475"/>
        <w:rPr>
          <w:noProof/>
        </w:rPr>
      </w:pPr>
      <w:r w:rsidRPr="00193A9A">
        <w:rPr>
          <w:noProof/>
        </w:rPr>
        <w:t xml:space="preserve">Both </w:t>
      </w:r>
      <w:r w:rsidR="00C364F0">
        <w:rPr>
          <w:noProof/>
        </w:rPr>
        <w:t xml:space="preserve">the </w:t>
      </w:r>
      <w:r w:rsidRPr="00193A9A">
        <w:rPr>
          <w:noProof/>
        </w:rPr>
        <w:t xml:space="preserve">Member States and </w:t>
      </w:r>
      <w:r w:rsidR="00C364F0">
        <w:rPr>
          <w:noProof/>
        </w:rPr>
        <w:t xml:space="preserve">the </w:t>
      </w:r>
      <w:r w:rsidRPr="00193A9A">
        <w:rPr>
          <w:noProof/>
        </w:rPr>
        <w:t>equality bodies</w:t>
      </w:r>
      <w:r w:rsidR="00664ABB" w:rsidRPr="00193A9A">
        <w:rPr>
          <w:noProof/>
        </w:rPr>
        <w:t xml:space="preserve"> surveyed</w:t>
      </w:r>
      <w:r w:rsidR="0080516C" w:rsidRPr="00193A9A">
        <w:rPr>
          <w:noProof/>
        </w:rPr>
        <w:t xml:space="preserve"> </w:t>
      </w:r>
      <w:r w:rsidRPr="00193A9A">
        <w:rPr>
          <w:noProof/>
        </w:rPr>
        <w:t xml:space="preserve">highlighted difficulties in accessing evidence to meet the initial burden of proof. </w:t>
      </w:r>
      <w:r w:rsidR="00C364F0">
        <w:rPr>
          <w:noProof/>
        </w:rPr>
        <w:t>As in the previous report, m</w:t>
      </w:r>
      <w:r w:rsidRPr="00193A9A">
        <w:rPr>
          <w:noProof/>
        </w:rPr>
        <w:t>ost of them continue to face difficulties in collecting and publishing data on discrimination. Furthermore, evidence-gathering and system testing are rare in the digital realm (</w:t>
      </w:r>
      <w:r w:rsidRPr="00B61149">
        <w:rPr>
          <w:noProof/>
        </w:rPr>
        <w:t xml:space="preserve">see </w:t>
      </w:r>
      <w:r w:rsidR="005E7CB1">
        <w:rPr>
          <w:noProof/>
        </w:rPr>
        <w:t>7.2</w:t>
      </w:r>
      <w:r w:rsidRPr="00193A9A">
        <w:rPr>
          <w:noProof/>
        </w:rPr>
        <w:t>). However, some alternative methods</w:t>
      </w:r>
      <w:r w:rsidR="00C364F0">
        <w:rPr>
          <w:noProof/>
        </w:rPr>
        <w:t>,</w:t>
      </w:r>
      <w:r w:rsidRPr="00193A9A">
        <w:rPr>
          <w:noProof/>
        </w:rPr>
        <w:t xml:space="preserve"> such as situation</w:t>
      </w:r>
      <w:r w:rsidR="00C364F0">
        <w:rPr>
          <w:noProof/>
        </w:rPr>
        <w:t xml:space="preserve"> </w:t>
      </w:r>
      <w:r w:rsidRPr="00193A9A">
        <w:rPr>
          <w:noProof/>
        </w:rPr>
        <w:t>testing (</w:t>
      </w:r>
      <w:r w:rsidRPr="00193A9A">
        <w:rPr>
          <w:rStyle w:val="FootnoteReference"/>
          <w:noProof/>
        </w:rPr>
        <w:footnoteReference w:id="70"/>
      </w:r>
      <w:r w:rsidRPr="00193A9A">
        <w:rPr>
          <w:noProof/>
        </w:rPr>
        <w:t>) and mystery shopping (</w:t>
      </w:r>
      <w:r w:rsidRPr="00193A9A">
        <w:rPr>
          <w:rStyle w:val="FootnoteReference"/>
          <w:noProof/>
        </w:rPr>
        <w:footnoteReference w:id="71"/>
      </w:r>
      <w:r w:rsidRPr="00193A9A">
        <w:rPr>
          <w:noProof/>
        </w:rPr>
        <w:t>)</w:t>
      </w:r>
      <w:r w:rsidR="00C364F0">
        <w:rPr>
          <w:noProof/>
        </w:rPr>
        <w:t>,</w:t>
      </w:r>
      <w:r w:rsidRPr="00193A9A">
        <w:rPr>
          <w:noProof/>
        </w:rPr>
        <w:t xml:space="preserve"> are </w:t>
      </w:r>
      <w:r w:rsidR="00C364F0">
        <w:rPr>
          <w:noProof/>
        </w:rPr>
        <w:t>used</w:t>
      </w:r>
      <w:r w:rsidR="00C364F0" w:rsidRPr="00193A9A">
        <w:rPr>
          <w:noProof/>
        </w:rPr>
        <w:t xml:space="preserve"> </w:t>
      </w:r>
      <w:r w:rsidRPr="00193A9A">
        <w:rPr>
          <w:noProof/>
        </w:rPr>
        <w:t>in some Member States.</w:t>
      </w:r>
    </w:p>
    <w:p w14:paraId="69301DD8" w14:textId="56C8E63D" w:rsidR="009979EB" w:rsidRPr="00193A9A" w:rsidRDefault="006F11BF" w:rsidP="007134B2">
      <w:pPr>
        <w:pStyle w:val="Text2"/>
        <w:ind w:left="475"/>
        <w:rPr>
          <w:noProof/>
        </w:rPr>
      </w:pPr>
      <w:r>
        <w:rPr>
          <w:noProof/>
        </w:rPr>
        <w:t xml:space="preserve">A total of </w:t>
      </w:r>
      <w:r w:rsidR="009979EB" w:rsidRPr="00193A9A">
        <w:rPr>
          <w:noProof/>
        </w:rPr>
        <w:t>1</w:t>
      </w:r>
      <w:r w:rsidR="00F56AC7" w:rsidRPr="00193A9A">
        <w:rPr>
          <w:noProof/>
        </w:rPr>
        <w:t>6</w:t>
      </w:r>
      <w:r w:rsidR="009979EB" w:rsidRPr="00193A9A">
        <w:rPr>
          <w:noProof/>
        </w:rPr>
        <w:t xml:space="preserve"> Member States allow situation</w:t>
      </w:r>
      <w:r>
        <w:rPr>
          <w:noProof/>
        </w:rPr>
        <w:t xml:space="preserve"> </w:t>
      </w:r>
      <w:r w:rsidR="009979EB" w:rsidRPr="00193A9A">
        <w:rPr>
          <w:noProof/>
        </w:rPr>
        <w:t xml:space="preserve">testing to prove discrimination. Half of </w:t>
      </w:r>
      <w:r w:rsidR="00331EDC" w:rsidRPr="00193A9A">
        <w:rPr>
          <w:noProof/>
        </w:rPr>
        <w:t xml:space="preserve">the </w:t>
      </w:r>
      <w:r w:rsidR="009979EB" w:rsidRPr="00193A9A">
        <w:rPr>
          <w:noProof/>
        </w:rPr>
        <w:t>equality bodies reported using mystery shopping and situation testing to identify patterns of discrimination. According to Equinet, these methods have proven effective in detecting discrimination, particularly in the employment and housing sectors.</w:t>
      </w:r>
    </w:p>
    <w:p w14:paraId="75F5CD5E" w14:textId="77777777" w:rsidR="009979EB" w:rsidRPr="00193A9A" w:rsidRDefault="009979EB" w:rsidP="009979EB">
      <w:pPr>
        <w:pStyle w:val="Heading2"/>
        <w:rPr>
          <w:noProof/>
        </w:rPr>
      </w:pPr>
      <w:bookmarkStart w:id="16" w:name="_Toc214348089"/>
      <w:r w:rsidRPr="00193A9A">
        <w:rPr>
          <w:noProof/>
        </w:rPr>
        <w:t>Victimisation</w:t>
      </w:r>
      <w:bookmarkEnd w:id="16"/>
    </w:p>
    <w:p w14:paraId="71D4908C" w14:textId="593EF757" w:rsidR="009979EB" w:rsidRPr="00193A9A" w:rsidRDefault="5E3811A3" w:rsidP="009979EB">
      <w:pPr>
        <w:pStyle w:val="Text2"/>
        <w:ind w:left="482"/>
        <w:rPr>
          <w:noProof/>
        </w:rPr>
      </w:pPr>
      <w:r w:rsidRPr="00193A9A">
        <w:rPr>
          <w:noProof/>
        </w:rPr>
        <w:t xml:space="preserve">Member States </w:t>
      </w:r>
      <w:r w:rsidR="006F11BF">
        <w:rPr>
          <w:noProof/>
        </w:rPr>
        <w:t>must</w:t>
      </w:r>
      <w:r w:rsidR="006F11BF" w:rsidRPr="00193A9A">
        <w:rPr>
          <w:noProof/>
        </w:rPr>
        <w:t xml:space="preserve"> </w:t>
      </w:r>
      <w:r w:rsidRPr="00193A9A">
        <w:rPr>
          <w:noProof/>
        </w:rPr>
        <w:t xml:space="preserve">protect individuals from </w:t>
      </w:r>
      <w:r w:rsidR="007155CA" w:rsidRPr="00193A9A">
        <w:rPr>
          <w:noProof/>
        </w:rPr>
        <w:t xml:space="preserve">victimisation, meaning </w:t>
      </w:r>
      <w:r w:rsidRPr="00193A9A">
        <w:rPr>
          <w:noProof/>
        </w:rPr>
        <w:t xml:space="preserve">any adverse treatment or consequences resulting from a complaint or </w:t>
      </w:r>
      <w:r w:rsidR="006F11BF">
        <w:rPr>
          <w:noProof/>
        </w:rPr>
        <w:t xml:space="preserve">from </w:t>
      </w:r>
      <w:r w:rsidRPr="00193A9A">
        <w:rPr>
          <w:noProof/>
        </w:rPr>
        <w:t>discrimination proceedings (</w:t>
      </w:r>
      <w:r w:rsidR="009979EB" w:rsidRPr="00193A9A">
        <w:rPr>
          <w:rStyle w:val="FootnoteReference"/>
          <w:noProof/>
        </w:rPr>
        <w:footnoteReference w:id="72"/>
      </w:r>
      <w:r w:rsidRPr="00193A9A">
        <w:rPr>
          <w:noProof/>
        </w:rPr>
        <w:t xml:space="preserve">). The </w:t>
      </w:r>
      <w:r w:rsidR="5B3D7782" w:rsidRPr="00193A9A">
        <w:rPr>
          <w:noProof/>
        </w:rPr>
        <w:t>CJEU</w:t>
      </w:r>
      <w:r w:rsidRPr="00193A9A">
        <w:rPr>
          <w:noProof/>
        </w:rPr>
        <w:t xml:space="preserve"> interprets this</w:t>
      </w:r>
      <w:r w:rsidR="003D143B">
        <w:rPr>
          <w:noProof/>
        </w:rPr>
        <w:t xml:space="preserve"> concept</w:t>
      </w:r>
      <w:r w:rsidRPr="00193A9A">
        <w:rPr>
          <w:noProof/>
        </w:rPr>
        <w:t xml:space="preserve"> broadly, extending it to anyone who could suffer adverse consequences for making a complaint or</w:t>
      </w:r>
      <w:r w:rsidR="006F11BF">
        <w:rPr>
          <w:noProof/>
        </w:rPr>
        <w:t xml:space="preserve"> initiating</w:t>
      </w:r>
      <w:r w:rsidRPr="00193A9A">
        <w:rPr>
          <w:noProof/>
        </w:rPr>
        <w:t xml:space="preserve"> proceeding</w:t>
      </w:r>
      <w:r w:rsidR="006F11BF">
        <w:rPr>
          <w:noProof/>
        </w:rPr>
        <w:t>s </w:t>
      </w:r>
      <w:r w:rsidRPr="00193A9A">
        <w:rPr>
          <w:noProof/>
        </w:rPr>
        <w:t>(</w:t>
      </w:r>
      <w:r w:rsidR="009979EB" w:rsidRPr="00193A9A">
        <w:rPr>
          <w:rStyle w:val="FootnoteReference"/>
          <w:noProof/>
        </w:rPr>
        <w:footnoteReference w:id="73"/>
      </w:r>
      <w:r w:rsidRPr="00193A9A">
        <w:rPr>
          <w:noProof/>
        </w:rPr>
        <w:t>). However,</w:t>
      </w:r>
      <w:r w:rsidR="009C0B8A">
        <w:rPr>
          <w:noProof/>
        </w:rPr>
        <w:t xml:space="preserve"> in practice,</w:t>
      </w:r>
      <w:r w:rsidRPr="00193A9A">
        <w:rPr>
          <w:noProof/>
        </w:rPr>
        <w:t xml:space="preserve"> implementation of this protection in </w:t>
      </w:r>
      <w:r w:rsidR="009C0B8A">
        <w:rPr>
          <w:noProof/>
        </w:rPr>
        <w:t xml:space="preserve">the </w:t>
      </w:r>
      <w:r w:rsidRPr="00193A9A">
        <w:rPr>
          <w:noProof/>
        </w:rPr>
        <w:t xml:space="preserve">Member States continues to be uneven and limited, as outlined in the </w:t>
      </w:r>
      <w:r w:rsidR="006F11BF">
        <w:rPr>
          <w:noProof/>
        </w:rPr>
        <w:t>previous</w:t>
      </w:r>
      <w:r w:rsidR="006F11BF" w:rsidRPr="00193A9A">
        <w:rPr>
          <w:noProof/>
        </w:rPr>
        <w:t xml:space="preserve"> </w:t>
      </w:r>
      <w:r w:rsidRPr="00193A9A">
        <w:rPr>
          <w:noProof/>
        </w:rPr>
        <w:t>report.</w:t>
      </w:r>
    </w:p>
    <w:p w14:paraId="02BA3F60" w14:textId="2293A3CB" w:rsidR="009979EB" w:rsidRPr="00193A9A" w:rsidRDefault="00BB3089" w:rsidP="009979EB">
      <w:pPr>
        <w:pStyle w:val="Text2"/>
        <w:ind w:left="482"/>
        <w:rPr>
          <w:noProof/>
        </w:rPr>
      </w:pPr>
      <w:r>
        <w:rPr>
          <w:noProof/>
        </w:rPr>
        <w:t xml:space="preserve">All </w:t>
      </w:r>
      <w:r w:rsidR="5E3811A3" w:rsidRPr="00193A9A">
        <w:rPr>
          <w:noProof/>
        </w:rPr>
        <w:t xml:space="preserve">Member States explicitly </w:t>
      </w:r>
      <w:r>
        <w:rPr>
          <w:noProof/>
        </w:rPr>
        <w:t xml:space="preserve">provide </w:t>
      </w:r>
      <w:r w:rsidR="5E3811A3" w:rsidRPr="00193A9A">
        <w:rPr>
          <w:noProof/>
        </w:rPr>
        <w:t>protect</w:t>
      </w:r>
      <w:r>
        <w:rPr>
          <w:noProof/>
        </w:rPr>
        <w:t>ion</w:t>
      </w:r>
      <w:r w:rsidR="5E3811A3" w:rsidRPr="00193A9A">
        <w:rPr>
          <w:noProof/>
        </w:rPr>
        <w:t xml:space="preserve"> against victimisation on all grounds in the </w:t>
      </w:r>
      <w:r>
        <w:rPr>
          <w:noProof/>
        </w:rPr>
        <w:t>field</w:t>
      </w:r>
      <w:r w:rsidRPr="00193A9A">
        <w:rPr>
          <w:noProof/>
        </w:rPr>
        <w:t xml:space="preserve"> </w:t>
      </w:r>
      <w:r w:rsidR="5E3811A3" w:rsidRPr="00193A9A">
        <w:rPr>
          <w:noProof/>
        </w:rPr>
        <w:t xml:space="preserve">of employment. Some Member States do not explicitly provide protection against victimisation </w:t>
      </w:r>
      <w:r>
        <w:rPr>
          <w:noProof/>
        </w:rPr>
        <w:t>on</w:t>
      </w:r>
      <w:r w:rsidR="008C78E7">
        <w:rPr>
          <w:noProof/>
        </w:rPr>
        <w:t xml:space="preserve"> the</w:t>
      </w:r>
      <w:r>
        <w:rPr>
          <w:noProof/>
        </w:rPr>
        <w:t xml:space="preserve"> ground of</w:t>
      </w:r>
      <w:r w:rsidR="5E3811A3" w:rsidRPr="00193A9A">
        <w:rPr>
          <w:noProof/>
        </w:rPr>
        <w:t xml:space="preserve"> racial or ethnic origin in </w:t>
      </w:r>
      <w:r>
        <w:rPr>
          <w:noProof/>
        </w:rPr>
        <w:t xml:space="preserve">the fields of </w:t>
      </w:r>
      <w:r w:rsidR="5E3811A3" w:rsidRPr="00193A9A">
        <w:rPr>
          <w:noProof/>
        </w:rPr>
        <w:t>education, social protection, and access to goods and services.</w:t>
      </w:r>
    </w:p>
    <w:p w14:paraId="3E1E0ABC" w14:textId="3F81643D" w:rsidR="009979EB" w:rsidRPr="00193A9A" w:rsidRDefault="5E3811A3" w:rsidP="009979EB">
      <w:pPr>
        <w:pStyle w:val="Text2"/>
        <w:ind w:left="482"/>
        <w:rPr>
          <w:noProof/>
        </w:rPr>
      </w:pPr>
      <w:r w:rsidRPr="00193A9A">
        <w:rPr>
          <w:noProof/>
        </w:rPr>
        <w:t xml:space="preserve">The </w:t>
      </w:r>
      <w:r w:rsidR="003D143B">
        <w:rPr>
          <w:noProof/>
        </w:rPr>
        <w:t xml:space="preserve">reported </w:t>
      </w:r>
      <w:r w:rsidRPr="00193A9A">
        <w:rPr>
          <w:noProof/>
        </w:rPr>
        <w:t>personal scope of protection against victimisation varies across</w:t>
      </w:r>
      <w:r w:rsidR="00BB3089">
        <w:rPr>
          <w:noProof/>
        </w:rPr>
        <w:t xml:space="preserve"> the</w:t>
      </w:r>
      <w:r w:rsidRPr="00193A9A">
        <w:rPr>
          <w:noProof/>
        </w:rPr>
        <w:t xml:space="preserve"> Member States. </w:t>
      </w:r>
      <w:r w:rsidR="00BB3089">
        <w:rPr>
          <w:noProof/>
        </w:rPr>
        <w:t>In addition to</w:t>
      </w:r>
      <w:r w:rsidRPr="00193A9A">
        <w:rPr>
          <w:noProof/>
        </w:rPr>
        <w:t xml:space="preserve"> victims and complainants, 1</w:t>
      </w:r>
      <w:r w:rsidR="38565ABE" w:rsidRPr="00193A9A">
        <w:rPr>
          <w:noProof/>
        </w:rPr>
        <w:t>7</w:t>
      </w:r>
      <w:r w:rsidRPr="00193A9A">
        <w:rPr>
          <w:noProof/>
        </w:rPr>
        <w:t xml:space="preserve"> Member States reported that their domestic </w:t>
      </w:r>
      <w:r w:rsidR="006F4DD8" w:rsidRPr="00193A9A">
        <w:rPr>
          <w:noProof/>
        </w:rPr>
        <w:t xml:space="preserve">legislation or </w:t>
      </w:r>
      <w:r w:rsidR="004A70F3">
        <w:rPr>
          <w:noProof/>
        </w:rPr>
        <w:t>case-law</w:t>
      </w:r>
      <w:r w:rsidRPr="00193A9A">
        <w:rPr>
          <w:noProof/>
        </w:rPr>
        <w:t xml:space="preserve"> protects witnesses and individuals supporting a victim. Furthermore, 13 Member States </w:t>
      </w:r>
      <w:r w:rsidR="00BB3089">
        <w:rPr>
          <w:noProof/>
        </w:rPr>
        <w:t>said that they</w:t>
      </w:r>
      <w:r w:rsidRPr="00193A9A">
        <w:rPr>
          <w:noProof/>
        </w:rPr>
        <w:t xml:space="preserve"> extend this protection to legal and other representatives</w:t>
      </w:r>
      <w:r w:rsidR="00BB3089">
        <w:rPr>
          <w:noProof/>
        </w:rPr>
        <w:t>,</w:t>
      </w:r>
      <w:r w:rsidRPr="00193A9A">
        <w:rPr>
          <w:noProof/>
        </w:rPr>
        <w:t xml:space="preserve"> 1</w:t>
      </w:r>
      <w:r w:rsidR="621D260E" w:rsidRPr="00193A9A">
        <w:rPr>
          <w:noProof/>
        </w:rPr>
        <w:t>4</w:t>
      </w:r>
      <w:r w:rsidRPr="00193A9A">
        <w:rPr>
          <w:noProof/>
        </w:rPr>
        <w:t xml:space="preserve"> Member States </w:t>
      </w:r>
      <w:r w:rsidR="00BB3089">
        <w:rPr>
          <w:noProof/>
        </w:rPr>
        <w:t>said that they</w:t>
      </w:r>
      <w:r w:rsidRPr="00193A9A">
        <w:rPr>
          <w:noProof/>
        </w:rPr>
        <w:t xml:space="preserve"> protect individuals victimised by presumption or association and 10 Member States </w:t>
      </w:r>
      <w:r w:rsidR="00BB3089">
        <w:rPr>
          <w:noProof/>
        </w:rPr>
        <w:t>said that they</w:t>
      </w:r>
      <w:r w:rsidRPr="00193A9A">
        <w:rPr>
          <w:noProof/>
        </w:rPr>
        <w:t xml:space="preserve"> offer protection to individuals treated less favourably </w:t>
      </w:r>
      <w:r w:rsidR="00BB3089">
        <w:rPr>
          <w:noProof/>
        </w:rPr>
        <w:t>for refusing</w:t>
      </w:r>
      <w:r w:rsidRPr="00193A9A">
        <w:rPr>
          <w:noProof/>
        </w:rPr>
        <w:t xml:space="preserve"> to discriminate.</w:t>
      </w:r>
    </w:p>
    <w:p w14:paraId="218EA55E" w14:textId="751E88CC" w:rsidR="009979EB" w:rsidRPr="00193A9A" w:rsidRDefault="009979EB" w:rsidP="0048711E">
      <w:pPr>
        <w:pStyle w:val="Text2"/>
        <w:spacing w:after="0"/>
        <w:ind w:left="475"/>
        <w:rPr>
          <w:noProof/>
        </w:rPr>
      </w:pPr>
      <w:r w:rsidRPr="00193A9A">
        <w:rPr>
          <w:noProof/>
        </w:rPr>
        <w:t xml:space="preserve">Only </w:t>
      </w:r>
      <w:r w:rsidR="00EB1D39" w:rsidRPr="00193A9A">
        <w:rPr>
          <w:noProof/>
        </w:rPr>
        <w:t xml:space="preserve">seven </w:t>
      </w:r>
      <w:r w:rsidRPr="00193A9A">
        <w:rPr>
          <w:noProof/>
        </w:rPr>
        <w:t xml:space="preserve">Member States reported limitations or difficulties in ensuring effective protection against victimisation in </w:t>
      </w:r>
      <w:r w:rsidRPr="00BB3089">
        <w:rPr>
          <w:noProof/>
        </w:rPr>
        <w:t>practice</w:t>
      </w:r>
      <w:r w:rsidRPr="00193A9A">
        <w:rPr>
          <w:noProof/>
        </w:rPr>
        <w:t xml:space="preserve">. </w:t>
      </w:r>
      <w:r w:rsidR="00BB3089">
        <w:rPr>
          <w:noProof/>
        </w:rPr>
        <w:t>Such limitations or difficulties</w:t>
      </w:r>
      <w:r w:rsidR="00BB3089" w:rsidRPr="00193A9A">
        <w:rPr>
          <w:noProof/>
        </w:rPr>
        <w:t xml:space="preserve"> </w:t>
      </w:r>
      <w:r w:rsidRPr="00193A9A">
        <w:rPr>
          <w:noProof/>
        </w:rPr>
        <w:t>include</w:t>
      </w:r>
      <w:r w:rsidR="003B7613">
        <w:rPr>
          <w:noProof/>
        </w:rPr>
        <w:t>d</w:t>
      </w:r>
      <w:r w:rsidRPr="00193A9A">
        <w:rPr>
          <w:noProof/>
        </w:rPr>
        <w:t xml:space="preserve"> formal </w:t>
      </w:r>
      <w:r w:rsidR="00C938E3">
        <w:rPr>
          <w:noProof/>
        </w:rPr>
        <w:t xml:space="preserve">reporting </w:t>
      </w:r>
      <w:r w:rsidRPr="00193A9A">
        <w:rPr>
          <w:noProof/>
        </w:rPr>
        <w:t xml:space="preserve">procedures, a high evidentiary threshold and </w:t>
      </w:r>
      <w:r w:rsidR="003B7613">
        <w:rPr>
          <w:noProof/>
        </w:rPr>
        <w:t>the</w:t>
      </w:r>
      <w:r w:rsidR="003B7613" w:rsidRPr="00193A9A">
        <w:rPr>
          <w:noProof/>
        </w:rPr>
        <w:t xml:space="preserve"> </w:t>
      </w:r>
      <w:r w:rsidRPr="00193A9A">
        <w:rPr>
          <w:noProof/>
        </w:rPr>
        <w:t xml:space="preserve">limited personal scope of protection. There </w:t>
      </w:r>
      <w:r w:rsidR="003D0D91">
        <w:rPr>
          <w:noProof/>
        </w:rPr>
        <w:t>are</w:t>
      </w:r>
      <w:r w:rsidRPr="00193A9A">
        <w:rPr>
          <w:noProof/>
        </w:rPr>
        <w:t xml:space="preserve"> </w:t>
      </w:r>
      <w:r w:rsidR="003A796F" w:rsidRPr="00193A9A">
        <w:rPr>
          <w:noProof/>
        </w:rPr>
        <w:t xml:space="preserve">almost </w:t>
      </w:r>
      <w:r w:rsidRPr="00193A9A">
        <w:rPr>
          <w:noProof/>
        </w:rPr>
        <w:t xml:space="preserve">no good </w:t>
      </w:r>
      <w:r w:rsidRPr="003B7613">
        <w:rPr>
          <w:noProof/>
        </w:rPr>
        <w:t>practice</w:t>
      </w:r>
      <w:r w:rsidR="003D0D91">
        <w:rPr>
          <w:noProof/>
        </w:rPr>
        <w:t>s</w:t>
      </w:r>
      <w:r w:rsidRPr="00193A9A">
        <w:rPr>
          <w:noProof/>
        </w:rPr>
        <w:t xml:space="preserve"> or </w:t>
      </w:r>
      <w:r w:rsidR="004A70F3">
        <w:rPr>
          <w:noProof/>
        </w:rPr>
        <w:t>case-law</w:t>
      </w:r>
      <w:r w:rsidRPr="00193A9A">
        <w:rPr>
          <w:noProof/>
        </w:rPr>
        <w:t xml:space="preserve"> </w:t>
      </w:r>
      <w:r w:rsidR="003D0D91">
        <w:rPr>
          <w:noProof/>
        </w:rPr>
        <w:t>relating to</w:t>
      </w:r>
      <w:r w:rsidR="003D0D91" w:rsidRPr="00193A9A">
        <w:rPr>
          <w:noProof/>
        </w:rPr>
        <w:t xml:space="preserve"> </w:t>
      </w:r>
      <w:r w:rsidR="003B7613">
        <w:rPr>
          <w:noProof/>
        </w:rPr>
        <w:t xml:space="preserve">protection against </w:t>
      </w:r>
      <w:r w:rsidRPr="00193A9A">
        <w:rPr>
          <w:noProof/>
        </w:rPr>
        <w:t>victimisation in the Member States.</w:t>
      </w:r>
    </w:p>
    <w:p w14:paraId="662A1A4F" w14:textId="2679BC8B" w:rsidR="003329B9" w:rsidRPr="00193A9A" w:rsidRDefault="003329B9" w:rsidP="00D949BB">
      <w:pPr>
        <w:pStyle w:val="Heading2"/>
        <w:spacing w:before="240" w:after="0"/>
        <w:ind w:left="1195"/>
        <w:rPr>
          <w:noProof/>
        </w:rPr>
      </w:pPr>
      <w:bookmarkStart w:id="17" w:name="_Toc214348090"/>
      <w:r w:rsidRPr="00193A9A">
        <w:rPr>
          <w:noProof/>
        </w:rPr>
        <w:t xml:space="preserve">Cooperation </w:t>
      </w:r>
      <w:r w:rsidR="00BF581F">
        <w:rPr>
          <w:noProof/>
        </w:rPr>
        <w:t>on applying</w:t>
      </w:r>
      <w:r w:rsidRPr="00193A9A">
        <w:rPr>
          <w:noProof/>
        </w:rPr>
        <w:t xml:space="preserve"> the Directives</w:t>
      </w:r>
    </w:p>
    <w:p w14:paraId="756AFC50" w14:textId="7641F3F0" w:rsidR="00D949BB" w:rsidRPr="00193A9A" w:rsidRDefault="003329B9" w:rsidP="00D949BB">
      <w:pPr>
        <w:pStyle w:val="Text2"/>
        <w:spacing w:before="240" w:after="0"/>
        <w:ind w:left="475"/>
        <w:rPr>
          <w:noProof/>
        </w:rPr>
      </w:pPr>
      <w:r w:rsidRPr="00193A9A">
        <w:rPr>
          <w:noProof/>
        </w:rPr>
        <w:t xml:space="preserve">The Directives </w:t>
      </w:r>
      <w:r w:rsidR="00BF581F">
        <w:rPr>
          <w:noProof/>
        </w:rPr>
        <w:t>provide for</w:t>
      </w:r>
      <w:r w:rsidRPr="00193A9A">
        <w:rPr>
          <w:noProof/>
        </w:rPr>
        <w:t xml:space="preserve"> their enforcement </w:t>
      </w:r>
      <w:r w:rsidR="00BF581F">
        <w:rPr>
          <w:noProof/>
        </w:rPr>
        <w:t>to go hand in hand with</w:t>
      </w:r>
      <w:r w:rsidRPr="00193A9A">
        <w:rPr>
          <w:noProof/>
        </w:rPr>
        <w:t xml:space="preserve"> dialogue with partners representing the collective interests of groups at risk of discrimination. In fact, </w:t>
      </w:r>
      <w:r w:rsidR="00BF581F">
        <w:rPr>
          <w:noProof/>
        </w:rPr>
        <w:t>they</w:t>
      </w:r>
      <w:r w:rsidRPr="00193A9A">
        <w:rPr>
          <w:noProof/>
        </w:rPr>
        <w:t xml:space="preserve"> </w:t>
      </w:r>
      <w:r w:rsidR="00BF581F">
        <w:rPr>
          <w:noProof/>
        </w:rPr>
        <w:t>require</w:t>
      </w:r>
      <w:r w:rsidR="00BF581F" w:rsidRPr="00193A9A">
        <w:rPr>
          <w:noProof/>
        </w:rPr>
        <w:t xml:space="preserve"> </w:t>
      </w:r>
      <w:r w:rsidRPr="00193A9A">
        <w:rPr>
          <w:noProof/>
        </w:rPr>
        <w:t xml:space="preserve">Member States to take </w:t>
      </w:r>
      <w:r w:rsidR="0082078A">
        <w:rPr>
          <w:noProof/>
        </w:rPr>
        <w:t>appropriate</w:t>
      </w:r>
      <w:r w:rsidR="0082078A" w:rsidRPr="00193A9A">
        <w:rPr>
          <w:noProof/>
        </w:rPr>
        <w:t xml:space="preserve"> </w:t>
      </w:r>
      <w:r w:rsidRPr="00193A9A">
        <w:rPr>
          <w:noProof/>
        </w:rPr>
        <w:t>measures to promote</w:t>
      </w:r>
      <w:r w:rsidR="00193A9A" w:rsidRPr="00193A9A">
        <w:rPr>
          <w:noProof/>
        </w:rPr>
        <w:t xml:space="preserve"> </w:t>
      </w:r>
      <w:r w:rsidRPr="00193A9A">
        <w:rPr>
          <w:noProof/>
        </w:rPr>
        <w:t>social dialogue between the two sides of industry with a view to fostering equal treatment (</w:t>
      </w:r>
      <w:r w:rsidRPr="00193A9A">
        <w:rPr>
          <w:rStyle w:val="FootnoteReference"/>
          <w:noProof/>
        </w:rPr>
        <w:footnoteReference w:id="74"/>
      </w:r>
      <w:r w:rsidRPr="00193A9A">
        <w:rPr>
          <w:noProof/>
        </w:rPr>
        <w:t>) and encouraging dialogue with non-governmental organisations (</w:t>
      </w:r>
      <w:r w:rsidRPr="00193A9A">
        <w:rPr>
          <w:rStyle w:val="FootnoteReference"/>
          <w:noProof/>
        </w:rPr>
        <w:footnoteReference w:id="75"/>
      </w:r>
      <w:r w:rsidRPr="00193A9A">
        <w:rPr>
          <w:noProof/>
        </w:rPr>
        <w:t>).</w:t>
      </w:r>
    </w:p>
    <w:p w14:paraId="44991F1A" w14:textId="7ED178AF" w:rsidR="00D949BB" w:rsidRPr="00193A9A" w:rsidRDefault="00DC514D" w:rsidP="00D949BB">
      <w:pPr>
        <w:pStyle w:val="Text2"/>
        <w:spacing w:before="240" w:after="0"/>
        <w:ind w:left="475"/>
        <w:rPr>
          <w:noProof/>
        </w:rPr>
      </w:pPr>
      <w:r w:rsidRPr="00193A9A">
        <w:rPr>
          <w:noProof/>
        </w:rPr>
        <w:t>Most</w:t>
      </w:r>
      <w:r w:rsidR="003329B9" w:rsidRPr="00193A9A">
        <w:rPr>
          <w:noProof/>
        </w:rPr>
        <w:t xml:space="preserve"> Member States </w:t>
      </w:r>
      <w:r w:rsidR="00D14B39">
        <w:rPr>
          <w:noProof/>
        </w:rPr>
        <w:t>reported</w:t>
      </w:r>
      <w:r w:rsidR="00D14B39" w:rsidRPr="00193A9A">
        <w:rPr>
          <w:noProof/>
        </w:rPr>
        <w:t xml:space="preserve"> </w:t>
      </w:r>
      <w:r w:rsidR="003329B9" w:rsidRPr="00193A9A">
        <w:rPr>
          <w:noProof/>
        </w:rPr>
        <w:t>that they had measures in place to promote social dialogue between the two sides of the industry</w:t>
      </w:r>
      <w:r w:rsidR="00D14B39">
        <w:rPr>
          <w:noProof/>
        </w:rPr>
        <w:t xml:space="preserve"> in order to</w:t>
      </w:r>
      <w:r w:rsidR="003329B9" w:rsidRPr="00193A9A">
        <w:rPr>
          <w:noProof/>
        </w:rPr>
        <w:t xml:space="preserve"> foster equal treatment. The most prevalent </w:t>
      </w:r>
      <w:r w:rsidR="00D14B39">
        <w:rPr>
          <w:noProof/>
        </w:rPr>
        <w:t>way of doing this</w:t>
      </w:r>
      <w:r w:rsidR="000A6DF9" w:rsidRPr="00193A9A">
        <w:rPr>
          <w:noProof/>
        </w:rPr>
        <w:t xml:space="preserve"> </w:t>
      </w:r>
      <w:r w:rsidR="003329B9" w:rsidRPr="00193A9A">
        <w:rPr>
          <w:noProof/>
        </w:rPr>
        <w:t>is</w:t>
      </w:r>
      <w:r w:rsidR="00D14B39">
        <w:rPr>
          <w:noProof/>
        </w:rPr>
        <w:t xml:space="preserve"> through</w:t>
      </w:r>
      <w:r w:rsidR="003329B9" w:rsidRPr="00193A9A">
        <w:rPr>
          <w:noProof/>
        </w:rPr>
        <w:t xml:space="preserve"> tripartite bodies (</w:t>
      </w:r>
      <w:r w:rsidR="003329B9" w:rsidRPr="00193A9A">
        <w:rPr>
          <w:rStyle w:val="FootnoteReference"/>
          <w:noProof/>
        </w:rPr>
        <w:footnoteReference w:id="76"/>
      </w:r>
      <w:r w:rsidR="003329B9" w:rsidRPr="00193A9A">
        <w:rPr>
          <w:noProof/>
        </w:rPr>
        <w:t xml:space="preserve">), which are present in at least </w:t>
      </w:r>
      <w:r w:rsidR="0082078A">
        <w:rPr>
          <w:noProof/>
        </w:rPr>
        <w:t>10</w:t>
      </w:r>
      <w:r w:rsidR="003329B9" w:rsidRPr="00193A9A">
        <w:rPr>
          <w:noProof/>
        </w:rPr>
        <w:t xml:space="preserve"> Member States.</w:t>
      </w:r>
    </w:p>
    <w:p w14:paraId="61A6CC19" w14:textId="492EE542" w:rsidR="00D949BB" w:rsidRPr="00193A9A" w:rsidRDefault="003329B9" w:rsidP="00D949BB">
      <w:pPr>
        <w:pStyle w:val="Text2"/>
        <w:spacing w:before="240" w:after="0"/>
        <w:ind w:left="475"/>
        <w:rPr>
          <w:noProof/>
        </w:rPr>
      </w:pPr>
      <w:r w:rsidRPr="00193A9A">
        <w:rPr>
          <w:noProof/>
        </w:rPr>
        <w:t xml:space="preserve">Similarly, a few Member States have </w:t>
      </w:r>
      <w:r w:rsidR="00D14B39">
        <w:rPr>
          <w:noProof/>
        </w:rPr>
        <w:t>set up</w:t>
      </w:r>
      <w:r w:rsidR="00D14B39" w:rsidRPr="00193A9A">
        <w:rPr>
          <w:noProof/>
        </w:rPr>
        <w:t xml:space="preserve"> </w:t>
      </w:r>
      <w:r w:rsidRPr="00193A9A">
        <w:rPr>
          <w:noProof/>
        </w:rPr>
        <w:t>governing forums on non-discrimination</w:t>
      </w:r>
      <w:r w:rsidR="00D14B39">
        <w:rPr>
          <w:noProof/>
        </w:rPr>
        <w:t>,</w:t>
      </w:r>
      <w:r w:rsidRPr="00193A9A">
        <w:rPr>
          <w:noProof/>
        </w:rPr>
        <w:t xml:space="preserve"> the rights of Roma people, persons with disabilities </w:t>
      </w:r>
      <w:r w:rsidR="00D14B39">
        <w:rPr>
          <w:noProof/>
        </w:rPr>
        <w:t>or</w:t>
      </w:r>
      <w:r w:rsidRPr="00193A9A">
        <w:rPr>
          <w:noProof/>
        </w:rPr>
        <w:t xml:space="preserve"> older people</w:t>
      </w:r>
      <w:r w:rsidR="00D14B39">
        <w:rPr>
          <w:noProof/>
        </w:rPr>
        <w:t>.</w:t>
      </w:r>
      <w:r w:rsidRPr="00193A9A">
        <w:rPr>
          <w:noProof/>
        </w:rPr>
        <w:t xml:space="preserve"> </w:t>
      </w:r>
      <w:r w:rsidR="00D14B39">
        <w:rPr>
          <w:noProof/>
        </w:rPr>
        <w:t xml:space="preserve">These </w:t>
      </w:r>
      <w:r w:rsidRPr="00193A9A">
        <w:rPr>
          <w:noProof/>
        </w:rPr>
        <w:t>involv</w:t>
      </w:r>
      <w:r w:rsidR="00D14B39">
        <w:rPr>
          <w:noProof/>
        </w:rPr>
        <w:t>e</w:t>
      </w:r>
      <w:r w:rsidRPr="00193A9A">
        <w:rPr>
          <w:noProof/>
        </w:rPr>
        <w:t xml:space="preserve"> government bodies, civil society and other key stakeholders. However, this is not done systematically across all Member States or for all grounds of discrimination. </w:t>
      </w:r>
    </w:p>
    <w:p w14:paraId="4D38C97F" w14:textId="79C46FE9" w:rsidR="00D949BB" w:rsidRPr="00193A9A" w:rsidRDefault="003329B9" w:rsidP="00D949BB">
      <w:pPr>
        <w:pStyle w:val="Text2"/>
        <w:spacing w:before="240" w:after="0"/>
        <w:ind w:left="475"/>
        <w:rPr>
          <w:noProof/>
        </w:rPr>
      </w:pPr>
      <w:r w:rsidRPr="00193A9A">
        <w:rPr>
          <w:noProof/>
        </w:rPr>
        <w:t xml:space="preserve">According to civil society organisations, engaging in practical dialogue about </w:t>
      </w:r>
      <w:r w:rsidR="00193A9A">
        <w:rPr>
          <w:noProof/>
        </w:rPr>
        <w:t>combating</w:t>
      </w:r>
      <w:r w:rsidRPr="00193A9A">
        <w:rPr>
          <w:noProof/>
        </w:rPr>
        <w:t xml:space="preserve"> discrimination remains challenging. Almost three</w:t>
      </w:r>
      <w:r w:rsidR="00D14B39">
        <w:rPr>
          <w:noProof/>
        </w:rPr>
        <w:t xml:space="preserve"> </w:t>
      </w:r>
      <w:r w:rsidRPr="00193A9A">
        <w:rPr>
          <w:noProof/>
        </w:rPr>
        <w:t xml:space="preserve">quarters of civil society respondents to the survey (12 out of 17) </w:t>
      </w:r>
      <w:r w:rsidR="00D14B39">
        <w:rPr>
          <w:noProof/>
        </w:rPr>
        <w:t>reported</w:t>
      </w:r>
      <w:r w:rsidR="00D14B39" w:rsidRPr="00193A9A">
        <w:rPr>
          <w:noProof/>
        </w:rPr>
        <w:t xml:space="preserve"> </w:t>
      </w:r>
      <w:r w:rsidRPr="00193A9A">
        <w:rPr>
          <w:noProof/>
        </w:rPr>
        <w:t>that they were having difficulties. The key issues have remained largely unchanged since the last report (</w:t>
      </w:r>
      <w:r w:rsidRPr="00193A9A">
        <w:rPr>
          <w:rStyle w:val="FootnoteReference"/>
          <w:noProof/>
        </w:rPr>
        <w:footnoteReference w:id="77"/>
      </w:r>
      <w:r w:rsidRPr="00193A9A">
        <w:rPr>
          <w:noProof/>
        </w:rPr>
        <w:t>).</w:t>
      </w:r>
    </w:p>
    <w:p w14:paraId="3B85847C" w14:textId="40F3B9AE" w:rsidR="003329B9" w:rsidRPr="00193A9A" w:rsidRDefault="003329B9" w:rsidP="00E8758D">
      <w:pPr>
        <w:pStyle w:val="Text2"/>
        <w:spacing w:before="240" w:after="0"/>
        <w:ind w:left="475"/>
        <w:rPr>
          <w:noProof/>
        </w:rPr>
      </w:pPr>
      <w:r w:rsidRPr="00193A9A">
        <w:rPr>
          <w:noProof/>
        </w:rPr>
        <w:t>Member States engage with civil society less frequently during the implementation stage of policies than during the design phase</w:t>
      </w:r>
      <w:r w:rsidR="000A6DF9" w:rsidRPr="00193A9A">
        <w:rPr>
          <w:noProof/>
        </w:rPr>
        <w:t>. This</w:t>
      </w:r>
      <w:r w:rsidRPr="00193A9A">
        <w:rPr>
          <w:noProof/>
        </w:rPr>
        <w:t xml:space="preserve"> finding </w:t>
      </w:r>
      <w:r w:rsidR="00D14B39">
        <w:rPr>
          <w:noProof/>
        </w:rPr>
        <w:t>on the basis of</w:t>
      </w:r>
      <w:r w:rsidR="000A6DF9" w:rsidRPr="00193A9A">
        <w:rPr>
          <w:noProof/>
        </w:rPr>
        <w:t xml:space="preserve"> </w:t>
      </w:r>
      <w:r w:rsidR="00D14B39">
        <w:rPr>
          <w:noProof/>
        </w:rPr>
        <w:t xml:space="preserve">the </w:t>
      </w:r>
      <w:r w:rsidR="000A6DF9" w:rsidRPr="00193A9A">
        <w:rPr>
          <w:noProof/>
        </w:rPr>
        <w:t>Member States</w:t>
      </w:r>
      <w:r w:rsidR="00D14B39">
        <w:rPr>
          <w:noProof/>
        </w:rPr>
        <w:t>’</w:t>
      </w:r>
      <w:r w:rsidR="000A6DF9" w:rsidRPr="00193A9A">
        <w:rPr>
          <w:noProof/>
        </w:rPr>
        <w:t xml:space="preserve"> </w:t>
      </w:r>
      <w:r w:rsidR="005508F1" w:rsidRPr="00193A9A">
        <w:rPr>
          <w:noProof/>
        </w:rPr>
        <w:t xml:space="preserve">replies </w:t>
      </w:r>
      <w:r w:rsidRPr="00193A9A">
        <w:rPr>
          <w:noProof/>
        </w:rPr>
        <w:t xml:space="preserve">is also echoed by </w:t>
      </w:r>
      <w:r w:rsidR="00D14B39">
        <w:rPr>
          <w:noProof/>
        </w:rPr>
        <w:t xml:space="preserve">the </w:t>
      </w:r>
      <w:r w:rsidRPr="00193A9A">
        <w:rPr>
          <w:noProof/>
        </w:rPr>
        <w:t xml:space="preserve">civil society organisations surveyed. For example, </w:t>
      </w:r>
      <w:r w:rsidR="00DC514D" w:rsidRPr="00193A9A">
        <w:rPr>
          <w:noProof/>
        </w:rPr>
        <w:t>two</w:t>
      </w:r>
      <w:r w:rsidR="00D14B39">
        <w:rPr>
          <w:noProof/>
        </w:rPr>
        <w:t xml:space="preserve"> </w:t>
      </w:r>
      <w:r w:rsidR="00DC514D" w:rsidRPr="00193A9A">
        <w:rPr>
          <w:noProof/>
        </w:rPr>
        <w:t>thirds of the</w:t>
      </w:r>
      <w:r w:rsidRPr="00193A9A">
        <w:rPr>
          <w:noProof/>
        </w:rPr>
        <w:t xml:space="preserve"> Member States involved civil society in legislative or policy consultations. </w:t>
      </w:r>
      <w:r w:rsidR="00D14B39">
        <w:rPr>
          <w:noProof/>
        </w:rPr>
        <w:t>However</w:t>
      </w:r>
      <w:r w:rsidRPr="00193A9A">
        <w:rPr>
          <w:noProof/>
        </w:rPr>
        <w:t xml:space="preserve">, </w:t>
      </w:r>
      <w:r w:rsidR="0059181A" w:rsidRPr="00193A9A">
        <w:rPr>
          <w:noProof/>
        </w:rPr>
        <w:t xml:space="preserve">slightly less than </w:t>
      </w:r>
      <w:r w:rsidR="00DC514D" w:rsidRPr="00193A9A">
        <w:rPr>
          <w:noProof/>
        </w:rPr>
        <w:t>half of the</w:t>
      </w:r>
      <w:r w:rsidRPr="00193A9A">
        <w:rPr>
          <w:noProof/>
        </w:rPr>
        <w:t xml:space="preserve"> Member States collaborated with </w:t>
      </w:r>
      <w:r w:rsidR="00D14B39">
        <w:rPr>
          <w:noProof/>
        </w:rPr>
        <w:t>civil society organisation</w:t>
      </w:r>
      <w:r w:rsidR="00EF71AB">
        <w:rPr>
          <w:noProof/>
        </w:rPr>
        <w:t>s</w:t>
      </w:r>
      <w:r w:rsidR="00D14B39" w:rsidRPr="00193A9A">
        <w:rPr>
          <w:noProof/>
        </w:rPr>
        <w:t xml:space="preserve"> </w:t>
      </w:r>
      <w:r w:rsidRPr="00193A9A">
        <w:rPr>
          <w:noProof/>
        </w:rPr>
        <w:t>on implementing anti-discrimination measures, and even fewer involved them in reporting and monitoring discrimination issues (</w:t>
      </w:r>
      <w:r w:rsidR="0082078A">
        <w:rPr>
          <w:noProof/>
        </w:rPr>
        <w:t>10</w:t>
      </w:r>
      <w:r w:rsidRPr="00193A9A">
        <w:rPr>
          <w:noProof/>
        </w:rPr>
        <w:t xml:space="preserve"> and </w:t>
      </w:r>
      <w:r w:rsidR="0082078A">
        <w:rPr>
          <w:noProof/>
        </w:rPr>
        <w:t>8</w:t>
      </w:r>
      <w:r w:rsidR="0082078A" w:rsidRPr="00193A9A">
        <w:rPr>
          <w:noProof/>
        </w:rPr>
        <w:t xml:space="preserve"> </w:t>
      </w:r>
      <w:r w:rsidRPr="00193A9A">
        <w:rPr>
          <w:noProof/>
        </w:rPr>
        <w:t>Member States, respectively).</w:t>
      </w:r>
    </w:p>
    <w:p w14:paraId="786AD42C" w14:textId="6FC6DFD3" w:rsidR="009979EB" w:rsidRPr="00193A9A" w:rsidRDefault="009979EB" w:rsidP="003329B9">
      <w:pPr>
        <w:pStyle w:val="Heading2"/>
        <w:spacing w:before="240"/>
        <w:ind w:left="1195"/>
        <w:rPr>
          <w:noProof/>
        </w:rPr>
      </w:pPr>
      <w:r w:rsidRPr="00193A9A">
        <w:rPr>
          <w:noProof/>
        </w:rPr>
        <w:t>Gender mainstreaming</w:t>
      </w:r>
      <w:bookmarkEnd w:id="17"/>
    </w:p>
    <w:p w14:paraId="355A91B3" w14:textId="70DDD4BB" w:rsidR="009979EB" w:rsidRPr="00193A9A" w:rsidRDefault="009979EB" w:rsidP="009979EB">
      <w:pPr>
        <w:pStyle w:val="Text2"/>
        <w:ind w:left="482"/>
        <w:rPr>
          <w:noProof/>
        </w:rPr>
      </w:pPr>
      <w:r w:rsidRPr="00193A9A">
        <w:rPr>
          <w:noProof/>
        </w:rPr>
        <w:t>The Directives require (</w:t>
      </w:r>
      <w:r w:rsidRPr="00193A9A">
        <w:rPr>
          <w:rStyle w:val="FootnoteReference"/>
          <w:noProof/>
        </w:rPr>
        <w:footnoteReference w:id="78"/>
      </w:r>
      <w:r w:rsidRPr="00193A9A">
        <w:rPr>
          <w:noProof/>
        </w:rPr>
        <w:t xml:space="preserve">) the Commission to report on the impact of </w:t>
      </w:r>
      <w:r w:rsidR="00B766F8">
        <w:rPr>
          <w:noProof/>
        </w:rPr>
        <w:t xml:space="preserve">the </w:t>
      </w:r>
      <w:r w:rsidRPr="00193A9A">
        <w:rPr>
          <w:noProof/>
        </w:rPr>
        <w:t>measures on women and men, in accordance with the principle of gender mainstreaming.</w:t>
      </w:r>
    </w:p>
    <w:p w14:paraId="71B456F0" w14:textId="7F0EEE36" w:rsidR="008029B7" w:rsidRPr="00193A9A" w:rsidRDefault="008629EE" w:rsidP="00947FD2">
      <w:pPr>
        <w:pStyle w:val="Text2"/>
        <w:ind w:left="482"/>
        <w:rPr>
          <w:noProof/>
        </w:rPr>
      </w:pPr>
      <w:r w:rsidRPr="00193A9A">
        <w:rPr>
          <w:noProof/>
        </w:rPr>
        <w:t>Member States appear to have conducted limited assessments of the Directives</w:t>
      </w:r>
      <w:r w:rsidR="00193A9A">
        <w:rPr>
          <w:noProof/>
        </w:rPr>
        <w:t>’</w:t>
      </w:r>
      <w:r w:rsidRPr="00193A9A">
        <w:rPr>
          <w:noProof/>
        </w:rPr>
        <w:t xml:space="preserve"> specific impact on men and women.</w:t>
      </w:r>
      <w:r w:rsidR="004048EB" w:rsidRPr="00193A9A">
        <w:rPr>
          <w:noProof/>
        </w:rPr>
        <w:t xml:space="preserve"> </w:t>
      </w:r>
      <w:r w:rsidR="004539F0" w:rsidRPr="00193A9A">
        <w:rPr>
          <w:noProof/>
        </w:rPr>
        <w:t>While some Member States reported that implementation produced particular effects on certain groups of men and women, these claims were generally not explained or supported with data. One Member State noted an increase in lawsuits involving the combination of gender and age discrimination.</w:t>
      </w:r>
    </w:p>
    <w:p w14:paraId="697C43A5" w14:textId="7AD577D3" w:rsidR="00FC2FB2" w:rsidRPr="00193A9A" w:rsidRDefault="5E3811A3" w:rsidP="00947FD2">
      <w:pPr>
        <w:pStyle w:val="Text2"/>
        <w:ind w:left="482"/>
        <w:rPr>
          <w:noProof/>
        </w:rPr>
      </w:pPr>
      <w:r w:rsidRPr="00193A9A">
        <w:rPr>
          <w:noProof/>
        </w:rPr>
        <w:t>In general,</w:t>
      </w:r>
      <w:r w:rsidR="00193A9A" w:rsidRPr="00193A9A">
        <w:rPr>
          <w:noProof/>
        </w:rPr>
        <w:t xml:space="preserve"> </w:t>
      </w:r>
      <w:r w:rsidRPr="00193A9A">
        <w:rPr>
          <w:noProof/>
        </w:rPr>
        <w:t>Member States</w:t>
      </w:r>
      <w:r w:rsidR="00B766F8">
        <w:rPr>
          <w:noProof/>
        </w:rPr>
        <w:t>’</w:t>
      </w:r>
      <w:r w:rsidR="005C7849" w:rsidRPr="00193A9A">
        <w:rPr>
          <w:noProof/>
        </w:rPr>
        <w:t xml:space="preserve"> policies</w:t>
      </w:r>
      <w:r w:rsidRPr="00193A9A">
        <w:rPr>
          <w:noProof/>
        </w:rPr>
        <w:t xml:space="preserve"> </w:t>
      </w:r>
      <w:r w:rsidR="006C009A" w:rsidRPr="00193A9A">
        <w:rPr>
          <w:noProof/>
        </w:rPr>
        <w:t>concerning</w:t>
      </w:r>
      <w:r w:rsidR="00C30955" w:rsidRPr="00193A9A">
        <w:rPr>
          <w:noProof/>
        </w:rPr>
        <w:t xml:space="preserve"> the protected grounds covered by the Directives </w:t>
      </w:r>
      <w:r w:rsidRPr="00193A9A">
        <w:rPr>
          <w:noProof/>
        </w:rPr>
        <w:t xml:space="preserve">rarely </w:t>
      </w:r>
      <w:r w:rsidR="00E26A3E" w:rsidRPr="00193A9A">
        <w:rPr>
          <w:noProof/>
        </w:rPr>
        <w:t>specifically distinguish between</w:t>
      </w:r>
      <w:r w:rsidR="001538A2" w:rsidRPr="00193A9A">
        <w:rPr>
          <w:noProof/>
        </w:rPr>
        <w:t xml:space="preserve"> </w:t>
      </w:r>
      <w:r w:rsidRPr="00193A9A">
        <w:rPr>
          <w:noProof/>
        </w:rPr>
        <w:t>the needs of men and women.</w:t>
      </w:r>
      <w:r w:rsidR="006F3684" w:rsidRPr="00193A9A">
        <w:rPr>
          <w:noProof/>
        </w:rPr>
        <w:t xml:space="preserve"> </w:t>
      </w:r>
      <w:r w:rsidR="00FC71A4" w:rsidRPr="00193A9A">
        <w:rPr>
          <w:noProof/>
        </w:rPr>
        <w:t>Some Member States mentioned adopting an intersectional approach in their policy documents, while others identified specific challenges faced by particular groups of women. There were individual examples of targeted measures for Roma women and women with disabilities.</w:t>
      </w:r>
    </w:p>
    <w:p w14:paraId="47125631" w14:textId="78E76882" w:rsidR="009979EB" w:rsidRPr="00193A9A" w:rsidRDefault="00FC2FB2" w:rsidP="00947FD2">
      <w:pPr>
        <w:pStyle w:val="Text2"/>
        <w:ind w:left="482"/>
        <w:rPr>
          <w:noProof/>
        </w:rPr>
      </w:pPr>
      <w:r w:rsidRPr="00193A9A">
        <w:rPr>
          <w:noProof/>
        </w:rPr>
        <w:t>Meanwhile</w:t>
      </w:r>
      <w:r w:rsidR="00947FD2" w:rsidRPr="00193A9A">
        <w:rPr>
          <w:noProof/>
        </w:rPr>
        <w:t xml:space="preserve">, </w:t>
      </w:r>
      <w:r w:rsidR="00EF5A86" w:rsidRPr="00193A9A">
        <w:rPr>
          <w:noProof/>
        </w:rPr>
        <w:t xml:space="preserve">respondents from </w:t>
      </w:r>
      <w:r w:rsidR="5E3811A3" w:rsidRPr="00193A9A">
        <w:rPr>
          <w:noProof/>
        </w:rPr>
        <w:t xml:space="preserve">civil society organisations actively mainstream gender in their activities and specifically target women from disadvantaged </w:t>
      </w:r>
      <w:r w:rsidR="001F5816" w:rsidRPr="00193A9A">
        <w:rPr>
          <w:noProof/>
        </w:rPr>
        <w:t xml:space="preserve">groups and </w:t>
      </w:r>
      <w:r w:rsidR="5E3811A3" w:rsidRPr="00193A9A">
        <w:rPr>
          <w:noProof/>
        </w:rPr>
        <w:t>communities</w:t>
      </w:r>
      <w:r w:rsidR="005C7F08" w:rsidRPr="00193A9A">
        <w:rPr>
          <w:noProof/>
        </w:rPr>
        <w:t>.</w:t>
      </w:r>
    </w:p>
    <w:p w14:paraId="70D2E1B0" w14:textId="7E633201" w:rsidR="009979EB" w:rsidRPr="00193A9A" w:rsidRDefault="009979EB" w:rsidP="007A20BB">
      <w:pPr>
        <w:pStyle w:val="Text2"/>
        <w:ind w:left="482"/>
        <w:rPr>
          <w:noProof/>
        </w:rPr>
      </w:pPr>
      <w:r w:rsidRPr="00193A9A">
        <w:rPr>
          <w:noProof/>
        </w:rPr>
        <w:t xml:space="preserve">Both </w:t>
      </w:r>
      <w:r w:rsidR="00B766F8">
        <w:rPr>
          <w:noProof/>
        </w:rPr>
        <w:t xml:space="preserve">the </w:t>
      </w:r>
      <w:r w:rsidRPr="00193A9A">
        <w:rPr>
          <w:noProof/>
        </w:rPr>
        <w:t xml:space="preserve">EIGE and civil society </w:t>
      </w:r>
      <w:r w:rsidR="006E1920" w:rsidRPr="00193A9A">
        <w:rPr>
          <w:noProof/>
        </w:rPr>
        <w:t xml:space="preserve">organisations </w:t>
      </w:r>
      <w:r w:rsidRPr="00193A9A">
        <w:rPr>
          <w:noProof/>
        </w:rPr>
        <w:t>emphasise</w:t>
      </w:r>
      <w:r w:rsidR="00775B85">
        <w:rPr>
          <w:noProof/>
        </w:rPr>
        <w:t>d</w:t>
      </w:r>
      <w:r w:rsidRPr="00193A9A">
        <w:rPr>
          <w:noProof/>
        </w:rPr>
        <w:t xml:space="preserve"> that implementation of gender mainstreaming varies greatly between Member States and frequently falls short of addressing specific challenges. </w:t>
      </w:r>
      <w:r w:rsidR="00B766F8">
        <w:rPr>
          <w:noProof/>
        </w:rPr>
        <w:t xml:space="preserve">The </w:t>
      </w:r>
      <w:r w:rsidRPr="00193A9A">
        <w:rPr>
          <w:noProof/>
        </w:rPr>
        <w:t xml:space="preserve">EIGE </w:t>
      </w:r>
      <w:r w:rsidR="00B766F8">
        <w:rPr>
          <w:noProof/>
        </w:rPr>
        <w:t>note</w:t>
      </w:r>
      <w:r w:rsidR="00775B85">
        <w:rPr>
          <w:noProof/>
        </w:rPr>
        <w:t>d</w:t>
      </w:r>
      <w:r w:rsidR="00B766F8" w:rsidRPr="00193A9A">
        <w:rPr>
          <w:noProof/>
        </w:rPr>
        <w:t xml:space="preserve"> </w:t>
      </w:r>
      <w:r w:rsidRPr="00193A9A">
        <w:rPr>
          <w:noProof/>
        </w:rPr>
        <w:t xml:space="preserve">that some countries </w:t>
      </w:r>
      <w:r w:rsidR="00B766F8">
        <w:rPr>
          <w:noProof/>
        </w:rPr>
        <w:t xml:space="preserve">have </w:t>
      </w:r>
      <w:r w:rsidRPr="00193A9A">
        <w:rPr>
          <w:noProof/>
        </w:rPr>
        <w:t xml:space="preserve">established comprehensive frameworks and dedicated resources, while others </w:t>
      </w:r>
      <w:r w:rsidR="00B766F8">
        <w:rPr>
          <w:noProof/>
        </w:rPr>
        <w:t xml:space="preserve">have </w:t>
      </w:r>
      <w:r w:rsidRPr="00193A9A">
        <w:rPr>
          <w:noProof/>
        </w:rPr>
        <w:t>lagged behind</w:t>
      </w:r>
      <w:r w:rsidR="007A20BB" w:rsidRPr="00193A9A">
        <w:rPr>
          <w:noProof/>
        </w:rPr>
        <w:t> (</w:t>
      </w:r>
      <w:r w:rsidR="007A20BB" w:rsidRPr="00193A9A">
        <w:rPr>
          <w:rStyle w:val="FootnoteReference"/>
          <w:noProof/>
        </w:rPr>
        <w:footnoteReference w:id="79"/>
      </w:r>
      <w:r w:rsidR="007A20BB" w:rsidRPr="00193A9A">
        <w:rPr>
          <w:noProof/>
        </w:rPr>
        <w:t>)</w:t>
      </w:r>
      <w:r w:rsidRPr="00193A9A">
        <w:rPr>
          <w:noProof/>
        </w:rPr>
        <w:t>.</w:t>
      </w:r>
    </w:p>
    <w:p w14:paraId="6529169E" w14:textId="77777777" w:rsidR="009979EB" w:rsidRPr="00193A9A" w:rsidRDefault="009979EB" w:rsidP="009979EB">
      <w:pPr>
        <w:pStyle w:val="Heading2"/>
        <w:rPr>
          <w:noProof/>
        </w:rPr>
      </w:pPr>
      <w:bookmarkStart w:id="18" w:name="_Toc214348091"/>
      <w:r w:rsidRPr="00193A9A">
        <w:rPr>
          <w:noProof/>
        </w:rPr>
        <w:t>Positive action</w:t>
      </w:r>
      <w:bookmarkEnd w:id="18"/>
    </w:p>
    <w:p w14:paraId="7455AB00" w14:textId="50EE6978" w:rsidR="009979EB" w:rsidRPr="00193A9A" w:rsidRDefault="009979EB" w:rsidP="009979EB">
      <w:pPr>
        <w:pStyle w:val="Text2"/>
        <w:ind w:left="482"/>
        <w:rPr>
          <w:noProof/>
        </w:rPr>
      </w:pPr>
      <w:r w:rsidRPr="00193A9A">
        <w:rPr>
          <w:noProof/>
        </w:rPr>
        <w:t xml:space="preserve">In order to ensure full equality in </w:t>
      </w:r>
      <w:r w:rsidRPr="00B766F8">
        <w:rPr>
          <w:noProof/>
        </w:rPr>
        <w:t>practice</w:t>
      </w:r>
      <w:r w:rsidRPr="00193A9A">
        <w:rPr>
          <w:noProof/>
        </w:rPr>
        <w:t xml:space="preserve">, </w:t>
      </w:r>
      <w:bookmarkStart w:id="19" w:name="_Hlk217044111"/>
      <w:r w:rsidRPr="00193A9A">
        <w:rPr>
          <w:noProof/>
        </w:rPr>
        <w:t xml:space="preserve">Member States may adopt or maintain specific measures aimed at preventing </w:t>
      </w:r>
      <w:r w:rsidR="00C9775C" w:rsidRPr="00193A9A">
        <w:rPr>
          <w:noProof/>
        </w:rPr>
        <w:t xml:space="preserve">discrimination </w:t>
      </w:r>
      <w:r w:rsidRPr="00193A9A">
        <w:rPr>
          <w:noProof/>
        </w:rPr>
        <w:t>or compensating for disadvantages related to protected characteristics</w:t>
      </w:r>
      <w:bookmarkEnd w:id="19"/>
      <w:r w:rsidRPr="00193A9A">
        <w:rPr>
          <w:noProof/>
        </w:rPr>
        <w:t> (</w:t>
      </w:r>
      <w:r w:rsidRPr="00193A9A">
        <w:rPr>
          <w:rStyle w:val="FootnoteReference"/>
          <w:noProof/>
        </w:rPr>
        <w:footnoteReference w:id="80"/>
      </w:r>
      <w:r w:rsidRPr="00193A9A">
        <w:rPr>
          <w:noProof/>
        </w:rPr>
        <w:t xml:space="preserve">). The </w:t>
      </w:r>
      <w:r w:rsidR="008643E0" w:rsidRPr="00193A9A">
        <w:rPr>
          <w:noProof/>
        </w:rPr>
        <w:t>CJEU</w:t>
      </w:r>
      <w:r w:rsidRPr="00193A9A">
        <w:rPr>
          <w:noProof/>
        </w:rPr>
        <w:t xml:space="preserve"> has provided guidance on the interpretation of positive action (</w:t>
      </w:r>
      <w:r w:rsidRPr="00193A9A">
        <w:rPr>
          <w:rStyle w:val="FootnoteReference"/>
          <w:noProof/>
        </w:rPr>
        <w:footnoteReference w:id="81"/>
      </w:r>
      <w:r w:rsidRPr="00193A9A">
        <w:rPr>
          <w:noProof/>
        </w:rPr>
        <w:t xml:space="preserve">). </w:t>
      </w:r>
      <w:r w:rsidR="001566B8" w:rsidRPr="00193A9A">
        <w:rPr>
          <w:noProof/>
        </w:rPr>
        <w:t>P</w:t>
      </w:r>
      <w:r w:rsidRPr="00193A9A">
        <w:rPr>
          <w:noProof/>
        </w:rPr>
        <w:t xml:space="preserve">ositive action must be proportionate and, in principle, </w:t>
      </w:r>
      <w:r w:rsidR="0090465E">
        <w:rPr>
          <w:noProof/>
        </w:rPr>
        <w:t>should not result in</w:t>
      </w:r>
      <w:r w:rsidR="009D7F30">
        <w:rPr>
          <w:noProof/>
        </w:rPr>
        <w:t xml:space="preserve"> an automatic or unconditional preference for underrepresented group</w:t>
      </w:r>
      <w:r w:rsidR="0090465E">
        <w:rPr>
          <w:noProof/>
        </w:rPr>
        <w:t>s</w:t>
      </w:r>
      <w:r w:rsidRPr="00193A9A">
        <w:rPr>
          <w:noProof/>
        </w:rPr>
        <w:t xml:space="preserve">. Bodies adopting </w:t>
      </w:r>
      <w:r w:rsidR="000F74FB" w:rsidRPr="00193A9A">
        <w:rPr>
          <w:noProof/>
        </w:rPr>
        <w:t xml:space="preserve">positive </w:t>
      </w:r>
      <w:r w:rsidRPr="00193A9A">
        <w:rPr>
          <w:noProof/>
        </w:rPr>
        <w:t>measures should monitor and evaluate them, and publish information about them, to ensure that they continue to be necessary and effective</w:t>
      </w:r>
      <w:r w:rsidR="00B766F8">
        <w:rPr>
          <w:noProof/>
        </w:rPr>
        <w:t> </w:t>
      </w:r>
      <w:r w:rsidRPr="00193A9A">
        <w:rPr>
          <w:noProof/>
        </w:rPr>
        <w:t>(</w:t>
      </w:r>
      <w:r w:rsidRPr="00193A9A">
        <w:rPr>
          <w:rStyle w:val="FootnoteReference"/>
          <w:noProof/>
        </w:rPr>
        <w:footnoteReference w:id="82"/>
      </w:r>
      <w:r w:rsidRPr="00193A9A">
        <w:rPr>
          <w:noProof/>
        </w:rPr>
        <w:t>).</w:t>
      </w:r>
    </w:p>
    <w:p w14:paraId="158E05A8" w14:textId="0B7DF2FB" w:rsidR="009979EB" w:rsidRPr="00193A9A" w:rsidRDefault="009979EB" w:rsidP="009979EB">
      <w:pPr>
        <w:pStyle w:val="Text2"/>
        <w:ind w:left="482"/>
        <w:rPr>
          <w:noProof/>
        </w:rPr>
      </w:pPr>
      <w:r w:rsidRPr="00193A9A">
        <w:rPr>
          <w:noProof/>
        </w:rPr>
        <w:t xml:space="preserve">Nearly all Member States allow for or promote positive action, the most common measures being quota systems and </w:t>
      </w:r>
      <w:r w:rsidR="00C55143">
        <w:rPr>
          <w:noProof/>
        </w:rPr>
        <w:t xml:space="preserve">campaigns to raise </w:t>
      </w:r>
      <w:r w:rsidRPr="00193A9A">
        <w:rPr>
          <w:noProof/>
        </w:rPr>
        <w:t xml:space="preserve">awareness and </w:t>
      </w:r>
      <w:r w:rsidR="00C55143">
        <w:rPr>
          <w:noProof/>
        </w:rPr>
        <w:t xml:space="preserve">promote </w:t>
      </w:r>
      <w:r w:rsidRPr="00193A9A">
        <w:rPr>
          <w:noProof/>
        </w:rPr>
        <w:t>diversity (1</w:t>
      </w:r>
      <w:r w:rsidR="004D63D3" w:rsidRPr="00193A9A">
        <w:rPr>
          <w:noProof/>
        </w:rPr>
        <w:t>7</w:t>
      </w:r>
      <w:r w:rsidRPr="00193A9A">
        <w:rPr>
          <w:noProof/>
        </w:rPr>
        <w:t xml:space="preserve"> Member States). </w:t>
      </w:r>
      <w:r w:rsidR="00C55143">
        <w:rPr>
          <w:noProof/>
        </w:rPr>
        <w:t xml:space="preserve">A total of </w:t>
      </w:r>
      <w:r w:rsidRPr="00193A9A">
        <w:rPr>
          <w:noProof/>
        </w:rPr>
        <w:t xml:space="preserve">14 Member States offer training and mentoring programmes for underrepresented groups, 13 Member States </w:t>
      </w:r>
      <w:r w:rsidR="00C55143">
        <w:rPr>
          <w:noProof/>
        </w:rPr>
        <w:t xml:space="preserve">have </w:t>
      </w:r>
      <w:r w:rsidR="007540FB">
        <w:rPr>
          <w:noProof/>
        </w:rPr>
        <w:t>adopted</w:t>
      </w:r>
      <w:r w:rsidR="007540FB" w:rsidRPr="00193A9A">
        <w:rPr>
          <w:noProof/>
        </w:rPr>
        <w:t xml:space="preserve"> </w:t>
      </w:r>
      <w:r w:rsidRPr="00193A9A">
        <w:rPr>
          <w:noProof/>
        </w:rPr>
        <w:t>special measures</w:t>
      </w:r>
      <w:r w:rsidR="00C55143">
        <w:rPr>
          <w:noProof/>
        </w:rPr>
        <w:t>,</w:t>
      </w:r>
      <w:r w:rsidRPr="00193A9A">
        <w:rPr>
          <w:noProof/>
        </w:rPr>
        <w:t xml:space="preserve"> such as improving access to education or vocational training, and 1</w:t>
      </w:r>
      <w:r w:rsidR="00137C1E" w:rsidRPr="00193A9A">
        <w:rPr>
          <w:noProof/>
        </w:rPr>
        <w:t>3</w:t>
      </w:r>
      <w:r w:rsidRPr="00193A9A">
        <w:rPr>
          <w:noProof/>
        </w:rPr>
        <w:t xml:space="preserve"> Member States carry out targeted recruitment and hiring initiatives (</w:t>
      </w:r>
      <w:r w:rsidRPr="00193A9A">
        <w:rPr>
          <w:rStyle w:val="FootnoteReference"/>
          <w:noProof/>
        </w:rPr>
        <w:footnoteReference w:id="83"/>
      </w:r>
      <w:r w:rsidRPr="00193A9A">
        <w:rPr>
          <w:noProof/>
        </w:rPr>
        <w:t>).</w:t>
      </w:r>
    </w:p>
    <w:p w14:paraId="047BABD1" w14:textId="5C53C9BB" w:rsidR="009979EB" w:rsidRPr="00193A9A" w:rsidRDefault="5E3811A3" w:rsidP="009979EB">
      <w:pPr>
        <w:pStyle w:val="Text2"/>
        <w:ind w:left="482"/>
        <w:rPr>
          <w:noProof/>
        </w:rPr>
      </w:pPr>
      <w:r w:rsidRPr="00193A9A">
        <w:rPr>
          <w:noProof/>
        </w:rPr>
        <w:t>Where used, quota systems mostly apply in employment and vocational training (12 Member States).</w:t>
      </w:r>
      <w:r w:rsidR="000C25B0">
        <w:rPr>
          <w:noProof/>
        </w:rPr>
        <w:t xml:space="preserve"> In particular, a few Member States have specific employment quotas for persons with disabilities.</w:t>
      </w:r>
      <w:r w:rsidRPr="00193A9A">
        <w:rPr>
          <w:noProof/>
        </w:rPr>
        <w:t xml:space="preserve"> </w:t>
      </w:r>
      <w:r w:rsidR="007F0D32" w:rsidRPr="00193A9A">
        <w:rPr>
          <w:noProof/>
        </w:rPr>
        <w:t>In four Member States, t</w:t>
      </w:r>
      <w:r w:rsidRPr="00193A9A">
        <w:rPr>
          <w:noProof/>
        </w:rPr>
        <w:t xml:space="preserve">hey also apply </w:t>
      </w:r>
      <w:r w:rsidR="00EB2A4C" w:rsidRPr="00193A9A">
        <w:rPr>
          <w:noProof/>
        </w:rPr>
        <w:t>to</w:t>
      </w:r>
      <w:r w:rsidRPr="00193A9A">
        <w:rPr>
          <w:noProof/>
        </w:rPr>
        <w:t xml:space="preserve"> education (e.g. university admissions</w:t>
      </w:r>
      <w:r w:rsidR="004637FD">
        <w:rPr>
          <w:noProof/>
        </w:rPr>
        <w:t xml:space="preserve"> and</w:t>
      </w:r>
      <w:r w:rsidRPr="00193A9A">
        <w:rPr>
          <w:noProof/>
        </w:rPr>
        <w:t xml:space="preserve"> scholarships).</w:t>
      </w:r>
      <w:r w:rsidR="004637FD">
        <w:rPr>
          <w:noProof/>
        </w:rPr>
        <w:t xml:space="preserve"> </w:t>
      </w:r>
      <w:r w:rsidR="00780C93" w:rsidRPr="00193A9A">
        <w:rPr>
          <w:noProof/>
        </w:rPr>
        <w:t>Q</w:t>
      </w:r>
      <w:r w:rsidR="007F0D32" w:rsidRPr="00193A9A">
        <w:rPr>
          <w:noProof/>
        </w:rPr>
        <w:t xml:space="preserve">uotas </w:t>
      </w:r>
      <w:r w:rsidRPr="00193A9A">
        <w:rPr>
          <w:noProof/>
        </w:rPr>
        <w:t xml:space="preserve">seem to almost exclusively </w:t>
      </w:r>
      <w:r w:rsidR="000432AA" w:rsidRPr="00193A9A">
        <w:rPr>
          <w:noProof/>
        </w:rPr>
        <w:t>target</w:t>
      </w:r>
      <w:r w:rsidR="004F0CDF" w:rsidRPr="00193A9A">
        <w:rPr>
          <w:noProof/>
        </w:rPr>
        <w:t xml:space="preserve"> </w:t>
      </w:r>
      <w:r w:rsidRPr="00193A9A">
        <w:rPr>
          <w:noProof/>
        </w:rPr>
        <w:t>gender equality or persons with disabilit</w:t>
      </w:r>
      <w:r w:rsidR="00A61094">
        <w:rPr>
          <w:noProof/>
        </w:rPr>
        <w:t>ies</w:t>
      </w:r>
      <w:r w:rsidRPr="00193A9A">
        <w:rPr>
          <w:noProof/>
        </w:rPr>
        <w:t>.</w:t>
      </w:r>
    </w:p>
    <w:p w14:paraId="7AC373BA" w14:textId="4772ACEB" w:rsidR="009979EB" w:rsidRPr="00193A9A" w:rsidRDefault="009979EB" w:rsidP="007F0D32">
      <w:pPr>
        <w:pStyle w:val="Text2"/>
        <w:ind w:left="482"/>
        <w:rPr>
          <w:noProof/>
        </w:rPr>
      </w:pPr>
      <w:r w:rsidRPr="00193A9A">
        <w:rPr>
          <w:noProof/>
        </w:rPr>
        <w:t>Less than half of the Member States report</w:t>
      </w:r>
      <w:r w:rsidR="004637FD">
        <w:rPr>
          <w:noProof/>
        </w:rPr>
        <w:t>ed</w:t>
      </w:r>
      <w:r w:rsidRPr="00193A9A">
        <w:rPr>
          <w:noProof/>
        </w:rPr>
        <w:t xml:space="preserve"> difficulties in implementing positive action. </w:t>
      </w:r>
      <w:r w:rsidR="00A25A17" w:rsidRPr="00193A9A">
        <w:rPr>
          <w:noProof/>
        </w:rPr>
        <w:t xml:space="preserve">A third of them </w:t>
      </w:r>
      <w:r w:rsidR="006664C4" w:rsidRPr="00193A9A">
        <w:rPr>
          <w:noProof/>
        </w:rPr>
        <w:t>raised</w:t>
      </w:r>
      <w:r w:rsidR="00A25A17" w:rsidRPr="00193A9A">
        <w:rPr>
          <w:noProof/>
        </w:rPr>
        <w:t xml:space="preserve"> insufficient enforcement and lack of domestic legal and policy guidance. </w:t>
      </w:r>
      <w:r w:rsidRPr="00193A9A">
        <w:rPr>
          <w:noProof/>
        </w:rPr>
        <w:t xml:space="preserve">Where </w:t>
      </w:r>
      <w:r w:rsidR="00E401D2">
        <w:rPr>
          <w:noProof/>
        </w:rPr>
        <w:t>difficulties were encountered</w:t>
      </w:r>
      <w:r w:rsidRPr="00193A9A">
        <w:rPr>
          <w:noProof/>
        </w:rPr>
        <w:t xml:space="preserve">, </w:t>
      </w:r>
      <w:r w:rsidR="00C35FA4" w:rsidRPr="00193A9A">
        <w:rPr>
          <w:noProof/>
        </w:rPr>
        <w:t xml:space="preserve">Member States </w:t>
      </w:r>
      <w:r w:rsidRPr="00193A9A">
        <w:rPr>
          <w:noProof/>
        </w:rPr>
        <w:t>most often cite</w:t>
      </w:r>
      <w:r w:rsidR="004637FD">
        <w:rPr>
          <w:noProof/>
        </w:rPr>
        <w:t>d</w:t>
      </w:r>
      <w:r w:rsidRPr="00193A9A">
        <w:rPr>
          <w:noProof/>
        </w:rPr>
        <w:t xml:space="preserve"> insufficient resources and funding </w:t>
      </w:r>
      <w:r w:rsidR="007C5A73" w:rsidRPr="00193A9A">
        <w:rPr>
          <w:noProof/>
        </w:rPr>
        <w:t>and limited understanding among key stakeholders</w:t>
      </w:r>
      <w:r w:rsidRPr="00193A9A">
        <w:rPr>
          <w:noProof/>
        </w:rPr>
        <w:t>. Five Member States highlighted negative public perception</w:t>
      </w:r>
      <w:r w:rsidR="00BF1067" w:rsidRPr="00193A9A">
        <w:rPr>
          <w:noProof/>
        </w:rPr>
        <w:t xml:space="preserve"> and overreliance on voluntary initiatives</w:t>
      </w:r>
      <w:r w:rsidRPr="00193A9A">
        <w:rPr>
          <w:noProof/>
        </w:rPr>
        <w:t>.</w:t>
      </w:r>
    </w:p>
    <w:p w14:paraId="373B97CA" w14:textId="177F1F9F" w:rsidR="009979EB" w:rsidRPr="00193A9A" w:rsidRDefault="0037273C" w:rsidP="009979EB">
      <w:pPr>
        <w:pStyle w:val="Text2"/>
        <w:ind w:left="482"/>
        <w:rPr>
          <w:noProof/>
        </w:rPr>
      </w:pPr>
      <w:r w:rsidRPr="00193A9A">
        <w:rPr>
          <w:noProof/>
        </w:rPr>
        <w:t>Meanwhile</w:t>
      </w:r>
      <w:r w:rsidR="009979EB" w:rsidRPr="00193A9A">
        <w:rPr>
          <w:noProof/>
        </w:rPr>
        <w:t>, civil society and equality bodies worked to raise awareness of positive action among key stakeholders</w:t>
      </w:r>
      <w:r w:rsidRPr="00193A9A">
        <w:rPr>
          <w:noProof/>
        </w:rPr>
        <w:t xml:space="preserve">. They also implemented </w:t>
      </w:r>
      <w:r w:rsidR="009979EB" w:rsidRPr="00193A9A">
        <w:rPr>
          <w:noProof/>
        </w:rPr>
        <w:t>their own positive action measures</w:t>
      </w:r>
      <w:r w:rsidR="004637FD">
        <w:rPr>
          <w:noProof/>
        </w:rPr>
        <w:t>,</w:t>
      </w:r>
      <w:r w:rsidR="009979EB" w:rsidRPr="00193A9A">
        <w:rPr>
          <w:noProof/>
        </w:rPr>
        <w:t xml:space="preserve"> both internally and externally.</w:t>
      </w:r>
    </w:p>
    <w:tbl>
      <w:tblPr>
        <w:tblStyle w:val="EurolookClassicPurple2"/>
        <w:tblW w:w="0" w:type="auto"/>
        <w:tblInd w:w="442" w:type="dxa"/>
        <w:tblLook w:val="0620" w:firstRow="1" w:lastRow="0" w:firstColumn="0" w:lastColumn="0" w:noHBand="1" w:noVBand="1"/>
      </w:tblPr>
      <w:tblGrid>
        <w:gridCol w:w="8160"/>
      </w:tblGrid>
      <w:tr w:rsidR="009979EB" w:rsidRPr="00193A9A" w14:paraId="6284D212" w14:textId="77777777" w:rsidTr="00E401D2">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043AE58C" w14:textId="2BA7AE42" w:rsidR="009979EB" w:rsidRPr="00193A9A" w:rsidRDefault="5E3811A3">
            <w:pPr>
              <w:pStyle w:val="TableText"/>
              <w:rPr>
                <w:b/>
                <w:bCs/>
                <w:noProof/>
              </w:rPr>
            </w:pPr>
            <w:r w:rsidRPr="00193A9A">
              <w:rPr>
                <w:b/>
                <w:bCs/>
                <w:noProof/>
              </w:rPr>
              <w:t xml:space="preserve">Box </w:t>
            </w:r>
            <w:r w:rsidR="00E401D2">
              <w:rPr>
                <w:b/>
                <w:bCs/>
                <w:noProof/>
              </w:rPr>
              <w:t>4</w:t>
            </w:r>
            <w:r w:rsidRPr="00193A9A">
              <w:rPr>
                <w:b/>
                <w:bCs/>
                <w:noProof/>
              </w:rPr>
              <w:t xml:space="preserve">. </w:t>
            </w:r>
            <w:r w:rsidR="74FEDBBB" w:rsidRPr="00193A9A">
              <w:rPr>
                <w:b/>
                <w:bCs/>
                <w:noProof/>
              </w:rPr>
              <w:t>‘</w:t>
            </w:r>
            <w:r w:rsidRPr="00193A9A">
              <w:rPr>
                <w:b/>
                <w:bCs/>
                <w:noProof/>
              </w:rPr>
              <w:t>Angajez 45+</w:t>
            </w:r>
            <w:r w:rsidR="46A97B4D" w:rsidRPr="00193A9A">
              <w:rPr>
                <w:b/>
                <w:bCs/>
                <w:noProof/>
              </w:rPr>
              <w:t>’</w:t>
            </w:r>
            <w:r w:rsidRPr="00193A9A">
              <w:rPr>
                <w:b/>
                <w:bCs/>
                <w:noProof/>
              </w:rPr>
              <w:t xml:space="preserve"> (‘I hire 45+</w:t>
            </w:r>
            <w:r w:rsidR="3890D076" w:rsidRPr="00193A9A">
              <w:rPr>
                <w:b/>
                <w:bCs/>
                <w:noProof/>
              </w:rPr>
              <w:t>’</w:t>
            </w:r>
            <w:r w:rsidRPr="00193A9A">
              <w:rPr>
                <w:b/>
                <w:bCs/>
                <w:noProof/>
              </w:rPr>
              <w:t>) platform in Romania</w:t>
            </w:r>
            <w:r w:rsidR="0050203B">
              <w:rPr>
                <w:b/>
                <w:bCs/>
                <w:noProof/>
              </w:rPr>
              <w:t> </w:t>
            </w:r>
            <w:r w:rsidRPr="00193A9A">
              <w:rPr>
                <w:b/>
                <w:bCs/>
                <w:noProof/>
              </w:rPr>
              <w:t>(</w:t>
            </w:r>
            <w:r w:rsidR="009979EB" w:rsidRPr="00775EEC">
              <w:rPr>
                <w:rStyle w:val="FootnoteReference"/>
                <w:b/>
                <w:bCs/>
                <w:noProof/>
                <w:lang w:val="en-IE"/>
              </w:rPr>
              <w:footnoteReference w:id="84"/>
            </w:r>
            <w:r w:rsidRPr="00193A9A">
              <w:rPr>
                <w:b/>
                <w:bCs/>
                <w:noProof/>
              </w:rPr>
              <w:t>)</w:t>
            </w:r>
          </w:p>
        </w:tc>
      </w:tr>
      <w:tr w:rsidR="009979EB" w:rsidRPr="00193A9A" w14:paraId="59852EC0" w14:textId="77777777" w:rsidTr="377AF046">
        <w:trPr>
          <w:cantSplit/>
        </w:trPr>
        <w:tc>
          <w:tcPr>
            <w:tcW w:w="8160" w:type="dxa"/>
          </w:tcPr>
          <w:p w14:paraId="1C7BEECF" w14:textId="2D31ED54" w:rsidR="009979EB" w:rsidRPr="00193A9A" w:rsidRDefault="5E3811A3">
            <w:pPr>
              <w:pStyle w:val="Text2"/>
              <w:ind w:left="0"/>
              <w:rPr>
                <w:noProof/>
              </w:rPr>
            </w:pPr>
            <w:r w:rsidRPr="00193A9A">
              <w:rPr>
                <w:noProof/>
              </w:rPr>
              <w:t xml:space="preserve">In Romania, </w:t>
            </w:r>
            <w:r w:rsidR="3C3C96E7" w:rsidRPr="00193A9A">
              <w:rPr>
                <w:noProof/>
              </w:rPr>
              <w:t xml:space="preserve">the </w:t>
            </w:r>
            <w:r w:rsidR="354189F7" w:rsidRPr="00193A9A">
              <w:rPr>
                <w:noProof/>
              </w:rPr>
              <w:t>‘</w:t>
            </w:r>
            <w:r w:rsidRPr="00193A9A">
              <w:rPr>
                <w:noProof/>
              </w:rPr>
              <w:t>Angajez 45+</w:t>
            </w:r>
            <w:r w:rsidR="01FBBEED" w:rsidRPr="00193A9A">
              <w:rPr>
                <w:noProof/>
              </w:rPr>
              <w:t>’</w:t>
            </w:r>
            <w:r w:rsidRPr="00193A9A">
              <w:rPr>
                <w:noProof/>
              </w:rPr>
              <w:t xml:space="preserve"> (‘I hire 45+</w:t>
            </w:r>
            <w:r w:rsidR="1BD3F5B0" w:rsidRPr="00193A9A">
              <w:rPr>
                <w:noProof/>
              </w:rPr>
              <w:t>’</w:t>
            </w:r>
            <w:r w:rsidRPr="00193A9A">
              <w:rPr>
                <w:noProof/>
              </w:rPr>
              <w:t xml:space="preserve">) platform mobilises employers and jobseekers to challenge ageist hiring </w:t>
            </w:r>
            <w:r w:rsidRPr="00775EEC">
              <w:rPr>
                <w:noProof/>
              </w:rPr>
              <w:t>practices</w:t>
            </w:r>
            <w:r w:rsidRPr="00193A9A">
              <w:rPr>
                <w:noProof/>
              </w:rPr>
              <w:t>. This civil society-led initiative promotes the employment of people aged 45 and over by encouraging inclusive recruitment and showcasing the value of experience in the workplace.</w:t>
            </w:r>
          </w:p>
        </w:tc>
      </w:tr>
    </w:tbl>
    <w:p w14:paraId="654059A1" w14:textId="77777777" w:rsidR="00C01DDF" w:rsidRPr="00193A9A" w:rsidRDefault="00C01DDF" w:rsidP="00C01DDF">
      <w:pPr>
        <w:pStyle w:val="Text2"/>
        <w:ind w:left="482"/>
        <w:rPr>
          <w:noProof/>
        </w:rPr>
      </w:pPr>
      <w:bookmarkStart w:id="20" w:name="_Toc214348092"/>
    </w:p>
    <w:tbl>
      <w:tblPr>
        <w:tblStyle w:val="EurolookClassicPurple2"/>
        <w:tblW w:w="0" w:type="auto"/>
        <w:tblInd w:w="442" w:type="dxa"/>
        <w:tblLook w:val="0620" w:firstRow="1" w:lastRow="0" w:firstColumn="0" w:lastColumn="0" w:noHBand="1" w:noVBand="1"/>
      </w:tblPr>
      <w:tblGrid>
        <w:gridCol w:w="8160"/>
      </w:tblGrid>
      <w:tr w:rsidR="00C01DDF" w:rsidRPr="00193A9A" w14:paraId="310EEEBE" w14:textId="77777777" w:rsidTr="0090481C">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004494"/>
          </w:tcPr>
          <w:p w14:paraId="09A599EE" w14:textId="0E0BA240" w:rsidR="00C01DDF" w:rsidRPr="00193A9A" w:rsidRDefault="00A6547E" w:rsidP="00373FC3">
            <w:pPr>
              <w:pStyle w:val="TableText"/>
              <w:rPr>
                <w:b/>
                <w:bCs/>
                <w:noProof/>
              </w:rPr>
            </w:pPr>
            <w:bookmarkStart w:id="21" w:name="_Hlk219293993"/>
            <w:r>
              <w:rPr>
                <w:b/>
                <w:bCs/>
                <w:noProof/>
              </w:rPr>
              <w:t>Conclusions</w:t>
            </w:r>
          </w:p>
        </w:tc>
      </w:tr>
      <w:tr w:rsidR="00C01DDF" w:rsidRPr="00193A9A" w14:paraId="141817F9" w14:textId="77777777" w:rsidTr="00373FC3">
        <w:trPr>
          <w:cantSplit/>
        </w:trPr>
        <w:tc>
          <w:tcPr>
            <w:tcW w:w="8160" w:type="dxa"/>
          </w:tcPr>
          <w:p w14:paraId="33C11BC3" w14:textId="285C0812" w:rsidR="000C25B0" w:rsidRDefault="000C25B0" w:rsidP="00B61149">
            <w:pPr>
              <w:pStyle w:val="Text2"/>
              <w:ind w:left="0"/>
              <w:rPr>
                <w:noProof/>
              </w:rPr>
            </w:pPr>
            <w:r w:rsidRPr="00B61149">
              <w:rPr>
                <w:i/>
                <w:iCs/>
                <w:noProof/>
              </w:rPr>
              <w:t>Member States and their equality bodies must</w:t>
            </w:r>
            <w:r>
              <w:rPr>
                <w:noProof/>
              </w:rPr>
              <w:t>:</w:t>
            </w:r>
          </w:p>
          <w:p w14:paraId="62DF484E" w14:textId="182A154D" w:rsidR="000C25B0" w:rsidRPr="00193A9A" w:rsidRDefault="00852AB8" w:rsidP="00AB5B60">
            <w:pPr>
              <w:pStyle w:val="ListDash2"/>
              <w:rPr>
                <w:noProof/>
              </w:rPr>
            </w:pPr>
            <w:r w:rsidRPr="00193A9A">
              <w:rPr>
                <w:noProof/>
              </w:rPr>
              <w:t>raise awareness of the rights and obligations set out in the Directives</w:t>
            </w:r>
            <w:r w:rsidR="00E15935" w:rsidRPr="00193A9A">
              <w:rPr>
                <w:noProof/>
              </w:rPr>
              <w:t>. In particular, they should</w:t>
            </w:r>
            <w:r w:rsidRPr="00193A9A">
              <w:rPr>
                <w:noProof/>
              </w:rPr>
              <w:t xml:space="preserve"> </w:t>
            </w:r>
            <w:r w:rsidR="00E15935" w:rsidRPr="00193A9A">
              <w:rPr>
                <w:noProof/>
              </w:rPr>
              <w:t>focus</w:t>
            </w:r>
            <w:r w:rsidRPr="00193A9A">
              <w:rPr>
                <w:noProof/>
              </w:rPr>
              <w:t xml:space="preserve"> on protected groups, making use of the expertise and outreach of civil society and social partners.</w:t>
            </w:r>
          </w:p>
          <w:p w14:paraId="2CEA04D5" w14:textId="217FDF34" w:rsidR="00AB5B60" w:rsidRDefault="007817DA" w:rsidP="00AB5B60">
            <w:pPr>
              <w:pStyle w:val="ListDash2"/>
              <w:rPr>
                <w:noProof/>
              </w:rPr>
            </w:pPr>
            <w:r w:rsidRPr="00193A9A">
              <w:rPr>
                <w:noProof/>
              </w:rPr>
              <w:t xml:space="preserve">give victims of discrimination and their representatives </w:t>
            </w:r>
            <w:r w:rsidR="009D2E39">
              <w:rPr>
                <w:noProof/>
              </w:rPr>
              <w:t xml:space="preserve">easy access </w:t>
            </w:r>
            <w:r w:rsidRPr="00193A9A">
              <w:rPr>
                <w:noProof/>
              </w:rPr>
              <w:t>to the relevant evidence, including statistical data, needed to demonstrate discrimination and shift the burden of proof onto the defendants.</w:t>
            </w:r>
          </w:p>
          <w:p w14:paraId="2B4FBF49" w14:textId="1B927815" w:rsidR="00AB5B60" w:rsidRPr="00AB5B60" w:rsidRDefault="00AB5B60" w:rsidP="00AB5B60">
            <w:pPr>
              <w:pStyle w:val="ListDash2"/>
              <w:numPr>
                <w:ilvl w:val="0"/>
                <w:numId w:val="0"/>
              </w:numPr>
              <w:rPr>
                <w:noProof/>
              </w:rPr>
            </w:pPr>
            <w:r w:rsidRPr="00952A63">
              <w:rPr>
                <w:i/>
                <w:iCs/>
                <w:noProof/>
              </w:rPr>
              <w:t xml:space="preserve">Member States and their equality bodies </w:t>
            </w:r>
            <w:r>
              <w:rPr>
                <w:i/>
                <w:iCs/>
                <w:noProof/>
              </w:rPr>
              <w:t>should</w:t>
            </w:r>
            <w:r>
              <w:rPr>
                <w:noProof/>
              </w:rPr>
              <w:t>:</w:t>
            </w:r>
          </w:p>
          <w:p w14:paraId="65FF5F31" w14:textId="1374B760" w:rsidR="007817DA" w:rsidRDefault="00AE5F9A" w:rsidP="007817DA">
            <w:pPr>
              <w:pStyle w:val="ListDash2"/>
              <w:rPr>
                <w:noProof/>
              </w:rPr>
            </w:pPr>
            <w:r w:rsidRPr="00193A9A">
              <w:rPr>
                <w:noProof/>
              </w:rPr>
              <w:t xml:space="preserve">provide judges, law practitioners and claimants with further guidance and support to help them effectively </w:t>
            </w:r>
            <w:r w:rsidR="0090465E">
              <w:rPr>
                <w:noProof/>
              </w:rPr>
              <w:t>implement the shift</w:t>
            </w:r>
            <w:r w:rsidRPr="00193A9A">
              <w:rPr>
                <w:noProof/>
              </w:rPr>
              <w:t xml:space="preserve"> of the burden of proof rules in discrimination cases.</w:t>
            </w:r>
          </w:p>
          <w:p w14:paraId="6F9770C5" w14:textId="31F248C1" w:rsidR="000C25B0" w:rsidRPr="00193A9A" w:rsidRDefault="000C25B0" w:rsidP="000C25B0">
            <w:pPr>
              <w:pStyle w:val="Text2"/>
              <w:ind w:left="0"/>
              <w:rPr>
                <w:noProof/>
              </w:rPr>
            </w:pPr>
            <w:r w:rsidRPr="00B61149">
              <w:rPr>
                <w:i/>
                <w:iCs/>
                <w:noProof/>
              </w:rPr>
              <w:t>The Commission will</w:t>
            </w:r>
            <w:r>
              <w:rPr>
                <w:noProof/>
              </w:rPr>
              <w:t>:</w:t>
            </w:r>
          </w:p>
          <w:p w14:paraId="24EB8C5F" w14:textId="74243CD0" w:rsidR="00853292" w:rsidRPr="00193A9A" w:rsidRDefault="00853292" w:rsidP="00853292">
            <w:pPr>
              <w:pStyle w:val="ListDash2"/>
              <w:rPr>
                <w:noProof/>
              </w:rPr>
            </w:pPr>
            <w:r w:rsidRPr="00193A9A">
              <w:rPr>
                <w:noProof/>
              </w:rPr>
              <w:t>support</w:t>
            </w:r>
            <w:r w:rsidR="000C25B0">
              <w:rPr>
                <w:noProof/>
              </w:rPr>
              <w:t>s</w:t>
            </w:r>
            <w:r w:rsidRPr="00193A9A">
              <w:rPr>
                <w:noProof/>
              </w:rPr>
              <w:t xml:space="preserve"> Member States in </w:t>
            </w:r>
            <w:r w:rsidR="00402A16">
              <w:rPr>
                <w:noProof/>
              </w:rPr>
              <w:t>improving</w:t>
            </w:r>
            <w:r w:rsidR="00402A16" w:rsidRPr="00193A9A">
              <w:rPr>
                <w:noProof/>
              </w:rPr>
              <w:t xml:space="preserve"> </w:t>
            </w:r>
            <w:r w:rsidRPr="00193A9A">
              <w:rPr>
                <w:noProof/>
              </w:rPr>
              <w:t>their</w:t>
            </w:r>
            <w:r w:rsidR="00402A16">
              <w:rPr>
                <w:noProof/>
              </w:rPr>
              <w:t xml:space="preserve"> collection and use of</w:t>
            </w:r>
            <w:r w:rsidRPr="00193A9A">
              <w:rPr>
                <w:noProof/>
              </w:rPr>
              <w:t xml:space="preserve"> equality data</w:t>
            </w:r>
            <w:r w:rsidR="00852AB8" w:rsidRPr="00193A9A">
              <w:rPr>
                <w:noProof/>
              </w:rPr>
              <w:t xml:space="preserve">. It will </w:t>
            </w:r>
            <w:r w:rsidR="0090465E">
              <w:rPr>
                <w:noProof/>
              </w:rPr>
              <w:t>work on</w:t>
            </w:r>
            <w:r w:rsidR="0090465E" w:rsidRPr="00193A9A">
              <w:rPr>
                <w:noProof/>
              </w:rPr>
              <w:t xml:space="preserve"> </w:t>
            </w:r>
            <w:r w:rsidR="00852AB8" w:rsidRPr="00193A9A">
              <w:rPr>
                <w:noProof/>
              </w:rPr>
              <w:t>a</w:t>
            </w:r>
            <w:r w:rsidRPr="00193A9A">
              <w:rPr>
                <w:noProof/>
              </w:rPr>
              <w:t xml:space="preserve"> </w:t>
            </w:r>
            <w:r w:rsidR="00402A16">
              <w:rPr>
                <w:noProof/>
              </w:rPr>
              <w:t>r</w:t>
            </w:r>
            <w:r w:rsidRPr="00193A9A">
              <w:rPr>
                <w:noProof/>
              </w:rPr>
              <w:t>ecommendation on equality data</w:t>
            </w:r>
            <w:r w:rsidR="00C31CA9" w:rsidRPr="00193A9A">
              <w:rPr>
                <w:noProof/>
              </w:rPr>
              <w:t>, in line with national legal frameworks</w:t>
            </w:r>
            <w:r w:rsidR="00852AB8" w:rsidRPr="00193A9A">
              <w:rPr>
                <w:noProof/>
              </w:rPr>
              <w:t>.</w:t>
            </w:r>
          </w:p>
          <w:p w14:paraId="3C61EEEF" w14:textId="2D3DEF60" w:rsidR="00C01DDF" w:rsidRPr="00193A9A" w:rsidRDefault="0001406A" w:rsidP="00E8758D">
            <w:pPr>
              <w:pStyle w:val="ListDash2"/>
              <w:rPr>
                <w:noProof/>
              </w:rPr>
            </w:pPr>
            <w:r w:rsidRPr="00193A9A">
              <w:rPr>
                <w:noProof/>
              </w:rPr>
              <w:t xml:space="preserve">support further research to facilitate the application of the </w:t>
            </w:r>
            <w:r w:rsidR="00402A16">
              <w:rPr>
                <w:noProof/>
              </w:rPr>
              <w:t xml:space="preserve">Directives’ </w:t>
            </w:r>
            <w:r w:rsidRPr="00193A9A">
              <w:rPr>
                <w:noProof/>
              </w:rPr>
              <w:t>provisions on harassment and victimisation and to enable victims</w:t>
            </w:r>
            <w:r w:rsidR="00402A16">
              <w:rPr>
                <w:noProof/>
              </w:rPr>
              <w:t xml:space="preserve"> to</w:t>
            </w:r>
            <w:r w:rsidRPr="00193A9A">
              <w:rPr>
                <w:noProof/>
              </w:rPr>
              <w:t xml:space="preserve"> full</w:t>
            </w:r>
            <w:r w:rsidR="00402A16">
              <w:rPr>
                <w:noProof/>
              </w:rPr>
              <w:t>y</w:t>
            </w:r>
            <w:r w:rsidRPr="00193A9A">
              <w:rPr>
                <w:noProof/>
              </w:rPr>
              <w:t xml:space="preserve"> enjoy the protection</w:t>
            </w:r>
            <w:r w:rsidR="00402A16">
              <w:rPr>
                <w:noProof/>
              </w:rPr>
              <w:t xml:space="preserve"> they offer</w:t>
            </w:r>
            <w:r w:rsidRPr="00193A9A">
              <w:rPr>
                <w:noProof/>
              </w:rPr>
              <w:t>.</w:t>
            </w:r>
          </w:p>
        </w:tc>
      </w:tr>
    </w:tbl>
    <w:bookmarkEnd w:id="21"/>
    <w:p w14:paraId="15355599" w14:textId="6189243E" w:rsidR="009979EB" w:rsidRPr="00193A9A" w:rsidRDefault="009979EB" w:rsidP="007134B2">
      <w:pPr>
        <w:pStyle w:val="Heading1"/>
        <w:rPr>
          <w:noProof/>
        </w:rPr>
      </w:pPr>
      <w:r w:rsidRPr="00193A9A">
        <w:rPr>
          <w:noProof/>
        </w:rPr>
        <w:t>Aspects specific to the Racial Equality Directive</w:t>
      </w:r>
      <w:bookmarkEnd w:id="20"/>
    </w:p>
    <w:p w14:paraId="3A219D2F" w14:textId="6C6BE9C0" w:rsidR="009979EB" w:rsidRPr="00193A9A" w:rsidRDefault="009979EB" w:rsidP="009979EB">
      <w:pPr>
        <w:pStyle w:val="Text1"/>
        <w:rPr>
          <w:noProof/>
        </w:rPr>
      </w:pPr>
      <w:r w:rsidRPr="00193A9A">
        <w:rPr>
          <w:noProof/>
        </w:rPr>
        <w:t xml:space="preserve">In the </w:t>
      </w:r>
      <w:r w:rsidR="00280025">
        <w:rPr>
          <w:noProof/>
        </w:rPr>
        <w:t>previous</w:t>
      </w:r>
      <w:r w:rsidR="00280025" w:rsidRPr="00193A9A">
        <w:rPr>
          <w:noProof/>
        </w:rPr>
        <w:t xml:space="preserve"> </w:t>
      </w:r>
      <w:r w:rsidRPr="00193A9A">
        <w:rPr>
          <w:noProof/>
        </w:rPr>
        <w:t xml:space="preserve">report, the Commission provided an extensive overview of </w:t>
      </w:r>
      <w:r w:rsidR="00D023D8">
        <w:rPr>
          <w:noProof/>
        </w:rPr>
        <w:t>the scope of the Directive and how</w:t>
      </w:r>
      <w:r w:rsidRPr="00193A9A">
        <w:rPr>
          <w:noProof/>
        </w:rPr>
        <w:t xml:space="preserve"> the notion of ‘racial or ethnic origin’ </w:t>
      </w:r>
      <w:r w:rsidR="00D023D8">
        <w:rPr>
          <w:noProof/>
        </w:rPr>
        <w:t>is to be understood</w:t>
      </w:r>
      <w:r w:rsidRPr="00193A9A">
        <w:rPr>
          <w:noProof/>
        </w:rPr>
        <w:t xml:space="preserve">, </w:t>
      </w:r>
      <w:r w:rsidR="008F37D0">
        <w:rPr>
          <w:noProof/>
        </w:rPr>
        <w:t>on the basis of</w:t>
      </w:r>
      <w:r w:rsidRPr="00193A9A">
        <w:rPr>
          <w:noProof/>
        </w:rPr>
        <w:t xml:space="preserve"> the available </w:t>
      </w:r>
      <w:r w:rsidR="004A70F3">
        <w:rPr>
          <w:noProof/>
        </w:rPr>
        <w:t>case-law</w:t>
      </w:r>
      <w:r w:rsidRPr="00193A9A">
        <w:rPr>
          <w:noProof/>
        </w:rPr>
        <w:t xml:space="preserve"> of the </w:t>
      </w:r>
      <w:r w:rsidR="008643E0" w:rsidRPr="00193A9A">
        <w:rPr>
          <w:noProof/>
        </w:rPr>
        <w:t>CJEU</w:t>
      </w:r>
      <w:r w:rsidRPr="00193A9A">
        <w:rPr>
          <w:noProof/>
        </w:rPr>
        <w:t xml:space="preserve">. The following sections update </w:t>
      </w:r>
      <w:r w:rsidR="008F37D0">
        <w:rPr>
          <w:noProof/>
        </w:rPr>
        <w:t>that</w:t>
      </w:r>
      <w:r w:rsidR="008F37D0" w:rsidRPr="00193A9A">
        <w:rPr>
          <w:noProof/>
        </w:rPr>
        <w:t xml:space="preserve"> </w:t>
      </w:r>
      <w:r w:rsidRPr="00193A9A">
        <w:rPr>
          <w:noProof/>
        </w:rPr>
        <w:t>information with relevant developments since 2021.</w:t>
      </w:r>
    </w:p>
    <w:tbl>
      <w:tblPr>
        <w:tblStyle w:val="EurolookClassicPurple2"/>
        <w:tblW w:w="0" w:type="auto"/>
        <w:tblInd w:w="442" w:type="dxa"/>
        <w:tblLook w:val="0620" w:firstRow="1" w:lastRow="0" w:firstColumn="0" w:lastColumn="0" w:noHBand="1" w:noVBand="1"/>
      </w:tblPr>
      <w:tblGrid>
        <w:gridCol w:w="8160"/>
      </w:tblGrid>
      <w:tr w:rsidR="004C59E1" w:rsidRPr="00193A9A" w14:paraId="7907AB9D"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31327D8F" w14:textId="77777777" w:rsidR="004C59E1" w:rsidRPr="00193A9A" w:rsidRDefault="004C59E1" w:rsidP="004F2E3D">
            <w:pPr>
              <w:pStyle w:val="TableText"/>
              <w:jc w:val="both"/>
              <w:rPr>
                <w:b/>
                <w:bCs/>
                <w:noProof/>
              </w:rPr>
            </w:pPr>
            <w:r w:rsidRPr="00193A9A">
              <w:rPr>
                <w:b/>
                <w:bCs/>
                <w:noProof/>
              </w:rPr>
              <w:t>Key takeaways</w:t>
            </w:r>
          </w:p>
        </w:tc>
      </w:tr>
      <w:tr w:rsidR="004C59E1" w:rsidRPr="00193A9A" w14:paraId="68328711" w14:textId="77777777" w:rsidTr="004F2E3D">
        <w:trPr>
          <w:cantSplit/>
        </w:trPr>
        <w:tc>
          <w:tcPr>
            <w:tcW w:w="8160" w:type="dxa"/>
          </w:tcPr>
          <w:p w14:paraId="58BA6B85" w14:textId="433D8EB5" w:rsidR="004C59E1" w:rsidRPr="00193A9A" w:rsidRDefault="007049C2" w:rsidP="004F2E3D">
            <w:pPr>
              <w:pStyle w:val="ListDash2"/>
              <w:numPr>
                <w:ilvl w:val="0"/>
                <w:numId w:val="3"/>
              </w:numPr>
              <w:rPr>
                <w:noProof/>
              </w:rPr>
            </w:pPr>
            <w:r w:rsidRPr="00193A9A">
              <w:rPr>
                <w:noProof/>
              </w:rPr>
              <w:t xml:space="preserve">Access to and supply of social housing may be covered by </w:t>
            </w:r>
            <w:r w:rsidR="004C59E1" w:rsidRPr="00193A9A">
              <w:rPr>
                <w:noProof/>
              </w:rPr>
              <w:t>the Racial Equality Directive.</w:t>
            </w:r>
          </w:p>
          <w:p w14:paraId="70D9DB9C" w14:textId="3E23F9BF" w:rsidR="004C59E1" w:rsidRPr="00193A9A" w:rsidRDefault="007049C2" w:rsidP="007049C2">
            <w:pPr>
              <w:pStyle w:val="ListDash2"/>
              <w:numPr>
                <w:ilvl w:val="0"/>
                <w:numId w:val="3"/>
              </w:numPr>
              <w:rPr>
                <w:noProof/>
              </w:rPr>
            </w:pPr>
            <w:r w:rsidRPr="00193A9A">
              <w:rPr>
                <w:noProof/>
              </w:rPr>
              <w:t>A person</w:t>
            </w:r>
            <w:r w:rsidR="00193A9A">
              <w:rPr>
                <w:noProof/>
              </w:rPr>
              <w:t>’</w:t>
            </w:r>
            <w:r w:rsidRPr="00193A9A">
              <w:rPr>
                <w:noProof/>
              </w:rPr>
              <w:t xml:space="preserve">s nationality or country of birth may be considered alongside other factors when determining whether discrimination </w:t>
            </w:r>
            <w:r w:rsidR="00614DCA">
              <w:rPr>
                <w:noProof/>
              </w:rPr>
              <w:t>on the basis of</w:t>
            </w:r>
            <w:r w:rsidRPr="00193A9A">
              <w:rPr>
                <w:noProof/>
              </w:rPr>
              <w:t xml:space="preserve"> </w:t>
            </w:r>
            <w:r w:rsidR="00193A9A">
              <w:rPr>
                <w:noProof/>
              </w:rPr>
              <w:t>‘</w:t>
            </w:r>
            <w:r w:rsidRPr="00193A9A">
              <w:rPr>
                <w:noProof/>
              </w:rPr>
              <w:t>ethnic origin</w:t>
            </w:r>
            <w:r w:rsidR="00193A9A">
              <w:rPr>
                <w:noProof/>
              </w:rPr>
              <w:t>’</w:t>
            </w:r>
            <w:r w:rsidRPr="00193A9A">
              <w:rPr>
                <w:noProof/>
              </w:rPr>
              <w:t xml:space="preserve"> has occurred.</w:t>
            </w:r>
          </w:p>
          <w:p w14:paraId="02573FAD" w14:textId="0530DC8C" w:rsidR="004C59E1" w:rsidRPr="00193A9A" w:rsidRDefault="009A0231" w:rsidP="004F2E3D">
            <w:pPr>
              <w:pStyle w:val="ListDash2"/>
              <w:numPr>
                <w:ilvl w:val="0"/>
                <w:numId w:val="3"/>
              </w:numPr>
              <w:rPr>
                <w:noProof/>
              </w:rPr>
            </w:pPr>
            <w:r w:rsidRPr="00193A9A">
              <w:rPr>
                <w:noProof/>
              </w:rPr>
              <w:t xml:space="preserve">The Racial Equality Directive prohibits discrimination against both </w:t>
            </w:r>
            <w:r w:rsidR="007049C2" w:rsidRPr="00193A9A">
              <w:rPr>
                <w:noProof/>
              </w:rPr>
              <w:t>one</w:t>
            </w:r>
            <w:r w:rsidR="00614DCA">
              <w:rPr>
                <w:noProof/>
              </w:rPr>
              <w:t xml:space="preserve"> ethnic group</w:t>
            </w:r>
            <w:r w:rsidRPr="00193A9A">
              <w:rPr>
                <w:noProof/>
              </w:rPr>
              <w:t xml:space="preserve"> and </w:t>
            </w:r>
            <w:r w:rsidR="00614DCA">
              <w:rPr>
                <w:noProof/>
              </w:rPr>
              <w:t>multiple</w:t>
            </w:r>
            <w:r w:rsidR="00614DCA" w:rsidRPr="00193A9A">
              <w:rPr>
                <w:noProof/>
              </w:rPr>
              <w:t xml:space="preserve"> </w:t>
            </w:r>
            <w:r w:rsidRPr="00193A9A">
              <w:rPr>
                <w:noProof/>
              </w:rPr>
              <w:t>ethnic groups.</w:t>
            </w:r>
          </w:p>
        </w:tc>
      </w:tr>
    </w:tbl>
    <w:p w14:paraId="0F15A035" w14:textId="76A7393E" w:rsidR="009979EB" w:rsidRPr="00193A9A" w:rsidRDefault="009979EB" w:rsidP="00D949BB">
      <w:pPr>
        <w:pStyle w:val="Heading2"/>
        <w:spacing w:before="240"/>
        <w:ind w:left="1195"/>
        <w:rPr>
          <w:noProof/>
        </w:rPr>
      </w:pPr>
      <w:bookmarkStart w:id="22" w:name="_Toc214348094"/>
      <w:r w:rsidRPr="00193A9A">
        <w:rPr>
          <w:noProof/>
        </w:rPr>
        <w:t>Material scope</w:t>
      </w:r>
      <w:bookmarkEnd w:id="22"/>
    </w:p>
    <w:p w14:paraId="4BAFD969" w14:textId="6360A2D6" w:rsidR="009979EB" w:rsidRPr="00193A9A" w:rsidRDefault="009979EB" w:rsidP="00B61149">
      <w:pPr>
        <w:pStyle w:val="Text2"/>
        <w:ind w:left="475"/>
        <w:rPr>
          <w:b/>
          <w:bCs/>
          <w:noProof/>
        </w:rPr>
      </w:pPr>
      <w:r w:rsidRPr="00193A9A">
        <w:rPr>
          <w:b/>
          <w:bCs/>
          <w:noProof/>
        </w:rPr>
        <w:t>Housing</w:t>
      </w:r>
    </w:p>
    <w:p w14:paraId="21E6B9CC" w14:textId="6D766D96" w:rsidR="009078A4" w:rsidRPr="00193A9A" w:rsidRDefault="00F37A72" w:rsidP="00BB0015">
      <w:pPr>
        <w:pStyle w:val="Text2"/>
        <w:ind w:left="482"/>
        <w:rPr>
          <w:noProof/>
        </w:rPr>
      </w:pPr>
      <w:r>
        <w:rPr>
          <w:noProof/>
        </w:rPr>
        <w:t>One of the fields in which t</w:t>
      </w:r>
      <w:r w:rsidR="009979EB" w:rsidRPr="00193A9A">
        <w:rPr>
          <w:noProof/>
        </w:rPr>
        <w:t>he Racial Equality Directive applies</w:t>
      </w:r>
      <w:r>
        <w:rPr>
          <w:noProof/>
        </w:rPr>
        <w:t xml:space="preserve"> is</w:t>
      </w:r>
      <w:r w:rsidR="009979EB" w:rsidRPr="00193A9A">
        <w:rPr>
          <w:noProof/>
        </w:rPr>
        <w:t xml:space="preserve"> access to and supply of goods and services available to the public, including housing (</w:t>
      </w:r>
      <w:r w:rsidR="009979EB" w:rsidRPr="00193A9A">
        <w:rPr>
          <w:rStyle w:val="FootnoteReference"/>
          <w:noProof/>
        </w:rPr>
        <w:footnoteReference w:id="85"/>
      </w:r>
      <w:r w:rsidR="009979EB" w:rsidRPr="00193A9A">
        <w:rPr>
          <w:noProof/>
        </w:rPr>
        <w:t xml:space="preserve">). The </w:t>
      </w:r>
      <w:r w:rsidR="008643E0" w:rsidRPr="00193A9A">
        <w:rPr>
          <w:noProof/>
        </w:rPr>
        <w:t>CJEU</w:t>
      </w:r>
      <w:r w:rsidR="009979EB" w:rsidRPr="00193A9A">
        <w:rPr>
          <w:noProof/>
        </w:rPr>
        <w:t xml:space="preserve"> has </w:t>
      </w:r>
      <w:r w:rsidR="00D95FD1" w:rsidRPr="00193A9A">
        <w:rPr>
          <w:noProof/>
        </w:rPr>
        <w:t>recently</w:t>
      </w:r>
      <w:r w:rsidR="009979EB" w:rsidRPr="00193A9A">
        <w:rPr>
          <w:noProof/>
        </w:rPr>
        <w:t xml:space="preserve"> provide</w:t>
      </w:r>
      <w:r w:rsidR="00D95FD1" w:rsidRPr="00193A9A">
        <w:rPr>
          <w:noProof/>
        </w:rPr>
        <w:t>d</w:t>
      </w:r>
      <w:r w:rsidR="009979EB" w:rsidRPr="00193A9A">
        <w:rPr>
          <w:noProof/>
        </w:rPr>
        <w:t xml:space="preserve"> </w:t>
      </w:r>
      <w:r w:rsidR="004A7030" w:rsidRPr="00193A9A">
        <w:rPr>
          <w:noProof/>
        </w:rPr>
        <w:t>important</w:t>
      </w:r>
      <w:r w:rsidR="003E10AE" w:rsidRPr="00193A9A">
        <w:rPr>
          <w:noProof/>
        </w:rPr>
        <w:t xml:space="preserve"> </w:t>
      </w:r>
      <w:r w:rsidR="009979EB" w:rsidRPr="00193A9A">
        <w:rPr>
          <w:noProof/>
        </w:rPr>
        <w:t>clarifications</w:t>
      </w:r>
      <w:r w:rsidR="004A7030" w:rsidRPr="00193A9A">
        <w:rPr>
          <w:noProof/>
        </w:rPr>
        <w:t xml:space="preserve"> on</w:t>
      </w:r>
      <w:r w:rsidR="009979EB" w:rsidRPr="00193A9A">
        <w:rPr>
          <w:noProof/>
        </w:rPr>
        <w:t xml:space="preserve"> </w:t>
      </w:r>
      <w:r w:rsidR="009078A4" w:rsidRPr="00193A9A">
        <w:rPr>
          <w:noProof/>
        </w:rPr>
        <w:t>whether the provision of social housing falls within</w:t>
      </w:r>
      <w:r w:rsidR="009979EB" w:rsidRPr="00193A9A">
        <w:rPr>
          <w:noProof/>
        </w:rPr>
        <w:t xml:space="preserve"> </w:t>
      </w:r>
      <w:r w:rsidR="004A7030" w:rsidRPr="00193A9A">
        <w:rPr>
          <w:noProof/>
        </w:rPr>
        <w:t>this scope</w:t>
      </w:r>
      <w:r w:rsidR="0090465E">
        <w:rPr>
          <w:noProof/>
        </w:rPr>
        <w:t xml:space="preserve"> in the context of alleged</w:t>
      </w:r>
      <w:r w:rsidR="00301886" w:rsidRPr="00193A9A">
        <w:rPr>
          <w:noProof/>
        </w:rPr>
        <w:t> </w:t>
      </w:r>
      <w:r w:rsidR="0090465E" w:rsidRPr="00193A9A">
        <w:rPr>
          <w:noProof/>
        </w:rPr>
        <w:t>discrimination on the grounds of ethnic origin</w:t>
      </w:r>
      <w:r w:rsidR="0090465E">
        <w:rPr>
          <w:noProof/>
        </w:rPr>
        <w:t xml:space="preserve"> in a Member State’s </w:t>
      </w:r>
      <w:r w:rsidR="0090465E" w:rsidRPr="00193A9A">
        <w:rPr>
          <w:noProof/>
        </w:rPr>
        <w:t>public family housing system</w:t>
      </w:r>
      <w:r w:rsidR="00BB0015">
        <w:rPr>
          <w:noProof/>
        </w:rPr>
        <w:t xml:space="preserve"> </w:t>
      </w:r>
      <w:r w:rsidR="00301886" w:rsidRPr="00193A9A">
        <w:rPr>
          <w:noProof/>
        </w:rPr>
        <w:t>(</w:t>
      </w:r>
      <w:r w:rsidR="00301886" w:rsidRPr="00193A9A">
        <w:rPr>
          <w:rStyle w:val="FootnoteReference"/>
          <w:noProof/>
        </w:rPr>
        <w:footnoteReference w:id="86"/>
      </w:r>
      <w:r w:rsidR="00301886" w:rsidRPr="00193A9A">
        <w:rPr>
          <w:noProof/>
        </w:rPr>
        <w:t>)</w:t>
      </w:r>
      <w:r w:rsidR="009078A4" w:rsidRPr="00193A9A">
        <w:rPr>
          <w:noProof/>
        </w:rPr>
        <w:t>.</w:t>
      </w:r>
    </w:p>
    <w:p w14:paraId="3BC2BEE8" w14:textId="5B00FAEA" w:rsidR="00BB0015" w:rsidRDefault="000F7973" w:rsidP="000F7973">
      <w:pPr>
        <w:pStyle w:val="Text2"/>
        <w:ind w:left="482"/>
        <w:rPr>
          <w:noProof/>
        </w:rPr>
      </w:pPr>
      <w:r w:rsidRPr="00193A9A">
        <w:rPr>
          <w:noProof/>
        </w:rPr>
        <w:t>When considering whether the case falls within the scope of the Racial Equality Directive</w:t>
      </w:r>
      <w:r w:rsidR="009078A4" w:rsidRPr="00193A9A">
        <w:rPr>
          <w:noProof/>
        </w:rPr>
        <w:t>, t</w:t>
      </w:r>
      <w:r w:rsidR="003E10AE" w:rsidRPr="00193A9A">
        <w:rPr>
          <w:noProof/>
        </w:rPr>
        <w:t xml:space="preserve">he Court </w:t>
      </w:r>
      <w:r w:rsidR="009078A4" w:rsidRPr="00193A9A">
        <w:rPr>
          <w:noProof/>
        </w:rPr>
        <w:t>first</w:t>
      </w:r>
      <w:r w:rsidR="003E10AE" w:rsidRPr="00193A9A">
        <w:rPr>
          <w:noProof/>
        </w:rPr>
        <w:t xml:space="preserve"> recalled that </w:t>
      </w:r>
      <w:r w:rsidR="009078A4" w:rsidRPr="00193A9A">
        <w:rPr>
          <w:noProof/>
        </w:rPr>
        <w:t xml:space="preserve">the </w:t>
      </w:r>
      <w:r w:rsidR="0090465E" w:rsidRPr="003E1AC2">
        <w:rPr>
          <w:noProof/>
        </w:rPr>
        <w:t xml:space="preserve">provision of housing in exchange for rent, under a scheme such as the </w:t>
      </w:r>
      <w:r w:rsidR="0090465E">
        <w:rPr>
          <w:noProof/>
        </w:rPr>
        <w:t>one at issue in the case at hand</w:t>
      </w:r>
      <w:r w:rsidR="0090465E" w:rsidRPr="003E1AC2">
        <w:rPr>
          <w:noProof/>
        </w:rPr>
        <w:t>, must be regarded as constituting a supply of ‘services’, within the meaning of Article 57 TFEU and, by extension, within the meaning of Article 4(1) of Directive 2006/123</w:t>
      </w:r>
      <w:r w:rsidR="00BB0015">
        <w:rPr>
          <w:noProof/>
        </w:rPr>
        <w:t>/EC</w:t>
      </w:r>
      <w:r w:rsidR="00BB0015" w:rsidRPr="00BB0015">
        <w:rPr>
          <w:noProof/>
        </w:rPr>
        <w:t> (</w:t>
      </w:r>
      <w:r w:rsidR="00BB0015">
        <w:rPr>
          <w:rStyle w:val="FootnoteReference"/>
          <w:noProof/>
        </w:rPr>
        <w:footnoteReference w:id="87"/>
      </w:r>
      <w:r w:rsidR="00BB0015">
        <w:rPr>
          <w:noProof/>
        </w:rPr>
        <w:t>)</w:t>
      </w:r>
      <w:r w:rsidR="0090465E" w:rsidRPr="003E1AC2">
        <w:rPr>
          <w:noProof/>
        </w:rPr>
        <w:t>, since it is a service provided for remuneration</w:t>
      </w:r>
      <w:r w:rsidR="00CA5816" w:rsidRPr="00193A9A">
        <w:rPr>
          <w:noProof/>
        </w:rPr>
        <w:t> (</w:t>
      </w:r>
      <w:r w:rsidR="00CA5816" w:rsidRPr="00193A9A">
        <w:rPr>
          <w:rStyle w:val="FootnoteReference"/>
          <w:noProof/>
        </w:rPr>
        <w:footnoteReference w:id="88"/>
      </w:r>
      <w:r w:rsidR="00CA5816" w:rsidRPr="00193A9A">
        <w:rPr>
          <w:noProof/>
        </w:rPr>
        <w:t>)</w:t>
      </w:r>
      <w:r w:rsidR="009078A4" w:rsidRPr="00193A9A">
        <w:rPr>
          <w:noProof/>
        </w:rPr>
        <w:t xml:space="preserve">. </w:t>
      </w:r>
    </w:p>
    <w:p w14:paraId="29B9783D" w14:textId="345B4A93" w:rsidR="001302BC" w:rsidRDefault="00BB0015" w:rsidP="00B61149">
      <w:pPr>
        <w:pStyle w:val="Text2"/>
        <w:ind w:left="482"/>
        <w:rPr>
          <w:noProof/>
        </w:rPr>
      </w:pPr>
      <w:r>
        <w:rPr>
          <w:noProof/>
        </w:rPr>
        <w:t>Further, t</w:t>
      </w:r>
      <w:r w:rsidR="000F7973" w:rsidRPr="00193A9A">
        <w:rPr>
          <w:noProof/>
        </w:rPr>
        <w:t xml:space="preserve">he CJEU emphasised that an activity must have an economic character to be considered a </w:t>
      </w:r>
      <w:r w:rsidR="000845F8" w:rsidRPr="00193A9A">
        <w:rPr>
          <w:noProof/>
        </w:rPr>
        <w:t>‘</w:t>
      </w:r>
      <w:r w:rsidR="000F7973" w:rsidRPr="00193A9A">
        <w:rPr>
          <w:noProof/>
        </w:rPr>
        <w:t>service</w:t>
      </w:r>
      <w:r w:rsidR="000845F8" w:rsidRPr="00193A9A">
        <w:rPr>
          <w:noProof/>
        </w:rPr>
        <w:t>’</w:t>
      </w:r>
      <w:r w:rsidR="000F7973" w:rsidRPr="00193A9A">
        <w:rPr>
          <w:noProof/>
        </w:rPr>
        <w:t xml:space="preserve">. </w:t>
      </w:r>
      <w:r>
        <w:rPr>
          <w:noProof/>
          <w:lang w:val="en-IE"/>
        </w:rPr>
        <w:t xml:space="preserve">In this context, </w:t>
      </w:r>
      <w:r w:rsidRPr="00B23054">
        <w:rPr>
          <w:noProof/>
        </w:rPr>
        <w:t xml:space="preserve">it is irrelevant that the public lessors which manage </w:t>
      </w:r>
      <w:r>
        <w:rPr>
          <w:noProof/>
        </w:rPr>
        <w:t>the</w:t>
      </w:r>
      <w:r w:rsidRPr="00B23054">
        <w:rPr>
          <w:noProof/>
        </w:rPr>
        <w:t xml:space="preserve"> system are non-profit organisations and that the amount of the rent paid by the tenants is lower than the market price</w:t>
      </w:r>
      <w:r>
        <w:rPr>
          <w:noProof/>
        </w:rPr>
        <w:t>.</w:t>
      </w:r>
      <w:r w:rsidR="000F7973" w:rsidRPr="00193A9A">
        <w:rPr>
          <w:noProof/>
        </w:rPr>
        <w:t xml:space="preserve"> For an activity to be </w:t>
      </w:r>
      <w:r w:rsidR="000845F8" w:rsidRPr="00193A9A">
        <w:rPr>
          <w:noProof/>
        </w:rPr>
        <w:t>‘</w:t>
      </w:r>
      <w:r w:rsidR="000F7973" w:rsidRPr="00193A9A">
        <w:rPr>
          <w:noProof/>
        </w:rPr>
        <w:t>economic</w:t>
      </w:r>
      <w:r w:rsidR="000845F8" w:rsidRPr="00193A9A">
        <w:rPr>
          <w:noProof/>
        </w:rPr>
        <w:t>’</w:t>
      </w:r>
      <w:r w:rsidR="000F7973" w:rsidRPr="00193A9A">
        <w:rPr>
          <w:noProof/>
        </w:rPr>
        <w:t>, it is sufficient that it is not provided for free</w:t>
      </w:r>
      <w:r w:rsidR="00CA5816" w:rsidRPr="00193A9A">
        <w:rPr>
          <w:noProof/>
        </w:rPr>
        <w:t> (</w:t>
      </w:r>
      <w:r w:rsidR="00CA5816" w:rsidRPr="00193A9A">
        <w:rPr>
          <w:rStyle w:val="FootnoteReference"/>
          <w:noProof/>
        </w:rPr>
        <w:footnoteReference w:id="89"/>
      </w:r>
      <w:r w:rsidR="00CA5816" w:rsidRPr="00193A9A">
        <w:rPr>
          <w:noProof/>
        </w:rPr>
        <w:t>)</w:t>
      </w:r>
      <w:r w:rsidR="000F7973" w:rsidRPr="00193A9A">
        <w:rPr>
          <w:noProof/>
        </w:rPr>
        <w:t>.</w:t>
      </w:r>
      <w:r w:rsidR="00754B09" w:rsidRPr="00193A9A">
        <w:rPr>
          <w:noProof/>
        </w:rPr>
        <w:t xml:space="preserve"> </w:t>
      </w:r>
    </w:p>
    <w:p w14:paraId="39ECB180" w14:textId="459764FB" w:rsidR="009979EB" w:rsidRPr="001302BC" w:rsidRDefault="0074196E" w:rsidP="00DF7414">
      <w:pPr>
        <w:pStyle w:val="Text2"/>
        <w:ind w:left="482"/>
        <w:rPr>
          <w:noProof/>
        </w:rPr>
      </w:pPr>
      <w:r w:rsidRPr="001302BC">
        <w:rPr>
          <w:noProof/>
        </w:rPr>
        <w:t xml:space="preserve">The CJEU has not </w:t>
      </w:r>
      <w:r w:rsidR="001302BC" w:rsidRPr="00B61149">
        <w:rPr>
          <w:noProof/>
        </w:rPr>
        <w:t xml:space="preserve">yet </w:t>
      </w:r>
      <w:r w:rsidRPr="001302BC">
        <w:rPr>
          <w:noProof/>
        </w:rPr>
        <w:t xml:space="preserve">provided guidance on the recurring question of whether evictions from unlawfully built or unlawfully occupied housing could fall under the scope of the Racial Equality Directive. </w:t>
      </w:r>
      <w:r w:rsidR="001302BC" w:rsidRPr="001302BC">
        <w:rPr>
          <w:noProof/>
        </w:rPr>
        <w:t>Without prejudice to the</w:t>
      </w:r>
      <w:r w:rsidR="001302BC">
        <w:rPr>
          <w:noProof/>
        </w:rPr>
        <w:t xml:space="preserve"> CJEU’s </w:t>
      </w:r>
      <w:r w:rsidR="001302BC" w:rsidRPr="001302BC">
        <w:rPr>
          <w:noProof/>
        </w:rPr>
        <w:t>competence for interpreting EU law and any future clarifications on the matter by the Court, it should be pointed out that the Directive only covers access to and supply of goods and services which are available to the public; in many cases of evictions from unlawfully occupied housing, this criterion is unlikely to be met.</w:t>
      </w:r>
      <w:r w:rsidRPr="001302BC">
        <w:rPr>
          <w:noProof/>
        </w:rPr>
        <w:t xml:space="preserve"> </w:t>
      </w:r>
    </w:p>
    <w:p w14:paraId="7BB38757" w14:textId="1A91777D" w:rsidR="009979EB" w:rsidRPr="001302BC" w:rsidRDefault="009979EB" w:rsidP="00304528">
      <w:pPr>
        <w:pStyle w:val="Text2"/>
        <w:ind w:left="482"/>
        <w:rPr>
          <w:noProof/>
        </w:rPr>
      </w:pPr>
      <w:r w:rsidRPr="001302BC">
        <w:rPr>
          <w:b/>
          <w:bCs/>
          <w:noProof/>
        </w:rPr>
        <w:t>Education</w:t>
      </w:r>
    </w:p>
    <w:p w14:paraId="1E69DF47" w14:textId="5A8519F3" w:rsidR="004D5052" w:rsidRDefault="004D5052" w:rsidP="004D5052">
      <w:pPr>
        <w:pStyle w:val="Text2"/>
        <w:ind w:left="482"/>
        <w:rPr>
          <w:noProof/>
        </w:rPr>
      </w:pPr>
      <w:r w:rsidRPr="001302BC">
        <w:rPr>
          <w:noProof/>
        </w:rPr>
        <w:t xml:space="preserve">In December 2023, the Commission referred </w:t>
      </w:r>
      <w:r w:rsidR="00DF7414" w:rsidRPr="00B61149">
        <w:rPr>
          <w:noProof/>
        </w:rPr>
        <w:t>the Slovak Republic</w:t>
      </w:r>
      <w:r w:rsidRPr="001302BC">
        <w:rPr>
          <w:noProof/>
        </w:rPr>
        <w:t xml:space="preserve"> to the CJEU for</w:t>
      </w:r>
      <w:r w:rsidR="00DF7414" w:rsidRPr="00B61149">
        <w:rPr>
          <w:noProof/>
        </w:rPr>
        <w:t xml:space="preserve"> structural discrimination (see 6.1)</w:t>
      </w:r>
      <w:r w:rsidR="001302BC" w:rsidRPr="00B61149">
        <w:rPr>
          <w:noProof/>
        </w:rPr>
        <w:t>. The Commission argued</w:t>
      </w:r>
      <w:r w:rsidR="00DF7414" w:rsidRPr="00B61149">
        <w:rPr>
          <w:noProof/>
        </w:rPr>
        <w:t xml:space="preserve"> </w:t>
      </w:r>
      <w:r w:rsidR="00DF7414" w:rsidRPr="001302BC">
        <w:rPr>
          <w:noProof/>
        </w:rPr>
        <w:t xml:space="preserve">that </w:t>
      </w:r>
      <w:r w:rsidR="001302BC" w:rsidRPr="001302BC">
        <w:rPr>
          <w:noProof/>
        </w:rPr>
        <w:t>by placing, in an excessive manner, Roma children in special schools or special classes for children with intellectual or other disabilities, who follow a restricted curriculum, and by segregating Roma children, either in separate classes in mainstream schools or in separate schools, the Slovak Republic has failed, systematically and persistently, to fulfil its obligations under the Racial Equality Directive</w:t>
      </w:r>
      <w:r w:rsidR="00DF7414" w:rsidRPr="001302BC">
        <w:rPr>
          <w:noProof/>
        </w:rPr>
        <w:t> (</w:t>
      </w:r>
      <w:r w:rsidR="00DF7414" w:rsidRPr="001302BC">
        <w:rPr>
          <w:rStyle w:val="FootnoteReference"/>
          <w:noProof/>
        </w:rPr>
        <w:footnoteReference w:id="90"/>
      </w:r>
      <w:r w:rsidR="00DF7414" w:rsidRPr="001302BC">
        <w:rPr>
          <w:noProof/>
        </w:rPr>
        <w:t>).</w:t>
      </w:r>
      <w:r w:rsidRPr="001302BC">
        <w:rPr>
          <w:noProof/>
        </w:rPr>
        <w:t xml:space="preserve"> The Court ruling is expected to clarify Member States</w:t>
      </w:r>
      <w:r w:rsidR="002F70D3" w:rsidRPr="001302BC">
        <w:rPr>
          <w:noProof/>
        </w:rPr>
        <w:t>’</w:t>
      </w:r>
      <w:r w:rsidRPr="001302BC">
        <w:rPr>
          <w:noProof/>
        </w:rPr>
        <w:t xml:space="preserve"> obligations </w:t>
      </w:r>
      <w:r w:rsidR="00DF7414" w:rsidRPr="00B61149">
        <w:rPr>
          <w:noProof/>
        </w:rPr>
        <w:t>regarding</w:t>
      </w:r>
      <w:r w:rsidRPr="001302BC">
        <w:rPr>
          <w:noProof/>
        </w:rPr>
        <w:t xml:space="preserve"> combating</w:t>
      </w:r>
      <w:r w:rsidR="002F70D3" w:rsidRPr="001302BC">
        <w:rPr>
          <w:noProof/>
        </w:rPr>
        <w:t xml:space="preserve"> discrimination in this field.</w:t>
      </w:r>
    </w:p>
    <w:p w14:paraId="74FFBD6C" w14:textId="77777777" w:rsidR="007134B2" w:rsidRPr="00193A9A" w:rsidRDefault="007134B2" w:rsidP="007134B2">
      <w:pPr>
        <w:pStyle w:val="Heading2"/>
        <w:rPr>
          <w:noProof/>
        </w:rPr>
      </w:pPr>
      <w:r w:rsidRPr="00193A9A">
        <w:rPr>
          <w:noProof/>
        </w:rPr>
        <w:t>The notion of ‘racial or ethnic origin’</w:t>
      </w:r>
    </w:p>
    <w:p w14:paraId="2C277B67" w14:textId="47BB5330" w:rsidR="00987509" w:rsidRPr="00B61149" w:rsidRDefault="009E52F6" w:rsidP="00D23A3D">
      <w:pPr>
        <w:pStyle w:val="Text2"/>
        <w:ind w:left="482"/>
        <w:rPr>
          <w:noProof/>
        </w:rPr>
      </w:pPr>
      <w:r w:rsidRPr="001302BC">
        <w:rPr>
          <w:noProof/>
        </w:rPr>
        <w:t>R</w:t>
      </w:r>
      <w:r w:rsidR="00D23A3D" w:rsidRPr="001302BC">
        <w:rPr>
          <w:noProof/>
        </w:rPr>
        <w:t xml:space="preserve">acism is a </w:t>
      </w:r>
      <w:r w:rsidR="00987509" w:rsidRPr="00B61149">
        <w:rPr>
          <w:noProof/>
        </w:rPr>
        <w:t>belief that a ground such as ‘race’ (</w:t>
      </w:r>
      <w:r w:rsidR="00987509" w:rsidRPr="00B61149">
        <w:rPr>
          <w:rStyle w:val="FootnoteReference"/>
          <w:noProof/>
        </w:rPr>
        <w:footnoteReference w:id="91"/>
      </w:r>
      <w:r w:rsidR="00987509" w:rsidRPr="00B61149">
        <w:rPr>
          <w:noProof/>
        </w:rPr>
        <w:t>) or ethnic origin justifies contempt for a person or a group of persons, or the notion of superiority of a person or a group of persons (</w:t>
      </w:r>
      <w:r w:rsidR="00987509" w:rsidRPr="00B61149">
        <w:rPr>
          <w:rStyle w:val="FootnoteReference"/>
          <w:noProof/>
        </w:rPr>
        <w:footnoteReference w:id="92"/>
      </w:r>
      <w:r w:rsidR="00987509" w:rsidRPr="00B61149">
        <w:rPr>
          <w:noProof/>
        </w:rPr>
        <w:t xml:space="preserve">). It may </w:t>
      </w:r>
      <w:r w:rsidR="00062C9A" w:rsidRPr="001302BC">
        <w:rPr>
          <w:noProof/>
        </w:rPr>
        <w:t>lead to discrimination</w:t>
      </w:r>
      <w:r w:rsidRPr="00B61149">
        <w:rPr>
          <w:noProof/>
        </w:rPr>
        <w:t xml:space="preserve"> based on ‘racial or ethnic origin’</w:t>
      </w:r>
      <w:r w:rsidR="000F02CF" w:rsidRPr="00B61149">
        <w:rPr>
          <w:noProof/>
        </w:rPr>
        <w:t xml:space="preserve"> in the meaning of</w:t>
      </w:r>
      <w:r w:rsidR="00D23A3D" w:rsidRPr="001302BC">
        <w:rPr>
          <w:noProof/>
        </w:rPr>
        <w:t xml:space="preserve"> </w:t>
      </w:r>
      <w:r w:rsidR="000F02CF" w:rsidRPr="00B61149">
        <w:rPr>
          <w:noProof/>
        </w:rPr>
        <w:t>t</w:t>
      </w:r>
      <w:r w:rsidRPr="00B61149">
        <w:rPr>
          <w:noProof/>
        </w:rPr>
        <w:t xml:space="preserve">he Racial Equality Directive. </w:t>
      </w:r>
    </w:p>
    <w:p w14:paraId="61D25D57" w14:textId="5ED41239" w:rsidR="00D23A3D" w:rsidRPr="001302BC" w:rsidRDefault="009E52F6" w:rsidP="00D23A3D">
      <w:pPr>
        <w:pStyle w:val="Text2"/>
        <w:ind w:left="482"/>
        <w:rPr>
          <w:noProof/>
        </w:rPr>
      </w:pPr>
      <w:r w:rsidRPr="00B61149">
        <w:rPr>
          <w:noProof/>
        </w:rPr>
        <w:t>A</w:t>
      </w:r>
      <w:r w:rsidR="00D23A3D" w:rsidRPr="001302BC">
        <w:rPr>
          <w:noProof/>
        </w:rPr>
        <w:t xml:space="preserve">cademic experts have published reports </w:t>
      </w:r>
      <w:r w:rsidR="00F93622" w:rsidRPr="001302BC">
        <w:rPr>
          <w:noProof/>
        </w:rPr>
        <w:t xml:space="preserve">that </w:t>
      </w:r>
      <w:r w:rsidR="0081185E" w:rsidRPr="00B61149">
        <w:rPr>
          <w:noProof/>
        </w:rPr>
        <w:t>examine</w:t>
      </w:r>
      <w:r w:rsidR="00F93622" w:rsidRPr="001302BC">
        <w:rPr>
          <w:noProof/>
        </w:rPr>
        <w:t xml:space="preserve"> </w:t>
      </w:r>
      <w:r w:rsidR="00D23A3D" w:rsidRPr="001302BC">
        <w:rPr>
          <w:noProof/>
        </w:rPr>
        <w:t xml:space="preserve">the </w:t>
      </w:r>
      <w:r w:rsidR="000F02CF" w:rsidRPr="00B61149">
        <w:rPr>
          <w:noProof/>
        </w:rPr>
        <w:t>larger</w:t>
      </w:r>
      <w:r w:rsidR="00062C9A" w:rsidRPr="001302BC">
        <w:rPr>
          <w:noProof/>
        </w:rPr>
        <w:t xml:space="preserve"> </w:t>
      </w:r>
      <w:r w:rsidR="00D23A3D" w:rsidRPr="001302BC">
        <w:rPr>
          <w:noProof/>
        </w:rPr>
        <w:t>EU</w:t>
      </w:r>
      <w:r w:rsidR="000F02CF" w:rsidRPr="00B61149">
        <w:rPr>
          <w:noProof/>
        </w:rPr>
        <w:t xml:space="preserve"> and national</w:t>
      </w:r>
      <w:r w:rsidR="00D23A3D" w:rsidRPr="001302BC">
        <w:rPr>
          <w:noProof/>
        </w:rPr>
        <w:t xml:space="preserve"> legal framework</w:t>
      </w:r>
      <w:r w:rsidR="0081185E" w:rsidRPr="00B61149">
        <w:rPr>
          <w:noProof/>
        </w:rPr>
        <w:t>s</w:t>
      </w:r>
      <w:r w:rsidR="00D23A3D" w:rsidRPr="001302BC">
        <w:rPr>
          <w:noProof/>
        </w:rPr>
        <w:t xml:space="preserve"> for combating anti-Muslim hatred and antisemitism</w:t>
      </w:r>
      <w:r w:rsidR="00062C9A" w:rsidRPr="001302BC">
        <w:rPr>
          <w:noProof/>
        </w:rPr>
        <w:t> (</w:t>
      </w:r>
      <w:r w:rsidR="00062C9A" w:rsidRPr="001302BC">
        <w:rPr>
          <w:rStyle w:val="FootnoteReference"/>
          <w:noProof/>
        </w:rPr>
        <w:footnoteReference w:id="93"/>
      </w:r>
      <w:r w:rsidR="00062C9A" w:rsidRPr="001302BC">
        <w:rPr>
          <w:noProof/>
        </w:rPr>
        <w:t>)</w:t>
      </w:r>
      <w:r w:rsidRPr="00B61149">
        <w:rPr>
          <w:noProof/>
        </w:rPr>
        <w:t xml:space="preserve">. </w:t>
      </w:r>
    </w:p>
    <w:p w14:paraId="441231CE" w14:textId="1EF51508" w:rsidR="004078BE" w:rsidRPr="00193A9A" w:rsidRDefault="009E52F6" w:rsidP="004078BE">
      <w:pPr>
        <w:pStyle w:val="Text2"/>
        <w:ind w:left="482"/>
        <w:rPr>
          <w:noProof/>
        </w:rPr>
      </w:pPr>
      <w:r w:rsidRPr="001302BC">
        <w:rPr>
          <w:noProof/>
        </w:rPr>
        <w:t>T</w:t>
      </w:r>
      <w:r w:rsidR="00F93622" w:rsidRPr="001302BC">
        <w:rPr>
          <w:noProof/>
        </w:rPr>
        <w:t xml:space="preserve">he </w:t>
      </w:r>
      <w:r w:rsidR="0081185E" w:rsidRPr="00B61149">
        <w:rPr>
          <w:noProof/>
        </w:rPr>
        <w:t xml:space="preserve">Racial Equality Directive does not define the </w:t>
      </w:r>
      <w:r w:rsidR="00F93622" w:rsidRPr="001302BC">
        <w:rPr>
          <w:noProof/>
        </w:rPr>
        <w:t>notion of ‘racial or ethnic origin’</w:t>
      </w:r>
      <w:r w:rsidRPr="001302BC">
        <w:rPr>
          <w:noProof/>
        </w:rPr>
        <w:t xml:space="preserve">. </w:t>
      </w:r>
      <w:r w:rsidR="000F02CF" w:rsidRPr="001302BC">
        <w:rPr>
          <w:noProof/>
        </w:rPr>
        <w:t xml:space="preserve">Building on its </w:t>
      </w:r>
      <w:r w:rsidR="0081185E" w:rsidRPr="00B61149">
        <w:rPr>
          <w:noProof/>
        </w:rPr>
        <w:t>previous</w:t>
      </w:r>
      <w:r w:rsidR="000F02CF" w:rsidRPr="001302BC">
        <w:rPr>
          <w:noProof/>
        </w:rPr>
        <w:t xml:space="preserve"> jurisprudence, t</w:t>
      </w:r>
      <w:r w:rsidR="00F93622" w:rsidRPr="001302BC">
        <w:rPr>
          <w:noProof/>
        </w:rPr>
        <w:t xml:space="preserve">he Court provided </w:t>
      </w:r>
      <w:r w:rsidR="000F02CF" w:rsidRPr="001302BC">
        <w:rPr>
          <w:noProof/>
        </w:rPr>
        <w:t xml:space="preserve">new </w:t>
      </w:r>
      <w:r w:rsidR="00F93622" w:rsidRPr="001302BC">
        <w:rPr>
          <w:noProof/>
        </w:rPr>
        <w:t xml:space="preserve">clarifications in </w:t>
      </w:r>
      <w:r w:rsidR="004078BE" w:rsidRPr="001302BC">
        <w:rPr>
          <w:noProof/>
        </w:rPr>
        <w:t xml:space="preserve">the </w:t>
      </w:r>
      <w:r w:rsidR="004078BE" w:rsidRPr="001302BC">
        <w:rPr>
          <w:i/>
          <w:iCs/>
          <w:noProof/>
        </w:rPr>
        <w:t>Slagelse</w:t>
      </w:r>
      <w:r w:rsidR="004078BE" w:rsidRPr="001302BC">
        <w:rPr>
          <w:noProof/>
        </w:rPr>
        <w:t xml:space="preserve"> case</w:t>
      </w:r>
      <w:r w:rsidR="003567B7" w:rsidRPr="001302BC">
        <w:rPr>
          <w:noProof/>
        </w:rPr>
        <w:t> (</w:t>
      </w:r>
      <w:r w:rsidR="003567B7" w:rsidRPr="001302BC">
        <w:rPr>
          <w:rStyle w:val="FootnoteReference"/>
          <w:noProof/>
        </w:rPr>
        <w:footnoteReference w:id="94"/>
      </w:r>
      <w:r w:rsidR="003567B7" w:rsidRPr="001302BC">
        <w:rPr>
          <w:noProof/>
        </w:rPr>
        <w:t>)</w:t>
      </w:r>
      <w:r w:rsidR="004078BE" w:rsidRPr="001302BC">
        <w:rPr>
          <w:noProof/>
        </w:rPr>
        <w:t>.</w:t>
      </w:r>
    </w:p>
    <w:p w14:paraId="61243E27" w14:textId="0E753242" w:rsidR="004078BE" w:rsidRPr="00193A9A" w:rsidRDefault="004078BE" w:rsidP="001B6B18">
      <w:pPr>
        <w:pStyle w:val="Text2"/>
        <w:ind w:left="482"/>
        <w:rPr>
          <w:noProof/>
        </w:rPr>
      </w:pPr>
      <w:r w:rsidRPr="00193A9A">
        <w:rPr>
          <w:noProof/>
        </w:rPr>
        <w:t xml:space="preserve">The </w:t>
      </w:r>
      <w:r w:rsidR="003567B7" w:rsidRPr="00193A9A">
        <w:rPr>
          <w:noProof/>
        </w:rPr>
        <w:t xml:space="preserve">CJEU </w:t>
      </w:r>
      <w:r w:rsidR="00110757">
        <w:rPr>
          <w:noProof/>
        </w:rPr>
        <w:t xml:space="preserve">recalled that </w:t>
      </w:r>
      <w:r w:rsidR="00110757" w:rsidRPr="00332745">
        <w:rPr>
          <w:noProof/>
        </w:rPr>
        <w:t xml:space="preserve">the concept of ‘ethnic origin’, within the meaning of </w:t>
      </w:r>
      <w:r w:rsidR="00110757">
        <w:rPr>
          <w:noProof/>
        </w:rPr>
        <w:t>the Racial Equality Directive</w:t>
      </w:r>
      <w:r w:rsidR="00110757" w:rsidRPr="00332745">
        <w:rPr>
          <w:noProof/>
        </w:rPr>
        <w:t>, has its origin in the idea of societal groups marked in particular by common nationality, religious faith, language, cultural and traditional origins and backgrounds</w:t>
      </w:r>
      <w:r w:rsidR="00110757" w:rsidRPr="00852375">
        <w:rPr>
          <w:noProof/>
        </w:rPr>
        <w:t> (</w:t>
      </w:r>
      <w:r w:rsidR="00110757">
        <w:rPr>
          <w:rStyle w:val="FootnoteReference"/>
          <w:noProof/>
        </w:rPr>
        <w:footnoteReference w:id="95"/>
      </w:r>
      <w:r w:rsidR="00110757">
        <w:rPr>
          <w:noProof/>
        </w:rPr>
        <w:t>)</w:t>
      </w:r>
      <w:r w:rsidRPr="00193A9A">
        <w:rPr>
          <w:noProof/>
        </w:rPr>
        <w:t xml:space="preserve">. </w:t>
      </w:r>
      <w:r w:rsidR="001B6B18" w:rsidRPr="00193A9A">
        <w:rPr>
          <w:noProof/>
        </w:rPr>
        <w:t xml:space="preserve">The Court emphasised that </w:t>
      </w:r>
      <w:r w:rsidR="000845F8" w:rsidRPr="00193A9A">
        <w:rPr>
          <w:noProof/>
        </w:rPr>
        <w:t>‘</w:t>
      </w:r>
      <w:r w:rsidR="001B6B18" w:rsidRPr="00193A9A">
        <w:rPr>
          <w:noProof/>
        </w:rPr>
        <w:t>ethnic origin</w:t>
      </w:r>
      <w:r w:rsidR="000845F8" w:rsidRPr="00193A9A">
        <w:rPr>
          <w:noProof/>
        </w:rPr>
        <w:t>’</w:t>
      </w:r>
      <w:r w:rsidR="001B6B18" w:rsidRPr="00193A9A">
        <w:rPr>
          <w:noProof/>
        </w:rPr>
        <w:t xml:space="preserve"> must be determined </w:t>
      </w:r>
      <w:r w:rsidR="00EE35A2">
        <w:rPr>
          <w:noProof/>
        </w:rPr>
        <w:t>on the basis of</w:t>
      </w:r>
      <w:r w:rsidR="001B6B18" w:rsidRPr="00193A9A">
        <w:rPr>
          <w:noProof/>
        </w:rPr>
        <w:t xml:space="preserve"> a variety of objective and subjective factors, and not just nationality or country of birth</w:t>
      </w:r>
      <w:r w:rsidR="00CA5816" w:rsidRPr="00193A9A">
        <w:rPr>
          <w:noProof/>
        </w:rPr>
        <w:t> (</w:t>
      </w:r>
      <w:r w:rsidR="00CA5816" w:rsidRPr="00193A9A">
        <w:rPr>
          <w:rStyle w:val="FootnoteReference"/>
          <w:noProof/>
        </w:rPr>
        <w:footnoteReference w:id="96"/>
      </w:r>
      <w:r w:rsidR="00CA5816" w:rsidRPr="00193A9A">
        <w:rPr>
          <w:noProof/>
        </w:rPr>
        <w:t>)</w:t>
      </w:r>
      <w:r w:rsidR="001B6B18" w:rsidRPr="00193A9A">
        <w:rPr>
          <w:noProof/>
        </w:rPr>
        <w:t>. However, the Court considered that, when combined with other factors, a person</w:t>
      </w:r>
      <w:r w:rsidR="00193A9A">
        <w:rPr>
          <w:noProof/>
        </w:rPr>
        <w:t>’</w:t>
      </w:r>
      <w:r w:rsidR="001B6B18" w:rsidRPr="00193A9A">
        <w:rPr>
          <w:noProof/>
        </w:rPr>
        <w:t xml:space="preserve">s nationality or country of birth </w:t>
      </w:r>
      <w:r w:rsidR="00131814">
        <w:rPr>
          <w:noProof/>
        </w:rPr>
        <w:t>may</w:t>
      </w:r>
      <w:r w:rsidR="00131814" w:rsidRPr="00193A9A">
        <w:rPr>
          <w:noProof/>
        </w:rPr>
        <w:t xml:space="preserve"> </w:t>
      </w:r>
      <w:r w:rsidR="001B6B18" w:rsidRPr="00193A9A">
        <w:rPr>
          <w:noProof/>
        </w:rPr>
        <w:t xml:space="preserve">be taken into account to determine whether discrimination </w:t>
      </w:r>
      <w:r w:rsidR="00EE35A2">
        <w:rPr>
          <w:noProof/>
        </w:rPr>
        <w:t>on the basis of</w:t>
      </w:r>
      <w:r w:rsidR="001B6B18" w:rsidRPr="00193A9A">
        <w:rPr>
          <w:noProof/>
        </w:rPr>
        <w:t xml:space="preserve"> </w:t>
      </w:r>
      <w:r w:rsidR="000845F8" w:rsidRPr="00193A9A">
        <w:rPr>
          <w:noProof/>
        </w:rPr>
        <w:t>‘</w:t>
      </w:r>
      <w:r w:rsidR="001B6B18" w:rsidRPr="00193A9A">
        <w:rPr>
          <w:noProof/>
        </w:rPr>
        <w:t>ethnic origin</w:t>
      </w:r>
      <w:r w:rsidR="000845F8" w:rsidRPr="00193A9A">
        <w:rPr>
          <w:noProof/>
        </w:rPr>
        <w:t xml:space="preserve">’ </w:t>
      </w:r>
      <w:r w:rsidR="001B6B18" w:rsidRPr="00193A9A">
        <w:rPr>
          <w:noProof/>
        </w:rPr>
        <w:t>has occurred</w:t>
      </w:r>
      <w:r w:rsidR="00CA5816" w:rsidRPr="00193A9A">
        <w:rPr>
          <w:noProof/>
        </w:rPr>
        <w:t> (</w:t>
      </w:r>
      <w:r w:rsidR="00CA5816" w:rsidRPr="00193A9A">
        <w:rPr>
          <w:rStyle w:val="FootnoteReference"/>
          <w:noProof/>
        </w:rPr>
        <w:footnoteReference w:id="97"/>
      </w:r>
      <w:r w:rsidR="00CA5816" w:rsidRPr="00193A9A">
        <w:rPr>
          <w:noProof/>
        </w:rPr>
        <w:t>)</w:t>
      </w:r>
      <w:r w:rsidR="001B6B18" w:rsidRPr="00193A9A">
        <w:rPr>
          <w:noProof/>
        </w:rPr>
        <w:t>.</w:t>
      </w:r>
    </w:p>
    <w:p w14:paraId="35DC3313" w14:textId="00BD601C" w:rsidR="007134B2" w:rsidRPr="00193A9A" w:rsidRDefault="00EE35A2" w:rsidP="00B61149">
      <w:pPr>
        <w:pStyle w:val="Text2"/>
        <w:ind w:left="482"/>
        <w:rPr>
          <w:noProof/>
        </w:rPr>
      </w:pPr>
      <w:r>
        <w:rPr>
          <w:noProof/>
        </w:rPr>
        <w:t>Significantly, t</w:t>
      </w:r>
      <w:r w:rsidR="004078BE" w:rsidRPr="00193A9A">
        <w:rPr>
          <w:noProof/>
        </w:rPr>
        <w:t xml:space="preserve">he Court </w:t>
      </w:r>
      <w:r w:rsidR="001B6B18" w:rsidRPr="00193A9A">
        <w:rPr>
          <w:noProof/>
        </w:rPr>
        <w:t xml:space="preserve">also </w:t>
      </w:r>
      <w:r w:rsidR="004078BE" w:rsidRPr="00193A9A">
        <w:rPr>
          <w:noProof/>
        </w:rPr>
        <w:t xml:space="preserve">clarified that the fact </w:t>
      </w:r>
      <w:r>
        <w:rPr>
          <w:noProof/>
        </w:rPr>
        <w:t xml:space="preserve">that </w:t>
      </w:r>
      <w:r w:rsidR="004078BE" w:rsidRPr="00193A9A">
        <w:rPr>
          <w:noProof/>
        </w:rPr>
        <w:t xml:space="preserve">a general criterion </w:t>
      </w:r>
      <w:r>
        <w:rPr>
          <w:noProof/>
        </w:rPr>
        <w:t>such as</w:t>
      </w:r>
      <w:r w:rsidRPr="00193A9A">
        <w:rPr>
          <w:noProof/>
        </w:rPr>
        <w:t xml:space="preserve"> </w:t>
      </w:r>
      <w:r w:rsidR="000845F8" w:rsidRPr="00193A9A">
        <w:rPr>
          <w:noProof/>
        </w:rPr>
        <w:t>‘</w:t>
      </w:r>
      <w:r w:rsidR="004078BE" w:rsidRPr="00193A9A">
        <w:rPr>
          <w:noProof/>
        </w:rPr>
        <w:t>immigrants from non-Western countries and their descendants</w:t>
      </w:r>
      <w:r w:rsidR="000845F8" w:rsidRPr="00193A9A">
        <w:rPr>
          <w:noProof/>
        </w:rPr>
        <w:t>’</w:t>
      </w:r>
      <w:r w:rsidR="0081185E" w:rsidRPr="0081185E">
        <w:rPr>
          <w:noProof/>
        </w:rPr>
        <w:t> (</w:t>
      </w:r>
      <w:r w:rsidR="0081185E">
        <w:rPr>
          <w:rStyle w:val="FootnoteReference"/>
          <w:noProof/>
        </w:rPr>
        <w:footnoteReference w:id="98"/>
      </w:r>
      <w:r w:rsidR="0081185E">
        <w:rPr>
          <w:noProof/>
        </w:rPr>
        <w:t>)</w:t>
      </w:r>
      <w:r w:rsidR="00110757">
        <w:rPr>
          <w:noProof/>
        </w:rPr>
        <w:t>, referred to in the Danish public family housing legislation at stake in that case,</w:t>
      </w:r>
      <w:r w:rsidR="004078BE" w:rsidRPr="00193A9A">
        <w:rPr>
          <w:noProof/>
        </w:rPr>
        <w:t xml:space="preserve"> may encompass multiple ethnic origins does not automatically exclude it from being based on </w:t>
      </w:r>
      <w:r w:rsidR="001B6B18" w:rsidRPr="00193A9A">
        <w:rPr>
          <w:noProof/>
        </w:rPr>
        <w:t>‘</w:t>
      </w:r>
      <w:r w:rsidR="004078BE" w:rsidRPr="00193A9A">
        <w:rPr>
          <w:noProof/>
        </w:rPr>
        <w:t>ethnic origin</w:t>
      </w:r>
      <w:r w:rsidR="001B6B18" w:rsidRPr="00193A9A">
        <w:rPr>
          <w:noProof/>
        </w:rPr>
        <w:t>’</w:t>
      </w:r>
      <w:r w:rsidR="004078BE" w:rsidRPr="00193A9A">
        <w:rPr>
          <w:noProof/>
        </w:rPr>
        <w:t xml:space="preserve">. </w:t>
      </w:r>
      <w:r w:rsidR="00131814">
        <w:rPr>
          <w:noProof/>
        </w:rPr>
        <w:t>I</w:t>
      </w:r>
      <w:r w:rsidR="000845F8" w:rsidRPr="00193A9A">
        <w:rPr>
          <w:noProof/>
        </w:rPr>
        <w:t>nterpret</w:t>
      </w:r>
      <w:r w:rsidR="00131814">
        <w:rPr>
          <w:noProof/>
        </w:rPr>
        <w:t>ing the notion of ‘ethnic origin’ in a way</w:t>
      </w:r>
      <w:r w:rsidR="000845F8" w:rsidRPr="00193A9A">
        <w:rPr>
          <w:noProof/>
        </w:rPr>
        <w:t xml:space="preserve"> that would require discrimination to target a single specific ethnic group would undermine the Racial Equality Directive</w:t>
      </w:r>
      <w:r w:rsidR="00193A9A">
        <w:rPr>
          <w:noProof/>
        </w:rPr>
        <w:t>’</w:t>
      </w:r>
      <w:r w:rsidR="000845F8" w:rsidRPr="00193A9A">
        <w:rPr>
          <w:noProof/>
        </w:rPr>
        <w:t>s effectiveness. This is because the Directive</w:t>
      </w:r>
      <w:r w:rsidR="00193A9A">
        <w:rPr>
          <w:noProof/>
        </w:rPr>
        <w:t>’</w:t>
      </w:r>
      <w:r w:rsidR="000845F8" w:rsidRPr="00193A9A">
        <w:rPr>
          <w:noProof/>
        </w:rPr>
        <w:t>s non-discrimination objective would fail to apply when multiple ethnic groups experience the same discriminatory treatment</w:t>
      </w:r>
      <w:r w:rsidR="00131814">
        <w:rPr>
          <w:noProof/>
        </w:rPr>
        <w:t> </w:t>
      </w:r>
      <w:r w:rsidR="00CA5816" w:rsidRPr="00193A9A">
        <w:rPr>
          <w:noProof/>
        </w:rPr>
        <w:t>(</w:t>
      </w:r>
      <w:r w:rsidR="00CA5816" w:rsidRPr="00193A9A">
        <w:rPr>
          <w:rStyle w:val="FootnoteReference"/>
          <w:noProof/>
        </w:rPr>
        <w:footnoteReference w:id="99"/>
      </w:r>
      <w:r w:rsidR="00CA5816" w:rsidRPr="00193A9A">
        <w:rPr>
          <w:noProof/>
        </w:rPr>
        <w:t>)</w:t>
      </w:r>
      <w:r w:rsidR="004078BE" w:rsidRPr="00193A9A">
        <w:rPr>
          <w:noProof/>
        </w:rPr>
        <w:t>.</w:t>
      </w:r>
    </w:p>
    <w:p w14:paraId="7441BB4A" w14:textId="36E90668" w:rsidR="002676FD" w:rsidRPr="00193A9A" w:rsidRDefault="002676FD" w:rsidP="00D949BB">
      <w:pPr>
        <w:pStyle w:val="Heading1"/>
        <w:spacing w:before="0"/>
        <w:ind w:left="475" w:hanging="475"/>
        <w:rPr>
          <w:noProof/>
        </w:rPr>
      </w:pPr>
      <w:bookmarkStart w:id="24" w:name="_Toc213340806"/>
      <w:bookmarkStart w:id="25" w:name="_Toc214348095"/>
      <w:r w:rsidRPr="00193A9A">
        <w:rPr>
          <w:noProof/>
        </w:rPr>
        <w:t>Aspects specific to the Employment Equality Directive</w:t>
      </w:r>
      <w:bookmarkEnd w:id="24"/>
      <w:bookmarkEnd w:id="25"/>
    </w:p>
    <w:p w14:paraId="022243BC" w14:textId="1BF5F6DB" w:rsidR="000B4845" w:rsidRPr="00193A9A" w:rsidRDefault="00CA6C75" w:rsidP="000B4845">
      <w:pPr>
        <w:ind w:left="482"/>
        <w:rPr>
          <w:rFonts w:eastAsia="Calibri"/>
          <w:noProof/>
          <w:szCs w:val="24"/>
        </w:rPr>
      </w:pPr>
      <w:r w:rsidRPr="00193A9A">
        <w:rPr>
          <w:rFonts w:eastAsia="Calibri"/>
          <w:noProof/>
          <w:szCs w:val="24"/>
        </w:rPr>
        <w:t>Since the 2021 report, t</w:t>
      </w:r>
      <w:r w:rsidR="00172671" w:rsidRPr="00193A9A">
        <w:rPr>
          <w:rFonts w:eastAsia="Calibri"/>
          <w:noProof/>
          <w:szCs w:val="24"/>
        </w:rPr>
        <w:t>he</w:t>
      </w:r>
      <w:r w:rsidR="000B4845" w:rsidRPr="00193A9A">
        <w:rPr>
          <w:rFonts w:eastAsia="Calibri"/>
          <w:noProof/>
          <w:szCs w:val="24"/>
        </w:rPr>
        <w:t xml:space="preserve"> CJEU </w:t>
      </w:r>
      <w:r w:rsidR="00C86213">
        <w:rPr>
          <w:rFonts w:eastAsia="Calibri"/>
          <w:noProof/>
          <w:szCs w:val="24"/>
        </w:rPr>
        <w:t xml:space="preserve">has </w:t>
      </w:r>
      <w:r w:rsidR="000B4845" w:rsidRPr="00193A9A">
        <w:rPr>
          <w:rFonts w:eastAsia="Calibri"/>
          <w:noProof/>
          <w:szCs w:val="24"/>
        </w:rPr>
        <w:t xml:space="preserve">issued a </w:t>
      </w:r>
      <w:r w:rsidR="00C86213">
        <w:rPr>
          <w:noProof/>
          <w:szCs w:val="24"/>
          <w:lang w:eastAsia="en-GB"/>
        </w:rPr>
        <w:t>significant</w:t>
      </w:r>
      <w:r w:rsidR="00C86213" w:rsidRPr="00193A9A">
        <w:rPr>
          <w:rFonts w:eastAsia="Calibri"/>
          <w:noProof/>
          <w:szCs w:val="24"/>
        </w:rPr>
        <w:t xml:space="preserve"> </w:t>
      </w:r>
      <w:r w:rsidR="000B4845" w:rsidRPr="00193A9A">
        <w:rPr>
          <w:rFonts w:eastAsia="Calibri"/>
          <w:noProof/>
          <w:szCs w:val="24"/>
        </w:rPr>
        <w:t xml:space="preserve">number of judgments in preliminary cases submitted by </w:t>
      </w:r>
      <w:r w:rsidR="00C86213">
        <w:rPr>
          <w:rFonts w:eastAsia="Calibri"/>
          <w:noProof/>
          <w:szCs w:val="24"/>
        </w:rPr>
        <w:t xml:space="preserve">the </w:t>
      </w:r>
      <w:r w:rsidR="000B4845" w:rsidRPr="00193A9A">
        <w:rPr>
          <w:rFonts w:eastAsia="Calibri"/>
          <w:noProof/>
          <w:szCs w:val="24"/>
        </w:rPr>
        <w:t xml:space="preserve">national courts of several Member States regarding discrimination </w:t>
      </w:r>
      <w:r w:rsidR="00C94C9D">
        <w:rPr>
          <w:rFonts w:eastAsia="Calibri"/>
          <w:noProof/>
          <w:szCs w:val="24"/>
        </w:rPr>
        <w:t xml:space="preserve">in employment and occupation </w:t>
      </w:r>
      <w:r w:rsidR="000B4845" w:rsidRPr="00193A9A">
        <w:rPr>
          <w:rFonts w:eastAsia="Calibri"/>
          <w:noProof/>
          <w:szCs w:val="24"/>
        </w:rPr>
        <w:t xml:space="preserve">on the </w:t>
      </w:r>
      <w:r w:rsidR="005D4FC9">
        <w:rPr>
          <w:rFonts w:eastAsia="Calibri"/>
          <w:noProof/>
          <w:szCs w:val="24"/>
        </w:rPr>
        <w:t>four</w:t>
      </w:r>
      <w:r w:rsidR="005D4FC9" w:rsidRPr="00193A9A">
        <w:rPr>
          <w:rFonts w:eastAsia="Calibri"/>
          <w:noProof/>
          <w:szCs w:val="24"/>
        </w:rPr>
        <w:t xml:space="preserve"> </w:t>
      </w:r>
      <w:r w:rsidR="000B4845" w:rsidRPr="00193A9A">
        <w:rPr>
          <w:rFonts w:eastAsia="Calibri"/>
          <w:noProof/>
          <w:szCs w:val="24"/>
        </w:rPr>
        <w:t xml:space="preserve">grounds covered by the Directive (religion or belief, disability, age </w:t>
      </w:r>
      <w:r w:rsidR="00101D5D">
        <w:rPr>
          <w:rFonts w:eastAsia="Calibri"/>
          <w:noProof/>
          <w:szCs w:val="24"/>
        </w:rPr>
        <w:t>and</w:t>
      </w:r>
      <w:r w:rsidR="00101D5D" w:rsidRPr="00193A9A">
        <w:rPr>
          <w:rFonts w:eastAsia="Calibri"/>
          <w:noProof/>
          <w:szCs w:val="24"/>
        </w:rPr>
        <w:t xml:space="preserve"> </w:t>
      </w:r>
      <w:r w:rsidR="000B4845" w:rsidRPr="00193A9A">
        <w:rPr>
          <w:rFonts w:eastAsia="Calibri"/>
          <w:noProof/>
          <w:szCs w:val="24"/>
        </w:rPr>
        <w:t>sexual orientation).</w:t>
      </w:r>
    </w:p>
    <w:tbl>
      <w:tblPr>
        <w:tblStyle w:val="EurolookClassicPurple2"/>
        <w:tblW w:w="0" w:type="auto"/>
        <w:tblInd w:w="442" w:type="dxa"/>
        <w:tblLook w:val="0620" w:firstRow="1" w:lastRow="0" w:firstColumn="0" w:lastColumn="0" w:noHBand="1" w:noVBand="1"/>
      </w:tblPr>
      <w:tblGrid>
        <w:gridCol w:w="8160"/>
      </w:tblGrid>
      <w:tr w:rsidR="009A0231" w:rsidRPr="00193A9A" w14:paraId="0C768884"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286A2E14" w14:textId="77777777" w:rsidR="009A0231" w:rsidRPr="00193A9A" w:rsidRDefault="009A0231" w:rsidP="004F2E3D">
            <w:pPr>
              <w:pStyle w:val="TableText"/>
              <w:jc w:val="both"/>
              <w:rPr>
                <w:b/>
                <w:bCs/>
                <w:noProof/>
              </w:rPr>
            </w:pPr>
            <w:r w:rsidRPr="00193A9A">
              <w:rPr>
                <w:b/>
                <w:bCs/>
                <w:noProof/>
              </w:rPr>
              <w:t>Key takeaways</w:t>
            </w:r>
          </w:p>
        </w:tc>
      </w:tr>
      <w:tr w:rsidR="009A0231" w:rsidRPr="00193A9A" w14:paraId="3248F845" w14:textId="77777777" w:rsidTr="004F2E3D">
        <w:trPr>
          <w:cantSplit/>
        </w:trPr>
        <w:tc>
          <w:tcPr>
            <w:tcW w:w="8160" w:type="dxa"/>
          </w:tcPr>
          <w:p w14:paraId="14680E8D" w14:textId="50D4E466" w:rsidR="00A47E69" w:rsidRPr="00193A9A" w:rsidRDefault="00A47E69" w:rsidP="004F2E3D">
            <w:pPr>
              <w:pStyle w:val="ListDash2"/>
              <w:numPr>
                <w:ilvl w:val="0"/>
                <w:numId w:val="3"/>
              </w:numPr>
              <w:rPr>
                <w:noProof/>
              </w:rPr>
            </w:pPr>
            <w:r w:rsidRPr="00193A9A">
              <w:rPr>
                <w:noProof/>
              </w:rPr>
              <w:t>The protection of the Directive applies irrespective of the legal form in which work is provided.</w:t>
            </w:r>
          </w:p>
          <w:p w14:paraId="517B01CC" w14:textId="55A36BB4" w:rsidR="009A0231" w:rsidRPr="00193A9A" w:rsidRDefault="00271AC4" w:rsidP="004F2E3D">
            <w:pPr>
              <w:pStyle w:val="ListDash2"/>
              <w:numPr>
                <w:ilvl w:val="0"/>
                <w:numId w:val="3"/>
              </w:numPr>
              <w:rPr>
                <w:noProof/>
              </w:rPr>
            </w:pPr>
            <w:r w:rsidRPr="00193A9A">
              <w:rPr>
                <w:noProof/>
              </w:rPr>
              <w:t>The scope of the Directive covers staff members who are not recruited on a permanent basis, such as trainees.</w:t>
            </w:r>
          </w:p>
          <w:p w14:paraId="49508D49" w14:textId="1341C26A" w:rsidR="00F06430" w:rsidRPr="00193A9A" w:rsidRDefault="00F06430" w:rsidP="00F06430">
            <w:pPr>
              <w:pStyle w:val="ListDash2"/>
              <w:numPr>
                <w:ilvl w:val="0"/>
                <w:numId w:val="3"/>
              </w:numPr>
              <w:rPr>
                <w:noProof/>
              </w:rPr>
            </w:pPr>
            <w:r w:rsidRPr="00193A9A">
              <w:rPr>
                <w:noProof/>
              </w:rPr>
              <w:t>The Directive prohibits indirect discrimination by association on the grounds of disability.</w:t>
            </w:r>
          </w:p>
        </w:tc>
      </w:tr>
    </w:tbl>
    <w:p w14:paraId="778D4036" w14:textId="77777777" w:rsidR="000B4845" w:rsidRPr="00193A9A" w:rsidRDefault="000B4845" w:rsidP="00D949BB">
      <w:pPr>
        <w:pStyle w:val="Heading2"/>
        <w:spacing w:before="240"/>
        <w:ind w:left="1195"/>
        <w:rPr>
          <w:noProof/>
        </w:rPr>
      </w:pPr>
      <w:bookmarkStart w:id="26" w:name="_Toc214348096"/>
      <w:r w:rsidRPr="00193A9A">
        <w:rPr>
          <w:noProof/>
        </w:rPr>
        <w:t>Material and personal scope of the Directive</w:t>
      </w:r>
      <w:bookmarkEnd w:id="26"/>
    </w:p>
    <w:p w14:paraId="00E54B50" w14:textId="77777777" w:rsidR="000B4845" w:rsidRPr="00193A9A" w:rsidRDefault="000B4845" w:rsidP="000B4845">
      <w:pPr>
        <w:ind w:left="482" w:right="-28"/>
        <w:rPr>
          <w:noProof/>
          <w:szCs w:val="24"/>
        </w:rPr>
      </w:pPr>
      <w:r w:rsidRPr="00193A9A">
        <w:rPr>
          <w:noProof/>
          <w:szCs w:val="24"/>
        </w:rPr>
        <w:t>Several rulings clarified the scope of the Directive.</w:t>
      </w:r>
    </w:p>
    <w:p w14:paraId="7786F1A2" w14:textId="53FDA280" w:rsidR="000B4845" w:rsidRPr="00193A9A" w:rsidRDefault="000B4845" w:rsidP="000B4845">
      <w:pPr>
        <w:ind w:left="482" w:right="-28"/>
        <w:rPr>
          <w:noProof/>
          <w:szCs w:val="24"/>
        </w:rPr>
      </w:pPr>
      <w:r w:rsidRPr="00193A9A">
        <w:rPr>
          <w:noProof/>
          <w:szCs w:val="24"/>
        </w:rPr>
        <w:t>The CJEU confirmed (</w:t>
      </w:r>
      <w:r w:rsidRPr="00193A9A">
        <w:rPr>
          <w:rStyle w:val="FootnoteReference"/>
          <w:noProof/>
          <w:szCs w:val="24"/>
        </w:rPr>
        <w:footnoteReference w:id="100"/>
      </w:r>
      <w:r w:rsidRPr="00193A9A">
        <w:rPr>
          <w:noProof/>
          <w:szCs w:val="24"/>
        </w:rPr>
        <w:t xml:space="preserve">) in </w:t>
      </w:r>
      <w:r w:rsidR="009F29AE" w:rsidRPr="00193A9A">
        <w:rPr>
          <w:noProof/>
          <w:szCs w:val="24"/>
        </w:rPr>
        <w:t xml:space="preserve">the </w:t>
      </w:r>
      <w:r w:rsidRPr="00193A9A">
        <w:rPr>
          <w:i/>
          <w:iCs/>
          <w:noProof/>
          <w:szCs w:val="24"/>
        </w:rPr>
        <w:t>Zetschek</w:t>
      </w:r>
      <w:r w:rsidRPr="00193A9A">
        <w:rPr>
          <w:noProof/>
          <w:szCs w:val="24"/>
        </w:rPr>
        <w:t xml:space="preserve"> </w:t>
      </w:r>
      <w:r w:rsidR="009F29AE" w:rsidRPr="00193A9A">
        <w:rPr>
          <w:noProof/>
          <w:szCs w:val="24"/>
        </w:rPr>
        <w:t xml:space="preserve">case </w:t>
      </w:r>
      <w:r w:rsidRPr="00193A9A">
        <w:rPr>
          <w:noProof/>
          <w:szCs w:val="24"/>
        </w:rPr>
        <w:t>that the grounds listed in the Directive are exhaustive, and that the Directive does not cover cases of alleged discrimination between professional categories (</w:t>
      </w:r>
      <w:r w:rsidRPr="00193A9A">
        <w:rPr>
          <w:rStyle w:val="FootnoteReference"/>
          <w:noProof/>
          <w:szCs w:val="24"/>
        </w:rPr>
        <w:footnoteReference w:id="101"/>
      </w:r>
      <w:r w:rsidRPr="00193A9A">
        <w:rPr>
          <w:noProof/>
          <w:szCs w:val="24"/>
        </w:rPr>
        <w:t>).</w:t>
      </w:r>
    </w:p>
    <w:p w14:paraId="0EF0CF30" w14:textId="444FE69C" w:rsidR="000B4845" w:rsidRPr="00193A9A" w:rsidRDefault="000B4845" w:rsidP="000B4845">
      <w:pPr>
        <w:ind w:left="482" w:right="-28"/>
        <w:rPr>
          <w:i/>
          <w:iCs/>
          <w:noProof/>
          <w:szCs w:val="24"/>
          <w:shd w:val="clear" w:color="auto" w:fill="FFFFFF"/>
          <w:lang w:eastAsia="en-GB"/>
        </w:rPr>
      </w:pPr>
      <w:r w:rsidRPr="00193A9A">
        <w:rPr>
          <w:noProof/>
          <w:szCs w:val="24"/>
          <w:lang w:eastAsia="en-GB"/>
        </w:rPr>
        <w:t>In</w:t>
      </w:r>
      <w:bookmarkStart w:id="27" w:name="_Hlk209456678"/>
      <w:r w:rsidRPr="00193A9A">
        <w:rPr>
          <w:noProof/>
          <w:szCs w:val="24"/>
          <w:lang w:eastAsia="en-GB"/>
        </w:rPr>
        <w:t xml:space="preserve"> </w:t>
      </w:r>
      <w:r w:rsidR="009F29AE" w:rsidRPr="00193A9A">
        <w:rPr>
          <w:noProof/>
          <w:szCs w:val="24"/>
          <w:lang w:eastAsia="en-GB"/>
        </w:rPr>
        <w:t xml:space="preserve">the </w:t>
      </w:r>
      <w:r w:rsidRPr="00193A9A">
        <w:rPr>
          <w:i/>
          <w:iCs/>
          <w:noProof/>
          <w:szCs w:val="24"/>
          <w:lang w:eastAsia="en-GB"/>
        </w:rPr>
        <w:t>TP (Audiovisual editor for public television)</w:t>
      </w:r>
      <w:bookmarkEnd w:id="27"/>
      <w:r w:rsidR="009F29AE" w:rsidRPr="00193A9A">
        <w:rPr>
          <w:i/>
          <w:iCs/>
          <w:noProof/>
          <w:szCs w:val="24"/>
          <w:lang w:eastAsia="en-GB"/>
        </w:rPr>
        <w:t xml:space="preserve"> </w:t>
      </w:r>
      <w:r w:rsidR="009F29AE" w:rsidRPr="00193A9A">
        <w:rPr>
          <w:noProof/>
          <w:szCs w:val="24"/>
          <w:lang w:eastAsia="en-GB"/>
        </w:rPr>
        <w:t>case</w:t>
      </w:r>
      <w:r w:rsidRPr="00193A9A">
        <w:rPr>
          <w:noProof/>
          <w:szCs w:val="24"/>
          <w:lang w:eastAsia="en-GB"/>
        </w:rPr>
        <w:t xml:space="preserve">, the Court </w:t>
      </w:r>
      <w:r w:rsidRPr="00193A9A">
        <w:rPr>
          <w:noProof/>
          <w:szCs w:val="24"/>
          <w:shd w:val="clear" w:color="auto" w:fill="FFFFFF"/>
          <w:lang w:eastAsia="en-GB"/>
        </w:rPr>
        <w:t xml:space="preserve">concluded that the protection of the Directive applies </w:t>
      </w:r>
      <w:r w:rsidRPr="00193A9A">
        <w:rPr>
          <w:b/>
          <w:bCs/>
          <w:noProof/>
          <w:szCs w:val="24"/>
          <w:shd w:val="clear" w:color="auto" w:fill="FFFFFF"/>
          <w:lang w:eastAsia="en-GB"/>
        </w:rPr>
        <w:t>irrespective of the legal form in which work is provided</w:t>
      </w:r>
      <w:r w:rsidRPr="00193A9A">
        <w:rPr>
          <w:noProof/>
          <w:szCs w:val="24"/>
          <w:shd w:val="clear" w:color="auto" w:fill="FFFFFF"/>
          <w:lang w:eastAsia="en-GB"/>
        </w:rPr>
        <w:t> (</w:t>
      </w:r>
      <w:r w:rsidRPr="00193A9A">
        <w:rPr>
          <w:noProof/>
          <w:szCs w:val="24"/>
          <w:vertAlign w:val="superscript"/>
          <w:lang w:eastAsia="en-GB"/>
        </w:rPr>
        <w:footnoteReference w:id="102"/>
      </w:r>
      <w:r w:rsidRPr="00193A9A">
        <w:rPr>
          <w:noProof/>
          <w:szCs w:val="24"/>
          <w:shd w:val="clear" w:color="auto" w:fill="FFFFFF"/>
          <w:lang w:eastAsia="en-GB"/>
        </w:rPr>
        <w:t xml:space="preserve">). The case concerned refusal to conclude or renew a contract </w:t>
      </w:r>
      <w:r w:rsidR="00C45297">
        <w:rPr>
          <w:noProof/>
          <w:szCs w:val="24"/>
          <w:shd w:val="clear" w:color="auto" w:fill="FFFFFF"/>
          <w:lang w:eastAsia="en-GB"/>
        </w:rPr>
        <w:t>for</w:t>
      </w:r>
      <w:r w:rsidR="00C45297" w:rsidRPr="00193A9A">
        <w:rPr>
          <w:noProof/>
          <w:szCs w:val="24"/>
          <w:shd w:val="clear" w:color="auto" w:fill="FFFFFF"/>
          <w:lang w:eastAsia="en-GB"/>
        </w:rPr>
        <w:t xml:space="preserve"> </w:t>
      </w:r>
      <w:r w:rsidRPr="00193A9A">
        <w:rPr>
          <w:noProof/>
          <w:szCs w:val="24"/>
          <w:shd w:val="clear" w:color="auto" w:fill="FFFFFF"/>
          <w:lang w:eastAsia="en-GB"/>
        </w:rPr>
        <w:t xml:space="preserve">the performance of specific work </w:t>
      </w:r>
      <w:r w:rsidR="00161D7F">
        <w:rPr>
          <w:noProof/>
          <w:szCs w:val="24"/>
          <w:shd w:val="clear" w:color="auto" w:fill="FFFFFF"/>
          <w:lang w:eastAsia="en-GB"/>
        </w:rPr>
        <w:t>on the basis of</w:t>
      </w:r>
      <w:r w:rsidRPr="00193A9A">
        <w:rPr>
          <w:noProof/>
          <w:szCs w:val="24"/>
          <w:shd w:val="clear" w:color="auto" w:fill="FFFFFF"/>
          <w:lang w:eastAsia="en-GB"/>
        </w:rPr>
        <w:t xml:space="preserve"> the sexual orientation of the provider. The question</w:t>
      </w:r>
      <w:r w:rsidR="00161D7F">
        <w:rPr>
          <w:noProof/>
          <w:szCs w:val="24"/>
          <w:shd w:val="clear" w:color="auto" w:fill="FFFFFF"/>
          <w:lang w:eastAsia="en-GB"/>
        </w:rPr>
        <w:t xml:space="preserve"> to be assessed</w:t>
      </w:r>
      <w:r w:rsidRPr="00193A9A">
        <w:rPr>
          <w:noProof/>
          <w:szCs w:val="24"/>
          <w:shd w:val="clear" w:color="auto" w:fill="FFFFFF"/>
          <w:lang w:eastAsia="en-GB"/>
        </w:rPr>
        <w:t xml:space="preserve"> was whether the situation fell under </w:t>
      </w:r>
      <w:r w:rsidR="00161D7F">
        <w:rPr>
          <w:noProof/>
          <w:szCs w:val="24"/>
          <w:shd w:val="clear" w:color="auto" w:fill="FFFFFF"/>
          <w:lang w:eastAsia="en-GB"/>
        </w:rPr>
        <w:t xml:space="preserve">the </w:t>
      </w:r>
      <w:r w:rsidRPr="00193A9A">
        <w:rPr>
          <w:noProof/>
          <w:szCs w:val="24"/>
          <w:shd w:val="clear" w:color="auto" w:fill="FFFFFF"/>
          <w:lang w:eastAsia="en-GB"/>
        </w:rPr>
        <w:t xml:space="preserve">protection </w:t>
      </w:r>
      <w:r w:rsidR="00161D7F">
        <w:rPr>
          <w:noProof/>
          <w:szCs w:val="24"/>
          <w:shd w:val="clear" w:color="auto" w:fill="FFFFFF"/>
          <w:lang w:eastAsia="en-GB"/>
        </w:rPr>
        <w:t>afforded</w:t>
      </w:r>
      <w:r w:rsidR="00161D7F" w:rsidRPr="00193A9A">
        <w:rPr>
          <w:noProof/>
          <w:szCs w:val="24"/>
          <w:shd w:val="clear" w:color="auto" w:fill="FFFFFF"/>
          <w:lang w:eastAsia="en-GB"/>
        </w:rPr>
        <w:t xml:space="preserve"> </w:t>
      </w:r>
      <w:r w:rsidRPr="00193A9A">
        <w:rPr>
          <w:noProof/>
          <w:szCs w:val="24"/>
          <w:shd w:val="clear" w:color="auto" w:fill="FFFFFF"/>
          <w:lang w:eastAsia="en-GB"/>
        </w:rPr>
        <w:t xml:space="preserve">by the Directive or whether the activity </w:t>
      </w:r>
      <w:r w:rsidR="00161D7F">
        <w:rPr>
          <w:noProof/>
          <w:szCs w:val="24"/>
          <w:shd w:val="clear" w:color="auto" w:fill="FFFFFF"/>
          <w:lang w:eastAsia="en-GB"/>
        </w:rPr>
        <w:t>should</w:t>
      </w:r>
      <w:r w:rsidRPr="00193A9A">
        <w:rPr>
          <w:noProof/>
          <w:szCs w:val="24"/>
          <w:shd w:val="clear" w:color="auto" w:fill="FFFFFF"/>
          <w:lang w:eastAsia="en-GB"/>
        </w:rPr>
        <w:t xml:space="preserve"> be considered mere provision of goods or services.</w:t>
      </w:r>
      <w:r w:rsidRPr="00193A9A" w:rsidDel="00AB0645">
        <w:rPr>
          <w:noProof/>
          <w:szCs w:val="24"/>
          <w:shd w:val="clear" w:color="auto" w:fill="FFFFFF"/>
          <w:lang w:eastAsia="en-GB"/>
        </w:rPr>
        <w:t xml:space="preserve"> </w:t>
      </w:r>
      <w:r w:rsidR="00193A9A" w:rsidRPr="00193A9A">
        <w:rPr>
          <w:noProof/>
          <w:szCs w:val="24"/>
          <w:shd w:val="clear" w:color="auto" w:fill="FFFFFF"/>
          <w:lang w:eastAsia="en-GB"/>
        </w:rPr>
        <w:t>It follows from the ruling that the concept of</w:t>
      </w:r>
      <w:r w:rsidR="00193A9A">
        <w:rPr>
          <w:noProof/>
          <w:szCs w:val="24"/>
          <w:shd w:val="clear" w:color="auto" w:fill="FFFFFF"/>
          <w:lang w:eastAsia="en-GB"/>
        </w:rPr>
        <w:t xml:space="preserve"> </w:t>
      </w:r>
      <w:r w:rsidR="00193A9A" w:rsidRPr="00193A9A">
        <w:rPr>
          <w:noProof/>
          <w:szCs w:val="24"/>
          <w:shd w:val="clear" w:color="auto" w:fill="FFFFFF"/>
          <w:lang w:eastAsia="en-GB"/>
        </w:rPr>
        <w:t>‘</w:t>
      </w:r>
      <w:r w:rsidR="00193A9A" w:rsidRPr="00193A9A">
        <w:rPr>
          <w:i/>
          <w:iCs/>
          <w:noProof/>
          <w:szCs w:val="24"/>
          <w:shd w:val="clear" w:color="auto" w:fill="FFFFFF"/>
          <w:lang w:eastAsia="en-GB"/>
        </w:rPr>
        <w:t>conditions for access to employment, to self-employment or to occupation</w:t>
      </w:r>
      <w:r w:rsidR="00161D7F" w:rsidRPr="0083138F">
        <w:rPr>
          <w:noProof/>
          <w:szCs w:val="24"/>
          <w:shd w:val="clear" w:color="auto" w:fill="FFFFFF"/>
          <w:lang w:eastAsia="en-GB"/>
        </w:rPr>
        <w:t>’</w:t>
      </w:r>
      <w:r w:rsidR="00193A9A" w:rsidRPr="00193A9A">
        <w:rPr>
          <w:noProof/>
          <w:szCs w:val="24"/>
          <w:shd w:val="clear" w:color="auto" w:fill="FFFFFF"/>
          <w:lang w:eastAsia="en-GB"/>
        </w:rPr>
        <w:t> (</w:t>
      </w:r>
      <w:r w:rsidR="00193A9A" w:rsidRPr="00193A9A">
        <w:rPr>
          <w:rStyle w:val="FootnoteReference"/>
          <w:noProof/>
          <w:szCs w:val="24"/>
          <w:shd w:val="clear" w:color="auto" w:fill="FFFFFF"/>
          <w:lang w:eastAsia="en-GB"/>
        </w:rPr>
        <w:footnoteReference w:id="103"/>
      </w:r>
      <w:r w:rsidR="00193A9A" w:rsidRPr="00193A9A">
        <w:rPr>
          <w:noProof/>
          <w:szCs w:val="24"/>
          <w:shd w:val="clear" w:color="auto" w:fill="FFFFFF"/>
          <w:lang w:eastAsia="en-GB"/>
        </w:rPr>
        <w:t>) and the notion of ‘</w:t>
      </w:r>
      <w:r w:rsidR="00193A9A" w:rsidRPr="00193A9A">
        <w:rPr>
          <w:i/>
          <w:iCs/>
          <w:noProof/>
          <w:szCs w:val="24"/>
          <w:shd w:val="clear" w:color="auto" w:fill="FFFFFF"/>
          <w:lang w:eastAsia="en-GB"/>
        </w:rPr>
        <w:t>employment and working conditions, including dismissals and pay</w:t>
      </w:r>
      <w:r w:rsidR="00193A9A" w:rsidRPr="00193A9A">
        <w:rPr>
          <w:noProof/>
          <w:szCs w:val="24"/>
          <w:shd w:val="clear" w:color="auto" w:fill="FFFFFF"/>
          <w:lang w:eastAsia="en-GB"/>
        </w:rPr>
        <w:t>’ (</w:t>
      </w:r>
      <w:r w:rsidR="00193A9A" w:rsidRPr="00193A9A">
        <w:rPr>
          <w:rStyle w:val="FootnoteReference"/>
          <w:noProof/>
          <w:szCs w:val="24"/>
          <w:shd w:val="clear" w:color="auto" w:fill="FFFFFF"/>
          <w:lang w:eastAsia="en-GB"/>
        </w:rPr>
        <w:footnoteReference w:id="104"/>
      </w:r>
      <w:r w:rsidR="00193A9A" w:rsidRPr="00193A9A">
        <w:rPr>
          <w:noProof/>
          <w:szCs w:val="24"/>
          <w:shd w:val="clear" w:color="auto" w:fill="FFFFFF"/>
          <w:lang w:eastAsia="en-GB"/>
        </w:rPr>
        <w:t xml:space="preserve">) </w:t>
      </w:r>
      <w:r w:rsidR="00193A9A" w:rsidRPr="00193A9A">
        <w:rPr>
          <w:b/>
          <w:bCs/>
          <w:noProof/>
          <w:szCs w:val="24"/>
          <w:shd w:val="clear" w:color="auto" w:fill="FFFFFF"/>
          <w:lang w:eastAsia="en-GB"/>
        </w:rPr>
        <w:t xml:space="preserve">must be broadly </w:t>
      </w:r>
      <w:r w:rsidR="00C94C9D">
        <w:rPr>
          <w:b/>
          <w:bCs/>
          <w:noProof/>
          <w:szCs w:val="24"/>
          <w:shd w:val="clear" w:color="auto" w:fill="FFFFFF"/>
          <w:lang w:eastAsia="en-GB"/>
        </w:rPr>
        <w:t>interpreted</w:t>
      </w:r>
      <w:r w:rsidR="00193A9A" w:rsidRPr="00193A9A">
        <w:rPr>
          <w:noProof/>
          <w:szCs w:val="24"/>
          <w:shd w:val="clear" w:color="auto" w:fill="FFFFFF"/>
          <w:lang w:eastAsia="en-GB"/>
        </w:rPr>
        <w:t xml:space="preserve">, covering (access to) </w:t>
      </w:r>
      <w:r w:rsidR="00193A9A" w:rsidRPr="00193A9A">
        <w:rPr>
          <w:b/>
          <w:bCs/>
          <w:i/>
          <w:iCs/>
          <w:noProof/>
          <w:szCs w:val="24"/>
          <w:shd w:val="clear" w:color="auto" w:fill="FFFFFF"/>
          <w:lang w:eastAsia="en-GB"/>
        </w:rPr>
        <w:t>any</w:t>
      </w:r>
      <w:r w:rsidR="00193A9A" w:rsidRPr="00193A9A">
        <w:rPr>
          <w:i/>
          <w:iCs/>
          <w:noProof/>
          <w:szCs w:val="24"/>
          <w:shd w:val="clear" w:color="auto" w:fill="FFFFFF"/>
          <w:lang w:eastAsia="en-GB"/>
        </w:rPr>
        <w:t xml:space="preserve"> form of employment or self-employment, whatever the legal form in which it is pursued</w:t>
      </w:r>
      <w:r w:rsidR="00193A9A" w:rsidRPr="00193A9A">
        <w:rPr>
          <w:noProof/>
          <w:szCs w:val="24"/>
          <w:shd w:val="clear" w:color="auto" w:fill="FFFFFF"/>
          <w:lang w:eastAsia="en-GB"/>
        </w:rPr>
        <w:t xml:space="preserve">. </w:t>
      </w:r>
      <w:r w:rsidRPr="00193A9A">
        <w:rPr>
          <w:noProof/>
          <w:szCs w:val="24"/>
          <w:shd w:val="clear" w:color="auto" w:fill="FFFFFF"/>
          <w:lang w:eastAsia="en-GB"/>
        </w:rPr>
        <w:t>In addition, the Court concluded that</w:t>
      </w:r>
      <w:r w:rsidRPr="00193A9A">
        <w:rPr>
          <w:i/>
          <w:iCs/>
          <w:noProof/>
          <w:szCs w:val="24"/>
          <w:shd w:val="clear" w:color="auto" w:fill="FFFFFF"/>
          <w:lang w:eastAsia="en-GB"/>
        </w:rPr>
        <w:t xml:space="preserve"> ‘an involuntary termination of activity of a self-employed person (…) may be assimilated to dismissal of an employee</w:t>
      </w:r>
      <w:r w:rsidR="00161D7F" w:rsidRPr="0083138F">
        <w:rPr>
          <w:noProof/>
          <w:szCs w:val="24"/>
          <w:shd w:val="clear" w:color="auto" w:fill="FFFFFF"/>
          <w:lang w:eastAsia="en-GB"/>
        </w:rPr>
        <w:t>’</w:t>
      </w:r>
      <w:r w:rsidRPr="00193A9A">
        <w:rPr>
          <w:i/>
          <w:iCs/>
          <w:noProof/>
          <w:szCs w:val="24"/>
          <w:shd w:val="clear" w:color="auto" w:fill="FFFFFF"/>
          <w:lang w:eastAsia="en-GB"/>
        </w:rPr>
        <w:t>.</w:t>
      </w:r>
    </w:p>
    <w:p w14:paraId="474922B4" w14:textId="565A34D6" w:rsidR="000B4845" w:rsidRPr="00193A9A" w:rsidRDefault="000B4845" w:rsidP="000B4845">
      <w:pPr>
        <w:ind w:left="482" w:right="-28"/>
        <w:rPr>
          <w:noProof/>
        </w:rPr>
      </w:pPr>
      <w:r w:rsidRPr="00193A9A">
        <w:rPr>
          <w:noProof/>
          <w:szCs w:val="24"/>
          <w:lang w:eastAsia="en-GB"/>
        </w:rPr>
        <w:t xml:space="preserve">In the </w:t>
      </w:r>
      <w:r w:rsidRPr="00193A9A">
        <w:rPr>
          <w:i/>
          <w:iCs/>
          <w:noProof/>
          <w:szCs w:val="24"/>
          <w:lang w:eastAsia="en-GB"/>
        </w:rPr>
        <w:t>HK</w:t>
      </w:r>
      <w:r w:rsidRPr="00193A9A">
        <w:rPr>
          <w:noProof/>
          <w:szCs w:val="24"/>
          <w:lang w:eastAsia="en-GB"/>
        </w:rPr>
        <w:t xml:space="preserve"> </w:t>
      </w:r>
      <w:r w:rsidR="00045579" w:rsidRPr="003C15DE">
        <w:rPr>
          <w:noProof/>
          <w:szCs w:val="24"/>
          <w:lang w:eastAsia="en-GB"/>
        </w:rPr>
        <w:t>v</w:t>
      </w:r>
      <w:r w:rsidR="00045579" w:rsidRPr="00B9492A">
        <w:rPr>
          <w:i/>
          <w:iCs/>
          <w:noProof/>
          <w:szCs w:val="24"/>
          <w:lang w:eastAsia="en-GB"/>
        </w:rPr>
        <w:t xml:space="preserve"> Danmark and HK/Privat</w:t>
      </w:r>
      <w:r w:rsidR="00045579" w:rsidRPr="00B9492A">
        <w:rPr>
          <w:noProof/>
          <w:szCs w:val="24"/>
          <w:lang w:eastAsia="en-GB"/>
        </w:rPr>
        <w:t xml:space="preserve"> </w:t>
      </w:r>
      <w:r w:rsidRPr="00193A9A">
        <w:rPr>
          <w:noProof/>
          <w:szCs w:val="24"/>
          <w:lang w:eastAsia="en-GB"/>
        </w:rPr>
        <w:t xml:space="preserve">case, the </w:t>
      </w:r>
      <w:r w:rsidRPr="00193A9A">
        <w:rPr>
          <w:noProof/>
          <w:szCs w:val="24"/>
          <w:shd w:val="clear" w:color="auto" w:fill="FFFFFF"/>
          <w:lang w:eastAsia="en-GB"/>
        </w:rPr>
        <w:t xml:space="preserve">Court had already clarified </w:t>
      </w:r>
      <w:r w:rsidR="002174D9">
        <w:rPr>
          <w:noProof/>
          <w:szCs w:val="24"/>
          <w:shd w:val="clear" w:color="auto" w:fill="FFFFFF"/>
          <w:lang w:eastAsia="en-GB"/>
        </w:rPr>
        <w:t>the</w:t>
      </w:r>
      <w:r w:rsidR="002174D9" w:rsidRPr="00193A9A">
        <w:rPr>
          <w:noProof/>
          <w:szCs w:val="24"/>
          <w:shd w:val="clear" w:color="auto" w:fill="FFFFFF"/>
          <w:lang w:eastAsia="en-GB"/>
        </w:rPr>
        <w:t xml:space="preserve"> </w:t>
      </w:r>
      <w:r w:rsidRPr="00193A9A">
        <w:rPr>
          <w:noProof/>
          <w:szCs w:val="24"/>
          <w:shd w:val="clear" w:color="auto" w:fill="FFFFFF"/>
          <w:lang w:eastAsia="en-GB"/>
        </w:rPr>
        <w:t>broad material scope of the Directive</w:t>
      </w:r>
      <w:r w:rsidR="002174D9">
        <w:rPr>
          <w:noProof/>
          <w:szCs w:val="24"/>
          <w:shd w:val="clear" w:color="auto" w:fill="FFFFFF"/>
          <w:lang w:eastAsia="en-GB"/>
        </w:rPr>
        <w:t>,</w:t>
      </w:r>
      <w:r w:rsidRPr="00193A9A">
        <w:rPr>
          <w:noProof/>
          <w:szCs w:val="24"/>
          <w:shd w:val="clear" w:color="auto" w:fill="FFFFFF"/>
          <w:lang w:eastAsia="en-GB"/>
        </w:rPr>
        <w:t xml:space="preserve"> which extends to the statute of an organisation of workers where </w:t>
      </w:r>
      <w:r w:rsidR="002174D9">
        <w:rPr>
          <w:noProof/>
          <w:szCs w:val="24"/>
          <w:shd w:val="clear" w:color="auto" w:fill="FFFFFF"/>
          <w:lang w:eastAsia="en-GB"/>
        </w:rPr>
        <w:t>that</w:t>
      </w:r>
      <w:r w:rsidRPr="00193A9A">
        <w:rPr>
          <w:noProof/>
          <w:szCs w:val="24"/>
          <w:shd w:val="clear" w:color="auto" w:fill="FFFFFF"/>
          <w:lang w:eastAsia="en-GB"/>
        </w:rPr>
        <w:t xml:space="preserve"> statute </w:t>
      </w:r>
      <w:r w:rsidR="000B34F1">
        <w:rPr>
          <w:noProof/>
          <w:szCs w:val="24"/>
          <w:shd w:val="clear" w:color="auto" w:fill="FFFFFF"/>
          <w:lang w:eastAsia="en-GB"/>
        </w:rPr>
        <w:t>sets an</w:t>
      </w:r>
      <w:r w:rsidRPr="00193A9A">
        <w:rPr>
          <w:noProof/>
          <w:szCs w:val="24"/>
          <w:shd w:val="clear" w:color="auto" w:fill="FFFFFF"/>
          <w:lang w:eastAsia="en-GB"/>
        </w:rPr>
        <w:t xml:space="preserve"> age limit</w:t>
      </w:r>
      <w:r w:rsidRPr="00193A9A">
        <w:rPr>
          <w:noProof/>
          <w:szCs w:val="24"/>
        </w:rPr>
        <w:t xml:space="preserve"> </w:t>
      </w:r>
      <w:r w:rsidR="002174D9">
        <w:rPr>
          <w:noProof/>
          <w:szCs w:val="24"/>
        </w:rPr>
        <w:t>for</w:t>
      </w:r>
      <w:r w:rsidRPr="00193A9A">
        <w:rPr>
          <w:noProof/>
          <w:szCs w:val="24"/>
        </w:rPr>
        <w:t xml:space="preserve"> the position of ‘sector convenor’, </w:t>
      </w:r>
      <w:r w:rsidRPr="00193A9A">
        <w:rPr>
          <w:b/>
          <w:bCs/>
          <w:noProof/>
          <w:szCs w:val="24"/>
        </w:rPr>
        <w:t>an elected position</w:t>
      </w:r>
      <w:r w:rsidRPr="00193A9A">
        <w:rPr>
          <w:noProof/>
          <w:szCs w:val="24"/>
        </w:rPr>
        <w:t xml:space="preserve"> in that organisation (</w:t>
      </w:r>
      <w:r w:rsidRPr="00193A9A">
        <w:rPr>
          <w:rStyle w:val="FootnoteReference"/>
          <w:noProof/>
          <w:szCs w:val="24"/>
        </w:rPr>
        <w:footnoteReference w:id="105"/>
      </w:r>
      <w:r w:rsidRPr="00193A9A">
        <w:rPr>
          <w:noProof/>
          <w:szCs w:val="24"/>
        </w:rPr>
        <w:t>)</w:t>
      </w:r>
      <w:r w:rsidRPr="00193A9A">
        <w:rPr>
          <w:noProof/>
        </w:rPr>
        <w:t>.</w:t>
      </w:r>
    </w:p>
    <w:p w14:paraId="5BC52B0E" w14:textId="526F4937" w:rsidR="000B4845" w:rsidRPr="00193A9A" w:rsidRDefault="000B4845" w:rsidP="000B4845">
      <w:pPr>
        <w:ind w:left="482" w:right="-28"/>
        <w:rPr>
          <w:noProof/>
          <w:szCs w:val="24"/>
          <w:lang w:eastAsia="en-GB"/>
        </w:rPr>
      </w:pPr>
      <w:r w:rsidRPr="00193A9A">
        <w:rPr>
          <w:noProof/>
          <w:szCs w:val="24"/>
          <w:lang w:eastAsia="en-GB"/>
        </w:rPr>
        <w:t xml:space="preserve">The ruling in </w:t>
      </w:r>
      <w:r w:rsidR="009A3DFA" w:rsidRPr="00193A9A">
        <w:rPr>
          <w:noProof/>
          <w:szCs w:val="24"/>
          <w:lang w:eastAsia="en-GB"/>
        </w:rPr>
        <w:t xml:space="preserve">the </w:t>
      </w:r>
      <w:r w:rsidRPr="00193A9A">
        <w:rPr>
          <w:i/>
          <w:iCs/>
          <w:noProof/>
          <w:szCs w:val="24"/>
          <w:lang w:eastAsia="en-GB"/>
        </w:rPr>
        <w:t>Ca Na Negreta</w:t>
      </w:r>
      <w:r w:rsidR="004F6B15">
        <w:rPr>
          <w:i/>
          <w:iCs/>
          <w:noProof/>
          <w:szCs w:val="24"/>
          <w:lang w:eastAsia="en-GB"/>
        </w:rPr>
        <w:t xml:space="preserve"> </w:t>
      </w:r>
      <w:r w:rsidR="009A3DFA" w:rsidRPr="00193A9A">
        <w:rPr>
          <w:noProof/>
          <w:szCs w:val="24"/>
          <w:lang w:eastAsia="en-GB"/>
        </w:rPr>
        <w:t>case</w:t>
      </w:r>
      <w:r w:rsidR="004F6B15">
        <w:rPr>
          <w:noProof/>
          <w:szCs w:val="24"/>
          <w:lang w:eastAsia="en-GB"/>
        </w:rPr>
        <w:t> </w:t>
      </w:r>
      <w:r w:rsidRPr="0083138F">
        <w:rPr>
          <w:noProof/>
          <w:szCs w:val="24"/>
          <w:lang w:eastAsia="en-GB"/>
        </w:rPr>
        <w:t>(</w:t>
      </w:r>
      <w:r w:rsidRPr="0083138F">
        <w:rPr>
          <w:rStyle w:val="FootnoteReference"/>
          <w:iCs/>
          <w:noProof/>
          <w:szCs w:val="24"/>
          <w:lang w:eastAsia="en-GB"/>
        </w:rPr>
        <w:footnoteReference w:id="106"/>
      </w:r>
      <w:r w:rsidRPr="00193A9A">
        <w:rPr>
          <w:i/>
          <w:iCs/>
          <w:noProof/>
          <w:szCs w:val="24"/>
          <w:lang w:eastAsia="en-GB"/>
        </w:rPr>
        <w:t>)</w:t>
      </w:r>
      <w:r w:rsidRPr="00193A9A">
        <w:rPr>
          <w:noProof/>
          <w:szCs w:val="24"/>
          <w:lang w:eastAsia="en-GB"/>
        </w:rPr>
        <w:t xml:space="preserve"> </w:t>
      </w:r>
      <w:r w:rsidR="00FD2C33" w:rsidRPr="00193A9A">
        <w:rPr>
          <w:noProof/>
          <w:szCs w:val="24"/>
          <w:lang w:eastAsia="en-GB"/>
        </w:rPr>
        <w:t xml:space="preserve">shed </w:t>
      </w:r>
      <w:r w:rsidRPr="00193A9A">
        <w:rPr>
          <w:noProof/>
          <w:szCs w:val="24"/>
          <w:lang w:eastAsia="en-GB"/>
        </w:rPr>
        <w:t xml:space="preserve">light on the notion of </w:t>
      </w:r>
      <w:r w:rsidRPr="00193A9A">
        <w:rPr>
          <w:b/>
          <w:bCs/>
          <w:noProof/>
          <w:szCs w:val="24"/>
          <w:lang w:eastAsia="en-GB"/>
        </w:rPr>
        <w:t>dismissal.</w:t>
      </w:r>
      <w:r w:rsidRPr="00193A9A">
        <w:rPr>
          <w:noProof/>
          <w:szCs w:val="24"/>
          <w:lang w:eastAsia="en-GB"/>
        </w:rPr>
        <w:t xml:space="preserve"> </w:t>
      </w:r>
      <w:r w:rsidR="00C94C9D">
        <w:rPr>
          <w:noProof/>
          <w:szCs w:val="24"/>
          <w:lang w:eastAsia="en-GB"/>
        </w:rPr>
        <w:t xml:space="preserve">The case concerned </w:t>
      </w:r>
      <w:r w:rsidR="00C94C9D" w:rsidRPr="00AE571C">
        <w:rPr>
          <w:noProof/>
          <w:szCs w:val="24"/>
          <w:lang w:eastAsia="en-GB"/>
        </w:rPr>
        <w:t>national legislation that allow</w:t>
      </w:r>
      <w:r w:rsidR="00C94C9D">
        <w:rPr>
          <w:noProof/>
          <w:szCs w:val="24"/>
          <w:lang w:eastAsia="en-GB"/>
        </w:rPr>
        <w:t>ed</w:t>
      </w:r>
      <w:r w:rsidR="00C94C9D" w:rsidRPr="00AE571C">
        <w:rPr>
          <w:noProof/>
          <w:szCs w:val="24"/>
          <w:lang w:eastAsia="en-GB"/>
        </w:rPr>
        <w:t xml:space="preserve"> a worker to be dismissed as soon as </w:t>
      </w:r>
      <w:r w:rsidR="00C94C9D">
        <w:rPr>
          <w:noProof/>
          <w:szCs w:val="24"/>
          <w:lang w:eastAsia="en-GB"/>
        </w:rPr>
        <w:t>they</w:t>
      </w:r>
      <w:r w:rsidR="00C94C9D" w:rsidRPr="00AE571C">
        <w:rPr>
          <w:noProof/>
          <w:szCs w:val="24"/>
          <w:lang w:eastAsia="en-GB"/>
        </w:rPr>
        <w:t xml:space="preserve"> ha</w:t>
      </w:r>
      <w:r w:rsidR="00C94C9D">
        <w:rPr>
          <w:noProof/>
          <w:szCs w:val="24"/>
          <w:lang w:eastAsia="en-GB"/>
        </w:rPr>
        <w:t>d</w:t>
      </w:r>
      <w:r w:rsidR="00C94C9D" w:rsidRPr="00AE571C">
        <w:rPr>
          <w:noProof/>
          <w:szCs w:val="24"/>
          <w:lang w:eastAsia="en-GB"/>
        </w:rPr>
        <w:t xml:space="preserve"> been formally recognised as unfit to occupy </w:t>
      </w:r>
      <w:r w:rsidR="00C94C9D">
        <w:rPr>
          <w:noProof/>
          <w:szCs w:val="24"/>
          <w:lang w:eastAsia="en-GB"/>
        </w:rPr>
        <w:t>their</w:t>
      </w:r>
      <w:r w:rsidR="00C94C9D" w:rsidRPr="00AE571C">
        <w:rPr>
          <w:noProof/>
          <w:szCs w:val="24"/>
          <w:lang w:eastAsia="en-GB"/>
        </w:rPr>
        <w:t xml:space="preserve"> post because of the onset of a disability, without requiring the employer first to take appropriate </w:t>
      </w:r>
      <w:r w:rsidR="00DD3086">
        <w:rPr>
          <w:noProof/>
          <w:szCs w:val="24"/>
          <w:lang w:eastAsia="en-GB"/>
        </w:rPr>
        <w:t xml:space="preserve">reasonable accomodation </w:t>
      </w:r>
      <w:r w:rsidR="00C94C9D" w:rsidRPr="00AE571C">
        <w:rPr>
          <w:noProof/>
          <w:szCs w:val="24"/>
          <w:lang w:eastAsia="en-GB"/>
        </w:rPr>
        <w:t>measures or to maintain the appropriate measures already taken</w:t>
      </w:r>
      <w:r w:rsidR="00C94C9D">
        <w:rPr>
          <w:noProof/>
          <w:szCs w:val="24"/>
          <w:lang w:eastAsia="en-GB"/>
        </w:rPr>
        <w:t>.</w:t>
      </w:r>
      <w:r w:rsidRPr="00193A9A">
        <w:rPr>
          <w:noProof/>
          <w:szCs w:val="24"/>
          <w:lang w:eastAsia="en-GB"/>
        </w:rPr>
        <w:t xml:space="preserve"> The Court held that the fact that the worker concerned </w:t>
      </w:r>
      <w:r w:rsidR="003B63A9">
        <w:rPr>
          <w:noProof/>
          <w:szCs w:val="24"/>
          <w:lang w:eastAsia="en-GB"/>
        </w:rPr>
        <w:t xml:space="preserve">had </w:t>
      </w:r>
      <w:r w:rsidRPr="00193A9A">
        <w:rPr>
          <w:noProof/>
          <w:szCs w:val="24"/>
          <w:lang w:eastAsia="en-GB"/>
        </w:rPr>
        <w:t>sought recognition of that total permanent incapacity</w:t>
      </w:r>
      <w:r w:rsidR="003B63A9" w:rsidRPr="003B63A9">
        <w:rPr>
          <w:noProof/>
          <w:szCs w:val="24"/>
          <w:lang w:eastAsia="en-GB"/>
        </w:rPr>
        <w:t xml:space="preserve"> </w:t>
      </w:r>
      <w:r w:rsidR="003B63A9">
        <w:rPr>
          <w:noProof/>
          <w:szCs w:val="24"/>
          <w:lang w:eastAsia="en-GB"/>
        </w:rPr>
        <w:t>did</w:t>
      </w:r>
      <w:r w:rsidR="003B63A9" w:rsidRPr="00193A9A">
        <w:rPr>
          <w:noProof/>
          <w:szCs w:val="24"/>
          <w:lang w:eastAsia="en-GB"/>
        </w:rPr>
        <w:t xml:space="preserve"> not mean that that worker consented to the termination of their contract</w:t>
      </w:r>
      <w:r w:rsidR="003B63A9">
        <w:rPr>
          <w:noProof/>
          <w:szCs w:val="24"/>
          <w:lang w:eastAsia="en-GB"/>
        </w:rPr>
        <w:t>, even though the worker had been</w:t>
      </w:r>
      <w:r w:rsidRPr="00193A9A">
        <w:rPr>
          <w:noProof/>
          <w:szCs w:val="24"/>
          <w:lang w:eastAsia="en-GB"/>
        </w:rPr>
        <w:t xml:space="preserve"> aware that national legislation allowed the employer to terminate the contract of employment following such recognition. Accordingly, </w:t>
      </w:r>
      <w:r w:rsidRPr="00193A9A">
        <w:rPr>
          <w:b/>
          <w:bCs/>
          <w:noProof/>
          <w:szCs w:val="24"/>
          <w:lang w:eastAsia="en-GB"/>
        </w:rPr>
        <w:t>such termination is to be considered a ‘dismissal’ under the Employment Equality Directive</w:t>
      </w:r>
      <w:r w:rsidRPr="00193A9A">
        <w:rPr>
          <w:noProof/>
          <w:szCs w:val="24"/>
          <w:lang w:eastAsia="en-GB"/>
        </w:rPr>
        <w:t>.</w:t>
      </w:r>
    </w:p>
    <w:p w14:paraId="3611A5DB" w14:textId="56AAEDC8" w:rsidR="000B4845" w:rsidRPr="00193A9A" w:rsidRDefault="000B4845" w:rsidP="000B4845">
      <w:pPr>
        <w:ind w:left="482" w:right="-28"/>
        <w:rPr>
          <w:noProof/>
          <w:szCs w:val="24"/>
          <w:highlight w:val="yellow"/>
          <w:lang w:eastAsia="en-GB"/>
        </w:rPr>
      </w:pPr>
      <w:r w:rsidRPr="00193A9A">
        <w:rPr>
          <w:noProof/>
          <w:szCs w:val="24"/>
          <w:shd w:val="clear" w:color="auto" w:fill="FFFFFF"/>
          <w:lang w:eastAsia="en-GB"/>
        </w:rPr>
        <w:t>Another important ruling</w:t>
      </w:r>
      <w:r w:rsidR="00FD2C33" w:rsidRPr="00193A9A">
        <w:rPr>
          <w:noProof/>
          <w:szCs w:val="24"/>
          <w:shd w:val="clear" w:color="auto" w:fill="FFFFFF"/>
          <w:lang w:eastAsia="en-GB"/>
        </w:rPr>
        <w:t>,</w:t>
      </w:r>
      <w:r w:rsidRPr="00193A9A">
        <w:rPr>
          <w:i/>
          <w:iCs/>
          <w:noProof/>
          <w:szCs w:val="24"/>
          <w:lang w:eastAsia="en-GB"/>
        </w:rPr>
        <w:t xml:space="preserve"> </w:t>
      </w:r>
      <w:r w:rsidR="009A3DFA" w:rsidRPr="00193A9A">
        <w:rPr>
          <w:noProof/>
          <w:szCs w:val="24"/>
          <w:lang w:eastAsia="en-GB"/>
        </w:rPr>
        <w:t xml:space="preserve">the </w:t>
      </w:r>
      <w:r w:rsidRPr="00193A9A">
        <w:rPr>
          <w:i/>
          <w:iCs/>
          <w:noProof/>
          <w:szCs w:val="24"/>
          <w:lang w:eastAsia="en-GB"/>
        </w:rPr>
        <w:t>HR Rail</w:t>
      </w:r>
      <w:r w:rsidR="009A3DFA" w:rsidRPr="00193A9A">
        <w:rPr>
          <w:noProof/>
          <w:szCs w:val="24"/>
          <w:lang w:eastAsia="en-GB"/>
        </w:rPr>
        <w:t xml:space="preserve"> case</w:t>
      </w:r>
      <w:r w:rsidRPr="00193A9A">
        <w:rPr>
          <w:noProof/>
          <w:szCs w:val="24"/>
          <w:shd w:val="clear" w:color="auto" w:fill="FFFFFF"/>
          <w:lang w:eastAsia="en-GB"/>
        </w:rPr>
        <w:t xml:space="preserve">, concerned the dismissal of a trainee who, because of a disability, was unable to perform their duties. </w:t>
      </w:r>
      <w:r w:rsidRPr="00193A9A">
        <w:rPr>
          <w:noProof/>
          <w:szCs w:val="24"/>
          <w:lang w:eastAsia="en-GB"/>
        </w:rPr>
        <w:t xml:space="preserve">The CJEU clarified that </w:t>
      </w:r>
      <w:r w:rsidRPr="00193A9A">
        <w:rPr>
          <w:b/>
          <w:bCs/>
          <w:noProof/>
          <w:szCs w:val="24"/>
          <w:lang w:eastAsia="en-GB"/>
        </w:rPr>
        <w:t xml:space="preserve">the </w:t>
      </w:r>
      <w:r w:rsidRPr="00193A9A">
        <w:rPr>
          <w:b/>
          <w:bCs/>
          <w:iCs/>
          <w:noProof/>
          <w:szCs w:val="24"/>
          <w:lang w:eastAsia="en-GB"/>
        </w:rPr>
        <w:t>scope</w:t>
      </w:r>
      <w:r w:rsidRPr="00193A9A">
        <w:rPr>
          <w:b/>
          <w:bCs/>
          <w:i/>
          <w:noProof/>
          <w:szCs w:val="24"/>
          <w:lang w:eastAsia="en-GB"/>
        </w:rPr>
        <w:t xml:space="preserve"> </w:t>
      </w:r>
      <w:r w:rsidRPr="00193A9A">
        <w:rPr>
          <w:b/>
          <w:bCs/>
          <w:noProof/>
          <w:szCs w:val="24"/>
          <w:lang w:eastAsia="en-GB"/>
        </w:rPr>
        <w:t>of the</w:t>
      </w:r>
      <w:r w:rsidRPr="00193A9A">
        <w:rPr>
          <w:b/>
          <w:bCs/>
          <w:noProof/>
        </w:rPr>
        <w:t xml:space="preserve"> </w:t>
      </w:r>
      <w:r w:rsidRPr="00193A9A">
        <w:rPr>
          <w:b/>
          <w:bCs/>
          <w:noProof/>
          <w:szCs w:val="24"/>
          <w:lang w:eastAsia="en-GB"/>
        </w:rPr>
        <w:t>Directive covers staff members not recruited on a permanent basis, such as workers doing a traineeship</w:t>
      </w:r>
      <w:r w:rsidRPr="00193A9A">
        <w:rPr>
          <w:noProof/>
          <w:szCs w:val="24"/>
          <w:lang w:eastAsia="en-GB"/>
        </w:rPr>
        <w:t xml:space="preserve"> as part of their recruitment</w:t>
      </w:r>
      <w:r w:rsidR="00417312" w:rsidRPr="00193A9A">
        <w:rPr>
          <w:noProof/>
          <w:szCs w:val="24"/>
          <w:lang w:eastAsia="en-GB"/>
        </w:rPr>
        <w:t> (</w:t>
      </w:r>
      <w:r w:rsidR="00417312" w:rsidRPr="00193A9A">
        <w:rPr>
          <w:rStyle w:val="FootnoteReference"/>
          <w:noProof/>
          <w:szCs w:val="24"/>
          <w:lang w:eastAsia="en-GB"/>
        </w:rPr>
        <w:footnoteReference w:id="107"/>
      </w:r>
      <w:r w:rsidR="00417312" w:rsidRPr="00193A9A">
        <w:rPr>
          <w:noProof/>
          <w:szCs w:val="24"/>
          <w:lang w:eastAsia="en-GB"/>
        </w:rPr>
        <w:t>)</w:t>
      </w:r>
      <w:r w:rsidRPr="00193A9A">
        <w:rPr>
          <w:noProof/>
          <w:szCs w:val="24"/>
          <w:lang w:eastAsia="en-GB"/>
        </w:rPr>
        <w:t>.</w:t>
      </w:r>
    </w:p>
    <w:p w14:paraId="5E14A05E" w14:textId="39959849" w:rsidR="000B4845" w:rsidRPr="00193A9A" w:rsidRDefault="000B4845" w:rsidP="000B4845">
      <w:pPr>
        <w:spacing w:after="0"/>
        <w:ind w:left="482"/>
        <w:rPr>
          <w:rFonts w:eastAsia="Aptos"/>
          <w:noProof/>
          <w:szCs w:val="24"/>
        </w:rPr>
      </w:pPr>
      <w:r w:rsidRPr="00193A9A">
        <w:rPr>
          <w:noProof/>
          <w:szCs w:val="24"/>
          <w:shd w:val="clear" w:color="auto" w:fill="FFFFFF"/>
          <w:lang w:eastAsia="en-GB"/>
        </w:rPr>
        <w:t xml:space="preserve">In </w:t>
      </w:r>
      <w:r w:rsidR="009A3DFA" w:rsidRPr="00193A9A">
        <w:rPr>
          <w:noProof/>
          <w:szCs w:val="24"/>
          <w:shd w:val="clear" w:color="auto" w:fill="FFFFFF"/>
          <w:lang w:eastAsia="en-GB"/>
        </w:rPr>
        <w:t xml:space="preserve">the </w:t>
      </w:r>
      <w:r w:rsidRPr="00193A9A">
        <w:rPr>
          <w:i/>
          <w:iCs/>
          <w:noProof/>
          <w:szCs w:val="24"/>
          <w:shd w:val="clear" w:color="auto" w:fill="FFFFFF"/>
          <w:lang w:eastAsia="en-GB"/>
        </w:rPr>
        <w:t>Bervidi</w:t>
      </w:r>
      <w:r w:rsidRPr="00193A9A">
        <w:rPr>
          <w:noProof/>
          <w:szCs w:val="24"/>
          <w:shd w:val="clear" w:color="auto" w:fill="FFFFFF"/>
          <w:lang w:eastAsia="en-GB"/>
        </w:rPr>
        <w:t xml:space="preserve"> </w:t>
      </w:r>
      <w:r w:rsidR="009A3DFA" w:rsidRPr="00193A9A">
        <w:rPr>
          <w:noProof/>
          <w:szCs w:val="24"/>
          <w:shd w:val="clear" w:color="auto" w:fill="FFFFFF"/>
          <w:lang w:eastAsia="en-GB"/>
        </w:rPr>
        <w:t>case</w:t>
      </w:r>
      <w:r w:rsidR="00F3485D">
        <w:rPr>
          <w:noProof/>
          <w:szCs w:val="24"/>
          <w:shd w:val="clear" w:color="auto" w:fill="FFFFFF"/>
          <w:lang w:eastAsia="en-GB"/>
        </w:rPr>
        <w:t>,</w:t>
      </w:r>
      <w:r w:rsidR="009A3DFA" w:rsidRPr="00193A9A">
        <w:rPr>
          <w:noProof/>
          <w:szCs w:val="24"/>
          <w:shd w:val="clear" w:color="auto" w:fill="FFFFFF"/>
          <w:lang w:eastAsia="en-GB"/>
        </w:rPr>
        <w:t xml:space="preserve"> </w:t>
      </w:r>
      <w:r w:rsidRPr="00193A9A">
        <w:rPr>
          <w:noProof/>
          <w:szCs w:val="24"/>
          <w:shd w:val="clear" w:color="auto" w:fill="FFFFFF"/>
          <w:lang w:eastAsia="en-GB"/>
        </w:rPr>
        <w:t xml:space="preserve">the Court addressed the situation of a worker who asked their employer to modify their working time </w:t>
      </w:r>
      <w:r w:rsidR="00F3485D">
        <w:rPr>
          <w:b/>
          <w:bCs/>
          <w:noProof/>
          <w:szCs w:val="24"/>
          <w:shd w:val="clear" w:color="auto" w:fill="FFFFFF"/>
          <w:lang w:eastAsia="en-GB"/>
        </w:rPr>
        <w:t>so that they could</w:t>
      </w:r>
      <w:r w:rsidR="00F3485D" w:rsidRPr="00193A9A">
        <w:rPr>
          <w:b/>
          <w:bCs/>
          <w:noProof/>
          <w:szCs w:val="24"/>
          <w:shd w:val="clear" w:color="auto" w:fill="FFFFFF"/>
          <w:lang w:eastAsia="en-GB"/>
        </w:rPr>
        <w:t xml:space="preserve"> </w:t>
      </w:r>
      <w:r w:rsidRPr="00193A9A">
        <w:rPr>
          <w:b/>
          <w:bCs/>
          <w:noProof/>
          <w:szCs w:val="24"/>
          <w:shd w:val="clear" w:color="auto" w:fill="FFFFFF"/>
          <w:lang w:eastAsia="en-GB"/>
        </w:rPr>
        <w:t>care for a child with severe disabilities</w:t>
      </w:r>
      <w:r w:rsidRPr="00193A9A">
        <w:rPr>
          <w:noProof/>
          <w:szCs w:val="24"/>
          <w:shd w:val="clear" w:color="auto" w:fill="FFFFFF"/>
          <w:lang w:eastAsia="en-GB"/>
        </w:rPr>
        <w:t xml:space="preserve">. The employer only agreed to grant </w:t>
      </w:r>
      <w:r w:rsidR="00F3485D">
        <w:rPr>
          <w:noProof/>
          <w:szCs w:val="24"/>
          <w:shd w:val="clear" w:color="auto" w:fill="FFFFFF"/>
          <w:lang w:eastAsia="en-GB"/>
        </w:rPr>
        <w:t xml:space="preserve">a </w:t>
      </w:r>
      <w:r w:rsidRPr="00193A9A">
        <w:rPr>
          <w:noProof/>
          <w:szCs w:val="24"/>
          <w:shd w:val="clear" w:color="auto" w:fill="FFFFFF"/>
          <w:lang w:eastAsia="en-GB"/>
        </w:rPr>
        <w:t>provisional accommodation, noting that it was not the worker who had a disability (</w:t>
      </w:r>
      <w:r w:rsidRPr="00193A9A">
        <w:rPr>
          <w:rStyle w:val="FootnoteReference"/>
          <w:noProof/>
          <w:szCs w:val="24"/>
          <w:shd w:val="clear" w:color="auto" w:fill="FFFFFF"/>
          <w:lang w:eastAsia="en-GB"/>
        </w:rPr>
        <w:footnoteReference w:id="108"/>
      </w:r>
      <w:r w:rsidRPr="00193A9A">
        <w:rPr>
          <w:noProof/>
          <w:szCs w:val="24"/>
          <w:shd w:val="clear" w:color="auto" w:fill="FFFFFF"/>
          <w:lang w:eastAsia="en-GB"/>
        </w:rPr>
        <w:t>)</w:t>
      </w:r>
      <w:r w:rsidR="00C7786C">
        <w:rPr>
          <w:noProof/>
          <w:szCs w:val="24"/>
          <w:shd w:val="clear" w:color="auto" w:fill="FFFFFF"/>
          <w:lang w:eastAsia="en-GB"/>
        </w:rPr>
        <w:t>.</w:t>
      </w:r>
      <w:r w:rsidRPr="00193A9A">
        <w:rPr>
          <w:noProof/>
          <w:szCs w:val="24"/>
          <w:shd w:val="clear" w:color="auto" w:fill="FFFFFF"/>
          <w:lang w:eastAsia="en-GB"/>
        </w:rPr>
        <w:t xml:space="preserve"> While it </w:t>
      </w:r>
      <w:r w:rsidR="00F3485D">
        <w:rPr>
          <w:noProof/>
          <w:szCs w:val="24"/>
          <w:shd w:val="clear" w:color="auto" w:fill="FFFFFF"/>
          <w:lang w:eastAsia="en-GB"/>
        </w:rPr>
        <w:t>had</w:t>
      </w:r>
      <w:r w:rsidR="00F3485D" w:rsidRPr="00193A9A">
        <w:rPr>
          <w:noProof/>
          <w:szCs w:val="24"/>
          <w:shd w:val="clear" w:color="auto" w:fill="FFFFFF"/>
          <w:lang w:eastAsia="en-GB"/>
        </w:rPr>
        <w:t xml:space="preserve"> </w:t>
      </w:r>
      <w:r w:rsidRPr="00193A9A">
        <w:rPr>
          <w:noProof/>
          <w:szCs w:val="24"/>
          <w:shd w:val="clear" w:color="auto" w:fill="FFFFFF"/>
          <w:lang w:eastAsia="en-GB"/>
        </w:rPr>
        <w:t xml:space="preserve">already </w:t>
      </w:r>
      <w:r w:rsidR="00F3485D">
        <w:rPr>
          <w:noProof/>
          <w:szCs w:val="24"/>
          <w:shd w:val="clear" w:color="auto" w:fill="FFFFFF"/>
          <w:lang w:eastAsia="en-GB"/>
        </w:rPr>
        <w:t xml:space="preserve">been </w:t>
      </w:r>
      <w:r w:rsidRPr="00193A9A">
        <w:rPr>
          <w:noProof/>
          <w:szCs w:val="24"/>
          <w:shd w:val="clear" w:color="auto" w:fill="FFFFFF"/>
          <w:lang w:eastAsia="en-GB"/>
        </w:rPr>
        <w:t xml:space="preserve">established by previous </w:t>
      </w:r>
      <w:r w:rsidR="004A70F3">
        <w:rPr>
          <w:noProof/>
          <w:szCs w:val="24"/>
          <w:shd w:val="clear" w:color="auto" w:fill="FFFFFF"/>
          <w:lang w:eastAsia="en-GB"/>
        </w:rPr>
        <w:t>case-law</w:t>
      </w:r>
      <w:r w:rsidRPr="00193A9A">
        <w:rPr>
          <w:noProof/>
          <w:szCs w:val="24"/>
          <w:shd w:val="clear" w:color="auto" w:fill="FFFFFF"/>
          <w:lang w:eastAsia="en-GB"/>
        </w:rPr>
        <w:t xml:space="preserve"> that the Directive prohibits </w:t>
      </w:r>
      <w:r w:rsidRPr="00193A9A">
        <w:rPr>
          <w:b/>
          <w:bCs/>
          <w:noProof/>
          <w:szCs w:val="24"/>
          <w:shd w:val="clear" w:color="auto" w:fill="FFFFFF"/>
          <w:lang w:eastAsia="en-GB"/>
        </w:rPr>
        <w:t>direct</w:t>
      </w:r>
      <w:r w:rsidRPr="00193A9A">
        <w:rPr>
          <w:noProof/>
          <w:szCs w:val="24"/>
          <w:shd w:val="clear" w:color="auto" w:fill="FFFFFF"/>
          <w:lang w:eastAsia="en-GB"/>
        </w:rPr>
        <w:t xml:space="preserve"> discrimination by association (</w:t>
      </w:r>
      <w:r w:rsidRPr="00193A9A">
        <w:rPr>
          <w:rStyle w:val="FootnoteReference"/>
          <w:noProof/>
          <w:szCs w:val="24"/>
          <w:shd w:val="clear" w:color="auto" w:fill="FFFFFF"/>
          <w:lang w:eastAsia="en-GB"/>
        </w:rPr>
        <w:footnoteReference w:id="109"/>
      </w:r>
      <w:r w:rsidRPr="00193A9A">
        <w:rPr>
          <w:noProof/>
          <w:szCs w:val="24"/>
          <w:shd w:val="clear" w:color="auto" w:fill="FFFFFF"/>
          <w:lang w:eastAsia="en-GB"/>
        </w:rPr>
        <w:t>)</w:t>
      </w:r>
      <w:r w:rsidR="00F3485D">
        <w:rPr>
          <w:noProof/>
          <w:szCs w:val="24"/>
          <w:shd w:val="clear" w:color="auto" w:fill="FFFFFF"/>
          <w:lang w:eastAsia="en-GB"/>
        </w:rPr>
        <w:t>,</w:t>
      </w:r>
      <w:r w:rsidR="009A3DFA" w:rsidRPr="00193A9A">
        <w:rPr>
          <w:noProof/>
          <w:szCs w:val="24"/>
          <w:shd w:val="clear" w:color="auto" w:fill="FFFFFF"/>
          <w:lang w:eastAsia="en-GB"/>
        </w:rPr>
        <w:t xml:space="preserve"> </w:t>
      </w:r>
      <w:r w:rsidRPr="00193A9A">
        <w:rPr>
          <w:noProof/>
          <w:szCs w:val="24"/>
          <w:shd w:val="clear" w:color="auto" w:fill="FFFFFF"/>
          <w:lang w:eastAsia="en-GB"/>
        </w:rPr>
        <w:t xml:space="preserve">the Court specified </w:t>
      </w:r>
      <w:r w:rsidR="00F3485D" w:rsidRPr="00193A9A">
        <w:rPr>
          <w:noProof/>
          <w:szCs w:val="24"/>
          <w:shd w:val="clear" w:color="auto" w:fill="FFFFFF"/>
          <w:lang w:eastAsia="en-GB"/>
        </w:rPr>
        <w:t xml:space="preserve">in the </w:t>
      </w:r>
      <w:r w:rsidR="00F3485D" w:rsidRPr="00193A9A">
        <w:rPr>
          <w:i/>
          <w:iCs/>
          <w:noProof/>
          <w:szCs w:val="24"/>
          <w:shd w:val="clear" w:color="auto" w:fill="FFFFFF"/>
          <w:lang w:eastAsia="en-GB"/>
        </w:rPr>
        <w:t>Bervidi</w:t>
      </w:r>
      <w:r w:rsidR="00F3485D" w:rsidRPr="00193A9A">
        <w:rPr>
          <w:noProof/>
          <w:szCs w:val="24"/>
          <w:shd w:val="clear" w:color="auto" w:fill="FFFFFF"/>
          <w:lang w:eastAsia="en-GB"/>
        </w:rPr>
        <w:t xml:space="preserve"> case </w:t>
      </w:r>
      <w:r w:rsidRPr="00193A9A">
        <w:rPr>
          <w:noProof/>
          <w:szCs w:val="24"/>
          <w:shd w:val="clear" w:color="auto" w:fill="FFFFFF"/>
          <w:lang w:eastAsia="en-GB"/>
        </w:rPr>
        <w:t xml:space="preserve">that </w:t>
      </w:r>
      <w:r w:rsidRPr="00193A9A">
        <w:rPr>
          <w:rFonts w:eastAsia="Aptos"/>
          <w:noProof/>
          <w:szCs w:val="24"/>
        </w:rPr>
        <w:t xml:space="preserve">the prohibition of </w:t>
      </w:r>
      <w:r w:rsidRPr="00193A9A">
        <w:rPr>
          <w:rFonts w:eastAsia="Aptos"/>
          <w:b/>
          <w:bCs/>
          <w:noProof/>
          <w:szCs w:val="24"/>
        </w:rPr>
        <w:t>indirect</w:t>
      </w:r>
      <w:r w:rsidRPr="00193A9A">
        <w:rPr>
          <w:rFonts w:eastAsia="Aptos"/>
          <w:noProof/>
          <w:szCs w:val="24"/>
        </w:rPr>
        <w:t xml:space="preserve"> discrimination on the ground of disability </w:t>
      </w:r>
      <w:r w:rsidR="00943509">
        <w:rPr>
          <w:rFonts w:eastAsia="Aptos"/>
          <w:noProof/>
          <w:szCs w:val="24"/>
        </w:rPr>
        <w:t xml:space="preserve">also </w:t>
      </w:r>
      <w:r w:rsidRPr="00193A9A">
        <w:rPr>
          <w:rFonts w:eastAsia="Aptos"/>
          <w:noProof/>
          <w:szCs w:val="24"/>
        </w:rPr>
        <w:t xml:space="preserve">applies to </w:t>
      </w:r>
      <w:r w:rsidR="00943509">
        <w:rPr>
          <w:rFonts w:eastAsia="Aptos"/>
          <w:noProof/>
          <w:szCs w:val="24"/>
        </w:rPr>
        <w:t>a</w:t>
      </w:r>
      <w:r w:rsidR="00943509" w:rsidRPr="00193A9A">
        <w:rPr>
          <w:rFonts w:eastAsia="Aptos"/>
          <w:noProof/>
          <w:szCs w:val="24"/>
        </w:rPr>
        <w:t xml:space="preserve"> </w:t>
      </w:r>
      <w:r w:rsidRPr="00193A9A">
        <w:rPr>
          <w:rFonts w:eastAsia="Aptos"/>
          <w:noProof/>
          <w:szCs w:val="24"/>
        </w:rPr>
        <w:t>worker who should benefit from reasonable accommodation.</w:t>
      </w:r>
    </w:p>
    <w:p w14:paraId="6E28932A" w14:textId="77777777" w:rsidR="000B4845" w:rsidRPr="00193A9A" w:rsidRDefault="000B4845" w:rsidP="000B4845">
      <w:pPr>
        <w:spacing w:after="0"/>
        <w:rPr>
          <w:rFonts w:ascii="Aptos" w:eastAsia="Aptos" w:hAnsi="Aptos" w:cs="Aptos"/>
          <w:noProof/>
        </w:rPr>
      </w:pPr>
    </w:p>
    <w:p w14:paraId="25A29457" w14:textId="6C3EB067" w:rsidR="000B4845" w:rsidRPr="00193A9A" w:rsidRDefault="000B4845" w:rsidP="000B4845">
      <w:pPr>
        <w:pStyle w:val="Heading2"/>
        <w:rPr>
          <w:noProof/>
          <w:shd w:val="clear" w:color="auto" w:fill="FFFFFF"/>
          <w:lang w:eastAsia="en-GB"/>
        </w:rPr>
      </w:pPr>
      <w:bookmarkStart w:id="28" w:name="_Toc214348097"/>
      <w:r w:rsidRPr="00193A9A">
        <w:rPr>
          <w:noProof/>
        </w:rPr>
        <w:t>Religion and belief</w:t>
      </w:r>
      <w:bookmarkEnd w:id="28"/>
      <w:r w:rsidR="00106C3E" w:rsidRPr="00193A9A">
        <w:rPr>
          <w:noProof/>
        </w:rPr>
        <w:t xml:space="preserve"> – </w:t>
      </w:r>
      <w:r w:rsidR="002B01C7">
        <w:rPr>
          <w:noProof/>
        </w:rPr>
        <w:t>manifestation of political, philosophical or religious beliefs</w:t>
      </w:r>
      <w:r w:rsidR="002B01C7" w:rsidRPr="00193A9A">
        <w:rPr>
          <w:noProof/>
        </w:rPr>
        <w:t xml:space="preserve"> </w:t>
      </w:r>
      <w:r w:rsidR="00A5626A" w:rsidRPr="00193A9A">
        <w:rPr>
          <w:noProof/>
        </w:rPr>
        <w:t>at work</w:t>
      </w:r>
    </w:p>
    <w:p w14:paraId="69219E9A" w14:textId="14B63888" w:rsidR="000B4845" w:rsidRPr="00193A9A" w:rsidRDefault="00F179A7" w:rsidP="000B4845">
      <w:pPr>
        <w:ind w:left="482" w:right="-28"/>
        <w:rPr>
          <w:noProof/>
          <w:szCs w:val="24"/>
        </w:rPr>
      </w:pPr>
      <w:r>
        <w:rPr>
          <w:noProof/>
          <w:szCs w:val="24"/>
          <w:lang w:eastAsia="en-GB"/>
        </w:rPr>
        <w:t>With</w:t>
      </w:r>
      <w:r w:rsidRPr="00193A9A">
        <w:rPr>
          <w:noProof/>
          <w:szCs w:val="24"/>
          <w:lang w:eastAsia="en-GB"/>
        </w:rPr>
        <w:t xml:space="preserve"> </w:t>
      </w:r>
      <w:r w:rsidR="000B4845" w:rsidRPr="00193A9A">
        <w:rPr>
          <w:noProof/>
          <w:szCs w:val="24"/>
          <w:lang w:eastAsia="en-GB"/>
        </w:rPr>
        <w:t xml:space="preserve">the release of </w:t>
      </w:r>
      <w:r w:rsidR="009A3DFA" w:rsidRPr="00193A9A">
        <w:rPr>
          <w:noProof/>
          <w:szCs w:val="24"/>
          <w:lang w:eastAsia="en-GB"/>
        </w:rPr>
        <w:t xml:space="preserve">the rulings in the </w:t>
      </w:r>
      <w:r w:rsidR="000B4845" w:rsidRPr="00193A9A">
        <w:rPr>
          <w:i/>
          <w:iCs/>
          <w:noProof/>
          <w:szCs w:val="24"/>
          <w:lang w:eastAsia="en-GB"/>
        </w:rPr>
        <w:t>Achbita</w:t>
      </w:r>
      <w:r w:rsidR="000B4845" w:rsidRPr="00193A9A">
        <w:rPr>
          <w:iCs/>
          <w:noProof/>
          <w:szCs w:val="24"/>
          <w:lang w:eastAsia="en-GB"/>
        </w:rPr>
        <w:t> (</w:t>
      </w:r>
      <w:r w:rsidR="000B4845" w:rsidRPr="00193A9A">
        <w:rPr>
          <w:noProof/>
          <w:szCs w:val="24"/>
          <w:vertAlign w:val="superscript"/>
          <w:lang w:eastAsia="en-GB"/>
        </w:rPr>
        <w:footnoteReference w:id="110"/>
      </w:r>
      <w:r w:rsidR="000B4845" w:rsidRPr="00193A9A">
        <w:rPr>
          <w:iCs/>
          <w:noProof/>
          <w:szCs w:val="24"/>
          <w:lang w:eastAsia="en-GB"/>
        </w:rPr>
        <w:t>)</w:t>
      </w:r>
      <w:r w:rsidR="000B4845" w:rsidRPr="00193A9A">
        <w:rPr>
          <w:noProof/>
          <w:szCs w:val="24"/>
          <w:lang w:eastAsia="en-GB"/>
        </w:rPr>
        <w:t xml:space="preserve"> and </w:t>
      </w:r>
      <w:r w:rsidR="000B4845" w:rsidRPr="00193A9A">
        <w:rPr>
          <w:i/>
          <w:iCs/>
          <w:noProof/>
          <w:szCs w:val="24"/>
          <w:lang w:eastAsia="en-GB"/>
        </w:rPr>
        <w:t>Bougnaoui</w:t>
      </w:r>
      <w:r w:rsidR="000B4845" w:rsidRPr="00193A9A">
        <w:rPr>
          <w:iCs/>
          <w:noProof/>
          <w:szCs w:val="24"/>
          <w:lang w:eastAsia="en-GB"/>
        </w:rPr>
        <w:t> </w:t>
      </w:r>
      <w:r w:rsidR="00045579" w:rsidRPr="00B9492A">
        <w:rPr>
          <w:i/>
          <w:noProof/>
          <w:szCs w:val="24"/>
          <w:lang w:eastAsia="en-GB"/>
        </w:rPr>
        <w:t>and ADDH</w:t>
      </w:r>
      <w:r w:rsidR="00045579" w:rsidRPr="00B9492A">
        <w:rPr>
          <w:iCs/>
          <w:noProof/>
          <w:szCs w:val="24"/>
          <w:lang w:eastAsia="en-GB"/>
        </w:rPr>
        <w:t xml:space="preserve"> </w:t>
      </w:r>
      <w:r w:rsidR="000B4845" w:rsidRPr="00193A9A">
        <w:rPr>
          <w:iCs/>
          <w:noProof/>
          <w:szCs w:val="24"/>
          <w:lang w:eastAsia="en-GB"/>
        </w:rPr>
        <w:t>(</w:t>
      </w:r>
      <w:r w:rsidR="000B4845" w:rsidRPr="00193A9A">
        <w:rPr>
          <w:noProof/>
          <w:szCs w:val="24"/>
          <w:vertAlign w:val="superscript"/>
          <w:lang w:eastAsia="en-GB"/>
        </w:rPr>
        <w:footnoteReference w:id="111"/>
      </w:r>
      <w:r w:rsidR="000B4845" w:rsidRPr="00193A9A">
        <w:rPr>
          <w:iCs/>
          <w:noProof/>
          <w:szCs w:val="24"/>
          <w:lang w:eastAsia="en-GB"/>
        </w:rPr>
        <w:t>)</w:t>
      </w:r>
      <w:r>
        <w:rPr>
          <w:iCs/>
          <w:noProof/>
          <w:szCs w:val="24"/>
          <w:lang w:eastAsia="en-GB"/>
        </w:rPr>
        <w:t xml:space="preserve"> cases,</w:t>
      </w:r>
      <w:r w:rsidR="000B4845" w:rsidRPr="00193A9A">
        <w:rPr>
          <w:noProof/>
          <w:szCs w:val="24"/>
          <w:lang w:eastAsia="en-GB"/>
        </w:rPr>
        <w:t xml:space="preserve"> concerning wearing of headscarves at work, the CJEU further expanded its </w:t>
      </w:r>
      <w:r w:rsidR="004A70F3">
        <w:rPr>
          <w:noProof/>
          <w:szCs w:val="24"/>
          <w:lang w:eastAsia="en-GB"/>
        </w:rPr>
        <w:t>case-law</w:t>
      </w:r>
      <w:r w:rsidR="000B4845" w:rsidRPr="00193A9A">
        <w:rPr>
          <w:noProof/>
          <w:szCs w:val="24"/>
          <w:lang w:eastAsia="en-GB"/>
        </w:rPr>
        <w:t xml:space="preserve"> on the </w:t>
      </w:r>
      <w:bookmarkStart w:id="29" w:name="_Hlk215135045"/>
      <w:r w:rsidR="000B4845" w:rsidRPr="00193A9A">
        <w:rPr>
          <w:noProof/>
          <w:szCs w:val="24"/>
          <w:lang w:eastAsia="en-GB"/>
        </w:rPr>
        <w:t xml:space="preserve">wearing </w:t>
      </w:r>
      <w:r>
        <w:rPr>
          <w:noProof/>
          <w:szCs w:val="24"/>
          <w:lang w:eastAsia="en-GB"/>
        </w:rPr>
        <w:t xml:space="preserve">of </w:t>
      </w:r>
      <w:r w:rsidR="000B4845" w:rsidRPr="00193A9A">
        <w:rPr>
          <w:noProof/>
          <w:szCs w:val="24"/>
          <w:lang w:eastAsia="en-GB"/>
        </w:rPr>
        <w:t xml:space="preserve">political, philosophical or religious signs </w:t>
      </w:r>
      <w:r>
        <w:rPr>
          <w:noProof/>
          <w:szCs w:val="24"/>
          <w:lang w:eastAsia="en-GB"/>
        </w:rPr>
        <w:t>in</w:t>
      </w:r>
      <w:r w:rsidRPr="00193A9A">
        <w:rPr>
          <w:noProof/>
          <w:szCs w:val="24"/>
          <w:lang w:eastAsia="en-GB"/>
        </w:rPr>
        <w:t xml:space="preserve"> </w:t>
      </w:r>
      <w:r w:rsidR="000B4845" w:rsidRPr="00193A9A">
        <w:rPr>
          <w:noProof/>
          <w:szCs w:val="24"/>
          <w:lang w:eastAsia="en-GB"/>
        </w:rPr>
        <w:t>the workplace</w:t>
      </w:r>
      <w:bookmarkEnd w:id="29"/>
      <w:r w:rsidR="000B4845" w:rsidRPr="00193A9A">
        <w:rPr>
          <w:noProof/>
          <w:szCs w:val="24"/>
        </w:rPr>
        <w:t>. It continues to recognise the right of employers to have neutrality rules prohibiting the wearing of all signs of religious, philosophical and political beliefs in the workplace, as long as certain conditions are met.</w:t>
      </w:r>
    </w:p>
    <w:p w14:paraId="49CE6159" w14:textId="6B3EDB87" w:rsidR="000B4845" w:rsidRPr="00193A9A" w:rsidRDefault="00F179A7" w:rsidP="000B4845">
      <w:pPr>
        <w:ind w:left="482" w:right="-28"/>
        <w:rPr>
          <w:noProof/>
        </w:rPr>
      </w:pPr>
      <w:r>
        <w:rPr>
          <w:noProof/>
        </w:rPr>
        <w:t>The r</w:t>
      </w:r>
      <w:r w:rsidR="000B4845" w:rsidRPr="00193A9A">
        <w:rPr>
          <w:noProof/>
        </w:rPr>
        <w:t xml:space="preserve">ulings </w:t>
      </w:r>
      <w:r>
        <w:rPr>
          <w:noProof/>
        </w:rPr>
        <w:t>set out</w:t>
      </w:r>
      <w:r w:rsidRPr="00193A9A">
        <w:rPr>
          <w:noProof/>
        </w:rPr>
        <w:t xml:space="preserve"> </w:t>
      </w:r>
      <w:r w:rsidR="000B4845" w:rsidRPr="00193A9A">
        <w:rPr>
          <w:noProof/>
        </w:rPr>
        <w:t xml:space="preserve">below clarified that the </w:t>
      </w:r>
      <w:r w:rsidR="000B4845" w:rsidRPr="00193A9A">
        <w:rPr>
          <w:b/>
          <w:noProof/>
        </w:rPr>
        <w:t>ground of ‘religion or belief’</w:t>
      </w:r>
      <w:r w:rsidR="000B4845" w:rsidRPr="00193A9A">
        <w:rPr>
          <w:noProof/>
        </w:rPr>
        <w:t xml:space="preserve"> </w:t>
      </w:r>
      <w:r>
        <w:rPr>
          <w:noProof/>
        </w:rPr>
        <w:t xml:space="preserve">is </w:t>
      </w:r>
      <w:r w:rsidR="000B4845" w:rsidRPr="00193A9A">
        <w:rPr>
          <w:noProof/>
        </w:rPr>
        <w:t xml:space="preserve">strictly </w:t>
      </w:r>
      <w:r>
        <w:rPr>
          <w:noProof/>
        </w:rPr>
        <w:t>limited to</w:t>
      </w:r>
      <w:r w:rsidRPr="00193A9A">
        <w:rPr>
          <w:noProof/>
        </w:rPr>
        <w:t xml:space="preserve"> </w:t>
      </w:r>
      <w:r w:rsidR="000B4845" w:rsidRPr="00193A9A">
        <w:rPr>
          <w:noProof/>
        </w:rPr>
        <w:t xml:space="preserve">religious, philosophical or spiritual beliefs, </w:t>
      </w:r>
      <w:r>
        <w:rPr>
          <w:noProof/>
        </w:rPr>
        <w:t xml:space="preserve">thus </w:t>
      </w:r>
      <w:r w:rsidR="000B4845" w:rsidRPr="00193A9A">
        <w:rPr>
          <w:noProof/>
        </w:rPr>
        <w:t xml:space="preserve">distinguishing it from the notion of </w:t>
      </w:r>
      <w:r w:rsidR="000B4845" w:rsidRPr="00193A9A">
        <w:rPr>
          <w:i/>
          <w:noProof/>
        </w:rPr>
        <w:t>political or any other opinion</w:t>
      </w:r>
      <w:r w:rsidR="000B4845" w:rsidRPr="00193A9A">
        <w:rPr>
          <w:noProof/>
        </w:rPr>
        <w:t xml:space="preserve"> (</w:t>
      </w:r>
      <w:r w:rsidR="000B4845" w:rsidRPr="00193A9A">
        <w:rPr>
          <w:i/>
          <w:noProof/>
        </w:rPr>
        <w:t>WABE</w:t>
      </w:r>
      <w:r w:rsidR="00417312" w:rsidRPr="00193A9A">
        <w:rPr>
          <w:i/>
          <w:noProof/>
        </w:rPr>
        <w:t> </w:t>
      </w:r>
      <w:r w:rsidR="009A3DFA" w:rsidRPr="00193A9A">
        <w:rPr>
          <w:iCs/>
          <w:noProof/>
        </w:rPr>
        <w:t>case</w:t>
      </w:r>
      <w:r>
        <w:rPr>
          <w:noProof/>
        </w:rPr>
        <w:t> </w:t>
      </w:r>
      <w:r w:rsidR="00417312" w:rsidRPr="00193A9A">
        <w:rPr>
          <w:noProof/>
        </w:rPr>
        <w:t>(</w:t>
      </w:r>
      <w:r w:rsidR="00417312" w:rsidRPr="00193A9A">
        <w:rPr>
          <w:rStyle w:val="FootnoteReference"/>
          <w:noProof/>
        </w:rPr>
        <w:footnoteReference w:id="112"/>
      </w:r>
      <w:r w:rsidR="00417312" w:rsidRPr="00193A9A">
        <w:rPr>
          <w:noProof/>
        </w:rPr>
        <w:t>)</w:t>
      </w:r>
      <w:r w:rsidR="000B4845" w:rsidRPr="00193A9A">
        <w:rPr>
          <w:noProof/>
        </w:rPr>
        <w:t>)</w:t>
      </w:r>
      <w:r>
        <w:rPr>
          <w:noProof/>
        </w:rPr>
        <w:t>.</w:t>
      </w:r>
      <w:r w:rsidR="000B4845" w:rsidRPr="00193A9A">
        <w:rPr>
          <w:noProof/>
        </w:rPr>
        <w:t xml:space="preserve"> </w:t>
      </w:r>
      <w:r>
        <w:rPr>
          <w:noProof/>
        </w:rPr>
        <w:t>They also clarified</w:t>
      </w:r>
      <w:r w:rsidR="000B4845" w:rsidRPr="00193A9A">
        <w:rPr>
          <w:noProof/>
        </w:rPr>
        <w:t xml:space="preserve"> that </w:t>
      </w:r>
      <w:r>
        <w:rPr>
          <w:noProof/>
        </w:rPr>
        <w:t>it</w:t>
      </w:r>
      <w:r w:rsidR="000B4845" w:rsidRPr="00193A9A">
        <w:rPr>
          <w:noProof/>
        </w:rPr>
        <w:t xml:space="preserve"> does not include political or trade union belief</w:t>
      </w:r>
      <w:r w:rsidR="00460EFB">
        <w:rPr>
          <w:noProof/>
        </w:rPr>
        <w:t>s</w:t>
      </w:r>
      <w:r w:rsidR="000B4845" w:rsidRPr="00193A9A">
        <w:rPr>
          <w:noProof/>
        </w:rPr>
        <w:t xml:space="preserve">, nor </w:t>
      </w:r>
      <w:r w:rsidR="00E42483">
        <w:rPr>
          <w:noProof/>
        </w:rPr>
        <w:t xml:space="preserve">does it include </w:t>
      </w:r>
      <w:r w:rsidR="000B4845" w:rsidRPr="00193A9A">
        <w:rPr>
          <w:noProof/>
        </w:rPr>
        <w:t>artistic, sporting, aesthetic or other beliefs or preferences (</w:t>
      </w:r>
      <w:r w:rsidR="000B4845" w:rsidRPr="00193A9A">
        <w:rPr>
          <w:i/>
          <w:noProof/>
        </w:rPr>
        <w:t>S</w:t>
      </w:r>
      <w:r w:rsidR="00045579">
        <w:rPr>
          <w:i/>
          <w:noProof/>
        </w:rPr>
        <w:t>.</w:t>
      </w:r>
      <w:r w:rsidR="000B4845" w:rsidRPr="00193A9A">
        <w:rPr>
          <w:i/>
          <w:noProof/>
        </w:rPr>
        <w:t>C</w:t>
      </w:r>
      <w:r w:rsidR="00045579">
        <w:rPr>
          <w:i/>
          <w:noProof/>
        </w:rPr>
        <w:t>.</w:t>
      </w:r>
      <w:r w:rsidR="000B4845" w:rsidRPr="00193A9A">
        <w:rPr>
          <w:i/>
          <w:noProof/>
        </w:rPr>
        <w:t>R</w:t>
      </w:r>
      <w:r w:rsidR="00045579">
        <w:rPr>
          <w:i/>
          <w:noProof/>
        </w:rPr>
        <w:t>.</w:t>
      </w:r>
      <w:r w:rsidR="000B4845" w:rsidRPr="00193A9A">
        <w:rPr>
          <w:i/>
          <w:noProof/>
        </w:rPr>
        <w:t>L</w:t>
      </w:r>
      <w:r>
        <w:rPr>
          <w:i/>
          <w:noProof/>
        </w:rPr>
        <w:t xml:space="preserve"> </w:t>
      </w:r>
      <w:r w:rsidR="009A3DFA" w:rsidRPr="00193A9A">
        <w:rPr>
          <w:iCs/>
          <w:noProof/>
        </w:rPr>
        <w:t>case</w:t>
      </w:r>
      <w:r>
        <w:rPr>
          <w:iCs/>
          <w:noProof/>
        </w:rPr>
        <w:t> </w:t>
      </w:r>
      <w:r w:rsidR="00417312" w:rsidRPr="00193A9A">
        <w:rPr>
          <w:noProof/>
        </w:rPr>
        <w:t>(</w:t>
      </w:r>
      <w:r w:rsidR="00417312" w:rsidRPr="00193A9A">
        <w:rPr>
          <w:rStyle w:val="FootnoteReference"/>
          <w:noProof/>
        </w:rPr>
        <w:footnoteReference w:id="113"/>
      </w:r>
      <w:r w:rsidR="00417312" w:rsidRPr="00193A9A">
        <w:rPr>
          <w:noProof/>
        </w:rPr>
        <w:t>)</w:t>
      </w:r>
      <w:r w:rsidR="000B4845" w:rsidRPr="00193A9A">
        <w:rPr>
          <w:noProof/>
        </w:rPr>
        <w:t>).</w:t>
      </w:r>
    </w:p>
    <w:p w14:paraId="0D796049" w14:textId="6FBC2C53" w:rsidR="000B4845" w:rsidRPr="00193A9A" w:rsidRDefault="000B4845" w:rsidP="000B4845">
      <w:pPr>
        <w:ind w:left="482" w:right="-28"/>
        <w:rPr>
          <w:noProof/>
          <w:lang w:eastAsia="en-GB"/>
        </w:rPr>
      </w:pPr>
      <w:r w:rsidRPr="00193A9A">
        <w:rPr>
          <w:noProof/>
          <w:lang w:eastAsia="en-GB"/>
        </w:rPr>
        <w:t xml:space="preserve">In </w:t>
      </w:r>
      <w:r w:rsidR="009A3DFA" w:rsidRPr="00193A9A">
        <w:rPr>
          <w:noProof/>
          <w:lang w:eastAsia="en-GB"/>
        </w:rPr>
        <w:t xml:space="preserve">the </w:t>
      </w:r>
      <w:r w:rsidRPr="00193A9A">
        <w:rPr>
          <w:i/>
          <w:noProof/>
          <w:lang w:eastAsia="en-GB"/>
        </w:rPr>
        <w:t>WABE</w:t>
      </w:r>
      <w:r w:rsidR="009A3DFA" w:rsidRPr="00193A9A">
        <w:rPr>
          <w:i/>
          <w:noProof/>
          <w:lang w:eastAsia="en-GB"/>
        </w:rPr>
        <w:t xml:space="preserve"> </w:t>
      </w:r>
      <w:r w:rsidR="009A3DFA" w:rsidRPr="00193A9A">
        <w:rPr>
          <w:iCs/>
          <w:noProof/>
          <w:lang w:eastAsia="en-GB"/>
        </w:rPr>
        <w:t>case</w:t>
      </w:r>
      <w:r w:rsidRPr="00193A9A">
        <w:rPr>
          <w:noProof/>
          <w:lang w:eastAsia="en-GB"/>
        </w:rPr>
        <w:t>, the Court clarified that a prohibition on wearing any visible form of expression of political, philosophical or religious beliefs in the workplace may be justified by the genuine need of the employer to present a neutral image towards customers or to prevent social disputes. It must</w:t>
      </w:r>
      <w:r w:rsidR="00CD457E">
        <w:rPr>
          <w:noProof/>
          <w:lang w:eastAsia="en-GB"/>
        </w:rPr>
        <w:t>,</w:t>
      </w:r>
      <w:r w:rsidRPr="00193A9A">
        <w:rPr>
          <w:noProof/>
          <w:lang w:eastAsia="en-GB"/>
        </w:rPr>
        <w:t xml:space="preserve"> however</w:t>
      </w:r>
      <w:r w:rsidR="00CD457E">
        <w:rPr>
          <w:noProof/>
          <w:lang w:eastAsia="en-GB"/>
        </w:rPr>
        <w:t>,</w:t>
      </w:r>
      <w:r w:rsidRPr="00193A9A">
        <w:rPr>
          <w:noProof/>
          <w:lang w:eastAsia="en-GB"/>
        </w:rPr>
        <w:t xml:space="preserve"> be applied in a general and undifferentiated way</w:t>
      </w:r>
      <w:r w:rsidRPr="00193A9A">
        <w:rPr>
          <w:noProof/>
        </w:rPr>
        <w:t xml:space="preserve"> </w:t>
      </w:r>
      <w:r w:rsidRPr="00193A9A">
        <w:rPr>
          <w:noProof/>
          <w:lang w:eastAsia="en-GB"/>
        </w:rPr>
        <w:t>and be limited to what is strictly necessary. The Court recalled that the specific context of each Member State is important</w:t>
      </w:r>
      <w:r w:rsidR="00CD457E">
        <w:rPr>
          <w:noProof/>
          <w:lang w:eastAsia="en-GB"/>
        </w:rPr>
        <w:t>,</w:t>
      </w:r>
      <w:r w:rsidRPr="00193A9A">
        <w:rPr>
          <w:noProof/>
          <w:lang w:eastAsia="en-GB"/>
        </w:rPr>
        <w:t xml:space="preserve"> as they have </w:t>
      </w:r>
      <w:r w:rsidR="00460EFB">
        <w:rPr>
          <w:noProof/>
          <w:lang w:eastAsia="en-GB"/>
        </w:rPr>
        <w:t>‘</w:t>
      </w:r>
      <w:r w:rsidRPr="0083138F">
        <w:rPr>
          <w:iCs/>
          <w:noProof/>
          <w:lang w:eastAsia="en-GB"/>
        </w:rPr>
        <w:t>a margin of discretion in achieving the necessary reconciliation of the different rights and interests at issue, in order to ensure a fair balance</w:t>
      </w:r>
      <w:r w:rsidR="00460EFB">
        <w:rPr>
          <w:iCs/>
          <w:noProof/>
          <w:lang w:eastAsia="en-GB"/>
        </w:rPr>
        <w:t>’</w:t>
      </w:r>
      <w:r w:rsidRPr="00193A9A">
        <w:rPr>
          <w:noProof/>
          <w:lang w:eastAsia="en-GB"/>
        </w:rPr>
        <w:t>.</w:t>
      </w:r>
    </w:p>
    <w:p w14:paraId="046F98E7" w14:textId="6578C513" w:rsidR="000B4845" w:rsidRPr="00193A9A" w:rsidRDefault="000B4845" w:rsidP="000B4845">
      <w:pPr>
        <w:ind w:left="482"/>
        <w:rPr>
          <w:noProof/>
          <w:szCs w:val="24"/>
          <w:lang w:eastAsia="en-GB"/>
        </w:rPr>
      </w:pPr>
      <w:r w:rsidRPr="00193A9A">
        <w:rPr>
          <w:noProof/>
          <w:szCs w:val="24"/>
          <w:lang w:eastAsia="en-GB"/>
        </w:rPr>
        <w:t xml:space="preserve">The same line was followed in </w:t>
      </w:r>
      <w:r w:rsidR="009A3DFA" w:rsidRPr="00193A9A">
        <w:rPr>
          <w:noProof/>
          <w:szCs w:val="24"/>
          <w:lang w:eastAsia="en-GB"/>
        </w:rPr>
        <w:t xml:space="preserve">the </w:t>
      </w:r>
      <w:r w:rsidRPr="00193A9A">
        <w:rPr>
          <w:i/>
          <w:noProof/>
          <w:szCs w:val="24"/>
          <w:lang w:eastAsia="en-GB"/>
        </w:rPr>
        <w:t>S</w:t>
      </w:r>
      <w:r w:rsidR="00045579">
        <w:rPr>
          <w:i/>
          <w:noProof/>
          <w:szCs w:val="24"/>
          <w:lang w:eastAsia="en-GB"/>
        </w:rPr>
        <w:t>.</w:t>
      </w:r>
      <w:r w:rsidRPr="00193A9A">
        <w:rPr>
          <w:i/>
          <w:noProof/>
          <w:szCs w:val="24"/>
          <w:lang w:eastAsia="en-GB"/>
        </w:rPr>
        <w:t>C</w:t>
      </w:r>
      <w:r w:rsidR="00045579">
        <w:rPr>
          <w:i/>
          <w:noProof/>
          <w:szCs w:val="24"/>
          <w:lang w:eastAsia="en-GB"/>
        </w:rPr>
        <w:t>.</w:t>
      </w:r>
      <w:r w:rsidRPr="00193A9A">
        <w:rPr>
          <w:i/>
          <w:noProof/>
          <w:szCs w:val="24"/>
          <w:lang w:eastAsia="en-GB"/>
        </w:rPr>
        <w:t>R</w:t>
      </w:r>
      <w:r w:rsidR="00045579">
        <w:rPr>
          <w:i/>
          <w:noProof/>
          <w:szCs w:val="24"/>
          <w:lang w:eastAsia="en-GB"/>
        </w:rPr>
        <w:t>.</w:t>
      </w:r>
      <w:r w:rsidRPr="00193A9A">
        <w:rPr>
          <w:i/>
          <w:noProof/>
          <w:szCs w:val="24"/>
          <w:lang w:eastAsia="en-GB"/>
        </w:rPr>
        <w:t>L</w:t>
      </w:r>
      <w:r w:rsidR="009A3DFA" w:rsidRPr="00193A9A">
        <w:rPr>
          <w:iCs/>
          <w:noProof/>
          <w:szCs w:val="24"/>
          <w:lang w:eastAsia="en-GB"/>
        </w:rPr>
        <w:t xml:space="preserve"> case</w:t>
      </w:r>
      <w:r w:rsidRPr="00193A9A">
        <w:rPr>
          <w:noProof/>
          <w:szCs w:val="24"/>
          <w:lang w:eastAsia="en-GB"/>
        </w:rPr>
        <w:t>, where the CJEU also held that an undertaking</w:t>
      </w:r>
      <w:r w:rsidR="00257928">
        <w:rPr>
          <w:noProof/>
          <w:szCs w:val="24"/>
          <w:lang w:eastAsia="en-GB"/>
        </w:rPr>
        <w:t>’s internal rule</w:t>
      </w:r>
      <w:r w:rsidRPr="00193A9A">
        <w:rPr>
          <w:noProof/>
          <w:szCs w:val="24"/>
          <w:lang w:eastAsia="en-GB"/>
        </w:rPr>
        <w:t xml:space="preserve"> prohibiting the </w:t>
      </w:r>
      <w:r w:rsidR="00C94C9D" w:rsidRPr="00CA4402">
        <w:rPr>
          <w:noProof/>
          <w:szCs w:val="24"/>
          <w:lang w:eastAsia="en-GB"/>
        </w:rPr>
        <w:t xml:space="preserve">wearing of any visible sign of political, philosophical or religious belief in the workplace does not constitute direct discrimination ‘on the [ground] of religion or belief’ provided that it covers any manifestation of such beliefs without distinction and treats all workers of the undertaking in the same way by requiring them, in a general and undifferentiated way, </w:t>
      </w:r>
      <w:r w:rsidR="00BE7A18">
        <w:rPr>
          <w:noProof/>
          <w:szCs w:val="24"/>
          <w:lang w:eastAsia="en-GB"/>
        </w:rPr>
        <w:t>for example</w:t>
      </w:r>
      <w:r w:rsidR="00C94C9D" w:rsidRPr="00CA4402">
        <w:rPr>
          <w:noProof/>
          <w:szCs w:val="24"/>
          <w:lang w:eastAsia="en-GB"/>
        </w:rPr>
        <w:t>, to dress neutrally, which precludes the wearing of such signs</w:t>
      </w:r>
      <w:r w:rsidRPr="00193A9A">
        <w:rPr>
          <w:noProof/>
          <w:szCs w:val="24"/>
          <w:lang w:eastAsia="en-GB"/>
        </w:rPr>
        <w:t xml:space="preserve">. A difference in treatment would not constitute indirect discrimination if it were objectively justified by a legitimate aim and </w:t>
      </w:r>
      <w:r w:rsidR="00257928">
        <w:rPr>
          <w:noProof/>
          <w:szCs w:val="24"/>
          <w:lang w:eastAsia="en-GB"/>
        </w:rPr>
        <w:t xml:space="preserve">if </w:t>
      </w:r>
      <w:r w:rsidRPr="00193A9A">
        <w:rPr>
          <w:noProof/>
          <w:szCs w:val="24"/>
          <w:lang w:eastAsia="en-GB"/>
        </w:rPr>
        <w:t xml:space="preserve">the means of achieving that aim were appropriate and necessary. </w:t>
      </w:r>
      <w:r w:rsidRPr="00193A9A">
        <w:rPr>
          <w:b/>
          <w:bCs/>
          <w:noProof/>
          <w:szCs w:val="24"/>
          <w:lang w:eastAsia="en-GB"/>
        </w:rPr>
        <w:t>However, the mere desire of an employer to pursue a policy of neutrality – while in itself a legitimate aim – is not sufficient, as such, to justify objectively a difference in treatment indirectly based on religion or belief</w:t>
      </w:r>
      <w:r w:rsidRPr="00193A9A">
        <w:rPr>
          <w:noProof/>
          <w:szCs w:val="24"/>
          <w:lang w:eastAsia="en-GB"/>
        </w:rPr>
        <w:t>, since such a justification can be regarded as being objective only where there is a genuine need on the part of that employer, which it is for that employer to demonstrate.</w:t>
      </w:r>
    </w:p>
    <w:p w14:paraId="48499B3A" w14:textId="707B24D7" w:rsidR="000B4845" w:rsidRDefault="000B4845" w:rsidP="000B4845">
      <w:pPr>
        <w:ind w:left="482" w:right="-28"/>
        <w:rPr>
          <w:b/>
          <w:noProof/>
          <w:lang w:eastAsia="en-GB"/>
        </w:rPr>
      </w:pPr>
      <w:r w:rsidRPr="00193A9A">
        <w:rPr>
          <w:noProof/>
          <w:lang w:eastAsia="en-GB"/>
        </w:rPr>
        <w:t xml:space="preserve">The case </w:t>
      </w:r>
      <w:r w:rsidRPr="00193A9A">
        <w:rPr>
          <w:i/>
          <w:noProof/>
          <w:lang w:eastAsia="en-GB"/>
        </w:rPr>
        <w:t>Commune d’Ans</w:t>
      </w:r>
      <w:r w:rsidR="009A3DFA" w:rsidRPr="00193A9A">
        <w:rPr>
          <w:i/>
          <w:noProof/>
          <w:lang w:eastAsia="en-GB"/>
        </w:rPr>
        <w:t>,</w:t>
      </w:r>
      <w:r w:rsidRPr="00193A9A">
        <w:rPr>
          <w:noProof/>
          <w:lang w:eastAsia="en-GB"/>
        </w:rPr>
        <w:t xml:space="preserve"> was the first to address the question of religious neutrality </w:t>
      </w:r>
      <w:r w:rsidRPr="00193A9A">
        <w:rPr>
          <w:b/>
          <w:noProof/>
          <w:lang w:eastAsia="en-GB"/>
        </w:rPr>
        <w:t>in the public sector in relation to a back</w:t>
      </w:r>
      <w:r w:rsidR="00257928">
        <w:rPr>
          <w:b/>
          <w:noProof/>
          <w:lang w:eastAsia="en-GB"/>
        </w:rPr>
        <w:t>-</w:t>
      </w:r>
      <w:r w:rsidRPr="00193A9A">
        <w:rPr>
          <w:b/>
          <w:noProof/>
          <w:lang w:eastAsia="en-GB"/>
        </w:rPr>
        <w:t>office job</w:t>
      </w:r>
      <w:r w:rsidR="00417312" w:rsidRPr="00193A9A">
        <w:rPr>
          <w:b/>
          <w:noProof/>
          <w:lang w:eastAsia="en-GB"/>
        </w:rPr>
        <w:t> (</w:t>
      </w:r>
      <w:r w:rsidR="00417312" w:rsidRPr="0083138F">
        <w:rPr>
          <w:rStyle w:val="FootnoteReference"/>
          <w:noProof/>
          <w:lang w:eastAsia="en-GB"/>
        </w:rPr>
        <w:footnoteReference w:id="114"/>
      </w:r>
      <w:r w:rsidR="00417312" w:rsidRPr="00193A9A">
        <w:rPr>
          <w:b/>
          <w:noProof/>
          <w:lang w:eastAsia="en-GB"/>
        </w:rPr>
        <w:t>)</w:t>
      </w:r>
      <w:r w:rsidRPr="00193A9A">
        <w:rPr>
          <w:noProof/>
          <w:lang w:eastAsia="en-GB"/>
        </w:rPr>
        <w:t xml:space="preserve">. The Court held that a policy of strict neutrality </w:t>
      </w:r>
      <w:r w:rsidR="00257928">
        <w:rPr>
          <w:noProof/>
          <w:lang w:eastAsia="en-GB"/>
        </w:rPr>
        <w:t>imposed by</w:t>
      </w:r>
      <w:r w:rsidRPr="00193A9A">
        <w:rPr>
          <w:noProof/>
          <w:lang w:eastAsia="en-GB"/>
        </w:rPr>
        <w:t xml:space="preserve"> a public administration on its employees may indeed be regarded as being objectively justified by a legitimate aim. Such a rule is not discriminatory if it is applied in a general and indiscriminate manner to all the staff of that administration</w:t>
      </w:r>
      <w:r w:rsidR="00257928">
        <w:rPr>
          <w:noProof/>
          <w:lang w:eastAsia="en-GB"/>
        </w:rPr>
        <w:t xml:space="preserve"> and</w:t>
      </w:r>
      <w:r w:rsidRPr="00193A9A">
        <w:rPr>
          <w:noProof/>
          <w:lang w:eastAsia="en-GB"/>
        </w:rPr>
        <w:t xml:space="preserve"> is limited to what is strictly necessary</w:t>
      </w:r>
      <w:r w:rsidR="00257928">
        <w:rPr>
          <w:noProof/>
          <w:lang w:eastAsia="en-GB"/>
        </w:rPr>
        <w:t>,</w:t>
      </w:r>
      <w:r w:rsidRPr="00193A9A">
        <w:rPr>
          <w:noProof/>
          <w:lang w:eastAsia="en-GB"/>
        </w:rPr>
        <w:t xml:space="preserve"> taking into account the various rights and interests at stake. </w:t>
      </w:r>
      <w:r w:rsidRPr="00193A9A">
        <w:rPr>
          <w:b/>
          <w:noProof/>
          <w:lang w:eastAsia="en-GB"/>
        </w:rPr>
        <w:t>The fact that the rule mostly affected women was not examined</w:t>
      </w:r>
      <w:r w:rsidR="00257928">
        <w:rPr>
          <w:b/>
          <w:noProof/>
          <w:lang w:eastAsia="en-GB"/>
        </w:rPr>
        <w:t>,</w:t>
      </w:r>
      <w:r w:rsidRPr="00193A9A">
        <w:rPr>
          <w:b/>
          <w:noProof/>
          <w:lang w:eastAsia="en-GB"/>
        </w:rPr>
        <w:t xml:space="preserve"> as the Court declared the question inadmissible</w:t>
      </w:r>
      <w:r w:rsidRPr="00661A34">
        <w:rPr>
          <w:bCs/>
          <w:noProof/>
          <w:lang w:eastAsia="en-GB"/>
        </w:rPr>
        <w:t>.</w:t>
      </w:r>
    </w:p>
    <w:p w14:paraId="0F2D9513" w14:textId="75A8688E" w:rsidR="002B01C7" w:rsidRPr="00B700C2" w:rsidRDefault="002B01C7" w:rsidP="002B01C7">
      <w:pPr>
        <w:ind w:left="482" w:right="-28"/>
        <w:rPr>
          <w:noProof/>
          <w:lang w:eastAsia="en-GB"/>
        </w:rPr>
      </w:pPr>
      <w:r w:rsidRPr="00FD37C2">
        <w:rPr>
          <w:noProof/>
          <w:lang w:val="en-IE" w:eastAsia="en-GB"/>
        </w:rPr>
        <w:t xml:space="preserve">In the case </w:t>
      </w:r>
      <w:r w:rsidRPr="00FD37C2">
        <w:rPr>
          <w:i/>
          <w:iCs/>
          <w:noProof/>
          <w:lang w:val="en-IE" w:eastAsia="en-GB"/>
        </w:rPr>
        <w:t>Katholische Schwangerschaftsberatung</w:t>
      </w:r>
      <w:r w:rsidRPr="00FD37C2">
        <w:rPr>
          <w:noProof/>
          <w:lang w:val="en-IE" w:eastAsia="en-GB"/>
        </w:rPr>
        <w:t xml:space="preserve"> (</w:t>
      </w:r>
      <w:r>
        <w:rPr>
          <w:rStyle w:val="FootnoteReference"/>
          <w:noProof/>
          <w:lang w:eastAsia="en-GB"/>
        </w:rPr>
        <w:footnoteReference w:id="115"/>
      </w:r>
      <w:r w:rsidRPr="00FD37C2">
        <w:rPr>
          <w:noProof/>
          <w:lang w:val="en-IE" w:eastAsia="en-GB"/>
        </w:rPr>
        <w:t>)</w:t>
      </w:r>
      <w:r>
        <w:rPr>
          <w:noProof/>
          <w:lang w:val="en-IE" w:eastAsia="en-GB"/>
        </w:rPr>
        <w:t>,</w:t>
      </w:r>
      <w:r w:rsidRPr="00FD37C2">
        <w:rPr>
          <w:noProof/>
          <w:lang w:val="en-IE" w:eastAsia="en-GB"/>
        </w:rPr>
        <w:t xml:space="preserve"> </w:t>
      </w:r>
      <w:r>
        <w:rPr>
          <w:noProof/>
          <w:lang w:eastAsia="en-GB"/>
        </w:rPr>
        <w:t xml:space="preserve">the CJEU held that a fair balance should be ensured between, on the one hand, the </w:t>
      </w:r>
      <w:r w:rsidRPr="00B700C2">
        <w:rPr>
          <w:noProof/>
          <w:lang w:eastAsia="en-GB"/>
        </w:rPr>
        <w:t>interests of an employer whose ethos is based on religion in not having its ethos and right of autonomy called into question and, on the other hand, the interests of employees in not being discriminated against depending on their religion.</w:t>
      </w:r>
      <w:r w:rsidR="00136B1C" w:rsidRPr="00B700C2">
        <w:rPr>
          <w:noProof/>
          <w:lang w:eastAsia="en-GB"/>
        </w:rPr>
        <w:t xml:space="preserve"> EU law affords each Member State discretion in ensuring that balance.</w:t>
      </w:r>
    </w:p>
    <w:p w14:paraId="3EC1B67D" w14:textId="4062F52E" w:rsidR="00DD068E" w:rsidRPr="00193A9A" w:rsidRDefault="00DD068E" w:rsidP="002B01C7">
      <w:pPr>
        <w:ind w:left="482" w:right="-28"/>
        <w:rPr>
          <w:b/>
          <w:noProof/>
          <w:lang w:eastAsia="en-GB"/>
        </w:rPr>
      </w:pPr>
      <w:r w:rsidRPr="00B700C2">
        <w:rPr>
          <w:noProof/>
          <w:lang w:eastAsia="en-GB"/>
        </w:rPr>
        <w:t xml:space="preserve">In the most recent case, </w:t>
      </w:r>
      <w:r w:rsidRPr="00B700C2">
        <w:rPr>
          <w:i/>
          <w:iCs/>
          <w:noProof/>
          <w:lang w:eastAsia="en-GB"/>
        </w:rPr>
        <w:t>Ministero della Difesa</w:t>
      </w:r>
      <w:r w:rsidRPr="00B700C2">
        <w:rPr>
          <w:noProof/>
          <w:lang w:eastAsia="en-GB"/>
        </w:rPr>
        <w:t xml:space="preserve"> (</w:t>
      </w:r>
      <w:r w:rsidRPr="00B700C2">
        <w:rPr>
          <w:rStyle w:val="FootnoteReference"/>
          <w:noProof/>
          <w:lang w:eastAsia="en-GB"/>
        </w:rPr>
        <w:footnoteReference w:id="116"/>
      </w:r>
      <w:r w:rsidRPr="00B700C2">
        <w:rPr>
          <w:noProof/>
          <w:lang w:eastAsia="en-GB"/>
        </w:rPr>
        <w:t>),</w:t>
      </w:r>
      <w:r w:rsidR="00B700C2" w:rsidRPr="00B700C2">
        <w:rPr>
          <w:noProof/>
          <w:lang w:eastAsia="en-GB"/>
        </w:rPr>
        <w:t xml:space="preserve"> </w:t>
      </w:r>
      <w:r w:rsidRPr="00B700C2">
        <w:rPr>
          <w:noProof/>
          <w:lang w:eastAsia="en-GB"/>
        </w:rPr>
        <w:t>the Court held that, by refusing to comply with the vaccination requirement</w:t>
      </w:r>
      <w:r w:rsidR="00A90A69" w:rsidRPr="00B700C2">
        <w:rPr>
          <w:noProof/>
          <w:lang w:eastAsia="en-GB"/>
        </w:rPr>
        <w:t xml:space="preserve"> for military personnel of the Ministry of Defence</w:t>
      </w:r>
      <w:r w:rsidRPr="00B700C2">
        <w:rPr>
          <w:noProof/>
          <w:lang w:eastAsia="en-GB"/>
        </w:rPr>
        <w:t xml:space="preserve">, </w:t>
      </w:r>
      <w:r w:rsidR="00732B45" w:rsidRPr="00B700C2">
        <w:rPr>
          <w:noProof/>
          <w:lang w:eastAsia="en-GB"/>
        </w:rPr>
        <w:t xml:space="preserve">an officer sought to challenge </w:t>
      </w:r>
      <w:r w:rsidRPr="00B700C2">
        <w:rPr>
          <w:noProof/>
          <w:lang w:eastAsia="en-GB"/>
        </w:rPr>
        <w:t>the choices made by the Italian authorities in the field of public health rather than asserting his own beliefs. Accordingly, the reasons for that refusal do not come within the</w:t>
      </w:r>
      <w:r w:rsidRPr="00DD068E">
        <w:rPr>
          <w:noProof/>
          <w:lang w:eastAsia="en-GB"/>
        </w:rPr>
        <w:t xml:space="preserve"> concept of ‘belief’, but rather constitute opinions, which are not taken into account by the </w:t>
      </w:r>
      <w:r w:rsidR="00CE6588">
        <w:rPr>
          <w:noProof/>
          <w:lang w:eastAsia="en-GB"/>
        </w:rPr>
        <w:t>Employment Equality Directive</w:t>
      </w:r>
      <w:r>
        <w:rPr>
          <w:noProof/>
          <w:lang w:eastAsia="en-GB"/>
        </w:rPr>
        <w:t>.</w:t>
      </w:r>
    </w:p>
    <w:p w14:paraId="4AD4DA95" w14:textId="5CE27E06" w:rsidR="000B4845" w:rsidRPr="00193A9A" w:rsidRDefault="000B4845" w:rsidP="000B4845">
      <w:pPr>
        <w:pStyle w:val="Heading2"/>
        <w:rPr>
          <w:noProof/>
        </w:rPr>
      </w:pPr>
      <w:bookmarkStart w:id="30" w:name="_Toc214348098"/>
      <w:r w:rsidRPr="00193A9A">
        <w:rPr>
          <w:noProof/>
        </w:rPr>
        <w:t xml:space="preserve">Disability and the notion of reasonable </w:t>
      </w:r>
      <w:bookmarkEnd w:id="30"/>
      <w:r w:rsidR="00193A9A" w:rsidRPr="00193A9A">
        <w:rPr>
          <w:noProof/>
        </w:rPr>
        <w:t>accommodation</w:t>
      </w:r>
    </w:p>
    <w:p w14:paraId="62D27027" w14:textId="4C5BE40D" w:rsidR="000B4845" w:rsidRPr="00193A9A" w:rsidRDefault="00ED0F61" w:rsidP="000B4845">
      <w:pPr>
        <w:ind w:left="482" w:right="-28"/>
        <w:rPr>
          <w:noProof/>
          <w:color w:val="000000" w:themeColor="text1"/>
          <w:lang w:eastAsia="en-GB"/>
        </w:rPr>
      </w:pPr>
      <w:r w:rsidRPr="00193A9A">
        <w:rPr>
          <w:noProof/>
          <w:color w:val="000000" w:themeColor="text1"/>
          <w:lang w:eastAsia="en-GB"/>
        </w:rPr>
        <w:t xml:space="preserve">During the consultations for the report, </w:t>
      </w:r>
      <w:r w:rsidR="000B4845" w:rsidRPr="00193A9A">
        <w:rPr>
          <w:noProof/>
          <w:color w:val="000000" w:themeColor="text1"/>
          <w:lang w:eastAsia="en-GB"/>
        </w:rPr>
        <w:t xml:space="preserve">Equinet and </w:t>
      </w:r>
      <w:r w:rsidR="008C0C95" w:rsidRPr="00193A9A">
        <w:rPr>
          <w:noProof/>
          <w:color w:val="000000" w:themeColor="text1"/>
          <w:lang w:eastAsia="en-GB"/>
        </w:rPr>
        <w:t xml:space="preserve">civil society organisations </w:t>
      </w:r>
      <w:r w:rsidR="000B4845" w:rsidRPr="00193A9A">
        <w:rPr>
          <w:noProof/>
          <w:color w:val="000000" w:themeColor="text1"/>
          <w:lang w:eastAsia="en-GB"/>
        </w:rPr>
        <w:t>highlighted difficulties in implement</w:t>
      </w:r>
      <w:r w:rsidR="000670CE">
        <w:rPr>
          <w:noProof/>
          <w:color w:val="000000" w:themeColor="text1"/>
          <w:lang w:eastAsia="en-GB"/>
        </w:rPr>
        <w:t>ing</w:t>
      </w:r>
      <w:r w:rsidR="000B4845" w:rsidRPr="00193A9A">
        <w:rPr>
          <w:noProof/>
          <w:color w:val="000000" w:themeColor="text1"/>
          <w:lang w:eastAsia="en-GB"/>
        </w:rPr>
        <w:t xml:space="preserve"> the duty to provide reasonable accommodation in employment. In this regard, the Court provided useful clarification</w:t>
      </w:r>
      <w:r w:rsidR="00CA6C75" w:rsidRPr="00193A9A">
        <w:rPr>
          <w:noProof/>
          <w:color w:val="000000" w:themeColor="text1"/>
          <w:lang w:eastAsia="en-GB"/>
        </w:rPr>
        <w:t>s</w:t>
      </w:r>
      <w:r w:rsidR="000B4845" w:rsidRPr="00193A9A">
        <w:rPr>
          <w:noProof/>
          <w:color w:val="000000" w:themeColor="text1"/>
          <w:lang w:eastAsia="en-GB"/>
        </w:rPr>
        <w:t>.</w:t>
      </w:r>
    </w:p>
    <w:p w14:paraId="3E2562D5" w14:textId="42C70995" w:rsidR="000B4845" w:rsidRPr="00193A9A" w:rsidRDefault="000B4845" w:rsidP="000B4845">
      <w:pPr>
        <w:ind w:left="482" w:right="-28"/>
        <w:rPr>
          <w:noProof/>
          <w:szCs w:val="24"/>
          <w:lang w:eastAsia="en-GB"/>
        </w:rPr>
      </w:pPr>
      <w:r w:rsidRPr="00193A9A">
        <w:rPr>
          <w:noProof/>
          <w:szCs w:val="24"/>
          <w:lang w:eastAsia="en-GB"/>
        </w:rPr>
        <w:t xml:space="preserve">In </w:t>
      </w:r>
      <w:r w:rsidR="009A3DFA" w:rsidRPr="00193A9A">
        <w:rPr>
          <w:noProof/>
          <w:szCs w:val="24"/>
          <w:lang w:eastAsia="en-GB"/>
        </w:rPr>
        <w:t xml:space="preserve">the </w:t>
      </w:r>
      <w:r w:rsidRPr="00193A9A">
        <w:rPr>
          <w:i/>
          <w:iCs/>
          <w:noProof/>
          <w:szCs w:val="24"/>
          <w:lang w:eastAsia="en-GB"/>
        </w:rPr>
        <w:t>Komisia za zashtita ot diskriminatsia</w:t>
      </w:r>
      <w:r w:rsidRPr="00193A9A">
        <w:rPr>
          <w:iCs/>
          <w:noProof/>
          <w:szCs w:val="24"/>
          <w:lang w:eastAsia="en-GB"/>
        </w:rPr>
        <w:t> (</w:t>
      </w:r>
      <w:r w:rsidRPr="00193A9A">
        <w:rPr>
          <w:rStyle w:val="FootnoteReference"/>
          <w:noProof/>
          <w:szCs w:val="24"/>
          <w:lang w:eastAsia="en-GB"/>
        </w:rPr>
        <w:footnoteReference w:id="117"/>
      </w:r>
      <w:r w:rsidRPr="00193A9A">
        <w:rPr>
          <w:iCs/>
          <w:noProof/>
          <w:szCs w:val="24"/>
          <w:lang w:eastAsia="en-GB"/>
        </w:rPr>
        <w:t>)</w:t>
      </w:r>
      <w:r w:rsidR="000670CE">
        <w:rPr>
          <w:iCs/>
          <w:noProof/>
          <w:szCs w:val="24"/>
          <w:lang w:eastAsia="en-GB"/>
        </w:rPr>
        <w:t xml:space="preserve"> case</w:t>
      </w:r>
      <w:r w:rsidRPr="00193A9A">
        <w:rPr>
          <w:noProof/>
          <w:szCs w:val="24"/>
          <w:lang w:eastAsia="en-GB"/>
        </w:rPr>
        <w:t xml:space="preserve">, the Court concluded that an </w:t>
      </w:r>
      <w:r w:rsidRPr="00193A9A">
        <w:rPr>
          <w:b/>
          <w:bCs/>
          <w:noProof/>
          <w:szCs w:val="24"/>
          <w:lang w:eastAsia="en-GB"/>
        </w:rPr>
        <w:t>individual evaluation</w:t>
      </w:r>
      <w:r w:rsidRPr="00193A9A">
        <w:rPr>
          <w:noProof/>
          <w:szCs w:val="24"/>
          <w:lang w:eastAsia="en-GB"/>
        </w:rPr>
        <w:t xml:space="preserve"> </w:t>
      </w:r>
      <w:r w:rsidR="00880A6A">
        <w:rPr>
          <w:noProof/>
          <w:szCs w:val="24"/>
          <w:lang w:eastAsia="en-GB"/>
        </w:rPr>
        <w:t>should</w:t>
      </w:r>
      <w:r w:rsidR="00880A6A" w:rsidRPr="00193A9A">
        <w:rPr>
          <w:noProof/>
          <w:szCs w:val="24"/>
          <w:lang w:eastAsia="en-GB"/>
        </w:rPr>
        <w:t xml:space="preserve"> </w:t>
      </w:r>
      <w:r w:rsidRPr="00193A9A">
        <w:rPr>
          <w:noProof/>
          <w:szCs w:val="24"/>
          <w:lang w:eastAsia="en-GB"/>
        </w:rPr>
        <w:t>take place to determine whether a blind juror could carry out their work after reasonable accommodation measures</w:t>
      </w:r>
      <w:r w:rsidR="000670CE">
        <w:rPr>
          <w:noProof/>
          <w:szCs w:val="24"/>
          <w:lang w:eastAsia="en-GB"/>
        </w:rPr>
        <w:t xml:space="preserve"> have been taken</w:t>
      </w:r>
      <w:r w:rsidRPr="00193A9A">
        <w:rPr>
          <w:noProof/>
          <w:szCs w:val="24"/>
          <w:lang w:eastAsia="en-GB"/>
        </w:rPr>
        <w:t>.</w:t>
      </w:r>
    </w:p>
    <w:p w14:paraId="3B4D56FA" w14:textId="652D4DA1" w:rsidR="000B4845" w:rsidRPr="00193A9A" w:rsidRDefault="000B4845" w:rsidP="000B4845">
      <w:pPr>
        <w:ind w:left="482" w:right="-28"/>
        <w:rPr>
          <w:noProof/>
          <w:color w:val="000000" w:themeColor="text1"/>
          <w:szCs w:val="24"/>
          <w:lang w:eastAsia="en-GB"/>
        </w:rPr>
      </w:pPr>
      <w:r w:rsidRPr="00193A9A">
        <w:rPr>
          <w:noProof/>
          <w:szCs w:val="24"/>
          <w:shd w:val="clear" w:color="auto" w:fill="FFFFFF"/>
          <w:lang w:eastAsia="en-GB"/>
        </w:rPr>
        <w:t xml:space="preserve">In </w:t>
      </w:r>
      <w:r w:rsidR="009A3DFA" w:rsidRPr="00193A9A">
        <w:rPr>
          <w:noProof/>
          <w:szCs w:val="24"/>
          <w:shd w:val="clear" w:color="auto" w:fill="FFFFFF"/>
          <w:lang w:eastAsia="en-GB"/>
        </w:rPr>
        <w:t xml:space="preserve">the </w:t>
      </w:r>
      <w:r w:rsidRPr="00193A9A">
        <w:rPr>
          <w:i/>
          <w:iCs/>
          <w:noProof/>
          <w:szCs w:val="24"/>
          <w:shd w:val="clear" w:color="auto" w:fill="FFFFFF"/>
          <w:lang w:eastAsia="en-GB"/>
        </w:rPr>
        <w:t>HR Rail</w:t>
      </w:r>
      <w:r w:rsidRPr="00193A9A">
        <w:rPr>
          <w:iCs/>
          <w:noProof/>
          <w:szCs w:val="24"/>
          <w:shd w:val="clear" w:color="auto" w:fill="FFFFFF"/>
          <w:lang w:eastAsia="en-GB"/>
        </w:rPr>
        <w:t> </w:t>
      </w:r>
      <w:r w:rsidR="009A3DFA" w:rsidRPr="00193A9A">
        <w:rPr>
          <w:iCs/>
          <w:noProof/>
          <w:szCs w:val="24"/>
          <w:shd w:val="clear" w:color="auto" w:fill="FFFFFF"/>
          <w:lang w:eastAsia="en-GB"/>
        </w:rPr>
        <w:t>case</w:t>
      </w:r>
      <w:r w:rsidR="000670CE">
        <w:rPr>
          <w:iCs/>
          <w:noProof/>
          <w:szCs w:val="24"/>
          <w:shd w:val="clear" w:color="auto" w:fill="FFFFFF"/>
          <w:lang w:eastAsia="en-GB"/>
        </w:rPr>
        <w:t> </w:t>
      </w:r>
      <w:r w:rsidRPr="00193A9A">
        <w:rPr>
          <w:iCs/>
          <w:noProof/>
          <w:szCs w:val="24"/>
          <w:shd w:val="clear" w:color="auto" w:fill="FFFFFF"/>
          <w:lang w:eastAsia="en-GB"/>
        </w:rPr>
        <w:t>(</w:t>
      </w:r>
      <w:r w:rsidRPr="00193A9A">
        <w:rPr>
          <w:rStyle w:val="FootnoteReference"/>
          <w:noProof/>
          <w:szCs w:val="24"/>
          <w:shd w:val="clear" w:color="auto" w:fill="FFFFFF"/>
          <w:lang w:eastAsia="en-GB"/>
        </w:rPr>
        <w:footnoteReference w:id="118"/>
      </w:r>
      <w:r w:rsidRPr="00193A9A">
        <w:rPr>
          <w:iCs/>
          <w:noProof/>
          <w:szCs w:val="24"/>
          <w:shd w:val="clear" w:color="auto" w:fill="FFFFFF"/>
          <w:lang w:eastAsia="en-GB"/>
        </w:rPr>
        <w:t>)</w:t>
      </w:r>
      <w:r w:rsidR="000670CE">
        <w:rPr>
          <w:iCs/>
          <w:noProof/>
          <w:szCs w:val="24"/>
          <w:shd w:val="clear" w:color="auto" w:fill="FFFFFF"/>
          <w:lang w:eastAsia="en-GB"/>
        </w:rPr>
        <w:t>,</w:t>
      </w:r>
      <w:r w:rsidRPr="00193A9A">
        <w:rPr>
          <w:noProof/>
          <w:szCs w:val="24"/>
          <w:shd w:val="clear" w:color="auto" w:fill="FFFFFF"/>
          <w:lang w:eastAsia="en-GB"/>
        </w:rPr>
        <w:t xml:space="preserve"> </w:t>
      </w:r>
      <w:r w:rsidRPr="00193A9A">
        <w:rPr>
          <w:bCs/>
          <w:noProof/>
          <w:szCs w:val="24"/>
          <w:shd w:val="clear" w:color="auto" w:fill="FFFFFF"/>
          <w:lang w:eastAsia="en-GB"/>
        </w:rPr>
        <w:t>the Court</w:t>
      </w:r>
      <w:r w:rsidRPr="00193A9A">
        <w:rPr>
          <w:noProof/>
          <w:szCs w:val="24"/>
          <w:lang w:eastAsia="en-GB"/>
        </w:rPr>
        <w:t xml:space="preserve"> concluded that </w:t>
      </w:r>
      <w:r w:rsidR="00F25FB6">
        <w:rPr>
          <w:noProof/>
          <w:szCs w:val="24"/>
          <w:lang w:eastAsia="en-GB"/>
        </w:rPr>
        <w:t>a</w:t>
      </w:r>
      <w:r w:rsidR="00F25FB6" w:rsidRPr="00193A9A">
        <w:rPr>
          <w:noProof/>
          <w:szCs w:val="24"/>
          <w:lang w:eastAsia="en-GB"/>
        </w:rPr>
        <w:t xml:space="preserve"> </w:t>
      </w:r>
      <w:r w:rsidRPr="00193A9A">
        <w:rPr>
          <w:noProof/>
          <w:szCs w:val="24"/>
          <w:lang w:eastAsia="en-GB"/>
        </w:rPr>
        <w:t>trainee should have been offered reasonable accommodation</w:t>
      </w:r>
      <w:r w:rsidR="000670CE">
        <w:rPr>
          <w:noProof/>
          <w:szCs w:val="24"/>
          <w:lang w:eastAsia="en-GB"/>
        </w:rPr>
        <w:t>,</w:t>
      </w:r>
      <w:r w:rsidRPr="00193A9A">
        <w:rPr>
          <w:noProof/>
          <w:szCs w:val="24"/>
          <w:lang w:eastAsia="en-GB"/>
        </w:rPr>
        <w:t xml:space="preserve"> </w:t>
      </w:r>
      <w:r w:rsidR="009C5F1D" w:rsidRPr="00193A9A">
        <w:rPr>
          <w:noProof/>
          <w:szCs w:val="24"/>
          <w:lang w:eastAsia="en-GB"/>
        </w:rPr>
        <w:t>for example by being</w:t>
      </w:r>
      <w:r w:rsidRPr="00193A9A">
        <w:rPr>
          <w:b/>
          <w:bCs/>
          <w:noProof/>
          <w:szCs w:val="24"/>
          <w:lang w:eastAsia="en-GB"/>
        </w:rPr>
        <w:t xml:space="preserve"> assigned to another position</w:t>
      </w:r>
      <w:r w:rsidRPr="00193A9A">
        <w:rPr>
          <w:noProof/>
          <w:szCs w:val="24"/>
          <w:lang w:eastAsia="en-GB"/>
        </w:rPr>
        <w:t xml:space="preserve"> for which they had the necessary </w:t>
      </w:r>
      <w:r w:rsidRPr="00193A9A">
        <w:rPr>
          <w:b/>
          <w:bCs/>
          <w:noProof/>
          <w:szCs w:val="24"/>
          <w:lang w:eastAsia="en-GB"/>
        </w:rPr>
        <w:t>competence, capability and availability</w:t>
      </w:r>
      <w:r w:rsidRPr="00193A9A">
        <w:rPr>
          <w:noProof/>
          <w:szCs w:val="24"/>
          <w:lang w:eastAsia="en-GB"/>
        </w:rPr>
        <w:t xml:space="preserve">, unless that measure would have imposed a disproportionate burden on the employer. This was confirmed in </w:t>
      </w:r>
      <w:r w:rsidR="009A3DFA" w:rsidRPr="00193A9A">
        <w:rPr>
          <w:noProof/>
          <w:szCs w:val="24"/>
          <w:lang w:eastAsia="en-GB"/>
        </w:rPr>
        <w:t xml:space="preserve">the </w:t>
      </w:r>
      <w:r w:rsidRPr="00193A9A">
        <w:rPr>
          <w:i/>
          <w:iCs/>
          <w:noProof/>
          <w:color w:val="000000" w:themeColor="text1"/>
          <w:szCs w:val="24"/>
          <w:lang w:eastAsia="en-GB"/>
        </w:rPr>
        <w:t>Ca Na Negreta</w:t>
      </w:r>
      <w:r w:rsidRPr="00193A9A">
        <w:rPr>
          <w:iCs/>
          <w:noProof/>
          <w:color w:val="000000" w:themeColor="text1"/>
          <w:szCs w:val="24"/>
          <w:lang w:eastAsia="en-GB"/>
        </w:rPr>
        <w:t> </w:t>
      </w:r>
      <w:r w:rsidR="009A3DFA" w:rsidRPr="00193A9A">
        <w:rPr>
          <w:iCs/>
          <w:noProof/>
          <w:color w:val="000000" w:themeColor="text1"/>
          <w:szCs w:val="24"/>
          <w:lang w:eastAsia="en-GB"/>
        </w:rPr>
        <w:t>case</w:t>
      </w:r>
      <w:r w:rsidR="005855E8">
        <w:rPr>
          <w:iCs/>
          <w:noProof/>
          <w:color w:val="000000" w:themeColor="text1"/>
          <w:szCs w:val="24"/>
          <w:lang w:eastAsia="en-GB"/>
        </w:rPr>
        <w:t> </w:t>
      </w:r>
      <w:r w:rsidRPr="00193A9A">
        <w:rPr>
          <w:iCs/>
          <w:noProof/>
          <w:color w:val="000000" w:themeColor="text1"/>
          <w:szCs w:val="24"/>
          <w:lang w:eastAsia="en-GB"/>
        </w:rPr>
        <w:t>(</w:t>
      </w:r>
      <w:r w:rsidRPr="00193A9A">
        <w:rPr>
          <w:rStyle w:val="FootnoteReference"/>
          <w:noProof/>
          <w:color w:val="000000" w:themeColor="text1"/>
          <w:szCs w:val="24"/>
          <w:lang w:eastAsia="en-GB"/>
        </w:rPr>
        <w:footnoteReference w:id="119"/>
      </w:r>
      <w:r w:rsidRPr="00193A9A">
        <w:rPr>
          <w:iCs/>
          <w:noProof/>
          <w:color w:val="000000" w:themeColor="text1"/>
          <w:szCs w:val="24"/>
          <w:lang w:eastAsia="en-GB"/>
        </w:rPr>
        <w:t>)</w:t>
      </w:r>
      <w:r w:rsidRPr="00193A9A">
        <w:rPr>
          <w:noProof/>
          <w:color w:val="000000" w:themeColor="text1"/>
          <w:szCs w:val="24"/>
          <w:lang w:eastAsia="en-GB"/>
        </w:rPr>
        <w:t>.</w:t>
      </w:r>
    </w:p>
    <w:p w14:paraId="210E873E" w14:textId="3C3E3A00" w:rsidR="000B4845" w:rsidRPr="00193A9A" w:rsidRDefault="000B4845" w:rsidP="000B4845">
      <w:pPr>
        <w:ind w:left="482" w:right="-28"/>
        <w:rPr>
          <w:noProof/>
          <w:szCs w:val="24"/>
          <w:lang w:eastAsia="en-GB"/>
        </w:rPr>
      </w:pPr>
      <w:r w:rsidRPr="00193A9A">
        <w:rPr>
          <w:noProof/>
          <w:szCs w:val="24"/>
          <w:lang w:eastAsia="en-GB"/>
        </w:rPr>
        <w:t xml:space="preserve">The Court gave more examples in </w:t>
      </w:r>
      <w:r w:rsidR="009A3DFA" w:rsidRPr="00193A9A">
        <w:rPr>
          <w:noProof/>
          <w:szCs w:val="24"/>
          <w:lang w:eastAsia="en-GB"/>
        </w:rPr>
        <w:t xml:space="preserve">the </w:t>
      </w:r>
      <w:r w:rsidRPr="00193A9A">
        <w:rPr>
          <w:i/>
          <w:iCs/>
          <w:noProof/>
          <w:szCs w:val="24"/>
          <w:lang w:eastAsia="en-GB"/>
        </w:rPr>
        <w:t>Tartu Vangla</w:t>
      </w:r>
      <w:r w:rsidR="00193A9A" w:rsidRPr="00193A9A">
        <w:rPr>
          <w:i/>
          <w:iCs/>
          <w:noProof/>
          <w:szCs w:val="24"/>
          <w:lang w:eastAsia="en-GB"/>
        </w:rPr>
        <w:t xml:space="preserve"> </w:t>
      </w:r>
      <w:r w:rsidR="009A3DFA" w:rsidRPr="00193A9A">
        <w:rPr>
          <w:noProof/>
          <w:szCs w:val="24"/>
          <w:lang w:eastAsia="en-GB"/>
        </w:rPr>
        <w:t>case</w:t>
      </w:r>
      <w:r w:rsidR="005855E8">
        <w:rPr>
          <w:noProof/>
          <w:szCs w:val="24"/>
          <w:lang w:eastAsia="en-GB"/>
        </w:rPr>
        <w:t>,</w:t>
      </w:r>
      <w:r w:rsidR="009A3DFA" w:rsidRPr="00193A9A">
        <w:rPr>
          <w:noProof/>
          <w:szCs w:val="24"/>
          <w:lang w:eastAsia="en-GB"/>
        </w:rPr>
        <w:t xml:space="preserve"> </w:t>
      </w:r>
      <w:r w:rsidRPr="00193A9A">
        <w:rPr>
          <w:noProof/>
          <w:szCs w:val="24"/>
          <w:lang w:eastAsia="en-GB"/>
        </w:rPr>
        <w:t xml:space="preserve">where a prison officer with hearing impairment was dismissed </w:t>
      </w:r>
      <w:r w:rsidR="005855E8">
        <w:rPr>
          <w:noProof/>
          <w:szCs w:val="24"/>
          <w:lang w:eastAsia="en-GB"/>
        </w:rPr>
        <w:t>on the basis of</w:t>
      </w:r>
      <w:r w:rsidRPr="00193A9A">
        <w:rPr>
          <w:noProof/>
          <w:szCs w:val="24"/>
          <w:lang w:eastAsia="en-GB"/>
        </w:rPr>
        <w:t xml:space="preserve"> a national regulation that prohibited the employment of persons whose hearing acuity does not meet minimum sound perception thresholds. In this case, the Court stressed that measures such as the use of a </w:t>
      </w:r>
      <w:r w:rsidRPr="00193A9A">
        <w:rPr>
          <w:b/>
          <w:bCs/>
          <w:noProof/>
          <w:szCs w:val="24"/>
          <w:lang w:eastAsia="en-GB"/>
        </w:rPr>
        <w:t>hearing aid, exemption from some tasks or assignment to a post which would not require hearing acuity would have to be explored</w:t>
      </w:r>
      <w:r w:rsidRPr="00193A9A">
        <w:rPr>
          <w:noProof/>
          <w:szCs w:val="24"/>
          <w:lang w:eastAsia="en-GB"/>
        </w:rPr>
        <w:t>.</w:t>
      </w:r>
    </w:p>
    <w:p w14:paraId="21716164" w14:textId="215FB9D4" w:rsidR="000B4845" w:rsidRPr="00193A9A" w:rsidRDefault="000B4845" w:rsidP="004821E4">
      <w:pPr>
        <w:ind w:left="482" w:right="-28"/>
        <w:rPr>
          <w:noProof/>
          <w:szCs w:val="24"/>
          <w:shd w:val="clear" w:color="auto" w:fill="FFFFFF"/>
          <w:lang w:eastAsia="en-GB"/>
        </w:rPr>
      </w:pPr>
      <w:r w:rsidRPr="00193A9A">
        <w:rPr>
          <w:noProof/>
          <w:szCs w:val="24"/>
          <w:shd w:val="clear" w:color="auto" w:fill="FFFFFF"/>
          <w:lang w:eastAsia="en-GB"/>
        </w:rPr>
        <w:t>Significantly, these CJEU judg</w:t>
      </w:r>
      <w:r w:rsidR="00424EC0">
        <w:rPr>
          <w:noProof/>
          <w:szCs w:val="24"/>
          <w:shd w:val="clear" w:color="auto" w:fill="FFFFFF"/>
          <w:lang w:eastAsia="en-GB"/>
        </w:rPr>
        <w:t>ments</w:t>
      </w:r>
      <w:r w:rsidRPr="00193A9A">
        <w:rPr>
          <w:noProof/>
          <w:szCs w:val="24"/>
          <w:shd w:val="clear" w:color="auto" w:fill="FFFFFF"/>
          <w:lang w:eastAsia="en-GB"/>
        </w:rPr>
        <w:t xml:space="preserve"> </w:t>
      </w:r>
      <w:r w:rsidR="005855E8">
        <w:rPr>
          <w:noProof/>
          <w:szCs w:val="24"/>
          <w:shd w:val="clear" w:color="auto" w:fill="FFFFFF"/>
          <w:lang w:eastAsia="en-GB"/>
        </w:rPr>
        <w:t>are increasingly referring</w:t>
      </w:r>
      <w:r w:rsidRPr="00193A9A">
        <w:rPr>
          <w:noProof/>
          <w:szCs w:val="24"/>
          <w:shd w:val="clear" w:color="auto" w:fill="FFFFFF"/>
          <w:lang w:eastAsia="en-GB"/>
        </w:rPr>
        <w:t xml:space="preserve"> to the Charter </w:t>
      </w:r>
      <w:r w:rsidR="007354A2" w:rsidRPr="00193A9A">
        <w:rPr>
          <w:noProof/>
          <w:szCs w:val="24"/>
          <w:shd w:val="clear" w:color="auto" w:fill="FFFFFF"/>
          <w:lang w:eastAsia="en-GB"/>
        </w:rPr>
        <w:t>of Fundamental Rights</w:t>
      </w:r>
      <w:r w:rsidRPr="00193A9A">
        <w:rPr>
          <w:noProof/>
          <w:szCs w:val="24"/>
          <w:shd w:val="clear" w:color="auto" w:fill="FFFFFF"/>
          <w:lang w:eastAsia="en-GB"/>
        </w:rPr>
        <w:t xml:space="preserve"> and the </w:t>
      </w:r>
      <w:r w:rsidR="005855E8">
        <w:rPr>
          <w:noProof/>
          <w:szCs w:val="24"/>
          <w:shd w:val="clear" w:color="auto" w:fill="FFFFFF"/>
          <w:lang w:eastAsia="en-GB"/>
        </w:rPr>
        <w:t>United Nations Convention on the Rights of Persons with Disabilities </w:t>
      </w:r>
      <w:r w:rsidRPr="00193A9A">
        <w:rPr>
          <w:noProof/>
          <w:szCs w:val="24"/>
          <w:shd w:val="clear" w:color="auto" w:fill="FFFFFF"/>
          <w:lang w:eastAsia="en-GB"/>
        </w:rPr>
        <w:t>(</w:t>
      </w:r>
      <w:r w:rsidRPr="00193A9A">
        <w:rPr>
          <w:rStyle w:val="FootnoteReference"/>
          <w:noProof/>
          <w:szCs w:val="24"/>
          <w:shd w:val="clear" w:color="auto" w:fill="FFFFFF"/>
          <w:lang w:eastAsia="en-GB"/>
        </w:rPr>
        <w:footnoteReference w:id="120"/>
      </w:r>
      <w:r w:rsidRPr="00193A9A">
        <w:rPr>
          <w:noProof/>
          <w:szCs w:val="24"/>
          <w:shd w:val="clear" w:color="auto" w:fill="FFFFFF"/>
          <w:lang w:eastAsia="en-GB"/>
        </w:rPr>
        <w:t>)</w:t>
      </w:r>
      <w:r w:rsidR="005855E8">
        <w:rPr>
          <w:noProof/>
          <w:szCs w:val="24"/>
          <w:shd w:val="clear" w:color="auto" w:fill="FFFFFF"/>
          <w:lang w:eastAsia="en-GB"/>
        </w:rPr>
        <w:t>.</w:t>
      </w:r>
      <w:r w:rsidRPr="00193A9A">
        <w:rPr>
          <w:noProof/>
          <w:szCs w:val="24"/>
          <w:shd w:val="clear" w:color="auto" w:fill="FFFFFF"/>
          <w:lang w:eastAsia="en-GB"/>
        </w:rPr>
        <w:t xml:space="preserve"> </w:t>
      </w:r>
      <w:r w:rsidR="005855E8">
        <w:rPr>
          <w:noProof/>
          <w:szCs w:val="24"/>
          <w:shd w:val="clear" w:color="auto" w:fill="FFFFFF"/>
          <w:lang w:eastAsia="en-GB"/>
        </w:rPr>
        <w:t>This</w:t>
      </w:r>
      <w:r w:rsidR="005855E8" w:rsidRPr="00193A9A">
        <w:rPr>
          <w:noProof/>
          <w:szCs w:val="24"/>
          <w:shd w:val="clear" w:color="auto" w:fill="FFFFFF"/>
          <w:lang w:eastAsia="en-GB"/>
        </w:rPr>
        <w:t xml:space="preserve"> </w:t>
      </w:r>
      <w:r w:rsidR="00603551" w:rsidRPr="00193A9A">
        <w:rPr>
          <w:noProof/>
          <w:szCs w:val="24"/>
          <w:shd w:val="clear" w:color="auto" w:fill="FFFFFF"/>
          <w:lang w:eastAsia="en-GB"/>
        </w:rPr>
        <w:t>confirm</w:t>
      </w:r>
      <w:r w:rsidR="005855E8">
        <w:rPr>
          <w:noProof/>
          <w:szCs w:val="24"/>
          <w:shd w:val="clear" w:color="auto" w:fill="FFFFFF"/>
          <w:lang w:eastAsia="en-GB"/>
        </w:rPr>
        <w:t>s</w:t>
      </w:r>
      <w:r w:rsidR="00603551" w:rsidRPr="00193A9A">
        <w:rPr>
          <w:noProof/>
          <w:szCs w:val="24"/>
          <w:shd w:val="clear" w:color="auto" w:fill="FFFFFF"/>
          <w:lang w:eastAsia="en-GB"/>
        </w:rPr>
        <w:t xml:space="preserve"> </w:t>
      </w:r>
      <w:r w:rsidR="00414E87" w:rsidRPr="00193A9A">
        <w:rPr>
          <w:noProof/>
          <w:szCs w:val="24"/>
          <w:shd w:val="clear" w:color="auto" w:fill="FFFFFF"/>
          <w:lang w:eastAsia="en-GB"/>
        </w:rPr>
        <w:t>that</w:t>
      </w:r>
      <w:r w:rsidRPr="00193A9A">
        <w:rPr>
          <w:noProof/>
          <w:szCs w:val="24"/>
          <w:shd w:val="clear" w:color="auto" w:fill="FFFFFF"/>
          <w:lang w:eastAsia="en-GB"/>
        </w:rPr>
        <w:t xml:space="preserve"> the provisions of the Directive</w:t>
      </w:r>
      <w:r w:rsidR="00414E87" w:rsidRPr="00193A9A">
        <w:rPr>
          <w:noProof/>
          <w:szCs w:val="24"/>
          <w:shd w:val="clear" w:color="auto" w:fill="FFFFFF"/>
          <w:lang w:eastAsia="en-GB"/>
        </w:rPr>
        <w:t xml:space="preserve"> </w:t>
      </w:r>
      <w:r w:rsidR="000E67D5" w:rsidRPr="00193A9A">
        <w:rPr>
          <w:noProof/>
          <w:szCs w:val="24"/>
          <w:shd w:val="clear" w:color="auto" w:fill="FFFFFF"/>
          <w:lang w:eastAsia="en-GB"/>
        </w:rPr>
        <w:t>must, as far as possible, be interpreted in a manner that is consistent with that convention (</w:t>
      </w:r>
      <w:r w:rsidR="000E67D5" w:rsidRPr="00193A9A">
        <w:rPr>
          <w:rStyle w:val="FootnoteReference"/>
          <w:noProof/>
          <w:szCs w:val="24"/>
          <w:shd w:val="clear" w:color="auto" w:fill="FFFFFF"/>
          <w:lang w:eastAsia="en-GB"/>
        </w:rPr>
        <w:footnoteReference w:id="121"/>
      </w:r>
      <w:r w:rsidR="000E67D5" w:rsidRPr="00193A9A">
        <w:rPr>
          <w:noProof/>
          <w:szCs w:val="24"/>
          <w:shd w:val="clear" w:color="auto" w:fill="FFFFFF"/>
          <w:lang w:eastAsia="en-GB"/>
        </w:rPr>
        <w:t>).</w:t>
      </w:r>
    </w:p>
    <w:p w14:paraId="15B208D4" w14:textId="77777777" w:rsidR="000B4845" w:rsidRPr="00193A9A" w:rsidRDefault="000B4845" w:rsidP="00B61149">
      <w:pPr>
        <w:pStyle w:val="Heading2"/>
        <w:ind w:left="1195"/>
        <w:rPr>
          <w:noProof/>
        </w:rPr>
      </w:pPr>
      <w:bookmarkStart w:id="31" w:name="_Toc214348099"/>
      <w:r w:rsidRPr="00193A9A">
        <w:rPr>
          <w:noProof/>
          <w:shd w:val="clear" w:color="auto" w:fill="FFFFFF"/>
          <w:lang w:eastAsia="en-GB"/>
        </w:rPr>
        <w:t>Age</w:t>
      </w:r>
      <w:bookmarkEnd w:id="31"/>
    </w:p>
    <w:p w14:paraId="6A097C23" w14:textId="4B51E90B" w:rsidR="000B4845" w:rsidRPr="00193A9A" w:rsidRDefault="000B4845" w:rsidP="000B4845">
      <w:pPr>
        <w:ind w:left="482" w:right="-28"/>
        <w:rPr>
          <w:noProof/>
          <w:szCs w:val="24"/>
        </w:rPr>
      </w:pPr>
      <w:r w:rsidRPr="00193A9A">
        <w:rPr>
          <w:noProof/>
          <w:szCs w:val="24"/>
          <w:lang w:eastAsia="en-GB"/>
        </w:rPr>
        <w:t xml:space="preserve">Age-related differences </w:t>
      </w:r>
      <w:r w:rsidR="00FC7804">
        <w:rPr>
          <w:noProof/>
          <w:szCs w:val="24"/>
          <w:lang w:eastAsia="en-GB"/>
        </w:rPr>
        <w:t>in</w:t>
      </w:r>
      <w:r w:rsidR="00FC7804" w:rsidRPr="00193A9A">
        <w:rPr>
          <w:noProof/>
          <w:szCs w:val="24"/>
          <w:lang w:eastAsia="en-GB"/>
        </w:rPr>
        <w:t xml:space="preserve"> </w:t>
      </w:r>
      <w:r w:rsidRPr="00193A9A">
        <w:rPr>
          <w:noProof/>
          <w:szCs w:val="24"/>
          <w:lang w:eastAsia="en-GB"/>
        </w:rPr>
        <w:t xml:space="preserve">treatment remain the source of the highest number of rulings issued by the CJEU on the Directive. A number of national laws set age limits for access to specific professions. </w:t>
      </w:r>
      <w:r w:rsidR="00DD2FD4" w:rsidRPr="00DD2FD4">
        <w:rPr>
          <w:noProof/>
          <w:szCs w:val="24"/>
          <w:lang w:eastAsia="en-GB"/>
        </w:rPr>
        <w:t xml:space="preserve">In these cases, the key question is whether the age limit can be justified under Article 6 </w:t>
      </w:r>
      <w:r w:rsidR="00DD2FD4">
        <w:rPr>
          <w:noProof/>
          <w:szCs w:val="24"/>
          <w:lang w:eastAsia="en-GB"/>
        </w:rPr>
        <w:t>of the Directive</w:t>
      </w:r>
      <w:r w:rsidR="009A3321">
        <w:rPr>
          <w:noProof/>
          <w:szCs w:val="24"/>
          <w:lang w:eastAsia="en-GB"/>
        </w:rPr>
        <w:t xml:space="preserve"> (j</w:t>
      </w:r>
      <w:r w:rsidR="009A3321" w:rsidRPr="009A3321">
        <w:rPr>
          <w:noProof/>
          <w:szCs w:val="24"/>
          <w:lang w:eastAsia="en-GB"/>
        </w:rPr>
        <w:t>ustification of differences of treatment on grounds of age</w:t>
      </w:r>
      <w:r w:rsidR="009A3321">
        <w:rPr>
          <w:noProof/>
          <w:szCs w:val="24"/>
          <w:lang w:eastAsia="en-GB"/>
        </w:rPr>
        <w:t>)</w:t>
      </w:r>
      <w:r w:rsidR="00DD2FD4">
        <w:rPr>
          <w:noProof/>
          <w:szCs w:val="24"/>
          <w:lang w:eastAsia="en-GB"/>
        </w:rPr>
        <w:t xml:space="preserve"> </w:t>
      </w:r>
      <w:r w:rsidR="00DD2FD4" w:rsidRPr="00DD2FD4">
        <w:rPr>
          <w:noProof/>
          <w:szCs w:val="24"/>
          <w:lang w:eastAsia="en-GB"/>
        </w:rPr>
        <w:t>as a proportionate measure for achieving a legitimate employment or labour market objective</w:t>
      </w:r>
      <w:r w:rsidR="009A3321">
        <w:rPr>
          <w:noProof/>
          <w:szCs w:val="24"/>
          <w:lang w:eastAsia="en-GB"/>
        </w:rPr>
        <w:t xml:space="preserve"> </w:t>
      </w:r>
      <w:r w:rsidRPr="00193A9A">
        <w:rPr>
          <w:noProof/>
          <w:szCs w:val="24"/>
          <w:lang w:eastAsia="en-GB"/>
        </w:rPr>
        <w:t>(</w:t>
      </w:r>
      <w:r w:rsidRPr="00193A9A">
        <w:rPr>
          <w:rStyle w:val="FootnoteReference"/>
          <w:noProof/>
          <w:szCs w:val="24"/>
          <w:lang w:eastAsia="en-GB"/>
        </w:rPr>
        <w:footnoteReference w:id="122"/>
      </w:r>
      <w:r w:rsidRPr="00193A9A">
        <w:rPr>
          <w:noProof/>
          <w:szCs w:val="24"/>
          <w:lang w:eastAsia="en-GB"/>
        </w:rPr>
        <w:t>).</w:t>
      </w:r>
    </w:p>
    <w:p w14:paraId="5F10E53D" w14:textId="1D0D3145" w:rsidR="000B4845" w:rsidRPr="00193A9A" w:rsidRDefault="000B4845" w:rsidP="000B4845">
      <w:pPr>
        <w:ind w:left="482" w:right="-28"/>
        <w:rPr>
          <w:noProof/>
          <w:color w:val="000000"/>
        </w:rPr>
      </w:pPr>
      <w:r w:rsidRPr="00193A9A">
        <w:rPr>
          <w:noProof/>
          <w:szCs w:val="24"/>
        </w:rPr>
        <w:t xml:space="preserve">In </w:t>
      </w:r>
      <w:r w:rsidR="009A3DFA" w:rsidRPr="00193A9A">
        <w:rPr>
          <w:noProof/>
          <w:szCs w:val="24"/>
        </w:rPr>
        <w:t xml:space="preserve">the </w:t>
      </w:r>
      <w:r w:rsidRPr="00193A9A">
        <w:rPr>
          <w:i/>
          <w:iCs/>
          <w:noProof/>
        </w:rPr>
        <w:t>Ministero della Giustizia</w:t>
      </w:r>
      <w:r w:rsidR="00A62EA3">
        <w:rPr>
          <w:i/>
          <w:iCs/>
          <w:noProof/>
        </w:rPr>
        <w:t xml:space="preserve"> </w:t>
      </w:r>
      <w:r w:rsidR="00A62EA3">
        <w:rPr>
          <w:noProof/>
        </w:rPr>
        <w:t>case</w:t>
      </w:r>
      <w:r w:rsidRPr="00193A9A">
        <w:rPr>
          <w:noProof/>
        </w:rPr>
        <w:t xml:space="preserve">, the Court examined a national law setting </w:t>
      </w:r>
      <w:r w:rsidRPr="00193A9A">
        <w:rPr>
          <w:b/>
          <w:bCs/>
          <w:noProof/>
        </w:rPr>
        <w:t>50 years of age as the limit to access the profession of notary</w:t>
      </w:r>
      <w:r w:rsidR="00417312" w:rsidRPr="00193A9A">
        <w:rPr>
          <w:b/>
          <w:bCs/>
          <w:noProof/>
        </w:rPr>
        <w:t> (</w:t>
      </w:r>
      <w:r w:rsidR="00417312" w:rsidRPr="000A25CB">
        <w:rPr>
          <w:rStyle w:val="FootnoteReference"/>
          <w:bCs/>
          <w:noProof/>
        </w:rPr>
        <w:footnoteReference w:id="123"/>
      </w:r>
      <w:r w:rsidR="00417312" w:rsidRPr="00193A9A">
        <w:rPr>
          <w:b/>
          <w:bCs/>
          <w:noProof/>
        </w:rPr>
        <w:t>)</w:t>
      </w:r>
      <w:r w:rsidR="00DD2FD4">
        <w:rPr>
          <w:b/>
          <w:bCs/>
          <w:noProof/>
        </w:rPr>
        <w:t xml:space="preserve">, </w:t>
      </w:r>
      <w:r w:rsidR="00DD2FD4" w:rsidRPr="00E334E1">
        <w:rPr>
          <w:noProof/>
        </w:rPr>
        <w:t xml:space="preserve">closely </w:t>
      </w:r>
      <w:r w:rsidR="00DD2FD4">
        <w:rPr>
          <w:noProof/>
        </w:rPr>
        <w:t>analysing the</w:t>
      </w:r>
      <w:r w:rsidR="00DD2FD4" w:rsidRPr="00E334E1">
        <w:rPr>
          <w:noProof/>
        </w:rPr>
        <w:t xml:space="preserve"> coherence of the national legislation in question</w:t>
      </w:r>
      <w:r w:rsidRPr="00193A9A">
        <w:rPr>
          <w:noProof/>
        </w:rPr>
        <w:t xml:space="preserve">. </w:t>
      </w:r>
    </w:p>
    <w:p w14:paraId="6C9828E1" w14:textId="6A38F4A8" w:rsidR="000B4845" w:rsidRPr="00193A9A" w:rsidRDefault="000B4845" w:rsidP="000B4845">
      <w:pPr>
        <w:ind w:left="482" w:right="-28"/>
        <w:rPr>
          <w:noProof/>
          <w:szCs w:val="24"/>
        </w:rPr>
      </w:pPr>
      <w:r w:rsidRPr="00193A9A">
        <w:rPr>
          <w:noProof/>
          <w:szCs w:val="24"/>
        </w:rPr>
        <w:t xml:space="preserve">Another example in </w:t>
      </w:r>
      <w:r w:rsidR="009A3DFA" w:rsidRPr="00193A9A">
        <w:rPr>
          <w:noProof/>
          <w:szCs w:val="24"/>
        </w:rPr>
        <w:t xml:space="preserve">the </w:t>
      </w:r>
      <w:r w:rsidRPr="00193A9A">
        <w:rPr>
          <w:i/>
          <w:iCs/>
          <w:noProof/>
          <w:szCs w:val="24"/>
        </w:rPr>
        <w:t>Ministero dell</w:t>
      </w:r>
      <w:r w:rsidR="00193A9A">
        <w:rPr>
          <w:i/>
          <w:iCs/>
          <w:noProof/>
          <w:szCs w:val="24"/>
        </w:rPr>
        <w:t>’</w:t>
      </w:r>
      <w:r w:rsidRPr="00193A9A">
        <w:rPr>
          <w:i/>
          <w:iCs/>
          <w:noProof/>
          <w:szCs w:val="24"/>
        </w:rPr>
        <w:t xml:space="preserve">Interno </w:t>
      </w:r>
      <w:r w:rsidR="00B50744" w:rsidRPr="00193A9A">
        <w:rPr>
          <w:noProof/>
          <w:szCs w:val="24"/>
        </w:rPr>
        <w:t xml:space="preserve">case </w:t>
      </w:r>
      <w:r w:rsidRPr="00193A9A">
        <w:rPr>
          <w:noProof/>
          <w:szCs w:val="24"/>
        </w:rPr>
        <w:t xml:space="preserve">concerned a national law </w:t>
      </w:r>
      <w:r w:rsidR="000F64E7">
        <w:rPr>
          <w:noProof/>
          <w:szCs w:val="24"/>
        </w:rPr>
        <w:t>setting</w:t>
      </w:r>
      <w:r w:rsidR="000F64E7" w:rsidRPr="00193A9A">
        <w:rPr>
          <w:noProof/>
          <w:szCs w:val="24"/>
        </w:rPr>
        <w:t xml:space="preserve"> </w:t>
      </w:r>
      <w:r w:rsidRPr="00193A9A">
        <w:rPr>
          <w:noProof/>
          <w:szCs w:val="24"/>
        </w:rPr>
        <w:t xml:space="preserve">a maximum age limit of </w:t>
      </w:r>
      <w:r w:rsidRPr="00193A9A">
        <w:rPr>
          <w:b/>
          <w:bCs/>
          <w:noProof/>
          <w:szCs w:val="24"/>
        </w:rPr>
        <w:t>30 for persons to be recruited as police commissioners</w:t>
      </w:r>
      <w:r w:rsidRPr="00193A9A">
        <w:rPr>
          <w:noProof/>
          <w:szCs w:val="24"/>
        </w:rPr>
        <w:t> (</w:t>
      </w:r>
      <w:r w:rsidRPr="00193A9A">
        <w:rPr>
          <w:rStyle w:val="FootnoteReference"/>
          <w:noProof/>
          <w:szCs w:val="24"/>
        </w:rPr>
        <w:footnoteReference w:id="124"/>
      </w:r>
      <w:r w:rsidRPr="00193A9A">
        <w:rPr>
          <w:noProof/>
          <w:szCs w:val="24"/>
        </w:rPr>
        <w:t>). The Court stressed that</w:t>
      </w:r>
      <w:r w:rsidR="00146731">
        <w:rPr>
          <w:noProof/>
          <w:szCs w:val="24"/>
        </w:rPr>
        <w:t xml:space="preserve"> such a rule would not comply with the Directive</w:t>
      </w:r>
      <w:r w:rsidRPr="00193A9A">
        <w:rPr>
          <w:noProof/>
          <w:szCs w:val="24"/>
        </w:rPr>
        <w:t xml:space="preserve"> </w:t>
      </w:r>
      <w:r w:rsidR="00146731">
        <w:rPr>
          <w:noProof/>
          <w:szCs w:val="24"/>
        </w:rPr>
        <w:t>if</w:t>
      </w:r>
      <w:r w:rsidRPr="00193A9A">
        <w:rPr>
          <w:noProof/>
          <w:szCs w:val="24"/>
        </w:rPr>
        <w:t xml:space="preserve"> the duties actually performed by those police commissioners </w:t>
      </w:r>
      <w:r w:rsidR="00DD2FD4">
        <w:rPr>
          <w:noProof/>
          <w:szCs w:val="24"/>
        </w:rPr>
        <w:t>did</w:t>
      </w:r>
      <w:r w:rsidR="00DD2FD4" w:rsidRPr="00193A9A">
        <w:rPr>
          <w:noProof/>
          <w:szCs w:val="24"/>
        </w:rPr>
        <w:t xml:space="preserve"> </w:t>
      </w:r>
      <w:r w:rsidRPr="00193A9A">
        <w:rPr>
          <w:noProof/>
          <w:szCs w:val="24"/>
        </w:rPr>
        <w:t xml:space="preserve">not require particular physical capacities. If </w:t>
      </w:r>
      <w:r w:rsidR="00EC19C7">
        <w:rPr>
          <w:noProof/>
          <w:szCs w:val="24"/>
        </w:rPr>
        <w:t>particular</w:t>
      </w:r>
      <w:r w:rsidR="00EC19C7" w:rsidRPr="00193A9A">
        <w:rPr>
          <w:noProof/>
          <w:szCs w:val="24"/>
        </w:rPr>
        <w:t xml:space="preserve"> </w:t>
      </w:r>
      <w:r w:rsidRPr="00193A9A">
        <w:rPr>
          <w:noProof/>
          <w:szCs w:val="24"/>
        </w:rPr>
        <w:t xml:space="preserve">physical capacities </w:t>
      </w:r>
      <w:r w:rsidR="00EC19C7">
        <w:rPr>
          <w:noProof/>
          <w:szCs w:val="24"/>
        </w:rPr>
        <w:t>are</w:t>
      </w:r>
      <w:r w:rsidR="00EC19C7" w:rsidRPr="00193A9A">
        <w:rPr>
          <w:noProof/>
          <w:szCs w:val="24"/>
        </w:rPr>
        <w:t xml:space="preserve"> </w:t>
      </w:r>
      <w:r w:rsidRPr="00193A9A">
        <w:rPr>
          <w:noProof/>
          <w:szCs w:val="24"/>
        </w:rPr>
        <w:t xml:space="preserve">required, </w:t>
      </w:r>
      <w:r w:rsidR="00DD2FD4">
        <w:rPr>
          <w:noProof/>
          <w:szCs w:val="24"/>
        </w:rPr>
        <w:t xml:space="preserve">the age limit would have to be checked as to its possibly disproportionate nature; in the case at hand </w:t>
      </w:r>
      <w:r w:rsidR="00146731">
        <w:rPr>
          <w:noProof/>
          <w:szCs w:val="24"/>
        </w:rPr>
        <w:t xml:space="preserve">carrying out </w:t>
      </w:r>
      <w:r w:rsidRPr="00193A9A">
        <w:rPr>
          <w:noProof/>
          <w:szCs w:val="24"/>
        </w:rPr>
        <w:t xml:space="preserve">a physical fitness test </w:t>
      </w:r>
      <w:r w:rsidR="00146731">
        <w:rPr>
          <w:noProof/>
          <w:szCs w:val="24"/>
        </w:rPr>
        <w:t>as part of</w:t>
      </w:r>
      <w:r w:rsidRPr="00193A9A">
        <w:rPr>
          <w:noProof/>
          <w:szCs w:val="24"/>
        </w:rPr>
        <w:t xml:space="preserve"> the </w:t>
      </w:r>
      <w:r w:rsidR="00146731">
        <w:rPr>
          <w:noProof/>
          <w:szCs w:val="24"/>
        </w:rPr>
        <w:t xml:space="preserve">recruitment </w:t>
      </w:r>
      <w:r w:rsidRPr="00193A9A">
        <w:rPr>
          <w:noProof/>
          <w:szCs w:val="24"/>
        </w:rPr>
        <w:t xml:space="preserve">competition could </w:t>
      </w:r>
      <w:r w:rsidR="00B76686">
        <w:rPr>
          <w:noProof/>
          <w:szCs w:val="24"/>
        </w:rPr>
        <w:t xml:space="preserve">possibly </w:t>
      </w:r>
      <w:r w:rsidR="00EC19C7">
        <w:rPr>
          <w:noProof/>
          <w:szCs w:val="24"/>
        </w:rPr>
        <w:t>be</w:t>
      </w:r>
      <w:r w:rsidR="00EC19C7" w:rsidRPr="00193A9A">
        <w:rPr>
          <w:noProof/>
          <w:szCs w:val="24"/>
        </w:rPr>
        <w:t xml:space="preserve"> </w:t>
      </w:r>
      <w:r w:rsidRPr="00193A9A">
        <w:rPr>
          <w:noProof/>
          <w:szCs w:val="24"/>
        </w:rPr>
        <w:t>an appropriate and less onerous measure.</w:t>
      </w:r>
    </w:p>
    <w:p w14:paraId="246536CD" w14:textId="21A78C0A" w:rsidR="000B4845" w:rsidRPr="00193A9A" w:rsidRDefault="000B4845" w:rsidP="000B4845">
      <w:pPr>
        <w:ind w:left="482" w:right="-28"/>
        <w:rPr>
          <w:noProof/>
          <w:szCs w:val="24"/>
        </w:rPr>
      </w:pPr>
      <w:r w:rsidRPr="00193A9A">
        <w:rPr>
          <w:noProof/>
          <w:szCs w:val="24"/>
        </w:rPr>
        <w:t xml:space="preserve">On a different age-related issue, the CJEU examined a national rule placing public-sector workers </w:t>
      </w:r>
      <w:r w:rsidR="00B2732B">
        <w:rPr>
          <w:noProof/>
          <w:szCs w:val="24"/>
        </w:rPr>
        <w:t>who qualified for</w:t>
      </w:r>
      <w:r w:rsidRPr="00193A9A">
        <w:rPr>
          <w:noProof/>
          <w:szCs w:val="24"/>
        </w:rPr>
        <w:t xml:space="preserve"> a full pension in a </w:t>
      </w:r>
      <w:r w:rsidRPr="00193A9A">
        <w:rPr>
          <w:b/>
          <w:bCs/>
          <w:noProof/>
          <w:szCs w:val="24"/>
        </w:rPr>
        <w:t>‘labour reserve’</w:t>
      </w:r>
      <w:r w:rsidRPr="00193A9A">
        <w:rPr>
          <w:noProof/>
          <w:szCs w:val="24"/>
        </w:rPr>
        <w:t xml:space="preserve"> system until the termination of their contract</w:t>
      </w:r>
      <w:r w:rsidR="00B2732B">
        <w:rPr>
          <w:noProof/>
          <w:szCs w:val="24"/>
        </w:rPr>
        <w:t>.</w:t>
      </w:r>
      <w:r w:rsidRPr="00193A9A">
        <w:rPr>
          <w:noProof/>
          <w:szCs w:val="24"/>
        </w:rPr>
        <w:t xml:space="preserve"> </w:t>
      </w:r>
      <w:r w:rsidR="00B2732B">
        <w:rPr>
          <w:noProof/>
          <w:szCs w:val="24"/>
        </w:rPr>
        <w:t>This had</w:t>
      </w:r>
      <w:r w:rsidRPr="00193A9A">
        <w:rPr>
          <w:noProof/>
          <w:szCs w:val="24"/>
        </w:rPr>
        <w:t xml:space="preserve"> negative economic </w:t>
      </w:r>
      <w:r w:rsidR="00B2732B">
        <w:rPr>
          <w:noProof/>
          <w:szCs w:val="24"/>
        </w:rPr>
        <w:t>consequences</w:t>
      </w:r>
      <w:r w:rsidR="00B2732B" w:rsidRPr="00193A9A">
        <w:rPr>
          <w:noProof/>
          <w:szCs w:val="24"/>
        </w:rPr>
        <w:t xml:space="preserve"> </w:t>
      </w:r>
      <w:r w:rsidRPr="00193A9A">
        <w:rPr>
          <w:noProof/>
          <w:szCs w:val="24"/>
        </w:rPr>
        <w:t>(e.g. reduction in pay, loss of possible advancement, cancellation of severance pay)</w:t>
      </w:r>
      <w:r w:rsidR="00B2732B">
        <w:rPr>
          <w:noProof/>
          <w:szCs w:val="24"/>
        </w:rPr>
        <w:t xml:space="preserve"> for the workers concerned</w:t>
      </w:r>
      <w:r w:rsidRPr="00193A9A">
        <w:rPr>
          <w:noProof/>
          <w:szCs w:val="24"/>
        </w:rPr>
        <w:t> (</w:t>
      </w:r>
      <w:r w:rsidRPr="00193A9A">
        <w:rPr>
          <w:rStyle w:val="FootnoteReference"/>
          <w:noProof/>
          <w:szCs w:val="24"/>
        </w:rPr>
        <w:footnoteReference w:id="125"/>
      </w:r>
      <w:r w:rsidRPr="00193A9A">
        <w:rPr>
          <w:noProof/>
          <w:szCs w:val="24"/>
        </w:rPr>
        <w:t xml:space="preserve">). The Court held that the Directive does not preclude such </w:t>
      </w:r>
      <w:r w:rsidR="00B2732B">
        <w:rPr>
          <w:noProof/>
          <w:szCs w:val="24"/>
        </w:rPr>
        <w:t xml:space="preserve">a </w:t>
      </w:r>
      <w:r w:rsidRPr="00193A9A">
        <w:rPr>
          <w:noProof/>
          <w:szCs w:val="24"/>
        </w:rPr>
        <w:t>national law if the conditions of Article</w:t>
      </w:r>
      <w:r w:rsidR="00193A9A">
        <w:rPr>
          <w:noProof/>
          <w:szCs w:val="24"/>
        </w:rPr>
        <w:t> </w:t>
      </w:r>
      <w:r w:rsidRPr="00193A9A">
        <w:rPr>
          <w:noProof/>
          <w:szCs w:val="24"/>
        </w:rPr>
        <w:t xml:space="preserve">6 are met. It </w:t>
      </w:r>
      <w:r w:rsidR="00B2732B">
        <w:rPr>
          <w:noProof/>
          <w:szCs w:val="24"/>
        </w:rPr>
        <w:t>cited</w:t>
      </w:r>
      <w:r w:rsidR="00B2732B" w:rsidRPr="00193A9A">
        <w:rPr>
          <w:noProof/>
          <w:szCs w:val="24"/>
        </w:rPr>
        <w:t xml:space="preserve"> </w:t>
      </w:r>
      <w:r w:rsidRPr="00193A9A">
        <w:rPr>
          <w:noProof/>
          <w:szCs w:val="24"/>
        </w:rPr>
        <w:t xml:space="preserve">the </w:t>
      </w:r>
      <w:r w:rsidRPr="00193A9A">
        <w:rPr>
          <w:b/>
          <w:bCs/>
          <w:noProof/>
          <w:szCs w:val="24"/>
        </w:rPr>
        <w:t xml:space="preserve">context of acute economic crisis and the objectives </w:t>
      </w:r>
      <w:r w:rsidR="00B2732B">
        <w:rPr>
          <w:b/>
          <w:bCs/>
          <w:noProof/>
          <w:szCs w:val="24"/>
        </w:rPr>
        <w:t>of</w:t>
      </w:r>
      <w:r w:rsidR="00B2732B" w:rsidRPr="00193A9A">
        <w:rPr>
          <w:b/>
          <w:bCs/>
          <w:noProof/>
          <w:szCs w:val="24"/>
        </w:rPr>
        <w:t xml:space="preserve"> </w:t>
      </w:r>
      <w:r w:rsidRPr="00193A9A">
        <w:rPr>
          <w:b/>
          <w:bCs/>
          <w:noProof/>
          <w:szCs w:val="24"/>
        </w:rPr>
        <w:t>maintain</w:t>
      </w:r>
      <w:r w:rsidR="00B2732B">
        <w:rPr>
          <w:b/>
          <w:bCs/>
          <w:noProof/>
          <w:szCs w:val="24"/>
        </w:rPr>
        <w:t>ing</w:t>
      </w:r>
      <w:r w:rsidRPr="00193A9A">
        <w:rPr>
          <w:b/>
          <w:bCs/>
          <w:noProof/>
          <w:szCs w:val="24"/>
        </w:rPr>
        <w:t xml:space="preserve"> employment and balanc</w:t>
      </w:r>
      <w:r w:rsidR="008D29D4">
        <w:rPr>
          <w:b/>
          <w:bCs/>
          <w:noProof/>
          <w:szCs w:val="24"/>
        </w:rPr>
        <w:t>ing</w:t>
      </w:r>
      <w:r w:rsidRPr="00193A9A">
        <w:rPr>
          <w:b/>
          <w:bCs/>
          <w:noProof/>
          <w:szCs w:val="24"/>
        </w:rPr>
        <w:t xml:space="preserve"> the age structure of the workforce.</w:t>
      </w:r>
    </w:p>
    <w:p w14:paraId="59F42213" w14:textId="260ECDCA" w:rsidR="000B4845" w:rsidRPr="00193A9A" w:rsidRDefault="000B4845" w:rsidP="000B4845">
      <w:pPr>
        <w:ind w:left="482"/>
        <w:rPr>
          <w:noProof/>
          <w:szCs w:val="24"/>
        </w:rPr>
      </w:pPr>
      <w:r w:rsidRPr="00193A9A">
        <w:rPr>
          <w:noProof/>
          <w:szCs w:val="24"/>
        </w:rPr>
        <w:t xml:space="preserve">Finally, in </w:t>
      </w:r>
      <w:r w:rsidR="009A3DFA" w:rsidRPr="00193A9A">
        <w:rPr>
          <w:noProof/>
          <w:szCs w:val="24"/>
        </w:rPr>
        <w:t xml:space="preserve">the </w:t>
      </w:r>
      <w:r w:rsidRPr="00193A9A">
        <w:rPr>
          <w:i/>
          <w:iCs/>
          <w:noProof/>
          <w:szCs w:val="24"/>
        </w:rPr>
        <w:t>AP Assistenzprofis</w:t>
      </w:r>
      <w:r w:rsidR="009A3DFA" w:rsidRPr="00193A9A">
        <w:rPr>
          <w:i/>
          <w:iCs/>
          <w:noProof/>
          <w:szCs w:val="24"/>
        </w:rPr>
        <w:t xml:space="preserve"> </w:t>
      </w:r>
      <w:r w:rsidR="009A3DFA" w:rsidRPr="00193A9A">
        <w:rPr>
          <w:noProof/>
          <w:szCs w:val="24"/>
        </w:rPr>
        <w:t>case</w:t>
      </w:r>
      <w:r w:rsidRPr="00193A9A">
        <w:rPr>
          <w:noProof/>
          <w:szCs w:val="24"/>
        </w:rPr>
        <w:t>, the CJEU had to balance opposing interests on the grounds of age and disability (</w:t>
      </w:r>
      <w:r w:rsidRPr="00193A9A">
        <w:rPr>
          <w:rStyle w:val="FootnoteReference"/>
          <w:noProof/>
          <w:szCs w:val="24"/>
        </w:rPr>
        <w:footnoteReference w:id="126"/>
      </w:r>
      <w:r w:rsidRPr="00193A9A">
        <w:rPr>
          <w:noProof/>
          <w:szCs w:val="24"/>
        </w:rPr>
        <w:t xml:space="preserve">). A 28-year-old person with disabilities, who was looking for a personal assistant to help them in all areas of everyday life, restricted the selection to candidates </w:t>
      </w:r>
      <w:r w:rsidR="00BB46EC">
        <w:rPr>
          <w:noProof/>
          <w:szCs w:val="24"/>
        </w:rPr>
        <w:t xml:space="preserve">of </w:t>
      </w:r>
      <w:r w:rsidRPr="00193A9A">
        <w:rPr>
          <w:noProof/>
          <w:szCs w:val="24"/>
        </w:rPr>
        <w:t>between 18 and 30 years of age. The Court held that national law could take account of the individual wishes of person</w:t>
      </w:r>
      <w:r w:rsidR="00D57791">
        <w:rPr>
          <w:noProof/>
          <w:szCs w:val="24"/>
        </w:rPr>
        <w:t>s</w:t>
      </w:r>
      <w:r w:rsidRPr="00193A9A">
        <w:rPr>
          <w:noProof/>
          <w:szCs w:val="24"/>
        </w:rPr>
        <w:t xml:space="preserve"> with disabilities if such a measure was necessary for the protection of the</w:t>
      </w:r>
      <w:r w:rsidR="00B76686">
        <w:rPr>
          <w:noProof/>
          <w:szCs w:val="24"/>
        </w:rPr>
        <w:t>ir</w:t>
      </w:r>
      <w:r w:rsidRPr="00193A9A">
        <w:rPr>
          <w:noProof/>
          <w:szCs w:val="24"/>
        </w:rPr>
        <w:t xml:space="preserve"> rights and freedoms. It pointed</w:t>
      </w:r>
      <w:r w:rsidR="00DB6AC5">
        <w:rPr>
          <w:noProof/>
          <w:szCs w:val="24"/>
        </w:rPr>
        <w:t xml:space="preserve"> out</w:t>
      </w:r>
      <w:r w:rsidRPr="00193A9A">
        <w:rPr>
          <w:noProof/>
          <w:szCs w:val="24"/>
        </w:rPr>
        <w:t xml:space="preserve"> that the age-range requirement </w:t>
      </w:r>
      <w:r w:rsidR="00D57791">
        <w:rPr>
          <w:noProof/>
          <w:szCs w:val="24"/>
        </w:rPr>
        <w:t>was</w:t>
      </w:r>
      <w:r w:rsidR="00D57791" w:rsidRPr="00193A9A">
        <w:rPr>
          <w:noProof/>
          <w:szCs w:val="24"/>
        </w:rPr>
        <w:t xml:space="preserve"> </w:t>
      </w:r>
      <w:r w:rsidRPr="00193A9A">
        <w:rPr>
          <w:noProof/>
          <w:szCs w:val="24"/>
        </w:rPr>
        <w:t xml:space="preserve">likely to promote respect for the right to self-determination </w:t>
      </w:r>
      <w:r w:rsidR="00CE5517">
        <w:rPr>
          <w:noProof/>
          <w:szCs w:val="24"/>
        </w:rPr>
        <w:t>by</w:t>
      </w:r>
      <w:r w:rsidR="00CE5517" w:rsidRPr="00193A9A">
        <w:rPr>
          <w:noProof/>
          <w:szCs w:val="24"/>
        </w:rPr>
        <w:t xml:space="preserve"> </w:t>
      </w:r>
      <w:r w:rsidRPr="00193A9A">
        <w:rPr>
          <w:noProof/>
          <w:szCs w:val="24"/>
        </w:rPr>
        <w:t>the person with disabilities and that it appears reasonable to expect a personal assistant within the same age range</w:t>
      </w:r>
      <w:r w:rsidR="00CE5517">
        <w:rPr>
          <w:noProof/>
          <w:szCs w:val="24"/>
        </w:rPr>
        <w:t xml:space="preserve"> as the person with disabilities</w:t>
      </w:r>
      <w:r w:rsidRPr="00193A9A">
        <w:rPr>
          <w:noProof/>
          <w:szCs w:val="24"/>
        </w:rPr>
        <w:t xml:space="preserve"> </w:t>
      </w:r>
      <w:r w:rsidR="00CE5517">
        <w:rPr>
          <w:noProof/>
          <w:szCs w:val="24"/>
        </w:rPr>
        <w:t>to</w:t>
      </w:r>
      <w:r w:rsidR="00CE5517" w:rsidRPr="00193A9A">
        <w:rPr>
          <w:noProof/>
          <w:szCs w:val="24"/>
        </w:rPr>
        <w:t xml:space="preserve"> </w:t>
      </w:r>
      <w:r w:rsidRPr="00193A9A">
        <w:rPr>
          <w:noProof/>
          <w:szCs w:val="24"/>
        </w:rPr>
        <w:t>fit in</w:t>
      </w:r>
      <w:r w:rsidR="00CE5517">
        <w:rPr>
          <w:noProof/>
          <w:szCs w:val="24"/>
        </w:rPr>
        <w:t>to</w:t>
      </w:r>
      <w:r w:rsidRPr="00193A9A">
        <w:rPr>
          <w:noProof/>
          <w:szCs w:val="24"/>
        </w:rPr>
        <w:t xml:space="preserve"> </w:t>
      </w:r>
      <w:r w:rsidR="00CE5517">
        <w:rPr>
          <w:noProof/>
          <w:szCs w:val="24"/>
        </w:rPr>
        <w:t>that person’s</w:t>
      </w:r>
      <w:r w:rsidR="00CE5517" w:rsidRPr="00193A9A">
        <w:rPr>
          <w:noProof/>
          <w:szCs w:val="24"/>
        </w:rPr>
        <w:t xml:space="preserve"> </w:t>
      </w:r>
      <w:r w:rsidRPr="00193A9A">
        <w:rPr>
          <w:noProof/>
          <w:szCs w:val="24"/>
        </w:rPr>
        <w:t xml:space="preserve">personal and social circle </w:t>
      </w:r>
      <w:r w:rsidR="00CE5517">
        <w:rPr>
          <w:noProof/>
          <w:szCs w:val="24"/>
        </w:rPr>
        <w:t>more easily</w:t>
      </w:r>
      <w:r w:rsidRPr="00193A9A">
        <w:rPr>
          <w:noProof/>
          <w:szCs w:val="24"/>
        </w:rPr>
        <w:t>.</w:t>
      </w:r>
    </w:p>
    <w:p w14:paraId="05CC174F" w14:textId="77777777" w:rsidR="000B4845" w:rsidRPr="00193A9A" w:rsidRDefault="000B4845" w:rsidP="000B4845">
      <w:pPr>
        <w:pStyle w:val="Heading2"/>
        <w:rPr>
          <w:noProof/>
        </w:rPr>
      </w:pPr>
      <w:bookmarkStart w:id="33" w:name="_Toc214348100"/>
      <w:r w:rsidRPr="00193A9A">
        <w:rPr>
          <w:noProof/>
        </w:rPr>
        <w:t>Sexual orientation</w:t>
      </w:r>
      <w:bookmarkEnd w:id="33"/>
    </w:p>
    <w:p w14:paraId="49E15644" w14:textId="38A1D156" w:rsidR="002676FD" w:rsidRPr="00193A9A" w:rsidRDefault="000B4845" w:rsidP="00B61149">
      <w:pPr>
        <w:ind w:left="482" w:right="-28"/>
        <w:rPr>
          <w:noProof/>
        </w:rPr>
      </w:pPr>
      <w:r w:rsidRPr="00193A9A">
        <w:rPr>
          <w:noProof/>
          <w:szCs w:val="24"/>
          <w:lang w:eastAsia="en-GB"/>
        </w:rPr>
        <w:t>In the above</w:t>
      </w:r>
      <w:r w:rsidR="00433525">
        <w:rPr>
          <w:noProof/>
          <w:szCs w:val="24"/>
          <w:lang w:eastAsia="en-GB"/>
        </w:rPr>
        <w:t>-</w:t>
      </w:r>
      <w:r w:rsidRPr="00193A9A">
        <w:rPr>
          <w:noProof/>
          <w:szCs w:val="24"/>
          <w:lang w:eastAsia="en-GB"/>
        </w:rPr>
        <w:t>mentioned</w:t>
      </w:r>
      <w:r w:rsidR="00193A9A" w:rsidRPr="00193A9A">
        <w:rPr>
          <w:noProof/>
          <w:szCs w:val="24"/>
          <w:lang w:eastAsia="en-GB"/>
        </w:rPr>
        <w:t xml:space="preserve"> </w:t>
      </w:r>
      <w:r w:rsidRPr="00193A9A">
        <w:rPr>
          <w:i/>
          <w:iCs/>
          <w:noProof/>
          <w:szCs w:val="24"/>
          <w:lang w:eastAsia="en-GB"/>
        </w:rPr>
        <w:t>TP (Audiovisual editor for public television</w:t>
      </w:r>
      <w:r w:rsidR="00433525">
        <w:rPr>
          <w:i/>
          <w:iCs/>
          <w:noProof/>
          <w:szCs w:val="24"/>
          <w:lang w:eastAsia="en-GB"/>
        </w:rPr>
        <w:t xml:space="preserve">) </w:t>
      </w:r>
      <w:r w:rsidR="00433525">
        <w:rPr>
          <w:noProof/>
          <w:szCs w:val="24"/>
          <w:lang w:eastAsia="en-GB"/>
        </w:rPr>
        <w:t>case</w:t>
      </w:r>
      <w:r w:rsidR="000816FD" w:rsidRPr="00193A9A">
        <w:rPr>
          <w:noProof/>
          <w:szCs w:val="24"/>
          <w:lang w:eastAsia="en-GB"/>
        </w:rPr>
        <w:t xml:space="preserve"> </w:t>
      </w:r>
      <w:r w:rsidR="00433525">
        <w:rPr>
          <w:noProof/>
          <w:szCs w:val="24"/>
          <w:lang w:eastAsia="en-GB"/>
        </w:rPr>
        <w:t>(</w:t>
      </w:r>
      <w:r w:rsidR="000816FD" w:rsidRPr="00B61149">
        <w:rPr>
          <w:noProof/>
          <w:szCs w:val="24"/>
          <w:lang w:eastAsia="en-GB"/>
        </w:rPr>
        <w:t>see 5.1</w:t>
      </w:r>
      <w:r w:rsidRPr="00193A9A">
        <w:rPr>
          <w:noProof/>
          <w:szCs w:val="24"/>
          <w:lang w:eastAsia="en-GB"/>
        </w:rPr>
        <w:t xml:space="preserve">), the Court held that </w:t>
      </w:r>
      <w:r w:rsidR="00B76686">
        <w:rPr>
          <w:noProof/>
          <w:szCs w:val="24"/>
          <w:lang w:eastAsia="en-GB"/>
        </w:rPr>
        <w:t>the</w:t>
      </w:r>
      <w:r w:rsidRPr="00193A9A">
        <w:rPr>
          <w:noProof/>
          <w:szCs w:val="24"/>
          <w:lang w:eastAsia="en-GB"/>
        </w:rPr>
        <w:t xml:space="preserve"> freedom of contract in a democratic society</w:t>
      </w:r>
      <w:r w:rsidRPr="00193A9A">
        <w:rPr>
          <w:noProof/>
          <w:szCs w:val="24"/>
          <w:shd w:val="clear" w:color="auto" w:fill="FFFFFF"/>
          <w:lang w:eastAsia="en-GB"/>
        </w:rPr>
        <w:t xml:space="preserve"> is not absolute but</w:t>
      </w:r>
      <w:r w:rsidR="00B40C70">
        <w:rPr>
          <w:noProof/>
          <w:szCs w:val="24"/>
          <w:shd w:val="clear" w:color="auto" w:fill="FFFFFF"/>
          <w:lang w:eastAsia="en-GB"/>
        </w:rPr>
        <w:t xml:space="preserve"> is</w:t>
      </w:r>
      <w:r w:rsidRPr="00193A9A">
        <w:rPr>
          <w:noProof/>
          <w:szCs w:val="24"/>
          <w:shd w:val="clear" w:color="auto" w:fill="FFFFFF"/>
          <w:lang w:eastAsia="en-GB"/>
        </w:rPr>
        <w:t xml:space="preserve"> to be viewed in relation to its social function (</w:t>
      </w:r>
      <w:r w:rsidRPr="00193A9A">
        <w:rPr>
          <w:rStyle w:val="FootnoteReference"/>
          <w:noProof/>
          <w:szCs w:val="24"/>
          <w:shd w:val="clear" w:color="auto" w:fill="FFFFFF"/>
          <w:lang w:eastAsia="en-GB"/>
        </w:rPr>
        <w:footnoteReference w:id="127"/>
      </w:r>
      <w:r w:rsidRPr="00193A9A">
        <w:rPr>
          <w:noProof/>
          <w:szCs w:val="24"/>
          <w:shd w:val="clear" w:color="auto" w:fill="FFFFFF"/>
          <w:lang w:eastAsia="en-GB"/>
        </w:rPr>
        <w:t xml:space="preserve">). In this context, accepting that freedom </w:t>
      </w:r>
      <w:r w:rsidR="00ED63FD">
        <w:rPr>
          <w:noProof/>
          <w:szCs w:val="24"/>
          <w:shd w:val="clear" w:color="auto" w:fill="FFFFFF"/>
          <w:lang w:eastAsia="en-GB"/>
        </w:rPr>
        <w:t>of</w:t>
      </w:r>
      <w:r w:rsidR="00B40C70">
        <w:rPr>
          <w:noProof/>
          <w:szCs w:val="24"/>
          <w:shd w:val="clear" w:color="auto" w:fill="FFFFFF"/>
          <w:lang w:eastAsia="en-GB"/>
        </w:rPr>
        <w:t xml:space="preserve"> </w:t>
      </w:r>
      <w:r w:rsidRPr="00193A9A">
        <w:rPr>
          <w:noProof/>
          <w:szCs w:val="24"/>
          <w:shd w:val="clear" w:color="auto" w:fill="FFFFFF"/>
          <w:lang w:eastAsia="en-GB"/>
        </w:rPr>
        <w:t xml:space="preserve">contract allows </w:t>
      </w:r>
      <w:r w:rsidR="00ED63FD">
        <w:rPr>
          <w:noProof/>
          <w:szCs w:val="24"/>
          <w:shd w:val="clear" w:color="auto" w:fill="FFFFFF"/>
          <w:lang w:eastAsia="en-GB"/>
        </w:rPr>
        <w:t>a party to</w:t>
      </w:r>
      <w:r w:rsidRPr="00193A9A">
        <w:rPr>
          <w:noProof/>
          <w:szCs w:val="24"/>
          <w:shd w:val="clear" w:color="auto" w:fill="FFFFFF"/>
          <w:lang w:eastAsia="en-GB"/>
        </w:rPr>
        <w:t xml:space="preserve"> refus</w:t>
      </w:r>
      <w:r w:rsidR="00ED63FD">
        <w:rPr>
          <w:noProof/>
          <w:szCs w:val="24"/>
          <w:shd w:val="clear" w:color="auto" w:fill="FFFFFF"/>
          <w:lang w:eastAsia="en-GB"/>
        </w:rPr>
        <w:t>e</w:t>
      </w:r>
      <w:r w:rsidRPr="00193A9A">
        <w:rPr>
          <w:noProof/>
          <w:szCs w:val="24"/>
          <w:shd w:val="clear" w:color="auto" w:fill="FFFFFF"/>
          <w:lang w:eastAsia="en-GB"/>
        </w:rPr>
        <w:t xml:space="preserve"> to</w:t>
      </w:r>
      <w:r w:rsidR="00ED63FD">
        <w:rPr>
          <w:noProof/>
          <w:szCs w:val="24"/>
          <w:shd w:val="clear" w:color="auto" w:fill="FFFFFF"/>
          <w:lang w:eastAsia="en-GB"/>
        </w:rPr>
        <w:t xml:space="preserve"> enter into a</w:t>
      </w:r>
      <w:r w:rsidRPr="00193A9A">
        <w:rPr>
          <w:noProof/>
          <w:szCs w:val="24"/>
          <w:shd w:val="clear" w:color="auto" w:fill="FFFFFF"/>
          <w:lang w:eastAsia="en-GB"/>
        </w:rPr>
        <w:t xml:space="preserve"> contract with a person on the basis of their sexual orientation would deprive the Directive of its practical effect.</w:t>
      </w:r>
    </w:p>
    <w:p w14:paraId="40F99713" w14:textId="00D94B15" w:rsidR="008B5516" w:rsidRPr="00193A9A" w:rsidRDefault="008B5516" w:rsidP="00D949BB">
      <w:pPr>
        <w:pStyle w:val="Heading1"/>
        <w:spacing w:before="0"/>
        <w:ind w:left="475" w:hanging="475"/>
        <w:rPr>
          <w:noProof/>
        </w:rPr>
      </w:pPr>
      <w:bookmarkStart w:id="34" w:name="_Toc213340807"/>
      <w:bookmarkStart w:id="35" w:name="_Toc214348101"/>
      <w:r w:rsidRPr="00193A9A">
        <w:rPr>
          <w:noProof/>
        </w:rPr>
        <w:t>Applying the Directives in response to structural discrimination</w:t>
      </w:r>
    </w:p>
    <w:p w14:paraId="54E88F36" w14:textId="32E899F9" w:rsidR="00E14E8B" w:rsidRDefault="005F7ED0" w:rsidP="00E14E8B">
      <w:pPr>
        <w:pStyle w:val="Text1"/>
        <w:rPr>
          <w:noProof/>
        </w:rPr>
      </w:pPr>
      <w:r w:rsidRPr="00193A9A">
        <w:rPr>
          <w:noProof/>
        </w:rPr>
        <w:t xml:space="preserve">Inequalities are not simply the sum of individual </w:t>
      </w:r>
      <w:r w:rsidR="00E14E8B">
        <w:rPr>
          <w:noProof/>
        </w:rPr>
        <w:t xml:space="preserve">experiences of </w:t>
      </w:r>
      <w:r w:rsidR="0069666A">
        <w:rPr>
          <w:noProof/>
        </w:rPr>
        <w:t xml:space="preserve">contempt or </w:t>
      </w:r>
      <w:r w:rsidR="00E14E8B">
        <w:rPr>
          <w:noProof/>
        </w:rPr>
        <w:t>barriers</w:t>
      </w:r>
      <w:r w:rsidR="0069666A">
        <w:rPr>
          <w:noProof/>
        </w:rPr>
        <w:t>, such as</w:t>
      </w:r>
      <w:r w:rsidR="00E14E8B">
        <w:rPr>
          <w:noProof/>
        </w:rPr>
        <w:t xml:space="preserve"> </w:t>
      </w:r>
      <w:r w:rsidR="009A3321">
        <w:rPr>
          <w:noProof/>
        </w:rPr>
        <w:t>those encountered when</w:t>
      </w:r>
      <w:r w:rsidR="00E14E8B">
        <w:rPr>
          <w:noProof/>
        </w:rPr>
        <w:t xml:space="preserve"> </w:t>
      </w:r>
      <w:r w:rsidR="00E14E8B" w:rsidRPr="00E14E8B">
        <w:rPr>
          <w:noProof/>
        </w:rPr>
        <w:t xml:space="preserve">searching for housing, looking for a job, </w:t>
      </w:r>
      <w:r w:rsidR="009A3321">
        <w:rPr>
          <w:noProof/>
        </w:rPr>
        <w:t>in the</w:t>
      </w:r>
      <w:r w:rsidR="00E14E8B" w:rsidRPr="00E14E8B">
        <w:rPr>
          <w:noProof/>
        </w:rPr>
        <w:t xml:space="preserve"> work</w:t>
      </w:r>
      <w:r w:rsidR="009A3321">
        <w:rPr>
          <w:noProof/>
        </w:rPr>
        <w:t>place</w:t>
      </w:r>
      <w:r w:rsidR="0069666A">
        <w:rPr>
          <w:noProof/>
        </w:rPr>
        <w:t xml:space="preserve"> or </w:t>
      </w:r>
      <w:r w:rsidR="00E14E8B" w:rsidRPr="00E14E8B">
        <w:rPr>
          <w:noProof/>
        </w:rPr>
        <w:t>in access to education</w:t>
      </w:r>
      <w:r w:rsidRPr="00193A9A">
        <w:rPr>
          <w:noProof/>
        </w:rPr>
        <w:t>.</w:t>
      </w:r>
    </w:p>
    <w:p w14:paraId="717412EF" w14:textId="71FFCE22" w:rsidR="00FE0B6E" w:rsidRPr="00B61149" w:rsidRDefault="00E14E8B" w:rsidP="0069666A">
      <w:pPr>
        <w:pStyle w:val="Text1"/>
        <w:rPr>
          <w:noProof/>
          <w:lang w:val="en-IE"/>
        </w:rPr>
      </w:pPr>
      <w:r>
        <w:rPr>
          <w:noProof/>
        </w:rPr>
        <w:t xml:space="preserve">For </w:t>
      </w:r>
      <w:r w:rsidR="009A3321">
        <w:rPr>
          <w:noProof/>
        </w:rPr>
        <w:t>example</w:t>
      </w:r>
      <w:r>
        <w:rPr>
          <w:noProof/>
        </w:rPr>
        <w:t xml:space="preserve">, the anti-racism strategy 2026-2030 </w:t>
      </w:r>
      <w:r w:rsidR="009A3321">
        <w:rPr>
          <w:noProof/>
        </w:rPr>
        <w:t>notes</w:t>
      </w:r>
      <w:r>
        <w:rPr>
          <w:noProof/>
        </w:rPr>
        <w:t xml:space="preserve"> that </w:t>
      </w:r>
      <w:r w:rsidR="009A3321">
        <w:rPr>
          <w:noProof/>
        </w:rPr>
        <w:t xml:space="preserve">lifetime experiences of </w:t>
      </w:r>
      <w:r>
        <w:rPr>
          <w:noProof/>
        </w:rPr>
        <w:t xml:space="preserve">racism </w:t>
      </w:r>
      <w:r w:rsidR="009A3321">
        <w:rPr>
          <w:noProof/>
        </w:rPr>
        <w:t>accumulate</w:t>
      </w:r>
      <w:r>
        <w:rPr>
          <w:noProof/>
        </w:rPr>
        <w:t xml:space="preserve"> and pose</w:t>
      </w:r>
      <w:r w:rsidR="009A3321">
        <w:rPr>
          <w:noProof/>
        </w:rPr>
        <w:t xml:space="preserve"> </w:t>
      </w:r>
      <w:r>
        <w:rPr>
          <w:noProof/>
        </w:rPr>
        <w:t>structural barriers</w:t>
      </w:r>
      <w:r w:rsidR="0069666A">
        <w:rPr>
          <w:noProof/>
        </w:rPr>
        <w:t xml:space="preserve"> (‘structural racism’)</w:t>
      </w:r>
      <w:r w:rsidR="009A3321">
        <w:rPr>
          <w:noProof/>
        </w:rPr>
        <w:t>.</w:t>
      </w:r>
      <w:r w:rsidR="00A12C6C">
        <w:rPr>
          <w:noProof/>
        </w:rPr>
        <w:t xml:space="preserve"> </w:t>
      </w:r>
      <w:r w:rsidR="009A3321">
        <w:rPr>
          <w:noProof/>
        </w:rPr>
        <w:t>They</w:t>
      </w:r>
      <w:r w:rsidR="00A12C6C">
        <w:rPr>
          <w:noProof/>
        </w:rPr>
        <w:t xml:space="preserve"> can lead to structural discrimination</w:t>
      </w:r>
      <w:r>
        <w:rPr>
          <w:noProof/>
        </w:rPr>
        <w:t>.</w:t>
      </w:r>
      <w:r w:rsidR="00B61149">
        <w:rPr>
          <w:noProof/>
        </w:rPr>
        <w:t xml:space="preserve"> </w:t>
      </w:r>
      <w:r w:rsidR="0069666A">
        <w:rPr>
          <w:noProof/>
        </w:rPr>
        <w:t>The</w:t>
      </w:r>
      <w:r w:rsidR="0069666A" w:rsidRPr="00193A9A">
        <w:rPr>
          <w:noProof/>
        </w:rPr>
        <w:t xml:space="preserve"> </w:t>
      </w:r>
      <w:r w:rsidR="00640894" w:rsidRPr="00193A9A">
        <w:rPr>
          <w:noProof/>
        </w:rPr>
        <w:t xml:space="preserve">impact </w:t>
      </w:r>
      <w:r w:rsidR="0069666A">
        <w:rPr>
          <w:noProof/>
        </w:rPr>
        <w:t xml:space="preserve">of structural barriers </w:t>
      </w:r>
      <w:r w:rsidR="00640894" w:rsidRPr="00193A9A">
        <w:rPr>
          <w:noProof/>
        </w:rPr>
        <w:t>can be more harmful than isolated instances of discrimination, as it denies access to equal opportunities and can persist through generations</w:t>
      </w:r>
      <w:r w:rsidR="00B40C70">
        <w:rPr>
          <w:noProof/>
        </w:rPr>
        <w:t> </w:t>
      </w:r>
      <w:r w:rsidR="00003939" w:rsidRPr="00193A9A">
        <w:rPr>
          <w:noProof/>
        </w:rPr>
        <w:t>(</w:t>
      </w:r>
      <w:r w:rsidR="00003939" w:rsidRPr="00193A9A">
        <w:rPr>
          <w:rStyle w:val="FootnoteReference"/>
          <w:noProof/>
        </w:rPr>
        <w:footnoteReference w:id="128"/>
      </w:r>
      <w:r w:rsidR="00003939" w:rsidRPr="00193A9A">
        <w:rPr>
          <w:noProof/>
        </w:rPr>
        <w:t>)</w:t>
      </w:r>
      <w:r w:rsidR="005F7ED0" w:rsidRPr="00193A9A">
        <w:rPr>
          <w:noProof/>
        </w:rPr>
        <w:t>.</w:t>
      </w:r>
    </w:p>
    <w:p w14:paraId="3AFA4F5A" w14:textId="3D842831" w:rsidR="005F7ED0" w:rsidRPr="00193A9A" w:rsidRDefault="005F7ED0" w:rsidP="005F7ED0">
      <w:pPr>
        <w:pStyle w:val="Text1"/>
        <w:rPr>
          <w:noProof/>
        </w:rPr>
      </w:pPr>
      <w:r w:rsidRPr="00193A9A">
        <w:rPr>
          <w:noProof/>
        </w:rPr>
        <w:t xml:space="preserve">In their replies to the Commission, almost all of the equality bodies surveyed and </w:t>
      </w:r>
      <w:r w:rsidR="001B789A" w:rsidRPr="00193A9A">
        <w:rPr>
          <w:noProof/>
        </w:rPr>
        <w:t xml:space="preserve">all </w:t>
      </w:r>
      <w:r w:rsidRPr="00193A9A">
        <w:rPr>
          <w:noProof/>
        </w:rPr>
        <w:t>of the civil society organisations believed that structural</w:t>
      </w:r>
      <w:r w:rsidR="001B789A" w:rsidRPr="00193A9A">
        <w:rPr>
          <w:noProof/>
        </w:rPr>
        <w:t xml:space="preserve"> </w:t>
      </w:r>
      <w:r w:rsidRPr="00193A9A">
        <w:rPr>
          <w:noProof/>
        </w:rPr>
        <w:t xml:space="preserve">discrimination </w:t>
      </w:r>
      <w:r w:rsidR="001D5BD1" w:rsidRPr="00193A9A">
        <w:rPr>
          <w:noProof/>
        </w:rPr>
        <w:t xml:space="preserve">was </w:t>
      </w:r>
      <w:r w:rsidRPr="00193A9A">
        <w:rPr>
          <w:noProof/>
        </w:rPr>
        <w:t>not yet appropriately understood and addressed by public authorities, the private sector or wider society.</w:t>
      </w:r>
    </w:p>
    <w:p w14:paraId="64CDE6EB" w14:textId="5F161C15" w:rsidR="005F7ED0" w:rsidRPr="00193A9A" w:rsidRDefault="005F7ED0" w:rsidP="00924FE1">
      <w:pPr>
        <w:pStyle w:val="Text1"/>
        <w:rPr>
          <w:noProof/>
        </w:rPr>
      </w:pPr>
      <w:r w:rsidRPr="00193A9A">
        <w:rPr>
          <w:noProof/>
        </w:rPr>
        <w:t xml:space="preserve">Equality bodies and civil society </w:t>
      </w:r>
      <w:r w:rsidR="00792350">
        <w:rPr>
          <w:noProof/>
        </w:rPr>
        <w:t xml:space="preserve">organisations </w:t>
      </w:r>
      <w:r w:rsidRPr="00193A9A">
        <w:rPr>
          <w:noProof/>
        </w:rPr>
        <w:t>reported that structural discrimination mostly affects people</w:t>
      </w:r>
      <w:r w:rsidR="001D5BD1" w:rsidRPr="00193A9A">
        <w:rPr>
          <w:noProof/>
        </w:rPr>
        <w:t xml:space="preserve"> </w:t>
      </w:r>
      <w:r w:rsidR="00D57B94" w:rsidRPr="00193A9A">
        <w:rPr>
          <w:noProof/>
        </w:rPr>
        <w:t>with a minority racial or ethnic background</w:t>
      </w:r>
      <w:r w:rsidR="00B932D5" w:rsidRPr="00193A9A">
        <w:rPr>
          <w:noProof/>
        </w:rPr>
        <w:t xml:space="preserve"> and</w:t>
      </w:r>
      <w:r w:rsidRPr="00193A9A">
        <w:rPr>
          <w:noProof/>
        </w:rPr>
        <w:t xml:space="preserve"> persons with disabilities</w:t>
      </w:r>
      <w:r w:rsidR="00D57B94" w:rsidRPr="00193A9A">
        <w:rPr>
          <w:noProof/>
        </w:rPr>
        <w:t>. It</w:t>
      </w:r>
      <w:r w:rsidR="00886B7B" w:rsidRPr="00193A9A">
        <w:rPr>
          <w:noProof/>
        </w:rPr>
        <w:t xml:space="preserve"> </w:t>
      </w:r>
      <w:r w:rsidRPr="00193A9A">
        <w:rPr>
          <w:noProof/>
        </w:rPr>
        <w:t>manifest</w:t>
      </w:r>
      <w:r w:rsidR="00D57B94" w:rsidRPr="00193A9A">
        <w:rPr>
          <w:noProof/>
        </w:rPr>
        <w:t>s</w:t>
      </w:r>
      <w:r w:rsidRPr="00193A9A">
        <w:rPr>
          <w:noProof/>
        </w:rPr>
        <w:t xml:space="preserve"> most </w:t>
      </w:r>
      <w:r w:rsidR="00792350">
        <w:rPr>
          <w:noProof/>
        </w:rPr>
        <w:t>clearly</w:t>
      </w:r>
      <w:r w:rsidR="00792350" w:rsidRPr="00193A9A">
        <w:rPr>
          <w:noProof/>
        </w:rPr>
        <w:t xml:space="preserve"> </w:t>
      </w:r>
      <w:r w:rsidRPr="00193A9A">
        <w:rPr>
          <w:noProof/>
        </w:rPr>
        <w:t xml:space="preserve">in </w:t>
      </w:r>
      <w:r w:rsidR="00B932D5" w:rsidRPr="00193A9A">
        <w:rPr>
          <w:noProof/>
        </w:rPr>
        <w:t xml:space="preserve">employment, </w:t>
      </w:r>
      <w:r w:rsidRPr="00193A9A">
        <w:rPr>
          <w:noProof/>
        </w:rPr>
        <w:t>education, healthcare and access to goods and services.</w:t>
      </w:r>
      <w:r w:rsidR="0059778C" w:rsidRPr="00193A9A">
        <w:rPr>
          <w:noProof/>
        </w:rPr>
        <w:t xml:space="preserve"> </w:t>
      </w:r>
      <w:r w:rsidRPr="00193A9A">
        <w:rPr>
          <w:noProof/>
        </w:rPr>
        <w:t xml:space="preserve">As demonstrated below, some of the Directives’ legal tools </w:t>
      </w:r>
      <w:r w:rsidR="00CD385E">
        <w:rPr>
          <w:noProof/>
        </w:rPr>
        <w:t xml:space="preserve">allow to </w:t>
      </w:r>
      <w:r w:rsidRPr="00193A9A">
        <w:rPr>
          <w:noProof/>
        </w:rPr>
        <w:t>address structural discrimination.</w:t>
      </w:r>
    </w:p>
    <w:tbl>
      <w:tblPr>
        <w:tblStyle w:val="EurolookClassicPurple2"/>
        <w:tblW w:w="0" w:type="auto"/>
        <w:tblInd w:w="442" w:type="dxa"/>
        <w:tblLook w:val="0620" w:firstRow="1" w:lastRow="0" w:firstColumn="0" w:lastColumn="0" w:noHBand="1" w:noVBand="1"/>
      </w:tblPr>
      <w:tblGrid>
        <w:gridCol w:w="8160"/>
      </w:tblGrid>
      <w:tr w:rsidR="00E76B08" w:rsidRPr="00193A9A" w14:paraId="51D56315" w14:textId="77777777" w:rsidTr="004F2E3D">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5952A01D" w14:textId="77777777" w:rsidR="00E76B08" w:rsidRPr="00193A9A" w:rsidRDefault="00E76B08" w:rsidP="004F2E3D">
            <w:pPr>
              <w:pStyle w:val="TableText"/>
              <w:jc w:val="both"/>
              <w:rPr>
                <w:b/>
                <w:bCs/>
                <w:noProof/>
              </w:rPr>
            </w:pPr>
            <w:r w:rsidRPr="00193A9A">
              <w:rPr>
                <w:b/>
                <w:bCs/>
                <w:noProof/>
              </w:rPr>
              <w:t>Key takeaways</w:t>
            </w:r>
          </w:p>
        </w:tc>
      </w:tr>
      <w:tr w:rsidR="00E76B08" w:rsidRPr="00193A9A" w14:paraId="3DFA7280" w14:textId="77777777" w:rsidTr="004F2E3D">
        <w:trPr>
          <w:cantSplit/>
        </w:trPr>
        <w:tc>
          <w:tcPr>
            <w:tcW w:w="8160" w:type="dxa"/>
          </w:tcPr>
          <w:p w14:paraId="280E668A" w14:textId="7D0190F5" w:rsidR="00334E0E" w:rsidRPr="00193A9A" w:rsidRDefault="00334E0E" w:rsidP="00334E0E">
            <w:pPr>
              <w:pStyle w:val="ListDash2"/>
              <w:numPr>
                <w:ilvl w:val="0"/>
                <w:numId w:val="3"/>
              </w:numPr>
              <w:rPr>
                <w:noProof/>
              </w:rPr>
            </w:pPr>
            <w:r w:rsidRPr="00193A9A">
              <w:rPr>
                <w:noProof/>
              </w:rPr>
              <w:t>The most important legal tools to tackle structural discrimination</w:t>
            </w:r>
            <w:r w:rsidR="00C00066" w:rsidRPr="00193A9A">
              <w:rPr>
                <w:noProof/>
              </w:rPr>
              <w:t xml:space="preserve"> </w:t>
            </w:r>
            <w:r w:rsidR="009F62A5">
              <w:rPr>
                <w:noProof/>
              </w:rPr>
              <w:t>(e.g. positive action and</w:t>
            </w:r>
            <w:r w:rsidRPr="00193A9A">
              <w:rPr>
                <w:noProof/>
              </w:rPr>
              <w:t xml:space="preserve"> the prohibition of indirect discrimination</w:t>
            </w:r>
            <w:r w:rsidR="009F62A5">
              <w:rPr>
                <w:noProof/>
              </w:rPr>
              <w:t>)</w:t>
            </w:r>
            <w:r w:rsidR="00C00066" w:rsidRPr="00193A9A">
              <w:rPr>
                <w:noProof/>
              </w:rPr>
              <w:t xml:space="preserve"> are available to Member States</w:t>
            </w:r>
            <w:r w:rsidR="00B664EC">
              <w:rPr>
                <w:noProof/>
              </w:rPr>
              <w:t xml:space="preserve"> in existing legislation</w:t>
            </w:r>
            <w:r w:rsidR="001D5BD1" w:rsidRPr="00193A9A">
              <w:rPr>
                <w:noProof/>
              </w:rPr>
              <w:t>.</w:t>
            </w:r>
          </w:p>
          <w:p w14:paraId="3A1E7850" w14:textId="6DCADF4F" w:rsidR="00334E0E" w:rsidRPr="00193A9A" w:rsidRDefault="006459FF" w:rsidP="00587D58">
            <w:pPr>
              <w:pStyle w:val="ListDash2"/>
              <w:numPr>
                <w:ilvl w:val="0"/>
                <w:numId w:val="3"/>
              </w:numPr>
              <w:rPr>
                <w:noProof/>
              </w:rPr>
            </w:pPr>
            <w:r w:rsidRPr="00193A9A">
              <w:rPr>
                <w:noProof/>
              </w:rPr>
              <w:t>Most Member States provide for at least one form of c</w:t>
            </w:r>
            <w:r w:rsidR="00334E0E" w:rsidRPr="00193A9A">
              <w:rPr>
                <w:noProof/>
              </w:rPr>
              <w:t>ollective redress</w:t>
            </w:r>
            <w:r w:rsidRPr="00193A9A">
              <w:rPr>
                <w:noProof/>
              </w:rPr>
              <w:t>. However, it</w:t>
            </w:r>
            <w:r w:rsidR="00334E0E" w:rsidRPr="00193A9A">
              <w:rPr>
                <w:noProof/>
              </w:rPr>
              <w:t xml:space="preserve"> is one of the least implemented measures for enforcing EU non-discrimination law.</w:t>
            </w:r>
          </w:p>
        </w:tc>
      </w:tr>
    </w:tbl>
    <w:p w14:paraId="5649E5C1" w14:textId="13020D2F" w:rsidR="00846E1C" w:rsidRPr="00193A9A" w:rsidRDefault="00846E1C" w:rsidP="00CE642C">
      <w:pPr>
        <w:pStyle w:val="Heading2"/>
        <w:spacing w:before="240"/>
        <w:ind w:left="1195"/>
        <w:rPr>
          <w:noProof/>
        </w:rPr>
      </w:pPr>
      <w:r w:rsidRPr="00193A9A">
        <w:rPr>
          <w:noProof/>
        </w:rPr>
        <w:t xml:space="preserve">Role of </w:t>
      </w:r>
      <w:r w:rsidR="004502CD">
        <w:rPr>
          <w:noProof/>
        </w:rPr>
        <w:t xml:space="preserve">the </w:t>
      </w:r>
      <w:r w:rsidR="00EE6595">
        <w:rPr>
          <w:noProof/>
        </w:rPr>
        <w:t xml:space="preserve">prohibition </w:t>
      </w:r>
      <w:r w:rsidR="004502CD">
        <w:rPr>
          <w:noProof/>
        </w:rPr>
        <w:t>of ‘</w:t>
      </w:r>
      <w:r w:rsidRPr="004502CD">
        <w:rPr>
          <w:noProof/>
        </w:rPr>
        <w:t>indirect discrimination</w:t>
      </w:r>
      <w:r w:rsidR="004502CD">
        <w:rPr>
          <w:noProof/>
        </w:rPr>
        <w:t>’</w:t>
      </w:r>
      <w:r w:rsidRPr="004502CD">
        <w:rPr>
          <w:noProof/>
        </w:rPr>
        <w:t xml:space="preserve"> in tackling structural discrimination</w:t>
      </w:r>
    </w:p>
    <w:p w14:paraId="6C0009D5" w14:textId="109D8A93" w:rsidR="00846E1C" w:rsidRPr="00193A9A" w:rsidRDefault="006A712D" w:rsidP="00846E1C">
      <w:pPr>
        <w:pStyle w:val="Text1"/>
        <w:rPr>
          <w:noProof/>
        </w:rPr>
      </w:pPr>
      <w:r w:rsidRPr="00193A9A">
        <w:rPr>
          <w:noProof/>
        </w:rPr>
        <w:t>T</w:t>
      </w:r>
      <w:r w:rsidR="00846E1C" w:rsidRPr="00193A9A">
        <w:rPr>
          <w:noProof/>
        </w:rPr>
        <w:t xml:space="preserve">he existing EU legal framework provides legal tools that can address </w:t>
      </w:r>
      <w:r w:rsidRPr="00193A9A">
        <w:rPr>
          <w:noProof/>
        </w:rPr>
        <w:t xml:space="preserve">structural discrimination, even though </w:t>
      </w:r>
      <w:r w:rsidR="007C7EA8" w:rsidRPr="00193A9A">
        <w:rPr>
          <w:noProof/>
        </w:rPr>
        <w:t>the</w:t>
      </w:r>
      <w:r w:rsidR="00B229C9">
        <w:rPr>
          <w:noProof/>
        </w:rPr>
        <w:t xml:space="preserve"> Directives do</w:t>
      </w:r>
      <w:r w:rsidR="007C7EA8" w:rsidRPr="00193A9A">
        <w:rPr>
          <w:noProof/>
        </w:rPr>
        <w:t xml:space="preserve"> not explicitly </w:t>
      </w:r>
      <w:r w:rsidR="001F68EA">
        <w:rPr>
          <w:noProof/>
        </w:rPr>
        <w:t>use the term</w:t>
      </w:r>
      <w:r w:rsidR="00846E1C" w:rsidRPr="00193A9A">
        <w:rPr>
          <w:noProof/>
        </w:rPr>
        <w:t xml:space="preserve">. In particular, both Directives </w:t>
      </w:r>
      <w:r w:rsidR="00CD385E">
        <w:rPr>
          <w:noProof/>
        </w:rPr>
        <w:t>prohibit</w:t>
      </w:r>
      <w:r w:rsidR="00CD385E" w:rsidRPr="00193A9A">
        <w:rPr>
          <w:noProof/>
        </w:rPr>
        <w:t xml:space="preserve"> </w:t>
      </w:r>
      <w:r w:rsidR="00846E1C" w:rsidRPr="00193A9A">
        <w:rPr>
          <w:noProof/>
        </w:rPr>
        <w:t>indirect discrimination.</w:t>
      </w:r>
    </w:p>
    <w:p w14:paraId="2598C912" w14:textId="77777777" w:rsidR="008C32E4" w:rsidRDefault="00846E1C" w:rsidP="00846E1C">
      <w:pPr>
        <w:pStyle w:val="Text1"/>
        <w:rPr>
          <w:noProof/>
        </w:rPr>
      </w:pPr>
      <w:r w:rsidRPr="00193A9A">
        <w:rPr>
          <w:noProof/>
        </w:rPr>
        <w:t xml:space="preserve">Indirect discrimination occurs where an apparently neutral provision, criterion or </w:t>
      </w:r>
      <w:r w:rsidRPr="001F68EA">
        <w:rPr>
          <w:noProof/>
        </w:rPr>
        <w:t>practice</w:t>
      </w:r>
      <w:r w:rsidRPr="00193A9A">
        <w:rPr>
          <w:noProof/>
        </w:rPr>
        <w:t xml:space="preserve"> would put certain protected persons at a particular disadvantage compared </w:t>
      </w:r>
      <w:r w:rsidR="001F68EA">
        <w:rPr>
          <w:noProof/>
        </w:rPr>
        <w:t>with</w:t>
      </w:r>
      <w:r w:rsidR="001F68EA" w:rsidRPr="00193A9A">
        <w:rPr>
          <w:noProof/>
        </w:rPr>
        <w:t xml:space="preserve"> </w:t>
      </w:r>
      <w:r w:rsidRPr="00193A9A">
        <w:rPr>
          <w:noProof/>
        </w:rPr>
        <w:t>other</w:t>
      </w:r>
      <w:r w:rsidR="003F5F1B">
        <w:rPr>
          <w:noProof/>
        </w:rPr>
        <w:t xml:space="preserve"> persons</w:t>
      </w:r>
      <w:r w:rsidRPr="00193A9A">
        <w:rPr>
          <w:noProof/>
        </w:rPr>
        <w:t> (</w:t>
      </w:r>
      <w:r w:rsidRPr="00193A9A">
        <w:rPr>
          <w:rStyle w:val="FootnoteReference"/>
          <w:noProof/>
        </w:rPr>
        <w:footnoteReference w:id="129"/>
      </w:r>
      <w:r w:rsidRPr="00193A9A">
        <w:rPr>
          <w:noProof/>
        </w:rPr>
        <w:t xml:space="preserve">). </w:t>
      </w:r>
    </w:p>
    <w:p w14:paraId="2C7BD30D" w14:textId="77174823" w:rsidR="00846E1C" w:rsidRPr="00193A9A" w:rsidRDefault="00846E1C" w:rsidP="00846E1C">
      <w:pPr>
        <w:pStyle w:val="Text1"/>
        <w:rPr>
          <w:noProof/>
        </w:rPr>
      </w:pPr>
      <w:r w:rsidRPr="00193A9A">
        <w:rPr>
          <w:noProof/>
        </w:rPr>
        <w:t xml:space="preserve">Currently, </w:t>
      </w:r>
      <w:r w:rsidR="0020766E" w:rsidRPr="00193A9A">
        <w:rPr>
          <w:noProof/>
        </w:rPr>
        <w:t>legislation</w:t>
      </w:r>
      <w:r w:rsidRPr="00193A9A">
        <w:rPr>
          <w:noProof/>
        </w:rPr>
        <w:t xml:space="preserve"> </w:t>
      </w:r>
      <w:r w:rsidR="001B5E13">
        <w:rPr>
          <w:noProof/>
        </w:rPr>
        <w:t xml:space="preserve">of </w:t>
      </w:r>
      <w:r w:rsidRPr="00193A9A">
        <w:rPr>
          <w:noProof/>
        </w:rPr>
        <w:t xml:space="preserve">Member States </w:t>
      </w:r>
      <w:r w:rsidR="00D57EE4" w:rsidRPr="00193A9A">
        <w:rPr>
          <w:noProof/>
        </w:rPr>
        <w:t>do</w:t>
      </w:r>
      <w:r w:rsidR="001B5E13">
        <w:rPr>
          <w:noProof/>
        </w:rPr>
        <w:t>es</w:t>
      </w:r>
      <w:r w:rsidR="00D57EE4" w:rsidRPr="00193A9A">
        <w:rPr>
          <w:noProof/>
        </w:rPr>
        <w:t xml:space="preserve"> not </w:t>
      </w:r>
      <w:r w:rsidRPr="00193A9A">
        <w:rPr>
          <w:noProof/>
        </w:rPr>
        <w:t xml:space="preserve">explicitly use the term </w:t>
      </w:r>
      <w:r w:rsidR="003F5F1B">
        <w:rPr>
          <w:noProof/>
        </w:rPr>
        <w:t>‘</w:t>
      </w:r>
      <w:r w:rsidRPr="00193A9A">
        <w:rPr>
          <w:noProof/>
        </w:rPr>
        <w:t>structural discrimination</w:t>
      </w:r>
      <w:r w:rsidR="003F5F1B">
        <w:rPr>
          <w:noProof/>
        </w:rPr>
        <w:t>’</w:t>
      </w:r>
      <w:r w:rsidRPr="00193A9A">
        <w:rPr>
          <w:noProof/>
        </w:rPr>
        <w:t xml:space="preserve">. </w:t>
      </w:r>
      <w:r w:rsidR="00D57EE4" w:rsidRPr="00193A9A">
        <w:rPr>
          <w:noProof/>
        </w:rPr>
        <w:t>It is important to note that m</w:t>
      </w:r>
      <w:r w:rsidRPr="00193A9A">
        <w:rPr>
          <w:noProof/>
        </w:rPr>
        <w:t xml:space="preserve">ore than one third of </w:t>
      </w:r>
      <w:r w:rsidR="003F5F1B">
        <w:rPr>
          <w:noProof/>
        </w:rPr>
        <w:t>Member States</w:t>
      </w:r>
      <w:r w:rsidR="003F5F1B" w:rsidRPr="00193A9A">
        <w:rPr>
          <w:noProof/>
        </w:rPr>
        <w:t xml:space="preserve"> </w:t>
      </w:r>
      <w:r w:rsidRPr="00193A9A">
        <w:rPr>
          <w:noProof/>
        </w:rPr>
        <w:t xml:space="preserve">identify </w:t>
      </w:r>
      <w:r w:rsidR="0020766E" w:rsidRPr="00193A9A">
        <w:rPr>
          <w:noProof/>
        </w:rPr>
        <w:t>this</w:t>
      </w:r>
      <w:r w:rsidRPr="00193A9A">
        <w:rPr>
          <w:noProof/>
        </w:rPr>
        <w:t xml:space="preserve"> as </w:t>
      </w:r>
      <w:r w:rsidR="003F5F1B">
        <w:rPr>
          <w:noProof/>
        </w:rPr>
        <w:t xml:space="preserve">being </w:t>
      </w:r>
      <w:r w:rsidRPr="00193A9A">
        <w:rPr>
          <w:noProof/>
        </w:rPr>
        <w:t>one of the main difficulties in addressing the issue.</w:t>
      </w:r>
      <w:r w:rsidR="006917A0" w:rsidRPr="00193A9A">
        <w:rPr>
          <w:noProof/>
        </w:rPr>
        <w:t xml:space="preserve"> </w:t>
      </w:r>
      <w:r w:rsidRPr="00193A9A">
        <w:rPr>
          <w:noProof/>
        </w:rPr>
        <w:t>This is echoed by respondents from equality bodies and civil society organisations.</w:t>
      </w:r>
    </w:p>
    <w:p w14:paraId="6409ECAB" w14:textId="2B3FBF9A" w:rsidR="00846E1C" w:rsidRPr="00193A9A" w:rsidRDefault="00846E1C" w:rsidP="00D349B8">
      <w:pPr>
        <w:pStyle w:val="Text1"/>
        <w:rPr>
          <w:noProof/>
        </w:rPr>
      </w:pPr>
      <w:r w:rsidRPr="00193A9A">
        <w:rPr>
          <w:noProof/>
        </w:rPr>
        <w:t xml:space="preserve">At the same time, </w:t>
      </w:r>
      <w:r w:rsidR="0082052E" w:rsidRPr="00193A9A">
        <w:rPr>
          <w:noProof/>
        </w:rPr>
        <w:t xml:space="preserve">most of the </w:t>
      </w:r>
      <w:r w:rsidRPr="00193A9A">
        <w:rPr>
          <w:noProof/>
        </w:rPr>
        <w:t>Member States recognise that prohibiting indirect discrimination</w:t>
      </w:r>
      <w:r w:rsidR="00601AEE">
        <w:rPr>
          <w:noProof/>
        </w:rPr>
        <w:t xml:space="preserve"> and</w:t>
      </w:r>
      <w:r w:rsidRPr="00193A9A">
        <w:rPr>
          <w:noProof/>
        </w:rPr>
        <w:t xml:space="preserve"> </w:t>
      </w:r>
      <w:r w:rsidR="00601AEE">
        <w:rPr>
          <w:noProof/>
        </w:rPr>
        <w:t>taking</w:t>
      </w:r>
      <w:r w:rsidR="00601AEE" w:rsidRPr="00193A9A">
        <w:rPr>
          <w:noProof/>
        </w:rPr>
        <w:t xml:space="preserve"> </w:t>
      </w:r>
      <w:r w:rsidRPr="00193A9A">
        <w:rPr>
          <w:noProof/>
        </w:rPr>
        <w:t>positive action (</w:t>
      </w:r>
      <w:r w:rsidR="0082052E" w:rsidRPr="00B61149">
        <w:rPr>
          <w:noProof/>
        </w:rPr>
        <w:t xml:space="preserve">see </w:t>
      </w:r>
      <w:r w:rsidR="005E7CB1" w:rsidRPr="00B61149">
        <w:rPr>
          <w:noProof/>
        </w:rPr>
        <w:t>3.7</w:t>
      </w:r>
      <w:r w:rsidRPr="00193A9A">
        <w:rPr>
          <w:noProof/>
        </w:rPr>
        <w:t>) can help tackle structural discrimination.</w:t>
      </w:r>
    </w:p>
    <w:tbl>
      <w:tblPr>
        <w:tblStyle w:val="EurolookClassicPurple2"/>
        <w:tblW w:w="0" w:type="auto"/>
        <w:tblInd w:w="442" w:type="dxa"/>
        <w:tblLook w:val="0620" w:firstRow="1" w:lastRow="0" w:firstColumn="0" w:lastColumn="0" w:noHBand="1" w:noVBand="1"/>
      </w:tblPr>
      <w:tblGrid>
        <w:gridCol w:w="8160"/>
      </w:tblGrid>
      <w:tr w:rsidR="00846E1C" w:rsidRPr="00193A9A" w14:paraId="22EB3BBD" w14:textId="77777777" w:rsidTr="00173117">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6BC941B9" w14:textId="48D7329B" w:rsidR="00846E1C" w:rsidRPr="00193A9A" w:rsidRDefault="00846E1C" w:rsidP="001B611E">
            <w:pPr>
              <w:pStyle w:val="TableText"/>
              <w:jc w:val="both"/>
              <w:rPr>
                <w:b/>
                <w:bCs/>
                <w:noProof/>
              </w:rPr>
            </w:pPr>
            <w:r w:rsidRPr="00193A9A">
              <w:rPr>
                <w:b/>
                <w:bCs/>
                <w:noProof/>
              </w:rPr>
              <w:t xml:space="preserve">Box </w:t>
            </w:r>
            <w:r w:rsidR="00173117">
              <w:rPr>
                <w:b/>
                <w:bCs/>
                <w:noProof/>
              </w:rPr>
              <w:t>5</w:t>
            </w:r>
            <w:r w:rsidRPr="00193A9A">
              <w:rPr>
                <w:b/>
                <w:bCs/>
                <w:noProof/>
              </w:rPr>
              <w:t>. Examples of cases of structural discrimination in Member States</w:t>
            </w:r>
          </w:p>
        </w:tc>
      </w:tr>
      <w:tr w:rsidR="00846E1C" w:rsidRPr="00193A9A" w14:paraId="5CF9D55B" w14:textId="77777777" w:rsidTr="001B611E">
        <w:trPr>
          <w:cantSplit/>
        </w:trPr>
        <w:tc>
          <w:tcPr>
            <w:tcW w:w="8160" w:type="dxa"/>
          </w:tcPr>
          <w:p w14:paraId="355F79EF" w14:textId="46775CFC" w:rsidR="00846E1C" w:rsidRPr="00193A9A" w:rsidRDefault="003170B6" w:rsidP="001B611E">
            <w:pPr>
              <w:pStyle w:val="ListDash2"/>
              <w:numPr>
                <w:ilvl w:val="0"/>
                <w:numId w:val="3"/>
              </w:numPr>
              <w:rPr>
                <w:noProof/>
              </w:rPr>
            </w:pPr>
            <w:r>
              <w:rPr>
                <w:noProof/>
              </w:rPr>
              <w:t>In 2023, a</w:t>
            </w:r>
            <w:r w:rsidR="00F50604" w:rsidRPr="00193A9A">
              <w:rPr>
                <w:noProof/>
              </w:rPr>
              <w:t xml:space="preserve"> ruling from the </w:t>
            </w:r>
            <w:r w:rsidR="00846E1C" w:rsidRPr="00193A9A">
              <w:rPr>
                <w:noProof/>
              </w:rPr>
              <w:t>Supreme Court of the Slovak Republic</w:t>
            </w:r>
            <w:r w:rsidR="00F50604" w:rsidRPr="00193A9A">
              <w:rPr>
                <w:noProof/>
              </w:rPr>
              <w:t xml:space="preserve"> </w:t>
            </w:r>
            <w:r w:rsidR="00846E1C" w:rsidRPr="00193A9A">
              <w:rPr>
                <w:noProof/>
              </w:rPr>
              <w:t>addressed the issue of the systemic segregation of Roma children in the education system. Although it did not explicitly mention structural discrimination, the court recognised the cumulative disadvantages faced by Roma children and endorsed the need for proactive measures (</w:t>
            </w:r>
            <w:r w:rsidR="00846E1C" w:rsidRPr="00193A9A">
              <w:rPr>
                <w:rStyle w:val="FootnoteReference"/>
                <w:noProof/>
              </w:rPr>
              <w:footnoteReference w:id="130"/>
            </w:r>
            <w:r w:rsidR="00846E1C" w:rsidRPr="00193A9A">
              <w:rPr>
                <w:noProof/>
              </w:rPr>
              <w:t>).</w:t>
            </w:r>
          </w:p>
          <w:p w14:paraId="2AD5891D" w14:textId="3B0359E2" w:rsidR="00846E1C" w:rsidRPr="00193A9A" w:rsidRDefault="00846E1C" w:rsidP="001B611E">
            <w:pPr>
              <w:pStyle w:val="ListDash2"/>
              <w:numPr>
                <w:ilvl w:val="0"/>
                <w:numId w:val="3"/>
              </w:numPr>
              <w:rPr>
                <w:noProof/>
              </w:rPr>
            </w:pPr>
            <w:r w:rsidRPr="00193A9A">
              <w:rPr>
                <w:noProof/>
              </w:rPr>
              <w:t xml:space="preserve">In 2022, the Czech Supreme Court issued a ruling on the issue of segregation. It condemned segregation as a </w:t>
            </w:r>
            <w:r w:rsidRPr="003170B6">
              <w:rPr>
                <w:noProof/>
              </w:rPr>
              <w:t>practice</w:t>
            </w:r>
            <w:r w:rsidRPr="00193A9A">
              <w:rPr>
                <w:noProof/>
              </w:rPr>
              <w:t xml:space="preserve"> that cannot be justified, as it</w:t>
            </w:r>
            <w:r w:rsidR="003170B6">
              <w:rPr>
                <w:noProof/>
              </w:rPr>
              <w:t xml:space="preserve"> is</w:t>
            </w:r>
            <w:r w:rsidRPr="00193A9A">
              <w:rPr>
                <w:noProof/>
              </w:rPr>
              <w:t xml:space="preserve"> inherently against human dignity (</w:t>
            </w:r>
            <w:r w:rsidRPr="00193A9A">
              <w:rPr>
                <w:rStyle w:val="FootnoteReference"/>
                <w:noProof/>
              </w:rPr>
              <w:footnoteReference w:id="131"/>
            </w:r>
            <w:r w:rsidRPr="00193A9A">
              <w:rPr>
                <w:noProof/>
              </w:rPr>
              <w:t xml:space="preserve">). </w:t>
            </w:r>
          </w:p>
        </w:tc>
      </w:tr>
    </w:tbl>
    <w:p w14:paraId="4179DCE3" w14:textId="1AD8AB21" w:rsidR="00846E1C" w:rsidRPr="00193A9A" w:rsidRDefault="0082052E" w:rsidP="00CE642C">
      <w:pPr>
        <w:pStyle w:val="Heading2"/>
        <w:spacing w:before="240"/>
        <w:ind w:left="1195"/>
        <w:rPr>
          <w:noProof/>
        </w:rPr>
      </w:pPr>
      <w:r w:rsidRPr="00193A9A">
        <w:rPr>
          <w:noProof/>
        </w:rPr>
        <w:t xml:space="preserve">Further </w:t>
      </w:r>
      <w:r w:rsidR="00846E1C" w:rsidRPr="00193A9A">
        <w:rPr>
          <w:noProof/>
        </w:rPr>
        <w:t>legal tools to address structural barriers</w:t>
      </w:r>
    </w:p>
    <w:p w14:paraId="7B1BD47E" w14:textId="6FCD9DE4" w:rsidR="00846E1C" w:rsidRPr="00193A9A" w:rsidRDefault="00846E1C" w:rsidP="00846E1C">
      <w:pPr>
        <w:pStyle w:val="Text3"/>
        <w:ind w:left="482"/>
        <w:rPr>
          <w:noProof/>
        </w:rPr>
      </w:pPr>
      <w:r w:rsidRPr="00193A9A">
        <w:rPr>
          <w:noProof/>
        </w:rPr>
        <w:t xml:space="preserve">Apart from </w:t>
      </w:r>
      <w:r w:rsidR="004502CD">
        <w:rPr>
          <w:noProof/>
        </w:rPr>
        <w:t xml:space="preserve">positive action and the prohibition of </w:t>
      </w:r>
      <w:r w:rsidRPr="00193A9A">
        <w:rPr>
          <w:noProof/>
        </w:rPr>
        <w:t xml:space="preserve">indirect discrimination, equality bodies and Member States identified </w:t>
      </w:r>
      <w:r w:rsidRPr="00193A9A">
        <w:rPr>
          <w:i/>
          <w:iCs/>
          <w:noProof/>
        </w:rPr>
        <w:t>actio popularis</w:t>
      </w:r>
      <w:r w:rsidRPr="00193A9A">
        <w:rPr>
          <w:noProof/>
        </w:rPr>
        <w:t> (</w:t>
      </w:r>
      <w:r w:rsidRPr="00193A9A">
        <w:rPr>
          <w:rStyle w:val="FootnoteReference"/>
          <w:noProof/>
        </w:rPr>
        <w:footnoteReference w:id="132"/>
      </w:r>
      <w:r w:rsidRPr="00193A9A">
        <w:rPr>
          <w:noProof/>
        </w:rPr>
        <w:t>) and equality duties (</w:t>
      </w:r>
      <w:r w:rsidRPr="00193A9A">
        <w:rPr>
          <w:rStyle w:val="FootnoteReference"/>
          <w:noProof/>
        </w:rPr>
        <w:footnoteReference w:id="133"/>
      </w:r>
      <w:r w:rsidRPr="00193A9A">
        <w:rPr>
          <w:noProof/>
        </w:rPr>
        <w:t>) as effective legal tools for tackling structural discrimination.</w:t>
      </w:r>
    </w:p>
    <w:p w14:paraId="75B3D26B" w14:textId="48A46899" w:rsidR="00846E1C" w:rsidRPr="00193A9A" w:rsidRDefault="00846E1C" w:rsidP="00846E1C">
      <w:pPr>
        <w:pStyle w:val="Text3"/>
        <w:ind w:left="482"/>
        <w:rPr>
          <w:noProof/>
        </w:rPr>
      </w:pPr>
      <w:r w:rsidRPr="00193A9A">
        <w:rPr>
          <w:i/>
          <w:iCs/>
          <w:noProof/>
        </w:rPr>
        <w:t>Actio popularis</w:t>
      </w:r>
      <w:r w:rsidRPr="00193A9A">
        <w:rPr>
          <w:noProof/>
        </w:rPr>
        <w:t xml:space="preserve"> and class actions (</w:t>
      </w:r>
      <w:r w:rsidRPr="00193A9A">
        <w:rPr>
          <w:rStyle w:val="FootnoteReference"/>
          <w:noProof/>
        </w:rPr>
        <w:footnoteReference w:id="134"/>
      </w:r>
      <w:r w:rsidRPr="00193A9A">
        <w:rPr>
          <w:noProof/>
        </w:rPr>
        <w:t>) are two forms of collective redress. They reduce reliance on individual forms of redress and address the structural nature of discrimination</w:t>
      </w:r>
      <w:r w:rsidR="004502CD">
        <w:rPr>
          <w:noProof/>
        </w:rPr>
        <w:t> </w:t>
      </w:r>
      <w:r w:rsidRPr="00193A9A">
        <w:rPr>
          <w:noProof/>
        </w:rPr>
        <w:t>(</w:t>
      </w:r>
      <w:r w:rsidRPr="00193A9A">
        <w:rPr>
          <w:rStyle w:val="FootnoteReference"/>
          <w:noProof/>
        </w:rPr>
        <w:footnoteReference w:id="135"/>
      </w:r>
      <w:r w:rsidRPr="00193A9A">
        <w:rPr>
          <w:noProof/>
        </w:rPr>
        <w:t>).</w:t>
      </w:r>
    </w:p>
    <w:p w14:paraId="0E9C3B66" w14:textId="480299BA" w:rsidR="00846E1C" w:rsidRPr="00193A9A" w:rsidRDefault="00846E1C" w:rsidP="00846E1C">
      <w:pPr>
        <w:pStyle w:val="Text2"/>
        <w:ind w:left="482"/>
        <w:rPr>
          <w:noProof/>
        </w:rPr>
      </w:pPr>
      <w:r w:rsidRPr="00193A9A">
        <w:rPr>
          <w:noProof/>
        </w:rPr>
        <w:t>The Directives do not oblige Member States to provide collective redress for victims of discrimination (</w:t>
      </w:r>
      <w:r w:rsidRPr="00193A9A">
        <w:rPr>
          <w:rStyle w:val="FootnoteReference"/>
          <w:noProof/>
        </w:rPr>
        <w:footnoteReference w:id="136"/>
      </w:r>
      <w:r w:rsidRPr="00193A9A">
        <w:rPr>
          <w:noProof/>
        </w:rPr>
        <w:t>).</w:t>
      </w:r>
      <w:r w:rsidR="00193A9A" w:rsidRPr="00193A9A">
        <w:rPr>
          <w:noProof/>
        </w:rPr>
        <w:t xml:space="preserve"> </w:t>
      </w:r>
      <w:r w:rsidRPr="00193A9A">
        <w:rPr>
          <w:noProof/>
        </w:rPr>
        <w:t>Currently, 20 Member States provide for one of the two forms of collective redress in discrimination cases in their legislation.</w:t>
      </w:r>
    </w:p>
    <w:p w14:paraId="1A9F7A85" w14:textId="70ABD9C9" w:rsidR="00846E1C" w:rsidRPr="00193A9A" w:rsidRDefault="00846E1C" w:rsidP="00846E1C">
      <w:pPr>
        <w:pStyle w:val="Text2"/>
        <w:ind w:left="482"/>
        <w:rPr>
          <w:noProof/>
        </w:rPr>
      </w:pPr>
      <w:r w:rsidRPr="00193A9A">
        <w:rPr>
          <w:noProof/>
        </w:rPr>
        <w:t xml:space="preserve">Nonetheless, class actions are sometimes restricted to certain fields of law, </w:t>
      </w:r>
      <w:r w:rsidR="001D6235">
        <w:rPr>
          <w:noProof/>
        </w:rPr>
        <w:t xml:space="preserve">may </w:t>
      </w:r>
      <w:r w:rsidRPr="00193A9A">
        <w:rPr>
          <w:noProof/>
        </w:rPr>
        <w:t xml:space="preserve">require affiliation to a specific organisation or </w:t>
      </w:r>
      <w:r w:rsidR="006611CF">
        <w:rPr>
          <w:noProof/>
        </w:rPr>
        <w:t xml:space="preserve">may </w:t>
      </w:r>
      <w:r w:rsidRPr="00193A9A">
        <w:rPr>
          <w:noProof/>
        </w:rPr>
        <w:t>exclude actions by associations or trade unions (</w:t>
      </w:r>
      <w:r w:rsidRPr="00193A9A">
        <w:rPr>
          <w:rStyle w:val="FootnoteReference"/>
          <w:noProof/>
        </w:rPr>
        <w:footnoteReference w:id="137"/>
      </w:r>
      <w:r w:rsidRPr="00193A9A">
        <w:rPr>
          <w:noProof/>
        </w:rPr>
        <w:t xml:space="preserve">). Similarly, while </w:t>
      </w:r>
      <w:r w:rsidRPr="00193A9A">
        <w:rPr>
          <w:i/>
          <w:iCs/>
          <w:noProof/>
        </w:rPr>
        <w:t>actio popularis</w:t>
      </w:r>
      <w:r w:rsidRPr="00193A9A">
        <w:rPr>
          <w:noProof/>
        </w:rPr>
        <w:t xml:space="preserve"> is provided for in the legal systems of 14 Member States, at least five </w:t>
      </w:r>
      <w:r w:rsidR="00ED2A3A">
        <w:rPr>
          <w:noProof/>
        </w:rPr>
        <w:t xml:space="preserve">either </w:t>
      </w:r>
      <w:r w:rsidRPr="00193A9A">
        <w:rPr>
          <w:noProof/>
        </w:rPr>
        <w:t xml:space="preserve">do not use the framework or use it very rarely in </w:t>
      </w:r>
      <w:r w:rsidRPr="00A41C85">
        <w:rPr>
          <w:noProof/>
        </w:rPr>
        <w:t>practice</w:t>
      </w:r>
      <w:r w:rsidRPr="00193A9A">
        <w:rPr>
          <w:noProof/>
        </w:rPr>
        <w:t> (</w:t>
      </w:r>
      <w:r w:rsidRPr="00193A9A">
        <w:rPr>
          <w:rStyle w:val="FootnoteReference"/>
          <w:noProof/>
        </w:rPr>
        <w:footnoteReference w:id="138"/>
      </w:r>
      <w:r w:rsidRPr="00193A9A">
        <w:rPr>
          <w:noProof/>
        </w:rPr>
        <w:t xml:space="preserve">). Consequently, collective redress measures have not yet realised their full potential </w:t>
      </w:r>
      <w:r w:rsidR="006611CF">
        <w:rPr>
          <w:noProof/>
        </w:rPr>
        <w:t>for</w:t>
      </w:r>
      <w:r w:rsidR="006611CF" w:rsidRPr="00193A9A">
        <w:rPr>
          <w:noProof/>
        </w:rPr>
        <w:t xml:space="preserve"> </w:t>
      </w:r>
      <w:r w:rsidR="00193A9A">
        <w:rPr>
          <w:noProof/>
        </w:rPr>
        <w:t>combating</w:t>
      </w:r>
      <w:r w:rsidRPr="00193A9A">
        <w:rPr>
          <w:noProof/>
        </w:rPr>
        <w:t xml:space="preserve"> discrimination.</w:t>
      </w:r>
    </w:p>
    <w:p w14:paraId="732BF836" w14:textId="16439BDF" w:rsidR="00846E1C" w:rsidRPr="00193A9A" w:rsidRDefault="006C7F76" w:rsidP="00846E1C">
      <w:pPr>
        <w:pStyle w:val="Text2"/>
        <w:ind w:left="482"/>
        <w:rPr>
          <w:noProof/>
        </w:rPr>
      </w:pPr>
      <w:r w:rsidRPr="00193A9A">
        <w:rPr>
          <w:noProof/>
        </w:rPr>
        <w:t>Against this background, t</w:t>
      </w:r>
      <w:r w:rsidR="00846E1C" w:rsidRPr="00193A9A">
        <w:rPr>
          <w:noProof/>
        </w:rPr>
        <w:t xml:space="preserve">he new standards for equality bodies </w:t>
      </w:r>
      <w:r w:rsidR="00FD47F1">
        <w:rPr>
          <w:noProof/>
        </w:rPr>
        <w:t>require</w:t>
      </w:r>
      <w:r w:rsidR="00846E1C" w:rsidRPr="00193A9A">
        <w:rPr>
          <w:noProof/>
        </w:rPr>
        <w:t xml:space="preserve"> Member States </w:t>
      </w:r>
      <w:r w:rsidR="00FD47F1">
        <w:rPr>
          <w:noProof/>
        </w:rPr>
        <w:t>to</w:t>
      </w:r>
      <w:r w:rsidR="00490970" w:rsidRPr="00193A9A">
        <w:rPr>
          <w:noProof/>
        </w:rPr>
        <w:t xml:space="preserve"> </w:t>
      </w:r>
      <w:r w:rsidR="00846E1C" w:rsidRPr="00193A9A">
        <w:rPr>
          <w:noProof/>
        </w:rPr>
        <w:t>give equality bodies the right to act in court proceedings (</w:t>
      </w:r>
      <w:r w:rsidR="00846E1C" w:rsidRPr="00193A9A">
        <w:rPr>
          <w:rStyle w:val="FootnoteReference"/>
          <w:noProof/>
        </w:rPr>
        <w:footnoteReference w:id="139"/>
      </w:r>
      <w:r w:rsidR="00846E1C" w:rsidRPr="00193A9A">
        <w:rPr>
          <w:noProof/>
        </w:rPr>
        <w:t xml:space="preserve">). </w:t>
      </w:r>
      <w:r w:rsidR="00490970">
        <w:rPr>
          <w:noProof/>
        </w:rPr>
        <w:t>One of the ways in which</w:t>
      </w:r>
      <w:r w:rsidR="00846E1C" w:rsidRPr="00193A9A">
        <w:rPr>
          <w:noProof/>
        </w:rPr>
        <w:t xml:space="preserve"> Member States can fulfil this obligation</w:t>
      </w:r>
      <w:r w:rsidR="00490970">
        <w:rPr>
          <w:noProof/>
        </w:rPr>
        <w:t xml:space="preserve"> is</w:t>
      </w:r>
      <w:r w:rsidR="00846E1C" w:rsidRPr="00193A9A">
        <w:rPr>
          <w:noProof/>
        </w:rPr>
        <w:t xml:space="preserve"> by enabling equality bodies to act in support or on behalf of several victims or to initiate court proceedings in their own name to defend the public interest.</w:t>
      </w:r>
    </w:p>
    <w:p w14:paraId="78DE1CC9" w14:textId="30D7212C" w:rsidR="00846E1C" w:rsidRPr="00193A9A" w:rsidRDefault="00846E1C" w:rsidP="00846E1C">
      <w:pPr>
        <w:pStyle w:val="Text3"/>
        <w:ind w:left="482"/>
        <w:rPr>
          <w:noProof/>
        </w:rPr>
      </w:pPr>
      <w:r w:rsidRPr="00193A9A">
        <w:rPr>
          <w:noProof/>
        </w:rPr>
        <w:t xml:space="preserve">Besides collective action, </w:t>
      </w:r>
      <w:r w:rsidR="008F761B">
        <w:rPr>
          <w:noProof/>
        </w:rPr>
        <w:t xml:space="preserve">the </w:t>
      </w:r>
      <w:r w:rsidRPr="00193A9A">
        <w:rPr>
          <w:noProof/>
        </w:rPr>
        <w:t xml:space="preserve">equality bodies surveyed also </w:t>
      </w:r>
      <w:r w:rsidR="008F761B">
        <w:rPr>
          <w:noProof/>
        </w:rPr>
        <w:t>mentioned</w:t>
      </w:r>
      <w:r w:rsidRPr="00193A9A">
        <w:rPr>
          <w:noProof/>
        </w:rPr>
        <w:t xml:space="preserve"> public</w:t>
      </w:r>
      <w:r w:rsidR="00424EC0">
        <w:rPr>
          <w:noProof/>
        </w:rPr>
        <w:t>-</w:t>
      </w:r>
      <w:r w:rsidRPr="00193A9A">
        <w:rPr>
          <w:noProof/>
        </w:rPr>
        <w:t xml:space="preserve">sector equality duties </w:t>
      </w:r>
      <w:r w:rsidR="008F761B">
        <w:rPr>
          <w:noProof/>
        </w:rPr>
        <w:t xml:space="preserve">as </w:t>
      </w:r>
      <w:r w:rsidRPr="00193A9A">
        <w:rPr>
          <w:noProof/>
        </w:rPr>
        <w:t xml:space="preserve">another tool. </w:t>
      </w:r>
      <w:r w:rsidR="008F761B">
        <w:rPr>
          <w:noProof/>
        </w:rPr>
        <w:t>Equality duties are available in 23 Member States but</w:t>
      </w:r>
      <w:r w:rsidRPr="00193A9A">
        <w:rPr>
          <w:noProof/>
        </w:rPr>
        <w:t xml:space="preserve"> often lack meaningful implementation mechanisms, accountability and </w:t>
      </w:r>
      <w:r w:rsidR="00C93655">
        <w:rPr>
          <w:noProof/>
        </w:rPr>
        <w:t xml:space="preserve">avenues for </w:t>
      </w:r>
      <w:r w:rsidRPr="00193A9A">
        <w:rPr>
          <w:noProof/>
        </w:rPr>
        <w:t xml:space="preserve">enforcement and are frequently unknown to administrations. </w:t>
      </w:r>
      <w:r w:rsidR="00C93655">
        <w:rPr>
          <w:noProof/>
        </w:rPr>
        <w:t xml:space="preserve">The </w:t>
      </w:r>
      <w:r w:rsidRPr="00193A9A">
        <w:rPr>
          <w:noProof/>
        </w:rPr>
        <w:t xml:space="preserve">13 Member States that reported encountering challenges in implementing equality duties largely agreed with </w:t>
      </w:r>
      <w:r w:rsidR="00C93655">
        <w:rPr>
          <w:noProof/>
        </w:rPr>
        <w:t>those</w:t>
      </w:r>
      <w:r w:rsidR="00C93655" w:rsidRPr="00193A9A">
        <w:rPr>
          <w:noProof/>
        </w:rPr>
        <w:t xml:space="preserve"> </w:t>
      </w:r>
      <w:r w:rsidRPr="00193A9A">
        <w:rPr>
          <w:noProof/>
        </w:rPr>
        <w:t>conclusions.</w:t>
      </w:r>
    </w:p>
    <w:tbl>
      <w:tblPr>
        <w:tblStyle w:val="EurolookClassicPurple2"/>
        <w:tblW w:w="0" w:type="auto"/>
        <w:tblInd w:w="442" w:type="dxa"/>
        <w:tblLook w:val="0620" w:firstRow="1" w:lastRow="0" w:firstColumn="0" w:lastColumn="0" w:noHBand="1" w:noVBand="1"/>
      </w:tblPr>
      <w:tblGrid>
        <w:gridCol w:w="8160"/>
      </w:tblGrid>
      <w:tr w:rsidR="002F1780" w:rsidRPr="00193A9A" w14:paraId="67B9F180" w14:textId="77777777" w:rsidTr="00173117">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004494"/>
          </w:tcPr>
          <w:p w14:paraId="55F9B5A2" w14:textId="6BE8FD66" w:rsidR="002F1780" w:rsidRPr="00193A9A" w:rsidRDefault="00A6547E" w:rsidP="00F6592E">
            <w:pPr>
              <w:pStyle w:val="TableText"/>
              <w:rPr>
                <w:b/>
                <w:bCs/>
                <w:noProof/>
              </w:rPr>
            </w:pPr>
            <w:r>
              <w:rPr>
                <w:b/>
                <w:bCs/>
                <w:noProof/>
              </w:rPr>
              <w:t>Conclusions</w:t>
            </w:r>
          </w:p>
        </w:tc>
      </w:tr>
      <w:tr w:rsidR="002F1780" w:rsidRPr="00193A9A" w14:paraId="36154A10" w14:textId="77777777" w:rsidTr="00F6592E">
        <w:trPr>
          <w:cantSplit/>
        </w:trPr>
        <w:tc>
          <w:tcPr>
            <w:tcW w:w="8160" w:type="dxa"/>
          </w:tcPr>
          <w:p w14:paraId="0A3C95CC" w14:textId="676575D4" w:rsidR="000D409F" w:rsidRDefault="000D409F" w:rsidP="000D409F">
            <w:pPr>
              <w:pStyle w:val="Text2"/>
              <w:ind w:left="0"/>
              <w:rPr>
                <w:noProof/>
              </w:rPr>
            </w:pPr>
            <w:r w:rsidRPr="000D409F">
              <w:rPr>
                <w:i/>
                <w:iCs/>
                <w:noProof/>
              </w:rPr>
              <w:t xml:space="preserve">Member States </w:t>
            </w:r>
            <w:r w:rsidR="009A3321">
              <w:rPr>
                <w:i/>
                <w:iCs/>
                <w:noProof/>
              </w:rPr>
              <w:t>must</w:t>
            </w:r>
            <w:r>
              <w:rPr>
                <w:noProof/>
              </w:rPr>
              <w:t>:</w:t>
            </w:r>
          </w:p>
          <w:p w14:paraId="637299AF" w14:textId="2BEEFBBF" w:rsidR="002F1780" w:rsidRDefault="002F1780" w:rsidP="00F6592E">
            <w:pPr>
              <w:pStyle w:val="ListDash2"/>
              <w:rPr>
                <w:noProof/>
              </w:rPr>
            </w:pPr>
            <w:r w:rsidRPr="00193A9A">
              <w:rPr>
                <w:noProof/>
              </w:rPr>
              <w:t>continue strengthening the</w:t>
            </w:r>
            <w:r w:rsidR="00C93655">
              <w:rPr>
                <w:noProof/>
              </w:rPr>
              <w:t>ir</w:t>
            </w:r>
            <w:r w:rsidRPr="00193A9A">
              <w:rPr>
                <w:noProof/>
              </w:rPr>
              <w:t xml:space="preserve"> enforcement of the Directives, including in cases of structural discrimination.</w:t>
            </w:r>
          </w:p>
          <w:p w14:paraId="56B0231D" w14:textId="3C5B4EB6" w:rsidR="009A3321" w:rsidRPr="00193A9A" w:rsidRDefault="009A3321" w:rsidP="009A3321">
            <w:pPr>
              <w:pStyle w:val="Text2"/>
              <w:ind w:left="0"/>
              <w:rPr>
                <w:noProof/>
              </w:rPr>
            </w:pPr>
            <w:r w:rsidRPr="000D409F">
              <w:rPr>
                <w:i/>
                <w:iCs/>
                <w:noProof/>
              </w:rPr>
              <w:t xml:space="preserve">Member States </w:t>
            </w:r>
            <w:r w:rsidR="001A1C05">
              <w:rPr>
                <w:i/>
                <w:iCs/>
                <w:noProof/>
              </w:rPr>
              <w:t>should</w:t>
            </w:r>
            <w:r>
              <w:rPr>
                <w:noProof/>
              </w:rPr>
              <w:t>:</w:t>
            </w:r>
          </w:p>
          <w:p w14:paraId="1DEA06D8" w14:textId="644E1D20" w:rsidR="002F1780" w:rsidRPr="00193A9A" w:rsidRDefault="002F1780" w:rsidP="002F1780">
            <w:pPr>
              <w:pStyle w:val="ListDash2"/>
              <w:rPr>
                <w:noProof/>
              </w:rPr>
            </w:pPr>
            <w:r w:rsidRPr="00193A9A">
              <w:rPr>
                <w:noProof/>
              </w:rPr>
              <w:t>make it easier to use collective redress in discrimination cases.</w:t>
            </w:r>
          </w:p>
        </w:tc>
      </w:tr>
    </w:tbl>
    <w:p w14:paraId="7C033DE2" w14:textId="1EA79485" w:rsidR="00846E1C" w:rsidRPr="00193A9A" w:rsidRDefault="00D57B94" w:rsidP="00CE642C">
      <w:pPr>
        <w:pStyle w:val="Heading1"/>
        <w:rPr>
          <w:noProof/>
        </w:rPr>
      </w:pPr>
      <w:r w:rsidRPr="00193A9A">
        <w:rPr>
          <w:noProof/>
        </w:rPr>
        <w:t>Applying the Directives in response to algorithmic discrimination</w:t>
      </w:r>
    </w:p>
    <w:p w14:paraId="4A31584B" w14:textId="77777777" w:rsidR="00AD5571" w:rsidRDefault="00D57B94" w:rsidP="00D57B94">
      <w:pPr>
        <w:pStyle w:val="Text1"/>
        <w:rPr>
          <w:noProof/>
        </w:rPr>
      </w:pPr>
      <w:r w:rsidRPr="00193A9A">
        <w:rPr>
          <w:noProof/>
        </w:rPr>
        <w:t xml:space="preserve">Digitalisation adds another layer of complexity to the situation </w:t>
      </w:r>
      <w:r w:rsidR="00C93655">
        <w:rPr>
          <w:noProof/>
        </w:rPr>
        <w:t>faced by</w:t>
      </w:r>
      <w:r w:rsidRPr="00193A9A">
        <w:rPr>
          <w:noProof/>
        </w:rPr>
        <w:t xml:space="preserve"> communities exposed to</w:t>
      </w:r>
      <w:r w:rsidR="00924FE1" w:rsidRPr="00193A9A">
        <w:rPr>
          <w:noProof/>
        </w:rPr>
        <w:t xml:space="preserve"> structural</w:t>
      </w:r>
      <w:r w:rsidRPr="00193A9A">
        <w:rPr>
          <w:noProof/>
        </w:rPr>
        <w:t xml:space="preserve"> inequalities.</w:t>
      </w:r>
      <w:r w:rsidR="00AD5571">
        <w:rPr>
          <w:noProof/>
        </w:rPr>
        <w:t xml:space="preserve"> </w:t>
      </w:r>
    </w:p>
    <w:p w14:paraId="425B3D91" w14:textId="3C025AAD" w:rsidR="00BF04C0" w:rsidRPr="00B61149" w:rsidRDefault="005F44E0" w:rsidP="00571674">
      <w:pPr>
        <w:pStyle w:val="Text1"/>
        <w:rPr>
          <w:noProof/>
          <w:lang w:val="en-IE"/>
        </w:rPr>
      </w:pPr>
      <w:r>
        <w:rPr>
          <w:noProof/>
        </w:rPr>
        <w:t>H</w:t>
      </w:r>
      <w:r w:rsidRPr="00D34339">
        <w:rPr>
          <w:noProof/>
        </w:rPr>
        <w:t xml:space="preserve">umans determine the objectives of </w:t>
      </w:r>
      <w:r>
        <w:rPr>
          <w:noProof/>
        </w:rPr>
        <w:t>automated systems, including algorithms and AI systems, according to which these systems</w:t>
      </w:r>
      <w:r w:rsidRPr="00D34339">
        <w:rPr>
          <w:noProof/>
        </w:rPr>
        <w:t xml:space="preserve"> utili</w:t>
      </w:r>
      <w:r>
        <w:rPr>
          <w:noProof/>
        </w:rPr>
        <w:t>s</w:t>
      </w:r>
      <w:r w:rsidRPr="00D34339">
        <w:rPr>
          <w:noProof/>
        </w:rPr>
        <w:t xml:space="preserve">e data collected from human or machine sources during operation. </w:t>
      </w:r>
      <w:r w:rsidR="00D34339" w:rsidRPr="00D34339">
        <w:rPr>
          <w:noProof/>
        </w:rPr>
        <w:t xml:space="preserve">As a result, </w:t>
      </w:r>
      <w:r w:rsidR="00571674">
        <w:rPr>
          <w:noProof/>
        </w:rPr>
        <w:t>algorithms and AI</w:t>
      </w:r>
      <w:r w:rsidR="00D34339" w:rsidRPr="00D34339">
        <w:rPr>
          <w:noProof/>
        </w:rPr>
        <w:t xml:space="preserve"> systems may incorporate human biases, stereotypes, norms, and practices during programming</w:t>
      </w:r>
      <w:r w:rsidR="00B55B2E">
        <w:rPr>
          <w:noProof/>
        </w:rPr>
        <w:t xml:space="preserve">, </w:t>
      </w:r>
      <w:r w:rsidR="00D34339" w:rsidRPr="00D34339">
        <w:rPr>
          <w:noProof/>
        </w:rPr>
        <w:t xml:space="preserve">data processing, </w:t>
      </w:r>
      <w:r w:rsidR="00B55B2E">
        <w:rPr>
          <w:noProof/>
        </w:rPr>
        <w:t>and</w:t>
      </w:r>
      <w:r w:rsidR="00D34339" w:rsidRPr="00D34339">
        <w:rPr>
          <w:noProof/>
        </w:rPr>
        <w:t xml:space="preserve"> </w:t>
      </w:r>
      <w:r w:rsidR="00D34339">
        <w:rPr>
          <w:noProof/>
        </w:rPr>
        <w:t>when humans interact with the application</w:t>
      </w:r>
      <w:r w:rsidR="00B55B2E">
        <w:rPr>
          <w:noProof/>
        </w:rPr>
        <w:t>s</w:t>
      </w:r>
      <w:r w:rsidR="00571674" w:rsidRPr="00571674">
        <w:rPr>
          <w:noProof/>
        </w:rPr>
        <w:t> (</w:t>
      </w:r>
      <w:r w:rsidR="00571674">
        <w:rPr>
          <w:rStyle w:val="FootnoteReference"/>
          <w:noProof/>
        </w:rPr>
        <w:footnoteReference w:id="140"/>
      </w:r>
      <w:r w:rsidR="00571674">
        <w:rPr>
          <w:noProof/>
        </w:rPr>
        <w:t>)</w:t>
      </w:r>
      <w:r w:rsidR="00D34339" w:rsidRPr="00D34339">
        <w:rPr>
          <w:noProof/>
        </w:rPr>
        <w:t>.</w:t>
      </w:r>
      <w:r w:rsidR="00D34339">
        <w:rPr>
          <w:noProof/>
        </w:rPr>
        <w:t xml:space="preserve"> </w:t>
      </w:r>
      <w:r w:rsidR="00571674" w:rsidRPr="00571674">
        <w:rPr>
          <w:noProof/>
          <w:lang w:val="en-IE"/>
        </w:rPr>
        <w:t>This has been shown to sometimes result in</w:t>
      </w:r>
      <w:r w:rsidR="00A15C5D">
        <w:rPr>
          <w:noProof/>
          <w:lang w:val="en-IE"/>
        </w:rPr>
        <w:t xml:space="preserve"> issues that negatively affect people</w:t>
      </w:r>
      <w:r w:rsidR="00571674" w:rsidRPr="00571674">
        <w:rPr>
          <w:noProof/>
          <w:lang w:val="en-IE"/>
        </w:rPr>
        <w:t xml:space="preserve"> on the grounds and in the fields protected by non-discrimination law. </w:t>
      </w:r>
    </w:p>
    <w:p w14:paraId="6423F3AD" w14:textId="3CC65518" w:rsidR="00571674" w:rsidRDefault="00D57B94" w:rsidP="00571674">
      <w:pPr>
        <w:pStyle w:val="Text1"/>
        <w:rPr>
          <w:noProof/>
        </w:rPr>
      </w:pPr>
      <w:r w:rsidRPr="00193A9A">
        <w:rPr>
          <w:noProof/>
        </w:rPr>
        <w:t>For instance, under</w:t>
      </w:r>
      <w:r w:rsidR="0033699C">
        <w:rPr>
          <w:noProof/>
        </w:rPr>
        <w:t>-</w:t>
      </w:r>
      <w:r w:rsidRPr="00193A9A">
        <w:rPr>
          <w:noProof/>
        </w:rPr>
        <w:t>representation</w:t>
      </w:r>
      <w:r w:rsidR="00BF04C0">
        <w:rPr>
          <w:noProof/>
        </w:rPr>
        <w:t xml:space="preserve"> of</w:t>
      </w:r>
      <w:r w:rsidRPr="00193A9A">
        <w:rPr>
          <w:noProof/>
        </w:rPr>
        <w:t xml:space="preserve"> </w:t>
      </w:r>
      <w:r w:rsidR="00BF04C0" w:rsidRPr="00193A9A">
        <w:rPr>
          <w:noProof/>
        </w:rPr>
        <w:t xml:space="preserve">people with a </w:t>
      </w:r>
      <w:r w:rsidR="005F44E0">
        <w:rPr>
          <w:noProof/>
        </w:rPr>
        <w:t xml:space="preserve">particular </w:t>
      </w:r>
      <w:r w:rsidR="00BF04C0" w:rsidRPr="00193A9A">
        <w:rPr>
          <w:noProof/>
        </w:rPr>
        <w:t>minority racial or ethnic background</w:t>
      </w:r>
      <w:r w:rsidR="00BF04C0">
        <w:rPr>
          <w:noProof/>
        </w:rPr>
        <w:t xml:space="preserve"> </w:t>
      </w:r>
      <w:r w:rsidR="00773605">
        <w:rPr>
          <w:noProof/>
        </w:rPr>
        <w:t xml:space="preserve">led to situations </w:t>
      </w:r>
      <w:r w:rsidR="00A15C5D">
        <w:rPr>
          <w:noProof/>
        </w:rPr>
        <w:t>in which</w:t>
      </w:r>
      <w:r w:rsidRPr="00193A9A">
        <w:rPr>
          <w:noProof/>
        </w:rPr>
        <w:t xml:space="preserve"> photo booth</w:t>
      </w:r>
      <w:r w:rsidR="0033699C">
        <w:rPr>
          <w:noProof/>
        </w:rPr>
        <w:t>s</w:t>
      </w:r>
      <w:r w:rsidRPr="00193A9A">
        <w:rPr>
          <w:noProof/>
        </w:rPr>
        <w:t xml:space="preserve"> did not recognise </w:t>
      </w:r>
      <w:r w:rsidR="0033699C">
        <w:rPr>
          <w:noProof/>
        </w:rPr>
        <w:t>people</w:t>
      </w:r>
      <w:r w:rsidR="0033699C" w:rsidRPr="00193A9A">
        <w:rPr>
          <w:noProof/>
        </w:rPr>
        <w:t xml:space="preserve"> </w:t>
      </w:r>
      <w:r w:rsidRPr="00193A9A">
        <w:rPr>
          <w:noProof/>
        </w:rPr>
        <w:t>with darker skin tones when taking biometric pictures</w:t>
      </w:r>
      <w:r w:rsidR="008F761B">
        <w:rPr>
          <w:noProof/>
        </w:rPr>
        <w:t> </w:t>
      </w:r>
      <w:r w:rsidRPr="00193A9A">
        <w:rPr>
          <w:noProof/>
        </w:rPr>
        <w:t>(</w:t>
      </w:r>
      <w:r w:rsidRPr="00193A9A">
        <w:rPr>
          <w:rStyle w:val="FootnoteReference"/>
          <w:noProof/>
        </w:rPr>
        <w:footnoteReference w:id="141"/>
      </w:r>
      <w:r w:rsidRPr="00193A9A">
        <w:rPr>
          <w:noProof/>
        </w:rPr>
        <w:t xml:space="preserve">). Elsewhere, AI or automated systems recommended actions that disproportionately affected certain groups of people </w:t>
      </w:r>
      <w:r w:rsidR="0033699C">
        <w:rPr>
          <w:noProof/>
        </w:rPr>
        <w:t>on the basis of</w:t>
      </w:r>
      <w:r w:rsidRPr="00193A9A">
        <w:rPr>
          <w:noProof/>
        </w:rPr>
        <w:t xml:space="preserve"> proxies (</w:t>
      </w:r>
      <w:r w:rsidRPr="00193A9A">
        <w:rPr>
          <w:rStyle w:val="FootnoteReference"/>
          <w:noProof/>
        </w:rPr>
        <w:footnoteReference w:id="142"/>
      </w:r>
      <w:r w:rsidRPr="00193A9A">
        <w:rPr>
          <w:noProof/>
        </w:rPr>
        <w:t>)</w:t>
      </w:r>
      <w:r w:rsidR="0033699C">
        <w:rPr>
          <w:noProof/>
        </w:rPr>
        <w:t xml:space="preserve"> </w:t>
      </w:r>
      <w:r w:rsidRPr="00193A9A">
        <w:rPr>
          <w:noProof/>
        </w:rPr>
        <w:t xml:space="preserve">for protected characteristics. For example, postcodes </w:t>
      </w:r>
      <w:r w:rsidR="00191556">
        <w:rPr>
          <w:noProof/>
        </w:rPr>
        <w:t>could be</w:t>
      </w:r>
      <w:r w:rsidR="00191556" w:rsidRPr="00193A9A">
        <w:rPr>
          <w:noProof/>
        </w:rPr>
        <w:t xml:space="preserve"> </w:t>
      </w:r>
      <w:r w:rsidRPr="00193A9A">
        <w:rPr>
          <w:noProof/>
        </w:rPr>
        <w:t xml:space="preserve">used as a proxy for racial or ethnic origin or sexual orientation, and first names </w:t>
      </w:r>
      <w:r w:rsidR="00191556">
        <w:rPr>
          <w:noProof/>
        </w:rPr>
        <w:t>might be</w:t>
      </w:r>
      <w:r w:rsidRPr="00193A9A">
        <w:rPr>
          <w:noProof/>
        </w:rPr>
        <w:t xml:space="preserve"> used as a proxy for age</w:t>
      </w:r>
      <w:r w:rsidR="0033699C">
        <w:rPr>
          <w:noProof/>
        </w:rPr>
        <w:t> </w:t>
      </w:r>
      <w:r w:rsidRPr="00193A9A">
        <w:rPr>
          <w:noProof/>
        </w:rPr>
        <w:t>(</w:t>
      </w:r>
      <w:r w:rsidRPr="00193A9A">
        <w:rPr>
          <w:rStyle w:val="FootnoteReference"/>
          <w:noProof/>
        </w:rPr>
        <w:footnoteReference w:id="143"/>
      </w:r>
      <w:r w:rsidRPr="00193A9A">
        <w:rPr>
          <w:noProof/>
        </w:rPr>
        <w:t>).</w:t>
      </w:r>
    </w:p>
    <w:p w14:paraId="297AEC40" w14:textId="06433E04" w:rsidR="00104853" w:rsidRDefault="003D65B1" w:rsidP="00571674">
      <w:pPr>
        <w:pStyle w:val="Text1"/>
        <w:rPr>
          <w:noProof/>
        </w:rPr>
      </w:pPr>
      <w:r w:rsidRPr="00193A9A">
        <w:rPr>
          <w:noProof/>
        </w:rPr>
        <w:t>The Racial</w:t>
      </w:r>
      <w:r>
        <w:rPr>
          <w:noProof/>
        </w:rPr>
        <w:t xml:space="preserve"> Equality Directive</w:t>
      </w:r>
      <w:r w:rsidRPr="00193A9A">
        <w:rPr>
          <w:noProof/>
        </w:rPr>
        <w:t xml:space="preserve"> and Employment Equality Directive establish a general framework for tackling discrimination</w:t>
      </w:r>
      <w:r>
        <w:rPr>
          <w:noProof/>
        </w:rPr>
        <w:t>. This is true</w:t>
      </w:r>
      <w:r w:rsidRPr="00193A9A">
        <w:rPr>
          <w:noProof/>
        </w:rPr>
        <w:t xml:space="preserve"> regardless </w:t>
      </w:r>
      <w:r>
        <w:rPr>
          <w:noProof/>
        </w:rPr>
        <w:t xml:space="preserve">of </w:t>
      </w:r>
      <w:r w:rsidRPr="00193A9A">
        <w:rPr>
          <w:noProof/>
        </w:rPr>
        <w:t>the means by which it is perpetrated.</w:t>
      </w:r>
      <w:r>
        <w:rPr>
          <w:noProof/>
        </w:rPr>
        <w:t xml:space="preserve"> </w:t>
      </w:r>
      <w:r w:rsidRPr="00193A9A">
        <w:rPr>
          <w:noProof/>
        </w:rPr>
        <w:t>As demonstrated below, the Directives apply to situations where discrimination arises from the use of automated and AI systems</w:t>
      </w:r>
      <w:r>
        <w:rPr>
          <w:noProof/>
        </w:rPr>
        <w:t xml:space="preserve"> (algorithmic discrimination)</w:t>
      </w:r>
      <w:r w:rsidRPr="00193A9A">
        <w:rPr>
          <w:noProof/>
        </w:rPr>
        <w:t>.</w:t>
      </w:r>
    </w:p>
    <w:p w14:paraId="6998BC1F" w14:textId="2728D1C9" w:rsidR="00D57B94" w:rsidRPr="00193A9A" w:rsidRDefault="00571674" w:rsidP="00571674">
      <w:pPr>
        <w:pStyle w:val="Text1"/>
        <w:rPr>
          <w:noProof/>
        </w:rPr>
      </w:pPr>
      <w:r w:rsidRPr="00571674">
        <w:rPr>
          <w:noProof/>
        </w:rPr>
        <w:t>Algorithm and AI-supported decisions are made at large scale and speed, while potential biases and sources of unfavourable outcomes for protected groups may be difficult to identify.</w:t>
      </w:r>
      <w:r>
        <w:rPr>
          <w:noProof/>
        </w:rPr>
        <w:t xml:space="preserve"> </w:t>
      </w:r>
      <w:r w:rsidR="00D57B94" w:rsidRPr="00193A9A">
        <w:rPr>
          <w:noProof/>
        </w:rPr>
        <w:t>In their replies to the Commission, almost all of the equality bodies surveyed and all of the civil society organisations believed that algorithmic discrimination was not yet appropriately understood and addressed by public authorities, the private sector or wider society.</w:t>
      </w:r>
    </w:p>
    <w:p w14:paraId="133D9935" w14:textId="45BDD97E" w:rsidR="00D57B94" w:rsidRDefault="009733FA" w:rsidP="00D57B94">
      <w:pPr>
        <w:pStyle w:val="Text1"/>
        <w:rPr>
          <w:noProof/>
        </w:rPr>
      </w:pPr>
      <w:r w:rsidRPr="00193A9A">
        <w:rPr>
          <w:noProof/>
        </w:rPr>
        <w:t>E</w:t>
      </w:r>
      <w:r w:rsidR="00924FE1" w:rsidRPr="00193A9A">
        <w:rPr>
          <w:noProof/>
        </w:rPr>
        <w:t>quality bodies and civil society</w:t>
      </w:r>
      <w:r w:rsidR="00D84175">
        <w:rPr>
          <w:noProof/>
        </w:rPr>
        <w:t xml:space="preserve"> organisations</w:t>
      </w:r>
      <w:r w:rsidR="00924FE1" w:rsidRPr="00193A9A">
        <w:rPr>
          <w:noProof/>
        </w:rPr>
        <w:t xml:space="preserve"> reported that people with a minority racial or ethnic background and persons with disabilities are the primary victims of algorithmic discrimination, which manifests most </w:t>
      </w:r>
      <w:r w:rsidR="00D84175">
        <w:rPr>
          <w:noProof/>
        </w:rPr>
        <w:t>clearly</w:t>
      </w:r>
      <w:r w:rsidR="00D84175" w:rsidRPr="00193A9A">
        <w:rPr>
          <w:noProof/>
        </w:rPr>
        <w:t xml:space="preserve"> </w:t>
      </w:r>
      <w:r w:rsidR="00924FE1" w:rsidRPr="00193A9A">
        <w:rPr>
          <w:noProof/>
        </w:rPr>
        <w:t>in employment, education, healthcare and access to goods and services.</w:t>
      </w:r>
    </w:p>
    <w:p w14:paraId="7A5CBDE4" w14:textId="797BED92" w:rsidR="00924FE1" w:rsidRPr="00193A9A" w:rsidRDefault="005F1C96" w:rsidP="009A3321">
      <w:pPr>
        <w:pStyle w:val="Text1"/>
        <w:rPr>
          <w:noProof/>
        </w:rPr>
      </w:pPr>
      <w:r w:rsidRPr="005F1C96">
        <w:rPr>
          <w:noProof/>
        </w:rPr>
        <w:t>The following sections outline key concepts and protections under EU non-discrimination law that are relevant to addressing algorithmic discrimination. Additionally, the report examines other instruments designed to prevent and mitigate potentially discriminatory effects of algorithms and AI systems. It also presents the applicable legal framework and practices in Member States, along with identified good practices.</w:t>
      </w:r>
    </w:p>
    <w:tbl>
      <w:tblPr>
        <w:tblStyle w:val="EurolookClassicPurple2"/>
        <w:tblW w:w="0" w:type="auto"/>
        <w:tblInd w:w="442" w:type="dxa"/>
        <w:tblLook w:val="0620" w:firstRow="1" w:lastRow="0" w:firstColumn="0" w:lastColumn="0" w:noHBand="1" w:noVBand="1"/>
      </w:tblPr>
      <w:tblGrid>
        <w:gridCol w:w="8160"/>
      </w:tblGrid>
      <w:tr w:rsidR="00924FE1" w:rsidRPr="00193A9A" w14:paraId="41F912B7" w14:textId="77777777" w:rsidTr="00F6592E">
        <w:trPr>
          <w:cnfStyle w:val="100000000000" w:firstRow="1" w:lastRow="0" w:firstColumn="0" w:lastColumn="0" w:oddVBand="0" w:evenVBand="0" w:oddHBand="0" w:evenHBand="0" w:firstRowFirstColumn="0" w:firstRowLastColumn="0" w:lastRowFirstColumn="0" w:lastRowLastColumn="0"/>
          <w:cantSplit/>
          <w:tblHeader/>
        </w:trPr>
        <w:tc>
          <w:tcPr>
            <w:tcW w:w="8160" w:type="dxa"/>
          </w:tcPr>
          <w:p w14:paraId="23CE7206" w14:textId="77777777" w:rsidR="00924FE1" w:rsidRPr="00193A9A" w:rsidRDefault="00924FE1" w:rsidP="00F6592E">
            <w:pPr>
              <w:pStyle w:val="TableText"/>
              <w:jc w:val="both"/>
              <w:rPr>
                <w:b/>
                <w:bCs/>
                <w:noProof/>
              </w:rPr>
            </w:pPr>
            <w:r w:rsidRPr="00193A9A">
              <w:rPr>
                <w:b/>
                <w:bCs/>
                <w:noProof/>
              </w:rPr>
              <w:t>Key takeaways</w:t>
            </w:r>
          </w:p>
        </w:tc>
      </w:tr>
      <w:tr w:rsidR="00924FE1" w:rsidRPr="00193A9A" w14:paraId="59AFC2B2" w14:textId="77777777" w:rsidTr="00F6592E">
        <w:trPr>
          <w:cantSplit/>
        </w:trPr>
        <w:tc>
          <w:tcPr>
            <w:tcW w:w="8160" w:type="dxa"/>
          </w:tcPr>
          <w:p w14:paraId="6A61FC05" w14:textId="535574E1" w:rsidR="00924FE1" w:rsidRPr="00193A9A" w:rsidRDefault="007673C0" w:rsidP="00F6592E">
            <w:pPr>
              <w:pStyle w:val="ListDash2"/>
              <w:numPr>
                <w:ilvl w:val="0"/>
                <w:numId w:val="3"/>
              </w:numPr>
              <w:rPr>
                <w:noProof/>
              </w:rPr>
            </w:pPr>
            <w:r>
              <w:rPr>
                <w:noProof/>
              </w:rPr>
              <w:t>M</w:t>
            </w:r>
            <w:r w:rsidR="00D84175">
              <w:rPr>
                <w:noProof/>
              </w:rPr>
              <w:t>ost Member States</w:t>
            </w:r>
            <w:r>
              <w:rPr>
                <w:noProof/>
              </w:rPr>
              <w:t xml:space="preserve"> have</w:t>
            </w:r>
            <w:r w:rsidR="00924FE1" w:rsidRPr="00193A9A">
              <w:rPr>
                <w:noProof/>
              </w:rPr>
              <w:t xml:space="preserve"> minimal </w:t>
            </w:r>
            <w:r w:rsidR="00C256B7">
              <w:rPr>
                <w:noProof/>
              </w:rPr>
              <w:t>practical experience</w:t>
            </w:r>
            <w:r w:rsidR="00C256B7" w:rsidRPr="00193A9A">
              <w:rPr>
                <w:noProof/>
              </w:rPr>
              <w:t xml:space="preserve"> </w:t>
            </w:r>
            <w:r w:rsidR="00924FE1" w:rsidRPr="00193A9A">
              <w:rPr>
                <w:noProof/>
              </w:rPr>
              <w:t>of applying non-discrimination law to cases of algorithmic discrimination.</w:t>
            </w:r>
          </w:p>
          <w:p w14:paraId="4C0E3FBB" w14:textId="2255EDA8" w:rsidR="00924FE1" w:rsidRPr="00193A9A" w:rsidRDefault="00E623FF" w:rsidP="00F6592E">
            <w:pPr>
              <w:pStyle w:val="ListDash2"/>
              <w:numPr>
                <w:ilvl w:val="0"/>
                <w:numId w:val="3"/>
              </w:numPr>
              <w:rPr>
                <w:noProof/>
              </w:rPr>
            </w:pPr>
            <w:r>
              <w:rPr>
                <w:noProof/>
              </w:rPr>
              <w:t>Under the Equality Bodies Directives, e</w:t>
            </w:r>
            <w:r w:rsidR="00924FE1" w:rsidRPr="00193A9A">
              <w:rPr>
                <w:noProof/>
              </w:rPr>
              <w:t xml:space="preserve">quality bodies </w:t>
            </w:r>
            <w:r w:rsidR="007673C0">
              <w:rPr>
                <w:noProof/>
              </w:rPr>
              <w:t>must</w:t>
            </w:r>
            <w:r w:rsidR="007673C0" w:rsidRPr="00193A9A">
              <w:rPr>
                <w:noProof/>
              </w:rPr>
              <w:t xml:space="preserve"> </w:t>
            </w:r>
            <w:r w:rsidR="00924FE1" w:rsidRPr="00193A9A">
              <w:rPr>
                <w:noProof/>
              </w:rPr>
              <w:t xml:space="preserve">have </w:t>
            </w:r>
            <w:r>
              <w:rPr>
                <w:noProof/>
              </w:rPr>
              <w:t xml:space="preserve">appropriate human and technical </w:t>
            </w:r>
            <w:r w:rsidR="00924FE1" w:rsidRPr="00193A9A">
              <w:rPr>
                <w:noProof/>
              </w:rPr>
              <w:t xml:space="preserve">resources to use AI and automated systems and to ensure </w:t>
            </w:r>
            <w:r w:rsidR="007673C0">
              <w:rPr>
                <w:noProof/>
              </w:rPr>
              <w:t xml:space="preserve">that </w:t>
            </w:r>
            <w:r w:rsidR="00924FE1" w:rsidRPr="00193A9A">
              <w:rPr>
                <w:noProof/>
              </w:rPr>
              <w:t>the</w:t>
            </w:r>
            <w:r w:rsidR="007673C0">
              <w:rPr>
                <w:noProof/>
              </w:rPr>
              <w:t>y</w:t>
            </w:r>
            <w:r w:rsidR="00924FE1" w:rsidRPr="00193A9A">
              <w:rPr>
                <w:noProof/>
              </w:rPr>
              <w:t xml:space="preserve"> compl</w:t>
            </w:r>
            <w:r w:rsidR="007673C0">
              <w:rPr>
                <w:noProof/>
              </w:rPr>
              <w:t>y</w:t>
            </w:r>
            <w:r w:rsidR="00924FE1" w:rsidRPr="00193A9A">
              <w:rPr>
                <w:noProof/>
              </w:rPr>
              <w:t xml:space="preserve"> with non-discrimination rules.</w:t>
            </w:r>
          </w:p>
        </w:tc>
      </w:tr>
    </w:tbl>
    <w:p w14:paraId="52BA364D" w14:textId="5B2BA38A" w:rsidR="00846E1C" w:rsidRPr="00193A9A" w:rsidRDefault="006C7F76" w:rsidP="00DF47AA">
      <w:pPr>
        <w:pStyle w:val="Heading2"/>
        <w:spacing w:before="240"/>
        <w:ind w:left="1195"/>
        <w:rPr>
          <w:noProof/>
        </w:rPr>
      </w:pPr>
      <w:r w:rsidRPr="00193A9A">
        <w:rPr>
          <w:noProof/>
        </w:rPr>
        <w:t>Legal framework</w:t>
      </w:r>
    </w:p>
    <w:p w14:paraId="7600445C" w14:textId="191AD67E" w:rsidR="00860857" w:rsidRPr="00193A9A" w:rsidRDefault="009657AF" w:rsidP="00846E1C">
      <w:pPr>
        <w:pStyle w:val="Text1"/>
        <w:rPr>
          <w:noProof/>
        </w:rPr>
      </w:pPr>
      <w:r w:rsidRPr="00193A9A">
        <w:rPr>
          <w:noProof/>
        </w:rPr>
        <w:t xml:space="preserve">The </w:t>
      </w:r>
      <w:r w:rsidR="007D3412" w:rsidRPr="00193A9A">
        <w:rPr>
          <w:noProof/>
        </w:rPr>
        <w:t>Racial</w:t>
      </w:r>
      <w:r w:rsidR="007D3412">
        <w:rPr>
          <w:noProof/>
        </w:rPr>
        <w:t xml:space="preserve"> Equality Directive</w:t>
      </w:r>
      <w:r w:rsidR="007D3412" w:rsidRPr="00193A9A">
        <w:rPr>
          <w:noProof/>
        </w:rPr>
        <w:t xml:space="preserve"> and Employment Equality Directive</w:t>
      </w:r>
      <w:r w:rsidRPr="00193A9A">
        <w:rPr>
          <w:noProof/>
        </w:rPr>
        <w:t xml:space="preserve"> </w:t>
      </w:r>
      <w:r w:rsidR="007D3412">
        <w:rPr>
          <w:noProof/>
        </w:rPr>
        <w:t xml:space="preserve">both </w:t>
      </w:r>
      <w:r w:rsidRPr="00193A9A">
        <w:rPr>
          <w:noProof/>
        </w:rPr>
        <w:t xml:space="preserve">apply to discrimination resulting from the use of </w:t>
      </w:r>
      <w:r w:rsidR="007540FB">
        <w:rPr>
          <w:noProof/>
        </w:rPr>
        <w:t>AI</w:t>
      </w:r>
      <w:r w:rsidRPr="00193A9A">
        <w:rPr>
          <w:noProof/>
        </w:rPr>
        <w:t xml:space="preserve"> within their respective personal and material scopes</w:t>
      </w:r>
      <w:r w:rsidR="00860857" w:rsidRPr="00193A9A">
        <w:rPr>
          <w:noProof/>
        </w:rPr>
        <w:t>.</w:t>
      </w:r>
    </w:p>
    <w:p w14:paraId="4CC1FD51" w14:textId="35A35ABE" w:rsidR="00846E1C" w:rsidRPr="00193A9A" w:rsidRDefault="00D363E4" w:rsidP="00846E1C">
      <w:pPr>
        <w:pStyle w:val="Text1"/>
        <w:rPr>
          <w:noProof/>
        </w:rPr>
      </w:pPr>
      <w:r w:rsidRPr="00193A9A">
        <w:rPr>
          <w:noProof/>
        </w:rPr>
        <w:t>T</w:t>
      </w:r>
      <w:r w:rsidR="00846E1C" w:rsidRPr="00193A9A">
        <w:rPr>
          <w:noProof/>
        </w:rPr>
        <w:t xml:space="preserve">he prohibition of direct discrimination prevents </w:t>
      </w:r>
      <w:r w:rsidR="009657AF" w:rsidRPr="00193A9A">
        <w:rPr>
          <w:noProof/>
        </w:rPr>
        <w:t xml:space="preserve">protected characteristics from </w:t>
      </w:r>
      <w:r w:rsidR="007D3412">
        <w:rPr>
          <w:noProof/>
        </w:rPr>
        <w:t>being utilised by</w:t>
      </w:r>
      <w:r w:rsidR="009657AF" w:rsidRPr="00193A9A">
        <w:rPr>
          <w:noProof/>
        </w:rPr>
        <w:t xml:space="preserve"> algorithm</w:t>
      </w:r>
      <w:r w:rsidR="007D3412">
        <w:rPr>
          <w:noProof/>
        </w:rPr>
        <w:t>s to</w:t>
      </w:r>
      <w:r w:rsidR="009657AF" w:rsidRPr="00193A9A">
        <w:rPr>
          <w:noProof/>
        </w:rPr>
        <w:t xml:space="preserve"> treat </w:t>
      </w:r>
      <w:r w:rsidR="00A872E7" w:rsidRPr="00193A9A">
        <w:rPr>
          <w:noProof/>
        </w:rPr>
        <w:t>individuals</w:t>
      </w:r>
      <w:r w:rsidR="00656B54" w:rsidRPr="00193A9A">
        <w:rPr>
          <w:noProof/>
        </w:rPr>
        <w:t xml:space="preserve"> in ways that produce</w:t>
      </w:r>
      <w:r w:rsidR="00127ADC">
        <w:rPr>
          <w:noProof/>
        </w:rPr>
        <w:t>s</w:t>
      </w:r>
      <w:r w:rsidR="00656B54" w:rsidRPr="00193A9A">
        <w:rPr>
          <w:noProof/>
        </w:rPr>
        <w:t xml:space="preserve"> </w:t>
      </w:r>
      <w:r w:rsidR="00846E1C" w:rsidRPr="00193A9A">
        <w:rPr>
          <w:noProof/>
        </w:rPr>
        <w:t xml:space="preserve">less favourable </w:t>
      </w:r>
      <w:r w:rsidR="009657AF" w:rsidRPr="00193A9A">
        <w:rPr>
          <w:noProof/>
        </w:rPr>
        <w:t>outcomes in comparable situations</w:t>
      </w:r>
      <w:r w:rsidR="00846E1C" w:rsidRPr="00193A9A">
        <w:rPr>
          <w:noProof/>
        </w:rPr>
        <w:t xml:space="preserve">. The prohibition of indirect discrimination </w:t>
      </w:r>
      <w:r w:rsidR="00A872E7" w:rsidRPr="00193A9A">
        <w:rPr>
          <w:noProof/>
        </w:rPr>
        <w:t xml:space="preserve">addresses </w:t>
      </w:r>
      <w:r w:rsidR="007D3412">
        <w:rPr>
          <w:noProof/>
        </w:rPr>
        <w:t xml:space="preserve">the </w:t>
      </w:r>
      <w:r w:rsidR="00846E1C" w:rsidRPr="00193A9A">
        <w:rPr>
          <w:noProof/>
        </w:rPr>
        <w:t>disadvantage</w:t>
      </w:r>
      <w:r w:rsidR="00A872E7" w:rsidRPr="00193A9A">
        <w:rPr>
          <w:noProof/>
        </w:rPr>
        <w:t>ou</w:t>
      </w:r>
      <w:r w:rsidR="00846E1C" w:rsidRPr="00193A9A">
        <w:rPr>
          <w:noProof/>
        </w:rPr>
        <w:t xml:space="preserve">s </w:t>
      </w:r>
      <w:r w:rsidR="00A872E7" w:rsidRPr="00193A9A">
        <w:rPr>
          <w:noProof/>
        </w:rPr>
        <w:t xml:space="preserve">effects of </w:t>
      </w:r>
      <w:r w:rsidR="00846E1C" w:rsidRPr="007D3412">
        <w:rPr>
          <w:noProof/>
        </w:rPr>
        <w:t>practices</w:t>
      </w:r>
      <w:r w:rsidR="00846E1C" w:rsidRPr="00193A9A">
        <w:rPr>
          <w:noProof/>
        </w:rPr>
        <w:t xml:space="preserve"> that might seem neutral, such as using proxies for protected characteristics.</w:t>
      </w:r>
    </w:p>
    <w:p w14:paraId="491FE1FE" w14:textId="142529E7" w:rsidR="00846E1C" w:rsidRPr="00193A9A" w:rsidRDefault="00846E1C" w:rsidP="00846E1C">
      <w:pPr>
        <w:pStyle w:val="Text1"/>
        <w:rPr>
          <w:noProof/>
        </w:rPr>
      </w:pPr>
      <w:r w:rsidRPr="00193A9A">
        <w:rPr>
          <w:noProof/>
        </w:rPr>
        <w:t xml:space="preserve">Furthermore, Member States </w:t>
      </w:r>
      <w:r w:rsidR="007D3412">
        <w:rPr>
          <w:noProof/>
        </w:rPr>
        <w:t xml:space="preserve">are required to </w:t>
      </w:r>
      <w:r w:rsidRPr="00193A9A">
        <w:rPr>
          <w:noProof/>
        </w:rPr>
        <w:t>establish appropriate redress mechanisms (</w:t>
      </w:r>
      <w:r w:rsidRPr="00193A9A">
        <w:rPr>
          <w:rStyle w:val="FootnoteReference"/>
          <w:noProof/>
        </w:rPr>
        <w:footnoteReference w:id="144"/>
      </w:r>
      <w:r w:rsidRPr="00193A9A">
        <w:rPr>
          <w:noProof/>
        </w:rPr>
        <w:t xml:space="preserve">). They are obliged to ensure </w:t>
      </w:r>
      <w:r w:rsidR="007D3412">
        <w:rPr>
          <w:noProof/>
        </w:rPr>
        <w:t>that</w:t>
      </w:r>
      <w:r w:rsidRPr="00193A9A">
        <w:rPr>
          <w:noProof/>
        </w:rPr>
        <w:t xml:space="preserve"> associations and organisations </w:t>
      </w:r>
      <w:r w:rsidR="007D3412">
        <w:rPr>
          <w:noProof/>
        </w:rPr>
        <w:t>can</w:t>
      </w:r>
      <w:r w:rsidRPr="00193A9A">
        <w:rPr>
          <w:noProof/>
        </w:rPr>
        <w:t xml:space="preserve"> provide support to victims of discrimination or act on their behalf. </w:t>
      </w:r>
      <w:r w:rsidR="00127ADC" w:rsidRPr="00127ADC">
        <w:rPr>
          <w:noProof/>
        </w:rPr>
        <w:t>This specialised support can be vital when seeking remedies in a highly complex, technical, algorithmic environment.</w:t>
      </w:r>
      <w:r w:rsidR="00127ADC">
        <w:rPr>
          <w:noProof/>
        </w:rPr>
        <w:t xml:space="preserve"> In addition, t</w:t>
      </w:r>
      <w:r w:rsidRPr="00193A9A">
        <w:rPr>
          <w:noProof/>
        </w:rPr>
        <w:t xml:space="preserve">he principle of </w:t>
      </w:r>
      <w:r w:rsidR="00127ADC">
        <w:rPr>
          <w:noProof/>
        </w:rPr>
        <w:t xml:space="preserve">shift </w:t>
      </w:r>
      <w:r w:rsidR="007D3412">
        <w:rPr>
          <w:noProof/>
        </w:rPr>
        <w:t>of the</w:t>
      </w:r>
      <w:r w:rsidRPr="00193A9A">
        <w:rPr>
          <w:noProof/>
        </w:rPr>
        <w:t xml:space="preserve"> burden of proof makes it easier to overcome challenges</w:t>
      </w:r>
      <w:r w:rsidR="006F4933">
        <w:rPr>
          <w:noProof/>
        </w:rPr>
        <w:t xml:space="preserve"> in obtaining evidence</w:t>
      </w:r>
      <w:r w:rsidRPr="00193A9A">
        <w:rPr>
          <w:noProof/>
        </w:rPr>
        <w:t>.</w:t>
      </w:r>
    </w:p>
    <w:p w14:paraId="63E13E9A" w14:textId="09718654" w:rsidR="00773605" w:rsidRDefault="003E4BF6" w:rsidP="00846E1C">
      <w:pPr>
        <w:pStyle w:val="Text1"/>
        <w:rPr>
          <w:noProof/>
        </w:rPr>
      </w:pPr>
      <w:r>
        <w:rPr>
          <w:noProof/>
        </w:rPr>
        <w:t xml:space="preserve">By ensuring that potential violations can be addressed, </w:t>
      </w:r>
      <w:r w:rsidR="00846E1C" w:rsidRPr="00193A9A">
        <w:rPr>
          <w:noProof/>
        </w:rPr>
        <w:t xml:space="preserve">EU </w:t>
      </w:r>
      <w:r w:rsidR="00A872E7" w:rsidRPr="00193A9A">
        <w:rPr>
          <w:noProof/>
        </w:rPr>
        <w:t xml:space="preserve">non-discrimination </w:t>
      </w:r>
      <w:r w:rsidR="00846E1C" w:rsidRPr="00193A9A">
        <w:rPr>
          <w:noProof/>
        </w:rPr>
        <w:t xml:space="preserve">law </w:t>
      </w:r>
      <w:r w:rsidR="00A872E7" w:rsidRPr="00193A9A">
        <w:rPr>
          <w:noProof/>
        </w:rPr>
        <w:t>contribute</w:t>
      </w:r>
      <w:r>
        <w:rPr>
          <w:noProof/>
        </w:rPr>
        <w:t>s</w:t>
      </w:r>
      <w:r w:rsidR="00A872E7" w:rsidRPr="00193A9A">
        <w:rPr>
          <w:noProof/>
        </w:rPr>
        <w:t xml:space="preserve"> to</w:t>
      </w:r>
      <w:r w:rsidR="00846E1C" w:rsidRPr="00193A9A">
        <w:rPr>
          <w:noProof/>
        </w:rPr>
        <w:t xml:space="preserve"> the development of trustworthy AI systems</w:t>
      </w:r>
      <w:r w:rsidR="00773605" w:rsidRPr="00193A9A">
        <w:rPr>
          <w:noProof/>
        </w:rPr>
        <w:t>.</w:t>
      </w:r>
    </w:p>
    <w:p w14:paraId="672DB7BF" w14:textId="454785B5" w:rsidR="00846E1C" w:rsidRPr="00193A9A" w:rsidRDefault="00846E1C" w:rsidP="00846E1C">
      <w:pPr>
        <w:pStyle w:val="Text1"/>
        <w:rPr>
          <w:noProof/>
        </w:rPr>
      </w:pPr>
      <w:r w:rsidRPr="00193A9A">
        <w:rPr>
          <w:noProof/>
        </w:rPr>
        <w:t>AI ecosystems must also ensure</w:t>
      </w:r>
      <w:r w:rsidR="003E4BF6">
        <w:rPr>
          <w:noProof/>
        </w:rPr>
        <w:t xml:space="preserve"> that they have</w:t>
      </w:r>
      <w:r w:rsidRPr="00193A9A">
        <w:rPr>
          <w:noProof/>
        </w:rPr>
        <w:t xml:space="preserve"> high-quality datasets and </w:t>
      </w:r>
      <w:r w:rsidR="003E4BF6">
        <w:rPr>
          <w:noProof/>
        </w:rPr>
        <w:t xml:space="preserve">that systems </w:t>
      </w:r>
      <w:r w:rsidR="00804BA7">
        <w:rPr>
          <w:noProof/>
        </w:rPr>
        <w:t>have</w:t>
      </w:r>
      <w:r w:rsidR="003E4BF6">
        <w:rPr>
          <w:noProof/>
        </w:rPr>
        <w:t xml:space="preserve"> </w:t>
      </w:r>
      <w:r w:rsidRPr="00193A9A">
        <w:rPr>
          <w:noProof/>
        </w:rPr>
        <w:t xml:space="preserve">sufficient transparency, accessibility and explainability for </w:t>
      </w:r>
      <w:r w:rsidR="00804BA7">
        <w:rPr>
          <w:noProof/>
        </w:rPr>
        <w:t>everybody</w:t>
      </w:r>
      <w:r w:rsidRPr="00193A9A">
        <w:rPr>
          <w:noProof/>
        </w:rPr>
        <w:t xml:space="preserve">, including </w:t>
      </w:r>
      <w:r w:rsidR="00FB20C9">
        <w:rPr>
          <w:noProof/>
        </w:rPr>
        <w:t xml:space="preserve">persons </w:t>
      </w:r>
      <w:r w:rsidRPr="00193A9A">
        <w:rPr>
          <w:noProof/>
        </w:rPr>
        <w:t xml:space="preserve">with disabilities, </w:t>
      </w:r>
      <w:r w:rsidR="00804BA7">
        <w:rPr>
          <w:noProof/>
        </w:rPr>
        <w:t>and that there is</w:t>
      </w:r>
      <w:r w:rsidRPr="00193A9A">
        <w:rPr>
          <w:noProof/>
        </w:rPr>
        <w:t xml:space="preserve"> clear accountability for how they function. This is important </w:t>
      </w:r>
      <w:r w:rsidR="005200D2" w:rsidRPr="00193A9A">
        <w:rPr>
          <w:noProof/>
        </w:rPr>
        <w:t>through</w:t>
      </w:r>
      <w:r w:rsidR="00804BA7">
        <w:rPr>
          <w:noProof/>
        </w:rPr>
        <w:t>out</w:t>
      </w:r>
      <w:r w:rsidR="005200D2" w:rsidRPr="00193A9A">
        <w:rPr>
          <w:noProof/>
        </w:rPr>
        <w:t xml:space="preserve"> the lifecycle of AI </w:t>
      </w:r>
      <w:r w:rsidR="00C2106F" w:rsidRPr="00193A9A">
        <w:rPr>
          <w:noProof/>
        </w:rPr>
        <w:t xml:space="preserve">or automated </w:t>
      </w:r>
      <w:r w:rsidR="005200D2" w:rsidRPr="00193A9A">
        <w:rPr>
          <w:noProof/>
        </w:rPr>
        <w:t xml:space="preserve">systems, </w:t>
      </w:r>
      <w:r w:rsidR="002E1333" w:rsidRPr="00193A9A">
        <w:rPr>
          <w:noProof/>
        </w:rPr>
        <w:t>from</w:t>
      </w:r>
      <w:r w:rsidR="005200D2" w:rsidRPr="00193A9A">
        <w:rPr>
          <w:noProof/>
        </w:rPr>
        <w:t xml:space="preserve"> </w:t>
      </w:r>
      <w:r w:rsidRPr="00193A9A">
        <w:rPr>
          <w:noProof/>
        </w:rPr>
        <w:t xml:space="preserve">development </w:t>
      </w:r>
      <w:r w:rsidR="002E1333" w:rsidRPr="00193A9A">
        <w:rPr>
          <w:noProof/>
        </w:rPr>
        <w:t xml:space="preserve">to </w:t>
      </w:r>
      <w:r w:rsidRPr="00193A9A">
        <w:rPr>
          <w:noProof/>
        </w:rPr>
        <w:t>deployment.</w:t>
      </w:r>
    </w:p>
    <w:p w14:paraId="5FEEF87F" w14:textId="325004EA" w:rsidR="00846E1C" w:rsidRPr="00193A9A" w:rsidRDefault="00C775C7" w:rsidP="00846E1C">
      <w:pPr>
        <w:pStyle w:val="Text1"/>
        <w:rPr>
          <w:noProof/>
        </w:rPr>
      </w:pPr>
      <w:r>
        <w:rPr>
          <w:noProof/>
        </w:rPr>
        <w:t>In order to achieve this</w:t>
      </w:r>
      <w:r w:rsidR="00846E1C" w:rsidRPr="00193A9A">
        <w:rPr>
          <w:noProof/>
        </w:rPr>
        <w:t xml:space="preserve">, </w:t>
      </w:r>
      <w:r w:rsidR="001F5998">
        <w:rPr>
          <w:noProof/>
        </w:rPr>
        <w:t xml:space="preserve">the EU adopted </w:t>
      </w:r>
      <w:r w:rsidR="005200D2" w:rsidRPr="00193A9A">
        <w:rPr>
          <w:noProof/>
        </w:rPr>
        <w:t>Regulation (EU) 2024/1689 (</w:t>
      </w:r>
      <w:r w:rsidR="00846E1C" w:rsidRPr="00193A9A">
        <w:rPr>
          <w:noProof/>
        </w:rPr>
        <w:t>the Artificial Intelligence Act) (</w:t>
      </w:r>
      <w:r w:rsidR="00846E1C" w:rsidRPr="00193A9A">
        <w:rPr>
          <w:rStyle w:val="FootnoteReference"/>
          <w:noProof/>
        </w:rPr>
        <w:footnoteReference w:id="145"/>
      </w:r>
      <w:r w:rsidR="00846E1C" w:rsidRPr="00193A9A">
        <w:rPr>
          <w:noProof/>
        </w:rPr>
        <w:t xml:space="preserve">) </w:t>
      </w:r>
      <w:r w:rsidR="001F5998">
        <w:rPr>
          <w:noProof/>
        </w:rPr>
        <w:t>in July</w:t>
      </w:r>
      <w:r w:rsidR="00846E1C" w:rsidRPr="00193A9A">
        <w:rPr>
          <w:noProof/>
        </w:rPr>
        <w:t xml:space="preserve"> 2024.</w:t>
      </w:r>
      <w:r w:rsidR="001F5998">
        <w:rPr>
          <w:noProof/>
        </w:rPr>
        <w:t xml:space="preserve"> The Artificial Intelligence Act will apply as of 2 August 2026</w:t>
      </w:r>
      <w:r w:rsidR="00C35E1B" w:rsidRPr="00C35E1B">
        <w:rPr>
          <w:noProof/>
        </w:rPr>
        <w:t> (</w:t>
      </w:r>
      <w:r w:rsidR="00C35E1B">
        <w:rPr>
          <w:rStyle w:val="FootnoteReference"/>
          <w:noProof/>
        </w:rPr>
        <w:footnoteReference w:id="146"/>
      </w:r>
      <w:r w:rsidR="00C35E1B">
        <w:rPr>
          <w:noProof/>
        </w:rPr>
        <w:t>)</w:t>
      </w:r>
      <w:r w:rsidR="001F5998">
        <w:rPr>
          <w:noProof/>
        </w:rPr>
        <w:t xml:space="preserve">. </w:t>
      </w:r>
      <w:r w:rsidR="00C35E1B">
        <w:rPr>
          <w:noProof/>
        </w:rPr>
        <w:t>However, some provisions</w:t>
      </w:r>
      <w:r w:rsidR="001F5998" w:rsidRPr="001F5998">
        <w:rPr>
          <w:noProof/>
        </w:rPr>
        <w:t xml:space="preserve"> have already been applied since 2 February 2025</w:t>
      </w:r>
      <w:r w:rsidR="001F5998">
        <w:rPr>
          <w:noProof/>
        </w:rPr>
        <w:t xml:space="preserve"> or 2 August 2025.</w:t>
      </w:r>
      <w:r w:rsidR="005200D2" w:rsidRPr="00193A9A">
        <w:rPr>
          <w:noProof/>
        </w:rPr>
        <w:t xml:space="preserve"> </w:t>
      </w:r>
      <w:r w:rsidR="00C35E1B">
        <w:rPr>
          <w:noProof/>
        </w:rPr>
        <w:t>Furthermore, following the amendments from the Digital Omnibus on AI, certain chapters will only apply later. This is the case of rules related to</w:t>
      </w:r>
      <w:r w:rsidR="00C35E1B" w:rsidRPr="00BC3C7B">
        <w:rPr>
          <w:noProof/>
        </w:rPr>
        <w:t xml:space="preserve"> high-risk AI systems </w:t>
      </w:r>
      <w:r w:rsidR="00C35E1B" w:rsidRPr="009A32A5">
        <w:rPr>
          <w:noProof/>
        </w:rPr>
        <w:t>(</w:t>
      </w:r>
      <w:r w:rsidR="00C35E1B">
        <w:rPr>
          <w:rStyle w:val="FootnoteReference"/>
          <w:noProof/>
        </w:rPr>
        <w:footnoteReference w:id="147"/>
      </w:r>
      <w:r w:rsidR="00C35E1B">
        <w:rPr>
          <w:noProof/>
        </w:rPr>
        <w:t>)</w:t>
      </w:r>
      <w:r w:rsidR="00C35E1B" w:rsidRPr="00BC3C7B">
        <w:rPr>
          <w:noProof/>
        </w:rPr>
        <w:t>.</w:t>
      </w:r>
      <w:r w:rsidR="00C35E1B">
        <w:rPr>
          <w:noProof/>
        </w:rPr>
        <w:t xml:space="preserve"> </w:t>
      </w:r>
      <w:r w:rsidR="005F44E0" w:rsidRPr="00E235D6">
        <w:rPr>
          <w:noProof/>
          <w:lang w:val="en-US"/>
        </w:rPr>
        <w:t>The Artificial Intelligence Act applies in conjunction with non-discrimination legislation</w:t>
      </w:r>
      <w:r w:rsidR="00E93DAC">
        <w:rPr>
          <w:noProof/>
        </w:rPr>
        <w:t xml:space="preserve">. </w:t>
      </w:r>
    </w:p>
    <w:p w14:paraId="6DBFFF5E" w14:textId="20933C4E" w:rsidR="00846E1C" w:rsidRPr="00193A9A" w:rsidRDefault="004F5B2B" w:rsidP="00846E1C">
      <w:pPr>
        <w:pStyle w:val="Text1"/>
        <w:rPr>
          <w:noProof/>
        </w:rPr>
      </w:pPr>
      <w:r w:rsidRPr="00193A9A">
        <w:rPr>
          <w:noProof/>
        </w:rPr>
        <w:t xml:space="preserve">The </w:t>
      </w:r>
      <w:r w:rsidR="00054857">
        <w:rPr>
          <w:noProof/>
        </w:rPr>
        <w:t>Artificial Intelligence Act</w:t>
      </w:r>
      <w:r w:rsidRPr="00193A9A">
        <w:rPr>
          <w:noProof/>
        </w:rPr>
        <w:t xml:space="preserve"> aims to </w:t>
      </w:r>
      <w:r w:rsidR="00460D13">
        <w:rPr>
          <w:noProof/>
        </w:rPr>
        <w:t xml:space="preserve">promote innovation and trustworthy AI in the EU, while </w:t>
      </w:r>
      <w:r w:rsidRPr="00193A9A">
        <w:rPr>
          <w:noProof/>
        </w:rPr>
        <w:t>address</w:t>
      </w:r>
      <w:r w:rsidR="00460D13">
        <w:rPr>
          <w:noProof/>
        </w:rPr>
        <w:t>ing the</w:t>
      </w:r>
      <w:r w:rsidRPr="00193A9A">
        <w:rPr>
          <w:noProof/>
        </w:rPr>
        <w:t xml:space="preserve"> risks</w:t>
      </w:r>
      <w:r w:rsidR="007960F7">
        <w:rPr>
          <w:noProof/>
        </w:rPr>
        <w:t xml:space="preserve"> stemming from the placing on the market, putting into service and use of AI systems</w:t>
      </w:r>
      <w:r w:rsidRPr="00193A9A">
        <w:rPr>
          <w:noProof/>
        </w:rPr>
        <w:t xml:space="preserve"> to health, safety and fundamental rights, including </w:t>
      </w:r>
      <w:r w:rsidR="001F5998">
        <w:rPr>
          <w:noProof/>
        </w:rPr>
        <w:t xml:space="preserve">the right to non-discrimination, </w:t>
      </w:r>
      <w:r w:rsidRPr="00193A9A">
        <w:rPr>
          <w:noProof/>
        </w:rPr>
        <w:t xml:space="preserve">democracy and the rule of law. </w:t>
      </w:r>
      <w:r w:rsidR="00460D13">
        <w:rPr>
          <w:noProof/>
        </w:rPr>
        <w:t>It</w:t>
      </w:r>
      <w:r w:rsidRPr="00193A9A">
        <w:rPr>
          <w:noProof/>
        </w:rPr>
        <w:t xml:space="preserve"> follows a risk-based approach, where AI systems are classified according to the level of risk they pose to health, safety and fundamental rights</w:t>
      </w:r>
      <w:r w:rsidR="00460D13">
        <w:rPr>
          <w:noProof/>
        </w:rPr>
        <w:t>.</w:t>
      </w:r>
      <w:r w:rsidRPr="00193A9A">
        <w:rPr>
          <w:noProof/>
        </w:rPr>
        <w:t xml:space="preserve"> </w:t>
      </w:r>
      <w:r w:rsidR="00460D13">
        <w:rPr>
          <w:noProof/>
        </w:rPr>
        <w:t>It imposes</w:t>
      </w:r>
      <w:r w:rsidR="00460D13" w:rsidRPr="00193A9A">
        <w:rPr>
          <w:noProof/>
        </w:rPr>
        <w:t xml:space="preserve"> </w:t>
      </w:r>
      <w:r w:rsidRPr="00193A9A">
        <w:rPr>
          <w:noProof/>
        </w:rPr>
        <w:t>proportionate obligations and requirements depending on the classification of the AI system.</w:t>
      </w:r>
    </w:p>
    <w:p w14:paraId="7EAD86F5" w14:textId="69C6D615" w:rsidR="004F5B2B" w:rsidRPr="00193A9A" w:rsidRDefault="004F5B2B" w:rsidP="004F5B2B">
      <w:pPr>
        <w:pStyle w:val="Text1"/>
        <w:rPr>
          <w:noProof/>
        </w:rPr>
      </w:pPr>
      <w:r w:rsidRPr="00193A9A">
        <w:rPr>
          <w:noProof/>
        </w:rPr>
        <w:t xml:space="preserve">The </w:t>
      </w:r>
      <w:r w:rsidR="00054857">
        <w:rPr>
          <w:noProof/>
        </w:rPr>
        <w:t>Artificial Intelligence Act</w:t>
      </w:r>
      <w:r w:rsidRPr="00193A9A">
        <w:rPr>
          <w:noProof/>
        </w:rPr>
        <w:t xml:space="preserve"> identifies systems </w:t>
      </w:r>
      <w:r w:rsidR="00802CA1">
        <w:rPr>
          <w:noProof/>
        </w:rPr>
        <w:t>as</w:t>
      </w:r>
      <w:r w:rsidR="00802CA1" w:rsidRPr="00193A9A">
        <w:rPr>
          <w:noProof/>
        </w:rPr>
        <w:t xml:space="preserve"> </w:t>
      </w:r>
      <w:r w:rsidRPr="00193A9A">
        <w:rPr>
          <w:noProof/>
        </w:rPr>
        <w:t>pos</w:t>
      </w:r>
      <w:r w:rsidR="00802CA1">
        <w:rPr>
          <w:noProof/>
        </w:rPr>
        <w:t>ing</w:t>
      </w:r>
      <w:r w:rsidRPr="00193A9A">
        <w:rPr>
          <w:noProof/>
        </w:rPr>
        <w:t xml:space="preserve"> minimal, limited, high or unacceptable risks.</w:t>
      </w:r>
    </w:p>
    <w:p w14:paraId="621F6248" w14:textId="68E6A15B" w:rsidR="004F5B2B" w:rsidRPr="00193A9A" w:rsidRDefault="004F5B2B" w:rsidP="004F5B2B">
      <w:pPr>
        <w:pStyle w:val="Text1"/>
        <w:rPr>
          <w:noProof/>
        </w:rPr>
      </w:pPr>
      <w:r w:rsidRPr="00193A9A">
        <w:rPr>
          <w:noProof/>
        </w:rPr>
        <w:t xml:space="preserve">Certain AI </w:t>
      </w:r>
      <w:r w:rsidRPr="00802CA1">
        <w:rPr>
          <w:noProof/>
        </w:rPr>
        <w:t>practices</w:t>
      </w:r>
      <w:r w:rsidRPr="00193A9A">
        <w:rPr>
          <w:noProof/>
        </w:rPr>
        <w:t>, such as harmful manipulation, social scoring and real-time remote biometric identification</w:t>
      </w:r>
      <w:r w:rsidR="00D318C3">
        <w:rPr>
          <w:noProof/>
        </w:rPr>
        <w:t xml:space="preserve"> </w:t>
      </w:r>
      <w:r w:rsidR="00D318C3" w:rsidRPr="591EF8E0">
        <w:rPr>
          <w:noProof/>
        </w:rPr>
        <w:t>in publicly accessible spaces for the purposes of law enforcement</w:t>
      </w:r>
      <w:r w:rsidRPr="00193A9A">
        <w:rPr>
          <w:noProof/>
        </w:rPr>
        <w:t xml:space="preserve"> are prohibited, because they </w:t>
      </w:r>
      <w:r w:rsidR="00802CA1">
        <w:rPr>
          <w:noProof/>
        </w:rPr>
        <w:t>are inconsistent with</w:t>
      </w:r>
      <w:r w:rsidR="00802CA1" w:rsidRPr="00193A9A">
        <w:rPr>
          <w:noProof/>
        </w:rPr>
        <w:t xml:space="preserve"> </w:t>
      </w:r>
      <w:r w:rsidR="00802CA1">
        <w:rPr>
          <w:noProof/>
        </w:rPr>
        <w:t>EU</w:t>
      </w:r>
      <w:r w:rsidR="00802CA1" w:rsidRPr="00193A9A">
        <w:rPr>
          <w:noProof/>
        </w:rPr>
        <w:t xml:space="preserve"> </w:t>
      </w:r>
      <w:r w:rsidRPr="00193A9A">
        <w:rPr>
          <w:noProof/>
        </w:rPr>
        <w:t>values</w:t>
      </w:r>
      <w:r w:rsidR="00681915" w:rsidRPr="00193A9A">
        <w:rPr>
          <w:noProof/>
        </w:rPr>
        <w:t> (</w:t>
      </w:r>
      <w:r w:rsidR="00681915" w:rsidRPr="00193A9A">
        <w:rPr>
          <w:rStyle w:val="FootnoteReference"/>
          <w:noProof/>
        </w:rPr>
        <w:footnoteReference w:id="148"/>
      </w:r>
      <w:r w:rsidR="00681915" w:rsidRPr="00193A9A">
        <w:rPr>
          <w:noProof/>
        </w:rPr>
        <w:t>)</w:t>
      </w:r>
      <w:r w:rsidRPr="00193A9A">
        <w:rPr>
          <w:noProof/>
        </w:rPr>
        <w:t>.</w:t>
      </w:r>
    </w:p>
    <w:p w14:paraId="690A58F8" w14:textId="62B4F4B3" w:rsidR="004F5B2B" w:rsidRPr="00193A9A" w:rsidRDefault="004F5B2B" w:rsidP="004F5B2B">
      <w:pPr>
        <w:pStyle w:val="Text1"/>
        <w:rPr>
          <w:noProof/>
        </w:rPr>
      </w:pPr>
      <w:r w:rsidRPr="00193A9A">
        <w:rPr>
          <w:noProof/>
        </w:rPr>
        <w:t xml:space="preserve">High-risk </w:t>
      </w:r>
      <w:r w:rsidR="007960F7">
        <w:rPr>
          <w:noProof/>
        </w:rPr>
        <w:t xml:space="preserve">AI </w:t>
      </w:r>
      <w:r w:rsidRPr="00193A9A">
        <w:rPr>
          <w:noProof/>
        </w:rPr>
        <w:t xml:space="preserve">systems need to comply with strict obligations before they are </w:t>
      </w:r>
      <w:r w:rsidR="007960F7">
        <w:rPr>
          <w:noProof/>
        </w:rPr>
        <w:t>placed</w:t>
      </w:r>
      <w:r w:rsidR="007960F7" w:rsidRPr="00193A9A">
        <w:rPr>
          <w:noProof/>
        </w:rPr>
        <w:t xml:space="preserve"> </w:t>
      </w:r>
      <w:r w:rsidRPr="00193A9A">
        <w:rPr>
          <w:noProof/>
        </w:rPr>
        <w:t>on the market</w:t>
      </w:r>
      <w:r w:rsidR="007960F7">
        <w:rPr>
          <w:noProof/>
        </w:rPr>
        <w:t xml:space="preserve"> or put into service</w:t>
      </w:r>
      <w:r w:rsidRPr="00193A9A">
        <w:rPr>
          <w:noProof/>
        </w:rPr>
        <w:t xml:space="preserve">. Such high-risk systems include systems intended to be used, for example, </w:t>
      </w:r>
      <w:r w:rsidR="00196536">
        <w:rPr>
          <w:noProof/>
        </w:rPr>
        <w:t xml:space="preserve">as </w:t>
      </w:r>
      <w:r w:rsidRPr="00193A9A">
        <w:rPr>
          <w:noProof/>
        </w:rPr>
        <w:t xml:space="preserve">safety components </w:t>
      </w:r>
      <w:r w:rsidR="00196536">
        <w:rPr>
          <w:noProof/>
        </w:rPr>
        <w:t>in</w:t>
      </w:r>
      <w:r w:rsidR="00196536" w:rsidRPr="00193A9A">
        <w:rPr>
          <w:noProof/>
        </w:rPr>
        <w:t xml:space="preserve"> </w:t>
      </w:r>
      <w:r w:rsidRPr="00193A9A">
        <w:rPr>
          <w:noProof/>
        </w:rPr>
        <w:t>critical infrastructure, for biometrics or for determining admission to educational institutions</w:t>
      </w:r>
      <w:r w:rsidR="00681915" w:rsidRPr="00193A9A">
        <w:rPr>
          <w:noProof/>
        </w:rPr>
        <w:t> (</w:t>
      </w:r>
      <w:r w:rsidR="00681915" w:rsidRPr="00193A9A">
        <w:rPr>
          <w:rStyle w:val="FootnoteReference"/>
          <w:noProof/>
        </w:rPr>
        <w:footnoteReference w:id="149"/>
      </w:r>
      <w:r w:rsidR="00681915" w:rsidRPr="00193A9A">
        <w:rPr>
          <w:noProof/>
        </w:rPr>
        <w:t>)</w:t>
      </w:r>
      <w:r w:rsidRPr="00193A9A">
        <w:rPr>
          <w:noProof/>
        </w:rPr>
        <w:t xml:space="preserve">. Such systems </w:t>
      </w:r>
      <w:r w:rsidR="00196536">
        <w:rPr>
          <w:noProof/>
        </w:rPr>
        <w:t>must</w:t>
      </w:r>
      <w:r w:rsidRPr="00193A9A">
        <w:rPr>
          <w:noProof/>
        </w:rPr>
        <w:t xml:space="preserve"> comply with obligations on, among other</w:t>
      </w:r>
      <w:r w:rsidR="00196536">
        <w:rPr>
          <w:noProof/>
        </w:rPr>
        <w:t xml:space="preserve"> things</w:t>
      </w:r>
      <w:r w:rsidRPr="00193A9A">
        <w:rPr>
          <w:noProof/>
        </w:rPr>
        <w:t xml:space="preserve">, robust risk management, high-quality data, </w:t>
      </w:r>
      <w:r w:rsidR="00D318C3">
        <w:rPr>
          <w:noProof/>
        </w:rPr>
        <w:t xml:space="preserve">bias examination and mitigation, </w:t>
      </w:r>
      <w:r w:rsidRPr="00193A9A">
        <w:rPr>
          <w:noProof/>
        </w:rPr>
        <w:t>transparency and human oversight</w:t>
      </w:r>
      <w:r w:rsidR="00681915" w:rsidRPr="00193A9A">
        <w:rPr>
          <w:noProof/>
        </w:rPr>
        <w:t> (</w:t>
      </w:r>
      <w:r w:rsidR="00681915" w:rsidRPr="00193A9A">
        <w:rPr>
          <w:rStyle w:val="FootnoteReference"/>
          <w:noProof/>
        </w:rPr>
        <w:footnoteReference w:id="150"/>
      </w:r>
      <w:r w:rsidR="00681915" w:rsidRPr="00193A9A">
        <w:rPr>
          <w:noProof/>
        </w:rPr>
        <w:t>)</w:t>
      </w:r>
      <w:r w:rsidRPr="00193A9A">
        <w:rPr>
          <w:noProof/>
        </w:rPr>
        <w:t>.</w:t>
      </w:r>
    </w:p>
    <w:p w14:paraId="24C2BBE7" w14:textId="531C5F54" w:rsidR="00846E1C" w:rsidRDefault="004F5B2B" w:rsidP="00D349B8">
      <w:pPr>
        <w:pStyle w:val="Text1"/>
        <w:rPr>
          <w:noProof/>
        </w:rPr>
      </w:pPr>
      <w:r w:rsidRPr="00193A9A">
        <w:rPr>
          <w:noProof/>
        </w:rPr>
        <w:t xml:space="preserve">Systems with limited risk </w:t>
      </w:r>
      <w:r w:rsidR="00D318C3">
        <w:rPr>
          <w:noProof/>
        </w:rPr>
        <w:t>that require</w:t>
      </w:r>
      <w:r w:rsidRPr="00193A9A">
        <w:rPr>
          <w:noProof/>
        </w:rPr>
        <w:t xml:space="preserve"> transparency around the use of AI</w:t>
      </w:r>
      <w:r w:rsidR="005D6F13">
        <w:rPr>
          <w:noProof/>
        </w:rPr>
        <w:t xml:space="preserve"> and</w:t>
      </w:r>
      <w:r w:rsidRPr="00193A9A">
        <w:rPr>
          <w:noProof/>
        </w:rPr>
        <w:t xml:space="preserve"> </w:t>
      </w:r>
      <w:r w:rsidR="005D6F13">
        <w:rPr>
          <w:noProof/>
        </w:rPr>
        <w:t>must</w:t>
      </w:r>
      <w:r w:rsidRPr="00193A9A">
        <w:rPr>
          <w:noProof/>
        </w:rPr>
        <w:t xml:space="preserve"> comply with certain transparency obligations</w:t>
      </w:r>
      <w:r w:rsidR="00931DDF" w:rsidRPr="00193A9A">
        <w:rPr>
          <w:noProof/>
        </w:rPr>
        <w:t> (</w:t>
      </w:r>
      <w:r w:rsidR="00931DDF" w:rsidRPr="00193A9A">
        <w:rPr>
          <w:rStyle w:val="FootnoteReference"/>
          <w:noProof/>
        </w:rPr>
        <w:footnoteReference w:id="151"/>
      </w:r>
      <w:r w:rsidR="00931DDF" w:rsidRPr="00193A9A">
        <w:rPr>
          <w:noProof/>
        </w:rPr>
        <w:t>)</w:t>
      </w:r>
      <w:r w:rsidRPr="00193A9A">
        <w:rPr>
          <w:noProof/>
        </w:rPr>
        <w:t xml:space="preserve">. </w:t>
      </w:r>
      <w:r w:rsidR="005D6F13">
        <w:rPr>
          <w:noProof/>
        </w:rPr>
        <w:t xml:space="preserve">Such systems include chatbots or deepfakes. </w:t>
      </w:r>
      <w:r w:rsidRPr="00193A9A">
        <w:rPr>
          <w:noProof/>
        </w:rPr>
        <w:t xml:space="preserve">The </w:t>
      </w:r>
      <w:r w:rsidR="00054857">
        <w:rPr>
          <w:noProof/>
        </w:rPr>
        <w:t>Artificial Intelligence Act</w:t>
      </w:r>
      <w:r w:rsidRPr="00193A9A">
        <w:rPr>
          <w:noProof/>
        </w:rPr>
        <w:t xml:space="preserve"> does not introduce rules for minimal or no</w:t>
      </w:r>
      <w:r w:rsidR="005D6F13">
        <w:rPr>
          <w:noProof/>
        </w:rPr>
        <w:t>-</w:t>
      </w:r>
      <w:r w:rsidRPr="00193A9A">
        <w:rPr>
          <w:noProof/>
        </w:rPr>
        <w:t>risk systems, such as spam filters.</w:t>
      </w:r>
    </w:p>
    <w:p w14:paraId="600F8FF9" w14:textId="66A2C18F" w:rsidR="007F22F7" w:rsidRPr="00193A9A" w:rsidRDefault="007F22F7" w:rsidP="00D349B8">
      <w:pPr>
        <w:pStyle w:val="Text1"/>
        <w:rPr>
          <w:noProof/>
        </w:rPr>
      </w:pPr>
      <w:r>
        <w:rPr>
          <w:noProof/>
        </w:rPr>
        <w:t xml:space="preserve">The Commission </w:t>
      </w:r>
      <w:r w:rsidRPr="007F22F7">
        <w:rPr>
          <w:noProof/>
        </w:rPr>
        <w:t>support</w:t>
      </w:r>
      <w:r>
        <w:rPr>
          <w:noProof/>
        </w:rPr>
        <w:t>s</w:t>
      </w:r>
      <w:r w:rsidRPr="007F22F7">
        <w:rPr>
          <w:noProof/>
        </w:rPr>
        <w:t xml:space="preserve"> and facilitate</w:t>
      </w:r>
      <w:r>
        <w:rPr>
          <w:noProof/>
        </w:rPr>
        <w:t>s</w:t>
      </w:r>
      <w:r w:rsidRPr="007F22F7">
        <w:rPr>
          <w:noProof/>
        </w:rPr>
        <w:t xml:space="preserve"> the effective implementation of the A</w:t>
      </w:r>
      <w:r>
        <w:rPr>
          <w:noProof/>
        </w:rPr>
        <w:t>rtificial Intelligence</w:t>
      </w:r>
      <w:r w:rsidRPr="007F22F7">
        <w:rPr>
          <w:noProof/>
        </w:rPr>
        <w:t xml:space="preserve"> Act, including through the adoption of guidelines and other supporting tools, and coordination within the AI Board with national authorities.</w:t>
      </w:r>
    </w:p>
    <w:p w14:paraId="5DAF4005" w14:textId="43AC8BDF" w:rsidR="00846E1C" w:rsidRPr="00193A9A" w:rsidRDefault="00846E1C" w:rsidP="00DF47AA">
      <w:pPr>
        <w:pStyle w:val="Heading2"/>
        <w:rPr>
          <w:noProof/>
        </w:rPr>
      </w:pPr>
      <w:r w:rsidRPr="00193A9A">
        <w:rPr>
          <w:noProof/>
        </w:rPr>
        <w:t xml:space="preserve">Challenges in applying </w:t>
      </w:r>
      <w:r w:rsidR="00A27409" w:rsidRPr="00193A9A">
        <w:rPr>
          <w:noProof/>
        </w:rPr>
        <w:t>the Directives</w:t>
      </w:r>
      <w:r w:rsidRPr="00193A9A">
        <w:rPr>
          <w:noProof/>
        </w:rPr>
        <w:t xml:space="preserve"> in cases of algorithmic discrimination</w:t>
      </w:r>
    </w:p>
    <w:p w14:paraId="2737D503" w14:textId="4EF9DD64" w:rsidR="00846E1C" w:rsidRPr="00193A9A" w:rsidRDefault="00DD127C" w:rsidP="00846E1C">
      <w:pPr>
        <w:pStyle w:val="Text1"/>
        <w:rPr>
          <w:noProof/>
        </w:rPr>
      </w:pPr>
      <w:r>
        <w:rPr>
          <w:noProof/>
        </w:rPr>
        <w:t>T</w:t>
      </w:r>
      <w:r w:rsidR="00846E1C" w:rsidRPr="00193A9A">
        <w:rPr>
          <w:noProof/>
        </w:rPr>
        <w:t xml:space="preserve">here are </w:t>
      </w:r>
      <w:r>
        <w:rPr>
          <w:noProof/>
        </w:rPr>
        <w:t>some challenges</w:t>
      </w:r>
      <w:r w:rsidR="00846E1C" w:rsidRPr="00BB0AF0">
        <w:rPr>
          <w:noProof/>
        </w:rPr>
        <w:t xml:space="preserve"> </w:t>
      </w:r>
      <w:r w:rsidR="00846E1C" w:rsidRPr="00193A9A">
        <w:rPr>
          <w:noProof/>
        </w:rPr>
        <w:t xml:space="preserve">to </w:t>
      </w:r>
      <w:r>
        <w:rPr>
          <w:noProof/>
        </w:rPr>
        <w:t>applying the Directives</w:t>
      </w:r>
      <w:r w:rsidR="00007DC8">
        <w:rPr>
          <w:noProof/>
        </w:rPr>
        <w:t xml:space="preserve"> in cases of algorithmic discrimination</w:t>
      </w:r>
      <w:r w:rsidR="00846E1C" w:rsidRPr="00193A9A">
        <w:rPr>
          <w:noProof/>
        </w:rPr>
        <w:t>.</w:t>
      </w:r>
    </w:p>
    <w:p w14:paraId="23F39BB9" w14:textId="4FF0D6FD" w:rsidR="00846E1C" w:rsidRPr="00193A9A" w:rsidRDefault="00846E1C" w:rsidP="00846E1C">
      <w:pPr>
        <w:pStyle w:val="Text1"/>
        <w:rPr>
          <w:noProof/>
        </w:rPr>
      </w:pPr>
      <w:r w:rsidRPr="00193A9A">
        <w:rPr>
          <w:noProof/>
        </w:rPr>
        <w:t xml:space="preserve">Firstly, </w:t>
      </w:r>
      <w:r w:rsidR="00BB0AF0">
        <w:rPr>
          <w:noProof/>
        </w:rPr>
        <w:t>applying the</w:t>
      </w:r>
      <w:r w:rsidRPr="00193A9A">
        <w:rPr>
          <w:noProof/>
        </w:rPr>
        <w:t xml:space="preserve"> provisions</w:t>
      </w:r>
      <w:r w:rsidR="00BB0AF0">
        <w:rPr>
          <w:noProof/>
        </w:rPr>
        <w:t xml:space="preserve"> of the Directive</w:t>
      </w:r>
      <w:r w:rsidR="00FB20C9">
        <w:rPr>
          <w:noProof/>
        </w:rPr>
        <w:t>s</w:t>
      </w:r>
      <w:r w:rsidRPr="00193A9A">
        <w:rPr>
          <w:noProof/>
        </w:rPr>
        <w:t xml:space="preserve"> in cases of algorithmic discrimination is complex. </w:t>
      </w:r>
      <w:r w:rsidR="002E2650">
        <w:rPr>
          <w:noProof/>
        </w:rPr>
        <w:t>In virtual environments, i</w:t>
      </w:r>
      <w:r w:rsidR="00007DC8" w:rsidRPr="00007DC8">
        <w:rPr>
          <w:noProof/>
        </w:rPr>
        <w:t>ndividuals may sometimes not even consider exercising their right</w:t>
      </w:r>
      <w:r w:rsidR="002E2650">
        <w:rPr>
          <w:noProof/>
        </w:rPr>
        <w:t>s and reporting</w:t>
      </w:r>
      <w:r w:rsidR="00007DC8" w:rsidRPr="00007DC8">
        <w:rPr>
          <w:noProof/>
        </w:rPr>
        <w:t xml:space="preserve"> discrimination</w:t>
      </w:r>
      <w:r w:rsidRPr="00193A9A">
        <w:rPr>
          <w:noProof/>
        </w:rPr>
        <w:t>. This is because, in a heavily targeted and personalised algorithmic environment, individuals may not realise that they are being discriminated against</w:t>
      </w:r>
      <w:r w:rsidR="00C16A56" w:rsidRPr="00193A9A">
        <w:rPr>
          <w:noProof/>
        </w:rPr>
        <w:t> (</w:t>
      </w:r>
      <w:r w:rsidR="00C16A56" w:rsidRPr="00193A9A">
        <w:rPr>
          <w:rStyle w:val="FootnoteReference"/>
          <w:noProof/>
        </w:rPr>
        <w:footnoteReference w:id="152"/>
      </w:r>
      <w:r w:rsidR="00C16A56" w:rsidRPr="00193A9A">
        <w:rPr>
          <w:noProof/>
        </w:rPr>
        <w:t>)</w:t>
      </w:r>
      <w:r w:rsidRPr="00193A9A">
        <w:rPr>
          <w:noProof/>
        </w:rPr>
        <w:t>.</w:t>
      </w:r>
    </w:p>
    <w:p w14:paraId="354C4F50" w14:textId="415D710B" w:rsidR="00846E1C" w:rsidRPr="00193A9A" w:rsidRDefault="00846E1C" w:rsidP="00CA6862">
      <w:pPr>
        <w:pStyle w:val="Text1"/>
        <w:rPr>
          <w:noProof/>
        </w:rPr>
      </w:pPr>
      <w:r w:rsidRPr="00193A9A">
        <w:rPr>
          <w:noProof/>
        </w:rPr>
        <w:t xml:space="preserve">Secondly, </w:t>
      </w:r>
      <w:r w:rsidR="00007DC8">
        <w:rPr>
          <w:noProof/>
        </w:rPr>
        <w:t xml:space="preserve">it may be challenging to determine whether </w:t>
      </w:r>
      <w:r w:rsidRPr="00193A9A">
        <w:rPr>
          <w:noProof/>
        </w:rPr>
        <w:t xml:space="preserve">algorithmic discrimination </w:t>
      </w:r>
      <w:r w:rsidR="00007DC8">
        <w:rPr>
          <w:noProof/>
        </w:rPr>
        <w:t>constitutes</w:t>
      </w:r>
      <w:r w:rsidRPr="00193A9A">
        <w:rPr>
          <w:noProof/>
        </w:rPr>
        <w:t xml:space="preserve"> direct </w:t>
      </w:r>
      <w:r w:rsidR="00FF7609">
        <w:rPr>
          <w:noProof/>
        </w:rPr>
        <w:t>or</w:t>
      </w:r>
      <w:r w:rsidR="00FF7609" w:rsidRPr="00193A9A">
        <w:rPr>
          <w:noProof/>
        </w:rPr>
        <w:t xml:space="preserve"> </w:t>
      </w:r>
      <w:r w:rsidRPr="00193A9A">
        <w:rPr>
          <w:noProof/>
        </w:rPr>
        <w:t>indirect discrimination (</w:t>
      </w:r>
      <w:r w:rsidRPr="00193A9A">
        <w:rPr>
          <w:rStyle w:val="FootnoteReference"/>
          <w:noProof/>
        </w:rPr>
        <w:footnoteReference w:id="153"/>
      </w:r>
      <w:r w:rsidRPr="00193A9A">
        <w:rPr>
          <w:noProof/>
        </w:rPr>
        <w:t>).</w:t>
      </w:r>
    </w:p>
    <w:p w14:paraId="3F53A156" w14:textId="6DF13749" w:rsidR="00846E1C" w:rsidRPr="00193A9A" w:rsidRDefault="00846E1C" w:rsidP="00727DFB">
      <w:pPr>
        <w:pStyle w:val="Text1"/>
        <w:rPr>
          <w:noProof/>
        </w:rPr>
      </w:pPr>
      <w:r w:rsidRPr="00193A9A">
        <w:rPr>
          <w:noProof/>
        </w:rPr>
        <w:t xml:space="preserve">Finally, challenges in applying </w:t>
      </w:r>
      <w:r w:rsidR="00A27409" w:rsidRPr="00193A9A">
        <w:rPr>
          <w:noProof/>
        </w:rPr>
        <w:t>the Directives</w:t>
      </w:r>
      <w:r w:rsidRPr="00193A9A">
        <w:rPr>
          <w:noProof/>
        </w:rPr>
        <w:t xml:space="preserve"> in cases of algorithmic discrimination are further exacerbated by minimal </w:t>
      </w:r>
      <w:r w:rsidR="00BB0AF0">
        <w:rPr>
          <w:noProof/>
        </w:rPr>
        <w:t>practical experience</w:t>
      </w:r>
      <w:r w:rsidR="00BB0AF0" w:rsidRPr="00193A9A">
        <w:rPr>
          <w:noProof/>
        </w:rPr>
        <w:t xml:space="preserve"> </w:t>
      </w:r>
      <w:r w:rsidRPr="00193A9A">
        <w:rPr>
          <w:noProof/>
        </w:rPr>
        <w:t>and limited legislation in most Member States.</w:t>
      </w:r>
      <w:r w:rsidR="00727DFB">
        <w:rPr>
          <w:noProof/>
        </w:rPr>
        <w:t xml:space="preserve"> </w:t>
      </w:r>
      <w:r w:rsidR="00D363E4" w:rsidRPr="00193A9A">
        <w:rPr>
          <w:noProof/>
        </w:rPr>
        <w:t xml:space="preserve">In response to the Commission’s questionnaire, Member States stated that there </w:t>
      </w:r>
      <w:r w:rsidRPr="00193A9A">
        <w:rPr>
          <w:noProof/>
        </w:rPr>
        <w:t xml:space="preserve">is almost no </w:t>
      </w:r>
      <w:r w:rsidR="00BB0AF0">
        <w:rPr>
          <w:noProof/>
        </w:rPr>
        <w:t>practical experience</w:t>
      </w:r>
      <w:r w:rsidRPr="00193A9A">
        <w:rPr>
          <w:noProof/>
        </w:rPr>
        <w:t xml:space="preserve"> of organising technical testing of algorithmic systems for biases and/or discrimination.</w:t>
      </w:r>
      <w:r w:rsidR="00BB0AF0">
        <w:rPr>
          <w:noProof/>
        </w:rPr>
        <w:t xml:space="preserve"> Sometimes, this is not even possible.</w:t>
      </w:r>
      <w:r w:rsidRPr="00193A9A">
        <w:rPr>
          <w:noProof/>
        </w:rPr>
        <w:t xml:space="preserve"> Consequently, there is minimal </w:t>
      </w:r>
      <w:r w:rsidR="00BB0AF0">
        <w:rPr>
          <w:noProof/>
        </w:rPr>
        <w:t>practical experience</w:t>
      </w:r>
      <w:r w:rsidR="00BB0AF0" w:rsidRPr="00193A9A">
        <w:rPr>
          <w:noProof/>
        </w:rPr>
        <w:t xml:space="preserve"> </w:t>
      </w:r>
      <w:r w:rsidRPr="00193A9A">
        <w:rPr>
          <w:noProof/>
        </w:rPr>
        <w:t>of appl</w:t>
      </w:r>
      <w:r w:rsidR="00BB0AF0">
        <w:rPr>
          <w:noProof/>
        </w:rPr>
        <w:t>ying</w:t>
      </w:r>
      <w:r w:rsidR="00A27409" w:rsidRPr="00193A9A">
        <w:rPr>
          <w:noProof/>
        </w:rPr>
        <w:t xml:space="preserve"> </w:t>
      </w:r>
      <w:r w:rsidR="00BB0AF0">
        <w:rPr>
          <w:noProof/>
        </w:rPr>
        <w:t>the national</w:t>
      </w:r>
      <w:r w:rsidR="00BB0AF0" w:rsidRPr="00193A9A">
        <w:rPr>
          <w:noProof/>
        </w:rPr>
        <w:t xml:space="preserve"> </w:t>
      </w:r>
      <w:r w:rsidR="00A27409" w:rsidRPr="00193A9A">
        <w:rPr>
          <w:noProof/>
        </w:rPr>
        <w:t>laws transposing the Directives</w:t>
      </w:r>
      <w:r w:rsidRPr="00193A9A">
        <w:rPr>
          <w:noProof/>
        </w:rPr>
        <w:t xml:space="preserve"> in cases of algorithmic discrimination.</w:t>
      </w:r>
    </w:p>
    <w:p w14:paraId="06614014" w14:textId="2F32BBFB" w:rsidR="00846E1C" w:rsidRPr="00193A9A" w:rsidRDefault="00A27409" w:rsidP="00846E1C">
      <w:pPr>
        <w:pStyle w:val="Text1"/>
        <w:ind w:left="475"/>
        <w:rPr>
          <w:noProof/>
        </w:rPr>
      </w:pPr>
      <w:r w:rsidRPr="00193A9A">
        <w:rPr>
          <w:noProof/>
        </w:rPr>
        <w:t>As outlined above, r</w:t>
      </w:r>
      <w:r w:rsidR="00846E1C" w:rsidRPr="00193A9A">
        <w:rPr>
          <w:noProof/>
        </w:rPr>
        <w:t>espondents from equality bodies and civil society organisations also largely considered that algorithmic discrimination was not yet sufficiently recognised by public administrations, the private sector or society. The equality bodies suggested that this is mostly due to a lack of awareness-raising initiatives, the novelty of the phenomenon itself, insufficient knowledge and digital literacy, and limitations in existing enforcement mechanisms.</w:t>
      </w:r>
    </w:p>
    <w:p w14:paraId="5BE3FEF4" w14:textId="569991C9" w:rsidR="00846E1C" w:rsidRPr="00193A9A" w:rsidRDefault="00846E1C" w:rsidP="00846E1C">
      <w:pPr>
        <w:pStyle w:val="Text1"/>
        <w:rPr>
          <w:noProof/>
        </w:rPr>
      </w:pPr>
      <w:r w:rsidRPr="00193A9A">
        <w:rPr>
          <w:noProof/>
        </w:rPr>
        <w:t xml:space="preserve">At the same time, civil society organisations highlighted the limitations of public debate on this issue, which tends to focus more on the benefits than the risks. Furthermore, they expressed concerns about the use of algorithmic systems in </w:t>
      </w:r>
      <w:r w:rsidR="000B58DA">
        <w:rPr>
          <w:noProof/>
        </w:rPr>
        <w:t>fields</w:t>
      </w:r>
      <w:r w:rsidR="000B58DA" w:rsidRPr="00193A9A">
        <w:rPr>
          <w:noProof/>
        </w:rPr>
        <w:t xml:space="preserve"> </w:t>
      </w:r>
      <w:r w:rsidRPr="00193A9A">
        <w:rPr>
          <w:noProof/>
        </w:rPr>
        <w:t>such as migration, law enforcement and welfare (</w:t>
      </w:r>
      <w:r w:rsidRPr="00193A9A">
        <w:rPr>
          <w:rStyle w:val="FootnoteReference"/>
          <w:noProof/>
        </w:rPr>
        <w:footnoteReference w:id="154"/>
      </w:r>
      <w:r w:rsidRPr="00193A9A">
        <w:rPr>
          <w:noProof/>
        </w:rPr>
        <w:t>).</w:t>
      </w:r>
    </w:p>
    <w:p w14:paraId="54B8BF9D" w14:textId="099CEBBC" w:rsidR="00846E1C" w:rsidRPr="00193A9A" w:rsidRDefault="00193A9A" w:rsidP="00DF47AA">
      <w:pPr>
        <w:pStyle w:val="Heading2"/>
        <w:rPr>
          <w:noProof/>
        </w:rPr>
      </w:pPr>
      <w:r>
        <w:rPr>
          <w:noProof/>
        </w:rPr>
        <w:t>Combating</w:t>
      </w:r>
      <w:r w:rsidR="00846E1C" w:rsidRPr="00193A9A">
        <w:rPr>
          <w:noProof/>
        </w:rPr>
        <w:t xml:space="preserve"> algorithmic discrimination in Member States</w:t>
      </w:r>
    </w:p>
    <w:p w14:paraId="18B42CBC" w14:textId="71395039" w:rsidR="00A92D89" w:rsidRPr="00193A9A" w:rsidRDefault="00846E1C" w:rsidP="00846E1C">
      <w:pPr>
        <w:pStyle w:val="Text1"/>
        <w:rPr>
          <w:noProof/>
        </w:rPr>
      </w:pPr>
      <w:r w:rsidRPr="00193A9A">
        <w:rPr>
          <w:noProof/>
        </w:rPr>
        <w:t xml:space="preserve">Of all the </w:t>
      </w:r>
      <w:r w:rsidR="002E1333" w:rsidRPr="00193A9A">
        <w:rPr>
          <w:noProof/>
        </w:rPr>
        <w:t>Member States</w:t>
      </w:r>
      <w:r w:rsidRPr="00193A9A">
        <w:rPr>
          <w:noProof/>
        </w:rPr>
        <w:t>, only the Netherlands referred to cases</w:t>
      </w:r>
      <w:r w:rsidR="00CE3F60" w:rsidRPr="00193A9A">
        <w:rPr>
          <w:noProof/>
        </w:rPr>
        <w:t xml:space="preserve"> of algorithmic discrimination</w:t>
      </w:r>
      <w:r w:rsidRPr="00193A9A">
        <w:rPr>
          <w:noProof/>
        </w:rPr>
        <w:t xml:space="preserve"> that had been addressed by either a court (</w:t>
      </w:r>
      <w:r w:rsidRPr="00193A9A">
        <w:rPr>
          <w:rStyle w:val="FootnoteReference"/>
          <w:noProof/>
        </w:rPr>
        <w:footnoteReference w:id="155"/>
      </w:r>
      <w:r w:rsidRPr="00193A9A">
        <w:rPr>
          <w:noProof/>
        </w:rPr>
        <w:t>) or an equality body (</w:t>
      </w:r>
      <w:r w:rsidRPr="00193A9A">
        <w:rPr>
          <w:rStyle w:val="FootnoteReference"/>
          <w:noProof/>
        </w:rPr>
        <w:footnoteReference w:id="156"/>
      </w:r>
      <w:r w:rsidRPr="00193A9A">
        <w:rPr>
          <w:noProof/>
        </w:rPr>
        <w:t xml:space="preserve">). </w:t>
      </w:r>
      <w:r w:rsidR="000B58DA">
        <w:rPr>
          <w:noProof/>
        </w:rPr>
        <w:t>Only</w:t>
      </w:r>
      <w:r w:rsidRPr="00193A9A">
        <w:rPr>
          <w:noProof/>
        </w:rPr>
        <w:t xml:space="preserve"> one Member State (Austria) </w:t>
      </w:r>
      <w:r w:rsidR="000B58DA">
        <w:rPr>
          <w:noProof/>
        </w:rPr>
        <w:t xml:space="preserve">has </w:t>
      </w:r>
      <w:r w:rsidRPr="00193A9A">
        <w:rPr>
          <w:noProof/>
        </w:rPr>
        <w:t xml:space="preserve">favourable rules for victims to prove algorithmic discrimination or </w:t>
      </w:r>
      <w:r w:rsidR="000B58DA">
        <w:rPr>
          <w:noProof/>
        </w:rPr>
        <w:t xml:space="preserve">to </w:t>
      </w:r>
      <w:r w:rsidRPr="00193A9A">
        <w:rPr>
          <w:noProof/>
        </w:rPr>
        <w:t>alleviate the technical burdens.</w:t>
      </w:r>
    </w:p>
    <w:p w14:paraId="4E9BD63B" w14:textId="4F642980" w:rsidR="00846E1C" w:rsidRPr="00193A9A" w:rsidRDefault="00437289" w:rsidP="00846E1C">
      <w:pPr>
        <w:pStyle w:val="Text1"/>
        <w:rPr>
          <w:noProof/>
        </w:rPr>
      </w:pPr>
      <w:r w:rsidRPr="00193A9A">
        <w:rPr>
          <w:noProof/>
        </w:rPr>
        <w:t xml:space="preserve">In 2025, the </w:t>
      </w:r>
      <w:r w:rsidR="000B58DA">
        <w:rPr>
          <w:noProof/>
        </w:rPr>
        <w:t xml:space="preserve">EU </w:t>
      </w:r>
      <w:r w:rsidR="00503689">
        <w:rPr>
          <w:noProof/>
        </w:rPr>
        <w:t>supported</w:t>
      </w:r>
      <w:r w:rsidR="00503689" w:rsidRPr="00193A9A">
        <w:rPr>
          <w:noProof/>
        </w:rPr>
        <w:t xml:space="preserve"> </w:t>
      </w:r>
      <w:r w:rsidRPr="00193A9A">
        <w:rPr>
          <w:noProof/>
        </w:rPr>
        <w:t xml:space="preserve">the </w:t>
      </w:r>
      <w:r w:rsidR="00503689">
        <w:rPr>
          <w:noProof/>
        </w:rPr>
        <w:t>adoption of</w:t>
      </w:r>
      <w:r w:rsidRPr="00193A9A">
        <w:rPr>
          <w:noProof/>
        </w:rPr>
        <w:t xml:space="preserve"> the Council of Europe’s Draft Recommendation on equality and artificial intelligence</w:t>
      </w:r>
      <w:r w:rsidR="00727DFB">
        <w:rPr>
          <w:noProof/>
        </w:rPr>
        <w:t xml:space="preserve"> </w:t>
      </w:r>
      <w:r w:rsidR="00A92D89" w:rsidRPr="00193A9A">
        <w:rPr>
          <w:noProof/>
        </w:rPr>
        <w:t>(</w:t>
      </w:r>
      <w:r w:rsidR="00A92D89" w:rsidRPr="00193A9A">
        <w:rPr>
          <w:rStyle w:val="FootnoteReference"/>
          <w:noProof/>
        </w:rPr>
        <w:footnoteReference w:id="157"/>
      </w:r>
      <w:r w:rsidR="00A92D89" w:rsidRPr="00193A9A">
        <w:rPr>
          <w:noProof/>
        </w:rPr>
        <w:t>)</w:t>
      </w:r>
      <w:r w:rsidRPr="00193A9A">
        <w:rPr>
          <w:noProof/>
        </w:rPr>
        <w:t>.</w:t>
      </w:r>
      <w:r w:rsidR="00727DFB">
        <w:rPr>
          <w:noProof/>
        </w:rPr>
        <w:t xml:space="preserve"> </w:t>
      </w:r>
      <w:r w:rsidR="00727DFB" w:rsidRPr="00193A9A">
        <w:rPr>
          <w:noProof/>
        </w:rPr>
        <w:t>The recommendation</w:t>
      </w:r>
      <w:r w:rsidR="00727DFB" w:rsidRPr="00727DFB">
        <w:rPr>
          <w:noProof/>
        </w:rPr>
        <w:t> (</w:t>
      </w:r>
      <w:r w:rsidR="00727DFB">
        <w:rPr>
          <w:rStyle w:val="FootnoteReference"/>
          <w:noProof/>
        </w:rPr>
        <w:footnoteReference w:id="158"/>
      </w:r>
      <w:r w:rsidR="00727DFB">
        <w:rPr>
          <w:noProof/>
        </w:rPr>
        <w:t>)</w:t>
      </w:r>
      <w:r w:rsidR="00727DFB" w:rsidRPr="00193A9A">
        <w:rPr>
          <w:noProof/>
        </w:rPr>
        <w:t xml:space="preserve"> aims to ensure</w:t>
      </w:r>
      <w:r w:rsidR="00727DFB">
        <w:rPr>
          <w:noProof/>
        </w:rPr>
        <w:t xml:space="preserve"> that</w:t>
      </w:r>
      <w:r w:rsidR="00727DFB" w:rsidRPr="00193A9A">
        <w:rPr>
          <w:noProof/>
        </w:rPr>
        <w:t xml:space="preserve"> AI systems promote equality, including gender equality, and </w:t>
      </w:r>
      <w:r w:rsidR="00727DFB">
        <w:rPr>
          <w:noProof/>
        </w:rPr>
        <w:t>do not</w:t>
      </w:r>
      <w:r w:rsidR="00727DFB" w:rsidRPr="00193A9A">
        <w:rPr>
          <w:noProof/>
        </w:rPr>
        <w:t xml:space="preserve"> reinforc</w:t>
      </w:r>
      <w:r w:rsidR="00727DFB">
        <w:rPr>
          <w:noProof/>
        </w:rPr>
        <w:t>e</w:t>
      </w:r>
      <w:r w:rsidR="00727DFB" w:rsidRPr="00193A9A">
        <w:rPr>
          <w:noProof/>
        </w:rPr>
        <w:t xml:space="preserve"> discrimination</w:t>
      </w:r>
      <w:r w:rsidR="00727DFB">
        <w:rPr>
          <w:noProof/>
        </w:rPr>
        <w:t xml:space="preserve">. </w:t>
      </w:r>
      <w:r w:rsidR="00727DFB" w:rsidRPr="00727DFB">
        <w:rPr>
          <w:noProof/>
        </w:rPr>
        <w:t>It is consistent with the Artificial Intelligence Act and will be implemented through measures and safeguards applicable to AI systems following the risk-based approach.</w:t>
      </w:r>
    </w:p>
    <w:tbl>
      <w:tblPr>
        <w:tblStyle w:val="EurolookClassicPurple2"/>
        <w:tblW w:w="0" w:type="auto"/>
        <w:tblInd w:w="442" w:type="dxa"/>
        <w:tblLook w:val="0620" w:firstRow="1" w:lastRow="0" w:firstColumn="0" w:lastColumn="0" w:noHBand="1" w:noVBand="1"/>
      </w:tblPr>
      <w:tblGrid>
        <w:gridCol w:w="8160"/>
      </w:tblGrid>
      <w:tr w:rsidR="00846E1C" w:rsidRPr="00193A9A" w14:paraId="1B410EF7" w14:textId="77777777" w:rsidTr="003C5064">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4B767A5D" w14:textId="677796D4" w:rsidR="00846E1C" w:rsidRPr="00193A9A" w:rsidRDefault="00846E1C" w:rsidP="001B611E">
            <w:pPr>
              <w:pStyle w:val="TableText"/>
              <w:rPr>
                <w:b/>
                <w:bCs/>
                <w:noProof/>
              </w:rPr>
            </w:pPr>
            <w:r w:rsidRPr="00193A9A">
              <w:rPr>
                <w:b/>
                <w:bCs/>
                <w:noProof/>
              </w:rPr>
              <w:t xml:space="preserve">Box </w:t>
            </w:r>
            <w:r w:rsidR="003C5064">
              <w:rPr>
                <w:b/>
                <w:bCs/>
                <w:noProof/>
              </w:rPr>
              <w:t>6</w:t>
            </w:r>
            <w:r w:rsidRPr="00193A9A">
              <w:rPr>
                <w:b/>
                <w:bCs/>
                <w:noProof/>
              </w:rPr>
              <w:t>. Guidelines for ensuring non-discrimination when developing and implementing an AI system</w:t>
            </w:r>
          </w:p>
        </w:tc>
      </w:tr>
      <w:tr w:rsidR="00846E1C" w:rsidRPr="00193A9A" w14:paraId="3D3C75FA" w14:textId="77777777" w:rsidTr="001B611E">
        <w:trPr>
          <w:cantSplit/>
        </w:trPr>
        <w:tc>
          <w:tcPr>
            <w:tcW w:w="8160" w:type="dxa"/>
          </w:tcPr>
          <w:p w14:paraId="29E7D0A8" w14:textId="356BBF84" w:rsidR="00846E1C" w:rsidRPr="00193A9A" w:rsidRDefault="00846E1C" w:rsidP="001B611E">
            <w:pPr>
              <w:pStyle w:val="TableText"/>
              <w:jc w:val="both"/>
              <w:rPr>
                <w:noProof/>
              </w:rPr>
            </w:pPr>
            <w:r w:rsidRPr="00193A9A">
              <w:rPr>
                <w:noProof/>
              </w:rPr>
              <w:t xml:space="preserve">On behalf of the Dutch Ministry of the Interior, experts have drawn up guidelines for system builders, data analysts and AI experts for ensuring non-discrimination when developing and implementing an AI system. The </w:t>
            </w:r>
            <w:r w:rsidR="002E1333" w:rsidRPr="00193A9A">
              <w:rPr>
                <w:noProof/>
              </w:rPr>
              <w:t xml:space="preserve">2022 </w:t>
            </w:r>
            <w:r w:rsidRPr="00193A9A">
              <w:rPr>
                <w:noProof/>
              </w:rPr>
              <w:t>guidelines explain which questions and principles are key when working on and with an AI system</w:t>
            </w:r>
            <w:r w:rsidR="000B58DA">
              <w:rPr>
                <w:noProof/>
              </w:rPr>
              <w:t>,</w:t>
            </w:r>
            <w:r w:rsidRPr="00193A9A">
              <w:rPr>
                <w:noProof/>
              </w:rPr>
              <w:t xml:space="preserve"> with a </w:t>
            </w:r>
            <w:r w:rsidR="00541016">
              <w:rPr>
                <w:noProof/>
              </w:rPr>
              <w:t>focus on</w:t>
            </w:r>
            <w:r w:rsidRPr="00193A9A">
              <w:rPr>
                <w:noProof/>
              </w:rPr>
              <w:t xml:space="preserve"> the prohibition of discrimination, from </w:t>
            </w:r>
            <w:r w:rsidR="0060272D">
              <w:rPr>
                <w:noProof/>
              </w:rPr>
              <w:t xml:space="preserve">a </w:t>
            </w:r>
            <w:r w:rsidRPr="00193A9A">
              <w:rPr>
                <w:noProof/>
              </w:rPr>
              <w:t>legal, technical and organisational perspective (</w:t>
            </w:r>
            <w:r w:rsidRPr="00193A9A">
              <w:rPr>
                <w:rStyle w:val="FootnoteReference"/>
                <w:noProof/>
              </w:rPr>
              <w:footnoteReference w:id="159"/>
            </w:r>
            <w:r w:rsidRPr="00193A9A">
              <w:rPr>
                <w:noProof/>
              </w:rPr>
              <w:t>).</w:t>
            </w:r>
          </w:p>
        </w:tc>
      </w:tr>
    </w:tbl>
    <w:p w14:paraId="34CB9DF1" w14:textId="1EAD5C47" w:rsidR="00CE3F60" w:rsidRPr="00193A9A" w:rsidRDefault="00D10864" w:rsidP="00D949BB">
      <w:pPr>
        <w:pStyle w:val="Text2"/>
        <w:spacing w:before="240" w:after="0"/>
        <w:ind w:left="475"/>
        <w:rPr>
          <w:noProof/>
        </w:rPr>
      </w:pPr>
      <w:r w:rsidRPr="00193A9A">
        <w:rPr>
          <w:noProof/>
        </w:rPr>
        <w:t>In the ever-expanding digital realm, c</w:t>
      </w:r>
      <w:r w:rsidR="00CE3F60" w:rsidRPr="00193A9A">
        <w:rPr>
          <w:noProof/>
        </w:rPr>
        <w:t xml:space="preserve">ross-authority cooperation and dialogue with partners representing the interests of groups at risk of discrimination </w:t>
      </w:r>
      <w:r w:rsidR="00165281">
        <w:rPr>
          <w:noProof/>
        </w:rPr>
        <w:t>play an important role</w:t>
      </w:r>
      <w:r w:rsidR="00CE3F60" w:rsidRPr="00193A9A">
        <w:rPr>
          <w:noProof/>
        </w:rPr>
        <w:t xml:space="preserve">. </w:t>
      </w:r>
      <w:r w:rsidR="00C35E1B">
        <w:rPr>
          <w:noProof/>
        </w:rPr>
        <w:t>T</w:t>
      </w:r>
      <w:r w:rsidR="00CE3F60" w:rsidRPr="00193A9A">
        <w:rPr>
          <w:noProof/>
        </w:rPr>
        <w:t>he Equality Bodies Directives</w:t>
      </w:r>
      <w:r w:rsidR="00C35E1B">
        <w:rPr>
          <w:noProof/>
        </w:rPr>
        <w:t xml:space="preserve"> require</w:t>
      </w:r>
      <w:r w:rsidR="00CE3F60" w:rsidRPr="00193A9A">
        <w:rPr>
          <w:noProof/>
        </w:rPr>
        <w:t xml:space="preserve"> Member States </w:t>
      </w:r>
      <w:r w:rsidR="00C35E1B">
        <w:rPr>
          <w:noProof/>
        </w:rPr>
        <w:t>to</w:t>
      </w:r>
      <w:r w:rsidR="00C35E1B" w:rsidRPr="00193A9A">
        <w:rPr>
          <w:noProof/>
        </w:rPr>
        <w:t xml:space="preserve"> </w:t>
      </w:r>
      <w:r w:rsidR="00CE3F60" w:rsidRPr="00193A9A">
        <w:rPr>
          <w:noProof/>
        </w:rPr>
        <w:t>ensure that equality bodies have the appropriate mechanisms in place to cooperate with other equality bodies within the Member State, as well as with relevant public and private entities within their respective fields of competence, including across borders (</w:t>
      </w:r>
      <w:r w:rsidR="00CE3F60" w:rsidRPr="00193A9A">
        <w:rPr>
          <w:rStyle w:val="FootnoteReference"/>
          <w:noProof/>
        </w:rPr>
        <w:footnoteReference w:id="160"/>
      </w:r>
      <w:r w:rsidR="00CE3F60" w:rsidRPr="00193A9A">
        <w:rPr>
          <w:noProof/>
        </w:rPr>
        <w:t>)</w:t>
      </w:r>
      <w:r w:rsidR="008F70F8" w:rsidRPr="00193A9A">
        <w:rPr>
          <w:noProof/>
        </w:rPr>
        <w:t>.</w:t>
      </w:r>
    </w:p>
    <w:p w14:paraId="14AD4614" w14:textId="18B2F34D" w:rsidR="00D10864" w:rsidRPr="00193A9A" w:rsidRDefault="00D10864" w:rsidP="00846E1C">
      <w:pPr>
        <w:pStyle w:val="Text1"/>
        <w:spacing w:before="240"/>
        <w:ind w:left="475"/>
        <w:rPr>
          <w:noProof/>
        </w:rPr>
      </w:pPr>
      <w:r w:rsidRPr="00193A9A">
        <w:rPr>
          <w:noProof/>
        </w:rPr>
        <w:t>Furthermore, the</w:t>
      </w:r>
      <w:r w:rsidR="00846E1C" w:rsidRPr="00193A9A">
        <w:rPr>
          <w:noProof/>
        </w:rPr>
        <w:t xml:space="preserve"> </w:t>
      </w:r>
      <w:r w:rsidRPr="00193A9A">
        <w:rPr>
          <w:noProof/>
        </w:rPr>
        <w:t xml:space="preserve">Equality Bodies </w:t>
      </w:r>
      <w:r w:rsidR="00846E1C" w:rsidRPr="00193A9A">
        <w:rPr>
          <w:noProof/>
        </w:rPr>
        <w:t xml:space="preserve">Directives emphasise that equality bodies </w:t>
      </w:r>
      <w:r w:rsidR="002E2650">
        <w:rPr>
          <w:noProof/>
        </w:rPr>
        <w:t>must</w:t>
      </w:r>
      <w:r w:rsidR="002E2650" w:rsidRPr="00193A9A">
        <w:rPr>
          <w:noProof/>
        </w:rPr>
        <w:t xml:space="preserve"> </w:t>
      </w:r>
      <w:r w:rsidR="00846E1C" w:rsidRPr="00193A9A">
        <w:rPr>
          <w:noProof/>
        </w:rPr>
        <w:t xml:space="preserve">have the necessary human and technical resources to use AI for their work and to assess whether automated systems comply with </w:t>
      </w:r>
      <w:r w:rsidRPr="00193A9A">
        <w:rPr>
          <w:noProof/>
        </w:rPr>
        <w:t>the Racial</w:t>
      </w:r>
      <w:r w:rsidR="00D84175">
        <w:rPr>
          <w:noProof/>
        </w:rPr>
        <w:t xml:space="preserve"> Equality Directive</w:t>
      </w:r>
      <w:r w:rsidRPr="00193A9A">
        <w:rPr>
          <w:noProof/>
        </w:rPr>
        <w:t xml:space="preserve"> and Employment Equality Directive</w:t>
      </w:r>
      <w:r w:rsidR="00846E1C" w:rsidRPr="00193A9A">
        <w:rPr>
          <w:noProof/>
        </w:rPr>
        <w:t> (</w:t>
      </w:r>
      <w:r w:rsidR="00846E1C" w:rsidRPr="00193A9A">
        <w:rPr>
          <w:rStyle w:val="FootnoteReference"/>
          <w:noProof/>
        </w:rPr>
        <w:footnoteReference w:id="161"/>
      </w:r>
      <w:r w:rsidR="00846E1C" w:rsidRPr="00193A9A">
        <w:rPr>
          <w:noProof/>
        </w:rPr>
        <w:t>).</w:t>
      </w:r>
    </w:p>
    <w:p w14:paraId="5F19082F" w14:textId="48B79D0D" w:rsidR="00C35E1B" w:rsidRDefault="00846E1C" w:rsidP="00864499">
      <w:pPr>
        <w:pStyle w:val="Text1"/>
        <w:ind w:left="475"/>
        <w:rPr>
          <w:noProof/>
        </w:rPr>
      </w:pPr>
      <w:r w:rsidRPr="00193A9A">
        <w:rPr>
          <w:noProof/>
        </w:rPr>
        <w:t>Article</w:t>
      </w:r>
      <w:r w:rsidR="00193A9A">
        <w:rPr>
          <w:noProof/>
        </w:rPr>
        <w:t> </w:t>
      </w:r>
      <w:r w:rsidRPr="00193A9A">
        <w:rPr>
          <w:noProof/>
        </w:rPr>
        <w:t xml:space="preserve">77 of the </w:t>
      </w:r>
      <w:r w:rsidR="00054857">
        <w:rPr>
          <w:noProof/>
        </w:rPr>
        <w:t>Artificial Intelligence Act</w:t>
      </w:r>
      <w:r w:rsidR="00D10864" w:rsidRPr="00193A9A">
        <w:rPr>
          <w:noProof/>
        </w:rPr>
        <w:t xml:space="preserve"> </w:t>
      </w:r>
      <w:r w:rsidR="00C35E1B" w:rsidRPr="00CB5C6B">
        <w:rPr>
          <w:noProof/>
        </w:rPr>
        <w:t>establishes a duty of close cooperation and mutual assistance between</w:t>
      </w:r>
      <w:r w:rsidRPr="00193A9A">
        <w:rPr>
          <w:noProof/>
        </w:rPr>
        <w:t xml:space="preserve"> the bodies responsible for supervising or enforcing obligations under </w:t>
      </w:r>
      <w:r w:rsidR="003C5064">
        <w:rPr>
          <w:noProof/>
        </w:rPr>
        <w:t>EU</w:t>
      </w:r>
      <w:r w:rsidR="003C5064" w:rsidRPr="00193A9A">
        <w:rPr>
          <w:noProof/>
        </w:rPr>
        <w:t xml:space="preserve"> </w:t>
      </w:r>
      <w:r w:rsidRPr="00193A9A">
        <w:rPr>
          <w:noProof/>
        </w:rPr>
        <w:t>law that protect fundamental rights</w:t>
      </w:r>
      <w:r w:rsidR="005200D2" w:rsidRPr="00193A9A">
        <w:rPr>
          <w:noProof/>
        </w:rPr>
        <w:t xml:space="preserve"> </w:t>
      </w:r>
      <w:r w:rsidRPr="00193A9A">
        <w:rPr>
          <w:noProof/>
        </w:rPr>
        <w:t>and</w:t>
      </w:r>
      <w:r w:rsidR="00C35E1B">
        <w:rPr>
          <w:noProof/>
        </w:rPr>
        <w:t xml:space="preserve"> the market surveillance authorities.</w:t>
      </w:r>
    </w:p>
    <w:p w14:paraId="7935B233" w14:textId="493EB00D" w:rsidR="00864499" w:rsidRDefault="00C35E1B" w:rsidP="00864499">
      <w:pPr>
        <w:pStyle w:val="Text1"/>
        <w:ind w:left="475"/>
        <w:rPr>
          <w:noProof/>
        </w:rPr>
      </w:pPr>
      <w:r w:rsidRPr="00CB5C6B">
        <w:rPr>
          <w:noProof/>
        </w:rPr>
        <w:t xml:space="preserve">Member States must identify those fundamental rights bodies </w:t>
      </w:r>
      <w:r w:rsidRPr="00193A9A">
        <w:rPr>
          <w:noProof/>
        </w:rPr>
        <w:t>(</w:t>
      </w:r>
      <w:r w:rsidRPr="00193A9A">
        <w:rPr>
          <w:rStyle w:val="FootnoteReference"/>
          <w:noProof/>
        </w:rPr>
        <w:footnoteReference w:id="162"/>
      </w:r>
      <w:r w:rsidRPr="00193A9A">
        <w:rPr>
          <w:noProof/>
        </w:rPr>
        <w:t>)</w:t>
      </w:r>
      <w:r>
        <w:rPr>
          <w:noProof/>
        </w:rPr>
        <w:t xml:space="preserve"> </w:t>
      </w:r>
      <w:r w:rsidRPr="00CB5C6B">
        <w:rPr>
          <w:noProof/>
        </w:rPr>
        <w:t>which have the power to request and access, from the relevant market surveillance authority, any information or documentation created or maintained under the Regulation, where this is necessary to fulfil their mandate. Where that documentation is insufficient to ascertain whether an infringement has occurred, they may make a reasoned request to the</w:t>
      </w:r>
      <w:r w:rsidR="00503689">
        <w:rPr>
          <w:noProof/>
        </w:rPr>
        <w:t xml:space="preserve"> market surveillance authorities to organise testing of a high-risk AI system through technical means</w:t>
      </w:r>
      <w:r w:rsidR="00503689" w:rsidRPr="00503689">
        <w:rPr>
          <w:noProof/>
        </w:rPr>
        <w:t> (</w:t>
      </w:r>
      <w:r w:rsidR="00503689">
        <w:rPr>
          <w:rStyle w:val="FootnoteReference"/>
          <w:noProof/>
        </w:rPr>
        <w:footnoteReference w:id="163"/>
      </w:r>
      <w:r w:rsidR="00503689">
        <w:rPr>
          <w:noProof/>
        </w:rPr>
        <w:t>).</w:t>
      </w:r>
      <w:r w:rsidR="00864499">
        <w:rPr>
          <w:noProof/>
        </w:rPr>
        <w:t xml:space="preserve"> </w:t>
      </w:r>
    </w:p>
    <w:p w14:paraId="6426F968" w14:textId="3D840427" w:rsidR="00EB7ACF" w:rsidRPr="00193A9A" w:rsidRDefault="00D10864" w:rsidP="0003265E">
      <w:pPr>
        <w:pStyle w:val="Text1"/>
        <w:ind w:left="475"/>
        <w:rPr>
          <w:noProof/>
        </w:rPr>
      </w:pPr>
      <w:r w:rsidRPr="00193A9A">
        <w:rPr>
          <w:noProof/>
        </w:rPr>
        <w:t xml:space="preserve">The </w:t>
      </w:r>
      <w:r w:rsidR="00054857">
        <w:rPr>
          <w:noProof/>
        </w:rPr>
        <w:t>Artificial Intelligence Act</w:t>
      </w:r>
      <w:r w:rsidRPr="00193A9A">
        <w:rPr>
          <w:noProof/>
        </w:rPr>
        <w:t xml:space="preserve"> also imposes certain </w:t>
      </w:r>
      <w:r w:rsidR="00B40AFC" w:rsidRPr="00193A9A">
        <w:rPr>
          <w:noProof/>
        </w:rPr>
        <w:t xml:space="preserve">cooperation </w:t>
      </w:r>
      <w:r w:rsidRPr="00193A9A">
        <w:rPr>
          <w:noProof/>
        </w:rPr>
        <w:t xml:space="preserve">obligations on market surveillance authorities </w:t>
      </w:r>
      <w:r w:rsidR="00D31ADC">
        <w:rPr>
          <w:noProof/>
        </w:rPr>
        <w:t>where the use of high-risk AI systems poses</w:t>
      </w:r>
      <w:r w:rsidRPr="00193A9A">
        <w:rPr>
          <w:noProof/>
        </w:rPr>
        <w:t xml:space="preserve"> risks to fundamental rights, including the right to non-discrimination. In particular, they </w:t>
      </w:r>
      <w:r w:rsidR="001621A4">
        <w:rPr>
          <w:noProof/>
        </w:rPr>
        <w:t>must</w:t>
      </w:r>
      <w:r w:rsidR="001621A4" w:rsidRPr="00193A9A">
        <w:rPr>
          <w:noProof/>
        </w:rPr>
        <w:t xml:space="preserve"> </w:t>
      </w:r>
      <w:r w:rsidRPr="00193A9A">
        <w:rPr>
          <w:noProof/>
        </w:rPr>
        <w:t>inform, consult with, and fully cooperate with the relevant fundamental rights authorities</w:t>
      </w:r>
      <w:r w:rsidR="00D31ADC">
        <w:rPr>
          <w:noProof/>
        </w:rPr>
        <w:t> </w:t>
      </w:r>
      <w:r w:rsidRPr="00193A9A">
        <w:rPr>
          <w:noProof/>
        </w:rPr>
        <w:t>(</w:t>
      </w:r>
      <w:r w:rsidRPr="00193A9A">
        <w:rPr>
          <w:rStyle w:val="FootnoteReference"/>
          <w:noProof/>
        </w:rPr>
        <w:footnoteReference w:id="164"/>
      </w:r>
      <w:r w:rsidRPr="00193A9A">
        <w:rPr>
          <w:noProof/>
        </w:rPr>
        <w:t>).</w:t>
      </w:r>
    </w:p>
    <w:p w14:paraId="0429DCF2" w14:textId="705A3BC4" w:rsidR="00846E1C" w:rsidRPr="00193A9A" w:rsidRDefault="005F5C6B" w:rsidP="00846E1C">
      <w:pPr>
        <w:pStyle w:val="Text1"/>
        <w:rPr>
          <w:noProof/>
        </w:rPr>
      </w:pPr>
      <w:r w:rsidRPr="00193A9A">
        <w:rPr>
          <w:noProof/>
        </w:rPr>
        <w:t>T</w:t>
      </w:r>
      <w:r w:rsidR="00846E1C" w:rsidRPr="00193A9A">
        <w:rPr>
          <w:noProof/>
        </w:rPr>
        <w:t>h</w:t>
      </w:r>
      <w:r w:rsidR="005277F7">
        <w:rPr>
          <w:noProof/>
        </w:rPr>
        <w:t>o</w:t>
      </w:r>
      <w:r w:rsidR="00846E1C" w:rsidRPr="00193A9A">
        <w:rPr>
          <w:noProof/>
        </w:rPr>
        <w:t xml:space="preserve">se rules </w:t>
      </w:r>
      <w:r w:rsidR="005277F7">
        <w:rPr>
          <w:noProof/>
        </w:rPr>
        <w:t>have yet to be</w:t>
      </w:r>
      <w:r w:rsidRPr="00193A9A">
        <w:rPr>
          <w:noProof/>
        </w:rPr>
        <w:t xml:space="preserve"> implement</w:t>
      </w:r>
      <w:r w:rsidR="005277F7">
        <w:rPr>
          <w:noProof/>
        </w:rPr>
        <w:t>ed</w:t>
      </w:r>
      <w:r w:rsidR="00846E1C" w:rsidRPr="00193A9A">
        <w:rPr>
          <w:noProof/>
        </w:rPr>
        <w:t xml:space="preserve">. </w:t>
      </w:r>
      <w:r w:rsidR="0003265E" w:rsidRPr="00193A9A">
        <w:rPr>
          <w:noProof/>
        </w:rPr>
        <w:t>At the time of consultation, a</w:t>
      </w:r>
      <w:r w:rsidR="00846E1C" w:rsidRPr="00193A9A">
        <w:rPr>
          <w:noProof/>
        </w:rPr>
        <w:t xml:space="preserve">lmost none of the surveyed equality bodies felt equipped to use automated or AI systems in their work, or to assess them for compliance with </w:t>
      </w:r>
      <w:r w:rsidR="00D56ECB">
        <w:rPr>
          <w:noProof/>
        </w:rPr>
        <w:t xml:space="preserve">the </w:t>
      </w:r>
      <w:r w:rsidR="00846E1C" w:rsidRPr="00193A9A">
        <w:rPr>
          <w:noProof/>
        </w:rPr>
        <w:t>non-discrimination rules</w:t>
      </w:r>
      <w:r w:rsidR="00D7285A" w:rsidRPr="00D7285A">
        <w:rPr>
          <w:noProof/>
        </w:rPr>
        <w:t> (</w:t>
      </w:r>
      <w:r w:rsidR="00D7285A">
        <w:rPr>
          <w:rStyle w:val="FootnoteReference"/>
          <w:noProof/>
        </w:rPr>
        <w:footnoteReference w:id="165"/>
      </w:r>
      <w:r w:rsidR="00D7285A">
        <w:rPr>
          <w:noProof/>
        </w:rPr>
        <w:t>)</w:t>
      </w:r>
      <w:r w:rsidR="00846E1C" w:rsidRPr="00193A9A">
        <w:rPr>
          <w:noProof/>
        </w:rPr>
        <w:t xml:space="preserve">. </w:t>
      </w:r>
      <w:r w:rsidR="00AC08B6">
        <w:rPr>
          <w:noProof/>
        </w:rPr>
        <w:t>L</w:t>
      </w:r>
      <w:r w:rsidR="00846E1C" w:rsidRPr="00193A9A">
        <w:rPr>
          <w:noProof/>
        </w:rPr>
        <w:t xml:space="preserve">ack of experience, specialised staff and technical resources were cited as the key reasons. </w:t>
      </w:r>
    </w:p>
    <w:tbl>
      <w:tblPr>
        <w:tblStyle w:val="EurolookClassicPurple2"/>
        <w:tblW w:w="0" w:type="auto"/>
        <w:tblInd w:w="442" w:type="dxa"/>
        <w:tblLook w:val="0620" w:firstRow="1" w:lastRow="0" w:firstColumn="0" w:lastColumn="0" w:noHBand="1" w:noVBand="1"/>
      </w:tblPr>
      <w:tblGrid>
        <w:gridCol w:w="8160"/>
      </w:tblGrid>
      <w:tr w:rsidR="00846E1C" w:rsidRPr="00193A9A" w14:paraId="10778966" w14:textId="77777777" w:rsidTr="003C5064">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550DE0D7" w14:textId="133C2E5C" w:rsidR="00846E1C" w:rsidRPr="00193A9A" w:rsidRDefault="00846E1C" w:rsidP="001B611E">
            <w:pPr>
              <w:pStyle w:val="TableText"/>
              <w:rPr>
                <w:b/>
                <w:bCs/>
                <w:noProof/>
              </w:rPr>
            </w:pPr>
            <w:r w:rsidRPr="00193A9A">
              <w:rPr>
                <w:b/>
                <w:bCs/>
                <w:noProof/>
              </w:rPr>
              <w:t xml:space="preserve">Box </w:t>
            </w:r>
            <w:r w:rsidR="003C5064">
              <w:rPr>
                <w:b/>
                <w:bCs/>
                <w:noProof/>
              </w:rPr>
              <w:t>7</w:t>
            </w:r>
            <w:r w:rsidRPr="00193A9A">
              <w:rPr>
                <w:b/>
                <w:bCs/>
                <w:noProof/>
              </w:rPr>
              <w:t xml:space="preserve">. </w:t>
            </w:r>
            <w:r w:rsidR="00F11851">
              <w:rPr>
                <w:b/>
                <w:bCs/>
                <w:noProof/>
              </w:rPr>
              <w:t>Equality bodies u</w:t>
            </w:r>
            <w:r w:rsidRPr="00193A9A">
              <w:rPr>
                <w:b/>
                <w:bCs/>
                <w:noProof/>
              </w:rPr>
              <w:t xml:space="preserve">pholding equality and non-discrimination </w:t>
            </w:r>
            <w:r w:rsidR="008C25DA">
              <w:rPr>
                <w:b/>
                <w:bCs/>
                <w:noProof/>
              </w:rPr>
              <w:t>with</w:t>
            </w:r>
            <w:r w:rsidR="00F11851">
              <w:rPr>
                <w:b/>
                <w:bCs/>
                <w:noProof/>
              </w:rPr>
              <w:t xml:space="preserve"> respect to</w:t>
            </w:r>
            <w:r w:rsidRPr="00193A9A">
              <w:rPr>
                <w:b/>
                <w:bCs/>
                <w:noProof/>
              </w:rPr>
              <w:t xml:space="preserve"> the use of AI in public administrations (</w:t>
            </w:r>
            <w:r w:rsidRPr="003C5064">
              <w:rPr>
                <w:rStyle w:val="FootnoteReference"/>
                <w:bCs/>
                <w:noProof/>
              </w:rPr>
              <w:footnoteReference w:id="166"/>
            </w:r>
            <w:r w:rsidRPr="00193A9A">
              <w:rPr>
                <w:b/>
                <w:bCs/>
                <w:noProof/>
              </w:rPr>
              <w:t>)</w:t>
            </w:r>
          </w:p>
        </w:tc>
      </w:tr>
      <w:tr w:rsidR="00846E1C" w:rsidRPr="00193A9A" w14:paraId="046225AA" w14:textId="77777777" w:rsidTr="001B611E">
        <w:trPr>
          <w:cantSplit/>
        </w:trPr>
        <w:tc>
          <w:tcPr>
            <w:tcW w:w="8160" w:type="dxa"/>
          </w:tcPr>
          <w:p w14:paraId="54DEDA1B" w14:textId="50B3C2F1" w:rsidR="00846E1C" w:rsidRPr="00193A9A" w:rsidRDefault="00846E1C" w:rsidP="001B611E">
            <w:pPr>
              <w:pStyle w:val="Text2"/>
              <w:ind w:left="0"/>
              <w:rPr>
                <w:noProof/>
              </w:rPr>
            </w:pPr>
            <w:r w:rsidRPr="00193A9A">
              <w:rPr>
                <w:noProof/>
              </w:rPr>
              <w:t xml:space="preserve">Under the EU-funded Technical Support Instrument, equality bodies in Belgium, Finland and Portugal are seeking to </w:t>
            </w:r>
            <w:r w:rsidR="007D0157">
              <w:rPr>
                <w:noProof/>
              </w:rPr>
              <w:t>build</w:t>
            </w:r>
            <w:r w:rsidR="007D0157" w:rsidRPr="00193A9A">
              <w:rPr>
                <w:noProof/>
              </w:rPr>
              <w:t xml:space="preserve"> </w:t>
            </w:r>
            <w:r w:rsidRPr="00193A9A">
              <w:rPr>
                <w:noProof/>
              </w:rPr>
              <w:t>their administrative capacity. The project focuses on the impact of AI on discrimination and equality</w:t>
            </w:r>
            <w:r w:rsidR="00186587">
              <w:rPr>
                <w:noProof/>
              </w:rPr>
              <w:t>,</w:t>
            </w:r>
            <w:r w:rsidRPr="00193A9A">
              <w:rPr>
                <w:noProof/>
              </w:rPr>
              <w:t xml:space="preserve"> </w:t>
            </w:r>
            <w:r w:rsidR="00186587">
              <w:rPr>
                <w:noProof/>
              </w:rPr>
              <w:t>with</w:t>
            </w:r>
            <w:r w:rsidRPr="00193A9A">
              <w:rPr>
                <w:noProof/>
              </w:rPr>
              <w:t xml:space="preserve"> the objective of increasing the </w:t>
            </w:r>
            <w:r w:rsidR="00F11851">
              <w:rPr>
                <w:noProof/>
              </w:rPr>
              <w:t>equality bodies’</w:t>
            </w:r>
            <w:r w:rsidR="00F11851" w:rsidRPr="00193A9A">
              <w:rPr>
                <w:noProof/>
              </w:rPr>
              <w:t xml:space="preserve"> </w:t>
            </w:r>
            <w:r w:rsidRPr="00193A9A">
              <w:rPr>
                <w:noProof/>
              </w:rPr>
              <w:t>capacity to uncover algorithmic discrimination and provide legal assistance.</w:t>
            </w:r>
          </w:p>
        </w:tc>
      </w:tr>
    </w:tbl>
    <w:p w14:paraId="1907713F" w14:textId="1B4A7164" w:rsidR="00CE3F60" w:rsidRPr="00193A9A" w:rsidRDefault="00CE3F60" w:rsidP="00CE3F60">
      <w:pPr>
        <w:pStyle w:val="Text2"/>
        <w:spacing w:before="240"/>
        <w:ind w:left="475"/>
        <w:rPr>
          <w:noProof/>
        </w:rPr>
      </w:pPr>
      <w:r w:rsidRPr="00193A9A">
        <w:rPr>
          <w:noProof/>
        </w:rPr>
        <w:t xml:space="preserve">According to the stakeholders consulted for the report, systematically involving equality bodies and designating them as advisory bodies for </w:t>
      </w:r>
      <w:r w:rsidR="008C25DA">
        <w:rPr>
          <w:noProof/>
        </w:rPr>
        <w:t xml:space="preserve">the </w:t>
      </w:r>
      <w:r w:rsidRPr="00193A9A">
        <w:rPr>
          <w:noProof/>
        </w:rPr>
        <w:t xml:space="preserve">relevant </w:t>
      </w:r>
      <w:r w:rsidR="00E67213" w:rsidRPr="00193A9A">
        <w:rPr>
          <w:noProof/>
        </w:rPr>
        <w:t>competent authorities </w:t>
      </w:r>
      <w:r w:rsidRPr="00193A9A">
        <w:rPr>
          <w:noProof/>
        </w:rPr>
        <w:t>(</w:t>
      </w:r>
      <w:r w:rsidRPr="00193A9A">
        <w:rPr>
          <w:rStyle w:val="FootnoteReference"/>
          <w:noProof/>
        </w:rPr>
        <w:footnoteReference w:id="167"/>
      </w:r>
      <w:r w:rsidRPr="00193A9A">
        <w:rPr>
          <w:noProof/>
        </w:rPr>
        <w:t>) foster</w:t>
      </w:r>
      <w:r w:rsidR="00E67213" w:rsidRPr="00193A9A">
        <w:rPr>
          <w:noProof/>
        </w:rPr>
        <w:t>s</w:t>
      </w:r>
      <w:r w:rsidRPr="00193A9A">
        <w:rPr>
          <w:noProof/>
        </w:rPr>
        <w:t xml:space="preserve"> an environment conducive to efficient collaboration on the enforcement of </w:t>
      </w:r>
      <w:r w:rsidR="0003265E" w:rsidRPr="00193A9A">
        <w:rPr>
          <w:noProof/>
        </w:rPr>
        <w:t xml:space="preserve">the Racial </w:t>
      </w:r>
      <w:r w:rsidR="00D84175">
        <w:rPr>
          <w:noProof/>
        </w:rPr>
        <w:t xml:space="preserve">Equality Directive </w:t>
      </w:r>
      <w:r w:rsidR="0003265E" w:rsidRPr="00193A9A">
        <w:rPr>
          <w:noProof/>
        </w:rPr>
        <w:t>and Employment Equality Directive</w:t>
      </w:r>
      <w:r w:rsidRPr="00193A9A">
        <w:rPr>
          <w:noProof/>
        </w:rPr>
        <w:t xml:space="preserve"> in the context of algorithmic discrimination.</w:t>
      </w:r>
    </w:p>
    <w:p w14:paraId="4D904D03" w14:textId="4F32D56F" w:rsidR="00CE3F60" w:rsidRPr="00193A9A" w:rsidRDefault="00CE3F60" w:rsidP="00CE3F60">
      <w:pPr>
        <w:pStyle w:val="Text2"/>
        <w:ind w:left="475"/>
        <w:rPr>
          <w:noProof/>
        </w:rPr>
      </w:pPr>
      <w:r w:rsidRPr="00193A9A">
        <w:rPr>
          <w:noProof/>
        </w:rPr>
        <w:t xml:space="preserve">In several </w:t>
      </w:r>
      <w:r w:rsidR="00E21AA7" w:rsidRPr="00193A9A">
        <w:rPr>
          <w:noProof/>
        </w:rPr>
        <w:t>Member States</w:t>
      </w:r>
      <w:r w:rsidRPr="00193A9A">
        <w:rPr>
          <w:noProof/>
        </w:rPr>
        <w:t>, equality bodies already have pre-existing arrangements with regulatory authorities, including data protection authorities.</w:t>
      </w:r>
    </w:p>
    <w:tbl>
      <w:tblPr>
        <w:tblStyle w:val="EurolookClassicPurple2"/>
        <w:tblW w:w="0" w:type="auto"/>
        <w:tblInd w:w="442" w:type="dxa"/>
        <w:tblLook w:val="0620" w:firstRow="1" w:lastRow="0" w:firstColumn="0" w:lastColumn="0" w:noHBand="1" w:noVBand="1"/>
      </w:tblPr>
      <w:tblGrid>
        <w:gridCol w:w="8160"/>
      </w:tblGrid>
      <w:tr w:rsidR="00CE3F60" w:rsidRPr="00193A9A" w14:paraId="495E998C" w14:textId="77777777" w:rsidTr="003C5064">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4E7849"/>
          </w:tcPr>
          <w:p w14:paraId="33E73EBD" w14:textId="3D558DEC" w:rsidR="00CE3F60" w:rsidRPr="00193A9A" w:rsidRDefault="00CE3F60" w:rsidP="00526C97">
            <w:pPr>
              <w:pStyle w:val="TableText"/>
              <w:rPr>
                <w:b/>
                <w:bCs/>
                <w:noProof/>
              </w:rPr>
            </w:pPr>
            <w:r w:rsidRPr="00193A9A">
              <w:rPr>
                <w:b/>
                <w:bCs/>
                <w:noProof/>
              </w:rPr>
              <w:t xml:space="preserve">Box </w:t>
            </w:r>
            <w:r w:rsidR="003C5064">
              <w:rPr>
                <w:b/>
                <w:bCs/>
                <w:noProof/>
              </w:rPr>
              <w:t>8</w:t>
            </w:r>
            <w:r w:rsidRPr="00193A9A">
              <w:rPr>
                <w:b/>
                <w:bCs/>
                <w:noProof/>
              </w:rPr>
              <w:t>. Cooperation between equality bodies and other authorities</w:t>
            </w:r>
          </w:p>
        </w:tc>
      </w:tr>
      <w:tr w:rsidR="00CE3F60" w:rsidRPr="00193A9A" w14:paraId="16DF75C9" w14:textId="77777777" w:rsidTr="00526C97">
        <w:trPr>
          <w:cantSplit/>
        </w:trPr>
        <w:tc>
          <w:tcPr>
            <w:tcW w:w="8160" w:type="dxa"/>
          </w:tcPr>
          <w:p w14:paraId="4D35753D" w14:textId="21A56D85" w:rsidR="00CE3F60" w:rsidRPr="00193A9A" w:rsidRDefault="00CE3F60" w:rsidP="00526C97">
            <w:pPr>
              <w:pStyle w:val="Text2"/>
              <w:ind w:left="0"/>
              <w:rPr>
                <w:noProof/>
              </w:rPr>
            </w:pPr>
            <w:r w:rsidRPr="00193A9A">
              <w:rPr>
                <w:noProof/>
              </w:rPr>
              <w:t xml:space="preserve">The Dutch </w:t>
            </w:r>
            <w:r w:rsidR="00E25669">
              <w:rPr>
                <w:noProof/>
              </w:rPr>
              <w:t>e</w:t>
            </w:r>
            <w:r w:rsidRPr="00193A9A">
              <w:rPr>
                <w:noProof/>
              </w:rPr>
              <w:t xml:space="preserve">quality </w:t>
            </w:r>
            <w:r w:rsidR="00E25669">
              <w:rPr>
                <w:noProof/>
              </w:rPr>
              <w:t>b</w:t>
            </w:r>
            <w:r w:rsidRPr="00193A9A">
              <w:rPr>
                <w:noProof/>
              </w:rPr>
              <w:t xml:space="preserve">ody engages proactively with market surveillance authorities. The Finnish Non-Discrimination Ombudsman cooperates with the Finnish Transport and Communication Agency, and the Maltese Commission for the Rights of Persons with Disabilities works with the Malta Competition and Consumer Affairs Authority. Similarly, </w:t>
            </w:r>
            <w:r w:rsidR="003F0F9D">
              <w:rPr>
                <w:noProof/>
              </w:rPr>
              <w:t xml:space="preserve">in France, </w:t>
            </w:r>
            <w:r w:rsidRPr="00193A9A">
              <w:rPr>
                <w:noProof/>
              </w:rPr>
              <w:t>the Defender of Rights is a member of the French Data Protection Authority</w:t>
            </w:r>
            <w:r w:rsidR="00193A9A">
              <w:rPr>
                <w:noProof/>
              </w:rPr>
              <w:t>’</w:t>
            </w:r>
            <w:r w:rsidRPr="00193A9A">
              <w:rPr>
                <w:noProof/>
              </w:rPr>
              <w:t xml:space="preserve">s advisory board, </w:t>
            </w:r>
            <w:r w:rsidRPr="003F0F9D">
              <w:rPr>
                <w:noProof/>
              </w:rPr>
              <w:t xml:space="preserve">providing </w:t>
            </w:r>
            <w:r w:rsidR="003C5064">
              <w:rPr>
                <w:noProof/>
              </w:rPr>
              <w:t xml:space="preserve">therefore </w:t>
            </w:r>
            <w:r w:rsidRPr="003F0F9D">
              <w:rPr>
                <w:noProof/>
              </w:rPr>
              <w:t>a model for</w:t>
            </w:r>
            <w:r w:rsidR="003C5064">
              <w:rPr>
                <w:noProof/>
              </w:rPr>
              <w:t xml:space="preserve"> how to organise</w:t>
            </w:r>
            <w:r w:rsidRPr="003F0F9D">
              <w:rPr>
                <w:noProof/>
              </w:rPr>
              <w:t xml:space="preserve"> regular updates and cooperation</w:t>
            </w:r>
            <w:r w:rsidRPr="00193A9A">
              <w:rPr>
                <w:noProof/>
              </w:rPr>
              <w:t>.</w:t>
            </w:r>
          </w:p>
        </w:tc>
      </w:tr>
    </w:tbl>
    <w:p w14:paraId="0683339F" w14:textId="49259AD6" w:rsidR="005C1E25" w:rsidRPr="00193A9A" w:rsidRDefault="005C1E25" w:rsidP="00D349B8">
      <w:pPr>
        <w:pStyle w:val="Text3"/>
        <w:ind w:left="0"/>
        <w:rPr>
          <w:noProof/>
        </w:rPr>
      </w:pPr>
      <w:bookmarkStart w:id="36" w:name="_Hlk219294061"/>
    </w:p>
    <w:tbl>
      <w:tblPr>
        <w:tblStyle w:val="EurolookClassicPurple2"/>
        <w:tblW w:w="0" w:type="auto"/>
        <w:tblInd w:w="442" w:type="dxa"/>
        <w:tblLook w:val="0620" w:firstRow="1" w:lastRow="0" w:firstColumn="0" w:lastColumn="0" w:noHBand="1" w:noVBand="1"/>
      </w:tblPr>
      <w:tblGrid>
        <w:gridCol w:w="8160"/>
      </w:tblGrid>
      <w:tr w:rsidR="005C1E25" w:rsidRPr="00193A9A" w14:paraId="50635001" w14:textId="77777777" w:rsidTr="003C5064">
        <w:trPr>
          <w:cnfStyle w:val="100000000000" w:firstRow="1" w:lastRow="0" w:firstColumn="0" w:lastColumn="0" w:oddVBand="0" w:evenVBand="0" w:oddHBand="0" w:evenHBand="0" w:firstRowFirstColumn="0" w:firstRowLastColumn="0" w:lastRowFirstColumn="0" w:lastRowLastColumn="0"/>
          <w:cantSplit/>
          <w:tblHeader/>
        </w:trPr>
        <w:tc>
          <w:tcPr>
            <w:tcW w:w="8160" w:type="dxa"/>
            <w:shd w:val="clear" w:color="auto" w:fill="004494"/>
          </w:tcPr>
          <w:p w14:paraId="26DB9156" w14:textId="2B329B83" w:rsidR="005C1E25" w:rsidRPr="00193A9A" w:rsidRDefault="00A6547E" w:rsidP="00373FC3">
            <w:pPr>
              <w:pStyle w:val="TableText"/>
              <w:rPr>
                <w:b/>
                <w:bCs/>
                <w:noProof/>
              </w:rPr>
            </w:pPr>
            <w:r>
              <w:rPr>
                <w:b/>
                <w:bCs/>
                <w:noProof/>
              </w:rPr>
              <w:t>Conclusions</w:t>
            </w:r>
          </w:p>
        </w:tc>
      </w:tr>
      <w:tr w:rsidR="005C1E25" w:rsidRPr="00193A9A" w14:paraId="0290AF74" w14:textId="77777777" w:rsidTr="00373FC3">
        <w:trPr>
          <w:cantSplit/>
        </w:trPr>
        <w:tc>
          <w:tcPr>
            <w:tcW w:w="8160" w:type="dxa"/>
          </w:tcPr>
          <w:p w14:paraId="77B835C1" w14:textId="577DCB14" w:rsidR="007B1458" w:rsidRDefault="007B1458" w:rsidP="007B1458">
            <w:pPr>
              <w:pStyle w:val="Text2"/>
              <w:ind w:left="0"/>
              <w:rPr>
                <w:noProof/>
              </w:rPr>
            </w:pPr>
            <w:r w:rsidRPr="007B1458">
              <w:rPr>
                <w:i/>
                <w:iCs/>
                <w:noProof/>
              </w:rPr>
              <w:t xml:space="preserve">Member States </w:t>
            </w:r>
            <w:r w:rsidR="002E2650">
              <w:rPr>
                <w:i/>
                <w:iCs/>
                <w:noProof/>
              </w:rPr>
              <w:t>must</w:t>
            </w:r>
            <w:r>
              <w:rPr>
                <w:noProof/>
              </w:rPr>
              <w:t>:</w:t>
            </w:r>
          </w:p>
          <w:p w14:paraId="13FA9B3D" w14:textId="301DE043" w:rsidR="00864499" w:rsidRDefault="005C1E25" w:rsidP="005C1E25">
            <w:pPr>
              <w:pStyle w:val="ListDash2"/>
              <w:rPr>
                <w:noProof/>
              </w:rPr>
            </w:pPr>
            <w:r w:rsidRPr="00193A9A">
              <w:rPr>
                <w:noProof/>
              </w:rPr>
              <w:t xml:space="preserve">continue </w:t>
            </w:r>
            <w:r w:rsidR="00E21BE3">
              <w:rPr>
                <w:noProof/>
              </w:rPr>
              <w:t xml:space="preserve">their efforts to </w:t>
            </w:r>
            <w:r w:rsidRPr="00193A9A">
              <w:rPr>
                <w:noProof/>
              </w:rPr>
              <w:t>strengthen enforcement of the Directives, including in cases of algorithmic discrimination.</w:t>
            </w:r>
          </w:p>
          <w:p w14:paraId="5D0B0091" w14:textId="536488E6" w:rsidR="001A1C05" w:rsidRDefault="001A1C05" w:rsidP="001A1C05">
            <w:pPr>
              <w:pStyle w:val="Text2"/>
              <w:ind w:left="0"/>
              <w:rPr>
                <w:noProof/>
              </w:rPr>
            </w:pPr>
            <w:r w:rsidRPr="00B61149">
              <w:rPr>
                <w:i/>
                <w:iCs/>
                <w:noProof/>
              </w:rPr>
              <w:t xml:space="preserve">Member States </w:t>
            </w:r>
            <w:r>
              <w:rPr>
                <w:i/>
                <w:iCs/>
                <w:noProof/>
              </w:rPr>
              <w:t>should</w:t>
            </w:r>
            <w:r>
              <w:rPr>
                <w:noProof/>
              </w:rPr>
              <w:t>:</w:t>
            </w:r>
          </w:p>
          <w:p w14:paraId="0BC56A42" w14:textId="6E5C88D0" w:rsidR="005C1E25" w:rsidRDefault="00864499" w:rsidP="005C1E25">
            <w:pPr>
              <w:pStyle w:val="ListDash2"/>
              <w:rPr>
                <w:noProof/>
              </w:rPr>
            </w:pPr>
            <w:r>
              <w:rPr>
                <w:noProof/>
              </w:rPr>
              <w:t xml:space="preserve">ensure effective cooperation between </w:t>
            </w:r>
            <w:r w:rsidR="002E2650">
              <w:rPr>
                <w:noProof/>
              </w:rPr>
              <w:t xml:space="preserve">relevant </w:t>
            </w:r>
            <w:r>
              <w:rPr>
                <w:noProof/>
              </w:rPr>
              <w:t>equality bodies and market surveillance authorities under the Artificial Intelligence Act.</w:t>
            </w:r>
          </w:p>
          <w:p w14:paraId="13361ACC" w14:textId="72245C22" w:rsidR="007B1458" w:rsidRPr="00193A9A" w:rsidRDefault="007B1458" w:rsidP="007B1458">
            <w:pPr>
              <w:pStyle w:val="ListDash2"/>
              <w:numPr>
                <w:ilvl w:val="0"/>
                <w:numId w:val="0"/>
              </w:numPr>
              <w:rPr>
                <w:noProof/>
              </w:rPr>
            </w:pPr>
            <w:r w:rsidRPr="00B61149">
              <w:rPr>
                <w:i/>
                <w:iCs/>
                <w:noProof/>
              </w:rPr>
              <w:t>The Commission is committed</w:t>
            </w:r>
            <w:r>
              <w:rPr>
                <w:i/>
                <w:iCs/>
                <w:noProof/>
              </w:rPr>
              <w:t xml:space="preserve"> to</w:t>
            </w:r>
            <w:r>
              <w:rPr>
                <w:noProof/>
              </w:rPr>
              <w:t>:</w:t>
            </w:r>
          </w:p>
          <w:p w14:paraId="0027666A" w14:textId="296059D9" w:rsidR="00864499" w:rsidRPr="00193A9A" w:rsidRDefault="005C1E25" w:rsidP="001A1C05">
            <w:pPr>
              <w:pStyle w:val="ListDash2"/>
              <w:rPr>
                <w:noProof/>
              </w:rPr>
            </w:pPr>
            <w:r w:rsidRPr="00193A9A">
              <w:rPr>
                <w:noProof/>
              </w:rPr>
              <w:t>facilitat</w:t>
            </w:r>
            <w:r w:rsidR="00E21BE3">
              <w:rPr>
                <w:noProof/>
              </w:rPr>
              <w:t>ing</w:t>
            </w:r>
            <w:r w:rsidRPr="00193A9A">
              <w:rPr>
                <w:noProof/>
              </w:rPr>
              <w:t xml:space="preserve"> cross-authority exchanges and shar</w:t>
            </w:r>
            <w:r w:rsidR="00E21BE3">
              <w:rPr>
                <w:noProof/>
              </w:rPr>
              <w:t>ing</w:t>
            </w:r>
            <w:r w:rsidRPr="00193A9A">
              <w:rPr>
                <w:noProof/>
              </w:rPr>
              <w:t xml:space="preserve"> knowledge on AI systems and combating algorithmic discrimination </w:t>
            </w:r>
            <w:r w:rsidR="006E5353">
              <w:rPr>
                <w:noProof/>
              </w:rPr>
              <w:t>with</w:t>
            </w:r>
            <w:r w:rsidR="00C056D6">
              <w:rPr>
                <w:noProof/>
              </w:rPr>
              <w:t xml:space="preserve"> the</w:t>
            </w:r>
            <w:r w:rsidR="006E5353" w:rsidRPr="00193A9A">
              <w:rPr>
                <w:noProof/>
              </w:rPr>
              <w:t xml:space="preserve"> </w:t>
            </w:r>
            <w:r w:rsidRPr="00193A9A">
              <w:rPr>
                <w:noProof/>
              </w:rPr>
              <w:t>relevant institutions</w:t>
            </w:r>
            <w:r w:rsidR="007B1458">
              <w:rPr>
                <w:noProof/>
              </w:rPr>
              <w:t>, b</w:t>
            </w:r>
            <w:r w:rsidR="007B1458" w:rsidRPr="00193A9A">
              <w:rPr>
                <w:noProof/>
              </w:rPr>
              <w:t>uilding on the ongoing TSI project to better equip institutions fighting new forms of discrimination</w:t>
            </w:r>
            <w:r w:rsidR="007B1458">
              <w:rPr>
                <w:noProof/>
              </w:rPr>
              <w:t>.</w:t>
            </w:r>
          </w:p>
        </w:tc>
      </w:tr>
    </w:tbl>
    <w:bookmarkEnd w:id="36"/>
    <w:p w14:paraId="094C4EFB" w14:textId="5448C38F" w:rsidR="002676FD" w:rsidRPr="00193A9A" w:rsidRDefault="002676FD" w:rsidP="00C16A56">
      <w:pPr>
        <w:pStyle w:val="Heading1"/>
        <w:rPr>
          <w:noProof/>
        </w:rPr>
      </w:pPr>
      <w:r w:rsidRPr="00193A9A">
        <w:rPr>
          <w:noProof/>
        </w:rPr>
        <w:t>Conclusions</w:t>
      </w:r>
      <w:bookmarkEnd w:id="34"/>
      <w:bookmarkEnd w:id="35"/>
    </w:p>
    <w:p w14:paraId="7ABF0B5A" w14:textId="3227B2B1" w:rsidR="00BA6B50" w:rsidRPr="00193A9A" w:rsidRDefault="00BA6B50" w:rsidP="00BA6B50">
      <w:pPr>
        <w:pStyle w:val="Text1"/>
        <w:rPr>
          <w:noProof/>
        </w:rPr>
      </w:pPr>
      <w:bookmarkStart w:id="37" w:name="_Hlk214371270"/>
      <w:r w:rsidRPr="00193A9A">
        <w:rPr>
          <w:noProof/>
        </w:rPr>
        <w:t xml:space="preserve">Since the last report on the application of the Directives, the EU has </w:t>
      </w:r>
      <w:r w:rsidR="007B1458">
        <w:rPr>
          <w:noProof/>
        </w:rPr>
        <w:t xml:space="preserve">remained firmly </w:t>
      </w:r>
      <w:r w:rsidR="00104853">
        <w:rPr>
          <w:noProof/>
        </w:rPr>
        <w:t>committed</w:t>
      </w:r>
      <w:r w:rsidR="002832F7" w:rsidRPr="00193A9A">
        <w:rPr>
          <w:noProof/>
        </w:rPr>
        <w:t xml:space="preserve"> </w:t>
      </w:r>
      <w:r w:rsidRPr="00193A9A">
        <w:rPr>
          <w:noProof/>
        </w:rPr>
        <w:t>to equality and to implement</w:t>
      </w:r>
      <w:r w:rsidR="0072350A">
        <w:rPr>
          <w:noProof/>
        </w:rPr>
        <w:t>ing</w:t>
      </w:r>
      <w:r w:rsidRPr="00193A9A">
        <w:rPr>
          <w:noProof/>
        </w:rPr>
        <w:t xml:space="preserve"> EU </w:t>
      </w:r>
      <w:r w:rsidR="005F454A" w:rsidRPr="00193A9A">
        <w:rPr>
          <w:noProof/>
        </w:rPr>
        <w:t xml:space="preserve">non-discrimination </w:t>
      </w:r>
      <w:r w:rsidRPr="00193A9A">
        <w:rPr>
          <w:noProof/>
        </w:rPr>
        <w:t xml:space="preserve">law. </w:t>
      </w:r>
      <w:r w:rsidR="00081A8D" w:rsidRPr="00193A9A">
        <w:rPr>
          <w:noProof/>
        </w:rPr>
        <w:t xml:space="preserve">It has implemented the Union of Equality strategies, </w:t>
      </w:r>
      <w:r w:rsidR="007B1458">
        <w:rPr>
          <w:noProof/>
        </w:rPr>
        <w:t>adopted new strategies on anti-racism, LGBTIQ+ equality and gender equality</w:t>
      </w:r>
      <w:r w:rsidR="00C35E1B">
        <w:rPr>
          <w:noProof/>
        </w:rPr>
        <w:t>, adopted enhanced strategy for the rights of persons with disabilities,</w:t>
      </w:r>
      <w:r w:rsidR="00081A8D" w:rsidRPr="00193A9A">
        <w:rPr>
          <w:noProof/>
        </w:rPr>
        <w:t xml:space="preserve"> and given the enforcement of non-discrimination </w:t>
      </w:r>
      <w:r w:rsidRPr="00193A9A">
        <w:rPr>
          <w:noProof/>
        </w:rPr>
        <w:t>rules</w:t>
      </w:r>
      <w:r w:rsidR="00081A8D" w:rsidRPr="00193A9A">
        <w:rPr>
          <w:noProof/>
        </w:rPr>
        <w:t xml:space="preserve"> </w:t>
      </w:r>
      <w:r w:rsidR="0072350A" w:rsidRPr="00193A9A">
        <w:rPr>
          <w:noProof/>
        </w:rPr>
        <w:t xml:space="preserve">a new impetus </w:t>
      </w:r>
      <w:r w:rsidR="0072350A">
        <w:rPr>
          <w:noProof/>
        </w:rPr>
        <w:t>by</w:t>
      </w:r>
      <w:r w:rsidR="00081A8D" w:rsidRPr="00193A9A">
        <w:rPr>
          <w:noProof/>
        </w:rPr>
        <w:t xml:space="preserve"> adopt</w:t>
      </w:r>
      <w:r w:rsidR="0072350A">
        <w:rPr>
          <w:noProof/>
        </w:rPr>
        <w:t>ing</w:t>
      </w:r>
      <w:r w:rsidR="00081A8D" w:rsidRPr="00193A9A">
        <w:rPr>
          <w:noProof/>
        </w:rPr>
        <w:t xml:space="preserve"> </w:t>
      </w:r>
      <w:r w:rsidR="00834A95" w:rsidRPr="00193A9A">
        <w:rPr>
          <w:noProof/>
        </w:rPr>
        <w:t xml:space="preserve">the </w:t>
      </w:r>
      <w:r w:rsidR="005E2A67" w:rsidRPr="00193A9A">
        <w:rPr>
          <w:noProof/>
        </w:rPr>
        <w:t>E</w:t>
      </w:r>
      <w:r w:rsidR="00081A8D" w:rsidRPr="00193A9A">
        <w:rPr>
          <w:noProof/>
        </w:rPr>
        <w:t xml:space="preserve">quality </w:t>
      </w:r>
      <w:r w:rsidR="005E2A67" w:rsidRPr="00193A9A">
        <w:rPr>
          <w:noProof/>
        </w:rPr>
        <w:t>B</w:t>
      </w:r>
      <w:r w:rsidR="00081A8D" w:rsidRPr="00193A9A">
        <w:rPr>
          <w:noProof/>
        </w:rPr>
        <w:t xml:space="preserve">odies </w:t>
      </w:r>
      <w:r w:rsidR="00834A95" w:rsidRPr="00193A9A">
        <w:rPr>
          <w:noProof/>
        </w:rPr>
        <w:t>Directives</w:t>
      </w:r>
      <w:r w:rsidR="00081A8D" w:rsidRPr="00193A9A">
        <w:rPr>
          <w:noProof/>
        </w:rPr>
        <w:t xml:space="preserve">. </w:t>
      </w:r>
      <w:r w:rsidRPr="00193A9A">
        <w:rPr>
          <w:noProof/>
        </w:rPr>
        <w:t xml:space="preserve">The Commission has also continued to support the practical implementation of </w:t>
      </w:r>
      <w:r w:rsidR="005F454A" w:rsidRPr="00193A9A">
        <w:rPr>
          <w:noProof/>
        </w:rPr>
        <w:t xml:space="preserve">non-discrimination </w:t>
      </w:r>
      <w:r w:rsidRPr="00193A9A">
        <w:rPr>
          <w:noProof/>
        </w:rPr>
        <w:t>law.</w:t>
      </w:r>
    </w:p>
    <w:p w14:paraId="2F5BFADF" w14:textId="38C696CD" w:rsidR="00C5313B" w:rsidRPr="00193A9A" w:rsidRDefault="00BA6B50" w:rsidP="00717D9F">
      <w:pPr>
        <w:pStyle w:val="Text1"/>
        <w:rPr>
          <w:noProof/>
        </w:rPr>
      </w:pPr>
      <w:r w:rsidRPr="00193A9A">
        <w:rPr>
          <w:noProof/>
        </w:rPr>
        <w:t xml:space="preserve">The report highlights some positive trends. For example, awareness of support services for discrimination victims has grown </w:t>
      </w:r>
      <w:r w:rsidR="002C65AC">
        <w:rPr>
          <w:noProof/>
        </w:rPr>
        <w:t xml:space="preserve">slightly </w:t>
      </w:r>
      <w:r w:rsidRPr="00193A9A">
        <w:rPr>
          <w:noProof/>
        </w:rPr>
        <w:t>among certain groups. Most Member States did not report major difficulties in applying key concepts of EU non-discrimination law</w:t>
      </w:r>
      <w:r w:rsidR="003562D5" w:rsidRPr="00193A9A">
        <w:rPr>
          <w:noProof/>
        </w:rPr>
        <w:t xml:space="preserve"> and </w:t>
      </w:r>
      <w:r w:rsidR="000B5FBE" w:rsidRPr="00193A9A">
        <w:rPr>
          <w:noProof/>
        </w:rPr>
        <w:t xml:space="preserve">many </w:t>
      </w:r>
      <w:r w:rsidR="003562D5" w:rsidRPr="00193A9A">
        <w:rPr>
          <w:noProof/>
        </w:rPr>
        <w:t>shared positive</w:t>
      </w:r>
      <w:r w:rsidR="00717D9F" w:rsidRPr="00193A9A">
        <w:rPr>
          <w:noProof/>
        </w:rPr>
        <w:t xml:space="preserve"> and extendable</w:t>
      </w:r>
      <w:r w:rsidR="003562D5" w:rsidRPr="00193A9A">
        <w:rPr>
          <w:noProof/>
        </w:rPr>
        <w:t xml:space="preserve"> </w:t>
      </w:r>
      <w:r w:rsidR="003562D5" w:rsidRPr="0072350A">
        <w:rPr>
          <w:noProof/>
        </w:rPr>
        <w:t>practices</w:t>
      </w:r>
      <w:r w:rsidRPr="00193A9A">
        <w:rPr>
          <w:noProof/>
        </w:rPr>
        <w:t>.</w:t>
      </w:r>
      <w:r w:rsidR="00717D9F" w:rsidRPr="00193A9A">
        <w:rPr>
          <w:noProof/>
        </w:rPr>
        <w:t xml:space="preserve"> In addition, the CJEU has handed down judgments that will </w:t>
      </w:r>
      <w:r w:rsidR="00633844">
        <w:rPr>
          <w:noProof/>
        </w:rPr>
        <w:t>provide important clarification of the</w:t>
      </w:r>
      <w:r w:rsidR="00717D9F" w:rsidRPr="00193A9A">
        <w:rPr>
          <w:noProof/>
        </w:rPr>
        <w:t xml:space="preserve"> Directives</w:t>
      </w:r>
      <w:r w:rsidR="00633844">
        <w:rPr>
          <w:noProof/>
        </w:rPr>
        <w:t>’ concepts</w:t>
      </w:r>
      <w:r w:rsidR="00717D9F" w:rsidRPr="00193A9A">
        <w:rPr>
          <w:noProof/>
        </w:rPr>
        <w:t>.</w:t>
      </w:r>
      <w:r w:rsidRPr="00193A9A">
        <w:rPr>
          <w:noProof/>
        </w:rPr>
        <w:t xml:space="preserve"> </w:t>
      </w:r>
      <w:r w:rsidR="003562D5" w:rsidRPr="00193A9A">
        <w:rPr>
          <w:noProof/>
        </w:rPr>
        <w:t>T</w:t>
      </w:r>
      <w:r w:rsidR="000C15A5" w:rsidRPr="00193A9A">
        <w:rPr>
          <w:noProof/>
        </w:rPr>
        <w:t>he Directives</w:t>
      </w:r>
      <w:r w:rsidRPr="00193A9A">
        <w:rPr>
          <w:noProof/>
        </w:rPr>
        <w:t xml:space="preserve"> </w:t>
      </w:r>
      <w:r w:rsidR="00717D9F" w:rsidRPr="00193A9A">
        <w:rPr>
          <w:noProof/>
        </w:rPr>
        <w:t xml:space="preserve">also </w:t>
      </w:r>
      <w:r w:rsidR="00EB7ACF" w:rsidRPr="00193A9A">
        <w:rPr>
          <w:noProof/>
        </w:rPr>
        <w:t xml:space="preserve">appear to </w:t>
      </w:r>
      <w:r w:rsidRPr="00193A9A">
        <w:rPr>
          <w:noProof/>
        </w:rPr>
        <w:t>provide adaptable and effective tools to tackle discrimination in an evolving societal landscape.</w:t>
      </w:r>
    </w:p>
    <w:p w14:paraId="3D1FFAE4" w14:textId="298727D3" w:rsidR="00717D9F" w:rsidRPr="00193A9A" w:rsidRDefault="00717D9F" w:rsidP="001A006C">
      <w:pPr>
        <w:pStyle w:val="Text1"/>
        <w:rPr>
          <w:noProof/>
        </w:rPr>
      </w:pPr>
      <w:r w:rsidRPr="00193A9A">
        <w:rPr>
          <w:noProof/>
        </w:rPr>
        <w:t>Most Member States have made efforts to improve access to justice for victims of discrimination and to cooperate with relevant social and civil society partners. They have also adopted positive measures to address disadvantages linked to protected characteristics.</w:t>
      </w:r>
    </w:p>
    <w:p w14:paraId="2CDAD857" w14:textId="3EF68D0F" w:rsidR="001A006C" w:rsidRPr="00193A9A" w:rsidRDefault="001A006C" w:rsidP="001A006C">
      <w:pPr>
        <w:pStyle w:val="Text1"/>
        <w:rPr>
          <w:noProof/>
        </w:rPr>
      </w:pPr>
      <w:r w:rsidRPr="00193A9A">
        <w:rPr>
          <w:noProof/>
        </w:rPr>
        <w:t>Nonetheless</w:t>
      </w:r>
      <w:r w:rsidR="00BA6B50" w:rsidRPr="00193A9A">
        <w:rPr>
          <w:noProof/>
        </w:rPr>
        <w:t xml:space="preserve">, Member States </w:t>
      </w:r>
      <w:r w:rsidR="001A1C05">
        <w:rPr>
          <w:noProof/>
        </w:rPr>
        <w:t>must</w:t>
      </w:r>
      <w:r w:rsidR="001A1C05" w:rsidRPr="00193A9A">
        <w:rPr>
          <w:noProof/>
        </w:rPr>
        <w:t xml:space="preserve"> </w:t>
      </w:r>
      <w:r w:rsidRPr="00193A9A">
        <w:rPr>
          <w:noProof/>
        </w:rPr>
        <w:t xml:space="preserve">continue </w:t>
      </w:r>
      <w:r w:rsidR="00BA6B50" w:rsidRPr="00193A9A">
        <w:rPr>
          <w:noProof/>
        </w:rPr>
        <w:t xml:space="preserve">their efforts to apply </w:t>
      </w:r>
      <w:r w:rsidRPr="00193A9A">
        <w:rPr>
          <w:noProof/>
        </w:rPr>
        <w:t xml:space="preserve">the Directives </w:t>
      </w:r>
      <w:r w:rsidR="00BA6B50" w:rsidRPr="00193A9A">
        <w:rPr>
          <w:noProof/>
        </w:rPr>
        <w:t xml:space="preserve">in </w:t>
      </w:r>
      <w:r w:rsidR="00BA6B50" w:rsidRPr="0041577F">
        <w:rPr>
          <w:noProof/>
        </w:rPr>
        <w:t>practice</w:t>
      </w:r>
      <w:r w:rsidR="00BA6B50" w:rsidRPr="00193A9A">
        <w:rPr>
          <w:noProof/>
        </w:rPr>
        <w:t>.</w:t>
      </w:r>
      <w:r w:rsidR="00CE58D4" w:rsidRPr="00193A9A">
        <w:rPr>
          <w:noProof/>
        </w:rPr>
        <w:t xml:space="preserve"> </w:t>
      </w:r>
      <w:r w:rsidR="00BA6B50" w:rsidRPr="00193A9A">
        <w:rPr>
          <w:noProof/>
        </w:rPr>
        <w:t>In particular,</w:t>
      </w:r>
      <w:r w:rsidRPr="00193A9A">
        <w:rPr>
          <w:noProof/>
        </w:rPr>
        <w:t xml:space="preserve"> </w:t>
      </w:r>
      <w:r w:rsidR="00633844" w:rsidRPr="00B61149">
        <w:rPr>
          <w:b/>
          <w:bCs/>
          <w:noProof/>
        </w:rPr>
        <w:t>i</w:t>
      </w:r>
      <w:r w:rsidRPr="00193A9A">
        <w:rPr>
          <w:b/>
          <w:bCs/>
          <w:noProof/>
        </w:rPr>
        <w:t xml:space="preserve">t is </w:t>
      </w:r>
      <w:r w:rsidR="0041577F">
        <w:rPr>
          <w:b/>
          <w:bCs/>
          <w:noProof/>
        </w:rPr>
        <w:t>vital</w:t>
      </w:r>
      <w:r w:rsidR="0041577F" w:rsidRPr="00193A9A">
        <w:rPr>
          <w:b/>
          <w:bCs/>
          <w:noProof/>
        </w:rPr>
        <w:t xml:space="preserve"> </w:t>
      </w:r>
      <w:r w:rsidRPr="00193A9A">
        <w:rPr>
          <w:b/>
          <w:bCs/>
          <w:noProof/>
        </w:rPr>
        <w:t xml:space="preserve">that sanctions are </w:t>
      </w:r>
      <w:r w:rsidR="00633844">
        <w:rPr>
          <w:b/>
          <w:bCs/>
          <w:noProof/>
        </w:rPr>
        <w:t>effective</w:t>
      </w:r>
      <w:r w:rsidRPr="00193A9A">
        <w:rPr>
          <w:b/>
          <w:bCs/>
          <w:noProof/>
        </w:rPr>
        <w:t>, with amounts that reflect the long-term harm caused by discrimination</w:t>
      </w:r>
      <w:r w:rsidRPr="00193A9A">
        <w:rPr>
          <w:noProof/>
        </w:rPr>
        <w:t xml:space="preserve">, provide redress for victims and drive </w:t>
      </w:r>
      <w:r w:rsidR="00DF78B8" w:rsidRPr="00193A9A">
        <w:rPr>
          <w:noProof/>
        </w:rPr>
        <w:t>a profound</w:t>
      </w:r>
      <w:r w:rsidRPr="00193A9A">
        <w:rPr>
          <w:noProof/>
        </w:rPr>
        <w:t xml:space="preserve"> change.</w:t>
      </w:r>
    </w:p>
    <w:p w14:paraId="14CD2207" w14:textId="17A95A72" w:rsidR="00CE58D4" w:rsidRPr="00193A9A" w:rsidRDefault="00785E6F" w:rsidP="001A006C">
      <w:pPr>
        <w:pStyle w:val="Text1"/>
        <w:rPr>
          <w:noProof/>
        </w:rPr>
      </w:pPr>
      <w:r>
        <w:rPr>
          <w:noProof/>
        </w:rPr>
        <w:t>Efforts to r</w:t>
      </w:r>
      <w:r w:rsidR="00BA6B50" w:rsidRPr="00193A9A">
        <w:rPr>
          <w:noProof/>
        </w:rPr>
        <w:t>ais</w:t>
      </w:r>
      <w:r>
        <w:rPr>
          <w:noProof/>
        </w:rPr>
        <w:t>e</w:t>
      </w:r>
      <w:r w:rsidR="00BA6B50" w:rsidRPr="00193A9A">
        <w:rPr>
          <w:noProof/>
        </w:rPr>
        <w:t xml:space="preserve"> awareness of the rights and obligations set out in the Directives should target specific protected groups, while making use of the expertise and outreach of civil society and social partners.</w:t>
      </w:r>
    </w:p>
    <w:p w14:paraId="7E3AEAD5" w14:textId="105380C9" w:rsidR="00E52F3C" w:rsidRPr="00193A9A" w:rsidRDefault="00AF1DF2" w:rsidP="000C15A5">
      <w:pPr>
        <w:pStyle w:val="Text1"/>
        <w:rPr>
          <w:noProof/>
        </w:rPr>
      </w:pPr>
      <w:r w:rsidRPr="00193A9A">
        <w:rPr>
          <w:noProof/>
        </w:rPr>
        <w:t>V</w:t>
      </w:r>
      <w:r w:rsidR="00BA6B50" w:rsidRPr="00193A9A">
        <w:rPr>
          <w:noProof/>
        </w:rPr>
        <w:t xml:space="preserve">ictims of discrimination and their representatives </w:t>
      </w:r>
      <w:r w:rsidR="00AB5B60">
        <w:rPr>
          <w:noProof/>
        </w:rPr>
        <w:t>must</w:t>
      </w:r>
      <w:r w:rsidR="00AB5B60" w:rsidRPr="00193A9A">
        <w:rPr>
          <w:noProof/>
        </w:rPr>
        <w:t xml:space="preserve"> </w:t>
      </w:r>
      <w:r w:rsidR="00BA6B50" w:rsidRPr="00193A9A">
        <w:rPr>
          <w:noProof/>
        </w:rPr>
        <w:t>have easy access to the relevant evidence</w:t>
      </w:r>
      <w:r w:rsidRPr="00193A9A">
        <w:rPr>
          <w:noProof/>
        </w:rPr>
        <w:t>, including statistical data,</w:t>
      </w:r>
      <w:r w:rsidR="00BA6B50" w:rsidRPr="00193A9A">
        <w:rPr>
          <w:noProof/>
        </w:rPr>
        <w:t xml:space="preserve"> needed to demonstrate discrimination and shift the burden of proof onto the defendants</w:t>
      </w:r>
      <w:r w:rsidR="00E52F3C" w:rsidRPr="00193A9A">
        <w:rPr>
          <w:noProof/>
        </w:rPr>
        <w:t>.</w:t>
      </w:r>
    </w:p>
    <w:p w14:paraId="62C3B681" w14:textId="12608F0E" w:rsidR="001A006C" w:rsidRPr="00B700C2" w:rsidRDefault="008C28F3" w:rsidP="00661A34">
      <w:pPr>
        <w:pStyle w:val="Text1"/>
        <w:rPr>
          <w:noProof/>
        </w:rPr>
      </w:pPr>
      <w:r w:rsidRPr="00193A9A">
        <w:rPr>
          <w:noProof/>
        </w:rPr>
        <w:t>In addition</w:t>
      </w:r>
      <w:r w:rsidR="00BA6B50" w:rsidRPr="00193A9A">
        <w:rPr>
          <w:noProof/>
        </w:rPr>
        <w:t>,</w:t>
      </w:r>
      <w:r w:rsidR="000A0FCB" w:rsidRPr="00193A9A">
        <w:rPr>
          <w:noProof/>
        </w:rPr>
        <w:t xml:space="preserve"> </w:t>
      </w:r>
      <w:r w:rsidR="00BA6B50" w:rsidRPr="00193A9A">
        <w:rPr>
          <w:noProof/>
        </w:rPr>
        <w:t xml:space="preserve">Member States should make it easier to use collective redress in discrimination cases and </w:t>
      </w:r>
      <w:r w:rsidR="00656410">
        <w:rPr>
          <w:noProof/>
        </w:rPr>
        <w:t xml:space="preserve">must </w:t>
      </w:r>
      <w:r w:rsidR="00BA6B50" w:rsidRPr="00193A9A">
        <w:rPr>
          <w:noProof/>
        </w:rPr>
        <w:t xml:space="preserve">encourage </w:t>
      </w:r>
      <w:r w:rsidR="00BA6B50" w:rsidRPr="00B700C2">
        <w:rPr>
          <w:noProof/>
        </w:rPr>
        <w:t>collaboration between regulatory authorities, civil society and social partners.</w:t>
      </w:r>
    </w:p>
    <w:bookmarkEnd w:id="37"/>
    <w:p w14:paraId="0D59E682" w14:textId="2CE78CAA" w:rsidR="004802A3" w:rsidRPr="00193A9A" w:rsidRDefault="003765FB" w:rsidP="00440F59">
      <w:pPr>
        <w:pStyle w:val="Text1"/>
        <w:rPr>
          <w:noProof/>
        </w:rPr>
      </w:pPr>
      <w:r w:rsidRPr="00B700C2">
        <w:rPr>
          <w:noProof/>
        </w:rPr>
        <w:t>On the basis of</w:t>
      </w:r>
      <w:r w:rsidR="00BA6B50" w:rsidRPr="00B700C2">
        <w:rPr>
          <w:noProof/>
        </w:rPr>
        <w:t xml:space="preserve"> the report</w:t>
      </w:r>
      <w:r w:rsidR="00193A9A" w:rsidRPr="00B700C2">
        <w:rPr>
          <w:noProof/>
        </w:rPr>
        <w:t>’</w:t>
      </w:r>
      <w:r w:rsidR="00BA6B50" w:rsidRPr="00B700C2">
        <w:rPr>
          <w:noProof/>
        </w:rPr>
        <w:t xml:space="preserve">s findings, </w:t>
      </w:r>
      <w:r w:rsidR="00BA6B50" w:rsidRPr="00B700C2">
        <w:rPr>
          <w:b/>
          <w:bCs/>
          <w:noProof/>
        </w:rPr>
        <w:t>Member States</w:t>
      </w:r>
      <w:r w:rsidR="004802A3" w:rsidRPr="00B700C2">
        <w:rPr>
          <w:b/>
          <w:bCs/>
          <w:noProof/>
        </w:rPr>
        <w:t xml:space="preserve"> and</w:t>
      </w:r>
      <w:r w:rsidR="00791AD3" w:rsidRPr="00B700C2">
        <w:rPr>
          <w:b/>
          <w:bCs/>
          <w:noProof/>
        </w:rPr>
        <w:t xml:space="preserve"> </w:t>
      </w:r>
      <w:r w:rsidR="00834A95" w:rsidRPr="00B700C2">
        <w:rPr>
          <w:b/>
          <w:bCs/>
          <w:noProof/>
        </w:rPr>
        <w:t>their equality bodies</w:t>
      </w:r>
      <w:r w:rsidR="00834A95" w:rsidRPr="00B700C2">
        <w:rPr>
          <w:noProof/>
        </w:rPr>
        <w:t xml:space="preserve"> </w:t>
      </w:r>
      <w:r w:rsidR="001A1C05" w:rsidRPr="00B700C2">
        <w:rPr>
          <w:b/>
          <w:bCs/>
          <w:noProof/>
        </w:rPr>
        <w:t>should</w:t>
      </w:r>
      <w:r w:rsidR="000A03E9" w:rsidRPr="00B700C2">
        <w:rPr>
          <w:b/>
          <w:bCs/>
          <w:noProof/>
        </w:rPr>
        <w:t xml:space="preserve"> </w:t>
      </w:r>
      <w:r w:rsidR="00633844" w:rsidRPr="00B700C2">
        <w:rPr>
          <w:b/>
          <w:bCs/>
          <w:noProof/>
        </w:rPr>
        <w:t xml:space="preserve">continue </w:t>
      </w:r>
      <w:r w:rsidR="00EA734D" w:rsidRPr="00B700C2">
        <w:rPr>
          <w:b/>
          <w:bCs/>
          <w:noProof/>
        </w:rPr>
        <w:t>address</w:t>
      </w:r>
      <w:r w:rsidR="00633844" w:rsidRPr="00B700C2">
        <w:rPr>
          <w:b/>
          <w:bCs/>
          <w:noProof/>
        </w:rPr>
        <w:t>ing</w:t>
      </w:r>
      <w:r w:rsidR="00EA734D" w:rsidRPr="00B700C2">
        <w:rPr>
          <w:b/>
          <w:bCs/>
          <w:noProof/>
        </w:rPr>
        <w:t xml:space="preserve"> </w:t>
      </w:r>
      <w:r w:rsidR="00633844" w:rsidRPr="00B700C2">
        <w:rPr>
          <w:b/>
          <w:bCs/>
          <w:noProof/>
        </w:rPr>
        <w:t xml:space="preserve">the various </w:t>
      </w:r>
      <w:r w:rsidR="00EA734D" w:rsidRPr="00B700C2">
        <w:rPr>
          <w:b/>
          <w:bCs/>
          <w:noProof/>
        </w:rPr>
        <w:t xml:space="preserve">challenges </w:t>
      </w:r>
      <w:r w:rsidR="00E10618" w:rsidRPr="00B700C2">
        <w:rPr>
          <w:b/>
          <w:bCs/>
          <w:noProof/>
        </w:rPr>
        <w:t>arising in</w:t>
      </w:r>
      <w:r w:rsidR="00EA734D" w:rsidRPr="00B700C2">
        <w:rPr>
          <w:b/>
          <w:bCs/>
          <w:noProof/>
        </w:rPr>
        <w:t xml:space="preserve"> their domestic law and practice</w:t>
      </w:r>
      <w:r w:rsidR="00EA734D" w:rsidRPr="00B700C2">
        <w:rPr>
          <w:noProof/>
        </w:rPr>
        <w:t xml:space="preserve">. In particular, they </w:t>
      </w:r>
      <w:r w:rsidR="00BA6B50" w:rsidRPr="00B700C2">
        <w:rPr>
          <w:noProof/>
        </w:rPr>
        <w:t xml:space="preserve">could </w:t>
      </w:r>
      <w:r w:rsidR="00C621CA" w:rsidRPr="00B700C2">
        <w:rPr>
          <w:noProof/>
        </w:rPr>
        <w:t xml:space="preserve">provide judges, </w:t>
      </w:r>
      <w:r w:rsidR="00947FD2" w:rsidRPr="00B700C2">
        <w:rPr>
          <w:noProof/>
        </w:rPr>
        <w:t xml:space="preserve">law </w:t>
      </w:r>
      <w:r w:rsidR="00C621CA" w:rsidRPr="00B700C2">
        <w:rPr>
          <w:noProof/>
        </w:rPr>
        <w:t>practitioners and claimants with further guidance and support to help them</w:t>
      </w:r>
      <w:r w:rsidR="00791AD3" w:rsidRPr="00B700C2">
        <w:rPr>
          <w:noProof/>
        </w:rPr>
        <w:t xml:space="preserve"> </w:t>
      </w:r>
      <w:r w:rsidR="00C621CA" w:rsidRPr="00B700C2">
        <w:rPr>
          <w:noProof/>
        </w:rPr>
        <w:t>effectively</w:t>
      </w:r>
      <w:r w:rsidR="00834A95" w:rsidRPr="00B700C2">
        <w:rPr>
          <w:noProof/>
        </w:rPr>
        <w:t xml:space="preserve"> trigger the </w:t>
      </w:r>
      <w:r w:rsidR="00633844" w:rsidRPr="00B700C2">
        <w:rPr>
          <w:noProof/>
        </w:rPr>
        <w:t xml:space="preserve">shift </w:t>
      </w:r>
      <w:r w:rsidR="00834A95" w:rsidRPr="00B700C2">
        <w:rPr>
          <w:noProof/>
        </w:rPr>
        <w:t>of</w:t>
      </w:r>
      <w:r w:rsidR="00834A95" w:rsidRPr="00193A9A">
        <w:rPr>
          <w:noProof/>
        </w:rPr>
        <w:t xml:space="preserve"> the burden of proof rules in discrimination cases</w:t>
      </w:r>
      <w:r w:rsidR="00775759" w:rsidRPr="00193A9A">
        <w:rPr>
          <w:noProof/>
        </w:rPr>
        <w:t>.</w:t>
      </w:r>
      <w:r w:rsidR="00C621CA" w:rsidRPr="00193A9A">
        <w:rPr>
          <w:noProof/>
        </w:rPr>
        <w:t xml:space="preserve"> In parallel, Member States </w:t>
      </w:r>
      <w:r w:rsidR="001A1C05">
        <w:rPr>
          <w:noProof/>
        </w:rPr>
        <w:t>must</w:t>
      </w:r>
      <w:r w:rsidR="001A1C05" w:rsidRPr="00193A9A">
        <w:rPr>
          <w:noProof/>
        </w:rPr>
        <w:t xml:space="preserve"> </w:t>
      </w:r>
      <w:r w:rsidR="00C621CA" w:rsidRPr="00193A9A">
        <w:rPr>
          <w:noProof/>
        </w:rPr>
        <w:t>continue</w:t>
      </w:r>
      <w:r w:rsidR="00C621CA" w:rsidRPr="00193A9A">
        <w:rPr>
          <w:b/>
          <w:bCs/>
          <w:noProof/>
        </w:rPr>
        <w:t xml:space="preserve"> </w:t>
      </w:r>
      <w:r>
        <w:rPr>
          <w:noProof/>
        </w:rPr>
        <w:t xml:space="preserve">their efforts to </w:t>
      </w:r>
      <w:r w:rsidR="003B7273" w:rsidRPr="00193A9A">
        <w:rPr>
          <w:noProof/>
        </w:rPr>
        <w:t xml:space="preserve">strengthen enforcement of </w:t>
      </w:r>
      <w:r w:rsidR="00CA3FBA" w:rsidRPr="00193A9A">
        <w:rPr>
          <w:noProof/>
        </w:rPr>
        <w:t>the Directives</w:t>
      </w:r>
      <w:r w:rsidR="00B40AFC" w:rsidRPr="00193A9A">
        <w:rPr>
          <w:noProof/>
        </w:rPr>
        <w:t>, including</w:t>
      </w:r>
      <w:r w:rsidR="003B7273" w:rsidRPr="00193A9A">
        <w:rPr>
          <w:noProof/>
        </w:rPr>
        <w:t xml:space="preserve"> in cases of algorithmic discrimination. This </w:t>
      </w:r>
      <w:r w:rsidR="00B40AFC" w:rsidRPr="00193A9A">
        <w:rPr>
          <w:noProof/>
        </w:rPr>
        <w:t xml:space="preserve">involves </w:t>
      </w:r>
      <w:r w:rsidR="003B7273" w:rsidRPr="00193A9A">
        <w:rPr>
          <w:noProof/>
        </w:rPr>
        <w:t xml:space="preserve">ensuring full and correct </w:t>
      </w:r>
      <w:r w:rsidR="00C35E1B">
        <w:rPr>
          <w:noProof/>
        </w:rPr>
        <w:t>implementation</w:t>
      </w:r>
      <w:r w:rsidR="00C35E1B" w:rsidRPr="00193A9A">
        <w:rPr>
          <w:noProof/>
        </w:rPr>
        <w:t xml:space="preserve"> </w:t>
      </w:r>
      <w:r w:rsidR="003B7273" w:rsidRPr="00193A9A">
        <w:rPr>
          <w:noProof/>
        </w:rPr>
        <w:t xml:space="preserve">of the </w:t>
      </w:r>
      <w:r w:rsidR="00C621CA" w:rsidRPr="00193A9A">
        <w:rPr>
          <w:noProof/>
        </w:rPr>
        <w:t>E</w:t>
      </w:r>
      <w:r w:rsidR="003B7273" w:rsidRPr="00193A9A">
        <w:rPr>
          <w:noProof/>
        </w:rPr>
        <w:t xml:space="preserve">quality </w:t>
      </w:r>
      <w:r w:rsidR="00C621CA" w:rsidRPr="00193A9A">
        <w:rPr>
          <w:noProof/>
        </w:rPr>
        <w:t>B</w:t>
      </w:r>
      <w:r w:rsidR="003B7273" w:rsidRPr="00193A9A">
        <w:rPr>
          <w:noProof/>
        </w:rPr>
        <w:t xml:space="preserve">odies </w:t>
      </w:r>
      <w:r w:rsidR="001D4F90" w:rsidRPr="00193A9A">
        <w:rPr>
          <w:noProof/>
        </w:rPr>
        <w:t>Directives</w:t>
      </w:r>
      <w:r w:rsidR="003B7273" w:rsidRPr="00193A9A">
        <w:rPr>
          <w:noProof/>
        </w:rPr>
        <w:t>.</w:t>
      </w:r>
    </w:p>
    <w:p w14:paraId="7FD69211" w14:textId="498F7693" w:rsidR="005610FC" w:rsidRPr="00193A9A" w:rsidRDefault="005610FC" w:rsidP="001C121A">
      <w:pPr>
        <w:pStyle w:val="Text1"/>
        <w:rPr>
          <w:noProof/>
        </w:rPr>
      </w:pPr>
      <w:r w:rsidRPr="00193A9A">
        <w:rPr>
          <w:noProof/>
        </w:rPr>
        <w:t xml:space="preserve">The effective application and enforcement of </w:t>
      </w:r>
      <w:r w:rsidR="00CA3FBA" w:rsidRPr="00193A9A">
        <w:rPr>
          <w:noProof/>
        </w:rPr>
        <w:t>the Directives</w:t>
      </w:r>
      <w:r w:rsidRPr="00193A9A">
        <w:rPr>
          <w:noProof/>
        </w:rPr>
        <w:t xml:space="preserve"> requires joint efforts. The Commission will continue </w:t>
      </w:r>
      <w:r w:rsidR="003765FB">
        <w:rPr>
          <w:noProof/>
        </w:rPr>
        <w:t>to work together with</w:t>
      </w:r>
      <w:r w:rsidRPr="00193A9A">
        <w:rPr>
          <w:noProof/>
        </w:rPr>
        <w:t xml:space="preserve"> Member States, equality bodies, </w:t>
      </w:r>
      <w:r w:rsidR="003765FB">
        <w:rPr>
          <w:noProof/>
        </w:rPr>
        <w:t xml:space="preserve">the </w:t>
      </w:r>
      <w:r w:rsidRPr="00193A9A">
        <w:rPr>
          <w:noProof/>
        </w:rPr>
        <w:t xml:space="preserve">FRA, </w:t>
      </w:r>
      <w:r w:rsidR="003765FB">
        <w:rPr>
          <w:noProof/>
        </w:rPr>
        <w:t xml:space="preserve">the </w:t>
      </w:r>
      <w:r w:rsidRPr="00193A9A">
        <w:rPr>
          <w:noProof/>
        </w:rPr>
        <w:t>EIGE, regulators, civil society organisations and social partners to ensure systemic protection for victims</w:t>
      </w:r>
      <w:r w:rsidR="003765FB">
        <w:rPr>
          <w:noProof/>
        </w:rPr>
        <w:t xml:space="preserve"> of discrimination</w:t>
      </w:r>
      <w:r w:rsidRPr="00193A9A">
        <w:rPr>
          <w:noProof/>
        </w:rPr>
        <w:t xml:space="preserve"> and </w:t>
      </w:r>
      <w:r w:rsidR="00C53B71">
        <w:rPr>
          <w:noProof/>
        </w:rPr>
        <w:t xml:space="preserve">to </w:t>
      </w:r>
      <w:r w:rsidRPr="00193A9A">
        <w:rPr>
          <w:noProof/>
        </w:rPr>
        <w:t>fully realise the potential of the Directives.</w:t>
      </w:r>
    </w:p>
    <w:p w14:paraId="3240C95B" w14:textId="23E9DCBB" w:rsidR="004802A3" w:rsidRPr="00193A9A" w:rsidRDefault="00363111" w:rsidP="004802A3">
      <w:pPr>
        <w:pStyle w:val="Text1"/>
        <w:rPr>
          <w:noProof/>
        </w:rPr>
      </w:pPr>
      <w:r w:rsidRPr="00193A9A">
        <w:rPr>
          <w:noProof/>
        </w:rPr>
        <w:t>In addition</w:t>
      </w:r>
      <w:r w:rsidR="004802A3" w:rsidRPr="00193A9A">
        <w:rPr>
          <w:noProof/>
        </w:rPr>
        <w:t xml:space="preserve">, </w:t>
      </w:r>
      <w:r w:rsidR="004802A3" w:rsidRPr="00193A9A">
        <w:rPr>
          <w:b/>
          <w:bCs/>
          <w:noProof/>
        </w:rPr>
        <w:t>the Commission</w:t>
      </w:r>
      <w:r w:rsidR="004802A3" w:rsidRPr="00193A9A">
        <w:rPr>
          <w:noProof/>
        </w:rPr>
        <w:t xml:space="preserve"> </w:t>
      </w:r>
      <w:r w:rsidR="005E2A67" w:rsidRPr="00193A9A">
        <w:rPr>
          <w:noProof/>
        </w:rPr>
        <w:t>is committed to</w:t>
      </w:r>
      <w:r w:rsidR="00672589">
        <w:rPr>
          <w:noProof/>
        </w:rPr>
        <w:t xml:space="preserve"> two further areas of action.</w:t>
      </w:r>
    </w:p>
    <w:p w14:paraId="6447317B" w14:textId="631CD6BF" w:rsidR="00DF47AA" w:rsidRPr="00193A9A" w:rsidRDefault="004603C7" w:rsidP="009361EE">
      <w:pPr>
        <w:pStyle w:val="Text1"/>
        <w:numPr>
          <w:ilvl w:val="0"/>
          <w:numId w:val="30"/>
        </w:numPr>
        <w:rPr>
          <w:noProof/>
        </w:rPr>
      </w:pPr>
      <w:r>
        <w:rPr>
          <w:b/>
          <w:bCs/>
          <w:noProof/>
        </w:rPr>
        <w:t>F</w:t>
      </w:r>
      <w:r w:rsidR="00534F47" w:rsidRPr="00193A9A">
        <w:rPr>
          <w:b/>
          <w:bCs/>
          <w:noProof/>
        </w:rPr>
        <w:t>acilitat</w:t>
      </w:r>
      <w:r w:rsidR="003765FB">
        <w:rPr>
          <w:b/>
          <w:bCs/>
          <w:noProof/>
        </w:rPr>
        <w:t>ing</w:t>
      </w:r>
      <w:r w:rsidR="00534F47" w:rsidRPr="00193A9A">
        <w:rPr>
          <w:b/>
          <w:bCs/>
          <w:noProof/>
        </w:rPr>
        <w:t xml:space="preserve"> regular discussions among Member States</w:t>
      </w:r>
      <w:r w:rsidR="00534F47" w:rsidRPr="00193A9A">
        <w:rPr>
          <w:noProof/>
        </w:rPr>
        <w:t xml:space="preserve"> on the</w:t>
      </w:r>
      <w:r w:rsidR="004802A3" w:rsidRPr="00193A9A">
        <w:rPr>
          <w:noProof/>
        </w:rPr>
        <w:t xml:space="preserve"> above</w:t>
      </w:r>
      <w:r w:rsidR="00534F47" w:rsidRPr="00193A9A">
        <w:rPr>
          <w:noProof/>
        </w:rPr>
        <w:t xml:space="preserve"> topics</w:t>
      </w:r>
      <w:r>
        <w:rPr>
          <w:noProof/>
        </w:rPr>
        <w:t>. These discussion</w:t>
      </w:r>
      <w:r w:rsidR="004660FA">
        <w:rPr>
          <w:noProof/>
        </w:rPr>
        <w:t>s</w:t>
      </w:r>
      <w:r>
        <w:rPr>
          <w:noProof/>
        </w:rPr>
        <w:t xml:space="preserve"> wi</w:t>
      </w:r>
      <w:r w:rsidR="006061F0">
        <w:rPr>
          <w:noProof/>
        </w:rPr>
        <w:t>ll</w:t>
      </w:r>
      <w:r>
        <w:rPr>
          <w:noProof/>
        </w:rPr>
        <w:t xml:space="preserve"> take place</w:t>
      </w:r>
      <w:r w:rsidR="00534F47" w:rsidRPr="00193A9A">
        <w:rPr>
          <w:noProof/>
        </w:rPr>
        <w:t xml:space="preserve"> through the expert group on the implementation of EU equality law, </w:t>
      </w:r>
      <w:r w:rsidR="003765FB">
        <w:rPr>
          <w:noProof/>
        </w:rPr>
        <w:t>which was set up</w:t>
      </w:r>
      <w:r w:rsidR="00534F47" w:rsidRPr="00193A9A">
        <w:rPr>
          <w:noProof/>
        </w:rPr>
        <w:t xml:space="preserve"> </w:t>
      </w:r>
      <w:r w:rsidR="00573B69">
        <w:rPr>
          <w:noProof/>
        </w:rPr>
        <w:t xml:space="preserve">in </w:t>
      </w:r>
      <w:r w:rsidR="00534F47" w:rsidRPr="00193A9A">
        <w:rPr>
          <w:noProof/>
        </w:rPr>
        <w:t>May 2024.</w:t>
      </w:r>
    </w:p>
    <w:p w14:paraId="395FD75C" w14:textId="603B4830" w:rsidR="009361EE" w:rsidRPr="00193A9A" w:rsidRDefault="006061F0" w:rsidP="009361EE">
      <w:pPr>
        <w:pStyle w:val="Text1"/>
        <w:numPr>
          <w:ilvl w:val="0"/>
          <w:numId w:val="30"/>
        </w:numPr>
        <w:rPr>
          <w:noProof/>
        </w:rPr>
      </w:pPr>
      <w:r>
        <w:rPr>
          <w:b/>
          <w:bCs/>
          <w:noProof/>
        </w:rPr>
        <w:t>U</w:t>
      </w:r>
      <w:r w:rsidR="004603C7">
        <w:rPr>
          <w:b/>
          <w:bCs/>
          <w:noProof/>
        </w:rPr>
        <w:t xml:space="preserve">sing EU funding to </w:t>
      </w:r>
      <w:r w:rsidR="00717D9F" w:rsidRPr="00193A9A">
        <w:rPr>
          <w:b/>
          <w:bCs/>
          <w:noProof/>
        </w:rPr>
        <w:t>s</w:t>
      </w:r>
      <w:r w:rsidR="00F75F1D" w:rsidRPr="00193A9A">
        <w:rPr>
          <w:b/>
          <w:bCs/>
          <w:noProof/>
        </w:rPr>
        <w:t xml:space="preserve">upport the capacity of </w:t>
      </w:r>
      <w:r w:rsidR="00954670" w:rsidRPr="00193A9A">
        <w:rPr>
          <w:b/>
          <w:bCs/>
          <w:noProof/>
        </w:rPr>
        <w:t xml:space="preserve">Member States and </w:t>
      </w:r>
      <w:r w:rsidR="00F75F1D" w:rsidRPr="00193A9A">
        <w:rPr>
          <w:b/>
          <w:bCs/>
          <w:noProof/>
        </w:rPr>
        <w:t xml:space="preserve">relevant actors </w:t>
      </w:r>
      <w:r w:rsidR="003765FB">
        <w:rPr>
          <w:b/>
          <w:bCs/>
          <w:noProof/>
        </w:rPr>
        <w:t>to</w:t>
      </w:r>
      <w:r w:rsidR="00F75F1D" w:rsidRPr="00193A9A">
        <w:rPr>
          <w:b/>
          <w:bCs/>
          <w:noProof/>
        </w:rPr>
        <w:t xml:space="preserve"> enforce fundamental rights</w:t>
      </w:r>
      <w:r>
        <w:rPr>
          <w:noProof/>
        </w:rPr>
        <w:t>.</w:t>
      </w:r>
      <w:r w:rsidR="000A03E9" w:rsidRPr="00193A9A">
        <w:rPr>
          <w:noProof/>
        </w:rPr>
        <w:t xml:space="preserve"> </w:t>
      </w:r>
      <w:r>
        <w:rPr>
          <w:noProof/>
        </w:rPr>
        <w:t>F</w:t>
      </w:r>
      <w:r w:rsidR="000A03E9" w:rsidRPr="00193A9A">
        <w:rPr>
          <w:noProof/>
        </w:rPr>
        <w:t xml:space="preserve">or </w:t>
      </w:r>
      <w:r>
        <w:rPr>
          <w:noProof/>
        </w:rPr>
        <w:t>example</w:t>
      </w:r>
      <w:r w:rsidR="002F1780" w:rsidRPr="00193A9A">
        <w:rPr>
          <w:noProof/>
        </w:rPr>
        <w:t>,</w:t>
      </w:r>
      <w:r>
        <w:rPr>
          <w:noProof/>
        </w:rPr>
        <w:t xml:space="preserve"> support could be provided</w:t>
      </w:r>
      <w:r w:rsidR="000A03E9" w:rsidRPr="00193A9A">
        <w:rPr>
          <w:noProof/>
        </w:rPr>
        <w:t xml:space="preserve"> </w:t>
      </w:r>
      <w:r w:rsidR="00F75F1D" w:rsidRPr="00193A9A">
        <w:rPr>
          <w:noProof/>
        </w:rPr>
        <w:t>u</w:t>
      </w:r>
      <w:r w:rsidR="00AD29C7" w:rsidRPr="00193A9A">
        <w:rPr>
          <w:noProof/>
        </w:rPr>
        <w:t>nder the Citizens, Equality, Rights and Values (CERV)</w:t>
      </w:r>
      <w:r w:rsidRPr="006061F0">
        <w:rPr>
          <w:noProof/>
        </w:rPr>
        <w:t xml:space="preserve"> </w:t>
      </w:r>
      <w:r w:rsidRPr="00193A9A">
        <w:rPr>
          <w:noProof/>
        </w:rPr>
        <w:t>programme</w:t>
      </w:r>
      <w:r w:rsidR="007B1458">
        <w:rPr>
          <w:noProof/>
        </w:rPr>
        <w:t xml:space="preserve"> or the future AgoraEU programme</w:t>
      </w:r>
      <w:r w:rsidR="00104853">
        <w:rPr>
          <w:noProof/>
        </w:rPr>
        <w:t xml:space="preserve"> (pending interinstitutional negotiations)</w:t>
      </w:r>
      <w:r w:rsidR="00363111" w:rsidRPr="00193A9A">
        <w:rPr>
          <w:noProof/>
        </w:rPr>
        <w:t>.</w:t>
      </w:r>
      <w:r w:rsidR="00AD29C7" w:rsidRPr="00193A9A">
        <w:rPr>
          <w:noProof/>
        </w:rPr>
        <w:t xml:space="preserve"> </w:t>
      </w:r>
      <w:r w:rsidRPr="00193A9A">
        <w:rPr>
          <w:noProof/>
        </w:rPr>
        <w:t>Th</w:t>
      </w:r>
      <w:r>
        <w:rPr>
          <w:noProof/>
        </w:rPr>
        <w:t>at</w:t>
      </w:r>
      <w:r w:rsidRPr="00193A9A">
        <w:rPr>
          <w:noProof/>
        </w:rPr>
        <w:t xml:space="preserve"> </w:t>
      </w:r>
      <w:r w:rsidR="00AD29C7" w:rsidRPr="00193A9A">
        <w:rPr>
          <w:noProof/>
        </w:rPr>
        <w:t>support covers develop</w:t>
      </w:r>
      <w:r w:rsidR="00BC66D9">
        <w:rPr>
          <w:noProof/>
        </w:rPr>
        <w:t>ing</w:t>
      </w:r>
      <w:r w:rsidR="00AD29C7" w:rsidRPr="00193A9A">
        <w:rPr>
          <w:noProof/>
        </w:rPr>
        <w:t xml:space="preserve"> and improv</w:t>
      </w:r>
      <w:r w:rsidR="00BC66D9">
        <w:rPr>
          <w:noProof/>
        </w:rPr>
        <w:t>ing</w:t>
      </w:r>
      <w:r w:rsidR="00AD29C7" w:rsidRPr="00193A9A">
        <w:rPr>
          <w:noProof/>
        </w:rPr>
        <w:t xml:space="preserve"> the skills and abilities of civil society organisations, national human rights institutions, equality bodies, legal professionals, practitioners, ombuds institutions and other human rights defenders to design and implement litigation strategies and strategic litigation approaches.</w:t>
      </w:r>
    </w:p>
    <w:p w14:paraId="616F990C" w14:textId="44777D82" w:rsidR="009361EE" w:rsidRPr="00193A9A" w:rsidRDefault="009361EE" w:rsidP="00D349B8">
      <w:pPr>
        <w:pStyle w:val="Text1"/>
        <w:rPr>
          <w:noProof/>
        </w:rPr>
      </w:pPr>
      <w:r w:rsidRPr="00193A9A">
        <w:rPr>
          <w:noProof/>
        </w:rPr>
        <w:t>The next report</w:t>
      </w:r>
      <w:r w:rsidR="004603C7">
        <w:rPr>
          <w:noProof/>
        </w:rPr>
        <w:t xml:space="preserve"> on the application of the Directives</w:t>
      </w:r>
      <w:r w:rsidRPr="00193A9A">
        <w:rPr>
          <w:noProof/>
        </w:rPr>
        <w:t xml:space="preserve"> is due in 2031. </w:t>
      </w:r>
      <w:r w:rsidR="00ED7088" w:rsidRPr="00193A9A">
        <w:rPr>
          <w:noProof/>
        </w:rPr>
        <w:t xml:space="preserve">It will </w:t>
      </w:r>
      <w:r w:rsidR="0074772E">
        <w:rPr>
          <w:noProof/>
        </w:rPr>
        <w:t>look,</w:t>
      </w:r>
      <w:r w:rsidR="0074772E" w:rsidRPr="00193A9A">
        <w:rPr>
          <w:noProof/>
        </w:rPr>
        <w:t xml:space="preserve"> </w:t>
      </w:r>
      <w:r w:rsidR="007D00F8" w:rsidRPr="00193A9A">
        <w:rPr>
          <w:noProof/>
        </w:rPr>
        <w:t>in particular</w:t>
      </w:r>
      <w:r w:rsidR="0074772E">
        <w:rPr>
          <w:noProof/>
        </w:rPr>
        <w:t>, at</w:t>
      </w:r>
      <w:r w:rsidR="007D00F8" w:rsidRPr="00193A9A">
        <w:rPr>
          <w:noProof/>
        </w:rPr>
        <w:t xml:space="preserve"> </w:t>
      </w:r>
      <w:r w:rsidR="00ED7088" w:rsidRPr="00193A9A">
        <w:rPr>
          <w:noProof/>
        </w:rPr>
        <w:t>the progress made in enforcing the Directive</w:t>
      </w:r>
      <w:r w:rsidR="00717D9F" w:rsidRPr="00193A9A">
        <w:rPr>
          <w:noProof/>
        </w:rPr>
        <w:t>s</w:t>
      </w:r>
      <w:r w:rsidR="00ED7088" w:rsidRPr="00193A9A">
        <w:rPr>
          <w:noProof/>
        </w:rPr>
        <w:t xml:space="preserve">. That same year, </w:t>
      </w:r>
      <w:r w:rsidR="005C5D1B" w:rsidRPr="00193A9A">
        <w:rPr>
          <w:noProof/>
        </w:rPr>
        <w:t xml:space="preserve">the </w:t>
      </w:r>
      <w:r w:rsidR="00ED7088" w:rsidRPr="00193A9A">
        <w:rPr>
          <w:noProof/>
        </w:rPr>
        <w:t xml:space="preserve">Commission </w:t>
      </w:r>
      <w:r w:rsidR="005C5D1B" w:rsidRPr="00193A9A">
        <w:rPr>
          <w:noProof/>
        </w:rPr>
        <w:t xml:space="preserve">will receive </w:t>
      </w:r>
      <w:r w:rsidR="00ED7088" w:rsidRPr="00193A9A">
        <w:rPr>
          <w:noProof/>
        </w:rPr>
        <w:t xml:space="preserve">information </w:t>
      </w:r>
      <w:r w:rsidR="005C5D1B" w:rsidRPr="00193A9A">
        <w:rPr>
          <w:noProof/>
        </w:rPr>
        <w:t xml:space="preserve">from Member States </w:t>
      </w:r>
      <w:r w:rsidR="00ED7088" w:rsidRPr="00193A9A">
        <w:rPr>
          <w:noProof/>
        </w:rPr>
        <w:t xml:space="preserve">on the application of the </w:t>
      </w:r>
      <w:r w:rsidR="00717D9F" w:rsidRPr="00193A9A">
        <w:rPr>
          <w:noProof/>
        </w:rPr>
        <w:t>Equality Bodies Directives</w:t>
      </w:r>
      <w:r w:rsidR="005C5D1B" w:rsidRPr="00193A9A">
        <w:rPr>
          <w:noProof/>
        </w:rPr>
        <w:t xml:space="preserve">. It will </w:t>
      </w:r>
      <w:r w:rsidR="00C53B71">
        <w:rPr>
          <w:noProof/>
        </w:rPr>
        <w:t>then also</w:t>
      </w:r>
      <w:r w:rsidR="00C53B71" w:rsidRPr="00193A9A">
        <w:rPr>
          <w:noProof/>
        </w:rPr>
        <w:t xml:space="preserve"> </w:t>
      </w:r>
      <w:r w:rsidR="005C5D1B" w:rsidRPr="00193A9A">
        <w:rPr>
          <w:noProof/>
        </w:rPr>
        <w:t>report on the</w:t>
      </w:r>
      <w:r w:rsidR="00B538EA" w:rsidRPr="00193A9A">
        <w:rPr>
          <w:noProof/>
        </w:rPr>
        <w:t>ir</w:t>
      </w:r>
      <w:r w:rsidR="005C5D1B" w:rsidRPr="00193A9A">
        <w:rPr>
          <w:noProof/>
        </w:rPr>
        <w:t xml:space="preserve"> independent functioning and effectiveness</w:t>
      </w:r>
      <w:r w:rsidR="00ED7088" w:rsidRPr="00193A9A">
        <w:rPr>
          <w:noProof/>
        </w:rPr>
        <w:t>.</w:t>
      </w:r>
    </w:p>
    <w:sectPr w:rsidR="009361EE" w:rsidRPr="00193A9A" w:rsidSect="00F81E69">
      <w:headerReference w:type="even" r:id="rId21"/>
      <w:headerReference w:type="default" r:id="rId22"/>
      <w:footerReference w:type="even" r:id="rId23"/>
      <w:footerReference w:type="default" r:id="rId24"/>
      <w:headerReference w:type="first" r:id="rId25"/>
      <w:footerReference w:type="first" r:id="rId26"/>
      <w:endnotePr>
        <w:numFmt w:val="lowerLetter"/>
      </w:endnotePr>
      <w:pgSz w:w="11906" w:h="16838"/>
      <w:pgMar w:top="1020" w:right="1701" w:bottom="1020" w:left="1587" w:header="601" w:footer="1077"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9E5366" w14:textId="77777777" w:rsidR="00AA3789" w:rsidRPr="00193A9A" w:rsidRDefault="00AA3789">
      <w:pPr>
        <w:spacing w:after="0"/>
      </w:pPr>
      <w:r w:rsidRPr="00193A9A">
        <w:separator/>
      </w:r>
    </w:p>
  </w:endnote>
  <w:endnote w:type="continuationSeparator" w:id="0">
    <w:p w14:paraId="76AF5B60" w14:textId="77777777" w:rsidR="00AA3789" w:rsidRPr="00193A9A" w:rsidRDefault="00AA3789">
      <w:pPr>
        <w:spacing w:after="0"/>
      </w:pPr>
      <w:r w:rsidRPr="00193A9A">
        <w:continuationSeparator/>
      </w:r>
    </w:p>
  </w:endnote>
  <w:endnote w:type="continuationNotice" w:id="1">
    <w:p w14:paraId="0D227728" w14:textId="77777777" w:rsidR="00AA3789" w:rsidRPr="00193A9A" w:rsidRDefault="00AA378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Aptos">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9795C6" w14:textId="752A7B12" w:rsidR="00DA7CC4" w:rsidRPr="00DA7CC4" w:rsidRDefault="00DA7CC4" w:rsidP="00DA7CC4">
    <w:pPr>
      <w:pStyle w:val="FooterCoverPage"/>
      <w:rPr>
        <w:rFonts w:ascii="Arial" w:hAnsi="Arial" w:cs="Arial"/>
        <w:b/>
        <w:sz w:val="48"/>
      </w:rPr>
    </w:pPr>
    <w:r w:rsidRPr="00DA7CC4">
      <w:rPr>
        <w:rFonts w:ascii="Arial" w:hAnsi="Arial" w:cs="Arial"/>
        <w:b/>
        <w:sz w:val="48"/>
      </w:rPr>
      <w:t>EN</w:t>
    </w:r>
    <w:r w:rsidRPr="00DA7CC4">
      <w:rPr>
        <w:rFonts w:ascii="Arial" w:hAnsi="Arial" w:cs="Arial"/>
        <w:b/>
        <w:sz w:val="48"/>
      </w:rPr>
      <w:tab/>
    </w:r>
    <w:r w:rsidRPr="00DA7CC4">
      <w:rPr>
        <w:rFonts w:ascii="Arial" w:hAnsi="Arial" w:cs="Arial"/>
        <w:b/>
        <w:sz w:val="48"/>
      </w:rPr>
      <w:tab/>
    </w:r>
    <w:r w:rsidRPr="00DA7CC4">
      <w:tab/>
    </w:r>
    <w:r w:rsidRPr="00DA7CC4">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E6EAAC" w14:textId="3C412D62" w:rsidR="00DA7CC4" w:rsidRPr="00DA7CC4" w:rsidRDefault="00DA7CC4" w:rsidP="00DA7CC4">
    <w:pPr>
      <w:pStyle w:val="FooterCoverPage"/>
      <w:rPr>
        <w:rFonts w:ascii="Arial" w:hAnsi="Arial" w:cs="Arial"/>
        <w:b/>
        <w:sz w:val="48"/>
      </w:rPr>
    </w:pPr>
    <w:r w:rsidRPr="00DA7CC4">
      <w:rPr>
        <w:rFonts w:ascii="Arial" w:hAnsi="Arial" w:cs="Arial"/>
        <w:b/>
        <w:sz w:val="48"/>
      </w:rPr>
      <w:t>EN</w:t>
    </w:r>
    <w:r w:rsidRPr="00DA7CC4">
      <w:rPr>
        <w:rFonts w:ascii="Arial" w:hAnsi="Arial" w:cs="Arial"/>
        <w:b/>
        <w:sz w:val="48"/>
      </w:rPr>
      <w:tab/>
    </w:r>
    <w:r w:rsidRPr="00DA7CC4">
      <w:rPr>
        <w:rFonts w:ascii="Arial" w:hAnsi="Arial" w:cs="Arial"/>
        <w:b/>
        <w:sz w:val="48"/>
      </w:rPr>
      <w:tab/>
    </w:r>
    <w:r w:rsidRPr="00DA7CC4">
      <w:tab/>
    </w:r>
    <w:r w:rsidRPr="00DA7CC4">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F30B51" w14:textId="77777777" w:rsidR="00DA7CC4" w:rsidRPr="00DA7CC4" w:rsidRDefault="00DA7CC4" w:rsidP="00DA7CC4">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D4F9D9" w14:textId="77777777" w:rsidR="00F81E69" w:rsidRPr="00193A9A" w:rsidRDefault="00F81E69">
    <w:pPr>
      <w:pStyle w:val="FooterLine"/>
      <w:jc w:val="center"/>
    </w:pPr>
    <w:r w:rsidRPr="00193A9A">
      <w:fldChar w:fldCharType="begin"/>
    </w:r>
    <w:r w:rsidRPr="00193A9A">
      <w:instrText>PAGE   \* MERGEFORMAT</w:instrText>
    </w:r>
    <w:r w:rsidRPr="00193A9A">
      <w:fldChar w:fldCharType="separate"/>
    </w:r>
    <w:r w:rsidRPr="00193A9A">
      <w:t>1</w:t>
    </w:r>
    <w:r w:rsidRPr="00193A9A">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E6D3C9" w14:textId="2CB875D4" w:rsidR="00F81E69" w:rsidRPr="00193A9A" w:rsidRDefault="00F81E69">
    <w:pPr>
      <w:pStyle w:val="FooterLine"/>
      <w:jc w:val="center"/>
    </w:pPr>
    <w:r w:rsidRPr="00193A9A">
      <w:fldChar w:fldCharType="begin"/>
    </w:r>
    <w:r w:rsidRPr="00193A9A">
      <w:instrText>PAGE   \* MERGEFORMAT</w:instrText>
    </w:r>
    <w:r w:rsidRPr="00193A9A">
      <w:fldChar w:fldCharType="separate"/>
    </w:r>
    <w:r w:rsidR="00DA7CC4">
      <w:rPr>
        <w:noProof/>
      </w:rPr>
      <w:t>4</w:t>
    </w:r>
    <w:r w:rsidRPr="00193A9A">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C5EB0C" w14:textId="77777777" w:rsidR="00F81E69" w:rsidRPr="00193A9A" w:rsidRDefault="00F81E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AB10BE" w14:textId="77777777" w:rsidR="00AA3789" w:rsidRPr="00193A9A" w:rsidRDefault="00AA3789">
      <w:pPr>
        <w:spacing w:after="0"/>
      </w:pPr>
      <w:r w:rsidRPr="00193A9A">
        <w:separator/>
      </w:r>
    </w:p>
  </w:footnote>
  <w:footnote w:type="continuationSeparator" w:id="0">
    <w:p w14:paraId="3ECA11FA" w14:textId="77777777" w:rsidR="00AA3789" w:rsidRPr="00193A9A" w:rsidRDefault="00AA3789">
      <w:pPr>
        <w:spacing w:after="0"/>
      </w:pPr>
      <w:r w:rsidRPr="00193A9A">
        <w:continuationSeparator/>
      </w:r>
    </w:p>
  </w:footnote>
  <w:footnote w:type="continuationNotice" w:id="1">
    <w:p w14:paraId="1C7C2559" w14:textId="77777777" w:rsidR="00AA3789" w:rsidRPr="00193A9A" w:rsidRDefault="00AA3789">
      <w:pPr>
        <w:spacing w:after="0"/>
      </w:pPr>
    </w:p>
  </w:footnote>
  <w:footnote w:id="2">
    <w:p w14:paraId="283C2D39" w14:textId="6F47C07C" w:rsidR="00777AC7" w:rsidRPr="00B54BD8" w:rsidRDefault="00777AC7">
      <w:pPr>
        <w:pStyle w:val="FootnoteText"/>
        <w:rPr>
          <w:lang w:val="pl-PL"/>
        </w:rPr>
      </w:pPr>
      <w:r w:rsidRPr="00B54BD8">
        <w:rPr>
          <w:lang w:val="pl-PL"/>
        </w:rPr>
        <w:t>(</w:t>
      </w:r>
      <w:r w:rsidRPr="00193A9A">
        <w:rPr>
          <w:rStyle w:val="FootnoteReference"/>
        </w:rPr>
        <w:footnoteRef/>
      </w:r>
      <w:r w:rsidRPr="00B54BD8">
        <w:rPr>
          <w:lang w:val="pl-PL"/>
        </w:rPr>
        <w:t>)</w:t>
      </w:r>
      <w:r w:rsidRPr="00704710">
        <w:rPr>
          <w:lang w:val="pl-PL"/>
        </w:rPr>
        <w:tab/>
        <w:t>OJ L</w:t>
      </w:r>
      <w:r w:rsidR="00215866" w:rsidRPr="00704710">
        <w:rPr>
          <w:lang w:val="pl-PL"/>
        </w:rPr>
        <w:t> </w:t>
      </w:r>
      <w:r w:rsidRPr="00704710">
        <w:rPr>
          <w:lang w:val="pl-PL"/>
        </w:rPr>
        <w:t>180, 19.7.2000, p.</w:t>
      </w:r>
      <w:r w:rsidR="00215866" w:rsidRPr="00704710">
        <w:rPr>
          <w:lang w:val="pl-PL"/>
        </w:rPr>
        <w:t> </w:t>
      </w:r>
      <w:r w:rsidRPr="00704710">
        <w:rPr>
          <w:lang w:val="pl-PL"/>
        </w:rPr>
        <w:t xml:space="preserve">22, ELI: </w:t>
      </w:r>
      <w:hyperlink r:id="rId1" w:history="1">
        <w:r w:rsidRPr="00704710">
          <w:rPr>
            <w:rStyle w:val="Hyperlink"/>
            <w:lang w:val="pl-PL"/>
          </w:rPr>
          <w:t>http://data.europa.eu/eli/dir/2000/43/oj</w:t>
        </w:r>
      </w:hyperlink>
      <w:r w:rsidR="00215866" w:rsidRPr="00704710">
        <w:rPr>
          <w:lang w:val="pl-PL"/>
        </w:rPr>
        <w:t>;</w:t>
      </w:r>
      <w:r w:rsidRPr="00704710">
        <w:rPr>
          <w:lang w:val="pl-PL"/>
        </w:rPr>
        <w:t xml:space="preserve"> OJ L</w:t>
      </w:r>
      <w:r w:rsidR="00215866" w:rsidRPr="00704710">
        <w:rPr>
          <w:lang w:val="pl-PL"/>
        </w:rPr>
        <w:t> </w:t>
      </w:r>
      <w:r w:rsidRPr="00704710">
        <w:rPr>
          <w:lang w:val="pl-PL"/>
        </w:rPr>
        <w:t>303, 2.12.2000, p.</w:t>
      </w:r>
      <w:r w:rsidR="00215866" w:rsidRPr="00704710">
        <w:rPr>
          <w:lang w:val="pl-PL"/>
        </w:rPr>
        <w:t> </w:t>
      </w:r>
      <w:r w:rsidRPr="00B54BD8">
        <w:rPr>
          <w:lang w:val="pl-PL"/>
        </w:rPr>
        <w:t xml:space="preserve">16, ELI: </w:t>
      </w:r>
      <w:hyperlink r:id="rId2" w:history="1">
        <w:r w:rsidRPr="00B54BD8">
          <w:rPr>
            <w:rStyle w:val="Hyperlink"/>
            <w:lang w:val="pl-PL"/>
          </w:rPr>
          <w:t>http://data.europa.eu/eli/dir/2000/78/oj</w:t>
        </w:r>
      </w:hyperlink>
      <w:r w:rsidRPr="00B54BD8">
        <w:rPr>
          <w:lang w:val="pl-PL"/>
        </w:rPr>
        <w:t>.</w:t>
      </w:r>
    </w:p>
  </w:footnote>
  <w:footnote w:id="3">
    <w:p w14:paraId="65425FC2" w14:textId="5B2138B1" w:rsidR="008213D8" w:rsidRPr="00193A9A" w:rsidRDefault="008213D8" w:rsidP="008213D8">
      <w:pPr>
        <w:pStyle w:val="FootnoteText"/>
      </w:pPr>
      <w:r w:rsidRPr="00193A9A">
        <w:t>(</w:t>
      </w:r>
      <w:r w:rsidRPr="00193A9A">
        <w:rPr>
          <w:rStyle w:val="FootnoteReference"/>
        </w:rPr>
        <w:footnoteRef/>
      </w:r>
      <w:r w:rsidRPr="00193A9A">
        <w:t>)</w:t>
      </w:r>
      <w:r w:rsidRPr="00193A9A">
        <w:tab/>
        <w:t>See Article</w:t>
      </w:r>
      <w:r w:rsidR="00193A9A">
        <w:t> </w:t>
      </w:r>
      <w:r w:rsidRPr="00193A9A">
        <w:t>17(1) of the Racial Equality Directive and Article</w:t>
      </w:r>
      <w:r w:rsidR="00193A9A">
        <w:t> </w:t>
      </w:r>
      <w:r w:rsidRPr="00193A9A">
        <w:t>19(1) of the Employment Equality Directive.</w:t>
      </w:r>
    </w:p>
  </w:footnote>
  <w:footnote w:id="4">
    <w:p w14:paraId="687D8A4D" w14:textId="2488C494" w:rsidR="004A70E2" w:rsidRPr="00193A9A" w:rsidRDefault="004A70E2">
      <w:pPr>
        <w:pStyle w:val="FootnoteText"/>
      </w:pPr>
      <w:r w:rsidRPr="00193A9A">
        <w:t>(</w:t>
      </w:r>
      <w:r w:rsidRPr="00193A9A">
        <w:rPr>
          <w:rStyle w:val="FootnoteReference"/>
        </w:rPr>
        <w:footnoteRef/>
      </w:r>
      <w:r w:rsidRPr="00193A9A">
        <w:t>)</w:t>
      </w:r>
      <w:r w:rsidRPr="00193A9A">
        <w:tab/>
        <w:t>COM(2021) 139 final and SWD(2021) 63 final of 19</w:t>
      </w:r>
      <w:r w:rsidR="00517AD8">
        <w:t xml:space="preserve"> March </w:t>
      </w:r>
      <w:r w:rsidRPr="00193A9A">
        <w:t>202</w:t>
      </w:r>
      <w:r w:rsidR="00517AD8">
        <w:t>1</w:t>
      </w:r>
      <w:r w:rsidR="00D349B8" w:rsidRPr="00193A9A">
        <w:t xml:space="preserve">, </w:t>
      </w:r>
      <w:hyperlink r:id="rId3" w:history="1">
        <w:r w:rsidRPr="00193A9A">
          <w:rPr>
            <w:rStyle w:val="Hyperlink"/>
          </w:rPr>
          <w:t>EUR-Lex - 52021DC0139 - EN - EUR-Lex</w:t>
        </w:r>
      </w:hyperlink>
      <w:r w:rsidRPr="00193A9A">
        <w:t xml:space="preserve"> and </w:t>
      </w:r>
      <w:hyperlink r:id="rId4" w:history="1">
        <w:r w:rsidRPr="00193A9A">
          <w:rPr>
            <w:rStyle w:val="Hyperlink"/>
          </w:rPr>
          <w:t>EUR-Lex - 52021SC0063 - EN - EUR-Lex</w:t>
        </w:r>
      </w:hyperlink>
      <w:r w:rsidR="00D349B8" w:rsidRPr="00193A9A">
        <w:t>.</w:t>
      </w:r>
    </w:p>
  </w:footnote>
  <w:footnote w:id="5">
    <w:p w14:paraId="777368BC" w14:textId="1B0A8B80" w:rsidR="00C113FB" w:rsidRPr="00193A9A" w:rsidRDefault="00C113FB" w:rsidP="00C113FB">
      <w:pPr>
        <w:pStyle w:val="FootnoteText"/>
      </w:pPr>
      <w:r w:rsidRPr="00193A9A">
        <w:t>(</w:t>
      </w:r>
      <w:r w:rsidRPr="00193A9A">
        <w:rPr>
          <w:rStyle w:val="FootnoteReference"/>
        </w:rPr>
        <w:footnoteRef/>
      </w:r>
      <w:r w:rsidRPr="00193A9A">
        <w:t>)</w:t>
      </w:r>
      <w:r w:rsidRPr="00193A9A">
        <w:tab/>
        <w:t>COM(2026) 12 final</w:t>
      </w:r>
      <w:r>
        <w:t xml:space="preserve"> of</w:t>
      </w:r>
      <w:r w:rsidRPr="00193A9A">
        <w:t xml:space="preserve"> 20</w:t>
      </w:r>
      <w:r>
        <w:t xml:space="preserve"> January </w:t>
      </w:r>
      <w:r w:rsidRPr="00193A9A">
        <w:t xml:space="preserve">2026, </w:t>
      </w:r>
      <w:hyperlink r:id="rId5" w:history="1">
        <w:r w:rsidRPr="00193A9A">
          <w:rPr>
            <w:rStyle w:val="Hyperlink"/>
          </w:rPr>
          <w:t>EUR-Lex - 52026DC0012 - EN - EUR-Lex</w:t>
        </w:r>
      </w:hyperlink>
      <w:r w:rsidRPr="00193A9A">
        <w:t>.</w:t>
      </w:r>
    </w:p>
  </w:footnote>
  <w:footnote w:id="6">
    <w:p w14:paraId="2185F04E" w14:textId="68D9DD94" w:rsidR="00C113FB" w:rsidRPr="00193A9A" w:rsidRDefault="00C113FB" w:rsidP="00C113FB">
      <w:pPr>
        <w:pStyle w:val="FootnoteText"/>
      </w:pPr>
      <w:r w:rsidRPr="00193A9A">
        <w:t>(</w:t>
      </w:r>
      <w:r w:rsidRPr="00193A9A">
        <w:rPr>
          <w:rStyle w:val="FootnoteReference"/>
        </w:rPr>
        <w:footnoteRef/>
      </w:r>
      <w:r w:rsidRPr="00193A9A">
        <w:t>)</w:t>
      </w:r>
      <w:r w:rsidRPr="00193A9A">
        <w:tab/>
        <w:t>COM(2025) 725 final</w:t>
      </w:r>
      <w:r>
        <w:t xml:space="preserve"> of</w:t>
      </w:r>
      <w:r w:rsidRPr="00193A9A">
        <w:t xml:space="preserve"> 8</w:t>
      </w:r>
      <w:r>
        <w:t xml:space="preserve"> October </w:t>
      </w:r>
      <w:r w:rsidRPr="00193A9A">
        <w:t xml:space="preserve">2025, </w:t>
      </w:r>
      <w:hyperlink r:id="rId6" w:history="1">
        <w:r w:rsidRPr="00193A9A">
          <w:rPr>
            <w:rStyle w:val="Hyperlink"/>
          </w:rPr>
          <w:t>EUR-Lex - 52025DC0725 - EN - EUR-Lex</w:t>
        </w:r>
      </w:hyperlink>
      <w:r w:rsidRPr="00193A9A">
        <w:t>.</w:t>
      </w:r>
      <w:r w:rsidR="00CC1C37">
        <w:t xml:space="preserve"> See also other relevant strategies: </w:t>
      </w:r>
      <w:r w:rsidR="00CC1C37" w:rsidRPr="00CC1C37">
        <w:t>COM(2020) 620 final</w:t>
      </w:r>
      <w:r w:rsidR="00CC1C37">
        <w:t xml:space="preserve"> of 7 October 2020, </w:t>
      </w:r>
      <w:hyperlink r:id="rId7" w:history="1">
        <w:r w:rsidR="00CC1C37" w:rsidRPr="00CC1C37">
          <w:rPr>
            <w:rStyle w:val="Hyperlink"/>
          </w:rPr>
          <w:t>EUR-Lex - 52020DC0620 - EN - EUR-Lex</w:t>
        </w:r>
      </w:hyperlink>
      <w:r w:rsidR="00CC1C37">
        <w:t xml:space="preserve">; </w:t>
      </w:r>
      <w:r w:rsidR="00CC1C37" w:rsidRPr="00CC1C37">
        <w:t>COM(2021) 101 final</w:t>
      </w:r>
      <w:r w:rsidR="00CC1C37">
        <w:t xml:space="preserve"> of 3 March 2021, </w:t>
      </w:r>
      <w:hyperlink r:id="rId8" w:history="1">
        <w:r w:rsidR="00CC1C37" w:rsidRPr="00CC1C37">
          <w:rPr>
            <w:rStyle w:val="Hyperlink"/>
          </w:rPr>
          <w:t>EUR-Lex - 52021DC0101 - EN - EUR-Lex</w:t>
        </w:r>
      </w:hyperlink>
      <w:r w:rsidR="004361D3">
        <w:t xml:space="preserve">, COM(2026) 113 final of 5 March 2026, </w:t>
      </w:r>
      <w:hyperlink r:id="rId9" w:history="1">
        <w:r w:rsidR="006F12CA" w:rsidRPr="008D7646">
          <w:rPr>
            <w:rStyle w:val="Hyperlink"/>
          </w:rPr>
          <w:t>EUR-Lex - 52026DC0113 - EN - EUR-Lex</w:t>
        </w:r>
      </w:hyperlink>
      <w:r w:rsidR="006F12CA">
        <w:t xml:space="preserve">, COM(2026) 541 final of 6 May 2026, </w:t>
      </w:r>
      <w:hyperlink r:id="rId10" w:history="1">
        <w:r w:rsidR="006F12CA" w:rsidRPr="006B1244">
          <w:rPr>
            <w:rStyle w:val="Hyperlink"/>
          </w:rPr>
          <w:t>EUR-Lex - 52026DC0541 - EN - EUR-Lex</w:t>
        </w:r>
      </w:hyperlink>
      <w:r w:rsidR="004361D3">
        <w:t>.</w:t>
      </w:r>
    </w:p>
  </w:footnote>
  <w:footnote w:id="7">
    <w:p w14:paraId="09CE31A3" w14:textId="193CFE4F" w:rsidR="005A784C" w:rsidRPr="00193A9A" w:rsidRDefault="005A784C">
      <w:pPr>
        <w:pStyle w:val="FootnoteText"/>
      </w:pPr>
      <w:r w:rsidRPr="00193A9A">
        <w:t>(</w:t>
      </w:r>
      <w:r w:rsidRPr="00193A9A">
        <w:rPr>
          <w:rStyle w:val="FootnoteReference"/>
        </w:rPr>
        <w:footnoteRef/>
      </w:r>
      <w:r w:rsidRPr="00193A9A">
        <w:t>)</w:t>
      </w:r>
      <w:r w:rsidRPr="00193A9A">
        <w:tab/>
        <w:t xml:space="preserve">FRA, </w:t>
      </w:r>
      <w:hyperlink r:id="rId11" w:history="1">
        <w:r w:rsidRPr="00704710">
          <w:rPr>
            <w:rStyle w:val="Hyperlink"/>
            <w:i/>
            <w:iCs/>
          </w:rPr>
          <w:t>Being Black in the EU – Experiences of people of African descent</w:t>
        </w:r>
      </w:hyperlink>
      <w:r w:rsidR="000F1C11" w:rsidRPr="00193A9A">
        <w:t xml:space="preserve">, </w:t>
      </w:r>
      <w:hyperlink r:id="rId12" w:history="1">
        <w:r w:rsidRPr="00704710">
          <w:rPr>
            <w:rStyle w:val="Hyperlink"/>
            <w:i/>
            <w:iCs/>
          </w:rPr>
          <w:t xml:space="preserve">Being Muslim in the EU </w:t>
        </w:r>
        <w:r w:rsidR="007905F7" w:rsidRPr="00704710">
          <w:rPr>
            <w:rStyle w:val="Hyperlink"/>
            <w:i/>
            <w:iCs/>
          </w:rPr>
          <w:t>–</w:t>
        </w:r>
        <w:r w:rsidRPr="00704710">
          <w:rPr>
            <w:rStyle w:val="Hyperlink"/>
            <w:i/>
            <w:iCs/>
          </w:rPr>
          <w:t xml:space="preserve"> Experiences of Muslims</w:t>
        </w:r>
      </w:hyperlink>
      <w:r w:rsidRPr="00193A9A">
        <w:t xml:space="preserve">, </w:t>
      </w:r>
      <w:hyperlink r:id="rId13" w:history="1">
        <w:r w:rsidRPr="00704710">
          <w:rPr>
            <w:rStyle w:val="Hyperlink"/>
            <w:i/>
            <w:iCs/>
          </w:rPr>
          <w:t xml:space="preserve">Jewish People’s Experiences and Perceptions of Antisemitism – EU </w:t>
        </w:r>
        <w:r w:rsidR="000B1BB8">
          <w:rPr>
            <w:rStyle w:val="Hyperlink"/>
            <w:i/>
            <w:iCs/>
          </w:rPr>
          <w:t>s</w:t>
        </w:r>
        <w:r w:rsidRPr="00704710">
          <w:rPr>
            <w:rStyle w:val="Hyperlink"/>
            <w:i/>
            <w:iCs/>
          </w:rPr>
          <w:t xml:space="preserve">urvey of Jewish </w:t>
        </w:r>
        <w:r w:rsidR="000B1BB8">
          <w:rPr>
            <w:rStyle w:val="Hyperlink"/>
            <w:i/>
            <w:iCs/>
          </w:rPr>
          <w:t>p</w:t>
        </w:r>
        <w:r w:rsidRPr="00704710">
          <w:rPr>
            <w:rStyle w:val="Hyperlink"/>
            <w:i/>
            <w:iCs/>
          </w:rPr>
          <w:t>eople</w:t>
        </w:r>
      </w:hyperlink>
      <w:r w:rsidRPr="00193A9A">
        <w:t xml:space="preserve">, </w:t>
      </w:r>
      <w:hyperlink r:id="rId14" w:history="1">
        <w:r w:rsidRPr="00704710">
          <w:rPr>
            <w:rStyle w:val="Hyperlink"/>
            <w:i/>
            <w:iCs/>
          </w:rPr>
          <w:t xml:space="preserve">LGBTIQ </w:t>
        </w:r>
        <w:r w:rsidR="007905F7" w:rsidRPr="00704710">
          <w:rPr>
            <w:rStyle w:val="Hyperlink"/>
            <w:i/>
            <w:iCs/>
          </w:rPr>
          <w:t xml:space="preserve">Equality </w:t>
        </w:r>
        <w:r w:rsidRPr="00704710">
          <w:rPr>
            <w:rStyle w:val="Hyperlink"/>
            <w:i/>
            <w:iCs/>
          </w:rPr>
          <w:t xml:space="preserve">at a </w:t>
        </w:r>
        <w:r w:rsidR="007905F7" w:rsidRPr="00704710">
          <w:rPr>
            <w:rStyle w:val="Hyperlink"/>
            <w:i/>
            <w:iCs/>
          </w:rPr>
          <w:t>C</w:t>
        </w:r>
        <w:r w:rsidRPr="00704710">
          <w:rPr>
            <w:rStyle w:val="Hyperlink"/>
            <w:i/>
            <w:iCs/>
          </w:rPr>
          <w:t>rossroads</w:t>
        </w:r>
        <w:r w:rsidR="007905F7" w:rsidRPr="00704710">
          <w:rPr>
            <w:rStyle w:val="Hyperlink"/>
            <w:i/>
            <w:iCs/>
          </w:rPr>
          <w:t xml:space="preserve"> –</w:t>
        </w:r>
        <w:r w:rsidRPr="00704710">
          <w:rPr>
            <w:rStyle w:val="Hyperlink"/>
            <w:i/>
            <w:iCs/>
          </w:rPr>
          <w:t xml:space="preserve"> </w:t>
        </w:r>
        <w:r w:rsidR="007905F7" w:rsidRPr="00704710">
          <w:rPr>
            <w:rStyle w:val="Hyperlink"/>
            <w:i/>
            <w:iCs/>
          </w:rPr>
          <w:t>P</w:t>
        </w:r>
        <w:r w:rsidRPr="00704710">
          <w:rPr>
            <w:rStyle w:val="Hyperlink"/>
            <w:i/>
            <w:iCs/>
          </w:rPr>
          <w:t>rogress and challenges</w:t>
        </w:r>
      </w:hyperlink>
      <w:r w:rsidRPr="00193A9A">
        <w:t xml:space="preserve">, </w:t>
      </w:r>
      <w:hyperlink r:id="rId15" w:history="1">
        <w:r w:rsidRPr="00704710">
          <w:rPr>
            <w:rStyle w:val="Hyperlink"/>
            <w:i/>
            <w:iCs/>
          </w:rPr>
          <w:t xml:space="preserve">Roma in 10 European </w:t>
        </w:r>
        <w:r w:rsidR="00DE48BE" w:rsidRPr="00704710">
          <w:rPr>
            <w:rStyle w:val="Hyperlink"/>
            <w:i/>
            <w:iCs/>
          </w:rPr>
          <w:t>C</w:t>
        </w:r>
        <w:r w:rsidRPr="00704710">
          <w:rPr>
            <w:rStyle w:val="Hyperlink"/>
            <w:i/>
            <w:iCs/>
          </w:rPr>
          <w:t>ountries</w:t>
        </w:r>
        <w:r w:rsidR="00381F70">
          <w:rPr>
            <w:rStyle w:val="Hyperlink"/>
            <w:i/>
            <w:iCs/>
          </w:rPr>
          <w:t xml:space="preserve"> –</w:t>
        </w:r>
        <w:r w:rsidRPr="00704710">
          <w:rPr>
            <w:rStyle w:val="Hyperlink"/>
            <w:i/>
            <w:iCs/>
          </w:rPr>
          <w:t xml:space="preserve"> Main results – Roma </w:t>
        </w:r>
        <w:r w:rsidR="00381F70">
          <w:rPr>
            <w:rStyle w:val="Hyperlink"/>
            <w:i/>
            <w:iCs/>
          </w:rPr>
          <w:t>s</w:t>
        </w:r>
        <w:r w:rsidRPr="00704710">
          <w:rPr>
            <w:rStyle w:val="Hyperlink"/>
            <w:i/>
            <w:iCs/>
          </w:rPr>
          <w:t>urvey 2021</w:t>
        </w:r>
      </w:hyperlink>
      <w:r w:rsidRPr="00193A9A">
        <w:t xml:space="preserve">, </w:t>
      </w:r>
      <w:hyperlink r:id="rId16" w:history="1">
        <w:r w:rsidRPr="00704710">
          <w:rPr>
            <w:rStyle w:val="Hyperlink"/>
            <w:i/>
            <w:iCs/>
          </w:rPr>
          <w:t xml:space="preserve">Rights of Roma and Travellers in 13 European </w:t>
        </w:r>
        <w:r w:rsidR="00DE48BE" w:rsidRPr="00704710">
          <w:rPr>
            <w:rStyle w:val="Hyperlink"/>
            <w:i/>
            <w:iCs/>
          </w:rPr>
          <w:t>C</w:t>
        </w:r>
        <w:r w:rsidRPr="00704710">
          <w:rPr>
            <w:rStyle w:val="Hyperlink"/>
            <w:i/>
            <w:iCs/>
          </w:rPr>
          <w:t xml:space="preserve">ountries </w:t>
        </w:r>
        <w:r w:rsidR="00DE48BE" w:rsidRPr="00704710">
          <w:rPr>
            <w:rStyle w:val="Hyperlink"/>
            <w:i/>
            <w:iCs/>
          </w:rPr>
          <w:t>–</w:t>
        </w:r>
        <w:r w:rsidRPr="00704710">
          <w:rPr>
            <w:rStyle w:val="Hyperlink"/>
            <w:i/>
            <w:iCs/>
          </w:rPr>
          <w:t xml:space="preserve"> Perspectives from the Roma </w:t>
        </w:r>
        <w:r w:rsidR="00381F70">
          <w:rPr>
            <w:rStyle w:val="Hyperlink"/>
            <w:i/>
            <w:iCs/>
          </w:rPr>
          <w:t>s</w:t>
        </w:r>
        <w:r w:rsidRPr="00704710">
          <w:rPr>
            <w:rStyle w:val="Hyperlink"/>
            <w:i/>
            <w:iCs/>
          </w:rPr>
          <w:t>urvey 2024</w:t>
        </w:r>
      </w:hyperlink>
      <w:r w:rsidRPr="00193A9A">
        <w:t>, Publications Office of the European Union, Luxembourg</w:t>
      </w:r>
      <w:r w:rsidR="000F1C11" w:rsidRPr="00193A9A">
        <w:t>, 2021-2025</w:t>
      </w:r>
      <w:r w:rsidRPr="00193A9A">
        <w:t>.</w:t>
      </w:r>
    </w:p>
  </w:footnote>
  <w:footnote w:id="8">
    <w:p w14:paraId="7305CB92" w14:textId="13D19AFA" w:rsidR="00E266EC" w:rsidRPr="00193A9A" w:rsidRDefault="00E266EC">
      <w:pPr>
        <w:pStyle w:val="FootnoteText"/>
      </w:pPr>
      <w:r w:rsidRPr="00193A9A">
        <w:t>(</w:t>
      </w:r>
      <w:r w:rsidRPr="00193A9A">
        <w:rPr>
          <w:rStyle w:val="FootnoteReference"/>
        </w:rPr>
        <w:footnoteRef/>
      </w:r>
      <w:r w:rsidRPr="00193A9A">
        <w:t>)</w:t>
      </w:r>
      <w:r w:rsidRPr="00193A9A">
        <w:tab/>
        <w:t xml:space="preserve">38% of respondents to the EU-MIDIS III survey; 39% </w:t>
      </w:r>
      <w:r w:rsidR="00DB63E3">
        <w:t xml:space="preserve">of respondents </w:t>
      </w:r>
      <w:r w:rsidRPr="00193A9A">
        <w:t xml:space="preserve">to the Jewish survey; 49% </w:t>
      </w:r>
      <w:r w:rsidR="00DB63E3">
        <w:t xml:space="preserve">of respondents </w:t>
      </w:r>
      <w:r w:rsidRPr="00193A9A">
        <w:t xml:space="preserve">to the LGBTQI III survey; 30% of respondents </w:t>
      </w:r>
      <w:r w:rsidR="00DB63E3">
        <w:t>to</w:t>
      </w:r>
      <w:r w:rsidRPr="00193A9A">
        <w:t xml:space="preserve"> the 2021 Roma survey.</w:t>
      </w:r>
    </w:p>
  </w:footnote>
  <w:footnote w:id="9">
    <w:p w14:paraId="589EE541" w14:textId="39CBA63A" w:rsidR="00D864B9" w:rsidRPr="00193A9A" w:rsidRDefault="00D864B9">
      <w:pPr>
        <w:pStyle w:val="FootnoteText"/>
      </w:pPr>
      <w:r w:rsidRPr="00193A9A">
        <w:t>(</w:t>
      </w:r>
      <w:r w:rsidRPr="00193A9A">
        <w:rPr>
          <w:rStyle w:val="FootnoteReference"/>
        </w:rPr>
        <w:footnoteRef/>
      </w:r>
      <w:r w:rsidRPr="00193A9A">
        <w:t>)</w:t>
      </w:r>
      <w:r w:rsidRPr="00193A9A">
        <w:tab/>
      </w:r>
      <w:r w:rsidR="00C35774" w:rsidRPr="00193A9A">
        <w:t>FRA (</w:t>
      </w:r>
      <w:r w:rsidR="00F31280">
        <w:t>see note 6</w:t>
      </w:r>
      <w:r w:rsidR="0096381A" w:rsidRPr="00193A9A">
        <w:t>).</w:t>
      </w:r>
    </w:p>
  </w:footnote>
  <w:footnote w:id="10">
    <w:p w14:paraId="09A2250E" w14:textId="3733EDFF" w:rsidR="005A784C" w:rsidRPr="00193A9A" w:rsidRDefault="005A784C" w:rsidP="005A784C">
      <w:pPr>
        <w:pStyle w:val="FootnoteText"/>
      </w:pPr>
      <w:r w:rsidRPr="00193A9A">
        <w:t>(</w:t>
      </w:r>
      <w:r w:rsidRPr="00193A9A">
        <w:rPr>
          <w:rStyle w:val="FootnoteReference"/>
        </w:rPr>
        <w:footnoteRef/>
      </w:r>
      <w:r w:rsidRPr="00193A9A">
        <w:t>)</w:t>
      </w:r>
      <w:r w:rsidRPr="00193A9A">
        <w:tab/>
      </w:r>
      <w:r w:rsidR="00C322F9" w:rsidRPr="00193A9A">
        <w:t>See</w:t>
      </w:r>
      <w:r w:rsidR="00A61DEF" w:rsidRPr="00193A9A">
        <w:t>:</w:t>
      </w:r>
      <w:r w:rsidRPr="00193A9A">
        <w:t xml:space="preserve"> </w:t>
      </w:r>
      <w:r w:rsidR="00A61DEF" w:rsidRPr="00193A9A">
        <w:t>European Commission, ‘</w:t>
      </w:r>
      <w:hyperlink r:id="rId17" w:history="1">
        <w:r w:rsidRPr="00193A9A">
          <w:rPr>
            <w:rStyle w:val="Hyperlink"/>
          </w:rPr>
          <w:t>2023 Eurobarometer on discrimination in the EU</w:t>
        </w:r>
      </w:hyperlink>
      <w:r w:rsidR="00A61DEF" w:rsidRPr="00193A9A">
        <w:t>’</w:t>
      </w:r>
      <w:r w:rsidR="00C322F9" w:rsidRPr="00193A9A">
        <w:t>.</w:t>
      </w:r>
    </w:p>
  </w:footnote>
  <w:footnote w:id="11">
    <w:p w14:paraId="2C744AD3" w14:textId="6D597A51" w:rsidR="005A784C" w:rsidRPr="00193A9A" w:rsidRDefault="005A784C" w:rsidP="005A784C">
      <w:pPr>
        <w:pStyle w:val="FootnoteText"/>
      </w:pPr>
      <w:r w:rsidRPr="00193A9A">
        <w:t>(</w:t>
      </w:r>
      <w:r w:rsidRPr="00193A9A">
        <w:rPr>
          <w:rStyle w:val="FootnoteReference"/>
        </w:rPr>
        <w:footnoteRef/>
      </w:r>
      <w:r w:rsidRPr="00193A9A">
        <w:t>)</w:t>
      </w:r>
      <w:r w:rsidRPr="00193A9A">
        <w:tab/>
        <w:t xml:space="preserve">Discrimination </w:t>
      </w:r>
      <w:r w:rsidR="00AE57F1">
        <w:t>on the basis of</w:t>
      </w:r>
      <w:r w:rsidRPr="00193A9A">
        <w:t xml:space="preserve"> at least one of the following grounds: skin colour, ethnic or immigrant background, religion or religious beliefs, age, sex/gender, disability, sexual orientation and gender identity or gender expression.</w:t>
      </w:r>
    </w:p>
  </w:footnote>
  <w:footnote w:id="12">
    <w:p w14:paraId="04675819" w14:textId="1CB656FC" w:rsidR="005A784C" w:rsidRPr="00193A9A" w:rsidRDefault="005A784C" w:rsidP="005A784C">
      <w:pPr>
        <w:pStyle w:val="FootnoteText"/>
      </w:pPr>
      <w:r w:rsidRPr="00193A9A">
        <w:t>(</w:t>
      </w:r>
      <w:r w:rsidRPr="00193A9A">
        <w:rPr>
          <w:rStyle w:val="FootnoteReference"/>
        </w:rPr>
        <w:footnoteRef/>
      </w:r>
      <w:r w:rsidRPr="00193A9A">
        <w:t>)</w:t>
      </w:r>
      <w:r w:rsidRPr="00193A9A">
        <w:tab/>
        <w:t xml:space="preserve">For the purpose of the survey, racial discrimination was understood as discrimination </w:t>
      </w:r>
      <w:r w:rsidR="00AE57F1">
        <w:t>on the basis of</w:t>
      </w:r>
      <w:r w:rsidRPr="00193A9A">
        <w:t xml:space="preserve"> at least one of the following three grounds: skin colour, ethnic or immigrant background and religion or religious belief.</w:t>
      </w:r>
    </w:p>
  </w:footnote>
  <w:footnote w:id="13">
    <w:p w14:paraId="6B510D26" w14:textId="27023D34" w:rsidR="00F72E43" w:rsidRPr="00B61149" w:rsidRDefault="00F72E43">
      <w:pPr>
        <w:pStyle w:val="FootnoteText"/>
        <w:rPr>
          <w:lang w:val="en-IE"/>
        </w:rPr>
      </w:pPr>
      <w:r>
        <w:t>(</w:t>
      </w:r>
      <w:r>
        <w:rPr>
          <w:rStyle w:val="FootnoteReference"/>
        </w:rPr>
        <w:footnoteRef/>
      </w:r>
      <w:r>
        <w:t>)</w:t>
      </w:r>
      <w:r>
        <w:tab/>
        <w:t xml:space="preserve">FRA, </w:t>
      </w:r>
      <w:hyperlink r:id="rId18" w:history="1">
        <w:r w:rsidRPr="00704710">
          <w:rPr>
            <w:rStyle w:val="Hyperlink"/>
            <w:i/>
            <w:iCs/>
          </w:rPr>
          <w:t>Being Black in the EU – Experiences of people of African descent</w:t>
        </w:r>
      </w:hyperlink>
      <w:r w:rsidRPr="00193A9A">
        <w:t xml:space="preserve">, </w:t>
      </w:r>
      <w:hyperlink r:id="rId19" w:history="1">
        <w:r w:rsidRPr="00704710">
          <w:rPr>
            <w:rStyle w:val="Hyperlink"/>
            <w:i/>
            <w:iCs/>
          </w:rPr>
          <w:t>Being Muslim in the EU – Experiences of Muslims</w:t>
        </w:r>
      </w:hyperlink>
      <w:r>
        <w:t xml:space="preserve">, p. 44, </w:t>
      </w:r>
      <w:hyperlink r:id="rId20" w:history="1">
        <w:r w:rsidRPr="00B61149">
          <w:rPr>
            <w:rStyle w:val="Hyperlink"/>
            <w:i/>
            <w:iCs/>
          </w:rPr>
          <w:t>Experiences and perceptions of antisemitism – Second survey on discrimination and hate crime against Jews in the EU</w:t>
        </w:r>
      </w:hyperlink>
      <w:r w:rsidRPr="00F72E43">
        <w:rPr>
          <w:lang w:val="en-IE"/>
        </w:rPr>
        <w:t>, p. 59</w:t>
      </w:r>
      <w:r>
        <w:rPr>
          <w:lang w:val="en-IE"/>
        </w:rPr>
        <w:t xml:space="preserve">, </w:t>
      </w:r>
      <w:hyperlink r:id="rId21" w:history="1">
        <w:r w:rsidRPr="00704710">
          <w:rPr>
            <w:rStyle w:val="Hyperlink"/>
            <w:i/>
            <w:iCs/>
          </w:rPr>
          <w:t xml:space="preserve">Jewish People’s Experiences and Perceptions of Antisemitism – EU </w:t>
        </w:r>
        <w:r>
          <w:rPr>
            <w:rStyle w:val="Hyperlink"/>
            <w:i/>
            <w:iCs/>
          </w:rPr>
          <w:t>s</w:t>
        </w:r>
        <w:r w:rsidRPr="00704710">
          <w:rPr>
            <w:rStyle w:val="Hyperlink"/>
            <w:i/>
            <w:iCs/>
          </w:rPr>
          <w:t xml:space="preserve">urvey of Jewish </w:t>
        </w:r>
        <w:r>
          <w:rPr>
            <w:rStyle w:val="Hyperlink"/>
            <w:i/>
            <w:iCs/>
          </w:rPr>
          <w:t>p</w:t>
        </w:r>
        <w:r w:rsidRPr="00704710">
          <w:rPr>
            <w:rStyle w:val="Hyperlink"/>
            <w:i/>
            <w:iCs/>
          </w:rPr>
          <w:t>eople</w:t>
        </w:r>
      </w:hyperlink>
      <w:r>
        <w:t>, p. 77.</w:t>
      </w:r>
    </w:p>
  </w:footnote>
  <w:footnote w:id="14">
    <w:p w14:paraId="146B4176" w14:textId="794EBCE7" w:rsidR="004D5B51" w:rsidRPr="00B54BD8" w:rsidRDefault="004D5B51" w:rsidP="004D5B51">
      <w:pPr>
        <w:pStyle w:val="FootnoteText"/>
        <w:rPr>
          <w:lang w:val="pl-PL"/>
        </w:rPr>
      </w:pPr>
      <w:r w:rsidRPr="00B54BD8">
        <w:rPr>
          <w:lang w:val="pl-PL"/>
        </w:rPr>
        <w:t>(</w:t>
      </w:r>
      <w:r w:rsidRPr="00193A9A">
        <w:rPr>
          <w:rStyle w:val="FootnoteReference"/>
        </w:rPr>
        <w:footnoteRef/>
      </w:r>
      <w:r w:rsidRPr="00B54BD8">
        <w:rPr>
          <w:lang w:val="pl-PL"/>
        </w:rPr>
        <w:t>)</w:t>
      </w:r>
      <w:r w:rsidRPr="00B54BD8">
        <w:rPr>
          <w:lang w:val="pl-PL"/>
        </w:rPr>
        <w:tab/>
        <w:t>OJ L, 2024/1499, 29.5.2024</w:t>
      </w:r>
      <w:r w:rsidR="000F1C11" w:rsidRPr="00B54BD8">
        <w:rPr>
          <w:lang w:val="pl-PL"/>
        </w:rPr>
        <w:t xml:space="preserve">, ELI: </w:t>
      </w:r>
      <w:hyperlink r:id="rId22" w:history="1">
        <w:r w:rsidR="000F1C11" w:rsidRPr="00B54BD8">
          <w:rPr>
            <w:rStyle w:val="Hyperlink"/>
            <w:lang w:val="pl-PL"/>
          </w:rPr>
          <w:t>http://data.europa.eu/eli/dir/2024/1499/oj</w:t>
        </w:r>
      </w:hyperlink>
      <w:r w:rsidR="00B151DB" w:rsidRPr="00B54BD8">
        <w:rPr>
          <w:lang w:val="pl-PL"/>
        </w:rPr>
        <w:t xml:space="preserve">, OJ L, 2024/1500, 29.5.2024, ELI: </w:t>
      </w:r>
      <w:hyperlink r:id="rId23" w:history="1">
        <w:r w:rsidR="00B151DB" w:rsidRPr="00B54BD8">
          <w:rPr>
            <w:rStyle w:val="Hyperlink"/>
            <w:lang w:val="pl-PL"/>
          </w:rPr>
          <w:t>http://data.europa.eu/eli/dir/2024/1500/oj</w:t>
        </w:r>
      </w:hyperlink>
      <w:r w:rsidR="00B151DB" w:rsidRPr="00B54BD8">
        <w:rPr>
          <w:lang w:val="pl-PL"/>
        </w:rPr>
        <w:t>.</w:t>
      </w:r>
    </w:p>
  </w:footnote>
  <w:footnote w:id="15">
    <w:p w14:paraId="5F78B607" w14:textId="6308DDC5" w:rsidR="009D027E" w:rsidRPr="00193A9A" w:rsidRDefault="009D027E">
      <w:pPr>
        <w:pStyle w:val="FootnoteText"/>
      </w:pPr>
      <w:r w:rsidRPr="00193A9A">
        <w:t>(</w:t>
      </w:r>
      <w:r w:rsidRPr="00193A9A">
        <w:rPr>
          <w:rStyle w:val="FootnoteReference"/>
        </w:rPr>
        <w:footnoteRef/>
      </w:r>
      <w:r w:rsidRPr="00193A9A">
        <w:t>)</w:t>
      </w:r>
      <w:r w:rsidRPr="00193A9A">
        <w:tab/>
      </w:r>
      <w:r w:rsidR="009B6995" w:rsidRPr="00193A9A">
        <w:t xml:space="preserve">Between May and July 2025, the Commission conducted targeted consultations using an online questionnaire that included both tailored questions about </w:t>
      </w:r>
      <w:r w:rsidR="00D72C4A">
        <w:t>the</w:t>
      </w:r>
      <w:r w:rsidR="00D72C4A" w:rsidRPr="00193A9A">
        <w:t xml:space="preserve"> </w:t>
      </w:r>
      <w:r w:rsidR="009B6995" w:rsidRPr="00193A9A">
        <w:t>implementation</w:t>
      </w:r>
      <w:r w:rsidR="00D72C4A">
        <w:t xml:space="preserve"> of the Directives</w:t>
      </w:r>
      <w:r w:rsidR="009B6995" w:rsidRPr="00193A9A">
        <w:t xml:space="preserve"> and open-ended questions to </w:t>
      </w:r>
      <w:r w:rsidR="00FE4781">
        <w:t>enable</w:t>
      </w:r>
      <w:r w:rsidR="00D72C4A">
        <w:t xml:space="preserve"> respondents to </w:t>
      </w:r>
      <w:r w:rsidR="009B6995" w:rsidRPr="00193A9A">
        <w:t xml:space="preserve">raise any additional concerns. The questionnaires were distributed to all Member States, </w:t>
      </w:r>
      <w:r w:rsidR="00D72C4A">
        <w:t xml:space="preserve">the </w:t>
      </w:r>
      <w:r w:rsidR="009B6995" w:rsidRPr="00193A9A">
        <w:t>equality bodies in each Member State, European social partners consulted under Article</w:t>
      </w:r>
      <w:r w:rsidR="00193A9A">
        <w:t> </w:t>
      </w:r>
      <w:r w:rsidR="009B6995" w:rsidRPr="00193A9A">
        <w:t>154 TFEU, and 57 civil society organi</w:t>
      </w:r>
      <w:r w:rsidR="00193A9A">
        <w:t>s</w:t>
      </w:r>
      <w:r w:rsidR="009B6995" w:rsidRPr="00193A9A">
        <w:t>ations. Stakeholders were encouraged to share the questionnaire with relevant parties at local, regional and national level.</w:t>
      </w:r>
    </w:p>
  </w:footnote>
  <w:footnote w:id="16">
    <w:p w14:paraId="48EFF129" w14:textId="58C9A1E5" w:rsidR="00972243" w:rsidRPr="00193A9A" w:rsidRDefault="00972243">
      <w:pPr>
        <w:pStyle w:val="FootnoteText"/>
      </w:pPr>
      <w:r w:rsidRPr="00193A9A">
        <w:t>(</w:t>
      </w:r>
      <w:r w:rsidRPr="00193A9A">
        <w:rPr>
          <w:rStyle w:val="FootnoteReference"/>
        </w:rPr>
        <w:footnoteRef/>
      </w:r>
      <w:r w:rsidRPr="00193A9A">
        <w:t>)</w:t>
      </w:r>
      <w:r w:rsidRPr="00193A9A">
        <w:tab/>
        <w:t>See</w:t>
      </w:r>
      <w:r w:rsidR="00384E1F" w:rsidRPr="00193A9A">
        <w:t xml:space="preserve"> e.g.</w:t>
      </w:r>
      <w:r w:rsidRPr="00193A9A">
        <w:t xml:space="preserve"> Article</w:t>
      </w:r>
      <w:r w:rsidR="00193A9A">
        <w:t> </w:t>
      </w:r>
      <w:r w:rsidRPr="00193A9A">
        <w:t>13(2) of the Racial Equality Directive.</w:t>
      </w:r>
    </w:p>
  </w:footnote>
  <w:footnote w:id="17">
    <w:p w14:paraId="7825D1D2" w14:textId="3F25D285" w:rsidR="004E77CC" w:rsidRPr="003C15DE" w:rsidRDefault="004E77CC" w:rsidP="004E77CC">
      <w:pPr>
        <w:pStyle w:val="FootnoteText"/>
        <w:rPr>
          <w:lang w:val="fr-CA"/>
        </w:rPr>
      </w:pPr>
      <w:r w:rsidRPr="003C15DE">
        <w:rPr>
          <w:lang w:val="fr-CA"/>
        </w:rPr>
        <w:t>(</w:t>
      </w:r>
      <w:r w:rsidRPr="00193A9A">
        <w:rPr>
          <w:rStyle w:val="FootnoteReference"/>
        </w:rPr>
        <w:footnoteRef/>
      </w:r>
      <w:r w:rsidRPr="003C15DE">
        <w:rPr>
          <w:lang w:val="fr-CA"/>
        </w:rPr>
        <w:t>)</w:t>
      </w:r>
      <w:r w:rsidRPr="003C15DE">
        <w:rPr>
          <w:lang w:val="fr-CA"/>
        </w:rPr>
        <w:tab/>
        <w:t>SWD</w:t>
      </w:r>
      <w:r w:rsidR="00011B96" w:rsidRPr="003C15DE">
        <w:rPr>
          <w:lang w:val="fr-CA"/>
        </w:rPr>
        <w:t>(</w:t>
      </w:r>
      <w:r w:rsidRPr="003C15DE">
        <w:rPr>
          <w:lang w:val="fr-CA"/>
        </w:rPr>
        <w:t>2021</w:t>
      </w:r>
      <w:r w:rsidR="00011B96" w:rsidRPr="003C15DE">
        <w:rPr>
          <w:lang w:val="fr-CA"/>
        </w:rPr>
        <w:t xml:space="preserve">) </w:t>
      </w:r>
      <w:r w:rsidRPr="003C15DE">
        <w:rPr>
          <w:lang w:val="fr-CA"/>
        </w:rPr>
        <w:t>63 final</w:t>
      </w:r>
      <w:r w:rsidR="00A76EE2" w:rsidRPr="003C15DE">
        <w:rPr>
          <w:lang w:val="fr-CA"/>
        </w:rPr>
        <w:t xml:space="preserve">, 19.3.2021, </w:t>
      </w:r>
      <w:hyperlink r:id="rId24" w:history="1">
        <w:r w:rsidR="00A76EE2" w:rsidRPr="003C15DE">
          <w:rPr>
            <w:rStyle w:val="Hyperlink"/>
            <w:lang w:val="fr-CA"/>
          </w:rPr>
          <w:t>EUR-Lex - 52021SC0063 - EN - EUR-Lex</w:t>
        </w:r>
      </w:hyperlink>
      <w:r w:rsidR="00A76EE2" w:rsidRPr="003C15DE">
        <w:rPr>
          <w:lang w:val="fr-CA"/>
        </w:rPr>
        <w:t>.</w:t>
      </w:r>
    </w:p>
  </w:footnote>
  <w:footnote w:id="18">
    <w:p w14:paraId="7F59B77C" w14:textId="45604A5E" w:rsidR="00856349" w:rsidRPr="00193A9A" w:rsidRDefault="00856349">
      <w:pPr>
        <w:pStyle w:val="FootnoteText"/>
      </w:pPr>
      <w:r w:rsidRPr="00193A9A">
        <w:t>(</w:t>
      </w:r>
      <w:r w:rsidRPr="00193A9A">
        <w:rPr>
          <w:rStyle w:val="FootnoteReference"/>
        </w:rPr>
        <w:footnoteRef/>
      </w:r>
      <w:r w:rsidRPr="00193A9A">
        <w:t>)</w:t>
      </w:r>
      <w:r w:rsidRPr="00193A9A">
        <w:tab/>
        <w:t xml:space="preserve">See </w:t>
      </w:r>
      <w:r w:rsidR="00F07E49">
        <w:t>r</w:t>
      </w:r>
      <w:r w:rsidRPr="00193A9A">
        <w:t>ecital</w:t>
      </w:r>
      <w:r w:rsidR="00836F68">
        <w:t> </w:t>
      </w:r>
      <w:r w:rsidRPr="00193A9A">
        <w:t xml:space="preserve">23 of Council Directive </w:t>
      </w:r>
      <w:r w:rsidR="00F07E49">
        <w:t xml:space="preserve">(EU) </w:t>
      </w:r>
      <w:r w:rsidRPr="00193A9A">
        <w:t>2024/1499.</w:t>
      </w:r>
    </w:p>
  </w:footnote>
  <w:footnote w:id="19">
    <w:p w14:paraId="4FE500AA" w14:textId="1B3CBC87" w:rsidR="00B7094F" w:rsidRPr="00193A9A" w:rsidRDefault="00B7094F" w:rsidP="00B7094F">
      <w:pPr>
        <w:pStyle w:val="FootnoteText"/>
      </w:pPr>
      <w:r w:rsidRPr="00193A9A">
        <w:t>(</w:t>
      </w:r>
      <w:r w:rsidRPr="00193A9A">
        <w:rPr>
          <w:rStyle w:val="FootnoteReference"/>
        </w:rPr>
        <w:footnoteRef/>
      </w:r>
      <w:r w:rsidRPr="00193A9A">
        <w:t>)</w:t>
      </w:r>
      <w:r w:rsidRPr="00193A9A">
        <w:tab/>
        <w:t>See Article</w:t>
      </w:r>
      <w:r w:rsidR="00193A9A">
        <w:t> </w:t>
      </w:r>
      <w:r w:rsidRPr="00193A9A">
        <w:t xml:space="preserve">5 and </w:t>
      </w:r>
      <w:r w:rsidR="00F07E49">
        <w:t>Article </w:t>
      </w:r>
      <w:r w:rsidRPr="00193A9A">
        <w:t xml:space="preserve">17(c) of </w:t>
      </w:r>
      <w:r w:rsidR="001018B9" w:rsidRPr="00193A9A">
        <w:t xml:space="preserve">Council </w:t>
      </w:r>
      <w:r w:rsidRPr="00193A9A">
        <w:t xml:space="preserve">Directive </w:t>
      </w:r>
      <w:r w:rsidR="00F07E49">
        <w:t xml:space="preserve">(EU) </w:t>
      </w:r>
      <w:r w:rsidRPr="00193A9A">
        <w:t>2024/1499.</w:t>
      </w:r>
    </w:p>
  </w:footnote>
  <w:footnote w:id="20">
    <w:p w14:paraId="300EEBE1" w14:textId="0C78B616" w:rsidR="00B7094F" w:rsidRPr="00193A9A" w:rsidRDefault="00B7094F" w:rsidP="00B7094F">
      <w:pPr>
        <w:pStyle w:val="FootnoteText"/>
      </w:pPr>
      <w:r w:rsidRPr="00193A9A">
        <w:t>(</w:t>
      </w:r>
      <w:r w:rsidRPr="00193A9A">
        <w:rPr>
          <w:rStyle w:val="FootnoteReference"/>
        </w:rPr>
        <w:footnoteRef/>
      </w:r>
      <w:r w:rsidRPr="00193A9A">
        <w:t>)</w:t>
      </w:r>
      <w:r w:rsidRPr="00193A9A">
        <w:tab/>
        <w:t>See Article</w:t>
      </w:r>
      <w:r w:rsidR="00193A9A">
        <w:t> </w:t>
      </w:r>
      <w:r w:rsidRPr="00193A9A">
        <w:t xml:space="preserve">10 of </w:t>
      </w:r>
      <w:r w:rsidR="001018B9" w:rsidRPr="00193A9A">
        <w:t xml:space="preserve">Council </w:t>
      </w:r>
      <w:r w:rsidRPr="00193A9A">
        <w:t xml:space="preserve">Directive </w:t>
      </w:r>
      <w:r w:rsidR="00BC58EE">
        <w:t xml:space="preserve">(EU) </w:t>
      </w:r>
      <w:r w:rsidRPr="00193A9A">
        <w:t>2024/1499.</w:t>
      </w:r>
      <w:r w:rsidR="007C40CE" w:rsidRPr="00193A9A">
        <w:t xml:space="preserve"> In particular, Member States </w:t>
      </w:r>
      <w:r w:rsidR="00B116D6">
        <w:t>must</w:t>
      </w:r>
      <w:r w:rsidR="00B116D6" w:rsidRPr="00193A9A">
        <w:t xml:space="preserve"> </w:t>
      </w:r>
      <w:r w:rsidR="007C40CE" w:rsidRPr="00193A9A">
        <w:t>ensure</w:t>
      </w:r>
      <w:r w:rsidR="00B116D6">
        <w:t xml:space="preserve"> that the equality body has</w:t>
      </w:r>
      <w:r w:rsidR="007C40CE" w:rsidRPr="00193A9A">
        <w:t xml:space="preserve"> at least one of the following rights to act in court proceedings: (a) the right to initiate court proceedings on behalf of one or several victims; (b) the right to participate in court proceedings in support of one or several victims; or (c) the right to initiate court proceedings in its own name, in order to defend the public interest.</w:t>
      </w:r>
    </w:p>
  </w:footnote>
  <w:footnote w:id="21">
    <w:p w14:paraId="7C85B1CF" w14:textId="2DA4C229" w:rsidR="000D3715" w:rsidRPr="00193A9A" w:rsidRDefault="000D3715">
      <w:pPr>
        <w:pStyle w:val="FootnoteText"/>
      </w:pPr>
      <w:r w:rsidRPr="00193A9A">
        <w:t>(</w:t>
      </w:r>
      <w:r w:rsidRPr="00193A9A">
        <w:rPr>
          <w:rStyle w:val="FootnoteReference"/>
        </w:rPr>
        <w:footnoteRef/>
      </w:r>
      <w:r w:rsidRPr="00193A9A">
        <w:t>)</w:t>
      </w:r>
      <w:r w:rsidRPr="00193A9A">
        <w:tab/>
        <w:t>Collective redress is a legal mechanism that allows one or more (natural or legal) persons to initiate a collective claim that may lead to the application of collective sanctions.</w:t>
      </w:r>
    </w:p>
  </w:footnote>
  <w:footnote w:id="22">
    <w:p w14:paraId="477BF02A" w14:textId="13A47A2B" w:rsidR="00B7094F" w:rsidRPr="00193A9A" w:rsidRDefault="00B7094F" w:rsidP="00B7094F">
      <w:pPr>
        <w:pStyle w:val="FootnoteText"/>
      </w:pPr>
      <w:r w:rsidRPr="00193A9A">
        <w:t>(</w:t>
      </w:r>
      <w:r w:rsidRPr="00193A9A">
        <w:rPr>
          <w:rStyle w:val="FootnoteReference"/>
        </w:rPr>
        <w:footnoteRef/>
      </w:r>
      <w:r w:rsidRPr="00193A9A">
        <w:t>)</w:t>
      </w:r>
      <w:r w:rsidRPr="00193A9A">
        <w:tab/>
        <w:t xml:space="preserve">See </w:t>
      </w:r>
      <w:r w:rsidR="00BC58EE">
        <w:t>r</w:t>
      </w:r>
      <w:r w:rsidRPr="00193A9A">
        <w:t>ecital</w:t>
      </w:r>
      <w:r w:rsidR="00836F68">
        <w:t> </w:t>
      </w:r>
      <w:r w:rsidRPr="00193A9A">
        <w:t xml:space="preserve">35 of </w:t>
      </w:r>
      <w:r w:rsidR="001018B9" w:rsidRPr="00193A9A">
        <w:t xml:space="preserve">Council </w:t>
      </w:r>
      <w:r w:rsidRPr="00193A9A">
        <w:t xml:space="preserve">Directive </w:t>
      </w:r>
      <w:r w:rsidR="00BC58EE">
        <w:t xml:space="preserve">(EU) </w:t>
      </w:r>
      <w:r w:rsidRPr="00193A9A">
        <w:t>2024/1499.</w:t>
      </w:r>
    </w:p>
  </w:footnote>
  <w:footnote w:id="23">
    <w:p w14:paraId="08E9AD2B" w14:textId="2A3A05ED" w:rsidR="00437D1D" w:rsidRPr="00193A9A" w:rsidRDefault="00437D1D" w:rsidP="00EA6AA4">
      <w:pPr>
        <w:pStyle w:val="FootnoteText"/>
      </w:pPr>
      <w:r w:rsidRPr="00193A9A">
        <w:t>(</w:t>
      </w:r>
      <w:r w:rsidRPr="00193A9A">
        <w:rPr>
          <w:rStyle w:val="FootnoteReference"/>
        </w:rPr>
        <w:footnoteRef/>
      </w:r>
      <w:r w:rsidRPr="00193A9A">
        <w:t>)</w:t>
      </w:r>
      <w:r w:rsidRPr="00193A9A">
        <w:tab/>
        <w:t>See Article</w:t>
      </w:r>
      <w:r w:rsidR="00193A9A">
        <w:t> </w:t>
      </w:r>
      <w:r w:rsidRPr="00193A9A">
        <w:t>6 of Council Directive</w:t>
      </w:r>
      <w:r w:rsidR="00267A75">
        <w:t xml:space="preserve"> (EU)</w:t>
      </w:r>
      <w:r w:rsidRPr="00193A9A">
        <w:t xml:space="preserve"> 2024/1499</w:t>
      </w:r>
      <w:r w:rsidR="00EA6AA4" w:rsidRPr="00193A9A">
        <w:t>.</w:t>
      </w:r>
    </w:p>
  </w:footnote>
  <w:footnote w:id="24">
    <w:p w14:paraId="5C66B899" w14:textId="5518E03D" w:rsidR="00437D1D" w:rsidRPr="00193A9A" w:rsidRDefault="00437D1D">
      <w:pPr>
        <w:pStyle w:val="FootnoteText"/>
      </w:pPr>
      <w:r w:rsidRPr="00193A9A">
        <w:t>(</w:t>
      </w:r>
      <w:r w:rsidRPr="00193A9A">
        <w:rPr>
          <w:rStyle w:val="FootnoteReference"/>
        </w:rPr>
        <w:footnoteRef/>
      </w:r>
      <w:r w:rsidRPr="00193A9A">
        <w:t>)</w:t>
      </w:r>
      <w:r w:rsidRPr="00193A9A">
        <w:tab/>
        <w:t xml:space="preserve">Member States </w:t>
      </w:r>
      <w:r w:rsidR="00267A75">
        <w:t>must</w:t>
      </w:r>
      <w:r w:rsidR="00267A75" w:rsidRPr="00193A9A">
        <w:t xml:space="preserve"> </w:t>
      </w:r>
      <w:r w:rsidRPr="00193A9A">
        <w:t>decide whether to empower an equality body to issue non-binding opinions or binding decisions.</w:t>
      </w:r>
    </w:p>
  </w:footnote>
  <w:footnote w:id="25">
    <w:p w14:paraId="1A463C04" w14:textId="73878758" w:rsidR="0008768D" w:rsidRPr="00661A34" w:rsidRDefault="0008768D" w:rsidP="0008768D">
      <w:pPr>
        <w:pStyle w:val="FootnoteText"/>
        <w:rPr>
          <w:lang w:val="pl-PL"/>
        </w:rPr>
      </w:pPr>
      <w:r w:rsidRPr="00661A34">
        <w:rPr>
          <w:lang w:val="pl-PL"/>
        </w:rPr>
        <w:t>(</w:t>
      </w:r>
      <w:r>
        <w:rPr>
          <w:rStyle w:val="FootnoteReference"/>
        </w:rPr>
        <w:footnoteRef/>
      </w:r>
      <w:r w:rsidRPr="00661A34">
        <w:rPr>
          <w:lang w:val="pl-PL"/>
        </w:rPr>
        <w:t>)</w:t>
      </w:r>
      <w:r w:rsidRPr="00661A34">
        <w:rPr>
          <w:lang w:val="pl-PL"/>
        </w:rPr>
        <w:tab/>
      </w:r>
      <w:r w:rsidR="002B01C7" w:rsidRPr="00661A34">
        <w:rPr>
          <w:lang w:val="pl-PL"/>
        </w:rPr>
        <w:t>OJ L, 2026/1196, 11.6.2026, ELI: </w:t>
      </w:r>
      <w:hyperlink r:id="rId25" w:tgtFrame="_blank" w:tooltip="Gives access to this document through its ELI URI." w:history="1">
        <w:r w:rsidR="002B01C7" w:rsidRPr="00661A34">
          <w:rPr>
            <w:rStyle w:val="Hyperlink"/>
            <w:lang w:val="pl-PL"/>
          </w:rPr>
          <w:t>http://data.europa.eu/eli/reg_impl/2026/1196/oj</w:t>
        </w:r>
      </w:hyperlink>
      <w:r w:rsidRPr="00661A34">
        <w:rPr>
          <w:lang w:val="pl-PL"/>
        </w:rPr>
        <w:t>.</w:t>
      </w:r>
    </w:p>
  </w:footnote>
  <w:footnote w:id="26">
    <w:p w14:paraId="30D0C022" w14:textId="01A79CEE" w:rsidR="001C121A" w:rsidRPr="00193A9A" w:rsidRDefault="00A132C9" w:rsidP="001C121A">
      <w:pPr>
        <w:pStyle w:val="FootnoteText"/>
      </w:pPr>
      <w:r w:rsidRPr="00193A9A">
        <w:t>(</w:t>
      </w:r>
      <w:r w:rsidRPr="00193A9A">
        <w:rPr>
          <w:rStyle w:val="FootnoteReference"/>
        </w:rPr>
        <w:footnoteRef/>
      </w:r>
      <w:r w:rsidRPr="00193A9A">
        <w:t>)</w:t>
      </w:r>
      <w:r w:rsidRPr="00193A9A">
        <w:tab/>
        <w:t>See Article</w:t>
      </w:r>
      <w:r w:rsidR="00193A9A">
        <w:t> </w:t>
      </w:r>
      <w:r w:rsidRPr="00193A9A">
        <w:t>15 of the Racial Equality Directive and Article</w:t>
      </w:r>
      <w:r w:rsidR="00193A9A">
        <w:t> </w:t>
      </w:r>
      <w:r w:rsidRPr="00193A9A">
        <w:t>17 of the Employment Equality Directive.</w:t>
      </w:r>
    </w:p>
  </w:footnote>
  <w:footnote w:id="27">
    <w:p w14:paraId="26BCBA31" w14:textId="153F916E" w:rsidR="0059523B" w:rsidRPr="00193A9A" w:rsidRDefault="0059523B" w:rsidP="0059523B">
      <w:pPr>
        <w:pStyle w:val="FootnoteText"/>
      </w:pPr>
      <w:r w:rsidRPr="00193A9A">
        <w:t>(</w:t>
      </w:r>
      <w:r w:rsidRPr="00193A9A">
        <w:rPr>
          <w:rStyle w:val="FootnoteReference"/>
        </w:rPr>
        <w:footnoteRef/>
      </w:r>
      <w:r w:rsidRPr="00193A9A">
        <w:t>)</w:t>
      </w:r>
      <w:r w:rsidRPr="00193A9A">
        <w:tab/>
      </w:r>
      <w:r w:rsidRPr="00A17F86">
        <w:t>Judgment</w:t>
      </w:r>
      <w:r w:rsidRPr="00193A9A">
        <w:t xml:space="preserve"> of the Court</w:t>
      </w:r>
      <w:r w:rsidR="00A17F86">
        <w:t xml:space="preserve"> of Justice</w:t>
      </w:r>
      <w:r w:rsidRPr="00193A9A">
        <w:t xml:space="preserve"> of 15</w:t>
      </w:r>
      <w:r w:rsidR="00193A9A">
        <w:t> </w:t>
      </w:r>
      <w:r w:rsidRPr="00193A9A">
        <w:t xml:space="preserve">April 2021, </w:t>
      </w:r>
      <w:r w:rsidRPr="00193A9A">
        <w:rPr>
          <w:i/>
          <w:iCs/>
        </w:rPr>
        <w:t xml:space="preserve">Diskrimineringsombudsmannen </w:t>
      </w:r>
      <w:r w:rsidRPr="001708E4">
        <w:t>v</w:t>
      </w:r>
      <w:r w:rsidRPr="00193A9A">
        <w:rPr>
          <w:i/>
          <w:iCs/>
        </w:rPr>
        <w:t xml:space="preserve"> Braathens Regional Aviation AB</w:t>
      </w:r>
      <w:r w:rsidRPr="00193A9A">
        <w:t>, C</w:t>
      </w:r>
      <w:r w:rsidRPr="00193A9A">
        <w:noBreakHyphen/>
        <w:t>30/19, ECLI:EU:C:2021:269, paragraph 49.</w:t>
      </w:r>
    </w:p>
  </w:footnote>
  <w:footnote w:id="28">
    <w:p w14:paraId="52A2D98C" w14:textId="69B313B4" w:rsidR="0080366F" w:rsidRPr="00193A9A" w:rsidRDefault="0080366F">
      <w:pPr>
        <w:pStyle w:val="FootnoteText"/>
      </w:pPr>
      <w:r w:rsidRPr="00193A9A">
        <w:t>(</w:t>
      </w:r>
      <w:r w:rsidRPr="00193A9A">
        <w:rPr>
          <w:rStyle w:val="FootnoteReference"/>
        </w:rPr>
        <w:footnoteRef/>
      </w:r>
      <w:r w:rsidRPr="00193A9A">
        <w:t>)</w:t>
      </w:r>
      <w:r w:rsidRPr="00193A9A">
        <w:tab/>
      </w:r>
      <w:r w:rsidR="00C94923" w:rsidRPr="00193A9A">
        <w:t>European Commission: Directorate-General for Justice and Consumers, Milieu Consulting, Adamis-Császár, K., Vancauwenbergh, S., Gustave, F. et al.,</w:t>
      </w:r>
      <w:r w:rsidR="00BD7870">
        <w:t xml:space="preserve"> </w:t>
      </w:r>
      <w:r w:rsidR="00C94923" w:rsidRPr="00193A9A">
        <w:rPr>
          <w:i/>
          <w:iCs/>
        </w:rPr>
        <w:t>Study on sanctions for discrimination on racial/ethnic/religious grounds – Final report</w:t>
      </w:r>
      <w:r w:rsidR="00C94923" w:rsidRPr="00193A9A">
        <w:t>, Publications Office of the European Union, 2025, </w:t>
      </w:r>
      <w:hyperlink r:id="rId26" w:tgtFrame="_blank" w:history="1">
        <w:r w:rsidR="00C94923" w:rsidRPr="00B34005">
          <w:rPr>
            <w:rStyle w:val="Hyperlink"/>
          </w:rPr>
          <w:t>https://data.europa.eu/doi/10.2838/7531428</w:t>
        </w:r>
      </w:hyperlink>
      <w:r w:rsidR="009E1FFC" w:rsidRPr="00193A9A">
        <w:t>.</w:t>
      </w:r>
    </w:p>
  </w:footnote>
  <w:footnote w:id="29">
    <w:p w14:paraId="4BA1437A" w14:textId="26D926AA" w:rsidR="00EF0CB3" w:rsidRPr="00193A9A" w:rsidRDefault="00EF0CB3">
      <w:pPr>
        <w:pStyle w:val="FootnoteText"/>
      </w:pPr>
      <w:r w:rsidRPr="00193A9A">
        <w:t>(</w:t>
      </w:r>
      <w:r w:rsidRPr="00193A9A">
        <w:rPr>
          <w:rStyle w:val="FootnoteReference"/>
        </w:rPr>
        <w:footnoteRef/>
      </w:r>
      <w:r w:rsidRPr="00193A9A">
        <w:t>)</w:t>
      </w:r>
      <w:r w:rsidRPr="00193A9A">
        <w:tab/>
        <w:t xml:space="preserve">Such measures can take the form of an injunction, i.e. an order prohibiting certain actions or ordering certain actions. A basic injunction </w:t>
      </w:r>
      <w:r w:rsidR="00A045EE">
        <w:t>would</w:t>
      </w:r>
      <w:r w:rsidR="00A045EE" w:rsidRPr="00193A9A">
        <w:t xml:space="preserve"> </w:t>
      </w:r>
      <w:r w:rsidRPr="00193A9A">
        <w:t xml:space="preserve">order a perpetrator to take, or stop, a specific action or type of action. Structural injunctions seek to tackle pervasive organisational and even systemically embedded discrimination for which a basic injunction </w:t>
      </w:r>
      <w:r w:rsidR="00A045EE">
        <w:t>would</w:t>
      </w:r>
      <w:r w:rsidR="00A045EE" w:rsidRPr="00193A9A">
        <w:t xml:space="preserve"> </w:t>
      </w:r>
      <w:r w:rsidRPr="00193A9A">
        <w:t>not lead to satisfactory reform</w:t>
      </w:r>
      <w:r w:rsidR="00697B0C" w:rsidRPr="00193A9A">
        <w:t xml:space="preserve"> </w:t>
      </w:r>
      <w:r w:rsidR="008C30AE" w:rsidRPr="00193A9A">
        <w:t>(e.g. amending internal regulations)</w:t>
      </w:r>
      <w:r w:rsidRPr="00193A9A">
        <w:t>.</w:t>
      </w:r>
      <w:r w:rsidR="008C30AE" w:rsidRPr="00193A9A">
        <w:t xml:space="preserve"> See also</w:t>
      </w:r>
      <w:r w:rsidR="00697B0C" w:rsidRPr="00193A9A">
        <w:t>:</w:t>
      </w:r>
      <w:r w:rsidR="008C30AE" w:rsidRPr="00193A9A">
        <w:t xml:space="preserve"> Halberstam, D., Van den Bogaert, S., ‘A Fresh Look at Judicial Remedies in EU Equality Law and Beyond</w:t>
      </w:r>
      <w:r w:rsidR="00A045EE">
        <w:t xml:space="preserve"> –</w:t>
      </w:r>
      <w:r w:rsidR="008C30AE" w:rsidRPr="00193A9A">
        <w:t xml:space="preserve"> The Untapped Possibility of Structural Injunctions’, </w:t>
      </w:r>
      <w:r w:rsidR="001708E4" w:rsidRPr="001708E4">
        <w:rPr>
          <w:i/>
          <w:iCs/>
        </w:rPr>
        <w:t>Common Market Law Review</w:t>
      </w:r>
      <w:r w:rsidR="001708E4" w:rsidRPr="001708E4">
        <w:t xml:space="preserve">, Vol. 60, Issue 5, 2023, pp. 1269-1312, </w:t>
      </w:r>
      <w:hyperlink r:id="rId27" w:history="1">
        <w:r w:rsidR="001708E4" w:rsidRPr="001708E4">
          <w:rPr>
            <w:rStyle w:val="Hyperlink"/>
          </w:rPr>
          <w:t>https://doi.org/10.54648/cola2023093</w:t>
        </w:r>
      </w:hyperlink>
      <w:r w:rsidR="001708E4" w:rsidRPr="001708E4">
        <w:t>.</w:t>
      </w:r>
    </w:p>
  </w:footnote>
  <w:footnote w:id="30">
    <w:p w14:paraId="7AB33A5D" w14:textId="61EDAB6B" w:rsidR="002042E6" w:rsidRPr="00193A9A" w:rsidRDefault="002042E6">
      <w:pPr>
        <w:pStyle w:val="FootnoteText"/>
      </w:pPr>
      <w:r w:rsidRPr="00193A9A">
        <w:t>(</w:t>
      </w:r>
      <w:r w:rsidRPr="00193A9A">
        <w:rPr>
          <w:rStyle w:val="FootnoteReference"/>
        </w:rPr>
        <w:footnoteRef/>
      </w:r>
      <w:r w:rsidRPr="00193A9A">
        <w:t>)</w:t>
      </w:r>
      <w:r w:rsidRPr="00193A9A">
        <w:tab/>
      </w:r>
      <w:r w:rsidR="00F31280">
        <w:t>See note 2</w:t>
      </w:r>
      <w:r w:rsidR="00695349">
        <w:t>7</w:t>
      </w:r>
      <w:r w:rsidR="00F31280">
        <w:t>.</w:t>
      </w:r>
    </w:p>
  </w:footnote>
  <w:footnote w:id="31">
    <w:p w14:paraId="01BAB4D7" w14:textId="62779823" w:rsidR="001C5B1C" w:rsidRPr="00B61149" w:rsidRDefault="001C5B1C" w:rsidP="00496F1D">
      <w:pPr>
        <w:pStyle w:val="FootnoteText"/>
        <w:rPr>
          <w:lang w:val="en"/>
        </w:rPr>
      </w:pPr>
      <w:r>
        <w:t>(</w:t>
      </w:r>
      <w:r>
        <w:rPr>
          <w:rStyle w:val="FootnoteReference"/>
        </w:rPr>
        <w:footnoteRef/>
      </w:r>
      <w:r>
        <w:t>)</w:t>
      </w:r>
      <w:r>
        <w:tab/>
        <w:t xml:space="preserve">For instance, </w:t>
      </w:r>
      <w:r w:rsidRPr="001C5B1C">
        <w:t xml:space="preserve">statements concerning </w:t>
      </w:r>
      <w:r w:rsidR="00496F1D">
        <w:t xml:space="preserve">a </w:t>
      </w:r>
      <w:r>
        <w:t>discriminatory</w:t>
      </w:r>
      <w:r w:rsidRPr="001C5B1C">
        <w:t xml:space="preserve"> recruitment policy even though there was no </w:t>
      </w:r>
      <w:r w:rsidR="00496F1D">
        <w:t>open</w:t>
      </w:r>
      <w:r w:rsidRPr="001C5B1C">
        <w:t xml:space="preserve"> recruitment procedure and there was no identifiable complainant who claim</w:t>
      </w:r>
      <w:r w:rsidR="00496F1D">
        <w:t>ed</w:t>
      </w:r>
      <w:r w:rsidRPr="001C5B1C">
        <w:t xml:space="preserve"> to have been the victim of discrimination</w:t>
      </w:r>
      <w:r>
        <w:t xml:space="preserve">. For similar facts, see judgment of the Court of Justice of 10 July 2008, </w:t>
      </w:r>
      <w:r>
        <w:rPr>
          <w:i/>
          <w:iCs/>
        </w:rPr>
        <w:t>Feryn</w:t>
      </w:r>
      <w:r w:rsidRPr="00193A9A">
        <w:t>, C-</w:t>
      </w:r>
      <w:r>
        <w:t>54/07</w:t>
      </w:r>
      <w:r w:rsidRPr="00193A9A">
        <w:t xml:space="preserve">, </w:t>
      </w:r>
      <w:r w:rsidRPr="001C5B1C">
        <w:rPr>
          <w:lang w:val="en"/>
        </w:rPr>
        <w:t>ECLI:EU:C:2008:397</w:t>
      </w:r>
      <w:r>
        <w:t xml:space="preserve"> or judgment of the Court of Justice of 25 April, </w:t>
      </w:r>
      <w:r w:rsidR="00496F1D" w:rsidRPr="00B61149">
        <w:rPr>
          <w:i/>
          <w:iCs/>
        </w:rPr>
        <w:t>Asociaţia Accept</w:t>
      </w:r>
      <w:r w:rsidR="00496F1D">
        <w:t xml:space="preserve">, C-81/12, </w:t>
      </w:r>
      <w:r w:rsidR="00496F1D" w:rsidRPr="00496F1D">
        <w:t>ECLI:EU:C:2013:275</w:t>
      </w:r>
      <w:r w:rsidR="00496F1D">
        <w:t>.</w:t>
      </w:r>
    </w:p>
  </w:footnote>
  <w:footnote w:id="32">
    <w:p w14:paraId="3AD0957D" w14:textId="4790BC5F" w:rsidR="00FC572C" w:rsidRPr="00193A9A" w:rsidRDefault="00FC572C" w:rsidP="00FC572C">
      <w:pPr>
        <w:pStyle w:val="FootnoteText"/>
      </w:pPr>
      <w:r w:rsidRPr="00193A9A">
        <w:t>(</w:t>
      </w:r>
      <w:r w:rsidRPr="00193A9A">
        <w:rPr>
          <w:rStyle w:val="FootnoteReference"/>
        </w:rPr>
        <w:footnoteRef/>
      </w:r>
      <w:r w:rsidRPr="00193A9A">
        <w:t>)</w:t>
      </w:r>
      <w:r w:rsidRPr="00193A9A">
        <w:tab/>
        <w:t xml:space="preserve">Payment, typically imposed by a court at the request of the victim, to compel the perpetrator to comply with a </w:t>
      </w:r>
      <w:r w:rsidRPr="00C67712">
        <w:t>judgment</w:t>
      </w:r>
      <w:r w:rsidRPr="00193A9A">
        <w:t xml:space="preserve"> on merits</w:t>
      </w:r>
      <w:r w:rsidR="00FA7C9C">
        <w:t>.</w:t>
      </w:r>
    </w:p>
  </w:footnote>
  <w:footnote w:id="33">
    <w:p w14:paraId="22553CB3" w14:textId="5EF01FC7" w:rsidR="00FC572C" w:rsidRPr="00193A9A" w:rsidRDefault="00FC572C">
      <w:pPr>
        <w:pStyle w:val="FootnoteText"/>
      </w:pPr>
      <w:r w:rsidRPr="00193A9A">
        <w:t>(</w:t>
      </w:r>
      <w:r w:rsidRPr="00193A9A">
        <w:rPr>
          <w:rStyle w:val="FootnoteReference"/>
        </w:rPr>
        <w:footnoteRef/>
      </w:r>
      <w:r w:rsidRPr="00193A9A">
        <w:t>)</w:t>
      </w:r>
      <w:r w:rsidRPr="00193A9A">
        <w:tab/>
        <w:t>A penalty imposed by a court or adjudicating body that becomes payable only if certain conditions are not met by the perpetrator. It is used as a deterrent to ensure compliance with a specific order or requirement.</w:t>
      </w:r>
    </w:p>
  </w:footnote>
  <w:footnote w:id="34">
    <w:p w14:paraId="488E3F5E" w14:textId="1CD5D6F1" w:rsidR="007F22F7" w:rsidRPr="00B61149" w:rsidRDefault="007F22F7">
      <w:pPr>
        <w:pStyle w:val="FootnoteText"/>
        <w:rPr>
          <w:lang w:val="en-IE"/>
        </w:rPr>
      </w:pPr>
      <w:r>
        <w:t>(</w:t>
      </w:r>
      <w:r>
        <w:rPr>
          <w:rStyle w:val="FootnoteReference"/>
        </w:rPr>
        <w:footnoteRef/>
      </w:r>
      <w:r>
        <w:t>)</w:t>
      </w:r>
      <w:r>
        <w:tab/>
      </w:r>
      <w:r w:rsidRPr="00193A9A">
        <w:t>European Commission: Directorate-General for Justice and Consumers, Milieu Consulting SRL, Adamis-Császár, K., Vancauwenbergh, S., Gustave, F. et al.,</w:t>
      </w:r>
      <w:r>
        <w:t xml:space="preserve"> </w:t>
      </w:r>
      <w:r w:rsidRPr="00193A9A">
        <w:rPr>
          <w:i/>
          <w:iCs/>
        </w:rPr>
        <w:t>How can sanctions effectively prevent and combat discrimination? – Good practice guide on sanctions for discrimination on racial, ethnic and religious grounds</w:t>
      </w:r>
      <w:r w:rsidRPr="00193A9A">
        <w:t>, Publications Office of the European Union, 2025,</w:t>
      </w:r>
      <w:r>
        <w:t xml:space="preserve"> p.</w:t>
      </w:r>
      <w:r w:rsidRPr="00193A9A">
        <w:t> </w:t>
      </w:r>
      <w:r>
        <w:t xml:space="preserve">32, </w:t>
      </w:r>
      <w:hyperlink r:id="rId28" w:history="1">
        <w:r w:rsidRPr="00B34005">
          <w:rPr>
            <w:rStyle w:val="Hyperlink"/>
          </w:rPr>
          <w:t>https://data.europa.eu/doi/10.2838/0513884</w:t>
        </w:r>
      </w:hyperlink>
      <w:r w:rsidRPr="00B34005">
        <w:t>.</w:t>
      </w:r>
    </w:p>
  </w:footnote>
  <w:footnote w:id="35">
    <w:p w14:paraId="73FB497F" w14:textId="0CCD9BE6" w:rsidR="00697048" w:rsidRPr="00193A9A" w:rsidRDefault="00697048" w:rsidP="003A7486">
      <w:pPr>
        <w:pStyle w:val="FootnoteText"/>
      </w:pPr>
      <w:r w:rsidRPr="00193A9A">
        <w:t>(</w:t>
      </w:r>
      <w:r w:rsidRPr="00193A9A">
        <w:rPr>
          <w:rStyle w:val="FootnoteReference"/>
        </w:rPr>
        <w:footnoteRef/>
      </w:r>
      <w:r w:rsidRPr="00193A9A">
        <w:t>)</w:t>
      </w:r>
      <w:r w:rsidRPr="00193A9A">
        <w:tab/>
        <w:t>See Article</w:t>
      </w:r>
      <w:r w:rsidR="00193A9A">
        <w:t> </w:t>
      </w:r>
      <w:r w:rsidRPr="00193A9A">
        <w:t xml:space="preserve">2(2) of the Directives. Direct discrimination refers to situations where a person is treated less favourably than </w:t>
      </w:r>
      <w:r w:rsidR="003A7486" w:rsidRPr="00193A9A">
        <w:t>an</w:t>
      </w:r>
      <w:r w:rsidRPr="00193A9A">
        <w:t>other</w:t>
      </w:r>
      <w:r w:rsidR="003A7486" w:rsidRPr="00193A9A">
        <w:t xml:space="preserve"> </w:t>
      </w:r>
      <w:r w:rsidRPr="00193A9A">
        <w:t xml:space="preserve">in a comparable situation on grounds of </w:t>
      </w:r>
      <w:r w:rsidR="003A7486" w:rsidRPr="00193A9A">
        <w:t xml:space="preserve">their </w:t>
      </w:r>
      <w:r w:rsidRPr="00193A9A">
        <w:t xml:space="preserve">racial or ethnic origin, </w:t>
      </w:r>
      <w:r w:rsidR="00EB68CB" w:rsidRPr="00193A9A">
        <w:t>religion or belief, disability, age or sexual orientation.</w:t>
      </w:r>
      <w:r w:rsidRPr="00193A9A">
        <w:t xml:space="preserve"> Indirect discrimination </w:t>
      </w:r>
      <w:r w:rsidR="00EB68CB" w:rsidRPr="00193A9A">
        <w:t>covers</w:t>
      </w:r>
      <w:r w:rsidRPr="00193A9A">
        <w:t xml:space="preserve"> apparently neutral provision</w:t>
      </w:r>
      <w:r w:rsidR="003A7486" w:rsidRPr="00193A9A">
        <w:t>s</w:t>
      </w:r>
      <w:r w:rsidRPr="00193A9A">
        <w:t xml:space="preserve"> </w:t>
      </w:r>
      <w:r w:rsidR="003A7486" w:rsidRPr="00193A9A">
        <w:t>(</w:t>
      </w:r>
      <w:r w:rsidRPr="00193A9A">
        <w:t xml:space="preserve">or </w:t>
      </w:r>
      <w:r w:rsidRPr="002618F1">
        <w:t>practice</w:t>
      </w:r>
      <w:r w:rsidR="003A7486" w:rsidRPr="002618F1">
        <w:t>s</w:t>
      </w:r>
      <w:r w:rsidR="003A7486" w:rsidRPr="00193A9A">
        <w:t>)</w:t>
      </w:r>
      <w:r w:rsidRPr="00193A9A">
        <w:t xml:space="preserve"> </w:t>
      </w:r>
      <w:r w:rsidR="00EB68CB" w:rsidRPr="00193A9A">
        <w:t xml:space="preserve">which </w:t>
      </w:r>
      <w:r w:rsidRPr="00193A9A">
        <w:t xml:space="preserve">would put persons </w:t>
      </w:r>
      <w:r w:rsidR="00EB68CB" w:rsidRPr="00193A9A">
        <w:t>of racial or ethnic origin or</w:t>
      </w:r>
      <w:r w:rsidR="002618F1">
        <w:t xml:space="preserve"> persons</w:t>
      </w:r>
      <w:r w:rsidR="00EB68CB" w:rsidRPr="00193A9A">
        <w:t xml:space="preserve"> having a particular religion or belief, a particular disability, a particular age or a particular sexual orientation </w:t>
      </w:r>
      <w:r w:rsidRPr="00193A9A">
        <w:t>at a particular disadvantage compared with other persons</w:t>
      </w:r>
      <w:r w:rsidR="00EB68CB" w:rsidRPr="00193A9A">
        <w:t xml:space="preserve"> unless</w:t>
      </w:r>
      <w:r w:rsidRPr="00193A9A">
        <w:t xml:space="preserve"> th</w:t>
      </w:r>
      <w:r w:rsidR="003A7486" w:rsidRPr="00193A9A">
        <w:t>ose</w:t>
      </w:r>
      <w:r w:rsidRPr="00193A9A">
        <w:t xml:space="preserve"> provision</w:t>
      </w:r>
      <w:r w:rsidR="003A7486" w:rsidRPr="00193A9A">
        <w:t>s</w:t>
      </w:r>
      <w:r w:rsidRPr="00193A9A">
        <w:t xml:space="preserve"> </w:t>
      </w:r>
      <w:r w:rsidR="003A7486" w:rsidRPr="00193A9A">
        <w:t>(</w:t>
      </w:r>
      <w:r w:rsidRPr="00193A9A">
        <w:t xml:space="preserve">or </w:t>
      </w:r>
      <w:r w:rsidRPr="002618F1">
        <w:t>practice</w:t>
      </w:r>
      <w:r w:rsidR="003A7486" w:rsidRPr="002618F1">
        <w:t>s</w:t>
      </w:r>
      <w:r w:rsidR="003A7486" w:rsidRPr="00193A9A">
        <w:t>)</w:t>
      </w:r>
      <w:r w:rsidRPr="00193A9A">
        <w:t xml:space="preserve"> </w:t>
      </w:r>
      <w:r w:rsidR="002618F1">
        <w:t>are</w:t>
      </w:r>
      <w:r w:rsidRPr="00193A9A">
        <w:t xml:space="preserve"> objectively justified by a legitimate aim and the means of achieving that aim </w:t>
      </w:r>
      <w:r w:rsidR="00C467AA">
        <w:t>is</w:t>
      </w:r>
      <w:r w:rsidRPr="00193A9A">
        <w:t xml:space="preserve"> appropriate and necessary.</w:t>
      </w:r>
    </w:p>
  </w:footnote>
  <w:footnote w:id="36">
    <w:p w14:paraId="4152A50D" w14:textId="46E2857F" w:rsidR="001C121A" w:rsidRPr="00193A9A" w:rsidRDefault="001C121A" w:rsidP="001C121A">
      <w:pPr>
        <w:pStyle w:val="FootnoteText"/>
      </w:pPr>
      <w:r w:rsidRPr="00193A9A">
        <w:t>(</w:t>
      </w:r>
      <w:r w:rsidRPr="00193A9A">
        <w:rPr>
          <w:rStyle w:val="FootnoteReference"/>
        </w:rPr>
        <w:footnoteRef/>
      </w:r>
      <w:r w:rsidRPr="00193A9A">
        <w:t>)</w:t>
      </w:r>
      <w:r w:rsidRPr="00193A9A">
        <w:tab/>
        <w:t>See Article</w:t>
      </w:r>
      <w:r w:rsidR="00193A9A">
        <w:t> </w:t>
      </w:r>
      <w:r w:rsidRPr="00193A9A">
        <w:t>2(4) of the Directives.</w:t>
      </w:r>
    </w:p>
  </w:footnote>
  <w:footnote w:id="37">
    <w:p w14:paraId="09EA9C65" w14:textId="16281E74" w:rsidR="007304E8" w:rsidRPr="00B61149" w:rsidRDefault="007304E8" w:rsidP="0010704F">
      <w:pPr>
        <w:pStyle w:val="FootnoteText"/>
        <w:rPr>
          <w:lang w:val="en-IE"/>
        </w:rPr>
      </w:pPr>
      <w:r w:rsidRPr="00193A9A">
        <w:t>(</w:t>
      </w:r>
      <w:r w:rsidRPr="00193A9A">
        <w:rPr>
          <w:rStyle w:val="FootnoteReference"/>
        </w:rPr>
        <w:footnoteRef/>
      </w:r>
      <w:r w:rsidRPr="00193A9A">
        <w:t>)</w:t>
      </w:r>
      <w:r w:rsidRPr="00193A9A">
        <w:tab/>
      </w:r>
      <w:r w:rsidR="0010704F" w:rsidRPr="0010704F">
        <w:rPr>
          <w:lang w:val="en-IE"/>
        </w:rPr>
        <w:t xml:space="preserve">The relevant literature may present different figures to those provided by the </w:t>
      </w:r>
      <w:r w:rsidR="009C4145">
        <w:rPr>
          <w:lang w:val="en-IE"/>
        </w:rPr>
        <w:t>Member States</w:t>
      </w:r>
      <w:r w:rsidR="0010704F">
        <w:t xml:space="preserve">. See </w:t>
      </w:r>
      <w:r w:rsidRPr="00193A9A">
        <w:t>Dewhurst, E</w:t>
      </w:r>
      <w:r w:rsidR="007D1F6C" w:rsidRPr="00193A9A">
        <w:t xml:space="preserve">., </w:t>
      </w:r>
      <w:r w:rsidRPr="00193A9A">
        <w:t xml:space="preserve">Buendia, </w:t>
      </w:r>
      <w:r w:rsidR="007D1F6C" w:rsidRPr="00193A9A">
        <w:t>R.</w:t>
      </w:r>
      <w:r w:rsidRPr="00193A9A">
        <w:t xml:space="preserve">, </w:t>
      </w:r>
      <w:r w:rsidR="007D1F6C" w:rsidRPr="00193A9A">
        <w:rPr>
          <w:i/>
          <w:iCs/>
        </w:rPr>
        <w:t>Instructions to discriminate under EU and national law</w:t>
      </w:r>
      <w:r w:rsidR="007D1F6C" w:rsidRPr="00193A9A">
        <w:t>, Publication Office of the European Union, 2025, </w:t>
      </w:r>
      <w:hyperlink r:id="rId29" w:tgtFrame="_blank" w:history="1">
        <w:r w:rsidR="007D1F6C" w:rsidRPr="00B34005">
          <w:rPr>
            <w:rStyle w:val="Hyperlink"/>
          </w:rPr>
          <w:t>https://data.europa.eu/doi/10.2838/6242130</w:t>
        </w:r>
      </w:hyperlink>
      <w:r w:rsidR="007D1F6C" w:rsidRPr="00B34005">
        <w:t>.</w:t>
      </w:r>
    </w:p>
  </w:footnote>
  <w:footnote w:id="38">
    <w:p w14:paraId="2FB7CAEF" w14:textId="27C3DD07" w:rsidR="001C121A" w:rsidRPr="00193A9A" w:rsidRDefault="001C121A" w:rsidP="001C121A">
      <w:pPr>
        <w:pStyle w:val="FootnoteText"/>
      </w:pPr>
      <w:r w:rsidRPr="00193A9A">
        <w:t>(</w:t>
      </w:r>
      <w:r w:rsidRPr="00193A9A">
        <w:rPr>
          <w:rStyle w:val="FootnoteReference"/>
        </w:rPr>
        <w:footnoteRef/>
      </w:r>
      <w:r w:rsidRPr="00193A9A">
        <w:t>)</w:t>
      </w:r>
      <w:r w:rsidRPr="00193A9A">
        <w:tab/>
      </w:r>
      <w:r w:rsidR="00E1254D">
        <w:t>See note 3</w:t>
      </w:r>
      <w:r w:rsidR="00695349">
        <w:t>6</w:t>
      </w:r>
      <w:r w:rsidR="00E1254D">
        <w:t>, p. 10.</w:t>
      </w:r>
    </w:p>
  </w:footnote>
  <w:footnote w:id="39">
    <w:p w14:paraId="098606DA" w14:textId="54F08F86" w:rsidR="009979EB" w:rsidRPr="00193A9A" w:rsidRDefault="009979EB" w:rsidP="009979EB">
      <w:pPr>
        <w:pStyle w:val="FootnoteText"/>
      </w:pPr>
      <w:r w:rsidRPr="00193A9A">
        <w:t>(</w:t>
      </w:r>
      <w:r w:rsidRPr="00193A9A">
        <w:rPr>
          <w:rStyle w:val="FootnoteReference"/>
        </w:rPr>
        <w:footnoteRef/>
      </w:r>
      <w:r w:rsidRPr="00193A9A">
        <w:t>)</w:t>
      </w:r>
      <w:r w:rsidRPr="00193A9A">
        <w:tab/>
        <w:t>See Article</w:t>
      </w:r>
      <w:r w:rsidR="00193A9A">
        <w:t> </w:t>
      </w:r>
      <w:r w:rsidRPr="00193A9A">
        <w:t>2(3) of the Directives.</w:t>
      </w:r>
    </w:p>
  </w:footnote>
  <w:footnote w:id="40">
    <w:p w14:paraId="75C193DC" w14:textId="2BBEE1D2" w:rsidR="009979EB" w:rsidRPr="00193A9A" w:rsidRDefault="009979EB" w:rsidP="009979EB">
      <w:pPr>
        <w:pStyle w:val="FootnoteText"/>
      </w:pPr>
      <w:r w:rsidRPr="00193A9A">
        <w:t>(</w:t>
      </w:r>
      <w:r w:rsidRPr="00193A9A">
        <w:rPr>
          <w:rStyle w:val="FootnoteReference"/>
        </w:rPr>
        <w:footnoteRef/>
      </w:r>
      <w:r w:rsidRPr="00193A9A">
        <w:t>)</w:t>
      </w:r>
      <w:r w:rsidRPr="00193A9A">
        <w:tab/>
        <w:t>‘Discriminatory’ harassment focuses on the impact on the victim</w:t>
      </w:r>
      <w:r w:rsidR="00193A9A">
        <w:t>’</w:t>
      </w:r>
      <w:r w:rsidRPr="00193A9A">
        <w:t>s dignity and behaviour, whereas criminal harassment concentrates on punishing the perpetrator for criminal offences.</w:t>
      </w:r>
    </w:p>
  </w:footnote>
  <w:footnote w:id="41">
    <w:p w14:paraId="1E5267BE" w14:textId="54E9FC78" w:rsidR="009979EB" w:rsidRPr="00193A9A" w:rsidRDefault="009979EB" w:rsidP="009979EB">
      <w:pPr>
        <w:pStyle w:val="FootnoteText"/>
      </w:pPr>
      <w:r w:rsidRPr="00193A9A">
        <w:t>(</w:t>
      </w:r>
      <w:r w:rsidRPr="00193A9A">
        <w:rPr>
          <w:rStyle w:val="FootnoteReference"/>
        </w:rPr>
        <w:footnoteRef/>
      </w:r>
      <w:r w:rsidRPr="00193A9A">
        <w:t>)</w:t>
      </w:r>
      <w:r w:rsidRPr="00193A9A">
        <w:tab/>
        <w:t>Criminal law addresses the most severe forms of harassment, such as incitement to hatred, defamation, stalking or threats.</w:t>
      </w:r>
    </w:p>
  </w:footnote>
  <w:footnote w:id="42">
    <w:p w14:paraId="5A62B193" w14:textId="2F8776DD" w:rsidR="009979EB" w:rsidRPr="00193A9A" w:rsidRDefault="009979EB" w:rsidP="009979EB">
      <w:pPr>
        <w:pStyle w:val="FootnoteText"/>
      </w:pPr>
      <w:r w:rsidRPr="00193A9A">
        <w:t>(</w:t>
      </w:r>
      <w:r w:rsidRPr="00193A9A">
        <w:rPr>
          <w:rStyle w:val="FootnoteReference"/>
        </w:rPr>
        <w:footnoteRef/>
      </w:r>
      <w:r w:rsidRPr="00193A9A">
        <w:t>)</w:t>
      </w:r>
      <w:r w:rsidRPr="00193A9A">
        <w:tab/>
        <w:t>Criminal harassment typically requires intent, persistence and harm. These are not necessary under non-discrimination law.</w:t>
      </w:r>
    </w:p>
  </w:footnote>
  <w:footnote w:id="43">
    <w:p w14:paraId="17432E2B" w14:textId="0215738F" w:rsidR="009979EB" w:rsidRPr="00193A9A" w:rsidRDefault="009979EB" w:rsidP="009979EB">
      <w:pPr>
        <w:pStyle w:val="FootnoteText"/>
      </w:pPr>
      <w:r w:rsidRPr="00193A9A">
        <w:t>(</w:t>
      </w:r>
      <w:r w:rsidRPr="00193A9A">
        <w:rPr>
          <w:rStyle w:val="FootnoteReference"/>
        </w:rPr>
        <w:footnoteRef/>
      </w:r>
      <w:r w:rsidRPr="00193A9A">
        <w:t>)</w:t>
      </w:r>
      <w:r w:rsidRPr="00193A9A">
        <w:tab/>
        <w:t>The</w:t>
      </w:r>
      <w:r w:rsidR="00E53E2F">
        <w:t>y</w:t>
      </w:r>
      <w:r w:rsidRPr="00193A9A">
        <w:t xml:space="preserve"> include: inappropriate or offensive language; production, display or circulation of pictures or videos</w:t>
      </w:r>
      <w:r w:rsidR="0049476A" w:rsidRPr="00193A9A">
        <w:t xml:space="preserve"> or written words</w:t>
      </w:r>
      <w:r w:rsidRPr="00193A9A">
        <w:t>;</w:t>
      </w:r>
      <w:r w:rsidR="00193A9A" w:rsidRPr="00193A9A">
        <w:t xml:space="preserve"> </w:t>
      </w:r>
      <w:r w:rsidRPr="00193A9A">
        <w:t>physical contact</w:t>
      </w:r>
      <w:r w:rsidR="0049476A" w:rsidRPr="00193A9A">
        <w:t xml:space="preserve"> or violence</w:t>
      </w:r>
      <w:r w:rsidRPr="00193A9A">
        <w:t>; bullying; exclusion; unjustifiable/persistent criticism</w:t>
      </w:r>
      <w:r w:rsidR="00947FD2" w:rsidRPr="00193A9A">
        <w:t xml:space="preserve"> or control</w:t>
      </w:r>
      <w:r w:rsidRPr="00193A9A">
        <w:t xml:space="preserve">; </w:t>
      </w:r>
      <w:r w:rsidR="00540973" w:rsidRPr="00193A9A">
        <w:t xml:space="preserve">undermining professional performance or spreading rumours; </w:t>
      </w:r>
      <w:r w:rsidR="00B06161" w:rsidRPr="00193A9A">
        <w:t xml:space="preserve">deliberate overloading with work or setting impossible deadlines; </w:t>
      </w:r>
      <w:r w:rsidRPr="00193A9A">
        <w:t>humiliation; verbal or non-verbal intimidation</w:t>
      </w:r>
      <w:r w:rsidR="0049476A" w:rsidRPr="00193A9A">
        <w:t xml:space="preserve"> or threats</w:t>
      </w:r>
      <w:r w:rsidRPr="00193A9A">
        <w:t>;</w:t>
      </w:r>
      <w:r w:rsidR="00193A9A" w:rsidRPr="00193A9A">
        <w:t xml:space="preserve"> </w:t>
      </w:r>
      <w:r w:rsidR="0039570B" w:rsidRPr="00193A9A">
        <w:t xml:space="preserve">verbal abuse or insults; </w:t>
      </w:r>
      <w:r w:rsidRPr="00193A9A">
        <w:t>inappropriate jokes; psychological pressure</w:t>
      </w:r>
      <w:r w:rsidR="00910A82" w:rsidRPr="00193A9A">
        <w:t xml:space="preserve"> or violence</w:t>
      </w:r>
      <w:r w:rsidRPr="00193A9A">
        <w:t xml:space="preserve">; unwanted acts or requests; gestures; stalking; name-calling; hate speech or hate symbols; online harassment; graffiti; </w:t>
      </w:r>
      <w:r w:rsidR="007A5D71">
        <w:t xml:space="preserve">and </w:t>
      </w:r>
      <w:r w:rsidRPr="00193A9A">
        <w:t>refusal to acknowledge preferred pronouns.</w:t>
      </w:r>
    </w:p>
  </w:footnote>
  <w:footnote w:id="44">
    <w:p w14:paraId="074EF254" w14:textId="10A8B544" w:rsidR="009979EB" w:rsidRPr="00193A9A" w:rsidRDefault="009979EB" w:rsidP="009979EB">
      <w:pPr>
        <w:pStyle w:val="FootnoteText"/>
      </w:pPr>
      <w:r w:rsidRPr="00193A9A">
        <w:t>(</w:t>
      </w:r>
      <w:r w:rsidRPr="00193A9A">
        <w:rPr>
          <w:rStyle w:val="FootnoteReference"/>
        </w:rPr>
        <w:footnoteRef/>
      </w:r>
      <w:r w:rsidRPr="00193A9A">
        <w:t>)</w:t>
      </w:r>
      <w:r w:rsidRPr="00193A9A">
        <w:tab/>
        <w:t>Malta highlighted that such</w:t>
      </w:r>
      <w:r w:rsidR="009D24BD">
        <w:t xml:space="preserve"> a</w:t>
      </w:r>
      <w:r w:rsidRPr="00193A9A">
        <w:t xml:space="preserve"> framework creates a positive duty of care for employers, educators and service providers to actively prevent harassment </w:t>
      </w:r>
      <w:r w:rsidR="009D24BD">
        <w:t>–</w:t>
      </w:r>
      <w:r w:rsidRPr="00193A9A">
        <w:t xml:space="preserve"> not only between staff but also between staff and third parties.</w:t>
      </w:r>
    </w:p>
  </w:footnote>
  <w:footnote w:id="45">
    <w:p w14:paraId="0A1FC6E7" w14:textId="62254C63" w:rsidR="00733068" w:rsidRPr="00733068" w:rsidRDefault="00733068" w:rsidP="00733068">
      <w:pPr>
        <w:pStyle w:val="FootnoteText"/>
      </w:pPr>
      <w:r>
        <w:t>(</w:t>
      </w:r>
      <w:r>
        <w:rPr>
          <w:rStyle w:val="FootnoteReference"/>
        </w:rPr>
        <w:footnoteRef/>
      </w:r>
      <w:r>
        <w:t>)</w:t>
      </w:r>
      <w:r>
        <w:tab/>
        <w:t>The examples from Bulgaria and Italy fall outside the material scope of both the Racial Equality Directive and the Employment Equality Directive. Nevertheless, they are relevant to the concept of 'harassment' as defined in these Directives and as implemented in national legislation.</w:t>
      </w:r>
    </w:p>
  </w:footnote>
  <w:footnote w:id="46">
    <w:p w14:paraId="4C1E6530" w14:textId="77777777" w:rsidR="00E1254D" w:rsidRPr="00193A9A" w:rsidRDefault="00E1254D" w:rsidP="00E1254D">
      <w:pPr>
        <w:pStyle w:val="FootnoteText"/>
      </w:pPr>
      <w:r w:rsidRPr="00193A9A">
        <w:t>(</w:t>
      </w:r>
      <w:r w:rsidRPr="00193A9A">
        <w:rPr>
          <w:rStyle w:val="FootnoteReference"/>
        </w:rPr>
        <w:footnoteRef/>
      </w:r>
      <w:r w:rsidRPr="00193A9A">
        <w:t>)</w:t>
      </w:r>
      <w:r w:rsidRPr="00193A9A">
        <w:tab/>
        <w:t>Supreme Administrative Court of Bulgaria, Decision No</w:t>
      </w:r>
      <w:r>
        <w:t> </w:t>
      </w:r>
      <w:r w:rsidRPr="00193A9A">
        <w:t>9763 of 16</w:t>
      </w:r>
      <w:r>
        <w:t> </w:t>
      </w:r>
      <w:r w:rsidRPr="00193A9A">
        <w:t>September 2024.</w:t>
      </w:r>
    </w:p>
  </w:footnote>
  <w:footnote w:id="47">
    <w:p w14:paraId="451CBBD4" w14:textId="77777777" w:rsidR="00E1254D" w:rsidRPr="00193A9A" w:rsidRDefault="00E1254D" w:rsidP="00E1254D">
      <w:pPr>
        <w:pStyle w:val="FootnoteText"/>
      </w:pPr>
      <w:r w:rsidRPr="00193A9A">
        <w:t>(</w:t>
      </w:r>
      <w:r w:rsidRPr="00193A9A">
        <w:rPr>
          <w:rStyle w:val="FootnoteReference"/>
        </w:rPr>
        <w:footnoteRef/>
      </w:r>
      <w:r w:rsidRPr="00193A9A">
        <w:t>)</w:t>
      </w:r>
      <w:r w:rsidRPr="00193A9A">
        <w:tab/>
        <w:t>Supreme Administrative Court of Bulgaria, Decision No</w:t>
      </w:r>
      <w:r>
        <w:t> </w:t>
      </w:r>
      <w:r w:rsidRPr="00193A9A">
        <w:t>5014 of 14</w:t>
      </w:r>
      <w:r>
        <w:t> </w:t>
      </w:r>
      <w:r w:rsidRPr="00193A9A">
        <w:t>May 2025.</w:t>
      </w:r>
    </w:p>
  </w:footnote>
  <w:footnote w:id="48">
    <w:p w14:paraId="16B75047" w14:textId="77777777" w:rsidR="00E1254D" w:rsidRPr="00193A9A" w:rsidRDefault="00E1254D" w:rsidP="00E1254D">
      <w:pPr>
        <w:pStyle w:val="FootnoteText"/>
      </w:pPr>
      <w:r w:rsidRPr="00193A9A">
        <w:t>(</w:t>
      </w:r>
      <w:r w:rsidRPr="00193A9A">
        <w:rPr>
          <w:rStyle w:val="FootnoteReference"/>
        </w:rPr>
        <w:footnoteRef/>
      </w:r>
      <w:r w:rsidRPr="00193A9A">
        <w:t>)</w:t>
      </w:r>
      <w:r w:rsidRPr="00193A9A">
        <w:tab/>
        <w:t xml:space="preserve">Antwerp Court of Appeal, </w:t>
      </w:r>
      <w:r w:rsidRPr="00B2030B">
        <w:t>Judgment</w:t>
      </w:r>
      <w:r w:rsidRPr="00193A9A">
        <w:t xml:space="preserve"> No</w:t>
      </w:r>
      <w:r>
        <w:t> </w:t>
      </w:r>
      <w:r w:rsidRPr="00193A9A">
        <w:t>2023/CO/654 of 27</w:t>
      </w:r>
      <w:r>
        <w:t> </w:t>
      </w:r>
      <w:r w:rsidRPr="00193A9A">
        <w:t>June 2024.</w:t>
      </w:r>
    </w:p>
  </w:footnote>
  <w:footnote w:id="49">
    <w:p w14:paraId="35264FD9" w14:textId="77777777" w:rsidR="007E5B04" w:rsidRPr="00193A9A" w:rsidRDefault="007E5B04" w:rsidP="007E5B04">
      <w:pPr>
        <w:pStyle w:val="FootnoteText"/>
      </w:pPr>
      <w:r w:rsidRPr="00193A9A">
        <w:t>(</w:t>
      </w:r>
      <w:r w:rsidRPr="00193A9A">
        <w:rPr>
          <w:rStyle w:val="FootnoteReference"/>
        </w:rPr>
        <w:footnoteRef/>
      </w:r>
      <w:r w:rsidRPr="00193A9A">
        <w:t>)</w:t>
      </w:r>
      <w:r w:rsidRPr="00193A9A">
        <w:tab/>
        <w:t>Italian Supreme Court of Cassation, Order No</w:t>
      </w:r>
      <w:r>
        <w:t> </w:t>
      </w:r>
      <w:r w:rsidRPr="00193A9A">
        <w:t>14836 of 26</w:t>
      </w:r>
      <w:r>
        <w:t> </w:t>
      </w:r>
      <w:r w:rsidRPr="00193A9A">
        <w:t>May 2023.</w:t>
      </w:r>
    </w:p>
  </w:footnote>
  <w:footnote w:id="50">
    <w:p w14:paraId="42F4BDC6" w14:textId="66603E8F" w:rsidR="009979EB" w:rsidRPr="00193A9A" w:rsidRDefault="009979EB" w:rsidP="009979EB">
      <w:pPr>
        <w:pStyle w:val="FootnoteText"/>
      </w:pPr>
      <w:r w:rsidRPr="00193A9A">
        <w:t>(</w:t>
      </w:r>
      <w:r w:rsidRPr="00193A9A">
        <w:rPr>
          <w:rStyle w:val="FootnoteReference"/>
        </w:rPr>
        <w:footnoteRef/>
      </w:r>
      <w:r w:rsidRPr="00193A9A">
        <w:t>)</w:t>
      </w:r>
      <w:r w:rsidRPr="00193A9A">
        <w:tab/>
        <w:t xml:space="preserve">See </w:t>
      </w:r>
      <w:r w:rsidR="00E31A5C">
        <w:t>j</w:t>
      </w:r>
      <w:r w:rsidRPr="00B2030B">
        <w:t>udgment</w:t>
      </w:r>
      <w:r w:rsidRPr="00193A9A">
        <w:t xml:space="preserve"> of the Court</w:t>
      </w:r>
      <w:r w:rsidR="00433900">
        <w:t xml:space="preserve"> of Justice</w:t>
      </w:r>
      <w:r w:rsidRPr="00193A9A">
        <w:t xml:space="preserve"> of 11</w:t>
      </w:r>
      <w:r w:rsidR="00193A9A">
        <w:t> </w:t>
      </w:r>
      <w:r w:rsidRPr="00193A9A">
        <w:t xml:space="preserve">September 2025, </w:t>
      </w:r>
      <w:r w:rsidRPr="00193A9A">
        <w:rPr>
          <w:i/>
          <w:iCs/>
        </w:rPr>
        <w:t>Bervidi</w:t>
      </w:r>
      <w:r w:rsidRPr="00193A9A">
        <w:t>, C-</w:t>
      </w:r>
      <w:r w:rsidR="00777AC7" w:rsidRPr="00193A9A">
        <w:t>38/24</w:t>
      </w:r>
      <w:r w:rsidRPr="00193A9A">
        <w:t>, ECLI:EU:C:2025:690, paragraphs</w:t>
      </w:r>
      <w:r w:rsidR="00E11289">
        <w:t> </w:t>
      </w:r>
      <w:r w:rsidRPr="00193A9A">
        <w:t>55</w:t>
      </w:r>
      <w:r w:rsidR="006F7EA6" w:rsidRPr="00193A9A">
        <w:t xml:space="preserve"> to </w:t>
      </w:r>
      <w:r w:rsidRPr="00193A9A">
        <w:t>56.</w:t>
      </w:r>
    </w:p>
  </w:footnote>
  <w:footnote w:id="51">
    <w:p w14:paraId="42211AFD" w14:textId="154CCEEA" w:rsidR="009979EB" w:rsidRPr="00193A9A" w:rsidRDefault="009979EB" w:rsidP="009979EB">
      <w:pPr>
        <w:pStyle w:val="FootnoteText"/>
      </w:pPr>
      <w:r w:rsidRPr="00193A9A">
        <w:t>(</w:t>
      </w:r>
      <w:r w:rsidRPr="00193A9A">
        <w:rPr>
          <w:rStyle w:val="FootnoteReference"/>
        </w:rPr>
        <w:footnoteRef/>
      </w:r>
      <w:r w:rsidRPr="00193A9A">
        <w:t>)</w:t>
      </w:r>
      <w:r w:rsidRPr="00193A9A">
        <w:tab/>
        <w:t xml:space="preserve">Walsh, J., </w:t>
      </w:r>
      <w:r w:rsidRPr="00193A9A">
        <w:rPr>
          <w:i/>
          <w:iCs/>
        </w:rPr>
        <w:t>Discrimination by association and discrimination by assumption under directives 2000/43 and 2000/78</w:t>
      </w:r>
      <w:r w:rsidRPr="00193A9A">
        <w:t>, Publications Office of the European Union, 2024, p.</w:t>
      </w:r>
      <w:r w:rsidR="00193A9A">
        <w:t> </w:t>
      </w:r>
      <w:r w:rsidRPr="00193A9A">
        <w:t xml:space="preserve">12-13, </w:t>
      </w:r>
      <w:hyperlink r:id="rId30" w:history="1">
        <w:r w:rsidRPr="00B34005">
          <w:rPr>
            <w:rStyle w:val="Hyperlink"/>
          </w:rPr>
          <w:t>https://data.europa.eu/doi/10.2838/4086758</w:t>
        </w:r>
      </w:hyperlink>
      <w:r w:rsidRPr="00B34005">
        <w:t>.</w:t>
      </w:r>
    </w:p>
  </w:footnote>
  <w:footnote w:id="52">
    <w:p w14:paraId="0B152F62" w14:textId="0869C397" w:rsidR="009979EB" w:rsidRPr="00193A9A" w:rsidRDefault="009979EB" w:rsidP="009979EB">
      <w:pPr>
        <w:pStyle w:val="FootnoteText"/>
      </w:pPr>
      <w:r w:rsidRPr="00193A9A">
        <w:t>(</w:t>
      </w:r>
      <w:r w:rsidRPr="00193A9A">
        <w:rPr>
          <w:rStyle w:val="FootnoteReference"/>
        </w:rPr>
        <w:footnoteRef/>
      </w:r>
      <w:r w:rsidRPr="00193A9A">
        <w:t>)</w:t>
      </w:r>
      <w:r w:rsidRPr="00193A9A">
        <w:tab/>
        <w:t xml:space="preserve">See e.g. </w:t>
      </w:r>
      <w:r w:rsidRPr="00193A9A">
        <w:rPr>
          <w:i/>
          <w:iCs/>
        </w:rPr>
        <w:t xml:space="preserve">Timishev </w:t>
      </w:r>
      <w:r w:rsidRPr="00261717">
        <w:t>v</w:t>
      </w:r>
      <w:r w:rsidRPr="00193A9A">
        <w:rPr>
          <w:i/>
          <w:iCs/>
        </w:rPr>
        <w:t xml:space="preserve"> Russia</w:t>
      </w:r>
      <w:r w:rsidRPr="00193A9A">
        <w:t>, Nos</w:t>
      </w:r>
      <w:r w:rsidR="00193A9A">
        <w:t> </w:t>
      </w:r>
      <w:r w:rsidRPr="00193A9A">
        <w:t>55762/00 and 55974/00, 13</w:t>
      </w:r>
      <w:r w:rsidR="00193A9A">
        <w:t> </w:t>
      </w:r>
      <w:r w:rsidRPr="00193A9A">
        <w:t>December 2005.</w:t>
      </w:r>
    </w:p>
  </w:footnote>
  <w:footnote w:id="53">
    <w:p w14:paraId="46C7836A" w14:textId="38C1D524" w:rsidR="009979EB" w:rsidRPr="00193A9A" w:rsidRDefault="009979EB" w:rsidP="009979EB">
      <w:pPr>
        <w:pStyle w:val="FootnoteText"/>
      </w:pPr>
      <w:r w:rsidRPr="00193A9A">
        <w:t>(</w:t>
      </w:r>
      <w:r w:rsidRPr="00193A9A">
        <w:rPr>
          <w:rStyle w:val="FootnoteReference"/>
        </w:rPr>
        <w:footnoteRef/>
      </w:r>
      <w:r w:rsidRPr="00193A9A">
        <w:t>)</w:t>
      </w:r>
      <w:r w:rsidRPr="00193A9A">
        <w:tab/>
      </w:r>
      <w:r w:rsidR="005E7CB1">
        <w:t xml:space="preserve">See note </w:t>
      </w:r>
      <w:r w:rsidR="00695349">
        <w:t>50</w:t>
      </w:r>
      <w:r w:rsidRPr="00193A9A">
        <w:t>.</w:t>
      </w:r>
    </w:p>
  </w:footnote>
  <w:footnote w:id="54">
    <w:p w14:paraId="2182DDD2" w14:textId="3CDC9E6D" w:rsidR="001C3C6E" w:rsidRPr="00B61149" w:rsidRDefault="001C3C6E">
      <w:pPr>
        <w:pStyle w:val="FootnoteText"/>
        <w:rPr>
          <w:lang w:val="en-IE"/>
        </w:rPr>
      </w:pPr>
      <w:r>
        <w:t>(</w:t>
      </w:r>
      <w:r>
        <w:rPr>
          <w:rStyle w:val="FootnoteReference"/>
        </w:rPr>
        <w:footnoteRef/>
      </w:r>
      <w:r>
        <w:t>)</w:t>
      </w:r>
      <w:r>
        <w:tab/>
        <w:t xml:space="preserve">In the </w:t>
      </w:r>
      <w:r w:rsidRPr="00B61149">
        <w:rPr>
          <w:i/>
          <w:iCs/>
        </w:rPr>
        <w:t>Bervidi</w:t>
      </w:r>
      <w:r>
        <w:t xml:space="preserve"> case (see </w:t>
      </w:r>
      <w:r w:rsidR="005E7CB1">
        <w:t xml:space="preserve">note </w:t>
      </w:r>
      <w:r w:rsidR="00AD2626">
        <w:t>4</w:t>
      </w:r>
      <w:r w:rsidR="00695349">
        <w:t>9</w:t>
      </w:r>
      <w:r>
        <w:t xml:space="preserve">), the CJEU </w:t>
      </w:r>
      <w:r w:rsidR="0010328A">
        <w:t>ruled</w:t>
      </w:r>
      <w:r>
        <w:t xml:space="preserve"> that worker</w:t>
      </w:r>
      <w:r w:rsidR="0010328A">
        <w:t>s</w:t>
      </w:r>
      <w:r>
        <w:t xml:space="preserve"> without disabilit</w:t>
      </w:r>
      <w:r w:rsidR="0010328A">
        <w:t>ies</w:t>
      </w:r>
      <w:r>
        <w:t xml:space="preserve"> may also benefit from reasonable accommodation</w:t>
      </w:r>
      <w:r w:rsidR="0010328A">
        <w:t xml:space="preserve">s </w:t>
      </w:r>
      <w:r>
        <w:t>in certain circumstances.</w:t>
      </w:r>
    </w:p>
  </w:footnote>
  <w:footnote w:id="55">
    <w:p w14:paraId="642FF363" w14:textId="3FB0834A" w:rsidR="00777AC7" w:rsidRPr="00193A9A" w:rsidRDefault="00777AC7">
      <w:pPr>
        <w:pStyle w:val="FootnoteText"/>
      </w:pPr>
      <w:r w:rsidRPr="00193A9A">
        <w:t>(</w:t>
      </w:r>
      <w:r w:rsidRPr="00193A9A">
        <w:rPr>
          <w:rStyle w:val="FootnoteReference"/>
        </w:rPr>
        <w:footnoteRef/>
      </w:r>
      <w:r w:rsidRPr="00193A9A">
        <w:t>)</w:t>
      </w:r>
      <w:r w:rsidRPr="00193A9A">
        <w:tab/>
      </w:r>
      <w:r w:rsidRPr="008A2874">
        <w:t>Judgment</w:t>
      </w:r>
      <w:r w:rsidRPr="00193A9A">
        <w:t xml:space="preserve"> of the Court</w:t>
      </w:r>
      <w:r w:rsidR="007540FB">
        <w:t xml:space="preserve"> of Justice</w:t>
      </w:r>
      <w:r w:rsidRPr="00193A9A">
        <w:t xml:space="preserve"> of 16</w:t>
      </w:r>
      <w:r w:rsidR="00193A9A">
        <w:t> </w:t>
      </w:r>
      <w:r w:rsidRPr="00193A9A">
        <w:t xml:space="preserve">July 2015, </w:t>
      </w:r>
      <w:r w:rsidRPr="00193A9A">
        <w:rPr>
          <w:i/>
          <w:iCs/>
        </w:rPr>
        <w:t>CHEZ Razpredelenie Bulgaria</w:t>
      </w:r>
      <w:r w:rsidR="00193A9A">
        <w:rPr>
          <w:i/>
          <w:iCs/>
        </w:rPr>
        <w:t>’</w:t>
      </w:r>
      <w:r w:rsidRPr="00193A9A">
        <w:rPr>
          <w:i/>
          <w:iCs/>
        </w:rPr>
        <w:t xml:space="preserve"> AD </w:t>
      </w:r>
      <w:r w:rsidRPr="00261717">
        <w:t>v</w:t>
      </w:r>
      <w:r w:rsidRPr="00193A9A">
        <w:rPr>
          <w:i/>
          <w:iCs/>
        </w:rPr>
        <w:t xml:space="preserve"> Komisia za zashtita ot diskriminatsia</w:t>
      </w:r>
      <w:r w:rsidRPr="00193A9A">
        <w:t>, C-83/14, ECLI:EU:C:2015:480, paragraphs</w:t>
      </w:r>
      <w:r w:rsidR="003139AF">
        <w:t> </w:t>
      </w:r>
      <w:r w:rsidRPr="00193A9A">
        <w:t>49 and 56.</w:t>
      </w:r>
    </w:p>
  </w:footnote>
  <w:footnote w:id="56">
    <w:p w14:paraId="6F0957EA" w14:textId="62726785" w:rsidR="009979EB" w:rsidRPr="00193A9A" w:rsidRDefault="009979EB" w:rsidP="009979EB">
      <w:pPr>
        <w:pStyle w:val="FootnoteText"/>
      </w:pPr>
      <w:r w:rsidRPr="00193A9A">
        <w:t>(</w:t>
      </w:r>
      <w:r w:rsidRPr="00193A9A">
        <w:rPr>
          <w:rStyle w:val="FootnoteReference"/>
        </w:rPr>
        <w:footnoteRef/>
      </w:r>
      <w:r w:rsidRPr="00193A9A">
        <w:t>)</w:t>
      </w:r>
      <w:r w:rsidRPr="00193A9A">
        <w:tab/>
        <w:t xml:space="preserve">See </w:t>
      </w:r>
      <w:r w:rsidR="00677C5D">
        <w:t>r</w:t>
      </w:r>
      <w:r w:rsidRPr="00193A9A">
        <w:t>ecital</w:t>
      </w:r>
      <w:r w:rsidR="003139AF">
        <w:t> </w:t>
      </w:r>
      <w:r w:rsidRPr="00193A9A">
        <w:t>14 of the Racial Equality Directive and recital</w:t>
      </w:r>
      <w:r w:rsidR="003139AF">
        <w:t> </w:t>
      </w:r>
      <w:r w:rsidRPr="00193A9A">
        <w:t>3 of the Employment Equality Directive.</w:t>
      </w:r>
    </w:p>
  </w:footnote>
  <w:footnote w:id="57">
    <w:p w14:paraId="659BFA89" w14:textId="77777777" w:rsidR="004E40CF" w:rsidRPr="00193A9A" w:rsidRDefault="004E40CF" w:rsidP="004E40CF">
      <w:pPr>
        <w:pStyle w:val="FootnoteText"/>
      </w:pPr>
      <w:r w:rsidRPr="00193A9A">
        <w:t>(</w:t>
      </w:r>
      <w:r w:rsidRPr="00193A9A">
        <w:rPr>
          <w:rStyle w:val="FootnoteReference"/>
        </w:rPr>
        <w:footnoteRef/>
      </w:r>
      <w:r w:rsidRPr="00193A9A">
        <w:t>)</w:t>
      </w:r>
      <w:r w:rsidRPr="00193A9A">
        <w:tab/>
        <w:t>Discrimination that takes place on the basis of several personal grounds or characteristics/identities, which operate and interact with each other at the same time in such a way as to be inseparable.</w:t>
      </w:r>
    </w:p>
  </w:footnote>
  <w:footnote w:id="58">
    <w:p w14:paraId="2BE73C4D" w14:textId="77777777" w:rsidR="004E40CF" w:rsidRPr="00193A9A" w:rsidRDefault="004E40CF" w:rsidP="004E40CF">
      <w:pPr>
        <w:pStyle w:val="FootnoteText"/>
      </w:pPr>
      <w:r w:rsidRPr="00193A9A">
        <w:t>(</w:t>
      </w:r>
      <w:r w:rsidRPr="00193A9A">
        <w:rPr>
          <w:rStyle w:val="FootnoteReference"/>
        </w:rPr>
        <w:footnoteRef/>
      </w:r>
      <w:r w:rsidRPr="00193A9A">
        <w:t>)</w:t>
      </w:r>
      <w:r w:rsidRPr="00193A9A">
        <w:tab/>
        <w:t xml:space="preserve">See </w:t>
      </w:r>
      <w:r>
        <w:t>j</w:t>
      </w:r>
      <w:r w:rsidRPr="0070577D">
        <w:t>udgment</w:t>
      </w:r>
      <w:r w:rsidRPr="00193A9A">
        <w:t xml:space="preserve"> of the Court</w:t>
      </w:r>
      <w:r>
        <w:t xml:space="preserve"> of Justice</w:t>
      </w:r>
      <w:r w:rsidRPr="00193A9A">
        <w:t xml:space="preserve"> of 24</w:t>
      </w:r>
      <w:r>
        <w:t> </w:t>
      </w:r>
      <w:r w:rsidRPr="00193A9A">
        <w:t xml:space="preserve">November 2016, </w:t>
      </w:r>
      <w:r w:rsidRPr="00193A9A">
        <w:rPr>
          <w:i/>
          <w:iCs/>
        </w:rPr>
        <w:t xml:space="preserve">David L. Parris </w:t>
      </w:r>
      <w:r w:rsidRPr="00261717">
        <w:t>v</w:t>
      </w:r>
      <w:r w:rsidRPr="00193A9A">
        <w:rPr>
          <w:i/>
          <w:iCs/>
        </w:rPr>
        <w:t xml:space="preserve"> Trinity College Dublin and Others</w:t>
      </w:r>
      <w:r w:rsidRPr="00193A9A">
        <w:t>, C</w:t>
      </w:r>
      <w:r w:rsidRPr="00193A9A">
        <w:noBreakHyphen/>
        <w:t>443/15, ECLI:EU:C:2016:897, paragraph</w:t>
      </w:r>
      <w:r>
        <w:t> </w:t>
      </w:r>
      <w:r w:rsidRPr="00193A9A">
        <w:t>80.</w:t>
      </w:r>
    </w:p>
  </w:footnote>
  <w:footnote w:id="59">
    <w:p w14:paraId="09371E82" w14:textId="5D7A5574" w:rsidR="00261717" w:rsidRPr="003C15DE" w:rsidRDefault="00261717">
      <w:pPr>
        <w:pStyle w:val="FootnoteText"/>
        <w:rPr>
          <w:lang w:val="pl-PL"/>
        </w:rPr>
      </w:pPr>
      <w:r w:rsidRPr="003C15DE">
        <w:rPr>
          <w:lang w:val="pl-PL"/>
        </w:rPr>
        <w:t>(</w:t>
      </w:r>
      <w:r>
        <w:rPr>
          <w:rStyle w:val="FootnoteReference"/>
        </w:rPr>
        <w:footnoteRef/>
      </w:r>
      <w:r w:rsidRPr="003C15DE">
        <w:rPr>
          <w:lang w:val="pl-PL"/>
        </w:rPr>
        <w:t>)</w:t>
      </w:r>
      <w:r w:rsidRPr="003C15DE">
        <w:rPr>
          <w:lang w:val="pl-PL"/>
        </w:rPr>
        <w:tab/>
        <w:t xml:space="preserve">OJ L 132, 17.5.2023, p. 21, </w:t>
      </w:r>
      <w:hyperlink r:id="rId31" w:tooltip="Gives access to this document through its ELI URI." w:history="1">
        <w:r w:rsidR="00CA6862" w:rsidRPr="00CA6862">
          <w:rPr>
            <w:rStyle w:val="Hyperlink"/>
            <w:lang w:val="pl-PL"/>
          </w:rPr>
          <w:t>http://data.europa.eu/eli/dir/2023/970/oj</w:t>
        </w:r>
      </w:hyperlink>
      <w:r w:rsidRPr="003C15DE">
        <w:rPr>
          <w:lang w:val="pl-PL"/>
        </w:rPr>
        <w:t>.</w:t>
      </w:r>
    </w:p>
  </w:footnote>
  <w:footnote w:id="60">
    <w:p w14:paraId="06BD5952" w14:textId="5F0625A5" w:rsidR="00B64675" w:rsidRPr="00193A9A" w:rsidRDefault="00B64675">
      <w:pPr>
        <w:pStyle w:val="FootnoteText"/>
      </w:pPr>
      <w:r w:rsidRPr="00193A9A">
        <w:t>(</w:t>
      </w:r>
      <w:r w:rsidRPr="00193A9A">
        <w:rPr>
          <w:rStyle w:val="FootnoteReference"/>
        </w:rPr>
        <w:footnoteRef/>
      </w:r>
      <w:r w:rsidRPr="00193A9A">
        <w:t>)</w:t>
      </w:r>
      <w:r w:rsidRPr="00193A9A">
        <w:tab/>
      </w:r>
      <w:r w:rsidR="00DF62C3" w:rsidRPr="00193A9A">
        <w:t>In Article</w:t>
      </w:r>
      <w:r w:rsidR="00193A9A">
        <w:t> </w:t>
      </w:r>
      <w:r w:rsidR="00DF62C3" w:rsidRPr="00193A9A">
        <w:t>3(2)(e)</w:t>
      </w:r>
      <w:r w:rsidR="00B35FAC" w:rsidRPr="00193A9A">
        <w:t>,</w:t>
      </w:r>
      <w:r w:rsidR="00DF62C3" w:rsidRPr="00193A9A">
        <w:t xml:space="preserve"> </w:t>
      </w:r>
      <w:r w:rsidR="001953F3">
        <w:t xml:space="preserve">the </w:t>
      </w:r>
      <w:r w:rsidR="001F3F11" w:rsidRPr="00193A9A">
        <w:t>Pay Transparency Directive</w:t>
      </w:r>
      <w:r w:rsidR="0076084C" w:rsidRPr="00193A9A">
        <w:t xml:space="preserve"> </w:t>
      </w:r>
      <w:r w:rsidR="00E87E99" w:rsidRPr="00193A9A">
        <w:t xml:space="preserve">explicitly prohibits intersectional discrimination, which is listed as a distinct form of discrimination. It </w:t>
      </w:r>
      <w:r w:rsidR="00467FAB" w:rsidRPr="00193A9A">
        <w:t>defines intersectional discrimination as ‘discrimination based on a combination of sex and any other ground or grounds of discrimination protected under Directive 2000/43/EC or 2000/78/EC’</w:t>
      </w:r>
      <w:r w:rsidR="00E87E99" w:rsidRPr="00193A9A">
        <w:t>.</w:t>
      </w:r>
    </w:p>
  </w:footnote>
  <w:footnote w:id="61">
    <w:p w14:paraId="72066093" w14:textId="42A1DB08" w:rsidR="009979EB" w:rsidRPr="00193A9A" w:rsidRDefault="009979EB" w:rsidP="009979EB">
      <w:pPr>
        <w:pStyle w:val="FootnoteText"/>
      </w:pPr>
      <w:r w:rsidRPr="00193A9A">
        <w:t>(</w:t>
      </w:r>
      <w:r w:rsidRPr="00193A9A">
        <w:rPr>
          <w:rStyle w:val="FootnoteReference"/>
        </w:rPr>
        <w:footnoteRef/>
      </w:r>
      <w:r w:rsidRPr="00193A9A">
        <w:t>)</w:t>
      </w:r>
      <w:r w:rsidRPr="00193A9A">
        <w:tab/>
        <w:t>See Article</w:t>
      </w:r>
      <w:r w:rsidR="00193A9A">
        <w:t> </w:t>
      </w:r>
      <w:r w:rsidRPr="00193A9A">
        <w:t xml:space="preserve">5(2) of Council Directive </w:t>
      </w:r>
      <w:r w:rsidR="003347A7">
        <w:t xml:space="preserve">(EU) </w:t>
      </w:r>
      <w:r w:rsidRPr="00193A9A">
        <w:t>2024/1499 and Article</w:t>
      </w:r>
      <w:r w:rsidR="00193A9A">
        <w:t> </w:t>
      </w:r>
      <w:r w:rsidRPr="00193A9A">
        <w:t xml:space="preserve">5(2) of Directive </w:t>
      </w:r>
      <w:r w:rsidR="003347A7">
        <w:t xml:space="preserve">(EU) </w:t>
      </w:r>
      <w:r w:rsidRPr="00193A9A">
        <w:t>2024/1500.</w:t>
      </w:r>
    </w:p>
  </w:footnote>
  <w:footnote w:id="62">
    <w:p w14:paraId="79B3E4C1" w14:textId="1BA084D2" w:rsidR="009979EB" w:rsidRPr="00193A9A" w:rsidRDefault="009979EB" w:rsidP="009979EB">
      <w:pPr>
        <w:pStyle w:val="FootnoteText"/>
      </w:pPr>
      <w:r w:rsidRPr="00193A9A">
        <w:t>(</w:t>
      </w:r>
      <w:r w:rsidRPr="00193A9A">
        <w:rPr>
          <w:rStyle w:val="FootnoteReference"/>
        </w:rPr>
        <w:footnoteRef/>
      </w:r>
      <w:r w:rsidRPr="00193A9A">
        <w:t>)</w:t>
      </w:r>
      <w:r w:rsidRPr="00193A9A">
        <w:tab/>
        <w:t>See e.g. COM(2025) 725 final</w:t>
      </w:r>
      <w:r w:rsidR="00517AD8">
        <w:t xml:space="preserve"> of</w:t>
      </w:r>
      <w:r w:rsidR="007E4321" w:rsidRPr="00193A9A">
        <w:t xml:space="preserve"> 8</w:t>
      </w:r>
      <w:r w:rsidR="00517AD8">
        <w:t xml:space="preserve"> October </w:t>
      </w:r>
      <w:r w:rsidR="007E4321" w:rsidRPr="00193A9A">
        <w:t>2025</w:t>
      </w:r>
      <w:r w:rsidR="0006197B" w:rsidRPr="00193A9A">
        <w:t xml:space="preserve">; COM(2026) 12 final </w:t>
      </w:r>
      <w:r w:rsidR="00517AD8">
        <w:t xml:space="preserve">of </w:t>
      </w:r>
      <w:r w:rsidR="0006197B" w:rsidRPr="00193A9A">
        <w:t>20</w:t>
      </w:r>
      <w:r w:rsidR="00517AD8">
        <w:t xml:space="preserve"> January </w:t>
      </w:r>
      <w:r w:rsidR="0006197B" w:rsidRPr="00193A9A">
        <w:t>2026.</w:t>
      </w:r>
    </w:p>
  </w:footnote>
  <w:footnote w:id="63">
    <w:p w14:paraId="4DF786CB" w14:textId="5F56F88E" w:rsidR="00846E1C" w:rsidRPr="00193A9A" w:rsidRDefault="00846E1C" w:rsidP="00846E1C">
      <w:pPr>
        <w:pStyle w:val="FootnoteText"/>
      </w:pPr>
      <w:r w:rsidRPr="00193A9A">
        <w:t>(</w:t>
      </w:r>
      <w:r w:rsidRPr="00193A9A">
        <w:rPr>
          <w:rStyle w:val="FootnoteReference"/>
        </w:rPr>
        <w:footnoteRef/>
      </w:r>
      <w:r w:rsidRPr="00193A9A">
        <w:t>)</w:t>
      </w:r>
      <w:r w:rsidRPr="00193A9A">
        <w:tab/>
        <w:t>See Article</w:t>
      </w:r>
      <w:r w:rsidR="00193A9A">
        <w:t> </w:t>
      </w:r>
      <w:r w:rsidRPr="00193A9A">
        <w:t>10 of the Racial Equality Directive and Article</w:t>
      </w:r>
      <w:r w:rsidR="00193A9A">
        <w:t> </w:t>
      </w:r>
      <w:r w:rsidRPr="00193A9A">
        <w:t>12 of the Employment Equality Directive.</w:t>
      </w:r>
    </w:p>
  </w:footnote>
  <w:footnote w:id="64">
    <w:p w14:paraId="2BFB086B" w14:textId="471FB275" w:rsidR="00846E1C" w:rsidRPr="00193A9A" w:rsidRDefault="00846E1C" w:rsidP="00846E1C">
      <w:pPr>
        <w:pStyle w:val="FootnoteText"/>
      </w:pPr>
      <w:r w:rsidRPr="00193A9A">
        <w:t>(</w:t>
      </w:r>
      <w:r w:rsidRPr="00193A9A">
        <w:rPr>
          <w:rStyle w:val="FootnoteReference"/>
        </w:rPr>
        <w:footnoteRef/>
      </w:r>
      <w:r w:rsidRPr="00193A9A">
        <w:t>)</w:t>
      </w:r>
      <w:r w:rsidRPr="00193A9A">
        <w:tab/>
        <w:t xml:space="preserve">For example, only 39% of respondents to the EU-MIDIS III survey of ethnic or immigrant groups had heard of at least one equality body in their country of residence. </w:t>
      </w:r>
      <w:r w:rsidR="00C732AA">
        <w:t>A</w:t>
      </w:r>
      <w:r w:rsidRPr="00193A9A">
        <w:t xml:space="preserve">t the time of the </w:t>
      </w:r>
      <w:r w:rsidR="00C732AA">
        <w:t>previous</w:t>
      </w:r>
      <w:r w:rsidR="00C732AA" w:rsidRPr="00193A9A">
        <w:t xml:space="preserve"> </w:t>
      </w:r>
      <w:r w:rsidRPr="00193A9A">
        <w:t xml:space="preserve">report, </w:t>
      </w:r>
      <w:r w:rsidR="00C732AA">
        <w:t xml:space="preserve">only 29% of this group were </w:t>
      </w:r>
      <w:r w:rsidRPr="00193A9A">
        <w:t xml:space="preserve">aware of any organisation providing support or advice to those subjected to discrimination. </w:t>
      </w:r>
      <w:r w:rsidR="00CD19DC">
        <w:t>Nevertheless</w:t>
      </w:r>
      <w:r w:rsidRPr="00193A9A">
        <w:t>, the FRA notes that</w:t>
      </w:r>
      <w:r w:rsidR="00CD19DC">
        <w:t>,</w:t>
      </w:r>
      <w:r w:rsidRPr="00193A9A">
        <w:t xml:space="preserve"> even </w:t>
      </w:r>
      <w:r w:rsidR="00CD19DC">
        <w:t>though</w:t>
      </w:r>
      <w:r w:rsidR="00CD19DC" w:rsidRPr="00193A9A">
        <w:t xml:space="preserve"> </w:t>
      </w:r>
      <w:r w:rsidR="00CD19DC">
        <w:t>awareness</w:t>
      </w:r>
      <w:r w:rsidRPr="00193A9A">
        <w:t xml:space="preserve"> of specific equality bodies is higher</w:t>
      </w:r>
      <w:r w:rsidR="00CD19DC">
        <w:t>,</w:t>
      </w:r>
      <w:r w:rsidRPr="00193A9A">
        <w:t xml:space="preserve"> this does not correlate with a substantial </w:t>
      </w:r>
      <w:r w:rsidR="00CD19DC">
        <w:t>increase in</w:t>
      </w:r>
      <w:r w:rsidRPr="00193A9A">
        <w:t xml:space="preserve"> reporting </w:t>
      </w:r>
      <w:r w:rsidR="00CD19DC">
        <w:t xml:space="preserve">of </w:t>
      </w:r>
      <w:r w:rsidRPr="00193A9A">
        <w:t>discrimination.</w:t>
      </w:r>
    </w:p>
  </w:footnote>
  <w:footnote w:id="65">
    <w:p w14:paraId="587EAF36" w14:textId="74DDD486" w:rsidR="00846E1C" w:rsidRPr="00CC6348" w:rsidRDefault="00846E1C" w:rsidP="00846E1C">
      <w:pPr>
        <w:pStyle w:val="FootnoteText"/>
        <w:rPr>
          <w:lang w:val="fr-CA"/>
        </w:rPr>
      </w:pPr>
      <w:r w:rsidRPr="00CC6348">
        <w:rPr>
          <w:lang w:val="fr-CA"/>
        </w:rPr>
        <w:t>(</w:t>
      </w:r>
      <w:r w:rsidRPr="00193A9A">
        <w:rPr>
          <w:rStyle w:val="FootnoteReference"/>
        </w:rPr>
        <w:footnoteRef/>
      </w:r>
      <w:r w:rsidRPr="00CC6348">
        <w:rPr>
          <w:lang w:val="fr-CA"/>
        </w:rPr>
        <w:t>)</w:t>
      </w:r>
      <w:r w:rsidRPr="00CC6348">
        <w:rPr>
          <w:lang w:val="fr-CA"/>
        </w:rPr>
        <w:tab/>
        <w:t xml:space="preserve">Défenseur des droits, </w:t>
      </w:r>
      <w:hyperlink r:id="rId32" w:history="1">
        <w:r w:rsidR="00E15935" w:rsidRPr="00CC6348">
          <w:rPr>
            <w:rStyle w:val="Hyperlink"/>
            <w:lang w:val="fr-CA"/>
          </w:rPr>
          <w:t>Plateforme AntiDiscriminations.fr - Agir contre les discriminations</w:t>
        </w:r>
      </w:hyperlink>
      <w:r w:rsidRPr="00CC6348">
        <w:rPr>
          <w:lang w:val="fr-CA"/>
        </w:rPr>
        <w:t>.</w:t>
      </w:r>
    </w:p>
  </w:footnote>
  <w:footnote w:id="66">
    <w:p w14:paraId="0F148941" w14:textId="64AFF9A8" w:rsidR="00846E1C" w:rsidRPr="00193A9A" w:rsidRDefault="00846E1C" w:rsidP="00846E1C">
      <w:pPr>
        <w:pStyle w:val="FootnoteText"/>
      </w:pPr>
      <w:r w:rsidRPr="00193A9A">
        <w:t>(</w:t>
      </w:r>
      <w:r w:rsidRPr="00193A9A">
        <w:rPr>
          <w:rStyle w:val="FootnoteReference"/>
        </w:rPr>
        <w:footnoteRef/>
      </w:r>
      <w:r w:rsidRPr="00193A9A">
        <w:t>)</w:t>
      </w:r>
      <w:r w:rsidRPr="00193A9A">
        <w:tab/>
        <w:t xml:space="preserve">The principle of equality of arms is one </w:t>
      </w:r>
      <w:r w:rsidR="0050097D">
        <w:t>aspect</w:t>
      </w:r>
      <w:r w:rsidRPr="00193A9A">
        <w:t xml:space="preserve"> of the wider concept of a fair trial. Each party must be afforded a reasonable opportunity to present their case under conditions that do not place them at a disadvantage vis-à-vis </w:t>
      </w:r>
      <w:r w:rsidR="0050097D">
        <w:t>their</w:t>
      </w:r>
      <w:r w:rsidR="0050097D" w:rsidRPr="00193A9A">
        <w:t xml:space="preserve"> </w:t>
      </w:r>
      <w:r w:rsidRPr="00193A9A">
        <w:t xml:space="preserve">opponent. See e.g. </w:t>
      </w:r>
      <w:r w:rsidR="00E31A5C">
        <w:t>j</w:t>
      </w:r>
      <w:r w:rsidRPr="0050097D">
        <w:t>udgment</w:t>
      </w:r>
      <w:r w:rsidRPr="00193A9A">
        <w:t xml:space="preserve"> of the</w:t>
      </w:r>
      <w:r w:rsidR="00AA1970">
        <w:t xml:space="preserve"> </w:t>
      </w:r>
      <w:r w:rsidRPr="00193A9A">
        <w:t>European Court of Human Rights of 22</w:t>
      </w:r>
      <w:r w:rsidR="00193A9A">
        <w:t> </w:t>
      </w:r>
      <w:r w:rsidRPr="00193A9A">
        <w:t>February 1996,</w:t>
      </w:r>
      <w:r w:rsidR="00193A9A" w:rsidRPr="00193A9A">
        <w:t xml:space="preserve"> </w:t>
      </w:r>
      <w:r w:rsidRPr="00193A9A">
        <w:rPr>
          <w:i/>
          <w:iCs/>
        </w:rPr>
        <w:t xml:space="preserve">Bulut </w:t>
      </w:r>
      <w:r w:rsidRPr="00CC6348">
        <w:t>v</w:t>
      </w:r>
      <w:r w:rsidRPr="00193A9A">
        <w:rPr>
          <w:i/>
          <w:iCs/>
        </w:rPr>
        <w:t xml:space="preserve"> Austria</w:t>
      </w:r>
      <w:r w:rsidRPr="00193A9A">
        <w:t>, 17358/90, ECLI:CE:ECHR:1996:0222JUD001735890, paragraph</w:t>
      </w:r>
      <w:r w:rsidR="005B6334">
        <w:t> </w:t>
      </w:r>
      <w:r w:rsidRPr="00193A9A">
        <w:t>47.</w:t>
      </w:r>
    </w:p>
  </w:footnote>
  <w:footnote w:id="67">
    <w:p w14:paraId="21E245E7" w14:textId="52544EDA" w:rsidR="00846E1C" w:rsidRPr="00193A9A" w:rsidRDefault="00846E1C" w:rsidP="00846E1C">
      <w:pPr>
        <w:pStyle w:val="FootnoteText"/>
      </w:pPr>
      <w:r w:rsidRPr="00193A9A">
        <w:t>(</w:t>
      </w:r>
      <w:r w:rsidRPr="00193A9A">
        <w:rPr>
          <w:rStyle w:val="FootnoteReference"/>
        </w:rPr>
        <w:footnoteRef/>
      </w:r>
      <w:r w:rsidRPr="00193A9A">
        <w:t>)</w:t>
      </w:r>
      <w:r w:rsidRPr="00193A9A">
        <w:tab/>
        <w:t>See COM(2024) 419 final</w:t>
      </w:r>
      <w:r w:rsidR="00517AD8">
        <w:t xml:space="preserve"> of</w:t>
      </w:r>
      <w:r w:rsidRPr="00193A9A">
        <w:t xml:space="preserve"> 25</w:t>
      </w:r>
      <w:r w:rsidR="00517AD8">
        <w:t xml:space="preserve"> September </w:t>
      </w:r>
      <w:r w:rsidRPr="00193A9A">
        <w:t xml:space="preserve">2024, </w:t>
      </w:r>
      <w:hyperlink r:id="rId33" w:history="1">
        <w:r w:rsidRPr="00193A9A">
          <w:rPr>
            <w:rStyle w:val="Hyperlink"/>
          </w:rPr>
          <w:t>EUR-Lex - 52024DC0419 - EN - EUR-Lex</w:t>
        </w:r>
      </w:hyperlink>
      <w:r w:rsidRPr="00193A9A">
        <w:t>, p.</w:t>
      </w:r>
      <w:r w:rsidR="00193A9A">
        <w:t> </w:t>
      </w:r>
      <w:r w:rsidRPr="00193A9A">
        <w:t>6.</w:t>
      </w:r>
    </w:p>
  </w:footnote>
  <w:footnote w:id="68">
    <w:p w14:paraId="055BBBF9" w14:textId="636FB098" w:rsidR="009979EB" w:rsidRPr="00193A9A" w:rsidRDefault="009979EB" w:rsidP="009979EB">
      <w:pPr>
        <w:pStyle w:val="FootnoteText"/>
      </w:pPr>
      <w:r w:rsidRPr="00193A9A">
        <w:t>(</w:t>
      </w:r>
      <w:r w:rsidRPr="00193A9A">
        <w:rPr>
          <w:rStyle w:val="FootnoteReference"/>
        </w:rPr>
        <w:footnoteRef/>
      </w:r>
      <w:r w:rsidRPr="00193A9A">
        <w:t>)</w:t>
      </w:r>
      <w:r w:rsidRPr="00193A9A">
        <w:tab/>
        <w:t>See Article</w:t>
      </w:r>
      <w:r w:rsidR="00193A9A">
        <w:t> </w:t>
      </w:r>
      <w:r w:rsidRPr="00193A9A">
        <w:t>8 of the Racial Equality Directive and Article</w:t>
      </w:r>
      <w:r w:rsidR="00193A9A">
        <w:t> </w:t>
      </w:r>
      <w:r w:rsidRPr="00193A9A">
        <w:t>10 of the Employment Equality Directive.</w:t>
      </w:r>
    </w:p>
  </w:footnote>
  <w:footnote w:id="69">
    <w:p w14:paraId="1C9A0C1E" w14:textId="099FEAF5" w:rsidR="00A61BCC" w:rsidRPr="00B61149" w:rsidRDefault="00A61BCC" w:rsidP="00A61BCC">
      <w:pPr>
        <w:pStyle w:val="FootnoteText"/>
        <w:rPr>
          <w:lang w:val="en-IE"/>
        </w:rPr>
      </w:pPr>
      <w:r>
        <w:t>(</w:t>
      </w:r>
      <w:r>
        <w:rPr>
          <w:rStyle w:val="FootnoteReference"/>
        </w:rPr>
        <w:footnoteRef/>
      </w:r>
      <w:r>
        <w:t>)</w:t>
      </w:r>
      <w:r>
        <w:tab/>
      </w:r>
      <w:r w:rsidRPr="00A61BCC">
        <w:rPr>
          <w:lang w:val="en-IE"/>
        </w:rPr>
        <w:t xml:space="preserve">For example, the equality body in Germany proposed lowering the requirement to prove disadvantage, provided indications for establishing prima </w:t>
      </w:r>
      <w:r w:rsidRPr="008B1177">
        <w:rPr>
          <w:i/>
          <w:iCs/>
          <w:lang w:val="en-IE"/>
        </w:rPr>
        <w:t>facie</w:t>
      </w:r>
      <w:r w:rsidRPr="00A61BCC">
        <w:rPr>
          <w:lang w:val="en-IE"/>
        </w:rPr>
        <w:t xml:space="preserve"> evidence and recommended setting out a right to information against the defendant.</w:t>
      </w:r>
    </w:p>
  </w:footnote>
  <w:footnote w:id="70">
    <w:p w14:paraId="2B46FCAD" w14:textId="3B5AF256" w:rsidR="009979EB" w:rsidRPr="00193A9A" w:rsidRDefault="009979EB" w:rsidP="009979EB">
      <w:pPr>
        <w:pStyle w:val="FootnoteText"/>
      </w:pPr>
      <w:r w:rsidRPr="00193A9A">
        <w:t>(</w:t>
      </w:r>
      <w:r w:rsidRPr="00193A9A">
        <w:rPr>
          <w:rStyle w:val="FootnoteReference"/>
        </w:rPr>
        <w:footnoteRef/>
      </w:r>
      <w:r w:rsidRPr="00193A9A">
        <w:t>)</w:t>
      </w:r>
      <w:r w:rsidRPr="00193A9A">
        <w:tab/>
        <w:t>Situation testing is a method according to which pairs</w:t>
      </w:r>
      <w:r w:rsidR="003D0D91">
        <w:t xml:space="preserve"> of testers</w:t>
      </w:r>
      <w:r w:rsidRPr="00193A9A">
        <w:t xml:space="preserve"> (applicants for accommodation or a job vacancy or clients of a restaurant, a nightclub, etc.) are </w:t>
      </w:r>
      <w:r w:rsidR="003D0D91">
        <w:t>selected</w:t>
      </w:r>
      <w:r w:rsidR="003D0D91" w:rsidRPr="00193A9A">
        <w:t xml:space="preserve"> </w:t>
      </w:r>
      <w:r w:rsidRPr="00193A9A">
        <w:t xml:space="preserve">in such a way that they differ solely on the basis of a single characteristic </w:t>
      </w:r>
      <w:r w:rsidR="003D0D91">
        <w:t xml:space="preserve">which </w:t>
      </w:r>
      <w:r w:rsidRPr="00193A9A">
        <w:t>reflect</w:t>
      </w:r>
      <w:r w:rsidR="003D0D91">
        <w:t>s</w:t>
      </w:r>
      <w:r w:rsidRPr="00193A9A">
        <w:t xml:space="preserve"> the discriminatory ground (gender, ethnicity, age, disability, religion or belief,</w:t>
      </w:r>
      <w:r w:rsidR="00150AB7">
        <w:t xml:space="preserve"> or</w:t>
      </w:r>
      <w:r w:rsidRPr="00193A9A">
        <w:t xml:space="preserve"> sexual orientation) under scrutiny. If one of the members of the pair faces different treatment, the distinction points to discriminatory behaviour. See Rorive, I., </w:t>
      </w:r>
      <w:r w:rsidRPr="00193A9A">
        <w:rPr>
          <w:i/>
          <w:iCs/>
        </w:rPr>
        <w:t xml:space="preserve">Proving Discrimination Cases – </w:t>
      </w:r>
      <w:r w:rsidR="00B64B46">
        <w:rPr>
          <w:i/>
          <w:iCs/>
        </w:rPr>
        <w:t>T</w:t>
      </w:r>
      <w:r w:rsidRPr="00193A9A">
        <w:rPr>
          <w:i/>
          <w:iCs/>
        </w:rPr>
        <w:t xml:space="preserve">he </w:t>
      </w:r>
      <w:r w:rsidR="00B64B46">
        <w:rPr>
          <w:i/>
          <w:iCs/>
        </w:rPr>
        <w:t>r</w:t>
      </w:r>
      <w:r w:rsidRPr="00193A9A">
        <w:rPr>
          <w:i/>
          <w:iCs/>
        </w:rPr>
        <w:t xml:space="preserve">ole of </w:t>
      </w:r>
      <w:r w:rsidR="00B64B46">
        <w:rPr>
          <w:i/>
          <w:iCs/>
        </w:rPr>
        <w:t>s</w:t>
      </w:r>
      <w:r w:rsidRPr="00193A9A">
        <w:rPr>
          <w:i/>
          <w:iCs/>
        </w:rPr>
        <w:t xml:space="preserve">ituation </w:t>
      </w:r>
      <w:r w:rsidR="00B64B46">
        <w:rPr>
          <w:i/>
          <w:iCs/>
        </w:rPr>
        <w:t>t</w:t>
      </w:r>
      <w:r w:rsidRPr="00193A9A">
        <w:rPr>
          <w:i/>
          <w:iCs/>
        </w:rPr>
        <w:t>esting</w:t>
      </w:r>
      <w:r w:rsidRPr="00193A9A">
        <w:t xml:space="preserve">, Migration Policy Group, Centre for Equal Rights, 2009, </w:t>
      </w:r>
      <w:hyperlink r:id="rId34" w:history="1">
        <w:r w:rsidRPr="00193A9A">
          <w:rPr>
            <w:rStyle w:val="Hyperlink"/>
          </w:rPr>
          <w:t xml:space="preserve">Proving Discrimination Cases – </w:t>
        </w:r>
        <w:r w:rsidR="00150AB7">
          <w:rPr>
            <w:rStyle w:val="Hyperlink"/>
          </w:rPr>
          <w:t>T</w:t>
        </w:r>
        <w:r w:rsidRPr="00193A9A">
          <w:rPr>
            <w:rStyle w:val="Hyperlink"/>
          </w:rPr>
          <w:t xml:space="preserve">he </w:t>
        </w:r>
        <w:r w:rsidR="00150AB7">
          <w:rPr>
            <w:rStyle w:val="Hyperlink"/>
          </w:rPr>
          <w:t>r</w:t>
        </w:r>
        <w:r w:rsidRPr="00193A9A">
          <w:rPr>
            <w:rStyle w:val="Hyperlink"/>
          </w:rPr>
          <w:t xml:space="preserve">ole of </w:t>
        </w:r>
        <w:r w:rsidR="00150AB7">
          <w:rPr>
            <w:rStyle w:val="Hyperlink"/>
          </w:rPr>
          <w:t>s</w:t>
        </w:r>
        <w:r w:rsidRPr="00193A9A">
          <w:rPr>
            <w:rStyle w:val="Hyperlink"/>
          </w:rPr>
          <w:t xml:space="preserve">ituation </w:t>
        </w:r>
        <w:r w:rsidR="00150AB7">
          <w:rPr>
            <w:rStyle w:val="Hyperlink"/>
          </w:rPr>
          <w:t>t</w:t>
        </w:r>
        <w:r w:rsidRPr="00193A9A">
          <w:rPr>
            <w:rStyle w:val="Hyperlink"/>
          </w:rPr>
          <w:t>esting | Migration Policy Group</w:t>
        </w:r>
      </w:hyperlink>
      <w:r w:rsidRPr="00193A9A">
        <w:t>.</w:t>
      </w:r>
    </w:p>
  </w:footnote>
  <w:footnote w:id="71">
    <w:p w14:paraId="5D583BAF" w14:textId="10C9367B" w:rsidR="009979EB" w:rsidRPr="00193A9A" w:rsidRDefault="009979EB" w:rsidP="009979EB">
      <w:pPr>
        <w:pStyle w:val="FootnoteText"/>
      </w:pPr>
      <w:r w:rsidRPr="00193A9A">
        <w:t>(</w:t>
      </w:r>
      <w:r w:rsidRPr="00193A9A">
        <w:rPr>
          <w:rStyle w:val="FootnoteReference"/>
        </w:rPr>
        <w:footnoteRef/>
      </w:r>
      <w:r w:rsidRPr="00193A9A">
        <w:t>)</w:t>
      </w:r>
      <w:r w:rsidR="00E401D2">
        <w:t xml:space="preserve"> </w:t>
      </w:r>
      <w:r w:rsidRPr="00193A9A">
        <w:t>Mystery shopping is a technique used to check whether individuals or entities accept discriminatory requests. Investigators make discriminatory requests to temporary employment agencies or real estate agencies</w:t>
      </w:r>
      <w:r w:rsidR="00B64B46">
        <w:t>, for example</w:t>
      </w:r>
      <w:r w:rsidRPr="00193A9A">
        <w:t xml:space="preserve">. See </w:t>
      </w:r>
      <w:hyperlink r:id="rId35" w:history="1">
        <w:r w:rsidRPr="00193A9A">
          <w:rPr>
            <w:rStyle w:val="Hyperlink"/>
          </w:rPr>
          <w:t>Tests de situation et mystery shopping en cas de discrimination | Unia</w:t>
        </w:r>
      </w:hyperlink>
      <w:r w:rsidR="00B64B46">
        <w:t>.</w:t>
      </w:r>
    </w:p>
  </w:footnote>
  <w:footnote w:id="72">
    <w:p w14:paraId="1CF68351" w14:textId="6F71EC47" w:rsidR="009979EB" w:rsidRPr="00193A9A" w:rsidRDefault="009979EB" w:rsidP="009979EB">
      <w:pPr>
        <w:pStyle w:val="FootnoteText"/>
      </w:pPr>
      <w:r w:rsidRPr="00193A9A">
        <w:t>(</w:t>
      </w:r>
      <w:r w:rsidRPr="00193A9A">
        <w:rPr>
          <w:rStyle w:val="FootnoteReference"/>
        </w:rPr>
        <w:footnoteRef/>
      </w:r>
      <w:r w:rsidRPr="00193A9A">
        <w:t>)</w:t>
      </w:r>
      <w:r w:rsidRPr="00193A9A">
        <w:tab/>
        <w:t>See Article</w:t>
      </w:r>
      <w:r w:rsidR="00193A9A">
        <w:t> </w:t>
      </w:r>
      <w:r w:rsidRPr="00193A9A">
        <w:t>9 of the Racial Equality Directive and Article</w:t>
      </w:r>
      <w:r w:rsidR="00193A9A">
        <w:t> </w:t>
      </w:r>
      <w:r w:rsidRPr="00193A9A">
        <w:t>11 of the Employment Equality Directive.</w:t>
      </w:r>
    </w:p>
  </w:footnote>
  <w:footnote w:id="73">
    <w:p w14:paraId="38186CA1" w14:textId="58FFA45B" w:rsidR="009979EB" w:rsidRPr="00193A9A" w:rsidRDefault="009979EB" w:rsidP="009979EB">
      <w:pPr>
        <w:pStyle w:val="FootnoteText"/>
      </w:pPr>
      <w:r w:rsidRPr="00193A9A">
        <w:t>(</w:t>
      </w:r>
      <w:r w:rsidRPr="00193A9A">
        <w:rPr>
          <w:rStyle w:val="FootnoteReference"/>
        </w:rPr>
        <w:footnoteRef/>
      </w:r>
      <w:r w:rsidRPr="00193A9A">
        <w:t>)</w:t>
      </w:r>
      <w:r w:rsidRPr="00193A9A">
        <w:tab/>
        <w:t xml:space="preserve">See </w:t>
      </w:r>
      <w:r w:rsidR="00E31A5C">
        <w:t>j</w:t>
      </w:r>
      <w:r w:rsidRPr="003D0D91">
        <w:t>udgment</w:t>
      </w:r>
      <w:r w:rsidRPr="00193A9A">
        <w:t xml:space="preserve"> of the Court</w:t>
      </w:r>
      <w:r w:rsidR="00A97CF5">
        <w:t xml:space="preserve"> of Justice</w:t>
      </w:r>
      <w:r w:rsidRPr="00193A9A">
        <w:t xml:space="preserve"> of 20</w:t>
      </w:r>
      <w:r w:rsidR="00193A9A">
        <w:t> </w:t>
      </w:r>
      <w:r w:rsidRPr="00193A9A">
        <w:t>June 2019,</w:t>
      </w:r>
      <w:r w:rsidR="00193A9A" w:rsidRPr="00193A9A">
        <w:t xml:space="preserve"> </w:t>
      </w:r>
      <w:r w:rsidRPr="00193A9A">
        <w:rPr>
          <w:i/>
          <w:iCs/>
        </w:rPr>
        <w:t>Hakelbracht and Others</w:t>
      </w:r>
      <w:r w:rsidRPr="00193A9A">
        <w:t>, C-404/18, ECLI:EU:C:2019:523, paragraphs</w:t>
      </w:r>
      <w:r w:rsidR="00A97CF5">
        <w:t> </w:t>
      </w:r>
      <w:r w:rsidRPr="00193A9A">
        <w:t>26-30.</w:t>
      </w:r>
    </w:p>
  </w:footnote>
  <w:footnote w:id="74">
    <w:p w14:paraId="73128080" w14:textId="03DABF6B" w:rsidR="003329B9" w:rsidRPr="00193A9A" w:rsidRDefault="003329B9" w:rsidP="003329B9">
      <w:pPr>
        <w:pStyle w:val="FootnoteText"/>
      </w:pPr>
      <w:r w:rsidRPr="00193A9A">
        <w:t>(</w:t>
      </w:r>
      <w:r w:rsidRPr="00193A9A">
        <w:rPr>
          <w:rStyle w:val="FootnoteReference"/>
        </w:rPr>
        <w:footnoteRef/>
      </w:r>
      <w:r w:rsidRPr="00193A9A">
        <w:t>)</w:t>
      </w:r>
      <w:r w:rsidRPr="00193A9A">
        <w:tab/>
        <w:t>See Article</w:t>
      </w:r>
      <w:r w:rsidR="00193A9A">
        <w:t> </w:t>
      </w:r>
      <w:r w:rsidRPr="00193A9A">
        <w:t>11 of the Racial Equality Directive and Article</w:t>
      </w:r>
      <w:r w:rsidR="00193A9A">
        <w:t> </w:t>
      </w:r>
      <w:r w:rsidRPr="00193A9A">
        <w:t>13 of the Employment Equality Directive.</w:t>
      </w:r>
    </w:p>
  </w:footnote>
  <w:footnote w:id="75">
    <w:p w14:paraId="27D89860" w14:textId="5FEFB506" w:rsidR="003329B9" w:rsidRPr="00193A9A" w:rsidRDefault="003329B9" w:rsidP="003329B9">
      <w:pPr>
        <w:pStyle w:val="FootnoteText"/>
        <w:tabs>
          <w:tab w:val="left" w:pos="1224"/>
        </w:tabs>
      </w:pPr>
      <w:r w:rsidRPr="00193A9A">
        <w:t>(</w:t>
      </w:r>
      <w:r w:rsidRPr="00193A9A">
        <w:rPr>
          <w:rStyle w:val="FootnoteReference"/>
        </w:rPr>
        <w:footnoteRef/>
      </w:r>
      <w:r w:rsidRPr="00193A9A">
        <w:t>)</w:t>
      </w:r>
      <w:r w:rsidRPr="00193A9A">
        <w:tab/>
        <w:t>See Article</w:t>
      </w:r>
      <w:r w:rsidR="00193A9A">
        <w:t> </w:t>
      </w:r>
      <w:r w:rsidRPr="00193A9A">
        <w:t>12 of the Racial Equality Directive and Article</w:t>
      </w:r>
      <w:r w:rsidR="00193A9A">
        <w:t> </w:t>
      </w:r>
      <w:r w:rsidRPr="00193A9A">
        <w:t>14 of the Employment Equality Directive.</w:t>
      </w:r>
    </w:p>
  </w:footnote>
  <w:footnote w:id="76">
    <w:p w14:paraId="3B5A67AD" w14:textId="77777777" w:rsidR="003329B9" w:rsidRPr="00193A9A" w:rsidRDefault="003329B9" w:rsidP="003329B9">
      <w:pPr>
        <w:pStyle w:val="FootnoteText"/>
      </w:pPr>
      <w:r w:rsidRPr="00193A9A">
        <w:t>(</w:t>
      </w:r>
      <w:r w:rsidRPr="00193A9A">
        <w:rPr>
          <w:rStyle w:val="FootnoteReference"/>
        </w:rPr>
        <w:footnoteRef/>
      </w:r>
      <w:r w:rsidRPr="00193A9A">
        <w:t>)</w:t>
      </w:r>
      <w:r w:rsidRPr="00193A9A">
        <w:tab/>
        <w:t>Tripartite dialogue involves discussions between public authorities and social partners on issues of common interest.</w:t>
      </w:r>
    </w:p>
  </w:footnote>
  <w:footnote w:id="77">
    <w:p w14:paraId="164838A8" w14:textId="63810E06" w:rsidR="003329B9" w:rsidRPr="00193A9A" w:rsidRDefault="003329B9" w:rsidP="003329B9">
      <w:pPr>
        <w:pStyle w:val="FootnoteText"/>
      </w:pPr>
      <w:r w:rsidRPr="00193A9A">
        <w:t>(</w:t>
      </w:r>
      <w:r w:rsidRPr="00193A9A">
        <w:rPr>
          <w:rStyle w:val="FootnoteReference"/>
        </w:rPr>
        <w:footnoteRef/>
      </w:r>
      <w:r w:rsidRPr="00193A9A">
        <w:t>)</w:t>
      </w:r>
      <w:r w:rsidRPr="00193A9A">
        <w:tab/>
        <w:t xml:space="preserve">See COM(2021) 139 final </w:t>
      </w:r>
      <w:r w:rsidR="00517AD8">
        <w:t xml:space="preserve">of </w:t>
      </w:r>
      <w:r w:rsidRPr="00193A9A">
        <w:t>19</w:t>
      </w:r>
      <w:r w:rsidR="00517AD8">
        <w:t xml:space="preserve"> March </w:t>
      </w:r>
      <w:r w:rsidRPr="00193A9A">
        <w:t xml:space="preserve">2021, </w:t>
      </w:r>
      <w:hyperlink r:id="rId36" w:history="1">
        <w:r w:rsidRPr="00193A9A">
          <w:rPr>
            <w:rStyle w:val="Hyperlink"/>
          </w:rPr>
          <w:t>EUR-Lex - 52021DC0139 - EN - EUR-Lex</w:t>
        </w:r>
      </w:hyperlink>
      <w:r w:rsidRPr="00193A9A">
        <w:t>, p.</w:t>
      </w:r>
      <w:r w:rsidR="00193A9A">
        <w:t> </w:t>
      </w:r>
      <w:r w:rsidRPr="00193A9A">
        <w:t>12.</w:t>
      </w:r>
    </w:p>
  </w:footnote>
  <w:footnote w:id="78">
    <w:p w14:paraId="1C0C2ACA" w14:textId="049E1A5C" w:rsidR="009979EB" w:rsidRPr="00193A9A" w:rsidRDefault="009979EB" w:rsidP="009979EB">
      <w:pPr>
        <w:pStyle w:val="FootnoteText"/>
      </w:pPr>
      <w:r w:rsidRPr="00193A9A">
        <w:t>(</w:t>
      </w:r>
      <w:r w:rsidRPr="00193A9A">
        <w:rPr>
          <w:rStyle w:val="FootnoteReference"/>
        </w:rPr>
        <w:footnoteRef/>
      </w:r>
      <w:r w:rsidRPr="00193A9A">
        <w:t>)</w:t>
      </w:r>
      <w:r w:rsidRPr="00193A9A">
        <w:tab/>
        <w:t>See Article</w:t>
      </w:r>
      <w:r w:rsidR="00193A9A">
        <w:t> </w:t>
      </w:r>
      <w:r w:rsidRPr="00193A9A">
        <w:t>17(2) of the Racial Equality Directive and Article</w:t>
      </w:r>
      <w:r w:rsidR="00193A9A">
        <w:t> </w:t>
      </w:r>
      <w:r w:rsidRPr="00193A9A">
        <w:t>19(2) of the Employment Equality Directive.</w:t>
      </w:r>
    </w:p>
  </w:footnote>
  <w:footnote w:id="79">
    <w:p w14:paraId="64719E39" w14:textId="27BC8327" w:rsidR="007A20BB" w:rsidRPr="00193A9A" w:rsidRDefault="00E401D2" w:rsidP="007A20BB">
      <w:pPr>
        <w:pStyle w:val="FootnoteText"/>
      </w:pPr>
      <w:r>
        <w:t>(</w:t>
      </w:r>
      <w:r w:rsidR="007A20BB" w:rsidRPr="00193A9A">
        <w:rPr>
          <w:rStyle w:val="FootnoteReference"/>
        </w:rPr>
        <w:footnoteRef/>
      </w:r>
      <w:r w:rsidR="007A20BB" w:rsidRPr="00193A9A">
        <w:t>)</w:t>
      </w:r>
      <w:r w:rsidR="007A20BB" w:rsidRPr="00193A9A">
        <w:tab/>
        <w:t xml:space="preserve">For instance, results for </w:t>
      </w:r>
      <w:r w:rsidR="00B766F8">
        <w:t xml:space="preserve">the </w:t>
      </w:r>
      <w:r w:rsidR="007A20BB" w:rsidRPr="00193A9A">
        <w:t xml:space="preserve">EIGE’s gender mainstreaming indicator ranged from 71% in Spain to zero in Hungary, with 21 Member States scoring less than 50%. This suggests that many countries could do more to effectively mainstream gender equality concerns in policy processes. See: EIGE, </w:t>
      </w:r>
      <w:r w:rsidR="007A20BB" w:rsidRPr="00E401D2">
        <w:rPr>
          <w:i/>
          <w:iCs/>
        </w:rPr>
        <w:t>Institutional mechanisms that deliver on gender equality and gender mainstreaming</w:t>
      </w:r>
      <w:r w:rsidR="007A20BB" w:rsidRPr="00193A9A">
        <w:t>, Publications Office of the European Union, Luxembourg, p.</w:t>
      </w:r>
      <w:r w:rsidR="00193A9A">
        <w:t> </w:t>
      </w:r>
      <w:r w:rsidR="007A20BB" w:rsidRPr="00193A9A">
        <w:t>14.</w:t>
      </w:r>
    </w:p>
  </w:footnote>
  <w:footnote w:id="80">
    <w:p w14:paraId="282FAC04" w14:textId="65FEA199" w:rsidR="009979EB" w:rsidRPr="00193A9A" w:rsidRDefault="009979EB" w:rsidP="009979EB">
      <w:pPr>
        <w:pStyle w:val="FootnoteText"/>
      </w:pPr>
      <w:r w:rsidRPr="00193A9A">
        <w:t>(</w:t>
      </w:r>
      <w:r w:rsidRPr="00193A9A">
        <w:rPr>
          <w:rStyle w:val="FootnoteReference"/>
        </w:rPr>
        <w:footnoteRef/>
      </w:r>
      <w:r w:rsidRPr="00193A9A">
        <w:t>)</w:t>
      </w:r>
      <w:r w:rsidRPr="00193A9A">
        <w:tab/>
        <w:t>See Article</w:t>
      </w:r>
      <w:r w:rsidR="00193A9A">
        <w:t> </w:t>
      </w:r>
      <w:r w:rsidRPr="00193A9A">
        <w:t>5 of the Racial Equality Directive and Article</w:t>
      </w:r>
      <w:r w:rsidR="00193A9A">
        <w:t> </w:t>
      </w:r>
      <w:r w:rsidRPr="00193A9A">
        <w:t>7 of the Employment Equality Directive.</w:t>
      </w:r>
    </w:p>
  </w:footnote>
  <w:footnote w:id="81">
    <w:p w14:paraId="47E6E673" w14:textId="654CFC75" w:rsidR="009979EB" w:rsidRPr="00193A9A" w:rsidRDefault="009979EB" w:rsidP="009979EB">
      <w:pPr>
        <w:pStyle w:val="FootnoteText"/>
      </w:pPr>
      <w:r w:rsidRPr="00193A9A">
        <w:t>(</w:t>
      </w:r>
      <w:r w:rsidRPr="00193A9A">
        <w:rPr>
          <w:rStyle w:val="FootnoteReference"/>
        </w:rPr>
        <w:footnoteRef/>
      </w:r>
      <w:r w:rsidRPr="00193A9A">
        <w:t>)</w:t>
      </w:r>
      <w:r w:rsidRPr="00193A9A">
        <w:tab/>
        <w:t xml:space="preserve">See, notably, </w:t>
      </w:r>
      <w:r w:rsidR="00E31A5C">
        <w:t xml:space="preserve">the </w:t>
      </w:r>
      <w:r w:rsidRPr="00193A9A">
        <w:t xml:space="preserve">judgments in </w:t>
      </w:r>
      <w:r w:rsidR="00C55143">
        <w:t>C</w:t>
      </w:r>
      <w:r w:rsidRPr="00193A9A">
        <w:t xml:space="preserve">ases C-450/93, </w:t>
      </w:r>
      <w:r w:rsidRPr="00193A9A">
        <w:rPr>
          <w:i/>
          <w:iCs/>
        </w:rPr>
        <w:t xml:space="preserve">Eckhard Kalanke </w:t>
      </w:r>
      <w:r w:rsidRPr="00E401D2">
        <w:t>v</w:t>
      </w:r>
      <w:r w:rsidRPr="00193A9A">
        <w:rPr>
          <w:i/>
          <w:iCs/>
        </w:rPr>
        <w:t xml:space="preserve"> Freie Hansestadt Bremen</w:t>
      </w:r>
      <w:r w:rsidRPr="00193A9A">
        <w:t xml:space="preserve">; C-409/95, </w:t>
      </w:r>
      <w:r w:rsidRPr="00193A9A">
        <w:rPr>
          <w:i/>
          <w:iCs/>
        </w:rPr>
        <w:t xml:space="preserve">Hellmut Marschall </w:t>
      </w:r>
      <w:r w:rsidRPr="00E401D2">
        <w:t>v</w:t>
      </w:r>
      <w:r w:rsidRPr="00193A9A">
        <w:rPr>
          <w:i/>
          <w:iCs/>
        </w:rPr>
        <w:t xml:space="preserve"> Land Nordrhein-Westfalen</w:t>
      </w:r>
      <w:r w:rsidRPr="00193A9A">
        <w:t xml:space="preserve">; C-158/97, </w:t>
      </w:r>
      <w:r w:rsidRPr="00193A9A">
        <w:rPr>
          <w:i/>
          <w:iCs/>
        </w:rPr>
        <w:t>Georg Badeck and Others</w:t>
      </w:r>
      <w:r w:rsidRPr="00193A9A">
        <w:t xml:space="preserve">; C-407/98, </w:t>
      </w:r>
      <w:r w:rsidRPr="00193A9A">
        <w:rPr>
          <w:i/>
          <w:iCs/>
        </w:rPr>
        <w:t xml:space="preserve">Katarina Abrahamsson and Leif Anderson </w:t>
      </w:r>
      <w:r w:rsidRPr="00E401D2">
        <w:t>v</w:t>
      </w:r>
      <w:r w:rsidRPr="00193A9A">
        <w:rPr>
          <w:i/>
          <w:iCs/>
        </w:rPr>
        <w:t xml:space="preserve"> Elisabet Fogelqvist</w:t>
      </w:r>
      <w:r w:rsidRPr="00193A9A">
        <w:t xml:space="preserve">; C-476/99, </w:t>
      </w:r>
      <w:r w:rsidRPr="00193A9A">
        <w:rPr>
          <w:i/>
          <w:iCs/>
        </w:rPr>
        <w:t xml:space="preserve">H. Lommers </w:t>
      </w:r>
      <w:r w:rsidRPr="00E401D2">
        <w:t>v</w:t>
      </w:r>
      <w:r w:rsidRPr="00193A9A">
        <w:rPr>
          <w:i/>
          <w:iCs/>
        </w:rPr>
        <w:t xml:space="preserve"> Minister van Landbouw, Natuurbeheer en Visserij</w:t>
      </w:r>
      <w:r w:rsidRPr="00193A9A">
        <w:t xml:space="preserve">; C-559/07, </w:t>
      </w:r>
      <w:r w:rsidRPr="00193A9A">
        <w:rPr>
          <w:i/>
          <w:iCs/>
        </w:rPr>
        <w:t xml:space="preserve">Commission </w:t>
      </w:r>
      <w:r w:rsidRPr="00E401D2">
        <w:t>v</w:t>
      </w:r>
      <w:r w:rsidRPr="00193A9A">
        <w:rPr>
          <w:i/>
          <w:iCs/>
        </w:rPr>
        <w:t xml:space="preserve"> Greece</w:t>
      </w:r>
      <w:r w:rsidRPr="00193A9A">
        <w:t>, among others.</w:t>
      </w:r>
    </w:p>
  </w:footnote>
  <w:footnote w:id="82">
    <w:p w14:paraId="0023B12F" w14:textId="685BD7A4" w:rsidR="009979EB" w:rsidRPr="00193A9A" w:rsidRDefault="009979EB" w:rsidP="009979EB">
      <w:pPr>
        <w:pStyle w:val="FootnoteText"/>
      </w:pPr>
      <w:r w:rsidRPr="00193A9A">
        <w:t>(</w:t>
      </w:r>
      <w:r w:rsidRPr="00193A9A">
        <w:rPr>
          <w:rStyle w:val="FootnoteReference"/>
        </w:rPr>
        <w:footnoteRef/>
      </w:r>
      <w:r w:rsidRPr="00193A9A">
        <w:t>)</w:t>
      </w:r>
      <w:r w:rsidRPr="00193A9A">
        <w:tab/>
        <w:t xml:space="preserve">See also Giteva, D., ‘Positive action on the grounds of racial or ethnic origin within the EU with a focus on Bulgaria, Greece and Hungary’, in: </w:t>
      </w:r>
      <w:r w:rsidRPr="00193A9A">
        <w:rPr>
          <w:i/>
          <w:iCs/>
        </w:rPr>
        <w:t>European equality law review 2024</w:t>
      </w:r>
      <w:r w:rsidRPr="00193A9A">
        <w:t>, Publications Office of the European Union, 2024, pp.</w:t>
      </w:r>
      <w:r w:rsidR="00343982">
        <w:t> </w:t>
      </w:r>
      <w:r w:rsidRPr="00193A9A">
        <w:t>26</w:t>
      </w:r>
      <w:r w:rsidR="00343982">
        <w:t>-42</w:t>
      </w:r>
      <w:r w:rsidRPr="00193A9A">
        <w:t>.</w:t>
      </w:r>
    </w:p>
  </w:footnote>
  <w:footnote w:id="83">
    <w:p w14:paraId="7450FEA9" w14:textId="027D2D16" w:rsidR="009979EB" w:rsidRPr="00193A9A" w:rsidRDefault="009979EB" w:rsidP="009979EB">
      <w:pPr>
        <w:pStyle w:val="FootnoteText"/>
      </w:pPr>
      <w:r w:rsidRPr="00193A9A">
        <w:t>(</w:t>
      </w:r>
      <w:r w:rsidRPr="00193A9A">
        <w:rPr>
          <w:rStyle w:val="FootnoteReference"/>
        </w:rPr>
        <w:footnoteRef/>
      </w:r>
      <w:r w:rsidRPr="00193A9A">
        <w:t>)</w:t>
      </w:r>
      <w:r w:rsidRPr="00193A9A">
        <w:tab/>
        <w:t xml:space="preserve">Some countries offer further measures, such as financial incentives for companies promoting diversity </w:t>
      </w:r>
      <w:r w:rsidR="008A5574" w:rsidRPr="00193A9A">
        <w:t xml:space="preserve">and inclusion </w:t>
      </w:r>
      <w:r w:rsidRPr="00193A9A">
        <w:t xml:space="preserve">(nine </w:t>
      </w:r>
      <w:r w:rsidR="00343982">
        <w:t>Member States</w:t>
      </w:r>
      <w:r w:rsidRPr="00193A9A">
        <w:t xml:space="preserve">) and programmes to support business development among disadvantaged groups (six </w:t>
      </w:r>
      <w:r w:rsidR="00343982">
        <w:t>Member States</w:t>
      </w:r>
      <w:r w:rsidRPr="00193A9A">
        <w:t>).</w:t>
      </w:r>
    </w:p>
  </w:footnote>
  <w:footnote w:id="84">
    <w:p w14:paraId="46E1A0C6" w14:textId="0572D94C" w:rsidR="009979EB" w:rsidRPr="005D1326" w:rsidRDefault="009979EB" w:rsidP="009979EB">
      <w:pPr>
        <w:pStyle w:val="FootnoteText"/>
        <w:rPr>
          <w:lang w:val="it-IT"/>
        </w:rPr>
      </w:pPr>
      <w:r w:rsidRPr="005D1326">
        <w:rPr>
          <w:lang w:val="it-IT"/>
        </w:rPr>
        <w:t>(</w:t>
      </w:r>
      <w:r w:rsidRPr="00193A9A">
        <w:rPr>
          <w:rStyle w:val="FootnoteReference"/>
        </w:rPr>
        <w:footnoteRef/>
      </w:r>
      <w:r w:rsidRPr="005D1326">
        <w:rPr>
          <w:lang w:val="it-IT"/>
        </w:rPr>
        <w:t>)</w:t>
      </w:r>
      <w:r w:rsidRPr="005D1326">
        <w:rPr>
          <w:lang w:val="it-IT"/>
        </w:rPr>
        <w:tab/>
      </w:r>
      <w:hyperlink r:id="rId37" w:history="1">
        <w:r w:rsidR="00CA6862" w:rsidRPr="00CA6862">
          <w:rPr>
            <w:rStyle w:val="Hyperlink"/>
          </w:rPr>
          <w:t>Angajez 45+ | D&amp;I România | Discriminarea de vârstă</w:t>
        </w:r>
      </w:hyperlink>
      <w:r w:rsidRPr="005D1326">
        <w:rPr>
          <w:lang w:val="it-IT"/>
        </w:rPr>
        <w:t>.</w:t>
      </w:r>
    </w:p>
  </w:footnote>
  <w:footnote w:id="85">
    <w:p w14:paraId="20D0A23D" w14:textId="357DA123" w:rsidR="009979EB" w:rsidRPr="00193A9A" w:rsidRDefault="009979EB" w:rsidP="009979EB">
      <w:pPr>
        <w:pStyle w:val="FootnoteText"/>
      </w:pPr>
      <w:r w:rsidRPr="00193A9A">
        <w:t>(</w:t>
      </w:r>
      <w:r w:rsidRPr="00193A9A">
        <w:rPr>
          <w:rStyle w:val="FootnoteReference"/>
        </w:rPr>
        <w:footnoteRef/>
      </w:r>
      <w:r w:rsidRPr="00193A9A">
        <w:t>)</w:t>
      </w:r>
      <w:r w:rsidRPr="00193A9A">
        <w:tab/>
        <w:t>See Article</w:t>
      </w:r>
      <w:r w:rsidR="00193A9A">
        <w:t> </w:t>
      </w:r>
      <w:r w:rsidRPr="00193A9A">
        <w:t>3(1)(h) of the Racial Equality Directive.</w:t>
      </w:r>
    </w:p>
  </w:footnote>
  <w:footnote w:id="86">
    <w:p w14:paraId="6FFA96F3" w14:textId="2EA5B81C" w:rsidR="00301886" w:rsidRPr="00193A9A" w:rsidRDefault="00301886">
      <w:pPr>
        <w:pStyle w:val="FootnoteText"/>
      </w:pPr>
      <w:r w:rsidRPr="00193A9A">
        <w:t>(</w:t>
      </w:r>
      <w:r w:rsidRPr="00193A9A">
        <w:rPr>
          <w:rStyle w:val="FootnoteReference"/>
        </w:rPr>
        <w:footnoteRef/>
      </w:r>
      <w:r w:rsidRPr="00193A9A">
        <w:t>)</w:t>
      </w:r>
      <w:r w:rsidRPr="00193A9A">
        <w:tab/>
      </w:r>
      <w:bookmarkStart w:id="23" w:name="_Hlk219188523"/>
      <w:r w:rsidRPr="00834671">
        <w:t>Judgment</w:t>
      </w:r>
      <w:r w:rsidRPr="00193A9A">
        <w:t xml:space="preserve"> of the Court</w:t>
      </w:r>
      <w:r w:rsidR="00CA5816" w:rsidRPr="00193A9A">
        <w:t xml:space="preserve"> </w:t>
      </w:r>
      <w:r w:rsidR="00834671">
        <w:t xml:space="preserve">of Justice </w:t>
      </w:r>
      <w:r w:rsidR="00CA5816" w:rsidRPr="00193A9A">
        <w:t>of 18</w:t>
      </w:r>
      <w:r w:rsidR="00193A9A">
        <w:t> </w:t>
      </w:r>
      <w:r w:rsidR="00CA5816" w:rsidRPr="00193A9A">
        <w:t xml:space="preserve">December 2025, </w:t>
      </w:r>
      <w:r w:rsidR="00CA5816" w:rsidRPr="00193A9A">
        <w:rPr>
          <w:i/>
          <w:iCs/>
        </w:rPr>
        <w:t>Slagelse Almennyttige Boligselskab, Afdeling Schackenborgvænge</w:t>
      </w:r>
      <w:r w:rsidR="00CA5816" w:rsidRPr="00193A9A">
        <w:t>, C-417/23, ECLI:EU:C:2025:1017.</w:t>
      </w:r>
      <w:bookmarkEnd w:id="23"/>
    </w:p>
  </w:footnote>
  <w:footnote w:id="87">
    <w:p w14:paraId="41A963E7" w14:textId="328C9B05" w:rsidR="00BB0015" w:rsidRPr="00B61149" w:rsidRDefault="00BB0015">
      <w:pPr>
        <w:pStyle w:val="FootnoteText"/>
        <w:rPr>
          <w:lang w:val="pl-PL"/>
        </w:rPr>
      </w:pPr>
      <w:r w:rsidRPr="00B61149">
        <w:rPr>
          <w:lang w:val="pl-PL"/>
        </w:rPr>
        <w:t>(</w:t>
      </w:r>
      <w:r>
        <w:rPr>
          <w:rStyle w:val="FootnoteReference"/>
        </w:rPr>
        <w:footnoteRef/>
      </w:r>
      <w:r w:rsidRPr="00B61149">
        <w:rPr>
          <w:lang w:val="pl-PL"/>
        </w:rPr>
        <w:t>)</w:t>
      </w:r>
      <w:r w:rsidRPr="00B61149">
        <w:rPr>
          <w:lang w:val="pl-PL"/>
        </w:rPr>
        <w:tab/>
        <w:t>OJ L 376, 27.12.2006, p. 36, ELI: </w:t>
      </w:r>
      <w:hyperlink r:id="rId38" w:tooltip="Gives access to this document through its ELI URI." w:history="1">
        <w:r w:rsidRPr="00B61149">
          <w:rPr>
            <w:rStyle w:val="Hyperlink"/>
            <w:lang w:val="pl-PL"/>
          </w:rPr>
          <w:t>http://data.europa.eu/eli/dir/2006/123/oj</w:t>
        </w:r>
      </w:hyperlink>
      <w:r w:rsidRPr="00B61149">
        <w:rPr>
          <w:lang w:val="pl-PL"/>
        </w:rPr>
        <w:t>.</w:t>
      </w:r>
    </w:p>
  </w:footnote>
  <w:footnote w:id="88">
    <w:p w14:paraId="2E10394A" w14:textId="16E9092B" w:rsidR="00CA5816" w:rsidRPr="00193A9A" w:rsidRDefault="00CA5816">
      <w:pPr>
        <w:pStyle w:val="FootnoteText"/>
      </w:pPr>
      <w:r w:rsidRPr="00193A9A">
        <w:t>(</w:t>
      </w:r>
      <w:r w:rsidRPr="00193A9A">
        <w:rPr>
          <w:rStyle w:val="FootnoteReference"/>
        </w:rPr>
        <w:footnoteRef/>
      </w:r>
      <w:r w:rsidRPr="00193A9A">
        <w:t>)</w:t>
      </w:r>
      <w:r w:rsidRPr="00193A9A">
        <w:tab/>
      </w:r>
      <w:r w:rsidR="0050147E">
        <w:t xml:space="preserve">See note </w:t>
      </w:r>
      <w:r w:rsidR="00AD2626">
        <w:t>8</w:t>
      </w:r>
      <w:r w:rsidR="00695349">
        <w:t>5</w:t>
      </w:r>
      <w:r w:rsidRPr="00193A9A">
        <w:t>, paragraph</w:t>
      </w:r>
      <w:r w:rsidR="00834671">
        <w:t> </w:t>
      </w:r>
      <w:r w:rsidRPr="00193A9A">
        <w:t>56.</w:t>
      </w:r>
    </w:p>
  </w:footnote>
  <w:footnote w:id="89">
    <w:p w14:paraId="5D43436D" w14:textId="4BFC58D4" w:rsidR="00CA5816" w:rsidRPr="00193A9A" w:rsidRDefault="00CA5816">
      <w:pPr>
        <w:pStyle w:val="FootnoteText"/>
      </w:pPr>
      <w:r w:rsidRPr="00193A9A">
        <w:t>(</w:t>
      </w:r>
      <w:r w:rsidRPr="00193A9A">
        <w:rPr>
          <w:rStyle w:val="FootnoteReference"/>
        </w:rPr>
        <w:footnoteRef/>
      </w:r>
      <w:r w:rsidRPr="00193A9A">
        <w:t>)</w:t>
      </w:r>
      <w:r w:rsidRPr="00193A9A">
        <w:tab/>
      </w:r>
      <w:r w:rsidR="0050147E">
        <w:t xml:space="preserve">See note </w:t>
      </w:r>
      <w:r w:rsidR="00AD2626">
        <w:t>8</w:t>
      </w:r>
      <w:r w:rsidR="00695349">
        <w:t>5</w:t>
      </w:r>
      <w:r w:rsidRPr="00193A9A">
        <w:t>, paragraphs</w:t>
      </w:r>
      <w:r w:rsidR="00834671">
        <w:t> </w:t>
      </w:r>
      <w:r w:rsidRPr="00193A9A">
        <w:t>60-61.</w:t>
      </w:r>
    </w:p>
  </w:footnote>
  <w:footnote w:id="90">
    <w:p w14:paraId="1455A349" w14:textId="61D0C573" w:rsidR="00DF7414" w:rsidRPr="00B61149" w:rsidRDefault="00DF7414">
      <w:pPr>
        <w:pStyle w:val="FootnoteText"/>
        <w:rPr>
          <w:lang w:val="en-IE"/>
        </w:rPr>
      </w:pPr>
      <w:r>
        <w:t>(</w:t>
      </w:r>
      <w:r>
        <w:rPr>
          <w:rStyle w:val="FootnoteReference"/>
        </w:rPr>
        <w:footnoteRef/>
      </w:r>
      <w:r>
        <w:t>)</w:t>
      </w:r>
      <w:r>
        <w:tab/>
      </w:r>
      <w:r w:rsidRPr="00DF7414">
        <w:t>Case C-799/23: Action brought on 22 December 2023 — European Commission v Slovak Republic</w:t>
      </w:r>
      <w:r>
        <w:t xml:space="preserve">, </w:t>
      </w:r>
      <w:r w:rsidRPr="00DF7414">
        <w:rPr>
          <w:i/>
          <w:iCs/>
        </w:rPr>
        <w:t>OJ C, C/2024/1402, 19.2.2024</w:t>
      </w:r>
      <w:r w:rsidRPr="00B61149">
        <w:t>, ELI: </w:t>
      </w:r>
      <w:hyperlink r:id="rId39" w:tgtFrame="_blank" w:tooltip="Gives access to this document through its ELI URI." w:history="1">
        <w:r w:rsidRPr="00B61149">
          <w:rPr>
            <w:rStyle w:val="Hyperlink"/>
          </w:rPr>
          <w:t>http://data.europa.eu/eli/C/2024/1402/oj</w:t>
        </w:r>
      </w:hyperlink>
      <w:r>
        <w:t>.</w:t>
      </w:r>
    </w:p>
  </w:footnote>
  <w:footnote w:id="91">
    <w:p w14:paraId="56E6789C" w14:textId="58FF31E9" w:rsidR="00987509" w:rsidRPr="00B61149" w:rsidRDefault="00987509">
      <w:pPr>
        <w:pStyle w:val="FootnoteText"/>
        <w:rPr>
          <w:lang w:val="en-IE"/>
        </w:rPr>
      </w:pPr>
      <w:r>
        <w:t>(</w:t>
      </w:r>
      <w:r>
        <w:rPr>
          <w:rStyle w:val="FootnoteReference"/>
        </w:rPr>
        <w:footnoteRef/>
      </w:r>
      <w:r>
        <w:t>)</w:t>
      </w:r>
      <w:r>
        <w:tab/>
      </w:r>
      <w:r w:rsidRPr="00987509">
        <w:t>The Commission emphasises the common understanding that ‘races’ are purely based on socially constructed ideas and it rejects the notion of biological ‘races’.</w:t>
      </w:r>
    </w:p>
  </w:footnote>
  <w:footnote w:id="92">
    <w:p w14:paraId="6F04FF68" w14:textId="245A59D6" w:rsidR="00987509" w:rsidRPr="00B61149" w:rsidRDefault="00987509">
      <w:pPr>
        <w:pStyle w:val="FootnoteText"/>
        <w:rPr>
          <w:lang w:val="en-IE"/>
        </w:rPr>
      </w:pPr>
      <w:r>
        <w:t>(</w:t>
      </w:r>
      <w:r>
        <w:rPr>
          <w:rStyle w:val="FootnoteReference"/>
        </w:rPr>
        <w:footnoteRef/>
      </w:r>
      <w:r>
        <w:t>)</w:t>
      </w:r>
      <w:r>
        <w:tab/>
        <w:t>See COM(2026) 12 final of 20 January 2026, p.3.</w:t>
      </w:r>
    </w:p>
  </w:footnote>
  <w:footnote w:id="93">
    <w:p w14:paraId="730ADEF2" w14:textId="7264341C" w:rsidR="00062C9A" w:rsidRPr="00B61149" w:rsidRDefault="00062C9A">
      <w:pPr>
        <w:pStyle w:val="FootnoteText"/>
        <w:rPr>
          <w:lang w:val="en-IE"/>
        </w:rPr>
      </w:pPr>
      <w:r>
        <w:t>(</w:t>
      </w:r>
      <w:r>
        <w:rPr>
          <w:rStyle w:val="FootnoteReference"/>
        </w:rPr>
        <w:footnoteRef/>
      </w:r>
      <w:r>
        <w:t>)</w:t>
      </w:r>
      <w:r>
        <w:tab/>
      </w:r>
      <w:r w:rsidRPr="00062C9A">
        <w:t xml:space="preserve">See Kádár, A., The legal framework to combat anti-Muslim hate in the European Union, Publications Office of the European Union, 2024, p. 11, </w:t>
      </w:r>
      <w:hyperlink r:id="rId40" w:history="1">
        <w:r w:rsidRPr="00AD2626">
          <w:rPr>
            <w:rStyle w:val="Hyperlink"/>
          </w:rPr>
          <w:t>https://data.europa.eu/doi/10.2838/0978883</w:t>
        </w:r>
      </w:hyperlink>
      <w:r w:rsidRPr="00062C9A">
        <w:t xml:space="preserve">; Kadar. A, The legal framework to combat antisemitism in the EU, Publications Office of the European Union, 2024, p. 31, </w:t>
      </w:r>
      <w:hyperlink r:id="rId41" w:history="1">
        <w:r w:rsidRPr="00AD2626">
          <w:rPr>
            <w:rStyle w:val="Hyperlink"/>
          </w:rPr>
          <w:t>https://data.europa.eu/doi/10.2838/273421</w:t>
        </w:r>
      </w:hyperlink>
      <w:r w:rsidRPr="00062C9A">
        <w:t>.</w:t>
      </w:r>
    </w:p>
  </w:footnote>
  <w:footnote w:id="94">
    <w:p w14:paraId="0488F104" w14:textId="0C902AC7" w:rsidR="003567B7" w:rsidRPr="00193A9A" w:rsidRDefault="003567B7">
      <w:pPr>
        <w:pStyle w:val="FootnoteText"/>
      </w:pPr>
      <w:r w:rsidRPr="00193A9A">
        <w:t>(</w:t>
      </w:r>
      <w:r w:rsidRPr="00193A9A">
        <w:rPr>
          <w:rStyle w:val="FootnoteReference"/>
        </w:rPr>
        <w:footnoteRef/>
      </w:r>
      <w:r w:rsidRPr="00193A9A">
        <w:t>)</w:t>
      </w:r>
      <w:r w:rsidRPr="00193A9A">
        <w:tab/>
      </w:r>
      <w:r w:rsidR="005E7CB1">
        <w:t xml:space="preserve">See note </w:t>
      </w:r>
      <w:r w:rsidR="00AD2626">
        <w:t>8</w:t>
      </w:r>
      <w:r w:rsidR="00695349">
        <w:t>5</w:t>
      </w:r>
      <w:r w:rsidRPr="00193A9A">
        <w:t>.</w:t>
      </w:r>
    </w:p>
  </w:footnote>
  <w:footnote w:id="95">
    <w:p w14:paraId="724697A4" w14:textId="500A2FA4" w:rsidR="00110757" w:rsidRPr="00E334E1" w:rsidRDefault="00110757" w:rsidP="00110757">
      <w:pPr>
        <w:pStyle w:val="FootnoteText"/>
        <w:rPr>
          <w:lang w:val="da-DK"/>
        </w:rPr>
      </w:pPr>
      <w:r w:rsidRPr="00E334E1">
        <w:rPr>
          <w:lang w:val="da-DK"/>
        </w:rPr>
        <w:t>(</w:t>
      </w:r>
      <w:r>
        <w:rPr>
          <w:rStyle w:val="FootnoteReference"/>
        </w:rPr>
        <w:footnoteRef/>
      </w:r>
      <w:r w:rsidRPr="00E334E1">
        <w:rPr>
          <w:lang w:val="da-DK"/>
        </w:rPr>
        <w:t>)</w:t>
      </w:r>
      <w:r w:rsidRPr="00E334E1">
        <w:rPr>
          <w:lang w:val="da-DK"/>
        </w:rPr>
        <w:tab/>
      </w:r>
      <w:r w:rsidR="005E7CB1">
        <w:rPr>
          <w:lang w:val="da-DK"/>
        </w:rPr>
        <w:t xml:space="preserve">See note </w:t>
      </w:r>
      <w:r w:rsidR="00AD2626">
        <w:t>8</w:t>
      </w:r>
      <w:r w:rsidR="00695349">
        <w:t>5</w:t>
      </w:r>
      <w:r w:rsidRPr="00E334E1">
        <w:rPr>
          <w:lang w:val="da-DK"/>
        </w:rPr>
        <w:t xml:space="preserve">, </w:t>
      </w:r>
      <w:r>
        <w:rPr>
          <w:lang w:val="da-DK"/>
        </w:rPr>
        <w:t xml:space="preserve">paragraph </w:t>
      </w:r>
      <w:r w:rsidRPr="00E334E1">
        <w:rPr>
          <w:lang w:val="da-DK"/>
        </w:rPr>
        <w:t>72.</w:t>
      </w:r>
    </w:p>
  </w:footnote>
  <w:footnote w:id="96">
    <w:p w14:paraId="6A49F58D" w14:textId="03054723" w:rsidR="00CA5816" w:rsidRPr="00193A9A" w:rsidRDefault="00CA5816">
      <w:pPr>
        <w:pStyle w:val="FootnoteText"/>
      </w:pPr>
      <w:r w:rsidRPr="00193A9A">
        <w:t>(</w:t>
      </w:r>
      <w:r w:rsidRPr="00193A9A">
        <w:rPr>
          <w:rStyle w:val="FootnoteReference"/>
        </w:rPr>
        <w:footnoteRef/>
      </w:r>
      <w:r w:rsidRPr="00193A9A">
        <w:t>)</w:t>
      </w:r>
      <w:r w:rsidRPr="00193A9A">
        <w:tab/>
      </w:r>
      <w:r w:rsidR="005E7CB1">
        <w:t xml:space="preserve">See note </w:t>
      </w:r>
      <w:r w:rsidR="00AD2626">
        <w:t>8</w:t>
      </w:r>
      <w:r w:rsidR="00695349">
        <w:t>5</w:t>
      </w:r>
      <w:r w:rsidRPr="00193A9A">
        <w:t>, paragraphs</w:t>
      </w:r>
      <w:r w:rsidR="00320E01">
        <w:t> </w:t>
      </w:r>
      <w:r w:rsidRPr="00193A9A">
        <w:t>72-74</w:t>
      </w:r>
      <w:r w:rsidR="0090305A" w:rsidRPr="00193A9A">
        <w:t xml:space="preserve"> and 82-85</w:t>
      </w:r>
      <w:r w:rsidRPr="00193A9A">
        <w:t>.</w:t>
      </w:r>
    </w:p>
  </w:footnote>
  <w:footnote w:id="97">
    <w:p w14:paraId="48CBF869" w14:textId="1D8D0CAA" w:rsidR="00CA5816" w:rsidRPr="00193A9A" w:rsidRDefault="00CA5816">
      <w:pPr>
        <w:pStyle w:val="FootnoteText"/>
      </w:pPr>
      <w:r w:rsidRPr="00193A9A">
        <w:t>(</w:t>
      </w:r>
      <w:r w:rsidRPr="00193A9A">
        <w:rPr>
          <w:rStyle w:val="FootnoteReference"/>
        </w:rPr>
        <w:footnoteRef/>
      </w:r>
      <w:r w:rsidRPr="00193A9A">
        <w:t>)</w:t>
      </w:r>
      <w:r w:rsidRPr="00193A9A">
        <w:tab/>
      </w:r>
      <w:r w:rsidR="009F50B0">
        <w:t xml:space="preserve">See note </w:t>
      </w:r>
      <w:r w:rsidR="00AD2626">
        <w:t>8</w:t>
      </w:r>
      <w:r w:rsidR="00695349">
        <w:t>5</w:t>
      </w:r>
      <w:r w:rsidRPr="00193A9A">
        <w:t>, paragraph 86.</w:t>
      </w:r>
    </w:p>
  </w:footnote>
  <w:footnote w:id="98">
    <w:p w14:paraId="34352126" w14:textId="2BA19DE4" w:rsidR="0081185E" w:rsidRPr="00B61149" w:rsidRDefault="0081185E">
      <w:pPr>
        <w:pStyle w:val="FootnoteText"/>
        <w:rPr>
          <w:lang w:val="en-IE"/>
        </w:rPr>
      </w:pPr>
      <w:r>
        <w:t>(</w:t>
      </w:r>
      <w:r>
        <w:rPr>
          <w:rStyle w:val="FootnoteReference"/>
        </w:rPr>
        <w:footnoteRef/>
      </w:r>
      <w:r>
        <w:t>)</w:t>
      </w:r>
      <w:r>
        <w:tab/>
        <w:t>‘</w:t>
      </w:r>
      <w:r w:rsidRPr="00193A9A">
        <w:t>Immigrants from non-Western countries and their descendants</w:t>
      </w:r>
      <w:r>
        <w:t>’</w:t>
      </w:r>
      <w:r w:rsidRPr="00193A9A">
        <w:t xml:space="preserve"> were defined </w:t>
      </w:r>
      <w:r>
        <w:t>on the basis of</w:t>
      </w:r>
      <w:r w:rsidRPr="00193A9A">
        <w:t xml:space="preserve"> a combination of nationality, country of birth and parental nationality</w:t>
      </w:r>
      <w:r>
        <w:t xml:space="preserve"> </w:t>
      </w:r>
      <w:r w:rsidRPr="00193A9A">
        <w:t>/</w:t>
      </w:r>
      <w:r>
        <w:t xml:space="preserve"> </w:t>
      </w:r>
      <w:r w:rsidRPr="00193A9A">
        <w:t>country of birth, distinguishing between ‘Western’ and ‘non-Western’ origins.</w:t>
      </w:r>
      <w:r>
        <w:t xml:space="preserve"> The Danish Statistics agency (Danmarks Statistik) defined ‘</w:t>
      </w:r>
      <w:r w:rsidRPr="0081185E">
        <w:t>Western</w:t>
      </w:r>
      <w:r>
        <w:t>’</w:t>
      </w:r>
      <w:r w:rsidRPr="0081185E">
        <w:t xml:space="preserve"> countries as: EU Member States, Andorra, Australia, Canada, Iceland, Liechtenstein, Monaco, New Zealand, Norway, San Marino, Switzerland, the UK, the United States and the Vatican City State</w:t>
      </w:r>
      <w:r>
        <w:t>. All other countries were</w:t>
      </w:r>
      <w:r w:rsidRPr="0081185E">
        <w:t xml:space="preserve"> referred to as ‘non-Western countries’.</w:t>
      </w:r>
    </w:p>
  </w:footnote>
  <w:footnote w:id="99">
    <w:p w14:paraId="7B84F2E6" w14:textId="6B970C32" w:rsidR="00CA5816" w:rsidRPr="00193A9A" w:rsidRDefault="00CA5816">
      <w:pPr>
        <w:pStyle w:val="FootnoteText"/>
      </w:pPr>
      <w:r w:rsidRPr="00193A9A">
        <w:t>(</w:t>
      </w:r>
      <w:r w:rsidRPr="00193A9A">
        <w:rPr>
          <w:rStyle w:val="FootnoteReference"/>
        </w:rPr>
        <w:footnoteRef/>
      </w:r>
      <w:r w:rsidRPr="00193A9A">
        <w:t>)</w:t>
      </w:r>
      <w:r w:rsidRPr="00193A9A">
        <w:tab/>
      </w:r>
      <w:r w:rsidR="005E7CB1">
        <w:t xml:space="preserve">See note </w:t>
      </w:r>
      <w:r w:rsidR="00AD2626">
        <w:t>8</w:t>
      </w:r>
      <w:r w:rsidR="00695349">
        <w:t>5</w:t>
      </w:r>
      <w:r w:rsidRPr="00193A9A">
        <w:t>, paragraphs</w:t>
      </w:r>
      <w:r w:rsidR="00A76AF7">
        <w:t> </w:t>
      </w:r>
      <w:r w:rsidRPr="00193A9A">
        <w:t>100-</w:t>
      </w:r>
      <w:r w:rsidR="0090305A" w:rsidRPr="00193A9A">
        <w:t>104</w:t>
      </w:r>
      <w:r w:rsidRPr="00193A9A">
        <w:t>.</w:t>
      </w:r>
    </w:p>
  </w:footnote>
  <w:footnote w:id="100">
    <w:p w14:paraId="6261D275" w14:textId="4E8CDE44" w:rsidR="000B4845" w:rsidRPr="00193A9A" w:rsidRDefault="000B4845" w:rsidP="000B4845">
      <w:pPr>
        <w:pStyle w:val="FootnoteText"/>
      </w:pPr>
      <w:r w:rsidRPr="00193A9A">
        <w:t>(</w:t>
      </w:r>
      <w:r w:rsidRPr="00193A9A">
        <w:rPr>
          <w:rStyle w:val="FootnoteReference"/>
        </w:rPr>
        <w:footnoteRef/>
      </w:r>
      <w:r w:rsidRPr="00193A9A">
        <w:t>)</w:t>
      </w:r>
      <w:r w:rsidR="00161D7F">
        <w:tab/>
      </w:r>
      <w:r w:rsidRPr="00193A9A">
        <w:t>In line with previous CJEU case</w:t>
      </w:r>
      <w:r w:rsidR="00C45297">
        <w:t>-</w:t>
      </w:r>
      <w:r w:rsidRPr="00193A9A">
        <w:t xml:space="preserve">law, e.g. </w:t>
      </w:r>
      <w:r w:rsidRPr="00C45297">
        <w:t>judgment</w:t>
      </w:r>
      <w:r w:rsidRPr="00193A9A">
        <w:t xml:space="preserve"> </w:t>
      </w:r>
      <w:r w:rsidR="00C45297">
        <w:t xml:space="preserve">of the Court of Justice </w:t>
      </w:r>
      <w:r w:rsidRPr="00193A9A">
        <w:t>of 21</w:t>
      </w:r>
      <w:r w:rsidR="00193A9A">
        <w:t> </w:t>
      </w:r>
      <w:r w:rsidRPr="00193A9A">
        <w:t xml:space="preserve">May 2015, </w:t>
      </w:r>
      <w:r w:rsidRPr="00193A9A">
        <w:rPr>
          <w:i/>
          <w:iCs/>
        </w:rPr>
        <w:t>SCMD</w:t>
      </w:r>
      <w:r w:rsidRPr="00193A9A">
        <w:t>, C-262/14, EU:C:2015:336.</w:t>
      </w:r>
    </w:p>
  </w:footnote>
  <w:footnote w:id="101">
    <w:p w14:paraId="5DD3AEAA" w14:textId="0D37B32B" w:rsidR="000B4845" w:rsidRPr="00193A9A" w:rsidRDefault="000B4845" w:rsidP="000B4845">
      <w:pPr>
        <w:pStyle w:val="FootnoteText"/>
      </w:pPr>
      <w:r w:rsidRPr="00193A9A">
        <w:t>(</w:t>
      </w:r>
      <w:r w:rsidRPr="00193A9A">
        <w:rPr>
          <w:rStyle w:val="FootnoteReference"/>
        </w:rPr>
        <w:footnoteRef/>
      </w:r>
      <w:r w:rsidRPr="00193A9A">
        <w:t>)</w:t>
      </w:r>
      <w:r w:rsidR="00161D7F">
        <w:tab/>
      </w:r>
      <w:r w:rsidRPr="00C45297">
        <w:t>Judgment</w:t>
      </w:r>
      <w:r w:rsidRPr="00193A9A">
        <w:t xml:space="preserve"> </w:t>
      </w:r>
      <w:r w:rsidR="00C45297">
        <w:t xml:space="preserve">of the Court of Justice </w:t>
      </w:r>
      <w:r w:rsidRPr="00193A9A">
        <w:t>of 17</w:t>
      </w:r>
      <w:r w:rsidR="00193A9A">
        <w:t> </w:t>
      </w:r>
      <w:r w:rsidRPr="00193A9A">
        <w:t xml:space="preserve">October 2024, Case C-349/23, </w:t>
      </w:r>
      <w:r w:rsidRPr="00193A9A">
        <w:rPr>
          <w:i/>
          <w:iCs/>
        </w:rPr>
        <w:t>Zetschek</w:t>
      </w:r>
      <w:r w:rsidRPr="00193A9A">
        <w:t>, ECLI:EU:C:2024:889.</w:t>
      </w:r>
    </w:p>
  </w:footnote>
  <w:footnote w:id="102">
    <w:p w14:paraId="1CE099A2" w14:textId="2CE131A5" w:rsidR="000B4845" w:rsidRPr="00193A9A" w:rsidRDefault="000B4845" w:rsidP="000B4845">
      <w:pPr>
        <w:pStyle w:val="FootnoteText"/>
      </w:pPr>
      <w:r w:rsidRPr="00193A9A">
        <w:t>(</w:t>
      </w:r>
      <w:r w:rsidRPr="00193A9A">
        <w:rPr>
          <w:rStyle w:val="FootnoteReference"/>
        </w:rPr>
        <w:footnoteRef/>
      </w:r>
      <w:r w:rsidRPr="00193A9A">
        <w:t>)</w:t>
      </w:r>
      <w:r w:rsidR="00161D7F">
        <w:tab/>
      </w:r>
      <w:r w:rsidRPr="00C45297">
        <w:t>Judgment</w:t>
      </w:r>
      <w:r w:rsidRPr="00193A9A">
        <w:t xml:space="preserve"> of</w:t>
      </w:r>
      <w:r w:rsidR="00C45297">
        <w:t xml:space="preserve"> the Court of Justice of</w:t>
      </w:r>
      <w:r w:rsidRPr="00193A9A">
        <w:t xml:space="preserve"> 12</w:t>
      </w:r>
      <w:r w:rsidR="00193A9A">
        <w:t> </w:t>
      </w:r>
      <w:r w:rsidRPr="00193A9A">
        <w:t xml:space="preserve">January 2023, Case C-356/21, </w:t>
      </w:r>
      <w:r w:rsidRPr="00193A9A">
        <w:rPr>
          <w:i/>
        </w:rPr>
        <w:t>TP (Audiovisual editor for public television)</w:t>
      </w:r>
      <w:r w:rsidRPr="00193A9A">
        <w:t>, ECLI:EU:C:2023:9.</w:t>
      </w:r>
    </w:p>
  </w:footnote>
  <w:footnote w:id="103">
    <w:p w14:paraId="3118ED6D" w14:textId="19B0CF19" w:rsidR="00193A9A" w:rsidRPr="00193A9A" w:rsidRDefault="00193A9A" w:rsidP="000B4845">
      <w:pPr>
        <w:pStyle w:val="FootnoteText"/>
      </w:pPr>
      <w:r w:rsidRPr="00193A9A">
        <w:t>(</w:t>
      </w:r>
      <w:r w:rsidRPr="00193A9A">
        <w:rPr>
          <w:rStyle w:val="FootnoteReference"/>
        </w:rPr>
        <w:footnoteRef/>
      </w:r>
      <w:r w:rsidRPr="00193A9A">
        <w:t>)</w:t>
      </w:r>
      <w:r w:rsidR="00161D7F">
        <w:tab/>
        <w:t xml:space="preserve">Article 3(1)(a) of the </w:t>
      </w:r>
      <w:r w:rsidRPr="00193A9A">
        <w:t>Employment Equality Directive.</w:t>
      </w:r>
    </w:p>
  </w:footnote>
  <w:footnote w:id="104">
    <w:p w14:paraId="24594511" w14:textId="6AA1321D" w:rsidR="00193A9A" w:rsidRPr="00193A9A" w:rsidRDefault="00193A9A" w:rsidP="000B4845">
      <w:pPr>
        <w:pStyle w:val="FootnoteText"/>
      </w:pPr>
      <w:r w:rsidRPr="00193A9A">
        <w:t>(</w:t>
      </w:r>
      <w:r w:rsidRPr="00193A9A">
        <w:rPr>
          <w:rStyle w:val="FootnoteReference"/>
        </w:rPr>
        <w:footnoteRef/>
      </w:r>
      <w:r w:rsidRPr="00193A9A">
        <w:t>)</w:t>
      </w:r>
      <w:r w:rsidR="00161D7F">
        <w:tab/>
        <w:t xml:space="preserve">Article 3(1)(c) of the </w:t>
      </w:r>
      <w:r w:rsidRPr="00193A9A">
        <w:t>Employment Equality Directive.</w:t>
      </w:r>
    </w:p>
  </w:footnote>
  <w:footnote w:id="105">
    <w:p w14:paraId="28F57F0F" w14:textId="31D11190" w:rsidR="000B4845" w:rsidRPr="00193A9A" w:rsidRDefault="000B4845" w:rsidP="000B4845">
      <w:pPr>
        <w:pStyle w:val="FootnoteText"/>
      </w:pPr>
      <w:r w:rsidRPr="00193A9A">
        <w:t>(</w:t>
      </w:r>
      <w:r w:rsidRPr="00193A9A">
        <w:rPr>
          <w:rStyle w:val="FootnoteReference"/>
        </w:rPr>
        <w:footnoteRef/>
      </w:r>
      <w:r w:rsidRPr="00193A9A">
        <w:t>)</w:t>
      </w:r>
      <w:r w:rsidR="00E42483">
        <w:tab/>
      </w:r>
      <w:r w:rsidRPr="00E42483">
        <w:t>Judgment</w:t>
      </w:r>
      <w:r w:rsidRPr="00193A9A">
        <w:t xml:space="preserve"> </w:t>
      </w:r>
      <w:r w:rsidR="00E42483">
        <w:t xml:space="preserve">of the Court of Justice </w:t>
      </w:r>
      <w:r w:rsidRPr="00193A9A">
        <w:t xml:space="preserve">of 2 June 2022, Case C-587/20, </w:t>
      </w:r>
      <w:r w:rsidRPr="00193A9A">
        <w:rPr>
          <w:i/>
          <w:iCs/>
        </w:rPr>
        <w:t>HK v Danmark and HK/Privat</w:t>
      </w:r>
      <w:r w:rsidRPr="00193A9A">
        <w:t>, ECLI:EU:C:2022:419.</w:t>
      </w:r>
    </w:p>
  </w:footnote>
  <w:footnote w:id="106">
    <w:p w14:paraId="6D181C71" w14:textId="3AFFF3C0" w:rsidR="000B4845" w:rsidRPr="00193A9A" w:rsidRDefault="000B4845" w:rsidP="000B4845">
      <w:pPr>
        <w:pStyle w:val="FootnoteText"/>
      </w:pPr>
      <w:r w:rsidRPr="00193A9A">
        <w:t>(</w:t>
      </w:r>
      <w:r w:rsidRPr="00193A9A">
        <w:rPr>
          <w:rStyle w:val="FootnoteReference"/>
        </w:rPr>
        <w:footnoteRef/>
      </w:r>
      <w:r w:rsidRPr="00193A9A">
        <w:t>)</w:t>
      </w:r>
      <w:r w:rsidR="00E42483">
        <w:tab/>
      </w:r>
      <w:r w:rsidRPr="00E42483">
        <w:t>Judgment</w:t>
      </w:r>
      <w:r w:rsidRPr="00193A9A">
        <w:t xml:space="preserve"> </w:t>
      </w:r>
      <w:r w:rsidR="00E42483">
        <w:t xml:space="preserve">of the Court of Justice </w:t>
      </w:r>
      <w:r w:rsidRPr="00193A9A">
        <w:t>of 18</w:t>
      </w:r>
      <w:r w:rsidR="00193A9A">
        <w:t> </w:t>
      </w:r>
      <w:r w:rsidRPr="00193A9A">
        <w:t xml:space="preserve">January 2024, Case C-631/22, </w:t>
      </w:r>
      <w:r w:rsidRPr="00193A9A">
        <w:rPr>
          <w:i/>
          <w:iCs/>
        </w:rPr>
        <w:t>Ca Na Negreta</w:t>
      </w:r>
      <w:r w:rsidRPr="00193A9A">
        <w:t>, ECLI:EU:C:2024:53.</w:t>
      </w:r>
    </w:p>
  </w:footnote>
  <w:footnote w:id="107">
    <w:p w14:paraId="5464D2D7" w14:textId="0836CE51" w:rsidR="00417312" w:rsidRPr="00193A9A" w:rsidRDefault="00417312">
      <w:pPr>
        <w:pStyle w:val="FootnoteText"/>
      </w:pPr>
      <w:r w:rsidRPr="00193A9A">
        <w:t>(</w:t>
      </w:r>
      <w:r w:rsidRPr="00193A9A">
        <w:rPr>
          <w:rStyle w:val="FootnoteReference"/>
        </w:rPr>
        <w:footnoteRef/>
      </w:r>
      <w:r w:rsidRPr="00193A9A">
        <w:t>)</w:t>
      </w:r>
      <w:r w:rsidRPr="00193A9A">
        <w:tab/>
      </w:r>
      <w:r w:rsidRPr="00E42483">
        <w:t>Judgment</w:t>
      </w:r>
      <w:r w:rsidRPr="00193A9A">
        <w:t xml:space="preserve"> </w:t>
      </w:r>
      <w:r w:rsidR="00E42483">
        <w:t xml:space="preserve">of the Court of Justice </w:t>
      </w:r>
      <w:r w:rsidRPr="00193A9A">
        <w:t>of 10</w:t>
      </w:r>
      <w:r w:rsidR="00193A9A">
        <w:t> </w:t>
      </w:r>
      <w:r w:rsidRPr="00193A9A">
        <w:t xml:space="preserve">February 2022, Case C-485/20, </w:t>
      </w:r>
      <w:r w:rsidRPr="00193A9A">
        <w:rPr>
          <w:i/>
          <w:iCs/>
        </w:rPr>
        <w:t>HR Rail</w:t>
      </w:r>
      <w:r w:rsidRPr="00193A9A">
        <w:t>, ECLI:EU:C:2022:85.</w:t>
      </w:r>
    </w:p>
  </w:footnote>
  <w:footnote w:id="108">
    <w:p w14:paraId="3CAEB985" w14:textId="3995AA6E" w:rsidR="000B4845" w:rsidRPr="00193A9A" w:rsidRDefault="000B4845" w:rsidP="000B4845">
      <w:pPr>
        <w:pStyle w:val="FootnoteText"/>
      </w:pPr>
      <w:r w:rsidRPr="00193A9A">
        <w:t>(</w:t>
      </w:r>
      <w:r w:rsidRPr="00193A9A">
        <w:rPr>
          <w:rStyle w:val="FootnoteReference"/>
        </w:rPr>
        <w:footnoteRef/>
      </w:r>
      <w:r w:rsidRPr="00193A9A">
        <w:t>)</w:t>
      </w:r>
      <w:r w:rsidR="00E42483">
        <w:tab/>
      </w:r>
      <w:r w:rsidRPr="00E42483">
        <w:t>Judgment</w:t>
      </w:r>
      <w:r w:rsidRPr="00193A9A">
        <w:t xml:space="preserve"> </w:t>
      </w:r>
      <w:r w:rsidR="00E42483">
        <w:t xml:space="preserve">of the Court of Justice </w:t>
      </w:r>
      <w:r w:rsidRPr="00193A9A">
        <w:t>of 11</w:t>
      </w:r>
      <w:r w:rsidR="00193A9A">
        <w:t> </w:t>
      </w:r>
      <w:r w:rsidRPr="00193A9A">
        <w:t>September 2025, Case C</w:t>
      </w:r>
      <w:r w:rsidRPr="00193A9A">
        <w:rPr>
          <w:rFonts w:ascii="Cambria Math" w:hAnsi="Cambria Math" w:cs="Cambria Math"/>
        </w:rPr>
        <w:t>‑</w:t>
      </w:r>
      <w:r w:rsidRPr="00193A9A">
        <w:t xml:space="preserve">38/24, </w:t>
      </w:r>
      <w:r w:rsidRPr="00193A9A">
        <w:rPr>
          <w:i/>
          <w:iCs/>
        </w:rPr>
        <w:t>Bervidi</w:t>
      </w:r>
      <w:r w:rsidRPr="00193A9A">
        <w:t>, ECLI:EU:C:2025:690.</w:t>
      </w:r>
    </w:p>
  </w:footnote>
  <w:footnote w:id="109">
    <w:p w14:paraId="160FF2BE" w14:textId="3DB80FDC" w:rsidR="000B4845" w:rsidRPr="00193A9A" w:rsidRDefault="000B4845" w:rsidP="000B4845">
      <w:pPr>
        <w:pStyle w:val="FootnoteText"/>
      </w:pPr>
      <w:r w:rsidRPr="00193A9A">
        <w:t>(</w:t>
      </w:r>
      <w:r w:rsidRPr="00193A9A">
        <w:rPr>
          <w:rStyle w:val="FootnoteReference"/>
        </w:rPr>
        <w:footnoteRef/>
      </w:r>
      <w:r w:rsidRPr="00193A9A">
        <w:t>)</w:t>
      </w:r>
      <w:r w:rsidR="00E42483">
        <w:tab/>
      </w:r>
      <w:r w:rsidRPr="00E42483">
        <w:t>Judgment</w:t>
      </w:r>
      <w:r w:rsidRPr="00193A9A">
        <w:t xml:space="preserve"> </w:t>
      </w:r>
      <w:r w:rsidR="00FF69F0">
        <w:t xml:space="preserve">of the Court of Justice </w:t>
      </w:r>
      <w:r w:rsidRPr="00193A9A">
        <w:t>of 17</w:t>
      </w:r>
      <w:r w:rsidR="00193A9A">
        <w:t> </w:t>
      </w:r>
      <w:r w:rsidRPr="00193A9A">
        <w:t xml:space="preserve">July 2008, Case C-303/06, </w:t>
      </w:r>
      <w:r w:rsidRPr="00193A9A">
        <w:rPr>
          <w:i/>
          <w:iCs/>
        </w:rPr>
        <w:t>Coleman</w:t>
      </w:r>
      <w:r w:rsidRPr="00193A9A">
        <w:t>, ECLI:EU:C:2008:415.</w:t>
      </w:r>
    </w:p>
  </w:footnote>
  <w:footnote w:id="110">
    <w:p w14:paraId="7CE02B2D" w14:textId="5C4AF02E" w:rsidR="000B4845" w:rsidRPr="00193A9A" w:rsidRDefault="000B4845" w:rsidP="000B4845">
      <w:pPr>
        <w:pStyle w:val="FootnoteText"/>
      </w:pPr>
      <w:r w:rsidRPr="00193A9A">
        <w:t>(</w:t>
      </w:r>
      <w:r w:rsidRPr="00193A9A">
        <w:rPr>
          <w:rStyle w:val="FootnoteReference"/>
        </w:rPr>
        <w:footnoteRef/>
      </w:r>
      <w:r w:rsidRPr="00193A9A">
        <w:t>)</w:t>
      </w:r>
      <w:r w:rsidR="00E42483">
        <w:tab/>
      </w:r>
      <w:r w:rsidRPr="00E42483">
        <w:t>Judgment</w:t>
      </w:r>
      <w:r w:rsidRPr="00193A9A">
        <w:t xml:space="preserve"> </w:t>
      </w:r>
      <w:r w:rsidR="00FF69F0">
        <w:t xml:space="preserve">of the Court of Justice </w:t>
      </w:r>
      <w:r w:rsidRPr="00193A9A">
        <w:t>of 14</w:t>
      </w:r>
      <w:r w:rsidR="00193A9A">
        <w:t> </w:t>
      </w:r>
      <w:r w:rsidRPr="00193A9A">
        <w:t xml:space="preserve">March 2017, Case C-157/15, </w:t>
      </w:r>
      <w:r w:rsidRPr="00193A9A">
        <w:rPr>
          <w:i/>
          <w:iCs/>
        </w:rPr>
        <w:t>Achbita</w:t>
      </w:r>
      <w:r w:rsidRPr="00193A9A">
        <w:t>, ECLI:EU:C:2017:203.</w:t>
      </w:r>
    </w:p>
  </w:footnote>
  <w:footnote w:id="111">
    <w:p w14:paraId="3EE55A7A" w14:textId="3A5CAB31" w:rsidR="000B4845" w:rsidRPr="00193A9A" w:rsidRDefault="000B4845" w:rsidP="000B4845">
      <w:pPr>
        <w:pStyle w:val="FootnoteText"/>
      </w:pPr>
      <w:r w:rsidRPr="00193A9A">
        <w:t>(</w:t>
      </w:r>
      <w:r w:rsidRPr="00193A9A">
        <w:rPr>
          <w:rStyle w:val="FootnoteReference"/>
        </w:rPr>
        <w:footnoteRef/>
      </w:r>
      <w:r w:rsidRPr="00193A9A">
        <w:t>)</w:t>
      </w:r>
      <w:r w:rsidR="00E42483">
        <w:tab/>
      </w:r>
      <w:r w:rsidRPr="00E42483">
        <w:t>Judgment</w:t>
      </w:r>
      <w:r w:rsidR="002D0B8B">
        <w:t xml:space="preserve"> of the Court of Justice</w:t>
      </w:r>
      <w:r w:rsidRPr="00193A9A">
        <w:t xml:space="preserve"> of 14</w:t>
      </w:r>
      <w:r w:rsidR="00193A9A">
        <w:t> </w:t>
      </w:r>
      <w:r w:rsidRPr="00193A9A">
        <w:t xml:space="preserve">March 2017, Case C-188/15, </w:t>
      </w:r>
      <w:r w:rsidRPr="00193A9A">
        <w:rPr>
          <w:i/>
          <w:iCs/>
        </w:rPr>
        <w:t>Bougnaoui</w:t>
      </w:r>
      <w:r w:rsidR="00045579">
        <w:rPr>
          <w:i/>
          <w:iCs/>
        </w:rPr>
        <w:t xml:space="preserve"> </w:t>
      </w:r>
      <w:r w:rsidR="00045579" w:rsidRPr="00B9492A">
        <w:rPr>
          <w:i/>
          <w:szCs w:val="24"/>
          <w:lang w:eastAsia="en-GB"/>
        </w:rPr>
        <w:t>and ADDH</w:t>
      </w:r>
      <w:r w:rsidR="00045579" w:rsidRPr="00B9492A">
        <w:rPr>
          <w:iCs/>
          <w:szCs w:val="24"/>
          <w:lang w:eastAsia="en-GB"/>
        </w:rPr>
        <w:t xml:space="preserve"> </w:t>
      </w:r>
      <w:r w:rsidRPr="00193A9A">
        <w:t>, ECLI:EU:C:2017:204.</w:t>
      </w:r>
    </w:p>
  </w:footnote>
  <w:footnote w:id="112">
    <w:p w14:paraId="247699CC" w14:textId="39BBA51D" w:rsidR="00417312" w:rsidRPr="00193A9A" w:rsidRDefault="00417312">
      <w:pPr>
        <w:pStyle w:val="FootnoteText"/>
      </w:pPr>
      <w:r w:rsidRPr="00193A9A">
        <w:t>(</w:t>
      </w:r>
      <w:r w:rsidRPr="00193A9A">
        <w:rPr>
          <w:rStyle w:val="FootnoteReference"/>
        </w:rPr>
        <w:footnoteRef/>
      </w:r>
      <w:r w:rsidRPr="00193A9A">
        <w:t>)</w:t>
      </w:r>
      <w:r w:rsidRPr="00193A9A">
        <w:tab/>
      </w:r>
      <w:r w:rsidRPr="00E42483">
        <w:t>Judgment</w:t>
      </w:r>
      <w:r w:rsidRPr="00193A9A">
        <w:t xml:space="preserve"> </w:t>
      </w:r>
      <w:r w:rsidR="001C0995">
        <w:t xml:space="preserve">of the Court of Justice </w:t>
      </w:r>
      <w:r w:rsidRPr="00193A9A">
        <w:t>of 15</w:t>
      </w:r>
      <w:r w:rsidR="00193A9A">
        <w:t> </w:t>
      </w:r>
      <w:r w:rsidRPr="00193A9A">
        <w:t xml:space="preserve">July 2021, Joined Cases C-804/18 and C-341/19, </w:t>
      </w:r>
      <w:r w:rsidRPr="00193A9A">
        <w:rPr>
          <w:i/>
          <w:iCs/>
        </w:rPr>
        <w:t>WABE</w:t>
      </w:r>
      <w:r w:rsidRPr="00193A9A">
        <w:t>, ECLI:EU:C:2021:594.</w:t>
      </w:r>
    </w:p>
  </w:footnote>
  <w:footnote w:id="113">
    <w:p w14:paraId="28A78410" w14:textId="1D3542CB" w:rsidR="00417312" w:rsidRPr="00193A9A" w:rsidRDefault="00417312">
      <w:pPr>
        <w:pStyle w:val="FootnoteText"/>
      </w:pPr>
      <w:r w:rsidRPr="00193A9A">
        <w:t>(</w:t>
      </w:r>
      <w:r w:rsidRPr="00193A9A">
        <w:rPr>
          <w:rStyle w:val="FootnoteReference"/>
        </w:rPr>
        <w:footnoteRef/>
      </w:r>
      <w:r w:rsidRPr="00193A9A">
        <w:t>)</w:t>
      </w:r>
      <w:r w:rsidRPr="00193A9A">
        <w:tab/>
      </w:r>
      <w:r w:rsidRPr="00140561">
        <w:t>Judgment</w:t>
      </w:r>
      <w:r w:rsidRPr="00193A9A">
        <w:t xml:space="preserve"> </w:t>
      </w:r>
      <w:r w:rsidR="001C0995">
        <w:t xml:space="preserve">of the Court of Justice </w:t>
      </w:r>
      <w:r w:rsidRPr="00193A9A">
        <w:t>of 13</w:t>
      </w:r>
      <w:r w:rsidR="00193A9A">
        <w:t> </w:t>
      </w:r>
      <w:r w:rsidRPr="00193A9A">
        <w:t xml:space="preserve">October 2022, Case C-344/20, </w:t>
      </w:r>
      <w:r w:rsidRPr="00193A9A">
        <w:rPr>
          <w:i/>
          <w:iCs/>
        </w:rPr>
        <w:t>S</w:t>
      </w:r>
      <w:r w:rsidR="00045579">
        <w:rPr>
          <w:i/>
          <w:iCs/>
        </w:rPr>
        <w:t>.</w:t>
      </w:r>
      <w:r w:rsidRPr="00193A9A">
        <w:rPr>
          <w:i/>
          <w:iCs/>
        </w:rPr>
        <w:t>C</w:t>
      </w:r>
      <w:r w:rsidR="00045579">
        <w:rPr>
          <w:i/>
          <w:iCs/>
        </w:rPr>
        <w:t>.</w:t>
      </w:r>
      <w:r w:rsidRPr="00193A9A">
        <w:rPr>
          <w:i/>
          <w:iCs/>
        </w:rPr>
        <w:t>R</w:t>
      </w:r>
      <w:r w:rsidR="00045579">
        <w:rPr>
          <w:i/>
          <w:iCs/>
        </w:rPr>
        <w:t>.</w:t>
      </w:r>
      <w:r w:rsidRPr="00193A9A">
        <w:rPr>
          <w:i/>
          <w:iCs/>
        </w:rPr>
        <w:t>L</w:t>
      </w:r>
      <w:r w:rsidRPr="00193A9A">
        <w:t>, ECLI:EU:C:2022:774.</w:t>
      </w:r>
    </w:p>
  </w:footnote>
  <w:footnote w:id="114">
    <w:p w14:paraId="7BC627C2" w14:textId="303DAD05" w:rsidR="00417312" w:rsidRPr="00193A9A" w:rsidRDefault="00417312">
      <w:pPr>
        <w:pStyle w:val="FootnoteText"/>
      </w:pPr>
      <w:r w:rsidRPr="00193A9A">
        <w:t>(</w:t>
      </w:r>
      <w:r w:rsidRPr="00193A9A">
        <w:rPr>
          <w:rStyle w:val="FootnoteReference"/>
        </w:rPr>
        <w:footnoteRef/>
      </w:r>
      <w:r w:rsidRPr="00193A9A">
        <w:t>)</w:t>
      </w:r>
      <w:r w:rsidRPr="00193A9A">
        <w:tab/>
      </w:r>
      <w:r w:rsidRPr="00140561">
        <w:t>Judgment</w:t>
      </w:r>
      <w:r w:rsidRPr="00193A9A">
        <w:t xml:space="preserve"> </w:t>
      </w:r>
      <w:r w:rsidR="001C0995">
        <w:t xml:space="preserve">of the Court of Justice </w:t>
      </w:r>
      <w:r w:rsidRPr="00193A9A">
        <w:t>of 28</w:t>
      </w:r>
      <w:r w:rsidR="00193A9A">
        <w:t> </w:t>
      </w:r>
      <w:r w:rsidRPr="00193A9A">
        <w:t xml:space="preserve">November 2023, Case C-148/22, </w:t>
      </w:r>
      <w:r w:rsidRPr="000A25CB">
        <w:rPr>
          <w:i/>
          <w:iCs/>
        </w:rPr>
        <w:t>OP</w:t>
      </w:r>
      <w:r w:rsidRPr="00193A9A">
        <w:t xml:space="preserve"> v </w:t>
      </w:r>
      <w:r w:rsidRPr="000A25CB">
        <w:rPr>
          <w:i/>
          <w:iCs/>
        </w:rPr>
        <w:t>Commune d</w:t>
      </w:r>
      <w:r w:rsidR="00193A9A" w:rsidRPr="000A25CB">
        <w:rPr>
          <w:i/>
          <w:iCs/>
        </w:rPr>
        <w:t>’</w:t>
      </w:r>
      <w:r w:rsidRPr="000A25CB">
        <w:rPr>
          <w:i/>
          <w:iCs/>
        </w:rPr>
        <w:t>Ans</w:t>
      </w:r>
      <w:r w:rsidRPr="00193A9A">
        <w:t>, ECLI:EU:C:2023:924.</w:t>
      </w:r>
    </w:p>
  </w:footnote>
  <w:footnote w:id="115">
    <w:p w14:paraId="7D931A0B" w14:textId="77777777" w:rsidR="002B01C7" w:rsidRPr="00FE4277" w:rsidRDefault="002B01C7" w:rsidP="002B01C7">
      <w:pPr>
        <w:pStyle w:val="FootnoteText"/>
        <w:rPr>
          <w:lang w:val="en-IE"/>
        </w:rPr>
      </w:pPr>
      <w:r>
        <w:t>(</w:t>
      </w:r>
      <w:r>
        <w:rPr>
          <w:rStyle w:val="FootnoteReference"/>
        </w:rPr>
        <w:footnoteRef/>
      </w:r>
      <w:r>
        <w:t>)</w:t>
      </w:r>
      <w:r>
        <w:tab/>
        <w:t xml:space="preserve">Judgment of the Court of Justice of 17 March 2026, Case C-258/24, </w:t>
      </w:r>
      <w:r w:rsidRPr="00EE6B2D">
        <w:rPr>
          <w:i/>
          <w:iCs/>
        </w:rPr>
        <w:t>Katholische Schwangerschaftsberatung</w:t>
      </w:r>
      <w:r>
        <w:t xml:space="preserve">, </w:t>
      </w:r>
      <w:r w:rsidRPr="00663F45">
        <w:t>ECLI:EU:C:2026:211</w:t>
      </w:r>
      <w:r>
        <w:t>.</w:t>
      </w:r>
    </w:p>
  </w:footnote>
  <w:footnote w:id="116">
    <w:p w14:paraId="2F63FFA5" w14:textId="5E3307D5" w:rsidR="00DD068E" w:rsidRPr="00CA6862" w:rsidRDefault="00DD068E">
      <w:pPr>
        <w:pStyle w:val="FootnoteText"/>
        <w:rPr>
          <w:lang w:val="en-IE"/>
        </w:rPr>
      </w:pPr>
      <w:r>
        <w:t>(</w:t>
      </w:r>
      <w:r>
        <w:rPr>
          <w:rStyle w:val="FootnoteReference"/>
        </w:rPr>
        <w:footnoteRef/>
      </w:r>
      <w:r>
        <w:t>)</w:t>
      </w:r>
      <w:r>
        <w:tab/>
        <w:t xml:space="preserve">Judgment of the Court of Justice of 18 June 2026, Case C-522/24, </w:t>
      </w:r>
      <w:r w:rsidRPr="00833D48">
        <w:rPr>
          <w:i/>
          <w:iCs/>
          <w:lang w:eastAsia="en-GB"/>
        </w:rPr>
        <w:t>Ministero della Difesa</w:t>
      </w:r>
      <w:r>
        <w:t xml:space="preserve">, </w:t>
      </w:r>
      <w:r w:rsidRPr="00DD068E">
        <w:t>ECLI:EU:C:2026:498</w:t>
      </w:r>
      <w:r>
        <w:t>.</w:t>
      </w:r>
    </w:p>
  </w:footnote>
  <w:footnote w:id="117">
    <w:p w14:paraId="69354BE7" w14:textId="72745C83" w:rsidR="000B4845" w:rsidRPr="00193A9A" w:rsidRDefault="000B4845" w:rsidP="000B4845">
      <w:pPr>
        <w:pStyle w:val="FootnoteText"/>
      </w:pPr>
      <w:r w:rsidRPr="00193A9A">
        <w:t>(</w:t>
      </w:r>
      <w:r w:rsidRPr="00193A9A">
        <w:rPr>
          <w:rStyle w:val="FootnoteReference"/>
        </w:rPr>
        <w:footnoteRef/>
      </w:r>
      <w:r w:rsidRPr="00193A9A">
        <w:t>)</w:t>
      </w:r>
      <w:r w:rsidR="003D4D86">
        <w:tab/>
      </w:r>
      <w:r w:rsidRPr="00500844">
        <w:t>Judgment</w:t>
      </w:r>
      <w:r w:rsidRPr="00193A9A">
        <w:t xml:space="preserve"> </w:t>
      </w:r>
      <w:r w:rsidR="00500844">
        <w:t xml:space="preserve">of the Court of Justice </w:t>
      </w:r>
      <w:r w:rsidRPr="00193A9A">
        <w:t>of 21</w:t>
      </w:r>
      <w:r w:rsidR="00193A9A">
        <w:t> </w:t>
      </w:r>
      <w:r w:rsidRPr="00193A9A">
        <w:t xml:space="preserve">October 2021, Case C-824/19, </w:t>
      </w:r>
      <w:r w:rsidRPr="00193A9A">
        <w:rPr>
          <w:i/>
          <w:iCs/>
        </w:rPr>
        <w:t>Komisia za zashtita ot diskriminatsia</w:t>
      </w:r>
      <w:r w:rsidRPr="00193A9A">
        <w:t>, ECLI:EU:C:2021:862.</w:t>
      </w:r>
    </w:p>
  </w:footnote>
  <w:footnote w:id="118">
    <w:p w14:paraId="3CADC7C4" w14:textId="750E0CE4" w:rsidR="000B4845" w:rsidRPr="00193A9A" w:rsidRDefault="000B4845" w:rsidP="000B4845">
      <w:pPr>
        <w:pStyle w:val="FootnoteText"/>
      </w:pPr>
      <w:r w:rsidRPr="00193A9A">
        <w:t>(</w:t>
      </w:r>
      <w:r w:rsidRPr="00193A9A">
        <w:rPr>
          <w:rStyle w:val="FootnoteReference"/>
        </w:rPr>
        <w:footnoteRef/>
      </w:r>
      <w:r w:rsidRPr="00193A9A">
        <w:t>)</w:t>
      </w:r>
      <w:r w:rsidR="003D4D86">
        <w:tab/>
      </w:r>
      <w:r w:rsidRPr="00500844">
        <w:t>Judgment</w:t>
      </w:r>
      <w:r w:rsidRPr="00193A9A">
        <w:t xml:space="preserve"> </w:t>
      </w:r>
      <w:r w:rsidR="00D83A32">
        <w:t xml:space="preserve">of the Court of Justice </w:t>
      </w:r>
      <w:r w:rsidRPr="00193A9A">
        <w:t>of 10</w:t>
      </w:r>
      <w:r w:rsidR="00193A9A">
        <w:t> </w:t>
      </w:r>
      <w:r w:rsidRPr="00193A9A">
        <w:t xml:space="preserve">February 2022, Case C-485/20, </w:t>
      </w:r>
      <w:r w:rsidRPr="00193A9A">
        <w:rPr>
          <w:i/>
          <w:iCs/>
        </w:rPr>
        <w:t>HR Rail</w:t>
      </w:r>
      <w:r w:rsidRPr="00193A9A">
        <w:t>, ECLI:EU:C:2022:85.</w:t>
      </w:r>
    </w:p>
  </w:footnote>
  <w:footnote w:id="119">
    <w:p w14:paraId="71D584CA" w14:textId="3711780C" w:rsidR="000B4845" w:rsidRPr="00193A9A" w:rsidRDefault="000B4845" w:rsidP="000B4845">
      <w:pPr>
        <w:pStyle w:val="FootnoteText"/>
      </w:pPr>
      <w:r w:rsidRPr="00193A9A">
        <w:t>(</w:t>
      </w:r>
      <w:r w:rsidRPr="00193A9A">
        <w:rPr>
          <w:rStyle w:val="FootnoteReference"/>
        </w:rPr>
        <w:footnoteRef/>
      </w:r>
      <w:r w:rsidRPr="00193A9A">
        <w:t>)</w:t>
      </w:r>
      <w:r w:rsidR="003D4D86">
        <w:tab/>
      </w:r>
      <w:r w:rsidRPr="00D83A32">
        <w:t>Judgment</w:t>
      </w:r>
      <w:r w:rsidRPr="00193A9A">
        <w:t xml:space="preserve"> </w:t>
      </w:r>
      <w:r w:rsidR="00D83A32">
        <w:t xml:space="preserve">of the Court of Justice </w:t>
      </w:r>
      <w:r w:rsidRPr="00193A9A">
        <w:t>of 18</w:t>
      </w:r>
      <w:r w:rsidR="00193A9A">
        <w:t> </w:t>
      </w:r>
      <w:r w:rsidRPr="00193A9A">
        <w:t xml:space="preserve">January 2024, Case C-631/22, </w:t>
      </w:r>
      <w:r w:rsidRPr="00193A9A">
        <w:rPr>
          <w:i/>
          <w:iCs/>
        </w:rPr>
        <w:t>Ca Na Negreta</w:t>
      </w:r>
      <w:r w:rsidRPr="00193A9A">
        <w:t>, ECLI:EU:C:2024:53.</w:t>
      </w:r>
    </w:p>
  </w:footnote>
  <w:footnote w:id="120">
    <w:p w14:paraId="27542A60" w14:textId="6A638F82" w:rsidR="000B4845" w:rsidRPr="00193A9A" w:rsidRDefault="000B4845" w:rsidP="000B4845">
      <w:pPr>
        <w:pStyle w:val="FootnoteText"/>
      </w:pPr>
      <w:r w:rsidRPr="00193A9A">
        <w:t>(</w:t>
      </w:r>
      <w:r w:rsidRPr="00193A9A">
        <w:rPr>
          <w:rStyle w:val="FootnoteReference"/>
        </w:rPr>
        <w:footnoteRef/>
      </w:r>
      <w:r w:rsidRPr="00193A9A">
        <w:t>)</w:t>
      </w:r>
      <w:r w:rsidR="003D4D86">
        <w:tab/>
      </w:r>
      <w:r w:rsidRPr="00193A9A">
        <w:t>Approved on behalf of the European Community by Council Decision 2010/48/EC of 26 November 2009.</w:t>
      </w:r>
    </w:p>
  </w:footnote>
  <w:footnote w:id="121">
    <w:p w14:paraId="4CA34AD5" w14:textId="43409FE5" w:rsidR="000E67D5" w:rsidRPr="00193A9A" w:rsidRDefault="000E67D5">
      <w:pPr>
        <w:pStyle w:val="FootnoteText"/>
      </w:pPr>
      <w:r w:rsidRPr="00193A9A">
        <w:t>(</w:t>
      </w:r>
      <w:r w:rsidRPr="00193A9A">
        <w:rPr>
          <w:rStyle w:val="FootnoteReference"/>
        </w:rPr>
        <w:footnoteRef/>
      </w:r>
      <w:r w:rsidRPr="00193A9A">
        <w:t>)</w:t>
      </w:r>
      <w:r w:rsidRPr="00193A9A">
        <w:tab/>
      </w:r>
      <w:r w:rsidRPr="00D83A32">
        <w:t>Judgment</w:t>
      </w:r>
      <w:r w:rsidRPr="00193A9A">
        <w:t xml:space="preserve"> </w:t>
      </w:r>
      <w:r w:rsidR="00D83A32">
        <w:t xml:space="preserve">of the Court of Justice </w:t>
      </w:r>
      <w:r w:rsidRPr="00193A9A">
        <w:t>of 18</w:t>
      </w:r>
      <w:r w:rsidR="00193A9A">
        <w:t> </w:t>
      </w:r>
      <w:r w:rsidRPr="00193A9A">
        <w:t xml:space="preserve">January 2024, Case C-631/22, </w:t>
      </w:r>
      <w:r w:rsidRPr="00193A9A">
        <w:rPr>
          <w:i/>
          <w:iCs/>
        </w:rPr>
        <w:t>Ca Na Negreta</w:t>
      </w:r>
      <w:r w:rsidRPr="00193A9A">
        <w:t>, ECLI:EU:C:2024:53, paragraph</w:t>
      </w:r>
      <w:r w:rsidR="00D83A32">
        <w:t> </w:t>
      </w:r>
      <w:r w:rsidRPr="00193A9A">
        <w:t>41.</w:t>
      </w:r>
    </w:p>
  </w:footnote>
  <w:footnote w:id="122">
    <w:p w14:paraId="62EA7B6A" w14:textId="2562A476" w:rsidR="000B4845" w:rsidRPr="00193A9A" w:rsidRDefault="000B4845" w:rsidP="000B4845">
      <w:pPr>
        <w:pStyle w:val="FootnoteText"/>
      </w:pPr>
      <w:r w:rsidRPr="00193A9A">
        <w:t>(</w:t>
      </w:r>
      <w:r w:rsidRPr="00193A9A">
        <w:rPr>
          <w:rStyle w:val="FootnoteReference"/>
        </w:rPr>
        <w:footnoteRef/>
      </w:r>
      <w:r w:rsidRPr="00193A9A">
        <w:t>)</w:t>
      </w:r>
      <w:r w:rsidR="00B902DD">
        <w:tab/>
      </w:r>
      <w:r w:rsidRPr="00B902DD">
        <w:t>Judgment</w:t>
      </w:r>
      <w:r w:rsidRPr="00193A9A">
        <w:t xml:space="preserve"> </w:t>
      </w:r>
      <w:r w:rsidR="004E06F2">
        <w:t xml:space="preserve">of the Court of Justice </w:t>
      </w:r>
      <w:r w:rsidRPr="00193A9A">
        <w:t>of 17</w:t>
      </w:r>
      <w:r w:rsidR="00193A9A">
        <w:t> </w:t>
      </w:r>
      <w:r w:rsidRPr="00193A9A">
        <w:t>October 2024, Case C</w:t>
      </w:r>
      <w:r w:rsidRPr="00193A9A">
        <w:rPr>
          <w:rFonts w:ascii="Cambria Math" w:hAnsi="Cambria Math" w:cs="Cambria Math"/>
        </w:rPr>
        <w:t>‑</w:t>
      </w:r>
      <w:r w:rsidRPr="00193A9A">
        <w:t xml:space="preserve">408/23, </w:t>
      </w:r>
      <w:r w:rsidRPr="00193A9A">
        <w:rPr>
          <w:i/>
          <w:iCs/>
        </w:rPr>
        <w:t>Anwaltsnotarin</w:t>
      </w:r>
      <w:r w:rsidRPr="00193A9A">
        <w:t xml:space="preserve">, </w:t>
      </w:r>
      <w:r w:rsidR="00193A9A" w:rsidRPr="00193A9A">
        <w:t>ECLI:EU:C:2024:901</w:t>
      </w:r>
      <w:r w:rsidR="004E06F2">
        <w:t>,</w:t>
      </w:r>
      <w:r w:rsidR="00193A9A">
        <w:t xml:space="preserve"> </w:t>
      </w:r>
      <w:r w:rsidR="00193A9A" w:rsidRPr="00193A9A">
        <w:t>concerning</w:t>
      </w:r>
      <w:r w:rsidRPr="00193A9A">
        <w:t xml:space="preserve"> an</w:t>
      </w:r>
      <w:r w:rsidRPr="00193A9A">
        <w:rPr>
          <w:color w:val="000000"/>
          <w:shd w:val="clear" w:color="auto" w:fill="FFFFFF"/>
        </w:rPr>
        <w:t xml:space="preserve"> upper age limit of 60 for the </w:t>
      </w:r>
      <w:r w:rsidR="004E06F2">
        <w:rPr>
          <w:color w:val="000000"/>
          <w:shd w:val="clear" w:color="auto" w:fill="FFFFFF"/>
        </w:rPr>
        <w:t>initial</w:t>
      </w:r>
      <w:r w:rsidR="004E06F2" w:rsidRPr="00193A9A">
        <w:rPr>
          <w:color w:val="000000"/>
          <w:shd w:val="clear" w:color="auto" w:fill="FFFFFF"/>
        </w:rPr>
        <w:t xml:space="preserve"> </w:t>
      </w:r>
      <w:r w:rsidRPr="00193A9A">
        <w:rPr>
          <w:color w:val="000000"/>
          <w:shd w:val="clear" w:color="auto" w:fill="FFFFFF"/>
        </w:rPr>
        <w:t>appointment to a position of lawyer commissioned as notary</w:t>
      </w:r>
      <w:r w:rsidR="004E06F2">
        <w:rPr>
          <w:color w:val="000000"/>
          <w:shd w:val="clear" w:color="auto" w:fill="FFFFFF"/>
        </w:rPr>
        <w:t>.</w:t>
      </w:r>
    </w:p>
  </w:footnote>
  <w:footnote w:id="123">
    <w:p w14:paraId="3905C972" w14:textId="544BFA50" w:rsidR="00417312" w:rsidRPr="00193A9A" w:rsidRDefault="00417312">
      <w:pPr>
        <w:pStyle w:val="FootnoteText"/>
      </w:pPr>
      <w:r w:rsidRPr="00193A9A">
        <w:t>(</w:t>
      </w:r>
      <w:r w:rsidRPr="00193A9A">
        <w:rPr>
          <w:rStyle w:val="FootnoteReference"/>
        </w:rPr>
        <w:footnoteRef/>
      </w:r>
      <w:r w:rsidRPr="00193A9A">
        <w:t>)</w:t>
      </w:r>
      <w:r w:rsidRPr="00193A9A">
        <w:tab/>
      </w:r>
      <w:r w:rsidRPr="00B902DD">
        <w:t>Judgment</w:t>
      </w:r>
      <w:r w:rsidRPr="00193A9A">
        <w:t xml:space="preserve"> </w:t>
      </w:r>
      <w:r w:rsidR="004E06F2">
        <w:t xml:space="preserve">of the Court of Justice </w:t>
      </w:r>
      <w:r w:rsidRPr="00193A9A">
        <w:t>of 3</w:t>
      </w:r>
      <w:r w:rsidR="00193A9A">
        <w:t> </w:t>
      </w:r>
      <w:r w:rsidRPr="00193A9A">
        <w:t xml:space="preserve">June 2021, Case C-914/19, </w:t>
      </w:r>
      <w:r w:rsidRPr="00193A9A">
        <w:rPr>
          <w:i/>
          <w:iCs/>
        </w:rPr>
        <w:t>Ministero della Giustizia</w:t>
      </w:r>
      <w:r w:rsidRPr="00193A9A">
        <w:t>, ECLI:EU:C:2021:430.</w:t>
      </w:r>
    </w:p>
  </w:footnote>
  <w:footnote w:id="124">
    <w:p w14:paraId="48EDF25E" w14:textId="01CEB8CA" w:rsidR="000B4845" w:rsidRPr="00193A9A" w:rsidRDefault="000B4845" w:rsidP="000B4845">
      <w:pPr>
        <w:pStyle w:val="FootnoteText"/>
      </w:pPr>
      <w:r w:rsidRPr="00193A9A">
        <w:t>(</w:t>
      </w:r>
      <w:r w:rsidRPr="00193A9A">
        <w:rPr>
          <w:rStyle w:val="FootnoteReference"/>
        </w:rPr>
        <w:footnoteRef/>
      </w:r>
      <w:r w:rsidRPr="00193A9A">
        <w:t>)</w:t>
      </w:r>
      <w:r w:rsidR="00B902DD">
        <w:tab/>
      </w:r>
      <w:r w:rsidRPr="00B902DD">
        <w:t>Judgment</w:t>
      </w:r>
      <w:r w:rsidRPr="00193A9A">
        <w:t xml:space="preserve"> </w:t>
      </w:r>
      <w:r w:rsidR="004E06F2">
        <w:t xml:space="preserve">of the Court of Justice </w:t>
      </w:r>
      <w:r w:rsidRPr="00193A9A">
        <w:t>of 17 November 2022, Case C</w:t>
      </w:r>
      <w:r w:rsidRPr="00193A9A">
        <w:rPr>
          <w:rFonts w:ascii="Cambria Math" w:hAnsi="Cambria Math" w:cs="Cambria Math"/>
        </w:rPr>
        <w:t>‑</w:t>
      </w:r>
      <w:r w:rsidRPr="00193A9A">
        <w:t xml:space="preserve">304/21, </w:t>
      </w:r>
      <w:r w:rsidRPr="00193A9A">
        <w:rPr>
          <w:i/>
          <w:iCs/>
        </w:rPr>
        <w:t>Ministero dell</w:t>
      </w:r>
      <w:r w:rsidR="00193A9A">
        <w:rPr>
          <w:i/>
          <w:iCs/>
        </w:rPr>
        <w:t>’</w:t>
      </w:r>
      <w:r w:rsidRPr="00193A9A">
        <w:rPr>
          <w:i/>
          <w:iCs/>
        </w:rPr>
        <w:t>Interno</w:t>
      </w:r>
      <w:r w:rsidRPr="00193A9A">
        <w:t>, ECLI:EU:C:2022:897.</w:t>
      </w:r>
    </w:p>
  </w:footnote>
  <w:footnote w:id="125">
    <w:p w14:paraId="6B77E440" w14:textId="364A03F2" w:rsidR="000B4845" w:rsidRPr="00193A9A" w:rsidRDefault="000B4845" w:rsidP="000B4845">
      <w:pPr>
        <w:pStyle w:val="FootnoteText"/>
      </w:pPr>
      <w:r w:rsidRPr="00193A9A">
        <w:t>(</w:t>
      </w:r>
      <w:r w:rsidRPr="00193A9A">
        <w:rPr>
          <w:rStyle w:val="FootnoteReference"/>
        </w:rPr>
        <w:footnoteRef/>
      </w:r>
      <w:r w:rsidRPr="00193A9A">
        <w:t>)</w:t>
      </w:r>
      <w:r w:rsidR="00B902DD">
        <w:tab/>
      </w:r>
      <w:r w:rsidRPr="00B902DD">
        <w:t>Judgment</w:t>
      </w:r>
      <w:r w:rsidRPr="00193A9A">
        <w:t xml:space="preserve"> </w:t>
      </w:r>
      <w:r w:rsidR="004E06F2">
        <w:t xml:space="preserve">of the Court of Justice </w:t>
      </w:r>
      <w:r w:rsidRPr="00193A9A">
        <w:t xml:space="preserve">of 15 April 2021, </w:t>
      </w:r>
      <w:bookmarkStart w:id="32" w:name="_Hlk213690656"/>
      <w:r w:rsidRPr="00193A9A">
        <w:t>Case C</w:t>
      </w:r>
      <w:r w:rsidRPr="00193A9A">
        <w:noBreakHyphen/>
        <w:t xml:space="preserve">511/19, </w:t>
      </w:r>
      <w:r w:rsidRPr="00193A9A">
        <w:rPr>
          <w:i/>
        </w:rPr>
        <w:t>Olympiako Athlitiko Kentro Athinon</w:t>
      </w:r>
      <w:bookmarkEnd w:id="32"/>
      <w:r w:rsidRPr="00193A9A">
        <w:t>, ECLI:EU:C:2021:274.</w:t>
      </w:r>
    </w:p>
  </w:footnote>
  <w:footnote w:id="126">
    <w:p w14:paraId="717C5EDD" w14:textId="7293DC2C" w:rsidR="000B4845" w:rsidRPr="00193A9A" w:rsidRDefault="000B4845" w:rsidP="000B4845">
      <w:pPr>
        <w:pStyle w:val="FootnoteText"/>
      </w:pPr>
      <w:r w:rsidRPr="00193A9A">
        <w:t>(</w:t>
      </w:r>
      <w:r w:rsidRPr="00193A9A">
        <w:rPr>
          <w:rStyle w:val="FootnoteReference"/>
        </w:rPr>
        <w:footnoteRef/>
      </w:r>
      <w:r w:rsidRPr="00193A9A">
        <w:t>)</w:t>
      </w:r>
      <w:r w:rsidR="00B902DD">
        <w:tab/>
      </w:r>
      <w:r w:rsidRPr="00B902DD">
        <w:t>Judgment</w:t>
      </w:r>
      <w:r w:rsidRPr="00193A9A">
        <w:t xml:space="preserve"> </w:t>
      </w:r>
      <w:r w:rsidR="00613510">
        <w:t xml:space="preserve">of the Court of Justice </w:t>
      </w:r>
      <w:r w:rsidRPr="00193A9A">
        <w:t>of 7</w:t>
      </w:r>
      <w:r w:rsidR="00193A9A">
        <w:t> </w:t>
      </w:r>
      <w:r w:rsidRPr="00193A9A">
        <w:t xml:space="preserve">December 2023, Case C-518/22, </w:t>
      </w:r>
      <w:r w:rsidRPr="00193A9A">
        <w:rPr>
          <w:i/>
          <w:iCs/>
        </w:rPr>
        <w:t>AP Assistenzprofis</w:t>
      </w:r>
      <w:r w:rsidRPr="00193A9A">
        <w:t>, ECLI:EU:C:2023:956.</w:t>
      </w:r>
    </w:p>
  </w:footnote>
  <w:footnote w:id="127">
    <w:p w14:paraId="5D32F144" w14:textId="1AF54E44" w:rsidR="000B4845" w:rsidRPr="00193A9A" w:rsidRDefault="000B4845" w:rsidP="000B4845">
      <w:pPr>
        <w:pStyle w:val="FootnoteText"/>
      </w:pPr>
      <w:r w:rsidRPr="00193A9A">
        <w:t>(</w:t>
      </w:r>
      <w:r w:rsidRPr="00193A9A">
        <w:rPr>
          <w:rStyle w:val="FootnoteReference"/>
        </w:rPr>
        <w:footnoteRef/>
      </w:r>
      <w:r w:rsidRPr="00193A9A">
        <w:t>)</w:t>
      </w:r>
      <w:r w:rsidR="00613510">
        <w:tab/>
      </w:r>
      <w:r w:rsidRPr="00193A9A">
        <w:t xml:space="preserve">Also in line with </w:t>
      </w:r>
      <w:r w:rsidRPr="00613510">
        <w:t>judgment</w:t>
      </w:r>
      <w:r w:rsidR="00613510">
        <w:t xml:space="preserve"> of the Court of Justice</w:t>
      </w:r>
      <w:r w:rsidRPr="00193A9A">
        <w:t xml:space="preserve"> of 22</w:t>
      </w:r>
      <w:r w:rsidR="00193A9A">
        <w:t> </w:t>
      </w:r>
      <w:r w:rsidRPr="00193A9A">
        <w:t xml:space="preserve">January 2013, </w:t>
      </w:r>
      <w:r w:rsidRPr="00193A9A">
        <w:rPr>
          <w:i/>
          <w:iCs/>
        </w:rPr>
        <w:t>Sky Österreich</w:t>
      </w:r>
      <w:r w:rsidRPr="00193A9A">
        <w:t xml:space="preserve">, C-283/11, </w:t>
      </w:r>
      <w:r w:rsidR="00613510">
        <w:t>ECLI:</w:t>
      </w:r>
      <w:r w:rsidRPr="00193A9A">
        <w:t>EU:C:2013:28</w:t>
      </w:r>
      <w:r w:rsidR="00613510">
        <w:t>, among others</w:t>
      </w:r>
      <w:r w:rsidRPr="00193A9A">
        <w:t>.</w:t>
      </w:r>
    </w:p>
  </w:footnote>
  <w:footnote w:id="128">
    <w:p w14:paraId="72884E59" w14:textId="3E9C656E" w:rsidR="00003939" w:rsidRPr="00193A9A" w:rsidRDefault="00003939">
      <w:pPr>
        <w:pStyle w:val="FootnoteText"/>
      </w:pPr>
      <w:r w:rsidRPr="00193A9A">
        <w:t>(</w:t>
      </w:r>
      <w:r w:rsidRPr="00193A9A">
        <w:rPr>
          <w:rStyle w:val="FootnoteReference"/>
        </w:rPr>
        <w:footnoteRef/>
      </w:r>
      <w:r w:rsidRPr="00193A9A">
        <w:t>)</w:t>
      </w:r>
      <w:r w:rsidRPr="00193A9A">
        <w:tab/>
      </w:r>
      <w:r w:rsidR="00CB3BF0">
        <w:t>The s</w:t>
      </w:r>
      <w:r w:rsidR="00096388" w:rsidRPr="00193A9A">
        <w:t>tructural i</w:t>
      </w:r>
      <w:r w:rsidRPr="00193A9A">
        <w:t>nequalities in education illustrate the problem</w:t>
      </w:r>
      <w:r w:rsidR="00CB3BF0">
        <w:t xml:space="preserve"> well</w:t>
      </w:r>
      <w:r w:rsidRPr="00193A9A">
        <w:t>. For instance, people</w:t>
      </w:r>
      <w:r w:rsidR="00640894" w:rsidRPr="00193A9A">
        <w:t xml:space="preserve"> </w:t>
      </w:r>
      <w:r w:rsidR="00D57B94" w:rsidRPr="00193A9A">
        <w:t xml:space="preserve">with a minority racial or ethnic background </w:t>
      </w:r>
      <w:r w:rsidRPr="00193A9A">
        <w:t xml:space="preserve">are noticeably more likely to be segregated at school or to leave school early. Only 32% of Roma or Travellers responding to the FRA survey attained at least upper-secondary education, compared </w:t>
      </w:r>
      <w:r w:rsidR="00CB3BF0">
        <w:t>with</w:t>
      </w:r>
      <w:r w:rsidRPr="00193A9A">
        <w:t xml:space="preserve"> 84% of the general population</w:t>
      </w:r>
      <w:r w:rsidR="00792350">
        <w:t xml:space="preserve"> </w:t>
      </w:r>
      <w:r w:rsidRPr="00193A9A">
        <w:t xml:space="preserve">in the EU in 2024. See FRA, </w:t>
      </w:r>
      <w:hyperlink r:id="rId42" w:history="1">
        <w:r w:rsidRPr="00193A9A">
          <w:rPr>
            <w:rStyle w:val="Hyperlink"/>
          </w:rPr>
          <w:t xml:space="preserve">Rights of Roma and Travellers in 13 European countries </w:t>
        </w:r>
        <w:r w:rsidR="00792350">
          <w:rPr>
            <w:rStyle w:val="Hyperlink"/>
          </w:rPr>
          <w:t>–</w:t>
        </w:r>
        <w:r w:rsidRPr="00193A9A">
          <w:rPr>
            <w:rStyle w:val="Hyperlink"/>
          </w:rPr>
          <w:t xml:space="preserve"> Perspectives from the Roma </w:t>
        </w:r>
        <w:r w:rsidR="00792350">
          <w:rPr>
            <w:rStyle w:val="Hyperlink"/>
          </w:rPr>
          <w:t>s</w:t>
        </w:r>
        <w:r w:rsidRPr="00193A9A">
          <w:rPr>
            <w:rStyle w:val="Hyperlink"/>
          </w:rPr>
          <w:t>urvey 2024</w:t>
        </w:r>
      </w:hyperlink>
      <w:r w:rsidRPr="00193A9A">
        <w:t>, p.</w:t>
      </w:r>
      <w:r w:rsidR="00193A9A">
        <w:t> </w:t>
      </w:r>
      <w:r w:rsidRPr="00193A9A">
        <w:t>42.</w:t>
      </w:r>
    </w:p>
  </w:footnote>
  <w:footnote w:id="129">
    <w:p w14:paraId="46049457" w14:textId="1657F44E" w:rsidR="00846E1C" w:rsidRPr="00193A9A" w:rsidRDefault="00846E1C" w:rsidP="00846E1C">
      <w:pPr>
        <w:pStyle w:val="FootnoteText"/>
      </w:pPr>
      <w:r w:rsidRPr="00193A9A">
        <w:t>(</w:t>
      </w:r>
      <w:r w:rsidRPr="00193A9A">
        <w:rPr>
          <w:rStyle w:val="FootnoteReference"/>
        </w:rPr>
        <w:footnoteRef/>
      </w:r>
      <w:r w:rsidRPr="00193A9A">
        <w:t>)</w:t>
      </w:r>
      <w:r w:rsidRPr="00193A9A">
        <w:tab/>
        <w:t>See e.g. Article</w:t>
      </w:r>
      <w:r w:rsidR="00193A9A">
        <w:t> </w:t>
      </w:r>
      <w:r w:rsidRPr="00193A9A">
        <w:t>2(</w:t>
      </w:r>
      <w:r w:rsidR="00601AEE">
        <w:t>2</w:t>
      </w:r>
      <w:r w:rsidRPr="00193A9A">
        <w:t>)(b) of the Racial Equality Directive and Article</w:t>
      </w:r>
      <w:r w:rsidR="00193A9A">
        <w:t> </w:t>
      </w:r>
      <w:r w:rsidRPr="00193A9A">
        <w:t>2(</w:t>
      </w:r>
      <w:r w:rsidR="00601AEE">
        <w:t>2</w:t>
      </w:r>
      <w:r w:rsidRPr="00193A9A">
        <w:t>)(b) of the Employment Equality Directive.</w:t>
      </w:r>
    </w:p>
  </w:footnote>
  <w:footnote w:id="130">
    <w:p w14:paraId="12419005" w14:textId="77777777" w:rsidR="00846E1C" w:rsidRPr="00193A9A" w:rsidRDefault="00846E1C" w:rsidP="00846E1C">
      <w:pPr>
        <w:pStyle w:val="FootnoteText"/>
      </w:pPr>
      <w:r w:rsidRPr="00193A9A">
        <w:t>(</w:t>
      </w:r>
      <w:r w:rsidRPr="00193A9A">
        <w:rPr>
          <w:rStyle w:val="FootnoteReference"/>
        </w:rPr>
        <w:footnoteRef/>
      </w:r>
      <w:r w:rsidRPr="00193A9A">
        <w:t>)</w:t>
      </w:r>
      <w:r w:rsidRPr="00193A9A">
        <w:tab/>
        <w:t>Supreme Court of the Slovak Republic, 6Cdo/14/2023.</w:t>
      </w:r>
    </w:p>
  </w:footnote>
  <w:footnote w:id="131">
    <w:p w14:paraId="783ECDA1" w14:textId="3D8A6DFA" w:rsidR="00846E1C" w:rsidRPr="00193A9A" w:rsidRDefault="00846E1C" w:rsidP="00846E1C">
      <w:pPr>
        <w:pStyle w:val="FootnoteText"/>
      </w:pPr>
      <w:r w:rsidRPr="00193A9A">
        <w:t>(</w:t>
      </w:r>
      <w:r w:rsidRPr="00193A9A">
        <w:rPr>
          <w:rStyle w:val="FootnoteReference"/>
        </w:rPr>
        <w:footnoteRef/>
      </w:r>
      <w:r w:rsidRPr="00193A9A">
        <w:t>)</w:t>
      </w:r>
      <w:r w:rsidRPr="00193A9A">
        <w:tab/>
        <w:t xml:space="preserve">Supreme Court of </w:t>
      </w:r>
      <w:r w:rsidRPr="004502CD">
        <w:t>the Czech Republic</w:t>
      </w:r>
      <w:r w:rsidRPr="00193A9A">
        <w:t xml:space="preserve">, </w:t>
      </w:r>
      <w:hyperlink r:id="rId43" w:history="1">
        <w:r w:rsidRPr="00193A9A">
          <w:rPr>
            <w:rStyle w:val="Hyperlink"/>
          </w:rPr>
          <w:t>Judgment of 5</w:t>
        </w:r>
        <w:r w:rsidR="00E41C93">
          <w:rPr>
            <w:rStyle w:val="Hyperlink"/>
          </w:rPr>
          <w:t> </w:t>
        </w:r>
        <w:r w:rsidRPr="00193A9A">
          <w:rPr>
            <w:rStyle w:val="Hyperlink"/>
          </w:rPr>
          <w:t>May 2022</w:t>
        </w:r>
      </w:hyperlink>
      <w:r w:rsidRPr="001D6235">
        <w:t>, 25 Cd</w:t>
      </w:r>
      <w:r w:rsidRPr="00193A9A">
        <w:t>o 473/2021, ECLI:CZ:NS:2022:25.CDO.473.2021.1.</w:t>
      </w:r>
    </w:p>
  </w:footnote>
  <w:footnote w:id="132">
    <w:p w14:paraId="1C639413" w14:textId="3EEE31B2" w:rsidR="00846E1C" w:rsidRPr="00193A9A" w:rsidRDefault="00846E1C" w:rsidP="00846E1C">
      <w:pPr>
        <w:pStyle w:val="FootnoteText"/>
      </w:pPr>
      <w:r w:rsidRPr="00193A9A">
        <w:t>(</w:t>
      </w:r>
      <w:r w:rsidRPr="00193A9A">
        <w:rPr>
          <w:rStyle w:val="FootnoteReference"/>
        </w:rPr>
        <w:footnoteRef/>
      </w:r>
      <w:r w:rsidRPr="00193A9A">
        <w:t>)</w:t>
      </w:r>
      <w:r w:rsidRPr="00193A9A">
        <w:tab/>
        <w:t>When an organisation acts in the public interest on their own behalf without a specific victim to support or represent.</w:t>
      </w:r>
      <w:r w:rsidR="00CD385E">
        <w:t xml:space="preserve"> </w:t>
      </w:r>
      <w:r w:rsidR="00CD385E" w:rsidRPr="00B61149">
        <w:t xml:space="preserve">See note </w:t>
      </w:r>
      <w:r w:rsidR="00AD2626">
        <w:t>2</w:t>
      </w:r>
      <w:r w:rsidR="00695349">
        <w:t>7</w:t>
      </w:r>
      <w:r w:rsidR="00CD385E" w:rsidRPr="00B61149">
        <w:t>, p. 126.</w:t>
      </w:r>
    </w:p>
  </w:footnote>
  <w:footnote w:id="133">
    <w:p w14:paraId="333456AC" w14:textId="497CC9F2" w:rsidR="00846E1C" w:rsidRPr="00193A9A" w:rsidRDefault="00846E1C" w:rsidP="00846E1C">
      <w:pPr>
        <w:pStyle w:val="FootnoteText"/>
      </w:pPr>
      <w:r w:rsidRPr="00193A9A">
        <w:t>(</w:t>
      </w:r>
      <w:r w:rsidRPr="00193A9A">
        <w:rPr>
          <w:rStyle w:val="FootnoteReference"/>
        </w:rPr>
        <w:footnoteRef/>
      </w:r>
      <w:r w:rsidRPr="00193A9A">
        <w:t>)</w:t>
      </w:r>
      <w:r w:rsidRPr="00193A9A">
        <w:tab/>
        <w:t>Equality duties include measures to prevent discrimination, institutional obligations to promote equality and mainstreaming requirements for public and/or private authorities.</w:t>
      </w:r>
      <w:r w:rsidR="00633844">
        <w:t xml:space="preserve"> See Equinet, Crowley, N. (2016), ‘Making Europe more equal: A legal duty?’, p. 9, </w:t>
      </w:r>
      <w:hyperlink r:id="rId44" w:history="1">
        <w:r w:rsidR="00633844" w:rsidRPr="00633844">
          <w:rPr>
            <w:rStyle w:val="Hyperlink"/>
          </w:rPr>
          <w:t>Making Europe more Equal: A Legal Duty?</w:t>
        </w:r>
      </w:hyperlink>
      <w:r w:rsidR="00633844">
        <w:t>.</w:t>
      </w:r>
    </w:p>
  </w:footnote>
  <w:footnote w:id="134">
    <w:p w14:paraId="79EDE00B" w14:textId="3B9DDD22" w:rsidR="00846E1C" w:rsidRPr="00193A9A" w:rsidRDefault="00846E1C" w:rsidP="00846E1C">
      <w:pPr>
        <w:pStyle w:val="FootnoteText"/>
      </w:pPr>
      <w:r w:rsidRPr="00193A9A">
        <w:t>(</w:t>
      </w:r>
      <w:r w:rsidRPr="00193A9A">
        <w:rPr>
          <w:rStyle w:val="FootnoteReference"/>
        </w:rPr>
        <w:footnoteRef/>
      </w:r>
      <w:r w:rsidRPr="00193A9A">
        <w:t>)</w:t>
      </w:r>
      <w:r w:rsidRPr="00193A9A">
        <w:tab/>
        <w:t>When claimants act on behalf of an undefined group of claimants or on behalf of multiple identified claimants submitting multiple claims</w:t>
      </w:r>
      <w:r w:rsidRPr="002B6C60">
        <w:t>.</w:t>
      </w:r>
      <w:r w:rsidR="00CD385E" w:rsidRPr="002B6C60">
        <w:t xml:space="preserve"> See note </w:t>
      </w:r>
      <w:r w:rsidR="00AD2626">
        <w:t>2</w:t>
      </w:r>
      <w:r w:rsidR="00695349">
        <w:t>7</w:t>
      </w:r>
      <w:r w:rsidR="00CD385E" w:rsidRPr="002B6C60">
        <w:t>, p. 126.</w:t>
      </w:r>
    </w:p>
  </w:footnote>
  <w:footnote w:id="135">
    <w:p w14:paraId="15FBE69B" w14:textId="0C8E58A8" w:rsidR="00846E1C" w:rsidRPr="00193A9A" w:rsidRDefault="00846E1C" w:rsidP="00846E1C">
      <w:pPr>
        <w:pStyle w:val="FootnoteText"/>
      </w:pPr>
      <w:r w:rsidRPr="00193A9A">
        <w:t>(</w:t>
      </w:r>
      <w:r w:rsidRPr="00193A9A">
        <w:rPr>
          <w:rStyle w:val="FootnoteReference"/>
        </w:rPr>
        <w:footnoteRef/>
      </w:r>
      <w:r w:rsidRPr="00193A9A">
        <w:t>)</w:t>
      </w:r>
      <w:r w:rsidRPr="00193A9A">
        <w:tab/>
        <w:t>Equinet, Tudisco, V. and Lantschner, E. (2022), ‘Preventing and Reacting to Discrimination through Sanctions and Remedies’, p.</w:t>
      </w:r>
      <w:r w:rsidR="00193A9A">
        <w:t> </w:t>
      </w:r>
      <w:r w:rsidRPr="00193A9A">
        <w:t xml:space="preserve">24, </w:t>
      </w:r>
      <w:hyperlink r:id="rId45" w:history="1">
        <w:r w:rsidRPr="00193A9A">
          <w:rPr>
            <w:rStyle w:val="Hyperlink"/>
          </w:rPr>
          <w:t>Preventing and Reacting to Discrimination through Sanctions and Remedies – Equinet</w:t>
        </w:r>
      </w:hyperlink>
      <w:r w:rsidRPr="00193A9A">
        <w:t>.</w:t>
      </w:r>
    </w:p>
  </w:footnote>
  <w:footnote w:id="136">
    <w:p w14:paraId="7BCA7FC1" w14:textId="393FC613" w:rsidR="00846E1C" w:rsidRPr="00193A9A" w:rsidRDefault="00846E1C" w:rsidP="00846E1C">
      <w:pPr>
        <w:pStyle w:val="FootnoteText"/>
      </w:pPr>
      <w:r w:rsidRPr="00193A9A">
        <w:t>(</w:t>
      </w:r>
      <w:r w:rsidRPr="00193A9A">
        <w:rPr>
          <w:rStyle w:val="FootnoteReference"/>
        </w:rPr>
        <w:footnoteRef/>
      </w:r>
      <w:r w:rsidRPr="00193A9A">
        <w:t>)</w:t>
      </w:r>
      <w:r w:rsidRPr="00193A9A">
        <w:tab/>
        <w:t>See Article</w:t>
      </w:r>
      <w:r w:rsidR="00193A9A">
        <w:t> </w:t>
      </w:r>
      <w:r w:rsidRPr="00193A9A">
        <w:t>7 of the Racial Equality Directive and Article</w:t>
      </w:r>
      <w:r w:rsidR="00193A9A">
        <w:t> </w:t>
      </w:r>
      <w:r w:rsidRPr="00193A9A">
        <w:t>9 of the Employment Equality Directive.</w:t>
      </w:r>
    </w:p>
  </w:footnote>
  <w:footnote w:id="137">
    <w:p w14:paraId="2293F8D7" w14:textId="10758734" w:rsidR="00846E1C" w:rsidRPr="00193A9A" w:rsidRDefault="00846E1C" w:rsidP="00846E1C">
      <w:pPr>
        <w:pStyle w:val="FootnoteText"/>
      </w:pPr>
      <w:r w:rsidRPr="00193A9A">
        <w:t>(</w:t>
      </w:r>
      <w:r w:rsidRPr="00193A9A">
        <w:rPr>
          <w:rStyle w:val="FootnoteReference"/>
        </w:rPr>
        <w:footnoteRef/>
      </w:r>
      <w:r w:rsidRPr="00193A9A">
        <w:t>)</w:t>
      </w:r>
      <w:r w:rsidRPr="00193A9A">
        <w:tab/>
        <w:t xml:space="preserve">For instance, in Sweden, the legislation does not allow for class actions in the field of labour law. In Romania, class actions are not available to associations, organisations </w:t>
      </w:r>
      <w:r w:rsidR="006611CF">
        <w:t>or</w:t>
      </w:r>
      <w:r w:rsidR="006611CF" w:rsidRPr="00193A9A">
        <w:t xml:space="preserve"> </w:t>
      </w:r>
      <w:r w:rsidRPr="00193A9A">
        <w:t xml:space="preserve">trade unions. See </w:t>
      </w:r>
      <w:r w:rsidR="002B6C60">
        <w:t>note 2</w:t>
      </w:r>
      <w:r w:rsidR="00695349">
        <w:t>7</w:t>
      </w:r>
      <w:r w:rsidRPr="00193A9A">
        <w:t>, p.</w:t>
      </w:r>
      <w:r w:rsidR="00193A9A">
        <w:t> </w:t>
      </w:r>
      <w:r w:rsidRPr="00193A9A">
        <w:t>126.</w:t>
      </w:r>
    </w:p>
  </w:footnote>
  <w:footnote w:id="138">
    <w:p w14:paraId="21BE0EF9" w14:textId="5D9C1D4F" w:rsidR="00846E1C" w:rsidRPr="00193A9A" w:rsidRDefault="00846E1C" w:rsidP="00846E1C">
      <w:pPr>
        <w:pStyle w:val="FootnoteText"/>
      </w:pPr>
      <w:r w:rsidRPr="00193A9A">
        <w:t>(</w:t>
      </w:r>
      <w:r w:rsidRPr="00193A9A">
        <w:rPr>
          <w:rStyle w:val="FootnoteReference"/>
        </w:rPr>
        <w:footnoteRef/>
      </w:r>
      <w:r w:rsidRPr="00193A9A">
        <w:t>)</w:t>
      </w:r>
      <w:r w:rsidRPr="00193A9A">
        <w:tab/>
      </w:r>
      <w:r w:rsidR="002B6C60" w:rsidRPr="00B61149">
        <w:t>See</w:t>
      </w:r>
      <w:r w:rsidR="007F22F7">
        <w:t xml:space="preserve"> </w:t>
      </w:r>
      <w:r w:rsidR="007F22F7" w:rsidRPr="002B6C60">
        <w:t xml:space="preserve">note </w:t>
      </w:r>
      <w:r w:rsidR="00AD2626">
        <w:t>3</w:t>
      </w:r>
      <w:r w:rsidR="00695349">
        <w:t>3</w:t>
      </w:r>
      <w:r w:rsidR="007F22F7" w:rsidRPr="002B6C60">
        <w:t>, p. 32</w:t>
      </w:r>
      <w:r w:rsidRPr="00193A9A">
        <w:t>.</w:t>
      </w:r>
    </w:p>
  </w:footnote>
  <w:footnote w:id="139">
    <w:p w14:paraId="13512925" w14:textId="075F4147" w:rsidR="00846E1C" w:rsidRPr="00193A9A" w:rsidRDefault="00846E1C" w:rsidP="00846E1C">
      <w:pPr>
        <w:pStyle w:val="FootnoteText"/>
      </w:pPr>
      <w:r w:rsidRPr="00193A9A">
        <w:t>(</w:t>
      </w:r>
      <w:r w:rsidRPr="00193A9A">
        <w:rPr>
          <w:rStyle w:val="FootnoteReference"/>
        </w:rPr>
        <w:footnoteRef/>
      </w:r>
      <w:r w:rsidRPr="00193A9A">
        <w:t>)</w:t>
      </w:r>
      <w:r w:rsidRPr="00193A9A">
        <w:tab/>
        <w:t>See Article</w:t>
      </w:r>
      <w:r w:rsidR="00BD7870">
        <w:t> </w:t>
      </w:r>
      <w:r w:rsidRPr="00193A9A">
        <w:t>10(3) of Council Directive</w:t>
      </w:r>
      <w:r w:rsidR="00BD7870">
        <w:t xml:space="preserve"> (EU)</w:t>
      </w:r>
      <w:r w:rsidRPr="00193A9A">
        <w:t xml:space="preserve"> 2024/1499.</w:t>
      </w:r>
    </w:p>
  </w:footnote>
  <w:footnote w:id="140">
    <w:p w14:paraId="15AC545A" w14:textId="1A75EBB2" w:rsidR="00571674" w:rsidRPr="00B61149" w:rsidRDefault="00571674">
      <w:pPr>
        <w:pStyle w:val="FootnoteText"/>
        <w:rPr>
          <w:lang w:val="en-IE"/>
        </w:rPr>
      </w:pPr>
      <w:r>
        <w:t>(</w:t>
      </w:r>
      <w:r>
        <w:rPr>
          <w:rStyle w:val="FootnoteReference"/>
        </w:rPr>
        <w:footnoteRef/>
      </w:r>
      <w:r>
        <w:t>)</w:t>
      </w:r>
      <w:r>
        <w:tab/>
      </w:r>
      <w:r w:rsidR="002B6C60">
        <w:t xml:space="preserve">Bartoletti, I., Xenidis, R., </w:t>
      </w:r>
      <w:r w:rsidR="002B6C60" w:rsidRPr="00B61149">
        <w:rPr>
          <w:i/>
          <w:iCs/>
        </w:rPr>
        <w:t>Study on the impact of artificial intelligence systems, their potential for promoting equality, including gender equality, and the risks they may cause in relation to non-discrimination</w:t>
      </w:r>
      <w:r w:rsidR="002B6C60">
        <w:t>, Council of Europe, 2023, p. 15.</w:t>
      </w:r>
    </w:p>
  </w:footnote>
  <w:footnote w:id="141">
    <w:p w14:paraId="380AA986" w14:textId="41953151" w:rsidR="00D57B94" w:rsidRPr="00193A9A" w:rsidRDefault="00D57B94" w:rsidP="00D57B94">
      <w:pPr>
        <w:pStyle w:val="FootnoteText"/>
      </w:pPr>
      <w:r w:rsidRPr="00193A9A">
        <w:t>(</w:t>
      </w:r>
      <w:r w:rsidRPr="00193A9A">
        <w:rPr>
          <w:rStyle w:val="FootnoteReference"/>
        </w:rPr>
        <w:footnoteRef/>
      </w:r>
      <w:r w:rsidRPr="00193A9A">
        <w:t>)</w:t>
      </w:r>
      <w:r w:rsidR="0033699C">
        <w:tab/>
      </w:r>
      <w:r w:rsidRPr="00193A9A">
        <w:t xml:space="preserve">See Wulf J., </w:t>
      </w:r>
      <w:r w:rsidRPr="00193A9A">
        <w:rPr>
          <w:i/>
          <w:iCs/>
        </w:rPr>
        <w:t>Automated Decision-Making Systems and Discrimination</w:t>
      </w:r>
      <w:r w:rsidR="00BD7870">
        <w:rPr>
          <w:i/>
          <w:iCs/>
        </w:rPr>
        <w:t xml:space="preserve"> –</w:t>
      </w:r>
      <w:r w:rsidRPr="00193A9A">
        <w:rPr>
          <w:i/>
          <w:iCs/>
        </w:rPr>
        <w:t xml:space="preserve"> Understanding causes, recognizing cases, supporting those affected</w:t>
      </w:r>
      <w:r w:rsidRPr="00193A9A">
        <w:t>, AlgorithmWatch, 2022, p.</w:t>
      </w:r>
      <w:r w:rsidR="00193A9A">
        <w:t> </w:t>
      </w:r>
      <w:r w:rsidRPr="00193A9A">
        <w:t>8.</w:t>
      </w:r>
    </w:p>
  </w:footnote>
  <w:footnote w:id="142">
    <w:p w14:paraId="0C165060" w14:textId="7876BD24" w:rsidR="00D57B94" w:rsidRPr="00193A9A" w:rsidRDefault="00D57B94" w:rsidP="00D57B94">
      <w:pPr>
        <w:pStyle w:val="FootnoteText"/>
      </w:pPr>
      <w:r w:rsidRPr="00193A9A">
        <w:t>(</w:t>
      </w:r>
      <w:r w:rsidRPr="00193A9A">
        <w:rPr>
          <w:rStyle w:val="FootnoteReference"/>
        </w:rPr>
        <w:footnoteRef/>
      </w:r>
      <w:r w:rsidRPr="00193A9A">
        <w:t>)</w:t>
      </w:r>
      <w:r w:rsidRPr="00193A9A">
        <w:tab/>
      </w:r>
      <w:r w:rsidR="003C0BEB">
        <w:t>‘</w:t>
      </w:r>
      <w:r w:rsidRPr="00193A9A">
        <w:t>Proxy</w:t>
      </w:r>
      <w:r w:rsidR="003C0BEB">
        <w:t>’</w:t>
      </w:r>
      <w:r w:rsidRPr="00193A9A">
        <w:t xml:space="preserve"> refers to a feature correlated with a protected </w:t>
      </w:r>
      <w:r w:rsidR="003C0BEB">
        <w:t>characteristic</w:t>
      </w:r>
      <w:r w:rsidR="003C0BEB" w:rsidRPr="00193A9A">
        <w:t xml:space="preserve"> </w:t>
      </w:r>
      <w:r w:rsidRPr="00193A9A">
        <w:t>whose use in a decision procedure can result in indirect discrimination. See Datta</w:t>
      </w:r>
      <w:r w:rsidR="000C0CFE">
        <w:t>, A., Fredrikson, M., Ko, G., Mardziel, P. and Sen, S.</w:t>
      </w:r>
      <w:r w:rsidRPr="00193A9A">
        <w:t xml:space="preserve">, ‘Proxy Non-Discrimination in Data-Driven Systems’, </w:t>
      </w:r>
      <w:hyperlink r:id="rId46" w:history="1">
        <w:r w:rsidRPr="00193A9A">
          <w:rPr>
            <w:rStyle w:val="Hyperlink"/>
          </w:rPr>
          <w:t>https://doi.org/10.48550/arXiv.1707.08120</w:t>
        </w:r>
      </w:hyperlink>
      <w:r w:rsidRPr="00193A9A">
        <w:t>.</w:t>
      </w:r>
    </w:p>
  </w:footnote>
  <w:footnote w:id="143">
    <w:p w14:paraId="4F162C6B" w14:textId="3AC855B6" w:rsidR="00D57B94" w:rsidRPr="00193A9A" w:rsidRDefault="00D57B94" w:rsidP="00D57B94">
      <w:pPr>
        <w:pStyle w:val="FootnoteText"/>
      </w:pPr>
      <w:r w:rsidRPr="00193A9A">
        <w:t>(</w:t>
      </w:r>
      <w:r w:rsidRPr="00193A9A">
        <w:rPr>
          <w:rStyle w:val="FootnoteReference"/>
        </w:rPr>
        <w:footnoteRef/>
      </w:r>
      <w:r w:rsidRPr="00193A9A">
        <w:t>)</w:t>
      </w:r>
      <w:r w:rsidR="007D3412">
        <w:tab/>
      </w:r>
      <w:r w:rsidR="002B6C60">
        <w:t xml:space="preserve">See note </w:t>
      </w:r>
      <w:r w:rsidR="00B61149">
        <w:t>13</w:t>
      </w:r>
      <w:r w:rsidR="00CA6862">
        <w:t>9</w:t>
      </w:r>
      <w:r w:rsidR="002B6C60">
        <w:t>.</w:t>
      </w:r>
    </w:p>
  </w:footnote>
  <w:footnote w:id="144">
    <w:p w14:paraId="07058947" w14:textId="5A2B0923" w:rsidR="00846E1C" w:rsidRPr="00193A9A" w:rsidRDefault="00846E1C" w:rsidP="00846E1C">
      <w:pPr>
        <w:pStyle w:val="FootnoteText"/>
      </w:pPr>
      <w:r w:rsidRPr="00193A9A">
        <w:t>(</w:t>
      </w:r>
      <w:r w:rsidRPr="00193A9A">
        <w:rPr>
          <w:rStyle w:val="FootnoteReference"/>
        </w:rPr>
        <w:footnoteRef/>
      </w:r>
      <w:r w:rsidRPr="00193A9A">
        <w:t>)</w:t>
      </w:r>
      <w:r w:rsidRPr="00193A9A">
        <w:tab/>
        <w:t>See Article</w:t>
      </w:r>
      <w:r w:rsidR="00193A9A">
        <w:t> </w:t>
      </w:r>
      <w:r w:rsidRPr="00193A9A">
        <w:t>7 of the Racial Equality Directive and Article</w:t>
      </w:r>
      <w:r w:rsidR="00193A9A">
        <w:t> </w:t>
      </w:r>
      <w:r w:rsidRPr="00193A9A">
        <w:t>9 of the Employment Equality Directive.</w:t>
      </w:r>
    </w:p>
  </w:footnote>
  <w:footnote w:id="145">
    <w:p w14:paraId="7A701FF0" w14:textId="7F3F798C" w:rsidR="00846E1C" w:rsidRPr="00FB20C9" w:rsidRDefault="00846E1C" w:rsidP="00846E1C">
      <w:pPr>
        <w:pStyle w:val="FootnoteText"/>
        <w:rPr>
          <w:lang w:val="pl-PL"/>
        </w:rPr>
      </w:pPr>
      <w:r w:rsidRPr="00FB20C9">
        <w:rPr>
          <w:lang w:val="pl-PL"/>
        </w:rPr>
        <w:t>(</w:t>
      </w:r>
      <w:r w:rsidRPr="00193A9A">
        <w:rPr>
          <w:rStyle w:val="FootnoteReference"/>
        </w:rPr>
        <w:footnoteRef/>
      </w:r>
      <w:r w:rsidRPr="00FB20C9">
        <w:rPr>
          <w:lang w:val="pl-PL"/>
        </w:rPr>
        <w:t>)</w:t>
      </w:r>
      <w:r w:rsidRPr="00FB20C9">
        <w:rPr>
          <w:lang w:val="pl-PL"/>
        </w:rPr>
        <w:tab/>
        <w:t>OJ L, 2024/1689, 12.7.2024, ELI: </w:t>
      </w:r>
      <w:hyperlink r:id="rId47" w:history="1">
        <w:r w:rsidR="003C15DE" w:rsidRPr="0011609F">
          <w:rPr>
            <w:rStyle w:val="Hyperlink"/>
            <w:lang w:val="pl-PL"/>
          </w:rPr>
          <w:t>http://data.europa.eu/eli/reg/2024/1689/oj</w:t>
        </w:r>
      </w:hyperlink>
      <w:r w:rsidR="005D6F13" w:rsidRPr="00FB20C9">
        <w:rPr>
          <w:lang w:val="pl-PL"/>
        </w:rPr>
        <w:t>.</w:t>
      </w:r>
    </w:p>
  </w:footnote>
  <w:footnote w:id="146">
    <w:p w14:paraId="525A43E1" w14:textId="40D94D60" w:rsidR="00C35E1B" w:rsidRPr="00CA6862" w:rsidRDefault="00C35E1B">
      <w:pPr>
        <w:pStyle w:val="FootnoteText"/>
        <w:rPr>
          <w:lang w:val="en-IE"/>
        </w:rPr>
      </w:pPr>
      <w:r>
        <w:t>(</w:t>
      </w:r>
      <w:r>
        <w:rPr>
          <w:rStyle w:val="FootnoteReference"/>
        </w:rPr>
        <w:footnoteRef/>
      </w:r>
      <w:r>
        <w:t>)</w:t>
      </w:r>
      <w:r>
        <w:tab/>
      </w:r>
      <w:r w:rsidRPr="002C42A9">
        <w:t>For systems integrated into products such as lifts or toys, the rules will apply from 2 August 2028.</w:t>
      </w:r>
    </w:p>
  </w:footnote>
  <w:footnote w:id="147">
    <w:p w14:paraId="1A9F39CC" w14:textId="77777777" w:rsidR="00C35E1B" w:rsidRPr="00FD37C2" w:rsidRDefault="00C35E1B" w:rsidP="00C35E1B">
      <w:pPr>
        <w:pStyle w:val="FootnoteText"/>
        <w:rPr>
          <w:lang w:val="en-IE"/>
        </w:rPr>
      </w:pPr>
      <w:r>
        <w:t>(</w:t>
      </w:r>
      <w:r>
        <w:rPr>
          <w:rStyle w:val="FootnoteReference"/>
        </w:rPr>
        <w:footnoteRef/>
      </w:r>
      <w:r>
        <w:t>)</w:t>
      </w:r>
      <w:r>
        <w:tab/>
        <w:t xml:space="preserve"> F</w:t>
      </w:r>
      <w:r w:rsidRPr="009A32A5">
        <w:t>rom 2 December 2027 for the rules falling under Annex III of the AI Act and 2 August 2028 for AI systems falling under Annex I of the AI Act</w:t>
      </w:r>
      <w:r>
        <w:t>.</w:t>
      </w:r>
    </w:p>
  </w:footnote>
  <w:footnote w:id="148">
    <w:p w14:paraId="6E8269F7" w14:textId="18C3AAE5" w:rsidR="00681915" w:rsidRPr="00193A9A" w:rsidRDefault="00681915">
      <w:pPr>
        <w:pStyle w:val="FootnoteText"/>
      </w:pPr>
      <w:r w:rsidRPr="00193A9A">
        <w:t>(</w:t>
      </w:r>
      <w:r w:rsidRPr="00193A9A">
        <w:rPr>
          <w:rStyle w:val="FootnoteReference"/>
        </w:rPr>
        <w:footnoteRef/>
      </w:r>
      <w:r w:rsidRPr="00193A9A">
        <w:t>)</w:t>
      </w:r>
      <w:r w:rsidRPr="00193A9A">
        <w:tab/>
        <w:t>See Article</w:t>
      </w:r>
      <w:r w:rsidR="00193A9A">
        <w:t> </w:t>
      </w:r>
      <w:r w:rsidRPr="00193A9A">
        <w:t xml:space="preserve">5 of the </w:t>
      </w:r>
      <w:r w:rsidR="005D6F13">
        <w:t>Artificial Intelligence Act</w:t>
      </w:r>
      <w:r w:rsidRPr="00193A9A">
        <w:t>.</w:t>
      </w:r>
    </w:p>
  </w:footnote>
  <w:footnote w:id="149">
    <w:p w14:paraId="6AC81986" w14:textId="07B16089" w:rsidR="00681915" w:rsidRPr="00193A9A" w:rsidRDefault="00681915">
      <w:pPr>
        <w:pStyle w:val="FootnoteText"/>
      </w:pPr>
      <w:r w:rsidRPr="00193A9A">
        <w:t>(</w:t>
      </w:r>
      <w:r w:rsidRPr="00193A9A">
        <w:rPr>
          <w:rStyle w:val="FootnoteReference"/>
        </w:rPr>
        <w:footnoteRef/>
      </w:r>
      <w:r w:rsidRPr="00193A9A">
        <w:t>)</w:t>
      </w:r>
      <w:r w:rsidRPr="00193A9A">
        <w:tab/>
        <w:t>See Article</w:t>
      </w:r>
      <w:r w:rsidR="00193A9A">
        <w:t> </w:t>
      </w:r>
      <w:r w:rsidRPr="00193A9A">
        <w:t xml:space="preserve">6 of the </w:t>
      </w:r>
      <w:r w:rsidR="005D6F13">
        <w:t>Artificial Intelligence Act</w:t>
      </w:r>
      <w:r w:rsidRPr="00193A9A">
        <w:t>.</w:t>
      </w:r>
    </w:p>
  </w:footnote>
  <w:footnote w:id="150">
    <w:p w14:paraId="5A912FC2" w14:textId="66168940" w:rsidR="00681915" w:rsidRPr="00193A9A" w:rsidRDefault="00681915">
      <w:pPr>
        <w:pStyle w:val="FootnoteText"/>
      </w:pPr>
      <w:r w:rsidRPr="00193A9A">
        <w:t>(</w:t>
      </w:r>
      <w:r w:rsidRPr="00193A9A">
        <w:rPr>
          <w:rStyle w:val="FootnoteReference"/>
        </w:rPr>
        <w:footnoteRef/>
      </w:r>
      <w:r w:rsidRPr="00193A9A">
        <w:t>)</w:t>
      </w:r>
      <w:r w:rsidRPr="00193A9A">
        <w:tab/>
        <w:t>See Articles 8</w:t>
      </w:r>
      <w:r w:rsidR="005D6F13">
        <w:t xml:space="preserve"> to </w:t>
      </w:r>
      <w:r w:rsidRPr="00193A9A">
        <w:t xml:space="preserve">15 of the </w:t>
      </w:r>
      <w:r w:rsidR="005D6F13">
        <w:t>Artificial Intelligence Act</w:t>
      </w:r>
      <w:r w:rsidRPr="00193A9A">
        <w:t>.</w:t>
      </w:r>
    </w:p>
  </w:footnote>
  <w:footnote w:id="151">
    <w:p w14:paraId="22C4E3C8" w14:textId="6BE6836A" w:rsidR="00931DDF" w:rsidRPr="00193A9A" w:rsidRDefault="00931DDF">
      <w:pPr>
        <w:pStyle w:val="FootnoteText"/>
      </w:pPr>
      <w:r w:rsidRPr="00193A9A">
        <w:t>(</w:t>
      </w:r>
      <w:r w:rsidRPr="00193A9A">
        <w:rPr>
          <w:rStyle w:val="FootnoteReference"/>
        </w:rPr>
        <w:footnoteRef/>
      </w:r>
      <w:r w:rsidRPr="00193A9A">
        <w:t>)</w:t>
      </w:r>
      <w:r w:rsidRPr="00193A9A">
        <w:tab/>
        <w:t>See Article</w:t>
      </w:r>
      <w:r w:rsidR="00193A9A">
        <w:t> </w:t>
      </w:r>
      <w:r w:rsidRPr="00193A9A">
        <w:t xml:space="preserve">50 of the </w:t>
      </w:r>
      <w:r w:rsidR="005D6F13">
        <w:t>Artificial Intelligence Act</w:t>
      </w:r>
      <w:r w:rsidRPr="00193A9A">
        <w:t>.</w:t>
      </w:r>
    </w:p>
  </w:footnote>
  <w:footnote w:id="152">
    <w:p w14:paraId="24477489" w14:textId="09EAD95E" w:rsidR="00C16A56" w:rsidRPr="00193A9A" w:rsidRDefault="00C16A56">
      <w:pPr>
        <w:pStyle w:val="FootnoteText"/>
      </w:pPr>
      <w:r w:rsidRPr="00193A9A">
        <w:t>(</w:t>
      </w:r>
      <w:r w:rsidRPr="00193A9A">
        <w:rPr>
          <w:rStyle w:val="FootnoteReference"/>
        </w:rPr>
        <w:footnoteRef/>
      </w:r>
      <w:r w:rsidRPr="00193A9A">
        <w:t>)</w:t>
      </w:r>
      <w:r w:rsidR="00C256B7">
        <w:tab/>
      </w:r>
      <w:r w:rsidRPr="00193A9A">
        <w:t>In this regard, Article</w:t>
      </w:r>
      <w:r w:rsidR="00193A9A">
        <w:t> </w:t>
      </w:r>
      <w:r w:rsidRPr="00193A9A">
        <w:t xml:space="preserve">26(11) of the </w:t>
      </w:r>
      <w:r w:rsidR="005D6F13">
        <w:t>Artificial Intelligence Act</w:t>
      </w:r>
      <w:r w:rsidRPr="00193A9A">
        <w:t xml:space="preserve"> </w:t>
      </w:r>
      <w:r w:rsidR="00C256B7">
        <w:t>requires</w:t>
      </w:r>
      <w:r w:rsidRPr="00193A9A">
        <w:t xml:space="preserve"> those deploying high-risk AI systems which make or assist in making decisions relating to natural persons </w:t>
      </w:r>
      <w:r w:rsidR="00C256B7">
        <w:t>to</w:t>
      </w:r>
      <w:r w:rsidR="00C256B7" w:rsidRPr="00193A9A">
        <w:t xml:space="preserve"> </w:t>
      </w:r>
      <w:r w:rsidRPr="00193A9A">
        <w:t xml:space="preserve">inform </w:t>
      </w:r>
      <w:r w:rsidR="00E06E9C">
        <w:t>those persons</w:t>
      </w:r>
      <w:r w:rsidRPr="00193A9A">
        <w:t xml:space="preserve"> that they are subject to the use of such a system. Additionally, Article</w:t>
      </w:r>
      <w:r w:rsidR="00193A9A">
        <w:t> </w:t>
      </w:r>
      <w:r w:rsidRPr="00193A9A">
        <w:t xml:space="preserve">86 of the </w:t>
      </w:r>
      <w:r w:rsidR="005D6F13">
        <w:t>Artificial Intelligence Act</w:t>
      </w:r>
      <w:r w:rsidRPr="00193A9A">
        <w:t xml:space="preserve"> grants individuals the right to obtain clear and meaningful explanations </w:t>
      </w:r>
      <w:r w:rsidR="00E06E9C">
        <w:t>on</w:t>
      </w:r>
      <w:r w:rsidR="00E06E9C" w:rsidRPr="00193A9A">
        <w:t xml:space="preserve"> </w:t>
      </w:r>
      <w:r w:rsidRPr="00193A9A">
        <w:t>the AI system</w:t>
      </w:r>
      <w:r w:rsidR="00E06E9C">
        <w:t>’s role</w:t>
      </w:r>
      <w:r w:rsidRPr="00193A9A">
        <w:t xml:space="preserve"> in the decision-making process</w:t>
      </w:r>
      <w:r w:rsidR="00E06E9C">
        <w:t xml:space="preserve"> and</w:t>
      </w:r>
      <w:r w:rsidRPr="00193A9A">
        <w:t xml:space="preserve"> the main elements of the decision taken.</w:t>
      </w:r>
    </w:p>
  </w:footnote>
  <w:footnote w:id="153">
    <w:p w14:paraId="26ADEB94" w14:textId="181543F8" w:rsidR="00846E1C" w:rsidRPr="00193A9A" w:rsidRDefault="00846E1C" w:rsidP="00846E1C">
      <w:pPr>
        <w:pStyle w:val="FootnoteText"/>
      </w:pPr>
      <w:r w:rsidRPr="00193A9A">
        <w:t>(</w:t>
      </w:r>
      <w:r w:rsidRPr="00193A9A">
        <w:rPr>
          <w:rStyle w:val="FootnoteReference"/>
        </w:rPr>
        <w:footnoteRef/>
      </w:r>
      <w:r w:rsidRPr="00193A9A">
        <w:t>)</w:t>
      </w:r>
      <w:r w:rsidR="00E06E9C">
        <w:t>For further details, s</w:t>
      </w:r>
      <w:r w:rsidRPr="00193A9A">
        <w:t>ee Hacker, P</w:t>
      </w:r>
      <w:r w:rsidR="00E06E9C">
        <w:t>.</w:t>
      </w:r>
      <w:r w:rsidRPr="00193A9A">
        <w:t xml:space="preserve"> (2018), ‘Teaching fairness to artificial intelligence</w:t>
      </w:r>
      <w:r w:rsidR="00E06E9C">
        <w:t xml:space="preserve"> –</w:t>
      </w:r>
      <w:r w:rsidRPr="00193A9A">
        <w:t xml:space="preserve"> </w:t>
      </w:r>
      <w:r w:rsidR="00E06E9C">
        <w:t>E</w:t>
      </w:r>
      <w:r w:rsidRPr="00193A9A">
        <w:t xml:space="preserve">xisting and novel strategies against algorithmic decision-making under EU law’ </w:t>
      </w:r>
      <w:r w:rsidRPr="00193A9A">
        <w:rPr>
          <w:i/>
          <w:iCs/>
        </w:rPr>
        <w:t>Common Market Law Review</w:t>
      </w:r>
      <w:r w:rsidR="00E06E9C">
        <w:t>, Vol.</w:t>
      </w:r>
      <w:r w:rsidR="00920830">
        <w:t> </w:t>
      </w:r>
      <w:r w:rsidR="00E06E9C">
        <w:t>55, Issue</w:t>
      </w:r>
      <w:r w:rsidR="00920830">
        <w:t> </w:t>
      </w:r>
      <w:r w:rsidR="00E06E9C">
        <w:t>4, 2018, pp.</w:t>
      </w:r>
      <w:r w:rsidR="00920830">
        <w:t> </w:t>
      </w:r>
      <w:r w:rsidRPr="00193A9A">
        <w:t>1143, 1151.</w:t>
      </w:r>
    </w:p>
  </w:footnote>
  <w:footnote w:id="154">
    <w:p w14:paraId="10A365C8" w14:textId="0DEFE36D" w:rsidR="00846E1C" w:rsidRPr="00193A9A" w:rsidRDefault="00846E1C" w:rsidP="00846E1C">
      <w:pPr>
        <w:pStyle w:val="FootnoteText"/>
      </w:pPr>
      <w:r w:rsidRPr="00193A9A">
        <w:t>(</w:t>
      </w:r>
      <w:r w:rsidRPr="00193A9A">
        <w:rPr>
          <w:rStyle w:val="FootnoteReference"/>
        </w:rPr>
        <w:footnoteRef/>
      </w:r>
      <w:r w:rsidRPr="00193A9A">
        <w:t>)</w:t>
      </w:r>
      <w:r w:rsidRPr="00193A9A">
        <w:tab/>
        <w:t xml:space="preserve">The scope of the Racial Equality Directive and the Employment Equality Directive does not extend to </w:t>
      </w:r>
      <w:r w:rsidR="009F1D90">
        <w:t xml:space="preserve">the </w:t>
      </w:r>
      <w:r w:rsidR="0060272D">
        <w:t>fields</w:t>
      </w:r>
      <w:r w:rsidR="0060272D" w:rsidRPr="00193A9A">
        <w:t xml:space="preserve"> </w:t>
      </w:r>
      <w:r w:rsidRPr="00193A9A">
        <w:t>of migration and law enforcement, while welfare is also outside the scope of the Employment Equality Directive.</w:t>
      </w:r>
      <w:r w:rsidR="00D318C3">
        <w:t xml:space="preserve"> The Artificial Intelligence Act classifies certain </w:t>
      </w:r>
      <w:r w:rsidR="00D318C3" w:rsidRPr="00D318C3">
        <w:t>AI systems intended for use in migration, law enforcement, essential private and public services</w:t>
      </w:r>
      <w:r w:rsidR="00D318C3">
        <w:t xml:space="preserve"> and</w:t>
      </w:r>
      <w:r w:rsidR="00D318C3" w:rsidRPr="00D318C3">
        <w:t xml:space="preserve"> benefits, and </w:t>
      </w:r>
      <w:r w:rsidR="00D318C3">
        <w:t xml:space="preserve">some </w:t>
      </w:r>
      <w:r w:rsidR="00D318C3" w:rsidRPr="00D318C3">
        <w:t>other sensitive areas as high risk.</w:t>
      </w:r>
      <w:r w:rsidR="00D318C3">
        <w:t xml:space="preserve"> </w:t>
      </w:r>
      <w:r w:rsidR="00D318C3" w:rsidRPr="00D318C3">
        <w:t xml:space="preserve">Providers and deployers of these high-risk AI systems must comply with the </w:t>
      </w:r>
      <w:r w:rsidR="00D318C3">
        <w:t xml:space="preserve">Artificial Intelligence </w:t>
      </w:r>
      <w:r w:rsidR="00D318C3" w:rsidRPr="00D318C3">
        <w:t>Act's obligations, as described</w:t>
      </w:r>
      <w:r w:rsidR="00503689">
        <w:t xml:space="preserve"> in section 7.1 of this report.</w:t>
      </w:r>
    </w:p>
  </w:footnote>
  <w:footnote w:id="155">
    <w:p w14:paraId="67845A48" w14:textId="1B5E91EB" w:rsidR="00846E1C" w:rsidRPr="00193A9A" w:rsidRDefault="00846E1C" w:rsidP="00846E1C">
      <w:pPr>
        <w:pStyle w:val="FootnoteText"/>
      </w:pPr>
      <w:r w:rsidRPr="00193A9A">
        <w:t>(</w:t>
      </w:r>
      <w:r w:rsidRPr="00193A9A">
        <w:rPr>
          <w:rStyle w:val="FootnoteReference"/>
        </w:rPr>
        <w:footnoteRef/>
      </w:r>
      <w:r w:rsidRPr="00193A9A">
        <w:t>)</w:t>
      </w:r>
      <w:r w:rsidRPr="00193A9A">
        <w:tab/>
        <w:t>Rechtbank Overijssel, 29</w:t>
      </w:r>
      <w:r w:rsidR="00193A9A">
        <w:t> October</w:t>
      </w:r>
      <w:r w:rsidRPr="00193A9A">
        <w:t xml:space="preserve"> 2024, ECLI:NL:RBOVE:2024:5627</w:t>
      </w:r>
      <w:r w:rsidR="0060272D">
        <w:t>.</w:t>
      </w:r>
    </w:p>
  </w:footnote>
  <w:footnote w:id="156">
    <w:p w14:paraId="5B8877F0" w14:textId="3CB4F727" w:rsidR="00846E1C" w:rsidRPr="00A12C6C" w:rsidRDefault="00846E1C" w:rsidP="00846E1C">
      <w:pPr>
        <w:pStyle w:val="FootnoteText"/>
      </w:pPr>
      <w:r w:rsidRPr="00A12C6C">
        <w:t>(</w:t>
      </w:r>
      <w:r w:rsidRPr="00193A9A">
        <w:rPr>
          <w:rStyle w:val="FootnoteReference"/>
        </w:rPr>
        <w:footnoteRef/>
      </w:r>
      <w:r w:rsidRPr="00A12C6C">
        <w:t>)</w:t>
      </w:r>
      <w:r w:rsidRPr="00A12C6C">
        <w:tab/>
        <w:t xml:space="preserve">College voor de Rechten van de Mens, </w:t>
      </w:r>
      <w:hyperlink r:id="rId48" w:history="1">
        <w:r w:rsidR="00DF47AA" w:rsidRPr="00A12C6C">
          <w:rPr>
            <w:rStyle w:val="Hyperlink"/>
          </w:rPr>
          <w:t>Vooronderzoek naar de vermeende discriminerende effecten van de werkwijzen van de Belastingdienst/Toeslagen | College voor de Rechten van de Mens</w:t>
        </w:r>
      </w:hyperlink>
      <w:r w:rsidRPr="00A12C6C">
        <w:t>.</w:t>
      </w:r>
    </w:p>
  </w:footnote>
  <w:footnote w:id="157">
    <w:p w14:paraId="4B6D7B9C" w14:textId="16109E12" w:rsidR="00A92D89" w:rsidRPr="00193A9A" w:rsidRDefault="00A92D89" w:rsidP="00A92D89">
      <w:pPr>
        <w:pStyle w:val="FootnoteText"/>
      </w:pPr>
      <w:r w:rsidRPr="00193A9A">
        <w:t>(</w:t>
      </w:r>
      <w:r w:rsidRPr="00193A9A">
        <w:rPr>
          <w:rStyle w:val="FootnoteReference"/>
        </w:rPr>
        <w:footnoteRef/>
      </w:r>
      <w:r w:rsidRPr="00193A9A">
        <w:t>)</w:t>
      </w:r>
      <w:r w:rsidRPr="00193A9A">
        <w:tab/>
        <w:t xml:space="preserve">Council Decision (EU) 2025/2350 </w:t>
      </w:r>
      <w:r w:rsidR="00541016">
        <w:t xml:space="preserve">of 13 November 2025 </w:t>
      </w:r>
      <w:r w:rsidRPr="00193A9A">
        <w:t xml:space="preserve">on the position to be taken on behalf of the European Union within the Committee of Ministers of the Council of Europe on the Draft Recommendation on equality and artificial intelligence </w:t>
      </w:r>
      <w:r w:rsidR="00541016">
        <w:t>(</w:t>
      </w:r>
      <w:r w:rsidRPr="00193A9A">
        <w:t>OJ L, 2025/2350, 17.11.2025</w:t>
      </w:r>
      <w:r w:rsidR="00541016">
        <w:t>, ELI: </w:t>
      </w:r>
      <w:hyperlink r:id="rId49" w:tooltip="Gives access to this document through its ELI URI." w:history="1">
        <w:r w:rsidR="00541016" w:rsidRPr="00541016">
          <w:rPr>
            <w:rStyle w:val="Hyperlink"/>
          </w:rPr>
          <w:t>http://data.europa.eu/eli/dec/2025/2350/oj</w:t>
        </w:r>
      </w:hyperlink>
      <w:r w:rsidR="00541016">
        <w:t>)</w:t>
      </w:r>
      <w:r w:rsidRPr="00193A9A">
        <w:t>.</w:t>
      </w:r>
    </w:p>
  </w:footnote>
  <w:footnote w:id="158">
    <w:p w14:paraId="25AF8F54" w14:textId="454B15C4" w:rsidR="00727DFB" w:rsidRPr="00B61149" w:rsidRDefault="00727DFB">
      <w:pPr>
        <w:pStyle w:val="FootnoteText"/>
        <w:rPr>
          <w:lang w:val="en-IE"/>
        </w:rPr>
      </w:pPr>
      <w:r>
        <w:t>(</w:t>
      </w:r>
      <w:r>
        <w:rPr>
          <w:rStyle w:val="FootnoteReference"/>
        </w:rPr>
        <w:footnoteRef/>
      </w:r>
      <w:r>
        <w:t>)</w:t>
      </w:r>
      <w:r>
        <w:tab/>
      </w:r>
      <w:r w:rsidRPr="00727DFB">
        <w:t>Recommendation of the Committee of Ministers to</w:t>
      </w:r>
      <w:r>
        <w:t xml:space="preserve"> M</w:t>
      </w:r>
      <w:r w:rsidRPr="00727DFB">
        <w:t>ember States on equality and artificial intelligence</w:t>
      </w:r>
      <w:r>
        <w:t xml:space="preserve"> </w:t>
      </w:r>
      <w:r w:rsidRPr="00727DFB">
        <w:t>(Adopted by the Committee of Ministers on 4 March 2026 at the 1552nd meeting of the Ministers' Deputies)</w:t>
      </w:r>
      <w:r>
        <w:t xml:space="preserve">, </w:t>
      </w:r>
      <w:r w:rsidRPr="00727DFB">
        <w:t>CM/Rec(2026)1</w:t>
      </w:r>
      <w:r>
        <w:t xml:space="preserve">, 4.3.2026, </w:t>
      </w:r>
      <w:r w:rsidRPr="00727DFB">
        <w:t>https://search.coe.int/cm?i=09125948802acd7f</w:t>
      </w:r>
      <w:r>
        <w:t>.</w:t>
      </w:r>
    </w:p>
  </w:footnote>
  <w:footnote w:id="159">
    <w:p w14:paraId="1D6E0EBA" w14:textId="77777777" w:rsidR="00846E1C" w:rsidRPr="00193A9A" w:rsidRDefault="00846E1C" w:rsidP="00846E1C">
      <w:pPr>
        <w:pStyle w:val="FootnoteText"/>
      </w:pPr>
      <w:r w:rsidRPr="00193A9A">
        <w:t>(</w:t>
      </w:r>
      <w:r w:rsidRPr="00193A9A">
        <w:rPr>
          <w:rStyle w:val="FootnoteReference"/>
        </w:rPr>
        <w:footnoteRef/>
      </w:r>
      <w:r w:rsidRPr="00193A9A">
        <w:t>)</w:t>
      </w:r>
      <w:r w:rsidRPr="00193A9A">
        <w:tab/>
        <w:t xml:space="preserve">Ministry of the Interior of the Netherlands, ‘Guidelines for non-discrimination by design’, </w:t>
      </w:r>
      <w:hyperlink r:id="rId50" w:history="1">
        <w:r w:rsidRPr="00193A9A">
          <w:rPr>
            <w:rStyle w:val="Hyperlink"/>
          </w:rPr>
          <w:t>Handreiking non-discriminatie Artificial Intelligence (AI) | Rapport | Rijksoverheid.nl</w:t>
        </w:r>
      </w:hyperlink>
      <w:r w:rsidRPr="00193A9A">
        <w:t>.</w:t>
      </w:r>
    </w:p>
  </w:footnote>
  <w:footnote w:id="160">
    <w:p w14:paraId="723BE084" w14:textId="03B40985" w:rsidR="00CE3F60" w:rsidRPr="00193A9A" w:rsidRDefault="00CE3F60" w:rsidP="00CE3F60">
      <w:pPr>
        <w:pStyle w:val="FootnoteText"/>
      </w:pPr>
      <w:r w:rsidRPr="00193A9A">
        <w:t>(</w:t>
      </w:r>
      <w:r w:rsidRPr="00193A9A">
        <w:rPr>
          <w:rStyle w:val="FootnoteReference"/>
        </w:rPr>
        <w:footnoteRef/>
      </w:r>
      <w:r w:rsidRPr="00193A9A">
        <w:t>)</w:t>
      </w:r>
      <w:r w:rsidRPr="00193A9A">
        <w:tab/>
        <w:t>See Article</w:t>
      </w:r>
      <w:r w:rsidR="00193A9A">
        <w:t> </w:t>
      </w:r>
      <w:r w:rsidRPr="00193A9A">
        <w:t xml:space="preserve">14 of Council Directive </w:t>
      </w:r>
      <w:r w:rsidR="007D0157">
        <w:t xml:space="preserve">(EU) </w:t>
      </w:r>
      <w:r w:rsidRPr="00193A9A">
        <w:t>2024/1499.</w:t>
      </w:r>
    </w:p>
  </w:footnote>
  <w:footnote w:id="161">
    <w:p w14:paraId="2237B590" w14:textId="2CDDEAEA" w:rsidR="00846E1C" w:rsidRPr="00193A9A" w:rsidRDefault="00846E1C" w:rsidP="00846E1C">
      <w:pPr>
        <w:pStyle w:val="FootnoteText"/>
      </w:pPr>
      <w:r w:rsidRPr="00193A9A">
        <w:t>(</w:t>
      </w:r>
      <w:r w:rsidRPr="00193A9A">
        <w:rPr>
          <w:rStyle w:val="FootnoteReference"/>
        </w:rPr>
        <w:footnoteRef/>
      </w:r>
      <w:r w:rsidRPr="00193A9A">
        <w:t>)</w:t>
      </w:r>
      <w:r w:rsidRPr="00193A9A">
        <w:tab/>
        <w:t>Recital</w:t>
      </w:r>
      <w:r w:rsidR="00910BB6">
        <w:t> </w:t>
      </w:r>
      <w:r w:rsidRPr="00193A9A">
        <w:t xml:space="preserve">22 of the Council Directive </w:t>
      </w:r>
      <w:r w:rsidR="007D0157">
        <w:t xml:space="preserve">(EU) </w:t>
      </w:r>
      <w:r w:rsidRPr="00193A9A">
        <w:t>2024/1499.</w:t>
      </w:r>
    </w:p>
  </w:footnote>
  <w:footnote w:id="162">
    <w:p w14:paraId="280EAD41" w14:textId="77777777" w:rsidR="00C35E1B" w:rsidRPr="00193A9A" w:rsidRDefault="00C35E1B" w:rsidP="00C35E1B">
      <w:pPr>
        <w:pStyle w:val="FootnoteText"/>
      </w:pPr>
      <w:r w:rsidRPr="00193A9A">
        <w:t>(</w:t>
      </w:r>
      <w:r w:rsidRPr="00193A9A">
        <w:rPr>
          <w:rStyle w:val="FootnoteReference"/>
        </w:rPr>
        <w:footnoteRef/>
      </w:r>
      <w:r w:rsidRPr="00193A9A">
        <w:t>)</w:t>
      </w:r>
      <w:r w:rsidRPr="00193A9A">
        <w:tab/>
        <w:t xml:space="preserve">So far, 21 Member States have notified some or all of their equality bodies as fundamental rights protection authorities with special powers under the </w:t>
      </w:r>
      <w:r>
        <w:t>Artificial Intelligence Act</w:t>
      </w:r>
      <w:r w:rsidRPr="00193A9A">
        <w:t>.</w:t>
      </w:r>
    </w:p>
  </w:footnote>
  <w:footnote w:id="163">
    <w:p w14:paraId="23E185E5" w14:textId="1EF00AB7" w:rsidR="00503689" w:rsidRPr="00B61149" w:rsidRDefault="00503689">
      <w:pPr>
        <w:pStyle w:val="FootnoteText"/>
        <w:rPr>
          <w:lang w:val="en-IE"/>
        </w:rPr>
      </w:pPr>
      <w:r>
        <w:t>(</w:t>
      </w:r>
      <w:r>
        <w:rPr>
          <w:rStyle w:val="FootnoteReference"/>
        </w:rPr>
        <w:footnoteRef/>
      </w:r>
      <w:r>
        <w:t>)</w:t>
      </w:r>
      <w:r>
        <w:tab/>
      </w:r>
      <w:r w:rsidR="00864499">
        <w:t>See Article 77(3) of the Artificial Intelligence Act.</w:t>
      </w:r>
    </w:p>
  </w:footnote>
  <w:footnote w:id="164">
    <w:p w14:paraId="7F937A95" w14:textId="2C7FA47E" w:rsidR="00D10864" w:rsidRPr="00193A9A" w:rsidRDefault="00D10864" w:rsidP="00D10864">
      <w:pPr>
        <w:pStyle w:val="FootnoteText"/>
      </w:pPr>
      <w:r w:rsidRPr="00193A9A">
        <w:t>(</w:t>
      </w:r>
      <w:r w:rsidRPr="00193A9A">
        <w:rPr>
          <w:rStyle w:val="FootnoteReference"/>
        </w:rPr>
        <w:footnoteRef/>
      </w:r>
      <w:r w:rsidRPr="00193A9A">
        <w:t>)</w:t>
      </w:r>
      <w:r w:rsidRPr="00193A9A">
        <w:tab/>
        <w:t>See Article</w:t>
      </w:r>
      <w:r w:rsidR="00193A9A">
        <w:t> </w:t>
      </w:r>
      <w:r w:rsidRPr="00193A9A">
        <w:t>79(2) and Article</w:t>
      </w:r>
      <w:r w:rsidR="00193A9A">
        <w:t> </w:t>
      </w:r>
      <w:r w:rsidRPr="00193A9A">
        <w:t xml:space="preserve">82(1) of the </w:t>
      </w:r>
      <w:r w:rsidR="005D6F13">
        <w:t>Artificial Intelligence Act</w:t>
      </w:r>
      <w:r w:rsidRPr="00193A9A">
        <w:t>.</w:t>
      </w:r>
    </w:p>
  </w:footnote>
  <w:footnote w:id="165">
    <w:p w14:paraId="6598A660" w14:textId="243883A1" w:rsidR="00D7285A" w:rsidRPr="00B61149" w:rsidRDefault="00D7285A">
      <w:pPr>
        <w:pStyle w:val="FootnoteText"/>
        <w:rPr>
          <w:lang w:val="en-IE"/>
        </w:rPr>
      </w:pPr>
      <w:r>
        <w:t>(</w:t>
      </w:r>
      <w:r>
        <w:rPr>
          <w:rStyle w:val="FootnoteReference"/>
        </w:rPr>
        <w:footnoteRef/>
      </w:r>
      <w:r>
        <w:t>)</w:t>
      </w:r>
      <w:r>
        <w:tab/>
      </w:r>
      <w:r w:rsidRPr="00193A9A">
        <w:t>The notable exception is Finland. Along with Belgium and Portugal, it is part of a</w:t>
      </w:r>
      <w:r>
        <w:t xml:space="preserve"> capacity-building project under the</w:t>
      </w:r>
      <w:r w:rsidRPr="00193A9A">
        <w:t xml:space="preserve"> Technical Support Instrument</w:t>
      </w:r>
      <w:r>
        <w:t>.</w:t>
      </w:r>
    </w:p>
  </w:footnote>
  <w:footnote w:id="166">
    <w:p w14:paraId="09013AB3" w14:textId="37D6340A" w:rsidR="00846E1C" w:rsidRPr="00193A9A" w:rsidRDefault="00846E1C" w:rsidP="00846E1C">
      <w:pPr>
        <w:pStyle w:val="FootnoteText"/>
      </w:pPr>
      <w:r w:rsidRPr="00193A9A">
        <w:t>(</w:t>
      </w:r>
      <w:r w:rsidRPr="00193A9A">
        <w:rPr>
          <w:rStyle w:val="FootnoteReference"/>
        </w:rPr>
        <w:footnoteRef/>
      </w:r>
      <w:r w:rsidRPr="00193A9A">
        <w:t>)</w:t>
      </w:r>
      <w:r w:rsidRPr="00193A9A">
        <w:tab/>
        <w:t>Council of Europe, ‘</w:t>
      </w:r>
      <w:hyperlink r:id="rId51" w:history="1">
        <w:r w:rsidRPr="00193A9A">
          <w:rPr>
            <w:rStyle w:val="Hyperlink"/>
          </w:rPr>
          <w:t xml:space="preserve">Upholding equality and non-discrimination by Equality bodies regarding the use of artificial intelligence (AI) in public administrations </w:t>
        </w:r>
        <w:r w:rsidR="00CF0898">
          <w:rPr>
            <w:rStyle w:val="Hyperlink"/>
          </w:rPr>
          <w:t>–</w:t>
        </w:r>
        <w:r w:rsidRPr="00193A9A">
          <w:rPr>
            <w:rStyle w:val="Hyperlink"/>
          </w:rPr>
          <w:t xml:space="preserve"> Inclusion and anti-discrimination</w:t>
        </w:r>
      </w:hyperlink>
      <w:r w:rsidRPr="00193A9A">
        <w:t>’.</w:t>
      </w:r>
    </w:p>
  </w:footnote>
  <w:footnote w:id="167">
    <w:p w14:paraId="699C834F" w14:textId="75C83F54" w:rsidR="00CE3F60" w:rsidRPr="00193A9A" w:rsidRDefault="00CE3F60" w:rsidP="00CE3F60">
      <w:pPr>
        <w:pStyle w:val="FootnoteText"/>
      </w:pPr>
      <w:r w:rsidRPr="00193A9A">
        <w:t>(</w:t>
      </w:r>
      <w:r w:rsidRPr="00193A9A">
        <w:rPr>
          <w:rStyle w:val="FootnoteReference"/>
        </w:rPr>
        <w:footnoteRef/>
      </w:r>
      <w:r w:rsidRPr="00193A9A">
        <w:t>)</w:t>
      </w:r>
      <w:r w:rsidRPr="00193A9A">
        <w:tab/>
      </w:r>
      <w:r w:rsidR="002B6C60">
        <w:t>E</w:t>
      </w:r>
      <w:r w:rsidRPr="00193A9A">
        <w:t>.g. markets surveillance authorities, data protection authorities</w:t>
      </w:r>
      <w:r w:rsidR="00CF0898">
        <w:t xml:space="preserve"> and</w:t>
      </w:r>
      <w:r w:rsidRPr="00193A9A">
        <w:t xml:space="preserve"> consumer bodies. See </w:t>
      </w:r>
      <w:r w:rsidR="00CF0898">
        <w:t>r</w:t>
      </w:r>
      <w:r w:rsidRPr="00193A9A">
        <w:t>ecital</w:t>
      </w:r>
      <w:r w:rsidR="00CF0898">
        <w:t> </w:t>
      </w:r>
      <w:r w:rsidRPr="00193A9A">
        <w:t xml:space="preserve">41 of Council Directive </w:t>
      </w:r>
      <w:r w:rsidR="00CF0898">
        <w:t xml:space="preserve">(EU) </w:t>
      </w:r>
      <w:r w:rsidRPr="00193A9A">
        <w:t>2024/1499.</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97EFE4" w14:textId="77777777" w:rsidR="00DA7CC4" w:rsidRPr="00DA7CC4" w:rsidRDefault="00DA7CC4" w:rsidP="00DA7CC4">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B0ADE6" w14:textId="77777777" w:rsidR="00DA7CC4" w:rsidRPr="00DA7CC4" w:rsidRDefault="00DA7CC4" w:rsidP="00DA7CC4">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113CEE" w14:textId="77777777" w:rsidR="00DA7CC4" w:rsidRPr="00DA7CC4" w:rsidRDefault="00DA7CC4" w:rsidP="00DA7CC4">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5D8C2E" w14:textId="77777777" w:rsidR="00F81E69" w:rsidRPr="00193A9A" w:rsidRDefault="00F81E6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B19E4" w14:textId="77777777" w:rsidR="00F81E69" w:rsidRPr="00193A9A" w:rsidRDefault="00F81E6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15DED" w14:textId="77777777" w:rsidR="00F81E69" w:rsidRPr="00193A9A" w:rsidRDefault="00F81E6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0D89"/>
    <w:multiLevelType w:val="hybridMultilevel"/>
    <w:tmpl w:val="4538F08E"/>
    <w:lvl w:ilvl="0" w:tplc="0074D7E6">
      <w:numFmt w:val="bullet"/>
      <w:lvlText w:val="-"/>
      <w:lvlJc w:val="left"/>
      <w:pPr>
        <w:ind w:left="842" w:hanging="360"/>
      </w:pPr>
      <w:rPr>
        <w:rFonts w:ascii="Times New Roman" w:eastAsia="Times New Roman" w:hAnsi="Times New Roman" w:cs="Times New Roman" w:hint="default"/>
      </w:rPr>
    </w:lvl>
    <w:lvl w:ilvl="1" w:tplc="18090003" w:tentative="1">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1" w15:restartNumberingAfterBreak="0">
    <w:nsid w:val="0A2900F7"/>
    <w:multiLevelType w:val="multilevel"/>
    <w:tmpl w:val="2AFEB160"/>
    <w:name w:val="ListDash4Numbering"/>
    <w:lvl w:ilvl="0">
      <w:start w:val="1"/>
      <w:numFmt w:val="bullet"/>
      <w:pStyle w:val="ListDash4"/>
      <w:lvlText w:val="–"/>
      <w:lvlJc w:val="left"/>
      <w:pPr>
        <w:tabs>
          <w:tab w:val="num" w:pos="1485"/>
        </w:tabs>
        <w:ind w:left="1485" w:hanging="283"/>
      </w:pPr>
      <w:rPr>
        <w:rFonts w:ascii="Times New Roman" w:hAnsi="Times New Roman"/>
      </w:rPr>
    </w:lvl>
    <w:lvl w:ilvl="1">
      <w:start w:val="1"/>
      <w:numFmt w:val="bullet"/>
      <w:pStyle w:val="ListDash4Level2"/>
      <w:lvlText w:val="–"/>
      <w:lvlJc w:val="left"/>
      <w:pPr>
        <w:tabs>
          <w:tab w:val="num" w:pos="1769"/>
        </w:tabs>
        <w:ind w:left="1769" w:hanging="284"/>
      </w:pPr>
      <w:rPr>
        <w:rFonts w:ascii="Times New Roman" w:hAnsi="Times New Roman"/>
      </w:rPr>
    </w:lvl>
    <w:lvl w:ilvl="2">
      <w:start w:val="1"/>
      <w:numFmt w:val="bullet"/>
      <w:pStyle w:val="ListDash4Level3"/>
      <w:lvlText w:val="–"/>
      <w:lvlJc w:val="left"/>
      <w:pPr>
        <w:tabs>
          <w:tab w:val="num" w:pos="2052"/>
        </w:tabs>
        <w:ind w:left="2052" w:hanging="283"/>
      </w:pPr>
      <w:rPr>
        <w:rFonts w:ascii="Times New Roman" w:hAnsi="Times New Roman"/>
      </w:rPr>
    </w:lvl>
    <w:lvl w:ilvl="3">
      <w:start w:val="1"/>
      <w:numFmt w:val="bullet"/>
      <w:pStyle w:val="ListDash4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 w15:restartNumberingAfterBreak="0">
    <w:nsid w:val="0EFB7115"/>
    <w:multiLevelType w:val="multilevel"/>
    <w:tmpl w:val="5AB8C9E2"/>
    <w:name w:val="ListNumber3Numbering"/>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 w15:restartNumberingAfterBreak="0">
    <w:nsid w:val="11563CDE"/>
    <w:multiLevelType w:val="hybridMultilevel"/>
    <w:tmpl w:val="0BEA67D0"/>
    <w:lvl w:ilvl="0" w:tplc="574A4B6E">
      <w:numFmt w:val="bullet"/>
      <w:lvlText w:val="-"/>
      <w:lvlJc w:val="left"/>
      <w:pPr>
        <w:ind w:left="842" w:hanging="360"/>
      </w:pPr>
      <w:rPr>
        <w:rFonts w:ascii="Times New Roman" w:eastAsia="Times New Roman" w:hAnsi="Times New Roman" w:cs="Times New Roman" w:hint="default"/>
      </w:rPr>
    </w:lvl>
    <w:lvl w:ilvl="1" w:tplc="18090003" w:tentative="1">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4" w15:restartNumberingAfterBreak="0">
    <w:nsid w:val="120B7201"/>
    <w:multiLevelType w:val="multilevel"/>
    <w:tmpl w:val="18D031F8"/>
    <w:name w:val="ListNumberNumbering"/>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5" w15:restartNumberingAfterBreak="0">
    <w:nsid w:val="120B8345"/>
    <w:multiLevelType w:val="multilevel"/>
    <w:tmpl w:val="14BAAAD6"/>
    <w:name w:val="TableListNumberNumbering"/>
    <w:lvl w:ilvl="0">
      <w:start w:val="1"/>
      <w:numFmt w:val="decimal"/>
      <w:pStyle w:val="TableListNumber"/>
      <w:lvlText w:val="(%1)"/>
      <w:lvlJc w:val="left"/>
      <w:pPr>
        <w:tabs>
          <w:tab w:val="num" w:pos="454"/>
        </w:tabs>
        <w:ind w:left="454" w:hanging="454"/>
      </w:pPr>
    </w:lvl>
    <w:lvl w:ilvl="1">
      <w:start w:val="1"/>
      <w:numFmt w:val="lowerLetter"/>
      <w:pStyle w:val="TableListNumberLevel2"/>
      <w:lvlText w:val="(%2)"/>
      <w:lvlJc w:val="left"/>
      <w:pPr>
        <w:tabs>
          <w:tab w:val="num" w:pos="907"/>
        </w:tabs>
        <w:ind w:left="907" w:hanging="453"/>
      </w:pPr>
    </w:lvl>
    <w:lvl w:ilvl="2">
      <w:start w:val="1"/>
      <w:numFmt w:val="bullet"/>
      <w:pStyle w:val="TableListNumberLevel3"/>
      <w:lvlText w:val="–"/>
      <w:lvlJc w:val="left"/>
      <w:pPr>
        <w:tabs>
          <w:tab w:val="num" w:pos="1361"/>
        </w:tabs>
        <w:ind w:left="1361" w:hanging="454"/>
      </w:pPr>
      <w:rPr>
        <w:rFonts w:ascii="Times New Roman" w:hAnsi="Times New Roman"/>
      </w:rPr>
    </w:lvl>
    <w:lvl w:ilvl="3">
      <w:start w:val="1"/>
      <w:numFmt w:val="bullet"/>
      <w:pStyle w:val="TableListNumberLevel4"/>
      <w:lvlText w:val=""/>
      <w:lvlJc w:val="left"/>
      <w:pPr>
        <w:tabs>
          <w:tab w:val="num" w:pos="1814"/>
        </w:tabs>
        <w:ind w:left="1814" w:hanging="453"/>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6" w15:restartNumberingAfterBreak="0">
    <w:nsid w:val="1262685D"/>
    <w:multiLevelType w:val="multilevel"/>
    <w:tmpl w:val="82B6269E"/>
    <w:name w:val="ListBullet4Numbering"/>
    <w:lvl w:ilvl="0">
      <w:start w:val="1"/>
      <w:numFmt w:val="bullet"/>
      <w:pStyle w:val="ListBullet4"/>
      <w:lvlText w:val=""/>
      <w:lvlJc w:val="left"/>
      <w:pPr>
        <w:tabs>
          <w:tab w:val="num" w:pos="1485"/>
        </w:tabs>
        <w:ind w:left="1485" w:hanging="283"/>
      </w:pPr>
      <w:rPr>
        <w:rFonts w:ascii="Symbol" w:hAnsi="Symbol"/>
      </w:rPr>
    </w:lvl>
    <w:lvl w:ilvl="1">
      <w:start w:val="1"/>
      <w:numFmt w:val="bullet"/>
      <w:pStyle w:val="ListBullet4Level2"/>
      <w:lvlText w:val=""/>
      <w:lvlJc w:val="left"/>
      <w:pPr>
        <w:tabs>
          <w:tab w:val="num" w:pos="1769"/>
        </w:tabs>
        <w:ind w:left="1769" w:hanging="284"/>
      </w:pPr>
      <w:rPr>
        <w:rFonts w:ascii="Symbol" w:hAnsi="Symbol"/>
      </w:rPr>
    </w:lvl>
    <w:lvl w:ilvl="2">
      <w:start w:val="1"/>
      <w:numFmt w:val="bullet"/>
      <w:pStyle w:val="ListBullet4Level3"/>
      <w:lvlText w:val=""/>
      <w:lvlJc w:val="left"/>
      <w:pPr>
        <w:tabs>
          <w:tab w:val="num" w:pos="2052"/>
        </w:tabs>
        <w:ind w:left="2052" w:hanging="283"/>
      </w:pPr>
      <w:rPr>
        <w:rFonts w:ascii="Symbol" w:hAnsi="Symbol"/>
      </w:rPr>
    </w:lvl>
    <w:lvl w:ilvl="3">
      <w:start w:val="1"/>
      <w:numFmt w:val="bullet"/>
      <w:pStyle w:val="ListBullet4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7" w15:restartNumberingAfterBreak="0">
    <w:nsid w:val="143D0A16"/>
    <w:multiLevelType w:val="multilevel"/>
    <w:tmpl w:val="66DA1326"/>
    <w:name w:val="ListBullet3Numbering"/>
    <w:lvl w:ilvl="0">
      <w:start w:val="1"/>
      <w:numFmt w:val="bullet"/>
      <w:pStyle w:val="ListBullet3"/>
      <w:lvlText w:val=""/>
      <w:lvlJc w:val="left"/>
      <w:pPr>
        <w:tabs>
          <w:tab w:val="num" w:pos="1485"/>
        </w:tabs>
        <w:ind w:left="1485" w:hanging="283"/>
      </w:pPr>
      <w:rPr>
        <w:rFonts w:ascii="Symbol" w:hAnsi="Symbol"/>
      </w:rPr>
    </w:lvl>
    <w:lvl w:ilvl="1">
      <w:start w:val="1"/>
      <w:numFmt w:val="bullet"/>
      <w:pStyle w:val="ListBullet3Level2"/>
      <w:lvlText w:val=""/>
      <w:lvlJc w:val="left"/>
      <w:pPr>
        <w:tabs>
          <w:tab w:val="num" w:pos="1769"/>
        </w:tabs>
        <w:ind w:left="1769" w:hanging="284"/>
      </w:pPr>
      <w:rPr>
        <w:rFonts w:ascii="Symbol" w:hAnsi="Symbol"/>
      </w:rPr>
    </w:lvl>
    <w:lvl w:ilvl="2">
      <w:start w:val="1"/>
      <w:numFmt w:val="bullet"/>
      <w:pStyle w:val="ListBullet3Level3"/>
      <w:lvlText w:val=""/>
      <w:lvlJc w:val="left"/>
      <w:pPr>
        <w:tabs>
          <w:tab w:val="num" w:pos="2052"/>
        </w:tabs>
        <w:ind w:left="2052" w:hanging="283"/>
      </w:pPr>
      <w:rPr>
        <w:rFonts w:ascii="Symbol" w:hAnsi="Symbol"/>
      </w:rPr>
    </w:lvl>
    <w:lvl w:ilvl="3">
      <w:start w:val="1"/>
      <w:numFmt w:val="bullet"/>
      <w:pStyle w:val="ListBullet3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8" w15:restartNumberingAfterBreak="0">
    <w:nsid w:val="172F0AC5"/>
    <w:multiLevelType w:val="multilevel"/>
    <w:tmpl w:val="A9C8CCF4"/>
    <w:name w:val="ListNumber2Numbering"/>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9" w15:restartNumberingAfterBreak="0">
    <w:nsid w:val="1C7B624F"/>
    <w:multiLevelType w:val="multilevel"/>
    <w:tmpl w:val="F028CF64"/>
    <w:name w:val="ListDash2Numbering"/>
    <w:lvl w:ilvl="0">
      <w:start w:val="1"/>
      <w:numFmt w:val="bullet"/>
      <w:lvlText w:val="–"/>
      <w:lvlJc w:val="left"/>
      <w:pPr>
        <w:tabs>
          <w:tab w:val="num" w:pos="283"/>
        </w:tabs>
        <w:ind w:left="283" w:hanging="283"/>
      </w:pPr>
      <w:rPr>
        <w:rFonts w:ascii="Times New Roman" w:hAnsi="Times New Roman"/>
      </w:rPr>
    </w:lvl>
    <w:lvl w:ilvl="1">
      <w:start w:val="1"/>
      <w:numFmt w:val="bullet"/>
      <w:lvlText w:val="–"/>
      <w:lvlJc w:val="left"/>
      <w:pPr>
        <w:tabs>
          <w:tab w:val="num" w:pos="567"/>
        </w:tabs>
        <w:ind w:left="567" w:hanging="284"/>
      </w:pPr>
      <w:rPr>
        <w:rFonts w:ascii="Times New Roman" w:hAnsi="Times New Roman"/>
      </w:rPr>
    </w:lvl>
    <w:lvl w:ilvl="2">
      <w:start w:val="1"/>
      <w:numFmt w:val="bullet"/>
      <w:lvlText w:val="–"/>
      <w:lvlJc w:val="left"/>
      <w:pPr>
        <w:tabs>
          <w:tab w:val="num" w:pos="850"/>
        </w:tabs>
        <w:ind w:left="850" w:hanging="283"/>
      </w:pPr>
      <w:rPr>
        <w:rFonts w:ascii="Times New Roman" w:hAnsi="Times New Roman"/>
      </w:rPr>
    </w:lvl>
    <w:lvl w:ilvl="3">
      <w:start w:val="1"/>
      <w:numFmt w:val="bullet"/>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0" w15:restartNumberingAfterBreak="0">
    <w:nsid w:val="23BD3D0C"/>
    <w:multiLevelType w:val="hybridMultilevel"/>
    <w:tmpl w:val="4A3689A6"/>
    <w:lvl w:ilvl="0" w:tplc="78F6E63C">
      <w:numFmt w:val="bullet"/>
      <w:lvlText w:val="-"/>
      <w:lvlJc w:val="left"/>
      <w:pPr>
        <w:ind w:left="842" w:hanging="360"/>
      </w:pPr>
      <w:rPr>
        <w:rFonts w:ascii="Times New Roman" w:eastAsia="Times New Roman" w:hAnsi="Times New Roman" w:cs="Times New Roman" w:hint="default"/>
      </w:rPr>
    </w:lvl>
    <w:lvl w:ilvl="1" w:tplc="18090003" w:tentative="1">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11" w15:restartNumberingAfterBreak="0">
    <w:nsid w:val="25F30C68"/>
    <w:multiLevelType w:val="hybridMultilevel"/>
    <w:tmpl w:val="E4844846"/>
    <w:lvl w:ilvl="0" w:tplc="77F22160">
      <w:numFmt w:val="bullet"/>
      <w:lvlText w:val="-"/>
      <w:lvlJc w:val="left"/>
      <w:pPr>
        <w:ind w:left="842" w:hanging="360"/>
      </w:pPr>
      <w:rPr>
        <w:rFonts w:ascii="Times New Roman" w:eastAsia="Times New Roman" w:hAnsi="Times New Roman" w:cs="Times New Roman" w:hint="default"/>
      </w:rPr>
    </w:lvl>
    <w:lvl w:ilvl="1" w:tplc="18090003">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12" w15:restartNumberingAfterBreak="0">
    <w:nsid w:val="2C8DFDF8"/>
    <w:multiLevelType w:val="multilevel"/>
    <w:tmpl w:val="2F08CEB4"/>
    <w:name w:val="ListBullet2Numbering"/>
    <w:lvl w:ilvl="0">
      <w:start w:val="1"/>
      <w:numFmt w:val="bullet"/>
      <w:pStyle w:val="ListBullet2"/>
      <w:lvlText w:val=""/>
      <w:lvlJc w:val="left"/>
      <w:pPr>
        <w:tabs>
          <w:tab w:val="num" w:pos="1485"/>
        </w:tabs>
        <w:ind w:left="1485" w:hanging="283"/>
      </w:pPr>
      <w:rPr>
        <w:rFonts w:ascii="Symbol" w:hAnsi="Symbol"/>
      </w:rPr>
    </w:lvl>
    <w:lvl w:ilvl="1">
      <w:start w:val="1"/>
      <w:numFmt w:val="bullet"/>
      <w:pStyle w:val="ListBullet2Level2"/>
      <w:lvlText w:val=""/>
      <w:lvlJc w:val="left"/>
      <w:pPr>
        <w:tabs>
          <w:tab w:val="num" w:pos="1769"/>
        </w:tabs>
        <w:ind w:left="1769" w:hanging="284"/>
      </w:pPr>
      <w:rPr>
        <w:rFonts w:ascii="Symbol" w:hAnsi="Symbol"/>
      </w:rPr>
    </w:lvl>
    <w:lvl w:ilvl="2">
      <w:start w:val="1"/>
      <w:numFmt w:val="bullet"/>
      <w:pStyle w:val="ListBullet2Level3"/>
      <w:lvlText w:val=""/>
      <w:lvlJc w:val="left"/>
      <w:pPr>
        <w:tabs>
          <w:tab w:val="num" w:pos="2052"/>
        </w:tabs>
        <w:ind w:left="2052" w:hanging="283"/>
      </w:pPr>
      <w:rPr>
        <w:rFonts w:ascii="Symbol" w:hAnsi="Symbol"/>
      </w:rPr>
    </w:lvl>
    <w:lvl w:ilvl="3">
      <w:start w:val="1"/>
      <w:numFmt w:val="bullet"/>
      <w:pStyle w:val="ListBullet2Level4"/>
      <w:lvlText w:val=""/>
      <w:lvlJc w:val="left"/>
      <w:pPr>
        <w:tabs>
          <w:tab w:val="num" w:pos="2336"/>
        </w:tabs>
        <w:ind w:left="233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3" w15:restartNumberingAfterBreak="0">
    <w:nsid w:val="2D293CE3"/>
    <w:multiLevelType w:val="multilevel"/>
    <w:tmpl w:val="36ACE992"/>
    <w:name w:val="LegalNumParNumbering"/>
    <w:lvl w:ilvl="0">
      <w:start w:val="1"/>
      <w:numFmt w:val="decimal"/>
      <w:pStyle w:val="LegalNumPar"/>
      <w:lvlText w:val="%1."/>
      <w:lvlJc w:val="left"/>
      <w:pPr>
        <w:tabs>
          <w:tab w:val="num" w:pos="476"/>
        </w:tabs>
        <w:ind w:left="476" w:hanging="476"/>
      </w:pPr>
      <w:rPr>
        <w:rFonts w:hint="default"/>
      </w:rPr>
    </w:lvl>
    <w:lvl w:ilvl="1">
      <w:start w:val="1"/>
      <w:numFmt w:val="lowerLetter"/>
      <w:pStyle w:val="LegalNumPar2"/>
      <w:lvlText w:val="%2."/>
      <w:lvlJc w:val="left"/>
      <w:pPr>
        <w:tabs>
          <w:tab w:val="num" w:pos="952"/>
        </w:tabs>
        <w:ind w:left="952" w:hanging="476"/>
      </w:pPr>
      <w:rPr>
        <w:rFonts w:hint="default"/>
      </w:rPr>
    </w:lvl>
    <w:lvl w:ilvl="2">
      <w:start w:val="1"/>
      <w:numFmt w:val="lowerRoman"/>
      <w:pStyle w:val="LegalNumPar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4" w15:restartNumberingAfterBreak="0">
    <w:nsid w:val="2D293CF4"/>
    <w:multiLevelType w:val="multilevel"/>
    <w:tmpl w:val="6100CDB2"/>
    <w:name w:val="ContNumNumbering"/>
    <w:lvl w:ilvl="0">
      <w:start w:val="1"/>
      <w:numFmt w:val="decimal"/>
      <w:pStyle w:val="ContNum"/>
      <w:lvlText w:val="%1."/>
      <w:lvlJc w:val="left"/>
      <w:pPr>
        <w:tabs>
          <w:tab w:val="num" w:pos="476"/>
        </w:tabs>
        <w:ind w:left="476" w:hanging="476"/>
      </w:pPr>
      <w:rPr>
        <w:rFonts w:hint="default"/>
      </w:rPr>
    </w:lvl>
    <w:lvl w:ilvl="1">
      <w:start w:val="1"/>
      <w:numFmt w:val="lowerLetter"/>
      <w:pStyle w:val="ContNumLevel2"/>
      <w:lvlText w:val="%2."/>
      <w:lvlJc w:val="left"/>
      <w:pPr>
        <w:tabs>
          <w:tab w:val="num" w:pos="952"/>
        </w:tabs>
        <w:ind w:left="952" w:hanging="476"/>
      </w:pPr>
      <w:rPr>
        <w:rFonts w:hint="default"/>
      </w:rPr>
    </w:lvl>
    <w:lvl w:ilvl="2">
      <w:start w:val="1"/>
      <w:numFmt w:val="lowerRoman"/>
      <w:pStyle w:val="ContNumLevel3"/>
      <w:lvlText w:val="%3."/>
      <w:lvlJc w:val="left"/>
      <w:pPr>
        <w:tabs>
          <w:tab w:val="num" w:pos="1429"/>
        </w:tabs>
        <w:ind w:left="1429" w:hanging="477"/>
      </w:pPr>
      <w:rPr>
        <w:rFonts w:hint="default"/>
      </w:rPr>
    </w:lvl>
    <w:lvl w:ilvl="3">
      <w:numFmt w:val="none"/>
      <w:lvlText w:val=""/>
      <w:lvlJc w:val="left"/>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5" w15:restartNumberingAfterBreak="0">
    <w:nsid w:val="2EA361E3"/>
    <w:multiLevelType w:val="hybridMultilevel"/>
    <w:tmpl w:val="C372A5C2"/>
    <w:lvl w:ilvl="0" w:tplc="D5C81AE2">
      <w:numFmt w:val="bullet"/>
      <w:lvlText w:val="-"/>
      <w:lvlJc w:val="left"/>
      <w:pPr>
        <w:ind w:left="842" w:hanging="360"/>
      </w:pPr>
      <w:rPr>
        <w:rFonts w:ascii="Times New Roman" w:eastAsia="Times New Roman" w:hAnsi="Times New Roman" w:cs="Times New Roman" w:hint="default"/>
      </w:rPr>
    </w:lvl>
    <w:lvl w:ilvl="1" w:tplc="18090003" w:tentative="1">
      <w:start w:val="1"/>
      <w:numFmt w:val="bullet"/>
      <w:lvlText w:val="o"/>
      <w:lvlJc w:val="left"/>
      <w:pPr>
        <w:ind w:left="1562" w:hanging="360"/>
      </w:pPr>
      <w:rPr>
        <w:rFonts w:ascii="Courier New" w:hAnsi="Courier New" w:cs="Courier New" w:hint="default"/>
      </w:rPr>
    </w:lvl>
    <w:lvl w:ilvl="2" w:tplc="18090005" w:tentative="1">
      <w:start w:val="1"/>
      <w:numFmt w:val="bullet"/>
      <w:lvlText w:val=""/>
      <w:lvlJc w:val="left"/>
      <w:pPr>
        <w:ind w:left="2282" w:hanging="360"/>
      </w:pPr>
      <w:rPr>
        <w:rFonts w:ascii="Wingdings" w:hAnsi="Wingdings" w:hint="default"/>
      </w:rPr>
    </w:lvl>
    <w:lvl w:ilvl="3" w:tplc="18090001" w:tentative="1">
      <w:start w:val="1"/>
      <w:numFmt w:val="bullet"/>
      <w:lvlText w:val=""/>
      <w:lvlJc w:val="left"/>
      <w:pPr>
        <w:ind w:left="3002" w:hanging="360"/>
      </w:pPr>
      <w:rPr>
        <w:rFonts w:ascii="Symbol" w:hAnsi="Symbol" w:hint="default"/>
      </w:rPr>
    </w:lvl>
    <w:lvl w:ilvl="4" w:tplc="18090003" w:tentative="1">
      <w:start w:val="1"/>
      <w:numFmt w:val="bullet"/>
      <w:lvlText w:val="o"/>
      <w:lvlJc w:val="left"/>
      <w:pPr>
        <w:ind w:left="3722" w:hanging="360"/>
      </w:pPr>
      <w:rPr>
        <w:rFonts w:ascii="Courier New" w:hAnsi="Courier New" w:cs="Courier New" w:hint="default"/>
      </w:rPr>
    </w:lvl>
    <w:lvl w:ilvl="5" w:tplc="18090005" w:tentative="1">
      <w:start w:val="1"/>
      <w:numFmt w:val="bullet"/>
      <w:lvlText w:val=""/>
      <w:lvlJc w:val="left"/>
      <w:pPr>
        <w:ind w:left="4442" w:hanging="360"/>
      </w:pPr>
      <w:rPr>
        <w:rFonts w:ascii="Wingdings" w:hAnsi="Wingdings" w:hint="default"/>
      </w:rPr>
    </w:lvl>
    <w:lvl w:ilvl="6" w:tplc="18090001" w:tentative="1">
      <w:start w:val="1"/>
      <w:numFmt w:val="bullet"/>
      <w:lvlText w:val=""/>
      <w:lvlJc w:val="left"/>
      <w:pPr>
        <w:ind w:left="5162" w:hanging="360"/>
      </w:pPr>
      <w:rPr>
        <w:rFonts w:ascii="Symbol" w:hAnsi="Symbol" w:hint="default"/>
      </w:rPr>
    </w:lvl>
    <w:lvl w:ilvl="7" w:tplc="18090003" w:tentative="1">
      <w:start w:val="1"/>
      <w:numFmt w:val="bullet"/>
      <w:lvlText w:val="o"/>
      <w:lvlJc w:val="left"/>
      <w:pPr>
        <w:ind w:left="5882" w:hanging="360"/>
      </w:pPr>
      <w:rPr>
        <w:rFonts w:ascii="Courier New" w:hAnsi="Courier New" w:cs="Courier New" w:hint="default"/>
      </w:rPr>
    </w:lvl>
    <w:lvl w:ilvl="8" w:tplc="18090005" w:tentative="1">
      <w:start w:val="1"/>
      <w:numFmt w:val="bullet"/>
      <w:lvlText w:val=""/>
      <w:lvlJc w:val="left"/>
      <w:pPr>
        <w:ind w:left="6602" w:hanging="360"/>
      </w:pPr>
      <w:rPr>
        <w:rFonts w:ascii="Wingdings" w:hAnsi="Wingdings" w:hint="default"/>
      </w:rPr>
    </w:lvl>
  </w:abstractNum>
  <w:abstractNum w:abstractNumId="16" w15:restartNumberingAfterBreak="0">
    <w:nsid w:val="301F5624"/>
    <w:multiLevelType w:val="hybridMultilevel"/>
    <w:tmpl w:val="990AB954"/>
    <w:name w:val="ListNumber1Numbering22"/>
    <w:lvl w:ilvl="0" w:tplc="18090001">
      <w:start w:val="1"/>
      <w:numFmt w:val="bullet"/>
      <w:lvlText w:val=""/>
      <w:lvlJc w:val="left"/>
      <w:pPr>
        <w:ind w:left="1202" w:hanging="360"/>
      </w:pPr>
      <w:rPr>
        <w:rFonts w:ascii="Symbol" w:hAnsi="Symbol"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17" w15:restartNumberingAfterBreak="0">
    <w:nsid w:val="36324F1E"/>
    <w:multiLevelType w:val="multilevel"/>
    <w:tmpl w:val="16786FFC"/>
    <w:name w:val="ListDash3Numbering"/>
    <w:lvl w:ilvl="0">
      <w:start w:val="1"/>
      <w:numFmt w:val="bullet"/>
      <w:pStyle w:val="ListDash3"/>
      <w:lvlText w:val="–"/>
      <w:lvlJc w:val="left"/>
      <w:pPr>
        <w:tabs>
          <w:tab w:val="num" w:pos="1485"/>
        </w:tabs>
        <w:ind w:left="1485" w:hanging="283"/>
      </w:pPr>
      <w:rPr>
        <w:rFonts w:ascii="Times New Roman" w:hAnsi="Times New Roman"/>
      </w:rPr>
    </w:lvl>
    <w:lvl w:ilvl="1">
      <w:start w:val="1"/>
      <w:numFmt w:val="bullet"/>
      <w:pStyle w:val="ListDash3Level2"/>
      <w:lvlText w:val="–"/>
      <w:lvlJc w:val="left"/>
      <w:pPr>
        <w:tabs>
          <w:tab w:val="num" w:pos="1769"/>
        </w:tabs>
        <w:ind w:left="1769" w:hanging="284"/>
      </w:pPr>
      <w:rPr>
        <w:rFonts w:ascii="Times New Roman" w:hAnsi="Times New Roman"/>
      </w:rPr>
    </w:lvl>
    <w:lvl w:ilvl="2">
      <w:start w:val="1"/>
      <w:numFmt w:val="bullet"/>
      <w:pStyle w:val="ListDash3Level3"/>
      <w:lvlText w:val="–"/>
      <w:lvlJc w:val="left"/>
      <w:pPr>
        <w:tabs>
          <w:tab w:val="num" w:pos="2052"/>
        </w:tabs>
        <w:ind w:left="2052" w:hanging="283"/>
      </w:pPr>
      <w:rPr>
        <w:rFonts w:ascii="Times New Roman" w:hAnsi="Times New Roman"/>
      </w:rPr>
    </w:lvl>
    <w:lvl w:ilvl="3">
      <w:start w:val="1"/>
      <w:numFmt w:val="bullet"/>
      <w:pStyle w:val="ListDash3Level4"/>
      <w:lvlText w:val="–"/>
      <w:lvlJc w:val="left"/>
      <w:pPr>
        <w:tabs>
          <w:tab w:val="num" w:pos="2336"/>
        </w:tabs>
        <w:ind w:left="233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8" w15:restartNumberingAfterBreak="0">
    <w:nsid w:val="37CB1E1C"/>
    <w:multiLevelType w:val="multilevel"/>
    <w:tmpl w:val="452C3C76"/>
    <w:name w:val="ListDash1Numbering"/>
    <w:lvl w:ilvl="0">
      <w:start w:val="1"/>
      <w:numFmt w:val="bullet"/>
      <w:pStyle w:val="ListDash1"/>
      <w:lvlText w:val="–"/>
      <w:lvlJc w:val="left"/>
      <w:pPr>
        <w:tabs>
          <w:tab w:val="num" w:pos="765"/>
        </w:tabs>
        <w:ind w:left="765" w:hanging="283"/>
      </w:pPr>
      <w:rPr>
        <w:rFonts w:ascii="Times New Roman" w:hAnsi="Times New Roman"/>
      </w:rPr>
    </w:lvl>
    <w:lvl w:ilvl="1">
      <w:start w:val="1"/>
      <w:numFmt w:val="bullet"/>
      <w:pStyle w:val="ListDash1Level2"/>
      <w:lvlText w:val="–"/>
      <w:lvlJc w:val="left"/>
      <w:pPr>
        <w:tabs>
          <w:tab w:val="num" w:pos="1049"/>
        </w:tabs>
        <w:ind w:left="1049" w:hanging="284"/>
      </w:pPr>
      <w:rPr>
        <w:rFonts w:ascii="Times New Roman" w:hAnsi="Times New Roman"/>
      </w:rPr>
    </w:lvl>
    <w:lvl w:ilvl="2">
      <w:start w:val="1"/>
      <w:numFmt w:val="bullet"/>
      <w:pStyle w:val="ListDash1Level3"/>
      <w:lvlText w:val="–"/>
      <w:lvlJc w:val="left"/>
      <w:pPr>
        <w:tabs>
          <w:tab w:val="num" w:pos="1332"/>
        </w:tabs>
        <w:ind w:left="1332" w:hanging="283"/>
      </w:pPr>
      <w:rPr>
        <w:rFonts w:ascii="Times New Roman" w:hAnsi="Times New Roman"/>
      </w:rPr>
    </w:lvl>
    <w:lvl w:ilvl="3">
      <w:start w:val="1"/>
      <w:numFmt w:val="bullet"/>
      <w:pStyle w:val="ListDash1Level4"/>
      <w:lvlText w:val="–"/>
      <w:lvlJc w:val="left"/>
      <w:pPr>
        <w:tabs>
          <w:tab w:val="num" w:pos="1616"/>
        </w:tabs>
        <w:ind w:left="1616"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19" w15:restartNumberingAfterBreak="0">
    <w:nsid w:val="39F51DF5"/>
    <w:multiLevelType w:val="multilevel"/>
    <w:tmpl w:val="F028CF64"/>
    <w:name w:val="ListDash2Numbering"/>
    <w:lvl w:ilvl="0">
      <w:start w:val="1"/>
      <w:numFmt w:val="bullet"/>
      <w:pStyle w:val="ListDash2"/>
      <w:lvlText w:val="–"/>
      <w:lvlJc w:val="left"/>
      <w:pPr>
        <w:tabs>
          <w:tab w:val="num" w:pos="283"/>
        </w:tabs>
        <w:ind w:left="283" w:hanging="283"/>
      </w:pPr>
      <w:rPr>
        <w:rFonts w:ascii="Times New Roman" w:hAnsi="Times New Roman"/>
      </w:rPr>
    </w:lvl>
    <w:lvl w:ilvl="1">
      <w:start w:val="1"/>
      <w:numFmt w:val="bullet"/>
      <w:pStyle w:val="ListDash2Level2"/>
      <w:lvlText w:val="–"/>
      <w:lvlJc w:val="left"/>
      <w:pPr>
        <w:tabs>
          <w:tab w:val="num" w:pos="567"/>
        </w:tabs>
        <w:ind w:left="567" w:hanging="284"/>
      </w:pPr>
      <w:rPr>
        <w:rFonts w:ascii="Times New Roman" w:hAnsi="Times New Roman"/>
      </w:rPr>
    </w:lvl>
    <w:lvl w:ilvl="2">
      <w:start w:val="1"/>
      <w:numFmt w:val="bullet"/>
      <w:pStyle w:val="ListDash2Level3"/>
      <w:lvlText w:val="–"/>
      <w:lvlJc w:val="left"/>
      <w:pPr>
        <w:tabs>
          <w:tab w:val="num" w:pos="850"/>
        </w:tabs>
        <w:ind w:left="850" w:hanging="283"/>
      </w:pPr>
      <w:rPr>
        <w:rFonts w:ascii="Times New Roman" w:hAnsi="Times New Roman"/>
      </w:rPr>
    </w:lvl>
    <w:lvl w:ilvl="3">
      <w:start w:val="1"/>
      <w:numFmt w:val="bullet"/>
      <w:pStyle w:val="ListDash2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0" w15:restartNumberingAfterBreak="0">
    <w:nsid w:val="3A7730C4"/>
    <w:multiLevelType w:val="multilevel"/>
    <w:tmpl w:val="E5A0E6D4"/>
    <w:name w:val="ListBullet1Numbering"/>
    <w:lvl w:ilvl="0">
      <w:start w:val="1"/>
      <w:numFmt w:val="bullet"/>
      <w:pStyle w:val="ListBullet1"/>
      <w:lvlText w:val=""/>
      <w:lvlJc w:val="left"/>
      <w:pPr>
        <w:tabs>
          <w:tab w:val="num" w:pos="765"/>
        </w:tabs>
        <w:ind w:left="765" w:hanging="283"/>
      </w:pPr>
      <w:rPr>
        <w:rFonts w:ascii="Symbol" w:hAnsi="Symbol"/>
      </w:rPr>
    </w:lvl>
    <w:lvl w:ilvl="1">
      <w:start w:val="1"/>
      <w:numFmt w:val="bullet"/>
      <w:pStyle w:val="ListBullet1Level2"/>
      <w:lvlText w:val=""/>
      <w:lvlJc w:val="left"/>
      <w:pPr>
        <w:tabs>
          <w:tab w:val="num" w:pos="1049"/>
        </w:tabs>
        <w:ind w:left="1049" w:hanging="284"/>
      </w:pPr>
      <w:rPr>
        <w:rFonts w:ascii="Symbol" w:hAnsi="Symbol"/>
      </w:rPr>
    </w:lvl>
    <w:lvl w:ilvl="2">
      <w:start w:val="1"/>
      <w:numFmt w:val="bullet"/>
      <w:pStyle w:val="ListBullet1Level3"/>
      <w:lvlText w:val=""/>
      <w:lvlJc w:val="left"/>
      <w:pPr>
        <w:tabs>
          <w:tab w:val="num" w:pos="1332"/>
        </w:tabs>
        <w:ind w:left="1332" w:hanging="283"/>
      </w:pPr>
      <w:rPr>
        <w:rFonts w:ascii="Symbol" w:hAnsi="Symbol"/>
      </w:rPr>
    </w:lvl>
    <w:lvl w:ilvl="3">
      <w:start w:val="1"/>
      <w:numFmt w:val="bullet"/>
      <w:pStyle w:val="ListBullet1Level4"/>
      <w:lvlText w:val=""/>
      <w:lvlJc w:val="left"/>
      <w:pPr>
        <w:tabs>
          <w:tab w:val="num" w:pos="1616"/>
        </w:tabs>
        <w:ind w:left="1616"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1" w15:restartNumberingAfterBreak="0">
    <w:nsid w:val="429E662A"/>
    <w:multiLevelType w:val="multilevel"/>
    <w:tmpl w:val="0FA0CB08"/>
    <w:name w:val="ListNumber1Numbering"/>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2" w15:restartNumberingAfterBreak="0">
    <w:nsid w:val="4E1A63DF"/>
    <w:multiLevelType w:val="multilevel"/>
    <w:tmpl w:val="F0B4E75C"/>
    <w:name w:val="TableListBulletNumbering"/>
    <w:lvl w:ilvl="0">
      <w:start w:val="1"/>
      <w:numFmt w:val="bullet"/>
      <w:pStyle w:val="TableListBullet"/>
      <w:lvlText w:val=""/>
      <w:lvlJc w:val="left"/>
      <w:pPr>
        <w:tabs>
          <w:tab w:val="num" w:pos="283"/>
        </w:tabs>
        <w:ind w:left="283" w:hanging="283"/>
      </w:pPr>
      <w:rPr>
        <w:rFonts w:ascii="Symbol" w:hAnsi="Symbol"/>
      </w:rPr>
    </w:lvl>
    <w:lvl w:ilvl="1">
      <w:start w:val="1"/>
      <w:numFmt w:val="bullet"/>
      <w:pStyle w:val="TableListBulletLevel2"/>
      <w:lvlText w:val=""/>
      <w:lvlJc w:val="left"/>
      <w:pPr>
        <w:tabs>
          <w:tab w:val="num" w:pos="567"/>
        </w:tabs>
        <w:ind w:left="567" w:hanging="284"/>
      </w:pPr>
      <w:rPr>
        <w:rFonts w:ascii="Symbol" w:hAnsi="Symbol"/>
      </w:rPr>
    </w:lvl>
    <w:lvl w:ilvl="2">
      <w:start w:val="1"/>
      <w:numFmt w:val="bullet"/>
      <w:pStyle w:val="TableListBulletLevel3"/>
      <w:lvlText w:val=""/>
      <w:lvlJc w:val="left"/>
      <w:pPr>
        <w:tabs>
          <w:tab w:val="num" w:pos="850"/>
        </w:tabs>
        <w:ind w:left="850" w:hanging="283"/>
      </w:pPr>
      <w:rPr>
        <w:rFonts w:ascii="Symbol" w:hAnsi="Symbol"/>
      </w:rPr>
    </w:lvl>
    <w:lvl w:ilvl="3">
      <w:start w:val="1"/>
      <w:numFmt w:val="bullet"/>
      <w:pStyle w:val="Table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3" w15:restartNumberingAfterBreak="0">
    <w:nsid w:val="4E1A982C"/>
    <w:multiLevelType w:val="multilevel"/>
    <w:tmpl w:val="53601896"/>
    <w:name w:val="ListBulletNumbering"/>
    <w:lvl w:ilvl="0">
      <w:start w:val="1"/>
      <w:numFmt w:val="bullet"/>
      <w:pStyle w:val="ListBullet"/>
      <w:lvlText w:val=""/>
      <w:lvlJc w:val="left"/>
      <w:pPr>
        <w:tabs>
          <w:tab w:val="num" w:pos="283"/>
        </w:tabs>
        <w:ind w:left="283" w:hanging="283"/>
      </w:pPr>
      <w:rPr>
        <w:rFonts w:ascii="Symbol" w:hAnsi="Symbol"/>
      </w:rPr>
    </w:lvl>
    <w:lvl w:ilvl="1">
      <w:start w:val="1"/>
      <w:numFmt w:val="bullet"/>
      <w:pStyle w:val="ListBulletLevel2"/>
      <w:lvlText w:val=""/>
      <w:lvlJc w:val="left"/>
      <w:pPr>
        <w:tabs>
          <w:tab w:val="num" w:pos="567"/>
        </w:tabs>
        <w:ind w:left="567" w:hanging="284"/>
      </w:pPr>
      <w:rPr>
        <w:rFonts w:ascii="Symbol" w:hAnsi="Symbol"/>
      </w:rPr>
    </w:lvl>
    <w:lvl w:ilvl="2">
      <w:start w:val="1"/>
      <w:numFmt w:val="bullet"/>
      <w:pStyle w:val="ListBulletLevel3"/>
      <w:lvlText w:val=""/>
      <w:lvlJc w:val="left"/>
      <w:pPr>
        <w:tabs>
          <w:tab w:val="num" w:pos="850"/>
        </w:tabs>
        <w:ind w:left="850" w:hanging="283"/>
      </w:pPr>
      <w:rPr>
        <w:rFonts w:ascii="Symbol" w:hAnsi="Symbol"/>
      </w:rPr>
    </w:lvl>
    <w:lvl w:ilvl="3">
      <w:start w:val="1"/>
      <w:numFmt w:val="bullet"/>
      <w:pStyle w:val="ListBulletLevel4"/>
      <w:lvlText w:val=""/>
      <w:lvlJc w:val="left"/>
      <w:pPr>
        <w:tabs>
          <w:tab w:val="num" w:pos="1134"/>
        </w:tabs>
        <w:ind w:left="1134" w:hanging="284"/>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4FF77693"/>
    <w:multiLevelType w:val="hybridMultilevel"/>
    <w:tmpl w:val="D0CCE094"/>
    <w:lvl w:ilvl="0" w:tplc="499A28C2">
      <w:start w:val="1"/>
      <w:numFmt w:val="bullet"/>
      <w:lvlText w:val=""/>
      <w:lvlJc w:val="left"/>
      <w:pPr>
        <w:ind w:left="1440" w:hanging="360"/>
      </w:pPr>
      <w:rPr>
        <w:rFonts w:ascii="Symbol" w:hAnsi="Symbol"/>
      </w:rPr>
    </w:lvl>
    <w:lvl w:ilvl="1" w:tplc="2312D718">
      <w:start w:val="1"/>
      <w:numFmt w:val="bullet"/>
      <w:lvlText w:val=""/>
      <w:lvlJc w:val="left"/>
      <w:pPr>
        <w:ind w:left="2160" w:hanging="360"/>
      </w:pPr>
      <w:rPr>
        <w:rFonts w:ascii="Symbol" w:hAnsi="Symbol"/>
      </w:rPr>
    </w:lvl>
    <w:lvl w:ilvl="2" w:tplc="338CEB16">
      <w:start w:val="1"/>
      <w:numFmt w:val="bullet"/>
      <w:lvlText w:val=""/>
      <w:lvlJc w:val="left"/>
      <w:pPr>
        <w:ind w:left="1440" w:hanging="360"/>
      </w:pPr>
      <w:rPr>
        <w:rFonts w:ascii="Symbol" w:hAnsi="Symbol"/>
      </w:rPr>
    </w:lvl>
    <w:lvl w:ilvl="3" w:tplc="683C2E7C">
      <w:start w:val="1"/>
      <w:numFmt w:val="bullet"/>
      <w:lvlText w:val=""/>
      <w:lvlJc w:val="left"/>
      <w:pPr>
        <w:ind w:left="1440" w:hanging="360"/>
      </w:pPr>
      <w:rPr>
        <w:rFonts w:ascii="Symbol" w:hAnsi="Symbol"/>
      </w:rPr>
    </w:lvl>
    <w:lvl w:ilvl="4" w:tplc="C116E0AA">
      <w:start w:val="1"/>
      <w:numFmt w:val="bullet"/>
      <w:lvlText w:val=""/>
      <w:lvlJc w:val="left"/>
      <w:pPr>
        <w:ind w:left="1440" w:hanging="360"/>
      </w:pPr>
      <w:rPr>
        <w:rFonts w:ascii="Symbol" w:hAnsi="Symbol"/>
      </w:rPr>
    </w:lvl>
    <w:lvl w:ilvl="5" w:tplc="9396473A">
      <w:start w:val="1"/>
      <w:numFmt w:val="bullet"/>
      <w:lvlText w:val=""/>
      <w:lvlJc w:val="left"/>
      <w:pPr>
        <w:ind w:left="1440" w:hanging="360"/>
      </w:pPr>
      <w:rPr>
        <w:rFonts w:ascii="Symbol" w:hAnsi="Symbol"/>
      </w:rPr>
    </w:lvl>
    <w:lvl w:ilvl="6" w:tplc="D1902B80">
      <w:start w:val="1"/>
      <w:numFmt w:val="bullet"/>
      <w:lvlText w:val=""/>
      <w:lvlJc w:val="left"/>
      <w:pPr>
        <w:ind w:left="1440" w:hanging="360"/>
      </w:pPr>
      <w:rPr>
        <w:rFonts w:ascii="Symbol" w:hAnsi="Symbol"/>
      </w:rPr>
    </w:lvl>
    <w:lvl w:ilvl="7" w:tplc="2FE264C0">
      <w:start w:val="1"/>
      <w:numFmt w:val="bullet"/>
      <w:lvlText w:val=""/>
      <w:lvlJc w:val="left"/>
      <w:pPr>
        <w:ind w:left="1440" w:hanging="360"/>
      </w:pPr>
      <w:rPr>
        <w:rFonts w:ascii="Symbol" w:hAnsi="Symbol"/>
      </w:rPr>
    </w:lvl>
    <w:lvl w:ilvl="8" w:tplc="82A096AE">
      <w:start w:val="1"/>
      <w:numFmt w:val="bullet"/>
      <w:lvlText w:val=""/>
      <w:lvlJc w:val="left"/>
      <w:pPr>
        <w:ind w:left="1440" w:hanging="360"/>
      </w:pPr>
      <w:rPr>
        <w:rFonts w:ascii="Symbol" w:hAnsi="Symbol"/>
      </w:rPr>
    </w:lvl>
  </w:abstractNum>
  <w:abstractNum w:abstractNumId="25" w15:restartNumberingAfterBreak="0">
    <w:nsid w:val="5072619B"/>
    <w:multiLevelType w:val="multilevel"/>
    <w:tmpl w:val="29EA4072"/>
    <w:name w:val="ListDashNumbering"/>
    <w:lvl w:ilvl="0">
      <w:start w:val="1"/>
      <w:numFmt w:val="bullet"/>
      <w:pStyle w:val="ListDash"/>
      <w:lvlText w:val="–"/>
      <w:lvlJc w:val="left"/>
      <w:pPr>
        <w:tabs>
          <w:tab w:val="num" w:pos="283"/>
        </w:tabs>
        <w:ind w:left="283" w:hanging="283"/>
      </w:pPr>
      <w:rPr>
        <w:rFonts w:ascii="Times New Roman" w:hAnsi="Times New Roman"/>
      </w:rPr>
    </w:lvl>
    <w:lvl w:ilvl="1">
      <w:start w:val="1"/>
      <w:numFmt w:val="bullet"/>
      <w:pStyle w:val="ListDashLevel2"/>
      <w:lvlText w:val="–"/>
      <w:lvlJc w:val="left"/>
      <w:pPr>
        <w:tabs>
          <w:tab w:val="num" w:pos="567"/>
        </w:tabs>
        <w:ind w:left="567" w:hanging="284"/>
      </w:pPr>
      <w:rPr>
        <w:rFonts w:ascii="Times New Roman" w:hAnsi="Times New Roman"/>
      </w:rPr>
    </w:lvl>
    <w:lvl w:ilvl="2">
      <w:start w:val="1"/>
      <w:numFmt w:val="bullet"/>
      <w:pStyle w:val="ListDashLevel3"/>
      <w:lvlText w:val="–"/>
      <w:lvlJc w:val="left"/>
      <w:pPr>
        <w:tabs>
          <w:tab w:val="num" w:pos="850"/>
        </w:tabs>
        <w:ind w:left="850" w:hanging="283"/>
      </w:pPr>
      <w:rPr>
        <w:rFonts w:ascii="Times New Roman" w:hAnsi="Times New Roman"/>
      </w:rPr>
    </w:lvl>
    <w:lvl w:ilvl="3">
      <w:start w:val="1"/>
      <w:numFmt w:val="bullet"/>
      <w:pStyle w:val="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6" w15:restartNumberingAfterBreak="0">
    <w:nsid w:val="50729B52"/>
    <w:multiLevelType w:val="multilevel"/>
    <w:tmpl w:val="881E7C46"/>
    <w:name w:val="TableListDashNumbering"/>
    <w:lvl w:ilvl="0">
      <w:start w:val="1"/>
      <w:numFmt w:val="bullet"/>
      <w:pStyle w:val="TableListDash"/>
      <w:lvlText w:val="–"/>
      <w:lvlJc w:val="left"/>
      <w:pPr>
        <w:tabs>
          <w:tab w:val="num" w:pos="283"/>
        </w:tabs>
        <w:ind w:left="283" w:hanging="283"/>
      </w:pPr>
      <w:rPr>
        <w:rFonts w:ascii="Times New Roman" w:hAnsi="Times New Roman"/>
      </w:rPr>
    </w:lvl>
    <w:lvl w:ilvl="1">
      <w:start w:val="1"/>
      <w:numFmt w:val="bullet"/>
      <w:pStyle w:val="TableListDashLevel2"/>
      <w:lvlText w:val="–"/>
      <w:lvlJc w:val="left"/>
      <w:pPr>
        <w:tabs>
          <w:tab w:val="num" w:pos="567"/>
        </w:tabs>
        <w:ind w:left="567" w:hanging="284"/>
      </w:pPr>
      <w:rPr>
        <w:rFonts w:ascii="Times New Roman" w:hAnsi="Times New Roman"/>
      </w:rPr>
    </w:lvl>
    <w:lvl w:ilvl="2">
      <w:start w:val="1"/>
      <w:numFmt w:val="bullet"/>
      <w:pStyle w:val="TableListDashLevel3"/>
      <w:lvlText w:val="–"/>
      <w:lvlJc w:val="left"/>
      <w:pPr>
        <w:tabs>
          <w:tab w:val="num" w:pos="850"/>
        </w:tabs>
        <w:ind w:left="850" w:hanging="283"/>
      </w:pPr>
      <w:rPr>
        <w:rFonts w:ascii="Times New Roman" w:hAnsi="Times New Roman"/>
      </w:rPr>
    </w:lvl>
    <w:lvl w:ilvl="3">
      <w:start w:val="1"/>
      <w:numFmt w:val="bullet"/>
      <w:pStyle w:val="TableListDashLevel4"/>
      <w:lvlText w:val="–"/>
      <w:lvlJc w:val="left"/>
      <w:pPr>
        <w:tabs>
          <w:tab w:val="num" w:pos="1134"/>
        </w:tabs>
        <w:ind w:left="1134" w:hanging="284"/>
      </w:pPr>
      <w:rPr>
        <w:rFonts w:ascii="Times New Roman" w:hAnsi="Times New Roman"/>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7" w15:restartNumberingAfterBreak="0">
    <w:nsid w:val="53F234E7"/>
    <w:multiLevelType w:val="hybridMultilevel"/>
    <w:tmpl w:val="792C00DA"/>
    <w:lvl w:ilvl="0" w:tplc="04F6B4D8">
      <w:start w:val="1"/>
      <w:numFmt w:val="bullet"/>
      <w:lvlText w:val=""/>
      <w:lvlJc w:val="left"/>
      <w:pPr>
        <w:ind w:left="1202" w:hanging="360"/>
      </w:pPr>
      <w:rPr>
        <w:rFonts w:ascii="Symbol" w:hAnsi="Symbol" w:hint="default"/>
        <w:lang w:val="en-IE"/>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28" w15:restartNumberingAfterBreak="0">
    <w:nsid w:val="55515C73"/>
    <w:multiLevelType w:val="hybridMultilevel"/>
    <w:tmpl w:val="D260657A"/>
    <w:lvl w:ilvl="0" w:tplc="4E5A3068">
      <w:start w:val="1"/>
      <w:numFmt w:val="bullet"/>
      <w:lvlText w:val=""/>
      <w:lvlJc w:val="left"/>
      <w:pPr>
        <w:ind w:left="1020" w:hanging="360"/>
      </w:pPr>
      <w:rPr>
        <w:rFonts w:ascii="Symbol" w:hAnsi="Symbol"/>
      </w:rPr>
    </w:lvl>
    <w:lvl w:ilvl="1" w:tplc="4F8C1D70">
      <w:start w:val="1"/>
      <w:numFmt w:val="bullet"/>
      <w:lvlText w:val=""/>
      <w:lvlJc w:val="left"/>
      <w:pPr>
        <w:ind w:left="1020" w:hanging="360"/>
      </w:pPr>
      <w:rPr>
        <w:rFonts w:ascii="Symbol" w:hAnsi="Symbol"/>
      </w:rPr>
    </w:lvl>
    <w:lvl w:ilvl="2" w:tplc="AD5AC4F8">
      <w:start w:val="1"/>
      <w:numFmt w:val="bullet"/>
      <w:lvlText w:val=""/>
      <w:lvlJc w:val="left"/>
      <w:pPr>
        <w:ind w:left="1020" w:hanging="360"/>
      </w:pPr>
      <w:rPr>
        <w:rFonts w:ascii="Symbol" w:hAnsi="Symbol"/>
      </w:rPr>
    </w:lvl>
    <w:lvl w:ilvl="3" w:tplc="E03CDC48">
      <w:start w:val="1"/>
      <w:numFmt w:val="bullet"/>
      <w:lvlText w:val=""/>
      <w:lvlJc w:val="left"/>
      <w:pPr>
        <w:ind w:left="1020" w:hanging="360"/>
      </w:pPr>
      <w:rPr>
        <w:rFonts w:ascii="Symbol" w:hAnsi="Symbol"/>
      </w:rPr>
    </w:lvl>
    <w:lvl w:ilvl="4" w:tplc="2F2AB206">
      <w:start w:val="1"/>
      <w:numFmt w:val="bullet"/>
      <w:lvlText w:val=""/>
      <w:lvlJc w:val="left"/>
      <w:pPr>
        <w:ind w:left="1020" w:hanging="360"/>
      </w:pPr>
      <w:rPr>
        <w:rFonts w:ascii="Symbol" w:hAnsi="Symbol"/>
      </w:rPr>
    </w:lvl>
    <w:lvl w:ilvl="5" w:tplc="14AEA01A">
      <w:start w:val="1"/>
      <w:numFmt w:val="bullet"/>
      <w:lvlText w:val=""/>
      <w:lvlJc w:val="left"/>
      <w:pPr>
        <w:ind w:left="1020" w:hanging="360"/>
      </w:pPr>
      <w:rPr>
        <w:rFonts w:ascii="Symbol" w:hAnsi="Symbol"/>
      </w:rPr>
    </w:lvl>
    <w:lvl w:ilvl="6" w:tplc="AAF27C50">
      <w:start w:val="1"/>
      <w:numFmt w:val="bullet"/>
      <w:lvlText w:val=""/>
      <w:lvlJc w:val="left"/>
      <w:pPr>
        <w:ind w:left="1020" w:hanging="360"/>
      </w:pPr>
      <w:rPr>
        <w:rFonts w:ascii="Symbol" w:hAnsi="Symbol"/>
      </w:rPr>
    </w:lvl>
    <w:lvl w:ilvl="7" w:tplc="6B368748">
      <w:start w:val="1"/>
      <w:numFmt w:val="bullet"/>
      <w:lvlText w:val=""/>
      <w:lvlJc w:val="left"/>
      <w:pPr>
        <w:ind w:left="1020" w:hanging="360"/>
      </w:pPr>
      <w:rPr>
        <w:rFonts w:ascii="Symbol" w:hAnsi="Symbol"/>
      </w:rPr>
    </w:lvl>
    <w:lvl w:ilvl="8" w:tplc="349A89B8">
      <w:start w:val="1"/>
      <w:numFmt w:val="bullet"/>
      <w:lvlText w:val=""/>
      <w:lvlJc w:val="left"/>
      <w:pPr>
        <w:ind w:left="1020" w:hanging="360"/>
      </w:pPr>
      <w:rPr>
        <w:rFonts w:ascii="Symbol" w:hAnsi="Symbol"/>
      </w:rPr>
    </w:lvl>
  </w:abstractNum>
  <w:abstractNum w:abstractNumId="29" w15:restartNumberingAfterBreak="0">
    <w:nsid w:val="5C526FDB"/>
    <w:multiLevelType w:val="hybridMultilevel"/>
    <w:tmpl w:val="F9F4BE1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6977472E"/>
    <w:multiLevelType w:val="multilevel"/>
    <w:tmpl w:val="ABF43808"/>
    <w:name w:val="ListNumber4Numbering"/>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31" w15:restartNumberingAfterBreak="0">
    <w:nsid w:val="6C2E5F7F"/>
    <w:multiLevelType w:val="hybridMultilevel"/>
    <w:tmpl w:val="B644E0E8"/>
    <w:lvl w:ilvl="0" w:tplc="9F74C894">
      <w:start w:val="1"/>
      <w:numFmt w:val="bullet"/>
      <w:lvlText w:val=""/>
      <w:lvlJc w:val="left"/>
      <w:pPr>
        <w:ind w:left="720" w:hanging="360"/>
      </w:pPr>
      <w:rPr>
        <w:rFonts w:ascii="Symbol" w:hAnsi="Symbol"/>
      </w:rPr>
    </w:lvl>
    <w:lvl w:ilvl="1" w:tplc="4F4C7640">
      <w:start w:val="1"/>
      <w:numFmt w:val="bullet"/>
      <w:lvlText w:val=""/>
      <w:lvlJc w:val="left"/>
      <w:pPr>
        <w:ind w:left="720" w:hanging="360"/>
      </w:pPr>
      <w:rPr>
        <w:rFonts w:ascii="Symbol" w:hAnsi="Symbol"/>
      </w:rPr>
    </w:lvl>
    <w:lvl w:ilvl="2" w:tplc="F7201FC6">
      <w:start w:val="1"/>
      <w:numFmt w:val="bullet"/>
      <w:lvlText w:val=""/>
      <w:lvlJc w:val="left"/>
      <w:pPr>
        <w:ind w:left="720" w:hanging="360"/>
      </w:pPr>
      <w:rPr>
        <w:rFonts w:ascii="Symbol" w:hAnsi="Symbol"/>
      </w:rPr>
    </w:lvl>
    <w:lvl w:ilvl="3" w:tplc="77F8DAC4">
      <w:start w:val="1"/>
      <w:numFmt w:val="bullet"/>
      <w:lvlText w:val=""/>
      <w:lvlJc w:val="left"/>
      <w:pPr>
        <w:ind w:left="720" w:hanging="360"/>
      </w:pPr>
      <w:rPr>
        <w:rFonts w:ascii="Symbol" w:hAnsi="Symbol"/>
      </w:rPr>
    </w:lvl>
    <w:lvl w:ilvl="4" w:tplc="4ED22BEE">
      <w:start w:val="1"/>
      <w:numFmt w:val="bullet"/>
      <w:lvlText w:val=""/>
      <w:lvlJc w:val="left"/>
      <w:pPr>
        <w:ind w:left="720" w:hanging="360"/>
      </w:pPr>
      <w:rPr>
        <w:rFonts w:ascii="Symbol" w:hAnsi="Symbol"/>
      </w:rPr>
    </w:lvl>
    <w:lvl w:ilvl="5" w:tplc="D4A0A276">
      <w:start w:val="1"/>
      <w:numFmt w:val="bullet"/>
      <w:lvlText w:val=""/>
      <w:lvlJc w:val="left"/>
      <w:pPr>
        <w:ind w:left="720" w:hanging="360"/>
      </w:pPr>
      <w:rPr>
        <w:rFonts w:ascii="Symbol" w:hAnsi="Symbol"/>
      </w:rPr>
    </w:lvl>
    <w:lvl w:ilvl="6" w:tplc="14F8D4DA">
      <w:start w:val="1"/>
      <w:numFmt w:val="bullet"/>
      <w:lvlText w:val=""/>
      <w:lvlJc w:val="left"/>
      <w:pPr>
        <w:ind w:left="720" w:hanging="360"/>
      </w:pPr>
      <w:rPr>
        <w:rFonts w:ascii="Symbol" w:hAnsi="Symbol"/>
      </w:rPr>
    </w:lvl>
    <w:lvl w:ilvl="7" w:tplc="3C82AF5A">
      <w:start w:val="1"/>
      <w:numFmt w:val="bullet"/>
      <w:lvlText w:val=""/>
      <w:lvlJc w:val="left"/>
      <w:pPr>
        <w:ind w:left="720" w:hanging="360"/>
      </w:pPr>
      <w:rPr>
        <w:rFonts w:ascii="Symbol" w:hAnsi="Symbol"/>
      </w:rPr>
    </w:lvl>
    <w:lvl w:ilvl="8" w:tplc="AB94D182">
      <w:start w:val="1"/>
      <w:numFmt w:val="bullet"/>
      <w:lvlText w:val=""/>
      <w:lvlJc w:val="left"/>
      <w:pPr>
        <w:ind w:left="720" w:hanging="360"/>
      </w:pPr>
      <w:rPr>
        <w:rFonts w:ascii="Symbol" w:hAnsi="Symbol"/>
      </w:rPr>
    </w:lvl>
  </w:abstractNum>
  <w:abstractNum w:abstractNumId="32" w15:restartNumberingAfterBreak="0">
    <w:nsid w:val="79853467"/>
    <w:multiLevelType w:val="hybridMultilevel"/>
    <w:tmpl w:val="24CC06AA"/>
    <w:lvl w:ilvl="0" w:tplc="13C84CB4">
      <w:start w:val="1"/>
      <w:numFmt w:val="bullet"/>
      <w:lvlText w:val=""/>
      <w:lvlJc w:val="left"/>
      <w:pPr>
        <w:ind w:left="1020" w:hanging="360"/>
      </w:pPr>
      <w:rPr>
        <w:rFonts w:ascii="Symbol" w:hAnsi="Symbol"/>
      </w:rPr>
    </w:lvl>
    <w:lvl w:ilvl="1" w:tplc="1C96286E">
      <w:start w:val="1"/>
      <w:numFmt w:val="bullet"/>
      <w:lvlText w:val=""/>
      <w:lvlJc w:val="left"/>
      <w:pPr>
        <w:ind w:left="1020" w:hanging="360"/>
      </w:pPr>
      <w:rPr>
        <w:rFonts w:ascii="Symbol" w:hAnsi="Symbol"/>
      </w:rPr>
    </w:lvl>
    <w:lvl w:ilvl="2" w:tplc="5308C4E8">
      <w:start w:val="1"/>
      <w:numFmt w:val="bullet"/>
      <w:lvlText w:val=""/>
      <w:lvlJc w:val="left"/>
      <w:pPr>
        <w:ind w:left="1020" w:hanging="360"/>
      </w:pPr>
      <w:rPr>
        <w:rFonts w:ascii="Symbol" w:hAnsi="Symbol"/>
      </w:rPr>
    </w:lvl>
    <w:lvl w:ilvl="3" w:tplc="85FA285A">
      <w:start w:val="1"/>
      <w:numFmt w:val="bullet"/>
      <w:lvlText w:val=""/>
      <w:lvlJc w:val="left"/>
      <w:pPr>
        <w:ind w:left="1020" w:hanging="360"/>
      </w:pPr>
      <w:rPr>
        <w:rFonts w:ascii="Symbol" w:hAnsi="Symbol"/>
      </w:rPr>
    </w:lvl>
    <w:lvl w:ilvl="4" w:tplc="64E65AA8">
      <w:start w:val="1"/>
      <w:numFmt w:val="bullet"/>
      <w:lvlText w:val=""/>
      <w:lvlJc w:val="left"/>
      <w:pPr>
        <w:ind w:left="1020" w:hanging="360"/>
      </w:pPr>
      <w:rPr>
        <w:rFonts w:ascii="Symbol" w:hAnsi="Symbol"/>
      </w:rPr>
    </w:lvl>
    <w:lvl w:ilvl="5" w:tplc="4C84E32E">
      <w:start w:val="1"/>
      <w:numFmt w:val="bullet"/>
      <w:lvlText w:val=""/>
      <w:lvlJc w:val="left"/>
      <w:pPr>
        <w:ind w:left="1020" w:hanging="360"/>
      </w:pPr>
      <w:rPr>
        <w:rFonts w:ascii="Symbol" w:hAnsi="Symbol"/>
      </w:rPr>
    </w:lvl>
    <w:lvl w:ilvl="6" w:tplc="0F660CBE">
      <w:start w:val="1"/>
      <w:numFmt w:val="bullet"/>
      <w:lvlText w:val=""/>
      <w:lvlJc w:val="left"/>
      <w:pPr>
        <w:ind w:left="1020" w:hanging="360"/>
      </w:pPr>
      <w:rPr>
        <w:rFonts w:ascii="Symbol" w:hAnsi="Symbol"/>
      </w:rPr>
    </w:lvl>
    <w:lvl w:ilvl="7" w:tplc="3C40BB8A">
      <w:start w:val="1"/>
      <w:numFmt w:val="bullet"/>
      <w:lvlText w:val=""/>
      <w:lvlJc w:val="left"/>
      <w:pPr>
        <w:ind w:left="1020" w:hanging="360"/>
      </w:pPr>
      <w:rPr>
        <w:rFonts w:ascii="Symbol" w:hAnsi="Symbol"/>
      </w:rPr>
    </w:lvl>
    <w:lvl w:ilvl="8" w:tplc="1910CABA">
      <w:start w:val="1"/>
      <w:numFmt w:val="bullet"/>
      <w:lvlText w:val=""/>
      <w:lvlJc w:val="left"/>
      <w:pPr>
        <w:ind w:left="1020" w:hanging="360"/>
      </w:pPr>
      <w:rPr>
        <w:rFonts w:ascii="Symbol" w:hAnsi="Symbol"/>
      </w:rPr>
    </w:lvl>
  </w:abstractNum>
  <w:abstractNum w:abstractNumId="33" w15:restartNumberingAfterBreak="0">
    <w:nsid w:val="7B786DAA"/>
    <w:multiLevelType w:val="hybridMultilevel"/>
    <w:tmpl w:val="D2E09678"/>
    <w:lvl w:ilvl="0" w:tplc="18090001">
      <w:start w:val="1"/>
      <w:numFmt w:val="bullet"/>
      <w:lvlText w:val=""/>
      <w:lvlJc w:val="left"/>
      <w:pPr>
        <w:ind w:left="1202" w:hanging="360"/>
      </w:pPr>
      <w:rPr>
        <w:rFonts w:ascii="Symbol" w:hAnsi="Symbol" w:hint="default"/>
      </w:rPr>
    </w:lvl>
    <w:lvl w:ilvl="1" w:tplc="18090003" w:tentative="1">
      <w:start w:val="1"/>
      <w:numFmt w:val="bullet"/>
      <w:lvlText w:val="o"/>
      <w:lvlJc w:val="left"/>
      <w:pPr>
        <w:ind w:left="1922" w:hanging="360"/>
      </w:pPr>
      <w:rPr>
        <w:rFonts w:ascii="Courier New" w:hAnsi="Courier New" w:cs="Courier New" w:hint="default"/>
      </w:rPr>
    </w:lvl>
    <w:lvl w:ilvl="2" w:tplc="18090005" w:tentative="1">
      <w:start w:val="1"/>
      <w:numFmt w:val="bullet"/>
      <w:lvlText w:val=""/>
      <w:lvlJc w:val="left"/>
      <w:pPr>
        <w:ind w:left="2642" w:hanging="360"/>
      </w:pPr>
      <w:rPr>
        <w:rFonts w:ascii="Wingdings" w:hAnsi="Wingdings" w:hint="default"/>
      </w:rPr>
    </w:lvl>
    <w:lvl w:ilvl="3" w:tplc="18090001" w:tentative="1">
      <w:start w:val="1"/>
      <w:numFmt w:val="bullet"/>
      <w:lvlText w:val=""/>
      <w:lvlJc w:val="left"/>
      <w:pPr>
        <w:ind w:left="3362" w:hanging="360"/>
      </w:pPr>
      <w:rPr>
        <w:rFonts w:ascii="Symbol" w:hAnsi="Symbol" w:hint="default"/>
      </w:rPr>
    </w:lvl>
    <w:lvl w:ilvl="4" w:tplc="18090003" w:tentative="1">
      <w:start w:val="1"/>
      <w:numFmt w:val="bullet"/>
      <w:lvlText w:val="o"/>
      <w:lvlJc w:val="left"/>
      <w:pPr>
        <w:ind w:left="4082" w:hanging="360"/>
      </w:pPr>
      <w:rPr>
        <w:rFonts w:ascii="Courier New" w:hAnsi="Courier New" w:cs="Courier New" w:hint="default"/>
      </w:rPr>
    </w:lvl>
    <w:lvl w:ilvl="5" w:tplc="18090005" w:tentative="1">
      <w:start w:val="1"/>
      <w:numFmt w:val="bullet"/>
      <w:lvlText w:val=""/>
      <w:lvlJc w:val="left"/>
      <w:pPr>
        <w:ind w:left="4802" w:hanging="360"/>
      </w:pPr>
      <w:rPr>
        <w:rFonts w:ascii="Wingdings" w:hAnsi="Wingdings" w:hint="default"/>
      </w:rPr>
    </w:lvl>
    <w:lvl w:ilvl="6" w:tplc="18090001" w:tentative="1">
      <w:start w:val="1"/>
      <w:numFmt w:val="bullet"/>
      <w:lvlText w:val=""/>
      <w:lvlJc w:val="left"/>
      <w:pPr>
        <w:ind w:left="5522" w:hanging="360"/>
      </w:pPr>
      <w:rPr>
        <w:rFonts w:ascii="Symbol" w:hAnsi="Symbol" w:hint="default"/>
      </w:rPr>
    </w:lvl>
    <w:lvl w:ilvl="7" w:tplc="18090003" w:tentative="1">
      <w:start w:val="1"/>
      <w:numFmt w:val="bullet"/>
      <w:lvlText w:val="o"/>
      <w:lvlJc w:val="left"/>
      <w:pPr>
        <w:ind w:left="6242" w:hanging="360"/>
      </w:pPr>
      <w:rPr>
        <w:rFonts w:ascii="Courier New" w:hAnsi="Courier New" w:cs="Courier New" w:hint="default"/>
      </w:rPr>
    </w:lvl>
    <w:lvl w:ilvl="8" w:tplc="18090005" w:tentative="1">
      <w:start w:val="1"/>
      <w:numFmt w:val="bullet"/>
      <w:lvlText w:val=""/>
      <w:lvlJc w:val="left"/>
      <w:pPr>
        <w:ind w:left="6962" w:hanging="360"/>
      </w:pPr>
      <w:rPr>
        <w:rFonts w:ascii="Wingdings" w:hAnsi="Wingdings" w:hint="default"/>
      </w:rPr>
    </w:lvl>
  </w:abstractNum>
  <w:abstractNum w:abstractNumId="34" w15:restartNumberingAfterBreak="0">
    <w:nsid w:val="7C65145E"/>
    <w:multiLevelType w:val="multilevel"/>
    <w:tmpl w:val="2FC4EB34"/>
    <w:name w:val="EurolookHeading"/>
    <w:lvl w:ilvl="0">
      <w:start w:val="1"/>
      <w:numFmt w:val="decimal"/>
      <w:pStyle w:val="Heading1"/>
      <w:lvlText w:val="%1."/>
      <w:lvlJc w:val="left"/>
      <w:pPr>
        <w:tabs>
          <w:tab w:val="num" w:pos="482"/>
        </w:tabs>
        <w:ind w:left="482" w:hanging="482"/>
      </w:pPr>
    </w:lvl>
    <w:lvl w:ilvl="1">
      <w:start w:val="1"/>
      <w:numFmt w:val="decimal"/>
      <w:pStyle w:val="Heading2"/>
      <w:lvlText w:val="%1.%2."/>
      <w:lvlJc w:val="left"/>
      <w:pPr>
        <w:tabs>
          <w:tab w:val="num" w:pos="1202"/>
        </w:tabs>
        <w:ind w:left="1202" w:hanging="720"/>
      </w:pPr>
    </w:lvl>
    <w:lvl w:ilvl="2">
      <w:start w:val="1"/>
      <w:numFmt w:val="decimal"/>
      <w:pStyle w:val="Heading3"/>
      <w:lvlText w:val="%1.%2.%3."/>
      <w:lvlJc w:val="left"/>
      <w:pPr>
        <w:tabs>
          <w:tab w:val="num" w:pos="2438"/>
        </w:tabs>
        <w:ind w:left="2211" w:hanging="1009"/>
      </w:pPr>
    </w:lvl>
    <w:lvl w:ilvl="3">
      <w:start w:val="1"/>
      <w:numFmt w:val="decimal"/>
      <w:pStyle w:val="Heading4"/>
      <w:lvlText w:val="%1.%2.%3.%4."/>
      <w:lvlJc w:val="left"/>
      <w:pPr>
        <w:tabs>
          <w:tab w:val="num" w:pos="2438"/>
        </w:tabs>
        <w:ind w:left="2211" w:hanging="1009"/>
      </w:pPr>
    </w:lvl>
    <w:lvl w:ilvl="4">
      <w:start w:val="1"/>
      <w:numFmt w:val="decimal"/>
      <w:pStyle w:val="Heading5"/>
      <w:lvlText w:val="%1.%2.%3.%4.%5."/>
      <w:lvlJc w:val="left"/>
      <w:pPr>
        <w:tabs>
          <w:tab w:val="num" w:pos="2880"/>
        </w:tabs>
        <w:ind w:left="3838" w:hanging="958"/>
      </w:pPr>
    </w:lvl>
    <w:lvl w:ilvl="5">
      <w:start w:val="1"/>
      <w:numFmt w:val="decimal"/>
      <w:pStyle w:val="Heading6"/>
      <w:lvlText w:val="%1.%2.%3.%4.%5.%6."/>
      <w:lvlJc w:val="left"/>
      <w:pPr>
        <w:tabs>
          <w:tab w:val="num" w:pos="2880"/>
        </w:tabs>
        <w:ind w:left="3838" w:hanging="958"/>
      </w:pPr>
    </w:lvl>
    <w:lvl w:ilvl="6">
      <w:start w:val="1"/>
      <w:numFmt w:val="decimal"/>
      <w:pStyle w:val="Heading7"/>
      <w:lvlText w:val="%1.%2.%3.%4.%5.%6.%7."/>
      <w:lvlJc w:val="left"/>
      <w:pPr>
        <w:tabs>
          <w:tab w:val="num" w:pos="2880"/>
        </w:tabs>
        <w:ind w:left="3838" w:hanging="958"/>
      </w:pPr>
    </w:lvl>
    <w:lvl w:ilvl="7">
      <w:start w:val="1"/>
      <w:numFmt w:val="decimal"/>
      <w:pStyle w:val="Heading8"/>
      <w:lvlText w:val="%1.%2.%3.%4.%5.%6.%7.%8."/>
      <w:lvlJc w:val="left"/>
      <w:pPr>
        <w:tabs>
          <w:tab w:val="num" w:pos="2880"/>
        </w:tabs>
        <w:ind w:left="3838" w:hanging="958"/>
      </w:pPr>
    </w:lvl>
    <w:lvl w:ilvl="8">
      <w:start w:val="1"/>
      <w:numFmt w:val="decimal"/>
      <w:pStyle w:val="Heading9"/>
      <w:lvlText w:val="%1.%2.%3.%4.%5.%6.%7.%8.%9."/>
      <w:lvlJc w:val="left"/>
      <w:pPr>
        <w:tabs>
          <w:tab w:val="num" w:pos="2880"/>
        </w:tabs>
        <w:ind w:left="3838" w:hanging="958"/>
      </w:pPr>
    </w:lvl>
  </w:abstractNum>
  <w:abstractNum w:abstractNumId="35" w15:restartNumberingAfterBreak="0">
    <w:nsid w:val="7C651460"/>
    <w:multiLevelType w:val="singleLevel"/>
    <w:tmpl w:val="DCAA060D"/>
    <w:name w:val="AnnexNumbering"/>
    <w:lvl w:ilvl="0">
      <w:start w:val="1"/>
      <w:numFmt w:val="upperLetter"/>
      <w:pStyle w:val="AnnexTitle"/>
      <w:lvlText w:val="Annex %1"/>
      <w:lvlJc w:val="left"/>
      <w:pPr>
        <w:tabs>
          <w:tab w:val="num" w:pos="2268"/>
        </w:tabs>
        <w:ind w:left="2268" w:hanging="2268"/>
      </w:pPr>
      <w:rPr>
        <w:rFonts w:hint="default"/>
      </w:rPr>
    </w:lvl>
  </w:abstractNum>
  <w:num w:numId="1">
    <w:abstractNumId w:val="1"/>
  </w:num>
  <w:num w:numId="2">
    <w:abstractNumId w:val="17"/>
  </w:num>
  <w:num w:numId="3">
    <w:abstractNumId w:val="9"/>
  </w:num>
  <w:num w:numId="4">
    <w:abstractNumId w:val="18"/>
  </w:num>
  <w:num w:numId="5">
    <w:abstractNumId w:val="25"/>
  </w:num>
  <w:num w:numId="6">
    <w:abstractNumId w:val="30"/>
  </w:num>
  <w:num w:numId="7">
    <w:abstractNumId w:val="2"/>
  </w:num>
  <w:num w:numId="8">
    <w:abstractNumId w:val="8"/>
  </w:num>
  <w:num w:numId="9">
    <w:abstractNumId w:val="21"/>
  </w:num>
  <w:num w:numId="10">
    <w:abstractNumId w:val="4"/>
  </w:num>
  <w:num w:numId="11">
    <w:abstractNumId w:val="6"/>
  </w:num>
  <w:num w:numId="12">
    <w:abstractNumId w:val="7"/>
  </w:num>
  <w:num w:numId="13">
    <w:abstractNumId w:val="12"/>
  </w:num>
  <w:num w:numId="14">
    <w:abstractNumId w:val="20"/>
  </w:num>
  <w:num w:numId="15">
    <w:abstractNumId w:val="23"/>
  </w:num>
  <w:num w:numId="16">
    <w:abstractNumId w:val="34"/>
  </w:num>
  <w:num w:numId="17">
    <w:abstractNumId w:val="13"/>
  </w:num>
  <w:num w:numId="18">
    <w:abstractNumId w:val="14"/>
  </w:num>
  <w:num w:numId="19">
    <w:abstractNumId w:val="35"/>
  </w:num>
  <w:num w:numId="20">
    <w:abstractNumId w:val="22"/>
  </w:num>
  <w:num w:numId="21">
    <w:abstractNumId w:val="26"/>
  </w:num>
  <w:num w:numId="22">
    <w:abstractNumId w:val="5"/>
  </w:num>
  <w:num w:numId="23">
    <w:abstractNumId w:val="0"/>
  </w:num>
  <w:num w:numId="24">
    <w:abstractNumId w:val="11"/>
  </w:num>
  <w:num w:numId="25">
    <w:abstractNumId w:val="10"/>
  </w:num>
  <w:num w:numId="26">
    <w:abstractNumId w:val="15"/>
  </w:num>
  <w:num w:numId="27">
    <w:abstractNumId w:val="3"/>
  </w:num>
  <w:num w:numId="28">
    <w:abstractNumId w:val="19"/>
  </w:num>
  <w:num w:numId="29">
    <w:abstractNumId w:val="29"/>
  </w:num>
  <w:num w:numId="30">
    <w:abstractNumId w:val="27"/>
  </w:num>
  <w:num w:numId="31">
    <w:abstractNumId w:val="33"/>
  </w:num>
  <w:num w:numId="32">
    <w:abstractNumId w:val="16"/>
  </w:num>
  <w:num w:numId="33">
    <w:abstractNumId w:val="31"/>
  </w:num>
  <w:num w:numId="34">
    <w:abstractNumId w:val="24"/>
  </w:num>
  <w:num w:numId="35">
    <w:abstractNumId w:val="28"/>
  </w:num>
  <w:num w:numId="36">
    <w:abstractNumId w:val="32"/>
  </w:num>
  <w:num w:numId="37">
    <w:abstractNumId w:val="26"/>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8">
    <w:abstractNumId w:val="19"/>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39">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DateAndTime/>
  <w:hideSpellingErrors/>
  <w:hideGrammaticalError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revisionView w:markup="0"/>
  <w:defaultTabStop w:val="720"/>
  <w:hyphenationZone w:val="425"/>
  <w:characterSpacingControl w:val="doNotCompress"/>
  <w:hdrShapeDefaults>
    <o:shapedefaults v:ext="edit" spidmax="2051"/>
  </w:hdrShapeDefaults>
  <w:footnotePr>
    <w:footnote w:id="-1"/>
    <w:footnote w:id="0"/>
    <w:footnote w:id="1"/>
  </w:footnotePr>
  <w:endnotePr>
    <w:numFmt w:val="lowerLette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78EE395A-F3A9-43E5-B1BF-172FFA8ACBB2"/>
    <w:docVar w:name="LW_COVERPAGE_TYPE" w:val="1"/>
    <w:docVar w:name="LW_CROSSREFERENCE" w:val="&lt;UNUSED&gt;"/>
    <w:docVar w:name="LW_DocType" w:val="E7DC701561AA4CADB573DFF233353F53"/>
    <w:docVar w:name="LW_EMISSION" w:val="13.7.2026"/>
    <w:docVar w:name="LW_EMISSION_ISODATE" w:val="2026-07-13"/>
    <w:docVar w:name="LW_EMISSION_LOCATION" w:val="BRX"/>
    <w:docVar w:name="LW_EMISSION_PREFIX" w:val="Brussels, "/>
    <w:docVar w:name="LW_EMISSION_SUFFIX" w:val=" "/>
    <w:docVar w:name="LW_ID_DOCTYPE_NONLW" w:val="CP-006"/>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6) 364"/>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on the application of Council Directive 2000/43/EC implementing the principle of equal _x000d__x000b_treatment between persons irrespective of racial or ethnic origin (the Racial Equality _x000d__x000b_Directive) and of Council Directive 2000/78/EC establishing a general framework for _x000d__x000b_equal treatment in employment and occupation (the Employment Equality Directive) "/>
    <w:docVar w:name="LW_TYPE.DOC.CP" w:val="REPORT FROM THE COMMISSION TO THE EUROPEAN PARLIAMENT AND THE COUNCIL"/>
    <w:docVar w:name="LwApiVersions" w:val="LW4CoDe 1.24.5.0; LW 9.2, Build 20251112"/>
    <w:docVar w:name="Stamp" w:val="\\dossiers.dgt.cec.eu.int\dossiers\JUST\JUST-2026-01129\JUST-2026-01129-00-00-EN-EDT-00.202602181516212381272.DOCX"/>
  </w:docVars>
  <w:rsids>
    <w:rsidRoot w:val="001705F3"/>
    <w:rsid w:val="00000285"/>
    <w:rsid w:val="0000141F"/>
    <w:rsid w:val="00001847"/>
    <w:rsid w:val="0000251A"/>
    <w:rsid w:val="0000259D"/>
    <w:rsid w:val="000025D2"/>
    <w:rsid w:val="00003939"/>
    <w:rsid w:val="00003A84"/>
    <w:rsid w:val="00003B05"/>
    <w:rsid w:val="00003D55"/>
    <w:rsid w:val="00006DB4"/>
    <w:rsid w:val="00007ACD"/>
    <w:rsid w:val="00007DC8"/>
    <w:rsid w:val="00010C0E"/>
    <w:rsid w:val="00010D9C"/>
    <w:rsid w:val="00010DC3"/>
    <w:rsid w:val="0001143A"/>
    <w:rsid w:val="00011B96"/>
    <w:rsid w:val="00011C1A"/>
    <w:rsid w:val="00012011"/>
    <w:rsid w:val="000129D7"/>
    <w:rsid w:val="00013117"/>
    <w:rsid w:val="000131B0"/>
    <w:rsid w:val="0001406A"/>
    <w:rsid w:val="00014121"/>
    <w:rsid w:val="00014790"/>
    <w:rsid w:val="00014977"/>
    <w:rsid w:val="00014C53"/>
    <w:rsid w:val="00015507"/>
    <w:rsid w:val="00015614"/>
    <w:rsid w:val="00015FEC"/>
    <w:rsid w:val="000167B1"/>
    <w:rsid w:val="00016FC7"/>
    <w:rsid w:val="0002011E"/>
    <w:rsid w:val="00021C46"/>
    <w:rsid w:val="0002391D"/>
    <w:rsid w:val="00023AF9"/>
    <w:rsid w:val="00023F5B"/>
    <w:rsid w:val="00024244"/>
    <w:rsid w:val="00025011"/>
    <w:rsid w:val="000253D1"/>
    <w:rsid w:val="00025403"/>
    <w:rsid w:val="00026F4A"/>
    <w:rsid w:val="00027B15"/>
    <w:rsid w:val="00030E6E"/>
    <w:rsid w:val="000318BD"/>
    <w:rsid w:val="000319C4"/>
    <w:rsid w:val="00031C25"/>
    <w:rsid w:val="00031E35"/>
    <w:rsid w:val="00032151"/>
    <w:rsid w:val="0003265E"/>
    <w:rsid w:val="00032EA0"/>
    <w:rsid w:val="00033110"/>
    <w:rsid w:val="000332F9"/>
    <w:rsid w:val="00033E29"/>
    <w:rsid w:val="000348FA"/>
    <w:rsid w:val="0003558B"/>
    <w:rsid w:val="00035811"/>
    <w:rsid w:val="0003593B"/>
    <w:rsid w:val="000359F4"/>
    <w:rsid w:val="00035A22"/>
    <w:rsid w:val="0003774C"/>
    <w:rsid w:val="0003789A"/>
    <w:rsid w:val="00037CCB"/>
    <w:rsid w:val="00040261"/>
    <w:rsid w:val="00040B95"/>
    <w:rsid w:val="000411D4"/>
    <w:rsid w:val="00041709"/>
    <w:rsid w:val="00041728"/>
    <w:rsid w:val="00041E97"/>
    <w:rsid w:val="0004258C"/>
    <w:rsid w:val="00043146"/>
    <w:rsid w:val="000432AA"/>
    <w:rsid w:val="000436CA"/>
    <w:rsid w:val="00043959"/>
    <w:rsid w:val="000449A5"/>
    <w:rsid w:val="00045579"/>
    <w:rsid w:val="00045A66"/>
    <w:rsid w:val="000467FD"/>
    <w:rsid w:val="000479EC"/>
    <w:rsid w:val="00047D46"/>
    <w:rsid w:val="0005077F"/>
    <w:rsid w:val="00050875"/>
    <w:rsid w:val="00050883"/>
    <w:rsid w:val="00050989"/>
    <w:rsid w:val="00050CB0"/>
    <w:rsid w:val="00052181"/>
    <w:rsid w:val="000527A7"/>
    <w:rsid w:val="00052EEC"/>
    <w:rsid w:val="0005308A"/>
    <w:rsid w:val="0005334F"/>
    <w:rsid w:val="00053F45"/>
    <w:rsid w:val="000542D8"/>
    <w:rsid w:val="00054857"/>
    <w:rsid w:val="00054995"/>
    <w:rsid w:val="000552BD"/>
    <w:rsid w:val="00055AF0"/>
    <w:rsid w:val="00055C3E"/>
    <w:rsid w:val="00056223"/>
    <w:rsid w:val="00056598"/>
    <w:rsid w:val="000570C3"/>
    <w:rsid w:val="000573FC"/>
    <w:rsid w:val="0005783D"/>
    <w:rsid w:val="00060612"/>
    <w:rsid w:val="00061054"/>
    <w:rsid w:val="0006197B"/>
    <w:rsid w:val="00062075"/>
    <w:rsid w:val="00062C9A"/>
    <w:rsid w:val="000631CC"/>
    <w:rsid w:val="0006422D"/>
    <w:rsid w:val="000649C2"/>
    <w:rsid w:val="0006513E"/>
    <w:rsid w:val="00065A7C"/>
    <w:rsid w:val="00065D52"/>
    <w:rsid w:val="00065E2E"/>
    <w:rsid w:val="00065FAF"/>
    <w:rsid w:val="00066105"/>
    <w:rsid w:val="000670CE"/>
    <w:rsid w:val="000701FE"/>
    <w:rsid w:val="00070207"/>
    <w:rsid w:val="00070F43"/>
    <w:rsid w:val="00071035"/>
    <w:rsid w:val="0007180A"/>
    <w:rsid w:val="000719B5"/>
    <w:rsid w:val="00071DEF"/>
    <w:rsid w:val="00072913"/>
    <w:rsid w:val="00073784"/>
    <w:rsid w:val="00073B83"/>
    <w:rsid w:val="00073DCF"/>
    <w:rsid w:val="000745CA"/>
    <w:rsid w:val="000746D9"/>
    <w:rsid w:val="00074BD0"/>
    <w:rsid w:val="00075BFD"/>
    <w:rsid w:val="0007660E"/>
    <w:rsid w:val="00076AB4"/>
    <w:rsid w:val="0007750A"/>
    <w:rsid w:val="000802AB"/>
    <w:rsid w:val="0008054E"/>
    <w:rsid w:val="00080DA9"/>
    <w:rsid w:val="000816FD"/>
    <w:rsid w:val="00081A8D"/>
    <w:rsid w:val="00081E77"/>
    <w:rsid w:val="00081FE1"/>
    <w:rsid w:val="000822DB"/>
    <w:rsid w:val="00082972"/>
    <w:rsid w:val="00082A9B"/>
    <w:rsid w:val="00082B9F"/>
    <w:rsid w:val="00082C47"/>
    <w:rsid w:val="00083EB8"/>
    <w:rsid w:val="00084153"/>
    <w:rsid w:val="000845F8"/>
    <w:rsid w:val="000858CC"/>
    <w:rsid w:val="00086746"/>
    <w:rsid w:val="00086AA2"/>
    <w:rsid w:val="0008768D"/>
    <w:rsid w:val="000923BC"/>
    <w:rsid w:val="00092F0D"/>
    <w:rsid w:val="00093962"/>
    <w:rsid w:val="00093FBD"/>
    <w:rsid w:val="00094166"/>
    <w:rsid w:val="00094309"/>
    <w:rsid w:val="00094353"/>
    <w:rsid w:val="000949D6"/>
    <w:rsid w:val="00095540"/>
    <w:rsid w:val="0009624E"/>
    <w:rsid w:val="000962D6"/>
    <w:rsid w:val="00096388"/>
    <w:rsid w:val="000965D4"/>
    <w:rsid w:val="00096715"/>
    <w:rsid w:val="00096B5E"/>
    <w:rsid w:val="00097C82"/>
    <w:rsid w:val="000A03E9"/>
    <w:rsid w:val="000A055E"/>
    <w:rsid w:val="000A0FCB"/>
    <w:rsid w:val="000A2035"/>
    <w:rsid w:val="000A2560"/>
    <w:rsid w:val="000A25CB"/>
    <w:rsid w:val="000A26F0"/>
    <w:rsid w:val="000A2C17"/>
    <w:rsid w:val="000A415E"/>
    <w:rsid w:val="000A4173"/>
    <w:rsid w:val="000A527C"/>
    <w:rsid w:val="000A5C8C"/>
    <w:rsid w:val="000A5D2B"/>
    <w:rsid w:val="000A6770"/>
    <w:rsid w:val="000A6C7D"/>
    <w:rsid w:val="000A6DF9"/>
    <w:rsid w:val="000A6F2D"/>
    <w:rsid w:val="000B1873"/>
    <w:rsid w:val="000B1BB8"/>
    <w:rsid w:val="000B1BC4"/>
    <w:rsid w:val="000B1D41"/>
    <w:rsid w:val="000B22F3"/>
    <w:rsid w:val="000B2442"/>
    <w:rsid w:val="000B28C1"/>
    <w:rsid w:val="000B34F1"/>
    <w:rsid w:val="000B4845"/>
    <w:rsid w:val="000B48C7"/>
    <w:rsid w:val="000B4F24"/>
    <w:rsid w:val="000B58DA"/>
    <w:rsid w:val="000B5AF5"/>
    <w:rsid w:val="000B5FB2"/>
    <w:rsid w:val="000B5FBE"/>
    <w:rsid w:val="000B639F"/>
    <w:rsid w:val="000B73B0"/>
    <w:rsid w:val="000B7CE0"/>
    <w:rsid w:val="000C0CFE"/>
    <w:rsid w:val="000C15A5"/>
    <w:rsid w:val="000C17BC"/>
    <w:rsid w:val="000C25B0"/>
    <w:rsid w:val="000C27EE"/>
    <w:rsid w:val="000C33E3"/>
    <w:rsid w:val="000C412F"/>
    <w:rsid w:val="000C467D"/>
    <w:rsid w:val="000C50A8"/>
    <w:rsid w:val="000C5F39"/>
    <w:rsid w:val="000C60A7"/>
    <w:rsid w:val="000C7150"/>
    <w:rsid w:val="000C7F0D"/>
    <w:rsid w:val="000D0813"/>
    <w:rsid w:val="000D0F34"/>
    <w:rsid w:val="000D152A"/>
    <w:rsid w:val="000D15BD"/>
    <w:rsid w:val="000D1A73"/>
    <w:rsid w:val="000D1EE4"/>
    <w:rsid w:val="000D2B15"/>
    <w:rsid w:val="000D350B"/>
    <w:rsid w:val="000D3584"/>
    <w:rsid w:val="000D3715"/>
    <w:rsid w:val="000D3AD9"/>
    <w:rsid w:val="000D3BE7"/>
    <w:rsid w:val="000D3ECD"/>
    <w:rsid w:val="000D3FAF"/>
    <w:rsid w:val="000D409F"/>
    <w:rsid w:val="000D4123"/>
    <w:rsid w:val="000D4564"/>
    <w:rsid w:val="000D4576"/>
    <w:rsid w:val="000D4731"/>
    <w:rsid w:val="000D49C5"/>
    <w:rsid w:val="000D5B11"/>
    <w:rsid w:val="000D6DFC"/>
    <w:rsid w:val="000E0491"/>
    <w:rsid w:val="000E0BCE"/>
    <w:rsid w:val="000E16CC"/>
    <w:rsid w:val="000E182A"/>
    <w:rsid w:val="000E1FE9"/>
    <w:rsid w:val="000E2157"/>
    <w:rsid w:val="000E48F8"/>
    <w:rsid w:val="000E4AAE"/>
    <w:rsid w:val="000E510D"/>
    <w:rsid w:val="000E5263"/>
    <w:rsid w:val="000E5397"/>
    <w:rsid w:val="000E6023"/>
    <w:rsid w:val="000E6115"/>
    <w:rsid w:val="000E67CC"/>
    <w:rsid w:val="000E67D5"/>
    <w:rsid w:val="000E69EC"/>
    <w:rsid w:val="000E6AC1"/>
    <w:rsid w:val="000E6D42"/>
    <w:rsid w:val="000E709F"/>
    <w:rsid w:val="000E7600"/>
    <w:rsid w:val="000E79EC"/>
    <w:rsid w:val="000E7A3F"/>
    <w:rsid w:val="000F02CF"/>
    <w:rsid w:val="000F03AF"/>
    <w:rsid w:val="000F09BE"/>
    <w:rsid w:val="000F157B"/>
    <w:rsid w:val="000F1C11"/>
    <w:rsid w:val="000F2580"/>
    <w:rsid w:val="000F3970"/>
    <w:rsid w:val="000F4A1F"/>
    <w:rsid w:val="000F5AF5"/>
    <w:rsid w:val="000F5CAC"/>
    <w:rsid w:val="000F64E7"/>
    <w:rsid w:val="000F74FB"/>
    <w:rsid w:val="000F7973"/>
    <w:rsid w:val="000F7A81"/>
    <w:rsid w:val="001001C1"/>
    <w:rsid w:val="001002AC"/>
    <w:rsid w:val="001012E0"/>
    <w:rsid w:val="001018B9"/>
    <w:rsid w:val="001019BE"/>
    <w:rsid w:val="00101A70"/>
    <w:rsid w:val="00101BB7"/>
    <w:rsid w:val="00101D5D"/>
    <w:rsid w:val="0010328A"/>
    <w:rsid w:val="00103324"/>
    <w:rsid w:val="00103658"/>
    <w:rsid w:val="0010412C"/>
    <w:rsid w:val="00104181"/>
    <w:rsid w:val="001041AA"/>
    <w:rsid w:val="00104853"/>
    <w:rsid w:val="00104987"/>
    <w:rsid w:val="00104D62"/>
    <w:rsid w:val="00105480"/>
    <w:rsid w:val="001061C8"/>
    <w:rsid w:val="0010624A"/>
    <w:rsid w:val="0010628D"/>
    <w:rsid w:val="00106AD1"/>
    <w:rsid w:val="00106C3E"/>
    <w:rsid w:val="00106DF9"/>
    <w:rsid w:val="0010704F"/>
    <w:rsid w:val="00110629"/>
    <w:rsid w:val="001106FE"/>
    <w:rsid w:val="00110757"/>
    <w:rsid w:val="00111605"/>
    <w:rsid w:val="00111913"/>
    <w:rsid w:val="00112191"/>
    <w:rsid w:val="001128C0"/>
    <w:rsid w:val="00112D9A"/>
    <w:rsid w:val="00113260"/>
    <w:rsid w:val="001134EF"/>
    <w:rsid w:val="00113AFE"/>
    <w:rsid w:val="00113FBB"/>
    <w:rsid w:val="001141FA"/>
    <w:rsid w:val="001147ED"/>
    <w:rsid w:val="00114BE5"/>
    <w:rsid w:val="00115586"/>
    <w:rsid w:val="00116DD1"/>
    <w:rsid w:val="00117A7C"/>
    <w:rsid w:val="00120500"/>
    <w:rsid w:val="00121884"/>
    <w:rsid w:val="00121BDC"/>
    <w:rsid w:val="00123AAF"/>
    <w:rsid w:val="00123F9A"/>
    <w:rsid w:val="0012464E"/>
    <w:rsid w:val="001247B7"/>
    <w:rsid w:val="0012500A"/>
    <w:rsid w:val="00125243"/>
    <w:rsid w:val="001252E1"/>
    <w:rsid w:val="00125311"/>
    <w:rsid w:val="00125368"/>
    <w:rsid w:val="00126307"/>
    <w:rsid w:val="00126DE0"/>
    <w:rsid w:val="00127766"/>
    <w:rsid w:val="00127ADC"/>
    <w:rsid w:val="00127EC6"/>
    <w:rsid w:val="001302BC"/>
    <w:rsid w:val="001305A7"/>
    <w:rsid w:val="0013161B"/>
    <w:rsid w:val="00131814"/>
    <w:rsid w:val="00131DC0"/>
    <w:rsid w:val="001324CC"/>
    <w:rsid w:val="00133323"/>
    <w:rsid w:val="001335A3"/>
    <w:rsid w:val="0013360B"/>
    <w:rsid w:val="001336D8"/>
    <w:rsid w:val="00133B9E"/>
    <w:rsid w:val="0013429A"/>
    <w:rsid w:val="001348D2"/>
    <w:rsid w:val="00135592"/>
    <w:rsid w:val="001358E0"/>
    <w:rsid w:val="00135F45"/>
    <w:rsid w:val="0013629C"/>
    <w:rsid w:val="001363F2"/>
    <w:rsid w:val="001366BA"/>
    <w:rsid w:val="001367EC"/>
    <w:rsid w:val="00136B1C"/>
    <w:rsid w:val="00136E4C"/>
    <w:rsid w:val="00136EF6"/>
    <w:rsid w:val="00136F33"/>
    <w:rsid w:val="00137A4E"/>
    <w:rsid w:val="00137C1E"/>
    <w:rsid w:val="00140462"/>
    <w:rsid w:val="00140561"/>
    <w:rsid w:val="001408E5"/>
    <w:rsid w:val="00140CC0"/>
    <w:rsid w:val="001415EE"/>
    <w:rsid w:val="00141913"/>
    <w:rsid w:val="0014362A"/>
    <w:rsid w:val="00143E90"/>
    <w:rsid w:val="0014414E"/>
    <w:rsid w:val="0014488B"/>
    <w:rsid w:val="00144F9C"/>
    <w:rsid w:val="00145806"/>
    <w:rsid w:val="001462D5"/>
    <w:rsid w:val="00146558"/>
    <w:rsid w:val="00146731"/>
    <w:rsid w:val="001472B7"/>
    <w:rsid w:val="00147403"/>
    <w:rsid w:val="00150901"/>
    <w:rsid w:val="00150944"/>
    <w:rsid w:val="00150AB7"/>
    <w:rsid w:val="0015122A"/>
    <w:rsid w:val="001512F0"/>
    <w:rsid w:val="00151429"/>
    <w:rsid w:val="00151625"/>
    <w:rsid w:val="00151753"/>
    <w:rsid w:val="001529E3"/>
    <w:rsid w:val="001538A2"/>
    <w:rsid w:val="00153944"/>
    <w:rsid w:val="0015591D"/>
    <w:rsid w:val="001566B8"/>
    <w:rsid w:val="00157C69"/>
    <w:rsid w:val="001605D8"/>
    <w:rsid w:val="0016080B"/>
    <w:rsid w:val="00160C1F"/>
    <w:rsid w:val="00160DF0"/>
    <w:rsid w:val="0016107A"/>
    <w:rsid w:val="00161D7F"/>
    <w:rsid w:val="001621A4"/>
    <w:rsid w:val="00163698"/>
    <w:rsid w:val="00163B51"/>
    <w:rsid w:val="00164314"/>
    <w:rsid w:val="001644A3"/>
    <w:rsid w:val="00165281"/>
    <w:rsid w:val="00165B45"/>
    <w:rsid w:val="00165DFC"/>
    <w:rsid w:val="00166ABF"/>
    <w:rsid w:val="00166B40"/>
    <w:rsid w:val="00167B77"/>
    <w:rsid w:val="001703D6"/>
    <w:rsid w:val="0017041B"/>
    <w:rsid w:val="001705F3"/>
    <w:rsid w:val="0017080B"/>
    <w:rsid w:val="001708E4"/>
    <w:rsid w:val="001708EC"/>
    <w:rsid w:val="00170B95"/>
    <w:rsid w:val="00170C04"/>
    <w:rsid w:val="00171E65"/>
    <w:rsid w:val="00172144"/>
    <w:rsid w:val="00172671"/>
    <w:rsid w:val="00173117"/>
    <w:rsid w:val="0017348C"/>
    <w:rsid w:val="00173A0C"/>
    <w:rsid w:val="00173C0E"/>
    <w:rsid w:val="00173D0A"/>
    <w:rsid w:val="001745EE"/>
    <w:rsid w:val="00174A0E"/>
    <w:rsid w:val="00176456"/>
    <w:rsid w:val="00176BE0"/>
    <w:rsid w:val="001801EE"/>
    <w:rsid w:val="00180275"/>
    <w:rsid w:val="001806B4"/>
    <w:rsid w:val="001815E0"/>
    <w:rsid w:val="0018208E"/>
    <w:rsid w:val="001832C7"/>
    <w:rsid w:val="001852EC"/>
    <w:rsid w:val="001859A3"/>
    <w:rsid w:val="00185FA7"/>
    <w:rsid w:val="00186509"/>
    <w:rsid w:val="00186587"/>
    <w:rsid w:val="0018694F"/>
    <w:rsid w:val="00187151"/>
    <w:rsid w:val="00187BF4"/>
    <w:rsid w:val="001902FA"/>
    <w:rsid w:val="00191556"/>
    <w:rsid w:val="00192782"/>
    <w:rsid w:val="00192C35"/>
    <w:rsid w:val="00193A9A"/>
    <w:rsid w:val="00193F31"/>
    <w:rsid w:val="0019406B"/>
    <w:rsid w:val="0019413F"/>
    <w:rsid w:val="001953F3"/>
    <w:rsid w:val="00195F57"/>
    <w:rsid w:val="00196536"/>
    <w:rsid w:val="001979C1"/>
    <w:rsid w:val="001A006C"/>
    <w:rsid w:val="001A03DC"/>
    <w:rsid w:val="001A0E6F"/>
    <w:rsid w:val="001A11AE"/>
    <w:rsid w:val="001A13F0"/>
    <w:rsid w:val="001A1785"/>
    <w:rsid w:val="001A183C"/>
    <w:rsid w:val="001A1C05"/>
    <w:rsid w:val="001A2646"/>
    <w:rsid w:val="001A325D"/>
    <w:rsid w:val="001A39E1"/>
    <w:rsid w:val="001A3B4F"/>
    <w:rsid w:val="001A497D"/>
    <w:rsid w:val="001A4A39"/>
    <w:rsid w:val="001A4F46"/>
    <w:rsid w:val="001A5D82"/>
    <w:rsid w:val="001A6574"/>
    <w:rsid w:val="001A6B93"/>
    <w:rsid w:val="001A795D"/>
    <w:rsid w:val="001A7C73"/>
    <w:rsid w:val="001B1C95"/>
    <w:rsid w:val="001B2729"/>
    <w:rsid w:val="001B2D32"/>
    <w:rsid w:val="001B312D"/>
    <w:rsid w:val="001B35B3"/>
    <w:rsid w:val="001B3CB1"/>
    <w:rsid w:val="001B3F06"/>
    <w:rsid w:val="001B4270"/>
    <w:rsid w:val="001B4A3B"/>
    <w:rsid w:val="001B5E13"/>
    <w:rsid w:val="001B6634"/>
    <w:rsid w:val="001B6B18"/>
    <w:rsid w:val="001B752D"/>
    <w:rsid w:val="001B789A"/>
    <w:rsid w:val="001B7B5F"/>
    <w:rsid w:val="001B7C0B"/>
    <w:rsid w:val="001B7D5D"/>
    <w:rsid w:val="001B7E16"/>
    <w:rsid w:val="001C00E1"/>
    <w:rsid w:val="001C02EC"/>
    <w:rsid w:val="001C0995"/>
    <w:rsid w:val="001C121A"/>
    <w:rsid w:val="001C17A0"/>
    <w:rsid w:val="001C189D"/>
    <w:rsid w:val="001C2201"/>
    <w:rsid w:val="001C2885"/>
    <w:rsid w:val="001C2CE5"/>
    <w:rsid w:val="001C2F61"/>
    <w:rsid w:val="001C3497"/>
    <w:rsid w:val="001C3C6E"/>
    <w:rsid w:val="001C4319"/>
    <w:rsid w:val="001C5B1C"/>
    <w:rsid w:val="001C5E6C"/>
    <w:rsid w:val="001C6821"/>
    <w:rsid w:val="001C6FE8"/>
    <w:rsid w:val="001C722A"/>
    <w:rsid w:val="001C724D"/>
    <w:rsid w:val="001C7736"/>
    <w:rsid w:val="001D0324"/>
    <w:rsid w:val="001D03B1"/>
    <w:rsid w:val="001D09A5"/>
    <w:rsid w:val="001D0A87"/>
    <w:rsid w:val="001D230E"/>
    <w:rsid w:val="001D2BCD"/>
    <w:rsid w:val="001D2D4A"/>
    <w:rsid w:val="001D46AB"/>
    <w:rsid w:val="001D4753"/>
    <w:rsid w:val="001D4D00"/>
    <w:rsid w:val="001D4F90"/>
    <w:rsid w:val="001D5BD1"/>
    <w:rsid w:val="001D5C16"/>
    <w:rsid w:val="001D5C4F"/>
    <w:rsid w:val="001D6235"/>
    <w:rsid w:val="001D657F"/>
    <w:rsid w:val="001D65DD"/>
    <w:rsid w:val="001E018E"/>
    <w:rsid w:val="001E1C3E"/>
    <w:rsid w:val="001E1FB7"/>
    <w:rsid w:val="001E25FC"/>
    <w:rsid w:val="001E4910"/>
    <w:rsid w:val="001E5073"/>
    <w:rsid w:val="001E6225"/>
    <w:rsid w:val="001E63EF"/>
    <w:rsid w:val="001E720C"/>
    <w:rsid w:val="001E73CE"/>
    <w:rsid w:val="001E77B8"/>
    <w:rsid w:val="001F0907"/>
    <w:rsid w:val="001F0B3E"/>
    <w:rsid w:val="001F1C3A"/>
    <w:rsid w:val="001F21F8"/>
    <w:rsid w:val="001F3335"/>
    <w:rsid w:val="001F335C"/>
    <w:rsid w:val="001F362A"/>
    <w:rsid w:val="001F3F11"/>
    <w:rsid w:val="001F4742"/>
    <w:rsid w:val="001F4E86"/>
    <w:rsid w:val="001F5816"/>
    <w:rsid w:val="001F5998"/>
    <w:rsid w:val="001F59E0"/>
    <w:rsid w:val="001F5ADA"/>
    <w:rsid w:val="001F5BC2"/>
    <w:rsid w:val="001F5F95"/>
    <w:rsid w:val="001F6127"/>
    <w:rsid w:val="001F6402"/>
    <w:rsid w:val="001F66B8"/>
    <w:rsid w:val="001F6857"/>
    <w:rsid w:val="001F68EA"/>
    <w:rsid w:val="001F6E5C"/>
    <w:rsid w:val="001F6E8C"/>
    <w:rsid w:val="001F7DC5"/>
    <w:rsid w:val="002003BF"/>
    <w:rsid w:val="002005AF"/>
    <w:rsid w:val="00200B00"/>
    <w:rsid w:val="00200D27"/>
    <w:rsid w:val="002013A1"/>
    <w:rsid w:val="002042E6"/>
    <w:rsid w:val="00204674"/>
    <w:rsid w:val="00204B40"/>
    <w:rsid w:val="0020504B"/>
    <w:rsid w:val="0020565E"/>
    <w:rsid w:val="00206575"/>
    <w:rsid w:val="00206757"/>
    <w:rsid w:val="0020766E"/>
    <w:rsid w:val="00210883"/>
    <w:rsid w:val="002109FA"/>
    <w:rsid w:val="00210A40"/>
    <w:rsid w:val="002121B1"/>
    <w:rsid w:val="00212A00"/>
    <w:rsid w:val="00213251"/>
    <w:rsid w:val="002143FD"/>
    <w:rsid w:val="0021485D"/>
    <w:rsid w:val="002148FE"/>
    <w:rsid w:val="002151CC"/>
    <w:rsid w:val="002154D9"/>
    <w:rsid w:val="00215866"/>
    <w:rsid w:val="002159C6"/>
    <w:rsid w:val="00216036"/>
    <w:rsid w:val="00216346"/>
    <w:rsid w:val="0021649A"/>
    <w:rsid w:val="002174D9"/>
    <w:rsid w:val="002179C0"/>
    <w:rsid w:val="00220001"/>
    <w:rsid w:val="00220522"/>
    <w:rsid w:val="00220851"/>
    <w:rsid w:val="00220F47"/>
    <w:rsid w:val="00221470"/>
    <w:rsid w:val="00221898"/>
    <w:rsid w:val="00221D7F"/>
    <w:rsid w:val="00221F36"/>
    <w:rsid w:val="00222058"/>
    <w:rsid w:val="002221F3"/>
    <w:rsid w:val="00222684"/>
    <w:rsid w:val="00222D41"/>
    <w:rsid w:val="00223AAD"/>
    <w:rsid w:val="00226343"/>
    <w:rsid w:val="00226AF4"/>
    <w:rsid w:val="00227218"/>
    <w:rsid w:val="00227BF3"/>
    <w:rsid w:val="002316D4"/>
    <w:rsid w:val="00232222"/>
    <w:rsid w:val="00233148"/>
    <w:rsid w:val="00233240"/>
    <w:rsid w:val="0023549B"/>
    <w:rsid w:val="00235E9A"/>
    <w:rsid w:val="002363A0"/>
    <w:rsid w:val="00236BBB"/>
    <w:rsid w:val="00237345"/>
    <w:rsid w:val="00237898"/>
    <w:rsid w:val="00237998"/>
    <w:rsid w:val="00240D2D"/>
    <w:rsid w:val="00240E91"/>
    <w:rsid w:val="002417D4"/>
    <w:rsid w:val="002418A5"/>
    <w:rsid w:val="0024199B"/>
    <w:rsid w:val="00242319"/>
    <w:rsid w:val="002423C9"/>
    <w:rsid w:val="00243346"/>
    <w:rsid w:val="002433E2"/>
    <w:rsid w:val="00245408"/>
    <w:rsid w:val="00246352"/>
    <w:rsid w:val="0024696A"/>
    <w:rsid w:val="002471D5"/>
    <w:rsid w:val="00247AC3"/>
    <w:rsid w:val="002508F3"/>
    <w:rsid w:val="00250935"/>
    <w:rsid w:val="00250C29"/>
    <w:rsid w:val="00251203"/>
    <w:rsid w:val="002514A8"/>
    <w:rsid w:val="0025223D"/>
    <w:rsid w:val="002534C9"/>
    <w:rsid w:val="002537C9"/>
    <w:rsid w:val="002538BB"/>
    <w:rsid w:val="00253F62"/>
    <w:rsid w:val="00256841"/>
    <w:rsid w:val="00256A04"/>
    <w:rsid w:val="00257928"/>
    <w:rsid w:val="00260195"/>
    <w:rsid w:val="00260C77"/>
    <w:rsid w:val="00260D86"/>
    <w:rsid w:val="00261717"/>
    <w:rsid w:val="00261771"/>
    <w:rsid w:val="002618F1"/>
    <w:rsid w:val="00261993"/>
    <w:rsid w:val="00261B04"/>
    <w:rsid w:val="00261BE8"/>
    <w:rsid w:val="002626DB"/>
    <w:rsid w:val="00262951"/>
    <w:rsid w:val="00262B7D"/>
    <w:rsid w:val="0026337C"/>
    <w:rsid w:val="0026422B"/>
    <w:rsid w:val="00264829"/>
    <w:rsid w:val="00264E31"/>
    <w:rsid w:val="00264FF0"/>
    <w:rsid w:val="00265D63"/>
    <w:rsid w:val="002676FD"/>
    <w:rsid w:val="00267862"/>
    <w:rsid w:val="00267A75"/>
    <w:rsid w:val="00267E8A"/>
    <w:rsid w:val="00267FC2"/>
    <w:rsid w:val="0027129A"/>
    <w:rsid w:val="00271321"/>
    <w:rsid w:val="00271AC4"/>
    <w:rsid w:val="00271D42"/>
    <w:rsid w:val="002720B2"/>
    <w:rsid w:val="00273111"/>
    <w:rsid w:val="002731F0"/>
    <w:rsid w:val="00275333"/>
    <w:rsid w:val="00275804"/>
    <w:rsid w:val="002758A5"/>
    <w:rsid w:val="00275FDB"/>
    <w:rsid w:val="00276895"/>
    <w:rsid w:val="00276DF7"/>
    <w:rsid w:val="00277E13"/>
    <w:rsid w:val="00280025"/>
    <w:rsid w:val="00280B33"/>
    <w:rsid w:val="00280CD1"/>
    <w:rsid w:val="002814D1"/>
    <w:rsid w:val="00281BD5"/>
    <w:rsid w:val="00282D84"/>
    <w:rsid w:val="002832F7"/>
    <w:rsid w:val="00283E5C"/>
    <w:rsid w:val="00284C10"/>
    <w:rsid w:val="002867E5"/>
    <w:rsid w:val="00290149"/>
    <w:rsid w:val="00290CE9"/>
    <w:rsid w:val="002911F5"/>
    <w:rsid w:val="00291BE4"/>
    <w:rsid w:val="002923A5"/>
    <w:rsid w:val="00292770"/>
    <w:rsid w:val="002927C6"/>
    <w:rsid w:val="00293582"/>
    <w:rsid w:val="002944AE"/>
    <w:rsid w:val="0029478B"/>
    <w:rsid w:val="002947E6"/>
    <w:rsid w:val="00294F93"/>
    <w:rsid w:val="00294FA3"/>
    <w:rsid w:val="00295198"/>
    <w:rsid w:val="002957A3"/>
    <w:rsid w:val="002958B6"/>
    <w:rsid w:val="00295D54"/>
    <w:rsid w:val="00296512"/>
    <w:rsid w:val="00296593"/>
    <w:rsid w:val="002966B5"/>
    <w:rsid w:val="0029769C"/>
    <w:rsid w:val="0029796B"/>
    <w:rsid w:val="00297E1C"/>
    <w:rsid w:val="002A0064"/>
    <w:rsid w:val="002A0D51"/>
    <w:rsid w:val="002A0EB9"/>
    <w:rsid w:val="002A1670"/>
    <w:rsid w:val="002A26D3"/>
    <w:rsid w:val="002A32FD"/>
    <w:rsid w:val="002A3732"/>
    <w:rsid w:val="002A37FE"/>
    <w:rsid w:val="002A3A6C"/>
    <w:rsid w:val="002A3EC4"/>
    <w:rsid w:val="002A4FE0"/>
    <w:rsid w:val="002A5BE1"/>
    <w:rsid w:val="002A5E53"/>
    <w:rsid w:val="002A6B8C"/>
    <w:rsid w:val="002A706E"/>
    <w:rsid w:val="002A737C"/>
    <w:rsid w:val="002B01C7"/>
    <w:rsid w:val="002B0876"/>
    <w:rsid w:val="002B0AAF"/>
    <w:rsid w:val="002B0D05"/>
    <w:rsid w:val="002B1F9E"/>
    <w:rsid w:val="002B21CC"/>
    <w:rsid w:val="002B2380"/>
    <w:rsid w:val="002B23C5"/>
    <w:rsid w:val="002B26E7"/>
    <w:rsid w:val="002B4689"/>
    <w:rsid w:val="002B4B75"/>
    <w:rsid w:val="002B4E1B"/>
    <w:rsid w:val="002B4F87"/>
    <w:rsid w:val="002B5241"/>
    <w:rsid w:val="002B609A"/>
    <w:rsid w:val="002B6AB6"/>
    <w:rsid w:val="002B6C60"/>
    <w:rsid w:val="002B7005"/>
    <w:rsid w:val="002B7502"/>
    <w:rsid w:val="002C019D"/>
    <w:rsid w:val="002C0801"/>
    <w:rsid w:val="002C0BEB"/>
    <w:rsid w:val="002C160D"/>
    <w:rsid w:val="002C1624"/>
    <w:rsid w:val="002C1D3A"/>
    <w:rsid w:val="002C218F"/>
    <w:rsid w:val="002C265E"/>
    <w:rsid w:val="002C2729"/>
    <w:rsid w:val="002C2C38"/>
    <w:rsid w:val="002C2EC8"/>
    <w:rsid w:val="002C4230"/>
    <w:rsid w:val="002C4247"/>
    <w:rsid w:val="002C431C"/>
    <w:rsid w:val="002C5702"/>
    <w:rsid w:val="002C5A3F"/>
    <w:rsid w:val="002C5AF5"/>
    <w:rsid w:val="002C65AC"/>
    <w:rsid w:val="002C71CC"/>
    <w:rsid w:val="002C7A3B"/>
    <w:rsid w:val="002C7D84"/>
    <w:rsid w:val="002D0B8B"/>
    <w:rsid w:val="002D216F"/>
    <w:rsid w:val="002D290D"/>
    <w:rsid w:val="002D3868"/>
    <w:rsid w:val="002D38EA"/>
    <w:rsid w:val="002D3943"/>
    <w:rsid w:val="002D3AF8"/>
    <w:rsid w:val="002D4DD5"/>
    <w:rsid w:val="002D55BB"/>
    <w:rsid w:val="002D5BBE"/>
    <w:rsid w:val="002D63C8"/>
    <w:rsid w:val="002D6635"/>
    <w:rsid w:val="002D72AB"/>
    <w:rsid w:val="002E04F9"/>
    <w:rsid w:val="002E0E75"/>
    <w:rsid w:val="002E1333"/>
    <w:rsid w:val="002E2141"/>
    <w:rsid w:val="002E2650"/>
    <w:rsid w:val="002E2DF6"/>
    <w:rsid w:val="002E4268"/>
    <w:rsid w:val="002E57F2"/>
    <w:rsid w:val="002E72EB"/>
    <w:rsid w:val="002E7394"/>
    <w:rsid w:val="002E7623"/>
    <w:rsid w:val="002E7945"/>
    <w:rsid w:val="002F0666"/>
    <w:rsid w:val="002F0783"/>
    <w:rsid w:val="002F0FB6"/>
    <w:rsid w:val="002F1780"/>
    <w:rsid w:val="002F1D70"/>
    <w:rsid w:val="002F3043"/>
    <w:rsid w:val="002F3C80"/>
    <w:rsid w:val="002F3CD1"/>
    <w:rsid w:val="002F44E2"/>
    <w:rsid w:val="002F503F"/>
    <w:rsid w:val="002F55FC"/>
    <w:rsid w:val="002F5607"/>
    <w:rsid w:val="002F5F65"/>
    <w:rsid w:val="002F616C"/>
    <w:rsid w:val="002F6FEA"/>
    <w:rsid w:val="002F70D3"/>
    <w:rsid w:val="002F74AB"/>
    <w:rsid w:val="002F7CDF"/>
    <w:rsid w:val="003000FA"/>
    <w:rsid w:val="003006D5"/>
    <w:rsid w:val="00300FAC"/>
    <w:rsid w:val="00301420"/>
    <w:rsid w:val="00301886"/>
    <w:rsid w:val="003026FE"/>
    <w:rsid w:val="00302F44"/>
    <w:rsid w:val="003034EF"/>
    <w:rsid w:val="003035DD"/>
    <w:rsid w:val="00304528"/>
    <w:rsid w:val="003048B5"/>
    <w:rsid w:val="00304A96"/>
    <w:rsid w:val="00304CF7"/>
    <w:rsid w:val="003053B3"/>
    <w:rsid w:val="00305404"/>
    <w:rsid w:val="003056A7"/>
    <w:rsid w:val="0030572B"/>
    <w:rsid w:val="00305C1E"/>
    <w:rsid w:val="00305CF6"/>
    <w:rsid w:val="00306583"/>
    <w:rsid w:val="00306635"/>
    <w:rsid w:val="00307465"/>
    <w:rsid w:val="003079F2"/>
    <w:rsid w:val="00307C03"/>
    <w:rsid w:val="00307ED2"/>
    <w:rsid w:val="0031077B"/>
    <w:rsid w:val="00310AF5"/>
    <w:rsid w:val="00310E53"/>
    <w:rsid w:val="0031148F"/>
    <w:rsid w:val="003118DC"/>
    <w:rsid w:val="00311E2A"/>
    <w:rsid w:val="003125B6"/>
    <w:rsid w:val="0031277B"/>
    <w:rsid w:val="00312C9E"/>
    <w:rsid w:val="00313163"/>
    <w:rsid w:val="003138F0"/>
    <w:rsid w:val="003139AF"/>
    <w:rsid w:val="003143D1"/>
    <w:rsid w:val="00314457"/>
    <w:rsid w:val="00314B33"/>
    <w:rsid w:val="00314FC5"/>
    <w:rsid w:val="003155D4"/>
    <w:rsid w:val="00315A4F"/>
    <w:rsid w:val="00316904"/>
    <w:rsid w:val="00316C84"/>
    <w:rsid w:val="003170B6"/>
    <w:rsid w:val="00317246"/>
    <w:rsid w:val="00317274"/>
    <w:rsid w:val="00317B02"/>
    <w:rsid w:val="00317EC3"/>
    <w:rsid w:val="00320496"/>
    <w:rsid w:val="00320DE4"/>
    <w:rsid w:val="00320E01"/>
    <w:rsid w:val="00320F72"/>
    <w:rsid w:val="0032105E"/>
    <w:rsid w:val="003214D4"/>
    <w:rsid w:val="00321754"/>
    <w:rsid w:val="00322152"/>
    <w:rsid w:val="0032285F"/>
    <w:rsid w:val="003232D4"/>
    <w:rsid w:val="00323B09"/>
    <w:rsid w:val="00323F4C"/>
    <w:rsid w:val="00323F59"/>
    <w:rsid w:val="00324417"/>
    <w:rsid w:val="0032458C"/>
    <w:rsid w:val="00324BC0"/>
    <w:rsid w:val="003270EF"/>
    <w:rsid w:val="00330DA2"/>
    <w:rsid w:val="003310E3"/>
    <w:rsid w:val="003313CA"/>
    <w:rsid w:val="00331681"/>
    <w:rsid w:val="00331EDC"/>
    <w:rsid w:val="00332688"/>
    <w:rsid w:val="003329B9"/>
    <w:rsid w:val="00333529"/>
    <w:rsid w:val="003338EB"/>
    <w:rsid w:val="003341A3"/>
    <w:rsid w:val="003341FB"/>
    <w:rsid w:val="00334612"/>
    <w:rsid w:val="003347A7"/>
    <w:rsid w:val="00334E0E"/>
    <w:rsid w:val="00335BC5"/>
    <w:rsid w:val="0033699C"/>
    <w:rsid w:val="00336A30"/>
    <w:rsid w:val="00336B29"/>
    <w:rsid w:val="003371D8"/>
    <w:rsid w:val="003378E0"/>
    <w:rsid w:val="00337BFF"/>
    <w:rsid w:val="003418A0"/>
    <w:rsid w:val="003423AF"/>
    <w:rsid w:val="00342400"/>
    <w:rsid w:val="0034258D"/>
    <w:rsid w:val="003426FD"/>
    <w:rsid w:val="00342B20"/>
    <w:rsid w:val="0034310A"/>
    <w:rsid w:val="0034341A"/>
    <w:rsid w:val="00343982"/>
    <w:rsid w:val="00343A7A"/>
    <w:rsid w:val="00343D62"/>
    <w:rsid w:val="00344077"/>
    <w:rsid w:val="00344B93"/>
    <w:rsid w:val="00345F38"/>
    <w:rsid w:val="00346412"/>
    <w:rsid w:val="00346BA4"/>
    <w:rsid w:val="00347E3C"/>
    <w:rsid w:val="003501A1"/>
    <w:rsid w:val="00351048"/>
    <w:rsid w:val="0035122B"/>
    <w:rsid w:val="003513BF"/>
    <w:rsid w:val="003513CE"/>
    <w:rsid w:val="003513FC"/>
    <w:rsid w:val="00351465"/>
    <w:rsid w:val="00352477"/>
    <w:rsid w:val="00352DB5"/>
    <w:rsid w:val="003546FF"/>
    <w:rsid w:val="00354714"/>
    <w:rsid w:val="00354C76"/>
    <w:rsid w:val="00355604"/>
    <w:rsid w:val="003562D5"/>
    <w:rsid w:val="0035671C"/>
    <w:rsid w:val="003567B7"/>
    <w:rsid w:val="003570E7"/>
    <w:rsid w:val="00357531"/>
    <w:rsid w:val="00357C25"/>
    <w:rsid w:val="0036007A"/>
    <w:rsid w:val="0036018C"/>
    <w:rsid w:val="0036095E"/>
    <w:rsid w:val="0036111A"/>
    <w:rsid w:val="00361187"/>
    <w:rsid w:val="003626C0"/>
    <w:rsid w:val="00362D2B"/>
    <w:rsid w:val="00363111"/>
    <w:rsid w:val="00363DDB"/>
    <w:rsid w:val="00364AF5"/>
    <w:rsid w:val="0036520F"/>
    <w:rsid w:val="0036587C"/>
    <w:rsid w:val="00366812"/>
    <w:rsid w:val="00366C93"/>
    <w:rsid w:val="0036739A"/>
    <w:rsid w:val="0036749B"/>
    <w:rsid w:val="0036755F"/>
    <w:rsid w:val="00370E06"/>
    <w:rsid w:val="003711E8"/>
    <w:rsid w:val="00371657"/>
    <w:rsid w:val="00371B5B"/>
    <w:rsid w:val="003721BA"/>
    <w:rsid w:val="003726C9"/>
    <w:rsid w:val="0037273C"/>
    <w:rsid w:val="00372842"/>
    <w:rsid w:val="0037335D"/>
    <w:rsid w:val="003739A0"/>
    <w:rsid w:val="00373C68"/>
    <w:rsid w:val="00373D3D"/>
    <w:rsid w:val="003751E9"/>
    <w:rsid w:val="0037555A"/>
    <w:rsid w:val="003759BA"/>
    <w:rsid w:val="003765FB"/>
    <w:rsid w:val="00376AFE"/>
    <w:rsid w:val="00376C66"/>
    <w:rsid w:val="00376DA2"/>
    <w:rsid w:val="003774D1"/>
    <w:rsid w:val="00377A42"/>
    <w:rsid w:val="00377FB8"/>
    <w:rsid w:val="00380C57"/>
    <w:rsid w:val="00380E30"/>
    <w:rsid w:val="00380E66"/>
    <w:rsid w:val="00381842"/>
    <w:rsid w:val="00381F70"/>
    <w:rsid w:val="003825F0"/>
    <w:rsid w:val="003832C0"/>
    <w:rsid w:val="00383836"/>
    <w:rsid w:val="003844AE"/>
    <w:rsid w:val="003844B9"/>
    <w:rsid w:val="003844DC"/>
    <w:rsid w:val="00384E1F"/>
    <w:rsid w:val="0038674F"/>
    <w:rsid w:val="003872A2"/>
    <w:rsid w:val="003879D5"/>
    <w:rsid w:val="00390D37"/>
    <w:rsid w:val="00391155"/>
    <w:rsid w:val="0039191F"/>
    <w:rsid w:val="00391F58"/>
    <w:rsid w:val="00391FDB"/>
    <w:rsid w:val="003924C4"/>
    <w:rsid w:val="0039261F"/>
    <w:rsid w:val="0039290A"/>
    <w:rsid w:val="00392BC3"/>
    <w:rsid w:val="00392C29"/>
    <w:rsid w:val="00392E3B"/>
    <w:rsid w:val="00393D7F"/>
    <w:rsid w:val="00394417"/>
    <w:rsid w:val="00394DDD"/>
    <w:rsid w:val="00394FD4"/>
    <w:rsid w:val="0039509C"/>
    <w:rsid w:val="003950E3"/>
    <w:rsid w:val="0039570B"/>
    <w:rsid w:val="00395EDB"/>
    <w:rsid w:val="00395F5B"/>
    <w:rsid w:val="003964D7"/>
    <w:rsid w:val="00396CC4"/>
    <w:rsid w:val="00396CE8"/>
    <w:rsid w:val="003975BD"/>
    <w:rsid w:val="00397A82"/>
    <w:rsid w:val="003A0649"/>
    <w:rsid w:val="003A1E5E"/>
    <w:rsid w:val="003A23F3"/>
    <w:rsid w:val="003A28F7"/>
    <w:rsid w:val="003A341A"/>
    <w:rsid w:val="003A34E3"/>
    <w:rsid w:val="003A36C8"/>
    <w:rsid w:val="003A3B65"/>
    <w:rsid w:val="003A4ECF"/>
    <w:rsid w:val="003A4F2C"/>
    <w:rsid w:val="003A5064"/>
    <w:rsid w:val="003A5B58"/>
    <w:rsid w:val="003A6A84"/>
    <w:rsid w:val="003A6DAD"/>
    <w:rsid w:val="003A71E6"/>
    <w:rsid w:val="003A7202"/>
    <w:rsid w:val="003A7486"/>
    <w:rsid w:val="003A796F"/>
    <w:rsid w:val="003A7B47"/>
    <w:rsid w:val="003A7FFB"/>
    <w:rsid w:val="003B0E94"/>
    <w:rsid w:val="003B2753"/>
    <w:rsid w:val="003B2D6F"/>
    <w:rsid w:val="003B373F"/>
    <w:rsid w:val="003B4220"/>
    <w:rsid w:val="003B4794"/>
    <w:rsid w:val="003B4E12"/>
    <w:rsid w:val="003B5346"/>
    <w:rsid w:val="003B5669"/>
    <w:rsid w:val="003B597A"/>
    <w:rsid w:val="003B6006"/>
    <w:rsid w:val="003B61E0"/>
    <w:rsid w:val="003B63A9"/>
    <w:rsid w:val="003B6985"/>
    <w:rsid w:val="003B6A67"/>
    <w:rsid w:val="003B6F3E"/>
    <w:rsid w:val="003B70C3"/>
    <w:rsid w:val="003B7273"/>
    <w:rsid w:val="003B7613"/>
    <w:rsid w:val="003B7643"/>
    <w:rsid w:val="003B795E"/>
    <w:rsid w:val="003B7B0B"/>
    <w:rsid w:val="003B7D95"/>
    <w:rsid w:val="003C0250"/>
    <w:rsid w:val="003C0BEB"/>
    <w:rsid w:val="003C0D14"/>
    <w:rsid w:val="003C13D3"/>
    <w:rsid w:val="003C15DE"/>
    <w:rsid w:val="003C1897"/>
    <w:rsid w:val="003C1BBB"/>
    <w:rsid w:val="003C2344"/>
    <w:rsid w:val="003C24D9"/>
    <w:rsid w:val="003C3574"/>
    <w:rsid w:val="003C3A42"/>
    <w:rsid w:val="003C4192"/>
    <w:rsid w:val="003C4750"/>
    <w:rsid w:val="003C5064"/>
    <w:rsid w:val="003C50C0"/>
    <w:rsid w:val="003C7053"/>
    <w:rsid w:val="003C786C"/>
    <w:rsid w:val="003C7D4F"/>
    <w:rsid w:val="003CF3D5"/>
    <w:rsid w:val="003D04DB"/>
    <w:rsid w:val="003D0D91"/>
    <w:rsid w:val="003D143B"/>
    <w:rsid w:val="003D1791"/>
    <w:rsid w:val="003D191B"/>
    <w:rsid w:val="003D1C44"/>
    <w:rsid w:val="003D1F7A"/>
    <w:rsid w:val="003D24AB"/>
    <w:rsid w:val="003D2A21"/>
    <w:rsid w:val="003D2E1C"/>
    <w:rsid w:val="003D3338"/>
    <w:rsid w:val="003D346B"/>
    <w:rsid w:val="003D34E2"/>
    <w:rsid w:val="003D371A"/>
    <w:rsid w:val="003D4080"/>
    <w:rsid w:val="003D4879"/>
    <w:rsid w:val="003D4AAE"/>
    <w:rsid w:val="003D4D86"/>
    <w:rsid w:val="003D4E6A"/>
    <w:rsid w:val="003D51B8"/>
    <w:rsid w:val="003D5282"/>
    <w:rsid w:val="003D5707"/>
    <w:rsid w:val="003D5D02"/>
    <w:rsid w:val="003D5EF6"/>
    <w:rsid w:val="003D5FE5"/>
    <w:rsid w:val="003D63BD"/>
    <w:rsid w:val="003D65B1"/>
    <w:rsid w:val="003D6976"/>
    <w:rsid w:val="003D6CDF"/>
    <w:rsid w:val="003D720A"/>
    <w:rsid w:val="003D77BD"/>
    <w:rsid w:val="003D7A86"/>
    <w:rsid w:val="003E0058"/>
    <w:rsid w:val="003E0517"/>
    <w:rsid w:val="003E06BF"/>
    <w:rsid w:val="003E10AE"/>
    <w:rsid w:val="003E11BA"/>
    <w:rsid w:val="003E1438"/>
    <w:rsid w:val="003E15E1"/>
    <w:rsid w:val="003E1AEB"/>
    <w:rsid w:val="003E1B48"/>
    <w:rsid w:val="003E1B73"/>
    <w:rsid w:val="003E2728"/>
    <w:rsid w:val="003E2877"/>
    <w:rsid w:val="003E2D63"/>
    <w:rsid w:val="003E415D"/>
    <w:rsid w:val="003E43BE"/>
    <w:rsid w:val="003E4A9A"/>
    <w:rsid w:val="003E4BF6"/>
    <w:rsid w:val="003E50BC"/>
    <w:rsid w:val="003E51CF"/>
    <w:rsid w:val="003E5AEF"/>
    <w:rsid w:val="003E5C30"/>
    <w:rsid w:val="003E5C8B"/>
    <w:rsid w:val="003E6ABB"/>
    <w:rsid w:val="003E730D"/>
    <w:rsid w:val="003E737C"/>
    <w:rsid w:val="003E765A"/>
    <w:rsid w:val="003E7E32"/>
    <w:rsid w:val="003F0043"/>
    <w:rsid w:val="003F0452"/>
    <w:rsid w:val="003F0F9D"/>
    <w:rsid w:val="003F10AC"/>
    <w:rsid w:val="003F17D4"/>
    <w:rsid w:val="003F2422"/>
    <w:rsid w:val="003F2556"/>
    <w:rsid w:val="003F2A76"/>
    <w:rsid w:val="003F350C"/>
    <w:rsid w:val="003F4227"/>
    <w:rsid w:val="003F4A58"/>
    <w:rsid w:val="003F562C"/>
    <w:rsid w:val="003F5789"/>
    <w:rsid w:val="003F5F1B"/>
    <w:rsid w:val="003F5F9D"/>
    <w:rsid w:val="003F67A6"/>
    <w:rsid w:val="003F68C7"/>
    <w:rsid w:val="003F6CB0"/>
    <w:rsid w:val="003F6E7B"/>
    <w:rsid w:val="003F70D0"/>
    <w:rsid w:val="003F76CD"/>
    <w:rsid w:val="003F79A2"/>
    <w:rsid w:val="003F7CAF"/>
    <w:rsid w:val="0040092B"/>
    <w:rsid w:val="00400A1D"/>
    <w:rsid w:val="00400B9D"/>
    <w:rsid w:val="00400E84"/>
    <w:rsid w:val="00401F76"/>
    <w:rsid w:val="00402A16"/>
    <w:rsid w:val="00402D26"/>
    <w:rsid w:val="00404257"/>
    <w:rsid w:val="00404616"/>
    <w:rsid w:val="004048EB"/>
    <w:rsid w:val="00405703"/>
    <w:rsid w:val="00405998"/>
    <w:rsid w:val="004064A3"/>
    <w:rsid w:val="00406E12"/>
    <w:rsid w:val="0040750B"/>
    <w:rsid w:val="004078BE"/>
    <w:rsid w:val="00407994"/>
    <w:rsid w:val="004106F1"/>
    <w:rsid w:val="004108A9"/>
    <w:rsid w:val="00410B1A"/>
    <w:rsid w:val="00411168"/>
    <w:rsid w:val="004114E9"/>
    <w:rsid w:val="0041163A"/>
    <w:rsid w:val="0041183B"/>
    <w:rsid w:val="004118AB"/>
    <w:rsid w:val="004124AE"/>
    <w:rsid w:val="00412752"/>
    <w:rsid w:val="004135B9"/>
    <w:rsid w:val="00413E69"/>
    <w:rsid w:val="004143F9"/>
    <w:rsid w:val="00414605"/>
    <w:rsid w:val="00414E87"/>
    <w:rsid w:val="004155AE"/>
    <w:rsid w:val="0041577F"/>
    <w:rsid w:val="004158B0"/>
    <w:rsid w:val="00417312"/>
    <w:rsid w:val="0041741B"/>
    <w:rsid w:val="00417469"/>
    <w:rsid w:val="004177B6"/>
    <w:rsid w:val="00417928"/>
    <w:rsid w:val="00420AF8"/>
    <w:rsid w:val="00420B21"/>
    <w:rsid w:val="00420DC4"/>
    <w:rsid w:val="00420ECE"/>
    <w:rsid w:val="00421147"/>
    <w:rsid w:val="00421902"/>
    <w:rsid w:val="00421F76"/>
    <w:rsid w:val="004222A1"/>
    <w:rsid w:val="00424521"/>
    <w:rsid w:val="00424608"/>
    <w:rsid w:val="00424EC0"/>
    <w:rsid w:val="00425105"/>
    <w:rsid w:val="00425FFB"/>
    <w:rsid w:val="004265CF"/>
    <w:rsid w:val="00427149"/>
    <w:rsid w:val="0042714A"/>
    <w:rsid w:val="0042717B"/>
    <w:rsid w:val="00427854"/>
    <w:rsid w:val="00427CA2"/>
    <w:rsid w:val="0043108A"/>
    <w:rsid w:val="004318C5"/>
    <w:rsid w:val="00431FFB"/>
    <w:rsid w:val="004322A9"/>
    <w:rsid w:val="00432599"/>
    <w:rsid w:val="00432DAA"/>
    <w:rsid w:val="00432E97"/>
    <w:rsid w:val="00433129"/>
    <w:rsid w:val="00433300"/>
    <w:rsid w:val="00433507"/>
    <w:rsid w:val="00433525"/>
    <w:rsid w:val="00433900"/>
    <w:rsid w:val="00433D10"/>
    <w:rsid w:val="00433DB4"/>
    <w:rsid w:val="00434795"/>
    <w:rsid w:val="00434A21"/>
    <w:rsid w:val="004352A8"/>
    <w:rsid w:val="00435FD2"/>
    <w:rsid w:val="004361D3"/>
    <w:rsid w:val="0043658C"/>
    <w:rsid w:val="00437289"/>
    <w:rsid w:val="00437D1D"/>
    <w:rsid w:val="00440457"/>
    <w:rsid w:val="00440B0F"/>
    <w:rsid w:val="00440F59"/>
    <w:rsid w:val="004413B0"/>
    <w:rsid w:val="004415D8"/>
    <w:rsid w:val="0044207F"/>
    <w:rsid w:val="00442773"/>
    <w:rsid w:val="00444464"/>
    <w:rsid w:val="00445CB9"/>
    <w:rsid w:val="0044642A"/>
    <w:rsid w:val="00446543"/>
    <w:rsid w:val="0044729B"/>
    <w:rsid w:val="0044756B"/>
    <w:rsid w:val="00447606"/>
    <w:rsid w:val="0045004C"/>
    <w:rsid w:val="00450168"/>
    <w:rsid w:val="004502CD"/>
    <w:rsid w:val="0045062F"/>
    <w:rsid w:val="004506DC"/>
    <w:rsid w:val="00450B25"/>
    <w:rsid w:val="00452A4B"/>
    <w:rsid w:val="00452F58"/>
    <w:rsid w:val="0045343B"/>
    <w:rsid w:val="00453891"/>
    <w:rsid w:val="004539F0"/>
    <w:rsid w:val="00453C1E"/>
    <w:rsid w:val="00453C3B"/>
    <w:rsid w:val="004548F1"/>
    <w:rsid w:val="004554EB"/>
    <w:rsid w:val="00455D06"/>
    <w:rsid w:val="00455DC8"/>
    <w:rsid w:val="0045604D"/>
    <w:rsid w:val="00456F6C"/>
    <w:rsid w:val="00457584"/>
    <w:rsid w:val="004600C8"/>
    <w:rsid w:val="004603C7"/>
    <w:rsid w:val="00460595"/>
    <w:rsid w:val="00460D13"/>
    <w:rsid w:val="00460EFB"/>
    <w:rsid w:val="0046158A"/>
    <w:rsid w:val="00461975"/>
    <w:rsid w:val="00462332"/>
    <w:rsid w:val="004624BB"/>
    <w:rsid w:val="004625E8"/>
    <w:rsid w:val="004637FD"/>
    <w:rsid w:val="00464416"/>
    <w:rsid w:val="004647E8"/>
    <w:rsid w:val="00464A5F"/>
    <w:rsid w:val="00464CFB"/>
    <w:rsid w:val="00464F47"/>
    <w:rsid w:val="004660FA"/>
    <w:rsid w:val="00466136"/>
    <w:rsid w:val="0046616F"/>
    <w:rsid w:val="00466BB7"/>
    <w:rsid w:val="004673FC"/>
    <w:rsid w:val="00467594"/>
    <w:rsid w:val="00467FAB"/>
    <w:rsid w:val="00470B5C"/>
    <w:rsid w:val="004718B5"/>
    <w:rsid w:val="00472749"/>
    <w:rsid w:val="00472BB9"/>
    <w:rsid w:val="00472EAA"/>
    <w:rsid w:val="00473AE8"/>
    <w:rsid w:val="00473E34"/>
    <w:rsid w:val="00473E42"/>
    <w:rsid w:val="00474020"/>
    <w:rsid w:val="0047452F"/>
    <w:rsid w:val="0047462F"/>
    <w:rsid w:val="0047485D"/>
    <w:rsid w:val="00474C1D"/>
    <w:rsid w:val="004756F0"/>
    <w:rsid w:val="00475C61"/>
    <w:rsid w:val="00475FEE"/>
    <w:rsid w:val="00476478"/>
    <w:rsid w:val="00477892"/>
    <w:rsid w:val="00477976"/>
    <w:rsid w:val="00477D08"/>
    <w:rsid w:val="004802A3"/>
    <w:rsid w:val="00480588"/>
    <w:rsid w:val="00480792"/>
    <w:rsid w:val="00480B35"/>
    <w:rsid w:val="00480CC3"/>
    <w:rsid w:val="004820C6"/>
    <w:rsid w:val="004821E4"/>
    <w:rsid w:val="00482795"/>
    <w:rsid w:val="004843DE"/>
    <w:rsid w:val="00484A3D"/>
    <w:rsid w:val="00484D91"/>
    <w:rsid w:val="00485051"/>
    <w:rsid w:val="00485A04"/>
    <w:rsid w:val="004866DD"/>
    <w:rsid w:val="00486889"/>
    <w:rsid w:val="0048711E"/>
    <w:rsid w:val="0048735C"/>
    <w:rsid w:val="0048735E"/>
    <w:rsid w:val="00487499"/>
    <w:rsid w:val="0049075F"/>
    <w:rsid w:val="00490970"/>
    <w:rsid w:val="00490FE5"/>
    <w:rsid w:val="00491074"/>
    <w:rsid w:val="004913B5"/>
    <w:rsid w:val="0049143D"/>
    <w:rsid w:val="00491F4F"/>
    <w:rsid w:val="004928B2"/>
    <w:rsid w:val="00493925"/>
    <w:rsid w:val="0049476A"/>
    <w:rsid w:val="0049481D"/>
    <w:rsid w:val="00494C90"/>
    <w:rsid w:val="00496064"/>
    <w:rsid w:val="00496753"/>
    <w:rsid w:val="00496F1D"/>
    <w:rsid w:val="00497A7B"/>
    <w:rsid w:val="004A00FB"/>
    <w:rsid w:val="004A081E"/>
    <w:rsid w:val="004A0935"/>
    <w:rsid w:val="004A0E66"/>
    <w:rsid w:val="004A1497"/>
    <w:rsid w:val="004A1C06"/>
    <w:rsid w:val="004A1CDD"/>
    <w:rsid w:val="004A2916"/>
    <w:rsid w:val="004A41B3"/>
    <w:rsid w:val="004A4B68"/>
    <w:rsid w:val="004A62C9"/>
    <w:rsid w:val="004A66B5"/>
    <w:rsid w:val="004A6D08"/>
    <w:rsid w:val="004A7030"/>
    <w:rsid w:val="004A70E2"/>
    <w:rsid w:val="004A70F3"/>
    <w:rsid w:val="004A743B"/>
    <w:rsid w:val="004A74A1"/>
    <w:rsid w:val="004A76D5"/>
    <w:rsid w:val="004B0273"/>
    <w:rsid w:val="004B0416"/>
    <w:rsid w:val="004B12BD"/>
    <w:rsid w:val="004B2888"/>
    <w:rsid w:val="004B2E41"/>
    <w:rsid w:val="004B32A4"/>
    <w:rsid w:val="004B3437"/>
    <w:rsid w:val="004B39E0"/>
    <w:rsid w:val="004B409A"/>
    <w:rsid w:val="004B41C8"/>
    <w:rsid w:val="004B4E44"/>
    <w:rsid w:val="004B61C6"/>
    <w:rsid w:val="004B6242"/>
    <w:rsid w:val="004B65BA"/>
    <w:rsid w:val="004B687E"/>
    <w:rsid w:val="004B6B1A"/>
    <w:rsid w:val="004B789D"/>
    <w:rsid w:val="004C0365"/>
    <w:rsid w:val="004C07A9"/>
    <w:rsid w:val="004C0BA9"/>
    <w:rsid w:val="004C11D2"/>
    <w:rsid w:val="004C1607"/>
    <w:rsid w:val="004C187F"/>
    <w:rsid w:val="004C1DB6"/>
    <w:rsid w:val="004C22D8"/>
    <w:rsid w:val="004C291D"/>
    <w:rsid w:val="004C2A45"/>
    <w:rsid w:val="004C3547"/>
    <w:rsid w:val="004C4269"/>
    <w:rsid w:val="004C480D"/>
    <w:rsid w:val="004C5169"/>
    <w:rsid w:val="004C59E1"/>
    <w:rsid w:val="004C6EE0"/>
    <w:rsid w:val="004C717C"/>
    <w:rsid w:val="004C78F1"/>
    <w:rsid w:val="004C7ADE"/>
    <w:rsid w:val="004D05C2"/>
    <w:rsid w:val="004D06A3"/>
    <w:rsid w:val="004D0715"/>
    <w:rsid w:val="004D0F11"/>
    <w:rsid w:val="004D13C5"/>
    <w:rsid w:val="004D13FB"/>
    <w:rsid w:val="004D15CB"/>
    <w:rsid w:val="004D2ED9"/>
    <w:rsid w:val="004D3D99"/>
    <w:rsid w:val="004D5052"/>
    <w:rsid w:val="004D5402"/>
    <w:rsid w:val="004D5B51"/>
    <w:rsid w:val="004D63D3"/>
    <w:rsid w:val="004D758A"/>
    <w:rsid w:val="004E06F2"/>
    <w:rsid w:val="004E16AE"/>
    <w:rsid w:val="004E23B5"/>
    <w:rsid w:val="004E24C4"/>
    <w:rsid w:val="004E2E2C"/>
    <w:rsid w:val="004E2E84"/>
    <w:rsid w:val="004E2F20"/>
    <w:rsid w:val="004E358D"/>
    <w:rsid w:val="004E385F"/>
    <w:rsid w:val="004E40CF"/>
    <w:rsid w:val="004E4508"/>
    <w:rsid w:val="004E491F"/>
    <w:rsid w:val="004E497B"/>
    <w:rsid w:val="004E5825"/>
    <w:rsid w:val="004E5FAC"/>
    <w:rsid w:val="004E77CC"/>
    <w:rsid w:val="004E7B8C"/>
    <w:rsid w:val="004E7E0B"/>
    <w:rsid w:val="004F0C3F"/>
    <w:rsid w:val="004F0CDF"/>
    <w:rsid w:val="004F0DDF"/>
    <w:rsid w:val="004F0E1C"/>
    <w:rsid w:val="004F1FE1"/>
    <w:rsid w:val="004F3170"/>
    <w:rsid w:val="004F3414"/>
    <w:rsid w:val="004F3634"/>
    <w:rsid w:val="004F3647"/>
    <w:rsid w:val="004F39B1"/>
    <w:rsid w:val="004F3C83"/>
    <w:rsid w:val="004F3E02"/>
    <w:rsid w:val="004F3E0E"/>
    <w:rsid w:val="004F40BC"/>
    <w:rsid w:val="004F43AD"/>
    <w:rsid w:val="004F5AD6"/>
    <w:rsid w:val="004F5B2B"/>
    <w:rsid w:val="004F6618"/>
    <w:rsid w:val="004F6B15"/>
    <w:rsid w:val="004F71DE"/>
    <w:rsid w:val="0050012F"/>
    <w:rsid w:val="00500170"/>
    <w:rsid w:val="00500284"/>
    <w:rsid w:val="0050083D"/>
    <w:rsid w:val="00500844"/>
    <w:rsid w:val="0050097A"/>
    <w:rsid w:val="0050097D"/>
    <w:rsid w:val="0050147E"/>
    <w:rsid w:val="005014F3"/>
    <w:rsid w:val="00501BAF"/>
    <w:rsid w:val="00501EE3"/>
    <w:rsid w:val="0050203B"/>
    <w:rsid w:val="005023BD"/>
    <w:rsid w:val="00502E32"/>
    <w:rsid w:val="00503689"/>
    <w:rsid w:val="0050385E"/>
    <w:rsid w:val="005048C5"/>
    <w:rsid w:val="00505E0C"/>
    <w:rsid w:val="0050658D"/>
    <w:rsid w:val="00506DD6"/>
    <w:rsid w:val="00506FCE"/>
    <w:rsid w:val="0050740B"/>
    <w:rsid w:val="005105F8"/>
    <w:rsid w:val="00510777"/>
    <w:rsid w:val="00510986"/>
    <w:rsid w:val="00510C19"/>
    <w:rsid w:val="00510D31"/>
    <w:rsid w:val="00511B7E"/>
    <w:rsid w:val="00511E11"/>
    <w:rsid w:val="005121E5"/>
    <w:rsid w:val="00512827"/>
    <w:rsid w:val="00513061"/>
    <w:rsid w:val="0051404C"/>
    <w:rsid w:val="00514463"/>
    <w:rsid w:val="00514B72"/>
    <w:rsid w:val="005168E4"/>
    <w:rsid w:val="005169E2"/>
    <w:rsid w:val="00516F26"/>
    <w:rsid w:val="00517AD8"/>
    <w:rsid w:val="00517F2B"/>
    <w:rsid w:val="00520029"/>
    <w:rsid w:val="00520063"/>
    <w:rsid w:val="005200D2"/>
    <w:rsid w:val="0052023C"/>
    <w:rsid w:val="005202BF"/>
    <w:rsid w:val="00520AD5"/>
    <w:rsid w:val="00520FDC"/>
    <w:rsid w:val="005210E6"/>
    <w:rsid w:val="00522840"/>
    <w:rsid w:val="00522BCB"/>
    <w:rsid w:val="0052420E"/>
    <w:rsid w:val="005245CE"/>
    <w:rsid w:val="00524A86"/>
    <w:rsid w:val="00524F21"/>
    <w:rsid w:val="00526C7B"/>
    <w:rsid w:val="005277F7"/>
    <w:rsid w:val="0052797B"/>
    <w:rsid w:val="00527B02"/>
    <w:rsid w:val="005319F1"/>
    <w:rsid w:val="00531EE2"/>
    <w:rsid w:val="00532124"/>
    <w:rsid w:val="00532547"/>
    <w:rsid w:val="005326B1"/>
    <w:rsid w:val="00532AF9"/>
    <w:rsid w:val="00532B40"/>
    <w:rsid w:val="00532C44"/>
    <w:rsid w:val="00533CDB"/>
    <w:rsid w:val="00533FF7"/>
    <w:rsid w:val="00534399"/>
    <w:rsid w:val="00534C1A"/>
    <w:rsid w:val="00534E87"/>
    <w:rsid w:val="00534F47"/>
    <w:rsid w:val="00535167"/>
    <w:rsid w:val="00535687"/>
    <w:rsid w:val="00536313"/>
    <w:rsid w:val="005369CD"/>
    <w:rsid w:val="005379D1"/>
    <w:rsid w:val="00537AFD"/>
    <w:rsid w:val="00540973"/>
    <w:rsid w:val="00540E01"/>
    <w:rsid w:val="00541016"/>
    <w:rsid w:val="00541077"/>
    <w:rsid w:val="00541087"/>
    <w:rsid w:val="00541A28"/>
    <w:rsid w:val="00542082"/>
    <w:rsid w:val="00542247"/>
    <w:rsid w:val="00543806"/>
    <w:rsid w:val="00543A47"/>
    <w:rsid w:val="00543C56"/>
    <w:rsid w:val="00544298"/>
    <w:rsid w:val="0054493C"/>
    <w:rsid w:val="005449F4"/>
    <w:rsid w:val="00545340"/>
    <w:rsid w:val="0054568F"/>
    <w:rsid w:val="005458FE"/>
    <w:rsid w:val="00546076"/>
    <w:rsid w:val="00546535"/>
    <w:rsid w:val="00546A65"/>
    <w:rsid w:val="00546A80"/>
    <w:rsid w:val="00546D8D"/>
    <w:rsid w:val="0054713E"/>
    <w:rsid w:val="005474F2"/>
    <w:rsid w:val="00547C7F"/>
    <w:rsid w:val="0055027C"/>
    <w:rsid w:val="005508F1"/>
    <w:rsid w:val="00551423"/>
    <w:rsid w:val="00551646"/>
    <w:rsid w:val="00551701"/>
    <w:rsid w:val="00551821"/>
    <w:rsid w:val="00551E6D"/>
    <w:rsid w:val="005521D1"/>
    <w:rsid w:val="00552945"/>
    <w:rsid w:val="005532C8"/>
    <w:rsid w:val="00553302"/>
    <w:rsid w:val="00553442"/>
    <w:rsid w:val="0055406F"/>
    <w:rsid w:val="0055445B"/>
    <w:rsid w:val="005544D7"/>
    <w:rsid w:val="005545EF"/>
    <w:rsid w:val="00554834"/>
    <w:rsid w:val="00554C86"/>
    <w:rsid w:val="005558E4"/>
    <w:rsid w:val="00556387"/>
    <w:rsid w:val="0055739C"/>
    <w:rsid w:val="00557E01"/>
    <w:rsid w:val="005609B5"/>
    <w:rsid w:val="005610F2"/>
    <w:rsid w:val="005610FC"/>
    <w:rsid w:val="005616A4"/>
    <w:rsid w:val="00563005"/>
    <w:rsid w:val="00563113"/>
    <w:rsid w:val="00563215"/>
    <w:rsid w:val="005634E8"/>
    <w:rsid w:val="0056354A"/>
    <w:rsid w:val="00563828"/>
    <w:rsid w:val="00563F94"/>
    <w:rsid w:val="00564764"/>
    <w:rsid w:val="00564A61"/>
    <w:rsid w:val="00564A97"/>
    <w:rsid w:val="00564B1D"/>
    <w:rsid w:val="00565268"/>
    <w:rsid w:val="005655EB"/>
    <w:rsid w:val="005662F2"/>
    <w:rsid w:val="00566377"/>
    <w:rsid w:val="005705BF"/>
    <w:rsid w:val="00571674"/>
    <w:rsid w:val="00572704"/>
    <w:rsid w:val="00572CDC"/>
    <w:rsid w:val="00572F3A"/>
    <w:rsid w:val="005739A3"/>
    <w:rsid w:val="00573B69"/>
    <w:rsid w:val="00574A4A"/>
    <w:rsid w:val="00574E22"/>
    <w:rsid w:val="00574FDB"/>
    <w:rsid w:val="00576299"/>
    <w:rsid w:val="00576A3A"/>
    <w:rsid w:val="00577D8B"/>
    <w:rsid w:val="005803F7"/>
    <w:rsid w:val="0058093B"/>
    <w:rsid w:val="0058251F"/>
    <w:rsid w:val="00582890"/>
    <w:rsid w:val="00582924"/>
    <w:rsid w:val="005830AF"/>
    <w:rsid w:val="005833A2"/>
    <w:rsid w:val="00584315"/>
    <w:rsid w:val="0058447B"/>
    <w:rsid w:val="005847DC"/>
    <w:rsid w:val="005848CD"/>
    <w:rsid w:val="00584E14"/>
    <w:rsid w:val="0058531E"/>
    <w:rsid w:val="005853E0"/>
    <w:rsid w:val="005855E8"/>
    <w:rsid w:val="00586159"/>
    <w:rsid w:val="005861B1"/>
    <w:rsid w:val="00586946"/>
    <w:rsid w:val="00587215"/>
    <w:rsid w:val="00587453"/>
    <w:rsid w:val="00587687"/>
    <w:rsid w:val="00587D58"/>
    <w:rsid w:val="00590B24"/>
    <w:rsid w:val="0059181A"/>
    <w:rsid w:val="0059276A"/>
    <w:rsid w:val="00594658"/>
    <w:rsid w:val="005951E6"/>
    <w:rsid w:val="0059523B"/>
    <w:rsid w:val="0059586C"/>
    <w:rsid w:val="00595B48"/>
    <w:rsid w:val="005964A8"/>
    <w:rsid w:val="0059778C"/>
    <w:rsid w:val="00597C99"/>
    <w:rsid w:val="005A0102"/>
    <w:rsid w:val="005A08A9"/>
    <w:rsid w:val="005A0E38"/>
    <w:rsid w:val="005A137D"/>
    <w:rsid w:val="005A1735"/>
    <w:rsid w:val="005A1CDA"/>
    <w:rsid w:val="005A2105"/>
    <w:rsid w:val="005A22CB"/>
    <w:rsid w:val="005A39E7"/>
    <w:rsid w:val="005A4B8B"/>
    <w:rsid w:val="005A5F2A"/>
    <w:rsid w:val="005A7316"/>
    <w:rsid w:val="005A7398"/>
    <w:rsid w:val="005A784C"/>
    <w:rsid w:val="005B083B"/>
    <w:rsid w:val="005B0845"/>
    <w:rsid w:val="005B12AE"/>
    <w:rsid w:val="005B232C"/>
    <w:rsid w:val="005B3296"/>
    <w:rsid w:val="005B36DC"/>
    <w:rsid w:val="005B375D"/>
    <w:rsid w:val="005B3792"/>
    <w:rsid w:val="005B3F2F"/>
    <w:rsid w:val="005B4046"/>
    <w:rsid w:val="005B5D5A"/>
    <w:rsid w:val="005B604F"/>
    <w:rsid w:val="005B6334"/>
    <w:rsid w:val="005B70E1"/>
    <w:rsid w:val="005B7D8F"/>
    <w:rsid w:val="005C0274"/>
    <w:rsid w:val="005C03F6"/>
    <w:rsid w:val="005C14BC"/>
    <w:rsid w:val="005C18EB"/>
    <w:rsid w:val="005C1E25"/>
    <w:rsid w:val="005C1E5B"/>
    <w:rsid w:val="005C1EB9"/>
    <w:rsid w:val="005C24DE"/>
    <w:rsid w:val="005C3CD9"/>
    <w:rsid w:val="005C3CFD"/>
    <w:rsid w:val="005C3EA3"/>
    <w:rsid w:val="005C4153"/>
    <w:rsid w:val="005C442C"/>
    <w:rsid w:val="005C4D9E"/>
    <w:rsid w:val="005C575E"/>
    <w:rsid w:val="005C5799"/>
    <w:rsid w:val="005C5D1B"/>
    <w:rsid w:val="005C6B0E"/>
    <w:rsid w:val="005C6FA0"/>
    <w:rsid w:val="005C7849"/>
    <w:rsid w:val="005C7AC4"/>
    <w:rsid w:val="005C7CF1"/>
    <w:rsid w:val="005C7F08"/>
    <w:rsid w:val="005D1326"/>
    <w:rsid w:val="005D2201"/>
    <w:rsid w:val="005D292F"/>
    <w:rsid w:val="005D2F26"/>
    <w:rsid w:val="005D31A7"/>
    <w:rsid w:val="005D4531"/>
    <w:rsid w:val="005D4FC9"/>
    <w:rsid w:val="005D64C7"/>
    <w:rsid w:val="005D667A"/>
    <w:rsid w:val="005D6A04"/>
    <w:rsid w:val="005D6F13"/>
    <w:rsid w:val="005E057C"/>
    <w:rsid w:val="005E0EC6"/>
    <w:rsid w:val="005E1476"/>
    <w:rsid w:val="005E16D6"/>
    <w:rsid w:val="005E1A56"/>
    <w:rsid w:val="005E1FEE"/>
    <w:rsid w:val="005E20BF"/>
    <w:rsid w:val="005E2965"/>
    <w:rsid w:val="005E2A67"/>
    <w:rsid w:val="005E2C43"/>
    <w:rsid w:val="005E2E0C"/>
    <w:rsid w:val="005E4BFB"/>
    <w:rsid w:val="005E4DE1"/>
    <w:rsid w:val="005E5608"/>
    <w:rsid w:val="005E5D55"/>
    <w:rsid w:val="005E633F"/>
    <w:rsid w:val="005E68E6"/>
    <w:rsid w:val="005E7708"/>
    <w:rsid w:val="005E7CB1"/>
    <w:rsid w:val="005F0551"/>
    <w:rsid w:val="005F0A7F"/>
    <w:rsid w:val="005F1917"/>
    <w:rsid w:val="005F1C96"/>
    <w:rsid w:val="005F202D"/>
    <w:rsid w:val="005F22D3"/>
    <w:rsid w:val="005F3C41"/>
    <w:rsid w:val="005F3C8E"/>
    <w:rsid w:val="005F436A"/>
    <w:rsid w:val="005F44E0"/>
    <w:rsid w:val="005F454A"/>
    <w:rsid w:val="005F504F"/>
    <w:rsid w:val="005F5C6B"/>
    <w:rsid w:val="005F5E80"/>
    <w:rsid w:val="005F6018"/>
    <w:rsid w:val="005F626B"/>
    <w:rsid w:val="005F7394"/>
    <w:rsid w:val="005F758B"/>
    <w:rsid w:val="005F7ED0"/>
    <w:rsid w:val="00600506"/>
    <w:rsid w:val="006012EB"/>
    <w:rsid w:val="00601AEE"/>
    <w:rsid w:val="00601D3F"/>
    <w:rsid w:val="00601FC1"/>
    <w:rsid w:val="0060272D"/>
    <w:rsid w:val="0060281A"/>
    <w:rsid w:val="0060322A"/>
    <w:rsid w:val="00603551"/>
    <w:rsid w:val="00603C14"/>
    <w:rsid w:val="0060414F"/>
    <w:rsid w:val="006044E3"/>
    <w:rsid w:val="00604844"/>
    <w:rsid w:val="00604D9E"/>
    <w:rsid w:val="00604E97"/>
    <w:rsid w:val="00604FB2"/>
    <w:rsid w:val="00605514"/>
    <w:rsid w:val="006057F8"/>
    <w:rsid w:val="0060591B"/>
    <w:rsid w:val="00605BF3"/>
    <w:rsid w:val="00605EBF"/>
    <w:rsid w:val="006061F0"/>
    <w:rsid w:val="0060666B"/>
    <w:rsid w:val="006071CA"/>
    <w:rsid w:val="006078AB"/>
    <w:rsid w:val="00607AD0"/>
    <w:rsid w:val="00607CD8"/>
    <w:rsid w:val="0061005C"/>
    <w:rsid w:val="0061011B"/>
    <w:rsid w:val="00612396"/>
    <w:rsid w:val="0061256A"/>
    <w:rsid w:val="00612B93"/>
    <w:rsid w:val="00612F4F"/>
    <w:rsid w:val="00613022"/>
    <w:rsid w:val="00613510"/>
    <w:rsid w:val="006141DE"/>
    <w:rsid w:val="006142E5"/>
    <w:rsid w:val="00614995"/>
    <w:rsid w:val="00614DCA"/>
    <w:rsid w:val="006160D1"/>
    <w:rsid w:val="006166B6"/>
    <w:rsid w:val="006174A4"/>
    <w:rsid w:val="00617F5B"/>
    <w:rsid w:val="00621313"/>
    <w:rsid w:val="00621D42"/>
    <w:rsid w:val="00622811"/>
    <w:rsid w:val="00622A2C"/>
    <w:rsid w:val="00622AF4"/>
    <w:rsid w:val="00623640"/>
    <w:rsid w:val="0062391E"/>
    <w:rsid w:val="00623EBD"/>
    <w:rsid w:val="00624D31"/>
    <w:rsid w:val="00626754"/>
    <w:rsid w:val="00626A82"/>
    <w:rsid w:val="00626D35"/>
    <w:rsid w:val="00631099"/>
    <w:rsid w:val="00631EA6"/>
    <w:rsid w:val="00632280"/>
    <w:rsid w:val="00632576"/>
    <w:rsid w:val="00633844"/>
    <w:rsid w:val="00633AE4"/>
    <w:rsid w:val="00633B91"/>
    <w:rsid w:val="00633FC2"/>
    <w:rsid w:val="00634BCE"/>
    <w:rsid w:val="00635BCA"/>
    <w:rsid w:val="00635DE0"/>
    <w:rsid w:val="00635E91"/>
    <w:rsid w:val="0063644B"/>
    <w:rsid w:val="00636562"/>
    <w:rsid w:val="00636CB3"/>
    <w:rsid w:val="00637D99"/>
    <w:rsid w:val="00640894"/>
    <w:rsid w:val="00640E38"/>
    <w:rsid w:val="00641574"/>
    <w:rsid w:val="00641EB0"/>
    <w:rsid w:val="00641FE4"/>
    <w:rsid w:val="00642371"/>
    <w:rsid w:val="006423FB"/>
    <w:rsid w:val="00643B0B"/>
    <w:rsid w:val="006440EA"/>
    <w:rsid w:val="0064436A"/>
    <w:rsid w:val="0064490F"/>
    <w:rsid w:val="006459FF"/>
    <w:rsid w:val="0064646F"/>
    <w:rsid w:val="0065006A"/>
    <w:rsid w:val="0065015E"/>
    <w:rsid w:val="00650298"/>
    <w:rsid w:val="00651002"/>
    <w:rsid w:val="0065140E"/>
    <w:rsid w:val="006520F0"/>
    <w:rsid w:val="006528A6"/>
    <w:rsid w:val="00653233"/>
    <w:rsid w:val="00653D44"/>
    <w:rsid w:val="00653FEE"/>
    <w:rsid w:val="0065456F"/>
    <w:rsid w:val="0065465A"/>
    <w:rsid w:val="00654B2F"/>
    <w:rsid w:val="00654EF3"/>
    <w:rsid w:val="00655F91"/>
    <w:rsid w:val="00656410"/>
    <w:rsid w:val="00656B54"/>
    <w:rsid w:val="0065795A"/>
    <w:rsid w:val="006611CF"/>
    <w:rsid w:val="0066156E"/>
    <w:rsid w:val="00661A34"/>
    <w:rsid w:val="00661F4F"/>
    <w:rsid w:val="006620E5"/>
    <w:rsid w:val="0066271A"/>
    <w:rsid w:val="0066392E"/>
    <w:rsid w:val="00663B8C"/>
    <w:rsid w:val="00664300"/>
    <w:rsid w:val="00664ABB"/>
    <w:rsid w:val="00665BBE"/>
    <w:rsid w:val="0066611A"/>
    <w:rsid w:val="00666383"/>
    <w:rsid w:val="006664C4"/>
    <w:rsid w:val="006666DA"/>
    <w:rsid w:val="006667C2"/>
    <w:rsid w:val="006677B0"/>
    <w:rsid w:val="00667BEE"/>
    <w:rsid w:val="006703D1"/>
    <w:rsid w:val="00670C58"/>
    <w:rsid w:val="00670D12"/>
    <w:rsid w:val="00671E72"/>
    <w:rsid w:val="006724F5"/>
    <w:rsid w:val="0067256E"/>
    <w:rsid w:val="00672589"/>
    <w:rsid w:val="0067277A"/>
    <w:rsid w:val="00673606"/>
    <w:rsid w:val="00674286"/>
    <w:rsid w:val="00675867"/>
    <w:rsid w:val="00675959"/>
    <w:rsid w:val="00675FB7"/>
    <w:rsid w:val="006760FC"/>
    <w:rsid w:val="00676973"/>
    <w:rsid w:val="006769C9"/>
    <w:rsid w:val="00677595"/>
    <w:rsid w:val="006775C3"/>
    <w:rsid w:val="00677903"/>
    <w:rsid w:val="00677C5D"/>
    <w:rsid w:val="00677D19"/>
    <w:rsid w:val="00677DA0"/>
    <w:rsid w:val="00680A80"/>
    <w:rsid w:val="006811CD"/>
    <w:rsid w:val="00681773"/>
    <w:rsid w:val="00681915"/>
    <w:rsid w:val="00681DBB"/>
    <w:rsid w:val="006829B2"/>
    <w:rsid w:val="00682A99"/>
    <w:rsid w:val="00683236"/>
    <w:rsid w:val="00684116"/>
    <w:rsid w:val="0068429D"/>
    <w:rsid w:val="00685537"/>
    <w:rsid w:val="00685762"/>
    <w:rsid w:val="00685964"/>
    <w:rsid w:val="00686275"/>
    <w:rsid w:val="00686701"/>
    <w:rsid w:val="006875EF"/>
    <w:rsid w:val="00687B96"/>
    <w:rsid w:val="00690563"/>
    <w:rsid w:val="00690B56"/>
    <w:rsid w:val="006914E4"/>
    <w:rsid w:val="006917A0"/>
    <w:rsid w:val="00691E7F"/>
    <w:rsid w:val="00692056"/>
    <w:rsid w:val="00692AFB"/>
    <w:rsid w:val="00693124"/>
    <w:rsid w:val="00693578"/>
    <w:rsid w:val="00693A01"/>
    <w:rsid w:val="00694263"/>
    <w:rsid w:val="0069455D"/>
    <w:rsid w:val="0069468F"/>
    <w:rsid w:val="0069497D"/>
    <w:rsid w:val="00694BF5"/>
    <w:rsid w:val="006950E4"/>
    <w:rsid w:val="00695338"/>
    <w:rsid w:val="00695349"/>
    <w:rsid w:val="0069666A"/>
    <w:rsid w:val="00697048"/>
    <w:rsid w:val="006970EC"/>
    <w:rsid w:val="006971E8"/>
    <w:rsid w:val="0069752F"/>
    <w:rsid w:val="00697B0C"/>
    <w:rsid w:val="006A009F"/>
    <w:rsid w:val="006A0E48"/>
    <w:rsid w:val="006A0E65"/>
    <w:rsid w:val="006A1C11"/>
    <w:rsid w:val="006A2752"/>
    <w:rsid w:val="006A28D9"/>
    <w:rsid w:val="006A31E2"/>
    <w:rsid w:val="006A33F0"/>
    <w:rsid w:val="006A4013"/>
    <w:rsid w:val="006A4F43"/>
    <w:rsid w:val="006A53CE"/>
    <w:rsid w:val="006A5BD7"/>
    <w:rsid w:val="006A6BB9"/>
    <w:rsid w:val="006A7096"/>
    <w:rsid w:val="006A712D"/>
    <w:rsid w:val="006A7E34"/>
    <w:rsid w:val="006B0128"/>
    <w:rsid w:val="006B1256"/>
    <w:rsid w:val="006B1445"/>
    <w:rsid w:val="006B160E"/>
    <w:rsid w:val="006B1627"/>
    <w:rsid w:val="006B17E2"/>
    <w:rsid w:val="006B1892"/>
    <w:rsid w:val="006B22A4"/>
    <w:rsid w:val="006B27E4"/>
    <w:rsid w:val="006B2D60"/>
    <w:rsid w:val="006B2F02"/>
    <w:rsid w:val="006B31FE"/>
    <w:rsid w:val="006B34D7"/>
    <w:rsid w:val="006B34DF"/>
    <w:rsid w:val="006B398E"/>
    <w:rsid w:val="006B3CA2"/>
    <w:rsid w:val="006B3CAC"/>
    <w:rsid w:val="006B44E3"/>
    <w:rsid w:val="006B4766"/>
    <w:rsid w:val="006B4F21"/>
    <w:rsid w:val="006B5B47"/>
    <w:rsid w:val="006B5D9B"/>
    <w:rsid w:val="006B6715"/>
    <w:rsid w:val="006B6C26"/>
    <w:rsid w:val="006B6E52"/>
    <w:rsid w:val="006C009A"/>
    <w:rsid w:val="006C08A6"/>
    <w:rsid w:val="006C0A54"/>
    <w:rsid w:val="006C10D6"/>
    <w:rsid w:val="006C163E"/>
    <w:rsid w:val="006C1849"/>
    <w:rsid w:val="006C2336"/>
    <w:rsid w:val="006C46A3"/>
    <w:rsid w:val="006C4DD2"/>
    <w:rsid w:val="006C4E99"/>
    <w:rsid w:val="006C4F19"/>
    <w:rsid w:val="006C5016"/>
    <w:rsid w:val="006C5FDA"/>
    <w:rsid w:val="006C674A"/>
    <w:rsid w:val="006C781D"/>
    <w:rsid w:val="006C7F76"/>
    <w:rsid w:val="006D0316"/>
    <w:rsid w:val="006D0496"/>
    <w:rsid w:val="006D09FD"/>
    <w:rsid w:val="006D0D05"/>
    <w:rsid w:val="006D1114"/>
    <w:rsid w:val="006D167F"/>
    <w:rsid w:val="006D1813"/>
    <w:rsid w:val="006D18E6"/>
    <w:rsid w:val="006D2D29"/>
    <w:rsid w:val="006D2E7F"/>
    <w:rsid w:val="006D4535"/>
    <w:rsid w:val="006D58C0"/>
    <w:rsid w:val="006D5A84"/>
    <w:rsid w:val="006D6D4D"/>
    <w:rsid w:val="006D740C"/>
    <w:rsid w:val="006D77E6"/>
    <w:rsid w:val="006D7DA6"/>
    <w:rsid w:val="006E04FD"/>
    <w:rsid w:val="006E06A8"/>
    <w:rsid w:val="006E087B"/>
    <w:rsid w:val="006E0B00"/>
    <w:rsid w:val="006E0DB7"/>
    <w:rsid w:val="006E1920"/>
    <w:rsid w:val="006E19A0"/>
    <w:rsid w:val="006E1AB9"/>
    <w:rsid w:val="006E1BFA"/>
    <w:rsid w:val="006E1E37"/>
    <w:rsid w:val="006E1E38"/>
    <w:rsid w:val="006E2A98"/>
    <w:rsid w:val="006E324B"/>
    <w:rsid w:val="006E36B3"/>
    <w:rsid w:val="006E3A51"/>
    <w:rsid w:val="006E3CFD"/>
    <w:rsid w:val="006E3D64"/>
    <w:rsid w:val="006E4162"/>
    <w:rsid w:val="006E4507"/>
    <w:rsid w:val="006E486D"/>
    <w:rsid w:val="006E5353"/>
    <w:rsid w:val="006E61DB"/>
    <w:rsid w:val="006E6594"/>
    <w:rsid w:val="006E7024"/>
    <w:rsid w:val="006E7389"/>
    <w:rsid w:val="006E7827"/>
    <w:rsid w:val="006E791A"/>
    <w:rsid w:val="006F11BF"/>
    <w:rsid w:val="006F12CA"/>
    <w:rsid w:val="006F1564"/>
    <w:rsid w:val="006F3684"/>
    <w:rsid w:val="006F37FF"/>
    <w:rsid w:val="006F3EA3"/>
    <w:rsid w:val="006F419C"/>
    <w:rsid w:val="006F489B"/>
    <w:rsid w:val="006F4933"/>
    <w:rsid w:val="006F4DD8"/>
    <w:rsid w:val="006F5177"/>
    <w:rsid w:val="006F5333"/>
    <w:rsid w:val="006F63FB"/>
    <w:rsid w:val="006F72AA"/>
    <w:rsid w:val="006F7EA6"/>
    <w:rsid w:val="00700ED3"/>
    <w:rsid w:val="0070104C"/>
    <w:rsid w:val="00701B13"/>
    <w:rsid w:val="00702E8B"/>
    <w:rsid w:val="007032F5"/>
    <w:rsid w:val="00703A15"/>
    <w:rsid w:val="007041D0"/>
    <w:rsid w:val="007043FC"/>
    <w:rsid w:val="00704436"/>
    <w:rsid w:val="00704661"/>
    <w:rsid w:val="00704710"/>
    <w:rsid w:val="007049C2"/>
    <w:rsid w:val="0070558F"/>
    <w:rsid w:val="0070577D"/>
    <w:rsid w:val="007066FD"/>
    <w:rsid w:val="00707217"/>
    <w:rsid w:val="00710203"/>
    <w:rsid w:val="00710F29"/>
    <w:rsid w:val="007115BF"/>
    <w:rsid w:val="0071178A"/>
    <w:rsid w:val="00711B31"/>
    <w:rsid w:val="00711ED9"/>
    <w:rsid w:val="007123E1"/>
    <w:rsid w:val="007127B2"/>
    <w:rsid w:val="007134B2"/>
    <w:rsid w:val="00713603"/>
    <w:rsid w:val="007138A8"/>
    <w:rsid w:val="0071395D"/>
    <w:rsid w:val="00713E0E"/>
    <w:rsid w:val="0071430B"/>
    <w:rsid w:val="00714C6C"/>
    <w:rsid w:val="007155CA"/>
    <w:rsid w:val="007155E5"/>
    <w:rsid w:val="00715979"/>
    <w:rsid w:val="00715DF1"/>
    <w:rsid w:val="00716731"/>
    <w:rsid w:val="00716B8F"/>
    <w:rsid w:val="00717240"/>
    <w:rsid w:val="0071752F"/>
    <w:rsid w:val="00717D9F"/>
    <w:rsid w:val="00720099"/>
    <w:rsid w:val="00720B39"/>
    <w:rsid w:val="00721848"/>
    <w:rsid w:val="00722003"/>
    <w:rsid w:val="007229F2"/>
    <w:rsid w:val="0072350A"/>
    <w:rsid w:val="007239C5"/>
    <w:rsid w:val="007240B9"/>
    <w:rsid w:val="0072454B"/>
    <w:rsid w:val="00724F2C"/>
    <w:rsid w:val="0072559F"/>
    <w:rsid w:val="00725BB2"/>
    <w:rsid w:val="007263E1"/>
    <w:rsid w:val="007264A3"/>
    <w:rsid w:val="00726746"/>
    <w:rsid w:val="00726CF9"/>
    <w:rsid w:val="0072738A"/>
    <w:rsid w:val="00727683"/>
    <w:rsid w:val="00727DFB"/>
    <w:rsid w:val="00727F85"/>
    <w:rsid w:val="007301D0"/>
    <w:rsid w:val="007304E8"/>
    <w:rsid w:val="00730CDE"/>
    <w:rsid w:val="00730EEC"/>
    <w:rsid w:val="00731099"/>
    <w:rsid w:val="0073113C"/>
    <w:rsid w:val="00731D32"/>
    <w:rsid w:val="0073213A"/>
    <w:rsid w:val="0073241A"/>
    <w:rsid w:val="00732743"/>
    <w:rsid w:val="00732B45"/>
    <w:rsid w:val="00733068"/>
    <w:rsid w:val="00733241"/>
    <w:rsid w:val="00733396"/>
    <w:rsid w:val="0073354D"/>
    <w:rsid w:val="00734534"/>
    <w:rsid w:val="00734535"/>
    <w:rsid w:val="00734C6F"/>
    <w:rsid w:val="00734D9D"/>
    <w:rsid w:val="00734F41"/>
    <w:rsid w:val="00734FE8"/>
    <w:rsid w:val="007354A2"/>
    <w:rsid w:val="00735F0B"/>
    <w:rsid w:val="007364EC"/>
    <w:rsid w:val="00737445"/>
    <w:rsid w:val="00737D5F"/>
    <w:rsid w:val="007402FE"/>
    <w:rsid w:val="00740D1A"/>
    <w:rsid w:val="00741255"/>
    <w:rsid w:val="00741586"/>
    <w:rsid w:val="0074177C"/>
    <w:rsid w:val="0074196E"/>
    <w:rsid w:val="007426C5"/>
    <w:rsid w:val="00742779"/>
    <w:rsid w:val="007427DC"/>
    <w:rsid w:val="00742B10"/>
    <w:rsid w:val="00742F57"/>
    <w:rsid w:val="0074339A"/>
    <w:rsid w:val="007433FA"/>
    <w:rsid w:val="007434D4"/>
    <w:rsid w:val="0074544D"/>
    <w:rsid w:val="00745591"/>
    <w:rsid w:val="00746155"/>
    <w:rsid w:val="007461B0"/>
    <w:rsid w:val="00746675"/>
    <w:rsid w:val="00746C4B"/>
    <w:rsid w:val="007476FF"/>
    <w:rsid w:val="0074772E"/>
    <w:rsid w:val="007512BF"/>
    <w:rsid w:val="00751ADE"/>
    <w:rsid w:val="0075226F"/>
    <w:rsid w:val="007524E2"/>
    <w:rsid w:val="007537EF"/>
    <w:rsid w:val="00753918"/>
    <w:rsid w:val="00753C68"/>
    <w:rsid w:val="007540FB"/>
    <w:rsid w:val="0075443B"/>
    <w:rsid w:val="00754B09"/>
    <w:rsid w:val="00754BAE"/>
    <w:rsid w:val="00754C4A"/>
    <w:rsid w:val="007555CE"/>
    <w:rsid w:val="007561D9"/>
    <w:rsid w:val="00756537"/>
    <w:rsid w:val="0075741C"/>
    <w:rsid w:val="00757D8A"/>
    <w:rsid w:val="00757DF5"/>
    <w:rsid w:val="00760581"/>
    <w:rsid w:val="0076084C"/>
    <w:rsid w:val="00761BE7"/>
    <w:rsid w:val="00761C40"/>
    <w:rsid w:val="007620DD"/>
    <w:rsid w:val="007621B8"/>
    <w:rsid w:val="00762920"/>
    <w:rsid w:val="00762A03"/>
    <w:rsid w:val="00762A1C"/>
    <w:rsid w:val="00763081"/>
    <w:rsid w:val="007630F6"/>
    <w:rsid w:val="00763520"/>
    <w:rsid w:val="00763C69"/>
    <w:rsid w:val="007644B7"/>
    <w:rsid w:val="00764791"/>
    <w:rsid w:val="00764833"/>
    <w:rsid w:val="0076530E"/>
    <w:rsid w:val="007673C0"/>
    <w:rsid w:val="007678B4"/>
    <w:rsid w:val="0077007E"/>
    <w:rsid w:val="007708C3"/>
    <w:rsid w:val="00770965"/>
    <w:rsid w:val="00770B2F"/>
    <w:rsid w:val="00771F9B"/>
    <w:rsid w:val="00772D4C"/>
    <w:rsid w:val="0077326E"/>
    <w:rsid w:val="00773605"/>
    <w:rsid w:val="00773607"/>
    <w:rsid w:val="00773905"/>
    <w:rsid w:val="007744DF"/>
    <w:rsid w:val="0077490D"/>
    <w:rsid w:val="00775759"/>
    <w:rsid w:val="007757FF"/>
    <w:rsid w:val="00775B85"/>
    <w:rsid w:val="00775CD9"/>
    <w:rsid w:val="00775EEC"/>
    <w:rsid w:val="00776087"/>
    <w:rsid w:val="00776FAF"/>
    <w:rsid w:val="007772AC"/>
    <w:rsid w:val="00777700"/>
    <w:rsid w:val="00777AC7"/>
    <w:rsid w:val="00777AEE"/>
    <w:rsid w:val="00780547"/>
    <w:rsid w:val="00780C93"/>
    <w:rsid w:val="007817DA"/>
    <w:rsid w:val="00782EBD"/>
    <w:rsid w:val="007832C8"/>
    <w:rsid w:val="00783C00"/>
    <w:rsid w:val="00783DE9"/>
    <w:rsid w:val="007843EF"/>
    <w:rsid w:val="007848A6"/>
    <w:rsid w:val="00784D1F"/>
    <w:rsid w:val="00784F85"/>
    <w:rsid w:val="00785733"/>
    <w:rsid w:val="0078599B"/>
    <w:rsid w:val="00785E6F"/>
    <w:rsid w:val="00786017"/>
    <w:rsid w:val="0078608B"/>
    <w:rsid w:val="00786476"/>
    <w:rsid w:val="007864FA"/>
    <w:rsid w:val="007866F8"/>
    <w:rsid w:val="00786A28"/>
    <w:rsid w:val="00786AE4"/>
    <w:rsid w:val="007905F7"/>
    <w:rsid w:val="0079107A"/>
    <w:rsid w:val="00791831"/>
    <w:rsid w:val="00791AD3"/>
    <w:rsid w:val="00792350"/>
    <w:rsid w:val="00792443"/>
    <w:rsid w:val="0079275E"/>
    <w:rsid w:val="00792839"/>
    <w:rsid w:val="00792912"/>
    <w:rsid w:val="00792D42"/>
    <w:rsid w:val="007931E2"/>
    <w:rsid w:val="00794532"/>
    <w:rsid w:val="00795091"/>
    <w:rsid w:val="007959D5"/>
    <w:rsid w:val="007960F7"/>
    <w:rsid w:val="007963A9"/>
    <w:rsid w:val="007963AC"/>
    <w:rsid w:val="00796F38"/>
    <w:rsid w:val="00796FB2"/>
    <w:rsid w:val="007978B6"/>
    <w:rsid w:val="007A0050"/>
    <w:rsid w:val="007A0657"/>
    <w:rsid w:val="007A105F"/>
    <w:rsid w:val="007A177C"/>
    <w:rsid w:val="007A17E8"/>
    <w:rsid w:val="007A20BB"/>
    <w:rsid w:val="007A304A"/>
    <w:rsid w:val="007A31D9"/>
    <w:rsid w:val="007A3758"/>
    <w:rsid w:val="007A3E81"/>
    <w:rsid w:val="007A59D8"/>
    <w:rsid w:val="007A5D71"/>
    <w:rsid w:val="007A61FD"/>
    <w:rsid w:val="007A6700"/>
    <w:rsid w:val="007A6979"/>
    <w:rsid w:val="007A719B"/>
    <w:rsid w:val="007A7314"/>
    <w:rsid w:val="007A73BF"/>
    <w:rsid w:val="007A78C5"/>
    <w:rsid w:val="007A78F8"/>
    <w:rsid w:val="007A7F2E"/>
    <w:rsid w:val="007A7F5A"/>
    <w:rsid w:val="007B0B0D"/>
    <w:rsid w:val="007B0E21"/>
    <w:rsid w:val="007B101F"/>
    <w:rsid w:val="007B11AC"/>
    <w:rsid w:val="007B1458"/>
    <w:rsid w:val="007B1CD1"/>
    <w:rsid w:val="007B20E5"/>
    <w:rsid w:val="007B31A7"/>
    <w:rsid w:val="007B3F74"/>
    <w:rsid w:val="007B4252"/>
    <w:rsid w:val="007B4413"/>
    <w:rsid w:val="007B5F32"/>
    <w:rsid w:val="007B68F2"/>
    <w:rsid w:val="007B693D"/>
    <w:rsid w:val="007B7863"/>
    <w:rsid w:val="007B789C"/>
    <w:rsid w:val="007C14C3"/>
    <w:rsid w:val="007C174A"/>
    <w:rsid w:val="007C1ADA"/>
    <w:rsid w:val="007C26FF"/>
    <w:rsid w:val="007C3E9F"/>
    <w:rsid w:val="007C40C0"/>
    <w:rsid w:val="007C40CE"/>
    <w:rsid w:val="007C4795"/>
    <w:rsid w:val="007C4BE4"/>
    <w:rsid w:val="007C5394"/>
    <w:rsid w:val="007C5572"/>
    <w:rsid w:val="007C57DC"/>
    <w:rsid w:val="007C5A73"/>
    <w:rsid w:val="007C693A"/>
    <w:rsid w:val="007C69CF"/>
    <w:rsid w:val="007C7490"/>
    <w:rsid w:val="007C7EA8"/>
    <w:rsid w:val="007D00F8"/>
    <w:rsid w:val="007D0157"/>
    <w:rsid w:val="007D0B75"/>
    <w:rsid w:val="007D143B"/>
    <w:rsid w:val="007D17F6"/>
    <w:rsid w:val="007D1910"/>
    <w:rsid w:val="007D1F6C"/>
    <w:rsid w:val="007D2850"/>
    <w:rsid w:val="007D2CB5"/>
    <w:rsid w:val="007D2FC7"/>
    <w:rsid w:val="007D3412"/>
    <w:rsid w:val="007D477B"/>
    <w:rsid w:val="007D510E"/>
    <w:rsid w:val="007D5973"/>
    <w:rsid w:val="007D5C22"/>
    <w:rsid w:val="007D5C81"/>
    <w:rsid w:val="007D6352"/>
    <w:rsid w:val="007D76BC"/>
    <w:rsid w:val="007D792F"/>
    <w:rsid w:val="007D7ED0"/>
    <w:rsid w:val="007E079F"/>
    <w:rsid w:val="007E0938"/>
    <w:rsid w:val="007E0C15"/>
    <w:rsid w:val="007E0C56"/>
    <w:rsid w:val="007E0FF8"/>
    <w:rsid w:val="007E22B6"/>
    <w:rsid w:val="007E22C7"/>
    <w:rsid w:val="007E293F"/>
    <w:rsid w:val="007E29E5"/>
    <w:rsid w:val="007E2D4E"/>
    <w:rsid w:val="007E321C"/>
    <w:rsid w:val="007E3659"/>
    <w:rsid w:val="007E37C0"/>
    <w:rsid w:val="007E4321"/>
    <w:rsid w:val="007E55D0"/>
    <w:rsid w:val="007E5682"/>
    <w:rsid w:val="007E587A"/>
    <w:rsid w:val="007E5B04"/>
    <w:rsid w:val="007E6F22"/>
    <w:rsid w:val="007F0513"/>
    <w:rsid w:val="007F076F"/>
    <w:rsid w:val="007F0893"/>
    <w:rsid w:val="007F0D32"/>
    <w:rsid w:val="007F14B3"/>
    <w:rsid w:val="007F1594"/>
    <w:rsid w:val="007F17D4"/>
    <w:rsid w:val="007F1869"/>
    <w:rsid w:val="007F1D74"/>
    <w:rsid w:val="007F22F7"/>
    <w:rsid w:val="007F2F74"/>
    <w:rsid w:val="007F320D"/>
    <w:rsid w:val="007F3565"/>
    <w:rsid w:val="007F38C0"/>
    <w:rsid w:val="007F396B"/>
    <w:rsid w:val="007F3D8A"/>
    <w:rsid w:val="007F4741"/>
    <w:rsid w:val="007F4D8B"/>
    <w:rsid w:val="007F4ED1"/>
    <w:rsid w:val="007F5671"/>
    <w:rsid w:val="007F56F0"/>
    <w:rsid w:val="007F5D2A"/>
    <w:rsid w:val="007F5FF3"/>
    <w:rsid w:val="007F66D8"/>
    <w:rsid w:val="007F6733"/>
    <w:rsid w:val="007F686F"/>
    <w:rsid w:val="007F6AF0"/>
    <w:rsid w:val="007F703B"/>
    <w:rsid w:val="007F7383"/>
    <w:rsid w:val="007F7842"/>
    <w:rsid w:val="007F7BDF"/>
    <w:rsid w:val="007F7D6B"/>
    <w:rsid w:val="00800D22"/>
    <w:rsid w:val="00800E80"/>
    <w:rsid w:val="008013AE"/>
    <w:rsid w:val="008013B7"/>
    <w:rsid w:val="008019E8"/>
    <w:rsid w:val="008029B7"/>
    <w:rsid w:val="00802A8D"/>
    <w:rsid w:val="00802AC0"/>
    <w:rsid w:val="00802C73"/>
    <w:rsid w:val="00802CA1"/>
    <w:rsid w:val="00803397"/>
    <w:rsid w:val="0080357C"/>
    <w:rsid w:val="0080366F"/>
    <w:rsid w:val="008036CD"/>
    <w:rsid w:val="0080392F"/>
    <w:rsid w:val="00803B87"/>
    <w:rsid w:val="00803C64"/>
    <w:rsid w:val="00803D47"/>
    <w:rsid w:val="00803D6B"/>
    <w:rsid w:val="00804352"/>
    <w:rsid w:val="00804BA7"/>
    <w:rsid w:val="0080516C"/>
    <w:rsid w:val="008054CE"/>
    <w:rsid w:val="0080564E"/>
    <w:rsid w:val="00805A24"/>
    <w:rsid w:val="00805B2D"/>
    <w:rsid w:val="0080634F"/>
    <w:rsid w:val="008069CA"/>
    <w:rsid w:val="008074E9"/>
    <w:rsid w:val="00807979"/>
    <w:rsid w:val="00807D83"/>
    <w:rsid w:val="00810368"/>
    <w:rsid w:val="0081149A"/>
    <w:rsid w:val="0081185E"/>
    <w:rsid w:val="00812890"/>
    <w:rsid w:val="00813E14"/>
    <w:rsid w:val="00814B36"/>
    <w:rsid w:val="00816056"/>
    <w:rsid w:val="00816F90"/>
    <w:rsid w:val="008201F6"/>
    <w:rsid w:val="0082052E"/>
    <w:rsid w:val="0082067E"/>
    <w:rsid w:val="008206E4"/>
    <w:rsid w:val="0082078A"/>
    <w:rsid w:val="00820ADC"/>
    <w:rsid w:val="00820C5C"/>
    <w:rsid w:val="00820D1B"/>
    <w:rsid w:val="00821315"/>
    <w:rsid w:val="008213D8"/>
    <w:rsid w:val="008220E9"/>
    <w:rsid w:val="008225E0"/>
    <w:rsid w:val="00822A4B"/>
    <w:rsid w:val="00822A86"/>
    <w:rsid w:val="00822E9E"/>
    <w:rsid w:val="00823694"/>
    <w:rsid w:val="00823935"/>
    <w:rsid w:val="00823CEC"/>
    <w:rsid w:val="008243D6"/>
    <w:rsid w:val="00824518"/>
    <w:rsid w:val="0082493A"/>
    <w:rsid w:val="00824D5B"/>
    <w:rsid w:val="00825D01"/>
    <w:rsid w:val="00826F95"/>
    <w:rsid w:val="00827176"/>
    <w:rsid w:val="0082758E"/>
    <w:rsid w:val="0082788C"/>
    <w:rsid w:val="00827BD8"/>
    <w:rsid w:val="00827E13"/>
    <w:rsid w:val="008300F2"/>
    <w:rsid w:val="0083138F"/>
    <w:rsid w:val="00831848"/>
    <w:rsid w:val="00831B7A"/>
    <w:rsid w:val="00832889"/>
    <w:rsid w:val="00832A2E"/>
    <w:rsid w:val="00832A41"/>
    <w:rsid w:val="00833EB2"/>
    <w:rsid w:val="0083403E"/>
    <w:rsid w:val="008343BB"/>
    <w:rsid w:val="00834574"/>
    <w:rsid w:val="00834671"/>
    <w:rsid w:val="0083484C"/>
    <w:rsid w:val="00834A95"/>
    <w:rsid w:val="00834C11"/>
    <w:rsid w:val="00834E98"/>
    <w:rsid w:val="008354F6"/>
    <w:rsid w:val="008356E8"/>
    <w:rsid w:val="00835827"/>
    <w:rsid w:val="008368B9"/>
    <w:rsid w:val="00836DC3"/>
    <w:rsid w:val="00836DD2"/>
    <w:rsid w:val="00836F24"/>
    <w:rsid w:val="00836F68"/>
    <w:rsid w:val="008374E9"/>
    <w:rsid w:val="00837EDF"/>
    <w:rsid w:val="00837FC1"/>
    <w:rsid w:val="0084013B"/>
    <w:rsid w:val="00840645"/>
    <w:rsid w:val="00840747"/>
    <w:rsid w:val="00840F65"/>
    <w:rsid w:val="00841EDB"/>
    <w:rsid w:val="008428FC"/>
    <w:rsid w:val="00842CCB"/>
    <w:rsid w:val="008440A9"/>
    <w:rsid w:val="008443A1"/>
    <w:rsid w:val="00845672"/>
    <w:rsid w:val="00845BC4"/>
    <w:rsid w:val="00846B5A"/>
    <w:rsid w:val="00846E1C"/>
    <w:rsid w:val="00847010"/>
    <w:rsid w:val="0084764F"/>
    <w:rsid w:val="00847AA8"/>
    <w:rsid w:val="00847AE0"/>
    <w:rsid w:val="008504D0"/>
    <w:rsid w:val="0085069E"/>
    <w:rsid w:val="0085108B"/>
    <w:rsid w:val="0085139E"/>
    <w:rsid w:val="008513B4"/>
    <w:rsid w:val="00852AB8"/>
    <w:rsid w:val="0085305A"/>
    <w:rsid w:val="00853292"/>
    <w:rsid w:val="00853857"/>
    <w:rsid w:val="00853F85"/>
    <w:rsid w:val="008548B9"/>
    <w:rsid w:val="00854FDF"/>
    <w:rsid w:val="008552F5"/>
    <w:rsid w:val="0085530F"/>
    <w:rsid w:val="00855644"/>
    <w:rsid w:val="00856207"/>
    <w:rsid w:val="00856349"/>
    <w:rsid w:val="008563BF"/>
    <w:rsid w:val="00856813"/>
    <w:rsid w:val="008605A8"/>
    <w:rsid w:val="00860857"/>
    <w:rsid w:val="00860B3D"/>
    <w:rsid w:val="00860B54"/>
    <w:rsid w:val="008611D3"/>
    <w:rsid w:val="00861273"/>
    <w:rsid w:val="0086128B"/>
    <w:rsid w:val="00861567"/>
    <w:rsid w:val="00861792"/>
    <w:rsid w:val="0086202D"/>
    <w:rsid w:val="008626C9"/>
    <w:rsid w:val="008628C6"/>
    <w:rsid w:val="008629EE"/>
    <w:rsid w:val="00862F55"/>
    <w:rsid w:val="008638C0"/>
    <w:rsid w:val="008641DA"/>
    <w:rsid w:val="008643E0"/>
    <w:rsid w:val="008643E8"/>
    <w:rsid w:val="00864499"/>
    <w:rsid w:val="00864654"/>
    <w:rsid w:val="00864EDD"/>
    <w:rsid w:val="00864F38"/>
    <w:rsid w:val="00865111"/>
    <w:rsid w:val="00865207"/>
    <w:rsid w:val="008656C0"/>
    <w:rsid w:val="00865951"/>
    <w:rsid w:val="00866053"/>
    <w:rsid w:val="00866470"/>
    <w:rsid w:val="00866549"/>
    <w:rsid w:val="00866ED3"/>
    <w:rsid w:val="00866F3C"/>
    <w:rsid w:val="00867063"/>
    <w:rsid w:val="00870D12"/>
    <w:rsid w:val="008712B5"/>
    <w:rsid w:val="008717FE"/>
    <w:rsid w:val="00871994"/>
    <w:rsid w:val="00872529"/>
    <w:rsid w:val="00872B82"/>
    <w:rsid w:val="00873447"/>
    <w:rsid w:val="00874174"/>
    <w:rsid w:val="008747E1"/>
    <w:rsid w:val="00874888"/>
    <w:rsid w:val="00874F00"/>
    <w:rsid w:val="00875496"/>
    <w:rsid w:val="00875813"/>
    <w:rsid w:val="00875E99"/>
    <w:rsid w:val="00876A1C"/>
    <w:rsid w:val="008801BB"/>
    <w:rsid w:val="008802F6"/>
    <w:rsid w:val="0088058C"/>
    <w:rsid w:val="00880A6A"/>
    <w:rsid w:val="00881246"/>
    <w:rsid w:val="00881535"/>
    <w:rsid w:val="00881E35"/>
    <w:rsid w:val="0088274C"/>
    <w:rsid w:val="0088307D"/>
    <w:rsid w:val="00883695"/>
    <w:rsid w:val="008844A2"/>
    <w:rsid w:val="008855CC"/>
    <w:rsid w:val="00885CBF"/>
    <w:rsid w:val="008868CE"/>
    <w:rsid w:val="00886931"/>
    <w:rsid w:val="00886B7B"/>
    <w:rsid w:val="00886F90"/>
    <w:rsid w:val="008875ED"/>
    <w:rsid w:val="00890802"/>
    <w:rsid w:val="00891913"/>
    <w:rsid w:val="00892B06"/>
    <w:rsid w:val="00892EBF"/>
    <w:rsid w:val="00893265"/>
    <w:rsid w:val="00893362"/>
    <w:rsid w:val="008936DC"/>
    <w:rsid w:val="00893B83"/>
    <w:rsid w:val="00894153"/>
    <w:rsid w:val="00895487"/>
    <w:rsid w:val="0089570E"/>
    <w:rsid w:val="008959E2"/>
    <w:rsid w:val="00895C61"/>
    <w:rsid w:val="00896003"/>
    <w:rsid w:val="00897134"/>
    <w:rsid w:val="008A031B"/>
    <w:rsid w:val="008A0473"/>
    <w:rsid w:val="008A053F"/>
    <w:rsid w:val="008A1923"/>
    <w:rsid w:val="008A1BC7"/>
    <w:rsid w:val="008A1D05"/>
    <w:rsid w:val="008A20A4"/>
    <w:rsid w:val="008A20D7"/>
    <w:rsid w:val="008A259C"/>
    <w:rsid w:val="008A2700"/>
    <w:rsid w:val="008A2874"/>
    <w:rsid w:val="008A2F62"/>
    <w:rsid w:val="008A31A2"/>
    <w:rsid w:val="008A37C2"/>
    <w:rsid w:val="008A39A1"/>
    <w:rsid w:val="008A427E"/>
    <w:rsid w:val="008A4AB4"/>
    <w:rsid w:val="008A521F"/>
    <w:rsid w:val="008A5574"/>
    <w:rsid w:val="008A5A48"/>
    <w:rsid w:val="008A5A51"/>
    <w:rsid w:val="008A5A63"/>
    <w:rsid w:val="008A7666"/>
    <w:rsid w:val="008B02F5"/>
    <w:rsid w:val="008B0B26"/>
    <w:rsid w:val="008B1177"/>
    <w:rsid w:val="008B19C8"/>
    <w:rsid w:val="008B1A7B"/>
    <w:rsid w:val="008B1CA4"/>
    <w:rsid w:val="008B1F96"/>
    <w:rsid w:val="008B2EA3"/>
    <w:rsid w:val="008B3216"/>
    <w:rsid w:val="008B39D3"/>
    <w:rsid w:val="008B4115"/>
    <w:rsid w:val="008B4456"/>
    <w:rsid w:val="008B5516"/>
    <w:rsid w:val="008B561D"/>
    <w:rsid w:val="008B5B38"/>
    <w:rsid w:val="008B5DBB"/>
    <w:rsid w:val="008B5EBC"/>
    <w:rsid w:val="008B5EC0"/>
    <w:rsid w:val="008B6415"/>
    <w:rsid w:val="008B722B"/>
    <w:rsid w:val="008B74E3"/>
    <w:rsid w:val="008B795B"/>
    <w:rsid w:val="008C0B7C"/>
    <w:rsid w:val="008C0C95"/>
    <w:rsid w:val="008C0DD7"/>
    <w:rsid w:val="008C1B8B"/>
    <w:rsid w:val="008C1CAA"/>
    <w:rsid w:val="008C25DA"/>
    <w:rsid w:val="008C28F3"/>
    <w:rsid w:val="008C2DB3"/>
    <w:rsid w:val="008C30AE"/>
    <w:rsid w:val="008C32E4"/>
    <w:rsid w:val="008C3BE7"/>
    <w:rsid w:val="008C43DB"/>
    <w:rsid w:val="008C48B7"/>
    <w:rsid w:val="008C4B9F"/>
    <w:rsid w:val="008C4FD2"/>
    <w:rsid w:val="008C51D5"/>
    <w:rsid w:val="008C5697"/>
    <w:rsid w:val="008C6192"/>
    <w:rsid w:val="008C6232"/>
    <w:rsid w:val="008C6B7D"/>
    <w:rsid w:val="008C6F52"/>
    <w:rsid w:val="008C744A"/>
    <w:rsid w:val="008C7665"/>
    <w:rsid w:val="008C78E7"/>
    <w:rsid w:val="008C7EAF"/>
    <w:rsid w:val="008D14E3"/>
    <w:rsid w:val="008D14F6"/>
    <w:rsid w:val="008D18F3"/>
    <w:rsid w:val="008D196F"/>
    <w:rsid w:val="008D22D8"/>
    <w:rsid w:val="008D29D4"/>
    <w:rsid w:val="008D2FDA"/>
    <w:rsid w:val="008D325D"/>
    <w:rsid w:val="008D346E"/>
    <w:rsid w:val="008D3EEC"/>
    <w:rsid w:val="008D475C"/>
    <w:rsid w:val="008D566B"/>
    <w:rsid w:val="008D5B8C"/>
    <w:rsid w:val="008D6210"/>
    <w:rsid w:val="008D6E95"/>
    <w:rsid w:val="008D6F3E"/>
    <w:rsid w:val="008D77AA"/>
    <w:rsid w:val="008D7EB0"/>
    <w:rsid w:val="008E036F"/>
    <w:rsid w:val="008E105E"/>
    <w:rsid w:val="008E1A36"/>
    <w:rsid w:val="008E353F"/>
    <w:rsid w:val="008E370F"/>
    <w:rsid w:val="008E4083"/>
    <w:rsid w:val="008E4AAC"/>
    <w:rsid w:val="008E5A7A"/>
    <w:rsid w:val="008E5E67"/>
    <w:rsid w:val="008E61DE"/>
    <w:rsid w:val="008E6BC2"/>
    <w:rsid w:val="008E798B"/>
    <w:rsid w:val="008F005A"/>
    <w:rsid w:val="008F02ED"/>
    <w:rsid w:val="008F089D"/>
    <w:rsid w:val="008F0BED"/>
    <w:rsid w:val="008F1E03"/>
    <w:rsid w:val="008F1EFB"/>
    <w:rsid w:val="008F27E0"/>
    <w:rsid w:val="008F2865"/>
    <w:rsid w:val="008F2CA8"/>
    <w:rsid w:val="008F3513"/>
    <w:rsid w:val="008F35BF"/>
    <w:rsid w:val="008F3793"/>
    <w:rsid w:val="008F37D0"/>
    <w:rsid w:val="008F4A19"/>
    <w:rsid w:val="008F5088"/>
    <w:rsid w:val="008F57EC"/>
    <w:rsid w:val="008F5C33"/>
    <w:rsid w:val="008F6759"/>
    <w:rsid w:val="008F6909"/>
    <w:rsid w:val="008F6E28"/>
    <w:rsid w:val="008F70F8"/>
    <w:rsid w:val="008F761B"/>
    <w:rsid w:val="008F78DE"/>
    <w:rsid w:val="008F790F"/>
    <w:rsid w:val="008F7C8A"/>
    <w:rsid w:val="008F7F2F"/>
    <w:rsid w:val="009008B8"/>
    <w:rsid w:val="00900B41"/>
    <w:rsid w:val="0090252F"/>
    <w:rsid w:val="009028F6"/>
    <w:rsid w:val="00902D7E"/>
    <w:rsid w:val="0090305A"/>
    <w:rsid w:val="00903BBB"/>
    <w:rsid w:val="0090465E"/>
    <w:rsid w:val="009047F3"/>
    <w:rsid w:val="0090481C"/>
    <w:rsid w:val="00904AE6"/>
    <w:rsid w:val="00904D3C"/>
    <w:rsid w:val="00905024"/>
    <w:rsid w:val="00905532"/>
    <w:rsid w:val="00905539"/>
    <w:rsid w:val="00905638"/>
    <w:rsid w:val="0090652D"/>
    <w:rsid w:val="00906A1A"/>
    <w:rsid w:val="009078A4"/>
    <w:rsid w:val="00910A82"/>
    <w:rsid w:val="00910BB6"/>
    <w:rsid w:val="00910EFC"/>
    <w:rsid w:val="009111F0"/>
    <w:rsid w:val="0091262A"/>
    <w:rsid w:val="0091325C"/>
    <w:rsid w:val="00913347"/>
    <w:rsid w:val="009137F5"/>
    <w:rsid w:val="00913F7E"/>
    <w:rsid w:val="00914E1F"/>
    <w:rsid w:val="00914EAB"/>
    <w:rsid w:val="00915CD0"/>
    <w:rsid w:val="00915CED"/>
    <w:rsid w:val="00916292"/>
    <w:rsid w:val="00916A70"/>
    <w:rsid w:val="009173FD"/>
    <w:rsid w:val="009174F2"/>
    <w:rsid w:val="009203A9"/>
    <w:rsid w:val="009206C9"/>
    <w:rsid w:val="00920830"/>
    <w:rsid w:val="00920F02"/>
    <w:rsid w:val="00921727"/>
    <w:rsid w:val="00921A7A"/>
    <w:rsid w:val="00922393"/>
    <w:rsid w:val="009229DE"/>
    <w:rsid w:val="00922BA0"/>
    <w:rsid w:val="00922BD1"/>
    <w:rsid w:val="00923440"/>
    <w:rsid w:val="009234A6"/>
    <w:rsid w:val="0092442E"/>
    <w:rsid w:val="00924839"/>
    <w:rsid w:val="00924C2A"/>
    <w:rsid w:val="00924FE1"/>
    <w:rsid w:val="0092540B"/>
    <w:rsid w:val="009255E2"/>
    <w:rsid w:val="00925A7A"/>
    <w:rsid w:val="00926286"/>
    <w:rsid w:val="00926388"/>
    <w:rsid w:val="00926C11"/>
    <w:rsid w:val="009277D7"/>
    <w:rsid w:val="00927D85"/>
    <w:rsid w:val="009304F1"/>
    <w:rsid w:val="00930650"/>
    <w:rsid w:val="00931DDF"/>
    <w:rsid w:val="00931F2A"/>
    <w:rsid w:val="00932875"/>
    <w:rsid w:val="00932BFB"/>
    <w:rsid w:val="00932D21"/>
    <w:rsid w:val="009335D2"/>
    <w:rsid w:val="00934939"/>
    <w:rsid w:val="00934A5E"/>
    <w:rsid w:val="00935908"/>
    <w:rsid w:val="00935974"/>
    <w:rsid w:val="00935CF9"/>
    <w:rsid w:val="00935F5B"/>
    <w:rsid w:val="009361EE"/>
    <w:rsid w:val="0093634C"/>
    <w:rsid w:val="00936707"/>
    <w:rsid w:val="0093691D"/>
    <w:rsid w:val="00936FEB"/>
    <w:rsid w:val="009370C2"/>
    <w:rsid w:val="009374D5"/>
    <w:rsid w:val="009376F2"/>
    <w:rsid w:val="009377ED"/>
    <w:rsid w:val="00937E2D"/>
    <w:rsid w:val="00940922"/>
    <w:rsid w:val="00940CAA"/>
    <w:rsid w:val="00941316"/>
    <w:rsid w:val="00942BA4"/>
    <w:rsid w:val="009430B8"/>
    <w:rsid w:val="00943509"/>
    <w:rsid w:val="00943E1E"/>
    <w:rsid w:val="00943FE7"/>
    <w:rsid w:val="009455DB"/>
    <w:rsid w:val="009459A2"/>
    <w:rsid w:val="009459D3"/>
    <w:rsid w:val="00945E14"/>
    <w:rsid w:val="00945FF9"/>
    <w:rsid w:val="009467D3"/>
    <w:rsid w:val="0094718C"/>
    <w:rsid w:val="00947700"/>
    <w:rsid w:val="00947BF9"/>
    <w:rsid w:val="00947DF3"/>
    <w:rsid w:val="00947FD2"/>
    <w:rsid w:val="00950AA0"/>
    <w:rsid w:val="00950CB0"/>
    <w:rsid w:val="00953338"/>
    <w:rsid w:val="0095399B"/>
    <w:rsid w:val="00953A1D"/>
    <w:rsid w:val="00953BA9"/>
    <w:rsid w:val="00954670"/>
    <w:rsid w:val="00954B93"/>
    <w:rsid w:val="009558E2"/>
    <w:rsid w:val="00956C27"/>
    <w:rsid w:val="009575B6"/>
    <w:rsid w:val="009610A1"/>
    <w:rsid w:val="00961E79"/>
    <w:rsid w:val="0096273E"/>
    <w:rsid w:val="00962FF2"/>
    <w:rsid w:val="00963111"/>
    <w:rsid w:val="009634F5"/>
    <w:rsid w:val="00963769"/>
    <w:rsid w:val="0096381A"/>
    <w:rsid w:val="00963A6F"/>
    <w:rsid w:val="009640EE"/>
    <w:rsid w:val="00964D7C"/>
    <w:rsid w:val="009654BE"/>
    <w:rsid w:val="00965633"/>
    <w:rsid w:val="009657AF"/>
    <w:rsid w:val="00965AF8"/>
    <w:rsid w:val="009662E5"/>
    <w:rsid w:val="009665BD"/>
    <w:rsid w:val="00966733"/>
    <w:rsid w:val="009669DE"/>
    <w:rsid w:val="00967461"/>
    <w:rsid w:val="00967680"/>
    <w:rsid w:val="009676D3"/>
    <w:rsid w:val="00970350"/>
    <w:rsid w:val="00970A7E"/>
    <w:rsid w:val="00970E79"/>
    <w:rsid w:val="00971518"/>
    <w:rsid w:val="00971702"/>
    <w:rsid w:val="0097173F"/>
    <w:rsid w:val="00971C6E"/>
    <w:rsid w:val="009721CB"/>
    <w:rsid w:val="009721D5"/>
    <w:rsid w:val="00972243"/>
    <w:rsid w:val="009727FF"/>
    <w:rsid w:val="00972C10"/>
    <w:rsid w:val="009733FA"/>
    <w:rsid w:val="00974CEC"/>
    <w:rsid w:val="00974E7B"/>
    <w:rsid w:val="00975EE7"/>
    <w:rsid w:val="00975F0B"/>
    <w:rsid w:val="00976395"/>
    <w:rsid w:val="0097641F"/>
    <w:rsid w:val="00976637"/>
    <w:rsid w:val="0097680F"/>
    <w:rsid w:val="0097716E"/>
    <w:rsid w:val="00977493"/>
    <w:rsid w:val="009774C7"/>
    <w:rsid w:val="00977DC7"/>
    <w:rsid w:val="00980F38"/>
    <w:rsid w:val="009812D1"/>
    <w:rsid w:val="009822C1"/>
    <w:rsid w:val="009828C5"/>
    <w:rsid w:val="00982962"/>
    <w:rsid w:val="00982BC0"/>
    <w:rsid w:val="00984336"/>
    <w:rsid w:val="00984382"/>
    <w:rsid w:val="00984A4A"/>
    <w:rsid w:val="0098704F"/>
    <w:rsid w:val="00987509"/>
    <w:rsid w:val="00987FD3"/>
    <w:rsid w:val="009905A4"/>
    <w:rsid w:val="00990722"/>
    <w:rsid w:val="0099079A"/>
    <w:rsid w:val="009913E4"/>
    <w:rsid w:val="009916B0"/>
    <w:rsid w:val="00991ECB"/>
    <w:rsid w:val="00991F81"/>
    <w:rsid w:val="00992B39"/>
    <w:rsid w:val="00993291"/>
    <w:rsid w:val="00993A33"/>
    <w:rsid w:val="00993A62"/>
    <w:rsid w:val="00993CD5"/>
    <w:rsid w:val="00994E8B"/>
    <w:rsid w:val="00994F26"/>
    <w:rsid w:val="0099572B"/>
    <w:rsid w:val="009961A2"/>
    <w:rsid w:val="009962B4"/>
    <w:rsid w:val="009979EB"/>
    <w:rsid w:val="00997AA7"/>
    <w:rsid w:val="00997E80"/>
    <w:rsid w:val="009A0231"/>
    <w:rsid w:val="009A05BE"/>
    <w:rsid w:val="009A0939"/>
    <w:rsid w:val="009A0D55"/>
    <w:rsid w:val="009A13EC"/>
    <w:rsid w:val="009A1650"/>
    <w:rsid w:val="009A16C9"/>
    <w:rsid w:val="009A17F3"/>
    <w:rsid w:val="009A19B5"/>
    <w:rsid w:val="009A1A82"/>
    <w:rsid w:val="009A1D7F"/>
    <w:rsid w:val="009A2CAE"/>
    <w:rsid w:val="009A3321"/>
    <w:rsid w:val="009A3DFA"/>
    <w:rsid w:val="009A3E7C"/>
    <w:rsid w:val="009A4173"/>
    <w:rsid w:val="009A421E"/>
    <w:rsid w:val="009A446A"/>
    <w:rsid w:val="009A4836"/>
    <w:rsid w:val="009A4EEA"/>
    <w:rsid w:val="009A52F7"/>
    <w:rsid w:val="009A5B2F"/>
    <w:rsid w:val="009A5E8C"/>
    <w:rsid w:val="009A6790"/>
    <w:rsid w:val="009A6883"/>
    <w:rsid w:val="009A69F3"/>
    <w:rsid w:val="009A6CE6"/>
    <w:rsid w:val="009A7259"/>
    <w:rsid w:val="009A7704"/>
    <w:rsid w:val="009A79B6"/>
    <w:rsid w:val="009A7FE7"/>
    <w:rsid w:val="009B0129"/>
    <w:rsid w:val="009B179E"/>
    <w:rsid w:val="009B1E95"/>
    <w:rsid w:val="009B222D"/>
    <w:rsid w:val="009B2D60"/>
    <w:rsid w:val="009B36D2"/>
    <w:rsid w:val="009B3B05"/>
    <w:rsid w:val="009B3DD8"/>
    <w:rsid w:val="009B3F85"/>
    <w:rsid w:val="009B4100"/>
    <w:rsid w:val="009B456E"/>
    <w:rsid w:val="009B460C"/>
    <w:rsid w:val="009B47DA"/>
    <w:rsid w:val="009B4AB3"/>
    <w:rsid w:val="009B57B1"/>
    <w:rsid w:val="009B6017"/>
    <w:rsid w:val="009B608E"/>
    <w:rsid w:val="009B62A2"/>
    <w:rsid w:val="009B6524"/>
    <w:rsid w:val="009B66DA"/>
    <w:rsid w:val="009B6708"/>
    <w:rsid w:val="009B6835"/>
    <w:rsid w:val="009B6995"/>
    <w:rsid w:val="009B6ED8"/>
    <w:rsid w:val="009C0B8A"/>
    <w:rsid w:val="009C1914"/>
    <w:rsid w:val="009C1E9E"/>
    <w:rsid w:val="009C4145"/>
    <w:rsid w:val="009C4D3D"/>
    <w:rsid w:val="009C4DDD"/>
    <w:rsid w:val="009C591B"/>
    <w:rsid w:val="009C5F1D"/>
    <w:rsid w:val="009C60A0"/>
    <w:rsid w:val="009C68CB"/>
    <w:rsid w:val="009C7426"/>
    <w:rsid w:val="009C754F"/>
    <w:rsid w:val="009C766B"/>
    <w:rsid w:val="009C7731"/>
    <w:rsid w:val="009D0204"/>
    <w:rsid w:val="009D027E"/>
    <w:rsid w:val="009D0510"/>
    <w:rsid w:val="009D136E"/>
    <w:rsid w:val="009D1907"/>
    <w:rsid w:val="009D24BD"/>
    <w:rsid w:val="009D2BB4"/>
    <w:rsid w:val="009D2E39"/>
    <w:rsid w:val="009D3EDE"/>
    <w:rsid w:val="009D4E9F"/>
    <w:rsid w:val="009D522C"/>
    <w:rsid w:val="009D531A"/>
    <w:rsid w:val="009D5474"/>
    <w:rsid w:val="009D5DC3"/>
    <w:rsid w:val="009D6055"/>
    <w:rsid w:val="009D7AC5"/>
    <w:rsid w:val="009D7EB0"/>
    <w:rsid w:val="009D7F30"/>
    <w:rsid w:val="009E038A"/>
    <w:rsid w:val="009E0DAB"/>
    <w:rsid w:val="009E1D62"/>
    <w:rsid w:val="009E1E76"/>
    <w:rsid w:val="009E1FFC"/>
    <w:rsid w:val="009E2380"/>
    <w:rsid w:val="009E2AC1"/>
    <w:rsid w:val="009E2C2F"/>
    <w:rsid w:val="009E2FB5"/>
    <w:rsid w:val="009E3283"/>
    <w:rsid w:val="009E3A49"/>
    <w:rsid w:val="009E4303"/>
    <w:rsid w:val="009E4566"/>
    <w:rsid w:val="009E52F6"/>
    <w:rsid w:val="009E56DD"/>
    <w:rsid w:val="009E6CEE"/>
    <w:rsid w:val="009E7313"/>
    <w:rsid w:val="009E73CB"/>
    <w:rsid w:val="009E7B52"/>
    <w:rsid w:val="009F013C"/>
    <w:rsid w:val="009F08C8"/>
    <w:rsid w:val="009F1223"/>
    <w:rsid w:val="009F1730"/>
    <w:rsid w:val="009F1D90"/>
    <w:rsid w:val="009F28E2"/>
    <w:rsid w:val="009F29AE"/>
    <w:rsid w:val="009F3359"/>
    <w:rsid w:val="009F34D9"/>
    <w:rsid w:val="009F50B0"/>
    <w:rsid w:val="009F52AA"/>
    <w:rsid w:val="009F537F"/>
    <w:rsid w:val="009F5B40"/>
    <w:rsid w:val="009F62A5"/>
    <w:rsid w:val="009F6617"/>
    <w:rsid w:val="009F7914"/>
    <w:rsid w:val="009F7D80"/>
    <w:rsid w:val="00A00931"/>
    <w:rsid w:val="00A00AF4"/>
    <w:rsid w:val="00A013E6"/>
    <w:rsid w:val="00A01BB6"/>
    <w:rsid w:val="00A0278C"/>
    <w:rsid w:val="00A033A9"/>
    <w:rsid w:val="00A033C5"/>
    <w:rsid w:val="00A03F7F"/>
    <w:rsid w:val="00A045EE"/>
    <w:rsid w:val="00A04CEC"/>
    <w:rsid w:val="00A04EF2"/>
    <w:rsid w:val="00A04EF9"/>
    <w:rsid w:val="00A05992"/>
    <w:rsid w:val="00A05ACB"/>
    <w:rsid w:val="00A06185"/>
    <w:rsid w:val="00A0708C"/>
    <w:rsid w:val="00A07C17"/>
    <w:rsid w:val="00A07E0E"/>
    <w:rsid w:val="00A106F8"/>
    <w:rsid w:val="00A12493"/>
    <w:rsid w:val="00A125CB"/>
    <w:rsid w:val="00A125D9"/>
    <w:rsid w:val="00A129C7"/>
    <w:rsid w:val="00A12C6C"/>
    <w:rsid w:val="00A131DB"/>
    <w:rsid w:val="00A132C9"/>
    <w:rsid w:val="00A13E85"/>
    <w:rsid w:val="00A148A9"/>
    <w:rsid w:val="00A1581D"/>
    <w:rsid w:val="00A15BA9"/>
    <w:rsid w:val="00A15C5D"/>
    <w:rsid w:val="00A16C17"/>
    <w:rsid w:val="00A17E1F"/>
    <w:rsid w:val="00A17F86"/>
    <w:rsid w:val="00A20AF8"/>
    <w:rsid w:val="00A21423"/>
    <w:rsid w:val="00A2225E"/>
    <w:rsid w:val="00A2280B"/>
    <w:rsid w:val="00A23DBC"/>
    <w:rsid w:val="00A2414A"/>
    <w:rsid w:val="00A24158"/>
    <w:rsid w:val="00A246D2"/>
    <w:rsid w:val="00A255F0"/>
    <w:rsid w:val="00A25A17"/>
    <w:rsid w:val="00A27409"/>
    <w:rsid w:val="00A277DC"/>
    <w:rsid w:val="00A27C6F"/>
    <w:rsid w:val="00A302BA"/>
    <w:rsid w:val="00A30EA5"/>
    <w:rsid w:val="00A31731"/>
    <w:rsid w:val="00A317DA"/>
    <w:rsid w:val="00A31B2A"/>
    <w:rsid w:val="00A31D4B"/>
    <w:rsid w:val="00A31EF1"/>
    <w:rsid w:val="00A346DD"/>
    <w:rsid w:val="00A354AF"/>
    <w:rsid w:val="00A35D74"/>
    <w:rsid w:val="00A36928"/>
    <w:rsid w:val="00A36A1E"/>
    <w:rsid w:val="00A36AE4"/>
    <w:rsid w:val="00A371F7"/>
    <w:rsid w:val="00A37527"/>
    <w:rsid w:val="00A40C68"/>
    <w:rsid w:val="00A41022"/>
    <w:rsid w:val="00A41140"/>
    <w:rsid w:val="00A41682"/>
    <w:rsid w:val="00A41C25"/>
    <w:rsid w:val="00A41C85"/>
    <w:rsid w:val="00A41DF8"/>
    <w:rsid w:val="00A43BAD"/>
    <w:rsid w:val="00A43FB1"/>
    <w:rsid w:val="00A44217"/>
    <w:rsid w:val="00A44432"/>
    <w:rsid w:val="00A44F6D"/>
    <w:rsid w:val="00A454C9"/>
    <w:rsid w:val="00A4730A"/>
    <w:rsid w:val="00A47E69"/>
    <w:rsid w:val="00A47EF0"/>
    <w:rsid w:val="00A47FC8"/>
    <w:rsid w:val="00A50F98"/>
    <w:rsid w:val="00A51424"/>
    <w:rsid w:val="00A51931"/>
    <w:rsid w:val="00A52FE2"/>
    <w:rsid w:val="00A538F2"/>
    <w:rsid w:val="00A548C6"/>
    <w:rsid w:val="00A54953"/>
    <w:rsid w:val="00A550B9"/>
    <w:rsid w:val="00A5544F"/>
    <w:rsid w:val="00A55E4A"/>
    <w:rsid w:val="00A56017"/>
    <w:rsid w:val="00A5626A"/>
    <w:rsid w:val="00A569B4"/>
    <w:rsid w:val="00A57ABD"/>
    <w:rsid w:val="00A6019F"/>
    <w:rsid w:val="00A60A0C"/>
    <w:rsid w:val="00A61094"/>
    <w:rsid w:val="00A61B32"/>
    <w:rsid w:val="00A61BCC"/>
    <w:rsid w:val="00A61D0A"/>
    <w:rsid w:val="00A61DEF"/>
    <w:rsid w:val="00A61F72"/>
    <w:rsid w:val="00A620A6"/>
    <w:rsid w:val="00A62453"/>
    <w:rsid w:val="00A62EA3"/>
    <w:rsid w:val="00A63E05"/>
    <w:rsid w:val="00A63F8B"/>
    <w:rsid w:val="00A64C55"/>
    <w:rsid w:val="00A64CC7"/>
    <w:rsid w:val="00A6520D"/>
    <w:rsid w:val="00A6547E"/>
    <w:rsid w:val="00A65622"/>
    <w:rsid w:val="00A65AB9"/>
    <w:rsid w:val="00A65ED3"/>
    <w:rsid w:val="00A65FCF"/>
    <w:rsid w:val="00A663CB"/>
    <w:rsid w:val="00A6698E"/>
    <w:rsid w:val="00A6743F"/>
    <w:rsid w:val="00A67991"/>
    <w:rsid w:val="00A67E7B"/>
    <w:rsid w:val="00A706B4"/>
    <w:rsid w:val="00A715E8"/>
    <w:rsid w:val="00A71A7C"/>
    <w:rsid w:val="00A71B5C"/>
    <w:rsid w:val="00A72F81"/>
    <w:rsid w:val="00A730AE"/>
    <w:rsid w:val="00A74048"/>
    <w:rsid w:val="00A74B94"/>
    <w:rsid w:val="00A75720"/>
    <w:rsid w:val="00A75919"/>
    <w:rsid w:val="00A75FE2"/>
    <w:rsid w:val="00A769EE"/>
    <w:rsid w:val="00A76A24"/>
    <w:rsid w:val="00A76AF7"/>
    <w:rsid w:val="00A76EE2"/>
    <w:rsid w:val="00A77038"/>
    <w:rsid w:val="00A77879"/>
    <w:rsid w:val="00A77E54"/>
    <w:rsid w:val="00A80267"/>
    <w:rsid w:val="00A80404"/>
    <w:rsid w:val="00A80A9A"/>
    <w:rsid w:val="00A80C36"/>
    <w:rsid w:val="00A80D27"/>
    <w:rsid w:val="00A81E7A"/>
    <w:rsid w:val="00A82DE8"/>
    <w:rsid w:val="00A8337E"/>
    <w:rsid w:val="00A843C1"/>
    <w:rsid w:val="00A854D5"/>
    <w:rsid w:val="00A855FF"/>
    <w:rsid w:val="00A85B98"/>
    <w:rsid w:val="00A85BDA"/>
    <w:rsid w:val="00A86B65"/>
    <w:rsid w:val="00A86D8C"/>
    <w:rsid w:val="00A872E7"/>
    <w:rsid w:val="00A87B8A"/>
    <w:rsid w:val="00A901F6"/>
    <w:rsid w:val="00A9044C"/>
    <w:rsid w:val="00A90A69"/>
    <w:rsid w:val="00A9104F"/>
    <w:rsid w:val="00A910AB"/>
    <w:rsid w:val="00A91418"/>
    <w:rsid w:val="00A91E1A"/>
    <w:rsid w:val="00A929CC"/>
    <w:rsid w:val="00A92D89"/>
    <w:rsid w:val="00A9374F"/>
    <w:rsid w:val="00A9393D"/>
    <w:rsid w:val="00A951E1"/>
    <w:rsid w:val="00A95500"/>
    <w:rsid w:val="00A959A7"/>
    <w:rsid w:val="00A95AF8"/>
    <w:rsid w:val="00A96002"/>
    <w:rsid w:val="00A970B9"/>
    <w:rsid w:val="00A9749B"/>
    <w:rsid w:val="00A977C6"/>
    <w:rsid w:val="00A979D1"/>
    <w:rsid w:val="00A97CF5"/>
    <w:rsid w:val="00AA07C2"/>
    <w:rsid w:val="00AA08AA"/>
    <w:rsid w:val="00AA0B5E"/>
    <w:rsid w:val="00AA0C9D"/>
    <w:rsid w:val="00AA1970"/>
    <w:rsid w:val="00AA28C1"/>
    <w:rsid w:val="00AA2E1D"/>
    <w:rsid w:val="00AA314F"/>
    <w:rsid w:val="00AA3789"/>
    <w:rsid w:val="00AA3C51"/>
    <w:rsid w:val="00AA4012"/>
    <w:rsid w:val="00AA4C54"/>
    <w:rsid w:val="00AA4DCC"/>
    <w:rsid w:val="00AA56A6"/>
    <w:rsid w:val="00AA5731"/>
    <w:rsid w:val="00AA5946"/>
    <w:rsid w:val="00AA6F44"/>
    <w:rsid w:val="00AA6F8C"/>
    <w:rsid w:val="00AA7075"/>
    <w:rsid w:val="00AA7209"/>
    <w:rsid w:val="00AB0381"/>
    <w:rsid w:val="00AB0758"/>
    <w:rsid w:val="00AB0EE1"/>
    <w:rsid w:val="00AB0EEA"/>
    <w:rsid w:val="00AB0EEC"/>
    <w:rsid w:val="00AB2123"/>
    <w:rsid w:val="00AB3B05"/>
    <w:rsid w:val="00AB3BCB"/>
    <w:rsid w:val="00AB511C"/>
    <w:rsid w:val="00AB5B60"/>
    <w:rsid w:val="00AB6587"/>
    <w:rsid w:val="00AB66F8"/>
    <w:rsid w:val="00AB6E50"/>
    <w:rsid w:val="00AB7356"/>
    <w:rsid w:val="00AC0426"/>
    <w:rsid w:val="00AC08B6"/>
    <w:rsid w:val="00AC14B0"/>
    <w:rsid w:val="00AC17B9"/>
    <w:rsid w:val="00AC31A0"/>
    <w:rsid w:val="00AC3C48"/>
    <w:rsid w:val="00AC3E04"/>
    <w:rsid w:val="00AC431D"/>
    <w:rsid w:val="00AC477A"/>
    <w:rsid w:val="00AC47CA"/>
    <w:rsid w:val="00AC4974"/>
    <w:rsid w:val="00AC4B78"/>
    <w:rsid w:val="00AC4C2B"/>
    <w:rsid w:val="00AC4C73"/>
    <w:rsid w:val="00AC54F6"/>
    <w:rsid w:val="00AC59A9"/>
    <w:rsid w:val="00AC693F"/>
    <w:rsid w:val="00AC734B"/>
    <w:rsid w:val="00AC7633"/>
    <w:rsid w:val="00AD22A7"/>
    <w:rsid w:val="00AD2626"/>
    <w:rsid w:val="00AD29C7"/>
    <w:rsid w:val="00AD2D24"/>
    <w:rsid w:val="00AD2EF5"/>
    <w:rsid w:val="00AD342F"/>
    <w:rsid w:val="00AD34BC"/>
    <w:rsid w:val="00AD3FE2"/>
    <w:rsid w:val="00AD489A"/>
    <w:rsid w:val="00AD4F6C"/>
    <w:rsid w:val="00AD5036"/>
    <w:rsid w:val="00AD50ED"/>
    <w:rsid w:val="00AD520C"/>
    <w:rsid w:val="00AD5571"/>
    <w:rsid w:val="00AD5648"/>
    <w:rsid w:val="00AD5E5F"/>
    <w:rsid w:val="00AD6017"/>
    <w:rsid w:val="00AD66EE"/>
    <w:rsid w:val="00AD68C6"/>
    <w:rsid w:val="00AD7CB7"/>
    <w:rsid w:val="00AD7DF5"/>
    <w:rsid w:val="00AE035C"/>
    <w:rsid w:val="00AE051B"/>
    <w:rsid w:val="00AE069A"/>
    <w:rsid w:val="00AE06C3"/>
    <w:rsid w:val="00AE130D"/>
    <w:rsid w:val="00AE1826"/>
    <w:rsid w:val="00AE24E9"/>
    <w:rsid w:val="00AE34E6"/>
    <w:rsid w:val="00AE3E31"/>
    <w:rsid w:val="00AE3F95"/>
    <w:rsid w:val="00AE57F1"/>
    <w:rsid w:val="00AE5F9A"/>
    <w:rsid w:val="00AE7B14"/>
    <w:rsid w:val="00AE7D03"/>
    <w:rsid w:val="00AE7FE8"/>
    <w:rsid w:val="00AF064D"/>
    <w:rsid w:val="00AF08E0"/>
    <w:rsid w:val="00AF1DF2"/>
    <w:rsid w:val="00AF1EB8"/>
    <w:rsid w:val="00AF2452"/>
    <w:rsid w:val="00AF2471"/>
    <w:rsid w:val="00AF2E04"/>
    <w:rsid w:val="00AF530B"/>
    <w:rsid w:val="00AF5328"/>
    <w:rsid w:val="00AF62B5"/>
    <w:rsid w:val="00AF6FF8"/>
    <w:rsid w:val="00AF7776"/>
    <w:rsid w:val="00AF7AEB"/>
    <w:rsid w:val="00B00028"/>
    <w:rsid w:val="00B00185"/>
    <w:rsid w:val="00B00D21"/>
    <w:rsid w:val="00B02214"/>
    <w:rsid w:val="00B0313E"/>
    <w:rsid w:val="00B034F6"/>
    <w:rsid w:val="00B03899"/>
    <w:rsid w:val="00B03F8A"/>
    <w:rsid w:val="00B04694"/>
    <w:rsid w:val="00B0485D"/>
    <w:rsid w:val="00B04C3F"/>
    <w:rsid w:val="00B06161"/>
    <w:rsid w:val="00B06BAB"/>
    <w:rsid w:val="00B073D9"/>
    <w:rsid w:val="00B07970"/>
    <w:rsid w:val="00B07EA0"/>
    <w:rsid w:val="00B116D6"/>
    <w:rsid w:val="00B11763"/>
    <w:rsid w:val="00B11A7E"/>
    <w:rsid w:val="00B11F98"/>
    <w:rsid w:val="00B12350"/>
    <w:rsid w:val="00B14165"/>
    <w:rsid w:val="00B151DB"/>
    <w:rsid w:val="00B1571F"/>
    <w:rsid w:val="00B15CFC"/>
    <w:rsid w:val="00B169B7"/>
    <w:rsid w:val="00B16CCA"/>
    <w:rsid w:val="00B1775C"/>
    <w:rsid w:val="00B17FE6"/>
    <w:rsid w:val="00B2030B"/>
    <w:rsid w:val="00B20D13"/>
    <w:rsid w:val="00B21387"/>
    <w:rsid w:val="00B215AB"/>
    <w:rsid w:val="00B21B4D"/>
    <w:rsid w:val="00B229C9"/>
    <w:rsid w:val="00B23E73"/>
    <w:rsid w:val="00B249A4"/>
    <w:rsid w:val="00B24C8F"/>
    <w:rsid w:val="00B26FE9"/>
    <w:rsid w:val="00B2732B"/>
    <w:rsid w:val="00B27597"/>
    <w:rsid w:val="00B27EE8"/>
    <w:rsid w:val="00B30172"/>
    <w:rsid w:val="00B308D0"/>
    <w:rsid w:val="00B31410"/>
    <w:rsid w:val="00B31D59"/>
    <w:rsid w:val="00B31EA7"/>
    <w:rsid w:val="00B32ACE"/>
    <w:rsid w:val="00B333A4"/>
    <w:rsid w:val="00B33CEF"/>
    <w:rsid w:val="00B34005"/>
    <w:rsid w:val="00B34278"/>
    <w:rsid w:val="00B34305"/>
    <w:rsid w:val="00B35243"/>
    <w:rsid w:val="00B35357"/>
    <w:rsid w:val="00B353C8"/>
    <w:rsid w:val="00B3590C"/>
    <w:rsid w:val="00B35D0A"/>
    <w:rsid w:val="00B35FAC"/>
    <w:rsid w:val="00B36362"/>
    <w:rsid w:val="00B3694A"/>
    <w:rsid w:val="00B37400"/>
    <w:rsid w:val="00B3766D"/>
    <w:rsid w:val="00B409B4"/>
    <w:rsid w:val="00B40AFC"/>
    <w:rsid w:val="00B40BC5"/>
    <w:rsid w:val="00B40C70"/>
    <w:rsid w:val="00B41066"/>
    <w:rsid w:val="00B4362F"/>
    <w:rsid w:val="00B43EBA"/>
    <w:rsid w:val="00B44744"/>
    <w:rsid w:val="00B45143"/>
    <w:rsid w:val="00B453E3"/>
    <w:rsid w:val="00B45AAB"/>
    <w:rsid w:val="00B464CA"/>
    <w:rsid w:val="00B46A92"/>
    <w:rsid w:val="00B479F4"/>
    <w:rsid w:val="00B506C9"/>
    <w:rsid w:val="00B50744"/>
    <w:rsid w:val="00B5132B"/>
    <w:rsid w:val="00B51532"/>
    <w:rsid w:val="00B51B04"/>
    <w:rsid w:val="00B53461"/>
    <w:rsid w:val="00B538EA"/>
    <w:rsid w:val="00B54A07"/>
    <w:rsid w:val="00B54BD8"/>
    <w:rsid w:val="00B54F63"/>
    <w:rsid w:val="00B553E4"/>
    <w:rsid w:val="00B554A0"/>
    <w:rsid w:val="00B55614"/>
    <w:rsid w:val="00B55B2E"/>
    <w:rsid w:val="00B56065"/>
    <w:rsid w:val="00B56ECD"/>
    <w:rsid w:val="00B57446"/>
    <w:rsid w:val="00B578AE"/>
    <w:rsid w:val="00B57AC9"/>
    <w:rsid w:val="00B57BE8"/>
    <w:rsid w:val="00B60C32"/>
    <w:rsid w:val="00B61149"/>
    <w:rsid w:val="00B6267F"/>
    <w:rsid w:val="00B62CD6"/>
    <w:rsid w:val="00B63AB6"/>
    <w:rsid w:val="00B63C24"/>
    <w:rsid w:val="00B64461"/>
    <w:rsid w:val="00B64675"/>
    <w:rsid w:val="00B64B46"/>
    <w:rsid w:val="00B65143"/>
    <w:rsid w:val="00B65977"/>
    <w:rsid w:val="00B664EC"/>
    <w:rsid w:val="00B700C2"/>
    <w:rsid w:val="00B70109"/>
    <w:rsid w:val="00B70252"/>
    <w:rsid w:val="00B7094F"/>
    <w:rsid w:val="00B70FB2"/>
    <w:rsid w:val="00B7105C"/>
    <w:rsid w:val="00B7162B"/>
    <w:rsid w:val="00B717B7"/>
    <w:rsid w:val="00B718AF"/>
    <w:rsid w:val="00B71F8F"/>
    <w:rsid w:val="00B71FCE"/>
    <w:rsid w:val="00B72107"/>
    <w:rsid w:val="00B72DD1"/>
    <w:rsid w:val="00B7325E"/>
    <w:rsid w:val="00B73881"/>
    <w:rsid w:val="00B74B3D"/>
    <w:rsid w:val="00B75164"/>
    <w:rsid w:val="00B754FE"/>
    <w:rsid w:val="00B75A94"/>
    <w:rsid w:val="00B7667C"/>
    <w:rsid w:val="00B76686"/>
    <w:rsid w:val="00B766F8"/>
    <w:rsid w:val="00B77A9B"/>
    <w:rsid w:val="00B81A23"/>
    <w:rsid w:val="00B81AA1"/>
    <w:rsid w:val="00B821B4"/>
    <w:rsid w:val="00B83957"/>
    <w:rsid w:val="00B83D27"/>
    <w:rsid w:val="00B83F2A"/>
    <w:rsid w:val="00B844CA"/>
    <w:rsid w:val="00B8456B"/>
    <w:rsid w:val="00B845AB"/>
    <w:rsid w:val="00B84639"/>
    <w:rsid w:val="00B848B1"/>
    <w:rsid w:val="00B84D7A"/>
    <w:rsid w:val="00B850BB"/>
    <w:rsid w:val="00B8515D"/>
    <w:rsid w:val="00B852D4"/>
    <w:rsid w:val="00B85411"/>
    <w:rsid w:val="00B85ED4"/>
    <w:rsid w:val="00B86006"/>
    <w:rsid w:val="00B867C8"/>
    <w:rsid w:val="00B86A76"/>
    <w:rsid w:val="00B86FA8"/>
    <w:rsid w:val="00B879A2"/>
    <w:rsid w:val="00B87E28"/>
    <w:rsid w:val="00B87FAB"/>
    <w:rsid w:val="00B902DD"/>
    <w:rsid w:val="00B908BC"/>
    <w:rsid w:val="00B910C1"/>
    <w:rsid w:val="00B91168"/>
    <w:rsid w:val="00B9149E"/>
    <w:rsid w:val="00B916CE"/>
    <w:rsid w:val="00B92264"/>
    <w:rsid w:val="00B924E1"/>
    <w:rsid w:val="00B92993"/>
    <w:rsid w:val="00B92E16"/>
    <w:rsid w:val="00B932D5"/>
    <w:rsid w:val="00B94560"/>
    <w:rsid w:val="00B950D1"/>
    <w:rsid w:val="00B95343"/>
    <w:rsid w:val="00B96889"/>
    <w:rsid w:val="00B96BB7"/>
    <w:rsid w:val="00B971F0"/>
    <w:rsid w:val="00B976EE"/>
    <w:rsid w:val="00B97C78"/>
    <w:rsid w:val="00BA0FD1"/>
    <w:rsid w:val="00BA11A7"/>
    <w:rsid w:val="00BA11AE"/>
    <w:rsid w:val="00BA17C9"/>
    <w:rsid w:val="00BA1E6A"/>
    <w:rsid w:val="00BA219E"/>
    <w:rsid w:val="00BA2A97"/>
    <w:rsid w:val="00BA3B76"/>
    <w:rsid w:val="00BA3C90"/>
    <w:rsid w:val="00BA4186"/>
    <w:rsid w:val="00BA50F0"/>
    <w:rsid w:val="00BA51D1"/>
    <w:rsid w:val="00BA52F3"/>
    <w:rsid w:val="00BA5494"/>
    <w:rsid w:val="00BA5B1B"/>
    <w:rsid w:val="00BA5BB1"/>
    <w:rsid w:val="00BA5BFE"/>
    <w:rsid w:val="00BA6022"/>
    <w:rsid w:val="00BA66D3"/>
    <w:rsid w:val="00BA6B50"/>
    <w:rsid w:val="00BA6D4A"/>
    <w:rsid w:val="00BA70D4"/>
    <w:rsid w:val="00BA780F"/>
    <w:rsid w:val="00BA7B5B"/>
    <w:rsid w:val="00BB0015"/>
    <w:rsid w:val="00BB0AF0"/>
    <w:rsid w:val="00BB1E3F"/>
    <w:rsid w:val="00BB2BE1"/>
    <w:rsid w:val="00BB3089"/>
    <w:rsid w:val="00BB39D1"/>
    <w:rsid w:val="00BB3A8C"/>
    <w:rsid w:val="00BB3B4F"/>
    <w:rsid w:val="00BB46EC"/>
    <w:rsid w:val="00BB473D"/>
    <w:rsid w:val="00BB4B6C"/>
    <w:rsid w:val="00BB5179"/>
    <w:rsid w:val="00BB55DB"/>
    <w:rsid w:val="00BB6826"/>
    <w:rsid w:val="00BB6937"/>
    <w:rsid w:val="00BB77BD"/>
    <w:rsid w:val="00BB7F44"/>
    <w:rsid w:val="00BC1DD0"/>
    <w:rsid w:val="00BC20DD"/>
    <w:rsid w:val="00BC25A3"/>
    <w:rsid w:val="00BC2609"/>
    <w:rsid w:val="00BC370E"/>
    <w:rsid w:val="00BC45B0"/>
    <w:rsid w:val="00BC4EAA"/>
    <w:rsid w:val="00BC542F"/>
    <w:rsid w:val="00BC58EE"/>
    <w:rsid w:val="00BC66D9"/>
    <w:rsid w:val="00BD04E0"/>
    <w:rsid w:val="00BD05CC"/>
    <w:rsid w:val="00BD2328"/>
    <w:rsid w:val="00BD29CC"/>
    <w:rsid w:val="00BD42B3"/>
    <w:rsid w:val="00BD4301"/>
    <w:rsid w:val="00BD43C1"/>
    <w:rsid w:val="00BD4813"/>
    <w:rsid w:val="00BD4FE1"/>
    <w:rsid w:val="00BD5584"/>
    <w:rsid w:val="00BD5B29"/>
    <w:rsid w:val="00BD5C4D"/>
    <w:rsid w:val="00BD5CA6"/>
    <w:rsid w:val="00BD5DB3"/>
    <w:rsid w:val="00BD6625"/>
    <w:rsid w:val="00BD6D36"/>
    <w:rsid w:val="00BD6FEF"/>
    <w:rsid w:val="00BD755F"/>
    <w:rsid w:val="00BD7870"/>
    <w:rsid w:val="00BD7CE1"/>
    <w:rsid w:val="00BE0400"/>
    <w:rsid w:val="00BE153A"/>
    <w:rsid w:val="00BE15F5"/>
    <w:rsid w:val="00BE26A9"/>
    <w:rsid w:val="00BE28A7"/>
    <w:rsid w:val="00BE30CB"/>
    <w:rsid w:val="00BE426B"/>
    <w:rsid w:val="00BE43B5"/>
    <w:rsid w:val="00BE48C3"/>
    <w:rsid w:val="00BE4E3D"/>
    <w:rsid w:val="00BE52B9"/>
    <w:rsid w:val="00BE5A08"/>
    <w:rsid w:val="00BE5B82"/>
    <w:rsid w:val="00BE5FF1"/>
    <w:rsid w:val="00BE6B55"/>
    <w:rsid w:val="00BE78FA"/>
    <w:rsid w:val="00BE790E"/>
    <w:rsid w:val="00BE7A18"/>
    <w:rsid w:val="00BE7F7B"/>
    <w:rsid w:val="00BF04C0"/>
    <w:rsid w:val="00BF0A0C"/>
    <w:rsid w:val="00BF1067"/>
    <w:rsid w:val="00BF1154"/>
    <w:rsid w:val="00BF13DE"/>
    <w:rsid w:val="00BF152A"/>
    <w:rsid w:val="00BF1C62"/>
    <w:rsid w:val="00BF24B0"/>
    <w:rsid w:val="00BF24D9"/>
    <w:rsid w:val="00BF2CA9"/>
    <w:rsid w:val="00BF3825"/>
    <w:rsid w:val="00BF389E"/>
    <w:rsid w:val="00BF5718"/>
    <w:rsid w:val="00BF581F"/>
    <w:rsid w:val="00BF5925"/>
    <w:rsid w:val="00BF5B01"/>
    <w:rsid w:val="00BF6BF6"/>
    <w:rsid w:val="00BF6E25"/>
    <w:rsid w:val="00BF7BC0"/>
    <w:rsid w:val="00C00066"/>
    <w:rsid w:val="00C005D4"/>
    <w:rsid w:val="00C00B42"/>
    <w:rsid w:val="00C01178"/>
    <w:rsid w:val="00C01797"/>
    <w:rsid w:val="00C01DDF"/>
    <w:rsid w:val="00C031E4"/>
    <w:rsid w:val="00C0391C"/>
    <w:rsid w:val="00C04642"/>
    <w:rsid w:val="00C056D6"/>
    <w:rsid w:val="00C05A4B"/>
    <w:rsid w:val="00C061D7"/>
    <w:rsid w:val="00C06253"/>
    <w:rsid w:val="00C068F2"/>
    <w:rsid w:val="00C07241"/>
    <w:rsid w:val="00C0726B"/>
    <w:rsid w:val="00C072DF"/>
    <w:rsid w:val="00C10108"/>
    <w:rsid w:val="00C10261"/>
    <w:rsid w:val="00C103D9"/>
    <w:rsid w:val="00C104DB"/>
    <w:rsid w:val="00C10603"/>
    <w:rsid w:val="00C10CBB"/>
    <w:rsid w:val="00C10F7E"/>
    <w:rsid w:val="00C113FB"/>
    <w:rsid w:val="00C117E1"/>
    <w:rsid w:val="00C11C8C"/>
    <w:rsid w:val="00C1255F"/>
    <w:rsid w:val="00C130A6"/>
    <w:rsid w:val="00C133D1"/>
    <w:rsid w:val="00C13595"/>
    <w:rsid w:val="00C13614"/>
    <w:rsid w:val="00C139B1"/>
    <w:rsid w:val="00C13B3D"/>
    <w:rsid w:val="00C13B96"/>
    <w:rsid w:val="00C1489D"/>
    <w:rsid w:val="00C1577D"/>
    <w:rsid w:val="00C16A56"/>
    <w:rsid w:val="00C16E78"/>
    <w:rsid w:val="00C16F41"/>
    <w:rsid w:val="00C208A0"/>
    <w:rsid w:val="00C20977"/>
    <w:rsid w:val="00C2106F"/>
    <w:rsid w:val="00C21E6D"/>
    <w:rsid w:val="00C2281E"/>
    <w:rsid w:val="00C22A87"/>
    <w:rsid w:val="00C23F41"/>
    <w:rsid w:val="00C23FD1"/>
    <w:rsid w:val="00C24152"/>
    <w:rsid w:val="00C24803"/>
    <w:rsid w:val="00C24F92"/>
    <w:rsid w:val="00C25404"/>
    <w:rsid w:val="00C256B7"/>
    <w:rsid w:val="00C25B69"/>
    <w:rsid w:val="00C25F4E"/>
    <w:rsid w:val="00C273D4"/>
    <w:rsid w:val="00C278CC"/>
    <w:rsid w:val="00C27BFA"/>
    <w:rsid w:val="00C30955"/>
    <w:rsid w:val="00C30C5A"/>
    <w:rsid w:val="00C30E85"/>
    <w:rsid w:val="00C30ECD"/>
    <w:rsid w:val="00C30F6A"/>
    <w:rsid w:val="00C310A5"/>
    <w:rsid w:val="00C31CA9"/>
    <w:rsid w:val="00C320B4"/>
    <w:rsid w:val="00C322F9"/>
    <w:rsid w:val="00C32C3B"/>
    <w:rsid w:val="00C32C90"/>
    <w:rsid w:val="00C33093"/>
    <w:rsid w:val="00C34358"/>
    <w:rsid w:val="00C35774"/>
    <w:rsid w:val="00C35E1B"/>
    <w:rsid w:val="00C35FA4"/>
    <w:rsid w:val="00C364F0"/>
    <w:rsid w:val="00C40D1B"/>
    <w:rsid w:val="00C40D4A"/>
    <w:rsid w:val="00C41CE6"/>
    <w:rsid w:val="00C42030"/>
    <w:rsid w:val="00C428B7"/>
    <w:rsid w:val="00C43D24"/>
    <w:rsid w:val="00C44558"/>
    <w:rsid w:val="00C4466A"/>
    <w:rsid w:val="00C45297"/>
    <w:rsid w:val="00C45BA4"/>
    <w:rsid w:val="00C45CF2"/>
    <w:rsid w:val="00C464D4"/>
    <w:rsid w:val="00C467AA"/>
    <w:rsid w:val="00C46BB4"/>
    <w:rsid w:val="00C46F31"/>
    <w:rsid w:val="00C47129"/>
    <w:rsid w:val="00C4714C"/>
    <w:rsid w:val="00C47659"/>
    <w:rsid w:val="00C503C3"/>
    <w:rsid w:val="00C50D10"/>
    <w:rsid w:val="00C51A64"/>
    <w:rsid w:val="00C51CC4"/>
    <w:rsid w:val="00C53009"/>
    <w:rsid w:val="00C5313B"/>
    <w:rsid w:val="00C53B71"/>
    <w:rsid w:val="00C53DE8"/>
    <w:rsid w:val="00C548A8"/>
    <w:rsid w:val="00C55143"/>
    <w:rsid w:val="00C55960"/>
    <w:rsid w:val="00C56AD9"/>
    <w:rsid w:val="00C570D7"/>
    <w:rsid w:val="00C575B9"/>
    <w:rsid w:val="00C57ADB"/>
    <w:rsid w:val="00C6022D"/>
    <w:rsid w:val="00C60705"/>
    <w:rsid w:val="00C61FF2"/>
    <w:rsid w:val="00C62055"/>
    <w:rsid w:val="00C621CA"/>
    <w:rsid w:val="00C62628"/>
    <w:rsid w:val="00C62921"/>
    <w:rsid w:val="00C62B0C"/>
    <w:rsid w:val="00C62DC7"/>
    <w:rsid w:val="00C632B9"/>
    <w:rsid w:val="00C635E0"/>
    <w:rsid w:val="00C63A26"/>
    <w:rsid w:val="00C63BDE"/>
    <w:rsid w:val="00C6409D"/>
    <w:rsid w:val="00C64617"/>
    <w:rsid w:val="00C64A50"/>
    <w:rsid w:val="00C657FD"/>
    <w:rsid w:val="00C65A3E"/>
    <w:rsid w:val="00C66000"/>
    <w:rsid w:val="00C667AD"/>
    <w:rsid w:val="00C673F4"/>
    <w:rsid w:val="00C6742A"/>
    <w:rsid w:val="00C67712"/>
    <w:rsid w:val="00C67F97"/>
    <w:rsid w:val="00C70119"/>
    <w:rsid w:val="00C70A69"/>
    <w:rsid w:val="00C71E47"/>
    <w:rsid w:val="00C72C39"/>
    <w:rsid w:val="00C732AA"/>
    <w:rsid w:val="00C73366"/>
    <w:rsid w:val="00C7346D"/>
    <w:rsid w:val="00C73B35"/>
    <w:rsid w:val="00C74291"/>
    <w:rsid w:val="00C745EB"/>
    <w:rsid w:val="00C766B8"/>
    <w:rsid w:val="00C767DC"/>
    <w:rsid w:val="00C7738A"/>
    <w:rsid w:val="00C775C7"/>
    <w:rsid w:val="00C7786C"/>
    <w:rsid w:val="00C77CCB"/>
    <w:rsid w:val="00C80CEE"/>
    <w:rsid w:val="00C82282"/>
    <w:rsid w:val="00C8287E"/>
    <w:rsid w:val="00C82A68"/>
    <w:rsid w:val="00C82BB4"/>
    <w:rsid w:val="00C83C72"/>
    <w:rsid w:val="00C83DCE"/>
    <w:rsid w:val="00C83F44"/>
    <w:rsid w:val="00C8453A"/>
    <w:rsid w:val="00C84767"/>
    <w:rsid w:val="00C84BD4"/>
    <w:rsid w:val="00C861A2"/>
    <w:rsid w:val="00C86213"/>
    <w:rsid w:val="00C865C7"/>
    <w:rsid w:val="00C8663F"/>
    <w:rsid w:val="00C87671"/>
    <w:rsid w:val="00C87B2D"/>
    <w:rsid w:val="00C87C09"/>
    <w:rsid w:val="00C87E25"/>
    <w:rsid w:val="00C90E4A"/>
    <w:rsid w:val="00C915D1"/>
    <w:rsid w:val="00C916B4"/>
    <w:rsid w:val="00C92BE9"/>
    <w:rsid w:val="00C9347C"/>
    <w:rsid w:val="00C935B9"/>
    <w:rsid w:val="00C93655"/>
    <w:rsid w:val="00C938E3"/>
    <w:rsid w:val="00C93B1A"/>
    <w:rsid w:val="00C93C12"/>
    <w:rsid w:val="00C943A4"/>
    <w:rsid w:val="00C94923"/>
    <w:rsid w:val="00C94C9D"/>
    <w:rsid w:val="00C95620"/>
    <w:rsid w:val="00C9584E"/>
    <w:rsid w:val="00C95C37"/>
    <w:rsid w:val="00C95E51"/>
    <w:rsid w:val="00C95EE9"/>
    <w:rsid w:val="00C96124"/>
    <w:rsid w:val="00C966F7"/>
    <w:rsid w:val="00C97518"/>
    <w:rsid w:val="00C9775C"/>
    <w:rsid w:val="00C97794"/>
    <w:rsid w:val="00CA085B"/>
    <w:rsid w:val="00CA1139"/>
    <w:rsid w:val="00CA2ABB"/>
    <w:rsid w:val="00CA2B13"/>
    <w:rsid w:val="00CA3096"/>
    <w:rsid w:val="00CA33DF"/>
    <w:rsid w:val="00CA3531"/>
    <w:rsid w:val="00CA3FBA"/>
    <w:rsid w:val="00CA49F7"/>
    <w:rsid w:val="00CA4AE3"/>
    <w:rsid w:val="00CA4BBC"/>
    <w:rsid w:val="00CA5616"/>
    <w:rsid w:val="00CA5816"/>
    <w:rsid w:val="00CA6799"/>
    <w:rsid w:val="00CA6862"/>
    <w:rsid w:val="00CA689F"/>
    <w:rsid w:val="00CA6C75"/>
    <w:rsid w:val="00CB100B"/>
    <w:rsid w:val="00CB106B"/>
    <w:rsid w:val="00CB2A37"/>
    <w:rsid w:val="00CB2AD7"/>
    <w:rsid w:val="00CB2B4E"/>
    <w:rsid w:val="00CB367F"/>
    <w:rsid w:val="00CB3BF0"/>
    <w:rsid w:val="00CB3EAE"/>
    <w:rsid w:val="00CB44C3"/>
    <w:rsid w:val="00CB625F"/>
    <w:rsid w:val="00CB6333"/>
    <w:rsid w:val="00CB73A9"/>
    <w:rsid w:val="00CB772A"/>
    <w:rsid w:val="00CC1500"/>
    <w:rsid w:val="00CC1570"/>
    <w:rsid w:val="00CC17CA"/>
    <w:rsid w:val="00CC192C"/>
    <w:rsid w:val="00CC1C37"/>
    <w:rsid w:val="00CC2945"/>
    <w:rsid w:val="00CC3A64"/>
    <w:rsid w:val="00CC3CEB"/>
    <w:rsid w:val="00CC4986"/>
    <w:rsid w:val="00CC49DE"/>
    <w:rsid w:val="00CC4ACF"/>
    <w:rsid w:val="00CC54B8"/>
    <w:rsid w:val="00CC55CB"/>
    <w:rsid w:val="00CC6053"/>
    <w:rsid w:val="00CC6112"/>
    <w:rsid w:val="00CC6348"/>
    <w:rsid w:val="00CC6B96"/>
    <w:rsid w:val="00CC75F1"/>
    <w:rsid w:val="00CC7842"/>
    <w:rsid w:val="00CC7EB1"/>
    <w:rsid w:val="00CD0924"/>
    <w:rsid w:val="00CD0DF8"/>
    <w:rsid w:val="00CD144B"/>
    <w:rsid w:val="00CD19DC"/>
    <w:rsid w:val="00CD19FE"/>
    <w:rsid w:val="00CD32D1"/>
    <w:rsid w:val="00CD370B"/>
    <w:rsid w:val="00CD385E"/>
    <w:rsid w:val="00CD4083"/>
    <w:rsid w:val="00CD457E"/>
    <w:rsid w:val="00CD4664"/>
    <w:rsid w:val="00CD48EA"/>
    <w:rsid w:val="00CD4912"/>
    <w:rsid w:val="00CD4DE1"/>
    <w:rsid w:val="00CD5FC0"/>
    <w:rsid w:val="00CD6509"/>
    <w:rsid w:val="00CD6CA3"/>
    <w:rsid w:val="00CD737A"/>
    <w:rsid w:val="00CD73D9"/>
    <w:rsid w:val="00CD7D96"/>
    <w:rsid w:val="00CE0C9A"/>
    <w:rsid w:val="00CE1D72"/>
    <w:rsid w:val="00CE24DB"/>
    <w:rsid w:val="00CE28F6"/>
    <w:rsid w:val="00CE3634"/>
    <w:rsid w:val="00CE3DC3"/>
    <w:rsid w:val="00CE3F60"/>
    <w:rsid w:val="00CE4CFD"/>
    <w:rsid w:val="00CE4DE0"/>
    <w:rsid w:val="00CE5335"/>
    <w:rsid w:val="00CE5517"/>
    <w:rsid w:val="00CE56D1"/>
    <w:rsid w:val="00CE58D4"/>
    <w:rsid w:val="00CE5D0E"/>
    <w:rsid w:val="00CE642C"/>
    <w:rsid w:val="00CE6588"/>
    <w:rsid w:val="00CE78CD"/>
    <w:rsid w:val="00CE7DAF"/>
    <w:rsid w:val="00CE7FE0"/>
    <w:rsid w:val="00CF0898"/>
    <w:rsid w:val="00CF18FA"/>
    <w:rsid w:val="00CF2D53"/>
    <w:rsid w:val="00CF3A2D"/>
    <w:rsid w:val="00CF4783"/>
    <w:rsid w:val="00CF4A62"/>
    <w:rsid w:val="00CF4C20"/>
    <w:rsid w:val="00CF530C"/>
    <w:rsid w:val="00CF660B"/>
    <w:rsid w:val="00CF6FEA"/>
    <w:rsid w:val="00CF72FE"/>
    <w:rsid w:val="00CF7817"/>
    <w:rsid w:val="00D0023D"/>
    <w:rsid w:val="00D004C0"/>
    <w:rsid w:val="00D004E6"/>
    <w:rsid w:val="00D008A3"/>
    <w:rsid w:val="00D00F1F"/>
    <w:rsid w:val="00D017E9"/>
    <w:rsid w:val="00D01E1B"/>
    <w:rsid w:val="00D01F6F"/>
    <w:rsid w:val="00D023D8"/>
    <w:rsid w:val="00D03130"/>
    <w:rsid w:val="00D03368"/>
    <w:rsid w:val="00D03657"/>
    <w:rsid w:val="00D0373D"/>
    <w:rsid w:val="00D03963"/>
    <w:rsid w:val="00D03AE0"/>
    <w:rsid w:val="00D03EE2"/>
    <w:rsid w:val="00D046DD"/>
    <w:rsid w:val="00D05E91"/>
    <w:rsid w:val="00D06428"/>
    <w:rsid w:val="00D0665C"/>
    <w:rsid w:val="00D06D9B"/>
    <w:rsid w:val="00D071E0"/>
    <w:rsid w:val="00D07CB4"/>
    <w:rsid w:val="00D10273"/>
    <w:rsid w:val="00D10864"/>
    <w:rsid w:val="00D11A6F"/>
    <w:rsid w:val="00D11E97"/>
    <w:rsid w:val="00D12EA6"/>
    <w:rsid w:val="00D1315E"/>
    <w:rsid w:val="00D135D7"/>
    <w:rsid w:val="00D14148"/>
    <w:rsid w:val="00D14868"/>
    <w:rsid w:val="00D14B39"/>
    <w:rsid w:val="00D14E80"/>
    <w:rsid w:val="00D15829"/>
    <w:rsid w:val="00D15EAE"/>
    <w:rsid w:val="00D1616E"/>
    <w:rsid w:val="00D16866"/>
    <w:rsid w:val="00D1693E"/>
    <w:rsid w:val="00D16C6F"/>
    <w:rsid w:val="00D1701A"/>
    <w:rsid w:val="00D172F0"/>
    <w:rsid w:val="00D177B2"/>
    <w:rsid w:val="00D17A86"/>
    <w:rsid w:val="00D2051F"/>
    <w:rsid w:val="00D22415"/>
    <w:rsid w:val="00D22844"/>
    <w:rsid w:val="00D22CCC"/>
    <w:rsid w:val="00D22F38"/>
    <w:rsid w:val="00D233DE"/>
    <w:rsid w:val="00D235AB"/>
    <w:rsid w:val="00D237AC"/>
    <w:rsid w:val="00D23A3D"/>
    <w:rsid w:val="00D23CB2"/>
    <w:rsid w:val="00D24BD8"/>
    <w:rsid w:val="00D255E9"/>
    <w:rsid w:val="00D25A37"/>
    <w:rsid w:val="00D2626A"/>
    <w:rsid w:val="00D262A6"/>
    <w:rsid w:val="00D26D3D"/>
    <w:rsid w:val="00D273CC"/>
    <w:rsid w:val="00D278F0"/>
    <w:rsid w:val="00D2792E"/>
    <w:rsid w:val="00D27B63"/>
    <w:rsid w:val="00D27D7C"/>
    <w:rsid w:val="00D312B6"/>
    <w:rsid w:val="00D3140C"/>
    <w:rsid w:val="00D31836"/>
    <w:rsid w:val="00D318C3"/>
    <w:rsid w:val="00D31ADC"/>
    <w:rsid w:val="00D31BD8"/>
    <w:rsid w:val="00D31C86"/>
    <w:rsid w:val="00D324C4"/>
    <w:rsid w:val="00D33DCF"/>
    <w:rsid w:val="00D34339"/>
    <w:rsid w:val="00D349B8"/>
    <w:rsid w:val="00D352F3"/>
    <w:rsid w:val="00D363E4"/>
    <w:rsid w:val="00D36A76"/>
    <w:rsid w:val="00D36E57"/>
    <w:rsid w:val="00D3710F"/>
    <w:rsid w:val="00D37923"/>
    <w:rsid w:val="00D37FD0"/>
    <w:rsid w:val="00D409FD"/>
    <w:rsid w:val="00D40E77"/>
    <w:rsid w:val="00D40EFE"/>
    <w:rsid w:val="00D411B0"/>
    <w:rsid w:val="00D411E1"/>
    <w:rsid w:val="00D4121D"/>
    <w:rsid w:val="00D41283"/>
    <w:rsid w:val="00D4179F"/>
    <w:rsid w:val="00D41BD5"/>
    <w:rsid w:val="00D41CAA"/>
    <w:rsid w:val="00D41EBB"/>
    <w:rsid w:val="00D42AFB"/>
    <w:rsid w:val="00D42B7F"/>
    <w:rsid w:val="00D4300E"/>
    <w:rsid w:val="00D4386B"/>
    <w:rsid w:val="00D44549"/>
    <w:rsid w:val="00D44738"/>
    <w:rsid w:val="00D44D4F"/>
    <w:rsid w:val="00D457A4"/>
    <w:rsid w:val="00D45B36"/>
    <w:rsid w:val="00D45E83"/>
    <w:rsid w:val="00D47266"/>
    <w:rsid w:val="00D50850"/>
    <w:rsid w:val="00D50E2B"/>
    <w:rsid w:val="00D50FF0"/>
    <w:rsid w:val="00D5156F"/>
    <w:rsid w:val="00D518AC"/>
    <w:rsid w:val="00D51950"/>
    <w:rsid w:val="00D51CBF"/>
    <w:rsid w:val="00D5259C"/>
    <w:rsid w:val="00D52824"/>
    <w:rsid w:val="00D52F6D"/>
    <w:rsid w:val="00D568CE"/>
    <w:rsid w:val="00D56ECB"/>
    <w:rsid w:val="00D56FD2"/>
    <w:rsid w:val="00D573A6"/>
    <w:rsid w:val="00D57791"/>
    <w:rsid w:val="00D57B94"/>
    <w:rsid w:val="00D57EE4"/>
    <w:rsid w:val="00D60282"/>
    <w:rsid w:val="00D6030F"/>
    <w:rsid w:val="00D605CC"/>
    <w:rsid w:val="00D60BE1"/>
    <w:rsid w:val="00D61070"/>
    <w:rsid w:val="00D6199D"/>
    <w:rsid w:val="00D61F21"/>
    <w:rsid w:val="00D6342E"/>
    <w:rsid w:val="00D6358F"/>
    <w:rsid w:val="00D63FAF"/>
    <w:rsid w:val="00D649E4"/>
    <w:rsid w:val="00D64A1D"/>
    <w:rsid w:val="00D64ECB"/>
    <w:rsid w:val="00D65631"/>
    <w:rsid w:val="00D656F2"/>
    <w:rsid w:val="00D661E8"/>
    <w:rsid w:val="00D6632D"/>
    <w:rsid w:val="00D66A7C"/>
    <w:rsid w:val="00D66C38"/>
    <w:rsid w:val="00D66D54"/>
    <w:rsid w:val="00D67702"/>
    <w:rsid w:val="00D67F2C"/>
    <w:rsid w:val="00D71694"/>
    <w:rsid w:val="00D71923"/>
    <w:rsid w:val="00D71ADB"/>
    <w:rsid w:val="00D7285A"/>
    <w:rsid w:val="00D72BD6"/>
    <w:rsid w:val="00D72C4A"/>
    <w:rsid w:val="00D73101"/>
    <w:rsid w:val="00D7387A"/>
    <w:rsid w:val="00D73BC2"/>
    <w:rsid w:val="00D73C7D"/>
    <w:rsid w:val="00D73E37"/>
    <w:rsid w:val="00D76033"/>
    <w:rsid w:val="00D76926"/>
    <w:rsid w:val="00D76B2B"/>
    <w:rsid w:val="00D77830"/>
    <w:rsid w:val="00D7790F"/>
    <w:rsid w:val="00D77B05"/>
    <w:rsid w:val="00D77E3C"/>
    <w:rsid w:val="00D809A1"/>
    <w:rsid w:val="00D817E7"/>
    <w:rsid w:val="00D817EB"/>
    <w:rsid w:val="00D81CCD"/>
    <w:rsid w:val="00D83A32"/>
    <w:rsid w:val="00D83A53"/>
    <w:rsid w:val="00D84175"/>
    <w:rsid w:val="00D84219"/>
    <w:rsid w:val="00D85785"/>
    <w:rsid w:val="00D8630E"/>
    <w:rsid w:val="00D864B9"/>
    <w:rsid w:val="00D87108"/>
    <w:rsid w:val="00D9020E"/>
    <w:rsid w:val="00D90D6F"/>
    <w:rsid w:val="00D912C4"/>
    <w:rsid w:val="00D91945"/>
    <w:rsid w:val="00D92A35"/>
    <w:rsid w:val="00D9325E"/>
    <w:rsid w:val="00D935B2"/>
    <w:rsid w:val="00D937C8"/>
    <w:rsid w:val="00D93DFF"/>
    <w:rsid w:val="00D93E2B"/>
    <w:rsid w:val="00D949BB"/>
    <w:rsid w:val="00D94C21"/>
    <w:rsid w:val="00D95E87"/>
    <w:rsid w:val="00D95FD1"/>
    <w:rsid w:val="00D967F1"/>
    <w:rsid w:val="00D96E82"/>
    <w:rsid w:val="00D96EB0"/>
    <w:rsid w:val="00D96EB2"/>
    <w:rsid w:val="00DA0C5F"/>
    <w:rsid w:val="00DA15ED"/>
    <w:rsid w:val="00DA16AE"/>
    <w:rsid w:val="00DA1912"/>
    <w:rsid w:val="00DA1E30"/>
    <w:rsid w:val="00DA2645"/>
    <w:rsid w:val="00DA2B14"/>
    <w:rsid w:val="00DA2F40"/>
    <w:rsid w:val="00DA38CF"/>
    <w:rsid w:val="00DA4C22"/>
    <w:rsid w:val="00DA4E3C"/>
    <w:rsid w:val="00DA59DE"/>
    <w:rsid w:val="00DA5E3C"/>
    <w:rsid w:val="00DA69A4"/>
    <w:rsid w:val="00DA6F2A"/>
    <w:rsid w:val="00DA703E"/>
    <w:rsid w:val="00DA7CC4"/>
    <w:rsid w:val="00DB0CB7"/>
    <w:rsid w:val="00DB0FCF"/>
    <w:rsid w:val="00DB12AA"/>
    <w:rsid w:val="00DB1F01"/>
    <w:rsid w:val="00DB20D1"/>
    <w:rsid w:val="00DB3542"/>
    <w:rsid w:val="00DB3A72"/>
    <w:rsid w:val="00DB3D16"/>
    <w:rsid w:val="00DB3D8F"/>
    <w:rsid w:val="00DB46D0"/>
    <w:rsid w:val="00DB4897"/>
    <w:rsid w:val="00DB4CFA"/>
    <w:rsid w:val="00DB5757"/>
    <w:rsid w:val="00DB59A2"/>
    <w:rsid w:val="00DB63E3"/>
    <w:rsid w:val="00DB6AC5"/>
    <w:rsid w:val="00DB721F"/>
    <w:rsid w:val="00DB757B"/>
    <w:rsid w:val="00DB7C6C"/>
    <w:rsid w:val="00DC0A7A"/>
    <w:rsid w:val="00DC105F"/>
    <w:rsid w:val="00DC160D"/>
    <w:rsid w:val="00DC198E"/>
    <w:rsid w:val="00DC31A5"/>
    <w:rsid w:val="00DC45A1"/>
    <w:rsid w:val="00DC4FEF"/>
    <w:rsid w:val="00DC514D"/>
    <w:rsid w:val="00DC642A"/>
    <w:rsid w:val="00DC67C3"/>
    <w:rsid w:val="00DC6BC1"/>
    <w:rsid w:val="00DC6D24"/>
    <w:rsid w:val="00DC6F06"/>
    <w:rsid w:val="00DC7CBE"/>
    <w:rsid w:val="00DD0157"/>
    <w:rsid w:val="00DD0196"/>
    <w:rsid w:val="00DD0357"/>
    <w:rsid w:val="00DD064E"/>
    <w:rsid w:val="00DD068E"/>
    <w:rsid w:val="00DD0B10"/>
    <w:rsid w:val="00DD125A"/>
    <w:rsid w:val="00DD127C"/>
    <w:rsid w:val="00DD1786"/>
    <w:rsid w:val="00DD1980"/>
    <w:rsid w:val="00DD2041"/>
    <w:rsid w:val="00DD21FB"/>
    <w:rsid w:val="00DD2A08"/>
    <w:rsid w:val="00DD2FD4"/>
    <w:rsid w:val="00DD3086"/>
    <w:rsid w:val="00DD35DC"/>
    <w:rsid w:val="00DD3DDE"/>
    <w:rsid w:val="00DD4784"/>
    <w:rsid w:val="00DD517B"/>
    <w:rsid w:val="00DD5C33"/>
    <w:rsid w:val="00DD62C3"/>
    <w:rsid w:val="00DD65FF"/>
    <w:rsid w:val="00DD779A"/>
    <w:rsid w:val="00DD792B"/>
    <w:rsid w:val="00DD7932"/>
    <w:rsid w:val="00DE000B"/>
    <w:rsid w:val="00DE0502"/>
    <w:rsid w:val="00DE0740"/>
    <w:rsid w:val="00DE2A29"/>
    <w:rsid w:val="00DE2CA4"/>
    <w:rsid w:val="00DE315B"/>
    <w:rsid w:val="00DE35F3"/>
    <w:rsid w:val="00DE36D0"/>
    <w:rsid w:val="00DE48BE"/>
    <w:rsid w:val="00DE52FB"/>
    <w:rsid w:val="00DE550D"/>
    <w:rsid w:val="00DE5ADC"/>
    <w:rsid w:val="00DE5C7C"/>
    <w:rsid w:val="00DE7224"/>
    <w:rsid w:val="00DE777B"/>
    <w:rsid w:val="00DF00E1"/>
    <w:rsid w:val="00DF02B7"/>
    <w:rsid w:val="00DF1297"/>
    <w:rsid w:val="00DF14CE"/>
    <w:rsid w:val="00DF20A1"/>
    <w:rsid w:val="00DF2D96"/>
    <w:rsid w:val="00DF30DB"/>
    <w:rsid w:val="00DF3898"/>
    <w:rsid w:val="00DF3A2E"/>
    <w:rsid w:val="00DF3F72"/>
    <w:rsid w:val="00DF42A7"/>
    <w:rsid w:val="00DF42C9"/>
    <w:rsid w:val="00DF47AA"/>
    <w:rsid w:val="00DF47D0"/>
    <w:rsid w:val="00DF5A8C"/>
    <w:rsid w:val="00DF62C3"/>
    <w:rsid w:val="00DF65A4"/>
    <w:rsid w:val="00DF66DE"/>
    <w:rsid w:val="00DF6D41"/>
    <w:rsid w:val="00DF7035"/>
    <w:rsid w:val="00DF7414"/>
    <w:rsid w:val="00DF78B8"/>
    <w:rsid w:val="00DF7E98"/>
    <w:rsid w:val="00E00992"/>
    <w:rsid w:val="00E00AB2"/>
    <w:rsid w:val="00E01824"/>
    <w:rsid w:val="00E02868"/>
    <w:rsid w:val="00E031C5"/>
    <w:rsid w:val="00E03666"/>
    <w:rsid w:val="00E03789"/>
    <w:rsid w:val="00E038C0"/>
    <w:rsid w:val="00E03ACE"/>
    <w:rsid w:val="00E05371"/>
    <w:rsid w:val="00E0543D"/>
    <w:rsid w:val="00E0566A"/>
    <w:rsid w:val="00E0687C"/>
    <w:rsid w:val="00E068E6"/>
    <w:rsid w:val="00E06E9C"/>
    <w:rsid w:val="00E07FBB"/>
    <w:rsid w:val="00E100C7"/>
    <w:rsid w:val="00E100D2"/>
    <w:rsid w:val="00E102E7"/>
    <w:rsid w:val="00E10618"/>
    <w:rsid w:val="00E110D9"/>
    <w:rsid w:val="00E11289"/>
    <w:rsid w:val="00E11AB5"/>
    <w:rsid w:val="00E1254D"/>
    <w:rsid w:val="00E1403D"/>
    <w:rsid w:val="00E143E5"/>
    <w:rsid w:val="00E1476C"/>
    <w:rsid w:val="00E14DB7"/>
    <w:rsid w:val="00E14E8B"/>
    <w:rsid w:val="00E1531A"/>
    <w:rsid w:val="00E1545F"/>
    <w:rsid w:val="00E157DB"/>
    <w:rsid w:val="00E15935"/>
    <w:rsid w:val="00E15DB2"/>
    <w:rsid w:val="00E15EA7"/>
    <w:rsid w:val="00E16978"/>
    <w:rsid w:val="00E16D0F"/>
    <w:rsid w:val="00E2047D"/>
    <w:rsid w:val="00E204B0"/>
    <w:rsid w:val="00E20AD0"/>
    <w:rsid w:val="00E20C62"/>
    <w:rsid w:val="00E21AA7"/>
    <w:rsid w:val="00E21BE3"/>
    <w:rsid w:val="00E224F9"/>
    <w:rsid w:val="00E25669"/>
    <w:rsid w:val="00E25CF1"/>
    <w:rsid w:val="00E25D23"/>
    <w:rsid w:val="00E266EC"/>
    <w:rsid w:val="00E266F3"/>
    <w:rsid w:val="00E26952"/>
    <w:rsid w:val="00E26A3E"/>
    <w:rsid w:val="00E26CF4"/>
    <w:rsid w:val="00E27545"/>
    <w:rsid w:val="00E30787"/>
    <w:rsid w:val="00E3079D"/>
    <w:rsid w:val="00E309E7"/>
    <w:rsid w:val="00E30FE9"/>
    <w:rsid w:val="00E31254"/>
    <w:rsid w:val="00E31A5C"/>
    <w:rsid w:val="00E322BE"/>
    <w:rsid w:val="00E334EB"/>
    <w:rsid w:val="00E33601"/>
    <w:rsid w:val="00E33D36"/>
    <w:rsid w:val="00E34BCB"/>
    <w:rsid w:val="00E3576F"/>
    <w:rsid w:val="00E35A8D"/>
    <w:rsid w:val="00E35F2F"/>
    <w:rsid w:val="00E3717A"/>
    <w:rsid w:val="00E401D2"/>
    <w:rsid w:val="00E40822"/>
    <w:rsid w:val="00E40A0E"/>
    <w:rsid w:val="00E40B93"/>
    <w:rsid w:val="00E41382"/>
    <w:rsid w:val="00E416AA"/>
    <w:rsid w:val="00E41991"/>
    <w:rsid w:val="00E41C93"/>
    <w:rsid w:val="00E41CCD"/>
    <w:rsid w:val="00E41FB2"/>
    <w:rsid w:val="00E42340"/>
    <w:rsid w:val="00E42483"/>
    <w:rsid w:val="00E4268E"/>
    <w:rsid w:val="00E42E93"/>
    <w:rsid w:val="00E42F4D"/>
    <w:rsid w:val="00E437F5"/>
    <w:rsid w:val="00E4418A"/>
    <w:rsid w:val="00E44F1F"/>
    <w:rsid w:val="00E45185"/>
    <w:rsid w:val="00E45672"/>
    <w:rsid w:val="00E46165"/>
    <w:rsid w:val="00E463A6"/>
    <w:rsid w:val="00E467C8"/>
    <w:rsid w:val="00E471AD"/>
    <w:rsid w:val="00E5000F"/>
    <w:rsid w:val="00E508AD"/>
    <w:rsid w:val="00E51A10"/>
    <w:rsid w:val="00E51F7F"/>
    <w:rsid w:val="00E524B7"/>
    <w:rsid w:val="00E52F3C"/>
    <w:rsid w:val="00E53649"/>
    <w:rsid w:val="00E53ABA"/>
    <w:rsid w:val="00E53E2F"/>
    <w:rsid w:val="00E542CA"/>
    <w:rsid w:val="00E549A9"/>
    <w:rsid w:val="00E568A3"/>
    <w:rsid w:val="00E56B01"/>
    <w:rsid w:val="00E57ECA"/>
    <w:rsid w:val="00E60D24"/>
    <w:rsid w:val="00E61DEC"/>
    <w:rsid w:val="00E623FF"/>
    <w:rsid w:val="00E6255C"/>
    <w:rsid w:val="00E626A1"/>
    <w:rsid w:val="00E626B4"/>
    <w:rsid w:val="00E62AC9"/>
    <w:rsid w:val="00E62E48"/>
    <w:rsid w:val="00E63BA9"/>
    <w:rsid w:val="00E63FD8"/>
    <w:rsid w:val="00E64657"/>
    <w:rsid w:val="00E64F86"/>
    <w:rsid w:val="00E64FF0"/>
    <w:rsid w:val="00E65618"/>
    <w:rsid w:val="00E65807"/>
    <w:rsid w:val="00E6605D"/>
    <w:rsid w:val="00E66E95"/>
    <w:rsid w:val="00E67213"/>
    <w:rsid w:val="00E70208"/>
    <w:rsid w:val="00E7097F"/>
    <w:rsid w:val="00E70F27"/>
    <w:rsid w:val="00E72077"/>
    <w:rsid w:val="00E721C4"/>
    <w:rsid w:val="00E72981"/>
    <w:rsid w:val="00E73163"/>
    <w:rsid w:val="00E738A5"/>
    <w:rsid w:val="00E73BEC"/>
    <w:rsid w:val="00E73C6F"/>
    <w:rsid w:val="00E73D82"/>
    <w:rsid w:val="00E746EB"/>
    <w:rsid w:val="00E74FE9"/>
    <w:rsid w:val="00E76802"/>
    <w:rsid w:val="00E7696F"/>
    <w:rsid w:val="00E76B08"/>
    <w:rsid w:val="00E76FA3"/>
    <w:rsid w:val="00E770CC"/>
    <w:rsid w:val="00E776A4"/>
    <w:rsid w:val="00E77950"/>
    <w:rsid w:val="00E77A93"/>
    <w:rsid w:val="00E80DC4"/>
    <w:rsid w:val="00E8101D"/>
    <w:rsid w:val="00E8146D"/>
    <w:rsid w:val="00E815B2"/>
    <w:rsid w:val="00E81A71"/>
    <w:rsid w:val="00E81C62"/>
    <w:rsid w:val="00E81F5A"/>
    <w:rsid w:val="00E83C1A"/>
    <w:rsid w:val="00E83D51"/>
    <w:rsid w:val="00E83FF2"/>
    <w:rsid w:val="00E841AE"/>
    <w:rsid w:val="00E86DC8"/>
    <w:rsid w:val="00E8725E"/>
    <w:rsid w:val="00E8758D"/>
    <w:rsid w:val="00E879E8"/>
    <w:rsid w:val="00E87E99"/>
    <w:rsid w:val="00E90A23"/>
    <w:rsid w:val="00E91DC9"/>
    <w:rsid w:val="00E92CA7"/>
    <w:rsid w:val="00E92DFE"/>
    <w:rsid w:val="00E931F0"/>
    <w:rsid w:val="00E93709"/>
    <w:rsid w:val="00E93DAC"/>
    <w:rsid w:val="00E94457"/>
    <w:rsid w:val="00E94D84"/>
    <w:rsid w:val="00E956F0"/>
    <w:rsid w:val="00E96D5D"/>
    <w:rsid w:val="00E973BB"/>
    <w:rsid w:val="00E978EA"/>
    <w:rsid w:val="00E97916"/>
    <w:rsid w:val="00EA0D7D"/>
    <w:rsid w:val="00EA1420"/>
    <w:rsid w:val="00EA15A3"/>
    <w:rsid w:val="00EA1C12"/>
    <w:rsid w:val="00EA1EB2"/>
    <w:rsid w:val="00EA23E4"/>
    <w:rsid w:val="00EA28BD"/>
    <w:rsid w:val="00EA2A01"/>
    <w:rsid w:val="00EA2CE5"/>
    <w:rsid w:val="00EA3732"/>
    <w:rsid w:val="00EA3A79"/>
    <w:rsid w:val="00EA3B43"/>
    <w:rsid w:val="00EA45E4"/>
    <w:rsid w:val="00EA496D"/>
    <w:rsid w:val="00EA5175"/>
    <w:rsid w:val="00EA5593"/>
    <w:rsid w:val="00EA5AD0"/>
    <w:rsid w:val="00EA61FB"/>
    <w:rsid w:val="00EA6804"/>
    <w:rsid w:val="00EA691D"/>
    <w:rsid w:val="00EA6AA4"/>
    <w:rsid w:val="00EA734D"/>
    <w:rsid w:val="00EB0B69"/>
    <w:rsid w:val="00EB0F43"/>
    <w:rsid w:val="00EB1D39"/>
    <w:rsid w:val="00EB20CE"/>
    <w:rsid w:val="00EB221E"/>
    <w:rsid w:val="00EB27E3"/>
    <w:rsid w:val="00EB2A4C"/>
    <w:rsid w:val="00EB2B4E"/>
    <w:rsid w:val="00EB39C4"/>
    <w:rsid w:val="00EB411C"/>
    <w:rsid w:val="00EB44DA"/>
    <w:rsid w:val="00EB4809"/>
    <w:rsid w:val="00EB4AFB"/>
    <w:rsid w:val="00EB4F30"/>
    <w:rsid w:val="00EB53EE"/>
    <w:rsid w:val="00EB556C"/>
    <w:rsid w:val="00EB5C93"/>
    <w:rsid w:val="00EB605E"/>
    <w:rsid w:val="00EB68CB"/>
    <w:rsid w:val="00EB6A63"/>
    <w:rsid w:val="00EB7ACF"/>
    <w:rsid w:val="00EBD728"/>
    <w:rsid w:val="00EC0908"/>
    <w:rsid w:val="00EC0A2C"/>
    <w:rsid w:val="00EC0EE3"/>
    <w:rsid w:val="00EC122E"/>
    <w:rsid w:val="00EC19C7"/>
    <w:rsid w:val="00EC20A6"/>
    <w:rsid w:val="00EC21D9"/>
    <w:rsid w:val="00EC3A9B"/>
    <w:rsid w:val="00EC3B92"/>
    <w:rsid w:val="00EC3EC8"/>
    <w:rsid w:val="00EC40D4"/>
    <w:rsid w:val="00EC44C2"/>
    <w:rsid w:val="00EC4BF8"/>
    <w:rsid w:val="00EC4D79"/>
    <w:rsid w:val="00EC540E"/>
    <w:rsid w:val="00EC5CF0"/>
    <w:rsid w:val="00EC697B"/>
    <w:rsid w:val="00EC7570"/>
    <w:rsid w:val="00ED0590"/>
    <w:rsid w:val="00ED0F61"/>
    <w:rsid w:val="00ED104D"/>
    <w:rsid w:val="00ED1E86"/>
    <w:rsid w:val="00ED23C9"/>
    <w:rsid w:val="00ED2A3A"/>
    <w:rsid w:val="00ED3837"/>
    <w:rsid w:val="00ED5607"/>
    <w:rsid w:val="00ED63FD"/>
    <w:rsid w:val="00ED6F4D"/>
    <w:rsid w:val="00ED7088"/>
    <w:rsid w:val="00ED7F0D"/>
    <w:rsid w:val="00ED7F82"/>
    <w:rsid w:val="00EE006F"/>
    <w:rsid w:val="00EE0D1B"/>
    <w:rsid w:val="00EE12F4"/>
    <w:rsid w:val="00EE16FD"/>
    <w:rsid w:val="00EE17AB"/>
    <w:rsid w:val="00EE1C89"/>
    <w:rsid w:val="00EE2668"/>
    <w:rsid w:val="00EE32A0"/>
    <w:rsid w:val="00EE35A2"/>
    <w:rsid w:val="00EE35E8"/>
    <w:rsid w:val="00EE4D9A"/>
    <w:rsid w:val="00EE6595"/>
    <w:rsid w:val="00EE699F"/>
    <w:rsid w:val="00EE6E5D"/>
    <w:rsid w:val="00EE72F6"/>
    <w:rsid w:val="00EE7AF5"/>
    <w:rsid w:val="00EE7DE8"/>
    <w:rsid w:val="00EF03D9"/>
    <w:rsid w:val="00EF045E"/>
    <w:rsid w:val="00EF0A3F"/>
    <w:rsid w:val="00EF0CB3"/>
    <w:rsid w:val="00EF1171"/>
    <w:rsid w:val="00EF1D4F"/>
    <w:rsid w:val="00EF1F5B"/>
    <w:rsid w:val="00EF21D6"/>
    <w:rsid w:val="00EF233F"/>
    <w:rsid w:val="00EF25BE"/>
    <w:rsid w:val="00EF2CD9"/>
    <w:rsid w:val="00EF3152"/>
    <w:rsid w:val="00EF38E6"/>
    <w:rsid w:val="00EF4515"/>
    <w:rsid w:val="00EF4937"/>
    <w:rsid w:val="00EF49EA"/>
    <w:rsid w:val="00EF4C99"/>
    <w:rsid w:val="00EF54B2"/>
    <w:rsid w:val="00EF5A86"/>
    <w:rsid w:val="00EF64EB"/>
    <w:rsid w:val="00EF6534"/>
    <w:rsid w:val="00EF71AB"/>
    <w:rsid w:val="00F008E4"/>
    <w:rsid w:val="00F01311"/>
    <w:rsid w:val="00F01662"/>
    <w:rsid w:val="00F01F65"/>
    <w:rsid w:val="00F01FCC"/>
    <w:rsid w:val="00F02245"/>
    <w:rsid w:val="00F02BFB"/>
    <w:rsid w:val="00F0323F"/>
    <w:rsid w:val="00F03AC1"/>
    <w:rsid w:val="00F0487E"/>
    <w:rsid w:val="00F0495A"/>
    <w:rsid w:val="00F04B7F"/>
    <w:rsid w:val="00F04B87"/>
    <w:rsid w:val="00F052B1"/>
    <w:rsid w:val="00F05B14"/>
    <w:rsid w:val="00F05DB5"/>
    <w:rsid w:val="00F05E6D"/>
    <w:rsid w:val="00F0640B"/>
    <w:rsid w:val="00F06430"/>
    <w:rsid w:val="00F06DAB"/>
    <w:rsid w:val="00F077C2"/>
    <w:rsid w:val="00F0785E"/>
    <w:rsid w:val="00F07E49"/>
    <w:rsid w:val="00F1002A"/>
    <w:rsid w:val="00F100D3"/>
    <w:rsid w:val="00F101B5"/>
    <w:rsid w:val="00F10695"/>
    <w:rsid w:val="00F10AC9"/>
    <w:rsid w:val="00F11213"/>
    <w:rsid w:val="00F11851"/>
    <w:rsid w:val="00F118C5"/>
    <w:rsid w:val="00F119CA"/>
    <w:rsid w:val="00F12C19"/>
    <w:rsid w:val="00F12E1A"/>
    <w:rsid w:val="00F12F9A"/>
    <w:rsid w:val="00F13863"/>
    <w:rsid w:val="00F14C9D"/>
    <w:rsid w:val="00F15503"/>
    <w:rsid w:val="00F15637"/>
    <w:rsid w:val="00F1592F"/>
    <w:rsid w:val="00F15F64"/>
    <w:rsid w:val="00F16572"/>
    <w:rsid w:val="00F16813"/>
    <w:rsid w:val="00F16849"/>
    <w:rsid w:val="00F172E4"/>
    <w:rsid w:val="00F175D8"/>
    <w:rsid w:val="00F177DE"/>
    <w:rsid w:val="00F179A7"/>
    <w:rsid w:val="00F17D54"/>
    <w:rsid w:val="00F211AC"/>
    <w:rsid w:val="00F21892"/>
    <w:rsid w:val="00F21CB1"/>
    <w:rsid w:val="00F22751"/>
    <w:rsid w:val="00F2290A"/>
    <w:rsid w:val="00F22CDA"/>
    <w:rsid w:val="00F2454A"/>
    <w:rsid w:val="00F24735"/>
    <w:rsid w:val="00F24EA5"/>
    <w:rsid w:val="00F2512B"/>
    <w:rsid w:val="00F25C47"/>
    <w:rsid w:val="00F25FB6"/>
    <w:rsid w:val="00F26DFE"/>
    <w:rsid w:val="00F27654"/>
    <w:rsid w:val="00F27DFE"/>
    <w:rsid w:val="00F301A9"/>
    <w:rsid w:val="00F30307"/>
    <w:rsid w:val="00F31280"/>
    <w:rsid w:val="00F31422"/>
    <w:rsid w:val="00F314E5"/>
    <w:rsid w:val="00F3215D"/>
    <w:rsid w:val="00F325C7"/>
    <w:rsid w:val="00F33002"/>
    <w:rsid w:val="00F33E21"/>
    <w:rsid w:val="00F3485D"/>
    <w:rsid w:val="00F35453"/>
    <w:rsid w:val="00F35721"/>
    <w:rsid w:val="00F37311"/>
    <w:rsid w:val="00F37A72"/>
    <w:rsid w:val="00F400AB"/>
    <w:rsid w:val="00F40CBF"/>
    <w:rsid w:val="00F410F9"/>
    <w:rsid w:val="00F41998"/>
    <w:rsid w:val="00F4222E"/>
    <w:rsid w:val="00F42453"/>
    <w:rsid w:val="00F42460"/>
    <w:rsid w:val="00F42CDD"/>
    <w:rsid w:val="00F4340C"/>
    <w:rsid w:val="00F43937"/>
    <w:rsid w:val="00F43E46"/>
    <w:rsid w:val="00F43F86"/>
    <w:rsid w:val="00F44664"/>
    <w:rsid w:val="00F44FAC"/>
    <w:rsid w:val="00F45B69"/>
    <w:rsid w:val="00F45EE5"/>
    <w:rsid w:val="00F460CB"/>
    <w:rsid w:val="00F46D6E"/>
    <w:rsid w:val="00F46DD8"/>
    <w:rsid w:val="00F5000B"/>
    <w:rsid w:val="00F50604"/>
    <w:rsid w:val="00F50A56"/>
    <w:rsid w:val="00F50AC2"/>
    <w:rsid w:val="00F51ECD"/>
    <w:rsid w:val="00F52432"/>
    <w:rsid w:val="00F5259B"/>
    <w:rsid w:val="00F53189"/>
    <w:rsid w:val="00F54610"/>
    <w:rsid w:val="00F549F4"/>
    <w:rsid w:val="00F54A84"/>
    <w:rsid w:val="00F54E53"/>
    <w:rsid w:val="00F56AC7"/>
    <w:rsid w:val="00F56D2B"/>
    <w:rsid w:val="00F56FD5"/>
    <w:rsid w:val="00F5733D"/>
    <w:rsid w:val="00F57782"/>
    <w:rsid w:val="00F6168E"/>
    <w:rsid w:val="00F618FF"/>
    <w:rsid w:val="00F632BE"/>
    <w:rsid w:val="00F634D4"/>
    <w:rsid w:val="00F64C1B"/>
    <w:rsid w:val="00F66027"/>
    <w:rsid w:val="00F663D4"/>
    <w:rsid w:val="00F67050"/>
    <w:rsid w:val="00F6765B"/>
    <w:rsid w:val="00F70912"/>
    <w:rsid w:val="00F70E22"/>
    <w:rsid w:val="00F71824"/>
    <w:rsid w:val="00F71943"/>
    <w:rsid w:val="00F71F5B"/>
    <w:rsid w:val="00F725C8"/>
    <w:rsid w:val="00F72CB9"/>
    <w:rsid w:val="00F72E43"/>
    <w:rsid w:val="00F72E91"/>
    <w:rsid w:val="00F74492"/>
    <w:rsid w:val="00F747A0"/>
    <w:rsid w:val="00F751AB"/>
    <w:rsid w:val="00F75EAB"/>
    <w:rsid w:val="00F75F1D"/>
    <w:rsid w:val="00F77AE6"/>
    <w:rsid w:val="00F81784"/>
    <w:rsid w:val="00F81E69"/>
    <w:rsid w:val="00F82131"/>
    <w:rsid w:val="00F822D3"/>
    <w:rsid w:val="00F82662"/>
    <w:rsid w:val="00F82BBC"/>
    <w:rsid w:val="00F82C11"/>
    <w:rsid w:val="00F835F4"/>
    <w:rsid w:val="00F83732"/>
    <w:rsid w:val="00F8391B"/>
    <w:rsid w:val="00F8396F"/>
    <w:rsid w:val="00F83ED5"/>
    <w:rsid w:val="00F8565B"/>
    <w:rsid w:val="00F858C5"/>
    <w:rsid w:val="00F86270"/>
    <w:rsid w:val="00F86BAE"/>
    <w:rsid w:val="00F86D83"/>
    <w:rsid w:val="00F87231"/>
    <w:rsid w:val="00F87871"/>
    <w:rsid w:val="00F87CE6"/>
    <w:rsid w:val="00F90099"/>
    <w:rsid w:val="00F9074E"/>
    <w:rsid w:val="00F91A8A"/>
    <w:rsid w:val="00F91C2E"/>
    <w:rsid w:val="00F93622"/>
    <w:rsid w:val="00F937D2"/>
    <w:rsid w:val="00F938D1"/>
    <w:rsid w:val="00F93AC9"/>
    <w:rsid w:val="00F94135"/>
    <w:rsid w:val="00F94621"/>
    <w:rsid w:val="00F9464E"/>
    <w:rsid w:val="00F947A7"/>
    <w:rsid w:val="00F951CD"/>
    <w:rsid w:val="00F954EE"/>
    <w:rsid w:val="00F9568B"/>
    <w:rsid w:val="00F9579F"/>
    <w:rsid w:val="00F95FA6"/>
    <w:rsid w:val="00F96ADF"/>
    <w:rsid w:val="00F96EDE"/>
    <w:rsid w:val="00F973A0"/>
    <w:rsid w:val="00FA0378"/>
    <w:rsid w:val="00FA19FB"/>
    <w:rsid w:val="00FA239D"/>
    <w:rsid w:val="00FA317D"/>
    <w:rsid w:val="00FA391A"/>
    <w:rsid w:val="00FA3C8B"/>
    <w:rsid w:val="00FA3D49"/>
    <w:rsid w:val="00FA4706"/>
    <w:rsid w:val="00FA4765"/>
    <w:rsid w:val="00FA485C"/>
    <w:rsid w:val="00FA48F7"/>
    <w:rsid w:val="00FA55DD"/>
    <w:rsid w:val="00FA5914"/>
    <w:rsid w:val="00FA6D01"/>
    <w:rsid w:val="00FA7C9C"/>
    <w:rsid w:val="00FA7DAD"/>
    <w:rsid w:val="00FA7DC6"/>
    <w:rsid w:val="00FB0B7B"/>
    <w:rsid w:val="00FB0DA0"/>
    <w:rsid w:val="00FB1B1B"/>
    <w:rsid w:val="00FB1BA6"/>
    <w:rsid w:val="00FB20C9"/>
    <w:rsid w:val="00FB2746"/>
    <w:rsid w:val="00FB2F4A"/>
    <w:rsid w:val="00FB33B8"/>
    <w:rsid w:val="00FB4C89"/>
    <w:rsid w:val="00FB52E8"/>
    <w:rsid w:val="00FB53C9"/>
    <w:rsid w:val="00FB5499"/>
    <w:rsid w:val="00FB59E9"/>
    <w:rsid w:val="00FB6036"/>
    <w:rsid w:val="00FB6202"/>
    <w:rsid w:val="00FB68B2"/>
    <w:rsid w:val="00FB69CB"/>
    <w:rsid w:val="00FB6C6D"/>
    <w:rsid w:val="00FB7A64"/>
    <w:rsid w:val="00FC0D07"/>
    <w:rsid w:val="00FC0D55"/>
    <w:rsid w:val="00FC0E3F"/>
    <w:rsid w:val="00FC0F5A"/>
    <w:rsid w:val="00FC11B4"/>
    <w:rsid w:val="00FC1477"/>
    <w:rsid w:val="00FC19EA"/>
    <w:rsid w:val="00FC1B1E"/>
    <w:rsid w:val="00FC1D5C"/>
    <w:rsid w:val="00FC2002"/>
    <w:rsid w:val="00FC2D93"/>
    <w:rsid w:val="00FC2FB2"/>
    <w:rsid w:val="00FC4521"/>
    <w:rsid w:val="00FC572C"/>
    <w:rsid w:val="00FC5A57"/>
    <w:rsid w:val="00FC5AA8"/>
    <w:rsid w:val="00FC60E5"/>
    <w:rsid w:val="00FC679F"/>
    <w:rsid w:val="00FC6E93"/>
    <w:rsid w:val="00FC71A4"/>
    <w:rsid w:val="00FC7804"/>
    <w:rsid w:val="00FD0B68"/>
    <w:rsid w:val="00FD17CB"/>
    <w:rsid w:val="00FD1A3A"/>
    <w:rsid w:val="00FD1CD6"/>
    <w:rsid w:val="00FD260A"/>
    <w:rsid w:val="00FD2C33"/>
    <w:rsid w:val="00FD3253"/>
    <w:rsid w:val="00FD43AA"/>
    <w:rsid w:val="00FD443A"/>
    <w:rsid w:val="00FD457D"/>
    <w:rsid w:val="00FD47F1"/>
    <w:rsid w:val="00FD4C62"/>
    <w:rsid w:val="00FD533E"/>
    <w:rsid w:val="00FD5A45"/>
    <w:rsid w:val="00FD5AB1"/>
    <w:rsid w:val="00FD61DB"/>
    <w:rsid w:val="00FD6321"/>
    <w:rsid w:val="00FD69A7"/>
    <w:rsid w:val="00FD6B1A"/>
    <w:rsid w:val="00FD72B3"/>
    <w:rsid w:val="00FD7DE4"/>
    <w:rsid w:val="00FE075F"/>
    <w:rsid w:val="00FE0868"/>
    <w:rsid w:val="00FE0B6E"/>
    <w:rsid w:val="00FE0B89"/>
    <w:rsid w:val="00FE0BD7"/>
    <w:rsid w:val="00FE14E9"/>
    <w:rsid w:val="00FE1977"/>
    <w:rsid w:val="00FE1A19"/>
    <w:rsid w:val="00FE1EA2"/>
    <w:rsid w:val="00FE3580"/>
    <w:rsid w:val="00FE3EC4"/>
    <w:rsid w:val="00FE408C"/>
    <w:rsid w:val="00FE4781"/>
    <w:rsid w:val="00FE4984"/>
    <w:rsid w:val="00FE4F56"/>
    <w:rsid w:val="00FE5918"/>
    <w:rsid w:val="00FE5D96"/>
    <w:rsid w:val="00FE6096"/>
    <w:rsid w:val="00FE629A"/>
    <w:rsid w:val="00FE63F7"/>
    <w:rsid w:val="00FF08A9"/>
    <w:rsid w:val="00FF142B"/>
    <w:rsid w:val="00FF160D"/>
    <w:rsid w:val="00FF222C"/>
    <w:rsid w:val="00FF43C0"/>
    <w:rsid w:val="00FF4679"/>
    <w:rsid w:val="00FF47DD"/>
    <w:rsid w:val="00FF4F0F"/>
    <w:rsid w:val="00FF6921"/>
    <w:rsid w:val="00FF69F0"/>
    <w:rsid w:val="00FF7609"/>
    <w:rsid w:val="012FDAE2"/>
    <w:rsid w:val="016993C5"/>
    <w:rsid w:val="01B5342D"/>
    <w:rsid w:val="01FBBEED"/>
    <w:rsid w:val="020FBE41"/>
    <w:rsid w:val="03E51A57"/>
    <w:rsid w:val="04D21FA4"/>
    <w:rsid w:val="058C8C3A"/>
    <w:rsid w:val="059086A0"/>
    <w:rsid w:val="05B53DD0"/>
    <w:rsid w:val="05E1A1C9"/>
    <w:rsid w:val="0691B7B0"/>
    <w:rsid w:val="06B6E662"/>
    <w:rsid w:val="06F525DE"/>
    <w:rsid w:val="072123A8"/>
    <w:rsid w:val="07440B87"/>
    <w:rsid w:val="07B6DD45"/>
    <w:rsid w:val="07E4A2A8"/>
    <w:rsid w:val="082AA4F0"/>
    <w:rsid w:val="0845C2E8"/>
    <w:rsid w:val="0875A5E3"/>
    <w:rsid w:val="09D39BFB"/>
    <w:rsid w:val="0A52502D"/>
    <w:rsid w:val="0B076ABB"/>
    <w:rsid w:val="0C9356D4"/>
    <w:rsid w:val="0DCD9FCF"/>
    <w:rsid w:val="0E9BADA7"/>
    <w:rsid w:val="0F1C730A"/>
    <w:rsid w:val="109DF75F"/>
    <w:rsid w:val="10A4EF2C"/>
    <w:rsid w:val="11B8731F"/>
    <w:rsid w:val="129AE16E"/>
    <w:rsid w:val="12A5494C"/>
    <w:rsid w:val="13C69DB6"/>
    <w:rsid w:val="145EC03D"/>
    <w:rsid w:val="15021541"/>
    <w:rsid w:val="1575B2FB"/>
    <w:rsid w:val="161097BA"/>
    <w:rsid w:val="168F6D08"/>
    <w:rsid w:val="177CE662"/>
    <w:rsid w:val="17D01B3F"/>
    <w:rsid w:val="19AE1081"/>
    <w:rsid w:val="19FD459C"/>
    <w:rsid w:val="1A867C02"/>
    <w:rsid w:val="1BB90DD9"/>
    <w:rsid w:val="1BD3F5B0"/>
    <w:rsid w:val="1BE331AF"/>
    <w:rsid w:val="1C042979"/>
    <w:rsid w:val="1D80EA00"/>
    <w:rsid w:val="1E27BF95"/>
    <w:rsid w:val="1E6A594D"/>
    <w:rsid w:val="1F9D3895"/>
    <w:rsid w:val="1FC59447"/>
    <w:rsid w:val="1FED39DA"/>
    <w:rsid w:val="2024014B"/>
    <w:rsid w:val="213BC3EB"/>
    <w:rsid w:val="2162F6D7"/>
    <w:rsid w:val="21891A2C"/>
    <w:rsid w:val="21ADA5B0"/>
    <w:rsid w:val="221E8A65"/>
    <w:rsid w:val="227CE0A7"/>
    <w:rsid w:val="232B65E1"/>
    <w:rsid w:val="23483DD4"/>
    <w:rsid w:val="23C25976"/>
    <w:rsid w:val="23DC3FE3"/>
    <w:rsid w:val="249A7809"/>
    <w:rsid w:val="2527C015"/>
    <w:rsid w:val="2580568E"/>
    <w:rsid w:val="259F6EAF"/>
    <w:rsid w:val="26210315"/>
    <w:rsid w:val="26BAF543"/>
    <w:rsid w:val="289A5794"/>
    <w:rsid w:val="2994A835"/>
    <w:rsid w:val="2A402EDD"/>
    <w:rsid w:val="2B702F3F"/>
    <w:rsid w:val="2DA6F39A"/>
    <w:rsid w:val="2E69A580"/>
    <w:rsid w:val="2ECBC382"/>
    <w:rsid w:val="2EFEEBD5"/>
    <w:rsid w:val="2FE49581"/>
    <w:rsid w:val="3063AADD"/>
    <w:rsid w:val="312A4F94"/>
    <w:rsid w:val="31E724B3"/>
    <w:rsid w:val="31FE1DEB"/>
    <w:rsid w:val="329A3D4F"/>
    <w:rsid w:val="32BC202E"/>
    <w:rsid w:val="3312642B"/>
    <w:rsid w:val="33671FF4"/>
    <w:rsid w:val="33F32936"/>
    <w:rsid w:val="354189F7"/>
    <w:rsid w:val="35920873"/>
    <w:rsid w:val="3687DFEB"/>
    <w:rsid w:val="36CF6F7C"/>
    <w:rsid w:val="36E0BD7C"/>
    <w:rsid w:val="375094E0"/>
    <w:rsid w:val="377AF046"/>
    <w:rsid w:val="37C04640"/>
    <w:rsid w:val="380373AD"/>
    <w:rsid w:val="38565ABE"/>
    <w:rsid w:val="3890D076"/>
    <w:rsid w:val="394B0E8B"/>
    <w:rsid w:val="39969468"/>
    <w:rsid w:val="3AEF626E"/>
    <w:rsid w:val="3BDD5B81"/>
    <w:rsid w:val="3C3C96E7"/>
    <w:rsid w:val="3DD3EE41"/>
    <w:rsid w:val="3F1DAF79"/>
    <w:rsid w:val="40011AAE"/>
    <w:rsid w:val="40974C74"/>
    <w:rsid w:val="40BD75ED"/>
    <w:rsid w:val="420FE164"/>
    <w:rsid w:val="42448B98"/>
    <w:rsid w:val="424E15DA"/>
    <w:rsid w:val="426D2590"/>
    <w:rsid w:val="427218AD"/>
    <w:rsid w:val="42BA5F60"/>
    <w:rsid w:val="43905B88"/>
    <w:rsid w:val="43D77DB2"/>
    <w:rsid w:val="443DF7EA"/>
    <w:rsid w:val="462E6A6D"/>
    <w:rsid w:val="4639C124"/>
    <w:rsid w:val="46802FCB"/>
    <w:rsid w:val="46A16129"/>
    <w:rsid w:val="46A97B4D"/>
    <w:rsid w:val="47AA94BB"/>
    <w:rsid w:val="484EDFC0"/>
    <w:rsid w:val="48E20284"/>
    <w:rsid w:val="497BD9AB"/>
    <w:rsid w:val="49B99C5C"/>
    <w:rsid w:val="49EA6FDB"/>
    <w:rsid w:val="4A1D6C18"/>
    <w:rsid w:val="4A3D6117"/>
    <w:rsid w:val="4A6545DC"/>
    <w:rsid w:val="4C8E4D3A"/>
    <w:rsid w:val="4D0F9146"/>
    <w:rsid w:val="4D1F027F"/>
    <w:rsid w:val="4D591257"/>
    <w:rsid w:val="4E8E8EA8"/>
    <w:rsid w:val="4ECBCA8D"/>
    <w:rsid w:val="4F1975B2"/>
    <w:rsid w:val="4F5FF91C"/>
    <w:rsid w:val="50033703"/>
    <w:rsid w:val="501F1ACE"/>
    <w:rsid w:val="503DECBF"/>
    <w:rsid w:val="5070BFE4"/>
    <w:rsid w:val="50EB11F3"/>
    <w:rsid w:val="528710B8"/>
    <w:rsid w:val="5325DD8C"/>
    <w:rsid w:val="5362DDEB"/>
    <w:rsid w:val="537F7694"/>
    <w:rsid w:val="5434B093"/>
    <w:rsid w:val="543C3560"/>
    <w:rsid w:val="54E81FAA"/>
    <w:rsid w:val="553DABDC"/>
    <w:rsid w:val="570C101B"/>
    <w:rsid w:val="57DC7E63"/>
    <w:rsid w:val="582CE91B"/>
    <w:rsid w:val="5846236E"/>
    <w:rsid w:val="58FC8844"/>
    <w:rsid w:val="5A51386B"/>
    <w:rsid w:val="5AD72AB8"/>
    <w:rsid w:val="5B0E4B5A"/>
    <w:rsid w:val="5B339B76"/>
    <w:rsid w:val="5B3D7782"/>
    <w:rsid w:val="5BF79798"/>
    <w:rsid w:val="5CC01528"/>
    <w:rsid w:val="5D80DEC0"/>
    <w:rsid w:val="5DE53095"/>
    <w:rsid w:val="5E3811A3"/>
    <w:rsid w:val="5E401624"/>
    <w:rsid w:val="5EA2B3F4"/>
    <w:rsid w:val="600F2032"/>
    <w:rsid w:val="608EE814"/>
    <w:rsid w:val="621D260E"/>
    <w:rsid w:val="62B8BF60"/>
    <w:rsid w:val="62F10EF4"/>
    <w:rsid w:val="6399BFD3"/>
    <w:rsid w:val="6632B5CD"/>
    <w:rsid w:val="673FECD7"/>
    <w:rsid w:val="681AE4FF"/>
    <w:rsid w:val="68C5E690"/>
    <w:rsid w:val="692E2951"/>
    <w:rsid w:val="696A6CDA"/>
    <w:rsid w:val="6A27710F"/>
    <w:rsid w:val="6BCADEA0"/>
    <w:rsid w:val="6BD018A2"/>
    <w:rsid w:val="6C00E501"/>
    <w:rsid w:val="6C8138BF"/>
    <w:rsid w:val="6DF95761"/>
    <w:rsid w:val="6F36F3C2"/>
    <w:rsid w:val="6F9B5665"/>
    <w:rsid w:val="6FC022A4"/>
    <w:rsid w:val="7022AD95"/>
    <w:rsid w:val="708D42FB"/>
    <w:rsid w:val="719BF79A"/>
    <w:rsid w:val="719C92AA"/>
    <w:rsid w:val="727D3869"/>
    <w:rsid w:val="732E8416"/>
    <w:rsid w:val="74317BDA"/>
    <w:rsid w:val="7493DA2E"/>
    <w:rsid w:val="74942587"/>
    <w:rsid w:val="7495167E"/>
    <w:rsid w:val="74FEDBBB"/>
    <w:rsid w:val="77341AFA"/>
    <w:rsid w:val="783E3FF9"/>
    <w:rsid w:val="789C86E9"/>
    <w:rsid w:val="795CF963"/>
    <w:rsid w:val="7A8F9DFC"/>
    <w:rsid w:val="7BFF495B"/>
    <w:rsid w:val="7C3BD7EC"/>
    <w:rsid w:val="7D8D38B5"/>
    <w:rsid w:val="7E7A5C0A"/>
    <w:rsid w:val="7EAAC27D"/>
    <w:rsid w:val="7ED0A27C"/>
    <w:rsid w:val="7FD3BAB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025FD1C8"/>
  <w15:docId w15:val="{E185C47D-2E6B-4F7F-898B-9A5963581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en-GB" w:eastAsia="en-IE" w:bidi="ar-SA"/>
      </w:rPr>
    </w:rPrDefault>
    <w:pPrDefault/>
  </w:docDefaults>
  <w:latentStyles w:defLockedState="0" w:defUIPriority="99" w:defSemiHidden="0" w:defUnhideWhenUsed="0" w:defQFormat="0" w:count="371">
    <w:lsdException w:name="Normal" w:uiPriority="0" w:qFormat="1"/>
    <w:lsdException w:name="heading 1" w:uiPriority="10" w:qFormat="1"/>
    <w:lsdException w:name="heading 2" w:uiPriority="10" w:qFormat="1"/>
    <w:lsdException w:name="heading 3" w:uiPriority="10" w:qFormat="1"/>
    <w:lsdException w:name="heading 4" w:uiPriority="10" w:qFormat="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qFormat="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uiPriority="35"/>
    <w:lsdException w:name="List Number" w:uiPriority="30"/>
    <w:lsdException w:name="List 2" w:semiHidden="1"/>
    <w:lsdException w:name="List 3" w:semiHidden="1"/>
    <w:lsdException w:name="List 4" w:semiHidden="1"/>
    <w:lsdException w:name="List 5" w:semiHidden="1"/>
    <w:lsdException w:name="List Bullet 2" w:uiPriority="35"/>
    <w:lsdException w:name="List Bullet 3" w:uiPriority="35"/>
    <w:lsdException w:name="List Bullet 4" w:uiPriority="35"/>
    <w:lsdException w:name="List Bullet 5" w:semiHidden="1"/>
    <w:lsdException w:name="List Number 2" w:uiPriority="30"/>
    <w:lsdException w:name="List Number 3" w:uiPriority="30"/>
    <w:lsdException w:name="List Number 4" w:uiPriority="30"/>
    <w:lsdException w:name="List Number 5" w:semiHidden="1"/>
    <w:lsdException w:name="Title" w:uiPriority="40" w:qFormat="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E3580"/>
    <w:pPr>
      <w:spacing w:after="240"/>
      <w:jc w:val="both"/>
    </w:pPr>
  </w:style>
  <w:style w:type="paragraph" w:styleId="Heading1">
    <w:name w:val="heading 1"/>
    <w:basedOn w:val="Normal"/>
    <w:next w:val="Text1"/>
    <w:uiPriority w:val="10"/>
    <w:qFormat/>
    <w:pPr>
      <w:keepNext/>
      <w:numPr>
        <w:numId w:val="16"/>
      </w:numPr>
      <w:spacing w:before="240"/>
      <w:outlineLvl w:val="0"/>
    </w:pPr>
    <w:rPr>
      <w:b/>
      <w:smallCaps/>
    </w:rPr>
  </w:style>
  <w:style w:type="paragraph" w:styleId="Heading2">
    <w:name w:val="heading 2"/>
    <w:basedOn w:val="Normal"/>
    <w:next w:val="Text2"/>
    <w:uiPriority w:val="10"/>
    <w:qFormat/>
    <w:pPr>
      <w:keepNext/>
      <w:numPr>
        <w:ilvl w:val="1"/>
        <w:numId w:val="16"/>
      </w:numPr>
      <w:outlineLvl w:val="1"/>
    </w:pPr>
    <w:rPr>
      <w:b/>
    </w:rPr>
  </w:style>
  <w:style w:type="paragraph" w:styleId="Heading3">
    <w:name w:val="heading 3"/>
    <w:basedOn w:val="Normal"/>
    <w:next w:val="Text3"/>
    <w:uiPriority w:val="10"/>
    <w:qFormat/>
    <w:pPr>
      <w:keepNext/>
      <w:numPr>
        <w:ilvl w:val="2"/>
        <w:numId w:val="16"/>
      </w:numPr>
      <w:outlineLvl w:val="2"/>
    </w:pPr>
    <w:rPr>
      <w:i/>
    </w:rPr>
  </w:style>
  <w:style w:type="paragraph" w:styleId="Heading4">
    <w:name w:val="heading 4"/>
    <w:basedOn w:val="Normal"/>
    <w:next w:val="Text4"/>
    <w:uiPriority w:val="10"/>
    <w:qFormat/>
    <w:pPr>
      <w:keepNext/>
      <w:numPr>
        <w:ilvl w:val="3"/>
        <w:numId w:val="16"/>
      </w:numPr>
      <w:outlineLvl w:val="3"/>
    </w:pPr>
  </w:style>
  <w:style w:type="paragraph" w:styleId="Heading5">
    <w:name w:val="heading 5"/>
    <w:basedOn w:val="Normal"/>
    <w:next w:val="Normal"/>
    <w:semiHidden/>
    <w:pPr>
      <w:keepNext/>
      <w:numPr>
        <w:ilvl w:val="4"/>
        <w:numId w:val="16"/>
      </w:numPr>
      <w:outlineLvl w:val="4"/>
    </w:pPr>
  </w:style>
  <w:style w:type="paragraph" w:styleId="Heading6">
    <w:name w:val="heading 6"/>
    <w:basedOn w:val="Normal"/>
    <w:next w:val="Normal"/>
    <w:semiHidden/>
    <w:pPr>
      <w:keepNext/>
      <w:numPr>
        <w:ilvl w:val="5"/>
        <w:numId w:val="16"/>
      </w:numPr>
      <w:outlineLvl w:val="5"/>
    </w:pPr>
  </w:style>
  <w:style w:type="paragraph" w:styleId="Heading7">
    <w:name w:val="heading 7"/>
    <w:basedOn w:val="Normal"/>
    <w:next w:val="Normal"/>
    <w:semiHidden/>
    <w:pPr>
      <w:keepNext/>
      <w:numPr>
        <w:ilvl w:val="6"/>
        <w:numId w:val="16"/>
      </w:numPr>
      <w:outlineLvl w:val="6"/>
    </w:pPr>
  </w:style>
  <w:style w:type="paragraph" w:styleId="Heading8">
    <w:name w:val="heading 8"/>
    <w:basedOn w:val="Normal"/>
    <w:next w:val="Normal"/>
    <w:semiHidden/>
    <w:pPr>
      <w:keepNext/>
      <w:numPr>
        <w:ilvl w:val="7"/>
        <w:numId w:val="16"/>
      </w:numPr>
      <w:outlineLvl w:val="7"/>
    </w:pPr>
  </w:style>
  <w:style w:type="paragraph" w:styleId="Heading9">
    <w:name w:val="heading 9"/>
    <w:basedOn w:val="Normal"/>
    <w:next w:val="Normal"/>
    <w:semiHidden/>
    <w:pPr>
      <w:keepNext/>
      <w:numPr>
        <w:ilvl w:val="8"/>
        <w:numId w:val="16"/>
      </w:num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PlaceholderText">
    <w:name w:val="BodyPlaceholderText"/>
    <w:basedOn w:val="PlaceholderText"/>
    <w:semiHidden/>
    <w:rPr>
      <w:color w:val="3366CC"/>
    </w:rPr>
  </w:style>
  <w:style w:type="character" w:customStyle="1" w:styleId="CrossReference">
    <w:name w:val="Cross Reference"/>
    <w:basedOn w:val="DefaultParagraphFont"/>
    <w:semiHidden/>
    <w:rPr>
      <w:i/>
    </w:rPr>
  </w:style>
  <w:style w:type="character" w:styleId="FootnoteReference">
    <w:name w:val="footnote reference"/>
    <w:aliases w:val="Footnote Reference Superscript,Footnote Reference text,Footnote symbol,Voetnootverwijzing,footnote ref,FR,Fußnotenzeichen diss neu,Times 10 Point,Exposant 3 Point,Odwołanie przypisu,Footnote Refernece,Footnote Reference in text,FZ,4_G"/>
    <w:link w:val="FootnotesymbolCarZchnZchn"/>
    <w:qFormat/>
    <w:rPr>
      <w:vertAlign w:val="superscript"/>
    </w:rPr>
  </w:style>
  <w:style w:type="character" w:customStyle="1" w:styleId="InstructionBlue">
    <w:name w:val="InstructionBlue"/>
    <w:semiHidden/>
    <w:rPr>
      <w:i/>
      <w:color w:val="3366CC"/>
    </w:rPr>
  </w:style>
  <w:style w:type="character" w:customStyle="1" w:styleId="InstructionPlaceholder">
    <w:name w:val="InstructionPlaceholder"/>
    <w:semiHidden/>
    <w:rPr>
      <w:color w:val="CB3535"/>
    </w:rPr>
  </w:style>
  <w:style w:type="character" w:customStyle="1" w:styleId="InstructionRed">
    <w:name w:val="InstructionRed"/>
    <w:semiHidden/>
    <w:rPr>
      <w:i/>
      <w:color w:val="CB3535"/>
    </w:rPr>
  </w:style>
  <w:style w:type="character" w:customStyle="1" w:styleId="MarkingLabel">
    <w:name w:val="MarkingLabel"/>
    <w:semiHidden/>
    <w:rPr>
      <w:b/>
      <w:caps/>
      <w:sz w:val="28"/>
    </w:rPr>
  </w:style>
  <w:style w:type="character" w:customStyle="1" w:styleId="MarkingText">
    <w:name w:val="MarkingText"/>
    <w:semiHidden/>
    <w:rPr>
      <w:i/>
      <w:sz w:val="28"/>
    </w:rPr>
  </w:style>
  <w:style w:type="character" w:styleId="PlaceholderText">
    <w:name w:val="Placeholder Text"/>
    <w:basedOn w:val="DefaultParagraphFont"/>
    <w:semiHidden/>
    <w:rPr>
      <w:color w:val="288061"/>
    </w:rPr>
  </w:style>
  <w:style w:type="paragraph" w:customStyle="1" w:styleId="AfterTable">
    <w:name w:val="After Table"/>
    <w:semiHidden/>
    <w:rPr>
      <w:sz w:val="4"/>
    </w:rPr>
  </w:style>
  <w:style w:type="paragraph" w:customStyle="1" w:styleId="AnnexTitle">
    <w:name w:val="AnnexTitle"/>
    <w:basedOn w:val="Normal"/>
    <w:next w:val="Normal"/>
    <w:uiPriority w:val="45"/>
    <w:qFormat/>
    <w:pPr>
      <w:pageBreakBefore/>
      <w:numPr>
        <w:numId w:val="19"/>
      </w:numPr>
      <w:spacing w:after="480"/>
      <w:outlineLvl w:val="0"/>
    </w:pPr>
    <w:rPr>
      <w:b/>
      <w:sz w:val="32"/>
    </w:rPr>
  </w:style>
  <w:style w:type="paragraph" w:styleId="Caption">
    <w:name w:val="caption"/>
    <w:basedOn w:val="Normal"/>
    <w:next w:val="Normal"/>
    <w:semiHidden/>
    <w:pPr>
      <w:spacing w:before="160"/>
    </w:pPr>
    <w:rPr>
      <w:i/>
      <w:sz w:val="22"/>
    </w:rPr>
  </w:style>
  <w:style w:type="paragraph" w:customStyle="1" w:styleId="ChapterTitle">
    <w:name w:val="ChapterTitle"/>
    <w:basedOn w:val="Normal"/>
    <w:next w:val="SectionTitle"/>
    <w:uiPriority w:val="43"/>
    <w:qFormat/>
    <w:pPr>
      <w:keepNext/>
      <w:spacing w:after="480"/>
      <w:jc w:val="center"/>
      <w:outlineLvl w:val="0"/>
    </w:pPr>
    <w:rPr>
      <w:b/>
      <w:sz w:val="32"/>
    </w:rPr>
  </w:style>
  <w:style w:type="paragraph" w:customStyle="1" w:styleId="ConfidentialUE">
    <w:name w:val="Confidential UE"/>
    <w:basedOn w:val="Normal"/>
    <w:semiHidden/>
    <w:pPr>
      <w:spacing w:after="0"/>
      <w:jc w:val="center"/>
    </w:pPr>
    <w:rPr>
      <w:b/>
      <w:caps/>
      <w:sz w:val="32"/>
      <w:bdr w:val="single" w:sz="18" w:space="0" w:color="auto"/>
    </w:rPr>
  </w:style>
  <w:style w:type="paragraph" w:customStyle="1" w:styleId="Contact">
    <w:name w:val="Contact"/>
    <w:basedOn w:val="Normal"/>
    <w:semiHidden/>
    <w:pPr>
      <w:spacing w:before="480" w:after="0"/>
      <w:ind w:left="567" w:hanging="567"/>
      <w:contextualSpacing/>
      <w:jc w:val="left"/>
    </w:pPr>
  </w:style>
  <w:style w:type="paragraph" w:customStyle="1" w:styleId="ContNum">
    <w:name w:val="ContNum"/>
    <w:basedOn w:val="Normal"/>
    <w:uiPriority w:val="20"/>
    <w:qFormat/>
    <w:pPr>
      <w:numPr>
        <w:numId w:val="18"/>
      </w:numPr>
    </w:pPr>
  </w:style>
  <w:style w:type="paragraph" w:customStyle="1" w:styleId="ContNumLevel2">
    <w:name w:val="ContNum (Level 2)"/>
    <w:basedOn w:val="Normal"/>
    <w:uiPriority w:val="20"/>
    <w:pPr>
      <w:numPr>
        <w:ilvl w:val="1"/>
        <w:numId w:val="18"/>
      </w:numPr>
    </w:pPr>
  </w:style>
  <w:style w:type="paragraph" w:customStyle="1" w:styleId="ContNumLevel3">
    <w:name w:val="ContNum (Level 3)"/>
    <w:basedOn w:val="Normal"/>
    <w:uiPriority w:val="20"/>
    <w:pPr>
      <w:numPr>
        <w:ilvl w:val="2"/>
        <w:numId w:val="18"/>
      </w:numPr>
    </w:pPr>
  </w:style>
  <w:style w:type="paragraph" w:styleId="Date">
    <w:name w:val="Date"/>
    <w:basedOn w:val="Normal"/>
    <w:next w:val="References"/>
    <w:semiHidden/>
    <w:pPr>
      <w:spacing w:after="0"/>
      <w:ind w:left="5102" w:right="-567"/>
      <w:jc w:val="left"/>
    </w:pPr>
  </w:style>
  <w:style w:type="paragraph" w:customStyle="1" w:styleId="Designator">
    <w:name w:val="Designator"/>
    <w:basedOn w:val="Normal"/>
    <w:semiHidden/>
    <w:pPr>
      <w:spacing w:after="0"/>
      <w:jc w:val="center"/>
    </w:pPr>
    <w:rPr>
      <w:b/>
      <w:caps/>
      <w:sz w:val="32"/>
    </w:rPr>
  </w:style>
  <w:style w:type="paragraph" w:customStyle="1" w:styleId="DoubSign">
    <w:name w:val="DoubSign"/>
    <w:basedOn w:val="Normal"/>
    <w:semiHidden/>
    <w:pPr>
      <w:spacing w:before="1200" w:after="0"/>
      <w:jc w:val="left"/>
    </w:pPr>
  </w:style>
  <w:style w:type="paragraph" w:customStyle="1" w:styleId="EmptyParagraph">
    <w:name w:val="Empty Paragraph"/>
    <w:basedOn w:val="Normal"/>
    <w:next w:val="Normal"/>
    <w:semiHidden/>
    <w:pPr>
      <w:spacing w:before="240"/>
    </w:pPr>
  </w:style>
  <w:style w:type="paragraph" w:styleId="EndnoteText">
    <w:name w:val="endnote text"/>
    <w:basedOn w:val="Normal"/>
    <w:semiHidden/>
    <w:pPr>
      <w:spacing w:after="120"/>
      <w:ind w:left="357" w:hanging="357"/>
    </w:pPr>
    <w:rPr>
      <w:sz w:val="20"/>
    </w:rPr>
  </w:style>
  <w:style w:type="paragraph" w:customStyle="1" w:styleId="FigureBody">
    <w:name w:val="Figure Body"/>
    <w:basedOn w:val="Normal"/>
    <w:next w:val="FigureSource"/>
    <w:uiPriority w:val="99"/>
    <w:semiHidden/>
    <w:unhideWhenUsed/>
    <w:pPr>
      <w:keepNext/>
      <w:spacing w:after="40"/>
    </w:pPr>
  </w:style>
  <w:style w:type="paragraph" w:customStyle="1" w:styleId="FigureBody1">
    <w:name w:val="Figure Body 1"/>
    <w:basedOn w:val="Text1"/>
    <w:next w:val="FigureSource1"/>
    <w:uiPriority w:val="99"/>
    <w:semiHidden/>
    <w:unhideWhenUsed/>
    <w:pPr>
      <w:keepNext/>
      <w:spacing w:after="40"/>
    </w:pPr>
  </w:style>
  <w:style w:type="paragraph" w:customStyle="1" w:styleId="FigureBody2">
    <w:name w:val="Figure Body 2"/>
    <w:basedOn w:val="Text2"/>
    <w:next w:val="FigureSource2"/>
    <w:uiPriority w:val="99"/>
    <w:semiHidden/>
    <w:unhideWhenUsed/>
    <w:pPr>
      <w:keepNext/>
      <w:spacing w:after="40"/>
    </w:pPr>
  </w:style>
  <w:style w:type="paragraph" w:customStyle="1" w:styleId="FigureBody3">
    <w:name w:val="Figure Body 3"/>
    <w:basedOn w:val="Text3"/>
    <w:next w:val="FigureSource3"/>
    <w:uiPriority w:val="99"/>
    <w:semiHidden/>
    <w:unhideWhenUsed/>
    <w:pPr>
      <w:keepNext/>
      <w:spacing w:after="40"/>
    </w:pPr>
  </w:style>
  <w:style w:type="paragraph" w:customStyle="1" w:styleId="FigureBody4">
    <w:name w:val="Figure Body 4"/>
    <w:basedOn w:val="Text4"/>
    <w:next w:val="FigureSource4"/>
    <w:uiPriority w:val="99"/>
    <w:semiHidden/>
    <w:unhideWhenUsed/>
    <w:pPr>
      <w:keepNext/>
      <w:spacing w:after="40"/>
    </w:pPr>
  </w:style>
  <w:style w:type="paragraph" w:customStyle="1" w:styleId="FigureSource">
    <w:name w:val="Figure Source"/>
    <w:basedOn w:val="Normal"/>
    <w:next w:val="Normal"/>
    <w:uiPriority w:val="99"/>
    <w:semiHidden/>
    <w:unhideWhenUsed/>
    <w:rPr>
      <w:sz w:val="20"/>
    </w:rPr>
  </w:style>
  <w:style w:type="paragraph" w:customStyle="1" w:styleId="FigureSource1">
    <w:name w:val="Figure Source 1"/>
    <w:basedOn w:val="Text1"/>
    <w:next w:val="Text1"/>
    <w:uiPriority w:val="99"/>
    <w:semiHidden/>
    <w:unhideWhenUsed/>
    <w:rPr>
      <w:sz w:val="20"/>
    </w:rPr>
  </w:style>
  <w:style w:type="paragraph" w:customStyle="1" w:styleId="FigureSource2">
    <w:name w:val="Figure Source 2"/>
    <w:basedOn w:val="Text2"/>
    <w:next w:val="Text2"/>
    <w:uiPriority w:val="99"/>
    <w:semiHidden/>
    <w:unhideWhenUsed/>
    <w:rPr>
      <w:sz w:val="20"/>
    </w:rPr>
  </w:style>
  <w:style w:type="paragraph" w:customStyle="1" w:styleId="FigureSource3">
    <w:name w:val="Figure Source 3"/>
    <w:basedOn w:val="Text3"/>
    <w:next w:val="Text3"/>
    <w:uiPriority w:val="99"/>
    <w:semiHidden/>
    <w:unhideWhenUsed/>
    <w:rPr>
      <w:sz w:val="20"/>
    </w:rPr>
  </w:style>
  <w:style w:type="paragraph" w:customStyle="1" w:styleId="FigureSource4">
    <w:name w:val="Figure Source 4"/>
    <w:basedOn w:val="Text4"/>
    <w:next w:val="Text4"/>
    <w:uiPriority w:val="99"/>
    <w:semiHidden/>
    <w:unhideWhenUsed/>
    <w:rPr>
      <w:sz w:val="20"/>
    </w:rPr>
  </w:style>
  <w:style w:type="paragraph" w:customStyle="1" w:styleId="FigureTitle">
    <w:name w:val="Figure Title"/>
    <w:basedOn w:val="Normal"/>
    <w:next w:val="FigureBody"/>
    <w:uiPriority w:val="99"/>
    <w:semiHidden/>
    <w:unhideWhenUsed/>
    <w:pPr>
      <w:keepNext/>
      <w:spacing w:after="120"/>
    </w:pPr>
    <w:rPr>
      <w:b/>
      <w:i/>
    </w:rPr>
  </w:style>
  <w:style w:type="paragraph" w:customStyle="1" w:styleId="FigureTitle1">
    <w:name w:val="Figure Title 1"/>
    <w:basedOn w:val="Text1"/>
    <w:next w:val="FigureBody1"/>
    <w:uiPriority w:val="99"/>
    <w:semiHidden/>
    <w:unhideWhenUsed/>
    <w:pPr>
      <w:keepNext/>
      <w:spacing w:after="120"/>
    </w:pPr>
    <w:rPr>
      <w:b/>
      <w:i/>
    </w:rPr>
  </w:style>
  <w:style w:type="paragraph" w:customStyle="1" w:styleId="FigureTitle2">
    <w:name w:val="Figure Title 2"/>
    <w:basedOn w:val="Text2"/>
    <w:next w:val="FigureBody2"/>
    <w:uiPriority w:val="99"/>
    <w:semiHidden/>
    <w:unhideWhenUsed/>
    <w:pPr>
      <w:keepNext/>
      <w:spacing w:after="120"/>
    </w:pPr>
    <w:rPr>
      <w:b/>
      <w:i/>
    </w:rPr>
  </w:style>
  <w:style w:type="paragraph" w:customStyle="1" w:styleId="FigureTitle3">
    <w:name w:val="Figure Title 3"/>
    <w:basedOn w:val="Text3"/>
    <w:next w:val="FigureBody3"/>
    <w:uiPriority w:val="99"/>
    <w:semiHidden/>
    <w:unhideWhenUsed/>
    <w:pPr>
      <w:keepNext/>
      <w:spacing w:after="120"/>
    </w:pPr>
    <w:rPr>
      <w:b/>
      <w:i/>
    </w:rPr>
  </w:style>
  <w:style w:type="paragraph" w:customStyle="1" w:styleId="FigureTitle4">
    <w:name w:val="Figure Title 4"/>
    <w:basedOn w:val="Text4"/>
    <w:next w:val="FigureBody4"/>
    <w:uiPriority w:val="99"/>
    <w:semiHidden/>
    <w:unhideWhenUsed/>
    <w:pPr>
      <w:keepNext/>
      <w:spacing w:after="120"/>
    </w:pPr>
    <w:rPr>
      <w:b/>
      <w:i/>
    </w:rPr>
  </w:style>
  <w:style w:type="paragraph" w:styleId="Footer">
    <w:name w:val="footer"/>
    <w:basedOn w:val="Normal"/>
    <w:semiHidden/>
    <w:pPr>
      <w:spacing w:after="0"/>
      <w:ind w:right="-567"/>
      <w:jc w:val="left"/>
    </w:pPr>
    <w:rPr>
      <w:sz w:val="16"/>
    </w:rPr>
  </w:style>
  <w:style w:type="paragraph" w:customStyle="1" w:styleId="FooterLine">
    <w:name w:val="Footer Line"/>
    <w:basedOn w:val="Footer"/>
    <w:next w:val="Footer"/>
    <w:semiHidden/>
    <w:pPr>
      <w:tabs>
        <w:tab w:val="right" w:pos="8646"/>
      </w:tabs>
      <w:spacing w:before="120" w:line="264" w:lineRule="auto"/>
      <w:ind w:right="0"/>
      <w:jc w:val="both"/>
    </w:pPr>
  </w:style>
  <w:style w:type="paragraph" w:styleId="FootnoteText">
    <w:name w:val="footnote text"/>
    <w:aliases w:val="Footnote,Char,Footnote text,Footnote Text Char1,Footnote Text Char Char,Footnote Text Char1 Char Char,Footnote Text Char Char Char Char,Footnote Text Char1 Char Char Char Char,Footnote Text Char Char Char Char Char Char,Fußnotentex,f"/>
    <w:basedOn w:val="Normal"/>
    <w:uiPriority w:val="99"/>
    <w:semiHidden/>
    <w:pPr>
      <w:spacing w:after="120"/>
      <w:ind w:left="357" w:hanging="357"/>
    </w:pPr>
    <w:rPr>
      <w:sz w:val="20"/>
    </w:rPr>
  </w:style>
  <w:style w:type="paragraph" w:customStyle="1" w:styleId="HistoryTable">
    <w:name w:val="HistoryTable"/>
    <w:basedOn w:val="Normal"/>
    <w:semiHidden/>
    <w:pPr>
      <w:spacing w:before="60" w:after="60"/>
      <w:jc w:val="left"/>
    </w:pPr>
    <w:rPr>
      <w:sz w:val="20"/>
    </w:rPr>
  </w:style>
  <w:style w:type="paragraph" w:customStyle="1" w:styleId="HistTableHeading">
    <w:name w:val="HistTableHeading"/>
    <w:basedOn w:val="Normal"/>
    <w:next w:val="HistoryTable"/>
    <w:semiHidden/>
    <w:pPr>
      <w:spacing w:before="240"/>
      <w:jc w:val="center"/>
    </w:pPr>
    <w:rPr>
      <w:rFonts w:ascii="Times New Roman Bold" w:hAnsi="Times New Roman Bold"/>
      <w:b/>
      <w:caps/>
    </w:rPr>
  </w:style>
  <w:style w:type="paragraph" w:customStyle="1" w:styleId="LegalNumPar">
    <w:name w:val="LegalNumPar"/>
    <w:basedOn w:val="Normal"/>
    <w:uiPriority w:val="20"/>
    <w:qFormat/>
    <w:pPr>
      <w:numPr>
        <w:numId w:val="17"/>
      </w:numPr>
      <w:spacing w:line="360" w:lineRule="auto"/>
    </w:pPr>
  </w:style>
  <w:style w:type="paragraph" w:customStyle="1" w:styleId="LegalNumPar2">
    <w:name w:val="LegalNumPar2"/>
    <w:basedOn w:val="Normal"/>
    <w:uiPriority w:val="20"/>
    <w:pPr>
      <w:numPr>
        <w:ilvl w:val="1"/>
        <w:numId w:val="17"/>
      </w:numPr>
      <w:spacing w:line="360" w:lineRule="auto"/>
    </w:pPr>
  </w:style>
  <w:style w:type="paragraph" w:customStyle="1" w:styleId="LegalNumPar3">
    <w:name w:val="LegalNumPar3"/>
    <w:basedOn w:val="Normal"/>
    <w:uiPriority w:val="20"/>
    <w:pPr>
      <w:numPr>
        <w:ilvl w:val="2"/>
        <w:numId w:val="17"/>
      </w:numPr>
      <w:spacing w:line="360" w:lineRule="auto"/>
    </w:pPr>
  </w:style>
  <w:style w:type="paragraph" w:styleId="ListBullet">
    <w:name w:val="List Bullet"/>
    <w:basedOn w:val="Normal"/>
    <w:uiPriority w:val="35"/>
    <w:pPr>
      <w:numPr>
        <w:numId w:val="15"/>
      </w:numPr>
    </w:pPr>
  </w:style>
  <w:style w:type="paragraph" w:customStyle="1" w:styleId="ListBulletLevel2">
    <w:name w:val="List Bullet (Level 2)"/>
    <w:basedOn w:val="Normal"/>
    <w:uiPriority w:val="35"/>
    <w:semiHidden/>
    <w:unhideWhenUsed/>
    <w:pPr>
      <w:numPr>
        <w:ilvl w:val="1"/>
        <w:numId w:val="15"/>
      </w:numPr>
    </w:pPr>
  </w:style>
  <w:style w:type="paragraph" w:customStyle="1" w:styleId="ListBulletLevel3">
    <w:name w:val="List Bullet (Level 3)"/>
    <w:basedOn w:val="Normal"/>
    <w:uiPriority w:val="35"/>
    <w:semiHidden/>
    <w:unhideWhenUsed/>
    <w:pPr>
      <w:numPr>
        <w:ilvl w:val="2"/>
        <w:numId w:val="15"/>
      </w:numPr>
    </w:pPr>
  </w:style>
  <w:style w:type="paragraph" w:customStyle="1" w:styleId="ListBulletLevel4">
    <w:name w:val="List Bullet (Level 4)"/>
    <w:basedOn w:val="Normal"/>
    <w:uiPriority w:val="35"/>
    <w:semiHidden/>
    <w:unhideWhenUsed/>
    <w:pPr>
      <w:numPr>
        <w:ilvl w:val="3"/>
        <w:numId w:val="15"/>
      </w:numPr>
    </w:pPr>
  </w:style>
  <w:style w:type="paragraph" w:customStyle="1" w:styleId="ListBullet1">
    <w:name w:val="List Bullet 1"/>
    <w:basedOn w:val="Text1"/>
    <w:uiPriority w:val="35"/>
    <w:pPr>
      <w:numPr>
        <w:numId w:val="14"/>
      </w:numPr>
    </w:pPr>
  </w:style>
  <w:style w:type="paragraph" w:customStyle="1" w:styleId="ListBullet1Level2">
    <w:name w:val="List Bullet 1 (Level 2)"/>
    <w:basedOn w:val="Text1"/>
    <w:uiPriority w:val="35"/>
    <w:semiHidden/>
    <w:unhideWhenUsed/>
    <w:pPr>
      <w:numPr>
        <w:ilvl w:val="1"/>
        <w:numId w:val="14"/>
      </w:numPr>
    </w:pPr>
  </w:style>
  <w:style w:type="paragraph" w:customStyle="1" w:styleId="ListBullet1Level3">
    <w:name w:val="List Bullet 1 (Level 3)"/>
    <w:basedOn w:val="Text1"/>
    <w:uiPriority w:val="35"/>
    <w:semiHidden/>
    <w:unhideWhenUsed/>
    <w:pPr>
      <w:numPr>
        <w:ilvl w:val="2"/>
        <w:numId w:val="14"/>
      </w:numPr>
    </w:pPr>
  </w:style>
  <w:style w:type="paragraph" w:customStyle="1" w:styleId="ListBullet1Level4">
    <w:name w:val="List Bullet 1 (Level 4)"/>
    <w:basedOn w:val="Text1"/>
    <w:uiPriority w:val="35"/>
    <w:semiHidden/>
    <w:unhideWhenUsed/>
    <w:pPr>
      <w:numPr>
        <w:ilvl w:val="3"/>
        <w:numId w:val="14"/>
      </w:numPr>
    </w:pPr>
  </w:style>
  <w:style w:type="paragraph" w:styleId="ListBullet2">
    <w:name w:val="List Bullet 2"/>
    <w:basedOn w:val="Text2"/>
    <w:uiPriority w:val="35"/>
    <w:pPr>
      <w:numPr>
        <w:numId w:val="13"/>
      </w:numPr>
    </w:pPr>
  </w:style>
  <w:style w:type="paragraph" w:customStyle="1" w:styleId="ListBullet2Level2">
    <w:name w:val="List Bullet 2 (Level 2)"/>
    <w:basedOn w:val="Text2"/>
    <w:uiPriority w:val="35"/>
    <w:semiHidden/>
    <w:unhideWhenUsed/>
    <w:pPr>
      <w:numPr>
        <w:ilvl w:val="1"/>
        <w:numId w:val="13"/>
      </w:numPr>
    </w:pPr>
  </w:style>
  <w:style w:type="paragraph" w:customStyle="1" w:styleId="ListBullet2Level3">
    <w:name w:val="List Bullet 2 (Level 3)"/>
    <w:basedOn w:val="Text2"/>
    <w:uiPriority w:val="35"/>
    <w:semiHidden/>
    <w:unhideWhenUsed/>
    <w:pPr>
      <w:numPr>
        <w:ilvl w:val="2"/>
        <w:numId w:val="13"/>
      </w:numPr>
    </w:pPr>
  </w:style>
  <w:style w:type="paragraph" w:customStyle="1" w:styleId="ListBullet2Level4">
    <w:name w:val="List Bullet 2 (Level 4)"/>
    <w:basedOn w:val="Text2"/>
    <w:uiPriority w:val="35"/>
    <w:semiHidden/>
    <w:unhideWhenUsed/>
    <w:pPr>
      <w:numPr>
        <w:ilvl w:val="3"/>
        <w:numId w:val="13"/>
      </w:numPr>
    </w:pPr>
  </w:style>
  <w:style w:type="paragraph" w:styleId="ListBullet3">
    <w:name w:val="List Bullet 3"/>
    <w:basedOn w:val="Text3"/>
    <w:uiPriority w:val="35"/>
    <w:pPr>
      <w:numPr>
        <w:numId w:val="12"/>
      </w:numPr>
    </w:pPr>
  </w:style>
  <w:style w:type="paragraph" w:customStyle="1" w:styleId="ListBullet3Level2">
    <w:name w:val="List Bullet 3 (Level 2)"/>
    <w:basedOn w:val="Text3"/>
    <w:uiPriority w:val="35"/>
    <w:semiHidden/>
    <w:unhideWhenUsed/>
    <w:pPr>
      <w:numPr>
        <w:ilvl w:val="1"/>
        <w:numId w:val="12"/>
      </w:numPr>
    </w:pPr>
  </w:style>
  <w:style w:type="paragraph" w:customStyle="1" w:styleId="ListBullet3Level3">
    <w:name w:val="List Bullet 3 (Level 3)"/>
    <w:basedOn w:val="Text3"/>
    <w:uiPriority w:val="35"/>
    <w:semiHidden/>
    <w:unhideWhenUsed/>
    <w:pPr>
      <w:numPr>
        <w:ilvl w:val="2"/>
        <w:numId w:val="12"/>
      </w:numPr>
    </w:pPr>
  </w:style>
  <w:style w:type="paragraph" w:customStyle="1" w:styleId="ListBullet3Level4">
    <w:name w:val="List Bullet 3 (Level 4)"/>
    <w:basedOn w:val="Text3"/>
    <w:uiPriority w:val="35"/>
    <w:semiHidden/>
    <w:unhideWhenUsed/>
    <w:pPr>
      <w:numPr>
        <w:ilvl w:val="3"/>
        <w:numId w:val="12"/>
      </w:numPr>
    </w:pPr>
  </w:style>
  <w:style w:type="paragraph" w:styleId="ListBullet4">
    <w:name w:val="List Bullet 4"/>
    <w:basedOn w:val="Text4"/>
    <w:uiPriority w:val="35"/>
    <w:pPr>
      <w:numPr>
        <w:numId w:val="11"/>
      </w:numPr>
    </w:pPr>
  </w:style>
  <w:style w:type="paragraph" w:customStyle="1" w:styleId="ListBullet4Level2">
    <w:name w:val="List Bullet 4 (Level 2)"/>
    <w:basedOn w:val="Text4"/>
    <w:uiPriority w:val="35"/>
    <w:semiHidden/>
    <w:unhideWhenUsed/>
    <w:pPr>
      <w:numPr>
        <w:ilvl w:val="1"/>
        <w:numId w:val="11"/>
      </w:numPr>
    </w:pPr>
  </w:style>
  <w:style w:type="paragraph" w:customStyle="1" w:styleId="ListBullet4Level3">
    <w:name w:val="List Bullet 4 (Level 3)"/>
    <w:basedOn w:val="Text4"/>
    <w:uiPriority w:val="35"/>
    <w:semiHidden/>
    <w:unhideWhenUsed/>
    <w:pPr>
      <w:numPr>
        <w:ilvl w:val="2"/>
        <w:numId w:val="11"/>
      </w:numPr>
    </w:pPr>
  </w:style>
  <w:style w:type="paragraph" w:customStyle="1" w:styleId="ListBullet4Level4">
    <w:name w:val="List Bullet 4 (Level 4)"/>
    <w:basedOn w:val="Text4"/>
    <w:uiPriority w:val="35"/>
    <w:semiHidden/>
    <w:unhideWhenUsed/>
    <w:pPr>
      <w:numPr>
        <w:ilvl w:val="3"/>
        <w:numId w:val="11"/>
      </w:numPr>
    </w:pPr>
  </w:style>
  <w:style w:type="paragraph" w:customStyle="1" w:styleId="ListDash">
    <w:name w:val="List Dash"/>
    <w:basedOn w:val="Normal"/>
    <w:uiPriority w:val="35"/>
    <w:pPr>
      <w:numPr>
        <w:numId w:val="5"/>
      </w:numPr>
    </w:pPr>
  </w:style>
  <w:style w:type="paragraph" w:customStyle="1" w:styleId="ListDashLevel2">
    <w:name w:val="List Dash (Level 2)"/>
    <w:basedOn w:val="Normal"/>
    <w:semiHidden/>
    <w:unhideWhenUsed/>
    <w:pPr>
      <w:numPr>
        <w:ilvl w:val="1"/>
        <w:numId w:val="5"/>
      </w:numPr>
    </w:pPr>
  </w:style>
  <w:style w:type="paragraph" w:customStyle="1" w:styleId="ListDashLevel3">
    <w:name w:val="List Dash (Level 3)"/>
    <w:basedOn w:val="Normal"/>
    <w:semiHidden/>
    <w:unhideWhenUsed/>
    <w:pPr>
      <w:numPr>
        <w:ilvl w:val="2"/>
        <w:numId w:val="5"/>
      </w:numPr>
    </w:pPr>
  </w:style>
  <w:style w:type="paragraph" w:customStyle="1" w:styleId="ListDashLevel4">
    <w:name w:val="List Dash (Level 4)"/>
    <w:basedOn w:val="Normal"/>
    <w:semiHidden/>
    <w:unhideWhenUsed/>
    <w:pPr>
      <w:numPr>
        <w:ilvl w:val="3"/>
        <w:numId w:val="5"/>
      </w:numPr>
    </w:pPr>
  </w:style>
  <w:style w:type="paragraph" w:customStyle="1" w:styleId="ListDash1">
    <w:name w:val="List Dash 1"/>
    <w:basedOn w:val="Text1"/>
    <w:uiPriority w:val="35"/>
    <w:pPr>
      <w:numPr>
        <w:numId w:val="4"/>
      </w:numPr>
    </w:pPr>
  </w:style>
  <w:style w:type="paragraph" w:customStyle="1" w:styleId="ListDash1Level2">
    <w:name w:val="List Dash 1 (Level 2)"/>
    <w:basedOn w:val="Text1"/>
    <w:uiPriority w:val="35"/>
    <w:semiHidden/>
    <w:unhideWhenUsed/>
    <w:pPr>
      <w:numPr>
        <w:ilvl w:val="1"/>
        <w:numId w:val="4"/>
      </w:numPr>
    </w:pPr>
  </w:style>
  <w:style w:type="paragraph" w:customStyle="1" w:styleId="ListDash1Level3">
    <w:name w:val="List Dash 1 (Level 3)"/>
    <w:basedOn w:val="Text1"/>
    <w:uiPriority w:val="35"/>
    <w:semiHidden/>
    <w:unhideWhenUsed/>
    <w:pPr>
      <w:numPr>
        <w:ilvl w:val="2"/>
        <w:numId w:val="4"/>
      </w:numPr>
    </w:pPr>
  </w:style>
  <w:style w:type="paragraph" w:customStyle="1" w:styleId="ListDash1Level4">
    <w:name w:val="List Dash 1 (Level 4)"/>
    <w:basedOn w:val="Text1"/>
    <w:uiPriority w:val="35"/>
    <w:semiHidden/>
    <w:unhideWhenUsed/>
    <w:pPr>
      <w:numPr>
        <w:ilvl w:val="3"/>
        <w:numId w:val="4"/>
      </w:numPr>
    </w:pPr>
  </w:style>
  <w:style w:type="paragraph" w:customStyle="1" w:styleId="ListDash2">
    <w:name w:val="List Dash 2"/>
    <w:basedOn w:val="Text2"/>
    <w:uiPriority w:val="35"/>
    <w:pPr>
      <w:numPr>
        <w:numId w:val="28"/>
      </w:numPr>
    </w:pPr>
  </w:style>
  <w:style w:type="paragraph" w:customStyle="1" w:styleId="ListDash2Level2">
    <w:name w:val="List Dash 2 (Level 2)"/>
    <w:basedOn w:val="Text2"/>
    <w:uiPriority w:val="35"/>
    <w:semiHidden/>
    <w:unhideWhenUsed/>
    <w:pPr>
      <w:numPr>
        <w:ilvl w:val="1"/>
        <w:numId w:val="28"/>
      </w:numPr>
    </w:pPr>
  </w:style>
  <w:style w:type="paragraph" w:customStyle="1" w:styleId="ListDash2Level3">
    <w:name w:val="List Dash 2 (Level 3)"/>
    <w:basedOn w:val="Text2"/>
    <w:uiPriority w:val="35"/>
    <w:semiHidden/>
    <w:unhideWhenUsed/>
    <w:pPr>
      <w:numPr>
        <w:ilvl w:val="2"/>
        <w:numId w:val="28"/>
      </w:numPr>
    </w:pPr>
  </w:style>
  <w:style w:type="paragraph" w:customStyle="1" w:styleId="ListDash2Level4">
    <w:name w:val="List Dash 2 (Level 4)"/>
    <w:basedOn w:val="Text2"/>
    <w:uiPriority w:val="35"/>
    <w:semiHidden/>
    <w:unhideWhenUsed/>
    <w:pPr>
      <w:numPr>
        <w:ilvl w:val="3"/>
        <w:numId w:val="28"/>
      </w:numPr>
    </w:pPr>
  </w:style>
  <w:style w:type="paragraph" w:customStyle="1" w:styleId="ListDash3">
    <w:name w:val="List Dash 3"/>
    <w:basedOn w:val="Text3"/>
    <w:uiPriority w:val="35"/>
    <w:pPr>
      <w:numPr>
        <w:numId w:val="2"/>
      </w:numPr>
    </w:pPr>
  </w:style>
  <w:style w:type="paragraph" w:customStyle="1" w:styleId="ListDash3Level2">
    <w:name w:val="List Dash 3 (Level 2)"/>
    <w:basedOn w:val="Text3"/>
    <w:uiPriority w:val="35"/>
    <w:semiHidden/>
    <w:unhideWhenUsed/>
    <w:pPr>
      <w:numPr>
        <w:ilvl w:val="1"/>
        <w:numId w:val="2"/>
      </w:numPr>
    </w:pPr>
  </w:style>
  <w:style w:type="paragraph" w:customStyle="1" w:styleId="ListDash3Level3">
    <w:name w:val="List Dash 3 (Level 3)"/>
    <w:basedOn w:val="Text3"/>
    <w:uiPriority w:val="35"/>
    <w:semiHidden/>
    <w:unhideWhenUsed/>
    <w:pPr>
      <w:numPr>
        <w:ilvl w:val="2"/>
        <w:numId w:val="2"/>
      </w:numPr>
    </w:pPr>
  </w:style>
  <w:style w:type="paragraph" w:customStyle="1" w:styleId="ListDash3Level4">
    <w:name w:val="List Dash 3 (Level 4)"/>
    <w:basedOn w:val="Text3"/>
    <w:uiPriority w:val="35"/>
    <w:semiHidden/>
    <w:unhideWhenUsed/>
    <w:pPr>
      <w:numPr>
        <w:ilvl w:val="3"/>
        <w:numId w:val="2"/>
      </w:numPr>
    </w:pPr>
  </w:style>
  <w:style w:type="paragraph" w:customStyle="1" w:styleId="ListDash4">
    <w:name w:val="List Dash 4"/>
    <w:basedOn w:val="Text4"/>
    <w:uiPriority w:val="35"/>
    <w:pPr>
      <w:numPr>
        <w:numId w:val="1"/>
      </w:numPr>
    </w:pPr>
  </w:style>
  <w:style w:type="paragraph" w:customStyle="1" w:styleId="ListDash4Level2">
    <w:name w:val="List Dash 4 (Level 2)"/>
    <w:basedOn w:val="Text4"/>
    <w:uiPriority w:val="35"/>
    <w:semiHidden/>
    <w:unhideWhenUsed/>
    <w:pPr>
      <w:numPr>
        <w:ilvl w:val="1"/>
        <w:numId w:val="1"/>
      </w:numPr>
    </w:pPr>
  </w:style>
  <w:style w:type="paragraph" w:customStyle="1" w:styleId="ListDash4Level3">
    <w:name w:val="List Dash 4 (Level 3)"/>
    <w:basedOn w:val="Text4"/>
    <w:uiPriority w:val="35"/>
    <w:semiHidden/>
    <w:unhideWhenUsed/>
    <w:pPr>
      <w:numPr>
        <w:ilvl w:val="2"/>
        <w:numId w:val="1"/>
      </w:numPr>
    </w:pPr>
  </w:style>
  <w:style w:type="paragraph" w:customStyle="1" w:styleId="ListDash4Level4">
    <w:name w:val="List Dash 4 (Level 4)"/>
    <w:basedOn w:val="Text4"/>
    <w:uiPriority w:val="35"/>
    <w:semiHidden/>
    <w:unhideWhenUsed/>
    <w:pPr>
      <w:numPr>
        <w:ilvl w:val="3"/>
        <w:numId w:val="1"/>
      </w:numPr>
    </w:pPr>
  </w:style>
  <w:style w:type="paragraph" w:styleId="ListNumber">
    <w:name w:val="List Number"/>
    <w:basedOn w:val="Normal"/>
    <w:uiPriority w:val="30"/>
    <w:pPr>
      <w:numPr>
        <w:numId w:val="10"/>
      </w:numPr>
    </w:pPr>
  </w:style>
  <w:style w:type="paragraph" w:customStyle="1" w:styleId="ListNumberLevel2">
    <w:name w:val="List Number (Level 2)"/>
    <w:basedOn w:val="Normal"/>
    <w:uiPriority w:val="30"/>
    <w:pPr>
      <w:numPr>
        <w:ilvl w:val="1"/>
        <w:numId w:val="10"/>
      </w:numPr>
    </w:pPr>
  </w:style>
  <w:style w:type="paragraph" w:customStyle="1" w:styleId="ListNumberLevel3">
    <w:name w:val="List Number (Level 3)"/>
    <w:basedOn w:val="Normal"/>
    <w:uiPriority w:val="30"/>
    <w:pPr>
      <w:numPr>
        <w:ilvl w:val="2"/>
        <w:numId w:val="10"/>
      </w:numPr>
    </w:pPr>
  </w:style>
  <w:style w:type="paragraph" w:customStyle="1" w:styleId="ListNumberLevel4">
    <w:name w:val="List Number (Level 4)"/>
    <w:basedOn w:val="Normal"/>
    <w:uiPriority w:val="30"/>
    <w:pPr>
      <w:numPr>
        <w:ilvl w:val="3"/>
        <w:numId w:val="10"/>
      </w:numPr>
    </w:pPr>
  </w:style>
  <w:style w:type="paragraph" w:customStyle="1" w:styleId="ListNumber1">
    <w:name w:val="List Number 1"/>
    <w:basedOn w:val="Text1"/>
    <w:uiPriority w:val="30"/>
    <w:pPr>
      <w:numPr>
        <w:numId w:val="9"/>
      </w:numPr>
    </w:pPr>
  </w:style>
  <w:style w:type="paragraph" w:customStyle="1" w:styleId="ListNumber1Level2">
    <w:name w:val="List Number 1 (Level 2)"/>
    <w:basedOn w:val="Text1"/>
    <w:uiPriority w:val="30"/>
    <w:unhideWhenUsed/>
    <w:pPr>
      <w:numPr>
        <w:ilvl w:val="1"/>
        <w:numId w:val="9"/>
      </w:numPr>
    </w:pPr>
  </w:style>
  <w:style w:type="paragraph" w:customStyle="1" w:styleId="ListNumber1Level3">
    <w:name w:val="List Number 1 (Level 3)"/>
    <w:basedOn w:val="Text1"/>
    <w:uiPriority w:val="30"/>
    <w:semiHidden/>
    <w:unhideWhenUsed/>
    <w:pPr>
      <w:numPr>
        <w:ilvl w:val="2"/>
        <w:numId w:val="9"/>
      </w:numPr>
    </w:pPr>
  </w:style>
  <w:style w:type="paragraph" w:customStyle="1" w:styleId="ListNumber1Level4">
    <w:name w:val="List Number 1 (Level 4)"/>
    <w:basedOn w:val="Text1"/>
    <w:uiPriority w:val="30"/>
    <w:semiHidden/>
    <w:unhideWhenUsed/>
    <w:pPr>
      <w:numPr>
        <w:ilvl w:val="3"/>
        <w:numId w:val="9"/>
      </w:numPr>
    </w:pPr>
  </w:style>
  <w:style w:type="paragraph" w:styleId="ListNumber2">
    <w:name w:val="List Number 2"/>
    <w:basedOn w:val="Text2"/>
    <w:uiPriority w:val="30"/>
    <w:pPr>
      <w:numPr>
        <w:numId w:val="8"/>
      </w:numPr>
    </w:pPr>
  </w:style>
  <w:style w:type="paragraph" w:customStyle="1" w:styleId="ListNumber2Level2">
    <w:name w:val="List Number 2 (Level 2)"/>
    <w:basedOn w:val="Text2"/>
    <w:uiPriority w:val="30"/>
    <w:semiHidden/>
    <w:unhideWhenUsed/>
    <w:pPr>
      <w:numPr>
        <w:ilvl w:val="1"/>
        <w:numId w:val="8"/>
      </w:numPr>
    </w:pPr>
  </w:style>
  <w:style w:type="paragraph" w:customStyle="1" w:styleId="ListNumber2Level3">
    <w:name w:val="List Number 2 (Level 3)"/>
    <w:basedOn w:val="Text2"/>
    <w:uiPriority w:val="30"/>
    <w:semiHidden/>
    <w:unhideWhenUsed/>
    <w:pPr>
      <w:numPr>
        <w:ilvl w:val="2"/>
        <w:numId w:val="8"/>
      </w:numPr>
    </w:pPr>
  </w:style>
  <w:style w:type="paragraph" w:customStyle="1" w:styleId="ListNumber2Level4">
    <w:name w:val="List Number 2 (Level 4)"/>
    <w:basedOn w:val="Text2"/>
    <w:uiPriority w:val="30"/>
    <w:semiHidden/>
    <w:unhideWhenUsed/>
    <w:pPr>
      <w:numPr>
        <w:ilvl w:val="3"/>
        <w:numId w:val="8"/>
      </w:numPr>
    </w:pPr>
  </w:style>
  <w:style w:type="paragraph" w:styleId="ListNumber3">
    <w:name w:val="List Number 3"/>
    <w:basedOn w:val="Text3"/>
    <w:uiPriority w:val="30"/>
    <w:pPr>
      <w:numPr>
        <w:numId w:val="7"/>
      </w:numPr>
    </w:pPr>
  </w:style>
  <w:style w:type="paragraph" w:customStyle="1" w:styleId="ListNumber3Level2">
    <w:name w:val="List Number 3 (Level 2)"/>
    <w:basedOn w:val="Text3"/>
    <w:uiPriority w:val="30"/>
    <w:semiHidden/>
    <w:unhideWhenUsed/>
    <w:pPr>
      <w:numPr>
        <w:ilvl w:val="1"/>
        <w:numId w:val="7"/>
      </w:numPr>
    </w:pPr>
  </w:style>
  <w:style w:type="paragraph" w:customStyle="1" w:styleId="ListNumber3Level3">
    <w:name w:val="List Number 3 (Level 3)"/>
    <w:basedOn w:val="Text3"/>
    <w:uiPriority w:val="30"/>
    <w:semiHidden/>
    <w:unhideWhenUsed/>
    <w:pPr>
      <w:numPr>
        <w:ilvl w:val="2"/>
        <w:numId w:val="7"/>
      </w:numPr>
    </w:pPr>
  </w:style>
  <w:style w:type="paragraph" w:customStyle="1" w:styleId="ListNumber3Level4">
    <w:name w:val="List Number 3 (Level 4)"/>
    <w:basedOn w:val="Text3"/>
    <w:uiPriority w:val="30"/>
    <w:semiHidden/>
    <w:unhideWhenUsed/>
    <w:pPr>
      <w:numPr>
        <w:ilvl w:val="3"/>
        <w:numId w:val="7"/>
      </w:numPr>
    </w:pPr>
  </w:style>
  <w:style w:type="paragraph" w:styleId="ListNumber4">
    <w:name w:val="List Number 4"/>
    <w:basedOn w:val="Text4"/>
    <w:uiPriority w:val="30"/>
    <w:pPr>
      <w:numPr>
        <w:numId w:val="6"/>
      </w:numPr>
    </w:pPr>
  </w:style>
  <w:style w:type="paragraph" w:customStyle="1" w:styleId="ListNumber4Level2">
    <w:name w:val="List Number 4 (Level 2)"/>
    <w:basedOn w:val="Text4"/>
    <w:uiPriority w:val="30"/>
    <w:semiHidden/>
    <w:unhideWhenUsed/>
    <w:pPr>
      <w:numPr>
        <w:ilvl w:val="1"/>
        <w:numId w:val="6"/>
      </w:numPr>
    </w:pPr>
  </w:style>
  <w:style w:type="paragraph" w:customStyle="1" w:styleId="ListNumber4Level3">
    <w:name w:val="List Number 4 (Level 3)"/>
    <w:basedOn w:val="Text4"/>
    <w:uiPriority w:val="30"/>
    <w:semiHidden/>
    <w:unhideWhenUsed/>
    <w:pPr>
      <w:numPr>
        <w:ilvl w:val="2"/>
        <w:numId w:val="6"/>
      </w:numPr>
    </w:pPr>
  </w:style>
  <w:style w:type="paragraph" w:customStyle="1" w:styleId="ListNumber4Level4">
    <w:name w:val="List Number 4 (Level 4)"/>
    <w:basedOn w:val="Text4"/>
    <w:uiPriority w:val="30"/>
    <w:semiHidden/>
    <w:unhideWhenUsed/>
    <w:pPr>
      <w:numPr>
        <w:ilvl w:val="3"/>
        <w:numId w:val="6"/>
      </w:numPr>
    </w:pPr>
  </w:style>
  <w:style w:type="paragraph" w:customStyle="1" w:styleId="Marking">
    <w:name w:val="Marking"/>
    <w:basedOn w:val="Normal"/>
    <w:semiHidden/>
    <w:rsid w:val="001705F3"/>
    <w:pPr>
      <w:ind w:left="5102" w:right="-680"/>
      <w:contextualSpacing/>
      <w:jc w:val="left"/>
    </w:pPr>
    <w:rPr>
      <w:sz w:val="28"/>
      <w:lang w:val="en-IE"/>
    </w:rPr>
  </w:style>
  <w:style w:type="paragraph" w:customStyle="1" w:styleId="NumPar1">
    <w:name w:val="NumPar 1"/>
    <w:basedOn w:val="Heading1"/>
    <w:uiPriority w:val="20"/>
    <w:qFormat/>
    <w:pPr>
      <w:keepNext w:val="0"/>
      <w:spacing w:before="0"/>
      <w:outlineLvl w:val="9"/>
    </w:pPr>
    <w:rPr>
      <w:b w:val="0"/>
      <w:smallCaps w:val="0"/>
    </w:rPr>
  </w:style>
  <w:style w:type="paragraph" w:customStyle="1" w:styleId="NumPar2">
    <w:name w:val="NumPar 2"/>
    <w:basedOn w:val="Heading2"/>
    <w:uiPriority w:val="20"/>
    <w:qFormat/>
    <w:pPr>
      <w:keepNext w:val="0"/>
      <w:outlineLvl w:val="9"/>
    </w:pPr>
    <w:rPr>
      <w:b w:val="0"/>
    </w:rPr>
  </w:style>
  <w:style w:type="paragraph" w:customStyle="1" w:styleId="NumPar3">
    <w:name w:val="NumPar 3"/>
    <w:basedOn w:val="Heading3"/>
    <w:uiPriority w:val="20"/>
    <w:qFormat/>
    <w:pPr>
      <w:keepNext w:val="0"/>
      <w:outlineLvl w:val="9"/>
    </w:pPr>
    <w:rPr>
      <w:i w:val="0"/>
    </w:rPr>
  </w:style>
  <w:style w:type="paragraph" w:customStyle="1" w:styleId="NumPar4">
    <w:name w:val="NumPar 4"/>
    <w:basedOn w:val="Heading4"/>
    <w:uiPriority w:val="20"/>
    <w:qFormat/>
    <w:pPr>
      <w:keepNext w:val="0"/>
      <w:outlineLvl w:val="9"/>
    </w:pPr>
  </w:style>
  <w:style w:type="paragraph" w:customStyle="1" w:styleId="PartTitle">
    <w:name w:val="PartTitle"/>
    <w:basedOn w:val="Normal"/>
    <w:next w:val="ChapterTitle"/>
    <w:uiPriority w:val="42"/>
    <w:qFormat/>
    <w:pPr>
      <w:keepNext/>
      <w:pageBreakBefore/>
      <w:spacing w:after="480"/>
      <w:jc w:val="center"/>
      <w:outlineLvl w:val="0"/>
    </w:pPr>
    <w:rPr>
      <w:b/>
      <w:sz w:val="36"/>
    </w:rPr>
  </w:style>
  <w:style w:type="paragraph" w:customStyle="1" w:styleId="References">
    <w:name w:val="References"/>
    <w:basedOn w:val="Normal"/>
    <w:semiHidden/>
    <w:pPr>
      <w:ind w:left="5102" w:right="-567"/>
      <w:contextualSpacing/>
      <w:jc w:val="left"/>
    </w:pPr>
    <w:rPr>
      <w:sz w:val="20"/>
    </w:rPr>
  </w:style>
  <w:style w:type="paragraph" w:customStyle="1" w:styleId="Releasable">
    <w:name w:val="Releasable"/>
    <w:basedOn w:val="Normal"/>
    <w:semiHidden/>
    <w:pPr>
      <w:spacing w:after="0"/>
      <w:jc w:val="center"/>
    </w:pPr>
    <w:rPr>
      <w:b/>
      <w:caps/>
      <w:sz w:val="32"/>
    </w:rPr>
  </w:style>
  <w:style w:type="paragraph" w:customStyle="1" w:styleId="RUE">
    <w:name w:val="RUE"/>
    <w:basedOn w:val="Normal"/>
    <w:semiHidden/>
    <w:pPr>
      <w:spacing w:after="0"/>
      <w:jc w:val="center"/>
    </w:pPr>
    <w:rPr>
      <w:b/>
      <w:caps/>
      <w:sz w:val="32"/>
      <w:bdr w:val="single" w:sz="18" w:space="0" w:color="auto"/>
    </w:rPr>
  </w:style>
  <w:style w:type="paragraph" w:customStyle="1" w:styleId="SecretUE">
    <w:name w:val="Secret UE"/>
    <w:basedOn w:val="Normal"/>
    <w:semiHidden/>
    <w:pPr>
      <w:spacing w:after="0"/>
      <w:jc w:val="center"/>
    </w:pPr>
    <w:rPr>
      <w:b/>
      <w:caps/>
      <w:color w:val="FF0000"/>
      <w:sz w:val="32"/>
      <w:bdr w:val="single" w:sz="18" w:space="0" w:color="FF0000"/>
    </w:rPr>
  </w:style>
  <w:style w:type="paragraph" w:customStyle="1" w:styleId="SectionTitle">
    <w:name w:val="SectionTitle"/>
    <w:basedOn w:val="Normal"/>
    <w:next w:val="Heading1"/>
    <w:uiPriority w:val="44"/>
    <w:qFormat/>
    <w:pPr>
      <w:keepNext/>
      <w:spacing w:after="480"/>
      <w:jc w:val="center"/>
      <w:outlineLvl w:val="0"/>
    </w:pPr>
    <w:rPr>
      <w:b/>
      <w:smallCaps/>
      <w:sz w:val="28"/>
    </w:rPr>
  </w:style>
  <w:style w:type="paragraph" w:styleId="Signature">
    <w:name w:val="Signature"/>
    <w:basedOn w:val="Normal"/>
    <w:semiHidden/>
    <w:pPr>
      <w:spacing w:before="1200" w:after="0"/>
      <w:ind w:left="5102"/>
      <w:jc w:val="center"/>
    </w:pPr>
  </w:style>
  <w:style w:type="paragraph" w:customStyle="1" w:styleId="SignatureL">
    <w:name w:val="SignatureL"/>
    <w:basedOn w:val="Normal"/>
    <w:semiHidden/>
    <w:pPr>
      <w:spacing w:before="1200" w:after="0"/>
      <w:jc w:val="left"/>
    </w:pPr>
  </w:style>
  <w:style w:type="paragraph" w:customStyle="1" w:styleId="SubTitle1">
    <w:name w:val="SubTitle 1"/>
    <w:basedOn w:val="Normal"/>
    <w:next w:val="SubTitle2"/>
    <w:uiPriority w:val="41"/>
    <w:qFormat/>
    <w:pPr>
      <w:jc w:val="center"/>
    </w:pPr>
    <w:rPr>
      <w:b/>
      <w:sz w:val="40"/>
    </w:rPr>
  </w:style>
  <w:style w:type="paragraph" w:customStyle="1" w:styleId="SubTitle2">
    <w:name w:val="SubTitle 2"/>
    <w:basedOn w:val="Normal"/>
    <w:uiPriority w:val="41"/>
    <w:qFormat/>
    <w:pPr>
      <w:jc w:val="center"/>
    </w:pPr>
    <w:rPr>
      <w:b/>
      <w:sz w:val="32"/>
    </w:rPr>
  </w:style>
  <w:style w:type="paragraph" w:customStyle="1" w:styleId="TableListBullet">
    <w:name w:val="Table List Bullet"/>
    <w:basedOn w:val="TableText"/>
    <w:uiPriority w:val="55"/>
    <w:pPr>
      <w:numPr>
        <w:numId w:val="20"/>
      </w:numPr>
    </w:pPr>
  </w:style>
  <w:style w:type="paragraph" w:customStyle="1" w:styleId="TableListBulletLevel2">
    <w:name w:val="Table List Bullet (Level 2)"/>
    <w:basedOn w:val="TableText"/>
    <w:uiPriority w:val="55"/>
    <w:semiHidden/>
    <w:unhideWhenUsed/>
    <w:pPr>
      <w:numPr>
        <w:ilvl w:val="1"/>
        <w:numId w:val="20"/>
      </w:numPr>
    </w:pPr>
  </w:style>
  <w:style w:type="paragraph" w:customStyle="1" w:styleId="TableListBulletLevel3">
    <w:name w:val="Table List Bullet (Level 3)"/>
    <w:basedOn w:val="TableText"/>
    <w:uiPriority w:val="55"/>
    <w:semiHidden/>
    <w:unhideWhenUsed/>
    <w:pPr>
      <w:numPr>
        <w:ilvl w:val="2"/>
        <w:numId w:val="20"/>
      </w:numPr>
    </w:pPr>
  </w:style>
  <w:style w:type="paragraph" w:customStyle="1" w:styleId="TableListBulletLevel4">
    <w:name w:val="Table List Bullet (Level 4)"/>
    <w:basedOn w:val="TableText"/>
    <w:uiPriority w:val="55"/>
    <w:semiHidden/>
    <w:unhideWhenUsed/>
    <w:pPr>
      <w:numPr>
        <w:ilvl w:val="3"/>
        <w:numId w:val="20"/>
      </w:numPr>
    </w:pPr>
  </w:style>
  <w:style w:type="paragraph" w:customStyle="1" w:styleId="TableListDash">
    <w:name w:val="Table List Dash"/>
    <w:basedOn w:val="TableText"/>
    <w:uiPriority w:val="55"/>
    <w:pPr>
      <w:numPr>
        <w:numId w:val="21"/>
      </w:numPr>
    </w:pPr>
  </w:style>
  <w:style w:type="paragraph" w:customStyle="1" w:styleId="TableListDashLevel2">
    <w:name w:val="Table List Dash (Level 2)"/>
    <w:basedOn w:val="TableText"/>
    <w:uiPriority w:val="55"/>
    <w:semiHidden/>
    <w:unhideWhenUsed/>
    <w:pPr>
      <w:numPr>
        <w:ilvl w:val="1"/>
        <w:numId w:val="21"/>
      </w:numPr>
    </w:pPr>
  </w:style>
  <w:style w:type="paragraph" w:customStyle="1" w:styleId="TableListDashLevel3">
    <w:name w:val="Table List Dash (Level 3)"/>
    <w:basedOn w:val="TableText"/>
    <w:uiPriority w:val="55"/>
    <w:semiHidden/>
    <w:unhideWhenUsed/>
    <w:pPr>
      <w:numPr>
        <w:ilvl w:val="2"/>
        <w:numId w:val="21"/>
      </w:numPr>
    </w:pPr>
  </w:style>
  <w:style w:type="paragraph" w:customStyle="1" w:styleId="TableListDashLevel4">
    <w:name w:val="Table List Dash (Level 4)"/>
    <w:basedOn w:val="TableText"/>
    <w:uiPriority w:val="55"/>
    <w:semiHidden/>
    <w:unhideWhenUsed/>
    <w:pPr>
      <w:numPr>
        <w:ilvl w:val="3"/>
        <w:numId w:val="21"/>
      </w:numPr>
    </w:pPr>
  </w:style>
  <w:style w:type="paragraph" w:customStyle="1" w:styleId="TableListNumber">
    <w:name w:val="Table List Number"/>
    <w:basedOn w:val="TableText"/>
    <w:uiPriority w:val="55"/>
    <w:pPr>
      <w:numPr>
        <w:numId w:val="22"/>
      </w:numPr>
    </w:pPr>
  </w:style>
  <w:style w:type="paragraph" w:customStyle="1" w:styleId="TableListNumberLevel2">
    <w:name w:val="Table List Number (Level 2)"/>
    <w:basedOn w:val="TableText"/>
    <w:uiPriority w:val="55"/>
    <w:semiHidden/>
    <w:unhideWhenUsed/>
    <w:pPr>
      <w:numPr>
        <w:ilvl w:val="1"/>
        <w:numId w:val="22"/>
      </w:numPr>
    </w:pPr>
  </w:style>
  <w:style w:type="paragraph" w:customStyle="1" w:styleId="TableListNumberLevel3">
    <w:name w:val="Table List Number (Level 3)"/>
    <w:basedOn w:val="TableText"/>
    <w:uiPriority w:val="55"/>
    <w:semiHidden/>
    <w:unhideWhenUsed/>
    <w:pPr>
      <w:numPr>
        <w:ilvl w:val="2"/>
        <w:numId w:val="22"/>
      </w:numPr>
    </w:pPr>
  </w:style>
  <w:style w:type="paragraph" w:customStyle="1" w:styleId="TableListNumberLevel4">
    <w:name w:val="Table List Number (Level 4)"/>
    <w:basedOn w:val="TableText"/>
    <w:uiPriority w:val="55"/>
    <w:semiHidden/>
    <w:unhideWhenUsed/>
    <w:pPr>
      <w:numPr>
        <w:ilvl w:val="3"/>
        <w:numId w:val="22"/>
      </w:numPr>
    </w:pPr>
  </w:style>
  <w:style w:type="paragraph" w:customStyle="1" w:styleId="TableSource">
    <w:name w:val="Table Source"/>
    <w:basedOn w:val="Normal"/>
    <w:next w:val="Normal"/>
    <w:uiPriority w:val="99"/>
    <w:semiHidden/>
    <w:unhideWhenUsed/>
    <w:rPr>
      <w:sz w:val="20"/>
    </w:rPr>
  </w:style>
  <w:style w:type="paragraph" w:customStyle="1" w:styleId="TableSource1">
    <w:name w:val="Table Source 1"/>
    <w:basedOn w:val="Text1"/>
    <w:next w:val="Text1"/>
    <w:uiPriority w:val="99"/>
    <w:semiHidden/>
    <w:unhideWhenUsed/>
    <w:rPr>
      <w:sz w:val="20"/>
    </w:rPr>
  </w:style>
  <w:style w:type="paragraph" w:customStyle="1" w:styleId="TableSource2">
    <w:name w:val="Table Source 2"/>
    <w:basedOn w:val="Text2"/>
    <w:next w:val="Text2"/>
    <w:uiPriority w:val="99"/>
    <w:semiHidden/>
    <w:unhideWhenUsed/>
    <w:rPr>
      <w:sz w:val="20"/>
    </w:rPr>
  </w:style>
  <w:style w:type="paragraph" w:customStyle="1" w:styleId="TableSource3">
    <w:name w:val="Table Source 3"/>
    <w:basedOn w:val="Text3"/>
    <w:next w:val="Text3"/>
    <w:uiPriority w:val="99"/>
    <w:semiHidden/>
    <w:unhideWhenUsed/>
    <w:rPr>
      <w:sz w:val="20"/>
    </w:rPr>
  </w:style>
  <w:style w:type="paragraph" w:customStyle="1" w:styleId="TableSource4">
    <w:name w:val="Table Source 4"/>
    <w:basedOn w:val="Text4"/>
    <w:next w:val="Text4"/>
    <w:uiPriority w:val="99"/>
    <w:semiHidden/>
    <w:unhideWhenUsed/>
    <w:rPr>
      <w:sz w:val="20"/>
    </w:rPr>
  </w:style>
  <w:style w:type="paragraph" w:customStyle="1" w:styleId="TableText">
    <w:name w:val="Table Text"/>
    <w:basedOn w:val="Normal"/>
    <w:uiPriority w:val="50"/>
    <w:qFormat/>
    <w:pPr>
      <w:spacing w:before="60" w:after="60"/>
      <w:jc w:val="left"/>
    </w:pPr>
  </w:style>
  <w:style w:type="paragraph" w:customStyle="1" w:styleId="TableTitle">
    <w:name w:val="Table Title"/>
    <w:basedOn w:val="Normal"/>
    <w:uiPriority w:val="99"/>
    <w:semiHidden/>
    <w:unhideWhenUsed/>
    <w:pPr>
      <w:keepNext/>
      <w:spacing w:after="120"/>
    </w:pPr>
    <w:rPr>
      <w:b/>
      <w:i/>
    </w:rPr>
  </w:style>
  <w:style w:type="paragraph" w:customStyle="1" w:styleId="TableTitle1">
    <w:name w:val="Table Title 1"/>
    <w:basedOn w:val="Text1"/>
    <w:uiPriority w:val="99"/>
    <w:semiHidden/>
    <w:unhideWhenUsed/>
    <w:pPr>
      <w:keepNext/>
      <w:spacing w:after="120"/>
    </w:pPr>
    <w:rPr>
      <w:b/>
      <w:i/>
    </w:rPr>
  </w:style>
  <w:style w:type="paragraph" w:customStyle="1" w:styleId="TableTitle2">
    <w:name w:val="Table Title 2"/>
    <w:basedOn w:val="Text2"/>
    <w:uiPriority w:val="99"/>
    <w:semiHidden/>
    <w:unhideWhenUsed/>
    <w:pPr>
      <w:keepNext/>
      <w:spacing w:after="120"/>
    </w:pPr>
    <w:rPr>
      <w:b/>
      <w:i/>
    </w:rPr>
  </w:style>
  <w:style w:type="paragraph" w:customStyle="1" w:styleId="TableTitle3">
    <w:name w:val="Table Title 3"/>
    <w:basedOn w:val="Text3"/>
    <w:uiPriority w:val="99"/>
    <w:semiHidden/>
    <w:unhideWhenUsed/>
    <w:pPr>
      <w:keepNext/>
      <w:spacing w:after="120"/>
    </w:pPr>
    <w:rPr>
      <w:b/>
      <w:i/>
    </w:rPr>
  </w:style>
  <w:style w:type="paragraph" w:customStyle="1" w:styleId="TableTitle4">
    <w:name w:val="Table Title 4"/>
    <w:basedOn w:val="Text4"/>
    <w:uiPriority w:val="99"/>
    <w:semiHidden/>
    <w:unhideWhenUsed/>
    <w:pPr>
      <w:keepNext/>
      <w:spacing w:after="120"/>
    </w:pPr>
    <w:rPr>
      <w:b/>
      <w:i/>
    </w:rPr>
  </w:style>
  <w:style w:type="paragraph" w:customStyle="1" w:styleId="Text1">
    <w:name w:val="Text 1"/>
    <w:basedOn w:val="Normal"/>
    <w:qFormat/>
    <w:pPr>
      <w:ind w:left="482"/>
    </w:pPr>
  </w:style>
  <w:style w:type="paragraph" w:customStyle="1" w:styleId="Text2">
    <w:name w:val="Text 2"/>
    <w:basedOn w:val="Normal"/>
    <w:qFormat/>
    <w:pPr>
      <w:ind w:left="1202"/>
    </w:pPr>
  </w:style>
  <w:style w:type="paragraph" w:customStyle="1" w:styleId="Text3">
    <w:name w:val="Text 3"/>
    <w:basedOn w:val="Normal"/>
    <w:qFormat/>
    <w:pPr>
      <w:ind w:left="1202"/>
    </w:pPr>
  </w:style>
  <w:style w:type="paragraph" w:customStyle="1" w:styleId="Text4">
    <w:name w:val="Text 4"/>
    <w:basedOn w:val="Normal"/>
    <w:qFormat/>
    <w:pPr>
      <w:ind w:left="1202"/>
    </w:pPr>
  </w:style>
  <w:style w:type="paragraph" w:styleId="Title">
    <w:name w:val="Title"/>
    <w:basedOn w:val="Normal"/>
    <w:next w:val="SubTitle1"/>
    <w:uiPriority w:val="40"/>
    <w:qFormat/>
    <w:pPr>
      <w:spacing w:after="480"/>
      <w:jc w:val="center"/>
    </w:pPr>
    <w:rPr>
      <w:b/>
      <w:kern w:val="28"/>
      <w:sz w:val="48"/>
    </w:rPr>
  </w:style>
  <w:style w:type="paragraph" w:styleId="TOC1">
    <w:name w:val="toc 1"/>
    <w:basedOn w:val="Normal"/>
    <w:next w:val="Normal"/>
    <w:uiPriority w:val="39"/>
    <w:pPr>
      <w:tabs>
        <w:tab w:val="right" w:leader="dot" w:pos="8640"/>
      </w:tabs>
      <w:spacing w:before="120" w:after="120"/>
      <w:ind w:left="482" w:right="720" w:hanging="482"/>
    </w:pPr>
  </w:style>
  <w:style w:type="paragraph" w:styleId="TOC2">
    <w:name w:val="toc 2"/>
    <w:basedOn w:val="Normal"/>
    <w:next w:val="Normal"/>
    <w:uiPriority w:val="39"/>
    <w:pPr>
      <w:tabs>
        <w:tab w:val="right" w:leader="dot" w:pos="8640"/>
      </w:tabs>
      <w:spacing w:before="60" w:after="60"/>
      <w:ind w:left="1077" w:right="720" w:hanging="595"/>
    </w:pPr>
    <w:rPr>
      <w:noProof/>
    </w:rPr>
  </w:style>
  <w:style w:type="paragraph" w:styleId="TOC3">
    <w:name w:val="toc 3"/>
    <w:basedOn w:val="Normal"/>
    <w:next w:val="Normal"/>
    <w:uiPriority w:val="39"/>
    <w:pPr>
      <w:tabs>
        <w:tab w:val="right" w:leader="dot" w:pos="8640"/>
      </w:tabs>
      <w:spacing w:before="60" w:after="60"/>
      <w:ind w:left="1916" w:right="720" w:hanging="839"/>
    </w:pPr>
  </w:style>
  <w:style w:type="paragraph" w:styleId="TOC4">
    <w:name w:val="toc 4"/>
    <w:basedOn w:val="Normal"/>
    <w:next w:val="Normal"/>
    <w:semiHidden/>
    <w:pPr>
      <w:tabs>
        <w:tab w:val="right" w:leader="dot" w:pos="8640"/>
      </w:tabs>
      <w:spacing w:before="60" w:after="60"/>
      <w:ind w:left="2880" w:right="720" w:hanging="964"/>
    </w:pPr>
    <w:rPr>
      <w:noProof/>
    </w:rPr>
  </w:style>
  <w:style w:type="paragraph" w:styleId="TOC5">
    <w:name w:val="toc 5"/>
    <w:basedOn w:val="Normal"/>
    <w:next w:val="Normal"/>
    <w:semiHidden/>
    <w:pPr>
      <w:tabs>
        <w:tab w:val="right" w:leader="dot" w:pos="8640"/>
      </w:tabs>
      <w:spacing w:before="240" w:after="120"/>
      <w:ind w:right="720"/>
    </w:pPr>
    <w:rPr>
      <w:caps/>
    </w:rPr>
  </w:style>
  <w:style w:type="paragraph" w:styleId="TOC6">
    <w:name w:val="toc 6"/>
    <w:basedOn w:val="Normal"/>
    <w:next w:val="Normal"/>
    <w:semiHidden/>
    <w:pPr>
      <w:tabs>
        <w:tab w:val="right" w:leader="dot" w:pos="8640"/>
        <w:tab w:val="left" w:pos="2880"/>
      </w:tabs>
      <w:spacing w:before="120" w:after="120"/>
      <w:ind w:left="1916" w:right="720" w:hanging="1916"/>
    </w:pPr>
    <w:rPr>
      <w:caps/>
    </w:rPr>
  </w:style>
  <w:style w:type="paragraph" w:styleId="TOC7">
    <w:name w:val="toc 7"/>
    <w:basedOn w:val="Normal"/>
    <w:next w:val="Normal"/>
    <w:semiHidden/>
    <w:pPr>
      <w:tabs>
        <w:tab w:val="right" w:leader="dot" w:pos="8640"/>
      </w:tabs>
    </w:pPr>
  </w:style>
  <w:style w:type="paragraph" w:styleId="TOC8">
    <w:name w:val="toc 8"/>
    <w:basedOn w:val="Normal"/>
    <w:next w:val="Normal"/>
    <w:semiHidden/>
    <w:pPr>
      <w:tabs>
        <w:tab w:val="right" w:leader="dot" w:pos="8640"/>
      </w:tabs>
    </w:pPr>
  </w:style>
  <w:style w:type="paragraph" w:styleId="TOC9">
    <w:name w:val="toc 9"/>
    <w:basedOn w:val="Normal"/>
    <w:next w:val="Normal"/>
    <w:semiHidden/>
    <w:pPr>
      <w:tabs>
        <w:tab w:val="right" w:leader="dot" w:pos="8640"/>
      </w:tabs>
    </w:pPr>
  </w:style>
  <w:style w:type="paragraph" w:styleId="TOCHeading">
    <w:name w:val="TOC Heading"/>
    <w:basedOn w:val="Normal"/>
    <w:next w:val="Normal"/>
    <w:semiHidden/>
    <w:pPr>
      <w:spacing w:before="240"/>
      <w:jc w:val="center"/>
    </w:pPr>
    <w:rPr>
      <w:rFonts w:ascii="Times New Roman Bold" w:hAnsi="Times New Roman Bold"/>
      <w:b/>
      <w:caps/>
    </w:rPr>
  </w:style>
  <w:style w:type="paragraph" w:customStyle="1" w:styleId="TrsSecretUE">
    <w:name w:val="Très Secret UE"/>
    <w:basedOn w:val="Normal"/>
    <w:semiHidden/>
    <w:pPr>
      <w:spacing w:after="0"/>
      <w:jc w:val="center"/>
    </w:pPr>
    <w:rPr>
      <w:b/>
      <w:caps/>
      <w:color w:val="FF0000"/>
      <w:sz w:val="32"/>
      <w:bdr w:val="single" w:sz="18" w:space="0" w:color="FF0000"/>
    </w:rPr>
  </w:style>
  <w:style w:type="paragraph" w:customStyle="1" w:styleId="ZCom">
    <w:name w:val="Z_Com"/>
    <w:basedOn w:val="Normal"/>
    <w:next w:val="ZDGName"/>
    <w:semiHidden/>
    <w:pPr>
      <w:widowControl w:val="0"/>
      <w:spacing w:before="90" w:after="0"/>
      <w:ind w:right="85"/>
      <w:jc w:val="left"/>
    </w:pPr>
  </w:style>
  <w:style w:type="paragraph" w:customStyle="1" w:styleId="ZDGName">
    <w:name w:val="Z_DGName"/>
    <w:basedOn w:val="Normal"/>
    <w:semiHidden/>
    <w:pPr>
      <w:widowControl w:val="0"/>
      <w:spacing w:after="0"/>
      <w:ind w:right="85"/>
      <w:jc w:val="left"/>
    </w:pPr>
    <w:rPr>
      <w:sz w:val="16"/>
    </w:rPr>
  </w:style>
  <w:style w:type="paragraph" w:customStyle="1" w:styleId="ZFlag">
    <w:name w:val="Z_Flag"/>
    <w:basedOn w:val="Normal"/>
    <w:next w:val="Normal"/>
    <w:semiHidden/>
    <w:pPr>
      <w:widowControl w:val="0"/>
      <w:spacing w:after="0"/>
      <w:ind w:right="85"/>
    </w:pPr>
  </w:style>
  <w:style w:type="paragraph" w:styleId="Header">
    <w:name w:val="header"/>
    <w:basedOn w:val="Normal"/>
    <w:link w:val="HeaderChar"/>
    <w:semiHidden/>
    <w:pPr>
      <w:tabs>
        <w:tab w:val="center" w:pos="4150"/>
        <w:tab w:val="right" w:pos="8306"/>
      </w:tabs>
      <w:spacing w:after="0"/>
    </w:pPr>
  </w:style>
  <w:style w:type="character" w:customStyle="1" w:styleId="HeaderChar">
    <w:name w:val="Header Char"/>
    <w:basedOn w:val="DefaultParagraphFont"/>
    <w:link w:val="Header"/>
    <w:semiHidden/>
    <w:rPr>
      <w:sz w:val="24"/>
    </w:rPr>
  </w:style>
  <w:style w:type="table" w:customStyle="1" w:styleId="EurolookClassicBlue">
    <w:name w:val="Eurolook Classic Blu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1">
    <w:name w:val="Eurolook Classic Blu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2">
    <w:name w:val="Eurolook Classic Blue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3">
    <w:name w:val="Eurolook Classic Blu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Blue4">
    <w:name w:val="Eurolook Classic Blu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4494"/>
      </w:tcPr>
    </w:tblStylePr>
    <w:tblStylePr w:type="lastRow">
      <w:tblPr/>
      <w:tcPr>
        <w:shd w:val="clear" w:color="auto" w:fill="DADADA"/>
      </w:tcPr>
    </w:tblStylePr>
    <w:tblStylePr w:type="firstCol">
      <w:rPr>
        <w:color w:val="004494"/>
      </w:rPr>
    </w:tblStylePr>
    <w:tblStylePr w:type="band2Horz">
      <w:tblPr/>
      <w:tcPr>
        <w:shd w:val="clear" w:color="auto" w:fill="EBECED"/>
      </w:tcPr>
    </w:tblStylePr>
  </w:style>
  <w:style w:type="table" w:customStyle="1" w:styleId="EurolookClassicGrey">
    <w:name w:val="Eurolook Classic Grey"/>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1">
    <w:name w:val="Eurolook Classic Grey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2">
    <w:name w:val="Eurolook Classic Grey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3">
    <w:name w:val="Eurolook Classic Grey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Grey4">
    <w:name w:val="Eurolook Classic Grey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646567"/>
      </w:tcPr>
    </w:tblStylePr>
    <w:tblStylePr w:type="lastRow">
      <w:tblPr/>
      <w:tcPr>
        <w:shd w:val="clear" w:color="auto" w:fill="DADADA"/>
      </w:tcPr>
    </w:tblStylePr>
    <w:tblStylePr w:type="firstCol">
      <w:rPr>
        <w:color w:val="646567"/>
      </w:rPr>
    </w:tblStylePr>
    <w:tblStylePr w:type="band2Horz">
      <w:tblPr/>
      <w:tcPr>
        <w:shd w:val="clear" w:color="auto" w:fill="EBECED"/>
      </w:tcPr>
    </w:tblStylePr>
  </w:style>
  <w:style w:type="table" w:customStyle="1" w:styleId="EurolookClassicOlive">
    <w:name w:val="Eurolook Classic Oliv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1">
    <w:name w:val="Eurolook Classic Olive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2">
    <w:name w:val="Eurolook Classic Olive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3">
    <w:name w:val="Eurolook Classic Oliv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Olive4">
    <w:name w:val="Eurolook Classic Oliv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4E7849"/>
      </w:tcPr>
    </w:tblStylePr>
    <w:tblStylePr w:type="lastRow">
      <w:tblPr/>
      <w:tcPr>
        <w:shd w:val="clear" w:color="auto" w:fill="DADADA"/>
      </w:tcPr>
    </w:tblStylePr>
    <w:tblStylePr w:type="firstCol">
      <w:rPr>
        <w:color w:val="4E7849"/>
      </w:rPr>
    </w:tblStylePr>
    <w:tblStylePr w:type="band2Horz">
      <w:tblPr/>
      <w:tcPr>
        <w:shd w:val="clear" w:color="auto" w:fill="EBECED"/>
      </w:tcPr>
    </w:tblStylePr>
  </w:style>
  <w:style w:type="table" w:customStyle="1" w:styleId="EurolookClassicPetrol">
    <w:name w:val="Eurolook Classic Petrol"/>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1">
    <w:name w:val="Eurolook Classic Petrol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2">
    <w:name w:val="Eurolook Classic Petrol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3">
    <w:name w:val="Eurolook Classic Petrol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etrol4">
    <w:name w:val="Eurolook Classic Petrol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007D98"/>
      </w:tcPr>
    </w:tblStylePr>
    <w:tblStylePr w:type="lastRow">
      <w:tblPr/>
      <w:tcPr>
        <w:shd w:val="clear" w:color="auto" w:fill="DADADA"/>
      </w:tcPr>
    </w:tblStylePr>
    <w:tblStylePr w:type="firstCol">
      <w:rPr>
        <w:color w:val="007D98"/>
      </w:rPr>
    </w:tblStylePr>
    <w:tblStylePr w:type="band2Horz">
      <w:tblPr/>
      <w:tcPr>
        <w:shd w:val="clear" w:color="auto" w:fill="EBECED"/>
      </w:tcPr>
    </w:tblStylePr>
  </w:style>
  <w:style w:type="table" w:customStyle="1" w:styleId="EurolookClassicPurple">
    <w:name w:val="Eurolook Classic Purple"/>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1">
    <w:name w:val="Eurolook Classic Purple 1"/>
    <w:basedOn w:val="TableNormal"/>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2">
    <w:name w:val="Eurolook Classic Purple 2"/>
    <w:basedOn w:val="TableNormal"/>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3">
    <w:name w:val="Eurolook Classic Purple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Purple4">
    <w:name w:val="Eurolook Classic Purple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771D7B"/>
      </w:tcPr>
    </w:tblStylePr>
    <w:tblStylePr w:type="lastRow">
      <w:tblPr/>
      <w:tcPr>
        <w:shd w:val="clear" w:color="auto" w:fill="DADADA"/>
      </w:tcPr>
    </w:tblStylePr>
    <w:tblStylePr w:type="firstCol">
      <w:rPr>
        <w:color w:val="771D7B"/>
      </w:rPr>
    </w:tblStylePr>
    <w:tblStylePr w:type="band2Horz">
      <w:tblPr/>
      <w:tcPr>
        <w:shd w:val="clear" w:color="auto" w:fill="EBECED"/>
      </w:tcPr>
    </w:tblStylePr>
  </w:style>
  <w:style w:type="table" w:customStyle="1" w:styleId="EurolookClassicRust">
    <w:name w:val="Eurolook Classic Rust"/>
    <w:basedOn w:val="TableNormal"/>
    <w:uiPriority w:val="80"/>
    <w:pPr>
      <w:spacing w:after="240"/>
    </w:pPr>
    <w:tblPr>
      <w:tblStyleRowBandSize w:val="1"/>
      <w:tblStyleColBandSize w:val="1"/>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1">
    <w:name w:val="Eurolook Classic Rust 1"/>
    <w:basedOn w:val="TableNormal"/>
    <w:semiHidden/>
    <w:unhideWhenUsed/>
    <w:pPr>
      <w:spacing w:after="240"/>
    </w:pPr>
    <w:tblPr>
      <w:tblStyleRowBandSize w:val="1"/>
      <w:tblStyleColBandSize w:val="1"/>
      <w:tblInd w:w="48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2">
    <w:name w:val="Eurolook Classic Rust 2"/>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3">
    <w:name w:val="Eurolook Classic Rust 3"/>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ClassicRust4">
    <w:name w:val="Eurolook Classic Rust 4"/>
    <w:basedOn w:val="TableNormal"/>
    <w:semiHidden/>
    <w:unhideWhenUsed/>
    <w:pPr>
      <w:spacing w:after="240"/>
    </w:pPr>
    <w:tblPr>
      <w:tblStyleRowBandSize w:val="1"/>
      <w:tblStyleColBandSize w:val="1"/>
      <w:tblInd w:w="1202" w:type="dxa"/>
      <w:tblBorders>
        <w:top w:val="single" w:sz="6" w:space="0" w:color="C5C7C8"/>
        <w:left w:val="single" w:sz="6" w:space="0" w:color="C5C7C8"/>
        <w:bottom w:val="single" w:sz="6" w:space="0" w:color="C5C7C8"/>
        <w:right w:val="single" w:sz="6" w:space="0" w:color="C5C7C8"/>
        <w:insideH w:val="single" w:sz="6" w:space="0" w:color="C5C7C8"/>
        <w:insideV w:val="single" w:sz="6" w:space="0" w:color="C5C7C8"/>
      </w:tblBorders>
    </w:tblPr>
    <w:tblStylePr w:type="firstRow">
      <w:rPr>
        <w:color w:val="FFFFFF"/>
      </w:rPr>
      <w:tblPr/>
      <w:tcPr>
        <w:shd w:val="clear" w:color="auto" w:fill="BF4B36"/>
      </w:tcPr>
    </w:tblStylePr>
    <w:tblStylePr w:type="lastRow">
      <w:tblPr/>
      <w:tcPr>
        <w:shd w:val="clear" w:color="auto" w:fill="DADADA"/>
      </w:tcPr>
    </w:tblStylePr>
    <w:tblStylePr w:type="firstCol">
      <w:rPr>
        <w:color w:val="BF4B36"/>
      </w:rPr>
    </w:tblStylePr>
    <w:tblStylePr w:type="band2Horz">
      <w:tblPr/>
      <w:tcPr>
        <w:shd w:val="clear" w:color="auto" w:fill="EBECED"/>
      </w:tcPr>
    </w:tblStylePr>
  </w:style>
  <w:style w:type="table" w:customStyle="1" w:styleId="EurolookLightBlue">
    <w:name w:val="Eurolook Light Blu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1">
    <w:name w:val="Eurolook Light Blu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2">
    <w:name w:val="Eurolook Light Blu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3">
    <w:name w:val="Eurolook Light Blu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Blue4">
    <w:name w:val="Eurolook Light Blu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4494"/>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b w:val="0"/>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
    <w:name w:val="Eurolook Light Grey"/>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1">
    <w:name w:val="Eurolook Light Grey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2">
    <w:name w:val="Eurolook Light Grey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3">
    <w:name w:val="Eurolook Light Grey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Grey4">
    <w:name w:val="Eurolook Light Grey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646567"/>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
    <w:name w:val="Eurolook Light Oliv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1">
    <w:name w:val="Eurolook Light Oliv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2">
    <w:name w:val="Eurolook Light Oliv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3">
    <w:name w:val="Eurolook Light Oliv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Olive4">
    <w:name w:val="Eurolook Light Oliv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4E7849"/>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
    <w:name w:val="Eurolook Light Petrol"/>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1">
    <w:name w:val="Eurolook Light Petrol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2">
    <w:name w:val="Eurolook Light Petrol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3">
    <w:name w:val="Eurolook Light Petrol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etrol4">
    <w:name w:val="Eurolook Light Petrol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007D98"/>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
    <w:name w:val="Eurolook Light Purple"/>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1">
    <w:name w:val="Eurolook Light Purple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2">
    <w:name w:val="Eurolook Light Purple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3">
    <w:name w:val="Eurolook Light Purple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Purple4">
    <w:name w:val="Eurolook Light Purple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771D7B"/>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
    <w:name w:val="Eurolook Light Rust"/>
    <w:basedOn w:val="TableNormal"/>
    <w:uiPriority w:val="80"/>
    <w:pPr>
      <w:spacing w:after="240"/>
    </w:pPr>
    <w:tblPr>
      <w:tblStyleRowBandSize w:val="1"/>
      <w:tblStyleColBandSize w:val="1"/>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1">
    <w:name w:val="Eurolook Light Rust 1"/>
    <w:basedOn w:val="TableNormal"/>
    <w:semiHidden/>
    <w:unhideWhenUsed/>
    <w:pPr>
      <w:spacing w:after="240"/>
    </w:pPr>
    <w:tblPr>
      <w:tblStyleRowBandSize w:val="1"/>
      <w:tblStyleColBandSize w:val="1"/>
      <w:tblInd w:w="48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2">
    <w:name w:val="Eurolook Light Rust 2"/>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3">
    <w:name w:val="Eurolook Light Rust 3"/>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LightRust4">
    <w:name w:val="Eurolook Light Rust 4"/>
    <w:basedOn w:val="TableNormal"/>
    <w:semiHidden/>
    <w:unhideWhenUsed/>
    <w:pPr>
      <w:spacing w:after="240"/>
    </w:pPr>
    <w:tblPr>
      <w:tblStyleRowBandSize w:val="1"/>
      <w:tblStyleColBandSize w:val="1"/>
      <w:tblInd w:w="1202" w:type="dxa"/>
      <w:tblBorders>
        <w:top w:val="nil"/>
        <w:left w:val="nil"/>
        <w:bottom w:val="nil"/>
        <w:right w:val="nil"/>
        <w:insideH w:val="single" w:sz="6" w:space="0" w:color="C5C7C8"/>
        <w:insideV w:val="single" w:sz="6" w:space="0" w:color="C5C7C8"/>
      </w:tblBorders>
    </w:tblPr>
    <w:tcPr>
      <w:shd w:val="clear" w:color="auto" w:fill="auto"/>
    </w:tcPr>
    <w:tblStylePr w:type="firstRow">
      <w:rPr>
        <w:b w:val="0"/>
        <w:smallCaps/>
        <w:color w:val="BF4B36"/>
      </w:rPr>
      <w:tblPr/>
      <w:tcPr>
        <w:tcBorders>
          <w:bottom w:val="single" w:sz="12" w:space="0" w:color="404040" w:themeColor="text1" w:themeTint="BF"/>
        </w:tcBorders>
        <w:shd w:val="clear" w:color="auto" w:fill="auto"/>
        <w:vAlign w:val="bottom"/>
      </w:tcPr>
    </w:tblStylePr>
    <w:tblStylePr w:type="lastRow">
      <w:rPr>
        <w:b w:val="0"/>
      </w:rPr>
      <w:tblPr/>
      <w:tcPr>
        <w:tcBorders>
          <w:top w:val="single" w:sz="12" w:space="0" w:color="404040" w:themeColor="text1" w:themeTint="BF"/>
        </w:tcBorders>
        <w:shd w:val="clear" w:color="auto" w:fill="auto"/>
      </w:tcPr>
    </w:tblStylePr>
    <w:tblStylePr w:type="firstCol">
      <w:rPr>
        <w:color w:val="000000"/>
      </w:rPr>
      <w:tblPr/>
      <w:tcPr>
        <w:tcBorders>
          <w:right w:val="single" w:sz="12" w:space="0" w:color="404040" w:themeColor="text1" w:themeTint="BF"/>
        </w:tcBorders>
      </w:tcPr>
    </w:tblStylePr>
    <w:tblStylePr w:type="band1Horz">
      <w:tblPr/>
      <w:tcPr>
        <w:shd w:val="clear" w:color="auto" w:fill="auto"/>
      </w:tcPr>
    </w:tblStylePr>
    <w:tblStylePr w:type="band2Horz">
      <w:tblPr/>
      <w:tcPr>
        <w:shd w:val="clear" w:color="FFFFFF" w:themeColor="background1" w:fill="F2F2F2"/>
      </w:tcPr>
    </w:tblStylePr>
  </w:style>
  <w:style w:type="table" w:customStyle="1" w:styleId="EurolookTable">
    <w:name w:val="Eurolook Table"/>
    <w:semiHidden/>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StylePr w:type="firstRow">
      <w:rPr>
        <w:b/>
      </w:rPr>
      <w:tblPr/>
      <w:trPr>
        <w:cantSplit/>
        <w:tblHeader/>
      </w:trPr>
    </w:tblStylePr>
  </w:style>
  <w:style w:type="table" w:customStyle="1" w:styleId="EurolookTable1">
    <w:name w:val="Eurolook Table 1"/>
    <w:basedOn w:val="EurolookTable"/>
    <w:semiHidden/>
    <w:tblPr>
      <w:tblInd w:w="482" w:type="dxa"/>
    </w:tblPr>
    <w:tblStylePr w:type="firstRow">
      <w:rPr>
        <w:b/>
      </w:rPr>
      <w:tblPr/>
      <w:trPr>
        <w:cantSplit/>
        <w:tblHeader/>
      </w:trPr>
    </w:tblStylePr>
  </w:style>
  <w:style w:type="table" w:customStyle="1" w:styleId="EurolookTable2">
    <w:name w:val="Eurolook Table 2"/>
    <w:basedOn w:val="EurolookTable"/>
    <w:semiHidden/>
    <w:tblPr>
      <w:tblInd w:w="1202" w:type="dxa"/>
    </w:tblPr>
    <w:tblStylePr w:type="firstRow">
      <w:rPr>
        <w:b/>
      </w:rPr>
      <w:tblPr/>
      <w:trPr>
        <w:cantSplit/>
        <w:tblHeader/>
      </w:trPr>
    </w:tblStylePr>
  </w:style>
  <w:style w:type="table" w:customStyle="1" w:styleId="EurolookTable3">
    <w:name w:val="Eurolook Table 3"/>
    <w:basedOn w:val="EurolookTable"/>
    <w:semiHidden/>
    <w:tblPr>
      <w:tblInd w:w="1202" w:type="dxa"/>
    </w:tblPr>
    <w:tblStylePr w:type="firstRow">
      <w:rPr>
        <w:b/>
      </w:rPr>
      <w:tblPr/>
      <w:trPr>
        <w:cantSplit/>
        <w:tblHeader/>
      </w:trPr>
    </w:tblStylePr>
  </w:style>
  <w:style w:type="table" w:customStyle="1" w:styleId="EurolookTable4">
    <w:name w:val="Eurolook Table 4"/>
    <w:basedOn w:val="EurolookTable"/>
    <w:semiHidden/>
    <w:tblPr>
      <w:tblInd w:w="1202" w:type="dxa"/>
    </w:tblPr>
    <w:tblStylePr w:type="firstRow">
      <w:rPr>
        <w:b/>
      </w:rPr>
      <w:tblPr/>
      <w:trPr>
        <w:cantSplit/>
        <w:tblHeader/>
      </w:trPr>
    </w:tblStylePr>
  </w:style>
  <w:style w:type="table" w:customStyle="1" w:styleId="HelperTableBase">
    <w:name w:val="Helper Table Base"/>
    <w:semiHidden/>
    <w:tblPr>
      <w:tblInd w:w="0" w:type="dxa"/>
      <w:tblCellMar>
        <w:top w:w="0" w:type="dxa"/>
        <w:left w:w="0" w:type="dxa"/>
        <w:bottom w:w="0" w:type="dxa"/>
        <w:right w:w="0" w:type="dxa"/>
      </w:tblCellMar>
    </w:tblPr>
  </w:style>
  <w:style w:type="table" w:customStyle="1" w:styleId="SignatureTable">
    <w:name w:val="Signature Table"/>
    <w:basedOn w:val="HelperTableBase"/>
    <w:semiHidden/>
    <w:tblPr/>
  </w:style>
  <w:style w:type="table" w:styleId="TableGrid">
    <w:name w:val="Table Grid"/>
    <w:semiHidden/>
    <w:tblPr>
      <w:tblStyleRowBandSize w:val="1"/>
      <w:tblStyleColBandSize w:val="1"/>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customStyle="1" w:styleId="TableHistory">
    <w:name w:val="Table History"/>
    <w:basedOn w:val="TableNormal"/>
    <w:semiHidden/>
    <w:pPr>
      <w:spacing w:before="60" w:after="60" w:line="264" w:lineRule="auto"/>
    </w:pPr>
    <w:rPr>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Letterhead">
    <w:name w:val="Table Letterhead"/>
    <w:basedOn w:val="TableNormal"/>
    <w:semiHidden/>
    <w:tblPr>
      <w:tblCellMar>
        <w:left w:w="0" w:type="dxa"/>
        <w:bottom w:w="340" w:type="dxa"/>
        <w:right w:w="0" w:type="dxa"/>
      </w:tblCellMar>
    </w:tblPr>
  </w:style>
  <w:style w:type="character" w:customStyle="1" w:styleId="FootnoteTextChar">
    <w:name w:val="Footnote Text Char"/>
    <w:aliases w:val="Footnote Char,Char Char,Footnote text Char,Footnote Text Char1 Char,Footnote Text Char Char Char,Footnote Text Char1 Char Char Char,Footnote Text Char Char Char Char Char,Footnote Text Char1 Char Char Char Char Char,Fußnotentex Char"/>
    <w:uiPriority w:val="99"/>
    <w:semiHidden/>
    <w:locked/>
    <w:rsid w:val="00572704"/>
    <w:rPr>
      <w:sz w:val="20"/>
    </w:rPr>
  </w:style>
  <w:style w:type="character" w:styleId="Hyperlink">
    <w:name w:val="Hyperlink"/>
    <w:basedOn w:val="DefaultParagraphFont"/>
    <w:uiPriority w:val="99"/>
    <w:rsid w:val="00622A2C"/>
    <w:rPr>
      <w:color w:val="467886" w:themeColor="hyperlink"/>
      <w:u w:val="single"/>
    </w:rPr>
  </w:style>
  <w:style w:type="character" w:customStyle="1" w:styleId="UnresolvedMention">
    <w:name w:val="Unresolved Mention"/>
    <w:basedOn w:val="DefaultParagraphFont"/>
    <w:uiPriority w:val="99"/>
    <w:semiHidden/>
    <w:unhideWhenUsed/>
    <w:rsid w:val="00622A2C"/>
    <w:rPr>
      <w:color w:val="605E5C"/>
      <w:shd w:val="clear" w:color="auto" w:fill="E1DFDD"/>
    </w:rPr>
  </w:style>
  <w:style w:type="character" w:styleId="CommentReference">
    <w:name w:val="annotation reference"/>
    <w:basedOn w:val="DefaultParagraphFont"/>
    <w:uiPriority w:val="99"/>
    <w:semiHidden/>
    <w:rsid w:val="00B75164"/>
    <w:rPr>
      <w:sz w:val="16"/>
      <w:szCs w:val="16"/>
    </w:rPr>
  </w:style>
  <w:style w:type="paragraph" w:styleId="CommentText">
    <w:name w:val="annotation text"/>
    <w:basedOn w:val="Normal"/>
    <w:link w:val="CommentTextChar"/>
    <w:uiPriority w:val="99"/>
    <w:semiHidden/>
    <w:rsid w:val="00B75164"/>
    <w:rPr>
      <w:sz w:val="20"/>
    </w:rPr>
  </w:style>
  <w:style w:type="character" w:customStyle="1" w:styleId="CommentTextChar">
    <w:name w:val="Comment Text Char"/>
    <w:basedOn w:val="DefaultParagraphFont"/>
    <w:link w:val="CommentText"/>
    <w:uiPriority w:val="99"/>
    <w:semiHidden/>
    <w:rsid w:val="00B75164"/>
    <w:rPr>
      <w:sz w:val="20"/>
    </w:rPr>
  </w:style>
  <w:style w:type="paragraph" w:styleId="CommentSubject">
    <w:name w:val="annotation subject"/>
    <w:basedOn w:val="CommentText"/>
    <w:next w:val="CommentText"/>
    <w:link w:val="CommentSubjectChar"/>
    <w:uiPriority w:val="99"/>
    <w:semiHidden/>
    <w:rsid w:val="00B75164"/>
    <w:rPr>
      <w:b/>
      <w:bCs/>
    </w:rPr>
  </w:style>
  <w:style w:type="character" w:customStyle="1" w:styleId="CommentSubjectChar">
    <w:name w:val="Comment Subject Char"/>
    <w:basedOn w:val="CommentTextChar"/>
    <w:link w:val="CommentSubject"/>
    <w:uiPriority w:val="99"/>
    <w:semiHidden/>
    <w:rsid w:val="00B75164"/>
    <w:rPr>
      <w:b/>
      <w:bCs/>
      <w:sz w:val="20"/>
    </w:rPr>
  </w:style>
  <w:style w:type="paragraph" w:styleId="NormalWeb">
    <w:name w:val="Normal (Web)"/>
    <w:basedOn w:val="Normal"/>
    <w:uiPriority w:val="99"/>
    <w:semiHidden/>
    <w:rsid w:val="000B5FB2"/>
    <w:rPr>
      <w:szCs w:val="24"/>
    </w:rPr>
  </w:style>
  <w:style w:type="paragraph" w:styleId="ListParagraph">
    <w:name w:val="List Paragraph"/>
    <w:basedOn w:val="Normal"/>
    <w:uiPriority w:val="99"/>
    <w:semiHidden/>
    <w:rsid w:val="00BE26A9"/>
    <w:pPr>
      <w:ind w:left="720"/>
      <w:contextualSpacing/>
    </w:pPr>
  </w:style>
  <w:style w:type="character" w:styleId="FollowedHyperlink">
    <w:name w:val="FollowedHyperlink"/>
    <w:basedOn w:val="DefaultParagraphFont"/>
    <w:uiPriority w:val="99"/>
    <w:semiHidden/>
    <w:rsid w:val="00B87FAB"/>
    <w:rPr>
      <w:color w:val="96607D" w:themeColor="followedHyperlink"/>
      <w:u w:val="single"/>
    </w:rPr>
  </w:style>
  <w:style w:type="paragraph" w:styleId="Revision">
    <w:name w:val="Revision"/>
    <w:hidden/>
    <w:uiPriority w:val="99"/>
    <w:semiHidden/>
    <w:rsid w:val="00A970B9"/>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ftref,Ref"/>
    <w:basedOn w:val="Normal"/>
    <w:link w:val="FootnoteReference"/>
    <w:rsid w:val="000B4845"/>
    <w:pPr>
      <w:suppressAutoHyphens/>
      <w:spacing w:after="0" w:line="240" w:lineRule="exact"/>
    </w:pPr>
    <w:rPr>
      <w:vertAlign w:val="superscript"/>
    </w:rPr>
  </w:style>
  <w:style w:type="paragraph" w:customStyle="1" w:styleId="coj-normal">
    <w:name w:val="coj-normal"/>
    <w:basedOn w:val="Normal"/>
    <w:rsid w:val="000B4845"/>
    <w:pPr>
      <w:spacing w:before="100" w:beforeAutospacing="1" w:after="100" w:afterAutospacing="1"/>
      <w:jc w:val="left"/>
    </w:pPr>
    <w:rPr>
      <w:szCs w:val="24"/>
      <w:lang w:val="en-IE"/>
    </w:rPr>
  </w:style>
  <w:style w:type="character" w:customStyle="1" w:styleId="Mention">
    <w:name w:val="Mention"/>
    <w:basedOn w:val="DefaultParagraphFont"/>
    <w:uiPriority w:val="99"/>
    <w:unhideWhenUsed/>
    <w:rsid w:val="008F089D"/>
    <w:rPr>
      <w:color w:val="2B579A"/>
      <w:shd w:val="clear" w:color="auto" w:fill="E1DFDD"/>
    </w:rPr>
  </w:style>
  <w:style w:type="character" w:customStyle="1" w:styleId="Marker">
    <w:name w:val="Marker"/>
    <w:basedOn w:val="DefaultParagraphFont"/>
    <w:rsid w:val="00F81E69"/>
    <w:rPr>
      <w:color w:val="0000FF"/>
      <w:shd w:val="clear" w:color="auto" w:fill="auto"/>
    </w:rPr>
  </w:style>
  <w:style w:type="paragraph" w:customStyle="1" w:styleId="Pagedecouverture">
    <w:name w:val="Page de couverture"/>
    <w:basedOn w:val="Normal"/>
    <w:next w:val="Normal"/>
    <w:link w:val="PagedecouvertureChar"/>
    <w:rsid w:val="00F81E69"/>
    <w:pPr>
      <w:spacing w:after="0"/>
    </w:pPr>
    <w:rPr>
      <w:rFonts w:eastAsiaTheme="minorHAnsi"/>
      <w:szCs w:val="22"/>
      <w:lang w:eastAsia="en-US"/>
    </w:rPr>
  </w:style>
  <w:style w:type="paragraph" w:customStyle="1" w:styleId="FooterCoverPage">
    <w:name w:val="Footer Cover Page"/>
    <w:basedOn w:val="Normal"/>
    <w:link w:val="FooterCoverPageChar"/>
    <w:rsid w:val="00F81E69"/>
    <w:pPr>
      <w:tabs>
        <w:tab w:val="center" w:pos="4535"/>
        <w:tab w:val="right" w:pos="9071"/>
        <w:tab w:val="right" w:pos="9921"/>
      </w:tabs>
      <w:spacing w:before="360" w:after="0"/>
      <w:ind w:left="-850" w:right="-850"/>
      <w:jc w:val="left"/>
    </w:pPr>
  </w:style>
  <w:style w:type="character" w:customStyle="1" w:styleId="PagedecouvertureChar">
    <w:name w:val="Page de couverture Char"/>
    <w:basedOn w:val="DefaultParagraphFont"/>
    <w:link w:val="Pagedecouverture"/>
    <w:rsid w:val="00F81E69"/>
    <w:rPr>
      <w:rFonts w:eastAsiaTheme="minorHAnsi"/>
      <w:szCs w:val="22"/>
      <w:lang w:eastAsia="en-US"/>
    </w:rPr>
  </w:style>
  <w:style w:type="character" w:customStyle="1" w:styleId="FooterCoverPageChar">
    <w:name w:val="Footer Cover Page Char"/>
    <w:basedOn w:val="PagedecouvertureChar"/>
    <w:link w:val="FooterCoverPage"/>
    <w:rsid w:val="00F81E69"/>
    <w:rPr>
      <w:rFonts w:eastAsiaTheme="minorHAnsi"/>
      <w:szCs w:val="22"/>
      <w:lang w:eastAsia="en-US"/>
    </w:rPr>
  </w:style>
  <w:style w:type="paragraph" w:customStyle="1" w:styleId="FooterSensitivity">
    <w:name w:val="Footer Sensitivity"/>
    <w:basedOn w:val="Normal"/>
    <w:link w:val="FooterSensitivityChar"/>
    <w:rsid w:val="00F81E6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character" w:customStyle="1" w:styleId="FooterSensitivityChar">
    <w:name w:val="Footer Sensitivity Char"/>
    <w:basedOn w:val="PagedecouvertureChar"/>
    <w:link w:val="FooterSensitivity"/>
    <w:rsid w:val="00F81E69"/>
    <w:rPr>
      <w:rFonts w:eastAsiaTheme="minorHAnsi"/>
      <w:b/>
      <w:sz w:val="32"/>
      <w:szCs w:val="22"/>
      <w:lang w:eastAsia="en-US"/>
    </w:rPr>
  </w:style>
  <w:style w:type="paragraph" w:customStyle="1" w:styleId="HeaderCoverPage">
    <w:name w:val="Header Cover Page"/>
    <w:basedOn w:val="Normal"/>
    <w:link w:val="HeaderCoverPageChar"/>
    <w:rsid w:val="00F81E69"/>
    <w:pPr>
      <w:tabs>
        <w:tab w:val="center" w:pos="4535"/>
        <w:tab w:val="right" w:pos="9071"/>
      </w:tabs>
      <w:spacing w:after="120"/>
    </w:pPr>
  </w:style>
  <w:style w:type="character" w:customStyle="1" w:styleId="HeaderCoverPageChar">
    <w:name w:val="Header Cover Page Char"/>
    <w:basedOn w:val="PagedecouvertureChar"/>
    <w:link w:val="HeaderCoverPage"/>
    <w:rsid w:val="00F81E69"/>
    <w:rPr>
      <w:rFonts w:eastAsiaTheme="minorHAnsi"/>
      <w:szCs w:val="22"/>
      <w:lang w:eastAsia="en-US"/>
    </w:rPr>
  </w:style>
  <w:style w:type="paragraph" w:customStyle="1" w:styleId="HeaderSensitivity">
    <w:name w:val="Header Sensitivity"/>
    <w:basedOn w:val="Normal"/>
    <w:link w:val="HeaderSensitivityChar"/>
    <w:rsid w:val="00F81E69"/>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PagedecouvertureChar"/>
    <w:link w:val="HeaderSensitivity"/>
    <w:rsid w:val="00F81E69"/>
    <w:rPr>
      <w:rFonts w:eastAsiaTheme="minorHAnsi"/>
      <w:b/>
      <w:sz w:val="32"/>
      <w:szCs w:val="22"/>
      <w:lang w:eastAsia="en-US"/>
    </w:rPr>
  </w:style>
  <w:style w:type="paragraph" w:customStyle="1" w:styleId="HeaderSensitivityRight">
    <w:name w:val="Header Sensitivity Right"/>
    <w:basedOn w:val="Normal"/>
    <w:link w:val="HeaderSensitivityRightChar"/>
    <w:rsid w:val="00F81E69"/>
    <w:pPr>
      <w:spacing w:after="120"/>
      <w:jc w:val="right"/>
    </w:pPr>
    <w:rPr>
      <w:sz w:val="28"/>
    </w:rPr>
  </w:style>
  <w:style w:type="character" w:customStyle="1" w:styleId="HeaderSensitivityRightChar">
    <w:name w:val="Header Sensitivity Right Char"/>
    <w:basedOn w:val="PagedecouvertureChar"/>
    <w:link w:val="HeaderSensitivityRight"/>
    <w:rsid w:val="00F81E69"/>
    <w:rPr>
      <w:rFonts w:eastAsiaTheme="minorHAnsi"/>
      <w:sz w:val="28"/>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21284">
      <w:bodyDiv w:val="1"/>
      <w:marLeft w:val="0"/>
      <w:marRight w:val="0"/>
      <w:marTop w:val="0"/>
      <w:marBottom w:val="0"/>
      <w:divBdr>
        <w:top w:val="none" w:sz="0" w:space="0" w:color="auto"/>
        <w:left w:val="none" w:sz="0" w:space="0" w:color="auto"/>
        <w:bottom w:val="none" w:sz="0" w:space="0" w:color="auto"/>
        <w:right w:val="none" w:sz="0" w:space="0" w:color="auto"/>
      </w:divBdr>
    </w:div>
    <w:div w:id="12155338">
      <w:bodyDiv w:val="1"/>
      <w:marLeft w:val="0"/>
      <w:marRight w:val="0"/>
      <w:marTop w:val="0"/>
      <w:marBottom w:val="0"/>
      <w:divBdr>
        <w:top w:val="none" w:sz="0" w:space="0" w:color="auto"/>
        <w:left w:val="none" w:sz="0" w:space="0" w:color="auto"/>
        <w:bottom w:val="none" w:sz="0" w:space="0" w:color="auto"/>
        <w:right w:val="none" w:sz="0" w:space="0" w:color="auto"/>
      </w:divBdr>
    </w:div>
    <w:div w:id="16009058">
      <w:bodyDiv w:val="1"/>
      <w:marLeft w:val="0"/>
      <w:marRight w:val="0"/>
      <w:marTop w:val="0"/>
      <w:marBottom w:val="0"/>
      <w:divBdr>
        <w:top w:val="none" w:sz="0" w:space="0" w:color="auto"/>
        <w:left w:val="none" w:sz="0" w:space="0" w:color="auto"/>
        <w:bottom w:val="none" w:sz="0" w:space="0" w:color="auto"/>
        <w:right w:val="none" w:sz="0" w:space="0" w:color="auto"/>
      </w:divBdr>
    </w:div>
    <w:div w:id="23099628">
      <w:bodyDiv w:val="1"/>
      <w:marLeft w:val="0"/>
      <w:marRight w:val="0"/>
      <w:marTop w:val="0"/>
      <w:marBottom w:val="0"/>
      <w:divBdr>
        <w:top w:val="none" w:sz="0" w:space="0" w:color="auto"/>
        <w:left w:val="none" w:sz="0" w:space="0" w:color="auto"/>
        <w:bottom w:val="none" w:sz="0" w:space="0" w:color="auto"/>
        <w:right w:val="none" w:sz="0" w:space="0" w:color="auto"/>
      </w:divBdr>
    </w:div>
    <w:div w:id="24914935">
      <w:bodyDiv w:val="1"/>
      <w:marLeft w:val="0"/>
      <w:marRight w:val="0"/>
      <w:marTop w:val="0"/>
      <w:marBottom w:val="0"/>
      <w:divBdr>
        <w:top w:val="none" w:sz="0" w:space="0" w:color="auto"/>
        <w:left w:val="none" w:sz="0" w:space="0" w:color="auto"/>
        <w:bottom w:val="none" w:sz="0" w:space="0" w:color="auto"/>
        <w:right w:val="none" w:sz="0" w:space="0" w:color="auto"/>
      </w:divBdr>
    </w:div>
    <w:div w:id="49767834">
      <w:bodyDiv w:val="1"/>
      <w:marLeft w:val="0"/>
      <w:marRight w:val="0"/>
      <w:marTop w:val="0"/>
      <w:marBottom w:val="0"/>
      <w:divBdr>
        <w:top w:val="none" w:sz="0" w:space="0" w:color="auto"/>
        <w:left w:val="none" w:sz="0" w:space="0" w:color="auto"/>
        <w:bottom w:val="none" w:sz="0" w:space="0" w:color="auto"/>
        <w:right w:val="none" w:sz="0" w:space="0" w:color="auto"/>
      </w:divBdr>
    </w:div>
    <w:div w:id="58940802">
      <w:bodyDiv w:val="1"/>
      <w:marLeft w:val="0"/>
      <w:marRight w:val="0"/>
      <w:marTop w:val="0"/>
      <w:marBottom w:val="0"/>
      <w:divBdr>
        <w:top w:val="none" w:sz="0" w:space="0" w:color="auto"/>
        <w:left w:val="none" w:sz="0" w:space="0" w:color="auto"/>
        <w:bottom w:val="none" w:sz="0" w:space="0" w:color="auto"/>
        <w:right w:val="none" w:sz="0" w:space="0" w:color="auto"/>
      </w:divBdr>
    </w:div>
    <w:div w:id="62224195">
      <w:bodyDiv w:val="1"/>
      <w:marLeft w:val="0"/>
      <w:marRight w:val="0"/>
      <w:marTop w:val="0"/>
      <w:marBottom w:val="0"/>
      <w:divBdr>
        <w:top w:val="none" w:sz="0" w:space="0" w:color="auto"/>
        <w:left w:val="none" w:sz="0" w:space="0" w:color="auto"/>
        <w:bottom w:val="none" w:sz="0" w:space="0" w:color="auto"/>
        <w:right w:val="none" w:sz="0" w:space="0" w:color="auto"/>
      </w:divBdr>
    </w:div>
    <w:div w:id="68425387">
      <w:bodyDiv w:val="1"/>
      <w:marLeft w:val="0"/>
      <w:marRight w:val="0"/>
      <w:marTop w:val="0"/>
      <w:marBottom w:val="0"/>
      <w:divBdr>
        <w:top w:val="none" w:sz="0" w:space="0" w:color="auto"/>
        <w:left w:val="none" w:sz="0" w:space="0" w:color="auto"/>
        <w:bottom w:val="none" w:sz="0" w:space="0" w:color="auto"/>
        <w:right w:val="none" w:sz="0" w:space="0" w:color="auto"/>
      </w:divBdr>
    </w:div>
    <w:div w:id="87045148">
      <w:bodyDiv w:val="1"/>
      <w:marLeft w:val="0"/>
      <w:marRight w:val="0"/>
      <w:marTop w:val="0"/>
      <w:marBottom w:val="0"/>
      <w:divBdr>
        <w:top w:val="none" w:sz="0" w:space="0" w:color="auto"/>
        <w:left w:val="none" w:sz="0" w:space="0" w:color="auto"/>
        <w:bottom w:val="none" w:sz="0" w:space="0" w:color="auto"/>
        <w:right w:val="none" w:sz="0" w:space="0" w:color="auto"/>
      </w:divBdr>
    </w:div>
    <w:div w:id="121727654">
      <w:bodyDiv w:val="1"/>
      <w:marLeft w:val="0"/>
      <w:marRight w:val="0"/>
      <w:marTop w:val="0"/>
      <w:marBottom w:val="0"/>
      <w:divBdr>
        <w:top w:val="none" w:sz="0" w:space="0" w:color="auto"/>
        <w:left w:val="none" w:sz="0" w:space="0" w:color="auto"/>
        <w:bottom w:val="none" w:sz="0" w:space="0" w:color="auto"/>
        <w:right w:val="none" w:sz="0" w:space="0" w:color="auto"/>
      </w:divBdr>
    </w:div>
    <w:div w:id="122235590">
      <w:bodyDiv w:val="1"/>
      <w:marLeft w:val="0"/>
      <w:marRight w:val="0"/>
      <w:marTop w:val="0"/>
      <w:marBottom w:val="0"/>
      <w:divBdr>
        <w:top w:val="none" w:sz="0" w:space="0" w:color="auto"/>
        <w:left w:val="none" w:sz="0" w:space="0" w:color="auto"/>
        <w:bottom w:val="none" w:sz="0" w:space="0" w:color="auto"/>
        <w:right w:val="none" w:sz="0" w:space="0" w:color="auto"/>
      </w:divBdr>
    </w:div>
    <w:div w:id="124084734">
      <w:bodyDiv w:val="1"/>
      <w:marLeft w:val="0"/>
      <w:marRight w:val="0"/>
      <w:marTop w:val="0"/>
      <w:marBottom w:val="0"/>
      <w:divBdr>
        <w:top w:val="none" w:sz="0" w:space="0" w:color="auto"/>
        <w:left w:val="none" w:sz="0" w:space="0" w:color="auto"/>
        <w:bottom w:val="none" w:sz="0" w:space="0" w:color="auto"/>
        <w:right w:val="none" w:sz="0" w:space="0" w:color="auto"/>
      </w:divBdr>
    </w:div>
    <w:div w:id="133527052">
      <w:bodyDiv w:val="1"/>
      <w:marLeft w:val="0"/>
      <w:marRight w:val="0"/>
      <w:marTop w:val="0"/>
      <w:marBottom w:val="0"/>
      <w:divBdr>
        <w:top w:val="none" w:sz="0" w:space="0" w:color="auto"/>
        <w:left w:val="none" w:sz="0" w:space="0" w:color="auto"/>
        <w:bottom w:val="none" w:sz="0" w:space="0" w:color="auto"/>
        <w:right w:val="none" w:sz="0" w:space="0" w:color="auto"/>
      </w:divBdr>
    </w:div>
    <w:div w:id="138351295">
      <w:bodyDiv w:val="1"/>
      <w:marLeft w:val="0"/>
      <w:marRight w:val="0"/>
      <w:marTop w:val="0"/>
      <w:marBottom w:val="0"/>
      <w:divBdr>
        <w:top w:val="none" w:sz="0" w:space="0" w:color="auto"/>
        <w:left w:val="none" w:sz="0" w:space="0" w:color="auto"/>
        <w:bottom w:val="none" w:sz="0" w:space="0" w:color="auto"/>
        <w:right w:val="none" w:sz="0" w:space="0" w:color="auto"/>
      </w:divBdr>
    </w:div>
    <w:div w:id="144008315">
      <w:bodyDiv w:val="1"/>
      <w:marLeft w:val="0"/>
      <w:marRight w:val="0"/>
      <w:marTop w:val="0"/>
      <w:marBottom w:val="0"/>
      <w:divBdr>
        <w:top w:val="none" w:sz="0" w:space="0" w:color="auto"/>
        <w:left w:val="none" w:sz="0" w:space="0" w:color="auto"/>
        <w:bottom w:val="none" w:sz="0" w:space="0" w:color="auto"/>
        <w:right w:val="none" w:sz="0" w:space="0" w:color="auto"/>
      </w:divBdr>
    </w:div>
    <w:div w:id="152180602">
      <w:bodyDiv w:val="1"/>
      <w:marLeft w:val="0"/>
      <w:marRight w:val="0"/>
      <w:marTop w:val="0"/>
      <w:marBottom w:val="0"/>
      <w:divBdr>
        <w:top w:val="none" w:sz="0" w:space="0" w:color="auto"/>
        <w:left w:val="none" w:sz="0" w:space="0" w:color="auto"/>
        <w:bottom w:val="none" w:sz="0" w:space="0" w:color="auto"/>
        <w:right w:val="none" w:sz="0" w:space="0" w:color="auto"/>
      </w:divBdr>
    </w:div>
    <w:div w:id="159197080">
      <w:bodyDiv w:val="1"/>
      <w:marLeft w:val="0"/>
      <w:marRight w:val="0"/>
      <w:marTop w:val="0"/>
      <w:marBottom w:val="0"/>
      <w:divBdr>
        <w:top w:val="none" w:sz="0" w:space="0" w:color="auto"/>
        <w:left w:val="none" w:sz="0" w:space="0" w:color="auto"/>
        <w:bottom w:val="none" w:sz="0" w:space="0" w:color="auto"/>
        <w:right w:val="none" w:sz="0" w:space="0" w:color="auto"/>
      </w:divBdr>
    </w:div>
    <w:div w:id="164442582">
      <w:bodyDiv w:val="1"/>
      <w:marLeft w:val="0"/>
      <w:marRight w:val="0"/>
      <w:marTop w:val="0"/>
      <w:marBottom w:val="0"/>
      <w:divBdr>
        <w:top w:val="none" w:sz="0" w:space="0" w:color="auto"/>
        <w:left w:val="none" w:sz="0" w:space="0" w:color="auto"/>
        <w:bottom w:val="none" w:sz="0" w:space="0" w:color="auto"/>
        <w:right w:val="none" w:sz="0" w:space="0" w:color="auto"/>
      </w:divBdr>
    </w:div>
    <w:div w:id="172843474">
      <w:bodyDiv w:val="1"/>
      <w:marLeft w:val="0"/>
      <w:marRight w:val="0"/>
      <w:marTop w:val="0"/>
      <w:marBottom w:val="0"/>
      <w:divBdr>
        <w:top w:val="none" w:sz="0" w:space="0" w:color="auto"/>
        <w:left w:val="none" w:sz="0" w:space="0" w:color="auto"/>
        <w:bottom w:val="none" w:sz="0" w:space="0" w:color="auto"/>
        <w:right w:val="none" w:sz="0" w:space="0" w:color="auto"/>
      </w:divBdr>
    </w:div>
    <w:div w:id="173109683">
      <w:bodyDiv w:val="1"/>
      <w:marLeft w:val="0"/>
      <w:marRight w:val="0"/>
      <w:marTop w:val="0"/>
      <w:marBottom w:val="0"/>
      <w:divBdr>
        <w:top w:val="none" w:sz="0" w:space="0" w:color="auto"/>
        <w:left w:val="none" w:sz="0" w:space="0" w:color="auto"/>
        <w:bottom w:val="none" w:sz="0" w:space="0" w:color="auto"/>
        <w:right w:val="none" w:sz="0" w:space="0" w:color="auto"/>
      </w:divBdr>
    </w:div>
    <w:div w:id="181675903">
      <w:bodyDiv w:val="1"/>
      <w:marLeft w:val="0"/>
      <w:marRight w:val="0"/>
      <w:marTop w:val="0"/>
      <w:marBottom w:val="0"/>
      <w:divBdr>
        <w:top w:val="none" w:sz="0" w:space="0" w:color="auto"/>
        <w:left w:val="none" w:sz="0" w:space="0" w:color="auto"/>
        <w:bottom w:val="none" w:sz="0" w:space="0" w:color="auto"/>
        <w:right w:val="none" w:sz="0" w:space="0" w:color="auto"/>
      </w:divBdr>
    </w:div>
    <w:div w:id="188682110">
      <w:bodyDiv w:val="1"/>
      <w:marLeft w:val="0"/>
      <w:marRight w:val="0"/>
      <w:marTop w:val="0"/>
      <w:marBottom w:val="0"/>
      <w:divBdr>
        <w:top w:val="none" w:sz="0" w:space="0" w:color="auto"/>
        <w:left w:val="none" w:sz="0" w:space="0" w:color="auto"/>
        <w:bottom w:val="none" w:sz="0" w:space="0" w:color="auto"/>
        <w:right w:val="none" w:sz="0" w:space="0" w:color="auto"/>
      </w:divBdr>
    </w:div>
    <w:div w:id="188838625">
      <w:bodyDiv w:val="1"/>
      <w:marLeft w:val="0"/>
      <w:marRight w:val="0"/>
      <w:marTop w:val="0"/>
      <w:marBottom w:val="0"/>
      <w:divBdr>
        <w:top w:val="none" w:sz="0" w:space="0" w:color="auto"/>
        <w:left w:val="none" w:sz="0" w:space="0" w:color="auto"/>
        <w:bottom w:val="none" w:sz="0" w:space="0" w:color="auto"/>
        <w:right w:val="none" w:sz="0" w:space="0" w:color="auto"/>
      </w:divBdr>
    </w:div>
    <w:div w:id="189300707">
      <w:bodyDiv w:val="1"/>
      <w:marLeft w:val="0"/>
      <w:marRight w:val="0"/>
      <w:marTop w:val="0"/>
      <w:marBottom w:val="0"/>
      <w:divBdr>
        <w:top w:val="none" w:sz="0" w:space="0" w:color="auto"/>
        <w:left w:val="none" w:sz="0" w:space="0" w:color="auto"/>
        <w:bottom w:val="none" w:sz="0" w:space="0" w:color="auto"/>
        <w:right w:val="none" w:sz="0" w:space="0" w:color="auto"/>
      </w:divBdr>
    </w:div>
    <w:div w:id="204561737">
      <w:bodyDiv w:val="1"/>
      <w:marLeft w:val="0"/>
      <w:marRight w:val="0"/>
      <w:marTop w:val="0"/>
      <w:marBottom w:val="0"/>
      <w:divBdr>
        <w:top w:val="none" w:sz="0" w:space="0" w:color="auto"/>
        <w:left w:val="none" w:sz="0" w:space="0" w:color="auto"/>
        <w:bottom w:val="none" w:sz="0" w:space="0" w:color="auto"/>
        <w:right w:val="none" w:sz="0" w:space="0" w:color="auto"/>
      </w:divBdr>
    </w:div>
    <w:div w:id="205990140">
      <w:bodyDiv w:val="1"/>
      <w:marLeft w:val="0"/>
      <w:marRight w:val="0"/>
      <w:marTop w:val="0"/>
      <w:marBottom w:val="0"/>
      <w:divBdr>
        <w:top w:val="none" w:sz="0" w:space="0" w:color="auto"/>
        <w:left w:val="none" w:sz="0" w:space="0" w:color="auto"/>
        <w:bottom w:val="none" w:sz="0" w:space="0" w:color="auto"/>
        <w:right w:val="none" w:sz="0" w:space="0" w:color="auto"/>
      </w:divBdr>
    </w:div>
    <w:div w:id="207566820">
      <w:bodyDiv w:val="1"/>
      <w:marLeft w:val="0"/>
      <w:marRight w:val="0"/>
      <w:marTop w:val="0"/>
      <w:marBottom w:val="0"/>
      <w:divBdr>
        <w:top w:val="none" w:sz="0" w:space="0" w:color="auto"/>
        <w:left w:val="none" w:sz="0" w:space="0" w:color="auto"/>
        <w:bottom w:val="none" w:sz="0" w:space="0" w:color="auto"/>
        <w:right w:val="none" w:sz="0" w:space="0" w:color="auto"/>
      </w:divBdr>
    </w:div>
    <w:div w:id="219482095">
      <w:bodyDiv w:val="1"/>
      <w:marLeft w:val="0"/>
      <w:marRight w:val="0"/>
      <w:marTop w:val="0"/>
      <w:marBottom w:val="0"/>
      <w:divBdr>
        <w:top w:val="none" w:sz="0" w:space="0" w:color="auto"/>
        <w:left w:val="none" w:sz="0" w:space="0" w:color="auto"/>
        <w:bottom w:val="none" w:sz="0" w:space="0" w:color="auto"/>
        <w:right w:val="none" w:sz="0" w:space="0" w:color="auto"/>
      </w:divBdr>
    </w:div>
    <w:div w:id="220602204">
      <w:bodyDiv w:val="1"/>
      <w:marLeft w:val="0"/>
      <w:marRight w:val="0"/>
      <w:marTop w:val="0"/>
      <w:marBottom w:val="0"/>
      <w:divBdr>
        <w:top w:val="none" w:sz="0" w:space="0" w:color="auto"/>
        <w:left w:val="none" w:sz="0" w:space="0" w:color="auto"/>
        <w:bottom w:val="none" w:sz="0" w:space="0" w:color="auto"/>
        <w:right w:val="none" w:sz="0" w:space="0" w:color="auto"/>
      </w:divBdr>
    </w:div>
    <w:div w:id="229388298">
      <w:bodyDiv w:val="1"/>
      <w:marLeft w:val="0"/>
      <w:marRight w:val="0"/>
      <w:marTop w:val="0"/>
      <w:marBottom w:val="0"/>
      <w:divBdr>
        <w:top w:val="none" w:sz="0" w:space="0" w:color="auto"/>
        <w:left w:val="none" w:sz="0" w:space="0" w:color="auto"/>
        <w:bottom w:val="none" w:sz="0" w:space="0" w:color="auto"/>
        <w:right w:val="none" w:sz="0" w:space="0" w:color="auto"/>
      </w:divBdr>
    </w:div>
    <w:div w:id="257838440">
      <w:bodyDiv w:val="1"/>
      <w:marLeft w:val="0"/>
      <w:marRight w:val="0"/>
      <w:marTop w:val="0"/>
      <w:marBottom w:val="0"/>
      <w:divBdr>
        <w:top w:val="none" w:sz="0" w:space="0" w:color="auto"/>
        <w:left w:val="none" w:sz="0" w:space="0" w:color="auto"/>
        <w:bottom w:val="none" w:sz="0" w:space="0" w:color="auto"/>
        <w:right w:val="none" w:sz="0" w:space="0" w:color="auto"/>
      </w:divBdr>
    </w:div>
    <w:div w:id="258178702">
      <w:bodyDiv w:val="1"/>
      <w:marLeft w:val="0"/>
      <w:marRight w:val="0"/>
      <w:marTop w:val="0"/>
      <w:marBottom w:val="0"/>
      <w:divBdr>
        <w:top w:val="none" w:sz="0" w:space="0" w:color="auto"/>
        <w:left w:val="none" w:sz="0" w:space="0" w:color="auto"/>
        <w:bottom w:val="none" w:sz="0" w:space="0" w:color="auto"/>
        <w:right w:val="none" w:sz="0" w:space="0" w:color="auto"/>
      </w:divBdr>
    </w:div>
    <w:div w:id="259801424">
      <w:bodyDiv w:val="1"/>
      <w:marLeft w:val="0"/>
      <w:marRight w:val="0"/>
      <w:marTop w:val="0"/>
      <w:marBottom w:val="0"/>
      <w:divBdr>
        <w:top w:val="none" w:sz="0" w:space="0" w:color="auto"/>
        <w:left w:val="none" w:sz="0" w:space="0" w:color="auto"/>
        <w:bottom w:val="none" w:sz="0" w:space="0" w:color="auto"/>
        <w:right w:val="none" w:sz="0" w:space="0" w:color="auto"/>
      </w:divBdr>
    </w:div>
    <w:div w:id="267349435">
      <w:bodyDiv w:val="1"/>
      <w:marLeft w:val="0"/>
      <w:marRight w:val="0"/>
      <w:marTop w:val="0"/>
      <w:marBottom w:val="0"/>
      <w:divBdr>
        <w:top w:val="none" w:sz="0" w:space="0" w:color="auto"/>
        <w:left w:val="none" w:sz="0" w:space="0" w:color="auto"/>
        <w:bottom w:val="none" w:sz="0" w:space="0" w:color="auto"/>
        <w:right w:val="none" w:sz="0" w:space="0" w:color="auto"/>
      </w:divBdr>
    </w:div>
    <w:div w:id="275796073">
      <w:bodyDiv w:val="1"/>
      <w:marLeft w:val="0"/>
      <w:marRight w:val="0"/>
      <w:marTop w:val="0"/>
      <w:marBottom w:val="0"/>
      <w:divBdr>
        <w:top w:val="none" w:sz="0" w:space="0" w:color="auto"/>
        <w:left w:val="none" w:sz="0" w:space="0" w:color="auto"/>
        <w:bottom w:val="none" w:sz="0" w:space="0" w:color="auto"/>
        <w:right w:val="none" w:sz="0" w:space="0" w:color="auto"/>
      </w:divBdr>
    </w:div>
    <w:div w:id="277610786">
      <w:bodyDiv w:val="1"/>
      <w:marLeft w:val="0"/>
      <w:marRight w:val="0"/>
      <w:marTop w:val="0"/>
      <w:marBottom w:val="0"/>
      <w:divBdr>
        <w:top w:val="none" w:sz="0" w:space="0" w:color="auto"/>
        <w:left w:val="none" w:sz="0" w:space="0" w:color="auto"/>
        <w:bottom w:val="none" w:sz="0" w:space="0" w:color="auto"/>
        <w:right w:val="none" w:sz="0" w:space="0" w:color="auto"/>
      </w:divBdr>
    </w:div>
    <w:div w:id="288706254">
      <w:bodyDiv w:val="1"/>
      <w:marLeft w:val="0"/>
      <w:marRight w:val="0"/>
      <w:marTop w:val="0"/>
      <w:marBottom w:val="0"/>
      <w:divBdr>
        <w:top w:val="none" w:sz="0" w:space="0" w:color="auto"/>
        <w:left w:val="none" w:sz="0" w:space="0" w:color="auto"/>
        <w:bottom w:val="none" w:sz="0" w:space="0" w:color="auto"/>
        <w:right w:val="none" w:sz="0" w:space="0" w:color="auto"/>
      </w:divBdr>
    </w:div>
    <w:div w:id="296036838">
      <w:bodyDiv w:val="1"/>
      <w:marLeft w:val="0"/>
      <w:marRight w:val="0"/>
      <w:marTop w:val="0"/>
      <w:marBottom w:val="0"/>
      <w:divBdr>
        <w:top w:val="none" w:sz="0" w:space="0" w:color="auto"/>
        <w:left w:val="none" w:sz="0" w:space="0" w:color="auto"/>
        <w:bottom w:val="none" w:sz="0" w:space="0" w:color="auto"/>
        <w:right w:val="none" w:sz="0" w:space="0" w:color="auto"/>
      </w:divBdr>
    </w:div>
    <w:div w:id="297420188">
      <w:bodyDiv w:val="1"/>
      <w:marLeft w:val="0"/>
      <w:marRight w:val="0"/>
      <w:marTop w:val="0"/>
      <w:marBottom w:val="0"/>
      <w:divBdr>
        <w:top w:val="none" w:sz="0" w:space="0" w:color="auto"/>
        <w:left w:val="none" w:sz="0" w:space="0" w:color="auto"/>
        <w:bottom w:val="none" w:sz="0" w:space="0" w:color="auto"/>
        <w:right w:val="none" w:sz="0" w:space="0" w:color="auto"/>
      </w:divBdr>
    </w:div>
    <w:div w:id="304895761">
      <w:bodyDiv w:val="1"/>
      <w:marLeft w:val="0"/>
      <w:marRight w:val="0"/>
      <w:marTop w:val="0"/>
      <w:marBottom w:val="0"/>
      <w:divBdr>
        <w:top w:val="none" w:sz="0" w:space="0" w:color="auto"/>
        <w:left w:val="none" w:sz="0" w:space="0" w:color="auto"/>
        <w:bottom w:val="none" w:sz="0" w:space="0" w:color="auto"/>
        <w:right w:val="none" w:sz="0" w:space="0" w:color="auto"/>
      </w:divBdr>
    </w:div>
    <w:div w:id="308750477">
      <w:bodyDiv w:val="1"/>
      <w:marLeft w:val="0"/>
      <w:marRight w:val="0"/>
      <w:marTop w:val="0"/>
      <w:marBottom w:val="0"/>
      <w:divBdr>
        <w:top w:val="none" w:sz="0" w:space="0" w:color="auto"/>
        <w:left w:val="none" w:sz="0" w:space="0" w:color="auto"/>
        <w:bottom w:val="none" w:sz="0" w:space="0" w:color="auto"/>
        <w:right w:val="none" w:sz="0" w:space="0" w:color="auto"/>
      </w:divBdr>
    </w:div>
    <w:div w:id="322272819">
      <w:bodyDiv w:val="1"/>
      <w:marLeft w:val="0"/>
      <w:marRight w:val="0"/>
      <w:marTop w:val="0"/>
      <w:marBottom w:val="0"/>
      <w:divBdr>
        <w:top w:val="none" w:sz="0" w:space="0" w:color="auto"/>
        <w:left w:val="none" w:sz="0" w:space="0" w:color="auto"/>
        <w:bottom w:val="none" w:sz="0" w:space="0" w:color="auto"/>
        <w:right w:val="none" w:sz="0" w:space="0" w:color="auto"/>
      </w:divBdr>
    </w:div>
    <w:div w:id="324475549">
      <w:bodyDiv w:val="1"/>
      <w:marLeft w:val="0"/>
      <w:marRight w:val="0"/>
      <w:marTop w:val="0"/>
      <w:marBottom w:val="0"/>
      <w:divBdr>
        <w:top w:val="none" w:sz="0" w:space="0" w:color="auto"/>
        <w:left w:val="none" w:sz="0" w:space="0" w:color="auto"/>
        <w:bottom w:val="none" w:sz="0" w:space="0" w:color="auto"/>
        <w:right w:val="none" w:sz="0" w:space="0" w:color="auto"/>
      </w:divBdr>
    </w:div>
    <w:div w:id="326712228">
      <w:bodyDiv w:val="1"/>
      <w:marLeft w:val="0"/>
      <w:marRight w:val="0"/>
      <w:marTop w:val="0"/>
      <w:marBottom w:val="0"/>
      <w:divBdr>
        <w:top w:val="none" w:sz="0" w:space="0" w:color="auto"/>
        <w:left w:val="none" w:sz="0" w:space="0" w:color="auto"/>
        <w:bottom w:val="none" w:sz="0" w:space="0" w:color="auto"/>
        <w:right w:val="none" w:sz="0" w:space="0" w:color="auto"/>
      </w:divBdr>
    </w:div>
    <w:div w:id="333388114">
      <w:bodyDiv w:val="1"/>
      <w:marLeft w:val="0"/>
      <w:marRight w:val="0"/>
      <w:marTop w:val="0"/>
      <w:marBottom w:val="0"/>
      <w:divBdr>
        <w:top w:val="none" w:sz="0" w:space="0" w:color="auto"/>
        <w:left w:val="none" w:sz="0" w:space="0" w:color="auto"/>
        <w:bottom w:val="none" w:sz="0" w:space="0" w:color="auto"/>
        <w:right w:val="none" w:sz="0" w:space="0" w:color="auto"/>
      </w:divBdr>
    </w:div>
    <w:div w:id="334383971">
      <w:bodyDiv w:val="1"/>
      <w:marLeft w:val="0"/>
      <w:marRight w:val="0"/>
      <w:marTop w:val="0"/>
      <w:marBottom w:val="0"/>
      <w:divBdr>
        <w:top w:val="none" w:sz="0" w:space="0" w:color="auto"/>
        <w:left w:val="none" w:sz="0" w:space="0" w:color="auto"/>
        <w:bottom w:val="none" w:sz="0" w:space="0" w:color="auto"/>
        <w:right w:val="none" w:sz="0" w:space="0" w:color="auto"/>
      </w:divBdr>
    </w:div>
    <w:div w:id="339897262">
      <w:bodyDiv w:val="1"/>
      <w:marLeft w:val="0"/>
      <w:marRight w:val="0"/>
      <w:marTop w:val="0"/>
      <w:marBottom w:val="0"/>
      <w:divBdr>
        <w:top w:val="none" w:sz="0" w:space="0" w:color="auto"/>
        <w:left w:val="none" w:sz="0" w:space="0" w:color="auto"/>
        <w:bottom w:val="none" w:sz="0" w:space="0" w:color="auto"/>
        <w:right w:val="none" w:sz="0" w:space="0" w:color="auto"/>
      </w:divBdr>
    </w:div>
    <w:div w:id="356085280">
      <w:bodyDiv w:val="1"/>
      <w:marLeft w:val="0"/>
      <w:marRight w:val="0"/>
      <w:marTop w:val="0"/>
      <w:marBottom w:val="0"/>
      <w:divBdr>
        <w:top w:val="none" w:sz="0" w:space="0" w:color="auto"/>
        <w:left w:val="none" w:sz="0" w:space="0" w:color="auto"/>
        <w:bottom w:val="none" w:sz="0" w:space="0" w:color="auto"/>
        <w:right w:val="none" w:sz="0" w:space="0" w:color="auto"/>
      </w:divBdr>
    </w:div>
    <w:div w:id="362171531">
      <w:bodyDiv w:val="1"/>
      <w:marLeft w:val="0"/>
      <w:marRight w:val="0"/>
      <w:marTop w:val="0"/>
      <w:marBottom w:val="0"/>
      <w:divBdr>
        <w:top w:val="none" w:sz="0" w:space="0" w:color="auto"/>
        <w:left w:val="none" w:sz="0" w:space="0" w:color="auto"/>
        <w:bottom w:val="none" w:sz="0" w:space="0" w:color="auto"/>
        <w:right w:val="none" w:sz="0" w:space="0" w:color="auto"/>
      </w:divBdr>
    </w:div>
    <w:div w:id="382631653">
      <w:bodyDiv w:val="1"/>
      <w:marLeft w:val="0"/>
      <w:marRight w:val="0"/>
      <w:marTop w:val="0"/>
      <w:marBottom w:val="0"/>
      <w:divBdr>
        <w:top w:val="none" w:sz="0" w:space="0" w:color="auto"/>
        <w:left w:val="none" w:sz="0" w:space="0" w:color="auto"/>
        <w:bottom w:val="none" w:sz="0" w:space="0" w:color="auto"/>
        <w:right w:val="none" w:sz="0" w:space="0" w:color="auto"/>
      </w:divBdr>
    </w:div>
    <w:div w:id="389039285">
      <w:bodyDiv w:val="1"/>
      <w:marLeft w:val="0"/>
      <w:marRight w:val="0"/>
      <w:marTop w:val="0"/>
      <w:marBottom w:val="0"/>
      <w:divBdr>
        <w:top w:val="none" w:sz="0" w:space="0" w:color="auto"/>
        <w:left w:val="none" w:sz="0" w:space="0" w:color="auto"/>
        <w:bottom w:val="none" w:sz="0" w:space="0" w:color="auto"/>
        <w:right w:val="none" w:sz="0" w:space="0" w:color="auto"/>
      </w:divBdr>
    </w:div>
    <w:div w:id="391077714">
      <w:bodyDiv w:val="1"/>
      <w:marLeft w:val="0"/>
      <w:marRight w:val="0"/>
      <w:marTop w:val="0"/>
      <w:marBottom w:val="0"/>
      <w:divBdr>
        <w:top w:val="none" w:sz="0" w:space="0" w:color="auto"/>
        <w:left w:val="none" w:sz="0" w:space="0" w:color="auto"/>
        <w:bottom w:val="none" w:sz="0" w:space="0" w:color="auto"/>
        <w:right w:val="none" w:sz="0" w:space="0" w:color="auto"/>
      </w:divBdr>
    </w:div>
    <w:div w:id="393898101">
      <w:bodyDiv w:val="1"/>
      <w:marLeft w:val="0"/>
      <w:marRight w:val="0"/>
      <w:marTop w:val="0"/>
      <w:marBottom w:val="0"/>
      <w:divBdr>
        <w:top w:val="none" w:sz="0" w:space="0" w:color="auto"/>
        <w:left w:val="none" w:sz="0" w:space="0" w:color="auto"/>
        <w:bottom w:val="none" w:sz="0" w:space="0" w:color="auto"/>
        <w:right w:val="none" w:sz="0" w:space="0" w:color="auto"/>
      </w:divBdr>
    </w:div>
    <w:div w:id="394402238">
      <w:bodyDiv w:val="1"/>
      <w:marLeft w:val="0"/>
      <w:marRight w:val="0"/>
      <w:marTop w:val="0"/>
      <w:marBottom w:val="0"/>
      <w:divBdr>
        <w:top w:val="none" w:sz="0" w:space="0" w:color="auto"/>
        <w:left w:val="none" w:sz="0" w:space="0" w:color="auto"/>
        <w:bottom w:val="none" w:sz="0" w:space="0" w:color="auto"/>
        <w:right w:val="none" w:sz="0" w:space="0" w:color="auto"/>
      </w:divBdr>
    </w:div>
    <w:div w:id="394478311">
      <w:bodyDiv w:val="1"/>
      <w:marLeft w:val="0"/>
      <w:marRight w:val="0"/>
      <w:marTop w:val="0"/>
      <w:marBottom w:val="0"/>
      <w:divBdr>
        <w:top w:val="none" w:sz="0" w:space="0" w:color="auto"/>
        <w:left w:val="none" w:sz="0" w:space="0" w:color="auto"/>
        <w:bottom w:val="none" w:sz="0" w:space="0" w:color="auto"/>
        <w:right w:val="none" w:sz="0" w:space="0" w:color="auto"/>
      </w:divBdr>
    </w:div>
    <w:div w:id="401565056">
      <w:bodyDiv w:val="1"/>
      <w:marLeft w:val="0"/>
      <w:marRight w:val="0"/>
      <w:marTop w:val="0"/>
      <w:marBottom w:val="0"/>
      <w:divBdr>
        <w:top w:val="none" w:sz="0" w:space="0" w:color="auto"/>
        <w:left w:val="none" w:sz="0" w:space="0" w:color="auto"/>
        <w:bottom w:val="none" w:sz="0" w:space="0" w:color="auto"/>
        <w:right w:val="none" w:sz="0" w:space="0" w:color="auto"/>
      </w:divBdr>
    </w:div>
    <w:div w:id="410389522">
      <w:bodyDiv w:val="1"/>
      <w:marLeft w:val="0"/>
      <w:marRight w:val="0"/>
      <w:marTop w:val="0"/>
      <w:marBottom w:val="0"/>
      <w:divBdr>
        <w:top w:val="none" w:sz="0" w:space="0" w:color="auto"/>
        <w:left w:val="none" w:sz="0" w:space="0" w:color="auto"/>
        <w:bottom w:val="none" w:sz="0" w:space="0" w:color="auto"/>
        <w:right w:val="none" w:sz="0" w:space="0" w:color="auto"/>
      </w:divBdr>
    </w:div>
    <w:div w:id="426343199">
      <w:bodyDiv w:val="1"/>
      <w:marLeft w:val="0"/>
      <w:marRight w:val="0"/>
      <w:marTop w:val="0"/>
      <w:marBottom w:val="0"/>
      <w:divBdr>
        <w:top w:val="none" w:sz="0" w:space="0" w:color="auto"/>
        <w:left w:val="none" w:sz="0" w:space="0" w:color="auto"/>
        <w:bottom w:val="none" w:sz="0" w:space="0" w:color="auto"/>
        <w:right w:val="none" w:sz="0" w:space="0" w:color="auto"/>
      </w:divBdr>
    </w:div>
    <w:div w:id="460880756">
      <w:bodyDiv w:val="1"/>
      <w:marLeft w:val="0"/>
      <w:marRight w:val="0"/>
      <w:marTop w:val="0"/>
      <w:marBottom w:val="0"/>
      <w:divBdr>
        <w:top w:val="none" w:sz="0" w:space="0" w:color="auto"/>
        <w:left w:val="none" w:sz="0" w:space="0" w:color="auto"/>
        <w:bottom w:val="none" w:sz="0" w:space="0" w:color="auto"/>
        <w:right w:val="none" w:sz="0" w:space="0" w:color="auto"/>
      </w:divBdr>
    </w:div>
    <w:div w:id="462237335">
      <w:bodyDiv w:val="1"/>
      <w:marLeft w:val="0"/>
      <w:marRight w:val="0"/>
      <w:marTop w:val="0"/>
      <w:marBottom w:val="0"/>
      <w:divBdr>
        <w:top w:val="none" w:sz="0" w:space="0" w:color="auto"/>
        <w:left w:val="none" w:sz="0" w:space="0" w:color="auto"/>
        <w:bottom w:val="none" w:sz="0" w:space="0" w:color="auto"/>
        <w:right w:val="none" w:sz="0" w:space="0" w:color="auto"/>
      </w:divBdr>
    </w:div>
    <w:div w:id="472215516">
      <w:bodyDiv w:val="1"/>
      <w:marLeft w:val="0"/>
      <w:marRight w:val="0"/>
      <w:marTop w:val="0"/>
      <w:marBottom w:val="0"/>
      <w:divBdr>
        <w:top w:val="none" w:sz="0" w:space="0" w:color="auto"/>
        <w:left w:val="none" w:sz="0" w:space="0" w:color="auto"/>
        <w:bottom w:val="none" w:sz="0" w:space="0" w:color="auto"/>
        <w:right w:val="none" w:sz="0" w:space="0" w:color="auto"/>
      </w:divBdr>
    </w:div>
    <w:div w:id="472260663">
      <w:bodyDiv w:val="1"/>
      <w:marLeft w:val="0"/>
      <w:marRight w:val="0"/>
      <w:marTop w:val="0"/>
      <w:marBottom w:val="0"/>
      <w:divBdr>
        <w:top w:val="none" w:sz="0" w:space="0" w:color="auto"/>
        <w:left w:val="none" w:sz="0" w:space="0" w:color="auto"/>
        <w:bottom w:val="none" w:sz="0" w:space="0" w:color="auto"/>
        <w:right w:val="none" w:sz="0" w:space="0" w:color="auto"/>
      </w:divBdr>
    </w:div>
    <w:div w:id="477769560">
      <w:bodyDiv w:val="1"/>
      <w:marLeft w:val="0"/>
      <w:marRight w:val="0"/>
      <w:marTop w:val="0"/>
      <w:marBottom w:val="0"/>
      <w:divBdr>
        <w:top w:val="none" w:sz="0" w:space="0" w:color="auto"/>
        <w:left w:val="none" w:sz="0" w:space="0" w:color="auto"/>
        <w:bottom w:val="none" w:sz="0" w:space="0" w:color="auto"/>
        <w:right w:val="none" w:sz="0" w:space="0" w:color="auto"/>
      </w:divBdr>
    </w:div>
    <w:div w:id="479347361">
      <w:bodyDiv w:val="1"/>
      <w:marLeft w:val="0"/>
      <w:marRight w:val="0"/>
      <w:marTop w:val="0"/>
      <w:marBottom w:val="0"/>
      <w:divBdr>
        <w:top w:val="none" w:sz="0" w:space="0" w:color="auto"/>
        <w:left w:val="none" w:sz="0" w:space="0" w:color="auto"/>
        <w:bottom w:val="none" w:sz="0" w:space="0" w:color="auto"/>
        <w:right w:val="none" w:sz="0" w:space="0" w:color="auto"/>
      </w:divBdr>
    </w:div>
    <w:div w:id="480390372">
      <w:bodyDiv w:val="1"/>
      <w:marLeft w:val="0"/>
      <w:marRight w:val="0"/>
      <w:marTop w:val="0"/>
      <w:marBottom w:val="0"/>
      <w:divBdr>
        <w:top w:val="none" w:sz="0" w:space="0" w:color="auto"/>
        <w:left w:val="none" w:sz="0" w:space="0" w:color="auto"/>
        <w:bottom w:val="none" w:sz="0" w:space="0" w:color="auto"/>
        <w:right w:val="none" w:sz="0" w:space="0" w:color="auto"/>
      </w:divBdr>
    </w:div>
    <w:div w:id="489686021">
      <w:bodyDiv w:val="1"/>
      <w:marLeft w:val="0"/>
      <w:marRight w:val="0"/>
      <w:marTop w:val="0"/>
      <w:marBottom w:val="0"/>
      <w:divBdr>
        <w:top w:val="none" w:sz="0" w:space="0" w:color="auto"/>
        <w:left w:val="none" w:sz="0" w:space="0" w:color="auto"/>
        <w:bottom w:val="none" w:sz="0" w:space="0" w:color="auto"/>
        <w:right w:val="none" w:sz="0" w:space="0" w:color="auto"/>
      </w:divBdr>
    </w:div>
    <w:div w:id="496652212">
      <w:bodyDiv w:val="1"/>
      <w:marLeft w:val="0"/>
      <w:marRight w:val="0"/>
      <w:marTop w:val="0"/>
      <w:marBottom w:val="0"/>
      <w:divBdr>
        <w:top w:val="none" w:sz="0" w:space="0" w:color="auto"/>
        <w:left w:val="none" w:sz="0" w:space="0" w:color="auto"/>
        <w:bottom w:val="none" w:sz="0" w:space="0" w:color="auto"/>
        <w:right w:val="none" w:sz="0" w:space="0" w:color="auto"/>
      </w:divBdr>
    </w:div>
    <w:div w:id="497888235">
      <w:bodyDiv w:val="1"/>
      <w:marLeft w:val="0"/>
      <w:marRight w:val="0"/>
      <w:marTop w:val="0"/>
      <w:marBottom w:val="0"/>
      <w:divBdr>
        <w:top w:val="none" w:sz="0" w:space="0" w:color="auto"/>
        <w:left w:val="none" w:sz="0" w:space="0" w:color="auto"/>
        <w:bottom w:val="none" w:sz="0" w:space="0" w:color="auto"/>
        <w:right w:val="none" w:sz="0" w:space="0" w:color="auto"/>
      </w:divBdr>
    </w:div>
    <w:div w:id="499389587">
      <w:bodyDiv w:val="1"/>
      <w:marLeft w:val="0"/>
      <w:marRight w:val="0"/>
      <w:marTop w:val="0"/>
      <w:marBottom w:val="0"/>
      <w:divBdr>
        <w:top w:val="none" w:sz="0" w:space="0" w:color="auto"/>
        <w:left w:val="none" w:sz="0" w:space="0" w:color="auto"/>
        <w:bottom w:val="none" w:sz="0" w:space="0" w:color="auto"/>
        <w:right w:val="none" w:sz="0" w:space="0" w:color="auto"/>
      </w:divBdr>
    </w:div>
    <w:div w:id="510025956">
      <w:bodyDiv w:val="1"/>
      <w:marLeft w:val="0"/>
      <w:marRight w:val="0"/>
      <w:marTop w:val="0"/>
      <w:marBottom w:val="0"/>
      <w:divBdr>
        <w:top w:val="none" w:sz="0" w:space="0" w:color="auto"/>
        <w:left w:val="none" w:sz="0" w:space="0" w:color="auto"/>
        <w:bottom w:val="none" w:sz="0" w:space="0" w:color="auto"/>
        <w:right w:val="none" w:sz="0" w:space="0" w:color="auto"/>
      </w:divBdr>
    </w:div>
    <w:div w:id="519320029">
      <w:bodyDiv w:val="1"/>
      <w:marLeft w:val="0"/>
      <w:marRight w:val="0"/>
      <w:marTop w:val="0"/>
      <w:marBottom w:val="0"/>
      <w:divBdr>
        <w:top w:val="none" w:sz="0" w:space="0" w:color="auto"/>
        <w:left w:val="none" w:sz="0" w:space="0" w:color="auto"/>
        <w:bottom w:val="none" w:sz="0" w:space="0" w:color="auto"/>
        <w:right w:val="none" w:sz="0" w:space="0" w:color="auto"/>
      </w:divBdr>
    </w:div>
    <w:div w:id="540018584">
      <w:bodyDiv w:val="1"/>
      <w:marLeft w:val="0"/>
      <w:marRight w:val="0"/>
      <w:marTop w:val="0"/>
      <w:marBottom w:val="0"/>
      <w:divBdr>
        <w:top w:val="none" w:sz="0" w:space="0" w:color="auto"/>
        <w:left w:val="none" w:sz="0" w:space="0" w:color="auto"/>
        <w:bottom w:val="none" w:sz="0" w:space="0" w:color="auto"/>
        <w:right w:val="none" w:sz="0" w:space="0" w:color="auto"/>
      </w:divBdr>
    </w:div>
    <w:div w:id="541334047">
      <w:bodyDiv w:val="1"/>
      <w:marLeft w:val="0"/>
      <w:marRight w:val="0"/>
      <w:marTop w:val="0"/>
      <w:marBottom w:val="0"/>
      <w:divBdr>
        <w:top w:val="none" w:sz="0" w:space="0" w:color="auto"/>
        <w:left w:val="none" w:sz="0" w:space="0" w:color="auto"/>
        <w:bottom w:val="none" w:sz="0" w:space="0" w:color="auto"/>
        <w:right w:val="none" w:sz="0" w:space="0" w:color="auto"/>
      </w:divBdr>
    </w:div>
    <w:div w:id="551230505">
      <w:bodyDiv w:val="1"/>
      <w:marLeft w:val="0"/>
      <w:marRight w:val="0"/>
      <w:marTop w:val="0"/>
      <w:marBottom w:val="0"/>
      <w:divBdr>
        <w:top w:val="none" w:sz="0" w:space="0" w:color="auto"/>
        <w:left w:val="none" w:sz="0" w:space="0" w:color="auto"/>
        <w:bottom w:val="none" w:sz="0" w:space="0" w:color="auto"/>
        <w:right w:val="none" w:sz="0" w:space="0" w:color="auto"/>
      </w:divBdr>
    </w:div>
    <w:div w:id="562254493">
      <w:bodyDiv w:val="1"/>
      <w:marLeft w:val="0"/>
      <w:marRight w:val="0"/>
      <w:marTop w:val="0"/>
      <w:marBottom w:val="0"/>
      <w:divBdr>
        <w:top w:val="none" w:sz="0" w:space="0" w:color="auto"/>
        <w:left w:val="none" w:sz="0" w:space="0" w:color="auto"/>
        <w:bottom w:val="none" w:sz="0" w:space="0" w:color="auto"/>
        <w:right w:val="none" w:sz="0" w:space="0" w:color="auto"/>
      </w:divBdr>
    </w:div>
    <w:div w:id="571432950">
      <w:bodyDiv w:val="1"/>
      <w:marLeft w:val="0"/>
      <w:marRight w:val="0"/>
      <w:marTop w:val="0"/>
      <w:marBottom w:val="0"/>
      <w:divBdr>
        <w:top w:val="none" w:sz="0" w:space="0" w:color="auto"/>
        <w:left w:val="none" w:sz="0" w:space="0" w:color="auto"/>
        <w:bottom w:val="none" w:sz="0" w:space="0" w:color="auto"/>
        <w:right w:val="none" w:sz="0" w:space="0" w:color="auto"/>
      </w:divBdr>
    </w:div>
    <w:div w:id="591940432">
      <w:bodyDiv w:val="1"/>
      <w:marLeft w:val="0"/>
      <w:marRight w:val="0"/>
      <w:marTop w:val="0"/>
      <w:marBottom w:val="0"/>
      <w:divBdr>
        <w:top w:val="none" w:sz="0" w:space="0" w:color="auto"/>
        <w:left w:val="none" w:sz="0" w:space="0" w:color="auto"/>
        <w:bottom w:val="none" w:sz="0" w:space="0" w:color="auto"/>
        <w:right w:val="none" w:sz="0" w:space="0" w:color="auto"/>
      </w:divBdr>
    </w:div>
    <w:div w:id="592785846">
      <w:bodyDiv w:val="1"/>
      <w:marLeft w:val="0"/>
      <w:marRight w:val="0"/>
      <w:marTop w:val="0"/>
      <w:marBottom w:val="0"/>
      <w:divBdr>
        <w:top w:val="none" w:sz="0" w:space="0" w:color="auto"/>
        <w:left w:val="none" w:sz="0" w:space="0" w:color="auto"/>
        <w:bottom w:val="none" w:sz="0" w:space="0" w:color="auto"/>
        <w:right w:val="none" w:sz="0" w:space="0" w:color="auto"/>
      </w:divBdr>
    </w:div>
    <w:div w:id="604775915">
      <w:bodyDiv w:val="1"/>
      <w:marLeft w:val="0"/>
      <w:marRight w:val="0"/>
      <w:marTop w:val="0"/>
      <w:marBottom w:val="0"/>
      <w:divBdr>
        <w:top w:val="none" w:sz="0" w:space="0" w:color="auto"/>
        <w:left w:val="none" w:sz="0" w:space="0" w:color="auto"/>
        <w:bottom w:val="none" w:sz="0" w:space="0" w:color="auto"/>
        <w:right w:val="none" w:sz="0" w:space="0" w:color="auto"/>
      </w:divBdr>
    </w:div>
    <w:div w:id="619536976">
      <w:bodyDiv w:val="1"/>
      <w:marLeft w:val="0"/>
      <w:marRight w:val="0"/>
      <w:marTop w:val="0"/>
      <w:marBottom w:val="0"/>
      <w:divBdr>
        <w:top w:val="none" w:sz="0" w:space="0" w:color="auto"/>
        <w:left w:val="none" w:sz="0" w:space="0" w:color="auto"/>
        <w:bottom w:val="none" w:sz="0" w:space="0" w:color="auto"/>
        <w:right w:val="none" w:sz="0" w:space="0" w:color="auto"/>
      </w:divBdr>
    </w:div>
    <w:div w:id="627393672">
      <w:bodyDiv w:val="1"/>
      <w:marLeft w:val="0"/>
      <w:marRight w:val="0"/>
      <w:marTop w:val="0"/>
      <w:marBottom w:val="0"/>
      <w:divBdr>
        <w:top w:val="none" w:sz="0" w:space="0" w:color="auto"/>
        <w:left w:val="none" w:sz="0" w:space="0" w:color="auto"/>
        <w:bottom w:val="none" w:sz="0" w:space="0" w:color="auto"/>
        <w:right w:val="none" w:sz="0" w:space="0" w:color="auto"/>
      </w:divBdr>
    </w:div>
    <w:div w:id="636764158">
      <w:bodyDiv w:val="1"/>
      <w:marLeft w:val="0"/>
      <w:marRight w:val="0"/>
      <w:marTop w:val="0"/>
      <w:marBottom w:val="0"/>
      <w:divBdr>
        <w:top w:val="none" w:sz="0" w:space="0" w:color="auto"/>
        <w:left w:val="none" w:sz="0" w:space="0" w:color="auto"/>
        <w:bottom w:val="none" w:sz="0" w:space="0" w:color="auto"/>
        <w:right w:val="none" w:sz="0" w:space="0" w:color="auto"/>
      </w:divBdr>
    </w:div>
    <w:div w:id="645088359">
      <w:bodyDiv w:val="1"/>
      <w:marLeft w:val="0"/>
      <w:marRight w:val="0"/>
      <w:marTop w:val="0"/>
      <w:marBottom w:val="0"/>
      <w:divBdr>
        <w:top w:val="none" w:sz="0" w:space="0" w:color="auto"/>
        <w:left w:val="none" w:sz="0" w:space="0" w:color="auto"/>
        <w:bottom w:val="none" w:sz="0" w:space="0" w:color="auto"/>
        <w:right w:val="none" w:sz="0" w:space="0" w:color="auto"/>
      </w:divBdr>
    </w:div>
    <w:div w:id="646395062">
      <w:bodyDiv w:val="1"/>
      <w:marLeft w:val="0"/>
      <w:marRight w:val="0"/>
      <w:marTop w:val="0"/>
      <w:marBottom w:val="0"/>
      <w:divBdr>
        <w:top w:val="none" w:sz="0" w:space="0" w:color="auto"/>
        <w:left w:val="none" w:sz="0" w:space="0" w:color="auto"/>
        <w:bottom w:val="none" w:sz="0" w:space="0" w:color="auto"/>
        <w:right w:val="none" w:sz="0" w:space="0" w:color="auto"/>
      </w:divBdr>
    </w:div>
    <w:div w:id="647369180">
      <w:bodyDiv w:val="1"/>
      <w:marLeft w:val="0"/>
      <w:marRight w:val="0"/>
      <w:marTop w:val="0"/>
      <w:marBottom w:val="0"/>
      <w:divBdr>
        <w:top w:val="none" w:sz="0" w:space="0" w:color="auto"/>
        <w:left w:val="none" w:sz="0" w:space="0" w:color="auto"/>
        <w:bottom w:val="none" w:sz="0" w:space="0" w:color="auto"/>
        <w:right w:val="none" w:sz="0" w:space="0" w:color="auto"/>
      </w:divBdr>
    </w:div>
    <w:div w:id="648558476">
      <w:bodyDiv w:val="1"/>
      <w:marLeft w:val="0"/>
      <w:marRight w:val="0"/>
      <w:marTop w:val="0"/>
      <w:marBottom w:val="0"/>
      <w:divBdr>
        <w:top w:val="none" w:sz="0" w:space="0" w:color="auto"/>
        <w:left w:val="none" w:sz="0" w:space="0" w:color="auto"/>
        <w:bottom w:val="none" w:sz="0" w:space="0" w:color="auto"/>
        <w:right w:val="none" w:sz="0" w:space="0" w:color="auto"/>
      </w:divBdr>
    </w:div>
    <w:div w:id="652875640">
      <w:bodyDiv w:val="1"/>
      <w:marLeft w:val="0"/>
      <w:marRight w:val="0"/>
      <w:marTop w:val="0"/>
      <w:marBottom w:val="0"/>
      <w:divBdr>
        <w:top w:val="none" w:sz="0" w:space="0" w:color="auto"/>
        <w:left w:val="none" w:sz="0" w:space="0" w:color="auto"/>
        <w:bottom w:val="none" w:sz="0" w:space="0" w:color="auto"/>
        <w:right w:val="none" w:sz="0" w:space="0" w:color="auto"/>
      </w:divBdr>
    </w:div>
    <w:div w:id="663628926">
      <w:bodyDiv w:val="1"/>
      <w:marLeft w:val="0"/>
      <w:marRight w:val="0"/>
      <w:marTop w:val="0"/>
      <w:marBottom w:val="0"/>
      <w:divBdr>
        <w:top w:val="none" w:sz="0" w:space="0" w:color="auto"/>
        <w:left w:val="none" w:sz="0" w:space="0" w:color="auto"/>
        <w:bottom w:val="none" w:sz="0" w:space="0" w:color="auto"/>
        <w:right w:val="none" w:sz="0" w:space="0" w:color="auto"/>
      </w:divBdr>
    </w:div>
    <w:div w:id="664866167">
      <w:bodyDiv w:val="1"/>
      <w:marLeft w:val="0"/>
      <w:marRight w:val="0"/>
      <w:marTop w:val="0"/>
      <w:marBottom w:val="0"/>
      <w:divBdr>
        <w:top w:val="none" w:sz="0" w:space="0" w:color="auto"/>
        <w:left w:val="none" w:sz="0" w:space="0" w:color="auto"/>
        <w:bottom w:val="none" w:sz="0" w:space="0" w:color="auto"/>
        <w:right w:val="none" w:sz="0" w:space="0" w:color="auto"/>
      </w:divBdr>
    </w:div>
    <w:div w:id="683434816">
      <w:bodyDiv w:val="1"/>
      <w:marLeft w:val="0"/>
      <w:marRight w:val="0"/>
      <w:marTop w:val="0"/>
      <w:marBottom w:val="0"/>
      <w:divBdr>
        <w:top w:val="none" w:sz="0" w:space="0" w:color="auto"/>
        <w:left w:val="none" w:sz="0" w:space="0" w:color="auto"/>
        <w:bottom w:val="none" w:sz="0" w:space="0" w:color="auto"/>
        <w:right w:val="none" w:sz="0" w:space="0" w:color="auto"/>
      </w:divBdr>
    </w:div>
    <w:div w:id="685401551">
      <w:bodyDiv w:val="1"/>
      <w:marLeft w:val="0"/>
      <w:marRight w:val="0"/>
      <w:marTop w:val="0"/>
      <w:marBottom w:val="0"/>
      <w:divBdr>
        <w:top w:val="none" w:sz="0" w:space="0" w:color="auto"/>
        <w:left w:val="none" w:sz="0" w:space="0" w:color="auto"/>
        <w:bottom w:val="none" w:sz="0" w:space="0" w:color="auto"/>
        <w:right w:val="none" w:sz="0" w:space="0" w:color="auto"/>
      </w:divBdr>
    </w:div>
    <w:div w:id="687414490">
      <w:bodyDiv w:val="1"/>
      <w:marLeft w:val="0"/>
      <w:marRight w:val="0"/>
      <w:marTop w:val="0"/>
      <w:marBottom w:val="0"/>
      <w:divBdr>
        <w:top w:val="none" w:sz="0" w:space="0" w:color="auto"/>
        <w:left w:val="none" w:sz="0" w:space="0" w:color="auto"/>
        <w:bottom w:val="none" w:sz="0" w:space="0" w:color="auto"/>
        <w:right w:val="none" w:sz="0" w:space="0" w:color="auto"/>
      </w:divBdr>
    </w:div>
    <w:div w:id="688063490">
      <w:bodyDiv w:val="1"/>
      <w:marLeft w:val="0"/>
      <w:marRight w:val="0"/>
      <w:marTop w:val="0"/>
      <w:marBottom w:val="0"/>
      <w:divBdr>
        <w:top w:val="none" w:sz="0" w:space="0" w:color="auto"/>
        <w:left w:val="none" w:sz="0" w:space="0" w:color="auto"/>
        <w:bottom w:val="none" w:sz="0" w:space="0" w:color="auto"/>
        <w:right w:val="none" w:sz="0" w:space="0" w:color="auto"/>
      </w:divBdr>
    </w:div>
    <w:div w:id="690881230">
      <w:bodyDiv w:val="1"/>
      <w:marLeft w:val="0"/>
      <w:marRight w:val="0"/>
      <w:marTop w:val="0"/>
      <w:marBottom w:val="0"/>
      <w:divBdr>
        <w:top w:val="none" w:sz="0" w:space="0" w:color="auto"/>
        <w:left w:val="none" w:sz="0" w:space="0" w:color="auto"/>
        <w:bottom w:val="none" w:sz="0" w:space="0" w:color="auto"/>
        <w:right w:val="none" w:sz="0" w:space="0" w:color="auto"/>
      </w:divBdr>
    </w:div>
    <w:div w:id="691343440">
      <w:bodyDiv w:val="1"/>
      <w:marLeft w:val="0"/>
      <w:marRight w:val="0"/>
      <w:marTop w:val="0"/>
      <w:marBottom w:val="0"/>
      <w:divBdr>
        <w:top w:val="none" w:sz="0" w:space="0" w:color="auto"/>
        <w:left w:val="none" w:sz="0" w:space="0" w:color="auto"/>
        <w:bottom w:val="none" w:sz="0" w:space="0" w:color="auto"/>
        <w:right w:val="none" w:sz="0" w:space="0" w:color="auto"/>
      </w:divBdr>
    </w:div>
    <w:div w:id="692727454">
      <w:bodyDiv w:val="1"/>
      <w:marLeft w:val="0"/>
      <w:marRight w:val="0"/>
      <w:marTop w:val="0"/>
      <w:marBottom w:val="0"/>
      <w:divBdr>
        <w:top w:val="none" w:sz="0" w:space="0" w:color="auto"/>
        <w:left w:val="none" w:sz="0" w:space="0" w:color="auto"/>
        <w:bottom w:val="none" w:sz="0" w:space="0" w:color="auto"/>
        <w:right w:val="none" w:sz="0" w:space="0" w:color="auto"/>
      </w:divBdr>
    </w:div>
    <w:div w:id="696001509">
      <w:bodyDiv w:val="1"/>
      <w:marLeft w:val="0"/>
      <w:marRight w:val="0"/>
      <w:marTop w:val="0"/>
      <w:marBottom w:val="0"/>
      <w:divBdr>
        <w:top w:val="none" w:sz="0" w:space="0" w:color="auto"/>
        <w:left w:val="none" w:sz="0" w:space="0" w:color="auto"/>
        <w:bottom w:val="none" w:sz="0" w:space="0" w:color="auto"/>
        <w:right w:val="none" w:sz="0" w:space="0" w:color="auto"/>
      </w:divBdr>
    </w:div>
    <w:div w:id="703019288">
      <w:bodyDiv w:val="1"/>
      <w:marLeft w:val="0"/>
      <w:marRight w:val="0"/>
      <w:marTop w:val="0"/>
      <w:marBottom w:val="0"/>
      <w:divBdr>
        <w:top w:val="none" w:sz="0" w:space="0" w:color="auto"/>
        <w:left w:val="none" w:sz="0" w:space="0" w:color="auto"/>
        <w:bottom w:val="none" w:sz="0" w:space="0" w:color="auto"/>
        <w:right w:val="none" w:sz="0" w:space="0" w:color="auto"/>
      </w:divBdr>
    </w:div>
    <w:div w:id="704058152">
      <w:bodyDiv w:val="1"/>
      <w:marLeft w:val="0"/>
      <w:marRight w:val="0"/>
      <w:marTop w:val="0"/>
      <w:marBottom w:val="0"/>
      <w:divBdr>
        <w:top w:val="none" w:sz="0" w:space="0" w:color="auto"/>
        <w:left w:val="none" w:sz="0" w:space="0" w:color="auto"/>
        <w:bottom w:val="none" w:sz="0" w:space="0" w:color="auto"/>
        <w:right w:val="none" w:sz="0" w:space="0" w:color="auto"/>
      </w:divBdr>
    </w:div>
    <w:div w:id="706486748">
      <w:bodyDiv w:val="1"/>
      <w:marLeft w:val="0"/>
      <w:marRight w:val="0"/>
      <w:marTop w:val="0"/>
      <w:marBottom w:val="0"/>
      <w:divBdr>
        <w:top w:val="none" w:sz="0" w:space="0" w:color="auto"/>
        <w:left w:val="none" w:sz="0" w:space="0" w:color="auto"/>
        <w:bottom w:val="none" w:sz="0" w:space="0" w:color="auto"/>
        <w:right w:val="none" w:sz="0" w:space="0" w:color="auto"/>
      </w:divBdr>
    </w:div>
    <w:div w:id="711270503">
      <w:bodyDiv w:val="1"/>
      <w:marLeft w:val="0"/>
      <w:marRight w:val="0"/>
      <w:marTop w:val="0"/>
      <w:marBottom w:val="0"/>
      <w:divBdr>
        <w:top w:val="none" w:sz="0" w:space="0" w:color="auto"/>
        <w:left w:val="none" w:sz="0" w:space="0" w:color="auto"/>
        <w:bottom w:val="none" w:sz="0" w:space="0" w:color="auto"/>
        <w:right w:val="none" w:sz="0" w:space="0" w:color="auto"/>
      </w:divBdr>
    </w:div>
    <w:div w:id="712391180">
      <w:bodyDiv w:val="1"/>
      <w:marLeft w:val="0"/>
      <w:marRight w:val="0"/>
      <w:marTop w:val="0"/>
      <w:marBottom w:val="0"/>
      <w:divBdr>
        <w:top w:val="none" w:sz="0" w:space="0" w:color="auto"/>
        <w:left w:val="none" w:sz="0" w:space="0" w:color="auto"/>
        <w:bottom w:val="none" w:sz="0" w:space="0" w:color="auto"/>
        <w:right w:val="none" w:sz="0" w:space="0" w:color="auto"/>
      </w:divBdr>
    </w:div>
    <w:div w:id="717779905">
      <w:bodyDiv w:val="1"/>
      <w:marLeft w:val="0"/>
      <w:marRight w:val="0"/>
      <w:marTop w:val="0"/>
      <w:marBottom w:val="0"/>
      <w:divBdr>
        <w:top w:val="none" w:sz="0" w:space="0" w:color="auto"/>
        <w:left w:val="none" w:sz="0" w:space="0" w:color="auto"/>
        <w:bottom w:val="none" w:sz="0" w:space="0" w:color="auto"/>
        <w:right w:val="none" w:sz="0" w:space="0" w:color="auto"/>
      </w:divBdr>
    </w:div>
    <w:div w:id="728305280">
      <w:bodyDiv w:val="1"/>
      <w:marLeft w:val="0"/>
      <w:marRight w:val="0"/>
      <w:marTop w:val="0"/>
      <w:marBottom w:val="0"/>
      <w:divBdr>
        <w:top w:val="none" w:sz="0" w:space="0" w:color="auto"/>
        <w:left w:val="none" w:sz="0" w:space="0" w:color="auto"/>
        <w:bottom w:val="none" w:sz="0" w:space="0" w:color="auto"/>
        <w:right w:val="none" w:sz="0" w:space="0" w:color="auto"/>
      </w:divBdr>
    </w:div>
    <w:div w:id="728305776">
      <w:bodyDiv w:val="1"/>
      <w:marLeft w:val="0"/>
      <w:marRight w:val="0"/>
      <w:marTop w:val="0"/>
      <w:marBottom w:val="0"/>
      <w:divBdr>
        <w:top w:val="none" w:sz="0" w:space="0" w:color="auto"/>
        <w:left w:val="none" w:sz="0" w:space="0" w:color="auto"/>
        <w:bottom w:val="none" w:sz="0" w:space="0" w:color="auto"/>
        <w:right w:val="none" w:sz="0" w:space="0" w:color="auto"/>
      </w:divBdr>
    </w:div>
    <w:div w:id="735858951">
      <w:bodyDiv w:val="1"/>
      <w:marLeft w:val="0"/>
      <w:marRight w:val="0"/>
      <w:marTop w:val="0"/>
      <w:marBottom w:val="0"/>
      <w:divBdr>
        <w:top w:val="none" w:sz="0" w:space="0" w:color="auto"/>
        <w:left w:val="none" w:sz="0" w:space="0" w:color="auto"/>
        <w:bottom w:val="none" w:sz="0" w:space="0" w:color="auto"/>
        <w:right w:val="none" w:sz="0" w:space="0" w:color="auto"/>
      </w:divBdr>
    </w:div>
    <w:div w:id="745344054">
      <w:bodyDiv w:val="1"/>
      <w:marLeft w:val="0"/>
      <w:marRight w:val="0"/>
      <w:marTop w:val="0"/>
      <w:marBottom w:val="0"/>
      <w:divBdr>
        <w:top w:val="none" w:sz="0" w:space="0" w:color="auto"/>
        <w:left w:val="none" w:sz="0" w:space="0" w:color="auto"/>
        <w:bottom w:val="none" w:sz="0" w:space="0" w:color="auto"/>
        <w:right w:val="none" w:sz="0" w:space="0" w:color="auto"/>
      </w:divBdr>
    </w:div>
    <w:div w:id="747308261">
      <w:bodyDiv w:val="1"/>
      <w:marLeft w:val="0"/>
      <w:marRight w:val="0"/>
      <w:marTop w:val="0"/>
      <w:marBottom w:val="0"/>
      <w:divBdr>
        <w:top w:val="none" w:sz="0" w:space="0" w:color="auto"/>
        <w:left w:val="none" w:sz="0" w:space="0" w:color="auto"/>
        <w:bottom w:val="none" w:sz="0" w:space="0" w:color="auto"/>
        <w:right w:val="none" w:sz="0" w:space="0" w:color="auto"/>
      </w:divBdr>
    </w:div>
    <w:div w:id="750856149">
      <w:bodyDiv w:val="1"/>
      <w:marLeft w:val="0"/>
      <w:marRight w:val="0"/>
      <w:marTop w:val="0"/>
      <w:marBottom w:val="0"/>
      <w:divBdr>
        <w:top w:val="none" w:sz="0" w:space="0" w:color="auto"/>
        <w:left w:val="none" w:sz="0" w:space="0" w:color="auto"/>
        <w:bottom w:val="none" w:sz="0" w:space="0" w:color="auto"/>
        <w:right w:val="none" w:sz="0" w:space="0" w:color="auto"/>
      </w:divBdr>
    </w:div>
    <w:div w:id="752429606">
      <w:bodyDiv w:val="1"/>
      <w:marLeft w:val="0"/>
      <w:marRight w:val="0"/>
      <w:marTop w:val="0"/>
      <w:marBottom w:val="0"/>
      <w:divBdr>
        <w:top w:val="none" w:sz="0" w:space="0" w:color="auto"/>
        <w:left w:val="none" w:sz="0" w:space="0" w:color="auto"/>
        <w:bottom w:val="none" w:sz="0" w:space="0" w:color="auto"/>
        <w:right w:val="none" w:sz="0" w:space="0" w:color="auto"/>
      </w:divBdr>
    </w:div>
    <w:div w:id="766194405">
      <w:bodyDiv w:val="1"/>
      <w:marLeft w:val="0"/>
      <w:marRight w:val="0"/>
      <w:marTop w:val="0"/>
      <w:marBottom w:val="0"/>
      <w:divBdr>
        <w:top w:val="none" w:sz="0" w:space="0" w:color="auto"/>
        <w:left w:val="none" w:sz="0" w:space="0" w:color="auto"/>
        <w:bottom w:val="none" w:sz="0" w:space="0" w:color="auto"/>
        <w:right w:val="none" w:sz="0" w:space="0" w:color="auto"/>
      </w:divBdr>
    </w:div>
    <w:div w:id="777065277">
      <w:bodyDiv w:val="1"/>
      <w:marLeft w:val="0"/>
      <w:marRight w:val="0"/>
      <w:marTop w:val="0"/>
      <w:marBottom w:val="0"/>
      <w:divBdr>
        <w:top w:val="none" w:sz="0" w:space="0" w:color="auto"/>
        <w:left w:val="none" w:sz="0" w:space="0" w:color="auto"/>
        <w:bottom w:val="none" w:sz="0" w:space="0" w:color="auto"/>
        <w:right w:val="none" w:sz="0" w:space="0" w:color="auto"/>
      </w:divBdr>
    </w:div>
    <w:div w:id="779106690">
      <w:bodyDiv w:val="1"/>
      <w:marLeft w:val="0"/>
      <w:marRight w:val="0"/>
      <w:marTop w:val="0"/>
      <w:marBottom w:val="0"/>
      <w:divBdr>
        <w:top w:val="none" w:sz="0" w:space="0" w:color="auto"/>
        <w:left w:val="none" w:sz="0" w:space="0" w:color="auto"/>
        <w:bottom w:val="none" w:sz="0" w:space="0" w:color="auto"/>
        <w:right w:val="none" w:sz="0" w:space="0" w:color="auto"/>
      </w:divBdr>
    </w:div>
    <w:div w:id="781464107">
      <w:bodyDiv w:val="1"/>
      <w:marLeft w:val="0"/>
      <w:marRight w:val="0"/>
      <w:marTop w:val="0"/>
      <w:marBottom w:val="0"/>
      <w:divBdr>
        <w:top w:val="none" w:sz="0" w:space="0" w:color="auto"/>
        <w:left w:val="none" w:sz="0" w:space="0" w:color="auto"/>
        <w:bottom w:val="none" w:sz="0" w:space="0" w:color="auto"/>
        <w:right w:val="none" w:sz="0" w:space="0" w:color="auto"/>
      </w:divBdr>
    </w:div>
    <w:div w:id="787971163">
      <w:bodyDiv w:val="1"/>
      <w:marLeft w:val="0"/>
      <w:marRight w:val="0"/>
      <w:marTop w:val="0"/>
      <w:marBottom w:val="0"/>
      <w:divBdr>
        <w:top w:val="none" w:sz="0" w:space="0" w:color="auto"/>
        <w:left w:val="none" w:sz="0" w:space="0" w:color="auto"/>
        <w:bottom w:val="none" w:sz="0" w:space="0" w:color="auto"/>
        <w:right w:val="none" w:sz="0" w:space="0" w:color="auto"/>
      </w:divBdr>
    </w:div>
    <w:div w:id="796947056">
      <w:bodyDiv w:val="1"/>
      <w:marLeft w:val="0"/>
      <w:marRight w:val="0"/>
      <w:marTop w:val="0"/>
      <w:marBottom w:val="0"/>
      <w:divBdr>
        <w:top w:val="none" w:sz="0" w:space="0" w:color="auto"/>
        <w:left w:val="none" w:sz="0" w:space="0" w:color="auto"/>
        <w:bottom w:val="none" w:sz="0" w:space="0" w:color="auto"/>
        <w:right w:val="none" w:sz="0" w:space="0" w:color="auto"/>
      </w:divBdr>
    </w:div>
    <w:div w:id="800614676">
      <w:bodyDiv w:val="1"/>
      <w:marLeft w:val="0"/>
      <w:marRight w:val="0"/>
      <w:marTop w:val="0"/>
      <w:marBottom w:val="0"/>
      <w:divBdr>
        <w:top w:val="none" w:sz="0" w:space="0" w:color="auto"/>
        <w:left w:val="none" w:sz="0" w:space="0" w:color="auto"/>
        <w:bottom w:val="none" w:sz="0" w:space="0" w:color="auto"/>
        <w:right w:val="none" w:sz="0" w:space="0" w:color="auto"/>
      </w:divBdr>
    </w:div>
    <w:div w:id="803041297">
      <w:bodyDiv w:val="1"/>
      <w:marLeft w:val="0"/>
      <w:marRight w:val="0"/>
      <w:marTop w:val="0"/>
      <w:marBottom w:val="0"/>
      <w:divBdr>
        <w:top w:val="none" w:sz="0" w:space="0" w:color="auto"/>
        <w:left w:val="none" w:sz="0" w:space="0" w:color="auto"/>
        <w:bottom w:val="none" w:sz="0" w:space="0" w:color="auto"/>
        <w:right w:val="none" w:sz="0" w:space="0" w:color="auto"/>
      </w:divBdr>
    </w:div>
    <w:div w:id="804466507">
      <w:bodyDiv w:val="1"/>
      <w:marLeft w:val="0"/>
      <w:marRight w:val="0"/>
      <w:marTop w:val="0"/>
      <w:marBottom w:val="0"/>
      <w:divBdr>
        <w:top w:val="none" w:sz="0" w:space="0" w:color="auto"/>
        <w:left w:val="none" w:sz="0" w:space="0" w:color="auto"/>
        <w:bottom w:val="none" w:sz="0" w:space="0" w:color="auto"/>
        <w:right w:val="none" w:sz="0" w:space="0" w:color="auto"/>
      </w:divBdr>
    </w:div>
    <w:div w:id="805273053">
      <w:bodyDiv w:val="1"/>
      <w:marLeft w:val="0"/>
      <w:marRight w:val="0"/>
      <w:marTop w:val="0"/>
      <w:marBottom w:val="0"/>
      <w:divBdr>
        <w:top w:val="none" w:sz="0" w:space="0" w:color="auto"/>
        <w:left w:val="none" w:sz="0" w:space="0" w:color="auto"/>
        <w:bottom w:val="none" w:sz="0" w:space="0" w:color="auto"/>
        <w:right w:val="none" w:sz="0" w:space="0" w:color="auto"/>
      </w:divBdr>
    </w:div>
    <w:div w:id="816532121">
      <w:bodyDiv w:val="1"/>
      <w:marLeft w:val="0"/>
      <w:marRight w:val="0"/>
      <w:marTop w:val="0"/>
      <w:marBottom w:val="0"/>
      <w:divBdr>
        <w:top w:val="none" w:sz="0" w:space="0" w:color="auto"/>
        <w:left w:val="none" w:sz="0" w:space="0" w:color="auto"/>
        <w:bottom w:val="none" w:sz="0" w:space="0" w:color="auto"/>
        <w:right w:val="none" w:sz="0" w:space="0" w:color="auto"/>
      </w:divBdr>
    </w:div>
    <w:div w:id="821849571">
      <w:bodyDiv w:val="1"/>
      <w:marLeft w:val="0"/>
      <w:marRight w:val="0"/>
      <w:marTop w:val="0"/>
      <w:marBottom w:val="0"/>
      <w:divBdr>
        <w:top w:val="none" w:sz="0" w:space="0" w:color="auto"/>
        <w:left w:val="none" w:sz="0" w:space="0" w:color="auto"/>
        <w:bottom w:val="none" w:sz="0" w:space="0" w:color="auto"/>
        <w:right w:val="none" w:sz="0" w:space="0" w:color="auto"/>
      </w:divBdr>
    </w:div>
    <w:div w:id="834685052">
      <w:bodyDiv w:val="1"/>
      <w:marLeft w:val="0"/>
      <w:marRight w:val="0"/>
      <w:marTop w:val="0"/>
      <w:marBottom w:val="0"/>
      <w:divBdr>
        <w:top w:val="none" w:sz="0" w:space="0" w:color="auto"/>
        <w:left w:val="none" w:sz="0" w:space="0" w:color="auto"/>
        <w:bottom w:val="none" w:sz="0" w:space="0" w:color="auto"/>
        <w:right w:val="none" w:sz="0" w:space="0" w:color="auto"/>
      </w:divBdr>
    </w:div>
    <w:div w:id="836072701">
      <w:bodyDiv w:val="1"/>
      <w:marLeft w:val="0"/>
      <w:marRight w:val="0"/>
      <w:marTop w:val="0"/>
      <w:marBottom w:val="0"/>
      <w:divBdr>
        <w:top w:val="none" w:sz="0" w:space="0" w:color="auto"/>
        <w:left w:val="none" w:sz="0" w:space="0" w:color="auto"/>
        <w:bottom w:val="none" w:sz="0" w:space="0" w:color="auto"/>
        <w:right w:val="none" w:sz="0" w:space="0" w:color="auto"/>
      </w:divBdr>
    </w:div>
    <w:div w:id="853804244">
      <w:bodyDiv w:val="1"/>
      <w:marLeft w:val="0"/>
      <w:marRight w:val="0"/>
      <w:marTop w:val="0"/>
      <w:marBottom w:val="0"/>
      <w:divBdr>
        <w:top w:val="none" w:sz="0" w:space="0" w:color="auto"/>
        <w:left w:val="none" w:sz="0" w:space="0" w:color="auto"/>
        <w:bottom w:val="none" w:sz="0" w:space="0" w:color="auto"/>
        <w:right w:val="none" w:sz="0" w:space="0" w:color="auto"/>
      </w:divBdr>
    </w:div>
    <w:div w:id="858471554">
      <w:bodyDiv w:val="1"/>
      <w:marLeft w:val="0"/>
      <w:marRight w:val="0"/>
      <w:marTop w:val="0"/>
      <w:marBottom w:val="0"/>
      <w:divBdr>
        <w:top w:val="none" w:sz="0" w:space="0" w:color="auto"/>
        <w:left w:val="none" w:sz="0" w:space="0" w:color="auto"/>
        <w:bottom w:val="none" w:sz="0" w:space="0" w:color="auto"/>
        <w:right w:val="none" w:sz="0" w:space="0" w:color="auto"/>
      </w:divBdr>
    </w:div>
    <w:div w:id="864907299">
      <w:bodyDiv w:val="1"/>
      <w:marLeft w:val="0"/>
      <w:marRight w:val="0"/>
      <w:marTop w:val="0"/>
      <w:marBottom w:val="0"/>
      <w:divBdr>
        <w:top w:val="none" w:sz="0" w:space="0" w:color="auto"/>
        <w:left w:val="none" w:sz="0" w:space="0" w:color="auto"/>
        <w:bottom w:val="none" w:sz="0" w:space="0" w:color="auto"/>
        <w:right w:val="none" w:sz="0" w:space="0" w:color="auto"/>
      </w:divBdr>
    </w:div>
    <w:div w:id="869145571">
      <w:bodyDiv w:val="1"/>
      <w:marLeft w:val="0"/>
      <w:marRight w:val="0"/>
      <w:marTop w:val="0"/>
      <w:marBottom w:val="0"/>
      <w:divBdr>
        <w:top w:val="none" w:sz="0" w:space="0" w:color="auto"/>
        <w:left w:val="none" w:sz="0" w:space="0" w:color="auto"/>
        <w:bottom w:val="none" w:sz="0" w:space="0" w:color="auto"/>
        <w:right w:val="none" w:sz="0" w:space="0" w:color="auto"/>
      </w:divBdr>
    </w:div>
    <w:div w:id="903687248">
      <w:bodyDiv w:val="1"/>
      <w:marLeft w:val="0"/>
      <w:marRight w:val="0"/>
      <w:marTop w:val="0"/>
      <w:marBottom w:val="0"/>
      <w:divBdr>
        <w:top w:val="none" w:sz="0" w:space="0" w:color="auto"/>
        <w:left w:val="none" w:sz="0" w:space="0" w:color="auto"/>
        <w:bottom w:val="none" w:sz="0" w:space="0" w:color="auto"/>
        <w:right w:val="none" w:sz="0" w:space="0" w:color="auto"/>
      </w:divBdr>
    </w:div>
    <w:div w:id="908543915">
      <w:bodyDiv w:val="1"/>
      <w:marLeft w:val="0"/>
      <w:marRight w:val="0"/>
      <w:marTop w:val="0"/>
      <w:marBottom w:val="0"/>
      <w:divBdr>
        <w:top w:val="none" w:sz="0" w:space="0" w:color="auto"/>
        <w:left w:val="none" w:sz="0" w:space="0" w:color="auto"/>
        <w:bottom w:val="none" w:sz="0" w:space="0" w:color="auto"/>
        <w:right w:val="none" w:sz="0" w:space="0" w:color="auto"/>
      </w:divBdr>
    </w:div>
    <w:div w:id="924143991">
      <w:bodyDiv w:val="1"/>
      <w:marLeft w:val="0"/>
      <w:marRight w:val="0"/>
      <w:marTop w:val="0"/>
      <w:marBottom w:val="0"/>
      <w:divBdr>
        <w:top w:val="none" w:sz="0" w:space="0" w:color="auto"/>
        <w:left w:val="none" w:sz="0" w:space="0" w:color="auto"/>
        <w:bottom w:val="none" w:sz="0" w:space="0" w:color="auto"/>
        <w:right w:val="none" w:sz="0" w:space="0" w:color="auto"/>
      </w:divBdr>
    </w:div>
    <w:div w:id="925381719">
      <w:bodyDiv w:val="1"/>
      <w:marLeft w:val="0"/>
      <w:marRight w:val="0"/>
      <w:marTop w:val="0"/>
      <w:marBottom w:val="0"/>
      <w:divBdr>
        <w:top w:val="none" w:sz="0" w:space="0" w:color="auto"/>
        <w:left w:val="none" w:sz="0" w:space="0" w:color="auto"/>
        <w:bottom w:val="none" w:sz="0" w:space="0" w:color="auto"/>
        <w:right w:val="none" w:sz="0" w:space="0" w:color="auto"/>
      </w:divBdr>
    </w:div>
    <w:div w:id="927157384">
      <w:bodyDiv w:val="1"/>
      <w:marLeft w:val="0"/>
      <w:marRight w:val="0"/>
      <w:marTop w:val="0"/>
      <w:marBottom w:val="0"/>
      <w:divBdr>
        <w:top w:val="none" w:sz="0" w:space="0" w:color="auto"/>
        <w:left w:val="none" w:sz="0" w:space="0" w:color="auto"/>
        <w:bottom w:val="none" w:sz="0" w:space="0" w:color="auto"/>
        <w:right w:val="none" w:sz="0" w:space="0" w:color="auto"/>
      </w:divBdr>
    </w:div>
    <w:div w:id="936330554">
      <w:bodyDiv w:val="1"/>
      <w:marLeft w:val="0"/>
      <w:marRight w:val="0"/>
      <w:marTop w:val="0"/>
      <w:marBottom w:val="0"/>
      <w:divBdr>
        <w:top w:val="none" w:sz="0" w:space="0" w:color="auto"/>
        <w:left w:val="none" w:sz="0" w:space="0" w:color="auto"/>
        <w:bottom w:val="none" w:sz="0" w:space="0" w:color="auto"/>
        <w:right w:val="none" w:sz="0" w:space="0" w:color="auto"/>
      </w:divBdr>
    </w:div>
    <w:div w:id="942497571">
      <w:bodyDiv w:val="1"/>
      <w:marLeft w:val="0"/>
      <w:marRight w:val="0"/>
      <w:marTop w:val="0"/>
      <w:marBottom w:val="0"/>
      <w:divBdr>
        <w:top w:val="none" w:sz="0" w:space="0" w:color="auto"/>
        <w:left w:val="none" w:sz="0" w:space="0" w:color="auto"/>
        <w:bottom w:val="none" w:sz="0" w:space="0" w:color="auto"/>
        <w:right w:val="none" w:sz="0" w:space="0" w:color="auto"/>
      </w:divBdr>
    </w:div>
    <w:div w:id="947466558">
      <w:bodyDiv w:val="1"/>
      <w:marLeft w:val="0"/>
      <w:marRight w:val="0"/>
      <w:marTop w:val="0"/>
      <w:marBottom w:val="0"/>
      <w:divBdr>
        <w:top w:val="none" w:sz="0" w:space="0" w:color="auto"/>
        <w:left w:val="none" w:sz="0" w:space="0" w:color="auto"/>
        <w:bottom w:val="none" w:sz="0" w:space="0" w:color="auto"/>
        <w:right w:val="none" w:sz="0" w:space="0" w:color="auto"/>
      </w:divBdr>
    </w:div>
    <w:div w:id="950480722">
      <w:bodyDiv w:val="1"/>
      <w:marLeft w:val="0"/>
      <w:marRight w:val="0"/>
      <w:marTop w:val="0"/>
      <w:marBottom w:val="0"/>
      <w:divBdr>
        <w:top w:val="none" w:sz="0" w:space="0" w:color="auto"/>
        <w:left w:val="none" w:sz="0" w:space="0" w:color="auto"/>
        <w:bottom w:val="none" w:sz="0" w:space="0" w:color="auto"/>
        <w:right w:val="none" w:sz="0" w:space="0" w:color="auto"/>
      </w:divBdr>
    </w:div>
    <w:div w:id="958803067">
      <w:bodyDiv w:val="1"/>
      <w:marLeft w:val="0"/>
      <w:marRight w:val="0"/>
      <w:marTop w:val="0"/>
      <w:marBottom w:val="0"/>
      <w:divBdr>
        <w:top w:val="none" w:sz="0" w:space="0" w:color="auto"/>
        <w:left w:val="none" w:sz="0" w:space="0" w:color="auto"/>
        <w:bottom w:val="none" w:sz="0" w:space="0" w:color="auto"/>
        <w:right w:val="none" w:sz="0" w:space="0" w:color="auto"/>
      </w:divBdr>
    </w:div>
    <w:div w:id="968709314">
      <w:bodyDiv w:val="1"/>
      <w:marLeft w:val="0"/>
      <w:marRight w:val="0"/>
      <w:marTop w:val="0"/>
      <w:marBottom w:val="0"/>
      <w:divBdr>
        <w:top w:val="none" w:sz="0" w:space="0" w:color="auto"/>
        <w:left w:val="none" w:sz="0" w:space="0" w:color="auto"/>
        <w:bottom w:val="none" w:sz="0" w:space="0" w:color="auto"/>
        <w:right w:val="none" w:sz="0" w:space="0" w:color="auto"/>
      </w:divBdr>
    </w:div>
    <w:div w:id="970750929">
      <w:bodyDiv w:val="1"/>
      <w:marLeft w:val="0"/>
      <w:marRight w:val="0"/>
      <w:marTop w:val="0"/>
      <w:marBottom w:val="0"/>
      <w:divBdr>
        <w:top w:val="none" w:sz="0" w:space="0" w:color="auto"/>
        <w:left w:val="none" w:sz="0" w:space="0" w:color="auto"/>
        <w:bottom w:val="none" w:sz="0" w:space="0" w:color="auto"/>
        <w:right w:val="none" w:sz="0" w:space="0" w:color="auto"/>
      </w:divBdr>
    </w:div>
    <w:div w:id="979919067">
      <w:bodyDiv w:val="1"/>
      <w:marLeft w:val="0"/>
      <w:marRight w:val="0"/>
      <w:marTop w:val="0"/>
      <w:marBottom w:val="0"/>
      <w:divBdr>
        <w:top w:val="none" w:sz="0" w:space="0" w:color="auto"/>
        <w:left w:val="none" w:sz="0" w:space="0" w:color="auto"/>
        <w:bottom w:val="none" w:sz="0" w:space="0" w:color="auto"/>
        <w:right w:val="none" w:sz="0" w:space="0" w:color="auto"/>
      </w:divBdr>
    </w:div>
    <w:div w:id="980110543">
      <w:bodyDiv w:val="1"/>
      <w:marLeft w:val="0"/>
      <w:marRight w:val="0"/>
      <w:marTop w:val="0"/>
      <w:marBottom w:val="0"/>
      <w:divBdr>
        <w:top w:val="none" w:sz="0" w:space="0" w:color="auto"/>
        <w:left w:val="none" w:sz="0" w:space="0" w:color="auto"/>
        <w:bottom w:val="none" w:sz="0" w:space="0" w:color="auto"/>
        <w:right w:val="none" w:sz="0" w:space="0" w:color="auto"/>
      </w:divBdr>
    </w:div>
    <w:div w:id="994525899">
      <w:bodyDiv w:val="1"/>
      <w:marLeft w:val="0"/>
      <w:marRight w:val="0"/>
      <w:marTop w:val="0"/>
      <w:marBottom w:val="0"/>
      <w:divBdr>
        <w:top w:val="none" w:sz="0" w:space="0" w:color="auto"/>
        <w:left w:val="none" w:sz="0" w:space="0" w:color="auto"/>
        <w:bottom w:val="none" w:sz="0" w:space="0" w:color="auto"/>
        <w:right w:val="none" w:sz="0" w:space="0" w:color="auto"/>
      </w:divBdr>
    </w:div>
    <w:div w:id="995959747">
      <w:bodyDiv w:val="1"/>
      <w:marLeft w:val="0"/>
      <w:marRight w:val="0"/>
      <w:marTop w:val="0"/>
      <w:marBottom w:val="0"/>
      <w:divBdr>
        <w:top w:val="none" w:sz="0" w:space="0" w:color="auto"/>
        <w:left w:val="none" w:sz="0" w:space="0" w:color="auto"/>
        <w:bottom w:val="none" w:sz="0" w:space="0" w:color="auto"/>
        <w:right w:val="none" w:sz="0" w:space="0" w:color="auto"/>
      </w:divBdr>
    </w:div>
    <w:div w:id="1004278920">
      <w:bodyDiv w:val="1"/>
      <w:marLeft w:val="0"/>
      <w:marRight w:val="0"/>
      <w:marTop w:val="0"/>
      <w:marBottom w:val="0"/>
      <w:divBdr>
        <w:top w:val="none" w:sz="0" w:space="0" w:color="auto"/>
        <w:left w:val="none" w:sz="0" w:space="0" w:color="auto"/>
        <w:bottom w:val="none" w:sz="0" w:space="0" w:color="auto"/>
        <w:right w:val="none" w:sz="0" w:space="0" w:color="auto"/>
      </w:divBdr>
    </w:div>
    <w:div w:id="1045563842">
      <w:bodyDiv w:val="1"/>
      <w:marLeft w:val="0"/>
      <w:marRight w:val="0"/>
      <w:marTop w:val="0"/>
      <w:marBottom w:val="0"/>
      <w:divBdr>
        <w:top w:val="none" w:sz="0" w:space="0" w:color="auto"/>
        <w:left w:val="none" w:sz="0" w:space="0" w:color="auto"/>
        <w:bottom w:val="none" w:sz="0" w:space="0" w:color="auto"/>
        <w:right w:val="none" w:sz="0" w:space="0" w:color="auto"/>
      </w:divBdr>
    </w:div>
    <w:div w:id="1046759616">
      <w:bodyDiv w:val="1"/>
      <w:marLeft w:val="0"/>
      <w:marRight w:val="0"/>
      <w:marTop w:val="0"/>
      <w:marBottom w:val="0"/>
      <w:divBdr>
        <w:top w:val="none" w:sz="0" w:space="0" w:color="auto"/>
        <w:left w:val="none" w:sz="0" w:space="0" w:color="auto"/>
        <w:bottom w:val="none" w:sz="0" w:space="0" w:color="auto"/>
        <w:right w:val="none" w:sz="0" w:space="0" w:color="auto"/>
      </w:divBdr>
    </w:div>
    <w:div w:id="1057975143">
      <w:bodyDiv w:val="1"/>
      <w:marLeft w:val="0"/>
      <w:marRight w:val="0"/>
      <w:marTop w:val="0"/>
      <w:marBottom w:val="0"/>
      <w:divBdr>
        <w:top w:val="none" w:sz="0" w:space="0" w:color="auto"/>
        <w:left w:val="none" w:sz="0" w:space="0" w:color="auto"/>
        <w:bottom w:val="none" w:sz="0" w:space="0" w:color="auto"/>
        <w:right w:val="none" w:sz="0" w:space="0" w:color="auto"/>
      </w:divBdr>
    </w:div>
    <w:div w:id="1060636996">
      <w:bodyDiv w:val="1"/>
      <w:marLeft w:val="0"/>
      <w:marRight w:val="0"/>
      <w:marTop w:val="0"/>
      <w:marBottom w:val="0"/>
      <w:divBdr>
        <w:top w:val="none" w:sz="0" w:space="0" w:color="auto"/>
        <w:left w:val="none" w:sz="0" w:space="0" w:color="auto"/>
        <w:bottom w:val="none" w:sz="0" w:space="0" w:color="auto"/>
        <w:right w:val="none" w:sz="0" w:space="0" w:color="auto"/>
      </w:divBdr>
    </w:div>
    <w:div w:id="1065487971">
      <w:bodyDiv w:val="1"/>
      <w:marLeft w:val="0"/>
      <w:marRight w:val="0"/>
      <w:marTop w:val="0"/>
      <w:marBottom w:val="0"/>
      <w:divBdr>
        <w:top w:val="none" w:sz="0" w:space="0" w:color="auto"/>
        <w:left w:val="none" w:sz="0" w:space="0" w:color="auto"/>
        <w:bottom w:val="none" w:sz="0" w:space="0" w:color="auto"/>
        <w:right w:val="none" w:sz="0" w:space="0" w:color="auto"/>
      </w:divBdr>
    </w:div>
    <w:div w:id="1071152330">
      <w:bodyDiv w:val="1"/>
      <w:marLeft w:val="0"/>
      <w:marRight w:val="0"/>
      <w:marTop w:val="0"/>
      <w:marBottom w:val="0"/>
      <w:divBdr>
        <w:top w:val="none" w:sz="0" w:space="0" w:color="auto"/>
        <w:left w:val="none" w:sz="0" w:space="0" w:color="auto"/>
        <w:bottom w:val="none" w:sz="0" w:space="0" w:color="auto"/>
        <w:right w:val="none" w:sz="0" w:space="0" w:color="auto"/>
      </w:divBdr>
    </w:div>
    <w:div w:id="1083839028">
      <w:bodyDiv w:val="1"/>
      <w:marLeft w:val="0"/>
      <w:marRight w:val="0"/>
      <w:marTop w:val="0"/>
      <w:marBottom w:val="0"/>
      <w:divBdr>
        <w:top w:val="none" w:sz="0" w:space="0" w:color="auto"/>
        <w:left w:val="none" w:sz="0" w:space="0" w:color="auto"/>
        <w:bottom w:val="none" w:sz="0" w:space="0" w:color="auto"/>
        <w:right w:val="none" w:sz="0" w:space="0" w:color="auto"/>
      </w:divBdr>
    </w:div>
    <w:div w:id="1093665862">
      <w:bodyDiv w:val="1"/>
      <w:marLeft w:val="0"/>
      <w:marRight w:val="0"/>
      <w:marTop w:val="0"/>
      <w:marBottom w:val="0"/>
      <w:divBdr>
        <w:top w:val="none" w:sz="0" w:space="0" w:color="auto"/>
        <w:left w:val="none" w:sz="0" w:space="0" w:color="auto"/>
        <w:bottom w:val="none" w:sz="0" w:space="0" w:color="auto"/>
        <w:right w:val="none" w:sz="0" w:space="0" w:color="auto"/>
      </w:divBdr>
    </w:div>
    <w:div w:id="1099254219">
      <w:bodyDiv w:val="1"/>
      <w:marLeft w:val="0"/>
      <w:marRight w:val="0"/>
      <w:marTop w:val="0"/>
      <w:marBottom w:val="0"/>
      <w:divBdr>
        <w:top w:val="none" w:sz="0" w:space="0" w:color="auto"/>
        <w:left w:val="none" w:sz="0" w:space="0" w:color="auto"/>
        <w:bottom w:val="none" w:sz="0" w:space="0" w:color="auto"/>
        <w:right w:val="none" w:sz="0" w:space="0" w:color="auto"/>
      </w:divBdr>
    </w:div>
    <w:div w:id="1106655006">
      <w:bodyDiv w:val="1"/>
      <w:marLeft w:val="0"/>
      <w:marRight w:val="0"/>
      <w:marTop w:val="0"/>
      <w:marBottom w:val="0"/>
      <w:divBdr>
        <w:top w:val="none" w:sz="0" w:space="0" w:color="auto"/>
        <w:left w:val="none" w:sz="0" w:space="0" w:color="auto"/>
        <w:bottom w:val="none" w:sz="0" w:space="0" w:color="auto"/>
        <w:right w:val="none" w:sz="0" w:space="0" w:color="auto"/>
      </w:divBdr>
    </w:div>
    <w:div w:id="1111438673">
      <w:bodyDiv w:val="1"/>
      <w:marLeft w:val="0"/>
      <w:marRight w:val="0"/>
      <w:marTop w:val="0"/>
      <w:marBottom w:val="0"/>
      <w:divBdr>
        <w:top w:val="none" w:sz="0" w:space="0" w:color="auto"/>
        <w:left w:val="none" w:sz="0" w:space="0" w:color="auto"/>
        <w:bottom w:val="none" w:sz="0" w:space="0" w:color="auto"/>
        <w:right w:val="none" w:sz="0" w:space="0" w:color="auto"/>
      </w:divBdr>
    </w:div>
    <w:div w:id="1114248395">
      <w:bodyDiv w:val="1"/>
      <w:marLeft w:val="0"/>
      <w:marRight w:val="0"/>
      <w:marTop w:val="0"/>
      <w:marBottom w:val="0"/>
      <w:divBdr>
        <w:top w:val="none" w:sz="0" w:space="0" w:color="auto"/>
        <w:left w:val="none" w:sz="0" w:space="0" w:color="auto"/>
        <w:bottom w:val="none" w:sz="0" w:space="0" w:color="auto"/>
        <w:right w:val="none" w:sz="0" w:space="0" w:color="auto"/>
      </w:divBdr>
    </w:div>
    <w:div w:id="1116018787">
      <w:bodyDiv w:val="1"/>
      <w:marLeft w:val="0"/>
      <w:marRight w:val="0"/>
      <w:marTop w:val="0"/>
      <w:marBottom w:val="0"/>
      <w:divBdr>
        <w:top w:val="none" w:sz="0" w:space="0" w:color="auto"/>
        <w:left w:val="none" w:sz="0" w:space="0" w:color="auto"/>
        <w:bottom w:val="none" w:sz="0" w:space="0" w:color="auto"/>
        <w:right w:val="none" w:sz="0" w:space="0" w:color="auto"/>
      </w:divBdr>
    </w:div>
    <w:div w:id="1119186484">
      <w:bodyDiv w:val="1"/>
      <w:marLeft w:val="0"/>
      <w:marRight w:val="0"/>
      <w:marTop w:val="0"/>
      <w:marBottom w:val="0"/>
      <w:divBdr>
        <w:top w:val="none" w:sz="0" w:space="0" w:color="auto"/>
        <w:left w:val="none" w:sz="0" w:space="0" w:color="auto"/>
        <w:bottom w:val="none" w:sz="0" w:space="0" w:color="auto"/>
        <w:right w:val="none" w:sz="0" w:space="0" w:color="auto"/>
      </w:divBdr>
    </w:div>
    <w:div w:id="1132597638">
      <w:bodyDiv w:val="1"/>
      <w:marLeft w:val="0"/>
      <w:marRight w:val="0"/>
      <w:marTop w:val="0"/>
      <w:marBottom w:val="0"/>
      <w:divBdr>
        <w:top w:val="none" w:sz="0" w:space="0" w:color="auto"/>
        <w:left w:val="none" w:sz="0" w:space="0" w:color="auto"/>
        <w:bottom w:val="none" w:sz="0" w:space="0" w:color="auto"/>
        <w:right w:val="none" w:sz="0" w:space="0" w:color="auto"/>
      </w:divBdr>
    </w:div>
    <w:div w:id="1134448780">
      <w:bodyDiv w:val="1"/>
      <w:marLeft w:val="0"/>
      <w:marRight w:val="0"/>
      <w:marTop w:val="0"/>
      <w:marBottom w:val="0"/>
      <w:divBdr>
        <w:top w:val="none" w:sz="0" w:space="0" w:color="auto"/>
        <w:left w:val="none" w:sz="0" w:space="0" w:color="auto"/>
        <w:bottom w:val="none" w:sz="0" w:space="0" w:color="auto"/>
        <w:right w:val="none" w:sz="0" w:space="0" w:color="auto"/>
      </w:divBdr>
    </w:div>
    <w:div w:id="1134837197">
      <w:bodyDiv w:val="1"/>
      <w:marLeft w:val="0"/>
      <w:marRight w:val="0"/>
      <w:marTop w:val="0"/>
      <w:marBottom w:val="0"/>
      <w:divBdr>
        <w:top w:val="none" w:sz="0" w:space="0" w:color="auto"/>
        <w:left w:val="none" w:sz="0" w:space="0" w:color="auto"/>
        <w:bottom w:val="none" w:sz="0" w:space="0" w:color="auto"/>
        <w:right w:val="none" w:sz="0" w:space="0" w:color="auto"/>
      </w:divBdr>
    </w:div>
    <w:div w:id="1135375041">
      <w:bodyDiv w:val="1"/>
      <w:marLeft w:val="0"/>
      <w:marRight w:val="0"/>
      <w:marTop w:val="0"/>
      <w:marBottom w:val="0"/>
      <w:divBdr>
        <w:top w:val="none" w:sz="0" w:space="0" w:color="auto"/>
        <w:left w:val="none" w:sz="0" w:space="0" w:color="auto"/>
        <w:bottom w:val="none" w:sz="0" w:space="0" w:color="auto"/>
        <w:right w:val="none" w:sz="0" w:space="0" w:color="auto"/>
      </w:divBdr>
    </w:div>
    <w:div w:id="1152261303">
      <w:bodyDiv w:val="1"/>
      <w:marLeft w:val="0"/>
      <w:marRight w:val="0"/>
      <w:marTop w:val="0"/>
      <w:marBottom w:val="0"/>
      <w:divBdr>
        <w:top w:val="none" w:sz="0" w:space="0" w:color="auto"/>
        <w:left w:val="none" w:sz="0" w:space="0" w:color="auto"/>
        <w:bottom w:val="none" w:sz="0" w:space="0" w:color="auto"/>
        <w:right w:val="none" w:sz="0" w:space="0" w:color="auto"/>
      </w:divBdr>
    </w:div>
    <w:div w:id="1168403524">
      <w:bodyDiv w:val="1"/>
      <w:marLeft w:val="0"/>
      <w:marRight w:val="0"/>
      <w:marTop w:val="0"/>
      <w:marBottom w:val="0"/>
      <w:divBdr>
        <w:top w:val="none" w:sz="0" w:space="0" w:color="auto"/>
        <w:left w:val="none" w:sz="0" w:space="0" w:color="auto"/>
        <w:bottom w:val="none" w:sz="0" w:space="0" w:color="auto"/>
        <w:right w:val="none" w:sz="0" w:space="0" w:color="auto"/>
      </w:divBdr>
    </w:div>
    <w:div w:id="1172645006">
      <w:bodyDiv w:val="1"/>
      <w:marLeft w:val="0"/>
      <w:marRight w:val="0"/>
      <w:marTop w:val="0"/>
      <w:marBottom w:val="0"/>
      <w:divBdr>
        <w:top w:val="none" w:sz="0" w:space="0" w:color="auto"/>
        <w:left w:val="none" w:sz="0" w:space="0" w:color="auto"/>
        <w:bottom w:val="none" w:sz="0" w:space="0" w:color="auto"/>
        <w:right w:val="none" w:sz="0" w:space="0" w:color="auto"/>
      </w:divBdr>
    </w:div>
    <w:div w:id="1175724980">
      <w:bodyDiv w:val="1"/>
      <w:marLeft w:val="0"/>
      <w:marRight w:val="0"/>
      <w:marTop w:val="0"/>
      <w:marBottom w:val="0"/>
      <w:divBdr>
        <w:top w:val="none" w:sz="0" w:space="0" w:color="auto"/>
        <w:left w:val="none" w:sz="0" w:space="0" w:color="auto"/>
        <w:bottom w:val="none" w:sz="0" w:space="0" w:color="auto"/>
        <w:right w:val="none" w:sz="0" w:space="0" w:color="auto"/>
      </w:divBdr>
    </w:div>
    <w:div w:id="1179925290">
      <w:bodyDiv w:val="1"/>
      <w:marLeft w:val="0"/>
      <w:marRight w:val="0"/>
      <w:marTop w:val="0"/>
      <w:marBottom w:val="0"/>
      <w:divBdr>
        <w:top w:val="none" w:sz="0" w:space="0" w:color="auto"/>
        <w:left w:val="none" w:sz="0" w:space="0" w:color="auto"/>
        <w:bottom w:val="none" w:sz="0" w:space="0" w:color="auto"/>
        <w:right w:val="none" w:sz="0" w:space="0" w:color="auto"/>
      </w:divBdr>
    </w:div>
    <w:div w:id="1184707114">
      <w:bodyDiv w:val="1"/>
      <w:marLeft w:val="0"/>
      <w:marRight w:val="0"/>
      <w:marTop w:val="0"/>
      <w:marBottom w:val="0"/>
      <w:divBdr>
        <w:top w:val="none" w:sz="0" w:space="0" w:color="auto"/>
        <w:left w:val="none" w:sz="0" w:space="0" w:color="auto"/>
        <w:bottom w:val="none" w:sz="0" w:space="0" w:color="auto"/>
        <w:right w:val="none" w:sz="0" w:space="0" w:color="auto"/>
      </w:divBdr>
    </w:div>
    <w:div w:id="1191843358">
      <w:bodyDiv w:val="1"/>
      <w:marLeft w:val="0"/>
      <w:marRight w:val="0"/>
      <w:marTop w:val="0"/>
      <w:marBottom w:val="0"/>
      <w:divBdr>
        <w:top w:val="none" w:sz="0" w:space="0" w:color="auto"/>
        <w:left w:val="none" w:sz="0" w:space="0" w:color="auto"/>
        <w:bottom w:val="none" w:sz="0" w:space="0" w:color="auto"/>
        <w:right w:val="none" w:sz="0" w:space="0" w:color="auto"/>
      </w:divBdr>
    </w:div>
    <w:div w:id="1200818319">
      <w:bodyDiv w:val="1"/>
      <w:marLeft w:val="0"/>
      <w:marRight w:val="0"/>
      <w:marTop w:val="0"/>
      <w:marBottom w:val="0"/>
      <w:divBdr>
        <w:top w:val="none" w:sz="0" w:space="0" w:color="auto"/>
        <w:left w:val="none" w:sz="0" w:space="0" w:color="auto"/>
        <w:bottom w:val="none" w:sz="0" w:space="0" w:color="auto"/>
        <w:right w:val="none" w:sz="0" w:space="0" w:color="auto"/>
      </w:divBdr>
    </w:div>
    <w:div w:id="1201435026">
      <w:bodyDiv w:val="1"/>
      <w:marLeft w:val="0"/>
      <w:marRight w:val="0"/>
      <w:marTop w:val="0"/>
      <w:marBottom w:val="0"/>
      <w:divBdr>
        <w:top w:val="none" w:sz="0" w:space="0" w:color="auto"/>
        <w:left w:val="none" w:sz="0" w:space="0" w:color="auto"/>
        <w:bottom w:val="none" w:sz="0" w:space="0" w:color="auto"/>
        <w:right w:val="none" w:sz="0" w:space="0" w:color="auto"/>
      </w:divBdr>
    </w:div>
    <w:div w:id="1202327748">
      <w:bodyDiv w:val="1"/>
      <w:marLeft w:val="0"/>
      <w:marRight w:val="0"/>
      <w:marTop w:val="0"/>
      <w:marBottom w:val="0"/>
      <w:divBdr>
        <w:top w:val="none" w:sz="0" w:space="0" w:color="auto"/>
        <w:left w:val="none" w:sz="0" w:space="0" w:color="auto"/>
        <w:bottom w:val="none" w:sz="0" w:space="0" w:color="auto"/>
        <w:right w:val="none" w:sz="0" w:space="0" w:color="auto"/>
      </w:divBdr>
    </w:div>
    <w:div w:id="1203323604">
      <w:bodyDiv w:val="1"/>
      <w:marLeft w:val="0"/>
      <w:marRight w:val="0"/>
      <w:marTop w:val="0"/>
      <w:marBottom w:val="0"/>
      <w:divBdr>
        <w:top w:val="none" w:sz="0" w:space="0" w:color="auto"/>
        <w:left w:val="none" w:sz="0" w:space="0" w:color="auto"/>
        <w:bottom w:val="none" w:sz="0" w:space="0" w:color="auto"/>
        <w:right w:val="none" w:sz="0" w:space="0" w:color="auto"/>
      </w:divBdr>
    </w:div>
    <w:div w:id="1209419374">
      <w:bodyDiv w:val="1"/>
      <w:marLeft w:val="0"/>
      <w:marRight w:val="0"/>
      <w:marTop w:val="0"/>
      <w:marBottom w:val="0"/>
      <w:divBdr>
        <w:top w:val="none" w:sz="0" w:space="0" w:color="auto"/>
        <w:left w:val="none" w:sz="0" w:space="0" w:color="auto"/>
        <w:bottom w:val="none" w:sz="0" w:space="0" w:color="auto"/>
        <w:right w:val="none" w:sz="0" w:space="0" w:color="auto"/>
      </w:divBdr>
    </w:div>
    <w:div w:id="1227688212">
      <w:bodyDiv w:val="1"/>
      <w:marLeft w:val="0"/>
      <w:marRight w:val="0"/>
      <w:marTop w:val="0"/>
      <w:marBottom w:val="0"/>
      <w:divBdr>
        <w:top w:val="none" w:sz="0" w:space="0" w:color="auto"/>
        <w:left w:val="none" w:sz="0" w:space="0" w:color="auto"/>
        <w:bottom w:val="none" w:sz="0" w:space="0" w:color="auto"/>
        <w:right w:val="none" w:sz="0" w:space="0" w:color="auto"/>
      </w:divBdr>
    </w:div>
    <w:div w:id="1231817156">
      <w:bodyDiv w:val="1"/>
      <w:marLeft w:val="0"/>
      <w:marRight w:val="0"/>
      <w:marTop w:val="0"/>
      <w:marBottom w:val="0"/>
      <w:divBdr>
        <w:top w:val="none" w:sz="0" w:space="0" w:color="auto"/>
        <w:left w:val="none" w:sz="0" w:space="0" w:color="auto"/>
        <w:bottom w:val="none" w:sz="0" w:space="0" w:color="auto"/>
        <w:right w:val="none" w:sz="0" w:space="0" w:color="auto"/>
      </w:divBdr>
    </w:div>
    <w:div w:id="1232034395">
      <w:bodyDiv w:val="1"/>
      <w:marLeft w:val="0"/>
      <w:marRight w:val="0"/>
      <w:marTop w:val="0"/>
      <w:marBottom w:val="0"/>
      <w:divBdr>
        <w:top w:val="none" w:sz="0" w:space="0" w:color="auto"/>
        <w:left w:val="none" w:sz="0" w:space="0" w:color="auto"/>
        <w:bottom w:val="none" w:sz="0" w:space="0" w:color="auto"/>
        <w:right w:val="none" w:sz="0" w:space="0" w:color="auto"/>
      </w:divBdr>
    </w:div>
    <w:div w:id="1232275437">
      <w:bodyDiv w:val="1"/>
      <w:marLeft w:val="0"/>
      <w:marRight w:val="0"/>
      <w:marTop w:val="0"/>
      <w:marBottom w:val="0"/>
      <w:divBdr>
        <w:top w:val="none" w:sz="0" w:space="0" w:color="auto"/>
        <w:left w:val="none" w:sz="0" w:space="0" w:color="auto"/>
        <w:bottom w:val="none" w:sz="0" w:space="0" w:color="auto"/>
        <w:right w:val="none" w:sz="0" w:space="0" w:color="auto"/>
      </w:divBdr>
    </w:div>
    <w:div w:id="1232619623">
      <w:bodyDiv w:val="1"/>
      <w:marLeft w:val="0"/>
      <w:marRight w:val="0"/>
      <w:marTop w:val="0"/>
      <w:marBottom w:val="0"/>
      <w:divBdr>
        <w:top w:val="none" w:sz="0" w:space="0" w:color="auto"/>
        <w:left w:val="none" w:sz="0" w:space="0" w:color="auto"/>
        <w:bottom w:val="none" w:sz="0" w:space="0" w:color="auto"/>
        <w:right w:val="none" w:sz="0" w:space="0" w:color="auto"/>
      </w:divBdr>
    </w:div>
    <w:div w:id="1232698575">
      <w:bodyDiv w:val="1"/>
      <w:marLeft w:val="0"/>
      <w:marRight w:val="0"/>
      <w:marTop w:val="0"/>
      <w:marBottom w:val="0"/>
      <w:divBdr>
        <w:top w:val="none" w:sz="0" w:space="0" w:color="auto"/>
        <w:left w:val="none" w:sz="0" w:space="0" w:color="auto"/>
        <w:bottom w:val="none" w:sz="0" w:space="0" w:color="auto"/>
        <w:right w:val="none" w:sz="0" w:space="0" w:color="auto"/>
      </w:divBdr>
    </w:div>
    <w:div w:id="1235550785">
      <w:bodyDiv w:val="1"/>
      <w:marLeft w:val="0"/>
      <w:marRight w:val="0"/>
      <w:marTop w:val="0"/>
      <w:marBottom w:val="0"/>
      <w:divBdr>
        <w:top w:val="none" w:sz="0" w:space="0" w:color="auto"/>
        <w:left w:val="none" w:sz="0" w:space="0" w:color="auto"/>
        <w:bottom w:val="none" w:sz="0" w:space="0" w:color="auto"/>
        <w:right w:val="none" w:sz="0" w:space="0" w:color="auto"/>
      </w:divBdr>
    </w:div>
    <w:div w:id="1273322363">
      <w:bodyDiv w:val="1"/>
      <w:marLeft w:val="0"/>
      <w:marRight w:val="0"/>
      <w:marTop w:val="0"/>
      <w:marBottom w:val="0"/>
      <w:divBdr>
        <w:top w:val="none" w:sz="0" w:space="0" w:color="auto"/>
        <w:left w:val="none" w:sz="0" w:space="0" w:color="auto"/>
        <w:bottom w:val="none" w:sz="0" w:space="0" w:color="auto"/>
        <w:right w:val="none" w:sz="0" w:space="0" w:color="auto"/>
      </w:divBdr>
    </w:div>
    <w:div w:id="1273513197">
      <w:bodyDiv w:val="1"/>
      <w:marLeft w:val="0"/>
      <w:marRight w:val="0"/>
      <w:marTop w:val="0"/>
      <w:marBottom w:val="0"/>
      <w:divBdr>
        <w:top w:val="none" w:sz="0" w:space="0" w:color="auto"/>
        <w:left w:val="none" w:sz="0" w:space="0" w:color="auto"/>
        <w:bottom w:val="none" w:sz="0" w:space="0" w:color="auto"/>
        <w:right w:val="none" w:sz="0" w:space="0" w:color="auto"/>
      </w:divBdr>
    </w:div>
    <w:div w:id="1290624989">
      <w:bodyDiv w:val="1"/>
      <w:marLeft w:val="0"/>
      <w:marRight w:val="0"/>
      <w:marTop w:val="0"/>
      <w:marBottom w:val="0"/>
      <w:divBdr>
        <w:top w:val="none" w:sz="0" w:space="0" w:color="auto"/>
        <w:left w:val="none" w:sz="0" w:space="0" w:color="auto"/>
        <w:bottom w:val="none" w:sz="0" w:space="0" w:color="auto"/>
        <w:right w:val="none" w:sz="0" w:space="0" w:color="auto"/>
      </w:divBdr>
    </w:div>
    <w:div w:id="1290815593">
      <w:bodyDiv w:val="1"/>
      <w:marLeft w:val="0"/>
      <w:marRight w:val="0"/>
      <w:marTop w:val="0"/>
      <w:marBottom w:val="0"/>
      <w:divBdr>
        <w:top w:val="none" w:sz="0" w:space="0" w:color="auto"/>
        <w:left w:val="none" w:sz="0" w:space="0" w:color="auto"/>
        <w:bottom w:val="none" w:sz="0" w:space="0" w:color="auto"/>
        <w:right w:val="none" w:sz="0" w:space="0" w:color="auto"/>
      </w:divBdr>
    </w:div>
    <w:div w:id="1298335064">
      <w:bodyDiv w:val="1"/>
      <w:marLeft w:val="0"/>
      <w:marRight w:val="0"/>
      <w:marTop w:val="0"/>
      <w:marBottom w:val="0"/>
      <w:divBdr>
        <w:top w:val="none" w:sz="0" w:space="0" w:color="auto"/>
        <w:left w:val="none" w:sz="0" w:space="0" w:color="auto"/>
        <w:bottom w:val="none" w:sz="0" w:space="0" w:color="auto"/>
        <w:right w:val="none" w:sz="0" w:space="0" w:color="auto"/>
      </w:divBdr>
    </w:div>
    <w:div w:id="1310137848">
      <w:bodyDiv w:val="1"/>
      <w:marLeft w:val="0"/>
      <w:marRight w:val="0"/>
      <w:marTop w:val="0"/>
      <w:marBottom w:val="0"/>
      <w:divBdr>
        <w:top w:val="none" w:sz="0" w:space="0" w:color="auto"/>
        <w:left w:val="none" w:sz="0" w:space="0" w:color="auto"/>
        <w:bottom w:val="none" w:sz="0" w:space="0" w:color="auto"/>
        <w:right w:val="none" w:sz="0" w:space="0" w:color="auto"/>
      </w:divBdr>
    </w:div>
    <w:div w:id="1319648352">
      <w:bodyDiv w:val="1"/>
      <w:marLeft w:val="0"/>
      <w:marRight w:val="0"/>
      <w:marTop w:val="0"/>
      <w:marBottom w:val="0"/>
      <w:divBdr>
        <w:top w:val="none" w:sz="0" w:space="0" w:color="auto"/>
        <w:left w:val="none" w:sz="0" w:space="0" w:color="auto"/>
        <w:bottom w:val="none" w:sz="0" w:space="0" w:color="auto"/>
        <w:right w:val="none" w:sz="0" w:space="0" w:color="auto"/>
      </w:divBdr>
    </w:div>
    <w:div w:id="1328243670">
      <w:bodyDiv w:val="1"/>
      <w:marLeft w:val="0"/>
      <w:marRight w:val="0"/>
      <w:marTop w:val="0"/>
      <w:marBottom w:val="0"/>
      <w:divBdr>
        <w:top w:val="none" w:sz="0" w:space="0" w:color="auto"/>
        <w:left w:val="none" w:sz="0" w:space="0" w:color="auto"/>
        <w:bottom w:val="none" w:sz="0" w:space="0" w:color="auto"/>
        <w:right w:val="none" w:sz="0" w:space="0" w:color="auto"/>
      </w:divBdr>
    </w:div>
    <w:div w:id="1331716530">
      <w:bodyDiv w:val="1"/>
      <w:marLeft w:val="0"/>
      <w:marRight w:val="0"/>
      <w:marTop w:val="0"/>
      <w:marBottom w:val="0"/>
      <w:divBdr>
        <w:top w:val="none" w:sz="0" w:space="0" w:color="auto"/>
        <w:left w:val="none" w:sz="0" w:space="0" w:color="auto"/>
        <w:bottom w:val="none" w:sz="0" w:space="0" w:color="auto"/>
        <w:right w:val="none" w:sz="0" w:space="0" w:color="auto"/>
      </w:divBdr>
    </w:div>
    <w:div w:id="1357655838">
      <w:bodyDiv w:val="1"/>
      <w:marLeft w:val="0"/>
      <w:marRight w:val="0"/>
      <w:marTop w:val="0"/>
      <w:marBottom w:val="0"/>
      <w:divBdr>
        <w:top w:val="none" w:sz="0" w:space="0" w:color="auto"/>
        <w:left w:val="none" w:sz="0" w:space="0" w:color="auto"/>
        <w:bottom w:val="none" w:sz="0" w:space="0" w:color="auto"/>
        <w:right w:val="none" w:sz="0" w:space="0" w:color="auto"/>
      </w:divBdr>
    </w:div>
    <w:div w:id="1357921765">
      <w:bodyDiv w:val="1"/>
      <w:marLeft w:val="0"/>
      <w:marRight w:val="0"/>
      <w:marTop w:val="0"/>
      <w:marBottom w:val="0"/>
      <w:divBdr>
        <w:top w:val="none" w:sz="0" w:space="0" w:color="auto"/>
        <w:left w:val="none" w:sz="0" w:space="0" w:color="auto"/>
        <w:bottom w:val="none" w:sz="0" w:space="0" w:color="auto"/>
        <w:right w:val="none" w:sz="0" w:space="0" w:color="auto"/>
      </w:divBdr>
    </w:div>
    <w:div w:id="1357929484">
      <w:bodyDiv w:val="1"/>
      <w:marLeft w:val="0"/>
      <w:marRight w:val="0"/>
      <w:marTop w:val="0"/>
      <w:marBottom w:val="0"/>
      <w:divBdr>
        <w:top w:val="none" w:sz="0" w:space="0" w:color="auto"/>
        <w:left w:val="none" w:sz="0" w:space="0" w:color="auto"/>
        <w:bottom w:val="none" w:sz="0" w:space="0" w:color="auto"/>
        <w:right w:val="none" w:sz="0" w:space="0" w:color="auto"/>
      </w:divBdr>
    </w:div>
    <w:div w:id="1359428228">
      <w:bodyDiv w:val="1"/>
      <w:marLeft w:val="0"/>
      <w:marRight w:val="0"/>
      <w:marTop w:val="0"/>
      <w:marBottom w:val="0"/>
      <w:divBdr>
        <w:top w:val="none" w:sz="0" w:space="0" w:color="auto"/>
        <w:left w:val="none" w:sz="0" w:space="0" w:color="auto"/>
        <w:bottom w:val="none" w:sz="0" w:space="0" w:color="auto"/>
        <w:right w:val="none" w:sz="0" w:space="0" w:color="auto"/>
      </w:divBdr>
    </w:div>
    <w:div w:id="1360164586">
      <w:bodyDiv w:val="1"/>
      <w:marLeft w:val="0"/>
      <w:marRight w:val="0"/>
      <w:marTop w:val="0"/>
      <w:marBottom w:val="0"/>
      <w:divBdr>
        <w:top w:val="none" w:sz="0" w:space="0" w:color="auto"/>
        <w:left w:val="none" w:sz="0" w:space="0" w:color="auto"/>
        <w:bottom w:val="none" w:sz="0" w:space="0" w:color="auto"/>
        <w:right w:val="none" w:sz="0" w:space="0" w:color="auto"/>
      </w:divBdr>
    </w:div>
    <w:div w:id="1360933821">
      <w:bodyDiv w:val="1"/>
      <w:marLeft w:val="0"/>
      <w:marRight w:val="0"/>
      <w:marTop w:val="0"/>
      <w:marBottom w:val="0"/>
      <w:divBdr>
        <w:top w:val="none" w:sz="0" w:space="0" w:color="auto"/>
        <w:left w:val="none" w:sz="0" w:space="0" w:color="auto"/>
        <w:bottom w:val="none" w:sz="0" w:space="0" w:color="auto"/>
        <w:right w:val="none" w:sz="0" w:space="0" w:color="auto"/>
      </w:divBdr>
    </w:div>
    <w:div w:id="1361784715">
      <w:bodyDiv w:val="1"/>
      <w:marLeft w:val="0"/>
      <w:marRight w:val="0"/>
      <w:marTop w:val="0"/>
      <w:marBottom w:val="0"/>
      <w:divBdr>
        <w:top w:val="none" w:sz="0" w:space="0" w:color="auto"/>
        <w:left w:val="none" w:sz="0" w:space="0" w:color="auto"/>
        <w:bottom w:val="none" w:sz="0" w:space="0" w:color="auto"/>
        <w:right w:val="none" w:sz="0" w:space="0" w:color="auto"/>
      </w:divBdr>
    </w:div>
    <w:div w:id="1368605645">
      <w:bodyDiv w:val="1"/>
      <w:marLeft w:val="0"/>
      <w:marRight w:val="0"/>
      <w:marTop w:val="0"/>
      <w:marBottom w:val="0"/>
      <w:divBdr>
        <w:top w:val="none" w:sz="0" w:space="0" w:color="auto"/>
        <w:left w:val="none" w:sz="0" w:space="0" w:color="auto"/>
        <w:bottom w:val="none" w:sz="0" w:space="0" w:color="auto"/>
        <w:right w:val="none" w:sz="0" w:space="0" w:color="auto"/>
      </w:divBdr>
    </w:div>
    <w:div w:id="1371690033">
      <w:bodyDiv w:val="1"/>
      <w:marLeft w:val="0"/>
      <w:marRight w:val="0"/>
      <w:marTop w:val="0"/>
      <w:marBottom w:val="0"/>
      <w:divBdr>
        <w:top w:val="none" w:sz="0" w:space="0" w:color="auto"/>
        <w:left w:val="none" w:sz="0" w:space="0" w:color="auto"/>
        <w:bottom w:val="none" w:sz="0" w:space="0" w:color="auto"/>
        <w:right w:val="none" w:sz="0" w:space="0" w:color="auto"/>
      </w:divBdr>
    </w:div>
    <w:div w:id="1372801158">
      <w:bodyDiv w:val="1"/>
      <w:marLeft w:val="0"/>
      <w:marRight w:val="0"/>
      <w:marTop w:val="0"/>
      <w:marBottom w:val="0"/>
      <w:divBdr>
        <w:top w:val="none" w:sz="0" w:space="0" w:color="auto"/>
        <w:left w:val="none" w:sz="0" w:space="0" w:color="auto"/>
        <w:bottom w:val="none" w:sz="0" w:space="0" w:color="auto"/>
        <w:right w:val="none" w:sz="0" w:space="0" w:color="auto"/>
      </w:divBdr>
    </w:div>
    <w:div w:id="1378507850">
      <w:bodyDiv w:val="1"/>
      <w:marLeft w:val="0"/>
      <w:marRight w:val="0"/>
      <w:marTop w:val="0"/>
      <w:marBottom w:val="0"/>
      <w:divBdr>
        <w:top w:val="none" w:sz="0" w:space="0" w:color="auto"/>
        <w:left w:val="none" w:sz="0" w:space="0" w:color="auto"/>
        <w:bottom w:val="none" w:sz="0" w:space="0" w:color="auto"/>
        <w:right w:val="none" w:sz="0" w:space="0" w:color="auto"/>
      </w:divBdr>
    </w:div>
    <w:div w:id="1381321741">
      <w:bodyDiv w:val="1"/>
      <w:marLeft w:val="0"/>
      <w:marRight w:val="0"/>
      <w:marTop w:val="0"/>
      <w:marBottom w:val="0"/>
      <w:divBdr>
        <w:top w:val="none" w:sz="0" w:space="0" w:color="auto"/>
        <w:left w:val="none" w:sz="0" w:space="0" w:color="auto"/>
        <w:bottom w:val="none" w:sz="0" w:space="0" w:color="auto"/>
        <w:right w:val="none" w:sz="0" w:space="0" w:color="auto"/>
      </w:divBdr>
    </w:div>
    <w:div w:id="1385256087">
      <w:bodyDiv w:val="1"/>
      <w:marLeft w:val="0"/>
      <w:marRight w:val="0"/>
      <w:marTop w:val="0"/>
      <w:marBottom w:val="0"/>
      <w:divBdr>
        <w:top w:val="none" w:sz="0" w:space="0" w:color="auto"/>
        <w:left w:val="none" w:sz="0" w:space="0" w:color="auto"/>
        <w:bottom w:val="none" w:sz="0" w:space="0" w:color="auto"/>
        <w:right w:val="none" w:sz="0" w:space="0" w:color="auto"/>
      </w:divBdr>
    </w:div>
    <w:div w:id="1395004869">
      <w:bodyDiv w:val="1"/>
      <w:marLeft w:val="0"/>
      <w:marRight w:val="0"/>
      <w:marTop w:val="0"/>
      <w:marBottom w:val="0"/>
      <w:divBdr>
        <w:top w:val="none" w:sz="0" w:space="0" w:color="auto"/>
        <w:left w:val="none" w:sz="0" w:space="0" w:color="auto"/>
        <w:bottom w:val="none" w:sz="0" w:space="0" w:color="auto"/>
        <w:right w:val="none" w:sz="0" w:space="0" w:color="auto"/>
      </w:divBdr>
    </w:div>
    <w:div w:id="1395280401">
      <w:bodyDiv w:val="1"/>
      <w:marLeft w:val="0"/>
      <w:marRight w:val="0"/>
      <w:marTop w:val="0"/>
      <w:marBottom w:val="0"/>
      <w:divBdr>
        <w:top w:val="none" w:sz="0" w:space="0" w:color="auto"/>
        <w:left w:val="none" w:sz="0" w:space="0" w:color="auto"/>
        <w:bottom w:val="none" w:sz="0" w:space="0" w:color="auto"/>
        <w:right w:val="none" w:sz="0" w:space="0" w:color="auto"/>
      </w:divBdr>
    </w:div>
    <w:div w:id="1407876637">
      <w:bodyDiv w:val="1"/>
      <w:marLeft w:val="0"/>
      <w:marRight w:val="0"/>
      <w:marTop w:val="0"/>
      <w:marBottom w:val="0"/>
      <w:divBdr>
        <w:top w:val="none" w:sz="0" w:space="0" w:color="auto"/>
        <w:left w:val="none" w:sz="0" w:space="0" w:color="auto"/>
        <w:bottom w:val="none" w:sz="0" w:space="0" w:color="auto"/>
        <w:right w:val="none" w:sz="0" w:space="0" w:color="auto"/>
      </w:divBdr>
    </w:div>
    <w:div w:id="1415008720">
      <w:bodyDiv w:val="1"/>
      <w:marLeft w:val="0"/>
      <w:marRight w:val="0"/>
      <w:marTop w:val="0"/>
      <w:marBottom w:val="0"/>
      <w:divBdr>
        <w:top w:val="none" w:sz="0" w:space="0" w:color="auto"/>
        <w:left w:val="none" w:sz="0" w:space="0" w:color="auto"/>
        <w:bottom w:val="none" w:sz="0" w:space="0" w:color="auto"/>
        <w:right w:val="none" w:sz="0" w:space="0" w:color="auto"/>
      </w:divBdr>
    </w:div>
    <w:div w:id="1425109611">
      <w:bodyDiv w:val="1"/>
      <w:marLeft w:val="0"/>
      <w:marRight w:val="0"/>
      <w:marTop w:val="0"/>
      <w:marBottom w:val="0"/>
      <w:divBdr>
        <w:top w:val="none" w:sz="0" w:space="0" w:color="auto"/>
        <w:left w:val="none" w:sz="0" w:space="0" w:color="auto"/>
        <w:bottom w:val="none" w:sz="0" w:space="0" w:color="auto"/>
        <w:right w:val="none" w:sz="0" w:space="0" w:color="auto"/>
      </w:divBdr>
    </w:div>
    <w:div w:id="1430615613">
      <w:bodyDiv w:val="1"/>
      <w:marLeft w:val="0"/>
      <w:marRight w:val="0"/>
      <w:marTop w:val="0"/>
      <w:marBottom w:val="0"/>
      <w:divBdr>
        <w:top w:val="none" w:sz="0" w:space="0" w:color="auto"/>
        <w:left w:val="none" w:sz="0" w:space="0" w:color="auto"/>
        <w:bottom w:val="none" w:sz="0" w:space="0" w:color="auto"/>
        <w:right w:val="none" w:sz="0" w:space="0" w:color="auto"/>
      </w:divBdr>
    </w:div>
    <w:div w:id="1434860024">
      <w:bodyDiv w:val="1"/>
      <w:marLeft w:val="0"/>
      <w:marRight w:val="0"/>
      <w:marTop w:val="0"/>
      <w:marBottom w:val="0"/>
      <w:divBdr>
        <w:top w:val="none" w:sz="0" w:space="0" w:color="auto"/>
        <w:left w:val="none" w:sz="0" w:space="0" w:color="auto"/>
        <w:bottom w:val="none" w:sz="0" w:space="0" w:color="auto"/>
        <w:right w:val="none" w:sz="0" w:space="0" w:color="auto"/>
      </w:divBdr>
    </w:div>
    <w:div w:id="1445878367">
      <w:bodyDiv w:val="1"/>
      <w:marLeft w:val="0"/>
      <w:marRight w:val="0"/>
      <w:marTop w:val="0"/>
      <w:marBottom w:val="0"/>
      <w:divBdr>
        <w:top w:val="none" w:sz="0" w:space="0" w:color="auto"/>
        <w:left w:val="none" w:sz="0" w:space="0" w:color="auto"/>
        <w:bottom w:val="none" w:sz="0" w:space="0" w:color="auto"/>
        <w:right w:val="none" w:sz="0" w:space="0" w:color="auto"/>
      </w:divBdr>
    </w:div>
    <w:div w:id="1465464273">
      <w:bodyDiv w:val="1"/>
      <w:marLeft w:val="0"/>
      <w:marRight w:val="0"/>
      <w:marTop w:val="0"/>
      <w:marBottom w:val="0"/>
      <w:divBdr>
        <w:top w:val="none" w:sz="0" w:space="0" w:color="auto"/>
        <w:left w:val="none" w:sz="0" w:space="0" w:color="auto"/>
        <w:bottom w:val="none" w:sz="0" w:space="0" w:color="auto"/>
        <w:right w:val="none" w:sz="0" w:space="0" w:color="auto"/>
      </w:divBdr>
    </w:div>
    <w:div w:id="1477794769">
      <w:bodyDiv w:val="1"/>
      <w:marLeft w:val="0"/>
      <w:marRight w:val="0"/>
      <w:marTop w:val="0"/>
      <w:marBottom w:val="0"/>
      <w:divBdr>
        <w:top w:val="none" w:sz="0" w:space="0" w:color="auto"/>
        <w:left w:val="none" w:sz="0" w:space="0" w:color="auto"/>
        <w:bottom w:val="none" w:sz="0" w:space="0" w:color="auto"/>
        <w:right w:val="none" w:sz="0" w:space="0" w:color="auto"/>
      </w:divBdr>
    </w:div>
    <w:div w:id="1485702857">
      <w:bodyDiv w:val="1"/>
      <w:marLeft w:val="0"/>
      <w:marRight w:val="0"/>
      <w:marTop w:val="0"/>
      <w:marBottom w:val="0"/>
      <w:divBdr>
        <w:top w:val="none" w:sz="0" w:space="0" w:color="auto"/>
        <w:left w:val="none" w:sz="0" w:space="0" w:color="auto"/>
        <w:bottom w:val="none" w:sz="0" w:space="0" w:color="auto"/>
        <w:right w:val="none" w:sz="0" w:space="0" w:color="auto"/>
      </w:divBdr>
    </w:div>
    <w:div w:id="1488089082">
      <w:bodyDiv w:val="1"/>
      <w:marLeft w:val="0"/>
      <w:marRight w:val="0"/>
      <w:marTop w:val="0"/>
      <w:marBottom w:val="0"/>
      <w:divBdr>
        <w:top w:val="none" w:sz="0" w:space="0" w:color="auto"/>
        <w:left w:val="none" w:sz="0" w:space="0" w:color="auto"/>
        <w:bottom w:val="none" w:sz="0" w:space="0" w:color="auto"/>
        <w:right w:val="none" w:sz="0" w:space="0" w:color="auto"/>
      </w:divBdr>
    </w:div>
    <w:div w:id="1491101000">
      <w:bodyDiv w:val="1"/>
      <w:marLeft w:val="0"/>
      <w:marRight w:val="0"/>
      <w:marTop w:val="0"/>
      <w:marBottom w:val="0"/>
      <w:divBdr>
        <w:top w:val="none" w:sz="0" w:space="0" w:color="auto"/>
        <w:left w:val="none" w:sz="0" w:space="0" w:color="auto"/>
        <w:bottom w:val="none" w:sz="0" w:space="0" w:color="auto"/>
        <w:right w:val="none" w:sz="0" w:space="0" w:color="auto"/>
      </w:divBdr>
    </w:div>
    <w:div w:id="1491870742">
      <w:bodyDiv w:val="1"/>
      <w:marLeft w:val="0"/>
      <w:marRight w:val="0"/>
      <w:marTop w:val="0"/>
      <w:marBottom w:val="0"/>
      <w:divBdr>
        <w:top w:val="none" w:sz="0" w:space="0" w:color="auto"/>
        <w:left w:val="none" w:sz="0" w:space="0" w:color="auto"/>
        <w:bottom w:val="none" w:sz="0" w:space="0" w:color="auto"/>
        <w:right w:val="none" w:sz="0" w:space="0" w:color="auto"/>
      </w:divBdr>
    </w:div>
    <w:div w:id="1492137166">
      <w:bodyDiv w:val="1"/>
      <w:marLeft w:val="0"/>
      <w:marRight w:val="0"/>
      <w:marTop w:val="0"/>
      <w:marBottom w:val="0"/>
      <w:divBdr>
        <w:top w:val="none" w:sz="0" w:space="0" w:color="auto"/>
        <w:left w:val="none" w:sz="0" w:space="0" w:color="auto"/>
        <w:bottom w:val="none" w:sz="0" w:space="0" w:color="auto"/>
        <w:right w:val="none" w:sz="0" w:space="0" w:color="auto"/>
      </w:divBdr>
    </w:div>
    <w:div w:id="1493595335">
      <w:bodyDiv w:val="1"/>
      <w:marLeft w:val="0"/>
      <w:marRight w:val="0"/>
      <w:marTop w:val="0"/>
      <w:marBottom w:val="0"/>
      <w:divBdr>
        <w:top w:val="none" w:sz="0" w:space="0" w:color="auto"/>
        <w:left w:val="none" w:sz="0" w:space="0" w:color="auto"/>
        <w:bottom w:val="none" w:sz="0" w:space="0" w:color="auto"/>
        <w:right w:val="none" w:sz="0" w:space="0" w:color="auto"/>
      </w:divBdr>
    </w:div>
    <w:div w:id="1493713142">
      <w:bodyDiv w:val="1"/>
      <w:marLeft w:val="0"/>
      <w:marRight w:val="0"/>
      <w:marTop w:val="0"/>
      <w:marBottom w:val="0"/>
      <w:divBdr>
        <w:top w:val="none" w:sz="0" w:space="0" w:color="auto"/>
        <w:left w:val="none" w:sz="0" w:space="0" w:color="auto"/>
        <w:bottom w:val="none" w:sz="0" w:space="0" w:color="auto"/>
        <w:right w:val="none" w:sz="0" w:space="0" w:color="auto"/>
      </w:divBdr>
    </w:div>
    <w:div w:id="1493910999">
      <w:bodyDiv w:val="1"/>
      <w:marLeft w:val="0"/>
      <w:marRight w:val="0"/>
      <w:marTop w:val="0"/>
      <w:marBottom w:val="0"/>
      <w:divBdr>
        <w:top w:val="none" w:sz="0" w:space="0" w:color="auto"/>
        <w:left w:val="none" w:sz="0" w:space="0" w:color="auto"/>
        <w:bottom w:val="none" w:sz="0" w:space="0" w:color="auto"/>
        <w:right w:val="none" w:sz="0" w:space="0" w:color="auto"/>
      </w:divBdr>
    </w:div>
    <w:div w:id="1499689127">
      <w:bodyDiv w:val="1"/>
      <w:marLeft w:val="0"/>
      <w:marRight w:val="0"/>
      <w:marTop w:val="0"/>
      <w:marBottom w:val="0"/>
      <w:divBdr>
        <w:top w:val="none" w:sz="0" w:space="0" w:color="auto"/>
        <w:left w:val="none" w:sz="0" w:space="0" w:color="auto"/>
        <w:bottom w:val="none" w:sz="0" w:space="0" w:color="auto"/>
        <w:right w:val="none" w:sz="0" w:space="0" w:color="auto"/>
      </w:divBdr>
    </w:div>
    <w:div w:id="1513374644">
      <w:bodyDiv w:val="1"/>
      <w:marLeft w:val="0"/>
      <w:marRight w:val="0"/>
      <w:marTop w:val="0"/>
      <w:marBottom w:val="0"/>
      <w:divBdr>
        <w:top w:val="none" w:sz="0" w:space="0" w:color="auto"/>
        <w:left w:val="none" w:sz="0" w:space="0" w:color="auto"/>
        <w:bottom w:val="none" w:sz="0" w:space="0" w:color="auto"/>
        <w:right w:val="none" w:sz="0" w:space="0" w:color="auto"/>
      </w:divBdr>
    </w:div>
    <w:div w:id="1523661985">
      <w:bodyDiv w:val="1"/>
      <w:marLeft w:val="0"/>
      <w:marRight w:val="0"/>
      <w:marTop w:val="0"/>
      <w:marBottom w:val="0"/>
      <w:divBdr>
        <w:top w:val="none" w:sz="0" w:space="0" w:color="auto"/>
        <w:left w:val="none" w:sz="0" w:space="0" w:color="auto"/>
        <w:bottom w:val="none" w:sz="0" w:space="0" w:color="auto"/>
        <w:right w:val="none" w:sz="0" w:space="0" w:color="auto"/>
      </w:divBdr>
    </w:div>
    <w:div w:id="1536238445">
      <w:bodyDiv w:val="1"/>
      <w:marLeft w:val="0"/>
      <w:marRight w:val="0"/>
      <w:marTop w:val="0"/>
      <w:marBottom w:val="0"/>
      <w:divBdr>
        <w:top w:val="none" w:sz="0" w:space="0" w:color="auto"/>
        <w:left w:val="none" w:sz="0" w:space="0" w:color="auto"/>
        <w:bottom w:val="none" w:sz="0" w:space="0" w:color="auto"/>
        <w:right w:val="none" w:sz="0" w:space="0" w:color="auto"/>
      </w:divBdr>
    </w:div>
    <w:div w:id="1540126855">
      <w:bodyDiv w:val="1"/>
      <w:marLeft w:val="0"/>
      <w:marRight w:val="0"/>
      <w:marTop w:val="0"/>
      <w:marBottom w:val="0"/>
      <w:divBdr>
        <w:top w:val="none" w:sz="0" w:space="0" w:color="auto"/>
        <w:left w:val="none" w:sz="0" w:space="0" w:color="auto"/>
        <w:bottom w:val="none" w:sz="0" w:space="0" w:color="auto"/>
        <w:right w:val="none" w:sz="0" w:space="0" w:color="auto"/>
      </w:divBdr>
    </w:div>
    <w:div w:id="1542091099">
      <w:bodyDiv w:val="1"/>
      <w:marLeft w:val="0"/>
      <w:marRight w:val="0"/>
      <w:marTop w:val="0"/>
      <w:marBottom w:val="0"/>
      <w:divBdr>
        <w:top w:val="none" w:sz="0" w:space="0" w:color="auto"/>
        <w:left w:val="none" w:sz="0" w:space="0" w:color="auto"/>
        <w:bottom w:val="none" w:sz="0" w:space="0" w:color="auto"/>
        <w:right w:val="none" w:sz="0" w:space="0" w:color="auto"/>
      </w:divBdr>
    </w:div>
    <w:div w:id="1545748108">
      <w:bodyDiv w:val="1"/>
      <w:marLeft w:val="0"/>
      <w:marRight w:val="0"/>
      <w:marTop w:val="0"/>
      <w:marBottom w:val="0"/>
      <w:divBdr>
        <w:top w:val="none" w:sz="0" w:space="0" w:color="auto"/>
        <w:left w:val="none" w:sz="0" w:space="0" w:color="auto"/>
        <w:bottom w:val="none" w:sz="0" w:space="0" w:color="auto"/>
        <w:right w:val="none" w:sz="0" w:space="0" w:color="auto"/>
      </w:divBdr>
    </w:div>
    <w:div w:id="1546679457">
      <w:bodyDiv w:val="1"/>
      <w:marLeft w:val="0"/>
      <w:marRight w:val="0"/>
      <w:marTop w:val="0"/>
      <w:marBottom w:val="0"/>
      <w:divBdr>
        <w:top w:val="none" w:sz="0" w:space="0" w:color="auto"/>
        <w:left w:val="none" w:sz="0" w:space="0" w:color="auto"/>
        <w:bottom w:val="none" w:sz="0" w:space="0" w:color="auto"/>
        <w:right w:val="none" w:sz="0" w:space="0" w:color="auto"/>
      </w:divBdr>
    </w:div>
    <w:div w:id="1547453061">
      <w:bodyDiv w:val="1"/>
      <w:marLeft w:val="0"/>
      <w:marRight w:val="0"/>
      <w:marTop w:val="0"/>
      <w:marBottom w:val="0"/>
      <w:divBdr>
        <w:top w:val="none" w:sz="0" w:space="0" w:color="auto"/>
        <w:left w:val="none" w:sz="0" w:space="0" w:color="auto"/>
        <w:bottom w:val="none" w:sz="0" w:space="0" w:color="auto"/>
        <w:right w:val="none" w:sz="0" w:space="0" w:color="auto"/>
      </w:divBdr>
    </w:div>
    <w:div w:id="1561557739">
      <w:bodyDiv w:val="1"/>
      <w:marLeft w:val="0"/>
      <w:marRight w:val="0"/>
      <w:marTop w:val="0"/>
      <w:marBottom w:val="0"/>
      <w:divBdr>
        <w:top w:val="none" w:sz="0" w:space="0" w:color="auto"/>
        <w:left w:val="none" w:sz="0" w:space="0" w:color="auto"/>
        <w:bottom w:val="none" w:sz="0" w:space="0" w:color="auto"/>
        <w:right w:val="none" w:sz="0" w:space="0" w:color="auto"/>
      </w:divBdr>
    </w:div>
    <w:div w:id="1562013775">
      <w:bodyDiv w:val="1"/>
      <w:marLeft w:val="0"/>
      <w:marRight w:val="0"/>
      <w:marTop w:val="0"/>
      <w:marBottom w:val="0"/>
      <w:divBdr>
        <w:top w:val="none" w:sz="0" w:space="0" w:color="auto"/>
        <w:left w:val="none" w:sz="0" w:space="0" w:color="auto"/>
        <w:bottom w:val="none" w:sz="0" w:space="0" w:color="auto"/>
        <w:right w:val="none" w:sz="0" w:space="0" w:color="auto"/>
      </w:divBdr>
    </w:div>
    <w:div w:id="1564178343">
      <w:bodyDiv w:val="1"/>
      <w:marLeft w:val="0"/>
      <w:marRight w:val="0"/>
      <w:marTop w:val="0"/>
      <w:marBottom w:val="0"/>
      <w:divBdr>
        <w:top w:val="none" w:sz="0" w:space="0" w:color="auto"/>
        <w:left w:val="none" w:sz="0" w:space="0" w:color="auto"/>
        <w:bottom w:val="none" w:sz="0" w:space="0" w:color="auto"/>
        <w:right w:val="none" w:sz="0" w:space="0" w:color="auto"/>
      </w:divBdr>
    </w:div>
    <w:div w:id="1567060675">
      <w:bodyDiv w:val="1"/>
      <w:marLeft w:val="0"/>
      <w:marRight w:val="0"/>
      <w:marTop w:val="0"/>
      <w:marBottom w:val="0"/>
      <w:divBdr>
        <w:top w:val="none" w:sz="0" w:space="0" w:color="auto"/>
        <w:left w:val="none" w:sz="0" w:space="0" w:color="auto"/>
        <w:bottom w:val="none" w:sz="0" w:space="0" w:color="auto"/>
        <w:right w:val="none" w:sz="0" w:space="0" w:color="auto"/>
      </w:divBdr>
    </w:div>
    <w:div w:id="1577857475">
      <w:bodyDiv w:val="1"/>
      <w:marLeft w:val="0"/>
      <w:marRight w:val="0"/>
      <w:marTop w:val="0"/>
      <w:marBottom w:val="0"/>
      <w:divBdr>
        <w:top w:val="none" w:sz="0" w:space="0" w:color="auto"/>
        <w:left w:val="none" w:sz="0" w:space="0" w:color="auto"/>
        <w:bottom w:val="none" w:sz="0" w:space="0" w:color="auto"/>
        <w:right w:val="none" w:sz="0" w:space="0" w:color="auto"/>
      </w:divBdr>
      <w:divsChild>
        <w:div w:id="338507165">
          <w:marLeft w:val="0"/>
          <w:marRight w:val="0"/>
          <w:marTop w:val="0"/>
          <w:marBottom w:val="0"/>
          <w:divBdr>
            <w:top w:val="none" w:sz="0" w:space="0" w:color="auto"/>
            <w:left w:val="none" w:sz="0" w:space="0" w:color="auto"/>
            <w:bottom w:val="none" w:sz="0" w:space="0" w:color="auto"/>
            <w:right w:val="none" w:sz="0" w:space="0" w:color="auto"/>
          </w:divBdr>
          <w:divsChild>
            <w:div w:id="137260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0288839">
      <w:bodyDiv w:val="1"/>
      <w:marLeft w:val="0"/>
      <w:marRight w:val="0"/>
      <w:marTop w:val="0"/>
      <w:marBottom w:val="0"/>
      <w:divBdr>
        <w:top w:val="none" w:sz="0" w:space="0" w:color="auto"/>
        <w:left w:val="none" w:sz="0" w:space="0" w:color="auto"/>
        <w:bottom w:val="none" w:sz="0" w:space="0" w:color="auto"/>
        <w:right w:val="none" w:sz="0" w:space="0" w:color="auto"/>
      </w:divBdr>
    </w:div>
    <w:div w:id="1586763569">
      <w:bodyDiv w:val="1"/>
      <w:marLeft w:val="0"/>
      <w:marRight w:val="0"/>
      <w:marTop w:val="0"/>
      <w:marBottom w:val="0"/>
      <w:divBdr>
        <w:top w:val="none" w:sz="0" w:space="0" w:color="auto"/>
        <w:left w:val="none" w:sz="0" w:space="0" w:color="auto"/>
        <w:bottom w:val="none" w:sz="0" w:space="0" w:color="auto"/>
        <w:right w:val="none" w:sz="0" w:space="0" w:color="auto"/>
      </w:divBdr>
    </w:div>
    <w:div w:id="1587762015">
      <w:bodyDiv w:val="1"/>
      <w:marLeft w:val="0"/>
      <w:marRight w:val="0"/>
      <w:marTop w:val="0"/>
      <w:marBottom w:val="0"/>
      <w:divBdr>
        <w:top w:val="none" w:sz="0" w:space="0" w:color="auto"/>
        <w:left w:val="none" w:sz="0" w:space="0" w:color="auto"/>
        <w:bottom w:val="none" w:sz="0" w:space="0" w:color="auto"/>
        <w:right w:val="none" w:sz="0" w:space="0" w:color="auto"/>
      </w:divBdr>
    </w:div>
    <w:div w:id="1595505787">
      <w:bodyDiv w:val="1"/>
      <w:marLeft w:val="0"/>
      <w:marRight w:val="0"/>
      <w:marTop w:val="0"/>
      <w:marBottom w:val="0"/>
      <w:divBdr>
        <w:top w:val="none" w:sz="0" w:space="0" w:color="auto"/>
        <w:left w:val="none" w:sz="0" w:space="0" w:color="auto"/>
        <w:bottom w:val="none" w:sz="0" w:space="0" w:color="auto"/>
        <w:right w:val="none" w:sz="0" w:space="0" w:color="auto"/>
      </w:divBdr>
    </w:div>
    <w:div w:id="1602452036">
      <w:bodyDiv w:val="1"/>
      <w:marLeft w:val="0"/>
      <w:marRight w:val="0"/>
      <w:marTop w:val="0"/>
      <w:marBottom w:val="0"/>
      <w:divBdr>
        <w:top w:val="none" w:sz="0" w:space="0" w:color="auto"/>
        <w:left w:val="none" w:sz="0" w:space="0" w:color="auto"/>
        <w:bottom w:val="none" w:sz="0" w:space="0" w:color="auto"/>
        <w:right w:val="none" w:sz="0" w:space="0" w:color="auto"/>
      </w:divBdr>
    </w:div>
    <w:div w:id="1606383102">
      <w:bodyDiv w:val="1"/>
      <w:marLeft w:val="0"/>
      <w:marRight w:val="0"/>
      <w:marTop w:val="0"/>
      <w:marBottom w:val="0"/>
      <w:divBdr>
        <w:top w:val="none" w:sz="0" w:space="0" w:color="auto"/>
        <w:left w:val="none" w:sz="0" w:space="0" w:color="auto"/>
        <w:bottom w:val="none" w:sz="0" w:space="0" w:color="auto"/>
        <w:right w:val="none" w:sz="0" w:space="0" w:color="auto"/>
      </w:divBdr>
    </w:div>
    <w:div w:id="1606421391">
      <w:bodyDiv w:val="1"/>
      <w:marLeft w:val="0"/>
      <w:marRight w:val="0"/>
      <w:marTop w:val="0"/>
      <w:marBottom w:val="0"/>
      <w:divBdr>
        <w:top w:val="none" w:sz="0" w:space="0" w:color="auto"/>
        <w:left w:val="none" w:sz="0" w:space="0" w:color="auto"/>
        <w:bottom w:val="none" w:sz="0" w:space="0" w:color="auto"/>
        <w:right w:val="none" w:sz="0" w:space="0" w:color="auto"/>
      </w:divBdr>
    </w:div>
    <w:div w:id="1610966218">
      <w:bodyDiv w:val="1"/>
      <w:marLeft w:val="0"/>
      <w:marRight w:val="0"/>
      <w:marTop w:val="0"/>
      <w:marBottom w:val="0"/>
      <w:divBdr>
        <w:top w:val="none" w:sz="0" w:space="0" w:color="auto"/>
        <w:left w:val="none" w:sz="0" w:space="0" w:color="auto"/>
        <w:bottom w:val="none" w:sz="0" w:space="0" w:color="auto"/>
        <w:right w:val="none" w:sz="0" w:space="0" w:color="auto"/>
      </w:divBdr>
    </w:div>
    <w:div w:id="1635792027">
      <w:bodyDiv w:val="1"/>
      <w:marLeft w:val="0"/>
      <w:marRight w:val="0"/>
      <w:marTop w:val="0"/>
      <w:marBottom w:val="0"/>
      <w:divBdr>
        <w:top w:val="none" w:sz="0" w:space="0" w:color="auto"/>
        <w:left w:val="none" w:sz="0" w:space="0" w:color="auto"/>
        <w:bottom w:val="none" w:sz="0" w:space="0" w:color="auto"/>
        <w:right w:val="none" w:sz="0" w:space="0" w:color="auto"/>
      </w:divBdr>
    </w:div>
    <w:div w:id="1644239327">
      <w:bodyDiv w:val="1"/>
      <w:marLeft w:val="0"/>
      <w:marRight w:val="0"/>
      <w:marTop w:val="0"/>
      <w:marBottom w:val="0"/>
      <w:divBdr>
        <w:top w:val="none" w:sz="0" w:space="0" w:color="auto"/>
        <w:left w:val="none" w:sz="0" w:space="0" w:color="auto"/>
        <w:bottom w:val="none" w:sz="0" w:space="0" w:color="auto"/>
        <w:right w:val="none" w:sz="0" w:space="0" w:color="auto"/>
      </w:divBdr>
    </w:div>
    <w:div w:id="1655989324">
      <w:bodyDiv w:val="1"/>
      <w:marLeft w:val="0"/>
      <w:marRight w:val="0"/>
      <w:marTop w:val="0"/>
      <w:marBottom w:val="0"/>
      <w:divBdr>
        <w:top w:val="none" w:sz="0" w:space="0" w:color="auto"/>
        <w:left w:val="none" w:sz="0" w:space="0" w:color="auto"/>
        <w:bottom w:val="none" w:sz="0" w:space="0" w:color="auto"/>
        <w:right w:val="none" w:sz="0" w:space="0" w:color="auto"/>
      </w:divBdr>
    </w:div>
    <w:div w:id="1665622631">
      <w:bodyDiv w:val="1"/>
      <w:marLeft w:val="0"/>
      <w:marRight w:val="0"/>
      <w:marTop w:val="0"/>
      <w:marBottom w:val="0"/>
      <w:divBdr>
        <w:top w:val="none" w:sz="0" w:space="0" w:color="auto"/>
        <w:left w:val="none" w:sz="0" w:space="0" w:color="auto"/>
        <w:bottom w:val="none" w:sz="0" w:space="0" w:color="auto"/>
        <w:right w:val="none" w:sz="0" w:space="0" w:color="auto"/>
      </w:divBdr>
    </w:div>
    <w:div w:id="1667437485">
      <w:bodyDiv w:val="1"/>
      <w:marLeft w:val="0"/>
      <w:marRight w:val="0"/>
      <w:marTop w:val="0"/>
      <w:marBottom w:val="0"/>
      <w:divBdr>
        <w:top w:val="none" w:sz="0" w:space="0" w:color="auto"/>
        <w:left w:val="none" w:sz="0" w:space="0" w:color="auto"/>
        <w:bottom w:val="none" w:sz="0" w:space="0" w:color="auto"/>
        <w:right w:val="none" w:sz="0" w:space="0" w:color="auto"/>
      </w:divBdr>
    </w:div>
    <w:div w:id="1705405261">
      <w:bodyDiv w:val="1"/>
      <w:marLeft w:val="0"/>
      <w:marRight w:val="0"/>
      <w:marTop w:val="0"/>
      <w:marBottom w:val="0"/>
      <w:divBdr>
        <w:top w:val="none" w:sz="0" w:space="0" w:color="auto"/>
        <w:left w:val="none" w:sz="0" w:space="0" w:color="auto"/>
        <w:bottom w:val="none" w:sz="0" w:space="0" w:color="auto"/>
        <w:right w:val="none" w:sz="0" w:space="0" w:color="auto"/>
      </w:divBdr>
    </w:div>
    <w:div w:id="1708875789">
      <w:bodyDiv w:val="1"/>
      <w:marLeft w:val="0"/>
      <w:marRight w:val="0"/>
      <w:marTop w:val="0"/>
      <w:marBottom w:val="0"/>
      <w:divBdr>
        <w:top w:val="none" w:sz="0" w:space="0" w:color="auto"/>
        <w:left w:val="none" w:sz="0" w:space="0" w:color="auto"/>
        <w:bottom w:val="none" w:sz="0" w:space="0" w:color="auto"/>
        <w:right w:val="none" w:sz="0" w:space="0" w:color="auto"/>
      </w:divBdr>
    </w:div>
    <w:div w:id="1713111385">
      <w:bodyDiv w:val="1"/>
      <w:marLeft w:val="0"/>
      <w:marRight w:val="0"/>
      <w:marTop w:val="0"/>
      <w:marBottom w:val="0"/>
      <w:divBdr>
        <w:top w:val="none" w:sz="0" w:space="0" w:color="auto"/>
        <w:left w:val="none" w:sz="0" w:space="0" w:color="auto"/>
        <w:bottom w:val="none" w:sz="0" w:space="0" w:color="auto"/>
        <w:right w:val="none" w:sz="0" w:space="0" w:color="auto"/>
      </w:divBdr>
    </w:div>
    <w:div w:id="1716005703">
      <w:bodyDiv w:val="1"/>
      <w:marLeft w:val="0"/>
      <w:marRight w:val="0"/>
      <w:marTop w:val="0"/>
      <w:marBottom w:val="0"/>
      <w:divBdr>
        <w:top w:val="none" w:sz="0" w:space="0" w:color="auto"/>
        <w:left w:val="none" w:sz="0" w:space="0" w:color="auto"/>
        <w:bottom w:val="none" w:sz="0" w:space="0" w:color="auto"/>
        <w:right w:val="none" w:sz="0" w:space="0" w:color="auto"/>
      </w:divBdr>
    </w:div>
    <w:div w:id="1716857259">
      <w:bodyDiv w:val="1"/>
      <w:marLeft w:val="0"/>
      <w:marRight w:val="0"/>
      <w:marTop w:val="0"/>
      <w:marBottom w:val="0"/>
      <w:divBdr>
        <w:top w:val="none" w:sz="0" w:space="0" w:color="auto"/>
        <w:left w:val="none" w:sz="0" w:space="0" w:color="auto"/>
        <w:bottom w:val="none" w:sz="0" w:space="0" w:color="auto"/>
        <w:right w:val="none" w:sz="0" w:space="0" w:color="auto"/>
      </w:divBdr>
    </w:div>
    <w:div w:id="1718582205">
      <w:bodyDiv w:val="1"/>
      <w:marLeft w:val="0"/>
      <w:marRight w:val="0"/>
      <w:marTop w:val="0"/>
      <w:marBottom w:val="0"/>
      <w:divBdr>
        <w:top w:val="none" w:sz="0" w:space="0" w:color="auto"/>
        <w:left w:val="none" w:sz="0" w:space="0" w:color="auto"/>
        <w:bottom w:val="none" w:sz="0" w:space="0" w:color="auto"/>
        <w:right w:val="none" w:sz="0" w:space="0" w:color="auto"/>
      </w:divBdr>
    </w:div>
    <w:div w:id="1718703849">
      <w:bodyDiv w:val="1"/>
      <w:marLeft w:val="0"/>
      <w:marRight w:val="0"/>
      <w:marTop w:val="0"/>
      <w:marBottom w:val="0"/>
      <w:divBdr>
        <w:top w:val="none" w:sz="0" w:space="0" w:color="auto"/>
        <w:left w:val="none" w:sz="0" w:space="0" w:color="auto"/>
        <w:bottom w:val="none" w:sz="0" w:space="0" w:color="auto"/>
        <w:right w:val="none" w:sz="0" w:space="0" w:color="auto"/>
      </w:divBdr>
    </w:div>
    <w:div w:id="1744446948">
      <w:bodyDiv w:val="1"/>
      <w:marLeft w:val="0"/>
      <w:marRight w:val="0"/>
      <w:marTop w:val="0"/>
      <w:marBottom w:val="0"/>
      <w:divBdr>
        <w:top w:val="none" w:sz="0" w:space="0" w:color="auto"/>
        <w:left w:val="none" w:sz="0" w:space="0" w:color="auto"/>
        <w:bottom w:val="none" w:sz="0" w:space="0" w:color="auto"/>
        <w:right w:val="none" w:sz="0" w:space="0" w:color="auto"/>
      </w:divBdr>
    </w:div>
    <w:div w:id="1747531466">
      <w:bodyDiv w:val="1"/>
      <w:marLeft w:val="0"/>
      <w:marRight w:val="0"/>
      <w:marTop w:val="0"/>
      <w:marBottom w:val="0"/>
      <w:divBdr>
        <w:top w:val="none" w:sz="0" w:space="0" w:color="auto"/>
        <w:left w:val="none" w:sz="0" w:space="0" w:color="auto"/>
        <w:bottom w:val="none" w:sz="0" w:space="0" w:color="auto"/>
        <w:right w:val="none" w:sz="0" w:space="0" w:color="auto"/>
      </w:divBdr>
    </w:div>
    <w:div w:id="1752392430">
      <w:bodyDiv w:val="1"/>
      <w:marLeft w:val="0"/>
      <w:marRight w:val="0"/>
      <w:marTop w:val="0"/>
      <w:marBottom w:val="0"/>
      <w:divBdr>
        <w:top w:val="none" w:sz="0" w:space="0" w:color="auto"/>
        <w:left w:val="none" w:sz="0" w:space="0" w:color="auto"/>
        <w:bottom w:val="none" w:sz="0" w:space="0" w:color="auto"/>
        <w:right w:val="none" w:sz="0" w:space="0" w:color="auto"/>
      </w:divBdr>
    </w:div>
    <w:div w:id="1752891551">
      <w:bodyDiv w:val="1"/>
      <w:marLeft w:val="0"/>
      <w:marRight w:val="0"/>
      <w:marTop w:val="0"/>
      <w:marBottom w:val="0"/>
      <w:divBdr>
        <w:top w:val="none" w:sz="0" w:space="0" w:color="auto"/>
        <w:left w:val="none" w:sz="0" w:space="0" w:color="auto"/>
        <w:bottom w:val="none" w:sz="0" w:space="0" w:color="auto"/>
        <w:right w:val="none" w:sz="0" w:space="0" w:color="auto"/>
      </w:divBdr>
    </w:div>
    <w:div w:id="1753431902">
      <w:bodyDiv w:val="1"/>
      <w:marLeft w:val="0"/>
      <w:marRight w:val="0"/>
      <w:marTop w:val="0"/>
      <w:marBottom w:val="0"/>
      <w:divBdr>
        <w:top w:val="none" w:sz="0" w:space="0" w:color="auto"/>
        <w:left w:val="none" w:sz="0" w:space="0" w:color="auto"/>
        <w:bottom w:val="none" w:sz="0" w:space="0" w:color="auto"/>
        <w:right w:val="none" w:sz="0" w:space="0" w:color="auto"/>
      </w:divBdr>
    </w:div>
    <w:div w:id="1755589881">
      <w:bodyDiv w:val="1"/>
      <w:marLeft w:val="0"/>
      <w:marRight w:val="0"/>
      <w:marTop w:val="0"/>
      <w:marBottom w:val="0"/>
      <w:divBdr>
        <w:top w:val="none" w:sz="0" w:space="0" w:color="auto"/>
        <w:left w:val="none" w:sz="0" w:space="0" w:color="auto"/>
        <w:bottom w:val="none" w:sz="0" w:space="0" w:color="auto"/>
        <w:right w:val="none" w:sz="0" w:space="0" w:color="auto"/>
      </w:divBdr>
    </w:div>
    <w:div w:id="1759131338">
      <w:bodyDiv w:val="1"/>
      <w:marLeft w:val="0"/>
      <w:marRight w:val="0"/>
      <w:marTop w:val="0"/>
      <w:marBottom w:val="0"/>
      <w:divBdr>
        <w:top w:val="none" w:sz="0" w:space="0" w:color="auto"/>
        <w:left w:val="none" w:sz="0" w:space="0" w:color="auto"/>
        <w:bottom w:val="none" w:sz="0" w:space="0" w:color="auto"/>
        <w:right w:val="none" w:sz="0" w:space="0" w:color="auto"/>
      </w:divBdr>
    </w:div>
    <w:div w:id="1761756164">
      <w:bodyDiv w:val="1"/>
      <w:marLeft w:val="0"/>
      <w:marRight w:val="0"/>
      <w:marTop w:val="0"/>
      <w:marBottom w:val="0"/>
      <w:divBdr>
        <w:top w:val="none" w:sz="0" w:space="0" w:color="auto"/>
        <w:left w:val="none" w:sz="0" w:space="0" w:color="auto"/>
        <w:bottom w:val="none" w:sz="0" w:space="0" w:color="auto"/>
        <w:right w:val="none" w:sz="0" w:space="0" w:color="auto"/>
      </w:divBdr>
    </w:div>
    <w:div w:id="1765956669">
      <w:bodyDiv w:val="1"/>
      <w:marLeft w:val="0"/>
      <w:marRight w:val="0"/>
      <w:marTop w:val="0"/>
      <w:marBottom w:val="0"/>
      <w:divBdr>
        <w:top w:val="none" w:sz="0" w:space="0" w:color="auto"/>
        <w:left w:val="none" w:sz="0" w:space="0" w:color="auto"/>
        <w:bottom w:val="none" w:sz="0" w:space="0" w:color="auto"/>
        <w:right w:val="none" w:sz="0" w:space="0" w:color="auto"/>
      </w:divBdr>
    </w:div>
    <w:div w:id="1784959694">
      <w:bodyDiv w:val="1"/>
      <w:marLeft w:val="0"/>
      <w:marRight w:val="0"/>
      <w:marTop w:val="0"/>
      <w:marBottom w:val="0"/>
      <w:divBdr>
        <w:top w:val="none" w:sz="0" w:space="0" w:color="auto"/>
        <w:left w:val="none" w:sz="0" w:space="0" w:color="auto"/>
        <w:bottom w:val="none" w:sz="0" w:space="0" w:color="auto"/>
        <w:right w:val="none" w:sz="0" w:space="0" w:color="auto"/>
      </w:divBdr>
    </w:div>
    <w:div w:id="1787193679">
      <w:bodyDiv w:val="1"/>
      <w:marLeft w:val="0"/>
      <w:marRight w:val="0"/>
      <w:marTop w:val="0"/>
      <w:marBottom w:val="0"/>
      <w:divBdr>
        <w:top w:val="none" w:sz="0" w:space="0" w:color="auto"/>
        <w:left w:val="none" w:sz="0" w:space="0" w:color="auto"/>
        <w:bottom w:val="none" w:sz="0" w:space="0" w:color="auto"/>
        <w:right w:val="none" w:sz="0" w:space="0" w:color="auto"/>
      </w:divBdr>
    </w:div>
    <w:div w:id="1791506240">
      <w:bodyDiv w:val="1"/>
      <w:marLeft w:val="0"/>
      <w:marRight w:val="0"/>
      <w:marTop w:val="0"/>
      <w:marBottom w:val="0"/>
      <w:divBdr>
        <w:top w:val="none" w:sz="0" w:space="0" w:color="auto"/>
        <w:left w:val="none" w:sz="0" w:space="0" w:color="auto"/>
        <w:bottom w:val="none" w:sz="0" w:space="0" w:color="auto"/>
        <w:right w:val="none" w:sz="0" w:space="0" w:color="auto"/>
      </w:divBdr>
    </w:div>
    <w:div w:id="1794977233">
      <w:bodyDiv w:val="1"/>
      <w:marLeft w:val="0"/>
      <w:marRight w:val="0"/>
      <w:marTop w:val="0"/>
      <w:marBottom w:val="0"/>
      <w:divBdr>
        <w:top w:val="none" w:sz="0" w:space="0" w:color="auto"/>
        <w:left w:val="none" w:sz="0" w:space="0" w:color="auto"/>
        <w:bottom w:val="none" w:sz="0" w:space="0" w:color="auto"/>
        <w:right w:val="none" w:sz="0" w:space="0" w:color="auto"/>
      </w:divBdr>
    </w:div>
    <w:div w:id="1804542661">
      <w:bodyDiv w:val="1"/>
      <w:marLeft w:val="0"/>
      <w:marRight w:val="0"/>
      <w:marTop w:val="0"/>
      <w:marBottom w:val="0"/>
      <w:divBdr>
        <w:top w:val="none" w:sz="0" w:space="0" w:color="auto"/>
        <w:left w:val="none" w:sz="0" w:space="0" w:color="auto"/>
        <w:bottom w:val="none" w:sz="0" w:space="0" w:color="auto"/>
        <w:right w:val="none" w:sz="0" w:space="0" w:color="auto"/>
      </w:divBdr>
    </w:div>
    <w:div w:id="1825243484">
      <w:bodyDiv w:val="1"/>
      <w:marLeft w:val="0"/>
      <w:marRight w:val="0"/>
      <w:marTop w:val="0"/>
      <w:marBottom w:val="0"/>
      <w:divBdr>
        <w:top w:val="none" w:sz="0" w:space="0" w:color="auto"/>
        <w:left w:val="none" w:sz="0" w:space="0" w:color="auto"/>
        <w:bottom w:val="none" w:sz="0" w:space="0" w:color="auto"/>
        <w:right w:val="none" w:sz="0" w:space="0" w:color="auto"/>
      </w:divBdr>
    </w:div>
    <w:div w:id="1825510939">
      <w:bodyDiv w:val="1"/>
      <w:marLeft w:val="0"/>
      <w:marRight w:val="0"/>
      <w:marTop w:val="0"/>
      <w:marBottom w:val="0"/>
      <w:divBdr>
        <w:top w:val="none" w:sz="0" w:space="0" w:color="auto"/>
        <w:left w:val="none" w:sz="0" w:space="0" w:color="auto"/>
        <w:bottom w:val="none" w:sz="0" w:space="0" w:color="auto"/>
        <w:right w:val="none" w:sz="0" w:space="0" w:color="auto"/>
      </w:divBdr>
    </w:div>
    <w:div w:id="1826555480">
      <w:bodyDiv w:val="1"/>
      <w:marLeft w:val="0"/>
      <w:marRight w:val="0"/>
      <w:marTop w:val="0"/>
      <w:marBottom w:val="0"/>
      <w:divBdr>
        <w:top w:val="none" w:sz="0" w:space="0" w:color="auto"/>
        <w:left w:val="none" w:sz="0" w:space="0" w:color="auto"/>
        <w:bottom w:val="none" w:sz="0" w:space="0" w:color="auto"/>
        <w:right w:val="none" w:sz="0" w:space="0" w:color="auto"/>
      </w:divBdr>
    </w:div>
    <w:div w:id="1832401368">
      <w:bodyDiv w:val="1"/>
      <w:marLeft w:val="0"/>
      <w:marRight w:val="0"/>
      <w:marTop w:val="0"/>
      <w:marBottom w:val="0"/>
      <w:divBdr>
        <w:top w:val="none" w:sz="0" w:space="0" w:color="auto"/>
        <w:left w:val="none" w:sz="0" w:space="0" w:color="auto"/>
        <w:bottom w:val="none" w:sz="0" w:space="0" w:color="auto"/>
        <w:right w:val="none" w:sz="0" w:space="0" w:color="auto"/>
      </w:divBdr>
    </w:div>
    <w:div w:id="1841772741">
      <w:bodyDiv w:val="1"/>
      <w:marLeft w:val="0"/>
      <w:marRight w:val="0"/>
      <w:marTop w:val="0"/>
      <w:marBottom w:val="0"/>
      <w:divBdr>
        <w:top w:val="none" w:sz="0" w:space="0" w:color="auto"/>
        <w:left w:val="none" w:sz="0" w:space="0" w:color="auto"/>
        <w:bottom w:val="none" w:sz="0" w:space="0" w:color="auto"/>
        <w:right w:val="none" w:sz="0" w:space="0" w:color="auto"/>
      </w:divBdr>
    </w:div>
    <w:div w:id="1844932475">
      <w:bodyDiv w:val="1"/>
      <w:marLeft w:val="0"/>
      <w:marRight w:val="0"/>
      <w:marTop w:val="0"/>
      <w:marBottom w:val="0"/>
      <w:divBdr>
        <w:top w:val="none" w:sz="0" w:space="0" w:color="auto"/>
        <w:left w:val="none" w:sz="0" w:space="0" w:color="auto"/>
        <w:bottom w:val="none" w:sz="0" w:space="0" w:color="auto"/>
        <w:right w:val="none" w:sz="0" w:space="0" w:color="auto"/>
      </w:divBdr>
    </w:div>
    <w:div w:id="1845897197">
      <w:bodyDiv w:val="1"/>
      <w:marLeft w:val="0"/>
      <w:marRight w:val="0"/>
      <w:marTop w:val="0"/>
      <w:marBottom w:val="0"/>
      <w:divBdr>
        <w:top w:val="none" w:sz="0" w:space="0" w:color="auto"/>
        <w:left w:val="none" w:sz="0" w:space="0" w:color="auto"/>
        <w:bottom w:val="none" w:sz="0" w:space="0" w:color="auto"/>
        <w:right w:val="none" w:sz="0" w:space="0" w:color="auto"/>
      </w:divBdr>
    </w:div>
    <w:div w:id="1852253016">
      <w:bodyDiv w:val="1"/>
      <w:marLeft w:val="0"/>
      <w:marRight w:val="0"/>
      <w:marTop w:val="0"/>
      <w:marBottom w:val="0"/>
      <w:divBdr>
        <w:top w:val="none" w:sz="0" w:space="0" w:color="auto"/>
        <w:left w:val="none" w:sz="0" w:space="0" w:color="auto"/>
        <w:bottom w:val="none" w:sz="0" w:space="0" w:color="auto"/>
        <w:right w:val="none" w:sz="0" w:space="0" w:color="auto"/>
      </w:divBdr>
    </w:div>
    <w:div w:id="1866938421">
      <w:bodyDiv w:val="1"/>
      <w:marLeft w:val="0"/>
      <w:marRight w:val="0"/>
      <w:marTop w:val="0"/>
      <w:marBottom w:val="0"/>
      <w:divBdr>
        <w:top w:val="none" w:sz="0" w:space="0" w:color="auto"/>
        <w:left w:val="none" w:sz="0" w:space="0" w:color="auto"/>
        <w:bottom w:val="none" w:sz="0" w:space="0" w:color="auto"/>
        <w:right w:val="none" w:sz="0" w:space="0" w:color="auto"/>
      </w:divBdr>
    </w:div>
    <w:div w:id="1876696419">
      <w:bodyDiv w:val="1"/>
      <w:marLeft w:val="0"/>
      <w:marRight w:val="0"/>
      <w:marTop w:val="0"/>
      <w:marBottom w:val="0"/>
      <w:divBdr>
        <w:top w:val="none" w:sz="0" w:space="0" w:color="auto"/>
        <w:left w:val="none" w:sz="0" w:space="0" w:color="auto"/>
        <w:bottom w:val="none" w:sz="0" w:space="0" w:color="auto"/>
        <w:right w:val="none" w:sz="0" w:space="0" w:color="auto"/>
      </w:divBdr>
    </w:div>
    <w:div w:id="1879048490">
      <w:bodyDiv w:val="1"/>
      <w:marLeft w:val="0"/>
      <w:marRight w:val="0"/>
      <w:marTop w:val="0"/>
      <w:marBottom w:val="0"/>
      <w:divBdr>
        <w:top w:val="none" w:sz="0" w:space="0" w:color="auto"/>
        <w:left w:val="none" w:sz="0" w:space="0" w:color="auto"/>
        <w:bottom w:val="none" w:sz="0" w:space="0" w:color="auto"/>
        <w:right w:val="none" w:sz="0" w:space="0" w:color="auto"/>
      </w:divBdr>
    </w:div>
    <w:div w:id="1891921143">
      <w:bodyDiv w:val="1"/>
      <w:marLeft w:val="0"/>
      <w:marRight w:val="0"/>
      <w:marTop w:val="0"/>
      <w:marBottom w:val="0"/>
      <w:divBdr>
        <w:top w:val="none" w:sz="0" w:space="0" w:color="auto"/>
        <w:left w:val="none" w:sz="0" w:space="0" w:color="auto"/>
        <w:bottom w:val="none" w:sz="0" w:space="0" w:color="auto"/>
        <w:right w:val="none" w:sz="0" w:space="0" w:color="auto"/>
      </w:divBdr>
    </w:div>
    <w:div w:id="1897426545">
      <w:bodyDiv w:val="1"/>
      <w:marLeft w:val="0"/>
      <w:marRight w:val="0"/>
      <w:marTop w:val="0"/>
      <w:marBottom w:val="0"/>
      <w:divBdr>
        <w:top w:val="none" w:sz="0" w:space="0" w:color="auto"/>
        <w:left w:val="none" w:sz="0" w:space="0" w:color="auto"/>
        <w:bottom w:val="none" w:sz="0" w:space="0" w:color="auto"/>
        <w:right w:val="none" w:sz="0" w:space="0" w:color="auto"/>
      </w:divBdr>
    </w:div>
    <w:div w:id="1908107480">
      <w:bodyDiv w:val="1"/>
      <w:marLeft w:val="0"/>
      <w:marRight w:val="0"/>
      <w:marTop w:val="0"/>
      <w:marBottom w:val="0"/>
      <w:divBdr>
        <w:top w:val="none" w:sz="0" w:space="0" w:color="auto"/>
        <w:left w:val="none" w:sz="0" w:space="0" w:color="auto"/>
        <w:bottom w:val="none" w:sz="0" w:space="0" w:color="auto"/>
        <w:right w:val="none" w:sz="0" w:space="0" w:color="auto"/>
      </w:divBdr>
    </w:div>
    <w:div w:id="1911040239">
      <w:bodyDiv w:val="1"/>
      <w:marLeft w:val="0"/>
      <w:marRight w:val="0"/>
      <w:marTop w:val="0"/>
      <w:marBottom w:val="0"/>
      <w:divBdr>
        <w:top w:val="none" w:sz="0" w:space="0" w:color="auto"/>
        <w:left w:val="none" w:sz="0" w:space="0" w:color="auto"/>
        <w:bottom w:val="none" w:sz="0" w:space="0" w:color="auto"/>
        <w:right w:val="none" w:sz="0" w:space="0" w:color="auto"/>
      </w:divBdr>
    </w:div>
    <w:div w:id="1912764244">
      <w:bodyDiv w:val="1"/>
      <w:marLeft w:val="0"/>
      <w:marRight w:val="0"/>
      <w:marTop w:val="0"/>
      <w:marBottom w:val="0"/>
      <w:divBdr>
        <w:top w:val="none" w:sz="0" w:space="0" w:color="auto"/>
        <w:left w:val="none" w:sz="0" w:space="0" w:color="auto"/>
        <w:bottom w:val="none" w:sz="0" w:space="0" w:color="auto"/>
        <w:right w:val="none" w:sz="0" w:space="0" w:color="auto"/>
      </w:divBdr>
    </w:div>
    <w:div w:id="1913201644">
      <w:bodyDiv w:val="1"/>
      <w:marLeft w:val="0"/>
      <w:marRight w:val="0"/>
      <w:marTop w:val="0"/>
      <w:marBottom w:val="0"/>
      <w:divBdr>
        <w:top w:val="none" w:sz="0" w:space="0" w:color="auto"/>
        <w:left w:val="none" w:sz="0" w:space="0" w:color="auto"/>
        <w:bottom w:val="none" w:sz="0" w:space="0" w:color="auto"/>
        <w:right w:val="none" w:sz="0" w:space="0" w:color="auto"/>
      </w:divBdr>
    </w:div>
    <w:div w:id="1914192286">
      <w:bodyDiv w:val="1"/>
      <w:marLeft w:val="0"/>
      <w:marRight w:val="0"/>
      <w:marTop w:val="0"/>
      <w:marBottom w:val="0"/>
      <w:divBdr>
        <w:top w:val="none" w:sz="0" w:space="0" w:color="auto"/>
        <w:left w:val="none" w:sz="0" w:space="0" w:color="auto"/>
        <w:bottom w:val="none" w:sz="0" w:space="0" w:color="auto"/>
        <w:right w:val="none" w:sz="0" w:space="0" w:color="auto"/>
      </w:divBdr>
    </w:div>
    <w:div w:id="1914662322">
      <w:bodyDiv w:val="1"/>
      <w:marLeft w:val="0"/>
      <w:marRight w:val="0"/>
      <w:marTop w:val="0"/>
      <w:marBottom w:val="0"/>
      <w:divBdr>
        <w:top w:val="none" w:sz="0" w:space="0" w:color="auto"/>
        <w:left w:val="none" w:sz="0" w:space="0" w:color="auto"/>
        <w:bottom w:val="none" w:sz="0" w:space="0" w:color="auto"/>
        <w:right w:val="none" w:sz="0" w:space="0" w:color="auto"/>
      </w:divBdr>
    </w:div>
    <w:div w:id="1917325785">
      <w:bodyDiv w:val="1"/>
      <w:marLeft w:val="0"/>
      <w:marRight w:val="0"/>
      <w:marTop w:val="0"/>
      <w:marBottom w:val="0"/>
      <w:divBdr>
        <w:top w:val="none" w:sz="0" w:space="0" w:color="auto"/>
        <w:left w:val="none" w:sz="0" w:space="0" w:color="auto"/>
        <w:bottom w:val="none" w:sz="0" w:space="0" w:color="auto"/>
        <w:right w:val="none" w:sz="0" w:space="0" w:color="auto"/>
      </w:divBdr>
    </w:div>
    <w:div w:id="1931114514">
      <w:bodyDiv w:val="1"/>
      <w:marLeft w:val="0"/>
      <w:marRight w:val="0"/>
      <w:marTop w:val="0"/>
      <w:marBottom w:val="0"/>
      <w:divBdr>
        <w:top w:val="none" w:sz="0" w:space="0" w:color="auto"/>
        <w:left w:val="none" w:sz="0" w:space="0" w:color="auto"/>
        <w:bottom w:val="none" w:sz="0" w:space="0" w:color="auto"/>
        <w:right w:val="none" w:sz="0" w:space="0" w:color="auto"/>
      </w:divBdr>
    </w:div>
    <w:div w:id="1936476897">
      <w:bodyDiv w:val="1"/>
      <w:marLeft w:val="0"/>
      <w:marRight w:val="0"/>
      <w:marTop w:val="0"/>
      <w:marBottom w:val="0"/>
      <w:divBdr>
        <w:top w:val="none" w:sz="0" w:space="0" w:color="auto"/>
        <w:left w:val="none" w:sz="0" w:space="0" w:color="auto"/>
        <w:bottom w:val="none" w:sz="0" w:space="0" w:color="auto"/>
        <w:right w:val="none" w:sz="0" w:space="0" w:color="auto"/>
      </w:divBdr>
    </w:div>
    <w:div w:id="1936552281">
      <w:bodyDiv w:val="1"/>
      <w:marLeft w:val="0"/>
      <w:marRight w:val="0"/>
      <w:marTop w:val="0"/>
      <w:marBottom w:val="0"/>
      <w:divBdr>
        <w:top w:val="none" w:sz="0" w:space="0" w:color="auto"/>
        <w:left w:val="none" w:sz="0" w:space="0" w:color="auto"/>
        <w:bottom w:val="none" w:sz="0" w:space="0" w:color="auto"/>
        <w:right w:val="none" w:sz="0" w:space="0" w:color="auto"/>
      </w:divBdr>
    </w:div>
    <w:div w:id="1938514969">
      <w:bodyDiv w:val="1"/>
      <w:marLeft w:val="0"/>
      <w:marRight w:val="0"/>
      <w:marTop w:val="0"/>
      <w:marBottom w:val="0"/>
      <w:divBdr>
        <w:top w:val="none" w:sz="0" w:space="0" w:color="auto"/>
        <w:left w:val="none" w:sz="0" w:space="0" w:color="auto"/>
        <w:bottom w:val="none" w:sz="0" w:space="0" w:color="auto"/>
        <w:right w:val="none" w:sz="0" w:space="0" w:color="auto"/>
      </w:divBdr>
    </w:div>
    <w:div w:id="1941907425">
      <w:bodyDiv w:val="1"/>
      <w:marLeft w:val="0"/>
      <w:marRight w:val="0"/>
      <w:marTop w:val="0"/>
      <w:marBottom w:val="0"/>
      <w:divBdr>
        <w:top w:val="none" w:sz="0" w:space="0" w:color="auto"/>
        <w:left w:val="none" w:sz="0" w:space="0" w:color="auto"/>
        <w:bottom w:val="none" w:sz="0" w:space="0" w:color="auto"/>
        <w:right w:val="none" w:sz="0" w:space="0" w:color="auto"/>
      </w:divBdr>
    </w:div>
    <w:div w:id="1944650377">
      <w:bodyDiv w:val="1"/>
      <w:marLeft w:val="0"/>
      <w:marRight w:val="0"/>
      <w:marTop w:val="0"/>
      <w:marBottom w:val="0"/>
      <w:divBdr>
        <w:top w:val="none" w:sz="0" w:space="0" w:color="auto"/>
        <w:left w:val="none" w:sz="0" w:space="0" w:color="auto"/>
        <w:bottom w:val="none" w:sz="0" w:space="0" w:color="auto"/>
        <w:right w:val="none" w:sz="0" w:space="0" w:color="auto"/>
      </w:divBdr>
    </w:div>
    <w:div w:id="1947300809">
      <w:bodyDiv w:val="1"/>
      <w:marLeft w:val="0"/>
      <w:marRight w:val="0"/>
      <w:marTop w:val="0"/>
      <w:marBottom w:val="0"/>
      <w:divBdr>
        <w:top w:val="none" w:sz="0" w:space="0" w:color="auto"/>
        <w:left w:val="none" w:sz="0" w:space="0" w:color="auto"/>
        <w:bottom w:val="none" w:sz="0" w:space="0" w:color="auto"/>
        <w:right w:val="none" w:sz="0" w:space="0" w:color="auto"/>
      </w:divBdr>
    </w:div>
    <w:div w:id="1953126972">
      <w:bodyDiv w:val="1"/>
      <w:marLeft w:val="0"/>
      <w:marRight w:val="0"/>
      <w:marTop w:val="0"/>
      <w:marBottom w:val="0"/>
      <w:divBdr>
        <w:top w:val="none" w:sz="0" w:space="0" w:color="auto"/>
        <w:left w:val="none" w:sz="0" w:space="0" w:color="auto"/>
        <w:bottom w:val="none" w:sz="0" w:space="0" w:color="auto"/>
        <w:right w:val="none" w:sz="0" w:space="0" w:color="auto"/>
      </w:divBdr>
    </w:div>
    <w:div w:id="1991791558">
      <w:bodyDiv w:val="1"/>
      <w:marLeft w:val="0"/>
      <w:marRight w:val="0"/>
      <w:marTop w:val="0"/>
      <w:marBottom w:val="0"/>
      <w:divBdr>
        <w:top w:val="none" w:sz="0" w:space="0" w:color="auto"/>
        <w:left w:val="none" w:sz="0" w:space="0" w:color="auto"/>
        <w:bottom w:val="none" w:sz="0" w:space="0" w:color="auto"/>
        <w:right w:val="none" w:sz="0" w:space="0" w:color="auto"/>
      </w:divBdr>
    </w:div>
    <w:div w:id="2000888759">
      <w:bodyDiv w:val="1"/>
      <w:marLeft w:val="0"/>
      <w:marRight w:val="0"/>
      <w:marTop w:val="0"/>
      <w:marBottom w:val="0"/>
      <w:divBdr>
        <w:top w:val="none" w:sz="0" w:space="0" w:color="auto"/>
        <w:left w:val="none" w:sz="0" w:space="0" w:color="auto"/>
        <w:bottom w:val="none" w:sz="0" w:space="0" w:color="auto"/>
        <w:right w:val="none" w:sz="0" w:space="0" w:color="auto"/>
      </w:divBdr>
    </w:div>
    <w:div w:id="2008358455">
      <w:bodyDiv w:val="1"/>
      <w:marLeft w:val="0"/>
      <w:marRight w:val="0"/>
      <w:marTop w:val="0"/>
      <w:marBottom w:val="0"/>
      <w:divBdr>
        <w:top w:val="none" w:sz="0" w:space="0" w:color="auto"/>
        <w:left w:val="none" w:sz="0" w:space="0" w:color="auto"/>
        <w:bottom w:val="none" w:sz="0" w:space="0" w:color="auto"/>
        <w:right w:val="none" w:sz="0" w:space="0" w:color="auto"/>
      </w:divBdr>
    </w:div>
    <w:div w:id="2014839937">
      <w:bodyDiv w:val="1"/>
      <w:marLeft w:val="0"/>
      <w:marRight w:val="0"/>
      <w:marTop w:val="0"/>
      <w:marBottom w:val="0"/>
      <w:divBdr>
        <w:top w:val="none" w:sz="0" w:space="0" w:color="auto"/>
        <w:left w:val="none" w:sz="0" w:space="0" w:color="auto"/>
        <w:bottom w:val="none" w:sz="0" w:space="0" w:color="auto"/>
        <w:right w:val="none" w:sz="0" w:space="0" w:color="auto"/>
      </w:divBdr>
    </w:div>
    <w:div w:id="2015645481">
      <w:bodyDiv w:val="1"/>
      <w:marLeft w:val="0"/>
      <w:marRight w:val="0"/>
      <w:marTop w:val="0"/>
      <w:marBottom w:val="0"/>
      <w:divBdr>
        <w:top w:val="none" w:sz="0" w:space="0" w:color="auto"/>
        <w:left w:val="none" w:sz="0" w:space="0" w:color="auto"/>
        <w:bottom w:val="none" w:sz="0" w:space="0" w:color="auto"/>
        <w:right w:val="none" w:sz="0" w:space="0" w:color="auto"/>
      </w:divBdr>
    </w:div>
    <w:div w:id="2016415626">
      <w:bodyDiv w:val="1"/>
      <w:marLeft w:val="0"/>
      <w:marRight w:val="0"/>
      <w:marTop w:val="0"/>
      <w:marBottom w:val="0"/>
      <w:divBdr>
        <w:top w:val="none" w:sz="0" w:space="0" w:color="auto"/>
        <w:left w:val="none" w:sz="0" w:space="0" w:color="auto"/>
        <w:bottom w:val="none" w:sz="0" w:space="0" w:color="auto"/>
        <w:right w:val="none" w:sz="0" w:space="0" w:color="auto"/>
      </w:divBdr>
    </w:div>
    <w:div w:id="2024896517">
      <w:bodyDiv w:val="1"/>
      <w:marLeft w:val="0"/>
      <w:marRight w:val="0"/>
      <w:marTop w:val="0"/>
      <w:marBottom w:val="0"/>
      <w:divBdr>
        <w:top w:val="none" w:sz="0" w:space="0" w:color="auto"/>
        <w:left w:val="none" w:sz="0" w:space="0" w:color="auto"/>
        <w:bottom w:val="none" w:sz="0" w:space="0" w:color="auto"/>
        <w:right w:val="none" w:sz="0" w:space="0" w:color="auto"/>
      </w:divBdr>
    </w:div>
    <w:div w:id="2029483154">
      <w:bodyDiv w:val="1"/>
      <w:marLeft w:val="0"/>
      <w:marRight w:val="0"/>
      <w:marTop w:val="0"/>
      <w:marBottom w:val="0"/>
      <w:divBdr>
        <w:top w:val="none" w:sz="0" w:space="0" w:color="auto"/>
        <w:left w:val="none" w:sz="0" w:space="0" w:color="auto"/>
        <w:bottom w:val="none" w:sz="0" w:space="0" w:color="auto"/>
        <w:right w:val="none" w:sz="0" w:space="0" w:color="auto"/>
      </w:divBdr>
    </w:div>
    <w:div w:id="2042703723">
      <w:bodyDiv w:val="1"/>
      <w:marLeft w:val="0"/>
      <w:marRight w:val="0"/>
      <w:marTop w:val="0"/>
      <w:marBottom w:val="0"/>
      <w:divBdr>
        <w:top w:val="none" w:sz="0" w:space="0" w:color="auto"/>
        <w:left w:val="none" w:sz="0" w:space="0" w:color="auto"/>
        <w:bottom w:val="none" w:sz="0" w:space="0" w:color="auto"/>
        <w:right w:val="none" w:sz="0" w:space="0" w:color="auto"/>
      </w:divBdr>
    </w:div>
    <w:div w:id="2049061046">
      <w:bodyDiv w:val="1"/>
      <w:marLeft w:val="0"/>
      <w:marRight w:val="0"/>
      <w:marTop w:val="0"/>
      <w:marBottom w:val="0"/>
      <w:divBdr>
        <w:top w:val="none" w:sz="0" w:space="0" w:color="auto"/>
        <w:left w:val="none" w:sz="0" w:space="0" w:color="auto"/>
        <w:bottom w:val="none" w:sz="0" w:space="0" w:color="auto"/>
        <w:right w:val="none" w:sz="0" w:space="0" w:color="auto"/>
      </w:divBdr>
    </w:div>
    <w:div w:id="2056344997">
      <w:bodyDiv w:val="1"/>
      <w:marLeft w:val="0"/>
      <w:marRight w:val="0"/>
      <w:marTop w:val="0"/>
      <w:marBottom w:val="0"/>
      <w:divBdr>
        <w:top w:val="none" w:sz="0" w:space="0" w:color="auto"/>
        <w:left w:val="none" w:sz="0" w:space="0" w:color="auto"/>
        <w:bottom w:val="none" w:sz="0" w:space="0" w:color="auto"/>
        <w:right w:val="none" w:sz="0" w:space="0" w:color="auto"/>
      </w:divBdr>
    </w:div>
    <w:div w:id="2070807073">
      <w:bodyDiv w:val="1"/>
      <w:marLeft w:val="0"/>
      <w:marRight w:val="0"/>
      <w:marTop w:val="0"/>
      <w:marBottom w:val="0"/>
      <w:divBdr>
        <w:top w:val="none" w:sz="0" w:space="0" w:color="auto"/>
        <w:left w:val="none" w:sz="0" w:space="0" w:color="auto"/>
        <w:bottom w:val="none" w:sz="0" w:space="0" w:color="auto"/>
        <w:right w:val="none" w:sz="0" w:space="0" w:color="auto"/>
      </w:divBdr>
    </w:div>
    <w:div w:id="2086955635">
      <w:bodyDiv w:val="1"/>
      <w:marLeft w:val="0"/>
      <w:marRight w:val="0"/>
      <w:marTop w:val="0"/>
      <w:marBottom w:val="0"/>
      <w:divBdr>
        <w:top w:val="none" w:sz="0" w:space="0" w:color="auto"/>
        <w:left w:val="none" w:sz="0" w:space="0" w:color="auto"/>
        <w:bottom w:val="none" w:sz="0" w:space="0" w:color="auto"/>
        <w:right w:val="none" w:sz="0" w:space="0" w:color="auto"/>
      </w:divBdr>
    </w:div>
    <w:div w:id="2092119786">
      <w:bodyDiv w:val="1"/>
      <w:marLeft w:val="0"/>
      <w:marRight w:val="0"/>
      <w:marTop w:val="0"/>
      <w:marBottom w:val="0"/>
      <w:divBdr>
        <w:top w:val="none" w:sz="0" w:space="0" w:color="auto"/>
        <w:left w:val="none" w:sz="0" w:space="0" w:color="auto"/>
        <w:bottom w:val="none" w:sz="0" w:space="0" w:color="auto"/>
        <w:right w:val="none" w:sz="0" w:space="0" w:color="auto"/>
      </w:divBdr>
    </w:div>
    <w:div w:id="2098744600">
      <w:bodyDiv w:val="1"/>
      <w:marLeft w:val="0"/>
      <w:marRight w:val="0"/>
      <w:marTop w:val="0"/>
      <w:marBottom w:val="0"/>
      <w:divBdr>
        <w:top w:val="none" w:sz="0" w:space="0" w:color="auto"/>
        <w:left w:val="none" w:sz="0" w:space="0" w:color="auto"/>
        <w:bottom w:val="none" w:sz="0" w:space="0" w:color="auto"/>
        <w:right w:val="none" w:sz="0" w:space="0" w:color="auto"/>
      </w:divBdr>
    </w:div>
    <w:div w:id="2100247441">
      <w:bodyDiv w:val="1"/>
      <w:marLeft w:val="0"/>
      <w:marRight w:val="0"/>
      <w:marTop w:val="0"/>
      <w:marBottom w:val="0"/>
      <w:divBdr>
        <w:top w:val="none" w:sz="0" w:space="0" w:color="auto"/>
        <w:left w:val="none" w:sz="0" w:space="0" w:color="auto"/>
        <w:bottom w:val="none" w:sz="0" w:space="0" w:color="auto"/>
        <w:right w:val="none" w:sz="0" w:space="0" w:color="auto"/>
      </w:divBdr>
    </w:div>
    <w:div w:id="2100367876">
      <w:bodyDiv w:val="1"/>
      <w:marLeft w:val="0"/>
      <w:marRight w:val="0"/>
      <w:marTop w:val="0"/>
      <w:marBottom w:val="0"/>
      <w:divBdr>
        <w:top w:val="none" w:sz="0" w:space="0" w:color="auto"/>
        <w:left w:val="none" w:sz="0" w:space="0" w:color="auto"/>
        <w:bottom w:val="none" w:sz="0" w:space="0" w:color="auto"/>
        <w:right w:val="none" w:sz="0" w:space="0" w:color="auto"/>
      </w:divBdr>
    </w:div>
    <w:div w:id="2101246490">
      <w:bodyDiv w:val="1"/>
      <w:marLeft w:val="0"/>
      <w:marRight w:val="0"/>
      <w:marTop w:val="0"/>
      <w:marBottom w:val="0"/>
      <w:divBdr>
        <w:top w:val="none" w:sz="0" w:space="0" w:color="auto"/>
        <w:left w:val="none" w:sz="0" w:space="0" w:color="auto"/>
        <w:bottom w:val="none" w:sz="0" w:space="0" w:color="auto"/>
        <w:right w:val="none" w:sz="0" w:space="0" w:color="auto"/>
      </w:divBdr>
    </w:div>
    <w:div w:id="2108378668">
      <w:bodyDiv w:val="1"/>
      <w:marLeft w:val="0"/>
      <w:marRight w:val="0"/>
      <w:marTop w:val="0"/>
      <w:marBottom w:val="0"/>
      <w:divBdr>
        <w:top w:val="none" w:sz="0" w:space="0" w:color="auto"/>
        <w:left w:val="none" w:sz="0" w:space="0" w:color="auto"/>
        <w:bottom w:val="none" w:sz="0" w:space="0" w:color="auto"/>
        <w:right w:val="none" w:sz="0" w:space="0" w:color="auto"/>
      </w:divBdr>
      <w:divsChild>
        <w:div w:id="482890266">
          <w:marLeft w:val="0"/>
          <w:marRight w:val="0"/>
          <w:marTop w:val="0"/>
          <w:marBottom w:val="0"/>
          <w:divBdr>
            <w:top w:val="none" w:sz="0" w:space="0" w:color="auto"/>
            <w:left w:val="none" w:sz="0" w:space="0" w:color="auto"/>
            <w:bottom w:val="none" w:sz="0" w:space="0" w:color="auto"/>
            <w:right w:val="none" w:sz="0" w:space="0" w:color="auto"/>
          </w:divBdr>
          <w:divsChild>
            <w:div w:id="2091004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41037">
      <w:bodyDiv w:val="1"/>
      <w:marLeft w:val="0"/>
      <w:marRight w:val="0"/>
      <w:marTop w:val="0"/>
      <w:marBottom w:val="0"/>
      <w:divBdr>
        <w:top w:val="none" w:sz="0" w:space="0" w:color="auto"/>
        <w:left w:val="none" w:sz="0" w:space="0" w:color="auto"/>
        <w:bottom w:val="none" w:sz="0" w:space="0" w:color="auto"/>
        <w:right w:val="none" w:sz="0" w:space="0" w:color="auto"/>
      </w:divBdr>
    </w:div>
    <w:div w:id="2126650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2.xml"/><Relationship Id="rId26" Type="http://schemas.openxmlformats.org/officeDocument/2006/relationships/footer" Target="footer6.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1.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footer" Target="footer5.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emf"/><Relationship Id="rId22" Type="http://schemas.openxmlformats.org/officeDocument/2006/relationships/header" Target="header5.xm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13" Type="http://schemas.openxmlformats.org/officeDocument/2006/relationships/hyperlink" Target="https://fra.europa.eu/sites/default/files/fra_uploads/fra-2024-experiences-perceptions-antisemitism-survey_en.pdf" TargetMode="External"/><Relationship Id="rId18" Type="http://schemas.openxmlformats.org/officeDocument/2006/relationships/hyperlink" Target="https://fra.europa.eu/sites/default/files/fra_uploads/fra-2023-being-black_in_the_eu_en.pdf" TargetMode="External"/><Relationship Id="rId26" Type="http://schemas.openxmlformats.org/officeDocument/2006/relationships/hyperlink" Target="https://data.europa.eu/doi/10.2838/7531428" TargetMode="External"/><Relationship Id="rId39" Type="http://schemas.openxmlformats.org/officeDocument/2006/relationships/hyperlink" Target="http://data.europa.eu/eli/C/2024/1402/oj" TargetMode="External"/><Relationship Id="rId3" Type="http://schemas.openxmlformats.org/officeDocument/2006/relationships/hyperlink" Target="https://eur-lex.europa.eu/legal-content/EN/TXT/?uri=celex:52021DC0139" TargetMode="External"/><Relationship Id="rId21" Type="http://schemas.openxmlformats.org/officeDocument/2006/relationships/hyperlink" Target="https://fra.europa.eu/sites/default/files/fra_uploads/fra-2024-experiences-perceptions-antisemitism-survey_en.pdf" TargetMode="External"/><Relationship Id="rId34" Type="http://schemas.openxmlformats.org/officeDocument/2006/relationships/hyperlink" Target="https://www.migpolgroup.com/_old/portfolio/proving-discrimination-cases-the-role-of-situation-testing/" TargetMode="External"/><Relationship Id="rId42" Type="http://schemas.openxmlformats.org/officeDocument/2006/relationships/hyperlink" Target="https://fra.europa.eu/en/publication/2025/roma-survey-2024" TargetMode="External"/><Relationship Id="rId47" Type="http://schemas.openxmlformats.org/officeDocument/2006/relationships/hyperlink" Target="http://data.europa.eu/eli/reg/2024/1689/oj" TargetMode="External"/><Relationship Id="rId50" Type="http://schemas.openxmlformats.org/officeDocument/2006/relationships/hyperlink" Target="https://www.rijksoverheid.nl/documenten/rapporten/2022/12/05/handreiking-non-discriminatie-artificial-intelligence-ai" TargetMode="External"/><Relationship Id="rId7" Type="http://schemas.openxmlformats.org/officeDocument/2006/relationships/hyperlink" Target="https://eur-lex.europa.eu/legal-content/EN/TXT/?uri=celex:52020DC0620" TargetMode="External"/><Relationship Id="rId12" Type="http://schemas.openxmlformats.org/officeDocument/2006/relationships/hyperlink" Target="https://fra.europa.eu/sites/default/files/fra_uploads/fra-2024-being-muslim-in-the-eu_en.pdf" TargetMode="External"/><Relationship Id="rId17" Type="http://schemas.openxmlformats.org/officeDocument/2006/relationships/hyperlink" Target="https://europa.eu/eurobarometer/surveys/detail/2972" TargetMode="External"/><Relationship Id="rId25" Type="http://schemas.openxmlformats.org/officeDocument/2006/relationships/hyperlink" Target="http://data.europa.eu/eli/reg_impl/2026/1196/oj" TargetMode="External"/><Relationship Id="rId33" Type="http://schemas.openxmlformats.org/officeDocument/2006/relationships/hyperlink" Target="https://eur-lex.europa.eu/legal-content/EN/TXT/?uri=celex:52024DC0419" TargetMode="External"/><Relationship Id="rId38" Type="http://schemas.openxmlformats.org/officeDocument/2006/relationships/hyperlink" Target="http://data.europa.eu/eli/dir/2006/123/oj" TargetMode="External"/><Relationship Id="rId46" Type="http://schemas.openxmlformats.org/officeDocument/2006/relationships/hyperlink" Target="https://doi.org/10.48550/arXiv.1707.08120" TargetMode="External"/><Relationship Id="rId2" Type="http://schemas.openxmlformats.org/officeDocument/2006/relationships/hyperlink" Target="http://data.europa.eu/eli/dir/2000/78/oj" TargetMode="External"/><Relationship Id="rId16" Type="http://schemas.openxmlformats.org/officeDocument/2006/relationships/hyperlink" Target="https://fra.europa.eu/en/publication/2025/roma-survey-2024" TargetMode="External"/><Relationship Id="rId20" Type="http://schemas.openxmlformats.org/officeDocument/2006/relationships/hyperlink" Target="https://fra.europa.eu/sites/default/files/fra_uploads/fra-2018-experiences-and-perceptions-of-antisemitism-survey_en.pdf" TargetMode="External"/><Relationship Id="rId29" Type="http://schemas.openxmlformats.org/officeDocument/2006/relationships/hyperlink" Target="https://data.europa.eu/doi/10.2838/6242130" TargetMode="External"/><Relationship Id="rId41" Type="http://schemas.openxmlformats.org/officeDocument/2006/relationships/hyperlink" Target="https://data.europa.eu/doi/10.2838/273421" TargetMode="External"/><Relationship Id="rId1" Type="http://schemas.openxmlformats.org/officeDocument/2006/relationships/hyperlink" Target="http://data.europa.eu/eli/dir/2000/43/oj" TargetMode="External"/><Relationship Id="rId6" Type="http://schemas.openxmlformats.org/officeDocument/2006/relationships/hyperlink" Target="https://eur-lex.europa.eu/legal-content/EN/TXT/?uri=celex:52025DC0725" TargetMode="External"/><Relationship Id="rId11" Type="http://schemas.openxmlformats.org/officeDocument/2006/relationships/hyperlink" Target="https://fra.europa.eu/sites/default/files/fra_uploads/fra-2023-being-black_in_the_eu_en.pdf" TargetMode="External"/><Relationship Id="rId24" Type="http://schemas.openxmlformats.org/officeDocument/2006/relationships/hyperlink" Target="https://eur-lex.europa.eu/legal-content/EN/TXT/?uri=celex:52021SC0063" TargetMode="External"/><Relationship Id="rId32" Type="http://schemas.openxmlformats.org/officeDocument/2006/relationships/hyperlink" Target="https://www.antidiscriminations.fr/" TargetMode="External"/><Relationship Id="rId37" Type="http://schemas.openxmlformats.org/officeDocument/2006/relationships/hyperlink" Target="https://www.angajez45plus.com/" TargetMode="External"/><Relationship Id="rId40" Type="http://schemas.openxmlformats.org/officeDocument/2006/relationships/hyperlink" Target="https://data.europa.eu/doi/10.2838/0978883" TargetMode="External"/><Relationship Id="rId45" Type="http://schemas.openxmlformats.org/officeDocument/2006/relationships/hyperlink" Target="https://equineteurope.org/publications/preventing-and-reacting-to-discrimination-through-sanctions-and-remedies/" TargetMode="External"/><Relationship Id="rId5" Type="http://schemas.openxmlformats.org/officeDocument/2006/relationships/hyperlink" Target="https://eur-lex.europa.eu/legal-content/EN/TXT/?uri=CELEX%3A52026DC0012&amp;qid=1769203568391" TargetMode="External"/><Relationship Id="rId15" Type="http://schemas.openxmlformats.org/officeDocument/2006/relationships/hyperlink" Target="https://fra.europa.eu/sites/default/files/fra_uploads/fra-2022-roma-survey-2021-main-results2_en.pdf" TargetMode="External"/><Relationship Id="rId23" Type="http://schemas.openxmlformats.org/officeDocument/2006/relationships/hyperlink" Target="http://data.europa.eu/eli/dir/2024/1500/oj" TargetMode="External"/><Relationship Id="rId28" Type="http://schemas.openxmlformats.org/officeDocument/2006/relationships/hyperlink" Target="https://data.europa.eu/doi/10.2838/0513884" TargetMode="External"/><Relationship Id="rId36" Type="http://schemas.openxmlformats.org/officeDocument/2006/relationships/hyperlink" Target="https://eur-lex.europa.eu/legal-content/EN/TXT/?uri=celex:52021DC0139" TargetMode="External"/><Relationship Id="rId49" Type="http://schemas.openxmlformats.org/officeDocument/2006/relationships/hyperlink" Target="http://data.europa.eu/eli/dec/2025/2350/oj" TargetMode="External"/><Relationship Id="rId10" Type="http://schemas.openxmlformats.org/officeDocument/2006/relationships/hyperlink" Target="https://eur-lex.europa.eu/legal-content/EN/TXT/?uri=CELEX%3A52026DC0541&amp;qid=1779896056395" TargetMode="External"/><Relationship Id="rId19" Type="http://schemas.openxmlformats.org/officeDocument/2006/relationships/hyperlink" Target="https://fra.europa.eu/sites/default/files/fra_uploads/fra-2024-being-muslim-in-the-eu_en.pdf" TargetMode="External"/><Relationship Id="rId31" Type="http://schemas.openxmlformats.org/officeDocument/2006/relationships/hyperlink" Target="http://data.europa.eu/eli/dir/2023/970/oj" TargetMode="External"/><Relationship Id="rId44" Type="http://schemas.openxmlformats.org/officeDocument/2006/relationships/hyperlink" Target="https://equineteurope.org/wp-content/uploads/2016/12/positiveequality_duties-finalweb.pdf" TargetMode="External"/><Relationship Id="rId4" Type="http://schemas.openxmlformats.org/officeDocument/2006/relationships/hyperlink" Target="https://eur-lex.europa.eu/legal-content/en/TXT/?uri=CELEX:52021SC0063" TargetMode="External"/><Relationship Id="rId9" Type="http://schemas.openxmlformats.org/officeDocument/2006/relationships/hyperlink" Target="https://eur-lex.europa.eu/legal-content/EN/TXT/?uri=COM%3A2026%3A113%3AFIN" TargetMode="External"/><Relationship Id="rId14" Type="http://schemas.openxmlformats.org/officeDocument/2006/relationships/hyperlink" Target="https://fra.europa.eu/en/publication/2024/lgbtiq-equality-crossroads-progress-and-challenges" TargetMode="External"/><Relationship Id="rId22" Type="http://schemas.openxmlformats.org/officeDocument/2006/relationships/hyperlink" Target="http://data.europa.eu/eli/dir/2024/1499/oj" TargetMode="External"/><Relationship Id="rId27" Type="http://schemas.openxmlformats.org/officeDocument/2006/relationships/hyperlink" Target="https://doi.org/10.54648/cola2023093" TargetMode="External"/><Relationship Id="rId30" Type="http://schemas.openxmlformats.org/officeDocument/2006/relationships/hyperlink" Target="https://data.europa.eu/doi/10.2838/4086758" TargetMode="External"/><Relationship Id="rId35" Type="http://schemas.openxmlformats.org/officeDocument/2006/relationships/hyperlink" Target="https://www.unia.be/fr/dossiers/tests-pratiques-et-mystery-shopping-en-mati%C3%A8re-de-discrimination" TargetMode="External"/><Relationship Id="rId43" Type="http://schemas.openxmlformats.org/officeDocument/2006/relationships/hyperlink" Target="https://rozhodnuti.nsoud.cz/Judikatura/judikatura_ns.nsf/WebSearch/2A32AD763CFC9A92C125889000161213?openDocument&amp;Highlight=0" TargetMode="External"/><Relationship Id="rId48" Type="http://schemas.openxmlformats.org/officeDocument/2006/relationships/hyperlink" Target="https://publicaties.mensenrechten.nl/publicatie/a356efac-8752-4843-a86c-665bb0a98667" TargetMode="External"/><Relationship Id="rId8" Type="http://schemas.openxmlformats.org/officeDocument/2006/relationships/hyperlink" Target="https://eur-lex.europa.eu/legal-content/EN/TXT/?uri=CELEX:52021DC0101" TargetMode="External"/><Relationship Id="rId51" Type="http://schemas.openxmlformats.org/officeDocument/2006/relationships/hyperlink" Target="https://www.coe.int/en/web/inclusion-and-antidiscrimination/upholding-equality-and-non-discrimination-by-equality-bodies-regarding-the-use-of-artificial-intelligence-ai-in-public-administrations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8bf3bd7-73ad-4948-8b71-aa2c92f53103">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documentManagement>
</p:properties>
</file>

<file path=customXml/item2.xml><?xml version="1.0" encoding="utf-8"?>
<Author Role="Creator" AuthorRoleName="Writer" AuthorRoleId="a4fbaff4-b07c-48b4-a21e-e7b9eedf3796">
  <Id>0b1f6059-8878-4bb6-a5b8-cb552f60725a</Id>
  <Names>
    <Latin>
      <FirstName>Hubert</FirstName>
      <LastName>SMOLINSKI</LastName>
    </Latin>
    <Greek>
      <FirstName/>
      <LastName/>
    </Greek>
    <Cyrillic>
      <FirstName/>
      <LastName/>
    </Cyrillic>
    <DocumentScript>
      <FirstName>Hubert</FirstName>
      <LastName>SMOLINSKI</LastName>
      <FullName>Hubert SMOLINSKI</FullName>
    </DocumentScript>
  </Names>
  <Initials>HS</Initials>
  <Gender>m</Gender>
  <Email>Hubert.SMOLINSKI@ec.europa.eu</Email>
  <Service>JUST.D.2</Service>
  <Function ADCode="" ShowInSignature="true" ShowInHeader="false" HeaderText=""/>
  <WebAddress/>
  <FunctionalMailbox/>
  <InheritedWebAddress>WebAddress</InheritedWebAddress>
  <OrgaEntity1>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1>
  <OrgaEntity2>
    <Id>7b037651-be3f-438a-8723-7b5a97050e56</Id>
    <LogicalLevel>2</LogicalLevel>
    <Name>JUST.D</Name>
    <HeadLine1>Directorate D – Equality and Non-Discrimination</HeadLine1>
    <HeadLine2/>
    <PrimaryAddressId>f03b5801-04c9-4931-aa17-c6d6c70bc579</PrimaryAddressId>
    <SecondaryAddressId/>
    <WebAddress/>
    <InheritedWebAddress>WebAddress</InheritedWebAddress>
    <ShowInHeader>true</ShowInHeader>
  </OrgaEntity2>
  <OrgaEntity3>
    <Id>5cbb6fc7-c0d7-44a0-8032-19a3a6030544</Id>
    <LogicalLevel>3</LogicalLevel>
    <Name>JUST.D.2</Name>
    <HeadLine1>Unit D.2 – Non-Discrimination: Anti-Racism and Roma Coordination</HeadLine1>
    <HeadLine2/>
    <PrimaryAddressId>f03b5801-04c9-4931-aa17-c6d6c70bc579</PrimaryAddressId>
    <SecondaryAddressId/>
    <WebAddress/>
    <InheritedWebAddress>WebAddress</InheritedWebAddress>
    <ShowInHeader>true</ShowInHeader>
  </OrgaEntity3>
  <Hierarchy>
    <OrgaEntity>
      <Id>a88c1574-bb5f-40bb-9a18-58c723dd2246</Id>
      <LogicalLevel>1</LogicalLevel>
      <Name>JUST</Name>
      <HeadLine1>DIRECTORATE-GENERAL FOR JUSTICE AND CONSUMERS</HeadLine1>
      <HeadLine2/>
      <PrimaryAddressId>f03b5801-04c9-4931-aa17-c6d6c70bc579</PrimaryAddressId>
      <SecondaryAddressId/>
      <WebAddress>WebAddress</WebAddress>
      <InheritedWebAddress>WebAddress</InheritedWebAddress>
      <ShowInHeader>true</ShowInHeader>
    </OrgaEntity>
    <OrgaEntity>
      <Id>7b037651-be3f-438a-8723-7b5a97050e56</Id>
      <LogicalLevel>2</LogicalLevel>
      <Name>JUST.D</Name>
      <HeadLine1>Directorate D – Equality and Non-Discrimination</HeadLine1>
      <HeadLine2/>
      <PrimaryAddressId>f03b5801-04c9-4931-aa17-c6d6c70bc579</PrimaryAddressId>
      <SecondaryAddressId/>
      <WebAddress/>
      <InheritedWebAddress>WebAddress</InheritedWebAddress>
      <ShowInHeader>true</ShowInHeader>
    </OrgaEntity>
    <OrgaEntity>
      <Id>5cbb6fc7-c0d7-44a0-8032-19a3a6030544</Id>
      <LogicalLevel>3</LogicalLevel>
      <Name>JUST.D.2</Name>
      <HeadLine1>Unit D.2 – Non-Discrimination: Anti-Racism and Roma Coordination</HeadLine1>
      <HeadLine2/>
      <PrimaryAddressId>f03b5801-04c9-4931-aa17-c6d6c70bc579</PrimaryAddressId>
      <SecondaryAddressId/>
      <WebAddress/>
      <InheritedWebAddress>WebAddress</InheritedWebAddress>
      <ShowInHeader>true</ShowInHeader>
    </OrgaEntity>
  </Hierarchy>
  <Addresses>
    <Address>
      <Id>f03b5801-04c9-4931-aa17-c6d6c70bc579</Id>
      <Name>Brussels</Name>
      <PhoneNumberPrefix>+32 229-</PhoneNumberPrefix>
      <TranslatedName>Brussels</TranslatedName>
      <Location>Brussels,</Location>
      <Footer>Commission européenne/Europese Commissie, 1049 Bruxelles/Brussel, BELGIQUE/BELGIË – Tel. +32 22991111</Footer>
    </Address>
  </Addresses>
  <JobAssignmentId/>
  <MainWorkplace IsMain="true">
    <AddressId>f03b5801-04c9-4931-aa17-c6d6c70bc579</AddressId>
    <Fax/>
    <Phone>+32 229-97160</Phone>
    <Office>MO59 05/005</Office>
  </MainWorkplace>
  <Workplaces>
    <Workplace IsMain="true">
      <AddressId>f03b5801-04c9-4931-aa17-c6d6c70bc579</AddressId>
      <Fax/>
      <Phone>+32 229-97160</Phone>
      <Office>MO59 05/005</Office>
    </Workplace>
  </Workplaces>
</Author>
</file>

<file path=customXml/item3.xml><?xml version="1.0" encoding="utf-8"?>
<EurolookProperties>
  <ProductCustomizationId>EC</ProductCustomizationId>
  <Created>
    <Version>10.0.47654.0</Version>
    <Date>2025-06-04T17:36:12</Date>
    <Language>EN</Language>
    <Note/>
  </Created>
  <Edited>
    <Version/>
    <Date/>
  </Edited>
  <DocumentModel>
    <Id>6cbda13a-4db2-46c6-876a-ef72275827ef</Id>
    <Name>Report</Name>
  </DocumentModel>
  <CustomTemplate>
    <Id/>
    <Name/>
  </CustomTemplate>
  <DocumentDate>2025-06-04T17:36:12</DocumentDate>
  <DocumentVersion>0.1</DocumentVersion>
  <CompatibilityMode>Eurolook10</CompatibilityMode>
  <DocumentMetadata>
    <EC_SecurityDateMarkingDate MetadataSerializationType="SimpleValue"/>
    <EC_SecurityDistributionDG MetadataSerializationType="SimpleValue"/>
    <EC_SecurityDateMarkingEvent MetadataSerializationType="SimpleValue"/>
    <EC_SecurityDistributionSpecialHandling MetadataSerializationType="SimpleValue"/>
    <EC_SecurityDistributionWorkingGroup MetadataSerializationType="SimpleValue"/>
    <EC_SecurityReleasability MetadataSerializationType="SimpleValue"/>
    <EC_SecurityDateMarking MetadataSerializationType="SimpleValue"/>
    <EC_SecurityDistributionSensitive MetadataSerializationType="SimpleValue"/>
    <EC_SecurityMarking MetadataSerializationType="SimpleValue"/>
  </DocumentMetadata>
</Eurolook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93DEBFA01D8CDE41AAE050D7D7CF61F9" ma:contentTypeVersion="12" ma:contentTypeDescription="Create a new document." ma:contentTypeScope="" ma:versionID="c37d121bfc176b0c30af95a18dc293e8">
  <xsd:schema xmlns:xsd="http://www.w3.org/2001/XMLSchema" xmlns:xs="http://www.w3.org/2001/XMLSchema" xmlns:p="http://schemas.microsoft.com/office/2006/metadata/properties" xmlns:ns2="38bf3bd7-73ad-4948-8b71-aa2c92f53103" targetNamespace="http://schemas.microsoft.com/office/2006/metadata/properties" ma:root="true" ma:fieldsID="b09be03f80295138cbedb8362737638c" ns2:_="">
    <xsd:import namespace="38bf3bd7-73ad-4948-8b71-aa2c92f5310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bf3bd7-73ad-4948-8b71-aa2c92f53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Texts>
  <SensitiveFootnoteHyperlink>{field:HYPERLINK "https://europa.eu/!db43PX" |https://europa.eu/!db43PX}</SensitiveFootnoteHyperlink>
  <SecuritySecurityMatter>Security Matter</SecuritySecurityMatter>
  <SensitiveLabel>Sensitive</SensitiveLabel>
  <SensitiveHandling>Distribution only on a need-to-know basis. Do not read or carry openly in public places. Must be encrypted in transmission and stored securely, where possible by using encrypted storage. Destroy copies by shredding or secure deletion. Full handling instructions: </SensitiveHandling>
  <MarkingUntilText>UNTIL</MarkingUntilText>
  <OrgaRoot>EUROPEAN COMMISSION</OrgaRoot>
  <SecurityPharma>Pharma Investigations</SecurityPharma>
  <ClimaSensitive>CLIMA</ClimaSensitive>
  <TechHistoryCreatedBy>Document created by</TechHistoryCreatedBy>
  <TechHistoryDate>Date</TechHistoryDate>
  <TechHistory>Document History</TechHistory>
  <TechHistoryComment>Comment</TechHistoryComment>
  <TechHistoryVersion>Version</TechHistoryVersion>
  <SecurityEmbargo>EMBARGO UNTIL</SecurityEmbargo>
  <Contact>Contact:</Contact>
  <Contacts>Contacts:</Contacts>
  <ESigned>Electronically signed</ESigned>
  <SecurityIasOperations>IAS Operations</SecurityIasOperations>
  <SensitiveHandlingIASOperations>The marking is applied to operational documents handled in the context of audits, consulting engagements and risk assessments of the Internal Audit Service. Distribution of the documents is based on a strictly ‘need-to-know’ basis. Recipients of the documents must adhere to the same marking and handling rules, preventing unauthorised persons from accessing such documents or information. When a document marked ‘{bold:SENSITIVE}: {italic:IAS Operations}’ is sent via e-mail, it must be encrypted and a disclaimer must be added in a signature. Any person receiving documents and all associated information marked ‘{bold:SENSITIVE}: {italic:IAS Operations}’ who is not the intended recipient must inform the sender and destroy the documents by appropriate secure means. The documents may contain personal data as defined in Article 3(1) of Regulation (EU) 2018/1725. Recipients are subject to the responsibilities defined in this article.</SensitiveHandlingIASOperations>
  <SensitiveFootnoteHyperlinkIASOperations>Handling instructions for SENSITIVE information are given at {field: HYPERLINK "https://europa.eu/!db43PX" |https://europa.eu/!db43PX}.</SensitiveFootnoteHyperlinkIASOperations>
  <LabelFigureSeqEC>Figure {SEQ Figure \* ARABIC }: </LabelFigureSeqEC>
  <LabelFigureSeqWChapter>Table {field: STYLEREF "Chapter Number" \s }.{field: SEQ Table \* ARABIC } –</LabelFigureSeqWChapter>
  <LabelSource>Source</LabelSource>
  <LabelTableSeqWChapter>Table { STYLEREF "Chapter Number" \s }.{ SEQ Table \* ARABIC } – </LabelTableSeqWChapter>
  <LabelTableSeqEC>Table {SEQ Table \* ARABIC }: </LabelTableSeqEC>
  <EmbargoUnlimited>Embargo (Unlimited)</EmbargoUnlimited>
  <SecurityCompOperations>COMP Operations</SecurityCompOperations>
  <SecurityOpinionLegalService>Opinion of the Legal Service</SecurityOpinionLegalService>
  <FooterPhone>Tel. direct line</FooterPhone>
  <FooterFax>Fax</FooterFax>
  <FooterOffice>Office:</FooterOffice>
  <PharmaSpecialHandlingLabel>Pharma Investigations</PharmaSpecialHandlingLabel>
  <SpecialHandlingFootnote>Special handling instructions are given at </SpecialHandlingFootnote>
  <PharmaSpecialHandlingHyperlink>{field:HYPERLINK "https://myintracomm.ec.europa.eu/dg/sante/logistics-security/santes-security/Pages/Special-Handling_Pharma-investigations.aspx" 
|https://myintracomm.ec.europa.eu/dg/sante/logistics-security/santes-security/Pages/Special-Handling_Pharma-investigations.aspx}</PharmaSpecialHandlingHyperlink>
  <SpecialHandlingLabel>Special Handling</SpecialHandlingLabel>
  <TOCHeading>Table of Contents</TOCHeading>
  <DAC.Line2>EMPLOYMENT, SOCIAL AFFAIRS AND INCLUSION</DAC.Line2>
  <DAC.Line3>REGIONAL AND URBAN POLICY</DAC.Line3>
  <DAC.Line1>DIRECTORATES-GENERAL</DAC.Line1>
  <CLIMASpecialHandlingHyperlink>{field:HYPERLINK "https://myintracomm.ec.europa.eu/corp/security/EN/newDS3/SensitiveInformation/Pages/SPECIAL-HANDLING-INFORMATION-DG-CLIMA.aspx?ln=en" |https://myintracomm.ec.europa.eu/corp/security/EN/newDS3/SensitiveInformation/Pages/SPECIAL-HANDLING-INFORMATION-DG-CLIMA.aspx?ln=en}</CLIMASpecialHandlingHyperlink>
  <CLIMASpecialHandlingLabel>CLIMA</CLIMASpecialHandlingLabel>
  <ContactFax>fax</ContactFax>
  <ContactTextPattern>%Name%[, %Function%][, %Office%][, %Phone%][, %Fax%][, %Email%][, %Dg%][, %Directorate%][, %Unit%]</ContactTextPattern>
  <ContactTel>tel.</ContactTel>
  <ContactOffice>office</ContactOffice>
  <SecurityMedicalSecret>Medical Secret</SecurityMedicalSecret>
  <SecurityStaffMatter>Staff Matter</SecurityStaffMatter>
  <SecurityMediationServiceMatter>Mediation Service</SecurityMediationServiceMatter>
  <SecurityReleasable>RELEASABLE TO:</SecurityReleasable>
  <Year>({field: DATE \@ "yyyy" })</Year>
  <CourtProceduralDocuments>Court Procedural Documents</CourtProceduralDocuments>
  <SecurityInvestigationsDisciplinary>Investigations and Disciplinary Matters</SecurityInvestigationsDisciplinary>
  <SecurityOlafInvestigations>OLAF Investigations</SecurityOlafInvestigations>
  <OLAFSpecialHandlingLabel>OLAF Investigations</OLAFSpecialHandlingLabel>
  <OLAFSpecialHandlingHyperlink>{field:HYPERLINK "https://myintracomm.ec.europa.eu/corp/security/EN/newDS3/SensitiveInformation/Pages/SPECIAL-HANDLING-INFORMATION-OLAF-Investigations.aspx?ln=en" |https://myintracomm.ec.europa.eu/corp/security/EN/newDS3/SensitiveInformation/Pages/SPECIAL-HANDLING-INFORMATION-OLAF-Investigations.aspx?ln=en}</OLAFSpecialHandlingHyperlink>
  <COMPSpecialHandlingLabel>COMP</COMPSpecialHandlingLabel>
  <COMPSpecialHandlingHyperlink>{field:HYPERLINK "https://europa.eu/!db43PX" |https://europa.eu/!db43PX }</COMPSpecialHandlingHyperlink>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E3CB1F-B7B8-4E2E-B121-B0A24B30796E}">
  <ds:schemaRefs>
    <ds:schemaRef ds:uri="http://schemas.microsoft.com/office/2006/metadata/properties"/>
    <ds:schemaRef ds:uri="http://schemas.microsoft.com/office/infopath/2007/PartnerControls"/>
    <ds:schemaRef ds:uri="38bf3bd7-73ad-4948-8b71-aa2c92f53103"/>
  </ds:schemaRefs>
</ds:datastoreItem>
</file>

<file path=customXml/itemProps2.xml><?xml version="1.0" encoding="utf-8"?>
<ds:datastoreItem xmlns:ds="http://schemas.openxmlformats.org/officeDocument/2006/customXml" ds:itemID="{224D77A6-A167-4135-8DFF-96BDADA240CE}">
  <ds:schemaRefs/>
</ds:datastoreItem>
</file>

<file path=customXml/itemProps3.xml><?xml version="1.0" encoding="utf-8"?>
<ds:datastoreItem xmlns:ds="http://schemas.openxmlformats.org/officeDocument/2006/customXml" ds:itemID="{D3EA5527-7367-4268-9D83-5125C98D0ED2}">
  <ds:schemaRefs/>
</ds:datastoreItem>
</file>

<file path=customXml/itemProps4.xml><?xml version="1.0" encoding="utf-8"?>
<ds:datastoreItem xmlns:ds="http://schemas.openxmlformats.org/officeDocument/2006/customXml" ds:itemID="{56B0697A-7C07-420D-8245-5D69DB1F5BBD}">
  <ds:schemaRefs>
    <ds:schemaRef ds:uri="http://schemas.microsoft.com/sharepoint/v3/contenttype/forms"/>
  </ds:schemaRefs>
</ds:datastoreItem>
</file>

<file path=customXml/itemProps5.xml><?xml version="1.0" encoding="utf-8"?>
<ds:datastoreItem xmlns:ds="http://schemas.openxmlformats.org/officeDocument/2006/customXml" ds:itemID="{6A5E23BF-D4EE-4AFB-B2DD-1DD7E15D1B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bf3bd7-73ad-4948-8b71-aa2c92f531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EF90DE6-88B6-4264-9629-4D8DFDFE87D2}">
  <ds:schemaRefs/>
</ds:datastoreItem>
</file>

<file path=customXml/itemProps7.xml><?xml version="1.0" encoding="utf-8"?>
<ds:datastoreItem xmlns:ds="http://schemas.openxmlformats.org/officeDocument/2006/customXml" ds:itemID="{2568140B-213E-4AE6-A76E-A5D90E57F3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12</Pages>
  <Words>13589</Words>
  <Characters>77461</Characters>
  <Application>Microsoft Office Word</Application>
  <DocSecurity>0</DocSecurity>
  <PresentationFormat>Microsoft Word 14.0</PresentationFormat>
  <Lines>645</Lines>
  <Paragraphs>181</Paragraphs>
  <ScaleCrop>true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90869</CharactersWithSpaces>
  <SharedDoc>false</SharedDoc>
  <HLinks>
    <vt:vector size="264" baseType="variant">
      <vt:variant>
        <vt:i4>786450</vt:i4>
      </vt:variant>
      <vt:variant>
        <vt:i4>120</vt:i4>
      </vt:variant>
      <vt:variant>
        <vt:i4>0</vt:i4>
      </vt:variant>
      <vt:variant>
        <vt:i4>5</vt:i4>
      </vt:variant>
      <vt:variant>
        <vt:lpwstr>https://data.europa.eu/doi/10.2838/273421</vt:lpwstr>
      </vt:variant>
      <vt:variant>
        <vt:lpwstr/>
      </vt:variant>
      <vt:variant>
        <vt:i4>3342376</vt:i4>
      </vt:variant>
      <vt:variant>
        <vt:i4>117</vt:i4>
      </vt:variant>
      <vt:variant>
        <vt:i4>0</vt:i4>
      </vt:variant>
      <vt:variant>
        <vt:i4>5</vt:i4>
      </vt:variant>
      <vt:variant>
        <vt:lpwstr>https://data.europa.eu/doi/10.2838/0978883</vt:lpwstr>
      </vt:variant>
      <vt:variant>
        <vt:lpwstr/>
      </vt:variant>
      <vt:variant>
        <vt:i4>8192114</vt:i4>
      </vt:variant>
      <vt:variant>
        <vt:i4>114</vt:i4>
      </vt:variant>
      <vt:variant>
        <vt:i4>0</vt:i4>
      </vt:variant>
      <vt:variant>
        <vt:i4>5</vt:i4>
      </vt:variant>
      <vt:variant>
        <vt:lpwstr>https://www.angajez45plus.com/</vt:lpwstr>
      </vt:variant>
      <vt:variant>
        <vt:lpwstr/>
      </vt:variant>
      <vt:variant>
        <vt:i4>4587586</vt:i4>
      </vt:variant>
      <vt:variant>
        <vt:i4>111</vt:i4>
      </vt:variant>
      <vt:variant>
        <vt:i4>0</vt:i4>
      </vt:variant>
      <vt:variant>
        <vt:i4>5</vt:i4>
      </vt:variant>
      <vt:variant>
        <vt:lpwstr>https://www.unia.be/fr/dossiers/tests-pratiques-et-mystery-shopping-en-mati%C3%A8re-de-discrimination</vt:lpwstr>
      </vt:variant>
      <vt:variant>
        <vt:lpwstr/>
      </vt:variant>
      <vt:variant>
        <vt:i4>2555929</vt:i4>
      </vt:variant>
      <vt:variant>
        <vt:i4>108</vt:i4>
      </vt:variant>
      <vt:variant>
        <vt:i4>0</vt:i4>
      </vt:variant>
      <vt:variant>
        <vt:i4>5</vt:i4>
      </vt:variant>
      <vt:variant>
        <vt:lpwstr>https://www.migpolgroup.com/_old/portfolio/proving-discrimination-cases-the-role-of-situation-testing/</vt:lpwstr>
      </vt:variant>
      <vt:variant>
        <vt:lpwstr/>
      </vt:variant>
      <vt:variant>
        <vt:i4>3932194</vt:i4>
      </vt:variant>
      <vt:variant>
        <vt:i4>105</vt:i4>
      </vt:variant>
      <vt:variant>
        <vt:i4>0</vt:i4>
      </vt:variant>
      <vt:variant>
        <vt:i4>5</vt:i4>
      </vt:variant>
      <vt:variant>
        <vt:lpwstr>https://data.europa.eu/doi/10.2838/4086758</vt:lpwstr>
      </vt:variant>
      <vt:variant>
        <vt:lpwstr/>
      </vt:variant>
      <vt:variant>
        <vt:i4>589846</vt:i4>
      </vt:variant>
      <vt:variant>
        <vt:i4>102</vt:i4>
      </vt:variant>
      <vt:variant>
        <vt:i4>0</vt:i4>
      </vt:variant>
      <vt:variant>
        <vt:i4>5</vt:i4>
      </vt:variant>
      <vt:variant>
        <vt:lpwstr>https://eur-lex.europa.eu/legal-content/EN/TXT/?uri=celex:52025DC0790</vt:lpwstr>
      </vt:variant>
      <vt:variant>
        <vt:lpwstr/>
      </vt:variant>
      <vt:variant>
        <vt:i4>196628</vt:i4>
      </vt:variant>
      <vt:variant>
        <vt:i4>96</vt:i4>
      </vt:variant>
      <vt:variant>
        <vt:i4>0</vt:i4>
      </vt:variant>
      <vt:variant>
        <vt:i4>5</vt:i4>
      </vt:variant>
      <vt:variant>
        <vt:lpwstr>https://eur-lex.europa.eu/legal-content/EN/TXT/?uri=celex:52021DC0139</vt:lpwstr>
      </vt:variant>
      <vt:variant>
        <vt:lpwstr/>
      </vt:variant>
      <vt:variant>
        <vt:i4>65556</vt:i4>
      </vt:variant>
      <vt:variant>
        <vt:i4>93</vt:i4>
      </vt:variant>
      <vt:variant>
        <vt:i4>0</vt:i4>
      </vt:variant>
      <vt:variant>
        <vt:i4>5</vt:i4>
      </vt:variant>
      <vt:variant>
        <vt:lpwstr>https://eur-lex.europa.eu/legal-content/EN/TXT/?uri=celex:52024DC0419</vt:lpwstr>
      </vt:variant>
      <vt:variant>
        <vt:lpwstr/>
      </vt:variant>
      <vt:variant>
        <vt:i4>8323133</vt:i4>
      </vt:variant>
      <vt:variant>
        <vt:i4>90</vt:i4>
      </vt:variant>
      <vt:variant>
        <vt:i4>0</vt:i4>
      </vt:variant>
      <vt:variant>
        <vt:i4>5</vt:i4>
      </vt:variant>
      <vt:variant>
        <vt:lpwstr>https://www.antidiscriminations.fr/</vt:lpwstr>
      </vt:variant>
      <vt:variant>
        <vt:lpwstr/>
      </vt:variant>
      <vt:variant>
        <vt:i4>8323197</vt:i4>
      </vt:variant>
      <vt:variant>
        <vt:i4>87</vt:i4>
      </vt:variant>
      <vt:variant>
        <vt:i4>0</vt:i4>
      </vt:variant>
      <vt:variant>
        <vt:i4>5</vt:i4>
      </vt:variant>
      <vt:variant>
        <vt:lpwstr>https://www.coe.int/en/web/inclusion-and-antidiscrimination/upholding-equality-and-non-discrimination-by-equality-bodies-regarding-the-use-of-artificial-intelligence-ai-in-public-administrations1</vt:lpwstr>
      </vt:variant>
      <vt:variant>
        <vt:lpwstr/>
      </vt:variant>
      <vt:variant>
        <vt:i4>8060943</vt:i4>
      </vt:variant>
      <vt:variant>
        <vt:i4>84</vt:i4>
      </vt:variant>
      <vt:variant>
        <vt:i4>0</vt:i4>
      </vt:variant>
      <vt:variant>
        <vt:i4>5</vt:i4>
      </vt:variant>
      <vt:variant>
        <vt:lpwstr>https://commission.europa.eu/funding-tenders/find-funding/eu-funding-programmes/technical-support-instrument/technical-support-instrument-tsi_en</vt:lpwstr>
      </vt:variant>
      <vt:variant>
        <vt:lpwstr/>
      </vt:variant>
      <vt:variant>
        <vt:i4>2031646</vt:i4>
      </vt:variant>
      <vt:variant>
        <vt:i4>81</vt:i4>
      </vt:variant>
      <vt:variant>
        <vt:i4>0</vt:i4>
      </vt:variant>
      <vt:variant>
        <vt:i4>5</vt:i4>
      </vt:variant>
      <vt:variant>
        <vt:lpwstr>https://www.rijksoverheid.nl/documenten/rapporten/2022/12/05/handreiking-non-discriminatie-artificial-intelligence-ai</vt:lpwstr>
      </vt:variant>
      <vt:variant>
        <vt:lpwstr/>
      </vt:variant>
      <vt:variant>
        <vt:i4>5701639</vt:i4>
      </vt:variant>
      <vt:variant>
        <vt:i4>78</vt:i4>
      </vt:variant>
      <vt:variant>
        <vt:i4>0</vt:i4>
      </vt:variant>
      <vt:variant>
        <vt:i4>5</vt:i4>
      </vt:variant>
      <vt:variant>
        <vt:lpwstr>https://publicaties.mensenrechten.nl/publicatie/a356efac-8752-4843-a86c-665bb0a98667</vt:lpwstr>
      </vt:variant>
      <vt:variant>
        <vt:lpwstr/>
      </vt:variant>
      <vt:variant>
        <vt:i4>8192101</vt:i4>
      </vt:variant>
      <vt:variant>
        <vt:i4>75</vt:i4>
      </vt:variant>
      <vt:variant>
        <vt:i4>0</vt:i4>
      </vt:variant>
      <vt:variant>
        <vt:i4>5</vt:i4>
      </vt:variant>
      <vt:variant>
        <vt:lpwstr>https://ec.europa.eu/commission/presscorner/detail/en/ip_24_4123</vt:lpwstr>
      </vt:variant>
      <vt:variant>
        <vt:lpwstr/>
      </vt:variant>
      <vt:variant>
        <vt:i4>3997820</vt:i4>
      </vt:variant>
      <vt:variant>
        <vt:i4>72</vt:i4>
      </vt:variant>
      <vt:variant>
        <vt:i4>0</vt:i4>
      </vt:variant>
      <vt:variant>
        <vt:i4>5</vt:i4>
      </vt:variant>
      <vt:variant>
        <vt:lpwstr>https://digital-strategy.ec.europa.eu/en/policies/european-approach-artificial-intelligence</vt:lpwstr>
      </vt:variant>
      <vt:variant>
        <vt:lpwstr/>
      </vt:variant>
      <vt:variant>
        <vt:i4>6619235</vt:i4>
      </vt:variant>
      <vt:variant>
        <vt:i4>69</vt:i4>
      </vt:variant>
      <vt:variant>
        <vt:i4>0</vt:i4>
      </vt:variant>
      <vt:variant>
        <vt:i4>5</vt:i4>
      </vt:variant>
      <vt:variant>
        <vt:lpwstr>http://data.europa.eu/eli/reg/2024/1689/oj</vt:lpwstr>
      </vt:variant>
      <vt:variant>
        <vt:lpwstr/>
      </vt:variant>
      <vt:variant>
        <vt:i4>4587596</vt:i4>
      </vt:variant>
      <vt:variant>
        <vt:i4>66</vt:i4>
      </vt:variant>
      <vt:variant>
        <vt:i4>0</vt:i4>
      </vt:variant>
      <vt:variant>
        <vt:i4>5</vt:i4>
      </vt:variant>
      <vt:variant>
        <vt:lpwstr>https://doi.org/10.48550/arXiv.1707.08120</vt:lpwstr>
      </vt:variant>
      <vt:variant>
        <vt:lpwstr/>
      </vt:variant>
      <vt:variant>
        <vt:i4>720924</vt:i4>
      </vt:variant>
      <vt:variant>
        <vt:i4>63</vt:i4>
      </vt:variant>
      <vt:variant>
        <vt:i4>0</vt:i4>
      </vt:variant>
      <vt:variant>
        <vt:i4>5</vt:i4>
      </vt:variant>
      <vt:variant>
        <vt:lpwstr>https://data.europa.eu/doi/10.2838/544956</vt:lpwstr>
      </vt:variant>
      <vt:variant>
        <vt:lpwstr/>
      </vt:variant>
      <vt:variant>
        <vt:i4>3276847</vt:i4>
      </vt:variant>
      <vt:variant>
        <vt:i4>60</vt:i4>
      </vt:variant>
      <vt:variant>
        <vt:i4>0</vt:i4>
      </vt:variant>
      <vt:variant>
        <vt:i4>5</vt:i4>
      </vt:variant>
      <vt:variant>
        <vt:lpwstr>https://data.europa.eu/doi/10.2838/0513884</vt:lpwstr>
      </vt:variant>
      <vt:variant>
        <vt:lpwstr/>
      </vt:variant>
      <vt:variant>
        <vt:i4>3604519</vt:i4>
      </vt:variant>
      <vt:variant>
        <vt:i4>57</vt:i4>
      </vt:variant>
      <vt:variant>
        <vt:i4>0</vt:i4>
      </vt:variant>
      <vt:variant>
        <vt:i4>5</vt:i4>
      </vt:variant>
      <vt:variant>
        <vt:lpwstr>https://data.europa.eu/doi/10.2838/7531428</vt:lpwstr>
      </vt:variant>
      <vt:variant>
        <vt:lpwstr/>
      </vt:variant>
      <vt:variant>
        <vt:i4>589897</vt:i4>
      </vt:variant>
      <vt:variant>
        <vt:i4>54</vt:i4>
      </vt:variant>
      <vt:variant>
        <vt:i4>0</vt:i4>
      </vt:variant>
      <vt:variant>
        <vt:i4>5</vt:i4>
      </vt:variant>
      <vt:variant>
        <vt:lpwstr>https://equineteurope.org/publications/preventing-and-reacting-to-discrimination-through-sanctions-and-remedies/</vt:lpwstr>
      </vt:variant>
      <vt:variant>
        <vt:lpwstr/>
      </vt:variant>
      <vt:variant>
        <vt:i4>3801103</vt:i4>
      </vt:variant>
      <vt:variant>
        <vt:i4>51</vt:i4>
      </vt:variant>
      <vt:variant>
        <vt:i4>0</vt:i4>
      </vt:variant>
      <vt:variant>
        <vt:i4>5</vt:i4>
      </vt:variant>
      <vt:variant>
        <vt:lpwstr>https://rozhodnuti.nsoud.cz/Judikatura/judikatura_ns.nsf/WebSearch/2A32AD763CFC9A92C125889000161213?openDocument&amp;Highlight=0</vt:lpwstr>
      </vt:variant>
      <vt:variant>
        <vt:lpwstr/>
      </vt:variant>
      <vt:variant>
        <vt:i4>6488114</vt:i4>
      </vt:variant>
      <vt:variant>
        <vt:i4>48</vt:i4>
      </vt:variant>
      <vt:variant>
        <vt:i4>0</vt:i4>
      </vt:variant>
      <vt:variant>
        <vt:i4>5</vt:i4>
      </vt:variant>
      <vt:variant>
        <vt:lpwstr>https://fra.europa.eu/en/publication/2025/roma-survey-2024</vt:lpwstr>
      </vt:variant>
      <vt:variant>
        <vt:lpwstr/>
      </vt:variant>
      <vt:variant>
        <vt:i4>65556</vt:i4>
      </vt:variant>
      <vt:variant>
        <vt:i4>45</vt:i4>
      </vt:variant>
      <vt:variant>
        <vt:i4>0</vt:i4>
      </vt:variant>
      <vt:variant>
        <vt:i4>5</vt:i4>
      </vt:variant>
      <vt:variant>
        <vt:lpwstr>https://eur-lex.europa.eu/legal-content/EN/TXT/?uri=celex:52024DC0419</vt:lpwstr>
      </vt:variant>
      <vt:variant>
        <vt:lpwstr/>
      </vt:variant>
      <vt:variant>
        <vt:i4>851987</vt:i4>
      </vt:variant>
      <vt:variant>
        <vt:i4>42</vt:i4>
      </vt:variant>
      <vt:variant>
        <vt:i4>0</vt:i4>
      </vt:variant>
      <vt:variant>
        <vt:i4>5</vt:i4>
      </vt:variant>
      <vt:variant>
        <vt:lpwstr>https://data.europa.eu/doi/10.2838/324057</vt:lpwstr>
      </vt:variant>
      <vt:variant>
        <vt:lpwstr/>
      </vt:variant>
      <vt:variant>
        <vt:i4>5898256</vt:i4>
      </vt:variant>
      <vt:variant>
        <vt:i4>39</vt:i4>
      </vt:variant>
      <vt:variant>
        <vt:i4>0</vt:i4>
      </vt:variant>
      <vt:variant>
        <vt:i4>5</vt:i4>
      </vt:variant>
      <vt:variant>
        <vt:lpwstr>https://eur-lex.europa.eu/legal-content/EN/TXT/?uri=oj:JOC_2021_093_R_0001</vt:lpwstr>
      </vt:variant>
      <vt:variant>
        <vt:lpwstr/>
      </vt:variant>
      <vt:variant>
        <vt:i4>6357098</vt:i4>
      </vt:variant>
      <vt:variant>
        <vt:i4>33</vt:i4>
      </vt:variant>
      <vt:variant>
        <vt:i4>0</vt:i4>
      </vt:variant>
      <vt:variant>
        <vt:i4>5</vt:i4>
      </vt:variant>
      <vt:variant>
        <vt:lpwstr>http://data.europa.eu/eli/dir/2024/1500/oj</vt:lpwstr>
      </vt:variant>
      <vt:variant>
        <vt:lpwstr/>
      </vt:variant>
      <vt:variant>
        <vt:i4>6815842</vt:i4>
      </vt:variant>
      <vt:variant>
        <vt:i4>30</vt:i4>
      </vt:variant>
      <vt:variant>
        <vt:i4>0</vt:i4>
      </vt:variant>
      <vt:variant>
        <vt:i4>5</vt:i4>
      </vt:variant>
      <vt:variant>
        <vt:lpwstr>http://data.europa.eu/eli/dir/2024/1499/oj</vt:lpwstr>
      </vt:variant>
      <vt:variant>
        <vt:lpwstr/>
      </vt:variant>
      <vt:variant>
        <vt:i4>2293864</vt:i4>
      </vt:variant>
      <vt:variant>
        <vt:i4>27</vt:i4>
      </vt:variant>
      <vt:variant>
        <vt:i4>0</vt:i4>
      </vt:variant>
      <vt:variant>
        <vt:i4>5</vt:i4>
      </vt:variant>
      <vt:variant>
        <vt:lpwstr>https://europa.eu/eurobarometer/surveys/detail/2972</vt:lpwstr>
      </vt:variant>
      <vt:variant>
        <vt:lpwstr/>
      </vt:variant>
      <vt:variant>
        <vt:i4>196628</vt:i4>
      </vt:variant>
      <vt:variant>
        <vt:i4>24</vt:i4>
      </vt:variant>
      <vt:variant>
        <vt:i4>0</vt:i4>
      </vt:variant>
      <vt:variant>
        <vt:i4>5</vt:i4>
      </vt:variant>
      <vt:variant>
        <vt:lpwstr>https://eur-lex.europa.eu/legal-content/EN/TXT/?uri=celex:52021DC0139</vt:lpwstr>
      </vt:variant>
      <vt:variant>
        <vt:lpwstr/>
      </vt:variant>
      <vt:variant>
        <vt:i4>6488114</vt:i4>
      </vt:variant>
      <vt:variant>
        <vt:i4>21</vt:i4>
      </vt:variant>
      <vt:variant>
        <vt:i4>0</vt:i4>
      </vt:variant>
      <vt:variant>
        <vt:i4>5</vt:i4>
      </vt:variant>
      <vt:variant>
        <vt:lpwstr>https://fra.europa.eu/en/publication/2025/roma-survey-2024</vt:lpwstr>
      </vt:variant>
      <vt:variant>
        <vt:lpwstr/>
      </vt:variant>
      <vt:variant>
        <vt:i4>4980805</vt:i4>
      </vt:variant>
      <vt:variant>
        <vt:i4>18</vt:i4>
      </vt:variant>
      <vt:variant>
        <vt:i4>0</vt:i4>
      </vt:variant>
      <vt:variant>
        <vt:i4>5</vt:i4>
      </vt:variant>
      <vt:variant>
        <vt:lpwstr>https://fra.europa.eu/sites/default/files/fra_uploads/fra-2022-roma-survey-2021-main-results2_en.pdf</vt:lpwstr>
      </vt:variant>
      <vt:variant>
        <vt:lpwstr/>
      </vt:variant>
      <vt:variant>
        <vt:i4>196619</vt:i4>
      </vt:variant>
      <vt:variant>
        <vt:i4>15</vt:i4>
      </vt:variant>
      <vt:variant>
        <vt:i4>0</vt:i4>
      </vt:variant>
      <vt:variant>
        <vt:i4>5</vt:i4>
      </vt:variant>
      <vt:variant>
        <vt:lpwstr>https://fra.europa.eu/en/publication/2024/lgbtiq-equality-crossroads-progress-and-challenges</vt:lpwstr>
      </vt:variant>
      <vt:variant>
        <vt:lpwstr/>
      </vt:variant>
      <vt:variant>
        <vt:i4>7340151</vt:i4>
      </vt:variant>
      <vt:variant>
        <vt:i4>12</vt:i4>
      </vt:variant>
      <vt:variant>
        <vt:i4>0</vt:i4>
      </vt:variant>
      <vt:variant>
        <vt:i4>5</vt:i4>
      </vt:variant>
      <vt:variant>
        <vt:lpwstr>https://fra.europa.eu/sites/default/files/fra_uploads/fra-2024-experiences-perceptions-antisemitism-survey_en.pdf</vt:lpwstr>
      </vt:variant>
      <vt:variant>
        <vt:lpwstr/>
      </vt:variant>
      <vt:variant>
        <vt:i4>1179738</vt:i4>
      </vt:variant>
      <vt:variant>
        <vt:i4>9</vt:i4>
      </vt:variant>
      <vt:variant>
        <vt:i4>0</vt:i4>
      </vt:variant>
      <vt:variant>
        <vt:i4>5</vt:i4>
      </vt:variant>
      <vt:variant>
        <vt:lpwstr>https://fra.europa.eu/sites/default/files/fra_uploads/fra-2024-being-muslim-in-the-eu_en.pdf</vt:lpwstr>
      </vt:variant>
      <vt:variant>
        <vt:lpwstr/>
      </vt:variant>
      <vt:variant>
        <vt:i4>4259966</vt:i4>
      </vt:variant>
      <vt:variant>
        <vt:i4>6</vt:i4>
      </vt:variant>
      <vt:variant>
        <vt:i4>0</vt:i4>
      </vt:variant>
      <vt:variant>
        <vt:i4>5</vt:i4>
      </vt:variant>
      <vt:variant>
        <vt:lpwstr>https://fra.europa.eu/sites/default/files/fra_uploads/fra-2023-being-black_in_the_eu_en.pdf</vt:lpwstr>
      </vt:variant>
      <vt:variant>
        <vt:lpwstr/>
      </vt:variant>
      <vt:variant>
        <vt:i4>5439573</vt:i4>
      </vt:variant>
      <vt:variant>
        <vt:i4>3</vt:i4>
      </vt:variant>
      <vt:variant>
        <vt:i4>0</vt:i4>
      </vt:variant>
      <vt:variant>
        <vt:i4>5</vt:i4>
      </vt:variant>
      <vt:variant>
        <vt:lpwstr>http://data.europa.eu/eli/dir/2000/78/oj</vt:lpwstr>
      </vt:variant>
      <vt:variant>
        <vt:lpwstr/>
      </vt:variant>
      <vt:variant>
        <vt:i4>5242974</vt:i4>
      </vt:variant>
      <vt:variant>
        <vt:i4>0</vt:i4>
      </vt:variant>
      <vt:variant>
        <vt:i4>0</vt:i4>
      </vt:variant>
      <vt:variant>
        <vt:i4>5</vt:i4>
      </vt:variant>
      <vt:variant>
        <vt:lpwstr>http://data.europa.eu/eli/dir/2000/43/oj</vt:lpwstr>
      </vt:variant>
      <vt:variant>
        <vt:lpwstr/>
      </vt:variant>
      <vt:variant>
        <vt:i4>4980847</vt:i4>
      </vt:variant>
      <vt:variant>
        <vt:i4>12</vt:i4>
      </vt:variant>
      <vt:variant>
        <vt:i4>0</vt:i4>
      </vt:variant>
      <vt:variant>
        <vt:i4>5</vt:i4>
      </vt:variant>
      <vt:variant>
        <vt:lpwstr>mailto:Tanja.FLORATH@ec.europa.eu</vt:lpwstr>
      </vt:variant>
      <vt:variant>
        <vt:lpwstr/>
      </vt:variant>
      <vt:variant>
        <vt:i4>3080212</vt:i4>
      </vt:variant>
      <vt:variant>
        <vt:i4>9</vt:i4>
      </vt:variant>
      <vt:variant>
        <vt:i4>0</vt:i4>
      </vt:variant>
      <vt:variant>
        <vt:i4>5</vt:i4>
      </vt:variant>
      <vt:variant>
        <vt:lpwstr>mailto:Hubert.SMOLINSKI@ec.europa.eu</vt:lpwstr>
      </vt:variant>
      <vt:variant>
        <vt:lpwstr/>
      </vt:variant>
      <vt:variant>
        <vt:i4>6291526</vt:i4>
      </vt:variant>
      <vt:variant>
        <vt:i4>6</vt:i4>
      </vt:variant>
      <vt:variant>
        <vt:i4>0</vt:i4>
      </vt:variant>
      <vt:variant>
        <vt:i4>5</vt:i4>
      </vt:variant>
      <vt:variant>
        <vt:lpwstr>mailto:Alessandra.TANGIANU@ec.europa.eu</vt:lpwstr>
      </vt:variant>
      <vt:variant>
        <vt:lpwstr/>
      </vt:variant>
      <vt:variant>
        <vt:i4>4980847</vt:i4>
      </vt:variant>
      <vt:variant>
        <vt:i4>3</vt:i4>
      </vt:variant>
      <vt:variant>
        <vt:i4>0</vt:i4>
      </vt:variant>
      <vt:variant>
        <vt:i4>5</vt:i4>
      </vt:variant>
      <vt:variant>
        <vt:lpwstr>mailto:Tanja.FLORATH@ec.europa.eu</vt:lpwstr>
      </vt:variant>
      <vt:variant>
        <vt:lpwstr/>
      </vt:variant>
      <vt:variant>
        <vt:i4>4980847</vt:i4>
      </vt:variant>
      <vt:variant>
        <vt:i4>0</vt:i4>
      </vt:variant>
      <vt:variant>
        <vt:i4>0</vt:i4>
      </vt:variant>
      <vt:variant>
        <vt:i4>5</vt:i4>
      </vt:variant>
      <vt:variant>
        <vt:lpwstr>mailto:Tanja.FLORATH@ec.europa.eu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10</cp:revision>
  <dcterms:created xsi:type="dcterms:W3CDTF">2026-07-01T09:20:00Z</dcterms:created>
  <dcterms:modified xsi:type="dcterms:W3CDTF">2026-07-03T09:24:00Z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Name">
    <vt:lpwstr>Commission Use</vt:lpwstr>
  </property>
  <property fmtid="{D5CDD505-2E9C-101B-9397-08002B2CF9AE}" pid="5" name="Part">
    <vt:lpwstr>1</vt:lpwstr>
  </property>
  <property fmtid="{D5CDD505-2E9C-101B-9397-08002B2CF9AE}" pid="6" name="EC_TX_Corporate_x0020_Body">
    <vt:lpwstr/>
  </property>
  <property fmtid="{D5CDD505-2E9C-101B-9397-08002B2CF9AE}" pid="7" name="EC_TX_All_World_Countries">
    <vt:lpwstr/>
  </property>
  <property fmtid="{D5CDD505-2E9C-101B-9397-08002B2CF9AE}" pid="8" name="MediaServiceImageTags">
    <vt:lpwstr/>
  </property>
  <property fmtid="{D5CDD505-2E9C-101B-9397-08002B2CF9AE}" pid="9" name="MSIP_Label_6bd9ddd1-4d20-43f6-abfa-fc3c07406f94_ContentBits">
    <vt:lpwstr>0</vt:lpwstr>
  </property>
  <property fmtid="{D5CDD505-2E9C-101B-9397-08002B2CF9AE}" pid="10" name="ContentTypeId">
    <vt:lpwstr>0x01010093DEBFA01D8CDE41AAE050D7D7CF61F9</vt:lpwstr>
  </property>
  <property fmtid="{D5CDD505-2E9C-101B-9397-08002B2CF9AE}" pid="11" name="EC_TX_Corporate Body">
    <vt:lpwstr/>
  </property>
  <property fmtid="{D5CDD505-2E9C-101B-9397-08002B2CF9AE}" pid="12" name="MSIP_Label_6bd9ddd1-4d20-43f6-abfa-fc3c07406f94_SiteId">
    <vt:lpwstr>b24c8b06-522c-46fe-9080-70926f8dddb1</vt:lpwstr>
  </property>
  <property fmtid="{D5CDD505-2E9C-101B-9397-08002B2CF9AE}" pid="13" name="i8c8ab8b63424c5d9f8c4a8434abf670">
    <vt:lpwstr/>
  </property>
  <property fmtid="{D5CDD505-2E9C-101B-9397-08002B2CF9AE}" pid="14" name="MSIP_Label_6bd9ddd1-4d20-43f6-abfa-fc3c07406f94_Method">
    <vt:lpwstr>Standard</vt:lpwstr>
  </property>
  <property fmtid="{D5CDD505-2E9C-101B-9397-08002B2CF9AE}" pid="15" name="MSIP_Label_6bd9ddd1-4d20-43f6-abfa-fc3c07406f94_Enabled">
    <vt:lpwstr>true</vt:lpwstr>
  </property>
  <property fmtid="{D5CDD505-2E9C-101B-9397-08002B2CF9AE}" pid="16" name="EC_TX_Resource_Type">
    <vt:lpwstr/>
  </property>
  <property fmtid="{D5CDD505-2E9C-101B-9397-08002B2CF9AE}" pid="17" name="EC_TX_Policy_Area">
    <vt:lpwstr/>
  </property>
  <property fmtid="{D5CDD505-2E9C-101B-9397-08002B2CF9AE}" pid="18" name="EC_TX_EU_Member_State">
    <vt:lpwstr/>
  </property>
  <property fmtid="{D5CDD505-2E9C-101B-9397-08002B2CF9AE}" pid="19" name="Total parts">
    <vt:lpwstr>1</vt:lpwstr>
  </property>
  <property fmtid="{D5CDD505-2E9C-101B-9397-08002B2CF9AE}" pid="20" name="j8309f8bc3e645d1a2f07391f8e5795a">
    <vt:lpwstr/>
  </property>
  <property fmtid="{D5CDD505-2E9C-101B-9397-08002B2CF9AE}" pid="21" name="MSIP_Label_6bd9ddd1-4d20-43f6-abfa-fc3c07406f94_SetDate">
    <vt:lpwstr>2026-06-23T08:54:43Z</vt:lpwstr>
  </property>
  <property fmtid="{D5CDD505-2E9C-101B-9397-08002B2CF9AE}" pid="22" name="g81cb4d17be94922847ce418ea81f55a">
    <vt:lpwstr/>
  </property>
  <property fmtid="{D5CDD505-2E9C-101B-9397-08002B2CF9AE}" pid="23" name="Level of sensitivity">
    <vt:lpwstr>Standard treatment</vt:lpwstr>
  </property>
  <property fmtid="{D5CDD505-2E9C-101B-9397-08002B2CF9AE}" pid="24" name="MSIP_Label_6bd9ddd1-4d20-43f6-abfa-fc3c07406f94_ActionId">
    <vt:lpwstr>91dde062-10dd-48f2-8f2b-a35db8df4b11</vt:lpwstr>
  </property>
  <property fmtid="{D5CDD505-2E9C-101B-9397-08002B2CF9AE}" pid="25" name="TaxCatchAll">
    <vt:lpwstr/>
  </property>
  <property fmtid="{D5CDD505-2E9C-101B-9397-08002B2CF9AE}" pid="26" name="k2c54712f93b47eb83e1835ba301b6c6">
    <vt:lpwstr/>
  </property>
  <property fmtid="{D5CDD505-2E9C-101B-9397-08002B2CF9AE}" pid="27" name="EC_TX_Strategic_Priority">
    <vt:lpwstr/>
  </property>
  <property fmtid="{D5CDD505-2E9C-101B-9397-08002B2CF9AE}" pid="28" name="CPTemplateID">
    <vt:lpwstr>CP-006</vt:lpwstr>
  </property>
  <property fmtid="{D5CDD505-2E9C-101B-9397-08002B2CF9AE}" pid="29" name="MSIP_Label_6bd9ddd1-4d20-43f6-abfa-fc3c07406f94_Tag">
    <vt:lpwstr>10, 3, 0, 1</vt:lpwstr>
  </property>
  <property fmtid="{D5CDD505-2E9C-101B-9397-08002B2CF9AE}" pid="30" name="EC_TX_EU_Political_Leader">
    <vt:lpwstr/>
  </property>
  <property fmtid="{D5CDD505-2E9C-101B-9397-08002B2CF9AE}" pid="31" name="p6ffe5294acd41c38db3fcc8ababb05f">
    <vt:lpwstr/>
  </property>
  <property fmtid="{D5CDD505-2E9C-101B-9397-08002B2CF9AE}" pid="32" name="p26229aee9004b9f888149fd0449ec68">
    <vt:lpwstr/>
  </property>
  <property fmtid="{D5CDD505-2E9C-101B-9397-08002B2CF9AE}" pid="33" name="eff2cf69f10b4279bbb27215ca009b37">
    <vt:lpwstr/>
  </property>
</Properties>
</file>