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2C4A33" w14:textId="2A365D24" w:rsidR="00861C1C" w:rsidRPr="002948ED" w:rsidRDefault="003D1E34" w:rsidP="003D1E34">
      <w:pPr>
        <w:pStyle w:val="Pagedecouverture"/>
        <w:rPr>
          <w:noProof/>
        </w:rPr>
      </w:pPr>
      <w:bookmarkStart w:id="0" w:name="_Toc456026166"/>
      <w:bookmarkStart w:id="1" w:name="LW_BM_COVERPAGE"/>
      <w:r>
        <w:rPr>
          <w:noProof/>
        </w:rPr>
        <w:pict w14:anchorId="3074B5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215D3EE-C4D3-4249-BEAA-FD2238B54F89" style="width:455.25pt;height:286.5pt">
            <v:imagedata r:id="rId11" o:title=""/>
          </v:shape>
        </w:pict>
      </w:r>
    </w:p>
    <w:bookmarkEnd w:id="1"/>
    <w:p w14:paraId="7CA99554" w14:textId="77777777" w:rsidR="00313440" w:rsidRPr="002948ED" w:rsidRDefault="00313440" w:rsidP="00313440">
      <w:pPr>
        <w:rPr>
          <w:noProof/>
        </w:rPr>
        <w:sectPr w:rsidR="00313440" w:rsidRPr="002948ED" w:rsidSect="003D1E3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fmt="numberInDash" w:start="1"/>
          <w:cols w:space="720"/>
          <w:docGrid w:linePitch="326"/>
        </w:sectPr>
      </w:pPr>
    </w:p>
    <w:p w14:paraId="43DBD787" w14:textId="19728816" w:rsidR="00861C1C" w:rsidRPr="002948ED" w:rsidRDefault="003B6DC2" w:rsidP="00DE0036">
      <w:pPr>
        <w:pStyle w:val="TOCHeading"/>
        <w:rPr>
          <w:rFonts w:asciiTheme="majorHAnsi" w:hAnsiTheme="majorHAnsi"/>
          <w:noProof/>
        </w:rPr>
      </w:pPr>
      <w:bookmarkStart w:id="2" w:name="_Toc167194507"/>
      <w:bookmarkStart w:id="3" w:name="_Toc232061793"/>
      <w:bookmarkStart w:id="4" w:name="_Toc232061861"/>
      <w:bookmarkStart w:id="5" w:name="_Toc232087283"/>
      <w:bookmarkStart w:id="6" w:name="_Toc232174496"/>
      <w:bookmarkStart w:id="7" w:name="_Toc232591326"/>
      <w:bookmarkStart w:id="8" w:name="_Toc232603640"/>
      <w:bookmarkStart w:id="9" w:name="_Toc233027392"/>
      <w:bookmarkStart w:id="10" w:name="_Toc233045172"/>
      <w:bookmarkStart w:id="11" w:name="_Toc235786430"/>
      <w:bookmarkStart w:id="12" w:name="_Toc494974436"/>
      <w:bookmarkStart w:id="13" w:name="_Toc524523057"/>
      <w:bookmarkStart w:id="14" w:name="_GoBack"/>
      <w:bookmarkEnd w:id="0"/>
      <w:bookmarkEnd w:id="14"/>
      <w:r w:rsidRPr="002948ED">
        <w:rPr>
          <w:rFonts w:asciiTheme="majorHAnsi" w:hAnsiTheme="majorHAnsi"/>
          <w:noProof/>
        </w:rPr>
        <w:lastRenderedPageBreak/>
        <w:t>Table des matières</w:t>
      </w:r>
      <w:bookmarkEnd w:id="2"/>
      <w:bookmarkEnd w:id="3"/>
      <w:bookmarkEnd w:id="4"/>
      <w:bookmarkEnd w:id="5"/>
      <w:bookmarkEnd w:id="6"/>
      <w:bookmarkEnd w:id="7"/>
      <w:bookmarkEnd w:id="8"/>
      <w:bookmarkEnd w:id="9"/>
      <w:bookmarkEnd w:id="10"/>
      <w:bookmarkEnd w:id="11"/>
    </w:p>
    <w:p w14:paraId="3EE56CCD" w14:textId="1A46FCA8" w:rsidR="000F056E" w:rsidRPr="002948ED" w:rsidRDefault="003B6DC2">
      <w:pPr>
        <w:pStyle w:val="TOC1"/>
        <w:rPr>
          <w:rFonts w:asciiTheme="minorHAnsi" w:eastAsiaTheme="minorEastAsia" w:hAnsiTheme="minorHAnsi"/>
          <w:b w:val="0"/>
          <w:caps w:val="0"/>
          <w:noProof/>
          <w:kern w:val="2"/>
          <w:sz w:val="24"/>
          <w:szCs w:val="24"/>
          <w:lang w:eastAsia="en-IE"/>
          <w14:ligatures w14:val="standardContextual"/>
        </w:rPr>
      </w:pPr>
      <w:r w:rsidRPr="002948ED">
        <w:rPr>
          <w:rFonts w:asciiTheme="majorHAnsi" w:hAnsiTheme="majorHAnsi"/>
          <w:noProof/>
        </w:rPr>
        <w:fldChar w:fldCharType="begin"/>
      </w:r>
      <w:r w:rsidRPr="002948ED">
        <w:rPr>
          <w:rFonts w:asciiTheme="majorHAnsi" w:hAnsiTheme="majorHAnsi"/>
          <w:noProof/>
        </w:rPr>
        <w:instrText>TOC \o "1-3" \h \z \u</w:instrText>
      </w:r>
      <w:r w:rsidRPr="002948ED">
        <w:rPr>
          <w:rFonts w:asciiTheme="majorHAnsi" w:hAnsiTheme="majorHAnsi"/>
          <w:noProof/>
        </w:rPr>
        <w:fldChar w:fldCharType="separate"/>
      </w:r>
      <w:hyperlink w:anchor="_Toc235786430" w:history="1">
        <w:r w:rsidR="000F056E" w:rsidRPr="002948ED">
          <w:rPr>
            <w:rStyle w:val="Hyperlink"/>
            <w:rFonts w:asciiTheme="majorHAnsi" w:hAnsiTheme="majorHAnsi"/>
            <w:noProof/>
          </w:rPr>
          <w:t>Table des matières</w:t>
        </w:r>
        <w:r w:rsidR="000F056E" w:rsidRPr="002948ED">
          <w:rPr>
            <w:noProof/>
            <w:webHidden/>
          </w:rPr>
          <w:tab/>
        </w:r>
        <w:r w:rsidR="000F056E" w:rsidRPr="002948ED">
          <w:rPr>
            <w:noProof/>
            <w:webHidden/>
          </w:rPr>
          <w:fldChar w:fldCharType="begin"/>
        </w:r>
        <w:r w:rsidR="000F056E" w:rsidRPr="002948ED">
          <w:rPr>
            <w:noProof/>
            <w:webHidden/>
          </w:rPr>
          <w:instrText xml:space="preserve"> PAGEREF _Toc235786430 \h </w:instrText>
        </w:r>
        <w:r w:rsidR="000F056E" w:rsidRPr="002948ED">
          <w:rPr>
            <w:noProof/>
            <w:webHidden/>
          </w:rPr>
        </w:r>
        <w:r w:rsidR="000F056E" w:rsidRPr="002948ED">
          <w:rPr>
            <w:noProof/>
            <w:webHidden/>
          </w:rPr>
          <w:fldChar w:fldCharType="separate"/>
        </w:r>
        <w:r w:rsidR="000F056E" w:rsidRPr="002948ED">
          <w:rPr>
            <w:noProof/>
            <w:webHidden/>
          </w:rPr>
          <w:t>1</w:t>
        </w:r>
        <w:r w:rsidR="000F056E" w:rsidRPr="002948ED">
          <w:rPr>
            <w:noProof/>
            <w:webHidden/>
          </w:rPr>
          <w:fldChar w:fldCharType="end"/>
        </w:r>
      </w:hyperlink>
    </w:p>
    <w:p w14:paraId="028BBBBC" w14:textId="26157B73" w:rsidR="000F056E" w:rsidRPr="002948ED" w:rsidRDefault="003D1E34">
      <w:pPr>
        <w:pStyle w:val="TOC2"/>
        <w:rPr>
          <w:rFonts w:asciiTheme="minorHAnsi" w:eastAsiaTheme="minorEastAsia" w:hAnsiTheme="minorHAnsi"/>
          <w:kern w:val="2"/>
          <w:sz w:val="24"/>
          <w:szCs w:val="24"/>
          <w:lang w:eastAsia="en-IE"/>
          <w14:ligatures w14:val="standardContextual"/>
        </w:rPr>
      </w:pPr>
      <w:hyperlink w:anchor="_Toc235786431" w:history="1">
        <w:r w:rsidR="000F056E" w:rsidRPr="002948ED">
          <w:rPr>
            <w:rStyle w:val="Hyperlink"/>
            <w:rFonts w:asciiTheme="majorHAnsi" w:hAnsiTheme="majorHAnsi"/>
          </w:rPr>
          <w:t>1.</w:t>
        </w:r>
        <w:r w:rsidR="000F056E" w:rsidRPr="002948ED">
          <w:rPr>
            <w:rFonts w:asciiTheme="minorHAnsi" w:eastAsiaTheme="minorEastAsia" w:hAnsiTheme="minorHAnsi"/>
            <w:kern w:val="2"/>
            <w:sz w:val="24"/>
            <w:szCs w:val="24"/>
            <w:lang w:eastAsia="en-IE"/>
            <w14:ligatures w14:val="standardContextual"/>
          </w:rPr>
          <w:tab/>
        </w:r>
        <w:r w:rsidR="000F056E" w:rsidRPr="002948ED">
          <w:rPr>
            <w:rStyle w:val="Hyperlink"/>
            <w:rFonts w:asciiTheme="majorHAnsi" w:hAnsiTheme="majorHAnsi"/>
          </w:rPr>
          <w:t>Introduction</w:t>
        </w:r>
        <w:r w:rsidR="000F056E" w:rsidRPr="002948ED">
          <w:rPr>
            <w:webHidden/>
          </w:rPr>
          <w:tab/>
        </w:r>
        <w:r w:rsidR="000F056E" w:rsidRPr="002948ED">
          <w:rPr>
            <w:webHidden/>
          </w:rPr>
          <w:fldChar w:fldCharType="begin"/>
        </w:r>
        <w:r w:rsidR="000F056E" w:rsidRPr="002948ED">
          <w:rPr>
            <w:webHidden/>
          </w:rPr>
          <w:instrText xml:space="preserve"> PAGEREF _Toc235786431 \h </w:instrText>
        </w:r>
        <w:r w:rsidR="000F056E" w:rsidRPr="002948ED">
          <w:rPr>
            <w:webHidden/>
          </w:rPr>
        </w:r>
        <w:r w:rsidR="000F056E" w:rsidRPr="002948ED">
          <w:rPr>
            <w:webHidden/>
          </w:rPr>
          <w:fldChar w:fldCharType="separate"/>
        </w:r>
        <w:r w:rsidR="000F056E" w:rsidRPr="002948ED">
          <w:rPr>
            <w:webHidden/>
          </w:rPr>
          <w:t>1</w:t>
        </w:r>
        <w:r w:rsidR="000F056E" w:rsidRPr="002948ED">
          <w:rPr>
            <w:webHidden/>
          </w:rPr>
          <w:fldChar w:fldCharType="end"/>
        </w:r>
      </w:hyperlink>
    </w:p>
    <w:p w14:paraId="45ADC4CF" w14:textId="72CE7F39" w:rsidR="000F056E" w:rsidRPr="002948ED" w:rsidRDefault="003D1E34">
      <w:pPr>
        <w:pStyle w:val="TOC2"/>
        <w:rPr>
          <w:rFonts w:asciiTheme="minorHAnsi" w:eastAsiaTheme="minorEastAsia" w:hAnsiTheme="minorHAnsi"/>
          <w:kern w:val="2"/>
          <w:sz w:val="24"/>
          <w:szCs w:val="24"/>
          <w:lang w:eastAsia="en-IE"/>
          <w14:ligatures w14:val="standardContextual"/>
        </w:rPr>
      </w:pPr>
      <w:hyperlink w:anchor="_Toc235786432" w:history="1">
        <w:r w:rsidR="000F056E" w:rsidRPr="002948ED">
          <w:rPr>
            <w:rStyle w:val="Hyperlink"/>
            <w:rFonts w:asciiTheme="majorHAnsi" w:hAnsiTheme="majorHAnsi"/>
          </w:rPr>
          <w:t>2.</w:t>
        </w:r>
        <w:r w:rsidR="000F056E" w:rsidRPr="002948ED">
          <w:rPr>
            <w:rFonts w:asciiTheme="minorHAnsi" w:eastAsiaTheme="minorEastAsia" w:hAnsiTheme="minorHAnsi"/>
            <w:kern w:val="2"/>
            <w:sz w:val="24"/>
            <w:szCs w:val="24"/>
            <w:lang w:eastAsia="en-IE"/>
            <w14:ligatures w14:val="standardContextual"/>
          </w:rPr>
          <w:tab/>
        </w:r>
        <w:r w:rsidR="000F056E" w:rsidRPr="002948ED">
          <w:rPr>
            <w:rStyle w:val="Hyperlink"/>
            <w:rFonts w:asciiTheme="majorHAnsi" w:hAnsiTheme="majorHAnsi"/>
          </w:rPr>
          <w:t xml:space="preserve">Prévisions concernant les sorties du budget de l’UE </w:t>
        </w:r>
        <w:r w:rsidR="000F056E" w:rsidRPr="002948ED">
          <w:rPr>
            <w:rStyle w:val="Hyperlink"/>
          </w:rPr>
          <w:t xml:space="preserve">   </w:t>
        </w:r>
        <w:r w:rsidR="000F056E" w:rsidRPr="002948ED">
          <w:rPr>
            <w:rStyle w:val="Hyperlink"/>
            <w:rFonts w:asciiTheme="majorHAnsi" w:hAnsiTheme="majorHAnsi"/>
          </w:rPr>
          <w:t>2027-2034</w:t>
        </w:r>
        <w:r w:rsidR="000F056E" w:rsidRPr="002948ED">
          <w:rPr>
            <w:webHidden/>
          </w:rPr>
          <w:tab/>
        </w:r>
        <w:r w:rsidR="000F056E" w:rsidRPr="002948ED">
          <w:rPr>
            <w:webHidden/>
          </w:rPr>
          <w:fldChar w:fldCharType="begin"/>
        </w:r>
        <w:r w:rsidR="000F056E" w:rsidRPr="002948ED">
          <w:rPr>
            <w:webHidden/>
          </w:rPr>
          <w:instrText xml:space="preserve"> PAGEREF _Toc235786432 \h </w:instrText>
        </w:r>
        <w:r w:rsidR="000F056E" w:rsidRPr="002948ED">
          <w:rPr>
            <w:webHidden/>
          </w:rPr>
        </w:r>
        <w:r w:rsidR="000F056E" w:rsidRPr="002948ED">
          <w:rPr>
            <w:webHidden/>
          </w:rPr>
          <w:fldChar w:fldCharType="separate"/>
        </w:r>
        <w:r w:rsidR="000F056E" w:rsidRPr="002948ED">
          <w:rPr>
            <w:webHidden/>
          </w:rPr>
          <w:t>1</w:t>
        </w:r>
        <w:r w:rsidR="000F056E" w:rsidRPr="002948ED">
          <w:rPr>
            <w:webHidden/>
          </w:rPr>
          <w:fldChar w:fldCharType="end"/>
        </w:r>
      </w:hyperlink>
    </w:p>
    <w:p w14:paraId="366404CE" w14:textId="7DE20FB3" w:rsidR="000F056E" w:rsidRPr="002948ED" w:rsidRDefault="003D1E34">
      <w:pPr>
        <w:pStyle w:val="TOC3"/>
        <w:rPr>
          <w:rFonts w:asciiTheme="minorHAnsi" w:eastAsiaTheme="minorEastAsia" w:hAnsiTheme="minorHAnsi"/>
          <w:noProof/>
          <w:kern w:val="2"/>
          <w:sz w:val="24"/>
          <w:szCs w:val="24"/>
          <w:lang w:eastAsia="en-IE"/>
          <w14:ligatures w14:val="standardContextual"/>
        </w:rPr>
      </w:pPr>
      <w:hyperlink w:anchor="_Toc235786433" w:history="1">
        <w:r w:rsidR="000F056E" w:rsidRPr="002948ED">
          <w:rPr>
            <w:rStyle w:val="Hyperlink"/>
            <w:rFonts w:asciiTheme="majorHAnsi" w:hAnsiTheme="majorHAnsi"/>
            <w:noProof/>
          </w:rPr>
          <w:t>2.1.</w:t>
        </w:r>
        <w:r w:rsidR="000F056E" w:rsidRPr="002948ED">
          <w:rPr>
            <w:rFonts w:asciiTheme="minorHAnsi" w:eastAsiaTheme="minorEastAsia" w:hAnsiTheme="minorHAnsi"/>
            <w:noProof/>
            <w:kern w:val="2"/>
            <w:sz w:val="24"/>
            <w:szCs w:val="24"/>
            <w:lang w:eastAsia="en-IE"/>
            <w14:ligatures w14:val="standardContextual"/>
          </w:rPr>
          <w:tab/>
        </w:r>
        <w:r w:rsidR="000F056E" w:rsidRPr="002948ED">
          <w:rPr>
            <w:rStyle w:val="Hyperlink"/>
            <w:rFonts w:asciiTheme="majorHAnsi" w:hAnsiTheme="majorHAnsi"/>
            <w:noProof/>
          </w:rPr>
          <w:t>Paiements liés aux engagements du CFP</w:t>
        </w:r>
        <w:r w:rsidR="000F056E" w:rsidRPr="002948ED">
          <w:rPr>
            <w:rStyle w:val="Hyperlink"/>
            <w:rFonts w:ascii="Calibri" w:hAnsi="Calibri" w:cs="Calibri"/>
            <w:noProof/>
          </w:rPr>
          <w:t> </w:t>
        </w:r>
        <w:r w:rsidR="000F056E" w:rsidRPr="002948ED">
          <w:rPr>
            <w:rStyle w:val="Hyperlink"/>
            <w:rFonts w:asciiTheme="majorHAnsi" w:hAnsiTheme="majorHAnsi"/>
            <w:noProof/>
          </w:rPr>
          <w:t>2021-2027</w:t>
        </w:r>
        <w:r w:rsidR="000F056E" w:rsidRPr="002948ED">
          <w:rPr>
            <w:noProof/>
            <w:webHidden/>
          </w:rPr>
          <w:tab/>
        </w:r>
        <w:r w:rsidR="000F056E" w:rsidRPr="002948ED">
          <w:rPr>
            <w:noProof/>
            <w:webHidden/>
          </w:rPr>
          <w:fldChar w:fldCharType="begin"/>
        </w:r>
        <w:r w:rsidR="000F056E" w:rsidRPr="002948ED">
          <w:rPr>
            <w:noProof/>
            <w:webHidden/>
          </w:rPr>
          <w:instrText xml:space="preserve"> PAGEREF _Toc235786433 \h </w:instrText>
        </w:r>
        <w:r w:rsidR="000F056E" w:rsidRPr="002948ED">
          <w:rPr>
            <w:noProof/>
            <w:webHidden/>
          </w:rPr>
        </w:r>
        <w:r w:rsidR="000F056E" w:rsidRPr="002948ED">
          <w:rPr>
            <w:noProof/>
            <w:webHidden/>
          </w:rPr>
          <w:fldChar w:fldCharType="separate"/>
        </w:r>
        <w:r w:rsidR="000F056E" w:rsidRPr="002948ED">
          <w:rPr>
            <w:noProof/>
            <w:webHidden/>
          </w:rPr>
          <w:t>4</w:t>
        </w:r>
        <w:r w:rsidR="000F056E" w:rsidRPr="002948ED">
          <w:rPr>
            <w:noProof/>
            <w:webHidden/>
          </w:rPr>
          <w:fldChar w:fldCharType="end"/>
        </w:r>
      </w:hyperlink>
    </w:p>
    <w:p w14:paraId="361927E1" w14:textId="4B3FBBE9" w:rsidR="000F056E" w:rsidRPr="002948ED" w:rsidRDefault="003D1E34">
      <w:pPr>
        <w:pStyle w:val="TOC3"/>
        <w:rPr>
          <w:rFonts w:asciiTheme="minorHAnsi" w:eastAsiaTheme="minorEastAsia" w:hAnsiTheme="minorHAnsi"/>
          <w:noProof/>
          <w:kern w:val="2"/>
          <w:sz w:val="24"/>
          <w:szCs w:val="24"/>
          <w:lang w:eastAsia="en-IE"/>
          <w14:ligatures w14:val="standardContextual"/>
        </w:rPr>
      </w:pPr>
      <w:hyperlink w:anchor="_Toc235786434" w:history="1">
        <w:r w:rsidR="000F056E" w:rsidRPr="002948ED">
          <w:rPr>
            <w:rStyle w:val="Hyperlink"/>
            <w:rFonts w:asciiTheme="majorHAnsi" w:hAnsiTheme="majorHAnsi"/>
            <w:noProof/>
          </w:rPr>
          <w:t>2.2.</w:t>
        </w:r>
        <w:r w:rsidR="000F056E" w:rsidRPr="002948ED">
          <w:rPr>
            <w:rFonts w:asciiTheme="minorHAnsi" w:eastAsiaTheme="minorEastAsia" w:hAnsiTheme="minorHAnsi"/>
            <w:noProof/>
            <w:kern w:val="2"/>
            <w:sz w:val="24"/>
            <w:szCs w:val="24"/>
            <w:lang w:eastAsia="en-IE"/>
            <w14:ligatures w14:val="standardContextual"/>
          </w:rPr>
          <w:tab/>
        </w:r>
        <w:r w:rsidR="000F056E" w:rsidRPr="002948ED">
          <w:rPr>
            <w:rStyle w:val="Hyperlink"/>
            <w:rFonts w:asciiTheme="majorHAnsi" w:hAnsiTheme="majorHAnsi"/>
            <w:noProof/>
          </w:rPr>
          <w:t>Paiements liés aux engagements du CFP 2028-2034</w:t>
        </w:r>
        <w:r w:rsidR="000F056E" w:rsidRPr="002948ED">
          <w:rPr>
            <w:noProof/>
            <w:webHidden/>
          </w:rPr>
          <w:tab/>
        </w:r>
        <w:r w:rsidR="000F056E" w:rsidRPr="002948ED">
          <w:rPr>
            <w:noProof/>
            <w:webHidden/>
          </w:rPr>
          <w:fldChar w:fldCharType="begin"/>
        </w:r>
        <w:r w:rsidR="000F056E" w:rsidRPr="002948ED">
          <w:rPr>
            <w:noProof/>
            <w:webHidden/>
          </w:rPr>
          <w:instrText xml:space="preserve"> PAGEREF _Toc235786434 \h </w:instrText>
        </w:r>
        <w:r w:rsidR="000F056E" w:rsidRPr="002948ED">
          <w:rPr>
            <w:noProof/>
            <w:webHidden/>
          </w:rPr>
        </w:r>
        <w:r w:rsidR="000F056E" w:rsidRPr="002948ED">
          <w:rPr>
            <w:noProof/>
            <w:webHidden/>
          </w:rPr>
          <w:fldChar w:fldCharType="separate"/>
        </w:r>
        <w:r w:rsidR="000F056E" w:rsidRPr="002948ED">
          <w:rPr>
            <w:noProof/>
            <w:webHidden/>
          </w:rPr>
          <w:t>5</w:t>
        </w:r>
        <w:r w:rsidR="000F056E" w:rsidRPr="002948ED">
          <w:rPr>
            <w:noProof/>
            <w:webHidden/>
          </w:rPr>
          <w:fldChar w:fldCharType="end"/>
        </w:r>
      </w:hyperlink>
    </w:p>
    <w:p w14:paraId="7E1BC2CB" w14:textId="37D0230F" w:rsidR="000F056E" w:rsidRPr="002948ED" w:rsidRDefault="003D1E34">
      <w:pPr>
        <w:pStyle w:val="TOC3"/>
        <w:rPr>
          <w:rFonts w:asciiTheme="minorHAnsi" w:eastAsiaTheme="minorEastAsia" w:hAnsiTheme="minorHAnsi"/>
          <w:noProof/>
          <w:kern w:val="2"/>
          <w:sz w:val="24"/>
          <w:szCs w:val="24"/>
          <w:lang w:eastAsia="en-IE"/>
          <w14:ligatures w14:val="standardContextual"/>
        </w:rPr>
      </w:pPr>
      <w:hyperlink w:anchor="_Toc235786435" w:history="1">
        <w:r w:rsidR="000F056E" w:rsidRPr="002948ED">
          <w:rPr>
            <w:rStyle w:val="Hyperlink"/>
            <w:rFonts w:asciiTheme="majorHAnsi" w:hAnsiTheme="majorHAnsi"/>
            <w:noProof/>
          </w:rPr>
          <w:t>2.3.</w:t>
        </w:r>
        <w:r w:rsidR="000F056E" w:rsidRPr="002948ED">
          <w:rPr>
            <w:rFonts w:asciiTheme="minorHAnsi" w:eastAsiaTheme="minorEastAsia" w:hAnsiTheme="minorHAnsi"/>
            <w:noProof/>
            <w:kern w:val="2"/>
            <w:sz w:val="24"/>
            <w:szCs w:val="24"/>
            <w:lang w:eastAsia="en-IE"/>
            <w14:ligatures w14:val="standardContextual"/>
          </w:rPr>
          <w:tab/>
        </w:r>
        <w:r w:rsidR="000F056E" w:rsidRPr="002948ED">
          <w:rPr>
            <w:rStyle w:val="Hyperlink"/>
            <w:rFonts w:asciiTheme="majorHAnsi" w:hAnsiTheme="majorHAnsi"/>
            <w:noProof/>
          </w:rPr>
          <w:t>Dégagements</w:t>
        </w:r>
        <w:r w:rsidR="000F056E" w:rsidRPr="002948ED">
          <w:rPr>
            <w:noProof/>
            <w:webHidden/>
          </w:rPr>
          <w:tab/>
        </w:r>
        <w:r w:rsidR="000F056E" w:rsidRPr="002948ED">
          <w:rPr>
            <w:noProof/>
            <w:webHidden/>
          </w:rPr>
          <w:fldChar w:fldCharType="begin"/>
        </w:r>
        <w:r w:rsidR="000F056E" w:rsidRPr="002948ED">
          <w:rPr>
            <w:noProof/>
            <w:webHidden/>
          </w:rPr>
          <w:instrText xml:space="preserve"> PAGEREF _Toc235786435 \h </w:instrText>
        </w:r>
        <w:r w:rsidR="000F056E" w:rsidRPr="002948ED">
          <w:rPr>
            <w:noProof/>
            <w:webHidden/>
          </w:rPr>
        </w:r>
        <w:r w:rsidR="000F056E" w:rsidRPr="002948ED">
          <w:rPr>
            <w:noProof/>
            <w:webHidden/>
          </w:rPr>
          <w:fldChar w:fldCharType="separate"/>
        </w:r>
        <w:r w:rsidR="000F056E" w:rsidRPr="002948ED">
          <w:rPr>
            <w:noProof/>
            <w:webHidden/>
          </w:rPr>
          <w:t>6</w:t>
        </w:r>
        <w:r w:rsidR="000F056E" w:rsidRPr="002948ED">
          <w:rPr>
            <w:noProof/>
            <w:webHidden/>
          </w:rPr>
          <w:fldChar w:fldCharType="end"/>
        </w:r>
      </w:hyperlink>
    </w:p>
    <w:p w14:paraId="0A0CE0B5" w14:textId="44E5EB91" w:rsidR="000F056E" w:rsidRPr="002948ED" w:rsidRDefault="003D1E34">
      <w:pPr>
        <w:pStyle w:val="TOC3"/>
        <w:rPr>
          <w:rFonts w:asciiTheme="minorHAnsi" w:eastAsiaTheme="minorEastAsia" w:hAnsiTheme="minorHAnsi"/>
          <w:noProof/>
          <w:kern w:val="2"/>
          <w:sz w:val="24"/>
          <w:szCs w:val="24"/>
          <w:lang w:eastAsia="en-IE"/>
          <w14:ligatures w14:val="standardContextual"/>
        </w:rPr>
      </w:pPr>
      <w:hyperlink w:anchor="_Toc235786436" w:history="1">
        <w:r w:rsidR="000F056E" w:rsidRPr="002948ED">
          <w:rPr>
            <w:rStyle w:val="Hyperlink"/>
            <w:rFonts w:asciiTheme="majorHAnsi" w:hAnsiTheme="majorHAnsi"/>
            <w:noProof/>
          </w:rPr>
          <w:t>2.4.</w:t>
        </w:r>
        <w:r w:rsidR="000F056E" w:rsidRPr="002948ED">
          <w:rPr>
            <w:rFonts w:asciiTheme="minorHAnsi" w:eastAsiaTheme="minorEastAsia" w:hAnsiTheme="minorHAnsi"/>
            <w:noProof/>
            <w:kern w:val="2"/>
            <w:sz w:val="24"/>
            <w:szCs w:val="24"/>
            <w:lang w:eastAsia="en-IE"/>
            <w14:ligatures w14:val="standardContextual"/>
          </w:rPr>
          <w:tab/>
        </w:r>
        <w:r w:rsidR="000F056E" w:rsidRPr="002948ED">
          <w:rPr>
            <w:rStyle w:val="Hyperlink"/>
            <w:rFonts w:asciiTheme="majorHAnsi" w:hAnsiTheme="majorHAnsi"/>
            <w:noProof/>
          </w:rPr>
          <w:t>Évolution du niveau des engagements restant à liquider</w:t>
        </w:r>
        <w:r w:rsidR="000F056E" w:rsidRPr="002948ED">
          <w:rPr>
            <w:noProof/>
            <w:webHidden/>
          </w:rPr>
          <w:tab/>
        </w:r>
        <w:r w:rsidR="000F056E" w:rsidRPr="002948ED">
          <w:rPr>
            <w:noProof/>
            <w:webHidden/>
          </w:rPr>
          <w:fldChar w:fldCharType="begin"/>
        </w:r>
        <w:r w:rsidR="000F056E" w:rsidRPr="002948ED">
          <w:rPr>
            <w:noProof/>
            <w:webHidden/>
          </w:rPr>
          <w:instrText xml:space="preserve"> PAGEREF _Toc235786436 \h </w:instrText>
        </w:r>
        <w:r w:rsidR="000F056E" w:rsidRPr="002948ED">
          <w:rPr>
            <w:noProof/>
            <w:webHidden/>
          </w:rPr>
        </w:r>
        <w:r w:rsidR="000F056E" w:rsidRPr="002948ED">
          <w:rPr>
            <w:noProof/>
            <w:webHidden/>
          </w:rPr>
          <w:fldChar w:fldCharType="separate"/>
        </w:r>
        <w:r w:rsidR="000F056E" w:rsidRPr="002948ED">
          <w:rPr>
            <w:noProof/>
            <w:webHidden/>
          </w:rPr>
          <w:t>7</w:t>
        </w:r>
        <w:r w:rsidR="000F056E" w:rsidRPr="002948ED">
          <w:rPr>
            <w:noProof/>
            <w:webHidden/>
          </w:rPr>
          <w:fldChar w:fldCharType="end"/>
        </w:r>
      </w:hyperlink>
    </w:p>
    <w:p w14:paraId="2B153614" w14:textId="43680F3D" w:rsidR="000F056E" w:rsidRPr="002948ED" w:rsidRDefault="003D1E34">
      <w:pPr>
        <w:pStyle w:val="TOC2"/>
        <w:rPr>
          <w:rFonts w:asciiTheme="minorHAnsi" w:eastAsiaTheme="minorEastAsia" w:hAnsiTheme="minorHAnsi"/>
          <w:kern w:val="2"/>
          <w:sz w:val="24"/>
          <w:szCs w:val="24"/>
          <w:lang w:eastAsia="en-IE"/>
          <w14:ligatures w14:val="standardContextual"/>
        </w:rPr>
      </w:pPr>
      <w:hyperlink w:anchor="_Toc235786437" w:history="1">
        <w:r w:rsidR="000F056E" w:rsidRPr="002948ED">
          <w:rPr>
            <w:rStyle w:val="Hyperlink"/>
            <w:rFonts w:asciiTheme="majorHAnsi" w:hAnsiTheme="majorHAnsi"/>
          </w:rPr>
          <w:t>3.</w:t>
        </w:r>
        <w:r w:rsidR="000F056E" w:rsidRPr="002948ED">
          <w:rPr>
            <w:rFonts w:asciiTheme="minorHAnsi" w:eastAsiaTheme="minorEastAsia" w:hAnsiTheme="minorHAnsi"/>
            <w:kern w:val="2"/>
            <w:sz w:val="24"/>
            <w:szCs w:val="24"/>
            <w:lang w:eastAsia="en-IE"/>
            <w14:ligatures w14:val="standardContextual"/>
          </w:rPr>
          <w:tab/>
        </w:r>
        <w:r w:rsidR="000F056E" w:rsidRPr="002948ED">
          <w:rPr>
            <w:rStyle w:val="Hyperlink"/>
            <w:rFonts w:asciiTheme="majorHAnsi" w:hAnsiTheme="majorHAnsi"/>
          </w:rPr>
          <w:t xml:space="preserve">Prévisions concernant les entrées de trésorerie du budget de l’UE pour la période </w:t>
        </w:r>
        <w:r w:rsidR="000F056E" w:rsidRPr="002948ED">
          <w:rPr>
            <w:rStyle w:val="Hyperlink"/>
          </w:rPr>
          <w:t xml:space="preserve">   </w:t>
        </w:r>
        <w:r w:rsidR="000F056E" w:rsidRPr="002948ED">
          <w:rPr>
            <w:rStyle w:val="Hyperlink"/>
            <w:rFonts w:asciiTheme="majorHAnsi" w:hAnsiTheme="majorHAnsi"/>
          </w:rPr>
          <w:t>2027-2034</w:t>
        </w:r>
        <w:r w:rsidR="000F056E" w:rsidRPr="002948ED">
          <w:rPr>
            <w:webHidden/>
          </w:rPr>
          <w:tab/>
        </w:r>
        <w:r w:rsidR="000F056E" w:rsidRPr="002948ED">
          <w:rPr>
            <w:webHidden/>
          </w:rPr>
          <w:fldChar w:fldCharType="begin"/>
        </w:r>
        <w:r w:rsidR="000F056E" w:rsidRPr="002948ED">
          <w:rPr>
            <w:webHidden/>
          </w:rPr>
          <w:instrText xml:space="preserve"> PAGEREF _Toc235786437 \h </w:instrText>
        </w:r>
        <w:r w:rsidR="000F056E" w:rsidRPr="002948ED">
          <w:rPr>
            <w:webHidden/>
          </w:rPr>
        </w:r>
        <w:r w:rsidR="000F056E" w:rsidRPr="002948ED">
          <w:rPr>
            <w:webHidden/>
          </w:rPr>
          <w:fldChar w:fldCharType="separate"/>
        </w:r>
        <w:r w:rsidR="000F056E" w:rsidRPr="002948ED">
          <w:rPr>
            <w:webHidden/>
          </w:rPr>
          <w:t>8</w:t>
        </w:r>
        <w:r w:rsidR="000F056E" w:rsidRPr="002948ED">
          <w:rPr>
            <w:webHidden/>
          </w:rPr>
          <w:fldChar w:fldCharType="end"/>
        </w:r>
      </w:hyperlink>
    </w:p>
    <w:p w14:paraId="67C86B30" w14:textId="273FB644" w:rsidR="000F056E" w:rsidRPr="002948ED" w:rsidRDefault="003D1E34">
      <w:pPr>
        <w:pStyle w:val="TOC3"/>
        <w:rPr>
          <w:rFonts w:asciiTheme="minorHAnsi" w:eastAsiaTheme="minorEastAsia" w:hAnsiTheme="minorHAnsi"/>
          <w:noProof/>
          <w:kern w:val="2"/>
          <w:sz w:val="24"/>
          <w:szCs w:val="24"/>
          <w:lang w:eastAsia="en-IE"/>
          <w14:ligatures w14:val="standardContextual"/>
        </w:rPr>
      </w:pPr>
      <w:hyperlink w:anchor="_Toc235786438" w:history="1">
        <w:r w:rsidR="000F056E" w:rsidRPr="002948ED">
          <w:rPr>
            <w:rStyle w:val="Hyperlink"/>
            <w:rFonts w:asciiTheme="majorHAnsi" w:hAnsiTheme="majorHAnsi"/>
            <w:noProof/>
          </w:rPr>
          <w:t>3.1.</w:t>
        </w:r>
        <w:r w:rsidR="000F056E" w:rsidRPr="002948ED">
          <w:rPr>
            <w:rFonts w:asciiTheme="minorHAnsi" w:eastAsiaTheme="minorEastAsia" w:hAnsiTheme="minorHAnsi"/>
            <w:noProof/>
            <w:kern w:val="2"/>
            <w:sz w:val="24"/>
            <w:szCs w:val="24"/>
            <w:lang w:eastAsia="en-IE"/>
            <w14:ligatures w14:val="standardContextual"/>
          </w:rPr>
          <w:tab/>
        </w:r>
        <w:r w:rsidR="000F056E" w:rsidRPr="002948ED">
          <w:rPr>
            <w:rStyle w:val="Hyperlink"/>
            <w:rFonts w:asciiTheme="majorHAnsi" w:hAnsiTheme="majorHAnsi"/>
            <w:noProof/>
          </w:rPr>
          <w:t>Sources de recettes</w:t>
        </w:r>
        <w:r w:rsidR="000F056E" w:rsidRPr="002948ED">
          <w:rPr>
            <w:noProof/>
            <w:webHidden/>
          </w:rPr>
          <w:tab/>
        </w:r>
        <w:r w:rsidR="000F056E" w:rsidRPr="002948ED">
          <w:rPr>
            <w:noProof/>
            <w:webHidden/>
          </w:rPr>
          <w:fldChar w:fldCharType="begin"/>
        </w:r>
        <w:r w:rsidR="000F056E" w:rsidRPr="002948ED">
          <w:rPr>
            <w:noProof/>
            <w:webHidden/>
          </w:rPr>
          <w:instrText xml:space="preserve"> PAGEREF _Toc235786438 \h </w:instrText>
        </w:r>
        <w:r w:rsidR="000F056E" w:rsidRPr="002948ED">
          <w:rPr>
            <w:noProof/>
            <w:webHidden/>
          </w:rPr>
        </w:r>
        <w:r w:rsidR="000F056E" w:rsidRPr="002948ED">
          <w:rPr>
            <w:noProof/>
            <w:webHidden/>
          </w:rPr>
          <w:fldChar w:fldCharType="separate"/>
        </w:r>
        <w:r w:rsidR="000F056E" w:rsidRPr="002948ED">
          <w:rPr>
            <w:noProof/>
            <w:webHidden/>
          </w:rPr>
          <w:t>8</w:t>
        </w:r>
        <w:r w:rsidR="000F056E" w:rsidRPr="002948ED">
          <w:rPr>
            <w:noProof/>
            <w:webHidden/>
          </w:rPr>
          <w:fldChar w:fldCharType="end"/>
        </w:r>
      </w:hyperlink>
    </w:p>
    <w:p w14:paraId="0EC50D0C" w14:textId="0268CDC9" w:rsidR="000F056E" w:rsidRPr="002948ED" w:rsidRDefault="003D1E34">
      <w:pPr>
        <w:pStyle w:val="TOC2"/>
        <w:rPr>
          <w:rFonts w:asciiTheme="minorHAnsi" w:eastAsiaTheme="minorEastAsia" w:hAnsiTheme="minorHAnsi"/>
          <w:kern w:val="2"/>
          <w:sz w:val="24"/>
          <w:szCs w:val="24"/>
          <w:lang w:eastAsia="en-IE"/>
          <w14:ligatures w14:val="standardContextual"/>
        </w:rPr>
      </w:pPr>
      <w:hyperlink w:anchor="_Toc235786439" w:history="1">
        <w:r w:rsidR="000F056E" w:rsidRPr="002948ED">
          <w:rPr>
            <w:rStyle w:val="Hyperlink"/>
            <w:rFonts w:asciiTheme="majorHAnsi" w:hAnsiTheme="majorHAnsi"/>
          </w:rPr>
          <w:t>4.</w:t>
        </w:r>
        <w:r w:rsidR="000F056E" w:rsidRPr="002948ED">
          <w:rPr>
            <w:rFonts w:asciiTheme="minorHAnsi" w:eastAsiaTheme="minorEastAsia" w:hAnsiTheme="minorHAnsi"/>
            <w:kern w:val="2"/>
            <w:sz w:val="24"/>
            <w:szCs w:val="24"/>
            <w:lang w:eastAsia="en-IE"/>
            <w14:ligatures w14:val="standardContextual"/>
          </w:rPr>
          <w:tab/>
        </w:r>
        <w:r w:rsidR="000F056E" w:rsidRPr="002948ED">
          <w:rPr>
            <w:rStyle w:val="Hyperlink"/>
            <w:rFonts w:asciiTheme="majorHAnsi" w:hAnsiTheme="majorHAnsi"/>
          </w:rPr>
          <w:t>Conclusions</w:t>
        </w:r>
        <w:r w:rsidR="000F056E" w:rsidRPr="002948ED">
          <w:rPr>
            <w:webHidden/>
          </w:rPr>
          <w:tab/>
        </w:r>
        <w:r w:rsidR="000F056E" w:rsidRPr="002948ED">
          <w:rPr>
            <w:webHidden/>
          </w:rPr>
          <w:fldChar w:fldCharType="begin"/>
        </w:r>
        <w:r w:rsidR="000F056E" w:rsidRPr="002948ED">
          <w:rPr>
            <w:webHidden/>
          </w:rPr>
          <w:instrText xml:space="preserve"> PAGEREF _Toc235786439 \h </w:instrText>
        </w:r>
        <w:r w:rsidR="000F056E" w:rsidRPr="002948ED">
          <w:rPr>
            <w:webHidden/>
          </w:rPr>
        </w:r>
        <w:r w:rsidR="000F056E" w:rsidRPr="002948ED">
          <w:rPr>
            <w:webHidden/>
          </w:rPr>
          <w:fldChar w:fldCharType="separate"/>
        </w:r>
        <w:r w:rsidR="000F056E" w:rsidRPr="002948ED">
          <w:rPr>
            <w:webHidden/>
          </w:rPr>
          <w:t>11</w:t>
        </w:r>
        <w:r w:rsidR="000F056E" w:rsidRPr="002948ED">
          <w:rPr>
            <w:webHidden/>
          </w:rPr>
          <w:fldChar w:fldCharType="end"/>
        </w:r>
      </w:hyperlink>
    </w:p>
    <w:p w14:paraId="38923B75" w14:textId="09908EEE" w:rsidR="000F056E" w:rsidRPr="002948ED" w:rsidRDefault="003D1E34">
      <w:pPr>
        <w:pStyle w:val="TOC2"/>
        <w:rPr>
          <w:rFonts w:asciiTheme="minorHAnsi" w:eastAsiaTheme="minorEastAsia" w:hAnsiTheme="minorHAnsi"/>
          <w:kern w:val="2"/>
          <w:sz w:val="24"/>
          <w:szCs w:val="24"/>
          <w:lang w:eastAsia="en-IE"/>
          <w14:ligatures w14:val="standardContextual"/>
        </w:rPr>
      </w:pPr>
      <w:hyperlink w:anchor="_Toc235786440" w:history="1">
        <w:r w:rsidR="000F056E" w:rsidRPr="002948ED">
          <w:rPr>
            <w:rStyle w:val="Hyperlink"/>
            <w:rFonts w:asciiTheme="majorHAnsi" w:hAnsiTheme="majorHAnsi"/>
          </w:rPr>
          <w:t>Annexe</w:t>
        </w:r>
        <w:r w:rsidR="000F056E" w:rsidRPr="002948ED">
          <w:rPr>
            <w:rStyle w:val="Hyperlink"/>
            <w:rFonts w:ascii="Calibri" w:hAnsi="Calibri" w:cs="Calibri"/>
          </w:rPr>
          <w:t> </w:t>
        </w:r>
        <w:r w:rsidR="000F056E" w:rsidRPr="002948ED">
          <w:rPr>
            <w:rStyle w:val="Hyperlink"/>
            <w:rFonts w:asciiTheme="majorHAnsi" w:hAnsiTheme="majorHAnsi"/>
          </w:rPr>
          <w:t>II</w:t>
        </w:r>
        <w:r w:rsidR="000F056E" w:rsidRPr="002948ED">
          <w:rPr>
            <w:rStyle w:val="Hyperlink"/>
            <w:rFonts w:ascii="Calibri" w:hAnsi="Calibri" w:cs="Calibri"/>
          </w:rPr>
          <w:t> </w:t>
        </w:r>
        <w:r w:rsidR="000F056E" w:rsidRPr="002948ED">
          <w:rPr>
            <w:rStyle w:val="Hyperlink"/>
            <w:rFonts w:cs="EC Square Sans Pro"/>
          </w:rPr>
          <w:t>—</w:t>
        </w:r>
        <w:r w:rsidR="000F056E" w:rsidRPr="002948ED">
          <w:rPr>
            <w:rStyle w:val="Hyperlink"/>
            <w:rFonts w:asciiTheme="majorHAnsi" w:hAnsiTheme="majorHAnsi"/>
          </w:rPr>
          <w:t xml:space="preserve"> R</w:t>
        </w:r>
        <w:r w:rsidR="000F056E" w:rsidRPr="002948ED">
          <w:rPr>
            <w:rStyle w:val="Hyperlink"/>
            <w:rFonts w:cs="EC Square Sans Pro"/>
          </w:rPr>
          <w:t>é</w:t>
        </w:r>
        <w:r w:rsidR="000F056E" w:rsidRPr="002948ED">
          <w:rPr>
            <w:rStyle w:val="Hyperlink"/>
            <w:rFonts w:asciiTheme="majorHAnsi" w:hAnsiTheme="majorHAnsi"/>
          </w:rPr>
          <w:t>sultats des pr</w:t>
        </w:r>
        <w:r w:rsidR="000F056E" w:rsidRPr="002948ED">
          <w:rPr>
            <w:rStyle w:val="Hyperlink"/>
            <w:rFonts w:cs="EC Square Sans Pro"/>
          </w:rPr>
          <w:t>é</w:t>
        </w:r>
        <w:r w:rsidR="000F056E" w:rsidRPr="002948ED">
          <w:rPr>
            <w:rStyle w:val="Hyperlink"/>
            <w:rFonts w:asciiTheme="majorHAnsi" w:hAnsiTheme="majorHAnsi"/>
          </w:rPr>
          <w:t>visions</w:t>
        </w:r>
        <w:r w:rsidR="000F056E" w:rsidRPr="002948ED">
          <w:rPr>
            <w:webHidden/>
          </w:rPr>
          <w:tab/>
        </w:r>
        <w:r w:rsidR="000F056E" w:rsidRPr="002948ED">
          <w:rPr>
            <w:webHidden/>
          </w:rPr>
          <w:fldChar w:fldCharType="begin"/>
        </w:r>
        <w:r w:rsidR="000F056E" w:rsidRPr="002948ED">
          <w:rPr>
            <w:webHidden/>
          </w:rPr>
          <w:instrText xml:space="preserve"> PAGEREF _Toc235786440 \h </w:instrText>
        </w:r>
        <w:r w:rsidR="000F056E" w:rsidRPr="002948ED">
          <w:rPr>
            <w:webHidden/>
          </w:rPr>
        </w:r>
        <w:r w:rsidR="000F056E" w:rsidRPr="002948ED">
          <w:rPr>
            <w:webHidden/>
          </w:rPr>
          <w:fldChar w:fldCharType="separate"/>
        </w:r>
        <w:r w:rsidR="000F056E" w:rsidRPr="002948ED">
          <w:rPr>
            <w:webHidden/>
          </w:rPr>
          <w:t>12</w:t>
        </w:r>
        <w:r w:rsidR="000F056E" w:rsidRPr="002948ED">
          <w:rPr>
            <w:webHidden/>
          </w:rPr>
          <w:fldChar w:fldCharType="end"/>
        </w:r>
      </w:hyperlink>
    </w:p>
    <w:p w14:paraId="5CFFD6E3" w14:textId="56A676B8" w:rsidR="000F056E" w:rsidRPr="002948ED" w:rsidRDefault="003D1E34">
      <w:pPr>
        <w:pStyle w:val="TOC2"/>
        <w:rPr>
          <w:rFonts w:asciiTheme="minorHAnsi" w:eastAsiaTheme="minorEastAsia" w:hAnsiTheme="minorHAnsi"/>
          <w:kern w:val="2"/>
          <w:sz w:val="24"/>
          <w:szCs w:val="24"/>
          <w:lang w:eastAsia="en-IE"/>
          <w14:ligatures w14:val="standardContextual"/>
        </w:rPr>
      </w:pPr>
      <w:hyperlink w:anchor="_Toc235786441" w:history="1">
        <w:r w:rsidR="000F056E" w:rsidRPr="002948ED">
          <w:rPr>
            <w:rStyle w:val="Hyperlink"/>
            <w:rFonts w:asciiTheme="majorHAnsi" w:hAnsiTheme="majorHAnsi"/>
          </w:rPr>
          <w:t>Tableau</w:t>
        </w:r>
        <w:r w:rsidR="000F056E" w:rsidRPr="002948ED">
          <w:rPr>
            <w:rStyle w:val="Hyperlink"/>
            <w:rFonts w:ascii="Calibri" w:hAnsi="Calibri" w:cs="Calibri"/>
          </w:rPr>
          <w:t> </w:t>
        </w:r>
        <w:r w:rsidR="000F056E" w:rsidRPr="002948ED">
          <w:rPr>
            <w:rStyle w:val="Hyperlink"/>
            <w:rFonts w:asciiTheme="majorHAnsi" w:hAnsiTheme="majorHAnsi"/>
          </w:rPr>
          <w:t>1.1</w:t>
        </w:r>
        <w:r w:rsidR="000F056E" w:rsidRPr="002948ED">
          <w:rPr>
            <w:rStyle w:val="Hyperlink"/>
            <w:rFonts w:ascii="Calibri" w:hAnsi="Calibri" w:cs="Calibri"/>
          </w:rPr>
          <w:t> </w:t>
        </w:r>
        <w:r w:rsidR="000F056E" w:rsidRPr="002948ED">
          <w:rPr>
            <w:rStyle w:val="Hyperlink"/>
            <w:rFonts w:cs="EC Square Sans Pro"/>
          </w:rPr>
          <w:t>—</w:t>
        </w:r>
        <w:r w:rsidR="000F056E" w:rsidRPr="002948ED">
          <w:rPr>
            <w:rStyle w:val="Hyperlink"/>
            <w:rFonts w:ascii="Calibri" w:hAnsi="Calibri" w:cs="Calibri"/>
          </w:rPr>
          <w:t> </w:t>
        </w:r>
        <w:r w:rsidR="000F056E" w:rsidRPr="002948ED">
          <w:rPr>
            <w:rStyle w:val="Hyperlink"/>
            <w:rFonts w:asciiTheme="majorHAnsi" w:hAnsiTheme="majorHAnsi"/>
          </w:rPr>
          <w:t>Pr</w:t>
        </w:r>
        <w:r w:rsidR="000F056E" w:rsidRPr="002948ED">
          <w:rPr>
            <w:rStyle w:val="Hyperlink"/>
            <w:rFonts w:cs="EC Square Sans Pro"/>
          </w:rPr>
          <w:t>é</w:t>
        </w:r>
        <w:r w:rsidR="000F056E" w:rsidRPr="002948ED">
          <w:rPr>
            <w:rStyle w:val="Hyperlink"/>
            <w:rFonts w:asciiTheme="majorHAnsi" w:hAnsiTheme="majorHAnsi"/>
          </w:rPr>
          <w:t xml:space="preserve">visions </w:t>
        </w:r>
        <w:r w:rsidR="000F056E" w:rsidRPr="002948ED">
          <w:rPr>
            <w:rStyle w:val="Hyperlink"/>
            <w:rFonts w:cs="EC Square Sans Pro"/>
          </w:rPr>
          <w:t>à</w:t>
        </w:r>
        <w:r w:rsidR="000F056E" w:rsidRPr="002948ED">
          <w:rPr>
            <w:rStyle w:val="Hyperlink"/>
            <w:rFonts w:asciiTheme="majorHAnsi" w:hAnsiTheme="majorHAnsi"/>
          </w:rPr>
          <w:t xml:space="preserve"> long terme concernant les sorties futures au cours de la p</w:t>
        </w:r>
        <w:r w:rsidR="000F056E" w:rsidRPr="002948ED">
          <w:rPr>
            <w:rStyle w:val="Hyperlink"/>
            <w:rFonts w:cs="EC Square Sans Pro"/>
          </w:rPr>
          <w:t>é</w:t>
        </w:r>
        <w:r w:rsidR="000F056E" w:rsidRPr="002948ED">
          <w:rPr>
            <w:rStyle w:val="Hyperlink"/>
            <w:rFonts w:asciiTheme="majorHAnsi" w:hAnsiTheme="majorHAnsi"/>
          </w:rPr>
          <w:t>riode 2027-2034 pour le CFP</w:t>
        </w:r>
        <w:r w:rsidR="000F056E" w:rsidRPr="002948ED">
          <w:rPr>
            <w:webHidden/>
          </w:rPr>
          <w:tab/>
        </w:r>
        <w:r w:rsidR="000F056E" w:rsidRPr="002948ED">
          <w:rPr>
            <w:webHidden/>
          </w:rPr>
          <w:fldChar w:fldCharType="begin"/>
        </w:r>
        <w:r w:rsidR="000F056E" w:rsidRPr="002948ED">
          <w:rPr>
            <w:webHidden/>
          </w:rPr>
          <w:instrText xml:space="preserve"> PAGEREF _Toc235786441 \h </w:instrText>
        </w:r>
        <w:r w:rsidR="000F056E" w:rsidRPr="002948ED">
          <w:rPr>
            <w:webHidden/>
          </w:rPr>
        </w:r>
        <w:r w:rsidR="000F056E" w:rsidRPr="002948ED">
          <w:rPr>
            <w:webHidden/>
          </w:rPr>
          <w:fldChar w:fldCharType="separate"/>
        </w:r>
        <w:r w:rsidR="000F056E" w:rsidRPr="002948ED">
          <w:rPr>
            <w:webHidden/>
          </w:rPr>
          <w:t>12</w:t>
        </w:r>
        <w:r w:rsidR="000F056E" w:rsidRPr="002948ED">
          <w:rPr>
            <w:webHidden/>
          </w:rPr>
          <w:fldChar w:fldCharType="end"/>
        </w:r>
      </w:hyperlink>
    </w:p>
    <w:p w14:paraId="5DE3A512" w14:textId="738010C5" w:rsidR="000F056E" w:rsidRPr="002948ED" w:rsidRDefault="003D1E34">
      <w:pPr>
        <w:pStyle w:val="TOC2"/>
        <w:rPr>
          <w:rFonts w:asciiTheme="minorHAnsi" w:eastAsiaTheme="minorEastAsia" w:hAnsiTheme="minorHAnsi"/>
          <w:kern w:val="2"/>
          <w:sz w:val="24"/>
          <w:szCs w:val="24"/>
          <w:lang w:eastAsia="en-IE"/>
          <w14:ligatures w14:val="standardContextual"/>
        </w:rPr>
      </w:pPr>
      <w:hyperlink w:anchor="_Toc235786442" w:history="1">
        <w:r w:rsidR="000F056E" w:rsidRPr="002948ED">
          <w:rPr>
            <w:rStyle w:val="Hyperlink"/>
            <w:rFonts w:asciiTheme="majorHAnsi" w:hAnsiTheme="majorHAnsi"/>
          </w:rPr>
          <w:t>Tableau</w:t>
        </w:r>
        <w:r w:rsidR="000F056E" w:rsidRPr="002948ED">
          <w:rPr>
            <w:rStyle w:val="Hyperlink"/>
            <w:rFonts w:ascii="Calibri" w:hAnsi="Calibri" w:cs="Calibri"/>
          </w:rPr>
          <w:t> </w:t>
        </w:r>
        <w:r w:rsidR="000F056E" w:rsidRPr="002948ED">
          <w:rPr>
            <w:rStyle w:val="Hyperlink"/>
            <w:rFonts w:asciiTheme="majorHAnsi" w:hAnsiTheme="majorHAnsi"/>
          </w:rPr>
          <w:t>1.2</w:t>
        </w:r>
        <w:r w:rsidR="000F056E" w:rsidRPr="002948ED">
          <w:rPr>
            <w:rStyle w:val="Hyperlink"/>
            <w:rFonts w:ascii="Calibri" w:hAnsi="Calibri" w:cs="Calibri"/>
          </w:rPr>
          <w:t> </w:t>
        </w:r>
        <w:r w:rsidR="000F056E" w:rsidRPr="002948ED">
          <w:rPr>
            <w:rStyle w:val="Hyperlink"/>
            <w:rFonts w:cs="EC Square Sans Pro"/>
          </w:rPr>
          <w:t>—</w:t>
        </w:r>
        <w:r w:rsidR="000F056E" w:rsidRPr="002948ED">
          <w:rPr>
            <w:rStyle w:val="Hyperlink"/>
            <w:rFonts w:ascii="Calibri" w:hAnsi="Calibri" w:cs="Calibri"/>
          </w:rPr>
          <w:t> </w:t>
        </w:r>
        <w:r w:rsidR="000F056E" w:rsidRPr="002948ED">
          <w:rPr>
            <w:rStyle w:val="Hyperlink"/>
            <w:rFonts w:asciiTheme="majorHAnsi" w:hAnsiTheme="majorHAnsi"/>
          </w:rPr>
          <w:t>Paiements li</w:t>
        </w:r>
        <w:r w:rsidR="000F056E" w:rsidRPr="002948ED">
          <w:rPr>
            <w:rStyle w:val="Hyperlink"/>
            <w:rFonts w:cs="EC Square Sans Pro"/>
          </w:rPr>
          <w:t>é</w:t>
        </w:r>
        <w:r w:rsidR="000F056E" w:rsidRPr="002948ED">
          <w:rPr>
            <w:rStyle w:val="Hyperlink"/>
            <w:rFonts w:asciiTheme="majorHAnsi" w:hAnsiTheme="majorHAnsi"/>
          </w:rPr>
          <w:t>s aux engagements du CFP 2021-2027</w:t>
        </w:r>
        <w:r w:rsidR="000F056E" w:rsidRPr="002948ED">
          <w:rPr>
            <w:webHidden/>
          </w:rPr>
          <w:tab/>
        </w:r>
        <w:r w:rsidR="000F056E" w:rsidRPr="002948ED">
          <w:rPr>
            <w:webHidden/>
          </w:rPr>
          <w:fldChar w:fldCharType="begin"/>
        </w:r>
        <w:r w:rsidR="000F056E" w:rsidRPr="002948ED">
          <w:rPr>
            <w:webHidden/>
          </w:rPr>
          <w:instrText xml:space="preserve"> PAGEREF _Toc235786442 \h </w:instrText>
        </w:r>
        <w:r w:rsidR="000F056E" w:rsidRPr="002948ED">
          <w:rPr>
            <w:webHidden/>
          </w:rPr>
        </w:r>
        <w:r w:rsidR="000F056E" w:rsidRPr="002948ED">
          <w:rPr>
            <w:webHidden/>
          </w:rPr>
          <w:fldChar w:fldCharType="separate"/>
        </w:r>
        <w:r w:rsidR="000F056E" w:rsidRPr="002948ED">
          <w:rPr>
            <w:webHidden/>
          </w:rPr>
          <w:t>13</w:t>
        </w:r>
        <w:r w:rsidR="000F056E" w:rsidRPr="002948ED">
          <w:rPr>
            <w:webHidden/>
          </w:rPr>
          <w:fldChar w:fldCharType="end"/>
        </w:r>
      </w:hyperlink>
    </w:p>
    <w:p w14:paraId="01407EE1" w14:textId="748C1A2D" w:rsidR="000F056E" w:rsidRPr="002948ED" w:rsidRDefault="003D1E34">
      <w:pPr>
        <w:pStyle w:val="TOC2"/>
        <w:rPr>
          <w:rFonts w:asciiTheme="minorHAnsi" w:eastAsiaTheme="minorEastAsia" w:hAnsiTheme="minorHAnsi"/>
          <w:kern w:val="2"/>
          <w:sz w:val="24"/>
          <w:szCs w:val="24"/>
          <w:lang w:eastAsia="en-IE"/>
          <w14:ligatures w14:val="standardContextual"/>
        </w:rPr>
      </w:pPr>
      <w:hyperlink w:anchor="_Toc235786443" w:history="1">
        <w:r w:rsidR="000F056E" w:rsidRPr="002948ED">
          <w:rPr>
            <w:rStyle w:val="Hyperlink"/>
            <w:rFonts w:asciiTheme="majorHAnsi" w:hAnsiTheme="majorHAnsi"/>
          </w:rPr>
          <w:t>Tableau</w:t>
        </w:r>
        <w:r w:rsidR="000F056E" w:rsidRPr="002948ED">
          <w:rPr>
            <w:rStyle w:val="Hyperlink"/>
            <w:rFonts w:ascii="Calibri" w:hAnsi="Calibri" w:cs="Calibri"/>
          </w:rPr>
          <w:t> </w:t>
        </w:r>
        <w:r w:rsidR="000F056E" w:rsidRPr="002948ED">
          <w:rPr>
            <w:rStyle w:val="Hyperlink"/>
            <w:rFonts w:asciiTheme="majorHAnsi" w:hAnsiTheme="majorHAnsi"/>
          </w:rPr>
          <w:t>1.3</w:t>
        </w:r>
        <w:r w:rsidR="000F056E" w:rsidRPr="002948ED">
          <w:rPr>
            <w:rStyle w:val="Hyperlink"/>
            <w:rFonts w:ascii="Calibri" w:hAnsi="Calibri" w:cs="Calibri"/>
          </w:rPr>
          <w:t> </w:t>
        </w:r>
        <w:r w:rsidR="000F056E" w:rsidRPr="002948ED">
          <w:rPr>
            <w:rStyle w:val="Hyperlink"/>
            <w:rFonts w:cs="EC Square Sans Pro"/>
          </w:rPr>
          <w:t>—</w:t>
        </w:r>
        <w:r w:rsidR="000F056E" w:rsidRPr="002948ED">
          <w:rPr>
            <w:rStyle w:val="Hyperlink"/>
            <w:rFonts w:ascii="Calibri" w:hAnsi="Calibri" w:cs="Calibri"/>
          </w:rPr>
          <w:t> </w:t>
        </w:r>
        <w:r w:rsidR="000F056E" w:rsidRPr="002948ED">
          <w:rPr>
            <w:rStyle w:val="Hyperlink"/>
            <w:rFonts w:asciiTheme="majorHAnsi" w:hAnsiTheme="majorHAnsi"/>
          </w:rPr>
          <w:t xml:space="preserve">Paiements relatifs </w:t>
        </w:r>
        <w:r w:rsidR="000F056E" w:rsidRPr="002948ED">
          <w:rPr>
            <w:rStyle w:val="Hyperlink"/>
            <w:rFonts w:cs="EC Square Sans Pro"/>
          </w:rPr>
          <w:t>à</w:t>
        </w:r>
        <w:r w:rsidR="000F056E" w:rsidRPr="002948ED">
          <w:rPr>
            <w:rStyle w:val="Hyperlink"/>
            <w:rFonts w:asciiTheme="majorHAnsi" w:hAnsiTheme="majorHAnsi"/>
          </w:rPr>
          <w:t xml:space="preserve"> l</w:t>
        </w:r>
        <w:r w:rsidR="000F056E" w:rsidRPr="002948ED">
          <w:rPr>
            <w:rStyle w:val="Hyperlink"/>
            <w:rFonts w:cs="EC Square Sans Pro"/>
          </w:rPr>
          <w:t>’</w:t>
        </w:r>
        <w:r w:rsidR="000F056E" w:rsidRPr="002948ED">
          <w:rPr>
            <w:rStyle w:val="Hyperlink"/>
            <w:rFonts w:asciiTheme="majorHAnsi" w:hAnsiTheme="majorHAnsi"/>
          </w:rPr>
          <w:t>ach</w:t>
        </w:r>
        <w:r w:rsidR="000F056E" w:rsidRPr="002948ED">
          <w:rPr>
            <w:rStyle w:val="Hyperlink"/>
            <w:rFonts w:cs="EC Square Sans Pro"/>
          </w:rPr>
          <w:t>è</w:t>
        </w:r>
        <w:r w:rsidR="000F056E" w:rsidRPr="002948ED">
          <w:rPr>
            <w:rStyle w:val="Hyperlink"/>
            <w:rFonts w:asciiTheme="majorHAnsi" w:hAnsiTheme="majorHAnsi"/>
          </w:rPr>
          <w:t>vement des engagements ant</w:t>
        </w:r>
        <w:r w:rsidR="000F056E" w:rsidRPr="002948ED">
          <w:rPr>
            <w:rStyle w:val="Hyperlink"/>
            <w:rFonts w:cs="EC Square Sans Pro"/>
          </w:rPr>
          <w:t>é</w:t>
        </w:r>
        <w:r w:rsidR="000F056E" w:rsidRPr="002948ED">
          <w:rPr>
            <w:rStyle w:val="Hyperlink"/>
            <w:rFonts w:asciiTheme="majorHAnsi" w:hAnsiTheme="majorHAnsi"/>
          </w:rPr>
          <w:t xml:space="preserve">rieurs </w:t>
        </w:r>
        <w:r w:rsidR="000F056E" w:rsidRPr="002948ED">
          <w:rPr>
            <w:rStyle w:val="Hyperlink"/>
            <w:rFonts w:cs="EC Square Sans Pro"/>
          </w:rPr>
          <w:t>à</w:t>
        </w:r>
        <w:r w:rsidR="000F056E" w:rsidRPr="002948ED">
          <w:rPr>
            <w:rStyle w:val="Hyperlink"/>
            <w:rFonts w:asciiTheme="majorHAnsi" w:hAnsiTheme="majorHAnsi"/>
          </w:rPr>
          <w:t xml:space="preserve"> 2021</w:t>
        </w:r>
        <w:r w:rsidR="000F056E" w:rsidRPr="002948ED">
          <w:rPr>
            <w:webHidden/>
          </w:rPr>
          <w:tab/>
        </w:r>
        <w:r w:rsidR="000F056E" w:rsidRPr="002948ED">
          <w:rPr>
            <w:webHidden/>
          </w:rPr>
          <w:fldChar w:fldCharType="begin"/>
        </w:r>
        <w:r w:rsidR="000F056E" w:rsidRPr="002948ED">
          <w:rPr>
            <w:webHidden/>
          </w:rPr>
          <w:instrText xml:space="preserve"> PAGEREF _Toc235786443 \h </w:instrText>
        </w:r>
        <w:r w:rsidR="000F056E" w:rsidRPr="002948ED">
          <w:rPr>
            <w:webHidden/>
          </w:rPr>
        </w:r>
        <w:r w:rsidR="000F056E" w:rsidRPr="002948ED">
          <w:rPr>
            <w:webHidden/>
          </w:rPr>
          <w:fldChar w:fldCharType="separate"/>
        </w:r>
        <w:r w:rsidR="000F056E" w:rsidRPr="002948ED">
          <w:rPr>
            <w:webHidden/>
          </w:rPr>
          <w:t>14</w:t>
        </w:r>
        <w:r w:rsidR="000F056E" w:rsidRPr="002948ED">
          <w:rPr>
            <w:webHidden/>
          </w:rPr>
          <w:fldChar w:fldCharType="end"/>
        </w:r>
      </w:hyperlink>
    </w:p>
    <w:p w14:paraId="22504153" w14:textId="34671D8F" w:rsidR="000F056E" w:rsidRPr="002948ED" w:rsidRDefault="003D1E34">
      <w:pPr>
        <w:pStyle w:val="TOC2"/>
        <w:rPr>
          <w:rFonts w:asciiTheme="minorHAnsi" w:eastAsiaTheme="minorEastAsia" w:hAnsiTheme="minorHAnsi"/>
          <w:kern w:val="2"/>
          <w:sz w:val="24"/>
          <w:szCs w:val="24"/>
          <w:lang w:eastAsia="en-IE"/>
          <w14:ligatures w14:val="standardContextual"/>
        </w:rPr>
      </w:pPr>
      <w:hyperlink w:anchor="_Toc235786444" w:history="1">
        <w:r w:rsidR="000F056E" w:rsidRPr="002948ED">
          <w:rPr>
            <w:rStyle w:val="Hyperlink"/>
            <w:rFonts w:asciiTheme="majorHAnsi" w:hAnsiTheme="majorHAnsi"/>
          </w:rPr>
          <w:t>Tableau</w:t>
        </w:r>
        <w:r w:rsidR="000F056E" w:rsidRPr="002948ED">
          <w:rPr>
            <w:rStyle w:val="Hyperlink"/>
            <w:rFonts w:ascii="Calibri" w:hAnsi="Calibri" w:cs="Calibri"/>
          </w:rPr>
          <w:t> </w:t>
        </w:r>
        <w:r w:rsidR="000F056E" w:rsidRPr="002948ED">
          <w:rPr>
            <w:rStyle w:val="Hyperlink"/>
            <w:rFonts w:asciiTheme="majorHAnsi" w:hAnsiTheme="majorHAnsi"/>
          </w:rPr>
          <w:t>1.4</w:t>
        </w:r>
        <w:r w:rsidR="000F056E" w:rsidRPr="002948ED">
          <w:rPr>
            <w:rStyle w:val="Hyperlink"/>
            <w:rFonts w:ascii="Calibri" w:hAnsi="Calibri" w:cs="Calibri"/>
          </w:rPr>
          <w:t> </w:t>
        </w:r>
        <w:r w:rsidR="000F056E" w:rsidRPr="002948ED">
          <w:rPr>
            <w:rStyle w:val="Hyperlink"/>
            <w:rFonts w:cs="EC Square Sans Pro"/>
          </w:rPr>
          <w:t>—</w:t>
        </w:r>
        <w:r w:rsidR="000F056E" w:rsidRPr="002948ED">
          <w:rPr>
            <w:rStyle w:val="Hyperlink"/>
            <w:rFonts w:asciiTheme="majorHAnsi" w:hAnsiTheme="majorHAnsi"/>
          </w:rPr>
          <w:t xml:space="preserve"> Paiements correspondant aux engagements 2028-2034</w:t>
        </w:r>
        <w:r w:rsidR="000F056E" w:rsidRPr="002948ED">
          <w:rPr>
            <w:webHidden/>
          </w:rPr>
          <w:tab/>
        </w:r>
        <w:r w:rsidR="000F056E" w:rsidRPr="002948ED">
          <w:rPr>
            <w:webHidden/>
          </w:rPr>
          <w:fldChar w:fldCharType="begin"/>
        </w:r>
        <w:r w:rsidR="000F056E" w:rsidRPr="002948ED">
          <w:rPr>
            <w:webHidden/>
          </w:rPr>
          <w:instrText xml:space="preserve"> PAGEREF _Toc235786444 \h </w:instrText>
        </w:r>
        <w:r w:rsidR="000F056E" w:rsidRPr="002948ED">
          <w:rPr>
            <w:webHidden/>
          </w:rPr>
        </w:r>
        <w:r w:rsidR="000F056E" w:rsidRPr="002948ED">
          <w:rPr>
            <w:webHidden/>
          </w:rPr>
          <w:fldChar w:fldCharType="separate"/>
        </w:r>
        <w:r w:rsidR="000F056E" w:rsidRPr="002948ED">
          <w:rPr>
            <w:webHidden/>
          </w:rPr>
          <w:t>15</w:t>
        </w:r>
        <w:r w:rsidR="000F056E" w:rsidRPr="002948ED">
          <w:rPr>
            <w:webHidden/>
          </w:rPr>
          <w:fldChar w:fldCharType="end"/>
        </w:r>
      </w:hyperlink>
    </w:p>
    <w:p w14:paraId="7BE6E0D8" w14:textId="71ECF091" w:rsidR="000F056E" w:rsidRPr="002948ED" w:rsidRDefault="003D1E34">
      <w:pPr>
        <w:pStyle w:val="TOC2"/>
        <w:rPr>
          <w:rFonts w:asciiTheme="minorHAnsi" w:eastAsiaTheme="minorEastAsia" w:hAnsiTheme="minorHAnsi"/>
          <w:kern w:val="2"/>
          <w:sz w:val="24"/>
          <w:szCs w:val="24"/>
          <w:lang w:eastAsia="en-IE"/>
          <w14:ligatures w14:val="standardContextual"/>
        </w:rPr>
      </w:pPr>
      <w:hyperlink w:anchor="_Toc235786445" w:history="1">
        <w:r w:rsidR="000F056E" w:rsidRPr="002948ED">
          <w:rPr>
            <w:rStyle w:val="Hyperlink"/>
            <w:rFonts w:asciiTheme="majorHAnsi" w:hAnsiTheme="majorHAnsi"/>
          </w:rPr>
          <w:t>Tableau</w:t>
        </w:r>
        <w:r w:rsidR="000F056E" w:rsidRPr="002948ED">
          <w:rPr>
            <w:rStyle w:val="Hyperlink"/>
            <w:rFonts w:ascii="Calibri" w:hAnsi="Calibri" w:cs="Calibri"/>
          </w:rPr>
          <w:t> </w:t>
        </w:r>
        <w:r w:rsidR="000F056E" w:rsidRPr="002948ED">
          <w:rPr>
            <w:rStyle w:val="Hyperlink"/>
            <w:rFonts w:asciiTheme="majorHAnsi" w:hAnsiTheme="majorHAnsi"/>
          </w:rPr>
          <w:t>2</w:t>
        </w:r>
        <w:r w:rsidR="000F056E" w:rsidRPr="002948ED">
          <w:rPr>
            <w:rStyle w:val="Hyperlink"/>
            <w:rFonts w:ascii="Calibri" w:hAnsi="Calibri" w:cs="Calibri"/>
          </w:rPr>
          <w:t> </w:t>
        </w:r>
        <w:r w:rsidR="000F056E" w:rsidRPr="002948ED">
          <w:rPr>
            <w:rStyle w:val="Hyperlink"/>
            <w:rFonts w:cs="EC Square Sans Pro"/>
          </w:rPr>
          <w:t>—</w:t>
        </w:r>
        <w:r w:rsidR="000F056E" w:rsidRPr="002948ED">
          <w:rPr>
            <w:rStyle w:val="Hyperlink"/>
            <w:rFonts w:ascii="Calibri" w:hAnsi="Calibri" w:cs="Calibri"/>
          </w:rPr>
          <w:t> </w:t>
        </w:r>
        <w:r w:rsidR="000F056E" w:rsidRPr="002948ED">
          <w:rPr>
            <w:rStyle w:val="Hyperlink"/>
            <w:rFonts w:asciiTheme="majorHAnsi" w:hAnsiTheme="majorHAnsi"/>
          </w:rPr>
          <w:t>D</w:t>
        </w:r>
        <w:r w:rsidR="000F056E" w:rsidRPr="002948ED">
          <w:rPr>
            <w:rStyle w:val="Hyperlink"/>
            <w:rFonts w:cs="EC Square Sans Pro"/>
          </w:rPr>
          <w:t>é</w:t>
        </w:r>
        <w:r w:rsidR="000F056E" w:rsidRPr="002948ED">
          <w:rPr>
            <w:rStyle w:val="Hyperlink"/>
            <w:rFonts w:asciiTheme="majorHAnsi" w:hAnsiTheme="majorHAnsi"/>
          </w:rPr>
          <w:t>gagements pr</w:t>
        </w:r>
        <w:r w:rsidR="000F056E" w:rsidRPr="002948ED">
          <w:rPr>
            <w:rStyle w:val="Hyperlink"/>
            <w:rFonts w:cs="EC Square Sans Pro"/>
          </w:rPr>
          <w:t>é</w:t>
        </w:r>
        <w:r w:rsidR="000F056E" w:rsidRPr="002948ED">
          <w:rPr>
            <w:rStyle w:val="Hyperlink"/>
            <w:rFonts w:asciiTheme="majorHAnsi" w:hAnsiTheme="majorHAnsi"/>
          </w:rPr>
          <w:t>vus pour la p</w:t>
        </w:r>
        <w:r w:rsidR="000F056E" w:rsidRPr="002948ED">
          <w:rPr>
            <w:rStyle w:val="Hyperlink"/>
            <w:rFonts w:cs="EC Square Sans Pro"/>
          </w:rPr>
          <w:t>é</w:t>
        </w:r>
        <w:r w:rsidR="000F056E" w:rsidRPr="002948ED">
          <w:rPr>
            <w:rStyle w:val="Hyperlink"/>
            <w:rFonts w:asciiTheme="majorHAnsi" w:hAnsiTheme="majorHAnsi"/>
          </w:rPr>
          <w:t>riode 2027-2034</w:t>
        </w:r>
        <w:r w:rsidR="000F056E" w:rsidRPr="002948ED">
          <w:rPr>
            <w:webHidden/>
          </w:rPr>
          <w:tab/>
        </w:r>
        <w:r w:rsidR="000F056E" w:rsidRPr="002948ED">
          <w:rPr>
            <w:webHidden/>
          </w:rPr>
          <w:fldChar w:fldCharType="begin"/>
        </w:r>
        <w:r w:rsidR="000F056E" w:rsidRPr="002948ED">
          <w:rPr>
            <w:webHidden/>
          </w:rPr>
          <w:instrText xml:space="preserve"> PAGEREF _Toc235786445 \h </w:instrText>
        </w:r>
        <w:r w:rsidR="000F056E" w:rsidRPr="002948ED">
          <w:rPr>
            <w:webHidden/>
          </w:rPr>
        </w:r>
        <w:r w:rsidR="000F056E" w:rsidRPr="002948ED">
          <w:rPr>
            <w:webHidden/>
          </w:rPr>
          <w:fldChar w:fldCharType="separate"/>
        </w:r>
        <w:r w:rsidR="000F056E" w:rsidRPr="002948ED">
          <w:rPr>
            <w:webHidden/>
          </w:rPr>
          <w:t>16</w:t>
        </w:r>
        <w:r w:rsidR="000F056E" w:rsidRPr="002948ED">
          <w:rPr>
            <w:webHidden/>
          </w:rPr>
          <w:fldChar w:fldCharType="end"/>
        </w:r>
      </w:hyperlink>
    </w:p>
    <w:p w14:paraId="634CC60D" w14:textId="0B986E68" w:rsidR="000F056E" w:rsidRPr="002948ED" w:rsidRDefault="003D1E34">
      <w:pPr>
        <w:pStyle w:val="TOC2"/>
        <w:rPr>
          <w:rFonts w:asciiTheme="minorHAnsi" w:eastAsiaTheme="minorEastAsia" w:hAnsiTheme="minorHAnsi"/>
          <w:kern w:val="2"/>
          <w:sz w:val="24"/>
          <w:szCs w:val="24"/>
          <w:lang w:eastAsia="en-IE"/>
          <w14:ligatures w14:val="standardContextual"/>
        </w:rPr>
      </w:pPr>
      <w:hyperlink w:anchor="_Toc235786446" w:history="1">
        <w:r w:rsidR="000F056E" w:rsidRPr="002948ED">
          <w:rPr>
            <w:rStyle w:val="Hyperlink"/>
            <w:rFonts w:asciiTheme="majorHAnsi" w:hAnsiTheme="majorHAnsi"/>
          </w:rPr>
          <w:t>Tableau</w:t>
        </w:r>
        <w:r w:rsidR="000F056E" w:rsidRPr="002948ED">
          <w:rPr>
            <w:rStyle w:val="Hyperlink"/>
            <w:rFonts w:ascii="Calibri" w:hAnsi="Calibri" w:cs="Calibri"/>
          </w:rPr>
          <w:t> </w:t>
        </w:r>
        <w:r w:rsidR="000F056E" w:rsidRPr="002948ED">
          <w:rPr>
            <w:rStyle w:val="Hyperlink"/>
            <w:rFonts w:asciiTheme="majorHAnsi" w:hAnsiTheme="majorHAnsi"/>
          </w:rPr>
          <w:t>3</w:t>
        </w:r>
        <w:r w:rsidR="000F056E" w:rsidRPr="002948ED">
          <w:rPr>
            <w:rStyle w:val="Hyperlink"/>
            <w:rFonts w:ascii="Calibri" w:hAnsi="Calibri" w:cs="Calibri"/>
          </w:rPr>
          <w:t> </w:t>
        </w:r>
        <w:r w:rsidR="000F056E" w:rsidRPr="002948ED">
          <w:rPr>
            <w:rStyle w:val="Hyperlink"/>
            <w:rFonts w:cs="EC Square Sans Pro"/>
          </w:rPr>
          <w:t>—</w:t>
        </w:r>
        <w:r w:rsidR="000F056E" w:rsidRPr="002948ED">
          <w:rPr>
            <w:rStyle w:val="Hyperlink"/>
            <w:rFonts w:ascii="Calibri" w:hAnsi="Calibri" w:cs="Calibri"/>
          </w:rPr>
          <w:t> </w:t>
        </w:r>
        <w:r w:rsidR="000F056E" w:rsidRPr="002948ED">
          <w:rPr>
            <w:rStyle w:val="Hyperlink"/>
            <w:rFonts w:asciiTheme="majorHAnsi" w:hAnsiTheme="majorHAnsi"/>
          </w:rPr>
          <w:t xml:space="preserve">Engagements restant </w:t>
        </w:r>
        <w:r w:rsidR="000F056E" w:rsidRPr="002948ED">
          <w:rPr>
            <w:rStyle w:val="Hyperlink"/>
            <w:rFonts w:cs="EC Square Sans Pro"/>
          </w:rPr>
          <w:t>à</w:t>
        </w:r>
        <w:r w:rsidR="000F056E" w:rsidRPr="002948ED">
          <w:rPr>
            <w:rStyle w:val="Hyperlink"/>
            <w:rFonts w:asciiTheme="majorHAnsi" w:hAnsiTheme="majorHAnsi"/>
          </w:rPr>
          <w:t xml:space="preserve"> liquider pr</w:t>
        </w:r>
        <w:r w:rsidR="000F056E" w:rsidRPr="002948ED">
          <w:rPr>
            <w:rStyle w:val="Hyperlink"/>
            <w:rFonts w:cs="EC Square Sans Pro"/>
          </w:rPr>
          <w:t>é</w:t>
        </w:r>
        <w:r w:rsidR="000F056E" w:rsidRPr="002948ED">
          <w:rPr>
            <w:rStyle w:val="Hyperlink"/>
            <w:rFonts w:asciiTheme="majorHAnsi" w:hAnsiTheme="majorHAnsi"/>
          </w:rPr>
          <w:t>vus pour la p</w:t>
        </w:r>
        <w:r w:rsidR="000F056E" w:rsidRPr="002948ED">
          <w:rPr>
            <w:rStyle w:val="Hyperlink"/>
            <w:rFonts w:cs="EC Square Sans Pro"/>
          </w:rPr>
          <w:t>é</w:t>
        </w:r>
        <w:r w:rsidR="000F056E" w:rsidRPr="002948ED">
          <w:rPr>
            <w:rStyle w:val="Hyperlink"/>
            <w:rFonts w:asciiTheme="majorHAnsi" w:hAnsiTheme="majorHAnsi"/>
          </w:rPr>
          <w:t>riode 2027-2034</w:t>
        </w:r>
        <w:r w:rsidR="000F056E" w:rsidRPr="002948ED">
          <w:rPr>
            <w:webHidden/>
          </w:rPr>
          <w:tab/>
        </w:r>
        <w:r w:rsidR="000F056E" w:rsidRPr="002948ED">
          <w:rPr>
            <w:webHidden/>
          </w:rPr>
          <w:fldChar w:fldCharType="begin"/>
        </w:r>
        <w:r w:rsidR="000F056E" w:rsidRPr="002948ED">
          <w:rPr>
            <w:webHidden/>
          </w:rPr>
          <w:instrText xml:space="preserve"> PAGEREF _Toc235786446 \h </w:instrText>
        </w:r>
        <w:r w:rsidR="000F056E" w:rsidRPr="002948ED">
          <w:rPr>
            <w:webHidden/>
          </w:rPr>
        </w:r>
        <w:r w:rsidR="000F056E" w:rsidRPr="002948ED">
          <w:rPr>
            <w:webHidden/>
          </w:rPr>
          <w:fldChar w:fldCharType="separate"/>
        </w:r>
        <w:r w:rsidR="000F056E" w:rsidRPr="002948ED">
          <w:rPr>
            <w:webHidden/>
          </w:rPr>
          <w:t>17</w:t>
        </w:r>
        <w:r w:rsidR="000F056E" w:rsidRPr="002948ED">
          <w:rPr>
            <w:webHidden/>
          </w:rPr>
          <w:fldChar w:fldCharType="end"/>
        </w:r>
      </w:hyperlink>
    </w:p>
    <w:p w14:paraId="1356C175" w14:textId="5E176D23" w:rsidR="000F056E" w:rsidRPr="002948ED" w:rsidRDefault="003D1E34">
      <w:pPr>
        <w:pStyle w:val="TOC2"/>
        <w:rPr>
          <w:rFonts w:asciiTheme="minorHAnsi" w:eastAsiaTheme="minorEastAsia" w:hAnsiTheme="minorHAnsi"/>
          <w:kern w:val="2"/>
          <w:sz w:val="24"/>
          <w:szCs w:val="24"/>
          <w:lang w:eastAsia="en-IE"/>
          <w14:ligatures w14:val="standardContextual"/>
        </w:rPr>
      </w:pPr>
      <w:hyperlink w:anchor="_Toc235786447" w:history="1">
        <w:r w:rsidR="000F056E" w:rsidRPr="002948ED">
          <w:rPr>
            <w:rStyle w:val="Hyperlink"/>
            <w:rFonts w:asciiTheme="majorHAnsi" w:hAnsiTheme="majorHAnsi"/>
          </w:rPr>
          <w:t>Tableau</w:t>
        </w:r>
        <w:r w:rsidR="000F056E" w:rsidRPr="002948ED">
          <w:rPr>
            <w:rStyle w:val="Hyperlink"/>
            <w:rFonts w:ascii="Calibri" w:hAnsi="Calibri" w:cs="Calibri"/>
          </w:rPr>
          <w:t> </w:t>
        </w:r>
        <w:r w:rsidR="000F056E" w:rsidRPr="002948ED">
          <w:rPr>
            <w:rStyle w:val="Hyperlink"/>
            <w:rFonts w:asciiTheme="majorHAnsi" w:hAnsiTheme="majorHAnsi"/>
          </w:rPr>
          <w:t>4</w:t>
        </w:r>
        <w:r w:rsidR="000F056E" w:rsidRPr="002948ED">
          <w:rPr>
            <w:rStyle w:val="Hyperlink"/>
            <w:rFonts w:ascii="Calibri" w:hAnsi="Calibri" w:cs="Calibri"/>
          </w:rPr>
          <w:t> </w:t>
        </w:r>
        <w:r w:rsidR="000F056E" w:rsidRPr="002948ED">
          <w:rPr>
            <w:rStyle w:val="Hyperlink"/>
            <w:rFonts w:cs="EC Square Sans Pro"/>
          </w:rPr>
          <w:t>—</w:t>
        </w:r>
        <w:r w:rsidR="000F056E" w:rsidRPr="002948ED">
          <w:rPr>
            <w:rStyle w:val="Hyperlink"/>
            <w:rFonts w:ascii="Calibri" w:hAnsi="Calibri" w:cs="Calibri"/>
          </w:rPr>
          <w:t> </w:t>
        </w:r>
        <w:r w:rsidR="000F056E" w:rsidRPr="002948ED">
          <w:rPr>
            <w:rStyle w:val="Hyperlink"/>
            <w:rFonts w:asciiTheme="majorHAnsi" w:hAnsiTheme="majorHAnsi"/>
          </w:rPr>
          <w:t>Pr</w:t>
        </w:r>
        <w:r w:rsidR="000F056E" w:rsidRPr="002948ED">
          <w:rPr>
            <w:rStyle w:val="Hyperlink"/>
            <w:rFonts w:cs="EC Square Sans Pro"/>
          </w:rPr>
          <w:t>é</w:t>
        </w:r>
        <w:r w:rsidR="000F056E" w:rsidRPr="002948ED">
          <w:rPr>
            <w:rStyle w:val="Hyperlink"/>
            <w:rFonts w:asciiTheme="majorHAnsi" w:hAnsiTheme="majorHAnsi"/>
          </w:rPr>
          <w:t xml:space="preserve">visions </w:t>
        </w:r>
        <w:r w:rsidR="000F056E" w:rsidRPr="002948ED">
          <w:rPr>
            <w:rStyle w:val="Hyperlink"/>
            <w:rFonts w:cs="EC Square Sans Pro"/>
          </w:rPr>
          <w:t>à</w:t>
        </w:r>
        <w:r w:rsidR="000F056E" w:rsidRPr="002948ED">
          <w:rPr>
            <w:rStyle w:val="Hyperlink"/>
            <w:rFonts w:asciiTheme="majorHAnsi" w:hAnsiTheme="majorHAnsi"/>
          </w:rPr>
          <w:t xml:space="preserve"> long terme concernant les entr</w:t>
        </w:r>
        <w:r w:rsidR="000F056E" w:rsidRPr="002948ED">
          <w:rPr>
            <w:rStyle w:val="Hyperlink"/>
            <w:rFonts w:cs="EC Square Sans Pro"/>
          </w:rPr>
          <w:t>é</w:t>
        </w:r>
        <w:r w:rsidR="000F056E" w:rsidRPr="002948ED">
          <w:rPr>
            <w:rStyle w:val="Hyperlink"/>
            <w:rFonts w:asciiTheme="majorHAnsi" w:hAnsiTheme="majorHAnsi"/>
          </w:rPr>
          <w:t>es futures du budget de l</w:t>
        </w:r>
        <w:r w:rsidR="000F056E" w:rsidRPr="002948ED">
          <w:rPr>
            <w:rStyle w:val="Hyperlink"/>
            <w:rFonts w:cs="EC Square Sans Pro"/>
          </w:rPr>
          <w:t>’</w:t>
        </w:r>
        <w:r w:rsidR="000F056E" w:rsidRPr="002948ED">
          <w:rPr>
            <w:rStyle w:val="Hyperlink"/>
            <w:rFonts w:asciiTheme="majorHAnsi" w:hAnsiTheme="majorHAnsi"/>
          </w:rPr>
          <w:t>UE du CFP 2027 et 2028-2034</w:t>
        </w:r>
        <w:r w:rsidR="000F056E" w:rsidRPr="002948ED">
          <w:rPr>
            <w:webHidden/>
          </w:rPr>
          <w:tab/>
        </w:r>
        <w:r w:rsidR="000F056E" w:rsidRPr="002948ED">
          <w:rPr>
            <w:webHidden/>
          </w:rPr>
          <w:fldChar w:fldCharType="begin"/>
        </w:r>
        <w:r w:rsidR="000F056E" w:rsidRPr="002948ED">
          <w:rPr>
            <w:webHidden/>
          </w:rPr>
          <w:instrText xml:space="preserve"> PAGEREF _Toc235786447 \h </w:instrText>
        </w:r>
        <w:r w:rsidR="000F056E" w:rsidRPr="002948ED">
          <w:rPr>
            <w:webHidden/>
          </w:rPr>
        </w:r>
        <w:r w:rsidR="000F056E" w:rsidRPr="002948ED">
          <w:rPr>
            <w:webHidden/>
          </w:rPr>
          <w:fldChar w:fldCharType="separate"/>
        </w:r>
        <w:r w:rsidR="000F056E" w:rsidRPr="002948ED">
          <w:rPr>
            <w:webHidden/>
          </w:rPr>
          <w:t>18</w:t>
        </w:r>
        <w:r w:rsidR="000F056E" w:rsidRPr="002948ED">
          <w:rPr>
            <w:webHidden/>
          </w:rPr>
          <w:fldChar w:fldCharType="end"/>
        </w:r>
      </w:hyperlink>
    </w:p>
    <w:p w14:paraId="3620F4B9" w14:textId="02486C17" w:rsidR="00861C1C" w:rsidRPr="002948ED" w:rsidRDefault="003B6DC2" w:rsidP="000F0FD4">
      <w:pPr>
        <w:pStyle w:val="TOC2"/>
        <w:rPr>
          <w:rFonts w:asciiTheme="majorHAnsi" w:hAnsiTheme="majorHAnsi"/>
        </w:rPr>
      </w:pPr>
      <w:r w:rsidRPr="002948ED">
        <w:rPr>
          <w:rFonts w:asciiTheme="majorHAnsi" w:hAnsiTheme="majorHAnsi"/>
        </w:rPr>
        <w:fldChar w:fldCharType="end"/>
      </w:r>
    </w:p>
    <w:p w14:paraId="3FE3C258" w14:textId="77777777" w:rsidR="00413BE5" w:rsidRPr="002948ED" w:rsidRDefault="00413BE5">
      <w:pPr>
        <w:rPr>
          <w:rFonts w:asciiTheme="majorHAnsi" w:hAnsiTheme="majorHAnsi"/>
          <w:noProof/>
        </w:rPr>
        <w:sectPr w:rsidR="00413BE5" w:rsidRPr="002948ED">
          <w:headerReference w:type="even" r:id="rId18"/>
          <w:headerReference w:type="default" r:id="rId19"/>
          <w:footerReference w:type="even" r:id="rId20"/>
          <w:footerReference w:type="default" r:id="rId21"/>
          <w:headerReference w:type="first" r:id="rId22"/>
          <w:footerReference w:type="first" r:id="rId23"/>
          <w:pgSz w:w="11906" w:h="16838"/>
          <w:pgMar w:top="1321" w:right="1151" w:bottom="1440" w:left="1151" w:header="720" w:footer="720" w:gutter="0"/>
          <w:pgNumType w:start="1"/>
          <w:cols w:space="720"/>
          <w:docGrid w:linePitch="326"/>
        </w:sectPr>
      </w:pPr>
    </w:p>
    <w:p w14:paraId="65357E71" w14:textId="3D309FFD" w:rsidR="00861C1C" w:rsidRPr="002948ED" w:rsidRDefault="003B6DC2">
      <w:pPr>
        <w:pStyle w:val="amprH2TITLE1-Numbered-1"/>
        <w:rPr>
          <w:rFonts w:asciiTheme="majorHAnsi" w:hAnsiTheme="majorHAnsi"/>
          <w:noProof/>
        </w:rPr>
      </w:pPr>
      <w:bookmarkStart w:id="15" w:name="_Toc235786431"/>
      <w:r w:rsidRPr="002948ED">
        <w:rPr>
          <w:rFonts w:asciiTheme="majorHAnsi" w:hAnsiTheme="majorHAnsi"/>
          <w:noProof/>
        </w:rPr>
        <w:t>Introduction</w:t>
      </w:r>
      <w:bookmarkEnd w:id="12"/>
      <w:bookmarkEnd w:id="13"/>
      <w:bookmarkEnd w:id="15"/>
    </w:p>
    <w:p w14:paraId="2C5B0703" w14:textId="7A483793" w:rsidR="00EB50D1" w:rsidRPr="002948ED" w:rsidRDefault="55E43B5C" w:rsidP="0050317D">
      <w:pPr>
        <w:spacing w:before="180" w:after="120" w:line="276" w:lineRule="auto"/>
        <w:jc w:val="both"/>
        <w:rPr>
          <w:rFonts w:asciiTheme="majorHAnsi" w:hAnsiTheme="majorHAnsi"/>
          <w:noProof/>
        </w:rPr>
      </w:pPr>
      <w:r w:rsidRPr="002948ED">
        <w:rPr>
          <w:rFonts w:asciiTheme="majorHAnsi" w:hAnsiTheme="majorHAnsi"/>
          <w:noProof/>
        </w:rPr>
        <w:t>Le présent rapport fournit des prévisions concernant les entrées et sorties du budget de l’UE conformément aux dispositions de l’article 253, paragraphe 1, point c), du règlement financier</w:t>
      </w:r>
      <w:r w:rsidRPr="002948ED">
        <w:rPr>
          <w:rFonts w:asciiTheme="majorHAnsi" w:hAnsiTheme="majorHAnsi"/>
          <w:noProof/>
          <w:vertAlign w:val="superscript"/>
        </w:rPr>
        <w:endnoteReference w:id="2"/>
      </w:r>
      <w:r w:rsidRPr="002948ED">
        <w:rPr>
          <w:rFonts w:asciiTheme="majorHAnsi" w:hAnsiTheme="majorHAnsi"/>
          <w:noProof/>
        </w:rPr>
        <w:t>. Cette sixième</w:t>
      </w:r>
      <w:r w:rsidRPr="002948ED">
        <w:rPr>
          <w:rStyle w:val="EndnoteReference"/>
          <w:rFonts w:asciiTheme="majorHAnsi" w:hAnsiTheme="majorHAnsi"/>
          <w:noProof/>
        </w:rPr>
        <w:endnoteReference w:id="3"/>
      </w:r>
      <w:r w:rsidRPr="002948ED">
        <w:rPr>
          <w:rFonts w:asciiTheme="majorHAnsi" w:hAnsiTheme="majorHAnsi"/>
          <w:noProof/>
        </w:rPr>
        <w:t xml:space="preserve"> édition prévoit les recettes et les dépenses découlant du cadre financier pluriannuel (CFP) 2021-2027</w:t>
      </w:r>
      <w:r w:rsidRPr="002948ED">
        <w:rPr>
          <w:rFonts w:asciiTheme="majorHAnsi" w:hAnsiTheme="majorHAnsi"/>
          <w:noProof/>
          <w:vertAlign w:val="superscript"/>
        </w:rPr>
        <w:endnoteReference w:id="4"/>
      </w:r>
      <w:r w:rsidRPr="002948ED">
        <w:rPr>
          <w:rFonts w:asciiTheme="majorHAnsi" w:hAnsiTheme="majorHAnsi"/>
          <w:noProof/>
        </w:rPr>
        <w:t>, ainsi que le CFP pour la période 2028-2034, sur la base de la proposition de la Commission relative au prochain CFP</w:t>
      </w:r>
      <w:r w:rsidRPr="002948ED">
        <w:rPr>
          <w:rFonts w:asciiTheme="majorHAnsi" w:hAnsiTheme="majorHAnsi"/>
          <w:noProof/>
          <w:vertAlign w:val="superscript"/>
        </w:rPr>
        <w:endnoteReference w:id="5"/>
      </w:r>
      <w:r w:rsidRPr="002948ED">
        <w:rPr>
          <w:rFonts w:asciiTheme="majorHAnsi" w:hAnsiTheme="majorHAnsi"/>
          <w:noProof/>
        </w:rPr>
        <w:t xml:space="preserve"> pour les paiements correspondants aux engagements 2028-2034.</w:t>
      </w:r>
    </w:p>
    <w:p w14:paraId="79BF96EE" w14:textId="24EE0F8D" w:rsidR="00824C63" w:rsidRPr="002948ED" w:rsidRDefault="00824C63" w:rsidP="0050317D">
      <w:pPr>
        <w:spacing w:before="180" w:after="120" w:line="276" w:lineRule="auto"/>
        <w:jc w:val="both"/>
        <w:rPr>
          <w:rFonts w:asciiTheme="majorHAnsi" w:hAnsiTheme="majorHAnsi"/>
          <w:noProof/>
        </w:rPr>
      </w:pPr>
      <w:r w:rsidRPr="002948ED">
        <w:rPr>
          <w:rFonts w:asciiTheme="majorHAnsi" w:hAnsiTheme="majorHAnsi"/>
          <w:noProof/>
        </w:rPr>
        <w:t>En ce qui concerne les dépenses, le rapport prévoit les paiements qui découlent des engagements contractés au titre du CFP actuel et des CFP précédents, y compris le stock d’engagements restant à liquider (RAL) attendu à la fin de 2027. Comme dans le rapport de l’année dernière, il prévoit également des paiements liés à des engagements qui seraient contractés au titre du CFP 2028-2034 sur la base de la proposition de la Commission pour le prochain CFP.</w:t>
      </w:r>
    </w:p>
    <w:p w14:paraId="1859AD78" w14:textId="17078BB5" w:rsidR="00D726CC" w:rsidRPr="002948ED" w:rsidRDefault="00DC5279" w:rsidP="00440630">
      <w:pPr>
        <w:spacing w:before="180" w:after="120" w:line="276" w:lineRule="auto"/>
        <w:jc w:val="both"/>
        <w:rPr>
          <w:rFonts w:asciiTheme="majorHAnsi" w:hAnsiTheme="majorHAnsi"/>
          <w:noProof/>
        </w:rPr>
      </w:pPr>
      <w:r w:rsidRPr="002948ED">
        <w:rPr>
          <w:rFonts w:asciiTheme="majorHAnsi" w:hAnsiTheme="majorHAnsi"/>
          <w:noProof/>
        </w:rPr>
        <w:t>Les recettes pour 2027 sont fondées sur le projet de budget 2027. À partir de 2028, les recettes font l’objet de prévisions sur la base de la proposition de la Commission de 2025 en faveur d’une nouvelle décision relative aux ressources propres</w:t>
      </w:r>
      <w:r w:rsidRPr="002948ED">
        <w:rPr>
          <w:rStyle w:val="EndnoteReference"/>
          <w:noProof/>
        </w:rPr>
        <w:endnoteReference w:id="6"/>
      </w:r>
      <w:r w:rsidRPr="002948ED">
        <w:rPr>
          <w:rFonts w:asciiTheme="majorHAnsi" w:hAnsiTheme="majorHAnsi"/>
          <w:noProof/>
        </w:rPr>
        <w:t>. Les projections de recettes tiennent également compte de l’accord sur le retrait du Royaume-Uni de Grande-Bretagne et d’Irlande du Nord de l’Union européenne et de la Communauté européenne de l’énergie atomique</w:t>
      </w:r>
      <w:r w:rsidRPr="002948ED">
        <w:rPr>
          <w:rStyle w:val="EndnoteReference"/>
          <w:noProof/>
        </w:rPr>
        <w:endnoteReference w:id="7"/>
      </w:r>
      <w:r w:rsidRPr="002948ED">
        <w:rPr>
          <w:rFonts w:asciiTheme="majorHAnsi" w:hAnsiTheme="majorHAnsi"/>
          <w:noProof/>
        </w:rPr>
        <w:t xml:space="preserve"> (ci-après l’«accord de retrait»).</w:t>
      </w:r>
    </w:p>
    <w:p w14:paraId="43B1767A" w14:textId="207155FD" w:rsidR="00E46775" w:rsidRPr="002948ED" w:rsidRDefault="003B6DC2" w:rsidP="4A9B78FD">
      <w:pPr>
        <w:spacing w:before="180" w:after="120" w:line="276" w:lineRule="auto"/>
        <w:jc w:val="both"/>
        <w:rPr>
          <w:rFonts w:asciiTheme="majorHAnsi" w:hAnsiTheme="majorHAnsi"/>
          <w:noProof/>
        </w:rPr>
      </w:pPr>
      <w:bookmarkStart w:id="16" w:name="_Hlk133853331"/>
      <w:r w:rsidRPr="002948ED">
        <w:rPr>
          <w:rFonts w:asciiTheme="majorHAnsi" w:hAnsiTheme="majorHAnsi"/>
          <w:noProof/>
        </w:rPr>
        <w:t>Les estimations concernant les paiements présentées dans le présent rapport sont fondées sur les plafonds de dépenses révisés (ajustement technique du CFP pour 2027)</w:t>
      </w:r>
      <w:r w:rsidRPr="002948ED">
        <w:rPr>
          <w:rStyle w:val="EndnoteReference"/>
          <w:rFonts w:asciiTheme="majorHAnsi" w:hAnsiTheme="majorHAnsi"/>
          <w:noProof/>
        </w:rPr>
        <w:endnoteReference w:id="8"/>
      </w:r>
      <w:r w:rsidRPr="002948ED">
        <w:rPr>
          <w:rFonts w:asciiTheme="majorHAnsi" w:hAnsiTheme="majorHAnsi"/>
          <w:noProof/>
        </w:rPr>
        <w:t xml:space="preserve"> et sur les crédits d’engagement qui figurent dans le projet de budget 2027</w:t>
      </w:r>
      <w:r w:rsidRPr="002948ED">
        <w:rPr>
          <w:rStyle w:val="EndnoteReference"/>
          <w:rFonts w:asciiTheme="majorHAnsi" w:hAnsiTheme="majorHAnsi"/>
          <w:noProof/>
        </w:rPr>
        <w:endnoteReference w:id="9"/>
      </w:r>
      <w:r w:rsidRPr="002948ED">
        <w:rPr>
          <w:rFonts w:asciiTheme="majorHAnsi" w:hAnsiTheme="majorHAnsi"/>
          <w:noProof/>
        </w:rPr>
        <w:t>, laquelle inclut les ajustements spécifiques par programme au titre de l’article 5 du règlement CFP</w:t>
      </w:r>
      <w:r w:rsidRPr="002948ED">
        <w:rPr>
          <w:rStyle w:val="EndnoteReference"/>
          <w:rFonts w:asciiTheme="majorHAnsi" w:hAnsiTheme="majorHAnsi"/>
          <w:noProof/>
        </w:rPr>
        <w:endnoteReference w:id="10"/>
      </w:r>
      <w:r w:rsidRPr="002948ED">
        <w:rPr>
          <w:rFonts w:asciiTheme="majorHAnsi" w:hAnsiTheme="majorHAnsi"/>
          <w:noProof/>
          <w:vertAlign w:val="superscript"/>
        </w:rPr>
        <w:endnoteReference w:id="11"/>
      </w:r>
      <w:r w:rsidRPr="002948ED">
        <w:rPr>
          <w:rFonts w:asciiTheme="majorHAnsi" w:hAnsiTheme="majorHAnsi"/>
          <w:noProof/>
        </w:rPr>
        <w:t>, ainsi que la réutilisation des dégagements au titre de l’article 15, paragraphe 3</w:t>
      </w:r>
      <w:r w:rsidRPr="002948ED">
        <w:rPr>
          <w:rFonts w:asciiTheme="majorHAnsi" w:hAnsiTheme="majorHAnsi"/>
          <w:noProof/>
          <w:vertAlign w:val="superscript"/>
        </w:rPr>
        <w:endnoteReference w:id="12"/>
      </w:r>
      <w:r w:rsidRPr="002948ED">
        <w:rPr>
          <w:rFonts w:asciiTheme="majorHAnsi" w:hAnsiTheme="majorHAnsi"/>
          <w:noProof/>
        </w:rPr>
        <w:t>, du règlement financier.</w:t>
      </w:r>
    </w:p>
    <w:bookmarkEnd w:id="16"/>
    <w:p w14:paraId="6BE5B2C0" w14:textId="5CFC00FF" w:rsidR="009B09BA" w:rsidRPr="002948ED" w:rsidRDefault="00EA740D" w:rsidP="0050317D">
      <w:pPr>
        <w:spacing w:before="180" w:after="120" w:line="276" w:lineRule="auto"/>
        <w:jc w:val="both"/>
        <w:rPr>
          <w:rFonts w:asciiTheme="majorHAnsi" w:hAnsiTheme="majorHAnsi"/>
          <w:noProof/>
        </w:rPr>
      </w:pPr>
      <w:r w:rsidRPr="002948ED">
        <w:rPr>
          <w:rFonts w:asciiTheme="majorHAnsi" w:hAnsiTheme="majorHAnsi"/>
          <w:noProof/>
        </w:rPr>
        <w:t>En ce qui concerne NextGenerationEU, tous les besoins de financement destinés à financer de nouveaux décaissements seront achevés d’ici la fin de 2026. Par la suite, seuls des montants mineurs, principalement destinés</w:t>
      </w:r>
      <w:r w:rsidRPr="002948ED">
        <w:rPr>
          <w:rFonts w:ascii="Calibri" w:hAnsi="Calibri"/>
          <w:noProof/>
        </w:rPr>
        <w:t xml:space="preserve"> </w:t>
      </w:r>
      <w:r w:rsidRPr="002948ED">
        <w:rPr>
          <w:rFonts w:asciiTheme="majorHAnsi" w:hAnsiTheme="majorHAnsi"/>
          <w:noProof/>
        </w:rPr>
        <w:t>aux dépenses administratives, seront versés. Les décaissements au titre de NextGenerationEU ne relèvent pas du champ d’application du présent rapport, qui couvre la période à partir de 2027.</w:t>
      </w:r>
    </w:p>
    <w:p w14:paraId="0C794B59" w14:textId="58E14A73" w:rsidR="00861C1C" w:rsidRPr="002948ED" w:rsidRDefault="003B6DC2" w:rsidP="00B95218">
      <w:pPr>
        <w:pStyle w:val="amprH2TITLE1-Numbered-1"/>
        <w:spacing w:after="240"/>
        <w:rPr>
          <w:rFonts w:asciiTheme="majorHAnsi" w:hAnsiTheme="majorHAnsi"/>
          <w:noProof/>
        </w:rPr>
      </w:pPr>
      <w:bookmarkStart w:id="17" w:name="_Toc494974438"/>
      <w:bookmarkStart w:id="18" w:name="_Toc524523058"/>
      <w:bookmarkStart w:id="19" w:name="_Toc235786432"/>
      <w:r w:rsidRPr="002948ED">
        <w:rPr>
          <w:rFonts w:asciiTheme="majorHAnsi" w:hAnsiTheme="majorHAnsi"/>
          <w:noProof/>
        </w:rPr>
        <w:t>P</w:t>
      </w:r>
      <w:bookmarkEnd w:id="17"/>
      <w:bookmarkEnd w:id="18"/>
      <w:r w:rsidRPr="002948ED">
        <w:rPr>
          <w:rFonts w:asciiTheme="majorHAnsi" w:hAnsiTheme="majorHAnsi"/>
          <w:noProof/>
        </w:rPr>
        <w:t>révisions concernant les sorties du budget de l’UE 2027-2034</w:t>
      </w:r>
      <w:bookmarkEnd w:id="19"/>
    </w:p>
    <w:p w14:paraId="6026CE0B" w14:textId="039B6C23" w:rsidR="001B4E5E" w:rsidRPr="002948ED" w:rsidRDefault="31B9AE73" w:rsidP="00B95218">
      <w:pPr>
        <w:spacing w:before="120" w:after="120"/>
        <w:jc w:val="both"/>
        <w:rPr>
          <w:rFonts w:asciiTheme="majorHAnsi" w:hAnsiTheme="majorHAnsi"/>
          <w:noProof/>
        </w:rPr>
      </w:pPr>
      <w:r w:rsidRPr="002948ED">
        <w:rPr>
          <w:rFonts w:asciiTheme="majorHAnsi" w:hAnsiTheme="majorHAnsi"/>
          <w:noProof/>
        </w:rPr>
        <w:t>Sur la période 2027-2034, les paiements sont estimés à</w:t>
      </w:r>
      <w:r w:rsidRPr="002948ED">
        <w:rPr>
          <w:rFonts w:ascii="Calibri" w:hAnsi="Calibri"/>
          <w:noProof/>
        </w:rPr>
        <w:t xml:space="preserve"> </w:t>
      </w:r>
      <w:r w:rsidRPr="002948ED">
        <w:rPr>
          <w:rFonts w:asciiTheme="majorHAnsi" w:hAnsiTheme="majorHAnsi"/>
          <w:noProof/>
        </w:rPr>
        <w:t>2</w:t>
      </w:r>
      <w:r w:rsidRPr="002948ED">
        <w:rPr>
          <w:rFonts w:ascii="Calibri" w:hAnsi="Calibri"/>
          <w:noProof/>
        </w:rPr>
        <w:t> </w:t>
      </w:r>
      <w:r w:rsidRPr="002948ED">
        <w:rPr>
          <w:rFonts w:asciiTheme="majorHAnsi" w:hAnsiTheme="majorHAnsi"/>
          <w:noProof/>
        </w:rPr>
        <w:t>173</w:t>
      </w:r>
      <w:r w:rsidRPr="002948ED">
        <w:rPr>
          <w:rFonts w:ascii="Calibri" w:hAnsi="Calibri"/>
          <w:noProof/>
        </w:rPr>
        <w:t> </w:t>
      </w:r>
      <w:r w:rsidRPr="002948ED">
        <w:rPr>
          <w:rFonts w:asciiTheme="majorHAnsi" w:hAnsiTheme="majorHAnsi"/>
          <w:noProof/>
        </w:rPr>
        <w:t>milliards d’EUR</w:t>
      </w:r>
      <w:r w:rsidRPr="002948ED">
        <w:rPr>
          <w:rStyle w:val="EndnoteReference"/>
          <w:noProof/>
        </w:rPr>
        <w:endnoteReference w:id="13"/>
      </w:r>
      <w:r w:rsidRPr="002948ED">
        <w:rPr>
          <w:rFonts w:asciiTheme="majorHAnsi" w:hAnsiTheme="majorHAnsi"/>
          <w:noProof/>
        </w:rPr>
        <w:t>. La moyenne annuelle estimée des sorties de trésorerie du budget de l’UE est de</w:t>
      </w:r>
      <w:r w:rsidRPr="002948ED">
        <w:rPr>
          <w:rFonts w:ascii="Calibri" w:hAnsi="Calibri"/>
          <w:noProof/>
        </w:rPr>
        <w:t xml:space="preserve"> </w:t>
      </w:r>
      <w:r w:rsidRPr="002948ED">
        <w:rPr>
          <w:rFonts w:asciiTheme="majorHAnsi" w:hAnsiTheme="majorHAnsi"/>
          <w:noProof/>
        </w:rPr>
        <w:t>272</w:t>
      </w:r>
      <w:r w:rsidRPr="002948ED">
        <w:rPr>
          <w:rFonts w:ascii="Calibri" w:hAnsi="Calibri"/>
          <w:noProof/>
        </w:rPr>
        <w:t> </w:t>
      </w:r>
      <w:r w:rsidRPr="002948ED">
        <w:rPr>
          <w:rFonts w:asciiTheme="majorHAnsi" w:hAnsiTheme="majorHAnsi"/>
          <w:noProof/>
        </w:rPr>
        <w:t>milliards d’EUR.</w:t>
      </w:r>
    </w:p>
    <w:p w14:paraId="54724F62" w14:textId="3E893178" w:rsidR="00BA45A1" w:rsidRPr="002948ED" w:rsidRDefault="00744FFD" w:rsidP="00B95218">
      <w:pPr>
        <w:spacing w:before="120" w:after="120" w:line="276" w:lineRule="auto"/>
        <w:jc w:val="both"/>
        <w:rPr>
          <w:rFonts w:asciiTheme="majorHAnsi" w:hAnsiTheme="majorHAnsi"/>
          <w:noProof/>
        </w:rPr>
      </w:pPr>
      <w:r w:rsidRPr="002948ED">
        <w:rPr>
          <w:rFonts w:asciiTheme="majorHAnsi" w:hAnsiTheme="majorHAnsi"/>
          <w:noProof/>
        </w:rPr>
        <w:t>Ces sorties de trésorerie sont composées des éléments suivants:</w:t>
      </w:r>
    </w:p>
    <w:p w14:paraId="6E4476C7" w14:textId="77777777" w:rsidR="009F1AFB" w:rsidRPr="002948ED" w:rsidRDefault="009F1AFB" w:rsidP="009F1AFB">
      <w:pPr>
        <w:pStyle w:val="ListParagraph"/>
        <w:numPr>
          <w:ilvl w:val="0"/>
          <w:numId w:val="31"/>
        </w:numPr>
        <w:spacing w:after="120" w:line="276" w:lineRule="auto"/>
        <w:jc w:val="both"/>
        <w:rPr>
          <w:rFonts w:asciiTheme="majorHAnsi" w:hAnsiTheme="majorHAnsi"/>
          <w:noProof/>
        </w:rPr>
      </w:pPr>
      <w:r w:rsidRPr="002948ED">
        <w:rPr>
          <w:rFonts w:asciiTheme="majorHAnsi" w:hAnsiTheme="majorHAnsi"/>
          <w:noProof/>
        </w:rPr>
        <w:t>Paiements correspondants aux engagements effectués au titre du CFP 2021-2027 et des CFP précédents</w:t>
      </w:r>
    </w:p>
    <w:p w14:paraId="5843F642" w14:textId="039D9DB2" w:rsidR="009F1AFB" w:rsidRPr="002948ED" w:rsidRDefault="009F1AFB" w:rsidP="009F1AFB">
      <w:pPr>
        <w:spacing w:before="120" w:after="120" w:line="276" w:lineRule="auto"/>
        <w:jc w:val="both"/>
        <w:rPr>
          <w:rFonts w:asciiTheme="majorHAnsi" w:hAnsiTheme="majorHAnsi"/>
          <w:noProof/>
        </w:rPr>
      </w:pPr>
      <w:r w:rsidRPr="002948ED">
        <w:rPr>
          <w:rFonts w:asciiTheme="majorHAnsi" w:hAnsiTheme="majorHAnsi"/>
          <w:noProof/>
        </w:rPr>
        <w:t xml:space="preserve">Les paiements correspondants aux engagements effectués au titre du CFP 2021-2027 sont payés en partie en 2027 et en partie au titre du CFP 2028-2034, pour un montant total estimé à </w:t>
      </w:r>
      <w:r w:rsidRPr="002948ED">
        <w:rPr>
          <w:rFonts w:asciiTheme="majorHAnsi" w:hAnsiTheme="majorHAnsi"/>
          <w:b/>
          <w:noProof/>
        </w:rPr>
        <w:t>527</w:t>
      </w:r>
      <w:r w:rsidRPr="002948ED">
        <w:rPr>
          <w:rFonts w:ascii="Calibri" w:hAnsi="Calibri"/>
          <w:b/>
          <w:noProof/>
        </w:rPr>
        <w:t> </w:t>
      </w:r>
      <w:r w:rsidRPr="002948ED">
        <w:rPr>
          <w:rFonts w:asciiTheme="majorHAnsi" w:hAnsiTheme="majorHAnsi"/>
          <w:b/>
          <w:noProof/>
        </w:rPr>
        <w:t>milliards d’EUR</w:t>
      </w:r>
      <w:r w:rsidRPr="002948ED">
        <w:rPr>
          <w:rFonts w:asciiTheme="majorHAnsi" w:hAnsiTheme="majorHAnsi"/>
          <w:noProof/>
        </w:rPr>
        <w:t>, ou</w:t>
      </w:r>
      <w:r w:rsidRPr="002948ED">
        <w:rPr>
          <w:rFonts w:ascii="Calibri" w:hAnsi="Calibri"/>
          <w:noProof/>
        </w:rPr>
        <w:t xml:space="preserve"> </w:t>
      </w:r>
      <w:r w:rsidRPr="002948ED">
        <w:rPr>
          <w:rFonts w:asciiTheme="majorHAnsi" w:hAnsiTheme="majorHAnsi"/>
          <w:noProof/>
        </w:rPr>
        <w:t>75,3</w:t>
      </w:r>
      <w:r w:rsidRPr="002948ED">
        <w:rPr>
          <w:rFonts w:ascii="Calibri" w:hAnsi="Calibri"/>
          <w:noProof/>
        </w:rPr>
        <w:t> </w:t>
      </w:r>
      <w:r w:rsidRPr="002948ED">
        <w:rPr>
          <w:rFonts w:asciiTheme="majorHAnsi" w:hAnsiTheme="majorHAnsi"/>
          <w:noProof/>
        </w:rPr>
        <w:t>milliards d’EUR en moyenne pour la période 2027-2033. Environ 40 % de ces paiements, soit</w:t>
      </w:r>
      <w:r w:rsidRPr="002948ED">
        <w:rPr>
          <w:rFonts w:ascii="Calibri" w:hAnsi="Calibri"/>
          <w:noProof/>
        </w:rPr>
        <w:t xml:space="preserve"> </w:t>
      </w:r>
      <w:r w:rsidRPr="002948ED">
        <w:rPr>
          <w:rFonts w:asciiTheme="majorHAnsi" w:hAnsiTheme="majorHAnsi"/>
          <w:noProof/>
        </w:rPr>
        <w:t>210</w:t>
      </w:r>
      <w:r w:rsidRPr="002948ED">
        <w:rPr>
          <w:rFonts w:ascii="Calibri" w:hAnsi="Calibri"/>
          <w:noProof/>
        </w:rPr>
        <w:t> </w:t>
      </w:r>
      <w:r w:rsidRPr="002948ED">
        <w:rPr>
          <w:rFonts w:asciiTheme="majorHAnsi" w:hAnsiTheme="majorHAnsi"/>
          <w:noProof/>
        </w:rPr>
        <w:t>milliards d’EUR, sont attendus en 2027, conformément à la proposition de projet de budget. Les 317 milliards d’EUR</w:t>
      </w:r>
      <w:r w:rsidRPr="002948ED">
        <w:rPr>
          <w:rFonts w:ascii="Calibri" w:hAnsi="Calibri"/>
          <w:noProof/>
        </w:rPr>
        <w:t xml:space="preserve"> </w:t>
      </w:r>
      <w:r w:rsidRPr="002948ED">
        <w:rPr>
          <w:rFonts w:asciiTheme="majorHAnsi" w:hAnsiTheme="majorHAnsi"/>
          <w:noProof/>
        </w:rPr>
        <w:t>restants</w:t>
      </w:r>
      <w:r w:rsidRPr="002948ED">
        <w:rPr>
          <w:rFonts w:ascii="Calibri" w:hAnsi="Calibri"/>
          <w:noProof/>
        </w:rPr>
        <w:t xml:space="preserve"> </w:t>
      </w:r>
      <w:r w:rsidRPr="002948ED">
        <w:rPr>
          <w:rFonts w:asciiTheme="majorHAnsi" w:hAnsiTheme="majorHAnsi"/>
          <w:noProof/>
        </w:rPr>
        <w:t>devraient être versés principalement au cours des trois premières années du nouveau CFP. Cela est cohérent avec les schémas de mise en œuvre passés au fur et à mesure que les programmes (notamment la politique de cohésion) atteignent leur vitesse de croisière. Les paiements correspondant aux engagements restant à liquider au titre des CFP précédant la période 2021-2027 sont estimés à 5,9 milliards d’EUR ou</w:t>
      </w:r>
      <w:r w:rsidRPr="002948ED">
        <w:rPr>
          <w:rFonts w:ascii="Calibri" w:hAnsi="Calibri"/>
          <w:noProof/>
        </w:rPr>
        <w:t xml:space="preserve"> </w:t>
      </w:r>
      <w:r w:rsidRPr="002948ED">
        <w:rPr>
          <w:rFonts w:asciiTheme="majorHAnsi" w:hAnsiTheme="majorHAnsi"/>
          <w:noProof/>
        </w:rPr>
        <w:t>0,8</w:t>
      </w:r>
      <w:r w:rsidRPr="002948ED">
        <w:rPr>
          <w:rFonts w:ascii="Calibri" w:hAnsi="Calibri"/>
          <w:noProof/>
        </w:rPr>
        <w:t> </w:t>
      </w:r>
      <w:r w:rsidRPr="002948ED">
        <w:rPr>
          <w:rFonts w:asciiTheme="majorHAnsi" w:hAnsiTheme="majorHAnsi"/>
          <w:noProof/>
        </w:rPr>
        <w:t>milliard d’EUR en moyenne pour la période 2027-2033. Ils devraient diminuer et être progressivement supprimés d’ici à la fin de 2033.</w:t>
      </w:r>
    </w:p>
    <w:p w14:paraId="1BAD838F" w14:textId="634D2F31" w:rsidR="007851BF" w:rsidRPr="002948ED" w:rsidRDefault="00DA0258" w:rsidP="00BA45A1">
      <w:pPr>
        <w:pStyle w:val="ListParagraph"/>
        <w:numPr>
          <w:ilvl w:val="0"/>
          <w:numId w:val="31"/>
        </w:numPr>
        <w:spacing w:after="120" w:line="276" w:lineRule="auto"/>
        <w:jc w:val="both"/>
        <w:rPr>
          <w:rFonts w:asciiTheme="majorHAnsi" w:hAnsiTheme="majorHAnsi"/>
          <w:noProof/>
        </w:rPr>
      </w:pPr>
      <w:r w:rsidRPr="002948ED">
        <w:rPr>
          <w:rFonts w:asciiTheme="majorHAnsi" w:hAnsiTheme="majorHAnsi"/>
          <w:noProof/>
        </w:rPr>
        <w:t xml:space="preserve">Paiements correspondants aux engagements pour le CFP 2028-2034 </w:t>
      </w:r>
    </w:p>
    <w:p w14:paraId="4C58296F" w14:textId="06C3C9AA" w:rsidR="00C47DAD" w:rsidRPr="002948ED" w:rsidRDefault="00100819" w:rsidP="0033008E">
      <w:pPr>
        <w:spacing w:after="120" w:line="276" w:lineRule="auto"/>
        <w:jc w:val="both"/>
        <w:rPr>
          <w:rFonts w:asciiTheme="majorHAnsi" w:hAnsiTheme="majorHAnsi"/>
          <w:noProof/>
          <w:spacing w:val="-4"/>
        </w:rPr>
      </w:pPr>
      <w:r w:rsidRPr="002948ED">
        <w:rPr>
          <w:rFonts w:asciiTheme="majorHAnsi" w:hAnsiTheme="majorHAnsi"/>
          <w:noProof/>
        </w:rPr>
        <w:t>Conformément à la proposition de la Commission relative au CFP 2028-2034 de juillet 2025 et au rapport de l’année dernière, les paiements correspondants aux engagements au titre du CFP 2028-2034 s’élèvent en moyenne à</w:t>
      </w:r>
      <w:r w:rsidRPr="002948ED">
        <w:rPr>
          <w:rFonts w:ascii="Calibri" w:hAnsi="Calibri"/>
          <w:noProof/>
        </w:rPr>
        <w:t xml:space="preserve"> </w:t>
      </w:r>
      <w:r w:rsidRPr="002948ED">
        <w:rPr>
          <w:rFonts w:asciiTheme="majorHAnsi" w:hAnsiTheme="majorHAnsi"/>
          <w:noProof/>
        </w:rPr>
        <w:t>234</w:t>
      </w:r>
      <w:r w:rsidRPr="002948ED">
        <w:rPr>
          <w:rFonts w:ascii="Calibri" w:hAnsi="Calibri"/>
          <w:noProof/>
        </w:rPr>
        <w:t> </w:t>
      </w:r>
      <w:r w:rsidRPr="002948ED">
        <w:rPr>
          <w:rFonts w:asciiTheme="majorHAnsi" w:hAnsiTheme="majorHAnsi"/>
          <w:noProof/>
        </w:rPr>
        <w:t xml:space="preserve">milliards d’EUR par an, </w:t>
      </w:r>
      <w:r w:rsidRPr="002948ED">
        <w:rPr>
          <w:rFonts w:asciiTheme="majorHAnsi" w:hAnsiTheme="majorHAnsi"/>
          <w:b/>
          <w:noProof/>
        </w:rPr>
        <w:t>soit un total de</w:t>
      </w:r>
      <w:r w:rsidRPr="002948ED">
        <w:rPr>
          <w:rFonts w:ascii="Calibri" w:hAnsi="Calibri"/>
          <w:b/>
          <w:noProof/>
        </w:rPr>
        <w:t xml:space="preserve"> </w:t>
      </w:r>
      <w:r w:rsidRPr="002948ED">
        <w:rPr>
          <w:rFonts w:asciiTheme="majorHAnsi" w:hAnsiTheme="majorHAnsi"/>
          <w:b/>
          <w:noProof/>
        </w:rPr>
        <w:t>1</w:t>
      </w:r>
      <w:r w:rsidRPr="002948ED">
        <w:rPr>
          <w:rFonts w:ascii="Calibri" w:hAnsi="Calibri"/>
          <w:b/>
          <w:noProof/>
        </w:rPr>
        <w:t> </w:t>
      </w:r>
      <w:r w:rsidRPr="002948ED">
        <w:rPr>
          <w:rFonts w:asciiTheme="majorHAnsi" w:hAnsiTheme="majorHAnsi"/>
          <w:b/>
          <w:noProof/>
        </w:rPr>
        <w:t>641</w:t>
      </w:r>
      <w:r w:rsidRPr="002948ED">
        <w:rPr>
          <w:rFonts w:ascii="Calibri" w:hAnsi="Calibri"/>
          <w:b/>
          <w:noProof/>
        </w:rPr>
        <w:t> </w:t>
      </w:r>
      <w:r w:rsidRPr="002948ED">
        <w:rPr>
          <w:rFonts w:asciiTheme="majorHAnsi" w:hAnsiTheme="majorHAnsi"/>
          <w:b/>
          <w:noProof/>
        </w:rPr>
        <w:t>milliards d’EUR</w:t>
      </w:r>
      <w:r w:rsidRPr="002948ED">
        <w:rPr>
          <w:rFonts w:asciiTheme="majorHAnsi" w:hAnsiTheme="majorHAnsi"/>
          <w:noProof/>
        </w:rPr>
        <w:t xml:space="preserve"> sur la période. Dans l’ensemble, les paiements sont plutôt concentrés sur la première moitié de la période de sept ans, étant donné que les nouveaux programmes devraient être mis en œuvre plus rapidement. Comme expliqué dans le rapport de l’année dernière, la concentration en début de période est le résultat de mesures proposées pour faciliter un démarrage en temps utile et un profil de mise en œuvre plus fluide, ce qui se traduit par une répartition plus homogène des paiements au cours de la période.</w:t>
      </w:r>
    </w:p>
    <w:p w14:paraId="5C3E96CB" w14:textId="78C103A7" w:rsidR="00861C1C" w:rsidRPr="002948ED" w:rsidRDefault="003B6DC2" w:rsidP="0033008E">
      <w:pPr>
        <w:rPr>
          <w:rStyle w:val="amprcharCharttitle"/>
          <w:rFonts w:asciiTheme="majorHAnsi" w:hAnsiTheme="majorHAnsi"/>
          <w:noProof/>
        </w:rPr>
      </w:pPr>
      <w:r w:rsidRPr="002948ED">
        <w:rPr>
          <w:rStyle w:val="amprcharCharttitle"/>
          <w:rFonts w:asciiTheme="majorHAnsi" w:hAnsiTheme="majorHAnsi"/>
          <w:noProof/>
        </w:rPr>
        <w:t>Graphique</w:t>
      </w:r>
      <w:r w:rsidRPr="002948ED">
        <w:rPr>
          <w:rStyle w:val="amprcharCharttitle"/>
          <w:rFonts w:asciiTheme="majorHAnsi" w:hAnsiTheme="majorHAnsi"/>
          <w:noProof/>
        </w:rPr>
        <w:fldChar w:fldCharType="begin"/>
      </w:r>
      <w:r w:rsidRPr="002948ED">
        <w:rPr>
          <w:rStyle w:val="amprcharCharttitle"/>
          <w:rFonts w:asciiTheme="majorHAnsi" w:hAnsiTheme="majorHAnsi"/>
          <w:noProof/>
        </w:rPr>
        <w:instrText xml:space="preserve"> SEQ Chart \* ARABIC </w:instrText>
      </w:r>
      <w:r w:rsidRPr="002948ED">
        <w:rPr>
          <w:rStyle w:val="amprcharCharttitle"/>
          <w:rFonts w:asciiTheme="majorHAnsi" w:hAnsiTheme="majorHAnsi"/>
          <w:noProof/>
        </w:rPr>
        <w:fldChar w:fldCharType="separate"/>
      </w:r>
      <w:r w:rsidRPr="002948ED">
        <w:rPr>
          <w:rStyle w:val="amprcharCharttitle"/>
          <w:rFonts w:asciiTheme="majorHAnsi" w:hAnsiTheme="majorHAnsi"/>
          <w:noProof/>
        </w:rPr>
        <w:t>1</w:t>
      </w:r>
      <w:r w:rsidRPr="002948ED">
        <w:rPr>
          <w:rStyle w:val="amprcharCharttitle"/>
          <w:rFonts w:asciiTheme="majorHAnsi" w:hAnsiTheme="majorHAnsi"/>
          <w:noProof/>
        </w:rPr>
        <w:fldChar w:fldCharType="end"/>
      </w:r>
      <w:r w:rsidRPr="002948ED">
        <w:rPr>
          <w:rStyle w:val="amprcharCharttitle"/>
          <w:rFonts w:asciiTheme="majorHAnsi" w:hAnsiTheme="majorHAnsi"/>
          <w:noProof/>
        </w:rPr>
        <w:t> — Prévisions de paiements par catégorie</w:t>
      </w:r>
    </w:p>
    <w:p w14:paraId="16A4706E" w14:textId="25815F92" w:rsidR="00166293" w:rsidRPr="002948ED" w:rsidRDefault="00753C73" w:rsidP="00753C73">
      <w:pPr>
        <w:pStyle w:val="amprBodyText"/>
        <w:jc w:val="center"/>
        <w:rPr>
          <w:rFonts w:asciiTheme="majorHAnsi" w:hAnsiTheme="majorHAnsi"/>
          <w:noProof/>
        </w:rPr>
      </w:pPr>
      <w:r w:rsidRPr="002948ED">
        <w:rPr>
          <w:noProof/>
          <w:lang w:val="en-GB" w:eastAsia="en-GB"/>
        </w:rPr>
        <w:drawing>
          <wp:inline distT="0" distB="0" distL="0" distR="0" wp14:anchorId="38387FFB" wp14:editId="6A92A2C9">
            <wp:extent cx="4555331" cy="2743200"/>
            <wp:effectExtent l="0" t="0" r="0" b="0"/>
            <wp:docPr id="1439169742" name="Chart 1">
              <a:extLst xmlns:a="http://schemas.openxmlformats.org/drawingml/2006/main">
                <a:ext uri="{FF2B5EF4-FFF2-40B4-BE49-F238E27FC236}">
                  <a16:creationId xmlns:a16="http://schemas.microsoft.com/office/drawing/2014/main" id="{5A98B2E7-134E-47E9-9995-3C555EF770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22F66CB" w14:textId="6A63E030" w:rsidR="009B68F9" w:rsidRPr="002948ED" w:rsidRDefault="00B26C60" w:rsidP="00B26C60">
      <w:pPr>
        <w:spacing w:after="120" w:line="276" w:lineRule="auto"/>
        <w:jc w:val="both"/>
        <w:rPr>
          <w:rFonts w:asciiTheme="majorHAnsi" w:hAnsiTheme="majorHAnsi"/>
          <w:noProof/>
        </w:rPr>
      </w:pPr>
      <w:r w:rsidRPr="002948ED">
        <w:rPr>
          <w:rFonts w:asciiTheme="majorHAnsi" w:hAnsiTheme="majorHAnsi"/>
          <w:noProof/>
        </w:rPr>
        <w:t xml:space="preserve">Par rapport aux estimations qui sous-tendent la proposition de la Commission de juillet 2025, les prévisions actuelles indiquent un niveau de paiements inférieur de 18 milliards d’EUR lié à l’évolution des paiements RAL (c’est-à-dire les paiements relatifs aux engagements contractés avant 2028). Cette différence est principalement due à l’accélération des paiements au titre de la politique de cohésion 2021-2027 en 2026 et 2027, qui réduit le stock d’engagements restant à liquider attendu à la fin du CFP actuel et, par conséquent, le niveau des paiements sur les engagements antérieurs à 2028 requis au cours de la période 2028-2034. </w:t>
      </w:r>
    </w:p>
    <w:p w14:paraId="56FC78D1" w14:textId="41D633C5" w:rsidR="009B68F9" w:rsidRPr="002948ED" w:rsidRDefault="005974E8" w:rsidP="009B68F9">
      <w:pPr>
        <w:spacing w:after="120" w:line="276" w:lineRule="auto"/>
        <w:jc w:val="both"/>
        <w:rPr>
          <w:rFonts w:asciiTheme="majorHAnsi" w:hAnsiTheme="majorHAnsi"/>
          <w:noProof/>
        </w:rPr>
      </w:pPr>
      <w:r w:rsidRPr="002948ED">
        <w:rPr>
          <w:rFonts w:asciiTheme="majorHAnsi" w:hAnsiTheme="majorHAnsi"/>
          <w:noProof/>
        </w:rPr>
        <w:t>Le plafond des paiements proposé pour le CFP 2028-2034 reste suffisant pour couvrir globalement les besoins de paiement actuellement prévus au cours de la période, avec certaines variations d’une année à l’autre. Selon les hypothèses actuelles, les paiements pourraient dépasser les plafonds annuels en 2030</w:t>
      </w:r>
      <w:r w:rsidRPr="002948ED">
        <w:rPr>
          <w:rFonts w:ascii="Calibri" w:hAnsi="Calibri"/>
          <w:noProof/>
        </w:rPr>
        <w:t xml:space="preserve"> </w:t>
      </w:r>
      <w:r w:rsidRPr="002948ED">
        <w:rPr>
          <w:rFonts w:asciiTheme="majorHAnsi" w:hAnsiTheme="majorHAnsi"/>
          <w:noProof/>
        </w:rPr>
        <w:t>(14</w:t>
      </w:r>
      <w:r w:rsidRPr="002948ED">
        <w:rPr>
          <w:rFonts w:ascii="Calibri" w:hAnsi="Calibri"/>
          <w:noProof/>
        </w:rPr>
        <w:t> </w:t>
      </w:r>
      <w:r w:rsidRPr="002948ED">
        <w:rPr>
          <w:rFonts w:asciiTheme="majorHAnsi" w:hAnsiTheme="majorHAnsi"/>
          <w:noProof/>
        </w:rPr>
        <w:t>milliards d’EUR), 2032 (6</w:t>
      </w:r>
      <w:r w:rsidRPr="002948ED">
        <w:rPr>
          <w:rFonts w:ascii="Calibri" w:hAnsi="Calibri"/>
          <w:noProof/>
        </w:rPr>
        <w:t> </w:t>
      </w:r>
      <w:r w:rsidRPr="002948ED">
        <w:rPr>
          <w:rFonts w:asciiTheme="majorHAnsi" w:hAnsiTheme="majorHAnsi"/>
          <w:noProof/>
        </w:rPr>
        <w:t>milliards d’EUR) et 2033 (4</w:t>
      </w:r>
      <w:r w:rsidRPr="002948ED">
        <w:rPr>
          <w:rFonts w:ascii="Calibri" w:hAnsi="Calibri"/>
          <w:noProof/>
        </w:rPr>
        <w:t> </w:t>
      </w:r>
      <w:r w:rsidRPr="002948ED">
        <w:rPr>
          <w:rFonts w:asciiTheme="majorHAnsi" w:hAnsiTheme="majorHAnsi"/>
          <w:noProof/>
        </w:rPr>
        <w:t>milliards d’EUR). Les paiements seraient inférieurs aux plafonds en 2028 (4</w:t>
      </w:r>
      <w:r w:rsidRPr="002948ED">
        <w:rPr>
          <w:rFonts w:ascii="Calibri" w:hAnsi="Calibri"/>
          <w:noProof/>
        </w:rPr>
        <w:t> </w:t>
      </w:r>
      <w:r w:rsidRPr="002948ED">
        <w:rPr>
          <w:rFonts w:asciiTheme="majorHAnsi" w:hAnsiTheme="majorHAnsi"/>
          <w:noProof/>
        </w:rPr>
        <w:t>milliards d’EUR), 2029 (17</w:t>
      </w:r>
      <w:r w:rsidRPr="002948ED">
        <w:rPr>
          <w:rFonts w:ascii="Calibri" w:hAnsi="Calibri"/>
          <w:noProof/>
        </w:rPr>
        <w:t> </w:t>
      </w:r>
      <w:r w:rsidRPr="002948ED">
        <w:rPr>
          <w:rFonts w:asciiTheme="majorHAnsi" w:hAnsiTheme="majorHAnsi"/>
          <w:noProof/>
        </w:rPr>
        <w:t>milliards d’EUR) et 2031 (21</w:t>
      </w:r>
      <w:r w:rsidRPr="002948ED">
        <w:rPr>
          <w:rFonts w:ascii="Calibri" w:hAnsi="Calibri"/>
          <w:noProof/>
        </w:rPr>
        <w:t> </w:t>
      </w:r>
      <w:r w:rsidRPr="002948ED">
        <w:rPr>
          <w:rFonts w:asciiTheme="majorHAnsi" w:hAnsiTheme="majorHAnsi"/>
          <w:noProof/>
        </w:rPr>
        <w:t>milliards d’EUR). Afin de garantir le respect du plafond des paiements pour chaque année du CFP, il peut être nécessaire de recourir aux mécanismes prévus dans le règlement CFP pour ajuster les plafonds annuels des paiements.</w:t>
      </w:r>
    </w:p>
    <w:p w14:paraId="14877F67" w14:textId="2AC30C79" w:rsidR="00B26C60" w:rsidRPr="002948ED" w:rsidRDefault="00B26C60" w:rsidP="00B26C60">
      <w:pPr>
        <w:spacing w:after="120" w:line="276" w:lineRule="auto"/>
        <w:jc w:val="both"/>
        <w:rPr>
          <w:rFonts w:asciiTheme="majorHAnsi" w:hAnsiTheme="majorHAnsi"/>
          <w:noProof/>
        </w:rPr>
      </w:pPr>
      <w:r w:rsidRPr="002948ED">
        <w:rPr>
          <w:rFonts w:asciiTheme="majorHAnsi" w:hAnsiTheme="majorHAnsi"/>
          <w:noProof/>
        </w:rPr>
        <w:t>La différence qui en résulte entre les prévisions de paiement actuelles globales et les plafonds de paiement proposés dans le CFP devrait toutefois être interprétée avec prudence. Alors que les prévisions de paiements sur les engagements existants bénéficient de données plus récentes sur la mise en œuvre, le profil de paiement des programmes relevant du futur CFP dépend de l’issue des négociations en cours. Les modifications apportées à la taille et à la composition globales du CFP peuvent avoir une incidence sur le calendrier et le niveau des besoins de paiement futurs.</w:t>
      </w:r>
    </w:p>
    <w:p w14:paraId="25C7786E" w14:textId="285A091F" w:rsidR="009F2F6E" w:rsidRPr="002948ED" w:rsidRDefault="003B6DC2" w:rsidP="624BAA84">
      <w:pPr>
        <w:spacing w:after="120" w:line="276" w:lineRule="auto"/>
        <w:jc w:val="both"/>
        <w:rPr>
          <w:rStyle w:val="amprcharCharttitle"/>
          <w:rFonts w:asciiTheme="majorHAnsi" w:hAnsiTheme="majorHAnsi"/>
          <w:noProof/>
        </w:rPr>
      </w:pPr>
      <w:r w:rsidRPr="002948ED">
        <w:rPr>
          <w:rStyle w:val="amprcharCharttitle"/>
          <w:rFonts w:asciiTheme="majorHAnsi" w:hAnsiTheme="majorHAnsi"/>
          <w:noProof/>
        </w:rPr>
        <w:t>Graphique </w:t>
      </w:r>
      <w:r w:rsidRPr="002948ED">
        <w:rPr>
          <w:rStyle w:val="amprcharCharttitle"/>
          <w:rFonts w:asciiTheme="majorHAnsi" w:hAnsiTheme="majorHAnsi"/>
          <w:noProof/>
        </w:rPr>
        <w:fldChar w:fldCharType="begin"/>
      </w:r>
      <w:r w:rsidRPr="002948ED">
        <w:rPr>
          <w:rStyle w:val="amprcharCharttitle"/>
          <w:rFonts w:asciiTheme="majorHAnsi" w:hAnsiTheme="majorHAnsi"/>
          <w:noProof/>
        </w:rPr>
        <w:instrText xml:space="preserve"> SEQ Chart \* ARABIC </w:instrText>
      </w:r>
      <w:r w:rsidRPr="002948ED">
        <w:rPr>
          <w:rStyle w:val="amprcharCharttitle"/>
          <w:rFonts w:asciiTheme="majorHAnsi" w:hAnsiTheme="majorHAnsi"/>
          <w:noProof/>
        </w:rPr>
        <w:fldChar w:fldCharType="separate"/>
      </w:r>
      <w:r w:rsidRPr="002948ED">
        <w:rPr>
          <w:rStyle w:val="amprcharCharttitle"/>
          <w:rFonts w:asciiTheme="majorHAnsi" w:hAnsiTheme="majorHAnsi"/>
          <w:noProof/>
        </w:rPr>
        <w:t>2</w:t>
      </w:r>
      <w:r w:rsidRPr="002948ED">
        <w:rPr>
          <w:rStyle w:val="amprcharCharttitle"/>
          <w:rFonts w:asciiTheme="majorHAnsi" w:hAnsiTheme="majorHAnsi"/>
          <w:noProof/>
        </w:rPr>
        <w:fldChar w:fldCharType="end"/>
      </w:r>
      <w:r w:rsidRPr="002948ED">
        <w:rPr>
          <w:rStyle w:val="amprcharCharttitle"/>
          <w:rFonts w:asciiTheme="majorHAnsi" w:hAnsiTheme="majorHAnsi"/>
          <w:noProof/>
        </w:rPr>
        <w:t> — Comparaison entre les prévisions de paiements et les plafonds de paiements du CFP pour la période 2027-2034</w:t>
      </w:r>
    </w:p>
    <w:p w14:paraId="30FE2C46" w14:textId="700A7B7F" w:rsidR="00A16F02" w:rsidRPr="002948ED" w:rsidRDefault="00FF63C8" w:rsidP="00923645">
      <w:pPr>
        <w:spacing w:after="120" w:line="276" w:lineRule="auto"/>
        <w:jc w:val="center"/>
        <w:rPr>
          <w:rFonts w:asciiTheme="majorHAnsi" w:hAnsiTheme="majorHAnsi"/>
          <w:b/>
          <w:bCs/>
          <w:noProof/>
          <w:color w:val="003399" w:themeColor="text2"/>
          <w:spacing w:val="1"/>
        </w:rPr>
      </w:pPr>
      <w:r w:rsidRPr="002948ED">
        <w:rPr>
          <w:noProof/>
          <w:lang w:val="en-GB" w:eastAsia="en-GB"/>
        </w:rPr>
        <w:drawing>
          <wp:inline distT="0" distB="0" distL="0" distR="0" wp14:anchorId="327633F7" wp14:editId="7BB469A9">
            <wp:extent cx="4555331" cy="2743200"/>
            <wp:effectExtent l="0" t="0" r="0" b="0"/>
            <wp:docPr id="792863314" name="Chart 1">
              <a:extLst xmlns:a="http://schemas.openxmlformats.org/drawingml/2006/main">
                <a:ext uri="{FF2B5EF4-FFF2-40B4-BE49-F238E27FC236}">
                  <a16:creationId xmlns:a16="http://schemas.microsoft.com/office/drawing/2014/main" id="{47A9C17C-7E94-44EA-9F91-C7B426B0AA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DEAF549" w14:textId="1BA54A78" w:rsidR="000708A2" w:rsidRPr="002948ED" w:rsidRDefault="000708A2" w:rsidP="000708A2">
      <w:pPr>
        <w:spacing w:before="0" w:after="120" w:line="276" w:lineRule="auto"/>
        <w:jc w:val="both"/>
        <w:rPr>
          <w:noProof/>
        </w:rPr>
      </w:pPr>
    </w:p>
    <w:p w14:paraId="41F116AD" w14:textId="6F21E6BA" w:rsidR="00160CE3" w:rsidRPr="002948ED" w:rsidRDefault="00160CE3" w:rsidP="00160CE3">
      <w:pPr>
        <w:pStyle w:val="amprH3Title2-Numbered-11"/>
        <w:rPr>
          <w:rFonts w:asciiTheme="majorHAnsi" w:hAnsiTheme="majorHAnsi"/>
          <w:noProof/>
        </w:rPr>
      </w:pPr>
      <w:bookmarkStart w:id="20" w:name="_Toc235786433"/>
      <w:bookmarkStart w:id="21" w:name="_Hlk231910861"/>
      <w:r w:rsidRPr="002948ED">
        <w:rPr>
          <w:rFonts w:asciiTheme="majorHAnsi" w:hAnsiTheme="majorHAnsi"/>
          <w:noProof/>
        </w:rPr>
        <w:t>Paiements liés aux engagements du CFP 2021-2027</w:t>
      </w:r>
      <w:bookmarkEnd w:id="20"/>
    </w:p>
    <w:p w14:paraId="568E0E95" w14:textId="7A5A81DA" w:rsidR="00861C1C" w:rsidRPr="002948ED" w:rsidRDefault="003B6DC2">
      <w:pPr>
        <w:spacing w:after="120" w:line="276" w:lineRule="auto"/>
        <w:jc w:val="both"/>
        <w:rPr>
          <w:rFonts w:asciiTheme="majorHAnsi" w:hAnsiTheme="majorHAnsi"/>
          <w:noProof/>
        </w:rPr>
      </w:pPr>
      <w:r w:rsidRPr="002948ED">
        <w:rPr>
          <w:rFonts w:asciiTheme="majorHAnsi" w:hAnsiTheme="majorHAnsi"/>
          <w:noProof/>
        </w:rPr>
        <w:t xml:space="preserve">La politique de cohésion et la politique agricole commune (PAC) représentent plus de la moitié des paiements prévus découlant du CFP 2021-2027. </w:t>
      </w:r>
    </w:p>
    <w:p w14:paraId="22D24D7C" w14:textId="22A47D9A" w:rsidR="00861C1C" w:rsidRPr="002948ED" w:rsidRDefault="003B6DC2">
      <w:pPr>
        <w:pStyle w:val="amprH4Subhead1"/>
        <w:rPr>
          <w:rFonts w:asciiTheme="majorHAnsi" w:hAnsiTheme="majorHAnsi"/>
          <w:noProof/>
        </w:rPr>
      </w:pPr>
      <w:r w:rsidRPr="002948ED">
        <w:rPr>
          <w:rFonts w:asciiTheme="majorHAnsi" w:hAnsiTheme="majorHAnsi"/>
          <w:noProof/>
        </w:rPr>
        <w:t>Rubrique 2a — Politique de cohésion</w:t>
      </w:r>
    </w:p>
    <w:p w14:paraId="1C41DB59" w14:textId="37A144A3" w:rsidR="002C6BBE" w:rsidRPr="002948ED" w:rsidRDefault="00150D53" w:rsidP="457755A8">
      <w:pPr>
        <w:spacing w:after="120" w:line="276" w:lineRule="auto"/>
        <w:jc w:val="both"/>
        <w:rPr>
          <w:rFonts w:asciiTheme="majorHAnsi" w:hAnsiTheme="majorHAnsi"/>
          <w:noProof/>
        </w:rPr>
      </w:pPr>
      <w:bookmarkStart w:id="22" w:name="_Hlk136512092"/>
      <w:r w:rsidRPr="002948ED">
        <w:rPr>
          <w:rFonts w:asciiTheme="majorHAnsi" w:hAnsiTheme="majorHAnsi"/>
          <w:noProof/>
        </w:rPr>
        <w:t>La mise en œuvre des fonds de la politique de cohésion s’accélère par rapport au dernier rapport sur les prévisions de paiement à long terme</w:t>
      </w:r>
      <w:r w:rsidRPr="002948ED">
        <w:rPr>
          <w:rStyle w:val="EndnoteReference"/>
          <w:noProof/>
        </w:rPr>
        <w:endnoteReference w:id="14"/>
      </w:r>
      <w:r w:rsidRPr="002948ED">
        <w:rPr>
          <w:rFonts w:asciiTheme="majorHAnsi" w:hAnsiTheme="majorHAnsi"/>
          <w:noProof/>
        </w:rPr>
        <w:t>. Le renforcement de la politique de cohésion en 2026</w:t>
      </w:r>
      <w:r w:rsidRPr="002948ED">
        <w:rPr>
          <w:rStyle w:val="EndnoteReference"/>
          <w:noProof/>
        </w:rPr>
        <w:endnoteReference w:id="15"/>
      </w:r>
      <w:r w:rsidRPr="002948ED">
        <w:rPr>
          <w:rFonts w:asciiTheme="majorHAnsi" w:hAnsiTheme="majorHAnsi"/>
          <w:noProof/>
        </w:rPr>
        <w:t xml:space="preserve"> (3,4 milliards d’EUR pour le Fonds européen de développement régional, 0,6 milliard d’EUR pour le Fonds de cohésion, 1,4 milliard d’EUR pour le Fonds social européen plus) nécessite un financement supplémentaire pour couvrir les demandes de paiement plus élevées.</w:t>
      </w:r>
    </w:p>
    <w:p w14:paraId="414274AC" w14:textId="09E7335F" w:rsidR="00ED713C" w:rsidRPr="002948ED" w:rsidRDefault="002C6BBE" w:rsidP="00ED713C">
      <w:pPr>
        <w:spacing w:after="120" w:line="276" w:lineRule="auto"/>
        <w:jc w:val="both"/>
        <w:rPr>
          <w:rFonts w:asciiTheme="majorHAnsi" w:hAnsiTheme="majorHAnsi"/>
          <w:noProof/>
          <w:spacing w:val="-4"/>
        </w:rPr>
      </w:pPr>
      <w:r w:rsidRPr="002948ED">
        <w:rPr>
          <w:rFonts w:asciiTheme="majorHAnsi" w:hAnsiTheme="majorHAnsi"/>
          <w:noProof/>
        </w:rPr>
        <w:t>Cette accélération résulte du fait que les États membres ont présenté en 2025 des demandes de paiement bien au-delà de la règle de dégagement N+3, sous l’effet des flexibilités et des incitations financières accordées aux États membres dans le cadre de l’examen à mi-parcours de la politique de cohésion et du règlement établissant la plateforme «Technologies stratégiques pour l’Europe» (STEP). Cela a accru la pression sur le budget 2026 (comme le reflète la proposition de projet de budget rectificatif nº 2/2026). Cette accélération devrait se poursuivre en 2027 et 2028. Les prévisions pour 2027 et 2028 partent du principe que la présentation des demandes de paiement serait conforme au profil historique dans les années à venir, ce qui entraînerait le décaissement d’environ 18 % des dotations des fonds en 2027 et d’environ 50 % du total des dotations à verser à partir de 2028.</w:t>
      </w:r>
    </w:p>
    <w:p w14:paraId="5B5D7E13" w14:textId="3909E79F" w:rsidR="00861C1C" w:rsidRPr="002948ED" w:rsidRDefault="2A67BF04">
      <w:pPr>
        <w:pStyle w:val="amprH4Subhead1"/>
        <w:rPr>
          <w:rFonts w:asciiTheme="majorHAnsi" w:hAnsiTheme="majorHAnsi"/>
          <w:noProof/>
        </w:rPr>
      </w:pPr>
      <w:r w:rsidRPr="002948ED">
        <w:rPr>
          <w:rFonts w:asciiTheme="majorHAnsi" w:hAnsiTheme="majorHAnsi"/>
          <w:noProof/>
        </w:rPr>
        <w:t xml:space="preserve">Rubrique 3 — Politique agricole commune et Fonds pour une transition juste </w:t>
      </w:r>
    </w:p>
    <w:p w14:paraId="2CBA95BD" w14:textId="61B2DE33" w:rsidR="00861C1C" w:rsidRPr="002948ED" w:rsidRDefault="2A67BF04">
      <w:pPr>
        <w:spacing w:after="120" w:line="276" w:lineRule="auto"/>
        <w:jc w:val="both"/>
        <w:rPr>
          <w:rFonts w:asciiTheme="majorHAnsi" w:hAnsiTheme="majorHAnsi"/>
          <w:noProof/>
        </w:rPr>
      </w:pPr>
      <w:r w:rsidRPr="002948ED">
        <w:rPr>
          <w:rFonts w:asciiTheme="majorHAnsi" w:hAnsiTheme="majorHAnsi"/>
          <w:noProof/>
        </w:rPr>
        <w:t>Les prévisions de paiements pour le premier pilier de la PAC, à savoir les dépenses liées au marché et les paiements directs, s’élèvent à</w:t>
      </w:r>
      <w:r w:rsidRPr="002948ED">
        <w:rPr>
          <w:rFonts w:ascii="Calibri" w:hAnsi="Calibri"/>
          <w:noProof/>
        </w:rPr>
        <w:t xml:space="preserve"> </w:t>
      </w:r>
      <w:r w:rsidRPr="002948ED">
        <w:rPr>
          <w:rFonts w:asciiTheme="majorHAnsi" w:hAnsiTheme="majorHAnsi"/>
          <w:noProof/>
        </w:rPr>
        <w:t>40,6</w:t>
      </w:r>
      <w:r w:rsidRPr="002948ED">
        <w:rPr>
          <w:rFonts w:ascii="Calibri" w:hAnsi="Calibri"/>
          <w:noProof/>
        </w:rPr>
        <w:t> </w:t>
      </w:r>
      <w:r w:rsidRPr="002948ED">
        <w:rPr>
          <w:rFonts w:asciiTheme="majorHAnsi" w:hAnsiTheme="majorHAnsi"/>
          <w:noProof/>
        </w:rPr>
        <w:t>milliards d’EUR en 2027, ce qui correspond au tout dernier projet de budget.</w:t>
      </w:r>
    </w:p>
    <w:p w14:paraId="0D0F50A6" w14:textId="32577DE5" w:rsidR="00861C1C" w:rsidRPr="002948ED" w:rsidRDefault="00122108" w:rsidP="00614792">
      <w:pPr>
        <w:spacing w:after="120" w:line="276" w:lineRule="auto"/>
        <w:jc w:val="both"/>
        <w:rPr>
          <w:rFonts w:asciiTheme="majorHAnsi" w:hAnsiTheme="majorHAnsi"/>
          <w:noProof/>
        </w:rPr>
      </w:pPr>
      <w:r w:rsidRPr="002948ED">
        <w:rPr>
          <w:rFonts w:asciiTheme="majorHAnsi" w:hAnsiTheme="majorHAnsi"/>
          <w:noProof/>
        </w:rPr>
        <w:t>La mise en œuvre du pilier II dans le cadre des plans stratégiques relevant de la PAC, le Fonds européen agricole pour le développement rural (Feader), a débuté en 2023. Les dispositions transitoires prolongeant les programmes 2014-2020 jusqu’en 2022 afin de permettre la poursuite de leur mise en œuvre au titre de la règle N+3, ont accordé une année supplémentaire pour achever les paiements par rapport aux règles applicables aux plans stratégiques relevant de la PAC 2023-2027, qui sont soumis à la règle N+2.</w:t>
      </w:r>
    </w:p>
    <w:p w14:paraId="08273A86" w14:textId="67ED7148" w:rsidR="00614792" w:rsidRPr="002948ED" w:rsidRDefault="00614792" w:rsidP="00614792">
      <w:pPr>
        <w:spacing w:after="120" w:line="276" w:lineRule="auto"/>
        <w:jc w:val="both"/>
        <w:rPr>
          <w:rFonts w:asciiTheme="majorHAnsi" w:hAnsiTheme="majorHAnsi"/>
          <w:noProof/>
        </w:rPr>
      </w:pPr>
      <w:r w:rsidRPr="002948ED">
        <w:rPr>
          <w:rFonts w:asciiTheme="majorHAnsi" w:hAnsiTheme="majorHAnsi"/>
          <w:noProof/>
        </w:rPr>
        <w:t>Les prévisions de paiements découlant du CFP 2021-2027 intègrent les paiements des plans stratégiques relevant de la PAC 2023-2027 ainsi que les paiements réalisés dans le cadre de la prorogation des programmes de développement rural en 2021 et 2022, qui seront achevés d’ici 2027. Les prévisions tiennent également compte des transferts, notifiés par les États membres</w:t>
      </w:r>
      <w:r w:rsidRPr="002948ED">
        <w:rPr>
          <w:rStyle w:val="EndnoteReference"/>
          <w:noProof/>
        </w:rPr>
        <w:endnoteReference w:id="16"/>
      </w:r>
      <w:r w:rsidRPr="002948ED">
        <w:rPr>
          <w:rFonts w:asciiTheme="majorHAnsi" w:hAnsiTheme="majorHAnsi"/>
          <w:noProof/>
        </w:rPr>
        <w:t>, entre les différents piliers de la PAC, qui ont donné lieu à un transfert net de 5,5 milliards d’EUR du pilier I (Fonds européen agricole de garantie, ou FEAGA) vers le pilier II (Feader) pour les années 2023 à 2027.</w:t>
      </w:r>
    </w:p>
    <w:p w14:paraId="618CF04E" w14:textId="286F8CF5" w:rsidR="008114E5" w:rsidRPr="002948ED" w:rsidRDefault="008114E5" w:rsidP="008114E5">
      <w:pPr>
        <w:spacing w:after="120" w:line="276" w:lineRule="auto"/>
        <w:jc w:val="both"/>
        <w:rPr>
          <w:rFonts w:asciiTheme="majorHAnsi" w:hAnsiTheme="majorHAnsi"/>
          <w:noProof/>
        </w:rPr>
      </w:pPr>
      <w:r w:rsidRPr="002948ED">
        <w:rPr>
          <w:rFonts w:asciiTheme="majorHAnsi" w:hAnsiTheme="majorHAnsi"/>
          <w:noProof/>
        </w:rPr>
        <w:t>La mise en œuvre des plans relevant de la PAC 2023-2027 devrait atteindre son pic en 2028, avec des paiements plus faibles en 2029 et plus tard en 2030, avec une clôture prévue en 2031. L’achèvement du programme opérationnel de développement rural 2014-2022 et les derniers paiements devraient intervenir en 2027.</w:t>
      </w:r>
    </w:p>
    <w:p w14:paraId="0005D92E" w14:textId="2F2694AB" w:rsidR="348A84CE" w:rsidRPr="002948ED" w:rsidRDefault="008114E5" w:rsidP="23B06DA2">
      <w:pPr>
        <w:spacing w:after="120" w:line="276" w:lineRule="auto"/>
        <w:jc w:val="both"/>
        <w:rPr>
          <w:rFonts w:asciiTheme="majorHAnsi" w:hAnsiTheme="majorHAnsi"/>
          <w:noProof/>
        </w:rPr>
      </w:pPr>
      <w:r w:rsidRPr="002948ED">
        <w:rPr>
          <w:rFonts w:asciiTheme="majorHAnsi" w:hAnsiTheme="majorHAnsi"/>
          <w:noProof/>
        </w:rPr>
        <w:t>En ce qui concerne le Fonds pour une transition juste, les paiements effectués jusqu’à présent ont été principalement financés au titre de son volet NextGenerationEU, qui sera utilisé jusqu’à la fin de 2026, conformément aux délais légaux. Les premiers paiements substantiels au titre du volet CFP sont attendus à partir de 2026.</w:t>
      </w:r>
    </w:p>
    <w:bookmarkEnd w:id="22"/>
    <w:p w14:paraId="770AE79D" w14:textId="77777777" w:rsidR="00861C1C" w:rsidRPr="002948ED" w:rsidRDefault="003B6DC2" w:rsidP="0050317D">
      <w:pPr>
        <w:pStyle w:val="amprH4Subhead1"/>
        <w:spacing w:before="400"/>
        <w:rPr>
          <w:rFonts w:asciiTheme="majorHAnsi" w:hAnsiTheme="majorHAnsi"/>
          <w:noProof/>
        </w:rPr>
      </w:pPr>
      <w:r w:rsidRPr="002948ED">
        <w:rPr>
          <w:rFonts w:asciiTheme="majorHAnsi" w:hAnsiTheme="majorHAnsi"/>
          <w:noProof/>
        </w:rPr>
        <w:t>Autres programmes et rubriques</w:t>
      </w:r>
    </w:p>
    <w:p w14:paraId="4B149E6B" w14:textId="6E47C82F" w:rsidR="008472CD" w:rsidRPr="002948ED" w:rsidRDefault="009F1598" w:rsidP="217EDCC6">
      <w:pPr>
        <w:spacing w:before="0" w:after="120" w:line="276" w:lineRule="auto"/>
        <w:jc w:val="both"/>
        <w:rPr>
          <w:rFonts w:asciiTheme="majorHAnsi" w:hAnsiTheme="majorHAnsi"/>
          <w:noProof/>
        </w:rPr>
      </w:pPr>
      <w:r w:rsidRPr="002948ED">
        <w:rPr>
          <w:rFonts w:asciiTheme="majorHAnsi" w:hAnsiTheme="majorHAnsi"/>
          <w:noProof/>
        </w:rPr>
        <w:t xml:space="preserve">La réserve pour l’Ukraine, instrument spécial qui mobilise un soutien aux dépenses au-delà des plafonds de dépenses du CFP pour la période 2024-2027, devrait clôturer la plupart des paiements d’ici à la fin de 2027. </w:t>
      </w:r>
      <w:r w:rsidRPr="002948ED">
        <w:rPr>
          <w:noProof/>
        </w:rPr>
        <w:t xml:space="preserve">De plus, </w:t>
      </w:r>
      <w:r w:rsidRPr="002948ED">
        <w:rPr>
          <w:rFonts w:asciiTheme="majorHAnsi" w:hAnsiTheme="majorHAnsi"/>
          <w:noProof/>
        </w:rPr>
        <w:t>0,9</w:t>
      </w:r>
      <w:r w:rsidRPr="002948ED">
        <w:rPr>
          <w:rFonts w:ascii="Calibri" w:hAnsi="Calibri"/>
          <w:noProof/>
        </w:rPr>
        <w:t> </w:t>
      </w:r>
      <w:r w:rsidRPr="002948ED">
        <w:rPr>
          <w:rFonts w:asciiTheme="majorHAnsi" w:hAnsiTheme="majorHAnsi"/>
          <w:noProof/>
        </w:rPr>
        <w:t>milliard d’EUR seraient couverts dans le CFP 2028-2034 en tant que paiements sur les engagements restant à liquider.</w:t>
      </w:r>
    </w:p>
    <w:p w14:paraId="4EEC229D" w14:textId="77777777" w:rsidR="009E4500" w:rsidRPr="002948ED" w:rsidRDefault="009E4500" w:rsidP="009E4500">
      <w:pPr>
        <w:pStyle w:val="amprH3Title2-Numbered-11"/>
        <w:rPr>
          <w:rFonts w:asciiTheme="majorHAnsi" w:hAnsiTheme="majorHAnsi"/>
          <w:noProof/>
        </w:rPr>
      </w:pPr>
      <w:bookmarkStart w:id="23" w:name="_Toc235786434"/>
      <w:r w:rsidRPr="002948ED">
        <w:rPr>
          <w:rFonts w:asciiTheme="majorHAnsi" w:hAnsiTheme="majorHAnsi"/>
          <w:noProof/>
        </w:rPr>
        <w:t>Paiements liés aux engagements du CFP 2028-2034</w:t>
      </w:r>
      <w:bookmarkEnd w:id="23"/>
    </w:p>
    <w:p w14:paraId="53F8D300" w14:textId="77777777" w:rsidR="009E4500" w:rsidRPr="002948ED" w:rsidRDefault="009E4500" w:rsidP="009E4500">
      <w:pPr>
        <w:spacing w:after="120" w:line="276" w:lineRule="auto"/>
        <w:jc w:val="both"/>
        <w:rPr>
          <w:rFonts w:asciiTheme="majorHAnsi" w:hAnsiTheme="majorHAnsi"/>
          <w:noProof/>
          <w:spacing w:val="-4"/>
        </w:rPr>
      </w:pPr>
      <w:r w:rsidRPr="002948ED">
        <w:rPr>
          <w:rFonts w:asciiTheme="majorHAnsi" w:hAnsiTheme="majorHAnsi"/>
          <w:noProof/>
        </w:rPr>
        <w:t>Les paiements pour le CFP 2028-2034 devraient s’élever à</w:t>
      </w:r>
      <w:r w:rsidRPr="002948ED">
        <w:rPr>
          <w:rFonts w:ascii="Calibri" w:hAnsi="Calibri"/>
          <w:b/>
          <w:noProof/>
        </w:rPr>
        <w:t xml:space="preserve"> </w:t>
      </w:r>
      <w:r w:rsidRPr="002948ED">
        <w:rPr>
          <w:rFonts w:asciiTheme="majorHAnsi" w:hAnsiTheme="majorHAnsi"/>
          <w:b/>
          <w:noProof/>
        </w:rPr>
        <w:t>1</w:t>
      </w:r>
      <w:r w:rsidRPr="002948ED">
        <w:rPr>
          <w:rFonts w:ascii="Calibri" w:hAnsi="Calibri"/>
          <w:b/>
          <w:noProof/>
        </w:rPr>
        <w:t> </w:t>
      </w:r>
      <w:r w:rsidRPr="002948ED">
        <w:rPr>
          <w:rFonts w:asciiTheme="majorHAnsi" w:hAnsiTheme="majorHAnsi"/>
          <w:b/>
          <w:noProof/>
        </w:rPr>
        <w:t>641</w:t>
      </w:r>
      <w:r w:rsidRPr="002948ED">
        <w:rPr>
          <w:rFonts w:ascii="Calibri" w:hAnsi="Calibri"/>
          <w:b/>
          <w:noProof/>
        </w:rPr>
        <w:t> </w:t>
      </w:r>
      <w:r w:rsidRPr="002948ED">
        <w:rPr>
          <w:rFonts w:asciiTheme="majorHAnsi" w:hAnsiTheme="majorHAnsi"/>
          <w:b/>
          <w:noProof/>
        </w:rPr>
        <w:t>milliards d’EUR</w:t>
      </w:r>
      <w:r w:rsidRPr="002948ED">
        <w:rPr>
          <w:rFonts w:asciiTheme="majorHAnsi" w:hAnsiTheme="majorHAnsi"/>
          <w:noProof/>
        </w:rPr>
        <w:t xml:space="preserve"> sur la période, couvrant plus de </w:t>
      </w:r>
      <w:r w:rsidRPr="002948ED">
        <w:rPr>
          <w:rFonts w:asciiTheme="majorHAnsi" w:hAnsiTheme="majorHAnsi"/>
          <w:b/>
          <w:noProof/>
        </w:rPr>
        <w:t>80 %</w:t>
      </w:r>
      <w:r w:rsidRPr="002948ED">
        <w:rPr>
          <w:rFonts w:asciiTheme="majorHAnsi" w:hAnsiTheme="majorHAnsi"/>
          <w:noProof/>
        </w:rPr>
        <w:t xml:space="preserve"> du CFP. Compte tenu du fait que les négociations sur le prochain CFP sont en cours, les données présentées dans la section reposent sur la proposition de la Commission de juillet 2025 et sont, en tant que telles, les mêmes que dans le rapport de l’année dernière. </w:t>
      </w:r>
    </w:p>
    <w:p w14:paraId="0BC38B68" w14:textId="77777777" w:rsidR="009E4500" w:rsidRPr="002948ED" w:rsidRDefault="009E4500" w:rsidP="009E4500">
      <w:pPr>
        <w:pStyle w:val="amprH4Subhead1"/>
        <w:rPr>
          <w:rFonts w:asciiTheme="majorHAnsi" w:hAnsiTheme="majorHAnsi"/>
          <w:noProof/>
        </w:rPr>
      </w:pPr>
      <w:r w:rsidRPr="002948ED">
        <w:rPr>
          <w:rFonts w:asciiTheme="majorHAnsi" w:hAnsiTheme="majorHAnsi"/>
          <w:noProof/>
        </w:rPr>
        <w:t>Rubrique 1 — Cohésion économique, sociale et territoriale, agriculture, prospérité et sécurité rurales et maritimes</w:t>
      </w:r>
    </w:p>
    <w:p w14:paraId="67C7D78A" w14:textId="429D2749" w:rsidR="009E4500" w:rsidRPr="002948ED" w:rsidRDefault="009E4500" w:rsidP="009E4500">
      <w:pPr>
        <w:spacing w:after="120" w:line="276" w:lineRule="auto"/>
        <w:jc w:val="both"/>
        <w:rPr>
          <w:rFonts w:asciiTheme="majorHAnsi" w:hAnsiTheme="majorHAnsi"/>
          <w:noProof/>
        </w:rPr>
      </w:pPr>
      <w:r w:rsidRPr="002948ED">
        <w:rPr>
          <w:rFonts w:asciiTheme="majorHAnsi" w:hAnsiTheme="majorHAnsi"/>
          <w:noProof/>
        </w:rPr>
        <w:t xml:space="preserve">Les plans de partenariat nationaux et régionaux seront le principal moteur du profil des paiements dans le CFP 2028-2034 avec des prévisions de paiements s’élevant au total à </w:t>
      </w:r>
      <w:r w:rsidRPr="002948ED">
        <w:rPr>
          <w:rFonts w:asciiTheme="majorHAnsi" w:hAnsiTheme="majorHAnsi"/>
          <w:b/>
          <w:noProof/>
        </w:rPr>
        <w:t>965</w:t>
      </w:r>
      <w:r w:rsidRPr="002948ED">
        <w:rPr>
          <w:rFonts w:ascii="Calibri" w:hAnsi="Calibri"/>
          <w:b/>
          <w:noProof/>
        </w:rPr>
        <w:t> </w:t>
      </w:r>
      <w:r w:rsidRPr="002948ED">
        <w:rPr>
          <w:rFonts w:asciiTheme="majorHAnsi" w:hAnsiTheme="majorHAnsi"/>
          <w:b/>
          <w:noProof/>
        </w:rPr>
        <w:t>milliards d’EUR</w:t>
      </w:r>
      <w:r w:rsidRPr="002948ED">
        <w:rPr>
          <w:rFonts w:asciiTheme="majorHAnsi" w:hAnsiTheme="majorHAnsi"/>
          <w:noProof/>
        </w:rPr>
        <w:t xml:space="preserve"> pour l’ensemble de cette rubrique. </w:t>
      </w:r>
    </w:p>
    <w:p w14:paraId="78A4C343" w14:textId="77777777" w:rsidR="009E4500" w:rsidRPr="002948ED" w:rsidRDefault="009E4500" w:rsidP="009E4500">
      <w:pPr>
        <w:spacing w:after="120" w:line="276" w:lineRule="auto"/>
        <w:jc w:val="both"/>
        <w:rPr>
          <w:rFonts w:asciiTheme="majorHAnsi" w:hAnsiTheme="majorHAnsi"/>
          <w:noProof/>
        </w:rPr>
      </w:pPr>
      <w:r w:rsidRPr="002948ED">
        <w:rPr>
          <w:rFonts w:asciiTheme="majorHAnsi" w:hAnsiTheme="majorHAnsi"/>
          <w:noProof/>
        </w:rPr>
        <w:t>À partir de 2028, l’UE devrait commencer à rembourser la dette émise au titre de NextGenerationEU. Pour le CFP 2028-2034, la Commission propose un montant fixe de</w:t>
      </w:r>
      <w:r w:rsidRPr="002948ED">
        <w:rPr>
          <w:rFonts w:ascii="Calibri" w:hAnsi="Calibri"/>
          <w:noProof/>
        </w:rPr>
        <w:t xml:space="preserve"> </w:t>
      </w:r>
      <w:r w:rsidRPr="002948ED">
        <w:rPr>
          <w:rFonts w:asciiTheme="majorHAnsi" w:hAnsiTheme="majorHAnsi"/>
          <w:noProof/>
        </w:rPr>
        <w:t>24</w:t>
      </w:r>
      <w:r w:rsidRPr="002948ED">
        <w:rPr>
          <w:rFonts w:ascii="Calibri" w:hAnsi="Calibri"/>
          <w:noProof/>
        </w:rPr>
        <w:t> </w:t>
      </w:r>
      <w:r w:rsidRPr="002948ED">
        <w:rPr>
          <w:rFonts w:asciiTheme="majorHAnsi" w:hAnsiTheme="majorHAnsi"/>
          <w:noProof/>
        </w:rPr>
        <w:t xml:space="preserve">milliards d’EUR par an en prix courants pour le remboursement des intérêts et du capital du soutien non remboursable fourni au titre de NextGenerationEU. Cela représente un montant total de </w:t>
      </w:r>
      <w:r w:rsidRPr="002948ED">
        <w:rPr>
          <w:rFonts w:asciiTheme="majorHAnsi" w:hAnsiTheme="majorHAnsi"/>
          <w:b/>
          <w:bCs/>
          <w:noProof/>
        </w:rPr>
        <w:t>168 milliards d’EUR</w:t>
      </w:r>
      <w:r w:rsidRPr="002948ED">
        <w:rPr>
          <w:rFonts w:asciiTheme="majorHAnsi" w:hAnsiTheme="majorHAnsi"/>
          <w:noProof/>
        </w:rPr>
        <w:t xml:space="preserve"> pour la période 2028-2034. </w:t>
      </w:r>
    </w:p>
    <w:p w14:paraId="63E3E463" w14:textId="77777777" w:rsidR="009E4500" w:rsidRPr="002948ED" w:rsidRDefault="009E4500" w:rsidP="009E4500">
      <w:pPr>
        <w:spacing w:after="120" w:line="276" w:lineRule="auto"/>
        <w:jc w:val="both"/>
        <w:rPr>
          <w:rFonts w:asciiTheme="majorHAnsi" w:hAnsiTheme="majorHAnsi"/>
          <w:noProof/>
        </w:rPr>
      </w:pPr>
      <w:r w:rsidRPr="002948ED">
        <w:rPr>
          <w:rFonts w:asciiTheme="majorHAnsi" w:hAnsiTheme="majorHAnsi"/>
          <w:noProof/>
        </w:rPr>
        <w:t>Les paiements restants au titre de cette rubrique sont principalement destinés aux agences décentralisées (telles que Frontex et Europol), pour lesquelles les paiements de l’UE sont effectués intégralement au cours de la même année que celle de l’engagement de la subvention accordée à l’agence.</w:t>
      </w:r>
    </w:p>
    <w:p w14:paraId="38BD9E54" w14:textId="77777777" w:rsidR="009E4500" w:rsidRPr="002948ED" w:rsidRDefault="009E4500" w:rsidP="009E4500">
      <w:pPr>
        <w:pStyle w:val="amprH4Subhead1"/>
        <w:rPr>
          <w:rFonts w:asciiTheme="majorHAnsi" w:hAnsiTheme="majorHAnsi"/>
          <w:noProof/>
        </w:rPr>
      </w:pPr>
      <w:r w:rsidRPr="002948ED">
        <w:rPr>
          <w:rFonts w:asciiTheme="majorHAnsi" w:hAnsiTheme="majorHAnsi"/>
          <w:noProof/>
        </w:rPr>
        <w:t>Rubrique 2 — Compétitivité, prospérité et sécurité</w:t>
      </w:r>
    </w:p>
    <w:p w14:paraId="5D6FD9BA" w14:textId="77777777" w:rsidR="009E4500" w:rsidRPr="002948ED" w:rsidRDefault="009E4500" w:rsidP="009E4500">
      <w:pPr>
        <w:spacing w:after="120" w:line="276" w:lineRule="auto"/>
        <w:jc w:val="both"/>
        <w:rPr>
          <w:rFonts w:asciiTheme="majorHAnsi" w:hAnsiTheme="majorHAnsi"/>
          <w:noProof/>
        </w:rPr>
      </w:pPr>
      <w:r w:rsidRPr="002948ED">
        <w:rPr>
          <w:rFonts w:asciiTheme="majorHAnsi" w:hAnsiTheme="majorHAnsi"/>
          <w:noProof/>
        </w:rPr>
        <w:t>Les paiements au titre de la rubrique 2 s’élèvent à</w:t>
      </w:r>
      <w:r w:rsidRPr="002948ED">
        <w:rPr>
          <w:rFonts w:ascii="Calibri" w:hAnsi="Calibri"/>
          <w:b/>
          <w:noProof/>
        </w:rPr>
        <w:t xml:space="preserve"> </w:t>
      </w:r>
      <w:r w:rsidRPr="002948ED">
        <w:rPr>
          <w:rFonts w:asciiTheme="majorHAnsi" w:hAnsiTheme="majorHAnsi"/>
          <w:b/>
          <w:noProof/>
        </w:rPr>
        <w:t>424</w:t>
      </w:r>
      <w:r w:rsidRPr="002948ED">
        <w:rPr>
          <w:rFonts w:ascii="Calibri" w:hAnsi="Calibri"/>
          <w:b/>
          <w:noProof/>
        </w:rPr>
        <w:t> </w:t>
      </w:r>
      <w:r w:rsidRPr="002948ED">
        <w:rPr>
          <w:rFonts w:asciiTheme="majorHAnsi" w:hAnsiTheme="majorHAnsi"/>
          <w:b/>
          <w:noProof/>
        </w:rPr>
        <w:t>milliards d’EUR</w:t>
      </w:r>
      <w:r w:rsidRPr="002948ED">
        <w:rPr>
          <w:rFonts w:asciiTheme="majorHAnsi" w:hAnsiTheme="majorHAnsi"/>
          <w:noProof/>
        </w:rPr>
        <w:t>. Les paiements sont principalement assurés par le Fonds européen pour la compétitivité et par Horizon Europe.</w:t>
      </w:r>
    </w:p>
    <w:p w14:paraId="27008CEA" w14:textId="77777777" w:rsidR="009E4500" w:rsidRPr="002948ED" w:rsidRDefault="009E4500" w:rsidP="009E4500">
      <w:pPr>
        <w:pStyle w:val="amprH4Subhead1"/>
        <w:rPr>
          <w:rFonts w:asciiTheme="majorHAnsi" w:hAnsiTheme="majorHAnsi"/>
          <w:noProof/>
        </w:rPr>
      </w:pPr>
      <w:r w:rsidRPr="002948ED">
        <w:rPr>
          <w:rFonts w:asciiTheme="majorHAnsi" w:hAnsiTheme="majorHAnsi"/>
          <w:noProof/>
        </w:rPr>
        <w:t>Rubrique 3 — L’Europe dans le monde</w:t>
      </w:r>
    </w:p>
    <w:p w14:paraId="5B2AA667" w14:textId="68F38732" w:rsidR="009E4500" w:rsidRPr="002948ED" w:rsidRDefault="009E4500" w:rsidP="009E4500">
      <w:pPr>
        <w:spacing w:after="120" w:line="276" w:lineRule="auto"/>
        <w:jc w:val="both"/>
        <w:rPr>
          <w:rFonts w:asciiTheme="majorHAnsi" w:hAnsiTheme="majorHAnsi"/>
          <w:noProof/>
        </w:rPr>
      </w:pPr>
      <w:r w:rsidRPr="002948ED">
        <w:rPr>
          <w:rFonts w:asciiTheme="majorHAnsi" w:hAnsiTheme="majorHAnsi"/>
          <w:noProof/>
        </w:rPr>
        <w:t>Les paiements au titre de la rubrique 3 s’élèvent à</w:t>
      </w:r>
      <w:r w:rsidRPr="002948ED">
        <w:rPr>
          <w:rFonts w:ascii="Calibri" w:hAnsi="Calibri"/>
          <w:noProof/>
        </w:rPr>
        <w:t xml:space="preserve"> </w:t>
      </w:r>
      <w:r w:rsidRPr="002948ED">
        <w:rPr>
          <w:rFonts w:asciiTheme="majorHAnsi" w:hAnsiTheme="majorHAnsi"/>
          <w:b/>
          <w:noProof/>
        </w:rPr>
        <w:t>135</w:t>
      </w:r>
      <w:r w:rsidRPr="002948ED">
        <w:rPr>
          <w:rFonts w:ascii="Calibri" w:hAnsi="Calibri"/>
          <w:b/>
          <w:noProof/>
        </w:rPr>
        <w:t> </w:t>
      </w:r>
      <w:r w:rsidRPr="002948ED">
        <w:rPr>
          <w:rFonts w:asciiTheme="majorHAnsi" w:hAnsiTheme="majorHAnsi"/>
          <w:b/>
          <w:noProof/>
        </w:rPr>
        <w:t>milliards d’EUR</w:t>
      </w:r>
      <w:r w:rsidRPr="002948ED">
        <w:rPr>
          <w:rFonts w:asciiTheme="majorHAnsi" w:hAnsiTheme="majorHAnsi"/>
          <w:noProof/>
        </w:rPr>
        <w:t xml:space="preserve">. Les paiements sont principalement effectués par </w:t>
      </w:r>
      <w:r w:rsidR="00FF63C8" w:rsidRPr="002948ED">
        <w:rPr>
          <w:rFonts w:asciiTheme="majorHAnsi" w:hAnsiTheme="majorHAnsi"/>
          <w:noProof/>
        </w:rPr>
        <w:t xml:space="preserve">l’intermédiaire de </w:t>
      </w:r>
      <w:r w:rsidRPr="002948ED">
        <w:rPr>
          <w:rFonts w:asciiTheme="majorHAnsi" w:hAnsiTheme="majorHAnsi"/>
          <w:noProof/>
        </w:rPr>
        <w:t>l’</w:t>
      </w:r>
      <w:r w:rsidR="00FF63C8" w:rsidRPr="002948ED">
        <w:rPr>
          <w:rFonts w:asciiTheme="majorHAnsi" w:hAnsiTheme="majorHAnsi"/>
          <w:noProof/>
        </w:rPr>
        <w:t>instrument «</w:t>
      </w:r>
      <w:r w:rsidRPr="002948ED">
        <w:rPr>
          <w:rFonts w:asciiTheme="majorHAnsi" w:hAnsiTheme="majorHAnsi"/>
          <w:noProof/>
        </w:rPr>
        <w:t>Europe dans le monde</w:t>
      </w:r>
      <w:r w:rsidR="00FF63C8" w:rsidRPr="002948ED">
        <w:rPr>
          <w:rFonts w:cs="EC Square Sans Pro"/>
          <w:noProof/>
        </w:rPr>
        <w:t>»</w:t>
      </w:r>
      <w:r w:rsidRPr="002948ED">
        <w:rPr>
          <w:rFonts w:asciiTheme="majorHAnsi" w:hAnsiTheme="majorHAnsi"/>
          <w:noProof/>
        </w:rPr>
        <w:t xml:space="preserve">. </w:t>
      </w:r>
    </w:p>
    <w:p w14:paraId="0E3E9C81" w14:textId="77777777" w:rsidR="009E4500" w:rsidRPr="002948ED" w:rsidRDefault="009E4500" w:rsidP="009E4500">
      <w:pPr>
        <w:pStyle w:val="amprH4Subhead1"/>
        <w:rPr>
          <w:rFonts w:asciiTheme="majorHAnsi" w:hAnsiTheme="majorHAnsi"/>
          <w:noProof/>
        </w:rPr>
      </w:pPr>
      <w:r w:rsidRPr="002948ED">
        <w:rPr>
          <w:rFonts w:asciiTheme="majorHAnsi" w:hAnsiTheme="majorHAnsi"/>
          <w:noProof/>
        </w:rPr>
        <w:t>Instruments spéciaux</w:t>
      </w:r>
    </w:p>
    <w:p w14:paraId="1306C799" w14:textId="77777777" w:rsidR="009E4500" w:rsidRPr="002948ED" w:rsidRDefault="009E4500" w:rsidP="009E4500">
      <w:pPr>
        <w:spacing w:after="120" w:line="276" w:lineRule="auto"/>
        <w:jc w:val="both"/>
        <w:rPr>
          <w:noProof/>
        </w:rPr>
      </w:pPr>
      <w:r w:rsidRPr="002948ED">
        <w:rPr>
          <w:noProof/>
        </w:rPr>
        <w:t>Les instruments spéciaux relèvent de deux catégories:</w:t>
      </w:r>
    </w:p>
    <w:p w14:paraId="0623FE0B" w14:textId="55F3AC1B" w:rsidR="009E4500" w:rsidRPr="002948ED" w:rsidRDefault="009E4500" w:rsidP="009E4500">
      <w:pPr>
        <w:spacing w:before="0" w:after="120" w:line="276" w:lineRule="auto"/>
        <w:jc w:val="both"/>
        <w:rPr>
          <w:noProof/>
        </w:rPr>
      </w:pPr>
      <w:r w:rsidRPr="002948ED">
        <w:rPr>
          <w:b/>
          <w:bCs/>
          <w:noProof/>
        </w:rPr>
        <w:t>Instrument thématique (Ukraine)</w:t>
      </w:r>
      <w:r w:rsidRPr="002948ED">
        <w:rPr>
          <w:noProof/>
        </w:rPr>
        <w:t> — La réserve pour l’Ukraine sera un instrument spécial thématique (100</w:t>
      </w:r>
      <w:r w:rsidRPr="002948ED">
        <w:rPr>
          <w:rFonts w:ascii="Calibri" w:hAnsi="Calibri"/>
          <w:noProof/>
        </w:rPr>
        <w:t> </w:t>
      </w:r>
      <w:r w:rsidRPr="002948ED">
        <w:rPr>
          <w:noProof/>
        </w:rPr>
        <w:t>milliards d’EUR) pour permettre à l’Union de financer les efforts de redressement et de reconstruction de l’Ukraine et de soutenir le pays sur la voie de l’adhésion au moyen de l’aide de préadhésion. Tout le soutien à l’Ukraine sera acheminé et mis en œuvre par l’intermédiaire de l'instrument «Europe dans le monde». Le règlement CFP prévoit que le montant annuel mobilisé au titre de la réserve pour l’Ukraine au cours d’une année donnée ne dépasse pas 13,5 milliards d’EUR aux prix de 2025. Le 24 février 2026, un règlement</w:t>
      </w:r>
      <w:r w:rsidRPr="002948ED">
        <w:rPr>
          <w:rStyle w:val="EndnoteReference"/>
          <w:noProof/>
        </w:rPr>
        <w:endnoteReference w:id="17"/>
      </w:r>
      <w:r w:rsidRPr="002948ED">
        <w:rPr>
          <w:noProof/>
        </w:rPr>
        <w:t xml:space="preserve"> établissant un prêt de soutien de 90 milliards d’EUR à l’Ukraine a été adopté. Le 23 mai 2026, le règlement CFP 2021-2027 a été modifié pour permettre le soutien financier de ce prêt dans le cadre de la marge de manœuvre budgétaire de l’UE, au-delà des plafonds du CFP, ainsi que pour créer un instrument spécial pour le financement de la bonification d’intérêts accordée par l’Union à l’Ukraine pour le prêt. Ces dépenses et les passifs éventuels correspondants, qui doivent être couverts par la marge de manœuvre du budget de l’UE, ne sont pas inclus dans la réserve pour l’Ukraine de 100 milliards d’EUR proposée en juillet 2025. </w:t>
      </w:r>
    </w:p>
    <w:p w14:paraId="2DD5AE16" w14:textId="77777777" w:rsidR="009E4500" w:rsidRPr="002948ED" w:rsidRDefault="009E4500" w:rsidP="009E4500">
      <w:pPr>
        <w:spacing w:before="0" w:after="120" w:line="276" w:lineRule="auto"/>
        <w:jc w:val="both"/>
        <w:rPr>
          <w:noProof/>
        </w:rPr>
      </w:pPr>
      <w:r w:rsidRPr="002948ED">
        <w:rPr>
          <w:b/>
          <w:bCs/>
          <w:noProof/>
        </w:rPr>
        <w:t>Instruments non thématiques</w:t>
      </w:r>
      <w:r w:rsidRPr="002948ED">
        <w:rPr>
          <w:noProof/>
        </w:rPr>
        <w:t> — Allocation de montants supplémentaires pour des programmes spécifiques du CFP sous réserve de conditions spécifiques. Leur mobilisation et les besoins de paiement qui en découlent ne peuvent être prévus. En ce qui concerne l’instrument de flexibilité, le règlement CFP pour la période 2028-2034 prévoit au minimum un montant fixe annuel de</w:t>
      </w:r>
      <w:r w:rsidRPr="002948ED">
        <w:rPr>
          <w:rFonts w:ascii="Calibri" w:hAnsi="Calibri"/>
          <w:noProof/>
        </w:rPr>
        <w:t xml:space="preserve"> </w:t>
      </w:r>
      <w:r w:rsidRPr="002948ED">
        <w:rPr>
          <w:noProof/>
        </w:rPr>
        <w:t>2</w:t>
      </w:r>
      <w:r w:rsidRPr="002948ED">
        <w:rPr>
          <w:rFonts w:ascii="Calibri" w:hAnsi="Calibri"/>
          <w:noProof/>
        </w:rPr>
        <w:t> </w:t>
      </w:r>
      <w:r w:rsidRPr="002948ED">
        <w:rPr>
          <w:noProof/>
        </w:rPr>
        <w:t>000</w:t>
      </w:r>
      <w:r w:rsidRPr="002948ED">
        <w:rPr>
          <w:rFonts w:ascii="Calibri" w:hAnsi="Calibri"/>
          <w:noProof/>
        </w:rPr>
        <w:t> </w:t>
      </w:r>
      <w:r w:rsidRPr="002948ED">
        <w:rPr>
          <w:noProof/>
        </w:rPr>
        <w:t>millions d’EUR aux prix de 2025.</w:t>
      </w:r>
    </w:p>
    <w:p w14:paraId="11214EA4" w14:textId="562A0C17" w:rsidR="009E4500" w:rsidRPr="002948ED" w:rsidRDefault="009E4500" w:rsidP="009E4500">
      <w:pPr>
        <w:spacing w:before="0" w:after="120" w:line="276" w:lineRule="auto"/>
        <w:jc w:val="both"/>
        <w:rPr>
          <w:rFonts w:asciiTheme="majorHAnsi" w:hAnsiTheme="majorHAnsi"/>
          <w:noProof/>
        </w:rPr>
      </w:pPr>
      <w:r w:rsidRPr="002948ED">
        <w:rPr>
          <w:noProof/>
        </w:rPr>
        <w:t>Les dépenses couvertes par la mobilisation d’instruments spéciaux sont comptabilisées en plus des plafonds du CFP et sont exclues aux fins de l’établissement des marges pour les engagements et les paiements. En raison de leur nature et étant donné qu’ils font l’objet de décisions de l’autorité budgétaire sur une base annuelle, les montants pour la période 2028-2034 présentés dans le présent rapport ne tiennent pas compte de la mobilisation de ces instruments spéciaux.</w:t>
      </w:r>
    </w:p>
    <w:p w14:paraId="39623D05" w14:textId="5AD8B7CB" w:rsidR="00861C1C" w:rsidRPr="002948ED" w:rsidRDefault="003B6DC2">
      <w:pPr>
        <w:pStyle w:val="amprH3Title2-Numbered-11"/>
        <w:rPr>
          <w:rFonts w:asciiTheme="majorHAnsi" w:hAnsiTheme="majorHAnsi"/>
          <w:noProof/>
        </w:rPr>
      </w:pPr>
      <w:bookmarkStart w:id="24" w:name="_Toc74213162"/>
      <w:bookmarkStart w:id="25" w:name="_Toc71370937"/>
      <w:bookmarkStart w:id="26" w:name="_Toc71377349"/>
      <w:bookmarkStart w:id="27" w:name="_Toc71392500"/>
      <w:bookmarkStart w:id="28" w:name="_Toc71399666"/>
      <w:bookmarkStart w:id="29" w:name="_Toc71454330"/>
      <w:bookmarkStart w:id="30" w:name="_Toc71462280"/>
      <w:bookmarkStart w:id="31" w:name="_Toc71462312"/>
      <w:bookmarkStart w:id="32" w:name="_Toc71370938"/>
      <w:bookmarkStart w:id="33" w:name="_Toc71377350"/>
      <w:bookmarkStart w:id="34" w:name="_Toc71392501"/>
      <w:bookmarkStart w:id="35" w:name="_Toc71399667"/>
      <w:bookmarkStart w:id="36" w:name="_Toc71454331"/>
      <w:bookmarkStart w:id="37" w:name="_Toc71462281"/>
      <w:bookmarkStart w:id="38" w:name="_Toc71462313"/>
      <w:bookmarkStart w:id="39" w:name="_Toc71370939"/>
      <w:bookmarkStart w:id="40" w:name="_Toc71377351"/>
      <w:bookmarkStart w:id="41" w:name="_Toc71392502"/>
      <w:bookmarkStart w:id="42" w:name="_Toc71399668"/>
      <w:bookmarkStart w:id="43" w:name="_Toc71454332"/>
      <w:bookmarkStart w:id="44" w:name="_Toc71462282"/>
      <w:bookmarkStart w:id="45" w:name="_Toc71462314"/>
      <w:bookmarkStart w:id="46" w:name="_Toc71224921"/>
      <w:bookmarkStart w:id="47" w:name="_Toc71226625"/>
      <w:bookmarkStart w:id="48" w:name="_Toc71232395"/>
      <w:bookmarkStart w:id="49" w:name="_Toc71370940"/>
      <w:bookmarkStart w:id="50" w:name="_Toc71377352"/>
      <w:bookmarkStart w:id="51" w:name="_Toc71392503"/>
      <w:bookmarkStart w:id="52" w:name="_Toc71399669"/>
      <w:bookmarkStart w:id="53" w:name="_Toc71454333"/>
      <w:bookmarkStart w:id="54" w:name="_Toc71462283"/>
      <w:bookmarkStart w:id="55" w:name="_Toc71462315"/>
      <w:bookmarkStart w:id="56" w:name="_Toc71224922"/>
      <w:bookmarkStart w:id="57" w:name="_Toc71226626"/>
      <w:bookmarkStart w:id="58" w:name="_Toc71232396"/>
      <w:bookmarkStart w:id="59" w:name="_Toc71370941"/>
      <w:bookmarkStart w:id="60" w:name="_Toc71377353"/>
      <w:bookmarkStart w:id="61" w:name="_Toc71392504"/>
      <w:bookmarkStart w:id="62" w:name="_Toc71399670"/>
      <w:bookmarkStart w:id="63" w:name="_Toc71454334"/>
      <w:bookmarkStart w:id="64" w:name="_Toc71462284"/>
      <w:bookmarkStart w:id="65" w:name="_Toc71462316"/>
      <w:bookmarkStart w:id="66" w:name="_Toc524523063"/>
      <w:bookmarkStart w:id="67" w:name="_Toc235786435"/>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2948ED">
        <w:rPr>
          <w:rFonts w:asciiTheme="majorHAnsi" w:hAnsiTheme="majorHAnsi"/>
          <w:noProof/>
        </w:rPr>
        <w:t>Dégagements</w:t>
      </w:r>
      <w:bookmarkEnd w:id="66"/>
      <w:bookmarkEnd w:id="67"/>
    </w:p>
    <w:p w14:paraId="70AD1C3C" w14:textId="021A15CD" w:rsidR="00D31DBA" w:rsidRPr="002948ED" w:rsidRDefault="00D31DBA" w:rsidP="00D31DBA">
      <w:pPr>
        <w:spacing w:after="120" w:line="276" w:lineRule="auto"/>
        <w:jc w:val="both"/>
        <w:rPr>
          <w:rFonts w:asciiTheme="majorHAnsi" w:hAnsiTheme="majorHAnsi"/>
          <w:noProof/>
        </w:rPr>
      </w:pPr>
      <w:r w:rsidRPr="002948ED">
        <w:rPr>
          <w:rFonts w:asciiTheme="majorHAnsi" w:hAnsiTheme="majorHAnsi"/>
          <w:noProof/>
        </w:rPr>
        <w:t>Les prévisions de dégagement découlant des programmes au titre du CFP actuel et des CFP antérieurs jusqu’à fin 2034 s’élèvent à</w:t>
      </w:r>
      <w:r w:rsidRPr="002948ED">
        <w:rPr>
          <w:rFonts w:ascii="Calibri" w:hAnsi="Calibri"/>
          <w:b/>
          <w:noProof/>
        </w:rPr>
        <w:t xml:space="preserve"> </w:t>
      </w:r>
      <w:r w:rsidRPr="002948ED">
        <w:rPr>
          <w:rFonts w:asciiTheme="majorHAnsi" w:hAnsiTheme="majorHAnsi"/>
          <w:b/>
          <w:noProof/>
        </w:rPr>
        <w:t>11</w:t>
      </w:r>
      <w:r w:rsidRPr="002948ED">
        <w:rPr>
          <w:rFonts w:ascii="Calibri" w:hAnsi="Calibri"/>
          <w:b/>
          <w:noProof/>
        </w:rPr>
        <w:t> </w:t>
      </w:r>
      <w:r w:rsidRPr="002948ED">
        <w:rPr>
          <w:rFonts w:asciiTheme="majorHAnsi" w:hAnsiTheme="majorHAnsi"/>
          <w:b/>
          <w:noProof/>
        </w:rPr>
        <w:t xml:space="preserve">milliards d’EUR. </w:t>
      </w:r>
      <w:r w:rsidRPr="002948ED">
        <w:rPr>
          <w:rFonts w:asciiTheme="majorHAnsi" w:hAnsiTheme="majorHAnsi"/>
          <w:noProof/>
        </w:rPr>
        <w:t xml:space="preserve">Cette hausse dépend essentiellement de la mise en œuvre des programmes de cohésion au titre de l’actuel CFP et du fonds européen agricole pour le développement rural (Feader). </w:t>
      </w:r>
    </w:p>
    <w:p w14:paraId="07AF1B1F" w14:textId="64E210A4" w:rsidR="00D31DBA" w:rsidRPr="002948ED" w:rsidRDefault="00D31DBA" w:rsidP="00D31DBA">
      <w:pPr>
        <w:spacing w:after="120" w:line="276" w:lineRule="auto"/>
        <w:jc w:val="both"/>
        <w:rPr>
          <w:rFonts w:asciiTheme="majorHAnsi" w:hAnsiTheme="majorHAnsi"/>
          <w:noProof/>
          <w:spacing w:val="-6"/>
        </w:rPr>
      </w:pPr>
      <w:r w:rsidRPr="002948ED">
        <w:rPr>
          <w:rFonts w:asciiTheme="majorHAnsi" w:hAnsiTheme="majorHAnsi"/>
          <w:noProof/>
        </w:rPr>
        <w:t>Le CFP 2028-2034 propose d’apporter des modifications substantielles des modes de mise en œuvre en vue de simplifier et d’accélérer cette dernière, de manière à ce que les engagements soient pleinement adoptés dans le prochain CFP. Par conséquent, aucune prévision de dégagement spécifique n’est supposée pour les programmes relevant du prochain CFP.</w:t>
      </w:r>
    </w:p>
    <w:p w14:paraId="0AA447F8" w14:textId="6AEAADED" w:rsidR="00861C1C" w:rsidRPr="002948ED" w:rsidRDefault="55E43B5C" w:rsidP="00A74031">
      <w:pPr>
        <w:pStyle w:val="amprH4Subhead1"/>
        <w:spacing w:after="120" w:line="276" w:lineRule="auto"/>
        <w:jc w:val="both"/>
        <w:rPr>
          <w:rFonts w:asciiTheme="majorHAnsi" w:hAnsiTheme="majorHAnsi"/>
          <w:noProof/>
        </w:rPr>
      </w:pPr>
      <w:r w:rsidRPr="002948ED">
        <w:rPr>
          <w:rFonts w:asciiTheme="majorHAnsi" w:hAnsiTheme="majorHAnsi"/>
          <w:noProof/>
        </w:rPr>
        <w:t>Rubrique 2a — Politique de cohésion</w:t>
      </w:r>
    </w:p>
    <w:p w14:paraId="7D8650F4" w14:textId="6A76A254" w:rsidR="00861C1C" w:rsidRPr="002948ED" w:rsidRDefault="00777C81" w:rsidP="04494A96">
      <w:pPr>
        <w:spacing w:after="120" w:line="276" w:lineRule="auto"/>
        <w:jc w:val="both"/>
        <w:rPr>
          <w:rFonts w:asciiTheme="majorHAnsi" w:hAnsiTheme="majorHAnsi"/>
          <w:noProof/>
        </w:rPr>
      </w:pPr>
      <w:bookmarkStart w:id="68" w:name="_Hlk136514282"/>
      <w:r w:rsidRPr="002948ED">
        <w:rPr>
          <w:rFonts w:asciiTheme="majorHAnsi" w:hAnsiTheme="majorHAnsi"/>
          <w:noProof/>
        </w:rPr>
        <w:t>Compte tenu des dernières informations disponibles, les dégagements pour l’achèvement des programmes 2014-2020 ont augmenté par comparaison avec le rapport de l’année dernière, passant de</w:t>
      </w:r>
      <w:r w:rsidRPr="002948ED">
        <w:rPr>
          <w:rFonts w:ascii="Calibri" w:hAnsi="Calibri"/>
          <w:noProof/>
        </w:rPr>
        <w:t xml:space="preserve"> </w:t>
      </w:r>
      <w:r w:rsidRPr="002948ED">
        <w:rPr>
          <w:rFonts w:asciiTheme="majorHAnsi" w:hAnsiTheme="majorHAnsi"/>
          <w:noProof/>
        </w:rPr>
        <w:t>0,5</w:t>
      </w:r>
      <w:r w:rsidRPr="002948ED">
        <w:rPr>
          <w:rFonts w:ascii="Calibri" w:hAnsi="Calibri"/>
          <w:noProof/>
        </w:rPr>
        <w:t> </w:t>
      </w:r>
      <w:r w:rsidRPr="002948ED">
        <w:rPr>
          <w:rFonts w:asciiTheme="majorHAnsi" w:hAnsiTheme="majorHAnsi"/>
          <w:noProof/>
        </w:rPr>
        <w:t>milliard d’EUR à</w:t>
      </w:r>
      <w:r w:rsidRPr="002948ED">
        <w:rPr>
          <w:rFonts w:ascii="Calibri" w:hAnsi="Calibri"/>
          <w:noProof/>
        </w:rPr>
        <w:t xml:space="preserve"> </w:t>
      </w:r>
      <w:r w:rsidRPr="002948ED">
        <w:rPr>
          <w:rFonts w:asciiTheme="majorHAnsi" w:hAnsiTheme="majorHAnsi"/>
          <w:noProof/>
        </w:rPr>
        <w:t>1,6</w:t>
      </w:r>
      <w:r w:rsidRPr="002948ED">
        <w:rPr>
          <w:rFonts w:ascii="Calibri" w:hAnsi="Calibri"/>
          <w:noProof/>
        </w:rPr>
        <w:t> </w:t>
      </w:r>
      <w:r w:rsidRPr="002948ED">
        <w:rPr>
          <w:rFonts w:asciiTheme="majorHAnsi" w:hAnsiTheme="majorHAnsi"/>
          <w:noProof/>
        </w:rPr>
        <w:t>milliard d’EUR. Dans l’ensemble, le risque de dégagements à la fin de 2027 pour le programme 2021-2027 est réduit grâce à l’accélération de la mise en œuvre et aux préfinancements supplémentaires découlant de l’examen à mi-parcours de la politique de cohésion. En 2025 et 2026, les États membres ont présenté des demandes de paiement dépassant la règle de dégagement N+3, et cette tendance devrait se poursuivre en 2027. Toutefois</w:t>
      </w:r>
      <w:r w:rsidRPr="002948ED">
        <w:rPr>
          <w:noProof/>
        </w:rPr>
        <w:t>,</w:t>
      </w:r>
      <w:r w:rsidRPr="002948ED">
        <w:rPr>
          <w:rFonts w:ascii="Calibri" w:hAnsi="Calibri"/>
          <w:noProof/>
        </w:rPr>
        <w:t xml:space="preserve"> </w:t>
      </w:r>
      <w:r w:rsidRPr="002948ED">
        <w:rPr>
          <w:rFonts w:asciiTheme="majorHAnsi" w:hAnsiTheme="majorHAnsi"/>
          <w:noProof/>
        </w:rPr>
        <w:t>0,4 milliard d’EUR de dégagements sont attendus à la clôture, conformément aux schémas de mise en œuvre de la période de programmation précédente.</w:t>
      </w:r>
    </w:p>
    <w:bookmarkEnd w:id="68"/>
    <w:p w14:paraId="24DC8C51" w14:textId="06A0738F" w:rsidR="00861C1C" w:rsidRPr="002948ED" w:rsidRDefault="003B6DC2">
      <w:pPr>
        <w:pStyle w:val="amprH4Subhead1"/>
        <w:rPr>
          <w:rFonts w:asciiTheme="majorHAnsi" w:hAnsiTheme="majorHAnsi"/>
          <w:noProof/>
        </w:rPr>
      </w:pPr>
      <w:r w:rsidRPr="002948ED">
        <w:rPr>
          <w:rFonts w:asciiTheme="majorHAnsi" w:hAnsiTheme="majorHAnsi"/>
          <w:noProof/>
        </w:rPr>
        <w:t xml:space="preserve">Rubrique 3 — Politique agricole commune </w:t>
      </w:r>
    </w:p>
    <w:p w14:paraId="3363326C" w14:textId="19922A31" w:rsidR="00951B9B" w:rsidRPr="002948ED" w:rsidRDefault="00951B9B" w:rsidP="00951B9B">
      <w:pPr>
        <w:spacing w:after="120" w:line="276" w:lineRule="auto"/>
        <w:jc w:val="both"/>
        <w:rPr>
          <w:rFonts w:asciiTheme="majorHAnsi" w:hAnsiTheme="majorHAnsi"/>
          <w:noProof/>
          <w:spacing w:val="-6"/>
        </w:rPr>
      </w:pPr>
      <w:r w:rsidRPr="002948ED">
        <w:rPr>
          <w:rFonts w:asciiTheme="majorHAnsi" w:hAnsiTheme="majorHAnsi"/>
          <w:noProof/>
        </w:rPr>
        <w:t>Les prévisions relatives aux dégagements des programmes de développement rural 2014-2022 ont diminué par rapport aux dernières prévisions, passant de</w:t>
      </w:r>
      <w:r w:rsidRPr="002948ED">
        <w:rPr>
          <w:rFonts w:ascii="Calibri" w:hAnsi="Calibri"/>
          <w:noProof/>
        </w:rPr>
        <w:t xml:space="preserve"> </w:t>
      </w:r>
      <w:r w:rsidRPr="002948ED">
        <w:rPr>
          <w:rFonts w:asciiTheme="majorHAnsi" w:hAnsiTheme="majorHAnsi"/>
          <w:noProof/>
        </w:rPr>
        <w:t>3,1</w:t>
      </w:r>
      <w:r w:rsidRPr="002948ED">
        <w:rPr>
          <w:rFonts w:ascii="Calibri" w:hAnsi="Calibri"/>
          <w:noProof/>
        </w:rPr>
        <w:t> </w:t>
      </w:r>
      <w:r w:rsidRPr="002948ED">
        <w:rPr>
          <w:rFonts w:asciiTheme="majorHAnsi" w:hAnsiTheme="majorHAnsi"/>
          <w:noProof/>
        </w:rPr>
        <w:t>milliards d’EUR à</w:t>
      </w:r>
      <w:r w:rsidRPr="002948ED">
        <w:rPr>
          <w:rFonts w:ascii="Calibri" w:hAnsi="Calibri"/>
          <w:noProof/>
        </w:rPr>
        <w:t xml:space="preserve"> </w:t>
      </w:r>
      <w:r w:rsidRPr="002948ED">
        <w:rPr>
          <w:rFonts w:asciiTheme="majorHAnsi" w:hAnsiTheme="majorHAnsi"/>
          <w:noProof/>
        </w:rPr>
        <w:t>1,5</w:t>
      </w:r>
      <w:r w:rsidRPr="002948ED">
        <w:rPr>
          <w:rFonts w:ascii="Calibri" w:hAnsi="Calibri"/>
          <w:noProof/>
        </w:rPr>
        <w:t> </w:t>
      </w:r>
      <w:r w:rsidRPr="002948ED">
        <w:rPr>
          <w:rFonts w:asciiTheme="majorHAnsi" w:hAnsiTheme="majorHAnsi"/>
          <w:noProof/>
        </w:rPr>
        <w:t xml:space="preserve">milliard d’EUR attendus en 2027. Les dégagements antérieurs se sont élevés à 0,3 milliard d’EUR. Dans l’ensemble, les dégagements au titre du Feader pour les programmes de la période 2014-2022 sont désormais estimés à 1,5 % de la dotation totale, ce qui témoigne d’une amélioration par rapport aux programmes de développement rural de la période 2007-2013, pour lesquels la part des dégagements s’élevait à 2 %. En ce qui concerne le calendrier, les dégagements sont attendus d’ici la fin de 2027, lorsque la clôture des paiements sera traitée. </w:t>
      </w:r>
    </w:p>
    <w:p w14:paraId="5B9BD84C" w14:textId="37AE487D" w:rsidR="00861C1C" w:rsidRPr="002948ED" w:rsidRDefault="00951B9B" w:rsidP="23B06DA2">
      <w:pPr>
        <w:spacing w:after="120" w:line="276" w:lineRule="auto"/>
        <w:jc w:val="both"/>
        <w:rPr>
          <w:rFonts w:asciiTheme="majorHAnsi" w:hAnsiTheme="majorHAnsi"/>
          <w:noProof/>
        </w:rPr>
      </w:pPr>
      <w:r w:rsidRPr="002948ED">
        <w:rPr>
          <w:rFonts w:asciiTheme="majorHAnsi" w:hAnsiTheme="majorHAnsi"/>
          <w:noProof/>
        </w:rPr>
        <w:t xml:space="preserve">À l’heure actuelle, un montant de 1 milliard d’EUR devrait être dégagé au titre des plans stratégiques relevant de la PAC 2023-2027. Ces dégagements devraient avoir lieu entre 2026 et 2030. </w:t>
      </w:r>
    </w:p>
    <w:bookmarkEnd w:id="21"/>
    <w:p w14:paraId="04C5B228" w14:textId="77777777" w:rsidR="00861C1C" w:rsidRPr="002948ED" w:rsidRDefault="003B6DC2">
      <w:pPr>
        <w:pStyle w:val="amprH4Subhead1"/>
        <w:rPr>
          <w:rFonts w:asciiTheme="majorHAnsi" w:hAnsiTheme="majorHAnsi"/>
          <w:noProof/>
        </w:rPr>
      </w:pPr>
      <w:r w:rsidRPr="002948ED">
        <w:rPr>
          <w:rFonts w:asciiTheme="majorHAnsi" w:hAnsiTheme="majorHAnsi"/>
          <w:noProof/>
        </w:rPr>
        <w:t>Autres programmes et rubriques</w:t>
      </w:r>
    </w:p>
    <w:p w14:paraId="2F505424" w14:textId="6D38FE07" w:rsidR="00861C1C" w:rsidRPr="002948ED" w:rsidRDefault="005A04CC" w:rsidP="005F08A0">
      <w:pPr>
        <w:spacing w:after="120" w:line="276" w:lineRule="auto"/>
        <w:jc w:val="both"/>
        <w:rPr>
          <w:rFonts w:asciiTheme="majorHAnsi" w:hAnsiTheme="majorHAnsi"/>
          <w:noProof/>
        </w:rPr>
      </w:pPr>
      <w:r w:rsidRPr="002948ED">
        <w:rPr>
          <w:rFonts w:asciiTheme="majorHAnsi" w:hAnsiTheme="majorHAnsi"/>
          <w:noProof/>
        </w:rPr>
        <w:t>Pour les programmes gérés directement ou indirectement par la Commission, les prévisions de dégagements s’appuient sur les dernières informations au niveau des projets. Les projections relatives aux dégagements liés aux programmes du CFP 2021-2027 sont présentées dans le tableau 2. Elles sont cohérentes par rapport aux estimations des échéanciers de paiement. Toutefois, l’année précise du</w:t>
      </w:r>
      <w:r w:rsidRPr="002948ED">
        <w:rPr>
          <w:noProof/>
        </w:rPr>
        <w:t xml:space="preserve"> </w:t>
      </w:r>
      <w:r w:rsidRPr="002948ED">
        <w:rPr>
          <w:rFonts w:asciiTheme="majorHAnsi" w:hAnsiTheme="majorHAnsi"/>
          <w:noProof/>
        </w:rPr>
        <w:t>dégagement ne peut être prévue avec précision, car elle dépend de la clôture des différents projets et actions.</w:t>
      </w:r>
    </w:p>
    <w:p w14:paraId="78FBDB87" w14:textId="21A19235" w:rsidR="00861C1C" w:rsidRPr="002948ED" w:rsidRDefault="003B6DC2">
      <w:pPr>
        <w:pStyle w:val="amprH3Title2-Numbered-11"/>
        <w:rPr>
          <w:rFonts w:asciiTheme="majorHAnsi" w:hAnsiTheme="majorHAnsi"/>
          <w:noProof/>
        </w:rPr>
      </w:pPr>
      <w:bookmarkStart w:id="69" w:name="_Toc524523064"/>
      <w:bookmarkStart w:id="70" w:name="_Toc524523066"/>
      <w:r w:rsidRPr="002948ED">
        <w:rPr>
          <w:noProof/>
        </w:rPr>
        <w:tab/>
      </w:r>
      <w:bookmarkStart w:id="71" w:name="_Toc235786436"/>
      <w:r w:rsidRPr="002948ED">
        <w:rPr>
          <w:rFonts w:asciiTheme="majorHAnsi" w:hAnsiTheme="majorHAnsi"/>
          <w:noProof/>
        </w:rPr>
        <w:t>Évolution du niveau des engagements restant à liquider</w:t>
      </w:r>
      <w:bookmarkEnd w:id="69"/>
      <w:bookmarkEnd w:id="71"/>
    </w:p>
    <w:p w14:paraId="6A7E0D93" w14:textId="13B48187" w:rsidR="007327B7" w:rsidRPr="002948ED" w:rsidRDefault="007327B7" w:rsidP="007327B7">
      <w:pPr>
        <w:spacing w:after="120" w:line="276" w:lineRule="auto"/>
        <w:jc w:val="both"/>
        <w:rPr>
          <w:rFonts w:asciiTheme="majorHAnsi" w:hAnsiTheme="majorHAnsi"/>
          <w:noProof/>
        </w:rPr>
      </w:pPr>
      <w:r w:rsidRPr="002948ED">
        <w:rPr>
          <w:rFonts w:asciiTheme="majorHAnsi" w:hAnsiTheme="majorHAnsi"/>
          <w:noProof/>
        </w:rPr>
        <w:t>Le prochain CFP devrait commencer avec un RAL de</w:t>
      </w:r>
      <w:r w:rsidRPr="002948ED">
        <w:rPr>
          <w:rFonts w:ascii="Calibri" w:hAnsi="Calibri"/>
          <w:noProof/>
        </w:rPr>
        <w:t xml:space="preserve"> </w:t>
      </w:r>
      <w:r w:rsidRPr="002948ED">
        <w:rPr>
          <w:rFonts w:asciiTheme="majorHAnsi" w:hAnsiTheme="majorHAnsi"/>
          <w:noProof/>
        </w:rPr>
        <w:t>321</w:t>
      </w:r>
      <w:r w:rsidRPr="002948ED">
        <w:rPr>
          <w:rFonts w:ascii="Calibri" w:hAnsi="Calibri"/>
          <w:noProof/>
        </w:rPr>
        <w:t> </w:t>
      </w:r>
      <w:r w:rsidRPr="002948ED">
        <w:rPr>
          <w:rFonts w:asciiTheme="majorHAnsi" w:hAnsiTheme="majorHAnsi"/>
          <w:noProof/>
        </w:rPr>
        <w:t>milliards d’EUR</w:t>
      </w:r>
      <w:r w:rsidRPr="002948ED">
        <w:rPr>
          <w:rStyle w:val="EndnoteReference"/>
          <w:rFonts w:asciiTheme="majorHAnsi" w:hAnsiTheme="majorHAnsi"/>
          <w:noProof/>
          <w:spacing w:val="-4"/>
        </w:rPr>
        <w:endnoteReference w:id="18"/>
      </w:r>
      <w:r w:rsidRPr="002948ED">
        <w:rPr>
          <w:rFonts w:asciiTheme="majorHAnsi" w:hAnsiTheme="majorHAnsi"/>
          <w:noProof/>
        </w:rPr>
        <w:t>, ce qui, par rapport aux prévisions de l’an dernier (339 milliards d’EUR), représente une baisse de 18</w:t>
      </w:r>
      <w:r w:rsidRPr="002948ED">
        <w:rPr>
          <w:rFonts w:ascii="Calibri" w:hAnsi="Calibri"/>
          <w:noProof/>
        </w:rPr>
        <w:t> </w:t>
      </w:r>
      <w:r w:rsidRPr="002948ED">
        <w:rPr>
          <w:rFonts w:asciiTheme="majorHAnsi" w:hAnsiTheme="majorHAnsi"/>
          <w:noProof/>
        </w:rPr>
        <w:t>milliards d’EUR. Ce résultat est principalement dû aux attentes révisées pour les programmes de la politique de cohésion et à l’augmentation des paiements en 2026-2027. La baisse attendue du RAL au début du prochain CFP se traduit directement par la baisse correspondante des prévisions de paiements pour l’achèvement des programmes antérieurs à 2028 dans le prochain CFP.</w:t>
      </w:r>
    </w:p>
    <w:p w14:paraId="2A6C7071" w14:textId="213B5C6B" w:rsidR="007327B7" w:rsidRPr="002948ED" w:rsidRDefault="007327B7" w:rsidP="007327B7">
      <w:pPr>
        <w:spacing w:after="120" w:line="276" w:lineRule="auto"/>
        <w:jc w:val="both"/>
        <w:rPr>
          <w:rFonts w:asciiTheme="majorHAnsi" w:hAnsiTheme="majorHAnsi"/>
          <w:noProof/>
        </w:rPr>
      </w:pPr>
      <w:r w:rsidRPr="002948ED">
        <w:rPr>
          <w:rFonts w:asciiTheme="majorHAnsi" w:hAnsiTheme="majorHAnsi"/>
          <w:noProof/>
        </w:rPr>
        <w:t>Pour NextGenerationEU, le RAL sera absorbé d’ici à la fin de 2026, date à laquelle tous les paiements auront été effectués, à l’exception des petits montants liés principalement aux dépenses administratives.</w:t>
      </w:r>
    </w:p>
    <w:p w14:paraId="6309432D" w14:textId="0DE30A0C" w:rsidR="00246B69" w:rsidRPr="002948ED" w:rsidRDefault="009E6787" w:rsidP="00246B69">
      <w:pPr>
        <w:spacing w:after="120" w:line="276" w:lineRule="auto"/>
        <w:jc w:val="both"/>
        <w:rPr>
          <w:rFonts w:asciiTheme="majorHAnsi" w:hAnsiTheme="majorHAnsi"/>
          <w:noProof/>
        </w:rPr>
      </w:pPr>
      <w:r w:rsidRPr="002948ED">
        <w:rPr>
          <w:rFonts w:asciiTheme="majorHAnsi" w:hAnsiTheme="majorHAnsi"/>
          <w:noProof/>
        </w:rPr>
        <w:t>Bien que le RAL devrait augmenter en termes nominaux, passant de 321 milliards d’EUR au début du CFP à 344 milliards d’EUR à la fin de 2034, son poids relatif dans l’économie de l’UE et par rapport à la taille du CFP devrait diminuer. Le RAL passerait de 1,6 % du RNB de l’UE à la fin de 2027 à 1,3 % à la fin de 2034 et représenterait environ un cinquième du CFP 2028-2034, soit un ratio inférieur à celui prévu pour le CFP actuel. Cela témoigne d’un stock plus limité d’engagements restant à liquider que lors des périodes de programmation précédentes et d’une concentration réduite des paiements au-delà de la fin du CFP. L’évolution prévue tient compte à la fois du renforcement de la mise en œuvre observé vers la fin du CFP actuel et des modalités de mise en œuvre proposées pour le CFP 2028-2034, qui devraient conduire à une exécution plus rapide des programmes et à une accumulation plus faible des engagements restant à liquider au fil du temps.</w:t>
      </w:r>
    </w:p>
    <w:p w14:paraId="25AC0004" w14:textId="619678BB" w:rsidR="00861C1C" w:rsidRPr="002948ED" w:rsidRDefault="6375D7F3">
      <w:pPr>
        <w:pStyle w:val="amprH2TITLE1-Numbered-1"/>
        <w:rPr>
          <w:rFonts w:asciiTheme="majorHAnsi" w:hAnsiTheme="majorHAnsi"/>
          <w:noProof/>
        </w:rPr>
      </w:pPr>
      <w:bookmarkStart w:id="72" w:name="_Toc232591333"/>
      <w:bookmarkStart w:id="73" w:name="_Toc235786437"/>
      <w:bookmarkEnd w:id="72"/>
      <w:r w:rsidRPr="002948ED">
        <w:rPr>
          <w:rFonts w:asciiTheme="majorHAnsi" w:hAnsiTheme="majorHAnsi"/>
          <w:noProof/>
        </w:rPr>
        <w:t xml:space="preserve">Prévisions concernant les entrées de trésorerie du budget de l’UE pour la période </w:t>
      </w:r>
      <w:r w:rsidRPr="002948ED">
        <w:rPr>
          <w:noProof/>
        </w:rPr>
        <w:t xml:space="preserve"> </w:t>
      </w:r>
      <w:r w:rsidRPr="002948ED">
        <w:rPr>
          <w:noProof/>
        </w:rPr>
        <w:cr/>
      </w:r>
      <w:r w:rsidRPr="002948ED">
        <w:rPr>
          <w:rFonts w:asciiTheme="majorHAnsi" w:hAnsiTheme="majorHAnsi"/>
          <w:noProof/>
        </w:rPr>
        <w:t>2027-2034</w:t>
      </w:r>
      <w:bookmarkEnd w:id="73"/>
    </w:p>
    <w:p w14:paraId="4F06F7DF" w14:textId="29C93FDC" w:rsidR="00DB73F3" w:rsidRPr="002948ED" w:rsidRDefault="004D01B2" w:rsidP="00DB73F3">
      <w:pPr>
        <w:spacing w:before="180" w:after="120" w:line="276" w:lineRule="auto"/>
        <w:jc w:val="both"/>
        <w:rPr>
          <w:rFonts w:asciiTheme="majorHAnsi" w:hAnsiTheme="majorHAnsi"/>
          <w:noProof/>
        </w:rPr>
      </w:pPr>
      <w:r w:rsidRPr="002948ED">
        <w:rPr>
          <w:rFonts w:asciiTheme="majorHAnsi" w:hAnsiTheme="majorHAnsi"/>
          <w:noProof/>
        </w:rPr>
        <w:t xml:space="preserve">Pour 2027, les recettes sont fondées sur le projet de budget 2027. Les recettes de 2028 restent telles que prévues dans le rapport de l’année dernière, car elles reflètent la proposition de la Commission de nouvelle décision relative aux ressources propres, qui est en cours de négociation. L’estimation des ressources propres RNB résiduelles est ajustée mécaniquement afin d’assurer un équilibre global avec les prévisions de paiements, qui ont été mises à jour pour l’achèvement des programmes antérieurs à 2028.  </w:t>
      </w:r>
    </w:p>
    <w:p w14:paraId="15D10B86" w14:textId="177EB459" w:rsidR="00CF08E3" w:rsidRPr="002948ED" w:rsidRDefault="00CF08E3" w:rsidP="00CF08E3">
      <w:pPr>
        <w:spacing w:before="180" w:after="120" w:line="276" w:lineRule="auto"/>
        <w:jc w:val="both"/>
        <w:rPr>
          <w:rFonts w:asciiTheme="majorHAnsi" w:hAnsiTheme="majorHAnsi"/>
          <w:noProof/>
        </w:rPr>
      </w:pPr>
      <w:r w:rsidRPr="002948ED">
        <w:rPr>
          <w:rFonts w:asciiTheme="majorHAnsi" w:hAnsiTheme="majorHAnsi"/>
          <w:noProof/>
        </w:rPr>
        <w:t xml:space="preserve">Le budget de l’UE est financé par les ressources propres et d’autres recettes. En outre, l’Union est habilitée à emprunter des fonds pour financer NextGenerationEU, qui sont acheminés vers le budget au moyen de recettes affectées externes, avec le besoin de financement qui se termine en 2026. </w:t>
      </w:r>
    </w:p>
    <w:p w14:paraId="7973A53E" w14:textId="766C6C5A" w:rsidR="00CF08E3" w:rsidRPr="002948ED" w:rsidRDefault="00CF08E3" w:rsidP="00CF08E3">
      <w:pPr>
        <w:spacing w:before="180" w:after="120" w:line="276" w:lineRule="auto"/>
        <w:jc w:val="both"/>
        <w:rPr>
          <w:rFonts w:asciiTheme="majorHAnsi" w:hAnsiTheme="majorHAnsi"/>
          <w:noProof/>
          <w:spacing w:val="-4"/>
        </w:rPr>
      </w:pPr>
      <w:r w:rsidRPr="002948ED">
        <w:rPr>
          <w:rFonts w:asciiTheme="majorHAnsi" w:hAnsiTheme="majorHAnsi"/>
          <w:noProof/>
        </w:rPr>
        <w:t xml:space="preserve">Le montant des ressources propres nécessaires au financement du budget est obtenu en calculant la différence entre le total des dépenses et les recettes diverses. Les prévisions concernant les recettes budgétaires de l’UE sont fondées sur le principe selon lequel il doit y avoir un équilibre entre les dépenses et les recettes; le total des recettes est donc égal au total des dépenses. </w:t>
      </w:r>
    </w:p>
    <w:p w14:paraId="245A3130" w14:textId="0A653BB4" w:rsidR="00CF08E3" w:rsidRPr="002948ED" w:rsidRDefault="00CF08E3" w:rsidP="00CF08E3">
      <w:pPr>
        <w:spacing w:before="180" w:after="120" w:line="276" w:lineRule="auto"/>
        <w:jc w:val="both"/>
        <w:rPr>
          <w:rFonts w:asciiTheme="majorHAnsi" w:hAnsiTheme="majorHAnsi"/>
          <w:noProof/>
          <w:spacing w:val="-6"/>
        </w:rPr>
      </w:pPr>
      <w:r w:rsidRPr="002948ED">
        <w:rPr>
          <w:rFonts w:asciiTheme="majorHAnsi" w:hAnsiTheme="majorHAnsi"/>
          <w:noProof/>
        </w:rPr>
        <w:t>Depuis 2021, conformément à l’accord de retrait (partie V), le Royaume-Uni contribue au budget de l’UE en ce qui concerne les engagements restant à liquider des cadres financiers antérieurs. La contribution du Royaume-Uni constitue une «autre recette» du budget de l’UE. Elle sera progressivement supprimée, au fur et à mesure que les paiements relatifs aux engagements restant à liquider seront effectués dans le prochain CFP, comme indiqué à la section 2.1. Pour la période 2028-2034, les «autres recettes» incluent la contribution actualisée du Royaume-Uni.</w:t>
      </w:r>
    </w:p>
    <w:p w14:paraId="514372BF" w14:textId="37536393" w:rsidR="00DB73F3" w:rsidRPr="002948ED" w:rsidRDefault="00CF08E3" w:rsidP="082EABE0">
      <w:pPr>
        <w:spacing w:before="180" w:after="120" w:line="276" w:lineRule="auto"/>
        <w:jc w:val="both"/>
        <w:rPr>
          <w:rFonts w:asciiTheme="majorHAnsi" w:hAnsiTheme="majorHAnsi"/>
          <w:noProof/>
        </w:rPr>
      </w:pPr>
      <w:r w:rsidRPr="002948ED">
        <w:rPr>
          <w:rFonts w:asciiTheme="majorHAnsi" w:hAnsiTheme="majorHAnsi"/>
          <w:noProof/>
        </w:rPr>
        <w:t>Les ressources propres (actuellement les ressources propres traditionnelles ainsi que la TVA, les matières plastiques et les ressources propres fondées sur le RNB) représentent la majorité des recettes nécessaires pour financer les dépenses budgétaires. C’est le cycle des dépenses qui détermine l’évolution des contributions propres aux États membres au cours de la période de prévision.</w:t>
      </w:r>
    </w:p>
    <w:p w14:paraId="4AFAAEDE" w14:textId="7D32599C" w:rsidR="005E727A" w:rsidRPr="002948ED" w:rsidRDefault="005E727A" w:rsidP="005E727A">
      <w:pPr>
        <w:pStyle w:val="amprH3Title2-Numbered-11"/>
        <w:rPr>
          <w:rFonts w:asciiTheme="majorHAnsi" w:hAnsiTheme="majorHAnsi"/>
          <w:noProof/>
        </w:rPr>
      </w:pPr>
      <w:r w:rsidRPr="002948ED">
        <w:rPr>
          <w:noProof/>
        </w:rPr>
        <w:tab/>
      </w:r>
      <w:bookmarkStart w:id="74" w:name="_Toc235786438"/>
      <w:r w:rsidRPr="002948ED">
        <w:rPr>
          <w:rFonts w:asciiTheme="majorHAnsi" w:hAnsiTheme="majorHAnsi"/>
          <w:noProof/>
        </w:rPr>
        <w:t>Sources de recettes</w:t>
      </w:r>
      <w:bookmarkEnd w:id="74"/>
    </w:p>
    <w:p w14:paraId="3BA73305" w14:textId="77777777" w:rsidR="00FA324E" w:rsidRPr="002948ED" w:rsidRDefault="00FA324E" w:rsidP="00FD3E53">
      <w:pPr>
        <w:spacing w:before="180" w:after="120" w:line="276" w:lineRule="auto"/>
        <w:jc w:val="both"/>
        <w:rPr>
          <w:rFonts w:asciiTheme="majorHAnsi" w:hAnsiTheme="majorHAnsi"/>
          <w:noProof/>
        </w:rPr>
      </w:pPr>
    </w:p>
    <w:p w14:paraId="0CB6AEAF" w14:textId="4B18D835" w:rsidR="00FD3E53" w:rsidRPr="002948ED" w:rsidRDefault="00805721" w:rsidP="00FD3E53">
      <w:pPr>
        <w:spacing w:before="180" w:after="120" w:line="276" w:lineRule="auto"/>
        <w:jc w:val="both"/>
        <w:rPr>
          <w:rFonts w:asciiTheme="majorHAnsi" w:hAnsiTheme="majorHAnsi"/>
          <w:noProof/>
        </w:rPr>
      </w:pPr>
      <w:r w:rsidRPr="002948ED">
        <w:rPr>
          <w:rFonts w:asciiTheme="majorHAnsi" w:hAnsiTheme="majorHAnsi"/>
          <w:noProof/>
        </w:rPr>
        <w:t>Pour 2027, les recettes figurant dans le présent rapport reflètent le projet de budget 2027. Pour le prochain CFP, les ressources propres sont prévues conformément à la proposition de la Commission de juillet 2025. Selon les prévisions accompagnant la proposition de la Commission, les ressources propres traditionnelles (droits de douane) devraient augmenter au même rythme que le RNB en prix courants de chaque État membre, à commencer par le niveau des droits de douane bruts prévu pour le projet de budget 2026, en utilisant les paramètres de la nouvelle proposition de décision relative aux ressources propres pour le prochain CFP.</w:t>
      </w:r>
    </w:p>
    <w:p w14:paraId="0EC984AA" w14:textId="230AFAFF" w:rsidR="00FD3E53" w:rsidRPr="002948ED" w:rsidRDefault="00FD3E53" w:rsidP="00FD3E53">
      <w:pPr>
        <w:spacing w:before="180" w:after="120" w:line="276" w:lineRule="auto"/>
        <w:jc w:val="both"/>
        <w:rPr>
          <w:rFonts w:asciiTheme="majorHAnsi" w:hAnsiTheme="majorHAnsi"/>
          <w:noProof/>
        </w:rPr>
      </w:pPr>
      <w:r w:rsidRPr="002948ED">
        <w:rPr>
          <w:rFonts w:asciiTheme="majorHAnsi" w:hAnsiTheme="majorHAnsi"/>
          <w:noProof/>
        </w:rPr>
        <w:t>Les recettes provenant de la ressource propre fondée sur la TVA sont prévues à partir des assiettes TVA des différents États membres incluses dans le projet de budget 2026. Les assiettes TVA devraient augmenter au même taux que le RNB à prix courants.</w:t>
      </w:r>
    </w:p>
    <w:p w14:paraId="6D8070D0" w14:textId="79DA6C7C" w:rsidR="00FD3E53" w:rsidRPr="002948ED" w:rsidRDefault="00FD3E53" w:rsidP="001827CB">
      <w:pPr>
        <w:spacing w:before="180" w:after="0" w:line="276" w:lineRule="auto"/>
        <w:jc w:val="both"/>
        <w:rPr>
          <w:rFonts w:asciiTheme="majorHAnsi" w:hAnsiTheme="majorHAnsi"/>
          <w:noProof/>
        </w:rPr>
      </w:pPr>
      <w:r w:rsidRPr="002948ED">
        <w:rPr>
          <w:rFonts w:asciiTheme="majorHAnsi" w:hAnsiTheme="majorHAnsi"/>
          <w:noProof/>
        </w:rPr>
        <w:t xml:space="preserve">La ressource propre fondée sur le plastique est prévue à partir des déchets d’emballages en plastique non recyclés inclus dans le projet de budget 2026. Les déchets d’emballages en plastique correspondants devraient augmenter au même rythme que le RNB à prix constants. Les taux de recyclage devraient converger de manière linéaire vers l’objectif de recyclage de l’UE de 55 %, qui doit être atteint d’ici à 2030. </w:t>
      </w:r>
    </w:p>
    <w:p w14:paraId="42A16B40" w14:textId="13F1068B" w:rsidR="00FD3E53" w:rsidRPr="002948ED" w:rsidRDefault="00FD3E53" w:rsidP="00FD3E53">
      <w:pPr>
        <w:spacing w:before="180" w:after="120" w:line="276" w:lineRule="auto"/>
        <w:jc w:val="both"/>
        <w:rPr>
          <w:rFonts w:asciiTheme="majorHAnsi" w:hAnsiTheme="majorHAnsi"/>
          <w:noProof/>
        </w:rPr>
      </w:pPr>
      <w:r w:rsidRPr="002948ED">
        <w:rPr>
          <w:rFonts w:asciiTheme="majorHAnsi" w:hAnsiTheme="majorHAnsi"/>
          <w:noProof/>
        </w:rPr>
        <w:t>La ressource propre fondée sur le RNB pour l’EU-27 est calculée comme la différence restante entre toutes les autres ressources propres et autres recettes, d’une part, et les dépenses prévues, d’autre part. Les paramètres relatifs aux ressources propres précisés dans la décision relative aux ressources propres déterminent la part des États membres dans le montant total des contributions en ressources propres qui est nécessaire pour équilibrer le budget de l’UE.</w:t>
      </w:r>
    </w:p>
    <w:p w14:paraId="12F2A354" w14:textId="5DAA7733" w:rsidR="00131BC4" w:rsidRPr="002948ED" w:rsidRDefault="00FD3E53" w:rsidP="00FD3E53">
      <w:pPr>
        <w:spacing w:before="180" w:after="120" w:line="276" w:lineRule="auto"/>
        <w:jc w:val="both"/>
        <w:rPr>
          <w:rFonts w:asciiTheme="majorHAnsi" w:hAnsiTheme="majorHAnsi"/>
          <w:noProof/>
        </w:rPr>
      </w:pPr>
      <w:r w:rsidRPr="002948ED">
        <w:rPr>
          <w:rFonts w:asciiTheme="majorHAnsi" w:hAnsiTheme="majorHAnsi"/>
          <w:noProof/>
        </w:rPr>
        <w:t>La proposition de décision relative aux ressources propres présentée par la Commission comprend plusieurs ressources propres supplémentaires.</w:t>
      </w:r>
    </w:p>
    <w:p w14:paraId="3B0109B1" w14:textId="54EC8DF8" w:rsidR="00FD3E53" w:rsidRPr="002948ED" w:rsidRDefault="00FD3E53" w:rsidP="00FD3E53">
      <w:pPr>
        <w:spacing w:before="180" w:after="120" w:line="276" w:lineRule="auto"/>
        <w:jc w:val="both"/>
        <w:rPr>
          <w:rFonts w:asciiTheme="majorHAnsi" w:hAnsiTheme="majorHAnsi"/>
          <w:noProof/>
        </w:rPr>
      </w:pPr>
      <w:r w:rsidRPr="002948ED">
        <w:rPr>
          <w:rFonts w:asciiTheme="majorHAnsi" w:hAnsiTheme="majorHAnsi"/>
          <w:noProof/>
        </w:rPr>
        <w:t>Les prévisions de recettes pour la ressource propre fondée sur le système européen d’échange de quotas d’émission (SEQE 1) reposent sur un prix du carbone présumé de 88,33 EUR aux prix de 2025. Le nombre de quotas d’émission mis aux enchères découle des dispositions juridiques de la directive SEQE</w:t>
      </w:r>
      <w:r w:rsidRPr="002948ED">
        <w:rPr>
          <w:rStyle w:val="EndnoteReference"/>
          <w:noProof/>
        </w:rPr>
        <w:endnoteReference w:id="19"/>
      </w:r>
      <w:r w:rsidRPr="002948ED">
        <w:rPr>
          <w:rFonts w:asciiTheme="majorHAnsi" w:hAnsiTheme="majorHAnsi"/>
          <w:noProof/>
        </w:rPr>
        <w:t>.</w:t>
      </w:r>
    </w:p>
    <w:p w14:paraId="37E538BB" w14:textId="3F080C0B" w:rsidR="00FD3E53" w:rsidRPr="002948ED" w:rsidRDefault="00FD3E53" w:rsidP="00FD3E53">
      <w:pPr>
        <w:spacing w:before="180" w:after="120" w:line="276" w:lineRule="auto"/>
        <w:jc w:val="both"/>
        <w:rPr>
          <w:rFonts w:asciiTheme="majorHAnsi" w:hAnsiTheme="majorHAnsi"/>
          <w:noProof/>
        </w:rPr>
      </w:pPr>
      <w:r w:rsidRPr="002948ED">
        <w:rPr>
          <w:rFonts w:asciiTheme="majorHAnsi" w:hAnsiTheme="majorHAnsi"/>
          <w:noProof/>
        </w:rPr>
        <w:t xml:space="preserve">En ce qui concerne la ressource propre fondée sur les déchets électroniques, il convient tout d’abord de calculer la quantité de déchets d’équipements électriques et électroniques (DEEE) sous-jacents non collectés dans un État membre au cours d’une année donnée. Les taux de collecte devraient converger de manière linéaire vers l’objectif de collecte de l’UE de 65 % d’ici à 2034. </w:t>
      </w:r>
    </w:p>
    <w:p w14:paraId="6C329DD8" w14:textId="1FA53EFA" w:rsidR="00FD3E53" w:rsidRPr="002948ED" w:rsidRDefault="00FD3E53" w:rsidP="00FD3E53">
      <w:pPr>
        <w:spacing w:before="180" w:after="120" w:line="276" w:lineRule="auto"/>
        <w:jc w:val="both"/>
        <w:rPr>
          <w:rFonts w:asciiTheme="majorHAnsi" w:hAnsiTheme="majorHAnsi"/>
          <w:noProof/>
        </w:rPr>
      </w:pPr>
      <w:r w:rsidRPr="002948ED">
        <w:rPr>
          <w:rFonts w:asciiTheme="majorHAnsi" w:hAnsiTheme="majorHAnsi"/>
          <w:noProof/>
        </w:rPr>
        <w:t xml:space="preserve">Les recettes provenant de la ressource propre relative aux droits d’accise sur le tabac sont prévues sur la base de la directive relative aux droits d’accise sur le tabac et de sa proposition de refonte. </w:t>
      </w:r>
    </w:p>
    <w:p w14:paraId="2AD487E3" w14:textId="21DA4AF1" w:rsidR="00FD3E53" w:rsidRPr="002948ED" w:rsidRDefault="00FD3E53" w:rsidP="00FD3E53">
      <w:pPr>
        <w:spacing w:before="180" w:after="120" w:line="276" w:lineRule="auto"/>
        <w:jc w:val="both"/>
        <w:rPr>
          <w:rFonts w:asciiTheme="majorHAnsi" w:hAnsiTheme="majorHAnsi"/>
          <w:noProof/>
        </w:rPr>
      </w:pPr>
      <w:r w:rsidRPr="002948ED">
        <w:rPr>
          <w:rFonts w:asciiTheme="majorHAnsi" w:hAnsiTheme="majorHAnsi"/>
          <w:noProof/>
        </w:rPr>
        <w:t xml:space="preserve">Les recettes provenant de la ressource propre fondée sur le mécanisme d’ajustement carbone aux frontières (MACF) sont estimées sur la base du même prix du carbone que pour le SEQE 1. </w:t>
      </w:r>
    </w:p>
    <w:p w14:paraId="6C1196ED" w14:textId="497AE435" w:rsidR="00FD3E53" w:rsidRPr="002948ED" w:rsidRDefault="00FD3E53" w:rsidP="00FD3E53">
      <w:pPr>
        <w:spacing w:before="180" w:after="120" w:line="276" w:lineRule="auto"/>
        <w:jc w:val="both"/>
        <w:rPr>
          <w:rFonts w:asciiTheme="majorHAnsi" w:hAnsiTheme="majorHAnsi"/>
          <w:noProof/>
        </w:rPr>
      </w:pPr>
      <w:r w:rsidRPr="002948ED">
        <w:rPr>
          <w:rFonts w:asciiTheme="majorHAnsi" w:hAnsiTheme="majorHAnsi"/>
          <w:noProof/>
        </w:rPr>
        <w:t>Les projections pour la ressource pour l’Europe provenant des entreprises (CORE) sont fondées sur les données de 2023 de la base de données Orbis au niveau des entreprises. Une contribution forfaitaire annuelle de toutes les entreprises qui opèrent et vendent dans l’UE est appliquée conformément à la proposition de la Commission en faveur d’une nouvelle décision relative aux ressources propres.</w:t>
      </w:r>
    </w:p>
    <w:p w14:paraId="4CF707FE" w14:textId="61319BC2" w:rsidR="00FD3E53" w:rsidRPr="002948ED" w:rsidRDefault="00FD3E53" w:rsidP="00FD3E53">
      <w:pPr>
        <w:spacing w:before="180" w:after="120" w:line="276" w:lineRule="auto"/>
        <w:jc w:val="both"/>
        <w:rPr>
          <w:rFonts w:asciiTheme="majorHAnsi" w:hAnsiTheme="majorHAnsi"/>
          <w:noProof/>
        </w:rPr>
      </w:pPr>
      <w:r w:rsidRPr="002948ED">
        <w:rPr>
          <w:rFonts w:asciiTheme="majorHAnsi" w:hAnsiTheme="majorHAnsi"/>
          <w:noProof/>
        </w:rPr>
        <w:t>Les autres recettes du budget de l’UE comprennent les contributions du personnel, les recettes provenant du fonctionnement administratif des institutions, les contributions et les restitutions dans le cadre des accords et des programmes de l’UE, les intérêts de retard et les amendes, les recettes provenant des opérations d’emprunt et de prêt, les recettes provenant de frais non attribués à des dépenses spécifiques et les recettes diverses ainsi que les excédents des années précédentes. En raison de la volatilité qui les caractérise, la plupart de ces composantes sont difficiles à prévoir à long terme. Par conséquent, le montant annuel inclus dans la proposition de la Commission pour le prochain CPF de juillet 2025 (soit</w:t>
      </w:r>
      <w:r w:rsidRPr="002948ED">
        <w:rPr>
          <w:rFonts w:ascii="Calibri" w:hAnsi="Calibri"/>
          <w:noProof/>
        </w:rPr>
        <w:t xml:space="preserve"> </w:t>
      </w:r>
      <w:r w:rsidRPr="002948ED">
        <w:rPr>
          <w:rFonts w:asciiTheme="majorHAnsi" w:hAnsiTheme="majorHAnsi"/>
          <w:noProof/>
        </w:rPr>
        <w:t>3</w:t>
      </w:r>
      <w:r w:rsidRPr="002948ED">
        <w:rPr>
          <w:rFonts w:ascii="Calibri" w:hAnsi="Calibri"/>
          <w:noProof/>
        </w:rPr>
        <w:t> </w:t>
      </w:r>
      <w:r w:rsidRPr="002948ED">
        <w:rPr>
          <w:rFonts w:asciiTheme="majorHAnsi" w:hAnsiTheme="majorHAnsi"/>
          <w:noProof/>
        </w:rPr>
        <w:t>milliards d’EUR) devrait rester constant en termes nominaux au cours de la période couverte par les prévisions.</w:t>
      </w:r>
    </w:p>
    <w:p w14:paraId="434F20C0" w14:textId="67EAACC9" w:rsidR="00FD3E53" w:rsidRPr="002948ED" w:rsidRDefault="00FD3E53" w:rsidP="00FD3E53">
      <w:pPr>
        <w:spacing w:before="180" w:after="120" w:line="276" w:lineRule="auto"/>
        <w:jc w:val="both"/>
        <w:rPr>
          <w:rFonts w:asciiTheme="majorHAnsi" w:hAnsiTheme="majorHAnsi"/>
          <w:noProof/>
        </w:rPr>
      </w:pPr>
      <w:r w:rsidRPr="002948ED">
        <w:rPr>
          <w:rFonts w:asciiTheme="majorHAnsi" w:hAnsiTheme="majorHAnsi"/>
          <w:noProof/>
        </w:rPr>
        <w:t>Depuis 2021, outre les postes susmentionnés, les autres recettes du budget de l’UE comprendront également la contribution versée par le Royaume-Uni liée aux engagements restant à liquider (RAL) dont le Royaume-Uni est redevable, les obligations de retraite, ainsi que d’autres composantes du règlement financier, comme prévu dans l’accord de retrait</w:t>
      </w:r>
      <w:r w:rsidRPr="002948ED">
        <w:rPr>
          <w:rStyle w:val="EndnoteReference"/>
          <w:noProof/>
        </w:rPr>
        <w:endnoteReference w:id="20"/>
      </w:r>
      <w:r w:rsidRPr="002948ED">
        <w:rPr>
          <w:rFonts w:asciiTheme="majorHAnsi" w:hAnsiTheme="majorHAnsi"/>
          <w:noProof/>
        </w:rPr>
        <w:t>. La proposition de financement du projet de budget 2027 en tient également compte.</w:t>
      </w:r>
    </w:p>
    <w:p w14:paraId="7061C369" w14:textId="4E5609A0" w:rsidR="00FD3E53" w:rsidRPr="002948ED" w:rsidRDefault="00FD3E53" w:rsidP="00FD3E53">
      <w:pPr>
        <w:spacing w:before="180" w:after="120" w:line="276" w:lineRule="auto"/>
        <w:jc w:val="both"/>
        <w:rPr>
          <w:rFonts w:asciiTheme="majorHAnsi" w:hAnsiTheme="majorHAnsi"/>
          <w:noProof/>
        </w:rPr>
      </w:pPr>
      <w:r w:rsidRPr="002948ED">
        <w:rPr>
          <w:rFonts w:asciiTheme="majorHAnsi" w:hAnsiTheme="majorHAnsi"/>
          <w:noProof/>
        </w:rPr>
        <w:t>La contribution du Royaume-Uni liée aux engagements restant à liquider au 31 décembre 2020 est déterminée en appliquant la part du Royaume-Uni dans le financement aux paiements du RAL prévus pour chaque année de la période 2027-2034. La contribution annuelle qui en résulte tient compte des modalités de paiement fixées à l’article 148 de l’accord de retrait.</w:t>
      </w:r>
    </w:p>
    <w:p w14:paraId="72A67F9A" w14:textId="55487207" w:rsidR="00FD3E53" w:rsidRPr="002948ED" w:rsidRDefault="00FD3E53" w:rsidP="00FD3E53">
      <w:pPr>
        <w:spacing w:before="180" w:after="120" w:line="276" w:lineRule="auto"/>
        <w:jc w:val="both"/>
        <w:rPr>
          <w:rFonts w:asciiTheme="majorHAnsi" w:hAnsiTheme="majorHAnsi"/>
          <w:noProof/>
        </w:rPr>
      </w:pPr>
      <w:r w:rsidRPr="002948ED">
        <w:rPr>
          <w:rFonts w:asciiTheme="majorHAnsi" w:hAnsiTheme="majorHAnsi"/>
          <w:noProof/>
        </w:rPr>
        <w:t>Les prévisions relatives aux autres recettes incluent la contribution du Royaume-Uni aux engagements en matière de pension des membres et des titulaires de charges publiques de haut niveau de l’Union européenne, comme précisé à l’article 142, paragraphe 5, de l’accord de retrait. La contribution du Royaume-Uni aux pensions du personnel (estimée à 351 millions d’EUR dans le projet de budget 2027) est inscrite au budget de l’UE en tant que recettes affectées externes et ne fait donc pas partie des prévisions à long terme d’autres recettes.</w:t>
      </w:r>
    </w:p>
    <w:p w14:paraId="53EBA236" w14:textId="74745313" w:rsidR="00FD3E53" w:rsidRPr="002948ED" w:rsidRDefault="00FD3E53" w:rsidP="00FD3E53">
      <w:pPr>
        <w:spacing w:before="180" w:after="120" w:line="276" w:lineRule="auto"/>
        <w:jc w:val="both"/>
        <w:rPr>
          <w:rFonts w:asciiTheme="majorHAnsi" w:hAnsiTheme="majorHAnsi"/>
          <w:noProof/>
        </w:rPr>
      </w:pPr>
      <w:r w:rsidRPr="002948ED">
        <w:rPr>
          <w:rFonts w:asciiTheme="majorHAnsi" w:hAnsiTheme="majorHAnsi"/>
          <w:noProof/>
        </w:rPr>
        <w:t>Au cours d’une année donnée, le total des ressources propres perçues par l’Union ne peut dépasser le plafond des ressources propres fixé dans la décision (UE, Euratom) 2020/2053 du Conseil, qui est de 1,4 % du RNB de l’EU-27, avec une augmentation temporaire supplémentaire de 0,6 % du RNB de l’Union pour couvrir l’ensemble des engagements de l’Union découlant des emprunts sur les marchés de capitaux pour financer NextGenerationEU.</w:t>
      </w:r>
    </w:p>
    <w:p w14:paraId="5173F99A" w14:textId="3E117DC4" w:rsidR="00402978" w:rsidRPr="002948ED" w:rsidRDefault="007E1BB1" w:rsidP="00402978">
      <w:pPr>
        <w:spacing w:before="180" w:after="120" w:line="276" w:lineRule="auto"/>
        <w:jc w:val="both"/>
        <w:rPr>
          <w:rFonts w:asciiTheme="majorHAnsi" w:hAnsiTheme="majorHAnsi"/>
          <w:noProof/>
        </w:rPr>
      </w:pPr>
      <w:r w:rsidRPr="002948ED">
        <w:rPr>
          <w:rFonts w:asciiTheme="majorHAnsi" w:hAnsiTheme="majorHAnsi"/>
          <w:noProof/>
        </w:rPr>
        <w:t>La proposition de nouvelle décision relative aux ressources propres fixe les plafonds des ressources propres pour la période 2028-2034 comme suit:</w:t>
      </w:r>
    </w:p>
    <w:p w14:paraId="693B663B" w14:textId="0DA16803" w:rsidR="00402978" w:rsidRPr="002948ED" w:rsidRDefault="00402978" w:rsidP="00402978">
      <w:pPr>
        <w:pStyle w:val="ListParagraph"/>
        <w:numPr>
          <w:ilvl w:val="0"/>
          <w:numId w:val="32"/>
        </w:numPr>
        <w:spacing w:before="180" w:after="120" w:line="276" w:lineRule="auto"/>
        <w:jc w:val="both"/>
        <w:rPr>
          <w:rStyle w:val="amprcharCharttitle"/>
          <w:rFonts w:asciiTheme="majorHAnsi" w:hAnsiTheme="majorHAnsi"/>
          <w:b w:val="0"/>
          <w:bCs/>
          <w:noProof/>
          <w:color w:val="auto"/>
        </w:rPr>
      </w:pPr>
      <w:r w:rsidRPr="002948ED">
        <w:rPr>
          <w:rStyle w:val="amprcharCharttitle"/>
          <w:rFonts w:asciiTheme="majorHAnsi" w:hAnsiTheme="majorHAnsi"/>
          <w:b w:val="0"/>
          <w:noProof/>
          <w:color w:val="auto"/>
        </w:rPr>
        <w:t>1,75 % pour le plafond permanent;</w:t>
      </w:r>
    </w:p>
    <w:p w14:paraId="26CDC4BF" w14:textId="4D4F62FF" w:rsidR="00402978" w:rsidRPr="002948ED" w:rsidRDefault="00402978" w:rsidP="00402978">
      <w:pPr>
        <w:pStyle w:val="ListParagraph"/>
        <w:numPr>
          <w:ilvl w:val="0"/>
          <w:numId w:val="32"/>
        </w:numPr>
        <w:spacing w:before="180" w:after="120" w:line="276" w:lineRule="auto"/>
        <w:jc w:val="both"/>
        <w:rPr>
          <w:rStyle w:val="amprcharCharttitle"/>
          <w:rFonts w:asciiTheme="majorHAnsi" w:hAnsiTheme="majorHAnsi"/>
          <w:b w:val="0"/>
          <w:bCs/>
          <w:noProof/>
          <w:color w:val="auto"/>
        </w:rPr>
      </w:pPr>
      <w:r w:rsidRPr="002948ED">
        <w:rPr>
          <w:rStyle w:val="amprcharCharttitle"/>
          <w:rFonts w:asciiTheme="majorHAnsi" w:hAnsiTheme="majorHAnsi"/>
          <w:b w:val="0"/>
          <w:noProof/>
          <w:color w:val="auto"/>
        </w:rPr>
        <w:t>0,6 % pour le plafond qui couvre tous les engagements de l’Union provenant des emprunts sur les marchés des capitaux destinés à financer NextGenerationEU;</w:t>
      </w:r>
    </w:p>
    <w:p w14:paraId="3F0188A9" w14:textId="77777777" w:rsidR="00402978" w:rsidRPr="002948ED" w:rsidRDefault="00402978" w:rsidP="00402978">
      <w:pPr>
        <w:pStyle w:val="ListParagraph"/>
        <w:numPr>
          <w:ilvl w:val="0"/>
          <w:numId w:val="32"/>
        </w:numPr>
        <w:spacing w:before="180" w:after="120" w:line="276" w:lineRule="auto"/>
        <w:jc w:val="both"/>
        <w:rPr>
          <w:rStyle w:val="amprcharCharttitle"/>
          <w:rFonts w:asciiTheme="majorHAnsi" w:hAnsiTheme="majorHAnsi"/>
          <w:noProof/>
        </w:rPr>
      </w:pPr>
      <w:r w:rsidRPr="002948ED">
        <w:rPr>
          <w:rStyle w:val="amprcharCharttitle"/>
          <w:rFonts w:asciiTheme="majorHAnsi" w:hAnsiTheme="majorHAnsi"/>
          <w:b w:val="0"/>
          <w:noProof/>
          <w:color w:val="auto"/>
        </w:rPr>
        <w:t>0,25 % pour l’instrument de crise, en cas d’activation.</w:t>
      </w:r>
    </w:p>
    <w:p w14:paraId="6DE4F168" w14:textId="623F396B" w:rsidR="009C3C6B" w:rsidRPr="002948ED" w:rsidRDefault="00660100" w:rsidP="23B06DA2">
      <w:pPr>
        <w:spacing w:after="120" w:line="276" w:lineRule="auto"/>
        <w:jc w:val="both"/>
        <w:rPr>
          <w:rFonts w:asciiTheme="majorHAnsi" w:hAnsiTheme="majorHAnsi"/>
          <w:noProof/>
        </w:rPr>
      </w:pPr>
      <w:r w:rsidRPr="002948ED">
        <w:rPr>
          <w:rFonts w:asciiTheme="majorHAnsi" w:hAnsiTheme="majorHAnsi"/>
          <w:noProof/>
        </w:rPr>
        <w:t>La marge disponible sous le plafond permanent des ressources propres (la «marge de manœuvre») devrait décroître, étant donné que les paiements devraient augmenter en 2027 par rapport à 2026, tandis que le revenu national brut de l’Union devrait moins augmenter en proportion au cours de la même année. La marge sous le plafond permanent des ressources propres en 2027 sera d’environ</w:t>
      </w:r>
      <w:r w:rsidRPr="002948ED">
        <w:rPr>
          <w:rFonts w:ascii="Calibri" w:hAnsi="Calibri"/>
          <w:noProof/>
        </w:rPr>
        <w:t xml:space="preserve"> </w:t>
      </w:r>
      <w:r w:rsidRPr="002948ED">
        <w:rPr>
          <w:rFonts w:asciiTheme="majorHAnsi" w:hAnsiTheme="majorHAnsi"/>
          <w:noProof/>
        </w:rPr>
        <w:t>84</w:t>
      </w:r>
      <w:r w:rsidRPr="002948ED">
        <w:rPr>
          <w:rFonts w:ascii="Calibri" w:hAnsi="Calibri"/>
          <w:noProof/>
        </w:rPr>
        <w:t> </w:t>
      </w:r>
      <w:r w:rsidRPr="002948ED">
        <w:rPr>
          <w:rFonts w:asciiTheme="majorHAnsi" w:hAnsiTheme="majorHAnsi"/>
          <w:noProof/>
        </w:rPr>
        <w:t>milliards d’EUR.</w:t>
      </w:r>
    </w:p>
    <w:p w14:paraId="2B531C36" w14:textId="2FD7B839" w:rsidR="004857A9" w:rsidRPr="002948ED" w:rsidRDefault="009C3C6B" w:rsidP="23B06DA2">
      <w:pPr>
        <w:spacing w:after="120" w:line="276" w:lineRule="auto"/>
        <w:jc w:val="both"/>
        <w:rPr>
          <w:rFonts w:asciiTheme="majorHAnsi" w:hAnsiTheme="majorHAnsi"/>
          <w:noProof/>
        </w:rPr>
      </w:pPr>
      <w:r w:rsidRPr="002948ED">
        <w:rPr>
          <w:rFonts w:asciiTheme="majorHAnsi" w:hAnsiTheme="majorHAnsi"/>
          <w:noProof/>
        </w:rPr>
        <w:t>Pour la période 2028-2034, la marge sous le nouveau plafond permanent proposé par la Commission est estimée à</w:t>
      </w:r>
      <w:r w:rsidRPr="002948ED">
        <w:rPr>
          <w:rFonts w:ascii="Calibri" w:hAnsi="Calibri"/>
          <w:noProof/>
        </w:rPr>
        <w:t xml:space="preserve"> 155 </w:t>
      </w:r>
      <w:r w:rsidRPr="002948ED">
        <w:rPr>
          <w:rFonts w:asciiTheme="majorHAnsi" w:hAnsiTheme="majorHAnsi"/>
          <w:noProof/>
        </w:rPr>
        <w:t>milliards d’EUR par an en moyenne et la marge sous le plafond temporaire de NextGenerationEU à</w:t>
      </w:r>
      <w:r w:rsidRPr="002948ED">
        <w:rPr>
          <w:rFonts w:ascii="Calibri" w:hAnsi="Calibri"/>
          <w:noProof/>
        </w:rPr>
        <w:t xml:space="preserve"> </w:t>
      </w:r>
      <w:r w:rsidRPr="002948ED">
        <w:rPr>
          <w:rFonts w:asciiTheme="majorHAnsi" w:hAnsiTheme="majorHAnsi"/>
          <w:noProof/>
        </w:rPr>
        <w:t>116 milliards d’EUR en moyenne. Cela reflète les mises à jour des prévisions du RNB de l’UE pour les prévisions économiques du printemps 2026, les besoins actualisés pour les paiements du RAL antérieurs à 2028 et l’actualisation minimale des paiements de ressources non propres liés à la contribution du Royaume-Uni au titre de l’accord de retrait.</w:t>
      </w:r>
    </w:p>
    <w:p w14:paraId="4C94CD41" w14:textId="290EDF7F" w:rsidR="0006097B" w:rsidRPr="002948ED" w:rsidRDefault="0006097B" w:rsidP="23B06DA2">
      <w:pPr>
        <w:spacing w:after="120" w:line="276" w:lineRule="auto"/>
        <w:jc w:val="both"/>
        <w:rPr>
          <w:rFonts w:asciiTheme="majorHAnsi" w:hAnsiTheme="majorHAnsi"/>
          <w:noProof/>
        </w:rPr>
      </w:pPr>
      <w:r w:rsidRPr="002948ED">
        <w:rPr>
          <w:rFonts w:asciiTheme="majorHAnsi" w:hAnsiTheme="majorHAnsi"/>
          <w:noProof/>
        </w:rPr>
        <w:t>Tant pour le plafond permanent que pour le plafond temporaire des ressources propres de NextGenerationEU, la marge représente l’espace libre sous ces plafonds après prise en compte des ressources propres nécessaires au financement des dépenses budgétaires de l’UE, et pour les plafonds temporaires, les ressources propres destinées à couvrir les coûts de la couverture des intérêts et des remboursements de NextGenerationEU (à partir de 2028). Cette marge de manœuvre est nécessaire afin de couvrir les sorties supplémentaires liées à l’éventuelle matérialisation de passifs éventuels et d’éventuels crédits de paiement supplémentaires. Par rapport à la proposition de la Commission pour le prochain CFP de juillet 2025, il existe des passifs éventuels supplémentaires dus au prêt de soutien à l’Ukraine qui doivent être couverts par la marge de manœuvre (c’est-à-dire le montant principal de 90 milliards d’EUR et les coûts de financement associés).</w:t>
      </w:r>
    </w:p>
    <w:p w14:paraId="38BA6FDF" w14:textId="77777777" w:rsidR="005A497C" w:rsidRPr="002948ED" w:rsidRDefault="005A497C" w:rsidP="23B06DA2">
      <w:pPr>
        <w:spacing w:after="120" w:line="276" w:lineRule="auto"/>
        <w:jc w:val="both"/>
        <w:rPr>
          <w:rFonts w:asciiTheme="majorHAnsi" w:hAnsiTheme="majorHAnsi"/>
          <w:noProof/>
        </w:rPr>
      </w:pPr>
    </w:p>
    <w:p w14:paraId="34A9E241" w14:textId="05369CB5" w:rsidR="00861C1C" w:rsidRPr="002948ED" w:rsidRDefault="003B6DC2">
      <w:pPr>
        <w:pStyle w:val="amprH2TITLE1-Numbered-1"/>
        <w:rPr>
          <w:rFonts w:asciiTheme="majorHAnsi" w:hAnsiTheme="majorHAnsi"/>
          <w:noProof/>
        </w:rPr>
      </w:pPr>
      <w:bookmarkStart w:id="75" w:name="_Toc71745280"/>
      <w:bookmarkStart w:id="76" w:name="_Toc524523073"/>
      <w:bookmarkStart w:id="77" w:name="_Toc235786439"/>
      <w:bookmarkEnd w:id="75"/>
      <w:r w:rsidRPr="002948ED">
        <w:rPr>
          <w:rFonts w:asciiTheme="majorHAnsi" w:hAnsiTheme="majorHAnsi"/>
          <w:noProof/>
        </w:rPr>
        <w:t>Conclusions</w:t>
      </w:r>
      <w:bookmarkEnd w:id="76"/>
      <w:bookmarkEnd w:id="77"/>
    </w:p>
    <w:p w14:paraId="1653C95E" w14:textId="77777777" w:rsidR="001A24F3" w:rsidRPr="002948ED" w:rsidRDefault="001A24F3" w:rsidP="004334A3">
      <w:pPr>
        <w:spacing w:after="120" w:line="276" w:lineRule="auto"/>
        <w:jc w:val="both"/>
        <w:rPr>
          <w:rFonts w:asciiTheme="majorHAnsi" w:hAnsiTheme="majorHAnsi"/>
          <w:noProof/>
        </w:rPr>
      </w:pPr>
      <w:r w:rsidRPr="002948ED">
        <w:rPr>
          <w:rFonts w:asciiTheme="majorHAnsi" w:hAnsiTheme="majorHAnsi"/>
          <w:noProof/>
        </w:rPr>
        <w:t>Les prévisions confirment que le plafond des paiements proposé par la Commission pour le CFP 2028-2034 reste suffisant pour couvrir les dépenses actuellement attendues au cours de la période.</w:t>
      </w:r>
    </w:p>
    <w:p w14:paraId="34C57BB6" w14:textId="77777777" w:rsidR="001A24F3" w:rsidRPr="002948ED" w:rsidRDefault="001A24F3" w:rsidP="004334A3">
      <w:pPr>
        <w:spacing w:after="120" w:line="276" w:lineRule="auto"/>
        <w:jc w:val="both"/>
        <w:rPr>
          <w:rFonts w:asciiTheme="majorHAnsi" w:hAnsiTheme="majorHAnsi"/>
          <w:noProof/>
        </w:rPr>
      </w:pPr>
      <w:r w:rsidRPr="002948ED">
        <w:rPr>
          <w:rFonts w:asciiTheme="majorHAnsi" w:hAnsiTheme="majorHAnsi"/>
          <w:noProof/>
        </w:rPr>
        <w:t>Par rapport aux estimations qui sous-tendent la proposition de la Commission de juillet 2025, les prévisions de paiement relatives aux engagements contractés avant 2028 ont été revues à la baisse. Cela s’explique par une mise en œuvre soutenue et une exécution des paiements plus importante au cours des dernières années du CFP actuel, ce qui se traduira par une diminution du stock d’engagements restant à liquider à la fin de 2027. Le profil des paiements découlant des engagements antérieurs à 2028 reste néanmoins tributaire de l’évolution de la mise en œuvre en 2026 et 2027.</w:t>
      </w:r>
    </w:p>
    <w:p w14:paraId="1727B675" w14:textId="3BEE2BF0" w:rsidR="001A24F3" w:rsidRPr="002948ED" w:rsidRDefault="001A24F3">
      <w:pPr>
        <w:spacing w:after="120" w:line="276" w:lineRule="auto"/>
        <w:jc w:val="both"/>
        <w:rPr>
          <w:rFonts w:asciiTheme="majorHAnsi" w:hAnsiTheme="majorHAnsi"/>
          <w:noProof/>
        </w:rPr>
      </w:pPr>
      <w:r w:rsidRPr="002948ED">
        <w:rPr>
          <w:rFonts w:asciiTheme="majorHAnsi" w:hAnsiTheme="majorHAnsi"/>
          <w:noProof/>
        </w:rPr>
        <w:t>Dans le même temps, les prévisions relatives aux paiements liés aux programmes proposés au titre du CFP 2028-2034 continuent d’être fondées sur la proposition de la Commission de 2025. Étant donné que les négociations sur le futur CFP sont en cours, les paramètres ayant une incidence sur les besoins de paiement futurs restent susceptibles d’être modifiés.</w:t>
      </w:r>
    </w:p>
    <w:p w14:paraId="16060B5B" w14:textId="68EEA722" w:rsidR="001A24F3" w:rsidRPr="002948ED" w:rsidRDefault="00D6464A" w:rsidP="004334A3">
      <w:pPr>
        <w:spacing w:after="120" w:line="276" w:lineRule="auto"/>
        <w:jc w:val="both"/>
        <w:rPr>
          <w:rFonts w:asciiTheme="majorHAnsi" w:hAnsiTheme="majorHAnsi"/>
          <w:noProof/>
        </w:rPr>
      </w:pPr>
      <w:r w:rsidRPr="002948ED">
        <w:rPr>
          <w:rFonts w:asciiTheme="majorHAnsi" w:hAnsiTheme="majorHAnsi"/>
          <w:noProof/>
        </w:rPr>
        <w:t>Les différences actuellement observées entre le niveau prévu des paiements et le plafond des paiements proposé sont susceptibles d’évoluer, étant donné que les exigences en matière de paiements au titre du prochain CFP ne peuvent pas encore être pleinement établies. La réduction des paiements estimés liés aux engagements antérieurs à 2028 reflète les informations actualisées sur les besoins hérités du passé, tandis que le profil des paiements des futurs programmes reste provisoire.</w:t>
      </w:r>
    </w:p>
    <w:p w14:paraId="00EE535E" w14:textId="613A13AE" w:rsidR="001A24F3" w:rsidRPr="002948ED" w:rsidRDefault="001A24F3" w:rsidP="001A24F3">
      <w:pPr>
        <w:spacing w:after="120" w:line="276" w:lineRule="auto"/>
        <w:jc w:val="both"/>
        <w:rPr>
          <w:rFonts w:asciiTheme="majorHAnsi" w:hAnsiTheme="majorHAnsi"/>
          <w:noProof/>
        </w:rPr>
      </w:pPr>
      <w:r w:rsidRPr="002948ED">
        <w:rPr>
          <w:rFonts w:asciiTheme="majorHAnsi" w:hAnsiTheme="majorHAnsi"/>
          <w:noProof/>
        </w:rPr>
        <w:t xml:space="preserve">Les prévisions actuelles devraient donc être considérées comme une évaluation intermédiaire fondée sur la proposition de la Commission et les informations disponibles à ce stade. </w:t>
      </w:r>
    </w:p>
    <w:p w14:paraId="4AF03F3B" w14:textId="6D0C27EA" w:rsidR="004F6A78" w:rsidRPr="002948ED" w:rsidRDefault="004F6A78" w:rsidP="004334A3">
      <w:pPr>
        <w:spacing w:after="120" w:line="276" w:lineRule="auto"/>
        <w:jc w:val="both"/>
        <w:rPr>
          <w:rFonts w:asciiTheme="majorHAnsi" w:hAnsiTheme="majorHAnsi"/>
          <w:noProof/>
        </w:rPr>
      </w:pPr>
      <w:r w:rsidRPr="002948ED">
        <w:rPr>
          <w:rFonts w:asciiTheme="majorHAnsi" w:hAnsiTheme="majorHAnsi"/>
          <w:noProof/>
        </w:rPr>
        <w:t>Les prévisions indiquent également un niveau plus limité d’engagements restant à liquider par rapport à la taille de l’économie de l’UE et du futur CFP. Cette évolution positive reflète à la fois le renforcement de la mise en œuvre observé vers la fin de la période de programmation actuelle et le profil de mise en œuvre prévu dans la proposition de la Commission pour le CFP 2028-2034.</w:t>
      </w:r>
    </w:p>
    <w:p w14:paraId="76D1A985" w14:textId="116F78C2" w:rsidR="00861C1C" w:rsidRPr="002948ED" w:rsidRDefault="005C7748" w:rsidP="005C7748">
      <w:pPr>
        <w:spacing w:after="120" w:line="276" w:lineRule="auto"/>
        <w:jc w:val="both"/>
        <w:rPr>
          <w:rFonts w:asciiTheme="majorHAnsi" w:hAnsiTheme="majorHAnsi"/>
          <w:noProof/>
        </w:rPr>
      </w:pPr>
      <w:r w:rsidRPr="002948ED">
        <w:rPr>
          <w:rFonts w:asciiTheme="majorHAnsi" w:hAnsiTheme="majorHAnsi"/>
          <w:noProof/>
        </w:rPr>
        <w:t>Les recettes destinées à financer le budget suivent le cycle de dépenses du CFP. L’ensemble de nouvelles ressources propres proposé devrait réduire la charge pesant sur les contributions des États membres fondées sur la TVA et le RNB.</w:t>
      </w:r>
    </w:p>
    <w:p w14:paraId="64614B46" w14:textId="77777777" w:rsidR="00861C1C" w:rsidRPr="002948ED" w:rsidRDefault="00861C1C">
      <w:pPr>
        <w:spacing w:after="120" w:line="276" w:lineRule="auto"/>
        <w:jc w:val="both"/>
        <w:rPr>
          <w:rFonts w:asciiTheme="majorHAnsi" w:hAnsiTheme="majorHAnsi"/>
          <w:noProof/>
        </w:rPr>
        <w:sectPr w:rsidR="00861C1C" w:rsidRPr="002948ED">
          <w:headerReference w:type="default" r:id="rId26"/>
          <w:footerReference w:type="default" r:id="rId27"/>
          <w:pgSz w:w="11906" w:h="16838"/>
          <w:pgMar w:top="1321" w:right="1151" w:bottom="1440" w:left="1151" w:header="720" w:footer="720" w:gutter="0"/>
          <w:pgNumType w:start="1"/>
          <w:cols w:space="720"/>
          <w:docGrid w:linePitch="326"/>
        </w:sectPr>
      </w:pPr>
    </w:p>
    <w:p w14:paraId="4DF4B46E" w14:textId="1C7E6860" w:rsidR="00861C1C" w:rsidRPr="002948ED" w:rsidRDefault="00391EE0" w:rsidP="002A00F5">
      <w:pPr>
        <w:pStyle w:val="amprH2TITLE1"/>
        <w:spacing w:after="480"/>
        <w:rPr>
          <w:rFonts w:asciiTheme="majorHAnsi" w:hAnsiTheme="majorHAnsi"/>
          <w:noProof/>
        </w:rPr>
      </w:pPr>
      <w:bookmarkStart w:id="78" w:name="_Toc235786440"/>
      <w:bookmarkStart w:id="79" w:name="_Toc524523074"/>
      <w:bookmarkEnd w:id="70"/>
      <w:r w:rsidRPr="002948ED">
        <w:rPr>
          <w:rFonts w:asciiTheme="majorHAnsi" w:hAnsiTheme="majorHAnsi"/>
          <w:noProof/>
        </w:rPr>
        <w:t>Annexe II — Résultats des prévisions</w:t>
      </w:r>
      <w:bookmarkEnd w:id="78"/>
    </w:p>
    <w:bookmarkEnd w:id="79"/>
    <w:p w14:paraId="1823CB20" w14:textId="1C8DF275" w:rsidR="00EB3BDB" w:rsidRPr="002948ED" w:rsidRDefault="009838C1" w:rsidP="00850C3E">
      <w:pPr>
        <w:pStyle w:val="amprBodyText"/>
        <w:rPr>
          <w:rFonts w:asciiTheme="majorHAnsi" w:hAnsiTheme="majorHAnsi"/>
          <w:b/>
          <w:i/>
          <w:iCs/>
          <w:noProof/>
          <w:sz w:val="22"/>
          <w:szCs w:val="22"/>
        </w:rPr>
      </w:pPr>
      <w:r w:rsidRPr="002948ED">
        <w:rPr>
          <w:rFonts w:asciiTheme="majorHAnsi" w:hAnsiTheme="majorHAnsi"/>
          <w:i/>
          <w:noProof/>
          <w:sz w:val="22"/>
        </w:rPr>
        <w:t>Toutes les valeurs sont exprimées en milliards d’EUR aux prix courants, sauf indication contraire. Le total peut différer de la somme des rubriques en raison de l’arrondi.</w:t>
      </w:r>
    </w:p>
    <w:p w14:paraId="7CD51858" w14:textId="71F9DB43" w:rsidR="00861C1C" w:rsidRPr="002948ED" w:rsidRDefault="003B6DC2" w:rsidP="009C6708">
      <w:pPr>
        <w:pStyle w:val="Heading2"/>
        <w:rPr>
          <w:rFonts w:asciiTheme="majorHAnsi" w:hAnsiTheme="majorHAnsi"/>
          <w:noProof/>
        </w:rPr>
      </w:pPr>
      <w:bookmarkStart w:id="80" w:name="_Toc235786441"/>
      <w:r w:rsidRPr="002948ED">
        <w:rPr>
          <w:rFonts w:asciiTheme="majorHAnsi" w:hAnsiTheme="majorHAnsi"/>
          <w:noProof/>
        </w:rPr>
        <w:t>Tableau </w:t>
      </w:r>
      <w:r w:rsidRPr="002948ED">
        <w:rPr>
          <w:rFonts w:asciiTheme="majorHAnsi" w:hAnsiTheme="majorHAnsi"/>
          <w:noProof/>
        </w:rPr>
        <w:fldChar w:fldCharType="begin"/>
      </w:r>
      <w:r w:rsidRPr="002948ED">
        <w:rPr>
          <w:rFonts w:asciiTheme="majorHAnsi" w:hAnsiTheme="majorHAnsi"/>
          <w:noProof/>
        </w:rPr>
        <w:instrText xml:space="preserve"> SEQ Table \* ARABIC </w:instrText>
      </w:r>
      <w:r w:rsidRPr="002948ED">
        <w:rPr>
          <w:rFonts w:asciiTheme="majorHAnsi" w:hAnsiTheme="majorHAnsi"/>
          <w:noProof/>
        </w:rPr>
        <w:fldChar w:fldCharType="separate"/>
      </w:r>
      <w:r w:rsidRPr="002948ED">
        <w:rPr>
          <w:rFonts w:asciiTheme="majorHAnsi" w:hAnsiTheme="majorHAnsi"/>
          <w:noProof/>
        </w:rPr>
        <w:t>1</w:t>
      </w:r>
      <w:r w:rsidRPr="002948ED">
        <w:rPr>
          <w:rFonts w:asciiTheme="majorHAnsi" w:hAnsiTheme="majorHAnsi"/>
          <w:noProof/>
        </w:rPr>
        <w:fldChar w:fldCharType="end"/>
      </w:r>
      <w:r w:rsidRPr="002948ED">
        <w:rPr>
          <w:rFonts w:asciiTheme="majorHAnsi" w:hAnsiTheme="majorHAnsi"/>
          <w:noProof/>
        </w:rPr>
        <w:t>.1 — Prévisions à long terme concernant les sorties futures au cours de la période 2027-2034 pour le CFP</w:t>
      </w:r>
      <w:bookmarkEnd w:id="80"/>
    </w:p>
    <w:tbl>
      <w:tblPr>
        <w:tblStyle w:val="AMPR2021"/>
        <w:tblW w:w="5107" w:type="pct"/>
        <w:tblBorders>
          <w:top w:val="none" w:sz="0" w:space="0" w:color="auto"/>
          <w:insideH w:val="single" w:sz="6" w:space="0" w:color="BFBFBF" w:themeColor="background1" w:themeShade="BF"/>
          <w:insideV w:val="single" w:sz="6" w:space="0" w:color="BFBFBF" w:themeColor="background1" w:themeShade="BF"/>
        </w:tblBorders>
        <w:tblLook w:val="06A0" w:firstRow="1" w:lastRow="0" w:firstColumn="1" w:lastColumn="0" w:noHBand="1" w:noVBand="1"/>
      </w:tblPr>
      <w:tblGrid>
        <w:gridCol w:w="2264"/>
        <w:gridCol w:w="836"/>
        <w:gridCol w:w="838"/>
        <w:gridCol w:w="838"/>
        <w:gridCol w:w="839"/>
        <w:gridCol w:w="839"/>
        <w:gridCol w:w="839"/>
        <w:gridCol w:w="839"/>
        <w:gridCol w:w="839"/>
        <w:gridCol w:w="1059"/>
      </w:tblGrid>
      <w:tr w:rsidR="00607FF2" w:rsidRPr="002948ED" w14:paraId="11D38320" w14:textId="77777777" w:rsidTr="002B1A99">
        <w:trPr>
          <w:cnfStyle w:val="100000000000" w:firstRow="1" w:lastRow="0" w:firstColumn="0" w:lastColumn="0" w:oddVBand="0" w:evenVBand="0" w:oddHBand="0"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1129" w:type="pct"/>
            <w:vAlign w:val="center"/>
          </w:tcPr>
          <w:p w14:paraId="4D8A7161" w14:textId="495F1621" w:rsidR="00DF371E" w:rsidRPr="002948ED" w:rsidRDefault="00DF371E" w:rsidP="002A475F">
            <w:pPr>
              <w:spacing w:after="120"/>
              <w:rPr>
                <w:rFonts w:asciiTheme="majorHAnsi" w:eastAsia="Calibri" w:hAnsiTheme="majorHAnsi"/>
                <w:bCs/>
                <w:noProof/>
                <w:sz w:val="22"/>
                <w:szCs w:val="22"/>
              </w:rPr>
            </w:pPr>
            <w:r w:rsidRPr="002948ED">
              <w:rPr>
                <w:rFonts w:asciiTheme="majorHAnsi" w:hAnsiTheme="majorHAnsi"/>
                <w:noProof/>
                <w:sz w:val="22"/>
              </w:rPr>
              <w:t>Année</w:t>
            </w:r>
          </w:p>
        </w:tc>
        <w:tc>
          <w:tcPr>
            <w:tcW w:w="417" w:type="pct"/>
            <w:vAlign w:val="center"/>
          </w:tcPr>
          <w:p w14:paraId="6A0E29DC" w14:textId="0E72E1A6" w:rsidR="00DF371E" w:rsidRPr="002948ED"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2948ED">
              <w:rPr>
                <w:noProof/>
                <w:sz w:val="22"/>
              </w:rPr>
              <w:t>2027</w:t>
            </w:r>
          </w:p>
        </w:tc>
        <w:tc>
          <w:tcPr>
            <w:tcW w:w="418" w:type="pct"/>
            <w:vAlign w:val="center"/>
          </w:tcPr>
          <w:p w14:paraId="7ED12D07" w14:textId="124941F6" w:rsidR="00DF371E" w:rsidRPr="002948ED"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bCs/>
                <w:noProof/>
                <w:sz w:val="22"/>
                <w:szCs w:val="22"/>
              </w:rPr>
            </w:pPr>
            <w:r w:rsidRPr="002948ED">
              <w:rPr>
                <w:noProof/>
                <w:sz w:val="22"/>
              </w:rPr>
              <w:t>2028</w:t>
            </w:r>
          </w:p>
        </w:tc>
        <w:tc>
          <w:tcPr>
            <w:tcW w:w="418" w:type="pct"/>
            <w:vAlign w:val="center"/>
          </w:tcPr>
          <w:p w14:paraId="3C68C61F" w14:textId="48EF938B" w:rsidR="00DF371E" w:rsidRPr="002948ED"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2948ED">
              <w:rPr>
                <w:noProof/>
                <w:sz w:val="22"/>
              </w:rPr>
              <w:t>2029</w:t>
            </w:r>
          </w:p>
        </w:tc>
        <w:tc>
          <w:tcPr>
            <w:tcW w:w="418" w:type="pct"/>
            <w:vAlign w:val="center"/>
          </w:tcPr>
          <w:p w14:paraId="1A856E01" w14:textId="471332AE" w:rsidR="00DF371E" w:rsidRPr="002948ED"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2948ED">
              <w:rPr>
                <w:noProof/>
                <w:sz w:val="22"/>
              </w:rPr>
              <w:t>2030</w:t>
            </w:r>
          </w:p>
        </w:tc>
        <w:tc>
          <w:tcPr>
            <w:tcW w:w="418" w:type="pct"/>
            <w:vAlign w:val="center"/>
          </w:tcPr>
          <w:p w14:paraId="0BD9CE92" w14:textId="091AAB5A" w:rsidR="00DF371E" w:rsidRPr="002948ED"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2948ED">
              <w:rPr>
                <w:noProof/>
                <w:sz w:val="22"/>
              </w:rPr>
              <w:t>2031</w:t>
            </w:r>
          </w:p>
        </w:tc>
        <w:tc>
          <w:tcPr>
            <w:tcW w:w="418" w:type="pct"/>
            <w:vAlign w:val="center"/>
          </w:tcPr>
          <w:p w14:paraId="3DD65EFA" w14:textId="43D76648" w:rsidR="00DF371E" w:rsidRPr="002948ED"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2948ED">
              <w:rPr>
                <w:noProof/>
                <w:sz w:val="22"/>
              </w:rPr>
              <w:t>2032</w:t>
            </w:r>
          </w:p>
        </w:tc>
        <w:tc>
          <w:tcPr>
            <w:tcW w:w="418" w:type="pct"/>
            <w:vAlign w:val="center"/>
          </w:tcPr>
          <w:p w14:paraId="64066F8A" w14:textId="5BBB5A89" w:rsidR="00DF371E" w:rsidRPr="002948ED"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2948ED">
              <w:rPr>
                <w:noProof/>
                <w:sz w:val="22"/>
              </w:rPr>
              <w:t>2033</w:t>
            </w:r>
          </w:p>
        </w:tc>
        <w:tc>
          <w:tcPr>
            <w:tcW w:w="418" w:type="pct"/>
            <w:vAlign w:val="center"/>
          </w:tcPr>
          <w:p w14:paraId="65F1EF5A" w14:textId="6C88C78D" w:rsidR="00DF371E" w:rsidRPr="002948ED"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2948ED">
              <w:rPr>
                <w:noProof/>
                <w:sz w:val="22"/>
              </w:rPr>
              <w:t>2034</w:t>
            </w:r>
          </w:p>
        </w:tc>
        <w:tc>
          <w:tcPr>
            <w:tcW w:w="530" w:type="pct"/>
            <w:vAlign w:val="center"/>
          </w:tcPr>
          <w:p w14:paraId="56FAD1A3" w14:textId="30991BDD" w:rsidR="00DF371E" w:rsidRPr="002948ED"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2948ED">
              <w:rPr>
                <w:noProof/>
                <w:sz w:val="22"/>
              </w:rPr>
              <w:t>TOTAL</w:t>
            </w:r>
          </w:p>
        </w:tc>
      </w:tr>
      <w:tr w:rsidR="00EE23F8" w:rsidRPr="002948ED" w14:paraId="0EC073A7" w14:textId="77777777" w:rsidTr="002B1A99">
        <w:trPr>
          <w:trHeight w:val="313"/>
        </w:trPr>
        <w:tc>
          <w:tcPr>
            <w:cnfStyle w:val="001000000000" w:firstRow="0" w:lastRow="0" w:firstColumn="1" w:lastColumn="0" w:oddVBand="0" w:evenVBand="0" w:oddHBand="0" w:evenHBand="0" w:firstRowFirstColumn="0" w:firstRowLastColumn="0" w:lastRowFirstColumn="0" w:lastRowLastColumn="0"/>
            <w:tcW w:w="1129" w:type="pct"/>
          </w:tcPr>
          <w:p w14:paraId="4610EFB2" w14:textId="1224D226" w:rsidR="00DF371E" w:rsidRPr="002948ED" w:rsidRDefault="00DF371E" w:rsidP="00DF371E">
            <w:pPr>
              <w:spacing w:after="120"/>
              <w:rPr>
                <w:rFonts w:asciiTheme="majorHAnsi" w:eastAsia="Calibri" w:hAnsiTheme="majorHAnsi"/>
                <w:bCs/>
                <w:noProof/>
                <w:color w:val="003399" w:themeColor="text2"/>
                <w:sz w:val="22"/>
                <w:szCs w:val="22"/>
              </w:rPr>
            </w:pPr>
            <w:r w:rsidRPr="002948ED">
              <w:rPr>
                <w:rFonts w:asciiTheme="majorHAnsi" w:hAnsiTheme="majorHAnsi"/>
                <w:noProof/>
                <w:color w:val="003399" w:themeColor="text2"/>
                <w:sz w:val="22"/>
              </w:rPr>
              <w:t>Plafond des engagements</w:t>
            </w:r>
          </w:p>
        </w:tc>
        <w:tc>
          <w:tcPr>
            <w:tcW w:w="417" w:type="pct"/>
            <w:tcBorders>
              <w:top w:val="single" w:sz="8" w:space="0" w:color="BFBFBF"/>
              <w:left w:val="single" w:sz="8" w:space="0" w:color="BFBFBF"/>
              <w:bottom w:val="single" w:sz="8" w:space="0" w:color="BFBFBF"/>
              <w:right w:val="single" w:sz="8" w:space="0" w:color="BFBFBF"/>
            </w:tcBorders>
            <w:vAlign w:val="center"/>
          </w:tcPr>
          <w:p w14:paraId="29107334" w14:textId="01D46419" w:rsidR="00DF371E" w:rsidRPr="002948ED"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2948ED">
              <w:rPr>
                <w:b/>
                <w:noProof/>
                <w:color w:val="003399" w:themeColor="text2"/>
              </w:rPr>
              <w:t>188,8</w:t>
            </w:r>
          </w:p>
        </w:tc>
        <w:tc>
          <w:tcPr>
            <w:tcW w:w="418" w:type="pct"/>
            <w:tcBorders>
              <w:top w:val="single" w:sz="8" w:space="0" w:color="BFBFBF"/>
              <w:left w:val="nil"/>
              <w:bottom w:val="single" w:sz="8" w:space="0" w:color="BFBFBF"/>
              <w:right w:val="single" w:sz="8" w:space="0" w:color="BFBFBF"/>
            </w:tcBorders>
            <w:vAlign w:val="center"/>
          </w:tcPr>
          <w:p w14:paraId="77205E2A" w14:textId="4C10CF19" w:rsidR="00DF371E" w:rsidRPr="002948ED"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2948ED">
              <w:rPr>
                <w:b/>
                <w:noProof/>
                <w:color w:val="003399" w:themeColor="text2"/>
              </w:rPr>
              <w:t>269,5</w:t>
            </w:r>
          </w:p>
        </w:tc>
        <w:tc>
          <w:tcPr>
            <w:tcW w:w="418" w:type="pct"/>
            <w:tcBorders>
              <w:top w:val="single" w:sz="8" w:space="0" w:color="BFBFBF"/>
              <w:left w:val="nil"/>
              <w:bottom w:val="single" w:sz="8" w:space="0" w:color="BFBFBF"/>
              <w:right w:val="single" w:sz="8" w:space="0" w:color="BFBFBF"/>
            </w:tcBorders>
            <w:vAlign w:val="center"/>
          </w:tcPr>
          <w:p w14:paraId="2FC96E04" w14:textId="3BE5DEE1" w:rsidR="00DF371E" w:rsidRPr="002948ED"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i/>
                <w:noProof/>
                <w:color w:val="003399" w:themeColor="text2"/>
              </w:rPr>
            </w:pPr>
            <w:r w:rsidRPr="002948ED">
              <w:rPr>
                <w:b/>
                <w:noProof/>
                <w:color w:val="003399" w:themeColor="text2"/>
              </w:rPr>
              <w:t>282,9</w:t>
            </w:r>
          </w:p>
        </w:tc>
        <w:tc>
          <w:tcPr>
            <w:tcW w:w="418" w:type="pct"/>
            <w:tcBorders>
              <w:top w:val="single" w:sz="8" w:space="0" w:color="BFBFBF"/>
              <w:left w:val="nil"/>
              <w:bottom w:val="single" w:sz="8" w:space="0" w:color="BFBFBF"/>
              <w:right w:val="single" w:sz="8" w:space="0" w:color="BFBFBF"/>
            </w:tcBorders>
            <w:vAlign w:val="center"/>
          </w:tcPr>
          <w:p w14:paraId="5D8E5390" w14:textId="7CA444B0" w:rsidR="00DF371E" w:rsidRPr="002948ED"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2948ED">
              <w:rPr>
                <w:b/>
                <w:noProof/>
                <w:color w:val="003399" w:themeColor="text2"/>
              </w:rPr>
              <w:t>283,1</w:t>
            </w:r>
          </w:p>
        </w:tc>
        <w:tc>
          <w:tcPr>
            <w:tcW w:w="418" w:type="pct"/>
            <w:tcBorders>
              <w:top w:val="single" w:sz="8" w:space="0" w:color="BFBFBF"/>
              <w:left w:val="nil"/>
              <w:bottom w:val="single" w:sz="8" w:space="0" w:color="BFBFBF"/>
              <w:right w:val="single" w:sz="8" w:space="0" w:color="BFBFBF"/>
            </w:tcBorders>
            <w:vAlign w:val="center"/>
          </w:tcPr>
          <w:p w14:paraId="3828996C" w14:textId="44EC03CE" w:rsidR="00DF371E" w:rsidRPr="002948ED"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2948ED">
              <w:rPr>
                <w:b/>
                <w:noProof/>
                <w:color w:val="003399" w:themeColor="text2"/>
              </w:rPr>
              <w:t>290,4</w:t>
            </w:r>
          </w:p>
        </w:tc>
        <w:tc>
          <w:tcPr>
            <w:tcW w:w="418" w:type="pct"/>
            <w:tcBorders>
              <w:top w:val="single" w:sz="8" w:space="0" w:color="BFBFBF"/>
              <w:left w:val="nil"/>
              <w:bottom w:val="single" w:sz="8" w:space="0" w:color="BFBFBF"/>
              <w:right w:val="single" w:sz="8" w:space="0" w:color="BFBFBF"/>
            </w:tcBorders>
            <w:vAlign w:val="center"/>
          </w:tcPr>
          <w:p w14:paraId="0892A379" w14:textId="2D5AD705" w:rsidR="00DF371E" w:rsidRPr="002948ED"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2948ED">
              <w:rPr>
                <w:b/>
                <w:noProof/>
                <w:color w:val="003399" w:themeColor="text2"/>
              </w:rPr>
              <w:t>294,1</w:t>
            </w:r>
          </w:p>
        </w:tc>
        <w:tc>
          <w:tcPr>
            <w:tcW w:w="418" w:type="pct"/>
            <w:tcBorders>
              <w:top w:val="single" w:sz="8" w:space="0" w:color="BFBFBF"/>
              <w:left w:val="nil"/>
              <w:bottom w:val="single" w:sz="8" w:space="0" w:color="BFBFBF"/>
              <w:right w:val="single" w:sz="8" w:space="0" w:color="BFBFBF"/>
            </w:tcBorders>
            <w:vAlign w:val="center"/>
          </w:tcPr>
          <w:p w14:paraId="7C960742" w14:textId="10F7A4D9" w:rsidR="00DF371E" w:rsidRPr="002948ED"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2948ED">
              <w:rPr>
                <w:b/>
                <w:noProof/>
                <w:color w:val="003399" w:themeColor="text2"/>
              </w:rPr>
              <w:t>285,4</w:t>
            </w:r>
          </w:p>
        </w:tc>
        <w:tc>
          <w:tcPr>
            <w:tcW w:w="418" w:type="pct"/>
            <w:tcBorders>
              <w:top w:val="single" w:sz="8" w:space="0" w:color="BFBFBF"/>
              <w:left w:val="nil"/>
              <w:right w:val="single" w:sz="8" w:space="0" w:color="BFBFBF"/>
            </w:tcBorders>
            <w:vAlign w:val="center"/>
          </w:tcPr>
          <w:p w14:paraId="0B80A834" w14:textId="077BDDFF" w:rsidR="00DF371E" w:rsidRPr="002948ED"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i/>
                <w:noProof/>
                <w:color w:val="003399" w:themeColor="text2"/>
              </w:rPr>
            </w:pPr>
            <w:r w:rsidRPr="002948ED">
              <w:rPr>
                <w:b/>
                <w:noProof/>
                <w:color w:val="003399" w:themeColor="text2"/>
              </w:rPr>
              <w:t>279,7</w:t>
            </w:r>
          </w:p>
        </w:tc>
        <w:tc>
          <w:tcPr>
            <w:tcW w:w="530" w:type="pct"/>
            <w:tcBorders>
              <w:top w:val="single" w:sz="8" w:space="0" w:color="BFBFBF"/>
              <w:left w:val="nil"/>
              <w:bottom w:val="single" w:sz="8" w:space="0" w:color="BFBFBF"/>
              <w:right w:val="single" w:sz="8" w:space="0" w:color="BFBFBF"/>
            </w:tcBorders>
            <w:vAlign w:val="center"/>
          </w:tcPr>
          <w:p w14:paraId="27A8B8A6" w14:textId="72EA2B8C" w:rsidR="00DF371E" w:rsidRPr="002948ED" w:rsidRDefault="00DF371E"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sz w:val="22"/>
                <w:szCs w:val="22"/>
              </w:rPr>
            </w:pPr>
            <w:r w:rsidRPr="002948ED">
              <w:rPr>
                <w:b/>
                <w:noProof/>
                <w:sz w:val="22"/>
              </w:rPr>
              <w:t>2 173,7</w:t>
            </w:r>
          </w:p>
        </w:tc>
      </w:tr>
      <w:tr w:rsidR="00E71B3B" w:rsidRPr="002948ED" w14:paraId="5F681BD4" w14:textId="0E9E996B" w:rsidTr="00EA6749">
        <w:trPr>
          <w:trHeight w:val="313"/>
        </w:trPr>
        <w:tc>
          <w:tcPr>
            <w:cnfStyle w:val="001000000000" w:firstRow="0" w:lastRow="0" w:firstColumn="1" w:lastColumn="0" w:oddVBand="0" w:evenVBand="0" w:oddHBand="0" w:evenHBand="0" w:firstRowFirstColumn="0" w:firstRowLastColumn="0" w:lastRowFirstColumn="0" w:lastRowLastColumn="0"/>
            <w:tcW w:w="1129" w:type="pct"/>
            <w:shd w:val="clear" w:color="auto" w:fill="F3F7FF" w:themeFill="background2"/>
          </w:tcPr>
          <w:p w14:paraId="3178286A" w14:textId="77777777" w:rsidR="00DF371E" w:rsidRPr="002948ED" w:rsidRDefault="00DF371E" w:rsidP="00DF371E">
            <w:pPr>
              <w:spacing w:after="120"/>
              <w:rPr>
                <w:rFonts w:asciiTheme="majorHAnsi" w:eastAsia="Calibri" w:hAnsiTheme="majorHAnsi"/>
                <w:bCs/>
                <w:noProof/>
                <w:color w:val="003399" w:themeColor="text2"/>
                <w:sz w:val="22"/>
                <w:szCs w:val="22"/>
              </w:rPr>
            </w:pPr>
            <w:r w:rsidRPr="002948ED">
              <w:rPr>
                <w:rFonts w:asciiTheme="majorHAnsi" w:hAnsiTheme="majorHAnsi"/>
                <w:noProof/>
                <w:color w:val="003399" w:themeColor="text2"/>
                <w:sz w:val="22"/>
              </w:rPr>
              <w:t>Plafond des paiements</w:t>
            </w:r>
          </w:p>
        </w:tc>
        <w:tc>
          <w:tcPr>
            <w:tcW w:w="417" w:type="pct"/>
            <w:tcBorders>
              <w:top w:val="nil"/>
              <w:left w:val="nil"/>
              <w:bottom w:val="single" w:sz="8" w:space="0" w:color="BFBFBF"/>
              <w:right w:val="single" w:sz="8" w:space="0" w:color="BFBFBF"/>
            </w:tcBorders>
            <w:shd w:val="clear" w:color="auto" w:fill="F3F7FF" w:themeFill="background2"/>
            <w:vAlign w:val="center"/>
          </w:tcPr>
          <w:p w14:paraId="6C9D0B33" w14:textId="360025DA" w:rsidR="00DF371E" w:rsidRPr="002948ED"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2948ED">
              <w:rPr>
                <w:b/>
                <w:noProof/>
                <w:color w:val="003399" w:themeColor="text2"/>
              </w:rPr>
              <w:t>199,7</w:t>
            </w:r>
          </w:p>
        </w:tc>
        <w:tc>
          <w:tcPr>
            <w:tcW w:w="418" w:type="pct"/>
            <w:tcBorders>
              <w:top w:val="nil"/>
              <w:left w:val="nil"/>
              <w:bottom w:val="single" w:sz="8" w:space="0" w:color="BFBFBF"/>
              <w:right w:val="single" w:sz="8" w:space="0" w:color="BFBFBF"/>
            </w:tcBorders>
            <w:shd w:val="clear" w:color="auto" w:fill="F3F7FF" w:themeFill="background2"/>
            <w:vAlign w:val="center"/>
          </w:tcPr>
          <w:p w14:paraId="5FC39066" w14:textId="3EB8E819" w:rsidR="00DF371E" w:rsidRPr="002948ED"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2948ED">
              <w:rPr>
                <w:b/>
                <w:noProof/>
                <w:color w:val="003399" w:themeColor="text2"/>
              </w:rPr>
              <w:t>270,0</w:t>
            </w:r>
          </w:p>
        </w:tc>
        <w:tc>
          <w:tcPr>
            <w:tcW w:w="418" w:type="pct"/>
            <w:tcBorders>
              <w:top w:val="nil"/>
              <w:left w:val="nil"/>
              <w:bottom w:val="single" w:sz="8" w:space="0" w:color="BFBFBF"/>
              <w:right w:val="single" w:sz="8" w:space="0" w:color="BFBFBF"/>
            </w:tcBorders>
            <w:shd w:val="clear" w:color="auto" w:fill="F3F7FF" w:themeFill="background2"/>
            <w:vAlign w:val="center"/>
          </w:tcPr>
          <w:p w14:paraId="15A56518" w14:textId="56ACE0FF" w:rsidR="00DF371E" w:rsidRPr="002948ED"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2948ED">
              <w:rPr>
                <w:b/>
                <w:noProof/>
                <w:color w:val="003399" w:themeColor="text2"/>
              </w:rPr>
              <w:t>300,7</w:t>
            </w:r>
          </w:p>
        </w:tc>
        <w:tc>
          <w:tcPr>
            <w:tcW w:w="418" w:type="pct"/>
            <w:tcBorders>
              <w:top w:val="nil"/>
              <w:left w:val="nil"/>
              <w:bottom w:val="single" w:sz="8" w:space="0" w:color="BFBFBF"/>
              <w:right w:val="single" w:sz="8" w:space="0" w:color="BFBFBF"/>
            </w:tcBorders>
            <w:shd w:val="clear" w:color="auto" w:fill="F3F7FF" w:themeFill="background2"/>
            <w:vAlign w:val="center"/>
          </w:tcPr>
          <w:p w14:paraId="757053E4" w14:textId="41406F47" w:rsidR="00DF371E" w:rsidRPr="002948ED"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2948ED">
              <w:rPr>
                <w:b/>
                <w:noProof/>
                <w:color w:val="003399" w:themeColor="text2"/>
              </w:rPr>
              <w:t>297,1</w:t>
            </w:r>
          </w:p>
        </w:tc>
        <w:tc>
          <w:tcPr>
            <w:tcW w:w="418" w:type="pct"/>
            <w:tcBorders>
              <w:top w:val="nil"/>
              <w:left w:val="nil"/>
              <w:bottom w:val="single" w:sz="8" w:space="0" w:color="BFBFBF"/>
              <w:right w:val="single" w:sz="8" w:space="0" w:color="BFBFBF"/>
            </w:tcBorders>
            <w:shd w:val="clear" w:color="auto" w:fill="F3F7FF" w:themeFill="background2"/>
            <w:vAlign w:val="center"/>
          </w:tcPr>
          <w:p w14:paraId="714F509B" w14:textId="5FF9CC0F" w:rsidR="00DF371E" w:rsidRPr="002948ED"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2948ED">
              <w:rPr>
                <w:b/>
                <w:noProof/>
                <w:color w:val="003399" w:themeColor="text2"/>
              </w:rPr>
              <w:t>292,8</w:t>
            </w:r>
          </w:p>
        </w:tc>
        <w:tc>
          <w:tcPr>
            <w:tcW w:w="418" w:type="pct"/>
            <w:tcBorders>
              <w:top w:val="nil"/>
              <w:left w:val="nil"/>
              <w:bottom w:val="single" w:sz="8" w:space="0" w:color="BFBFBF"/>
              <w:right w:val="single" w:sz="8" w:space="0" w:color="BFBFBF"/>
            </w:tcBorders>
            <w:shd w:val="clear" w:color="auto" w:fill="F3F7FF" w:themeFill="background2"/>
            <w:vAlign w:val="center"/>
          </w:tcPr>
          <w:p w14:paraId="0AD4310A" w14:textId="0D16506A" w:rsidR="00DF371E" w:rsidRPr="002948ED"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2948ED">
              <w:rPr>
                <w:b/>
                <w:noProof/>
                <w:color w:val="003399" w:themeColor="text2"/>
              </w:rPr>
              <w:t>277,4</w:t>
            </w:r>
          </w:p>
        </w:tc>
        <w:tc>
          <w:tcPr>
            <w:tcW w:w="418" w:type="pct"/>
            <w:tcBorders>
              <w:top w:val="nil"/>
              <w:left w:val="nil"/>
              <w:bottom w:val="single" w:sz="8" w:space="0" w:color="BFBFBF"/>
              <w:right w:val="single" w:sz="8" w:space="0" w:color="BFBFBF"/>
            </w:tcBorders>
            <w:shd w:val="clear" w:color="auto" w:fill="F3F7FF" w:themeFill="background2"/>
            <w:vAlign w:val="center"/>
          </w:tcPr>
          <w:p w14:paraId="096A0150" w14:textId="2C17BABD" w:rsidR="00DF371E" w:rsidRPr="002948ED"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2948ED">
              <w:rPr>
                <w:b/>
                <w:noProof/>
                <w:color w:val="003399" w:themeColor="text2"/>
              </w:rPr>
              <w:t>274,7</w:t>
            </w:r>
          </w:p>
        </w:tc>
        <w:tc>
          <w:tcPr>
            <w:tcW w:w="418" w:type="pct"/>
            <w:tcBorders>
              <w:left w:val="nil"/>
              <w:right w:val="single" w:sz="8" w:space="0" w:color="BFBFBF"/>
            </w:tcBorders>
            <w:shd w:val="clear" w:color="auto" w:fill="F3F7FF" w:themeFill="background2"/>
            <w:vAlign w:val="center"/>
          </w:tcPr>
          <w:p w14:paraId="55BF4004" w14:textId="2563C266" w:rsidR="00DF371E" w:rsidRPr="002948ED"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2948ED">
              <w:rPr>
                <w:b/>
                <w:noProof/>
                <w:color w:val="003399" w:themeColor="text2"/>
              </w:rPr>
              <w:t>267,5</w:t>
            </w:r>
          </w:p>
        </w:tc>
        <w:tc>
          <w:tcPr>
            <w:tcW w:w="530" w:type="pct"/>
            <w:tcBorders>
              <w:top w:val="nil"/>
              <w:left w:val="nil"/>
              <w:bottom w:val="single" w:sz="8" w:space="0" w:color="BFBFBF"/>
              <w:right w:val="single" w:sz="8" w:space="0" w:color="BFBFBF"/>
            </w:tcBorders>
            <w:shd w:val="clear" w:color="auto" w:fill="F3F7FF" w:themeFill="background2"/>
            <w:vAlign w:val="center"/>
          </w:tcPr>
          <w:p w14:paraId="712E1F63" w14:textId="7AD06CE9" w:rsidR="00DF371E" w:rsidRPr="002948ED" w:rsidRDefault="00DF371E"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b/>
                <w:noProof/>
                <w:sz w:val="22"/>
                <w:szCs w:val="22"/>
              </w:rPr>
            </w:pPr>
            <w:r w:rsidRPr="002948ED">
              <w:rPr>
                <w:b/>
                <w:noProof/>
                <w:sz w:val="22"/>
              </w:rPr>
              <w:t>2 179,8</w:t>
            </w:r>
          </w:p>
        </w:tc>
      </w:tr>
      <w:tr w:rsidR="00EE23F8" w:rsidRPr="002948ED" w14:paraId="1862E808" w14:textId="399A6DFC" w:rsidTr="002B1A99">
        <w:trPr>
          <w:trHeight w:val="313"/>
        </w:trPr>
        <w:tc>
          <w:tcPr>
            <w:cnfStyle w:val="001000000000" w:firstRow="0" w:lastRow="0" w:firstColumn="1" w:lastColumn="0" w:oddVBand="0" w:evenVBand="0" w:oddHBand="0" w:evenHBand="0" w:firstRowFirstColumn="0" w:firstRowLastColumn="0" w:lastRowFirstColumn="0" w:lastRowLastColumn="0"/>
            <w:tcW w:w="1129" w:type="pct"/>
          </w:tcPr>
          <w:p w14:paraId="1DBD8B65" w14:textId="77777777" w:rsidR="00EE23F8" w:rsidRPr="002948ED" w:rsidRDefault="00EE23F8" w:rsidP="00EE23F8">
            <w:pPr>
              <w:spacing w:after="120"/>
              <w:rPr>
                <w:rFonts w:asciiTheme="majorHAnsi" w:eastAsia="Calibri" w:hAnsiTheme="majorHAnsi"/>
                <w:b w:val="0"/>
                <w:bCs/>
                <w:noProof/>
                <w:color w:val="003399" w:themeColor="text2"/>
                <w:sz w:val="22"/>
                <w:szCs w:val="22"/>
              </w:rPr>
            </w:pPr>
            <w:r w:rsidRPr="002948ED">
              <w:rPr>
                <w:rFonts w:asciiTheme="majorHAnsi" w:hAnsiTheme="majorHAnsi"/>
                <w:b w:val="0"/>
                <w:noProof/>
                <w:color w:val="003399" w:themeColor="text2"/>
                <w:sz w:val="22"/>
              </w:rPr>
              <w:t>Engagements (programmés)*</w:t>
            </w:r>
          </w:p>
        </w:tc>
        <w:tc>
          <w:tcPr>
            <w:tcW w:w="417" w:type="pct"/>
            <w:tcBorders>
              <w:top w:val="nil"/>
              <w:left w:val="nil"/>
              <w:bottom w:val="single" w:sz="8" w:space="0" w:color="BFBFBF"/>
              <w:right w:val="single" w:sz="8" w:space="0" w:color="BFBFBF"/>
            </w:tcBorders>
            <w:vAlign w:val="center"/>
          </w:tcPr>
          <w:p w14:paraId="51A410FC" w14:textId="7F257F72" w:rsidR="00EE23F8" w:rsidRPr="002948ED"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2948ED">
              <w:rPr>
                <w:noProof/>
                <w:color w:val="003399" w:themeColor="text2"/>
              </w:rPr>
              <w:t>199,9</w:t>
            </w:r>
          </w:p>
        </w:tc>
        <w:tc>
          <w:tcPr>
            <w:tcW w:w="418" w:type="pct"/>
            <w:tcBorders>
              <w:top w:val="nil"/>
              <w:left w:val="nil"/>
              <w:bottom w:val="single" w:sz="8" w:space="0" w:color="BFBFBF"/>
              <w:right w:val="single" w:sz="8" w:space="0" w:color="BFBFBF"/>
            </w:tcBorders>
            <w:vAlign w:val="center"/>
          </w:tcPr>
          <w:p w14:paraId="1E2C8597" w14:textId="5C9721B0" w:rsidR="00EE23F8" w:rsidRPr="002948ED"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2948ED">
              <w:rPr>
                <w:noProof/>
                <w:color w:val="003399" w:themeColor="text2"/>
              </w:rPr>
              <w:t>269,5</w:t>
            </w:r>
          </w:p>
        </w:tc>
        <w:tc>
          <w:tcPr>
            <w:tcW w:w="418" w:type="pct"/>
            <w:tcBorders>
              <w:top w:val="nil"/>
              <w:left w:val="nil"/>
              <w:bottom w:val="single" w:sz="8" w:space="0" w:color="BFBFBF"/>
              <w:right w:val="single" w:sz="8" w:space="0" w:color="BFBFBF"/>
            </w:tcBorders>
            <w:vAlign w:val="center"/>
          </w:tcPr>
          <w:p w14:paraId="1EFBD65A" w14:textId="2CF43EB8" w:rsidR="00EE23F8" w:rsidRPr="002948ED"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2948ED">
              <w:rPr>
                <w:noProof/>
                <w:color w:val="003399" w:themeColor="text2"/>
              </w:rPr>
              <w:t>282,9</w:t>
            </w:r>
          </w:p>
        </w:tc>
        <w:tc>
          <w:tcPr>
            <w:tcW w:w="418" w:type="pct"/>
            <w:tcBorders>
              <w:top w:val="nil"/>
              <w:left w:val="nil"/>
              <w:bottom w:val="single" w:sz="8" w:space="0" w:color="BFBFBF"/>
              <w:right w:val="single" w:sz="8" w:space="0" w:color="BFBFBF"/>
            </w:tcBorders>
            <w:vAlign w:val="center"/>
          </w:tcPr>
          <w:p w14:paraId="747A38A2" w14:textId="3116F442" w:rsidR="00EE23F8" w:rsidRPr="002948ED"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2948ED">
              <w:rPr>
                <w:noProof/>
                <w:color w:val="003399" w:themeColor="text2"/>
              </w:rPr>
              <w:t>283,1</w:t>
            </w:r>
          </w:p>
        </w:tc>
        <w:tc>
          <w:tcPr>
            <w:tcW w:w="418" w:type="pct"/>
            <w:tcBorders>
              <w:top w:val="nil"/>
              <w:left w:val="nil"/>
              <w:bottom w:val="single" w:sz="8" w:space="0" w:color="BFBFBF"/>
              <w:right w:val="single" w:sz="8" w:space="0" w:color="BFBFBF"/>
            </w:tcBorders>
            <w:vAlign w:val="center"/>
          </w:tcPr>
          <w:p w14:paraId="0FDB81C3" w14:textId="58A55287" w:rsidR="00EE23F8" w:rsidRPr="002948ED"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2948ED">
              <w:rPr>
                <w:noProof/>
                <w:color w:val="003399" w:themeColor="text2"/>
              </w:rPr>
              <w:t>290,4</w:t>
            </w:r>
          </w:p>
        </w:tc>
        <w:tc>
          <w:tcPr>
            <w:tcW w:w="418" w:type="pct"/>
            <w:tcBorders>
              <w:top w:val="nil"/>
              <w:left w:val="nil"/>
              <w:bottom w:val="single" w:sz="8" w:space="0" w:color="BFBFBF"/>
              <w:right w:val="single" w:sz="8" w:space="0" w:color="BFBFBF"/>
            </w:tcBorders>
            <w:vAlign w:val="center"/>
          </w:tcPr>
          <w:p w14:paraId="730DC052" w14:textId="595BFAFB" w:rsidR="00EE23F8" w:rsidRPr="002948ED"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2948ED">
              <w:rPr>
                <w:noProof/>
                <w:color w:val="003399" w:themeColor="text2"/>
              </w:rPr>
              <w:t>294,1</w:t>
            </w:r>
          </w:p>
        </w:tc>
        <w:tc>
          <w:tcPr>
            <w:tcW w:w="418" w:type="pct"/>
            <w:tcBorders>
              <w:top w:val="nil"/>
              <w:left w:val="nil"/>
              <w:bottom w:val="single" w:sz="8" w:space="0" w:color="BFBFBF"/>
              <w:right w:val="single" w:sz="8" w:space="0" w:color="BFBFBF"/>
            </w:tcBorders>
            <w:vAlign w:val="center"/>
          </w:tcPr>
          <w:p w14:paraId="7198099D" w14:textId="38B84547" w:rsidR="00EE23F8" w:rsidRPr="002948ED"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2948ED">
              <w:rPr>
                <w:noProof/>
                <w:color w:val="003399" w:themeColor="text2"/>
              </w:rPr>
              <w:t>285,4</w:t>
            </w:r>
          </w:p>
        </w:tc>
        <w:tc>
          <w:tcPr>
            <w:tcW w:w="418" w:type="pct"/>
            <w:tcBorders>
              <w:left w:val="nil"/>
              <w:right w:val="single" w:sz="8" w:space="0" w:color="BFBFBF"/>
            </w:tcBorders>
            <w:vAlign w:val="center"/>
          </w:tcPr>
          <w:p w14:paraId="1378B33F" w14:textId="10468352" w:rsidR="00EE23F8" w:rsidRPr="002948ED"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2948ED">
              <w:rPr>
                <w:noProof/>
                <w:color w:val="003399" w:themeColor="text2"/>
              </w:rPr>
              <w:t>279,7</w:t>
            </w:r>
          </w:p>
        </w:tc>
        <w:tc>
          <w:tcPr>
            <w:tcW w:w="530" w:type="pct"/>
            <w:tcBorders>
              <w:top w:val="nil"/>
              <w:left w:val="nil"/>
              <w:bottom w:val="single" w:sz="8" w:space="0" w:color="BFBFBF"/>
              <w:right w:val="single" w:sz="8" w:space="0" w:color="BFBFBF"/>
            </w:tcBorders>
            <w:vAlign w:val="center"/>
          </w:tcPr>
          <w:p w14:paraId="46600046" w14:textId="46DBC396" w:rsidR="00EE23F8" w:rsidRPr="002948ED"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b/>
                <w:noProof/>
                <w:sz w:val="22"/>
                <w:szCs w:val="22"/>
              </w:rPr>
            </w:pPr>
            <w:r w:rsidRPr="002948ED">
              <w:rPr>
                <w:b/>
                <w:noProof/>
                <w:sz w:val="22"/>
              </w:rPr>
              <w:t>2 184,8</w:t>
            </w:r>
          </w:p>
        </w:tc>
      </w:tr>
      <w:tr w:rsidR="00E71B3B" w:rsidRPr="002948ED" w14:paraId="2775948F" w14:textId="18124EBE" w:rsidTr="00EA6749">
        <w:trPr>
          <w:trHeight w:val="313"/>
        </w:trPr>
        <w:tc>
          <w:tcPr>
            <w:cnfStyle w:val="001000000000" w:firstRow="0" w:lastRow="0" w:firstColumn="1" w:lastColumn="0" w:oddVBand="0" w:evenVBand="0" w:oddHBand="0" w:evenHBand="0" w:firstRowFirstColumn="0" w:firstRowLastColumn="0" w:lastRowFirstColumn="0" w:lastRowLastColumn="0"/>
            <w:tcW w:w="1129" w:type="pct"/>
            <w:tcBorders>
              <w:bottom w:val="single" w:sz="6" w:space="0" w:color="BFBFBF" w:themeColor="background1" w:themeShade="BF"/>
            </w:tcBorders>
            <w:shd w:val="clear" w:color="auto" w:fill="F3F7FF" w:themeFill="background2"/>
          </w:tcPr>
          <w:p w14:paraId="256C2DB6" w14:textId="1B373DC8" w:rsidR="00EE23F8" w:rsidRPr="002948ED" w:rsidRDefault="00EE23F8" w:rsidP="00EE23F8">
            <w:pPr>
              <w:spacing w:after="120"/>
              <w:rPr>
                <w:rFonts w:asciiTheme="majorHAnsi" w:eastAsia="Calibri" w:hAnsiTheme="majorHAnsi"/>
                <w:b w:val="0"/>
                <w:bCs/>
                <w:noProof/>
                <w:color w:val="003399" w:themeColor="text2"/>
                <w:sz w:val="22"/>
                <w:szCs w:val="22"/>
              </w:rPr>
            </w:pPr>
            <w:r w:rsidRPr="002948ED">
              <w:rPr>
                <w:rFonts w:asciiTheme="majorHAnsi" w:hAnsiTheme="majorHAnsi"/>
                <w:b w:val="0"/>
                <w:noProof/>
                <w:color w:val="003399" w:themeColor="text2"/>
                <w:sz w:val="22"/>
              </w:rPr>
              <w:t>Paiements prévus**</w:t>
            </w:r>
          </w:p>
        </w:tc>
        <w:tc>
          <w:tcPr>
            <w:tcW w:w="417" w:type="pct"/>
            <w:tcBorders>
              <w:top w:val="nil"/>
              <w:left w:val="nil"/>
              <w:bottom w:val="single" w:sz="8" w:space="0" w:color="BFBFBF"/>
              <w:right w:val="single" w:sz="8" w:space="0" w:color="BFBFBF"/>
            </w:tcBorders>
            <w:shd w:val="clear" w:color="auto" w:fill="F3F7FF" w:themeFill="background2"/>
            <w:vAlign w:val="center"/>
          </w:tcPr>
          <w:p w14:paraId="090EDE20" w14:textId="7C28A20C" w:rsidR="00EE23F8" w:rsidRPr="002948ED"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2948ED">
              <w:rPr>
                <w:noProof/>
                <w:color w:val="003399" w:themeColor="text2"/>
              </w:rPr>
              <w:t>212,0</w:t>
            </w:r>
          </w:p>
        </w:tc>
        <w:tc>
          <w:tcPr>
            <w:tcW w:w="418" w:type="pct"/>
            <w:tcBorders>
              <w:top w:val="nil"/>
              <w:left w:val="nil"/>
              <w:bottom w:val="single" w:sz="8" w:space="0" w:color="BFBFBF"/>
              <w:right w:val="single" w:sz="8" w:space="0" w:color="BFBFBF"/>
            </w:tcBorders>
            <w:shd w:val="clear" w:color="auto" w:fill="F3F7FF" w:themeFill="background2"/>
            <w:vAlign w:val="center"/>
          </w:tcPr>
          <w:p w14:paraId="1A6C36A3" w14:textId="3DDDAE94" w:rsidR="00EE23F8" w:rsidRPr="002948ED"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2948ED">
              <w:rPr>
                <w:noProof/>
                <w:color w:val="003399" w:themeColor="text2"/>
              </w:rPr>
              <w:t>265,6</w:t>
            </w:r>
          </w:p>
        </w:tc>
        <w:tc>
          <w:tcPr>
            <w:tcW w:w="418" w:type="pct"/>
            <w:tcBorders>
              <w:top w:val="nil"/>
              <w:left w:val="nil"/>
              <w:bottom w:val="single" w:sz="8" w:space="0" w:color="BFBFBF"/>
              <w:right w:val="single" w:sz="8" w:space="0" w:color="BFBFBF"/>
            </w:tcBorders>
            <w:shd w:val="clear" w:color="auto" w:fill="F3F7FF" w:themeFill="background2"/>
            <w:vAlign w:val="center"/>
          </w:tcPr>
          <w:p w14:paraId="1C4723C1" w14:textId="7C7F464B" w:rsidR="00EE23F8" w:rsidRPr="002948ED"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2948ED">
              <w:rPr>
                <w:noProof/>
                <w:color w:val="003399" w:themeColor="text2"/>
              </w:rPr>
              <w:t>284,1</w:t>
            </w:r>
          </w:p>
        </w:tc>
        <w:tc>
          <w:tcPr>
            <w:tcW w:w="418" w:type="pct"/>
            <w:tcBorders>
              <w:top w:val="nil"/>
              <w:left w:val="nil"/>
              <w:bottom w:val="single" w:sz="8" w:space="0" w:color="BFBFBF"/>
              <w:right w:val="single" w:sz="8" w:space="0" w:color="BFBFBF"/>
            </w:tcBorders>
            <w:shd w:val="clear" w:color="auto" w:fill="F3F7FF" w:themeFill="background2"/>
            <w:vAlign w:val="center"/>
          </w:tcPr>
          <w:p w14:paraId="11637B16" w14:textId="39B8A5FB" w:rsidR="00EE23F8" w:rsidRPr="002948ED"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2948ED">
              <w:rPr>
                <w:noProof/>
                <w:color w:val="003399" w:themeColor="text2"/>
              </w:rPr>
              <w:t>310,7</w:t>
            </w:r>
          </w:p>
        </w:tc>
        <w:tc>
          <w:tcPr>
            <w:tcW w:w="418" w:type="pct"/>
            <w:tcBorders>
              <w:top w:val="nil"/>
              <w:left w:val="nil"/>
              <w:bottom w:val="single" w:sz="8" w:space="0" w:color="BFBFBF"/>
              <w:right w:val="single" w:sz="8" w:space="0" w:color="BFBFBF"/>
            </w:tcBorders>
            <w:shd w:val="clear" w:color="auto" w:fill="F3F7FF" w:themeFill="background2"/>
            <w:vAlign w:val="center"/>
          </w:tcPr>
          <w:p w14:paraId="3075A6FA" w14:textId="7BC45609" w:rsidR="00EE23F8" w:rsidRPr="002948ED"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2948ED">
              <w:rPr>
                <w:noProof/>
                <w:color w:val="003399" w:themeColor="text2"/>
              </w:rPr>
              <w:t>272,0</w:t>
            </w:r>
          </w:p>
        </w:tc>
        <w:tc>
          <w:tcPr>
            <w:tcW w:w="418" w:type="pct"/>
            <w:tcBorders>
              <w:top w:val="nil"/>
              <w:left w:val="nil"/>
              <w:bottom w:val="single" w:sz="8" w:space="0" w:color="BFBFBF"/>
              <w:right w:val="single" w:sz="8" w:space="0" w:color="BFBFBF"/>
            </w:tcBorders>
            <w:shd w:val="clear" w:color="auto" w:fill="F3F7FF" w:themeFill="background2"/>
            <w:vAlign w:val="center"/>
          </w:tcPr>
          <w:p w14:paraId="2C939033" w14:textId="36259EE4" w:rsidR="00EE23F8" w:rsidRPr="002948ED"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2948ED">
              <w:rPr>
                <w:noProof/>
                <w:color w:val="003399" w:themeColor="text2"/>
              </w:rPr>
              <w:t>283,4</w:t>
            </w:r>
          </w:p>
        </w:tc>
        <w:tc>
          <w:tcPr>
            <w:tcW w:w="418" w:type="pct"/>
            <w:tcBorders>
              <w:top w:val="nil"/>
              <w:left w:val="nil"/>
              <w:bottom w:val="single" w:sz="8" w:space="0" w:color="BFBFBF"/>
              <w:right w:val="single" w:sz="8" w:space="0" w:color="BFBFBF"/>
            </w:tcBorders>
            <w:shd w:val="clear" w:color="auto" w:fill="F3F7FF" w:themeFill="background2"/>
            <w:vAlign w:val="center"/>
          </w:tcPr>
          <w:p w14:paraId="340FC407" w14:textId="5C4D61F9" w:rsidR="00EE23F8" w:rsidRPr="002948ED"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2948ED">
              <w:rPr>
                <w:noProof/>
                <w:color w:val="003399" w:themeColor="text2"/>
              </w:rPr>
              <w:t>278,5</w:t>
            </w:r>
          </w:p>
        </w:tc>
        <w:tc>
          <w:tcPr>
            <w:tcW w:w="418" w:type="pct"/>
            <w:tcBorders>
              <w:left w:val="nil"/>
              <w:right w:val="single" w:sz="8" w:space="0" w:color="BFBFBF"/>
            </w:tcBorders>
            <w:shd w:val="clear" w:color="auto" w:fill="F3F7FF" w:themeFill="background2"/>
            <w:vAlign w:val="center"/>
          </w:tcPr>
          <w:p w14:paraId="45996A33" w14:textId="1FB482CC" w:rsidR="00EE23F8" w:rsidRPr="002948ED"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2948ED">
              <w:rPr>
                <w:noProof/>
                <w:color w:val="003399" w:themeColor="text2"/>
              </w:rPr>
              <w:t>267,5</w:t>
            </w:r>
          </w:p>
        </w:tc>
        <w:tc>
          <w:tcPr>
            <w:tcW w:w="530" w:type="pct"/>
            <w:tcBorders>
              <w:top w:val="nil"/>
              <w:left w:val="nil"/>
              <w:bottom w:val="single" w:sz="8" w:space="0" w:color="BFBFBF"/>
              <w:right w:val="single" w:sz="8" w:space="0" w:color="BFBFBF"/>
            </w:tcBorders>
            <w:shd w:val="clear" w:color="auto" w:fill="F3F7FF" w:themeFill="background2"/>
            <w:vAlign w:val="center"/>
          </w:tcPr>
          <w:p w14:paraId="6C0C7774" w14:textId="5EE3C9B4" w:rsidR="00EE23F8" w:rsidRPr="002948ED"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b/>
                <w:noProof/>
                <w:sz w:val="22"/>
                <w:szCs w:val="22"/>
              </w:rPr>
            </w:pPr>
            <w:r w:rsidRPr="002948ED">
              <w:rPr>
                <w:b/>
                <w:noProof/>
                <w:sz w:val="22"/>
              </w:rPr>
              <w:t>2 173,9</w:t>
            </w:r>
          </w:p>
        </w:tc>
      </w:tr>
      <w:tr w:rsidR="00EE23F8" w:rsidRPr="002948ED" w14:paraId="2026525A" w14:textId="5EB3D9FB" w:rsidTr="002B1A99">
        <w:trPr>
          <w:trHeight w:val="313"/>
        </w:trPr>
        <w:tc>
          <w:tcPr>
            <w:cnfStyle w:val="001000000000" w:firstRow="0" w:lastRow="0" w:firstColumn="1" w:lastColumn="0" w:oddVBand="0" w:evenVBand="0" w:oddHBand="0" w:evenHBand="0" w:firstRowFirstColumn="0" w:firstRowLastColumn="0" w:lastRowFirstColumn="0" w:lastRowLastColumn="0"/>
            <w:tcW w:w="1129" w:type="pct"/>
            <w:tcBorders>
              <w:top w:val="single" w:sz="6" w:space="0" w:color="BFBFBF" w:themeColor="background1" w:themeShade="BF"/>
              <w:bottom w:val="nil"/>
            </w:tcBorders>
          </w:tcPr>
          <w:p w14:paraId="64D0EB44" w14:textId="5C3D7C25" w:rsidR="00EE23F8" w:rsidRPr="002948ED" w:rsidRDefault="00EE23F8" w:rsidP="00EE23F8">
            <w:pPr>
              <w:spacing w:after="120"/>
              <w:rPr>
                <w:rFonts w:asciiTheme="majorHAnsi" w:eastAsia="Calibri" w:hAnsiTheme="majorHAnsi"/>
                <w:b w:val="0"/>
                <w:bCs/>
                <w:i/>
                <w:iCs/>
                <w:noProof/>
                <w:color w:val="003399" w:themeColor="text2"/>
                <w:sz w:val="22"/>
                <w:szCs w:val="22"/>
              </w:rPr>
            </w:pPr>
            <w:r w:rsidRPr="002948ED">
              <w:rPr>
                <w:rFonts w:asciiTheme="majorHAnsi" w:hAnsiTheme="majorHAnsi"/>
                <w:b w:val="0"/>
                <w:i/>
                <w:noProof/>
                <w:color w:val="003399" w:themeColor="text2"/>
                <w:sz w:val="22"/>
              </w:rPr>
              <w:t>Dont instruments spéciaux***</w:t>
            </w:r>
          </w:p>
        </w:tc>
        <w:tc>
          <w:tcPr>
            <w:tcW w:w="417" w:type="pct"/>
            <w:tcBorders>
              <w:top w:val="nil"/>
              <w:left w:val="nil"/>
              <w:bottom w:val="single" w:sz="8" w:space="0" w:color="BFBFBF"/>
              <w:right w:val="single" w:sz="8" w:space="0" w:color="BFBFBF"/>
            </w:tcBorders>
            <w:vAlign w:val="center"/>
          </w:tcPr>
          <w:p w14:paraId="37964E8C" w14:textId="6BD497A2" w:rsidR="00EE23F8" w:rsidRPr="002948ED"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2948ED">
              <w:rPr>
                <w:i/>
                <w:noProof/>
                <w:color w:val="003399" w:themeColor="text2"/>
              </w:rPr>
              <w:t>12,8</w:t>
            </w:r>
          </w:p>
        </w:tc>
        <w:tc>
          <w:tcPr>
            <w:tcW w:w="418" w:type="pct"/>
            <w:tcBorders>
              <w:top w:val="nil"/>
              <w:left w:val="nil"/>
              <w:bottom w:val="single" w:sz="8" w:space="0" w:color="BFBFBF"/>
              <w:right w:val="single" w:sz="8" w:space="0" w:color="BFBFBF"/>
            </w:tcBorders>
            <w:vAlign w:val="center"/>
          </w:tcPr>
          <w:p w14:paraId="1C501678" w14:textId="55CA0FC5" w:rsidR="00EE23F8" w:rsidRPr="002948ED"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2948ED">
              <w:rPr>
                <w:i/>
                <w:noProof/>
                <w:color w:val="003399" w:themeColor="text2"/>
              </w:rPr>
              <w:t>0,7</w:t>
            </w:r>
          </w:p>
        </w:tc>
        <w:tc>
          <w:tcPr>
            <w:tcW w:w="418" w:type="pct"/>
            <w:tcBorders>
              <w:top w:val="nil"/>
              <w:left w:val="nil"/>
              <w:bottom w:val="single" w:sz="8" w:space="0" w:color="BFBFBF"/>
              <w:right w:val="single" w:sz="8" w:space="0" w:color="BFBFBF"/>
            </w:tcBorders>
            <w:vAlign w:val="center"/>
          </w:tcPr>
          <w:p w14:paraId="129CCC55" w14:textId="43CBE463" w:rsidR="00EE23F8" w:rsidRPr="002948ED"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2948ED">
              <w:rPr>
                <w:i/>
                <w:noProof/>
                <w:color w:val="003399" w:themeColor="text2"/>
              </w:rPr>
              <w:t>0,3</w:t>
            </w:r>
          </w:p>
        </w:tc>
        <w:tc>
          <w:tcPr>
            <w:tcW w:w="418" w:type="pct"/>
            <w:tcBorders>
              <w:top w:val="nil"/>
              <w:left w:val="nil"/>
              <w:bottom w:val="single" w:sz="8" w:space="0" w:color="BFBFBF"/>
              <w:right w:val="single" w:sz="8" w:space="0" w:color="BFBFBF"/>
            </w:tcBorders>
            <w:vAlign w:val="center"/>
          </w:tcPr>
          <w:p w14:paraId="34BE4F9F" w14:textId="0005926B" w:rsidR="00EE23F8" w:rsidRPr="002948ED"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2948ED">
              <w:rPr>
                <w:i/>
                <w:noProof/>
                <w:color w:val="003399" w:themeColor="text2"/>
              </w:rPr>
              <w:t>0,0</w:t>
            </w:r>
          </w:p>
        </w:tc>
        <w:tc>
          <w:tcPr>
            <w:tcW w:w="418" w:type="pct"/>
            <w:tcBorders>
              <w:top w:val="nil"/>
              <w:left w:val="nil"/>
              <w:bottom w:val="single" w:sz="8" w:space="0" w:color="BFBFBF"/>
              <w:right w:val="single" w:sz="8" w:space="0" w:color="BFBFBF"/>
            </w:tcBorders>
            <w:vAlign w:val="center"/>
          </w:tcPr>
          <w:p w14:paraId="04014DA6" w14:textId="70CECE49" w:rsidR="00EE23F8" w:rsidRPr="002948ED"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2948ED">
              <w:rPr>
                <w:i/>
                <w:noProof/>
                <w:color w:val="003399" w:themeColor="text2"/>
              </w:rPr>
              <w:t>0,0</w:t>
            </w:r>
          </w:p>
        </w:tc>
        <w:tc>
          <w:tcPr>
            <w:tcW w:w="418" w:type="pct"/>
            <w:tcBorders>
              <w:top w:val="single" w:sz="8" w:space="0" w:color="BFBFBF"/>
              <w:left w:val="nil"/>
              <w:bottom w:val="single" w:sz="8" w:space="0" w:color="BFBFBF"/>
              <w:right w:val="single" w:sz="8" w:space="0" w:color="BFBFBF"/>
            </w:tcBorders>
            <w:vAlign w:val="center"/>
          </w:tcPr>
          <w:p w14:paraId="410C8656" w14:textId="48CCC84C" w:rsidR="00EE23F8" w:rsidRPr="002948ED"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2948ED">
              <w:rPr>
                <w:i/>
                <w:noProof/>
                <w:color w:val="003399" w:themeColor="text2"/>
              </w:rPr>
              <w:t>0,0</w:t>
            </w:r>
          </w:p>
        </w:tc>
        <w:tc>
          <w:tcPr>
            <w:tcW w:w="418" w:type="pct"/>
            <w:tcBorders>
              <w:top w:val="single" w:sz="8" w:space="0" w:color="BFBFBF"/>
              <w:left w:val="nil"/>
              <w:bottom w:val="single" w:sz="8" w:space="0" w:color="BFBFBF"/>
              <w:right w:val="single" w:sz="8" w:space="0" w:color="BFBFBF"/>
            </w:tcBorders>
            <w:vAlign w:val="center"/>
          </w:tcPr>
          <w:p w14:paraId="188A7174" w14:textId="732CE419" w:rsidR="00EE23F8" w:rsidRPr="002948ED"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2948ED">
              <w:rPr>
                <w:i/>
                <w:noProof/>
                <w:color w:val="003399" w:themeColor="text2"/>
              </w:rPr>
              <w:t>0,0</w:t>
            </w:r>
          </w:p>
        </w:tc>
        <w:tc>
          <w:tcPr>
            <w:tcW w:w="418" w:type="pct"/>
            <w:tcBorders>
              <w:left w:val="nil"/>
              <w:bottom w:val="single" w:sz="8" w:space="0" w:color="BFBFBF"/>
              <w:right w:val="single" w:sz="8" w:space="0" w:color="BFBFBF"/>
            </w:tcBorders>
            <w:vAlign w:val="center"/>
          </w:tcPr>
          <w:p w14:paraId="7A87B0D0" w14:textId="1C3780C8" w:rsidR="00EE23F8" w:rsidRPr="002948ED"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2948ED">
              <w:rPr>
                <w:i/>
                <w:noProof/>
                <w:color w:val="003399" w:themeColor="text2"/>
              </w:rPr>
              <w:t>0,0</w:t>
            </w:r>
          </w:p>
        </w:tc>
        <w:tc>
          <w:tcPr>
            <w:tcW w:w="530" w:type="pct"/>
            <w:tcBorders>
              <w:top w:val="nil"/>
              <w:left w:val="nil"/>
              <w:bottom w:val="single" w:sz="8" w:space="0" w:color="BFBFBF"/>
              <w:right w:val="single" w:sz="8" w:space="0" w:color="BFBFBF"/>
            </w:tcBorders>
            <w:vAlign w:val="center"/>
          </w:tcPr>
          <w:p w14:paraId="4B2F5C3F" w14:textId="56CDF79F" w:rsidR="00EE23F8" w:rsidRPr="002948ED"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b/>
                <w:i/>
                <w:noProof/>
                <w:sz w:val="22"/>
                <w:szCs w:val="22"/>
              </w:rPr>
            </w:pPr>
            <w:r w:rsidRPr="002948ED">
              <w:rPr>
                <w:b/>
                <w:i/>
                <w:noProof/>
                <w:sz w:val="22"/>
              </w:rPr>
              <w:t>13,8</w:t>
            </w:r>
          </w:p>
        </w:tc>
      </w:tr>
    </w:tbl>
    <w:p w14:paraId="7DE43EE3" w14:textId="69EC2D2F" w:rsidR="00E50A59" w:rsidRPr="002948ED" w:rsidRDefault="00E50A59" w:rsidP="00682537">
      <w:pPr>
        <w:rPr>
          <w:rFonts w:asciiTheme="majorHAnsi" w:hAnsiTheme="majorHAnsi"/>
          <w:i/>
          <w:noProof/>
          <w:sz w:val="16"/>
          <w:szCs w:val="16"/>
        </w:rPr>
      </w:pPr>
      <w:r w:rsidRPr="002948ED">
        <w:rPr>
          <w:rFonts w:asciiTheme="majorHAnsi" w:hAnsiTheme="majorHAnsi"/>
          <w:i/>
          <w:noProof/>
          <w:sz w:val="16"/>
        </w:rPr>
        <w:t>* Conformément au projet de budget pour l’année 2027, y compris la dotation de la réserve pour l’Ukraine et les crédits attribués au titre de l’article 5 du règlement CFP et de l’article 15, paragraphe 3, du règlement financier.</w:t>
      </w:r>
    </w:p>
    <w:p w14:paraId="1C8E939C" w14:textId="36EA2EE4" w:rsidR="0049492C" w:rsidRPr="002948ED" w:rsidRDefault="0049492C" w:rsidP="00682537">
      <w:pPr>
        <w:rPr>
          <w:rFonts w:asciiTheme="majorHAnsi" w:hAnsiTheme="majorHAnsi"/>
          <w:i/>
          <w:noProof/>
          <w:sz w:val="16"/>
          <w:szCs w:val="16"/>
        </w:rPr>
      </w:pPr>
      <w:r w:rsidRPr="002948ED">
        <w:rPr>
          <w:rFonts w:asciiTheme="majorHAnsi" w:hAnsiTheme="majorHAnsi"/>
          <w:i/>
          <w:noProof/>
          <w:sz w:val="16"/>
        </w:rPr>
        <w:t>** Les montants alloués aux instruments spéciaux en 2027 couvrent la réserve de solidarité et d’aide d’urgence, le Fonds européen d’ajustement à la mondialisation, la réserve d’ajustement au Brexit, la réserve pour l’Ukraine, l’instrument EURI et l’instrument de flexibilité. Pour les années suivantes, seuls les paiements relatifs aux engagements restant à liquider au titre de l’instrument de flexibilité et de la réserve pour l’Ukraine, y compris pour le coût du service de la dette du prêt de soutien à l’Ukraine, sont inclus. Dans les tableaux suivants, les paiements liés aux mobilisations des instruments spéciaux sont inclus dans les rubriques respectives.</w:t>
      </w:r>
    </w:p>
    <w:p w14:paraId="79320A34" w14:textId="25530B46" w:rsidR="00861C1C" w:rsidRPr="002948ED" w:rsidRDefault="003B6DC2" w:rsidP="00682537">
      <w:pPr>
        <w:rPr>
          <w:rFonts w:asciiTheme="majorHAnsi" w:hAnsiTheme="majorHAnsi"/>
          <w:noProof/>
        </w:rPr>
      </w:pPr>
      <w:r w:rsidRPr="002948ED">
        <w:rPr>
          <w:noProof/>
        </w:rPr>
        <w:br w:type="page"/>
      </w:r>
    </w:p>
    <w:p w14:paraId="0FBE5FFC" w14:textId="3DE49242" w:rsidR="00861C1C" w:rsidRPr="002948ED" w:rsidRDefault="003B6DC2" w:rsidP="009C6708">
      <w:pPr>
        <w:pStyle w:val="Heading2"/>
        <w:rPr>
          <w:rFonts w:asciiTheme="majorHAnsi" w:hAnsiTheme="majorHAnsi"/>
          <w:noProof/>
        </w:rPr>
      </w:pPr>
      <w:bookmarkStart w:id="81" w:name="_Toc235786442"/>
      <w:r w:rsidRPr="002948ED">
        <w:rPr>
          <w:rFonts w:asciiTheme="majorHAnsi" w:hAnsiTheme="majorHAnsi"/>
          <w:noProof/>
        </w:rPr>
        <w:t>Tableau 1.2 — Paiements liés aux engagements du CFP 2021-2027</w:t>
      </w:r>
      <w:bookmarkEnd w:id="81"/>
    </w:p>
    <w:tbl>
      <w:tblPr>
        <w:tblStyle w:val="AMPR2021"/>
        <w:tblW w:w="5000" w:type="pct"/>
        <w:tblBorders>
          <w:top w:val="none" w:sz="0" w:space="0" w:color="auto"/>
          <w:bottom w:val="none" w:sz="0" w:space="0" w:color="auto"/>
          <w:insideH w:val="single" w:sz="6" w:space="0" w:color="BFBFBF" w:themeColor="background1" w:themeShade="BF"/>
          <w:insideV w:val="single" w:sz="6" w:space="0" w:color="BFBFBF" w:themeColor="background1" w:themeShade="BF"/>
        </w:tblBorders>
        <w:tblCellMar>
          <w:left w:w="85" w:type="dxa"/>
        </w:tblCellMar>
        <w:tblLook w:val="06A0" w:firstRow="1" w:lastRow="0" w:firstColumn="1" w:lastColumn="0" w:noHBand="1" w:noVBand="1"/>
      </w:tblPr>
      <w:tblGrid>
        <w:gridCol w:w="2744"/>
        <w:gridCol w:w="881"/>
        <w:gridCol w:w="882"/>
        <w:gridCol w:w="882"/>
        <w:gridCol w:w="882"/>
        <w:gridCol w:w="882"/>
        <w:gridCol w:w="882"/>
        <w:gridCol w:w="882"/>
        <w:gridCol w:w="880"/>
      </w:tblGrid>
      <w:tr w:rsidR="00586721" w:rsidRPr="002948ED" w14:paraId="1CF6F3CB" w14:textId="77777777" w:rsidTr="005C046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01" w:type="pct"/>
          </w:tcPr>
          <w:p w14:paraId="1574FA07" w14:textId="77777777" w:rsidR="007A66F5" w:rsidRPr="002948ED" w:rsidRDefault="007A66F5" w:rsidP="00EC5FD9">
            <w:pPr>
              <w:spacing w:after="120"/>
              <w:rPr>
                <w:rFonts w:asciiTheme="majorHAnsi" w:eastAsia="Calibri" w:hAnsiTheme="majorHAnsi"/>
                <w:b w:val="0"/>
                <w:bCs/>
                <w:noProof/>
                <w:sz w:val="22"/>
                <w:szCs w:val="22"/>
              </w:rPr>
            </w:pPr>
            <w:r w:rsidRPr="002948ED">
              <w:rPr>
                <w:rFonts w:asciiTheme="majorHAnsi" w:hAnsiTheme="majorHAnsi"/>
                <w:noProof/>
                <w:sz w:val="22"/>
              </w:rPr>
              <w:t>Rubrique du CFP</w:t>
            </w:r>
          </w:p>
        </w:tc>
        <w:tc>
          <w:tcPr>
            <w:tcW w:w="450" w:type="pct"/>
            <w:vAlign w:val="center"/>
          </w:tcPr>
          <w:p w14:paraId="7FBCCDB7" w14:textId="0243364A" w:rsidR="007A66F5" w:rsidRPr="002948ED"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bCs/>
                <w:noProof/>
                <w:sz w:val="22"/>
                <w:szCs w:val="22"/>
              </w:rPr>
            </w:pPr>
            <w:r w:rsidRPr="002948ED">
              <w:rPr>
                <w:rFonts w:asciiTheme="majorHAnsi" w:hAnsiTheme="majorHAnsi"/>
                <w:noProof/>
                <w:sz w:val="22"/>
              </w:rPr>
              <w:t>2027</w:t>
            </w:r>
          </w:p>
        </w:tc>
        <w:tc>
          <w:tcPr>
            <w:tcW w:w="450" w:type="pct"/>
            <w:vAlign w:val="center"/>
          </w:tcPr>
          <w:p w14:paraId="092CD79A" w14:textId="678653E7" w:rsidR="007A66F5" w:rsidRPr="002948ED"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bCs/>
                <w:noProof/>
                <w:sz w:val="22"/>
                <w:szCs w:val="22"/>
              </w:rPr>
            </w:pPr>
            <w:r w:rsidRPr="002948ED">
              <w:rPr>
                <w:rFonts w:asciiTheme="majorHAnsi" w:hAnsiTheme="majorHAnsi"/>
                <w:noProof/>
                <w:sz w:val="22"/>
              </w:rPr>
              <w:t>2028</w:t>
            </w:r>
          </w:p>
        </w:tc>
        <w:tc>
          <w:tcPr>
            <w:tcW w:w="450" w:type="pct"/>
            <w:vAlign w:val="center"/>
          </w:tcPr>
          <w:p w14:paraId="1857D4A3" w14:textId="274DA667" w:rsidR="007A66F5" w:rsidRPr="002948ED"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bCs/>
                <w:noProof/>
                <w:sz w:val="22"/>
                <w:szCs w:val="22"/>
              </w:rPr>
            </w:pPr>
            <w:r w:rsidRPr="002948ED">
              <w:rPr>
                <w:rFonts w:asciiTheme="majorHAnsi" w:hAnsiTheme="majorHAnsi"/>
                <w:noProof/>
                <w:sz w:val="22"/>
              </w:rPr>
              <w:t>2029</w:t>
            </w:r>
          </w:p>
        </w:tc>
        <w:tc>
          <w:tcPr>
            <w:tcW w:w="450" w:type="pct"/>
            <w:vAlign w:val="center"/>
          </w:tcPr>
          <w:p w14:paraId="156891D6" w14:textId="68F593F5" w:rsidR="007A66F5" w:rsidRPr="002948ED"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noProof/>
                <w:sz w:val="22"/>
                <w:szCs w:val="22"/>
              </w:rPr>
            </w:pPr>
            <w:r w:rsidRPr="002948ED">
              <w:rPr>
                <w:rFonts w:asciiTheme="majorHAnsi" w:hAnsiTheme="majorHAnsi"/>
                <w:noProof/>
                <w:sz w:val="22"/>
              </w:rPr>
              <w:t>2030</w:t>
            </w:r>
          </w:p>
        </w:tc>
        <w:tc>
          <w:tcPr>
            <w:tcW w:w="450" w:type="pct"/>
            <w:vAlign w:val="center"/>
          </w:tcPr>
          <w:p w14:paraId="0AA8455E" w14:textId="6A87CCF1" w:rsidR="007A66F5" w:rsidRPr="002948ED"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noProof/>
                <w:sz w:val="22"/>
                <w:szCs w:val="22"/>
              </w:rPr>
            </w:pPr>
            <w:r w:rsidRPr="002948ED">
              <w:rPr>
                <w:rFonts w:asciiTheme="majorHAnsi" w:hAnsiTheme="majorHAnsi"/>
                <w:noProof/>
                <w:sz w:val="22"/>
              </w:rPr>
              <w:t>2031</w:t>
            </w:r>
          </w:p>
        </w:tc>
        <w:tc>
          <w:tcPr>
            <w:tcW w:w="450" w:type="pct"/>
            <w:vAlign w:val="center"/>
          </w:tcPr>
          <w:p w14:paraId="2AEEFDBF" w14:textId="4E9D3307" w:rsidR="007A66F5" w:rsidRPr="002948ED"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noProof/>
                <w:sz w:val="22"/>
                <w:szCs w:val="22"/>
              </w:rPr>
            </w:pPr>
            <w:r w:rsidRPr="002948ED">
              <w:rPr>
                <w:rFonts w:asciiTheme="majorHAnsi" w:hAnsiTheme="majorHAnsi"/>
                <w:noProof/>
                <w:sz w:val="22"/>
              </w:rPr>
              <w:t>2032</w:t>
            </w:r>
          </w:p>
        </w:tc>
        <w:tc>
          <w:tcPr>
            <w:tcW w:w="450" w:type="pct"/>
            <w:vAlign w:val="center"/>
          </w:tcPr>
          <w:p w14:paraId="6F555AF4" w14:textId="10FCDE71" w:rsidR="007A66F5" w:rsidRPr="002948ED"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noProof/>
                <w:sz w:val="22"/>
                <w:szCs w:val="22"/>
              </w:rPr>
            </w:pPr>
            <w:r w:rsidRPr="002948ED">
              <w:rPr>
                <w:rFonts w:asciiTheme="majorHAnsi" w:hAnsiTheme="majorHAnsi"/>
                <w:noProof/>
                <w:sz w:val="22"/>
              </w:rPr>
              <w:t>2033</w:t>
            </w:r>
          </w:p>
        </w:tc>
        <w:tc>
          <w:tcPr>
            <w:tcW w:w="449" w:type="pct"/>
            <w:vAlign w:val="center"/>
          </w:tcPr>
          <w:p w14:paraId="7C8532B3" w14:textId="3B48B505" w:rsidR="007A66F5" w:rsidRPr="002948ED"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bCs/>
                <w:noProof/>
                <w:sz w:val="22"/>
                <w:szCs w:val="22"/>
              </w:rPr>
            </w:pPr>
            <w:r w:rsidRPr="002948ED">
              <w:rPr>
                <w:rFonts w:asciiTheme="majorHAnsi" w:hAnsiTheme="majorHAnsi"/>
                <w:noProof/>
                <w:sz w:val="22"/>
              </w:rPr>
              <w:t>Total</w:t>
            </w:r>
          </w:p>
        </w:tc>
      </w:tr>
      <w:tr w:rsidR="00871143" w:rsidRPr="002948ED" w14:paraId="06E36101" w14:textId="77777777" w:rsidTr="009960E0">
        <w:trPr>
          <w:trHeight w:val="300"/>
        </w:trPr>
        <w:tc>
          <w:tcPr>
            <w:cnfStyle w:val="001000000000" w:firstRow="0" w:lastRow="0" w:firstColumn="1" w:lastColumn="0" w:oddVBand="0" w:evenVBand="0" w:oddHBand="0" w:evenHBand="0" w:firstRowFirstColumn="0" w:firstRowLastColumn="0" w:lastRowFirstColumn="0" w:lastRowLastColumn="0"/>
            <w:tcW w:w="1401" w:type="pct"/>
          </w:tcPr>
          <w:p w14:paraId="48F3627A" w14:textId="77777777" w:rsidR="007A66F5" w:rsidRPr="002948ED" w:rsidRDefault="007A66F5" w:rsidP="00EE3626">
            <w:pPr>
              <w:spacing w:after="120"/>
              <w:rPr>
                <w:rFonts w:asciiTheme="majorHAnsi" w:eastAsia="Calibri" w:hAnsiTheme="majorHAnsi"/>
                <w:bCs/>
                <w:noProof/>
                <w:color w:val="003399" w:themeColor="text2"/>
                <w:sz w:val="22"/>
                <w:szCs w:val="22"/>
              </w:rPr>
            </w:pPr>
            <w:r w:rsidRPr="002948ED">
              <w:rPr>
                <w:rFonts w:asciiTheme="majorHAnsi" w:hAnsiTheme="majorHAnsi"/>
                <w:noProof/>
                <w:color w:val="003399" w:themeColor="text2"/>
                <w:sz w:val="22"/>
              </w:rPr>
              <w:t>1 Marché unique, innovation et numérique</w:t>
            </w:r>
          </w:p>
        </w:tc>
        <w:tc>
          <w:tcPr>
            <w:tcW w:w="450" w:type="pct"/>
            <w:tcBorders>
              <w:top w:val="single" w:sz="8" w:space="0" w:color="BFBFBF"/>
              <w:left w:val="nil"/>
              <w:bottom w:val="single" w:sz="8" w:space="0" w:color="BFBFBF"/>
              <w:right w:val="single" w:sz="8" w:space="0" w:color="BFBFBF"/>
            </w:tcBorders>
            <w:vAlign w:val="center"/>
          </w:tcPr>
          <w:p w14:paraId="32DE1894" w14:textId="0187C2B7"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22,1</w:t>
            </w:r>
          </w:p>
        </w:tc>
        <w:tc>
          <w:tcPr>
            <w:tcW w:w="450" w:type="pct"/>
            <w:tcBorders>
              <w:top w:val="single" w:sz="8" w:space="0" w:color="BFBFBF"/>
              <w:left w:val="nil"/>
              <w:bottom w:val="single" w:sz="8" w:space="0" w:color="BFBFBF"/>
              <w:right w:val="single" w:sz="8" w:space="0" w:color="BFBFBF"/>
            </w:tcBorders>
            <w:vAlign w:val="center"/>
          </w:tcPr>
          <w:p w14:paraId="0D61A1C9" w14:textId="6C97E0AC"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16,5</w:t>
            </w:r>
          </w:p>
        </w:tc>
        <w:tc>
          <w:tcPr>
            <w:tcW w:w="450" w:type="pct"/>
            <w:tcBorders>
              <w:top w:val="single" w:sz="8" w:space="0" w:color="BFBFBF"/>
              <w:left w:val="nil"/>
              <w:bottom w:val="single" w:sz="8" w:space="0" w:color="BFBFBF"/>
              <w:right w:val="single" w:sz="8" w:space="0" w:color="BFBFBF"/>
            </w:tcBorders>
            <w:vAlign w:val="center"/>
          </w:tcPr>
          <w:p w14:paraId="75886273" w14:textId="19931E99"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8,3</w:t>
            </w:r>
          </w:p>
        </w:tc>
        <w:tc>
          <w:tcPr>
            <w:tcW w:w="450" w:type="pct"/>
            <w:tcBorders>
              <w:top w:val="single" w:sz="8" w:space="0" w:color="BFBFBF"/>
              <w:left w:val="nil"/>
              <w:bottom w:val="single" w:sz="8" w:space="0" w:color="BFBFBF"/>
              <w:right w:val="single" w:sz="8" w:space="0" w:color="BFBFBF"/>
            </w:tcBorders>
            <w:vAlign w:val="center"/>
          </w:tcPr>
          <w:p w14:paraId="4848F78B" w14:textId="3C098DA7"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948ED">
              <w:rPr>
                <w:rFonts w:asciiTheme="minorHAnsi" w:hAnsiTheme="minorHAnsi"/>
                <w:b/>
                <w:noProof/>
                <w:color w:val="003399" w:themeColor="text2"/>
              </w:rPr>
              <w:t>6,5</w:t>
            </w:r>
          </w:p>
        </w:tc>
        <w:tc>
          <w:tcPr>
            <w:tcW w:w="450" w:type="pct"/>
            <w:tcBorders>
              <w:top w:val="single" w:sz="8" w:space="0" w:color="BFBFBF"/>
              <w:left w:val="nil"/>
              <w:bottom w:val="single" w:sz="8" w:space="0" w:color="BFBFBF"/>
              <w:right w:val="single" w:sz="8" w:space="0" w:color="BFBFBF"/>
            </w:tcBorders>
            <w:vAlign w:val="center"/>
          </w:tcPr>
          <w:p w14:paraId="22679B3C" w14:textId="558C10BD"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3,1</w:t>
            </w:r>
          </w:p>
        </w:tc>
        <w:tc>
          <w:tcPr>
            <w:tcW w:w="450" w:type="pct"/>
            <w:tcBorders>
              <w:top w:val="single" w:sz="8" w:space="0" w:color="BFBFBF"/>
              <w:left w:val="nil"/>
              <w:bottom w:val="single" w:sz="8" w:space="0" w:color="BFBFBF"/>
              <w:right w:val="single" w:sz="8" w:space="0" w:color="BFBFBF"/>
            </w:tcBorders>
            <w:vAlign w:val="center"/>
          </w:tcPr>
          <w:p w14:paraId="3001A67F" w14:textId="796B1107"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3,5</w:t>
            </w:r>
          </w:p>
        </w:tc>
        <w:tc>
          <w:tcPr>
            <w:tcW w:w="450" w:type="pct"/>
            <w:tcBorders>
              <w:top w:val="single" w:sz="8" w:space="0" w:color="BFBFBF"/>
              <w:left w:val="nil"/>
              <w:bottom w:val="single" w:sz="8" w:space="0" w:color="BFBFBF"/>
              <w:right w:val="single" w:sz="8" w:space="0" w:color="BFBFBF"/>
            </w:tcBorders>
            <w:vAlign w:val="center"/>
          </w:tcPr>
          <w:p w14:paraId="3C8D1B1D" w14:textId="1B7928BD"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1,5</w:t>
            </w:r>
          </w:p>
        </w:tc>
        <w:tc>
          <w:tcPr>
            <w:tcW w:w="449" w:type="pct"/>
            <w:tcBorders>
              <w:top w:val="single" w:sz="8" w:space="0" w:color="BFBFBF"/>
              <w:left w:val="nil"/>
              <w:bottom w:val="single" w:sz="8" w:space="0" w:color="BFBFBF"/>
              <w:right w:val="nil"/>
            </w:tcBorders>
            <w:vAlign w:val="center"/>
          </w:tcPr>
          <w:p w14:paraId="0C35CC18" w14:textId="121CA36B"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2948ED">
              <w:rPr>
                <w:b/>
                <w:noProof/>
                <w:color w:val="000000" w:themeColor="text1"/>
                <w:sz w:val="22"/>
              </w:rPr>
              <w:t>61,5</w:t>
            </w:r>
          </w:p>
        </w:tc>
      </w:tr>
      <w:tr w:rsidR="00871143" w:rsidRPr="002948ED" w14:paraId="47854F47" w14:textId="77777777" w:rsidTr="00DF4BE1">
        <w:trPr>
          <w:trHeight w:val="300"/>
        </w:trPr>
        <w:tc>
          <w:tcPr>
            <w:cnfStyle w:val="001000000000" w:firstRow="0" w:lastRow="0" w:firstColumn="1" w:lastColumn="0" w:oddVBand="0" w:evenVBand="0" w:oddHBand="0" w:evenHBand="0" w:firstRowFirstColumn="0" w:firstRowLastColumn="0" w:lastRowFirstColumn="0" w:lastRowLastColumn="0"/>
            <w:tcW w:w="1401" w:type="pct"/>
            <w:shd w:val="clear" w:color="auto" w:fill="F3F7FF" w:themeFill="background2"/>
          </w:tcPr>
          <w:p w14:paraId="5C0D2440" w14:textId="77777777" w:rsidR="007A66F5" w:rsidRPr="002948ED" w:rsidRDefault="007A66F5" w:rsidP="00D212B3">
            <w:pPr>
              <w:spacing w:after="120"/>
              <w:rPr>
                <w:rFonts w:asciiTheme="majorHAnsi" w:eastAsia="Calibri" w:hAnsiTheme="majorHAnsi"/>
                <w:bCs/>
                <w:noProof/>
                <w:color w:val="003399" w:themeColor="text2"/>
                <w:sz w:val="22"/>
                <w:szCs w:val="22"/>
              </w:rPr>
            </w:pPr>
            <w:r w:rsidRPr="002948ED">
              <w:rPr>
                <w:rFonts w:asciiTheme="majorHAnsi" w:hAnsiTheme="majorHAnsi"/>
                <w:noProof/>
                <w:color w:val="003399" w:themeColor="text2"/>
                <w:sz w:val="22"/>
              </w:rPr>
              <w:t>2 Cohésion, résilience et valeurs</w:t>
            </w:r>
          </w:p>
        </w:tc>
        <w:tc>
          <w:tcPr>
            <w:tcW w:w="450" w:type="pct"/>
            <w:tcBorders>
              <w:top w:val="nil"/>
              <w:left w:val="nil"/>
              <w:bottom w:val="single" w:sz="8" w:space="0" w:color="BFBFBF"/>
              <w:right w:val="single" w:sz="8" w:space="0" w:color="BFBFBF"/>
            </w:tcBorders>
            <w:shd w:val="clear" w:color="auto" w:fill="F3F7FF" w:themeFill="background2"/>
            <w:vAlign w:val="center"/>
          </w:tcPr>
          <w:p w14:paraId="11D7BA19" w14:textId="310F7C58"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81,8</w:t>
            </w:r>
          </w:p>
        </w:tc>
        <w:tc>
          <w:tcPr>
            <w:tcW w:w="450" w:type="pct"/>
            <w:tcBorders>
              <w:top w:val="nil"/>
              <w:left w:val="nil"/>
              <w:bottom w:val="single" w:sz="8" w:space="0" w:color="BFBFBF"/>
              <w:right w:val="single" w:sz="8" w:space="0" w:color="BFBFBF"/>
            </w:tcBorders>
            <w:shd w:val="clear" w:color="auto" w:fill="F3F7FF" w:themeFill="background2"/>
            <w:vAlign w:val="center"/>
          </w:tcPr>
          <w:p w14:paraId="1C0B0C47" w14:textId="6FB601A8"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69,0</w:t>
            </w:r>
          </w:p>
        </w:tc>
        <w:tc>
          <w:tcPr>
            <w:tcW w:w="450" w:type="pct"/>
            <w:tcBorders>
              <w:top w:val="nil"/>
              <w:left w:val="nil"/>
              <w:bottom w:val="single" w:sz="8" w:space="0" w:color="BFBFBF"/>
              <w:right w:val="single" w:sz="8" w:space="0" w:color="BFBFBF"/>
            </w:tcBorders>
            <w:shd w:val="clear" w:color="auto" w:fill="F3F7FF" w:themeFill="background2"/>
            <w:vAlign w:val="center"/>
          </w:tcPr>
          <w:p w14:paraId="6EE2C64C" w14:textId="346A764E"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57,9</w:t>
            </w:r>
          </w:p>
        </w:tc>
        <w:tc>
          <w:tcPr>
            <w:tcW w:w="450" w:type="pct"/>
            <w:tcBorders>
              <w:top w:val="nil"/>
              <w:left w:val="nil"/>
              <w:bottom w:val="single" w:sz="8" w:space="0" w:color="BFBFBF"/>
              <w:right w:val="single" w:sz="8" w:space="0" w:color="BFBFBF"/>
            </w:tcBorders>
            <w:shd w:val="clear" w:color="auto" w:fill="F3F7FF" w:themeFill="background2"/>
            <w:vAlign w:val="center"/>
          </w:tcPr>
          <w:p w14:paraId="137F418C" w14:textId="734953F1"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948ED">
              <w:rPr>
                <w:rFonts w:asciiTheme="minorHAnsi" w:hAnsiTheme="minorHAnsi"/>
                <w:b/>
                <w:noProof/>
                <w:color w:val="003399" w:themeColor="text2"/>
              </w:rPr>
              <w:t>53,4</w:t>
            </w:r>
          </w:p>
        </w:tc>
        <w:tc>
          <w:tcPr>
            <w:tcW w:w="450" w:type="pct"/>
            <w:tcBorders>
              <w:top w:val="nil"/>
              <w:left w:val="nil"/>
              <w:bottom w:val="single" w:sz="8" w:space="0" w:color="BFBFBF"/>
              <w:right w:val="single" w:sz="8" w:space="0" w:color="BFBFBF"/>
            </w:tcBorders>
            <w:shd w:val="clear" w:color="auto" w:fill="F3F7FF" w:themeFill="background2"/>
            <w:vAlign w:val="center"/>
          </w:tcPr>
          <w:p w14:paraId="16926FBC" w14:textId="5F263AF0"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5,1</w:t>
            </w:r>
          </w:p>
        </w:tc>
        <w:tc>
          <w:tcPr>
            <w:tcW w:w="450" w:type="pct"/>
            <w:tcBorders>
              <w:top w:val="nil"/>
              <w:left w:val="nil"/>
              <w:bottom w:val="single" w:sz="8" w:space="0" w:color="BFBFBF"/>
              <w:right w:val="single" w:sz="8" w:space="0" w:color="BFBFBF"/>
            </w:tcBorders>
            <w:shd w:val="clear" w:color="auto" w:fill="F3F7FF" w:themeFill="background2"/>
            <w:vAlign w:val="center"/>
          </w:tcPr>
          <w:p w14:paraId="47150BAB" w14:textId="58AFE2BA"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0,9</w:t>
            </w:r>
          </w:p>
        </w:tc>
        <w:tc>
          <w:tcPr>
            <w:tcW w:w="450" w:type="pct"/>
            <w:tcBorders>
              <w:top w:val="nil"/>
              <w:left w:val="nil"/>
              <w:bottom w:val="single" w:sz="8" w:space="0" w:color="BFBFBF"/>
              <w:right w:val="single" w:sz="8" w:space="0" w:color="BFBFBF"/>
            </w:tcBorders>
            <w:shd w:val="clear" w:color="auto" w:fill="F3F7FF" w:themeFill="background2"/>
            <w:vAlign w:val="center"/>
          </w:tcPr>
          <w:p w14:paraId="2B3B9F95" w14:textId="6E99D5BB"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0,4</w:t>
            </w:r>
          </w:p>
        </w:tc>
        <w:tc>
          <w:tcPr>
            <w:tcW w:w="449" w:type="pct"/>
            <w:tcBorders>
              <w:top w:val="nil"/>
              <w:left w:val="nil"/>
              <w:bottom w:val="single" w:sz="8" w:space="0" w:color="BFBFBF"/>
              <w:right w:val="nil"/>
            </w:tcBorders>
            <w:shd w:val="clear" w:color="auto" w:fill="F3F7FF" w:themeFill="background2"/>
            <w:vAlign w:val="center"/>
          </w:tcPr>
          <w:p w14:paraId="0CDE4EE5" w14:textId="1EA950CF"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2948ED">
              <w:rPr>
                <w:b/>
                <w:noProof/>
                <w:color w:val="000000" w:themeColor="text1"/>
                <w:sz w:val="22"/>
              </w:rPr>
              <w:t>268,5</w:t>
            </w:r>
          </w:p>
        </w:tc>
      </w:tr>
      <w:tr w:rsidR="00871143" w:rsidRPr="002948ED" w14:paraId="0D40747B" w14:textId="77777777" w:rsidTr="00DF4BE1">
        <w:trPr>
          <w:trHeight w:val="300"/>
        </w:trPr>
        <w:tc>
          <w:tcPr>
            <w:cnfStyle w:val="001000000000" w:firstRow="0" w:lastRow="0" w:firstColumn="1" w:lastColumn="0" w:oddVBand="0" w:evenVBand="0" w:oddHBand="0" w:evenHBand="0" w:firstRowFirstColumn="0" w:firstRowLastColumn="0" w:lastRowFirstColumn="0" w:lastRowLastColumn="0"/>
            <w:tcW w:w="1401" w:type="pct"/>
            <w:shd w:val="clear" w:color="auto" w:fill="F3F7FF" w:themeFill="background2"/>
          </w:tcPr>
          <w:p w14:paraId="603F3773" w14:textId="77777777" w:rsidR="007A66F5" w:rsidRPr="002948ED" w:rsidRDefault="007A66F5" w:rsidP="00D16649">
            <w:pPr>
              <w:spacing w:after="120"/>
              <w:ind w:left="170"/>
              <w:rPr>
                <w:rFonts w:asciiTheme="majorHAnsi" w:eastAsia="Calibri" w:hAnsiTheme="majorHAnsi"/>
                <w:b w:val="0"/>
                <w:bCs/>
                <w:noProof/>
                <w:color w:val="003399" w:themeColor="text2"/>
                <w:sz w:val="22"/>
                <w:szCs w:val="22"/>
              </w:rPr>
            </w:pPr>
            <w:r w:rsidRPr="002948ED">
              <w:rPr>
                <w:rFonts w:asciiTheme="majorHAnsi" w:hAnsiTheme="majorHAnsi"/>
                <w:b w:val="0"/>
                <w:noProof/>
                <w:color w:val="003399" w:themeColor="text2"/>
                <w:sz w:val="22"/>
              </w:rPr>
              <w:t>2.1 Cohésion économique, sociale et territoriale</w:t>
            </w:r>
          </w:p>
        </w:tc>
        <w:tc>
          <w:tcPr>
            <w:tcW w:w="450" w:type="pct"/>
            <w:tcBorders>
              <w:top w:val="nil"/>
              <w:left w:val="nil"/>
              <w:bottom w:val="single" w:sz="8" w:space="0" w:color="BFBFBF"/>
              <w:right w:val="single" w:sz="8" w:space="0" w:color="BFBFBF"/>
            </w:tcBorders>
            <w:shd w:val="clear" w:color="auto" w:fill="F3F7FF" w:themeFill="background2"/>
            <w:vAlign w:val="center"/>
          </w:tcPr>
          <w:p w14:paraId="6F0E4137" w14:textId="231362B7"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64,7</w:t>
            </w:r>
          </w:p>
        </w:tc>
        <w:tc>
          <w:tcPr>
            <w:tcW w:w="450" w:type="pct"/>
            <w:tcBorders>
              <w:top w:val="nil"/>
              <w:left w:val="nil"/>
              <w:bottom w:val="single" w:sz="8" w:space="0" w:color="BFBFBF"/>
              <w:right w:val="single" w:sz="8" w:space="0" w:color="BFBFBF"/>
            </w:tcBorders>
            <w:shd w:val="clear" w:color="auto" w:fill="F3F7FF" w:themeFill="background2"/>
            <w:vAlign w:val="center"/>
          </w:tcPr>
          <w:p w14:paraId="10E8BF8A" w14:textId="608DE200"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66,5</w:t>
            </w:r>
          </w:p>
        </w:tc>
        <w:tc>
          <w:tcPr>
            <w:tcW w:w="450" w:type="pct"/>
            <w:tcBorders>
              <w:top w:val="nil"/>
              <w:left w:val="nil"/>
              <w:bottom w:val="single" w:sz="8" w:space="0" w:color="BFBFBF"/>
              <w:right w:val="single" w:sz="8" w:space="0" w:color="BFBFBF"/>
            </w:tcBorders>
            <w:shd w:val="clear" w:color="auto" w:fill="F3F7FF" w:themeFill="background2"/>
            <w:vAlign w:val="center"/>
          </w:tcPr>
          <w:p w14:paraId="4C08BB9E" w14:textId="3E23FACF"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56,6</w:t>
            </w:r>
          </w:p>
        </w:tc>
        <w:tc>
          <w:tcPr>
            <w:tcW w:w="450" w:type="pct"/>
            <w:tcBorders>
              <w:top w:val="nil"/>
              <w:left w:val="nil"/>
              <w:bottom w:val="single" w:sz="8" w:space="0" w:color="BFBFBF"/>
              <w:right w:val="single" w:sz="8" w:space="0" w:color="BFBFBF"/>
            </w:tcBorders>
            <w:shd w:val="clear" w:color="auto" w:fill="F3F7FF" w:themeFill="background2"/>
            <w:vAlign w:val="center"/>
          </w:tcPr>
          <w:p w14:paraId="0952F2D8" w14:textId="0559A4C1"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948ED">
              <w:rPr>
                <w:rFonts w:asciiTheme="minorHAnsi" w:hAnsiTheme="minorHAnsi"/>
                <w:noProof/>
                <w:color w:val="003399" w:themeColor="text2"/>
              </w:rPr>
              <w:t>52,7</w:t>
            </w:r>
          </w:p>
        </w:tc>
        <w:tc>
          <w:tcPr>
            <w:tcW w:w="450" w:type="pct"/>
            <w:tcBorders>
              <w:top w:val="nil"/>
              <w:left w:val="nil"/>
              <w:bottom w:val="single" w:sz="8" w:space="0" w:color="BFBFBF"/>
              <w:right w:val="single" w:sz="8" w:space="0" w:color="BFBFBF"/>
            </w:tcBorders>
            <w:shd w:val="clear" w:color="auto" w:fill="F3F7FF" w:themeFill="background2"/>
            <w:vAlign w:val="center"/>
          </w:tcPr>
          <w:p w14:paraId="6F219BC0" w14:textId="5B123383"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noProof/>
                <w:color w:val="003399" w:themeColor="text2"/>
              </w:rPr>
              <w:t>5,0</w:t>
            </w:r>
          </w:p>
        </w:tc>
        <w:tc>
          <w:tcPr>
            <w:tcW w:w="450" w:type="pct"/>
            <w:tcBorders>
              <w:top w:val="nil"/>
              <w:left w:val="nil"/>
              <w:bottom w:val="single" w:sz="8" w:space="0" w:color="BFBFBF"/>
              <w:right w:val="single" w:sz="8" w:space="0" w:color="BFBFBF"/>
            </w:tcBorders>
            <w:shd w:val="clear" w:color="auto" w:fill="F3F7FF" w:themeFill="background2"/>
            <w:vAlign w:val="center"/>
          </w:tcPr>
          <w:p w14:paraId="403046C8" w14:textId="644F19A8"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noProof/>
                <w:color w:val="003399" w:themeColor="text2"/>
              </w:rPr>
              <w:t>0,7</w:t>
            </w:r>
          </w:p>
        </w:tc>
        <w:tc>
          <w:tcPr>
            <w:tcW w:w="450" w:type="pct"/>
            <w:tcBorders>
              <w:top w:val="nil"/>
              <w:left w:val="nil"/>
              <w:bottom w:val="single" w:sz="8" w:space="0" w:color="BFBFBF"/>
              <w:right w:val="single" w:sz="8" w:space="0" w:color="BFBFBF"/>
            </w:tcBorders>
            <w:shd w:val="clear" w:color="auto" w:fill="F3F7FF" w:themeFill="background2"/>
            <w:vAlign w:val="center"/>
          </w:tcPr>
          <w:p w14:paraId="5F0C5E95" w14:textId="49981F8B"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noProof/>
                <w:color w:val="003399" w:themeColor="text2"/>
              </w:rPr>
              <w:t>0,3</w:t>
            </w:r>
          </w:p>
        </w:tc>
        <w:tc>
          <w:tcPr>
            <w:tcW w:w="449" w:type="pct"/>
            <w:tcBorders>
              <w:top w:val="nil"/>
              <w:left w:val="nil"/>
              <w:bottom w:val="single" w:sz="8" w:space="0" w:color="BFBFBF"/>
              <w:right w:val="nil"/>
            </w:tcBorders>
            <w:shd w:val="clear" w:color="auto" w:fill="F3F7FF" w:themeFill="background2"/>
            <w:vAlign w:val="center"/>
          </w:tcPr>
          <w:p w14:paraId="061275DE" w14:textId="6BFEE558"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2948ED">
              <w:rPr>
                <w:b/>
                <w:noProof/>
                <w:color w:val="000000" w:themeColor="text1"/>
                <w:sz w:val="22"/>
              </w:rPr>
              <w:t>246,5</w:t>
            </w:r>
          </w:p>
        </w:tc>
      </w:tr>
      <w:tr w:rsidR="00871143" w:rsidRPr="002948ED" w14:paraId="7CAF976F" w14:textId="77777777" w:rsidTr="00DF4BE1">
        <w:trPr>
          <w:trHeight w:val="300"/>
        </w:trPr>
        <w:tc>
          <w:tcPr>
            <w:cnfStyle w:val="001000000000" w:firstRow="0" w:lastRow="0" w:firstColumn="1" w:lastColumn="0" w:oddVBand="0" w:evenVBand="0" w:oddHBand="0" w:evenHBand="0" w:firstRowFirstColumn="0" w:firstRowLastColumn="0" w:lastRowFirstColumn="0" w:lastRowLastColumn="0"/>
            <w:tcW w:w="1401" w:type="pct"/>
            <w:shd w:val="clear" w:color="auto" w:fill="F3F7FF" w:themeFill="background2"/>
          </w:tcPr>
          <w:p w14:paraId="7CC15A50" w14:textId="77777777" w:rsidR="007A66F5" w:rsidRPr="002948ED" w:rsidRDefault="007A66F5" w:rsidP="00D16649">
            <w:pPr>
              <w:spacing w:after="120"/>
              <w:ind w:left="170"/>
              <w:rPr>
                <w:rFonts w:asciiTheme="majorHAnsi" w:eastAsia="Calibri" w:hAnsiTheme="majorHAnsi"/>
                <w:b w:val="0"/>
                <w:bCs/>
                <w:noProof/>
                <w:color w:val="003399" w:themeColor="text2"/>
                <w:sz w:val="22"/>
                <w:szCs w:val="22"/>
              </w:rPr>
            </w:pPr>
            <w:r w:rsidRPr="002948ED">
              <w:rPr>
                <w:rFonts w:asciiTheme="majorHAnsi" w:hAnsiTheme="majorHAnsi"/>
                <w:b w:val="0"/>
                <w:noProof/>
                <w:color w:val="003399" w:themeColor="text2"/>
                <w:sz w:val="22"/>
              </w:rPr>
              <w:t>2.2 Résilience et valeurs</w:t>
            </w:r>
          </w:p>
        </w:tc>
        <w:tc>
          <w:tcPr>
            <w:tcW w:w="450" w:type="pct"/>
            <w:tcBorders>
              <w:top w:val="nil"/>
              <w:left w:val="nil"/>
              <w:bottom w:val="single" w:sz="8" w:space="0" w:color="BFBFBF"/>
              <w:right w:val="single" w:sz="8" w:space="0" w:color="BFBFBF"/>
            </w:tcBorders>
            <w:shd w:val="clear" w:color="auto" w:fill="F3F7FF" w:themeFill="background2"/>
            <w:vAlign w:val="center"/>
          </w:tcPr>
          <w:p w14:paraId="7BC1C8D0" w14:textId="10152FAB"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17,1</w:t>
            </w:r>
          </w:p>
        </w:tc>
        <w:tc>
          <w:tcPr>
            <w:tcW w:w="450" w:type="pct"/>
            <w:tcBorders>
              <w:top w:val="nil"/>
              <w:left w:val="nil"/>
              <w:bottom w:val="single" w:sz="8" w:space="0" w:color="BFBFBF"/>
              <w:right w:val="single" w:sz="8" w:space="0" w:color="BFBFBF"/>
            </w:tcBorders>
            <w:shd w:val="clear" w:color="auto" w:fill="F3F7FF" w:themeFill="background2"/>
            <w:vAlign w:val="center"/>
          </w:tcPr>
          <w:p w14:paraId="5441CD78" w14:textId="2CB1569C"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2,5</w:t>
            </w:r>
          </w:p>
        </w:tc>
        <w:tc>
          <w:tcPr>
            <w:tcW w:w="450" w:type="pct"/>
            <w:tcBorders>
              <w:top w:val="nil"/>
              <w:left w:val="nil"/>
              <w:bottom w:val="single" w:sz="8" w:space="0" w:color="BFBFBF"/>
              <w:right w:val="single" w:sz="8" w:space="0" w:color="BFBFBF"/>
            </w:tcBorders>
            <w:shd w:val="clear" w:color="auto" w:fill="F3F7FF" w:themeFill="background2"/>
            <w:vAlign w:val="center"/>
          </w:tcPr>
          <w:p w14:paraId="7B7462CF" w14:textId="2A54590B"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1,4</w:t>
            </w:r>
          </w:p>
        </w:tc>
        <w:tc>
          <w:tcPr>
            <w:tcW w:w="450" w:type="pct"/>
            <w:tcBorders>
              <w:top w:val="nil"/>
              <w:left w:val="nil"/>
              <w:bottom w:val="single" w:sz="8" w:space="0" w:color="BFBFBF"/>
              <w:right w:val="single" w:sz="8" w:space="0" w:color="BFBFBF"/>
            </w:tcBorders>
            <w:shd w:val="clear" w:color="auto" w:fill="F3F7FF" w:themeFill="background2"/>
            <w:vAlign w:val="center"/>
          </w:tcPr>
          <w:p w14:paraId="6D1BCE12" w14:textId="00E8C195"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948ED">
              <w:rPr>
                <w:rFonts w:asciiTheme="minorHAnsi" w:hAnsiTheme="minorHAnsi"/>
                <w:noProof/>
                <w:color w:val="003399" w:themeColor="text2"/>
              </w:rPr>
              <w:t>0,7</w:t>
            </w:r>
          </w:p>
        </w:tc>
        <w:tc>
          <w:tcPr>
            <w:tcW w:w="450" w:type="pct"/>
            <w:tcBorders>
              <w:top w:val="nil"/>
              <w:left w:val="nil"/>
              <w:bottom w:val="single" w:sz="8" w:space="0" w:color="BFBFBF"/>
              <w:right w:val="single" w:sz="8" w:space="0" w:color="BFBFBF"/>
            </w:tcBorders>
            <w:shd w:val="clear" w:color="auto" w:fill="F3F7FF" w:themeFill="background2"/>
            <w:vAlign w:val="center"/>
          </w:tcPr>
          <w:p w14:paraId="46914057" w14:textId="7C5728A6"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noProof/>
                <w:color w:val="003399" w:themeColor="text2"/>
              </w:rPr>
              <w:t>0,1</w:t>
            </w:r>
          </w:p>
        </w:tc>
        <w:tc>
          <w:tcPr>
            <w:tcW w:w="450" w:type="pct"/>
            <w:tcBorders>
              <w:top w:val="nil"/>
              <w:left w:val="nil"/>
              <w:bottom w:val="single" w:sz="8" w:space="0" w:color="BFBFBF"/>
              <w:right w:val="single" w:sz="8" w:space="0" w:color="BFBFBF"/>
            </w:tcBorders>
            <w:shd w:val="clear" w:color="auto" w:fill="F3F7FF" w:themeFill="background2"/>
            <w:vAlign w:val="center"/>
          </w:tcPr>
          <w:p w14:paraId="44C19C33" w14:textId="36BF5900"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noProof/>
                <w:color w:val="003399" w:themeColor="text2"/>
              </w:rPr>
              <w:t>0,2</w:t>
            </w:r>
          </w:p>
        </w:tc>
        <w:tc>
          <w:tcPr>
            <w:tcW w:w="450" w:type="pct"/>
            <w:tcBorders>
              <w:top w:val="nil"/>
              <w:left w:val="nil"/>
              <w:bottom w:val="single" w:sz="8" w:space="0" w:color="BFBFBF"/>
              <w:right w:val="single" w:sz="8" w:space="0" w:color="BFBFBF"/>
            </w:tcBorders>
            <w:shd w:val="clear" w:color="auto" w:fill="F3F7FF" w:themeFill="background2"/>
            <w:vAlign w:val="center"/>
          </w:tcPr>
          <w:p w14:paraId="71728B76" w14:textId="65C61B35"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noProof/>
                <w:color w:val="003399" w:themeColor="text2"/>
              </w:rPr>
              <w:t>0,1</w:t>
            </w:r>
          </w:p>
        </w:tc>
        <w:tc>
          <w:tcPr>
            <w:tcW w:w="449" w:type="pct"/>
            <w:tcBorders>
              <w:top w:val="nil"/>
              <w:left w:val="nil"/>
              <w:bottom w:val="single" w:sz="8" w:space="0" w:color="BFBFBF"/>
              <w:right w:val="nil"/>
            </w:tcBorders>
            <w:shd w:val="clear" w:color="auto" w:fill="F3F7FF" w:themeFill="background2"/>
            <w:vAlign w:val="center"/>
          </w:tcPr>
          <w:p w14:paraId="3AFFA6D2" w14:textId="7C0EA1A8"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2948ED">
              <w:rPr>
                <w:b/>
                <w:noProof/>
                <w:color w:val="000000" w:themeColor="text1"/>
                <w:sz w:val="22"/>
              </w:rPr>
              <w:t>22,0</w:t>
            </w:r>
          </w:p>
        </w:tc>
      </w:tr>
      <w:tr w:rsidR="00871143" w:rsidRPr="002948ED" w14:paraId="668AF3D8" w14:textId="77777777" w:rsidTr="009960E0">
        <w:trPr>
          <w:trHeight w:val="300"/>
        </w:trPr>
        <w:tc>
          <w:tcPr>
            <w:cnfStyle w:val="001000000000" w:firstRow="0" w:lastRow="0" w:firstColumn="1" w:lastColumn="0" w:oddVBand="0" w:evenVBand="0" w:oddHBand="0" w:evenHBand="0" w:firstRowFirstColumn="0" w:firstRowLastColumn="0" w:lastRowFirstColumn="0" w:lastRowLastColumn="0"/>
            <w:tcW w:w="1401" w:type="pct"/>
          </w:tcPr>
          <w:p w14:paraId="775172A9" w14:textId="77777777" w:rsidR="007A66F5" w:rsidRPr="002948ED" w:rsidRDefault="007A66F5" w:rsidP="00D212B3">
            <w:pPr>
              <w:spacing w:after="120"/>
              <w:rPr>
                <w:rFonts w:asciiTheme="majorHAnsi" w:eastAsia="Calibri" w:hAnsiTheme="majorHAnsi"/>
                <w:bCs/>
                <w:noProof/>
                <w:color w:val="003399" w:themeColor="text2"/>
                <w:sz w:val="22"/>
                <w:szCs w:val="22"/>
              </w:rPr>
            </w:pPr>
            <w:r w:rsidRPr="002948ED">
              <w:rPr>
                <w:rFonts w:asciiTheme="majorHAnsi" w:hAnsiTheme="majorHAnsi"/>
                <w:noProof/>
                <w:color w:val="003399" w:themeColor="text2"/>
                <w:sz w:val="22"/>
              </w:rPr>
              <w:t>3 Ressources naturelles et environnement</w:t>
            </w:r>
          </w:p>
        </w:tc>
        <w:tc>
          <w:tcPr>
            <w:tcW w:w="450" w:type="pct"/>
            <w:tcBorders>
              <w:top w:val="nil"/>
              <w:left w:val="nil"/>
              <w:bottom w:val="single" w:sz="8" w:space="0" w:color="BFBFBF"/>
              <w:right w:val="single" w:sz="8" w:space="0" w:color="BFBFBF"/>
            </w:tcBorders>
            <w:vAlign w:val="center"/>
          </w:tcPr>
          <w:p w14:paraId="1D716D7D" w14:textId="3793D166"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61,4</w:t>
            </w:r>
          </w:p>
        </w:tc>
        <w:tc>
          <w:tcPr>
            <w:tcW w:w="450" w:type="pct"/>
            <w:tcBorders>
              <w:top w:val="nil"/>
              <w:left w:val="nil"/>
              <w:bottom w:val="single" w:sz="8" w:space="0" w:color="BFBFBF"/>
              <w:right w:val="single" w:sz="8" w:space="0" w:color="BFBFBF"/>
            </w:tcBorders>
            <w:vAlign w:val="center"/>
          </w:tcPr>
          <w:p w14:paraId="238228B5" w14:textId="585CAF54"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17,9</w:t>
            </w:r>
          </w:p>
        </w:tc>
        <w:tc>
          <w:tcPr>
            <w:tcW w:w="450" w:type="pct"/>
            <w:tcBorders>
              <w:top w:val="nil"/>
              <w:left w:val="nil"/>
              <w:bottom w:val="single" w:sz="8" w:space="0" w:color="BFBFBF"/>
              <w:right w:val="single" w:sz="8" w:space="0" w:color="BFBFBF"/>
            </w:tcBorders>
            <w:vAlign w:val="center"/>
          </w:tcPr>
          <w:p w14:paraId="5360687E" w14:textId="76BF08BF"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13,8</w:t>
            </w:r>
          </w:p>
        </w:tc>
        <w:tc>
          <w:tcPr>
            <w:tcW w:w="450" w:type="pct"/>
            <w:tcBorders>
              <w:top w:val="nil"/>
              <w:left w:val="nil"/>
              <w:bottom w:val="single" w:sz="8" w:space="0" w:color="BFBFBF"/>
              <w:right w:val="single" w:sz="8" w:space="0" w:color="BFBFBF"/>
            </w:tcBorders>
            <w:vAlign w:val="center"/>
          </w:tcPr>
          <w:p w14:paraId="4063E511" w14:textId="19BF826C"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948ED">
              <w:rPr>
                <w:rFonts w:asciiTheme="minorHAnsi" w:hAnsiTheme="minorHAnsi"/>
                <w:b/>
                <w:noProof/>
                <w:color w:val="003399" w:themeColor="text2"/>
              </w:rPr>
              <w:t>2,4</w:t>
            </w:r>
          </w:p>
        </w:tc>
        <w:tc>
          <w:tcPr>
            <w:tcW w:w="450" w:type="pct"/>
            <w:tcBorders>
              <w:top w:val="nil"/>
              <w:left w:val="nil"/>
              <w:bottom w:val="single" w:sz="8" w:space="0" w:color="BFBFBF"/>
              <w:right w:val="single" w:sz="8" w:space="0" w:color="BFBFBF"/>
            </w:tcBorders>
            <w:vAlign w:val="center"/>
          </w:tcPr>
          <w:p w14:paraId="7BAF45B5" w14:textId="62FB2699"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2,4</w:t>
            </w:r>
          </w:p>
        </w:tc>
        <w:tc>
          <w:tcPr>
            <w:tcW w:w="450" w:type="pct"/>
            <w:tcBorders>
              <w:top w:val="nil"/>
              <w:left w:val="nil"/>
              <w:bottom w:val="single" w:sz="8" w:space="0" w:color="BFBFBF"/>
              <w:right w:val="single" w:sz="8" w:space="0" w:color="BFBFBF"/>
            </w:tcBorders>
            <w:vAlign w:val="center"/>
          </w:tcPr>
          <w:p w14:paraId="70D7A65D" w14:textId="5804B2B8"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0,4</w:t>
            </w:r>
          </w:p>
        </w:tc>
        <w:tc>
          <w:tcPr>
            <w:tcW w:w="450" w:type="pct"/>
            <w:tcBorders>
              <w:top w:val="nil"/>
              <w:left w:val="nil"/>
              <w:bottom w:val="single" w:sz="8" w:space="0" w:color="BFBFBF"/>
              <w:right w:val="single" w:sz="8" w:space="0" w:color="BFBFBF"/>
            </w:tcBorders>
            <w:vAlign w:val="center"/>
          </w:tcPr>
          <w:p w14:paraId="2B9C7002" w14:textId="47490F57"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0,2</w:t>
            </w:r>
          </w:p>
        </w:tc>
        <w:tc>
          <w:tcPr>
            <w:tcW w:w="449" w:type="pct"/>
            <w:tcBorders>
              <w:top w:val="nil"/>
              <w:left w:val="nil"/>
              <w:bottom w:val="single" w:sz="8" w:space="0" w:color="BFBFBF"/>
              <w:right w:val="nil"/>
            </w:tcBorders>
            <w:vAlign w:val="center"/>
          </w:tcPr>
          <w:p w14:paraId="34958137" w14:textId="58DE55EB"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2948ED">
              <w:rPr>
                <w:b/>
                <w:noProof/>
                <w:color w:val="000000" w:themeColor="text1"/>
                <w:sz w:val="22"/>
              </w:rPr>
              <w:t>98,5</w:t>
            </w:r>
          </w:p>
        </w:tc>
      </w:tr>
      <w:tr w:rsidR="00871143" w:rsidRPr="002948ED" w14:paraId="784A411F" w14:textId="77777777" w:rsidTr="009960E0">
        <w:trPr>
          <w:trHeight w:val="300"/>
        </w:trPr>
        <w:tc>
          <w:tcPr>
            <w:cnfStyle w:val="001000000000" w:firstRow="0" w:lastRow="0" w:firstColumn="1" w:lastColumn="0" w:oddVBand="0" w:evenVBand="0" w:oddHBand="0" w:evenHBand="0" w:firstRowFirstColumn="0" w:firstRowLastColumn="0" w:lastRowFirstColumn="0" w:lastRowLastColumn="0"/>
            <w:tcW w:w="1401" w:type="pct"/>
          </w:tcPr>
          <w:p w14:paraId="7BB98FA4" w14:textId="77777777" w:rsidR="007A66F5" w:rsidRPr="002948ED" w:rsidRDefault="007A66F5" w:rsidP="00D16649">
            <w:pPr>
              <w:spacing w:after="120"/>
              <w:ind w:left="170"/>
              <w:rPr>
                <w:rFonts w:asciiTheme="majorHAnsi" w:eastAsia="Calibri" w:hAnsiTheme="majorHAnsi"/>
                <w:b w:val="0"/>
                <w:bCs/>
                <w:noProof/>
                <w:color w:val="003399" w:themeColor="text2"/>
                <w:sz w:val="22"/>
                <w:szCs w:val="22"/>
              </w:rPr>
            </w:pPr>
            <w:r w:rsidRPr="002948ED">
              <w:rPr>
                <w:rFonts w:asciiTheme="majorHAnsi" w:hAnsiTheme="majorHAnsi"/>
                <w:b w:val="0"/>
                <w:noProof/>
                <w:color w:val="003399" w:themeColor="text2"/>
                <w:sz w:val="22"/>
              </w:rPr>
              <w:t>3.1 Dépenses relatives au marché et paiements directs</w:t>
            </w:r>
          </w:p>
        </w:tc>
        <w:tc>
          <w:tcPr>
            <w:tcW w:w="450" w:type="pct"/>
            <w:tcBorders>
              <w:top w:val="nil"/>
              <w:left w:val="nil"/>
              <w:bottom w:val="single" w:sz="8" w:space="0" w:color="BFBFBF"/>
              <w:right w:val="single" w:sz="8" w:space="0" w:color="BFBFBF"/>
            </w:tcBorders>
            <w:vAlign w:val="center"/>
          </w:tcPr>
          <w:p w14:paraId="1D5BBC59" w14:textId="77A30630"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40,6</w:t>
            </w:r>
          </w:p>
        </w:tc>
        <w:tc>
          <w:tcPr>
            <w:tcW w:w="450" w:type="pct"/>
            <w:tcBorders>
              <w:top w:val="nil"/>
              <w:left w:val="nil"/>
              <w:bottom w:val="single" w:sz="8" w:space="0" w:color="BFBFBF"/>
              <w:right w:val="single" w:sz="8" w:space="0" w:color="BFBFBF"/>
            </w:tcBorders>
            <w:vAlign w:val="center"/>
          </w:tcPr>
          <w:p w14:paraId="63556DA2" w14:textId="649305FD"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0,2</w:t>
            </w:r>
          </w:p>
        </w:tc>
        <w:tc>
          <w:tcPr>
            <w:tcW w:w="450" w:type="pct"/>
            <w:tcBorders>
              <w:top w:val="nil"/>
              <w:left w:val="nil"/>
              <w:bottom w:val="single" w:sz="8" w:space="0" w:color="BFBFBF"/>
              <w:right w:val="single" w:sz="8" w:space="0" w:color="BFBFBF"/>
            </w:tcBorders>
            <w:vAlign w:val="center"/>
          </w:tcPr>
          <w:p w14:paraId="5F5BCEBE" w14:textId="7759B125"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0,1</w:t>
            </w:r>
          </w:p>
        </w:tc>
        <w:tc>
          <w:tcPr>
            <w:tcW w:w="450" w:type="pct"/>
            <w:tcBorders>
              <w:top w:val="nil"/>
              <w:left w:val="nil"/>
              <w:bottom w:val="single" w:sz="8" w:space="0" w:color="BFBFBF"/>
              <w:right w:val="single" w:sz="8" w:space="0" w:color="BFBFBF"/>
            </w:tcBorders>
            <w:vAlign w:val="center"/>
          </w:tcPr>
          <w:p w14:paraId="621F0361" w14:textId="46EDCA68"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948ED">
              <w:rPr>
                <w:rFonts w:asciiTheme="minorHAnsi" w:hAnsiTheme="minorHAnsi"/>
                <w:noProof/>
                <w:color w:val="003399" w:themeColor="text2"/>
              </w:rPr>
              <w:t>0,0</w:t>
            </w:r>
          </w:p>
        </w:tc>
        <w:tc>
          <w:tcPr>
            <w:tcW w:w="450" w:type="pct"/>
            <w:tcBorders>
              <w:top w:val="nil"/>
              <w:left w:val="nil"/>
              <w:bottom w:val="single" w:sz="8" w:space="0" w:color="BFBFBF"/>
              <w:right w:val="single" w:sz="8" w:space="0" w:color="BFBFBF"/>
            </w:tcBorders>
            <w:vAlign w:val="center"/>
          </w:tcPr>
          <w:p w14:paraId="3BE4AC6A" w14:textId="2B7ADC43"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noProof/>
                <w:color w:val="003399" w:themeColor="text2"/>
              </w:rPr>
              <w:t>0,0</w:t>
            </w:r>
          </w:p>
        </w:tc>
        <w:tc>
          <w:tcPr>
            <w:tcW w:w="450" w:type="pct"/>
            <w:tcBorders>
              <w:top w:val="nil"/>
              <w:left w:val="nil"/>
              <w:bottom w:val="single" w:sz="8" w:space="0" w:color="BFBFBF"/>
              <w:right w:val="single" w:sz="8" w:space="0" w:color="BFBFBF"/>
            </w:tcBorders>
            <w:vAlign w:val="center"/>
          </w:tcPr>
          <w:p w14:paraId="3208C43F" w14:textId="2360C012"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noProof/>
                <w:color w:val="003399" w:themeColor="text2"/>
              </w:rPr>
              <w:t>0,0</w:t>
            </w:r>
          </w:p>
        </w:tc>
        <w:tc>
          <w:tcPr>
            <w:tcW w:w="450" w:type="pct"/>
            <w:tcBorders>
              <w:top w:val="nil"/>
              <w:left w:val="nil"/>
              <w:bottom w:val="single" w:sz="8" w:space="0" w:color="BFBFBF"/>
              <w:right w:val="single" w:sz="8" w:space="0" w:color="BFBFBF"/>
            </w:tcBorders>
            <w:vAlign w:val="center"/>
          </w:tcPr>
          <w:p w14:paraId="19FAA1CD" w14:textId="51B54230"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noProof/>
                <w:color w:val="003399" w:themeColor="text2"/>
              </w:rPr>
              <w:t>0,0</w:t>
            </w:r>
          </w:p>
        </w:tc>
        <w:tc>
          <w:tcPr>
            <w:tcW w:w="449" w:type="pct"/>
            <w:tcBorders>
              <w:top w:val="nil"/>
              <w:left w:val="nil"/>
              <w:bottom w:val="single" w:sz="8" w:space="0" w:color="BFBFBF"/>
              <w:right w:val="nil"/>
            </w:tcBorders>
            <w:vAlign w:val="center"/>
          </w:tcPr>
          <w:p w14:paraId="601748A1" w14:textId="31B90880"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2948ED">
              <w:rPr>
                <w:b/>
                <w:noProof/>
                <w:color w:val="000000" w:themeColor="text1"/>
                <w:sz w:val="22"/>
              </w:rPr>
              <w:t>40,9</w:t>
            </w:r>
          </w:p>
        </w:tc>
      </w:tr>
      <w:tr w:rsidR="00871143" w:rsidRPr="002948ED" w14:paraId="550EEA50" w14:textId="77777777" w:rsidTr="009960E0">
        <w:trPr>
          <w:trHeight w:val="300"/>
        </w:trPr>
        <w:tc>
          <w:tcPr>
            <w:cnfStyle w:val="001000000000" w:firstRow="0" w:lastRow="0" w:firstColumn="1" w:lastColumn="0" w:oddVBand="0" w:evenVBand="0" w:oddHBand="0" w:evenHBand="0" w:firstRowFirstColumn="0" w:firstRowLastColumn="0" w:lastRowFirstColumn="0" w:lastRowLastColumn="0"/>
            <w:tcW w:w="1401" w:type="pct"/>
          </w:tcPr>
          <w:p w14:paraId="53B12D09" w14:textId="77777777" w:rsidR="007A66F5" w:rsidRPr="002948ED" w:rsidRDefault="007A66F5" w:rsidP="00D16649">
            <w:pPr>
              <w:spacing w:after="120"/>
              <w:ind w:left="170"/>
              <w:rPr>
                <w:rFonts w:asciiTheme="majorHAnsi" w:eastAsia="Calibri" w:hAnsiTheme="majorHAnsi"/>
                <w:b w:val="0"/>
                <w:bCs/>
                <w:noProof/>
                <w:color w:val="003399" w:themeColor="text2"/>
                <w:sz w:val="22"/>
                <w:szCs w:val="22"/>
              </w:rPr>
            </w:pPr>
            <w:r w:rsidRPr="002948ED">
              <w:rPr>
                <w:rFonts w:asciiTheme="majorHAnsi" w:hAnsiTheme="majorHAnsi"/>
                <w:b w:val="0"/>
                <w:noProof/>
                <w:color w:val="003399" w:themeColor="text2"/>
                <w:sz w:val="22"/>
              </w:rPr>
              <w:t>3.2 Autres programmes «Ressources naturelles et environnement»</w:t>
            </w:r>
          </w:p>
        </w:tc>
        <w:tc>
          <w:tcPr>
            <w:tcW w:w="450" w:type="pct"/>
            <w:tcBorders>
              <w:top w:val="nil"/>
              <w:left w:val="nil"/>
              <w:bottom w:val="single" w:sz="8" w:space="0" w:color="BFBFBF"/>
              <w:right w:val="single" w:sz="8" w:space="0" w:color="BFBFBF"/>
            </w:tcBorders>
            <w:vAlign w:val="center"/>
          </w:tcPr>
          <w:p w14:paraId="0FAA4FD4" w14:textId="0D21F82A"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20,7</w:t>
            </w:r>
          </w:p>
        </w:tc>
        <w:tc>
          <w:tcPr>
            <w:tcW w:w="450" w:type="pct"/>
            <w:tcBorders>
              <w:top w:val="nil"/>
              <w:left w:val="nil"/>
              <w:bottom w:val="single" w:sz="8" w:space="0" w:color="BFBFBF"/>
              <w:right w:val="single" w:sz="8" w:space="0" w:color="BFBFBF"/>
            </w:tcBorders>
            <w:vAlign w:val="center"/>
          </w:tcPr>
          <w:p w14:paraId="13C52786" w14:textId="2287E0E8"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17,8</w:t>
            </w:r>
          </w:p>
        </w:tc>
        <w:tc>
          <w:tcPr>
            <w:tcW w:w="450" w:type="pct"/>
            <w:tcBorders>
              <w:top w:val="nil"/>
              <w:left w:val="nil"/>
              <w:bottom w:val="single" w:sz="8" w:space="0" w:color="BFBFBF"/>
              <w:right w:val="single" w:sz="8" w:space="0" w:color="BFBFBF"/>
            </w:tcBorders>
            <w:vAlign w:val="center"/>
          </w:tcPr>
          <w:p w14:paraId="0D89F94E" w14:textId="51CBE5EB"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13,7</w:t>
            </w:r>
          </w:p>
        </w:tc>
        <w:tc>
          <w:tcPr>
            <w:tcW w:w="450" w:type="pct"/>
            <w:tcBorders>
              <w:top w:val="nil"/>
              <w:left w:val="nil"/>
              <w:bottom w:val="single" w:sz="8" w:space="0" w:color="BFBFBF"/>
              <w:right w:val="single" w:sz="8" w:space="0" w:color="BFBFBF"/>
            </w:tcBorders>
            <w:vAlign w:val="center"/>
          </w:tcPr>
          <w:p w14:paraId="6FCF0FD0" w14:textId="164046B5"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948ED">
              <w:rPr>
                <w:rFonts w:asciiTheme="minorHAnsi" w:hAnsiTheme="minorHAnsi"/>
                <w:noProof/>
                <w:color w:val="003399" w:themeColor="text2"/>
              </w:rPr>
              <w:t>2,4</w:t>
            </w:r>
          </w:p>
        </w:tc>
        <w:tc>
          <w:tcPr>
            <w:tcW w:w="450" w:type="pct"/>
            <w:tcBorders>
              <w:top w:val="nil"/>
              <w:left w:val="nil"/>
              <w:bottom w:val="single" w:sz="8" w:space="0" w:color="BFBFBF"/>
              <w:right w:val="single" w:sz="8" w:space="0" w:color="BFBFBF"/>
            </w:tcBorders>
            <w:vAlign w:val="center"/>
          </w:tcPr>
          <w:p w14:paraId="7A2E52CF" w14:textId="3AE55B88"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noProof/>
                <w:color w:val="003399" w:themeColor="text2"/>
              </w:rPr>
              <w:t>2,4</w:t>
            </w:r>
          </w:p>
        </w:tc>
        <w:tc>
          <w:tcPr>
            <w:tcW w:w="450" w:type="pct"/>
            <w:tcBorders>
              <w:top w:val="nil"/>
              <w:left w:val="nil"/>
              <w:bottom w:val="single" w:sz="8" w:space="0" w:color="BFBFBF"/>
              <w:right w:val="single" w:sz="8" w:space="0" w:color="BFBFBF"/>
            </w:tcBorders>
            <w:vAlign w:val="center"/>
          </w:tcPr>
          <w:p w14:paraId="2FB7CA02" w14:textId="0BF538B7"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noProof/>
                <w:color w:val="003399" w:themeColor="text2"/>
              </w:rPr>
              <w:t>0,4</w:t>
            </w:r>
          </w:p>
        </w:tc>
        <w:tc>
          <w:tcPr>
            <w:tcW w:w="450" w:type="pct"/>
            <w:tcBorders>
              <w:top w:val="nil"/>
              <w:left w:val="nil"/>
              <w:bottom w:val="single" w:sz="8" w:space="0" w:color="BFBFBF"/>
              <w:right w:val="single" w:sz="8" w:space="0" w:color="BFBFBF"/>
            </w:tcBorders>
            <w:vAlign w:val="center"/>
          </w:tcPr>
          <w:p w14:paraId="2E81BE4D" w14:textId="598D82D2"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noProof/>
                <w:color w:val="003399" w:themeColor="text2"/>
              </w:rPr>
              <w:t>0,2</w:t>
            </w:r>
          </w:p>
        </w:tc>
        <w:tc>
          <w:tcPr>
            <w:tcW w:w="449" w:type="pct"/>
            <w:tcBorders>
              <w:top w:val="nil"/>
              <w:left w:val="nil"/>
              <w:bottom w:val="single" w:sz="8" w:space="0" w:color="BFBFBF"/>
              <w:right w:val="nil"/>
            </w:tcBorders>
            <w:vAlign w:val="center"/>
          </w:tcPr>
          <w:p w14:paraId="012DCC9A" w14:textId="24E090ED"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2948ED">
              <w:rPr>
                <w:b/>
                <w:noProof/>
                <w:color w:val="000000" w:themeColor="text1"/>
                <w:sz w:val="22"/>
              </w:rPr>
              <w:t>57,5</w:t>
            </w:r>
          </w:p>
        </w:tc>
      </w:tr>
      <w:tr w:rsidR="00871143" w:rsidRPr="002948ED" w14:paraId="71A05873" w14:textId="77777777" w:rsidTr="00DF4BE1">
        <w:trPr>
          <w:trHeight w:val="300"/>
        </w:trPr>
        <w:tc>
          <w:tcPr>
            <w:cnfStyle w:val="001000000000" w:firstRow="0" w:lastRow="0" w:firstColumn="1" w:lastColumn="0" w:oddVBand="0" w:evenVBand="0" w:oddHBand="0" w:evenHBand="0" w:firstRowFirstColumn="0" w:firstRowLastColumn="0" w:lastRowFirstColumn="0" w:lastRowLastColumn="0"/>
            <w:tcW w:w="1401" w:type="pct"/>
            <w:shd w:val="clear" w:color="auto" w:fill="F3F7FF" w:themeFill="background2"/>
          </w:tcPr>
          <w:p w14:paraId="383FEC03" w14:textId="77777777" w:rsidR="007A66F5" w:rsidRPr="002948ED" w:rsidRDefault="007A66F5" w:rsidP="004C07C6">
            <w:pPr>
              <w:spacing w:after="120"/>
              <w:rPr>
                <w:rFonts w:asciiTheme="majorHAnsi" w:eastAsia="Calibri" w:hAnsiTheme="majorHAnsi"/>
                <w:bCs/>
                <w:noProof/>
                <w:color w:val="003399" w:themeColor="text2"/>
                <w:sz w:val="22"/>
                <w:szCs w:val="22"/>
              </w:rPr>
            </w:pPr>
            <w:r w:rsidRPr="002948ED">
              <w:rPr>
                <w:rFonts w:asciiTheme="majorHAnsi" w:hAnsiTheme="majorHAnsi"/>
                <w:noProof/>
                <w:color w:val="003399" w:themeColor="text2"/>
                <w:sz w:val="22"/>
              </w:rPr>
              <w:t>4 Migration et gestion des frontières</w:t>
            </w:r>
          </w:p>
        </w:tc>
        <w:tc>
          <w:tcPr>
            <w:tcW w:w="450" w:type="pct"/>
            <w:tcBorders>
              <w:top w:val="nil"/>
              <w:left w:val="nil"/>
              <w:bottom w:val="single" w:sz="8" w:space="0" w:color="BFBFBF"/>
              <w:right w:val="single" w:sz="8" w:space="0" w:color="BFBFBF"/>
            </w:tcBorders>
            <w:shd w:val="clear" w:color="auto" w:fill="F3F7FF" w:themeFill="background2"/>
            <w:vAlign w:val="center"/>
          </w:tcPr>
          <w:p w14:paraId="1C5F1D17" w14:textId="7709A61E"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3,8</w:t>
            </w:r>
          </w:p>
        </w:tc>
        <w:tc>
          <w:tcPr>
            <w:tcW w:w="450" w:type="pct"/>
            <w:tcBorders>
              <w:top w:val="nil"/>
              <w:left w:val="nil"/>
              <w:bottom w:val="single" w:sz="8" w:space="0" w:color="BFBFBF"/>
              <w:right w:val="single" w:sz="8" w:space="0" w:color="BFBFBF"/>
            </w:tcBorders>
            <w:shd w:val="clear" w:color="auto" w:fill="F3F7FF" w:themeFill="background2"/>
            <w:vAlign w:val="center"/>
          </w:tcPr>
          <w:p w14:paraId="07EBCA69" w14:textId="56249762"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2,8</w:t>
            </w:r>
          </w:p>
        </w:tc>
        <w:tc>
          <w:tcPr>
            <w:tcW w:w="450" w:type="pct"/>
            <w:tcBorders>
              <w:top w:val="nil"/>
              <w:left w:val="nil"/>
              <w:bottom w:val="single" w:sz="8" w:space="0" w:color="BFBFBF"/>
              <w:right w:val="single" w:sz="8" w:space="0" w:color="BFBFBF"/>
            </w:tcBorders>
            <w:shd w:val="clear" w:color="auto" w:fill="F3F7FF" w:themeFill="background2"/>
            <w:vAlign w:val="center"/>
          </w:tcPr>
          <w:p w14:paraId="7BC0C375" w14:textId="54D068C9"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1,6</w:t>
            </w:r>
          </w:p>
        </w:tc>
        <w:tc>
          <w:tcPr>
            <w:tcW w:w="450" w:type="pct"/>
            <w:tcBorders>
              <w:top w:val="nil"/>
              <w:left w:val="nil"/>
              <w:bottom w:val="single" w:sz="8" w:space="0" w:color="BFBFBF"/>
              <w:right w:val="single" w:sz="8" w:space="0" w:color="BFBFBF"/>
            </w:tcBorders>
            <w:shd w:val="clear" w:color="auto" w:fill="F3F7FF" w:themeFill="background2"/>
            <w:vAlign w:val="center"/>
          </w:tcPr>
          <w:p w14:paraId="535B5139" w14:textId="5A50CD38"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948ED">
              <w:rPr>
                <w:rFonts w:asciiTheme="minorHAnsi" w:hAnsiTheme="minorHAnsi"/>
                <w:b/>
                <w:noProof/>
                <w:color w:val="003399" w:themeColor="text2"/>
              </w:rPr>
              <w:t>1,0</w:t>
            </w:r>
          </w:p>
        </w:tc>
        <w:tc>
          <w:tcPr>
            <w:tcW w:w="450" w:type="pct"/>
            <w:tcBorders>
              <w:top w:val="nil"/>
              <w:left w:val="nil"/>
              <w:bottom w:val="single" w:sz="8" w:space="0" w:color="BFBFBF"/>
              <w:right w:val="single" w:sz="8" w:space="0" w:color="BFBFBF"/>
            </w:tcBorders>
            <w:shd w:val="clear" w:color="auto" w:fill="F3F7FF" w:themeFill="background2"/>
            <w:vAlign w:val="center"/>
          </w:tcPr>
          <w:p w14:paraId="0E0F546A" w14:textId="68DDD441"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0,7</w:t>
            </w:r>
          </w:p>
        </w:tc>
        <w:tc>
          <w:tcPr>
            <w:tcW w:w="450" w:type="pct"/>
            <w:tcBorders>
              <w:top w:val="nil"/>
              <w:left w:val="nil"/>
              <w:bottom w:val="single" w:sz="8" w:space="0" w:color="BFBFBF"/>
              <w:right w:val="single" w:sz="8" w:space="0" w:color="BFBFBF"/>
            </w:tcBorders>
            <w:shd w:val="clear" w:color="auto" w:fill="F3F7FF" w:themeFill="background2"/>
            <w:vAlign w:val="center"/>
          </w:tcPr>
          <w:p w14:paraId="73394C57" w14:textId="2124A592"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1,9</w:t>
            </w:r>
          </w:p>
        </w:tc>
        <w:tc>
          <w:tcPr>
            <w:tcW w:w="450" w:type="pct"/>
            <w:tcBorders>
              <w:top w:val="nil"/>
              <w:left w:val="nil"/>
              <w:bottom w:val="single" w:sz="8" w:space="0" w:color="BFBFBF"/>
              <w:right w:val="single" w:sz="8" w:space="0" w:color="BFBFBF"/>
            </w:tcBorders>
            <w:shd w:val="clear" w:color="auto" w:fill="F3F7FF" w:themeFill="background2"/>
            <w:vAlign w:val="center"/>
          </w:tcPr>
          <w:p w14:paraId="0E542830" w14:textId="15F0915B"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0,8</w:t>
            </w:r>
          </w:p>
        </w:tc>
        <w:tc>
          <w:tcPr>
            <w:tcW w:w="449" w:type="pct"/>
            <w:tcBorders>
              <w:top w:val="nil"/>
              <w:left w:val="nil"/>
              <w:bottom w:val="single" w:sz="8" w:space="0" w:color="BFBFBF"/>
              <w:right w:val="nil"/>
            </w:tcBorders>
            <w:shd w:val="clear" w:color="auto" w:fill="F3F7FF" w:themeFill="background2"/>
            <w:vAlign w:val="center"/>
          </w:tcPr>
          <w:p w14:paraId="2D174AE1" w14:textId="49051631"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2948ED">
              <w:rPr>
                <w:b/>
                <w:noProof/>
                <w:color w:val="000000" w:themeColor="text1"/>
                <w:sz w:val="22"/>
              </w:rPr>
              <w:t>12,6</w:t>
            </w:r>
          </w:p>
        </w:tc>
      </w:tr>
      <w:tr w:rsidR="00871143" w:rsidRPr="002948ED" w14:paraId="6FDBB1E3" w14:textId="77777777" w:rsidTr="009960E0">
        <w:trPr>
          <w:trHeight w:val="300"/>
        </w:trPr>
        <w:tc>
          <w:tcPr>
            <w:cnfStyle w:val="001000000000" w:firstRow="0" w:lastRow="0" w:firstColumn="1" w:lastColumn="0" w:oddVBand="0" w:evenVBand="0" w:oddHBand="0" w:evenHBand="0" w:firstRowFirstColumn="0" w:firstRowLastColumn="0" w:lastRowFirstColumn="0" w:lastRowLastColumn="0"/>
            <w:tcW w:w="1401" w:type="pct"/>
          </w:tcPr>
          <w:p w14:paraId="2F6E3541" w14:textId="77777777" w:rsidR="007A66F5" w:rsidRPr="002948ED" w:rsidRDefault="007A66F5" w:rsidP="004C07C6">
            <w:pPr>
              <w:spacing w:after="120"/>
              <w:rPr>
                <w:rFonts w:asciiTheme="majorHAnsi" w:eastAsia="Calibri" w:hAnsiTheme="majorHAnsi"/>
                <w:bCs/>
                <w:noProof/>
                <w:color w:val="003399" w:themeColor="text2"/>
                <w:sz w:val="22"/>
                <w:szCs w:val="22"/>
              </w:rPr>
            </w:pPr>
            <w:r w:rsidRPr="002948ED">
              <w:rPr>
                <w:rFonts w:asciiTheme="majorHAnsi" w:hAnsiTheme="majorHAnsi"/>
                <w:noProof/>
                <w:color w:val="003399" w:themeColor="text2"/>
                <w:sz w:val="22"/>
              </w:rPr>
              <w:t>5 Sécurité et défense</w:t>
            </w:r>
          </w:p>
        </w:tc>
        <w:tc>
          <w:tcPr>
            <w:tcW w:w="450" w:type="pct"/>
            <w:tcBorders>
              <w:top w:val="nil"/>
              <w:left w:val="nil"/>
              <w:bottom w:val="single" w:sz="8" w:space="0" w:color="BFBFBF"/>
              <w:right w:val="single" w:sz="8" w:space="0" w:color="BFBFBF"/>
            </w:tcBorders>
            <w:vAlign w:val="center"/>
          </w:tcPr>
          <w:p w14:paraId="2FE2AAF3" w14:textId="044EA633"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2,2</w:t>
            </w:r>
          </w:p>
        </w:tc>
        <w:tc>
          <w:tcPr>
            <w:tcW w:w="450" w:type="pct"/>
            <w:tcBorders>
              <w:top w:val="nil"/>
              <w:left w:val="nil"/>
              <w:bottom w:val="single" w:sz="8" w:space="0" w:color="BFBFBF"/>
              <w:right w:val="single" w:sz="8" w:space="0" w:color="BFBFBF"/>
            </w:tcBorders>
            <w:vAlign w:val="center"/>
          </w:tcPr>
          <w:p w14:paraId="25C508F7" w14:textId="6331303D"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2,1</w:t>
            </w:r>
          </w:p>
        </w:tc>
        <w:tc>
          <w:tcPr>
            <w:tcW w:w="450" w:type="pct"/>
            <w:tcBorders>
              <w:top w:val="nil"/>
              <w:left w:val="nil"/>
              <w:bottom w:val="single" w:sz="8" w:space="0" w:color="BFBFBF"/>
              <w:right w:val="single" w:sz="8" w:space="0" w:color="BFBFBF"/>
            </w:tcBorders>
            <w:vAlign w:val="center"/>
          </w:tcPr>
          <w:p w14:paraId="12F5B9A9" w14:textId="71147736"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1,6</w:t>
            </w:r>
          </w:p>
        </w:tc>
        <w:tc>
          <w:tcPr>
            <w:tcW w:w="450" w:type="pct"/>
            <w:tcBorders>
              <w:top w:val="nil"/>
              <w:left w:val="nil"/>
              <w:bottom w:val="single" w:sz="8" w:space="0" w:color="BFBFBF"/>
              <w:right w:val="single" w:sz="8" w:space="0" w:color="BFBFBF"/>
            </w:tcBorders>
            <w:vAlign w:val="center"/>
          </w:tcPr>
          <w:p w14:paraId="00E6733B" w14:textId="392E57C4"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948ED">
              <w:rPr>
                <w:rFonts w:asciiTheme="minorHAnsi" w:hAnsiTheme="minorHAnsi"/>
                <w:b/>
                <w:noProof/>
                <w:color w:val="003399" w:themeColor="text2"/>
              </w:rPr>
              <w:t>1,3</w:t>
            </w:r>
          </w:p>
        </w:tc>
        <w:tc>
          <w:tcPr>
            <w:tcW w:w="450" w:type="pct"/>
            <w:tcBorders>
              <w:top w:val="nil"/>
              <w:left w:val="nil"/>
              <w:bottom w:val="single" w:sz="8" w:space="0" w:color="BFBFBF"/>
              <w:right w:val="single" w:sz="8" w:space="0" w:color="BFBFBF"/>
            </w:tcBorders>
            <w:vAlign w:val="center"/>
          </w:tcPr>
          <w:p w14:paraId="6B0BB6F5" w14:textId="41E9CB80"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0,9</w:t>
            </w:r>
          </w:p>
        </w:tc>
        <w:tc>
          <w:tcPr>
            <w:tcW w:w="450" w:type="pct"/>
            <w:tcBorders>
              <w:top w:val="nil"/>
              <w:left w:val="nil"/>
              <w:bottom w:val="single" w:sz="8" w:space="0" w:color="BFBFBF"/>
              <w:right w:val="single" w:sz="8" w:space="0" w:color="BFBFBF"/>
            </w:tcBorders>
            <w:vAlign w:val="center"/>
          </w:tcPr>
          <w:p w14:paraId="43DBF28F" w14:textId="4130CA69"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0,3</w:t>
            </w:r>
          </w:p>
        </w:tc>
        <w:tc>
          <w:tcPr>
            <w:tcW w:w="450" w:type="pct"/>
            <w:tcBorders>
              <w:top w:val="nil"/>
              <w:left w:val="nil"/>
              <w:bottom w:val="single" w:sz="8" w:space="0" w:color="BFBFBF"/>
              <w:right w:val="single" w:sz="8" w:space="0" w:color="BFBFBF"/>
            </w:tcBorders>
            <w:vAlign w:val="center"/>
          </w:tcPr>
          <w:p w14:paraId="38E7CEAB" w14:textId="07D200FB"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0,1</w:t>
            </w:r>
          </w:p>
        </w:tc>
        <w:tc>
          <w:tcPr>
            <w:tcW w:w="449" w:type="pct"/>
            <w:tcBorders>
              <w:top w:val="nil"/>
              <w:left w:val="nil"/>
              <w:bottom w:val="single" w:sz="8" w:space="0" w:color="BFBFBF"/>
              <w:right w:val="nil"/>
            </w:tcBorders>
            <w:vAlign w:val="center"/>
          </w:tcPr>
          <w:p w14:paraId="77E03845" w14:textId="1E7C40B4"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2948ED">
              <w:rPr>
                <w:b/>
                <w:noProof/>
                <w:color w:val="000000" w:themeColor="text1"/>
                <w:sz w:val="22"/>
              </w:rPr>
              <w:t>8,5</w:t>
            </w:r>
          </w:p>
        </w:tc>
      </w:tr>
      <w:tr w:rsidR="00871143" w:rsidRPr="002948ED" w14:paraId="52FABBBE" w14:textId="77777777" w:rsidTr="00DF4BE1">
        <w:trPr>
          <w:trHeight w:val="300"/>
        </w:trPr>
        <w:tc>
          <w:tcPr>
            <w:cnfStyle w:val="001000000000" w:firstRow="0" w:lastRow="0" w:firstColumn="1" w:lastColumn="0" w:oddVBand="0" w:evenVBand="0" w:oddHBand="0" w:evenHBand="0" w:firstRowFirstColumn="0" w:firstRowLastColumn="0" w:lastRowFirstColumn="0" w:lastRowLastColumn="0"/>
            <w:tcW w:w="1401" w:type="pct"/>
            <w:shd w:val="clear" w:color="auto" w:fill="F3F7FF" w:themeFill="background2"/>
          </w:tcPr>
          <w:p w14:paraId="5A44575C" w14:textId="77777777" w:rsidR="007A66F5" w:rsidRPr="002948ED" w:rsidRDefault="007A66F5" w:rsidP="004C07C6">
            <w:pPr>
              <w:spacing w:after="120"/>
              <w:rPr>
                <w:rFonts w:asciiTheme="majorHAnsi" w:eastAsia="Calibri" w:hAnsiTheme="majorHAnsi"/>
                <w:bCs/>
                <w:noProof/>
                <w:color w:val="003399" w:themeColor="text2"/>
                <w:sz w:val="22"/>
                <w:szCs w:val="22"/>
              </w:rPr>
            </w:pPr>
            <w:r w:rsidRPr="002948ED">
              <w:rPr>
                <w:rFonts w:asciiTheme="majorHAnsi" w:hAnsiTheme="majorHAnsi"/>
                <w:noProof/>
                <w:color w:val="003399" w:themeColor="text2"/>
                <w:sz w:val="22"/>
              </w:rPr>
              <w:t>6 Le voisinage et le monde</w:t>
            </w:r>
          </w:p>
        </w:tc>
        <w:tc>
          <w:tcPr>
            <w:tcW w:w="450" w:type="pct"/>
            <w:tcBorders>
              <w:top w:val="nil"/>
              <w:left w:val="nil"/>
              <w:bottom w:val="single" w:sz="8" w:space="0" w:color="BFBFBF"/>
              <w:right w:val="single" w:sz="8" w:space="0" w:color="BFBFBF"/>
            </w:tcBorders>
            <w:shd w:val="clear" w:color="auto" w:fill="F3F7FF" w:themeFill="background2"/>
            <w:vAlign w:val="center"/>
          </w:tcPr>
          <w:p w14:paraId="362FA53E" w14:textId="5B523007"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16,0</w:t>
            </w:r>
          </w:p>
        </w:tc>
        <w:tc>
          <w:tcPr>
            <w:tcW w:w="450" w:type="pct"/>
            <w:tcBorders>
              <w:top w:val="nil"/>
              <w:left w:val="nil"/>
              <w:bottom w:val="single" w:sz="8" w:space="0" w:color="BFBFBF"/>
              <w:right w:val="single" w:sz="8" w:space="0" w:color="BFBFBF"/>
            </w:tcBorders>
            <w:shd w:val="clear" w:color="auto" w:fill="F3F7FF" w:themeFill="background2"/>
            <w:vAlign w:val="center"/>
          </w:tcPr>
          <w:p w14:paraId="5CE3088C" w14:textId="1FCAF09D"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12,7</w:t>
            </w:r>
          </w:p>
        </w:tc>
        <w:tc>
          <w:tcPr>
            <w:tcW w:w="450" w:type="pct"/>
            <w:tcBorders>
              <w:top w:val="nil"/>
              <w:left w:val="nil"/>
              <w:bottom w:val="single" w:sz="8" w:space="0" w:color="BFBFBF"/>
              <w:right w:val="single" w:sz="8" w:space="0" w:color="BFBFBF"/>
            </w:tcBorders>
            <w:shd w:val="clear" w:color="auto" w:fill="F3F7FF" w:themeFill="background2"/>
            <w:vAlign w:val="center"/>
          </w:tcPr>
          <w:p w14:paraId="0CCBD893" w14:textId="477D8BDB"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11,1</w:t>
            </w:r>
          </w:p>
        </w:tc>
        <w:tc>
          <w:tcPr>
            <w:tcW w:w="450" w:type="pct"/>
            <w:tcBorders>
              <w:top w:val="nil"/>
              <w:left w:val="nil"/>
              <w:bottom w:val="single" w:sz="8" w:space="0" w:color="BFBFBF"/>
              <w:right w:val="single" w:sz="8" w:space="0" w:color="BFBFBF"/>
            </w:tcBorders>
            <w:shd w:val="clear" w:color="auto" w:fill="F3F7FF" w:themeFill="background2"/>
            <w:vAlign w:val="center"/>
          </w:tcPr>
          <w:p w14:paraId="444AEF29" w14:textId="366B1BB6"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948ED">
              <w:rPr>
                <w:rFonts w:asciiTheme="minorHAnsi" w:hAnsiTheme="minorHAnsi"/>
                <w:b/>
                <w:noProof/>
                <w:color w:val="003399" w:themeColor="text2"/>
              </w:rPr>
              <w:t>6,3</w:t>
            </w:r>
          </w:p>
        </w:tc>
        <w:tc>
          <w:tcPr>
            <w:tcW w:w="450" w:type="pct"/>
            <w:tcBorders>
              <w:top w:val="nil"/>
              <w:left w:val="nil"/>
              <w:bottom w:val="single" w:sz="8" w:space="0" w:color="BFBFBF"/>
              <w:right w:val="single" w:sz="8" w:space="0" w:color="BFBFBF"/>
            </w:tcBorders>
            <w:shd w:val="clear" w:color="auto" w:fill="F3F7FF" w:themeFill="background2"/>
            <w:vAlign w:val="center"/>
          </w:tcPr>
          <w:p w14:paraId="0C4F391D" w14:textId="4612F613"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3,4</w:t>
            </w:r>
          </w:p>
        </w:tc>
        <w:tc>
          <w:tcPr>
            <w:tcW w:w="450" w:type="pct"/>
            <w:tcBorders>
              <w:top w:val="nil"/>
              <w:left w:val="nil"/>
              <w:bottom w:val="single" w:sz="8" w:space="0" w:color="BFBFBF"/>
              <w:right w:val="single" w:sz="8" w:space="0" w:color="BFBFBF"/>
            </w:tcBorders>
            <w:shd w:val="clear" w:color="auto" w:fill="F3F7FF" w:themeFill="background2"/>
            <w:vAlign w:val="center"/>
          </w:tcPr>
          <w:p w14:paraId="469C0973" w14:textId="60771263"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2,8</w:t>
            </w:r>
          </w:p>
        </w:tc>
        <w:tc>
          <w:tcPr>
            <w:tcW w:w="450" w:type="pct"/>
            <w:tcBorders>
              <w:top w:val="nil"/>
              <w:left w:val="nil"/>
              <w:bottom w:val="single" w:sz="8" w:space="0" w:color="BFBFBF"/>
              <w:right w:val="single" w:sz="8" w:space="0" w:color="BFBFBF"/>
            </w:tcBorders>
            <w:shd w:val="clear" w:color="auto" w:fill="F3F7FF" w:themeFill="background2"/>
            <w:vAlign w:val="center"/>
          </w:tcPr>
          <w:p w14:paraId="4DC5A8C9" w14:textId="530957D9"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1,2</w:t>
            </w:r>
          </w:p>
        </w:tc>
        <w:tc>
          <w:tcPr>
            <w:tcW w:w="449" w:type="pct"/>
            <w:tcBorders>
              <w:top w:val="nil"/>
              <w:left w:val="nil"/>
              <w:bottom w:val="single" w:sz="8" w:space="0" w:color="BFBFBF"/>
              <w:right w:val="nil"/>
            </w:tcBorders>
            <w:shd w:val="clear" w:color="auto" w:fill="F3F7FF" w:themeFill="background2"/>
            <w:vAlign w:val="center"/>
          </w:tcPr>
          <w:p w14:paraId="03404098" w14:textId="287C11A6"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2948ED">
              <w:rPr>
                <w:b/>
                <w:noProof/>
                <w:color w:val="000000" w:themeColor="text1"/>
                <w:sz w:val="22"/>
              </w:rPr>
              <w:t>53,4</w:t>
            </w:r>
          </w:p>
        </w:tc>
      </w:tr>
      <w:tr w:rsidR="006D268C" w:rsidRPr="002948ED" w14:paraId="20E5E4C6" w14:textId="77777777" w:rsidTr="009960E0">
        <w:trPr>
          <w:trHeight w:val="300"/>
        </w:trPr>
        <w:tc>
          <w:tcPr>
            <w:cnfStyle w:val="001000000000" w:firstRow="0" w:lastRow="0" w:firstColumn="1" w:lastColumn="0" w:oddVBand="0" w:evenVBand="0" w:oddHBand="0" w:evenHBand="0" w:firstRowFirstColumn="0" w:firstRowLastColumn="0" w:lastRowFirstColumn="0" w:lastRowLastColumn="0"/>
            <w:tcW w:w="1401" w:type="pct"/>
          </w:tcPr>
          <w:p w14:paraId="78014E86" w14:textId="77777777" w:rsidR="007A66F5" w:rsidRPr="002948ED" w:rsidRDefault="007A66F5" w:rsidP="00BC65B0">
            <w:pPr>
              <w:spacing w:after="120"/>
              <w:rPr>
                <w:rFonts w:asciiTheme="majorHAnsi" w:eastAsia="Calibri" w:hAnsiTheme="majorHAnsi"/>
                <w:bCs/>
                <w:noProof/>
                <w:color w:val="003399" w:themeColor="text2"/>
                <w:sz w:val="22"/>
                <w:szCs w:val="22"/>
              </w:rPr>
            </w:pPr>
            <w:r w:rsidRPr="002948ED">
              <w:rPr>
                <w:rFonts w:asciiTheme="majorHAnsi" w:hAnsiTheme="majorHAnsi"/>
                <w:noProof/>
                <w:color w:val="003399" w:themeColor="text2"/>
                <w:sz w:val="22"/>
              </w:rPr>
              <w:t>7 Administration publique européenne</w:t>
            </w:r>
          </w:p>
        </w:tc>
        <w:tc>
          <w:tcPr>
            <w:tcW w:w="450" w:type="pct"/>
            <w:tcBorders>
              <w:top w:val="nil"/>
              <w:left w:val="nil"/>
              <w:bottom w:val="single" w:sz="8" w:space="0" w:color="BFBFBF"/>
              <w:right w:val="single" w:sz="8" w:space="0" w:color="BFBFBF"/>
            </w:tcBorders>
            <w:vAlign w:val="center"/>
          </w:tcPr>
          <w:p w14:paraId="3AA6DB5C" w14:textId="519A14B7"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13,7</w:t>
            </w:r>
          </w:p>
        </w:tc>
        <w:tc>
          <w:tcPr>
            <w:tcW w:w="450" w:type="pct"/>
            <w:tcBorders>
              <w:top w:val="single" w:sz="8" w:space="0" w:color="BFBFBF"/>
              <w:left w:val="nil"/>
              <w:bottom w:val="single" w:sz="8" w:space="0" w:color="BFBFBF"/>
              <w:right w:val="single" w:sz="8" w:space="0" w:color="BFBFBF"/>
            </w:tcBorders>
            <w:vAlign w:val="center"/>
          </w:tcPr>
          <w:p w14:paraId="2E3A2E84" w14:textId="3ABDE3C6"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09174C7B" w14:textId="21D7EDEF"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6AEDD656" w14:textId="73CFBCD8"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948ED">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7DE07370" w14:textId="038C8E34"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2E2DE921" w14:textId="42380B60"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2C5E3B83" w14:textId="7B193B56"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0,0</w:t>
            </w:r>
          </w:p>
        </w:tc>
        <w:tc>
          <w:tcPr>
            <w:tcW w:w="449" w:type="pct"/>
            <w:tcBorders>
              <w:top w:val="nil"/>
              <w:left w:val="nil"/>
              <w:bottom w:val="single" w:sz="8" w:space="0" w:color="BFBFBF"/>
              <w:right w:val="nil"/>
            </w:tcBorders>
            <w:vAlign w:val="center"/>
          </w:tcPr>
          <w:p w14:paraId="5DDDCBF2" w14:textId="12064DCD"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2948ED">
              <w:rPr>
                <w:b/>
                <w:noProof/>
                <w:color w:val="000000" w:themeColor="text1"/>
                <w:sz w:val="22"/>
              </w:rPr>
              <w:t>13,7</w:t>
            </w:r>
          </w:p>
        </w:tc>
      </w:tr>
      <w:tr w:rsidR="006D268C" w:rsidRPr="002948ED" w14:paraId="43FD8BC9" w14:textId="77777777" w:rsidTr="00DF4BE1">
        <w:trPr>
          <w:trHeight w:val="300"/>
        </w:trPr>
        <w:tc>
          <w:tcPr>
            <w:cnfStyle w:val="001000000000" w:firstRow="0" w:lastRow="0" w:firstColumn="1" w:lastColumn="0" w:oddVBand="0" w:evenVBand="0" w:oddHBand="0" w:evenHBand="0" w:firstRowFirstColumn="0" w:firstRowLastColumn="0" w:lastRowFirstColumn="0" w:lastRowLastColumn="0"/>
            <w:tcW w:w="1401" w:type="pct"/>
            <w:shd w:val="clear" w:color="auto" w:fill="F3F7FF" w:themeFill="background2"/>
          </w:tcPr>
          <w:p w14:paraId="380294AF" w14:textId="29D20839" w:rsidR="007A66F5" w:rsidRPr="002948ED" w:rsidRDefault="009D35B3" w:rsidP="00BC65B0">
            <w:pPr>
              <w:spacing w:after="120"/>
              <w:rPr>
                <w:rFonts w:asciiTheme="majorHAnsi" w:eastAsia="Calibri" w:hAnsiTheme="majorHAnsi"/>
                <w:bCs/>
                <w:noProof/>
                <w:color w:val="003399" w:themeColor="text2"/>
                <w:sz w:val="22"/>
                <w:szCs w:val="22"/>
              </w:rPr>
            </w:pPr>
            <w:r w:rsidRPr="002948ED">
              <w:rPr>
                <w:rFonts w:asciiTheme="majorHAnsi" w:hAnsiTheme="majorHAnsi"/>
                <w:noProof/>
                <w:color w:val="003399" w:themeColor="text2"/>
                <w:sz w:val="22"/>
              </w:rPr>
              <w:t>O Hors plafonds du CPF</w:t>
            </w:r>
          </w:p>
        </w:tc>
        <w:tc>
          <w:tcPr>
            <w:tcW w:w="450" w:type="pct"/>
            <w:tcBorders>
              <w:top w:val="nil"/>
              <w:left w:val="nil"/>
              <w:bottom w:val="single" w:sz="8" w:space="0" w:color="BFBFBF"/>
              <w:right w:val="single" w:sz="8" w:space="0" w:color="BFBFBF"/>
            </w:tcBorders>
            <w:shd w:val="clear" w:color="auto" w:fill="F3F7FF" w:themeFill="background2"/>
            <w:vAlign w:val="center"/>
          </w:tcPr>
          <w:p w14:paraId="0FECABE5" w14:textId="2CF1890F"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7,6</w:t>
            </w:r>
          </w:p>
        </w:tc>
        <w:tc>
          <w:tcPr>
            <w:tcW w:w="450" w:type="pct"/>
            <w:tcBorders>
              <w:top w:val="nil"/>
              <w:left w:val="nil"/>
              <w:bottom w:val="single" w:sz="8" w:space="0" w:color="BFBFBF"/>
              <w:right w:val="single" w:sz="8" w:space="0" w:color="BFBFBF"/>
            </w:tcBorders>
            <w:shd w:val="clear" w:color="auto" w:fill="F3F7FF" w:themeFill="background2"/>
            <w:vAlign w:val="center"/>
          </w:tcPr>
          <w:p w14:paraId="058B1D61" w14:textId="16E3792F"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0,6</w:t>
            </w:r>
          </w:p>
        </w:tc>
        <w:tc>
          <w:tcPr>
            <w:tcW w:w="450" w:type="pct"/>
            <w:tcBorders>
              <w:top w:val="nil"/>
              <w:left w:val="nil"/>
              <w:bottom w:val="single" w:sz="8" w:space="0" w:color="BFBFBF"/>
              <w:right w:val="single" w:sz="8" w:space="0" w:color="BFBFBF"/>
            </w:tcBorders>
            <w:shd w:val="clear" w:color="auto" w:fill="F3F7FF" w:themeFill="background2"/>
            <w:vAlign w:val="center"/>
          </w:tcPr>
          <w:p w14:paraId="44F2B3A8" w14:textId="2FACAD08"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0,3</w:t>
            </w:r>
          </w:p>
        </w:tc>
        <w:tc>
          <w:tcPr>
            <w:tcW w:w="450" w:type="pct"/>
            <w:tcBorders>
              <w:top w:val="single" w:sz="8" w:space="0" w:color="BFBFBF"/>
              <w:left w:val="nil"/>
              <w:bottom w:val="single" w:sz="8" w:space="0" w:color="BFBFBF"/>
              <w:right w:val="single" w:sz="8" w:space="0" w:color="BFBFBF"/>
            </w:tcBorders>
            <w:shd w:val="clear" w:color="auto" w:fill="F3F7FF" w:themeFill="background2"/>
            <w:vAlign w:val="center"/>
          </w:tcPr>
          <w:p w14:paraId="2DE30E52" w14:textId="0E76E526"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948ED">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shd w:val="clear" w:color="auto" w:fill="F3F7FF" w:themeFill="background2"/>
            <w:vAlign w:val="center"/>
          </w:tcPr>
          <w:p w14:paraId="7AA934E8" w14:textId="0241A319"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shd w:val="clear" w:color="auto" w:fill="F3F7FF" w:themeFill="background2"/>
            <w:vAlign w:val="center"/>
          </w:tcPr>
          <w:p w14:paraId="485F8F4F" w14:textId="2B1AA3B7"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shd w:val="clear" w:color="auto" w:fill="F3F7FF" w:themeFill="background2"/>
            <w:vAlign w:val="center"/>
          </w:tcPr>
          <w:p w14:paraId="15099A40" w14:textId="38076EB6"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0,0</w:t>
            </w:r>
          </w:p>
        </w:tc>
        <w:tc>
          <w:tcPr>
            <w:tcW w:w="449" w:type="pct"/>
            <w:tcBorders>
              <w:top w:val="nil"/>
              <w:left w:val="nil"/>
              <w:bottom w:val="single" w:sz="8" w:space="0" w:color="BFBFBF"/>
              <w:right w:val="nil"/>
            </w:tcBorders>
            <w:shd w:val="clear" w:color="auto" w:fill="F3F7FF" w:themeFill="background2"/>
            <w:vAlign w:val="center"/>
          </w:tcPr>
          <w:p w14:paraId="2C6F46D8" w14:textId="102F14B0"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2948ED">
              <w:rPr>
                <w:b/>
                <w:noProof/>
                <w:color w:val="000000" w:themeColor="text1"/>
                <w:sz w:val="22"/>
              </w:rPr>
              <w:t>8,4</w:t>
            </w:r>
          </w:p>
        </w:tc>
      </w:tr>
      <w:tr w:rsidR="006D268C" w:rsidRPr="002948ED" w14:paraId="67BD657C" w14:textId="77777777" w:rsidTr="009960E0">
        <w:trPr>
          <w:trHeight w:val="300"/>
        </w:trPr>
        <w:tc>
          <w:tcPr>
            <w:cnfStyle w:val="001000000000" w:firstRow="0" w:lastRow="0" w:firstColumn="1" w:lastColumn="0" w:oddVBand="0" w:evenVBand="0" w:oddHBand="0" w:evenHBand="0" w:firstRowFirstColumn="0" w:firstRowLastColumn="0" w:lastRowFirstColumn="0" w:lastRowLastColumn="0"/>
            <w:tcW w:w="1401" w:type="pct"/>
          </w:tcPr>
          <w:p w14:paraId="2E863BF3" w14:textId="77777777" w:rsidR="007A66F5" w:rsidRPr="002948ED" w:rsidRDefault="007A66F5" w:rsidP="00BC65B0">
            <w:pPr>
              <w:spacing w:after="120"/>
              <w:rPr>
                <w:rFonts w:asciiTheme="majorHAnsi" w:eastAsia="Calibri" w:hAnsiTheme="majorHAnsi"/>
                <w:bCs/>
                <w:noProof/>
                <w:color w:val="003399" w:themeColor="text2"/>
                <w:sz w:val="22"/>
                <w:szCs w:val="22"/>
              </w:rPr>
            </w:pPr>
            <w:r w:rsidRPr="002948ED">
              <w:rPr>
                <w:rFonts w:asciiTheme="majorHAnsi" w:hAnsiTheme="majorHAnsi"/>
                <w:noProof/>
                <w:color w:val="003399" w:themeColor="text2"/>
                <w:sz w:val="22"/>
              </w:rPr>
              <w:t>Instruments spéciaux</w:t>
            </w:r>
          </w:p>
        </w:tc>
        <w:tc>
          <w:tcPr>
            <w:tcW w:w="450" w:type="pct"/>
            <w:tcBorders>
              <w:top w:val="nil"/>
              <w:left w:val="nil"/>
              <w:bottom w:val="single" w:sz="8" w:space="0" w:color="BFBFBF"/>
              <w:right w:val="single" w:sz="8" w:space="0" w:color="BFBFBF"/>
            </w:tcBorders>
            <w:vAlign w:val="center"/>
          </w:tcPr>
          <w:p w14:paraId="4DA933D2" w14:textId="1AE2546D"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1,9</w:t>
            </w:r>
          </w:p>
        </w:tc>
        <w:tc>
          <w:tcPr>
            <w:tcW w:w="450" w:type="pct"/>
            <w:tcBorders>
              <w:top w:val="single" w:sz="8" w:space="0" w:color="BFBFBF"/>
              <w:left w:val="nil"/>
              <w:bottom w:val="single" w:sz="8" w:space="0" w:color="BFBFBF"/>
              <w:right w:val="single" w:sz="8" w:space="0" w:color="BFBFBF"/>
            </w:tcBorders>
            <w:vAlign w:val="center"/>
          </w:tcPr>
          <w:p w14:paraId="6F35E69D" w14:textId="79394BDF"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01DD0163" w14:textId="2620A319"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5D734AF3" w14:textId="4D1DBDF0"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948ED">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72EE4A35" w14:textId="090C8173"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2C6592F3" w14:textId="3FCEC369"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4C51BAD8" w14:textId="7A2B7A8B"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0,0</w:t>
            </w:r>
          </w:p>
        </w:tc>
        <w:tc>
          <w:tcPr>
            <w:tcW w:w="449" w:type="pct"/>
            <w:tcBorders>
              <w:top w:val="nil"/>
              <w:left w:val="nil"/>
              <w:bottom w:val="single" w:sz="8" w:space="0" w:color="BFBFBF"/>
              <w:right w:val="nil"/>
            </w:tcBorders>
            <w:vAlign w:val="center"/>
          </w:tcPr>
          <w:p w14:paraId="168AD942" w14:textId="710919CF" w:rsidR="007A66F5" w:rsidRPr="002948ED"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2948ED">
              <w:rPr>
                <w:b/>
                <w:noProof/>
                <w:color w:val="000000" w:themeColor="text1"/>
                <w:sz w:val="22"/>
              </w:rPr>
              <w:t>1,9</w:t>
            </w:r>
          </w:p>
        </w:tc>
      </w:tr>
      <w:tr w:rsidR="00607FF2" w:rsidRPr="002948ED" w14:paraId="6A0EBD92" w14:textId="77777777" w:rsidTr="0071020D">
        <w:trPr>
          <w:trHeight w:val="300"/>
        </w:trPr>
        <w:tc>
          <w:tcPr>
            <w:cnfStyle w:val="001000000000" w:firstRow="0" w:lastRow="0" w:firstColumn="1" w:lastColumn="0" w:oddVBand="0" w:evenVBand="0" w:oddHBand="0" w:evenHBand="0" w:firstRowFirstColumn="0" w:firstRowLastColumn="0" w:lastRowFirstColumn="0" w:lastRowLastColumn="0"/>
            <w:tcW w:w="0" w:type="pct"/>
            <w:shd w:val="clear" w:color="auto" w:fill="D9D9D9" w:themeFill="background1" w:themeFillShade="D9"/>
          </w:tcPr>
          <w:p w14:paraId="67EB32D7" w14:textId="77777777" w:rsidR="007A66F5" w:rsidRPr="002948ED" w:rsidRDefault="007A66F5" w:rsidP="00B35585">
            <w:pPr>
              <w:spacing w:after="120"/>
              <w:rPr>
                <w:rFonts w:asciiTheme="majorHAnsi" w:hAnsiTheme="majorHAnsi"/>
                <w:noProof/>
                <w:color w:val="000000" w:themeColor="text1"/>
                <w:sz w:val="22"/>
                <w:szCs w:val="22"/>
              </w:rPr>
            </w:pPr>
            <w:r w:rsidRPr="002948ED">
              <w:rPr>
                <w:rFonts w:asciiTheme="majorHAnsi" w:hAnsiTheme="majorHAnsi"/>
                <w:noProof/>
                <w:color w:val="000000" w:themeColor="text1"/>
                <w:sz w:val="22"/>
              </w:rPr>
              <w:t>Total</w:t>
            </w:r>
          </w:p>
        </w:tc>
        <w:tc>
          <w:tcPr>
            <w:tcW w:w="0" w:type="pct"/>
            <w:tcBorders>
              <w:top w:val="nil"/>
              <w:left w:val="nil"/>
              <w:bottom w:val="nil"/>
              <w:right w:val="single" w:sz="8" w:space="0" w:color="BFBFBF"/>
            </w:tcBorders>
            <w:shd w:val="clear" w:color="auto" w:fill="D9D9D9" w:themeFill="background1" w:themeFillShade="D9"/>
            <w:vAlign w:val="center"/>
          </w:tcPr>
          <w:p w14:paraId="3D327656" w14:textId="35EE2226" w:rsidR="007A66F5" w:rsidRPr="002948ED"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2948ED">
              <w:rPr>
                <w:rFonts w:asciiTheme="majorHAnsi" w:hAnsiTheme="majorHAnsi"/>
                <w:b/>
                <w:noProof/>
                <w:color w:val="000000" w:themeColor="text1"/>
                <w:sz w:val="22"/>
              </w:rPr>
              <w:t>210,3</w:t>
            </w:r>
          </w:p>
        </w:tc>
        <w:tc>
          <w:tcPr>
            <w:tcW w:w="0" w:type="pct"/>
            <w:tcBorders>
              <w:top w:val="nil"/>
              <w:left w:val="nil"/>
              <w:bottom w:val="nil"/>
              <w:right w:val="single" w:sz="8" w:space="0" w:color="BFBFBF"/>
            </w:tcBorders>
            <w:shd w:val="clear" w:color="auto" w:fill="D9D9D9" w:themeFill="background1" w:themeFillShade="D9"/>
            <w:vAlign w:val="center"/>
          </w:tcPr>
          <w:p w14:paraId="53F28461" w14:textId="0E31FDF4" w:rsidR="007A66F5" w:rsidRPr="002948ED"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2948ED">
              <w:rPr>
                <w:rFonts w:asciiTheme="majorHAnsi" w:hAnsiTheme="majorHAnsi"/>
                <w:b/>
                <w:noProof/>
                <w:color w:val="000000" w:themeColor="text1"/>
                <w:sz w:val="22"/>
              </w:rPr>
              <w:t>121,7</w:t>
            </w:r>
          </w:p>
        </w:tc>
        <w:tc>
          <w:tcPr>
            <w:tcW w:w="0" w:type="pct"/>
            <w:tcBorders>
              <w:top w:val="nil"/>
              <w:left w:val="nil"/>
              <w:bottom w:val="nil"/>
              <w:right w:val="single" w:sz="8" w:space="0" w:color="BFBFBF"/>
            </w:tcBorders>
            <w:shd w:val="clear" w:color="auto" w:fill="D9D9D9" w:themeFill="background1" w:themeFillShade="D9"/>
            <w:vAlign w:val="center"/>
          </w:tcPr>
          <w:p w14:paraId="19CD4D7D" w14:textId="2EE83CB4" w:rsidR="007A66F5" w:rsidRPr="002948ED"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2948ED">
              <w:rPr>
                <w:rFonts w:asciiTheme="majorHAnsi" w:hAnsiTheme="majorHAnsi"/>
                <w:b/>
                <w:noProof/>
                <w:color w:val="000000" w:themeColor="text1"/>
                <w:sz w:val="22"/>
              </w:rPr>
              <w:t>94,5</w:t>
            </w:r>
          </w:p>
        </w:tc>
        <w:tc>
          <w:tcPr>
            <w:tcW w:w="0" w:type="pct"/>
            <w:tcBorders>
              <w:top w:val="nil"/>
              <w:left w:val="nil"/>
              <w:bottom w:val="nil"/>
              <w:right w:val="single" w:sz="8" w:space="0" w:color="BFBFBF"/>
            </w:tcBorders>
            <w:shd w:val="clear" w:color="auto" w:fill="D9D9D9" w:themeFill="background1" w:themeFillShade="D9"/>
            <w:vAlign w:val="center"/>
          </w:tcPr>
          <w:p w14:paraId="70FD23B7" w14:textId="1E6D8EAC" w:rsidR="007A66F5" w:rsidRPr="002948ED"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2948ED">
              <w:rPr>
                <w:rFonts w:asciiTheme="majorHAnsi" w:hAnsiTheme="majorHAnsi"/>
                <w:b/>
                <w:noProof/>
                <w:color w:val="000000" w:themeColor="text1"/>
                <w:sz w:val="22"/>
              </w:rPr>
              <w:t>70,9</w:t>
            </w:r>
          </w:p>
        </w:tc>
        <w:tc>
          <w:tcPr>
            <w:tcW w:w="0" w:type="pct"/>
            <w:tcBorders>
              <w:top w:val="nil"/>
              <w:left w:val="nil"/>
              <w:bottom w:val="nil"/>
              <w:right w:val="single" w:sz="8" w:space="0" w:color="BFBFBF"/>
            </w:tcBorders>
            <w:shd w:val="clear" w:color="auto" w:fill="D9D9D9" w:themeFill="background1" w:themeFillShade="D9"/>
            <w:vAlign w:val="center"/>
          </w:tcPr>
          <w:p w14:paraId="4BFE0809" w14:textId="6C0728AF" w:rsidR="007A66F5" w:rsidRPr="002948ED"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2948ED">
              <w:rPr>
                <w:rFonts w:asciiTheme="majorHAnsi" w:hAnsiTheme="majorHAnsi"/>
                <w:b/>
                <w:noProof/>
                <w:color w:val="000000" w:themeColor="text1"/>
                <w:sz w:val="22"/>
              </w:rPr>
              <w:t>15,6</w:t>
            </w:r>
          </w:p>
        </w:tc>
        <w:tc>
          <w:tcPr>
            <w:tcW w:w="0" w:type="pct"/>
            <w:tcBorders>
              <w:top w:val="nil"/>
              <w:left w:val="nil"/>
              <w:bottom w:val="nil"/>
              <w:right w:val="single" w:sz="8" w:space="0" w:color="BFBFBF"/>
            </w:tcBorders>
            <w:shd w:val="clear" w:color="auto" w:fill="D9D9D9" w:themeFill="background1" w:themeFillShade="D9"/>
            <w:vAlign w:val="center"/>
          </w:tcPr>
          <w:p w14:paraId="1411EFB8" w14:textId="69B0B75C" w:rsidR="007A66F5" w:rsidRPr="002948ED"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2948ED">
              <w:rPr>
                <w:rFonts w:asciiTheme="majorHAnsi" w:hAnsiTheme="majorHAnsi"/>
                <w:b/>
                <w:noProof/>
                <w:color w:val="000000" w:themeColor="text1"/>
                <w:sz w:val="22"/>
              </w:rPr>
              <w:t>9,8</w:t>
            </w:r>
          </w:p>
        </w:tc>
        <w:tc>
          <w:tcPr>
            <w:tcW w:w="0" w:type="pct"/>
            <w:tcBorders>
              <w:top w:val="nil"/>
              <w:left w:val="nil"/>
              <w:bottom w:val="nil"/>
              <w:right w:val="single" w:sz="8" w:space="0" w:color="BFBFBF"/>
            </w:tcBorders>
            <w:shd w:val="clear" w:color="auto" w:fill="D9D9D9" w:themeFill="background1" w:themeFillShade="D9"/>
            <w:vAlign w:val="center"/>
          </w:tcPr>
          <w:p w14:paraId="7D976A6C" w14:textId="3B7732F1" w:rsidR="007A66F5" w:rsidRPr="002948ED"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2948ED">
              <w:rPr>
                <w:rFonts w:asciiTheme="majorHAnsi" w:hAnsiTheme="majorHAnsi"/>
                <w:b/>
                <w:noProof/>
                <w:color w:val="000000" w:themeColor="text1"/>
                <w:sz w:val="22"/>
              </w:rPr>
              <w:t>4,2</w:t>
            </w:r>
          </w:p>
        </w:tc>
        <w:tc>
          <w:tcPr>
            <w:tcW w:w="0" w:type="pct"/>
            <w:tcBorders>
              <w:top w:val="nil"/>
              <w:left w:val="nil"/>
              <w:bottom w:val="nil"/>
              <w:right w:val="nil"/>
            </w:tcBorders>
            <w:shd w:val="clear" w:color="auto" w:fill="D9D9D9" w:themeFill="background1" w:themeFillShade="D9"/>
            <w:vAlign w:val="center"/>
          </w:tcPr>
          <w:p w14:paraId="74227C7D" w14:textId="66EA1E51" w:rsidR="007A66F5" w:rsidRPr="002948ED"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2948ED">
              <w:rPr>
                <w:rFonts w:asciiTheme="majorHAnsi" w:hAnsiTheme="majorHAnsi"/>
                <w:b/>
                <w:noProof/>
                <w:color w:val="000000" w:themeColor="text1"/>
                <w:sz w:val="22"/>
              </w:rPr>
              <w:t>527,0</w:t>
            </w:r>
          </w:p>
        </w:tc>
      </w:tr>
    </w:tbl>
    <w:p w14:paraId="528B751C" w14:textId="77777777" w:rsidR="00861C1C" w:rsidRPr="002948ED" w:rsidRDefault="003B6DC2" w:rsidP="00682537">
      <w:pPr>
        <w:rPr>
          <w:rFonts w:asciiTheme="majorHAnsi" w:hAnsiTheme="majorHAnsi"/>
          <w:noProof/>
        </w:rPr>
      </w:pPr>
      <w:r w:rsidRPr="002948ED">
        <w:rPr>
          <w:noProof/>
        </w:rPr>
        <w:br w:type="page"/>
      </w:r>
    </w:p>
    <w:p w14:paraId="4B18A2AA" w14:textId="78F382FA" w:rsidR="00861C1C" w:rsidRPr="002948ED" w:rsidRDefault="003B6DC2" w:rsidP="009C6708">
      <w:pPr>
        <w:pStyle w:val="Heading2"/>
        <w:rPr>
          <w:rFonts w:asciiTheme="majorHAnsi" w:hAnsiTheme="majorHAnsi"/>
          <w:noProof/>
        </w:rPr>
      </w:pPr>
      <w:bookmarkStart w:id="82" w:name="_Toc235786443"/>
      <w:r w:rsidRPr="002948ED">
        <w:rPr>
          <w:rFonts w:asciiTheme="majorHAnsi" w:hAnsiTheme="majorHAnsi"/>
          <w:noProof/>
        </w:rPr>
        <w:t>Tableau 1.3 — Paiements relatifs à l’achèvement des engagements antérieurs à 2021</w:t>
      </w:r>
      <w:bookmarkEnd w:id="82"/>
    </w:p>
    <w:tbl>
      <w:tblPr>
        <w:tblStyle w:val="AMPR2021"/>
        <w:tblW w:w="4948" w:type="pct"/>
        <w:tblBorders>
          <w:top w:val="none" w:sz="0" w:space="0" w:color="auto"/>
          <w:bottom w:val="none" w:sz="0" w:space="0" w:color="auto"/>
          <w:insideH w:val="single" w:sz="6" w:space="0" w:color="BFBFBF" w:themeColor="background1" w:themeShade="BF"/>
          <w:insideV w:val="single" w:sz="6" w:space="0" w:color="BFBFBF" w:themeColor="background1" w:themeShade="BF"/>
        </w:tblBorders>
        <w:tblLayout w:type="fixed"/>
        <w:tblLook w:val="06A0" w:firstRow="1" w:lastRow="0" w:firstColumn="1" w:lastColumn="0" w:noHBand="1" w:noVBand="1"/>
      </w:tblPr>
      <w:tblGrid>
        <w:gridCol w:w="2839"/>
        <w:gridCol w:w="860"/>
        <w:gridCol w:w="860"/>
        <w:gridCol w:w="860"/>
        <w:gridCol w:w="861"/>
        <w:gridCol w:w="859"/>
        <w:gridCol w:w="859"/>
        <w:gridCol w:w="859"/>
        <w:gridCol w:w="861"/>
      </w:tblGrid>
      <w:tr w:rsidR="00586721" w:rsidRPr="002948ED" w14:paraId="436066E2" w14:textId="77777777" w:rsidTr="005C1F2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59" w:type="pct"/>
          </w:tcPr>
          <w:p w14:paraId="0B253864" w14:textId="77777777" w:rsidR="007A66F5" w:rsidRPr="002948ED" w:rsidRDefault="007A66F5">
            <w:pPr>
              <w:rPr>
                <w:rFonts w:asciiTheme="minorHAnsi" w:eastAsia="Calibri" w:hAnsiTheme="minorHAnsi"/>
                <w:b w:val="0"/>
                <w:noProof/>
                <w:sz w:val="22"/>
                <w:szCs w:val="22"/>
              </w:rPr>
            </w:pPr>
            <w:r w:rsidRPr="002948ED">
              <w:rPr>
                <w:rFonts w:asciiTheme="minorHAnsi" w:hAnsiTheme="minorHAnsi"/>
                <w:noProof/>
                <w:sz w:val="22"/>
              </w:rPr>
              <w:t>Rubrique du CFP</w:t>
            </w:r>
          </w:p>
        </w:tc>
        <w:tc>
          <w:tcPr>
            <w:tcW w:w="442" w:type="pct"/>
          </w:tcPr>
          <w:p w14:paraId="340AB3BB" w14:textId="7D5B07DA" w:rsidR="007A66F5" w:rsidRPr="002948ED" w:rsidRDefault="007A66F5">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2948ED">
              <w:rPr>
                <w:rFonts w:asciiTheme="minorHAnsi" w:hAnsiTheme="minorHAnsi"/>
                <w:noProof/>
                <w:sz w:val="22"/>
              </w:rPr>
              <w:t>2027</w:t>
            </w:r>
          </w:p>
        </w:tc>
        <w:tc>
          <w:tcPr>
            <w:tcW w:w="442" w:type="pct"/>
          </w:tcPr>
          <w:p w14:paraId="5E593656" w14:textId="72C877A6" w:rsidR="007A66F5" w:rsidRPr="002948ED" w:rsidRDefault="007A66F5">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2948ED">
              <w:rPr>
                <w:rFonts w:asciiTheme="minorHAnsi" w:hAnsiTheme="minorHAnsi"/>
                <w:noProof/>
                <w:sz w:val="22"/>
              </w:rPr>
              <w:t>2028</w:t>
            </w:r>
          </w:p>
        </w:tc>
        <w:tc>
          <w:tcPr>
            <w:tcW w:w="442" w:type="pct"/>
          </w:tcPr>
          <w:p w14:paraId="346A8A9F" w14:textId="7CBAEA3B" w:rsidR="007A66F5" w:rsidRPr="002948ED" w:rsidRDefault="007A66F5">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2948ED">
              <w:rPr>
                <w:rFonts w:asciiTheme="minorHAnsi" w:hAnsiTheme="minorHAnsi"/>
                <w:noProof/>
                <w:sz w:val="22"/>
              </w:rPr>
              <w:t>2029</w:t>
            </w:r>
          </w:p>
        </w:tc>
        <w:tc>
          <w:tcPr>
            <w:tcW w:w="443" w:type="pct"/>
          </w:tcPr>
          <w:p w14:paraId="358EC4CA" w14:textId="3A86AD2E" w:rsidR="007A66F5" w:rsidRPr="002948ED" w:rsidRDefault="007A66F5">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2948ED">
              <w:rPr>
                <w:rFonts w:asciiTheme="minorHAnsi" w:hAnsiTheme="minorHAnsi"/>
                <w:noProof/>
                <w:sz w:val="22"/>
              </w:rPr>
              <w:t>2030</w:t>
            </w:r>
          </w:p>
        </w:tc>
        <w:tc>
          <w:tcPr>
            <w:tcW w:w="442" w:type="pct"/>
          </w:tcPr>
          <w:p w14:paraId="41203CBE" w14:textId="5BAEA243" w:rsidR="007A66F5" w:rsidRPr="002948ED" w:rsidRDefault="007A66F5">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2948ED">
              <w:rPr>
                <w:rFonts w:asciiTheme="minorHAnsi" w:hAnsiTheme="minorHAnsi"/>
                <w:noProof/>
                <w:sz w:val="22"/>
              </w:rPr>
              <w:t>2031</w:t>
            </w:r>
          </w:p>
        </w:tc>
        <w:tc>
          <w:tcPr>
            <w:tcW w:w="442" w:type="pct"/>
          </w:tcPr>
          <w:p w14:paraId="4096278C" w14:textId="3AFCF392" w:rsidR="00B7576C" w:rsidRPr="002948ED" w:rsidRDefault="00B7576C">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2948ED">
              <w:rPr>
                <w:rFonts w:asciiTheme="minorHAnsi" w:hAnsiTheme="minorHAnsi"/>
                <w:noProof/>
                <w:sz w:val="22"/>
              </w:rPr>
              <w:t>2032</w:t>
            </w:r>
          </w:p>
        </w:tc>
        <w:tc>
          <w:tcPr>
            <w:tcW w:w="442" w:type="pct"/>
          </w:tcPr>
          <w:p w14:paraId="41261363" w14:textId="34A91A0C" w:rsidR="00B7576C" w:rsidRPr="002948ED" w:rsidRDefault="00B7576C">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2948ED">
              <w:rPr>
                <w:rFonts w:asciiTheme="minorHAnsi" w:hAnsiTheme="minorHAnsi"/>
                <w:noProof/>
                <w:sz w:val="22"/>
              </w:rPr>
              <w:t>2033</w:t>
            </w:r>
          </w:p>
        </w:tc>
        <w:tc>
          <w:tcPr>
            <w:tcW w:w="443" w:type="pct"/>
          </w:tcPr>
          <w:p w14:paraId="4FA9E26E" w14:textId="449985F2" w:rsidR="007A66F5" w:rsidRPr="002948ED" w:rsidRDefault="007A66F5">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2948ED">
              <w:rPr>
                <w:rFonts w:asciiTheme="minorHAnsi" w:hAnsiTheme="minorHAnsi"/>
                <w:noProof/>
                <w:sz w:val="22"/>
              </w:rPr>
              <w:t>Total</w:t>
            </w:r>
          </w:p>
        </w:tc>
      </w:tr>
      <w:tr w:rsidR="000A2D2A" w:rsidRPr="002948ED" w14:paraId="7865842B" w14:textId="77777777" w:rsidTr="00B426DE">
        <w:trPr>
          <w:trHeight w:val="300"/>
        </w:trPr>
        <w:tc>
          <w:tcPr>
            <w:cnfStyle w:val="001000000000" w:firstRow="0" w:lastRow="0" w:firstColumn="1" w:lastColumn="0" w:oddVBand="0" w:evenVBand="0" w:oddHBand="0" w:evenHBand="0" w:firstRowFirstColumn="0" w:firstRowLastColumn="0" w:lastRowFirstColumn="0" w:lastRowLastColumn="0"/>
            <w:tcW w:w="1459" w:type="pct"/>
          </w:tcPr>
          <w:p w14:paraId="6457CC88" w14:textId="77777777" w:rsidR="007A66F5" w:rsidRPr="002948ED" w:rsidRDefault="007A66F5">
            <w:pPr>
              <w:spacing w:after="120"/>
              <w:rPr>
                <w:rFonts w:asciiTheme="minorHAnsi" w:eastAsia="Calibri" w:hAnsiTheme="minorHAnsi"/>
                <w:noProof/>
                <w:color w:val="003399" w:themeColor="text2"/>
                <w:sz w:val="22"/>
                <w:szCs w:val="22"/>
              </w:rPr>
            </w:pPr>
            <w:r w:rsidRPr="002948ED">
              <w:rPr>
                <w:rFonts w:asciiTheme="minorHAnsi" w:hAnsiTheme="minorHAnsi"/>
                <w:noProof/>
                <w:color w:val="003399" w:themeColor="text2"/>
                <w:sz w:val="22"/>
              </w:rPr>
              <w:t>1 Marché unique, innovation et numérique</w:t>
            </w:r>
          </w:p>
        </w:tc>
        <w:tc>
          <w:tcPr>
            <w:tcW w:w="442" w:type="pct"/>
            <w:tcBorders>
              <w:top w:val="single" w:sz="8" w:space="0" w:color="BFBFBF"/>
              <w:left w:val="nil"/>
              <w:bottom w:val="single" w:sz="8" w:space="0" w:color="BFBFBF"/>
              <w:right w:val="single" w:sz="8" w:space="0" w:color="BFBFBF"/>
            </w:tcBorders>
            <w:vAlign w:val="center"/>
          </w:tcPr>
          <w:p w14:paraId="5EB740E0" w14:textId="5AA33849"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0,7</w:t>
            </w:r>
          </w:p>
        </w:tc>
        <w:tc>
          <w:tcPr>
            <w:tcW w:w="442" w:type="pct"/>
            <w:tcBorders>
              <w:top w:val="single" w:sz="8" w:space="0" w:color="BFBFBF"/>
              <w:left w:val="nil"/>
              <w:bottom w:val="single" w:sz="8" w:space="0" w:color="BFBFBF"/>
              <w:right w:val="single" w:sz="8" w:space="0" w:color="BFBFBF"/>
            </w:tcBorders>
            <w:vAlign w:val="center"/>
          </w:tcPr>
          <w:p w14:paraId="08CB52CB" w14:textId="42B33E88"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0,5</w:t>
            </w:r>
          </w:p>
        </w:tc>
        <w:tc>
          <w:tcPr>
            <w:tcW w:w="442" w:type="pct"/>
            <w:tcBorders>
              <w:top w:val="single" w:sz="8" w:space="0" w:color="BFBFBF"/>
              <w:left w:val="nil"/>
              <w:bottom w:val="single" w:sz="8" w:space="0" w:color="BFBFBF"/>
              <w:right w:val="single" w:sz="8" w:space="0" w:color="BFBFBF"/>
            </w:tcBorders>
            <w:vAlign w:val="center"/>
          </w:tcPr>
          <w:p w14:paraId="0550CE84" w14:textId="7172C477"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0,2</w:t>
            </w:r>
          </w:p>
        </w:tc>
        <w:tc>
          <w:tcPr>
            <w:tcW w:w="443" w:type="pct"/>
            <w:tcBorders>
              <w:top w:val="single" w:sz="8" w:space="0" w:color="BFBFBF"/>
              <w:left w:val="nil"/>
              <w:bottom w:val="single" w:sz="8" w:space="0" w:color="BFBFBF"/>
              <w:right w:val="single" w:sz="8" w:space="0" w:color="BFBFBF"/>
            </w:tcBorders>
            <w:vAlign w:val="center"/>
          </w:tcPr>
          <w:p w14:paraId="7266F326" w14:textId="5AE7F9FF"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0,2</w:t>
            </w:r>
          </w:p>
        </w:tc>
        <w:tc>
          <w:tcPr>
            <w:tcW w:w="442" w:type="pct"/>
            <w:tcBorders>
              <w:top w:val="single" w:sz="8" w:space="0" w:color="BFBFBF"/>
              <w:left w:val="nil"/>
              <w:bottom w:val="single" w:sz="8" w:space="0" w:color="BFBFBF"/>
              <w:right w:val="single" w:sz="8" w:space="0" w:color="BFBFBF"/>
            </w:tcBorders>
            <w:vAlign w:val="center"/>
          </w:tcPr>
          <w:p w14:paraId="728AE7EC" w14:textId="106E93B7"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0,1</w:t>
            </w:r>
          </w:p>
        </w:tc>
        <w:tc>
          <w:tcPr>
            <w:tcW w:w="442" w:type="pct"/>
            <w:tcBorders>
              <w:top w:val="single" w:sz="8" w:space="0" w:color="BFBFBF"/>
              <w:left w:val="nil"/>
              <w:bottom w:val="single" w:sz="8" w:space="0" w:color="BFBFBF"/>
              <w:right w:val="single" w:sz="8" w:space="0" w:color="BFBFBF"/>
            </w:tcBorders>
            <w:vAlign w:val="center"/>
          </w:tcPr>
          <w:p w14:paraId="62ABB767" w14:textId="7D25926B" w:rsidR="000A57B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0,2</w:t>
            </w:r>
          </w:p>
        </w:tc>
        <w:tc>
          <w:tcPr>
            <w:tcW w:w="442" w:type="pct"/>
            <w:tcBorders>
              <w:top w:val="single" w:sz="8" w:space="0" w:color="BFBFBF"/>
              <w:left w:val="nil"/>
              <w:bottom w:val="single" w:sz="8" w:space="0" w:color="BFBFBF"/>
              <w:right w:val="single" w:sz="8" w:space="0" w:color="BFBFBF"/>
            </w:tcBorders>
            <w:vAlign w:val="center"/>
          </w:tcPr>
          <w:p w14:paraId="245FE09D" w14:textId="256F02E4" w:rsidR="000A57B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0,1</w:t>
            </w:r>
          </w:p>
        </w:tc>
        <w:tc>
          <w:tcPr>
            <w:tcW w:w="443" w:type="pct"/>
            <w:tcBorders>
              <w:top w:val="single" w:sz="8" w:space="0" w:color="BFBFBF"/>
              <w:left w:val="nil"/>
              <w:bottom w:val="single" w:sz="8" w:space="0" w:color="BFBFBF"/>
              <w:right w:val="single" w:sz="8" w:space="0" w:color="BFBFBF"/>
            </w:tcBorders>
            <w:vAlign w:val="center"/>
          </w:tcPr>
          <w:p w14:paraId="7A931A51" w14:textId="168E466D" w:rsidR="007A66F5" w:rsidRPr="002948ED" w:rsidRDefault="000A57B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2,1</w:t>
            </w:r>
          </w:p>
        </w:tc>
      </w:tr>
      <w:tr w:rsidR="00E71B3B" w:rsidRPr="002948ED" w14:paraId="44CDA9C9" w14:textId="77777777" w:rsidTr="008B361B">
        <w:trPr>
          <w:trHeight w:val="300"/>
        </w:trPr>
        <w:tc>
          <w:tcPr>
            <w:cnfStyle w:val="001000000000" w:firstRow="0" w:lastRow="0" w:firstColumn="1" w:lastColumn="0" w:oddVBand="0" w:evenVBand="0" w:oddHBand="0" w:evenHBand="0" w:firstRowFirstColumn="0" w:firstRowLastColumn="0" w:lastRowFirstColumn="0" w:lastRowLastColumn="0"/>
            <w:tcW w:w="1459" w:type="pct"/>
            <w:shd w:val="clear" w:color="auto" w:fill="F3F7FF" w:themeFill="background2"/>
          </w:tcPr>
          <w:p w14:paraId="698C5171" w14:textId="77777777" w:rsidR="007A66F5" w:rsidRPr="002948ED" w:rsidRDefault="007A66F5">
            <w:pPr>
              <w:spacing w:after="120"/>
              <w:rPr>
                <w:rFonts w:asciiTheme="minorHAnsi" w:eastAsia="Calibri" w:hAnsiTheme="minorHAnsi"/>
                <w:noProof/>
                <w:color w:val="003399" w:themeColor="text2"/>
                <w:sz w:val="22"/>
                <w:szCs w:val="22"/>
              </w:rPr>
            </w:pPr>
            <w:r w:rsidRPr="002948ED">
              <w:rPr>
                <w:rFonts w:asciiTheme="minorHAnsi" w:hAnsiTheme="minorHAnsi"/>
                <w:noProof/>
                <w:color w:val="003399" w:themeColor="text2"/>
                <w:sz w:val="22"/>
              </w:rPr>
              <w:t>2 Cohésion, résilience et valeurs</w:t>
            </w:r>
          </w:p>
        </w:tc>
        <w:tc>
          <w:tcPr>
            <w:tcW w:w="442" w:type="pct"/>
            <w:tcBorders>
              <w:top w:val="nil"/>
              <w:left w:val="nil"/>
              <w:bottom w:val="single" w:sz="8" w:space="0" w:color="BFBFBF"/>
              <w:right w:val="single" w:sz="8" w:space="0" w:color="BFBFBF"/>
            </w:tcBorders>
            <w:shd w:val="clear" w:color="auto" w:fill="F3F7FF" w:themeFill="background2"/>
            <w:vAlign w:val="center"/>
          </w:tcPr>
          <w:p w14:paraId="6F78F77D" w14:textId="2ECEAD96"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193E3FE9" w14:textId="49E61547"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7B37272B" w14:textId="1ACB3111"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0,0</w:t>
            </w:r>
          </w:p>
        </w:tc>
        <w:tc>
          <w:tcPr>
            <w:tcW w:w="443" w:type="pct"/>
            <w:tcBorders>
              <w:top w:val="nil"/>
              <w:left w:val="nil"/>
              <w:bottom w:val="single" w:sz="8" w:space="0" w:color="BFBFBF"/>
              <w:right w:val="single" w:sz="8" w:space="0" w:color="BFBFBF"/>
            </w:tcBorders>
            <w:shd w:val="clear" w:color="auto" w:fill="F3F7FF" w:themeFill="background2"/>
            <w:vAlign w:val="center"/>
          </w:tcPr>
          <w:p w14:paraId="53924375" w14:textId="00261EB7"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2D32D0CC" w14:textId="5174F52C"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0,0</w:t>
            </w:r>
          </w:p>
        </w:tc>
        <w:tc>
          <w:tcPr>
            <w:tcW w:w="442" w:type="pct"/>
            <w:tcBorders>
              <w:top w:val="single" w:sz="8" w:space="0" w:color="BFBFBF"/>
              <w:left w:val="nil"/>
              <w:bottom w:val="single" w:sz="8" w:space="0" w:color="BFBFBF"/>
              <w:right w:val="single" w:sz="8" w:space="0" w:color="BFBFBF"/>
            </w:tcBorders>
            <w:shd w:val="clear" w:color="auto" w:fill="F3F7FF" w:themeFill="background2"/>
            <w:vAlign w:val="center"/>
          </w:tcPr>
          <w:p w14:paraId="5A7A6DC1" w14:textId="0EEE76A6" w:rsidR="000A57B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0,0</w:t>
            </w:r>
          </w:p>
        </w:tc>
        <w:tc>
          <w:tcPr>
            <w:tcW w:w="442" w:type="pct"/>
            <w:tcBorders>
              <w:top w:val="single" w:sz="8" w:space="0" w:color="BFBFBF"/>
              <w:left w:val="nil"/>
              <w:bottom w:val="single" w:sz="8" w:space="0" w:color="BFBFBF"/>
              <w:right w:val="single" w:sz="8" w:space="0" w:color="BFBFBF"/>
            </w:tcBorders>
            <w:shd w:val="clear" w:color="auto" w:fill="F3F7FF" w:themeFill="background2"/>
            <w:vAlign w:val="center"/>
          </w:tcPr>
          <w:p w14:paraId="727399D1" w14:textId="6D4A821D" w:rsidR="000A57B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0,0</w:t>
            </w:r>
          </w:p>
        </w:tc>
        <w:tc>
          <w:tcPr>
            <w:tcW w:w="443" w:type="pct"/>
            <w:tcBorders>
              <w:top w:val="nil"/>
              <w:left w:val="nil"/>
              <w:bottom w:val="single" w:sz="8" w:space="0" w:color="BFBFBF"/>
              <w:right w:val="single" w:sz="8" w:space="0" w:color="BFBFBF"/>
            </w:tcBorders>
            <w:shd w:val="clear" w:color="auto" w:fill="F3F7FF" w:themeFill="background2"/>
            <w:vAlign w:val="center"/>
          </w:tcPr>
          <w:p w14:paraId="1A3D82BF" w14:textId="6B308E4D" w:rsidR="007A66F5" w:rsidRPr="002948ED" w:rsidRDefault="000A57B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0,1</w:t>
            </w:r>
          </w:p>
        </w:tc>
      </w:tr>
      <w:tr w:rsidR="000A2D2A" w:rsidRPr="002948ED" w14:paraId="1A125161" w14:textId="77777777" w:rsidTr="008B361B">
        <w:trPr>
          <w:trHeight w:val="300"/>
        </w:trPr>
        <w:tc>
          <w:tcPr>
            <w:cnfStyle w:val="001000000000" w:firstRow="0" w:lastRow="0" w:firstColumn="1" w:lastColumn="0" w:oddVBand="0" w:evenVBand="0" w:oddHBand="0" w:evenHBand="0" w:firstRowFirstColumn="0" w:firstRowLastColumn="0" w:lastRowFirstColumn="0" w:lastRowLastColumn="0"/>
            <w:tcW w:w="1459" w:type="pct"/>
            <w:shd w:val="clear" w:color="auto" w:fill="F3F7FF" w:themeFill="background2"/>
          </w:tcPr>
          <w:p w14:paraId="20F75A0A" w14:textId="77777777" w:rsidR="007A66F5" w:rsidRPr="002948ED" w:rsidRDefault="007A66F5" w:rsidP="00D16649">
            <w:pPr>
              <w:spacing w:after="120"/>
              <w:ind w:left="170"/>
              <w:rPr>
                <w:rFonts w:asciiTheme="minorHAnsi" w:eastAsia="Calibri" w:hAnsiTheme="minorHAnsi"/>
                <w:b w:val="0"/>
                <w:noProof/>
                <w:color w:val="003399" w:themeColor="text2"/>
                <w:sz w:val="22"/>
                <w:szCs w:val="22"/>
              </w:rPr>
            </w:pPr>
            <w:r w:rsidRPr="002948ED">
              <w:rPr>
                <w:rFonts w:asciiTheme="minorHAnsi" w:hAnsiTheme="minorHAnsi"/>
                <w:noProof/>
                <w:color w:val="003399" w:themeColor="text2"/>
                <w:sz w:val="22"/>
              </w:rPr>
              <w:t>2.1 Cohésion économique, sociale et territoriale</w:t>
            </w:r>
          </w:p>
        </w:tc>
        <w:tc>
          <w:tcPr>
            <w:tcW w:w="442" w:type="pct"/>
            <w:tcBorders>
              <w:top w:val="nil"/>
              <w:left w:val="nil"/>
              <w:bottom w:val="single" w:sz="8" w:space="0" w:color="BFBFBF"/>
              <w:right w:val="single" w:sz="8" w:space="0" w:color="BFBFBF"/>
            </w:tcBorders>
            <w:shd w:val="clear" w:color="auto" w:fill="F3F7FF" w:themeFill="background2"/>
            <w:vAlign w:val="center"/>
          </w:tcPr>
          <w:p w14:paraId="1D314A04" w14:textId="5E6E7B22"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3DF42EB3" w14:textId="4F76B712"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204559C8" w14:textId="185A00B6"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0,0</w:t>
            </w:r>
          </w:p>
        </w:tc>
        <w:tc>
          <w:tcPr>
            <w:tcW w:w="443" w:type="pct"/>
            <w:tcBorders>
              <w:top w:val="nil"/>
              <w:left w:val="nil"/>
              <w:bottom w:val="single" w:sz="8" w:space="0" w:color="BFBFBF"/>
              <w:right w:val="single" w:sz="8" w:space="0" w:color="BFBFBF"/>
            </w:tcBorders>
            <w:shd w:val="clear" w:color="auto" w:fill="F3F7FF" w:themeFill="background2"/>
            <w:vAlign w:val="center"/>
          </w:tcPr>
          <w:p w14:paraId="4075F68E" w14:textId="4FDA116B"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08808B7E" w14:textId="7BDB24C3"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12F5B0C9" w14:textId="211E4673" w:rsidR="000A57B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3E33D247" w14:textId="21817C20" w:rsidR="000A57B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noProof/>
                <w:color w:val="003399" w:themeColor="text2"/>
              </w:rPr>
              <w:t>0,0</w:t>
            </w:r>
          </w:p>
        </w:tc>
        <w:tc>
          <w:tcPr>
            <w:tcW w:w="443" w:type="pct"/>
            <w:tcBorders>
              <w:top w:val="nil"/>
              <w:left w:val="nil"/>
              <w:bottom w:val="single" w:sz="8" w:space="0" w:color="BFBFBF"/>
              <w:right w:val="single" w:sz="8" w:space="0" w:color="BFBFBF"/>
            </w:tcBorders>
            <w:shd w:val="clear" w:color="auto" w:fill="F3F7FF" w:themeFill="background2"/>
            <w:vAlign w:val="center"/>
          </w:tcPr>
          <w:p w14:paraId="6E67AADA" w14:textId="40CFFD7C" w:rsidR="007A66F5" w:rsidRPr="002948ED" w:rsidRDefault="000A57B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0,0</w:t>
            </w:r>
          </w:p>
        </w:tc>
      </w:tr>
      <w:tr w:rsidR="000A2D2A" w:rsidRPr="002948ED" w14:paraId="7C5E6D79" w14:textId="77777777" w:rsidTr="008B361B">
        <w:trPr>
          <w:trHeight w:val="300"/>
        </w:trPr>
        <w:tc>
          <w:tcPr>
            <w:cnfStyle w:val="001000000000" w:firstRow="0" w:lastRow="0" w:firstColumn="1" w:lastColumn="0" w:oddVBand="0" w:evenVBand="0" w:oddHBand="0" w:evenHBand="0" w:firstRowFirstColumn="0" w:firstRowLastColumn="0" w:lastRowFirstColumn="0" w:lastRowLastColumn="0"/>
            <w:tcW w:w="1459" w:type="pct"/>
            <w:shd w:val="clear" w:color="auto" w:fill="F3F7FF" w:themeFill="background2"/>
          </w:tcPr>
          <w:p w14:paraId="4BC8A42B" w14:textId="77777777" w:rsidR="007A66F5" w:rsidRPr="002948ED" w:rsidRDefault="007A66F5" w:rsidP="00D16649">
            <w:pPr>
              <w:spacing w:after="120"/>
              <w:ind w:left="170"/>
              <w:rPr>
                <w:rFonts w:asciiTheme="minorHAnsi" w:eastAsia="Calibri" w:hAnsiTheme="minorHAnsi"/>
                <w:b w:val="0"/>
                <w:noProof/>
                <w:color w:val="003399" w:themeColor="text2"/>
                <w:sz w:val="22"/>
                <w:szCs w:val="22"/>
              </w:rPr>
            </w:pPr>
            <w:r w:rsidRPr="002948ED">
              <w:rPr>
                <w:rFonts w:asciiTheme="minorHAnsi" w:hAnsiTheme="minorHAnsi"/>
                <w:noProof/>
                <w:color w:val="003399" w:themeColor="text2"/>
                <w:sz w:val="22"/>
              </w:rPr>
              <w:t>2.2 Résilience et valeurs</w:t>
            </w:r>
          </w:p>
        </w:tc>
        <w:tc>
          <w:tcPr>
            <w:tcW w:w="442" w:type="pct"/>
            <w:tcBorders>
              <w:top w:val="nil"/>
              <w:left w:val="nil"/>
              <w:bottom w:val="single" w:sz="8" w:space="0" w:color="BFBFBF"/>
              <w:right w:val="single" w:sz="8" w:space="0" w:color="BFBFBF"/>
            </w:tcBorders>
            <w:shd w:val="clear" w:color="auto" w:fill="F3F7FF" w:themeFill="background2"/>
            <w:vAlign w:val="center"/>
          </w:tcPr>
          <w:p w14:paraId="2D8F2C5B" w14:textId="7F83A300"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2DEEEFCD" w14:textId="78112CDC"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72CDBF74" w14:textId="45F2E97C"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0,0</w:t>
            </w:r>
          </w:p>
        </w:tc>
        <w:tc>
          <w:tcPr>
            <w:tcW w:w="443" w:type="pct"/>
            <w:tcBorders>
              <w:top w:val="nil"/>
              <w:left w:val="nil"/>
              <w:bottom w:val="single" w:sz="8" w:space="0" w:color="BFBFBF"/>
              <w:right w:val="single" w:sz="8" w:space="0" w:color="BFBFBF"/>
            </w:tcBorders>
            <w:shd w:val="clear" w:color="auto" w:fill="F3F7FF" w:themeFill="background2"/>
            <w:vAlign w:val="center"/>
          </w:tcPr>
          <w:p w14:paraId="1775553F" w14:textId="12F413BD"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0B541CAB" w14:textId="38A5FD65"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39E60A12" w14:textId="52F6ED52" w:rsidR="000A57B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699BFC4E" w14:textId="65FB56A0" w:rsidR="000A57B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noProof/>
                <w:color w:val="003399" w:themeColor="text2"/>
              </w:rPr>
              <w:t>0,0</w:t>
            </w:r>
          </w:p>
        </w:tc>
        <w:tc>
          <w:tcPr>
            <w:tcW w:w="443" w:type="pct"/>
            <w:tcBorders>
              <w:top w:val="nil"/>
              <w:left w:val="nil"/>
              <w:bottom w:val="single" w:sz="8" w:space="0" w:color="BFBFBF"/>
              <w:right w:val="single" w:sz="8" w:space="0" w:color="BFBFBF"/>
            </w:tcBorders>
            <w:shd w:val="clear" w:color="auto" w:fill="F3F7FF" w:themeFill="background2"/>
            <w:vAlign w:val="center"/>
          </w:tcPr>
          <w:p w14:paraId="0BB00FE5" w14:textId="063C4BE7" w:rsidR="007A66F5" w:rsidRPr="002948ED" w:rsidRDefault="007A66F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0,1</w:t>
            </w:r>
          </w:p>
        </w:tc>
      </w:tr>
      <w:tr w:rsidR="000A2D2A" w:rsidRPr="002948ED" w14:paraId="31FB0AFA" w14:textId="77777777" w:rsidTr="00B426DE">
        <w:trPr>
          <w:trHeight w:val="300"/>
        </w:trPr>
        <w:tc>
          <w:tcPr>
            <w:cnfStyle w:val="001000000000" w:firstRow="0" w:lastRow="0" w:firstColumn="1" w:lastColumn="0" w:oddVBand="0" w:evenVBand="0" w:oddHBand="0" w:evenHBand="0" w:firstRowFirstColumn="0" w:firstRowLastColumn="0" w:lastRowFirstColumn="0" w:lastRowLastColumn="0"/>
            <w:tcW w:w="1459" w:type="pct"/>
          </w:tcPr>
          <w:p w14:paraId="4D9ABE61" w14:textId="77777777" w:rsidR="007A66F5" w:rsidRPr="002948ED" w:rsidRDefault="007A66F5" w:rsidP="00D56216">
            <w:pPr>
              <w:spacing w:after="120"/>
              <w:rPr>
                <w:rFonts w:asciiTheme="minorHAnsi" w:eastAsia="Calibri" w:hAnsiTheme="minorHAnsi"/>
                <w:noProof/>
                <w:color w:val="003399" w:themeColor="text2"/>
                <w:sz w:val="22"/>
                <w:szCs w:val="22"/>
              </w:rPr>
            </w:pPr>
            <w:r w:rsidRPr="002948ED">
              <w:rPr>
                <w:rFonts w:asciiTheme="minorHAnsi" w:hAnsiTheme="minorHAnsi"/>
                <w:noProof/>
                <w:color w:val="003399" w:themeColor="text2"/>
                <w:sz w:val="22"/>
              </w:rPr>
              <w:t>3 Ressources naturelles et environnement</w:t>
            </w:r>
          </w:p>
        </w:tc>
        <w:tc>
          <w:tcPr>
            <w:tcW w:w="442" w:type="pct"/>
            <w:tcBorders>
              <w:top w:val="nil"/>
              <w:left w:val="nil"/>
              <w:bottom w:val="single" w:sz="8" w:space="0" w:color="BFBFBF"/>
              <w:right w:val="single" w:sz="8" w:space="0" w:color="BFBFBF"/>
            </w:tcBorders>
            <w:vAlign w:val="center"/>
          </w:tcPr>
          <w:p w14:paraId="23963224" w14:textId="76373148"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0,1</w:t>
            </w:r>
          </w:p>
        </w:tc>
        <w:tc>
          <w:tcPr>
            <w:tcW w:w="442" w:type="pct"/>
            <w:tcBorders>
              <w:top w:val="nil"/>
              <w:left w:val="nil"/>
              <w:bottom w:val="single" w:sz="8" w:space="0" w:color="BFBFBF"/>
              <w:right w:val="single" w:sz="8" w:space="0" w:color="BFBFBF"/>
            </w:tcBorders>
            <w:vAlign w:val="center"/>
          </w:tcPr>
          <w:p w14:paraId="21DB0577" w14:textId="3E6A8C58"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0,1</w:t>
            </w:r>
          </w:p>
        </w:tc>
        <w:tc>
          <w:tcPr>
            <w:tcW w:w="442" w:type="pct"/>
            <w:tcBorders>
              <w:top w:val="nil"/>
              <w:left w:val="nil"/>
              <w:bottom w:val="single" w:sz="8" w:space="0" w:color="BFBFBF"/>
              <w:right w:val="single" w:sz="8" w:space="0" w:color="BFBFBF"/>
            </w:tcBorders>
            <w:vAlign w:val="center"/>
          </w:tcPr>
          <w:p w14:paraId="76D375B3" w14:textId="1896E91B"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0,1</w:t>
            </w:r>
          </w:p>
        </w:tc>
        <w:tc>
          <w:tcPr>
            <w:tcW w:w="443" w:type="pct"/>
            <w:tcBorders>
              <w:top w:val="nil"/>
              <w:left w:val="nil"/>
              <w:bottom w:val="single" w:sz="8" w:space="0" w:color="BFBFBF"/>
              <w:right w:val="single" w:sz="8" w:space="0" w:color="BFBFBF"/>
            </w:tcBorders>
            <w:vAlign w:val="center"/>
          </w:tcPr>
          <w:p w14:paraId="559437E6" w14:textId="7079822E"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vAlign w:val="center"/>
          </w:tcPr>
          <w:p w14:paraId="32316785" w14:textId="00840298"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vAlign w:val="center"/>
          </w:tcPr>
          <w:p w14:paraId="128BFEF7" w14:textId="636439A3" w:rsidR="000A57B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vAlign w:val="center"/>
          </w:tcPr>
          <w:p w14:paraId="2E98ABB3" w14:textId="170419CE" w:rsidR="000A57B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0,0</w:t>
            </w:r>
          </w:p>
        </w:tc>
        <w:tc>
          <w:tcPr>
            <w:tcW w:w="443" w:type="pct"/>
            <w:tcBorders>
              <w:top w:val="nil"/>
              <w:left w:val="nil"/>
              <w:bottom w:val="single" w:sz="8" w:space="0" w:color="BFBFBF"/>
              <w:right w:val="single" w:sz="8" w:space="0" w:color="BFBFBF"/>
            </w:tcBorders>
            <w:vAlign w:val="center"/>
          </w:tcPr>
          <w:p w14:paraId="0BDCD599" w14:textId="523885D4" w:rsidR="007A66F5" w:rsidRPr="002948ED" w:rsidRDefault="000A57B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0,4</w:t>
            </w:r>
          </w:p>
        </w:tc>
      </w:tr>
      <w:tr w:rsidR="000A2D2A" w:rsidRPr="002948ED" w14:paraId="08AA612C" w14:textId="77777777" w:rsidTr="00B426DE">
        <w:trPr>
          <w:trHeight w:val="300"/>
        </w:trPr>
        <w:tc>
          <w:tcPr>
            <w:cnfStyle w:val="001000000000" w:firstRow="0" w:lastRow="0" w:firstColumn="1" w:lastColumn="0" w:oddVBand="0" w:evenVBand="0" w:oddHBand="0" w:evenHBand="0" w:firstRowFirstColumn="0" w:firstRowLastColumn="0" w:lastRowFirstColumn="0" w:lastRowLastColumn="0"/>
            <w:tcW w:w="1459" w:type="pct"/>
          </w:tcPr>
          <w:p w14:paraId="06E0DBBC" w14:textId="1A53A219" w:rsidR="007A66F5" w:rsidRPr="002948ED" w:rsidRDefault="007A66F5" w:rsidP="00D16649">
            <w:pPr>
              <w:ind w:left="170"/>
              <w:rPr>
                <w:rFonts w:asciiTheme="minorHAnsi" w:eastAsia="Calibri" w:hAnsiTheme="minorHAnsi"/>
                <w:b w:val="0"/>
                <w:noProof/>
                <w:color w:val="003399" w:themeColor="text2"/>
                <w:sz w:val="22"/>
                <w:szCs w:val="22"/>
              </w:rPr>
            </w:pPr>
            <w:r w:rsidRPr="002948ED">
              <w:rPr>
                <w:rFonts w:asciiTheme="minorHAnsi" w:hAnsiTheme="minorHAnsi"/>
                <w:noProof/>
                <w:color w:val="003399" w:themeColor="text2"/>
                <w:sz w:val="22"/>
              </w:rPr>
              <w:t>3.1 Dépenses relatives au marché et paiements directs</w:t>
            </w:r>
          </w:p>
        </w:tc>
        <w:tc>
          <w:tcPr>
            <w:tcW w:w="442" w:type="pct"/>
            <w:tcBorders>
              <w:top w:val="nil"/>
              <w:left w:val="nil"/>
              <w:bottom w:val="single" w:sz="8" w:space="0" w:color="BFBFBF"/>
              <w:right w:val="single" w:sz="8" w:space="0" w:color="BFBFBF"/>
            </w:tcBorders>
            <w:vAlign w:val="center"/>
          </w:tcPr>
          <w:p w14:paraId="20B207CE" w14:textId="135EAEE2"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vAlign w:val="center"/>
          </w:tcPr>
          <w:p w14:paraId="60375593" w14:textId="3267CCAC"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vAlign w:val="center"/>
          </w:tcPr>
          <w:p w14:paraId="5773B369" w14:textId="5323C1A4"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0,0</w:t>
            </w:r>
          </w:p>
        </w:tc>
        <w:tc>
          <w:tcPr>
            <w:tcW w:w="443" w:type="pct"/>
            <w:tcBorders>
              <w:top w:val="nil"/>
              <w:left w:val="nil"/>
              <w:bottom w:val="single" w:sz="8" w:space="0" w:color="BFBFBF"/>
              <w:right w:val="single" w:sz="8" w:space="0" w:color="BFBFBF"/>
            </w:tcBorders>
            <w:vAlign w:val="center"/>
          </w:tcPr>
          <w:p w14:paraId="323922EE" w14:textId="1DC8A4A5"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vAlign w:val="center"/>
          </w:tcPr>
          <w:p w14:paraId="54FDDAA1" w14:textId="35610F48"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vAlign w:val="center"/>
          </w:tcPr>
          <w:p w14:paraId="7447DA24" w14:textId="6793FF9E" w:rsidR="000A57B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vAlign w:val="center"/>
          </w:tcPr>
          <w:p w14:paraId="17C21844" w14:textId="33C22EA9" w:rsidR="000A57B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0,0</w:t>
            </w:r>
          </w:p>
        </w:tc>
        <w:tc>
          <w:tcPr>
            <w:tcW w:w="443" w:type="pct"/>
            <w:tcBorders>
              <w:top w:val="nil"/>
              <w:left w:val="nil"/>
              <w:bottom w:val="single" w:sz="8" w:space="0" w:color="BFBFBF"/>
              <w:right w:val="single" w:sz="8" w:space="0" w:color="BFBFBF"/>
            </w:tcBorders>
            <w:vAlign w:val="center"/>
          </w:tcPr>
          <w:p w14:paraId="3F3FABB0" w14:textId="5D72F699" w:rsidR="007A66F5" w:rsidRPr="002948ED" w:rsidRDefault="000A57B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0,0</w:t>
            </w:r>
          </w:p>
        </w:tc>
      </w:tr>
      <w:tr w:rsidR="000A2D2A" w:rsidRPr="002948ED" w14:paraId="3AE80AEF" w14:textId="77777777" w:rsidTr="00B426DE">
        <w:trPr>
          <w:trHeight w:val="300"/>
        </w:trPr>
        <w:tc>
          <w:tcPr>
            <w:cnfStyle w:val="001000000000" w:firstRow="0" w:lastRow="0" w:firstColumn="1" w:lastColumn="0" w:oddVBand="0" w:evenVBand="0" w:oddHBand="0" w:evenHBand="0" w:firstRowFirstColumn="0" w:firstRowLastColumn="0" w:lastRowFirstColumn="0" w:lastRowLastColumn="0"/>
            <w:tcW w:w="1459" w:type="pct"/>
          </w:tcPr>
          <w:p w14:paraId="0B5E8D7C" w14:textId="2C203B08" w:rsidR="007A66F5" w:rsidRPr="002948ED" w:rsidRDefault="007A66F5" w:rsidP="00D16649">
            <w:pPr>
              <w:ind w:left="170"/>
              <w:rPr>
                <w:rFonts w:asciiTheme="minorHAnsi" w:eastAsia="Calibri" w:hAnsiTheme="minorHAnsi"/>
                <w:b w:val="0"/>
                <w:noProof/>
                <w:color w:val="003399" w:themeColor="text2"/>
                <w:sz w:val="22"/>
                <w:szCs w:val="22"/>
              </w:rPr>
            </w:pPr>
            <w:r w:rsidRPr="002948ED">
              <w:rPr>
                <w:rFonts w:asciiTheme="minorHAnsi" w:hAnsiTheme="minorHAnsi"/>
                <w:noProof/>
                <w:color w:val="003399" w:themeColor="text2"/>
                <w:sz w:val="22"/>
              </w:rPr>
              <w:t>3.2 Autres programmes «Ressources naturelles et environnement»</w:t>
            </w:r>
          </w:p>
        </w:tc>
        <w:tc>
          <w:tcPr>
            <w:tcW w:w="442" w:type="pct"/>
            <w:tcBorders>
              <w:top w:val="nil"/>
              <w:left w:val="nil"/>
              <w:bottom w:val="single" w:sz="8" w:space="0" w:color="BFBFBF"/>
              <w:right w:val="single" w:sz="8" w:space="0" w:color="BFBFBF"/>
            </w:tcBorders>
            <w:vAlign w:val="center"/>
          </w:tcPr>
          <w:p w14:paraId="1D232823" w14:textId="3B84D034"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0,1</w:t>
            </w:r>
          </w:p>
        </w:tc>
        <w:tc>
          <w:tcPr>
            <w:tcW w:w="442" w:type="pct"/>
            <w:tcBorders>
              <w:top w:val="nil"/>
              <w:left w:val="nil"/>
              <w:bottom w:val="single" w:sz="8" w:space="0" w:color="BFBFBF"/>
              <w:right w:val="single" w:sz="8" w:space="0" w:color="BFBFBF"/>
            </w:tcBorders>
            <w:vAlign w:val="center"/>
          </w:tcPr>
          <w:p w14:paraId="53C0C7C9" w14:textId="71342751"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0,1</w:t>
            </w:r>
          </w:p>
        </w:tc>
        <w:tc>
          <w:tcPr>
            <w:tcW w:w="442" w:type="pct"/>
            <w:tcBorders>
              <w:top w:val="nil"/>
              <w:left w:val="nil"/>
              <w:bottom w:val="single" w:sz="8" w:space="0" w:color="BFBFBF"/>
              <w:right w:val="single" w:sz="8" w:space="0" w:color="BFBFBF"/>
            </w:tcBorders>
            <w:vAlign w:val="center"/>
          </w:tcPr>
          <w:p w14:paraId="06006605" w14:textId="78D532C0"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0,1</w:t>
            </w:r>
          </w:p>
        </w:tc>
        <w:tc>
          <w:tcPr>
            <w:tcW w:w="443" w:type="pct"/>
            <w:tcBorders>
              <w:top w:val="nil"/>
              <w:left w:val="nil"/>
              <w:bottom w:val="single" w:sz="8" w:space="0" w:color="BFBFBF"/>
              <w:right w:val="single" w:sz="8" w:space="0" w:color="BFBFBF"/>
            </w:tcBorders>
            <w:vAlign w:val="center"/>
          </w:tcPr>
          <w:p w14:paraId="47DD137D" w14:textId="2608F859"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vAlign w:val="center"/>
          </w:tcPr>
          <w:p w14:paraId="07418EC3" w14:textId="412C26E7"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vAlign w:val="center"/>
          </w:tcPr>
          <w:p w14:paraId="54432E19" w14:textId="55DD4B13" w:rsidR="000A57B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vAlign w:val="center"/>
          </w:tcPr>
          <w:p w14:paraId="1D135275" w14:textId="25960BF8" w:rsidR="000A57B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noProof/>
                <w:color w:val="003399" w:themeColor="text2"/>
              </w:rPr>
              <w:t>0,0</w:t>
            </w:r>
          </w:p>
        </w:tc>
        <w:tc>
          <w:tcPr>
            <w:tcW w:w="443" w:type="pct"/>
            <w:tcBorders>
              <w:top w:val="nil"/>
              <w:left w:val="nil"/>
              <w:bottom w:val="single" w:sz="8" w:space="0" w:color="BFBFBF"/>
              <w:right w:val="single" w:sz="8" w:space="0" w:color="BFBFBF"/>
            </w:tcBorders>
            <w:vAlign w:val="center"/>
          </w:tcPr>
          <w:p w14:paraId="3AAA861E" w14:textId="1E6B2A98" w:rsidR="007A66F5" w:rsidRPr="002948ED" w:rsidRDefault="000A57B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0,4</w:t>
            </w:r>
          </w:p>
        </w:tc>
      </w:tr>
      <w:tr w:rsidR="00E71B3B" w:rsidRPr="002948ED" w14:paraId="055A6AEB" w14:textId="77777777" w:rsidTr="008B361B">
        <w:trPr>
          <w:trHeight w:val="300"/>
        </w:trPr>
        <w:tc>
          <w:tcPr>
            <w:cnfStyle w:val="001000000000" w:firstRow="0" w:lastRow="0" w:firstColumn="1" w:lastColumn="0" w:oddVBand="0" w:evenVBand="0" w:oddHBand="0" w:evenHBand="0" w:firstRowFirstColumn="0" w:firstRowLastColumn="0" w:lastRowFirstColumn="0" w:lastRowLastColumn="0"/>
            <w:tcW w:w="1459" w:type="pct"/>
            <w:shd w:val="clear" w:color="auto" w:fill="F3F7FF" w:themeFill="background2"/>
          </w:tcPr>
          <w:p w14:paraId="72F84B16" w14:textId="77777777" w:rsidR="007A66F5" w:rsidRPr="002948ED" w:rsidRDefault="007A66F5">
            <w:pPr>
              <w:spacing w:after="120"/>
              <w:rPr>
                <w:rFonts w:asciiTheme="minorHAnsi" w:eastAsia="Calibri" w:hAnsiTheme="minorHAnsi"/>
                <w:noProof/>
                <w:color w:val="003399" w:themeColor="text2"/>
                <w:sz w:val="22"/>
                <w:szCs w:val="22"/>
              </w:rPr>
            </w:pPr>
            <w:r w:rsidRPr="002948ED">
              <w:rPr>
                <w:rFonts w:asciiTheme="minorHAnsi" w:hAnsiTheme="minorHAnsi"/>
                <w:noProof/>
                <w:color w:val="003399" w:themeColor="text2"/>
                <w:sz w:val="22"/>
              </w:rPr>
              <w:t>4 Migration et gestion des frontières</w:t>
            </w:r>
          </w:p>
        </w:tc>
        <w:tc>
          <w:tcPr>
            <w:tcW w:w="442" w:type="pct"/>
            <w:tcBorders>
              <w:top w:val="nil"/>
              <w:left w:val="nil"/>
              <w:bottom w:val="single" w:sz="8" w:space="0" w:color="BFBFBF"/>
              <w:right w:val="single" w:sz="8" w:space="0" w:color="BFBFBF"/>
            </w:tcBorders>
            <w:shd w:val="clear" w:color="auto" w:fill="F3F7FF" w:themeFill="background2"/>
            <w:vAlign w:val="center"/>
          </w:tcPr>
          <w:p w14:paraId="6535180C" w14:textId="0855EA6F"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0,1</w:t>
            </w:r>
          </w:p>
        </w:tc>
        <w:tc>
          <w:tcPr>
            <w:tcW w:w="442" w:type="pct"/>
            <w:tcBorders>
              <w:top w:val="nil"/>
              <w:left w:val="nil"/>
              <w:bottom w:val="single" w:sz="8" w:space="0" w:color="BFBFBF"/>
              <w:right w:val="single" w:sz="8" w:space="0" w:color="BFBFBF"/>
            </w:tcBorders>
            <w:shd w:val="clear" w:color="auto" w:fill="F3F7FF" w:themeFill="background2"/>
            <w:vAlign w:val="center"/>
          </w:tcPr>
          <w:p w14:paraId="5FB021F0" w14:textId="630F66C9"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0,0</w:t>
            </w:r>
          </w:p>
        </w:tc>
        <w:tc>
          <w:tcPr>
            <w:tcW w:w="442" w:type="pct"/>
            <w:tcBorders>
              <w:top w:val="single" w:sz="8" w:space="0" w:color="BFBFBF"/>
              <w:left w:val="nil"/>
              <w:bottom w:val="single" w:sz="8" w:space="0" w:color="BFBFBF"/>
              <w:right w:val="single" w:sz="8" w:space="0" w:color="BFBFBF"/>
            </w:tcBorders>
            <w:shd w:val="clear" w:color="auto" w:fill="F3F7FF" w:themeFill="background2"/>
            <w:vAlign w:val="center"/>
          </w:tcPr>
          <w:p w14:paraId="0D90D79E" w14:textId="60E70B47"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0,0</w:t>
            </w:r>
          </w:p>
        </w:tc>
        <w:tc>
          <w:tcPr>
            <w:tcW w:w="443" w:type="pct"/>
            <w:tcBorders>
              <w:top w:val="single" w:sz="8" w:space="0" w:color="BFBFBF"/>
              <w:left w:val="nil"/>
              <w:bottom w:val="single" w:sz="8" w:space="0" w:color="BFBFBF"/>
              <w:right w:val="single" w:sz="8" w:space="0" w:color="BFBFBF"/>
            </w:tcBorders>
            <w:shd w:val="clear" w:color="auto" w:fill="F3F7FF" w:themeFill="background2"/>
            <w:vAlign w:val="center"/>
          </w:tcPr>
          <w:p w14:paraId="73C9D688" w14:textId="1AA88FF7"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0,0</w:t>
            </w:r>
          </w:p>
        </w:tc>
        <w:tc>
          <w:tcPr>
            <w:tcW w:w="442" w:type="pct"/>
            <w:tcBorders>
              <w:top w:val="single" w:sz="8" w:space="0" w:color="BFBFBF"/>
              <w:left w:val="nil"/>
              <w:bottom w:val="single" w:sz="8" w:space="0" w:color="BFBFBF"/>
              <w:right w:val="single" w:sz="8" w:space="0" w:color="BFBFBF"/>
            </w:tcBorders>
            <w:shd w:val="clear" w:color="auto" w:fill="F3F7FF" w:themeFill="background2"/>
            <w:vAlign w:val="center"/>
          </w:tcPr>
          <w:p w14:paraId="21380AA1" w14:textId="4FA7C328"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0,0</w:t>
            </w:r>
          </w:p>
        </w:tc>
        <w:tc>
          <w:tcPr>
            <w:tcW w:w="442" w:type="pct"/>
            <w:tcBorders>
              <w:top w:val="single" w:sz="8" w:space="0" w:color="BFBFBF"/>
              <w:left w:val="nil"/>
              <w:bottom w:val="single" w:sz="8" w:space="0" w:color="BFBFBF"/>
              <w:right w:val="single" w:sz="8" w:space="0" w:color="BFBFBF"/>
            </w:tcBorders>
            <w:shd w:val="clear" w:color="auto" w:fill="F3F7FF" w:themeFill="background2"/>
            <w:vAlign w:val="center"/>
          </w:tcPr>
          <w:p w14:paraId="1CAEA73B" w14:textId="71F6B9DC" w:rsidR="000A57B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0,0</w:t>
            </w:r>
          </w:p>
        </w:tc>
        <w:tc>
          <w:tcPr>
            <w:tcW w:w="442" w:type="pct"/>
            <w:tcBorders>
              <w:top w:val="single" w:sz="8" w:space="0" w:color="BFBFBF"/>
              <w:left w:val="nil"/>
              <w:bottom w:val="single" w:sz="8" w:space="0" w:color="BFBFBF"/>
              <w:right w:val="single" w:sz="8" w:space="0" w:color="BFBFBF"/>
            </w:tcBorders>
            <w:shd w:val="clear" w:color="auto" w:fill="F3F7FF" w:themeFill="background2"/>
            <w:vAlign w:val="center"/>
          </w:tcPr>
          <w:p w14:paraId="2D62A557" w14:textId="21450F15" w:rsidR="000A57B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0,0</w:t>
            </w:r>
          </w:p>
        </w:tc>
        <w:tc>
          <w:tcPr>
            <w:tcW w:w="443" w:type="pct"/>
            <w:tcBorders>
              <w:top w:val="nil"/>
              <w:left w:val="nil"/>
              <w:bottom w:val="single" w:sz="8" w:space="0" w:color="BFBFBF"/>
              <w:right w:val="single" w:sz="8" w:space="0" w:color="BFBFBF"/>
            </w:tcBorders>
            <w:shd w:val="clear" w:color="auto" w:fill="F3F7FF" w:themeFill="background2"/>
            <w:vAlign w:val="center"/>
          </w:tcPr>
          <w:p w14:paraId="5E9E98D7" w14:textId="104DC8FC" w:rsidR="007A66F5" w:rsidRPr="002948ED" w:rsidRDefault="007A66F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0,1</w:t>
            </w:r>
          </w:p>
        </w:tc>
      </w:tr>
      <w:tr w:rsidR="000A2D2A" w:rsidRPr="002948ED" w14:paraId="256AAF93" w14:textId="77777777" w:rsidTr="00B426DE">
        <w:trPr>
          <w:trHeight w:val="300"/>
        </w:trPr>
        <w:tc>
          <w:tcPr>
            <w:cnfStyle w:val="001000000000" w:firstRow="0" w:lastRow="0" w:firstColumn="1" w:lastColumn="0" w:oddVBand="0" w:evenVBand="0" w:oddHBand="0" w:evenHBand="0" w:firstRowFirstColumn="0" w:firstRowLastColumn="0" w:lastRowFirstColumn="0" w:lastRowLastColumn="0"/>
            <w:tcW w:w="1459" w:type="pct"/>
          </w:tcPr>
          <w:p w14:paraId="78C461AE" w14:textId="77777777" w:rsidR="007A66F5" w:rsidRPr="002948ED" w:rsidRDefault="007A66F5">
            <w:pPr>
              <w:spacing w:after="120"/>
              <w:rPr>
                <w:rFonts w:asciiTheme="minorHAnsi" w:eastAsia="Calibri" w:hAnsiTheme="minorHAnsi"/>
                <w:noProof/>
                <w:color w:val="003399" w:themeColor="text2"/>
                <w:sz w:val="22"/>
                <w:szCs w:val="22"/>
              </w:rPr>
            </w:pPr>
            <w:r w:rsidRPr="002948ED">
              <w:rPr>
                <w:rFonts w:asciiTheme="minorHAnsi" w:hAnsiTheme="minorHAnsi"/>
                <w:noProof/>
                <w:color w:val="003399" w:themeColor="text2"/>
                <w:sz w:val="22"/>
              </w:rPr>
              <w:t>5 Sécurité et défense</w:t>
            </w:r>
          </w:p>
        </w:tc>
        <w:tc>
          <w:tcPr>
            <w:tcW w:w="442" w:type="pct"/>
            <w:tcBorders>
              <w:top w:val="nil"/>
              <w:left w:val="nil"/>
              <w:bottom w:val="single" w:sz="8" w:space="0" w:color="BFBFBF"/>
              <w:right w:val="single" w:sz="8" w:space="0" w:color="BFBFBF"/>
            </w:tcBorders>
            <w:vAlign w:val="center"/>
          </w:tcPr>
          <w:p w14:paraId="27498097" w14:textId="71604A4E"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vAlign w:val="center"/>
          </w:tcPr>
          <w:p w14:paraId="6A52DB4A" w14:textId="160F7C96"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0,1</w:t>
            </w:r>
          </w:p>
        </w:tc>
        <w:tc>
          <w:tcPr>
            <w:tcW w:w="442" w:type="pct"/>
            <w:tcBorders>
              <w:top w:val="nil"/>
              <w:left w:val="nil"/>
              <w:bottom w:val="single" w:sz="8" w:space="0" w:color="BFBFBF"/>
              <w:right w:val="single" w:sz="8" w:space="0" w:color="BFBFBF"/>
            </w:tcBorders>
            <w:vAlign w:val="center"/>
          </w:tcPr>
          <w:p w14:paraId="44DC758E" w14:textId="6B2B4FD8"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0,0</w:t>
            </w:r>
          </w:p>
        </w:tc>
        <w:tc>
          <w:tcPr>
            <w:tcW w:w="443" w:type="pct"/>
            <w:tcBorders>
              <w:top w:val="nil"/>
              <w:left w:val="nil"/>
              <w:bottom w:val="single" w:sz="8" w:space="0" w:color="BFBFBF"/>
              <w:right w:val="single" w:sz="8" w:space="0" w:color="BFBFBF"/>
            </w:tcBorders>
            <w:vAlign w:val="center"/>
          </w:tcPr>
          <w:p w14:paraId="1E801580" w14:textId="77A30B00"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vAlign w:val="center"/>
          </w:tcPr>
          <w:p w14:paraId="32C58AC5" w14:textId="44E9F0D1"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vAlign w:val="center"/>
          </w:tcPr>
          <w:p w14:paraId="5593D3D7" w14:textId="5DC85877" w:rsidR="000A57B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vAlign w:val="center"/>
          </w:tcPr>
          <w:p w14:paraId="384EA6E4" w14:textId="69F6C590" w:rsidR="000A57B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0,0</w:t>
            </w:r>
          </w:p>
        </w:tc>
        <w:tc>
          <w:tcPr>
            <w:tcW w:w="443" w:type="pct"/>
            <w:tcBorders>
              <w:top w:val="nil"/>
              <w:left w:val="nil"/>
              <w:bottom w:val="single" w:sz="8" w:space="0" w:color="BFBFBF"/>
              <w:right w:val="single" w:sz="8" w:space="0" w:color="BFBFBF"/>
            </w:tcBorders>
            <w:vAlign w:val="center"/>
          </w:tcPr>
          <w:p w14:paraId="6BBBF9CA" w14:textId="13243521" w:rsidR="007A66F5" w:rsidRPr="002948ED" w:rsidRDefault="007A66F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0,1</w:t>
            </w:r>
          </w:p>
        </w:tc>
      </w:tr>
      <w:tr w:rsidR="000A2D2A" w:rsidRPr="002948ED" w14:paraId="7CAD225E" w14:textId="77777777" w:rsidTr="008B361B">
        <w:trPr>
          <w:trHeight w:val="300"/>
        </w:trPr>
        <w:tc>
          <w:tcPr>
            <w:cnfStyle w:val="001000000000" w:firstRow="0" w:lastRow="0" w:firstColumn="1" w:lastColumn="0" w:oddVBand="0" w:evenVBand="0" w:oddHBand="0" w:evenHBand="0" w:firstRowFirstColumn="0" w:firstRowLastColumn="0" w:lastRowFirstColumn="0" w:lastRowLastColumn="0"/>
            <w:tcW w:w="1459" w:type="pct"/>
            <w:shd w:val="clear" w:color="auto" w:fill="F3F7FF" w:themeFill="background2"/>
          </w:tcPr>
          <w:p w14:paraId="08DE512E" w14:textId="77777777" w:rsidR="007A66F5" w:rsidRPr="002948ED" w:rsidRDefault="007A66F5">
            <w:pPr>
              <w:spacing w:after="120"/>
              <w:rPr>
                <w:rFonts w:asciiTheme="minorHAnsi" w:eastAsia="Calibri" w:hAnsiTheme="minorHAnsi"/>
                <w:noProof/>
                <w:color w:val="003399" w:themeColor="text2"/>
                <w:sz w:val="22"/>
                <w:szCs w:val="22"/>
              </w:rPr>
            </w:pPr>
            <w:r w:rsidRPr="002948ED">
              <w:rPr>
                <w:rFonts w:asciiTheme="minorHAnsi" w:hAnsiTheme="minorHAnsi"/>
                <w:noProof/>
                <w:color w:val="003399" w:themeColor="text2"/>
                <w:sz w:val="22"/>
              </w:rPr>
              <w:t>6 Le voisinage et le monde</w:t>
            </w:r>
          </w:p>
        </w:tc>
        <w:tc>
          <w:tcPr>
            <w:tcW w:w="442" w:type="pct"/>
            <w:tcBorders>
              <w:top w:val="nil"/>
              <w:left w:val="nil"/>
              <w:bottom w:val="single" w:sz="8" w:space="0" w:color="BFBFBF"/>
              <w:right w:val="single" w:sz="8" w:space="0" w:color="BFBFBF"/>
            </w:tcBorders>
            <w:shd w:val="clear" w:color="auto" w:fill="F3F7FF" w:themeFill="background2"/>
            <w:vAlign w:val="center"/>
          </w:tcPr>
          <w:p w14:paraId="225E68EA" w14:textId="3B061A93"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0,7</w:t>
            </w:r>
          </w:p>
        </w:tc>
        <w:tc>
          <w:tcPr>
            <w:tcW w:w="442" w:type="pct"/>
            <w:tcBorders>
              <w:top w:val="nil"/>
              <w:left w:val="nil"/>
              <w:bottom w:val="single" w:sz="8" w:space="0" w:color="BFBFBF"/>
              <w:right w:val="single" w:sz="8" w:space="0" w:color="BFBFBF"/>
            </w:tcBorders>
            <w:shd w:val="clear" w:color="auto" w:fill="F3F7FF" w:themeFill="background2"/>
            <w:vAlign w:val="center"/>
          </w:tcPr>
          <w:p w14:paraId="14664732" w14:textId="74365D81"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0,7</w:t>
            </w:r>
          </w:p>
        </w:tc>
        <w:tc>
          <w:tcPr>
            <w:tcW w:w="442" w:type="pct"/>
            <w:tcBorders>
              <w:top w:val="nil"/>
              <w:left w:val="nil"/>
              <w:bottom w:val="single" w:sz="8" w:space="0" w:color="BFBFBF"/>
              <w:right w:val="single" w:sz="8" w:space="0" w:color="BFBFBF"/>
            </w:tcBorders>
            <w:shd w:val="clear" w:color="auto" w:fill="F3F7FF" w:themeFill="background2"/>
            <w:vAlign w:val="center"/>
          </w:tcPr>
          <w:p w14:paraId="0CE2BC53" w14:textId="64AE117A"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0,6</w:t>
            </w:r>
          </w:p>
        </w:tc>
        <w:tc>
          <w:tcPr>
            <w:tcW w:w="443" w:type="pct"/>
            <w:tcBorders>
              <w:top w:val="nil"/>
              <w:left w:val="nil"/>
              <w:bottom w:val="single" w:sz="8" w:space="0" w:color="BFBFBF"/>
              <w:right w:val="single" w:sz="8" w:space="0" w:color="BFBFBF"/>
            </w:tcBorders>
            <w:shd w:val="clear" w:color="auto" w:fill="F3F7FF" w:themeFill="background2"/>
            <w:vAlign w:val="center"/>
          </w:tcPr>
          <w:p w14:paraId="7CED51EA" w14:textId="04E159A7"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0,5</w:t>
            </w:r>
          </w:p>
        </w:tc>
        <w:tc>
          <w:tcPr>
            <w:tcW w:w="442" w:type="pct"/>
            <w:tcBorders>
              <w:top w:val="nil"/>
              <w:left w:val="nil"/>
              <w:bottom w:val="single" w:sz="8" w:space="0" w:color="BFBFBF"/>
              <w:right w:val="single" w:sz="8" w:space="0" w:color="BFBFBF"/>
            </w:tcBorders>
            <w:shd w:val="clear" w:color="auto" w:fill="F3F7FF" w:themeFill="background2"/>
            <w:vAlign w:val="center"/>
          </w:tcPr>
          <w:p w14:paraId="376C6EA0" w14:textId="54391776"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0,3</w:t>
            </w:r>
          </w:p>
        </w:tc>
        <w:tc>
          <w:tcPr>
            <w:tcW w:w="442" w:type="pct"/>
            <w:tcBorders>
              <w:top w:val="nil"/>
              <w:left w:val="nil"/>
              <w:bottom w:val="single" w:sz="8" w:space="0" w:color="BFBFBF"/>
              <w:right w:val="single" w:sz="8" w:space="0" w:color="BFBFBF"/>
            </w:tcBorders>
            <w:shd w:val="clear" w:color="auto" w:fill="F3F7FF" w:themeFill="background2"/>
            <w:vAlign w:val="center"/>
          </w:tcPr>
          <w:p w14:paraId="2D3CDB80" w14:textId="2D45E1C2" w:rsidR="000A57B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0,2</w:t>
            </w:r>
          </w:p>
        </w:tc>
        <w:tc>
          <w:tcPr>
            <w:tcW w:w="442" w:type="pct"/>
            <w:tcBorders>
              <w:top w:val="nil"/>
              <w:left w:val="nil"/>
              <w:bottom w:val="single" w:sz="8" w:space="0" w:color="BFBFBF"/>
              <w:right w:val="single" w:sz="8" w:space="0" w:color="BFBFBF"/>
            </w:tcBorders>
            <w:shd w:val="clear" w:color="auto" w:fill="F3F7FF" w:themeFill="background2"/>
            <w:vAlign w:val="center"/>
          </w:tcPr>
          <w:p w14:paraId="544EA8D9" w14:textId="6CF2ABC9" w:rsidR="000A57B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0,1</w:t>
            </w:r>
          </w:p>
        </w:tc>
        <w:tc>
          <w:tcPr>
            <w:tcW w:w="443" w:type="pct"/>
            <w:tcBorders>
              <w:top w:val="nil"/>
              <w:left w:val="nil"/>
              <w:bottom w:val="single" w:sz="8" w:space="0" w:color="BFBFBF"/>
              <w:right w:val="single" w:sz="8" w:space="0" w:color="BFBFBF"/>
            </w:tcBorders>
            <w:shd w:val="clear" w:color="auto" w:fill="F3F7FF" w:themeFill="background2"/>
            <w:vAlign w:val="center"/>
          </w:tcPr>
          <w:p w14:paraId="124859E3" w14:textId="6F16F4B3" w:rsidR="007A66F5" w:rsidRPr="002948ED" w:rsidRDefault="007A66F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3,1</w:t>
            </w:r>
          </w:p>
        </w:tc>
      </w:tr>
      <w:tr w:rsidR="00586721" w:rsidRPr="002948ED" w14:paraId="405CFA2C" w14:textId="77777777" w:rsidTr="00610F45">
        <w:trPr>
          <w:trHeight w:val="465"/>
        </w:trPr>
        <w:tc>
          <w:tcPr>
            <w:cnfStyle w:val="001000000000" w:firstRow="0" w:lastRow="0" w:firstColumn="1" w:lastColumn="0" w:oddVBand="0" w:evenVBand="0" w:oddHBand="0" w:evenHBand="0" w:firstRowFirstColumn="0" w:firstRowLastColumn="0" w:lastRowFirstColumn="0" w:lastRowLastColumn="0"/>
            <w:tcW w:w="1459" w:type="pct"/>
            <w:shd w:val="clear" w:color="auto" w:fill="D9D9D9" w:themeFill="background1" w:themeFillShade="D9"/>
          </w:tcPr>
          <w:p w14:paraId="190C663D" w14:textId="77777777" w:rsidR="007A66F5" w:rsidRPr="002948ED" w:rsidRDefault="007A66F5">
            <w:pPr>
              <w:spacing w:after="120"/>
              <w:rPr>
                <w:rFonts w:asciiTheme="minorHAnsi" w:eastAsia="Calibri" w:hAnsiTheme="minorHAnsi"/>
                <w:noProof/>
                <w:color w:val="000000" w:themeColor="text1"/>
                <w:sz w:val="22"/>
                <w:szCs w:val="22"/>
              </w:rPr>
            </w:pPr>
            <w:r w:rsidRPr="002948ED">
              <w:rPr>
                <w:rFonts w:asciiTheme="minorHAnsi" w:hAnsiTheme="minorHAnsi"/>
                <w:noProof/>
                <w:color w:val="000000" w:themeColor="text1"/>
                <w:sz w:val="22"/>
              </w:rPr>
              <w:t>Total</w:t>
            </w:r>
          </w:p>
        </w:tc>
        <w:tc>
          <w:tcPr>
            <w:tcW w:w="442" w:type="pct"/>
            <w:tcBorders>
              <w:top w:val="nil"/>
              <w:left w:val="nil"/>
              <w:bottom w:val="nil"/>
              <w:right w:val="single" w:sz="8" w:space="0" w:color="BFBFBF"/>
            </w:tcBorders>
            <w:shd w:val="clear" w:color="auto" w:fill="D9D9D9" w:themeFill="background1" w:themeFillShade="D9"/>
            <w:vAlign w:val="center"/>
          </w:tcPr>
          <w:p w14:paraId="62F9904E" w14:textId="51CE08BE"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1,7</w:t>
            </w:r>
          </w:p>
        </w:tc>
        <w:tc>
          <w:tcPr>
            <w:tcW w:w="442" w:type="pct"/>
            <w:tcBorders>
              <w:top w:val="nil"/>
              <w:left w:val="nil"/>
              <w:bottom w:val="nil"/>
              <w:right w:val="single" w:sz="8" w:space="0" w:color="BFBFBF"/>
            </w:tcBorders>
            <w:shd w:val="clear" w:color="auto" w:fill="D9D9D9" w:themeFill="background1" w:themeFillShade="D9"/>
            <w:vAlign w:val="center"/>
          </w:tcPr>
          <w:p w14:paraId="6212225C" w14:textId="68324DE4"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1,4</w:t>
            </w:r>
          </w:p>
        </w:tc>
        <w:tc>
          <w:tcPr>
            <w:tcW w:w="442" w:type="pct"/>
            <w:tcBorders>
              <w:top w:val="nil"/>
              <w:left w:val="nil"/>
              <w:bottom w:val="nil"/>
              <w:right w:val="single" w:sz="8" w:space="0" w:color="BFBFBF"/>
            </w:tcBorders>
            <w:shd w:val="clear" w:color="auto" w:fill="D9D9D9" w:themeFill="background1" w:themeFillShade="D9"/>
            <w:vAlign w:val="center"/>
          </w:tcPr>
          <w:p w14:paraId="1D904174" w14:textId="6CE3211B"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0,9</w:t>
            </w:r>
          </w:p>
        </w:tc>
        <w:tc>
          <w:tcPr>
            <w:tcW w:w="443" w:type="pct"/>
            <w:tcBorders>
              <w:top w:val="nil"/>
              <w:left w:val="nil"/>
              <w:bottom w:val="nil"/>
              <w:right w:val="single" w:sz="8" w:space="0" w:color="BFBFBF"/>
            </w:tcBorders>
            <w:shd w:val="clear" w:color="auto" w:fill="D9D9D9" w:themeFill="background1" w:themeFillShade="D9"/>
            <w:vAlign w:val="center"/>
          </w:tcPr>
          <w:p w14:paraId="202171FD" w14:textId="6079FD9F"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0,8</w:t>
            </w:r>
          </w:p>
        </w:tc>
        <w:tc>
          <w:tcPr>
            <w:tcW w:w="442" w:type="pct"/>
            <w:tcBorders>
              <w:top w:val="nil"/>
              <w:left w:val="nil"/>
              <w:bottom w:val="nil"/>
              <w:right w:val="single" w:sz="8" w:space="0" w:color="BFBFBF"/>
            </w:tcBorders>
            <w:shd w:val="clear" w:color="auto" w:fill="D9D9D9" w:themeFill="background1" w:themeFillShade="D9"/>
            <w:vAlign w:val="center"/>
          </w:tcPr>
          <w:p w14:paraId="3E1EAB5C" w14:textId="43039D7F" w:rsidR="007A66F5" w:rsidRPr="002948ED"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0,4</w:t>
            </w:r>
          </w:p>
        </w:tc>
        <w:tc>
          <w:tcPr>
            <w:tcW w:w="442" w:type="pct"/>
            <w:tcBorders>
              <w:top w:val="nil"/>
              <w:left w:val="nil"/>
              <w:bottom w:val="nil"/>
              <w:right w:val="single" w:sz="8" w:space="0" w:color="BFBFBF"/>
            </w:tcBorders>
            <w:shd w:val="clear" w:color="auto" w:fill="D9D9D9" w:themeFill="background1" w:themeFillShade="D9"/>
            <w:vAlign w:val="center"/>
          </w:tcPr>
          <w:p w14:paraId="093B1741" w14:textId="7CBDD7B7" w:rsidR="000A57B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0,5</w:t>
            </w:r>
          </w:p>
        </w:tc>
        <w:tc>
          <w:tcPr>
            <w:tcW w:w="442" w:type="pct"/>
            <w:tcBorders>
              <w:top w:val="nil"/>
              <w:left w:val="nil"/>
              <w:bottom w:val="nil"/>
              <w:right w:val="single" w:sz="8" w:space="0" w:color="BFBFBF"/>
            </w:tcBorders>
            <w:shd w:val="clear" w:color="auto" w:fill="D9D9D9" w:themeFill="background1" w:themeFillShade="D9"/>
            <w:vAlign w:val="center"/>
          </w:tcPr>
          <w:p w14:paraId="3AA6126F" w14:textId="1A098BBB" w:rsidR="000A57B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0,2</w:t>
            </w:r>
          </w:p>
        </w:tc>
        <w:tc>
          <w:tcPr>
            <w:tcW w:w="443" w:type="pct"/>
            <w:shd w:val="clear" w:color="auto" w:fill="D9D9D9" w:themeFill="background1" w:themeFillShade="D9"/>
            <w:vAlign w:val="center"/>
          </w:tcPr>
          <w:p w14:paraId="6823CC2E" w14:textId="3E09ED81" w:rsidR="007A66F5" w:rsidRPr="002948ED"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5,9</w:t>
            </w:r>
          </w:p>
        </w:tc>
      </w:tr>
    </w:tbl>
    <w:p w14:paraId="2A58B687" w14:textId="77777777" w:rsidR="00934FFF" w:rsidRPr="002948ED" w:rsidRDefault="00934FFF" w:rsidP="00682537">
      <w:pPr>
        <w:rPr>
          <w:rFonts w:asciiTheme="majorHAnsi" w:hAnsiTheme="majorHAnsi"/>
          <w:noProof/>
        </w:rPr>
        <w:sectPr w:rsidR="00934FFF" w:rsidRPr="002948ED">
          <w:headerReference w:type="even" r:id="rId28"/>
          <w:headerReference w:type="default" r:id="rId29"/>
          <w:footerReference w:type="even" r:id="rId30"/>
          <w:footerReference w:type="default" r:id="rId31"/>
          <w:headerReference w:type="first" r:id="rId32"/>
          <w:footerReference w:type="first" r:id="rId33"/>
          <w:pgSz w:w="11906" w:h="16838"/>
          <w:pgMar w:top="1321" w:right="1151" w:bottom="1440" w:left="1151" w:header="720" w:footer="720" w:gutter="0"/>
          <w:cols w:space="720"/>
          <w:docGrid w:linePitch="326"/>
        </w:sectPr>
      </w:pPr>
    </w:p>
    <w:p w14:paraId="285F1836" w14:textId="5B1AE7EF" w:rsidR="00934FFF" w:rsidRPr="002948ED" w:rsidRDefault="00934FFF" w:rsidP="00934FFF">
      <w:pPr>
        <w:pStyle w:val="Heading2"/>
        <w:rPr>
          <w:rFonts w:asciiTheme="majorHAnsi" w:hAnsiTheme="majorHAnsi"/>
          <w:noProof/>
        </w:rPr>
      </w:pPr>
      <w:bookmarkStart w:id="83" w:name="_Toc235786444"/>
      <w:r w:rsidRPr="002948ED">
        <w:rPr>
          <w:rFonts w:asciiTheme="majorHAnsi" w:hAnsiTheme="majorHAnsi"/>
          <w:noProof/>
        </w:rPr>
        <w:t>Tableau 1.4 — Paiements correspondant aux engagements 2028-2034</w:t>
      </w:r>
      <w:bookmarkEnd w:id="83"/>
    </w:p>
    <w:tbl>
      <w:tblPr>
        <w:tblStyle w:val="AMPR2021"/>
        <w:tblW w:w="5252" w:type="pct"/>
        <w:tblBorders>
          <w:top w:val="none" w:sz="0" w:space="0" w:color="auto"/>
          <w:bottom w:val="none" w:sz="0" w:space="0" w:color="auto"/>
          <w:insideH w:val="single" w:sz="6" w:space="0" w:color="BFBFBF" w:themeColor="background1" w:themeShade="BF"/>
          <w:insideV w:val="single" w:sz="6" w:space="0" w:color="BFBFBF" w:themeColor="background1" w:themeShade="BF"/>
        </w:tblBorders>
        <w:tblLayout w:type="fixed"/>
        <w:tblLook w:val="06A0" w:firstRow="1" w:lastRow="0" w:firstColumn="1" w:lastColumn="0" w:noHBand="1" w:noVBand="1"/>
      </w:tblPr>
      <w:tblGrid>
        <w:gridCol w:w="2831"/>
        <w:gridCol w:w="918"/>
        <w:gridCol w:w="918"/>
        <w:gridCol w:w="918"/>
        <w:gridCol w:w="918"/>
        <w:gridCol w:w="918"/>
        <w:gridCol w:w="918"/>
        <w:gridCol w:w="918"/>
        <w:gridCol w:w="1058"/>
      </w:tblGrid>
      <w:tr w:rsidR="00607FF2" w:rsidRPr="002948ED" w14:paraId="75BA2081" w14:textId="77777777" w:rsidTr="00BA6CD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2" w:type="pct"/>
          </w:tcPr>
          <w:p w14:paraId="7168AE7A" w14:textId="77777777" w:rsidR="007E1EE8" w:rsidRPr="002948ED" w:rsidRDefault="007E1EE8" w:rsidP="007E1EE8">
            <w:pPr>
              <w:rPr>
                <w:rFonts w:asciiTheme="minorHAnsi" w:eastAsia="Calibri" w:hAnsiTheme="minorHAnsi"/>
                <w:b w:val="0"/>
                <w:noProof/>
                <w:sz w:val="22"/>
                <w:szCs w:val="22"/>
              </w:rPr>
            </w:pPr>
            <w:r w:rsidRPr="002948ED">
              <w:rPr>
                <w:rFonts w:asciiTheme="minorHAnsi" w:hAnsiTheme="minorHAnsi"/>
                <w:noProof/>
                <w:sz w:val="22"/>
              </w:rPr>
              <w:t>Rubrique du CFP</w:t>
            </w:r>
          </w:p>
        </w:tc>
        <w:tc>
          <w:tcPr>
            <w:tcW w:w="445" w:type="pct"/>
          </w:tcPr>
          <w:p w14:paraId="407E44DF" w14:textId="77777777" w:rsidR="007E1EE8" w:rsidRPr="002948ED"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2948ED">
              <w:rPr>
                <w:rFonts w:asciiTheme="minorHAnsi" w:hAnsiTheme="minorHAnsi"/>
                <w:noProof/>
                <w:sz w:val="22"/>
              </w:rPr>
              <w:t>2028</w:t>
            </w:r>
          </w:p>
        </w:tc>
        <w:tc>
          <w:tcPr>
            <w:tcW w:w="445" w:type="pct"/>
          </w:tcPr>
          <w:p w14:paraId="4724F960" w14:textId="77777777" w:rsidR="007E1EE8" w:rsidRPr="002948ED"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2948ED">
              <w:rPr>
                <w:rFonts w:asciiTheme="minorHAnsi" w:hAnsiTheme="minorHAnsi"/>
                <w:noProof/>
                <w:sz w:val="22"/>
              </w:rPr>
              <w:t>2029</w:t>
            </w:r>
          </w:p>
        </w:tc>
        <w:tc>
          <w:tcPr>
            <w:tcW w:w="445" w:type="pct"/>
          </w:tcPr>
          <w:p w14:paraId="707FB3F6" w14:textId="77777777" w:rsidR="007E1EE8" w:rsidRPr="002948ED"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2948ED">
              <w:rPr>
                <w:rFonts w:asciiTheme="minorHAnsi" w:hAnsiTheme="minorHAnsi"/>
                <w:noProof/>
                <w:sz w:val="22"/>
              </w:rPr>
              <w:t>2030</w:t>
            </w:r>
          </w:p>
        </w:tc>
        <w:tc>
          <w:tcPr>
            <w:tcW w:w="445" w:type="pct"/>
          </w:tcPr>
          <w:p w14:paraId="6E27C745" w14:textId="77777777" w:rsidR="007E1EE8" w:rsidRPr="002948ED"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2948ED">
              <w:rPr>
                <w:rFonts w:asciiTheme="minorHAnsi" w:hAnsiTheme="minorHAnsi"/>
                <w:noProof/>
                <w:sz w:val="22"/>
              </w:rPr>
              <w:t>2031</w:t>
            </w:r>
          </w:p>
        </w:tc>
        <w:tc>
          <w:tcPr>
            <w:tcW w:w="445" w:type="pct"/>
          </w:tcPr>
          <w:p w14:paraId="07149948" w14:textId="77777777" w:rsidR="007E1EE8" w:rsidRPr="002948ED"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2948ED">
              <w:rPr>
                <w:rFonts w:asciiTheme="minorHAnsi" w:hAnsiTheme="minorHAnsi"/>
                <w:noProof/>
                <w:sz w:val="22"/>
              </w:rPr>
              <w:t>2032</w:t>
            </w:r>
          </w:p>
        </w:tc>
        <w:tc>
          <w:tcPr>
            <w:tcW w:w="445" w:type="pct"/>
          </w:tcPr>
          <w:p w14:paraId="3C491255" w14:textId="77777777" w:rsidR="007E1EE8" w:rsidRPr="002948ED"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2948ED">
              <w:rPr>
                <w:rFonts w:asciiTheme="minorHAnsi" w:hAnsiTheme="minorHAnsi"/>
                <w:noProof/>
                <w:sz w:val="22"/>
              </w:rPr>
              <w:t>2033</w:t>
            </w:r>
          </w:p>
        </w:tc>
        <w:tc>
          <w:tcPr>
            <w:tcW w:w="445" w:type="pct"/>
          </w:tcPr>
          <w:p w14:paraId="339F87FB" w14:textId="7975CBB4" w:rsidR="007E1EE8" w:rsidRPr="002948ED"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2948ED">
              <w:rPr>
                <w:rFonts w:asciiTheme="minorHAnsi" w:hAnsiTheme="minorHAnsi"/>
                <w:noProof/>
                <w:sz w:val="22"/>
              </w:rPr>
              <w:t>2034</w:t>
            </w:r>
          </w:p>
        </w:tc>
        <w:tc>
          <w:tcPr>
            <w:tcW w:w="513" w:type="pct"/>
          </w:tcPr>
          <w:p w14:paraId="5A51230A" w14:textId="7A327493" w:rsidR="007E1EE8" w:rsidRPr="002948ED"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2948ED">
              <w:rPr>
                <w:rFonts w:asciiTheme="minorHAnsi" w:hAnsiTheme="minorHAnsi"/>
                <w:noProof/>
                <w:sz w:val="22"/>
              </w:rPr>
              <w:t>Total</w:t>
            </w:r>
          </w:p>
        </w:tc>
      </w:tr>
      <w:tr w:rsidR="00AD7836" w:rsidRPr="002948ED" w14:paraId="56903E6D" w14:textId="77777777" w:rsidTr="003B1D7B">
        <w:trPr>
          <w:trHeight w:val="300"/>
        </w:trPr>
        <w:tc>
          <w:tcPr>
            <w:cnfStyle w:val="001000000000" w:firstRow="0" w:lastRow="0" w:firstColumn="1" w:lastColumn="0" w:oddVBand="0" w:evenVBand="0" w:oddHBand="0" w:evenHBand="0" w:firstRowFirstColumn="0" w:firstRowLastColumn="0" w:lastRowFirstColumn="0" w:lastRowLastColumn="0"/>
            <w:tcW w:w="1372"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007DE7F5" w14:textId="4F3DACD1" w:rsidR="00AD7836" w:rsidRPr="002948ED" w:rsidRDefault="00D70476" w:rsidP="00AD7836">
            <w:pPr>
              <w:spacing w:after="120"/>
              <w:rPr>
                <w:rFonts w:asciiTheme="minorHAnsi" w:eastAsia="Calibri" w:hAnsiTheme="minorHAnsi"/>
                <w:noProof/>
                <w:color w:val="003399" w:themeColor="text2"/>
                <w:sz w:val="22"/>
                <w:szCs w:val="18"/>
              </w:rPr>
            </w:pPr>
            <w:r w:rsidRPr="002948ED">
              <w:rPr>
                <w:rFonts w:asciiTheme="minorHAnsi" w:hAnsiTheme="minorHAnsi"/>
                <w:noProof/>
                <w:color w:val="003399" w:themeColor="text2"/>
                <w:sz w:val="22"/>
              </w:rPr>
              <w:t>1. Cohésion économique, sociale et territoriale, agriculture, prospérité et sécurité rurales et maritimes</w:t>
            </w:r>
          </w:p>
        </w:tc>
        <w:tc>
          <w:tcPr>
            <w:tcW w:w="445"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0134215C" w14:textId="164BCC98"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108,0</w:t>
            </w:r>
          </w:p>
        </w:tc>
        <w:tc>
          <w:tcPr>
            <w:tcW w:w="445"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47F084FD" w14:textId="74F4AF45"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122,6</w:t>
            </w:r>
          </w:p>
        </w:tc>
        <w:tc>
          <w:tcPr>
            <w:tcW w:w="445"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712AAB16" w14:textId="69F4D1EA"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150,8</w:t>
            </w:r>
          </w:p>
        </w:tc>
        <w:tc>
          <w:tcPr>
            <w:tcW w:w="445"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0CF253BF" w14:textId="7025F4EB"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150,7</w:t>
            </w:r>
          </w:p>
        </w:tc>
        <w:tc>
          <w:tcPr>
            <w:tcW w:w="445"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47837777" w14:textId="7B31BF52"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157,8</w:t>
            </w:r>
          </w:p>
        </w:tc>
        <w:tc>
          <w:tcPr>
            <w:tcW w:w="445"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198AE919" w14:textId="3E85B8FB"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144,3</w:t>
            </w:r>
          </w:p>
        </w:tc>
        <w:tc>
          <w:tcPr>
            <w:tcW w:w="445"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6A4AF682" w14:textId="2B164954"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130,3</w:t>
            </w:r>
          </w:p>
        </w:tc>
        <w:tc>
          <w:tcPr>
            <w:tcW w:w="513" w:type="pct"/>
            <w:tcBorders>
              <w:top w:val="single" w:sz="8" w:space="0" w:color="BFBFBF" w:themeColor="background1" w:themeShade="BF"/>
              <w:left w:val="nil"/>
              <w:bottom w:val="single" w:sz="8" w:space="0" w:color="BFBFBF" w:themeColor="background1" w:themeShade="BF"/>
              <w:right w:val="nil"/>
            </w:tcBorders>
            <w:vAlign w:val="center"/>
          </w:tcPr>
          <w:p w14:paraId="011D27E5" w14:textId="3303B47E"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sz w:val="22"/>
                <w:szCs w:val="22"/>
              </w:rPr>
            </w:pPr>
            <w:r w:rsidRPr="002948ED">
              <w:rPr>
                <w:rFonts w:asciiTheme="minorHAnsi" w:hAnsiTheme="minorHAnsi"/>
                <w:b/>
                <w:noProof/>
                <w:color w:val="000000" w:themeColor="text1"/>
                <w:sz w:val="22"/>
              </w:rPr>
              <w:t>964,6</w:t>
            </w:r>
          </w:p>
        </w:tc>
      </w:tr>
      <w:tr w:rsidR="00EA6749" w:rsidRPr="002948ED" w14:paraId="38ED1511" w14:textId="77777777" w:rsidTr="00EA6749">
        <w:trPr>
          <w:trHeight w:val="300"/>
        </w:trPr>
        <w:tc>
          <w:tcPr>
            <w:cnfStyle w:val="001000000000" w:firstRow="0" w:lastRow="0" w:firstColumn="1" w:lastColumn="0" w:oddVBand="0" w:evenVBand="0" w:oddHBand="0" w:evenHBand="0" w:firstRowFirstColumn="0" w:firstRowLastColumn="0" w:lastRowFirstColumn="0" w:lastRowLastColumn="0"/>
            <w:tcW w:w="1372"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76B7CB50" w14:textId="661C778A" w:rsidR="00AD7836" w:rsidRPr="002948ED" w:rsidRDefault="00D70476" w:rsidP="00AD7836">
            <w:pPr>
              <w:spacing w:after="120"/>
              <w:rPr>
                <w:rFonts w:asciiTheme="minorHAnsi" w:eastAsia="Calibri" w:hAnsiTheme="minorHAnsi"/>
                <w:noProof/>
                <w:color w:val="003399" w:themeColor="text2"/>
                <w:sz w:val="22"/>
                <w:szCs w:val="18"/>
              </w:rPr>
            </w:pPr>
            <w:r w:rsidRPr="002948ED">
              <w:rPr>
                <w:rFonts w:asciiTheme="minorHAnsi" w:hAnsiTheme="minorHAnsi"/>
                <w:noProof/>
                <w:color w:val="003399" w:themeColor="text2"/>
                <w:sz w:val="22"/>
              </w:rPr>
              <w:t>2. Compétitivité, prospérité et sécurité</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059E462D" w14:textId="1107F4AF"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14,8</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23F6EB24" w14:textId="794296E4"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40,6</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52A77FCC" w14:textId="0AA3A750"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57,4</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7EDE8607" w14:textId="43564C8D"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68,8</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39C8C157" w14:textId="60C3A8AB"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73,1</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65ADF7C0" w14:textId="4D2A9418"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82,9</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22A79819" w14:textId="75802CBD"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86,2</w:t>
            </w:r>
          </w:p>
        </w:tc>
        <w:tc>
          <w:tcPr>
            <w:tcW w:w="513" w:type="pct"/>
            <w:tcBorders>
              <w:top w:val="nil"/>
              <w:left w:val="nil"/>
              <w:bottom w:val="single" w:sz="8" w:space="0" w:color="BFBFBF" w:themeColor="background1" w:themeShade="BF"/>
              <w:right w:val="nil"/>
            </w:tcBorders>
            <w:shd w:val="clear" w:color="auto" w:fill="F3F7FF" w:themeFill="background2"/>
            <w:vAlign w:val="center"/>
          </w:tcPr>
          <w:p w14:paraId="5E067616" w14:textId="303018A5"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sz w:val="22"/>
                <w:szCs w:val="22"/>
              </w:rPr>
            </w:pPr>
            <w:r w:rsidRPr="002948ED">
              <w:rPr>
                <w:rFonts w:asciiTheme="minorHAnsi" w:hAnsiTheme="minorHAnsi"/>
                <w:b/>
                <w:noProof/>
                <w:color w:val="000000" w:themeColor="text1"/>
                <w:sz w:val="22"/>
              </w:rPr>
              <w:t>423,7</w:t>
            </w:r>
          </w:p>
        </w:tc>
      </w:tr>
      <w:tr w:rsidR="006615F6" w:rsidRPr="002948ED" w14:paraId="36FAE15F" w14:textId="77777777" w:rsidTr="00BA6CD0">
        <w:trPr>
          <w:trHeight w:val="300"/>
        </w:trPr>
        <w:tc>
          <w:tcPr>
            <w:cnfStyle w:val="001000000000" w:firstRow="0" w:lastRow="0" w:firstColumn="1" w:lastColumn="0" w:oddVBand="0" w:evenVBand="0" w:oddHBand="0" w:evenHBand="0" w:firstRowFirstColumn="0" w:firstRowLastColumn="0" w:lastRowFirstColumn="0" w:lastRowLastColumn="0"/>
            <w:tcW w:w="1372" w:type="pct"/>
            <w:tcBorders>
              <w:top w:val="nil"/>
              <w:left w:val="nil"/>
              <w:bottom w:val="single" w:sz="8" w:space="0" w:color="BFBFBF" w:themeColor="background1" w:themeShade="BF"/>
              <w:right w:val="single" w:sz="8" w:space="0" w:color="BFBFBF" w:themeColor="background1" w:themeShade="BF"/>
            </w:tcBorders>
            <w:vAlign w:val="center"/>
          </w:tcPr>
          <w:p w14:paraId="0FA9E0FB" w14:textId="1AD982A4" w:rsidR="00AD7836" w:rsidRPr="002948ED" w:rsidRDefault="00D70476" w:rsidP="00AD7836">
            <w:pPr>
              <w:spacing w:after="120"/>
              <w:rPr>
                <w:rFonts w:asciiTheme="minorHAnsi" w:eastAsia="Calibri" w:hAnsiTheme="minorHAnsi"/>
                <w:noProof/>
                <w:color w:val="003399" w:themeColor="text2"/>
                <w:sz w:val="22"/>
                <w:szCs w:val="18"/>
              </w:rPr>
            </w:pPr>
            <w:r w:rsidRPr="002948ED">
              <w:rPr>
                <w:rFonts w:asciiTheme="minorHAnsi" w:hAnsiTheme="minorHAnsi"/>
                <w:noProof/>
                <w:color w:val="003399" w:themeColor="text2"/>
                <w:sz w:val="22"/>
              </w:rPr>
              <w:t>3. L’Europe dans le monde</w:t>
            </w:r>
          </w:p>
        </w:tc>
        <w:tc>
          <w:tcPr>
            <w:tcW w:w="445" w:type="pct"/>
            <w:tcBorders>
              <w:top w:val="nil"/>
              <w:left w:val="nil"/>
              <w:bottom w:val="single" w:sz="8" w:space="0" w:color="BFBFBF" w:themeColor="background1" w:themeShade="BF"/>
              <w:right w:val="single" w:sz="8" w:space="0" w:color="BFBFBF" w:themeColor="background1" w:themeShade="BF"/>
            </w:tcBorders>
            <w:vAlign w:val="center"/>
          </w:tcPr>
          <w:p w14:paraId="4B251408" w14:textId="51414E90"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4,8</w:t>
            </w:r>
          </w:p>
        </w:tc>
        <w:tc>
          <w:tcPr>
            <w:tcW w:w="445" w:type="pct"/>
            <w:tcBorders>
              <w:top w:val="nil"/>
              <w:left w:val="nil"/>
              <w:bottom w:val="single" w:sz="8" w:space="0" w:color="BFBFBF" w:themeColor="background1" w:themeShade="BF"/>
              <w:right w:val="single" w:sz="8" w:space="0" w:color="BFBFBF" w:themeColor="background1" w:themeShade="BF"/>
            </w:tcBorders>
            <w:vAlign w:val="center"/>
          </w:tcPr>
          <w:p w14:paraId="687E55B1" w14:textId="516FC68C"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9,9</w:t>
            </w:r>
          </w:p>
        </w:tc>
        <w:tc>
          <w:tcPr>
            <w:tcW w:w="445" w:type="pct"/>
            <w:tcBorders>
              <w:top w:val="nil"/>
              <w:left w:val="nil"/>
              <w:bottom w:val="single" w:sz="8" w:space="0" w:color="BFBFBF" w:themeColor="background1" w:themeShade="BF"/>
              <w:right w:val="single" w:sz="8" w:space="0" w:color="BFBFBF" w:themeColor="background1" w:themeShade="BF"/>
            </w:tcBorders>
            <w:vAlign w:val="center"/>
          </w:tcPr>
          <w:p w14:paraId="51AA4F86" w14:textId="4820D9B4"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14,6</w:t>
            </w:r>
          </w:p>
        </w:tc>
        <w:tc>
          <w:tcPr>
            <w:tcW w:w="445" w:type="pct"/>
            <w:tcBorders>
              <w:top w:val="nil"/>
              <w:left w:val="nil"/>
              <w:bottom w:val="single" w:sz="8" w:space="0" w:color="BFBFBF" w:themeColor="background1" w:themeShade="BF"/>
              <w:right w:val="single" w:sz="8" w:space="0" w:color="BFBFBF" w:themeColor="background1" w:themeShade="BF"/>
            </w:tcBorders>
            <w:vAlign w:val="center"/>
          </w:tcPr>
          <w:p w14:paraId="0DB9BAEC" w14:textId="2F4C96FF"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19,6</w:t>
            </w:r>
          </w:p>
        </w:tc>
        <w:tc>
          <w:tcPr>
            <w:tcW w:w="445" w:type="pct"/>
            <w:tcBorders>
              <w:top w:val="nil"/>
              <w:left w:val="nil"/>
              <w:bottom w:val="single" w:sz="8" w:space="0" w:color="BFBFBF" w:themeColor="background1" w:themeShade="BF"/>
              <w:right w:val="single" w:sz="8" w:space="0" w:color="BFBFBF" w:themeColor="background1" w:themeShade="BF"/>
            </w:tcBorders>
            <w:vAlign w:val="center"/>
          </w:tcPr>
          <w:p w14:paraId="2944B126" w14:textId="28498EDA"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24,8</w:t>
            </w:r>
          </w:p>
        </w:tc>
        <w:tc>
          <w:tcPr>
            <w:tcW w:w="445" w:type="pct"/>
            <w:tcBorders>
              <w:top w:val="nil"/>
              <w:left w:val="nil"/>
              <w:bottom w:val="single" w:sz="8" w:space="0" w:color="BFBFBF" w:themeColor="background1" w:themeShade="BF"/>
              <w:right w:val="single" w:sz="8" w:space="0" w:color="BFBFBF" w:themeColor="background1" w:themeShade="BF"/>
            </w:tcBorders>
            <w:vAlign w:val="center"/>
          </w:tcPr>
          <w:p w14:paraId="4B4CC83C" w14:textId="28FA0F59"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28,9</w:t>
            </w:r>
          </w:p>
        </w:tc>
        <w:tc>
          <w:tcPr>
            <w:tcW w:w="445" w:type="pct"/>
            <w:tcBorders>
              <w:top w:val="nil"/>
              <w:left w:val="nil"/>
              <w:bottom w:val="single" w:sz="8" w:space="0" w:color="BFBFBF" w:themeColor="background1" w:themeShade="BF"/>
              <w:right w:val="single" w:sz="8" w:space="0" w:color="BFBFBF" w:themeColor="background1" w:themeShade="BF"/>
            </w:tcBorders>
            <w:vAlign w:val="center"/>
          </w:tcPr>
          <w:p w14:paraId="13C3D082" w14:textId="1C2B8E1E"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32,3</w:t>
            </w:r>
          </w:p>
        </w:tc>
        <w:tc>
          <w:tcPr>
            <w:tcW w:w="513" w:type="pct"/>
            <w:tcBorders>
              <w:top w:val="nil"/>
              <w:left w:val="nil"/>
              <w:bottom w:val="single" w:sz="8" w:space="0" w:color="BFBFBF" w:themeColor="background1" w:themeShade="BF"/>
              <w:right w:val="nil"/>
            </w:tcBorders>
            <w:vAlign w:val="center"/>
          </w:tcPr>
          <w:p w14:paraId="5BAA7FEF" w14:textId="402E47BC"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sz w:val="22"/>
                <w:szCs w:val="22"/>
              </w:rPr>
            </w:pPr>
            <w:r w:rsidRPr="002948ED">
              <w:rPr>
                <w:rFonts w:asciiTheme="minorHAnsi" w:hAnsiTheme="minorHAnsi"/>
                <w:b/>
                <w:noProof/>
                <w:color w:val="000000" w:themeColor="text1"/>
                <w:sz w:val="22"/>
              </w:rPr>
              <w:t>134,8</w:t>
            </w:r>
          </w:p>
        </w:tc>
      </w:tr>
      <w:tr w:rsidR="00EA6749" w:rsidRPr="002948ED" w14:paraId="29241786" w14:textId="77777777" w:rsidTr="00EA6749">
        <w:trPr>
          <w:trHeight w:val="300"/>
        </w:trPr>
        <w:tc>
          <w:tcPr>
            <w:cnfStyle w:val="001000000000" w:firstRow="0" w:lastRow="0" w:firstColumn="1" w:lastColumn="0" w:oddVBand="0" w:evenVBand="0" w:oddHBand="0" w:evenHBand="0" w:firstRowFirstColumn="0" w:firstRowLastColumn="0" w:lastRowFirstColumn="0" w:lastRowLastColumn="0"/>
            <w:tcW w:w="1372"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36E58E60" w14:textId="10DF6FF4" w:rsidR="00AD7836" w:rsidRPr="002948ED" w:rsidRDefault="00D70476" w:rsidP="00AD7836">
            <w:pPr>
              <w:spacing w:after="120"/>
              <w:rPr>
                <w:rFonts w:asciiTheme="minorHAnsi" w:eastAsia="Calibri" w:hAnsiTheme="minorHAnsi"/>
                <w:noProof/>
                <w:color w:val="003399" w:themeColor="text2"/>
                <w:sz w:val="22"/>
                <w:szCs w:val="18"/>
              </w:rPr>
            </w:pPr>
            <w:r w:rsidRPr="002948ED">
              <w:rPr>
                <w:rFonts w:asciiTheme="minorHAnsi" w:hAnsiTheme="minorHAnsi"/>
                <w:noProof/>
                <w:color w:val="003399" w:themeColor="text2"/>
                <w:sz w:val="22"/>
              </w:rPr>
              <w:t>4. Mode de gestion</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020DCA6E" w14:textId="4DF7E4FF"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14,9</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661B7C88" w14:textId="3A18EB25"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15,6</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47854B72" w14:textId="6901C27B"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16,3</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5FAC1D51" w14:textId="038ED2F0"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b/>
                <w:noProof/>
                <w:color w:val="003399" w:themeColor="text2"/>
              </w:rPr>
              <w:t>16,9</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68EDA283" w14:textId="193EE408"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17,5</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7F805F9E" w14:textId="1CBECC24"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18,1</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1A3D5111" w14:textId="5EAA549F"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948ED">
              <w:rPr>
                <w:rFonts w:asciiTheme="minorHAnsi" w:hAnsiTheme="minorHAnsi"/>
                <w:b/>
                <w:noProof/>
                <w:color w:val="003399" w:themeColor="text2"/>
              </w:rPr>
              <w:t>18,7</w:t>
            </w:r>
          </w:p>
        </w:tc>
        <w:tc>
          <w:tcPr>
            <w:tcW w:w="513" w:type="pct"/>
            <w:tcBorders>
              <w:top w:val="nil"/>
              <w:left w:val="nil"/>
              <w:bottom w:val="single" w:sz="8" w:space="0" w:color="BFBFBF" w:themeColor="background1" w:themeShade="BF"/>
              <w:right w:val="nil"/>
            </w:tcBorders>
            <w:shd w:val="clear" w:color="auto" w:fill="F3F7FF" w:themeFill="background2"/>
            <w:vAlign w:val="center"/>
          </w:tcPr>
          <w:p w14:paraId="7AE11D0B" w14:textId="4A82D050"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sz w:val="22"/>
                <w:szCs w:val="22"/>
              </w:rPr>
            </w:pPr>
            <w:r w:rsidRPr="002948ED">
              <w:rPr>
                <w:rFonts w:asciiTheme="minorHAnsi" w:hAnsiTheme="minorHAnsi"/>
                <w:b/>
                <w:noProof/>
                <w:color w:val="000000" w:themeColor="text1"/>
                <w:sz w:val="22"/>
              </w:rPr>
              <w:t>117,9</w:t>
            </w:r>
          </w:p>
        </w:tc>
      </w:tr>
      <w:tr w:rsidR="00BA6CD0" w:rsidRPr="002948ED" w14:paraId="0CF4FFF7" w14:textId="77777777" w:rsidTr="00BA6CD0">
        <w:trPr>
          <w:trHeight w:val="465"/>
        </w:trPr>
        <w:tc>
          <w:tcPr>
            <w:cnfStyle w:val="001000000000" w:firstRow="0" w:lastRow="0" w:firstColumn="1" w:lastColumn="0" w:oddVBand="0" w:evenVBand="0" w:oddHBand="0" w:evenHBand="0" w:firstRowFirstColumn="0" w:firstRowLastColumn="0" w:lastRowFirstColumn="0" w:lastRowLastColumn="0"/>
            <w:tcW w:w="1372" w:type="pct"/>
            <w:shd w:val="clear" w:color="auto" w:fill="D9D9D9" w:themeFill="background1" w:themeFillShade="D9"/>
          </w:tcPr>
          <w:p w14:paraId="2F67CD7E" w14:textId="77777777" w:rsidR="00AD7836" w:rsidRPr="002948ED" w:rsidRDefault="00AD7836" w:rsidP="00AD7836">
            <w:pPr>
              <w:spacing w:after="120"/>
              <w:rPr>
                <w:rFonts w:asciiTheme="minorHAnsi" w:eastAsia="Calibri" w:hAnsiTheme="minorHAnsi"/>
                <w:noProof/>
                <w:color w:val="000000" w:themeColor="text1"/>
                <w:sz w:val="22"/>
                <w:szCs w:val="18"/>
              </w:rPr>
            </w:pPr>
            <w:r w:rsidRPr="002948ED">
              <w:rPr>
                <w:rFonts w:asciiTheme="minorHAnsi" w:hAnsiTheme="minorHAnsi"/>
                <w:noProof/>
                <w:color w:val="000000" w:themeColor="text1"/>
                <w:sz w:val="22"/>
              </w:rPr>
              <w:t>Total</w:t>
            </w:r>
          </w:p>
        </w:tc>
        <w:tc>
          <w:tcPr>
            <w:tcW w:w="445" w:type="pct"/>
            <w:tcBorders>
              <w:top w:val="nil"/>
              <w:left w:val="nil"/>
              <w:bottom w:val="nil"/>
              <w:right w:val="single" w:sz="8" w:space="0" w:color="BFBFBF" w:themeColor="background1" w:themeShade="BF"/>
            </w:tcBorders>
            <w:shd w:val="clear" w:color="auto" w:fill="D9D9D9" w:themeFill="background1" w:themeFillShade="D9"/>
            <w:vAlign w:val="center"/>
          </w:tcPr>
          <w:p w14:paraId="79463CB4" w14:textId="12373A49"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142,6</w:t>
            </w:r>
          </w:p>
        </w:tc>
        <w:tc>
          <w:tcPr>
            <w:tcW w:w="445" w:type="pct"/>
            <w:tcBorders>
              <w:top w:val="nil"/>
              <w:left w:val="nil"/>
              <w:bottom w:val="nil"/>
              <w:right w:val="single" w:sz="8" w:space="0" w:color="BFBFBF" w:themeColor="background1" w:themeShade="BF"/>
            </w:tcBorders>
            <w:shd w:val="clear" w:color="auto" w:fill="D9D9D9" w:themeFill="background1" w:themeFillShade="D9"/>
            <w:vAlign w:val="center"/>
          </w:tcPr>
          <w:p w14:paraId="1693C525" w14:textId="6BC3C667"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188,7</w:t>
            </w:r>
          </w:p>
        </w:tc>
        <w:tc>
          <w:tcPr>
            <w:tcW w:w="445" w:type="pct"/>
            <w:tcBorders>
              <w:top w:val="nil"/>
              <w:left w:val="nil"/>
              <w:bottom w:val="nil"/>
              <w:right w:val="single" w:sz="8" w:space="0" w:color="BFBFBF" w:themeColor="background1" w:themeShade="BF"/>
            </w:tcBorders>
            <w:shd w:val="clear" w:color="auto" w:fill="D9D9D9" w:themeFill="background1" w:themeFillShade="D9"/>
            <w:vAlign w:val="center"/>
          </w:tcPr>
          <w:p w14:paraId="3DFEEABE" w14:textId="509F4CFC"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239,0</w:t>
            </w:r>
          </w:p>
        </w:tc>
        <w:tc>
          <w:tcPr>
            <w:tcW w:w="445" w:type="pct"/>
            <w:tcBorders>
              <w:top w:val="nil"/>
              <w:left w:val="nil"/>
              <w:bottom w:val="nil"/>
              <w:right w:val="single" w:sz="8" w:space="0" w:color="BFBFBF" w:themeColor="background1" w:themeShade="BF"/>
            </w:tcBorders>
            <w:shd w:val="clear" w:color="auto" w:fill="D9D9D9" w:themeFill="background1" w:themeFillShade="D9"/>
            <w:vAlign w:val="center"/>
          </w:tcPr>
          <w:p w14:paraId="77804DBE" w14:textId="0A594B39"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256,0</w:t>
            </w:r>
          </w:p>
        </w:tc>
        <w:tc>
          <w:tcPr>
            <w:tcW w:w="445" w:type="pct"/>
            <w:tcBorders>
              <w:top w:val="nil"/>
              <w:left w:val="nil"/>
              <w:bottom w:val="nil"/>
              <w:right w:val="single" w:sz="8" w:space="0" w:color="BFBFBF" w:themeColor="background1" w:themeShade="BF"/>
            </w:tcBorders>
            <w:shd w:val="clear" w:color="auto" w:fill="D9D9D9" w:themeFill="background1" w:themeFillShade="D9"/>
            <w:vAlign w:val="center"/>
          </w:tcPr>
          <w:p w14:paraId="1033603F" w14:textId="1EA77DDC"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273,2</w:t>
            </w:r>
          </w:p>
        </w:tc>
        <w:tc>
          <w:tcPr>
            <w:tcW w:w="445" w:type="pct"/>
            <w:tcBorders>
              <w:top w:val="nil"/>
              <w:left w:val="nil"/>
              <w:bottom w:val="nil"/>
              <w:right w:val="single" w:sz="8" w:space="0" w:color="BFBFBF" w:themeColor="background1" w:themeShade="BF"/>
            </w:tcBorders>
            <w:shd w:val="clear" w:color="auto" w:fill="D9D9D9" w:themeFill="background1" w:themeFillShade="D9"/>
            <w:vAlign w:val="center"/>
          </w:tcPr>
          <w:p w14:paraId="1E000BDC" w14:textId="1A942496"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274,1</w:t>
            </w:r>
          </w:p>
        </w:tc>
        <w:tc>
          <w:tcPr>
            <w:tcW w:w="445" w:type="pct"/>
            <w:tcBorders>
              <w:top w:val="nil"/>
              <w:left w:val="nil"/>
              <w:bottom w:val="nil"/>
              <w:right w:val="single" w:sz="8" w:space="0" w:color="BFBFBF" w:themeColor="background1" w:themeShade="BF"/>
            </w:tcBorders>
            <w:shd w:val="clear" w:color="auto" w:fill="D9D9D9" w:themeFill="background1" w:themeFillShade="D9"/>
            <w:vAlign w:val="center"/>
          </w:tcPr>
          <w:p w14:paraId="403A5A2A" w14:textId="404C42CB"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267,5</w:t>
            </w:r>
          </w:p>
        </w:tc>
        <w:tc>
          <w:tcPr>
            <w:tcW w:w="513" w:type="pct"/>
            <w:tcBorders>
              <w:top w:val="nil"/>
              <w:left w:val="nil"/>
              <w:bottom w:val="nil"/>
              <w:right w:val="nil"/>
            </w:tcBorders>
            <w:shd w:val="clear" w:color="auto" w:fill="D9D9D9" w:themeFill="background1" w:themeFillShade="D9"/>
            <w:vAlign w:val="center"/>
          </w:tcPr>
          <w:p w14:paraId="02D3A887" w14:textId="2E1CFBE1" w:rsidR="00AD7836" w:rsidRPr="002948ED"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sz w:val="22"/>
                <w:szCs w:val="22"/>
              </w:rPr>
            </w:pPr>
            <w:r w:rsidRPr="002948ED">
              <w:rPr>
                <w:rFonts w:asciiTheme="minorHAnsi" w:hAnsiTheme="minorHAnsi"/>
                <w:b/>
                <w:noProof/>
                <w:color w:val="000000" w:themeColor="text1"/>
                <w:sz w:val="22"/>
              </w:rPr>
              <w:t>1 641,0</w:t>
            </w:r>
          </w:p>
        </w:tc>
      </w:tr>
    </w:tbl>
    <w:p w14:paraId="623DAEEA" w14:textId="77777777" w:rsidR="00AD7836" w:rsidRPr="002948ED" w:rsidRDefault="00AD7836" w:rsidP="00682537">
      <w:pPr>
        <w:rPr>
          <w:rFonts w:asciiTheme="majorHAnsi" w:hAnsiTheme="majorHAnsi"/>
          <w:noProof/>
        </w:rPr>
        <w:sectPr w:rsidR="00AD7836" w:rsidRPr="002948ED">
          <w:headerReference w:type="default" r:id="rId34"/>
          <w:footerReference w:type="default" r:id="rId35"/>
          <w:pgSz w:w="11906" w:h="16838"/>
          <w:pgMar w:top="1321" w:right="1151" w:bottom="1440" w:left="1151" w:header="720" w:footer="720" w:gutter="0"/>
          <w:cols w:space="720"/>
          <w:docGrid w:linePitch="326"/>
        </w:sectPr>
      </w:pPr>
    </w:p>
    <w:p w14:paraId="45547C87" w14:textId="654860A7" w:rsidR="00861C1C" w:rsidRPr="002948ED" w:rsidRDefault="2A67BF04" w:rsidP="009C6708">
      <w:pPr>
        <w:pStyle w:val="Heading2"/>
        <w:rPr>
          <w:rFonts w:asciiTheme="majorHAnsi" w:hAnsiTheme="majorHAnsi"/>
          <w:noProof/>
        </w:rPr>
      </w:pPr>
      <w:bookmarkStart w:id="84" w:name="_Toc235786445"/>
      <w:r w:rsidRPr="002948ED">
        <w:rPr>
          <w:rFonts w:asciiTheme="majorHAnsi" w:hAnsiTheme="majorHAnsi"/>
          <w:noProof/>
        </w:rPr>
        <w:t>Tableau 2 — Dégagements prévus pour la période 2027-2034</w:t>
      </w:r>
      <w:bookmarkEnd w:id="84"/>
    </w:p>
    <w:tbl>
      <w:tblPr>
        <w:tblStyle w:val="AMPR2021"/>
        <w:tblW w:w="0" w:type="auto"/>
        <w:tblBorders>
          <w:top w:val="none" w:sz="0" w:space="0" w:color="auto"/>
          <w:insideH w:val="single" w:sz="6" w:space="0" w:color="BFBFBF" w:themeColor="background1" w:themeShade="BF"/>
          <w:insideV w:val="single" w:sz="6" w:space="0" w:color="BFBFBF" w:themeColor="background1" w:themeShade="BF"/>
        </w:tblBorders>
        <w:tblLayout w:type="fixed"/>
        <w:tblLook w:val="06A0" w:firstRow="1" w:lastRow="0" w:firstColumn="1" w:lastColumn="0" w:noHBand="1" w:noVBand="1"/>
      </w:tblPr>
      <w:tblGrid>
        <w:gridCol w:w="5102"/>
        <w:gridCol w:w="1549"/>
        <w:gridCol w:w="1549"/>
        <w:gridCol w:w="1549"/>
      </w:tblGrid>
      <w:tr w:rsidR="00861C1C" w:rsidRPr="002948ED" w14:paraId="0C5AD426" w14:textId="77777777" w:rsidTr="008729D0">
        <w:trPr>
          <w:cnfStyle w:val="100000000000" w:firstRow="1" w:lastRow="0" w:firstColumn="0" w:lastColumn="0" w:oddVBand="0" w:evenVBand="0" w:oddHBand="0"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5102" w:type="dxa"/>
          </w:tcPr>
          <w:p w14:paraId="553A200F" w14:textId="77777777" w:rsidR="00861C1C" w:rsidRPr="002948ED" w:rsidRDefault="003B6DC2">
            <w:pPr>
              <w:rPr>
                <w:rFonts w:asciiTheme="minorHAnsi" w:eastAsia="Calibri" w:hAnsiTheme="minorHAnsi"/>
                <w:b w:val="0"/>
                <w:noProof/>
                <w:sz w:val="22"/>
                <w:szCs w:val="22"/>
              </w:rPr>
            </w:pPr>
            <w:r w:rsidRPr="002948ED">
              <w:rPr>
                <w:rFonts w:asciiTheme="minorHAnsi" w:hAnsiTheme="minorHAnsi"/>
                <w:noProof/>
                <w:sz w:val="22"/>
              </w:rPr>
              <w:t>Rubrique du CFP</w:t>
            </w:r>
          </w:p>
        </w:tc>
        <w:tc>
          <w:tcPr>
            <w:tcW w:w="1549" w:type="dxa"/>
          </w:tcPr>
          <w:p w14:paraId="31ECB132" w14:textId="77777777" w:rsidR="00861C1C" w:rsidRPr="002948ED" w:rsidRDefault="003B6DC2">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2948ED">
              <w:rPr>
                <w:rFonts w:asciiTheme="minorHAnsi" w:hAnsiTheme="minorHAnsi"/>
                <w:noProof/>
                <w:sz w:val="22"/>
              </w:rPr>
              <w:t>Achèvement</w:t>
            </w:r>
          </w:p>
        </w:tc>
        <w:tc>
          <w:tcPr>
            <w:tcW w:w="1549" w:type="dxa"/>
          </w:tcPr>
          <w:p w14:paraId="6056AB85" w14:textId="189A7005" w:rsidR="00861C1C" w:rsidRPr="002948ED" w:rsidRDefault="003B6DC2">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2948ED">
              <w:rPr>
                <w:rFonts w:asciiTheme="minorHAnsi" w:hAnsiTheme="minorHAnsi"/>
                <w:noProof/>
                <w:sz w:val="22"/>
              </w:rPr>
              <w:t>CFP 2021-2027</w:t>
            </w:r>
          </w:p>
        </w:tc>
        <w:tc>
          <w:tcPr>
            <w:tcW w:w="1549" w:type="dxa"/>
          </w:tcPr>
          <w:p w14:paraId="77FEFDC8" w14:textId="77777777" w:rsidR="00861C1C" w:rsidRPr="002948ED" w:rsidRDefault="003B6DC2">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2948ED">
              <w:rPr>
                <w:rFonts w:asciiTheme="minorHAnsi" w:hAnsiTheme="minorHAnsi"/>
                <w:noProof/>
                <w:sz w:val="22"/>
              </w:rPr>
              <w:t>Total</w:t>
            </w:r>
          </w:p>
        </w:tc>
      </w:tr>
      <w:tr w:rsidR="00CD66D5" w:rsidRPr="002948ED" w14:paraId="29CAC9CD" w14:textId="77777777" w:rsidTr="008729D0">
        <w:trPr>
          <w:trHeight w:val="300"/>
        </w:trPr>
        <w:tc>
          <w:tcPr>
            <w:cnfStyle w:val="001000000000" w:firstRow="0" w:lastRow="0" w:firstColumn="1" w:lastColumn="0" w:oddVBand="0" w:evenVBand="0" w:oddHBand="0" w:evenHBand="0" w:firstRowFirstColumn="0" w:firstRowLastColumn="0" w:lastRowFirstColumn="0" w:lastRowLastColumn="0"/>
            <w:tcW w:w="5102" w:type="dxa"/>
          </w:tcPr>
          <w:p w14:paraId="13897E43" w14:textId="77777777" w:rsidR="00861C1C" w:rsidRPr="002948ED" w:rsidRDefault="003B6DC2">
            <w:pPr>
              <w:spacing w:after="120"/>
              <w:rPr>
                <w:rFonts w:asciiTheme="minorHAnsi" w:eastAsia="Calibri" w:hAnsiTheme="minorHAnsi"/>
                <w:b w:val="0"/>
                <w:noProof/>
                <w:color w:val="003399" w:themeColor="text2"/>
                <w:sz w:val="22"/>
                <w:szCs w:val="22"/>
              </w:rPr>
            </w:pPr>
            <w:r w:rsidRPr="002948ED">
              <w:rPr>
                <w:rFonts w:asciiTheme="minorHAnsi" w:hAnsiTheme="minorHAnsi"/>
                <w:noProof/>
                <w:color w:val="003399" w:themeColor="text2"/>
                <w:sz w:val="22"/>
              </w:rPr>
              <w:t>1 Marché unique, innovation et numérique</w:t>
            </w:r>
          </w:p>
        </w:tc>
        <w:tc>
          <w:tcPr>
            <w:tcW w:w="1549" w:type="dxa"/>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1CBD9C9F" w14:textId="00034450" w:rsidR="00861C1C" w:rsidRPr="002948ED" w:rsidRDefault="00E5778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1,1</w:t>
            </w:r>
          </w:p>
        </w:tc>
        <w:tc>
          <w:tcPr>
            <w:tcW w:w="1549" w:type="dxa"/>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312E2FCB" w14:textId="082BF4E2" w:rsidR="00861C1C" w:rsidRPr="002948ED" w:rsidRDefault="00FC22F0"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1,3</w:t>
            </w:r>
          </w:p>
        </w:tc>
        <w:tc>
          <w:tcPr>
            <w:tcW w:w="1549" w:type="dxa"/>
            <w:tcBorders>
              <w:top w:val="single" w:sz="8" w:space="0" w:color="BFBFBF" w:themeColor="background1" w:themeShade="BF"/>
              <w:left w:val="nil"/>
              <w:bottom w:val="single" w:sz="8" w:space="0" w:color="BFBFBF" w:themeColor="background1" w:themeShade="BF"/>
              <w:right w:val="nil"/>
            </w:tcBorders>
            <w:vAlign w:val="center"/>
          </w:tcPr>
          <w:p w14:paraId="53EC42C8" w14:textId="7A5B08BB" w:rsidR="00861C1C" w:rsidRPr="002948ED" w:rsidRDefault="00FC22F0"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2,4</w:t>
            </w:r>
          </w:p>
        </w:tc>
      </w:tr>
      <w:tr w:rsidR="00CD66D5" w:rsidRPr="002948ED" w14:paraId="0B3921F3" w14:textId="77777777" w:rsidTr="008729D0">
        <w:trPr>
          <w:trHeight w:val="300"/>
        </w:trPr>
        <w:tc>
          <w:tcPr>
            <w:cnfStyle w:val="001000000000" w:firstRow="0" w:lastRow="0" w:firstColumn="1" w:lastColumn="0" w:oddVBand="0" w:evenVBand="0" w:oddHBand="0" w:evenHBand="0" w:firstRowFirstColumn="0" w:firstRowLastColumn="0" w:lastRowFirstColumn="0" w:lastRowLastColumn="0"/>
            <w:tcW w:w="5102" w:type="dxa"/>
            <w:shd w:val="clear" w:color="auto" w:fill="F3F7FF" w:themeFill="background2"/>
          </w:tcPr>
          <w:p w14:paraId="63AC7A76" w14:textId="77777777" w:rsidR="00861C1C" w:rsidRPr="002948ED" w:rsidRDefault="003B6DC2">
            <w:pPr>
              <w:spacing w:after="120"/>
              <w:rPr>
                <w:rFonts w:asciiTheme="minorHAnsi" w:eastAsia="Calibri" w:hAnsiTheme="minorHAnsi"/>
                <w:b w:val="0"/>
                <w:noProof/>
                <w:color w:val="003399" w:themeColor="text2"/>
                <w:sz w:val="22"/>
                <w:szCs w:val="22"/>
              </w:rPr>
            </w:pPr>
            <w:r w:rsidRPr="002948ED">
              <w:rPr>
                <w:rFonts w:asciiTheme="minorHAnsi" w:hAnsiTheme="minorHAnsi"/>
                <w:noProof/>
                <w:color w:val="003399" w:themeColor="text2"/>
                <w:sz w:val="22"/>
              </w:rPr>
              <w:t>2 Cohésion, résilience et valeurs</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6AE2FB86" w14:textId="62741B95" w:rsidR="00861C1C" w:rsidRPr="002948ED" w:rsidRDefault="00C60750"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1,7</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20D82AC9" w14:textId="7AE74167" w:rsidR="00861C1C" w:rsidRPr="002948ED" w:rsidRDefault="00185A87"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1,3</w:t>
            </w:r>
          </w:p>
        </w:tc>
        <w:tc>
          <w:tcPr>
            <w:tcW w:w="1549" w:type="dxa"/>
            <w:tcBorders>
              <w:top w:val="nil"/>
              <w:left w:val="nil"/>
              <w:bottom w:val="single" w:sz="8" w:space="0" w:color="BFBFBF" w:themeColor="background1" w:themeShade="BF"/>
              <w:right w:val="nil"/>
            </w:tcBorders>
            <w:shd w:val="clear" w:color="auto" w:fill="F3F7FF" w:themeFill="background2"/>
            <w:vAlign w:val="center"/>
          </w:tcPr>
          <w:p w14:paraId="1FEE121A" w14:textId="03CB6E77" w:rsidR="00861C1C" w:rsidRPr="002948ED" w:rsidRDefault="00D628BC"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2,9</w:t>
            </w:r>
          </w:p>
        </w:tc>
      </w:tr>
      <w:tr w:rsidR="00CD66D5" w:rsidRPr="002948ED" w14:paraId="321D33B5" w14:textId="77777777" w:rsidTr="008729D0">
        <w:trPr>
          <w:trHeight w:val="300"/>
        </w:trPr>
        <w:tc>
          <w:tcPr>
            <w:cnfStyle w:val="001000000000" w:firstRow="0" w:lastRow="0" w:firstColumn="1" w:lastColumn="0" w:oddVBand="0" w:evenVBand="0" w:oddHBand="0" w:evenHBand="0" w:firstRowFirstColumn="0" w:firstRowLastColumn="0" w:lastRowFirstColumn="0" w:lastRowLastColumn="0"/>
            <w:tcW w:w="5102" w:type="dxa"/>
            <w:shd w:val="clear" w:color="auto" w:fill="F3F7FF" w:themeFill="background2"/>
          </w:tcPr>
          <w:p w14:paraId="29D82B17" w14:textId="77777777" w:rsidR="00861C1C" w:rsidRPr="002948ED" w:rsidRDefault="2A67BF04" w:rsidP="00CD66D5">
            <w:pPr>
              <w:spacing w:after="120"/>
              <w:ind w:left="170"/>
              <w:rPr>
                <w:rFonts w:asciiTheme="minorHAnsi" w:eastAsia="Calibri" w:hAnsiTheme="minorHAnsi"/>
                <w:b w:val="0"/>
                <w:bCs/>
                <w:noProof/>
                <w:color w:val="003399" w:themeColor="text2"/>
                <w:sz w:val="22"/>
                <w:szCs w:val="22"/>
              </w:rPr>
            </w:pPr>
            <w:r w:rsidRPr="002948ED">
              <w:rPr>
                <w:rFonts w:asciiTheme="minorHAnsi" w:hAnsiTheme="minorHAnsi"/>
                <w:b w:val="0"/>
                <w:noProof/>
                <w:color w:val="003399" w:themeColor="text2"/>
                <w:sz w:val="22"/>
              </w:rPr>
              <w:t>2.1 Cohésion économique, sociale et territoriale</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64F9D397" w14:textId="25900A8D" w:rsidR="00861C1C" w:rsidRPr="002948ED" w:rsidRDefault="00FC22F0"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1,6</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5F373792" w14:textId="21F190ED" w:rsidR="00861C1C" w:rsidRPr="002948ED" w:rsidRDefault="00185A87"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0,4</w:t>
            </w:r>
          </w:p>
        </w:tc>
        <w:tc>
          <w:tcPr>
            <w:tcW w:w="1549" w:type="dxa"/>
            <w:tcBorders>
              <w:top w:val="nil"/>
              <w:left w:val="nil"/>
              <w:bottom w:val="single" w:sz="8" w:space="0" w:color="BFBFBF" w:themeColor="background1" w:themeShade="BF"/>
              <w:right w:val="nil"/>
            </w:tcBorders>
            <w:shd w:val="clear" w:color="auto" w:fill="F3F7FF" w:themeFill="background2"/>
            <w:vAlign w:val="center"/>
          </w:tcPr>
          <w:p w14:paraId="645BD592" w14:textId="4B51956F" w:rsidR="00861C1C" w:rsidRPr="002948ED" w:rsidRDefault="00FC22F0"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2,0</w:t>
            </w:r>
          </w:p>
        </w:tc>
      </w:tr>
      <w:tr w:rsidR="00CD66D5" w:rsidRPr="002948ED" w14:paraId="25BD1C8E" w14:textId="77777777" w:rsidTr="008729D0">
        <w:trPr>
          <w:trHeight w:val="300"/>
        </w:trPr>
        <w:tc>
          <w:tcPr>
            <w:cnfStyle w:val="001000000000" w:firstRow="0" w:lastRow="0" w:firstColumn="1" w:lastColumn="0" w:oddVBand="0" w:evenVBand="0" w:oddHBand="0" w:evenHBand="0" w:firstRowFirstColumn="0" w:firstRowLastColumn="0" w:lastRowFirstColumn="0" w:lastRowLastColumn="0"/>
            <w:tcW w:w="5102" w:type="dxa"/>
            <w:shd w:val="clear" w:color="auto" w:fill="F3F7FF" w:themeFill="background2"/>
          </w:tcPr>
          <w:p w14:paraId="25556F49" w14:textId="77777777" w:rsidR="00861C1C" w:rsidRPr="002948ED" w:rsidRDefault="003B6DC2" w:rsidP="00CD66D5">
            <w:pPr>
              <w:spacing w:after="120"/>
              <w:ind w:left="170"/>
              <w:rPr>
                <w:rFonts w:asciiTheme="minorHAnsi" w:eastAsia="Calibri" w:hAnsiTheme="minorHAnsi"/>
                <w:b w:val="0"/>
                <w:bCs/>
                <w:noProof/>
                <w:color w:val="003399" w:themeColor="text2"/>
                <w:sz w:val="22"/>
                <w:szCs w:val="22"/>
              </w:rPr>
            </w:pPr>
            <w:r w:rsidRPr="002948ED">
              <w:rPr>
                <w:rFonts w:asciiTheme="minorHAnsi" w:hAnsiTheme="minorHAnsi"/>
                <w:b w:val="0"/>
                <w:noProof/>
                <w:color w:val="003399" w:themeColor="text2"/>
                <w:sz w:val="22"/>
              </w:rPr>
              <w:t>2.2 Résilience et valeurs</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599B16C3" w14:textId="13DEAC27" w:rsidR="00861C1C" w:rsidRPr="002948ED" w:rsidRDefault="66545B3C"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0,1</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2DC52F7A" w14:textId="607F0C10" w:rsidR="00861C1C" w:rsidRPr="002948ED" w:rsidRDefault="00FC22F0"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rFonts w:asciiTheme="minorHAnsi" w:hAnsiTheme="minorHAnsi"/>
                <w:noProof/>
                <w:color w:val="003399" w:themeColor="text2"/>
              </w:rPr>
              <w:t>0,9</w:t>
            </w:r>
          </w:p>
        </w:tc>
        <w:tc>
          <w:tcPr>
            <w:tcW w:w="1549" w:type="dxa"/>
            <w:tcBorders>
              <w:top w:val="nil"/>
              <w:left w:val="nil"/>
              <w:bottom w:val="single" w:sz="8" w:space="0" w:color="BFBFBF" w:themeColor="background1" w:themeShade="BF"/>
              <w:right w:val="nil"/>
            </w:tcBorders>
            <w:shd w:val="clear" w:color="auto" w:fill="F3F7FF" w:themeFill="background2"/>
            <w:vAlign w:val="center"/>
          </w:tcPr>
          <w:p w14:paraId="00BB1FBC" w14:textId="70050186" w:rsidR="00861C1C" w:rsidRPr="002948ED" w:rsidRDefault="00D628BC"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0,9</w:t>
            </w:r>
          </w:p>
        </w:tc>
      </w:tr>
      <w:tr w:rsidR="00804C3F" w:rsidRPr="002948ED" w14:paraId="2589BF42" w14:textId="77777777" w:rsidTr="00A81408">
        <w:trPr>
          <w:trHeight w:val="300"/>
        </w:trPr>
        <w:tc>
          <w:tcPr>
            <w:cnfStyle w:val="001000000000" w:firstRow="0" w:lastRow="0" w:firstColumn="1" w:lastColumn="0" w:oddVBand="0" w:evenVBand="0" w:oddHBand="0" w:evenHBand="0" w:firstRowFirstColumn="0" w:firstRowLastColumn="0" w:lastRowFirstColumn="0" w:lastRowLastColumn="0"/>
            <w:tcW w:w="5102" w:type="dxa"/>
          </w:tcPr>
          <w:p w14:paraId="62FD4256" w14:textId="05BD9379" w:rsidR="008729D0" w:rsidRPr="002948ED" w:rsidRDefault="008729D0" w:rsidP="008729D0">
            <w:pPr>
              <w:spacing w:after="120"/>
              <w:rPr>
                <w:rFonts w:asciiTheme="minorHAnsi" w:eastAsia="Calibri" w:hAnsiTheme="minorHAnsi"/>
                <w:b w:val="0"/>
                <w:noProof/>
                <w:color w:val="003399" w:themeColor="text2"/>
                <w:sz w:val="22"/>
                <w:szCs w:val="22"/>
              </w:rPr>
            </w:pPr>
            <w:r w:rsidRPr="002948ED">
              <w:rPr>
                <w:rFonts w:asciiTheme="minorHAnsi" w:hAnsiTheme="minorHAnsi"/>
                <w:noProof/>
                <w:color w:val="003399" w:themeColor="text2"/>
                <w:sz w:val="22"/>
              </w:rPr>
              <w:t>3 Ressources naturelles et environnement</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28E6BEEA" w14:textId="14EF637D" w:rsidR="008729D0" w:rsidRPr="002948ED"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2948ED">
              <w:rPr>
                <w:b/>
                <w:noProof/>
                <w:color w:val="003399" w:themeColor="text2"/>
              </w:rPr>
              <w:t>2,3</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3736D4C0" w14:textId="57128976" w:rsidR="008729D0" w:rsidRPr="002948ED"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2948ED">
              <w:rPr>
                <w:b/>
                <w:noProof/>
                <w:color w:val="003399" w:themeColor="text2"/>
              </w:rPr>
              <w:t>1,2</w:t>
            </w:r>
          </w:p>
        </w:tc>
        <w:tc>
          <w:tcPr>
            <w:tcW w:w="1549" w:type="dxa"/>
            <w:tcBorders>
              <w:top w:val="nil"/>
              <w:left w:val="nil"/>
              <w:bottom w:val="single" w:sz="8" w:space="0" w:color="BFBFBF" w:themeColor="background1" w:themeShade="BF"/>
              <w:right w:val="nil"/>
            </w:tcBorders>
            <w:vAlign w:val="center"/>
          </w:tcPr>
          <w:p w14:paraId="4D8C9700" w14:textId="396E4E87" w:rsidR="008729D0" w:rsidRPr="002948ED"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0000" w:themeColor="text1"/>
                <w:sz w:val="22"/>
                <w:szCs w:val="22"/>
              </w:rPr>
            </w:pPr>
            <w:r w:rsidRPr="002948ED">
              <w:rPr>
                <w:b/>
                <w:noProof/>
              </w:rPr>
              <w:t>3,5</w:t>
            </w:r>
          </w:p>
        </w:tc>
      </w:tr>
      <w:tr w:rsidR="00804C3F" w:rsidRPr="002948ED" w14:paraId="1B65F24B" w14:textId="77777777" w:rsidTr="00A81408">
        <w:trPr>
          <w:trHeight w:val="300"/>
        </w:trPr>
        <w:tc>
          <w:tcPr>
            <w:cnfStyle w:val="001000000000" w:firstRow="0" w:lastRow="0" w:firstColumn="1" w:lastColumn="0" w:oddVBand="0" w:evenVBand="0" w:oddHBand="0" w:evenHBand="0" w:firstRowFirstColumn="0" w:firstRowLastColumn="0" w:lastRowFirstColumn="0" w:lastRowLastColumn="0"/>
            <w:tcW w:w="5102" w:type="dxa"/>
            <w:tcBorders>
              <w:top w:val="nil"/>
              <w:left w:val="nil"/>
              <w:bottom w:val="single" w:sz="8" w:space="0" w:color="BFBFBF" w:themeColor="background1" w:themeShade="BF"/>
              <w:right w:val="single" w:sz="8" w:space="0" w:color="BFBFBF" w:themeColor="background1" w:themeShade="BF"/>
            </w:tcBorders>
            <w:vAlign w:val="center"/>
          </w:tcPr>
          <w:p w14:paraId="78C73CFF" w14:textId="4386C8C9" w:rsidR="008729D0" w:rsidRPr="002948ED" w:rsidRDefault="008729D0" w:rsidP="008729D0">
            <w:pPr>
              <w:spacing w:after="120"/>
              <w:ind w:left="170"/>
              <w:rPr>
                <w:rFonts w:asciiTheme="minorHAnsi" w:eastAsia="Calibri" w:hAnsiTheme="minorHAnsi"/>
                <w:b w:val="0"/>
                <w:bCs/>
                <w:noProof/>
                <w:color w:val="003399" w:themeColor="text2"/>
                <w:sz w:val="22"/>
                <w:szCs w:val="22"/>
              </w:rPr>
            </w:pPr>
            <w:r w:rsidRPr="002948ED">
              <w:rPr>
                <w:rFonts w:asciiTheme="minorHAnsi" w:hAnsiTheme="minorHAnsi"/>
                <w:b w:val="0"/>
                <w:noProof/>
                <w:color w:val="003399" w:themeColor="text2"/>
                <w:sz w:val="22"/>
              </w:rPr>
              <w:t>3.1 Dépenses relatives au marché et paiements directs</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0E7BFECC" w14:textId="7A53115F" w:rsidR="008729D0" w:rsidRPr="002948ED"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948ED">
              <w:rPr>
                <w:noProof/>
                <w:color w:val="003399" w:themeColor="text2"/>
              </w:rPr>
              <w:t>0,0</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45EA8AD6" w14:textId="1F48748C" w:rsidR="008729D0" w:rsidRPr="002948ED"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948ED">
              <w:rPr>
                <w:noProof/>
                <w:color w:val="003399" w:themeColor="text2"/>
              </w:rPr>
              <w:t>0,0</w:t>
            </w:r>
          </w:p>
        </w:tc>
        <w:tc>
          <w:tcPr>
            <w:tcW w:w="1549" w:type="dxa"/>
            <w:tcBorders>
              <w:top w:val="nil"/>
              <w:left w:val="nil"/>
              <w:bottom w:val="single" w:sz="8" w:space="0" w:color="BFBFBF" w:themeColor="background1" w:themeShade="BF"/>
              <w:right w:val="nil"/>
            </w:tcBorders>
            <w:vAlign w:val="center"/>
          </w:tcPr>
          <w:p w14:paraId="51DD0C75" w14:textId="4572A6E5" w:rsidR="008729D0" w:rsidRPr="002948ED"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sz w:val="22"/>
                <w:szCs w:val="22"/>
              </w:rPr>
            </w:pPr>
            <w:r w:rsidRPr="002948ED">
              <w:rPr>
                <w:noProof/>
              </w:rPr>
              <w:t>0,0</w:t>
            </w:r>
          </w:p>
        </w:tc>
      </w:tr>
      <w:tr w:rsidR="00804C3F" w:rsidRPr="002948ED" w14:paraId="302FC164" w14:textId="77777777" w:rsidTr="00A81408">
        <w:trPr>
          <w:trHeight w:val="300"/>
        </w:trPr>
        <w:tc>
          <w:tcPr>
            <w:cnfStyle w:val="001000000000" w:firstRow="0" w:lastRow="0" w:firstColumn="1" w:lastColumn="0" w:oddVBand="0" w:evenVBand="0" w:oddHBand="0" w:evenHBand="0" w:firstRowFirstColumn="0" w:firstRowLastColumn="0" w:lastRowFirstColumn="0" w:lastRowLastColumn="0"/>
            <w:tcW w:w="5102" w:type="dxa"/>
            <w:tcBorders>
              <w:top w:val="nil"/>
              <w:left w:val="nil"/>
              <w:bottom w:val="single" w:sz="8" w:space="0" w:color="BFBFBF" w:themeColor="background1" w:themeShade="BF"/>
              <w:right w:val="single" w:sz="8" w:space="0" w:color="BFBFBF" w:themeColor="background1" w:themeShade="BF"/>
            </w:tcBorders>
            <w:vAlign w:val="center"/>
          </w:tcPr>
          <w:p w14:paraId="307AFBCD" w14:textId="67CC062B" w:rsidR="008729D0" w:rsidRPr="002948ED" w:rsidRDefault="008729D0" w:rsidP="008729D0">
            <w:pPr>
              <w:spacing w:after="120"/>
              <w:ind w:left="170"/>
              <w:rPr>
                <w:rFonts w:asciiTheme="minorHAnsi" w:eastAsia="Calibri" w:hAnsiTheme="minorHAnsi"/>
                <w:b w:val="0"/>
                <w:bCs/>
                <w:noProof/>
                <w:color w:val="003399" w:themeColor="text2"/>
                <w:sz w:val="22"/>
                <w:szCs w:val="22"/>
              </w:rPr>
            </w:pPr>
            <w:r w:rsidRPr="002948ED">
              <w:rPr>
                <w:rFonts w:asciiTheme="minorHAnsi" w:hAnsiTheme="minorHAnsi"/>
                <w:b w:val="0"/>
                <w:noProof/>
                <w:color w:val="003399" w:themeColor="text2"/>
                <w:sz w:val="22"/>
              </w:rPr>
              <w:t>3.2 Autres programmes «Ressources naturelles et environnement»</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791AC37B" w14:textId="3B8C2C52" w:rsidR="008729D0" w:rsidRPr="002948ED"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noProof/>
                <w:color w:val="003399" w:themeColor="text2"/>
              </w:rPr>
              <w:t>2,3</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12CA47FD" w14:textId="12D4402F" w:rsidR="008729D0" w:rsidRPr="002948ED"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948ED">
              <w:rPr>
                <w:noProof/>
                <w:color w:val="003399" w:themeColor="text2"/>
              </w:rPr>
              <w:t>1,2</w:t>
            </w:r>
          </w:p>
        </w:tc>
        <w:tc>
          <w:tcPr>
            <w:tcW w:w="1549" w:type="dxa"/>
            <w:tcBorders>
              <w:top w:val="nil"/>
              <w:left w:val="nil"/>
              <w:bottom w:val="single" w:sz="8" w:space="0" w:color="BFBFBF" w:themeColor="background1" w:themeShade="BF"/>
              <w:right w:val="nil"/>
            </w:tcBorders>
            <w:vAlign w:val="center"/>
          </w:tcPr>
          <w:p w14:paraId="75386396" w14:textId="0E73D772" w:rsidR="008729D0" w:rsidRPr="002948ED"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noProof/>
              </w:rPr>
              <w:t>3,5</w:t>
            </w:r>
          </w:p>
        </w:tc>
      </w:tr>
      <w:tr w:rsidR="00CD66D5" w:rsidRPr="002948ED" w14:paraId="5AA64EC4" w14:textId="77777777" w:rsidTr="008729D0">
        <w:trPr>
          <w:trHeight w:val="300"/>
        </w:trPr>
        <w:tc>
          <w:tcPr>
            <w:cnfStyle w:val="001000000000" w:firstRow="0" w:lastRow="0" w:firstColumn="1" w:lastColumn="0" w:oddVBand="0" w:evenVBand="0" w:oddHBand="0" w:evenHBand="0" w:firstRowFirstColumn="0" w:firstRowLastColumn="0" w:lastRowFirstColumn="0" w:lastRowLastColumn="0"/>
            <w:tcW w:w="5102"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437220C0" w14:textId="59282784" w:rsidR="00861C1C" w:rsidRPr="002948ED" w:rsidRDefault="003B6DC2">
            <w:pPr>
              <w:spacing w:after="120"/>
              <w:rPr>
                <w:rFonts w:asciiTheme="minorHAnsi" w:eastAsia="Calibri" w:hAnsiTheme="minorHAnsi"/>
                <w:b w:val="0"/>
                <w:noProof/>
                <w:color w:val="003399" w:themeColor="text2"/>
                <w:sz w:val="22"/>
                <w:szCs w:val="22"/>
              </w:rPr>
            </w:pPr>
            <w:r w:rsidRPr="002948ED">
              <w:rPr>
                <w:rFonts w:asciiTheme="minorHAnsi" w:hAnsiTheme="minorHAnsi"/>
                <w:noProof/>
                <w:color w:val="003399" w:themeColor="text2"/>
                <w:sz w:val="22"/>
              </w:rPr>
              <w:t>4 Migration et gestion des frontières</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0C5F504D" w14:textId="64B85AEA" w:rsidR="00861C1C" w:rsidRPr="002948ED"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0,6</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3F9858B0" w14:textId="0F84BB59" w:rsidR="00861C1C" w:rsidRPr="002948ED"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0,0</w:t>
            </w:r>
          </w:p>
        </w:tc>
        <w:tc>
          <w:tcPr>
            <w:tcW w:w="1549" w:type="dxa"/>
            <w:tcBorders>
              <w:top w:val="nil"/>
              <w:left w:val="nil"/>
              <w:bottom w:val="single" w:sz="8" w:space="0" w:color="BFBFBF" w:themeColor="background1" w:themeShade="BF"/>
              <w:right w:val="nil"/>
            </w:tcBorders>
            <w:shd w:val="clear" w:color="auto" w:fill="F3F7FF" w:themeFill="background2"/>
            <w:vAlign w:val="center"/>
          </w:tcPr>
          <w:p w14:paraId="528F330D" w14:textId="7213EDDE" w:rsidR="00861C1C" w:rsidRPr="002948ED"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0,6</w:t>
            </w:r>
          </w:p>
        </w:tc>
      </w:tr>
      <w:tr w:rsidR="00CD66D5" w:rsidRPr="002948ED" w14:paraId="3104574E" w14:textId="77777777" w:rsidTr="008729D0">
        <w:trPr>
          <w:trHeight w:val="300"/>
        </w:trPr>
        <w:tc>
          <w:tcPr>
            <w:cnfStyle w:val="001000000000" w:firstRow="0" w:lastRow="0" w:firstColumn="1" w:lastColumn="0" w:oddVBand="0" w:evenVBand="0" w:oddHBand="0" w:evenHBand="0" w:firstRowFirstColumn="0" w:firstRowLastColumn="0" w:lastRowFirstColumn="0" w:lastRowLastColumn="0"/>
            <w:tcW w:w="5102" w:type="dxa"/>
            <w:tcBorders>
              <w:top w:val="nil"/>
              <w:left w:val="nil"/>
              <w:bottom w:val="single" w:sz="8" w:space="0" w:color="BFBFBF" w:themeColor="background1" w:themeShade="BF"/>
              <w:right w:val="single" w:sz="8" w:space="0" w:color="BFBFBF" w:themeColor="background1" w:themeShade="BF"/>
            </w:tcBorders>
            <w:vAlign w:val="center"/>
          </w:tcPr>
          <w:p w14:paraId="39289543" w14:textId="1FE4FCAE" w:rsidR="00861C1C" w:rsidRPr="002948ED" w:rsidRDefault="003B6DC2">
            <w:pPr>
              <w:spacing w:after="120"/>
              <w:rPr>
                <w:rFonts w:asciiTheme="minorHAnsi" w:eastAsia="Calibri" w:hAnsiTheme="minorHAnsi"/>
                <w:b w:val="0"/>
                <w:noProof/>
                <w:color w:val="003399" w:themeColor="text2"/>
                <w:sz w:val="22"/>
                <w:szCs w:val="22"/>
              </w:rPr>
            </w:pPr>
            <w:r w:rsidRPr="002948ED">
              <w:rPr>
                <w:rFonts w:asciiTheme="minorHAnsi" w:hAnsiTheme="minorHAnsi"/>
                <w:noProof/>
                <w:color w:val="003399" w:themeColor="text2"/>
                <w:sz w:val="22"/>
              </w:rPr>
              <w:t>5 Sécurité et défense</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64F2FFEF" w14:textId="019941C2" w:rsidR="00861C1C" w:rsidRPr="002948ED"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0,1</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5951506F" w14:textId="6F7C565D" w:rsidR="00861C1C" w:rsidRPr="002948ED" w:rsidRDefault="0389906F"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0,0</w:t>
            </w:r>
          </w:p>
        </w:tc>
        <w:tc>
          <w:tcPr>
            <w:tcW w:w="1549" w:type="dxa"/>
            <w:tcBorders>
              <w:top w:val="nil"/>
              <w:left w:val="nil"/>
              <w:bottom w:val="single" w:sz="8" w:space="0" w:color="BFBFBF" w:themeColor="background1" w:themeShade="BF"/>
              <w:right w:val="nil"/>
            </w:tcBorders>
            <w:vAlign w:val="center"/>
          </w:tcPr>
          <w:p w14:paraId="1F879FA6" w14:textId="100A120B" w:rsidR="00861C1C" w:rsidRPr="002948ED"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0,1</w:t>
            </w:r>
          </w:p>
        </w:tc>
      </w:tr>
      <w:tr w:rsidR="00CD66D5" w:rsidRPr="002948ED" w14:paraId="2CD70082" w14:textId="77777777" w:rsidTr="008729D0">
        <w:trPr>
          <w:trHeight w:val="300"/>
        </w:trPr>
        <w:tc>
          <w:tcPr>
            <w:cnfStyle w:val="001000000000" w:firstRow="0" w:lastRow="0" w:firstColumn="1" w:lastColumn="0" w:oddVBand="0" w:evenVBand="0" w:oddHBand="0" w:evenHBand="0" w:firstRowFirstColumn="0" w:firstRowLastColumn="0" w:lastRowFirstColumn="0" w:lastRowLastColumn="0"/>
            <w:tcW w:w="5102"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0E96276D" w14:textId="4FB22D31" w:rsidR="00861C1C" w:rsidRPr="002948ED" w:rsidRDefault="003B6DC2">
            <w:pPr>
              <w:spacing w:after="120"/>
              <w:rPr>
                <w:rFonts w:asciiTheme="minorHAnsi" w:eastAsia="Calibri" w:hAnsiTheme="minorHAnsi"/>
                <w:b w:val="0"/>
                <w:noProof/>
                <w:color w:val="003399" w:themeColor="text2"/>
                <w:sz w:val="22"/>
                <w:szCs w:val="22"/>
              </w:rPr>
            </w:pPr>
            <w:r w:rsidRPr="002948ED">
              <w:rPr>
                <w:rFonts w:asciiTheme="minorHAnsi" w:hAnsiTheme="minorHAnsi"/>
                <w:noProof/>
                <w:color w:val="003399" w:themeColor="text2"/>
                <w:sz w:val="22"/>
              </w:rPr>
              <w:t>6 Le voisinage et le monde</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31733D24" w14:textId="6D62F05B" w:rsidR="00861C1C" w:rsidRPr="002948ED"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0,3</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2CFD5EED" w14:textId="267331DA" w:rsidR="00861C1C" w:rsidRPr="002948ED"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2948ED">
              <w:rPr>
                <w:rFonts w:asciiTheme="minorHAnsi" w:hAnsiTheme="minorHAnsi"/>
                <w:b/>
                <w:noProof/>
                <w:color w:val="003399" w:themeColor="text2"/>
              </w:rPr>
              <w:t>1,0</w:t>
            </w:r>
          </w:p>
        </w:tc>
        <w:tc>
          <w:tcPr>
            <w:tcW w:w="1549" w:type="dxa"/>
            <w:tcBorders>
              <w:top w:val="nil"/>
              <w:left w:val="nil"/>
              <w:bottom w:val="single" w:sz="8" w:space="0" w:color="BFBFBF" w:themeColor="background1" w:themeShade="BF"/>
              <w:right w:val="nil"/>
            </w:tcBorders>
            <w:shd w:val="clear" w:color="auto" w:fill="F3F7FF" w:themeFill="background2"/>
            <w:vAlign w:val="center"/>
          </w:tcPr>
          <w:p w14:paraId="0F2F8391" w14:textId="4308E497" w:rsidR="00861C1C" w:rsidRPr="002948ED"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1,3</w:t>
            </w:r>
          </w:p>
        </w:tc>
      </w:tr>
      <w:tr w:rsidR="00586721" w:rsidRPr="002948ED" w14:paraId="26F229FD" w14:textId="77777777" w:rsidTr="003A6FA3">
        <w:trPr>
          <w:trHeight w:val="300"/>
        </w:trPr>
        <w:tc>
          <w:tcPr>
            <w:cnfStyle w:val="001000000000" w:firstRow="0" w:lastRow="0" w:firstColumn="1" w:lastColumn="0" w:oddVBand="0" w:evenVBand="0" w:oddHBand="0" w:evenHBand="0" w:firstRowFirstColumn="0" w:firstRowLastColumn="0" w:lastRowFirstColumn="0" w:lastRowLastColumn="0"/>
            <w:tcW w:w="5102" w:type="dxa"/>
            <w:tcBorders>
              <w:top w:val="single" w:sz="6" w:space="0" w:color="BFBFBF" w:themeColor="background1" w:themeShade="BF"/>
              <w:bottom w:val="nil"/>
            </w:tcBorders>
            <w:shd w:val="clear" w:color="auto" w:fill="D9D9D9" w:themeFill="background1" w:themeFillShade="D9"/>
          </w:tcPr>
          <w:p w14:paraId="4F3B42DB" w14:textId="77777777" w:rsidR="00861C1C" w:rsidRPr="002948ED" w:rsidRDefault="003B6DC2">
            <w:pPr>
              <w:spacing w:after="120"/>
              <w:rPr>
                <w:rFonts w:asciiTheme="minorHAnsi" w:hAnsiTheme="minorHAnsi"/>
                <w:noProof/>
                <w:color w:val="003399" w:themeColor="text2"/>
                <w:sz w:val="22"/>
                <w:szCs w:val="22"/>
              </w:rPr>
            </w:pPr>
            <w:r w:rsidRPr="002948ED">
              <w:rPr>
                <w:rFonts w:asciiTheme="minorHAnsi" w:hAnsiTheme="minorHAnsi"/>
                <w:noProof/>
                <w:color w:val="003399" w:themeColor="text2"/>
                <w:sz w:val="22"/>
              </w:rPr>
              <w:t>Total</w:t>
            </w:r>
          </w:p>
        </w:tc>
        <w:tc>
          <w:tcPr>
            <w:tcW w:w="1549" w:type="dxa"/>
            <w:tcBorders>
              <w:top w:val="nil"/>
              <w:left w:val="nil"/>
              <w:bottom w:val="nil"/>
              <w:right w:val="single" w:sz="8" w:space="0" w:color="BFBFBF" w:themeColor="background1" w:themeShade="BF"/>
            </w:tcBorders>
            <w:shd w:val="clear" w:color="auto" w:fill="D9D9D9" w:themeFill="background1" w:themeFillShade="D9"/>
            <w:vAlign w:val="center"/>
          </w:tcPr>
          <w:p w14:paraId="2F80BE46" w14:textId="2376DA8B" w:rsidR="00861C1C" w:rsidRPr="002948ED" w:rsidRDefault="009A12B3"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6,0</w:t>
            </w:r>
          </w:p>
        </w:tc>
        <w:tc>
          <w:tcPr>
            <w:tcW w:w="1549" w:type="dxa"/>
            <w:tcBorders>
              <w:top w:val="nil"/>
              <w:left w:val="nil"/>
              <w:bottom w:val="nil"/>
              <w:right w:val="single" w:sz="8" w:space="0" w:color="BFBFBF" w:themeColor="background1" w:themeShade="BF"/>
            </w:tcBorders>
            <w:shd w:val="clear" w:color="auto" w:fill="D9D9D9" w:themeFill="background1" w:themeFillShade="D9"/>
            <w:vAlign w:val="center"/>
          </w:tcPr>
          <w:p w14:paraId="791060CA" w14:textId="2E0609A4" w:rsidR="00861C1C" w:rsidRPr="002948ED" w:rsidRDefault="00D628BC"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4,9</w:t>
            </w:r>
          </w:p>
        </w:tc>
        <w:tc>
          <w:tcPr>
            <w:tcW w:w="1549" w:type="dxa"/>
            <w:tcBorders>
              <w:top w:val="nil"/>
              <w:left w:val="nil"/>
              <w:bottom w:val="nil"/>
              <w:right w:val="nil"/>
            </w:tcBorders>
            <w:shd w:val="clear" w:color="auto" w:fill="D9D9D9" w:themeFill="background1" w:themeFillShade="D9"/>
            <w:vAlign w:val="center"/>
          </w:tcPr>
          <w:p w14:paraId="045E0BAA" w14:textId="613278C6" w:rsidR="00861C1C" w:rsidRPr="002948ED" w:rsidRDefault="00FC22F0"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948ED">
              <w:rPr>
                <w:rFonts w:asciiTheme="minorHAnsi" w:hAnsiTheme="minorHAnsi"/>
                <w:b/>
                <w:noProof/>
                <w:color w:val="000000" w:themeColor="text1"/>
                <w:sz w:val="22"/>
              </w:rPr>
              <w:t>10,9</w:t>
            </w:r>
          </w:p>
        </w:tc>
      </w:tr>
    </w:tbl>
    <w:p w14:paraId="6D8BA01E" w14:textId="0BC49801" w:rsidR="00E438BB" w:rsidRPr="002948ED" w:rsidRDefault="00A50B3F">
      <w:pPr>
        <w:rPr>
          <w:rFonts w:asciiTheme="majorHAnsi" w:hAnsiTheme="majorHAnsi"/>
          <w:i/>
          <w:noProof/>
        </w:rPr>
      </w:pPr>
      <w:r w:rsidRPr="002948ED">
        <w:rPr>
          <w:rFonts w:asciiTheme="majorHAnsi" w:hAnsiTheme="majorHAnsi"/>
          <w:i/>
          <w:noProof/>
        </w:rPr>
        <w:t>Les prévisions de dégagements ne font pas de distinction entre les sources de financement pour les dégagements.</w:t>
      </w:r>
    </w:p>
    <w:p w14:paraId="794886A6" w14:textId="77777777" w:rsidR="00A50B3F" w:rsidRPr="002948ED" w:rsidRDefault="00A50B3F">
      <w:pPr>
        <w:rPr>
          <w:rFonts w:asciiTheme="majorHAnsi" w:hAnsiTheme="majorHAnsi"/>
          <w:noProof/>
        </w:rPr>
      </w:pPr>
    </w:p>
    <w:p w14:paraId="51EBA2CC" w14:textId="77777777" w:rsidR="00213380" w:rsidRPr="002948ED" w:rsidRDefault="00213380">
      <w:pPr>
        <w:rPr>
          <w:rFonts w:asciiTheme="majorHAnsi" w:hAnsiTheme="majorHAnsi"/>
          <w:noProof/>
        </w:rPr>
        <w:sectPr w:rsidR="00213380" w:rsidRPr="002948ED">
          <w:headerReference w:type="default" r:id="rId36"/>
          <w:footerReference w:type="default" r:id="rId37"/>
          <w:pgSz w:w="11906" w:h="16838"/>
          <w:pgMar w:top="1321" w:right="1151" w:bottom="1440" w:left="1151" w:header="720" w:footer="720" w:gutter="0"/>
          <w:cols w:space="720"/>
          <w:docGrid w:linePitch="326"/>
        </w:sectPr>
      </w:pPr>
    </w:p>
    <w:p w14:paraId="210BBE1E" w14:textId="54CEC115" w:rsidR="008B2384" w:rsidRPr="002948ED" w:rsidRDefault="2A67BF04" w:rsidP="007E0D6B">
      <w:pPr>
        <w:pStyle w:val="Heading2"/>
        <w:rPr>
          <w:rFonts w:asciiTheme="majorHAnsi" w:hAnsiTheme="majorHAnsi"/>
          <w:noProof/>
        </w:rPr>
      </w:pPr>
      <w:bookmarkStart w:id="85" w:name="_Toc235786446"/>
      <w:r w:rsidRPr="002948ED">
        <w:rPr>
          <w:rFonts w:asciiTheme="majorHAnsi" w:hAnsiTheme="majorHAnsi"/>
          <w:noProof/>
        </w:rPr>
        <w:t>Tableau 3 — Engagements restant à liquider prévus pour la période 2027-2034</w:t>
      </w:r>
      <w:bookmarkEnd w:id="85"/>
    </w:p>
    <w:tbl>
      <w:tblPr>
        <w:tblStyle w:val="AMPR2021"/>
        <w:tblpPr w:leftFromText="180" w:rightFromText="180" w:vertAnchor="text" w:horzAnchor="margin" w:tblpY="108"/>
        <w:tblW w:w="5000" w:type="pct"/>
        <w:tblBorders>
          <w:top w:val="none" w:sz="0" w:space="0" w:color="auto"/>
          <w:bottom w:val="none" w:sz="0" w:space="0" w:color="auto"/>
          <w:insideH w:val="single" w:sz="6" w:space="0" w:color="BFBFBF" w:themeColor="background1" w:themeShade="BF"/>
          <w:insideV w:val="single" w:sz="6" w:space="0" w:color="BFBFBF" w:themeColor="background1" w:themeShade="BF"/>
        </w:tblBorders>
        <w:tblLook w:val="06A0" w:firstRow="1" w:lastRow="0" w:firstColumn="1" w:lastColumn="0" w:noHBand="1" w:noVBand="1"/>
      </w:tblPr>
      <w:tblGrid>
        <w:gridCol w:w="1340"/>
        <w:gridCol w:w="2121"/>
        <w:gridCol w:w="2121"/>
        <w:gridCol w:w="2121"/>
        <w:gridCol w:w="2117"/>
      </w:tblGrid>
      <w:tr w:rsidR="008B2384" w:rsidRPr="002948ED" w14:paraId="6783BF3D" w14:textId="77777777" w:rsidTr="003B1D7B">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682" w:type="pct"/>
            <w:vAlign w:val="center"/>
          </w:tcPr>
          <w:p w14:paraId="16EA6545" w14:textId="77777777" w:rsidR="008B2384" w:rsidRPr="002948ED" w:rsidRDefault="008B2384" w:rsidP="00B877FC">
            <w:pPr>
              <w:rPr>
                <w:rFonts w:asciiTheme="majorHAnsi" w:eastAsia="Calibri" w:hAnsiTheme="majorHAnsi"/>
                <w:noProof/>
                <w:sz w:val="22"/>
                <w:szCs w:val="18"/>
              </w:rPr>
            </w:pPr>
            <w:r w:rsidRPr="002948ED">
              <w:rPr>
                <w:rFonts w:asciiTheme="majorHAnsi" w:hAnsiTheme="majorHAnsi"/>
                <w:noProof/>
                <w:sz w:val="22"/>
              </w:rPr>
              <w:t>Sources</w:t>
            </w:r>
          </w:p>
        </w:tc>
        <w:tc>
          <w:tcPr>
            <w:tcW w:w="1080" w:type="pct"/>
            <w:vAlign w:val="center"/>
          </w:tcPr>
          <w:p w14:paraId="393BCFEC" w14:textId="1AD22E3B" w:rsidR="008B2384" w:rsidRPr="002948ED" w:rsidRDefault="008B2384" w:rsidP="00B877FC">
            <w:pP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noProof/>
                <w:sz w:val="22"/>
                <w:szCs w:val="22"/>
              </w:rPr>
            </w:pPr>
            <w:r w:rsidRPr="002948ED">
              <w:rPr>
                <w:rFonts w:asciiTheme="majorHAnsi" w:hAnsiTheme="majorHAnsi"/>
                <w:noProof/>
                <w:sz w:val="22"/>
              </w:rPr>
              <w:t>RAL début 2028*</w:t>
            </w:r>
          </w:p>
        </w:tc>
        <w:tc>
          <w:tcPr>
            <w:tcW w:w="1080" w:type="pct"/>
            <w:vAlign w:val="center"/>
          </w:tcPr>
          <w:p w14:paraId="46A471FE" w14:textId="3566235C" w:rsidR="008B2384" w:rsidRPr="002948ED" w:rsidRDefault="008B2384" w:rsidP="00B877FC">
            <w:pP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noProof/>
                <w:sz w:val="22"/>
                <w:szCs w:val="22"/>
              </w:rPr>
            </w:pPr>
            <w:r w:rsidRPr="002948ED">
              <w:rPr>
                <w:rFonts w:asciiTheme="majorHAnsi" w:hAnsiTheme="majorHAnsi"/>
                <w:noProof/>
                <w:sz w:val="22"/>
              </w:rPr>
              <w:t>Engagements 2028-2034</w:t>
            </w:r>
          </w:p>
        </w:tc>
        <w:tc>
          <w:tcPr>
            <w:tcW w:w="1080" w:type="pct"/>
            <w:vAlign w:val="center"/>
          </w:tcPr>
          <w:p w14:paraId="2DB5EE46" w14:textId="7E662946" w:rsidR="008B2384" w:rsidRPr="002948ED" w:rsidRDefault="008B2384" w:rsidP="00B877FC">
            <w:pP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bCs/>
                <w:noProof/>
                <w:sz w:val="22"/>
                <w:szCs w:val="18"/>
              </w:rPr>
            </w:pPr>
            <w:r w:rsidRPr="002948ED">
              <w:rPr>
                <w:rFonts w:asciiTheme="majorHAnsi" w:hAnsiTheme="majorHAnsi"/>
                <w:noProof/>
                <w:sz w:val="22"/>
              </w:rPr>
              <w:t>Paiements 2028-2034</w:t>
            </w:r>
          </w:p>
        </w:tc>
        <w:tc>
          <w:tcPr>
            <w:tcW w:w="1078" w:type="pct"/>
            <w:vAlign w:val="center"/>
          </w:tcPr>
          <w:p w14:paraId="1312FE2E" w14:textId="0DC46A67" w:rsidR="00A60630" w:rsidRPr="002948ED" w:rsidRDefault="008B2384" w:rsidP="00B877FC">
            <w:pP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noProof/>
                <w:sz w:val="22"/>
                <w:szCs w:val="22"/>
              </w:rPr>
            </w:pPr>
            <w:r w:rsidRPr="002948ED">
              <w:rPr>
                <w:rFonts w:asciiTheme="majorHAnsi" w:hAnsiTheme="majorHAnsi"/>
                <w:noProof/>
                <w:sz w:val="22"/>
              </w:rPr>
              <w:t>RAL</w:t>
            </w:r>
          </w:p>
          <w:p w14:paraId="2C522C8C" w14:textId="64E07C72" w:rsidR="008B2384" w:rsidRPr="002948ED" w:rsidRDefault="008B2384" w:rsidP="00B877FC">
            <w:pP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noProof/>
                <w:sz w:val="22"/>
                <w:szCs w:val="22"/>
              </w:rPr>
            </w:pPr>
            <w:r w:rsidRPr="002948ED">
              <w:rPr>
                <w:rFonts w:asciiTheme="majorHAnsi" w:hAnsiTheme="majorHAnsi"/>
                <w:noProof/>
                <w:sz w:val="22"/>
              </w:rPr>
              <w:t>fin 2034</w:t>
            </w:r>
          </w:p>
        </w:tc>
      </w:tr>
      <w:tr w:rsidR="00DE1047" w:rsidRPr="002948ED" w14:paraId="7DFCF234" w14:textId="77777777" w:rsidTr="00DE1047">
        <w:trPr>
          <w:trHeight w:val="341"/>
        </w:trPr>
        <w:tc>
          <w:tcPr>
            <w:cnfStyle w:val="001000000000" w:firstRow="0" w:lastRow="0" w:firstColumn="1" w:lastColumn="0" w:oddVBand="0" w:evenVBand="0" w:oddHBand="0" w:evenHBand="0" w:firstRowFirstColumn="0" w:firstRowLastColumn="0" w:lastRowFirstColumn="0" w:lastRowLastColumn="0"/>
            <w:tcW w:w="682" w:type="pct"/>
            <w:vAlign w:val="center"/>
          </w:tcPr>
          <w:p w14:paraId="34F93038" w14:textId="26C20418" w:rsidR="00DE1047" w:rsidRPr="002948ED" w:rsidRDefault="00DE1047" w:rsidP="003B1D7B">
            <w:pPr>
              <w:jc w:val="center"/>
              <w:rPr>
                <w:rFonts w:asciiTheme="majorHAnsi" w:eastAsia="Calibri" w:hAnsiTheme="majorHAnsi"/>
                <w:noProof/>
                <w:color w:val="003399" w:themeColor="text2"/>
                <w:sz w:val="22"/>
                <w:szCs w:val="18"/>
              </w:rPr>
            </w:pPr>
            <w:r w:rsidRPr="002948ED">
              <w:rPr>
                <w:noProof/>
                <w:color w:val="003399" w:themeColor="text2"/>
              </w:rPr>
              <w:t>CFP</w:t>
            </w:r>
          </w:p>
        </w:tc>
        <w:tc>
          <w:tcPr>
            <w:tcW w:w="1080" w:type="pct"/>
            <w:vAlign w:val="center"/>
          </w:tcPr>
          <w:p w14:paraId="56BBA7BD" w14:textId="2C876A80" w:rsidR="00DE1047" w:rsidRPr="002948ED" w:rsidRDefault="00DE1047" w:rsidP="003B1D7B">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b/>
                <w:bCs/>
                <w:noProof/>
                <w:color w:val="003399" w:themeColor="text2"/>
                <w:sz w:val="22"/>
                <w:szCs w:val="22"/>
              </w:rPr>
            </w:pPr>
            <w:r w:rsidRPr="002948ED">
              <w:rPr>
                <w:b/>
                <w:noProof/>
                <w:color w:val="003399" w:themeColor="text2"/>
              </w:rPr>
              <w:t>320,9</w:t>
            </w:r>
          </w:p>
        </w:tc>
        <w:tc>
          <w:tcPr>
            <w:tcW w:w="1080" w:type="pct"/>
            <w:vAlign w:val="center"/>
          </w:tcPr>
          <w:p w14:paraId="781EDDDD" w14:textId="620D894A" w:rsidR="00DE1047" w:rsidRPr="002948ED" w:rsidRDefault="00DE1047" w:rsidP="003B1D7B">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b/>
                <w:bCs/>
                <w:noProof/>
                <w:color w:val="003399" w:themeColor="text2"/>
                <w:sz w:val="22"/>
                <w:szCs w:val="22"/>
              </w:rPr>
            </w:pPr>
            <w:r w:rsidRPr="002948ED">
              <w:rPr>
                <w:b/>
                <w:noProof/>
                <w:color w:val="003399" w:themeColor="text2"/>
              </w:rPr>
              <w:t>1984,9</w:t>
            </w:r>
          </w:p>
        </w:tc>
        <w:tc>
          <w:tcPr>
            <w:tcW w:w="1080" w:type="pct"/>
            <w:vAlign w:val="center"/>
          </w:tcPr>
          <w:p w14:paraId="5332702E" w14:textId="3C58BF17" w:rsidR="00DE1047" w:rsidRPr="002948ED" w:rsidRDefault="00DE1047" w:rsidP="003B1D7B">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b/>
                <w:bCs/>
                <w:noProof/>
                <w:color w:val="003399" w:themeColor="text2"/>
                <w:sz w:val="22"/>
                <w:szCs w:val="22"/>
              </w:rPr>
            </w:pPr>
            <w:r w:rsidRPr="002948ED">
              <w:rPr>
                <w:b/>
                <w:noProof/>
                <w:color w:val="003399" w:themeColor="text2"/>
              </w:rPr>
              <w:t>1961,9</w:t>
            </w:r>
          </w:p>
        </w:tc>
        <w:tc>
          <w:tcPr>
            <w:tcW w:w="1078" w:type="pct"/>
            <w:vAlign w:val="center"/>
          </w:tcPr>
          <w:p w14:paraId="51066928" w14:textId="33A79BB7" w:rsidR="00DE1047" w:rsidRPr="002948ED" w:rsidRDefault="00DE1047" w:rsidP="003B1D7B">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b/>
                <w:bCs/>
                <w:noProof/>
                <w:color w:val="003399" w:themeColor="text2"/>
                <w:sz w:val="22"/>
                <w:szCs w:val="22"/>
              </w:rPr>
            </w:pPr>
            <w:r w:rsidRPr="002948ED">
              <w:rPr>
                <w:b/>
                <w:noProof/>
                <w:color w:val="003399" w:themeColor="text2"/>
              </w:rPr>
              <w:t>343,9</w:t>
            </w:r>
          </w:p>
        </w:tc>
      </w:tr>
    </w:tbl>
    <w:p w14:paraId="1BEC179E" w14:textId="0C366A0F" w:rsidR="00682537" w:rsidRPr="002948ED" w:rsidRDefault="00682537" w:rsidP="00682537">
      <w:pPr>
        <w:rPr>
          <w:rFonts w:asciiTheme="majorHAnsi" w:hAnsiTheme="majorHAnsi"/>
          <w:i/>
          <w:noProof/>
          <w:sz w:val="16"/>
          <w:szCs w:val="16"/>
        </w:rPr>
      </w:pPr>
      <w:r w:rsidRPr="002948ED">
        <w:rPr>
          <w:rFonts w:asciiTheme="majorHAnsi" w:hAnsiTheme="majorHAnsi"/>
          <w:i/>
          <w:noProof/>
          <w:sz w:val="16"/>
        </w:rPr>
        <w:t>* Le RAL au début de 2028 exclut les montants générés par d’autres sources de financement ou recettes et les dégagements estimés.</w:t>
      </w:r>
    </w:p>
    <w:p w14:paraId="4C0F8082" w14:textId="77777777" w:rsidR="00682537" w:rsidRPr="002948ED" w:rsidRDefault="00682537" w:rsidP="00682537">
      <w:pPr>
        <w:rPr>
          <w:rFonts w:asciiTheme="majorHAnsi" w:hAnsiTheme="majorHAnsi"/>
          <w:noProof/>
        </w:rPr>
      </w:pPr>
      <w:bookmarkStart w:id="86" w:name="_Toc74236911"/>
      <w:bookmarkStart w:id="87" w:name="_Hlk134032462"/>
      <w:r w:rsidRPr="002948ED">
        <w:rPr>
          <w:noProof/>
        </w:rPr>
        <w:br w:type="page"/>
      </w:r>
    </w:p>
    <w:bookmarkEnd w:id="86"/>
    <w:bookmarkEnd w:id="87"/>
    <w:p w14:paraId="12AEAD13" w14:textId="77777777" w:rsidR="00D55589" w:rsidRPr="002948ED" w:rsidRDefault="00D55589" w:rsidP="0050317D">
      <w:pPr>
        <w:spacing w:before="0"/>
        <w:rPr>
          <w:rFonts w:asciiTheme="majorHAnsi" w:hAnsiTheme="majorHAnsi"/>
          <w:i/>
          <w:noProof/>
          <w:sz w:val="16"/>
          <w:szCs w:val="16"/>
        </w:rPr>
        <w:sectPr w:rsidR="00D55589" w:rsidRPr="002948ED">
          <w:headerReference w:type="even" r:id="rId38"/>
          <w:headerReference w:type="default" r:id="rId39"/>
          <w:footerReference w:type="even" r:id="rId40"/>
          <w:footerReference w:type="default" r:id="rId41"/>
          <w:headerReference w:type="first" r:id="rId42"/>
          <w:footerReference w:type="first" r:id="rId43"/>
          <w:pgSz w:w="11906" w:h="16838"/>
          <w:pgMar w:top="1321" w:right="1151" w:bottom="1440" w:left="1151" w:header="720" w:footer="720" w:gutter="0"/>
          <w:cols w:space="720"/>
          <w:docGrid w:linePitch="326"/>
        </w:sectPr>
      </w:pPr>
    </w:p>
    <w:p w14:paraId="1DBE7582" w14:textId="54AAC96C" w:rsidR="005A1B83" w:rsidRPr="002948ED" w:rsidRDefault="005A1B83" w:rsidP="009A435C">
      <w:pPr>
        <w:pStyle w:val="Heading2"/>
        <w:spacing w:after="0"/>
        <w:rPr>
          <w:rFonts w:asciiTheme="majorHAnsi" w:hAnsiTheme="majorHAnsi"/>
          <w:noProof/>
        </w:rPr>
      </w:pPr>
      <w:bookmarkStart w:id="88" w:name="_Toc235786447"/>
      <w:r w:rsidRPr="002948ED">
        <w:rPr>
          <w:rFonts w:asciiTheme="majorHAnsi" w:hAnsiTheme="majorHAnsi"/>
          <w:noProof/>
        </w:rPr>
        <w:t>Tableau 4 — Prévisions à long terme concernant les entrées futures du budget de l’UE du CFP 2027 et 2028-2034</w:t>
      </w:r>
      <w:bookmarkEnd w:id="88"/>
    </w:p>
    <w:tbl>
      <w:tblPr>
        <w:tblW w:w="4997" w:type="pct"/>
        <w:tblLayout w:type="fixed"/>
        <w:tblLook w:val="04A0" w:firstRow="1" w:lastRow="0" w:firstColumn="1" w:lastColumn="0" w:noHBand="0" w:noVBand="1"/>
      </w:tblPr>
      <w:tblGrid>
        <w:gridCol w:w="3225"/>
        <w:gridCol w:w="628"/>
        <w:gridCol w:w="1160"/>
        <w:gridCol w:w="1160"/>
        <w:gridCol w:w="1160"/>
        <w:gridCol w:w="1160"/>
        <w:gridCol w:w="1160"/>
        <w:gridCol w:w="1160"/>
        <w:gridCol w:w="1160"/>
        <w:gridCol w:w="1160"/>
        <w:gridCol w:w="1151"/>
      </w:tblGrid>
      <w:tr w:rsidR="00D74601" w:rsidRPr="002948ED" w14:paraId="7E51666A" w14:textId="77777777" w:rsidTr="00F5067A">
        <w:trPr>
          <w:trHeight w:val="300"/>
          <w:tblHeader/>
        </w:trPr>
        <w:tc>
          <w:tcPr>
            <w:tcW w:w="1129" w:type="pct"/>
            <w:tcBorders>
              <w:bottom w:val="single" w:sz="6" w:space="0" w:color="BFBFBF" w:themeColor="background1" w:themeShade="BF"/>
              <w:right w:val="single" w:sz="6" w:space="0" w:color="BFBFBF" w:themeColor="background1" w:themeShade="BF"/>
            </w:tcBorders>
            <w:shd w:val="clear" w:color="auto" w:fill="003399" w:themeFill="text2"/>
            <w:vAlign w:val="center"/>
          </w:tcPr>
          <w:p w14:paraId="2EAEBDA4" w14:textId="77777777" w:rsidR="000D256C" w:rsidRPr="002948ED" w:rsidRDefault="000D256C" w:rsidP="00F77DBE">
            <w:pPr>
              <w:spacing w:before="100" w:after="100"/>
              <w:jc w:val="center"/>
              <w:rPr>
                <w:rFonts w:asciiTheme="majorHAnsi" w:hAnsiTheme="majorHAnsi"/>
                <w:b/>
                <w:iCs/>
                <w:noProof/>
                <w:color w:val="FFFFFF" w:themeColor="background1"/>
                <w:sz w:val="22"/>
                <w:szCs w:val="22"/>
              </w:rPr>
            </w:pPr>
            <w:r w:rsidRPr="002948ED">
              <w:rPr>
                <w:rFonts w:asciiTheme="majorHAnsi" w:hAnsiTheme="majorHAnsi"/>
                <w:b/>
                <w:noProof/>
                <w:color w:val="FFFFFF" w:themeColor="background1"/>
                <w:sz w:val="22"/>
              </w:rPr>
              <w:t>ENTRÉES DE TRÉSORERIE</w:t>
            </w:r>
          </w:p>
        </w:tc>
        <w:tc>
          <w:tcPr>
            <w:tcW w:w="220" w:type="pct"/>
            <w:tcBorders>
              <w:bottom w:val="single" w:sz="6" w:space="0" w:color="BFBFBF" w:themeColor="background1" w:themeShade="BF"/>
              <w:right w:val="single" w:sz="6" w:space="0" w:color="BFBFBF" w:themeColor="background1" w:themeShade="BF"/>
            </w:tcBorders>
            <w:shd w:val="clear" w:color="auto" w:fill="003399" w:themeFill="text2"/>
            <w:vAlign w:val="center"/>
          </w:tcPr>
          <w:p w14:paraId="00AE0603" w14:textId="77777777" w:rsidR="000D256C" w:rsidRPr="002948ED" w:rsidRDefault="000D256C" w:rsidP="00F77DBE">
            <w:pPr>
              <w:spacing w:before="100" w:after="100"/>
              <w:jc w:val="center"/>
              <w:rPr>
                <w:rFonts w:asciiTheme="majorHAnsi" w:hAnsiTheme="majorHAnsi"/>
                <w:b/>
                <w:iCs/>
                <w:noProof/>
                <w:color w:val="FFFFFF" w:themeColor="background1"/>
                <w:sz w:val="22"/>
                <w:szCs w:val="22"/>
              </w:rPr>
            </w:pPr>
          </w:p>
        </w:tc>
        <w:tc>
          <w:tcPr>
            <w:tcW w:w="406" w:type="pct"/>
            <w:tcBorders>
              <w:bottom w:val="single" w:sz="6" w:space="0" w:color="BFBFBF" w:themeColor="background1" w:themeShade="BF"/>
              <w:right w:val="single" w:sz="6" w:space="0" w:color="BFBFBF" w:themeColor="background1" w:themeShade="BF"/>
            </w:tcBorders>
            <w:shd w:val="clear" w:color="auto" w:fill="003399" w:themeFill="text2"/>
          </w:tcPr>
          <w:p w14:paraId="236F2545" w14:textId="2100CD56" w:rsidR="000D256C" w:rsidRPr="002948ED" w:rsidRDefault="000D256C" w:rsidP="00F77DBE">
            <w:pPr>
              <w:spacing w:before="100" w:after="100"/>
              <w:jc w:val="center"/>
              <w:rPr>
                <w:rFonts w:asciiTheme="majorHAnsi" w:hAnsiTheme="majorHAnsi"/>
                <w:b/>
                <w:iCs/>
                <w:noProof/>
                <w:color w:val="FFFFFF" w:themeColor="background1"/>
                <w:sz w:val="22"/>
                <w:szCs w:val="22"/>
              </w:rPr>
            </w:pPr>
            <w:r w:rsidRPr="002948ED">
              <w:rPr>
                <w:rFonts w:asciiTheme="majorHAnsi" w:hAnsiTheme="majorHAnsi"/>
                <w:b/>
                <w:noProof/>
                <w:color w:val="FFFFFF" w:themeColor="background1"/>
                <w:sz w:val="22"/>
              </w:rPr>
              <w:t>2027*</w:t>
            </w:r>
          </w:p>
        </w:tc>
        <w:tc>
          <w:tcPr>
            <w:tcW w:w="406" w:type="pct"/>
            <w:tcBorders>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003399" w:themeFill="text2"/>
            <w:vAlign w:val="center"/>
          </w:tcPr>
          <w:p w14:paraId="2F2954DE" w14:textId="6265D714" w:rsidR="000D256C" w:rsidRPr="002948ED" w:rsidRDefault="000D256C" w:rsidP="00F77DBE">
            <w:pPr>
              <w:spacing w:before="100" w:after="100"/>
              <w:jc w:val="center"/>
              <w:rPr>
                <w:rFonts w:asciiTheme="majorHAnsi" w:hAnsiTheme="majorHAnsi"/>
                <w:b/>
                <w:iCs/>
                <w:noProof/>
                <w:color w:val="FFFFFF" w:themeColor="background1"/>
                <w:sz w:val="22"/>
                <w:szCs w:val="22"/>
              </w:rPr>
            </w:pPr>
            <w:r w:rsidRPr="002948ED">
              <w:rPr>
                <w:rFonts w:asciiTheme="majorHAnsi" w:hAnsiTheme="majorHAnsi"/>
                <w:b/>
                <w:noProof/>
                <w:color w:val="FFFFFF" w:themeColor="background1"/>
                <w:sz w:val="22"/>
              </w:rPr>
              <w:t>2028</w:t>
            </w:r>
          </w:p>
        </w:tc>
        <w:tc>
          <w:tcPr>
            <w:tcW w:w="406" w:type="pct"/>
            <w:tcBorders>
              <w:bottom w:val="single" w:sz="6" w:space="0" w:color="BFBFBF" w:themeColor="background1" w:themeShade="BF"/>
              <w:right w:val="single" w:sz="6" w:space="0" w:color="BFBFBF" w:themeColor="background1" w:themeShade="BF"/>
            </w:tcBorders>
            <w:shd w:val="clear" w:color="auto" w:fill="003399" w:themeFill="text2"/>
            <w:vAlign w:val="center"/>
          </w:tcPr>
          <w:p w14:paraId="5FA98FD4" w14:textId="54C6C9CA" w:rsidR="000D256C" w:rsidRPr="002948ED" w:rsidRDefault="000D256C" w:rsidP="00F77DBE">
            <w:pPr>
              <w:spacing w:before="100" w:after="100"/>
              <w:jc w:val="center"/>
              <w:rPr>
                <w:rFonts w:asciiTheme="majorHAnsi" w:hAnsiTheme="majorHAnsi"/>
                <w:b/>
                <w:iCs/>
                <w:noProof/>
                <w:color w:val="FFFFFF" w:themeColor="background1"/>
                <w:sz w:val="22"/>
                <w:szCs w:val="22"/>
              </w:rPr>
            </w:pPr>
            <w:r w:rsidRPr="002948ED">
              <w:rPr>
                <w:rFonts w:asciiTheme="majorHAnsi" w:hAnsiTheme="majorHAnsi"/>
                <w:b/>
                <w:noProof/>
                <w:color w:val="FFFFFF" w:themeColor="background1"/>
                <w:sz w:val="22"/>
              </w:rPr>
              <w:t>2029</w:t>
            </w:r>
          </w:p>
        </w:tc>
        <w:tc>
          <w:tcPr>
            <w:tcW w:w="406" w:type="pct"/>
            <w:tcBorders>
              <w:bottom w:val="single" w:sz="6" w:space="0" w:color="BFBFBF" w:themeColor="background1" w:themeShade="BF"/>
              <w:right w:val="single" w:sz="6" w:space="0" w:color="BFBFBF" w:themeColor="background1" w:themeShade="BF"/>
            </w:tcBorders>
            <w:shd w:val="clear" w:color="auto" w:fill="003399" w:themeFill="text2"/>
            <w:vAlign w:val="center"/>
          </w:tcPr>
          <w:p w14:paraId="06FFB2CA" w14:textId="227E3253" w:rsidR="000D256C" w:rsidRPr="002948ED" w:rsidRDefault="000D256C" w:rsidP="00F77DBE">
            <w:pPr>
              <w:spacing w:before="100" w:after="100"/>
              <w:jc w:val="center"/>
              <w:rPr>
                <w:rFonts w:asciiTheme="majorHAnsi" w:hAnsiTheme="majorHAnsi"/>
                <w:b/>
                <w:iCs/>
                <w:noProof/>
                <w:color w:val="FFFFFF" w:themeColor="background1"/>
                <w:sz w:val="22"/>
                <w:szCs w:val="22"/>
              </w:rPr>
            </w:pPr>
            <w:r w:rsidRPr="002948ED">
              <w:rPr>
                <w:rFonts w:asciiTheme="majorHAnsi" w:hAnsiTheme="majorHAnsi"/>
                <w:b/>
                <w:noProof/>
                <w:color w:val="FFFFFF" w:themeColor="background1"/>
                <w:sz w:val="22"/>
              </w:rPr>
              <w:t>2030</w:t>
            </w:r>
          </w:p>
        </w:tc>
        <w:tc>
          <w:tcPr>
            <w:tcW w:w="406" w:type="pct"/>
            <w:tcBorders>
              <w:bottom w:val="single" w:sz="6" w:space="0" w:color="BFBFBF" w:themeColor="background1" w:themeShade="BF"/>
              <w:right w:val="single" w:sz="6" w:space="0" w:color="BFBFBF" w:themeColor="background1" w:themeShade="BF"/>
            </w:tcBorders>
            <w:shd w:val="clear" w:color="auto" w:fill="003399" w:themeFill="text2"/>
            <w:vAlign w:val="center"/>
          </w:tcPr>
          <w:p w14:paraId="1A7AA76F" w14:textId="201C1B1D" w:rsidR="000D256C" w:rsidRPr="002948ED" w:rsidRDefault="000D256C" w:rsidP="00F77DBE">
            <w:pPr>
              <w:spacing w:before="100" w:after="100"/>
              <w:jc w:val="center"/>
              <w:rPr>
                <w:rFonts w:asciiTheme="majorHAnsi" w:hAnsiTheme="majorHAnsi"/>
                <w:b/>
                <w:iCs/>
                <w:noProof/>
                <w:color w:val="FFFFFF" w:themeColor="background1"/>
                <w:sz w:val="22"/>
                <w:szCs w:val="22"/>
              </w:rPr>
            </w:pPr>
            <w:r w:rsidRPr="002948ED">
              <w:rPr>
                <w:rFonts w:asciiTheme="majorHAnsi" w:hAnsiTheme="majorHAnsi"/>
                <w:b/>
                <w:noProof/>
                <w:color w:val="FFFFFF" w:themeColor="background1"/>
                <w:sz w:val="22"/>
              </w:rPr>
              <w:t>2031</w:t>
            </w:r>
          </w:p>
        </w:tc>
        <w:tc>
          <w:tcPr>
            <w:tcW w:w="406" w:type="pct"/>
            <w:tcBorders>
              <w:bottom w:val="single" w:sz="6" w:space="0" w:color="BFBFBF" w:themeColor="background1" w:themeShade="BF"/>
              <w:right w:val="single" w:sz="6" w:space="0" w:color="BFBFBF" w:themeColor="background1" w:themeShade="BF"/>
            </w:tcBorders>
            <w:shd w:val="clear" w:color="auto" w:fill="003399" w:themeFill="text2"/>
          </w:tcPr>
          <w:p w14:paraId="6E75FBB4" w14:textId="6C324FB0" w:rsidR="000D256C" w:rsidRPr="002948ED" w:rsidRDefault="000D256C" w:rsidP="00F77DBE">
            <w:pPr>
              <w:spacing w:before="100" w:after="100"/>
              <w:jc w:val="center"/>
              <w:rPr>
                <w:rFonts w:asciiTheme="majorHAnsi" w:hAnsiTheme="majorHAnsi"/>
                <w:b/>
                <w:iCs/>
                <w:noProof/>
                <w:color w:val="FFFFFF" w:themeColor="background1"/>
                <w:sz w:val="22"/>
                <w:szCs w:val="22"/>
              </w:rPr>
            </w:pPr>
            <w:r w:rsidRPr="002948ED">
              <w:rPr>
                <w:rFonts w:asciiTheme="majorHAnsi" w:hAnsiTheme="majorHAnsi"/>
                <w:b/>
                <w:noProof/>
                <w:color w:val="FFFFFF" w:themeColor="background1"/>
                <w:sz w:val="22"/>
              </w:rPr>
              <w:t>2032</w:t>
            </w:r>
          </w:p>
        </w:tc>
        <w:tc>
          <w:tcPr>
            <w:tcW w:w="406" w:type="pct"/>
            <w:tcBorders>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003399" w:themeFill="text2"/>
          </w:tcPr>
          <w:p w14:paraId="35F55781" w14:textId="726EDC96" w:rsidR="000D256C" w:rsidRPr="002948ED" w:rsidRDefault="000D256C" w:rsidP="00F77DBE">
            <w:pPr>
              <w:spacing w:before="100" w:after="100"/>
              <w:jc w:val="center"/>
              <w:rPr>
                <w:rFonts w:asciiTheme="majorHAnsi" w:hAnsiTheme="majorHAnsi"/>
                <w:b/>
                <w:iCs/>
                <w:noProof/>
                <w:color w:val="FFFFFF" w:themeColor="background1"/>
                <w:sz w:val="22"/>
                <w:szCs w:val="22"/>
              </w:rPr>
            </w:pPr>
            <w:r w:rsidRPr="002948ED">
              <w:rPr>
                <w:rFonts w:asciiTheme="majorHAnsi" w:hAnsiTheme="majorHAnsi"/>
                <w:b/>
                <w:noProof/>
                <w:color w:val="FFFFFF" w:themeColor="background1"/>
                <w:sz w:val="22"/>
              </w:rPr>
              <w:t>2033</w:t>
            </w:r>
          </w:p>
        </w:tc>
        <w:tc>
          <w:tcPr>
            <w:tcW w:w="406" w:type="pct"/>
            <w:tcBorders>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003399" w:themeFill="text2"/>
          </w:tcPr>
          <w:p w14:paraId="3916FC76" w14:textId="06F8089A" w:rsidR="000D256C" w:rsidRPr="002948ED" w:rsidRDefault="000D256C" w:rsidP="00F77DBE">
            <w:pPr>
              <w:spacing w:before="100" w:after="100"/>
              <w:jc w:val="center"/>
              <w:rPr>
                <w:rFonts w:asciiTheme="majorHAnsi" w:hAnsiTheme="majorHAnsi"/>
                <w:b/>
                <w:iCs/>
                <w:noProof/>
                <w:color w:val="FFFFFF" w:themeColor="background1"/>
                <w:sz w:val="22"/>
                <w:szCs w:val="22"/>
              </w:rPr>
            </w:pPr>
            <w:r w:rsidRPr="002948ED">
              <w:rPr>
                <w:rFonts w:asciiTheme="majorHAnsi" w:hAnsiTheme="majorHAnsi"/>
                <w:b/>
                <w:noProof/>
                <w:color w:val="FFFFFF" w:themeColor="background1"/>
                <w:sz w:val="22"/>
              </w:rPr>
              <w:t>2034</w:t>
            </w:r>
          </w:p>
        </w:tc>
        <w:tc>
          <w:tcPr>
            <w:tcW w:w="403" w:type="pct"/>
            <w:tcBorders>
              <w:left w:val="single" w:sz="6" w:space="0" w:color="BFBFBF" w:themeColor="background1" w:themeShade="BF"/>
              <w:bottom w:val="single" w:sz="6" w:space="0" w:color="BFBFBF" w:themeColor="background1" w:themeShade="BF"/>
            </w:tcBorders>
            <w:shd w:val="clear" w:color="auto" w:fill="003399" w:themeFill="text2"/>
            <w:vAlign w:val="center"/>
          </w:tcPr>
          <w:p w14:paraId="3F4612F0" w14:textId="033E9385" w:rsidR="000D256C" w:rsidRPr="002948ED" w:rsidRDefault="000D256C" w:rsidP="00F77DBE">
            <w:pPr>
              <w:spacing w:before="100" w:after="100"/>
              <w:jc w:val="center"/>
              <w:rPr>
                <w:rFonts w:asciiTheme="majorHAnsi" w:hAnsiTheme="majorHAnsi"/>
                <w:b/>
                <w:iCs/>
                <w:noProof/>
                <w:color w:val="FFFFFF" w:themeColor="background1"/>
                <w:sz w:val="22"/>
                <w:szCs w:val="22"/>
              </w:rPr>
            </w:pPr>
            <w:r w:rsidRPr="002948ED">
              <w:rPr>
                <w:rFonts w:asciiTheme="majorHAnsi" w:hAnsiTheme="majorHAnsi"/>
                <w:b/>
                <w:noProof/>
                <w:color w:val="FFFFFF" w:themeColor="background1"/>
                <w:sz w:val="22"/>
              </w:rPr>
              <w:t>Total</w:t>
            </w:r>
          </w:p>
        </w:tc>
      </w:tr>
      <w:tr w:rsidR="00D967DE" w:rsidRPr="002948ED" w14:paraId="4811B134" w14:textId="77777777" w:rsidTr="00D967DE">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3D2D98F" w14:textId="0E4C2E14" w:rsidR="00D967DE" w:rsidRPr="002948ED" w:rsidRDefault="00D967DE" w:rsidP="00D967DE">
            <w:pPr>
              <w:spacing w:before="100" w:after="100"/>
              <w:rPr>
                <w:rFonts w:asciiTheme="majorHAnsi" w:hAnsiTheme="majorHAnsi"/>
                <w:b/>
                <w:iCs/>
                <w:noProof/>
                <w:color w:val="003399" w:themeColor="text2"/>
                <w:sz w:val="22"/>
                <w:szCs w:val="22"/>
              </w:rPr>
            </w:pPr>
            <w:r w:rsidRPr="002948ED">
              <w:rPr>
                <w:rFonts w:asciiTheme="majorHAnsi" w:hAnsiTheme="majorHAnsi"/>
                <w:b/>
                <w:noProof/>
                <w:color w:val="003399" w:themeColor="text2"/>
                <w:sz w:val="22"/>
              </w:rPr>
              <w:t>Plafond des ressources propres en pourcentage du revenu national brut de l’UE**</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AF10FE7" w14:textId="77777777" w:rsidR="00D967DE" w:rsidRPr="002948ED" w:rsidRDefault="00D967DE" w:rsidP="00FE4AEE">
            <w:pPr>
              <w:spacing w:before="100" w:after="100"/>
              <w:jc w:val="center"/>
              <w:rPr>
                <w:rFonts w:asciiTheme="majorHAnsi" w:hAnsiTheme="majorHAnsi"/>
                <w:b/>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DB3145B" w14:textId="3FDA2C78" w:rsidR="00D967DE" w:rsidRPr="002948ED" w:rsidRDefault="00D967DE" w:rsidP="00FE4AEE">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2,00 %</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CFBD94D" w14:textId="5A7457B9" w:rsidR="00D967DE" w:rsidRPr="002948ED" w:rsidRDefault="00D967DE" w:rsidP="00FE4AEE">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2,35 %</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4CC2448" w14:textId="53DD7540" w:rsidR="00D967DE" w:rsidRPr="002948ED" w:rsidRDefault="00D967DE" w:rsidP="00FE4AEE">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2,35 %</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698B8AC" w14:textId="6CAC1217" w:rsidR="00D967DE" w:rsidRPr="002948ED" w:rsidRDefault="00D967DE" w:rsidP="00FE4AEE">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2,35 %</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BF16226" w14:textId="2A3559AA" w:rsidR="00D967DE" w:rsidRPr="002948ED" w:rsidRDefault="00D967DE" w:rsidP="00FE4AEE">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2,35 %</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64F001C" w14:textId="14A97663" w:rsidR="00D967DE" w:rsidRPr="002948ED" w:rsidRDefault="00D967DE" w:rsidP="00FE4AEE">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2,35 %</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4BF3CB1" w14:textId="6CD366DD" w:rsidR="00D967DE" w:rsidRPr="002948ED" w:rsidRDefault="00D967DE" w:rsidP="00FE4AEE">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2,35 %</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0A6E1CB" w14:textId="6E02D2BE" w:rsidR="00D967DE" w:rsidRPr="002948ED" w:rsidRDefault="00D967DE" w:rsidP="00FE4AEE">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2,35 %</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6FC3DD67" w14:textId="6D102BC9" w:rsidR="00D967DE" w:rsidRPr="002948ED" w:rsidRDefault="00D967DE" w:rsidP="00FE4AEE">
            <w:pPr>
              <w:spacing w:before="100" w:after="100"/>
              <w:jc w:val="center"/>
              <w:rPr>
                <w:rFonts w:asciiTheme="majorHAnsi" w:hAnsiTheme="majorHAnsi"/>
                <w:b/>
                <w:bCs/>
                <w:iCs/>
                <w:noProof/>
                <w:sz w:val="22"/>
                <w:szCs w:val="22"/>
              </w:rPr>
            </w:pPr>
            <w:r w:rsidRPr="002948ED">
              <w:rPr>
                <w:rFonts w:asciiTheme="majorHAnsi" w:hAnsiTheme="majorHAnsi"/>
                <w:b/>
                <w:noProof/>
                <w:sz w:val="22"/>
              </w:rPr>
              <w:t>s.o.</w:t>
            </w:r>
          </w:p>
        </w:tc>
      </w:tr>
      <w:tr w:rsidR="00291794" w:rsidRPr="002948ED" w14:paraId="6AFCC232" w14:textId="77777777" w:rsidTr="00411000">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8789AF5" w14:textId="67E6D6B7" w:rsidR="2CD8512F" w:rsidRPr="002948ED" w:rsidRDefault="2CD8512F" w:rsidP="6856BD68">
            <w:pPr>
              <w:rPr>
                <w:rFonts w:asciiTheme="majorHAnsi" w:hAnsiTheme="majorHAnsi"/>
                <w:noProof/>
                <w:color w:val="003399" w:themeColor="text2"/>
                <w:sz w:val="22"/>
                <w:szCs w:val="22"/>
              </w:rPr>
            </w:pPr>
            <w:r w:rsidRPr="002948ED">
              <w:rPr>
                <w:rFonts w:asciiTheme="majorHAnsi" w:hAnsiTheme="majorHAnsi"/>
                <w:noProof/>
                <w:color w:val="003399" w:themeColor="text2"/>
                <w:sz w:val="22"/>
              </w:rPr>
              <w:t>Dont augmentation temporaire pour NextGenerationEU</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749C547" w14:textId="5356CFD0" w:rsidR="6856BD68" w:rsidRPr="002948ED" w:rsidRDefault="6856BD68" w:rsidP="00FE4AEE">
            <w:pPr>
              <w:jc w:val="center"/>
              <w:rPr>
                <w:rFonts w:asciiTheme="majorHAnsi" w:hAnsiTheme="majorHAnsi"/>
                <w:b/>
                <w:b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747292F" w14:textId="1DE01EF4" w:rsidR="2CD8512F" w:rsidRPr="002948ED" w:rsidRDefault="2CD8512F" w:rsidP="00FE4AEE">
            <w:pPr>
              <w:jc w:val="center"/>
              <w:rPr>
                <w:rFonts w:asciiTheme="majorHAnsi" w:hAnsiTheme="majorHAnsi"/>
                <w:noProof/>
                <w:color w:val="003399" w:themeColor="text2"/>
              </w:rPr>
            </w:pPr>
            <w:r w:rsidRPr="002948ED">
              <w:rPr>
                <w:rFonts w:asciiTheme="majorHAnsi" w:hAnsiTheme="majorHAnsi"/>
                <w:noProof/>
                <w:color w:val="003399" w:themeColor="text2"/>
              </w:rPr>
              <w:t>0,60 %</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C727847" w14:textId="74FC8F76" w:rsidR="2CD8512F" w:rsidRPr="002948ED" w:rsidRDefault="2CD8512F" w:rsidP="00FE4AEE">
            <w:pPr>
              <w:jc w:val="center"/>
              <w:rPr>
                <w:rFonts w:asciiTheme="majorHAnsi" w:hAnsiTheme="majorHAnsi"/>
                <w:noProof/>
                <w:color w:val="003399" w:themeColor="text2"/>
              </w:rPr>
            </w:pPr>
            <w:r w:rsidRPr="002948ED">
              <w:rPr>
                <w:rFonts w:asciiTheme="majorHAnsi" w:hAnsiTheme="majorHAnsi"/>
                <w:noProof/>
                <w:color w:val="003399" w:themeColor="text2"/>
              </w:rPr>
              <w:t>0,60 %</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4D0A8F8" w14:textId="1440D14A" w:rsidR="2CD8512F" w:rsidRPr="002948ED" w:rsidRDefault="2CD8512F" w:rsidP="00FE4AEE">
            <w:pPr>
              <w:jc w:val="center"/>
              <w:rPr>
                <w:rFonts w:asciiTheme="majorHAnsi" w:hAnsiTheme="majorHAnsi"/>
                <w:noProof/>
                <w:color w:val="003399" w:themeColor="text2"/>
              </w:rPr>
            </w:pPr>
            <w:r w:rsidRPr="002948ED">
              <w:rPr>
                <w:rFonts w:asciiTheme="majorHAnsi" w:hAnsiTheme="majorHAnsi"/>
                <w:noProof/>
                <w:color w:val="003399" w:themeColor="text2"/>
              </w:rPr>
              <w:t>0,60 %</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883C80C" w14:textId="020DDDAA" w:rsidR="2CD8512F" w:rsidRPr="002948ED" w:rsidRDefault="2CD8512F" w:rsidP="00FE4AEE">
            <w:pPr>
              <w:jc w:val="center"/>
              <w:rPr>
                <w:rFonts w:asciiTheme="majorHAnsi" w:hAnsiTheme="majorHAnsi"/>
                <w:noProof/>
                <w:color w:val="003399" w:themeColor="text2"/>
              </w:rPr>
            </w:pPr>
            <w:r w:rsidRPr="002948ED">
              <w:rPr>
                <w:rFonts w:asciiTheme="majorHAnsi" w:hAnsiTheme="majorHAnsi"/>
                <w:noProof/>
                <w:color w:val="003399" w:themeColor="text2"/>
              </w:rPr>
              <w:t>0,60 %</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699B14A" w14:textId="050B5A9E" w:rsidR="2CD8512F" w:rsidRPr="002948ED" w:rsidRDefault="2CD8512F" w:rsidP="00FE4AEE">
            <w:pPr>
              <w:jc w:val="center"/>
              <w:rPr>
                <w:rFonts w:asciiTheme="majorHAnsi" w:hAnsiTheme="majorHAnsi"/>
                <w:noProof/>
                <w:color w:val="003399" w:themeColor="text2"/>
              </w:rPr>
            </w:pPr>
            <w:r w:rsidRPr="002948ED">
              <w:rPr>
                <w:rFonts w:asciiTheme="majorHAnsi" w:hAnsiTheme="majorHAnsi"/>
                <w:noProof/>
                <w:color w:val="003399" w:themeColor="text2"/>
              </w:rPr>
              <w:t>0,60 %</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EB0010E" w14:textId="25410F94" w:rsidR="2CD8512F" w:rsidRPr="002948ED" w:rsidRDefault="2CD8512F" w:rsidP="00FE4AEE">
            <w:pPr>
              <w:jc w:val="center"/>
              <w:rPr>
                <w:rFonts w:asciiTheme="majorHAnsi" w:hAnsiTheme="majorHAnsi"/>
                <w:noProof/>
                <w:color w:val="003399" w:themeColor="text2"/>
              </w:rPr>
            </w:pPr>
            <w:r w:rsidRPr="002948ED">
              <w:rPr>
                <w:rFonts w:asciiTheme="majorHAnsi" w:hAnsiTheme="majorHAnsi"/>
                <w:noProof/>
                <w:color w:val="003399" w:themeColor="text2"/>
              </w:rPr>
              <w:t>0,60 %</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FF4BD1E" w14:textId="383DADDA" w:rsidR="2CD8512F" w:rsidRPr="002948ED" w:rsidRDefault="2CD8512F" w:rsidP="00FE4AEE">
            <w:pPr>
              <w:jc w:val="center"/>
              <w:rPr>
                <w:rFonts w:asciiTheme="majorHAnsi" w:hAnsiTheme="majorHAnsi"/>
                <w:noProof/>
                <w:color w:val="003399" w:themeColor="text2"/>
              </w:rPr>
            </w:pPr>
            <w:r w:rsidRPr="002948ED">
              <w:rPr>
                <w:rFonts w:asciiTheme="majorHAnsi" w:hAnsiTheme="majorHAnsi"/>
                <w:noProof/>
                <w:color w:val="003399" w:themeColor="text2"/>
              </w:rPr>
              <w:t>0,60 %</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D28335A" w14:textId="4DEAEF28" w:rsidR="2CD8512F" w:rsidRPr="002948ED" w:rsidRDefault="2CD8512F" w:rsidP="00FE4AEE">
            <w:pPr>
              <w:jc w:val="center"/>
              <w:rPr>
                <w:rFonts w:asciiTheme="majorHAnsi" w:hAnsiTheme="majorHAnsi"/>
                <w:noProof/>
                <w:color w:val="003399" w:themeColor="text2"/>
              </w:rPr>
            </w:pPr>
            <w:r w:rsidRPr="002948ED">
              <w:rPr>
                <w:rFonts w:asciiTheme="majorHAnsi" w:hAnsiTheme="majorHAnsi"/>
                <w:noProof/>
                <w:color w:val="003399" w:themeColor="text2"/>
              </w:rPr>
              <w:t>0,60 %</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4F8CCE5F" w14:textId="197DD68E" w:rsidR="2CD8512F" w:rsidRPr="002948ED" w:rsidRDefault="2CD8512F" w:rsidP="00FE4AEE">
            <w:pPr>
              <w:jc w:val="center"/>
              <w:rPr>
                <w:rFonts w:asciiTheme="majorHAnsi" w:hAnsiTheme="majorHAnsi"/>
                <w:b/>
                <w:bCs/>
                <w:noProof/>
                <w:sz w:val="22"/>
                <w:szCs w:val="22"/>
              </w:rPr>
            </w:pPr>
            <w:r w:rsidRPr="002948ED">
              <w:rPr>
                <w:rFonts w:asciiTheme="majorHAnsi" w:hAnsiTheme="majorHAnsi"/>
                <w:b/>
                <w:noProof/>
                <w:sz w:val="22"/>
              </w:rPr>
              <w:t>s.o.</w:t>
            </w:r>
          </w:p>
        </w:tc>
      </w:tr>
      <w:tr w:rsidR="006B0EB7" w:rsidRPr="002948ED" w14:paraId="377EF73D" w14:textId="77777777" w:rsidTr="00FE4AEE">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6351E597" w14:textId="191EA2C1" w:rsidR="006B0EB7" w:rsidRPr="002948ED" w:rsidRDefault="006B0EB7" w:rsidP="006B0EB7">
            <w:pPr>
              <w:spacing w:before="100" w:after="100"/>
              <w:rPr>
                <w:rFonts w:asciiTheme="majorHAnsi" w:hAnsiTheme="majorHAnsi"/>
                <w:b/>
                <w:iCs/>
                <w:noProof/>
                <w:color w:val="003399" w:themeColor="text2"/>
                <w:sz w:val="22"/>
                <w:szCs w:val="22"/>
              </w:rPr>
            </w:pPr>
            <w:r w:rsidRPr="002948ED">
              <w:rPr>
                <w:rFonts w:asciiTheme="majorHAnsi" w:hAnsiTheme="majorHAnsi"/>
                <w:b/>
                <w:noProof/>
                <w:color w:val="003399" w:themeColor="text2"/>
                <w:sz w:val="22"/>
              </w:rPr>
              <w:t>Plafond des ressources propres en milliards d’EUR</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7E1AF71" w14:textId="5569B819" w:rsidR="006B0EB7" w:rsidRPr="002948ED" w:rsidRDefault="3C2C0FA0" w:rsidP="00FE4AEE">
            <w:pPr>
              <w:spacing w:before="100" w:after="100"/>
              <w:jc w:val="center"/>
              <w:rPr>
                <w:rFonts w:asciiTheme="majorHAnsi" w:hAnsiTheme="majorHAnsi"/>
                <w:b/>
                <w:iCs/>
                <w:noProof/>
                <w:color w:val="003399" w:themeColor="text2"/>
              </w:rPr>
            </w:pPr>
            <w:r w:rsidRPr="002948ED">
              <w:rPr>
                <w:rFonts w:asciiTheme="majorHAnsi" w:hAnsiTheme="majorHAnsi"/>
                <w:b/>
                <w:noProof/>
                <w:color w:val="003399" w:themeColor="text2"/>
              </w:rPr>
              <w:t>A</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7978FB9" w14:textId="61DFC6D6" w:rsidR="006B0EB7" w:rsidRPr="002948ED" w:rsidRDefault="006B0EB7" w:rsidP="00FE4AEE">
            <w:pPr>
              <w:spacing w:before="100" w:after="100"/>
              <w:jc w:val="center"/>
              <w:rPr>
                <w:rFonts w:asciiTheme="majorHAnsi" w:hAnsiTheme="majorHAnsi"/>
                <w:b/>
                <w:bCs/>
                <w:iCs/>
                <w:noProof/>
                <w:color w:val="003399" w:themeColor="text2"/>
              </w:rPr>
            </w:pPr>
            <w:r w:rsidRPr="002948ED">
              <w:rPr>
                <w:b/>
                <w:noProof/>
                <w:color w:val="003399" w:themeColor="text2"/>
              </w:rPr>
              <w:t>403,8</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081456E0" w14:textId="21BD5CB9" w:rsidR="006B0EB7" w:rsidRPr="002948ED" w:rsidRDefault="006B0EB7" w:rsidP="00FE4AEE">
            <w:pPr>
              <w:spacing w:before="100" w:after="100"/>
              <w:jc w:val="center"/>
              <w:rPr>
                <w:rFonts w:asciiTheme="majorHAnsi" w:hAnsiTheme="majorHAnsi"/>
                <w:b/>
                <w:bCs/>
                <w:iCs/>
                <w:noProof/>
                <w:color w:val="003399" w:themeColor="text2"/>
              </w:rPr>
            </w:pPr>
            <w:r w:rsidRPr="002948ED">
              <w:rPr>
                <w:b/>
                <w:noProof/>
                <w:color w:val="003399" w:themeColor="text2"/>
              </w:rPr>
              <w:t>493,0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0F55742B" w14:textId="789ADE73" w:rsidR="006B0EB7" w:rsidRPr="002948ED" w:rsidRDefault="006B0EB7" w:rsidP="00FE4AEE">
            <w:pPr>
              <w:spacing w:before="100" w:after="100"/>
              <w:jc w:val="center"/>
              <w:rPr>
                <w:rFonts w:asciiTheme="majorHAnsi" w:hAnsiTheme="majorHAnsi"/>
                <w:b/>
                <w:bCs/>
                <w:iCs/>
                <w:noProof/>
                <w:color w:val="003399" w:themeColor="text2"/>
              </w:rPr>
            </w:pPr>
            <w:r w:rsidRPr="002948ED">
              <w:rPr>
                <w:b/>
                <w:noProof/>
                <w:color w:val="003399" w:themeColor="text2"/>
              </w:rPr>
              <w:t>511,4</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C565037" w14:textId="74CCEED6" w:rsidR="006B0EB7" w:rsidRPr="002948ED" w:rsidRDefault="006B0EB7" w:rsidP="00FE4AEE">
            <w:pPr>
              <w:spacing w:before="100" w:after="100"/>
              <w:jc w:val="center"/>
              <w:rPr>
                <w:rFonts w:asciiTheme="majorHAnsi" w:hAnsiTheme="majorHAnsi"/>
                <w:b/>
                <w:bCs/>
                <w:iCs/>
                <w:noProof/>
                <w:color w:val="003399" w:themeColor="text2"/>
              </w:rPr>
            </w:pPr>
            <w:r w:rsidRPr="002948ED">
              <w:rPr>
                <w:b/>
                <w:noProof/>
                <w:color w:val="003399" w:themeColor="text2"/>
              </w:rPr>
              <w:t>530,1</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76502977" w14:textId="3C06D402" w:rsidR="006B0EB7" w:rsidRPr="002948ED" w:rsidRDefault="006B0EB7" w:rsidP="00FE4AEE">
            <w:pPr>
              <w:spacing w:before="100" w:after="100"/>
              <w:jc w:val="center"/>
              <w:rPr>
                <w:rFonts w:asciiTheme="majorHAnsi" w:hAnsiTheme="majorHAnsi"/>
                <w:b/>
                <w:bCs/>
                <w:iCs/>
                <w:noProof/>
                <w:color w:val="003399" w:themeColor="text2"/>
              </w:rPr>
            </w:pPr>
            <w:r w:rsidRPr="002948ED">
              <w:rPr>
                <w:b/>
                <w:noProof/>
                <w:color w:val="003399" w:themeColor="text2"/>
              </w:rPr>
              <w:t>548,0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7C53B21D" w14:textId="6C4AA491" w:rsidR="006B0EB7" w:rsidRPr="002948ED" w:rsidRDefault="006B0EB7" w:rsidP="00FE4AEE">
            <w:pPr>
              <w:spacing w:before="100" w:after="100"/>
              <w:jc w:val="center"/>
              <w:rPr>
                <w:rFonts w:asciiTheme="majorHAnsi" w:hAnsiTheme="majorHAnsi"/>
                <w:b/>
                <w:bCs/>
                <w:iCs/>
                <w:noProof/>
                <w:color w:val="003399" w:themeColor="text2"/>
              </w:rPr>
            </w:pPr>
            <w:r w:rsidRPr="002948ED">
              <w:rPr>
                <w:b/>
                <w:noProof/>
                <w:color w:val="003399" w:themeColor="text2"/>
              </w:rPr>
              <w:t>566,1</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6D0406D" w14:textId="1AD20E2D" w:rsidR="006B0EB7" w:rsidRPr="002948ED" w:rsidRDefault="006B0EB7" w:rsidP="00FE4AEE">
            <w:pPr>
              <w:spacing w:before="100" w:after="100"/>
              <w:jc w:val="center"/>
              <w:rPr>
                <w:rFonts w:asciiTheme="majorHAnsi" w:hAnsiTheme="majorHAnsi"/>
                <w:b/>
                <w:bCs/>
                <w:iCs/>
                <w:noProof/>
                <w:color w:val="003399" w:themeColor="text2"/>
              </w:rPr>
            </w:pPr>
            <w:r w:rsidRPr="002948ED">
              <w:rPr>
                <w:b/>
                <w:noProof/>
                <w:color w:val="003399" w:themeColor="text2"/>
              </w:rPr>
              <w:t>584,2</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0C5FBDA" w14:textId="6C16FADC" w:rsidR="006B0EB7" w:rsidRPr="002948ED" w:rsidRDefault="006B0EB7" w:rsidP="00FE4AEE">
            <w:pPr>
              <w:spacing w:before="100" w:after="100"/>
              <w:jc w:val="center"/>
              <w:rPr>
                <w:rFonts w:asciiTheme="majorHAnsi" w:hAnsiTheme="majorHAnsi"/>
                <w:b/>
                <w:bCs/>
                <w:iCs/>
                <w:noProof/>
                <w:color w:val="003399" w:themeColor="text2"/>
              </w:rPr>
            </w:pPr>
            <w:r w:rsidRPr="002948ED">
              <w:rPr>
                <w:b/>
                <w:noProof/>
                <w:color w:val="003399" w:themeColor="text2"/>
              </w:rPr>
              <w:t>602,3</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shd w:val="clear" w:color="auto" w:fill="F3F7FF" w:themeFill="background2"/>
            <w:vAlign w:val="center"/>
          </w:tcPr>
          <w:p w14:paraId="31E4F45A" w14:textId="13039049" w:rsidR="006B0EB7" w:rsidRPr="002948ED" w:rsidRDefault="6C959BBE" w:rsidP="00FE4AEE">
            <w:pPr>
              <w:spacing w:before="100" w:after="100"/>
              <w:jc w:val="center"/>
              <w:rPr>
                <w:rFonts w:asciiTheme="majorHAnsi" w:hAnsiTheme="majorHAnsi"/>
                <w:b/>
                <w:bCs/>
                <w:iCs/>
                <w:noProof/>
                <w:sz w:val="22"/>
                <w:szCs w:val="22"/>
              </w:rPr>
            </w:pPr>
            <w:r w:rsidRPr="002948ED">
              <w:rPr>
                <w:b/>
                <w:noProof/>
                <w:sz w:val="22"/>
              </w:rPr>
              <w:t>s.o.</w:t>
            </w:r>
          </w:p>
        </w:tc>
      </w:tr>
      <w:tr w:rsidR="00291794" w:rsidRPr="002948ED" w14:paraId="108AF2D6" w14:textId="77777777" w:rsidTr="00FE4AEE">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4BF3DCBF" w14:textId="422FC0CE" w:rsidR="5AEBA257" w:rsidRPr="002948ED" w:rsidRDefault="5AEBA257" w:rsidP="6856BD68">
            <w:pPr>
              <w:rPr>
                <w:rFonts w:asciiTheme="majorHAnsi" w:hAnsiTheme="majorHAnsi"/>
                <w:noProof/>
                <w:color w:val="003399" w:themeColor="text2"/>
                <w:sz w:val="22"/>
                <w:szCs w:val="22"/>
              </w:rPr>
            </w:pPr>
            <w:r w:rsidRPr="002948ED">
              <w:rPr>
                <w:rFonts w:asciiTheme="majorHAnsi" w:hAnsiTheme="majorHAnsi"/>
                <w:noProof/>
                <w:color w:val="003399" w:themeColor="text2"/>
                <w:sz w:val="22"/>
              </w:rPr>
              <w:t>Dont augmentation temporaire pour NextGenerationEU</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39D9B6B3" w14:textId="5E734DEF" w:rsidR="5AEBA257" w:rsidRPr="002948ED" w:rsidRDefault="5AEBA257" w:rsidP="00FE4AEE">
            <w:pPr>
              <w:jc w:val="center"/>
              <w:rPr>
                <w:rFonts w:asciiTheme="majorHAnsi" w:hAnsiTheme="majorHAnsi"/>
                <w:noProof/>
                <w:color w:val="003399" w:themeColor="text2"/>
              </w:rPr>
            </w:pPr>
            <w:r w:rsidRPr="002948ED">
              <w:rPr>
                <w:rFonts w:asciiTheme="majorHAnsi" w:hAnsiTheme="majorHAnsi"/>
                <w:noProof/>
                <w:color w:val="003399" w:themeColor="text2"/>
              </w:rPr>
              <w:t>A’</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1A0CB42" w14:textId="26778AFE" w:rsidR="561D5332" w:rsidRPr="002948ED" w:rsidRDefault="561D5332" w:rsidP="00FE4AEE">
            <w:pPr>
              <w:jc w:val="center"/>
              <w:rPr>
                <w:noProof/>
                <w:color w:val="003399" w:themeColor="text2"/>
              </w:rPr>
            </w:pPr>
            <w:r w:rsidRPr="002948ED">
              <w:rPr>
                <w:noProof/>
                <w:color w:val="003399" w:themeColor="text2"/>
              </w:rPr>
              <w:t>121,2</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4882E3FE" w14:textId="4F49A992" w:rsidR="561D5332" w:rsidRPr="002948ED" w:rsidRDefault="561D5332" w:rsidP="00FE4AEE">
            <w:pPr>
              <w:jc w:val="center"/>
              <w:rPr>
                <w:noProof/>
                <w:color w:val="003399" w:themeColor="text2"/>
              </w:rPr>
            </w:pPr>
            <w:r w:rsidRPr="002948ED">
              <w:rPr>
                <w:noProof/>
                <w:color w:val="003399" w:themeColor="text2"/>
              </w:rPr>
              <w:t>125,9</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2515F73A" w14:textId="5A19745B" w:rsidR="561D5332" w:rsidRPr="002948ED" w:rsidRDefault="561D5332" w:rsidP="00FE4AEE">
            <w:pPr>
              <w:jc w:val="center"/>
              <w:rPr>
                <w:noProof/>
                <w:color w:val="003399" w:themeColor="text2"/>
              </w:rPr>
            </w:pPr>
            <w:r w:rsidRPr="002948ED">
              <w:rPr>
                <w:noProof/>
                <w:color w:val="003399" w:themeColor="text2"/>
              </w:rPr>
              <w:t>130,6</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6D701D4A" w14:textId="1D91A133" w:rsidR="561D5332" w:rsidRPr="002948ED" w:rsidRDefault="561D5332" w:rsidP="00FE4AEE">
            <w:pPr>
              <w:jc w:val="center"/>
              <w:rPr>
                <w:noProof/>
                <w:color w:val="003399" w:themeColor="text2"/>
              </w:rPr>
            </w:pPr>
            <w:r w:rsidRPr="002948ED">
              <w:rPr>
                <w:noProof/>
                <w:color w:val="003399" w:themeColor="text2"/>
              </w:rPr>
              <w:t>135,3</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6CCE5339" w14:textId="53A95706" w:rsidR="561D5332" w:rsidRPr="002948ED" w:rsidRDefault="561D5332" w:rsidP="00FE4AEE">
            <w:pPr>
              <w:jc w:val="center"/>
              <w:rPr>
                <w:noProof/>
                <w:color w:val="003399" w:themeColor="text2"/>
              </w:rPr>
            </w:pPr>
            <w:r w:rsidRPr="002948ED">
              <w:rPr>
                <w:noProof/>
                <w:color w:val="003399" w:themeColor="text2"/>
              </w:rPr>
              <w:t>139,9</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3EDA0276" w14:textId="227C50FB" w:rsidR="561D5332" w:rsidRPr="002948ED" w:rsidRDefault="561D5332" w:rsidP="00FE4AEE">
            <w:pPr>
              <w:jc w:val="center"/>
              <w:rPr>
                <w:noProof/>
                <w:color w:val="003399" w:themeColor="text2"/>
              </w:rPr>
            </w:pPr>
            <w:r w:rsidRPr="002948ED">
              <w:rPr>
                <w:noProof/>
                <w:color w:val="003399" w:themeColor="text2"/>
              </w:rPr>
              <w:t>144,5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2DED9729" w14:textId="018A4774" w:rsidR="561D5332" w:rsidRPr="002948ED" w:rsidRDefault="561D5332" w:rsidP="00FE4AEE">
            <w:pPr>
              <w:jc w:val="center"/>
              <w:rPr>
                <w:noProof/>
                <w:color w:val="003399" w:themeColor="text2"/>
              </w:rPr>
            </w:pPr>
            <w:r w:rsidRPr="002948ED">
              <w:rPr>
                <w:noProof/>
                <w:color w:val="003399" w:themeColor="text2"/>
              </w:rPr>
              <w:t>149,1</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719A011C" w14:textId="0E805005" w:rsidR="561D5332" w:rsidRPr="002948ED" w:rsidRDefault="561D5332" w:rsidP="00FE4AEE">
            <w:pPr>
              <w:jc w:val="center"/>
              <w:rPr>
                <w:noProof/>
                <w:color w:val="003399" w:themeColor="text2"/>
              </w:rPr>
            </w:pPr>
            <w:r w:rsidRPr="002948ED">
              <w:rPr>
                <w:noProof/>
                <w:color w:val="003399" w:themeColor="text2"/>
              </w:rPr>
              <w:t>153,8</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shd w:val="clear" w:color="auto" w:fill="F3F7FF" w:themeFill="background2"/>
            <w:vAlign w:val="center"/>
          </w:tcPr>
          <w:p w14:paraId="6F5A379B" w14:textId="2B7D2AB4" w:rsidR="561D5332" w:rsidRPr="002948ED" w:rsidRDefault="561D5332" w:rsidP="00FE4AEE">
            <w:pPr>
              <w:jc w:val="center"/>
              <w:rPr>
                <w:b/>
                <w:bCs/>
                <w:noProof/>
                <w:sz w:val="22"/>
                <w:szCs w:val="22"/>
              </w:rPr>
            </w:pPr>
            <w:r w:rsidRPr="002948ED">
              <w:rPr>
                <w:b/>
                <w:noProof/>
                <w:sz w:val="22"/>
              </w:rPr>
              <w:t>s.o.</w:t>
            </w:r>
          </w:p>
        </w:tc>
      </w:tr>
      <w:tr w:rsidR="003A2400" w:rsidRPr="002948ED" w14:paraId="325027B8" w14:textId="77777777" w:rsidTr="005A4CD5">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810ACEE" w14:textId="1F799BF3" w:rsidR="003A2400" w:rsidRPr="002948ED" w:rsidRDefault="003A2400" w:rsidP="003A2400">
            <w:pPr>
              <w:spacing w:before="100" w:after="100"/>
              <w:rPr>
                <w:rFonts w:asciiTheme="majorHAnsi" w:hAnsiTheme="majorHAnsi"/>
                <w:b/>
                <w:bCs/>
                <w:iCs/>
                <w:noProof/>
                <w:color w:val="003399" w:themeColor="text2"/>
                <w:sz w:val="22"/>
                <w:szCs w:val="22"/>
              </w:rPr>
            </w:pPr>
            <w:r w:rsidRPr="002948ED">
              <w:rPr>
                <w:rFonts w:asciiTheme="majorHAnsi" w:hAnsiTheme="majorHAnsi"/>
                <w:b/>
                <w:noProof/>
                <w:color w:val="003399" w:themeColor="text2"/>
                <w:sz w:val="22"/>
              </w:rPr>
              <w:t>Total des ressources propres</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2C71A60" w14:textId="013931CF" w:rsidR="003A2400" w:rsidRPr="002948ED" w:rsidRDefault="003A2400" w:rsidP="003A2400">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B</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0BA1A05" w14:textId="0DBDF003" w:rsidR="003A2400" w:rsidRPr="002948ED" w:rsidRDefault="003A2400" w:rsidP="003A2400">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208,9</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B4BAEA5" w14:textId="09B53082" w:rsidR="003A2400" w:rsidRPr="002948ED" w:rsidRDefault="003A2400" w:rsidP="003A2400">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262,2</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1779447" w14:textId="0712AC7E" w:rsidR="003A2400" w:rsidRPr="002948ED" w:rsidRDefault="003A2400" w:rsidP="003A2400">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281,0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3806BAB" w14:textId="72701944" w:rsidR="003A2400" w:rsidRPr="002948ED" w:rsidRDefault="003A2400" w:rsidP="003A2400">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307,6</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0AF4CF9" w14:textId="51862815" w:rsidR="003A2400" w:rsidRPr="002948ED" w:rsidRDefault="003A2400" w:rsidP="003A2400">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269,0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028BBBC" w14:textId="22BC9A80" w:rsidR="003A2400" w:rsidRPr="002948ED" w:rsidRDefault="003A2400" w:rsidP="003A2400">
            <w:pPr>
              <w:spacing w:before="100" w:after="100"/>
              <w:jc w:val="center"/>
              <w:rPr>
                <w:rFonts w:asciiTheme="majorHAnsi" w:hAnsiTheme="majorHAnsi"/>
                <w:b/>
                <w:noProof/>
                <w:color w:val="003399" w:themeColor="text2"/>
              </w:rPr>
            </w:pPr>
            <w:r w:rsidRPr="002948ED">
              <w:rPr>
                <w:rFonts w:asciiTheme="majorHAnsi" w:hAnsiTheme="majorHAnsi"/>
                <w:b/>
                <w:noProof/>
                <w:color w:val="003399" w:themeColor="text2"/>
              </w:rPr>
              <w:t>280,5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5B6D584" w14:textId="387FF76B" w:rsidR="003A2400" w:rsidRPr="002948ED" w:rsidRDefault="003A2400" w:rsidP="003A2400">
            <w:pPr>
              <w:spacing w:before="100" w:after="100"/>
              <w:jc w:val="center"/>
              <w:rPr>
                <w:rFonts w:asciiTheme="majorHAnsi" w:hAnsiTheme="majorHAnsi"/>
                <w:b/>
                <w:noProof/>
                <w:color w:val="003399" w:themeColor="text2"/>
              </w:rPr>
            </w:pPr>
            <w:r w:rsidRPr="002948ED">
              <w:rPr>
                <w:rFonts w:asciiTheme="majorHAnsi" w:hAnsiTheme="majorHAnsi"/>
                <w:b/>
                <w:noProof/>
                <w:color w:val="003399" w:themeColor="text2"/>
              </w:rPr>
              <w:t>275,6</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22A07F6" w14:textId="20439253" w:rsidR="003A2400" w:rsidRPr="002948ED" w:rsidRDefault="003A2400" w:rsidP="003A2400">
            <w:pPr>
              <w:spacing w:before="100" w:after="100"/>
              <w:jc w:val="center"/>
              <w:rPr>
                <w:rFonts w:asciiTheme="majorHAnsi" w:hAnsiTheme="majorHAnsi"/>
                <w:b/>
                <w:noProof/>
                <w:color w:val="003399" w:themeColor="text2"/>
              </w:rPr>
            </w:pPr>
            <w:r w:rsidRPr="002948ED">
              <w:rPr>
                <w:rFonts w:asciiTheme="majorHAnsi" w:hAnsiTheme="majorHAnsi"/>
                <w:b/>
                <w:noProof/>
                <w:color w:val="003399" w:themeColor="text2"/>
              </w:rPr>
              <w:t>264,6</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01804E80" w14:textId="5B513472" w:rsidR="003A2400" w:rsidRPr="002948ED" w:rsidRDefault="003A2400" w:rsidP="003A2400">
            <w:pPr>
              <w:spacing w:before="100" w:after="100"/>
              <w:jc w:val="center"/>
              <w:rPr>
                <w:rFonts w:asciiTheme="majorHAnsi" w:hAnsiTheme="majorHAnsi"/>
                <w:b/>
                <w:noProof/>
                <w:color w:val="003399" w:themeColor="text2"/>
              </w:rPr>
            </w:pPr>
            <w:r w:rsidRPr="002948ED">
              <w:rPr>
                <w:rFonts w:asciiTheme="majorHAnsi" w:hAnsiTheme="majorHAnsi"/>
                <w:b/>
                <w:noProof/>
                <w:color w:val="003399" w:themeColor="text2"/>
              </w:rPr>
              <w:t>2149,4</w:t>
            </w:r>
          </w:p>
        </w:tc>
      </w:tr>
      <w:tr w:rsidR="00411000" w:rsidRPr="002948ED" w14:paraId="75B6CAF0" w14:textId="77777777" w:rsidTr="6856BD68">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284EB16" w14:textId="6A4F69EF" w:rsidR="00411000" w:rsidRPr="002948ED" w:rsidRDefault="00411000">
            <w:pPr>
              <w:spacing w:before="100" w:after="100"/>
              <w:rPr>
                <w:rFonts w:asciiTheme="majorHAnsi" w:hAnsiTheme="majorHAnsi"/>
                <w:iCs/>
                <w:noProof/>
                <w:color w:val="003399" w:themeColor="text2"/>
                <w:sz w:val="22"/>
                <w:szCs w:val="22"/>
              </w:rPr>
            </w:pPr>
            <w:r w:rsidRPr="002948ED">
              <w:rPr>
                <w:rFonts w:asciiTheme="majorHAnsi" w:hAnsiTheme="majorHAnsi"/>
                <w:noProof/>
                <w:color w:val="003399" w:themeColor="text2"/>
                <w:sz w:val="22"/>
              </w:rPr>
              <w:t>Dont ressources propres destinées à financer les engagements au titre de l’instrument NextGenerationEU</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03B783F" w14:textId="71800AA9" w:rsidR="00411000" w:rsidRPr="002948ED" w:rsidDel="000D256C" w:rsidRDefault="00A652C4" w:rsidP="00FE4AEE">
            <w:pPr>
              <w:spacing w:before="100" w:after="100"/>
              <w:jc w:val="center"/>
              <w:rPr>
                <w:rFonts w:asciiTheme="majorHAnsi" w:hAnsiTheme="majorHAnsi"/>
                <w:b/>
                <w:bCs/>
                <w:noProof/>
                <w:color w:val="003399" w:themeColor="text2"/>
              </w:rPr>
            </w:pPr>
            <w:r w:rsidRPr="002948ED">
              <w:rPr>
                <w:rFonts w:asciiTheme="majorHAnsi" w:hAnsiTheme="majorHAnsi"/>
                <w:b/>
                <w:noProof/>
                <w:color w:val="003399" w:themeColor="text2"/>
              </w:rPr>
              <w:t>B’</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480C6C8" w14:textId="37DB0322" w:rsidR="00411000" w:rsidRPr="002948ED" w:rsidRDefault="00A652C4" w:rsidP="00FE4AEE">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9,9</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B569B7B" w14:textId="2E768C33" w:rsidR="00A652C4" w:rsidRPr="002948ED" w:rsidRDefault="00A652C4" w:rsidP="00FE4AEE">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24,0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497A812" w14:textId="0AADC768" w:rsidR="00411000" w:rsidRPr="002948ED" w:rsidRDefault="00A652C4" w:rsidP="00FE4AEE">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24,0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9177AD3" w14:textId="7228639F" w:rsidR="00411000" w:rsidRPr="002948ED" w:rsidRDefault="00A652C4" w:rsidP="00FE4AEE">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24,0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4CFEB03" w14:textId="1425E885" w:rsidR="00411000" w:rsidRPr="002948ED" w:rsidRDefault="00A652C4" w:rsidP="00FE4AEE">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24,0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7779D51" w14:textId="2AFA9A03" w:rsidR="00411000" w:rsidRPr="002948ED" w:rsidRDefault="00A652C4" w:rsidP="00FE4AEE">
            <w:pPr>
              <w:spacing w:before="100" w:after="100"/>
              <w:jc w:val="center"/>
              <w:rPr>
                <w:rFonts w:asciiTheme="majorHAnsi" w:eastAsia="Calibri" w:hAnsiTheme="majorHAnsi"/>
                <w:b/>
                <w:bCs/>
                <w:iCs/>
                <w:noProof/>
                <w:color w:val="003399" w:themeColor="text2"/>
              </w:rPr>
            </w:pPr>
            <w:r w:rsidRPr="002948ED">
              <w:rPr>
                <w:rFonts w:asciiTheme="majorHAnsi" w:hAnsiTheme="majorHAnsi"/>
                <w:b/>
                <w:noProof/>
                <w:color w:val="003399" w:themeColor="text2"/>
              </w:rPr>
              <w:t>24,0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2DB145A" w14:textId="082A89AF" w:rsidR="00411000" w:rsidRPr="002948ED" w:rsidRDefault="00A652C4" w:rsidP="00FE4AEE">
            <w:pPr>
              <w:spacing w:before="100" w:after="100"/>
              <w:jc w:val="center"/>
              <w:rPr>
                <w:rFonts w:asciiTheme="majorHAnsi" w:eastAsia="Calibri" w:hAnsiTheme="majorHAnsi"/>
                <w:b/>
                <w:bCs/>
                <w:iCs/>
                <w:noProof/>
                <w:color w:val="003399" w:themeColor="text2"/>
              </w:rPr>
            </w:pPr>
            <w:r w:rsidRPr="002948ED">
              <w:rPr>
                <w:rFonts w:asciiTheme="majorHAnsi" w:hAnsiTheme="majorHAnsi"/>
                <w:b/>
                <w:noProof/>
                <w:color w:val="003399" w:themeColor="text2"/>
              </w:rPr>
              <w:t>24,0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9A89822" w14:textId="4DDE273D" w:rsidR="00411000" w:rsidRPr="002948ED" w:rsidRDefault="00A652C4" w:rsidP="00FE4AEE">
            <w:pPr>
              <w:spacing w:before="100" w:after="100"/>
              <w:jc w:val="center"/>
              <w:rPr>
                <w:rFonts w:asciiTheme="majorHAnsi" w:eastAsia="Calibri" w:hAnsiTheme="majorHAnsi"/>
                <w:b/>
                <w:bCs/>
                <w:iCs/>
                <w:noProof/>
                <w:color w:val="003399" w:themeColor="text2"/>
              </w:rPr>
            </w:pPr>
            <w:r w:rsidRPr="002948ED">
              <w:rPr>
                <w:rFonts w:asciiTheme="majorHAnsi" w:hAnsiTheme="majorHAnsi"/>
                <w:b/>
                <w:noProof/>
                <w:color w:val="003399" w:themeColor="text2"/>
              </w:rPr>
              <w:t>24,0</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03E14F95" w14:textId="77777777" w:rsidR="00411000" w:rsidRPr="002948ED" w:rsidRDefault="00411000" w:rsidP="00FE4AEE">
            <w:pPr>
              <w:spacing w:before="100" w:after="100"/>
              <w:jc w:val="center"/>
              <w:rPr>
                <w:rFonts w:asciiTheme="majorHAnsi" w:hAnsiTheme="majorHAnsi"/>
                <w:b/>
                <w:bCs/>
                <w:iCs/>
                <w:noProof/>
                <w:sz w:val="22"/>
                <w:szCs w:val="22"/>
              </w:rPr>
            </w:pPr>
          </w:p>
        </w:tc>
      </w:tr>
      <w:tr w:rsidR="00876141" w:rsidRPr="002948ED" w14:paraId="36949093" w14:textId="77777777" w:rsidTr="005A4CD5">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1313F9D" w14:textId="77777777" w:rsidR="00876141" w:rsidRPr="002948ED" w:rsidRDefault="00876141" w:rsidP="00876141">
            <w:pPr>
              <w:spacing w:before="0" w:after="0"/>
              <w:ind w:left="170"/>
              <w:rPr>
                <w:rFonts w:asciiTheme="majorHAnsi" w:hAnsiTheme="majorHAnsi"/>
                <w:bCs/>
                <w:iCs/>
                <w:noProof/>
                <w:color w:val="003399" w:themeColor="text2"/>
                <w:sz w:val="22"/>
                <w:szCs w:val="22"/>
              </w:rPr>
            </w:pPr>
            <w:r w:rsidRPr="002948ED">
              <w:rPr>
                <w:rFonts w:asciiTheme="majorHAnsi" w:hAnsiTheme="majorHAnsi"/>
                <w:noProof/>
                <w:color w:val="003399" w:themeColor="text2"/>
                <w:sz w:val="22"/>
              </w:rPr>
              <w:t xml:space="preserve">Dont </w:t>
            </w:r>
          </w:p>
          <w:p w14:paraId="50AEB591" w14:textId="42A7B7F9" w:rsidR="00876141" w:rsidRPr="002948ED" w:rsidRDefault="00876141" w:rsidP="00876141">
            <w:pPr>
              <w:spacing w:before="0" w:after="0"/>
              <w:ind w:left="142"/>
              <w:rPr>
                <w:rFonts w:asciiTheme="majorHAnsi" w:hAnsiTheme="majorHAnsi"/>
                <w:b/>
                <w:bCs/>
                <w:iCs/>
                <w:noProof/>
                <w:color w:val="003399" w:themeColor="text2"/>
                <w:sz w:val="22"/>
                <w:szCs w:val="22"/>
              </w:rPr>
            </w:pPr>
            <w:r w:rsidRPr="002948ED">
              <w:rPr>
                <w:rFonts w:asciiTheme="majorHAnsi" w:hAnsiTheme="majorHAnsi"/>
                <w:noProof/>
                <w:color w:val="003399" w:themeColor="text2"/>
                <w:sz w:val="22"/>
              </w:rPr>
              <w:t>montant net des ressources propres traditionnelles***</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9784D32" w14:textId="52C9A4CD" w:rsidR="00876141" w:rsidRPr="002948ED" w:rsidRDefault="00876141" w:rsidP="00876141">
            <w:pPr>
              <w:spacing w:before="0" w:after="0"/>
              <w:jc w:val="center"/>
              <w:rPr>
                <w:rFonts w:asciiTheme="majorHAnsi" w:hAnsiTheme="majorHAnsi"/>
                <w:b/>
                <w:bCs/>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ACF1A4E" w14:textId="139B37D5" w:rsidR="00876141" w:rsidRPr="002948ED" w:rsidRDefault="00C67A5A" w:rsidP="005A4CD5">
            <w:pPr>
              <w:spacing w:before="100" w:after="100" w:line="22" w:lineRule="atLeast"/>
              <w:jc w:val="center"/>
              <w:rPr>
                <w:rFonts w:asciiTheme="majorHAnsi" w:eastAsia="Calibri" w:hAnsiTheme="majorHAnsi"/>
                <w:noProof/>
                <w:color w:val="003399" w:themeColor="text2"/>
              </w:rPr>
            </w:pPr>
            <w:r w:rsidRPr="002948ED">
              <w:rPr>
                <w:rFonts w:asciiTheme="majorHAnsi" w:hAnsiTheme="majorHAnsi"/>
                <w:noProof/>
                <w:color w:val="003399" w:themeColor="text2"/>
              </w:rPr>
              <w:t xml:space="preserve"> 25,0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73668FA" w14:textId="5A67E155" w:rsidR="00876141" w:rsidRPr="002948ED" w:rsidRDefault="00876141" w:rsidP="005A4CD5">
            <w:pPr>
              <w:spacing w:before="100" w:after="100" w:line="22" w:lineRule="atLeast"/>
              <w:jc w:val="center"/>
              <w:rPr>
                <w:rFonts w:asciiTheme="majorHAnsi" w:eastAsia="Calibri" w:hAnsiTheme="majorHAnsi"/>
                <w:noProof/>
                <w:color w:val="003399" w:themeColor="text2"/>
              </w:rPr>
            </w:pPr>
            <w:r w:rsidRPr="002948ED">
              <w:rPr>
                <w:rFonts w:asciiTheme="majorHAnsi" w:hAnsiTheme="majorHAnsi"/>
                <w:noProof/>
                <w:color w:val="003399" w:themeColor="text2"/>
              </w:rPr>
              <w:t>34,5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D663BA6" w14:textId="5E3C6A32" w:rsidR="00876141" w:rsidRPr="002948ED" w:rsidRDefault="00876141" w:rsidP="005A4CD5">
            <w:pPr>
              <w:spacing w:before="100" w:after="100" w:line="22" w:lineRule="atLeast"/>
              <w:jc w:val="center"/>
              <w:rPr>
                <w:rFonts w:asciiTheme="majorHAnsi" w:eastAsia="Calibri" w:hAnsiTheme="majorHAnsi"/>
                <w:noProof/>
                <w:color w:val="003399" w:themeColor="text2"/>
              </w:rPr>
            </w:pPr>
            <w:r w:rsidRPr="002948ED">
              <w:rPr>
                <w:rFonts w:asciiTheme="majorHAnsi" w:hAnsiTheme="majorHAnsi"/>
                <w:noProof/>
                <w:color w:val="003399" w:themeColor="text2"/>
              </w:rPr>
              <w:t>35,7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60B40D2" w14:textId="4EC2E4B8" w:rsidR="00876141" w:rsidRPr="002948ED" w:rsidRDefault="00876141" w:rsidP="005A4CD5">
            <w:pPr>
              <w:spacing w:before="100" w:after="100" w:line="22" w:lineRule="atLeast"/>
              <w:jc w:val="center"/>
              <w:rPr>
                <w:rFonts w:asciiTheme="majorHAnsi" w:eastAsia="Calibri" w:hAnsiTheme="majorHAnsi"/>
                <w:noProof/>
                <w:color w:val="003399" w:themeColor="text2"/>
              </w:rPr>
            </w:pPr>
            <w:r w:rsidRPr="002948ED">
              <w:rPr>
                <w:rFonts w:asciiTheme="majorHAnsi" w:hAnsiTheme="majorHAnsi"/>
                <w:noProof/>
                <w:color w:val="003399" w:themeColor="text2"/>
              </w:rPr>
              <w:t>36,8</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8C29953" w14:textId="25CD378B" w:rsidR="00876141" w:rsidRPr="002948ED" w:rsidRDefault="00876141" w:rsidP="005A4CD5">
            <w:pPr>
              <w:spacing w:before="100" w:after="100" w:line="22" w:lineRule="atLeast"/>
              <w:jc w:val="center"/>
              <w:rPr>
                <w:rFonts w:asciiTheme="majorHAnsi" w:eastAsia="Calibri" w:hAnsiTheme="majorHAnsi"/>
                <w:noProof/>
                <w:color w:val="003399" w:themeColor="text2"/>
              </w:rPr>
            </w:pPr>
            <w:r w:rsidRPr="002948ED">
              <w:rPr>
                <w:rFonts w:asciiTheme="majorHAnsi" w:hAnsiTheme="majorHAnsi"/>
                <w:noProof/>
                <w:color w:val="003399" w:themeColor="text2"/>
              </w:rPr>
              <w:t>38,0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C80C13F" w14:textId="4CD89B06" w:rsidR="00876141" w:rsidRPr="002948ED" w:rsidRDefault="00876141" w:rsidP="005A4CD5">
            <w:pPr>
              <w:spacing w:before="100" w:after="100" w:line="22" w:lineRule="atLeast"/>
              <w:jc w:val="center"/>
              <w:rPr>
                <w:rFonts w:asciiTheme="majorHAnsi" w:eastAsia="Calibri" w:hAnsiTheme="majorHAnsi"/>
                <w:noProof/>
                <w:color w:val="003399" w:themeColor="text2"/>
              </w:rPr>
            </w:pPr>
            <w:r w:rsidRPr="002948ED">
              <w:rPr>
                <w:rFonts w:asciiTheme="majorHAnsi" w:hAnsiTheme="majorHAnsi"/>
                <w:noProof/>
                <w:color w:val="003399" w:themeColor="text2"/>
              </w:rPr>
              <w:t>39,2</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2825B49" w14:textId="2CC0129E" w:rsidR="00876141" w:rsidRPr="002948ED" w:rsidRDefault="00876141" w:rsidP="005A4CD5">
            <w:pPr>
              <w:spacing w:before="100" w:after="100" w:line="22" w:lineRule="atLeast"/>
              <w:jc w:val="center"/>
              <w:rPr>
                <w:rFonts w:asciiTheme="majorHAnsi" w:eastAsia="Calibri" w:hAnsiTheme="majorHAnsi"/>
                <w:noProof/>
                <w:color w:val="003399" w:themeColor="text2"/>
              </w:rPr>
            </w:pPr>
            <w:r w:rsidRPr="002948ED">
              <w:rPr>
                <w:rFonts w:asciiTheme="majorHAnsi" w:hAnsiTheme="majorHAnsi"/>
                <w:noProof/>
                <w:color w:val="003399" w:themeColor="text2"/>
              </w:rPr>
              <w:t>40,4</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DF4F1B6" w14:textId="5F96FE47" w:rsidR="00876141" w:rsidRPr="002948ED" w:rsidRDefault="00876141" w:rsidP="005A4CD5">
            <w:pPr>
              <w:spacing w:before="100" w:after="100" w:line="22" w:lineRule="atLeast"/>
              <w:jc w:val="center"/>
              <w:rPr>
                <w:rFonts w:asciiTheme="majorHAnsi" w:eastAsia="Calibri" w:hAnsiTheme="majorHAnsi"/>
                <w:noProof/>
                <w:color w:val="003399" w:themeColor="text2"/>
              </w:rPr>
            </w:pPr>
            <w:r w:rsidRPr="002948ED">
              <w:rPr>
                <w:rFonts w:asciiTheme="majorHAnsi" w:hAnsiTheme="majorHAnsi"/>
                <w:noProof/>
                <w:color w:val="003399" w:themeColor="text2"/>
              </w:rPr>
              <w:t>41,6</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78E9A60F" w14:textId="3EA5E38D" w:rsidR="00876141" w:rsidRPr="002948ED" w:rsidRDefault="00876141" w:rsidP="005A4CD5">
            <w:pPr>
              <w:spacing w:before="100" w:after="100" w:line="22" w:lineRule="atLeast"/>
              <w:jc w:val="center"/>
              <w:rPr>
                <w:rFonts w:asciiTheme="majorHAnsi" w:eastAsia="Calibri" w:hAnsiTheme="majorHAnsi"/>
                <w:b/>
                <w:noProof/>
              </w:rPr>
            </w:pPr>
            <w:r w:rsidRPr="002948ED">
              <w:rPr>
                <w:rFonts w:asciiTheme="majorHAnsi" w:hAnsiTheme="majorHAnsi"/>
                <w:b/>
                <w:noProof/>
              </w:rPr>
              <w:t>291,3</w:t>
            </w:r>
          </w:p>
        </w:tc>
      </w:tr>
      <w:tr w:rsidR="002568D0" w:rsidRPr="002948ED" w14:paraId="12E9D7C1" w14:textId="77777777" w:rsidTr="005A4CD5">
        <w:trPr>
          <w:trHeight w:val="497"/>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9CE3151" w14:textId="77777777" w:rsidR="002568D0" w:rsidRPr="002948ED" w:rsidRDefault="002568D0" w:rsidP="002568D0">
            <w:pPr>
              <w:spacing w:before="100" w:after="100"/>
              <w:ind w:left="170"/>
              <w:rPr>
                <w:rFonts w:asciiTheme="majorHAnsi" w:hAnsiTheme="majorHAnsi"/>
                <w:bCs/>
                <w:iCs/>
                <w:noProof/>
                <w:color w:val="003399" w:themeColor="text2"/>
                <w:sz w:val="22"/>
                <w:szCs w:val="22"/>
              </w:rPr>
            </w:pPr>
            <w:r w:rsidRPr="002948ED">
              <w:rPr>
                <w:rFonts w:asciiTheme="majorHAnsi" w:hAnsiTheme="majorHAnsi"/>
                <w:noProof/>
                <w:color w:val="003399" w:themeColor="text2"/>
                <w:sz w:val="22"/>
              </w:rPr>
              <w:t>Ressource propre «TVA»</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646F56C" w14:textId="623AB704" w:rsidR="002568D0" w:rsidRPr="002948ED" w:rsidRDefault="002568D0" w:rsidP="002568D0">
            <w:pPr>
              <w:spacing w:before="100" w:after="100"/>
              <w:jc w:val="center"/>
              <w:rPr>
                <w:rFonts w:asciiTheme="majorHAnsi" w:hAnsiTheme="majorHAnsi"/>
                <w:bCs/>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51F1CA5" w14:textId="0AD7F61E" w:rsidR="002568D0" w:rsidRPr="002948ED" w:rsidRDefault="002568D0" w:rsidP="002568D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26,0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B4219F6" w14:textId="7D17786D" w:rsidR="002568D0" w:rsidRPr="002948ED" w:rsidRDefault="002568D0" w:rsidP="002568D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26,6</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1EAB13B" w14:textId="0873F67F" w:rsidR="002568D0" w:rsidRPr="002948ED" w:rsidRDefault="002568D0" w:rsidP="002568D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27,5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39E0D7C" w14:textId="63C41437" w:rsidR="002568D0" w:rsidRPr="002948ED" w:rsidRDefault="002568D0" w:rsidP="002568D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28,3</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1781AD9" w14:textId="74487704" w:rsidR="002568D0" w:rsidRPr="002948ED" w:rsidRDefault="002568D0" w:rsidP="002568D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29,2</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7AAD7A5" w14:textId="1B0ACA05" w:rsidR="002568D0" w:rsidRPr="002948ED" w:rsidRDefault="002568D0" w:rsidP="002568D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30,1</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95F8303" w14:textId="07F4D525" w:rsidR="002568D0" w:rsidRPr="002948ED" w:rsidRDefault="002568D0" w:rsidP="002568D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31,0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737A97D" w14:textId="56A1B02D" w:rsidR="002568D0" w:rsidRPr="002948ED" w:rsidRDefault="002568D0" w:rsidP="002568D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31,9</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401F7C21" w14:textId="13F08FFB" w:rsidR="002568D0" w:rsidRPr="002948ED" w:rsidRDefault="002568D0" w:rsidP="002568D0">
            <w:pPr>
              <w:spacing w:before="100" w:after="100" w:line="22" w:lineRule="atLeast"/>
              <w:jc w:val="center"/>
              <w:rPr>
                <w:rFonts w:asciiTheme="majorHAnsi" w:eastAsia="Calibri" w:hAnsiTheme="majorHAnsi"/>
                <w:b/>
                <w:noProof/>
              </w:rPr>
            </w:pPr>
            <w:r w:rsidRPr="002948ED">
              <w:rPr>
                <w:rFonts w:asciiTheme="majorHAnsi" w:hAnsiTheme="majorHAnsi"/>
                <w:b/>
                <w:noProof/>
              </w:rPr>
              <w:t>230,4</w:t>
            </w:r>
          </w:p>
        </w:tc>
      </w:tr>
      <w:tr w:rsidR="002568D0" w:rsidRPr="002948ED" w14:paraId="77B2CAB7" w14:textId="77777777" w:rsidTr="005A4CD5">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006D1D1" w14:textId="77777777" w:rsidR="002568D0" w:rsidRPr="002948ED" w:rsidRDefault="002568D0" w:rsidP="002568D0">
            <w:pPr>
              <w:spacing w:before="100" w:after="100"/>
              <w:ind w:left="170"/>
              <w:rPr>
                <w:rFonts w:asciiTheme="majorHAnsi" w:hAnsiTheme="majorHAnsi"/>
                <w:bCs/>
                <w:iCs/>
                <w:noProof/>
                <w:color w:val="003399" w:themeColor="text2"/>
                <w:sz w:val="22"/>
                <w:szCs w:val="22"/>
              </w:rPr>
            </w:pPr>
            <w:r w:rsidRPr="002948ED">
              <w:rPr>
                <w:rFonts w:asciiTheme="majorHAnsi" w:hAnsiTheme="majorHAnsi"/>
                <w:noProof/>
                <w:color w:val="003399" w:themeColor="text2"/>
                <w:sz w:val="22"/>
              </w:rPr>
              <w:t>Ressource propre «plastique»</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0AC1C71" w14:textId="77777777" w:rsidR="002568D0" w:rsidRPr="002948ED" w:rsidRDefault="002568D0" w:rsidP="002568D0">
            <w:pPr>
              <w:spacing w:before="100" w:after="100"/>
              <w:jc w:val="center"/>
              <w:rPr>
                <w:rFonts w:asciiTheme="majorHAnsi" w:hAnsiTheme="majorHAnsi"/>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CF90739" w14:textId="7B9E395D" w:rsidR="002568D0" w:rsidRPr="002948ED" w:rsidRDefault="002568D0" w:rsidP="002568D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6,5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5CBC28A" w14:textId="0ED05DAA" w:rsidR="002568D0" w:rsidRPr="002948ED" w:rsidRDefault="002568D0" w:rsidP="002568D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9,3</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4F2F768" w14:textId="6AA5EF30" w:rsidR="002568D0" w:rsidRPr="002948ED" w:rsidRDefault="002568D0" w:rsidP="002568D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9,5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80A315D" w14:textId="7AD5F99F" w:rsidR="002568D0" w:rsidRPr="002948ED" w:rsidRDefault="002568D0" w:rsidP="002568D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9,7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A149BCC" w14:textId="7DD64C42" w:rsidR="002568D0" w:rsidRPr="002948ED" w:rsidRDefault="002568D0" w:rsidP="002568D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9,9</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3A9A0E0" w14:textId="213877CA" w:rsidR="002568D0" w:rsidRPr="002948ED" w:rsidRDefault="002568D0" w:rsidP="002568D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10,1</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8250ACC" w14:textId="0E5844F2" w:rsidR="002568D0" w:rsidRPr="002948ED" w:rsidRDefault="002568D0" w:rsidP="002568D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10,3</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6D38712" w14:textId="6B59B31B" w:rsidR="002568D0" w:rsidRPr="002948ED" w:rsidRDefault="002568D0" w:rsidP="002568D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10,5</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3D8D7AF4" w14:textId="6B38FFAD" w:rsidR="002568D0" w:rsidRPr="002948ED" w:rsidRDefault="002568D0" w:rsidP="002568D0">
            <w:pPr>
              <w:spacing w:before="100" w:after="100" w:line="22" w:lineRule="atLeast"/>
              <w:jc w:val="center"/>
              <w:rPr>
                <w:rFonts w:asciiTheme="majorHAnsi" w:eastAsia="Calibri" w:hAnsiTheme="majorHAnsi"/>
                <w:b/>
                <w:noProof/>
              </w:rPr>
            </w:pPr>
            <w:r w:rsidRPr="002948ED">
              <w:rPr>
                <w:rFonts w:asciiTheme="majorHAnsi" w:hAnsiTheme="majorHAnsi"/>
                <w:b/>
                <w:noProof/>
              </w:rPr>
              <w:t>75,6</w:t>
            </w:r>
          </w:p>
        </w:tc>
      </w:tr>
      <w:tr w:rsidR="000D256C" w:rsidRPr="002948ED" w14:paraId="55ACB159" w14:textId="77777777" w:rsidTr="004D3FA0">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EECED4D" w14:textId="11590498" w:rsidR="000D256C" w:rsidRPr="002948ED" w:rsidRDefault="000D256C" w:rsidP="00F41B7B">
            <w:pPr>
              <w:spacing w:before="100" w:after="100"/>
              <w:ind w:left="170"/>
              <w:rPr>
                <w:rFonts w:asciiTheme="majorHAnsi" w:hAnsiTheme="majorHAnsi"/>
                <w:bCs/>
                <w:iCs/>
                <w:noProof/>
                <w:color w:val="003399" w:themeColor="text2"/>
                <w:sz w:val="22"/>
                <w:szCs w:val="22"/>
              </w:rPr>
            </w:pPr>
            <w:r w:rsidRPr="002948ED">
              <w:rPr>
                <w:rFonts w:asciiTheme="majorHAnsi" w:hAnsiTheme="majorHAnsi"/>
                <w:noProof/>
                <w:color w:val="003399" w:themeColor="text2"/>
                <w:sz w:val="22"/>
              </w:rPr>
              <w:t>Ressource propre fondée sur le système d’échange de quotas d’émission de l’Union européenne (SEQE 1)</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2586450" w14:textId="77777777" w:rsidR="000D256C" w:rsidRPr="002948ED" w:rsidRDefault="000D256C" w:rsidP="00FE4AEE">
            <w:pPr>
              <w:spacing w:before="100" w:after="100"/>
              <w:jc w:val="center"/>
              <w:rPr>
                <w:rFonts w:asciiTheme="majorHAnsi" w:hAnsiTheme="majorHAnsi"/>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821021D" w14:textId="77777777" w:rsidR="000D256C" w:rsidRPr="002948ED" w:rsidRDefault="000D256C" w:rsidP="00FE4AEE">
            <w:pPr>
              <w:spacing w:before="100" w:after="100" w:line="22" w:lineRule="atLeast"/>
              <w:jc w:val="center"/>
              <w:rPr>
                <w:rFonts w:asciiTheme="majorHAnsi" w:eastAsia="Calibri" w:hAnsiTheme="majorHAnsi"/>
                <w:iCs/>
                <w:noProof/>
                <w:color w:val="003399" w:themeColor="text2"/>
              </w:rPr>
            </w:pP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40D1387" w14:textId="272B29D2" w:rsidR="000D256C" w:rsidRPr="002948ED" w:rsidRDefault="000D256C" w:rsidP="00FE4AEE">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8,8</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4B2D9F1" w14:textId="3DF03747" w:rsidR="000D256C" w:rsidRPr="002948ED" w:rsidRDefault="000D256C" w:rsidP="00FE4AEE">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11,7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C5FD05C" w14:textId="43857E67" w:rsidR="000D256C" w:rsidRPr="002948ED" w:rsidRDefault="000D256C" w:rsidP="00FE4AEE">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11,3</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2C94326" w14:textId="734F0690" w:rsidR="000D256C" w:rsidRPr="002948ED" w:rsidRDefault="000D256C" w:rsidP="00FE4AEE">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13,0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E21C7AB" w14:textId="39BBB7A7" w:rsidR="000D256C" w:rsidRPr="002948ED" w:rsidRDefault="000D256C" w:rsidP="00FE4AEE">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11,7</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0F5D42C" w14:textId="71814686" w:rsidR="000D256C" w:rsidRPr="002948ED" w:rsidRDefault="000D256C" w:rsidP="00FE4AEE">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10,3</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1D968F0" w14:textId="077B801D" w:rsidR="000D256C" w:rsidRPr="002948ED" w:rsidRDefault="000D256C" w:rsidP="00FE4AEE">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8,8</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5C9B8791" w14:textId="27EE8EB6" w:rsidR="000D256C" w:rsidRPr="002948ED" w:rsidRDefault="00E9143B" w:rsidP="00FE4AEE">
            <w:pPr>
              <w:spacing w:before="100" w:after="100" w:line="22" w:lineRule="atLeast"/>
              <w:jc w:val="center"/>
              <w:rPr>
                <w:rFonts w:asciiTheme="majorHAnsi" w:eastAsia="Calibri" w:hAnsiTheme="majorHAnsi"/>
                <w:b/>
                <w:noProof/>
              </w:rPr>
            </w:pPr>
            <w:r w:rsidRPr="002948ED">
              <w:rPr>
                <w:rFonts w:asciiTheme="majorHAnsi" w:hAnsiTheme="majorHAnsi"/>
                <w:b/>
                <w:noProof/>
              </w:rPr>
              <w:t>75,6</w:t>
            </w:r>
          </w:p>
        </w:tc>
      </w:tr>
      <w:tr w:rsidR="002A3F2D" w:rsidRPr="002948ED" w14:paraId="40576EE9" w14:textId="77777777" w:rsidTr="005A4CD5">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DFC84FB" w14:textId="1F11FB6F" w:rsidR="002A3F2D" w:rsidRPr="002948ED" w:rsidRDefault="002A3F2D" w:rsidP="002A3F2D">
            <w:pPr>
              <w:spacing w:before="100" w:after="100"/>
              <w:ind w:left="170"/>
              <w:rPr>
                <w:rFonts w:asciiTheme="majorHAnsi" w:hAnsiTheme="majorHAnsi"/>
                <w:bCs/>
                <w:iCs/>
                <w:noProof/>
                <w:color w:val="003399" w:themeColor="text2"/>
                <w:sz w:val="22"/>
                <w:szCs w:val="22"/>
              </w:rPr>
            </w:pPr>
            <w:r w:rsidRPr="002948ED">
              <w:rPr>
                <w:rFonts w:asciiTheme="majorHAnsi" w:hAnsiTheme="majorHAnsi"/>
                <w:noProof/>
                <w:color w:val="003399" w:themeColor="text2"/>
                <w:sz w:val="22"/>
              </w:rPr>
              <w:t>Ressource propre fondée sur les déchets électroniques</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B86773C" w14:textId="77777777" w:rsidR="002A3F2D" w:rsidRPr="002948ED" w:rsidRDefault="002A3F2D" w:rsidP="002A3F2D">
            <w:pPr>
              <w:spacing w:before="100" w:after="100"/>
              <w:jc w:val="center"/>
              <w:rPr>
                <w:rFonts w:asciiTheme="majorHAnsi" w:hAnsiTheme="majorHAnsi"/>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D68EA19" w14:textId="77777777" w:rsidR="002A3F2D" w:rsidRPr="002948ED" w:rsidRDefault="002A3F2D" w:rsidP="002A3F2D">
            <w:pPr>
              <w:spacing w:before="100" w:after="100" w:line="22" w:lineRule="atLeast"/>
              <w:jc w:val="center"/>
              <w:rPr>
                <w:rFonts w:asciiTheme="majorHAnsi" w:eastAsia="Calibri" w:hAnsiTheme="majorHAnsi"/>
                <w:iCs/>
                <w:noProof/>
                <w:color w:val="003399" w:themeColor="text2"/>
              </w:rPr>
            </w:pP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09921C6" w14:textId="04B58D35" w:rsidR="002A3F2D" w:rsidRPr="002948ED" w:rsidRDefault="002A3F2D" w:rsidP="002A3F2D">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16,2</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DB16ED7" w14:textId="43F6D962" w:rsidR="002A3F2D" w:rsidRPr="002948ED" w:rsidRDefault="002A3F2D" w:rsidP="002A3F2D">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16,5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AF5F3A4" w14:textId="6FFE681B" w:rsidR="002A3F2D" w:rsidRPr="002948ED" w:rsidRDefault="002A3F2D" w:rsidP="002A3F2D">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16,7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890A3A3" w14:textId="0DECB60B" w:rsidR="002A3F2D" w:rsidRPr="002948ED" w:rsidRDefault="002A3F2D" w:rsidP="002A3F2D">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16,9</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FE25B82" w14:textId="4D107C91" w:rsidR="002A3F2D" w:rsidRPr="002948ED" w:rsidRDefault="002A3F2D" w:rsidP="002A3F2D">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17,1</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9DD8C61" w14:textId="0C87A5D7" w:rsidR="002A3F2D" w:rsidRPr="002948ED" w:rsidRDefault="002A3F2D" w:rsidP="002A3F2D">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17,3</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35F2C59" w14:textId="4AF1D071" w:rsidR="002A3F2D" w:rsidRPr="002948ED" w:rsidRDefault="002A3F2D" w:rsidP="002A3F2D">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17,4</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65351444" w14:textId="39D666C1" w:rsidR="002A3F2D" w:rsidRPr="002948ED" w:rsidRDefault="002A3F2D" w:rsidP="002A3F2D">
            <w:pPr>
              <w:spacing w:before="100" w:after="100" w:line="22" w:lineRule="atLeast"/>
              <w:jc w:val="center"/>
              <w:rPr>
                <w:rFonts w:asciiTheme="majorHAnsi" w:eastAsia="Calibri" w:hAnsiTheme="majorHAnsi"/>
                <w:b/>
                <w:noProof/>
              </w:rPr>
            </w:pPr>
            <w:r w:rsidRPr="002948ED">
              <w:rPr>
                <w:rFonts w:asciiTheme="majorHAnsi" w:hAnsiTheme="majorHAnsi"/>
                <w:b/>
                <w:noProof/>
              </w:rPr>
              <w:t>118,0</w:t>
            </w:r>
          </w:p>
        </w:tc>
      </w:tr>
      <w:tr w:rsidR="00F84A50" w:rsidRPr="002948ED" w14:paraId="3E9E6FB3" w14:textId="77777777" w:rsidTr="005A4CD5">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9276DD0" w14:textId="3965378C" w:rsidR="00F84A50" w:rsidRPr="002948ED" w:rsidRDefault="00F84A50" w:rsidP="00F84A50">
            <w:pPr>
              <w:spacing w:before="100" w:after="100"/>
              <w:ind w:left="170"/>
              <w:rPr>
                <w:rFonts w:asciiTheme="majorHAnsi" w:hAnsiTheme="majorHAnsi"/>
                <w:bCs/>
                <w:iCs/>
                <w:noProof/>
                <w:color w:val="003399" w:themeColor="text2"/>
                <w:sz w:val="22"/>
                <w:szCs w:val="22"/>
              </w:rPr>
            </w:pPr>
            <w:r w:rsidRPr="002948ED">
              <w:rPr>
                <w:rFonts w:asciiTheme="majorHAnsi" w:hAnsiTheme="majorHAnsi"/>
                <w:noProof/>
                <w:color w:val="003399" w:themeColor="text2"/>
                <w:sz w:val="22"/>
              </w:rPr>
              <w:t xml:space="preserve">Ressource propre fondée sur les droits d’accise sur le tabac </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8AC9329" w14:textId="77777777" w:rsidR="00F84A50" w:rsidRPr="002948ED" w:rsidRDefault="00F84A50" w:rsidP="00F84A50">
            <w:pPr>
              <w:spacing w:before="100" w:after="100"/>
              <w:jc w:val="center"/>
              <w:rPr>
                <w:rFonts w:asciiTheme="majorHAnsi" w:hAnsiTheme="majorHAnsi"/>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ADED6FE" w14:textId="77777777" w:rsidR="00F84A50" w:rsidRPr="002948ED" w:rsidRDefault="00F84A50" w:rsidP="00F84A50">
            <w:pPr>
              <w:spacing w:before="100" w:after="100" w:line="22" w:lineRule="atLeast"/>
              <w:jc w:val="center"/>
              <w:rPr>
                <w:rFonts w:asciiTheme="majorHAnsi" w:eastAsia="Calibri" w:hAnsiTheme="majorHAnsi"/>
                <w:iCs/>
                <w:noProof/>
                <w:color w:val="003399" w:themeColor="text2"/>
              </w:rPr>
            </w:pP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F967A7D" w14:textId="7130BC92" w:rsidR="00F84A50" w:rsidRPr="002948ED" w:rsidRDefault="00F84A50" w:rsidP="00F84A5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13,0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AE5EB26" w14:textId="75BF31A9" w:rsidR="00F84A50" w:rsidRPr="002948ED" w:rsidRDefault="00F84A50" w:rsidP="00F84A5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12,7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17ACD33" w14:textId="42E10DB7" w:rsidR="00F84A50" w:rsidRPr="002948ED" w:rsidRDefault="00F84A50" w:rsidP="00F84A5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12,4</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F1EE070" w14:textId="4ED7FFEB" w:rsidR="00F84A50" w:rsidRPr="002948ED" w:rsidRDefault="00F84A50" w:rsidP="00F84A5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12,8</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E950A64" w14:textId="4F81BD6D" w:rsidR="00F84A50" w:rsidRPr="002948ED" w:rsidRDefault="00F84A50" w:rsidP="00F84A5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12,5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6BC9922" w14:textId="3F4CDD62" w:rsidR="00F84A50" w:rsidRPr="002948ED" w:rsidRDefault="00F84A50" w:rsidP="00F84A5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12,2</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C4BA276" w14:textId="02D5C9D4" w:rsidR="00F84A50" w:rsidRPr="002948ED" w:rsidRDefault="00F84A50" w:rsidP="00F84A5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12,7</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2CA48566" w14:textId="5EAC7998" w:rsidR="00F84A50" w:rsidRPr="002948ED" w:rsidRDefault="00F84A50" w:rsidP="00F84A50">
            <w:pPr>
              <w:spacing w:before="100" w:after="100" w:line="22" w:lineRule="atLeast"/>
              <w:jc w:val="center"/>
              <w:rPr>
                <w:rFonts w:asciiTheme="majorHAnsi" w:eastAsia="Calibri" w:hAnsiTheme="majorHAnsi"/>
                <w:b/>
                <w:noProof/>
              </w:rPr>
            </w:pPr>
            <w:r w:rsidRPr="002948ED">
              <w:rPr>
                <w:rFonts w:asciiTheme="majorHAnsi" w:hAnsiTheme="majorHAnsi"/>
                <w:b/>
                <w:noProof/>
              </w:rPr>
              <w:t>88,3</w:t>
            </w:r>
          </w:p>
        </w:tc>
      </w:tr>
      <w:tr w:rsidR="000D256C" w:rsidRPr="002948ED" w14:paraId="22ED2FD7" w14:textId="77777777" w:rsidTr="004D3FA0">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4A09501" w14:textId="3EB7B06A" w:rsidR="000D256C" w:rsidRPr="002948ED" w:rsidRDefault="000D256C">
            <w:pPr>
              <w:spacing w:before="100" w:after="100"/>
              <w:ind w:left="170"/>
              <w:rPr>
                <w:rFonts w:asciiTheme="majorHAnsi" w:hAnsiTheme="majorHAnsi"/>
                <w:bCs/>
                <w:iCs/>
                <w:noProof/>
                <w:color w:val="003399" w:themeColor="text2"/>
                <w:sz w:val="22"/>
                <w:szCs w:val="22"/>
              </w:rPr>
            </w:pPr>
            <w:r w:rsidRPr="002948ED">
              <w:rPr>
                <w:rFonts w:asciiTheme="majorHAnsi" w:hAnsiTheme="majorHAnsi"/>
                <w:noProof/>
                <w:color w:val="003399" w:themeColor="text2"/>
                <w:sz w:val="22"/>
              </w:rPr>
              <w:t>Ressource propre fondée sur le mécanisme d’ajustement carbone aux frontières (MACF)</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F81173D" w14:textId="77777777" w:rsidR="000D256C" w:rsidRPr="002948ED" w:rsidRDefault="000D256C">
            <w:pPr>
              <w:spacing w:before="100" w:after="100"/>
              <w:jc w:val="center"/>
              <w:rPr>
                <w:rFonts w:asciiTheme="majorHAnsi" w:hAnsiTheme="majorHAnsi"/>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0522844" w14:textId="77777777" w:rsidR="000D256C" w:rsidRPr="002948ED" w:rsidRDefault="000D256C" w:rsidP="00481B6B">
            <w:pPr>
              <w:spacing w:before="100" w:after="100" w:line="22" w:lineRule="atLeast"/>
              <w:jc w:val="center"/>
              <w:rPr>
                <w:rFonts w:asciiTheme="majorHAnsi" w:eastAsia="Calibri" w:hAnsiTheme="majorHAnsi"/>
                <w:iCs/>
                <w:noProof/>
                <w:color w:val="003399" w:themeColor="text2"/>
              </w:rPr>
            </w:pP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6654AC3" w14:textId="430AA24F" w:rsidR="000D256C" w:rsidRPr="002948ED" w:rsidRDefault="000D256C" w:rsidP="00481B6B">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0,9</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6F1FF3F" w14:textId="71C9C0B6" w:rsidR="000D256C" w:rsidRPr="002948ED" w:rsidRDefault="000D256C" w:rsidP="00481B6B">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CD9D6A7" w14:textId="74770F3F" w:rsidR="000D256C" w:rsidRPr="002948ED" w:rsidRDefault="000D256C" w:rsidP="00481B6B">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1,3</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C0C7214" w14:textId="329B2FE7" w:rsidR="000D256C" w:rsidRPr="002948ED" w:rsidRDefault="000D256C" w:rsidP="00481B6B">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4811F97" w14:textId="48804D95" w:rsidR="000D256C" w:rsidRPr="002948ED" w:rsidRDefault="000D256C" w:rsidP="00481B6B">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1,9</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8A5B1C9" w14:textId="544BD0EA" w:rsidR="000D256C" w:rsidRPr="002948ED" w:rsidRDefault="000D256C" w:rsidP="00481B6B">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2,0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7A21BE6" w14:textId="68F47DF3" w:rsidR="000D256C" w:rsidRPr="002948ED" w:rsidRDefault="000D256C" w:rsidP="00481B6B">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2,2</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01152305" w14:textId="4B323E77" w:rsidR="000D256C" w:rsidRPr="002948ED" w:rsidRDefault="005B0C56" w:rsidP="00481B6B">
            <w:pPr>
              <w:spacing w:before="100" w:after="100" w:line="22" w:lineRule="atLeast"/>
              <w:jc w:val="center"/>
              <w:rPr>
                <w:rFonts w:asciiTheme="majorHAnsi" w:eastAsia="Calibri" w:hAnsiTheme="majorHAnsi"/>
                <w:b/>
                <w:noProof/>
              </w:rPr>
            </w:pPr>
            <w:r w:rsidRPr="002948ED">
              <w:rPr>
                <w:rFonts w:asciiTheme="majorHAnsi" w:hAnsiTheme="majorHAnsi"/>
                <w:b/>
                <w:noProof/>
              </w:rPr>
              <w:t>10,8</w:t>
            </w:r>
          </w:p>
        </w:tc>
      </w:tr>
      <w:tr w:rsidR="00F84A50" w:rsidRPr="002948ED" w14:paraId="25BE7D4F" w14:textId="77777777" w:rsidTr="005A4CD5">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4B73B49" w14:textId="71DA1EF4" w:rsidR="00F84A50" w:rsidRPr="002948ED" w:rsidRDefault="00F84A50" w:rsidP="00F84A50">
            <w:pPr>
              <w:spacing w:before="100" w:after="100"/>
              <w:ind w:left="170"/>
              <w:rPr>
                <w:rFonts w:asciiTheme="majorHAnsi" w:hAnsiTheme="majorHAnsi"/>
                <w:bCs/>
                <w:iCs/>
                <w:noProof/>
                <w:color w:val="003399" w:themeColor="text2"/>
                <w:sz w:val="22"/>
                <w:szCs w:val="22"/>
              </w:rPr>
            </w:pPr>
            <w:r w:rsidRPr="002948ED">
              <w:rPr>
                <w:rFonts w:asciiTheme="majorHAnsi" w:hAnsiTheme="majorHAnsi"/>
                <w:noProof/>
                <w:color w:val="003399" w:themeColor="text2"/>
                <w:sz w:val="22"/>
              </w:rPr>
              <w:t>Ressource pour l’Europe provenant des entreprises (CORE)</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46A0F3F" w14:textId="77777777" w:rsidR="00F84A50" w:rsidRPr="002948ED" w:rsidRDefault="00F84A50" w:rsidP="00F84A50">
            <w:pPr>
              <w:spacing w:before="100" w:after="100"/>
              <w:jc w:val="center"/>
              <w:rPr>
                <w:rFonts w:asciiTheme="majorHAnsi" w:hAnsiTheme="majorHAnsi"/>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B6EEE96" w14:textId="77777777" w:rsidR="00F84A50" w:rsidRPr="002948ED" w:rsidRDefault="00F84A50" w:rsidP="00F84A50">
            <w:pPr>
              <w:spacing w:before="100" w:after="100" w:line="22" w:lineRule="atLeast"/>
              <w:jc w:val="center"/>
              <w:rPr>
                <w:rFonts w:asciiTheme="majorHAnsi" w:eastAsia="Calibri" w:hAnsiTheme="majorHAnsi"/>
                <w:iCs/>
                <w:noProof/>
                <w:color w:val="003399" w:themeColor="text2"/>
              </w:rPr>
            </w:pP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3D7D8C7" w14:textId="19C1A32D" w:rsidR="00F84A50" w:rsidRPr="002948ED" w:rsidRDefault="00F84A50" w:rsidP="00F84A5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7,4</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AA40B8F" w14:textId="349DAF7E" w:rsidR="00F84A50" w:rsidRPr="002948ED" w:rsidRDefault="00F84A50" w:rsidP="00F84A5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7,5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25C2871" w14:textId="20624CD1" w:rsidR="00F84A50" w:rsidRPr="002948ED" w:rsidRDefault="00F84A50" w:rsidP="00F84A5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7,5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488596F" w14:textId="7629B1CF" w:rsidR="00F84A50" w:rsidRPr="002948ED" w:rsidRDefault="00F84A50" w:rsidP="00F84A5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7,6</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DDBBDC1" w14:textId="389741C5" w:rsidR="00F84A50" w:rsidRPr="002948ED" w:rsidRDefault="00F84A50" w:rsidP="00F84A5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7,7</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20B8B6D" w14:textId="1DC2E7E1" w:rsidR="00F84A50" w:rsidRPr="002948ED" w:rsidRDefault="00F84A50" w:rsidP="00F84A5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7,8</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FF0A73F" w14:textId="594656E3" w:rsidR="00F84A50" w:rsidRPr="002948ED" w:rsidRDefault="00F84A50" w:rsidP="00F84A50">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7,9</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3E4CDCC6" w14:textId="7A802C7C" w:rsidR="00F84A50" w:rsidRPr="002948ED" w:rsidRDefault="00F84A50" w:rsidP="00F84A50">
            <w:pPr>
              <w:spacing w:before="100" w:after="100" w:line="22" w:lineRule="atLeast"/>
              <w:jc w:val="center"/>
              <w:rPr>
                <w:rFonts w:asciiTheme="majorHAnsi" w:eastAsia="Calibri" w:hAnsiTheme="majorHAnsi"/>
                <w:b/>
                <w:noProof/>
              </w:rPr>
            </w:pPr>
            <w:r w:rsidRPr="002948ED">
              <w:rPr>
                <w:rFonts w:asciiTheme="majorHAnsi" w:hAnsiTheme="majorHAnsi"/>
                <w:b/>
                <w:noProof/>
              </w:rPr>
              <w:t>53,3</w:t>
            </w:r>
          </w:p>
        </w:tc>
      </w:tr>
      <w:tr w:rsidR="0073328F" w:rsidRPr="002948ED" w14:paraId="396A9F5C" w14:textId="77777777" w:rsidTr="005A4CD5">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117B3C9" w14:textId="4637C016" w:rsidR="0073328F" w:rsidRPr="002948ED" w:rsidRDefault="0073328F" w:rsidP="0073328F">
            <w:pPr>
              <w:spacing w:before="100" w:after="100"/>
              <w:ind w:left="170"/>
              <w:rPr>
                <w:rFonts w:asciiTheme="majorHAnsi" w:hAnsiTheme="majorHAnsi"/>
                <w:bCs/>
                <w:iCs/>
                <w:noProof/>
                <w:color w:val="003399" w:themeColor="text2"/>
                <w:sz w:val="22"/>
                <w:szCs w:val="22"/>
              </w:rPr>
            </w:pPr>
            <w:r w:rsidRPr="002948ED">
              <w:rPr>
                <w:rFonts w:asciiTheme="majorHAnsi" w:hAnsiTheme="majorHAnsi"/>
                <w:noProof/>
                <w:color w:val="003399" w:themeColor="text2"/>
                <w:sz w:val="22"/>
              </w:rPr>
              <w:t>Ressource propre «RNB»</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558EFAD" w14:textId="77777777" w:rsidR="0073328F" w:rsidRPr="002948ED" w:rsidRDefault="0073328F" w:rsidP="0073328F">
            <w:pPr>
              <w:spacing w:before="100" w:after="100"/>
              <w:jc w:val="center"/>
              <w:rPr>
                <w:rFonts w:asciiTheme="majorHAnsi" w:hAnsiTheme="majorHAnsi"/>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B49814E" w14:textId="5AD4894E" w:rsidR="0073328F" w:rsidRPr="002948ED" w:rsidRDefault="0073328F" w:rsidP="0073328F">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151,4</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FEF8887" w14:textId="22379213" w:rsidR="0073328F" w:rsidRPr="002948ED" w:rsidRDefault="0073328F" w:rsidP="0073328F">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145,5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355843B" w14:textId="48EBB4A6" w:rsidR="0073328F" w:rsidRPr="002948ED" w:rsidRDefault="0073328F" w:rsidP="0073328F">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159,1</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2BE6F1B" w14:textId="157E24AA" w:rsidR="0073328F" w:rsidRPr="002948ED" w:rsidRDefault="0073328F" w:rsidP="0073328F">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183,7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EB8FD9A" w14:textId="235157DD" w:rsidR="0073328F" w:rsidRPr="002948ED" w:rsidRDefault="0073328F" w:rsidP="0073328F">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140,1</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9E5EFE2" w14:textId="02A4856B" w:rsidR="0073328F" w:rsidRPr="002948ED" w:rsidRDefault="0073328F" w:rsidP="0073328F">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150,3</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F9D3351" w14:textId="7C9EFBF6" w:rsidR="0073328F" w:rsidRPr="002948ED" w:rsidRDefault="0073328F" w:rsidP="0073328F">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144,4</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129030E" w14:textId="7A34FF02" w:rsidR="0073328F" w:rsidRPr="002948ED" w:rsidRDefault="0073328F" w:rsidP="0073328F">
            <w:pPr>
              <w:spacing w:before="100" w:after="100" w:line="22" w:lineRule="atLeast"/>
              <w:jc w:val="center"/>
              <w:rPr>
                <w:rFonts w:asciiTheme="majorHAnsi" w:eastAsia="Calibri" w:hAnsiTheme="majorHAnsi"/>
                <w:iCs/>
                <w:noProof/>
                <w:color w:val="003399" w:themeColor="text2"/>
              </w:rPr>
            </w:pPr>
            <w:r w:rsidRPr="002948ED">
              <w:rPr>
                <w:rFonts w:asciiTheme="majorHAnsi" w:hAnsiTheme="majorHAnsi"/>
                <w:noProof/>
                <w:color w:val="003399" w:themeColor="text2"/>
              </w:rPr>
              <w:t>131,6</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0530BA60" w14:textId="5E27DD32" w:rsidR="0073328F" w:rsidRPr="002948ED" w:rsidRDefault="0073328F" w:rsidP="0073328F">
            <w:pPr>
              <w:spacing w:before="100" w:after="100" w:line="22" w:lineRule="atLeast"/>
              <w:jc w:val="center"/>
              <w:rPr>
                <w:rFonts w:asciiTheme="majorHAnsi" w:eastAsia="Calibri" w:hAnsiTheme="majorHAnsi"/>
                <w:b/>
                <w:noProof/>
              </w:rPr>
            </w:pPr>
            <w:r w:rsidRPr="002948ED">
              <w:rPr>
                <w:rFonts w:asciiTheme="majorHAnsi" w:hAnsiTheme="majorHAnsi"/>
                <w:b/>
                <w:noProof/>
              </w:rPr>
              <w:t>1 205,9</w:t>
            </w:r>
          </w:p>
        </w:tc>
      </w:tr>
      <w:tr w:rsidR="00D1758B" w:rsidRPr="002948ED" w14:paraId="5A2FD315" w14:textId="77777777" w:rsidTr="6603F2C9">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28AA0255" w14:textId="53E50CDC" w:rsidR="00CA37D2" w:rsidRPr="002948ED" w:rsidRDefault="00CA37D2" w:rsidP="00CA37D2">
            <w:pPr>
              <w:spacing w:before="100" w:after="100"/>
              <w:rPr>
                <w:rFonts w:asciiTheme="majorHAnsi" w:hAnsiTheme="majorHAnsi"/>
                <w:b/>
                <w:bCs/>
                <w:iCs/>
                <w:noProof/>
                <w:color w:val="003399" w:themeColor="text2"/>
                <w:sz w:val="22"/>
                <w:szCs w:val="22"/>
              </w:rPr>
            </w:pPr>
            <w:r w:rsidRPr="002948ED">
              <w:rPr>
                <w:rFonts w:asciiTheme="majorHAnsi" w:hAnsiTheme="majorHAnsi"/>
                <w:b/>
                <w:noProof/>
                <w:color w:val="003399" w:themeColor="text2"/>
                <w:sz w:val="22"/>
              </w:rPr>
              <w:t>Autres recettes [y compris les droits et la contribution provisoire du Royaume-Uni, les frais du système européen d’information et d’autorisation concernant les voyages (ETIAS)]</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1D283AEB" w14:textId="5F0383CF" w:rsidR="00CA37D2" w:rsidRPr="002948ED" w:rsidRDefault="00CA37D2" w:rsidP="00CA37D2">
            <w:pPr>
              <w:spacing w:before="100" w:after="100"/>
              <w:jc w:val="center"/>
              <w:rPr>
                <w:rFonts w:asciiTheme="majorHAnsi" w:hAnsiTheme="majorHAnsi"/>
                <w:b/>
                <w:bCs/>
                <w:iCs/>
                <w:noProof/>
                <w:color w:val="003399" w:themeColor="text2"/>
                <w:spacing w:val="-4"/>
              </w:rPr>
            </w:pPr>
            <w:r w:rsidRPr="002948ED">
              <w:rPr>
                <w:rFonts w:asciiTheme="majorHAnsi" w:hAnsiTheme="majorHAnsi"/>
                <w:b/>
                <w:noProof/>
                <w:color w:val="003399" w:themeColor="text2"/>
              </w:rPr>
              <w:t>C</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41CFF6E8" w14:textId="38667242" w:rsidR="00CA37D2" w:rsidRPr="002948ED" w:rsidRDefault="00CA37D2" w:rsidP="00CA37D2">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3,1</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2B68FA27" w14:textId="3A5DAF8A" w:rsidR="00CA37D2" w:rsidRPr="002948ED" w:rsidRDefault="00CA37D2" w:rsidP="00CA37D2">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3,4</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75516728" w14:textId="37241BF2" w:rsidR="00CA37D2" w:rsidRPr="002948ED" w:rsidRDefault="00CA37D2" w:rsidP="00CA37D2">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3,2</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4EEF6430" w14:textId="7F50F272" w:rsidR="00CA37D2" w:rsidRPr="002948ED" w:rsidRDefault="00CA37D2" w:rsidP="00CA37D2">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3,1</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0E36C9D" w14:textId="5F71EFF4" w:rsidR="00CA37D2" w:rsidRPr="002948ED" w:rsidRDefault="00CA37D2" w:rsidP="00CA37D2">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3,0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3FCAA172" w14:textId="310F5D40" w:rsidR="00CA37D2" w:rsidRPr="002948ED" w:rsidRDefault="00CA37D2" w:rsidP="00CA37D2">
            <w:pPr>
              <w:spacing w:before="100" w:after="100"/>
              <w:jc w:val="center"/>
              <w:rPr>
                <w:rFonts w:asciiTheme="majorHAnsi" w:hAnsiTheme="majorHAnsi"/>
                <w:b/>
                <w:noProof/>
                <w:color w:val="003399" w:themeColor="text2"/>
              </w:rPr>
            </w:pPr>
            <w:r w:rsidRPr="002948ED">
              <w:rPr>
                <w:rFonts w:asciiTheme="majorHAnsi" w:hAnsiTheme="majorHAnsi"/>
                <w:b/>
                <w:noProof/>
                <w:color w:val="003399" w:themeColor="text2"/>
              </w:rPr>
              <w:t>2,9</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BA06728" w14:textId="35793286" w:rsidR="00CA37D2" w:rsidRPr="002948ED" w:rsidRDefault="00CA37D2" w:rsidP="00CA37D2">
            <w:pPr>
              <w:spacing w:before="100" w:after="100"/>
              <w:jc w:val="center"/>
              <w:rPr>
                <w:rFonts w:asciiTheme="majorHAnsi" w:hAnsiTheme="majorHAnsi"/>
                <w:b/>
                <w:noProof/>
                <w:color w:val="003399" w:themeColor="text2"/>
              </w:rPr>
            </w:pPr>
            <w:r w:rsidRPr="002948ED">
              <w:rPr>
                <w:rFonts w:asciiTheme="majorHAnsi" w:hAnsiTheme="majorHAnsi"/>
                <w:b/>
                <w:noProof/>
                <w:color w:val="003399" w:themeColor="text2"/>
              </w:rPr>
              <w:t>2,9</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33A25415" w14:textId="05940318" w:rsidR="00CA37D2" w:rsidRPr="002948ED" w:rsidRDefault="00CA37D2" w:rsidP="00CA37D2">
            <w:pPr>
              <w:spacing w:before="100" w:after="100"/>
              <w:jc w:val="center"/>
              <w:rPr>
                <w:rFonts w:asciiTheme="majorHAnsi" w:hAnsiTheme="majorHAnsi"/>
                <w:b/>
                <w:noProof/>
                <w:color w:val="003399" w:themeColor="text2"/>
              </w:rPr>
            </w:pPr>
            <w:r w:rsidRPr="002948ED">
              <w:rPr>
                <w:rFonts w:asciiTheme="majorHAnsi" w:hAnsiTheme="majorHAnsi"/>
                <w:b/>
                <w:noProof/>
                <w:color w:val="003399" w:themeColor="text2"/>
              </w:rPr>
              <w:t>2,9</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shd w:val="clear" w:color="auto" w:fill="F3F7FF" w:themeFill="background2"/>
            <w:vAlign w:val="center"/>
          </w:tcPr>
          <w:p w14:paraId="75806857" w14:textId="1A475CFA" w:rsidR="00CA37D2" w:rsidRPr="002948ED" w:rsidRDefault="00CA37D2" w:rsidP="00CA37D2">
            <w:pPr>
              <w:spacing w:before="100" w:after="100"/>
              <w:jc w:val="center"/>
              <w:rPr>
                <w:rFonts w:asciiTheme="majorHAnsi" w:hAnsiTheme="majorHAnsi"/>
                <w:b/>
                <w:noProof/>
                <w:color w:val="003399" w:themeColor="text2"/>
              </w:rPr>
            </w:pPr>
            <w:r w:rsidRPr="002948ED">
              <w:rPr>
                <w:rFonts w:asciiTheme="majorHAnsi" w:hAnsiTheme="majorHAnsi"/>
                <w:b/>
                <w:noProof/>
                <w:color w:val="003399" w:themeColor="text2"/>
              </w:rPr>
              <w:t>24,4</w:t>
            </w:r>
          </w:p>
        </w:tc>
      </w:tr>
      <w:tr w:rsidR="00D74601" w:rsidRPr="002948ED" w14:paraId="4F4439A4" w14:textId="77777777" w:rsidTr="00186C27">
        <w:trPr>
          <w:trHeight w:val="533"/>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1FE861B0" w14:textId="77777777" w:rsidR="000D256C" w:rsidRPr="002948ED" w:rsidRDefault="000D256C">
            <w:pPr>
              <w:spacing w:before="100" w:after="100"/>
              <w:rPr>
                <w:rFonts w:asciiTheme="majorHAnsi" w:hAnsiTheme="majorHAnsi"/>
                <w:b/>
                <w:bCs/>
                <w:iCs/>
                <w:noProof/>
                <w:color w:val="003399" w:themeColor="text2"/>
                <w:sz w:val="22"/>
                <w:szCs w:val="22"/>
              </w:rPr>
            </w:pPr>
            <w:r w:rsidRPr="002948ED">
              <w:rPr>
                <w:rFonts w:asciiTheme="majorHAnsi" w:hAnsiTheme="majorHAnsi"/>
                <w:b/>
                <w:noProof/>
                <w:color w:val="003399" w:themeColor="text2"/>
                <w:sz w:val="22"/>
              </w:rPr>
              <w:t>TOTAL DES RECETTES</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30F856B5" w14:textId="39D1A39A" w:rsidR="000D256C" w:rsidRPr="002948ED" w:rsidRDefault="28123C7F">
            <w:pPr>
              <w:spacing w:before="100" w:after="100"/>
              <w:jc w:val="center"/>
              <w:rPr>
                <w:rFonts w:asciiTheme="majorHAnsi" w:hAnsiTheme="majorHAnsi"/>
                <w:b/>
                <w:bCs/>
                <w:iCs/>
                <w:noProof/>
                <w:color w:val="003399" w:themeColor="text2"/>
              </w:rPr>
            </w:pPr>
            <w:r w:rsidRPr="002948ED">
              <w:rPr>
                <w:rFonts w:asciiTheme="majorHAnsi" w:hAnsiTheme="majorHAnsi"/>
                <w:b/>
                <w:noProof/>
                <w:color w:val="003399" w:themeColor="text2"/>
              </w:rPr>
              <w:t>D = B + C</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2DF38A62" w14:textId="46F412A8" w:rsidR="000D256C" w:rsidRPr="002948ED" w:rsidRDefault="00E444B3" w:rsidP="00186C27">
            <w:pPr>
              <w:spacing w:before="100" w:after="100"/>
              <w:jc w:val="center"/>
              <w:rPr>
                <w:rFonts w:asciiTheme="majorHAnsi" w:hAnsiTheme="majorHAnsi"/>
                <w:b/>
                <w:bCs/>
                <w:iCs/>
                <w:noProof/>
                <w:color w:val="000000" w:themeColor="text1"/>
                <w:sz w:val="22"/>
                <w:szCs w:val="22"/>
              </w:rPr>
            </w:pPr>
            <w:r w:rsidRPr="002948ED">
              <w:rPr>
                <w:rFonts w:asciiTheme="majorHAnsi" w:hAnsiTheme="majorHAnsi"/>
                <w:b/>
                <w:noProof/>
                <w:color w:val="000000" w:themeColor="text1"/>
                <w:sz w:val="22"/>
              </w:rPr>
              <w:t>212,0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42233951" w14:textId="0F8967B5" w:rsidR="000D256C" w:rsidRPr="002948ED" w:rsidRDefault="000D256C" w:rsidP="00186C27">
            <w:pPr>
              <w:spacing w:before="100" w:after="100"/>
              <w:jc w:val="center"/>
              <w:rPr>
                <w:rFonts w:asciiTheme="majorHAnsi" w:hAnsiTheme="majorHAnsi"/>
                <w:b/>
                <w:bCs/>
                <w:iCs/>
                <w:noProof/>
                <w:color w:val="000000" w:themeColor="text1"/>
                <w:sz w:val="22"/>
                <w:szCs w:val="22"/>
              </w:rPr>
            </w:pPr>
            <w:r w:rsidRPr="002948ED">
              <w:rPr>
                <w:rFonts w:asciiTheme="majorHAnsi" w:hAnsiTheme="majorHAnsi"/>
                <w:b/>
                <w:noProof/>
                <w:color w:val="000000" w:themeColor="text1"/>
                <w:sz w:val="22"/>
              </w:rPr>
              <w:t>265,6</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5C5AB0EA" w14:textId="446BF6F6" w:rsidR="000D256C" w:rsidRPr="002948ED" w:rsidRDefault="000D256C" w:rsidP="00186C27">
            <w:pPr>
              <w:spacing w:before="100" w:after="100"/>
              <w:jc w:val="center"/>
              <w:rPr>
                <w:rFonts w:asciiTheme="majorHAnsi" w:hAnsiTheme="majorHAnsi"/>
                <w:b/>
                <w:bCs/>
                <w:iCs/>
                <w:noProof/>
                <w:color w:val="000000" w:themeColor="text1"/>
                <w:sz w:val="22"/>
                <w:szCs w:val="22"/>
              </w:rPr>
            </w:pPr>
            <w:r w:rsidRPr="002948ED">
              <w:rPr>
                <w:rFonts w:asciiTheme="majorHAnsi" w:hAnsiTheme="majorHAnsi"/>
                <w:b/>
                <w:noProof/>
                <w:color w:val="000000" w:themeColor="text1"/>
                <w:sz w:val="22"/>
              </w:rPr>
              <w:t>284,1</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1E41EEB5" w14:textId="318EA906" w:rsidR="000D256C" w:rsidRPr="002948ED" w:rsidRDefault="000D256C" w:rsidP="00186C27">
            <w:pPr>
              <w:spacing w:before="100" w:after="100"/>
              <w:jc w:val="center"/>
              <w:rPr>
                <w:rFonts w:asciiTheme="majorHAnsi" w:hAnsiTheme="majorHAnsi"/>
                <w:b/>
                <w:bCs/>
                <w:iCs/>
                <w:noProof/>
                <w:color w:val="000000" w:themeColor="text1"/>
                <w:sz w:val="22"/>
                <w:szCs w:val="22"/>
              </w:rPr>
            </w:pPr>
            <w:r w:rsidRPr="002948ED">
              <w:rPr>
                <w:rFonts w:asciiTheme="majorHAnsi" w:hAnsiTheme="majorHAnsi"/>
                <w:b/>
                <w:noProof/>
                <w:color w:val="000000" w:themeColor="text1"/>
                <w:sz w:val="22"/>
              </w:rPr>
              <w:t>310,7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626F463B" w14:textId="628F875A" w:rsidR="000D256C" w:rsidRPr="002948ED" w:rsidRDefault="000D256C" w:rsidP="00186C27">
            <w:pPr>
              <w:spacing w:before="100" w:after="100"/>
              <w:jc w:val="center"/>
              <w:rPr>
                <w:rFonts w:asciiTheme="majorHAnsi" w:hAnsiTheme="majorHAnsi"/>
                <w:b/>
                <w:bCs/>
                <w:iCs/>
                <w:noProof/>
                <w:color w:val="000000" w:themeColor="text1"/>
                <w:sz w:val="22"/>
                <w:szCs w:val="22"/>
              </w:rPr>
            </w:pPr>
            <w:r w:rsidRPr="002948ED">
              <w:rPr>
                <w:rFonts w:asciiTheme="majorHAnsi" w:hAnsiTheme="majorHAnsi"/>
                <w:b/>
                <w:noProof/>
                <w:color w:val="000000" w:themeColor="text1"/>
                <w:sz w:val="22"/>
              </w:rPr>
              <w:t>272,0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61E63347" w14:textId="731A696C" w:rsidR="000D256C" w:rsidRPr="002948ED" w:rsidRDefault="000D256C" w:rsidP="00186C27">
            <w:pPr>
              <w:spacing w:before="100" w:after="100"/>
              <w:jc w:val="center"/>
              <w:rPr>
                <w:rFonts w:asciiTheme="majorHAnsi" w:eastAsia="Calibri" w:hAnsiTheme="majorHAnsi"/>
                <w:b/>
                <w:bCs/>
                <w:iCs/>
                <w:noProof/>
                <w:color w:val="000000" w:themeColor="text1"/>
                <w:sz w:val="22"/>
                <w:szCs w:val="22"/>
              </w:rPr>
            </w:pPr>
            <w:r w:rsidRPr="002948ED">
              <w:rPr>
                <w:rFonts w:asciiTheme="majorHAnsi" w:hAnsiTheme="majorHAnsi"/>
                <w:b/>
                <w:noProof/>
                <w:color w:val="000000" w:themeColor="text1"/>
                <w:sz w:val="22"/>
              </w:rPr>
              <w:t>283,4</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78A79487" w14:textId="7EFB18A3" w:rsidR="000D256C" w:rsidRPr="002948ED" w:rsidRDefault="000D256C" w:rsidP="00186C27">
            <w:pPr>
              <w:spacing w:before="100" w:after="100"/>
              <w:jc w:val="center"/>
              <w:rPr>
                <w:rFonts w:asciiTheme="majorHAnsi" w:eastAsia="Calibri" w:hAnsiTheme="majorHAnsi"/>
                <w:b/>
                <w:bCs/>
                <w:iCs/>
                <w:noProof/>
                <w:color w:val="000000" w:themeColor="text1"/>
                <w:sz w:val="22"/>
                <w:szCs w:val="22"/>
              </w:rPr>
            </w:pPr>
            <w:r w:rsidRPr="002948ED">
              <w:rPr>
                <w:rFonts w:asciiTheme="majorHAnsi" w:hAnsiTheme="majorHAnsi"/>
                <w:b/>
                <w:noProof/>
                <w:color w:val="000000" w:themeColor="text1"/>
                <w:sz w:val="22"/>
              </w:rPr>
              <w:t>278,5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40536126" w14:textId="26C97881" w:rsidR="000D256C" w:rsidRPr="002948ED" w:rsidRDefault="000D256C" w:rsidP="00186C27">
            <w:pPr>
              <w:spacing w:before="100" w:after="100"/>
              <w:jc w:val="center"/>
              <w:rPr>
                <w:rFonts w:asciiTheme="majorHAnsi" w:eastAsia="Calibri" w:hAnsiTheme="majorHAnsi"/>
                <w:b/>
                <w:bCs/>
                <w:iCs/>
                <w:noProof/>
                <w:color w:val="000000" w:themeColor="text1"/>
                <w:sz w:val="22"/>
                <w:szCs w:val="22"/>
              </w:rPr>
            </w:pPr>
            <w:r w:rsidRPr="002948ED">
              <w:rPr>
                <w:rFonts w:asciiTheme="majorHAnsi" w:hAnsiTheme="majorHAnsi"/>
                <w:b/>
                <w:noProof/>
                <w:color w:val="000000" w:themeColor="text1"/>
                <w:sz w:val="22"/>
              </w:rPr>
              <w:t>267,5</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shd w:val="clear" w:color="auto" w:fill="D9D9D9" w:themeFill="background1" w:themeFillShade="D9"/>
            <w:vAlign w:val="center"/>
          </w:tcPr>
          <w:p w14:paraId="574A0F92" w14:textId="29BF05BE" w:rsidR="000D256C" w:rsidRPr="002948ED" w:rsidRDefault="009973DD" w:rsidP="00186C27">
            <w:pPr>
              <w:spacing w:before="100" w:after="100"/>
              <w:jc w:val="center"/>
              <w:rPr>
                <w:rFonts w:asciiTheme="majorHAnsi" w:hAnsiTheme="majorHAnsi"/>
                <w:b/>
                <w:bCs/>
                <w:iCs/>
                <w:noProof/>
                <w:color w:val="000000" w:themeColor="text1"/>
                <w:sz w:val="22"/>
                <w:szCs w:val="22"/>
              </w:rPr>
            </w:pPr>
            <w:r w:rsidRPr="002948ED">
              <w:rPr>
                <w:rFonts w:asciiTheme="majorHAnsi" w:hAnsiTheme="majorHAnsi"/>
                <w:b/>
                <w:noProof/>
                <w:color w:val="000000" w:themeColor="text1"/>
                <w:sz w:val="22"/>
              </w:rPr>
              <w:t>2 173,9</w:t>
            </w:r>
          </w:p>
        </w:tc>
      </w:tr>
      <w:tr w:rsidR="000D256C" w:rsidRPr="002948ED" w14:paraId="55E09A0C" w14:textId="77777777" w:rsidTr="004D3FA0">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7642E1C" w14:textId="77777777" w:rsidR="000D256C" w:rsidRPr="002948ED" w:rsidRDefault="000D256C">
            <w:pPr>
              <w:spacing w:before="100" w:after="100"/>
              <w:rPr>
                <w:rFonts w:asciiTheme="majorHAnsi" w:hAnsiTheme="majorHAnsi"/>
                <w:b/>
                <w:iCs/>
                <w:noProof/>
                <w:color w:val="003399" w:themeColor="text2"/>
                <w:sz w:val="22"/>
                <w:szCs w:val="22"/>
              </w:rPr>
            </w:pPr>
            <w:r w:rsidRPr="002948ED">
              <w:rPr>
                <w:rFonts w:asciiTheme="majorHAnsi" w:hAnsiTheme="majorHAnsi"/>
                <w:b/>
                <w:noProof/>
                <w:color w:val="003399" w:themeColor="text2"/>
                <w:sz w:val="22"/>
              </w:rPr>
              <w:t xml:space="preserve">Marge disponible au titre du </w:t>
            </w:r>
            <w:r w:rsidRPr="002948ED">
              <w:rPr>
                <w:noProof/>
              </w:rPr>
              <w:t xml:space="preserve"> </w:t>
            </w:r>
            <w:r w:rsidRPr="002948ED">
              <w:rPr>
                <w:noProof/>
              </w:rPr>
              <w:cr/>
            </w:r>
            <w:r w:rsidRPr="002948ED">
              <w:rPr>
                <w:noProof/>
              </w:rPr>
              <w:br/>
            </w:r>
            <w:r w:rsidRPr="002948ED">
              <w:rPr>
                <w:rFonts w:asciiTheme="majorHAnsi" w:hAnsiTheme="majorHAnsi"/>
                <w:b/>
                <w:noProof/>
                <w:color w:val="003399" w:themeColor="text2"/>
                <w:sz w:val="22"/>
              </w:rPr>
              <w:t xml:space="preserve">plafond des ressources propres </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949A05F" w14:textId="33E8A43E" w:rsidR="000D256C" w:rsidRPr="002948ED" w:rsidRDefault="65917720">
            <w:pPr>
              <w:spacing w:before="100" w:after="100"/>
              <w:jc w:val="center"/>
              <w:rPr>
                <w:rFonts w:asciiTheme="majorHAnsi" w:hAnsiTheme="majorHAnsi"/>
                <w:b/>
                <w:iCs/>
                <w:noProof/>
                <w:color w:val="003399" w:themeColor="text2"/>
              </w:rPr>
            </w:pPr>
            <w:r w:rsidRPr="002948ED">
              <w:rPr>
                <w:rFonts w:asciiTheme="majorHAnsi" w:hAnsiTheme="majorHAnsi"/>
                <w:b/>
                <w:noProof/>
                <w:color w:val="003399" w:themeColor="text2"/>
              </w:rPr>
              <w:t>A-B</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B3FACB2" w14:textId="08AA3332" w:rsidR="000D256C" w:rsidRPr="002948ED" w:rsidRDefault="01C14EF4" w:rsidP="00D74601">
            <w:pPr>
              <w:spacing w:before="100" w:after="100"/>
              <w:jc w:val="right"/>
              <w:rPr>
                <w:rFonts w:asciiTheme="majorHAnsi" w:hAnsiTheme="majorHAnsi"/>
                <w:b/>
                <w:iCs/>
                <w:noProof/>
                <w:color w:val="003399" w:themeColor="text2"/>
              </w:rPr>
            </w:pPr>
            <w:r w:rsidRPr="002948ED">
              <w:rPr>
                <w:rFonts w:asciiTheme="majorHAnsi" w:hAnsiTheme="majorHAnsi"/>
                <w:b/>
                <w:noProof/>
                <w:color w:val="003399" w:themeColor="text2"/>
              </w:rPr>
              <w:t>194,9</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89A18D5" w14:textId="67970434" w:rsidR="000D256C" w:rsidRPr="002948ED" w:rsidRDefault="01C14EF4" w:rsidP="00D74601">
            <w:pPr>
              <w:spacing w:before="100" w:after="100"/>
              <w:jc w:val="right"/>
              <w:rPr>
                <w:rFonts w:asciiTheme="majorHAnsi" w:hAnsiTheme="majorHAnsi"/>
                <w:b/>
                <w:iCs/>
                <w:noProof/>
                <w:color w:val="003399" w:themeColor="text2"/>
              </w:rPr>
            </w:pPr>
            <w:r w:rsidRPr="002948ED">
              <w:rPr>
                <w:rFonts w:asciiTheme="majorHAnsi" w:hAnsiTheme="majorHAnsi"/>
                <w:b/>
                <w:noProof/>
                <w:color w:val="003399" w:themeColor="text2"/>
              </w:rPr>
              <w:t>230,7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AB75F53" w14:textId="569F94E4" w:rsidR="000D256C" w:rsidRPr="002948ED" w:rsidRDefault="01C14EF4" w:rsidP="00D74601">
            <w:pPr>
              <w:spacing w:before="100" w:after="100"/>
              <w:jc w:val="right"/>
              <w:rPr>
                <w:rFonts w:asciiTheme="majorHAnsi" w:hAnsiTheme="majorHAnsi"/>
                <w:b/>
                <w:iCs/>
                <w:noProof/>
                <w:color w:val="003399" w:themeColor="text2"/>
              </w:rPr>
            </w:pPr>
            <w:r w:rsidRPr="002948ED">
              <w:rPr>
                <w:rFonts w:asciiTheme="majorHAnsi" w:hAnsiTheme="majorHAnsi"/>
                <w:b/>
                <w:noProof/>
                <w:color w:val="003399" w:themeColor="text2"/>
              </w:rPr>
              <w:t>230,4</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7D0B29F" w14:textId="36A40B4F" w:rsidR="000D256C" w:rsidRPr="002948ED" w:rsidRDefault="01C14EF4" w:rsidP="00D74601">
            <w:pPr>
              <w:spacing w:before="100" w:after="100"/>
              <w:jc w:val="right"/>
              <w:rPr>
                <w:rFonts w:asciiTheme="majorHAnsi" w:hAnsiTheme="majorHAnsi"/>
                <w:b/>
                <w:iCs/>
                <w:noProof/>
                <w:color w:val="003399" w:themeColor="text2"/>
              </w:rPr>
            </w:pPr>
            <w:r w:rsidRPr="002948ED">
              <w:rPr>
                <w:rFonts w:asciiTheme="majorHAnsi" w:hAnsiTheme="majorHAnsi"/>
                <w:b/>
                <w:noProof/>
                <w:color w:val="003399" w:themeColor="text2"/>
              </w:rPr>
              <w:t>222,5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C612B77" w14:textId="4E52ADE4" w:rsidR="000D256C" w:rsidRPr="002948ED" w:rsidRDefault="01C14EF4" w:rsidP="00D74601">
            <w:pPr>
              <w:spacing w:before="100" w:after="100"/>
              <w:jc w:val="right"/>
              <w:rPr>
                <w:rFonts w:asciiTheme="majorHAnsi" w:hAnsiTheme="majorHAnsi"/>
                <w:b/>
                <w:iCs/>
                <w:noProof/>
                <w:color w:val="003399" w:themeColor="text2"/>
              </w:rPr>
            </w:pPr>
            <w:r w:rsidRPr="002948ED">
              <w:rPr>
                <w:rFonts w:asciiTheme="majorHAnsi" w:hAnsiTheme="majorHAnsi"/>
                <w:b/>
                <w:noProof/>
                <w:color w:val="003399" w:themeColor="text2"/>
              </w:rPr>
              <w:t>279,0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6CD6CCA" w14:textId="104228A2" w:rsidR="000D256C" w:rsidRPr="002948ED" w:rsidRDefault="01C14EF4" w:rsidP="00D74601">
            <w:pPr>
              <w:spacing w:before="100" w:after="100"/>
              <w:jc w:val="right"/>
              <w:rPr>
                <w:rFonts w:asciiTheme="majorHAnsi" w:hAnsiTheme="majorHAnsi"/>
                <w:b/>
                <w:iCs/>
                <w:noProof/>
                <w:color w:val="003399" w:themeColor="text2"/>
              </w:rPr>
            </w:pPr>
            <w:r w:rsidRPr="002948ED">
              <w:rPr>
                <w:rFonts w:asciiTheme="majorHAnsi" w:hAnsiTheme="majorHAnsi"/>
                <w:b/>
                <w:noProof/>
                <w:color w:val="003399" w:themeColor="text2"/>
              </w:rPr>
              <w:t>285,6</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4120F24" w14:textId="6AE3A23E" w:rsidR="000D256C" w:rsidRPr="002948ED" w:rsidRDefault="01C14EF4" w:rsidP="00D74601">
            <w:pPr>
              <w:spacing w:before="100" w:after="100"/>
              <w:jc w:val="right"/>
              <w:rPr>
                <w:rFonts w:asciiTheme="majorHAnsi" w:hAnsiTheme="majorHAnsi"/>
                <w:b/>
                <w:iCs/>
                <w:noProof/>
                <w:color w:val="003399" w:themeColor="text2"/>
              </w:rPr>
            </w:pPr>
            <w:r w:rsidRPr="002948ED">
              <w:rPr>
                <w:rFonts w:asciiTheme="majorHAnsi" w:hAnsiTheme="majorHAnsi"/>
                <w:b/>
                <w:noProof/>
                <w:color w:val="003399" w:themeColor="text2"/>
              </w:rPr>
              <w:t>308,5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4181D63" w14:textId="176FC954" w:rsidR="000D256C" w:rsidRPr="002948ED" w:rsidRDefault="01C14EF4" w:rsidP="00D74601">
            <w:pPr>
              <w:spacing w:before="100" w:after="100"/>
              <w:jc w:val="right"/>
              <w:rPr>
                <w:rFonts w:asciiTheme="majorHAnsi" w:hAnsiTheme="majorHAnsi"/>
                <w:b/>
                <w:iCs/>
                <w:noProof/>
                <w:color w:val="003399" w:themeColor="text2"/>
              </w:rPr>
            </w:pPr>
            <w:r w:rsidRPr="002948ED">
              <w:rPr>
                <w:rFonts w:asciiTheme="majorHAnsi" w:hAnsiTheme="majorHAnsi"/>
                <w:b/>
                <w:noProof/>
                <w:color w:val="003399" w:themeColor="text2"/>
              </w:rPr>
              <w:t>337,8</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71D36542" w14:textId="72078EC4" w:rsidR="000D256C" w:rsidRPr="002948ED" w:rsidRDefault="01C14EF4" w:rsidP="00481B6B">
            <w:pPr>
              <w:spacing w:before="100" w:after="100"/>
              <w:jc w:val="center"/>
              <w:rPr>
                <w:rFonts w:asciiTheme="majorHAnsi" w:hAnsiTheme="majorHAnsi"/>
                <w:b/>
                <w:bCs/>
                <w:iCs/>
                <w:noProof/>
                <w:color w:val="000000" w:themeColor="text1"/>
                <w:sz w:val="22"/>
                <w:szCs w:val="22"/>
              </w:rPr>
            </w:pPr>
            <w:r w:rsidRPr="002948ED">
              <w:rPr>
                <w:rFonts w:asciiTheme="majorHAnsi" w:hAnsiTheme="majorHAnsi"/>
                <w:b/>
                <w:noProof/>
                <w:color w:val="000000" w:themeColor="text1"/>
                <w:sz w:val="22"/>
              </w:rPr>
              <w:t>s.o.</w:t>
            </w:r>
          </w:p>
        </w:tc>
      </w:tr>
      <w:tr w:rsidR="000D256C" w:rsidRPr="002948ED" w14:paraId="6DE56EBF" w14:textId="77777777" w:rsidTr="004D3FA0">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F3471B6" w14:textId="0EBEA30F" w:rsidR="000D256C" w:rsidRPr="002948ED" w:rsidRDefault="000D256C" w:rsidP="00AD6672">
            <w:pPr>
              <w:spacing w:before="100" w:after="100"/>
              <w:jc w:val="right"/>
              <w:rPr>
                <w:rFonts w:asciiTheme="majorHAnsi" w:hAnsiTheme="majorHAnsi"/>
                <w:b/>
                <w:iCs/>
                <w:noProof/>
                <w:color w:val="003399" w:themeColor="text2"/>
                <w:sz w:val="22"/>
                <w:szCs w:val="22"/>
              </w:rPr>
            </w:pPr>
            <w:r w:rsidRPr="002948ED">
              <w:rPr>
                <w:rFonts w:asciiTheme="majorHAnsi" w:hAnsiTheme="majorHAnsi"/>
                <w:noProof/>
                <w:color w:val="003399" w:themeColor="text2"/>
                <w:sz w:val="22"/>
              </w:rPr>
              <w:t>dont marge au titre de l’augmentation temporaire pour NextGenerationEU</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9FB4B9A" w14:textId="0278646C" w:rsidR="000D256C" w:rsidRPr="002948ED" w:rsidRDefault="2030E1C6">
            <w:pPr>
              <w:spacing w:before="100" w:after="100"/>
              <w:jc w:val="center"/>
              <w:rPr>
                <w:rFonts w:asciiTheme="majorHAnsi" w:hAnsiTheme="majorHAnsi"/>
                <w:noProof/>
                <w:color w:val="003399" w:themeColor="text2"/>
              </w:rPr>
            </w:pPr>
            <w:r w:rsidRPr="002948ED">
              <w:rPr>
                <w:rFonts w:asciiTheme="majorHAnsi" w:hAnsiTheme="majorHAnsi"/>
                <w:noProof/>
                <w:color w:val="003399" w:themeColor="text2"/>
              </w:rPr>
              <w:t>A'- B’</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5A7D90B" w14:textId="411AFB79" w:rsidR="000D256C" w:rsidRPr="002948ED" w:rsidRDefault="00BC618D" w:rsidP="00D74601">
            <w:pPr>
              <w:spacing w:before="100" w:after="100"/>
              <w:jc w:val="right"/>
              <w:rPr>
                <w:rFonts w:asciiTheme="majorHAnsi" w:hAnsiTheme="majorHAnsi"/>
                <w:noProof/>
                <w:color w:val="003399" w:themeColor="text2"/>
              </w:rPr>
            </w:pPr>
            <w:r w:rsidRPr="002948ED">
              <w:rPr>
                <w:rFonts w:asciiTheme="majorHAnsi" w:hAnsiTheme="majorHAnsi"/>
                <w:noProof/>
                <w:color w:val="003399" w:themeColor="text2"/>
              </w:rPr>
              <w:t>111,2</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8902FC8" w14:textId="3B3BA4EB" w:rsidR="000D256C" w:rsidRPr="002948ED" w:rsidRDefault="00BC618D" w:rsidP="00D74601">
            <w:pPr>
              <w:spacing w:before="100" w:after="100"/>
              <w:jc w:val="right"/>
              <w:rPr>
                <w:rFonts w:asciiTheme="majorHAnsi" w:hAnsiTheme="majorHAnsi"/>
                <w:noProof/>
                <w:color w:val="003399" w:themeColor="text2"/>
              </w:rPr>
            </w:pPr>
            <w:r w:rsidRPr="002948ED">
              <w:rPr>
                <w:rFonts w:asciiTheme="majorHAnsi" w:hAnsiTheme="majorHAnsi"/>
                <w:noProof/>
                <w:color w:val="003399" w:themeColor="text2"/>
              </w:rPr>
              <w:t>101,9</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E85E784" w14:textId="04D63056" w:rsidR="000D256C" w:rsidRPr="002948ED" w:rsidRDefault="00BC618D" w:rsidP="00D74601">
            <w:pPr>
              <w:spacing w:before="100" w:after="100"/>
              <w:jc w:val="right"/>
              <w:rPr>
                <w:rFonts w:asciiTheme="majorHAnsi" w:hAnsiTheme="majorHAnsi"/>
                <w:noProof/>
                <w:color w:val="003399" w:themeColor="text2"/>
              </w:rPr>
            </w:pPr>
            <w:r w:rsidRPr="002948ED">
              <w:rPr>
                <w:rFonts w:asciiTheme="majorHAnsi" w:hAnsiTheme="majorHAnsi"/>
                <w:noProof/>
                <w:color w:val="003399" w:themeColor="text2"/>
              </w:rPr>
              <w:t>106,6</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20FA751" w14:textId="2808FBEE" w:rsidR="000D256C" w:rsidRPr="002948ED" w:rsidRDefault="00BC618D" w:rsidP="00D74601">
            <w:pPr>
              <w:spacing w:before="100" w:after="100"/>
              <w:jc w:val="right"/>
              <w:rPr>
                <w:rFonts w:asciiTheme="majorHAnsi" w:hAnsiTheme="majorHAnsi"/>
                <w:noProof/>
                <w:color w:val="003399" w:themeColor="text2"/>
              </w:rPr>
            </w:pPr>
            <w:r w:rsidRPr="002948ED">
              <w:rPr>
                <w:rFonts w:asciiTheme="majorHAnsi" w:hAnsiTheme="majorHAnsi"/>
                <w:noProof/>
                <w:color w:val="003399" w:themeColor="text2"/>
              </w:rPr>
              <w:t>111,3</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D92ABA3" w14:textId="7BB5A523" w:rsidR="000D256C" w:rsidRPr="002948ED" w:rsidRDefault="00BC618D" w:rsidP="00D74601">
            <w:pPr>
              <w:spacing w:before="100" w:after="100"/>
              <w:jc w:val="right"/>
              <w:rPr>
                <w:rFonts w:asciiTheme="majorHAnsi" w:hAnsiTheme="majorHAnsi"/>
                <w:noProof/>
                <w:color w:val="003399" w:themeColor="text2"/>
              </w:rPr>
            </w:pPr>
            <w:r w:rsidRPr="002948ED">
              <w:rPr>
                <w:rFonts w:asciiTheme="majorHAnsi" w:hAnsiTheme="majorHAnsi"/>
                <w:noProof/>
                <w:color w:val="003399" w:themeColor="text2"/>
              </w:rPr>
              <w:t>115,9</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ECF648E" w14:textId="028D1B17" w:rsidR="000D256C" w:rsidRPr="002948ED" w:rsidRDefault="00BC618D" w:rsidP="00D74601">
            <w:pPr>
              <w:spacing w:before="100" w:after="100"/>
              <w:jc w:val="right"/>
              <w:rPr>
                <w:rFonts w:asciiTheme="majorHAnsi" w:hAnsiTheme="majorHAnsi"/>
                <w:noProof/>
                <w:color w:val="003399" w:themeColor="text2"/>
              </w:rPr>
            </w:pPr>
            <w:r w:rsidRPr="002948ED">
              <w:rPr>
                <w:rFonts w:asciiTheme="majorHAnsi" w:hAnsiTheme="majorHAnsi"/>
                <w:noProof/>
                <w:color w:val="003399" w:themeColor="text2"/>
              </w:rPr>
              <w:t>120,5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5517B58" w14:textId="7A550011" w:rsidR="000D256C" w:rsidRPr="002948ED" w:rsidRDefault="00BC618D" w:rsidP="00D74601">
            <w:pPr>
              <w:spacing w:before="100" w:after="100"/>
              <w:jc w:val="right"/>
              <w:rPr>
                <w:rFonts w:asciiTheme="majorHAnsi" w:hAnsiTheme="majorHAnsi"/>
                <w:noProof/>
                <w:color w:val="003399" w:themeColor="text2"/>
              </w:rPr>
            </w:pPr>
            <w:r w:rsidRPr="002948ED">
              <w:rPr>
                <w:rFonts w:asciiTheme="majorHAnsi" w:hAnsiTheme="majorHAnsi"/>
                <w:noProof/>
                <w:color w:val="003399" w:themeColor="text2"/>
              </w:rPr>
              <w:t>125,1</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1F5BE0E" w14:textId="00C9C818" w:rsidR="000D256C" w:rsidRPr="002948ED" w:rsidRDefault="00BC618D" w:rsidP="00D74601">
            <w:pPr>
              <w:spacing w:before="100" w:after="100"/>
              <w:jc w:val="right"/>
              <w:rPr>
                <w:rFonts w:asciiTheme="majorHAnsi" w:hAnsiTheme="majorHAnsi"/>
                <w:noProof/>
                <w:color w:val="003399" w:themeColor="text2"/>
              </w:rPr>
            </w:pPr>
            <w:r w:rsidRPr="002948ED">
              <w:rPr>
                <w:rFonts w:asciiTheme="majorHAnsi" w:hAnsiTheme="majorHAnsi"/>
                <w:noProof/>
                <w:color w:val="003399" w:themeColor="text2"/>
              </w:rPr>
              <w:t>129,8</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1B88E5D2" w14:textId="23DF0BBF" w:rsidR="000D256C" w:rsidRPr="002948ED" w:rsidRDefault="00BC618D" w:rsidP="00481B6B">
            <w:pPr>
              <w:spacing w:before="100" w:after="100"/>
              <w:jc w:val="center"/>
              <w:rPr>
                <w:rFonts w:asciiTheme="majorHAnsi" w:hAnsiTheme="majorHAnsi"/>
                <w:b/>
                <w:bCs/>
                <w:noProof/>
                <w:color w:val="000000" w:themeColor="text1"/>
                <w:sz w:val="22"/>
                <w:szCs w:val="22"/>
              </w:rPr>
            </w:pPr>
            <w:r w:rsidRPr="002948ED">
              <w:rPr>
                <w:rFonts w:asciiTheme="majorHAnsi" w:hAnsiTheme="majorHAnsi"/>
                <w:b/>
                <w:noProof/>
                <w:color w:val="000000" w:themeColor="text1"/>
                <w:sz w:val="22"/>
              </w:rPr>
              <w:t>s.o.</w:t>
            </w:r>
          </w:p>
        </w:tc>
      </w:tr>
    </w:tbl>
    <w:p w14:paraId="1919C0EF" w14:textId="1635A90B" w:rsidR="000A2D2A" w:rsidRPr="002948ED" w:rsidRDefault="000A2D2A" w:rsidP="009A435C">
      <w:pPr>
        <w:spacing w:before="0" w:after="0"/>
        <w:rPr>
          <w:rFonts w:asciiTheme="majorHAnsi" w:hAnsiTheme="majorHAnsi"/>
          <w:i/>
          <w:noProof/>
          <w:sz w:val="16"/>
          <w:szCs w:val="16"/>
        </w:rPr>
      </w:pPr>
      <w:r w:rsidRPr="002948ED">
        <w:rPr>
          <w:rFonts w:asciiTheme="majorHAnsi" w:hAnsiTheme="majorHAnsi"/>
          <w:i/>
          <w:noProof/>
          <w:sz w:val="16"/>
        </w:rPr>
        <w:t xml:space="preserve">* Correspond aux chiffres du PB 2027, sur la base de la décision relative aux ressources propres de 2020. </w:t>
      </w:r>
    </w:p>
    <w:p w14:paraId="1AFB27FF" w14:textId="5BE98988" w:rsidR="005A1B83" w:rsidRPr="002948ED" w:rsidRDefault="005A1B83" w:rsidP="009A435C">
      <w:pPr>
        <w:spacing w:before="0" w:after="0"/>
        <w:rPr>
          <w:rFonts w:asciiTheme="majorHAnsi" w:hAnsiTheme="majorHAnsi"/>
          <w:i/>
          <w:noProof/>
          <w:sz w:val="16"/>
          <w:szCs w:val="16"/>
        </w:rPr>
      </w:pPr>
      <w:r w:rsidRPr="002948ED">
        <w:rPr>
          <w:rFonts w:asciiTheme="majorHAnsi" w:hAnsiTheme="majorHAnsi"/>
          <w:i/>
          <w:noProof/>
          <w:sz w:val="16"/>
        </w:rPr>
        <w:t xml:space="preserve">** Plafond des ressources propres — calculé sur la base des prévisions économiques du printemps 2026 concernant le revenu national brut de l’EU-27. </w:t>
      </w:r>
    </w:p>
    <w:p w14:paraId="6410CAD5" w14:textId="714D98BD" w:rsidR="005A1B83" w:rsidRPr="002948ED" w:rsidRDefault="005A1B83" w:rsidP="009A435C">
      <w:pPr>
        <w:spacing w:before="0" w:after="0"/>
        <w:rPr>
          <w:rFonts w:asciiTheme="majorHAnsi" w:hAnsiTheme="majorHAnsi"/>
          <w:i/>
          <w:noProof/>
          <w:sz w:val="16"/>
          <w:szCs w:val="16"/>
        </w:rPr>
      </w:pPr>
      <w:r w:rsidRPr="002948ED">
        <w:rPr>
          <w:rFonts w:asciiTheme="majorHAnsi" w:hAnsiTheme="majorHAnsi"/>
          <w:i/>
          <w:noProof/>
          <w:sz w:val="16"/>
        </w:rPr>
        <w:t xml:space="preserve">*** Les ressources propres traditionnelles sont estimées sur la base d’un taux de retenue de 10 % pour les frais de perception pour 2028-2034. </w:t>
      </w:r>
    </w:p>
    <w:p w14:paraId="225C27A0" w14:textId="56BA39B0" w:rsidR="005A1B83" w:rsidRPr="002948ED" w:rsidRDefault="005A1B83" w:rsidP="0050317D">
      <w:pPr>
        <w:spacing w:before="0"/>
        <w:rPr>
          <w:rFonts w:asciiTheme="majorHAnsi" w:hAnsiTheme="majorHAnsi"/>
          <w:i/>
          <w:noProof/>
          <w:sz w:val="16"/>
          <w:szCs w:val="16"/>
        </w:rPr>
        <w:sectPr w:rsidR="005A1B83" w:rsidRPr="002948ED" w:rsidSect="009A435C">
          <w:headerReference w:type="default" r:id="rId44"/>
          <w:footerReference w:type="default" r:id="rId45"/>
          <w:pgSz w:w="16838" w:h="11906" w:orient="landscape"/>
          <w:pgMar w:top="1151" w:right="1321" w:bottom="1151" w:left="1440" w:header="720" w:footer="720" w:gutter="0"/>
          <w:cols w:space="720"/>
          <w:docGrid w:linePitch="326"/>
        </w:sectPr>
      </w:pPr>
    </w:p>
    <w:p w14:paraId="3D48B530" w14:textId="77777777" w:rsidR="008C5A43" w:rsidRPr="00F423B9" w:rsidRDefault="008C5A43" w:rsidP="0050317D">
      <w:pPr>
        <w:spacing w:before="0"/>
        <w:rPr>
          <w:rFonts w:asciiTheme="majorHAnsi" w:hAnsiTheme="majorHAnsi"/>
          <w:i/>
          <w:noProof/>
          <w:sz w:val="16"/>
        </w:rPr>
      </w:pPr>
    </w:p>
    <w:sectPr w:rsidR="008C5A43" w:rsidRPr="00F423B9">
      <w:headerReference w:type="default" r:id="rId46"/>
      <w:footerReference w:type="default" r:id="rId47"/>
      <w:pgSz w:w="11906" w:h="16838"/>
      <w:pgMar w:top="1321" w:right="1151" w:bottom="1440" w:left="115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8F6D05" w14:textId="77777777" w:rsidR="00E74DD8" w:rsidRPr="002948ED" w:rsidRDefault="00E74DD8">
      <w:r w:rsidRPr="002948ED">
        <w:separator/>
      </w:r>
    </w:p>
    <w:p w14:paraId="25564B9C" w14:textId="77777777" w:rsidR="00E74DD8" w:rsidRPr="002948ED" w:rsidRDefault="00E74DD8"/>
    <w:p w14:paraId="7A9F5DA2" w14:textId="77777777" w:rsidR="00E74DD8" w:rsidRPr="002948ED" w:rsidRDefault="00E74DD8"/>
  </w:endnote>
  <w:endnote w:type="continuationSeparator" w:id="0">
    <w:p w14:paraId="532BCC8D" w14:textId="77777777" w:rsidR="00E74DD8" w:rsidRPr="002948ED" w:rsidRDefault="00E74DD8">
      <w:r w:rsidRPr="002948ED">
        <w:continuationSeparator/>
      </w:r>
    </w:p>
    <w:p w14:paraId="52532778" w14:textId="77777777" w:rsidR="00E74DD8" w:rsidRPr="002948ED" w:rsidRDefault="00E74DD8"/>
    <w:p w14:paraId="5B1E1629" w14:textId="77777777" w:rsidR="00E74DD8" w:rsidRPr="002948ED" w:rsidRDefault="00E74DD8"/>
  </w:endnote>
  <w:endnote w:type="continuationNotice" w:id="1">
    <w:p w14:paraId="7049CB51" w14:textId="77777777" w:rsidR="00E74DD8" w:rsidRPr="002948ED" w:rsidRDefault="00E74DD8"/>
    <w:p w14:paraId="5A09D092" w14:textId="77777777" w:rsidR="00E74DD8" w:rsidRPr="002948ED" w:rsidRDefault="00E74DD8"/>
    <w:p w14:paraId="45934B7A" w14:textId="77777777" w:rsidR="00E74DD8" w:rsidRPr="002948ED" w:rsidRDefault="00E74DD8"/>
  </w:endnote>
  <w:endnote w:id="2">
    <w:p w14:paraId="3A08614C" w14:textId="354B6B88" w:rsidR="00861C1C" w:rsidRPr="002948ED" w:rsidRDefault="003B6DC2" w:rsidP="004E7898">
      <w:pPr>
        <w:pStyle w:val="EndnoteText"/>
        <w:spacing w:before="0" w:line="276" w:lineRule="auto"/>
        <w:jc w:val="both"/>
      </w:pPr>
      <w:r w:rsidRPr="002948ED">
        <w:rPr>
          <w:rStyle w:val="EndnoteReference"/>
        </w:rPr>
        <w:endnoteRef/>
      </w:r>
      <w:r w:rsidRPr="002948ED">
        <w:t xml:space="preserve"> Règlement (UE, Euratom) nº 2024/2509 du Parlement européen et du Conseil du 23 septembre 2024 relatif aux règles financières applicables au budget général de l’Union (refonte), JO L 2024/2559, 26.9.2024.</w:t>
      </w:r>
    </w:p>
  </w:endnote>
  <w:endnote w:id="3">
    <w:p w14:paraId="60FC9FB8" w14:textId="0168F392" w:rsidR="00C3162D" w:rsidRPr="002948ED" w:rsidRDefault="00C3162D" w:rsidP="00D26971">
      <w:pPr>
        <w:pStyle w:val="EndnoteText"/>
        <w:spacing w:line="276" w:lineRule="auto"/>
        <w:jc w:val="both"/>
      </w:pPr>
      <w:r w:rsidRPr="002948ED">
        <w:rPr>
          <w:rStyle w:val="EndnoteReference"/>
        </w:rPr>
        <w:endnoteRef/>
      </w:r>
      <w:r w:rsidRPr="002948ED">
        <w:t xml:space="preserve"> COM(2021) 343 du 30.6.2021. Ce document est la première édition du rapport concernant la période du CFP 2021-2027.</w:t>
      </w:r>
    </w:p>
  </w:endnote>
  <w:endnote w:id="4">
    <w:p w14:paraId="1B241D6C" w14:textId="4D95B6E2" w:rsidR="00894044" w:rsidRPr="002948ED" w:rsidRDefault="00894044" w:rsidP="00894044">
      <w:pPr>
        <w:pStyle w:val="EndnoteText"/>
        <w:spacing w:line="276" w:lineRule="auto"/>
        <w:jc w:val="both"/>
        <w:rPr>
          <w:highlight w:val="yellow"/>
        </w:rPr>
      </w:pPr>
      <w:r w:rsidRPr="002948ED">
        <w:rPr>
          <w:rStyle w:val="EndnoteReference"/>
        </w:rPr>
        <w:endnoteRef/>
      </w:r>
      <w:r w:rsidRPr="002948ED">
        <w:t xml:space="preserve"> Règlement (UE, Euratom) 2024/765 du Conseil du 29 février 2024 modifiant le règlement (UE, Euratom) 2020/2093 fixant le cadre financier pluriannuel pour les années 2021 à 2027, JO L, 2024/765, 29.2.2024.</w:t>
      </w:r>
    </w:p>
  </w:endnote>
  <w:endnote w:id="5">
    <w:p w14:paraId="0BB846F1" w14:textId="179391B5" w:rsidR="00861C1C" w:rsidRPr="002948ED" w:rsidRDefault="003B6DC2" w:rsidP="00D26971">
      <w:pPr>
        <w:pStyle w:val="EndnoteText"/>
        <w:spacing w:line="276" w:lineRule="auto"/>
        <w:jc w:val="both"/>
      </w:pPr>
      <w:r w:rsidRPr="002948ED">
        <w:rPr>
          <w:rStyle w:val="EndnoteReference"/>
        </w:rPr>
        <w:endnoteRef/>
      </w:r>
      <w:r w:rsidRPr="002948ED">
        <w:t xml:space="preserve"> Proposition de règlement du Conseil fixant le cadre financier pluriannuel pour les années 2028 à 2034. COM(2025) 571 final. 16.7.2025.</w:t>
      </w:r>
      <w:r w:rsidRPr="002948ED">
        <w:tab/>
      </w:r>
    </w:p>
  </w:endnote>
  <w:endnote w:id="6">
    <w:p w14:paraId="17876C9B" w14:textId="7424AC9C" w:rsidR="0088021B" w:rsidRPr="002948ED" w:rsidRDefault="0088021B">
      <w:pPr>
        <w:pStyle w:val="EndnoteText"/>
      </w:pPr>
      <w:r w:rsidRPr="002948ED">
        <w:rPr>
          <w:rStyle w:val="EndnoteReference"/>
        </w:rPr>
        <w:endnoteRef/>
      </w:r>
      <w:r w:rsidRPr="002948ED">
        <w:t xml:space="preserve"> Proposition de DÉCISION DU CONSEIL relative au système des ressources propres de l’Union européenne et abrogeant la décision (UE, EURATOM) 2020/2053. C(2025) 574 final. 16.7.2025.</w:t>
      </w:r>
    </w:p>
  </w:endnote>
  <w:endnote w:id="7">
    <w:p w14:paraId="2C4CAABB" w14:textId="278ED47D" w:rsidR="00766033" w:rsidRPr="002948ED" w:rsidRDefault="00766033">
      <w:pPr>
        <w:pStyle w:val="EndnoteText"/>
      </w:pPr>
      <w:r w:rsidRPr="002948ED">
        <w:rPr>
          <w:rStyle w:val="EndnoteReference"/>
        </w:rPr>
        <w:endnoteRef/>
      </w:r>
      <w:r w:rsidRPr="002948ED">
        <w:t xml:space="preserve"> JO C66 I du 19.2.2019, p. 1.</w:t>
      </w:r>
    </w:p>
  </w:endnote>
  <w:endnote w:id="8">
    <w:p w14:paraId="09C8D251" w14:textId="59A78FA3" w:rsidR="00C62FD6" w:rsidRPr="002948ED" w:rsidRDefault="00C62FD6">
      <w:pPr>
        <w:pStyle w:val="EndnoteText"/>
      </w:pPr>
      <w:r w:rsidRPr="002948ED">
        <w:rPr>
          <w:rStyle w:val="EndnoteReference"/>
        </w:rPr>
        <w:endnoteRef/>
      </w:r>
      <w:r w:rsidRPr="002948ED">
        <w:t xml:space="preserve"> Communication de la Commission au Parlement européen et au Conseil, Ajustement technique du cadre financier pluriannuel pour 2027 conformément à l’article 4 du règlement (UE, Euratom) 2020/2093 du Conseil fixant le cadre financier pluriannuel pour les années 2021 à 2027. COM(2026) 299. </w:t>
      </w:r>
    </w:p>
  </w:endnote>
  <w:endnote w:id="9">
    <w:p w14:paraId="429B897C" w14:textId="72A73BB2" w:rsidR="00861C1C" w:rsidRPr="002948ED" w:rsidRDefault="003B6DC2" w:rsidP="00D26971">
      <w:pPr>
        <w:pStyle w:val="EndnoteText"/>
        <w:spacing w:line="276" w:lineRule="auto"/>
        <w:jc w:val="both"/>
      </w:pPr>
      <w:r w:rsidRPr="002948ED">
        <w:rPr>
          <w:rStyle w:val="EndnoteReference"/>
        </w:rPr>
        <w:endnoteRef/>
      </w:r>
      <w:r w:rsidRPr="002948ED">
        <w:t xml:space="preserve"> État prévisionnel de la Commission européenne pour l’exercice 2027. SEC(2026) 250.</w:t>
      </w:r>
    </w:p>
  </w:endnote>
  <w:endnote w:id="10">
    <w:p w14:paraId="0E0D9CF1" w14:textId="5CBAB4A6" w:rsidR="00894044" w:rsidRPr="002948ED" w:rsidRDefault="00894044">
      <w:pPr>
        <w:pStyle w:val="EndnoteText"/>
      </w:pPr>
      <w:r w:rsidRPr="002948ED">
        <w:rPr>
          <w:rStyle w:val="EndnoteReference"/>
        </w:rPr>
        <w:endnoteRef/>
      </w:r>
      <w:r w:rsidRPr="002948ED">
        <w:t xml:space="preserve"> Règlement (UE, Euratom) 2024/765 du Conseil du 29 février 2024 modifiant le règlement (UE, Euratom) 2020/2093 fixant le cadre financier pluriannuel pour les années 2021 à 2027, JO L, 2024/765, 29.2.2024.</w:t>
      </w:r>
    </w:p>
  </w:endnote>
  <w:endnote w:id="11">
    <w:p w14:paraId="63F62AF8" w14:textId="77777777" w:rsidR="00861C1C" w:rsidRPr="002948ED" w:rsidRDefault="003B6DC2" w:rsidP="00D26971">
      <w:pPr>
        <w:pStyle w:val="EndnoteText"/>
        <w:spacing w:line="276" w:lineRule="auto"/>
        <w:jc w:val="both"/>
      </w:pPr>
      <w:r w:rsidRPr="002948ED">
        <w:rPr>
          <w:rStyle w:val="EndnoteReference"/>
        </w:rPr>
        <w:endnoteRef/>
      </w:r>
      <w:r w:rsidRPr="002948ED">
        <w:t xml:space="preserve"> L’article 5 du règlement CFP prévoit une dotation supplémentaire en crédits d’engagement et de paiement pour une liste prédéfinie de programmes, pour un montant équivalent à certains types d’amendes.</w:t>
      </w:r>
    </w:p>
  </w:endnote>
  <w:endnote w:id="12">
    <w:p w14:paraId="75DB4C86" w14:textId="77777777" w:rsidR="00861C1C" w:rsidRPr="002948ED" w:rsidRDefault="003B6DC2" w:rsidP="00D26971">
      <w:pPr>
        <w:pStyle w:val="EndnoteText"/>
        <w:spacing w:line="276" w:lineRule="auto"/>
        <w:jc w:val="both"/>
      </w:pPr>
      <w:r w:rsidRPr="002948ED">
        <w:rPr>
          <w:vertAlign w:val="superscript"/>
        </w:rPr>
        <w:endnoteRef/>
      </w:r>
      <w:r w:rsidRPr="002948ED">
        <w:t xml:space="preserve"> L’article 15, paragraphe 3, du règlement financier prévoit que les crédits d’engagement correspondant au montant des dégagements effectués au titre des projets de recherche peuvent eux aussi être reconstitués.</w:t>
      </w:r>
    </w:p>
  </w:endnote>
  <w:endnote w:id="13">
    <w:p w14:paraId="65F7F954" w14:textId="12C2DB43" w:rsidR="003B668E" w:rsidRPr="002948ED" w:rsidRDefault="003B668E">
      <w:pPr>
        <w:pStyle w:val="EndnoteText"/>
      </w:pPr>
      <w:r w:rsidRPr="002948ED">
        <w:rPr>
          <w:rStyle w:val="EndnoteReference"/>
        </w:rPr>
        <w:endnoteRef/>
      </w:r>
      <w:r w:rsidRPr="002948ED">
        <w:t xml:space="preserve"> Sauf indication contraire, tous les montants figurant dans le rapport sont exprimés en prix courants.</w:t>
      </w:r>
    </w:p>
  </w:endnote>
  <w:endnote w:id="14">
    <w:p w14:paraId="683642AE" w14:textId="77777777" w:rsidR="00C640CE" w:rsidRPr="002948ED" w:rsidRDefault="00C640CE" w:rsidP="00C640CE">
      <w:pPr>
        <w:pStyle w:val="EndnoteText"/>
      </w:pPr>
      <w:r w:rsidRPr="002948ED">
        <w:rPr>
          <w:rStyle w:val="EndnoteReference"/>
        </w:rPr>
        <w:endnoteRef/>
      </w:r>
      <w:r w:rsidRPr="002948ED">
        <w:t xml:space="preserve"> Rapport de la Commission au Parlement européen et au Conseil. Prévisions à long terme concernant les entrées et les sorties futures du budget de l’UE (2026-2034). C(2025) 573 final. 16.7.2025.</w:t>
      </w:r>
    </w:p>
  </w:endnote>
  <w:endnote w:id="15">
    <w:p w14:paraId="0504AB29" w14:textId="0F97E662" w:rsidR="00331806" w:rsidRPr="002948ED" w:rsidRDefault="00331806">
      <w:pPr>
        <w:pStyle w:val="EndnoteText"/>
      </w:pPr>
      <w:r w:rsidRPr="002948ED">
        <w:rPr>
          <w:rStyle w:val="EndnoteReference"/>
        </w:rPr>
        <w:endnoteRef/>
      </w:r>
      <w:r w:rsidRPr="002948ED">
        <w:t xml:space="preserve"> Projet de budget rectificatif nº 2 du budget général 2026. Mise à jour des recettes (ressources propres) et ajustement des dépenses. C(2026) 460 final. 9.6.2026.</w:t>
      </w:r>
    </w:p>
  </w:endnote>
  <w:endnote w:id="16">
    <w:p w14:paraId="02214641" w14:textId="218C5580" w:rsidR="00A15A2B" w:rsidRPr="002948ED" w:rsidRDefault="00A15A2B" w:rsidP="00A15A2B">
      <w:pPr>
        <w:pStyle w:val="EndnoteText"/>
      </w:pPr>
      <w:r w:rsidRPr="002948ED">
        <w:rPr>
          <w:rStyle w:val="EndnoteReference"/>
        </w:rPr>
        <w:endnoteRef/>
      </w:r>
      <w:r w:rsidRPr="002948ED">
        <w:t xml:space="preserve"> Les États membres ont décidé de transférer des fonds entre les paiements directs et le développement rural. Le résultat est exposé dans le règlement délégué (UE) 2026/1 de la Commission du 1</w:t>
      </w:r>
      <w:r w:rsidRPr="002948ED">
        <w:rPr>
          <w:vertAlign w:val="superscript"/>
        </w:rPr>
        <w:t>er</w:t>
      </w:r>
      <w:r w:rsidRPr="002948ED">
        <w:t> décembre 2025 modifiant le règlement (UE) 2021/2115.</w:t>
      </w:r>
    </w:p>
  </w:endnote>
  <w:endnote w:id="17">
    <w:p w14:paraId="6134C08E" w14:textId="77777777" w:rsidR="009E4500" w:rsidRPr="002948ED" w:rsidRDefault="009E4500" w:rsidP="009E4500">
      <w:pPr>
        <w:pStyle w:val="EndnoteText"/>
      </w:pPr>
      <w:r w:rsidRPr="002948ED">
        <w:rPr>
          <w:rStyle w:val="EndnoteReference"/>
        </w:rPr>
        <w:endnoteRef/>
      </w:r>
      <w:r w:rsidRPr="002948ED">
        <w:t xml:space="preserve"> Règlement (UE) 2026/467 du Parlement européen et du Conseil du 24 février 2026 mettant en œuvre une coopération renforcée concernant l’établissement du prêt de soutien à l’Ukraine pour 2026 et 2027.</w:t>
      </w:r>
    </w:p>
  </w:endnote>
  <w:endnote w:id="18">
    <w:p w14:paraId="2DD8BA5C" w14:textId="4C9C4CFA" w:rsidR="00DB1237" w:rsidRPr="002948ED" w:rsidRDefault="00DB1237">
      <w:pPr>
        <w:pStyle w:val="EndnoteText"/>
      </w:pPr>
      <w:r w:rsidRPr="002948ED">
        <w:rPr>
          <w:rStyle w:val="EndnoteReference"/>
        </w:rPr>
        <w:endnoteRef/>
      </w:r>
      <w:r w:rsidRPr="002948ED">
        <w:t xml:space="preserve"> Ce montant n’inclut pas les dégagements ni les paiements provenant d’autres sources de financement, telles que les recettes affectées.</w:t>
      </w:r>
    </w:p>
  </w:endnote>
  <w:endnote w:id="19">
    <w:p w14:paraId="120F446E" w14:textId="45B85CF0" w:rsidR="00131BC4" w:rsidRPr="002948ED" w:rsidRDefault="00131BC4" w:rsidP="002D17E8">
      <w:pPr>
        <w:pStyle w:val="EndnoteText"/>
      </w:pPr>
      <w:r w:rsidRPr="002948ED">
        <w:rPr>
          <w:rStyle w:val="EndnoteReference"/>
        </w:rPr>
        <w:endnoteRef/>
      </w:r>
      <w:r w:rsidRPr="002948ED">
        <w:t xml:space="preserve"> Directive 2003/87/CE du Parlement européen et du Conseil du 13 octobre 2003 établissant un système d’échange de quotas d’émission de gaz à effet de serre dans l’Union et modifiant la directive 96/61/CE du Conseil.</w:t>
      </w:r>
    </w:p>
  </w:endnote>
  <w:endnote w:id="20">
    <w:p w14:paraId="69F8B3E5" w14:textId="5306B91D" w:rsidR="00614181" w:rsidRDefault="00614181" w:rsidP="00614181">
      <w:pPr>
        <w:pStyle w:val="EndnoteText"/>
      </w:pPr>
      <w:r w:rsidRPr="002948ED">
        <w:rPr>
          <w:rStyle w:val="EndnoteReference"/>
        </w:rPr>
        <w:endnoteRef/>
      </w:r>
      <w:r w:rsidRPr="002948ED">
        <w:t xml:space="preserve"> Toutes les composantes de la contribution du Royaume-Uni sont indiquées à l’article 148 de l’accord de retrait. Les prévisions ne comprennent que les composantes qui sont quantifiables à ce stade, à savoir la contribution provisoire du Royaume-Uni au financement des paiements résultant des engagements restant à liquider antérieurs à 2021 dont le Royaume-Uni est redevable en vertu de l’article 140 et les engagements de retraite visés à l’article 142, paragraphe 5, de l’accord de retrait, ainsi que les montants que l’Union doit au Royaume-Uni en vertu de l’article 145 (Communauté européenne du charbon et de l’acier) et de l’article 146 (Investissements de l’Union dans le FEI).</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C Square Sans Pro">
    <w:altName w:val="Bahnschrift Light"/>
    <w:charset w:val="00"/>
    <w:family w:val="swiss"/>
    <w:pitch w:val="variable"/>
    <w:sig w:usb0="00000001" w:usb1="00000001" w:usb2="00000000" w:usb3="00000000" w:csb0="0000019F" w:csb1="00000000"/>
  </w:font>
  <w:font w:name="Tunga">
    <w:altName w:val="Courier New"/>
    <w:panose1 w:val="00000400000000000000"/>
    <w:charset w:val="00"/>
    <w:family w:val="swiss"/>
    <w:pitch w:val="variable"/>
    <w:sig w:usb0="00000003" w:usb1="00000000" w:usb2="00000000" w:usb3="00000000" w:csb0="00000001" w:csb1="00000000"/>
  </w:font>
  <w:font w:name="Proxima Nova">
    <w:altName w:val="EC Square Sans Pro Medium"/>
    <w:panose1 w:val="00000000000000000000"/>
    <w:charset w:val="00"/>
    <w:family w:val="modern"/>
    <w:notTrueType/>
    <w:pitch w:val="variable"/>
    <w:sig w:usb0="00000001" w:usb1="5000E0FB"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EC Square Sans Cond Pro Medium">
    <w:charset w:val="00"/>
    <w:family w:val="swiss"/>
    <w:pitch w:val="variable"/>
    <w:sig w:usb0="20000287" w:usb1="00000001" w:usb2="00000000" w:usb3="00000000" w:csb0="0000019F" w:csb1="00000000"/>
  </w:font>
  <w:font w:name="EC Square Sans Pro Light">
    <w:charset w:val="00"/>
    <w:family w:val="swiss"/>
    <w:pitch w:val="variable"/>
    <w:sig w:usb0="20000287" w:usb1="00000001" w:usb2="00000000" w:usb3="00000000" w:csb0="0000019F" w:csb1="00000000"/>
  </w:font>
  <w:font w:name="EUAlbertina">
    <w:altName w:val="Calibri"/>
    <w:charset w:val="00"/>
    <w:family w:val="auto"/>
    <w:pitch w:val="variable"/>
    <w:sig w:usb0="00000001" w:usb1="1000E0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ABFCC" w14:textId="5BF63667" w:rsidR="003D1E34" w:rsidRPr="003D1E34" w:rsidRDefault="003D1E34" w:rsidP="003D1E34">
    <w:pPr>
      <w:pStyle w:val="FooterCoverPage"/>
      <w:rPr>
        <w:rFonts w:ascii="Arial" w:hAnsi="Arial" w:cs="Arial"/>
        <w:b/>
        <w:sz w:val="48"/>
      </w:rPr>
    </w:pPr>
    <w:r w:rsidRPr="003D1E34">
      <w:rPr>
        <w:rFonts w:ascii="Arial" w:hAnsi="Arial" w:cs="Arial"/>
        <w:b/>
        <w:sz w:val="48"/>
      </w:rPr>
      <w:t>FR</w:t>
    </w:r>
    <w:r w:rsidRPr="003D1E34">
      <w:rPr>
        <w:rFonts w:ascii="Arial" w:hAnsi="Arial" w:cs="Arial"/>
        <w:b/>
        <w:sz w:val="48"/>
      </w:rPr>
      <w:tab/>
    </w:r>
    <w:r w:rsidRPr="003D1E34">
      <w:rPr>
        <w:rFonts w:ascii="Arial" w:hAnsi="Arial" w:cs="Arial"/>
        <w:b/>
        <w:sz w:val="48"/>
      </w:rPr>
      <w:tab/>
    </w:r>
    <w:r w:rsidRPr="003D1E34">
      <w:tab/>
    </w:r>
    <w:r w:rsidRPr="003D1E3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E9066" w14:textId="5CD143F9" w:rsidR="003D1E34" w:rsidRPr="003D1E34" w:rsidRDefault="003D1E34" w:rsidP="003D1E34">
    <w:pPr>
      <w:pStyle w:val="FooterCoverPage"/>
      <w:rPr>
        <w:rFonts w:ascii="Arial" w:hAnsi="Arial" w:cs="Arial"/>
        <w:b/>
        <w:sz w:val="48"/>
      </w:rPr>
    </w:pPr>
    <w:r w:rsidRPr="003D1E34">
      <w:rPr>
        <w:rFonts w:ascii="Arial" w:hAnsi="Arial" w:cs="Arial"/>
        <w:b/>
        <w:sz w:val="48"/>
      </w:rPr>
      <w:t>FR</w:t>
    </w:r>
    <w:r w:rsidRPr="003D1E34">
      <w:rPr>
        <w:rFonts w:ascii="Arial" w:hAnsi="Arial" w:cs="Arial"/>
        <w:b/>
        <w:sz w:val="48"/>
      </w:rPr>
      <w:tab/>
    </w:r>
    <w:r w:rsidRPr="003D1E34">
      <w:rPr>
        <w:rFonts w:ascii="Arial" w:hAnsi="Arial" w:cs="Arial"/>
        <w:b/>
        <w:sz w:val="48"/>
      </w:rPr>
      <w:tab/>
    </w:r>
    <w:r w:rsidRPr="003D1E34">
      <w:tab/>
    </w:r>
    <w:r w:rsidRPr="003D1E3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722D9" w14:textId="77777777" w:rsidR="003D1E34" w:rsidRPr="003D1E34" w:rsidRDefault="003D1E34" w:rsidP="003D1E3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F7275" w14:textId="77777777" w:rsidR="00861C1C" w:rsidRPr="002948ED" w:rsidRDefault="003B6DC2">
    <w:pPr>
      <w:pStyle w:val="Footer"/>
      <w:rPr>
        <w:noProof w:val="0"/>
      </w:rPr>
    </w:pPr>
    <w:r w:rsidRPr="002948ED">
      <w:rPr>
        <w:noProof w:val="0"/>
        <w:color w:val="2B579A"/>
        <w:shd w:val="clear" w:color="auto" w:fill="E6E6E6"/>
      </w:rPr>
      <w:fldChar w:fldCharType="begin"/>
    </w:r>
    <w:r w:rsidRPr="002948ED">
      <w:rPr>
        <w:noProof w:val="0"/>
      </w:rPr>
      <w:instrText xml:space="preserve"> PAGE   \* MERGEFORMAT </w:instrText>
    </w:r>
    <w:r w:rsidRPr="002948ED">
      <w:rPr>
        <w:noProof w:val="0"/>
        <w:color w:val="2B579A"/>
        <w:shd w:val="clear" w:color="auto" w:fill="E6E6E6"/>
      </w:rPr>
      <w:fldChar w:fldCharType="separate"/>
    </w:r>
    <w:r w:rsidRPr="002948ED">
      <w:rPr>
        <w:noProof w:val="0"/>
      </w:rPr>
      <w:t>1</w:t>
    </w:r>
    <w:r w:rsidRPr="002948ED">
      <w:rPr>
        <w:noProof w:val="0"/>
        <w:color w:val="2B579A"/>
        <w:shd w:val="clear" w:color="auto" w:fill="E6E6E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396709605"/>
      <w:docPartObj>
        <w:docPartGallery w:val="Page Numbers (Bottom of Page)"/>
        <w:docPartUnique/>
      </w:docPartObj>
    </w:sdtPr>
    <w:sdtEndPr/>
    <w:sdtContent>
      <w:p w14:paraId="719339A1" w14:textId="6CA63F6A" w:rsidR="00861C1C" w:rsidRPr="002948ED" w:rsidRDefault="003B6DC2">
        <w:pPr>
          <w:pStyle w:val="Footer"/>
          <w:rPr>
            <w:noProof w:val="0"/>
          </w:rPr>
        </w:pPr>
        <w:r w:rsidRPr="002948ED">
          <w:rPr>
            <w:noProof w:val="0"/>
          </w:rPr>
          <w:fldChar w:fldCharType="begin"/>
        </w:r>
        <w:r w:rsidRPr="002948ED">
          <w:rPr>
            <w:noProof w:val="0"/>
          </w:rPr>
          <w:instrText xml:space="preserve"> PAGE   \* MERGEFORMAT </w:instrText>
        </w:r>
        <w:r w:rsidRPr="002948ED">
          <w:rPr>
            <w:noProof w:val="0"/>
          </w:rPr>
          <w:fldChar w:fldCharType="separate"/>
        </w:r>
        <w:r w:rsidR="003D1E34">
          <w:t>1</w:t>
        </w:r>
        <w:r w:rsidRPr="002948ED">
          <w:rPr>
            <w:noProof w:val="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9DC92" w14:textId="77777777" w:rsidR="00861C1C" w:rsidRPr="002948ED" w:rsidRDefault="00861C1C">
    <w:pPr>
      <w:pStyle w:val="Footer"/>
      <w:rPr>
        <w:noProof w:val="0"/>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739285544"/>
      <w:docPartObj>
        <w:docPartGallery w:val="Page Numbers (Bottom of Page)"/>
        <w:docPartUnique/>
      </w:docPartObj>
    </w:sdtPr>
    <w:sdtEndPr/>
    <w:sdtContent>
      <w:p w14:paraId="56CCFE44" w14:textId="78F45C71" w:rsidR="00597877" w:rsidRPr="002948ED" w:rsidRDefault="00597877">
        <w:pPr>
          <w:pStyle w:val="Footer"/>
          <w:rPr>
            <w:noProof w:val="0"/>
          </w:rPr>
        </w:pPr>
        <w:r w:rsidRPr="002948ED">
          <w:rPr>
            <w:noProof w:val="0"/>
          </w:rPr>
          <w:fldChar w:fldCharType="begin"/>
        </w:r>
        <w:r w:rsidRPr="002948ED">
          <w:rPr>
            <w:noProof w:val="0"/>
          </w:rPr>
          <w:instrText xml:space="preserve"> PAGE   \* MERGEFORMAT </w:instrText>
        </w:r>
        <w:r w:rsidRPr="002948ED">
          <w:rPr>
            <w:noProof w:val="0"/>
          </w:rPr>
          <w:fldChar w:fldCharType="separate"/>
        </w:r>
        <w:r w:rsidR="003D1E34">
          <w:t>8</w:t>
        </w:r>
        <w:r w:rsidRPr="002948ED">
          <w:rPr>
            <w:noProof w:val="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74124" w14:textId="77777777" w:rsidR="00861C1C" w:rsidRPr="002948ED" w:rsidRDefault="003B6DC2">
    <w:pPr>
      <w:pStyle w:val="Footer"/>
      <w:rPr>
        <w:noProof w:val="0"/>
      </w:rPr>
    </w:pPr>
    <w:r w:rsidRPr="002948ED">
      <w:rPr>
        <w:noProof w:val="0"/>
        <w:color w:val="2B579A"/>
        <w:shd w:val="clear" w:color="auto" w:fill="E6E6E6"/>
      </w:rPr>
      <w:fldChar w:fldCharType="begin"/>
    </w:r>
    <w:r w:rsidRPr="002948ED">
      <w:rPr>
        <w:noProof w:val="0"/>
      </w:rPr>
      <w:instrText xml:space="preserve"> PAGE   \* MERGEFORMAT </w:instrText>
    </w:r>
    <w:r w:rsidRPr="002948ED">
      <w:rPr>
        <w:noProof w:val="0"/>
        <w:color w:val="2B579A"/>
        <w:shd w:val="clear" w:color="auto" w:fill="E6E6E6"/>
      </w:rPr>
      <w:fldChar w:fldCharType="separate"/>
    </w:r>
    <w:r w:rsidRPr="002948ED">
      <w:rPr>
        <w:noProof w:val="0"/>
      </w:rPr>
      <w:t>20</w:t>
    </w:r>
    <w:r w:rsidRPr="002948ED">
      <w:rPr>
        <w:noProof w:val="0"/>
        <w:color w:val="2B579A"/>
        <w:shd w:val="clear" w:color="auto" w:fill="E6E6E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816384086"/>
      <w:docPartObj>
        <w:docPartGallery w:val="Page Numbers (Bottom of Page)"/>
        <w:docPartUnique/>
      </w:docPartObj>
    </w:sdtPr>
    <w:sdtEndPr/>
    <w:sdtContent>
      <w:p w14:paraId="6E2222E7" w14:textId="4D8CA329" w:rsidR="00861C1C" w:rsidRPr="002948ED" w:rsidRDefault="003B6DC2" w:rsidP="00967E56">
        <w:pPr>
          <w:pStyle w:val="Footer"/>
          <w:rPr>
            <w:noProof w:val="0"/>
          </w:rPr>
        </w:pPr>
        <w:r w:rsidRPr="002948ED">
          <w:rPr>
            <w:noProof w:val="0"/>
            <w:shd w:val="clear" w:color="auto" w:fill="FFFFFF" w:themeFill="background1"/>
          </w:rPr>
          <w:fldChar w:fldCharType="begin"/>
        </w:r>
        <w:r w:rsidRPr="002948ED">
          <w:rPr>
            <w:noProof w:val="0"/>
            <w:shd w:val="clear" w:color="auto" w:fill="FFFFFF" w:themeFill="background1"/>
          </w:rPr>
          <w:instrText xml:space="preserve"> PAGE   \* MERGEFORMAT </w:instrText>
        </w:r>
        <w:r w:rsidRPr="002948ED">
          <w:rPr>
            <w:noProof w:val="0"/>
            <w:shd w:val="clear" w:color="auto" w:fill="FFFFFF" w:themeFill="background1"/>
          </w:rPr>
          <w:fldChar w:fldCharType="separate"/>
        </w:r>
        <w:r w:rsidR="00E71B3B">
          <w:rPr>
            <w:shd w:val="clear" w:color="auto" w:fill="FFFFFF" w:themeFill="background1"/>
          </w:rPr>
          <w:t>14</w:t>
        </w:r>
        <w:r w:rsidRPr="002948ED">
          <w:rPr>
            <w:noProof w:val="0"/>
            <w:shd w:val="clear" w:color="auto" w:fill="FFFFFF" w:themeFill="background1"/>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C9750" w14:textId="77777777" w:rsidR="00861C1C" w:rsidRPr="002948ED" w:rsidRDefault="00861C1C">
    <w:pPr>
      <w:pStyle w:val="Footer"/>
      <w:rPr>
        <w:noProof w:val="0"/>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707874707"/>
      <w:docPartObj>
        <w:docPartGallery w:val="Page Numbers (Bottom of Page)"/>
        <w:docPartUnique/>
      </w:docPartObj>
    </w:sdtPr>
    <w:sdtEndPr/>
    <w:sdtContent>
      <w:p w14:paraId="735B4392" w14:textId="77777777" w:rsidR="00597877" w:rsidRPr="002948ED" w:rsidRDefault="00597877" w:rsidP="00967E56">
        <w:pPr>
          <w:pStyle w:val="Footer"/>
          <w:rPr>
            <w:noProof w:val="0"/>
          </w:rPr>
        </w:pPr>
        <w:r w:rsidRPr="002948ED">
          <w:rPr>
            <w:noProof w:val="0"/>
            <w:shd w:val="clear" w:color="auto" w:fill="FFFFFF" w:themeFill="background1"/>
          </w:rPr>
          <w:fldChar w:fldCharType="begin"/>
        </w:r>
        <w:r w:rsidRPr="002948ED">
          <w:rPr>
            <w:noProof w:val="0"/>
            <w:shd w:val="clear" w:color="auto" w:fill="FFFFFF" w:themeFill="background1"/>
          </w:rPr>
          <w:instrText xml:space="preserve"> PAGE   \* MERGEFORMAT </w:instrText>
        </w:r>
        <w:r w:rsidRPr="002948ED">
          <w:rPr>
            <w:noProof w:val="0"/>
            <w:shd w:val="clear" w:color="auto" w:fill="FFFFFF" w:themeFill="background1"/>
          </w:rPr>
          <w:fldChar w:fldCharType="separate"/>
        </w:r>
        <w:r w:rsidRPr="002948ED">
          <w:rPr>
            <w:noProof w:val="0"/>
            <w:shd w:val="clear" w:color="auto" w:fill="FFFFFF" w:themeFill="background1"/>
          </w:rPr>
          <w:t>20</w:t>
        </w:r>
        <w:r w:rsidRPr="002948ED">
          <w:rPr>
            <w:noProof w:val="0"/>
            <w:shd w:val="clear" w:color="auto" w:fill="FFFFFF" w:themeFill="background1"/>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818230112"/>
      <w:docPartObj>
        <w:docPartGallery w:val="Page Numbers (Bottom of Page)"/>
        <w:docPartUnique/>
      </w:docPartObj>
    </w:sdtPr>
    <w:sdtEndPr/>
    <w:sdtContent>
      <w:p w14:paraId="2636CB28" w14:textId="77777777" w:rsidR="000F056E" w:rsidRPr="002948ED" w:rsidRDefault="000F056E" w:rsidP="00967E56">
        <w:pPr>
          <w:pStyle w:val="Footer"/>
          <w:rPr>
            <w:noProof w:val="0"/>
          </w:rPr>
        </w:pPr>
        <w:r w:rsidRPr="002948ED">
          <w:rPr>
            <w:noProof w:val="0"/>
            <w:shd w:val="clear" w:color="auto" w:fill="FFFFFF" w:themeFill="background1"/>
          </w:rPr>
          <w:fldChar w:fldCharType="begin"/>
        </w:r>
        <w:r w:rsidRPr="002948ED">
          <w:rPr>
            <w:noProof w:val="0"/>
            <w:shd w:val="clear" w:color="auto" w:fill="FFFFFF" w:themeFill="background1"/>
          </w:rPr>
          <w:instrText xml:space="preserve"> PAGE   \* MERGEFORMAT </w:instrText>
        </w:r>
        <w:r w:rsidRPr="002948ED">
          <w:rPr>
            <w:noProof w:val="0"/>
            <w:shd w:val="clear" w:color="auto" w:fill="FFFFFF" w:themeFill="background1"/>
          </w:rPr>
          <w:fldChar w:fldCharType="separate"/>
        </w:r>
        <w:r w:rsidRPr="002948ED">
          <w:rPr>
            <w:noProof w:val="0"/>
            <w:shd w:val="clear" w:color="auto" w:fill="FFFFFF" w:themeFill="background1"/>
          </w:rPr>
          <w:t>20</w:t>
        </w:r>
        <w:r w:rsidRPr="002948ED">
          <w:rPr>
            <w:noProof w:val="0"/>
            <w:shd w:val="clear" w:color="auto" w:fill="FFFFFF" w:themeFill="background1"/>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C79F4" w14:textId="77777777" w:rsidR="00861C1C" w:rsidRPr="002948ED" w:rsidRDefault="00861C1C">
    <w:pPr>
      <w:pStyle w:val="Footer"/>
      <w:rPr>
        <w:noProof w:val="0"/>
      </w:rP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412317603"/>
      <w:docPartObj>
        <w:docPartGallery w:val="Page Numbers (Bottom of Page)"/>
        <w:docPartUnique/>
      </w:docPartObj>
    </w:sdtPr>
    <w:sdtEndPr/>
    <w:sdtContent>
      <w:p w14:paraId="0077EFE7" w14:textId="77777777" w:rsidR="00861C1C" w:rsidRPr="002948ED" w:rsidRDefault="003B6DC2" w:rsidP="00F35BB7">
        <w:pPr>
          <w:pStyle w:val="Footer"/>
          <w:rPr>
            <w:noProof w:val="0"/>
          </w:rPr>
        </w:pPr>
        <w:r w:rsidRPr="002948ED">
          <w:rPr>
            <w:noProof w:val="0"/>
            <w:shd w:val="clear" w:color="auto" w:fill="FFFFFF" w:themeFill="background1"/>
          </w:rPr>
          <w:fldChar w:fldCharType="begin"/>
        </w:r>
        <w:r w:rsidRPr="002948ED">
          <w:rPr>
            <w:noProof w:val="0"/>
            <w:shd w:val="clear" w:color="auto" w:fill="FFFFFF" w:themeFill="background1"/>
          </w:rPr>
          <w:instrText xml:space="preserve"> PAGE   \* MERGEFORMAT </w:instrText>
        </w:r>
        <w:r w:rsidRPr="002948ED">
          <w:rPr>
            <w:noProof w:val="0"/>
            <w:shd w:val="clear" w:color="auto" w:fill="FFFFFF" w:themeFill="background1"/>
          </w:rPr>
          <w:fldChar w:fldCharType="separate"/>
        </w:r>
        <w:r w:rsidRPr="002948ED">
          <w:rPr>
            <w:noProof w:val="0"/>
            <w:shd w:val="clear" w:color="auto" w:fill="FFFFFF" w:themeFill="background1"/>
          </w:rPr>
          <w:t>24</w:t>
        </w:r>
        <w:r w:rsidRPr="002948ED">
          <w:rPr>
            <w:noProof w:val="0"/>
            <w:shd w:val="clear" w:color="auto" w:fill="FFFFFF" w:themeFill="background1"/>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5E057" w14:textId="77777777" w:rsidR="00861C1C" w:rsidRPr="002948ED" w:rsidRDefault="00861C1C">
    <w:pPr>
      <w:pStyle w:val="Footer"/>
      <w:rPr>
        <w:noProof w:val="0"/>
      </w:rP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450043228"/>
      <w:docPartObj>
        <w:docPartGallery w:val="Page Numbers (Bottom of Page)"/>
        <w:docPartUnique/>
      </w:docPartObj>
    </w:sdtPr>
    <w:sdtEndPr/>
    <w:sdtContent>
      <w:p w14:paraId="0ED8587F" w14:textId="77777777" w:rsidR="00597877" w:rsidRPr="002948ED" w:rsidRDefault="00597877" w:rsidP="00F35BB7">
        <w:pPr>
          <w:pStyle w:val="Footer"/>
          <w:rPr>
            <w:noProof w:val="0"/>
          </w:rPr>
        </w:pPr>
        <w:r w:rsidRPr="002948ED">
          <w:rPr>
            <w:noProof w:val="0"/>
            <w:shd w:val="clear" w:color="auto" w:fill="FFFFFF" w:themeFill="background1"/>
          </w:rPr>
          <w:fldChar w:fldCharType="begin"/>
        </w:r>
        <w:r w:rsidRPr="002948ED">
          <w:rPr>
            <w:noProof w:val="0"/>
            <w:shd w:val="clear" w:color="auto" w:fill="FFFFFF" w:themeFill="background1"/>
          </w:rPr>
          <w:instrText xml:space="preserve"> PAGE   \* MERGEFORMAT </w:instrText>
        </w:r>
        <w:r w:rsidRPr="002948ED">
          <w:rPr>
            <w:noProof w:val="0"/>
            <w:shd w:val="clear" w:color="auto" w:fill="FFFFFF" w:themeFill="background1"/>
          </w:rPr>
          <w:fldChar w:fldCharType="separate"/>
        </w:r>
        <w:r w:rsidRPr="002948ED">
          <w:rPr>
            <w:noProof w:val="0"/>
            <w:shd w:val="clear" w:color="auto" w:fill="FFFFFF" w:themeFill="background1"/>
          </w:rPr>
          <w:t>24</w:t>
        </w:r>
        <w:r w:rsidRPr="002948ED">
          <w:rPr>
            <w:noProof w:val="0"/>
            <w:shd w:val="clear" w:color="auto" w:fill="FFFFFF" w:themeFill="background1"/>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315849638"/>
      <w:docPartObj>
        <w:docPartGallery w:val="Page Numbers (Bottom of Page)"/>
        <w:docPartUnique/>
      </w:docPartObj>
    </w:sdtPr>
    <w:sdtEndPr/>
    <w:sdtContent>
      <w:p w14:paraId="7CC75897" w14:textId="77777777" w:rsidR="00597877" w:rsidRPr="002948ED" w:rsidRDefault="00597877" w:rsidP="00F35BB7">
        <w:pPr>
          <w:pStyle w:val="Footer"/>
          <w:rPr>
            <w:noProof w:val="0"/>
          </w:rPr>
        </w:pPr>
        <w:r w:rsidRPr="002948ED">
          <w:rPr>
            <w:noProof w:val="0"/>
            <w:shd w:val="clear" w:color="auto" w:fill="FFFFFF" w:themeFill="background1"/>
          </w:rPr>
          <w:fldChar w:fldCharType="begin"/>
        </w:r>
        <w:r w:rsidRPr="002948ED">
          <w:rPr>
            <w:noProof w:val="0"/>
            <w:shd w:val="clear" w:color="auto" w:fill="FFFFFF" w:themeFill="background1"/>
          </w:rPr>
          <w:instrText xml:space="preserve"> PAGE   \* MERGEFORMAT </w:instrText>
        </w:r>
        <w:r w:rsidRPr="002948ED">
          <w:rPr>
            <w:noProof w:val="0"/>
            <w:shd w:val="clear" w:color="auto" w:fill="FFFFFF" w:themeFill="background1"/>
          </w:rPr>
          <w:fldChar w:fldCharType="separate"/>
        </w:r>
        <w:r w:rsidRPr="002948ED">
          <w:rPr>
            <w:noProof w:val="0"/>
            <w:shd w:val="clear" w:color="auto" w:fill="FFFFFF" w:themeFill="background1"/>
          </w:rPr>
          <w:t>24</w:t>
        </w:r>
        <w:r w:rsidRPr="002948ED">
          <w:rPr>
            <w:noProof w:val="0"/>
            <w:shd w:val="clear" w:color="auto" w:fill="FFFFFF" w:themeFill="background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7A16C" w14:textId="77777777" w:rsidR="00E74DD8" w:rsidRPr="002948ED" w:rsidRDefault="00E74DD8">
      <w:r w:rsidRPr="002948ED">
        <w:separator/>
      </w:r>
    </w:p>
  </w:footnote>
  <w:footnote w:type="continuationSeparator" w:id="0">
    <w:p w14:paraId="71BB29E7" w14:textId="77777777" w:rsidR="00E74DD8" w:rsidRPr="002948ED" w:rsidRDefault="00E74DD8">
      <w:r w:rsidRPr="002948ED">
        <w:continuationSeparator/>
      </w:r>
    </w:p>
  </w:footnote>
  <w:footnote w:type="continuationNotice" w:id="1">
    <w:p w14:paraId="197DB6E1" w14:textId="77777777" w:rsidR="00E74DD8" w:rsidRPr="002948ED" w:rsidRDefault="00E74DD8">
      <w:pPr>
        <w:pStyle w:val="Footer"/>
        <w:jc w:val="left"/>
        <w:rPr>
          <w:noProof w:val="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3D979" w14:textId="77777777" w:rsidR="003D1E34" w:rsidRPr="003D1E34" w:rsidRDefault="003D1E34" w:rsidP="003D1E3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8E9AD" w14:textId="77777777" w:rsidR="003D1E34" w:rsidRPr="003D1E34" w:rsidRDefault="003D1E34" w:rsidP="003D1E3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7E0C8" w14:textId="77777777" w:rsidR="003D1E34" w:rsidRPr="003D1E34" w:rsidRDefault="003D1E34" w:rsidP="003D1E3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5A063" w14:textId="77777777" w:rsidR="00861C1C" w:rsidRPr="002948ED" w:rsidRDefault="00861C1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2A754" w14:textId="0BD29C78" w:rsidR="00861C1C" w:rsidRPr="002948ED" w:rsidRDefault="00861C1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9AF9A" w14:textId="77777777" w:rsidR="00861C1C" w:rsidRPr="002948ED" w:rsidRDefault="00861C1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037C3" w14:textId="77777777" w:rsidR="00D22273" w:rsidRPr="002948ED" w:rsidRDefault="00891AFF">
    <w:pPr>
      <w:pStyle w:val="Header"/>
    </w:pPr>
    <w:r w:rsidRPr="002948ED">
      <w:rPr>
        <w:noProof/>
        <w:color w:val="2B579A"/>
        <w:shd w:val="clear" w:color="auto" w:fill="E6E6E6"/>
        <w:lang w:val="en-GB" w:eastAsia="en-GB"/>
      </w:rPr>
      <mc:AlternateContent>
        <mc:Choice Requires="wps">
          <w:drawing>
            <wp:anchor distT="0" distB="0" distL="114300" distR="114300" simplePos="0" relativeHeight="251656704" behindDoc="0" locked="1" layoutInCell="1" allowOverlap="1" wp14:anchorId="3A27F900" wp14:editId="04C1AE4D">
              <wp:simplePos x="0" y="0"/>
              <wp:positionH relativeFrom="page">
                <wp:posOffset>-31115</wp:posOffset>
              </wp:positionH>
              <wp:positionV relativeFrom="page">
                <wp:posOffset>0</wp:posOffset>
              </wp:positionV>
              <wp:extent cx="7620635" cy="212090"/>
              <wp:effectExtent l="0" t="0" r="0" b="0"/>
              <wp:wrapNone/>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4" style="position:absolute;margin-left:-2.45pt;margin-top:0;width:600.05pt;height:16.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dab07 [3207]" stroked="f"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" w14:anchorId="4DC81CFD">
              <o:lock v:ext="edit" aspectratio="t"/>
              <w10:wrap anchorx="page" anchory="page"/>
              <w10:anchorlock/>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C5024" w14:textId="77777777" w:rsidR="00861C1C" w:rsidRPr="002948ED" w:rsidRDefault="00861C1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A1FEF" w14:textId="29C96470" w:rsidR="00861C1C" w:rsidRPr="002948ED" w:rsidRDefault="00697C8D">
    <w:pPr>
      <w:pStyle w:val="Header"/>
    </w:pPr>
    <w:r w:rsidRPr="002948ED">
      <w:rPr>
        <w:noProof/>
        <w:color w:val="2B579A"/>
        <w:shd w:val="clear" w:color="auto" w:fill="E6E6E6"/>
        <w:lang w:val="en-GB" w:eastAsia="en-GB"/>
      </w:rPr>
      <mc:AlternateContent>
        <mc:Choice Requires="wps">
          <w:drawing>
            <wp:anchor distT="0" distB="0" distL="114300" distR="114300" simplePos="0" relativeHeight="251655680" behindDoc="0" locked="1" layoutInCell="1" allowOverlap="1" wp14:anchorId="7652CC88" wp14:editId="055F3679">
              <wp:simplePos x="0" y="0"/>
              <wp:positionH relativeFrom="page">
                <wp:posOffset>-52705</wp:posOffset>
              </wp:positionH>
              <wp:positionV relativeFrom="page">
                <wp:posOffset>-635</wp:posOffset>
              </wp:positionV>
              <wp:extent cx="7620635" cy="212090"/>
              <wp:effectExtent l="0" t="0" r="0" b="0"/>
              <wp:wrapNone/>
              <wp:docPr id="1825826825" name="Rectangle 18258268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rgbClr val="FDB93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1825826825" style="position:absolute;margin-left:-4.15pt;margin-top:-.05pt;width:600.05pt;height:16.7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db933" stroked="f"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" w14:anchorId="7540D0D5">
              <o:lock v:ext="edit" aspectratio="t"/>
              <w10:wrap anchorx="page" anchory="page"/>
              <w10:anchorlock/>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9CE3C" w14:textId="77777777" w:rsidR="00861C1C" w:rsidRPr="002948ED" w:rsidRDefault="00861C1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9570F" w14:textId="77777777" w:rsidR="00597877" w:rsidRPr="002948ED" w:rsidRDefault="00597877">
    <w:pPr>
      <w:pStyle w:val="Header"/>
    </w:pPr>
    <w:r w:rsidRPr="002948ED">
      <w:rPr>
        <w:noProof/>
        <w:color w:val="2B579A"/>
        <w:shd w:val="clear" w:color="auto" w:fill="E6E6E6"/>
        <w:lang w:val="en-GB" w:eastAsia="en-GB"/>
      </w:rPr>
      <mc:AlternateContent>
        <mc:Choice Requires="wps">
          <w:drawing>
            <wp:anchor distT="0" distB="0" distL="114300" distR="114300" simplePos="0" relativeHeight="251657728" behindDoc="0" locked="1" layoutInCell="1" allowOverlap="1" wp14:anchorId="23ADD363" wp14:editId="5E9336E2">
              <wp:simplePos x="0" y="0"/>
              <wp:positionH relativeFrom="page">
                <wp:posOffset>-52705</wp:posOffset>
              </wp:positionH>
              <wp:positionV relativeFrom="page">
                <wp:posOffset>-635</wp:posOffset>
              </wp:positionV>
              <wp:extent cx="7620635" cy="212090"/>
              <wp:effectExtent l="0" t="0" r="0" b="0"/>
              <wp:wrapNone/>
              <wp:docPr id="116051710" name="Rectangle 1160517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rgbClr val="FDB93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116051710" style="position:absolute;margin-left:-4.15pt;margin-top:-.05pt;width:600.05pt;height:16.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db933" stroked="f"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" w14:anchorId="50D49F28">
              <o:lock v:ext="edit" aspectratio="t"/>
              <w10:wrap anchorx="page" anchory="page"/>
              <w10:anchorlock/>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88988" w14:textId="77777777" w:rsidR="000F056E" w:rsidRPr="002948ED" w:rsidRDefault="000F056E">
    <w:pPr>
      <w:pStyle w:val="Header"/>
    </w:pPr>
    <w:r w:rsidRPr="002948ED">
      <w:rPr>
        <w:noProof/>
        <w:color w:val="2B579A"/>
        <w:shd w:val="clear" w:color="auto" w:fill="E6E6E6"/>
        <w:lang w:val="en-GB" w:eastAsia="en-GB"/>
      </w:rPr>
      <mc:AlternateContent>
        <mc:Choice Requires="wps">
          <w:drawing>
            <wp:anchor distT="0" distB="0" distL="114300" distR="114300" simplePos="0" relativeHeight="251658752" behindDoc="0" locked="1" layoutInCell="1" allowOverlap="1" wp14:anchorId="7B70EFC2" wp14:editId="36AADF03">
              <wp:simplePos x="0" y="0"/>
              <wp:positionH relativeFrom="page">
                <wp:posOffset>-52705</wp:posOffset>
              </wp:positionH>
              <wp:positionV relativeFrom="page">
                <wp:posOffset>-635</wp:posOffset>
              </wp:positionV>
              <wp:extent cx="7620635" cy="212090"/>
              <wp:effectExtent l="0" t="0" r="0" b="0"/>
              <wp:wrapNone/>
              <wp:docPr id="1546491043" name="Rectangle 15464910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rgbClr val="FDB93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1546491043" style="position:absolute;margin-left:-4.15pt;margin-top:-.05pt;width:600.05pt;height:16.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db933" stroked="f"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" w14:anchorId="7031F76D">
              <o:lock v:ext="edit" aspectratio="t"/>
              <w10:wrap anchorx="page" anchory="page"/>
              <w10:anchorlock/>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3ED37" w14:textId="77777777" w:rsidR="00861C1C" w:rsidRPr="002948ED" w:rsidRDefault="00861C1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0E674" w14:textId="77777777" w:rsidR="00861C1C" w:rsidRPr="002948ED" w:rsidRDefault="00861C1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BAD35" w14:textId="77777777" w:rsidR="00861C1C" w:rsidRPr="002948ED" w:rsidRDefault="00861C1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08248" w14:textId="77777777" w:rsidR="00597877" w:rsidRPr="002948ED" w:rsidRDefault="005978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9180D" w14:textId="77777777" w:rsidR="00597877" w:rsidRPr="002948ED" w:rsidRDefault="0059787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9DA011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B8B6D3F8"/>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249579D"/>
    <w:multiLevelType w:val="multilevel"/>
    <w:tmpl w:val="A08C8E34"/>
    <w:styleLink w:val="amprLIST-Ordered"/>
    <w:lvl w:ilvl="0">
      <w:start w:val="1"/>
      <w:numFmt w:val="decimal"/>
      <w:pStyle w:val="amprLISTOrdered-L1"/>
      <w:lvlText w:val="%1."/>
      <w:lvlJc w:val="left"/>
      <w:pPr>
        <w:ind w:left="714" w:hanging="357"/>
      </w:pPr>
      <w:rPr>
        <w:rFonts w:hint="default"/>
      </w:rPr>
    </w:lvl>
    <w:lvl w:ilvl="1">
      <w:start w:val="1"/>
      <w:numFmt w:val="decimal"/>
      <w:pStyle w:val="amprLISTOrdered-L2"/>
      <w:lvlText w:val="%1.%2."/>
      <w:lvlJc w:val="left"/>
      <w:pPr>
        <w:ind w:left="1185" w:hanging="471"/>
      </w:pPr>
      <w:rPr>
        <w:rFonts w:hint="default"/>
      </w:rPr>
    </w:lvl>
    <w:lvl w:ilvl="2">
      <w:start w:val="1"/>
      <w:numFmt w:val="decimal"/>
      <w:pStyle w:val="amprLISTOrdered-L3"/>
      <w:lvlText w:val="%1.%2.%3."/>
      <w:lvlJc w:val="left"/>
      <w:pPr>
        <w:ind w:left="1769" w:hanging="584"/>
      </w:pPr>
      <w:rPr>
        <w:rFonts w:hint="default"/>
      </w:rPr>
    </w:lvl>
    <w:lvl w:ilvl="3">
      <w:start w:val="1"/>
      <w:numFmt w:val="decimal"/>
      <w:pStyle w:val="amprLISTOrdered-L4"/>
      <w:lvlText w:val="%1.%2.%3.%4."/>
      <w:lvlJc w:val="left"/>
      <w:pPr>
        <w:ind w:left="2466" w:hanging="6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E1B48C7"/>
    <w:multiLevelType w:val="hybridMultilevel"/>
    <w:tmpl w:val="D6D43D2A"/>
    <w:lvl w:ilvl="0" w:tplc="24482FE6">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F61258B"/>
    <w:multiLevelType w:val="hybridMultilevel"/>
    <w:tmpl w:val="1DCC9992"/>
    <w:lvl w:ilvl="0" w:tplc="EE84F68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AF0196"/>
    <w:multiLevelType w:val="multilevel"/>
    <w:tmpl w:val="D6C29086"/>
    <w:styleLink w:val="amprHLISTNumberedheadings"/>
    <w:lvl w:ilvl="0">
      <w:start w:val="1"/>
      <w:numFmt w:val="decimal"/>
      <w:pStyle w:val="amprH2TITLE1-Numbered-1"/>
      <w:lvlText w:val="%1."/>
      <w:lvlJc w:val="left"/>
      <w:pPr>
        <w:ind w:left="578" w:hanging="578"/>
      </w:pPr>
      <w:rPr>
        <w:rFonts w:hint="default"/>
      </w:rPr>
    </w:lvl>
    <w:lvl w:ilvl="1">
      <w:start w:val="1"/>
      <w:numFmt w:val="decimal"/>
      <w:pStyle w:val="amprH3Title2-Numbered-11"/>
      <w:lvlText w:val="%1.%2."/>
      <w:lvlJc w:val="left"/>
      <w:pPr>
        <w:ind w:left="1928" w:hanging="578"/>
      </w:pPr>
      <w:rPr>
        <w:rFonts w:hint="default"/>
      </w:rPr>
    </w:lvl>
    <w:lvl w:ilvl="2">
      <w:start w:val="1"/>
      <w:numFmt w:val="decimal"/>
      <w:pStyle w:val="amprH4Subhead1-Numbered-111"/>
      <w:lvlText w:val="%1.%2.%3."/>
      <w:lvlJc w:val="left"/>
      <w:pPr>
        <w:ind w:left="578" w:hanging="578"/>
      </w:pPr>
      <w:rPr>
        <w:rFonts w:hint="default"/>
      </w:rPr>
    </w:lvl>
    <w:lvl w:ilvl="3">
      <w:start w:val="1"/>
      <w:numFmt w:val="decimal"/>
      <w:pStyle w:val="amprH5Subhead2-Numbered-1111"/>
      <w:lvlText w:val="%1.%2.%3.%4."/>
      <w:lvlJc w:val="left"/>
      <w:pPr>
        <w:ind w:left="578" w:hanging="578"/>
      </w:pPr>
      <w:rPr>
        <w:rFonts w:hint="default"/>
      </w:rPr>
    </w:lvl>
    <w:lvl w:ilvl="4">
      <w:start w:val="1"/>
      <w:numFmt w:val="lowerLetter"/>
      <w:lvlText w:val="(%5)"/>
      <w:lvlJc w:val="left"/>
      <w:pPr>
        <w:ind w:left="578" w:hanging="578"/>
      </w:pPr>
      <w:rPr>
        <w:rFonts w:hint="default"/>
      </w:rPr>
    </w:lvl>
    <w:lvl w:ilvl="5">
      <w:start w:val="1"/>
      <w:numFmt w:val="lowerRoman"/>
      <w:lvlText w:val="(%6)"/>
      <w:lvlJc w:val="left"/>
      <w:pPr>
        <w:ind w:left="578" w:hanging="578"/>
      </w:pPr>
      <w:rPr>
        <w:rFonts w:hint="default"/>
      </w:rPr>
    </w:lvl>
    <w:lvl w:ilvl="6">
      <w:start w:val="1"/>
      <w:numFmt w:val="decimal"/>
      <w:lvlText w:val="%7."/>
      <w:lvlJc w:val="left"/>
      <w:pPr>
        <w:ind w:left="578" w:hanging="578"/>
      </w:pPr>
      <w:rPr>
        <w:rFonts w:hint="default"/>
      </w:rPr>
    </w:lvl>
    <w:lvl w:ilvl="7">
      <w:start w:val="1"/>
      <w:numFmt w:val="lowerLetter"/>
      <w:lvlText w:val="%8."/>
      <w:lvlJc w:val="left"/>
      <w:pPr>
        <w:ind w:left="578" w:hanging="578"/>
      </w:pPr>
      <w:rPr>
        <w:rFonts w:hint="default"/>
      </w:rPr>
    </w:lvl>
    <w:lvl w:ilvl="8">
      <w:start w:val="1"/>
      <w:numFmt w:val="lowerRoman"/>
      <w:lvlText w:val="%9."/>
      <w:lvlJc w:val="left"/>
      <w:pPr>
        <w:ind w:left="578" w:hanging="578"/>
      </w:pPr>
      <w:rPr>
        <w:rFonts w:hint="default"/>
      </w:rPr>
    </w:lvl>
  </w:abstractNum>
  <w:abstractNum w:abstractNumId="6" w15:restartNumberingAfterBreak="0">
    <w:nsid w:val="1515780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91327C8"/>
    <w:multiLevelType w:val="hybridMultilevel"/>
    <w:tmpl w:val="B8AAD2A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9" w15:restartNumberingAfterBreak="0">
    <w:nsid w:val="1C47181D"/>
    <w:multiLevelType w:val="multilevel"/>
    <w:tmpl w:val="2A9AD0EE"/>
    <w:styleLink w:val="amprLISTblackbullets"/>
    <w:lvl w:ilvl="0">
      <w:start w:val="1"/>
      <w:numFmt w:val="bullet"/>
      <w:pStyle w:val="amprLISTblackbullets-L1"/>
      <w:lvlText w:val=""/>
      <w:lvlJc w:val="left"/>
      <w:pPr>
        <w:ind w:left="714" w:hanging="357"/>
      </w:pPr>
      <w:rPr>
        <w:rFonts w:ascii="Symbol" w:hAnsi="Symbol" w:hint="default"/>
      </w:rPr>
    </w:lvl>
    <w:lvl w:ilvl="1">
      <w:start w:val="1"/>
      <w:numFmt w:val="bullet"/>
      <w:pStyle w:val="amprLISTblackbullets-L2"/>
      <w:lvlText w:val="—"/>
      <w:lvlJc w:val="left"/>
      <w:pPr>
        <w:ind w:left="1435" w:hanging="358"/>
      </w:pPr>
      <w:rPr>
        <w:rFonts w:ascii="EC Square Sans Pro" w:hAnsi="EC Square Sans Pro" w:hint="default"/>
      </w:rPr>
    </w:lvl>
    <w:lvl w:ilvl="2">
      <w:start w:val="1"/>
      <w:numFmt w:val="bullet"/>
      <w:lvlText w:val=""/>
      <w:lvlJc w:val="left"/>
      <w:pPr>
        <w:ind w:left="2155" w:hanging="355"/>
      </w:pPr>
      <w:rPr>
        <w:rFonts w:ascii="Wingdings" w:hAnsi="Wingdings" w:hint="default"/>
      </w:rPr>
    </w:lvl>
    <w:lvl w:ilvl="3">
      <w:start w:val="1"/>
      <w:numFmt w:val="bullet"/>
      <w:lvlText w:val=""/>
      <w:lvlJc w:val="left"/>
      <w:pPr>
        <w:ind w:left="2875" w:hanging="355"/>
      </w:pPr>
      <w:rPr>
        <w:rFonts w:ascii="Symbol" w:hAnsi="Symbol" w:hint="default"/>
      </w:rPr>
    </w:lvl>
    <w:lvl w:ilvl="4">
      <w:start w:val="1"/>
      <w:numFmt w:val="bullet"/>
      <w:lvlText w:val="o"/>
      <w:lvlJc w:val="left"/>
      <w:pPr>
        <w:ind w:left="3595" w:hanging="355"/>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C25113"/>
    <w:multiLevelType w:val="hybridMultilevel"/>
    <w:tmpl w:val="8D1E1EAC"/>
    <w:lvl w:ilvl="0" w:tplc="9BC6A976">
      <w:numFmt w:val="bullet"/>
      <w:lvlText w:val="-"/>
      <w:lvlJc w:val="left"/>
      <w:pPr>
        <w:ind w:left="720" w:hanging="360"/>
      </w:pPr>
      <w:rPr>
        <w:rFonts w:ascii="EC Square Sans Pro" w:eastAsiaTheme="minorHAnsi" w:hAnsi="EC Square Sans Pro"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AB22A4D"/>
    <w:multiLevelType w:val="multilevel"/>
    <w:tmpl w:val="78248A56"/>
    <w:numStyleLink w:val="amprLISTgreenbullets"/>
  </w:abstractNum>
  <w:abstractNum w:abstractNumId="13" w15:restartNumberingAfterBreak="0">
    <w:nsid w:val="2CB72C6E"/>
    <w:multiLevelType w:val="singleLevel"/>
    <w:tmpl w:val="10ACD464"/>
    <w:name w:val="Bullet 3"/>
    <w:lvl w:ilvl="0">
      <w:start w:val="1"/>
      <w:numFmt w:val="bullet"/>
      <w:lvlRestart w:val="0"/>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lvlText w:val="–"/>
      <w:lvlJc w:val="left"/>
      <w:pPr>
        <w:tabs>
          <w:tab w:val="num" w:pos="2551"/>
        </w:tabs>
        <w:ind w:left="2551" w:hanging="567"/>
      </w:pPr>
    </w:lvl>
  </w:abstractNum>
  <w:abstractNum w:abstractNumId="15" w15:restartNumberingAfterBreak="0">
    <w:nsid w:val="309C18B6"/>
    <w:multiLevelType w:val="multilevel"/>
    <w:tmpl w:val="6110FEBA"/>
    <w:name w:val="ListNumberNonindentedNumbering65"/>
    <w:styleLink w:val="amprLIST-Mixed"/>
    <w:lvl w:ilvl="0">
      <w:start w:val="1"/>
      <w:numFmt w:val="decimal"/>
      <w:pStyle w:val="amprLISTMixed-L1"/>
      <w:lvlText w:val="%1."/>
      <w:lvlJc w:val="left"/>
      <w:pPr>
        <w:ind w:left="714" w:hanging="357"/>
      </w:pPr>
      <w:rPr>
        <w:rFonts w:hint="default"/>
      </w:rPr>
    </w:lvl>
    <w:lvl w:ilvl="1">
      <w:start w:val="1"/>
      <w:numFmt w:val="lowerLetter"/>
      <w:pStyle w:val="amprLISTMixed-L2"/>
      <w:lvlText w:val="(%2)"/>
      <w:lvlJc w:val="left"/>
      <w:pPr>
        <w:ind w:left="1071" w:hanging="357"/>
      </w:pPr>
      <w:rPr>
        <w:rFonts w:hint="default"/>
      </w:rPr>
    </w:lvl>
    <w:lvl w:ilvl="2">
      <w:start w:val="1"/>
      <w:numFmt w:val="bullet"/>
      <w:pStyle w:val="amprLISTMixed-L3"/>
      <w:lvlText w:val="—"/>
      <w:lvlJc w:val="left"/>
      <w:pPr>
        <w:ind w:left="1428" w:hanging="357"/>
      </w:pPr>
      <w:rPr>
        <w:rFonts w:ascii="Proxima Nova" w:hAnsi="Proxima Nova" w:hint="default"/>
        <w:color w:val="auto"/>
      </w:rPr>
    </w:lvl>
    <w:lvl w:ilvl="3">
      <w:start w:val="1"/>
      <w:numFmt w:val="decimal"/>
      <w:lvlText w:val="(%4)"/>
      <w:lvlJc w:val="left"/>
      <w:pPr>
        <w:ind w:left="1785" w:hanging="357"/>
      </w:pPr>
      <w:rPr>
        <w:rFonts w:hint="default"/>
      </w:rPr>
    </w:lvl>
    <w:lvl w:ilvl="4">
      <w:start w:val="1"/>
      <w:numFmt w:val="lowerLetter"/>
      <w:lvlText w:val="(%5)"/>
      <w:lvlJc w:val="left"/>
      <w:pPr>
        <w:ind w:left="2142" w:hanging="357"/>
      </w:pPr>
      <w:rPr>
        <w:rFonts w:hint="default"/>
      </w:rPr>
    </w:lvl>
    <w:lvl w:ilvl="5">
      <w:start w:val="1"/>
      <w:numFmt w:val="lowerRoman"/>
      <w:lvlText w:val="(%6)"/>
      <w:lvlJc w:val="left"/>
      <w:pPr>
        <w:ind w:left="2499" w:hanging="357"/>
      </w:pPr>
      <w:rPr>
        <w:rFonts w:hint="default"/>
      </w:rPr>
    </w:lvl>
    <w:lvl w:ilvl="6">
      <w:start w:val="1"/>
      <w:numFmt w:val="decimal"/>
      <w:lvlText w:val="%7."/>
      <w:lvlJc w:val="left"/>
      <w:pPr>
        <w:ind w:left="2856" w:hanging="357"/>
      </w:pPr>
      <w:rPr>
        <w:rFonts w:hint="default"/>
      </w:rPr>
    </w:lvl>
    <w:lvl w:ilvl="7">
      <w:start w:val="1"/>
      <w:numFmt w:val="lowerLetter"/>
      <w:lvlText w:val="%8."/>
      <w:lvlJc w:val="left"/>
      <w:pPr>
        <w:ind w:left="3213" w:hanging="357"/>
      </w:pPr>
      <w:rPr>
        <w:rFonts w:hint="default"/>
      </w:rPr>
    </w:lvl>
    <w:lvl w:ilvl="8">
      <w:start w:val="1"/>
      <w:numFmt w:val="lowerRoman"/>
      <w:lvlText w:val="%9."/>
      <w:lvlJc w:val="left"/>
      <w:pPr>
        <w:ind w:left="3570" w:hanging="357"/>
      </w:pPr>
      <w:rPr>
        <w:rFonts w:hint="default"/>
      </w:rPr>
    </w:lvl>
  </w:abstractNum>
  <w:abstractNum w:abstractNumId="16" w15:restartNumberingAfterBreak="0">
    <w:nsid w:val="32CE3C72"/>
    <w:multiLevelType w:val="hybridMultilevel"/>
    <w:tmpl w:val="39E0BB52"/>
    <w:lvl w:ilvl="0" w:tplc="CA606920">
      <w:start w:val="1"/>
      <w:numFmt w:val="bullet"/>
      <w:pStyle w:val="amprboxBLUEdashedbullet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881849"/>
    <w:multiLevelType w:val="hybridMultilevel"/>
    <w:tmpl w:val="84682B56"/>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51779EF"/>
    <w:multiLevelType w:val="hybridMultilevel"/>
    <w:tmpl w:val="AA90E94E"/>
    <w:lvl w:ilvl="0" w:tplc="41A60B74">
      <w:start w:val="1"/>
      <w:numFmt w:val="bullet"/>
      <w:lvlText w:val="-"/>
      <w:lvlJc w:val="left"/>
      <w:pPr>
        <w:ind w:left="720" w:hanging="360"/>
      </w:pPr>
      <w:rPr>
        <w:rFonts w:ascii="EC Square Sans Pro" w:eastAsiaTheme="minorHAnsi" w:hAnsi="EC Square Sans Pro"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771255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8AF61F8"/>
    <w:multiLevelType w:val="multilevel"/>
    <w:tmpl w:val="60A07854"/>
    <w:styleLink w:val="Style1"/>
    <w:lvl w:ilvl="0">
      <w:start w:val="1"/>
      <w:numFmt w:val="decimal"/>
      <w:lvlText w:val="%1"/>
      <w:lvlJc w:val="left"/>
      <w:pPr>
        <w:ind w:left="432" w:hanging="432"/>
      </w:pPr>
      <w:rPr>
        <w:rFonts w:hint="default"/>
        <w:caps/>
        <w:strike w:val="0"/>
        <w:dstrike w:val="0"/>
        <w:vanish/>
        <w:vertAlign w:val="baseline"/>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B1A17B2"/>
    <w:multiLevelType w:val="multilevel"/>
    <w:tmpl w:val="6110FEBA"/>
    <w:numStyleLink w:val="amprLIST-Mixed"/>
  </w:abstractNum>
  <w:abstractNum w:abstractNumId="22" w15:restartNumberingAfterBreak="0">
    <w:nsid w:val="3BE45363"/>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F457F5F"/>
    <w:multiLevelType w:val="hybridMultilevel"/>
    <w:tmpl w:val="50B6E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D57A2B"/>
    <w:multiLevelType w:val="hybridMultilevel"/>
    <w:tmpl w:val="BD16A592"/>
    <w:lvl w:ilvl="0" w:tplc="AE2A3438">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26" w15:restartNumberingAfterBreak="0">
    <w:nsid w:val="42FC0772"/>
    <w:multiLevelType w:val="singleLevel"/>
    <w:tmpl w:val="4128FCF8"/>
    <w:name w:val="Tiret 4"/>
    <w:lvl w:ilvl="0">
      <w:start w:val="1"/>
      <w:numFmt w:val="bullet"/>
      <w:lvlRestart w:val="0"/>
      <w:lvlText w:val="–"/>
      <w:lvlJc w:val="left"/>
      <w:pPr>
        <w:tabs>
          <w:tab w:val="num" w:pos="3118"/>
        </w:tabs>
        <w:ind w:left="3118" w:hanging="567"/>
      </w:pPr>
    </w:lvl>
  </w:abstractNum>
  <w:abstractNum w:abstractNumId="27" w15:restartNumberingAfterBreak="0">
    <w:nsid w:val="4552127F"/>
    <w:multiLevelType w:val="singleLevel"/>
    <w:tmpl w:val="057A5296"/>
    <w:name w:val="Bullet 0"/>
    <w:lvl w:ilvl="0">
      <w:start w:val="1"/>
      <w:numFmt w:val="bullet"/>
      <w:lvlRestart w:val="0"/>
      <w:lvlText w:val=""/>
      <w:lvlJc w:val="left"/>
      <w:pPr>
        <w:tabs>
          <w:tab w:val="num" w:pos="850"/>
        </w:tabs>
        <w:ind w:left="850" w:hanging="850"/>
      </w:pPr>
      <w:rPr>
        <w:rFonts w:ascii="Symbol" w:hAnsi="Symbol" w:hint="default"/>
      </w:rPr>
    </w:lvl>
  </w:abstractNum>
  <w:abstractNum w:abstractNumId="28" w15:restartNumberingAfterBreak="0">
    <w:nsid w:val="469C0FD1"/>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7CC1762"/>
    <w:multiLevelType w:val="hybridMultilevel"/>
    <w:tmpl w:val="62A833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489956A0"/>
    <w:multiLevelType w:val="singleLevel"/>
    <w:tmpl w:val="6520E3F6"/>
    <w:lvl w:ilvl="0">
      <w:start w:val="1"/>
      <w:numFmt w:val="bullet"/>
      <w:lvlRestart w:val="0"/>
      <w:pStyle w:val="Tiret0"/>
      <w:lvlText w:val="–"/>
      <w:lvlJc w:val="left"/>
      <w:pPr>
        <w:tabs>
          <w:tab w:val="num" w:pos="850"/>
        </w:tabs>
        <w:ind w:left="850" w:hanging="850"/>
      </w:pPr>
    </w:lvl>
  </w:abstractNum>
  <w:abstractNum w:abstractNumId="31" w15:restartNumberingAfterBreak="0">
    <w:nsid w:val="52B23671"/>
    <w:multiLevelType w:val="multilevel"/>
    <w:tmpl w:val="3E4EA4C8"/>
    <w:lvl w:ilvl="0">
      <w:start w:val="1"/>
      <w:numFmt w:val="bullet"/>
      <w:pStyle w:val="amprboxGREENdashedbulletlis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6E1D63"/>
    <w:multiLevelType w:val="singleLevel"/>
    <w:tmpl w:val="493AAFF0"/>
    <w:name w:val="Bullet 4"/>
    <w:lvl w:ilvl="0">
      <w:start w:val="1"/>
      <w:numFmt w:val="bullet"/>
      <w:lvlRestart w:val="0"/>
      <w:lvlText w:val=""/>
      <w:lvlJc w:val="left"/>
      <w:pPr>
        <w:tabs>
          <w:tab w:val="num" w:pos="3118"/>
        </w:tabs>
        <w:ind w:left="3118" w:hanging="567"/>
      </w:pPr>
      <w:rPr>
        <w:rFonts w:ascii="Symbol" w:hAnsi="Symbol" w:hint="default"/>
      </w:rPr>
    </w:lvl>
  </w:abstractNum>
  <w:abstractNum w:abstractNumId="33" w15:restartNumberingAfterBreak="0">
    <w:nsid w:val="59BB2205"/>
    <w:multiLevelType w:val="multilevel"/>
    <w:tmpl w:val="78248A56"/>
    <w:styleLink w:val="amprLISTgreenbullets"/>
    <w:lvl w:ilvl="0">
      <w:start w:val="1"/>
      <w:numFmt w:val="bullet"/>
      <w:pStyle w:val="amprLISTgreenbullets-L1"/>
      <w:lvlText w:val=""/>
      <w:lvlJc w:val="left"/>
      <w:pPr>
        <w:ind w:left="714" w:hanging="357"/>
      </w:pPr>
      <w:rPr>
        <w:rFonts w:ascii="Symbol" w:hAnsi="Symbol" w:hint="default"/>
        <w:color w:val="008139" w:themeColor="accent1"/>
      </w:rPr>
    </w:lvl>
    <w:lvl w:ilvl="1">
      <w:start w:val="1"/>
      <w:numFmt w:val="bullet"/>
      <w:pStyle w:val="amprLISTgreenbullets-L2"/>
      <w:lvlText w:val="—"/>
      <w:lvlJc w:val="left"/>
      <w:pPr>
        <w:ind w:left="1435" w:hanging="358"/>
      </w:pPr>
      <w:rPr>
        <w:rFonts w:ascii="EC Square Sans Pro" w:hAnsi="EC Square Sans Pro" w:hint="default"/>
        <w:color w:val="008139" w:themeColor="accent1"/>
      </w:rPr>
    </w:lvl>
    <w:lvl w:ilvl="2">
      <w:start w:val="1"/>
      <w:numFmt w:val="bullet"/>
      <w:lvlText w:val=""/>
      <w:lvlJc w:val="left"/>
      <w:pPr>
        <w:ind w:left="2155" w:hanging="358"/>
      </w:pPr>
      <w:rPr>
        <w:rFonts w:ascii="Wingdings" w:hAnsi="Wingdings" w:hint="default"/>
      </w:rPr>
    </w:lvl>
    <w:lvl w:ilvl="3">
      <w:start w:val="1"/>
      <w:numFmt w:val="bullet"/>
      <w:lvlText w:val=""/>
      <w:lvlJc w:val="left"/>
      <w:pPr>
        <w:ind w:left="2875" w:hanging="358"/>
      </w:pPr>
      <w:rPr>
        <w:rFonts w:ascii="Symbol" w:hAnsi="Symbol" w:hint="default"/>
      </w:rPr>
    </w:lvl>
    <w:lvl w:ilvl="4">
      <w:start w:val="1"/>
      <w:numFmt w:val="bullet"/>
      <w:lvlText w:val="o"/>
      <w:lvlJc w:val="left"/>
      <w:pPr>
        <w:ind w:left="3595" w:hanging="357"/>
      </w:pPr>
      <w:rPr>
        <w:rFonts w:ascii="Courier New" w:hAnsi="Courier New" w:hint="default"/>
      </w:rPr>
    </w:lvl>
    <w:lvl w:ilvl="5">
      <w:start w:val="1"/>
      <w:numFmt w:val="bullet"/>
      <w:lvlText w:val=""/>
      <w:lvlJc w:val="left"/>
      <w:pPr>
        <w:ind w:left="4093" w:hanging="360"/>
      </w:pPr>
      <w:rPr>
        <w:rFonts w:ascii="Wingdings" w:hAnsi="Wingdings" w:hint="default"/>
      </w:rPr>
    </w:lvl>
    <w:lvl w:ilvl="6">
      <w:start w:val="1"/>
      <w:numFmt w:val="bullet"/>
      <w:lvlText w:val=""/>
      <w:lvlJc w:val="left"/>
      <w:pPr>
        <w:ind w:left="4813" w:hanging="360"/>
      </w:pPr>
      <w:rPr>
        <w:rFonts w:ascii="Symbol" w:hAnsi="Symbol" w:hint="default"/>
      </w:rPr>
    </w:lvl>
    <w:lvl w:ilvl="7">
      <w:start w:val="1"/>
      <w:numFmt w:val="bullet"/>
      <w:lvlText w:val="o"/>
      <w:lvlJc w:val="left"/>
      <w:pPr>
        <w:ind w:left="5533" w:hanging="360"/>
      </w:pPr>
      <w:rPr>
        <w:rFonts w:ascii="Courier New" w:hAnsi="Courier New" w:cs="Courier New" w:hint="default"/>
      </w:rPr>
    </w:lvl>
    <w:lvl w:ilvl="8">
      <w:start w:val="1"/>
      <w:numFmt w:val="bullet"/>
      <w:lvlText w:val=""/>
      <w:lvlJc w:val="left"/>
      <w:pPr>
        <w:ind w:left="6253" w:hanging="360"/>
      </w:pPr>
      <w:rPr>
        <w:rFonts w:ascii="Wingdings" w:hAnsi="Wingdings" w:hint="default"/>
      </w:rPr>
    </w:lvl>
  </w:abstractNum>
  <w:abstractNum w:abstractNumId="34" w15:restartNumberingAfterBreak="0">
    <w:nsid w:val="5B395AAA"/>
    <w:multiLevelType w:val="singleLevel"/>
    <w:tmpl w:val="96D02E8A"/>
    <w:name w:val="Bullet 1"/>
    <w:lvl w:ilvl="0">
      <w:start w:val="1"/>
      <w:numFmt w:val="bullet"/>
      <w:lvlRestart w:val="0"/>
      <w:lvlText w:val=""/>
      <w:lvlJc w:val="left"/>
      <w:pPr>
        <w:tabs>
          <w:tab w:val="num" w:pos="1417"/>
        </w:tabs>
        <w:ind w:left="1417" w:hanging="567"/>
      </w:pPr>
      <w:rPr>
        <w:rFonts w:ascii="Symbol" w:hAnsi="Symbol" w:hint="default"/>
      </w:rPr>
    </w:lvl>
  </w:abstractNum>
  <w:abstractNum w:abstractNumId="35" w15:restartNumberingAfterBreak="0">
    <w:nsid w:val="5C056EE5"/>
    <w:multiLevelType w:val="singleLevel"/>
    <w:tmpl w:val="3378D27C"/>
    <w:name w:val="Bullet 2"/>
    <w:lvl w:ilvl="0">
      <w:start w:val="1"/>
      <w:numFmt w:val="bullet"/>
      <w:lvlRestart w:val="0"/>
      <w:lvlText w:val=""/>
      <w:lvlJc w:val="left"/>
      <w:pPr>
        <w:tabs>
          <w:tab w:val="num" w:pos="1984"/>
        </w:tabs>
        <w:ind w:left="1984" w:hanging="567"/>
      </w:pPr>
      <w:rPr>
        <w:rFonts w:ascii="Symbol" w:hAnsi="Symbol" w:hint="default"/>
      </w:rPr>
    </w:lvl>
  </w:abstractNum>
  <w:abstractNum w:abstractNumId="36"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37" w15:restartNumberingAfterBreak="0">
    <w:nsid w:val="5EA810B0"/>
    <w:multiLevelType w:val="multilevel"/>
    <w:tmpl w:val="D6C29086"/>
    <w:numStyleLink w:val="amprHLISTNumberedheadings"/>
  </w:abstractNum>
  <w:abstractNum w:abstractNumId="38" w15:restartNumberingAfterBreak="0">
    <w:nsid w:val="6227387F"/>
    <w:multiLevelType w:val="multilevel"/>
    <w:tmpl w:val="2A9AD0EE"/>
    <w:numStyleLink w:val="amprLISTblackbullets"/>
  </w:abstractNum>
  <w:abstractNum w:abstractNumId="39"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7B856F6"/>
    <w:multiLevelType w:val="singleLevel"/>
    <w:tmpl w:val="0AB28E9C"/>
    <w:name w:val="Tiret 2"/>
    <w:lvl w:ilvl="0">
      <w:start w:val="1"/>
      <w:numFmt w:val="bullet"/>
      <w:lvlRestart w:val="0"/>
      <w:lvlText w:val="–"/>
      <w:lvlJc w:val="left"/>
      <w:pPr>
        <w:tabs>
          <w:tab w:val="num" w:pos="1984"/>
        </w:tabs>
        <w:ind w:left="1984" w:hanging="567"/>
      </w:pPr>
    </w:lvl>
  </w:abstractNum>
  <w:abstractNum w:abstractNumId="41" w15:restartNumberingAfterBreak="0">
    <w:nsid w:val="6D786367"/>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15:restartNumberingAfterBreak="0">
    <w:nsid w:val="78AD56D9"/>
    <w:multiLevelType w:val="hybridMultilevel"/>
    <w:tmpl w:val="3C247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abstractNum w:abstractNumId="44" w15:restartNumberingAfterBreak="0">
    <w:nsid w:val="7ECE6A82"/>
    <w:multiLevelType w:val="multilevel"/>
    <w:tmpl w:val="C7520AF0"/>
    <w:lvl w:ilvl="0">
      <w:start w:val="2"/>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0"/>
  </w:num>
  <w:num w:numId="3">
    <w:abstractNumId w:val="20"/>
  </w:num>
  <w:num w:numId="4">
    <w:abstractNumId w:val="9"/>
  </w:num>
  <w:num w:numId="5">
    <w:abstractNumId w:val="38"/>
  </w:num>
  <w:num w:numId="6">
    <w:abstractNumId w:val="33"/>
  </w:num>
  <w:num w:numId="7">
    <w:abstractNumId w:val="31"/>
  </w:num>
  <w:num w:numId="8">
    <w:abstractNumId w:val="22"/>
  </w:num>
  <w:num w:numId="9">
    <w:abstractNumId w:val="28"/>
  </w:num>
  <w:num w:numId="10">
    <w:abstractNumId w:val="41"/>
  </w:num>
  <w:num w:numId="11">
    <w:abstractNumId w:val="12"/>
  </w:num>
  <w:num w:numId="12">
    <w:abstractNumId w:val="5"/>
  </w:num>
  <w:num w:numId="13">
    <w:abstractNumId w:val="37"/>
    <w:lvlOverride w:ilvl="0">
      <w:lvl w:ilvl="0">
        <w:start w:val="1"/>
        <w:numFmt w:val="decimal"/>
        <w:pStyle w:val="amprH2TITLE1-Numbered-1"/>
        <w:lvlText w:val="%1."/>
        <w:lvlJc w:val="left"/>
        <w:pPr>
          <w:ind w:left="578" w:hanging="578"/>
        </w:pPr>
        <w:rPr>
          <w:rFonts w:hint="default"/>
        </w:rPr>
      </w:lvl>
    </w:lvlOverride>
    <w:lvlOverride w:ilvl="1">
      <w:lvl w:ilvl="1">
        <w:start w:val="1"/>
        <w:numFmt w:val="decimal"/>
        <w:pStyle w:val="amprH3Title2-Numbered-11"/>
        <w:lvlText w:val="%1.%2."/>
        <w:lvlJc w:val="left"/>
        <w:pPr>
          <w:ind w:left="3129" w:hanging="578"/>
        </w:pPr>
        <w:rPr>
          <w:rFonts w:hint="default"/>
        </w:rPr>
      </w:lvl>
    </w:lvlOverride>
    <w:lvlOverride w:ilvl="2">
      <w:lvl w:ilvl="2">
        <w:start w:val="1"/>
        <w:numFmt w:val="decimal"/>
        <w:pStyle w:val="amprH4Subhead1-Numbered-111"/>
        <w:lvlText w:val="%1.%2.%3."/>
        <w:lvlJc w:val="left"/>
        <w:pPr>
          <w:ind w:left="578" w:hanging="578"/>
        </w:pPr>
        <w:rPr>
          <w:rFonts w:hint="default"/>
        </w:rPr>
      </w:lvl>
    </w:lvlOverride>
    <w:lvlOverride w:ilvl="3">
      <w:lvl w:ilvl="3">
        <w:start w:val="1"/>
        <w:numFmt w:val="decimal"/>
        <w:pStyle w:val="amprH5Subhead2-Numbered-1111"/>
        <w:lvlText w:val="%1.%2.%3.%4."/>
        <w:lvlJc w:val="left"/>
        <w:pPr>
          <w:ind w:left="578" w:hanging="578"/>
        </w:pPr>
        <w:rPr>
          <w:rFonts w:hint="default"/>
        </w:rPr>
      </w:lvl>
    </w:lvlOverride>
    <w:lvlOverride w:ilvl="4">
      <w:lvl w:ilvl="4">
        <w:start w:val="1"/>
        <w:numFmt w:val="lowerLetter"/>
        <w:lvlText w:val="(%5)"/>
        <w:lvlJc w:val="left"/>
        <w:pPr>
          <w:ind w:left="578" w:hanging="578"/>
        </w:pPr>
        <w:rPr>
          <w:rFonts w:hint="default"/>
        </w:rPr>
      </w:lvl>
    </w:lvlOverride>
    <w:lvlOverride w:ilvl="5">
      <w:lvl w:ilvl="5">
        <w:start w:val="1"/>
        <w:numFmt w:val="lowerRoman"/>
        <w:lvlText w:val="(%6)"/>
        <w:lvlJc w:val="left"/>
        <w:pPr>
          <w:ind w:left="578" w:hanging="578"/>
        </w:pPr>
        <w:rPr>
          <w:rFonts w:hint="default"/>
        </w:rPr>
      </w:lvl>
    </w:lvlOverride>
    <w:lvlOverride w:ilvl="6">
      <w:lvl w:ilvl="6">
        <w:start w:val="1"/>
        <w:numFmt w:val="decimal"/>
        <w:lvlText w:val="%7."/>
        <w:lvlJc w:val="left"/>
        <w:pPr>
          <w:ind w:left="578" w:hanging="578"/>
        </w:pPr>
        <w:rPr>
          <w:rFonts w:hint="default"/>
        </w:rPr>
      </w:lvl>
    </w:lvlOverride>
    <w:lvlOverride w:ilvl="7">
      <w:lvl w:ilvl="7">
        <w:start w:val="1"/>
        <w:numFmt w:val="lowerLetter"/>
        <w:lvlText w:val="%8."/>
        <w:lvlJc w:val="left"/>
        <w:pPr>
          <w:ind w:left="578" w:hanging="578"/>
        </w:pPr>
        <w:rPr>
          <w:rFonts w:hint="default"/>
        </w:rPr>
      </w:lvl>
    </w:lvlOverride>
    <w:lvlOverride w:ilvl="8">
      <w:lvl w:ilvl="8">
        <w:start w:val="1"/>
        <w:numFmt w:val="lowerRoman"/>
        <w:lvlText w:val="%9."/>
        <w:lvlJc w:val="left"/>
        <w:pPr>
          <w:ind w:left="578" w:hanging="578"/>
        </w:pPr>
        <w:rPr>
          <w:rFonts w:hint="default"/>
        </w:rPr>
      </w:lvl>
    </w:lvlOverride>
  </w:num>
  <w:num w:numId="14">
    <w:abstractNumId w:val="16"/>
  </w:num>
  <w:num w:numId="15">
    <w:abstractNumId w:val="2"/>
  </w:num>
  <w:num w:numId="16">
    <w:abstractNumId w:val="15"/>
  </w:num>
  <w:num w:numId="17">
    <w:abstractNumId w:val="21"/>
  </w:num>
  <w:num w:numId="18">
    <w:abstractNumId w:val="30"/>
  </w:num>
  <w:num w:numId="19">
    <w:abstractNumId w:val="6"/>
  </w:num>
  <w:num w:numId="20">
    <w:abstractNumId w:val="19"/>
  </w:num>
  <w:num w:numId="21">
    <w:abstractNumId w:val="24"/>
  </w:num>
  <w:num w:numId="22">
    <w:abstractNumId w:val="44"/>
  </w:num>
  <w:num w:numId="23">
    <w:abstractNumId w:val="3"/>
  </w:num>
  <w:num w:numId="24">
    <w:abstractNumId w:val="37"/>
    <w:lvlOverride w:ilvl="0">
      <w:startOverride w:val="1"/>
      <w:lvl w:ilvl="0">
        <w:start w:val="1"/>
        <w:numFmt w:val="decimal"/>
        <w:pStyle w:val="amprH2TITLE1-Numbered-1"/>
        <w:lvlText w:val="%1."/>
        <w:lvlJc w:val="left"/>
        <w:pPr>
          <w:ind w:left="578" w:hanging="578"/>
        </w:pPr>
        <w:rPr>
          <w:rFonts w:hint="default"/>
        </w:rPr>
      </w:lvl>
    </w:lvlOverride>
    <w:lvlOverride w:ilvl="1">
      <w:startOverride w:val="1"/>
      <w:lvl w:ilvl="1">
        <w:start w:val="1"/>
        <w:numFmt w:val="decimal"/>
        <w:pStyle w:val="amprH3Title2-Numbered-11"/>
        <w:lvlText w:val="%1.%2."/>
        <w:lvlJc w:val="left"/>
        <w:pPr>
          <w:ind w:left="1928" w:hanging="578"/>
        </w:pPr>
        <w:rPr>
          <w:rFonts w:hint="default"/>
        </w:rPr>
      </w:lvl>
    </w:lvlOverride>
    <w:lvlOverride w:ilvl="2">
      <w:startOverride w:val="1"/>
      <w:lvl w:ilvl="2">
        <w:start w:val="1"/>
        <w:numFmt w:val="decimal"/>
        <w:pStyle w:val="amprH4Subhead1-Numbered-111"/>
        <w:lvlText w:val="%1.%2.%3."/>
        <w:lvlJc w:val="left"/>
        <w:pPr>
          <w:ind w:left="578" w:hanging="578"/>
        </w:pPr>
        <w:rPr>
          <w:rFonts w:hint="default"/>
        </w:rPr>
      </w:lvl>
    </w:lvlOverride>
    <w:lvlOverride w:ilvl="3">
      <w:startOverride w:val="1"/>
      <w:lvl w:ilvl="3">
        <w:start w:val="1"/>
        <w:numFmt w:val="decimal"/>
        <w:pStyle w:val="amprH5Subhead2-Numbered-1111"/>
        <w:lvlText w:val="%1.%2.%3.%4."/>
        <w:lvlJc w:val="left"/>
        <w:pPr>
          <w:ind w:left="578" w:hanging="578"/>
        </w:pPr>
        <w:rPr>
          <w:rFonts w:hint="default"/>
        </w:rPr>
      </w:lvl>
    </w:lvlOverride>
    <w:lvlOverride w:ilvl="4">
      <w:startOverride w:val="1"/>
      <w:lvl w:ilvl="4">
        <w:start w:val="1"/>
        <w:numFmt w:val="lowerLetter"/>
        <w:lvlText w:val="(%5)"/>
        <w:lvlJc w:val="left"/>
        <w:pPr>
          <w:ind w:left="578" w:hanging="578"/>
        </w:pPr>
        <w:rPr>
          <w:rFonts w:hint="default"/>
        </w:rPr>
      </w:lvl>
    </w:lvlOverride>
    <w:lvlOverride w:ilvl="5">
      <w:startOverride w:val="1"/>
      <w:lvl w:ilvl="5">
        <w:start w:val="1"/>
        <w:numFmt w:val="lowerRoman"/>
        <w:lvlText w:val="(%6)"/>
        <w:lvlJc w:val="left"/>
        <w:pPr>
          <w:ind w:left="578" w:hanging="578"/>
        </w:pPr>
        <w:rPr>
          <w:rFonts w:hint="default"/>
        </w:rPr>
      </w:lvl>
    </w:lvlOverride>
    <w:lvlOverride w:ilvl="6">
      <w:startOverride w:val="1"/>
      <w:lvl w:ilvl="6">
        <w:start w:val="1"/>
        <w:numFmt w:val="decimal"/>
        <w:lvlText w:val="%7."/>
        <w:lvlJc w:val="left"/>
        <w:pPr>
          <w:ind w:left="578" w:hanging="578"/>
        </w:pPr>
        <w:rPr>
          <w:rFonts w:hint="default"/>
        </w:rPr>
      </w:lvl>
    </w:lvlOverride>
    <w:lvlOverride w:ilvl="7">
      <w:startOverride w:val="1"/>
      <w:lvl w:ilvl="7">
        <w:start w:val="1"/>
        <w:numFmt w:val="lowerLetter"/>
        <w:lvlText w:val="%8."/>
        <w:lvlJc w:val="left"/>
        <w:pPr>
          <w:ind w:left="578" w:hanging="578"/>
        </w:pPr>
        <w:rPr>
          <w:rFonts w:hint="default"/>
        </w:rPr>
      </w:lvl>
    </w:lvlOverride>
    <w:lvlOverride w:ilvl="8">
      <w:startOverride w:val="1"/>
      <w:lvl w:ilvl="8">
        <w:start w:val="1"/>
        <w:numFmt w:val="lowerRoman"/>
        <w:lvlText w:val="%9."/>
        <w:lvlJc w:val="left"/>
        <w:pPr>
          <w:ind w:left="578" w:hanging="578"/>
        </w:pPr>
        <w:rPr>
          <w:rFonts w:hint="default"/>
        </w:rPr>
      </w:lvl>
    </w:lvlOverride>
  </w:num>
  <w:num w:numId="25">
    <w:abstractNumId w:val="17"/>
  </w:num>
  <w:num w:numId="26">
    <w:abstractNumId w:val="29"/>
  </w:num>
  <w:num w:numId="27">
    <w:abstractNumId w:val="7"/>
  </w:num>
  <w:num w:numId="28">
    <w:abstractNumId w:val="11"/>
  </w:num>
  <w:num w:numId="29">
    <w:abstractNumId w:val="37"/>
    <w:lvlOverride w:ilvl="0">
      <w:lvl w:ilvl="0">
        <w:start w:val="1"/>
        <w:numFmt w:val="decimal"/>
        <w:pStyle w:val="amprH2TITLE1-Numbered-1"/>
        <w:lvlText w:val="%1."/>
        <w:lvlJc w:val="left"/>
        <w:pPr>
          <w:ind w:left="578" w:hanging="578"/>
        </w:pPr>
        <w:rPr>
          <w:rFonts w:hint="default"/>
        </w:rPr>
      </w:lvl>
    </w:lvlOverride>
    <w:lvlOverride w:ilvl="1">
      <w:lvl w:ilvl="1">
        <w:start w:val="1"/>
        <w:numFmt w:val="decimal"/>
        <w:pStyle w:val="amprH3Title2-Numbered-11"/>
        <w:lvlText w:val="%1.%2."/>
        <w:lvlJc w:val="left"/>
        <w:pPr>
          <w:ind w:left="3129" w:hanging="578"/>
        </w:pPr>
        <w:rPr>
          <w:rFonts w:hint="default"/>
        </w:rPr>
      </w:lvl>
    </w:lvlOverride>
    <w:lvlOverride w:ilvl="2">
      <w:lvl w:ilvl="2">
        <w:start w:val="1"/>
        <w:numFmt w:val="decimal"/>
        <w:pStyle w:val="amprH4Subhead1-Numbered-111"/>
        <w:lvlText w:val="%1.%2.%3."/>
        <w:lvlJc w:val="left"/>
        <w:pPr>
          <w:ind w:left="578" w:hanging="578"/>
        </w:pPr>
        <w:rPr>
          <w:rFonts w:hint="default"/>
        </w:rPr>
      </w:lvl>
    </w:lvlOverride>
    <w:lvlOverride w:ilvl="3">
      <w:lvl w:ilvl="3">
        <w:start w:val="1"/>
        <w:numFmt w:val="decimal"/>
        <w:pStyle w:val="amprH5Subhead2-Numbered-1111"/>
        <w:lvlText w:val="%1.%2.%3.%4."/>
        <w:lvlJc w:val="left"/>
        <w:pPr>
          <w:ind w:left="578" w:hanging="578"/>
        </w:pPr>
        <w:rPr>
          <w:rFonts w:hint="default"/>
        </w:rPr>
      </w:lvl>
    </w:lvlOverride>
    <w:lvlOverride w:ilvl="4">
      <w:lvl w:ilvl="4">
        <w:start w:val="1"/>
        <w:numFmt w:val="lowerLetter"/>
        <w:lvlText w:val="(%5)"/>
        <w:lvlJc w:val="left"/>
        <w:pPr>
          <w:ind w:left="578" w:hanging="578"/>
        </w:pPr>
        <w:rPr>
          <w:rFonts w:hint="default"/>
        </w:rPr>
      </w:lvl>
    </w:lvlOverride>
    <w:lvlOverride w:ilvl="5">
      <w:lvl w:ilvl="5">
        <w:start w:val="1"/>
        <w:numFmt w:val="lowerRoman"/>
        <w:lvlText w:val="(%6)"/>
        <w:lvlJc w:val="left"/>
        <w:pPr>
          <w:ind w:left="578" w:hanging="578"/>
        </w:pPr>
        <w:rPr>
          <w:rFonts w:hint="default"/>
        </w:rPr>
      </w:lvl>
    </w:lvlOverride>
    <w:lvlOverride w:ilvl="6">
      <w:lvl w:ilvl="6">
        <w:start w:val="1"/>
        <w:numFmt w:val="decimal"/>
        <w:lvlText w:val="%7."/>
        <w:lvlJc w:val="left"/>
        <w:pPr>
          <w:ind w:left="578" w:hanging="578"/>
        </w:pPr>
        <w:rPr>
          <w:rFonts w:hint="default"/>
        </w:rPr>
      </w:lvl>
    </w:lvlOverride>
    <w:lvlOverride w:ilvl="7">
      <w:lvl w:ilvl="7">
        <w:start w:val="1"/>
        <w:numFmt w:val="lowerLetter"/>
        <w:lvlText w:val="%8."/>
        <w:lvlJc w:val="left"/>
        <w:pPr>
          <w:ind w:left="578" w:hanging="578"/>
        </w:pPr>
        <w:rPr>
          <w:rFonts w:hint="default"/>
        </w:rPr>
      </w:lvl>
    </w:lvlOverride>
    <w:lvlOverride w:ilvl="8">
      <w:lvl w:ilvl="8">
        <w:start w:val="1"/>
        <w:numFmt w:val="lowerRoman"/>
        <w:lvlText w:val="%9."/>
        <w:lvlJc w:val="left"/>
        <w:pPr>
          <w:ind w:left="578" w:hanging="578"/>
        </w:pPr>
        <w:rPr>
          <w:rFonts w:hint="default"/>
        </w:rPr>
      </w:lvl>
    </w:lvlOverride>
  </w:num>
  <w:num w:numId="30">
    <w:abstractNumId w:val="23"/>
  </w:num>
  <w:num w:numId="31">
    <w:abstractNumId w:val="42"/>
  </w:num>
  <w:num w:numId="32">
    <w:abstractNumId w:val="4"/>
  </w:num>
  <w:num w:numId="3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fr-FR"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IP_META_DOC_TBL00001" w:val="&lt;OBJECT&gt;&lt;META&gt;&lt;ID&gt;&lt;/ID&gt;&lt;NAME&gt;DOC_TBL00001&lt;/NAME&gt;&lt;TYPE&gt;&lt;ID&gt;19&lt;/ID&gt;&lt;FRIENDLYNAME&gt;Table&lt;/FRIENDLYNAME&gt;&lt;LABEL&gt;&lt;/LABEL&gt;&lt;/TYPE&gt;&lt;STATUS&gt;NEW&lt;/STATUS&gt;&lt;INFO&gt;&lt;/INFO&gt;&lt;/META&gt;&lt;UPDATE&gt;&lt;DATE&gt;&lt;/DATE&gt;&lt;/UPDATE&gt;&lt;QUERIES&gt;&lt;META&gt;&lt;DATAPROVIDER&gt;&lt;/DATAPROVIDER&gt;&lt;/META&gt;&lt;QUERY reftype=&quot;&quot; elmntsel=&quot;&quot;&gt;&lt;META&gt;&lt;REFERENCE&gt;&lt;/REFERENCE&gt;&lt;/META&gt;&lt;SELECT&gt;&lt;/SELECT&gt;&lt;FILTERS&gt;&lt;FILTER&gt;&lt;/FILTER&gt;&lt;/FILTERS&gt;&lt;/QUERY&gt;&lt;/QUERIES&gt;&lt;/OBJECT&gt;"/>
    <w:docVar w:name="BIP_NAME_DOC_TBL00001" w:val="DOC_TBL00001"/>
    <w:docVar w:name="DocStatus" w:val="Green"/>
    <w:docVar w:name="EPKit_DocumentHasBeenSaved" w:val="true"/>
    <w:docVar w:name="LW_CORRIGENDUM" w:val="&lt;UNUSED&gt;"/>
    <w:docVar w:name="LW_COVERPAGE_EXISTS" w:val="True"/>
    <w:docVar w:name="LW_COVERPAGE_GUID" w:val="F215D3EE-C4D3-4249-BEAA-FD2238B54F89"/>
    <w:docVar w:name="LW_COVERPAGE_TYPE" w:val="1"/>
    <w:docVar w:name="LW_CROSSREFERENCE" w:val="&lt;UNUSED&gt;"/>
    <w:docVar w:name="LW_DocType" w:val="NORMAL"/>
    <w:docVar w:name="LW_EMISSION" w:val="3.7.2026"/>
    <w:docVar w:name="LW_EMISSION_ISODATE" w:val="2026-07-03"/>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évisions à long-terme concernant les entrées et les sorties futures du budget de l'UE (2027-2034)"/>
    <w:docVar w:name="LW_TYPE.DOC.CP" w:val="RAPPORT DE LA COMMISSION AU PARLEMENT EUROPÉEN ET AU CONSEIL"/>
    <w:docVar w:name="LwApiVersions" w:val="LW4CoDe 1.24.5.0; LW 9.2, Build 20251112"/>
  </w:docVars>
  <w:rsids>
    <w:rsidRoot w:val="00861C1C"/>
    <w:rsid w:val="00000084"/>
    <w:rsid w:val="0000049C"/>
    <w:rsid w:val="000006C8"/>
    <w:rsid w:val="00000A29"/>
    <w:rsid w:val="00000ABA"/>
    <w:rsid w:val="00000CC3"/>
    <w:rsid w:val="00001111"/>
    <w:rsid w:val="00001628"/>
    <w:rsid w:val="000016BA"/>
    <w:rsid w:val="0000173A"/>
    <w:rsid w:val="00001CB8"/>
    <w:rsid w:val="00002920"/>
    <w:rsid w:val="000031C6"/>
    <w:rsid w:val="000038B9"/>
    <w:rsid w:val="00003A3A"/>
    <w:rsid w:val="0000427E"/>
    <w:rsid w:val="000044B9"/>
    <w:rsid w:val="00004740"/>
    <w:rsid w:val="000049EE"/>
    <w:rsid w:val="00005289"/>
    <w:rsid w:val="00005B30"/>
    <w:rsid w:val="00005C72"/>
    <w:rsid w:val="000060EE"/>
    <w:rsid w:val="00006591"/>
    <w:rsid w:val="000065E5"/>
    <w:rsid w:val="000076D6"/>
    <w:rsid w:val="000078DA"/>
    <w:rsid w:val="00007927"/>
    <w:rsid w:val="00007AC4"/>
    <w:rsid w:val="00007BC5"/>
    <w:rsid w:val="00010499"/>
    <w:rsid w:val="0001064A"/>
    <w:rsid w:val="00010DF7"/>
    <w:rsid w:val="00010E4A"/>
    <w:rsid w:val="000116FD"/>
    <w:rsid w:val="00011B9A"/>
    <w:rsid w:val="000120AC"/>
    <w:rsid w:val="000121F6"/>
    <w:rsid w:val="00012859"/>
    <w:rsid w:val="000129A3"/>
    <w:rsid w:val="000129D9"/>
    <w:rsid w:val="00012A2F"/>
    <w:rsid w:val="00012A69"/>
    <w:rsid w:val="00012CFE"/>
    <w:rsid w:val="0001311A"/>
    <w:rsid w:val="0001333B"/>
    <w:rsid w:val="000133DA"/>
    <w:rsid w:val="00013455"/>
    <w:rsid w:val="000136FA"/>
    <w:rsid w:val="000138D0"/>
    <w:rsid w:val="00013B09"/>
    <w:rsid w:val="00013E11"/>
    <w:rsid w:val="000141FC"/>
    <w:rsid w:val="00014562"/>
    <w:rsid w:val="000149E8"/>
    <w:rsid w:val="00014AD4"/>
    <w:rsid w:val="0001532D"/>
    <w:rsid w:val="000154A5"/>
    <w:rsid w:val="000160AA"/>
    <w:rsid w:val="000166DB"/>
    <w:rsid w:val="00016A9C"/>
    <w:rsid w:val="00016CDF"/>
    <w:rsid w:val="00017155"/>
    <w:rsid w:val="000171F4"/>
    <w:rsid w:val="00017485"/>
    <w:rsid w:val="00017A93"/>
    <w:rsid w:val="000204A7"/>
    <w:rsid w:val="00020765"/>
    <w:rsid w:val="0002130B"/>
    <w:rsid w:val="000218A0"/>
    <w:rsid w:val="00021A1E"/>
    <w:rsid w:val="00021B76"/>
    <w:rsid w:val="00021BF4"/>
    <w:rsid w:val="00021C39"/>
    <w:rsid w:val="0002208B"/>
    <w:rsid w:val="000222C6"/>
    <w:rsid w:val="0002240C"/>
    <w:rsid w:val="00022828"/>
    <w:rsid w:val="00022929"/>
    <w:rsid w:val="00022B2C"/>
    <w:rsid w:val="00022C6A"/>
    <w:rsid w:val="00022CC8"/>
    <w:rsid w:val="000234DE"/>
    <w:rsid w:val="0002356E"/>
    <w:rsid w:val="00023846"/>
    <w:rsid w:val="00023933"/>
    <w:rsid w:val="0002421A"/>
    <w:rsid w:val="00024998"/>
    <w:rsid w:val="00024F5B"/>
    <w:rsid w:val="0002504F"/>
    <w:rsid w:val="000250D9"/>
    <w:rsid w:val="0002515B"/>
    <w:rsid w:val="000251AC"/>
    <w:rsid w:val="00025304"/>
    <w:rsid w:val="00025D24"/>
    <w:rsid w:val="00025E40"/>
    <w:rsid w:val="00026125"/>
    <w:rsid w:val="00026238"/>
    <w:rsid w:val="00026389"/>
    <w:rsid w:val="000264DA"/>
    <w:rsid w:val="000269EA"/>
    <w:rsid w:val="000275AB"/>
    <w:rsid w:val="00027D7F"/>
    <w:rsid w:val="00030372"/>
    <w:rsid w:val="00030492"/>
    <w:rsid w:val="00030655"/>
    <w:rsid w:val="000307A6"/>
    <w:rsid w:val="000308B5"/>
    <w:rsid w:val="0003120C"/>
    <w:rsid w:val="000312DE"/>
    <w:rsid w:val="0003131C"/>
    <w:rsid w:val="0003141A"/>
    <w:rsid w:val="000317A0"/>
    <w:rsid w:val="00031960"/>
    <w:rsid w:val="00031DEF"/>
    <w:rsid w:val="00032124"/>
    <w:rsid w:val="000323B5"/>
    <w:rsid w:val="00032437"/>
    <w:rsid w:val="00032FDA"/>
    <w:rsid w:val="00033473"/>
    <w:rsid w:val="00033614"/>
    <w:rsid w:val="00033691"/>
    <w:rsid w:val="0003394A"/>
    <w:rsid w:val="00033ED2"/>
    <w:rsid w:val="00033FA1"/>
    <w:rsid w:val="0003416D"/>
    <w:rsid w:val="00034699"/>
    <w:rsid w:val="000347AC"/>
    <w:rsid w:val="000347D7"/>
    <w:rsid w:val="000348CD"/>
    <w:rsid w:val="000349AC"/>
    <w:rsid w:val="00034BBD"/>
    <w:rsid w:val="00034DE6"/>
    <w:rsid w:val="00034DED"/>
    <w:rsid w:val="00034E69"/>
    <w:rsid w:val="00035027"/>
    <w:rsid w:val="0003512E"/>
    <w:rsid w:val="0003526F"/>
    <w:rsid w:val="00035687"/>
    <w:rsid w:val="00035780"/>
    <w:rsid w:val="0003581B"/>
    <w:rsid w:val="000359A2"/>
    <w:rsid w:val="00035A48"/>
    <w:rsid w:val="00035C52"/>
    <w:rsid w:val="000368CE"/>
    <w:rsid w:val="00036927"/>
    <w:rsid w:val="000369CD"/>
    <w:rsid w:val="00037063"/>
    <w:rsid w:val="00037080"/>
    <w:rsid w:val="000372D4"/>
    <w:rsid w:val="0003754E"/>
    <w:rsid w:val="000401E3"/>
    <w:rsid w:val="000404F5"/>
    <w:rsid w:val="0004056F"/>
    <w:rsid w:val="00040958"/>
    <w:rsid w:val="00040C10"/>
    <w:rsid w:val="00041326"/>
    <w:rsid w:val="00041435"/>
    <w:rsid w:val="000415FD"/>
    <w:rsid w:val="000416EA"/>
    <w:rsid w:val="00041CFB"/>
    <w:rsid w:val="00041D38"/>
    <w:rsid w:val="00042043"/>
    <w:rsid w:val="000420CA"/>
    <w:rsid w:val="00042328"/>
    <w:rsid w:val="0004237E"/>
    <w:rsid w:val="00042F93"/>
    <w:rsid w:val="00043ADE"/>
    <w:rsid w:val="000445AF"/>
    <w:rsid w:val="000450B9"/>
    <w:rsid w:val="0004515C"/>
    <w:rsid w:val="00045447"/>
    <w:rsid w:val="000455FA"/>
    <w:rsid w:val="0004577E"/>
    <w:rsid w:val="00045874"/>
    <w:rsid w:val="00045929"/>
    <w:rsid w:val="00046222"/>
    <w:rsid w:val="00046419"/>
    <w:rsid w:val="000465DC"/>
    <w:rsid w:val="00046678"/>
    <w:rsid w:val="00046765"/>
    <w:rsid w:val="00046A82"/>
    <w:rsid w:val="00046C5B"/>
    <w:rsid w:val="00046DD1"/>
    <w:rsid w:val="00046F0D"/>
    <w:rsid w:val="0004739D"/>
    <w:rsid w:val="00047698"/>
    <w:rsid w:val="000479B8"/>
    <w:rsid w:val="00047AA3"/>
    <w:rsid w:val="00047B85"/>
    <w:rsid w:val="00047D98"/>
    <w:rsid w:val="00047DC6"/>
    <w:rsid w:val="00047E39"/>
    <w:rsid w:val="00047F43"/>
    <w:rsid w:val="00050030"/>
    <w:rsid w:val="000504A1"/>
    <w:rsid w:val="00050F88"/>
    <w:rsid w:val="00051114"/>
    <w:rsid w:val="0005137F"/>
    <w:rsid w:val="000518C1"/>
    <w:rsid w:val="00051947"/>
    <w:rsid w:val="00051EC2"/>
    <w:rsid w:val="00051FEE"/>
    <w:rsid w:val="000524D3"/>
    <w:rsid w:val="00052918"/>
    <w:rsid w:val="0005329A"/>
    <w:rsid w:val="00053368"/>
    <w:rsid w:val="0005372A"/>
    <w:rsid w:val="00053911"/>
    <w:rsid w:val="000545C8"/>
    <w:rsid w:val="00054867"/>
    <w:rsid w:val="00054A4B"/>
    <w:rsid w:val="00055193"/>
    <w:rsid w:val="0005527E"/>
    <w:rsid w:val="000554B6"/>
    <w:rsid w:val="000555E8"/>
    <w:rsid w:val="00055606"/>
    <w:rsid w:val="00055626"/>
    <w:rsid w:val="00055777"/>
    <w:rsid w:val="00056482"/>
    <w:rsid w:val="000564D5"/>
    <w:rsid w:val="000568FA"/>
    <w:rsid w:val="00056B8F"/>
    <w:rsid w:val="00056C3C"/>
    <w:rsid w:val="000572D1"/>
    <w:rsid w:val="0005737A"/>
    <w:rsid w:val="000574A3"/>
    <w:rsid w:val="00057816"/>
    <w:rsid w:val="00057D47"/>
    <w:rsid w:val="00057D8B"/>
    <w:rsid w:val="00057FC1"/>
    <w:rsid w:val="000602FA"/>
    <w:rsid w:val="00060671"/>
    <w:rsid w:val="000606B3"/>
    <w:rsid w:val="00060745"/>
    <w:rsid w:val="0006097B"/>
    <w:rsid w:val="000610C7"/>
    <w:rsid w:val="00061293"/>
    <w:rsid w:val="000618A9"/>
    <w:rsid w:val="00061A1D"/>
    <w:rsid w:val="00061A38"/>
    <w:rsid w:val="00061E61"/>
    <w:rsid w:val="00061E74"/>
    <w:rsid w:val="00062399"/>
    <w:rsid w:val="0006292D"/>
    <w:rsid w:val="00062A09"/>
    <w:rsid w:val="00062ECB"/>
    <w:rsid w:val="00062FF7"/>
    <w:rsid w:val="000638F9"/>
    <w:rsid w:val="00064624"/>
    <w:rsid w:val="00064732"/>
    <w:rsid w:val="00064987"/>
    <w:rsid w:val="00064E2B"/>
    <w:rsid w:val="00064E5D"/>
    <w:rsid w:val="00065814"/>
    <w:rsid w:val="00065B6B"/>
    <w:rsid w:val="00066052"/>
    <w:rsid w:val="000662F1"/>
    <w:rsid w:val="00066549"/>
    <w:rsid w:val="000665D4"/>
    <w:rsid w:val="00066699"/>
    <w:rsid w:val="000668DD"/>
    <w:rsid w:val="00066964"/>
    <w:rsid w:val="00066994"/>
    <w:rsid w:val="00066CA9"/>
    <w:rsid w:val="00066D7C"/>
    <w:rsid w:val="00066F44"/>
    <w:rsid w:val="00067075"/>
    <w:rsid w:val="0006716E"/>
    <w:rsid w:val="00067470"/>
    <w:rsid w:val="00067D7E"/>
    <w:rsid w:val="00067EAC"/>
    <w:rsid w:val="00067F0D"/>
    <w:rsid w:val="00070083"/>
    <w:rsid w:val="000701AA"/>
    <w:rsid w:val="000708A2"/>
    <w:rsid w:val="000709C9"/>
    <w:rsid w:val="00070A1F"/>
    <w:rsid w:val="00070A92"/>
    <w:rsid w:val="00070AB2"/>
    <w:rsid w:val="00070B44"/>
    <w:rsid w:val="00070B9D"/>
    <w:rsid w:val="00070ED5"/>
    <w:rsid w:val="00071098"/>
    <w:rsid w:val="0007179C"/>
    <w:rsid w:val="00071890"/>
    <w:rsid w:val="00071C29"/>
    <w:rsid w:val="000720E1"/>
    <w:rsid w:val="000730B3"/>
    <w:rsid w:val="00073220"/>
    <w:rsid w:val="0007330F"/>
    <w:rsid w:val="000734B5"/>
    <w:rsid w:val="00073D47"/>
    <w:rsid w:val="000742E1"/>
    <w:rsid w:val="00074316"/>
    <w:rsid w:val="000743C1"/>
    <w:rsid w:val="000744DC"/>
    <w:rsid w:val="0007454A"/>
    <w:rsid w:val="00074599"/>
    <w:rsid w:val="000745D3"/>
    <w:rsid w:val="000745FE"/>
    <w:rsid w:val="00074948"/>
    <w:rsid w:val="000749D8"/>
    <w:rsid w:val="00074BB5"/>
    <w:rsid w:val="00074BC0"/>
    <w:rsid w:val="00074C13"/>
    <w:rsid w:val="00074CAE"/>
    <w:rsid w:val="00074F20"/>
    <w:rsid w:val="0007529A"/>
    <w:rsid w:val="000758D3"/>
    <w:rsid w:val="00075C07"/>
    <w:rsid w:val="00075C95"/>
    <w:rsid w:val="00075CC3"/>
    <w:rsid w:val="00076BF1"/>
    <w:rsid w:val="00076F21"/>
    <w:rsid w:val="00077191"/>
    <w:rsid w:val="0007743B"/>
    <w:rsid w:val="00077A8D"/>
    <w:rsid w:val="00077BC2"/>
    <w:rsid w:val="000800DE"/>
    <w:rsid w:val="00080427"/>
    <w:rsid w:val="0008086D"/>
    <w:rsid w:val="000808B7"/>
    <w:rsid w:val="000808C7"/>
    <w:rsid w:val="00080BDF"/>
    <w:rsid w:val="00080D1F"/>
    <w:rsid w:val="00080E68"/>
    <w:rsid w:val="0008152E"/>
    <w:rsid w:val="00081986"/>
    <w:rsid w:val="00081991"/>
    <w:rsid w:val="00081A23"/>
    <w:rsid w:val="00081AF3"/>
    <w:rsid w:val="00081D8B"/>
    <w:rsid w:val="00081EA0"/>
    <w:rsid w:val="00082240"/>
    <w:rsid w:val="000823CB"/>
    <w:rsid w:val="00082D5D"/>
    <w:rsid w:val="00082EA6"/>
    <w:rsid w:val="0008328F"/>
    <w:rsid w:val="00083738"/>
    <w:rsid w:val="00083825"/>
    <w:rsid w:val="00083D3B"/>
    <w:rsid w:val="00084648"/>
    <w:rsid w:val="0008481E"/>
    <w:rsid w:val="00084C5A"/>
    <w:rsid w:val="00084E4F"/>
    <w:rsid w:val="00084FDF"/>
    <w:rsid w:val="00085497"/>
    <w:rsid w:val="00085A68"/>
    <w:rsid w:val="00085BAD"/>
    <w:rsid w:val="00085BBB"/>
    <w:rsid w:val="00086654"/>
    <w:rsid w:val="000869E8"/>
    <w:rsid w:val="00087161"/>
    <w:rsid w:val="00087931"/>
    <w:rsid w:val="00087B75"/>
    <w:rsid w:val="00087CC4"/>
    <w:rsid w:val="00087D9E"/>
    <w:rsid w:val="00087DB3"/>
    <w:rsid w:val="00087E64"/>
    <w:rsid w:val="00090774"/>
    <w:rsid w:val="00090941"/>
    <w:rsid w:val="00090942"/>
    <w:rsid w:val="00090B24"/>
    <w:rsid w:val="00090BBD"/>
    <w:rsid w:val="000910BD"/>
    <w:rsid w:val="000913AB"/>
    <w:rsid w:val="0009143F"/>
    <w:rsid w:val="000915EB"/>
    <w:rsid w:val="00091DEE"/>
    <w:rsid w:val="00091E21"/>
    <w:rsid w:val="00091E6C"/>
    <w:rsid w:val="000922B4"/>
    <w:rsid w:val="00092371"/>
    <w:rsid w:val="0009281B"/>
    <w:rsid w:val="000929A2"/>
    <w:rsid w:val="00092C16"/>
    <w:rsid w:val="00092CEE"/>
    <w:rsid w:val="00093323"/>
    <w:rsid w:val="000935DC"/>
    <w:rsid w:val="00093736"/>
    <w:rsid w:val="000938FC"/>
    <w:rsid w:val="00093A93"/>
    <w:rsid w:val="00093CB9"/>
    <w:rsid w:val="00093D75"/>
    <w:rsid w:val="00093FB0"/>
    <w:rsid w:val="0009415B"/>
    <w:rsid w:val="000943D1"/>
    <w:rsid w:val="000948AE"/>
    <w:rsid w:val="00094C0E"/>
    <w:rsid w:val="00094C1B"/>
    <w:rsid w:val="00094F80"/>
    <w:rsid w:val="00095E62"/>
    <w:rsid w:val="00096193"/>
    <w:rsid w:val="00096199"/>
    <w:rsid w:val="0009640A"/>
    <w:rsid w:val="000965ED"/>
    <w:rsid w:val="00096E57"/>
    <w:rsid w:val="000974A7"/>
    <w:rsid w:val="000975BF"/>
    <w:rsid w:val="000978A9"/>
    <w:rsid w:val="000978AC"/>
    <w:rsid w:val="00097BCE"/>
    <w:rsid w:val="000A00D5"/>
    <w:rsid w:val="000A0266"/>
    <w:rsid w:val="000A0959"/>
    <w:rsid w:val="000A0C93"/>
    <w:rsid w:val="000A0EDD"/>
    <w:rsid w:val="000A0FBF"/>
    <w:rsid w:val="000A1D7E"/>
    <w:rsid w:val="000A1F9F"/>
    <w:rsid w:val="000A1FB6"/>
    <w:rsid w:val="000A2830"/>
    <w:rsid w:val="000A2BF8"/>
    <w:rsid w:val="000A2D2A"/>
    <w:rsid w:val="000A327D"/>
    <w:rsid w:val="000A3407"/>
    <w:rsid w:val="000A353D"/>
    <w:rsid w:val="000A36C4"/>
    <w:rsid w:val="000A370D"/>
    <w:rsid w:val="000A3909"/>
    <w:rsid w:val="000A3928"/>
    <w:rsid w:val="000A3C77"/>
    <w:rsid w:val="000A3D27"/>
    <w:rsid w:val="000A429A"/>
    <w:rsid w:val="000A43A6"/>
    <w:rsid w:val="000A447A"/>
    <w:rsid w:val="000A4481"/>
    <w:rsid w:val="000A44D1"/>
    <w:rsid w:val="000A492F"/>
    <w:rsid w:val="000A4EE2"/>
    <w:rsid w:val="000A508B"/>
    <w:rsid w:val="000A537B"/>
    <w:rsid w:val="000A541F"/>
    <w:rsid w:val="000A55BB"/>
    <w:rsid w:val="000A55CE"/>
    <w:rsid w:val="000A57B5"/>
    <w:rsid w:val="000A5E1F"/>
    <w:rsid w:val="000A612F"/>
    <w:rsid w:val="000A6162"/>
    <w:rsid w:val="000A618C"/>
    <w:rsid w:val="000A6B20"/>
    <w:rsid w:val="000A6C44"/>
    <w:rsid w:val="000A6E7C"/>
    <w:rsid w:val="000A747D"/>
    <w:rsid w:val="000A7546"/>
    <w:rsid w:val="000A774A"/>
    <w:rsid w:val="000A7761"/>
    <w:rsid w:val="000B0645"/>
    <w:rsid w:val="000B081F"/>
    <w:rsid w:val="000B0C18"/>
    <w:rsid w:val="000B0DE2"/>
    <w:rsid w:val="000B0E7B"/>
    <w:rsid w:val="000B119F"/>
    <w:rsid w:val="000B1704"/>
    <w:rsid w:val="000B19D8"/>
    <w:rsid w:val="000B1D39"/>
    <w:rsid w:val="000B21E8"/>
    <w:rsid w:val="000B22F4"/>
    <w:rsid w:val="000B26C8"/>
    <w:rsid w:val="000B2A7A"/>
    <w:rsid w:val="000B32D8"/>
    <w:rsid w:val="000B37BC"/>
    <w:rsid w:val="000B455D"/>
    <w:rsid w:val="000B4DE2"/>
    <w:rsid w:val="000B557F"/>
    <w:rsid w:val="000B587F"/>
    <w:rsid w:val="000B590E"/>
    <w:rsid w:val="000B5B5B"/>
    <w:rsid w:val="000B5D89"/>
    <w:rsid w:val="000B5D95"/>
    <w:rsid w:val="000B6738"/>
    <w:rsid w:val="000B6B5A"/>
    <w:rsid w:val="000B713E"/>
    <w:rsid w:val="000B716E"/>
    <w:rsid w:val="000B74AC"/>
    <w:rsid w:val="000B7556"/>
    <w:rsid w:val="000B7800"/>
    <w:rsid w:val="000B7BB2"/>
    <w:rsid w:val="000B7BC0"/>
    <w:rsid w:val="000C0170"/>
    <w:rsid w:val="000C01C5"/>
    <w:rsid w:val="000C0236"/>
    <w:rsid w:val="000C028A"/>
    <w:rsid w:val="000C0A0B"/>
    <w:rsid w:val="000C0B70"/>
    <w:rsid w:val="000C0E5F"/>
    <w:rsid w:val="000C12C9"/>
    <w:rsid w:val="000C16B7"/>
    <w:rsid w:val="000C1AFD"/>
    <w:rsid w:val="000C216A"/>
    <w:rsid w:val="000C2486"/>
    <w:rsid w:val="000C255E"/>
    <w:rsid w:val="000C29EF"/>
    <w:rsid w:val="000C2BF2"/>
    <w:rsid w:val="000C2E30"/>
    <w:rsid w:val="000C3008"/>
    <w:rsid w:val="000C304E"/>
    <w:rsid w:val="000C3509"/>
    <w:rsid w:val="000C3988"/>
    <w:rsid w:val="000C3D54"/>
    <w:rsid w:val="000C3D97"/>
    <w:rsid w:val="000C3F19"/>
    <w:rsid w:val="000C3FEB"/>
    <w:rsid w:val="000C4144"/>
    <w:rsid w:val="000C4176"/>
    <w:rsid w:val="000C45E0"/>
    <w:rsid w:val="000C4AED"/>
    <w:rsid w:val="000C5260"/>
    <w:rsid w:val="000C5746"/>
    <w:rsid w:val="000C59D1"/>
    <w:rsid w:val="000C5D10"/>
    <w:rsid w:val="000C5EC9"/>
    <w:rsid w:val="000C60E2"/>
    <w:rsid w:val="000C6795"/>
    <w:rsid w:val="000C6BDD"/>
    <w:rsid w:val="000C710C"/>
    <w:rsid w:val="000C719C"/>
    <w:rsid w:val="000C745D"/>
    <w:rsid w:val="000C790B"/>
    <w:rsid w:val="000C7984"/>
    <w:rsid w:val="000D0543"/>
    <w:rsid w:val="000D0C52"/>
    <w:rsid w:val="000D0CAC"/>
    <w:rsid w:val="000D0CC4"/>
    <w:rsid w:val="000D0D5F"/>
    <w:rsid w:val="000D0DD8"/>
    <w:rsid w:val="000D11F5"/>
    <w:rsid w:val="000D12F6"/>
    <w:rsid w:val="000D2268"/>
    <w:rsid w:val="000D24A0"/>
    <w:rsid w:val="000D256C"/>
    <w:rsid w:val="000D29CE"/>
    <w:rsid w:val="000D2DB2"/>
    <w:rsid w:val="000D30AF"/>
    <w:rsid w:val="000D33A2"/>
    <w:rsid w:val="000D33AA"/>
    <w:rsid w:val="000D3804"/>
    <w:rsid w:val="000D3854"/>
    <w:rsid w:val="000D3B83"/>
    <w:rsid w:val="000D3BA2"/>
    <w:rsid w:val="000D414F"/>
    <w:rsid w:val="000D4241"/>
    <w:rsid w:val="000D4675"/>
    <w:rsid w:val="000D49E4"/>
    <w:rsid w:val="000D4F3B"/>
    <w:rsid w:val="000D5073"/>
    <w:rsid w:val="000D5D71"/>
    <w:rsid w:val="000D69C5"/>
    <w:rsid w:val="000D6B02"/>
    <w:rsid w:val="000D70ED"/>
    <w:rsid w:val="000D730A"/>
    <w:rsid w:val="000D761E"/>
    <w:rsid w:val="000D7C39"/>
    <w:rsid w:val="000E0051"/>
    <w:rsid w:val="000E043B"/>
    <w:rsid w:val="000E049E"/>
    <w:rsid w:val="000E0738"/>
    <w:rsid w:val="000E08AC"/>
    <w:rsid w:val="000E094F"/>
    <w:rsid w:val="000E09A9"/>
    <w:rsid w:val="000E0A97"/>
    <w:rsid w:val="000E0B29"/>
    <w:rsid w:val="000E0B7C"/>
    <w:rsid w:val="000E0E21"/>
    <w:rsid w:val="000E1883"/>
    <w:rsid w:val="000E1C22"/>
    <w:rsid w:val="000E1CFD"/>
    <w:rsid w:val="000E1D7F"/>
    <w:rsid w:val="000E1FA5"/>
    <w:rsid w:val="000E2508"/>
    <w:rsid w:val="000E282C"/>
    <w:rsid w:val="000E333B"/>
    <w:rsid w:val="000E3677"/>
    <w:rsid w:val="000E3863"/>
    <w:rsid w:val="000E3BCE"/>
    <w:rsid w:val="000E3C1A"/>
    <w:rsid w:val="000E3D37"/>
    <w:rsid w:val="000E4004"/>
    <w:rsid w:val="000E4651"/>
    <w:rsid w:val="000E4EE5"/>
    <w:rsid w:val="000E4F78"/>
    <w:rsid w:val="000E505C"/>
    <w:rsid w:val="000E5608"/>
    <w:rsid w:val="000E5642"/>
    <w:rsid w:val="000E5A46"/>
    <w:rsid w:val="000E661D"/>
    <w:rsid w:val="000E6CBD"/>
    <w:rsid w:val="000E6D78"/>
    <w:rsid w:val="000E6E2D"/>
    <w:rsid w:val="000E704D"/>
    <w:rsid w:val="000E7070"/>
    <w:rsid w:val="000E7211"/>
    <w:rsid w:val="000E76F7"/>
    <w:rsid w:val="000E7768"/>
    <w:rsid w:val="000E78EC"/>
    <w:rsid w:val="000E7C8E"/>
    <w:rsid w:val="000E7CF4"/>
    <w:rsid w:val="000F0036"/>
    <w:rsid w:val="000F03F6"/>
    <w:rsid w:val="000F056E"/>
    <w:rsid w:val="000F079D"/>
    <w:rsid w:val="000F0AC0"/>
    <w:rsid w:val="000F0C6F"/>
    <w:rsid w:val="000F0D09"/>
    <w:rsid w:val="000F0EC4"/>
    <w:rsid w:val="000F0ED7"/>
    <w:rsid w:val="000F0F55"/>
    <w:rsid w:val="000F0FD4"/>
    <w:rsid w:val="000F1252"/>
    <w:rsid w:val="000F16BF"/>
    <w:rsid w:val="000F19BC"/>
    <w:rsid w:val="000F1B6B"/>
    <w:rsid w:val="000F1B8E"/>
    <w:rsid w:val="000F1C4D"/>
    <w:rsid w:val="000F2B22"/>
    <w:rsid w:val="000F2C66"/>
    <w:rsid w:val="000F3399"/>
    <w:rsid w:val="000F3405"/>
    <w:rsid w:val="000F3B85"/>
    <w:rsid w:val="000F4076"/>
    <w:rsid w:val="000F47C5"/>
    <w:rsid w:val="000F483E"/>
    <w:rsid w:val="000F533A"/>
    <w:rsid w:val="000F5600"/>
    <w:rsid w:val="000F57E0"/>
    <w:rsid w:val="000F589D"/>
    <w:rsid w:val="000F5B3B"/>
    <w:rsid w:val="000F5E7C"/>
    <w:rsid w:val="000F6403"/>
    <w:rsid w:val="000F73DF"/>
    <w:rsid w:val="000F7C27"/>
    <w:rsid w:val="000F7FC2"/>
    <w:rsid w:val="000F7FE0"/>
    <w:rsid w:val="000FF74C"/>
    <w:rsid w:val="001003B0"/>
    <w:rsid w:val="001004DB"/>
    <w:rsid w:val="00100819"/>
    <w:rsid w:val="00100F4A"/>
    <w:rsid w:val="001015FB"/>
    <w:rsid w:val="0010199A"/>
    <w:rsid w:val="00101A15"/>
    <w:rsid w:val="00101BDF"/>
    <w:rsid w:val="00101C7E"/>
    <w:rsid w:val="00101D97"/>
    <w:rsid w:val="00101F0F"/>
    <w:rsid w:val="00102AE9"/>
    <w:rsid w:val="00102BA0"/>
    <w:rsid w:val="00102EA5"/>
    <w:rsid w:val="0010345E"/>
    <w:rsid w:val="00103527"/>
    <w:rsid w:val="00103668"/>
    <w:rsid w:val="0010393C"/>
    <w:rsid w:val="00103AB5"/>
    <w:rsid w:val="00103D4F"/>
    <w:rsid w:val="00103E2B"/>
    <w:rsid w:val="00103EBF"/>
    <w:rsid w:val="00104CCB"/>
    <w:rsid w:val="00105276"/>
    <w:rsid w:val="00105396"/>
    <w:rsid w:val="001058B3"/>
    <w:rsid w:val="0010648A"/>
    <w:rsid w:val="0010689B"/>
    <w:rsid w:val="00106D51"/>
    <w:rsid w:val="00106E8F"/>
    <w:rsid w:val="00107274"/>
    <w:rsid w:val="00107282"/>
    <w:rsid w:val="0010744F"/>
    <w:rsid w:val="001079FD"/>
    <w:rsid w:val="001079FF"/>
    <w:rsid w:val="00107B6A"/>
    <w:rsid w:val="00107B7A"/>
    <w:rsid w:val="00107D30"/>
    <w:rsid w:val="00107DE5"/>
    <w:rsid w:val="001104DC"/>
    <w:rsid w:val="001104FB"/>
    <w:rsid w:val="0011054B"/>
    <w:rsid w:val="00110615"/>
    <w:rsid w:val="00110887"/>
    <w:rsid w:val="001109BE"/>
    <w:rsid w:val="00110D03"/>
    <w:rsid w:val="00110DAD"/>
    <w:rsid w:val="0011112E"/>
    <w:rsid w:val="001113C8"/>
    <w:rsid w:val="001118B7"/>
    <w:rsid w:val="00111A24"/>
    <w:rsid w:val="00111C38"/>
    <w:rsid w:val="00111E6F"/>
    <w:rsid w:val="00112098"/>
    <w:rsid w:val="00112997"/>
    <w:rsid w:val="00112A92"/>
    <w:rsid w:val="00112B10"/>
    <w:rsid w:val="00112CEC"/>
    <w:rsid w:val="00113401"/>
    <w:rsid w:val="00113604"/>
    <w:rsid w:val="00113F07"/>
    <w:rsid w:val="0011452D"/>
    <w:rsid w:val="00114742"/>
    <w:rsid w:val="00114BE9"/>
    <w:rsid w:val="00114C36"/>
    <w:rsid w:val="001151CE"/>
    <w:rsid w:val="001152A0"/>
    <w:rsid w:val="0011536A"/>
    <w:rsid w:val="001158D7"/>
    <w:rsid w:val="00115C0B"/>
    <w:rsid w:val="0011621C"/>
    <w:rsid w:val="00116234"/>
    <w:rsid w:val="001163D7"/>
    <w:rsid w:val="00116543"/>
    <w:rsid w:val="00116765"/>
    <w:rsid w:val="0011721E"/>
    <w:rsid w:val="00117494"/>
    <w:rsid w:val="0011764A"/>
    <w:rsid w:val="001178BE"/>
    <w:rsid w:val="00117CCE"/>
    <w:rsid w:val="00117E8C"/>
    <w:rsid w:val="0012084A"/>
    <w:rsid w:val="00120992"/>
    <w:rsid w:val="00120A35"/>
    <w:rsid w:val="00121371"/>
    <w:rsid w:val="00121624"/>
    <w:rsid w:val="00121825"/>
    <w:rsid w:val="00121872"/>
    <w:rsid w:val="00121C4E"/>
    <w:rsid w:val="00121E96"/>
    <w:rsid w:val="00121F08"/>
    <w:rsid w:val="00122108"/>
    <w:rsid w:val="00122173"/>
    <w:rsid w:val="001226D8"/>
    <w:rsid w:val="0012270B"/>
    <w:rsid w:val="001229C2"/>
    <w:rsid w:val="00123619"/>
    <w:rsid w:val="0012367F"/>
    <w:rsid w:val="00123B55"/>
    <w:rsid w:val="00123CCC"/>
    <w:rsid w:val="00123DED"/>
    <w:rsid w:val="00123E35"/>
    <w:rsid w:val="0012444D"/>
    <w:rsid w:val="0012451B"/>
    <w:rsid w:val="00124B49"/>
    <w:rsid w:val="00125185"/>
    <w:rsid w:val="00125196"/>
    <w:rsid w:val="00125427"/>
    <w:rsid w:val="0012555E"/>
    <w:rsid w:val="001256CF"/>
    <w:rsid w:val="001259FC"/>
    <w:rsid w:val="00125F6C"/>
    <w:rsid w:val="00126030"/>
    <w:rsid w:val="001265D5"/>
    <w:rsid w:val="001268F8"/>
    <w:rsid w:val="00126EBC"/>
    <w:rsid w:val="0012728A"/>
    <w:rsid w:val="001272C6"/>
    <w:rsid w:val="001277EF"/>
    <w:rsid w:val="001278BA"/>
    <w:rsid w:val="00127E20"/>
    <w:rsid w:val="00130297"/>
    <w:rsid w:val="001302AB"/>
    <w:rsid w:val="0013033B"/>
    <w:rsid w:val="00130570"/>
    <w:rsid w:val="001305D4"/>
    <w:rsid w:val="0013061F"/>
    <w:rsid w:val="0013080F"/>
    <w:rsid w:val="00130C93"/>
    <w:rsid w:val="00130E13"/>
    <w:rsid w:val="00130F58"/>
    <w:rsid w:val="001312A1"/>
    <w:rsid w:val="001312CB"/>
    <w:rsid w:val="00131691"/>
    <w:rsid w:val="00131A1A"/>
    <w:rsid w:val="00131BAA"/>
    <w:rsid w:val="00131BC4"/>
    <w:rsid w:val="00131C3D"/>
    <w:rsid w:val="001324A5"/>
    <w:rsid w:val="001330B6"/>
    <w:rsid w:val="001333DB"/>
    <w:rsid w:val="0013387B"/>
    <w:rsid w:val="00133888"/>
    <w:rsid w:val="001338BC"/>
    <w:rsid w:val="00133919"/>
    <w:rsid w:val="00133C0C"/>
    <w:rsid w:val="00133D6B"/>
    <w:rsid w:val="001341AF"/>
    <w:rsid w:val="00134393"/>
    <w:rsid w:val="00134495"/>
    <w:rsid w:val="00134526"/>
    <w:rsid w:val="001346F7"/>
    <w:rsid w:val="00134AB5"/>
    <w:rsid w:val="00134B85"/>
    <w:rsid w:val="001354E7"/>
    <w:rsid w:val="00135507"/>
    <w:rsid w:val="00135A8C"/>
    <w:rsid w:val="001362B9"/>
    <w:rsid w:val="001363EF"/>
    <w:rsid w:val="001366AA"/>
    <w:rsid w:val="001367DD"/>
    <w:rsid w:val="00136A7A"/>
    <w:rsid w:val="0013760E"/>
    <w:rsid w:val="0013789C"/>
    <w:rsid w:val="001406A5"/>
    <w:rsid w:val="001408C7"/>
    <w:rsid w:val="001409CB"/>
    <w:rsid w:val="00140A5B"/>
    <w:rsid w:val="00140C66"/>
    <w:rsid w:val="00140F3D"/>
    <w:rsid w:val="00141993"/>
    <w:rsid w:val="001419CC"/>
    <w:rsid w:val="00141D62"/>
    <w:rsid w:val="00141EFF"/>
    <w:rsid w:val="0014232A"/>
    <w:rsid w:val="001425F5"/>
    <w:rsid w:val="0014289A"/>
    <w:rsid w:val="00143176"/>
    <w:rsid w:val="001435D9"/>
    <w:rsid w:val="001435E2"/>
    <w:rsid w:val="00143809"/>
    <w:rsid w:val="001442CD"/>
    <w:rsid w:val="001442E5"/>
    <w:rsid w:val="001444AB"/>
    <w:rsid w:val="00144D2D"/>
    <w:rsid w:val="00145414"/>
    <w:rsid w:val="001458C2"/>
    <w:rsid w:val="00145DC3"/>
    <w:rsid w:val="00145E04"/>
    <w:rsid w:val="0014672C"/>
    <w:rsid w:val="00146FB5"/>
    <w:rsid w:val="00147153"/>
    <w:rsid w:val="00147C2D"/>
    <w:rsid w:val="00147C53"/>
    <w:rsid w:val="00147D5C"/>
    <w:rsid w:val="00147DC3"/>
    <w:rsid w:val="001500D7"/>
    <w:rsid w:val="00150326"/>
    <w:rsid w:val="001506F3"/>
    <w:rsid w:val="00150CDA"/>
    <w:rsid w:val="00150D53"/>
    <w:rsid w:val="0015139C"/>
    <w:rsid w:val="001513FC"/>
    <w:rsid w:val="0015140C"/>
    <w:rsid w:val="001514C1"/>
    <w:rsid w:val="001522E0"/>
    <w:rsid w:val="0015255E"/>
    <w:rsid w:val="0015276F"/>
    <w:rsid w:val="00152ABF"/>
    <w:rsid w:val="00153186"/>
    <w:rsid w:val="0015329B"/>
    <w:rsid w:val="001532A0"/>
    <w:rsid w:val="00153364"/>
    <w:rsid w:val="0015341B"/>
    <w:rsid w:val="00153799"/>
    <w:rsid w:val="00153ACE"/>
    <w:rsid w:val="00153C23"/>
    <w:rsid w:val="00154046"/>
    <w:rsid w:val="00154784"/>
    <w:rsid w:val="0015499C"/>
    <w:rsid w:val="00154AA0"/>
    <w:rsid w:val="00154B38"/>
    <w:rsid w:val="00154BB1"/>
    <w:rsid w:val="00154D0B"/>
    <w:rsid w:val="00155004"/>
    <w:rsid w:val="00155439"/>
    <w:rsid w:val="00155894"/>
    <w:rsid w:val="00155F33"/>
    <w:rsid w:val="00155F90"/>
    <w:rsid w:val="0015627B"/>
    <w:rsid w:val="001564C3"/>
    <w:rsid w:val="00156A07"/>
    <w:rsid w:val="00156A43"/>
    <w:rsid w:val="00156A98"/>
    <w:rsid w:val="00156ACF"/>
    <w:rsid w:val="00156DB7"/>
    <w:rsid w:val="00157914"/>
    <w:rsid w:val="00157E6F"/>
    <w:rsid w:val="00157EB7"/>
    <w:rsid w:val="001600D5"/>
    <w:rsid w:val="0016015A"/>
    <w:rsid w:val="00160213"/>
    <w:rsid w:val="001604B0"/>
    <w:rsid w:val="001606E3"/>
    <w:rsid w:val="00160AC8"/>
    <w:rsid w:val="00160CE3"/>
    <w:rsid w:val="00161198"/>
    <w:rsid w:val="001614C1"/>
    <w:rsid w:val="001616DD"/>
    <w:rsid w:val="00161995"/>
    <w:rsid w:val="00161E51"/>
    <w:rsid w:val="0016215F"/>
    <w:rsid w:val="001623E1"/>
    <w:rsid w:val="00162462"/>
    <w:rsid w:val="00162AB2"/>
    <w:rsid w:val="00162B6B"/>
    <w:rsid w:val="00162B95"/>
    <w:rsid w:val="0016305F"/>
    <w:rsid w:val="00163375"/>
    <w:rsid w:val="00163427"/>
    <w:rsid w:val="00163FBD"/>
    <w:rsid w:val="00164013"/>
    <w:rsid w:val="0016421D"/>
    <w:rsid w:val="00164270"/>
    <w:rsid w:val="001643B2"/>
    <w:rsid w:val="001645FF"/>
    <w:rsid w:val="00164A6B"/>
    <w:rsid w:val="00164E0D"/>
    <w:rsid w:val="00164EE1"/>
    <w:rsid w:val="00165115"/>
    <w:rsid w:val="001653C9"/>
    <w:rsid w:val="00165480"/>
    <w:rsid w:val="00165893"/>
    <w:rsid w:val="00165902"/>
    <w:rsid w:val="00165BC1"/>
    <w:rsid w:val="00165CB5"/>
    <w:rsid w:val="00165DDF"/>
    <w:rsid w:val="00166293"/>
    <w:rsid w:val="0016683D"/>
    <w:rsid w:val="0016692E"/>
    <w:rsid w:val="00166ED4"/>
    <w:rsid w:val="0016722E"/>
    <w:rsid w:val="001679D7"/>
    <w:rsid w:val="00167F53"/>
    <w:rsid w:val="001701AE"/>
    <w:rsid w:val="00170270"/>
    <w:rsid w:val="001708F3"/>
    <w:rsid w:val="00170AAC"/>
    <w:rsid w:val="00170CAA"/>
    <w:rsid w:val="00170D10"/>
    <w:rsid w:val="001713D8"/>
    <w:rsid w:val="00171592"/>
    <w:rsid w:val="001716B2"/>
    <w:rsid w:val="001717DD"/>
    <w:rsid w:val="001717F5"/>
    <w:rsid w:val="00171A60"/>
    <w:rsid w:val="00171BCE"/>
    <w:rsid w:val="00171DFF"/>
    <w:rsid w:val="00172067"/>
    <w:rsid w:val="00172090"/>
    <w:rsid w:val="001726EF"/>
    <w:rsid w:val="00172A1B"/>
    <w:rsid w:val="00172ED6"/>
    <w:rsid w:val="001730D3"/>
    <w:rsid w:val="00173367"/>
    <w:rsid w:val="0017361E"/>
    <w:rsid w:val="00173B1C"/>
    <w:rsid w:val="00173CD6"/>
    <w:rsid w:val="00173D35"/>
    <w:rsid w:val="00173F37"/>
    <w:rsid w:val="001744ED"/>
    <w:rsid w:val="0017463B"/>
    <w:rsid w:val="0017527D"/>
    <w:rsid w:val="00175676"/>
    <w:rsid w:val="001756CA"/>
    <w:rsid w:val="001758D9"/>
    <w:rsid w:val="00175F35"/>
    <w:rsid w:val="00176093"/>
    <w:rsid w:val="00176191"/>
    <w:rsid w:val="001762C0"/>
    <w:rsid w:val="001764DA"/>
    <w:rsid w:val="001769DE"/>
    <w:rsid w:val="00176A64"/>
    <w:rsid w:val="00176A6E"/>
    <w:rsid w:val="00176D3B"/>
    <w:rsid w:val="00176EBE"/>
    <w:rsid w:val="00176F2D"/>
    <w:rsid w:val="001773C0"/>
    <w:rsid w:val="00177400"/>
    <w:rsid w:val="00177476"/>
    <w:rsid w:val="00177514"/>
    <w:rsid w:val="0017791E"/>
    <w:rsid w:val="00177B4A"/>
    <w:rsid w:val="00177B64"/>
    <w:rsid w:val="00177D53"/>
    <w:rsid w:val="00177EBF"/>
    <w:rsid w:val="00177F4C"/>
    <w:rsid w:val="001801AA"/>
    <w:rsid w:val="00180251"/>
    <w:rsid w:val="00180259"/>
    <w:rsid w:val="0018062F"/>
    <w:rsid w:val="00180738"/>
    <w:rsid w:val="0018074F"/>
    <w:rsid w:val="00180A68"/>
    <w:rsid w:val="00180CA0"/>
    <w:rsid w:val="00180D73"/>
    <w:rsid w:val="00180E63"/>
    <w:rsid w:val="001812BC"/>
    <w:rsid w:val="0018135B"/>
    <w:rsid w:val="00181366"/>
    <w:rsid w:val="00181891"/>
    <w:rsid w:val="00181A0E"/>
    <w:rsid w:val="00181E45"/>
    <w:rsid w:val="00182197"/>
    <w:rsid w:val="001827CB"/>
    <w:rsid w:val="001828C1"/>
    <w:rsid w:val="00182A74"/>
    <w:rsid w:val="001831F5"/>
    <w:rsid w:val="00183246"/>
    <w:rsid w:val="0018346B"/>
    <w:rsid w:val="0018366C"/>
    <w:rsid w:val="0018368F"/>
    <w:rsid w:val="00183731"/>
    <w:rsid w:val="00183C34"/>
    <w:rsid w:val="00184729"/>
    <w:rsid w:val="00184813"/>
    <w:rsid w:val="00185389"/>
    <w:rsid w:val="0018553D"/>
    <w:rsid w:val="00185A87"/>
    <w:rsid w:val="00185B30"/>
    <w:rsid w:val="0018623E"/>
    <w:rsid w:val="00186265"/>
    <w:rsid w:val="001862E3"/>
    <w:rsid w:val="001862EB"/>
    <w:rsid w:val="001868BE"/>
    <w:rsid w:val="00186966"/>
    <w:rsid w:val="00186C27"/>
    <w:rsid w:val="00186E7A"/>
    <w:rsid w:val="001870CF"/>
    <w:rsid w:val="0018730D"/>
    <w:rsid w:val="0018731E"/>
    <w:rsid w:val="001873BE"/>
    <w:rsid w:val="0018778F"/>
    <w:rsid w:val="00187A20"/>
    <w:rsid w:val="00187D4D"/>
    <w:rsid w:val="00190138"/>
    <w:rsid w:val="001902C2"/>
    <w:rsid w:val="001903EA"/>
    <w:rsid w:val="0019049D"/>
    <w:rsid w:val="001906FE"/>
    <w:rsid w:val="00190EB6"/>
    <w:rsid w:val="00190F57"/>
    <w:rsid w:val="00190F9A"/>
    <w:rsid w:val="001911F7"/>
    <w:rsid w:val="00191599"/>
    <w:rsid w:val="00191683"/>
    <w:rsid w:val="00191B06"/>
    <w:rsid w:val="00191B0A"/>
    <w:rsid w:val="0019205C"/>
    <w:rsid w:val="001920B0"/>
    <w:rsid w:val="0019219A"/>
    <w:rsid w:val="00192409"/>
    <w:rsid w:val="00192978"/>
    <w:rsid w:val="00193017"/>
    <w:rsid w:val="00193112"/>
    <w:rsid w:val="0019388B"/>
    <w:rsid w:val="00193E5C"/>
    <w:rsid w:val="00193E7A"/>
    <w:rsid w:val="0019402C"/>
    <w:rsid w:val="001943E6"/>
    <w:rsid w:val="00194512"/>
    <w:rsid w:val="001949AB"/>
    <w:rsid w:val="0019504D"/>
    <w:rsid w:val="001952C0"/>
    <w:rsid w:val="001959CF"/>
    <w:rsid w:val="00195AF2"/>
    <w:rsid w:val="00195B3F"/>
    <w:rsid w:val="00195FBD"/>
    <w:rsid w:val="00196144"/>
    <w:rsid w:val="001963F1"/>
    <w:rsid w:val="00196564"/>
    <w:rsid w:val="00196FCA"/>
    <w:rsid w:val="00197209"/>
    <w:rsid w:val="0019724B"/>
    <w:rsid w:val="00197287"/>
    <w:rsid w:val="00197ACC"/>
    <w:rsid w:val="00197DC9"/>
    <w:rsid w:val="001A032F"/>
    <w:rsid w:val="001A0549"/>
    <w:rsid w:val="001A0594"/>
    <w:rsid w:val="001A08B9"/>
    <w:rsid w:val="001A0F11"/>
    <w:rsid w:val="001A1000"/>
    <w:rsid w:val="001A1333"/>
    <w:rsid w:val="001A151C"/>
    <w:rsid w:val="001A161E"/>
    <w:rsid w:val="001A1889"/>
    <w:rsid w:val="001A24F3"/>
    <w:rsid w:val="001A2637"/>
    <w:rsid w:val="001A27AE"/>
    <w:rsid w:val="001A27DB"/>
    <w:rsid w:val="001A2A18"/>
    <w:rsid w:val="001A2A58"/>
    <w:rsid w:val="001A2B8B"/>
    <w:rsid w:val="001A2C4E"/>
    <w:rsid w:val="001A2D7A"/>
    <w:rsid w:val="001A2E65"/>
    <w:rsid w:val="001A2FB5"/>
    <w:rsid w:val="001A30F4"/>
    <w:rsid w:val="001A3179"/>
    <w:rsid w:val="001A342B"/>
    <w:rsid w:val="001A3816"/>
    <w:rsid w:val="001A395D"/>
    <w:rsid w:val="001A3F43"/>
    <w:rsid w:val="001A406A"/>
    <w:rsid w:val="001A4258"/>
    <w:rsid w:val="001A4437"/>
    <w:rsid w:val="001A496C"/>
    <w:rsid w:val="001A5AD5"/>
    <w:rsid w:val="001A5B47"/>
    <w:rsid w:val="001A5D5E"/>
    <w:rsid w:val="001A6167"/>
    <w:rsid w:val="001A638E"/>
    <w:rsid w:val="001A68D8"/>
    <w:rsid w:val="001A6A99"/>
    <w:rsid w:val="001A6B08"/>
    <w:rsid w:val="001A6FCE"/>
    <w:rsid w:val="001A75DA"/>
    <w:rsid w:val="001A77A7"/>
    <w:rsid w:val="001A7849"/>
    <w:rsid w:val="001A7CC1"/>
    <w:rsid w:val="001B002E"/>
    <w:rsid w:val="001B05AC"/>
    <w:rsid w:val="001B063A"/>
    <w:rsid w:val="001B0BC8"/>
    <w:rsid w:val="001B0F48"/>
    <w:rsid w:val="001B1031"/>
    <w:rsid w:val="001B14F2"/>
    <w:rsid w:val="001B1575"/>
    <w:rsid w:val="001B1A8A"/>
    <w:rsid w:val="001B1B60"/>
    <w:rsid w:val="001B1BCF"/>
    <w:rsid w:val="001B1D0A"/>
    <w:rsid w:val="001B20E1"/>
    <w:rsid w:val="001B24C4"/>
    <w:rsid w:val="001B3605"/>
    <w:rsid w:val="001B3859"/>
    <w:rsid w:val="001B3CFE"/>
    <w:rsid w:val="001B3D40"/>
    <w:rsid w:val="001B404D"/>
    <w:rsid w:val="001B4092"/>
    <w:rsid w:val="001B42E9"/>
    <w:rsid w:val="001B45AF"/>
    <w:rsid w:val="001B4850"/>
    <w:rsid w:val="001B4D41"/>
    <w:rsid w:val="001B4E5E"/>
    <w:rsid w:val="001B4FDD"/>
    <w:rsid w:val="001B548A"/>
    <w:rsid w:val="001B57A4"/>
    <w:rsid w:val="001B57A5"/>
    <w:rsid w:val="001B59C1"/>
    <w:rsid w:val="001B5AC4"/>
    <w:rsid w:val="001B5CD3"/>
    <w:rsid w:val="001B5D6D"/>
    <w:rsid w:val="001B5EF4"/>
    <w:rsid w:val="001B65A8"/>
    <w:rsid w:val="001B65F3"/>
    <w:rsid w:val="001B6DE2"/>
    <w:rsid w:val="001B6F59"/>
    <w:rsid w:val="001B7013"/>
    <w:rsid w:val="001B7220"/>
    <w:rsid w:val="001B7596"/>
    <w:rsid w:val="001B788D"/>
    <w:rsid w:val="001C0052"/>
    <w:rsid w:val="001C00C6"/>
    <w:rsid w:val="001C044B"/>
    <w:rsid w:val="001C07A5"/>
    <w:rsid w:val="001C123B"/>
    <w:rsid w:val="001C1283"/>
    <w:rsid w:val="001C1415"/>
    <w:rsid w:val="001C1D8D"/>
    <w:rsid w:val="001C1DA8"/>
    <w:rsid w:val="001C2108"/>
    <w:rsid w:val="001C2347"/>
    <w:rsid w:val="001C23EA"/>
    <w:rsid w:val="001C25F4"/>
    <w:rsid w:val="001C2BAE"/>
    <w:rsid w:val="001C2EED"/>
    <w:rsid w:val="001C3113"/>
    <w:rsid w:val="001C3222"/>
    <w:rsid w:val="001C3264"/>
    <w:rsid w:val="001C3733"/>
    <w:rsid w:val="001C37A9"/>
    <w:rsid w:val="001C3D86"/>
    <w:rsid w:val="001C428D"/>
    <w:rsid w:val="001C45CC"/>
    <w:rsid w:val="001C4983"/>
    <w:rsid w:val="001C4AB3"/>
    <w:rsid w:val="001C4ABC"/>
    <w:rsid w:val="001C4CCD"/>
    <w:rsid w:val="001C4EBD"/>
    <w:rsid w:val="001C504A"/>
    <w:rsid w:val="001C5059"/>
    <w:rsid w:val="001C57F4"/>
    <w:rsid w:val="001C585F"/>
    <w:rsid w:val="001C5BBE"/>
    <w:rsid w:val="001C617C"/>
    <w:rsid w:val="001C61E0"/>
    <w:rsid w:val="001C64E3"/>
    <w:rsid w:val="001C66D4"/>
    <w:rsid w:val="001C6BF4"/>
    <w:rsid w:val="001C75A7"/>
    <w:rsid w:val="001C77EB"/>
    <w:rsid w:val="001C780C"/>
    <w:rsid w:val="001C7AB4"/>
    <w:rsid w:val="001C7ABA"/>
    <w:rsid w:val="001C7CD9"/>
    <w:rsid w:val="001C7E93"/>
    <w:rsid w:val="001C7F6E"/>
    <w:rsid w:val="001D01DF"/>
    <w:rsid w:val="001D0213"/>
    <w:rsid w:val="001D120D"/>
    <w:rsid w:val="001D1322"/>
    <w:rsid w:val="001D1F9A"/>
    <w:rsid w:val="001D2728"/>
    <w:rsid w:val="001D2879"/>
    <w:rsid w:val="001D29C8"/>
    <w:rsid w:val="001D2A50"/>
    <w:rsid w:val="001D2C2A"/>
    <w:rsid w:val="001D2F5A"/>
    <w:rsid w:val="001D3247"/>
    <w:rsid w:val="001D3313"/>
    <w:rsid w:val="001D36B1"/>
    <w:rsid w:val="001D3B83"/>
    <w:rsid w:val="001D3C4E"/>
    <w:rsid w:val="001D3CFB"/>
    <w:rsid w:val="001D3ED2"/>
    <w:rsid w:val="001D4056"/>
    <w:rsid w:val="001D4261"/>
    <w:rsid w:val="001D45B5"/>
    <w:rsid w:val="001D45D2"/>
    <w:rsid w:val="001D491D"/>
    <w:rsid w:val="001D4BDD"/>
    <w:rsid w:val="001D4ED9"/>
    <w:rsid w:val="001D542F"/>
    <w:rsid w:val="001D5890"/>
    <w:rsid w:val="001D59B9"/>
    <w:rsid w:val="001D5C45"/>
    <w:rsid w:val="001D5C6D"/>
    <w:rsid w:val="001D5D43"/>
    <w:rsid w:val="001D5E98"/>
    <w:rsid w:val="001D7473"/>
    <w:rsid w:val="001D7713"/>
    <w:rsid w:val="001D79E5"/>
    <w:rsid w:val="001D7A14"/>
    <w:rsid w:val="001D7AEF"/>
    <w:rsid w:val="001D7B9D"/>
    <w:rsid w:val="001D7D9A"/>
    <w:rsid w:val="001E0075"/>
    <w:rsid w:val="001E076C"/>
    <w:rsid w:val="001E0937"/>
    <w:rsid w:val="001E09A5"/>
    <w:rsid w:val="001E0B63"/>
    <w:rsid w:val="001E0E41"/>
    <w:rsid w:val="001E1007"/>
    <w:rsid w:val="001E1627"/>
    <w:rsid w:val="001E1A8F"/>
    <w:rsid w:val="001E1B11"/>
    <w:rsid w:val="001E2136"/>
    <w:rsid w:val="001E22C3"/>
    <w:rsid w:val="001E232B"/>
    <w:rsid w:val="001E29FD"/>
    <w:rsid w:val="001E2A52"/>
    <w:rsid w:val="001E3216"/>
    <w:rsid w:val="001E33B1"/>
    <w:rsid w:val="001E3410"/>
    <w:rsid w:val="001E3632"/>
    <w:rsid w:val="001E38E9"/>
    <w:rsid w:val="001E393C"/>
    <w:rsid w:val="001E3A85"/>
    <w:rsid w:val="001E3CBC"/>
    <w:rsid w:val="001E3F6A"/>
    <w:rsid w:val="001E4049"/>
    <w:rsid w:val="001E4616"/>
    <w:rsid w:val="001E4D06"/>
    <w:rsid w:val="001E5762"/>
    <w:rsid w:val="001E5955"/>
    <w:rsid w:val="001E5A27"/>
    <w:rsid w:val="001E5A8B"/>
    <w:rsid w:val="001E64E9"/>
    <w:rsid w:val="001E661C"/>
    <w:rsid w:val="001E6B84"/>
    <w:rsid w:val="001E6C5E"/>
    <w:rsid w:val="001E6FB1"/>
    <w:rsid w:val="001E7499"/>
    <w:rsid w:val="001E77CF"/>
    <w:rsid w:val="001E77D4"/>
    <w:rsid w:val="001E77D9"/>
    <w:rsid w:val="001F011A"/>
    <w:rsid w:val="001F0551"/>
    <w:rsid w:val="001F057F"/>
    <w:rsid w:val="001F0B4E"/>
    <w:rsid w:val="001F121B"/>
    <w:rsid w:val="001F1646"/>
    <w:rsid w:val="001F1740"/>
    <w:rsid w:val="001F282D"/>
    <w:rsid w:val="001F2D7E"/>
    <w:rsid w:val="001F2F43"/>
    <w:rsid w:val="001F2F99"/>
    <w:rsid w:val="001F305F"/>
    <w:rsid w:val="001F3308"/>
    <w:rsid w:val="001F35E1"/>
    <w:rsid w:val="001F39B3"/>
    <w:rsid w:val="001F3AF9"/>
    <w:rsid w:val="001F3D07"/>
    <w:rsid w:val="001F3D6F"/>
    <w:rsid w:val="001F4217"/>
    <w:rsid w:val="001F473C"/>
    <w:rsid w:val="001F48EA"/>
    <w:rsid w:val="001F494E"/>
    <w:rsid w:val="001F4BA9"/>
    <w:rsid w:val="001F4EEC"/>
    <w:rsid w:val="001F5221"/>
    <w:rsid w:val="001F5DDA"/>
    <w:rsid w:val="001F62A9"/>
    <w:rsid w:val="001F6487"/>
    <w:rsid w:val="001F6499"/>
    <w:rsid w:val="001F6718"/>
    <w:rsid w:val="001F6B41"/>
    <w:rsid w:val="001F6D58"/>
    <w:rsid w:val="001F6DA8"/>
    <w:rsid w:val="001F79EF"/>
    <w:rsid w:val="001F7BB2"/>
    <w:rsid w:val="001F7F9F"/>
    <w:rsid w:val="00200056"/>
    <w:rsid w:val="0020008E"/>
    <w:rsid w:val="002000DB"/>
    <w:rsid w:val="00200323"/>
    <w:rsid w:val="00200C24"/>
    <w:rsid w:val="0020101F"/>
    <w:rsid w:val="002011EB"/>
    <w:rsid w:val="00201247"/>
    <w:rsid w:val="002012D1"/>
    <w:rsid w:val="00201CF2"/>
    <w:rsid w:val="00201FB1"/>
    <w:rsid w:val="002024DB"/>
    <w:rsid w:val="00202632"/>
    <w:rsid w:val="00202891"/>
    <w:rsid w:val="00202D65"/>
    <w:rsid w:val="00203057"/>
    <w:rsid w:val="002031AF"/>
    <w:rsid w:val="002039DA"/>
    <w:rsid w:val="00203C9E"/>
    <w:rsid w:val="00203EE6"/>
    <w:rsid w:val="00203F98"/>
    <w:rsid w:val="002050BC"/>
    <w:rsid w:val="0020566E"/>
    <w:rsid w:val="0020575C"/>
    <w:rsid w:val="00205761"/>
    <w:rsid w:val="00205ABD"/>
    <w:rsid w:val="00205CE6"/>
    <w:rsid w:val="00205E0E"/>
    <w:rsid w:val="0020638D"/>
    <w:rsid w:val="0020676E"/>
    <w:rsid w:val="00206E3E"/>
    <w:rsid w:val="00206E8F"/>
    <w:rsid w:val="00206F75"/>
    <w:rsid w:val="002070C4"/>
    <w:rsid w:val="00207364"/>
    <w:rsid w:val="0020749D"/>
    <w:rsid w:val="00207BD6"/>
    <w:rsid w:val="00207EF3"/>
    <w:rsid w:val="00207F6B"/>
    <w:rsid w:val="002102DF"/>
    <w:rsid w:val="0021057B"/>
    <w:rsid w:val="002106E0"/>
    <w:rsid w:val="002109CB"/>
    <w:rsid w:val="00210E55"/>
    <w:rsid w:val="002114A7"/>
    <w:rsid w:val="00211515"/>
    <w:rsid w:val="00211A91"/>
    <w:rsid w:val="00211CBB"/>
    <w:rsid w:val="00211E6F"/>
    <w:rsid w:val="002120BF"/>
    <w:rsid w:val="0021222E"/>
    <w:rsid w:val="00212D5E"/>
    <w:rsid w:val="00212E31"/>
    <w:rsid w:val="00213380"/>
    <w:rsid w:val="002133A8"/>
    <w:rsid w:val="002133DF"/>
    <w:rsid w:val="0021416C"/>
    <w:rsid w:val="00214894"/>
    <w:rsid w:val="00214916"/>
    <w:rsid w:val="00214C19"/>
    <w:rsid w:val="002152B5"/>
    <w:rsid w:val="0021536C"/>
    <w:rsid w:val="002153F8"/>
    <w:rsid w:val="0021555D"/>
    <w:rsid w:val="00215AFE"/>
    <w:rsid w:val="00215BCE"/>
    <w:rsid w:val="00216545"/>
    <w:rsid w:val="00216A09"/>
    <w:rsid w:val="00216B8F"/>
    <w:rsid w:val="00216C7C"/>
    <w:rsid w:val="00217376"/>
    <w:rsid w:val="0021781F"/>
    <w:rsid w:val="00217DF9"/>
    <w:rsid w:val="0021F446"/>
    <w:rsid w:val="00220364"/>
    <w:rsid w:val="00220824"/>
    <w:rsid w:val="002208F0"/>
    <w:rsid w:val="0022090B"/>
    <w:rsid w:val="00220C89"/>
    <w:rsid w:val="00220DEF"/>
    <w:rsid w:val="00221485"/>
    <w:rsid w:val="002216A4"/>
    <w:rsid w:val="002218E0"/>
    <w:rsid w:val="00221937"/>
    <w:rsid w:val="00221A9D"/>
    <w:rsid w:val="0022216C"/>
    <w:rsid w:val="002221CA"/>
    <w:rsid w:val="00222465"/>
    <w:rsid w:val="002228FE"/>
    <w:rsid w:val="00222DC8"/>
    <w:rsid w:val="00223093"/>
    <w:rsid w:val="00223CDC"/>
    <w:rsid w:val="00223D65"/>
    <w:rsid w:val="00223D8C"/>
    <w:rsid w:val="00223F15"/>
    <w:rsid w:val="00224769"/>
    <w:rsid w:val="0022492A"/>
    <w:rsid w:val="0022546A"/>
    <w:rsid w:val="002254C3"/>
    <w:rsid w:val="0022556F"/>
    <w:rsid w:val="0022566E"/>
    <w:rsid w:val="00225717"/>
    <w:rsid w:val="00225A45"/>
    <w:rsid w:val="00225CDB"/>
    <w:rsid w:val="00225F5D"/>
    <w:rsid w:val="002261E8"/>
    <w:rsid w:val="00226289"/>
    <w:rsid w:val="00226400"/>
    <w:rsid w:val="00226572"/>
    <w:rsid w:val="0022696B"/>
    <w:rsid w:val="00226D67"/>
    <w:rsid w:val="00226E7B"/>
    <w:rsid w:val="0022705E"/>
    <w:rsid w:val="00227061"/>
    <w:rsid w:val="002271A7"/>
    <w:rsid w:val="002272F7"/>
    <w:rsid w:val="00227900"/>
    <w:rsid w:val="002304BC"/>
    <w:rsid w:val="002309AC"/>
    <w:rsid w:val="00230BFD"/>
    <w:rsid w:val="00230C1F"/>
    <w:rsid w:val="00230D6A"/>
    <w:rsid w:val="0023129E"/>
    <w:rsid w:val="0023138B"/>
    <w:rsid w:val="002317A0"/>
    <w:rsid w:val="00231871"/>
    <w:rsid w:val="00231AF7"/>
    <w:rsid w:val="002323B5"/>
    <w:rsid w:val="00232C08"/>
    <w:rsid w:val="00232EE8"/>
    <w:rsid w:val="002337D5"/>
    <w:rsid w:val="00234086"/>
    <w:rsid w:val="0023439E"/>
    <w:rsid w:val="002343E0"/>
    <w:rsid w:val="002349C4"/>
    <w:rsid w:val="00234F6B"/>
    <w:rsid w:val="002350B8"/>
    <w:rsid w:val="002358D3"/>
    <w:rsid w:val="00235C8C"/>
    <w:rsid w:val="00235D23"/>
    <w:rsid w:val="00235DF4"/>
    <w:rsid w:val="002361B4"/>
    <w:rsid w:val="0023643E"/>
    <w:rsid w:val="00236727"/>
    <w:rsid w:val="002367B3"/>
    <w:rsid w:val="00236C5D"/>
    <w:rsid w:val="00236C6D"/>
    <w:rsid w:val="00236DE1"/>
    <w:rsid w:val="002370C3"/>
    <w:rsid w:val="002373D4"/>
    <w:rsid w:val="0023750C"/>
    <w:rsid w:val="002375B0"/>
    <w:rsid w:val="00237DC3"/>
    <w:rsid w:val="00237DE7"/>
    <w:rsid w:val="0024000C"/>
    <w:rsid w:val="002401D0"/>
    <w:rsid w:val="00240209"/>
    <w:rsid w:val="00240275"/>
    <w:rsid w:val="002403E9"/>
    <w:rsid w:val="00240654"/>
    <w:rsid w:val="002406D9"/>
    <w:rsid w:val="002408BE"/>
    <w:rsid w:val="00240908"/>
    <w:rsid w:val="00240E83"/>
    <w:rsid w:val="00240EB9"/>
    <w:rsid w:val="00240F1B"/>
    <w:rsid w:val="002410AB"/>
    <w:rsid w:val="00241140"/>
    <w:rsid w:val="0024154C"/>
    <w:rsid w:val="00241859"/>
    <w:rsid w:val="00241D1D"/>
    <w:rsid w:val="00241E42"/>
    <w:rsid w:val="00241EA7"/>
    <w:rsid w:val="00242505"/>
    <w:rsid w:val="00242529"/>
    <w:rsid w:val="00242845"/>
    <w:rsid w:val="00242967"/>
    <w:rsid w:val="00242EBC"/>
    <w:rsid w:val="00242F38"/>
    <w:rsid w:val="002432C3"/>
    <w:rsid w:val="00243791"/>
    <w:rsid w:val="002438A5"/>
    <w:rsid w:val="002439A2"/>
    <w:rsid w:val="00243B69"/>
    <w:rsid w:val="00244261"/>
    <w:rsid w:val="0024457E"/>
    <w:rsid w:val="0024458E"/>
    <w:rsid w:val="00244764"/>
    <w:rsid w:val="002448D7"/>
    <w:rsid w:val="00244AC1"/>
    <w:rsid w:val="00244CC0"/>
    <w:rsid w:val="002455EF"/>
    <w:rsid w:val="002456C6"/>
    <w:rsid w:val="00245943"/>
    <w:rsid w:val="002466D6"/>
    <w:rsid w:val="002467E9"/>
    <w:rsid w:val="002468AF"/>
    <w:rsid w:val="00246B69"/>
    <w:rsid w:val="00247143"/>
    <w:rsid w:val="00247387"/>
    <w:rsid w:val="002477E0"/>
    <w:rsid w:val="00250614"/>
    <w:rsid w:val="00250A7F"/>
    <w:rsid w:val="00250DC4"/>
    <w:rsid w:val="00250DE1"/>
    <w:rsid w:val="002510FF"/>
    <w:rsid w:val="00251657"/>
    <w:rsid w:val="0025166A"/>
    <w:rsid w:val="002516B8"/>
    <w:rsid w:val="002516C2"/>
    <w:rsid w:val="00251729"/>
    <w:rsid w:val="00251F02"/>
    <w:rsid w:val="00251FA1"/>
    <w:rsid w:val="002520D7"/>
    <w:rsid w:val="00252651"/>
    <w:rsid w:val="002526A4"/>
    <w:rsid w:val="00252746"/>
    <w:rsid w:val="002528CE"/>
    <w:rsid w:val="00252C9F"/>
    <w:rsid w:val="0025322E"/>
    <w:rsid w:val="002536A7"/>
    <w:rsid w:val="002537FE"/>
    <w:rsid w:val="00253F61"/>
    <w:rsid w:val="00254043"/>
    <w:rsid w:val="0025410E"/>
    <w:rsid w:val="002542C1"/>
    <w:rsid w:val="00254442"/>
    <w:rsid w:val="002547EF"/>
    <w:rsid w:val="0025581F"/>
    <w:rsid w:val="00255C91"/>
    <w:rsid w:val="00255EE9"/>
    <w:rsid w:val="002565FB"/>
    <w:rsid w:val="002568D0"/>
    <w:rsid w:val="00256C0A"/>
    <w:rsid w:val="00256CCC"/>
    <w:rsid w:val="00256D83"/>
    <w:rsid w:val="00256FD5"/>
    <w:rsid w:val="00257055"/>
    <w:rsid w:val="002570A4"/>
    <w:rsid w:val="0025715C"/>
    <w:rsid w:val="002573A2"/>
    <w:rsid w:val="00257439"/>
    <w:rsid w:val="0025745E"/>
    <w:rsid w:val="0025753C"/>
    <w:rsid w:val="002575BD"/>
    <w:rsid w:val="00257B2D"/>
    <w:rsid w:val="00257C25"/>
    <w:rsid w:val="00257F99"/>
    <w:rsid w:val="0025B48C"/>
    <w:rsid w:val="00260189"/>
    <w:rsid w:val="0026049A"/>
    <w:rsid w:val="0026067E"/>
    <w:rsid w:val="0026070E"/>
    <w:rsid w:val="00260841"/>
    <w:rsid w:val="00260C35"/>
    <w:rsid w:val="00260D39"/>
    <w:rsid w:val="002617F5"/>
    <w:rsid w:val="00261990"/>
    <w:rsid w:val="0026210A"/>
    <w:rsid w:val="002623F6"/>
    <w:rsid w:val="00262468"/>
    <w:rsid w:val="002624B8"/>
    <w:rsid w:val="002624D9"/>
    <w:rsid w:val="00262508"/>
    <w:rsid w:val="002625BF"/>
    <w:rsid w:val="002626DF"/>
    <w:rsid w:val="002629F0"/>
    <w:rsid w:val="00262DB1"/>
    <w:rsid w:val="00263280"/>
    <w:rsid w:val="00263543"/>
    <w:rsid w:val="002639B1"/>
    <w:rsid w:val="00263E25"/>
    <w:rsid w:val="002641FB"/>
    <w:rsid w:val="002644A1"/>
    <w:rsid w:val="00264575"/>
    <w:rsid w:val="002648D0"/>
    <w:rsid w:val="00264BB6"/>
    <w:rsid w:val="00264FD1"/>
    <w:rsid w:val="002650C5"/>
    <w:rsid w:val="0026552C"/>
    <w:rsid w:val="0026562A"/>
    <w:rsid w:val="002657C4"/>
    <w:rsid w:val="0026584D"/>
    <w:rsid w:val="00265996"/>
    <w:rsid w:val="00265AA2"/>
    <w:rsid w:val="00265CBF"/>
    <w:rsid w:val="00265E0E"/>
    <w:rsid w:val="00266578"/>
    <w:rsid w:val="0026659C"/>
    <w:rsid w:val="00266664"/>
    <w:rsid w:val="00266B17"/>
    <w:rsid w:val="00266DC9"/>
    <w:rsid w:val="00266E8D"/>
    <w:rsid w:val="002675A9"/>
    <w:rsid w:val="00267874"/>
    <w:rsid w:val="00267B1B"/>
    <w:rsid w:val="00270299"/>
    <w:rsid w:val="00270349"/>
    <w:rsid w:val="002705BC"/>
    <w:rsid w:val="00270998"/>
    <w:rsid w:val="00270F1E"/>
    <w:rsid w:val="0027196F"/>
    <w:rsid w:val="00271AD1"/>
    <w:rsid w:val="00271F23"/>
    <w:rsid w:val="00272023"/>
    <w:rsid w:val="002725D4"/>
    <w:rsid w:val="002727B2"/>
    <w:rsid w:val="00272B91"/>
    <w:rsid w:val="00272ED2"/>
    <w:rsid w:val="002730F0"/>
    <w:rsid w:val="002731E2"/>
    <w:rsid w:val="0027372E"/>
    <w:rsid w:val="00273E51"/>
    <w:rsid w:val="002741C2"/>
    <w:rsid w:val="002741C5"/>
    <w:rsid w:val="002747A3"/>
    <w:rsid w:val="00274ADB"/>
    <w:rsid w:val="00274D9C"/>
    <w:rsid w:val="00274DEA"/>
    <w:rsid w:val="002757B8"/>
    <w:rsid w:val="00275EC5"/>
    <w:rsid w:val="00275EF5"/>
    <w:rsid w:val="00276052"/>
    <w:rsid w:val="002761AA"/>
    <w:rsid w:val="0027660C"/>
    <w:rsid w:val="00276A88"/>
    <w:rsid w:val="00276B24"/>
    <w:rsid w:val="00276B4C"/>
    <w:rsid w:val="002770A3"/>
    <w:rsid w:val="0027752B"/>
    <w:rsid w:val="00277D1C"/>
    <w:rsid w:val="00280071"/>
    <w:rsid w:val="00280644"/>
    <w:rsid w:val="002820C8"/>
    <w:rsid w:val="002820CC"/>
    <w:rsid w:val="00282710"/>
    <w:rsid w:val="00282A98"/>
    <w:rsid w:val="00282AE2"/>
    <w:rsid w:val="00282BEF"/>
    <w:rsid w:val="00282CC5"/>
    <w:rsid w:val="00282CDB"/>
    <w:rsid w:val="00282DB1"/>
    <w:rsid w:val="00282ECB"/>
    <w:rsid w:val="00282FB5"/>
    <w:rsid w:val="002834FD"/>
    <w:rsid w:val="00283716"/>
    <w:rsid w:val="00283723"/>
    <w:rsid w:val="00283A78"/>
    <w:rsid w:val="00283BC5"/>
    <w:rsid w:val="00283C52"/>
    <w:rsid w:val="00283F43"/>
    <w:rsid w:val="00284193"/>
    <w:rsid w:val="002843FC"/>
    <w:rsid w:val="0028461F"/>
    <w:rsid w:val="002846CA"/>
    <w:rsid w:val="00284E16"/>
    <w:rsid w:val="00284E5D"/>
    <w:rsid w:val="002850A9"/>
    <w:rsid w:val="00285268"/>
    <w:rsid w:val="00285343"/>
    <w:rsid w:val="002857D1"/>
    <w:rsid w:val="00285A71"/>
    <w:rsid w:val="002864EF"/>
    <w:rsid w:val="002866CF"/>
    <w:rsid w:val="00286BBF"/>
    <w:rsid w:val="00287037"/>
    <w:rsid w:val="002873D1"/>
    <w:rsid w:val="002873F2"/>
    <w:rsid w:val="002877F4"/>
    <w:rsid w:val="00287833"/>
    <w:rsid w:val="00287AD0"/>
    <w:rsid w:val="00287EF3"/>
    <w:rsid w:val="00287F94"/>
    <w:rsid w:val="002903C6"/>
    <w:rsid w:val="00290421"/>
    <w:rsid w:val="00290583"/>
    <w:rsid w:val="002905BF"/>
    <w:rsid w:val="00290A27"/>
    <w:rsid w:val="00290FF6"/>
    <w:rsid w:val="002911F7"/>
    <w:rsid w:val="002912EC"/>
    <w:rsid w:val="002913B3"/>
    <w:rsid w:val="0029146A"/>
    <w:rsid w:val="002914F4"/>
    <w:rsid w:val="002916EB"/>
    <w:rsid w:val="00291794"/>
    <w:rsid w:val="002922B1"/>
    <w:rsid w:val="00292699"/>
    <w:rsid w:val="00292BE4"/>
    <w:rsid w:val="00292C0F"/>
    <w:rsid w:val="0029302D"/>
    <w:rsid w:val="002931D1"/>
    <w:rsid w:val="0029321D"/>
    <w:rsid w:val="0029352F"/>
    <w:rsid w:val="00293532"/>
    <w:rsid w:val="00293ADF"/>
    <w:rsid w:val="00294167"/>
    <w:rsid w:val="002948AC"/>
    <w:rsid w:val="002948ED"/>
    <w:rsid w:val="00294D95"/>
    <w:rsid w:val="002953BA"/>
    <w:rsid w:val="00295755"/>
    <w:rsid w:val="0029577A"/>
    <w:rsid w:val="00295CD7"/>
    <w:rsid w:val="00295E0C"/>
    <w:rsid w:val="00295E20"/>
    <w:rsid w:val="002964B0"/>
    <w:rsid w:val="0029707E"/>
    <w:rsid w:val="00297203"/>
    <w:rsid w:val="00297250"/>
    <w:rsid w:val="002979C5"/>
    <w:rsid w:val="00297D87"/>
    <w:rsid w:val="00297DCC"/>
    <w:rsid w:val="002A00F5"/>
    <w:rsid w:val="002A011A"/>
    <w:rsid w:val="002A0145"/>
    <w:rsid w:val="002A016C"/>
    <w:rsid w:val="002A0628"/>
    <w:rsid w:val="002A0A96"/>
    <w:rsid w:val="002A0CC1"/>
    <w:rsid w:val="002A1067"/>
    <w:rsid w:val="002A125B"/>
    <w:rsid w:val="002A1BDB"/>
    <w:rsid w:val="002A1EF4"/>
    <w:rsid w:val="002A1FF3"/>
    <w:rsid w:val="002A21B8"/>
    <w:rsid w:val="002A2240"/>
    <w:rsid w:val="002A239A"/>
    <w:rsid w:val="002A245E"/>
    <w:rsid w:val="002A283B"/>
    <w:rsid w:val="002A289D"/>
    <w:rsid w:val="002A2A2E"/>
    <w:rsid w:val="002A2BE1"/>
    <w:rsid w:val="002A2C39"/>
    <w:rsid w:val="002A35B4"/>
    <w:rsid w:val="002A35D9"/>
    <w:rsid w:val="002A3703"/>
    <w:rsid w:val="002A378C"/>
    <w:rsid w:val="002A391A"/>
    <w:rsid w:val="002A3CAE"/>
    <w:rsid w:val="002A3F2D"/>
    <w:rsid w:val="002A41DF"/>
    <w:rsid w:val="002A438B"/>
    <w:rsid w:val="002A475F"/>
    <w:rsid w:val="002A4EDC"/>
    <w:rsid w:val="002A4F81"/>
    <w:rsid w:val="002A5003"/>
    <w:rsid w:val="002A57FA"/>
    <w:rsid w:val="002A5871"/>
    <w:rsid w:val="002A5AF7"/>
    <w:rsid w:val="002A5D53"/>
    <w:rsid w:val="002A5EA1"/>
    <w:rsid w:val="002A656D"/>
    <w:rsid w:val="002A6822"/>
    <w:rsid w:val="002A689F"/>
    <w:rsid w:val="002A6C02"/>
    <w:rsid w:val="002A6D43"/>
    <w:rsid w:val="002A70A4"/>
    <w:rsid w:val="002A70AD"/>
    <w:rsid w:val="002A7280"/>
    <w:rsid w:val="002A72BA"/>
    <w:rsid w:val="002A7514"/>
    <w:rsid w:val="002A79C4"/>
    <w:rsid w:val="002A7C3B"/>
    <w:rsid w:val="002A7EB3"/>
    <w:rsid w:val="002B067A"/>
    <w:rsid w:val="002B06DD"/>
    <w:rsid w:val="002B07FC"/>
    <w:rsid w:val="002B0A67"/>
    <w:rsid w:val="002B0E05"/>
    <w:rsid w:val="002B0EE2"/>
    <w:rsid w:val="002B106E"/>
    <w:rsid w:val="002B1381"/>
    <w:rsid w:val="002B1385"/>
    <w:rsid w:val="002B13C0"/>
    <w:rsid w:val="002B1A86"/>
    <w:rsid w:val="002B1A99"/>
    <w:rsid w:val="002B1BFC"/>
    <w:rsid w:val="002B1C68"/>
    <w:rsid w:val="002B1EBF"/>
    <w:rsid w:val="002B1F16"/>
    <w:rsid w:val="002B238D"/>
    <w:rsid w:val="002B2AC2"/>
    <w:rsid w:val="002B2B78"/>
    <w:rsid w:val="002B2E24"/>
    <w:rsid w:val="002B30E8"/>
    <w:rsid w:val="002B3102"/>
    <w:rsid w:val="002B32D8"/>
    <w:rsid w:val="002B3816"/>
    <w:rsid w:val="002B3ABA"/>
    <w:rsid w:val="002B3C4F"/>
    <w:rsid w:val="002B3DE2"/>
    <w:rsid w:val="002B4123"/>
    <w:rsid w:val="002B436E"/>
    <w:rsid w:val="002B52A2"/>
    <w:rsid w:val="002B52D7"/>
    <w:rsid w:val="002B5782"/>
    <w:rsid w:val="002B585C"/>
    <w:rsid w:val="002B5FB2"/>
    <w:rsid w:val="002B60DA"/>
    <w:rsid w:val="002B65C9"/>
    <w:rsid w:val="002B67B5"/>
    <w:rsid w:val="002B696B"/>
    <w:rsid w:val="002B6B18"/>
    <w:rsid w:val="002B6CBC"/>
    <w:rsid w:val="002B6D38"/>
    <w:rsid w:val="002B70AC"/>
    <w:rsid w:val="002B731C"/>
    <w:rsid w:val="002B7329"/>
    <w:rsid w:val="002B7410"/>
    <w:rsid w:val="002B7672"/>
    <w:rsid w:val="002B7695"/>
    <w:rsid w:val="002B7EFE"/>
    <w:rsid w:val="002C00C4"/>
    <w:rsid w:val="002C042B"/>
    <w:rsid w:val="002C0482"/>
    <w:rsid w:val="002C0A11"/>
    <w:rsid w:val="002C0B69"/>
    <w:rsid w:val="002C100A"/>
    <w:rsid w:val="002C1231"/>
    <w:rsid w:val="002C1268"/>
    <w:rsid w:val="002C1284"/>
    <w:rsid w:val="002C13EF"/>
    <w:rsid w:val="002C16C3"/>
    <w:rsid w:val="002C1B3D"/>
    <w:rsid w:val="002C1B82"/>
    <w:rsid w:val="002C1BA1"/>
    <w:rsid w:val="002C1E58"/>
    <w:rsid w:val="002C22A7"/>
    <w:rsid w:val="002C22C2"/>
    <w:rsid w:val="002C23F4"/>
    <w:rsid w:val="002C2427"/>
    <w:rsid w:val="002C2786"/>
    <w:rsid w:val="002C2A93"/>
    <w:rsid w:val="002C2ADF"/>
    <w:rsid w:val="002C2D3E"/>
    <w:rsid w:val="002C3024"/>
    <w:rsid w:val="002C315B"/>
    <w:rsid w:val="002C31C6"/>
    <w:rsid w:val="002C3349"/>
    <w:rsid w:val="002C33FD"/>
    <w:rsid w:val="002C358C"/>
    <w:rsid w:val="002C3682"/>
    <w:rsid w:val="002C370A"/>
    <w:rsid w:val="002C39C7"/>
    <w:rsid w:val="002C4043"/>
    <w:rsid w:val="002C414A"/>
    <w:rsid w:val="002C4ABC"/>
    <w:rsid w:val="002C4D9F"/>
    <w:rsid w:val="002C4EE1"/>
    <w:rsid w:val="002C5015"/>
    <w:rsid w:val="002C56A0"/>
    <w:rsid w:val="002C5FA5"/>
    <w:rsid w:val="002C6170"/>
    <w:rsid w:val="002C6336"/>
    <w:rsid w:val="002C6452"/>
    <w:rsid w:val="002C6BBE"/>
    <w:rsid w:val="002C7485"/>
    <w:rsid w:val="002C74BE"/>
    <w:rsid w:val="002C74DE"/>
    <w:rsid w:val="002C767A"/>
    <w:rsid w:val="002C783E"/>
    <w:rsid w:val="002C7BA8"/>
    <w:rsid w:val="002C7BFD"/>
    <w:rsid w:val="002D0907"/>
    <w:rsid w:val="002D0AD3"/>
    <w:rsid w:val="002D0B50"/>
    <w:rsid w:val="002D0B99"/>
    <w:rsid w:val="002D0B9A"/>
    <w:rsid w:val="002D0BD9"/>
    <w:rsid w:val="002D0CFE"/>
    <w:rsid w:val="002D1745"/>
    <w:rsid w:val="002D17E8"/>
    <w:rsid w:val="002D1804"/>
    <w:rsid w:val="002D1CCF"/>
    <w:rsid w:val="002D223B"/>
    <w:rsid w:val="002D28E4"/>
    <w:rsid w:val="002D28F0"/>
    <w:rsid w:val="002D2917"/>
    <w:rsid w:val="002D2D93"/>
    <w:rsid w:val="002D318A"/>
    <w:rsid w:val="002D33BC"/>
    <w:rsid w:val="002D35A3"/>
    <w:rsid w:val="002D3B55"/>
    <w:rsid w:val="002D3EFC"/>
    <w:rsid w:val="002D47C8"/>
    <w:rsid w:val="002D4816"/>
    <w:rsid w:val="002D4917"/>
    <w:rsid w:val="002D4B64"/>
    <w:rsid w:val="002D52EF"/>
    <w:rsid w:val="002D5380"/>
    <w:rsid w:val="002D5575"/>
    <w:rsid w:val="002D5585"/>
    <w:rsid w:val="002D55C0"/>
    <w:rsid w:val="002D5C7C"/>
    <w:rsid w:val="002D5CCB"/>
    <w:rsid w:val="002D5DED"/>
    <w:rsid w:val="002D6005"/>
    <w:rsid w:val="002D6C0B"/>
    <w:rsid w:val="002D6C1C"/>
    <w:rsid w:val="002D730A"/>
    <w:rsid w:val="002D74DD"/>
    <w:rsid w:val="002D7514"/>
    <w:rsid w:val="002D764E"/>
    <w:rsid w:val="002D7B4C"/>
    <w:rsid w:val="002D7DE5"/>
    <w:rsid w:val="002D7F35"/>
    <w:rsid w:val="002DE30F"/>
    <w:rsid w:val="002E015A"/>
    <w:rsid w:val="002E02C9"/>
    <w:rsid w:val="002E0368"/>
    <w:rsid w:val="002E0449"/>
    <w:rsid w:val="002E061E"/>
    <w:rsid w:val="002E0AF7"/>
    <w:rsid w:val="002E0BC1"/>
    <w:rsid w:val="002E0EDA"/>
    <w:rsid w:val="002E0FB4"/>
    <w:rsid w:val="002E0FE3"/>
    <w:rsid w:val="002E1196"/>
    <w:rsid w:val="002E1549"/>
    <w:rsid w:val="002E1706"/>
    <w:rsid w:val="002E18B3"/>
    <w:rsid w:val="002E1EBE"/>
    <w:rsid w:val="002E1EDE"/>
    <w:rsid w:val="002E1F3B"/>
    <w:rsid w:val="002E1FD6"/>
    <w:rsid w:val="002E20C8"/>
    <w:rsid w:val="002E20E3"/>
    <w:rsid w:val="002E271C"/>
    <w:rsid w:val="002E28BA"/>
    <w:rsid w:val="002E30D8"/>
    <w:rsid w:val="002E3BC3"/>
    <w:rsid w:val="002E42FE"/>
    <w:rsid w:val="002E4C9F"/>
    <w:rsid w:val="002E51FC"/>
    <w:rsid w:val="002E5409"/>
    <w:rsid w:val="002E5442"/>
    <w:rsid w:val="002E57C0"/>
    <w:rsid w:val="002E5AB4"/>
    <w:rsid w:val="002E5ABE"/>
    <w:rsid w:val="002E5C52"/>
    <w:rsid w:val="002E5CDB"/>
    <w:rsid w:val="002E6592"/>
    <w:rsid w:val="002E6A99"/>
    <w:rsid w:val="002E6F73"/>
    <w:rsid w:val="002E6FD5"/>
    <w:rsid w:val="002E6FF0"/>
    <w:rsid w:val="002E6FF3"/>
    <w:rsid w:val="002E71AE"/>
    <w:rsid w:val="002E79B0"/>
    <w:rsid w:val="002E7F27"/>
    <w:rsid w:val="002E7F90"/>
    <w:rsid w:val="002F042A"/>
    <w:rsid w:val="002F0713"/>
    <w:rsid w:val="002F0BFF"/>
    <w:rsid w:val="002F0D5C"/>
    <w:rsid w:val="002F11A0"/>
    <w:rsid w:val="002F19B8"/>
    <w:rsid w:val="002F19BC"/>
    <w:rsid w:val="002F19F8"/>
    <w:rsid w:val="002F1D5C"/>
    <w:rsid w:val="002F1F82"/>
    <w:rsid w:val="002F211D"/>
    <w:rsid w:val="002F2285"/>
    <w:rsid w:val="002F27B5"/>
    <w:rsid w:val="002F28B7"/>
    <w:rsid w:val="002F307B"/>
    <w:rsid w:val="002F30CB"/>
    <w:rsid w:val="002F30FA"/>
    <w:rsid w:val="002F357F"/>
    <w:rsid w:val="002F3675"/>
    <w:rsid w:val="002F3D39"/>
    <w:rsid w:val="002F3DA1"/>
    <w:rsid w:val="002F3E07"/>
    <w:rsid w:val="002F4112"/>
    <w:rsid w:val="002F4458"/>
    <w:rsid w:val="002F47C6"/>
    <w:rsid w:val="002F47EA"/>
    <w:rsid w:val="002F5622"/>
    <w:rsid w:val="002F57A3"/>
    <w:rsid w:val="002F5949"/>
    <w:rsid w:val="002F5B99"/>
    <w:rsid w:val="002F5C2C"/>
    <w:rsid w:val="002F5E63"/>
    <w:rsid w:val="002F606A"/>
    <w:rsid w:val="002F6620"/>
    <w:rsid w:val="002F72CB"/>
    <w:rsid w:val="002F7930"/>
    <w:rsid w:val="002F7C96"/>
    <w:rsid w:val="002F7EF0"/>
    <w:rsid w:val="00300093"/>
    <w:rsid w:val="003002C2"/>
    <w:rsid w:val="003006C1"/>
    <w:rsid w:val="0030205B"/>
    <w:rsid w:val="0030251E"/>
    <w:rsid w:val="003028CF"/>
    <w:rsid w:val="00302B5B"/>
    <w:rsid w:val="00302E5E"/>
    <w:rsid w:val="00302F64"/>
    <w:rsid w:val="00303361"/>
    <w:rsid w:val="00303536"/>
    <w:rsid w:val="0030355A"/>
    <w:rsid w:val="00303E88"/>
    <w:rsid w:val="0030409C"/>
    <w:rsid w:val="0030445D"/>
    <w:rsid w:val="00304673"/>
    <w:rsid w:val="00304870"/>
    <w:rsid w:val="003049C1"/>
    <w:rsid w:val="003049E0"/>
    <w:rsid w:val="00304F5B"/>
    <w:rsid w:val="00305C32"/>
    <w:rsid w:val="00305CC0"/>
    <w:rsid w:val="00305FB3"/>
    <w:rsid w:val="00306022"/>
    <w:rsid w:val="00306323"/>
    <w:rsid w:val="003063F8"/>
    <w:rsid w:val="003064E2"/>
    <w:rsid w:val="00306792"/>
    <w:rsid w:val="00306C26"/>
    <w:rsid w:val="00306CCB"/>
    <w:rsid w:val="00306D32"/>
    <w:rsid w:val="00306F49"/>
    <w:rsid w:val="00306FE7"/>
    <w:rsid w:val="0030725C"/>
    <w:rsid w:val="00307490"/>
    <w:rsid w:val="00307533"/>
    <w:rsid w:val="0030778D"/>
    <w:rsid w:val="00307ABD"/>
    <w:rsid w:val="00307FDB"/>
    <w:rsid w:val="00310071"/>
    <w:rsid w:val="0031021F"/>
    <w:rsid w:val="00310994"/>
    <w:rsid w:val="00310DF2"/>
    <w:rsid w:val="00311817"/>
    <w:rsid w:val="00311B9E"/>
    <w:rsid w:val="00311E49"/>
    <w:rsid w:val="003126E6"/>
    <w:rsid w:val="00312988"/>
    <w:rsid w:val="00312C98"/>
    <w:rsid w:val="00312F51"/>
    <w:rsid w:val="00313320"/>
    <w:rsid w:val="00313440"/>
    <w:rsid w:val="003136B0"/>
    <w:rsid w:val="003137E4"/>
    <w:rsid w:val="00313BC1"/>
    <w:rsid w:val="00313C9A"/>
    <w:rsid w:val="003140D9"/>
    <w:rsid w:val="00314647"/>
    <w:rsid w:val="00314658"/>
    <w:rsid w:val="00314B2F"/>
    <w:rsid w:val="003151E0"/>
    <w:rsid w:val="0031528F"/>
    <w:rsid w:val="00315359"/>
    <w:rsid w:val="00315522"/>
    <w:rsid w:val="003157B9"/>
    <w:rsid w:val="00315D6C"/>
    <w:rsid w:val="00315DD0"/>
    <w:rsid w:val="00316240"/>
    <w:rsid w:val="0031659A"/>
    <w:rsid w:val="00316708"/>
    <w:rsid w:val="003168DF"/>
    <w:rsid w:val="00317521"/>
    <w:rsid w:val="00320160"/>
    <w:rsid w:val="00320B45"/>
    <w:rsid w:val="00320D5E"/>
    <w:rsid w:val="00320E02"/>
    <w:rsid w:val="00321052"/>
    <w:rsid w:val="003217CE"/>
    <w:rsid w:val="0032193E"/>
    <w:rsid w:val="0032196C"/>
    <w:rsid w:val="00321A34"/>
    <w:rsid w:val="00321D0D"/>
    <w:rsid w:val="00321F2E"/>
    <w:rsid w:val="003220A7"/>
    <w:rsid w:val="00322880"/>
    <w:rsid w:val="00322AD4"/>
    <w:rsid w:val="00322CE5"/>
    <w:rsid w:val="00322D0B"/>
    <w:rsid w:val="003231EC"/>
    <w:rsid w:val="0032340F"/>
    <w:rsid w:val="003234C1"/>
    <w:rsid w:val="00323F61"/>
    <w:rsid w:val="00324078"/>
    <w:rsid w:val="0032407C"/>
    <w:rsid w:val="003240DE"/>
    <w:rsid w:val="003241F0"/>
    <w:rsid w:val="00324308"/>
    <w:rsid w:val="00324461"/>
    <w:rsid w:val="00324B08"/>
    <w:rsid w:val="00325138"/>
    <w:rsid w:val="003252E8"/>
    <w:rsid w:val="003254EA"/>
    <w:rsid w:val="0032591B"/>
    <w:rsid w:val="00325C40"/>
    <w:rsid w:val="00325CAC"/>
    <w:rsid w:val="00325FC5"/>
    <w:rsid w:val="003265D6"/>
    <w:rsid w:val="00326C3D"/>
    <w:rsid w:val="00326E2D"/>
    <w:rsid w:val="0032708A"/>
    <w:rsid w:val="003270B7"/>
    <w:rsid w:val="00327406"/>
    <w:rsid w:val="00327BDF"/>
    <w:rsid w:val="00327EB8"/>
    <w:rsid w:val="0033004F"/>
    <w:rsid w:val="0033008E"/>
    <w:rsid w:val="003309C8"/>
    <w:rsid w:val="00330A50"/>
    <w:rsid w:val="003314B4"/>
    <w:rsid w:val="00331792"/>
    <w:rsid w:val="00331806"/>
    <w:rsid w:val="00331D08"/>
    <w:rsid w:val="00332772"/>
    <w:rsid w:val="00332B8E"/>
    <w:rsid w:val="00332FDC"/>
    <w:rsid w:val="003332DB"/>
    <w:rsid w:val="003334FE"/>
    <w:rsid w:val="003339B9"/>
    <w:rsid w:val="00333AF0"/>
    <w:rsid w:val="0033419D"/>
    <w:rsid w:val="00334244"/>
    <w:rsid w:val="00334655"/>
    <w:rsid w:val="003348CD"/>
    <w:rsid w:val="00334C60"/>
    <w:rsid w:val="0033502C"/>
    <w:rsid w:val="003350E1"/>
    <w:rsid w:val="00335140"/>
    <w:rsid w:val="003353AF"/>
    <w:rsid w:val="00335415"/>
    <w:rsid w:val="00335840"/>
    <w:rsid w:val="00335852"/>
    <w:rsid w:val="00335896"/>
    <w:rsid w:val="0033612E"/>
    <w:rsid w:val="003363E8"/>
    <w:rsid w:val="00336538"/>
    <w:rsid w:val="003365EA"/>
    <w:rsid w:val="00336717"/>
    <w:rsid w:val="00336B84"/>
    <w:rsid w:val="0033737E"/>
    <w:rsid w:val="00337648"/>
    <w:rsid w:val="00337744"/>
    <w:rsid w:val="00337891"/>
    <w:rsid w:val="00337BA5"/>
    <w:rsid w:val="00337C39"/>
    <w:rsid w:val="00337C41"/>
    <w:rsid w:val="00337FD0"/>
    <w:rsid w:val="00340043"/>
    <w:rsid w:val="003402B9"/>
    <w:rsid w:val="0034041A"/>
    <w:rsid w:val="00340465"/>
    <w:rsid w:val="00340506"/>
    <w:rsid w:val="003406A1"/>
    <w:rsid w:val="00340D1A"/>
    <w:rsid w:val="003412DF"/>
    <w:rsid w:val="003415DE"/>
    <w:rsid w:val="003417F2"/>
    <w:rsid w:val="00342C33"/>
    <w:rsid w:val="00342D95"/>
    <w:rsid w:val="00342F28"/>
    <w:rsid w:val="003436F0"/>
    <w:rsid w:val="00343856"/>
    <w:rsid w:val="00343EBF"/>
    <w:rsid w:val="00343FC8"/>
    <w:rsid w:val="003442F1"/>
    <w:rsid w:val="0034434A"/>
    <w:rsid w:val="00344521"/>
    <w:rsid w:val="003447A4"/>
    <w:rsid w:val="0034488E"/>
    <w:rsid w:val="00344B2B"/>
    <w:rsid w:val="00344F06"/>
    <w:rsid w:val="003451A3"/>
    <w:rsid w:val="00345527"/>
    <w:rsid w:val="00345666"/>
    <w:rsid w:val="003461A1"/>
    <w:rsid w:val="00346853"/>
    <w:rsid w:val="00346F78"/>
    <w:rsid w:val="00347225"/>
    <w:rsid w:val="00347795"/>
    <w:rsid w:val="00347B8A"/>
    <w:rsid w:val="00347D03"/>
    <w:rsid w:val="003501FF"/>
    <w:rsid w:val="00350552"/>
    <w:rsid w:val="00350822"/>
    <w:rsid w:val="00351040"/>
    <w:rsid w:val="003511E3"/>
    <w:rsid w:val="0035166A"/>
    <w:rsid w:val="003516CF"/>
    <w:rsid w:val="00351711"/>
    <w:rsid w:val="003519FD"/>
    <w:rsid w:val="00351DAF"/>
    <w:rsid w:val="00351DCD"/>
    <w:rsid w:val="00352554"/>
    <w:rsid w:val="0035272F"/>
    <w:rsid w:val="00352A62"/>
    <w:rsid w:val="00352EC4"/>
    <w:rsid w:val="00352F58"/>
    <w:rsid w:val="00353344"/>
    <w:rsid w:val="00353936"/>
    <w:rsid w:val="003539BF"/>
    <w:rsid w:val="00353E0B"/>
    <w:rsid w:val="00353E34"/>
    <w:rsid w:val="00353F9D"/>
    <w:rsid w:val="003540A7"/>
    <w:rsid w:val="0035412D"/>
    <w:rsid w:val="00354211"/>
    <w:rsid w:val="003542C2"/>
    <w:rsid w:val="00354420"/>
    <w:rsid w:val="00354503"/>
    <w:rsid w:val="003548F1"/>
    <w:rsid w:val="00354A7B"/>
    <w:rsid w:val="00355964"/>
    <w:rsid w:val="00355DD6"/>
    <w:rsid w:val="00355F3B"/>
    <w:rsid w:val="0035674C"/>
    <w:rsid w:val="003567E9"/>
    <w:rsid w:val="003569B0"/>
    <w:rsid w:val="00356E74"/>
    <w:rsid w:val="00357150"/>
    <w:rsid w:val="003574D2"/>
    <w:rsid w:val="0035753E"/>
    <w:rsid w:val="00357658"/>
    <w:rsid w:val="003576D1"/>
    <w:rsid w:val="003578B3"/>
    <w:rsid w:val="003582F1"/>
    <w:rsid w:val="00360079"/>
    <w:rsid w:val="003604AF"/>
    <w:rsid w:val="003606A4"/>
    <w:rsid w:val="003609FB"/>
    <w:rsid w:val="00360A6A"/>
    <w:rsid w:val="00360D67"/>
    <w:rsid w:val="0036110D"/>
    <w:rsid w:val="00361111"/>
    <w:rsid w:val="00361426"/>
    <w:rsid w:val="0036145F"/>
    <w:rsid w:val="003615CA"/>
    <w:rsid w:val="003617EF"/>
    <w:rsid w:val="00361A74"/>
    <w:rsid w:val="00361D0B"/>
    <w:rsid w:val="00361EC2"/>
    <w:rsid w:val="00362118"/>
    <w:rsid w:val="0036239A"/>
    <w:rsid w:val="0036259D"/>
    <w:rsid w:val="0036289B"/>
    <w:rsid w:val="00362C6D"/>
    <w:rsid w:val="00362CD5"/>
    <w:rsid w:val="00363212"/>
    <w:rsid w:val="0036321F"/>
    <w:rsid w:val="0036347B"/>
    <w:rsid w:val="003638CB"/>
    <w:rsid w:val="00363B95"/>
    <w:rsid w:val="00363EBE"/>
    <w:rsid w:val="00364606"/>
    <w:rsid w:val="00364AEC"/>
    <w:rsid w:val="00364B24"/>
    <w:rsid w:val="00364B45"/>
    <w:rsid w:val="00364EB2"/>
    <w:rsid w:val="00364F4C"/>
    <w:rsid w:val="0036506C"/>
    <w:rsid w:val="003658F3"/>
    <w:rsid w:val="00365A4C"/>
    <w:rsid w:val="00365C8F"/>
    <w:rsid w:val="00365D6E"/>
    <w:rsid w:val="00365DFF"/>
    <w:rsid w:val="00365E8C"/>
    <w:rsid w:val="00366008"/>
    <w:rsid w:val="003660F9"/>
    <w:rsid w:val="0036616D"/>
    <w:rsid w:val="003664F1"/>
    <w:rsid w:val="0036653F"/>
    <w:rsid w:val="00366742"/>
    <w:rsid w:val="00366749"/>
    <w:rsid w:val="00366784"/>
    <w:rsid w:val="00366BCA"/>
    <w:rsid w:val="00366BD6"/>
    <w:rsid w:val="00366BE8"/>
    <w:rsid w:val="00366C46"/>
    <w:rsid w:val="00367351"/>
    <w:rsid w:val="0036735C"/>
    <w:rsid w:val="00367725"/>
    <w:rsid w:val="00367D2A"/>
    <w:rsid w:val="0037077D"/>
    <w:rsid w:val="00370A01"/>
    <w:rsid w:val="003711F2"/>
    <w:rsid w:val="003711F5"/>
    <w:rsid w:val="0037126A"/>
    <w:rsid w:val="00371385"/>
    <w:rsid w:val="00371B71"/>
    <w:rsid w:val="0037241C"/>
    <w:rsid w:val="00372E2E"/>
    <w:rsid w:val="00372E5E"/>
    <w:rsid w:val="00372E80"/>
    <w:rsid w:val="00373045"/>
    <w:rsid w:val="00373866"/>
    <w:rsid w:val="00373881"/>
    <w:rsid w:val="00373E31"/>
    <w:rsid w:val="00373FC4"/>
    <w:rsid w:val="00374117"/>
    <w:rsid w:val="0037471D"/>
    <w:rsid w:val="00374E24"/>
    <w:rsid w:val="0037503E"/>
    <w:rsid w:val="003755E1"/>
    <w:rsid w:val="00375690"/>
    <w:rsid w:val="00375B58"/>
    <w:rsid w:val="00375C6F"/>
    <w:rsid w:val="00375FBE"/>
    <w:rsid w:val="00376123"/>
    <w:rsid w:val="003763C3"/>
    <w:rsid w:val="003765C8"/>
    <w:rsid w:val="0037668E"/>
    <w:rsid w:val="003766F6"/>
    <w:rsid w:val="00376DDB"/>
    <w:rsid w:val="00376FDE"/>
    <w:rsid w:val="003770D6"/>
    <w:rsid w:val="003774CB"/>
    <w:rsid w:val="00377B30"/>
    <w:rsid w:val="00380139"/>
    <w:rsid w:val="00380250"/>
    <w:rsid w:val="00380401"/>
    <w:rsid w:val="003805F3"/>
    <w:rsid w:val="00380687"/>
    <w:rsid w:val="0038083E"/>
    <w:rsid w:val="00380CF9"/>
    <w:rsid w:val="00380DCD"/>
    <w:rsid w:val="00380E04"/>
    <w:rsid w:val="00380F1C"/>
    <w:rsid w:val="00381178"/>
    <w:rsid w:val="00381255"/>
    <w:rsid w:val="00381584"/>
    <w:rsid w:val="003817E3"/>
    <w:rsid w:val="003818A8"/>
    <w:rsid w:val="003818D6"/>
    <w:rsid w:val="00382129"/>
    <w:rsid w:val="0038255C"/>
    <w:rsid w:val="003825BF"/>
    <w:rsid w:val="0038280F"/>
    <w:rsid w:val="0038299E"/>
    <w:rsid w:val="0038301C"/>
    <w:rsid w:val="0038303B"/>
    <w:rsid w:val="00383380"/>
    <w:rsid w:val="0038361C"/>
    <w:rsid w:val="0038367E"/>
    <w:rsid w:val="00383D6C"/>
    <w:rsid w:val="00383DB4"/>
    <w:rsid w:val="00383F74"/>
    <w:rsid w:val="0038406F"/>
    <w:rsid w:val="00384397"/>
    <w:rsid w:val="00384713"/>
    <w:rsid w:val="00384741"/>
    <w:rsid w:val="003847D5"/>
    <w:rsid w:val="00384D02"/>
    <w:rsid w:val="00384D50"/>
    <w:rsid w:val="00385099"/>
    <w:rsid w:val="00385229"/>
    <w:rsid w:val="00385312"/>
    <w:rsid w:val="00385675"/>
    <w:rsid w:val="00385682"/>
    <w:rsid w:val="00385904"/>
    <w:rsid w:val="00385975"/>
    <w:rsid w:val="00385DC7"/>
    <w:rsid w:val="0038628F"/>
    <w:rsid w:val="0038652B"/>
    <w:rsid w:val="00386824"/>
    <w:rsid w:val="003875C6"/>
    <w:rsid w:val="00387C5F"/>
    <w:rsid w:val="00390735"/>
    <w:rsid w:val="003907BE"/>
    <w:rsid w:val="0039098E"/>
    <w:rsid w:val="00390C2C"/>
    <w:rsid w:val="00390EB1"/>
    <w:rsid w:val="003911AF"/>
    <w:rsid w:val="003916BA"/>
    <w:rsid w:val="00391CCB"/>
    <w:rsid w:val="00391E49"/>
    <w:rsid w:val="00391EE0"/>
    <w:rsid w:val="0039236A"/>
    <w:rsid w:val="00392C42"/>
    <w:rsid w:val="00392EF7"/>
    <w:rsid w:val="00393474"/>
    <w:rsid w:val="00393851"/>
    <w:rsid w:val="0039448A"/>
    <w:rsid w:val="00394802"/>
    <w:rsid w:val="003948C5"/>
    <w:rsid w:val="00394920"/>
    <w:rsid w:val="00394A30"/>
    <w:rsid w:val="00395809"/>
    <w:rsid w:val="0039580C"/>
    <w:rsid w:val="0039614F"/>
    <w:rsid w:val="003968E6"/>
    <w:rsid w:val="00396ABB"/>
    <w:rsid w:val="00396B3A"/>
    <w:rsid w:val="00396B5A"/>
    <w:rsid w:val="00396BEC"/>
    <w:rsid w:val="00396C78"/>
    <w:rsid w:val="00396E0D"/>
    <w:rsid w:val="0039736A"/>
    <w:rsid w:val="003973C7"/>
    <w:rsid w:val="00397440"/>
    <w:rsid w:val="00397603"/>
    <w:rsid w:val="00397859"/>
    <w:rsid w:val="003978CD"/>
    <w:rsid w:val="00397B49"/>
    <w:rsid w:val="00397B72"/>
    <w:rsid w:val="00397BC7"/>
    <w:rsid w:val="00397FA1"/>
    <w:rsid w:val="003A02A4"/>
    <w:rsid w:val="003A05B9"/>
    <w:rsid w:val="003A09E7"/>
    <w:rsid w:val="003A11F8"/>
    <w:rsid w:val="003A1C53"/>
    <w:rsid w:val="003A1F50"/>
    <w:rsid w:val="003A203D"/>
    <w:rsid w:val="003A232B"/>
    <w:rsid w:val="003A235F"/>
    <w:rsid w:val="003A2400"/>
    <w:rsid w:val="003A2446"/>
    <w:rsid w:val="003A25F2"/>
    <w:rsid w:val="003A26E8"/>
    <w:rsid w:val="003A29B4"/>
    <w:rsid w:val="003A2AC0"/>
    <w:rsid w:val="003A2BC0"/>
    <w:rsid w:val="003A2BC6"/>
    <w:rsid w:val="003A2F31"/>
    <w:rsid w:val="003A2F9D"/>
    <w:rsid w:val="003A2FCD"/>
    <w:rsid w:val="003A358D"/>
    <w:rsid w:val="003A374D"/>
    <w:rsid w:val="003A3C3C"/>
    <w:rsid w:val="003A3FAB"/>
    <w:rsid w:val="003A40C5"/>
    <w:rsid w:val="003A413B"/>
    <w:rsid w:val="003A422C"/>
    <w:rsid w:val="003A4487"/>
    <w:rsid w:val="003A4702"/>
    <w:rsid w:val="003A496A"/>
    <w:rsid w:val="003A55D8"/>
    <w:rsid w:val="003A563E"/>
    <w:rsid w:val="003A5B0C"/>
    <w:rsid w:val="003A5C49"/>
    <w:rsid w:val="003A5D1A"/>
    <w:rsid w:val="003A5DEE"/>
    <w:rsid w:val="003A62EA"/>
    <w:rsid w:val="003A6532"/>
    <w:rsid w:val="003A6FA3"/>
    <w:rsid w:val="003A7255"/>
    <w:rsid w:val="003A7846"/>
    <w:rsid w:val="003A7AE2"/>
    <w:rsid w:val="003A7B70"/>
    <w:rsid w:val="003A7D37"/>
    <w:rsid w:val="003A7D6D"/>
    <w:rsid w:val="003A7F85"/>
    <w:rsid w:val="003B03CE"/>
    <w:rsid w:val="003B0473"/>
    <w:rsid w:val="003B04DD"/>
    <w:rsid w:val="003B0B44"/>
    <w:rsid w:val="003B0D88"/>
    <w:rsid w:val="003B11D5"/>
    <w:rsid w:val="003B1416"/>
    <w:rsid w:val="003B14B2"/>
    <w:rsid w:val="003B167C"/>
    <w:rsid w:val="003B1932"/>
    <w:rsid w:val="003B1D7B"/>
    <w:rsid w:val="003B26AB"/>
    <w:rsid w:val="003B2C49"/>
    <w:rsid w:val="003B2F8E"/>
    <w:rsid w:val="003B3850"/>
    <w:rsid w:val="003B3994"/>
    <w:rsid w:val="003B39CA"/>
    <w:rsid w:val="003B3E47"/>
    <w:rsid w:val="003B3EE8"/>
    <w:rsid w:val="003B41D6"/>
    <w:rsid w:val="003B4261"/>
    <w:rsid w:val="003B4325"/>
    <w:rsid w:val="003B4368"/>
    <w:rsid w:val="003B4523"/>
    <w:rsid w:val="003B49F7"/>
    <w:rsid w:val="003B4A95"/>
    <w:rsid w:val="003B4AC7"/>
    <w:rsid w:val="003B4E74"/>
    <w:rsid w:val="003B5768"/>
    <w:rsid w:val="003B58C3"/>
    <w:rsid w:val="003B62B5"/>
    <w:rsid w:val="003B6565"/>
    <w:rsid w:val="003B668E"/>
    <w:rsid w:val="003B6786"/>
    <w:rsid w:val="003B67BF"/>
    <w:rsid w:val="003B6DC2"/>
    <w:rsid w:val="003B6F07"/>
    <w:rsid w:val="003B7363"/>
    <w:rsid w:val="003B756D"/>
    <w:rsid w:val="003B794D"/>
    <w:rsid w:val="003B7C1B"/>
    <w:rsid w:val="003B7EAD"/>
    <w:rsid w:val="003C0136"/>
    <w:rsid w:val="003C02A9"/>
    <w:rsid w:val="003C03EB"/>
    <w:rsid w:val="003C0421"/>
    <w:rsid w:val="003C04B0"/>
    <w:rsid w:val="003C0792"/>
    <w:rsid w:val="003C08A3"/>
    <w:rsid w:val="003C1277"/>
    <w:rsid w:val="003C138B"/>
    <w:rsid w:val="003C1456"/>
    <w:rsid w:val="003C176A"/>
    <w:rsid w:val="003C18D7"/>
    <w:rsid w:val="003C1B8F"/>
    <w:rsid w:val="003C1CA5"/>
    <w:rsid w:val="003C1D19"/>
    <w:rsid w:val="003C2059"/>
    <w:rsid w:val="003C2474"/>
    <w:rsid w:val="003C248C"/>
    <w:rsid w:val="003C25A3"/>
    <w:rsid w:val="003C25B1"/>
    <w:rsid w:val="003C2B1A"/>
    <w:rsid w:val="003C3D15"/>
    <w:rsid w:val="003C3FDB"/>
    <w:rsid w:val="003C4829"/>
    <w:rsid w:val="003C48C1"/>
    <w:rsid w:val="003C4A4B"/>
    <w:rsid w:val="003C4B0A"/>
    <w:rsid w:val="003C52B4"/>
    <w:rsid w:val="003C52B9"/>
    <w:rsid w:val="003C55EB"/>
    <w:rsid w:val="003C5859"/>
    <w:rsid w:val="003C5C52"/>
    <w:rsid w:val="003C5E24"/>
    <w:rsid w:val="003C6153"/>
    <w:rsid w:val="003C6A81"/>
    <w:rsid w:val="003C6FD6"/>
    <w:rsid w:val="003C7593"/>
    <w:rsid w:val="003C7F0C"/>
    <w:rsid w:val="003D018B"/>
    <w:rsid w:val="003D034C"/>
    <w:rsid w:val="003D0713"/>
    <w:rsid w:val="003D0A1B"/>
    <w:rsid w:val="003D0A64"/>
    <w:rsid w:val="003D0DBF"/>
    <w:rsid w:val="003D0EBD"/>
    <w:rsid w:val="003D1127"/>
    <w:rsid w:val="003D15CF"/>
    <w:rsid w:val="003D1DE3"/>
    <w:rsid w:val="003D1E34"/>
    <w:rsid w:val="003D1EAB"/>
    <w:rsid w:val="003D249E"/>
    <w:rsid w:val="003D25E2"/>
    <w:rsid w:val="003D2731"/>
    <w:rsid w:val="003D2A34"/>
    <w:rsid w:val="003D2CC7"/>
    <w:rsid w:val="003D2CE8"/>
    <w:rsid w:val="003D31A0"/>
    <w:rsid w:val="003D32AA"/>
    <w:rsid w:val="003D34D2"/>
    <w:rsid w:val="003D3BAB"/>
    <w:rsid w:val="003D3C42"/>
    <w:rsid w:val="003D3C99"/>
    <w:rsid w:val="003D3D3F"/>
    <w:rsid w:val="003D3E4F"/>
    <w:rsid w:val="003D3FAA"/>
    <w:rsid w:val="003D404C"/>
    <w:rsid w:val="003D40E7"/>
    <w:rsid w:val="003D41C5"/>
    <w:rsid w:val="003D443A"/>
    <w:rsid w:val="003D4A96"/>
    <w:rsid w:val="003D4C86"/>
    <w:rsid w:val="003D5C9F"/>
    <w:rsid w:val="003D5E93"/>
    <w:rsid w:val="003D5F7D"/>
    <w:rsid w:val="003D6043"/>
    <w:rsid w:val="003D61DA"/>
    <w:rsid w:val="003D624E"/>
    <w:rsid w:val="003D643E"/>
    <w:rsid w:val="003D6BBD"/>
    <w:rsid w:val="003D6DFF"/>
    <w:rsid w:val="003D6ED1"/>
    <w:rsid w:val="003D75AC"/>
    <w:rsid w:val="003D7C83"/>
    <w:rsid w:val="003D7D7A"/>
    <w:rsid w:val="003E0072"/>
    <w:rsid w:val="003E031C"/>
    <w:rsid w:val="003E04CF"/>
    <w:rsid w:val="003E0E76"/>
    <w:rsid w:val="003E0E99"/>
    <w:rsid w:val="003E11BE"/>
    <w:rsid w:val="003E122B"/>
    <w:rsid w:val="003E1545"/>
    <w:rsid w:val="003E174D"/>
    <w:rsid w:val="003E17C3"/>
    <w:rsid w:val="003E18A7"/>
    <w:rsid w:val="003E1AD8"/>
    <w:rsid w:val="003E1BB5"/>
    <w:rsid w:val="003E1CF5"/>
    <w:rsid w:val="003E2739"/>
    <w:rsid w:val="003E3242"/>
    <w:rsid w:val="003E332F"/>
    <w:rsid w:val="003E342F"/>
    <w:rsid w:val="003E344F"/>
    <w:rsid w:val="003E35AA"/>
    <w:rsid w:val="003E3624"/>
    <w:rsid w:val="003E36B2"/>
    <w:rsid w:val="003E3F13"/>
    <w:rsid w:val="003E40E0"/>
    <w:rsid w:val="003E419A"/>
    <w:rsid w:val="003E4362"/>
    <w:rsid w:val="003E476E"/>
    <w:rsid w:val="003E4AEF"/>
    <w:rsid w:val="003E4DBE"/>
    <w:rsid w:val="003E51A1"/>
    <w:rsid w:val="003E543B"/>
    <w:rsid w:val="003E5BE7"/>
    <w:rsid w:val="003E5CCD"/>
    <w:rsid w:val="003E6447"/>
    <w:rsid w:val="003E648A"/>
    <w:rsid w:val="003E648F"/>
    <w:rsid w:val="003E6549"/>
    <w:rsid w:val="003E6C8F"/>
    <w:rsid w:val="003E71B4"/>
    <w:rsid w:val="003E7376"/>
    <w:rsid w:val="003E76EA"/>
    <w:rsid w:val="003E7814"/>
    <w:rsid w:val="003E782F"/>
    <w:rsid w:val="003E7D34"/>
    <w:rsid w:val="003E7F70"/>
    <w:rsid w:val="003F0005"/>
    <w:rsid w:val="003F06A5"/>
    <w:rsid w:val="003F0AAB"/>
    <w:rsid w:val="003F11EC"/>
    <w:rsid w:val="003F1910"/>
    <w:rsid w:val="003F1DDA"/>
    <w:rsid w:val="003F1E7A"/>
    <w:rsid w:val="003F1ECE"/>
    <w:rsid w:val="003F1F39"/>
    <w:rsid w:val="003F2204"/>
    <w:rsid w:val="003F2A8D"/>
    <w:rsid w:val="003F2AE2"/>
    <w:rsid w:val="003F2B72"/>
    <w:rsid w:val="003F3219"/>
    <w:rsid w:val="003F323A"/>
    <w:rsid w:val="003F32FB"/>
    <w:rsid w:val="003F3311"/>
    <w:rsid w:val="003F360F"/>
    <w:rsid w:val="003F362C"/>
    <w:rsid w:val="003F38C1"/>
    <w:rsid w:val="003F3A9A"/>
    <w:rsid w:val="003F3CC3"/>
    <w:rsid w:val="003F3DC4"/>
    <w:rsid w:val="003F4545"/>
    <w:rsid w:val="003F5376"/>
    <w:rsid w:val="003F5586"/>
    <w:rsid w:val="003F564D"/>
    <w:rsid w:val="003F5936"/>
    <w:rsid w:val="003F5B46"/>
    <w:rsid w:val="003F5C4A"/>
    <w:rsid w:val="003F5E38"/>
    <w:rsid w:val="003F6474"/>
    <w:rsid w:val="003F647C"/>
    <w:rsid w:val="003F670F"/>
    <w:rsid w:val="003F687A"/>
    <w:rsid w:val="003F6BD7"/>
    <w:rsid w:val="0040015A"/>
    <w:rsid w:val="004001E4"/>
    <w:rsid w:val="004002F0"/>
    <w:rsid w:val="00400814"/>
    <w:rsid w:val="00400B47"/>
    <w:rsid w:val="00400DB7"/>
    <w:rsid w:val="00401086"/>
    <w:rsid w:val="00401202"/>
    <w:rsid w:val="00401A27"/>
    <w:rsid w:val="00401A75"/>
    <w:rsid w:val="00401CCA"/>
    <w:rsid w:val="00401D64"/>
    <w:rsid w:val="00401F60"/>
    <w:rsid w:val="004021E0"/>
    <w:rsid w:val="004027BA"/>
    <w:rsid w:val="00402833"/>
    <w:rsid w:val="00402978"/>
    <w:rsid w:val="00402B08"/>
    <w:rsid w:val="00402C0B"/>
    <w:rsid w:val="00402D7D"/>
    <w:rsid w:val="00402FF5"/>
    <w:rsid w:val="0040310C"/>
    <w:rsid w:val="004038B6"/>
    <w:rsid w:val="004038C6"/>
    <w:rsid w:val="00403AFA"/>
    <w:rsid w:val="00403B7B"/>
    <w:rsid w:val="00403FBA"/>
    <w:rsid w:val="00403FE4"/>
    <w:rsid w:val="00404737"/>
    <w:rsid w:val="004047D0"/>
    <w:rsid w:val="004048EE"/>
    <w:rsid w:val="00404B5E"/>
    <w:rsid w:val="00404D0A"/>
    <w:rsid w:val="00404EA5"/>
    <w:rsid w:val="00405576"/>
    <w:rsid w:val="00405728"/>
    <w:rsid w:val="00405737"/>
    <w:rsid w:val="00405DBC"/>
    <w:rsid w:val="004060D1"/>
    <w:rsid w:val="0040684C"/>
    <w:rsid w:val="00406A7A"/>
    <w:rsid w:val="00406E9B"/>
    <w:rsid w:val="0040716D"/>
    <w:rsid w:val="00407A19"/>
    <w:rsid w:val="00407AB1"/>
    <w:rsid w:val="00407C5F"/>
    <w:rsid w:val="00407CCD"/>
    <w:rsid w:val="00407D9D"/>
    <w:rsid w:val="00407E62"/>
    <w:rsid w:val="00407F97"/>
    <w:rsid w:val="00410170"/>
    <w:rsid w:val="00410496"/>
    <w:rsid w:val="00410760"/>
    <w:rsid w:val="00410A05"/>
    <w:rsid w:val="00410A72"/>
    <w:rsid w:val="00410A89"/>
    <w:rsid w:val="00410AA8"/>
    <w:rsid w:val="00410DE3"/>
    <w:rsid w:val="00410DE4"/>
    <w:rsid w:val="00410E0E"/>
    <w:rsid w:val="00410EC3"/>
    <w:rsid w:val="00410F1B"/>
    <w:rsid w:val="00411000"/>
    <w:rsid w:val="00411338"/>
    <w:rsid w:val="0041144A"/>
    <w:rsid w:val="004118F7"/>
    <w:rsid w:val="00411A8B"/>
    <w:rsid w:val="00411C4C"/>
    <w:rsid w:val="00411E1C"/>
    <w:rsid w:val="00411E43"/>
    <w:rsid w:val="0041218B"/>
    <w:rsid w:val="0041237A"/>
    <w:rsid w:val="004128B7"/>
    <w:rsid w:val="00413414"/>
    <w:rsid w:val="00413457"/>
    <w:rsid w:val="004135D4"/>
    <w:rsid w:val="004135F4"/>
    <w:rsid w:val="00413B4C"/>
    <w:rsid w:val="00413BD7"/>
    <w:rsid w:val="00413BE5"/>
    <w:rsid w:val="0041419B"/>
    <w:rsid w:val="004142E2"/>
    <w:rsid w:val="00414AE8"/>
    <w:rsid w:val="0041505D"/>
    <w:rsid w:val="004151A6"/>
    <w:rsid w:val="00415260"/>
    <w:rsid w:val="0041532A"/>
    <w:rsid w:val="0041590F"/>
    <w:rsid w:val="00415F0D"/>
    <w:rsid w:val="0041603F"/>
    <w:rsid w:val="0041651C"/>
    <w:rsid w:val="00416845"/>
    <w:rsid w:val="004168F3"/>
    <w:rsid w:val="00416BCA"/>
    <w:rsid w:val="00416F50"/>
    <w:rsid w:val="00417655"/>
    <w:rsid w:val="004177D6"/>
    <w:rsid w:val="00417803"/>
    <w:rsid w:val="00417A32"/>
    <w:rsid w:val="00417AB1"/>
    <w:rsid w:val="00420319"/>
    <w:rsid w:val="00420559"/>
    <w:rsid w:val="004206EA"/>
    <w:rsid w:val="00420971"/>
    <w:rsid w:val="00420A13"/>
    <w:rsid w:val="00420E1B"/>
    <w:rsid w:val="00421118"/>
    <w:rsid w:val="004211E4"/>
    <w:rsid w:val="0042128A"/>
    <w:rsid w:val="004212FC"/>
    <w:rsid w:val="0042193C"/>
    <w:rsid w:val="00421A19"/>
    <w:rsid w:val="00422018"/>
    <w:rsid w:val="0042202B"/>
    <w:rsid w:val="00422739"/>
    <w:rsid w:val="00422ECC"/>
    <w:rsid w:val="004232AD"/>
    <w:rsid w:val="0042338B"/>
    <w:rsid w:val="00423439"/>
    <w:rsid w:val="00423790"/>
    <w:rsid w:val="00424856"/>
    <w:rsid w:val="00424BCB"/>
    <w:rsid w:val="0042504B"/>
    <w:rsid w:val="00425241"/>
    <w:rsid w:val="004254CF"/>
    <w:rsid w:val="004257A9"/>
    <w:rsid w:val="00425A52"/>
    <w:rsid w:val="00425AF4"/>
    <w:rsid w:val="00425CA1"/>
    <w:rsid w:val="00425CC2"/>
    <w:rsid w:val="00425D75"/>
    <w:rsid w:val="00426486"/>
    <w:rsid w:val="00426681"/>
    <w:rsid w:val="0042683B"/>
    <w:rsid w:val="00426E08"/>
    <w:rsid w:val="0042701A"/>
    <w:rsid w:val="004270D0"/>
    <w:rsid w:val="0042788A"/>
    <w:rsid w:val="00427A71"/>
    <w:rsid w:val="004300D7"/>
    <w:rsid w:val="00430153"/>
    <w:rsid w:val="004301B0"/>
    <w:rsid w:val="004304F0"/>
    <w:rsid w:val="00430620"/>
    <w:rsid w:val="00430643"/>
    <w:rsid w:val="004308DD"/>
    <w:rsid w:val="004309C1"/>
    <w:rsid w:val="00430AE3"/>
    <w:rsid w:val="0043102E"/>
    <w:rsid w:val="004311BD"/>
    <w:rsid w:val="004313CE"/>
    <w:rsid w:val="004317D6"/>
    <w:rsid w:val="0043195C"/>
    <w:rsid w:val="00431D7B"/>
    <w:rsid w:val="00432212"/>
    <w:rsid w:val="004323D0"/>
    <w:rsid w:val="0043286F"/>
    <w:rsid w:val="004334A3"/>
    <w:rsid w:val="004335C0"/>
    <w:rsid w:val="00434401"/>
    <w:rsid w:val="00434468"/>
    <w:rsid w:val="004344AD"/>
    <w:rsid w:val="004346EE"/>
    <w:rsid w:val="00434986"/>
    <w:rsid w:val="004355E2"/>
    <w:rsid w:val="00436DE5"/>
    <w:rsid w:val="0043753E"/>
    <w:rsid w:val="004378F3"/>
    <w:rsid w:val="0044024F"/>
    <w:rsid w:val="00440630"/>
    <w:rsid w:val="00440689"/>
    <w:rsid w:val="00440772"/>
    <w:rsid w:val="00440A5E"/>
    <w:rsid w:val="00440BC1"/>
    <w:rsid w:val="00440BD7"/>
    <w:rsid w:val="00440D9B"/>
    <w:rsid w:val="00440DA8"/>
    <w:rsid w:val="00440E81"/>
    <w:rsid w:val="00441537"/>
    <w:rsid w:val="0044156F"/>
    <w:rsid w:val="004416CB"/>
    <w:rsid w:val="00441EC1"/>
    <w:rsid w:val="00442F94"/>
    <w:rsid w:val="004431FC"/>
    <w:rsid w:val="004437AB"/>
    <w:rsid w:val="00443EF7"/>
    <w:rsid w:val="004440FE"/>
    <w:rsid w:val="00444559"/>
    <w:rsid w:val="004447AD"/>
    <w:rsid w:val="00444CE7"/>
    <w:rsid w:val="00444D1A"/>
    <w:rsid w:val="00444FF2"/>
    <w:rsid w:val="00445124"/>
    <w:rsid w:val="004452BC"/>
    <w:rsid w:val="004454FF"/>
    <w:rsid w:val="00445809"/>
    <w:rsid w:val="00445BC5"/>
    <w:rsid w:val="004464FD"/>
    <w:rsid w:val="00446AAC"/>
    <w:rsid w:val="00446C60"/>
    <w:rsid w:val="00446DEA"/>
    <w:rsid w:val="00446E16"/>
    <w:rsid w:val="00446E45"/>
    <w:rsid w:val="0044700C"/>
    <w:rsid w:val="00447188"/>
    <w:rsid w:val="00447539"/>
    <w:rsid w:val="00447595"/>
    <w:rsid w:val="00447786"/>
    <w:rsid w:val="004478D7"/>
    <w:rsid w:val="0044795D"/>
    <w:rsid w:val="00447FD3"/>
    <w:rsid w:val="004505C6"/>
    <w:rsid w:val="004507C4"/>
    <w:rsid w:val="00450A11"/>
    <w:rsid w:val="004512F8"/>
    <w:rsid w:val="00451846"/>
    <w:rsid w:val="00451DFF"/>
    <w:rsid w:val="00451E53"/>
    <w:rsid w:val="00451EB0"/>
    <w:rsid w:val="004523F0"/>
    <w:rsid w:val="00452751"/>
    <w:rsid w:val="00452E21"/>
    <w:rsid w:val="004530CC"/>
    <w:rsid w:val="00453365"/>
    <w:rsid w:val="004539A9"/>
    <w:rsid w:val="00454333"/>
    <w:rsid w:val="00454439"/>
    <w:rsid w:val="00454E3A"/>
    <w:rsid w:val="004553DF"/>
    <w:rsid w:val="00455410"/>
    <w:rsid w:val="004556BB"/>
    <w:rsid w:val="00455813"/>
    <w:rsid w:val="00455945"/>
    <w:rsid w:val="00456B6C"/>
    <w:rsid w:val="00456DB3"/>
    <w:rsid w:val="00456E01"/>
    <w:rsid w:val="00456F6C"/>
    <w:rsid w:val="0045734F"/>
    <w:rsid w:val="004576F0"/>
    <w:rsid w:val="0045777F"/>
    <w:rsid w:val="00457F2F"/>
    <w:rsid w:val="00460190"/>
    <w:rsid w:val="004602EC"/>
    <w:rsid w:val="0046032F"/>
    <w:rsid w:val="004603BB"/>
    <w:rsid w:val="0046043D"/>
    <w:rsid w:val="0046044A"/>
    <w:rsid w:val="00460510"/>
    <w:rsid w:val="00460584"/>
    <w:rsid w:val="004605A2"/>
    <w:rsid w:val="00460A61"/>
    <w:rsid w:val="00460AEE"/>
    <w:rsid w:val="00460B5D"/>
    <w:rsid w:val="00460F1A"/>
    <w:rsid w:val="00460F67"/>
    <w:rsid w:val="00461755"/>
    <w:rsid w:val="00461B3B"/>
    <w:rsid w:val="00462143"/>
    <w:rsid w:val="004622E0"/>
    <w:rsid w:val="00462657"/>
    <w:rsid w:val="0046292B"/>
    <w:rsid w:val="0046319C"/>
    <w:rsid w:val="004632B2"/>
    <w:rsid w:val="00463847"/>
    <w:rsid w:val="004639A5"/>
    <w:rsid w:val="00463A4D"/>
    <w:rsid w:val="00463B69"/>
    <w:rsid w:val="00463DFE"/>
    <w:rsid w:val="00463F86"/>
    <w:rsid w:val="00463FA6"/>
    <w:rsid w:val="00464003"/>
    <w:rsid w:val="004642B1"/>
    <w:rsid w:val="004642BD"/>
    <w:rsid w:val="00464387"/>
    <w:rsid w:val="004644C0"/>
    <w:rsid w:val="004645B2"/>
    <w:rsid w:val="004645BE"/>
    <w:rsid w:val="00464617"/>
    <w:rsid w:val="004648C8"/>
    <w:rsid w:val="00465650"/>
    <w:rsid w:val="00465931"/>
    <w:rsid w:val="00465C09"/>
    <w:rsid w:val="00465DFB"/>
    <w:rsid w:val="0046605B"/>
    <w:rsid w:val="004663B8"/>
    <w:rsid w:val="004667B8"/>
    <w:rsid w:val="004669A0"/>
    <w:rsid w:val="00466B85"/>
    <w:rsid w:val="00466DAA"/>
    <w:rsid w:val="004670C7"/>
    <w:rsid w:val="00467194"/>
    <w:rsid w:val="004677B1"/>
    <w:rsid w:val="004679C7"/>
    <w:rsid w:val="00467AB0"/>
    <w:rsid w:val="00467E32"/>
    <w:rsid w:val="004701F6"/>
    <w:rsid w:val="00470450"/>
    <w:rsid w:val="004704DE"/>
    <w:rsid w:val="00470665"/>
    <w:rsid w:val="004706E7"/>
    <w:rsid w:val="0047080E"/>
    <w:rsid w:val="00471CFF"/>
    <w:rsid w:val="00471E26"/>
    <w:rsid w:val="00471FFE"/>
    <w:rsid w:val="004725A0"/>
    <w:rsid w:val="004725AB"/>
    <w:rsid w:val="004726A7"/>
    <w:rsid w:val="00472FAC"/>
    <w:rsid w:val="004730C5"/>
    <w:rsid w:val="004734DC"/>
    <w:rsid w:val="00473AD9"/>
    <w:rsid w:val="00473D17"/>
    <w:rsid w:val="00473D40"/>
    <w:rsid w:val="00473D52"/>
    <w:rsid w:val="00473E77"/>
    <w:rsid w:val="00473EFC"/>
    <w:rsid w:val="004745A5"/>
    <w:rsid w:val="00474DEA"/>
    <w:rsid w:val="00474E03"/>
    <w:rsid w:val="00475011"/>
    <w:rsid w:val="004751BB"/>
    <w:rsid w:val="00475376"/>
    <w:rsid w:val="00475449"/>
    <w:rsid w:val="004754E4"/>
    <w:rsid w:val="00475E72"/>
    <w:rsid w:val="0047601C"/>
    <w:rsid w:val="00476B76"/>
    <w:rsid w:val="00476BC5"/>
    <w:rsid w:val="00476E2D"/>
    <w:rsid w:val="00477157"/>
    <w:rsid w:val="0047717F"/>
    <w:rsid w:val="004777D8"/>
    <w:rsid w:val="00477F75"/>
    <w:rsid w:val="0047A202"/>
    <w:rsid w:val="0047AAE4"/>
    <w:rsid w:val="004809E5"/>
    <w:rsid w:val="0048132A"/>
    <w:rsid w:val="004814F6"/>
    <w:rsid w:val="00481609"/>
    <w:rsid w:val="0048180B"/>
    <w:rsid w:val="00481B6B"/>
    <w:rsid w:val="004823BC"/>
    <w:rsid w:val="00482509"/>
    <w:rsid w:val="0048267D"/>
    <w:rsid w:val="00482E51"/>
    <w:rsid w:val="00482EBD"/>
    <w:rsid w:val="0048322A"/>
    <w:rsid w:val="0048329C"/>
    <w:rsid w:val="00483CA3"/>
    <w:rsid w:val="00484240"/>
    <w:rsid w:val="004847BB"/>
    <w:rsid w:val="00484AE3"/>
    <w:rsid w:val="00484DAE"/>
    <w:rsid w:val="004850DE"/>
    <w:rsid w:val="00485126"/>
    <w:rsid w:val="00485291"/>
    <w:rsid w:val="004852C7"/>
    <w:rsid w:val="004854CD"/>
    <w:rsid w:val="00485701"/>
    <w:rsid w:val="004857A9"/>
    <w:rsid w:val="004858BA"/>
    <w:rsid w:val="004859D5"/>
    <w:rsid w:val="00485EF7"/>
    <w:rsid w:val="0048610F"/>
    <w:rsid w:val="00486928"/>
    <w:rsid w:val="00486B32"/>
    <w:rsid w:val="00486D2E"/>
    <w:rsid w:val="0048704D"/>
    <w:rsid w:val="00487246"/>
    <w:rsid w:val="0048765A"/>
    <w:rsid w:val="00491512"/>
    <w:rsid w:val="00491571"/>
    <w:rsid w:val="004915B2"/>
    <w:rsid w:val="00491640"/>
    <w:rsid w:val="00491B16"/>
    <w:rsid w:val="00491DEF"/>
    <w:rsid w:val="00492252"/>
    <w:rsid w:val="004926B3"/>
    <w:rsid w:val="004927C1"/>
    <w:rsid w:val="00492B92"/>
    <w:rsid w:val="00492C4D"/>
    <w:rsid w:val="00492D1E"/>
    <w:rsid w:val="00492FAD"/>
    <w:rsid w:val="00492FDE"/>
    <w:rsid w:val="004932B1"/>
    <w:rsid w:val="0049380A"/>
    <w:rsid w:val="0049380F"/>
    <w:rsid w:val="00493A2E"/>
    <w:rsid w:val="00493A30"/>
    <w:rsid w:val="00493E67"/>
    <w:rsid w:val="00493EF3"/>
    <w:rsid w:val="004943AF"/>
    <w:rsid w:val="00494527"/>
    <w:rsid w:val="0049466F"/>
    <w:rsid w:val="004947B2"/>
    <w:rsid w:val="0049489C"/>
    <w:rsid w:val="0049492C"/>
    <w:rsid w:val="00495251"/>
    <w:rsid w:val="004954FF"/>
    <w:rsid w:val="00495B60"/>
    <w:rsid w:val="00495BB4"/>
    <w:rsid w:val="00495D4A"/>
    <w:rsid w:val="00496399"/>
    <w:rsid w:val="00496632"/>
    <w:rsid w:val="00496A5D"/>
    <w:rsid w:val="0049720E"/>
    <w:rsid w:val="004972A8"/>
    <w:rsid w:val="00497510"/>
    <w:rsid w:val="0049763D"/>
    <w:rsid w:val="00497816"/>
    <w:rsid w:val="00497D7D"/>
    <w:rsid w:val="00497D7E"/>
    <w:rsid w:val="00497EEF"/>
    <w:rsid w:val="004A01DE"/>
    <w:rsid w:val="004A0364"/>
    <w:rsid w:val="004A0545"/>
    <w:rsid w:val="004A07A6"/>
    <w:rsid w:val="004A0A1F"/>
    <w:rsid w:val="004A0A56"/>
    <w:rsid w:val="004A0C81"/>
    <w:rsid w:val="004A1388"/>
    <w:rsid w:val="004A1692"/>
    <w:rsid w:val="004A1752"/>
    <w:rsid w:val="004A1764"/>
    <w:rsid w:val="004A185F"/>
    <w:rsid w:val="004A1BB8"/>
    <w:rsid w:val="004A1BC3"/>
    <w:rsid w:val="004A209F"/>
    <w:rsid w:val="004A21B0"/>
    <w:rsid w:val="004A2251"/>
    <w:rsid w:val="004A246A"/>
    <w:rsid w:val="004A277C"/>
    <w:rsid w:val="004A292A"/>
    <w:rsid w:val="004A2C51"/>
    <w:rsid w:val="004A3281"/>
    <w:rsid w:val="004A3418"/>
    <w:rsid w:val="004A3679"/>
    <w:rsid w:val="004A38A8"/>
    <w:rsid w:val="004A3C85"/>
    <w:rsid w:val="004A3CA7"/>
    <w:rsid w:val="004A3CAD"/>
    <w:rsid w:val="004A4007"/>
    <w:rsid w:val="004A4389"/>
    <w:rsid w:val="004A4955"/>
    <w:rsid w:val="004A4F45"/>
    <w:rsid w:val="004A54FB"/>
    <w:rsid w:val="004A56BF"/>
    <w:rsid w:val="004A5C85"/>
    <w:rsid w:val="004A5D0E"/>
    <w:rsid w:val="004A62A8"/>
    <w:rsid w:val="004A62C4"/>
    <w:rsid w:val="004A62ED"/>
    <w:rsid w:val="004A63A0"/>
    <w:rsid w:val="004A6591"/>
    <w:rsid w:val="004A6A5D"/>
    <w:rsid w:val="004A6D1C"/>
    <w:rsid w:val="004A6D74"/>
    <w:rsid w:val="004A77DB"/>
    <w:rsid w:val="004A7A63"/>
    <w:rsid w:val="004A7B95"/>
    <w:rsid w:val="004A7F17"/>
    <w:rsid w:val="004A7F4A"/>
    <w:rsid w:val="004A7F8B"/>
    <w:rsid w:val="004B040A"/>
    <w:rsid w:val="004B0557"/>
    <w:rsid w:val="004B059D"/>
    <w:rsid w:val="004B066C"/>
    <w:rsid w:val="004B0814"/>
    <w:rsid w:val="004B107C"/>
    <w:rsid w:val="004B14E2"/>
    <w:rsid w:val="004B1515"/>
    <w:rsid w:val="004B1522"/>
    <w:rsid w:val="004B21D9"/>
    <w:rsid w:val="004B2297"/>
    <w:rsid w:val="004B2520"/>
    <w:rsid w:val="004B2A10"/>
    <w:rsid w:val="004B2BCA"/>
    <w:rsid w:val="004B2E31"/>
    <w:rsid w:val="004B322A"/>
    <w:rsid w:val="004B3744"/>
    <w:rsid w:val="004B3EFD"/>
    <w:rsid w:val="004B3F9A"/>
    <w:rsid w:val="004B4074"/>
    <w:rsid w:val="004B40E7"/>
    <w:rsid w:val="004B4161"/>
    <w:rsid w:val="004B4280"/>
    <w:rsid w:val="004B44B5"/>
    <w:rsid w:val="004B51B5"/>
    <w:rsid w:val="004B5433"/>
    <w:rsid w:val="004B5AD5"/>
    <w:rsid w:val="004B5F3F"/>
    <w:rsid w:val="004B5FF0"/>
    <w:rsid w:val="004B60D4"/>
    <w:rsid w:val="004B62C7"/>
    <w:rsid w:val="004B68D6"/>
    <w:rsid w:val="004B6A38"/>
    <w:rsid w:val="004B6E70"/>
    <w:rsid w:val="004B6F5F"/>
    <w:rsid w:val="004B6F7F"/>
    <w:rsid w:val="004B6FAF"/>
    <w:rsid w:val="004B737F"/>
    <w:rsid w:val="004B756F"/>
    <w:rsid w:val="004B798B"/>
    <w:rsid w:val="004C0073"/>
    <w:rsid w:val="004C0745"/>
    <w:rsid w:val="004C07A9"/>
    <w:rsid w:val="004C07C6"/>
    <w:rsid w:val="004C08AD"/>
    <w:rsid w:val="004C0DA9"/>
    <w:rsid w:val="004C131C"/>
    <w:rsid w:val="004C1671"/>
    <w:rsid w:val="004C1B7A"/>
    <w:rsid w:val="004C1D68"/>
    <w:rsid w:val="004C2679"/>
    <w:rsid w:val="004C2BA4"/>
    <w:rsid w:val="004C2D03"/>
    <w:rsid w:val="004C30C3"/>
    <w:rsid w:val="004C3300"/>
    <w:rsid w:val="004C3B89"/>
    <w:rsid w:val="004C3BD1"/>
    <w:rsid w:val="004C3D60"/>
    <w:rsid w:val="004C4122"/>
    <w:rsid w:val="004C41AE"/>
    <w:rsid w:val="004C44A2"/>
    <w:rsid w:val="004C480C"/>
    <w:rsid w:val="004C4953"/>
    <w:rsid w:val="004C4D5C"/>
    <w:rsid w:val="004C510E"/>
    <w:rsid w:val="004C5223"/>
    <w:rsid w:val="004C5350"/>
    <w:rsid w:val="004C680A"/>
    <w:rsid w:val="004C6F21"/>
    <w:rsid w:val="004C739D"/>
    <w:rsid w:val="004C7584"/>
    <w:rsid w:val="004C75BE"/>
    <w:rsid w:val="004C7DAE"/>
    <w:rsid w:val="004D01B2"/>
    <w:rsid w:val="004D057F"/>
    <w:rsid w:val="004D0E5E"/>
    <w:rsid w:val="004D104E"/>
    <w:rsid w:val="004D1397"/>
    <w:rsid w:val="004D1D86"/>
    <w:rsid w:val="004D2143"/>
    <w:rsid w:val="004D2699"/>
    <w:rsid w:val="004D29FB"/>
    <w:rsid w:val="004D2FBB"/>
    <w:rsid w:val="004D30A4"/>
    <w:rsid w:val="004D31B8"/>
    <w:rsid w:val="004D34B9"/>
    <w:rsid w:val="004D370D"/>
    <w:rsid w:val="004D3879"/>
    <w:rsid w:val="004D3DEE"/>
    <w:rsid w:val="004D3FA0"/>
    <w:rsid w:val="004D4220"/>
    <w:rsid w:val="004D465B"/>
    <w:rsid w:val="004D474A"/>
    <w:rsid w:val="004D4849"/>
    <w:rsid w:val="004D48C6"/>
    <w:rsid w:val="004D4C3C"/>
    <w:rsid w:val="004D4F2D"/>
    <w:rsid w:val="004D5632"/>
    <w:rsid w:val="004D56EC"/>
    <w:rsid w:val="004D57BB"/>
    <w:rsid w:val="004D5C13"/>
    <w:rsid w:val="004D5C14"/>
    <w:rsid w:val="004D5C3F"/>
    <w:rsid w:val="004D5D61"/>
    <w:rsid w:val="004D5E2C"/>
    <w:rsid w:val="004D6256"/>
    <w:rsid w:val="004D63C2"/>
    <w:rsid w:val="004D6500"/>
    <w:rsid w:val="004D6B04"/>
    <w:rsid w:val="004D6BD1"/>
    <w:rsid w:val="004D6D36"/>
    <w:rsid w:val="004D6FCF"/>
    <w:rsid w:val="004D74A2"/>
    <w:rsid w:val="004D7863"/>
    <w:rsid w:val="004D79C7"/>
    <w:rsid w:val="004D7C32"/>
    <w:rsid w:val="004D7CAA"/>
    <w:rsid w:val="004D7FEE"/>
    <w:rsid w:val="004E0044"/>
    <w:rsid w:val="004E01FF"/>
    <w:rsid w:val="004E0211"/>
    <w:rsid w:val="004E0484"/>
    <w:rsid w:val="004E058A"/>
    <w:rsid w:val="004E0768"/>
    <w:rsid w:val="004E0824"/>
    <w:rsid w:val="004E0949"/>
    <w:rsid w:val="004E0F3F"/>
    <w:rsid w:val="004E0F7F"/>
    <w:rsid w:val="004E100C"/>
    <w:rsid w:val="004E190A"/>
    <w:rsid w:val="004E1B5D"/>
    <w:rsid w:val="004E1DBA"/>
    <w:rsid w:val="004E20DA"/>
    <w:rsid w:val="004E30CB"/>
    <w:rsid w:val="004E3762"/>
    <w:rsid w:val="004E3A55"/>
    <w:rsid w:val="004E3C00"/>
    <w:rsid w:val="004E437A"/>
    <w:rsid w:val="004E4A61"/>
    <w:rsid w:val="004E560A"/>
    <w:rsid w:val="004E57B5"/>
    <w:rsid w:val="004E5EF3"/>
    <w:rsid w:val="004E5F37"/>
    <w:rsid w:val="004E5F5A"/>
    <w:rsid w:val="004E5FC7"/>
    <w:rsid w:val="004E61EA"/>
    <w:rsid w:val="004E6650"/>
    <w:rsid w:val="004E6AA0"/>
    <w:rsid w:val="004E6B55"/>
    <w:rsid w:val="004E6DB4"/>
    <w:rsid w:val="004E6E67"/>
    <w:rsid w:val="004E6FF0"/>
    <w:rsid w:val="004E70BA"/>
    <w:rsid w:val="004E77D0"/>
    <w:rsid w:val="004E7898"/>
    <w:rsid w:val="004E79FA"/>
    <w:rsid w:val="004E7B99"/>
    <w:rsid w:val="004E7BE3"/>
    <w:rsid w:val="004F0264"/>
    <w:rsid w:val="004F0970"/>
    <w:rsid w:val="004F11C5"/>
    <w:rsid w:val="004F1427"/>
    <w:rsid w:val="004F16FD"/>
    <w:rsid w:val="004F18CD"/>
    <w:rsid w:val="004F1BE5"/>
    <w:rsid w:val="004F1C83"/>
    <w:rsid w:val="004F2028"/>
    <w:rsid w:val="004F236E"/>
    <w:rsid w:val="004F26BF"/>
    <w:rsid w:val="004F29BC"/>
    <w:rsid w:val="004F3242"/>
    <w:rsid w:val="004F3477"/>
    <w:rsid w:val="004F377A"/>
    <w:rsid w:val="004F38B8"/>
    <w:rsid w:val="004F398E"/>
    <w:rsid w:val="004F3C74"/>
    <w:rsid w:val="004F4041"/>
    <w:rsid w:val="004F4697"/>
    <w:rsid w:val="004F4737"/>
    <w:rsid w:val="004F4E02"/>
    <w:rsid w:val="004F55D0"/>
    <w:rsid w:val="004F57E9"/>
    <w:rsid w:val="004F5ADB"/>
    <w:rsid w:val="004F5CEC"/>
    <w:rsid w:val="004F6157"/>
    <w:rsid w:val="004F6324"/>
    <w:rsid w:val="004F6761"/>
    <w:rsid w:val="004F6A78"/>
    <w:rsid w:val="004F71A3"/>
    <w:rsid w:val="004F76E8"/>
    <w:rsid w:val="004F7B2A"/>
    <w:rsid w:val="00500065"/>
    <w:rsid w:val="005003B5"/>
    <w:rsid w:val="00500618"/>
    <w:rsid w:val="005006D5"/>
    <w:rsid w:val="00500C7B"/>
    <w:rsid w:val="00500D61"/>
    <w:rsid w:val="00500E33"/>
    <w:rsid w:val="00501322"/>
    <w:rsid w:val="0050140E"/>
    <w:rsid w:val="00501968"/>
    <w:rsid w:val="00501AA9"/>
    <w:rsid w:val="00501CED"/>
    <w:rsid w:val="00501FA4"/>
    <w:rsid w:val="00501FD4"/>
    <w:rsid w:val="00502127"/>
    <w:rsid w:val="0050225F"/>
    <w:rsid w:val="0050287C"/>
    <w:rsid w:val="00502C4E"/>
    <w:rsid w:val="00502CA3"/>
    <w:rsid w:val="00502EED"/>
    <w:rsid w:val="00502F19"/>
    <w:rsid w:val="00502F62"/>
    <w:rsid w:val="0050317D"/>
    <w:rsid w:val="005032FA"/>
    <w:rsid w:val="0050336D"/>
    <w:rsid w:val="005035D0"/>
    <w:rsid w:val="00503750"/>
    <w:rsid w:val="00503AFF"/>
    <w:rsid w:val="005042E1"/>
    <w:rsid w:val="00504735"/>
    <w:rsid w:val="00504850"/>
    <w:rsid w:val="00504B2C"/>
    <w:rsid w:val="00504F9C"/>
    <w:rsid w:val="0050516C"/>
    <w:rsid w:val="00505576"/>
    <w:rsid w:val="005058B5"/>
    <w:rsid w:val="00505A8D"/>
    <w:rsid w:val="00505AE2"/>
    <w:rsid w:val="00505CC8"/>
    <w:rsid w:val="005062CD"/>
    <w:rsid w:val="005068C4"/>
    <w:rsid w:val="00506A5E"/>
    <w:rsid w:val="00507255"/>
    <w:rsid w:val="0050745A"/>
    <w:rsid w:val="00507670"/>
    <w:rsid w:val="0050789C"/>
    <w:rsid w:val="00507A08"/>
    <w:rsid w:val="00507A67"/>
    <w:rsid w:val="00510198"/>
    <w:rsid w:val="005103C5"/>
    <w:rsid w:val="0051045E"/>
    <w:rsid w:val="00510715"/>
    <w:rsid w:val="0051079F"/>
    <w:rsid w:val="00510AF5"/>
    <w:rsid w:val="00510FC0"/>
    <w:rsid w:val="005111BC"/>
    <w:rsid w:val="00511292"/>
    <w:rsid w:val="005112EF"/>
    <w:rsid w:val="005112FB"/>
    <w:rsid w:val="00511E80"/>
    <w:rsid w:val="005120AE"/>
    <w:rsid w:val="0051245F"/>
    <w:rsid w:val="00512490"/>
    <w:rsid w:val="00512795"/>
    <w:rsid w:val="00512979"/>
    <w:rsid w:val="00512F9C"/>
    <w:rsid w:val="0051342C"/>
    <w:rsid w:val="005135CF"/>
    <w:rsid w:val="00513642"/>
    <w:rsid w:val="0051379B"/>
    <w:rsid w:val="00513B86"/>
    <w:rsid w:val="00513B98"/>
    <w:rsid w:val="00513D19"/>
    <w:rsid w:val="00513E04"/>
    <w:rsid w:val="0051423B"/>
    <w:rsid w:val="00514647"/>
    <w:rsid w:val="005147D7"/>
    <w:rsid w:val="00514864"/>
    <w:rsid w:val="00514E03"/>
    <w:rsid w:val="00515052"/>
    <w:rsid w:val="005153CC"/>
    <w:rsid w:val="0051544A"/>
    <w:rsid w:val="00515462"/>
    <w:rsid w:val="005157A9"/>
    <w:rsid w:val="00515A1C"/>
    <w:rsid w:val="00515C8E"/>
    <w:rsid w:val="005167C5"/>
    <w:rsid w:val="00516B32"/>
    <w:rsid w:val="00516BBF"/>
    <w:rsid w:val="00516D08"/>
    <w:rsid w:val="00516DF9"/>
    <w:rsid w:val="00516DFB"/>
    <w:rsid w:val="00516F48"/>
    <w:rsid w:val="00517071"/>
    <w:rsid w:val="005170DF"/>
    <w:rsid w:val="005174F1"/>
    <w:rsid w:val="005179EA"/>
    <w:rsid w:val="00517BB5"/>
    <w:rsid w:val="00517C7C"/>
    <w:rsid w:val="00517FEF"/>
    <w:rsid w:val="005209B1"/>
    <w:rsid w:val="00520C59"/>
    <w:rsid w:val="00520F13"/>
    <w:rsid w:val="00521704"/>
    <w:rsid w:val="00521D13"/>
    <w:rsid w:val="00521DAE"/>
    <w:rsid w:val="005220F7"/>
    <w:rsid w:val="005231FA"/>
    <w:rsid w:val="005231FF"/>
    <w:rsid w:val="00523334"/>
    <w:rsid w:val="0052362A"/>
    <w:rsid w:val="00523694"/>
    <w:rsid w:val="00523696"/>
    <w:rsid w:val="00523744"/>
    <w:rsid w:val="00523C63"/>
    <w:rsid w:val="00523EB1"/>
    <w:rsid w:val="0052440D"/>
    <w:rsid w:val="00524577"/>
    <w:rsid w:val="00524FD6"/>
    <w:rsid w:val="00525005"/>
    <w:rsid w:val="00525300"/>
    <w:rsid w:val="00525AB4"/>
    <w:rsid w:val="00525C27"/>
    <w:rsid w:val="00526065"/>
    <w:rsid w:val="00526421"/>
    <w:rsid w:val="00526589"/>
    <w:rsid w:val="0052677A"/>
    <w:rsid w:val="00527080"/>
    <w:rsid w:val="0052727B"/>
    <w:rsid w:val="00527288"/>
    <w:rsid w:val="00527298"/>
    <w:rsid w:val="005273D7"/>
    <w:rsid w:val="00527524"/>
    <w:rsid w:val="00527667"/>
    <w:rsid w:val="005277A5"/>
    <w:rsid w:val="00527828"/>
    <w:rsid w:val="00527A55"/>
    <w:rsid w:val="005301DF"/>
    <w:rsid w:val="0053060F"/>
    <w:rsid w:val="0053095C"/>
    <w:rsid w:val="00530B00"/>
    <w:rsid w:val="005313B8"/>
    <w:rsid w:val="0053186B"/>
    <w:rsid w:val="00531BCA"/>
    <w:rsid w:val="00531BEB"/>
    <w:rsid w:val="00531DC4"/>
    <w:rsid w:val="0053221B"/>
    <w:rsid w:val="005328FF"/>
    <w:rsid w:val="00532E2F"/>
    <w:rsid w:val="00532F70"/>
    <w:rsid w:val="005331FF"/>
    <w:rsid w:val="00533534"/>
    <w:rsid w:val="005336BA"/>
    <w:rsid w:val="005336E5"/>
    <w:rsid w:val="00533E5D"/>
    <w:rsid w:val="00533F1E"/>
    <w:rsid w:val="0053432D"/>
    <w:rsid w:val="00534373"/>
    <w:rsid w:val="005346AF"/>
    <w:rsid w:val="005347D3"/>
    <w:rsid w:val="00534A90"/>
    <w:rsid w:val="00535450"/>
    <w:rsid w:val="00535CE2"/>
    <w:rsid w:val="00535D9F"/>
    <w:rsid w:val="00535F9E"/>
    <w:rsid w:val="005363BC"/>
    <w:rsid w:val="0053650F"/>
    <w:rsid w:val="00536530"/>
    <w:rsid w:val="00536C55"/>
    <w:rsid w:val="00536EA6"/>
    <w:rsid w:val="00536F49"/>
    <w:rsid w:val="005370BF"/>
    <w:rsid w:val="005374C5"/>
    <w:rsid w:val="005400EA"/>
    <w:rsid w:val="0054019A"/>
    <w:rsid w:val="005405E1"/>
    <w:rsid w:val="00540D3C"/>
    <w:rsid w:val="00540DDB"/>
    <w:rsid w:val="00540E19"/>
    <w:rsid w:val="00540F21"/>
    <w:rsid w:val="00540FED"/>
    <w:rsid w:val="00541142"/>
    <w:rsid w:val="005413B8"/>
    <w:rsid w:val="00542017"/>
    <w:rsid w:val="0054213C"/>
    <w:rsid w:val="00542163"/>
    <w:rsid w:val="0054224F"/>
    <w:rsid w:val="00542709"/>
    <w:rsid w:val="005427D2"/>
    <w:rsid w:val="005427DF"/>
    <w:rsid w:val="0054298E"/>
    <w:rsid w:val="00542BBB"/>
    <w:rsid w:val="00542D5F"/>
    <w:rsid w:val="00542D6B"/>
    <w:rsid w:val="00542D6E"/>
    <w:rsid w:val="005433D9"/>
    <w:rsid w:val="005434A7"/>
    <w:rsid w:val="005434E9"/>
    <w:rsid w:val="005437FF"/>
    <w:rsid w:val="00543915"/>
    <w:rsid w:val="005439B6"/>
    <w:rsid w:val="00543C23"/>
    <w:rsid w:val="00543CB3"/>
    <w:rsid w:val="00544044"/>
    <w:rsid w:val="00544057"/>
    <w:rsid w:val="005440CC"/>
    <w:rsid w:val="00544517"/>
    <w:rsid w:val="005445D2"/>
    <w:rsid w:val="005446F0"/>
    <w:rsid w:val="00544EF0"/>
    <w:rsid w:val="0054581D"/>
    <w:rsid w:val="00545EDA"/>
    <w:rsid w:val="005462DC"/>
    <w:rsid w:val="0054634E"/>
    <w:rsid w:val="0054637B"/>
    <w:rsid w:val="00546912"/>
    <w:rsid w:val="00546BDF"/>
    <w:rsid w:val="00546C47"/>
    <w:rsid w:val="00546C72"/>
    <w:rsid w:val="00546E50"/>
    <w:rsid w:val="0054774F"/>
    <w:rsid w:val="0054780F"/>
    <w:rsid w:val="0054787B"/>
    <w:rsid w:val="005478FE"/>
    <w:rsid w:val="00547B59"/>
    <w:rsid w:val="00547BAD"/>
    <w:rsid w:val="00547CF9"/>
    <w:rsid w:val="00547EC6"/>
    <w:rsid w:val="00547F31"/>
    <w:rsid w:val="00550498"/>
    <w:rsid w:val="00550971"/>
    <w:rsid w:val="00550EDA"/>
    <w:rsid w:val="00551137"/>
    <w:rsid w:val="005513D5"/>
    <w:rsid w:val="0055155D"/>
    <w:rsid w:val="00551B29"/>
    <w:rsid w:val="00551B33"/>
    <w:rsid w:val="00551EEC"/>
    <w:rsid w:val="00552097"/>
    <w:rsid w:val="005524F8"/>
    <w:rsid w:val="0055262C"/>
    <w:rsid w:val="005528F6"/>
    <w:rsid w:val="00552910"/>
    <w:rsid w:val="005529E6"/>
    <w:rsid w:val="00552DE3"/>
    <w:rsid w:val="00553467"/>
    <w:rsid w:val="00553837"/>
    <w:rsid w:val="005538FC"/>
    <w:rsid w:val="00553913"/>
    <w:rsid w:val="00553A8F"/>
    <w:rsid w:val="00553FC0"/>
    <w:rsid w:val="00554103"/>
    <w:rsid w:val="00554271"/>
    <w:rsid w:val="0055477B"/>
    <w:rsid w:val="005549BE"/>
    <w:rsid w:val="00554D4D"/>
    <w:rsid w:val="00554EB0"/>
    <w:rsid w:val="005551A5"/>
    <w:rsid w:val="00555330"/>
    <w:rsid w:val="00555924"/>
    <w:rsid w:val="00555CF9"/>
    <w:rsid w:val="00555FCB"/>
    <w:rsid w:val="0055640C"/>
    <w:rsid w:val="00556476"/>
    <w:rsid w:val="005564B8"/>
    <w:rsid w:val="005568E6"/>
    <w:rsid w:val="00556B95"/>
    <w:rsid w:val="00556C5E"/>
    <w:rsid w:val="00556C76"/>
    <w:rsid w:val="00556D52"/>
    <w:rsid w:val="005570BC"/>
    <w:rsid w:val="00557419"/>
    <w:rsid w:val="0055748B"/>
    <w:rsid w:val="005578CF"/>
    <w:rsid w:val="005608E5"/>
    <w:rsid w:val="00560AFC"/>
    <w:rsid w:val="00560B99"/>
    <w:rsid w:val="00560C63"/>
    <w:rsid w:val="00560C8E"/>
    <w:rsid w:val="00560CA4"/>
    <w:rsid w:val="00560DEE"/>
    <w:rsid w:val="005612DB"/>
    <w:rsid w:val="00561609"/>
    <w:rsid w:val="0056166E"/>
    <w:rsid w:val="0056171C"/>
    <w:rsid w:val="00561CF3"/>
    <w:rsid w:val="00561EB7"/>
    <w:rsid w:val="005620A7"/>
    <w:rsid w:val="00562194"/>
    <w:rsid w:val="00562433"/>
    <w:rsid w:val="00562718"/>
    <w:rsid w:val="00563100"/>
    <w:rsid w:val="005634EF"/>
    <w:rsid w:val="00563523"/>
    <w:rsid w:val="005636B2"/>
    <w:rsid w:val="005638B3"/>
    <w:rsid w:val="00563B74"/>
    <w:rsid w:val="00564939"/>
    <w:rsid w:val="00564CBE"/>
    <w:rsid w:val="00565039"/>
    <w:rsid w:val="00565111"/>
    <w:rsid w:val="005653D2"/>
    <w:rsid w:val="005653FE"/>
    <w:rsid w:val="005654A5"/>
    <w:rsid w:val="005656C2"/>
    <w:rsid w:val="00566184"/>
    <w:rsid w:val="005663F7"/>
    <w:rsid w:val="0056648E"/>
    <w:rsid w:val="00566BE2"/>
    <w:rsid w:val="00566DFC"/>
    <w:rsid w:val="005673DE"/>
    <w:rsid w:val="00567733"/>
    <w:rsid w:val="00567F0C"/>
    <w:rsid w:val="00567F97"/>
    <w:rsid w:val="00570447"/>
    <w:rsid w:val="00570625"/>
    <w:rsid w:val="005709B8"/>
    <w:rsid w:val="00570F68"/>
    <w:rsid w:val="0057178D"/>
    <w:rsid w:val="00571ADB"/>
    <w:rsid w:val="00572171"/>
    <w:rsid w:val="00572432"/>
    <w:rsid w:val="005725DC"/>
    <w:rsid w:val="005726A5"/>
    <w:rsid w:val="00572992"/>
    <w:rsid w:val="005729FB"/>
    <w:rsid w:val="00572D78"/>
    <w:rsid w:val="005730CF"/>
    <w:rsid w:val="0057311A"/>
    <w:rsid w:val="0057349B"/>
    <w:rsid w:val="0057375C"/>
    <w:rsid w:val="005737F5"/>
    <w:rsid w:val="00573CC4"/>
    <w:rsid w:val="00573DDC"/>
    <w:rsid w:val="00573F7B"/>
    <w:rsid w:val="00574250"/>
    <w:rsid w:val="005744B5"/>
    <w:rsid w:val="005745AA"/>
    <w:rsid w:val="00574A62"/>
    <w:rsid w:val="00574B4D"/>
    <w:rsid w:val="00574C18"/>
    <w:rsid w:val="00575094"/>
    <w:rsid w:val="005750FE"/>
    <w:rsid w:val="0057534C"/>
    <w:rsid w:val="00575C4B"/>
    <w:rsid w:val="00575FFE"/>
    <w:rsid w:val="0057619D"/>
    <w:rsid w:val="00576A08"/>
    <w:rsid w:val="00576A6D"/>
    <w:rsid w:val="00576C3D"/>
    <w:rsid w:val="00577069"/>
    <w:rsid w:val="0057709B"/>
    <w:rsid w:val="00577149"/>
    <w:rsid w:val="005772BC"/>
    <w:rsid w:val="00577E20"/>
    <w:rsid w:val="00577F89"/>
    <w:rsid w:val="0058019F"/>
    <w:rsid w:val="00580612"/>
    <w:rsid w:val="00580D66"/>
    <w:rsid w:val="00580D6A"/>
    <w:rsid w:val="00580F6E"/>
    <w:rsid w:val="00580F7D"/>
    <w:rsid w:val="005811DB"/>
    <w:rsid w:val="0058180B"/>
    <w:rsid w:val="005819EC"/>
    <w:rsid w:val="00581C15"/>
    <w:rsid w:val="00581C1C"/>
    <w:rsid w:val="00581C25"/>
    <w:rsid w:val="00581D6B"/>
    <w:rsid w:val="00582308"/>
    <w:rsid w:val="0058249F"/>
    <w:rsid w:val="00582864"/>
    <w:rsid w:val="00582E36"/>
    <w:rsid w:val="00582F70"/>
    <w:rsid w:val="00582FB0"/>
    <w:rsid w:val="0058362F"/>
    <w:rsid w:val="005837E2"/>
    <w:rsid w:val="0058380B"/>
    <w:rsid w:val="00584438"/>
    <w:rsid w:val="0058447F"/>
    <w:rsid w:val="005845A7"/>
    <w:rsid w:val="005847A0"/>
    <w:rsid w:val="0058490E"/>
    <w:rsid w:val="005849B9"/>
    <w:rsid w:val="00584A2E"/>
    <w:rsid w:val="00584C85"/>
    <w:rsid w:val="005852D2"/>
    <w:rsid w:val="00585C0E"/>
    <w:rsid w:val="00586078"/>
    <w:rsid w:val="0058651A"/>
    <w:rsid w:val="00586558"/>
    <w:rsid w:val="00586589"/>
    <w:rsid w:val="0058665E"/>
    <w:rsid w:val="0058670D"/>
    <w:rsid w:val="00586721"/>
    <w:rsid w:val="0058684B"/>
    <w:rsid w:val="00586BF0"/>
    <w:rsid w:val="00586D17"/>
    <w:rsid w:val="00586D51"/>
    <w:rsid w:val="0058731B"/>
    <w:rsid w:val="0058751E"/>
    <w:rsid w:val="00587725"/>
    <w:rsid w:val="00587A78"/>
    <w:rsid w:val="00587E37"/>
    <w:rsid w:val="00590468"/>
    <w:rsid w:val="005904C9"/>
    <w:rsid w:val="005904CF"/>
    <w:rsid w:val="005907DB"/>
    <w:rsid w:val="00590817"/>
    <w:rsid w:val="00590CDC"/>
    <w:rsid w:val="005914FB"/>
    <w:rsid w:val="00591C89"/>
    <w:rsid w:val="00591E9B"/>
    <w:rsid w:val="00591ED3"/>
    <w:rsid w:val="00591FA3"/>
    <w:rsid w:val="0059208D"/>
    <w:rsid w:val="0059231D"/>
    <w:rsid w:val="005923D2"/>
    <w:rsid w:val="0059253B"/>
    <w:rsid w:val="00593420"/>
    <w:rsid w:val="005934B2"/>
    <w:rsid w:val="0059372C"/>
    <w:rsid w:val="0059387E"/>
    <w:rsid w:val="00593C2B"/>
    <w:rsid w:val="0059401F"/>
    <w:rsid w:val="005940FC"/>
    <w:rsid w:val="005942EE"/>
    <w:rsid w:val="00594A19"/>
    <w:rsid w:val="005950DA"/>
    <w:rsid w:val="00595319"/>
    <w:rsid w:val="005958E5"/>
    <w:rsid w:val="0059592A"/>
    <w:rsid w:val="00595AB2"/>
    <w:rsid w:val="00596287"/>
    <w:rsid w:val="00596537"/>
    <w:rsid w:val="0059659A"/>
    <w:rsid w:val="005966AA"/>
    <w:rsid w:val="005974E8"/>
    <w:rsid w:val="00597620"/>
    <w:rsid w:val="005976D8"/>
    <w:rsid w:val="005977C0"/>
    <w:rsid w:val="00597877"/>
    <w:rsid w:val="005978CD"/>
    <w:rsid w:val="00597A5D"/>
    <w:rsid w:val="00597ABF"/>
    <w:rsid w:val="00597B49"/>
    <w:rsid w:val="00597BDF"/>
    <w:rsid w:val="00597C2A"/>
    <w:rsid w:val="005A01E6"/>
    <w:rsid w:val="005A04CC"/>
    <w:rsid w:val="005A1508"/>
    <w:rsid w:val="005A1B83"/>
    <w:rsid w:val="005A1CC6"/>
    <w:rsid w:val="005A1E0E"/>
    <w:rsid w:val="005A22DA"/>
    <w:rsid w:val="005A2501"/>
    <w:rsid w:val="005A2701"/>
    <w:rsid w:val="005A2E41"/>
    <w:rsid w:val="005A2E54"/>
    <w:rsid w:val="005A3117"/>
    <w:rsid w:val="005A403F"/>
    <w:rsid w:val="005A429E"/>
    <w:rsid w:val="005A4970"/>
    <w:rsid w:val="005A497C"/>
    <w:rsid w:val="005A4B2F"/>
    <w:rsid w:val="005A4CD5"/>
    <w:rsid w:val="005A4DC3"/>
    <w:rsid w:val="005A504B"/>
    <w:rsid w:val="005A54A2"/>
    <w:rsid w:val="005A5586"/>
    <w:rsid w:val="005A585F"/>
    <w:rsid w:val="005A5EDE"/>
    <w:rsid w:val="005A65D5"/>
    <w:rsid w:val="005A66CB"/>
    <w:rsid w:val="005A6791"/>
    <w:rsid w:val="005A67FF"/>
    <w:rsid w:val="005A6814"/>
    <w:rsid w:val="005A68F4"/>
    <w:rsid w:val="005A6970"/>
    <w:rsid w:val="005A6E81"/>
    <w:rsid w:val="005A713B"/>
    <w:rsid w:val="005A784A"/>
    <w:rsid w:val="005B0449"/>
    <w:rsid w:val="005B06C0"/>
    <w:rsid w:val="005B07EA"/>
    <w:rsid w:val="005B080B"/>
    <w:rsid w:val="005B089A"/>
    <w:rsid w:val="005B0BC2"/>
    <w:rsid w:val="005B0C50"/>
    <w:rsid w:val="005B0C56"/>
    <w:rsid w:val="005B1182"/>
    <w:rsid w:val="005B1563"/>
    <w:rsid w:val="005B17E1"/>
    <w:rsid w:val="005B18FA"/>
    <w:rsid w:val="005B1DD6"/>
    <w:rsid w:val="005B2270"/>
    <w:rsid w:val="005B22E3"/>
    <w:rsid w:val="005B2957"/>
    <w:rsid w:val="005B29C6"/>
    <w:rsid w:val="005B29E6"/>
    <w:rsid w:val="005B2F28"/>
    <w:rsid w:val="005B3226"/>
    <w:rsid w:val="005B3DB8"/>
    <w:rsid w:val="005B3E3B"/>
    <w:rsid w:val="005B3FF0"/>
    <w:rsid w:val="005B4145"/>
    <w:rsid w:val="005B4164"/>
    <w:rsid w:val="005B416A"/>
    <w:rsid w:val="005B41B4"/>
    <w:rsid w:val="005B4371"/>
    <w:rsid w:val="005B450D"/>
    <w:rsid w:val="005B47E0"/>
    <w:rsid w:val="005B4B80"/>
    <w:rsid w:val="005B4E38"/>
    <w:rsid w:val="005B504F"/>
    <w:rsid w:val="005B521F"/>
    <w:rsid w:val="005B59DC"/>
    <w:rsid w:val="005B6037"/>
    <w:rsid w:val="005B675F"/>
    <w:rsid w:val="005B678B"/>
    <w:rsid w:val="005B6C03"/>
    <w:rsid w:val="005B7040"/>
    <w:rsid w:val="005B7816"/>
    <w:rsid w:val="005B7ACA"/>
    <w:rsid w:val="005B7BF5"/>
    <w:rsid w:val="005B7DDF"/>
    <w:rsid w:val="005C01CE"/>
    <w:rsid w:val="005C0316"/>
    <w:rsid w:val="005C046C"/>
    <w:rsid w:val="005C0C79"/>
    <w:rsid w:val="005C10D0"/>
    <w:rsid w:val="005C1354"/>
    <w:rsid w:val="005C1537"/>
    <w:rsid w:val="005C1636"/>
    <w:rsid w:val="005C1B9B"/>
    <w:rsid w:val="005C1CC6"/>
    <w:rsid w:val="005C1F2A"/>
    <w:rsid w:val="005C259B"/>
    <w:rsid w:val="005C2619"/>
    <w:rsid w:val="005C2734"/>
    <w:rsid w:val="005C2CAD"/>
    <w:rsid w:val="005C30BB"/>
    <w:rsid w:val="005C3649"/>
    <w:rsid w:val="005C39A4"/>
    <w:rsid w:val="005C3BE1"/>
    <w:rsid w:val="005C3C96"/>
    <w:rsid w:val="005C4BE1"/>
    <w:rsid w:val="005C4BEC"/>
    <w:rsid w:val="005C4DB0"/>
    <w:rsid w:val="005C4E25"/>
    <w:rsid w:val="005C4FB0"/>
    <w:rsid w:val="005C520D"/>
    <w:rsid w:val="005C5B1A"/>
    <w:rsid w:val="005C5E97"/>
    <w:rsid w:val="005C5EFD"/>
    <w:rsid w:val="005C6005"/>
    <w:rsid w:val="005C6713"/>
    <w:rsid w:val="005C688E"/>
    <w:rsid w:val="005C6ECD"/>
    <w:rsid w:val="005C7012"/>
    <w:rsid w:val="005C736E"/>
    <w:rsid w:val="005C76CC"/>
    <w:rsid w:val="005C7748"/>
    <w:rsid w:val="005C7C62"/>
    <w:rsid w:val="005C7D6D"/>
    <w:rsid w:val="005C7F5D"/>
    <w:rsid w:val="005D01E1"/>
    <w:rsid w:val="005D050C"/>
    <w:rsid w:val="005D0985"/>
    <w:rsid w:val="005D09D2"/>
    <w:rsid w:val="005D0A5A"/>
    <w:rsid w:val="005D0F4A"/>
    <w:rsid w:val="005D0F59"/>
    <w:rsid w:val="005D0FD3"/>
    <w:rsid w:val="005D10A6"/>
    <w:rsid w:val="005D116B"/>
    <w:rsid w:val="005D144D"/>
    <w:rsid w:val="005D1B9C"/>
    <w:rsid w:val="005D1BCF"/>
    <w:rsid w:val="005D250D"/>
    <w:rsid w:val="005D2536"/>
    <w:rsid w:val="005D26DF"/>
    <w:rsid w:val="005D2BB0"/>
    <w:rsid w:val="005D2D12"/>
    <w:rsid w:val="005D2F67"/>
    <w:rsid w:val="005D2F8D"/>
    <w:rsid w:val="005D32D6"/>
    <w:rsid w:val="005D352E"/>
    <w:rsid w:val="005D3DE3"/>
    <w:rsid w:val="005D4173"/>
    <w:rsid w:val="005D4419"/>
    <w:rsid w:val="005D4810"/>
    <w:rsid w:val="005D4817"/>
    <w:rsid w:val="005D56F2"/>
    <w:rsid w:val="005D5987"/>
    <w:rsid w:val="005D5E94"/>
    <w:rsid w:val="005D6258"/>
    <w:rsid w:val="005D68D8"/>
    <w:rsid w:val="005D68F4"/>
    <w:rsid w:val="005D7BB0"/>
    <w:rsid w:val="005D7FFA"/>
    <w:rsid w:val="005E048C"/>
    <w:rsid w:val="005E05AF"/>
    <w:rsid w:val="005E0790"/>
    <w:rsid w:val="005E0EAB"/>
    <w:rsid w:val="005E0ED5"/>
    <w:rsid w:val="005E1173"/>
    <w:rsid w:val="005E142A"/>
    <w:rsid w:val="005E1734"/>
    <w:rsid w:val="005E17D2"/>
    <w:rsid w:val="005E2338"/>
    <w:rsid w:val="005E24AE"/>
    <w:rsid w:val="005E25B8"/>
    <w:rsid w:val="005E265F"/>
    <w:rsid w:val="005E29D7"/>
    <w:rsid w:val="005E2C5E"/>
    <w:rsid w:val="005E2DAC"/>
    <w:rsid w:val="005E369A"/>
    <w:rsid w:val="005E3A85"/>
    <w:rsid w:val="005E3B03"/>
    <w:rsid w:val="005E3E70"/>
    <w:rsid w:val="005E4193"/>
    <w:rsid w:val="005E42DE"/>
    <w:rsid w:val="005E43C5"/>
    <w:rsid w:val="005E4CD4"/>
    <w:rsid w:val="005E4DA3"/>
    <w:rsid w:val="005E50C2"/>
    <w:rsid w:val="005E5AA3"/>
    <w:rsid w:val="005E5AB5"/>
    <w:rsid w:val="005E5C76"/>
    <w:rsid w:val="005E6240"/>
    <w:rsid w:val="005E6331"/>
    <w:rsid w:val="005E6464"/>
    <w:rsid w:val="005E68AA"/>
    <w:rsid w:val="005E68CE"/>
    <w:rsid w:val="005E6EC9"/>
    <w:rsid w:val="005E6F5A"/>
    <w:rsid w:val="005E727A"/>
    <w:rsid w:val="005E788F"/>
    <w:rsid w:val="005E793D"/>
    <w:rsid w:val="005E7AF5"/>
    <w:rsid w:val="005F006C"/>
    <w:rsid w:val="005F0076"/>
    <w:rsid w:val="005F0116"/>
    <w:rsid w:val="005F07D7"/>
    <w:rsid w:val="005F08A0"/>
    <w:rsid w:val="005F0E91"/>
    <w:rsid w:val="005F104B"/>
    <w:rsid w:val="005F16B0"/>
    <w:rsid w:val="005F1AD4"/>
    <w:rsid w:val="005F1CDE"/>
    <w:rsid w:val="005F22D3"/>
    <w:rsid w:val="005F2863"/>
    <w:rsid w:val="005F28EA"/>
    <w:rsid w:val="005F2925"/>
    <w:rsid w:val="005F2BA6"/>
    <w:rsid w:val="005F2DB9"/>
    <w:rsid w:val="005F31CE"/>
    <w:rsid w:val="005F3450"/>
    <w:rsid w:val="005F3557"/>
    <w:rsid w:val="005F3671"/>
    <w:rsid w:val="005F382A"/>
    <w:rsid w:val="005F44CA"/>
    <w:rsid w:val="005F48D5"/>
    <w:rsid w:val="005F4A03"/>
    <w:rsid w:val="005F4A53"/>
    <w:rsid w:val="005F4E92"/>
    <w:rsid w:val="005F5014"/>
    <w:rsid w:val="005F502B"/>
    <w:rsid w:val="005F5143"/>
    <w:rsid w:val="005F51C6"/>
    <w:rsid w:val="005F51F2"/>
    <w:rsid w:val="005F5239"/>
    <w:rsid w:val="005F5E86"/>
    <w:rsid w:val="005F5EF4"/>
    <w:rsid w:val="005F635C"/>
    <w:rsid w:val="005F6410"/>
    <w:rsid w:val="005F65D9"/>
    <w:rsid w:val="005F6752"/>
    <w:rsid w:val="005F6E81"/>
    <w:rsid w:val="005F705E"/>
    <w:rsid w:val="005F765F"/>
    <w:rsid w:val="005F77D8"/>
    <w:rsid w:val="005F7C1B"/>
    <w:rsid w:val="006001A6"/>
    <w:rsid w:val="006004BF"/>
    <w:rsid w:val="006007CC"/>
    <w:rsid w:val="00600ACD"/>
    <w:rsid w:val="00600B52"/>
    <w:rsid w:val="00600BA0"/>
    <w:rsid w:val="00600C67"/>
    <w:rsid w:val="00600F00"/>
    <w:rsid w:val="00601334"/>
    <w:rsid w:val="00601473"/>
    <w:rsid w:val="00601851"/>
    <w:rsid w:val="00601A72"/>
    <w:rsid w:val="00601BC0"/>
    <w:rsid w:val="00601CDD"/>
    <w:rsid w:val="00601E99"/>
    <w:rsid w:val="00602689"/>
    <w:rsid w:val="00602B11"/>
    <w:rsid w:val="00602C12"/>
    <w:rsid w:val="00602DD4"/>
    <w:rsid w:val="00602F05"/>
    <w:rsid w:val="00603248"/>
    <w:rsid w:val="006035CD"/>
    <w:rsid w:val="006037FF"/>
    <w:rsid w:val="00603BA0"/>
    <w:rsid w:val="00603E0E"/>
    <w:rsid w:val="0060430C"/>
    <w:rsid w:val="00604770"/>
    <w:rsid w:val="00604DAB"/>
    <w:rsid w:val="00604FBC"/>
    <w:rsid w:val="00605040"/>
    <w:rsid w:val="00605223"/>
    <w:rsid w:val="0060586D"/>
    <w:rsid w:val="00605B59"/>
    <w:rsid w:val="00605BFF"/>
    <w:rsid w:val="00605C53"/>
    <w:rsid w:val="006060BA"/>
    <w:rsid w:val="0060621C"/>
    <w:rsid w:val="006063A7"/>
    <w:rsid w:val="006066B4"/>
    <w:rsid w:val="0060676A"/>
    <w:rsid w:val="00606813"/>
    <w:rsid w:val="0060735E"/>
    <w:rsid w:val="0060739E"/>
    <w:rsid w:val="00607B18"/>
    <w:rsid w:val="00607D65"/>
    <w:rsid w:val="00607FF2"/>
    <w:rsid w:val="00610249"/>
    <w:rsid w:val="00610B71"/>
    <w:rsid w:val="00610F45"/>
    <w:rsid w:val="00610FE6"/>
    <w:rsid w:val="00610FFB"/>
    <w:rsid w:val="00611069"/>
    <w:rsid w:val="00611230"/>
    <w:rsid w:val="006113B7"/>
    <w:rsid w:val="0061153A"/>
    <w:rsid w:val="00611953"/>
    <w:rsid w:val="00611DE7"/>
    <w:rsid w:val="0061201F"/>
    <w:rsid w:val="00612113"/>
    <w:rsid w:val="006121BF"/>
    <w:rsid w:val="006122EA"/>
    <w:rsid w:val="00612B2F"/>
    <w:rsid w:val="00613154"/>
    <w:rsid w:val="006132CB"/>
    <w:rsid w:val="00613448"/>
    <w:rsid w:val="00613A2E"/>
    <w:rsid w:val="00613AFE"/>
    <w:rsid w:val="00613E05"/>
    <w:rsid w:val="00614181"/>
    <w:rsid w:val="00614473"/>
    <w:rsid w:val="006145E2"/>
    <w:rsid w:val="00614792"/>
    <w:rsid w:val="00614813"/>
    <w:rsid w:val="00614D63"/>
    <w:rsid w:val="00614E6B"/>
    <w:rsid w:val="00614FD4"/>
    <w:rsid w:val="006151FF"/>
    <w:rsid w:val="00615669"/>
    <w:rsid w:val="006156EE"/>
    <w:rsid w:val="0061578C"/>
    <w:rsid w:val="006157F5"/>
    <w:rsid w:val="006158A2"/>
    <w:rsid w:val="00615B58"/>
    <w:rsid w:val="00615D4A"/>
    <w:rsid w:val="00616689"/>
    <w:rsid w:val="00616795"/>
    <w:rsid w:val="006168D0"/>
    <w:rsid w:val="00616B4B"/>
    <w:rsid w:val="00616B71"/>
    <w:rsid w:val="00616C48"/>
    <w:rsid w:val="0061751E"/>
    <w:rsid w:val="00617746"/>
    <w:rsid w:val="00617885"/>
    <w:rsid w:val="006178D0"/>
    <w:rsid w:val="00617B73"/>
    <w:rsid w:val="00617D63"/>
    <w:rsid w:val="006202B7"/>
    <w:rsid w:val="006205C8"/>
    <w:rsid w:val="0062078F"/>
    <w:rsid w:val="00620A1A"/>
    <w:rsid w:val="00620EE2"/>
    <w:rsid w:val="00620F21"/>
    <w:rsid w:val="00620FF4"/>
    <w:rsid w:val="006215C5"/>
    <w:rsid w:val="00621A35"/>
    <w:rsid w:val="00621E7E"/>
    <w:rsid w:val="00622765"/>
    <w:rsid w:val="00622D28"/>
    <w:rsid w:val="00622D69"/>
    <w:rsid w:val="006232D1"/>
    <w:rsid w:val="006233CF"/>
    <w:rsid w:val="00623C53"/>
    <w:rsid w:val="00623DDE"/>
    <w:rsid w:val="00624230"/>
    <w:rsid w:val="006249A0"/>
    <w:rsid w:val="00624BD2"/>
    <w:rsid w:val="006250C9"/>
    <w:rsid w:val="00625362"/>
    <w:rsid w:val="006253FB"/>
    <w:rsid w:val="00625998"/>
    <w:rsid w:val="00625B75"/>
    <w:rsid w:val="00625DD2"/>
    <w:rsid w:val="006260F0"/>
    <w:rsid w:val="006261C6"/>
    <w:rsid w:val="006262F0"/>
    <w:rsid w:val="0062735E"/>
    <w:rsid w:val="00627413"/>
    <w:rsid w:val="0062741D"/>
    <w:rsid w:val="00627747"/>
    <w:rsid w:val="006277E5"/>
    <w:rsid w:val="00630371"/>
    <w:rsid w:val="00630489"/>
    <w:rsid w:val="006304DD"/>
    <w:rsid w:val="00630563"/>
    <w:rsid w:val="0063058B"/>
    <w:rsid w:val="00630643"/>
    <w:rsid w:val="006306C5"/>
    <w:rsid w:val="006310F4"/>
    <w:rsid w:val="00631A73"/>
    <w:rsid w:val="00631A95"/>
    <w:rsid w:val="00631AD0"/>
    <w:rsid w:val="00631B22"/>
    <w:rsid w:val="00631DAA"/>
    <w:rsid w:val="00631F32"/>
    <w:rsid w:val="0063210A"/>
    <w:rsid w:val="006322EB"/>
    <w:rsid w:val="0063262D"/>
    <w:rsid w:val="006326D6"/>
    <w:rsid w:val="00632DCC"/>
    <w:rsid w:val="006332CB"/>
    <w:rsid w:val="0063339C"/>
    <w:rsid w:val="00633449"/>
    <w:rsid w:val="0063349F"/>
    <w:rsid w:val="00633959"/>
    <w:rsid w:val="00633A0C"/>
    <w:rsid w:val="00633A63"/>
    <w:rsid w:val="00633AE4"/>
    <w:rsid w:val="00633B13"/>
    <w:rsid w:val="00634304"/>
    <w:rsid w:val="006346E4"/>
    <w:rsid w:val="00634B55"/>
    <w:rsid w:val="00634DA5"/>
    <w:rsid w:val="006359B2"/>
    <w:rsid w:val="00635C39"/>
    <w:rsid w:val="0063602A"/>
    <w:rsid w:val="00636237"/>
    <w:rsid w:val="006367F8"/>
    <w:rsid w:val="00636ACA"/>
    <w:rsid w:val="0063725E"/>
    <w:rsid w:val="00637CC7"/>
    <w:rsid w:val="00637F22"/>
    <w:rsid w:val="0063EECE"/>
    <w:rsid w:val="0064014C"/>
    <w:rsid w:val="0064042E"/>
    <w:rsid w:val="00640738"/>
    <w:rsid w:val="00640915"/>
    <w:rsid w:val="00640B81"/>
    <w:rsid w:val="00640D1F"/>
    <w:rsid w:val="00640FD1"/>
    <w:rsid w:val="006410F8"/>
    <w:rsid w:val="006415F6"/>
    <w:rsid w:val="00641888"/>
    <w:rsid w:val="00641B31"/>
    <w:rsid w:val="006421F1"/>
    <w:rsid w:val="00642295"/>
    <w:rsid w:val="00642501"/>
    <w:rsid w:val="006425DE"/>
    <w:rsid w:val="006426FF"/>
    <w:rsid w:val="006428C2"/>
    <w:rsid w:val="006429F6"/>
    <w:rsid w:val="00642DD3"/>
    <w:rsid w:val="00642F28"/>
    <w:rsid w:val="00642FF8"/>
    <w:rsid w:val="0064318E"/>
    <w:rsid w:val="00643653"/>
    <w:rsid w:val="006437CF"/>
    <w:rsid w:val="0064394E"/>
    <w:rsid w:val="0064415F"/>
    <w:rsid w:val="00644376"/>
    <w:rsid w:val="006447FD"/>
    <w:rsid w:val="00644A96"/>
    <w:rsid w:val="00644B31"/>
    <w:rsid w:val="00645292"/>
    <w:rsid w:val="00645810"/>
    <w:rsid w:val="006464CD"/>
    <w:rsid w:val="006466CA"/>
    <w:rsid w:val="00646760"/>
    <w:rsid w:val="006469AE"/>
    <w:rsid w:val="00646C49"/>
    <w:rsid w:val="00646E3B"/>
    <w:rsid w:val="00647AF0"/>
    <w:rsid w:val="00647EFA"/>
    <w:rsid w:val="0065008C"/>
    <w:rsid w:val="00650704"/>
    <w:rsid w:val="00650AF0"/>
    <w:rsid w:val="00650DD0"/>
    <w:rsid w:val="006512FB"/>
    <w:rsid w:val="00651565"/>
    <w:rsid w:val="00651998"/>
    <w:rsid w:val="0065200A"/>
    <w:rsid w:val="006521C8"/>
    <w:rsid w:val="00652245"/>
    <w:rsid w:val="00652B6F"/>
    <w:rsid w:val="00652EE4"/>
    <w:rsid w:val="00652F69"/>
    <w:rsid w:val="00653208"/>
    <w:rsid w:val="00653710"/>
    <w:rsid w:val="00653CC7"/>
    <w:rsid w:val="00653FE8"/>
    <w:rsid w:val="006543A1"/>
    <w:rsid w:val="00654421"/>
    <w:rsid w:val="00654C08"/>
    <w:rsid w:val="00654E23"/>
    <w:rsid w:val="00654FDD"/>
    <w:rsid w:val="0065525A"/>
    <w:rsid w:val="0065535D"/>
    <w:rsid w:val="006555CE"/>
    <w:rsid w:val="0065567A"/>
    <w:rsid w:val="00655757"/>
    <w:rsid w:val="006557FE"/>
    <w:rsid w:val="006559E1"/>
    <w:rsid w:val="00655A36"/>
    <w:rsid w:val="00655B0E"/>
    <w:rsid w:val="00656453"/>
    <w:rsid w:val="006564D8"/>
    <w:rsid w:val="006567EE"/>
    <w:rsid w:val="006569E8"/>
    <w:rsid w:val="00656C64"/>
    <w:rsid w:val="00656EDF"/>
    <w:rsid w:val="0065721C"/>
    <w:rsid w:val="0065725C"/>
    <w:rsid w:val="006573FC"/>
    <w:rsid w:val="00657AB4"/>
    <w:rsid w:val="00657BE4"/>
    <w:rsid w:val="00657C07"/>
    <w:rsid w:val="00657F43"/>
    <w:rsid w:val="00660100"/>
    <w:rsid w:val="00660170"/>
    <w:rsid w:val="00660305"/>
    <w:rsid w:val="00660730"/>
    <w:rsid w:val="00660A85"/>
    <w:rsid w:val="00660BC7"/>
    <w:rsid w:val="00660C6B"/>
    <w:rsid w:val="00660E1D"/>
    <w:rsid w:val="00660EB8"/>
    <w:rsid w:val="00660FA3"/>
    <w:rsid w:val="00660FC8"/>
    <w:rsid w:val="00661157"/>
    <w:rsid w:val="006613AF"/>
    <w:rsid w:val="0066142A"/>
    <w:rsid w:val="006615F6"/>
    <w:rsid w:val="00661A5C"/>
    <w:rsid w:val="00661C8D"/>
    <w:rsid w:val="00661DC7"/>
    <w:rsid w:val="0066223C"/>
    <w:rsid w:val="00662288"/>
    <w:rsid w:val="006624D9"/>
    <w:rsid w:val="00662BB1"/>
    <w:rsid w:val="00662D6B"/>
    <w:rsid w:val="00663629"/>
    <w:rsid w:val="00663D09"/>
    <w:rsid w:val="00663F1C"/>
    <w:rsid w:val="00664038"/>
    <w:rsid w:val="006642CC"/>
    <w:rsid w:val="00664367"/>
    <w:rsid w:val="006643AB"/>
    <w:rsid w:val="006646C9"/>
    <w:rsid w:val="0066480C"/>
    <w:rsid w:val="0066499D"/>
    <w:rsid w:val="006649D1"/>
    <w:rsid w:val="00664EEC"/>
    <w:rsid w:val="00665294"/>
    <w:rsid w:val="00665D80"/>
    <w:rsid w:val="00665F18"/>
    <w:rsid w:val="00665F80"/>
    <w:rsid w:val="00666291"/>
    <w:rsid w:val="006662D8"/>
    <w:rsid w:val="006665CC"/>
    <w:rsid w:val="0066696E"/>
    <w:rsid w:val="00666A34"/>
    <w:rsid w:val="00666ADC"/>
    <w:rsid w:val="00666CA9"/>
    <w:rsid w:val="0066755D"/>
    <w:rsid w:val="00667759"/>
    <w:rsid w:val="006678DD"/>
    <w:rsid w:val="00667D14"/>
    <w:rsid w:val="00667E83"/>
    <w:rsid w:val="00667FA4"/>
    <w:rsid w:val="006702A6"/>
    <w:rsid w:val="00670932"/>
    <w:rsid w:val="0067101F"/>
    <w:rsid w:val="00671059"/>
    <w:rsid w:val="0067154F"/>
    <w:rsid w:val="006716B2"/>
    <w:rsid w:val="00671AE1"/>
    <w:rsid w:val="00671E06"/>
    <w:rsid w:val="00671E14"/>
    <w:rsid w:val="006723C2"/>
    <w:rsid w:val="006726BE"/>
    <w:rsid w:val="00672BFF"/>
    <w:rsid w:val="00672C49"/>
    <w:rsid w:val="00672CF2"/>
    <w:rsid w:val="00672EE0"/>
    <w:rsid w:val="00673108"/>
    <w:rsid w:val="00673128"/>
    <w:rsid w:val="006731B1"/>
    <w:rsid w:val="00673663"/>
    <w:rsid w:val="006736E8"/>
    <w:rsid w:val="00673DD7"/>
    <w:rsid w:val="00673F33"/>
    <w:rsid w:val="0067440D"/>
    <w:rsid w:val="006748A6"/>
    <w:rsid w:val="00674BD2"/>
    <w:rsid w:val="0067503D"/>
    <w:rsid w:val="0067513E"/>
    <w:rsid w:val="00675463"/>
    <w:rsid w:val="006758F6"/>
    <w:rsid w:val="00675D59"/>
    <w:rsid w:val="00675F4E"/>
    <w:rsid w:val="0067622E"/>
    <w:rsid w:val="00676525"/>
    <w:rsid w:val="00676CF6"/>
    <w:rsid w:val="00676EF7"/>
    <w:rsid w:val="00677056"/>
    <w:rsid w:val="00677B98"/>
    <w:rsid w:val="00677E48"/>
    <w:rsid w:val="0068019F"/>
    <w:rsid w:val="006804C0"/>
    <w:rsid w:val="0068082B"/>
    <w:rsid w:val="006808C7"/>
    <w:rsid w:val="006808D5"/>
    <w:rsid w:val="00680920"/>
    <w:rsid w:val="00680A15"/>
    <w:rsid w:val="00680B51"/>
    <w:rsid w:val="00680D54"/>
    <w:rsid w:val="00680EBA"/>
    <w:rsid w:val="006811D8"/>
    <w:rsid w:val="00681294"/>
    <w:rsid w:val="006815A2"/>
    <w:rsid w:val="00681627"/>
    <w:rsid w:val="0068172F"/>
    <w:rsid w:val="006817CE"/>
    <w:rsid w:val="00681876"/>
    <w:rsid w:val="00681A69"/>
    <w:rsid w:val="00681AE1"/>
    <w:rsid w:val="00681B8A"/>
    <w:rsid w:val="00681DE5"/>
    <w:rsid w:val="00682165"/>
    <w:rsid w:val="006823C1"/>
    <w:rsid w:val="006824E1"/>
    <w:rsid w:val="00682537"/>
    <w:rsid w:val="00682679"/>
    <w:rsid w:val="0068280D"/>
    <w:rsid w:val="00682C33"/>
    <w:rsid w:val="00682EFB"/>
    <w:rsid w:val="00682F0E"/>
    <w:rsid w:val="00682F86"/>
    <w:rsid w:val="0068336D"/>
    <w:rsid w:val="0068355C"/>
    <w:rsid w:val="00683BB8"/>
    <w:rsid w:val="00683DFF"/>
    <w:rsid w:val="00684775"/>
    <w:rsid w:val="0068488B"/>
    <w:rsid w:val="00684AA0"/>
    <w:rsid w:val="00684B8D"/>
    <w:rsid w:val="00684FBC"/>
    <w:rsid w:val="00685469"/>
    <w:rsid w:val="00685D6B"/>
    <w:rsid w:val="00685EB5"/>
    <w:rsid w:val="00685ECB"/>
    <w:rsid w:val="00685EED"/>
    <w:rsid w:val="006861F6"/>
    <w:rsid w:val="00686281"/>
    <w:rsid w:val="00686416"/>
    <w:rsid w:val="0068643B"/>
    <w:rsid w:val="0068695E"/>
    <w:rsid w:val="00686CF4"/>
    <w:rsid w:val="00686F07"/>
    <w:rsid w:val="00687275"/>
    <w:rsid w:val="006873AA"/>
    <w:rsid w:val="0068783F"/>
    <w:rsid w:val="00687A57"/>
    <w:rsid w:val="00687D74"/>
    <w:rsid w:val="00687D75"/>
    <w:rsid w:val="006901D5"/>
    <w:rsid w:val="006908D6"/>
    <w:rsid w:val="00690D1A"/>
    <w:rsid w:val="00690DBC"/>
    <w:rsid w:val="00690F17"/>
    <w:rsid w:val="00690FD3"/>
    <w:rsid w:val="006912FA"/>
    <w:rsid w:val="00691517"/>
    <w:rsid w:val="006918B7"/>
    <w:rsid w:val="0069234D"/>
    <w:rsid w:val="006923C4"/>
    <w:rsid w:val="006924FB"/>
    <w:rsid w:val="00692A6F"/>
    <w:rsid w:val="00692BDF"/>
    <w:rsid w:val="00692D3A"/>
    <w:rsid w:val="00692E5C"/>
    <w:rsid w:val="0069304A"/>
    <w:rsid w:val="006933F8"/>
    <w:rsid w:val="00693BAE"/>
    <w:rsid w:val="00694171"/>
    <w:rsid w:val="0069429D"/>
    <w:rsid w:val="00694BB8"/>
    <w:rsid w:val="00694CAE"/>
    <w:rsid w:val="00695115"/>
    <w:rsid w:val="0069559D"/>
    <w:rsid w:val="0069598E"/>
    <w:rsid w:val="00695AAF"/>
    <w:rsid w:val="00695BDF"/>
    <w:rsid w:val="00695CA7"/>
    <w:rsid w:val="00695D9C"/>
    <w:rsid w:val="00695EC4"/>
    <w:rsid w:val="00695FD9"/>
    <w:rsid w:val="006962A1"/>
    <w:rsid w:val="00696E4C"/>
    <w:rsid w:val="0069714E"/>
    <w:rsid w:val="0069717B"/>
    <w:rsid w:val="00697191"/>
    <w:rsid w:val="00697269"/>
    <w:rsid w:val="0069779E"/>
    <w:rsid w:val="006979A2"/>
    <w:rsid w:val="00697C13"/>
    <w:rsid w:val="00697C8D"/>
    <w:rsid w:val="00697F63"/>
    <w:rsid w:val="006A01B7"/>
    <w:rsid w:val="006A0872"/>
    <w:rsid w:val="006A0ACA"/>
    <w:rsid w:val="006A0F89"/>
    <w:rsid w:val="006A1172"/>
    <w:rsid w:val="006A11E3"/>
    <w:rsid w:val="006A17CD"/>
    <w:rsid w:val="006A18B1"/>
    <w:rsid w:val="006A1BBE"/>
    <w:rsid w:val="006A22E0"/>
    <w:rsid w:val="006A232D"/>
    <w:rsid w:val="006A2523"/>
    <w:rsid w:val="006A3361"/>
    <w:rsid w:val="006A387F"/>
    <w:rsid w:val="006A3ACF"/>
    <w:rsid w:val="006A3AED"/>
    <w:rsid w:val="006A3C4B"/>
    <w:rsid w:val="006A4DCF"/>
    <w:rsid w:val="006A4E57"/>
    <w:rsid w:val="006A4EFE"/>
    <w:rsid w:val="006A4FC1"/>
    <w:rsid w:val="006A5099"/>
    <w:rsid w:val="006A5222"/>
    <w:rsid w:val="006A523C"/>
    <w:rsid w:val="006A53FF"/>
    <w:rsid w:val="006A5454"/>
    <w:rsid w:val="006A54A6"/>
    <w:rsid w:val="006A54F6"/>
    <w:rsid w:val="006A5560"/>
    <w:rsid w:val="006A585E"/>
    <w:rsid w:val="006A5873"/>
    <w:rsid w:val="006A5A68"/>
    <w:rsid w:val="006A5C40"/>
    <w:rsid w:val="006A5E52"/>
    <w:rsid w:val="006A6485"/>
    <w:rsid w:val="006A6AAF"/>
    <w:rsid w:val="006A7154"/>
    <w:rsid w:val="006A733D"/>
    <w:rsid w:val="006A7B51"/>
    <w:rsid w:val="006A7B5E"/>
    <w:rsid w:val="006B03D1"/>
    <w:rsid w:val="006B0574"/>
    <w:rsid w:val="006B072F"/>
    <w:rsid w:val="006B085A"/>
    <w:rsid w:val="006B0EB7"/>
    <w:rsid w:val="006B18F1"/>
    <w:rsid w:val="006B1AC2"/>
    <w:rsid w:val="006B1DEC"/>
    <w:rsid w:val="006B1FD5"/>
    <w:rsid w:val="006B21C0"/>
    <w:rsid w:val="006B23B9"/>
    <w:rsid w:val="006B2758"/>
    <w:rsid w:val="006B2830"/>
    <w:rsid w:val="006B29C6"/>
    <w:rsid w:val="006B2BEB"/>
    <w:rsid w:val="006B2CEB"/>
    <w:rsid w:val="006B2F21"/>
    <w:rsid w:val="006B3294"/>
    <w:rsid w:val="006B395F"/>
    <w:rsid w:val="006B3B26"/>
    <w:rsid w:val="006B3D98"/>
    <w:rsid w:val="006B3E7F"/>
    <w:rsid w:val="006B4103"/>
    <w:rsid w:val="006B431C"/>
    <w:rsid w:val="006B4E03"/>
    <w:rsid w:val="006B51EC"/>
    <w:rsid w:val="006B5601"/>
    <w:rsid w:val="006B597C"/>
    <w:rsid w:val="006B5B1C"/>
    <w:rsid w:val="006B63CC"/>
    <w:rsid w:val="006B64F5"/>
    <w:rsid w:val="006B65F0"/>
    <w:rsid w:val="006B6B80"/>
    <w:rsid w:val="006B6C59"/>
    <w:rsid w:val="006B6F1E"/>
    <w:rsid w:val="006B70C4"/>
    <w:rsid w:val="006B71F3"/>
    <w:rsid w:val="006B726F"/>
    <w:rsid w:val="006B72CA"/>
    <w:rsid w:val="006B7433"/>
    <w:rsid w:val="006B76D2"/>
    <w:rsid w:val="006C019C"/>
    <w:rsid w:val="006C02FE"/>
    <w:rsid w:val="006C049E"/>
    <w:rsid w:val="006C06F6"/>
    <w:rsid w:val="006C0729"/>
    <w:rsid w:val="006C08DB"/>
    <w:rsid w:val="006C20ED"/>
    <w:rsid w:val="006C2127"/>
    <w:rsid w:val="006C21DE"/>
    <w:rsid w:val="006C267A"/>
    <w:rsid w:val="006C2939"/>
    <w:rsid w:val="006C2BD3"/>
    <w:rsid w:val="006C327A"/>
    <w:rsid w:val="006C33DB"/>
    <w:rsid w:val="006C346A"/>
    <w:rsid w:val="006C3869"/>
    <w:rsid w:val="006C3A0C"/>
    <w:rsid w:val="006C3A7F"/>
    <w:rsid w:val="006C3BF3"/>
    <w:rsid w:val="006C3FC4"/>
    <w:rsid w:val="006C42C9"/>
    <w:rsid w:val="006C45AF"/>
    <w:rsid w:val="006C48AD"/>
    <w:rsid w:val="006C496E"/>
    <w:rsid w:val="006C4972"/>
    <w:rsid w:val="006C569C"/>
    <w:rsid w:val="006C5E4C"/>
    <w:rsid w:val="006C5E65"/>
    <w:rsid w:val="006C5E69"/>
    <w:rsid w:val="006C61D0"/>
    <w:rsid w:val="006C62C5"/>
    <w:rsid w:val="006C6670"/>
    <w:rsid w:val="006C68CA"/>
    <w:rsid w:val="006C6B27"/>
    <w:rsid w:val="006C73BB"/>
    <w:rsid w:val="006C76F4"/>
    <w:rsid w:val="006C7AF7"/>
    <w:rsid w:val="006C7D10"/>
    <w:rsid w:val="006D0066"/>
    <w:rsid w:val="006D0174"/>
    <w:rsid w:val="006D0207"/>
    <w:rsid w:val="006D026F"/>
    <w:rsid w:val="006D04B5"/>
    <w:rsid w:val="006D0557"/>
    <w:rsid w:val="006D0A73"/>
    <w:rsid w:val="006D0B01"/>
    <w:rsid w:val="006D0BD1"/>
    <w:rsid w:val="006D0CD9"/>
    <w:rsid w:val="006D15D3"/>
    <w:rsid w:val="006D1CA6"/>
    <w:rsid w:val="006D1ED4"/>
    <w:rsid w:val="006D2067"/>
    <w:rsid w:val="006D2351"/>
    <w:rsid w:val="006D268C"/>
    <w:rsid w:val="006D2B89"/>
    <w:rsid w:val="006D2DF1"/>
    <w:rsid w:val="006D341A"/>
    <w:rsid w:val="006D3743"/>
    <w:rsid w:val="006D39FC"/>
    <w:rsid w:val="006D3AE4"/>
    <w:rsid w:val="006D3EC2"/>
    <w:rsid w:val="006D3F82"/>
    <w:rsid w:val="006D401E"/>
    <w:rsid w:val="006D4D7F"/>
    <w:rsid w:val="006D4FAD"/>
    <w:rsid w:val="006D54A9"/>
    <w:rsid w:val="006D5A33"/>
    <w:rsid w:val="006D623F"/>
    <w:rsid w:val="006D663A"/>
    <w:rsid w:val="006D69D7"/>
    <w:rsid w:val="006D74D3"/>
    <w:rsid w:val="006D7E7E"/>
    <w:rsid w:val="006D7EF5"/>
    <w:rsid w:val="006E0396"/>
    <w:rsid w:val="006E0699"/>
    <w:rsid w:val="006E0937"/>
    <w:rsid w:val="006E09F0"/>
    <w:rsid w:val="006E0F9F"/>
    <w:rsid w:val="006E1476"/>
    <w:rsid w:val="006E14F5"/>
    <w:rsid w:val="006E1923"/>
    <w:rsid w:val="006E1A32"/>
    <w:rsid w:val="006E1BF9"/>
    <w:rsid w:val="006E1DF2"/>
    <w:rsid w:val="006E26DC"/>
    <w:rsid w:val="006E2C1E"/>
    <w:rsid w:val="006E3003"/>
    <w:rsid w:val="006E3359"/>
    <w:rsid w:val="006E3522"/>
    <w:rsid w:val="006E36A5"/>
    <w:rsid w:val="006E381E"/>
    <w:rsid w:val="006E3906"/>
    <w:rsid w:val="006E3C82"/>
    <w:rsid w:val="006E4511"/>
    <w:rsid w:val="006E49B1"/>
    <w:rsid w:val="006E50ED"/>
    <w:rsid w:val="006E5A10"/>
    <w:rsid w:val="006E6A59"/>
    <w:rsid w:val="006E6AF2"/>
    <w:rsid w:val="006E6B32"/>
    <w:rsid w:val="006E6C3E"/>
    <w:rsid w:val="006E6FE4"/>
    <w:rsid w:val="006E73BF"/>
    <w:rsid w:val="006E7434"/>
    <w:rsid w:val="006E7898"/>
    <w:rsid w:val="006E7B87"/>
    <w:rsid w:val="006F0282"/>
    <w:rsid w:val="006F06DE"/>
    <w:rsid w:val="006F07F2"/>
    <w:rsid w:val="006F0869"/>
    <w:rsid w:val="006F097B"/>
    <w:rsid w:val="006F0B4C"/>
    <w:rsid w:val="006F0DA7"/>
    <w:rsid w:val="006F1698"/>
    <w:rsid w:val="006F16CC"/>
    <w:rsid w:val="006F1A5B"/>
    <w:rsid w:val="006F1A62"/>
    <w:rsid w:val="006F1B45"/>
    <w:rsid w:val="006F2169"/>
    <w:rsid w:val="006F217E"/>
    <w:rsid w:val="006F2788"/>
    <w:rsid w:val="006F28AE"/>
    <w:rsid w:val="006F2A69"/>
    <w:rsid w:val="006F2BDE"/>
    <w:rsid w:val="006F3039"/>
    <w:rsid w:val="006F331E"/>
    <w:rsid w:val="006F335D"/>
    <w:rsid w:val="006F34DC"/>
    <w:rsid w:val="006F3685"/>
    <w:rsid w:val="006F37A6"/>
    <w:rsid w:val="006F37EE"/>
    <w:rsid w:val="006F385D"/>
    <w:rsid w:val="006F3C03"/>
    <w:rsid w:val="006F3F99"/>
    <w:rsid w:val="006F3FB6"/>
    <w:rsid w:val="006F4008"/>
    <w:rsid w:val="006F402A"/>
    <w:rsid w:val="006F4591"/>
    <w:rsid w:val="006F47C0"/>
    <w:rsid w:val="006F4865"/>
    <w:rsid w:val="006F4DA5"/>
    <w:rsid w:val="006F4FD8"/>
    <w:rsid w:val="006F5574"/>
    <w:rsid w:val="006F55DE"/>
    <w:rsid w:val="006F56E5"/>
    <w:rsid w:val="006F5ADB"/>
    <w:rsid w:val="006F5BCB"/>
    <w:rsid w:val="006F5BDD"/>
    <w:rsid w:val="006F5F64"/>
    <w:rsid w:val="006F603F"/>
    <w:rsid w:val="006F64D7"/>
    <w:rsid w:val="006F650E"/>
    <w:rsid w:val="006F6836"/>
    <w:rsid w:val="006F6DA0"/>
    <w:rsid w:val="006F703E"/>
    <w:rsid w:val="006F705B"/>
    <w:rsid w:val="006F7786"/>
    <w:rsid w:val="006F7FD7"/>
    <w:rsid w:val="00700373"/>
    <w:rsid w:val="00700402"/>
    <w:rsid w:val="007005D8"/>
    <w:rsid w:val="00700617"/>
    <w:rsid w:val="0070097E"/>
    <w:rsid w:val="00700CA9"/>
    <w:rsid w:val="00701189"/>
    <w:rsid w:val="0070196E"/>
    <w:rsid w:val="00701C3F"/>
    <w:rsid w:val="0070208D"/>
    <w:rsid w:val="007028F5"/>
    <w:rsid w:val="007029E7"/>
    <w:rsid w:val="00702C81"/>
    <w:rsid w:val="00702FF6"/>
    <w:rsid w:val="00703128"/>
    <w:rsid w:val="00703434"/>
    <w:rsid w:val="007038EF"/>
    <w:rsid w:val="007039F7"/>
    <w:rsid w:val="00703E08"/>
    <w:rsid w:val="00703F4E"/>
    <w:rsid w:val="007043C9"/>
    <w:rsid w:val="00704752"/>
    <w:rsid w:val="007049EF"/>
    <w:rsid w:val="00704A3C"/>
    <w:rsid w:val="00704CA6"/>
    <w:rsid w:val="00705890"/>
    <w:rsid w:val="00705A61"/>
    <w:rsid w:val="00705FCF"/>
    <w:rsid w:val="007063E5"/>
    <w:rsid w:val="00706701"/>
    <w:rsid w:val="007068FD"/>
    <w:rsid w:val="00706C06"/>
    <w:rsid w:val="00706C52"/>
    <w:rsid w:val="00706F49"/>
    <w:rsid w:val="00707174"/>
    <w:rsid w:val="007072F2"/>
    <w:rsid w:val="0070739E"/>
    <w:rsid w:val="00707739"/>
    <w:rsid w:val="0071020D"/>
    <w:rsid w:val="0071022D"/>
    <w:rsid w:val="0071028B"/>
    <w:rsid w:val="007103C4"/>
    <w:rsid w:val="00710879"/>
    <w:rsid w:val="00710DA8"/>
    <w:rsid w:val="00710DCB"/>
    <w:rsid w:val="007110F9"/>
    <w:rsid w:val="00711359"/>
    <w:rsid w:val="00711560"/>
    <w:rsid w:val="007118A2"/>
    <w:rsid w:val="0071195E"/>
    <w:rsid w:val="00711AB5"/>
    <w:rsid w:val="00711AE0"/>
    <w:rsid w:val="007125C2"/>
    <w:rsid w:val="00712792"/>
    <w:rsid w:val="00712D87"/>
    <w:rsid w:val="007130AF"/>
    <w:rsid w:val="00713102"/>
    <w:rsid w:val="0071310E"/>
    <w:rsid w:val="007131EF"/>
    <w:rsid w:val="007139AA"/>
    <w:rsid w:val="00713A5B"/>
    <w:rsid w:val="00713AB2"/>
    <w:rsid w:val="00713B0A"/>
    <w:rsid w:val="00713D30"/>
    <w:rsid w:val="00713EAE"/>
    <w:rsid w:val="00714E2C"/>
    <w:rsid w:val="00714E5C"/>
    <w:rsid w:val="007153ED"/>
    <w:rsid w:val="0071559B"/>
    <w:rsid w:val="0071585F"/>
    <w:rsid w:val="007158EF"/>
    <w:rsid w:val="00715E3F"/>
    <w:rsid w:val="00716049"/>
    <w:rsid w:val="00716062"/>
    <w:rsid w:val="007160BE"/>
    <w:rsid w:val="007165D1"/>
    <w:rsid w:val="00716706"/>
    <w:rsid w:val="00716DC4"/>
    <w:rsid w:val="00717009"/>
    <w:rsid w:val="007170DD"/>
    <w:rsid w:val="007171D7"/>
    <w:rsid w:val="00717683"/>
    <w:rsid w:val="00717958"/>
    <w:rsid w:val="007179DE"/>
    <w:rsid w:val="0071BA43"/>
    <w:rsid w:val="0072002D"/>
    <w:rsid w:val="0072015E"/>
    <w:rsid w:val="00720771"/>
    <w:rsid w:val="007207E7"/>
    <w:rsid w:val="00721BE9"/>
    <w:rsid w:val="00721D42"/>
    <w:rsid w:val="00721D8C"/>
    <w:rsid w:val="00721EF2"/>
    <w:rsid w:val="0072204C"/>
    <w:rsid w:val="0072225F"/>
    <w:rsid w:val="0072258E"/>
    <w:rsid w:val="007226A9"/>
    <w:rsid w:val="0072279C"/>
    <w:rsid w:val="00723294"/>
    <w:rsid w:val="00723D3A"/>
    <w:rsid w:val="00723F2C"/>
    <w:rsid w:val="007242B4"/>
    <w:rsid w:val="007242BA"/>
    <w:rsid w:val="007243ED"/>
    <w:rsid w:val="00724437"/>
    <w:rsid w:val="00724447"/>
    <w:rsid w:val="007245DD"/>
    <w:rsid w:val="007246B6"/>
    <w:rsid w:val="007249A8"/>
    <w:rsid w:val="00724E53"/>
    <w:rsid w:val="0072568B"/>
    <w:rsid w:val="007257EF"/>
    <w:rsid w:val="007258F4"/>
    <w:rsid w:val="00725946"/>
    <w:rsid w:val="0072598E"/>
    <w:rsid w:val="00725A0D"/>
    <w:rsid w:val="00725C2E"/>
    <w:rsid w:val="00725DCB"/>
    <w:rsid w:val="0072600B"/>
    <w:rsid w:val="00726237"/>
    <w:rsid w:val="007262E8"/>
    <w:rsid w:val="0072651B"/>
    <w:rsid w:val="007265B3"/>
    <w:rsid w:val="0072687C"/>
    <w:rsid w:val="00726F09"/>
    <w:rsid w:val="00727130"/>
    <w:rsid w:val="007278AE"/>
    <w:rsid w:val="00727924"/>
    <w:rsid w:val="00727BB3"/>
    <w:rsid w:val="00727C2E"/>
    <w:rsid w:val="007300DA"/>
    <w:rsid w:val="0073052E"/>
    <w:rsid w:val="007306ED"/>
    <w:rsid w:val="007309A5"/>
    <w:rsid w:val="00730B2F"/>
    <w:rsid w:val="00730B5A"/>
    <w:rsid w:val="00730BD9"/>
    <w:rsid w:val="00730C86"/>
    <w:rsid w:val="007312BB"/>
    <w:rsid w:val="0073184A"/>
    <w:rsid w:val="007318CE"/>
    <w:rsid w:val="007319CF"/>
    <w:rsid w:val="00731BA8"/>
    <w:rsid w:val="007323F2"/>
    <w:rsid w:val="00732652"/>
    <w:rsid w:val="0073265E"/>
    <w:rsid w:val="007327B7"/>
    <w:rsid w:val="007327CD"/>
    <w:rsid w:val="00732E8F"/>
    <w:rsid w:val="00732EEC"/>
    <w:rsid w:val="00732FD9"/>
    <w:rsid w:val="0073328F"/>
    <w:rsid w:val="00733563"/>
    <w:rsid w:val="007335BC"/>
    <w:rsid w:val="007338C7"/>
    <w:rsid w:val="00733A9A"/>
    <w:rsid w:val="00733DD2"/>
    <w:rsid w:val="00734571"/>
    <w:rsid w:val="00734853"/>
    <w:rsid w:val="00734915"/>
    <w:rsid w:val="00734D87"/>
    <w:rsid w:val="0073507C"/>
    <w:rsid w:val="00735A6D"/>
    <w:rsid w:val="007362D0"/>
    <w:rsid w:val="007365BB"/>
    <w:rsid w:val="00736918"/>
    <w:rsid w:val="00736B85"/>
    <w:rsid w:val="00736CA7"/>
    <w:rsid w:val="00736EDF"/>
    <w:rsid w:val="00737120"/>
    <w:rsid w:val="0073736E"/>
    <w:rsid w:val="00737454"/>
    <w:rsid w:val="007378E5"/>
    <w:rsid w:val="00737A31"/>
    <w:rsid w:val="00737B3F"/>
    <w:rsid w:val="00737CF9"/>
    <w:rsid w:val="0074002F"/>
    <w:rsid w:val="0074023E"/>
    <w:rsid w:val="007402E8"/>
    <w:rsid w:val="00740348"/>
    <w:rsid w:val="00740D3D"/>
    <w:rsid w:val="00740F3F"/>
    <w:rsid w:val="00741023"/>
    <w:rsid w:val="007417C1"/>
    <w:rsid w:val="00741BDD"/>
    <w:rsid w:val="00742316"/>
    <w:rsid w:val="007424C6"/>
    <w:rsid w:val="0074260A"/>
    <w:rsid w:val="00742675"/>
    <w:rsid w:val="00742684"/>
    <w:rsid w:val="00742714"/>
    <w:rsid w:val="00742A08"/>
    <w:rsid w:val="00742B21"/>
    <w:rsid w:val="00742DFB"/>
    <w:rsid w:val="0074351E"/>
    <w:rsid w:val="0074369A"/>
    <w:rsid w:val="0074410D"/>
    <w:rsid w:val="00744464"/>
    <w:rsid w:val="00744DB3"/>
    <w:rsid w:val="00744FFD"/>
    <w:rsid w:val="007450AA"/>
    <w:rsid w:val="00745666"/>
    <w:rsid w:val="007456F1"/>
    <w:rsid w:val="00745743"/>
    <w:rsid w:val="00746019"/>
    <w:rsid w:val="00746030"/>
    <w:rsid w:val="007460BF"/>
    <w:rsid w:val="00746189"/>
    <w:rsid w:val="007464B7"/>
    <w:rsid w:val="00746977"/>
    <w:rsid w:val="00746A29"/>
    <w:rsid w:val="00746AFB"/>
    <w:rsid w:val="00747518"/>
    <w:rsid w:val="007479E9"/>
    <w:rsid w:val="00747A6B"/>
    <w:rsid w:val="00747D1B"/>
    <w:rsid w:val="00750307"/>
    <w:rsid w:val="00750675"/>
    <w:rsid w:val="00750759"/>
    <w:rsid w:val="00750821"/>
    <w:rsid w:val="00750A82"/>
    <w:rsid w:val="00750AA6"/>
    <w:rsid w:val="00750AF0"/>
    <w:rsid w:val="00750D08"/>
    <w:rsid w:val="007514C4"/>
    <w:rsid w:val="00751899"/>
    <w:rsid w:val="00751BF1"/>
    <w:rsid w:val="00751C6D"/>
    <w:rsid w:val="00751D64"/>
    <w:rsid w:val="00751D7D"/>
    <w:rsid w:val="00751DDD"/>
    <w:rsid w:val="00751E0C"/>
    <w:rsid w:val="00752078"/>
    <w:rsid w:val="00752655"/>
    <w:rsid w:val="007528BC"/>
    <w:rsid w:val="00752D54"/>
    <w:rsid w:val="00752D75"/>
    <w:rsid w:val="00753345"/>
    <w:rsid w:val="00753445"/>
    <w:rsid w:val="0075355F"/>
    <w:rsid w:val="00753745"/>
    <w:rsid w:val="007538DA"/>
    <w:rsid w:val="00753964"/>
    <w:rsid w:val="00753B18"/>
    <w:rsid w:val="00753C73"/>
    <w:rsid w:val="00753D75"/>
    <w:rsid w:val="0075457F"/>
    <w:rsid w:val="00754777"/>
    <w:rsid w:val="00754E82"/>
    <w:rsid w:val="0075515A"/>
    <w:rsid w:val="00755838"/>
    <w:rsid w:val="00755E7D"/>
    <w:rsid w:val="00755E9B"/>
    <w:rsid w:val="007566AF"/>
    <w:rsid w:val="007566CC"/>
    <w:rsid w:val="00756F09"/>
    <w:rsid w:val="00756F5A"/>
    <w:rsid w:val="00757061"/>
    <w:rsid w:val="00757214"/>
    <w:rsid w:val="007578A2"/>
    <w:rsid w:val="007579D2"/>
    <w:rsid w:val="00757BC7"/>
    <w:rsid w:val="00757C8F"/>
    <w:rsid w:val="00757C93"/>
    <w:rsid w:val="0075CDBB"/>
    <w:rsid w:val="00760CCA"/>
    <w:rsid w:val="007612CB"/>
    <w:rsid w:val="0076132F"/>
    <w:rsid w:val="0076167F"/>
    <w:rsid w:val="0076173B"/>
    <w:rsid w:val="00761812"/>
    <w:rsid w:val="00761AE3"/>
    <w:rsid w:val="00761C5A"/>
    <w:rsid w:val="00762032"/>
    <w:rsid w:val="00762606"/>
    <w:rsid w:val="00762692"/>
    <w:rsid w:val="00762696"/>
    <w:rsid w:val="0076310B"/>
    <w:rsid w:val="00763259"/>
    <w:rsid w:val="0076330E"/>
    <w:rsid w:val="00763536"/>
    <w:rsid w:val="007635E6"/>
    <w:rsid w:val="00763863"/>
    <w:rsid w:val="00763AC1"/>
    <w:rsid w:val="00763C6D"/>
    <w:rsid w:val="00764394"/>
    <w:rsid w:val="0076444D"/>
    <w:rsid w:val="00764812"/>
    <w:rsid w:val="007649E2"/>
    <w:rsid w:val="00764AC3"/>
    <w:rsid w:val="00765168"/>
    <w:rsid w:val="007659A1"/>
    <w:rsid w:val="00765A3B"/>
    <w:rsid w:val="00765BE3"/>
    <w:rsid w:val="00765F38"/>
    <w:rsid w:val="00766033"/>
    <w:rsid w:val="007662D8"/>
    <w:rsid w:val="00766994"/>
    <w:rsid w:val="00766C97"/>
    <w:rsid w:val="00766E79"/>
    <w:rsid w:val="00767218"/>
    <w:rsid w:val="007673EA"/>
    <w:rsid w:val="00767B62"/>
    <w:rsid w:val="00767B77"/>
    <w:rsid w:val="00767C23"/>
    <w:rsid w:val="00767CA1"/>
    <w:rsid w:val="0076A8A0"/>
    <w:rsid w:val="007702C0"/>
    <w:rsid w:val="0077060A"/>
    <w:rsid w:val="007707F8"/>
    <w:rsid w:val="00770832"/>
    <w:rsid w:val="00770958"/>
    <w:rsid w:val="00770C3D"/>
    <w:rsid w:val="00770C68"/>
    <w:rsid w:val="00770F33"/>
    <w:rsid w:val="00771226"/>
    <w:rsid w:val="0077152E"/>
    <w:rsid w:val="007715BF"/>
    <w:rsid w:val="0077172A"/>
    <w:rsid w:val="00771868"/>
    <w:rsid w:val="00771886"/>
    <w:rsid w:val="007720FC"/>
    <w:rsid w:val="007721EE"/>
    <w:rsid w:val="007722BA"/>
    <w:rsid w:val="007722E3"/>
    <w:rsid w:val="00772368"/>
    <w:rsid w:val="00772479"/>
    <w:rsid w:val="007724F5"/>
    <w:rsid w:val="007726E1"/>
    <w:rsid w:val="00772747"/>
    <w:rsid w:val="007728F3"/>
    <w:rsid w:val="00772DA5"/>
    <w:rsid w:val="00772E67"/>
    <w:rsid w:val="00772EC0"/>
    <w:rsid w:val="00773A5A"/>
    <w:rsid w:val="00773B35"/>
    <w:rsid w:val="00773ED0"/>
    <w:rsid w:val="00773F52"/>
    <w:rsid w:val="00773F89"/>
    <w:rsid w:val="00774967"/>
    <w:rsid w:val="00774B16"/>
    <w:rsid w:val="00774C8F"/>
    <w:rsid w:val="00774CC6"/>
    <w:rsid w:val="00774FE6"/>
    <w:rsid w:val="00775783"/>
    <w:rsid w:val="00775809"/>
    <w:rsid w:val="007759E4"/>
    <w:rsid w:val="007759E9"/>
    <w:rsid w:val="0077617E"/>
    <w:rsid w:val="007766F4"/>
    <w:rsid w:val="0077685A"/>
    <w:rsid w:val="00776893"/>
    <w:rsid w:val="00776FDB"/>
    <w:rsid w:val="007770D6"/>
    <w:rsid w:val="00777A1C"/>
    <w:rsid w:val="00777C81"/>
    <w:rsid w:val="00777F73"/>
    <w:rsid w:val="00779D7B"/>
    <w:rsid w:val="0078036F"/>
    <w:rsid w:val="00780467"/>
    <w:rsid w:val="00780B9A"/>
    <w:rsid w:val="00780D27"/>
    <w:rsid w:val="00781625"/>
    <w:rsid w:val="00781662"/>
    <w:rsid w:val="00781AFA"/>
    <w:rsid w:val="00781D2A"/>
    <w:rsid w:val="00781DBD"/>
    <w:rsid w:val="00782381"/>
    <w:rsid w:val="00782B17"/>
    <w:rsid w:val="00782BA4"/>
    <w:rsid w:val="00782F03"/>
    <w:rsid w:val="007832DF"/>
    <w:rsid w:val="00783716"/>
    <w:rsid w:val="00783BDD"/>
    <w:rsid w:val="00783F51"/>
    <w:rsid w:val="0078450C"/>
    <w:rsid w:val="00784556"/>
    <w:rsid w:val="007851BF"/>
    <w:rsid w:val="00785463"/>
    <w:rsid w:val="00786338"/>
    <w:rsid w:val="007869EE"/>
    <w:rsid w:val="00787148"/>
    <w:rsid w:val="007876CE"/>
    <w:rsid w:val="007879C2"/>
    <w:rsid w:val="00787DA8"/>
    <w:rsid w:val="00787EE1"/>
    <w:rsid w:val="00787FE6"/>
    <w:rsid w:val="00790557"/>
    <w:rsid w:val="00790C10"/>
    <w:rsid w:val="00790DAD"/>
    <w:rsid w:val="0079127E"/>
    <w:rsid w:val="007912FE"/>
    <w:rsid w:val="0079155E"/>
    <w:rsid w:val="0079181B"/>
    <w:rsid w:val="00791ACC"/>
    <w:rsid w:val="00791B16"/>
    <w:rsid w:val="00792276"/>
    <w:rsid w:val="00792306"/>
    <w:rsid w:val="007927C2"/>
    <w:rsid w:val="00792B66"/>
    <w:rsid w:val="00792DFE"/>
    <w:rsid w:val="007931C1"/>
    <w:rsid w:val="00793550"/>
    <w:rsid w:val="007935E5"/>
    <w:rsid w:val="00793678"/>
    <w:rsid w:val="0079373A"/>
    <w:rsid w:val="0079378E"/>
    <w:rsid w:val="00793B06"/>
    <w:rsid w:val="00793CAF"/>
    <w:rsid w:val="00793D45"/>
    <w:rsid w:val="00793D58"/>
    <w:rsid w:val="0079401D"/>
    <w:rsid w:val="00794039"/>
    <w:rsid w:val="00794168"/>
    <w:rsid w:val="00794183"/>
    <w:rsid w:val="0079474A"/>
    <w:rsid w:val="007947C9"/>
    <w:rsid w:val="00794B94"/>
    <w:rsid w:val="00794F7A"/>
    <w:rsid w:val="00794FB4"/>
    <w:rsid w:val="00794FF6"/>
    <w:rsid w:val="0079515A"/>
    <w:rsid w:val="00795223"/>
    <w:rsid w:val="00795237"/>
    <w:rsid w:val="00795266"/>
    <w:rsid w:val="0079565B"/>
    <w:rsid w:val="00795B8C"/>
    <w:rsid w:val="00795E77"/>
    <w:rsid w:val="00796C7E"/>
    <w:rsid w:val="00796EBA"/>
    <w:rsid w:val="00797239"/>
    <w:rsid w:val="0079756D"/>
    <w:rsid w:val="00797591"/>
    <w:rsid w:val="00797C30"/>
    <w:rsid w:val="00797CC1"/>
    <w:rsid w:val="00797F24"/>
    <w:rsid w:val="00797FB2"/>
    <w:rsid w:val="007A0945"/>
    <w:rsid w:val="007A099A"/>
    <w:rsid w:val="007A0C45"/>
    <w:rsid w:val="007A126D"/>
    <w:rsid w:val="007A1826"/>
    <w:rsid w:val="007A19CF"/>
    <w:rsid w:val="007A1A96"/>
    <w:rsid w:val="007A1DB0"/>
    <w:rsid w:val="007A1E3C"/>
    <w:rsid w:val="007A26DD"/>
    <w:rsid w:val="007A2BCB"/>
    <w:rsid w:val="007A2CE2"/>
    <w:rsid w:val="007A3158"/>
    <w:rsid w:val="007A31A8"/>
    <w:rsid w:val="007A3374"/>
    <w:rsid w:val="007A33BE"/>
    <w:rsid w:val="007A346F"/>
    <w:rsid w:val="007A3497"/>
    <w:rsid w:val="007A35B5"/>
    <w:rsid w:val="007A3AA6"/>
    <w:rsid w:val="007A3DCB"/>
    <w:rsid w:val="007A3EA2"/>
    <w:rsid w:val="007A3ED2"/>
    <w:rsid w:val="007A3FFA"/>
    <w:rsid w:val="007A440F"/>
    <w:rsid w:val="007A4836"/>
    <w:rsid w:val="007A4976"/>
    <w:rsid w:val="007A4F44"/>
    <w:rsid w:val="007A5126"/>
    <w:rsid w:val="007A529B"/>
    <w:rsid w:val="007A534D"/>
    <w:rsid w:val="007A58AC"/>
    <w:rsid w:val="007A58D0"/>
    <w:rsid w:val="007A594D"/>
    <w:rsid w:val="007A5A98"/>
    <w:rsid w:val="007A5AB9"/>
    <w:rsid w:val="007A5B66"/>
    <w:rsid w:val="007A5B85"/>
    <w:rsid w:val="007A5BB8"/>
    <w:rsid w:val="007A5C32"/>
    <w:rsid w:val="007A6245"/>
    <w:rsid w:val="007A644B"/>
    <w:rsid w:val="007A65CD"/>
    <w:rsid w:val="007A66F5"/>
    <w:rsid w:val="007A6942"/>
    <w:rsid w:val="007A69FA"/>
    <w:rsid w:val="007A6D29"/>
    <w:rsid w:val="007A6FE4"/>
    <w:rsid w:val="007A7386"/>
    <w:rsid w:val="007A747B"/>
    <w:rsid w:val="007A75A7"/>
    <w:rsid w:val="007A7609"/>
    <w:rsid w:val="007A770E"/>
    <w:rsid w:val="007B00E3"/>
    <w:rsid w:val="007B012A"/>
    <w:rsid w:val="007B06AC"/>
    <w:rsid w:val="007B0791"/>
    <w:rsid w:val="007B0AE7"/>
    <w:rsid w:val="007B0BE9"/>
    <w:rsid w:val="007B0E66"/>
    <w:rsid w:val="007B0ECB"/>
    <w:rsid w:val="007B113E"/>
    <w:rsid w:val="007B11AA"/>
    <w:rsid w:val="007B130A"/>
    <w:rsid w:val="007B14E8"/>
    <w:rsid w:val="007B1AEB"/>
    <w:rsid w:val="007B1D29"/>
    <w:rsid w:val="007B202C"/>
    <w:rsid w:val="007B2142"/>
    <w:rsid w:val="007B21EB"/>
    <w:rsid w:val="007B229C"/>
    <w:rsid w:val="007B2374"/>
    <w:rsid w:val="007B2819"/>
    <w:rsid w:val="007B3B63"/>
    <w:rsid w:val="007B3C0F"/>
    <w:rsid w:val="007B426D"/>
    <w:rsid w:val="007B45E0"/>
    <w:rsid w:val="007B4856"/>
    <w:rsid w:val="007B49D9"/>
    <w:rsid w:val="007B4D07"/>
    <w:rsid w:val="007B4DE7"/>
    <w:rsid w:val="007B509E"/>
    <w:rsid w:val="007B5164"/>
    <w:rsid w:val="007B527B"/>
    <w:rsid w:val="007B576D"/>
    <w:rsid w:val="007B5988"/>
    <w:rsid w:val="007B5A1A"/>
    <w:rsid w:val="007B6485"/>
    <w:rsid w:val="007B6B39"/>
    <w:rsid w:val="007B6DB9"/>
    <w:rsid w:val="007B6DCF"/>
    <w:rsid w:val="007B6E3E"/>
    <w:rsid w:val="007B7045"/>
    <w:rsid w:val="007B70F3"/>
    <w:rsid w:val="007B7160"/>
    <w:rsid w:val="007B7398"/>
    <w:rsid w:val="007B73FD"/>
    <w:rsid w:val="007B7432"/>
    <w:rsid w:val="007B774C"/>
    <w:rsid w:val="007B7BBD"/>
    <w:rsid w:val="007B7CFD"/>
    <w:rsid w:val="007C02F6"/>
    <w:rsid w:val="007C0316"/>
    <w:rsid w:val="007C05A6"/>
    <w:rsid w:val="007C05EC"/>
    <w:rsid w:val="007C0867"/>
    <w:rsid w:val="007C0923"/>
    <w:rsid w:val="007C0C20"/>
    <w:rsid w:val="007C10B9"/>
    <w:rsid w:val="007C121E"/>
    <w:rsid w:val="007C1613"/>
    <w:rsid w:val="007C186F"/>
    <w:rsid w:val="007C197E"/>
    <w:rsid w:val="007C1B40"/>
    <w:rsid w:val="007C2462"/>
    <w:rsid w:val="007C2649"/>
    <w:rsid w:val="007C27D1"/>
    <w:rsid w:val="007C2808"/>
    <w:rsid w:val="007C289F"/>
    <w:rsid w:val="007C2F31"/>
    <w:rsid w:val="007C3102"/>
    <w:rsid w:val="007C320F"/>
    <w:rsid w:val="007C3363"/>
    <w:rsid w:val="007C398D"/>
    <w:rsid w:val="007C3CA0"/>
    <w:rsid w:val="007C3D3E"/>
    <w:rsid w:val="007C3F56"/>
    <w:rsid w:val="007C435C"/>
    <w:rsid w:val="007C43F2"/>
    <w:rsid w:val="007C4850"/>
    <w:rsid w:val="007C48BE"/>
    <w:rsid w:val="007C49DB"/>
    <w:rsid w:val="007C49F7"/>
    <w:rsid w:val="007C4B46"/>
    <w:rsid w:val="007C4C05"/>
    <w:rsid w:val="007C4C15"/>
    <w:rsid w:val="007C4C2C"/>
    <w:rsid w:val="007C4F76"/>
    <w:rsid w:val="007C517A"/>
    <w:rsid w:val="007C56C9"/>
    <w:rsid w:val="007C5824"/>
    <w:rsid w:val="007C599C"/>
    <w:rsid w:val="007C5B4B"/>
    <w:rsid w:val="007C5D7E"/>
    <w:rsid w:val="007C6038"/>
    <w:rsid w:val="007C64C8"/>
    <w:rsid w:val="007C6597"/>
    <w:rsid w:val="007C68E0"/>
    <w:rsid w:val="007C6932"/>
    <w:rsid w:val="007C6A50"/>
    <w:rsid w:val="007C6E40"/>
    <w:rsid w:val="007C6EAF"/>
    <w:rsid w:val="007C6F68"/>
    <w:rsid w:val="007C7272"/>
    <w:rsid w:val="007C7412"/>
    <w:rsid w:val="007C7D74"/>
    <w:rsid w:val="007D0317"/>
    <w:rsid w:val="007D095B"/>
    <w:rsid w:val="007D0FEC"/>
    <w:rsid w:val="007D1254"/>
    <w:rsid w:val="007D128E"/>
    <w:rsid w:val="007D1292"/>
    <w:rsid w:val="007D192C"/>
    <w:rsid w:val="007D238F"/>
    <w:rsid w:val="007D26EC"/>
    <w:rsid w:val="007D2801"/>
    <w:rsid w:val="007D2D4F"/>
    <w:rsid w:val="007D3613"/>
    <w:rsid w:val="007D3DA1"/>
    <w:rsid w:val="007D413E"/>
    <w:rsid w:val="007D416E"/>
    <w:rsid w:val="007D4534"/>
    <w:rsid w:val="007D45F8"/>
    <w:rsid w:val="007D46DD"/>
    <w:rsid w:val="007D485A"/>
    <w:rsid w:val="007D495C"/>
    <w:rsid w:val="007D4CA3"/>
    <w:rsid w:val="007D52E6"/>
    <w:rsid w:val="007D5407"/>
    <w:rsid w:val="007D5596"/>
    <w:rsid w:val="007D5908"/>
    <w:rsid w:val="007D5AC3"/>
    <w:rsid w:val="007D6759"/>
    <w:rsid w:val="007D6A05"/>
    <w:rsid w:val="007D6A5B"/>
    <w:rsid w:val="007D6B28"/>
    <w:rsid w:val="007D704C"/>
    <w:rsid w:val="007D70FB"/>
    <w:rsid w:val="007D71DA"/>
    <w:rsid w:val="007D722E"/>
    <w:rsid w:val="007D734B"/>
    <w:rsid w:val="007D7D28"/>
    <w:rsid w:val="007D7EB8"/>
    <w:rsid w:val="007D7F8A"/>
    <w:rsid w:val="007E009B"/>
    <w:rsid w:val="007E089B"/>
    <w:rsid w:val="007E0A3D"/>
    <w:rsid w:val="007E0BE8"/>
    <w:rsid w:val="007E0D6B"/>
    <w:rsid w:val="007E1096"/>
    <w:rsid w:val="007E153B"/>
    <w:rsid w:val="007E15DB"/>
    <w:rsid w:val="007E1621"/>
    <w:rsid w:val="007E1BB1"/>
    <w:rsid w:val="007E1CB8"/>
    <w:rsid w:val="007E1EE8"/>
    <w:rsid w:val="007E1FF8"/>
    <w:rsid w:val="007E2620"/>
    <w:rsid w:val="007E2AAA"/>
    <w:rsid w:val="007E3DF2"/>
    <w:rsid w:val="007E423B"/>
    <w:rsid w:val="007E5153"/>
    <w:rsid w:val="007E54D9"/>
    <w:rsid w:val="007E5575"/>
    <w:rsid w:val="007E57AA"/>
    <w:rsid w:val="007E57B3"/>
    <w:rsid w:val="007E5998"/>
    <w:rsid w:val="007E5AB8"/>
    <w:rsid w:val="007E5BDB"/>
    <w:rsid w:val="007E6368"/>
    <w:rsid w:val="007E6389"/>
    <w:rsid w:val="007E65F8"/>
    <w:rsid w:val="007E66F2"/>
    <w:rsid w:val="007E6B2F"/>
    <w:rsid w:val="007E6C1A"/>
    <w:rsid w:val="007E6F7A"/>
    <w:rsid w:val="007E6F9D"/>
    <w:rsid w:val="007E70E2"/>
    <w:rsid w:val="007E757E"/>
    <w:rsid w:val="007E759E"/>
    <w:rsid w:val="007E7A7C"/>
    <w:rsid w:val="007E7AFC"/>
    <w:rsid w:val="007E7B08"/>
    <w:rsid w:val="007E7D84"/>
    <w:rsid w:val="007F0567"/>
    <w:rsid w:val="007F083E"/>
    <w:rsid w:val="007F0E8A"/>
    <w:rsid w:val="007F14B1"/>
    <w:rsid w:val="007F168C"/>
    <w:rsid w:val="007F1F7A"/>
    <w:rsid w:val="007F26B7"/>
    <w:rsid w:val="007F2B1E"/>
    <w:rsid w:val="007F3611"/>
    <w:rsid w:val="007F3948"/>
    <w:rsid w:val="007F447B"/>
    <w:rsid w:val="007F49B3"/>
    <w:rsid w:val="007F4CD0"/>
    <w:rsid w:val="007F556E"/>
    <w:rsid w:val="007F5583"/>
    <w:rsid w:val="007F66B0"/>
    <w:rsid w:val="007F68D5"/>
    <w:rsid w:val="007F74D1"/>
    <w:rsid w:val="007F7667"/>
    <w:rsid w:val="007F76EE"/>
    <w:rsid w:val="007F787A"/>
    <w:rsid w:val="008000E2"/>
    <w:rsid w:val="008000E9"/>
    <w:rsid w:val="00800179"/>
    <w:rsid w:val="008002ED"/>
    <w:rsid w:val="008003C4"/>
    <w:rsid w:val="00800688"/>
    <w:rsid w:val="00800721"/>
    <w:rsid w:val="00800E51"/>
    <w:rsid w:val="0080121A"/>
    <w:rsid w:val="0080130B"/>
    <w:rsid w:val="00801325"/>
    <w:rsid w:val="0080136B"/>
    <w:rsid w:val="008017D5"/>
    <w:rsid w:val="00801A21"/>
    <w:rsid w:val="00802385"/>
    <w:rsid w:val="0080250E"/>
    <w:rsid w:val="00802671"/>
    <w:rsid w:val="008027A4"/>
    <w:rsid w:val="0080291E"/>
    <w:rsid w:val="00802CE5"/>
    <w:rsid w:val="00802E53"/>
    <w:rsid w:val="008030AA"/>
    <w:rsid w:val="0080315C"/>
    <w:rsid w:val="008031C7"/>
    <w:rsid w:val="0080342F"/>
    <w:rsid w:val="00803810"/>
    <w:rsid w:val="00803E7F"/>
    <w:rsid w:val="00804B20"/>
    <w:rsid w:val="00804C3F"/>
    <w:rsid w:val="00804F95"/>
    <w:rsid w:val="00805721"/>
    <w:rsid w:val="00805827"/>
    <w:rsid w:val="0080588E"/>
    <w:rsid w:val="008058C7"/>
    <w:rsid w:val="00805C5E"/>
    <w:rsid w:val="00805D77"/>
    <w:rsid w:val="00805F0E"/>
    <w:rsid w:val="008065B0"/>
    <w:rsid w:val="00806A49"/>
    <w:rsid w:val="00806C9E"/>
    <w:rsid w:val="00806F4B"/>
    <w:rsid w:val="008070B1"/>
    <w:rsid w:val="008071ED"/>
    <w:rsid w:val="00807418"/>
    <w:rsid w:val="00807756"/>
    <w:rsid w:val="0080790F"/>
    <w:rsid w:val="00807970"/>
    <w:rsid w:val="00807D49"/>
    <w:rsid w:val="00807EC7"/>
    <w:rsid w:val="00807F95"/>
    <w:rsid w:val="0081044E"/>
    <w:rsid w:val="0081048B"/>
    <w:rsid w:val="008106E0"/>
    <w:rsid w:val="00810932"/>
    <w:rsid w:val="00810A01"/>
    <w:rsid w:val="00810F69"/>
    <w:rsid w:val="0081123C"/>
    <w:rsid w:val="008114E5"/>
    <w:rsid w:val="00811616"/>
    <w:rsid w:val="00811667"/>
    <w:rsid w:val="008119D8"/>
    <w:rsid w:val="00811B17"/>
    <w:rsid w:val="00811BE6"/>
    <w:rsid w:val="008121ED"/>
    <w:rsid w:val="008125A0"/>
    <w:rsid w:val="00812786"/>
    <w:rsid w:val="00812A62"/>
    <w:rsid w:val="00812ED4"/>
    <w:rsid w:val="008136EC"/>
    <w:rsid w:val="008137B6"/>
    <w:rsid w:val="008139E5"/>
    <w:rsid w:val="008139E9"/>
    <w:rsid w:val="00813E23"/>
    <w:rsid w:val="008140EF"/>
    <w:rsid w:val="0081450B"/>
    <w:rsid w:val="008147B8"/>
    <w:rsid w:val="00814977"/>
    <w:rsid w:val="00814F66"/>
    <w:rsid w:val="0081501A"/>
    <w:rsid w:val="00815050"/>
    <w:rsid w:val="00815068"/>
    <w:rsid w:val="00815244"/>
    <w:rsid w:val="00815AFF"/>
    <w:rsid w:val="008160C5"/>
    <w:rsid w:val="0081642F"/>
    <w:rsid w:val="00816801"/>
    <w:rsid w:val="00816818"/>
    <w:rsid w:val="008168A3"/>
    <w:rsid w:val="00816CD8"/>
    <w:rsid w:val="00816E22"/>
    <w:rsid w:val="008171C3"/>
    <w:rsid w:val="00817502"/>
    <w:rsid w:val="008177FA"/>
    <w:rsid w:val="00817987"/>
    <w:rsid w:val="00817D7E"/>
    <w:rsid w:val="00820899"/>
    <w:rsid w:val="008219DB"/>
    <w:rsid w:val="00821EE1"/>
    <w:rsid w:val="00822177"/>
    <w:rsid w:val="008223B4"/>
    <w:rsid w:val="0082296E"/>
    <w:rsid w:val="008229F7"/>
    <w:rsid w:val="00822D88"/>
    <w:rsid w:val="00823175"/>
    <w:rsid w:val="008231A5"/>
    <w:rsid w:val="00823693"/>
    <w:rsid w:val="008238C2"/>
    <w:rsid w:val="00823903"/>
    <w:rsid w:val="00823C77"/>
    <w:rsid w:val="00823F13"/>
    <w:rsid w:val="00824216"/>
    <w:rsid w:val="0082424D"/>
    <w:rsid w:val="008244AE"/>
    <w:rsid w:val="008245C7"/>
    <w:rsid w:val="00824AAB"/>
    <w:rsid w:val="00824BF6"/>
    <w:rsid w:val="00824C63"/>
    <w:rsid w:val="0082505F"/>
    <w:rsid w:val="00825C9C"/>
    <w:rsid w:val="00825F8E"/>
    <w:rsid w:val="00826407"/>
    <w:rsid w:val="00826640"/>
    <w:rsid w:val="00826A91"/>
    <w:rsid w:val="00826BCA"/>
    <w:rsid w:val="0082730A"/>
    <w:rsid w:val="00827500"/>
    <w:rsid w:val="00827691"/>
    <w:rsid w:val="00827A67"/>
    <w:rsid w:val="00827BAB"/>
    <w:rsid w:val="00827C0F"/>
    <w:rsid w:val="00831031"/>
    <w:rsid w:val="00831260"/>
    <w:rsid w:val="008315F4"/>
    <w:rsid w:val="00831872"/>
    <w:rsid w:val="00831B71"/>
    <w:rsid w:val="00831F61"/>
    <w:rsid w:val="00832251"/>
    <w:rsid w:val="00832568"/>
    <w:rsid w:val="0083282C"/>
    <w:rsid w:val="00832BD1"/>
    <w:rsid w:val="00832C07"/>
    <w:rsid w:val="008330EA"/>
    <w:rsid w:val="0083327B"/>
    <w:rsid w:val="00833BA3"/>
    <w:rsid w:val="0083440B"/>
    <w:rsid w:val="008345DA"/>
    <w:rsid w:val="00834AF4"/>
    <w:rsid w:val="00835070"/>
    <w:rsid w:val="0083551C"/>
    <w:rsid w:val="00835A7A"/>
    <w:rsid w:val="00835CB7"/>
    <w:rsid w:val="00835F19"/>
    <w:rsid w:val="00835F1F"/>
    <w:rsid w:val="00835F2C"/>
    <w:rsid w:val="00836349"/>
    <w:rsid w:val="0083681C"/>
    <w:rsid w:val="00836ED5"/>
    <w:rsid w:val="008371A8"/>
    <w:rsid w:val="00837258"/>
    <w:rsid w:val="008372B4"/>
    <w:rsid w:val="00837668"/>
    <w:rsid w:val="008376B5"/>
    <w:rsid w:val="00837747"/>
    <w:rsid w:val="00837D64"/>
    <w:rsid w:val="00837DFC"/>
    <w:rsid w:val="008402A6"/>
    <w:rsid w:val="00840A66"/>
    <w:rsid w:val="00840C62"/>
    <w:rsid w:val="008418B0"/>
    <w:rsid w:val="00841BFB"/>
    <w:rsid w:val="00841E94"/>
    <w:rsid w:val="008426A4"/>
    <w:rsid w:val="008428B8"/>
    <w:rsid w:val="00842A11"/>
    <w:rsid w:val="00842B9A"/>
    <w:rsid w:val="008430E7"/>
    <w:rsid w:val="0084311F"/>
    <w:rsid w:val="0084313E"/>
    <w:rsid w:val="008431DE"/>
    <w:rsid w:val="00843309"/>
    <w:rsid w:val="00843556"/>
    <w:rsid w:val="00843583"/>
    <w:rsid w:val="00843E22"/>
    <w:rsid w:val="0084453E"/>
    <w:rsid w:val="00844F27"/>
    <w:rsid w:val="008451B4"/>
    <w:rsid w:val="0084584C"/>
    <w:rsid w:val="008459DD"/>
    <w:rsid w:val="00845ACD"/>
    <w:rsid w:val="00845B82"/>
    <w:rsid w:val="00845FDC"/>
    <w:rsid w:val="00846363"/>
    <w:rsid w:val="0084672B"/>
    <w:rsid w:val="008468B5"/>
    <w:rsid w:val="00846B72"/>
    <w:rsid w:val="00846CD6"/>
    <w:rsid w:val="00846F91"/>
    <w:rsid w:val="00846FEF"/>
    <w:rsid w:val="008472C0"/>
    <w:rsid w:val="008472CD"/>
    <w:rsid w:val="00847341"/>
    <w:rsid w:val="008474AC"/>
    <w:rsid w:val="00847548"/>
    <w:rsid w:val="0084759A"/>
    <w:rsid w:val="008475BF"/>
    <w:rsid w:val="008477AC"/>
    <w:rsid w:val="008479EF"/>
    <w:rsid w:val="00847B18"/>
    <w:rsid w:val="00847D65"/>
    <w:rsid w:val="0084FFF5"/>
    <w:rsid w:val="00850148"/>
    <w:rsid w:val="008501FF"/>
    <w:rsid w:val="00850250"/>
    <w:rsid w:val="008509B1"/>
    <w:rsid w:val="00850A30"/>
    <w:rsid w:val="00850A58"/>
    <w:rsid w:val="00850AF5"/>
    <w:rsid w:val="00850C3E"/>
    <w:rsid w:val="00850E21"/>
    <w:rsid w:val="00850EB6"/>
    <w:rsid w:val="00851260"/>
    <w:rsid w:val="00851338"/>
    <w:rsid w:val="008513A5"/>
    <w:rsid w:val="00851437"/>
    <w:rsid w:val="008514EB"/>
    <w:rsid w:val="008518CC"/>
    <w:rsid w:val="00851B76"/>
    <w:rsid w:val="00851C7C"/>
    <w:rsid w:val="00851EC0"/>
    <w:rsid w:val="0085232E"/>
    <w:rsid w:val="00852504"/>
    <w:rsid w:val="00852587"/>
    <w:rsid w:val="008528FF"/>
    <w:rsid w:val="0085291F"/>
    <w:rsid w:val="008529F7"/>
    <w:rsid w:val="00852A32"/>
    <w:rsid w:val="00852AE2"/>
    <w:rsid w:val="008532F6"/>
    <w:rsid w:val="00853AC0"/>
    <w:rsid w:val="00853CD8"/>
    <w:rsid w:val="0085455D"/>
    <w:rsid w:val="0085458B"/>
    <w:rsid w:val="008547D2"/>
    <w:rsid w:val="00854962"/>
    <w:rsid w:val="008549E3"/>
    <w:rsid w:val="00854FCD"/>
    <w:rsid w:val="008550E1"/>
    <w:rsid w:val="00855157"/>
    <w:rsid w:val="00855271"/>
    <w:rsid w:val="008552BE"/>
    <w:rsid w:val="00855550"/>
    <w:rsid w:val="00855727"/>
    <w:rsid w:val="00855866"/>
    <w:rsid w:val="00855877"/>
    <w:rsid w:val="00855A55"/>
    <w:rsid w:val="00855F0F"/>
    <w:rsid w:val="0085634E"/>
    <w:rsid w:val="00856C18"/>
    <w:rsid w:val="00856F5E"/>
    <w:rsid w:val="00857410"/>
    <w:rsid w:val="00857744"/>
    <w:rsid w:val="00857785"/>
    <w:rsid w:val="00857909"/>
    <w:rsid w:val="00857B54"/>
    <w:rsid w:val="00857D80"/>
    <w:rsid w:val="00857DB8"/>
    <w:rsid w:val="00860126"/>
    <w:rsid w:val="008602FC"/>
    <w:rsid w:val="00860359"/>
    <w:rsid w:val="008603E5"/>
    <w:rsid w:val="00860A66"/>
    <w:rsid w:val="00860E47"/>
    <w:rsid w:val="00861758"/>
    <w:rsid w:val="00861889"/>
    <w:rsid w:val="00861999"/>
    <w:rsid w:val="00861C1C"/>
    <w:rsid w:val="00861C20"/>
    <w:rsid w:val="00862795"/>
    <w:rsid w:val="00862831"/>
    <w:rsid w:val="00862B0E"/>
    <w:rsid w:val="00862F7B"/>
    <w:rsid w:val="00862F9D"/>
    <w:rsid w:val="0086327E"/>
    <w:rsid w:val="008633BF"/>
    <w:rsid w:val="00863B24"/>
    <w:rsid w:val="00863BCA"/>
    <w:rsid w:val="00863D3C"/>
    <w:rsid w:val="00863E69"/>
    <w:rsid w:val="00864FA7"/>
    <w:rsid w:val="00865196"/>
    <w:rsid w:val="008654F2"/>
    <w:rsid w:val="0086569F"/>
    <w:rsid w:val="00865807"/>
    <w:rsid w:val="0086582E"/>
    <w:rsid w:val="00865F36"/>
    <w:rsid w:val="0086642D"/>
    <w:rsid w:val="008665B2"/>
    <w:rsid w:val="008666B0"/>
    <w:rsid w:val="008671E8"/>
    <w:rsid w:val="0086721A"/>
    <w:rsid w:val="008679DE"/>
    <w:rsid w:val="00867B89"/>
    <w:rsid w:val="00867C2C"/>
    <w:rsid w:val="00867C33"/>
    <w:rsid w:val="00867F63"/>
    <w:rsid w:val="0086AAB2"/>
    <w:rsid w:val="00870538"/>
    <w:rsid w:val="00870A26"/>
    <w:rsid w:val="00870A3D"/>
    <w:rsid w:val="00870B8D"/>
    <w:rsid w:val="00870B93"/>
    <w:rsid w:val="00870E3A"/>
    <w:rsid w:val="00870EE4"/>
    <w:rsid w:val="00871143"/>
    <w:rsid w:val="0087125D"/>
    <w:rsid w:val="00871954"/>
    <w:rsid w:val="00871B21"/>
    <w:rsid w:val="00872148"/>
    <w:rsid w:val="00872368"/>
    <w:rsid w:val="0087265A"/>
    <w:rsid w:val="00872790"/>
    <w:rsid w:val="008727E7"/>
    <w:rsid w:val="00872966"/>
    <w:rsid w:val="008729D0"/>
    <w:rsid w:val="00872C07"/>
    <w:rsid w:val="00872CF2"/>
    <w:rsid w:val="00873249"/>
    <w:rsid w:val="00873438"/>
    <w:rsid w:val="008737D3"/>
    <w:rsid w:val="00873899"/>
    <w:rsid w:val="00873AE9"/>
    <w:rsid w:val="00874945"/>
    <w:rsid w:val="00874C5C"/>
    <w:rsid w:val="00874D3E"/>
    <w:rsid w:val="00874ED8"/>
    <w:rsid w:val="00875383"/>
    <w:rsid w:val="00875AED"/>
    <w:rsid w:val="00875DE4"/>
    <w:rsid w:val="00875EBD"/>
    <w:rsid w:val="00876022"/>
    <w:rsid w:val="00876141"/>
    <w:rsid w:val="008763FE"/>
    <w:rsid w:val="00876440"/>
    <w:rsid w:val="008764B2"/>
    <w:rsid w:val="0087675F"/>
    <w:rsid w:val="00876760"/>
    <w:rsid w:val="00876D5D"/>
    <w:rsid w:val="00877746"/>
    <w:rsid w:val="008777BD"/>
    <w:rsid w:val="00877870"/>
    <w:rsid w:val="00877F66"/>
    <w:rsid w:val="0088004C"/>
    <w:rsid w:val="0088021B"/>
    <w:rsid w:val="00880373"/>
    <w:rsid w:val="00880488"/>
    <w:rsid w:val="0088073B"/>
    <w:rsid w:val="00880F28"/>
    <w:rsid w:val="00881476"/>
    <w:rsid w:val="008815EE"/>
    <w:rsid w:val="00881694"/>
    <w:rsid w:val="00881F0B"/>
    <w:rsid w:val="0088208C"/>
    <w:rsid w:val="00882BF4"/>
    <w:rsid w:val="00882DD3"/>
    <w:rsid w:val="008830A0"/>
    <w:rsid w:val="0088324F"/>
    <w:rsid w:val="0088335A"/>
    <w:rsid w:val="00883692"/>
    <w:rsid w:val="00883799"/>
    <w:rsid w:val="00883A84"/>
    <w:rsid w:val="00883C26"/>
    <w:rsid w:val="00883D7C"/>
    <w:rsid w:val="00884011"/>
    <w:rsid w:val="008843D4"/>
    <w:rsid w:val="00884FD0"/>
    <w:rsid w:val="00885311"/>
    <w:rsid w:val="0088598D"/>
    <w:rsid w:val="00885FDB"/>
    <w:rsid w:val="00886068"/>
    <w:rsid w:val="00886176"/>
    <w:rsid w:val="00886484"/>
    <w:rsid w:val="00886524"/>
    <w:rsid w:val="008869BF"/>
    <w:rsid w:val="00886C56"/>
    <w:rsid w:val="00887152"/>
    <w:rsid w:val="00887711"/>
    <w:rsid w:val="00887C00"/>
    <w:rsid w:val="00890164"/>
    <w:rsid w:val="00890442"/>
    <w:rsid w:val="0089057B"/>
    <w:rsid w:val="00890606"/>
    <w:rsid w:val="00890A8A"/>
    <w:rsid w:val="00890C90"/>
    <w:rsid w:val="00890E8E"/>
    <w:rsid w:val="0089135E"/>
    <w:rsid w:val="00891705"/>
    <w:rsid w:val="00891907"/>
    <w:rsid w:val="00891AFF"/>
    <w:rsid w:val="00892223"/>
    <w:rsid w:val="00892470"/>
    <w:rsid w:val="00892584"/>
    <w:rsid w:val="00892D37"/>
    <w:rsid w:val="00892E8A"/>
    <w:rsid w:val="00893A70"/>
    <w:rsid w:val="00893EF3"/>
    <w:rsid w:val="00894044"/>
    <w:rsid w:val="0089409F"/>
    <w:rsid w:val="0089428F"/>
    <w:rsid w:val="008943B2"/>
    <w:rsid w:val="008943CC"/>
    <w:rsid w:val="008945A1"/>
    <w:rsid w:val="0089471E"/>
    <w:rsid w:val="00894984"/>
    <w:rsid w:val="008949A4"/>
    <w:rsid w:val="00894B26"/>
    <w:rsid w:val="00894CCF"/>
    <w:rsid w:val="00894E22"/>
    <w:rsid w:val="00895394"/>
    <w:rsid w:val="00895D50"/>
    <w:rsid w:val="00895DAE"/>
    <w:rsid w:val="00896833"/>
    <w:rsid w:val="008968DF"/>
    <w:rsid w:val="00897229"/>
    <w:rsid w:val="008973DB"/>
    <w:rsid w:val="008975BA"/>
    <w:rsid w:val="00897DF3"/>
    <w:rsid w:val="008A0526"/>
    <w:rsid w:val="008A0B16"/>
    <w:rsid w:val="008A0B92"/>
    <w:rsid w:val="008A13E1"/>
    <w:rsid w:val="008A1639"/>
    <w:rsid w:val="008A1826"/>
    <w:rsid w:val="008A19F7"/>
    <w:rsid w:val="008A1C65"/>
    <w:rsid w:val="008A2276"/>
    <w:rsid w:val="008A23B1"/>
    <w:rsid w:val="008A2767"/>
    <w:rsid w:val="008A3322"/>
    <w:rsid w:val="008A36FF"/>
    <w:rsid w:val="008A37D3"/>
    <w:rsid w:val="008A3901"/>
    <w:rsid w:val="008A3E4A"/>
    <w:rsid w:val="008A414C"/>
    <w:rsid w:val="008A427A"/>
    <w:rsid w:val="008A462A"/>
    <w:rsid w:val="008A4681"/>
    <w:rsid w:val="008A4F45"/>
    <w:rsid w:val="008A50BF"/>
    <w:rsid w:val="008A5180"/>
    <w:rsid w:val="008A54C0"/>
    <w:rsid w:val="008A5620"/>
    <w:rsid w:val="008A5B87"/>
    <w:rsid w:val="008A5C01"/>
    <w:rsid w:val="008A6335"/>
    <w:rsid w:val="008A64EE"/>
    <w:rsid w:val="008A68B2"/>
    <w:rsid w:val="008A6D87"/>
    <w:rsid w:val="008A755A"/>
    <w:rsid w:val="008A7A0E"/>
    <w:rsid w:val="008A7E3A"/>
    <w:rsid w:val="008B0255"/>
    <w:rsid w:val="008B04F8"/>
    <w:rsid w:val="008B0762"/>
    <w:rsid w:val="008B0892"/>
    <w:rsid w:val="008B0A13"/>
    <w:rsid w:val="008B0C0A"/>
    <w:rsid w:val="008B0D14"/>
    <w:rsid w:val="008B15A6"/>
    <w:rsid w:val="008B1906"/>
    <w:rsid w:val="008B1972"/>
    <w:rsid w:val="008B1CDF"/>
    <w:rsid w:val="008B1D98"/>
    <w:rsid w:val="008B1F8B"/>
    <w:rsid w:val="008B1F95"/>
    <w:rsid w:val="008B2101"/>
    <w:rsid w:val="008B2384"/>
    <w:rsid w:val="008B26B9"/>
    <w:rsid w:val="008B2AD1"/>
    <w:rsid w:val="008B2BA4"/>
    <w:rsid w:val="008B3340"/>
    <w:rsid w:val="008B361B"/>
    <w:rsid w:val="008B3B8B"/>
    <w:rsid w:val="008B4433"/>
    <w:rsid w:val="008B48D6"/>
    <w:rsid w:val="008B4ACA"/>
    <w:rsid w:val="008B4F08"/>
    <w:rsid w:val="008B4F89"/>
    <w:rsid w:val="008B514E"/>
    <w:rsid w:val="008B56D5"/>
    <w:rsid w:val="008B5F27"/>
    <w:rsid w:val="008B62C7"/>
    <w:rsid w:val="008B6622"/>
    <w:rsid w:val="008B6688"/>
    <w:rsid w:val="008B6AEF"/>
    <w:rsid w:val="008B6B79"/>
    <w:rsid w:val="008B702D"/>
    <w:rsid w:val="008B755D"/>
    <w:rsid w:val="008B786C"/>
    <w:rsid w:val="008B7930"/>
    <w:rsid w:val="008B7CB7"/>
    <w:rsid w:val="008C0C01"/>
    <w:rsid w:val="008C0E1A"/>
    <w:rsid w:val="008C0F84"/>
    <w:rsid w:val="008C1262"/>
    <w:rsid w:val="008C13EE"/>
    <w:rsid w:val="008C15A2"/>
    <w:rsid w:val="008C18BC"/>
    <w:rsid w:val="008C19EB"/>
    <w:rsid w:val="008C1C0A"/>
    <w:rsid w:val="008C1C1B"/>
    <w:rsid w:val="008C1FB2"/>
    <w:rsid w:val="008C1FFA"/>
    <w:rsid w:val="008C265A"/>
    <w:rsid w:val="008C29FC"/>
    <w:rsid w:val="008C2BA4"/>
    <w:rsid w:val="008C2F97"/>
    <w:rsid w:val="008C2FAC"/>
    <w:rsid w:val="008C2FDF"/>
    <w:rsid w:val="008C338F"/>
    <w:rsid w:val="008C34B2"/>
    <w:rsid w:val="008C36A2"/>
    <w:rsid w:val="008C3A86"/>
    <w:rsid w:val="008C3EFE"/>
    <w:rsid w:val="008C4220"/>
    <w:rsid w:val="008C42D2"/>
    <w:rsid w:val="008C445C"/>
    <w:rsid w:val="008C46DA"/>
    <w:rsid w:val="008C4964"/>
    <w:rsid w:val="008C4C11"/>
    <w:rsid w:val="008C4D76"/>
    <w:rsid w:val="008C4DB0"/>
    <w:rsid w:val="008C4DC9"/>
    <w:rsid w:val="008C50DD"/>
    <w:rsid w:val="008C547F"/>
    <w:rsid w:val="008C592F"/>
    <w:rsid w:val="008C5989"/>
    <w:rsid w:val="008C5A43"/>
    <w:rsid w:val="008C5D20"/>
    <w:rsid w:val="008C5EDB"/>
    <w:rsid w:val="008C6001"/>
    <w:rsid w:val="008C6B5C"/>
    <w:rsid w:val="008C6D94"/>
    <w:rsid w:val="008C6DE8"/>
    <w:rsid w:val="008C6E09"/>
    <w:rsid w:val="008C6ED4"/>
    <w:rsid w:val="008C6FF8"/>
    <w:rsid w:val="008C7208"/>
    <w:rsid w:val="008C73C1"/>
    <w:rsid w:val="008C75DA"/>
    <w:rsid w:val="008C77C4"/>
    <w:rsid w:val="008C78BD"/>
    <w:rsid w:val="008C7D70"/>
    <w:rsid w:val="008D0097"/>
    <w:rsid w:val="008D00B0"/>
    <w:rsid w:val="008D058F"/>
    <w:rsid w:val="008D0701"/>
    <w:rsid w:val="008D07C0"/>
    <w:rsid w:val="008D0802"/>
    <w:rsid w:val="008D0F3C"/>
    <w:rsid w:val="008D112A"/>
    <w:rsid w:val="008D153A"/>
    <w:rsid w:val="008D1918"/>
    <w:rsid w:val="008D1AFF"/>
    <w:rsid w:val="008D1D6A"/>
    <w:rsid w:val="008D20D9"/>
    <w:rsid w:val="008D218D"/>
    <w:rsid w:val="008D232C"/>
    <w:rsid w:val="008D2546"/>
    <w:rsid w:val="008D27C4"/>
    <w:rsid w:val="008D2D01"/>
    <w:rsid w:val="008D2EA5"/>
    <w:rsid w:val="008D2EFE"/>
    <w:rsid w:val="008D37EE"/>
    <w:rsid w:val="008D3970"/>
    <w:rsid w:val="008D4665"/>
    <w:rsid w:val="008D4E11"/>
    <w:rsid w:val="008D4FE8"/>
    <w:rsid w:val="008D5210"/>
    <w:rsid w:val="008D5289"/>
    <w:rsid w:val="008D5406"/>
    <w:rsid w:val="008D6839"/>
    <w:rsid w:val="008D6E55"/>
    <w:rsid w:val="008D6EDE"/>
    <w:rsid w:val="008D6F96"/>
    <w:rsid w:val="008D6FCD"/>
    <w:rsid w:val="008D6FD5"/>
    <w:rsid w:val="008D70D9"/>
    <w:rsid w:val="008D7699"/>
    <w:rsid w:val="008D7723"/>
    <w:rsid w:val="008D77BA"/>
    <w:rsid w:val="008D783A"/>
    <w:rsid w:val="008D7976"/>
    <w:rsid w:val="008D7D69"/>
    <w:rsid w:val="008D7FD4"/>
    <w:rsid w:val="008E034D"/>
    <w:rsid w:val="008E0412"/>
    <w:rsid w:val="008E0466"/>
    <w:rsid w:val="008E058B"/>
    <w:rsid w:val="008E076F"/>
    <w:rsid w:val="008E0C6C"/>
    <w:rsid w:val="008E0E3D"/>
    <w:rsid w:val="008E0F33"/>
    <w:rsid w:val="008E0F5B"/>
    <w:rsid w:val="008E11D3"/>
    <w:rsid w:val="008E12FC"/>
    <w:rsid w:val="008E1E42"/>
    <w:rsid w:val="008E20A8"/>
    <w:rsid w:val="008E23D2"/>
    <w:rsid w:val="008E2AA2"/>
    <w:rsid w:val="008E2F54"/>
    <w:rsid w:val="008E2F91"/>
    <w:rsid w:val="008E3098"/>
    <w:rsid w:val="008E356B"/>
    <w:rsid w:val="008E367E"/>
    <w:rsid w:val="008E3702"/>
    <w:rsid w:val="008E3A89"/>
    <w:rsid w:val="008E41DF"/>
    <w:rsid w:val="008E43F9"/>
    <w:rsid w:val="008E4BE2"/>
    <w:rsid w:val="008E4BFE"/>
    <w:rsid w:val="008E4E6C"/>
    <w:rsid w:val="008E50F5"/>
    <w:rsid w:val="008E5187"/>
    <w:rsid w:val="008E54A6"/>
    <w:rsid w:val="008E5711"/>
    <w:rsid w:val="008E6106"/>
    <w:rsid w:val="008E631E"/>
    <w:rsid w:val="008E6F0D"/>
    <w:rsid w:val="008E73FC"/>
    <w:rsid w:val="008E7465"/>
    <w:rsid w:val="008E7B28"/>
    <w:rsid w:val="008E7F93"/>
    <w:rsid w:val="008E7FF3"/>
    <w:rsid w:val="008F00AE"/>
    <w:rsid w:val="008F00B3"/>
    <w:rsid w:val="008F01BA"/>
    <w:rsid w:val="008F0319"/>
    <w:rsid w:val="008F05E4"/>
    <w:rsid w:val="008F081D"/>
    <w:rsid w:val="008F0ED1"/>
    <w:rsid w:val="008F128B"/>
    <w:rsid w:val="008F12DC"/>
    <w:rsid w:val="008F18DE"/>
    <w:rsid w:val="008F1B04"/>
    <w:rsid w:val="008F1EB5"/>
    <w:rsid w:val="008F2046"/>
    <w:rsid w:val="008F2431"/>
    <w:rsid w:val="008F24DA"/>
    <w:rsid w:val="008F274F"/>
    <w:rsid w:val="008F3039"/>
    <w:rsid w:val="008F33A6"/>
    <w:rsid w:val="008F34F9"/>
    <w:rsid w:val="008F351B"/>
    <w:rsid w:val="008F3777"/>
    <w:rsid w:val="008F4885"/>
    <w:rsid w:val="008F4F6C"/>
    <w:rsid w:val="008F5295"/>
    <w:rsid w:val="008F5F35"/>
    <w:rsid w:val="008F60B5"/>
    <w:rsid w:val="008F64FA"/>
    <w:rsid w:val="008F67D3"/>
    <w:rsid w:val="008F7A3E"/>
    <w:rsid w:val="008F7C16"/>
    <w:rsid w:val="008F7F61"/>
    <w:rsid w:val="00900461"/>
    <w:rsid w:val="009008AB"/>
    <w:rsid w:val="00900BAD"/>
    <w:rsid w:val="00900C69"/>
    <w:rsid w:val="00900CD9"/>
    <w:rsid w:val="00900F06"/>
    <w:rsid w:val="00901173"/>
    <w:rsid w:val="00901AD8"/>
    <w:rsid w:val="00901D74"/>
    <w:rsid w:val="0090232A"/>
    <w:rsid w:val="009029E8"/>
    <w:rsid w:val="00902F30"/>
    <w:rsid w:val="00902FD1"/>
    <w:rsid w:val="00903057"/>
    <w:rsid w:val="0090319C"/>
    <w:rsid w:val="0090335A"/>
    <w:rsid w:val="00903840"/>
    <w:rsid w:val="00903E71"/>
    <w:rsid w:val="00903F68"/>
    <w:rsid w:val="0090426D"/>
    <w:rsid w:val="009042D9"/>
    <w:rsid w:val="00904654"/>
    <w:rsid w:val="009046E5"/>
    <w:rsid w:val="009049BC"/>
    <w:rsid w:val="00904CE5"/>
    <w:rsid w:val="00904FCD"/>
    <w:rsid w:val="009050C4"/>
    <w:rsid w:val="00905239"/>
    <w:rsid w:val="0090534F"/>
    <w:rsid w:val="009058CF"/>
    <w:rsid w:val="00905DA6"/>
    <w:rsid w:val="00905E33"/>
    <w:rsid w:val="0090663D"/>
    <w:rsid w:val="0090676A"/>
    <w:rsid w:val="00907127"/>
    <w:rsid w:val="009074AE"/>
    <w:rsid w:val="00907551"/>
    <w:rsid w:val="0090756D"/>
    <w:rsid w:val="0090765B"/>
    <w:rsid w:val="00910076"/>
    <w:rsid w:val="009100E9"/>
    <w:rsid w:val="00910441"/>
    <w:rsid w:val="00910495"/>
    <w:rsid w:val="00910632"/>
    <w:rsid w:val="00910969"/>
    <w:rsid w:val="00910E86"/>
    <w:rsid w:val="009114BE"/>
    <w:rsid w:val="009114CC"/>
    <w:rsid w:val="00911665"/>
    <w:rsid w:val="009116EA"/>
    <w:rsid w:val="00911A43"/>
    <w:rsid w:val="009124F4"/>
    <w:rsid w:val="00912975"/>
    <w:rsid w:val="00912B52"/>
    <w:rsid w:val="00912B64"/>
    <w:rsid w:val="00913102"/>
    <w:rsid w:val="0091342E"/>
    <w:rsid w:val="009136F3"/>
    <w:rsid w:val="009137EA"/>
    <w:rsid w:val="00913B8D"/>
    <w:rsid w:val="00913F65"/>
    <w:rsid w:val="00914363"/>
    <w:rsid w:val="009143DC"/>
    <w:rsid w:val="00914420"/>
    <w:rsid w:val="00914527"/>
    <w:rsid w:val="0091463F"/>
    <w:rsid w:val="009147E8"/>
    <w:rsid w:val="009147FB"/>
    <w:rsid w:val="0091495C"/>
    <w:rsid w:val="00914987"/>
    <w:rsid w:val="009155D1"/>
    <w:rsid w:val="00915C01"/>
    <w:rsid w:val="00915F71"/>
    <w:rsid w:val="00916592"/>
    <w:rsid w:val="00916CD3"/>
    <w:rsid w:val="009170A9"/>
    <w:rsid w:val="009172BA"/>
    <w:rsid w:val="009176CB"/>
    <w:rsid w:val="009177B2"/>
    <w:rsid w:val="0091783B"/>
    <w:rsid w:val="009178DD"/>
    <w:rsid w:val="009178DF"/>
    <w:rsid w:val="00917996"/>
    <w:rsid w:val="00917C0E"/>
    <w:rsid w:val="00917F22"/>
    <w:rsid w:val="0091DCF3"/>
    <w:rsid w:val="00920043"/>
    <w:rsid w:val="00920BB1"/>
    <w:rsid w:val="00920DD0"/>
    <w:rsid w:val="009212A3"/>
    <w:rsid w:val="009216D2"/>
    <w:rsid w:val="009219C4"/>
    <w:rsid w:val="00921B0B"/>
    <w:rsid w:val="00921BE1"/>
    <w:rsid w:val="00921E15"/>
    <w:rsid w:val="00921E2C"/>
    <w:rsid w:val="00921EC7"/>
    <w:rsid w:val="009220AB"/>
    <w:rsid w:val="0092223C"/>
    <w:rsid w:val="00922726"/>
    <w:rsid w:val="00922842"/>
    <w:rsid w:val="009235A6"/>
    <w:rsid w:val="00923645"/>
    <w:rsid w:val="0092367F"/>
    <w:rsid w:val="00923693"/>
    <w:rsid w:val="00923AD7"/>
    <w:rsid w:val="00923ADD"/>
    <w:rsid w:val="00923B52"/>
    <w:rsid w:val="00923FCD"/>
    <w:rsid w:val="009242D5"/>
    <w:rsid w:val="00924D2B"/>
    <w:rsid w:val="00924DF0"/>
    <w:rsid w:val="00925037"/>
    <w:rsid w:val="0092534A"/>
    <w:rsid w:val="00925450"/>
    <w:rsid w:val="0092553E"/>
    <w:rsid w:val="009256F3"/>
    <w:rsid w:val="009259BD"/>
    <w:rsid w:val="00925A87"/>
    <w:rsid w:val="00925C6E"/>
    <w:rsid w:val="00925F7C"/>
    <w:rsid w:val="00925F87"/>
    <w:rsid w:val="00926142"/>
    <w:rsid w:val="00926416"/>
    <w:rsid w:val="009269C8"/>
    <w:rsid w:val="009269F9"/>
    <w:rsid w:val="00926F5E"/>
    <w:rsid w:val="0092713D"/>
    <w:rsid w:val="00927279"/>
    <w:rsid w:val="00927C3F"/>
    <w:rsid w:val="0093005A"/>
    <w:rsid w:val="009300C1"/>
    <w:rsid w:val="00930789"/>
    <w:rsid w:val="00931135"/>
    <w:rsid w:val="009315C5"/>
    <w:rsid w:val="00931732"/>
    <w:rsid w:val="00931BC6"/>
    <w:rsid w:val="00931BDB"/>
    <w:rsid w:val="00931C71"/>
    <w:rsid w:val="00931D82"/>
    <w:rsid w:val="00931F20"/>
    <w:rsid w:val="00932437"/>
    <w:rsid w:val="00932894"/>
    <w:rsid w:val="00932B2A"/>
    <w:rsid w:val="00932BF9"/>
    <w:rsid w:val="00932E6E"/>
    <w:rsid w:val="00933112"/>
    <w:rsid w:val="00933299"/>
    <w:rsid w:val="009339AB"/>
    <w:rsid w:val="00934501"/>
    <w:rsid w:val="009346BD"/>
    <w:rsid w:val="00934F39"/>
    <w:rsid w:val="00934FB2"/>
    <w:rsid w:val="00934FFF"/>
    <w:rsid w:val="00935215"/>
    <w:rsid w:val="00935DE0"/>
    <w:rsid w:val="00936668"/>
    <w:rsid w:val="00936D30"/>
    <w:rsid w:val="00937159"/>
    <w:rsid w:val="009371F2"/>
    <w:rsid w:val="00937411"/>
    <w:rsid w:val="00937EAD"/>
    <w:rsid w:val="00937EC1"/>
    <w:rsid w:val="00940304"/>
    <w:rsid w:val="00940506"/>
    <w:rsid w:val="0094067B"/>
    <w:rsid w:val="009407C6"/>
    <w:rsid w:val="00940BB1"/>
    <w:rsid w:val="00941397"/>
    <w:rsid w:val="009415AB"/>
    <w:rsid w:val="009415BA"/>
    <w:rsid w:val="0094174B"/>
    <w:rsid w:val="009419DF"/>
    <w:rsid w:val="00942826"/>
    <w:rsid w:val="009428CE"/>
    <w:rsid w:val="00942B86"/>
    <w:rsid w:val="00942C38"/>
    <w:rsid w:val="00942D3E"/>
    <w:rsid w:val="00943205"/>
    <w:rsid w:val="00943288"/>
    <w:rsid w:val="0094344D"/>
    <w:rsid w:val="009439AF"/>
    <w:rsid w:val="00943B86"/>
    <w:rsid w:val="00943BE6"/>
    <w:rsid w:val="00943E7F"/>
    <w:rsid w:val="00943F2A"/>
    <w:rsid w:val="0094408E"/>
    <w:rsid w:val="00944180"/>
    <w:rsid w:val="0094425C"/>
    <w:rsid w:val="009442B5"/>
    <w:rsid w:val="009448C6"/>
    <w:rsid w:val="00944AF3"/>
    <w:rsid w:val="00944CBC"/>
    <w:rsid w:val="00944CEB"/>
    <w:rsid w:val="00944E64"/>
    <w:rsid w:val="00944FC6"/>
    <w:rsid w:val="00945346"/>
    <w:rsid w:val="00945390"/>
    <w:rsid w:val="00945B44"/>
    <w:rsid w:val="00945C6B"/>
    <w:rsid w:val="00945F8E"/>
    <w:rsid w:val="00946162"/>
    <w:rsid w:val="00946701"/>
    <w:rsid w:val="00946AC5"/>
    <w:rsid w:val="00946CF1"/>
    <w:rsid w:val="00947274"/>
    <w:rsid w:val="00947357"/>
    <w:rsid w:val="00947882"/>
    <w:rsid w:val="00947969"/>
    <w:rsid w:val="00947C02"/>
    <w:rsid w:val="00947D20"/>
    <w:rsid w:val="0095054D"/>
    <w:rsid w:val="0095057D"/>
    <w:rsid w:val="00950AF8"/>
    <w:rsid w:val="00950E29"/>
    <w:rsid w:val="00950E48"/>
    <w:rsid w:val="009511B9"/>
    <w:rsid w:val="00951304"/>
    <w:rsid w:val="0095172E"/>
    <w:rsid w:val="0095175C"/>
    <w:rsid w:val="00951B9B"/>
    <w:rsid w:val="00951BA4"/>
    <w:rsid w:val="00951EF9"/>
    <w:rsid w:val="00951F45"/>
    <w:rsid w:val="009520F6"/>
    <w:rsid w:val="00952289"/>
    <w:rsid w:val="00952448"/>
    <w:rsid w:val="009527BC"/>
    <w:rsid w:val="00952997"/>
    <w:rsid w:val="00952DFC"/>
    <w:rsid w:val="00953615"/>
    <w:rsid w:val="0095378E"/>
    <w:rsid w:val="009539F9"/>
    <w:rsid w:val="00953F72"/>
    <w:rsid w:val="009541A3"/>
    <w:rsid w:val="00954603"/>
    <w:rsid w:val="009547C8"/>
    <w:rsid w:val="009547D6"/>
    <w:rsid w:val="00954CD1"/>
    <w:rsid w:val="0095507E"/>
    <w:rsid w:val="00955199"/>
    <w:rsid w:val="009554F2"/>
    <w:rsid w:val="009558BD"/>
    <w:rsid w:val="00955930"/>
    <w:rsid w:val="00955A9F"/>
    <w:rsid w:val="00955CC9"/>
    <w:rsid w:val="00955D65"/>
    <w:rsid w:val="00956180"/>
    <w:rsid w:val="0095669D"/>
    <w:rsid w:val="009567A8"/>
    <w:rsid w:val="00956B4D"/>
    <w:rsid w:val="00956CAB"/>
    <w:rsid w:val="00956E9F"/>
    <w:rsid w:val="0095766E"/>
    <w:rsid w:val="00957719"/>
    <w:rsid w:val="00960306"/>
    <w:rsid w:val="0096061C"/>
    <w:rsid w:val="00960A83"/>
    <w:rsid w:val="00960AB1"/>
    <w:rsid w:val="00960C35"/>
    <w:rsid w:val="00960FEE"/>
    <w:rsid w:val="0096111A"/>
    <w:rsid w:val="0096145E"/>
    <w:rsid w:val="00961897"/>
    <w:rsid w:val="00961A15"/>
    <w:rsid w:val="00961D2D"/>
    <w:rsid w:val="00961F3C"/>
    <w:rsid w:val="00961F81"/>
    <w:rsid w:val="009621B2"/>
    <w:rsid w:val="009624DF"/>
    <w:rsid w:val="00962790"/>
    <w:rsid w:val="0096297D"/>
    <w:rsid w:val="009629E4"/>
    <w:rsid w:val="00962E8D"/>
    <w:rsid w:val="00962E99"/>
    <w:rsid w:val="0096328B"/>
    <w:rsid w:val="009632DA"/>
    <w:rsid w:val="009635D1"/>
    <w:rsid w:val="00963AC9"/>
    <w:rsid w:val="00964197"/>
    <w:rsid w:val="0096423F"/>
    <w:rsid w:val="009643D6"/>
    <w:rsid w:val="0096474C"/>
    <w:rsid w:val="0096479F"/>
    <w:rsid w:val="009649DE"/>
    <w:rsid w:val="00964A2E"/>
    <w:rsid w:val="00964BB3"/>
    <w:rsid w:val="009652F0"/>
    <w:rsid w:val="00965492"/>
    <w:rsid w:val="00965567"/>
    <w:rsid w:val="00965618"/>
    <w:rsid w:val="00965DF8"/>
    <w:rsid w:val="00966152"/>
    <w:rsid w:val="00966344"/>
    <w:rsid w:val="00966346"/>
    <w:rsid w:val="00966511"/>
    <w:rsid w:val="0096660C"/>
    <w:rsid w:val="009667A9"/>
    <w:rsid w:val="009667AB"/>
    <w:rsid w:val="0096685A"/>
    <w:rsid w:val="00966BEF"/>
    <w:rsid w:val="00967B7C"/>
    <w:rsid w:val="00967E56"/>
    <w:rsid w:val="00970010"/>
    <w:rsid w:val="00970778"/>
    <w:rsid w:val="00971308"/>
    <w:rsid w:val="00972003"/>
    <w:rsid w:val="00972014"/>
    <w:rsid w:val="0097217D"/>
    <w:rsid w:val="009728F6"/>
    <w:rsid w:val="00972912"/>
    <w:rsid w:val="00972B49"/>
    <w:rsid w:val="00972E5A"/>
    <w:rsid w:val="00972F24"/>
    <w:rsid w:val="00973011"/>
    <w:rsid w:val="009741FB"/>
    <w:rsid w:val="0097439A"/>
    <w:rsid w:val="009744E7"/>
    <w:rsid w:val="00974517"/>
    <w:rsid w:val="00974838"/>
    <w:rsid w:val="00974CD9"/>
    <w:rsid w:val="009750A6"/>
    <w:rsid w:val="0097517E"/>
    <w:rsid w:val="0097555D"/>
    <w:rsid w:val="00975912"/>
    <w:rsid w:val="00975B9C"/>
    <w:rsid w:val="00976205"/>
    <w:rsid w:val="00976326"/>
    <w:rsid w:val="00976B2D"/>
    <w:rsid w:val="00976D9F"/>
    <w:rsid w:val="00976E5E"/>
    <w:rsid w:val="009772C2"/>
    <w:rsid w:val="00977C7C"/>
    <w:rsid w:val="00977CD8"/>
    <w:rsid w:val="00977CFA"/>
    <w:rsid w:val="00977E96"/>
    <w:rsid w:val="00980604"/>
    <w:rsid w:val="00980B35"/>
    <w:rsid w:val="00980C3B"/>
    <w:rsid w:val="00981217"/>
    <w:rsid w:val="00981257"/>
    <w:rsid w:val="009815F0"/>
    <w:rsid w:val="00981B75"/>
    <w:rsid w:val="00981CC8"/>
    <w:rsid w:val="00981D88"/>
    <w:rsid w:val="00981EC0"/>
    <w:rsid w:val="00982DC7"/>
    <w:rsid w:val="00982FE8"/>
    <w:rsid w:val="009830A1"/>
    <w:rsid w:val="009830CC"/>
    <w:rsid w:val="009835EB"/>
    <w:rsid w:val="009838C1"/>
    <w:rsid w:val="00983CC2"/>
    <w:rsid w:val="00984281"/>
    <w:rsid w:val="0098434A"/>
    <w:rsid w:val="0098455F"/>
    <w:rsid w:val="009847AE"/>
    <w:rsid w:val="00984C68"/>
    <w:rsid w:val="00984C6E"/>
    <w:rsid w:val="00984D41"/>
    <w:rsid w:val="00985117"/>
    <w:rsid w:val="00985215"/>
    <w:rsid w:val="009854C8"/>
    <w:rsid w:val="009858AF"/>
    <w:rsid w:val="00985904"/>
    <w:rsid w:val="009859DF"/>
    <w:rsid w:val="00985AE9"/>
    <w:rsid w:val="00985EE3"/>
    <w:rsid w:val="0098617D"/>
    <w:rsid w:val="009861B9"/>
    <w:rsid w:val="00986200"/>
    <w:rsid w:val="00986219"/>
    <w:rsid w:val="009862C7"/>
    <w:rsid w:val="00986494"/>
    <w:rsid w:val="009864BE"/>
    <w:rsid w:val="0098699F"/>
    <w:rsid w:val="00986C86"/>
    <w:rsid w:val="00987500"/>
    <w:rsid w:val="00987518"/>
    <w:rsid w:val="00987530"/>
    <w:rsid w:val="0098779B"/>
    <w:rsid w:val="00987849"/>
    <w:rsid w:val="00987CE7"/>
    <w:rsid w:val="009901A4"/>
    <w:rsid w:val="00990219"/>
    <w:rsid w:val="0099023E"/>
    <w:rsid w:val="009903C8"/>
    <w:rsid w:val="00990632"/>
    <w:rsid w:val="009908B6"/>
    <w:rsid w:val="00990905"/>
    <w:rsid w:val="00990E39"/>
    <w:rsid w:val="009917D1"/>
    <w:rsid w:val="00991B0A"/>
    <w:rsid w:val="00991E76"/>
    <w:rsid w:val="009920DD"/>
    <w:rsid w:val="0099221B"/>
    <w:rsid w:val="00992716"/>
    <w:rsid w:val="00992810"/>
    <w:rsid w:val="00992AF7"/>
    <w:rsid w:val="00993600"/>
    <w:rsid w:val="009937BC"/>
    <w:rsid w:val="00993879"/>
    <w:rsid w:val="00993E95"/>
    <w:rsid w:val="0099462F"/>
    <w:rsid w:val="00995018"/>
    <w:rsid w:val="009955E4"/>
    <w:rsid w:val="00995667"/>
    <w:rsid w:val="009956F0"/>
    <w:rsid w:val="00995D10"/>
    <w:rsid w:val="00995FA8"/>
    <w:rsid w:val="009960E0"/>
    <w:rsid w:val="0099613D"/>
    <w:rsid w:val="0099644A"/>
    <w:rsid w:val="00996498"/>
    <w:rsid w:val="0099651B"/>
    <w:rsid w:val="00996697"/>
    <w:rsid w:val="009967AF"/>
    <w:rsid w:val="00996971"/>
    <w:rsid w:val="00996CFE"/>
    <w:rsid w:val="00996E3D"/>
    <w:rsid w:val="00996EFA"/>
    <w:rsid w:val="00997079"/>
    <w:rsid w:val="009970BF"/>
    <w:rsid w:val="0099737D"/>
    <w:rsid w:val="009973DD"/>
    <w:rsid w:val="00997796"/>
    <w:rsid w:val="00997C40"/>
    <w:rsid w:val="00997CB1"/>
    <w:rsid w:val="009A01F9"/>
    <w:rsid w:val="009A025B"/>
    <w:rsid w:val="009A0617"/>
    <w:rsid w:val="009A0651"/>
    <w:rsid w:val="009A0846"/>
    <w:rsid w:val="009A09BE"/>
    <w:rsid w:val="009A0DAD"/>
    <w:rsid w:val="009A10C4"/>
    <w:rsid w:val="009A12B3"/>
    <w:rsid w:val="009A14E4"/>
    <w:rsid w:val="009A1630"/>
    <w:rsid w:val="009A1AFF"/>
    <w:rsid w:val="009A1B4B"/>
    <w:rsid w:val="009A1E43"/>
    <w:rsid w:val="009A29E3"/>
    <w:rsid w:val="009A2C1B"/>
    <w:rsid w:val="009A2EE2"/>
    <w:rsid w:val="009A322D"/>
    <w:rsid w:val="009A3252"/>
    <w:rsid w:val="009A35BC"/>
    <w:rsid w:val="009A38DA"/>
    <w:rsid w:val="009A3C82"/>
    <w:rsid w:val="009A3E89"/>
    <w:rsid w:val="009A4090"/>
    <w:rsid w:val="009A423E"/>
    <w:rsid w:val="009A4273"/>
    <w:rsid w:val="009A435C"/>
    <w:rsid w:val="009A4B20"/>
    <w:rsid w:val="009A4B97"/>
    <w:rsid w:val="009A4E9A"/>
    <w:rsid w:val="009A4FD3"/>
    <w:rsid w:val="009A5024"/>
    <w:rsid w:val="009A6178"/>
    <w:rsid w:val="009A623F"/>
    <w:rsid w:val="009A6791"/>
    <w:rsid w:val="009A6ADA"/>
    <w:rsid w:val="009A6B09"/>
    <w:rsid w:val="009A6D40"/>
    <w:rsid w:val="009A6F01"/>
    <w:rsid w:val="009A71A3"/>
    <w:rsid w:val="009A760C"/>
    <w:rsid w:val="009A7990"/>
    <w:rsid w:val="009A7ACF"/>
    <w:rsid w:val="009B001F"/>
    <w:rsid w:val="009B0595"/>
    <w:rsid w:val="009B09BA"/>
    <w:rsid w:val="009B0BA6"/>
    <w:rsid w:val="009B0F92"/>
    <w:rsid w:val="009B1071"/>
    <w:rsid w:val="009B1234"/>
    <w:rsid w:val="009B15C5"/>
    <w:rsid w:val="009B1BD3"/>
    <w:rsid w:val="009B1C2E"/>
    <w:rsid w:val="009B23A9"/>
    <w:rsid w:val="009B27D8"/>
    <w:rsid w:val="009B2AFA"/>
    <w:rsid w:val="009B2D98"/>
    <w:rsid w:val="009B3274"/>
    <w:rsid w:val="009B3320"/>
    <w:rsid w:val="009B33FC"/>
    <w:rsid w:val="009B34DE"/>
    <w:rsid w:val="009B4058"/>
    <w:rsid w:val="009B450E"/>
    <w:rsid w:val="009B47F3"/>
    <w:rsid w:val="009B4901"/>
    <w:rsid w:val="009B4AFA"/>
    <w:rsid w:val="009B4FFD"/>
    <w:rsid w:val="009B5080"/>
    <w:rsid w:val="009B5176"/>
    <w:rsid w:val="009B521A"/>
    <w:rsid w:val="009B53B5"/>
    <w:rsid w:val="009B562D"/>
    <w:rsid w:val="009B5891"/>
    <w:rsid w:val="009B5D64"/>
    <w:rsid w:val="009B61C7"/>
    <w:rsid w:val="009B62BA"/>
    <w:rsid w:val="009B63CA"/>
    <w:rsid w:val="009B645D"/>
    <w:rsid w:val="009B658A"/>
    <w:rsid w:val="009B6762"/>
    <w:rsid w:val="009B68F9"/>
    <w:rsid w:val="009B69BC"/>
    <w:rsid w:val="009B6A1F"/>
    <w:rsid w:val="009B6D41"/>
    <w:rsid w:val="009B7350"/>
    <w:rsid w:val="009B7852"/>
    <w:rsid w:val="009B798C"/>
    <w:rsid w:val="009B7A85"/>
    <w:rsid w:val="009B7F51"/>
    <w:rsid w:val="009C0113"/>
    <w:rsid w:val="009C0132"/>
    <w:rsid w:val="009C03FB"/>
    <w:rsid w:val="009C06F1"/>
    <w:rsid w:val="009C0808"/>
    <w:rsid w:val="009C0923"/>
    <w:rsid w:val="009C117D"/>
    <w:rsid w:val="009C1183"/>
    <w:rsid w:val="009C128F"/>
    <w:rsid w:val="009C1309"/>
    <w:rsid w:val="009C166E"/>
    <w:rsid w:val="009C194A"/>
    <w:rsid w:val="009C19BF"/>
    <w:rsid w:val="009C1E02"/>
    <w:rsid w:val="009C1FD6"/>
    <w:rsid w:val="009C2183"/>
    <w:rsid w:val="009C2217"/>
    <w:rsid w:val="009C270C"/>
    <w:rsid w:val="009C2CA5"/>
    <w:rsid w:val="009C2E10"/>
    <w:rsid w:val="009C30FF"/>
    <w:rsid w:val="009C3620"/>
    <w:rsid w:val="009C37ED"/>
    <w:rsid w:val="009C3B21"/>
    <w:rsid w:val="009C3BFF"/>
    <w:rsid w:val="009C3C6B"/>
    <w:rsid w:val="009C41E5"/>
    <w:rsid w:val="009C45E3"/>
    <w:rsid w:val="009C4742"/>
    <w:rsid w:val="009C477D"/>
    <w:rsid w:val="009C499F"/>
    <w:rsid w:val="009C4A5E"/>
    <w:rsid w:val="009C50C3"/>
    <w:rsid w:val="009C56DF"/>
    <w:rsid w:val="009C5BC0"/>
    <w:rsid w:val="009C5D86"/>
    <w:rsid w:val="009C5EA9"/>
    <w:rsid w:val="009C6612"/>
    <w:rsid w:val="009C6624"/>
    <w:rsid w:val="009C6708"/>
    <w:rsid w:val="009C67BA"/>
    <w:rsid w:val="009C6853"/>
    <w:rsid w:val="009C6B1E"/>
    <w:rsid w:val="009C74AF"/>
    <w:rsid w:val="009C76B1"/>
    <w:rsid w:val="009C7970"/>
    <w:rsid w:val="009C79ED"/>
    <w:rsid w:val="009C7F46"/>
    <w:rsid w:val="009D02DF"/>
    <w:rsid w:val="009D0A41"/>
    <w:rsid w:val="009D0C6E"/>
    <w:rsid w:val="009D0CB0"/>
    <w:rsid w:val="009D0E27"/>
    <w:rsid w:val="009D0EDA"/>
    <w:rsid w:val="009D10CB"/>
    <w:rsid w:val="009D163B"/>
    <w:rsid w:val="009D16E8"/>
    <w:rsid w:val="009D17E9"/>
    <w:rsid w:val="009D1BA5"/>
    <w:rsid w:val="009D1F27"/>
    <w:rsid w:val="009D1FCF"/>
    <w:rsid w:val="009D209E"/>
    <w:rsid w:val="009D21E8"/>
    <w:rsid w:val="009D27E4"/>
    <w:rsid w:val="009D2966"/>
    <w:rsid w:val="009D2A88"/>
    <w:rsid w:val="009D2CA4"/>
    <w:rsid w:val="009D2EF7"/>
    <w:rsid w:val="009D3580"/>
    <w:rsid w:val="009D35B3"/>
    <w:rsid w:val="009D3724"/>
    <w:rsid w:val="009D3739"/>
    <w:rsid w:val="009D39DA"/>
    <w:rsid w:val="009D3E9F"/>
    <w:rsid w:val="009D3F3B"/>
    <w:rsid w:val="009D4172"/>
    <w:rsid w:val="009D462D"/>
    <w:rsid w:val="009D4A18"/>
    <w:rsid w:val="009D4B26"/>
    <w:rsid w:val="009D4BA7"/>
    <w:rsid w:val="009D4DA6"/>
    <w:rsid w:val="009D4ECC"/>
    <w:rsid w:val="009D501A"/>
    <w:rsid w:val="009D5320"/>
    <w:rsid w:val="009D539A"/>
    <w:rsid w:val="009D54FC"/>
    <w:rsid w:val="009D5506"/>
    <w:rsid w:val="009D56F1"/>
    <w:rsid w:val="009D58FE"/>
    <w:rsid w:val="009D5C33"/>
    <w:rsid w:val="009D60A0"/>
    <w:rsid w:val="009D669D"/>
    <w:rsid w:val="009D66DA"/>
    <w:rsid w:val="009D6FE2"/>
    <w:rsid w:val="009D705C"/>
    <w:rsid w:val="009D78A9"/>
    <w:rsid w:val="009D7AC4"/>
    <w:rsid w:val="009D7DE6"/>
    <w:rsid w:val="009D7FE6"/>
    <w:rsid w:val="009DCC97"/>
    <w:rsid w:val="009E04F6"/>
    <w:rsid w:val="009E0F22"/>
    <w:rsid w:val="009E106B"/>
    <w:rsid w:val="009E12A8"/>
    <w:rsid w:val="009E17E4"/>
    <w:rsid w:val="009E197C"/>
    <w:rsid w:val="009E1B06"/>
    <w:rsid w:val="009E1EFF"/>
    <w:rsid w:val="009E1F46"/>
    <w:rsid w:val="009E2026"/>
    <w:rsid w:val="009E205F"/>
    <w:rsid w:val="009E252A"/>
    <w:rsid w:val="009E276F"/>
    <w:rsid w:val="009E2981"/>
    <w:rsid w:val="009E2A72"/>
    <w:rsid w:val="009E2C22"/>
    <w:rsid w:val="009E2C9F"/>
    <w:rsid w:val="009E2DBB"/>
    <w:rsid w:val="009E2EB7"/>
    <w:rsid w:val="009E303C"/>
    <w:rsid w:val="009E352B"/>
    <w:rsid w:val="009E3546"/>
    <w:rsid w:val="009E36C8"/>
    <w:rsid w:val="009E36D9"/>
    <w:rsid w:val="009E3746"/>
    <w:rsid w:val="009E3A86"/>
    <w:rsid w:val="009E3C82"/>
    <w:rsid w:val="009E40C5"/>
    <w:rsid w:val="009E4158"/>
    <w:rsid w:val="009E41F2"/>
    <w:rsid w:val="009E4500"/>
    <w:rsid w:val="009E46CA"/>
    <w:rsid w:val="009E4A40"/>
    <w:rsid w:val="009E4F5E"/>
    <w:rsid w:val="009E50B5"/>
    <w:rsid w:val="009E511F"/>
    <w:rsid w:val="009E5748"/>
    <w:rsid w:val="009E5A28"/>
    <w:rsid w:val="009E65B9"/>
    <w:rsid w:val="009E6787"/>
    <w:rsid w:val="009E6A4A"/>
    <w:rsid w:val="009E6F2F"/>
    <w:rsid w:val="009E6F35"/>
    <w:rsid w:val="009E6FA2"/>
    <w:rsid w:val="009E78E4"/>
    <w:rsid w:val="009E7A0E"/>
    <w:rsid w:val="009F035C"/>
    <w:rsid w:val="009F04DB"/>
    <w:rsid w:val="009F08AB"/>
    <w:rsid w:val="009F0E6E"/>
    <w:rsid w:val="009F104C"/>
    <w:rsid w:val="009F1106"/>
    <w:rsid w:val="009F132F"/>
    <w:rsid w:val="009F1598"/>
    <w:rsid w:val="009F178A"/>
    <w:rsid w:val="009F17F6"/>
    <w:rsid w:val="009F1898"/>
    <w:rsid w:val="009F191D"/>
    <w:rsid w:val="009F1AFB"/>
    <w:rsid w:val="009F1B32"/>
    <w:rsid w:val="009F1DF5"/>
    <w:rsid w:val="009F22E0"/>
    <w:rsid w:val="009F29D7"/>
    <w:rsid w:val="009F2A49"/>
    <w:rsid w:val="009F2BC7"/>
    <w:rsid w:val="009F2DE0"/>
    <w:rsid w:val="009F2DEE"/>
    <w:rsid w:val="009F2F6E"/>
    <w:rsid w:val="009F31AA"/>
    <w:rsid w:val="009F3751"/>
    <w:rsid w:val="009F3D3E"/>
    <w:rsid w:val="009F3E18"/>
    <w:rsid w:val="009F4499"/>
    <w:rsid w:val="009F45E5"/>
    <w:rsid w:val="009F467B"/>
    <w:rsid w:val="009F47F6"/>
    <w:rsid w:val="009F4862"/>
    <w:rsid w:val="009F4969"/>
    <w:rsid w:val="009F5195"/>
    <w:rsid w:val="009F53F0"/>
    <w:rsid w:val="009F5558"/>
    <w:rsid w:val="009F57C3"/>
    <w:rsid w:val="009F5DD9"/>
    <w:rsid w:val="009F5EE1"/>
    <w:rsid w:val="009F63B9"/>
    <w:rsid w:val="009F66B6"/>
    <w:rsid w:val="009F66BC"/>
    <w:rsid w:val="009F6926"/>
    <w:rsid w:val="009F6FC0"/>
    <w:rsid w:val="009F7327"/>
    <w:rsid w:val="009F744D"/>
    <w:rsid w:val="009F7E23"/>
    <w:rsid w:val="009FB94D"/>
    <w:rsid w:val="00A0003D"/>
    <w:rsid w:val="00A00212"/>
    <w:rsid w:val="00A00336"/>
    <w:rsid w:val="00A006B3"/>
    <w:rsid w:val="00A00741"/>
    <w:rsid w:val="00A00A14"/>
    <w:rsid w:val="00A01062"/>
    <w:rsid w:val="00A01153"/>
    <w:rsid w:val="00A0146F"/>
    <w:rsid w:val="00A0192B"/>
    <w:rsid w:val="00A01A00"/>
    <w:rsid w:val="00A01E3A"/>
    <w:rsid w:val="00A02285"/>
    <w:rsid w:val="00A0235C"/>
    <w:rsid w:val="00A02BAF"/>
    <w:rsid w:val="00A02DAE"/>
    <w:rsid w:val="00A0365D"/>
    <w:rsid w:val="00A04647"/>
    <w:rsid w:val="00A04AC3"/>
    <w:rsid w:val="00A04CDB"/>
    <w:rsid w:val="00A04D88"/>
    <w:rsid w:val="00A050CA"/>
    <w:rsid w:val="00A0568A"/>
    <w:rsid w:val="00A056FA"/>
    <w:rsid w:val="00A05DE0"/>
    <w:rsid w:val="00A061E6"/>
    <w:rsid w:val="00A064E3"/>
    <w:rsid w:val="00A06664"/>
    <w:rsid w:val="00A06834"/>
    <w:rsid w:val="00A06BB3"/>
    <w:rsid w:val="00A06D05"/>
    <w:rsid w:val="00A06DCB"/>
    <w:rsid w:val="00A07164"/>
    <w:rsid w:val="00A07336"/>
    <w:rsid w:val="00A074D9"/>
    <w:rsid w:val="00A077FD"/>
    <w:rsid w:val="00A07B25"/>
    <w:rsid w:val="00A07F0D"/>
    <w:rsid w:val="00A10234"/>
    <w:rsid w:val="00A104A3"/>
    <w:rsid w:val="00A1058F"/>
    <w:rsid w:val="00A106C1"/>
    <w:rsid w:val="00A10B5A"/>
    <w:rsid w:val="00A10FD6"/>
    <w:rsid w:val="00A11240"/>
    <w:rsid w:val="00A112F1"/>
    <w:rsid w:val="00A113A4"/>
    <w:rsid w:val="00A11410"/>
    <w:rsid w:val="00A11889"/>
    <w:rsid w:val="00A11E94"/>
    <w:rsid w:val="00A12675"/>
    <w:rsid w:val="00A128E6"/>
    <w:rsid w:val="00A12DB6"/>
    <w:rsid w:val="00A12DFB"/>
    <w:rsid w:val="00A12E7C"/>
    <w:rsid w:val="00A12EDB"/>
    <w:rsid w:val="00A12F3C"/>
    <w:rsid w:val="00A13898"/>
    <w:rsid w:val="00A13CD4"/>
    <w:rsid w:val="00A13FF1"/>
    <w:rsid w:val="00A14026"/>
    <w:rsid w:val="00A140BA"/>
    <w:rsid w:val="00A141F3"/>
    <w:rsid w:val="00A1420F"/>
    <w:rsid w:val="00A14684"/>
    <w:rsid w:val="00A14803"/>
    <w:rsid w:val="00A149DF"/>
    <w:rsid w:val="00A14AE6"/>
    <w:rsid w:val="00A14D4C"/>
    <w:rsid w:val="00A14D81"/>
    <w:rsid w:val="00A157D7"/>
    <w:rsid w:val="00A15A2B"/>
    <w:rsid w:val="00A15A3E"/>
    <w:rsid w:val="00A15E81"/>
    <w:rsid w:val="00A163E1"/>
    <w:rsid w:val="00A165F1"/>
    <w:rsid w:val="00A16895"/>
    <w:rsid w:val="00A16924"/>
    <w:rsid w:val="00A16C16"/>
    <w:rsid w:val="00A16F02"/>
    <w:rsid w:val="00A16F12"/>
    <w:rsid w:val="00A17177"/>
    <w:rsid w:val="00A1727B"/>
    <w:rsid w:val="00A17730"/>
    <w:rsid w:val="00A179AC"/>
    <w:rsid w:val="00A2016B"/>
    <w:rsid w:val="00A20295"/>
    <w:rsid w:val="00A20C91"/>
    <w:rsid w:val="00A21070"/>
    <w:rsid w:val="00A21165"/>
    <w:rsid w:val="00A2153A"/>
    <w:rsid w:val="00A21564"/>
    <w:rsid w:val="00A2170A"/>
    <w:rsid w:val="00A217BC"/>
    <w:rsid w:val="00A218A1"/>
    <w:rsid w:val="00A21B6B"/>
    <w:rsid w:val="00A21C38"/>
    <w:rsid w:val="00A21CAB"/>
    <w:rsid w:val="00A21D8F"/>
    <w:rsid w:val="00A223D8"/>
    <w:rsid w:val="00A22584"/>
    <w:rsid w:val="00A226DC"/>
    <w:rsid w:val="00A22ACC"/>
    <w:rsid w:val="00A22E6A"/>
    <w:rsid w:val="00A2301D"/>
    <w:rsid w:val="00A23051"/>
    <w:rsid w:val="00A23188"/>
    <w:rsid w:val="00A2319D"/>
    <w:rsid w:val="00A23754"/>
    <w:rsid w:val="00A238DF"/>
    <w:rsid w:val="00A2398B"/>
    <w:rsid w:val="00A23E2F"/>
    <w:rsid w:val="00A240A9"/>
    <w:rsid w:val="00A2440C"/>
    <w:rsid w:val="00A24545"/>
    <w:rsid w:val="00A2454E"/>
    <w:rsid w:val="00A24688"/>
    <w:rsid w:val="00A249AC"/>
    <w:rsid w:val="00A24CC7"/>
    <w:rsid w:val="00A24EB5"/>
    <w:rsid w:val="00A250B5"/>
    <w:rsid w:val="00A25286"/>
    <w:rsid w:val="00A25564"/>
    <w:rsid w:val="00A25618"/>
    <w:rsid w:val="00A2576C"/>
    <w:rsid w:val="00A25980"/>
    <w:rsid w:val="00A25C5F"/>
    <w:rsid w:val="00A25DA5"/>
    <w:rsid w:val="00A25E33"/>
    <w:rsid w:val="00A25FBF"/>
    <w:rsid w:val="00A260AE"/>
    <w:rsid w:val="00A26DDE"/>
    <w:rsid w:val="00A26FCB"/>
    <w:rsid w:val="00A26FD0"/>
    <w:rsid w:val="00A270CC"/>
    <w:rsid w:val="00A27322"/>
    <w:rsid w:val="00A273F0"/>
    <w:rsid w:val="00A2749E"/>
    <w:rsid w:val="00A276ED"/>
    <w:rsid w:val="00A277C0"/>
    <w:rsid w:val="00A27B3D"/>
    <w:rsid w:val="00A27BDE"/>
    <w:rsid w:val="00A27DF6"/>
    <w:rsid w:val="00A27E4A"/>
    <w:rsid w:val="00A3060D"/>
    <w:rsid w:val="00A309EC"/>
    <w:rsid w:val="00A30BA6"/>
    <w:rsid w:val="00A31A9B"/>
    <w:rsid w:val="00A31C39"/>
    <w:rsid w:val="00A3255E"/>
    <w:rsid w:val="00A326FD"/>
    <w:rsid w:val="00A3291B"/>
    <w:rsid w:val="00A330BA"/>
    <w:rsid w:val="00A3369E"/>
    <w:rsid w:val="00A33861"/>
    <w:rsid w:val="00A33C6C"/>
    <w:rsid w:val="00A33F5E"/>
    <w:rsid w:val="00A34230"/>
    <w:rsid w:val="00A346A8"/>
    <w:rsid w:val="00A34BED"/>
    <w:rsid w:val="00A34D98"/>
    <w:rsid w:val="00A34EA8"/>
    <w:rsid w:val="00A34F9B"/>
    <w:rsid w:val="00A35243"/>
    <w:rsid w:val="00A35414"/>
    <w:rsid w:val="00A3543E"/>
    <w:rsid w:val="00A354C9"/>
    <w:rsid w:val="00A35720"/>
    <w:rsid w:val="00A3604E"/>
    <w:rsid w:val="00A36094"/>
    <w:rsid w:val="00A36292"/>
    <w:rsid w:val="00A3719E"/>
    <w:rsid w:val="00A376A7"/>
    <w:rsid w:val="00A37C78"/>
    <w:rsid w:val="00A37E94"/>
    <w:rsid w:val="00A40560"/>
    <w:rsid w:val="00A405AF"/>
    <w:rsid w:val="00A40703"/>
    <w:rsid w:val="00A40E3B"/>
    <w:rsid w:val="00A40EF8"/>
    <w:rsid w:val="00A41004"/>
    <w:rsid w:val="00A41066"/>
    <w:rsid w:val="00A41085"/>
    <w:rsid w:val="00A41303"/>
    <w:rsid w:val="00A4153D"/>
    <w:rsid w:val="00A415F2"/>
    <w:rsid w:val="00A417BB"/>
    <w:rsid w:val="00A41E65"/>
    <w:rsid w:val="00A421B3"/>
    <w:rsid w:val="00A427A4"/>
    <w:rsid w:val="00A42BF9"/>
    <w:rsid w:val="00A42D7E"/>
    <w:rsid w:val="00A42F84"/>
    <w:rsid w:val="00A434B1"/>
    <w:rsid w:val="00A435FE"/>
    <w:rsid w:val="00A4376E"/>
    <w:rsid w:val="00A43EEF"/>
    <w:rsid w:val="00A44152"/>
    <w:rsid w:val="00A441B2"/>
    <w:rsid w:val="00A454B5"/>
    <w:rsid w:val="00A45BEB"/>
    <w:rsid w:val="00A45D72"/>
    <w:rsid w:val="00A46154"/>
    <w:rsid w:val="00A465B6"/>
    <w:rsid w:val="00A466EE"/>
    <w:rsid w:val="00A46D5B"/>
    <w:rsid w:val="00A46E57"/>
    <w:rsid w:val="00A47083"/>
    <w:rsid w:val="00A47401"/>
    <w:rsid w:val="00A474E9"/>
    <w:rsid w:val="00A47C4A"/>
    <w:rsid w:val="00A47F07"/>
    <w:rsid w:val="00A47F93"/>
    <w:rsid w:val="00A5031D"/>
    <w:rsid w:val="00A50610"/>
    <w:rsid w:val="00A508F8"/>
    <w:rsid w:val="00A50B3F"/>
    <w:rsid w:val="00A511B2"/>
    <w:rsid w:val="00A515EF"/>
    <w:rsid w:val="00A516B0"/>
    <w:rsid w:val="00A51861"/>
    <w:rsid w:val="00A5188B"/>
    <w:rsid w:val="00A519D4"/>
    <w:rsid w:val="00A51B64"/>
    <w:rsid w:val="00A51C1D"/>
    <w:rsid w:val="00A523CF"/>
    <w:rsid w:val="00A5244D"/>
    <w:rsid w:val="00A52505"/>
    <w:rsid w:val="00A52E16"/>
    <w:rsid w:val="00A531E6"/>
    <w:rsid w:val="00A53464"/>
    <w:rsid w:val="00A537D1"/>
    <w:rsid w:val="00A53B70"/>
    <w:rsid w:val="00A54399"/>
    <w:rsid w:val="00A543C1"/>
    <w:rsid w:val="00A548A6"/>
    <w:rsid w:val="00A54B8D"/>
    <w:rsid w:val="00A55225"/>
    <w:rsid w:val="00A556F0"/>
    <w:rsid w:val="00A5581E"/>
    <w:rsid w:val="00A55A17"/>
    <w:rsid w:val="00A55B02"/>
    <w:rsid w:val="00A55B8E"/>
    <w:rsid w:val="00A55D7F"/>
    <w:rsid w:val="00A55FC0"/>
    <w:rsid w:val="00A5600C"/>
    <w:rsid w:val="00A56A14"/>
    <w:rsid w:val="00A56BC1"/>
    <w:rsid w:val="00A56C73"/>
    <w:rsid w:val="00A56D5F"/>
    <w:rsid w:val="00A56E7F"/>
    <w:rsid w:val="00A570CB"/>
    <w:rsid w:val="00A5731C"/>
    <w:rsid w:val="00A57B98"/>
    <w:rsid w:val="00A57CFD"/>
    <w:rsid w:val="00A57DFF"/>
    <w:rsid w:val="00A58CAE"/>
    <w:rsid w:val="00A60037"/>
    <w:rsid w:val="00A60065"/>
    <w:rsid w:val="00A605AC"/>
    <w:rsid w:val="00A60630"/>
    <w:rsid w:val="00A60DBE"/>
    <w:rsid w:val="00A60DFC"/>
    <w:rsid w:val="00A614A2"/>
    <w:rsid w:val="00A6168A"/>
    <w:rsid w:val="00A61858"/>
    <w:rsid w:val="00A61E70"/>
    <w:rsid w:val="00A61FB9"/>
    <w:rsid w:val="00A61FEB"/>
    <w:rsid w:val="00A626A7"/>
    <w:rsid w:val="00A627A3"/>
    <w:rsid w:val="00A62973"/>
    <w:rsid w:val="00A62E7C"/>
    <w:rsid w:val="00A6303C"/>
    <w:rsid w:val="00A631FC"/>
    <w:rsid w:val="00A6320E"/>
    <w:rsid w:val="00A6371F"/>
    <w:rsid w:val="00A63D24"/>
    <w:rsid w:val="00A6403E"/>
    <w:rsid w:val="00A6411D"/>
    <w:rsid w:val="00A64448"/>
    <w:rsid w:val="00A645EE"/>
    <w:rsid w:val="00A6475D"/>
    <w:rsid w:val="00A64BD4"/>
    <w:rsid w:val="00A64DFD"/>
    <w:rsid w:val="00A64F64"/>
    <w:rsid w:val="00A65048"/>
    <w:rsid w:val="00A652C4"/>
    <w:rsid w:val="00A6554B"/>
    <w:rsid w:val="00A6570F"/>
    <w:rsid w:val="00A65A90"/>
    <w:rsid w:val="00A65B3C"/>
    <w:rsid w:val="00A66214"/>
    <w:rsid w:val="00A664FB"/>
    <w:rsid w:val="00A6659F"/>
    <w:rsid w:val="00A66733"/>
    <w:rsid w:val="00A66C3D"/>
    <w:rsid w:val="00A67192"/>
    <w:rsid w:val="00A671BC"/>
    <w:rsid w:val="00A67448"/>
    <w:rsid w:val="00A67591"/>
    <w:rsid w:val="00A676C7"/>
    <w:rsid w:val="00A677C6"/>
    <w:rsid w:val="00A67900"/>
    <w:rsid w:val="00A7026B"/>
    <w:rsid w:val="00A7028C"/>
    <w:rsid w:val="00A702BD"/>
    <w:rsid w:val="00A702F9"/>
    <w:rsid w:val="00A71062"/>
    <w:rsid w:val="00A71929"/>
    <w:rsid w:val="00A71A02"/>
    <w:rsid w:val="00A71ABC"/>
    <w:rsid w:val="00A71B8F"/>
    <w:rsid w:val="00A71E03"/>
    <w:rsid w:val="00A71F8E"/>
    <w:rsid w:val="00A724A7"/>
    <w:rsid w:val="00A725FF"/>
    <w:rsid w:val="00A72627"/>
    <w:rsid w:val="00A7280C"/>
    <w:rsid w:val="00A728C7"/>
    <w:rsid w:val="00A72A50"/>
    <w:rsid w:val="00A72A67"/>
    <w:rsid w:val="00A72CCB"/>
    <w:rsid w:val="00A72D9E"/>
    <w:rsid w:val="00A72F73"/>
    <w:rsid w:val="00A73021"/>
    <w:rsid w:val="00A736B6"/>
    <w:rsid w:val="00A737AC"/>
    <w:rsid w:val="00A73AC4"/>
    <w:rsid w:val="00A73D5A"/>
    <w:rsid w:val="00A74031"/>
    <w:rsid w:val="00A7424A"/>
    <w:rsid w:val="00A744E5"/>
    <w:rsid w:val="00A74AFE"/>
    <w:rsid w:val="00A74C95"/>
    <w:rsid w:val="00A752CD"/>
    <w:rsid w:val="00A755EE"/>
    <w:rsid w:val="00A757B7"/>
    <w:rsid w:val="00A758EF"/>
    <w:rsid w:val="00A75B2B"/>
    <w:rsid w:val="00A75B8C"/>
    <w:rsid w:val="00A75FFB"/>
    <w:rsid w:val="00A76279"/>
    <w:rsid w:val="00A76547"/>
    <w:rsid w:val="00A7691E"/>
    <w:rsid w:val="00A76AB5"/>
    <w:rsid w:val="00A76B8B"/>
    <w:rsid w:val="00A76EB2"/>
    <w:rsid w:val="00A76FBF"/>
    <w:rsid w:val="00A7706B"/>
    <w:rsid w:val="00A77141"/>
    <w:rsid w:val="00A771EC"/>
    <w:rsid w:val="00A77231"/>
    <w:rsid w:val="00A772B5"/>
    <w:rsid w:val="00A77333"/>
    <w:rsid w:val="00A7764F"/>
    <w:rsid w:val="00A777E2"/>
    <w:rsid w:val="00A77A62"/>
    <w:rsid w:val="00A77E8A"/>
    <w:rsid w:val="00A80309"/>
    <w:rsid w:val="00A80317"/>
    <w:rsid w:val="00A803DB"/>
    <w:rsid w:val="00A8044F"/>
    <w:rsid w:val="00A80E61"/>
    <w:rsid w:val="00A81397"/>
    <w:rsid w:val="00A81408"/>
    <w:rsid w:val="00A815D9"/>
    <w:rsid w:val="00A818C9"/>
    <w:rsid w:val="00A8193E"/>
    <w:rsid w:val="00A81A24"/>
    <w:rsid w:val="00A81F1D"/>
    <w:rsid w:val="00A824A7"/>
    <w:rsid w:val="00A82C10"/>
    <w:rsid w:val="00A82CA6"/>
    <w:rsid w:val="00A82E0E"/>
    <w:rsid w:val="00A8313D"/>
    <w:rsid w:val="00A838D1"/>
    <w:rsid w:val="00A8391C"/>
    <w:rsid w:val="00A839E4"/>
    <w:rsid w:val="00A83E33"/>
    <w:rsid w:val="00A83EDD"/>
    <w:rsid w:val="00A848EF"/>
    <w:rsid w:val="00A856CD"/>
    <w:rsid w:val="00A86135"/>
    <w:rsid w:val="00A863E1"/>
    <w:rsid w:val="00A864CC"/>
    <w:rsid w:val="00A8657C"/>
    <w:rsid w:val="00A86A91"/>
    <w:rsid w:val="00A86F3C"/>
    <w:rsid w:val="00A872A0"/>
    <w:rsid w:val="00A872B2"/>
    <w:rsid w:val="00A90683"/>
    <w:rsid w:val="00A90E90"/>
    <w:rsid w:val="00A90E9A"/>
    <w:rsid w:val="00A9154A"/>
    <w:rsid w:val="00A915AA"/>
    <w:rsid w:val="00A91635"/>
    <w:rsid w:val="00A919FE"/>
    <w:rsid w:val="00A92E6E"/>
    <w:rsid w:val="00A92F5A"/>
    <w:rsid w:val="00A93478"/>
    <w:rsid w:val="00A9354F"/>
    <w:rsid w:val="00A9392C"/>
    <w:rsid w:val="00A93E55"/>
    <w:rsid w:val="00A942BB"/>
    <w:rsid w:val="00A9443D"/>
    <w:rsid w:val="00A9481B"/>
    <w:rsid w:val="00A94BB6"/>
    <w:rsid w:val="00A94CCB"/>
    <w:rsid w:val="00A94D5D"/>
    <w:rsid w:val="00A950DC"/>
    <w:rsid w:val="00A955DF"/>
    <w:rsid w:val="00A9560B"/>
    <w:rsid w:val="00A956B2"/>
    <w:rsid w:val="00A95A94"/>
    <w:rsid w:val="00A95AFE"/>
    <w:rsid w:val="00A95CBF"/>
    <w:rsid w:val="00A95FAD"/>
    <w:rsid w:val="00A96335"/>
    <w:rsid w:val="00A96AEB"/>
    <w:rsid w:val="00A96C70"/>
    <w:rsid w:val="00A96CD9"/>
    <w:rsid w:val="00A9739A"/>
    <w:rsid w:val="00A97689"/>
    <w:rsid w:val="00A978FB"/>
    <w:rsid w:val="00A97B21"/>
    <w:rsid w:val="00A97D89"/>
    <w:rsid w:val="00AA0466"/>
    <w:rsid w:val="00AA057D"/>
    <w:rsid w:val="00AA05EE"/>
    <w:rsid w:val="00AA07D9"/>
    <w:rsid w:val="00AA098C"/>
    <w:rsid w:val="00AA0A36"/>
    <w:rsid w:val="00AA0C61"/>
    <w:rsid w:val="00AA0DF7"/>
    <w:rsid w:val="00AA108A"/>
    <w:rsid w:val="00AA18DC"/>
    <w:rsid w:val="00AA199C"/>
    <w:rsid w:val="00AA1CFC"/>
    <w:rsid w:val="00AA1D49"/>
    <w:rsid w:val="00AA204F"/>
    <w:rsid w:val="00AA2279"/>
    <w:rsid w:val="00AA22E2"/>
    <w:rsid w:val="00AA27BE"/>
    <w:rsid w:val="00AA3058"/>
    <w:rsid w:val="00AA30B3"/>
    <w:rsid w:val="00AA3348"/>
    <w:rsid w:val="00AA3515"/>
    <w:rsid w:val="00AA36BB"/>
    <w:rsid w:val="00AA3932"/>
    <w:rsid w:val="00AA3A45"/>
    <w:rsid w:val="00AA3A96"/>
    <w:rsid w:val="00AA3B44"/>
    <w:rsid w:val="00AA3CB6"/>
    <w:rsid w:val="00AA3FAD"/>
    <w:rsid w:val="00AA43DA"/>
    <w:rsid w:val="00AA46D3"/>
    <w:rsid w:val="00AA46D7"/>
    <w:rsid w:val="00AA475A"/>
    <w:rsid w:val="00AA4E83"/>
    <w:rsid w:val="00AA4F00"/>
    <w:rsid w:val="00AA54D1"/>
    <w:rsid w:val="00AA5566"/>
    <w:rsid w:val="00AA566B"/>
    <w:rsid w:val="00AA5B7E"/>
    <w:rsid w:val="00AA5D25"/>
    <w:rsid w:val="00AA5DA3"/>
    <w:rsid w:val="00AA6078"/>
    <w:rsid w:val="00AA613F"/>
    <w:rsid w:val="00AA6266"/>
    <w:rsid w:val="00AA62A3"/>
    <w:rsid w:val="00AA63C5"/>
    <w:rsid w:val="00AA63FB"/>
    <w:rsid w:val="00AA6466"/>
    <w:rsid w:val="00AA6FFF"/>
    <w:rsid w:val="00AA7155"/>
    <w:rsid w:val="00AA7426"/>
    <w:rsid w:val="00AA79EB"/>
    <w:rsid w:val="00AA7C80"/>
    <w:rsid w:val="00AA7D32"/>
    <w:rsid w:val="00AA7D7A"/>
    <w:rsid w:val="00AA7F14"/>
    <w:rsid w:val="00AA7F23"/>
    <w:rsid w:val="00AA7FD2"/>
    <w:rsid w:val="00AB009E"/>
    <w:rsid w:val="00AB0899"/>
    <w:rsid w:val="00AB08A4"/>
    <w:rsid w:val="00AB0D0D"/>
    <w:rsid w:val="00AB1292"/>
    <w:rsid w:val="00AB1A8F"/>
    <w:rsid w:val="00AB1BBF"/>
    <w:rsid w:val="00AB1D64"/>
    <w:rsid w:val="00AB2183"/>
    <w:rsid w:val="00AB21AC"/>
    <w:rsid w:val="00AB21DE"/>
    <w:rsid w:val="00AB238E"/>
    <w:rsid w:val="00AB2627"/>
    <w:rsid w:val="00AB274F"/>
    <w:rsid w:val="00AB2750"/>
    <w:rsid w:val="00AB2847"/>
    <w:rsid w:val="00AB2B1F"/>
    <w:rsid w:val="00AB2F2E"/>
    <w:rsid w:val="00AB3024"/>
    <w:rsid w:val="00AB31EA"/>
    <w:rsid w:val="00AB36A2"/>
    <w:rsid w:val="00AB37AC"/>
    <w:rsid w:val="00AB3933"/>
    <w:rsid w:val="00AB3D5D"/>
    <w:rsid w:val="00AB4117"/>
    <w:rsid w:val="00AB44AD"/>
    <w:rsid w:val="00AB49C1"/>
    <w:rsid w:val="00AB4A8A"/>
    <w:rsid w:val="00AB4BE9"/>
    <w:rsid w:val="00AB4CAB"/>
    <w:rsid w:val="00AB4CE0"/>
    <w:rsid w:val="00AB4E78"/>
    <w:rsid w:val="00AB4EF4"/>
    <w:rsid w:val="00AB50AF"/>
    <w:rsid w:val="00AB519A"/>
    <w:rsid w:val="00AB5357"/>
    <w:rsid w:val="00AB5413"/>
    <w:rsid w:val="00AB549E"/>
    <w:rsid w:val="00AB5764"/>
    <w:rsid w:val="00AB58B5"/>
    <w:rsid w:val="00AB6078"/>
    <w:rsid w:val="00AB66A9"/>
    <w:rsid w:val="00AB6BEC"/>
    <w:rsid w:val="00AB6C14"/>
    <w:rsid w:val="00AB6DE5"/>
    <w:rsid w:val="00AB6EEB"/>
    <w:rsid w:val="00AB6F4A"/>
    <w:rsid w:val="00AB75A1"/>
    <w:rsid w:val="00AB7719"/>
    <w:rsid w:val="00AB7D8C"/>
    <w:rsid w:val="00AC0119"/>
    <w:rsid w:val="00AC0435"/>
    <w:rsid w:val="00AC0A96"/>
    <w:rsid w:val="00AC0E5F"/>
    <w:rsid w:val="00AC13DD"/>
    <w:rsid w:val="00AC1420"/>
    <w:rsid w:val="00AC18C6"/>
    <w:rsid w:val="00AC19A5"/>
    <w:rsid w:val="00AC1AE6"/>
    <w:rsid w:val="00AC2724"/>
    <w:rsid w:val="00AC2DCE"/>
    <w:rsid w:val="00AC3266"/>
    <w:rsid w:val="00AC32F6"/>
    <w:rsid w:val="00AC34B7"/>
    <w:rsid w:val="00AC35EF"/>
    <w:rsid w:val="00AC3901"/>
    <w:rsid w:val="00AC3968"/>
    <w:rsid w:val="00AC3A2D"/>
    <w:rsid w:val="00AC3BF9"/>
    <w:rsid w:val="00AC49AE"/>
    <w:rsid w:val="00AC4AEC"/>
    <w:rsid w:val="00AC4C70"/>
    <w:rsid w:val="00AC4E7C"/>
    <w:rsid w:val="00AC510A"/>
    <w:rsid w:val="00AC5467"/>
    <w:rsid w:val="00AC54A4"/>
    <w:rsid w:val="00AC556F"/>
    <w:rsid w:val="00AC6BEF"/>
    <w:rsid w:val="00AC6F34"/>
    <w:rsid w:val="00AC751B"/>
    <w:rsid w:val="00AC7AC9"/>
    <w:rsid w:val="00AC7B33"/>
    <w:rsid w:val="00AC7E9A"/>
    <w:rsid w:val="00AC7F47"/>
    <w:rsid w:val="00AC7F7E"/>
    <w:rsid w:val="00AD0530"/>
    <w:rsid w:val="00AD0679"/>
    <w:rsid w:val="00AD075B"/>
    <w:rsid w:val="00AD08D9"/>
    <w:rsid w:val="00AD0956"/>
    <w:rsid w:val="00AD167D"/>
    <w:rsid w:val="00AD22B9"/>
    <w:rsid w:val="00AD259D"/>
    <w:rsid w:val="00AD28A1"/>
    <w:rsid w:val="00AD2C57"/>
    <w:rsid w:val="00AD3582"/>
    <w:rsid w:val="00AD39E9"/>
    <w:rsid w:val="00AD3AE9"/>
    <w:rsid w:val="00AD3B50"/>
    <w:rsid w:val="00AD3DBF"/>
    <w:rsid w:val="00AD3E51"/>
    <w:rsid w:val="00AD401A"/>
    <w:rsid w:val="00AD4107"/>
    <w:rsid w:val="00AD43E8"/>
    <w:rsid w:val="00AD4A8F"/>
    <w:rsid w:val="00AD4BE8"/>
    <w:rsid w:val="00AD4E2F"/>
    <w:rsid w:val="00AD4FC1"/>
    <w:rsid w:val="00AD4FF4"/>
    <w:rsid w:val="00AD512C"/>
    <w:rsid w:val="00AD5400"/>
    <w:rsid w:val="00AD5508"/>
    <w:rsid w:val="00AD55F0"/>
    <w:rsid w:val="00AD5915"/>
    <w:rsid w:val="00AD5A26"/>
    <w:rsid w:val="00AD5BCA"/>
    <w:rsid w:val="00AD5CD3"/>
    <w:rsid w:val="00AD5E9F"/>
    <w:rsid w:val="00AD6672"/>
    <w:rsid w:val="00AD6857"/>
    <w:rsid w:val="00AD68BC"/>
    <w:rsid w:val="00AD6D70"/>
    <w:rsid w:val="00AD6E06"/>
    <w:rsid w:val="00AD6F90"/>
    <w:rsid w:val="00AD6F91"/>
    <w:rsid w:val="00AD7467"/>
    <w:rsid w:val="00AD76AF"/>
    <w:rsid w:val="00AD7836"/>
    <w:rsid w:val="00AD7F58"/>
    <w:rsid w:val="00AE02C5"/>
    <w:rsid w:val="00AE054B"/>
    <w:rsid w:val="00AE061B"/>
    <w:rsid w:val="00AE0C43"/>
    <w:rsid w:val="00AE1340"/>
    <w:rsid w:val="00AE17A4"/>
    <w:rsid w:val="00AE1DA4"/>
    <w:rsid w:val="00AE20D3"/>
    <w:rsid w:val="00AE248C"/>
    <w:rsid w:val="00AE258C"/>
    <w:rsid w:val="00AE2C09"/>
    <w:rsid w:val="00AE2C3C"/>
    <w:rsid w:val="00AE2F7A"/>
    <w:rsid w:val="00AE3249"/>
    <w:rsid w:val="00AE3276"/>
    <w:rsid w:val="00AE3484"/>
    <w:rsid w:val="00AE3658"/>
    <w:rsid w:val="00AE3804"/>
    <w:rsid w:val="00AE3841"/>
    <w:rsid w:val="00AE3A10"/>
    <w:rsid w:val="00AE3AEB"/>
    <w:rsid w:val="00AE3BC0"/>
    <w:rsid w:val="00AE3C48"/>
    <w:rsid w:val="00AE3EF8"/>
    <w:rsid w:val="00AE4079"/>
    <w:rsid w:val="00AE4413"/>
    <w:rsid w:val="00AE4820"/>
    <w:rsid w:val="00AE4B04"/>
    <w:rsid w:val="00AE4C45"/>
    <w:rsid w:val="00AE4E41"/>
    <w:rsid w:val="00AE5747"/>
    <w:rsid w:val="00AE5CA3"/>
    <w:rsid w:val="00AE5F33"/>
    <w:rsid w:val="00AE66E9"/>
    <w:rsid w:val="00AE6937"/>
    <w:rsid w:val="00AE694D"/>
    <w:rsid w:val="00AE69BB"/>
    <w:rsid w:val="00AE6C49"/>
    <w:rsid w:val="00AE702A"/>
    <w:rsid w:val="00AE7511"/>
    <w:rsid w:val="00AE78BD"/>
    <w:rsid w:val="00AE7BD5"/>
    <w:rsid w:val="00AE7C70"/>
    <w:rsid w:val="00AE7CA9"/>
    <w:rsid w:val="00AF0501"/>
    <w:rsid w:val="00AF0540"/>
    <w:rsid w:val="00AF0D68"/>
    <w:rsid w:val="00AF124E"/>
    <w:rsid w:val="00AF1668"/>
    <w:rsid w:val="00AF18C8"/>
    <w:rsid w:val="00AF19F7"/>
    <w:rsid w:val="00AF1DCB"/>
    <w:rsid w:val="00AF1F82"/>
    <w:rsid w:val="00AF1FD0"/>
    <w:rsid w:val="00AF21D2"/>
    <w:rsid w:val="00AF27E0"/>
    <w:rsid w:val="00AF2CD4"/>
    <w:rsid w:val="00AF2DAB"/>
    <w:rsid w:val="00AF30F9"/>
    <w:rsid w:val="00AF332C"/>
    <w:rsid w:val="00AF3424"/>
    <w:rsid w:val="00AF362F"/>
    <w:rsid w:val="00AF3674"/>
    <w:rsid w:val="00AF36B4"/>
    <w:rsid w:val="00AF37F9"/>
    <w:rsid w:val="00AF3A3F"/>
    <w:rsid w:val="00AF4036"/>
    <w:rsid w:val="00AF4167"/>
    <w:rsid w:val="00AF41CE"/>
    <w:rsid w:val="00AF47A4"/>
    <w:rsid w:val="00AF4A18"/>
    <w:rsid w:val="00AF4E6C"/>
    <w:rsid w:val="00AF4FCC"/>
    <w:rsid w:val="00AF51B8"/>
    <w:rsid w:val="00AF558E"/>
    <w:rsid w:val="00AF5BE5"/>
    <w:rsid w:val="00AF5D28"/>
    <w:rsid w:val="00AF61A4"/>
    <w:rsid w:val="00AF63AE"/>
    <w:rsid w:val="00AF659A"/>
    <w:rsid w:val="00AF6B8C"/>
    <w:rsid w:val="00AF6D6F"/>
    <w:rsid w:val="00AF6DE5"/>
    <w:rsid w:val="00AF6F94"/>
    <w:rsid w:val="00AF71F2"/>
    <w:rsid w:val="00AF7583"/>
    <w:rsid w:val="00AF77A8"/>
    <w:rsid w:val="00AF7B69"/>
    <w:rsid w:val="00AF7BB9"/>
    <w:rsid w:val="00AF7EE5"/>
    <w:rsid w:val="00AF7F0E"/>
    <w:rsid w:val="00AF7FA8"/>
    <w:rsid w:val="00B00125"/>
    <w:rsid w:val="00B001D9"/>
    <w:rsid w:val="00B009B3"/>
    <w:rsid w:val="00B00A23"/>
    <w:rsid w:val="00B010B5"/>
    <w:rsid w:val="00B01A92"/>
    <w:rsid w:val="00B01E24"/>
    <w:rsid w:val="00B02045"/>
    <w:rsid w:val="00B02122"/>
    <w:rsid w:val="00B022A1"/>
    <w:rsid w:val="00B029A1"/>
    <w:rsid w:val="00B02ED9"/>
    <w:rsid w:val="00B03090"/>
    <w:rsid w:val="00B033CB"/>
    <w:rsid w:val="00B034E4"/>
    <w:rsid w:val="00B03B35"/>
    <w:rsid w:val="00B0437D"/>
    <w:rsid w:val="00B043DB"/>
    <w:rsid w:val="00B047FF"/>
    <w:rsid w:val="00B04AC5"/>
    <w:rsid w:val="00B0502C"/>
    <w:rsid w:val="00B056B6"/>
    <w:rsid w:val="00B05718"/>
    <w:rsid w:val="00B059E4"/>
    <w:rsid w:val="00B06061"/>
    <w:rsid w:val="00B0617E"/>
    <w:rsid w:val="00B0679C"/>
    <w:rsid w:val="00B0698F"/>
    <w:rsid w:val="00B06B03"/>
    <w:rsid w:val="00B07345"/>
    <w:rsid w:val="00B073A4"/>
    <w:rsid w:val="00B07C2A"/>
    <w:rsid w:val="00B1003F"/>
    <w:rsid w:val="00B10274"/>
    <w:rsid w:val="00B1035A"/>
    <w:rsid w:val="00B10370"/>
    <w:rsid w:val="00B10378"/>
    <w:rsid w:val="00B107DA"/>
    <w:rsid w:val="00B108FF"/>
    <w:rsid w:val="00B10D64"/>
    <w:rsid w:val="00B10F12"/>
    <w:rsid w:val="00B11210"/>
    <w:rsid w:val="00B1131B"/>
    <w:rsid w:val="00B11BE4"/>
    <w:rsid w:val="00B11BE8"/>
    <w:rsid w:val="00B11C62"/>
    <w:rsid w:val="00B11C86"/>
    <w:rsid w:val="00B1206B"/>
    <w:rsid w:val="00B1234E"/>
    <w:rsid w:val="00B127FD"/>
    <w:rsid w:val="00B1280E"/>
    <w:rsid w:val="00B129F8"/>
    <w:rsid w:val="00B12AE6"/>
    <w:rsid w:val="00B12BF4"/>
    <w:rsid w:val="00B12E1B"/>
    <w:rsid w:val="00B12E47"/>
    <w:rsid w:val="00B12EE8"/>
    <w:rsid w:val="00B12FA3"/>
    <w:rsid w:val="00B13272"/>
    <w:rsid w:val="00B13359"/>
    <w:rsid w:val="00B13C21"/>
    <w:rsid w:val="00B13C24"/>
    <w:rsid w:val="00B13E4F"/>
    <w:rsid w:val="00B13F86"/>
    <w:rsid w:val="00B148A3"/>
    <w:rsid w:val="00B14A23"/>
    <w:rsid w:val="00B14C31"/>
    <w:rsid w:val="00B14D3D"/>
    <w:rsid w:val="00B14E15"/>
    <w:rsid w:val="00B1515C"/>
    <w:rsid w:val="00B15B7D"/>
    <w:rsid w:val="00B16111"/>
    <w:rsid w:val="00B16189"/>
    <w:rsid w:val="00B16D2D"/>
    <w:rsid w:val="00B16F53"/>
    <w:rsid w:val="00B170A6"/>
    <w:rsid w:val="00B1721F"/>
    <w:rsid w:val="00B17717"/>
    <w:rsid w:val="00B178E9"/>
    <w:rsid w:val="00B17CA1"/>
    <w:rsid w:val="00B17E56"/>
    <w:rsid w:val="00B2001B"/>
    <w:rsid w:val="00B2007F"/>
    <w:rsid w:val="00B201E6"/>
    <w:rsid w:val="00B20691"/>
    <w:rsid w:val="00B208C0"/>
    <w:rsid w:val="00B21152"/>
    <w:rsid w:val="00B21809"/>
    <w:rsid w:val="00B219CA"/>
    <w:rsid w:val="00B21ADB"/>
    <w:rsid w:val="00B21AE8"/>
    <w:rsid w:val="00B21C65"/>
    <w:rsid w:val="00B21CF9"/>
    <w:rsid w:val="00B21F9E"/>
    <w:rsid w:val="00B22BBC"/>
    <w:rsid w:val="00B22CE2"/>
    <w:rsid w:val="00B2317B"/>
    <w:rsid w:val="00B23626"/>
    <w:rsid w:val="00B23BD3"/>
    <w:rsid w:val="00B23F30"/>
    <w:rsid w:val="00B24410"/>
    <w:rsid w:val="00B24444"/>
    <w:rsid w:val="00B24AA4"/>
    <w:rsid w:val="00B24DF6"/>
    <w:rsid w:val="00B24E33"/>
    <w:rsid w:val="00B25088"/>
    <w:rsid w:val="00B2514F"/>
    <w:rsid w:val="00B2525E"/>
    <w:rsid w:val="00B25453"/>
    <w:rsid w:val="00B25596"/>
    <w:rsid w:val="00B25C6B"/>
    <w:rsid w:val="00B26021"/>
    <w:rsid w:val="00B2644A"/>
    <w:rsid w:val="00B26846"/>
    <w:rsid w:val="00B26B64"/>
    <w:rsid w:val="00B26C60"/>
    <w:rsid w:val="00B2718A"/>
    <w:rsid w:val="00B276B4"/>
    <w:rsid w:val="00B279B0"/>
    <w:rsid w:val="00B30811"/>
    <w:rsid w:val="00B309F4"/>
    <w:rsid w:val="00B30C29"/>
    <w:rsid w:val="00B30E32"/>
    <w:rsid w:val="00B3115E"/>
    <w:rsid w:val="00B311D9"/>
    <w:rsid w:val="00B31814"/>
    <w:rsid w:val="00B318F5"/>
    <w:rsid w:val="00B31A17"/>
    <w:rsid w:val="00B31E65"/>
    <w:rsid w:val="00B31F2E"/>
    <w:rsid w:val="00B32159"/>
    <w:rsid w:val="00B32343"/>
    <w:rsid w:val="00B3267C"/>
    <w:rsid w:val="00B326C4"/>
    <w:rsid w:val="00B32A4D"/>
    <w:rsid w:val="00B32AE0"/>
    <w:rsid w:val="00B32BF1"/>
    <w:rsid w:val="00B330F1"/>
    <w:rsid w:val="00B33346"/>
    <w:rsid w:val="00B33404"/>
    <w:rsid w:val="00B33938"/>
    <w:rsid w:val="00B33984"/>
    <w:rsid w:val="00B3421B"/>
    <w:rsid w:val="00B34491"/>
    <w:rsid w:val="00B34C7D"/>
    <w:rsid w:val="00B34F3A"/>
    <w:rsid w:val="00B3512D"/>
    <w:rsid w:val="00B351A5"/>
    <w:rsid w:val="00B35585"/>
    <w:rsid w:val="00B35750"/>
    <w:rsid w:val="00B35A26"/>
    <w:rsid w:val="00B36060"/>
    <w:rsid w:val="00B36190"/>
    <w:rsid w:val="00B365DC"/>
    <w:rsid w:val="00B3667B"/>
    <w:rsid w:val="00B36760"/>
    <w:rsid w:val="00B36DAF"/>
    <w:rsid w:val="00B37871"/>
    <w:rsid w:val="00B37991"/>
    <w:rsid w:val="00B37DCB"/>
    <w:rsid w:val="00B40107"/>
    <w:rsid w:val="00B40263"/>
    <w:rsid w:val="00B407C8"/>
    <w:rsid w:val="00B40939"/>
    <w:rsid w:val="00B4094A"/>
    <w:rsid w:val="00B40DAA"/>
    <w:rsid w:val="00B40F99"/>
    <w:rsid w:val="00B414FB"/>
    <w:rsid w:val="00B41585"/>
    <w:rsid w:val="00B41C5F"/>
    <w:rsid w:val="00B42043"/>
    <w:rsid w:val="00B421B9"/>
    <w:rsid w:val="00B423B0"/>
    <w:rsid w:val="00B42424"/>
    <w:rsid w:val="00B426DE"/>
    <w:rsid w:val="00B42A03"/>
    <w:rsid w:val="00B42C86"/>
    <w:rsid w:val="00B43043"/>
    <w:rsid w:val="00B431DF"/>
    <w:rsid w:val="00B432D7"/>
    <w:rsid w:val="00B43408"/>
    <w:rsid w:val="00B435CC"/>
    <w:rsid w:val="00B43B5A"/>
    <w:rsid w:val="00B44661"/>
    <w:rsid w:val="00B446AD"/>
    <w:rsid w:val="00B44FFA"/>
    <w:rsid w:val="00B450E8"/>
    <w:rsid w:val="00B457B3"/>
    <w:rsid w:val="00B45852"/>
    <w:rsid w:val="00B458ED"/>
    <w:rsid w:val="00B45C89"/>
    <w:rsid w:val="00B46639"/>
    <w:rsid w:val="00B46ADC"/>
    <w:rsid w:val="00B46DE7"/>
    <w:rsid w:val="00B47137"/>
    <w:rsid w:val="00B471D6"/>
    <w:rsid w:val="00B4758F"/>
    <w:rsid w:val="00B47951"/>
    <w:rsid w:val="00B47C74"/>
    <w:rsid w:val="00B47D1A"/>
    <w:rsid w:val="00B47E93"/>
    <w:rsid w:val="00B509EC"/>
    <w:rsid w:val="00B50B08"/>
    <w:rsid w:val="00B51065"/>
    <w:rsid w:val="00B5109B"/>
    <w:rsid w:val="00B510FD"/>
    <w:rsid w:val="00B51128"/>
    <w:rsid w:val="00B512F7"/>
    <w:rsid w:val="00B515A8"/>
    <w:rsid w:val="00B519F2"/>
    <w:rsid w:val="00B51BD8"/>
    <w:rsid w:val="00B51C57"/>
    <w:rsid w:val="00B51D53"/>
    <w:rsid w:val="00B51EEB"/>
    <w:rsid w:val="00B51F27"/>
    <w:rsid w:val="00B52136"/>
    <w:rsid w:val="00B523C9"/>
    <w:rsid w:val="00B52948"/>
    <w:rsid w:val="00B52A0E"/>
    <w:rsid w:val="00B52F00"/>
    <w:rsid w:val="00B5301D"/>
    <w:rsid w:val="00B53191"/>
    <w:rsid w:val="00B532B5"/>
    <w:rsid w:val="00B53705"/>
    <w:rsid w:val="00B53BAD"/>
    <w:rsid w:val="00B53F94"/>
    <w:rsid w:val="00B541A8"/>
    <w:rsid w:val="00B541D9"/>
    <w:rsid w:val="00B5436B"/>
    <w:rsid w:val="00B544BD"/>
    <w:rsid w:val="00B5459D"/>
    <w:rsid w:val="00B549D0"/>
    <w:rsid w:val="00B54C29"/>
    <w:rsid w:val="00B550CF"/>
    <w:rsid w:val="00B552A9"/>
    <w:rsid w:val="00B5585C"/>
    <w:rsid w:val="00B55D7B"/>
    <w:rsid w:val="00B55FDA"/>
    <w:rsid w:val="00B56097"/>
    <w:rsid w:val="00B560BF"/>
    <w:rsid w:val="00B56507"/>
    <w:rsid w:val="00B56BE7"/>
    <w:rsid w:val="00B57B98"/>
    <w:rsid w:val="00B57ED7"/>
    <w:rsid w:val="00B57FD9"/>
    <w:rsid w:val="00B57FEC"/>
    <w:rsid w:val="00B60CA4"/>
    <w:rsid w:val="00B60D8C"/>
    <w:rsid w:val="00B610BB"/>
    <w:rsid w:val="00B6125D"/>
    <w:rsid w:val="00B617BE"/>
    <w:rsid w:val="00B619FC"/>
    <w:rsid w:val="00B62563"/>
    <w:rsid w:val="00B62B13"/>
    <w:rsid w:val="00B62F7B"/>
    <w:rsid w:val="00B63007"/>
    <w:rsid w:val="00B63128"/>
    <w:rsid w:val="00B63484"/>
    <w:rsid w:val="00B634D8"/>
    <w:rsid w:val="00B636FF"/>
    <w:rsid w:val="00B637CD"/>
    <w:rsid w:val="00B64098"/>
    <w:rsid w:val="00B642CF"/>
    <w:rsid w:val="00B642EA"/>
    <w:rsid w:val="00B645F5"/>
    <w:rsid w:val="00B64781"/>
    <w:rsid w:val="00B648BE"/>
    <w:rsid w:val="00B64934"/>
    <w:rsid w:val="00B657B4"/>
    <w:rsid w:val="00B65964"/>
    <w:rsid w:val="00B65B5A"/>
    <w:rsid w:val="00B6630E"/>
    <w:rsid w:val="00B664BC"/>
    <w:rsid w:val="00B66C17"/>
    <w:rsid w:val="00B66EC5"/>
    <w:rsid w:val="00B672C3"/>
    <w:rsid w:val="00B6780E"/>
    <w:rsid w:val="00B67B1F"/>
    <w:rsid w:val="00B703F4"/>
    <w:rsid w:val="00B704FE"/>
    <w:rsid w:val="00B7093E"/>
    <w:rsid w:val="00B70A78"/>
    <w:rsid w:val="00B70E47"/>
    <w:rsid w:val="00B71047"/>
    <w:rsid w:val="00B713DB"/>
    <w:rsid w:val="00B7146C"/>
    <w:rsid w:val="00B71667"/>
    <w:rsid w:val="00B7166D"/>
    <w:rsid w:val="00B717A4"/>
    <w:rsid w:val="00B71841"/>
    <w:rsid w:val="00B71BA7"/>
    <w:rsid w:val="00B71C42"/>
    <w:rsid w:val="00B71E6A"/>
    <w:rsid w:val="00B72122"/>
    <w:rsid w:val="00B7217B"/>
    <w:rsid w:val="00B72734"/>
    <w:rsid w:val="00B72992"/>
    <w:rsid w:val="00B72A36"/>
    <w:rsid w:val="00B72AAC"/>
    <w:rsid w:val="00B73040"/>
    <w:rsid w:val="00B73712"/>
    <w:rsid w:val="00B73B4C"/>
    <w:rsid w:val="00B73EFB"/>
    <w:rsid w:val="00B7403C"/>
    <w:rsid w:val="00B741F7"/>
    <w:rsid w:val="00B742B7"/>
    <w:rsid w:val="00B7434B"/>
    <w:rsid w:val="00B74588"/>
    <w:rsid w:val="00B74ACC"/>
    <w:rsid w:val="00B7576C"/>
    <w:rsid w:val="00B75D00"/>
    <w:rsid w:val="00B75E4F"/>
    <w:rsid w:val="00B7631B"/>
    <w:rsid w:val="00B76480"/>
    <w:rsid w:val="00B765B7"/>
    <w:rsid w:val="00B7686B"/>
    <w:rsid w:val="00B768E1"/>
    <w:rsid w:val="00B76C16"/>
    <w:rsid w:val="00B774A5"/>
    <w:rsid w:val="00B77B1B"/>
    <w:rsid w:val="00B77BB9"/>
    <w:rsid w:val="00B77DA6"/>
    <w:rsid w:val="00B77F4F"/>
    <w:rsid w:val="00B800C8"/>
    <w:rsid w:val="00B80F96"/>
    <w:rsid w:val="00B8130C"/>
    <w:rsid w:val="00B8183F"/>
    <w:rsid w:val="00B81CBF"/>
    <w:rsid w:val="00B81E17"/>
    <w:rsid w:val="00B82379"/>
    <w:rsid w:val="00B8282C"/>
    <w:rsid w:val="00B82A8E"/>
    <w:rsid w:val="00B833EC"/>
    <w:rsid w:val="00B8349B"/>
    <w:rsid w:val="00B8360E"/>
    <w:rsid w:val="00B8374C"/>
    <w:rsid w:val="00B8395C"/>
    <w:rsid w:val="00B83CEF"/>
    <w:rsid w:val="00B83D92"/>
    <w:rsid w:val="00B84453"/>
    <w:rsid w:val="00B84864"/>
    <w:rsid w:val="00B84993"/>
    <w:rsid w:val="00B84C93"/>
    <w:rsid w:val="00B84CD5"/>
    <w:rsid w:val="00B85072"/>
    <w:rsid w:val="00B85279"/>
    <w:rsid w:val="00B853CD"/>
    <w:rsid w:val="00B85970"/>
    <w:rsid w:val="00B85EA6"/>
    <w:rsid w:val="00B860BB"/>
    <w:rsid w:val="00B86272"/>
    <w:rsid w:val="00B864A1"/>
    <w:rsid w:val="00B864CC"/>
    <w:rsid w:val="00B86572"/>
    <w:rsid w:val="00B86604"/>
    <w:rsid w:val="00B86618"/>
    <w:rsid w:val="00B8677B"/>
    <w:rsid w:val="00B86A44"/>
    <w:rsid w:val="00B86AE0"/>
    <w:rsid w:val="00B86EC1"/>
    <w:rsid w:val="00B86F43"/>
    <w:rsid w:val="00B8702D"/>
    <w:rsid w:val="00B8724C"/>
    <w:rsid w:val="00B877C3"/>
    <w:rsid w:val="00B877FC"/>
    <w:rsid w:val="00B9025F"/>
    <w:rsid w:val="00B9030F"/>
    <w:rsid w:val="00B9069E"/>
    <w:rsid w:val="00B90728"/>
    <w:rsid w:val="00B9094E"/>
    <w:rsid w:val="00B90A56"/>
    <w:rsid w:val="00B90D67"/>
    <w:rsid w:val="00B9102F"/>
    <w:rsid w:val="00B910CE"/>
    <w:rsid w:val="00B91105"/>
    <w:rsid w:val="00B916D3"/>
    <w:rsid w:val="00B9179C"/>
    <w:rsid w:val="00B91DE8"/>
    <w:rsid w:val="00B91E21"/>
    <w:rsid w:val="00B91EDA"/>
    <w:rsid w:val="00B91FD7"/>
    <w:rsid w:val="00B92314"/>
    <w:rsid w:val="00B9253C"/>
    <w:rsid w:val="00B92620"/>
    <w:rsid w:val="00B9285D"/>
    <w:rsid w:val="00B92E39"/>
    <w:rsid w:val="00B93595"/>
    <w:rsid w:val="00B93B76"/>
    <w:rsid w:val="00B93D9E"/>
    <w:rsid w:val="00B93E39"/>
    <w:rsid w:val="00B944AC"/>
    <w:rsid w:val="00B94A26"/>
    <w:rsid w:val="00B94B33"/>
    <w:rsid w:val="00B94DCF"/>
    <w:rsid w:val="00B94E6C"/>
    <w:rsid w:val="00B950CE"/>
    <w:rsid w:val="00B951F0"/>
    <w:rsid w:val="00B95218"/>
    <w:rsid w:val="00B953A9"/>
    <w:rsid w:val="00B953FB"/>
    <w:rsid w:val="00B9580E"/>
    <w:rsid w:val="00B95A8A"/>
    <w:rsid w:val="00B95A9E"/>
    <w:rsid w:val="00B95ADF"/>
    <w:rsid w:val="00B962B3"/>
    <w:rsid w:val="00B96303"/>
    <w:rsid w:val="00B96390"/>
    <w:rsid w:val="00B9651D"/>
    <w:rsid w:val="00B96E08"/>
    <w:rsid w:val="00B96F39"/>
    <w:rsid w:val="00B975A3"/>
    <w:rsid w:val="00B976A1"/>
    <w:rsid w:val="00B97736"/>
    <w:rsid w:val="00B97884"/>
    <w:rsid w:val="00B97DAE"/>
    <w:rsid w:val="00BA011A"/>
    <w:rsid w:val="00BA0243"/>
    <w:rsid w:val="00BA0403"/>
    <w:rsid w:val="00BA0E09"/>
    <w:rsid w:val="00BA0E0C"/>
    <w:rsid w:val="00BA0F5B"/>
    <w:rsid w:val="00BA12AE"/>
    <w:rsid w:val="00BA13E8"/>
    <w:rsid w:val="00BA15A8"/>
    <w:rsid w:val="00BA160F"/>
    <w:rsid w:val="00BA1F24"/>
    <w:rsid w:val="00BA23B6"/>
    <w:rsid w:val="00BA2481"/>
    <w:rsid w:val="00BA26D3"/>
    <w:rsid w:val="00BA2851"/>
    <w:rsid w:val="00BA293D"/>
    <w:rsid w:val="00BA302E"/>
    <w:rsid w:val="00BA30B6"/>
    <w:rsid w:val="00BA3141"/>
    <w:rsid w:val="00BA3149"/>
    <w:rsid w:val="00BA3D96"/>
    <w:rsid w:val="00BA3E5D"/>
    <w:rsid w:val="00BA45A1"/>
    <w:rsid w:val="00BA46DA"/>
    <w:rsid w:val="00BA4963"/>
    <w:rsid w:val="00BA4C4F"/>
    <w:rsid w:val="00BA501B"/>
    <w:rsid w:val="00BA5175"/>
    <w:rsid w:val="00BA5226"/>
    <w:rsid w:val="00BA5249"/>
    <w:rsid w:val="00BA5598"/>
    <w:rsid w:val="00BA56C0"/>
    <w:rsid w:val="00BA596C"/>
    <w:rsid w:val="00BA5DA4"/>
    <w:rsid w:val="00BA62BA"/>
    <w:rsid w:val="00BA64F5"/>
    <w:rsid w:val="00BA6686"/>
    <w:rsid w:val="00BA6A59"/>
    <w:rsid w:val="00BA6CD0"/>
    <w:rsid w:val="00BA6E8D"/>
    <w:rsid w:val="00BA6F8A"/>
    <w:rsid w:val="00BA72CF"/>
    <w:rsid w:val="00BA7593"/>
    <w:rsid w:val="00BA7943"/>
    <w:rsid w:val="00BA7BF9"/>
    <w:rsid w:val="00BA7CAE"/>
    <w:rsid w:val="00BA7F19"/>
    <w:rsid w:val="00BA7FFE"/>
    <w:rsid w:val="00BB023C"/>
    <w:rsid w:val="00BB048C"/>
    <w:rsid w:val="00BB05CE"/>
    <w:rsid w:val="00BB110B"/>
    <w:rsid w:val="00BB1E95"/>
    <w:rsid w:val="00BB2034"/>
    <w:rsid w:val="00BB2373"/>
    <w:rsid w:val="00BB2678"/>
    <w:rsid w:val="00BB26C0"/>
    <w:rsid w:val="00BB29E7"/>
    <w:rsid w:val="00BB3049"/>
    <w:rsid w:val="00BB3D82"/>
    <w:rsid w:val="00BB3E05"/>
    <w:rsid w:val="00BB3F08"/>
    <w:rsid w:val="00BB4039"/>
    <w:rsid w:val="00BB407A"/>
    <w:rsid w:val="00BB4272"/>
    <w:rsid w:val="00BB4355"/>
    <w:rsid w:val="00BB4770"/>
    <w:rsid w:val="00BB5265"/>
    <w:rsid w:val="00BB545D"/>
    <w:rsid w:val="00BB5C30"/>
    <w:rsid w:val="00BB65BC"/>
    <w:rsid w:val="00BB6907"/>
    <w:rsid w:val="00BB6B8D"/>
    <w:rsid w:val="00BB6B98"/>
    <w:rsid w:val="00BB6C06"/>
    <w:rsid w:val="00BB6CBF"/>
    <w:rsid w:val="00BB6ECB"/>
    <w:rsid w:val="00BB703C"/>
    <w:rsid w:val="00BB7183"/>
    <w:rsid w:val="00BB7244"/>
    <w:rsid w:val="00BB7279"/>
    <w:rsid w:val="00BB75C7"/>
    <w:rsid w:val="00BB767A"/>
    <w:rsid w:val="00BB787F"/>
    <w:rsid w:val="00BB78ED"/>
    <w:rsid w:val="00BB79A4"/>
    <w:rsid w:val="00BB79F5"/>
    <w:rsid w:val="00BB7F55"/>
    <w:rsid w:val="00BC0090"/>
    <w:rsid w:val="00BC00B6"/>
    <w:rsid w:val="00BC0546"/>
    <w:rsid w:val="00BC0A57"/>
    <w:rsid w:val="00BC0BA0"/>
    <w:rsid w:val="00BC116A"/>
    <w:rsid w:val="00BC12F5"/>
    <w:rsid w:val="00BC135B"/>
    <w:rsid w:val="00BC1B99"/>
    <w:rsid w:val="00BC1BAC"/>
    <w:rsid w:val="00BC1DDF"/>
    <w:rsid w:val="00BC1FFD"/>
    <w:rsid w:val="00BC241E"/>
    <w:rsid w:val="00BC25FF"/>
    <w:rsid w:val="00BC2765"/>
    <w:rsid w:val="00BC2A0C"/>
    <w:rsid w:val="00BC2AF8"/>
    <w:rsid w:val="00BC2E96"/>
    <w:rsid w:val="00BC2F6F"/>
    <w:rsid w:val="00BC3037"/>
    <w:rsid w:val="00BC35BC"/>
    <w:rsid w:val="00BC360F"/>
    <w:rsid w:val="00BC3A36"/>
    <w:rsid w:val="00BC3A54"/>
    <w:rsid w:val="00BC3A60"/>
    <w:rsid w:val="00BC3DE6"/>
    <w:rsid w:val="00BC3F5D"/>
    <w:rsid w:val="00BC430F"/>
    <w:rsid w:val="00BC4ADA"/>
    <w:rsid w:val="00BC4C2E"/>
    <w:rsid w:val="00BC53E1"/>
    <w:rsid w:val="00BC5484"/>
    <w:rsid w:val="00BC55BB"/>
    <w:rsid w:val="00BC5765"/>
    <w:rsid w:val="00BC58AB"/>
    <w:rsid w:val="00BC5EB8"/>
    <w:rsid w:val="00BC618D"/>
    <w:rsid w:val="00BC63EE"/>
    <w:rsid w:val="00BC65B0"/>
    <w:rsid w:val="00BC6BA7"/>
    <w:rsid w:val="00BC6F7A"/>
    <w:rsid w:val="00BC74C9"/>
    <w:rsid w:val="00BC78E7"/>
    <w:rsid w:val="00BC7B6D"/>
    <w:rsid w:val="00BC7DEA"/>
    <w:rsid w:val="00BC7EB7"/>
    <w:rsid w:val="00BD003B"/>
    <w:rsid w:val="00BD00CE"/>
    <w:rsid w:val="00BD01F1"/>
    <w:rsid w:val="00BD036A"/>
    <w:rsid w:val="00BD0472"/>
    <w:rsid w:val="00BD04CA"/>
    <w:rsid w:val="00BD087C"/>
    <w:rsid w:val="00BD0A33"/>
    <w:rsid w:val="00BD0AF5"/>
    <w:rsid w:val="00BD0D48"/>
    <w:rsid w:val="00BD0DA7"/>
    <w:rsid w:val="00BD0E1F"/>
    <w:rsid w:val="00BD1AEC"/>
    <w:rsid w:val="00BD1C55"/>
    <w:rsid w:val="00BD2734"/>
    <w:rsid w:val="00BD27EA"/>
    <w:rsid w:val="00BD2968"/>
    <w:rsid w:val="00BD305F"/>
    <w:rsid w:val="00BD3836"/>
    <w:rsid w:val="00BD3BF0"/>
    <w:rsid w:val="00BD3D37"/>
    <w:rsid w:val="00BD3DAC"/>
    <w:rsid w:val="00BD4B31"/>
    <w:rsid w:val="00BD4B95"/>
    <w:rsid w:val="00BD4E49"/>
    <w:rsid w:val="00BD58D5"/>
    <w:rsid w:val="00BD59BA"/>
    <w:rsid w:val="00BD5A38"/>
    <w:rsid w:val="00BD5E2C"/>
    <w:rsid w:val="00BD6437"/>
    <w:rsid w:val="00BD68E3"/>
    <w:rsid w:val="00BD6D8C"/>
    <w:rsid w:val="00BD6F18"/>
    <w:rsid w:val="00BD6FA5"/>
    <w:rsid w:val="00BD6FD7"/>
    <w:rsid w:val="00BD7282"/>
    <w:rsid w:val="00BD74A7"/>
    <w:rsid w:val="00BD76A8"/>
    <w:rsid w:val="00BD7E49"/>
    <w:rsid w:val="00BE046E"/>
    <w:rsid w:val="00BE0491"/>
    <w:rsid w:val="00BE04CB"/>
    <w:rsid w:val="00BE0E02"/>
    <w:rsid w:val="00BE0EA6"/>
    <w:rsid w:val="00BE11D2"/>
    <w:rsid w:val="00BE1F9F"/>
    <w:rsid w:val="00BE21A9"/>
    <w:rsid w:val="00BE23A8"/>
    <w:rsid w:val="00BE2603"/>
    <w:rsid w:val="00BE283E"/>
    <w:rsid w:val="00BE2EE8"/>
    <w:rsid w:val="00BE3281"/>
    <w:rsid w:val="00BE3338"/>
    <w:rsid w:val="00BE35EA"/>
    <w:rsid w:val="00BE3D53"/>
    <w:rsid w:val="00BE3E09"/>
    <w:rsid w:val="00BE3F0C"/>
    <w:rsid w:val="00BE4481"/>
    <w:rsid w:val="00BE4794"/>
    <w:rsid w:val="00BE48FE"/>
    <w:rsid w:val="00BE4948"/>
    <w:rsid w:val="00BE5294"/>
    <w:rsid w:val="00BE5820"/>
    <w:rsid w:val="00BE6005"/>
    <w:rsid w:val="00BE64BD"/>
    <w:rsid w:val="00BE6599"/>
    <w:rsid w:val="00BE6878"/>
    <w:rsid w:val="00BE6945"/>
    <w:rsid w:val="00BE6B7F"/>
    <w:rsid w:val="00BE6BB1"/>
    <w:rsid w:val="00BE6C63"/>
    <w:rsid w:val="00BE7AE0"/>
    <w:rsid w:val="00BE7D36"/>
    <w:rsid w:val="00BF008C"/>
    <w:rsid w:val="00BF0206"/>
    <w:rsid w:val="00BF0D4B"/>
    <w:rsid w:val="00BF102C"/>
    <w:rsid w:val="00BF1813"/>
    <w:rsid w:val="00BF18E0"/>
    <w:rsid w:val="00BF1B87"/>
    <w:rsid w:val="00BF21F5"/>
    <w:rsid w:val="00BF250D"/>
    <w:rsid w:val="00BF280A"/>
    <w:rsid w:val="00BF2CDA"/>
    <w:rsid w:val="00BF2E7F"/>
    <w:rsid w:val="00BF3B08"/>
    <w:rsid w:val="00BF3B0D"/>
    <w:rsid w:val="00BF4251"/>
    <w:rsid w:val="00BF444B"/>
    <w:rsid w:val="00BF456B"/>
    <w:rsid w:val="00BF496E"/>
    <w:rsid w:val="00BF4AA9"/>
    <w:rsid w:val="00BF4C2C"/>
    <w:rsid w:val="00BF4EBB"/>
    <w:rsid w:val="00BF4FDE"/>
    <w:rsid w:val="00BF53BF"/>
    <w:rsid w:val="00BF5C73"/>
    <w:rsid w:val="00BF63C3"/>
    <w:rsid w:val="00BF63CD"/>
    <w:rsid w:val="00BF65FF"/>
    <w:rsid w:val="00BF678D"/>
    <w:rsid w:val="00BF6828"/>
    <w:rsid w:val="00BF6BFF"/>
    <w:rsid w:val="00BF6C5C"/>
    <w:rsid w:val="00BF7537"/>
    <w:rsid w:val="00BF7569"/>
    <w:rsid w:val="00BF76ED"/>
    <w:rsid w:val="00BF7973"/>
    <w:rsid w:val="00BF7C03"/>
    <w:rsid w:val="00BF7C07"/>
    <w:rsid w:val="00BFB0AF"/>
    <w:rsid w:val="00C00285"/>
    <w:rsid w:val="00C0039A"/>
    <w:rsid w:val="00C00546"/>
    <w:rsid w:val="00C0085D"/>
    <w:rsid w:val="00C008BB"/>
    <w:rsid w:val="00C012B9"/>
    <w:rsid w:val="00C0135A"/>
    <w:rsid w:val="00C01542"/>
    <w:rsid w:val="00C019B2"/>
    <w:rsid w:val="00C01BF7"/>
    <w:rsid w:val="00C0217F"/>
    <w:rsid w:val="00C022C3"/>
    <w:rsid w:val="00C026FF"/>
    <w:rsid w:val="00C02997"/>
    <w:rsid w:val="00C02C2A"/>
    <w:rsid w:val="00C030C4"/>
    <w:rsid w:val="00C0332A"/>
    <w:rsid w:val="00C0342B"/>
    <w:rsid w:val="00C03632"/>
    <w:rsid w:val="00C03AE0"/>
    <w:rsid w:val="00C03B43"/>
    <w:rsid w:val="00C03ECD"/>
    <w:rsid w:val="00C0453B"/>
    <w:rsid w:val="00C048F8"/>
    <w:rsid w:val="00C049E3"/>
    <w:rsid w:val="00C04A9D"/>
    <w:rsid w:val="00C04CFB"/>
    <w:rsid w:val="00C04DC9"/>
    <w:rsid w:val="00C0506E"/>
    <w:rsid w:val="00C0527C"/>
    <w:rsid w:val="00C052EE"/>
    <w:rsid w:val="00C05305"/>
    <w:rsid w:val="00C05A00"/>
    <w:rsid w:val="00C05B33"/>
    <w:rsid w:val="00C05F6A"/>
    <w:rsid w:val="00C063DA"/>
    <w:rsid w:val="00C0645C"/>
    <w:rsid w:val="00C0683E"/>
    <w:rsid w:val="00C07010"/>
    <w:rsid w:val="00C07375"/>
    <w:rsid w:val="00C0740B"/>
    <w:rsid w:val="00C07846"/>
    <w:rsid w:val="00C07FF0"/>
    <w:rsid w:val="00C101DF"/>
    <w:rsid w:val="00C106DA"/>
    <w:rsid w:val="00C109AE"/>
    <w:rsid w:val="00C10AA3"/>
    <w:rsid w:val="00C112AF"/>
    <w:rsid w:val="00C117C5"/>
    <w:rsid w:val="00C11CCE"/>
    <w:rsid w:val="00C11D8D"/>
    <w:rsid w:val="00C12779"/>
    <w:rsid w:val="00C1279A"/>
    <w:rsid w:val="00C12B9E"/>
    <w:rsid w:val="00C12C7F"/>
    <w:rsid w:val="00C12E00"/>
    <w:rsid w:val="00C12EBE"/>
    <w:rsid w:val="00C13789"/>
    <w:rsid w:val="00C137D9"/>
    <w:rsid w:val="00C138A0"/>
    <w:rsid w:val="00C139EB"/>
    <w:rsid w:val="00C13A40"/>
    <w:rsid w:val="00C13B6D"/>
    <w:rsid w:val="00C13CF5"/>
    <w:rsid w:val="00C14D3F"/>
    <w:rsid w:val="00C15457"/>
    <w:rsid w:val="00C158D9"/>
    <w:rsid w:val="00C15E6E"/>
    <w:rsid w:val="00C16250"/>
    <w:rsid w:val="00C16324"/>
    <w:rsid w:val="00C167D9"/>
    <w:rsid w:val="00C1680A"/>
    <w:rsid w:val="00C17714"/>
    <w:rsid w:val="00C1784B"/>
    <w:rsid w:val="00C17855"/>
    <w:rsid w:val="00C17889"/>
    <w:rsid w:val="00C17C78"/>
    <w:rsid w:val="00C1FB5A"/>
    <w:rsid w:val="00C200A0"/>
    <w:rsid w:val="00C20304"/>
    <w:rsid w:val="00C2077C"/>
    <w:rsid w:val="00C209D5"/>
    <w:rsid w:val="00C20B96"/>
    <w:rsid w:val="00C20C86"/>
    <w:rsid w:val="00C212F7"/>
    <w:rsid w:val="00C214C5"/>
    <w:rsid w:val="00C219F3"/>
    <w:rsid w:val="00C21A17"/>
    <w:rsid w:val="00C22005"/>
    <w:rsid w:val="00C221AB"/>
    <w:rsid w:val="00C222AE"/>
    <w:rsid w:val="00C2255E"/>
    <w:rsid w:val="00C227B9"/>
    <w:rsid w:val="00C2329C"/>
    <w:rsid w:val="00C2355F"/>
    <w:rsid w:val="00C23A52"/>
    <w:rsid w:val="00C24A2B"/>
    <w:rsid w:val="00C24CE7"/>
    <w:rsid w:val="00C24D48"/>
    <w:rsid w:val="00C24D77"/>
    <w:rsid w:val="00C24EEB"/>
    <w:rsid w:val="00C25054"/>
    <w:rsid w:val="00C25182"/>
    <w:rsid w:val="00C25527"/>
    <w:rsid w:val="00C2593F"/>
    <w:rsid w:val="00C2597F"/>
    <w:rsid w:val="00C259FA"/>
    <w:rsid w:val="00C25A51"/>
    <w:rsid w:val="00C25C21"/>
    <w:rsid w:val="00C25D96"/>
    <w:rsid w:val="00C25F2F"/>
    <w:rsid w:val="00C26C82"/>
    <w:rsid w:val="00C26DD2"/>
    <w:rsid w:val="00C26E9C"/>
    <w:rsid w:val="00C26F4A"/>
    <w:rsid w:val="00C26F6D"/>
    <w:rsid w:val="00C270D9"/>
    <w:rsid w:val="00C271B1"/>
    <w:rsid w:val="00C27223"/>
    <w:rsid w:val="00C2765B"/>
    <w:rsid w:val="00C27838"/>
    <w:rsid w:val="00C2794B"/>
    <w:rsid w:val="00C279B2"/>
    <w:rsid w:val="00C27BA7"/>
    <w:rsid w:val="00C27C29"/>
    <w:rsid w:val="00C27C48"/>
    <w:rsid w:val="00C3069B"/>
    <w:rsid w:val="00C309C3"/>
    <w:rsid w:val="00C30A0F"/>
    <w:rsid w:val="00C30C89"/>
    <w:rsid w:val="00C31044"/>
    <w:rsid w:val="00C3105F"/>
    <w:rsid w:val="00C311C5"/>
    <w:rsid w:val="00C3162D"/>
    <w:rsid w:val="00C319FE"/>
    <w:rsid w:val="00C323DF"/>
    <w:rsid w:val="00C3250E"/>
    <w:rsid w:val="00C325E0"/>
    <w:rsid w:val="00C326FF"/>
    <w:rsid w:val="00C32833"/>
    <w:rsid w:val="00C33368"/>
    <w:rsid w:val="00C333FB"/>
    <w:rsid w:val="00C336FF"/>
    <w:rsid w:val="00C33926"/>
    <w:rsid w:val="00C33AFE"/>
    <w:rsid w:val="00C33F6B"/>
    <w:rsid w:val="00C342A6"/>
    <w:rsid w:val="00C3466F"/>
    <w:rsid w:val="00C34681"/>
    <w:rsid w:val="00C34D03"/>
    <w:rsid w:val="00C34D5D"/>
    <w:rsid w:val="00C34D79"/>
    <w:rsid w:val="00C34D9D"/>
    <w:rsid w:val="00C34E72"/>
    <w:rsid w:val="00C352A5"/>
    <w:rsid w:val="00C353E8"/>
    <w:rsid w:val="00C354CF"/>
    <w:rsid w:val="00C35A31"/>
    <w:rsid w:val="00C35DFC"/>
    <w:rsid w:val="00C361E7"/>
    <w:rsid w:val="00C366FE"/>
    <w:rsid w:val="00C36947"/>
    <w:rsid w:val="00C36A93"/>
    <w:rsid w:val="00C36D5B"/>
    <w:rsid w:val="00C37530"/>
    <w:rsid w:val="00C37778"/>
    <w:rsid w:val="00C377F1"/>
    <w:rsid w:val="00C37B6E"/>
    <w:rsid w:val="00C37C89"/>
    <w:rsid w:val="00C37D95"/>
    <w:rsid w:val="00C40201"/>
    <w:rsid w:val="00C40D57"/>
    <w:rsid w:val="00C412F0"/>
    <w:rsid w:val="00C4133C"/>
    <w:rsid w:val="00C41512"/>
    <w:rsid w:val="00C41A25"/>
    <w:rsid w:val="00C422E9"/>
    <w:rsid w:val="00C424C9"/>
    <w:rsid w:val="00C42544"/>
    <w:rsid w:val="00C428BB"/>
    <w:rsid w:val="00C42D2A"/>
    <w:rsid w:val="00C43682"/>
    <w:rsid w:val="00C437AC"/>
    <w:rsid w:val="00C44006"/>
    <w:rsid w:val="00C441E6"/>
    <w:rsid w:val="00C4459C"/>
    <w:rsid w:val="00C44B9E"/>
    <w:rsid w:val="00C44F35"/>
    <w:rsid w:val="00C46724"/>
    <w:rsid w:val="00C46B98"/>
    <w:rsid w:val="00C46C98"/>
    <w:rsid w:val="00C46FBB"/>
    <w:rsid w:val="00C471BA"/>
    <w:rsid w:val="00C475C3"/>
    <w:rsid w:val="00C47BFD"/>
    <w:rsid w:val="00C47DAD"/>
    <w:rsid w:val="00C47DFA"/>
    <w:rsid w:val="00C47F34"/>
    <w:rsid w:val="00C509B0"/>
    <w:rsid w:val="00C509C5"/>
    <w:rsid w:val="00C50B04"/>
    <w:rsid w:val="00C50B73"/>
    <w:rsid w:val="00C50CF2"/>
    <w:rsid w:val="00C50F10"/>
    <w:rsid w:val="00C51051"/>
    <w:rsid w:val="00C512C7"/>
    <w:rsid w:val="00C51629"/>
    <w:rsid w:val="00C5176C"/>
    <w:rsid w:val="00C518E6"/>
    <w:rsid w:val="00C51B8E"/>
    <w:rsid w:val="00C51BDD"/>
    <w:rsid w:val="00C51BF9"/>
    <w:rsid w:val="00C51D4B"/>
    <w:rsid w:val="00C51E1A"/>
    <w:rsid w:val="00C51F65"/>
    <w:rsid w:val="00C52487"/>
    <w:rsid w:val="00C5255F"/>
    <w:rsid w:val="00C529F5"/>
    <w:rsid w:val="00C52FA1"/>
    <w:rsid w:val="00C53198"/>
    <w:rsid w:val="00C5350E"/>
    <w:rsid w:val="00C53536"/>
    <w:rsid w:val="00C53771"/>
    <w:rsid w:val="00C53961"/>
    <w:rsid w:val="00C53B4A"/>
    <w:rsid w:val="00C53DC7"/>
    <w:rsid w:val="00C542C5"/>
    <w:rsid w:val="00C548BF"/>
    <w:rsid w:val="00C54AE1"/>
    <w:rsid w:val="00C54BA7"/>
    <w:rsid w:val="00C54D7F"/>
    <w:rsid w:val="00C54D80"/>
    <w:rsid w:val="00C54DFC"/>
    <w:rsid w:val="00C55159"/>
    <w:rsid w:val="00C55338"/>
    <w:rsid w:val="00C5567C"/>
    <w:rsid w:val="00C5588F"/>
    <w:rsid w:val="00C55D12"/>
    <w:rsid w:val="00C55DF2"/>
    <w:rsid w:val="00C55EB5"/>
    <w:rsid w:val="00C5607C"/>
    <w:rsid w:val="00C563B2"/>
    <w:rsid w:val="00C56600"/>
    <w:rsid w:val="00C566E8"/>
    <w:rsid w:val="00C56E21"/>
    <w:rsid w:val="00C57192"/>
    <w:rsid w:val="00C576A2"/>
    <w:rsid w:val="00C57724"/>
    <w:rsid w:val="00C578A3"/>
    <w:rsid w:val="00C57909"/>
    <w:rsid w:val="00C57B1D"/>
    <w:rsid w:val="00C57B37"/>
    <w:rsid w:val="00C5E46F"/>
    <w:rsid w:val="00C6043F"/>
    <w:rsid w:val="00C604E2"/>
    <w:rsid w:val="00C605EE"/>
    <w:rsid w:val="00C60750"/>
    <w:rsid w:val="00C60C37"/>
    <w:rsid w:val="00C60D15"/>
    <w:rsid w:val="00C60D42"/>
    <w:rsid w:val="00C613EF"/>
    <w:rsid w:val="00C61A85"/>
    <w:rsid w:val="00C61B37"/>
    <w:rsid w:val="00C61CED"/>
    <w:rsid w:val="00C61E49"/>
    <w:rsid w:val="00C620DA"/>
    <w:rsid w:val="00C6219E"/>
    <w:rsid w:val="00C62323"/>
    <w:rsid w:val="00C62691"/>
    <w:rsid w:val="00C6273E"/>
    <w:rsid w:val="00C62838"/>
    <w:rsid w:val="00C6288D"/>
    <w:rsid w:val="00C62FC6"/>
    <w:rsid w:val="00C62FD6"/>
    <w:rsid w:val="00C630E1"/>
    <w:rsid w:val="00C632CA"/>
    <w:rsid w:val="00C63368"/>
    <w:rsid w:val="00C6340A"/>
    <w:rsid w:val="00C637D3"/>
    <w:rsid w:val="00C63CA6"/>
    <w:rsid w:val="00C63EC9"/>
    <w:rsid w:val="00C6406E"/>
    <w:rsid w:val="00C640BD"/>
    <w:rsid w:val="00C640CE"/>
    <w:rsid w:val="00C642ED"/>
    <w:rsid w:val="00C6461B"/>
    <w:rsid w:val="00C64671"/>
    <w:rsid w:val="00C647B5"/>
    <w:rsid w:val="00C64BEF"/>
    <w:rsid w:val="00C656A7"/>
    <w:rsid w:val="00C65797"/>
    <w:rsid w:val="00C65F3B"/>
    <w:rsid w:val="00C6645A"/>
    <w:rsid w:val="00C66624"/>
    <w:rsid w:val="00C669DC"/>
    <w:rsid w:val="00C66B92"/>
    <w:rsid w:val="00C66E65"/>
    <w:rsid w:val="00C67949"/>
    <w:rsid w:val="00C67A5A"/>
    <w:rsid w:val="00C67F92"/>
    <w:rsid w:val="00C70474"/>
    <w:rsid w:val="00C70861"/>
    <w:rsid w:val="00C7095D"/>
    <w:rsid w:val="00C70A65"/>
    <w:rsid w:val="00C70B9B"/>
    <w:rsid w:val="00C70BA8"/>
    <w:rsid w:val="00C70E34"/>
    <w:rsid w:val="00C710C6"/>
    <w:rsid w:val="00C71140"/>
    <w:rsid w:val="00C713BF"/>
    <w:rsid w:val="00C71CCC"/>
    <w:rsid w:val="00C71CE2"/>
    <w:rsid w:val="00C721C4"/>
    <w:rsid w:val="00C722B0"/>
    <w:rsid w:val="00C7234C"/>
    <w:rsid w:val="00C72757"/>
    <w:rsid w:val="00C72785"/>
    <w:rsid w:val="00C72A35"/>
    <w:rsid w:val="00C72FA7"/>
    <w:rsid w:val="00C7324F"/>
    <w:rsid w:val="00C735B6"/>
    <w:rsid w:val="00C737BE"/>
    <w:rsid w:val="00C73A26"/>
    <w:rsid w:val="00C73B36"/>
    <w:rsid w:val="00C73DB9"/>
    <w:rsid w:val="00C7432A"/>
    <w:rsid w:val="00C7434D"/>
    <w:rsid w:val="00C7438C"/>
    <w:rsid w:val="00C745AC"/>
    <w:rsid w:val="00C74AE7"/>
    <w:rsid w:val="00C74C5D"/>
    <w:rsid w:val="00C74E27"/>
    <w:rsid w:val="00C751E7"/>
    <w:rsid w:val="00C752BA"/>
    <w:rsid w:val="00C7564B"/>
    <w:rsid w:val="00C75D9D"/>
    <w:rsid w:val="00C76A76"/>
    <w:rsid w:val="00C772BC"/>
    <w:rsid w:val="00C773E9"/>
    <w:rsid w:val="00C7749E"/>
    <w:rsid w:val="00C774DB"/>
    <w:rsid w:val="00C7764F"/>
    <w:rsid w:val="00C77836"/>
    <w:rsid w:val="00C77B5B"/>
    <w:rsid w:val="00C77DD6"/>
    <w:rsid w:val="00C77ED5"/>
    <w:rsid w:val="00C8044F"/>
    <w:rsid w:val="00C807B6"/>
    <w:rsid w:val="00C81213"/>
    <w:rsid w:val="00C81289"/>
    <w:rsid w:val="00C812EB"/>
    <w:rsid w:val="00C81644"/>
    <w:rsid w:val="00C81C3A"/>
    <w:rsid w:val="00C81E60"/>
    <w:rsid w:val="00C824AE"/>
    <w:rsid w:val="00C826EB"/>
    <w:rsid w:val="00C82769"/>
    <w:rsid w:val="00C827E3"/>
    <w:rsid w:val="00C831F3"/>
    <w:rsid w:val="00C83686"/>
    <w:rsid w:val="00C83772"/>
    <w:rsid w:val="00C83807"/>
    <w:rsid w:val="00C83A28"/>
    <w:rsid w:val="00C83A69"/>
    <w:rsid w:val="00C83B3A"/>
    <w:rsid w:val="00C842C9"/>
    <w:rsid w:val="00C84739"/>
    <w:rsid w:val="00C84AF6"/>
    <w:rsid w:val="00C84B21"/>
    <w:rsid w:val="00C8508F"/>
    <w:rsid w:val="00C855A1"/>
    <w:rsid w:val="00C85752"/>
    <w:rsid w:val="00C85C02"/>
    <w:rsid w:val="00C85D1E"/>
    <w:rsid w:val="00C85F86"/>
    <w:rsid w:val="00C86198"/>
    <w:rsid w:val="00C8620A"/>
    <w:rsid w:val="00C8666C"/>
    <w:rsid w:val="00C86FD7"/>
    <w:rsid w:val="00C870F3"/>
    <w:rsid w:val="00C8717D"/>
    <w:rsid w:val="00C8718F"/>
    <w:rsid w:val="00C875CA"/>
    <w:rsid w:val="00C87925"/>
    <w:rsid w:val="00C879E3"/>
    <w:rsid w:val="00C87C6E"/>
    <w:rsid w:val="00C900C0"/>
    <w:rsid w:val="00C9019F"/>
    <w:rsid w:val="00C90444"/>
    <w:rsid w:val="00C90F3E"/>
    <w:rsid w:val="00C9106F"/>
    <w:rsid w:val="00C9121D"/>
    <w:rsid w:val="00C91E0D"/>
    <w:rsid w:val="00C91F8D"/>
    <w:rsid w:val="00C92562"/>
    <w:rsid w:val="00C928F6"/>
    <w:rsid w:val="00C92AFD"/>
    <w:rsid w:val="00C93091"/>
    <w:rsid w:val="00C9356D"/>
    <w:rsid w:val="00C93BF6"/>
    <w:rsid w:val="00C93E2A"/>
    <w:rsid w:val="00C93EF4"/>
    <w:rsid w:val="00C941A2"/>
    <w:rsid w:val="00C9486F"/>
    <w:rsid w:val="00C94942"/>
    <w:rsid w:val="00C94C11"/>
    <w:rsid w:val="00C94D8C"/>
    <w:rsid w:val="00C94E54"/>
    <w:rsid w:val="00C95043"/>
    <w:rsid w:val="00C950C4"/>
    <w:rsid w:val="00C952E8"/>
    <w:rsid w:val="00C954E7"/>
    <w:rsid w:val="00C956B2"/>
    <w:rsid w:val="00C956C6"/>
    <w:rsid w:val="00C957ED"/>
    <w:rsid w:val="00C959E7"/>
    <w:rsid w:val="00C96034"/>
    <w:rsid w:val="00C96082"/>
    <w:rsid w:val="00C9617B"/>
    <w:rsid w:val="00C962E2"/>
    <w:rsid w:val="00C96581"/>
    <w:rsid w:val="00C97326"/>
    <w:rsid w:val="00C975C2"/>
    <w:rsid w:val="00C9771A"/>
    <w:rsid w:val="00C97EAE"/>
    <w:rsid w:val="00CA03EE"/>
    <w:rsid w:val="00CA057F"/>
    <w:rsid w:val="00CA05F1"/>
    <w:rsid w:val="00CA0AFE"/>
    <w:rsid w:val="00CA0CF2"/>
    <w:rsid w:val="00CA1202"/>
    <w:rsid w:val="00CA16A8"/>
    <w:rsid w:val="00CA1C0E"/>
    <w:rsid w:val="00CA2647"/>
    <w:rsid w:val="00CA2909"/>
    <w:rsid w:val="00CA2BB6"/>
    <w:rsid w:val="00CA2F6C"/>
    <w:rsid w:val="00CA37D2"/>
    <w:rsid w:val="00CA3B9B"/>
    <w:rsid w:val="00CA3D1B"/>
    <w:rsid w:val="00CA422F"/>
    <w:rsid w:val="00CA44E7"/>
    <w:rsid w:val="00CA45EC"/>
    <w:rsid w:val="00CA4AB6"/>
    <w:rsid w:val="00CA5275"/>
    <w:rsid w:val="00CA5465"/>
    <w:rsid w:val="00CA5678"/>
    <w:rsid w:val="00CA56CA"/>
    <w:rsid w:val="00CA57A5"/>
    <w:rsid w:val="00CA5BFC"/>
    <w:rsid w:val="00CA5CAD"/>
    <w:rsid w:val="00CA664E"/>
    <w:rsid w:val="00CA72A6"/>
    <w:rsid w:val="00CA7433"/>
    <w:rsid w:val="00CA74DB"/>
    <w:rsid w:val="00CA7682"/>
    <w:rsid w:val="00CA78F1"/>
    <w:rsid w:val="00CA7BD9"/>
    <w:rsid w:val="00CA7BDC"/>
    <w:rsid w:val="00CA7D5B"/>
    <w:rsid w:val="00CA7DC6"/>
    <w:rsid w:val="00CB0965"/>
    <w:rsid w:val="00CB098F"/>
    <w:rsid w:val="00CB125F"/>
    <w:rsid w:val="00CB133C"/>
    <w:rsid w:val="00CB1985"/>
    <w:rsid w:val="00CB1A4F"/>
    <w:rsid w:val="00CB1E0E"/>
    <w:rsid w:val="00CB260D"/>
    <w:rsid w:val="00CB269D"/>
    <w:rsid w:val="00CB2965"/>
    <w:rsid w:val="00CB3154"/>
    <w:rsid w:val="00CB316C"/>
    <w:rsid w:val="00CB3171"/>
    <w:rsid w:val="00CB3313"/>
    <w:rsid w:val="00CB337D"/>
    <w:rsid w:val="00CB344A"/>
    <w:rsid w:val="00CB3746"/>
    <w:rsid w:val="00CB399C"/>
    <w:rsid w:val="00CB3D15"/>
    <w:rsid w:val="00CB4338"/>
    <w:rsid w:val="00CB4428"/>
    <w:rsid w:val="00CB4B17"/>
    <w:rsid w:val="00CB5123"/>
    <w:rsid w:val="00CB5336"/>
    <w:rsid w:val="00CB533D"/>
    <w:rsid w:val="00CB5543"/>
    <w:rsid w:val="00CB561A"/>
    <w:rsid w:val="00CB5BE3"/>
    <w:rsid w:val="00CB5E9E"/>
    <w:rsid w:val="00CB6203"/>
    <w:rsid w:val="00CB632B"/>
    <w:rsid w:val="00CB6399"/>
    <w:rsid w:val="00CB6A36"/>
    <w:rsid w:val="00CB6AD4"/>
    <w:rsid w:val="00CB6C2E"/>
    <w:rsid w:val="00CB729E"/>
    <w:rsid w:val="00CB731E"/>
    <w:rsid w:val="00CC0704"/>
    <w:rsid w:val="00CC0937"/>
    <w:rsid w:val="00CC0AE9"/>
    <w:rsid w:val="00CC16A2"/>
    <w:rsid w:val="00CC1759"/>
    <w:rsid w:val="00CC189F"/>
    <w:rsid w:val="00CC1B2B"/>
    <w:rsid w:val="00CC1CC7"/>
    <w:rsid w:val="00CC2055"/>
    <w:rsid w:val="00CC2693"/>
    <w:rsid w:val="00CC2A9F"/>
    <w:rsid w:val="00CC2DB9"/>
    <w:rsid w:val="00CC348C"/>
    <w:rsid w:val="00CC392A"/>
    <w:rsid w:val="00CC3BBA"/>
    <w:rsid w:val="00CC3CA3"/>
    <w:rsid w:val="00CC3CAC"/>
    <w:rsid w:val="00CC425C"/>
    <w:rsid w:val="00CC4440"/>
    <w:rsid w:val="00CC4779"/>
    <w:rsid w:val="00CC4ABC"/>
    <w:rsid w:val="00CC4E9B"/>
    <w:rsid w:val="00CC50D8"/>
    <w:rsid w:val="00CC5725"/>
    <w:rsid w:val="00CC572E"/>
    <w:rsid w:val="00CC5DF4"/>
    <w:rsid w:val="00CC644C"/>
    <w:rsid w:val="00CC6A9C"/>
    <w:rsid w:val="00CC6B5D"/>
    <w:rsid w:val="00CC6C4A"/>
    <w:rsid w:val="00CC6C75"/>
    <w:rsid w:val="00CC6D84"/>
    <w:rsid w:val="00CC6E4B"/>
    <w:rsid w:val="00CC6EB4"/>
    <w:rsid w:val="00CC744B"/>
    <w:rsid w:val="00CC77DD"/>
    <w:rsid w:val="00CD00A5"/>
    <w:rsid w:val="00CD19F9"/>
    <w:rsid w:val="00CD19FF"/>
    <w:rsid w:val="00CD1D91"/>
    <w:rsid w:val="00CD1F87"/>
    <w:rsid w:val="00CD2AC4"/>
    <w:rsid w:val="00CD2B6C"/>
    <w:rsid w:val="00CD2DB3"/>
    <w:rsid w:val="00CD2F5C"/>
    <w:rsid w:val="00CD30B4"/>
    <w:rsid w:val="00CD3C3F"/>
    <w:rsid w:val="00CD4027"/>
    <w:rsid w:val="00CD46AB"/>
    <w:rsid w:val="00CD4701"/>
    <w:rsid w:val="00CD4880"/>
    <w:rsid w:val="00CD48E6"/>
    <w:rsid w:val="00CD4AFD"/>
    <w:rsid w:val="00CD5653"/>
    <w:rsid w:val="00CD5839"/>
    <w:rsid w:val="00CD5976"/>
    <w:rsid w:val="00CD6111"/>
    <w:rsid w:val="00CD61A8"/>
    <w:rsid w:val="00CD6382"/>
    <w:rsid w:val="00CD640E"/>
    <w:rsid w:val="00CD66D5"/>
    <w:rsid w:val="00CD69CB"/>
    <w:rsid w:val="00CD6C77"/>
    <w:rsid w:val="00CD6E6F"/>
    <w:rsid w:val="00CD6F22"/>
    <w:rsid w:val="00CD70E8"/>
    <w:rsid w:val="00CD74BC"/>
    <w:rsid w:val="00CD7AE7"/>
    <w:rsid w:val="00CD7C08"/>
    <w:rsid w:val="00CD7DDD"/>
    <w:rsid w:val="00CD89DE"/>
    <w:rsid w:val="00CE068E"/>
    <w:rsid w:val="00CE11E1"/>
    <w:rsid w:val="00CE13A6"/>
    <w:rsid w:val="00CE1470"/>
    <w:rsid w:val="00CE15DA"/>
    <w:rsid w:val="00CE170F"/>
    <w:rsid w:val="00CE19EE"/>
    <w:rsid w:val="00CE1EAF"/>
    <w:rsid w:val="00CE1FEF"/>
    <w:rsid w:val="00CE2109"/>
    <w:rsid w:val="00CE21C6"/>
    <w:rsid w:val="00CE2CC0"/>
    <w:rsid w:val="00CE2D5B"/>
    <w:rsid w:val="00CE2D81"/>
    <w:rsid w:val="00CE316B"/>
    <w:rsid w:val="00CE323E"/>
    <w:rsid w:val="00CE32FD"/>
    <w:rsid w:val="00CE3353"/>
    <w:rsid w:val="00CE3BB5"/>
    <w:rsid w:val="00CE3D20"/>
    <w:rsid w:val="00CE3EDC"/>
    <w:rsid w:val="00CE3FD6"/>
    <w:rsid w:val="00CE403E"/>
    <w:rsid w:val="00CE46ED"/>
    <w:rsid w:val="00CE4B83"/>
    <w:rsid w:val="00CE4B8D"/>
    <w:rsid w:val="00CE57A7"/>
    <w:rsid w:val="00CE58F0"/>
    <w:rsid w:val="00CE60A3"/>
    <w:rsid w:val="00CE6324"/>
    <w:rsid w:val="00CE6957"/>
    <w:rsid w:val="00CE6BD4"/>
    <w:rsid w:val="00CE6D2B"/>
    <w:rsid w:val="00CE6EC9"/>
    <w:rsid w:val="00CE7139"/>
    <w:rsid w:val="00CE7275"/>
    <w:rsid w:val="00CE7409"/>
    <w:rsid w:val="00CE740B"/>
    <w:rsid w:val="00CE79AC"/>
    <w:rsid w:val="00CE7B1A"/>
    <w:rsid w:val="00CE7B7B"/>
    <w:rsid w:val="00CE7C86"/>
    <w:rsid w:val="00CF0070"/>
    <w:rsid w:val="00CF015E"/>
    <w:rsid w:val="00CF08E3"/>
    <w:rsid w:val="00CF0926"/>
    <w:rsid w:val="00CF0C79"/>
    <w:rsid w:val="00CF0CA7"/>
    <w:rsid w:val="00CF0D57"/>
    <w:rsid w:val="00CF0F1D"/>
    <w:rsid w:val="00CF1055"/>
    <w:rsid w:val="00CF1137"/>
    <w:rsid w:val="00CF163E"/>
    <w:rsid w:val="00CF179E"/>
    <w:rsid w:val="00CF1913"/>
    <w:rsid w:val="00CF1A1C"/>
    <w:rsid w:val="00CF1B95"/>
    <w:rsid w:val="00CF1D4D"/>
    <w:rsid w:val="00CF219B"/>
    <w:rsid w:val="00CF2204"/>
    <w:rsid w:val="00CF22B1"/>
    <w:rsid w:val="00CF230F"/>
    <w:rsid w:val="00CF28A9"/>
    <w:rsid w:val="00CF29D5"/>
    <w:rsid w:val="00CF2DD1"/>
    <w:rsid w:val="00CF32B0"/>
    <w:rsid w:val="00CF3572"/>
    <w:rsid w:val="00CF3A68"/>
    <w:rsid w:val="00CF3C30"/>
    <w:rsid w:val="00CF473C"/>
    <w:rsid w:val="00CF4A9C"/>
    <w:rsid w:val="00CF4CAD"/>
    <w:rsid w:val="00CF4FB3"/>
    <w:rsid w:val="00CF513A"/>
    <w:rsid w:val="00CF52FF"/>
    <w:rsid w:val="00CF544E"/>
    <w:rsid w:val="00CF59FC"/>
    <w:rsid w:val="00CF5B39"/>
    <w:rsid w:val="00CF5EC9"/>
    <w:rsid w:val="00CF620B"/>
    <w:rsid w:val="00CF6E04"/>
    <w:rsid w:val="00CF6FE5"/>
    <w:rsid w:val="00CF7059"/>
    <w:rsid w:val="00CF708F"/>
    <w:rsid w:val="00CF709A"/>
    <w:rsid w:val="00CF71CF"/>
    <w:rsid w:val="00CF725C"/>
    <w:rsid w:val="00CF7468"/>
    <w:rsid w:val="00CF74A2"/>
    <w:rsid w:val="00CF756A"/>
    <w:rsid w:val="00CF7949"/>
    <w:rsid w:val="00CF7B04"/>
    <w:rsid w:val="00CF7CD7"/>
    <w:rsid w:val="00CF7E22"/>
    <w:rsid w:val="00D00CEC"/>
    <w:rsid w:val="00D0100B"/>
    <w:rsid w:val="00D01018"/>
    <w:rsid w:val="00D0124D"/>
    <w:rsid w:val="00D01285"/>
    <w:rsid w:val="00D014F9"/>
    <w:rsid w:val="00D0160B"/>
    <w:rsid w:val="00D01A1C"/>
    <w:rsid w:val="00D01B29"/>
    <w:rsid w:val="00D01C58"/>
    <w:rsid w:val="00D02135"/>
    <w:rsid w:val="00D021D0"/>
    <w:rsid w:val="00D02403"/>
    <w:rsid w:val="00D026D3"/>
    <w:rsid w:val="00D02961"/>
    <w:rsid w:val="00D030D8"/>
    <w:rsid w:val="00D0313B"/>
    <w:rsid w:val="00D03159"/>
    <w:rsid w:val="00D03253"/>
    <w:rsid w:val="00D03327"/>
    <w:rsid w:val="00D034B2"/>
    <w:rsid w:val="00D034B7"/>
    <w:rsid w:val="00D035C8"/>
    <w:rsid w:val="00D03A92"/>
    <w:rsid w:val="00D03B59"/>
    <w:rsid w:val="00D03C05"/>
    <w:rsid w:val="00D045B0"/>
    <w:rsid w:val="00D046E5"/>
    <w:rsid w:val="00D047CF"/>
    <w:rsid w:val="00D04A48"/>
    <w:rsid w:val="00D04ECC"/>
    <w:rsid w:val="00D04F0D"/>
    <w:rsid w:val="00D051EB"/>
    <w:rsid w:val="00D052D3"/>
    <w:rsid w:val="00D053B7"/>
    <w:rsid w:val="00D05462"/>
    <w:rsid w:val="00D056A9"/>
    <w:rsid w:val="00D05B62"/>
    <w:rsid w:val="00D05D40"/>
    <w:rsid w:val="00D0621E"/>
    <w:rsid w:val="00D06E8E"/>
    <w:rsid w:val="00D06EB0"/>
    <w:rsid w:val="00D07149"/>
    <w:rsid w:val="00D07268"/>
    <w:rsid w:val="00D072E0"/>
    <w:rsid w:val="00D073B8"/>
    <w:rsid w:val="00D07E16"/>
    <w:rsid w:val="00D10212"/>
    <w:rsid w:val="00D10502"/>
    <w:rsid w:val="00D10832"/>
    <w:rsid w:val="00D10973"/>
    <w:rsid w:val="00D10A43"/>
    <w:rsid w:val="00D10B4B"/>
    <w:rsid w:val="00D1105A"/>
    <w:rsid w:val="00D1137A"/>
    <w:rsid w:val="00D11453"/>
    <w:rsid w:val="00D11758"/>
    <w:rsid w:val="00D11F31"/>
    <w:rsid w:val="00D12384"/>
    <w:rsid w:val="00D123C4"/>
    <w:rsid w:val="00D1259E"/>
    <w:rsid w:val="00D1260D"/>
    <w:rsid w:val="00D12690"/>
    <w:rsid w:val="00D127F3"/>
    <w:rsid w:val="00D12A0D"/>
    <w:rsid w:val="00D13216"/>
    <w:rsid w:val="00D133C8"/>
    <w:rsid w:val="00D13454"/>
    <w:rsid w:val="00D13635"/>
    <w:rsid w:val="00D13AC0"/>
    <w:rsid w:val="00D13C7F"/>
    <w:rsid w:val="00D13D01"/>
    <w:rsid w:val="00D1404F"/>
    <w:rsid w:val="00D14293"/>
    <w:rsid w:val="00D14451"/>
    <w:rsid w:val="00D144C5"/>
    <w:rsid w:val="00D14906"/>
    <w:rsid w:val="00D14F58"/>
    <w:rsid w:val="00D14F76"/>
    <w:rsid w:val="00D153D1"/>
    <w:rsid w:val="00D1549A"/>
    <w:rsid w:val="00D15694"/>
    <w:rsid w:val="00D156B7"/>
    <w:rsid w:val="00D15F6E"/>
    <w:rsid w:val="00D16276"/>
    <w:rsid w:val="00D1629F"/>
    <w:rsid w:val="00D16649"/>
    <w:rsid w:val="00D167E1"/>
    <w:rsid w:val="00D16BF8"/>
    <w:rsid w:val="00D16C95"/>
    <w:rsid w:val="00D16F82"/>
    <w:rsid w:val="00D172DB"/>
    <w:rsid w:val="00D1749E"/>
    <w:rsid w:val="00D1758B"/>
    <w:rsid w:val="00D175C1"/>
    <w:rsid w:val="00D2008F"/>
    <w:rsid w:val="00D203B6"/>
    <w:rsid w:val="00D20532"/>
    <w:rsid w:val="00D20C34"/>
    <w:rsid w:val="00D20D9A"/>
    <w:rsid w:val="00D21293"/>
    <w:rsid w:val="00D212B3"/>
    <w:rsid w:val="00D21A2E"/>
    <w:rsid w:val="00D21DC2"/>
    <w:rsid w:val="00D21FD0"/>
    <w:rsid w:val="00D22123"/>
    <w:rsid w:val="00D22273"/>
    <w:rsid w:val="00D22309"/>
    <w:rsid w:val="00D224DC"/>
    <w:rsid w:val="00D224F8"/>
    <w:rsid w:val="00D2287E"/>
    <w:rsid w:val="00D228F3"/>
    <w:rsid w:val="00D22946"/>
    <w:rsid w:val="00D229A3"/>
    <w:rsid w:val="00D231F5"/>
    <w:rsid w:val="00D23233"/>
    <w:rsid w:val="00D23950"/>
    <w:rsid w:val="00D239A7"/>
    <w:rsid w:val="00D23E39"/>
    <w:rsid w:val="00D244DA"/>
    <w:rsid w:val="00D2504D"/>
    <w:rsid w:val="00D25132"/>
    <w:rsid w:val="00D2529C"/>
    <w:rsid w:val="00D256CF"/>
    <w:rsid w:val="00D26039"/>
    <w:rsid w:val="00D2625E"/>
    <w:rsid w:val="00D262FF"/>
    <w:rsid w:val="00D26394"/>
    <w:rsid w:val="00D264E1"/>
    <w:rsid w:val="00D2671D"/>
    <w:rsid w:val="00D26906"/>
    <w:rsid w:val="00D2694D"/>
    <w:rsid w:val="00D26971"/>
    <w:rsid w:val="00D26A68"/>
    <w:rsid w:val="00D26BE0"/>
    <w:rsid w:val="00D26D1A"/>
    <w:rsid w:val="00D271B4"/>
    <w:rsid w:val="00D27510"/>
    <w:rsid w:val="00D2756D"/>
    <w:rsid w:val="00D27AFA"/>
    <w:rsid w:val="00D27FA9"/>
    <w:rsid w:val="00D30383"/>
    <w:rsid w:val="00D304F6"/>
    <w:rsid w:val="00D30582"/>
    <w:rsid w:val="00D3059E"/>
    <w:rsid w:val="00D30D22"/>
    <w:rsid w:val="00D30D7F"/>
    <w:rsid w:val="00D30E41"/>
    <w:rsid w:val="00D3126F"/>
    <w:rsid w:val="00D317CD"/>
    <w:rsid w:val="00D31D01"/>
    <w:rsid w:val="00D31DBA"/>
    <w:rsid w:val="00D3241A"/>
    <w:rsid w:val="00D3257E"/>
    <w:rsid w:val="00D325EF"/>
    <w:rsid w:val="00D32B17"/>
    <w:rsid w:val="00D32C67"/>
    <w:rsid w:val="00D32C74"/>
    <w:rsid w:val="00D330D7"/>
    <w:rsid w:val="00D33378"/>
    <w:rsid w:val="00D338FA"/>
    <w:rsid w:val="00D33ADE"/>
    <w:rsid w:val="00D33B11"/>
    <w:rsid w:val="00D33F73"/>
    <w:rsid w:val="00D34209"/>
    <w:rsid w:val="00D3460F"/>
    <w:rsid w:val="00D3464E"/>
    <w:rsid w:val="00D3477A"/>
    <w:rsid w:val="00D347E9"/>
    <w:rsid w:val="00D34CAF"/>
    <w:rsid w:val="00D34DDB"/>
    <w:rsid w:val="00D352B3"/>
    <w:rsid w:val="00D35325"/>
    <w:rsid w:val="00D357C0"/>
    <w:rsid w:val="00D3651C"/>
    <w:rsid w:val="00D36F79"/>
    <w:rsid w:val="00D3767E"/>
    <w:rsid w:val="00D3770F"/>
    <w:rsid w:val="00D37B07"/>
    <w:rsid w:val="00D37E3B"/>
    <w:rsid w:val="00D37E4E"/>
    <w:rsid w:val="00D402EA"/>
    <w:rsid w:val="00D40708"/>
    <w:rsid w:val="00D409A7"/>
    <w:rsid w:val="00D40CF3"/>
    <w:rsid w:val="00D40F68"/>
    <w:rsid w:val="00D40FB7"/>
    <w:rsid w:val="00D41591"/>
    <w:rsid w:val="00D41865"/>
    <w:rsid w:val="00D421E5"/>
    <w:rsid w:val="00D42398"/>
    <w:rsid w:val="00D42431"/>
    <w:rsid w:val="00D428AB"/>
    <w:rsid w:val="00D430B4"/>
    <w:rsid w:val="00D430D7"/>
    <w:rsid w:val="00D4356A"/>
    <w:rsid w:val="00D438D3"/>
    <w:rsid w:val="00D43C48"/>
    <w:rsid w:val="00D43E39"/>
    <w:rsid w:val="00D43ECC"/>
    <w:rsid w:val="00D44013"/>
    <w:rsid w:val="00D44044"/>
    <w:rsid w:val="00D44078"/>
    <w:rsid w:val="00D441D5"/>
    <w:rsid w:val="00D44482"/>
    <w:rsid w:val="00D44542"/>
    <w:rsid w:val="00D44BCC"/>
    <w:rsid w:val="00D453CF"/>
    <w:rsid w:val="00D45C3E"/>
    <w:rsid w:val="00D45C53"/>
    <w:rsid w:val="00D45CA2"/>
    <w:rsid w:val="00D45DE9"/>
    <w:rsid w:val="00D460AF"/>
    <w:rsid w:val="00D46168"/>
    <w:rsid w:val="00D46423"/>
    <w:rsid w:val="00D4649D"/>
    <w:rsid w:val="00D466CA"/>
    <w:rsid w:val="00D475E5"/>
    <w:rsid w:val="00D477A0"/>
    <w:rsid w:val="00D47A7B"/>
    <w:rsid w:val="00D47D67"/>
    <w:rsid w:val="00D47F02"/>
    <w:rsid w:val="00D507F2"/>
    <w:rsid w:val="00D50B4C"/>
    <w:rsid w:val="00D511BE"/>
    <w:rsid w:val="00D5149A"/>
    <w:rsid w:val="00D514AF"/>
    <w:rsid w:val="00D51559"/>
    <w:rsid w:val="00D51CCB"/>
    <w:rsid w:val="00D51DD0"/>
    <w:rsid w:val="00D52428"/>
    <w:rsid w:val="00D52521"/>
    <w:rsid w:val="00D525FB"/>
    <w:rsid w:val="00D5297F"/>
    <w:rsid w:val="00D52AE3"/>
    <w:rsid w:val="00D52DC2"/>
    <w:rsid w:val="00D53953"/>
    <w:rsid w:val="00D539C4"/>
    <w:rsid w:val="00D53D24"/>
    <w:rsid w:val="00D53F9A"/>
    <w:rsid w:val="00D54406"/>
    <w:rsid w:val="00D54F95"/>
    <w:rsid w:val="00D553E4"/>
    <w:rsid w:val="00D55561"/>
    <w:rsid w:val="00D55589"/>
    <w:rsid w:val="00D55FCB"/>
    <w:rsid w:val="00D56216"/>
    <w:rsid w:val="00D5654D"/>
    <w:rsid w:val="00D568E9"/>
    <w:rsid w:val="00D56AC6"/>
    <w:rsid w:val="00D56D26"/>
    <w:rsid w:val="00D56E26"/>
    <w:rsid w:val="00D5702A"/>
    <w:rsid w:val="00D570AA"/>
    <w:rsid w:val="00D57175"/>
    <w:rsid w:val="00D57210"/>
    <w:rsid w:val="00D576B6"/>
    <w:rsid w:val="00D57D8E"/>
    <w:rsid w:val="00D601CF"/>
    <w:rsid w:val="00D60249"/>
    <w:rsid w:val="00D602A4"/>
    <w:rsid w:val="00D602BA"/>
    <w:rsid w:val="00D60BE2"/>
    <w:rsid w:val="00D60F42"/>
    <w:rsid w:val="00D61004"/>
    <w:rsid w:val="00D610C7"/>
    <w:rsid w:val="00D61190"/>
    <w:rsid w:val="00D61385"/>
    <w:rsid w:val="00D61580"/>
    <w:rsid w:val="00D616CB"/>
    <w:rsid w:val="00D61A9E"/>
    <w:rsid w:val="00D61C53"/>
    <w:rsid w:val="00D61DA2"/>
    <w:rsid w:val="00D620E3"/>
    <w:rsid w:val="00D623B3"/>
    <w:rsid w:val="00D62606"/>
    <w:rsid w:val="00D62803"/>
    <w:rsid w:val="00D628BC"/>
    <w:rsid w:val="00D628C1"/>
    <w:rsid w:val="00D62DB1"/>
    <w:rsid w:val="00D6329E"/>
    <w:rsid w:val="00D6374E"/>
    <w:rsid w:val="00D640A5"/>
    <w:rsid w:val="00D64172"/>
    <w:rsid w:val="00D64337"/>
    <w:rsid w:val="00D6464A"/>
    <w:rsid w:val="00D64A30"/>
    <w:rsid w:val="00D64DDC"/>
    <w:rsid w:val="00D64FB3"/>
    <w:rsid w:val="00D650C8"/>
    <w:rsid w:val="00D651B3"/>
    <w:rsid w:val="00D65301"/>
    <w:rsid w:val="00D65322"/>
    <w:rsid w:val="00D654BD"/>
    <w:rsid w:val="00D6564E"/>
    <w:rsid w:val="00D65EC6"/>
    <w:rsid w:val="00D665BA"/>
    <w:rsid w:val="00D66929"/>
    <w:rsid w:val="00D66B0D"/>
    <w:rsid w:val="00D66FEC"/>
    <w:rsid w:val="00D675D8"/>
    <w:rsid w:val="00D6764E"/>
    <w:rsid w:val="00D67B2E"/>
    <w:rsid w:val="00D70161"/>
    <w:rsid w:val="00D70476"/>
    <w:rsid w:val="00D708E9"/>
    <w:rsid w:val="00D70950"/>
    <w:rsid w:val="00D70A6A"/>
    <w:rsid w:val="00D70B86"/>
    <w:rsid w:val="00D7127E"/>
    <w:rsid w:val="00D714D9"/>
    <w:rsid w:val="00D718E6"/>
    <w:rsid w:val="00D71A97"/>
    <w:rsid w:val="00D72175"/>
    <w:rsid w:val="00D721AB"/>
    <w:rsid w:val="00D72370"/>
    <w:rsid w:val="00D723F1"/>
    <w:rsid w:val="00D7242D"/>
    <w:rsid w:val="00D726CC"/>
    <w:rsid w:val="00D72C23"/>
    <w:rsid w:val="00D72CFE"/>
    <w:rsid w:val="00D72FCF"/>
    <w:rsid w:val="00D73274"/>
    <w:rsid w:val="00D73363"/>
    <w:rsid w:val="00D734C5"/>
    <w:rsid w:val="00D73FBE"/>
    <w:rsid w:val="00D74001"/>
    <w:rsid w:val="00D7442D"/>
    <w:rsid w:val="00D74601"/>
    <w:rsid w:val="00D74686"/>
    <w:rsid w:val="00D7476B"/>
    <w:rsid w:val="00D74877"/>
    <w:rsid w:val="00D74C40"/>
    <w:rsid w:val="00D74C74"/>
    <w:rsid w:val="00D74CD3"/>
    <w:rsid w:val="00D74EA5"/>
    <w:rsid w:val="00D751A9"/>
    <w:rsid w:val="00D758FE"/>
    <w:rsid w:val="00D75D35"/>
    <w:rsid w:val="00D75E3B"/>
    <w:rsid w:val="00D7619B"/>
    <w:rsid w:val="00D8020E"/>
    <w:rsid w:val="00D802C0"/>
    <w:rsid w:val="00D8054F"/>
    <w:rsid w:val="00D81120"/>
    <w:rsid w:val="00D8142E"/>
    <w:rsid w:val="00D81651"/>
    <w:rsid w:val="00D817C3"/>
    <w:rsid w:val="00D819B7"/>
    <w:rsid w:val="00D81B37"/>
    <w:rsid w:val="00D81C0E"/>
    <w:rsid w:val="00D82348"/>
    <w:rsid w:val="00D82440"/>
    <w:rsid w:val="00D82BAC"/>
    <w:rsid w:val="00D83008"/>
    <w:rsid w:val="00D8340F"/>
    <w:rsid w:val="00D836C1"/>
    <w:rsid w:val="00D83AFA"/>
    <w:rsid w:val="00D83B8E"/>
    <w:rsid w:val="00D84407"/>
    <w:rsid w:val="00D84E20"/>
    <w:rsid w:val="00D852FC"/>
    <w:rsid w:val="00D85404"/>
    <w:rsid w:val="00D8547D"/>
    <w:rsid w:val="00D85541"/>
    <w:rsid w:val="00D85690"/>
    <w:rsid w:val="00D85693"/>
    <w:rsid w:val="00D85821"/>
    <w:rsid w:val="00D85A1E"/>
    <w:rsid w:val="00D85AA3"/>
    <w:rsid w:val="00D85E2B"/>
    <w:rsid w:val="00D8643F"/>
    <w:rsid w:val="00D86CE6"/>
    <w:rsid w:val="00D86D29"/>
    <w:rsid w:val="00D86DAD"/>
    <w:rsid w:val="00D86F75"/>
    <w:rsid w:val="00D8702F"/>
    <w:rsid w:val="00D870B2"/>
    <w:rsid w:val="00D87614"/>
    <w:rsid w:val="00D87AA1"/>
    <w:rsid w:val="00D9036F"/>
    <w:rsid w:val="00D903F6"/>
    <w:rsid w:val="00D90442"/>
    <w:rsid w:val="00D906BD"/>
    <w:rsid w:val="00D90B75"/>
    <w:rsid w:val="00D90E6D"/>
    <w:rsid w:val="00D910C4"/>
    <w:rsid w:val="00D913E6"/>
    <w:rsid w:val="00D91729"/>
    <w:rsid w:val="00D91A98"/>
    <w:rsid w:val="00D91AFB"/>
    <w:rsid w:val="00D91FD3"/>
    <w:rsid w:val="00D923C6"/>
    <w:rsid w:val="00D92490"/>
    <w:rsid w:val="00D925FB"/>
    <w:rsid w:val="00D9273D"/>
    <w:rsid w:val="00D92AED"/>
    <w:rsid w:val="00D93092"/>
    <w:rsid w:val="00D93093"/>
    <w:rsid w:val="00D93278"/>
    <w:rsid w:val="00D9327C"/>
    <w:rsid w:val="00D93310"/>
    <w:rsid w:val="00D9339F"/>
    <w:rsid w:val="00D9451E"/>
    <w:rsid w:val="00D94C0A"/>
    <w:rsid w:val="00D94D74"/>
    <w:rsid w:val="00D94F39"/>
    <w:rsid w:val="00D95293"/>
    <w:rsid w:val="00D9534D"/>
    <w:rsid w:val="00D9540E"/>
    <w:rsid w:val="00D954E7"/>
    <w:rsid w:val="00D9568A"/>
    <w:rsid w:val="00D956C7"/>
    <w:rsid w:val="00D956EA"/>
    <w:rsid w:val="00D95AB7"/>
    <w:rsid w:val="00D95C0B"/>
    <w:rsid w:val="00D95E89"/>
    <w:rsid w:val="00D95EB6"/>
    <w:rsid w:val="00D967DE"/>
    <w:rsid w:val="00D96C4D"/>
    <w:rsid w:val="00D96D66"/>
    <w:rsid w:val="00D96E9C"/>
    <w:rsid w:val="00D972E8"/>
    <w:rsid w:val="00D97617"/>
    <w:rsid w:val="00D97A98"/>
    <w:rsid w:val="00D97F89"/>
    <w:rsid w:val="00DA0258"/>
    <w:rsid w:val="00DA0D9B"/>
    <w:rsid w:val="00DA15F5"/>
    <w:rsid w:val="00DA174D"/>
    <w:rsid w:val="00DA19E1"/>
    <w:rsid w:val="00DA1C4B"/>
    <w:rsid w:val="00DA1CD6"/>
    <w:rsid w:val="00DA1D8A"/>
    <w:rsid w:val="00DA1DE5"/>
    <w:rsid w:val="00DA2785"/>
    <w:rsid w:val="00DA2F77"/>
    <w:rsid w:val="00DA33CF"/>
    <w:rsid w:val="00DA3495"/>
    <w:rsid w:val="00DA38B9"/>
    <w:rsid w:val="00DA39AC"/>
    <w:rsid w:val="00DA3A92"/>
    <w:rsid w:val="00DA3B9F"/>
    <w:rsid w:val="00DA3C4E"/>
    <w:rsid w:val="00DA3C8D"/>
    <w:rsid w:val="00DA3D9A"/>
    <w:rsid w:val="00DA3EEA"/>
    <w:rsid w:val="00DA4474"/>
    <w:rsid w:val="00DA45B0"/>
    <w:rsid w:val="00DA498E"/>
    <w:rsid w:val="00DA4CDB"/>
    <w:rsid w:val="00DA55A8"/>
    <w:rsid w:val="00DA567C"/>
    <w:rsid w:val="00DA57A5"/>
    <w:rsid w:val="00DA602D"/>
    <w:rsid w:val="00DA63D8"/>
    <w:rsid w:val="00DA66DB"/>
    <w:rsid w:val="00DA6C6E"/>
    <w:rsid w:val="00DA703F"/>
    <w:rsid w:val="00DA7160"/>
    <w:rsid w:val="00DA7232"/>
    <w:rsid w:val="00DA7BEC"/>
    <w:rsid w:val="00DB004D"/>
    <w:rsid w:val="00DB00DF"/>
    <w:rsid w:val="00DB029C"/>
    <w:rsid w:val="00DB02ED"/>
    <w:rsid w:val="00DB0BA1"/>
    <w:rsid w:val="00DB11EF"/>
    <w:rsid w:val="00DB1237"/>
    <w:rsid w:val="00DB172F"/>
    <w:rsid w:val="00DB1C4E"/>
    <w:rsid w:val="00DB1CB3"/>
    <w:rsid w:val="00DB1D66"/>
    <w:rsid w:val="00DB1DB3"/>
    <w:rsid w:val="00DB1DE1"/>
    <w:rsid w:val="00DB1F09"/>
    <w:rsid w:val="00DB2439"/>
    <w:rsid w:val="00DB2704"/>
    <w:rsid w:val="00DB2B03"/>
    <w:rsid w:val="00DB3360"/>
    <w:rsid w:val="00DB36CF"/>
    <w:rsid w:val="00DB3A3D"/>
    <w:rsid w:val="00DB3B16"/>
    <w:rsid w:val="00DB3BD0"/>
    <w:rsid w:val="00DB453E"/>
    <w:rsid w:val="00DB4977"/>
    <w:rsid w:val="00DB4CC9"/>
    <w:rsid w:val="00DB505C"/>
    <w:rsid w:val="00DB56AC"/>
    <w:rsid w:val="00DB5AC6"/>
    <w:rsid w:val="00DB608E"/>
    <w:rsid w:val="00DB6298"/>
    <w:rsid w:val="00DB668A"/>
    <w:rsid w:val="00DB6794"/>
    <w:rsid w:val="00DB6A44"/>
    <w:rsid w:val="00DB6C08"/>
    <w:rsid w:val="00DB6C3A"/>
    <w:rsid w:val="00DB6E33"/>
    <w:rsid w:val="00DB73A0"/>
    <w:rsid w:val="00DB73F3"/>
    <w:rsid w:val="00DB77F8"/>
    <w:rsid w:val="00DB7AB5"/>
    <w:rsid w:val="00DB7B95"/>
    <w:rsid w:val="00DB7F84"/>
    <w:rsid w:val="00DB7FB4"/>
    <w:rsid w:val="00DC0381"/>
    <w:rsid w:val="00DC043D"/>
    <w:rsid w:val="00DC046D"/>
    <w:rsid w:val="00DC0596"/>
    <w:rsid w:val="00DC09EF"/>
    <w:rsid w:val="00DC0A4E"/>
    <w:rsid w:val="00DC0A63"/>
    <w:rsid w:val="00DC0B6F"/>
    <w:rsid w:val="00DC1576"/>
    <w:rsid w:val="00DC15E6"/>
    <w:rsid w:val="00DC1C97"/>
    <w:rsid w:val="00DC258A"/>
    <w:rsid w:val="00DC25E6"/>
    <w:rsid w:val="00DC2BFB"/>
    <w:rsid w:val="00DC2C3B"/>
    <w:rsid w:val="00DC2E26"/>
    <w:rsid w:val="00DC309C"/>
    <w:rsid w:val="00DC4073"/>
    <w:rsid w:val="00DC42E6"/>
    <w:rsid w:val="00DC4429"/>
    <w:rsid w:val="00DC4832"/>
    <w:rsid w:val="00DC4E09"/>
    <w:rsid w:val="00DC4E56"/>
    <w:rsid w:val="00DC5279"/>
    <w:rsid w:val="00DC5B60"/>
    <w:rsid w:val="00DC664F"/>
    <w:rsid w:val="00DC6BA5"/>
    <w:rsid w:val="00DC71E1"/>
    <w:rsid w:val="00DC7273"/>
    <w:rsid w:val="00DC7E02"/>
    <w:rsid w:val="00DD0046"/>
    <w:rsid w:val="00DD06D1"/>
    <w:rsid w:val="00DD1006"/>
    <w:rsid w:val="00DD11C8"/>
    <w:rsid w:val="00DD1252"/>
    <w:rsid w:val="00DD12CB"/>
    <w:rsid w:val="00DD18D9"/>
    <w:rsid w:val="00DD1AEB"/>
    <w:rsid w:val="00DD2099"/>
    <w:rsid w:val="00DD2476"/>
    <w:rsid w:val="00DD2584"/>
    <w:rsid w:val="00DD2A01"/>
    <w:rsid w:val="00DD2A72"/>
    <w:rsid w:val="00DD2BB8"/>
    <w:rsid w:val="00DD3471"/>
    <w:rsid w:val="00DD3512"/>
    <w:rsid w:val="00DD38A7"/>
    <w:rsid w:val="00DD3FF9"/>
    <w:rsid w:val="00DD470D"/>
    <w:rsid w:val="00DD4B0E"/>
    <w:rsid w:val="00DD4C33"/>
    <w:rsid w:val="00DD4CE8"/>
    <w:rsid w:val="00DD4D9E"/>
    <w:rsid w:val="00DD4F9F"/>
    <w:rsid w:val="00DD534D"/>
    <w:rsid w:val="00DD53EE"/>
    <w:rsid w:val="00DD5558"/>
    <w:rsid w:val="00DD55B6"/>
    <w:rsid w:val="00DD56BC"/>
    <w:rsid w:val="00DD5AB5"/>
    <w:rsid w:val="00DD5B11"/>
    <w:rsid w:val="00DD5B79"/>
    <w:rsid w:val="00DD5BE7"/>
    <w:rsid w:val="00DD62F4"/>
    <w:rsid w:val="00DD63EF"/>
    <w:rsid w:val="00DD648C"/>
    <w:rsid w:val="00DD65FF"/>
    <w:rsid w:val="00DD69F1"/>
    <w:rsid w:val="00DD6A1A"/>
    <w:rsid w:val="00DD6D6D"/>
    <w:rsid w:val="00DD7372"/>
    <w:rsid w:val="00DD74F3"/>
    <w:rsid w:val="00DD78E1"/>
    <w:rsid w:val="00DE0036"/>
    <w:rsid w:val="00DE00E3"/>
    <w:rsid w:val="00DE024D"/>
    <w:rsid w:val="00DE075D"/>
    <w:rsid w:val="00DE08A3"/>
    <w:rsid w:val="00DE09C0"/>
    <w:rsid w:val="00DE0ADB"/>
    <w:rsid w:val="00DE0D74"/>
    <w:rsid w:val="00DE0E73"/>
    <w:rsid w:val="00DE1047"/>
    <w:rsid w:val="00DE12BF"/>
    <w:rsid w:val="00DE1449"/>
    <w:rsid w:val="00DE15AA"/>
    <w:rsid w:val="00DE22A1"/>
    <w:rsid w:val="00DE25A9"/>
    <w:rsid w:val="00DE2F5E"/>
    <w:rsid w:val="00DE3535"/>
    <w:rsid w:val="00DE37C4"/>
    <w:rsid w:val="00DE3BF7"/>
    <w:rsid w:val="00DE4035"/>
    <w:rsid w:val="00DE44F1"/>
    <w:rsid w:val="00DE4757"/>
    <w:rsid w:val="00DE48B7"/>
    <w:rsid w:val="00DE4A9F"/>
    <w:rsid w:val="00DE4D0F"/>
    <w:rsid w:val="00DE4E4E"/>
    <w:rsid w:val="00DE50BC"/>
    <w:rsid w:val="00DE564D"/>
    <w:rsid w:val="00DE5877"/>
    <w:rsid w:val="00DE5FCB"/>
    <w:rsid w:val="00DE61E4"/>
    <w:rsid w:val="00DE6253"/>
    <w:rsid w:val="00DE65A1"/>
    <w:rsid w:val="00DE6759"/>
    <w:rsid w:val="00DE6906"/>
    <w:rsid w:val="00DE6BF5"/>
    <w:rsid w:val="00DE6CCB"/>
    <w:rsid w:val="00DE77F6"/>
    <w:rsid w:val="00DE7823"/>
    <w:rsid w:val="00DF0261"/>
    <w:rsid w:val="00DF0635"/>
    <w:rsid w:val="00DF0AE8"/>
    <w:rsid w:val="00DF0B96"/>
    <w:rsid w:val="00DF0CD4"/>
    <w:rsid w:val="00DF0CE5"/>
    <w:rsid w:val="00DF0E5C"/>
    <w:rsid w:val="00DF10F9"/>
    <w:rsid w:val="00DF1188"/>
    <w:rsid w:val="00DF1300"/>
    <w:rsid w:val="00DF178B"/>
    <w:rsid w:val="00DF19DC"/>
    <w:rsid w:val="00DF1ADB"/>
    <w:rsid w:val="00DF1F21"/>
    <w:rsid w:val="00DF2561"/>
    <w:rsid w:val="00DF2607"/>
    <w:rsid w:val="00DF2662"/>
    <w:rsid w:val="00DF276D"/>
    <w:rsid w:val="00DF2C14"/>
    <w:rsid w:val="00DF2DFC"/>
    <w:rsid w:val="00DF2F6C"/>
    <w:rsid w:val="00DF3625"/>
    <w:rsid w:val="00DF371E"/>
    <w:rsid w:val="00DF372E"/>
    <w:rsid w:val="00DF3945"/>
    <w:rsid w:val="00DF3E10"/>
    <w:rsid w:val="00DF3EF6"/>
    <w:rsid w:val="00DF4063"/>
    <w:rsid w:val="00DF41FB"/>
    <w:rsid w:val="00DF472F"/>
    <w:rsid w:val="00DF4764"/>
    <w:rsid w:val="00DF4BE1"/>
    <w:rsid w:val="00DF5014"/>
    <w:rsid w:val="00DF5785"/>
    <w:rsid w:val="00DF581E"/>
    <w:rsid w:val="00DF5E2E"/>
    <w:rsid w:val="00DF6000"/>
    <w:rsid w:val="00DF63A5"/>
    <w:rsid w:val="00DF6CFA"/>
    <w:rsid w:val="00DF78CA"/>
    <w:rsid w:val="00DF7E07"/>
    <w:rsid w:val="00E00285"/>
    <w:rsid w:val="00E00AA8"/>
    <w:rsid w:val="00E00BF5"/>
    <w:rsid w:val="00E00D90"/>
    <w:rsid w:val="00E00FD0"/>
    <w:rsid w:val="00E01036"/>
    <w:rsid w:val="00E014CA"/>
    <w:rsid w:val="00E0178D"/>
    <w:rsid w:val="00E018E3"/>
    <w:rsid w:val="00E01900"/>
    <w:rsid w:val="00E01CBB"/>
    <w:rsid w:val="00E01D3D"/>
    <w:rsid w:val="00E01D4E"/>
    <w:rsid w:val="00E0251F"/>
    <w:rsid w:val="00E02881"/>
    <w:rsid w:val="00E02E3F"/>
    <w:rsid w:val="00E0323D"/>
    <w:rsid w:val="00E032F8"/>
    <w:rsid w:val="00E034F0"/>
    <w:rsid w:val="00E03548"/>
    <w:rsid w:val="00E0418C"/>
    <w:rsid w:val="00E042A9"/>
    <w:rsid w:val="00E045F9"/>
    <w:rsid w:val="00E04938"/>
    <w:rsid w:val="00E04E63"/>
    <w:rsid w:val="00E0514D"/>
    <w:rsid w:val="00E052F4"/>
    <w:rsid w:val="00E0566D"/>
    <w:rsid w:val="00E05849"/>
    <w:rsid w:val="00E05B3B"/>
    <w:rsid w:val="00E05B76"/>
    <w:rsid w:val="00E05B8D"/>
    <w:rsid w:val="00E05F20"/>
    <w:rsid w:val="00E05FF8"/>
    <w:rsid w:val="00E06226"/>
    <w:rsid w:val="00E0643D"/>
    <w:rsid w:val="00E06B8A"/>
    <w:rsid w:val="00E06E59"/>
    <w:rsid w:val="00E070C0"/>
    <w:rsid w:val="00E071DA"/>
    <w:rsid w:val="00E07A92"/>
    <w:rsid w:val="00E07B57"/>
    <w:rsid w:val="00E07BA1"/>
    <w:rsid w:val="00E07C33"/>
    <w:rsid w:val="00E07C77"/>
    <w:rsid w:val="00E07CCB"/>
    <w:rsid w:val="00E07FD1"/>
    <w:rsid w:val="00E100E5"/>
    <w:rsid w:val="00E104DE"/>
    <w:rsid w:val="00E1051E"/>
    <w:rsid w:val="00E106ED"/>
    <w:rsid w:val="00E107CA"/>
    <w:rsid w:val="00E107D0"/>
    <w:rsid w:val="00E10D0B"/>
    <w:rsid w:val="00E10F89"/>
    <w:rsid w:val="00E111F1"/>
    <w:rsid w:val="00E1180C"/>
    <w:rsid w:val="00E11811"/>
    <w:rsid w:val="00E11872"/>
    <w:rsid w:val="00E11AC4"/>
    <w:rsid w:val="00E11D0F"/>
    <w:rsid w:val="00E11FA9"/>
    <w:rsid w:val="00E12081"/>
    <w:rsid w:val="00E1227F"/>
    <w:rsid w:val="00E12437"/>
    <w:rsid w:val="00E132E2"/>
    <w:rsid w:val="00E13325"/>
    <w:rsid w:val="00E13493"/>
    <w:rsid w:val="00E13624"/>
    <w:rsid w:val="00E1369A"/>
    <w:rsid w:val="00E1370A"/>
    <w:rsid w:val="00E13D1F"/>
    <w:rsid w:val="00E13D90"/>
    <w:rsid w:val="00E13F34"/>
    <w:rsid w:val="00E143ED"/>
    <w:rsid w:val="00E14A9A"/>
    <w:rsid w:val="00E14F70"/>
    <w:rsid w:val="00E15216"/>
    <w:rsid w:val="00E15268"/>
    <w:rsid w:val="00E1539C"/>
    <w:rsid w:val="00E154E6"/>
    <w:rsid w:val="00E1589A"/>
    <w:rsid w:val="00E15984"/>
    <w:rsid w:val="00E15CF8"/>
    <w:rsid w:val="00E165E9"/>
    <w:rsid w:val="00E171FF"/>
    <w:rsid w:val="00E1729A"/>
    <w:rsid w:val="00E1756B"/>
    <w:rsid w:val="00E176D5"/>
    <w:rsid w:val="00E177F1"/>
    <w:rsid w:val="00E17938"/>
    <w:rsid w:val="00E17975"/>
    <w:rsid w:val="00E17D76"/>
    <w:rsid w:val="00E17EDE"/>
    <w:rsid w:val="00E17F9F"/>
    <w:rsid w:val="00E202D4"/>
    <w:rsid w:val="00E20458"/>
    <w:rsid w:val="00E206B0"/>
    <w:rsid w:val="00E208BE"/>
    <w:rsid w:val="00E20926"/>
    <w:rsid w:val="00E20AF4"/>
    <w:rsid w:val="00E20C73"/>
    <w:rsid w:val="00E20D3D"/>
    <w:rsid w:val="00E20DD3"/>
    <w:rsid w:val="00E20FAD"/>
    <w:rsid w:val="00E2105E"/>
    <w:rsid w:val="00E212EC"/>
    <w:rsid w:val="00E2147A"/>
    <w:rsid w:val="00E2159A"/>
    <w:rsid w:val="00E21651"/>
    <w:rsid w:val="00E217C4"/>
    <w:rsid w:val="00E217F0"/>
    <w:rsid w:val="00E21B27"/>
    <w:rsid w:val="00E220DC"/>
    <w:rsid w:val="00E22113"/>
    <w:rsid w:val="00E221F3"/>
    <w:rsid w:val="00E222A0"/>
    <w:rsid w:val="00E22911"/>
    <w:rsid w:val="00E22C8A"/>
    <w:rsid w:val="00E231EB"/>
    <w:rsid w:val="00E23574"/>
    <w:rsid w:val="00E23888"/>
    <w:rsid w:val="00E23BE0"/>
    <w:rsid w:val="00E23C6E"/>
    <w:rsid w:val="00E23E27"/>
    <w:rsid w:val="00E24361"/>
    <w:rsid w:val="00E2448A"/>
    <w:rsid w:val="00E24600"/>
    <w:rsid w:val="00E2473A"/>
    <w:rsid w:val="00E247E5"/>
    <w:rsid w:val="00E25BA0"/>
    <w:rsid w:val="00E25D72"/>
    <w:rsid w:val="00E26016"/>
    <w:rsid w:val="00E2606F"/>
    <w:rsid w:val="00E2659E"/>
    <w:rsid w:val="00E269FC"/>
    <w:rsid w:val="00E26E54"/>
    <w:rsid w:val="00E27569"/>
    <w:rsid w:val="00E27D07"/>
    <w:rsid w:val="00E30220"/>
    <w:rsid w:val="00E3026C"/>
    <w:rsid w:val="00E305BF"/>
    <w:rsid w:val="00E3076F"/>
    <w:rsid w:val="00E3083A"/>
    <w:rsid w:val="00E308AE"/>
    <w:rsid w:val="00E30AA3"/>
    <w:rsid w:val="00E30D58"/>
    <w:rsid w:val="00E30E2C"/>
    <w:rsid w:val="00E31129"/>
    <w:rsid w:val="00E3112D"/>
    <w:rsid w:val="00E3146C"/>
    <w:rsid w:val="00E315E4"/>
    <w:rsid w:val="00E316EA"/>
    <w:rsid w:val="00E318E0"/>
    <w:rsid w:val="00E31E8A"/>
    <w:rsid w:val="00E322A8"/>
    <w:rsid w:val="00E32576"/>
    <w:rsid w:val="00E3388E"/>
    <w:rsid w:val="00E33E6A"/>
    <w:rsid w:val="00E34196"/>
    <w:rsid w:val="00E34303"/>
    <w:rsid w:val="00E34707"/>
    <w:rsid w:val="00E348E2"/>
    <w:rsid w:val="00E34914"/>
    <w:rsid w:val="00E3495F"/>
    <w:rsid w:val="00E34ED6"/>
    <w:rsid w:val="00E363FA"/>
    <w:rsid w:val="00E366B9"/>
    <w:rsid w:val="00E367EE"/>
    <w:rsid w:val="00E36991"/>
    <w:rsid w:val="00E36ACC"/>
    <w:rsid w:val="00E36C6F"/>
    <w:rsid w:val="00E36CE4"/>
    <w:rsid w:val="00E36EB0"/>
    <w:rsid w:val="00E36FB0"/>
    <w:rsid w:val="00E37108"/>
    <w:rsid w:val="00E3732F"/>
    <w:rsid w:val="00E3784F"/>
    <w:rsid w:val="00E403EC"/>
    <w:rsid w:val="00E40594"/>
    <w:rsid w:val="00E40747"/>
    <w:rsid w:val="00E4075E"/>
    <w:rsid w:val="00E408E1"/>
    <w:rsid w:val="00E40A83"/>
    <w:rsid w:val="00E40EAC"/>
    <w:rsid w:val="00E41219"/>
    <w:rsid w:val="00E412D1"/>
    <w:rsid w:val="00E41575"/>
    <w:rsid w:val="00E41816"/>
    <w:rsid w:val="00E419C4"/>
    <w:rsid w:val="00E41A20"/>
    <w:rsid w:val="00E41AA9"/>
    <w:rsid w:val="00E41DF5"/>
    <w:rsid w:val="00E42831"/>
    <w:rsid w:val="00E42DC6"/>
    <w:rsid w:val="00E42E87"/>
    <w:rsid w:val="00E43197"/>
    <w:rsid w:val="00E432CB"/>
    <w:rsid w:val="00E43629"/>
    <w:rsid w:val="00E43717"/>
    <w:rsid w:val="00E438BB"/>
    <w:rsid w:val="00E43ADF"/>
    <w:rsid w:val="00E44280"/>
    <w:rsid w:val="00E444B3"/>
    <w:rsid w:val="00E44738"/>
    <w:rsid w:val="00E448E5"/>
    <w:rsid w:val="00E449E8"/>
    <w:rsid w:val="00E44C08"/>
    <w:rsid w:val="00E44CE4"/>
    <w:rsid w:val="00E44D35"/>
    <w:rsid w:val="00E44D8C"/>
    <w:rsid w:val="00E453FC"/>
    <w:rsid w:val="00E45E91"/>
    <w:rsid w:val="00E45F7B"/>
    <w:rsid w:val="00E463AD"/>
    <w:rsid w:val="00E466D7"/>
    <w:rsid w:val="00E46775"/>
    <w:rsid w:val="00E46C4F"/>
    <w:rsid w:val="00E46C6E"/>
    <w:rsid w:val="00E46F39"/>
    <w:rsid w:val="00E471A6"/>
    <w:rsid w:val="00E47250"/>
    <w:rsid w:val="00E47269"/>
    <w:rsid w:val="00E4758D"/>
    <w:rsid w:val="00E47939"/>
    <w:rsid w:val="00E5015B"/>
    <w:rsid w:val="00E50739"/>
    <w:rsid w:val="00E5089F"/>
    <w:rsid w:val="00E50A59"/>
    <w:rsid w:val="00E50B1B"/>
    <w:rsid w:val="00E50D5D"/>
    <w:rsid w:val="00E51488"/>
    <w:rsid w:val="00E51975"/>
    <w:rsid w:val="00E51EC8"/>
    <w:rsid w:val="00E5233A"/>
    <w:rsid w:val="00E52689"/>
    <w:rsid w:val="00E52715"/>
    <w:rsid w:val="00E52950"/>
    <w:rsid w:val="00E52968"/>
    <w:rsid w:val="00E529A3"/>
    <w:rsid w:val="00E52A9E"/>
    <w:rsid w:val="00E52D05"/>
    <w:rsid w:val="00E52E9A"/>
    <w:rsid w:val="00E5341D"/>
    <w:rsid w:val="00E53720"/>
    <w:rsid w:val="00E53E58"/>
    <w:rsid w:val="00E53F4D"/>
    <w:rsid w:val="00E53F61"/>
    <w:rsid w:val="00E53FFB"/>
    <w:rsid w:val="00E54137"/>
    <w:rsid w:val="00E54284"/>
    <w:rsid w:val="00E54307"/>
    <w:rsid w:val="00E5443D"/>
    <w:rsid w:val="00E544AA"/>
    <w:rsid w:val="00E545F6"/>
    <w:rsid w:val="00E54C3E"/>
    <w:rsid w:val="00E54D58"/>
    <w:rsid w:val="00E55143"/>
    <w:rsid w:val="00E554A7"/>
    <w:rsid w:val="00E55A22"/>
    <w:rsid w:val="00E55B1C"/>
    <w:rsid w:val="00E55D11"/>
    <w:rsid w:val="00E563C0"/>
    <w:rsid w:val="00E566C6"/>
    <w:rsid w:val="00E566DF"/>
    <w:rsid w:val="00E5676A"/>
    <w:rsid w:val="00E567CB"/>
    <w:rsid w:val="00E5684A"/>
    <w:rsid w:val="00E56936"/>
    <w:rsid w:val="00E56B33"/>
    <w:rsid w:val="00E57041"/>
    <w:rsid w:val="00E576B2"/>
    <w:rsid w:val="00E5778B"/>
    <w:rsid w:val="00E577E8"/>
    <w:rsid w:val="00E578E0"/>
    <w:rsid w:val="00E57E9E"/>
    <w:rsid w:val="00E60061"/>
    <w:rsid w:val="00E60194"/>
    <w:rsid w:val="00E601A9"/>
    <w:rsid w:val="00E6074E"/>
    <w:rsid w:val="00E6086D"/>
    <w:rsid w:val="00E60A93"/>
    <w:rsid w:val="00E6103A"/>
    <w:rsid w:val="00E61370"/>
    <w:rsid w:val="00E614BB"/>
    <w:rsid w:val="00E614EA"/>
    <w:rsid w:val="00E61898"/>
    <w:rsid w:val="00E61B34"/>
    <w:rsid w:val="00E622B9"/>
    <w:rsid w:val="00E62620"/>
    <w:rsid w:val="00E62BB4"/>
    <w:rsid w:val="00E62DB5"/>
    <w:rsid w:val="00E632D8"/>
    <w:rsid w:val="00E632EA"/>
    <w:rsid w:val="00E6395E"/>
    <w:rsid w:val="00E63C98"/>
    <w:rsid w:val="00E63F14"/>
    <w:rsid w:val="00E64582"/>
    <w:rsid w:val="00E6478C"/>
    <w:rsid w:val="00E64C3A"/>
    <w:rsid w:val="00E64E4C"/>
    <w:rsid w:val="00E6538A"/>
    <w:rsid w:val="00E6553F"/>
    <w:rsid w:val="00E6573D"/>
    <w:rsid w:val="00E65D70"/>
    <w:rsid w:val="00E66514"/>
    <w:rsid w:val="00E66523"/>
    <w:rsid w:val="00E665A4"/>
    <w:rsid w:val="00E668D6"/>
    <w:rsid w:val="00E67076"/>
    <w:rsid w:val="00E67430"/>
    <w:rsid w:val="00E674DD"/>
    <w:rsid w:val="00E6750D"/>
    <w:rsid w:val="00E67DD2"/>
    <w:rsid w:val="00E67F82"/>
    <w:rsid w:val="00E700EB"/>
    <w:rsid w:val="00E703F5"/>
    <w:rsid w:val="00E707D8"/>
    <w:rsid w:val="00E70F56"/>
    <w:rsid w:val="00E71623"/>
    <w:rsid w:val="00E71B3B"/>
    <w:rsid w:val="00E71D6D"/>
    <w:rsid w:val="00E71E39"/>
    <w:rsid w:val="00E71FB5"/>
    <w:rsid w:val="00E728AA"/>
    <w:rsid w:val="00E72E26"/>
    <w:rsid w:val="00E72F7F"/>
    <w:rsid w:val="00E7333A"/>
    <w:rsid w:val="00E7342D"/>
    <w:rsid w:val="00E7350F"/>
    <w:rsid w:val="00E7382E"/>
    <w:rsid w:val="00E73C52"/>
    <w:rsid w:val="00E73CFF"/>
    <w:rsid w:val="00E7400E"/>
    <w:rsid w:val="00E7402D"/>
    <w:rsid w:val="00E74107"/>
    <w:rsid w:val="00E7446F"/>
    <w:rsid w:val="00E74C5C"/>
    <w:rsid w:val="00E74DD8"/>
    <w:rsid w:val="00E75466"/>
    <w:rsid w:val="00E75780"/>
    <w:rsid w:val="00E7593C"/>
    <w:rsid w:val="00E75B5D"/>
    <w:rsid w:val="00E75DF5"/>
    <w:rsid w:val="00E75FC9"/>
    <w:rsid w:val="00E760EE"/>
    <w:rsid w:val="00E76219"/>
    <w:rsid w:val="00E76D47"/>
    <w:rsid w:val="00E76D72"/>
    <w:rsid w:val="00E770C3"/>
    <w:rsid w:val="00E77270"/>
    <w:rsid w:val="00E772AA"/>
    <w:rsid w:val="00E77383"/>
    <w:rsid w:val="00E77670"/>
    <w:rsid w:val="00E779F9"/>
    <w:rsid w:val="00E77CCF"/>
    <w:rsid w:val="00E7CDDF"/>
    <w:rsid w:val="00E800DA"/>
    <w:rsid w:val="00E80556"/>
    <w:rsid w:val="00E80663"/>
    <w:rsid w:val="00E80A77"/>
    <w:rsid w:val="00E80CC0"/>
    <w:rsid w:val="00E80D42"/>
    <w:rsid w:val="00E823DA"/>
    <w:rsid w:val="00E823FA"/>
    <w:rsid w:val="00E8293B"/>
    <w:rsid w:val="00E82BC7"/>
    <w:rsid w:val="00E82CDD"/>
    <w:rsid w:val="00E838B1"/>
    <w:rsid w:val="00E83C86"/>
    <w:rsid w:val="00E83CB5"/>
    <w:rsid w:val="00E83DD6"/>
    <w:rsid w:val="00E83E34"/>
    <w:rsid w:val="00E84194"/>
    <w:rsid w:val="00E84A3E"/>
    <w:rsid w:val="00E84B33"/>
    <w:rsid w:val="00E84C20"/>
    <w:rsid w:val="00E856C1"/>
    <w:rsid w:val="00E8577D"/>
    <w:rsid w:val="00E85DAF"/>
    <w:rsid w:val="00E85DB2"/>
    <w:rsid w:val="00E85E2C"/>
    <w:rsid w:val="00E8604F"/>
    <w:rsid w:val="00E860DA"/>
    <w:rsid w:val="00E862A1"/>
    <w:rsid w:val="00E862D4"/>
    <w:rsid w:val="00E86593"/>
    <w:rsid w:val="00E86691"/>
    <w:rsid w:val="00E86748"/>
    <w:rsid w:val="00E86777"/>
    <w:rsid w:val="00E8678C"/>
    <w:rsid w:val="00E86CE5"/>
    <w:rsid w:val="00E86DC8"/>
    <w:rsid w:val="00E86E80"/>
    <w:rsid w:val="00E86E81"/>
    <w:rsid w:val="00E86F88"/>
    <w:rsid w:val="00E87236"/>
    <w:rsid w:val="00E87250"/>
    <w:rsid w:val="00E8743F"/>
    <w:rsid w:val="00E874B3"/>
    <w:rsid w:val="00E87898"/>
    <w:rsid w:val="00E87E0D"/>
    <w:rsid w:val="00E8EE02"/>
    <w:rsid w:val="00E90444"/>
    <w:rsid w:val="00E9059B"/>
    <w:rsid w:val="00E9083B"/>
    <w:rsid w:val="00E90DA1"/>
    <w:rsid w:val="00E90DC3"/>
    <w:rsid w:val="00E9107D"/>
    <w:rsid w:val="00E91125"/>
    <w:rsid w:val="00E91346"/>
    <w:rsid w:val="00E9143B"/>
    <w:rsid w:val="00E9192E"/>
    <w:rsid w:val="00E91CF2"/>
    <w:rsid w:val="00E91EAD"/>
    <w:rsid w:val="00E91F49"/>
    <w:rsid w:val="00E921D3"/>
    <w:rsid w:val="00E922ED"/>
    <w:rsid w:val="00E9302D"/>
    <w:rsid w:val="00E9346E"/>
    <w:rsid w:val="00E9355E"/>
    <w:rsid w:val="00E93B8E"/>
    <w:rsid w:val="00E943E1"/>
    <w:rsid w:val="00E94596"/>
    <w:rsid w:val="00E94B33"/>
    <w:rsid w:val="00E95458"/>
    <w:rsid w:val="00E956FE"/>
    <w:rsid w:val="00E95EF4"/>
    <w:rsid w:val="00E960AF"/>
    <w:rsid w:val="00E96E61"/>
    <w:rsid w:val="00E96F24"/>
    <w:rsid w:val="00E96F38"/>
    <w:rsid w:val="00E970B3"/>
    <w:rsid w:val="00E97327"/>
    <w:rsid w:val="00E974F2"/>
    <w:rsid w:val="00E9758B"/>
    <w:rsid w:val="00E97DC0"/>
    <w:rsid w:val="00E97F22"/>
    <w:rsid w:val="00E97F49"/>
    <w:rsid w:val="00E985A2"/>
    <w:rsid w:val="00EA030A"/>
    <w:rsid w:val="00EA058C"/>
    <w:rsid w:val="00EA0604"/>
    <w:rsid w:val="00EA0794"/>
    <w:rsid w:val="00EA0877"/>
    <w:rsid w:val="00EA0BB2"/>
    <w:rsid w:val="00EA0CDD"/>
    <w:rsid w:val="00EA180E"/>
    <w:rsid w:val="00EA1825"/>
    <w:rsid w:val="00EA1A20"/>
    <w:rsid w:val="00EA1F4F"/>
    <w:rsid w:val="00EA2928"/>
    <w:rsid w:val="00EA2CF6"/>
    <w:rsid w:val="00EA2ED7"/>
    <w:rsid w:val="00EA32AA"/>
    <w:rsid w:val="00EA36E6"/>
    <w:rsid w:val="00EA386E"/>
    <w:rsid w:val="00EA3A25"/>
    <w:rsid w:val="00EA3CF2"/>
    <w:rsid w:val="00EA3DF3"/>
    <w:rsid w:val="00EA40CA"/>
    <w:rsid w:val="00EA412E"/>
    <w:rsid w:val="00EA43C0"/>
    <w:rsid w:val="00EA4446"/>
    <w:rsid w:val="00EA49FB"/>
    <w:rsid w:val="00EA4D8F"/>
    <w:rsid w:val="00EA5228"/>
    <w:rsid w:val="00EA5478"/>
    <w:rsid w:val="00EA5A16"/>
    <w:rsid w:val="00EA5B59"/>
    <w:rsid w:val="00EA5BA5"/>
    <w:rsid w:val="00EA5E58"/>
    <w:rsid w:val="00EA5E89"/>
    <w:rsid w:val="00EA5E93"/>
    <w:rsid w:val="00EA6142"/>
    <w:rsid w:val="00EA6749"/>
    <w:rsid w:val="00EA67EB"/>
    <w:rsid w:val="00EA67FB"/>
    <w:rsid w:val="00EA68FF"/>
    <w:rsid w:val="00EA6D02"/>
    <w:rsid w:val="00EA7187"/>
    <w:rsid w:val="00EA71BB"/>
    <w:rsid w:val="00EA740D"/>
    <w:rsid w:val="00EA7620"/>
    <w:rsid w:val="00EA76C0"/>
    <w:rsid w:val="00EA79FF"/>
    <w:rsid w:val="00EA7D7A"/>
    <w:rsid w:val="00EA7FC8"/>
    <w:rsid w:val="00EB016C"/>
    <w:rsid w:val="00EB022B"/>
    <w:rsid w:val="00EB03A1"/>
    <w:rsid w:val="00EB0625"/>
    <w:rsid w:val="00EB0716"/>
    <w:rsid w:val="00EB0A1E"/>
    <w:rsid w:val="00EB0B19"/>
    <w:rsid w:val="00EB0DCE"/>
    <w:rsid w:val="00EB0E9F"/>
    <w:rsid w:val="00EB0FDE"/>
    <w:rsid w:val="00EB116E"/>
    <w:rsid w:val="00EB1367"/>
    <w:rsid w:val="00EB139B"/>
    <w:rsid w:val="00EB1483"/>
    <w:rsid w:val="00EB14F6"/>
    <w:rsid w:val="00EB1585"/>
    <w:rsid w:val="00EB1EE0"/>
    <w:rsid w:val="00EB20CF"/>
    <w:rsid w:val="00EB22DE"/>
    <w:rsid w:val="00EB250E"/>
    <w:rsid w:val="00EB26D9"/>
    <w:rsid w:val="00EB2D4E"/>
    <w:rsid w:val="00EB3080"/>
    <w:rsid w:val="00EB30CA"/>
    <w:rsid w:val="00EB3386"/>
    <w:rsid w:val="00EB3567"/>
    <w:rsid w:val="00EB35AC"/>
    <w:rsid w:val="00EB375E"/>
    <w:rsid w:val="00EB3BDB"/>
    <w:rsid w:val="00EB3CFF"/>
    <w:rsid w:val="00EB3FD5"/>
    <w:rsid w:val="00EB4218"/>
    <w:rsid w:val="00EB43C2"/>
    <w:rsid w:val="00EB43E2"/>
    <w:rsid w:val="00EB467D"/>
    <w:rsid w:val="00EB49C7"/>
    <w:rsid w:val="00EB4DA3"/>
    <w:rsid w:val="00EB4E60"/>
    <w:rsid w:val="00EB50D1"/>
    <w:rsid w:val="00EB532A"/>
    <w:rsid w:val="00EB575A"/>
    <w:rsid w:val="00EB58A8"/>
    <w:rsid w:val="00EB5901"/>
    <w:rsid w:val="00EB5D2D"/>
    <w:rsid w:val="00EB6154"/>
    <w:rsid w:val="00EB63CA"/>
    <w:rsid w:val="00EB6695"/>
    <w:rsid w:val="00EB69E8"/>
    <w:rsid w:val="00EB6C0E"/>
    <w:rsid w:val="00EB6EB2"/>
    <w:rsid w:val="00EB6F04"/>
    <w:rsid w:val="00EB7A9B"/>
    <w:rsid w:val="00EC00A6"/>
    <w:rsid w:val="00EC01BF"/>
    <w:rsid w:val="00EC049E"/>
    <w:rsid w:val="00EC08F2"/>
    <w:rsid w:val="00EC098D"/>
    <w:rsid w:val="00EC0BD6"/>
    <w:rsid w:val="00EC1158"/>
    <w:rsid w:val="00EC156E"/>
    <w:rsid w:val="00EC1A7B"/>
    <w:rsid w:val="00EC1B04"/>
    <w:rsid w:val="00EC1C20"/>
    <w:rsid w:val="00EC1CFF"/>
    <w:rsid w:val="00EC2007"/>
    <w:rsid w:val="00EC205B"/>
    <w:rsid w:val="00EC223C"/>
    <w:rsid w:val="00EC2413"/>
    <w:rsid w:val="00EC2A1B"/>
    <w:rsid w:val="00EC2A60"/>
    <w:rsid w:val="00EC2F80"/>
    <w:rsid w:val="00EC3595"/>
    <w:rsid w:val="00EC365E"/>
    <w:rsid w:val="00EC391C"/>
    <w:rsid w:val="00EC3ACF"/>
    <w:rsid w:val="00EC3C3F"/>
    <w:rsid w:val="00EC3CC1"/>
    <w:rsid w:val="00EC3EEA"/>
    <w:rsid w:val="00EC4024"/>
    <w:rsid w:val="00EC431D"/>
    <w:rsid w:val="00EC4442"/>
    <w:rsid w:val="00EC462B"/>
    <w:rsid w:val="00EC488B"/>
    <w:rsid w:val="00EC4B4E"/>
    <w:rsid w:val="00EC4D8E"/>
    <w:rsid w:val="00EC4ECF"/>
    <w:rsid w:val="00EC504A"/>
    <w:rsid w:val="00EC5363"/>
    <w:rsid w:val="00EC5696"/>
    <w:rsid w:val="00EC5827"/>
    <w:rsid w:val="00EC59CE"/>
    <w:rsid w:val="00EC59D6"/>
    <w:rsid w:val="00EC5A0B"/>
    <w:rsid w:val="00EC5FAA"/>
    <w:rsid w:val="00EC5FD9"/>
    <w:rsid w:val="00EC6571"/>
    <w:rsid w:val="00EC69D1"/>
    <w:rsid w:val="00EC6A0E"/>
    <w:rsid w:val="00EC6D18"/>
    <w:rsid w:val="00EC7259"/>
    <w:rsid w:val="00EC757C"/>
    <w:rsid w:val="00EC75D2"/>
    <w:rsid w:val="00EC77E9"/>
    <w:rsid w:val="00EC7873"/>
    <w:rsid w:val="00EC7A91"/>
    <w:rsid w:val="00EC7B3A"/>
    <w:rsid w:val="00EC7EC3"/>
    <w:rsid w:val="00ED0769"/>
    <w:rsid w:val="00ED0869"/>
    <w:rsid w:val="00ED0AB7"/>
    <w:rsid w:val="00ED1261"/>
    <w:rsid w:val="00ED16D2"/>
    <w:rsid w:val="00ED1BB1"/>
    <w:rsid w:val="00ED1E96"/>
    <w:rsid w:val="00ED2279"/>
    <w:rsid w:val="00ED237F"/>
    <w:rsid w:val="00ED2405"/>
    <w:rsid w:val="00ED2B77"/>
    <w:rsid w:val="00ED2EB9"/>
    <w:rsid w:val="00ED2F9C"/>
    <w:rsid w:val="00ED387E"/>
    <w:rsid w:val="00ED3AFD"/>
    <w:rsid w:val="00ED3C7F"/>
    <w:rsid w:val="00ED3CA1"/>
    <w:rsid w:val="00ED3E96"/>
    <w:rsid w:val="00ED3FC7"/>
    <w:rsid w:val="00ED4631"/>
    <w:rsid w:val="00ED4A20"/>
    <w:rsid w:val="00ED4FEC"/>
    <w:rsid w:val="00ED4FF6"/>
    <w:rsid w:val="00ED50CD"/>
    <w:rsid w:val="00ED519A"/>
    <w:rsid w:val="00ED5369"/>
    <w:rsid w:val="00ED5392"/>
    <w:rsid w:val="00ED571B"/>
    <w:rsid w:val="00ED58A6"/>
    <w:rsid w:val="00ED5BD7"/>
    <w:rsid w:val="00ED5D1E"/>
    <w:rsid w:val="00ED6342"/>
    <w:rsid w:val="00ED65BF"/>
    <w:rsid w:val="00ED6B28"/>
    <w:rsid w:val="00ED6EFB"/>
    <w:rsid w:val="00ED6FE5"/>
    <w:rsid w:val="00ED7102"/>
    <w:rsid w:val="00ED713C"/>
    <w:rsid w:val="00ED73A8"/>
    <w:rsid w:val="00ED7547"/>
    <w:rsid w:val="00ED797C"/>
    <w:rsid w:val="00ED79EE"/>
    <w:rsid w:val="00ED7F83"/>
    <w:rsid w:val="00EE05E2"/>
    <w:rsid w:val="00EE06FF"/>
    <w:rsid w:val="00EE0818"/>
    <w:rsid w:val="00EE0AF7"/>
    <w:rsid w:val="00EE0F5C"/>
    <w:rsid w:val="00EE11A7"/>
    <w:rsid w:val="00EE12AB"/>
    <w:rsid w:val="00EE15C9"/>
    <w:rsid w:val="00EE18B4"/>
    <w:rsid w:val="00EE18EC"/>
    <w:rsid w:val="00EE1BE1"/>
    <w:rsid w:val="00EE1F04"/>
    <w:rsid w:val="00EE23F8"/>
    <w:rsid w:val="00EE2A88"/>
    <w:rsid w:val="00EE3231"/>
    <w:rsid w:val="00EE3461"/>
    <w:rsid w:val="00EE3626"/>
    <w:rsid w:val="00EE3AFD"/>
    <w:rsid w:val="00EE3B5F"/>
    <w:rsid w:val="00EE3EDB"/>
    <w:rsid w:val="00EE42E5"/>
    <w:rsid w:val="00EE44BC"/>
    <w:rsid w:val="00EE472C"/>
    <w:rsid w:val="00EE48EC"/>
    <w:rsid w:val="00EE4B30"/>
    <w:rsid w:val="00EE4EA7"/>
    <w:rsid w:val="00EE511C"/>
    <w:rsid w:val="00EE516A"/>
    <w:rsid w:val="00EE563C"/>
    <w:rsid w:val="00EE567C"/>
    <w:rsid w:val="00EE5939"/>
    <w:rsid w:val="00EE5A8C"/>
    <w:rsid w:val="00EE602F"/>
    <w:rsid w:val="00EE6271"/>
    <w:rsid w:val="00EE6CBF"/>
    <w:rsid w:val="00EE7256"/>
    <w:rsid w:val="00EE760B"/>
    <w:rsid w:val="00EE7AC9"/>
    <w:rsid w:val="00EE7D15"/>
    <w:rsid w:val="00EF01DB"/>
    <w:rsid w:val="00EF0519"/>
    <w:rsid w:val="00EF0831"/>
    <w:rsid w:val="00EF08B6"/>
    <w:rsid w:val="00EF0D9F"/>
    <w:rsid w:val="00EF0F76"/>
    <w:rsid w:val="00EF0F7E"/>
    <w:rsid w:val="00EF0FCE"/>
    <w:rsid w:val="00EF15B9"/>
    <w:rsid w:val="00EF18BE"/>
    <w:rsid w:val="00EF18C1"/>
    <w:rsid w:val="00EF1A6F"/>
    <w:rsid w:val="00EF1C9D"/>
    <w:rsid w:val="00EF1DEE"/>
    <w:rsid w:val="00EF1E3D"/>
    <w:rsid w:val="00EF1FCF"/>
    <w:rsid w:val="00EF231D"/>
    <w:rsid w:val="00EF2F5E"/>
    <w:rsid w:val="00EF39FA"/>
    <w:rsid w:val="00EF3DE5"/>
    <w:rsid w:val="00EF3E92"/>
    <w:rsid w:val="00EF3EF6"/>
    <w:rsid w:val="00EF47D6"/>
    <w:rsid w:val="00EF4DC6"/>
    <w:rsid w:val="00EF4DDA"/>
    <w:rsid w:val="00EF53B8"/>
    <w:rsid w:val="00EF540B"/>
    <w:rsid w:val="00EF5449"/>
    <w:rsid w:val="00EF5764"/>
    <w:rsid w:val="00EF65B9"/>
    <w:rsid w:val="00EF6741"/>
    <w:rsid w:val="00EF67AB"/>
    <w:rsid w:val="00EF6987"/>
    <w:rsid w:val="00EF6C17"/>
    <w:rsid w:val="00EF6C49"/>
    <w:rsid w:val="00EF7094"/>
    <w:rsid w:val="00EF70C3"/>
    <w:rsid w:val="00EF7248"/>
    <w:rsid w:val="00EF72B4"/>
    <w:rsid w:val="00EF7525"/>
    <w:rsid w:val="00EF7527"/>
    <w:rsid w:val="00EF7BBE"/>
    <w:rsid w:val="00EF7BCE"/>
    <w:rsid w:val="00EF7C39"/>
    <w:rsid w:val="00EF7F00"/>
    <w:rsid w:val="00F007F8"/>
    <w:rsid w:val="00F00984"/>
    <w:rsid w:val="00F011ED"/>
    <w:rsid w:val="00F014A5"/>
    <w:rsid w:val="00F014B8"/>
    <w:rsid w:val="00F01596"/>
    <w:rsid w:val="00F0173B"/>
    <w:rsid w:val="00F0195C"/>
    <w:rsid w:val="00F01CC9"/>
    <w:rsid w:val="00F02305"/>
    <w:rsid w:val="00F02495"/>
    <w:rsid w:val="00F026C7"/>
    <w:rsid w:val="00F02ACC"/>
    <w:rsid w:val="00F02AD3"/>
    <w:rsid w:val="00F02E8A"/>
    <w:rsid w:val="00F02F56"/>
    <w:rsid w:val="00F031B9"/>
    <w:rsid w:val="00F03310"/>
    <w:rsid w:val="00F03674"/>
    <w:rsid w:val="00F03724"/>
    <w:rsid w:val="00F0382C"/>
    <w:rsid w:val="00F03847"/>
    <w:rsid w:val="00F03ECA"/>
    <w:rsid w:val="00F03EFB"/>
    <w:rsid w:val="00F0416D"/>
    <w:rsid w:val="00F047CA"/>
    <w:rsid w:val="00F049B8"/>
    <w:rsid w:val="00F04D15"/>
    <w:rsid w:val="00F04D3B"/>
    <w:rsid w:val="00F05428"/>
    <w:rsid w:val="00F0543B"/>
    <w:rsid w:val="00F059CB"/>
    <w:rsid w:val="00F05CFA"/>
    <w:rsid w:val="00F06653"/>
    <w:rsid w:val="00F0667A"/>
    <w:rsid w:val="00F077C3"/>
    <w:rsid w:val="00F07922"/>
    <w:rsid w:val="00F07B5D"/>
    <w:rsid w:val="00F10192"/>
    <w:rsid w:val="00F102F1"/>
    <w:rsid w:val="00F10357"/>
    <w:rsid w:val="00F10583"/>
    <w:rsid w:val="00F105A0"/>
    <w:rsid w:val="00F10989"/>
    <w:rsid w:val="00F10A65"/>
    <w:rsid w:val="00F10D30"/>
    <w:rsid w:val="00F1107D"/>
    <w:rsid w:val="00F11110"/>
    <w:rsid w:val="00F1121F"/>
    <w:rsid w:val="00F11724"/>
    <w:rsid w:val="00F118A2"/>
    <w:rsid w:val="00F119EB"/>
    <w:rsid w:val="00F11E67"/>
    <w:rsid w:val="00F120E5"/>
    <w:rsid w:val="00F12254"/>
    <w:rsid w:val="00F123A4"/>
    <w:rsid w:val="00F124B6"/>
    <w:rsid w:val="00F124F2"/>
    <w:rsid w:val="00F129B1"/>
    <w:rsid w:val="00F12C82"/>
    <w:rsid w:val="00F12D24"/>
    <w:rsid w:val="00F12EC8"/>
    <w:rsid w:val="00F12F07"/>
    <w:rsid w:val="00F13680"/>
    <w:rsid w:val="00F13979"/>
    <w:rsid w:val="00F1436C"/>
    <w:rsid w:val="00F145CB"/>
    <w:rsid w:val="00F149D6"/>
    <w:rsid w:val="00F14A65"/>
    <w:rsid w:val="00F14BF2"/>
    <w:rsid w:val="00F14FB6"/>
    <w:rsid w:val="00F153B6"/>
    <w:rsid w:val="00F15453"/>
    <w:rsid w:val="00F155CA"/>
    <w:rsid w:val="00F15A3D"/>
    <w:rsid w:val="00F15E68"/>
    <w:rsid w:val="00F15F40"/>
    <w:rsid w:val="00F16376"/>
    <w:rsid w:val="00F163FC"/>
    <w:rsid w:val="00F1676E"/>
    <w:rsid w:val="00F16774"/>
    <w:rsid w:val="00F16C09"/>
    <w:rsid w:val="00F16C54"/>
    <w:rsid w:val="00F17212"/>
    <w:rsid w:val="00F1730A"/>
    <w:rsid w:val="00F17610"/>
    <w:rsid w:val="00F17E38"/>
    <w:rsid w:val="00F20B4B"/>
    <w:rsid w:val="00F20EFE"/>
    <w:rsid w:val="00F216A7"/>
    <w:rsid w:val="00F216F4"/>
    <w:rsid w:val="00F21E84"/>
    <w:rsid w:val="00F22621"/>
    <w:rsid w:val="00F22AB0"/>
    <w:rsid w:val="00F22EB4"/>
    <w:rsid w:val="00F2320F"/>
    <w:rsid w:val="00F2333B"/>
    <w:rsid w:val="00F23536"/>
    <w:rsid w:val="00F238E9"/>
    <w:rsid w:val="00F239D1"/>
    <w:rsid w:val="00F23B0A"/>
    <w:rsid w:val="00F2443B"/>
    <w:rsid w:val="00F24659"/>
    <w:rsid w:val="00F247F7"/>
    <w:rsid w:val="00F2480F"/>
    <w:rsid w:val="00F249F5"/>
    <w:rsid w:val="00F24A2C"/>
    <w:rsid w:val="00F24B1F"/>
    <w:rsid w:val="00F24C6D"/>
    <w:rsid w:val="00F24D28"/>
    <w:rsid w:val="00F24EC6"/>
    <w:rsid w:val="00F252F5"/>
    <w:rsid w:val="00F25720"/>
    <w:rsid w:val="00F25B11"/>
    <w:rsid w:val="00F25CDA"/>
    <w:rsid w:val="00F25FD4"/>
    <w:rsid w:val="00F2608C"/>
    <w:rsid w:val="00F26B1C"/>
    <w:rsid w:val="00F26B9A"/>
    <w:rsid w:val="00F27703"/>
    <w:rsid w:val="00F27AA3"/>
    <w:rsid w:val="00F30158"/>
    <w:rsid w:val="00F30205"/>
    <w:rsid w:val="00F30AF4"/>
    <w:rsid w:val="00F30BAB"/>
    <w:rsid w:val="00F30F77"/>
    <w:rsid w:val="00F31184"/>
    <w:rsid w:val="00F3141C"/>
    <w:rsid w:val="00F31A9D"/>
    <w:rsid w:val="00F3260F"/>
    <w:rsid w:val="00F3274E"/>
    <w:rsid w:val="00F3289F"/>
    <w:rsid w:val="00F329A6"/>
    <w:rsid w:val="00F32A86"/>
    <w:rsid w:val="00F32B44"/>
    <w:rsid w:val="00F32B94"/>
    <w:rsid w:val="00F32BF7"/>
    <w:rsid w:val="00F32C93"/>
    <w:rsid w:val="00F32D8A"/>
    <w:rsid w:val="00F33D67"/>
    <w:rsid w:val="00F340E6"/>
    <w:rsid w:val="00F34170"/>
    <w:rsid w:val="00F342A1"/>
    <w:rsid w:val="00F34797"/>
    <w:rsid w:val="00F3490E"/>
    <w:rsid w:val="00F34F0F"/>
    <w:rsid w:val="00F34FE9"/>
    <w:rsid w:val="00F3504C"/>
    <w:rsid w:val="00F35505"/>
    <w:rsid w:val="00F35BB7"/>
    <w:rsid w:val="00F35D50"/>
    <w:rsid w:val="00F361EC"/>
    <w:rsid w:val="00F3671D"/>
    <w:rsid w:val="00F36888"/>
    <w:rsid w:val="00F36A1C"/>
    <w:rsid w:val="00F36E07"/>
    <w:rsid w:val="00F3717A"/>
    <w:rsid w:val="00F372B9"/>
    <w:rsid w:val="00F372C6"/>
    <w:rsid w:val="00F375F5"/>
    <w:rsid w:val="00F3783C"/>
    <w:rsid w:val="00F37C43"/>
    <w:rsid w:val="00F37E75"/>
    <w:rsid w:val="00F4002A"/>
    <w:rsid w:val="00F402B5"/>
    <w:rsid w:val="00F40ABD"/>
    <w:rsid w:val="00F40C87"/>
    <w:rsid w:val="00F40FF1"/>
    <w:rsid w:val="00F411DA"/>
    <w:rsid w:val="00F41412"/>
    <w:rsid w:val="00F41634"/>
    <w:rsid w:val="00F41843"/>
    <w:rsid w:val="00F418B7"/>
    <w:rsid w:val="00F41B7B"/>
    <w:rsid w:val="00F41C29"/>
    <w:rsid w:val="00F41F9D"/>
    <w:rsid w:val="00F42042"/>
    <w:rsid w:val="00F421E7"/>
    <w:rsid w:val="00F423B9"/>
    <w:rsid w:val="00F42BE0"/>
    <w:rsid w:val="00F42C5C"/>
    <w:rsid w:val="00F42D92"/>
    <w:rsid w:val="00F42DC4"/>
    <w:rsid w:val="00F42ED1"/>
    <w:rsid w:val="00F437F4"/>
    <w:rsid w:val="00F43892"/>
    <w:rsid w:val="00F438DB"/>
    <w:rsid w:val="00F43BD5"/>
    <w:rsid w:val="00F43DE6"/>
    <w:rsid w:val="00F4418E"/>
    <w:rsid w:val="00F44300"/>
    <w:rsid w:val="00F4433B"/>
    <w:rsid w:val="00F44579"/>
    <w:rsid w:val="00F445FC"/>
    <w:rsid w:val="00F44BAB"/>
    <w:rsid w:val="00F44D6E"/>
    <w:rsid w:val="00F45046"/>
    <w:rsid w:val="00F450AF"/>
    <w:rsid w:val="00F45654"/>
    <w:rsid w:val="00F45883"/>
    <w:rsid w:val="00F45CD7"/>
    <w:rsid w:val="00F45E06"/>
    <w:rsid w:val="00F460EA"/>
    <w:rsid w:val="00F461A6"/>
    <w:rsid w:val="00F461D8"/>
    <w:rsid w:val="00F464EB"/>
    <w:rsid w:val="00F466D5"/>
    <w:rsid w:val="00F46C2F"/>
    <w:rsid w:val="00F46C3C"/>
    <w:rsid w:val="00F46C5D"/>
    <w:rsid w:val="00F46FD4"/>
    <w:rsid w:val="00F4713F"/>
    <w:rsid w:val="00F47142"/>
    <w:rsid w:val="00F471BA"/>
    <w:rsid w:val="00F47235"/>
    <w:rsid w:val="00F47383"/>
    <w:rsid w:val="00F478B4"/>
    <w:rsid w:val="00F47A4E"/>
    <w:rsid w:val="00F47AD3"/>
    <w:rsid w:val="00F47F92"/>
    <w:rsid w:val="00F47FBD"/>
    <w:rsid w:val="00F50134"/>
    <w:rsid w:val="00F504AB"/>
    <w:rsid w:val="00F5067A"/>
    <w:rsid w:val="00F507B1"/>
    <w:rsid w:val="00F50A96"/>
    <w:rsid w:val="00F50F36"/>
    <w:rsid w:val="00F51357"/>
    <w:rsid w:val="00F5171D"/>
    <w:rsid w:val="00F51798"/>
    <w:rsid w:val="00F51D28"/>
    <w:rsid w:val="00F51E33"/>
    <w:rsid w:val="00F51F1E"/>
    <w:rsid w:val="00F524CD"/>
    <w:rsid w:val="00F5272F"/>
    <w:rsid w:val="00F527BC"/>
    <w:rsid w:val="00F52D9B"/>
    <w:rsid w:val="00F52F32"/>
    <w:rsid w:val="00F52F36"/>
    <w:rsid w:val="00F530A9"/>
    <w:rsid w:val="00F5327A"/>
    <w:rsid w:val="00F54016"/>
    <w:rsid w:val="00F54218"/>
    <w:rsid w:val="00F544F6"/>
    <w:rsid w:val="00F5454B"/>
    <w:rsid w:val="00F54624"/>
    <w:rsid w:val="00F5479A"/>
    <w:rsid w:val="00F54894"/>
    <w:rsid w:val="00F548D1"/>
    <w:rsid w:val="00F54D6D"/>
    <w:rsid w:val="00F5530E"/>
    <w:rsid w:val="00F553EA"/>
    <w:rsid w:val="00F55A99"/>
    <w:rsid w:val="00F55C56"/>
    <w:rsid w:val="00F55E26"/>
    <w:rsid w:val="00F56083"/>
    <w:rsid w:val="00F5627D"/>
    <w:rsid w:val="00F56738"/>
    <w:rsid w:val="00F56775"/>
    <w:rsid w:val="00F569A7"/>
    <w:rsid w:val="00F569E5"/>
    <w:rsid w:val="00F56A06"/>
    <w:rsid w:val="00F574AC"/>
    <w:rsid w:val="00F579AB"/>
    <w:rsid w:val="00F57B39"/>
    <w:rsid w:val="00F57BFB"/>
    <w:rsid w:val="00F57DDD"/>
    <w:rsid w:val="00F57DE4"/>
    <w:rsid w:val="00F601F6"/>
    <w:rsid w:val="00F60547"/>
    <w:rsid w:val="00F60648"/>
    <w:rsid w:val="00F60780"/>
    <w:rsid w:val="00F608C1"/>
    <w:rsid w:val="00F60EA6"/>
    <w:rsid w:val="00F61053"/>
    <w:rsid w:val="00F614EB"/>
    <w:rsid w:val="00F61893"/>
    <w:rsid w:val="00F61B04"/>
    <w:rsid w:val="00F61BCE"/>
    <w:rsid w:val="00F61C88"/>
    <w:rsid w:val="00F624FA"/>
    <w:rsid w:val="00F6273E"/>
    <w:rsid w:val="00F6283A"/>
    <w:rsid w:val="00F62890"/>
    <w:rsid w:val="00F62EA6"/>
    <w:rsid w:val="00F632DB"/>
    <w:rsid w:val="00F63513"/>
    <w:rsid w:val="00F6367A"/>
    <w:rsid w:val="00F637E7"/>
    <w:rsid w:val="00F638CC"/>
    <w:rsid w:val="00F63A8E"/>
    <w:rsid w:val="00F63F1A"/>
    <w:rsid w:val="00F64289"/>
    <w:rsid w:val="00F64A8C"/>
    <w:rsid w:val="00F64AEC"/>
    <w:rsid w:val="00F64C94"/>
    <w:rsid w:val="00F64D7F"/>
    <w:rsid w:val="00F650B0"/>
    <w:rsid w:val="00F65186"/>
    <w:rsid w:val="00F65916"/>
    <w:rsid w:val="00F65DE5"/>
    <w:rsid w:val="00F65E8C"/>
    <w:rsid w:val="00F65F81"/>
    <w:rsid w:val="00F6635C"/>
    <w:rsid w:val="00F667BD"/>
    <w:rsid w:val="00F67266"/>
    <w:rsid w:val="00F672D8"/>
    <w:rsid w:val="00F673DC"/>
    <w:rsid w:val="00F67578"/>
    <w:rsid w:val="00F67B0F"/>
    <w:rsid w:val="00F67F75"/>
    <w:rsid w:val="00F7076A"/>
    <w:rsid w:val="00F70843"/>
    <w:rsid w:val="00F70B78"/>
    <w:rsid w:val="00F70CA4"/>
    <w:rsid w:val="00F70FAF"/>
    <w:rsid w:val="00F70FBD"/>
    <w:rsid w:val="00F71044"/>
    <w:rsid w:val="00F713AD"/>
    <w:rsid w:val="00F71A9F"/>
    <w:rsid w:val="00F71C66"/>
    <w:rsid w:val="00F7231A"/>
    <w:rsid w:val="00F7273F"/>
    <w:rsid w:val="00F728D7"/>
    <w:rsid w:val="00F72A7F"/>
    <w:rsid w:val="00F737BD"/>
    <w:rsid w:val="00F73B1B"/>
    <w:rsid w:val="00F74135"/>
    <w:rsid w:val="00F74275"/>
    <w:rsid w:val="00F74539"/>
    <w:rsid w:val="00F74595"/>
    <w:rsid w:val="00F745F7"/>
    <w:rsid w:val="00F7492D"/>
    <w:rsid w:val="00F7552B"/>
    <w:rsid w:val="00F758D8"/>
    <w:rsid w:val="00F75A16"/>
    <w:rsid w:val="00F75B38"/>
    <w:rsid w:val="00F75F5D"/>
    <w:rsid w:val="00F760E8"/>
    <w:rsid w:val="00F76110"/>
    <w:rsid w:val="00F763B3"/>
    <w:rsid w:val="00F763FD"/>
    <w:rsid w:val="00F7653F"/>
    <w:rsid w:val="00F768B9"/>
    <w:rsid w:val="00F76BE7"/>
    <w:rsid w:val="00F773C1"/>
    <w:rsid w:val="00F77BC9"/>
    <w:rsid w:val="00F77DBE"/>
    <w:rsid w:val="00F800C9"/>
    <w:rsid w:val="00F80727"/>
    <w:rsid w:val="00F81179"/>
    <w:rsid w:val="00F81200"/>
    <w:rsid w:val="00F81A17"/>
    <w:rsid w:val="00F826B7"/>
    <w:rsid w:val="00F8271C"/>
    <w:rsid w:val="00F8275D"/>
    <w:rsid w:val="00F82A35"/>
    <w:rsid w:val="00F82E4C"/>
    <w:rsid w:val="00F82F1D"/>
    <w:rsid w:val="00F82F51"/>
    <w:rsid w:val="00F8369F"/>
    <w:rsid w:val="00F83761"/>
    <w:rsid w:val="00F83F7A"/>
    <w:rsid w:val="00F8420C"/>
    <w:rsid w:val="00F843BE"/>
    <w:rsid w:val="00F84691"/>
    <w:rsid w:val="00F8490F"/>
    <w:rsid w:val="00F84941"/>
    <w:rsid w:val="00F84A50"/>
    <w:rsid w:val="00F84CEC"/>
    <w:rsid w:val="00F84D1D"/>
    <w:rsid w:val="00F84D46"/>
    <w:rsid w:val="00F85235"/>
    <w:rsid w:val="00F8584B"/>
    <w:rsid w:val="00F85B28"/>
    <w:rsid w:val="00F85DCA"/>
    <w:rsid w:val="00F860F0"/>
    <w:rsid w:val="00F86292"/>
    <w:rsid w:val="00F86BA3"/>
    <w:rsid w:val="00F86FE0"/>
    <w:rsid w:val="00F87246"/>
    <w:rsid w:val="00F87AF5"/>
    <w:rsid w:val="00F87E9C"/>
    <w:rsid w:val="00F902DF"/>
    <w:rsid w:val="00F90587"/>
    <w:rsid w:val="00F905A3"/>
    <w:rsid w:val="00F90694"/>
    <w:rsid w:val="00F909B0"/>
    <w:rsid w:val="00F912DF"/>
    <w:rsid w:val="00F915C1"/>
    <w:rsid w:val="00F9175E"/>
    <w:rsid w:val="00F91C8E"/>
    <w:rsid w:val="00F91F08"/>
    <w:rsid w:val="00F920BE"/>
    <w:rsid w:val="00F9225C"/>
    <w:rsid w:val="00F9279D"/>
    <w:rsid w:val="00F927A1"/>
    <w:rsid w:val="00F92A16"/>
    <w:rsid w:val="00F9310F"/>
    <w:rsid w:val="00F93299"/>
    <w:rsid w:val="00F93397"/>
    <w:rsid w:val="00F935C0"/>
    <w:rsid w:val="00F938B0"/>
    <w:rsid w:val="00F93BB0"/>
    <w:rsid w:val="00F93D94"/>
    <w:rsid w:val="00F93F11"/>
    <w:rsid w:val="00F9420E"/>
    <w:rsid w:val="00F944AB"/>
    <w:rsid w:val="00F94588"/>
    <w:rsid w:val="00F94719"/>
    <w:rsid w:val="00F9476C"/>
    <w:rsid w:val="00F9485D"/>
    <w:rsid w:val="00F948E0"/>
    <w:rsid w:val="00F94989"/>
    <w:rsid w:val="00F94B53"/>
    <w:rsid w:val="00F94C9C"/>
    <w:rsid w:val="00F94E51"/>
    <w:rsid w:val="00F94E94"/>
    <w:rsid w:val="00F94EB9"/>
    <w:rsid w:val="00F9526F"/>
    <w:rsid w:val="00F955E1"/>
    <w:rsid w:val="00F95631"/>
    <w:rsid w:val="00F958FF"/>
    <w:rsid w:val="00F9592C"/>
    <w:rsid w:val="00F95CC5"/>
    <w:rsid w:val="00F95D77"/>
    <w:rsid w:val="00F95FD5"/>
    <w:rsid w:val="00F96030"/>
    <w:rsid w:val="00F967AB"/>
    <w:rsid w:val="00F96C65"/>
    <w:rsid w:val="00F96FE9"/>
    <w:rsid w:val="00F977FB"/>
    <w:rsid w:val="00F97935"/>
    <w:rsid w:val="00F97C7D"/>
    <w:rsid w:val="00F97D56"/>
    <w:rsid w:val="00F97E7F"/>
    <w:rsid w:val="00F97E87"/>
    <w:rsid w:val="00F97E88"/>
    <w:rsid w:val="00FA008C"/>
    <w:rsid w:val="00FA01EE"/>
    <w:rsid w:val="00FA0209"/>
    <w:rsid w:val="00FA05A5"/>
    <w:rsid w:val="00FA0773"/>
    <w:rsid w:val="00FA11ED"/>
    <w:rsid w:val="00FA123F"/>
    <w:rsid w:val="00FA1671"/>
    <w:rsid w:val="00FA1743"/>
    <w:rsid w:val="00FA17DF"/>
    <w:rsid w:val="00FA1814"/>
    <w:rsid w:val="00FA1A49"/>
    <w:rsid w:val="00FA1A52"/>
    <w:rsid w:val="00FA1B13"/>
    <w:rsid w:val="00FA1DCB"/>
    <w:rsid w:val="00FA1E7C"/>
    <w:rsid w:val="00FA1E95"/>
    <w:rsid w:val="00FA1EB2"/>
    <w:rsid w:val="00FA2658"/>
    <w:rsid w:val="00FA2C54"/>
    <w:rsid w:val="00FA2C80"/>
    <w:rsid w:val="00FA324E"/>
    <w:rsid w:val="00FA34B7"/>
    <w:rsid w:val="00FA3835"/>
    <w:rsid w:val="00FA3BDD"/>
    <w:rsid w:val="00FA3EFF"/>
    <w:rsid w:val="00FA4C57"/>
    <w:rsid w:val="00FA545F"/>
    <w:rsid w:val="00FA5503"/>
    <w:rsid w:val="00FA5770"/>
    <w:rsid w:val="00FA59D9"/>
    <w:rsid w:val="00FA5B3E"/>
    <w:rsid w:val="00FA5E68"/>
    <w:rsid w:val="00FA6105"/>
    <w:rsid w:val="00FA641D"/>
    <w:rsid w:val="00FA6A9A"/>
    <w:rsid w:val="00FA701E"/>
    <w:rsid w:val="00FA72A9"/>
    <w:rsid w:val="00FA737A"/>
    <w:rsid w:val="00FA74CD"/>
    <w:rsid w:val="00FA7AC2"/>
    <w:rsid w:val="00FB03A7"/>
    <w:rsid w:val="00FB04D1"/>
    <w:rsid w:val="00FB098D"/>
    <w:rsid w:val="00FB09AB"/>
    <w:rsid w:val="00FB0E6F"/>
    <w:rsid w:val="00FB0EF6"/>
    <w:rsid w:val="00FB0F9A"/>
    <w:rsid w:val="00FB0FD4"/>
    <w:rsid w:val="00FB11F5"/>
    <w:rsid w:val="00FB12D8"/>
    <w:rsid w:val="00FB12FB"/>
    <w:rsid w:val="00FB1699"/>
    <w:rsid w:val="00FB16F9"/>
    <w:rsid w:val="00FB1AED"/>
    <w:rsid w:val="00FB1BB9"/>
    <w:rsid w:val="00FB1E58"/>
    <w:rsid w:val="00FB1F2A"/>
    <w:rsid w:val="00FB2740"/>
    <w:rsid w:val="00FB2A86"/>
    <w:rsid w:val="00FB2C90"/>
    <w:rsid w:val="00FB2DFA"/>
    <w:rsid w:val="00FB35BE"/>
    <w:rsid w:val="00FB3794"/>
    <w:rsid w:val="00FB37A1"/>
    <w:rsid w:val="00FB3920"/>
    <w:rsid w:val="00FB4444"/>
    <w:rsid w:val="00FB4489"/>
    <w:rsid w:val="00FB4789"/>
    <w:rsid w:val="00FB4C13"/>
    <w:rsid w:val="00FB4DAD"/>
    <w:rsid w:val="00FB4E99"/>
    <w:rsid w:val="00FB4F96"/>
    <w:rsid w:val="00FB5149"/>
    <w:rsid w:val="00FB52D9"/>
    <w:rsid w:val="00FB5543"/>
    <w:rsid w:val="00FB565F"/>
    <w:rsid w:val="00FB60B3"/>
    <w:rsid w:val="00FB63B1"/>
    <w:rsid w:val="00FB6476"/>
    <w:rsid w:val="00FB6A53"/>
    <w:rsid w:val="00FB6BC0"/>
    <w:rsid w:val="00FB6C6F"/>
    <w:rsid w:val="00FB6D96"/>
    <w:rsid w:val="00FB728C"/>
    <w:rsid w:val="00FB743C"/>
    <w:rsid w:val="00FB7510"/>
    <w:rsid w:val="00FB7547"/>
    <w:rsid w:val="00FB77D8"/>
    <w:rsid w:val="00FB7A2A"/>
    <w:rsid w:val="00FB7E87"/>
    <w:rsid w:val="00FC00AF"/>
    <w:rsid w:val="00FC04BE"/>
    <w:rsid w:val="00FC04E8"/>
    <w:rsid w:val="00FC078F"/>
    <w:rsid w:val="00FC09FC"/>
    <w:rsid w:val="00FC0A8F"/>
    <w:rsid w:val="00FC1349"/>
    <w:rsid w:val="00FC155D"/>
    <w:rsid w:val="00FC1722"/>
    <w:rsid w:val="00FC18C5"/>
    <w:rsid w:val="00FC1C5B"/>
    <w:rsid w:val="00FC1C76"/>
    <w:rsid w:val="00FC1FA0"/>
    <w:rsid w:val="00FC22F0"/>
    <w:rsid w:val="00FC264D"/>
    <w:rsid w:val="00FC28AE"/>
    <w:rsid w:val="00FC2AA4"/>
    <w:rsid w:val="00FC2C9C"/>
    <w:rsid w:val="00FC3143"/>
    <w:rsid w:val="00FC330A"/>
    <w:rsid w:val="00FC390B"/>
    <w:rsid w:val="00FC3DC9"/>
    <w:rsid w:val="00FC3E8C"/>
    <w:rsid w:val="00FC3FA9"/>
    <w:rsid w:val="00FC4293"/>
    <w:rsid w:val="00FC42A7"/>
    <w:rsid w:val="00FC4B49"/>
    <w:rsid w:val="00FC5063"/>
    <w:rsid w:val="00FC521A"/>
    <w:rsid w:val="00FC530C"/>
    <w:rsid w:val="00FC54E1"/>
    <w:rsid w:val="00FC59C6"/>
    <w:rsid w:val="00FC5A35"/>
    <w:rsid w:val="00FC5C1D"/>
    <w:rsid w:val="00FC610A"/>
    <w:rsid w:val="00FC64D3"/>
    <w:rsid w:val="00FC6948"/>
    <w:rsid w:val="00FC69D5"/>
    <w:rsid w:val="00FC6B58"/>
    <w:rsid w:val="00FC6E61"/>
    <w:rsid w:val="00FC701E"/>
    <w:rsid w:val="00FC733E"/>
    <w:rsid w:val="00FC7385"/>
    <w:rsid w:val="00FC75B1"/>
    <w:rsid w:val="00FC7B09"/>
    <w:rsid w:val="00FC7BA1"/>
    <w:rsid w:val="00FC7DE9"/>
    <w:rsid w:val="00FD0395"/>
    <w:rsid w:val="00FD082A"/>
    <w:rsid w:val="00FD0958"/>
    <w:rsid w:val="00FD0B11"/>
    <w:rsid w:val="00FD0F72"/>
    <w:rsid w:val="00FD1A26"/>
    <w:rsid w:val="00FD1FF5"/>
    <w:rsid w:val="00FD2095"/>
    <w:rsid w:val="00FD2241"/>
    <w:rsid w:val="00FD2C67"/>
    <w:rsid w:val="00FD3475"/>
    <w:rsid w:val="00FD3623"/>
    <w:rsid w:val="00FD367E"/>
    <w:rsid w:val="00FD3A65"/>
    <w:rsid w:val="00FD3ABE"/>
    <w:rsid w:val="00FD3E53"/>
    <w:rsid w:val="00FD3EDC"/>
    <w:rsid w:val="00FD402B"/>
    <w:rsid w:val="00FD457D"/>
    <w:rsid w:val="00FD4B41"/>
    <w:rsid w:val="00FD5091"/>
    <w:rsid w:val="00FD5151"/>
    <w:rsid w:val="00FD545A"/>
    <w:rsid w:val="00FD56F4"/>
    <w:rsid w:val="00FD5D18"/>
    <w:rsid w:val="00FD610E"/>
    <w:rsid w:val="00FD6481"/>
    <w:rsid w:val="00FD666E"/>
    <w:rsid w:val="00FD6D07"/>
    <w:rsid w:val="00FD70A5"/>
    <w:rsid w:val="00FD7353"/>
    <w:rsid w:val="00FD74DC"/>
    <w:rsid w:val="00FD76FB"/>
    <w:rsid w:val="00FD7A30"/>
    <w:rsid w:val="00FD7B02"/>
    <w:rsid w:val="00FD7D73"/>
    <w:rsid w:val="00FD7DEA"/>
    <w:rsid w:val="00FE0160"/>
    <w:rsid w:val="00FE0224"/>
    <w:rsid w:val="00FE0E44"/>
    <w:rsid w:val="00FE12F6"/>
    <w:rsid w:val="00FE162F"/>
    <w:rsid w:val="00FE176B"/>
    <w:rsid w:val="00FE184A"/>
    <w:rsid w:val="00FE1D24"/>
    <w:rsid w:val="00FE2115"/>
    <w:rsid w:val="00FE22DD"/>
    <w:rsid w:val="00FE24FB"/>
    <w:rsid w:val="00FE2B00"/>
    <w:rsid w:val="00FE2E31"/>
    <w:rsid w:val="00FE34A7"/>
    <w:rsid w:val="00FE353E"/>
    <w:rsid w:val="00FE3AD6"/>
    <w:rsid w:val="00FE3B82"/>
    <w:rsid w:val="00FE3BD9"/>
    <w:rsid w:val="00FE451D"/>
    <w:rsid w:val="00FE4AEE"/>
    <w:rsid w:val="00FE4C2F"/>
    <w:rsid w:val="00FE4EAC"/>
    <w:rsid w:val="00FE4F39"/>
    <w:rsid w:val="00FE4F6A"/>
    <w:rsid w:val="00FE525C"/>
    <w:rsid w:val="00FE5280"/>
    <w:rsid w:val="00FE52E7"/>
    <w:rsid w:val="00FE582F"/>
    <w:rsid w:val="00FE5CA3"/>
    <w:rsid w:val="00FE5EBA"/>
    <w:rsid w:val="00FE5F46"/>
    <w:rsid w:val="00FE603B"/>
    <w:rsid w:val="00FE6306"/>
    <w:rsid w:val="00FE6356"/>
    <w:rsid w:val="00FE6710"/>
    <w:rsid w:val="00FE675A"/>
    <w:rsid w:val="00FE6AC0"/>
    <w:rsid w:val="00FE6ECD"/>
    <w:rsid w:val="00FE72F8"/>
    <w:rsid w:val="00FE79C7"/>
    <w:rsid w:val="00FE7B87"/>
    <w:rsid w:val="00FF00BC"/>
    <w:rsid w:val="00FF0141"/>
    <w:rsid w:val="00FF03AC"/>
    <w:rsid w:val="00FF0D06"/>
    <w:rsid w:val="00FF138A"/>
    <w:rsid w:val="00FF13AB"/>
    <w:rsid w:val="00FF15E4"/>
    <w:rsid w:val="00FF1683"/>
    <w:rsid w:val="00FF1A07"/>
    <w:rsid w:val="00FF1A6B"/>
    <w:rsid w:val="00FF2176"/>
    <w:rsid w:val="00FF2602"/>
    <w:rsid w:val="00FF267E"/>
    <w:rsid w:val="00FF293F"/>
    <w:rsid w:val="00FF3087"/>
    <w:rsid w:val="00FF37C5"/>
    <w:rsid w:val="00FF386E"/>
    <w:rsid w:val="00FF39A4"/>
    <w:rsid w:val="00FF3BA9"/>
    <w:rsid w:val="00FF4425"/>
    <w:rsid w:val="00FF475A"/>
    <w:rsid w:val="00FF47D3"/>
    <w:rsid w:val="00FF492C"/>
    <w:rsid w:val="00FF4BF5"/>
    <w:rsid w:val="00FF4F24"/>
    <w:rsid w:val="00FF4F9D"/>
    <w:rsid w:val="00FF5584"/>
    <w:rsid w:val="00FF582F"/>
    <w:rsid w:val="00FF63C8"/>
    <w:rsid w:val="00FF693E"/>
    <w:rsid w:val="00FF69E4"/>
    <w:rsid w:val="00FF6C88"/>
    <w:rsid w:val="00FF6D05"/>
    <w:rsid w:val="00FF740F"/>
    <w:rsid w:val="00FF78B1"/>
    <w:rsid w:val="00FF7C7B"/>
    <w:rsid w:val="00FF7E9D"/>
    <w:rsid w:val="01022A96"/>
    <w:rsid w:val="0102EEB8"/>
    <w:rsid w:val="01032B21"/>
    <w:rsid w:val="0104FBC1"/>
    <w:rsid w:val="010A8FF7"/>
    <w:rsid w:val="010D7501"/>
    <w:rsid w:val="010E2153"/>
    <w:rsid w:val="0113D941"/>
    <w:rsid w:val="0118D508"/>
    <w:rsid w:val="01203E3D"/>
    <w:rsid w:val="0121A449"/>
    <w:rsid w:val="0129319F"/>
    <w:rsid w:val="012E65CC"/>
    <w:rsid w:val="0130D79A"/>
    <w:rsid w:val="013728CE"/>
    <w:rsid w:val="013DDA60"/>
    <w:rsid w:val="013FC72A"/>
    <w:rsid w:val="0147370C"/>
    <w:rsid w:val="014A8D27"/>
    <w:rsid w:val="015950B6"/>
    <w:rsid w:val="015CA653"/>
    <w:rsid w:val="01628FCB"/>
    <w:rsid w:val="0164ED9C"/>
    <w:rsid w:val="01678C23"/>
    <w:rsid w:val="016BAFD6"/>
    <w:rsid w:val="017A5A34"/>
    <w:rsid w:val="017B0A71"/>
    <w:rsid w:val="017CD800"/>
    <w:rsid w:val="017E14F2"/>
    <w:rsid w:val="017E4FC8"/>
    <w:rsid w:val="017FD33B"/>
    <w:rsid w:val="018AEA91"/>
    <w:rsid w:val="01900689"/>
    <w:rsid w:val="0192D38C"/>
    <w:rsid w:val="019E1EA0"/>
    <w:rsid w:val="019FA248"/>
    <w:rsid w:val="01A133AF"/>
    <w:rsid w:val="01A45478"/>
    <w:rsid w:val="01A72E83"/>
    <w:rsid w:val="01A95339"/>
    <w:rsid w:val="01AE977C"/>
    <w:rsid w:val="01B90EF8"/>
    <w:rsid w:val="01C14EF4"/>
    <w:rsid w:val="01C1E4B6"/>
    <w:rsid w:val="01C5F32D"/>
    <w:rsid w:val="01CA6350"/>
    <w:rsid w:val="01CB5274"/>
    <w:rsid w:val="01CB7478"/>
    <w:rsid w:val="01CBFAB4"/>
    <w:rsid w:val="01D57F0A"/>
    <w:rsid w:val="01D8C657"/>
    <w:rsid w:val="01DE02AC"/>
    <w:rsid w:val="01DF4257"/>
    <w:rsid w:val="01E24B00"/>
    <w:rsid w:val="01E82C54"/>
    <w:rsid w:val="01E85360"/>
    <w:rsid w:val="01F0BA82"/>
    <w:rsid w:val="01F48484"/>
    <w:rsid w:val="01F50841"/>
    <w:rsid w:val="01F859E5"/>
    <w:rsid w:val="01FA14A6"/>
    <w:rsid w:val="0204FDE4"/>
    <w:rsid w:val="020956F6"/>
    <w:rsid w:val="020DB369"/>
    <w:rsid w:val="02103F44"/>
    <w:rsid w:val="02144E7A"/>
    <w:rsid w:val="0218980F"/>
    <w:rsid w:val="021CB012"/>
    <w:rsid w:val="02222F52"/>
    <w:rsid w:val="02252F6C"/>
    <w:rsid w:val="0228ABA5"/>
    <w:rsid w:val="022C92CF"/>
    <w:rsid w:val="0230F720"/>
    <w:rsid w:val="02384CEB"/>
    <w:rsid w:val="023CB22A"/>
    <w:rsid w:val="023FDC39"/>
    <w:rsid w:val="0244EF90"/>
    <w:rsid w:val="0245FA91"/>
    <w:rsid w:val="024CF403"/>
    <w:rsid w:val="024E33EB"/>
    <w:rsid w:val="025388DD"/>
    <w:rsid w:val="025998B5"/>
    <w:rsid w:val="0262BAAE"/>
    <w:rsid w:val="02723B3E"/>
    <w:rsid w:val="027562B2"/>
    <w:rsid w:val="027562DF"/>
    <w:rsid w:val="0278054D"/>
    <w:rsid w:val="027FDD3F"/>
    <w:rsid w:val="02810D54"/>
    <w:rsid w:val="02885DEE"/>
    <w:rsid w:val="0288E832"/>
    <w:rsid w:val="02897B0B"/>
    <w:rsid w:val="02919408"/>
    <w:rsid w:val="0292877A"/>
    <w:rsid w:val="029B2671"/>
    <w:rsid w:val="02A0E640"/>
    <w:rsid w:val="02A9830C"/>
    <w:rsid w:val="02B581FF"/>
    <w:rsid w:val="02B58BFC"/>
    <w:rsid w:val="02B7EF12"/>
    <w:rsid w:val="02BC5ED1"/>
    <w:rsid w:val="02C427B0"/>
    <w:rsid w:val="02C78CBC"/>
    <w:rsid w:val="02CD44B3"/>
    <w:rsid w:val="02D0C68B"/>
    <w:rsid w:val="02D483AD"/>
    <w:rsid w:val="02D5E85A"/>
    <w:rsid w:val="02DE4F51"/>
    <w:rsid w:val="02DF3051"/>
    <w:rsid w:val="02E1EA5B"/>
    <w:rsid w:val="02E1F0A1"/>
    <w:rsid w:val="02E69365"/>
    <w:rsid w:val="02EC4D9D"/>
    <w:rsid w:val="02EF2137"/>
    <w:rsid w:val="03005CF8"/>
    <w:rsid w:val="030068E2"/>
    <w:rsid w:val="0305E1CA"/>
    <w:rsid w:val="0307D792"/>
    <w:rsid w:val="0308835B"/>
    <w:rsid w:val="0308C39E"/>
    <w:rsid w:val="03122EA7"/>
    <w:rsid w:val="031F4A99"/>
    <w:rsid w:val="0321AE5F"/>
    <w:rsid w:val="0328CBDC"/>
    <w:rsid w:val="032D20FC"/>
    <w:rsid w:val="032F0BE1"/>
    <w:rsid w:val="0336AD88"/>
    <w:rsid w:val="0337EBE4"/>
    <w:rsid w:val="0344193D"/>
    <w:rsid w:val="03472458"/>
    <w:rsid w:val="034B2819"/>
    <w:rsid w:val="034FF86E"/>
    <w:rsid w:val="035062F2"/>
    <w:rsid w:val="03554FBB"/>
    <w:rsid w:val="035B8D46"/>
    <w:rsid w:val="0364D8C4"/>
    <w:rsid w:val="036A451A"/>
    <w:rsid w:val="036B432A"/>
    <w:rsid w:val="036F5A35"/>
    <w:rsid w:val="0373E1B8"/>
    <w:rsid w:val="037C703E"/>
    <w:rsid w:val="03802745"/>
    <w:rsid w:val="0387A94D"/>
    <w:rsid w:val="0389906F"/>
    <w:rsid w:val="0389AEE8"/>
    <w:rsid w:val="038BC653"/>
    <w:rsid w:val="0398DEF7"/>
    <w:rsid w:val="039B144B"/>
    <w:rsid w:val="039E6F6F"/>
    <w:rsid w:val="039EA6C5"/>
    <w:rsid w:val="039FE4DF"/>
    <w:rsid w:val="03A5793C"/>
    <w:rsid w:val="03A92393"/>
    <w:rsid w:val="03AA657B"/>
    <w:rsid w:val="03AA760B"/>
    <w:rsid w:val="03ABD333"/>
    <w:rsid w:val="03ACB210"/>
    <w:rsid w:val="03B75FDE"/>
    <w:rsid w:val="03BE41FB"/>
    <w:rsid w:val="03C2E1B6"/>
    <w:rsid w:val="03C72FD6"/>
    <w:rsid w:val="03C93BA5"/>
    <w:rsid w:val="03CAFBF5"/>
    <w:rsid w:val="03CD785A"/>
    <w:rsid w:val="03D05E16"/>
    <w:rsid w:val="03DA0CC1"/>
    <w:rsid w:val="03DDF019"/>
    <w:rsid w:val="03E28B7E"/>
    <w:rsid w:val="03E2AC46"/>
    <w:rsid w:val="03E64459"/>
    <w:rsid w:val="03E7099C"/>
    <w:rsid w:val="03EC0190"/>
    <w:rsid w:val="03EC23A8"/>
    <w:rsid w:val="03EF6938"/>
    <w:rsid w:val="03FC4C2F"/>
    <w:rsid w:val="03FCE225"/>
    <w:rsid w:val="04077D0C"/>
    <w:rsid w:val="0413B489"/>
    <w:rsid w:val="041A0657"/>
    <w:rsid w:val="04239B50"/>
    <w:rsid w:val="0425D889"/>
    <w:rsid w:val="0428222A"/>
    <w:rsid w:val="0432AA5E"/>
    <w:rsid w:val="04336C90"/>
    <w:rsid w:val="043BC57A"/>
    <w:rsid w:val="043C83D0"/>
    <w:rsid w:val="043DAAF6"/>
    <w:rsid w:val="043DEB90"/>
    <w:rsid w:val="043E6DB2"/>
    <w:rsid w:val="04438849"/>
    <w:rsid w:val="04494A96"/>
    <w:rsid w:val="0464F933"/>
    <w:rsid w:val="047673E4"/>
    <w:rsid w:val="04776973"/>
    <w:rsid w:val="04819C8E"/>
    <w:rsid w:val="04898A14"/>
    <w:rsid w:val="0489A837"/>
    <w:rsid w:val="0492F789"/>
    <w:rsid w:val="0496EB07"/>
    <w:rsid w:val="04B04F1D"/>
    <w:rsid w:val="04B2DF1B"/>
    <w:rsid w:val="04C31106"/>
    <w:rsid w:val="04DAE967"/>
    <w:rsid w:val="04DDEB47"/>
    <w:rsid w:val="04E9B000"/>
    <w:rsid w:val="04EB040B"/>
    <w:rsid w:val="04EC14BF"/>
    <w:rsid w:val="04EE3DEB"/>
    <w:rsid w:val="04EF6A5E"/>
    <w:rsid w:val="04F7AAF1"/>
    <w:rsid w:val="050917C9"/>
    <w:rsid w:val="0516B25D"/>
    <w:rsid w:val="0526A72E"/>
    <w:rsid w:val="052B537A"/>
    <w:rsid w:val="052EF30D"/>
    <w:rsid w:val="05319782"/>
    <w:rsid w:val="05351755"/>
    <w:rsid w:val="0536154B"/>
    <w:rsid w:val="053AA8D2"/>
    <w:rsid w:val="053B8246"/>
    <w:rsid w:val="053FD2AA"/>
    <w:rsid w:val="0543383B"/>
    <w:rsid w:val="054485C0"/>
    <w:rsid w:val="05473AA3"/>
    <w:rsid w:val="05495A6B"/>
    <w:rsid w:val="054C2CC0"/>
    <w:rsid w:val="054E4B02"/>
    <w:rsid w:val="054F78E2"/>
    <w:rsid w:val="0550F553"/>
    <w:rsid w:val="055AAB70"/>
    <w:rsid w:val="05615133"/>
    <w:rsid w:val="056B8E94"/>
    <w:rsid w:val="056D53F3"/>
    <w:rsid w:val="0572AB76"/>
    <w:rsid w:val="0572FBFA"/>
    <w:rsid w:val="057E6080"/>
    <w:rsid w:val="0588499A"/>
    <w:rsid w:val="0588BB74"/>
    <w:rsid w:val="058B9544"/>
    <w:rsid w:val="058C00C8"/>
    <w:rsid w:val="058CB2C0"/>
    <w:rsid w:val="0591494A"/>
    <w:rsid w:val="05951E7E"/>
    <w:rsid w:val="05A2ABF3"/>
    <w:rsid w:val="05A690A6"/>
    <w:rsid w:val="05ABD9C8"/>
    <w:rsid w:val="05AC7A7E"/>
    <w:rsid w:val="05ADF5F9"/>
    <w:rsid w:val="05B3099E"/>
    <w:rsid w:val="05B73CE9"/>
    <w:rsid w:val="05BE37B1"/>
    <w:rsid w:val="05BE52E5"/>
    <w:rsid w:val="05BFF8BA"/>
    <w:rsid w:val="05C61615"/>
    <w:rsid w:val="05C87B09"/>
    <w:rsid w:val="05C8B186"/>
    <w:rsid w:val="05CEAFB2"/>
    <w:rsid w:val="05D6B100"/>
    <w:rsid w:val="05D90976"/>
    <w:rsid w:val="05E048B3"/>
    <w:rsid w:val="05EDCB10"/>
    <w:rsid w:val="05F03AEE"/>
    <w:rsid w:val="05F31C0C"/>
    <w:rsid w:val="05F42C90"/>
    <w:rsid w:val="05F9751C"/>
    <w:rsid w:val="05FB3C8D"/>
    <w:rsid w:val="060456E3"/>
    <w:rsid w:val="0606BD07"/>
    <w:rsid w:val="0608D511"/>
    <w:rsid w:val="0609D9B4"/>
    <w:rsid w:val="061038C6"/>
    <w:rsid w:val="06139937"/>
    <w:rsid w:val="06165DA6"/>
    <w:rsid w:val="0628B41C"/>
    <w:rsid w:val="062E9FB3"/>
    <w:rsid w:val="063155A2"/>
    <w:rsid w:val="06371DB2"/>
    <w:rsid w:val="0639FDB2"/>
    <w:rsid w:val="0644D348"/>
    <w:rsid w:val="0647D99C"/>
    <w:rsid w:val="0652B6F7"/>
    <w:rsid w:val="065AA119"/>
    <w:rsid w:val="065E50FD"/>
    <w:rsid w:val="066269A3"/>
    <w:rsid w:val="0662A04F"/>
    <w:rsid w:val="0664E7F8"/>
    <w:rsid w:val="06692F56"/>
    <w:rsid w:val="067162BD"/>
    <w:rsid w:val="06718FC3"/>
    <w:rsid w:val="0679F53A"/>
    <w:rsid w:val="067A00AC"/>
    <w:rsid w:val="067A47EA"/>
    <w:rsid w:val="068DC521"/>
    <w:rsid w:val="06900560"/>
    <w:rsid w:val="069C6D1C"/>
    <w:rsid w:val="06AA11D9"/>
    <w:rsid w:val="06AD1A72"/>
    <w:rsid w:val="06AD4805"/>
    <w:rsid w:val="06AFCEF9"/>
    <w:rsid w:val="06B33928"/>
    <w:rsid w:val="06B349EA"/>
    <w:rsid w:val="06B52787"/>
    <w:rsid w:val="06B62ACA"/>
    <w:rsid w:val="06C23399"/>
    <w:rsid w:val="06D17D15"/>
    <w:rsid w:val="06D907C8"/>
    <w:rsid w:val="06E0BA29"/>
    <w:rsid w:val="06E19894"/>
    <w:rsid w:val="06EC7873"/>
    <w:rsid w:val="06ED6581"/>
    <w:rsid w:val="06F762E2"/>
    <w:rsid w:val="06FC7C58"/>
    <w:rsid w:val="06FE60F3"/>
    <w:rsid w:val="06FFBF11"/>
    <w:rsid w:val="07072C47"/>
    <w:rsid w:val="070D5070"/>
    <w:rsid w:val="070EAE73"/>
    <w:rsid w:val="070EE57F"/>
    <w:rsid w:val="071A58A4"/>
    <w:rsid w:val="071DFCFF"/>
    <w:rsid w:val="071E3A14"/>
    <w:rsid w:val="072174F6"/>
    <w:rsid w:val="0723FAFC"/>
    <w:rsid w:val="0739E997"/>
    <w:rsid w:val="073AB314"/>
    <w:rsid w:val="074723C5"/>
    <w:rsid w:val="07472984"/>
    <w:rsid w:val="074DA2B4"/>
    <w:rsid w:val="0751E935"/>
    <w:rsid w:val="0755675C"/>
    <w:rsid w:val="0758E0C3"/>
    <w:rsid w:val="075DF401"/>
    <w:rsid w:val="075E3EF1"/>
    <w:rsid w:val="076658BB"/>
    <w:rsid w:val="077CF42F"/>
    <w:rsid w:val="0782126F"/>
    <w:rsid w:val="0782666D"/>
    <w:rsid w:val="078A450A"/>
    <w:rsid w:val="078EA9F3"/>
    <w:rsid w:val="0792D1B3"/>
    <w:rsid w:val="07A55E00"/>
    <w:rsid w:val="07A568E0"/>
    <w:rsid w:val="07AE9553"/>
    <w:rsid w:val="07AFD326"/>
    <w:rsid w:val="07B2A2CE"/>
    <w:rsid w:val="07BA29ED"/>
    <w:rsid w:val="07BCC5D1"/>
    <w:rsid w:val="07C2ABA8"/>
    <w:rsid w:val="07C31839"/>
    <w:rsid w:val="07C607E4"/>
    <w:rsid w:val="07C9671B"/>
    <w:rsid w:val="07CA9C76"/>
    <w:rsid w:val="07CFAACC"/>
    <w:rsid w:val="07D25BA4"/>
    <w:rsid w:val="07D4FA21"/>
    <w:rsid w:val="07D5F719"/>
    <w:rsid w:val="07DAEAC9"/>
    <w:rsid w:val="07E1347B"/>
    <w:rsid w:val="07E1DA15"/>
    <w:rsid w:val="07E1F59B"/>
    <w:rsid w:val="07F0EB18"/>
    <w:rsid w:val="07F3FB77"/>
    <w:rsid w:val="07F66B63"/>
    <w:rsid w:val="07FFB8CD"/>
    <w:rsid w:val="080219BB"/>
    <w:rsid w:val="080468B6"/>
    <w:rsid w:val="0805AB3A"/>
    <w:rsid w:val="08075F42"/>
    <w:rsid w:val="0810AE92"/>
    <w:rsid w:val="08137CB5"/>
    <w:rsid w:val="081E72D3"/>
    <w:rsid w:val="0824102F"/>
    <w:rsid w:val="08242145"/>
    <w:rsid w:val="0826DA3A"/>
    <w:rsid w:val="082EABE0"/>
    <w:rsid w:val="0831D0F4"/>
    <w:rsid w:val="0832C05C"/>
    <w:rsid w:val="0832DC6F"/>
    <w:rsid w:val="08404985"/>
    <w:rsid w:val="08461AE5"/>
    <w:rsid w:val="085154A6"/>
    <w:rsid w:val="0856CE7D"/>
    <w:rsid w:val="08601599"/>
    <w:rsid w:val="0868C4B4"/>
    <w:rsid w:val="086D2694"/>
    <w:rsid w:val="087117FC"/>
    <w:rsid w:val="08782814"/>
    <w:rsid w:val="087A0AAE"/>
    <w:rsid w:val="08845DBE"/>
    <w:rsid w:val="08954574"/>
    <w:rsid w:val="08B50F45"/>
    <w:rsid w:val="08B8D882"/>
    <w:rsid w:val="08DEA5E2"/>
    <w:rsid w:val="08E36D17"/>
    <w:rsid w:val="08E76B06"/>
    <w:rsid w:val="08EEC97C"/>
    <w:rsid w:val="08F2C2CC"/>
    <w:rsid w:val="08F7D4A5"/>
    <w:rsid w:val="08FBC787"/>
    <w:rsid w:val="08FE9E9E"/>
    <w:rsid w:val="09015669"/>
    <w:rsid w:val="09024CA1"/>
    <w:rsid w:val="0903F9CF"/>
    <w:rsid w:val="090D8DCA"/>
    <w:rsid w:val="09118FFE"/>
    <w:rsid w:val="09286E41"/>
    <w:rsid w:val="092B7CA9"/>
    <w:rsid w:val="09403B79"/>
    <w:rsid w:val="0942A3EA"/>
    <w:rsid w:val="0943D2DA"/>
    <w:rsid w:val="09464E2B"/>
    <w:rsid w:val="094A1BC7"/>
    <w:rsid w:val="095A735B"/>
    <w:rsid w:val="095E89D0"/>
    <w:rsid w:val="095E8B3F"/>
    <w:rsid w:val="095F1BC7"/>
    <w:rsid w:val="096CFF82"/>
    <w:rsid w:val="096D0EB2"/>
    <w:rsid w:val="097284F9"/>
    <w:rsid w:val="0978AA3F"/>
    <w:rsid w:val="097D69ED"/>
    <w:rsid w:val="0982D787"/>
    <w:rsid w:val="0987869E"/>
    <w:rsid w:val="09896300"/>
    <w:rsid w:val="098ADEC9"/>
    <w:rsid w:val="098D4873"/>
    <w:rsid w:val="098F32DC"/>
    <w:rsid w:val="099A9317"/>
    <w:rsid w:val="099F964E"/>
    <w:rsid w:val="09A073F1"/>
    <w:rsid w:val="09AC12C3"/>
    <w:rsid w:val="09BE526C"/>
    <w:rsid w:val="09CCC023"/>
    <w:rsid w:val="09CD3B91"/>
    <w:rsid w:val="09D1544B"/>
    <w:rsid w:val="09D4218F"/>
    <w:rsid w:val="09D6B7C3"/>
    <w:rsid w:val="09D8A308"/>
    <w:rsid w:val="09DB9EA2"/>
    <w:rsid w:val="09E515E6"/>
    <w:rsid w:val="09EF986C"/>
    <w:rsid w:val="0A0101A7"/>
    <w:rsid w:val="0A0508A5"/>
    <w:rsid w:val="0A0B7A8A"/>
    <w:rsid w:val="0A0F7A6D"/>
    <w:rsid w:val="0A0FEA14"/>
    <w:rsid w:val="0A1CD73E"/>
    <w:rsid w:val="0A20BC7B"/>
    <w:rsid w:val="0A2B443D"/>
    <w:rsid w:val="0A2F4F04"/>
    <w:rsid w:val="0A3324F1"/>
    <w:rsid w:val="0A37EEA8"/>
    <w:rsid w:val="0A38C2C1"/>
    <w:rsid w:val="0A4096B2"/>
    <w:rsid w:val="0A41039E"/>
    <w:rsid w:val="0A52152E"/>
    <w:rsid w:val="0A58EB15"/>
    <w:rsid w:val="0A5B270D"/>
    <w:rsid w:val="0A5E05C7"/>
    <w:rsid w:val="0A5F7B46"/>
    <w:rsid w:val="0A65ED7D"/>
    <w:rsid w:val="0A6CF5C3"/>
    <w:rsid w:val="0A7522B8"/>
    <w:rsid w:val="0A8206A4"/>
    <w:rsid w:val="0A853C7C"/>
    <w:rsid w:val="0A8634E7"/>
    <w:rsid w:val="0A8AF6FD"/>
    <w:rsid w:val="0A8F776C"/>
    <w:rsid w:val="0A98E713"/>
    <w:rsid w:val="0AA3E3F0"/>
    <w:rsid w:val="0AA42E19"/>
    <w:rsid w:val="0AB9E06F"/>
    <w:rsid w:val="0ABD1188"/>
    <w:rsid w:val="0AC1FBC5"/>
    <w:rsid w:val="0ACB63BE"/>
    <w:rsid w:val="0ACD6F6C"/>
    <w:rsid w:val="0ACF0BFD"/>
    <w:rsid w:val="0AD0C881"/>
    <w:rsid w:val="0AD26F26"/>
    <w:rsid w:val="0AD8FD05"/>
    <w:rsid w:val="0ADDDE11"/>
    <w:rsid w:val="0AE1220F"/>
    <w:rsid w:val="0AFA331C"/>
    <w:rsid w:val="0AFA57EC"/>
    <w:rsid w:val="0AFCCA02"/>
    <w:rsid w:val="0B0295A8"/>
    <w:rsid w:val="0B1DD235"/>
    <w:rsid w:val="0B213D17"/>
    <w:rsid w:val="0B243B6F"/>
    <w:rsid w:val="0B24B3A6"/>
    <w:rsid w:val="0B250C9D"/>
    <w:rsid w:val="0B2866EF"/>
    <w:rsid w:val="0B2D03C9"/>
    <w:rsid w:val="0B2D94BF"/>
    <w:rsid w:val="0B3A7A8D"/>
    <w:rsid w:val="0B4FAD96"/>
    <w:rsid w:val="0B528229"/>
    <w:rsid w:val="0B54C085"/>
    <w:rsid w:val="0B55D2B8"/>
    <w:rsid w:val="0B5A27AB"/>
    <w:rsid w:val="0B5BF7E2"/>
    <w:rsid w:val="0B6305C1"/>
    <w:rsid w:val="0B654513"/>
    <w:rsid w:val="0B6859AD"/>
    <w:rsid w:val="0B7FFFCF"/>
    <w:rsid w:val="0B80743D"/>
    <w:rsid w:val="0B80B70D"/>
    <w:rsid w:val="0B816E4D"/>
    <w:rsid w:val="0B8522DB"/>
    <w:rsid w:val="0B874A6D"/>
    <w:rsid w:val="0B8DA82F"/>
    <w:rsid w:val="0B93D4EC"/>
    <w:rsid w:val="0B968F29"/>
    <w:rsid w:val="0B98EE7F"/>
    <w:rsid w:val="0B9E397F"/>
    <w:rsid w:val="0BA0BAE8"/>
    <w:rsid w:val="0BAC6EEB"/>
    <w:rsid w:val="0BB29097"/>
    <w:rsid w:val="0BC9599C"/>
    <w:rsid w:val="0BC9A0A3"/>
    <w:rsid w:val="0BCCBCE8"/>
    <w:rsid w:val="0BD49573"/>
    <w:rsid w:val="0BD5BFC6"/>
    <w:rsid w:val="0BD7A5A9"/>
    <w:rsid w:val="0BDC10FA"/>
    <w:rsid w:val="0BDC397D"/>
    <w:rsid w:val="0BDCBB38"/>
    <w:rsid w:val="0BDE375D"/>
    <w:rsid w:val="0BDFAA3F"/>
    <w:rsid w:val="0BE7D3E8"/>
    <w:rsid w:val="0BF39CFB"/>
    <w:rsid w:val="0BF59DB0"/>
    <w:rsid w:val="0BF672A3"/>
    <w:rsid w:val="0BFAA766"/>
    <w:rsid w:val="0C06C758"/>
    <w:rsid w:val="0C07A928"/>
    <w:rsid w:val="0C07BA65"/>
    <w:rsid w:val="0C0F1FA2"/>
    <w:rsid w:val="0C110CCB"/>
    <w:rsid w:val="0C2209AA"/>
    <w:rsid w:val="0C22D318"/>
    <w:rsid w:val="0C28A6B4"/>
    <w:rsid w:val="0C293080"/>
    <w:rsid w:val="0C298C82"/>
    <w:rsid w:val="0C319711"/>
    <w:rsid w:val="0C31B398"/>
    <w:rsid w:val="0C3262A2"/>
    <w:rsid w:val="0C355109"/>
    <w:rsid w:val="0C37C733"/>
    <w:rsid w:val="0C3F1F7C"/>
    <w:rsid w:val="0C43B864"/>
    <w:rsid w:val="0C45BAF0"/>
    <w:rsid w:val="0C4724AA"/>
    <w:rsid w:val="0C55D2D8"/>
    <w:rsid w:val="0C59188A"/>
    <w:rsid w:val="0C5F9085"/>
    <w:rsid w:val="0C643B9D"/>
    <w:rsid w:val="0C659BE7"/>
    <w:rsid w:val="0C6ADC0F"/>
    <w:rsid w:val="0C8E4580"/>
    <w:rsid w:val="0C8E54E0"/>
    <w:rsid w:val="0C9564B8"/>
    <w:rsid w:val="0CA43EDC"/>
    <w:rsid w:val="0CA4F7C4"/>
    <w:rsid w:val="0CA54EC9"/>
    <w:rsid w:val="0CA864B7"/>
    <w:rsid w:val="0CA9EEC2"/>
    <w:rsid w:val="0CADD78D"/>
    <w:rsid w:val="0CAEA221"/>
    <w:rsid w:val="0CB13410"/>
    <w:rsid w:val="0CB56828"/>
    <w:rsid w:val="0CB5FDF8"/>
    <w:rsid w:val="0CBAB75D"/>
    <w:rsid w:val="0CC304C0"/>
    <w:rsid w:val="0CC93249"/>
    <w:rsid w:val="0CD05673"/>
    <w:rsid w:val="0CD5F155"/>
    <w:rsid w:val="0CD7915A"/>
    <w:rsid w:val="0CD91F9D"/>
    <w:rsid w:val="0CDAC0A3"/>
    <w:rsid w:val="0CDF4B0C"/>
    <w:rsid w:val="0CE19D19"/>
    <w:rsid w:val="0CED557B"/>
    <w:rsid w:val="0CF2122C"/>
    <w:rsid w:val="0CF8E3A0"/>
    <w:rsid w:val="0CFAE57E"/>
    <w:rsid w:val="0D04DAF9"/>
    <w:rsid w:val="0D15AC91"/>
    <w:rsid w:val="0D161D23"/>
    <w:rsid w:val="0D1A1D69"/>
    <w:rsid w:val="0D1E3AC1"/>
    <w:rsid w:val="0D209D93"/>
    <w:rsid w:val="0D275A66"/>
    <w:rsid w:val="0D2EE97C"/>
    <w:rsid w:val="0D308645"/>
    <w:rsid w:val="0D33E888"/>
    <w:rsid w:val="0D36A057"/>
    <w:rsid w:val="0D36D70E"/>
    <w:rsid w:val="0D392C05"/>
    <w:rsid w:val="0D3CA967"/>
    <w:rsid w:val="0D43B7E1"/>
    <w:rsid w:val="0D4B7B70"/>
    <w:rsid w:val="0D50051B"/>
    <w:rsid w:val="0D50BD33"/>
    <w:rsid w:val="0D512BD0"/>
    <w:rsid w:val="0D516C16"/>
    <w:rsid w:val="0D540AA3"/>
    <w:rsid w:val="0D5CB71C"/>
    <w:rsid w:val="0D7016BE"/>
    <w:rsid w:val="0D819FCB"/>
    <w:rsid w:val="0D81C322"/>
    <w:rsid w:val="0D860328"/>
    <w:rsid w:val="0D8C2B81"/>
    <w:rsid w:val="0D9044B4"/>
    <w:rsid w:val="0D93675F"/>
    <w:rsid w:val="0D966B62"/>
    <w:rsid w:val="0D9B4F30"/>
    <w:rsid w:val="0DA26217"/>
    <w:rsid w:val="0DA6E9C9"/>
    <w:rsid w:val="0DAAF514"/>
    <w:rsid w:val="0DAB890A"/>
    <w:rsid w:val="0DABE5D9"/>
    <w:rsid w:val="0DB3ED9E"/>
    <w:rsid w:val="0DB4B40D"/>
    <w:rsid w:val="0DBA5226"/>
    <w:rsid w:val="0DBEF0EC"/>
    <w:rsid w:val="0DC5C6B4"/>
    <w:rsid w:val="0DC9BB03"/>
    <w:rsid w:val="0DCA7D6C"/>
    <w:rsid w:val="0DCEB646"/>
    <w:rsid w:val="0DD2F694"/>
    <w:rsid w:val="0DD46546"/>
    <w:rsid w:val="0DD6C302"/>
    <w:rsid w:val="0DD853C8"/>
    <w:rsid w:val="0DDA7254"/>
    <w:rsid w:val="0DDD4FF7"/>
    <w:rsid w:val="0DDF88C5"/>
    <w:rsid w:val="0DF5D6F7"/>
    <w:rsid w:val="0DF7C8FA"/>
    <w:rsid w:val="0DFC359D"/>
    <w:rsid w:val="0DFE76AF"/>
    <w:rsid w:val="0DFF0EF3"/>
    <w:rsid w:val="0E070EE8"/>
    <w:rsid w:val="0E0BE040"/>
    <w:rsid w:val="0E0D8477"/>
    <w:rsid w:val="0E0DB267"/>
    <w:rsid w:val="0E0E86F1"/>
    <w:rsid w:val="0E11D6D9"/>
    <w:rsid w:val="0E1291C9"/>
    <w:rsid w:val="0E1499FA"/>
    <w:rsid w:val="0E162901"/>
    <w:rsid w:val="0E199F6B"/>
    <w:rsid w:val="0E1CA26F"/>
    <w:rsid w:val="0E1EF729"/>
    <w:rsid w:val="0E2A99D2"/>
    <w:rsid w:val="0E2E2C88"/>
    <w:rsid w:val="0E353A05"/>
    <w:rsid w:val="0E3A6F31"/>
    <w:rsid w:val="0E409A8C"/>
    <w:rsid w:val="0E40FA09"/>
    <w:rsid w:val="0E4828CB"/>
    <w:rsid w:val="0E492EE9"/>
    <w:rsid w:val="0E493EF3"/>
    <w:rsid w:val="0E6737D0"/>
    <w:rsid w:val="0E6B213E"/>
    <w:rsid w:val="0E6DAF7D"/>
    <w:rsid w:val="0E7016EC"/>
    <w:rsid w:val="0E70A629"/>
    <w:rsid w:val="0E711957"/>
    <w:rsid w:val="0E7192DB"/>
    <w:rsid w:val="0E72A9C3"/>
    <w:rsid w:val="0E794423"/>
    <w:rsid w:val="0E79BF42"/>
    <w:rsid w:val="0E7B4DD8"/>
    <w:rsid w:val="0E7CA85B"/>
    <w:rsid w:val="0E837C36"/>
    <w:rsid w:val="0E8B0E95"/>
    <w:rsid w:val="0EA2E442"/>
    <w:rsid w:val="0EA70B65"/>
    <w:rsid w:val="0EAD9A06"/>
    <w:rsid w:val="0EADB944"/>
    <w:rsid w:val="0EAF920C"/>
    <w:rsid w:val="0EB032B8"/>
    <w:rsid w:val="0EB070C1"/>
    <w:rsid w:val="0EB493BC"/>
    <w:rsid w:val="0EB9133E"/>
    <w:rsid w:val="0EBDC7EF"/>
    <w:rsid w:val="0EC1CD3D"/>
    <w:rsid w:val="0EC21B4F"/>
    <w:rsid w:val="0ED7446D"/>
    <w:rsid w:val="0EDF2AF8"/>
    <w:rsid w:val="0EE59202"/>
    <w:rsid w:val="0EE5C748"/>
    <w:rsid w:val="0EF70E64"/>
    <w:rsid w:val="0EFA4F81"/>
    <w:rsid w:val="0F036D6D"/>
    <w:rsid w:val="0F0856FD"/>
    <w:rsid w:val="0F0FB4F8"/>
    <w:rsid w:val="0F10F270"/>
    <w:rsid w:val="0F124EF0"/>
    <w:rsid w:val="0F1AF978"/>
    <w:rsid w:val="0F1F1B5D"/>
    <w:rsid w:val="0F218248"/>
    <w:rsid w:val="0F25FC0B"/>
    <w:rsid w:val="0F267CBC"/>
    <w:rsid w:val="0F290463"/>
    <w:rsid w:val="0F296E41"/>
    <w:rsid w:val="0F2EE5CC"/>
    <w:rsid w:val="0F30F7CD"/>
    <w:rsid w:val="0F3210D5"/>
    <w:rsid w:val="0F322219"/>
    <w:rsid w:val="0F3D1261"/>
    <w:rsid w:val="0F3E9447"/>
    <w:rsid w:val="0F423121"/>
    <w:rsid w:val="0F4B6299"/>
    <w:rsid w:val="0F4DFA92"/>
    <w:rsid w:val="0F5004DB"/>
    <w:rsid w:val="0F529B39"/>
    <w:rsid w:val="0F5C08A6"/>
    <w:rsid w:val="0F5E6047"/>
    <w:rsid w:val="0F5F5DCD"/>
    <w:rsid w:val="0F65495B"/>
    <w:rsid w:val="0F6EE89E"/>
    <w:rsid w:val="0F7347C7"/>
    <w:rsid w:val="0F7A2659"/>
    <w:rsid w:val="0F7B5926"/>
    <w:rsid w:val="0F81C033"/>
    <w:rsid w:val="0F87CEA0"/>
    <w:rsid w:val="0F8E03EC"/>
    <w:rsid w:val="0F98FB9B"/>
    <w:rsid w:val="0FA262A8"/>
    <w:rsid w:val="0FA44630"/>
    <w:rsid w:val="0FAC5647"/>
    <w:rsid w:val="0FAEA95D"/>
    <w:rsid w:val="0FB0FE15"/>
    <w:rsid w:val="0FB274F1"/>
    <w:rsid w:val="0FB52985"/>
    <w:rsid w:val="0FBD834A"/>
    <w:rsid w:val="0FCED9DC"/>
    <w:rsid w:val="0FD591C5"/>
    <w:rsid w:val="0FD5FB0E"/>
    <w:rsid w:val="0FD88569"/>
    <w:rsid w:val="0FE690FB"/>
    <w:rsid w:val="0FEC8D13"/>
    <w:rsid w:val="0FECEF38"/>
    <w:rsid w:val="0FED08EA"/>
    <w:rsid w:val="0FF2D6AF"/>
    <w:rsid w:val="0FF43EFE"/>
    <w:rsid w:val="0FF84C82"/>
    <w:rsid w:val="0FFD42D7"/>
    <w:rsid w:val="0FFEC7BC"/>
    <w:rsid w:val="1005DAAE"/>
    <w:rsid w:val="1006DE73"/>
    <w:rsid w:val="10161B5A"/>
    <w:rsid w:val="101AF9AD"/>
    <w:rsid w:val="1024FB3C"/>
    <w:rsid w:val="10251A2B"/>
    <w:rsid w:val="102A4C05"/>
    <w:rsid w:val="102B7F18"/>
    <w:rsid w:val="102EA6B1"/>
    <w:rsid w:val="102F0BA6"/>
    <w:rsid w:val="1034011A"/>
    <w:rsid w:val="103D1BA9"/>
    <w:rsid w:val="1048BB22"/>
    <w:rsid w:val="104CB3B2"/>
    <w:rsid w:val="105A370D"/>
    <w:rsid w:val="105CABC5"/>
    <w:rsid w:val="105E416E"/>
    <w:rsid w:val="105F552C"/>
    <w:rsid w:val="1061EF92"/>
    <w:rsid w:val="1063E552"/>
    <w:rsid w:val="106A71AC"/>
    <w:rsid w:val="106B2CCC"/>
    <w:rsid w:val="106C9862"/>
    <w:rsid w:val="106E867E"/>
    <w:rsid w:val="106F42FE"/>
    <w:rsid w:val="106FF900"/>
    <w:rsid w:val="10742933"/>
    <w:rsid w:val="107A65D0"/>
    <w:rsid w:val="10860BD2"/>
    <w:rsid w:val="10901C9F"/>
    <w:rsid w:val="10969CBF"/>
    <w:rsid w:val="109F8188"/>
    <w:rsid w:val="10A1970B"/>
    <w:rsid w:val="10A5B857"/>
    <w:rsid w:val="10A5E409"/>
    <w:rsid w:val="10A65A4F"/>
    <w:rsid w:val="10AFAF12"/>
    <w:rsid w:val="10B34D08"/>
    <w:rsid w:val="10B425DA"/>
    <w:rsid w:val="10BA5D36"/>
    <w:rsid w:val="10BC4089"/>
    <w:rsid w:val="10BE804A"/>
    <w:rsid w:val="10C32A8E"/>
    <w:rsid w:val="10D4D845"/>
    <w:rsid w:val="10D963EC"/>
    <w:rsid w:val="10E123CA"/>
    <w:rsid w:val="10F2F9FD"/>
    <w:rsid w:val="10FBD009"/>
    <w:rsid w:val="10FDBF37"/>
    <w:rsid w:val="11059581"/>
    <w:rsid w:val="11095679"/>
    <w:rsid w:val="110E2A97"/>
    <w:rsid w:val="111387C8"/>
    <w:rsid w:val="111923E9"/>
    <w:rsid w:val="11198F5E"/>
    <w:rsid w:val="111A3AD1"/>
    <w:rsid w:val="111CB82C"/>
    <w:rsid w:val="11232431"/>
    <w:rsid w:val="11249861"/>
    <w:rsid w:val="112EEE8A"/>
    <w:rsid w:val="11328C47"/>
    <w:rsid w:val="113C2406"/>
    <w:rsid w:val="113D02D0"/>
    <w:rsid w:val="113E02E1"/>
    <w:rsid w:val="1142B8AE"/>
    <w:rsid w:val="1146305E"/>
    <w:rsid w:val="1149900D"/>
    <w:rsid w:val="114E105C"/>
    <w:rsid w:val="114F2296"/>
    <w:rsid w:val="1150D2C0"/>
    <w:rsid w:val="1153C49E"/>
    <w:rsid w:val="115A4926"/>
    <w:rsid w:val="115A6EF0"/>
    <w:rsid w:val="115B973A"/>
    <w:rsid w:val="11606BFC"/>
    <w:rsid w:val="1168AA00"/>
    <w:rsid w:val="1169D10D"/>
    <w:rsid w:val="1174786B"/>
    <w:rsid w:val="1175331B"/>
    <w:rsid w:val="11763A75"/>
    <w:rsid w:val="117F096F"/>
    <w:rsid w:val="117F7814"/>
    <w:rsid w:val="118053FC"/>
    <w:rsid w:val="11834EBB"/>
    <w:rsid w:val="1187C8AE"/>
    <w:rsid w:val="1188F9CB"/>
    <w:rsid w:val="11924EA4"/>
    <w:rsid w:val="1196CCAC"/>
    <w:rsid w:val="119D9C58"/>
    <w:rsid w:val="11AAE689"/>
    <w:rsid w:val="11AD89E2"/>
    <w:rsid w:val="11B085A7"/>
    <w:rsid w:val="11BF4C57"/>
    <w:rsid w:val="11C00F5A"/>
    <w:rsid w:val="11C92C0D"/>
    <w:rsid w:val="11DAC596"/>
    <w:rsid w:val="11DCE56A"/>
    <w:rsid w:val="11EE5BDB"/>
    <w:rsid w:val="11EFE422"/>
    <w:rsid w:val="11F14C3A"/>
    <w:rsid w:val="11F2E630"/>
    <w:rsid w:val="11F55DFC"/>
    <w:rsid w:val="11FC3E8D"/>
    <w:rsid w:val="120478EF"/>
    <w:rsid w:val="12062190"/>
    <w:rsid w:val="120E1F92"/>
    <w:rsid w:val="1213A30B"/>
    <w:rsid w:val="121F2F84"/>
    <w:rsid w:val="121F7E53"/>
    <w:rsid w:val="1227E17C"/>
    <w:rsid w:val="123C3DD5"/>
    <w:rsid w:val="124BFCBC"/>
    <w:rsid w:val="12576B0A"/>
    <w:rsid w:val="12614252"/>
    <w:rsid w:val="126EDA5D"/>
    <w:rsid w:val="127159D1"/>
    <w:rsid w:val="127C6B4D"/>
    <w:rsid w:val="127F2FB0"/>
    <w:rsid w:val="1286215F"/>
    <w:rsid w:val="1286CA03"/>
    <w:rsid w:val="128943AD"/>
    <w:rsid w:val="128FC4C3"/>
    <w:rsid w:val="1298B0C1"/>
    <w:rsid w:val="129A99E7"/>
    <w:rsid w:val="12A0A4F6"/>
    <w:rsid w:val="12A392C9"/>
    <w:rsid w:val="12A7932B"/>
    <w:rsid w:val="12AA4DE5"/>
    <w:rsid w:val="12AA75A2"/>
    <w:rsid w:val="12AB275D"/>
    <w:rsid w:val="12B0060B"/>
    <w:rsid w:val="12B1C92C"/>
    <w:rsid w:val="12BD9DB6"/>
    <w:rsid w:val="12C254B8"/>
    <w:rsid w:val="12C6F92D"/>
    <w:rsid w:val="12CE175C"/>
    <w:rsid w:val="12D07952"/>
    <w:rsid w:val="12D1D6E4"/>
    <w:rsid w:val="12D5740F"/>
    <w:rsid w:val="12E3C9EB"/>
    <w:rsid w:val="12EA65F6"/>
    <w:rsid w:val="12EB87ED"/>
    <w:rsid w:val="12F2BDC7"/>
    <w:rsid w:val="12F6B614"/>
    <w:rsid w:val="12FDAEDE"/>
    <w:rsid w:val="130062EE"/>
    <w:rsid w:val="1303FA90"/>
    <w:rsid w:val="13053C5E"/>
    <w:rsid w:val="13069176"/>
    <w:rsid w:val="1307A728"/>
    <w:rsid w:val="1308660E"/>
    <w:rsid w:val="131E055F"/>
    <w:rsid w:val="13231AA0"/>
    <w:rsid w:val="132AF4D3"/>
    <w:rsid w:val="132D6633"/>
    <w:rsid w:val="132F28E6"/>
    <w:rsid w:val="132FCDBA"/>
    <w:rsid w:val="13309246"/>
    <w:rsid w:val="133195A9"/>
    <w:rsid w:val="133C9686"/>
    <w:rsid w:val="133FCA47"/>
    <w:rsid w:val="13447E3F"/>
    <w:rsid w:val="134C6B3D"/>
    <w:rsid w:val="134FFA31"/>
    <w:rsid w:val="13523438"/>
    <w:rsid w:val="135BDBDA"/>
    <w:rsid w:val="13695395"/>
    <w:rsid w:val="1373E2FC"/>
    <w:rsid w:val="1375D25B"/>
    <w:rsid w:val="137BB178"/>
    <w:rsid w:val="138553E6"/>
    <w:rsid w:val="13861670"/>
    <w:rsid w:val="13947433"/>
    <w:rsid w:val="139DCB46"/>
    <w:rsid w:val="13A70670"/>
    <w:rsid w:val="13C80940"/>
    <w:rsid w:val="13CC3199"/>
    <w:rsid w:val="13DA823E"/>
    <w:rsid w:val="13DC1E47"/>
    <w:rsid w:val="13E0333F"/>
    <w:rsid w:val="13EB1538"/>
    <w:rsid w:val="13F4FA8F"/>
    <w:rsid w:val="13F82A0B"/>
    <w:rsid w:val="1403D64F"/>
    <w:rsid w:val="140B7E32"/>
    <w:rsid w:val="140E30D3"/>
    <w:rsid w:val="141A0404"/>
    <w:rsid w:val="1421E505"/>
    <w:rsid w:val="14282FF8"/>
    <w:rsid w:val="142D2B69"/>
    <w:rsid w:val="142FB740"/>
    <w:rsid w:val="14330E42"/>
    <w:rsid w:val="143B5FB8"/>
    <w:rsid w:val="1446F424"/>
    <w:rsid w:val="144B773C"/>
    <w:rsid w:val="144D1A68"/>
    <w:rsid w:val="145DA467"/>
    <w:rsid w:val="14601E41"/>
    <w:rsid w:val="146259E5"/>
    <w:rsid w:val="146F97F4"/>
    <w:rsid w:val="1479DBCE"/>
    <w:rsid w:val="14821E93"/>
    <w:rsid w:val="14846CED"/>
    <w:rsid w:val="1484CB49"/>
    <w:rsid w:val="14880181"/>
    <w:rsid w:val="1497E240"/>
    <w:rsid w:val="1499E21B"/>
    <w:rsid w:val="149E4B4B"/>
    <w:rsid w:val="14A902E8"/>
    <w:rsid w:val="14ADBECD"/>
    <w:rsid w:val="14AF6EC0"/>
    <w:rsid w:val="14B0D2CE"/>
    <w:rsid w:val="14B44028"/>
    <w:rsid w:val="14BBB9C1"/>
    <w:rsid w:val="14BED922"/>
    <w:rsid w:val="14C1E6BC"/>
    <w:rsid w:val="14C4349D"/>
    <w:rsid w:val="14C6ACBD"/>
    <w:rsid w:val="14D98BAB"/>
    <w:rsid w:val="14DDE47E"/>
    <w:rsid w:val="14F12808"/>
    <w:rsid w:val="14F5BF4E"/>
    <w:rsid w:val="14F8825A"/>
    <w:rsid w:val="14FC34BB"/>
    <w:rsid w:val="150359E4"/>
    <w:rsid w:val="150A79F9"/>
    <w:rsid w:val="150AD041"/>
    <w:rsid w:val="15115FD2"/>
    <w:rsid w:val="1512025F"/>
    <w:rsid w:val="152433C1"/>
    <w:rsid w:val="152F7B0C"/>
    <w:rsid w:val="1531E552"/>
    <w:rsid w:val="15328D69"/>
    <w:rsid w:val="153362FB"/>
    <w:rsid w:val="15394772"/>
    <w:rsid w:val="154495C8"/>
    <w:rsid w:val="1544A045"/>
    <w:rsid w:val="1546B9CB"/>
    <w:rsid w:val="154B1D9E"/>
    <w:rsid w:val="154CE2B6"/>
    <w:rsid w:val="15593A07"/>
    <w:rsid w:val="15593E07"/>
    <w:rsid w:val="155CF880"/>
    <w:rsid w:val="155FBBF0"/>
    <w:rsid w:val="15615357"/>
    <w:rsid w:val="1563D4F5"/>
    <w:rsid w:val="1567E690"/>
    <w:rsid w:val="156892A3"/>
    <w:rsid w:val="156E6982"/>
    <w:rsid w:val="15729598"/>
    <w:rsid w:val="157889EF"/>
    <w:rsid w:val="15878B6A"/>
    <w:rsid w:val="159A5D31"/>
    <w:rsid w:val="159B14A3"/>
    <w:rsid w:val="159D886B"/>
    <w:rsid w:val="15A317CB"/>
    <w:rsid w:val="15A7A58C"/>
    <w:rsid w:val="15B3C789"/>
    <w:rsid w:val="15B6132D"/>
    <w:rsid w:val="15C6428B"/>
    <w:rsid w:val="15D81916"/>
    <w:rsid w:val="15E80C96"/>
    <w:rsid w:val="15E85CF3"/>
    <w:rsid w:val="15F10655"/>
    <w:rsid w:val="15F5620A"/>
    <w:rsid w:val="15FAAA9D"/>
    <w:rsid w:val="15FB9B65"/>
    <w:rsid w:val="16002EF3"/>
    <w:rsid w:val="1600478B"/>
    <w:rsid w:val="16027EDC"/>
    <w:rsid w:val="160EDCD0"/>
    <w:rsid w:val="1620014D"/>
    <w:rsid w:val="162152FC"/>
    <w:rsid w:val="162319F3"/>
    <w:rsid w:val="1623889E"/>
    <w:rsid w:val="1628CF68"/>
    <w:rsid w:val="162E2E95"/>
    <w:rsid w:val="163329DB"/>
    <w:rsid w:val="16347BEF"/>
    <w:rsid w:val="163D2A37"/>
    <w:rsid w:val="163EC5A7"/>
    <w:rsid w:val="164514C8"/>
    <w:rsid w:val="164B2043"/>
    <w:rsid w:val="164C0148"/>
    <w:rsid w:val="164C9468"/>
    <w:rsid w:val="1653F446"/>
    <w:rsid w:val="165BFDEB"/>
    <w:rsid w:val="165D16FC"/>
    <w:rsid w:val="1662802B"/>
    <w:rsid w:val="16744DA7"/>
    <w:rsid w:val="16761546"/>
    <w:rsid w:val="1676276C"/>
    <w:rsid w:val="1684C733"/>
    <w:rsid w:val="16885213"/>
    <w:rsid w:val="168914FE"/>
    <w:rsid w:val="168B0021"/>
    <w:rsid w:val="168FC6E1"/>
    <w:rsid w:val="1696DB3A"/>
    <w:rsid w:val="1698479D"/>
    <w:rsid w:val="169A71DE"/>
    <w:rsid w:val="16A1F32A"/>
    <w:rsid w:val="16A9C51D"/>
    <w:rsid w:val="16AEF0A2"/>
    <w:rsid w:val="16B58E48"/>
    <w:rsid w:val="16B7684C"/>
    <w:rsid w:val="16B7C8D2"/>
    <w:rsid w:val="16BDDAE4"/>
    <w:rsid w:val="16C1FD5B"/>
    <w:rsid w:val="16C23215"/>
    <w:rsid w:val="16D3431A"/>
    <w:rsid w:val="16D7113A"/>
    <w:rsid w:val="16DA2C91"/>
    <w:rsid w:val="16DCCAA7"/>
    <w:rsid w:val="16E5287D"/>
    <w:rsid w:val="16F07E9C"/>
    <w:rsid w:val="16F625CE"/>
    <w:rsid w:val="16FF0731"/>
    <w:rsid w:val="17137EF4"/>
    <w:rsid w:val="1714805A"/>
    <w:rsid w:val="171F6DDF"/>
    <w:rsid w:val="17200F04"/>
    <w:rsid w:val="1725335C"/>
    <w:rsid w:val="172AAD01"/>
    <w:rsid w:val="172C6852"/>
    <w:rsid w:val="172EA896"/>
    <w:rsid w:val="17325E88"/>
    <w:rsid w:val="173A7176"/>
    <w:rsid w:val="173CECAC"/>
    <w:rsid w:val="173DCBFD"/>
    <w:rsid w:val="17405DFF"/>
    <w:rsid w:val="1741A21B"/>
    <w:rsid w:val="174A2734"/>
    <w:rsid w:val="174A7785"/>
    <w:rsid w:val="174B0E90"/>
    <w:rsid w:val="174FB4F4"/>
    <w:rsid w:val="1752A8D4"/>
    <w:rsid w:val="17548F6A"/>
    <w:rsid w:val="175A6E5C"/>
    <w:rsid w:val="175AA6CE"/>
    <w:rsid w:val="175B45D1"/>
    <w:rsid w:val="17626A60"/>
    <w:rsid w:val="1765AF78"/>
    <w:rsid w:val="1772BDCD"/>
    <w:rsid w:val="17733C6F"/>
    <w:rsid w:val="1776DDB2"/>
    <w:rsid w:val="17779A0B"/>
    <w:rsid w:val="1777A1AE"/>
    <w:rsid w:val="1779EF9C"/>
    <w:rsid w:val="177D0CB1"/>
    <w:rsid w:val="1798D107"/>
    <w:rsid w:val="1799AFF3"/>
    <w:rsid w:val="179CCA9C"/>
    <w:rsid w:val="17A9CCA4"/>
    <w:rsid w:val="17AA49F1"/>
    <w:rsid w:val="17AD4685"/>
    <w:rsid w:val="17B7CE16"/>
    <w:rsid w:val="17BC3F5B"/>
    <w:rsid w:val="17BCF211"/>
    <w:rsid w:val="17C7C37D"/>
    <w:rsid w:val="17CCD35A"/>
    <w:rsid w:val="17CDE255"/>
    <w:rsid w:val="17D0DA01"/>
    <w:rsid w:val="17D42053"/>
    <w:rsid w:val="17DD766E"/>
    <w:rsid w:val="17DEB604"/>
    <w:rsid w:val="17EA8C5A"/>
    <w:rsid w:val="17FA2A90"/>
    <w:rsid w:val="18040334"/>
    <w:rsid w:val="180B5A3F"/>
    <w:rsid w:val="1816EB25"/>
    <w:rsid w:val="181A2FE5"/>
    <w:rsid w:val="181D8922"/>
    <w:rsid w:val="182C6DA1"/>
    <w:rsid w:val="183299A6"/>
    <w:rsid w:val="18378DD5"/>
    <w:rsid w:val="1845E50B"/>
    <w:rsid w:val="18468953"/>
    <w:rsid w:val="1849BFF5"/>
    <w:rsid w:val="1867BDF0"/>
    <w:rsid w:val="186BF509"/>
    <w:rsid w:val="186F573A"/>
    <w:rsid w:val="186F803E"/>
    <w:rsid w:val="187A7B90"/>
    <w:rsid w:val="187D5DE2"/>
    <w:rsid w:val="18809B07"/>
    <w:rsid w:val="18813F6F"/>
    <w:rsid w:val="188661A9"/>
    <w:rsid w:val="188A659C"/>
    <w:rsid w:val="188EB15E"/>
    <w:rsid w:val="188FF992"/>
    <w:rsid w:val="1892BB06"/>
    <w:rsid w:val="189A0FE4"/>
    <w:rsid w:val="18A70379"/>
    <w:rsid w:val="18AB03A5"/>
    <w:rsid w:val="18AE1585"/>
    <w:rsid w:val="18B25203"/>
    <w:rsid w:val="18B28240"/>
    <w:rsid w:val="18B3276B"/>
    <w:rsid w:val="18B88699"/>
    <w:rsid w:val="18BE9E2F"/>
    <w:rsid w:val="18C07401"/>
    <w:rsid w:val="18CBF066"/>
    <w:rsid w:val="18CCAA6F"/>
    <w:rsid w:val="18D86E91"/>
    <w:rsid w:val="18D8AFD1"/>
    <w:rsid w:val="18FB36B0"/>
    <w:rsid w:val="18FF52D1"/>
    <w:rsid w:val="1901B6F4"/>
    <w:rsid w:val="190654DF"/>
    <w:rsid w:val="190BD8B1"/>
    <w:rsid w:val="190DC5A3"/>
    <w:rsid w:val="19139B41"/>
    <w:rsid w:val="19230244"/>
    <w:rsid w:val="19274A43"/>
    <w:rsid w:val="1927CCA7"/>
    <w:rsid w:val="192850F1"/>
    <w:rsid w:val="19295B38"/>
    <w:rsid w:val="193A538C"/>
    <w:rsid w:val="193A8840"/>
    <w:rsid w:val="193B3F6A"/>
    <w:rsid w:val="194330E8"/>
    <w:rsid w:val="1947BF48"/>
    <w:rsid w:val="194969B3"/>
    <w:rsid w:val="194C475F"/>
    <w:rsid w:val="195070B1"/>
    <w:rsid w:val="19507E86"/>
    <w:rsid w:val="195F6B63"/>
    <w:rsid w:val="1961E4DA"/>
    <w:rsid w:val="19636203"/>
    <w:rsid w:val="197874F8"/>
    <w:rsid w:val="197A3262"/>
    <w:rsid w:val="197D49AA"/>
    <w:rsid w:val="197F5C64"/>
    <w:rsid w:val="1985C214"/>
    <w:rsid w:val="198805AD"/>
    <w:rsid w:val="1988A000"/>
    <w:rsid w:val="198E6FCC"/>
    <w:rsid w:val="1994146E"/>
    <w:rsid w:val="1995EF2B"/>
    <w:rsid w:val="19A33924"/>
    <w:rsid w:val="19A77341"/>
    <w:rsid w:val="19BA7E35"/>
    <w:rsid w:val="19BBEEFA"/>
    <w:rsid w:val="19BE0FCC"/>
    <w:rsid w:val="19BF93A9"/>
    <w:rsid w:val="19C52153"/>
    <w:rsid w:val="19CC1F78"/>
    <w:rsid w:val="19CEE30C"/>
    <w:rsid w:val="19D276DF"/>
    <w:rsid w:val="19D29254"/>
    <w:rsid w:val="19D54D58"/>
    <w:rsid w:val="19EAE245"/>
    <w:rsid w:val="19F09965"/>
    <w:rsid w:val="19F4D3CC"/>
    <w:rsid w:val="19F895FE"/>
    <w:rsid w:val="19FE30D0"/>
    <w:rsid w:val="1A13986E"/>
    <w:rsid w:val="1A1425A7"/>
    <w:rsid w:val="1A15276E"/>
    <w:rsid w:val="1A1D2775"/>
    <w:rsid w:val="1A2F67E6"/>
    <w:rsid w:val="1A40C9CF"/>
    <w:rsid w:val="1A42004B"/>
    <w:rsid w:val="1A456616"/>
    <w:rsid w:val="1A4A800F"/>
    <w:rsid w:val="1A55F5DC"/>
    <w:rsid w:val="1A5A38A5"/>
    <w:rsid w:val="1A5A3997"/>
    <w:rsid w:val="1A5C22C6"/>
    <w:rsid w:val="1A5F2493"/>
    <w:rsid w:val="1A6566A4"/>
    <w:rsid w:val="1A94D4BB"/>
    <w:rsid w:val="1A969DE7"/>
    <w:rsid w:val="1A999DB4"/>
    <w:rsid w:val="1A99BDDB"/>
    <w:rsid w:val="1A9FBF49"/>
    <w:rsid w:val="1AA05607"/>
    <w:rsid w:val="1ABDF773"/>
    <w:rsid w:val="1AC14FC5"/>
    <w:rsid w:val="1AC4210F"/>
    <w:rsid w:val="1AD73C69"/>
    <w:rsid w:val="1ADC3DF5"/>
    <w:rsid w:val="1AE1104D"/>
    <w:rsid w:val="1AE7D0AF"/>
    <w:rsid w:val="1AE89819"/>
    <w:rsid w:val="1AEAFCB5"/>
    <w:rsid w:val="1AEBAA47"/>
    <w:rsid w:val="1AEBB017"/>
    <w:rsid w:val="1AEF84A9"/>
    <w:rsid w:val="1AF40938"/>
    <w:rsid w:val="1AFB9FD1"/>
    <w:rsid w:val="1AFC10BA"/>
    <w:rsid w:val="1B023CEC"/>
    <w:rsid w:val="1B0516FB"/>
    <w:rsid w:val="1B124419"/>
    <w:rsid w:val="1B14582E"/>
    <w:rsid w:val="1B18446C"/>
    <w:rsid w:val="1B26496E"/>
    <w:rsid w:val="1B280895"/>
    <w:rsid w:val="1B2891C5"/>
    <w:rsid w:val="1B28D06E"/>
    <w:rsid w:val="1B2B4077"/>
    <w:rsid w:val="1B2BC757"/>
    <w:rsid w:val="1B2F3626"/>
    <w:rsid w:val="1B349FF0"/>
    <w:rsid w:val="1B364921"/>
    <w:rsid w:val="1B36ADAB"/>
    <w:rsid w:val="1B3BAFA2"/>
    <w:rsid w:val="1B43211B"/>
    <w:rsid w:val="1B4AD194"/>
    <w:rsid w:val="1B57CD69"/>
    <w:rsid w:val="1B696F43"/>
    <w:rsid w:val="1B6F76DB"/>
    <w:rsid w:val="1B7D88FE"/>
    <w:rsid w:val="1B833E67"/>
    <w:rsid w:val="1B8523DA"/>
    <w:rsid w:val="1B852A8A"/>
    <w:rsid w:val="1B8DACB9"/>
    <w:rsid w:val="1B97D7B7"/>
    <w:rsid w:val="1B9CD1F9"/>
    <w:rsid w:val="1BA2B120"/>
    <w:rsid w:val="1BAEAB81"/>
    <w:rsid w:val="1BAF832C"/>
    <w:rsid w:val="1BB2FF42"/>
    <w:rsid w:val="1BB75858"/>
    <w:rsid w:val="1BBE195D"/>
    <w:rsid w:val="1BCE204C"/>
    <w:rsid w:val="1BD11ED8"/>
    <w:rsid w:val="1BD40C0D"/>
    <w:rsid w:val="1BD6FB37"/>
    <w:rsid w:val="1BDA367C"/>
    <w:rsid w:val="1BDBC877"/>
    <w:rsid w:val="1BE6EA31"/>
    <w:rsid w:val="1BE71755"/>
    <w:rsid w:val="1BEAC126"/>
    <w:rsid w:val="1BEB9F1F"/>
    <w:rsid w:val="1BEDA32D"/>
    <w:rsid w:val="1BF2DF02"/>
    <w:rsid w:val="1BF3781C"/>
    <w:rsid w:val="1BF49A43"/>
    <w:rsid w:val="1C095D27"/>
    <w:rsid w:val="1C0B9647"/>
    <w:rsid w:val="1C0D8FE9"/>
    <w:rsid w:val="1C0DBAEF"/>
    <w:rsid w:val="1C1387B0"/>
    <w:rsid w:val="1C13DB3E"/>
    <w:rsid w:val="1C14D38D"/>
    <w:rsid w:val="1C1ACE09"/>
    <w:rsid w:val="1C26F9B3"/>
    <w:rsid w:val="1C2AEACD"/>
    <w:rsid w:val="1C2C01DC"/>
    <w:rsid w:val="1C323D20"/>
    <w:rsid w:val="1C33B0DE"/>
    <w:rsid w:val="1C34F8CE"/>
    <w:rsid w:val="1C39D564"/>
    <w:rsid w:val="1C3B4480"/>
    <w:rsid w:val="1C40FD29"/>
    <w:rsid w:val="1C54E010"/>
    <w:rsid w:val="1C55E88F"/>
    <w:rsid w:val="1C5B187F"/>
    <w:rsid w:val="1C633FDC"/>
    <w:rsid w:val="1C762282"/>
    <w:rsid w:val="1C76459F"/>
    <w:rsid w:val="1C7E5939"/>
    <w:rsid w:val="1C7F6142"/>
    <w:rsid w:val="1C866EEA"/>
    <w:rsid w:val="1C8A7C16"/>
    <w:rsid w:val="1C909AE0"/>
    <w:rsid w:val="1C955A61"/>
    <w:rsid w:val="1C9567C6"/>
    <w:rsid w:val="1C9D16E4"/>
    <w:rsid w:val="1CA15581"/>
    <w:rsid w:val="1CABB16B"/>
    <w:rsid w:val="1CADDCC6"/>
    <w:rsid w:val="1CB038B5"/>
    <w:rsid w:val="1CB10DDB"/>
    <w:rsid w:val="1CB95C30"/>
    <w:rsid w:val="1CBEECAD"/>
    <w:rsid w:val="1CC9F95E"/>
    <w:rsid w:val="1CCA5BDD"/>
    <w:rsid w:val="1CD069FD"/>
    <w:rsid w:val="1CD84A92"/>
    <w:rsid w:val="1CDA9221"/>
    <w:rsid w:val="1CDC3076"/>
    <w:rsid w:val="1CDE1E7D"/>
    <w:rsid w:val="1CF0191C"/>
    <w:rsid w:val="1CF308AA"/>
    <w:rsid w:val="1CF3CC14"/>
    <w:rsid w:val="1CF9167E"/>
    <w:rsid w:val="1CFCCEEC"/>
    <w:rsid w:val="1D0B38F5"/>
    <w:rsid w:val="1D118CD8"/>
    <w:rsid w:val="1D14380F"/>
    <w:rsid w:val="1D170438"/>
    <w:rsid w:val="1D1C6625"/>
    <w:rsid w:val="1D1E610E"/>
    <w:rsid w:val="1D30FC91"/>
    <w:rsid w:val="1D319FC0"/>
    <w:rsid w:val="1D31EBCA"/>
    <w:rsid w:val="1D338F78"/>
    <w:rsid w:val="1D355E76"/>
    <w:rsid w:val="1D36EE59"/>
    <w:rsid w:val="1D37BEE7"/>
    <w:rsid w:val="1D3FFAC1"/>
    <w:rsid w:val="1D441759"/>
    <w:rsid w:val="1D4D3E1B"/>
    <w:rsid w:val="1D50ED3E"/>
    <w:rsid w:val="1D514D80"/>
    <w:rsid w:val="1D519CE0"/>
    <w:rsid w:val="1D5318D0"/>
    <w:rsid w:val="1D542208"/>
    <w:rsid w:val="1D5893B8"/>
    <w:rsid w:val="1D5DD5AE"/>
    <w:rsid w:val="1D608D44"/>
    <w:rsid w:val="1D73F663"/>
    <w:rsid w:val="1D7AB0CF"/>
    <w:rsid w:val="1D83B1FF"/>
    <w:rsid w:val="1D875692"/>
    <w:rsid w:val="1D88838F"/>
    <w:rsid w:val="1D8DB1D9"/>
    <w:rsid w:val="1DA05DB9"/>
    <w:rsid w:val="1DA19CB1"/>
    <w:rsid w:val="1DAAAC35"/>
    <w:rsid w:val="1DB0753A"/>
    <w:rsid w:val="1DB38AD0"/>
    <w:rsid w:val="1DB7CA32"/>
    <w:rsid w:val="1DC023C6"/>
    <w:rsid w:val="1DC900C4"/>
    <w:rsid w:val="1DC9E1F7"/>
    <w:rsid w:val="1DCC79E0"/>
    <w:rsid w:val="1DD46553"/>
    <w:rsid w:val="1DD51D86"/>
    <w:rsid w:val="1DDDC4D3"/>
    <w:rsid w:val="1DE18E66"/>
    <w:rsid w:val="1DE22969"/>
    <w:rsid w:val="1DE2CA69"/>
    <w:rsid w:val="1DEAB913"/>
    <w:rsid w:val="1DF1FA88"/>
    <w:rsid w:val="1DFE5A69"/>
    <w:rsid w:val="1E001A27"/>
    <w:rsid w:val="1E0299FF"/>
    <w:rsid w:val="1E059192"/>
    <w:rsid w:val="1E0A6D1C"/>
    <w:rsid w:val="1E1925A3"/>
    <w:rsid w:val="1E2378C9"/>
    <w:rsid w:val="1E274708"/>
    <w:rsid w:val="1E2768D5"/>
    <w:rsid w:val="1E30F048"/>
    <w:rsid w:val="1E3AD33F"/>
    <w:rsid w:val="1E3B0421"/>
    <w:rsid w:val="1E3EF1CE"/>
    <w:rsid w:val="1E4AF85C"/>
    <w:rsid w:val="1E63B1D6"/>
    <w:rsid w:val="1E66B67B"/>
    <w:rsid w:val="1E671D10"/>
    <w:rsid w:val="1E6A91CA"/>
    <w:rsid w:val="1E6F4C07"/>
    <w:rsid w:val="1E79EF7B"/>
    <w:rsid w:val="1E7A35F5"/>
    <w:rsid w:val="1E84D890"/>
    <w:rsid w:val="1E92ABED"/>
    <w:rsid w:val="1E945D15"/>
    <w:rsid w:val="1E9CA486"/>
    <w:rsid w:val="1E9F4567"/>
    <w:rsid w:val="1EA1481C"/>
    <w:rsid w:val="1EA8926F"/>
    <w:rsid w:val="1EAD5D39"/>
    <w:rsid w:val="1EADEBD1"/>
    <w:rsid w:val="1EB979E2"/>
    <w:rsid w:val="1EBB255E"/>
    <w:rsid w:val="1EBC6DDD"/>
    <w:rsid w:val="1EC1AFF4"/>
    <w:rsid w:val="1EC2243E"/>
    <w:rsid w:val="1EC75E79"/>
    <w:rsid w:val="1ED3EF68"/>
    <w:rsid w:val="1ED8CF74"/>
    <w:rsid w:val="1EDDD406"/>
    <w:rsid w:val="1EE1BCC4"/>
    <w:rsid w:val="1EE26C24"/>
    <w:rsid w:val="1EF03DAC"/>
    <w:rsid w:val="1EF41A92"/>
    <w:rsid w:val="1EF4BB91"/>
    <w:rsid w:val="1EFE4F6A"/>
    <w:rsid w:val="1F021E5B"/>
    <w:rsid w:val="1F024155"/>
    <w:rsid w:val="1F04647D"/>
    <w:rsid w:val="1F0842E0"/>
    <w:rsid w:val="1F0CD8FE"/>
    <w:rsid w:val="1F15FAF5"/>
    <w:rsid w:val="1F21FA84"/>
    <w:rsid w:val="1F2391E6"/>
    <w:rsid w:val="1F2725F4"/>
    <w:rsid w:val="1F2E0845"/>
    <w:rsid w:val="1F31351D"/>
    <w:rsid w:val="1F4136CA"/>
    <w:rsid w:val="1F4514A4"/>
    <w:rsid w:val="1F48CE89"/>
    <w:rsid w:val="1F4BF015"/>
    <w:rsid w:val="1F4D701D"/>
    <w:rsid w:val="1F5CA639"/>
    <w:rsid w:val="1F609203"/>
    <w:rsid w:val="1F618B30"/>
    <w:rsid w:val="1F67A0E3"/>
    <w:rsid w:val="1F6C4AD4"/>
    <w:rsid w:val="1F77A37E"/>
    <w:rsid w:val="1F7CEC46"/>
    <w:rsid w:val="1F916B14"/>
    <w:rsid w:val="1F9AE09E"/>
    <w:rsid w:val="1F9DA605"/>
    <w:rsid w:val="1F9E38D3"/>
    <w:rsid w:val="1FA0C11D"/>
    <w:rsid w:val="1FA8AD0F"/>
    <w:rsid w:val="1FADB427"/>
    <w:rsid w:val="1FAEF5CB"/>
    <w:rsid w:val="1FB3EF25"/>
    <w:rsid w:val="1FB60E39"/>
    <w:rsid w:val="1FB6B9D6"/>
    <w:rsid w:val="1FB822C6"/>
    <w:rsid w:val="1FC57E8E"/>
    <w:rsid w:val="1FCAE158"/>
    <w:rsid w:val="1FD671E4"/>
    <w:rsid w:val="1FD6C5EB"/>
    <w:rsid w:val="1FE2C405"/>
    <w:rsid w:val="1FE57B77"/>
    <w:rsid w:val="1FEFA6AF"/>
    <w:rsid w:val="1FF69BBC"/>
    <w:rsid w:val="1FFD84FF"/>
    <w:rsid w:val="2000FFE2"/>
    <w:rsid w:val="20032CB4"/>
    <w:rsid w:val="20051832"/>
    <w:rsid w:val="2005FD13"/>
    <w:rsid w:val="200BA744"/>
    <w:rsid w:val="200E5D03"/>
    <w:rsid w:val="200EF7DA"/>
    <w:rsid w:val="20119671"/>
    <w:rsid w:val="20159F9B"/>
    <w:rsid w:val="2017D9FA"/>
    <w:rsid w:val="2030E1C6"/>
    <w:rsid w:val="2034AC48"/>
    <w:rsid w:val="2038F39E"/>
    <w:rsid w:val="203C0AE0"/>
    <w:rsid w:val="203D84CC"/>
    <w:rsid w:val="204182E5"/>
    <w:rsid w:val="2043FCD2"/>
    <w:rsid w:val="20492D9A"/>
    <w:rsid w:val="2050E634"/>
    <w:rsid w:val="20518141"/>
    <w:rsid w:val="2052A1B2"/>
    <w:rsid w:val="20574018"/>
    <w:rsid w:val="20650E60"/>
    <w:rsid w:val="206594C5"/>
    <w:rsid w:val="20668234"/>
    <w:rsid w:val="2067E67A"/>
    <w:rsid w:val="20684232"/>
    <w:rsid w:val="206E86D7"/>
    <w:rsid w:val="207B56D6"/>
    <w:rsid w:val="2081D432"/>
    <w:rsid w:val="20824280"/>
    <w:rsid w:val="2083DE63"/>
    <w:rsid w:val="208577F0"/>
    <w:rsid w:val="20858840"/>
    <w:rsid w:val="2085CA63"/>
    <w:rsid w:val="208EF8D3"/>
    <w:rsid w:val="20914ACA"/>
    <w:rsid w:val="2097C7F5"/>
    <w:rsid w:val="209D9142"/>
    <w:rsid w:val="209FC8DB"/>
    <w:rsid w:val="20B031D0"/>
    <w:rsid w:val="20BCE79D"/>
    <w:rsid w:val="20BE629F"/>
    <w:rsid w:val="20BEC681"/>
    <w:rsid w:val="20C76BC3"/>
    <w:rsid w:val="20C824AA"/>
    <w:rsid w:val="20CB3816"/>
    <w:rsid w:val="20D5405F"/>
    <w:rsid w:val="20D604CF"/>
    <w:rsid w:val="20D82AF7"/>
    <w:rsid w:val="20DA1DCC"/>
    <w:rsid w:val="20E8032A"/>
    <w:rsid w:val="20EA39AC"/>
    <w:rsid w:val="20F0B67F"/>
    <w:rsid w:val="20F55938"/>
    <w:rsid w:val="20F72084"/>
    <w:rsid w:val="20FAB24D"/>
    <w:rsid w:val="20FC86EB"/>
    <w:rsid w:val="20FFDBFF"/>
    <w:rsid w:val="21007905"/>
    <w:rsid w:val="21033A8C"/>
    <w:rsid w:val="210A98CA"/>
    <w:rsid w:val="210C8614"/>
    <w:rsid w:val="210F30BC"/>
    <w:rsid w:val="2112EACB"/>
    <w:rsid w:val="2113040E"/>
    <w:rsid w:val="21131E99"/>
    <w:rsid w:val="2116873E"/>
    <w:rsid w:val="212077EC"/>
    <w:rsid w:val="2128BF68"/>
    <w:rsid w:val="212D3B75"/>
    <w:rsid w:val="212E5B9E"/>
    <w:rsid w:val="213227A4"/>
    <w:rsid w:val="2134A3EA"/>
    <w:rsid w:val="21358633"/>
    <w:rsid w:val="213B3235"/>
    <w:rsid w:val="213B4917"/>
    <w:rsid w:val="213FC924"/>
    <w:rsid w:val="2142F5F2"/>
    <w:rsid w:val="2145A93F"/>
    <w:rsid w:val="21474EF8"/>
    <w:rsid w:val="214BF9A1"/>
    <w:rsid w:val="214D7F6B"/>
    <w:rsid w:val="215477A5"/>
    <w:rsid w:val="215ABE18"/>
    <w:rsid w:val="215F3CE2"/>
    <w:rsid w:val="21609D76"/>
    <w:rsid w:val="216128D9"/>
    <w:rsid w:val="2164392C"/>
    <w:rsid w:val="21650889"/>
    <w:rsid w:val="216BE541"/>
    <w:rsid w:val="216CEB5B"/>
    <w:rsid w:val="2172181B"/>
    <w:rsid w:val="217C0A8B"/>
    <w:rsid w:val="217CB37C"/>
    <w:rsid w:val="217EDCC6"/>
    <w:rsid w:val="218DB2F2"/>
    <w:rsid w:val="218EE178"/>
    <w:rsid w:val="219411BF"/>
    <w:rsid w:val="2194962E"/>
    <w:rsid w:val="219FEC41"/>
    <w:rsid w:val="21A63F3D"/>
    <w:rsid w:val="21ACE1D6"/>
    <w:rsid w:val="21B75B66"/>
    <w:rsid w:val="21BB62F5"/>
    <w:rsid w:val="21C79369"/>
    <w:rsid w:val="21C7DDB9"/>
    <w:rsid w:val="21C8D5F1"/>
    <w:rsid w:val="21CA31DD"/>
    <w:rsid w:val="21CE8439"/>
    <w:rsid w:val="21D36A6B"/>
    <w:rsid w:val="21DF936A"/>
    <w:rsid w:val="21E74200"/>
    <w:rsid w:val="21E8667E"/>
    <w:rsid w:val="21EB1C83"/>
    <w:rsid w:val="21F23CC2"/>
    <w:rsid w:val="21F37430"/>
    <w:rsid w:val="21F4E05F"/>
    <w:rsid w:val="220874E8"/>
    <w:rsid w:val="220B4A52"/>
    <w:rsid w:val="220E86A7"/>
    <w:rsid w:val="221A0CFC"/>
    <w:rsid w:val="221AECF5"/>
    <w:rsid w:val="221B3E36"/>
    <w:rsid w:val="221C1EEF"/>
    <w:rsid w:val="222D85BE"/>
    <w:rsid w:val="2230435C"/>
    <w:rsid w:val="2230AB52"/>
    <w:rsid w:val="22365849"/>
    <w:rsid w:val="223661CA"/>
    <w:rsid w:val="22376045"/>
    <w:rsid w:val="223DF2C7"/>
    <w:rsid w:val="223F465B"/>
    <w:rsid w:val="224A342E"/>
    <w:rsid w:val="2250F047"/>
    <w:rsid w:val="225B1BB0"/>
    <w:rsid w:val="225FFD08"/>
    <w:rsid w:val="22684B3C"/>
    <w:rsid w:val="22691BD1"/>
    <w:rsid w:val="2272832D"/>
    <w:rsid w:val="22768E12"/>
    <w:rsid w:val="2277967C"/>
    <w:rsid w:val="228226BA"/>
    <w:rsid w:val="228CCFBE"/>
    <w:rsid w:val="2292C008"/>
    <w:rsid w:val="229B897E"/>
    <w:rsid w:val="229F18D0"/>
    <w:rsid w:val="22A3F294"/>
    <w:rsid w:val="22A3FEB7"/>
    <w:rsid w:val="22AB65E1"/>
    <w:rsid w:val="22B16324"/>
    <w:rsid w:val="22B47E28"/>
    <w:rsid w:val="22BBDD47"/>
    <w:rsid w:val="22BD51BE"/>
    <w:rsid w:val="22C1B50A"/>
    <w:rsid w:val="22CA479E"/>
    <w:rsid w:val="22D1B5F4"/>
    <w:rsid w:val="22D31524"/>
    <w:rsid w:val="22D70296"/>
    <w:rsid w:val="22D9174D"/>
    <w:rsid w:val="22DF1F50"/>
    <w:rsid w:val="22E8309A"/>
    <w:rsid w:val="22EBEAAF"/>
    <w:rsid w:val="22EE5E53"/>
    <w:rsid w:val="22F31525"/>
    <w:rsid w:val="22F99E62"/>
    <w:rsid w:val="22FABDC9"/>
    <w:rsid w:val="2302A02F"/>
    <w:rsid w:val="2304DB3B"/>
    <w:rsid w:val="230B1B0B"/>
    <w:rsid w:val="231005DE"/>
    <w:rsid w:val="23101B51"/>
    <w:rsid w:val="2316883A"/>
    <w:rsid w:val="231A1C50"/>
    <w:rsid w:val="231C6F6B"/>
    <w:rsid w:val="231FEABD"/>
    <w:rsid w:val="232CCAC0"/>
    <w:rsid w:val="2338E3DC"/>
    <w:rsid w:val="233D9DD5"/>
    <w:rsid w:val="233E2ADA"/>
    <w:rsid w:val="234DF88D"/>
    <w:rsid w:val="235270F1"/>
    <w:rsid w:val="23679858"/>
    <w:rsid w:val="2369F3D7"/>
    <w:rsid w:val="237D094E"/>
    <w:rsid w:val="237D8ACB"/>
    <w:rsid w:val="23924F58"/>
    <w:rsid w:val="2398C5E1"/>
    <w:rsid w:val="23A15449"/>
    <w:rsid w:val="23A747D1"/>
    <w:rsid w:val="23A9C64A"/>
    <w:rsid w:val="23ACCE57"/>
    <w:rsid w:val="23ADEA5F"/>
    <w:rsid w:val="23B06DA2"/>
    <w:rsid w:val="23B1E826"/>
    <w:rsid w:val="23B31BED"/>
    <w:rsid w:val="23B65EE5"/>
    <w:rsid w:val="23B94A32"/>
    <w:rsid w:val="23C39986"/>
    <w:rsid w:val="23D7CAC0"/>
    <w:rsid w:val="23D96E49"/>
    <w:rsid w:val="23DD61FF"/>
    <w:rsid w:val="23E43897"/>
    <w:rsid w:val="23EEDC7D"/>
    <w:rsid w:val="23F47206"/>
    <w:rsid w:val="23F65942"/>
    <w:rsid w:val="23FDF0E7"/>
    <w:rsid w:val="240877F8"/>
    <w:rsid w:val="240E12F9"/>
    <w:rsid w:val="24123C34"/>
    <w:rsid w:val="241F7062"/>
    <w:rsid w:val="24209C13"/>
    <w:rsid w:val="242224D6"/>
    <w:rsid w:val="24294326"/>
    <w:rsid w:val="2429AE37"/>
    <w:rsid w:val="24317A5B"/>
    <w:rsid w:val="24384F19"/>
    <w:rsid w:val="243B3DA5"/>
    <w:rsid w:val="243BB3C1"/>
    <w:rsid w:val="24431171"/>
    <w:rsid w:val="24431D99"/>
    <w:rsid w:val="244B9797"/>
    <w:rsid w:val="244CBBB6"/>
    <w:rsid w:val="244DBFDD"/>
    <w:rsid w:val="244DEEE5"/>
    <w:rsid w:val="2451EEA6"/>
    <w:rsid w:val="245256D0"/>
    <w:rsid w:val="2453ED7E"/>
    <w:rsid w:val="2456D4E3"/>
    <w:rsid w:val="24597749"/>
    <w:rsid w:val="245C9162"/>
    <w:rsid w:val="2462856E"/>
    <w:rsid w:val="24662215"/>
    <w:rsid w:val="2467A489"/>
    <w:rsid w:val="247129CC"/>
    <w:rsid w:val="2471C7C1"/>
    <w:rsid w:val="2473A484"/>
    <w:rsid w:val="24788D89"/>
    <w:rsid w:val="247BE071"/>
    <w:rsid w:val="247F6584"/>
    <w:rsid w:val="2485DD41"/>
    <w:rsid w:val="248B9B94"/>
    <w:rsid w:val="2490B8EA"/>
    <w:rsid w:val="2493F9E4"/>
    <w:rsid w:val="2495ACEF"/>
    <w:rsid w:val="24A5CBA2"/>
    <w:rsid w:val="24A78A9C"/>
    <w:rsid w:val="24AC4D3B"/>
    <w:rsid w:val="24AC659B"/>
    <w:rsid w:val="24AD2C2A"/>
    <w:rsid w:val="24AED63C"/>
    <w:rsid w:val="24AF039A"/>
    <w:rsid w:val="24B2FCA9"/>
    <w:rsid w:val="24C99A47"/>
    <w:rsid w:val="24DA7007"/>
    <w:rsid w:val="24E5FEBA"/>
    <w:rsid w:val="24F09B15"/>
    <w:rsid w:val="24F94EF5"/>
    <w:rsid w:val="24FF9AF6"/>
    <w:rsid w:val="2505CE29"/>
    <w:rsid w:val="250B8B27"/>
    <w:rsid w:val="250BCA4C"/>
    <w:rsid w:val="250D71EB"/>
    <w:rsid w:val="250EE3A3"/>
    <w:rsid w:val="2514BDDA"/>
    <w:rsid w:val="2515C55F"/>
    <w:rsid w:val="25162C9A"/>
    <w:rsid w:val="25184F85"/>
    <w:rsid w:val="251A10DD"/>
    <w:rsid w:val="251EDE1F"/>
    <w:rsid w:val="2521E315"/>
    <w:rsid w:val="25283C26"/>
    <w:rsid w:val="253C8E8B"/>
    <w:rsid w:val="253CF990"/>
    <w:rsid w:val="253E3E8F"/>
    <w:rsid w:val="2544104B"/>
    <w:rsid w:val="25478CCE"/>
    <w:rsid w:val="25496CF2"/>
    <w:rsid w:val="255727CB"/>
    <w:rsid w:val="255DEDF7"/>
    <w:rsid w:val="25744559"/>
    <w:rsid w:val="25760E01"/>
    <w:rsid w:val="25762B56"/>
    <w:rsid w:val="25775632"/>
    <w:rsid w:val="257891F7"/>
    <w:rsid w:val="2578AD2C"/>
    <w:rsid w:val="25816069"/>
    <w:rsid w:val="258A475D"/>
    <w:rsid w:val="258D7E9F"/>
    <w:rsid w:val="258DC761"/>
    <w:rsid w:val="2592C15D"/>
    <w:rsid w:val="2597A1CB"/>
    <w:rsid w:val="2599C148"/>
    <w:rsid w:val="259D8302"/>
    <w:rsid w:val="25AE8294"/>
    <w:rsid w:val="25AF7511"/>
    <w:rsid w:val="25B86E81"/>
    <w:rsid w:val="25B9113C"/>
    <w:rsid w:val="25BCD58C"/>
    <w:rsid w:val="25BE1E4B"/>
    <w:rsid w:val="25CF6E8C"/>
    <w:rsid w:val="25CF8792"/>
    <w:rsid w:val="25D23510"/>
    <w:rsid w:val="25D4713D"/>
    <w:rsid w:val="25DAC76E"/>
    <w:rsid w:val="25DEB9F0"/>
    <w:rsid w:val="25E70EF5"/>
    <w:rsid w:val="25F532FF"/>
    <w:rsid w:val="25F5AA9E"/>
    <w:rsid w:val="25F64CAA"/>
    <w:rsid w:val="25F6F6F4"/>
    <w:rsid w:val="25FC308B"/>
    <w:rsid w:val="260113B2"/>
    <w:rsid w:val="260366CC"/>
    <w:rsid w:val="260F9BB2"/>
    <w:rsid w:val="2610DE8B"/>
    <w:rsid w:val="26147BFA"/>
    <w:rsid w:val="2617F81C"/>
    <w:rsid w:val="261AEF23"/>
    <w:rsid w:val="261BF1D5"/>
    <w:rsid w:val="261EA6DD"/>
    <w:rsid w:val="26238D61"/>
    <w:rsid w:val="26247BD1"/>
    <w:rsid w:val="26260FE5"/>
    <w:rsid w:val="26460C9F"/>
    <w:rsid w:val="26558E09"/>
    <w:rsid w:val="2656B998"/>
    <w:rsid w:val="265ACF6C"/>
    <w:rsid w:val="265D279B"/>
    <w:rsid w:val="266B9609"/>
    <w:rsid w:val="26786DFA"/>
    <w:rsid w:val="267CCD9C"/>
    <w:rsid w:val="267CFE2F"/>
    <w:rsid w:val="267D6028"/>
    <w:rsid w:val="2689429F"/>
    <w:rsid w:val="268FDC0F"/>
    <w:rsid w:val="26925958"/>
    <w:rsid w:val="26947985"/>
    <w:rsid w:val="26955354"/>
    <w:rsid w:val="2697462D"/>
    <w:rsid w:val="26990105"/>
    <w:rsid w:val="26AEA3E5"/>
    <w:rsid w:val="26B3A5AA"/>
    <w:rsid w:val="26B4990E"/>
    <w:rsid w:val="26B859B4"/>
    <w:rsid w:val="26CCCD6A"/>
    <w:rsid w:val="26DAEF16"/>
    <w:rsid w:val="26DC9083"/>
    <w:rsid w:val="26DF93E6"/>
    <w:rsid w:val="26E2F74E"/>
    <w:rsid w:val="26E31FF2"/>
    <w:rsid w:val="26E9A9F8"/>
    <w:rsid w:val="26F16291"/>
    <w:rsid w:val="26F22817"/>
    <w:rsid w:val="26F3D611"/>
    <w:rsid w:val="26F54F0D"/>
    <w:rsid w:val="26F56C4D"/>
    <w:rsid w:val="26FEDFC9"/>
    <w:rsid w:val="2702EA17"/>
    <w:rsid w:val="27055161"/>
    <w:rsid w:val="27061142"/>
    <w:rsid w:val="270F9EDB"/>
    <w:rsid w:val="27183C0B"/>
    <w:rsid w:val="271CAA03"/>
    <w:rsid w:val="2722C2FF"/>
    <w:rsid w:val="27234D88"/>
    <w:rsid w:val="272DB504"/>
    <w:rsid w:val="273D52CD"/>
    <w:rsid w:val="274D14B7"/>
    <w:rsid w:val="275B2834"/>
    <w:rsid w:val="275D8B1E"/>
    <w:rsid w:val="276325D2"/>
    <w:rsid w:val="27666EBE"/>
    <w:rsid w:val="27667ABE"/>
    <w:rsid w:val="276A48F9"/>
    <w:rsid w:val="276D4445"/>
    <w:rsid w:val="27853B49"/>
    <w:rsid w:val="2789E66B"/>
    <w:rsid w:val="278C91F3"/>
    <w:rsid w:val="278EBD0E"/>
    <w:rsid w:val="27964A9D"/>
    <w:rsid w:val="279AB7B3"/>
    <w:rsid w:val="27AB7B8A"/>
    <w:rsid w:val="27AFFF7C"/>
    <w:rsid w:val="27B20E18"/>
    <w:rsid w:val="27B6DCA5"/>
    <w:rsid w:val="27BC6463"/>
    <w:rsid w:val="27C44FC3"/>
    <w:rsid w:val="27C78629"/>
    <w:rsid w:val="27CE8F96"/>
    <w:rsid w:val="27D037E4"/>
    <w:rsid w:val="27D24FA5"/>
    <w:rsid w:val="27D3B65B"/>
    <w:rsid w:val="27D9553C"/>
    <w:rsid w:val="27E11815"/>
    <w:rsid w:val="27FC5122"/>
    <w:rsid w:val="27FC857F"/>
    <w:rsid w:val="2805120B"/>
    <w:rsid w:val="28066C72"/>
    <w:rsid w:val="28081967"/>
    <w:rsid w:val="280CDFFF"/>
    <w:rsid w:val="280D938A"/>
    <w:rsid w:val="28123C7F"/>
    <w:rsid w:val="28153AC2"/>
    <w:rsid w:val="281E5EC2"/>
    <w:rsid w:val="281F0C09"/>
    <w:rsid w:val="282F98C0"/>
    <w:rsid w:val="2848DA99"/>
    <w:rsid w:val="284A07EA"/>
    <w:rsid w:val="284AB43B"/>
    <w:rsid w:val="28510B24"/>
    <w:rsid w:val="2853DE2E"/>
    <w:rsid w:val="285581B8"/>
    <w:rsid w:val="285A9658"/>
    <w:rsid w:val="2870F83C"/>
    <w:rsid w:val="287180BF"/>
    <w:rsid w:val="28774CE2"/>
    <w:rsid w:val="2878F8BD"/>
    <w:rsid w:val="28819866"/>
    <w:rsid w:val="2884895E"/>
    <w:rsid w:val="288D013A"/>
    <w:rsid w:val="289DF986"/>
    <w:rsid w:val="28A735AD"/>
    <w:rsid w:val="28AD3AF2"/>
    <w:rsid w:val="28B41927"/>
    <w:rsid w:val="28BC15C2"/>
    <w:rsid w:val="28BFACC9"/>
    <w:rsid w:val="28C21D23"/>
    <w:rsid w:val="28D78B9D"/>
    <w:rsid w:val="28DF512F"/>
    <w:rsid w:val="28E33D42"/>
    <w:rsid w:val="28EA3082"/>
    <w:rsid w:val="28EA31F7"/>
    <w:rsid w:val="28EBE0EF"/>
    <w:rsid w:val="28F2E756"/>
    <w:rsid w:val="28F603EC"/>
    <w:rsid w:val="28F922C1"/>
    <w:rsid w:val="29058551"/>
    <w:rsid w:val="290679AB"/>
    <w:rsid w:val="29070C14"/>
    <w:rsid w:val="2912A14B"/>
    <w:rsid w:val="2917BE90"/>
    <w:rsid w:val="291A6AB3"/>
    <w:rsid w:val="291B7942"/>
    <w:rsid w:val="2920D00E"/>
    <w:rsid w:val="292CDFB9"/>
    <w:rsid w:val="29363E68"/>
    <w:rsid w:val="293671C5"/>
    <w:rsid w:val="29473B7D"/>
    <w:rsid w:val="294C50BA"/>
    <w:rsid w:val="294C70DB"/>
    <w:rsid w:val="2960E15B"/>
    <w:rsid w:val="2968ED06"/>
    <w:rsid w:val="296A5115"/>
    <w:rsid w:val="296A9F58"/>
    <w:rsid w:val="2972957A"/>
    <w:rsid w:val="2975FFAA"/>
    <w:rsid w:val="297859FE"/>
    <w:rsid w:val="29861E68"/>
    <w:rsid w:val="298C8C05"/>
    <w:rsid w:val="299C7A40"/>
    <w:rsid w:val="299DABBE"/>
    <w:rsid w:val="29A2AF79"/>
    <w:rsid w:val="29ACFBDC"/>
    <w:rsid w:val="29B4B2DB"/>
    <w:rsid w:val="29B7F845"/>
    <w:rsid w:val="29B8D906"/>
    <w:rsid w:val="29CB57E4"/>
    <w:rsid w:val="29D08555"/>
    <w:rsid w:val="29D223E5"/>
    <w:rsid w:val="29DBB374"/>
    <w:rsid w:val="29DD0903"/>
    <w:rsid w:val="29DF6D3E"/>
    <w:rsid w:val="29E2A215"/>
    <w:rsid w:val="29E2D8C3"/>
    <w:rsid w:val="29E579C4"/>
    <w:rsid w:val="29E73650"/>
    <w:rsid w:val="29EE4D8F"/>
    <w:rsid w:val="29F11F97"/>
    <w:rsid w:val="29F29700"/>
    <w:rsid w:val="29FC0EE8"/>
    <w:rsid w:val="2A04C358"/>
    <w:rsid w:val="2A0B5181"/>
    <w:rsid w:val="2A154BB0"/>
    <w:rsid w:val="2A183035"/>
    <w:rsid w:val="2A23F360"/>
    <w:rsid w:val="2A2E1740"/>
    <w:rsid w:val="2A33ECA9"/>
    <w:rsid w:val="2A3B55B9"/>
    <w:rsid w:val="2A3E6A8E"/>
    <w:rsid w:val="2A40F4F9"/>
    <w:rsid w:val="2A43FA09"/>
    <w:rsid w:val="2A497544"/>
    <w:rsid w:val="2A530350"/>
    <w:rsid w:val="2A545D6F"/>
    <w:rsid w:val="2A5DE5E0"/>
    <w:rsid w:val="2A5E8886"/>
    <w:rsid w:val="2A61E2BA"/>
    <w:rsid w:val="2A61F6A0"/>
    <w:rsid w:val="2A625404"/>
    <w:rsid w:val="2A67BF04"/>
    <w:rsid w:val="2A687208"/>
    <w:rsid w:val="2A6D326B"/>
    <w:rsid w:val="2A77D603"/>
    <w:rsid w:val="2A7821E7"/>
    <w:rsid w:val="2A7A5C31"/>
    <w:rsid w:val="2A821326"/>
    <w:rsid w:val="2A871F97"/>
    <w:rsid w:val="2A87D837"/>
    <w:rsid w:val="2A88D0FF"/>
    <w:rsid w:val="2A89F186"/>
    <w:rsid w:val="2A8B4531"/>
    <w:rsid w:val="2A8B58B5"/>
    <w:rsid w:val="2A8C59D7"/>
    <w:rsid w:val="2A8F3289"/>
    <w:rsid w:val="2A95E0DD"/>
    <w:rsid w:val="2A97D2AF"/>
    <w:rsid w:val="2A9A7D06"/>
    <w:rsid w:val="2A9D40A6"/>
    <w:rsid w:val="2AA43429"/>
    <w:rsid w:val="2AA71758"/>
    <w:rsid w:val="2AAD563F"/>
    <w:rsid w:val="2AB08504"/>
    <w:rsid w:val="2AB40544"/>
    <w:rsid w:val="2AC3E5BF"/>
    <w:rsid w:val="2ACCAC2C"/>
    <w:rsid w:val="2AD04D24"/>
    <w:rsid w:val="2AD14E69"/>
    <w:rsid w:val="2AD726E3"/>
    <w:rsid w:val="2AD85B37"/>
    <w:rsid w:val="2AECF96E"/>
    <w:rsid w:val="2AEE8FDF"/>
    <w:rsid w:val="2AEE93AE"/>
    <w:rsid w:val="2AF02B72"/>
    <w:rsid w:val="2AF73A91"/>
    <w:rsid w:val="2AFC6CCE"/>
    <w:rsid w:val="2AFF66E3"/>
    <w:rsid w:val="2AFF8FFB"/>
    <w:rsid w:val="2B007DD9"/>
    <w:rsid w:val="2B008213"/>
    <w:rsid w:val="2B034511"/>
    <w:rsid w:val="2B12A0D8"/>
    <w:rsid w:val="2B17D39D"/>
    <w:rsid w:val="2B2BD22F"/>
    <w:rsid w:val="2B38234C"/>
    <w:rsid w:val="2B3831E9"/>
    <w:rsid w:val="2B457659"/>
    <w:rsid w:val="2B45DF5B"/>
    <w:rsid w:val="2B45FECC"/>
    <w:rsid w:val="2B461FF3"/>
    <w:rsid w:val="2B4AE7FD"/>
    <w:rsid w:val="2B4CE803"/>
    <w:rsid w:val="2B4DB6B5"/>
    <w:rsid w:val="2B4FDE16"/>
    <w:rsid w:val="2B513091"/>
    <w:rsid w:val="2B587549"/>
    <w:rsid w:val="2B5D8354"/>
    <w:rsid w:val="2B5ECFD5"/>
    <w:rsid w:val="2B60B1A4"/>
    <w:rsid w:val="2B62FB06"/>
    <w:rsid w:val="2B6E5E6D"/>
    <w:rsid w:val="2B77312A"/>
    <w:rsid w:val="2B8337D1"/>
    <w:rsid w:val="2B88D40C"/>
    <w:rsid w:val="2B98BA62"/>
    <w:rsid w:val="2B9B7750"/>
    <w:rsid w:val="2BA446F0"/>
    <w:rsid w:val="2BA4D6C6"/>
    <w:rsid w:val="2BB21289"/>
    <w:rsid w:val="2BB3455D"/>
    <w:rsid w:val="2BB8D4B0"/>
    <w:rsid w:val="2BC1BC1B"/>
    <w:rsid w:val="2BCB56AF"/>
    <w:rsid w:val="2BCD4D65"/>
    <w:rsid w:val="2BCDEEB1"/>
    <w:rsid w:val="2BCDF55E"/>
    <w:rsid w:val="2BD61BAC"/>
    <w:rsid w:val="2BDB9FA8"/>
    <w:rsid w:val="2BDBD5C7"/>
    <w:rsid w:val="2BE41862"/>
    <w:rsid w:val="2BEB86DB"/>
    <w:rsid w:val="2BEC7E06"/>
    <w:rsid w:val="2BF2DCFC"/>
    <w:rsid w:val="2C0002D6"/>
    <w:rsid w:val="2C01E76D"/>
    <w:rsid w:val="2C0902CC"/>
    <w:rsid w:val="2C0D3310"/>
    <w:rsid w:val="2C0FFC87"/>
    <w:rsid w:val="2C155026"/>
    <w:rsid w:val="2C289088"/>
    <w:rsid w:val="2C2D6DC3"/>
    <w:rsid w:val="2C4129C6"/>
    <w:rsid w:val="2C49D2BF"/>
    <w:rsid w:val="2C4CE120"/>
    <w:rsid w:val="2C4D2B0C"/>
    <w:rsid w:val="2C535C6F"/>
    <w:rsid w:val="2C545252"/>
    <w:rsid w:val="2C5F910C"/>
    <w:rsid w:val="2C68BA20"/>
    <w:rsid w:val="2C6E3D19"/>
    <w:rsid w:val="2C7D54E3"/>
    <w:rsid w:val="2C8573C4"/>
    <w:rsid w:val="2C862007"/>
    <w:rsid w:val="2C869747"/>
    <w:rsid w:val="2C8BDAB8"/>
    <w:rsid w:val="2C8D447B"/>
    <w:rsid w:val="2C8F5215"/>
    <w:rsid w:val="2C930AF2"/>
    <w:rsid w:val="2C94408A"/>
    <w:rsid w:val="2C9BE511"/>
    <w:rsid w:val="2C9D72EB"/>
    <w:rsid w:val="2CA137E8"/>
    <w:rsid w:val="2CA228CF"/>
    <w:rsid w:val="2CA23BD5"/>
    <w:rsid w:val="2CA5A9AA"/>
    <w:rsid w:val="2CA82339"/>
    <w:rsid w:val="2CCB6F48"/>
    <w:rsid w:val="2CD22C6D"/>
    <w:rsid w:val="2CD48423"/>
    <w:rsid w:val="2CD6885F"/>
    <w:rsid w:val="2CD8512F"/>
    <w:rsid w:val="2CD98E71"/>
    <w:rsid w:val="2CDAA3CF"/>
    <w:rsid w:val="2CE39D62"/>
    <w:rsid w:val="2CE58915"/>
    <w:rsid w:val="2CEDE084"/>
    <w:rsid w:val="2CF20601"/>
    <w:rsid w:val="2CF89082"/>
    <w:rsid w:val="2CFA333F"/>
    <w:rsid w:val="2CFB16E8"/>
    <w:rsid w:val="2D035864"/>
    <w:rsid w:val="2D095583"/>
    <w:rsid w:val="2D098EF7"/>
    <w:rsid w:val="2D0D11E6"/>
    <w:rsid w:val="2D0EB29E"/>
    <w:rsid w:val="2D1B9874"/>
    <w:rsid w:val="2D2AB90F"/>
    <w:rsid w:val="2D2B1DB6"/>
    <w:rsid w:val="2D2BD178"/>
    <w:rsid w:val="2D2C347C"/>
    <w:rsid w:val="2D3FC2D7"/>
    <w:rsid w:val="2D4A06D4"/>
    <w:rsid w:val="2D4B186D"/>
    <w:rsid w:val="2D55B99C"/>
    <w:rsid w:val="2D60226B"/>
    <w:rsid w:val="2D6B6B8C"/>
    <w:rsid w:val="2D6BF8BE"/>
    <w:rsid w:val="2D748D48"/>
    <w:rsid w:val="2D76C4BD"/>
    <w:rsid w:val="2D811606"/>
    <w:rsid w:val="2D8320BF"/>
    <w:rsid w:val="2D83FD4B"/>
    <w:rsid w:val="2DA38D95"/>
    <w:rsid w:val="2DA44C1C"/>
    <w:rsid w:val="2DABE519"/>
    <w:rsid w:val="2DADCC32"/>
    <w:rsid w:val="2DB17AAB"/>
    <w:rsid w:val="2DB8FABA"/>
    <w:rsid w:val="2DBF8F48"/>
    <w:rsid w:val="2DC1E467"/>
    <w:rsid w:val="2DCA6E05"/>
    <w:rsid w:val="2DCCB6CD"/>
    <w:rsid w:val="2DCE7CC9"/>
    <w:rsid w:val="2DD2AF6D"/>
    <w:rsid w:val="2DDEA436"/>
    <w:rsid w:val="2DEA285E"/>
    <w:rsid w:val="2DF70BED"/>
    <w:rsid w:val="2DFE75EA"/>
    <w:rsid w:val="2E0FD66B"/>
    <w:rsid w:val="2E12055B"/>
    <w:rsid w:val="2E12B0DA"/>
    <w:rsid w:val="2E13ED34"/>
    <w:rsid w:val="2E1A86CA"/>
    <w:rsid w:val="2E1E4C8A"/>
    <w:rsid w:val="2E1EAA17"/>
    <w:rsid w:val="2E1F1C21"/>
    <w:rsid w:val="2E21DE21"/>
    <w:rsid w:val="2E233ED4"/>
    <w:rsid w:val="2E296F4C"/>
    <w:rsid w:val="2E2E04FB"/>
    <w:rsid w:val="2E2F7B8B"/>
    <w:rsid w:val="2E310D07"/>
    <w:rsid w:val="2E3316F2"/>
    <w:rsid w:val="2E33FC51"/>
    <w:rsid w:val="2E37B02F"/>
    <w:rsid w:val="2E3DEAEE"/>
    <w:rsid w:val="2E404BB8"/>
    <w:rsid w:val="2E4198C4"/>
    <w:rsid w:val="2E44765E"/>
    <w:rsid w:val="2E4B6482"/>
    <w:rsid w:val="2E4F8B7B"/>
    <w:rsid w:val="2E50D422"/>
    <w:rsid w:val="2E50DDEB"/>
    <w:rsid w:val="2E5F16A9"/>
    <w:rsid w:val="2E5F943E"/>
    <w:rsid w:val="2E60FFE1"/>
    <w:rsid w:val="2E643702"/>
    <w:rsid w:val="2E6E08E1"/>
    <w:rsid w:val="2E733AF4"/>
    <w:rsid w:val="2E78F74F"/>
    <w:rsid w:val="2E7A2B60"/>
    <w:rsid w:val="2E800759"/>
    <w:rsid w:val="2E85F2B9"/>
    <w:rsid w:val="2E8C9B35"/>
    <w:rsid w:val="2E8DF4AC"/>
    <w:rsid w:val="2E8E94DB"/>
    <w:rsid w:val="2E91E526"/>
    <w:rsid w:val="2E94596F"/>
    <w:rsid w:val="2E959AAF"/>
    <w:rsid w:val="2E975F60"/>
    <w:rsid w:val="2E99850D"/>
    <w:rsid w:val="2E9B58A4"/>
    <w:rsid w:val="2EA538E0"/>
    <w:rsid w:val="2EA96C6E"/>
    <w:rsid w:val="2EACB878"/>
    <w:rsid w:val="2EADDCE0"/>
    <w:rsid w:val="2EBBD5FD"/>
    <w:rsid w:val="2EBD8856"/>
    <w:rsid w:val="2EC2170A"/>
    <w:rsid w:val="2EC4FD02"/>
    <w:rsid w:val="2EC5F7C0"/>
    <w:rsid w:val="2EC81309"/>
    <w:rsid w:val="2EC92225"/>
    <w:rsid w:val="2ECE658A"/>
    <w:rsid w:val="2ED52081"/>
    <w:rsid w:val="2ED58180"/>
    <w:rsid w:val="2EDAB6FD"/>
    <w:rsid w:val="2EE64D72"/>
    <w:rsid w:val="2EE8DA35"/>
    <w:rsid w:val="2EF90CC7"/>
    <w:rsid w:val="2EFDE98B"/>
    <w:rsid w:val="2F00AC14"/>
    <w:rsid w:val="2F02B835"/>
    <w:rsid w:val="2F046A18"/>
    <w:rsid w:val="2F0A5F04"/>
    <w:rsid w:val="2F0CFCE0"/>
    <w:rsid w:val="2F0ECFC1"/>
    <w:rsid w:val="2F0FBB56"/>
    <w:rsid w:val="2F144846"/>
    <w:rsid w:val="2F1A2BFE"/>
    <w:rsid w:val="2F40A38E"/>
    <w:rsid w:val="2F44BFBD"/>
    <w:rsid w:val="2F4B7BD9"/>
    <w:rsid w:val="2F4DF9D4"/>
    <w:rsid w:val="2F4F1636"/>
    <w:rsid w:val="2F541EBB"/>
    <w:rsid w:val="2F54DC59"/>
    <w:rsid w:val="2F577600"/>
    <w:rsid w:val="2F5AB626"/>
    <w:rsid w:val="2F68E5DB"/>
    <w:rsid w:val="2F6DB88F"/>
    <w:rsid w:val="2F7139B2"/>
    <w:rsid w:val="2F75F2D9"/>
    <w:rsid w:val="2F7A43BF"/>
    <w:rsid w:val="2F82D95D"/>
    <w:rsid w:val="2F831461"/>
    <w:rsid w:val="2F86CBAB"/>
    <w:rsid w:val="2F875728"/>
    <w:rsid w:val="2F973877"/>
    <w:rsid w:val="2F983A8E"/>
    <w:rsid w:val="2F9C8E3D"/>
    <w:rsid w:val="2FABC407"/>
    <w:rsid w:val="2FB71AC7"/>
    <w:rsid w:val="2FB7607E"/>
    <w:rsid w:val="2FBAD18A"/>
    <w:rsid w:val="2FC27AB4"/>
    <w:rsid w:val="2FC9E6AA"/>
    <w:rsid w:val="2FCCB505"/>
    <w:rsid w:val="2FD7A266"/>
    <w:rsid w:val="2FD89EC4"/>
    <w:rsid w:val="2FEB1AC4"/>
    <w:rsid w:val="2FEDB61E"/>
    <w:rsid w:val="2FEE243F"/>
    <w:rsid w:val="2FF25875"/>
    <w:rsid w:val="2FF4525E"/>
    <w:rsid w:val="2FF52AD4"/>
    <w:rsid w:val="2FF72CE4"/>
    <w:rsid w:val="30044066"/>
    <w:rsid w:val="3011425B"/>
    <w:rsid w:val="3019507E"/>
    <w:rsid w:val="3024264E"/>
    <w:rsid w:val="302E30BB"/>
    <w:rsid w:val="302FC211"/>
    <w:rsid w:val="30356102"/>
    <w:rsid w:val="3035BA51"/>
    <w:rsid w:val="303B8097"/>
    <w:rsid w:val="303D8932"/>
    <w:rsid w:val="30445C63"/>
    <w:rsid w:val="304A0F9B"/>
    <w:rsid w:val="305DED5E"/>
    <w:rsid w:val="305EB1F5"/>
    <w:rsid w:val="30604EAD"/>
    <w:rsid w:val="306789CF"/>
    <w:rsid w:val="306A78C0"/>
    <w:rsid w:val="306C6FB9"/>
    <w:rsid w:val="30718D05"/>
    <w:rsid w:val="30778191"/>
    <w:rsid w:val="30836955"/>
    <w:rsid w:val="3086A670"/>
    <w:rsid w:val="3088C4E9"/>
    <w:rsid w:val="308C7E28"/>
    <w:rsid w:val="3098CCDD"/>
    <w:rsid w:val="30996455"/>
    <w:rsid w:val="309F0901"/>
    <w:rsid w:val="30B19C06"/>
    <w:rsid w:val="30B9BB8B"/>
    <w:rsid w:val="30BA83A7"/>
    <w:rsid w:val="30C50F72"/>
    <w:rsid w:val="30C67E7D"/>
    <w:rsid w:val="30C9643D"/>
    <w:rsid w:val="30D60A4F"/>
    <w:rsid w:val="30D7498B"/>
    <w:rsid w:val="30EB7D66"/>
    <w:rsid w:val="30EF19EE"/>
    <w:rsid w:val="30F196AC"/>
    <w:rsid w:val="30F5D514"/>
    <w:rsid w:val="30F6A211"/>
    <w:rsid w:val="30FB3AAE"/>
    <w:rsid w:val="3102DA65"/>
    <w:rsid w:val="3103CE14"/>
    <w:rsid w:val="3103EDF9"/>
    <w:rsid w:val="3107E7B6"/>
    <w:rsid w:val="310877AD"/>
    <w:rsid w:val="31162C11"/>
    <w:rsid w:val="31181CB3"/>
    <w:rsid w:val="31197828"/>
    <w:rsid w:val="3119A96E"/>
    <w:rsid w:val="311AD258"/>
    <w:rsid w:val="311CC3C3"/>
    <w:rsid w:val="311FD8AA"/>
    <w:rsid w:val="3122B944"/>
    <w:rsid w:val="31273EF5"/>
    <w:rsid w:val="312A9403"/>
    <w:rsid w:val="313E8D8E"/>
    <w:rsid w:val="3149DA84"/>
    <w:rsid w:val="314A9C39"/>
    <w:rsid w:val="314BC103"/>
    <w:rsid w:val="31569492"/>
    <w:rsid w:val="3156B554"/>
    <w:rsid w:val="3163BF42"/>
    <w:rsid w:val="31743996"/>
    <w:rsid w:val="317D8BFC"/>
    <w:rsid w:val="318319D9"/>
    <w:rsid w:val="31855F86"/>
    <w:rsid w:val="31875ACA"/>
    <w:rsid w:val="319D393A"/>
    <w:rsid w:val="319D4DE7"/>
    <w:rsid w:val="31A33E98"/>
    <w:rsid w:val="31A86C0A"/>
    <w:rsid w:val="31A8A270"/>
    <w:rsid w:val="31B04916"/>
    <w:rsid w:val="31B2A97B"/>
    <w:rsid w:val="31B3684F"/>
    <w:rsid w:val="31B4EDB7"/>
    <w:rsid w:val="31B80D8E"/>
    <w:rsid w:val="31B9AE73"/>
    <w:rsid w:val="31C4586F"/>
    <w:rsid w:val="31C65D1F"/>
    <w:rsid w:val="31C69F40"/>
    <w:rsid w:val="31C8A3F1"/>
    <w:rsid w:val="31CEE33C"/>
    <w:rsid w:val="31DC6B9A"/>
    <w:rsid w:val="31DD168C"/>
    <w:rsid w:val="31E987A2"/>
    <w:rsid w:val="31ED6F95"/>
    <w:rsid w:val="31EE9975"/>
    <w:rsid w:val="31FE1923"/>
    <w:rsid w:val="31FF1942"/>
    <w:rsid w:val="31FF1BC3"/>
    <w:rsid w:val="320480FA"/>
    <w:rsid w:val="320A3469"/>
    <w:rsid w:val="320B2217"/>
    <w:rsid w:val="32144430"/>
    <w:rsid w:val="32169023"/>
    <w:rsid w:val="321C0197"/>
    <w:rsid w:val="32258884"/>
    <w:rsid w:val="3225B7A5"/>
    <w:rsid w:val="3227A8D2"/>
    <w:rsid w:val="32322CB1"/>
    <w:rsid w:val="3238D0C6"/>
    <w:rsid w:val="32412B41"/>
    <w:rsid w:val="324268E6"/>
    <w:rsid w:val="32465089"/>
    <w:rsid w:val="324B9C5C"/>
    <w:rsid w:val="3251136D"/>
    <w:rsid w:val="325807E8"/>
    <w:rsid w:val="32623F53"/>
    <w:rsid w:val="326455C9"/>
    <w:rsid w:val="326CBCE6"/>
    <w:rsid w:val="327656AA"/>
    <w:rsid w:val="327BFFBA"/>
    <w:rsid w:val="327C56B4"/>
    <w:rsid w:val="3281BF97"/>
    <w:rsid w:val="32892E5D"/>
    <w:rsid w:val="32893AB7"/>
    <w:rsid w:val="328A4D20"/>
    <w:rsid w:val="328ACC74"/>
    <w:rsid w:val="328BDEC7"/>
    <w:rsid w:val="32909588"/>
    <w:rsid w:val="3295FF4C"/>
    <w:rsid w:val="329E56B9"/>
    <w:rsid w:val="32A1F371"/>
    <w:rsid w:val="32A4F3B4"/>
    <w:rsid w:val="32A51ABE"/>
    <w:rsid w:val="32A5C2F9"/>
    <w:rsid w:val="32AC2370"/>
    <w:rsid w:val="32B81D92"/>
    <w:rsid w:val="32B87352"/>
    <w:rsid w:val="32B9A817"/>
    <w:rsid w:val="32BDAD0F"/>
    <w:rsid w:val="32BFF86C"/>
    <w:rsid w:val="32D0854A"/>
    <w:rsid w:val="32DD0990"/>
    <w:rsid w:val="32E17D79"/>
    <w:rsid w:val="32E71C93"/>
    <w:rsid w:val="32E81DBC"/>
    <w:rsid w:val="32F5EA9B"/>
    <w:rsid w:val="32F938BF"/>
    <w:rsid w:val="32FAF790"/>
    <w:rsid w:val="33059AA5"/>
    <w:rsid w:val="330FB68F"/>
    <w:rsid w:val="3316DEA5"/>
    <w:rsid w:val="331DFE81"/>
    <w:rsid w:val="3322B787"/>
    <w:rsid w:val="3323E844"/>
    <w:rsid w:val="3328E5E4"/>
    <w:rsid w:val="33328916"/>
    <w:rsid w:val="333648B8"/>
    <w:rsid w:val="333A2D64"/>
    <w:rsid w:val="3344621D"/>
    <w:rsid w:val="3348C261"/>
    <w:rsid w:val="334DE64F"/>
    <w:rsid w:val="33536DDA"/>
    <w:rsid w:val="335E745C"/>
    <w:rsid w:val="336B95DF"/>
    <w:rsid w:val="338336C6"/>
    <w:rsid w:val="3384EE22"/>
    <w:rsid w:val="338557B0"/>
    <w:rsid w:val="3387A9CE"/>
    <w:rsid w:val="33888D16"/>
    <w:rsid w:val="33957CF0"/>
    <w:rsid w:val="339CCEE3"/>
    <w:rsid w:val="339CD7A2"/>
    <w:rsid w:val="339FA4AC"/>
    <w:rsid w:val="33A45D21"/>
    <w:rsid w:val="33A53092"/>
    <w:rsid w:val="33AF1771"/>
    <w:rsid w:val="33AF5D85"/>
    <w:rsid w:val="33B1764E"/>
    <w:rsid w:val="33BC7B46"/>
    <w:rsid w:val="33BCC719"/>
    <w:rsid w:val="33BDFC0B"/>
    <w:rsid w:val="33C20744"/>
    <w:rsid w:val="33C33FC0"/>
    <w:rsid w:val="33D17547"/>
    <w:rsid w:val="33D3DDC9"/>
    <w:rsid w:val="33DB40CD"/>
    <w:rsid w:val="33DD2082"/>
    <w:rsid w:val="33E983EE"/>
    <w:rsid w:val="34026B3A"/>
    <w:rsid w:val="340B0E66"/>
    <w:rsid w:val="340D9E08"/>
    <w:rsid w:val="342EEB05"/>
    <w:rsid w:val="34308A38"/>
    <w:rsid w:val="3437F6EA"/>
    <w:rsid w:val="343A59A3"/>
    <w:rsid w:val="343CF808"/>
    <w:rsid w:val="343E1A3F"/>
    <w:rsid w:val="34458914"/>
    <w:rsid w:val="34574149"/>
    <w:rsid w:val="3457FD4B"/>
    <w:rsid w:val="345E12F9"/>
    <w:rsid w:val="34656025"/>
    <w:rsid w:val="346D37E5"/>
    <w:rsid w:val="346F569E"/>
    <w:rsid w:val="34765718"/>
    <w:rsid w:val="347769BE"/>
    <w:rsid w:val="347EE82A"/>
    <w:rsid w:val="34817467"/>
    <w:rsid w:val="34878D84"/>
    <w:rsid w:val="348A84CE"/>
    <w:rsid w:val="348C326C"/>
    <w:rsid w:val="3493CF5D"/>
    <w:rsid w:val="34960271"/>
    <w:rsid w:val="34990343"/>
    <w:rsid w:val="34A3095F"/>
    <w:rsid w:val="34A4E65A"/>
    <w:rsid w:val="34A67BD6"/>
    <w:rsid w:val="34A861F0"/>
    <w:rsid w:val="34AC3725"/>
    <w:rsid w:val="34B4E51F"/>
    <w:rsid w:val="34B5E0D1"/>
    <w:rsid w:val="34B660E7"/>
    <w:rsid w:val="34BD71CF"/>
    <w:rsid w:val="34C4A04F"/>
    <w:rsid w:val="34C53844"/>
    <w:rsid w:val="34CDB7F8"/>
    <w:rsid w:val="34D3A416"/>
    <w:rsid w:val="34DA9536"/>
    <w:rsid w:val="34E2FC79"/>
    <w:rsid w:val="34E75C10"/>
    <w:rsid w:val="34E8E675"/>
    <w:rsid w:val="34F1DC19"/>
    <w:rsid w:val="34F5243E"/>
    <w:rsid w:val="34F6E17A"/>
    <w:rsid w:val="35004999"/>
    <w:rsid w:val="3511F9D6"/>
    <w:rsid w:val="351449B1"/>
    <w:rsid w:val="3525989F"/>
    <w:rsid w:val="3528A8D2"/>
    <w:rsid w:val="3529F532"/>
    <w:rsid w:val="352BF777"/>
    <w:rsid w:val="3540238D"/>
    <w:rsid w:val="354140B2"/>
    <w:rsid w:val="35438C5F"/>
    <w:rsid w:val="3546C570"/>
    <w:rsid w:val="354956BA"/>
    <w:rsid w:val="3556E374"/>
    <w:rsid w:val="3558CF4B"/>
    <w:rsid w:val="355C9795"/>
    <w:rsid w:val="355CB28C"/>
    <w:rsid w:val="3564C695"/>
    <w:rsid w:val="356A3FBB"/>
    <w:rsid w:val="356A809D"/>
    <w:rsid w:val="356E62D1"/>
    <w:rsid w:val="3570FDEC"/>
    <w:rsid w:val="35766BC5"/>
    <w:rsid w:val="357963F0"/>
    <w:rsid w:val="35875B04"/>
    <w:rsid w:val="35880C81"/>
    <w:rsid w:val="35918F6C"/>
    <w:rsid w:val="3593A0A8"/>
    <w:rsid w:val="359CD050"/>
    <w:rsid w:val="359D3B73"/>
    <w:rsid w:val="35AAE2E6"/>
    <w:rsid w:val="35AC56AC"/>
    <w:rsid w:val="35AE17CE"/>
    <w:rsid w:val="35AE50FC"/>
    <w:rsid w:val="35B5EDB4"/>
    <w:rsid w:val="35B931D2"/>
    <w:rsid w:val="35C1F365"/>
    <w:rsid w:val="35C37E5E"/>
    <w:rsid w:val="35C7B603"/>
    <w:rsid w:val="35D45A9E"/>
    <w:rsid w:val="35DC8336"/>
    <w:rsid w:val="35E2854D"/>
    <w:rsid w:val="35E32E26"/>
    <w:rsid w:val="35E5E2D9"/>
    <w:rsid w:val="35E6DEAD"/>
    <w:rsid w:val="35E8AE88"/>
    <w:rsid w:val="35E9C648"/>
    <w:rsid w:val="35EDC0EA"/>
    <w:rsid w:val="35F45ADE"/>
    <w:rsid w:val="35F46573"/>
    <w:rsid w:val="35F55317"/>
    <w:rsid w:val="35F5BA25"/>
    <w:rsid w:val="3616ECE8"/>
    <w:rsid w:val="361ADA73"/>
    <w:rsid w:val="361D9E6B"/>
    <w:rsid w:val="3622D04E"/>
    <w:rsid w:val="36275B20"/>
    <w:rsid w:val="36293670"/>
    <w:rsid w:val="362BA2CB"/>
    <w:rsid w:val="362F927A"/>
    <w:rsid w:val="3637E957"/>
    <w:rsid w:val="363F1544"/>
    <w:rsid w:val="36416A7E"/>
    <w:rsid w:val="36435ECF"/>
    <w:rsid w:val="364C6653"/>
    <w:rsid w:val="364FF34B"/>
    <w:rsid w:val="3654469B"/>
    <w:rsid w:val="3657412C"/>
    <w:rsid w:val="365A45D9"/>
    <w:rsid w:val="36605CD7"/>
    <w:rsid w:val="3665D77F"/>
    <w:rsid w:val="3666770A"/>
    <w:rsid w:val="366F3C2C"/>
    <w:rsid w:val="36727F2E"/>
    <w:rsid w:val="3672C2F3"/>
    <w:rsid w:val="3676C7B6"/>
    <w:rsid w:val="367A30A9"/>
    <w:rsid w:val="3690E13D"/>
    <w:rsid w:val="3692B1DB"/>
    <w:rsid w:val="36979A76"/>
    <w:rsid w:val="3698CC85"/>
    <w:rsid w:val="36998F8B"/>
    <w:rsid w:val="36A3329F"/>
    <w:rsid w:val="36A4B19F"/>
    <w:rsid w:val="36B8BEA0"/>
    <w:rsid w:val="36B961E9"/>
    <w:rsid w:val="36B9691A"/>
    <w:rsid w:val="36C4457C"/>
    <w:rsid w:val="36C590D9"/>
    <w:rsid w:val="36C64375"/>
    <w:rsid w:val="36D397C0"/>
    <w:rsid w:val="36E0812C"/>
    <w:rsid w:val="36E4B17E"/>
    <w:rsid w:val="36EC7DE2"/>
    <w:rsid w:val="36F8229E"/>
    <w:rsid w:val="3707938F"/>
    <w:rsid w:val="3722F5B0"/>
    <w:rsid w:val="372415D7"/>
    <w:rsid w:val="37269362"/>
    <w:rsid w:val="372A379A"/>
    <w:rsid w:val="372DF7D9"/>
    <w:rsid w:val="372E2584"/>
    <w:rsid w:val="372F0974"/>
    <w:rsid w:val="374972BD"/>
    <w:rsid w:val="37546589"/>
    <w:rsid w:val="3754E990"/>
    <w:rsid w:val="37624010"/>
    <w:rsid w:val="376C3EA0"/>
    <w:rsid w:val="376D7A2C"/>
    <w:rsid w:val="3770A309"/>
    <w:rsid w:val="3771C990"/>
    <w:rsid w:val="3774383C"/>
    <w:rsid w:val="3774A174"/>
    <w:rsid w:val="37774979"/>
    <w:rsid w:val="37845D81"/>
    <w:rsid w:val="378D1C42"/>
    <w:rsid w:val="378E0D2B"/>
    <w:rsid w:val="3790247E"/>
    <w:rsid w:val="379C1912"/>
    <w:rsid w:val="37A806A0"/>
    <w:rsid w:val="37ABD800"/>
    <w:rsid w:val="37AC7BDE"/>
    <w:rsid w:val="37ACE6D3"/>
    <w:rsid w:val="37AD08DB"/>
    <w:rsid w:val="37AFE707"/>
    <w:rsid w:val="37B91EF2"/>
    <w:rsid w:val="37BECE7B"/>
    <w:rsid w:val="37C74ECA"/>
    <w:rsid w:val="37C8DD13"/>
    <w:rsid w:val="37D284D6"/>
    <w:rsid w:val="37D972A0"/>
    <w:rsid w:val="37E0E731"/>
    <w:rsid w:val="37FB0926"/>
    <w:rsid w:val="37FD5422"/>
    <w:rsid w:val="38023657"/>
    <w:rsid w:val="380C59E8"/>
    <w:rsid w:val="380E3083"/>
    <w:rsid w:val="380ED05F"/>
    <w:rsid w:val="38109138"/>
    <w:rsid w:val="38121542"/>
    <w:rsid w:val="3821A966"/>
    <w:rsid w:val="382BF947"/>
    <w:rsid w:val="382E5302"/>
    <w:rsid w:val="3837B5E5"/>
    <w:rsid w:val="3839977E"/>
    <w:rsid w:val="383F196A"/>
    <w:rsid w:val="3845B4B4"/>
    <w:rsid w:val="3846333B"/>
    <w:rsid w:val="3846650C"/>
    <w:rsid w:val="3859B260"/>
    <w:rsid w:val="385BF4AC"/>
    <w:rsid w:val="385E11C5"/>
    <w:rsid w:val="386401BF"/>
    <w:rsid w:val="386581C4"/>
    <w:rsid w:val="38675F7E"/>
    <w:rsid w:val="386A359B"/>
    <w:rsid w:val="386B1D0A"/>
    <w:rsid w:val="386DA949"/>
    <w:rsid w:val="38703510"/>
    <w:rsid w:val="3870BD53"/>
    <w:rsid w:val="3871A966"/>
    <w:rsid w:val="38763044"/>
    <w:rsid w:val="38791883"/>
    <w:rsid w:val="38798B5A"/>
    <w:rsid w:val="387DD731"/>
    <w:rsid w:val="387F6CCD"/>
    <w:rsid w:val="387FFFF4"/>
    <w:rsid w:val="3892BB3C"/>
    <w:rsid w:val="38953ABB"/>
    <w:rsid w:val="38983B09"/>
    <w:rsid w:val="38A1868F"/>
    <w:rsid w:val="38A9656A"/>
    <w:rsid w:val="38ABCE5E"/>
    <w:rsid w:val="38AC5A48"/>
    <w:rsid w:val="38B11C22"/>
    <w:rsid w:val="38B19C1D"/>
    <w:rsid w:val="38B281A6"/>
    <w:rsid w:val="38BDAC2C"/>
    <w:rsid w:val="38C30515"/>
    <w:rsid w:val="38C34E72"/>
    <w:rsid w:val="38CB4C74"/>
    <w:rsid w:val="38CBFF48"/>
    <w:rsid w:val="38CC751A"/>
    <w:rsid w:val="38D07122"/>
    <w:rsid w:val="38D26042"/>
    <w:rsid w:val="38D98010"/>
    <w:rsid w:val="38DA7437"/>
    <w:rsid w:val="38DE1EC7"/>
    <w:rsid w:val="38E6C210"/>
    <w:rsid w:val="38EC710C"/>
    <w:rsid w:val="38EFA4B4"/>
    <w:rsid w:val="38F344AA"/>
    <w:rsid w:val="38F61B93"/>
    <w:rsid w:val="38FB65C1"/>
    <w:rsid w:val="38FC8391"/>
    <w:rsid w:val="3903EEF5"/>
    <w:rsid w:val="3907A1EA"/>
    <w:rsid w:val="390B7DAD"/>
    <w:rsid w:val="39127D82"/>
    <w:rsid w:val="391386D0"/>
    <w:rsid w:val="391C2FF8"/>
    <w:rsid w:val="3927AB2B"/>
    <w:rsid w:val="392817DB"/>
    <w:rsid w:val="39281C8F"/>
    <w:rsid w:val="392C09E5"/>
    <w:rsid w:val="392CA00B"/>
    <w:rsid w:val="3931EB2B"/>
    <w:rsid w:val="3933376E"/>
    <w:rsid w:val="3934C8ED"/>
    <w:rsid w:val="393ECCD1"/>
    <w:rsid w:val="394EFE97"/>
    <w:rsid w:val="394F89B2"/>
    <w:rsid w:val="3952D204"/>
    <w:rsid w:val="3956D7EB"/>
    <w:rsid w:val="3956E481"/>
    <w:rsid w:val="395E3110"/>
    <w:rsid w:val="39727A69"/>
    <w:rsid w:val="3975EE40"/>
    <w:rsid w:val="397A6111"/>
    <w:rsid w:val="397C091A"/>
    <w:rsid w:val="3984A124"/>
    <w:rsid w:val="398A4CC2"/>
    <w:rsid w:val="398F1D77"/>
    <w:rsid w:val="398F9B1C"/>
    <w:rsid w:val="39901A99"/>
    <w:rsid w:val="3994DF32"/>
    <w:rsid w:val="3995AB69"/>
    <w:rsid w:val="3996D987"/>
    <w:rsid w:val="39A2E1C4"/>
    <w:rsid w:val="39A5DFC3"/>
    <w:rsid w:val="39AE88D8"/>
    <w:rsid w:val="39B176FD"/>
    <w:rsid w:val="39B2F5E9"/>
    <w:rsid w:val="39B5BACA"/>
    <w:rsid w:val="39B865FD"/>
    <w:rsid w:val="39BC7960"/>
    <w:rsid w:val="39D000B7"/>
    <w:rsid w:val="39D35526"/>
    <w:rsid w:val="39D3947E"/>
    <w:rsid w:val="39D66E05"/>
    <w:rsid w:val="39DB2D48"/>
    <w:rsid w:val="39E25B0A"/>
    <w:rsid w:val="39E7A0AF"/>
    <w:rsid w:val="39F0FE83"/>
    <w:rsid w:val="39F20F0A"/>
    <w:rsid w:val="39F447CC"/>
    <w:rsid w:val="39F618DC"/>
    <w:rsid w:val="39F6CD2A"/>
    <w:rsid w:val="3A03A4AD"/>
    <w:rsid w:val="3A05259A"/>
    <w:rsid w:val="3A07B651"/>
    <w:rsid w:val="3A0F6BE2"/>
    <w:rsid w:val="3A1174D3"/>
    <w:rsid w:val="3A119372"/>
    <w:rsid w:val="3A27A086"/>
    <w:rsid w:val="3A3094FC"/>
    <w:rsid w:val="3A372088"/>
    <w:rsid w:val="3A37979F"/>
    <w:rsid w:val="3A3980A8"/>
    <w:rsid w:val="3A3D88B1"/>
    <w:rsid w:val="3A40A37A"/>
    <w:rsid w:val="3A40E01A"/>
    <w:rsid w:val="3A40FD4A"/>
    <w:rsid w:val="3A494B51"/>
    <w:rsid w:val="3A580893"/>
    <w:rsid w:val="3A58952E"/>
    <w:rsid w:val="3A5E07FD"/>
    <w:rsid w:val="3A629E3B"/>
    <w:rsid w:val="3A646FB9"/>
    <w:rsid w:val="3A65BE46"/>
    <w:rsid w:val="3A6F3C67"/>
    <w:rsid w:val="3A71E702"/>
    <w:rsid w:val="3A775D2F"/>
    <w:rsid w:val="3A83B5B0"/>
    <w:rsid w:val="3A86D8CA"/>
    <w:rsid w:val="3A941A7C"/>
    <w:rsid w:val="3A961AD4"/>
    <w:rsid w:val="3A977873"/>
    <w:rsid w:val="3A9FCC8D"/>
    <w:rsid w:val="3AA42616"/>
    <w:rsid w:val="3AB4922E"/>
    <w:rsid w:val="3ABA5D94"/>
    <w:rsid w:val="3ABEB478"/>
    <w:rsid w:val="3AC20E5F"/>
    <w:rsid w:val="3AC81144"/>
    <w:rsid w:val="3AD0838D"/>
    <w:rsid w:val="3ADA5D09"/>
    <w:rsid w:val="3ADB4072"/>
    <w:rsid w:val="3AF6E700"/>
    <w:rsid w:val="3AF8DEA3"/>
    <w:rsid w:val="3AFB8880"/>
    <w:rsid w:val="3AFDCA16"/>
    <w:rsid w:val="3B0AC9E7"/>
    <w:rsid w:val="3B0E91ED"/>
    <w:rsid w:val="3B11F1C9"/>
    <w:rsid w:val="3B174642"/>
    <w:rsid w:val="3B1F2180"/>
    <w:rsid w:val="3B202540"/>
    <w:rsid w:val="3B3A2EB6"/>
    <w:rsid w:val="3B3A5BC4"/>
    <w:rsid w:val="3B50F7A6"/>
    <w:rsid w:val="3B596FCF"/>
    <w:rsid w:val="3B5CA46F"/>
    <w:rsid w:val="3B6766DB"/>
    <w:rsid w:val="3B6A4FBF"/>
    <w:rsid w:val="3B70D6AE"/>
    <w:rsid w:val="3B7154C3"/>
    <w:rsid w:val="3B72DC70"/>
    <w:rsid w:val="3B741CBB"/>
    <w:rsid w:val="3B773681"/>
    <w:rsid w:val="3B78A1B2"/>
    <w:rsid w:val="3B7F5D3B"/>
    <w:rsid w:val="3B812042"/>
    <w:rsid w:val="3B98480E"/>
    <w:rsid w:val="3B994308"/>
    <w:rsid w:val="3B99B372"/>
    <w:rsid w:val="3BAC4B29"/>
    <w:rsid w:val="3BAF94AB"/>
    <w:rsid w:val="3BB6EBBD"/>
    <w:rsid w:val="3BC1B4C1"/>
    <w:rsid w:val="3BC22787"/>
    <w:rsid w:val="3BC5E055"/>
    <w:rsid w:val="3BC5FC3B"/>
    <w:rsid w:val="3BC898AF"/>
    <w:rsid w:val="3BD048CA"/>
    <w:rsid w:val="3BD182FB"/>
    <w:rsid w:val="3BD1BA74"/>
    <w:rsid w:val="3BDF97CC"/>
    <w:rsid w:val="3BE3B422"/>
    <w:rsid w:val="3BE72862"/>
    <w:rsid w:val="3BEA0CE4"/>
    <w:rsid w:val="3BEAC848"/>
    <w:rsid w:val="3BF457A9"/>
    <w:rsid w:val="3BFDA6F9"/>
    <w:rsid w:val="3C023C2B"/>
    <w:rsid w:val="3C032031"/>
    <w:rsid w:val="3C10547A"/>
    <w:rsid w:val="3C196BDC"/>
    <w:rsid w:val="3C203826"/>
    <w:rsid w:val="3C2836FE"/>
    <w:rsid w:val="3C2BEE58"/>
    <w:rsid w:val="3C2C0FA0"/>
    <w:rsid w:val="3C308284"/>
    <w:rsid w:val="3C364C90"/>
    <w:rsid w:val="3C3B7F50"/>
    <w:rsid w:val="3C3C0EB0"/>
    <w:rsid w:val="3C3C92E2"/>
    <w:rsid w:val="3C3FC150"/>
    <w:rsid w:val="3C54EC17"/>
    <w:rsid w:val="3C59C631"/>
    <w:rsid w:val="3C5BED47"/>
    <w:rsid w:val="3C637FBC"/>
    <w:rsid w:val="3C64262F"/>
    <w:rsid w:val="3C6A2811"/>
    <w:rsid w:val="3C6B8B66"/>
    <w:rsid w:val="3C74BACC"/>
    <w:rsid w:val="3C7740C1"/>
    <w:rsid w:val="3C79D4AA"/>
    <w:rsid w:val="3C7A0562"/>
    <w:rsid w:val="3C7E5237"/>
    <w:rsid w:val="3C849336"/>
    <w:rsid w:val="3C8538F8"/>
    <w:rsid w:val="3C89A853"/>
    <w:rsid w:val="3C8B9DA4"/>
    <w:rsid w:val="3C8C0F65"/>
    <w:rsid w:val="3C923A9E"/>
    <w:rsid w:val="3C93C17B"/>
    <w:rsid w:val="3C99E78F"/>
    <w:rsid w:val="3CABD0D4"/>
    <w:rsid w:val="3CB0E2D5"/>
    <w:rsid w:val="3CB20187"/>
    <w:rsid w:val="3CB21EED"/>
    <w:rsid w:val="3CB362B9"/>
    <w:rsid w:val="3CBB3D8C"/>
    <w:rsid w:val="3CC154F0"/>
    <w:rsid w:val="3CC36F3E"/>
    <w:rsid w:val="3CCFD60F"/>
    <w:rsid w:val="3CD29C76"/>
    <w:rsid w:val="3CD7CD93"/>
    <w:rsid w:val="3CD9A48A"/>
    <w:rsid w:val="3CE846A8"/>
    <w:rsid w:val="3CEA747C"/>
    <w:rsid w:val="3CF3EE42"/>
    <w:rsid w:val="3D02E860"/>
    <w:rsid w:val="3D0FC7C1"/>
    <w:rsid w:val="3D122AFD"/>
    <w:rsid w:val="3D1620EB"/>
    <w:rsid w:val="3D19469A"/>
    <w:rsid w:val="3D2BCA0C"/>
    <w:rsid w:val="3D318FA8"/>
    <w:rsid w:val="3D5273A9"/>
    <w:rsid w:val="3D56C88E"/>
    <w:rsid w:val="3D574DA9"/>
    <w:rsid w:val="3D5971D9"/>
    <w:rsid w:val="3D59F9A3"/>
    <w:rsid w:val="3D6E0294"/>
    <w:rsid w:val="3D714258"/>
    <w:rsid w:val="3D758EF7"/>
    <w:rsid w:val="3D8013E1"/>
    <w:rsid w:val="3D81C76C"/>
    <w:rsid w:val="3D85FEF9"/>
    <w:rsid w:val="3DAF4206"/>
    <w:rsid w:val="3DB83126"/>
    <w:rsid w:val="3DB84EC0"/>
    <w:rsid w:val="3DBADCF3"/>
    <w:rsid w:val="3DBB8895"/>
    <w:rsid w:val="3DC0792E"/>
    <w:rsid w:val="3DC1E5C7"/>
    <w:rsid w:val="3DC50821"/>
    <w:rsid w:val="3DCD4FD5"/>
    <w:rsid w:val="3DCEF89C"/>
    <w:rsid w:val="3DDA8C7F"/>
    <w:rsid w:val="3DDC0607"/>
    <w:rsid w:val="3DE6B7A2"/>
    <w:rsid w:val="3DE989A4"/>
    <w:rsid w:val="3DF3C06D"/>
    <w:rsid w:val="3DFC47A3"/>
    <w:rsid w:val="3E038A48"/>
    <w:rsid w:val="3E067A31"/>
    <w:rsid w:val="3E08A6FF"/>
    <w:rsid w:val="3E0A889B"/>
    <w:rsid w:val="3E190D7B"/>
    <w:rsid w:val="3E1C8CE0"/>
    <w:rsid w:val="3E2020AD"/>
    <w:rsid w:val="3E2B4E6D"/>
    <w:rsid w:val="3E2DEE13"/>
    <w:rsid w:val="3E32F9E4"/>
    <w:rsid w:val="3E360ABD"/>
    <w:rsid w:val="3E3B3C8B"/>
    <w:rsid w:val="3E3F1374"/>
    <w:rsid w:val="3E4A646E"/>
    <w:rsid w:val="3E5606D7"/>
    <w:rsid w:val="3E6492D3"/>
    <w:rsid w:val="3E68BFA1"/>
    <w:rsid w:val="3E6D4724"/>
    <w:rsid w:val="3E706076"/>
    <w:rsid w:val="3E70D847"/>
    <w:rsid w:val="3E785D33"/>
    <w:rsid w:val="3E7B13FD"/>
    <w:rsid w:val="3E7FCD90"/>
    <w:rsid w:val="3E833C7D"/>
    <w:rsid w:val="3E847D41"/>
    <w:rsid w:val="3E8E8EA1"/>
    <w:rsid w:val="3E91478B"/>
    <w:rsid w:val="3E915813"/>
    <w:rsid w:val="3E937D4F"/>
    <w:rsid w:val="3EA4E541"/>
    <w:rsid w:val="3EA9C0DA"/>
    <w:rsid w:val="3EB1010C"/>
    <w:rsid w:val="3EBA2161"/>
    <w:rsid w:val="3EC15D27"/>
    <w:rsid w:val="3EC26EF1"/>
    <w:rsid w:val="3EC49BFF"/>
    <w:rsid w:val="3EC9846A"/>
    <w:rsid w:val="3ECEB498"/>
    <w:rsid w:val="3ECF03A7"/>
    <w:rsid w:val="3ED3F75C"/>
    <w:rsid w:val="3ED628E7"/>
    <w:rsid w:val="3EDA073D"/>
    <w:rsid w:val="3EDBE1FF"/>
    <w:rsid w:val="3EDC5872"/>
    <w:rsid w:val="3EE0EB4A"/>
    <w:rsid w:val="3EE125A1"/>
    <w:rsid w:val="3EE22725"/>
    <w:rsid w:val="3EE73C4C"/>
    <w:rsid w:val="3EEA53C8"/>
    <w:rsid w:val="3EEAF5F5"/>
    <w:rsid w:val="3EED5C56"/>
    <w:rsid w:val="3EF3B8E3"/>
    <w:rsid w:val="3EF45729"/>
    <w:rsid w:val="3EF7E22C"/>
    <w:rsid w:val="3F0540C7"/>
    <w:rsid w:val="3F06B66E"/>
    <w:rsid w:val="3F0FF696"/>
    <w:rsid w:val="3F13AF30"/>
    <w:rsid w:val="3F142A83"/>
    <w:rsid w:val="3F186EA5"/>
    <w:rsid w:val="3F1AA82A"/>
    <w:rsid w:val="3F1C8001"/>
    <w:rsid w:val="3F1CBC74"/>
    <w:rsid w:val="3F39ED4B"/>
    <w:rsid w:val="3F3E71CC"/>
    <w:rsid w:val="3F4169EB"/>
    <w:rsid w:val="3F44EBDD"/>
    <w:rsid w:val="3F457BB6"/>
    <w:rsid w:val="3F470AB7"/>
    <w:rsid w:val="3F4AC363"/>
    <w:rsid w:val="3F54A223"/>
    <w:rsid w:val="3F5BEBFE"/>
    <w:rsid w:val="3F6257CE"/>
    <w:rsid w:val="3F64BF80"/>
    <w:rsid w:val="3F67BAEB"/>
    <w:rsid w:val="3F6A6CB1"/>
    <w:rsid w:val="3F722F93"/>
    <w:rsid w:val="3F72C92F"/>
    <w:rsid w:val="3F73B500"/>
    <w:rsid w:val="3F7BBBD3"/>
    <w:rsid w:val="3F7DB8E6"/>
    <w:rsid w:val="3F87FB44"/>
    <w:rsid w:val="3F8832BC"/>
    <w:rsid w:val="3F8A11BA"/>
    <w:rsid w:val="3F979B2A"/>
    <w:rsid w:val="3FA36069"/>
    <w:rsid w:val="3FAF257F"/>
    <w:rsid w:val="3FB0FBD2"/>
    <w:rsid w:val="3FBBC52C"/>
    <w:rsid w:val="3FC2C3EF"/>
    <w:rsid w:val="3FCA25C7"/>
    <w:rsid w:val="3FCFCAD2"/>
    <w:rsid w:val="3FD147C0"/>
    <w:rsid w:val="3FD1BB3F"/>
    <w:rsid w:val="3FD53CD8"/>
    <w:rsid w:val="3FD94E93"/>
    <w:rsid w:val="3FDAFA3F"/>
    <w:rsid w:val="3FE48BEF"/>
    <w:rsid w:val="3FE9948C"/>
    <w:rsid w:val="3FEE4930"/>
    <w:rsid w:val="3FF025F9"/>
    <w:rsid w:val="3FF987A0"/>
    <w:rsid w:val="3FFC7586"/>
    <w:rsid w:val="40016898"/>
    <w:rsid w:val="40094C6D"/>
    <w:rsid w:val="400D43F7"/>
    <w:rsid w:val="4014006E"/>
    <w:rsid w:val="4016084E"/>
    <w:rsid w:val="401683BB"/>
    <w:rsid w:val="4018FF1B"/>
    <w:rsid w:val="40194CE9"/>
    <w:rsid w:val="402031AF"/>
    <w:rsid w:val="40271161"/>
    <w:rsid w:val="402D787F"/>
    <w:rsid w:val="402FBAE6"/>
    <w:rsid w:val="4036B623"/>
    <w:rsid w:val="403DA25B"/>
    <w:rsid w:val="404E8A77"/>
    <w:rsid w:val="40517D07"/>
    <w:rsid w:val="4052E25A"/>
    <w:rsid w:val="40589AB6"/>
    <w:rsid w:val="406177E9"/>
    <w:rsid w:val="406A492F"/>
    <w:rsid w:val="406A4F38"/>
    <w:rsid w:val="406D0F82"/>
    <w:rsid w:val="406E6E02"/>
    <w:rsid w:val="4071FDAB"/>
    <w:rsid w:val="407385F7"/>
    <w:rsid w:val="407467AC"/>
    <w:rsid w:val="407B1370"/>
    <w:rsid w:val="4083CAC4"/>
    <w:rsid w:val="4086943B"/>
    <w:rsid w:val="40900632"/>
    <w:rsid w:val="4092F029"/>
    <w:rsid w:val="409769E1"/>
    <w:rsid w:val="40A383D7"/>
    <w:rsid w:val="40B5482A"/>
    <w:rsid w:val="40B5AAC4"/>
    <w:rsid w:val="40B744CD"/>
    <w:rsid w:val="40B7F70B"/>
    <w:rsid w:val="40B8E513"/>
    <w:rsid w:val="40C5181E"/>
    <w:rsid w:val="40CB8958"/>
    <w:rsid w:val="40CFE92C"/>
    <w:rsid w:val="40D89A0D"/>
    <w:rsid w:val="40DC792F"/>
    <w:rsid w:val="40E17533"/>
    <w:rsid w:val="40EE00C7"/>
    <w:rsid w:val="40EE372D"/>
    <w:rsid w:val="40F2D12F"/>
    <w:rsid w:val="40F31D7C"/>
    <w:rsid w:val="40FE1520"/>
    <w:rsid w:val="40FEC176"/>
    <w:rsid w:val="40FFA77C"/>
    <w:rsid w:val="410F8561"/>
    <w:rsid w:val="4110EA1A"/>
    <w:rsid w:val="4113C161"/>
    <w:rsid w:val="411AE633"/>
    <w:rsid w:val="412704BD"/>
    <w:rsid w:val="41396A6B"/>
    <w:rsid w:val="414652F0"/>
    <w:rsid w:val="41470076"/>
    <w:rsid w:val="414B071C"/>
    <w:rsid w:val="414BBE21"/>
    <w:rsid w:val="415841CD"/>
    <w:rsid w:val="415EB880"/>
    <w:rsid w:val="41646B38"/>
    <w:rsid w:val="41674EB1"/>
    <w:rsid w:val="416F3BE9"/>
    <w:rsid w:val="4189F6D7"/>
    <w:rsid w:val="418AE1D6"/>
    <w:rsid w:val="418C2818"/>
    <w:rsid w:val="418F1AE3"/>
    <w:rsid w:val="419278D5"/>
    <w:rsid w:val="419A77CE"/>
    <w:rsid w:val="419EC39F"/>
    <w:rsid w:val="41A5623E"/>
    <w:rsid w:val="41AA3106"/>
    <w:rsid w:val="41B16400"/>
    <w:rsid w:val="41B641A7"/>
    <w:rsid w:val="41BD613B"/>
    <w:rsid w:val="41C476BA"/>
    <w:rsid w:val="41C9DECF"/>
    <w:rsid w:val="41CA8994"/>
    <w:rsid w:val="41CE3B4C"/>
    <w:rsid w:val="41CFA774"/>
    <w:rsid w:val="41DA1530"/>
    <w:rsid w:val="41DCEA8F"/>
    <w:rsid w:val="41DFC998"/>
    <w:rsid w:val="41E10DB0"/>
    <w:rsid w:val="41E48E40"/>
    <w:rsid w:val="41E7A980"/>
    <w:rsid w:val="41E8798A"/>
    <w:rsid w:val="41EA8EBB"/>
    <w:rsid w:val="420371C7"/>
    <w:rsid w:val="42063B77"/>
    <w:rsid w:val="420BFEEC"/>
    <w:rsid w:val="420CE5B9"/>
    <w:rsid w:val="421CA029"/>
    <w:rsid w:val="4221C646"/>
    <w:rsid w:val="4228EF8B"/>
    <w:rsid w:val="422A85D3"/>
    <w:rsid w:val="422AD293"/>
    <w:rsid w:val="422B5E4E"/>
    <w:rsid w:val="4234A96F"/>
    <w:rsid w:val="42360619"/>
    <w:rsid w:val="423B45DB"/>
    <w:rsid w:val="42408C9E"/>
    <w:rsid w:val="424701A1"/>
    <w:rsid w:val="4248D487"/>
    <w:rsid w:val="424AD5E4"/>
    <w:rsid w:val="42530D6E"/>
    <w:rsid w:val="4260E87F"/>
    <w:rsid w:val="426476DC"/>
    <w:rsid w:val="426B4A0B"/>
    <w:rsid w:val="426D43B5"/>
    <w:rsid w:val="4270A010"/>
    <w:rsid w:val="42759A52"/>
    <w:rsid w:val="4278A84D"/>
    <w:rsid w:val="427B5896"/>
    <w:rsid w:val="427D2D43"/>
    <w:rsid w:val="42826CF4"/>
    <w:rsid w:val="42845B18"/>
    <w:rsid w:val="428498C4"/>
    <w:rsid w:val="429828D9"/>
    <w:rsid w:val="42993914"/>
    <w:rsid w:val="429E3B3F"/>
    <w:rsid w:val="42A18221"/>
    <w:rsid w:val="42A3C94B"/>
    <w:rsid w:val="42AACFFE"/>
    <w:rsid w:val="42B09FE6"/>
    <w:rsid w:val="42BCA416"/>
    <w:rsid w:val="42CF60E9"/>
    <w:rsid w:val="42D505BD"/>
    <w:rsid w:val="42D86E4C"/>
    <w:rsid w:val="42D89436"/>
    <w:rsid w:val="42D898D2"/>
    <w:rsid w:val="42D9E47D"/>
    <w:rsid w:val="42E8276C"/>
    <w:rsid w:val="42EE63A8"/>
    <w:rsid w:val="42EFAEC6"/>
    <w:rsid w:val="42F41FCB"/>
    <w:rsid w:val="42F65073"/>
    <w:rsid w:val="42FDDA25"/>
    <w:rsid w:val="43017619"/>
    <w:rsid w:val="4309F860"/>
    <w:rsid w:val="4310839C"/>
    <w:rsid w:val="431D6559"/>
    <w:rsid w:val="4323A8C0"/>
    <w:rsid w:val="432792C8"/>
    <w:rsid w:val="432A683E"/>
    <w:rsid w:val="432C2346"/>
    <w:rsid w:val="4336F494"/>
    <w:rsid w:val="4337996F"/>
    <w:rsid w:val="4338AF80"/>
    <w:rsid w:val="433D0DBF"/>
    <w:rsid w:val="433E5EC7"/>
    <w:rsid w:val="4340D6AA"/>
    <w:rsid w:val="43418D30"/>
    <w:rsid w:val="4342F087"/>
    <w:rsid w:val="4345CDA9"/>
    <w:rsid w:val="4355C90B"/>
    <w:rsid w:val="4357F9F6"/>
    <w:rsid w:val="43664DB5"/>
    <w:rsid w:val="4369A454"/>
    <w:rsid w:val="436A464D"/>
    <w:rsid w:val="4373D54E"/>
    <w:rsid w:val="43829915"/>
    <w:rsid w:val="43854F11"/>
    <w:rsid w:val="4387455B"/>
    <w:rsid w:val="439B6580"/>
    <w:rsid w:val="439DC4F3"/>
    <w:rsid w:val="43A14FBF"/>
    <w:rsid w:val="43B41EDA"/>
    <w:rsid w:val="43B7F343"/>
    <w:rsid w:val="43B8C1B4"/>
    <w:rsid w:val="43CB71F3"/>
    <w:rsid w:val="43D0D134"/>
    <w:rsid w:val="43D3D83D"/>
    <w:rsid w:val="43D52C60"/>
    <w:rsid w:val="43E3FC0E"/>
    <w:rsid w:val="43E5E217"/>
    <w:rsid w:val="43E67542"/>
    <w:rsid w:val="43E8156A"/>
    <w:rsid w:val="43E91B74"/>
    <w:rsid w:val="43F06C2E"/>
    <w:rsid w:val="43F206D3"/>
    <w:rsid w:val="43F3DE9E"/>
    <w:rsid w:val="43F7F8DE"/>
    <w:rsid w:val="43FCB8E0"/>
    <w:rsid w:val="4407D1AD"/>
    <w:rsid w:val="4408B1B8"/>
    <w:rsid w:val="44094905"/>
    <w:rsid w:val="4409B9A0"/>
    <w:rsid w:val="4410F531"/>
    <w:rsid w:val="442A37E3"/>
    <w:rsid w:val="442AAD14"/>
    <w:rsid w:val="443FFB65"/>
    <w:rsid w:val="4446D7D5"/>
    <w:rsid w:val="4451C2D6"/>
    <w:rsid w:val="445CDF4B"/>
    <w:rsid w:val="4460A56D"/>
    <w:rsid w:val="4462EDD3"/>
    <w:rsid w:val="44630114"/>
    <w:rsid w:val="4463A4BF"/>
    <w:rsid w:val="447611E5"/>
    <w:rsid w:val="447C6AC6"/>
    <w:rsid w:val="448C8FD4"/>
    <w:rsid w:val="44905ED6"/>
    <w:rsid w:val="4490EBAA"/>
    <w:rsid w:val="44944715"/>
    <w:rsid w:val="449671AE"/>
    <w:rsid w:val="449EBE84"/>
    <w:rsid w:val="449FA51B"/>
    <w:rsid w:val="44A70F70"/>
    <w:rsid w:val="44A728EC"/>
    <w:rsid w:val="44AE3DC6"/>
    <w:rsid w:val="44B13E04"/>
    <w:rsid w:val="44B815C4"/>
    <w:rsid w:val="44B862CA"/>
    <w:rsid w:val="44BCACA1"/>
    <w:rsid w:val="44BF304C"/>
    <w:rsid w:val="44C22C11"/>
    <w:rsid w:val="44CA17CA"/>
    <w:rsid w:val="44CAF280"/>
    <w:rsid w:val="44CE4F60"/>
    <w:rsid w:val="44D36C82"/>
    <w:rsid w:val="44DB7F8E"/>
    <w:rsid w:val="44E115EA"/>
    <w:rsid w:val="44E27F72"/>
    <w:rsid w:val="44E71FF5"/>
    <w:rsid w:val="44E9B14C"/>
    <w:rsid w:val="44EA514B"/>
    <w:rsid w:val="44EA942E"/>
    <w:rsid w:val="44EFE418"/>
    <w:rsid w:val="44F1F871"/>
    <w:rsid w:val="44F9064A"/>
    <w:rsid w:val="45000B03"/>
    <w:rsid w:val="45001C55"/>
    <w:rsid w:val="4502690C"/>
    <w:rsid w:val="45027057"/>
    <w:rsid w:val="4509D1F1"/>
    <w:rsid w:val="450A32B7"/>
    <w:rsid w:val="450F2DEE"/>
    <w:rsid w:val="45146B72"/>
    <w:rsid w:val="4514A664"/>
    <w:rsid w:val="4514C38E"/>
    <w:rsid w:val="451EA45E"/>
    <w:rsid w:val="452B7720"/>
    <w:rsid w:val="452C40D4"/>
    <w:rsid w:val="45310D83"/>
    <w:rsid w:val="45422132"/>
    <w:rsid w:val="4542B7EC"/>
    <w:rsid w:val="4553DE75"/>
    <w:rsid w:val="455441A8"/>
    <w:rsid w:val="4555DBF7"/>
    <w:rsid w:val="45600FDC"/>
    <w:rsid w:val="4562CCC4"/>
    <w:rsid w:val="45679170"/>
    <w:rsid w:val="456EB64D"/>
    <w:rsid w:val="45707012"/>
    <w:rsid w:val="457755A8"/>
    <w:rsid w:val="457E4A10"/>
    <w:rsid w:val="458467B6"/>
    <w:rsid w:val="45863450"/>
    <w:rsid w:val="4587126B"/>
    <w:rsid w:val="458A0D50"/>
    <w:rsid w:val="458A8727"/>
    <w:rsid w:val="458AC7F7"/>
    <w:rsid w:val="4591474E"/>
    <w:rsid w:val="459374FA"/>
    <w:rsid w:val="459E6DD5"/>
    <w:rsid w:val="45A074B9"/>
    <w:rsid w:val="45A9D1D8"/>
    <w:rsid w:val="45B5D3FB"/>
    <w:rsid w:val="45B95055"/>
    <w:rsid w:val="45BB7F82"/>
    <w:rsid w:val="45BDB801"/>
    <w:rsid w:val="45BE1341"/>
    <w:rsid w:val="45C28C57"/>
    <w:rsid w:val="45CA0869"/>
    <w:rsid w:val="45CEF102"/>
    <w:rsid w:val="45DB88E8"/>
    <w:rsid w:val="45DB932F"/>
    <w:rsid w:val="45E758C3"/>
    <w:rsid w:val="45EAE044"/>
    <w:rsid w:val="45EE126F"/>
    <w:rsid w:val="45F0BE32"/>
    <w:rsid w:val="45F2FAD5"/>
    <w:rsid w:val="45F7E6E6"/>
    <w:rsid w:val="45FB29A9"/>
    <w:rsid w:val="45FD70C0"/>
    <w:rsid w:val="4606659A"/>
    <w:rsid w:val="460C3961"/>
    <w:rsid w:val="460D8BCE"/>
    <w:rsid w:val="46106483"/>
    <w:rsid w:val="461087B8"/>
    <w:rsid w:val="4612609B"/>
    <w:rsid w:val="461512A5"/>
    <w:rsid w:val="4615A069"/>
    <w:rsid w:val="46182517"/>
    <w:rsid w:val="461EC139"/>
    <w:rsid w:val="462A81A2"/>
    <w:rsid w:val="4636083C"/>
    <w:rsid w:val="463F0387"/>
    <w:rsid w:val="46427A3C"/>
    <w:rsid w:val="464621DC"/>
    <w:rsid w:val="4647D3E8"/>
    <w:rsid w:val="4671FFBD"/>
    <w:rsid w:val="4672F295"/>
    <w:rsid w:val="46741A1A"/>
    <w:rsid w:val="467AD8D5"/>
    <w:rsid w:val="46A3ABD3"/>
    <w:rsid w:val="46C09B0E"/>
    <w:rsid w:val="46C76E63"/>
    <w:rsid w:val="46D00DC2"/>
    <w:rsid w:val="46D049C3"/>
    <w:rsid w:val="46E96A1C"/>
    <w:rsid w:val="46ECDA96"/>
    <w:rsid w:val="46F66545"/>
    <w:rsid w:val="46F9B554"/>
    <w:rsid w:val="46FB1948"/>
    <w:rsid w:val="4704B5E4"/>
    <w:rsid w:val="470E77DC"/>
    <w:rsid w:val="471090F3"/>
    <w:rsid w:val="47176F53"/>
    <w:rsid w:val="4721C3E1"/>
    <w:rsid w:val="472AA3F9"/>
    <w:rsid w:val="472CB7D3"/>
    <w:rsid w:val="472E20FF"/>
    <w:rsid w:val="47309F6A"/>
    <w:rsid w:val="47320747"/>
    <w:rsid w:val="473A685C"/>
    <w:rsid w:val="474188FF"/>
    <w:rsid w:val="4746B066"/>
    <w:rsid w:val="474749C9"/>
    <w:rsid w:val="47476D96"/>
    <w:rsid w:val="47493B16"/>
    <w:rsid w:val="475CD4BF"/>
    <w:rsid w:val="475E017C"/>
    <w:rsid w:val="475E95AC"/>
    <w:rsid w:val="476C7893"/>
    <w:rsid w:val="477329B9"/>
    <w:rsid w:val="477465AB"/>
    <w:rsid w:val="477CD9C5"/>
    <w:rsid w:val="477E3857"/>
    <w:rsid w:val="478AD8E0"/>
    <w:rsid w:val="478BC39F"/>
    <w:rsid w:val="4795EEEF"/>
    <w:rsid w:val="47A105DB"/>
    <w:rsid w:val="47A38683"/>
    <w:rsid w:val="47A7B4A4"/>
    <w:rsid w:val="47AEEA84"/>
    <w:rsid w:val="47BE2C9C"/>
    <w:rsid w:val="47C238F2"/>
    <w:rsid w:val="47C29990"/>
    <w:rsid w:val="47C93957"/>
    <w:rsid w:val="47CB60DB"/>
    <w:rsid w:val="47CDD961"/>
    <w:rsid w:val="47D78CDA"/>
    <w:rsid w:val="47E12FDF"/>
    <w:rsid w:val="47E1D194"/>
    <w:rsid w:val="47ED2E68"/>
    <w:rsid w:val="47FF1C0C"/>
    <w:rsid w:val="4800AB5B"/>
    <w:rsid w:val="48087924"/>
    <w:rsid w:val="4808BC57"/>
    <w:rsid w:val="481A70A4"/>
    <w:rsid w:val="481D5982"/>
    <w:rsid w:val="482DB7C9"/>
    <w:rsid w:val="482E7801"/>
    <w:rsid w:val="483199D1"/>
    <w:rsid w:val="4835AA51"/>
    <w:rsid w:val="4835DD8A"/>
    <w:rsid w:val="48382972"/>
    <w:rsid w:val="48391DD5"/>
    <w:rsid w:val="4848C3ED"/>
    <w:rsid w:val="4849B262"/>
    <w:rsid w:val="4849CE11"/>
    <w:rsid w:val="48525340"/>
    <w:rsid w:val="4852A677"/>
    <w:rsid w:val="48543920"/>
    <w:rsid w:val="485D9C06"/>
    <w:rsid w:val="4866607C"/>
    <w:rsid w:val="48670BA3"/>
    <w:rsid w:val="486B785B"/>
    <w:rsid w:val="4870BEFA"/>
    <w:rsid w:val="487C5FB6"/>
    <w:rsid w:val="487D6631"/>
    <w:rsid w:val="48802AE9"/>
    <w:rsid w:val="488191B3"/>
    <w:rsid w:val="4885D6BB"/>
    <w:rsid w:val="48894664"/>
    <w:rsid w:val="488F8FE5"/>
    <w:rsid w:val="4896A5C5"/>
    <w:rsid w:val="489BE487"/>
    <w:rsid w:val="489EC7FC"/>
    <w:rsid w:val="489ED9D3"/>
    <w:rsid w:val="48A3D714"/>
    <w:rsid w:val="48AEB45F"/>
    <w:rsid w:val="48B36B3C"/>
    <w:rsid w:val="48B39DCC"/>
    <w:rsid w:val="48BF605C"/>
    <w:rsid w:val="48CA4F6B"/>
    <w:rsid w:val="48E42972"/>
    <w:rsid w:val="48E76C06"/>
    <w:rsid w:val="48E8C13A"/>
    <w:rsid w:val="48EE6CBA"/>
    <w:rsid w:val="48EE8142"/>
    <w:rsid w:val="48EEA123"/>
    <w:rsid w:val="48F1D4D2"/>
    <w:rsid w:val="48FB5C2B"/>
    <w:rsid w:val="48FC113D"/>
    <w:rsid w:val="48FC8432"/>
    <w:rsid w:val="48FEF97B"/>
    <w:rsid w:val="4901D22D"/>
    <w:rsid w:val="490236ED"/>
    <w:rsid w:val="490246A6"/>
    <w:rsid w:val="490C68F1"/>
    <w:rsid w:val="490EE61B"/>
    <w:rsid w:val="4913922B"/>
    <w:rsid w:val="4916C7A3"/>
    <w:rsid w:val="4918B2B9"/>
    <w:rsid w:val="4918E181"/>
    <w:rsid w:val="49244444"/>
    <w:rsid w:val="492FC160"/>
    <w:rsid w:val="49311B3E"/>
    <w:rsid w:val="493DFCE5"/>
    <w:rsid w:val="49402FCC"/>
    <w:rsid w:val="494258D7"/>
    <w:rsid w:val="49430F0C"/>
    <w:rsid w:val="4948287A"/>
    <w:rsid w:val="49495911"/>
    <w:rsid w:val="494E87CD"/>
    <w:rsid w:val="49535049"/>
    <w:rsid w:val="4955206B"/>
    <w:rsid w:val="49558C55"/>
    <w:rsid w:val="495D35E1"/>
    <w:rsid w:val="49613DE0"/>
    <w:rsid w:val="49647AEB"/>
    <w:rsid w:val="496F81DE"/>
    <w:rsid w:val="497133EC"/>
    <w:rsid w:val="4972855D"/>
    <w:rsid w:val="49738516"/>
    <w:rsid w:val="497C761C"/>
    <w:rsid w:val="497DBA9B"/>
    <w:rsid w:val="497FC245"/>
    <w:rsid w:val="498A9379"/>
    <w:rsid w:val="4990F7A6"/>
    <w:rsid w:val="49970815"/>
    <w:rsid w:val="49A72F69"/>
    <w:rsid w:val="49A7410B"/>
    <w:rsid w:val="49ACB734"/>
    <w:rsid w:val="49AFA19E"/>
    <w:rsid w:val="49BA6237"/>
    <w:rsid w:val="49C017FA"/>
    <w:rsid w:val="49CC9322"/>
    <w:rsid w:val="49CE7C07"/>
    <w:rsid w:val="49DDB66E"/>
    <w:rsid w:val="49E96B7E"/>
    <w:rsid w:val="49EF63ED"/>
    <w:rsid w:val="49F77C90"/>
    <w:rsid w:val="4A0129BF"/>
    <w:rsid w:val="4A020ADE"/>
    <w:rsid w:val="4A02E6A5"/>
    <w:rsid w:val="4A09768B"/>
    <w:rsid w:val="4A16B08C"/>
    <w:rsid w:val="4A1C4A88"/>
    <w:rsid w:val="4A1E4935"/>
    <w:rsid w:val="4A2311FE"/>
    <w:rsid w:val="4A251481"/>
    <w:rsid w:val="4A31BCC2"/>
    <w:rsid w:val="4A327626"/>
    <w:rsid w:val="4A37B40B"/>
    <w:rsid w:val="4A3FF881"/>
    <w:rsid w:val="4A4478CB"/>
    <w:rsid w:val="4A459828"/>
    <w:rsid w:val="4A47479C"/>
    <w:rsid w:val="4A4F0E94"/>
    <w:rsid w:val="4A515989"/>
    <w:rsid w:val="4A51D9C4"/>
    <w:rsid w:val="4A5C7137"/>
    <w:rsid w:val="4A60D6E5"/>
    <w:rsid w:val="4A6D90AA"/>
    <w:rsid w:val="4A78A7C2"/>
    <w:rsid w:val="4A7C8ADA"/>
    <w:rsid w:val="4A7E3D5B"/>
    <w:rsid w:val="4A8A84A9"/>
    <w:rsid w:val="4A8CD6B7"/>
    <w:rsid w:val="4A927562"/>
    <w:rsid w:val="4A9B78FD"/>
    <w:rsid w:val="4A9E0D49"/>
    <w:rsid w:val="4AA174DD"/>
    <w:rsid w:val="4AA4B1F7"/>
    <w:rsid w:val="4AAE2805"/>
    <w:rsid w:val="4AB7E17C"/>
    <w:rsid w:val="4ABA66E1"/>
    <w:rsid w:val="4ABAF6CA"/>
    <w:rsid w:val="4ABC8CA2"/>
    <w:rsid w:val="4ABED5BC"/>
    <w:rsid w:val="4AD5C127"/>
    <w:rsid w:val="4AD815FD"/>
    <w:rsid w:val="4AD82CBA"/>
    <w:rsid w:val="4AE3F8DB"/>
    <w:rsid w:val="4AEC70C8"/>
    <w:rsid w:val="4AF1FF33"/>
    <w:rsid w:val="4AFDF2C5"/>
    <w:rsid w:val="4AFF0A37"/>
    <w:rsid w:val="4B054B83"/>
    <w:rsid w:val="4B06A192"/>
    <w:rsid w:val="4B1574E9"/>
    <w:rsid w:val="4B23AC43"/>
    <w:rsid w:val="4B2BB61E"/>
    <w:rsid w:val="4B345BB0"/>
    <w:rsid w:val="4B39BBDC"/>
    <w:rsid w:val="4B41204A"/>
    <w:rsid w:val="4B431135"/>
    <w:rsid w:val="4B43F285"/>
    <w:rsid w:val="4B450722"/>
    <w:rsid w:val="4B4B1D4A"/>
    <w:rsid w:val="4B4C83C3"/>
    <w:rsid w:val="4B50CE96"/>
    <w:rsid w:val="4B5F13AC"/>
    <w:rsid w:val="4B5F2445"/>
    <w:rsid w:val="4B6424CF"/>
    <w:rsid w:val="4B66CA67"/>
    <w:rsid w:val="4B70B1E6"/>
    <w:rsid w:val="4B8C242D"/>
    <w:rsid w:val="4B9D2887"/>
    <w:rsid w:val="4B9E2096"/>
    <w:rsid w:val="4BA021B5"/>
    <w:rsid w:val="4BAB24EB"/>
    <w:rsid w:val="4BB0F2B8"/>
    <w:rsid w:val="4BB640D3"/>
    <w:rsid w:val="4BB6E96B"/>
    <w:rsid w:val="4BB7C4ED"/>
    <w:rsid w:val="4BB9DA34"/>
    <w:rsid w:val="4BC193AB"/>
    <w:rsid w:val="4BC9FE40"/>
    <w:rsid w:val="4BD68E70"/>
    <w:rsid w:val="4BD711C5"/>
    <w:rsid w:val="4BD8A36D"/>
    <w:rsid w:val="4BEAAD59"/>
    <w:rsid w:val="4BEB062E"/>
    <w:rsid w:val="4BEB929E"/>
    <w:rsid w:val="4BF2C11D"/>
    <w:rsid w:val="4BFC4353"/>
    <w:rsid w:val="4BFDC56D"/>
    <w:rsid w:val="4BFDF62F"/>
    <w:rsid w:val="4BFFE654"/>
    <w:rsid w:val="4C00161E"/>
    <w:rsid w:val="4C046C93"/>
    <w:rsid w:val="4C083D06"/>
    <w:rsid w:val="4C14CD74"/>
    <w:rsid w:val="4C1CDB63"/>
    <w:rsid w:val="4C21258F"/>
    <w:rsid w:val="4C2AA33C"/>
    <w:rsid w:val="4C2EE459"/>
    <w:rsid w:val="4C36D02E"/>
    <w:rsid w:val="4C45C648"/>
    <w:rsid w:val="4C4B055A"/>
    <w:rsid w:val="4C519692"/>
    <w:rsid w:val="4C560ED7"/>
    <w:rsid w:val="4C61A738"/>
    <w:rsid w:val="4C676222"/>
    <w:rsid w:val="4C6B28C9"/>
    <w:rsid w:val="4C6B7EAA"/>
    <w:rsid w:val="4C71BC2B"/>
    <w:rsid w:val="4C759EFA"/>
    <w:rsid w:val="4C75AFE3"/>
    <w:rsid w:val="4C787F5D"/>
    <w:rsid w:val="4C7A4E9C"/>
    <w:rsid w:val="4C7DF51B"/>
    <w:rsid w:val="4C802288"/>
    <w:rsid w:val="4C805E45"/>
    <w:rsid w:val="4C8D6E13"/>
    <w:rsid w:val="4C98857D"/>
    <w:rsid w:val="4C99C326"/>
    <w:rsid w:val="4CA08DC4"/>
    <w:rsid w:val="4CAF3FA6"/>
    <w:rsid w:val="4CB9FD52"/>
    <w:rsid w:val="4CBC1E3A"/>
    <w:rsid w:val="4CBFCC8C"/>
    <w:rsid w:val="4CD2C2E5"/>
    <w:rsid w:val="4CD80521"/>
    <w:rsid w:val="4CDBF7B6"/>
    <w:rsid w:val="4CE83835"/>
    <w:rsid w:val="4CF1B93E"/>
    <w:rsid w:val="4CF40F66"/>
    <w:rsid w:val="4CF41555"/>
    <w:rsid w:val="4CFCA931"/>
    <w:rsid w:val="4CFE12F3"/>
    <w:rsid w:val="4D005798"/>
    <w:rsid w:val="4D054406"/>
    <w:rsid w:val="4D0B8AA9"/>
    <w:rsid w:val="4D0BD862"/>
    <w:rsid w:val="4D0CB7BA"/>
    <w:rsid w:val="4D0D8579"/>
    <w:rsid w:val="4D11B9A3"/>
    <w:rsid w:val="4D1827FB"/>
    <w:rsid w:val="4D1A11C2"/>
    <w:rsid w:val="4D1AE99D"/>
    <w:rsid w:val="4D203E57"/>
    <w:rsid w:val="4D34126A"/>
    <w:rsid w:val="4D34CB77"/>
    <w:rsid w:val="4D394AAC"/>
    <w:rsid w:val="4D482A27"/>
    <w:rsid w:val="4D497F49"/>
    <w:rsid w:val="4D4B8DCB"/>
    <w:rsid w:val="4D505A32"/>
    <w:rsid w:val="4D5428C0"/>
    <w:rsid w:val="4D54DE2A"/>
    <w:rsid w:val="4D65C049"/>
    <w:rsid w:val="4D71EB56"/>
    <w:rsid w:val="4D890648"/>
    <w:rsid w:val="4D8CE9D8"/>
    <w:rsid w:val="4D91FF70"/>
    <w:rsid w:val="4D949AC2"/>
    <w:rsid w:val="4D9D6283"/>
    <w:rsid w:val="4D9DCE91"/>
    <w:rsid w:val="4DA0239E"/>
    <w:rsid w:val="4DA966A7"/>
    <w:rsid w:val="4DB1CDB6"/>
    <w:rsid w:val="4DB7B022"/>
    <w:rsid w:val="4DBAC0A8"/>
    <w:rsid w:val="4DC21425"/>
    <w:rsid w:val="4DC3ECD2"/>
    <w:rsid w:val="4DD08C3B"/>
    <w:rsid w:val="4DD2F77E"/>
    <w:rsid w:val="4DD644C5"/>
    <w:rsid w:val="4DDE9323"/>
    <w:rsid w:val="4DE83729"/>
    <w:rsid w:val="4DE9D5A4"/>
    <w:rsid w:val="4DF2A7A8"/>
    <w:rsid w:val="4DFF4B7A"/>
    <w:rsid w:val="4E0A340D"/>
    <w:rsid w:val="4E0FA593"/>
    <w:rsid w:val="4E14AA99"/>
    <w:rsid w:val="4E15DA9C"/>
    <w:rsid w:val="4E1B73C2"/>
    <w:rsid w:val="4E240DB2"/>
    <w:rsid w:val="4E251913"/>
    <w:rsid w:val="4E2BBE11"/>
    <w:rsid w:val="4E30FDB4"/>
    <w:rsid w:val="4E315770"/>
    <w:rsid w:val="4E3A6FE3"/>
    <w:rsid w:val="4E4070DD"/>
    <w:rsid w:val="4E419705"/>
    <w:rsid w:val="4E44AD6C"/>
    <w:rsid w:val="4E473C5F"/>
    <w:rsid w:val="4E4CC9DB"/>
    <w:rsid w:val="4E68FA9F"/>
    <w:rsid w:val="4E6D6448"/>
    <w:rsid w:val="4E720928"/>
    <w:rsid w:val="4E861082"/>
    <w:rsid w:val="4E882E87"/>
    <w:rsid w:val="4E8B9D33"/>
    <w:rsid w:val="4E8C8D78"/>
    <w:rsid w:val="4E8F4615"/>
    <w:rsid w:val="4E923FA3"/>
    <w:rsid w:val="4E9A8633"/>
    <w:rsid w:val="4EA2604D"/>
    <w:rsid w:val="4EA28E6E"/>
    <w:rsid w:val="4EAA399C"/>
    <w:rsid w:val="4EAB9A8A"/>
    <w:rsid w:val="4EAC444C"/>
    <w:rsid w:val="4EB4A3D9"/>
    <w:rsid w:val="4EBD63D2"/>
    <w:rsid w:val="4EC2B482"/>
    <w:rsid w:val="4EC3C4EF"/>
    <w:rsid w:val="4ECB1A02"/>
    <w:rsid w:val="4ECB4821"/>
    <w:rsid w:val="4ED47377"/>
    <w:rsid w:val="4EE3B34C"/>
    <w:rsid w:val="4EF3BFB4"/>
    <w:rsid w:val="4EFB79A9"/>
    <w:rsid w:val="4EFCD7D4"/>
    <w:rsid w:val="4F03AAFB"/>
    <w:rsid w:val="4F043A5D"/>
    <w:rsid w:val="4F04D3A9"/>
    <w:rsid w:val="4F08A39B"/>
    <w:rsid w:val="4F12BF0D"/>
    <w:rsid w:val="4F18338C"/>
    <w:rsid w:val="4F1870F4"/>
    <w:rsid w:val="4F19004E"/>
    <w:rsid w:val="4F1D0539"/>
    <w:rsid w:val="4F30F138"/>
    <w:rsid w:val="4F47E0A6"/>
    <w:rsid w:val="4F4E128F"/>
    <w:rsid w:val="4F539E78"/>
    <w:rsid w:val="4F55E3C2"/>
    <w:rsid w:val="4F573EAC"/>
    <w:rsid w:val="4F5820A5"/>
    <w:rsid w:val="4F59A350"/>
    <w:rsid w:val="4F5E7DFD"/>
    <w:rsid w:val="4F600AF3"/>
    <w:rsid w:val="4F629688"/>
    <w:rsid w:val="4F6824CE"/>
    <w:rsid w:val="4F68E667"/>
    <w:rsid w:val="4F6D2EC7"/>
    <w:rsid w:val="4F722696"/>
    <w:rsid w:val="4F78DF16"/>
    <w:rsid w:val="4F7F2CBB"/>
    <w:rsid w:val="4F846247"/>
    <w:rsid w:val="4F910ABC"/>
    <w:rsid w:val="4F97E289"/>
    <w:rsid w:val="4F99C958"/>
    <w:rsid w:val="4F9ED441"/>
    <w:rsid w:val="4FA3015D"/>
    <w:rsid w:val="4FABAA70"/>
    <w:rsid w:val="4FB9767F"/>
    <w:rsid w:val="4FC9D5E3"/>
    <w:rsid w:val="4FCFEE44"/>
    <w:rsid w:val="4FD21F2C"/>
    <w:rsid w:val="4FD5E410"/>
    <w:rsid w:val="4FD841C0"/>
    <w:rsid w:val="4FE10F2C"/>
    <w:rsid w:val="4FE2B30D"/>
    <w:rsid w:val="4FE38251"/>
    <w:rsid w:val="4FF56A08"/>
    <w:rsid w:val="4FF6094C"/>
    <w:rsid w:val="4FFBB8CF"/>
    <w:rsid w:val="500E3FB8"/>
    <w:rsid w:val="500FA5E3"/>
    <w:rsid w:val="5011E78D"/>
    <w:rsid w:val="5019ED06"/>
    <w:rsid w:val="502E52E2"/>
    <w:rsid w:val="50328EE0"/>
    <w:rsid w:val="503677A4"/>
    <w:rsid w:val="503FDED3"/>
    <w:rsid w:val="50412420"/>
    <w:rsid w:val="505156F9"/>
    <w:rsid w:val="5051D1BF"/>
    <w:rsid w:val="505DA2DF"/>
    <w:rsid w:val="50641DC9"/>
    <w:rsid w:val="50679399"/>
    <w:rsid w:val="506B69F5"/>
    <w:rsid w:val="506C09CC"/>
    <w:rsid w:val="5076D9D6"/>
    <w:rsid w:val="507B7D04"/>
    <w:rsid w:val="5080439D"/>
    <w:rsid w:val="50820AFE"/>
    <w:rsid w:val="5083E0FD"/>
    <w:rsid w:val="5097E519"/>
    <w:rsid w:val="509A7704"/>
    <w:rsid w:val="50A00F88"/>
    <w:rsid w:val="50A12F24"/>
    <w:rsid w:val="50A27D3F"/>
    <w:rsid w:val="50A54C1A"/>
    <w:rsid w:val="50ACBCDA"/>
    <w:rsid w:val="50AEB28E"/>
    <w:rsid w:val="50AEDDEA"/>
    <w:rsid w:val="50C660E6"/>
    <w:rsid w:val="50CB0041"/>
    <w:rsid w:val="50CBCC12"/>
    <w:rsid w:val="50D49D09"/>
    <w:rsid w:val="50D8B145"/>
    <w:rsid w:val="50DA329F"/>
    <w:rsid w:val="50E1AA1A"/>
    <w:rsid w:val="50EA3CB7"/>
    <w:rsid w:val="50ED553A"/>
    <w:rsid w:val="50FD6C3F"/>
    <w:rsid w:val="5105AA80"/>
    <w:rsid w:val="5113FBBC"/>
    <w:rsid w:val="5117CEE9"/>
    <w:rsid w:val="511E4556"/>
    <w:rsid w:val="5126A18F"/>
    <w:rsid w:val="512EE834"/>
    <w:rsid w:val="512F4B6A"/>
    <w:rsid w:val="51318366"/>
    <w:rsid w:val="513262CD"/>
    <w:rsid w:val="5134AFE5"/>
    <w:rsid w:val="51363EB2"/>
    <w:rsid w:val="513894A4"/>
    <w:rsid w:val="513DEE62"/>
    <w:rsid w:val="5143EE96"/>
    <w:rsid w:val="5148C4A2"/>
    <w:rsid w:val="514AD4B0"/>
    <w:rsid w:val="5153227B"/>
    <w:rsid w:val="51585B33"/>
    <w:rsid w:val="515CCF6F"/>
    <w:rsid w:val="51677890"/>
    <w:rsid w:val="516CE451"/>
    <w:rsid w:val="51711A9A"/>
    <w:rsid w:val="5175E1B8"/>
    <w:rsid w:val="517F7DB3"/>
    <w:rsid w:val="518034F9"/>
    <w:rsid w:val="519215AF"/>
    <w:rsid w:val="51A40CB1"/>
    <w:rsid w:val="51A80CF1"/>
    <w:rsid w:val="51ABCCBC"/>
    <w:rsid w:val="51AFBA67"/>
    <w:rsid w:val="51B23029"/>
    <w:rsid w:val="51B5A50C"/>
    <w:rsid w:val="51C2C094"/>
    <w:rsid w:val="51CC8735"/>
    <w:rsid w:val="51CD58A6"/>
    <w:rsid w:val="51CDBAA2"/>
    <w:rsid w:val="51D1D1BE"/>
    <w:rsid w:val="51D2FF18"/>
    <w:rsid w:val="51F2067F"/>
    <w:rsid w:val="51F9620A"/>
    <w:rsid w:val="51FDACB4"/>
    <w:rsid w:val="5202100C"/>
    <w:rsid w:val="520EAC99"/>
    <w:rsid w:val="52131DEE"/>
    <w:rsid w:val="521C32F3"/>
    <w:rsid w:val="5224B5B9"/>
    <w:rsid w:val="52253B79"/>
    <w:rsid w:val="52265CF1"/>
    <w:rsid w:val="522A5E92"/>
    <w:rsid w:val="5233535F"/>
    <w:rsid w:val="524177BE"/>
    <w:rsid w:val="5246F8A4"/>
    <w:rsid w:val="524A14FE"/>
    <w:rsid w:val="5250D584"/>
    <w:rsid w:val="525281B6"/>
    <w:rsid w:val="525343FF"/>
    <w:rsid w:val="52609370"/>
    <w:rsid w:val="52622C47"/>
    <w:rsid w:val="52659522"/>
    <w:rsid w:val="526BBEAA"/>
    <w:rsid w:val="52715D29"/>
    <w:rsid w:val="5272D0A2"/>
    <w:rsid w:val="52773DF8"/>
    <w:rsid w:val="528819D1"/>
    <w:rsid w:val="528BB2A3"/>
    <w:rsid w:val="528F74F5"/>
    <w:rsid w:val="52957173"/>
    <w:rsid w:val="5298EDEF"/>
    <w:rsid w:val="52A16BE7"/>
    <w:rsid w:val="52A62368"/>
    <w:rsid w:val="52A91545"/>
    <w:rsid w:val="52BA06A4"/>
    <w:rsid w:val="52C4A0E4"/>
    <w:rsid w:val="52CCEFAB"/>
    <w:rsid w:val="52E0C726"/>
    <w:rsid w:val="52E0D4EC"/>
    <w:rsid w:val="52E334C1"/>
    <w:rsid w:val="52EF6512"/>
    <w:rsid w:val="52F05C6D"/>
    <w:rsid w:val="53009796"/>
    <w:rsid w:val="53021CDF"/>
    <w:rsid w:val="5305ED87"/>
    <w:rsid w:val="53069668"/>
    <w:rsid w:val="5307BE07"/>
    <w:rsid w:val="530C3E59"/>
    <w:rsid w:val="5311446D"/>
    <w:rsid w:val="5312D059"/>
    <w:rsid w:val="53162724"/>
    <w:rsid w:val="531B90A4"/>
    <w:rsid w:val="531D0E26"/>
    <w:rsid w:val="531F0E65"/>
    <w:rsid w:val="53219DBE"/>
    <w:rsid w:val="5329F14B"/>
    <w:rsid w:val="532CA661"/>
    <w:rsid w:val="532EBB53"/>
    <w:rsid w:val="532FC659"/>
    <w:rsid w:val="53320C23"/>
    <w:rsid w:val="53333235"/>
    <w:rsid w:val="5333C7DB"/>
    <w:rsid w:val="53343BC7"/>
    <w:rsid w:val="53363625"/>
    <w:rsid w:val="533B2BAA"/>
    <w:rsid w:val="5343B67A"/>
    <w:rsid w:val="5349A216"/>
    <w:rsid w:val="53506220"/>
    <w:rsid w:val="535119F4"/>
    <w:rsid w:val="5353E794"/>
    <w:rsid w:val="53561654"/>
    <w:rsid w:val="535B4F9E"/>
    <w:rsid w:val="535D62D7"/>
    <w:rsid w:val="535DE57A"/>
    <w:rsid w:val="5361BC4C"/>
    <w:rsid w:val="53673D1A"/>
    <w:rsid w:val="5367B39C"/>
    <w:rsid w:val="536AC6CD"/>
    <w:rsid w:val="53754328"/>
    <w:rsid w:val="53863282"/>
    <w:rsid w:val="539671EE"/>
    <w:rsid w:val="5399D2A5"/>
    <w:rsid w:val="539F0CD0"/>
    <w:rsid w:val="53B30F55"/>
    <w:rsid w:val="53BC9A98"/>
    <w:rsid w:val="53C04B57"/>
    <w:rsid w:val="53CC2101"/>
    <w:rsid w:val="53CCD682"/>
    <w:rsid w:val="53D52019"/>
    <w:rsid w:val="53D887EB"/>
    <w:rsid w:val="53E3AAC7"/>
    <w:rsid w:val="53E9923E"/>
    <w:rsid w:val="53FA73E9"/>
    <w:rsid w:val="53FB831B"/>
    <w:rsid w:val="5404326F"/>
    <w:rsid w:val="54057BCE"/>
    <w:rsid w:val="5405C890"/>
    <w:rsid w:val="540718A0"/>
    <w:rsid w:val="54127D07"/>
    <w:rsid w:val="5414005E"/>
    <w:rsid w:val="5414F335"/>
    <w:rsid w:val="541C2629"/>
    <w:rsid w:val="5427EC85"/>
    <w:rsid w:val="54294266"/>
    <w:rsid w:val="542A81D6"/>
    <w:rsid w:val="542E0AA2"/>
    <w:rsid w:val="543143BC"/>
    <w:rsid w:val="543707A8"/>
    <w:rsid w:val="54383A84"/>
    <w:rsid w:val="543AE4DE"/>
    <w:rsid w:val="54416C54"/>
    <w:rsid w:val="544BE281"/>
    <w:rsid w:val="54503751"/>
    <w:rsid w:val="545396FA"/>
    <w:rsid w:val="5453DE24"/>
    <w:rsid w:val="5454466F"/>
    <w:rsid w:val="54545D79"/>
    <w:rsid w:val="54560A97"/>
    <w:rsid w:val="545C9C2B"/>
    <w:rsid w:val="54658A62"/>
    <w:rsid w:val="546C1171"/>
    <w:rsid w:val="5470059C"/>
    <w:rsid w:val="54707293"/>
    <w:rsid w:val="5475BDBA"/>
    <w:rsid w:val="5478E554"/>
    <w:rsid w:val="547BBD3A"/>
    <w:rsid w:val="547C517A"/>
    <w:rsid w:val="547EFB71"/>
    <w:rsid w:val="54826CFC"/>
    <w:rsid w:val="54851164"/>
    <w:rsid w:val="5485DD6C"/>
    <w:rsid w:val="548A3252"/>
    <w:rsid w:val="54938E36"/>
    <w:rsid w:val="549603FE"/>
    <w:rsid w:val="5496041A"/>
    <w:rsid w:val="549772C6"/>
    <w:rsid w:val="549A5BF2"/>
    <w:rsid w:val="549DCED6"/>
    <w:rsid w:val="54A0EDCA"/>
    <w:rsid w:val="54A70CDB"/>
    <w:rsid w:val="54AC987C"/>
    <w:rsid w:val="54AFF3DF"/>
    <w:rsid w:val="54B1C0DE"/>
    <w:rsid w:val="54B91567"/>
    <w:rsid w:val="54B9CD14"/>
    <w:rsid w:val="54B9E69A"/>
    <w:rsid w:val="54BF0BFF"/>
    <w:rsid w:val="54C15BC6"/>
    <w:rsid w:val="54C9B066"/>
    <w:rsid w:val="54CC5991"/>
    <w:rsid w:val="54D638F3"/>
    <w:rsid w:val="54D65EF9"/>
    <w:rsid w:val="54D8D72A"/>
    <w:rsid w:val="54DC2FF7"/>
    <w:rsid w:val="54DDE5A4"/>
    <w:rsid w:val="54E09D29"/>
    <w:rsid w:val="54E57973"/>
    <w:rsid w:val="54E93404"/>
    <w:rsid w:val="54E9FD63"/>
    <w:rsid w:val="54EA686E"/>
    <w:rsid w:val="54ED276D"/>
    <w:rsid w:val="54F8E872"/>
    <w:rsid w:val="54FF5B87"/>
    <w:rsid w:val="5501F693"/>
    <w:rsid w:val="5511EC18"/>
    <w:rsid w:val="55163D62"/>
    <w:rsid w:val="55178296"/>
    <w:rsid w:val="551B3903"/>
    <w:rsid w:val="5522681B"/>
    <w:rsid w:val="55292216"/>
    <w:rsid w:val="55382B21"/>
    <w:rsid w:val="553A3D21"/>
    <w:rsid w:val="5540D99C"/>
    <w:rsid w:val="5546FF88"/>
    <w:rsid w:val="554D6ACE"/>
    <w:rsid w:val="5552E37F"/>
    <w:rsid w:val="5559E0EE"/>
    <w:rsid w:val="555B429F"/>
    <w:rsid w:val="555C562A"/>
    <w:rsid w:val="555FA3EA"/>
    <w:rsid w:val="55622540"/>
    <w:rsid w:val="55632DD3"/>
    <w:rsid w:val="557CABF2"/>
    <w:rsid w:val="557F15CA"/>
    <w:rsid w:val="557FA609"/>
    <w:rsid w:val="5586DCED"/>
    <w:rsid w:val="558D34A4"/>
    <w:rsid w:val="5591C0A0"/>
    <w:rsid w:val="5591C8F5"/>
    <w:rsid w:val="55975D8B"/>
    <w:rsid w:val="55A09E58"/>
    <w:rsid w:val="55ADB5DF"/>
    <w:rsid w:val="55ADF6A7"/>
    <w:rsid w:val="55B061EE"/>
    <w:rsid w:val="55BE72E2"/>
    <w:rsid w:val="55BF3B80"/>
    <w:rsid w:val="55C0052E"/>
    <w:rsid w:val="55C4D4D0"/>
    <w:rsid w:val="55C52816"/>
    <w:rsid w:val="55CC868D"/>
    <w:rsid w:val="55CC929D"/>
    <w:rsid w:val="55D754C5"/>
    <w:rsid w:val="55E23BC0"/>
    <w:rsid w:val="55E43B5C"/>
    <w:rsid w:val="55EC4B04"/>
    <w:rsid w:val="55ECC21D"/>
    <w:rsid w:val="55EE7308"/>
    <w:rsid w:val="55F3884A"/>
    <w:rsid w:val="55F92490"/>
    <w:rsid w:val="55F9DEF0"/>
    <w:rsid w:val="55FDDD3C"/>
    <w:rsid w:val="56011987"/>
    <w:rsid w:val="560715B0"/>
    <w:rsid w:val="56078324"/>
    <w:rsid w:val="56083CC8"/>
    <w:rsid w:val="56084838"/>
    <w:rsid w:val="56114A69"/>
    <w:rsid w:val="56119684"/>
    <w:rsid w:val="5615BF99"/>
    <w:rsid w:val="56164238"/>
    <w:rsid w:val="561D5332"/>
    <w:rsid w:val="56320695"/>
    <w:rsid w:val="56324AC2"/>
    <w:rsid w:val="56366870"/>
    <w:rsid w:val="56398320"/>
    <w:rsid w:val="563BBDA0"/>
    <w:rsid w:val="564DCE37"/>
    <w:rsid w:val="565A4F3C"/>
    <w:rsid w:val="56621F79"/>
    <w:rsid w:val="56637B1B"/>
    <w:rsid w:val="56781DA1"/>
    <w:rsid w:val="56796A76"/>
    <w:rsid w:val="567B24BA"/>
    <w:rsid w:val="567C32E7"/>
    <w:rsid w:val="567CBC58"/>
    <w:rsid w:val="5681923B"/>
    <w:rsid w:val="56846D6B"/>
    <w:rsid w:val="5686ED59"/>
    <w:rsid w:val="56876E60"/>
    <w:rsid w:val="5688F589"/>
    <w:rsid w:val="568D3164"/>
    <w:rsid w:val="5697CCD1"/>
    <w:rsid w:val="569B7FBD"/>
    <w:rsid w:val="569D0927"/>
    <w:rsid w:val="56A13149"/>
    <w:rsid w:val="56A95619"/>
    <w:rsid w:val="56B530CC"/>
    <w:rsid w:val="56BA78D6"/>
    <w:rsid w:val="56CE5178"/>
    <w:rsid w:val="56D54F18"/>
    <w:rsid w:val="56EA3337"/>
    <w:rsid w:val="56EAC0E7"/>
    <w:rsid w:val="56EE60B6"/>
    <w:rsid w:val="56FA7436"/>
    <w:rsid w:val="56FFAA6F"/>
    <w:rsid w:val="57027F16"/>
    <w:rsid w:val="57048911"/>
    <w:rsid w:val="570E351D"/>
    <w:rsid w:val="570F020E"/>
    <w:rsid w:val="5716F386"/>
    <w:rsid w:val="571D518D"/>
    <w:rsid w:val="571D7C32"/>
    <w:rsid w:val="572031C3"/>
    <w:rsid w:val="57206666"/>
    <w:rsid w:val="5720F318"/>
    <w:rsid w:val="57243B71"/>
    <w:rsid w:val="57259842"/>
    <w:rsid w:val="573073B2"/>
    <w:rsid w:val="5733452D"/>
    <w:rsid w:val="573502BA"/>
    <w:rsid w:val="5739B367"/>
    <w:rsid w:val="573BC2A6"/>
    <w:rsid w:val="57518FBF"/>
    <w:rsid w:val="575ABC06"/>
    <w:rsid w:val="576152C6"/>
    <w:rsid w:val="5762FD7C"/>
    <w:rsid w:val="5764D48A"/>
    <w:rsid w:val="576F2E62"/>
    <w:rsid w:val="5789E129"/>
    <w:rsid w:val="579B60AB"/>
    <w:rsid w:val="57A6571F"/>
    <w:rsid w:val="57A6BD56"/>
    <w:rsid w:val="57AAD9D6"/>
    <w:rsid w:val="57B180E2"/>
    <w:rsid w:val="57C35E9F"/>
    <w:rsid w:val="57C851D1"/>
    <w:rsid w:val="57CC8949"/>
    <w:rsid w:val="57E44611"/>
    <w:rsid w:val="57F2E301"/>
    <w:rsid w:val="57FAFE53"/>
    <w:rsid w:val="581029DE"/>
    <w:rsid w:val="581094AB"/>
    <w:rsid w:val="581160B6"/>
    <w:rsid w:val="5811E702"/>
    <w:rsid w:val="5823E47D"/>
    <w:rsid w:val="58282A37"/>
    <w:rsid w:val="5829A986"/>
    <w:rsid w:val="582A03B6"/>
    <w:rsid w:val="582E6EE6"/>
    <w:rsid w:val="583AA47B"/>
    <w:rsid w:val="583F8E9B"/>
    <w:rsid w:val="58408ECD"/>
    <w:rsid w:val="5840EB85"/>
    <w:rsid w:val="5859306B"/>
    <w:rsid w:val="585C0DAD"/>
    <w:rsid w:val="585CC58E"/>
    <w:rsid w:val="585E7FC7"/>
    <w:rsid w:val="585E955A"/>
    <w:rsid w:val="585F06B2"/>
    <w:rsid w:val="58692866"/>
    <w:rsid w:val="586B58D9"/>
    <w:rsid w:val="586D581B"/>
    <w:rsid w:val="58719EBF"/>
    <w:rsid w:val="5873F065"/>
    <w:rsid w:val="5881B795"/>
    <w:rsid w:val="58841B9E"/>
    <w:rsid w:val="588AFD91"/>
    <w:rsid w:val="588DF74F"/>
    <w:rsid w:val="58957E96"/>
    <w:rsid w:val="58A047A5"/>
    <w:rsid w:val="58A1B16D"/>
    <w:rsid w:val="58A437FE"/>
    <w:rsid w:val="58A784EB"/>
    <w:rsid w:val="58A7E9B8"/>
    <w:rsid w:val="58A90463"/>
    <w:rsid w:val="58A9F327"/>
    <w:rsid w:val="58AFB50B"/>
    <w:rsid w:val="58B22C01"/>
    <w:rsid w:val="58B393E2"/>
    <w:rsid w:val="58B45142"/>
    <w:rsid w:val="58B886F8"/>
    <w:rsid w:val="58BB1FBA"/>
    <w:rsid w:val="58C1FFE7"/>
    <w:rsid w:val="58C76E55"/>
    <w:rsid w:val="58CDB133"/>
    <w:rsid w:val="58CF5970"/>
    <w:rsid w:val="58D0526C"/>
    <w:rsid w:val="58D14219"/>
    <w:rsid w:val="58D7CF13"/>
    <w:rsid w:val="58E0152A"/>
    <w:rsid w:val="58E52D81"/>
    <w:rsid w:val="58E9AC85"/>
    <w:rsid w:val="58F2D0FD"/>
    <w:rsid w:val="58F42D7C"/>
    <w:rsid w:val="58FF7ED3"/>
    <w:rsid w:val="59015059"/>
    <w:rsid w:val="5906CFEB"/>
    <w:rsid w:val="59117050"/>
    <w:rsid w:val="59136945"/>
    <w:rsid w:val="5917A123"/>
    <w:rsid w:val="5917A56E"/>
    <w:rsid w:val="5918070A"/>
    <w:rsid w:val="591E6883"/>
    <w:rsid w:val="59200345"/>
    <w:rsid w:val="5922788E"/>
    <w:rsid w:val="59239690"/>
    <w:rsid w:val="5924287B"/>
    <w:rsid w:val="592CA234"/>
    <w:rsid w:val="59335321"/>
    <w:rsid w:val="593D947D"/>
    <w:rsid w:val="5941F840"/>
    <w:rsid w:val="59443503"/>
    <w:rsid w:val="5948BD6D"/>
    <w:rsid w:val="59523D1C"/>
    <w:rsid w:val="595A1980"/>
    <w:rsid w:val="59603A5F"/>
    <w:rsid w:val="59629023"/>
    <w:rsid w:val="5963BCFB"/>
    <w:rsid w:val="59647942"/>
    <w:rsid w:val="59697946"/>
    <w:rsid w:val="5977DDCE"/>
    <w:rsid w:val="597E8921"/>
    <w:rsid w:val="59807994"/>
    <w:rsid w:val="59821C87"/>
    <w:rsid w:val="59822395"/>
    <w:rsid w:val="598CA0B0"/>
    <w:rsid w:val="59909F26"/>
    <w:rsid w:val="59955777"/>
    <w:rsid w:val="599AE57B"/>
    <w:rsid w:val="599DF3DF"/>
    <w:rsid w:val="59A08C82"/>
    <w:rsid w:val="59A4F9BA"/>
    <w:rsid w:val="59B0C50F"/>
    <w:rsid w:val="59BD3F3D"/>
    <w:rsid w:val="59BDAC37"/>
    <w:rsid w:val="59C5436D"/>
    <w:rsid w:val="59CDD1D5"/>
    <w:rsid w:val="59CEEDE1"/>
    <w:rsid w:val="59D33891"/>
    <w:rsid w:val="59D4A9A0"/>
    <w:rsid w:val="59D55589"/>
    <w:rsid w:val="59D733EB"/>
    <w:rsid w:val="59D8728C"/>
    <w:rsid w:val="59DC04B6"/>
    <w:rsid w:val="59E32E69"/>
    <w:rsid w:val="59F2E4B0"/>
    <w:rsid w:val="59F56A78"/>
    <w:rsid w:val="59F5F1EB"/>
    <w:rsid w:val="59F763F6"/>
    <w:rsid w:val="59F8872D"/>
    <w:rsid w:val="5A0AE3A8"/>
    <w:rsid w:val="5A0E5474"/>
    <w:rsid w:val="5A0E9D4B"/>
    <w:rsid w:val="5A1F8FB2"/>
    <w:rsid w:val="5A2221C4"/>
    <w:rsid w:val="5A2871A0"/>
    <w:rsid w:val="5A2F1EFA"/>
    <w:rsid w:val="5A3308A0"/>
    <w:rsid w:val="5A3C9C4E"/>
    <w:rsid w:val="5A46E93C"/>
    <w:rsid w:val="5A4D868A"/>
    <w:rsid w:val="5A4D8E01"/>
    <w:rsid w:val="5A4D8E31"/>
    <w:rsid w:val="5A529FB5"/>
    <w:rsid w:val="5A59A996"/>
    <w:rsid w:val="5A5B4355"/>
    <w:rsid w:val="5A60ED96"/>
    <w:rsid w:val="5A618AFB"/>
    <w:rsid w:val="5A619C7D"/>
    <w:rsid w:val="5A769F7C"/>
    <w:rsid w:val="5A8F7967"/>
    <w:rsid w:val="5A9147D5"/>
    <w:rsid w:val="5A9CEC31"/>
    <w:rsid w:val="5A9E84AB"/>
    <w:rsid w:val="5A9FF6A9"/>
    <w:rsid w:val="5AA3480A"/>
    <w:rsid w:val="5AAB3956"/>
    <w:rsid w:val="5AACAD89"/>
    <w:rsid w:val="5AB4C842"/>
    <w:rsid w:val="5AB57AB2"/>
    <w:rsid w:val="5ABE54A7"/>
    <w:rsid w:val="5AC05710"/>
    <w:rsid w:val="5AC77216"/>
    <w:rsid w:val="5ACACE8E"/>
    <w:rsid w:val="5ACBCA47"/>
    <w:rsid w:val="5ACC63C2"/>
    <w:rsid w:val="5AE013BE"/>
    <w:rsid w:val="5AEBA257"/>
    <w:rsid w:val="5AF426DC"/>
    <w:rsid w:val="5AF6F709"/>
    <w:rsid w:val="5B07719B"/>
    <w:rsid w:val="5B0BC385"/>
    <w:rsid w:val="5B0F90D8"/>
    <w:rsid w:val="5B177086"/>
    <w:rsid w:val="5B1818F7"/>
    <w:rsid w:val="5B22864D"/>
    <w:rsid w:val="5B2EF707"/>
    <w:rsid w:val="5B36F021"/>
    <w:rsid w:val="5B38F682"/>
    <w:rsid w:val="5B3B007A"/>
    <w:rsid w:val="5B3E53C9"/>
    <w:rsid w:val="5B42087D"/>
    <w:rsid w:val="5B45F2CB"/>
    <w:rsid w:val="5B46AB39"/>
    <w:rsid w:val="5B49B976"/>
    <w:rsid w:val="5B4BA441"/>
    <w:rsid w:val="5B580345"/>
    <w:rsid w:val="5B5877ED"/>
    <w:rsid w:val="5B5AF89B"/>
    <w:rsid w:val="5B61587C"/>
    <w:rsid w:val="5B6286B3"/>
    <w:rsid w:val="5B68BAF7"/>
    <w:rsid w:val="5B6B9E09"/>
    <w:rsid w:val="5B766714"/>
    <w:rsid w:val="5B77A768"/>
    <w:rsid w:val="5B78035E"/>
    <w:rsid w:val="5B7AFAD0"/>
    <w:rsid w:val="5B85940C"/>
    <w:rsid w:val="5B863F90"/>
    <w:rsid w:val="5B88F10B"/>
    <w:rsid w:val="5B8ACD55"/>
    <w:rsid w:val="5B8C8FCB"/>
    <w:rsid w:val="5B9537B1"/>
    <w:rsid w:val="5B9B59CA"/>
    <w:rsid w:val="5BA1531C"/>
    <w:rsid w:val="5BA77D0E"/>
    <w:rsid w:val="5BAA3DE9"/>
    <w:rsid w:val="5BB18A7D"/>
    <w:rsid w:val="5BB1A326"/>
    <w:rsid w:val="5BB5C228"/>
    <w:rsid w:val="5BC20756"/>
    <w:rsid w:val="5BCA4E96"/>
    <w:rsid w:val="5BD17AF8"/>
    <w:rsid w:val="5BE1033C"/>
    <w:rsid w:val="5BE4ECC3"/>
    <w:rsid w:val="5BE645F2"/>
    <w:rsid w:val="5BEB846B"/>
    <w:rsid w:val="5BEEA2B6"/>
    <w:rsid w:val="5BEEB125"/>
    <w:rsid w:val="5BEFAEEF"/>
    <w:rsid w:val="5BFAB7A0"/>
    <w:rsid w:val="5BFB09EA"/>
    <w:rsid w:val="5C09ACF9"/>
    <w:rsid w:val="5C0E56DF"/>
    <w:rsid w:val="5C1AEFDB"/>
    <w:rsid w:val="5C1C1D5F"/>
    <w:rsid w:val="5C1DE252"/>
    <w:rsid w:val="5C1E87BC"/>
    <w:rsid w:val="5C1EC2D1"/>
    <w:rsid w:val="5C33FEB2"/>
    <w:rsid w:val="5C3466CA"/>
    <w:rsid w:val="5C3517CE"/>
    <w:rsid w:val="5C38466C"/>
    <w:rsid w:val="5C38F46E"/>
    <w:rsid w:val="5C3EDF33"/>
    <w:rsid w:val="5C44DDFB"/>
    <w:rsid w:val="5C487DEA"/>
    <w:rsid w:val="5C4A481C"/>
    <w:rsid w:val="5C4B2C33"/>
    <w:rsid w:val="5C4C4549"/>
    <w:rsid w:val="5C4FF607"/>
    <w:rsid w:val="5C53C48D"/>
    <w:rsid w:val="5C58ECA0"/>
    <w:rsid w:val="5C648453"/>
    <w:rsid w:val="5C69C002"/>
    <w:rsid w:val="5C7FD511"/>
    <w:rsid w:val="5C8D238A"/>
    <w:rsid w:val="5C9A6FE1"/>
    <w:rsid w:val="5C9F583B"/>
    <w:rsid w:val="5C9FE2EE"/>
    <w:rsid w:val="5CA03175"/>
    <w:rsid w:val="5CA2D7EC"/>
    <w:rsid w:val="5CA4B399"/>
    <w:rsid w:val="5CA5EC4E"/>
    <w:rsid w:val="5CA7E9C2"/>
    <w:rsid w:val="5CAAD443"/>
    <w:rsid w:val="5CABA227"/>
    <w:rsid w:val="5CC7D48A"/>
    <w:rsid w:val="5CD4B3A7"/>
    <w:rsid w:val="5CD80895"/>
    <w:rsid w:val="5CDBA0FF"/>
    <w:rsid w:val="5CDD2A8E"/>
    <w:rsid w:val="5CE4A3B0"/>
    <w:rsid w:val="5CE5F733"/>
    <w:rsid w:val="5CF54F5A"/>
    <w:rsid w:val="5CF8897E"/>
    <w:rsid w:val="5CFD2BC3"/>
    <w:rsid w:val="5D039DAA"/>
    <w:rsid w:val="5D0C20C1"/>
    <w:rsid w:val="5D0D70DA"/>
    <w:rsid w:val="5D15DBF6"/>
    <w:rsid w:val="5D244E15"/>
    <w:rsid w:val="5D2F5907"/>
    <w:rsid w:val="5D316917"/>
    <w:rsid w:val="5D3A8CAC"/>
    <w:rsid w:val="5D3FFE03"/>
    <w:rsid w:val="5D404EF1"/>
    <w:rsid w:val="5D4316D5"/>
    <w:rsid w:val="5D4A95D9"/>
    <w:rsid w:val="5D519A07"/>
    <w:rsid w:val="5D556194"/>
    <w:rsid w:val="5D64E5F8"/>
    <w:rsid w:val="5D6AE594"/>
    <w:rsid w:val="5D745F01"/>
    <w:rsid w:val="5D74B856"/>
    <w:rsid w:val="5D775A31"/>
    <w:rsid w:val="5D78289C"/>
    <w:rsid w:val="5D7ADDF9"/>
    <w:rsid w:val="5D7C6F65"/>
    <w:rsid w:val="5D7D0193"/>
    <w:rsid w:val="5D8555B6"/>
    <w:rsid w:val="5D885A97"/>
    <w:rsid w:val="5D8C4BB0"/>
    <w:rsid w:val="5D9485FC"/>
    <w:rsid w:val="5D987803"/>
    <w:rsid w:val="5D9F5F83"/>
    <w:rsid w:val="5DA964B7"/>
    <w:rsid w:val="5DC11E49"/>
    <w:rsid w:val="5DC89F4F"/>
    <w:rsid w:val="5DCD3964"/>
    <w:rsid w:val="5DCF873F"/>
    <w:rsid w:val="5DD340C4"/>
    <w:rsid w:val="5DD4315D"/>
    <w:rsid w:val="5DE436DE"/>
    <w:rsid w:val="5DE44E4B"/>
    <w:rsid w:val="5DED7AD9"/>
    <w:rsid w:val="5DF7609D"/>
    <w:rsid w:val="5E021E42"/>
    <w:rsid w:val="5E0D6CCF"/>
    <w:rsid w:val="5E11508C"/>
    <w:rsid w:val="5E18F12F"/>
    <w:rsid w:val="5E264FA6"/>
    <w:rsid w:val="5E265A0D"/>
    <w:rsid w:val="5E287E23"/>
    <w:rsid w:val="5E2942E1"/>
    <w:rsid w:val="5E2FB281"/>
    <w:rsid w:val="5E39E12F"/>
    <w:rsid w:val="5E3ED0E1"/>
    <w:rsid w:val="5E496B32"/>
    <w:rsid w:val="5E4E42B0"/>
    <w:rsid w:val="5E57D8A8"/>
    <w:rsid w:val="5E5B5BFE"/>
    <w:rsid w:val="5E5FB425"/>
    <w:rsid w:val="5E7186F2"/>
    <w:rsid w:val="5E7415DA"/>
    <w:rsid w:val="5E7A52FC"/>
    <w:rsid w:val="5E82D466"/>
    <w:rsid w:val="5E836B52"/>
    <w:rsid w:val="5E839863"/>
    <w:rsid w:val="5E8B4BB4"/>
    <w:rsid w:val="5E8D8D31"/>
    <w:rsid w:val="5E8E3176"/>
    <w:rsid w:val="5E9501DA"/>
    <w:rsid w:val="5E9ADDB6"/>
    <w:rsid w:val="5E9BD315"/>
    <w:rsid w:val="5EA6B47A"/>
    <w:rsid w:val="5EB08065"/>
    <w:rsid w:val="5EB3169C"/>
    <w:rsid w:val="5EB4F5B7"/>
    <w:rsid w:val="5EC224F7"/>
    <w:rsid w:val="5ECF7314"/>
    <w:rsid w:val="5ED7468B"/>
    <w:rsid w:val="5EE588EC"/>
    <w:rsid w:val="5EF4924B"/>
    <w:rsid w:val="5EF56D3D"/>
    <w:rsid w:val="5EF757E6"/>
    <w:rsid w:val="5EFB8314"/>
    <w:rsid w:val="5EFD3C69"/>
    <w:rsid w:val="5F00BE93"/>
    <w:rsid w:val="5F0CD06F"/>
    <w:rsid w:val="5F0F9AC7"/>
    <w:rsid w:val="5F12DD58"/>
    <w:rsid w:val="5F1432DB"/>
    <w:rsid w:val="5F15FB02"/>
    <w:rsid w:val="5F1A9457"/>
    <w:rsid w:val="5F1E9C31"/>
    <w:rsid w:val="5F22004D"/>
    <w:rsid w:val="5F26F3EC"/>
    <w:rsid w:val="5F271199"/>
    <w:rsid w:val="5F27755F"/>
    <w:rsid w:val="5F27C7FD"/>
    <w:rsid w:val="5F280578"/>
    <w:rsid w:val="5F381F6D"/>
    <w:rsid w:val="5F461F3F"/>
    <w:rsid w:val="5F4AB200"/>
    <w:rsid w:val="5F5206FF"/>
    <w:rsid w:val="5F5E8BD2"/>
    <w:rsid w:val="5F5F03E8"/>
    <w:rsid w:val="5F62EB05"/>
    <w:rsid w:val="5F6C0C60"/>
    <w:rsid w:val="5F73BC12"/>
    <w:rsid w:val="5F79A228"/>
    <w:rsid w:val="5F7A145E"/>
    <w:rsid w:val="5F8445D7"/>
    <w:rsid w:val="5F87F439"/>
    <w:rsid w:val="5F9A3537"/>
    <w:rsid w:val="5F9E9A8B"/>
    <w:rsid w:val="5FAEC61A"/>
    <w:rsid w:val="5FB06099"/>
    <w:rsid w:val="5FB5B466"/>
    <w:rsid w:val="5FBD945C"/>
    <w:rsid w:val="5FCC57EC"/>
    <w:rsid w:val="5FD56C2C"/>
    <w:rsid w:val="5FD67602"/>
    <w:rsid w:val="5FD6A66B"/>
    <w:rsid w:val="5FDCC391"/>
    <w:rsid w:val="5FDE34A3"/>
    <w:rsid w:val="5FDF21AA"/>
    <w:rsid w:val="5FE03E4C"/>
    <w:rsid w:val="5FE16B90"/>
    <w:rsid w:val="5FE3B79D"/>
    <w:rsid w:val="5FE57957"/>
    <w:rsid w:val="5FFB9BE8"/>
    <w:rsid w:val="6007CFA4"/>
    <w:rsid w:val="601118F0"/>
    <w:rsid w:val="6011AD6A"/>
    <w:rsid w:val="6016291F"/>
    <w:rsid w:val="60210047"/>
    <w:rsid w:val="6032A9A4"/>
    <w:rsid w:val="6036BE86"/>
    <w:rsid w:val="603B0E23"/>
    <w:rsid w:val="60402669"/>
    <w:rsid w:val="60429CF4"/>
    <w:rsid w:val="6043CA14"/>
    <w:rsid w:val="60459F2C"/>
    <w:rsid w:val="6053406C"/>
    <w:rsid w:val="6055EADE"/>
    <w:rsid w:val="605811A6"/>
    <w:rsid w:val="606981B9"/>
    <w:rsid w:val="606B1BE4"/>
    <w:rsid w:val="606ED38B"/>
    <w:rsid w:val="606EE2C1"/>
    <w:rsid w:val="6071A5BB"/>
    <w:rsid w:val="60756A38"/>
    <w:rsid w:val="6076BC64"/>
    <w:rsid w:val="60776D16"/>
    <w:rsid w:val="607CE719"/>
    <w:rsid w:val="608A58B2"/>
    <w:rsid w:val="608C8E59"/>
    <w:rsid w:val="608FDC0D"/>
    <w:rsid w:val="609337D8"/>
    <w:rsid w:val="609858BF"/>
    <w:rsid w:val="609E1388"/>
    <w:rsid w:val="609E3A0D"/>
    <w:rsid w:val="609EF1F5"/>
    <w:rsid w:val="60A02810"/>
    <w:rsid w:val="60A0D1CC"/>
    <w:rsid w:val="60A445AE"/>
    <w:rsid w:val="60B064D2"/>
    <w:rsid w:val="60CC656B"/>
    <w:rsid w:val="60D6E318"/>
    <w:rsid w:val="60E4F416"/>
    <w:rsid w:val="60E6D5A2"/>
    <w:rsid w:val="60E9319C"/>
    <w:rsid w:val="60EEC65A"/>
    <w:rsid w:val="60F1FF46"/>
    <w:rsid w:val="60F482D2"/>
    <w:rsid w:val="60F708AA"/>
    <w:rsid w:val="60FDE6E0"/>
    <w:rsid w:val="61044557"/>
    <w:rsid w:val="61129AE4"/>
    <w:rsid w:val="61177344"/>
    <w:rsid w:val="611D906E"/>
    <w:rsid w:val="6123A7EA"/>
    <w:rsid w:val="61251B9B"/>
    <w:rsid w:val="6125E477"/>
    <w:rsid w:val="61288937"/>
    <w:rsid w:val="612C5DC3"/>
    <w:rsid w:val="61330527"/>
    <w:rsid w:val="6133583D"/>
    <w:rsid w:val="613420A3"/>
    <w:rsid w:val="613B2776"/>
    <w:rsid w:val="6140319E"/>
    <w:rsid w:val="6141AB52"/>
    <w:rsid w:val="6141BA28"/>
    <w:rsid w:val="614CAF62"/>
    <w:rsid w:val="61579AD7"/>
    <w:rsid w:val="6157A8C3"/>
    <w:rsid w:val="615A9DDF"/>
    <w:rsid w:val="615ADF88"/>
    <w:rsid w:val="615B046D"/>
    <w:rsid w:val="615B07C1"/>
    <w:rsid w:val="61609F63"/>
    <w:rsid w:val="616A0C8A"/>
    <w:rsid w:val="616FE256"/>
    <w:rsid w:val="61722E92"/>
    <w:rsid w:val="617937EF"/>
    <w:rsid w:val="617EA96A"/>
    <w:rsid w:val="6185E86D"/>
    <w:rsid w:val="618AA924"/>
    <w:rsid w:val="6193FBEC"/>
    <w:rsid w:val="6195AA05"/>
    <w:rsid w:val="619821A8"/>
    <w:rsid w:val="6199F63A"/>
    <w:rsid w:val="61A38DA8"/>
    <w:rsid w:val="61A54A83"/>
    <w:rsid w:val="61AB41DB"/>
    <w:rsid w:val="61AB9FEF"/>
    <w:rsid w:val="61B441A2"/>
    <w:rsid w:val="61B4E971"/>
    <w:rsid w:val="61B56C05"/>
    <w:rsid w:val="61BBB7EA"/>
    <w:rsid w:val="61C4DD19"/>
    <w:rsid w:val="61C7DDB6"/>
    <w:rsid w:val="61C85E8C"/>
    <w:rsid w:val="61CA40C3"/>
    <w:rsid w:val="61D26A5D"/>
    <w:rsid w:val="61D56743"/>
    <w:rsid w:val="61DE3F31"/>
    <w:rsid w:val="61E0BC5F"/>
    <w:rsid w:val="61E2E19B"/>
    <w:rsid w:val="61EF6CE1"/>
    <w:rsid w:val="61F62F1C"/>
    <w:rsid w:val="61FB4329"/>
    <w:rsid w:val="61FB8BD0"/>
    <w:rsid w:val="6205310A"/>
    <w:rsid w:val="62077862"/>
    <w:rsid w:val="620DDF4C"/>
    <w:rsid w:val="6214307E"/>
    <w:rsid w:val="622064A4"/>
    <w:rsid w:val="62220754"/>
    <w:rsid w:val="62223BFD"/>
    <w:rsid w:val="6228498A"/>
    <w:rsid w:val="6230E1C7"/>
    <w:rsid w:val="62352FBB"/>
    <w:rsid w:val="62390DF8"/>
    <w:rsid w:val="62493826"/>
    <w:rsid w:val="624B6531"/>
    <w:rsid w:val="624B9182"/>
    <w:rsid w:val="624BAA84"/>
    <w:rsid w:val="6250F436"/>
    <w:rsid w:val="62512E57"/>
    <w:rsid w:val="62596D46"/>
    <w:rsid w:val="625B9427"/>
    <w:rsid w:val="62613E5E"/>
    <w:rsid w:val="62656260"/>
    <w:rsid w:val="627000E4"/>
    <w:rsid w:val="62704A1F"/>
    <w:rsid w:val="62724732"/>
    <w:rsid w:val="627E8D00"/>
    <w:rsid w:val="628C919A"/>
    <w:rsid w:val="62928AFA"/>
    <w:rsid w:val="62997EA3"/>
    <w:rsid w:val="62A4167D"/>
    <w:rsid w:val="62A9FBF0"/>
    <w:rsid w:val="62B44BE6"/>
    <w:rsid w:val="62B53A17"/>
    <w:rsid w:val="62B797CE"/>
    <w:rsid w:val="62BC6A75"/>
    <w:rsid w:val="62C428C4"/>
    <w:rsid w:val="62C6627F"/>
    <w:rsid w:val="62CA8222"/>
    <w:rsid w:val="62D4048F"/>
    <w:rsid w:val="62D5BE25"/>
    <w:rsid w:val="62D81E0D"/>
    <w:rsid w:val="62D90A5C"/>
    <w:rsid w:val="62DF46D0"/>
    <w:rsid w:val="62E261A1"/>
    <w:rsid w:val="62E5FF8C"/>
    <w:rsid w:val="62E646F4"/>
    <w:rsid w:val="62E886B9"/>
    <w:rsid w:val="62E93510"/>
    <w:rsid w:val="62E9A02A"/>
    <w:rsid w:val="62EB68F3"/>
    <w:rsid w:val="62EB75A4"/>
    <w:rsid w:val="62FA16E3"/>
    <w:rsid w:val="62FCCCB2"/>
    <w:rsid w:val="62FE5465"/>
    <w:rsid w:val="62FEDDED"/>
    <w:rsid w:val="630485C2"/>
    <w:rsid w:val="630B9AF4"/>
    <w:rsid w:val="630C6CC2"/>
    <w:rsid w:val="63156D50"/>
    <w:rsid w:val="6344160D"/>
    <w:rsid w:val="6347B95B"/>
    <w:rsid w:val="63488CE9"/>
    <w:rsid w:val="634F8777"/>
    <w:rsid w:val="63501183"/>
    <w:rsid w:val="63572B36"/>
    <w:rsid w:val="635BE538"/>
    <w:rsid w:val="635F8E8C"/>
    <w:rsid w:val="6374B153"/>
    <w:rsid w:val="6375D7F3"/>
    <w:rsid w:val="637DB439"/>
    <w:rsid w:val="63847397"/>
    <w:rsid w:val="639565AD"/>
    <w:rsid w:val="6398712B"/>
    <w:rsid w:val="639F1F1F"/>
    <w:rsid w:val="63A37310"/>
    <w:rsid w:val="63AEB727"/>
    <w:rsid w:val="63AF7641"/>
    <w:rsid w:val="63B29FDF"/>
    <w:rsid w:val="63B2B931"/>
    <w:rsid w:val="63B67257"/>
    <w:rsid w:val="63B770AB"/>
    <w:rsid w:val="63B8385C"/>
    <w:rsid w:val="63BA40B4"/>
    <w:rsid w:val="63C605F3"/>
    <w:rsid w:val="63CB66FD"/>
    <w:rsid w:val="63CEB688"/>
    <w:rsid w:val="63D096BF"/>
    <w:rsid w:val="63D0F696"/>
    <w:rsid w:val="63E1645B"/>
    <w:rsid w:val="63E1ADBD"/>
    <w:rsid w:val="63E1D8A4"/>
    <w:rsid w:val="63FE4E10"/>
    <w:rsid w:val="64099D9B"/>
    <w:rsid w:val="640A01CD"/>
    <w:rsid w:val="64174142"/>
    <w:rsid w:val="6422C644"/>
    <w:rsid w:val="6422C7D1"/>
    <w:rsid w:val="6426F915"/>
    <w:rsid w:val="642AB557"/>
    <w:rsid w:val="64322CD3"/>
    <w:rsid w:val="64366883"/>
    <w:rsid w:val="643693B4"/>
    <w:rsid w:val="64380505"/>
    <w:rsid w:val="6438FC14"/>
    <w:rsid w:val="643A6772"/>
    <w:rsid w:val="643CA646"/>
    <w:rsid w:val="643CAF51"/>
    <w:rsid w:val="643D55C5"/>
    <w:rsid w:val="64489228"/>
    <w:rsid w:val="644D9BA6"/>
    <w:rsid w:val="645B496A"/>
    <w:rsid w:val="64639799"/>
    <w:rsid w:val="6467427B"/>
    <w:rsid w:val="6477D260"/>
    <w:rsid w:val="647D28E4"/>
    <w:rsid w:val="64826F21"/>
    <w:rsid w:val="6482BDF9"/>
    <w:rsid w:val="6496085E"/>
    <w:rsid w:val="649A8232"/>
    <w:rsid w:val="649F18E9"/>
    <w:rsid w:val="64A159AB"/>
    <w:rsid w:val="64A4C836"/>
    <w:rsid w:val="64A841C4"/>
    <w:rsid w:val="64AB839D"/>
    <w:rsid w:val="64C49A01"/>
    <w:rsid w:val="64C6A5BC"/>
    <w:rsid w:val="64C8309F"/>
    <w:rsid w:val="64CC0E2A"/>
    <w:rsid w:val="64CC5FA6"/>
    <w:rsid w:val="64CC8B01"/>
    <w:rsid w:val="64D1FA27"/>
    <w:rsid w:val="64D44500"/>
    <w:rsid w:val="64D4908C"/>
    <w:rsid w:val="64D6D858"/>
    <w:rsid w:val="64DF5866"/>
    <w:rsid w:val="64E8EE2E"/>
    <w:rsid w:val="64ED029C"/>
    <w:rsid w:val="64ED9B16"/>
    <w:rsid w:val="64EEEE63"/>
    <w:rsid w:val="64F198F5"/>
    <w:rsid w:val="64FD74B8"/>
    <w:rsid w:val="64FE5FEE"/>
    <w:rsid w:val="6508113C"/>
    <w:rsid w:val="6512A80E"/>
    <w:rsid w:val="651721DB"/>
    <w:rsid w:val="65177317"/>
    <w:rsid w:val="65198B64"/>
    <w:rsid w:val="651B241E"/>
    <w:rsid w:val="651D2BD6"/>
    <w:rsid w:val="6529AEF1"/>
    <w:rsid w:val="652A482F"/>
    <w:rsid w:val="652DC09F"/>
    <w:rsid w:val="653334CB"/>
    <w:rsid w:val="65382381"/>
    <w:rsid w:val="653F28F8"/>
    <w:rsid w:val="65449C9B"/>
    <w:rsid w:val="654BE0D1"/>
    <w:rsid w:val="654D67C9"/>
    <w:rsid w:val="6550B24B"/>
    <w:rsid w:val="6555104E"/>
    <w:rsid w:val="65564E34"/>
    <w:rsid w:val="65576A41"/>
    <w:rsid w:val="655C0C4C"/>
    <w:rsid w:val="65659D7F"/>
    <w:rsid w:val="656FFE2E"/>
    <w:rsid w:val="6575182E"/>
    <w:rsid w:val="658584A0"/>
    <w:rsid w:val="65866637"/>
    <w:rsid w:val="658CA9A1"/>
    <w:rsid w:val="65917720"/>
    <w:rsid w:val="659677CE"/>
    <w:rsid w:val="659CBFA0"/>
    <w:rsid w:val="65A2613E"/>
    <w:rsid w:val="65B3F31F"/>
    <w:rsid w:val="65B57339"/>
    <w:rsid w:val="65B8B4EE"/>
    <w:rsid w:val="65BB458A"/>
    <w:rsid w:val="65C1EACD"/>
    <w:rsid w:val="65C3F301"/>
    <w:rsid w:val="65C73E5D"/>
    <w:rsid w:val="65D2EE99"/>
    <w:rsid w:val="65D375BF"/>
    <w:rsid w:val="65D9B71D"/>
    <w:rsid w:val="65E13AB4"/>
    <w:rsid w:val="65E41CF7"/>
    <w:rsid w:val="65E5D696"/>
    <w:rsid w:val="65FC2791"/>
    <w:rsid w:val="6602263E"/>
    <w:rsid w:val="6603F2C9"/>
    <w:rsid w:val="6605BC82"/>
    <w:rsid w:val="6605F33A"/>
    <w:rsid w:val="660BF4C9"/>
    <w:rsid w:val="66112545"/>
    <w:rsid w:val="66192049"/>
    <w:rsid w:val="661A44DB"/>
    <w:rsid w:val="6620A99A"/>
    <w:rsid w:val="662C24AC"/>
    <w:rsid w:val="663129E4"/>
    <w:rsid w:val="663E8E6B"/>
    <w:rsid w:val="664A8CAC"/>
    <w:rsid w:val="664BBA82"/>
    <w:rsid w:val="664FCE16"/>
    <w:rsid w:val="6651809A"/>
    <w:rsid w:val="66545B3C"/>
    <w:rsid w:val="6654ECE6"/>
    <w:rsid w:val="665ADEEE"/>
    <w:rsid w:val="66608D21"/>
    <w:rsid w:val="666F4F27"/>
    <w:rsid w:val="66798635"/>
    <w:rsid w:val="667B3678"/>
    <w:rsid w:val="667FC5A1"/>
    <w:rsid w:val="66817C47"/>
    <w:rsid w:val="668B5361"/>
    <w:rsid w:val="669240B9"/>
    <w:rsid w:val="6692F000"/>
    <w:rsid w:val="66997DB7"/>
    <w:rsid w:val="669D743C"/>
    <w:rsid w:val="66A59F23"/>
    <w:rsid w:val="66A6409E"/>
    <w:rsid w:val="66A8A0FF"/>
    <w:rsid w:val="66B273A0"/>
    <w:rsid w:val="66B289DA"/>
    <w:rsid w:val="66BC4BEE"/>
    <w:rsid w:val="66C104DE"/>
    <w:rsid w:val="66C4AD77"/>
    <w:rsid w:val="66E4FB2D"/>
    <w:rsid w:val="66EB2744"/>
    <w:rsid w:val="66EE45BE"/>
    <w:rsid w:val="66F9AB6A"/>
    <w:rsid w:val="6701453A"/>
    <w:rsid w:val="6704F5A3"/>
    <w:rsid w:val="670DB25B"/>
    <w:rsid w:val="67148E92"/>
    <w:rsid w:val="67228894"/>
    <w:rsid w:val="6725D5A3"/>
    <w:rsid w:val="6726212B"/>
    <w:rsid w:val="6728BE4E"/>
    <w:rsid w:val="672B0762"/>
    <w:rsid w:val="6735412B"/>
    <w:rsid w:val="674FB162"/>
    <w:rsid w:val="674FEC52"/>
    <w:rsid w:val="6751ACA8"/>
    <w:rsid w:val="6757BF61"/>
    <w:rsid w:val="675D7ED8"/>
    <w:rsid w:val="675F8967"/>
    <w:rsid w:val="6769D952"/>
    <w:rsid w:val="676C4829"/>
    <w:rsid w:val="676D3970"/>
    <w:rsid w:val="6781E4C5"/>
    <w:rsid w:val="679417A2"/>
    <w:rsid w:val="6796145F"/>
    <w:rsid w:val="67A86858"/>
    <w:rsid w:val="67A8A4C9"/>
    <w:rsid w:val="67AA8DB2"/>
    <w:rsid w:val="67AC7B17"/>
    <w:rsid w:val="67ADE755"/>
    <w:rsid w:val="67B43CAA"/>
    <w:rsid w:val="67C0430D"/>
    <w:rsid w:val="67C6DC5B"/>
    <w:rsid w:val="67DADA53"/>
    <w:rsid w:val="67DD59BF"/>
    <w:rsid w:val="67DDDD27"/>
    <w:rsid w:val="67E09499"/>
    <w:rsid w:val="67E58561"/>
    <w:rsid w:val="67E9E617"/>
    <w:rsid w:val="67ECCDCA"/>
    <w:rsid w:val="67F9F1CF"/>
    <w:rsid w:val="67FEEC3F"/>
    <w:rsid w:val="67FF24E0"/>
    <w:rsid w:val="680E65F2"/>
    <w:rsid w:val="6817A3B7"/>
    <w:rsid w:val="681ED452"/>
    <w:rsid w:val="682557E7"/>
    <w:rsid w:val="6834E989"/>
    <w:rsid w:val="6834F413"/>
    <w:rsid w:val="68492CF9"/>
    <w:rsid w:val="684E3DD7"/>
    <w:rsid w:val="68510F3D"/>
    <w:rsid w:val="6855CE9F"/>
    <w:rsid w:val="6856BD68"/>
    <w:rsid w:val="68584655"/>
    <w:rsid w:val="685BC7E0"/>
    <w:rsid w:val="685D63CA"/>
    <w:rsid w:val="685F4C8B"/>
    <w:rsid w:val="6862F39A"/>
    <w:rsid w:val="6869526F"/>
    <w:rsid w:val="686BDC81"/>
    <w:rsid w:val="6870A5D6"/>
    <w:rsid w:val="688AF071"/>
    <w:rsid w:val="688C3683"/>
    <w:rsid w:val="68957C06"/>
    <w:rsid w:val="68978B0E"/>
    <w:rsid w:val="689C2167"/>
    <w:rsid w:val="68A00A43"/>
    <w:rsid w:val="68A0B486"/>
    <w:rsid w:val="68A109E1"/>
    <w:rsid w:val="68A9E4B7"/>
    <w:rsid w:val="68AE7B5A"/>
    <w:rsid w:val="68C01616"/>
    <w:rsid w:val="68C53010"/>
    <w:rsid w:val="68C9F42B"/>
    <w:rsid w:val="68D5BEB4"/>
    <w:rsid w:val="68D6710A"/>
    <w:rsid w:val="68DC4111"/>
    <w:rsid w:val="68E6BE02"/>
    <w:rsid w:val="68EA557D"/>
    <w:rsid w:val="68EBBCB3"/>
    <w:rsid w:val="68F0FED9"/>
    <w:rsid w:val="68F39F5E"/>
    <w:rsid w:val="68F41FFE"/>
    <w:rsid w:val="68F445CF"/>
    <w:rsid w:val="68F4B067"/>
    <w:rsid w:val="68FB8DDA"/>
    <w:rsid w:val="690A864C"/>
    <w:rsid w:val="690E3959"/>
    <w:rsid w:val="6913DF1A"/>
    <w:rsid w:val="69159172"/>
    <w:rsid w:val="691AF52F"/>
    <w:rsid w:val="691E3A2F"/>
    <w:rsid w:val="6921E08B"/>
    <w:rsid w:val="6925BFE8"/>
    <w:rsid w:val="6928326A"/>
    <w:rsid w:val="692AB36D"/>
    <w:rsid w:val="692EB955"/>
    <w:rsid w:val="69409F33"/>
    <w:rsid w:val="69436BE5"/>
    <w:rsid w:val="6948765B"/>
    <w:rsid w:val="694F9A59"/>
    <w:rsid w:val="6950F72A"/>
    <w:rsid w:val="69551CD2"/>
    <w:rsid w:val="696097DA"/>
    <w:rsid w:val="6964D65F"/>
    <w:rsid w:val="6968E566"/>
    <w:rsid w:val="696E3E99"/>
    <w:rsid w:val="6970D148"/>
    <w:rsid w:val="6975E325"/>
    <w:rsid w:val="6979AB3D"/>
    <w:rsid w:val="6980DD1D"/>
    <w:rsid w:val="698E04A9"/>
    <w:rsid w:val="698F2127"/>
    <w:rsid w:val="698FAEEE"/>
    <w:rsid w:val="69922E31"/>
    <w:rsid w:val="699886B2"/>
    <w:rsid w:val="699A1587"/>
    <w:rsid w:val="699A9438"/>
    <w:rsid w:val="699B411C"/>
    <w:rsid w:val="699B4BAE"/>
    <w:rsid w:val="69B71526"/>
    <w:rsid w:val="69B85A4F"/>
    <w:rsid w:val="69B95A4A"/>
    <w:rsid w:val="69BC7E39"/>
    <w:rsid w:val="69C184DD"/>
    <w:rsid w:val="69C9326A"/>
    <w:rsid w:val="69D3FC20"/>
    <w:rsid w:val="69DE6FE4"/>
    <w:rsid w:val="69E7EF10"/>
    <w:rsid w:val="69EC37F5"/>
    <w:rsid w:val="69ED879B"/>
    <w:rsid w:val="69F127DB"/>
    <w:rsid w:val="69F398AA"/>
    <w:rsid w:val="6A067CB7"/>
    <w:rsid w:val="6A085ECA"/>
    <w:rsid w:val="6A2BFE79"/>
    <w:rsid w:val="6A2D4FAC"/>
    <w:rsid w:val="6A44F236"/>
    <w:rsid w:val="6A48CA82"/>
    <w:rsid w:val="6A4A8809"/>
    <w:rsid w:val="6A4E6B7E"/>
    <w:rsid w:val="6A5875D9"/>
    <w:rsid w:val="6A5B24EA"/>
    <w:rsid w:val="6A63D58D"/>
    <w:rsid w:val="6A6AA864"/>
    <w:rsid w:val="6A6E2043"/>
    <w:rsid w:val="6A702087"/>
    <w:rsid w:val="6A70A5C4"/>
    <w:rsid w:val="6A73F89B"/>
    <w:rsid w:val="6A791FFB"/>
    <w:rsid w:val="6A7F9104"/>
    <w:rsid w:val="6A84F4BF"/>
    <w:rsid w:val="6A878D14"/>
    <w:rsid w:val="6A88C695"/>
    <w:rsid w:val="6A8D1E8D"/>
    <w:rsid w:val="6A8FC9C5"/>
    <w:rsid w:val="6AA0EF67"/>
    <w:rsid w:val="6AA4E807"/>
    <w:rsid w:val="6AA50775"/>
    <w:rsid w:val="6AA6D750"/>
    <w:rsid w:val="6AA8C970"/>
    <w:rsid w:val="6AA93EB5"/>
    <w:rsid w:val="6AAFE16C"/>
    <w:rsid w:val="6AB0335B"/>
    <w:rsid w:val="6ABE8BD6"/>
    <w:rsid w:val="6AC31A79"/>
    <w:rsid w:val="6ACDEB87"/>
    <w:rsid w:val="6ACFE355"/>
    <w:rsid w:val="6AD79967"/>
    <w:rsid w:val="6AD7AA37"/>
    <w:rsid w:val="6AE2A9A4"/>
    <w:rsid w:val="6AE6FFFE"/>
    <w:rsid w:val="6AEBF543"/>
    <w:rsid w:val="6AED5032"/>
    <w:rsid w:val="6AF38DA5"/>
    <w:rsid w:val="6AFB4331"/>
    <w:rsid w:val="6AFBE707"/>
    <w:rsid w:val="6B009D47"/>
    <w:rsid w:val="6B02F73A"/>
    <w:rsid w:val="6B05D8AA"/>
    <w:rsid w:val="6B10A56C"/>
    <w:rsid w:val="6B1222F5"/>
    <w:rsid w:val="6B135D8B"/>
    <w:rsid w:val="6B212AFA"/>
    <w:rsid w:val="6B2C7F84"/>
    <w:rsid w:val="6B33E675"/>
    <w:rsid w:val="6B384108"/>
    <w:rsid w:val="6B3C532A"/>
    <w:rsid w:val="6B40C91C"/>
    <w:rsid w:val="6B449704"/>
    <w:rsid w:val="6B44B3E7"/>
    <w:rsid w:val="6B4D9537"/>
    <w:rsid w:val="6B4E917E"/>
    <w:rsid w:val="6B53CDF5"/>
    <w:rsid w:val="6B53FC27"/>
    <w:rsid w:val="6B5FB1B6"/>
    <w:rsid w:val="6B605955"/>
    <w:rsid w:val="6B6404AA"/>
    <w:rsid w:val="6B64CEC7"/>
    <w:rsid w:val="6B66E463"/>
    <w:rsid w:val="6B6BC7F5"/>
    <w:rsid w:val="6B70E39E"/>
    <w:rsid w:val="6B715212"/>
    <w:rsid w:val="6B7193AA"/>
    <w:rsid w:val="6B745EA5"/>
    <w:rsid w:val="6B86A75B"/>
    <w:rsid w:val="6B8F2152"/>
    <w:rsid w:val="6BBA30AA"/>
    <w:rsid w:val="6BC29701"/>
    <w:rsid w:val="6BC7CEDA"/>
    <w:rsid w:val="6BCA4835"/>
    <w:rsid w:val="6BCAB5E0"/>
    <w:rsid w:val="6BCB770A"/>
    <w:rsid w:val="6BCF91FD"/>
    <w:rsid w:val="6BD244F6"/>
    <w:rsid w:val="6BD53AD3"/>
    <w:rsid w:val="6BDBC3C2"/>
    <w:rsid w:val="6BDE9BDA"/>
    <w:rsid w:val="6BE6CE7F"/>
    <w:rsid w:val="6BE9BEBA"/>
    <w:rsid w:val="6BEB6E9C"/>
    <w:rsid w:val="6BEE348E"/>
    <w:rsid w:val="6BF510AD"/>
    <w:rsid w:val="6C02E7F9"/>
    <w:rsid w:val="6C07AD45"/>
    <w:rsid w:val="6C10E36A"/>
    <w:rsid w:val="6C13D58B"/>
    <w:rsid w:val="6C188615"/>
    <w:rsid w:val="6C18F2B4"/>
    <w:rsid w:val="6C213F61"/>
    <w:rsid w:val="6C26C7C2"/>
    <w:rsid w:val="6C2E99D4"/>
    <w:rsid w:val="6C2EEBA6"/>
    <w:rsid w:val="6C38B824"/>
    <w:rsid w:val="6C40ABC2"/>
    <w:rsid w:val="6C4218C7"/>
    <w:rsid w:val="6C4FA7FE"/>
    <w:rsid w:val="6C50F2BF"/>
    <w:rsid w:val="6C510F82"/>
    <w:rsid w:val="6C59F678"/>
    <w:rsid w:val="6C5EAA27"/>
    <w:rsid w:val="6C63353B"/>
    <w:rsid w:val="6C638FB7"/>
    <w:rsid w:val="6C7D17BC"/>
    <w:rsid w:val="6C80F69F"/>
    <w:rsid w:val="6C8B7F32"/>
    <w:rsid w:val="6C8EC5AA"/>
    <w:rsid w:val="6C937810"/>
    <w:rsid w:val="6C959BBE"/>
    <w:rsid w:val="6C9EBC63"/>
    <w:rsid w:val="6CA4C15B"/>
    <w:rsid w:val="6CA95847"/>
    <w:rsid w:val="6CB35724"/>
    <w:rsid w:val="6CB8E7E0"/>
    <w:rsid w:val="6CB8F258"/>
    <w:rsid w:val="6CBBADBB"/>
    <w:rsid w:val="6CDAB14D"/>
    <w:rsid w:val="6CE46A92"/>
    <w:rsid w:val="6CEAB84B"/>
    <w:rsid w:val="6CEC3448"/>
    <w:rsid w:val="6CEF5365"/>
    <w:rsid w:val="6CF0922F"/>
    <w:rsid w:val="6CF1CEF7"/>
    <w:rsid w:val="6CF1F3E3"/>
    <w:rsid w:val="6CF8E7CD"/>
    <w:rsid w:val="6CFCC499"/>
    <w:rsid w:val="6D0733D7"/>
    <w:rsid w:val="6D0B132A"/>
    <w:rsid w:val="6D1C72E8"/>
    <w:rsid w:val="6D2C3D31"/>
    <w:rsid w:val="6D4A6E16"/>
    <w:rsid w:val="6D4AC0DB"/>
    <w:rsid w:val="6D57DA5E"/>
    <w:rsid w:val="6D5B2A5E"/>
    <w:rsid w:val="6D745B4E"/>
    <w:rsid w:val="6D7901D6"/>
    <w:rsid w:val="6D855429"/>
    <w:rsid w:val="6D8733C1"/>
    <w:rsid w:val="6D8C4021"/>
    <w:rsid w:val="6D8DE9BF"/>
    <w:rsid w:val="6D921011"/>
    <w:rsid w:val="6D975CD1"/>
    <w:rsid w:val="6D97624E"/>
    <w:rsid w:val="6D9C9447"/>
    <w:rsid w:val="6DA4B002"/>
    <w:rsid w:val="6DA56F02"/>
    <w:rsid w:val="6DA77E7A"/>
    <w:rsid w:val="6DAAD84B"/>
    <w:rsid w:val="6DAD68D1"/>
    <w:rsid w:val="6DB35F3B"/>
    <w:rsid w:val="6DB59382"/>
    <w:rsid w:val="6DB689FA"/>
    <w:rsid w:val="6DB7F5D6"/>
    <w:rsid w:val="6DB93351"/>
    <w:rsid w:val="6DC1BB01"/>
    <w:rsid w:val="6DC3E937"/>
    <w:rsid w:val="6DC3FB16"/>
    <w:rsid w:val="6DCCFF27"/>
    <w:rsid w:val="6DCD57D4"/>
    <w:rsid w:val="6DCF8C3E"/>
    <w:rsid w:val="6DD9B5FD"/>
    <w:rsid w:val="6DDC168A"/>
    <w:rsid w:val="6DE0FD0A"/>
    <w:rsid w:val="6DE4769F"/>
    <w:rsid w:val="6DE9E998"/>
    <w:rsid w:val="6DF15896"/>
    <w:rsid w:val="6DF6B2DA"/>
    <w:rsid w:val="6DFCE421"/>
    <w:rsid w:val="6DFD5C85"/>
    <w:rsid w:val="6DFE7DAF"/>
    <w:rsid w:val="6DFF01AB"/>
    <w:rsid w:val="6E063908"/>
    <w:rsid w:val="6E07BB0F"/>
    <w:rsid w:val="6E0878A8"/>
    <w:rsid w:val="6E121B85"/>
    <w:rsid w:val="6E1AE842"/>
    <w:rsid w:val="6E1C69C6"/>
    <w:rsid w:val="6E1F437D"/>
    <w:rsid w:val="6E2558CD"/>
    <w:rsid w:val="6E2B0E65"/>
    <w:rsid w:val="6E306B53"/>
    <w:rsid w:val="6E344ACE"/>
    <w:rsid w:val="6E38DEAA"/>
    <w:rsid w:val="6E38E8A9"/>
    <w:rsid w:val="6E38E8FB"/>
    <w:rsid w:val="6E3A2329"/>
    <w:rsid w:val="6E3C5CC6"/>
    <w:rsid w:val="6E3CCF23"/>
    <w:rsid w:val="6E3CDABC"/>
    <w:rsid w:val="6E44A3AC"/>
    <w:rsid w:val="6E4F8505"/>
    <w:rsid w:val="6E4FB9BD"/>
    <w:rsid w:val="6E5CD068"/>
    <w:rsid w:val="6E6DC945"/>
    <w:rsid w:val="6E6E30BB"/>
    <w:rsid w:val="6E74D204"/>
    <w:rsid w:val="6E80A720"/>
    <w:rsid w:val="6E80BCE5"/>
    <w:rsid w:val="6E81EF28"/>
    <w:rsid w:val="6E8C9A2E"/>
    <w:rsid w:val="6E8D9F58"/>
    <w:rsid w:val="6E8F5051"/>
    <w:rsid w:val="6E9073C2"/>
    <w:rsid w:val="6E946821"/>
    <w:rsid w:val="6E97D7DE"/>
    <w:rsid w:val="6E9BA181"/>
    <w:rsid w:val="6EA9BF90"/>
    <w:rsid w:val="6EAE3707"/>
    <w:rsid w:val="6EAE8262"/>
    <w:rsid w:val="6EAEFF4C"/>
    <w:rsid w:val="6EB72AD0"/>
    <w:rsid w:val="6EB7D300"/>
    <w:rsid w:val="6EB9E74F"/>
    <w:rsid w:val="6EBC4ABC"/>
    <w:rsid w:val="6EBC9F71"/>
    <w:rsid w:val="6EBE8A76"/>
    <w:rsid w:val="6EC957F2"/>
    <w:rsid w:val="6ED0CC7A"/>
    <w:rsid w:val="6ED36EA6"/>
    <w:rsid w:val="6EDD205D"/>
    <w:rsid w:val="6EDDE6CE"/>
    <w:rsid w:val="6EE4E31C"/>
    <w:rsid w:val="6EE56528"/>
    <w:rsid w:val="6EEE1849"/>
    <w:rsid w:val="6F014D5C"/>
    <w:rsid w:val="6F03E2D1"/>
    <w:rsid w:val="6F04160F"/>
    <w:rsid w:val="6F20C7BA"/>
    <w:rsid w:val="6F2DFEDB"/>
    <w:rsid w:val="6F2FCFD8"/>
    <w:rsid w:val="6F3003AD"/>
    <w:rsid w:val="6F3427FC"/>
    <w:rsid w:val="6F35C228"/>
    <w:rsid w:val="6F3BC38C"/>
    <w:rsid w:val="6F3D3923"/>
    <w:rsid w:val="6F3D6689"/>
    <w:rsid w:val="6F4884C8"/>
    <w:rsid w:val="6F498CD6"/>
    <w:rsid w:val="6F4D7F78"/>
    <w:rsid w:val="6F613962"/>
    <w:rsid w:val="6F65EE45"/>
    <w:rsid w:val="6F69BDA2"/>
    <w:rsid w:val="6F6CB59C"/>
    <w:rsid w:val="6F726E0E"/>
    <w:rsid w:val="6F7272C2"/>
    <w:rsid w:val="6F754EFF"/>
    <w:rsid w:val="6F7D7AB9"/>
    <w:rsid w:val="6F7EB4D9"/>
    <w:rsid w:val="6F860DBA"/>
    <w:rsid w:val="6F89973D"/>
    <w:rsid w:val="6F8B0984"/>
    <w:rsid w:val="6F8D69FD"/>
    <w:rsid w:val="6F9187B1"/>
    <w:rsid w:val="6F9E203F"/>
    <w:rsid w:val="6F9E80D2"/>
    <w:rsid w:val="6FA3E528"/>
    <w:rsid w:val="6FAB3060"/>
    <w:rsid w:val="6FB22507"/>
    <w:rsid w:val="6FB3CD16"/>
    <w:rsid w:val="6FB77476"/>
    <w:rsid w:val="6FB7D42F"/>
    <w:rsid w:val="6FC028CF"/>
    <w:rsid w:val="6FC23CE9"/>
    <w:rsid w:val="6FC50EBD"/>
    <w:rsid w:val="6FC82B36"/>
    <w:rsid w:val="6FD3285F"/>
    <w:rsid w:val="6FD468B9"/>
    <w:rsid w:val="6FD64912"/>
    <w:rsid w:val="6FDB4244"/>
    <w:rsid w:val="6FDCAC63"/>
    <w:rsid w:val="6FDF6FFC"/>
    <w:rsid w:val="6FECECA5"/>
    <w:rsid w:val="6FEE6C1F"/>
    <w:rsid w:val="6FFEA7B6"/>
    <w:rsid w:val="700631E0"/>
    <w:rsid w:val="701CF44A"/>
    <w:rsid w:val="701DD37A"/>
    <w:rsid w:val="70216DF7"/>
    <w:rsid w:val="7027C8B0"/>
    <w:rsid w:val="702907D2"/>
    <w:rsid w:val="702AB581"/>
    <w:rsid w:val="702B1463"/>
    <w:rsid w:val="702B4AB1"/>
    <w:rsid w:val="702E593B"/>
    <w:rsid w:val="703F3918"/>
    <w:rsid w:val="704120A8"/>
    <w:rsid w:val="7041464E"/>
    <w:rsid w:val="704426C0"/>
    <w:rsid w:val="704D4940"/>
    <w:rsid w:val="70536CFD"/>
    <w:rsid w:val="705D0B3F"/>
    <w:rsid w:val="70651538"/>
    <w:rsid w:val="7065315A"/>
    <w:rsid w:val="706A2B83"/>
    <w:rsid w:val="70733AF9"/>
    <w:rsid w:val="7078BAA9"/>
    <w:rsid w:val="70984C0E"/>
    <w:rsid w:val="7099E16B"/>
    <w:rsid w:val="709AAD81"/>
    <w:rsid w:val="709D6CB5"/>
    <w:rsid w:val="709EAF9A"/>
    <w:rsid w:val="70A510CC"/>
    <w:rsid w:val="70ABEF49"/>
    <w:rsid w:val="70AD603F"/>
    <w:rsid w:val="70AEECD0"/>
    <w:rsid w:val="70AFE876"/>
    <w:rsid w:val="70B05E56"/>
    <w:rsid w:val="70B38AF8"/>
    <w:rsid w:val="70C7D6BE"/>
    <w:rsid w:val="70CDA437"/>
    <w:rsid w:val="70CF116E"/>
    <w:rsid w:val="70D8B0C7"/>
    <w:rsid w:val="70D8D3EB"/>
    <w:rsid w:val="70DA82EB"/>
    <w:rsid w:val="70DD3769"/>
    <w:rsid w:val="70E66B14"/>
    <w:rsid w:val="70F73746"/>
    <w:rsid w:val="70F92902"/>
    <w:rsid w:val="70FF0B03"/>
    <w:rsid w:val="71166066"/>
    <w:rsid w:val="7118EA7A"/>
    <w:rsid w:val="711B9BE4"/>
    <w:rsid w:val="711E0BF3"/>
    <w:rsid w:val="7128E832"/>
    <w:rsid w:val="713316F1"/>
    <w:rsid w:val="7133F570"/>
    <w:rsid w:val="7136029C"/>
    <w:rsid w:val="71385FFA"/>
    <w:rsid w:val="713BABE1"/>
    <w:rsid w:val="713D2D0B"/>
    <w:rsid w:val="71480E37"/>
    <w:rsid w:val="71486785"/>
    <w:rsid w:val="714CF9B0"/>
    <w:rsid w:val="71565368"/>
    <w:rsid w:val="715BFCA0"/>
    <w:rsid w:val="71637D15"/>
    <w:rsid w:val="71645320"/>
    <w:rsid w:val="717FD3F2"/>
    <w:rsid w:val="7183F594"/>
    <w:rsid w:val="7188B340"/>
    <w:rsid w:val="718A6CE6"/>
    <w:rsid w:val="718EEC80"/>
    <w:rsid w:val="719234C9"/>
    <w:rsid w:val="71A4E2CE"/>
    <w:rsid w:val="71A73D24"/>
    <w:rsid w:val="71ACB4FE"/>
    <w:rsid w:val="71B4727E"/>
    <w:rsid w:val="71B58291"/>
    <w:rsid w:val="71BB7F4F"/>
    <w:rsid w:val="71BDAB21"/>
    <w:rsid w:val="71C0EFC1"/>
    <w:rsid w:val="71C65E17"/>
    <w:rsid w:val="71C922C7"/>
    <w:rsid w:val="71DD59AB"/>
    <w:rsid w:val="71E3D2F5"/>
    <w:rsid w:val="71E455AA"/>
    <w:rsid w:val="71E54990"/>
    <w:rsid w:val="71E6BDD7"/>
    <w:rsid w:val="71EB3F7D"/>
    <w:rsid w:val="71F6B30B"/>
    <w:rsid w:val="71FA7C33"/>
    <w:rsid w:val="7200144F"/>
    <w:rsid w:val="72004A9E"/>
    <w:rsid w:val="72035E77"/>
    <w:rsid w:val="720BB5D3"/>
    <w:rsid w:val="721BCBB6"/>
    <w:rsid w:val="72216D9E"/>
    <w:rsid w:val="72226B70"/>
    <w:rsid w:val="72248E07"/>
    <w:rsid w:val="7224B679"/>
    <w:rsid w:val="722EF43D"/>
    <w:rsid w:val="723285C8"/>
    <w:rsid w:val="72332E8C"/>
    <w:rsid w:val="72375322"/>
    <w:rsid w:val="723B7F1A"/>
    <w:rsid w:val="723C50B7"/>
    <w:rsid w:val="723F1F31"/>
    <w:rsid w:val="723F4D62"/>
    <w:rsid w:val="72457F17"/>
    <w:rsid w:val="72466D9A"/>
    <w:rsid w:val="7246B77B"/>
    <w:rsid w:val="724B3CC8"/>
    <w:rsid w:val="72518554"/>
    <w:rsid w:val="725483B3"/>
    <w:rsid w:val="725CCE6A"/>
    <w:rsid w:val="7264CFDD"/>
    <w:rsid w:val="72675374"/>
    <w:rsid w:val="7272BF7C"/>
    <w:rsid w:val="727A9F5B"/>
    <w:rsid w:val="728670E6"/>
    <w:rsid w:val="728B13B0"/>
    <w:rsid w:val="728DEEE3"/>
    <w:rsid w:val="72929EF9"/>
    <w:rsid w:val="729766EF"/>
    <w:rsid w:val="729C0DBC"/>
    <w:rsid w:val="729E9A0E"/>
    <w:rsid w:val="72A1FD7E"/>
    <w:rsid w:val="72A5B1D1"/>
    <w:rsid w:val="72A65E07"/>
    <w:rsid w:val="72B1947B"/>
    <w:rsid w:val="72B220FA"/>
    <w:rsid w:val="72B4BADB"/>
    <w:rsid w:val="72BBA4A6"/>
    <w:rsid w:val="72BC028D"/>
    <w:rsid w:val="72C12C9C"/>
    <w:rsid w:val="72C2AD8C"/>
    <w:rsid w:val="72C4B893"/>
    <w:rsid w:val="72CE3D04"/>
    <w:rsid w:val="72D7442B"/>
    <w:rsid w:val="72D8FD6C"/>
    <w:rsid w:val="72D98660"/>
    <w:rsid w:val="72D98A71"/>
    <w:rsid w:val="72D99B88"/>
    <w:rsid w:val="72DF9984"/>
    <w:rsid w:val="72E63F74"/>
    <w:rsid w:val="72EA92E9"/>
    <w:rsid w:val="72EC9908"/>
    <w:rsid w:val="72ED04A6"/>
    <w:rsid w:val="72F0FABE"/>
    <w:rsid w:val="72F592FB"/>
    <w:rsid w:val="72FCB946"/>
    <w:rsid w:val="730165F5"/>
    <w:rsid w:val="73027DBC"/>
    <w:rsid w:val="73044228"/>
    <w:rsid w:val="7307A2B0"/>
    <w:rsid w:val="7309B144"/>
    <w:rsid w:val="730E8366"/>
    <w:rsid w:val="7310D302"/>
    <w:rsid w:val="7314BB26"/>
    <w:rsid w:val="731926EF"/>
    <w:rsid w:val="731E5E4E"/>
    <w:rsid w:val="7324470E"/>
    <w:rsid w:val="73282185"/>
    <w:rsid w:val="73295479"/>
    <w:rsid w:val="732A7A7D"/>
    <w:rsid w:val="732C8E74"/>
    <w:rsid w:val="733D8EA0"/>
    <w:rsid w:val="733E2360"/>
    <w:rsid w:val="7343B7C7"/>
    <w:rsid w:val="734514D4"/>
    <w:rsid w:val="7348F032"/>
    <w:rsid w:val="734AE898"/>
    <w:rsid w:val="73507CD2"/>
    <w:rsid w:val="7358F76F"/>
    <w:rsid w:val="735EEA0F"/>
    <w:rsid w:val="735F16E4"/>
    <w:rsid w:val="7362802F"/>
    <w:rsid w:val="736553EC"/>
    <w:rsid w:val="73665967"/>
    <w:rsid w:val="7368D5C8"/>
    <w:rsid w:val="736B6A63"/>
    <w:rsid w:val="7376F465"/>
    <w:rsid w:val="738598E8"/>
    <w:rsid w:val="7385F88F"/>
    <w:rsid w:val="738B49FA"/>
    <w:rsid w:val="73909885"/>
    <w:rsid w:val="7396FC40"/>
    <w:rsid w:val="739A1ECD"/>
    <w:rsid w:val="73AE271B"/>
    <w:rsid w:val="73B6B236"/>
    <w:rsid w:val="73B81B9F"/>
    <w:rsid w:val="73C37920"/>
    <w:rsid w:val="73C3E7F9"/>
    <w:rsid w:val="73C86146"/>
    <w:rsid w:val="73D4B87D"/>
    <w:rsid w:val="73DAEA5D"/>
    <w:rsid w:val="73F277A8"/>
    <w:rsid w:val="73F2CFE0"/>
    <w:rsid w:val="73FE18E2"/>
    <w:rsid w:val="73FF30A6"/>
    <w:rsid w:val="7402C1B5"/>
    <w:rsid w:val="74036A92"/>
    <w:rsid w:val="740AC54C"/>
    <w:rsid w:val="740C1C55"/>
    <w:rsid w:val="7413653B"/>
    <w:rsid w:val="7414B52C"/>
    <w:rsid w:val="7415AD30"/>
    <w:rsid w:val="7415EE98"/>
    <w:rsid w:val="74168091"/>
    <w:rsid w:val="7418770A"/>
    <w:rsid w:val="741D6D3E"/>
    <w:rsid w:val="74274A88"/>
    <w:rsid w:val="742BECB9"/>
    <w:rsid w:val="743284A7"/>
    <w:rsid w:val="743B571A"/>
    <w:rsid w:val="744760B6"/>
    <w:rsid w:val="744A3E96"/>
    <w:rsid w:val="744D061E"/>
    <w:rsid w:val="744D20A5"/>
    <w:rsid w:val="744D6F3F"/>
    <w:rsid w:val="744E3C0C"/>
    <w:rsid w:val="74508B3C"/>
    <w:rsid w:val="74565F09"/>
    <w:rsid w:val="74591D16"/>
    <w:rsid w:val="745C662E"/>
    <w:rsid w:val="745E8321"/>
    <w:rsid w:val="74604989"/>
    <w:rsid w:val="7461A77A"/>
    <w:rsid w:val="7464A5BD"/>
    <w:rsid w:val="746604FA"/>
    <w:rsid w:val="7467CBA2"/>
    <w:rsid w:val="746A20A5"/>
    <w:rsid w:val="7481F876"/>
    <w:rsid w:val="74829213"/>
    <w:rsid w:val="7484EECB"/>
    <w:rsid w:val="7486A1B3"/>
    <w:rsid w:val="748976C4"/>
    <w:rsid w:val="748A9C0D"/>
    <w:rsid w:val="748AB909"/>
    <w:rsid w:val="74961FE9"/>
    <w:rsid w:val="749CEA71"/>
    <w:rsid w:val="749D8CD8"/>
    <w:rsid w:val="749E44BB"/>
    <w:rsid w:val="74A3C5EC"/>
    <w:rsid w:val="74A57291"/>
    <w:rsid w:val="74A639DD"/>
    <w:rsid w:val="74AAB508"/>
    <w:rsid w:val="74B1AAE8"/>
    <w:rsid w:val="74BEF4E5"/>
    <w:rsid w:val="74C4F965"/>
    <w:rsid w:val="74C6E30F"/>
    <w:rsid w:val="74C8B7DE"/>
    <w:rsid w:val="74CB52E5"/>
    <w:rsid w:val="74CF7565"/>
    <w:rsid w:val="74D3338A"/>
    <w:rsid w:val="74D3908E"/>
    <w:rsid w:val="74DA4C73"/>
    <w:rsid w:val="74DE759D"/>
    <w:rsid w:val="74E8281C"/>
    <w:rsid w:val="74EB03FB"/>
    <w:rsid w:val="74EE47E8"/>
    <w:rsid w:val="74EFF509"/>
    <w:rsid w:val="74F46E4C"/>
    <w:rsid w:val="74F6D9E2"/>
    <w:rsid w:val="7500ACF7"/>
    <w:rsid w:val="7500C80F"/>
    <w:rsid w:val="7503271A"/>
    <w:rsid w:val="7505101E"/>
    <w:rsid w:val="7506F2B8"/>
    <w:rsid w:val="75074931"/>
    <w:rsid w:val="750D5F62"/>
    <w:rsid w:val="75126F32"/>
    <w:rsid w:val="7519BCB7"/>
    <w:rsid w:val="753C1BF8"/>
    <w:rsid w:val="75404ED7"/>
    <w:rsid w:val="754404D5"/>
    <w:rsid w:val="7546DA58"/>
    <w:rsid w:val="754784D6"/>
    <w:rsid w:val="75591593"/>
    <w:rsid w:val="7563884C"/>
    <w:rsid w:val="7569AD5D"/>
    <w:rsid w:val="7579BDDE"/>
    <w:rsid w:val="757A9925"/>
    <w:rsid w:val="75809EB9"/>
    <w:rsid w:val="75836A2F"/>
    <w:rsid w:val="758693D9"/>
    <w:rsid w:val="758A2C37"/>
    <w:rsid w:val="758E6F25"/>
    <w:rsid w:val="759F605C"/>
    <w:rsid w:val="75A35E07"/>
    <w:rsid w:val="75A96CF8"/>
    <w:rsid w:val="75A9743C"/>
    <w:rsid w:val="75AC7A38"/>
    <w:rsid w:val="75AE8100"/>
    <w:rsid w:val="75C309ED"/>
    <w:rsid w:val="75CE2038"/>
    <w:rsid w:val="75D02DD0"/>
    <w:rsid w:val="75D0CBED"/>
    <w:rsid w:val="75D448AF"/>
    <w:rsid w:val="75DC5CAC"/>
    <w:rsid w:val="75DE0438"/>
    <w:rsid w:val="75E0732D"/>
    <w:rsid w:val="75E3DF5D"/>
    <w:rsid w:val="75E8C452"/>
    <w:rsid w:val="75EB17C0"/>
    <w:rsid w:val="75ED0AE2"/>
    <w:rsid w:val="75EFF9AA"/>
    <w:rsid w:val="75F35185"/>
    <w:rsid w:val="75F60DE7"/>
    <w:rsid w:val="75F65FDE"/>
    <w:rsid w:val="75FBAC53"/>
    <w:rsid w:val="75FFA804"/>
    <w:rsid w:val="7611F895"/>
    <w:rsid w:val="76127B04"/>
    <w:rsid w:val="761323CC"/>
    <w:rsid w:val="761A4D0C"/>
    <w:rsid w:val="761DABC7"/>
    <w:rsid w:val="76255614"/>
    <w:rsid w:val="7625DBA8"/>
    <w:rsid w:val="762BE583"/>
    <w:rsid w:val="762E7D36"/>
    <w:rsid w:val="76311EC8"/>
    <w:rsid w:val="763AD476"/>
    <w:rsid w:val="764375A5"/>
    <w:rsid w:val="764379EB"/>
    <w:rsid w:val="7662A492"/>
    <w:rsid w:val="76670E82"/>
    <w:rsid w:val="76695B51"/>
    <w:rsid w:val="766AAB6D"/>
    <w:rsid w:val="766AE6F9"/>
    <w:rsid w:val="76740947"/>
    <w:rsid w:val="76780E6B"/>
    <w:rsid w:val="7682DD6A"/>
    <w:rsid w:val="768A786C"/>
    <w:rsid w:val="768B420C"/>
    <w:rsid w:val="769231D1"/>
    <w:rsid w:val="7692B69D"/>
    <w:rsid w:val="76966178"/>
    <w:rsid w:val="7697BD33"/>
    <w:rsid w:val="7698F0A3"/>
    <w:rsid w:val="76A0C8D6"/>
    <w:rsid w:val="76B9FB66"/>
    <w:rsid w:val="76C59B6B"/>
    <w:rsid w:val="76C65099"/>
    <w:rsid w:val="76CDBEF5"/>
    <w:rsid w:val="76CED3EB"/>
    <w:rsid w:val="76D12100"/>
    <w:rsid w:val="76D2985A"/>
    <w:rsid w:val="76D791CE"/>
    <w:rsid w:val="76DD51DE"/>
    <w:rsid w:val="76F0BAE0"/>
    <w:rsid w:val="76F38275"/>
    <w:rsid w:val="77007B9C"/>
    <w:rsid w:val="77023AF4"/>
    <w:rsid w:val="77028464"/>
    <w:rsid w:val="77110882"/>
    <w:rsid w:val="77181A03"/>
    <w:rsid w:val="77196E28"/>
    <w:rsid w:val="772827A7"/>
    <w:rsid w:val="772DB9E6"/>
    <w:rsid w:val="77390F1A"/>
    <w:rsid w:val="77494A24"/>
    <w:rsid w:val="774CCC05"/>
    <w:rsid w:val="7755D42F"/>
    <w:rsid w:val="7757F7CD"/>
    <w:rsid w:val="775BEC10"/>
    <w:rsid w:val="775C09CF"/>
    <w:rsid w:val="775C4056"/>
    <w:rsid w:val="775F5E40"/>
    <w:rsid w:val="77604F0D"/>
    <w:rsid w:val="77639E7A"/>
    <w:rsid w:val="776B00AC"/>
    <w:rsid w:val="77785161"/>
    <w:rsid w:val="77787A4C"/>
    <w:rsid w:val="777A3B24"/>
    <w:rsid w:val="777BF703"/>
    <w:rsid w:val="778B675E"/>
    <w:rsid w:val="7794E84C"/>
    <w:rsid w:val="77952D89"/>
    <w:rsid w:val="779B4E5B"/>
    <w:rsid w:val="77A6C2A3"/>
    <w:rsid w:val="77B4188E"/>
    <w:rsid w:val="77BD7785"/>
    <w:rsid w:val="77BDBF16"/>
    <w:rsid w:val="77C70D9A"/>
    <w:rsid w:val="77D04624"/>
    <w:rsid w:val="77D211CF"/>
    <w:rsid w:val="77D57463"/>
    <w:rsid w:val="77D7C5A6"/>
    <w:rsid w:val="77D9B92A"/>
    <w:rsid w:val="77E46FDC"/>
    <w:rsid w:val="77E50758"/>
    <w:rsid w:val="77EA2045"/>
    <w:rsid w:val="77EE361C"/>
    <w:rsid w:val="77F5D01C"/>
    <w:rsid w:val="77F6CD77"/>
    <w:rsid w:val="77FB772E"/>
    <w:rsid w:val="77FC2B37"/>
    <w:rsid w:val="78023150"/>
    <w:rsid w:val="7804F7DB"/>
    <w:rsid w:val="78066468"/>
    <w:rsid w:val="780DBCE7"/>
    <w:rsid w:val="780E9DDC"/>
    <w:rsid w:val="7810134D"/>
    <w:rsid w:val="781280EC"/>
    <w:rsid w:val="781338F2"/>
    <w:rsid w:val="7813B2C0"/>
    <w:rsid w:val="7814EAA7"/>
    <w:rsid w:val="7816A44E"/>
    <w:rsid w:val="781D44F6"/>
    <w:rsid w:val="781DCF8E"/>
    <w:rsid w:val="781E2D8B"/>
    <w:rsid w:val="78220C42"/>
    <w:rsid w:val="7826679F"/>
    <w:rsid w:val="78329D57"/>
    <w:rsid w:val="78332825"/>
    <w:rsid w:val="7833526B"/>
    <w:rsid w:val="784B0843"/>
    <w:rsid w:val="784FF567"/>
    <w:rsid w:val="7851A863"/>
    <w:rsid w:val="78531479"/>
    <w:rsid w:val="7861BE3C"/>
    <w:rsid w:val="786B9141"/>
    <w:rsid w:val="78707F15"/>
    <w:rsid w:val="78794FB2"/>
    <w:rsid w:val="7886270E"/>
    <w:rsid w:val="78864DF7"/>
    <w:rsid w:val="788A86A8"/>
    <w:rsid w:val="7890C191"/>
    <w:rsid w:val="7891B5EE"/>
    <w:rsid w:val="78A09358"/>
    <w:rsid w:val="78A0EFD2"/>
    <w:rsid w:val="78A293BE"/>
    <w:rsid w:val="78A636AE"/>
    <w:rsid w:val="78A9B38E"/>
    <w:rsid w:val="78B119CF"/>
    <w:rsid w:val="78B1B41E"/>
    <w:rsid w:val="78BAE269"/>
    <w:rsid w:val="78C1D686"/>
    <w:rsid w:val="78C86B10"/>
    <w:rsid w:val="78CB8B94"/>
    <w:rsid w:val="78D2FE96"/>
    <w:rsid w:val="78D4E3FB"/>
    <w:rsid w:val="78D502D3"/>
    <w:rsid w:val="78D6F93A"/>
    <w:rsid w:val="78D7FC83"/>
    <w:rsid w:val="78DFEB3D"/>
    <w:rsid w:val="78E0BF29"/>
    <w:rsid w:val="78F176D7"/>
    <w:rsid w:val="78F4305E"/>
    <w:rsid w:val="78F44FCE"/>
    <w:rsid w:val="79001273"/>
    <w:rsid w:val="7905F649"/>
    <w:rsid w:val="790AF1CD"/>
    <w:rsid w:val="790B962F"/>
    <w:rsid w:val="790F0778"/>
    <w:rsid w:val="791BD9C9"/>
    <w:rsid w:val="791C7855"/>
    <w:rsid w:val="792874D9"/>
    <w:rsid w:val="7929D540"/>
    <w:rsid w:val="7932F2A8"/>
    <w:rsid w:val="79359E9F"/>
    <w:rsid w:val="793DA5B8"/>
    <w:rsid w:val="79430BFD"/>
    <w:rsid w:val="79452161"/>
    <w:rsid w:val="79463173"/>
    <w:rsid w:val="79483EF0"/>
    <w:rsid w:val="794ADA63"/>
    <w:rsid w:val="794CD95A"/>
    <w:rsid w:val="794F95E6"/>
    <w:rsid w:val="7954A381"/>
    <w:rsid w:val="7957656C"/>
    <w:rsid w:val="795E67D6"/>
    <w:rsid w:val="796A0D38"/>
    <w:rsid w:val="796E3A65"/>
    <w:rsid w:val="79708F85"/>
    <w:rsid w:val="797E512F"/>
    <w:rsid w:val="7986348A"/>
    <w:rsid w:val="7989CF91"/>
    <w:rsid w:val="79910AB1"/>
    <w:rsid w:val="7992C2BA"/>
    <w:rsid w:val="7996C6D6"/>
    <w:rsid w:val="799D4E2F"/>
    <w:rsid w:val="79A3A899"/>
    <w:rsid w:val="79A8B0E1"/>
    <w:rsid w:val="79B349F7"/>
    <w:rsid w:val="79B4EBEB"/>
    <w:rsid w:val="79B50639"/>
    <w:rsid w:val="79BAAD17"/>
    <w:rsid w:val="79BEA1D6"/>
    <w:rsid w:val="79BFBD41"/>
    <w:rsid w:val="79C287D3"/>
    <w:rsid w:val="79DBF645"/>
    <w:rsid w:val="79E076D9"/>
    <w:rsid w:val="79E35B6D"/>
    <w:rsid w:val="79E407B9"/>
    <w:rsid w:val="79E56BED"/>
    <w:rsid w:val="79E77A04"/>
    <w:rsid w:val="79ED78C4"/>
    <w:rsid w:val="79F1F77E"/>
    <w:rsid w:val="79FBF805"/>
    <w:rsid w:val="79FEC130"/>
    <w:rsid w:val="7A086F39"/>
    <w:rsid w:val="7A0DEA92"/>
    <w:rsid w:val="7A10ECDB"/>
    <w:rsid w:val="7A1D7092"/>
    <w:rsid w:val="7A2059E5"/>
    <w:rsid w:val="7A227C17"/>
    <w:rsid w:val="7A22D986"/>
    <w:rsid w:val="7A23EA87"/>
    <w:rsid w:val="7A272737"/>
    <w:rsid w:val="7A29B43C"/>
    <w:rsid w:val="7A2D3A5F"/>
    <w:rsid w:val="7A2DDEA5"/>
    <w:rsid w:val="7A319385"/>
    <w:rsid w:val="7A31D93F"/>
    <w:rsid w:val="7A37808F"/>
    <w:rsid w:val="7A3EF9DD"/>
    <w:rsid w:val="7A3EFCEB"/>
    <w:rsid w:val="7A4E4496"/>
    <w:rsid w:val="7A66D57B"/>
    <w:rsid w:val="7A6DED81"/>
    <w:rsid w:val="7A7CDE42"/>
    <w:rsid w:val="7A95213E"/>
    <w:rsid w:val="7A9771F0"/>
    <w:rsid w:val="7A97738B"/>
    <w:rsid w:val="7A982903"/>
    <w:rsid w:val="7A99E0A1"/>
    <w:rsid w:val="7AA468B9"/>
    <w:rsid w:val="7AAD5D95"/>
    <w:rsid w:val="7AB39C82"/>
    <w:rsid w:val="7AB93620"/>
    <w:rsid w:val="7AD0F150"/>
    <w:rsid w:val="7AD7A02A"/>
    <w:rsid w:val="7AD97316"/>
    <w:rsid w:val="7ADA2C8A"/>
    <w:rsid w:val="7ADABA47"/>
    <w:rsid w:val="7ADBFE11"/>
    <w:rsid w:val="7ADC01AB"/>
    <w:rsid w:val="7AEC21D7"/>
    <w:rsid w:val="7AF05B82"/>
    <w:rsid w:val="7AF30BD7"/>
    <w:rsid w:val="7AF52EFF"/>
    <w:rsid w:val="7B062B04"/>
    <w:rsid w:val="7B225F3F"/>
    <w:rsid w:val="7B232C65"/>
    <w:rsid w:val="7B254202"/>
    <w:rsid w:val="7B25E207"/>
    <w:rsid w:val="7B280E2A"/>
    <w:rsid w:val="7B28909E"/>
    <w:rsid w:val="7B292330"/>
    <w:rsid w:val="7B2D49C8"/>
    <w:rsid w:val="7B35F593"/>
    <w:rsid w:val="7B37DCA6"/>
    <w:rsid w:val="7B3B5742"/>
    <w:rsid w:val="7B4D5867"/>
    <w:rsid w:val="7B4D9F5E"/>
    <w:rsid w:val="7B561639"/>
    <w:rsid w:val="7B579FB9"/>
    <w:rsid w:val="7B5B79E1"/>
    <w:rsid w:val="7B661C5F"/>
    <w:rsid w:val="7B6A7030"/>
    <w:rsid w:val="7B6AF756"/>
    <w:rsid w:val="7B70159B"/>
    <w:rsid w:val="7B72B42F"/>
    <w:rsid w:val="7B73E781"/>
    <w:rsid w:val="7B7440F0"/>
    <w:rsid w:val="7B7BFB2B"/>
    <w:rsid w:val="7B7F2788"/>
    <w:rsid w:val="7B827692"/>
    <w:rsid w:val="7B83E678"/>
    <w:rsid w:val="7B86FC79"/>
    <w:rsid w:val="7B8B9143"/>
    <w:rsid w:val="7B92AF5E"/>
    <w:rsid w:val="7B97D11E"/>
    <w:rsid w:val="7B987A8C"/>
    <w:rsid w:val="7B9BA38B"/>
    <w:rsid w:val="7BA3C73C"/>
    <w:rsid w:val="7BA6024D"/>
    <w:rsid w:val="7BAB4B6C"/>
    <w:rsid w:val="7BB08C6F"/>
    <w:rsid w:val="7BB1E713"/>
    <w:rsid w:val="7BB5F80D"/>
    <w:rsid w:val="7BBBBCFF"/>
    <w:rsid w:val="7BBE7EE3"/>
    <w:rsid w:val="7BBE9554"/>
    <w:rsid w:val="7BC1EF32"/>
    <w:rsid w:val="7BD04F14"/>
    <w:rsid w:val="7BD1353F"/>
    <w:rsid w:val="7BD1DF45"/>
    <w:rsid w:val="7BD2B302"/>
    <w:rsid w:val="7BD2F33B"/>
    <w:rsid w:val="7BD6A1AD"/>
    <w:rsid w:val="7BDC819D"/>
    <w:rsid w:val="7BE11B68"/>
    <w:rsid w:val="7BEAE2FD"/>
    <w:rsid w:val="7BEB9D65"/>
    <w:rsid w:val="7BEF2743"/>
    <w:rsid w:val="7BF0853B"/>
    <w:rsid w:val="7C0B9C19"/>
    <w:rsid w:val="7C0DBDC9"/>
    <w:rsid w:val="7C123C32"/>
    <w:rsid w:val="7C16F2A0"/>
    <w:rsid w:val="7C218AE8"/>
    <w:rsid w:val="7C30E279"/>
    <w:rsid w:val="7C32E603"/>
    <w:rsid w:val="7C383577"/>
    <w:rsid w:val="7C3BAB5B"/>
    <w:rsid w:val="7C3CFB3D"/>
    <w:rsid w:val="7C3DD55F"/>
    <w:rsid w:val="7C3FF487"/>
    <w:rsid w:val="7C4441F3"/>
    <w:rsid w:val="7C485D12"/>
    <w:rsid w:val="7C493E89"/>
    <w:rsid w:val="7C4CE5E3"/>
    <w:rsid w:val="7C4EE422"/>
    <w:rsid w:val="7C4F7833"/>
    <w:rsid w:val="7C567BBE"/>
    <w:rsid w:val="7C57D96F"/>
    <w:rsid w:val="7C5A8D96"/>
    <w:rsid w:val="7C5AA33D"/>
    <w:rsid w:val="7C627B06"/>
    <w:rsid w:val="7C6444DB"/>
    <w:rsid w:val="7C6F3AA2"/>
    <w:rsid w:val="7C759EC5"/>
    <w:rsid w:val="7C7D73BC"/>
    <w:rsid w:val="7C7EA182"/>
    <w:rsid w:val="7C7EC5F7"/>
    <w:rsid w:val="7C80859C"/>
    <w:rsid w:val="7C81DB30"/>
    <w:rsid w:val="7C83535E"/>
    <w:rsid w:val="7C85EA2D"/>
    <w:rsid w:val="7C9BD023"/>
    <w:rsid w:val="7CA5B6FF"/>
    <w:rsid w:val="7CB7A07F"/>
    <w:rsid w:val="7CBC9B13"/>
    <w:rsid w:val="7CC53A02"/>
    <w:rsid w:val="7CC92D66"/>
    <w:rsid w:val="7CCB49FB"/>
    <w:rsid w:val="7CD0EB55"/>
    <w:rsid w:val="7CD87565"/>
    <w:rsid w:val="7CD9C7FA"/>
    <w:rsid w:val="7CDD983E"/>
    <w:rsid w:val="7CE23FBA"/>
    <w:rsid w:val="7CE9EB29"/>
    <w:rsid w:val="7CEEB67C"/>
    <w:rsid w:val="7CFD1ECD"/>
    <w:rsid w:val="7CFEBBFE"/>
    <w:rsid w:val="7D0034E5"/>
    <w:rsid w:val="7D008D1C"/>
    <w:rsid w:val="7D034B81"/>
    <w:rsid w:val="7D050746"/>
    <w:rsid w:val="7D069FA7"/>
    <w:rsid w:val="7D119A92"/>
    <w:rsid w:val="7D18486C"/>
    <w:rsid w:val="7D1A071C"/>
    <w:rsid w:val="7D25F66F"/>
    <w:rsid w:val="7D3874A0"/>
    <w:rsid w:val="7D39E503"/>
    <w:rsid w:val="7D467B26"/>
    <w:rsid w:val="7D49659A"/>
    <w:rsid w:val="7D4D03E3"/>
    <w:rsid w:val="7D4EB842"/>
    <w:rsid w:val="7D550C8A"/>
    <w:rsid w:val="7D6A5FEC"/>
    <w:rsid w:val="7D6A96AF"/>
    <w:rsid w:val="7D707908"/>
    <w:rsid w:val="7D767E04"/>
    <w:rsid w:val="7D77C5A3"/>
    <w:rsid w:val="7D78B128"/>
    <w:rsid w:val="7D833491"/>
    <w:rsid w:val="7D83C4E8"/>
    <w:rsid w:val="7D8CA9CF"/>
    <w:rsid w:val="7D9249E9"/>
    <w:rsid w:val="7DAF259C"/>
    <w:rsid w:val="7DB15652"/>
    <w:rsid w:val="7DB19393"/>
    <w:rsid w:val="7DB6C91A"/>
    <w:rsid w:val="7DBB4E7C"/>
    <w:rsid w:val="7DC00515"/>
    <w:rsid w:val="7DC95E92"/>
    <w:rsid w:val="7DCA0F27"/>
    <w:rsid w:val="7DCA2784"/>
    <w:rsid w:val="7DD7322A"/>
    <w:rsid w:val="7DD74963"/>
    <w:rsid w:val="7DE64E80"/>
    <w:rsid w:val="7DEB5BAA"/>
    <w:rsid w:val="7DEF91BA"/>
    <w:rsid w:val="7E0790B9"/>
    <w:rsid w:val="7E0B74E2"/>
    <w:rsid w:val="7E13B692"/>
    <w:rsid w:val="7E1B1FDE"/>
    <w:rsid w:val="7E1E1C87"/>
    <w:rsid w:val="7E1E5712"/>
    <w:rsid w:val="7E25714E"/>
    <w:rsid w:val="7E289A1E"/>
    <w:rsid w:val="7E292BE8"/>
    <w:rsid w:val="7E2BD225"/>
    <w:rsid w:val="7E34D870"/>
    <w:rsid w:val="7E3513FC"/>
    <w:rsid w:val="7E37E27C"/>
    <w:rsid w:val="7E497D59"/>
    <w:rsid w:val="7E4BCBB6"/>
    <w:rsid w:val="7E572C8B"/>
    <w:rsid w:val="7E5DB389"/>
    <w:rsid w:val="7E62BAAD"/>
    <w:rsid w:val="7E70741B"/>
    <w:rsid w:val="7E73653F"/>
    <w:rsid w:val="7E76BD06"/>
    <w:rsid w:val="7E7A6693"/>
    <w:rsid w:val="7E805522"/>
    <w:rsid w:val="7E8CF18B"/>
    <w:rsid w:val="7E92C28D"/>
    <w:rsid w:val="7E94FCC2"/>
    <w:rsid w:val="7E9EB89A"/>
    <w:rsid w:val="7E9FF376"/>
    <w:rsid w:val="7EA00FA4"/>
    <w:rsid w:val="7EA3B3F9"/>
    <w:rsid w:val="7EA58CA9"/>
    <w:rsid w:val="7EA776B0"/>
    <w:rsid w:val="7EABA745"/>
    <w:rsid w:val="7EB68BCB"/>
    <w:rsid w:val="7EB7CBF9"/>
    <w:rsid w:val="7EBB372F"/>
    <w:rsid w:val="7EBBC0BD"/>
    <w:rsid w:val="7EC1C889"/>
    <w:rsid w:val="7EC20544"/>
    <w:rsid w:val="7EC255FD"/>
    <w:rsid w:val="7ECAAA99"/>
    <w:rsid w:val="7ED53193"/>
    <w:rsid w:val="7EDACBF8"/>
    <w:rsid w:val="7EDAD83E"/>
    <w:rsid w:val="7EE18D75"/>
    <w:rsid w:val="7EE78FFC"/>
    <w:rsid w:val="7EE87437"/>
    <w:rsid w:val="7EEC150C"/>
    <w:rsid w:val="7EF09F82"/>
    <w:rsid w:val="7F06A125"/>
    <w:rsid w:val="7F08317A"/>
    <w:rsid w:val="7F1CF8D7"/>
    <w:rsid w:val="7F1F9CDD"/>
    <w:rsid w:val="7F2482D8"/>
    <w:rsid w:val="7F3453BC"/>
    <w:rsid w:val="7F347ED1"/>
    <w:rsid w:val="7F3647E8"/>
    <w:rsid w:val="7F3B92DA"/>
    <w:rsid w:val="7F3C9F66"/>
    <w:rsid w:val="7F42518F"/>
    <w:rsid w:val="7F48E602"/>
    <w:rsid w:val="7F491D50"/>
    <w:rsid w:val="7F49C538"/>
    <w:rsid w:val="7F54C61F"/>
    <w:rsid w:val="7F5E9954"/>
    <w:rsid w:val="7F621B21"/>
    <w:rsid w:val="7F688A3E"/>
    <w:rsid w:val="7F6C960D"/>
    <w:rsid w:val="7F6F4BA0"/>
    <w:rsid w:val="7F6F7640"/>
    <w:rsid w:val="7F75DBA3"/>
    <w:rsid w:val="7F7A105E"/>
    <w:rsid w:val="7F7B84D0"/>
    <w:rsid w:val="7F7BF7F1"/>
    <w:rsid w:val="7F7C2AA0"/>
    <w:rsid w:val="7F894ED3"/>
    <w:rsid w:val="7F8D3A6D"/>
    <w:rsid w:val="7F8DF47A"/>
    <w:rsid w:val="7F8F32F1"/>
    <w:rsid w:val="7F993A72"/>
    <w:rsid w:val="7FA8225A"/>
    <w:rsid w:val="7FBBC586"/>
    <w:rsid w:val="7FBBDB08"/>
    <w:rsid w:val="7FC9715F"/>
    <w:rsid w:val="7FCF6A90"/>
    <w:rsid w:val="7FD695AA"/>
    <w:rsid w:val="7FD84AE4"/>
    <w:rsid w:val="7FD89759"/>
    <w:rsid w:val="7FDB73C8"/>
    <w:rsid w:val="7FE004AF"/>
    <w:rsid w:val="7FE7DDDA"/>
    <w:rsid w:val="7FEACC6A"/>
    <w:rsid w:val="7FEB56ED"/>
    <w:rsid w:val="7FEB5886"/>
    <w:rsid w:val="7FEBC690"/>
    <w:rsid w:val="7FF50ADC"/>
    <w:rsid w:val="7FF90A7F"/>
    <w:rsid w:val="7FFB30DB"/>
  </w:rsids>
  <m:mathPr>
    <m:mathFont m:val="Cambria Math"/>
    <m:brkBin m:val="before"/>
    <m:brkBinSub m:val="--"/>
    <m:smallFrac m:val="0"/>
    <m:dispDef/>
    <m:lMargin m:val="0"/>
    <m:rMargin m:val="0"/>
    <m:defJc m:val="centerGroup"/>
    <m:wrapIndent m:val="1440"/>
    <m:intLim m:val="subSup"/>
    <m:naryLim m:val="undOvr"/>
  </m:mathPr>
  <w:themeFontLang w:val="en-GB" w:eastAsia="zh-CN" w:bidi="k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6F7F53CF"/>
  <w14:defaultImageDpi w14:val="330"/>
  <w15:docId w15:val="{1796973E-5ED8-4A34-AF98-D40AFC45A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EC Square Sans Pro" w:eastAsia="MS Mincho" w:hAnsi="EC Square Sans Pro" w:cstheme="minorBidi"/>
        <w:lang w:val="fr-FR" w:eastAsia="en-US" w:bidi="ar-SA"/>
      </w:rPr>
    </w:rPrDefault>
    <w:pPrDefault>
      <w:pPr>
        <w:spacing w:before="240" w:after="240" w:line="264" w:lineRule="auto"/>
      </w:pPr>
    </w:pPrDefault>
  </w:docDefaults>
  <w:latentStyles w:defLockedState="0" w:defUIPriority="99" w:defSemiHidden="0" w:defUnhideWhenUsed="0" w:defQFormat="0" w:count="371">
    <w:lsdException w:name="Normal" w:uiPriority="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8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89" w:unhideWhenUsed="1"/>
    <w:lsdException w:name="Body Text 3" w:semiHidden="1" w:uiPriority="8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style>
  <w:style w:type="paragraph" w:styleId="Heading1">
    <w:name w:val="heading 1"/>
    <w:next w:val="Normal"/>
    <w:link w:val="Heading1Char"/>
    <w:qFormat/>
    <w:pPr>
      <w:keepNext/>
      <w:keepLines/>
      <w:pageBreakBefore/>
      <w:suppressAutoHyphens/>
      <w:spacing w:before="0" w:after="480"/>
      <w:outlineLvl w:val="0"/>
    </w:pPr>
    <w:rPr>
      <w:rFonts w:eastAsia="EC Square Sans Pro" w:cs="Times New Roman"/>
      <w:color w:val="003399" w:themeColor="text2"/>
      <w:sz w:val="48"/>
      <w:szCs w:val="21"/>
      <w:lang w:eastAsia="zh-CN"/>
    </w:rPr>
  </w:style>
  <w:style w:type="paragraph" w:styleId="Heading2">
    <w:name w:val="heading 2"/>
    <w:basedOn w:val="Normal"/>
    <w:next w:val="Normal"/>
    <w:link w:val="Heading2Char"/>
    <w:unhideWhenUsed/>
    <w:qFormat/>
    <w:rsid w:val="00B56BE7"/>
    <w:pPr>
      <w:keepNext/>
      <w:keepLines/>
      <w:pBdr>
        <w:bottom w:val="single" w:sz="6" w:space="1" w:color="DE6002" w:themeColor="accent2"/>
      </w:pBdr>
      <w:tabs>
        <w:tab w:val="num" w:pos="0"/>
      </w:tabs>
      <w:suppressAutoHyphens/>
      <w:spacing w:after="360"/>
      <w:outlineLvl w:val="1"/>
    </w:pPr>
    <w:rPr>
      <w:rFonts w:eastAsia="EC Square Sans Pro"/>
      <w:b/>
      <w:color w:val="003399" w:themeColor="text2"/>
      <w:spacing w:val="-10"/>
      <w:sz w:val="28"/>
      <w:szCs w:val="21"/>
      <w:lang w:eastAsia="zh-CN"/>
    </w:rPr>
  </w:style>
  <w:style w:type="paragraph" w:styleId="Heading3">
    <w:name w:val="heading 3"/>
    <w:basedOn w:val="Normal"/>
    <w:next w:val="Normal"/>
    <w:link w:val="Heading3Char"/>
    <w:unhideWhenUsed/>
    <w:qFormat/>
    <w:pPr>
      <w:keepNext/>
      <w:keepLines/>
      <w:suppressAutoHyphens/>
      <w:spacing w:before="480"/>
      <w:outlineLvl w:val="2"/>
    </w:pPr>
    <w:rPr>
      <w:rFonts w:eastAsiaTheme="majorEastAsia" w:cstheme="majorBidi"/>
      <w:b/>
      <w:color w:val="003399" w:themeColor="text2"/>
      <w:sz w:val="28"/>
      <w:szCs w:val="24"/>
    </w:rPr>
  </w:style>
  <w:style w:type="paragraph" w:styleId="Heading4">
    <w:name w:val="heading 4"/>
    <w:basedOn w:val="Normal"/>
    <w:next w:val="Normal"/>
    <w:link w:val="Heading4Char"/>
    <w:unhideWhenUsed/>
    <w:qFormat/>
    <w:pPr>
      <w:keepNext/>
      <w:keepLines/>
      <w:suppressAutoHyphens/>
      <w:spacing w:before="480"/>
      <w:outlineLvl w:val="3"/>
    </w:pPr>
    <w:rPr>
      <w:rFonts w:cs="Times New Roman"/>
      <w:color w:val="003399" w:themeColor="text2"/>
      <w:sz w:val="24"/>
      <w:szCs w:val="22"/>
      <w:lang w:eastAsia="zh-CN"/>
    </w:rPr>
  </w:style>
  <w:style w:type="paragraph" w:styleId="Heading5">
    <w:name w:val="heading 5"/>
    <w:basedOn w:val="Normal"/>
    <w:next w:val="Normal"/>
    <w:link w:val="Heading5Char"/>
    <w:uiPriority w:val="99"/>
    <w:unhideWhenUsed/>
    <w:qFormat/>
    <w:pPr>
      <w:keepNext/>
      <w:keepLines/>
      <w:suppressAutoHyphens/>
      <w:ind w:left="340"/>
      <w:outlineLvl w:val="4"/>
    </w:pPr>
    <w:rPr>
      <w:rFonts w:cs="Times New Roman"/>
      <w:b/>
      <w:color w:val="008139" w:themeColor="accent1"/>
      <w:sz w:val="24"/>
      <w:szCs w:val="22"/>
      <w:lang w:eastAsia="zh-CN"/>
      <w14:textOutline w14:w="9525" w14:cap="rnd" w14:cmpd="sng" w14:algn="ctr">
        <w14:noFill/>
        <w14:prstDash w14:val="solid"/>
        <w14:bevel/>
      </w14:textOutline>
    </w:rPr>
  </w:style>
  <w:style w:type="paragraph" w:styleId="Heading6">
    <w:name w:val="heading 6"/>
    <w:basedOn w:val="Normal"/>
    <w:next w:val="Normal"/>
    <w:link w:val="Heading6Char"/>
    <w:uiPriority w:val="99"/>
    <w:unhideWhenUsed/>
    <w:qFormat/>
    <w:pPr>
      <w:keepNext/>
      <w:keepLines/>
      <w:spacing w:before="200"/>
      <w:outlineLvl w:val="5"/>
    </w:pPr>
    <w:rPr>
      <w:rFonts w:eastAsiaTheme="majorEastAsia" w:cstheme="majorBidi"/>
      <w:i/>
      <w:iCs/>
      <w:color w:val="00401C" w:themeColor="accent1" w:themeShade="7F"/>
    </w:rPr>
  </w:style>
  <w:style w:type="paragraph" w:styleId="Heading7">
    <w:name w:val="heading 7"/>
    <w:basedOn w:val="Normal"/>
    <w:next w:val="Normal"/>
    <w:link w:val="Heading7Char"/>
    <w:uiPriority w:val="99"/>
    <w:unhideWhenUsed/>
    <w:qFormat/>
    <w:pPr>
      <w:keepNext/>
      <w:keepLines/>
      <w:spacing w:before="20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9"/>
    <w:unhideWhenUsed/>
    <w:qFormat/>
    <w:pPr>
      <w:keepNext/>
      <w:keepLines/>
      <w:spacing w:before="200"/>
      <w:outlineLvl w:val="7"/>
    </w:pPr>
    <w:rPr>
      <w:rFonts w:eastAsiaTheme="majorEastAsia" w:cstheme="majorBidi"/>
      <w:color w:val="404040" w:themeColor="text1" w:themeTint="BF"/>
    </w:rPr>
  </w:style>
  <w:style w:type="paragraph" w:styleId="Heading9">
    <w:name w:val="heading 9"/>
    <w:basedOn w:val="Normal"/>
    <w:next w:val="Normal"/>
    <w:link w:val="Heading9Char"/>
    <w:uiPriority w:val="99"/>
    <w:unhideWhenUsed/>
    <w:qFormat/>
    <w:pPr>
      <w:keepNext/>
      <w:keepLines/>
      <w:spacing w:before="200"/>
      <w:outlineLvl w:val="8"/>
    </w:pPr>
    <w:rPr>
      <w:rFonts w:eastAsiaTheme="majorEastAsia"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eastAsia="EC Square Sans Pro" w:cs="Times New Roman"/>
      <w:color w:val="003399" w:themeColor="text2"/>
      <w:sz w:val="48"/>
      <w:szCs w:val="21"/>
      <w:lang w:val="fr-FR" w:eastAsia="zh-CN"/>
    </w:rPr>
  </w:style>
  <w:style w:type="character" w:customStyle="1" w:styleId="Heading2Char">
    <w:name w:val="Heading 2 Char"/>
    <w:basedOn w:val="DefaultParagraphFont"/>
    <w:link w:val="Heading2"/>
    <w:rsid w:val="00B56BE7"/>
    <w:rPr>
      <w:rFonts w:eastAsia="EC Square Sans Pro"/>
      <w:b/>
      <w:color w:val="003399" w:themeColor="text2"/>
      <w:spacing w:val="-10"/>
      <w:sz w:val="28"/>
      <w:szCs w:val="21"/>
      <w:lang w:val="fr-FR" w:eastAsia="zh-CN"/>
    </w:rPr>
  </w:style>
  <w:style w:type="character" w:customStyle="1" w:styleId="Heading3Char">
    <w:name w:val="Heading 3 Char"/>
    <w:basedOn w:val="DefaultParagraphFont"/>
    <w:link w:val="Heading3"/>
    <w:rPr>
      <w:rFonts w:eastAsiaTheme="majorEastAsia" w:cstheme="majorBidi"/>
      <w:b/>
      <w:color w:val="003399" w:themeColor="text2"/>
      <w:sz w:val="28"/>
      <w:szCs w:val="24"/>
      <w:lang w:val="fr-FR"/>
    </w:rPr>
  </w:style>
  <w:style w:type="character" w:customStyle="1" w:styleId="Heading4Char">
    <w:name w:val="Heading 4 Char"/>
    <w:basedOn w:val="DefaultParagraphFont"/>
    <w:link w:val="Heading4"/>
    <w:rPr>
      <w:rFonts w:cs="Times New Roman"/>
      <w:color w:val="003399" w:themeColor="text2"/>
      <w:sz w:val="24"/>
      <w:szCs w:val="22"/>
      <w:lang w:val="fr-FR" w:eastAsia="zh-CN"/>
    </w:rPr>
  </w:style>
  <w:style w:type="character" w:customStyle="1" w:styleId="Heading5Char">
    <w:name w:val="Heading 5 Char"/>
    <w:basedOn w:val="DefaultParagraphFont"/>
    <w:link w:val="Heading5"/>
    <w:uiPriority w:val="99"/>
    <w:rPr>
      <w:rFonts w:cs="Times New Roman"/>
      <w:b/>
      <w:color w:val="008139" w:themeColor="accent1"/>
      <w:sz w:val="24"/>
      <w:szCs w:val="22"/>
      <w:lang w:val="fr-FR" w:eastAsia="zh-CN"/>
      <w14:textOutline w14:w="9525" w14:cap="rnd" w14:cmpd="sng" w14:algn="ctr">
        <w14:noFill/>
        <w14:prstDash w14:val="solid"/>
        <w14:bevel/>
      </w14:textOutline>
    </w:rPr>
  </w:style>
  <w:style w:type="character" w:customStyle="1" w:styleId="Heading6Char">
    <w:name w:val="Heading 6 Char"/>
    <w:basedOn w:val="DefaultParagraphFont"/>
    <w:link w:val="Heading6"/>
    <w:uiPriority w:val="99"/>
    <w:rPr>
      <w:rFonts w:eastAsiaTheme="majorEastAsia" w:cstheme="majorBidi"/>
      <w:i/>
      <w:iCs/>
      <w:color w:val="00401C" w:themeColor="accent1" w:themeShade="7F"/>
      <w:lang w:val="fr-FR"/>
    </w:rPr>
  </w:style>
  <w:style w:type="character" w:customStyle="1" w:styleId="Heading7Char">
    <w:name w:val="Heading 7 Char"/>
    <w:basedOn w:val="DefaultParagraphFont"/>
    <w:link w:val="Heading7"/>
    <w:uiPriority w:val="99"/>
    <w:rPr>
      <w:rFonts w:eastAsiaTheme="majorEastAsia" w:cstheme="majorBidi"/>
      <w:i/>
      <w:iCs/>
      <w:color w:val="404040" w:themeColor="text1" w:themeTint="BF"/>
      <w:lang w:val="fr-FR"/>
    </w:rPr>
  </w:style>
  <w:style w:type="character" w:customStyle="1" w:styleId="Heading8Char">
    <w:name w:val="Heading 8 Char"/>
    <w:basedOn w:val="DefaultParagraphFont"/>
    <w:link w:val="Heading8"/>
    <w:uiPriority w:val="99"/>
    <w:rPr>
      <w:rFonts w:eastAsiaTheme="majorEastAsia" w:cstheme="majorBidi"/>
      <w:color w:val="404040" w:themeColor="text1" w:themeTint="BF"/>
      <w:lang w:val="fr-FR"/>
    </w:rPr>
  </w:style>
  <w:style w:type="character" w:customStyle="1" w:styleId="Heading9Char">
    <w:name w:val="Heading 9 Char"/>
    <w:basedOn w:val="DefaultParagraphFont"/>
    <w:link w:val="Heading9"/>
    <w:uiPriority w:val="99"/>
    <w:rPr>
      <w:rFonts w:eastAsiaTheme="majorEastAsia" w:cstheme="majorBidi"/>
      <w:i/>
      <w:iCs/>
      <w:color w:val="404040" w:themeColor="text1" w:themeTint="BF"/>
      <w:lang w:val="fr-FR"/>
    </w:rPr>
  </w:style>
  <w:style w:type="paragraph" w:styleId="ListParagraph">
    <w:name w:val="List Paragraph"/>
    <w:basedOn w:val="Normal"/>
    <w:uiPriority w:val="34"/>
    <w:qFormat/>
    <w:pPr>
      <w:ind w:left="720"/>
      <w:contextualSpacing/>
    </w:pPr>
  </w:style>
  <w:style w:type="table" w:styleId="GridTable2-Accent2">
    <w:name w:val="Grid Table 2 Accent 2"/>
    <w:basedOn w:val="TableNormal"/>
    <w:uiPriority w:val="47"/>
    <w:pPr>
      <w:spacing w:after="0" w:line="240" w:lineRule="auto"/>
    </w:pPr>
    <w:tblPr>
      <w:tblStyleRowBandSize w:val="1"/>
      <w:tblStyleColBandSize w:val="1"/>
      <w:tblBorders>
        <w:top w:val="single" w:sz="2" w:space="0" w:color="FD9C54" w:themeColor="accent2" w:themeTint="99"/>
        <w:bottom w:val="single" w:sz="2" w:space="0" w:color="FD9C54" w:themeColor="accent2" w:themeTint="99"/>
        <w:insideH w:val="single" w:sz="2" w:space="0" w:color="FD9C54" w:themeColor="accent2" w:themeTint="99"/>
        <w:insideV w:val="single" w:sz="2" w:space="0" w:color="FD9C54" w:themeColor="accent2" w:themeTint="99"/>
      </w:tblBorders>
    </w:tblPr>
    <w:tblStylePr w:type="firstRow">
      <w:rPr>
        <w:b/>
        <w:bCs/>
      </w:rPr>
      <w:tblPr/>
      <w:tcPr>
        <w:tcBorders>
          <w:top w:val="nil"/>
          <w:bottom w:val="single" w:sz="12" w:space="0" w:color="FD9C54" w:themeColor="accent2" w:themeTint="99"/>
          <w:insideH w:val="nil"/>
          <w:insideV w:val="nil"/>
        </w:tcBorders>
        <w:shd w:val="clear" w:color="auto" w:fill="FFFFFF" w:themeFill="background1"/>
      </w:tcPr>
    </w:tblStylePr>
    <w:tblStylePr w:type="lastRow">
      <w:rPr>
        <w:b/>
        <w:bCs/>
      </w:rPr>
      <w:tblPr/>
      <w:tcPr>
        <w:tcBorders>
          <w:top w:val="double" w:sz="2" w:space="0" w:color="FD9C5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4-Accent2">
    <w:name w:val="Grid Table 4 Accent 2"/>
    <w:basedOn w:val="TableNormal"/>
    <w:uiPriority w:val="49"/>
    <w:pPr>
      <w:spacing w:after="0" w:line="240" w:lineRule="auto"/>
    </w:p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insideV w:val="nil"/>
        </w:tcBorders>
        <w:shd w:val="clear" w:color="auto" w:fill="DE6002" w:themeFill="accent2"/>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TableGrid">
    <w:name w:val="Table Grid"/>
    <w:aliases w:val="Document Table,CV1,Standard table format,Simple table"/>
    <w:basedOn w:val="TableNormal"/>
    <w:uiPriority w:val="59"/>
    <w:rPr>
      <w:rFonts w:ascii="Calibri" w:eastAsia="Calibri"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basedOn w:val="DefaultParagraphFont"/>
    <w:uiPriority w:val="99"/>
    <w:qFormat/>
    <w:rPr>
      <w:vertAlign w:val="superscript"/>
    </w:rPr>
  </w:style>
  <w:style w:type="paragraph" w:styleId="BalloonText">
    <w:name w:val="Balloon Text"/>
    <w:basedOn w:val="Normal"/>
    <w:link w:val="BalloonTextChar"/>
    <w:semiHidden/>
    <w:unhideWhenUsed/>
    <w:rPr>
      <w:rFonts w:cs="Segoe UI"/>
      <w:sz w:val="18"/>
      <w:szCs w:val="18"/>
    </w:rPr>
  </w:style>
  <w:style w:type="character" w:customStyle="1" w:styleId="BalloonTextChar">
    <w:name w:val="Balloon Text Char"/>
    <w:basedOn w:val="DefaultParagraphFont"/>
    <w:link w:val="BalloonText"/>
    <w:semiHidden/>
    <w:rPr>
      <w:rFonts w:cs="Segoe UI"/>
      <w:sz w:val="18"/>
      <w:szCs w:val="18"/>
      <w:lang w:val="fr-FR"/>
    </w:rPr>
  </w:style>
  <w:style w:type="paragraph" w:styleId="Footer">
    <w:name w:val="footer"/>
    <w:basedOn w:val="amprFooter-Left"/>
    <w:link w:val="FooterChar"/>
    <w:uiPriority w:val="99"/>
    <w:unhideWhenUsed/>
    <w:pPr>
      <w:jc w:val="center"/>
    </w:pPr>
    <w:rPr>
      <w:noProof/>
    </w:rPr>
  </w:style>
  <w:style w:type="character" w:customStyle="1" w:styleId="FooterChar">
    <w:name w:val="Footer Char"/>
    <w:basedOn w:val="DefaultParagraphFont"/>
    <w:link w:val="Footer"/>
    <w:uiPriority w:val="99"/>
    <w:rPr>
      <w:rFonts w:eastAsia="EC Square Sans Pro" w:cs="Times New Roman"/>
      <w:noProof/>
      <w:szCs w:val="21"/>
      <w:lang w:val="fr-FR" w:eastAsia="zh-CN"/>
    </w:rPr>
  </w:style>
  <w:style w:type="paragraph" w:styleId="CommentSubject">
    <w:name w:val="annotation subject"/>
    <w:basedOn w:val="Normal"/>
    <w:next w:val="Normal"/>
    <w:link w:val="CommentSubjectChar"/>
    <w:unhideWhenUsed/>
    <w:pPr>
      <w:spacing w:after="200"/>
    </w:pPr>
    <w:rPr>
      <w:b/>
      <w:bCs/>
    </w:rPr>
  </w:style>
  <w:style w:type="character" w:customStyle="1" w:styleId="CommentSubjectChar">
    <w:name w:val="Comment Subject Char"/>
    <w:basedOn w:val="DefaultParagraphFont"/>
    <w:link w:val="CommentSubject"/>
    <w:rPr>
      <w:b/>
      <w:bCs/>
      <w:lang w:val="fr-FR"/>
    </w:rPr>
  </w:style>
  <w:style w:type="paragraph" w:styleId="Revision">
    <w:name w:val="Revision"/>
    <w:hidden/>
    <w:uiPriority w:val="99"/>
    <w:semiHidden/>
  </w:style>
  <w:style w:type="character" w:styleId="Hyperlink">
    <w:name w:val="Hyperlink"/>
    <w:basedOn w:val="DefaultParagraphFont"/>
    <w:uiPriority w:val="99"/>
    <w:unhideWhenUsed/>
    <w:rPr>
      <w:rFonts w:ascii="EC Square Sans Pro" w:hAnsi="EC Square Sans Pro"/>
      <w:strike w:val="0"/>
      <w:dstrike w:val="0"/>
      <w:color w:val="007ACC"/>
      <w:u w:val="single" w:color="65BBC8"/>
      <w:effect w:val="none"/>
      <w:shd w:val="clear" w:color="auto" w:fill="auto"/>
      <w:lang w:val="fr-FR"/>
    </w:rPr>
  </w:style>
  <w:style w:type="table" w:styleId="LightShading-Accent6">
    <w:name w:val="Light Shading Accent 6"/>
    <w:basedOn w:val="TableNormal"/>
    <w:uiPriority w:val="60"/>
    <w:rPr>
      <w:color w:val="532477" w:themeColor="accent6" w:themeShade="BF"/>
      <w:lang w:eastAsia="en-GB"/>
    </w:rPr>
    <w:tblPr>
      <w:tblStyleRowBandSize w:val="1"/>
      <w:tblStyleColBandSize w:val="1"/>
      <w:tblBorders>
        <w:top w:val="single" w:sz="8" w:space="0" w:color="7030A0" w:themeColor="accent6"/>
        <w:bottom w:val="single" w:sz="8" w:space="0" w:color="7030A0" w:themeColor="accent6"/>
      </w:tblBorders>
    </w:tblPr>
    <w:tblStylePr w:type="fir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la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left w:val="nil"/>
          <w:right w:val="nil"/>
          <w:insideH w:val="nil"/>
          <w:insideV w:val="nil"/>
        </w:tcBorders>
        <w:shd w:val="clear" w:color="auto" w:fill="DCC5ED" w:themeFill="accent6" w:themeFillTint="3F"/>
      </w:tcPr>
    </w:tblStylePr>
  </w:style>
  <w:style w:type="paragraph" w:styleId="EndnoteText">
    <w:name w:val="endnote text"/>
    <w:basedOn w:val="Normal"/>
    <w:link w:val="EndnoteTextChar"/>
    <w:uiPriority w:val="99"/>
    <w:semiHidden/>
    <w:unhideWhenUsed/>
    <w:rPr>
      <w:rFonts w:eastAsia="Calibri"/>
    </w:rPr>
  </w:style>
  <w:style w:type="character" w:customStyle="1" w:styleId="EndnoteTextChar">
    <w:name w:val="Endnote Text Char"/>
    <w:basedOn w:val="DefaultParagraphFont"/>
    <w:link w:val="EndnoteText"/>
    <w:uiPriority w:val="99"/>
    <w:semiHidden/>
    <w:rPr>
      <w:rFonts w:eastAsia="Calibri"/>
      <w:lang w:val="fr-FR"/>
    </w:rPr>
  </w:style>
  <w:style w:type="character" w:styleId="EndnoteReference">
    <w:name w:val="endnote reference"/>
    <w:basedOn w:val="DefaultParagraphFont"/>
    <w:semiHidden/>
    <w:unhideWhenUsed/>
    <w:rPr>
      <w:rFonts w:ascii="EC Square Sans Pro" w:hAnsi="EC Square Sans Pro"/>
      <w:vertAlign w:val="superscript"/>
      <w:lang w:val="fr-FR"/>
    </w:rPr>
  </w:style>
  <w:style w:type="paragraph" w:styleId="ListBullet">
    <w:name w:val="List Bullet"/>
    <w:basedOn w:val="Normal"/>
    <w:uiPriority w:val="99"/>
    <w:semiHidden/>
    <w:unhideWhenUsed/>
    <w:pPr>
      <w:tabs>
        <w:tab w:val="num" w:pos="360"/>
      </w:tabs>
      <w:spacing w:before="120" w:after="120"/>
      <w:ind w:left="360" w:hanging="360"/>
      <w:contextualSpacing/>
      <w:jc w:val="both"/>
    </w:pPr>
    <w:rPr>
      <w:sz w:val="24"/>
    </w:rPr>
  </w:style>
  <w:style w:type="paragraph" w:styleId="ListBullet2">
    <w:name w:val="List Bullet 2"/>
    <w:basedOn w:val="Normal"/>
    <w:unhideWhenUsed/>
    <w:pPr>
      <w:tabs>
        <w:tab w:val="num" w:pos="643"/>
      </w:tabs>
      <w:spacing w:before="120" w:after="120"/>
      <w:ind w:left="643" w:hanging="360"/>
      <w:contextualSpacing/>
      <w:jc w:val="both"/>
    </w:pPr>
    <w:rPr>
      <w:sz w:val="24"/>
    </w:rPr>
  </w:style>
  <w:style w:type="paragraph" w:styleId="ListBullet3">
    <w:name w:val="List Bullet 3"/>
    <w:basedOn w:val="Normal"/>
    <w:uiPriority w:val="99"/>
    <w:semiHidden/>
    <w:unhideWhenUsed/>
    <w:pPr>
      <w:tabs>
        <w:tab w:val="num" w:pos="926"/>
      </w:tabs>
      <w:spacing w:before="120" w:after="120"/>
      <w:ind w:left="926" w:hanging="360"/>
      <w:contextualSpacing/>
      <w:jc w:val="both"/>
    </w:pPr>
    <w:rPr>
      <w:sz w:val="24"/>
    </w:rPr>
  </w:style>
  <w:style w:type="paragraph" w:styleId="ListBullet4">
    <w:name w:val="List Bullet 4"/>
    <w:basedOn w:val="Normal"/>
    <w:uiPriority w:val="99"/>
    <w:semiHidden/>
    <w:unhideWhenUsed/>
    <w:pPr>
      <w:tabs>
        <w:tab w:val="num" w:pos="1209"/>
      </w:tabs>
      <w:spacing w:before="120" w:after="120"/>
      <w:ind w:left="1209" w:hanging="360"/>
      <w:contextualSpacing/>
      <w:jc w:val="both"/>
    </w:pPr>
    <w:rPr>
      <w:sz w:val="24"/>
    </w:rPr>
  </w:style>
  <w:style w:type="table" w:styleId="LightShading-Accent5">
    <w:name w:val="Light Shading Accent 5"/>
    <w:basedOn w:val="TableNormal"/>
    <w:uiPriority w:val="60"/>
    <w:rPr>
      <w:color w:val="A41045" w:themeColor="accent5" w:themeShade="BF"/>
      <w:lang w:eastAsia="en-GB"/>
    </w:rPr>
    <w:tblPr>
      <w:tblStyleRowBandSize w:val="1"/>
      <w:tblStyleColBandSize w:val="1"/>
      <w:tblBorders>
        <w:top w:val="single" w:sz="8" w:space="0" w:color="DC165D" w:themeColor="accent5"/>
        <w:bottom w:val="single" w:sz="8" w:space="0" w:color="DC165D" w:themeColor="accent5"/>
      </w:tblBorders>
    </w:tblPr>
    <w:tblStylePr w:type="fir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la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left w:val="nil"/>
          <w:right w:val="nil"/>
          <w:insideH w:val="nil"/>
          <w:insideV w:val="nil"/>
        </w:tcBorders>
        <w:shd w:val="clear" w:color="auto" w:fill="F9C2D6" w:themeFill="accent5" w:themeFillTint="3F"/>
      </w:tcPr>
    </w:tblStylePr>
  </w:style>
  <w:style w:type="paragraph" w:styleId="TableofFigures">
    <w:name w:val="table of figures"/>
    <w:basedOn w:val="Normal"/>
    <w:next w:val="Normal"/>
    <w:uiPriority w:val="99"/>
    <w:semiHidden/>
    <w:unhideWhenUsed/>
    <w:pPr>
      <w:spacing w:before="120"/>
      <w:jc w:val="both"/>
    </w:pPr>
    <w:rPr>
      <w:sz w:val="24"/>
    </w:rPr>
  </w:style>
  <w:style w:type="paragraph" w:styleId="ListNumber">
    <w:name w:val="List Number"/>
    <w:basedOn w:val="Normal"/>
    <w:uiPriority w:val="99"/>
    <w:semiHidden/>
    <w:unhideWhenUsed/>
    <w:pPr>
      <w:tabs>
        <w:tab w:val="num" w:pos="360"/>
      </w:tabs>
      <w:spacing w:before="120" w:after="120"/>
      <w:ind w:left="360" w:hanging="360"/>
      <w:contextualSpacing/>
      <w:jc w:val="both"/>
    </w:pPr>
    <w:rPr>
      <w:sz w:val="24"/>
    </w:rPr>
  </w:style>
  <w:style w:type="paragraph" w:styleId="ListNumber2">
    <w:name w:val="List Number 2"/>
    <w:basedOn w:val="Normal"/>
    <w:uiPriority w:val="99"/>
    <w:semiHidden/>
    <w:unhideWhenUsed/>
    <w:pPr>
      <w:tabs>
        <w:tab w:val="num" w:pos="643"/>
      </w:tabs>
      <w:spacing w:before="120" w:after="120"/>
      <w:ind w:left="643" w:hanging="360"/>
      <w:contextualSpacing/>
      <w:jc w:val="both"/>
    </w:pPr>
    <w:rPr>
      <w:sz w:val="24"/>
    </w:rPr>
  </w:style>
  <w:style w:type="paragraph" w:styleId="ListNumber3">
    <w:name w:val="List Number 3"/>
    <w:basedOn w:val="Normal"/>
    <w:uiPriority w:val="99"/>
    <w:semiHidden/>
    <w:unhideWhenUsed/>
    <w:pPr>
      <w:tabs>
        <w:tab w:val="num" w:pos="926"/>
      </w:tabs>
      <w:spacing w:before="120" w:after="120"/>
      <w:ind w:left="926" w:hanging="360"/>
      <w:contextualSpacing/>
      <w:jc w:val="both"/>
    </w:pPr>
    <w:rPr>
      <w:sz w:val="24"/>
    </w:rPr>
  </w:style>
  <w:style w:type="paragraph" w:styleId="ListNumber4">
    <w:name w:val="List Number 4"/>
    <w:basedOn w:val="Normal"/>
    <w:uiPriority w:val="99"/>
    <w:semiHidden/>
    <w:unhideWhenUsed/>
    <w:pPr>
      <w:tabs>
        <w:tab w:val="num" w:pos="1209"/>
      </w:tabs>
      <w:spacing w:before="120" w:after="120"/>
      <w:ind w:left="1209" w:hanging="360"/>
      <w:contextualSpacing/>
      <w:jc w:val="both"/>
    </w:pPr>
    <w:rPr>
      <w:sz w:val="24"/>
    </w:rPr>
  </w:style>
  <w:style w:type="table" w:styleId="LightShading">
    <w:name w:val="Light Shading"/>
    <w:basedOn w:val="TableNormal"/>
    <w:uiPriority w:val="6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
    <w:name w:val="Body Text"/>
    <w:basedOn w:val="amprBodyText"/>
    <w:next w:val="Normal"/>
    <w:link w:val="BodyTextChar"/>
    <w:uiPriority w:val="89"/>
    <w:semiHidden/>
    <w:qFormat/>
  </w:style>
  <w:style w:type="character" w:customStyle="1" w:styleId="BodyTextChar">
    <w:name w:val="Body Text Char"/>
    <w:basedOn w:val="DefaultParagraphFont"/>
    <w:link w:val="BodyText"/>
    <w:uiPriority w:val="89"/>
    <w:semiHidden/>
    <w:rPr>
      <w:rFonts w:eastAsia="EC Square Sans Pro" w:cs="Times New Roman"/>
      <w:szCs w:val="21"/>
      <w:lang w:val="fr-FR" w:eastAsia="zh-CN"/>
    </w:rPr>
  </w:style>
  <w:style w:type="paragraph" w:customStyle="1" w:styleId="Quotes">
    <w:name w:val="Quotes"/>
    <w:basedOn w:val="Normal"/>
    <w:link w:val="QuotesChar"/>
    <w:qFormat/>
    <w:pPr>
      <w:ind w:left="851" w:right="851"/>
      <w:jc w:val="center"/>
    </w:pPr>
    <w:rPr>
      <w:rFonts w:eastAsia="Calibri"/>
      <w:i/>
      <w:color w:val="003399" w:themeColor="text2"/>
      <w:sz w:val="28"/>
      <w:lang w:eastAsia="zh-CN"/>
    </w:rPr>
  </w:style>
  <w:style w:type="character" w:customStyle="1" w:styleId="QuotesChar">
    <w:name w:val="Quotes Char"/>
    <w:basedOn w:val="DefaultParagraphFont"/>
    <w:link w:val="Quotes"/>
    <w:rPr>
      <w:rFonts w:eastAsia="Calibri"/>
      <w:i/>
      <w:color w:val="003399" w:themeColor="text2"/>
      <w:sz w:val="28"/>
      <w:lang w:val="fr-FR" w:eastAsia="zh-CN"/>
    </w:rPr>
  </w:style>
  <w:style w:type="paragraph" w:styleId="TOC1">
    <w:name w:val="toc 1"/>
    <w:basedOn w:val="Normal"/>
    <w:next w:val="Normal"/>
    <w:autoRedefine/>
    <w:uiPriority w:val="39"/>
    <w:unhideWhenUsed/>
    <w:qFormat/>
    <w:rsid w:val="006B431C"/>
    <w:pPr>
      <w:tabs>
        <w:tab w:val="right" w:leader="dot" w:pos="9072"/>
      </w:tabs>
      <w:spacing w:before="120" w:after="120"/>
      <w:jc w:val="both"/>
    </w:pPr>
    <w:rPr>
      <w:b/>
      <w:caps/>
    </w:rPr>
  </w:style>
  <w:style w:type="character" w:styleId="FollowedHyperlink">
    <w:name w:val="FollowedHyperlink"/>
    <w:basedOn w:val="DefaultParagraphFont"/>
    <w:uiPriority w:val="99"/>
    <w:semiHidden/>
    <w:unhideWhenUsed/>
    <w:rPr>
      <w:rFonts w:ascii="EC Square Sans Pro" w:hAnsi="EC Square Sans Pro"/>
      <w:color w:val="003399" w:themeColor="followedHyperlink"/>
      <w:u w:val="single"/>
      <w:lang w:val="fr-FR"/>
    </w:rPr>
  </w:style>
  <w:style w:type="table" w:styleId="MediumShading2-Accent1">
    <w:name w:val="Medium Shading 2 Accent 1"/>
    <w:basedOn w:val="TableNormal"/>
    <w:uiPriority w:val="64"/>
    <w:rPr>
      <w:rFonts w:ascii="Calibri" w:eastAsia="Calibri" w:hAnsi="Calibri" w:cs="Times New Roman"/>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13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139" w:themeFill="accent1"/>
      </w:tcPr>
    </w:tblStylePr>
    <w:tblStylePr w:type="lastCol">
      <w:rPr>
        <w:b/>
        <w:bCs/>
        <w:color w:val="FFFFFF" w:themeColor="background1"/>
      </w:rPr>
      <w:tblPr/>
      <w:tcPr>
        <w:tcBorders>
          <w:left w:val="nil"/>
          <w:right w:val="nil"/>
          <w:insideH w:val="nil"/>
          <w:insideV w:val="nil"/>
        </w:tcBorders>
        <w:shd w:val="clear" w:color="auto" w:fill="00813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ibliography">
    <w:name w:val="Bibliography"/>
    <w:basedOn w:val="Normal"/>
    <w:next w:val="Normal"/>
    <w:uiPriority w:val="37"/>
    <w:semiHidden/>
    <w:unhideWhenUsed/>
  </w:style>
  <w:style w:type="paragraph" w:styleId="BlockText">
    <w:name w:val="Block Text"/>
    <w:basedOn w:val="Normal"/>
    <w:uiPriority w:val="99"/>
    <w:semiHidden/>
    <w:unhideWhenUsed/>
    <w:pPr>
      <w:pBdr>
        <w:top w:val="single" w:sz="2" w:space="10" w:color="008139" w:themeColor="accent1" w:shadow="1" w:frame="1"/>
        <w:left w:val="single" w:sz="2" w:space="10" w:color="008139" w:themeColor="accent1" w:shadow="1" w:frame="1"/>
        <w:bottom w:val="single" w:sz="2" w:space="10" w:color="008139" w:themeColor="accent1" w:shadow="1" w:frame="1"/>
        <w:right w:val="single" w:sz="2" w:space="10" w:color="008139" w:themeColor="accent1" w:shadow="1" w:frame="1"/>
      </w:pBdr>
      <w:ind w:left="1152" w:right="1152"/>
    </w:pPr>
    <w:rPr>
      <w:rFonts w:eastAsiaTheme="minorEastAsia"/>
      <w:i/>
      <w:iCs/>
      <w:color w:val="008139" w:themeColor="accent1"/>
    </w:rPr>
  </w:style>
  <w:style w:type="paragraph" w:styleId="BodyText2">
    <w:name w:val="Body Text 2"/>
    <w:basedOn w:val="amprBodyText"/>
    <w:link w:val="BodyText2Char"/>
    <w:uiPriority w:val="89"/>
    <w:semiHidden/>
  </w:style>
  <w:style w:type="character" w:customStyle="1" w:styleId="BodyText2Char">
    <w:name w:val="Body Text 2 Char"/>
    <w:basedOn w:val="DefaultParagraphFont"/>
    <w:link w:val="BodyText2"/>
    <w:uiPriority w:val="89"/>
    <w:semiHidden/>
    <w:rPr>
      <w:rFonts w:eastAsia="EC Square Sans Pro" w:cs="Times New Roman"/>
      <w:szCs w:val="21"/>
      <w:lang w:val="fr-FR" w:eastAsia="zh-CN"/>
    </w:rPr>
  </w:style>
  <w:style w:type="paragraph" w:styleId="BodyText3">
    <w:name w:val="Body Text 3"/>
    <w:basedOn w:val="amprBodyText"/>
    <w:link w:val="BodyText3Char"/>
    <w:uiPriority w:val="89"/>
    <w:semiHidden/>
  </w:style>
  <w:style w:type="character" w:customStyle="1" w:styleId="BodyText3Char">
    <w:name w:val="Body Text 3 Char"/>
    <w:basedOn w:val="DefaultParagraphFont"/>
    <w:link w:val="BodyText3"/>
    <w:uiPriority w:val="89"/>
    <w:semiHidden/>
    <w:rPr>
      <w:rFonts w:eastAsia="EC Square Sans Pro" w:cs="Times New Roman"/>
      <w:szCs w:val="21"/>
      <w:lang w:val="fr-FR" w:eastAsia="zh-CN"/>
    </w:rPr>
  </w:style>
  <w:style w:type="paragraph" w:styleId="BodyTextFirstIndent">
    <w:name w:val="Body Text First Indent"/>
    <w:basedOn w:val="BodyText"/>
    <w:link w:val="BodyTextFirstIndentChar"/>
    <w:uiPriority w:val="99"/>
    <w:semiHidden/>
    <w:unhideWhenUsed/>
    <w:pPr>
      <w:ind w:firstLine="360"/>
    </w:pPr>
  </w:style>
  <w:style w:type="character" w:customStyle="1" w:styleId="BodyTextFirstIndentChar">
    <w:name w:val="Body Text First Indent Char"/>
    <w:basedOn w:val="BodyTextChar"/>
    <w:link w:val="BodyTextFirstIndent"/>
    <w:uiPriority w:val="99"/>
    <w:semiHidden/>
    <w:rPr>
      <w:rFonts w:eastAsia="EC Square Sans Pro" w:cs="Times New Roman"/>
      <w:color w:val="000000" w:themeColor="text1"/>
      <w:szCs w:val="21"/>
      <w:lang w:val="fr-FR" w:eastAsia="zh-CN"/>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basedOn w:val="DefaultParagraphFont"/>
    <w:link w:val="BodyTextIndent"/>
    <w:uiPriority w:val="99"/>
    <w:semiHidden/>
    <w:rPr>
      <w:lang w:val="fr-FR"/>
    </w:rPr>
  </w:style>
  <w:style w:type="paragraph" w:styleId="BodyTextFirstIndent2">
    <w:name w:val="Body Text First Indent 2"/>
    <w:basedOn w:val="BodyTextIndent"/>
    <w:link w:val="BodyTextFirstIndent2Char"/>
    <w:uiPriority w:val="99"/>
    <w:semiHidden/>
    <w:unhideWhenUsed/>
    <w:pPr>
      <w:spacing w:after="0"/>
      <w:ind w:left="360" w:firstLine="360"/>
    </w:pPr>
  </w:style>
  <w:style w:type="character" w:customStyle="1" w:styleId="BodyTextFirstIndent2Char">
    <w:name w:val="Body Text First Indent 2 Char"/>
    <w:basedOn w:val="BodyTextIndentChar"/>
    <w:link w:val="BodyTextFirstIndent2"/>
    <w:uiPriority w:val="99"/>
    <w:semiHidden/>
    <w:rPr>
      <w:lang w:val="fr-FR"/>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customStyle="1" w:styleId="BodyTextIndent2Char">
    <w:name w:val="Body Text Indent 2 Char"/>
    <w:basedOn w:val="DefaultParagraphFont"/>
    <w:link w:val="BodyTextIndent2"/>
    <w:uiPriority w:val="99"/>
    <w:semiHidden/>
    <w:rPr>
      <w:lang w:val="fr-FR"/>
    </w:rPr>
  </w:style>
  <w:style w:type="paragraph" w:styleId="BodyTextIndent3">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basedOn w:val="DefaultParagraphFont"/>
    <w:link w:val="BodyTextIndent3"/>
    <w:uiPriority w:val="99"/>
    <w:semiHidden/>
    <w:rPr>
      <w:sz w:val="16"/>
      <w:szCs w:val="16"/>
      <w:lang w:val="fr-FR"/>
    </w:rPr>
  </w:style>
  <w:style w:type="paragraph" w:styleId="Closing">
    <w:name w:val="Closing"/>
    <w:basedOn w:val="Normal"/>
    <w:link w:val="ClosingChar"/>
    <w:uiPriority w:val="99"/>
    <w:semiHidden/>
    <w:unhideWhenUsed/>
    <w:pPr>
      <w:ind w:left="4252"/>
    </w:pPr>
  </w:style>
  <w:style w:type="character" w:customStyle="1" w:styleId="ClosingChar">
    <w:name w:val="Closing Char"/>
    <w:basedOn w:val="DefaultParagraphFont"/>
    <w:link w:val="Closing"/>
    <w:uiPriority w:val="99"/>
    <w:semiHidden/>
    <w:rPr>
      <w:lang w:val="fr-FR"/>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lang w:val="fr-FR"/>
    </w:rPr>
  </w:style>
  <w:style w:type="paragraph" w:styleId="DocumentMap">
    <w:name w:val="Document Map"/>
    <w:basedOn w:val="Normal"/>
    <w:link w:val="DocumentMapChar"/>
    <w:semiHidden/>
    <w:unhideWhenUsed/>
    <w:rPr>
      <w:rFonts w:cs="Tahoma"/>
      <w:sz w:val="16"/>
      <w:szCs w:val="16"/>
    </w:rPr>
  </w:style>
  <w:style w:type="character" w:customStyle="1" w:styleId="DocumentMapChar">
    <w:name w:val="Document Map Char"/>
    <w:basedOn w:val="DefaultParagraphFont"/>
    <w:link w:val="DocumentMap"/>
    <w:semiHidden/>
    <w:rPr>
      <w:rFonts w:cs="Tahoma"/>
      <w:sz w:val="16"/>
      <w:szCs w:val="16"/>
      <w:lang w:val="fr-FR"/>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rPr>
      <w:lang w:val="fr-FR"/>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9"/>
    <w:semiHidden/>
    <w:unhideWhenUsed/>
    <w:rPr>
      <w:rFonts w:eastAsiaTheme="majorEastAsia" w:cstheme="majorBidi"/>
    </w:rPr>
  </w:style>
  <w:style w:type="character" w:styleId="HTMLAcronym">
    <w:name w:val="HTML Acronym"/>
    <w:basedOn w:val="DefaultParagraphFont"/>
    <w:uiPriority w:val="99"/>
    <w:semiHidden/>
    <w:unhideWhenUsed/>
    <w:rPr>
      <w:rFonts w:ascii="EC Square Sans Pro" w:hAnsi="EC Square Sans Pro"/>
      <w:lang w:val="fr-FR"/>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i/>
      <w:iCs/>
      <w:lang w:val="fr-FR"/>
    </w:rPr>
  </w:style>
  <w:style w:type="character" w:styleId="HTMLCite">
    <w:name w:val="HTML Cite"/>
    <w:basedOn w:val="DefaultParagraphFont"/>
    <w:uiPriority w:val="99"/>
    <w:semiHidden/>
    <w:unhideWhenUsed/>
    <w:rPr>
      <w:rFonts w:ascii="EC Square Sans Pro" w:hAnsi="EC Square Sans Pro"/>
      <w:i/>
      <w:iCs/>
      <w:lang w:val="fr-FR"/>
    </w:rPr>
  </w:style>
  <w:style w:type="character" w:styleId="HTMLCode">
    <w:name w:val="HTML Code"/>
    <w:basedOn w:val="DefaultParagraphFont"/>
    <w:uiPriority w:val="99"/>
    <w:semiHidden/>
    <w:unhideWhenUsed/>
    <w:rPr>
      <w:rFonts w:ascii="EC Square Sans Pro" w:hAnsi="EC Square Sans Pro" w:cs="Consolas"/>
      <w:sz w:val="20"/>
      <w:szCs w:val="20"/>
      <w:lang w:val="fr-FR"/>
    </w:rPr>
  </w:style>
  <w:style w:type="character" w:styleId="HTMLDefinition">
    <w:name w:val="HTML Definition"/>
    <w:basedOn w:val="DefaultParagraphFont"/>
    <w:uiPriority w:val="99"/>
    <w:semiHidden/>
    <w:unhideWhenUsed/>
    <w:rPr>
      <w:rFonts w:ascii="EC Square Sans Pro" w:hAnsi="EC Square Sans Pro"/>
      <w:i/>
      <w:iCs/>
      <w:lang w:val="fr-FR"/>
    </w:rPr>
  </w:style>
  <w:style w:type="character" w:styleId="HTMLKeyboard">
    <w:name w:val="HTML Keyboard"/>
    <w:basedOn w:val="DefaultParagraphFont"/>
    <w:uiPriority w:val="99"/>
    <w:semiHidden/>
    <w:unhideWhenUsed/>
    <w:rPr>
      <w:rFonts w:ascii="EC Square Sans Pro" w:hAnsi="EC Square Sans Pro" w:cs="Consolas"/>
      <w:sz w:val="20"/>
      <w:szCs w:val="20"/>
      <w:lang w:val="fr-FR"/>
    </w:rPr>
  </w:style>
  <w:style w:type="paragraph" w:styleId="HTMLPreformatted">
    <w:name w:val="HTML Preformatted"/>
    <w:basedOn w:val="Normal"/>
    <w:link w:val="HTMLPreformattedChar"/>
    <w:uiPriority w:val="99"/>
    <w:semiHidden/>
    <w:unhideWhenUsed/>
    <w:rPr>
      <w:rFonts w:cs="Consolas"/>
    </w:rPr>
  </w:style>
  <w:style w:type="character" w:customStyle="1" w:styleId="HTMLPreformattedChar">
    <w:name w:val="HTML Preformatted Char"/>
    <w:basedOn w:val="DefaultParagraphFont"/>
    <w:link w:val="HTMLPreformatted"/>
    <w:uiPriority w:val="99"/>
    <w:semiHidden/>
    <w:rPr>
      <w:rFonts w:cs="Consolas"/>
      <w:lang w:val="fr-FR"/>
    </w:rPr>
  </w:style>
  <w:style w:type="character" w:styleId="HTMLSample">
    <w:name w:val="HTML Sample"/>
    <w:basedOn w:val="DefaultParagraphFont"/>
    <w:uiPriority w:val="99"/>
    <w:semiHidden/>
    <w:unhideWhenUsed/>
    <w:rPr>
      <w:rFonts w:ascii="EC Square Sans Pro" w:hAnsi="EC Square Sans Pro" w:cs="Consolas"/>
      <w:sz w:val="24"/>
      <w:szCs w:val="24"/>
      <w:lang w:val="fr-FR"/>
    </w:rPr>
  </w:style>
  <w:style w:type="character" w:styleId="HTMLTypewriter">
    <w:name w:val="HTML Typewriter"/>
    <w:basedOn w:val="DefaultParagraphFont"/>
    <w:uiPriority w:val="99"/>
    <w:semiHidden/>
    <w:unhideWhenUsed/>
    <w:rPr>
      <w:rFonts w:ascii="EC Square Sans Pro" w:hAnsi="EC Square Sans Pro" w:cs="Consolas"/>
      <w:sz w:val="20"/>
      <w:szCs w:val="20"/>
      <w:lang w:val="fr-FR"/>
    </w:rPr>
  </w:style>
  <w:style w:type="character" w:styleId="HTMLVariable">
    <w:name w:val="HTML Variable"/>
    <w:basedOn w:val="DefaultParagraphFont"/>
    <w:uiPriority w:val="99"/>
    <w:semiHidden/>
    <w:unhideWhenUsed/>
    <w:rPr>
      <w:rFonts w:ascii="EC Square Sans Pro" w:hAnsi="EC Square Sans Pro"/>
      <w:i/>
      <w:iCs/>
      <w:lang w:val="fr-FR"/>
    </w:rPr>
  </w:style>
  <w:style w:type="paragraph" w:styleId="Index1">
    <w:name w:val="index 1"/>
    <w:basedOn w:val="Normal"/>
    <w:next w:val="Normal"/>
    <w:autoRedefine/>
    <w:uiPriority w:val="99"/>
    <w:semiHidden/>
    <w:unhideWhenUsed/>
    <w:pPr>
      <w:ind w:left="200" w:hanging="200"/>
    </w:pPr>
  </w:style>
  <w:style w:type="paragraph" w:styleId="Index2">
    <w:name w:val="index 2"/>
    <w:basedOn w:val="Normal"/>
    <w:next w:val="Normal"/>
    <w:autoRedefine/>
    <w:uiPriority w:val="99"/>
    <w:semiHidden/>
    <w:unhideWhenUsed/>
    <w:pPr>
      <w:ind w:left="400" w:hanging="200"/>
    </w:pPr>
  </w:style>
  <w:style w:type="paragraph" w:styleId="Index3">
    <w:name w:val="index 3"/>
    <w:basedOn w:val="Normal"/>
    <w:next w:val="Normal"/>
    <w:autoRedefine/>
    <w:uiPriority w:val="99"/>
    <w:semiHidden/>
    <w:unhideWhenUsed/>
    <w:pPr>
      <w:ind w:left="600" w:hanging="200"/>
    </w:pPr>
  </w:style>
  <w:style w:type="paragraph" w:styleId="Index4">
    <w:name w:val="index 4"/>
    <w:basedOn w:val="Normal"/>
    <w:next w:val="Normal"/>
    <w:autoRedefine/>
    <w:uiPriority w:val="99"/>
    <w:semiHidden/>
    <w:unhideWhenUsed/>
    <w:pPr>
      <w:ind w:left="800" w:hanging="200"/>
    </w:pPr>
  </w:style>
  <w:style w:type="paragraph" w:styleId="Index5">
    <w:name w:val="index 5"/>
    <w:basedOn w:val="Normal"/>
    <w:next w:val="Normal"/>
    <w:autoRedefine/>
    <w:uiPriority w:val="99"/>
    <w:semiHidden/>
    <w:unhideWhenUsed/>
    <w:pPr>
      <w:ind w:left="1000" w:hanging="200"/>
    </w:pPr>
  </w:style>
  <w:style w:type="paragraph" w:styleId="Index6">
    <w:name w:val="index 6"/>
    <w:basedOn w:val="Normal"/>
    <w:next w:val="Normal"/>
    <w:autoRedefine/>
    <w:uiPriority w:val="99"/>
    <w:semiHidden/>
    <w:unhideWhenUsed/>
    <w:pPr>
      <w:ind w:left="1200" w:hanging="200"/>
    </w:pPr>
  </w:style>
  <w:style w:type="paragraph" w:styleId="Index7">
    <w:name w:val="index 7"/>
    <w:basedOn w:val="Normal"/>
    <w:next w:val="Normal"/>
    <w:autoRedefine/>
    <w:uiPriority w:val="99"/>
    <w:semiHidden/>
    <w:unhideWhenUsed/>
    <w:pPr>
      <w:ind w:left="1400" w:hanging="200"/>
    </w:pPr>
  </w:style>
  <w:style w:type="paragraph" w:styleId="Index8">
    <w:name w:val="index 8"/>
    <w:basedOn w:val="Normal"/>
    <w:next w:val="Normal"/>
    <w:autoRedefine/>
    <w:uiPriority w:val="99"/>
    <w:semiHidden/>
    <w:unhideWhenUsed/>
    <w:pPr>
      <w:ind w:left="1600" w:hanging="200"/>
    </w:pPr>
  </w:style>
  <w:style w:type="paragraph" w:styleId="Index9">
    <w:name w:val="index 9"/>
    <w:basedOn w:val="Normal"/>
    <w:next w:val="Normal"/>
    <w:autoRedefine/>
    <w:uiPriority w:val="99"/>
    <w:semiHidden/>
    <w:unhideWhenUsed/>
    <w:pPr>
      <w:ind w:left="1800" w:hanging="200"/>
    </w:pPr>
  </w:style>
  <w:style w:type="paragraph" w:styleId="IndexHeading">
    <w:name w:val="index heading"/>
    <w:basedOn w:val="Normal"/>
    <w:next w:val="Index1"/>
    <w:uiPriority w:val="99"/>
    <w:semiHidden/>
    <w:unhideWhenUsed/>
    <w:rPr>
      <w:rFonts w:eastAsiaTheme="majorEastAsia" w:cstheme="majorBidi"/>
      <w:b/>
      <w:bCs/>
    </w:rPr>
  </w:style>
  <w:style w:type="character" w:styleId="LineNumber">
    <w:name w:val="line number"/>
    <w:basedOn w:val="DefaultParagraphFont"/>
    <w:uiPriority w:val="99"/>
    <w:semiHidden/>
    <w:unhideWhenUsed/>
    <w:rPr>
      <w:rFonts w:ascii="EC Square Sans Pro" w:hAnsi="EC Square Sans Pro"/>
      <w:lang w:val="fr-FR"/>
    </w:rPr>
  </w:style>
  <w:style w:type="paragraph" w:styleId="List">
    <w:name w:val="List"/>
    <w:basedOn w:val="Normal"/>
    <w:uiPriority w:val="99"/>
    <w:semiHidden/>
    <w:unhideWhenUsed/>
    <w:pPr>
      <w:ind w:left="283" w:hanging="283"/>
      <w:contextualSpacing/>
    </w:pPr>
  </w:style>
  <w:style w:type="paragraph" w:styleId="List2">
    <w:name w:val="List 2"/>
    <w:basedOn w:val="Normal"/>
    <w:uiPriority w:val="99"/>
    <w:semiHidden/>
    <w:unhideWhenUsed/>
    <w:pPr>
      <w:ind w:left="566" w:hanging="283"/>
      <w:contextualSpacing/>
    </w:pPr>
  </w:style>
  <w:style w:type="paragraph" w:styleId="List3">
    <w:name w:val="List 3"/>
    <w:basedOn w:val="Normal"/>
    <w:uiPriority w:val="99"/>
    <w:semiHidden/>
    <w:unhideWhenUsed/>
    <w:pPr>
      <w:ind w:left="849" w:hanging="283"/>
      <w:contextualSpacing/>
    </w:pPr>
  </w:style>
  <w:style w:type="paragraph" w:styleId="List4">
    <w:name w:val="List 4"/>
    <w:basedOn w:val="Normal"/>
    <w:uiPriority w:val="99"/>
    <w:semiHidden/>
    <w:unhideWhenUsed/>
    <w:pPr>
      <w:ind w:left="1132" w:hanging="283"/>
      <w:contextualSpacing/>
    </w:pPr>
  </w:style>
  <w:style w:type="paragraph" w:styleId="List5">
    <w:name w:val="List 5"/>
    <w:basedOn w:val="Normal"/>
    <w:uiPriority w:val="99"/>
    <w:semiHidden/>
    <w:unhideWhenUsed/>
    <w:pPr>
      <w:ind w:left="1415" w:hanging="283"/>
      <w:contextualSpacing/>
    </w:pPr>
  </w:style>
  <w:style w:type="paragraph" w:styleId="ListBullet5">
    <w:name w:val="List Bullet 5"/>
    <w:basedOn w:val="Normal"/>
    <w:uiPriority w:val="99"/>
    <w:semiHidden/>
    <w:unhideWhenUsed/>
    <w:pPr>
      <w:numPr>
        <w:numId w:val="1"/>
      </w:numPr>
      <w:contextualSpacing/>
    </w:pPr>
  </w:style>
  <w:style w:type="paragraph" w:styleId="ListContinue">
    <w:name w:val="List Continue"/>
    <w:basedOn w:val="Normal"/>
    <w:uiPriority w:val="99"/>
    <w:semiHidden/>
    <w:unhideWhenUsed/>
    <w:pPr>
      <w:spacing w:after="120"/>
      <w:ind w:left="283"/>
      <w:contextualSpacing/>
    </w:pPr>
  </w:style>
  <w:style w:type="paragraph" w:styleId="ListContinue2">
    <w:name w:val="List Continue 2"/>
    <w:basedOn w:val="Normal"/>
    <w:uiPriority w:val="99"/>
    <w:semiHidden/>
    <w:unhideWhenUsed/>
    <w:pPr>
      <w:spacing w:after="120"/>
      <w:ind w:left="566"/>
      <w:contextualSpacing/>
    </w:pPr>
  </w:style>
  <w:style w:type="paragraph" w:styleId="ListContinue3">
    <w:name w:val="List Continue 3"/>
    <w:basedOn w:val="Normal"/>
    <w:uiPriority w:val="99"/>
    <w:semiHidden/>
    <w:unhideWhenUsed/>
    <w:pPr>
      <w:spacing w:after="120"/>
      <w:ind w:left="849"/>
      <w:contextualSpacing/>
    </w:pPr>
  </w:style>
  <w:style w:type="paragraph" w:styleId="ListContinue4">
    <w:name w:val="List Continue 4"/>
    <w:basedOn w:val="Normal"/>
    <w:uiPriority w:val="99"/>
    <w:semiHidden/>
    <w:unhideWhenUsed/>
    <w:pPr>
      <w:spacing w:after="120"/>
      <w:ind w:left="1132"/>
      <w:contextualSpacing/>
    </w:pPr>
  </w:style>
  <w:style w:type="paragraph" w:styleId="ListContinue5">
    <w:name w:val="List Continue 5"/>
    <w:basedOn w:val="Normal"/>
    <w:uiPriority w:val="99"/>
    <w:semiHidden/>
    <w:unhideWhenUsed/>
    <w:pPr>
      <w:spacing w:after="120"/>
      <w:ind w:left="1415"/>
      <w:contextualSpacing/>
    </w:pPr>
  </w:style>
  <w:style w:type="paragraph" w:styleId="ListNumber5">
    <w:name w:val="List Number 5"/>
    <w:basedOn w:val="Normal"/>
    <w:uiPriority w:val="99"/>
    <w:semiHidden/>
    <w:unhideWhenUsed/>
    <w:pPr>
      <w:numPr>
        <w:numId w:val="2"/>
      </w:numPr>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pPr>
    <w:rPr>
      <w:rFonts w:cs="Consolas"/>
    </w:rPr>
  </w:style>
  <w:style w:type="character" w:customStyle="1" w:styleId="MacroTextChar">
    <w:name w:val="Macro Text Char"/>
    <w:basedOn w:val="DefaultParagraphFont"/>
    <w:link w:val="MacroText"/>
    <w:uiPriority w:val="99"/>
    <w:semiHidden/>
    <w:rPr>
      <w:rFonts w:cs="Consolas"/>
      <w:lang w:val="fr-FR"/>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Pr>
      <w:rFonts w:eastAsiaTheme="majorEastAsia" w:cstheme="majorBidi"/>
      <w:sz w:val="24"/>
      <w:szCs w:val="24"/>
      <w:shd w:val="pct20" w:color="auto" w:fill="auto"/>
      <w:lang w:val="fr-FR"/>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rPr>
      <w:lang w:val="fr-FR"/>
    </w:rPr>
  </w:style>
  <w:style w:type="character" w:styleId="PageNumber">
    <w:name w:val="page number"/>
    <w:basedOn w:val="DefaultParagraphFont"/>
    <w:unhideWhenUsed/>
    <w:rPr>
      <w:rFonts w:ascii="EC Square Sans Pro" w:hAnsi="EC Square Sans Pro"/>
      <w:lang w:val="fr-FR"/>
    </w:rPr>
  </w:style>
  <w:style w:type="character" w:styleId="PlaceholderText">
    <w:name w:val="Placeholder Text"/>
    <w:basedOn w:val="DefaultParagraphFont"/>
    <w:uiPriority w:val="99"/>
    <w:semiHidden/>
    <w:rPr>
      <w:rFonts w:ascii="EC Square Sans Pro" w:hAnsi="EC Square Sans Pro"/>
      <w:color w:val="808080"/>
      <w:lang w:val="fr-FR"/>
    </w:rPr>
  </w:style>
  <w:style w:type="paragraph" w:styleId="PlainText">
    <w:name w:val="Plain Text"/>
    <w:basedOn w:val="Normal"/>
    <w:link w:val="PlainTextChar"/>
    <w:uiPriority w:val="99"/>
    <w:semiHidden/>
    <w:unhideWhenUsed/>
    <w:rPr>
      <w:rFonts w:cs="Consolas"/>
      <w:sz w:val="21"/>
      <w:szCs w:val="21"/>
    </w:rPr>
  </w:style>
  <w:style w:type="character" w:customStyle="1" w:styleId="PlainTextChar">
    <w:name w:val="Plain Text Char"/>
    <w:basedOn w:val="DefaultParagraphFont"/>
    <w:link w:val="PlainText"/>
    <w:uiPriority w:val="99"/>
    <w:semiHidden/>
    <w:rPr>
      <w:rFonts w:cs="Consolas"/>
      <w:sz w:val="21"/>
      <w:szCs w:val="21"/>
      <w:lang w:val="fr-FR"/>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lang w:val="fr-FR"/>
    </w:rPr>
  </w:style>
  <w:style w:type="paragraph" w:styleId="Signature">
    <w:name w:val="Signature"/>
    <w:link w:val="SignatureChar"/>
    <w:uiPriority w:val="99"/>
    <w:pPr>
      <w:spacing w:before="400"/>
      <w:contextualSpacing/>
    </w:pPr>
    <w:rPr>
      <w:sz w:val="22"/>
      <w:szCs w:val="22"/>
    </w:rPr>
  </w:style>
  <w:style w:type="character" w:customStyle="1" w:styleId="SignatureChar">
    <w:name w:val="Signature Char"/>
    <w:basedOn w:val="DefaultParagraphFont"/>
    <w:link w:val="Signature"/>
    <w:uiPriority w:val="99"/>
    <w:rPr>
      <w:sz w:val="22"/>
      <w:szCs w:val="22"/>
      <w:lang w:val="fr-FR"/>
    </w:rPr>
  </w:style>
  <w:style w:type="paragraph" w:styleId="TableofAuthorities">
    <w:name w:val="table of authorities"/>
    <w:basedOn w:val="Normal"/>
    <w:next w:val="Normal"/>
    <w:uiPriority w:val="99"/>
    <w:semiHidden/>
    <w:unhideWhenUsed/>
    <w:pPr>
      <w:ind w:left="200" w:hanging="200"/>
    </w:pPr>
  </w:style>
  <w:style w:type="paragraph" w:styleId="TOAHeading">
    <w:name w:val="toa heading"/>
    <w:basedOn w:val="amprH1TITLE-noTOC"/>
    <w:next w:val="Normal"/>
    <w:uiPriority w:val="99"/>
    <w:semiHidden/>
    <w:unhideWhenUsed/>
  </w:style>
  <w:style w:type="character" w:customStyle="1" w:styleId="BOLDBLUE">
    <w:name w:val="BOLD BLUE"/>
    <w:basedOn w:val="BodyTextChar"/>
    <w:uiPriority w:val="40"/>
    <w:semiHidden/>
    <w:qFormat/>
    <w:rPr>
      <w:rFonts w:eastAsia="EC Square Sans Pro" w:cs="Times New Roman"/>
      <w:b/>
      <w:color w:val="003399" w:themeColor="text2"/>
      <w:szCs w:val="21"/>
      <w:lang w:val="fr-FR" w:eastAsia="fr-BE"/>
    </w:rPr>
  </w:style>
  <w:style w:type="table" w:styleId="ListTable2-Accent2">
    <w:name w:val="List Table 2 Accent 2"/>
    <w:basedOn w:val="TableNormal"/>
    <w:uiPriority w:val="47"/>
    <w:pPr>
      <w:spacing w:after="0" w:line="240" w:lineRule="auto"/>
    </w:pPr>
    <w:tblPr>
      <w:tblStyleRowBandSize w:val="1"/>
      <w:tblStyleColBandSize w:val="1"/>
      <w:tblBorders>
        <w:top w:val="single" w:sz="4" w:space="0" w:color="FD9C54" w:themeColor="accent2" w:themeTint="99"/>
        <w:bottom w:val="single" w:sz="4" w:space="0" w:color="FD9C54" w:themeColor="accent2" w:themeTint="99"/>
        <w:insideH w:val="single" w:sz="4" w:space="0" w:color="FD9C5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paragraph" w:styleId="Header">
    <w:name w:val="header"/>
    <w:basedOn w:val="amprHeader-Right"/>
    <w:link w:val="HeaderChar"/>
    <w:unhideWhenUsed/>
  </w:style>
  <w:style w:type="character" w:customStyle="1" w:styleId="HeaderChar">
    <w:name w:val="Header Char"/>
    <w:basedOn w:val="DefaultParagraphFont"/>
    <w:link w:val="Header"/>
    <w:rPr>
      <w:rFonts w:eastAsia="EC Square Sans Pro" w:cs="Times New Roman"/>
      <w:color w:val="767676"/>
      <w:szCs w:val="21"/>
      <w:lang w:val="fr-FR" w:eastAsia="zh-CN"/>
    </w:rPr>
  </w:style>
  <w:style w:type="paragraph" w:styleId="NormalWeb">
    <w:name w:val="Normal (Web)"/>
    <w:basedOn w:val="Normal"/>
    <w:uiPriority w:val="99"/>
    <w:unhideWhenUsed/>
    <w:pPr>
      <w:spacing w:before="100" w:beforeAutospacing="1" w:after="100" w:afterAutospacing="1"/>
    </w:pPr>
    <w:rPr>
      <w:rFonts w:ascii="Times New Roman" w:eastAsia="Times New Roman" w:hAnsi="Times New Roman"/>
      <w:sz w:val="24"/>
      <w:szCs w:val="24"/>
      <w:lang w:eastAsia="en-GB"/>
    </w:rPr>
  </w:style>
  <w:style w:type="paragraph" w:styleId="FootnoteText">
    <w:name w:val="footnote text"/>
    <w:aliases w:val="fn,footnote text,footnote text Char Char,Car,Footnote Text Char2 Char,Footnote Text Char Char Char1,Footnote Text Char1 Char Char Char,Footnote Text Char2 Char Char Char Char,Footnote Text Char1 Char1 Char Char Char Char,Car Car Ca"/>
    <w:basedOn w:val="BASE-STYLE-TEXT"/>
    <w:link w:val="FootnoteTextChar"/>
    <w:uiPriority w:val="99"/>
    <w:unhideWhenUsed/>
    <w:qFormat/>
    <w:pPr>
      <w:spacing w:after="0" w:line="240" w:lineRule="auto"/>
      <w:ind w:left="357" w:hanging="357"/>
      <w:jc w:val="left"/>
    </w:pPr>
    <w:rPr>
      <w:sz w:val="20"/>
      <w:szCs w:val="20"/>
    </w:rPr>
  </w:style>
  <w:style w:type="character" w:customStyle="1" w:styleId="FootnoteTextChar">
    <w:name w:val="Footnote Text Char"/>
    <w:aliases w:val="fn Char,footnote text Char,footnote text Char Char Char,Car Char,Footnote Text Char2 Char Char,Footnote Text Char Char Char1 Char,Footnote Text Char1 Char Char Char Char,Footnote Text Char2 Char Char Char Char Char,Car Car Ca Char"/>
    <w:basedOn w:val="DefaultParagraphFont"/>
    <w:link w:val="FootnoteText"/>
    <w:uiPriority w:val="99"/>
    <w:qFormat/>
    <w:rPr>
      <w:rFonts w:eastAsia="EC Square Sans Pro" w:cs="Times New Roman"/>
      <w:color w:val="000000" w:themeColor="text1"/>
      <w:lang w:val="fr-FR" w:eastAsia="zh-CN"/>
    </w:rPr>
  </w:style>
  <w:style w:type="paragraph" w:customStyle="1" w:styleId="amprTable-ChartSOURCEandPhotoCAPTION">
    <w:name w:val="[ampr] Table-Chart SOURCE and Photo CAPTION"/>
    <w:next w:val="amprBodyText"/>
    <w:uiPriority w:val="2"/>
    <w:qFormat/>
    <w:pPr>
      <w:spacing w:before="40"/>
      <w:contextualSpacing/>
    </w:pPr>
    <w:rPr>
      <w:rFonts w:eastAsia="Calibri"/>
      <w:iCs/>
      <w:noProof/>
      <w:sz w:val="16"/>
      <w:szCs w:val="16"/>
      <w:lang w:eastAsia="fr-BE"/>
    </w:rPr>
  </w:style>
  <w:style w:type="table" w:customStyle="1" w:styleId="AMPR2021">
    <w:name w:val="AMPR_2021"/>
    <w:basedOn w:val="TableNormal"/>
    <w:uiPriority w:val="99"/>
    <w:pPr>
      <w:spacing w:before="100" w:after="100"/>
    </w:pPr>
    <w:tblPr>
      <w:tblStyleRowBandSize w:val="1"/>
      <w:tblStyleColBandSize w:val="1"/>
      <w:tblBorders>
        <w:top w:val="single" w:sz="4" w:space="0" w:color="8C8C8C"/>
        <w:bottom w:val="single" w:sz="4" w:space="0" w:color="8C8C8C"/>
        <w:insideH w:val="single" w:sz="4" w:space="0" w:color="8C8C8C"/>
      </w:tblBorders>
    </w:tblPr>
    <w:trPr>
      <w:cantSplit/>
    </w:trPr>
    <w:tblStylePr w:type="firstRow">
      <w:pPr>
        <w:wordWrap/>
        <w:jc w:val="center"/>
      </w:pPr>
      <w:rPr>
        <w:b/>
        <w:color w:val="FFFFFF" w:themeColor="background1"/>
      </w:rPr>
      <w:tblPr/>
      <w:tcPr>
        <w:tcBorders>
          <w:top w:val="nil"/>
          <w:left w:val="nil"/>
          <w:bottom w:val="nil"/>
          <w:right w:val="nil"/>
          <w:insideH w:val="nil"/>
          <w:insideV w:val="nil"/>
          <w:tl2br w:val="nil"/>
          <w:tr2bl w:val="nil"/>
        </w:tcBorders>
        <w:shd w:val="clear" w:color="auto" w:fill="003399" w:themeFill="text2"/>
      </w:tcPr>
    </w:tblStylePr>
    <w:tblStylePr w:type="lastRow">
      <w:rPr>
        <w:b/>
        <w:color w:val="003399" w:themeColor="text2"/>
      </w:rPr>
      <w:tblPr/>
      <w:tcPr>
        <w:tcBorders>
          <w:bottom w:val="nil"/>
        </w:tcBorders>
        <w:shd w:val="clear" w:color="auto" w:fill="FFFFFF" w:themeFill="background1"/>
      </w:tcPr>
    </w:tblStylePr>
    <w:tblStylePr w:type="firstCol">
      <w:pPr>
        <w:wordWrap/>
        <w:spacing w:beforeLines="0" w:before="100" w:beforeAutospacing="0" w:afterLines="0" w:after="100" w:afterAutospacing="0" w:line="22" w:lineRule="atLeast"/>
        <w:contextualSpacing w:val="0"/>
        <w:jc w:val="left"/>
      </w:pPr>
      <w:rPr>
        <w:b/>
        <w:i w:val="0"/>
        <w:color w:val="008139" w:themeColor="accent1"/>
      </w:rPr>
    </w:tblStylePr>
    <w:tblStylePr w:type="lastCol">
      <w:rPr>
        <w:b/>
      </w:rPr>
    </w:tblStylePr>
    <w:tblStylePr w:type="band2Vert">
      <w:rPr>
        <w:b w:val="0"/>
      </w:rPr>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tblStylePr w:type="band1Horz">
      <w:rPr>
        <w:b w:val="0"/>
      </w:rPr>
      <w:tblPr/>
      <w:tcPr>
        <w:tcBorders>
          <w:top w:val="single" w:sz="4" w:space="0" w:color="8C8C8C"/>
          <w:left w:val="nil"/>
          <w:bottom w:val="single" w:sz="4" w:space="0" w:color="8C8C8C"/>
          <w:right w:val="nil"/>
          <w:insideH w:val="nil"/>
          <w:insideV w:val="nil"/>
          <w:tl2br w:val="nil"/>
          <w:tr2bl w:val="nil"/>
        </w:tcBorders>
      </w:tcPr>
    </w:tblStylePr>
    <w:tblStylePr w:type="band2Horz">
      <w:rPr>
        <w:b w:val="0"/>
      </w:rPr>
      <w:tblPr/>
      <w:tcPr>
        <w:tcBorders>
          <w:top w:val="single" w:sz="4" w:space="0" w:color="8C8C8C"/>
          <w:left w:val="nil"/>
          <w:bottom w:val="single" w:sz="4" w:space="0" w:color="8C8C8C"/>
          <w:right w:val="nil"/>
          <w:insideH w:val="nil"/>
          <w:insideV w:val="nil"/>
          <w:tl2br w:val="nil"/>
          <w:tr2bl w:val="nil"/>
        </w:tcBorders>
        <w:shd w:val="clear" w:color="auto" w:fill="F2F2F2" w:themeFill="background1" w:themeFillShade="F2"/>
      </w:tcPr>
    </w:tblStylePr>
  </w:style>
  <w:style w:type="numbering" w:customStyle="1" w:styleId="Style1">
    <w:name w:val="Style1"/>
    <w:uiPriority w:val="99"/>
    <w:pPr>
      <w:numPr>
        <w:numId w:val="3"/>
      </w:numPr>
    </w:pPr>
  </w:style>
  <w:style w:type="paragraph" w:styleId="Caption">
    <w:name w:val="caption"/>
    <w:basedOn w:val="Normal"/>
    <w:next w:val="Normal"/>
    <w:link w:val="CaptionChar"/>
    <w:unhideWhenUsed/>
    <w:qFormat/>
    <w:pPr>
      <w:spacing w:before="0" w:after="200"/>
    </w:pPr>
    <w:rPr>
      <w:i/>
      <w:iCs/>
      <w:color w:val="003399" w:themeColor="text2"/>
      <w:sz w:val="18"/>
      <w:szCs w:val="18"/>
    </w:rPr>
  </w:style>
  <w:style w:type="paragraph" w:styleId="CommentText">
    <w:name w:val="annotation text"/>
    <w:basedOn w:val="Normal"/>
    <w:link w:val="CommentTextChar"/>
    <w:uiPriority w:val="99"/>
    <w:unhideWhenUsed/>
    <w:qFormat/>
  </w:style>
  <w:style w:type="character" w:customStyle="1" w:styleId="CommentTextChar">
    <w:name w:val="Comment Text Char"/>
    <w:basedOn w:val="DefaultParagraphFont"/>
    <w:link w:val="CommentText"/>
    <w:uiPriority w:val="99"/>
    <w:rPr>
      <w:lang w:val="fr-FR"/>
    </w:rPr>
  </w:style>
  <w:style w:type="paragraph" w:styleId="IntenseQuote">
    <w:name w:val="Intense Quote"/>
    <w:basedOn w:val="Normal"/>
    <w:next w:val="Normal"/>
    <w:link w:val="IntenseQuoteChar"/>
    <w:uiPriority w:val="30"/>
    <w:semiHidden/>
    <w:pPr>
      <w:keepLines/>
      <w:pBdr>
        <w:top w:val="single" w:sz="4" w:space="10" w:color="008139" w:themeColor="accent1"/>
        <w:bottom w:val="single" w:sz="4" w:space="10" w:color="008139" w:themeColor="accent1"/>
      </w:pBdr>
      <w:spacing w:before="360" w:after="360"/>
      <w:ind w:left="851" w:right="851"/>
      <w:jc w:val="center"/>
    </w:pPr>
    <w:rPr>
      <w:i/>
      <w:iCs/>
      <w:color w:val="003399" w:themeColor="text2"/>
    </w:rPr>
  </w:style>
  <w:style w:type="character" w:customStyle="1" w:styleId="IntenseQuoteChar">
    <w:name w:val="Intense Quote Char"/>
    <w:basedOn w:val="DefaultParagraphFont"/>
    <w:link w:val="IntenseQuote"/>
    <w:uiPriority w:val="30"/>
    <w:rPr>
      <w:i/>
      <w:iCs/>
      <w:color w:val="003399" w:themeColor="text2"/>
      <w:lang w:val="fr-FR"/>
    </w:rPr>
  </w:style>
  <w:style w:type="paragraph" w:styleId="NoSpacing">
    <w:name w:val="No Spacing"/>
    <w:uiPriority w:val="1"/>
    <w:pPr>
      <w:spacing w:before="0" w:after="0"/>
    </w:pPr>
  </w:style>
  <w:style w:type="paragraph" w:customStyle="1" w:styleId="BASE-STYLE-TEXT">
    <w:name w:val="_BASE-STYLE-TEXT"/>
    <w:next w:val="Normal"/>
    <w:uiPriority w:val="40"/>
    <w:semiHidden/>
    <w:pPr>
      <w:spacing w:before="0" w:after="200"/>
      <w:jc w:val="both"/>
    </w:pPr>
    <w:rPr>
      <w:rFonts w:eastAsia="EC Square Sans Pro" w:cs="Times New Roman"/>
      <w:color w:val="000000" w:themeColor="text1"/>
      <w:sz w:val="18"/>
      <w:szCs w:val="21"/>
      <w:lang w:eastAsia="zh-CN"/>
    </w:rPr>
  </w:style>
  <w:style w:type="paragraph" w:customStyle="1" w:styleId="BASE-STYLE-HEADINGS">
    <w:name w:val="_BASE-STYLE-HEADINGS"/>
    <w:basedOn w:val="BASE-STYLE-TEXT"/>
    <w:next w:val="Normal"/>
    <w:uiPriority w:val="40"/>
    <w:semiHidden/>
  </w:style>
  <w:style w:type="paragraph" w:customStyle="1" w:styleId="amprboxBLUEtext">
    <w:name w:val="[ampr box BLUE] text"/>
    <w:basedOn w:val="BASE-STYLE-TEXT"/>
    <w:uiPriority w:val="5"/>
    <w:qFormat/>
    <w:pPr>
      <w:pBdr>
        <w:top w:val="single" w:sz="12" w:space="8" w:color="003399" w:themeColor="text2"/>
        <w:left w:val="single" w:sz="12" w:space="8" w:color="003399" w:themeColor="text2"/>
        <w:bottom w:val="single" w:sz="12" w:space="8" w:color="003399" w:themeColor="text2"/>
        <w:right w:val="single" w:sz="12" w:space="8" w:color="003399" w:themeColor="text2"/>
      </w:pBdr>
      <w:shd w:val="clear" w:color="auto" w:fill="003399" w:themeFill="text2"/>
      <w:spacing w:before="240" w:after="240"/>
    </w:pPr>
    <w:rPr>
      <w:color w:val="FFFFFF" w:themeColor="background1"/>
      <w:sz w:val="20"/>
      <w:lang w:eastAsia="fr-BE"/>
    </w:rPr>
  </w:style>
  <w:style w:type="paragraph" w:customStyle="1" w:styleId="amprboxGREENdashedbulletlist">
    <w:name w:val="[ampr box GREEN dashed] bullet list"/>
    <w:basedOn w:val="amprboxGREENdashedtext"/>
    <w:uiPriority w:val="5"/>
    <w:qFormat/>
    <w:pPr>
      <w:numPr>
        <w:numId w:val="7"/>
      </w:numPr>
      <w:spacing w:before="60" w:after="60"/>
      <w:ind w:left="357" w:hanging="357"/>
    </w:pPr>
  </w:style>
  <w:style w:type="paragraph" w:customStyle="1" w:styleId="amprboxGREENdashedheading">
    <w:name w:val="[ampr box GREEN dashed] heading"/>
    <w:basedOn w:val="amprboxGREENdashedtext"/>
    <w:next w:val="Normal"/>
    <w:uiPriority w:val="5"/>
    <w:qFormat/>
    <w:pPr>
      <w:keepNext/>
    </w:pPr>
    <w:rPr>
      <w:b/>
      <w:color w:val="008139" w:themeColor="accent1"/>
    </w:rPr>
  </w:style>
  <w:style w:type="paragraph" w:customStyle="1" w:styleId="amprboxGREENdashedtext">
    <w:name w:val="[ampr box GREEN dashed] text"/>
    <w:basedOn w:val="BASE-STYLE-TEXT"/>
    <w:uiPriority w:val="5"/>
    <w:qFormat/>
    <w:pPr>
      <w:keepLines/>
      <w:pBdr>
        <w:top w:val="dashSmallGap" w:sz="12" w:space="8" w:color="008139" w:themeColor="accent1"/>
        <w:left w:val="dashSmallGap" w:sz="12" w:space="8" w:color="008139" w:themeColor="accent1"/>
        <w:bottom w:val="dashSmallGap" w:sz="12" w:space="8" w:color="008139" w:themeColor="accent1"/>
        <w:right w:val="dashSmallGap" w:sz="12" w:space="8" w:color="008139" w:themeColor="accent1"/>
      </w:pBdr>
      <w:spacing w:before="240" w:after="240"/>
    </w:pPr>
    <w:rPr>
      <w:sz w:val="20"/>
      <w:lang w:eastAsia="fr-BE"/>
    </w:rPr>
  </w:style>
  <w:style w:type="character" w:customStyle="1" w:styleId="amprcharCharttitle">
    <w:name w:val="[ampr char] Chart title"/>
    <w:qFormat/>
    <w:rsid w:val="00B56BE7"/>
    <w:rPr>
      <w:b/>
      <w:color w:val="DE6002" w:themeColor="accent2"/>
      <w:spacing w:val="1"/>
      <w:bdr w:val="none" w:sz="0" w:space="0" w:color="auto"/>
      <w:shd w:val="clear" w:color="auto" w:fill="auto"/>
      <w:lang w:val="fr-FR"/>
    </w:rPr>
  </w:style>
  <w:style w:type="numbering" w:customStyle="1" w:styleId="amprLISTblackbullets">
    <w:name w:val="[ampr LIST black]  bullets"/>
    <w:uiPriority w:val="99"/>
    <w:pPr>
      <w:numPr>
        <w:numId w:val="4"/>
      </w:numPr>
    </w:pPr>
  </w:style>
  <w:style w:type="paragraph" w:customStyle="1" w:styleId="amprLISTblackbullets-L1">
    <w:name w:val="[ampr LIST black] bullets - L1"/>
    <w:basedOn w:val="BASE-STYLE-TEXT"/>
    <w:uiPriority w:val="5"/>
    <w:qFormat/>
    <w:pPr>
      <w:numPr>
        <w:numId w:val="5"/>
      </w:numPr>
      <w:spacing w:before="60" w:after="60"/>
    </w:pPr>
    <w:rPr>
      <w:sz w:val="20"/>
      <w:lang w:eastAsia="fr-BE"/>
    </w:rPr>
  </w:style>
  <w:style w:type="paragraph" w:customStyle="1" w:styleId="amprLISTblackbullets-L2">
    <w:name w:val="[ampr LIST black] bullets - L2"/>
    <w:basedOn w:val="BASE-STYLE-TEXT"/>
    <w:uiPriority w:val="5"/>
    <w:qFormat/>
    <w:pPr>
      <w:numPr>
        <w:ilvl w:val="1"/>
        <w:numId w:val="5"/>
      </w:numPr>
      <w:spacing w:before="60" w:after="60"/>
      <w:ind w:left="1434" w:hanging="357"/>
    </w:pPr>
    <w:rPr>
      <w:sz w:val="20"/>
      <w:lang w:eastAsia="fr-BE"/>
    </w:rPr>
  </w:style>
  <w:style w:type="numbering" w:customStyle="1" w:styleId="amprLISTgreenbullets">
    <w:name w:val="[ampr LIST green] bullets"/>
    <w:uiPriority w:val="99"/>
    <w:pPr>
      <w:numPr>
        <w:numId w:val="6"/>
      </w:numPr>
    </w:pPr>
  </w:style>
  <w:style w:type="paragraph" w:customStyle="1" w:styleId="amprLISTgreenbullets-L1">
    <w:name w:val="[ampr LIST green] bullets - L1"/>
    <w:basedOn w:val="BASE-STYLE-TEXT"/>
    <w:uiPriority w:val="5"/>
    <w:qFormat/>
    <w:pPr>
      <w:numPr>
        <w:numId w:val="11"/>
      </w:numPr>
      <w:spacing w:before="60" w:after="60"/>
    </w:pPr>
    <w:rPr>
      <w:sz w:val="20"/>
      <w:lang w:eastAsia="fr-BE"/>
    </w:rPr>
  </w:style>
  <w:style w:type="paragraph" w:customStyle="1" w:styleId="amprLISTgreenbullets-L1consecutiveparagraph">
    <w:name w:val="[ampr LIST green] bullets - L1 (consecutive paragraph)"/>
    <w:basedOn w:val="amprLISTgreenbullets-L1"/>
    <w:uiPriority w:val="5"/>
    <w:qFormat/>
    <w:pPr>
      <w:numPr>
        <w:numId w:val="0"/>
      </w:numPr>
      <w:ind w:left="720"/>
    </w:pPr>
  </w:style>
  <w:style w:type="paragraph" w:customStyle="1" w:styleId="amprLISTgreenbullets-L2">
    <w:name w:val="[ampr LIST green] bullets - L2"/>
    <w:basedOn w:val="BASE-STYLE-TEXT"/>
    <w:uiPriority w:val="5"/>
    <w:qFormat/>
    <w:pPr>
      <w:numPr>
        <w:ilvl w:val="1"/>
        <w:numId w:val="11"/>
      </w:numPr>
      <w:spacing w:before="60" w:after="60"/>
      <w:ind w:left="1434" w:hanging="357"/>
    </w:pPr>
    <w:rPr>
      <w:sz w:val="20"/>
      <w:lang w:eastAsia="fr-BE"/>
    </w:rPr>
  </w:style>
  <w:style w:type="paragraph" w:customStyle="1" w:styleId="OPcomment">
    <w:name w:val="OP comment"/>
    <w:uiPriority w:val="89"/>
    <w:semiHidden/>
    <w:qFormat/>
    <w:pPr>
      <w:pBdr>
        <w:top w:val="single" w:sz="48" w:space="31" w:color="595959" w:themeColor="text1" w:themeTint="A6"/>
        <w:left w:val="single" w:sz="48" w:space="31" w:color="595959" w:themeColor="text1" w:themeTint="A6"/>
        <w:bottom w:val="single" w:sz="48" w:space="31" w:color="595959" w:themeColor="text1" w:themeTint="A6"/>
        <w:right w:val="single" w:sz="48" w:space="31" w:color="595959" w:themeColor="text1" w:themeTint="A6"/>
      </w:pBdr>
      <w:shd w:val="clear" w:color="auto" w:fill="595959" w:themeFill="text1" w:themeFillTint="A6"/>
      <w:spacing w:before="0" w:line="288" w:lineRule="auto"/>
      <w:ind w:left="-660" w:right="-680"/>
    </w:pPr>
    <w:rPr>
      <w:rFonts w:cs="Arial"/>
      <w:color w:val="FFFFFF"/>
      <w:sz w:val="24"/>
    </w:rPr>
  </w:style>
  <w:style w:type="paragraph" w:customStyle="1" w:styleId="amprBodyText">
    <w:name w:val="[ampr] Body Text"/>
    <w:basedOn w:val="BASE-STYLE-TEXT"/>
    <w:uiPriority w:val="1"/>
    <w:qFormat/>
    <w:pPr>
      <w:spacing w:before="240" w:after="240"/>
      <w:jc w:val="left"/>
    </w:pPr>
    <w:rPr>
      <w:color w:val="auto"/>
      <w:sz w:val="20"/>
    </w:rPr>
  </w:style>
  <w:style w:type="paragraph" w:customStyle="1" w:styleId="amprTable-ChartTITLE">
    <w:name w:val="[ampr] Table-Chart TITLE"/>
    <w:basedOn w:val="BASE-STYLE-TEXT"/>
    <w:next w:val="amprTable-ChartSOURCEandPhotoCAPTION"/>
    <w:uiPriority w:val="2"/>
    <w:qFormat/>
    <w:pPr>
      <w:spacing w:before="40" w:after="0" w:line="240" w:lineRule="auto"/>
      <w:jc w:val="left"/>
    </w:pPr>
    <w:rPr>
      <w:rFonts w:ascii="EC Square Sans Cond Pro Medium" w:eastAsia="Calibri" w:hAnsi="EC Square Sans Cond Pro Medium"/>
      <w:color w:val="auto"/>
      <w:sz w:val="16"/>
      <w:szCs w:val="16"/>
      <w:lang w:eastAsia="fr-BE"/>
    </w:rPr>
  </w:style>
  <w:style w:type="paragraph" w:customStyle="1" w:styleId="amprFooter-Left">
    <w:name w:val="[ampr] Footer - Left"/>
    <w:basedOn w:val="BASE-STYLE-TEXT"/>
    <w:next w:val="amprBodyText"/>
    <w:uiPriority w:val="10"/>
    <w:qFormat/>
    <w:pPr>
      <w:spacing w:after="0" w:line="240" w:lineRule="auto"/>
      <w:jc w:val="left"/>
    </w:pPr>
    <w:rPr>
      <w:color w:val="auto"/>
      <w:sz w:val="20"/>
    </w:rPr>
  </w:style>
  <w:style w:type="paragraph" w:customStyle="1" w:styleId="amprFooter-Right">
    <w:name w:val="[ampr] Footer - Right"/>
    <w:basedOn w:val="BASE-STYLE-TEXT"/>
    <w:next w:val="amprBodyText"/>
    <w:uiPriority w:val="10"/>
    <w:qFormat/>
    <w:pPr>
      <w:spacing w:after="0" w:line="240" w:lineRule="auto"/>
      <w:jc w:val="right"/>
    </w:pPr>
    <w:rPr>
      <w:color w:val="auto"/>
      <w:sz w:val="20"/>
    </w:rPr>
  </w:style>
  <w:style w:type="paragraph" w:customStyle="1" w:styleId="amprHeader-Left">
    <w:name w:val="[ampr] Header - Left"/>
    <w:basedOn w:val="BASE-STYLE-TEXT"/>
    <w:next w:val="amprBodyText"/>
    <w:uiPriority w:val="10"/>
    <w:qFormat/>
    <w:pPr>
      <w:spacing w:after="0" w:line="240" w:lineRule="auto"/>
      <w:jc w:val="left"/>
    </w:pPr>
    <w:rPr>
      <w:color w:val="767676"/>
      <w:sz w:val="20"/>
    </w:rPr>
  </w:style>
  <w:style w:type="paragraph" w:customStyle="1" w:styleId="amprHeader-Right">
    <w:name w:val="[ampr] Header - Right"/>
    <w:basedOn w:val="BASE-STYLE-TEXT"/>
    <w:next w:val="amprBodyText"/>
    <w:uiPriority w:val="10"/>
    <w:qFormat/>
    <w:pPr>
      <w:spacing w:after="0" w:line="240" w:lineRule="auto"/>
      <w:jc w:val="right"/>
    </w:pPr>
    <w:rPr>
      <w:color w:val="767676"/>
      <w:sz w:val="20"/>
    </w:rPr>
  </w:style>
  <w:style w:type="paragraph" w:customStyle="1" w:styleId="amprImageplaceholder">
    <w:name w:val="[ampr] Image placeholder"/>
    <w:next w:val="amprBodyText"/>
    <w:uiPriority w:val="2"/>
    <w:qFormat/>
    <w:pPr>
      <w:spacing w:after="40" w:line="240" w:lineRule="auto"/>
      <w:jc w:val="center"/>
    </w:pPr>
    <w:rPr>
      <w:rFonts w:eastAsia="EC Square Sans Pro" w:cs="Times New Roman"/>
      <w:szCs w:val="21"/>
      <w:lang w:eastAsia="zh-CN"/>
    </w:rPr>
  </w:style>
  <w:style w:type="paragraph" w:customStyle="1" w:styleId="amprH4Subhead1">
    <w:name w:val="[ampr H4] Subhead 1"/>
    <w:basedOn w:val="BASE-STYLE-HEADINGS"/>
    <w:next w:val="amprBodyText"/>
    <w:uiPriority w:val="9"/>
    <w:qFormat/>
    <w:pPr>
      <w:keepNext/>
      <w:keepLines/>
      <w:suppressAutoHyphens/>
      <w:spacing w:before="480" w:after="240"/>
      <w:jc w:val="left"/>
      <w:outlineLvl w:val="3"/>
    </w:pPr>
    <w:rPr>
      <w:color w:val="003399" w:themeColor="text2"/>
      <w:sz w:val="28"/>
    </w:rPr>
  </w:style>
  <w:style w:type="paragraph" w:customStyle="1" w:styleId="amprH5Subhead2">
    <w:name w:val="[ampr H5] Subhead 2"/>
    <w:basedOn w:val="BASE-STYLE-HEADINGS"/>
    <w:next w:val="amprBodyText"/>
    <w:uiPriority w:val="9"/>
    <w:qFormat/>
    <w:pPr>
      <w:keepNext/>
      <w:keepLines/>
      <w:suppressAutoHyphens/>
      <w:spacing w:before="480" w:after="240"/>
      <w:jc w:val="left"/>
      <w:outlineLvl w:val="4"/>
    </w:pPr>
    <w:rPr>
      <w:b/>
      <w:color w:val="003399" w:themeColor="text2"/>
      <w:sz w:val="24"/>
    </w:rPr>
  </w:style>
  <w:style w:type="paragraph" w:customStyle="1" w:styleId="amprH6Subhead3">
    <w:name w:val="[ampr H6] Subhead 3"/>
    <w:basedOn w:val="BASE-STYLE-HEADINGS"/>
    <w:next w:val="amprBodyText"/>
    <w:uiPriority w:val="9"/>
    <w:qFormat/>
    <w:pPr>
      <w:keepNext/>
      <w:keepLines/>
      <w:suppressAutoHyphens/>
      <w:spacing w:before="240" w:after="240"/>
      <w:ind w:left="340"/>
      <w:jc w:val="left"/>
      <w:outlineLvl w:val="5"/>
    </w:pPr>
    <w:rPr>
      <w:b/>
      <w:color w:val="008139" w:themeColor="accent1"/>
      <w:sz w:val="24"/>
      <w14:textOutline w14:w="9525" w14:cap="rnd" w14:cmpd="sng" w14:algn="ctr">
        <w14:noFill/>
        <w14:prstDash w14:val="solid"/>
        <w14:bevel/>
      </w14:textOutline>
    </w:rPr>
  </w:style>
  <w:style w:type="paragraph" w:customStyle="1" w:styleId="amprH2TITLE1">
    <w:name w:val="[ampr H2] TITLE 1"/>
    <w:basedOn w:val="BASE-STYLE-HEADINGS"/>
    <w:next w:val="amprBodyText"/>
    <w:uiPriority w:val="9"/>
    <w:qFormat/>
    <w:pPr>
      <w:keepNext/>
      <w:keepLines/>
      <w:pageBreakBefore/>
      <w:suppressAutoHyphens/>
      <w:spacing w:after="720"/>
      <w:jc w:val="left"/>
      <w:outlineLvl w:val="1"/>
    </w:pPr>
    <w:rPr>
      <w:color w:val="003399" w:themeColor="text2"/>
      <w:sz w:val="48"/>
    </w:rPr>
  </w:style>
  <w:style w:type="paragraph" w:customStyle="1" w:styleId="amprH1TITLE-noTOC">
    <w:name w:val="[ampr H1] TITLE - noTOC"/>
    <w:basedOn w:val="amprH2TITLE1"/>
    <w:next w:val="amprBodyText"/>
    <w:uiPriority w:val="9"/>
    <w:qFormat/>
    <w:pPr>
      <w:spacing w:after="480"/>
      <w:outlineLvl w:val="0"/>
    </w:pPr>
  </w:style>
  <w:style w:type="paragraph" w:customStyle="1" w:styleId="amprH3Title2">
    <w:name w:val="[ampr H3] Title 2"/>
    <w:basedOn w:val="BASE-STYLE-HEADINGS"/>
    <w:next w:val="amprBodyText"/>
    <w:uiPriority w:val="9"/>
    <w:qFormat/>
    <w:rsid w:val="00FB4DAD"/>
    <w:pPr>
      <w:keepNext/>
      <w:keepLines/>
      <w:pBdr>
        <w:bottom w:val="single" w:sz="6" w:space="1" w:color="DE6002" w:themeColor="accent2"/>
      </w:pBdr>
      <w:suppressAutoHyphens/>
      <w:spacing w:before="480" w:after="240"/>
      <w:jc w:val="left"/>
      <w:outlineLvl w:val="2"/>
    </w:pPr>
    <w:rPr>
      <w:b/>
      <w:color w:val="003399" w:themeColor="text2"/>
      <w:sz w:val="28"/>
    </w:rPr>
  </w:style>
  <w:style w:type="paragraph" w:customStyle="1" w:styleId="amprH4Subhead1-Numbered-111">
    <w:name w:val="[ampr H4] Subhead 1 - Numbered - 1.1.1."/>
    <w:basedOn w:val="amprH4Subhead1"/>
    <w:next w:val="amprBodyText"/>
    <w:uiPriority w:val="9"/>
    <w:qFormat/>
    <w:pPr>
      <w:numPr>
        <w:ilvl w:val="2"/>
        <w:numId w:val="13"/>
      </w:numPr>
    </w:pPr>
  </w:style>
  <w:style w:type="paragraph" w:customStyle="1" w:styleId="Hidelastparagraphafterthetable">
    <w:name w:val="_Hide last paragraph after the table"/>
    <w:next w:val="Normal"/>
    <w:uiPriority w:val="11"/>
    <w:pPr>
      <w:widowControl w:val="0"/>
      <w:spacing w:before="0" w:after="0" w:line="20" w:lineRule="exact"/>
    </w:pPr>
    <w:rPr>
      <w:rFonts w:asciiTheme="minorHAnsi" w:eastAsiaTheme="minorEastAsia" w:hAnsiTheme="minorHAnsi"/>
      <w:vanish/>
      <w:sz w:val="2"/>
      <w:szCs w:val="2"/>
    </w:rPr>
  </w:style>
  <w:style w:type="numbering" w:styleId="111111">
    <w:name w:val="Outline List 2"/>
    <w:basedOn w:val="NoList"/>
    <w:uiPriority w:val="99"/>
    <w:semiHidden/>
    <w:unhideWhenUsed/>
    <w:pPr>
      <w:numPr>
        <w:numId w:val="8"/>
      </w:numPr>
    </w:pPr>
  </w:style>
  <w:style w:type="numbering" w:styleId="1ai">
    <w:name w:val="Outline List 1"/>
    <w:basedOn w:val="NoList"/>
    <w:uiPriority w:val="99"/>
    <w:semiHidden/>
    <w:unhideWhenUsed/>
    <w:pPr>
      <w:numPr>
        <w:numId w:val="9"/>
      </w:numPr>
    </w:pPr>
  </w:style>
  <w:style w:type="numbering" w:styleId="ArticleSection">
    <w:name w:val="Outline List 3"/>
    <w:basedOn w:val="NoList"/>
    <w:uiPriority w:val="99"/>
    <w:semiHidden/>
    <w:unhideWhenUsed/>
    <w:pPr>
      <w:numPr>
        <w:numId w:val="10"/>
      </w:numPr>
    </w:pPr>
  </w:style>
  <w:style w:type="character" w:styleId="BookTitle">
    <w:name w:val="Book Title"/>
    <w:basedOn w:val="DefaultParagraphFont"/>
    <w:uiPriority w:val="33"/>
    <w:semiHidden/>
    <w:rPr>
      <w:b/>
      <w:bCs/>
      <w:i/>
      <w:iCs/>
      <w:spacing w:val="5"/>
      <w:lang w:val="fr-FR"/>
    </w:rPr>
  </w:style>
  <w:style w:type="table" w:styleId="ColorfulGrid">
    <w:name w:val="Colorful Grid"/>
    <w:basedOn w:val="TableNormal"/>
    <w:uiPriority w:val="73"/>
    <w:semiHidden/>
    <w:unhideWhenUs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B2FFD4" w:themeFill="accent1" w:themeFillTint="33"/>
    </w:tcPr>
    <w:tblStylePr w:type="firstRow">
      <w:rPr>
        <w:b/>
        <w:bCs/>
      </w:rPr>
      <w:tblPr/>
      <w:tcPr>
        <w:shd w:val="clear" w:color="auto" w:fill="66FFA9" w:themeFill="accent1" w:themeFillTint="66"/>
      </w:tcPr>
    </w:tblStylePr>
    <w:tblStylePr w:type="lastRow">
      <w:rPr>
        <w:b/>
        <w:bCs/>
        <w:color w:val="000000" w:themeColor="text1"/>
      </w:rPr>
      <w:tblPr/>
      <w:tcPr>
        <w:shd w:val="clear" w:color="auto" w:fill="66FFA9" w:themeFill="accent1" w:themeFillTint="66"/>
      </w:tcPr>
    </w:tblStylePr>
    <w:tblStylePr w:type="firstCol">
      <w:rPr>
        <w:color w:val="FFFFFF" w:themeColor="background1"/>
      </w:rPr>
      <w:tblPr/>
      <w:tcPr>
        <w:shd w:val="clear" w:color="auto" w:fill="00602A" w:themeFill="accent1" w:themeFillShade="BF"/>
      </w:tcPr>
    </w:tblStylePr>
    <w:tblStylePr w:type="lastCol">
      <w:rPr>
        <w:color w:val="FFFFFF" w:themeColor="background1"/>
      </w:rPr>
      <w:tblPr/>
      <w:tcPr>
        <w:shd w:val="clear" w:color="auto" w:fill="00602A" w:themeFill="accent1" w:themeFillShade="BF"/>
      </w:tc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ColorfulGrid-Accent2">
    <w:name w:val="Colorful Grid Accent 2"/>
    <w:basedOn w:val="TableNormal"/>
    <w:uiPriority w:val="73"/>
    <w:semiHidden/>
    <w:unhideWhenUs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EDEC6" w:themeFill="accent2" w:themeFillTint="33"/>
    </w:tcPr>
    <w:tblStylePr w:type="firstRow">
      <w:rPr>
        <w:b/>
        <w:bCs/>
      </w:rPr>
      <w:tblPr/>
      <w:tcPr>
        <w:shd w:val="clear" w:color="auto" w:fill="FEBD8D" w:themeFill="accent2" w:themeFillTint="66"/>
      </w:tcPr>
    </w:tblStylePr>
    <w:tblStylePr w:type="lastRow">
      <w:rPr>
        <w:b/>
        <w:bCs/>
        <w:color w:val="000000" w:themeColor="text1"/>
      </w:rPr>
      <w:tblPr/>
      <w:tcPr>
        <w:shd w:val="clear" w:color="auto" w:fill="FEBD8D" w:themeFill="accent2" w:themeFillTint="66"/>
      </w:tcPr>
    </w:tblStylePr>
    <w:tblStylePr w:type="firstCol">
      <w:rPr>
        <w:color w:val="FFFFFF" w:themeColor="background1"/>
      </w:rPr>
      <w:tblPr/>
      <w:tcPr>
        <w:shd w:val="clear" w:color="auto" w:fill="A64701" w:themeFill="accent2" w:themeFillShade="BF"/>
      </w:tcPr>
    </w:tblStylePr>
    <w:tblStylePr w:type="lastCol">
      <w:rPr>
        <w:color w:val="FFFFFF" w:themeColor="background1"/>
      </w:rPr>
      <w:tblPr/>
      <w:tcPr>
        <w:shd w:val="clear" w:color="auto" w:fill="A64701" w:themeFill="accent2" w:themeFillShade="BF"/>
      </w:tc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ColorfulGrid-Accent3">
    <w:name w:val="Colorful Grid Accent 3"/>
    <w:basedOn w:val="TableNormal"/>
    <w:uiPriority w:val="73"/>
    <w:semiHidden/>
    <w:unhideWhenUs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D3E7FE" w:themeFill="accent3" w:themeFillTint="33"/>
    </w:tcPr>
    <w:tblStylePr w:type="firstRow">
      <w:rPr>
        <w:b/>
        <w:bCs/>
      </w:rPr>
      <w:tblPr/>
      <w:tcPr>
        <w:shd w:val="clear" w:color="auto" w:fill="A8CFFE" w:themeFill="accent3" w:themeFillTint="66"/>
      </w:tcPr>
    </w:tblStylePr>
    <w:tblStylePr w:type="lastRow">
      <w:rPr>
        <w:b/>
        <w:bCs/>
        <w:color w:val="000000" w:themeColor="text1"/>
      </w:rPr>
      <w:tblPr/>
      <w:tcPr>
        <w:shd w:val="clear" w:color="auto" w:fill="A8CFFE" w:themeFill="accent3" w:themeFillTint="66"/>
      </w:tcPr>
    </w:tblStylePr>
    <w:tblStylePr w:type="firstCol">
      <w:rPr>
        <w:color w:val="FFFFFF" w:themeColor="background1"/>
      </w:rPr>
      <w:tblPr/>
      <w:tcPr>
        <w:shd w:val="clear" w:color="auto" w:fill="0162D9" w:themeFill="accent3" w:themeFillShade="BF"/>
      </w:tcPr>
    </w:tblStylePr>
    <w:tblStylePr w:type="lastCol">
      <w:rPr>
        <w:color w:val="FFFFFF" w:themeColor="background1"/>
      </w:rPr>
      <w:tblPr/>
      <w:tcPr>
        <w:shd w:val="clear" w:color="auto" w:fill="0162D9" w:themeFill="accent3" w:themeFillShade="BF"/>
      </w:tc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ColorfulGrid-Accent4">
    <w:name w:val="Colorful Grid Accent 4"/>
    <w:basedOn w:val="TableNormal"/>
    <w:uiPriority w:val="73"/>
    <w:semiHidden/>
    <w:unhideWhenUs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EEECD" w:themeFill="accent4" w:themeFillTint="33"/>
    </w:tcPr>
    <w:tblStylePr w:type="firstRow">
      <w:rPr>
        <w:b/>
        <w:bCs/>
      </w:rPr>
      <w:tblPr/>
      <w:tcPr>
        <w:shd w:val="clear" w:color="auto" w:fill="FEDD9B" w:themeFill="accent4" w:themeFillTint="66"/>
      </w:tcPr>
    </w:tblStylePr>
    <w:tblStylePr w:type="lastRow">
      <w:rPr>
        <w:b/>
        <w:bCs/>
        <w:color w:val="000000" w:themeColor="text1"/>
      </w:rPr>
      <w:tblPr/>
      <w:tcPr>
        <w:shd w:val="clear" w:color="auto" w:fill="FEDD9B" w:themeFill="accent4" w:themeFillTint="66"/>
      </w:tcPr>
    </w:tblStylePr>
    <w:tblStylePr w:type="firstCol">
      <w:rPr>
        <w:color w:val="FFFFFF" w:themeColor="background1"/>
      </w:rPr>
      <w:tblPr/>
      <w:tcPr>
        <w:shd w:val="clear" w:color="auto" w:fill="C18101" w:themeFill="accent4" w:themeFillShade="BF"/>
      </w:tcPr>
    </w:tblStylePr>
    <w:tblStylePr w:type="lastCol">
      <w:rPr>
        <w:color w:val="FFFFFF" w:themeColor="background1"/>
      </w:rPr>
      <w:tblPr/>
      <w:tcPr>
        <w:shd w:val="clear" w:color="auto" w:fill="C18101" w:themeFill="accent4" w:themeFillShade="BF"/>
      </w:tc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ColorfulGrid-Accent5">
    <w:name w:val="Colorful Grid Accent 5"/>
    <w:basedOn w:val="TableNormal"/>
    <w:uiPriority w:val="73"/>
    <w:semiHidden/>
    <w:unhideWhenUs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ACEDD" w:themeFill="accent5" w:themeFillTint="33"/>
    </w:tcPr>
    <w:tblStylePr w:type="firstRow">
      <w:rPr>
        <w:b/>
        <w:bCs/>
      </w:rPr>
      <w:tblPr/>
      <w:tcPr>
        <w:shd w:val="clear" w:color="auto" w:fill="F59DBC" w:themeFill="accent5" w:themeFillTint="66"/>
      </w:tcPr>
    </w:tblStylePr>
    <w:tblStylePr w:type="lastRow">
      <w:rPr>
        <w:b/>
        <w:bCs/>
        <w:color w:val="000000" w:themeColor="text1"/>
      </w:rPr>
      <w:tblPr/>
      <w:tcPr>
        <w:shd w:val="clear" w:color="auto" w:fill="F59DBC" w:themeFill="accent5" w:themeFillTint="66"/>
      </w:tcPr>
    </w:tblStylePr>
    <w:tblStylePr w:type="firstCol">
      <w:rPr>
        <w:color w:val="FFFFFF" w:themeColor="background1"/>
      </w:rPr>
      <w:tblPr/>
      <w:tcPr>
        <w:shd w:val="clear" w:color="auto" w:fill="A41045" w:themeFill="accent5" w:themeFillShade="BF"/>
      </w:tcPr>
    </w:tblStylePr>
    <w:tblStylePr w:type="lastCol">
      <w:rPr>
        <w:color w:val="FFFFFF" w:themeColor="background1"/>
      </w:rPr>
      <w:tblPr/>
      <w:tcPr>
        <w:shd w:val="clear" w:color="auto" w:fill="A41045" w:themeFill="accent5" w:themeFillShade="BF"/>
      </w:tc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ColorfulGrid-Accent6">
    <w:name w:val="Colorful Grid Accent 6"/>
    <w:basedOn w:val="TableNormal"/>
    <w:uiPriority w:val="73"/>
    <w:semiHidden/>
    <w:unhideWhenUs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2D0F1" w:themeFill="accent6" w:themeFillTint="33"/>
    </w:tcPr>
    <w:tblStylePr w:type="firstRow">
      <w:rPr>
        <w:b/>
        <w:bCs/>
      </w:rPr>
      <w:tblPr/>
      <w:tcPr>
        <w:shd w:val="clear" w:color="auto" w:fill="C6A1E3" w:themeFill="accent6" w:themeFillTint="66"/>
      </w:tcPr>
    </w:tblStylePr>
    <w:tblStylePr w:type="lastRow">
      <w:rPr>
        <w:b/>
        <w:bCs/>
        <w:color w:val="000000" w:themeColor="text1"/>
      </w:rPr>
      <w:tblPr/>
      <w:tcPr>
        <w:shd w:val="clear" w:color="auto" w:fill="C6A1E3" w:themeFill="accent6" w:themeFillTint="66"/>
      </w:tcPr>
    </w:tblStylePr>
    <w:tblStylePr w:type="firstCol">
      <w:rPr>
        <w:color w:val="FFFFFF" w:themeColor="background1"/>
      </w:rPr>
      <w:tblPr/>
      <w:tcPr>
        <w:shd w:val="clear" w:color="auto" w:fill="532477" w:themeFill="accent6" w:themeFillShade="BF"/>
      </w:tcPr>
    </w:tblStylePr>
    <w:tblStylePr w:type="lastCol">
      <w:rPr>
        <w:color w:val="FFFFFF" w:themeColor="background1"/>
      </w:rPr>
      <w:tblPr/>
      <w:tcPr>
        <w:shd w:val="clear" w:color="auto" w:fill="532477" w:themeFill="accent6" w:themeFillShade="BF"/>
      </w:tc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ColorfulList">
    <w:name w:val="Colorful List"/>
    <w:basedOn w:val="TableNormal"/>
    <w:uiPriority w:val="72"/>
    <w:semiHidden/>
    <w:unhideWhenUsed/>
    <w:pPr>
      <w:spacing w:before="0"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pPr>
      <w:spacing w:before="0" w:after="0"/>
    </w:pPr>
    <w:rPr>
      <w:color w:val="000000" w:themeColor="text1"/>
    </w:rPr>
    <w:tblPr>
      <w:tblStyleRowBandSize w:val="1"/>
      <w:tblStyleColBandSize w:val="1"/>
    </w:tblPr>
    <w:tcPr>
      <w:shd w:val="clear" w:color="auto" w:fill="D9FFE9" w:themeFill="accen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FFCA" w:themeFill="accent1" w:themeFillTint="3F"/>
      </w:tcPr>
    </w:tblStylePr>
    <w:tblStylePr w:type="band1Horz">
      <w:tblPr/>
      <w:tcPr>
        <w:shd w:val="clear" w:color="auto" w:fill="B2FFD4" w:themeFill="accent1" w:themeFillTint="33"/>
      </w:tcPr>
    </w:tblStylePr>
  </w:style>
  <w:style w:type="table" w:styleId="ColorfulList-Accent2">
    <w:name w:val="Colorful List Accent 2"/>
    <w:basedOn w:val="TableNormal"/>
    <w:uiPriority w:val="72"/>
    <w:semiHidden/>
    <w:unhideWhenUsed/>
    <w:pPr>
      <w:spacing w:before="0" w:after="0"/>
    </w:pPr>
    <w:rPr>
      <w:color w:val="000000" w:themeColor="text1"/>
    </w:rPr>
    <w:tblPr>
      <w:tblStyleRowBandSize w:val="1"/>
      <w:tblStyleColBandSize w:val="1"/>
    </w:tblPr>
    <w:tcPr>
      <w:shd w:val="clear" w:color="auto" w:fill="FEEEE2" w:themeFill="accent2"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6B8" w:themeFill="accent2" w:themeFillTint="3F"/>
      </w:tcPr>
    </w:tblStylePr>
    <w:tblStylePr w:type="band1Horz">
      <w:tblPr/>
      <w:tcPr>
        <w:shd w:val="clear" w:color="auto" w:fill="FEDEC6" w:themeFill="accent2" w:themeFillTint="33"/>
      </w:tcPr>
    </w:tblStylePr>
  </w:style>
  <w:style w:type="table" w:styleId="ColorfulList-Accent3">
    <w:name w:val="Colorful List Accent 3"/>
    <w:basedOn w:val="TableNormal"/>
    <w:uiPriority w:val="72"/>
    <w:semiHidden/>
    <w:unhideWhenUsed/>
    <w:pPr>
      <w:spacing w:before="0" w:after="0"/>
    </w:pPr>
    <w:rPr>
      <w:color w:val="000000" w:themeColor="text1"/>
    </w:rPr>
    <w:tblPr>
      <w:tblStyleRowBandSize w:val="1"/>
      <w:tblStyleColBandSize w:val="1"/>
    </w:tblPr>
    <w:tcPr>
      <w:shd w:val="clear" w:color="auto" w:fill="E9F3FF" w:themeFill="accent3" w:themeFillTint="19"/>
    </w:tcPr>
    <w:tblStylePr w:type="firstRow">
      <w:rPr>
        <w:b/>
        <w:bCs/>
        <w:color w:val="FFFFFF" w:themeColor="background1"/>
      </w:rPr>
      <w:tblPr/>
      <w:tcPr>
        <w:tcBorders>
          <w:bottom w:val="single" w:sz="12" w:space="0" w:color="FFFFFF" w:themeColor="background1"/>
        </w:tcBorders>
        <w:shd w:val="clear" w:color="auto" w:fill="CE8A01" w:themeFill="accent4" w:themeFillShade="CC"/>
      </w:tcPr>
    </w:tblStylePr>
    <w:tblStylePr w:type="lastRow">
      <w:rPr>
        <w:b/>
        <w:bCs/>
        <w:color w:val="CE8A0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E1FE" w:themeFill="accent3" w:themeFillTint="3F"/>
      </w:tcPr>
    </w:tblStylePr>
    <w:tblStylePr w:type="band1Horz">
      <w:tblPr/>
      <w:tcPr>
        <w:shd w:val="clear" w:color="auto" w:fill="D3E7FE" w:themeFill="accent3" w:themeFillTint="33"/>
      </w:tcPr>
    </w:tblStylePr>
  </w:style>
  <w:style w:type="table" w:styleId="ColorfulList-Accent4">
    <w:name w:val="Colorful List Accent 4"/>
    <w:basedOn w:val="TableNormal"/>
    <w:uiPriority w:val="72"/>
    <w:semiHidden/>
    <w:unhideWhenUsed/>
    <w:pPr>
      <w:spacing w:before="0" w:after="0"/>
    </w:pPr>
    <w:rPr>
      <w:color w:val="000000" w:themeColor="text1"/>
    </w:rPr>
    <w:tblPr>
      <w:tblStyleRowBandSize w:val="1"/>
      <w:tblStyleColBandSize w:val="1"/>
    </w:tblPr>
    <w:tcPr>
      <w:shd w:val="clear" w:color="auto" w:fill="FEF6E6" w:themeFill="accent4" w:themeFillTint="19"/>
    </w:tcPr>
    <w:tblStylePr w:type="firstRow">
      <w:rPr>
        <w:b/>
        <w:bCs/>
        <w:color w:val="FFFFFF" w:themeColor="background1"/>
      </w:rPr>
      <w:tblPr/>
      <w:tcPr>
        <w:tcBorders>
          <w:bottom w:val="single" w:sz="12" w:space="0" w:color="FFFFFF" w:themeColor="background1"/>
        </w:tcBorders>
        <w:shd w:val="clear" w:color="auto" w:fill="0169E8" w:themeFill="accent3" w:themeFillShade="CC"/>
      </w:tcPr>
    </w:tblStylePr>
    <w:tblStylePr w:type="lastRow">
      <w:rPr>
        <w:b/>
        <w:bCs/>
        <w:color w:val="0169E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AC1" w:themeFill="accent4" w:themeFillTint="3F"/>
      </w:tcPr>
    </w:tblStylePr>
    <w:tblStylePr w:type="band1Horz">
      <w:tblPr/>
      <w:tcPr>
        <w:shd w:val="clear" w:color="auto" w:fill="FEEECD" w:themeFill="accent4" w:themeFillTint="33"/>
      </w:tcPr>
    </w:tblStylePr>
  </w:style>
  <w:style w:type="table" w:styleId="ColorfulList-Accent5">
    <w:name w:val="Colorful List Accent 5"/>
    <w:basedOn w:val="TableNormal"/>
    <w:uiPriority w:val="72"/>
    <w:semiHidden/>
    <w:unhideWhenUsed/>
    <w:pPr>
      <w:spacing w:before="0" w:after="0"/>
    </w:pPr>
    <w:rPr>
      <w:color w:val="000000" w:themeColor="text1"/>
    </w:rPr>
    <w:tblPr>
      <w:tblStyleRowBandSize w:val="1"/>
      <w:tblStyleColBandSize w:val="1"/>
    </w:tblPr>
    <w:tcPr>
      <w:shd w:val="clear" w:color="auto" w:fill="FCE7EE" w:themeFill="accent5" w:themeFillTint="19"/>
    </w:tcPr>
    <w:tblStylePr w:type="firstRow">
      <w:rPr>
        <w:b/>
        <w:bCs/>
        <w:color w:val="FFFFFF" w:themeColor="background1"/>
      </w:rPr>
      <w:tblPr/>
      <w:tcPr>
        <w:tcBorders>
          <w:bottom w:val="single" w:sz="12" w:space="0" w:color="FFFFFF" w:themeColor="background1"/>
        </w:tcBorders>
        <w:shd w:val="clear" w:color="auto" w:fill="59267F" w:themeFill="accent6" w:themeFillShade="CC"/>
      </w:tcPr>
    </w:tblStylePr>
    <w:tblStylePr w:type="lastRow">
      <w:rPr>
        <w:b/>
        <w:bCs/>
        <w:color w:val="59267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2D6" w:themeFill="accent5" w:themeFillTint="3F"/>
      </w:tcPr>
    </w:tblStylePr>
    <w:tblStylePr w:type="band1Horz">
      <w:tblPr/>
      <w:tcPr>
        <w:shd w:val="clear" w:color="auto" w:fill="FACEDD" w:themeFill="accent5" w:themeFillTint="33"/>
      </w:tcPr>
    </w:tblStylePr>
  </w:style>
  <w:style w:type="table" w:styleId="ColorfulList-Accent6">
    <w:name w:val="Colorful List Accent 6"/>
    <w:basedOn w:val="TableNormal"/>
    <w:uiPriority w:val="72"/>
    <w:semiHidden/>
    <w:unhideWhenUsed/>
    <w:pPr>
      <w:spacing w:before="0" w:after="0"/>
    </w:pPr>
    <w:rPr>
      <w:color w:val="000000" w:themeColor="text1"/>
    </w:rPr>
    <w:tblPr>
      <w:tblStyleRowBandSize w:val="1"/>
      <w:tblStyleColBandSize w:val="1"/>
    </w:tblPr>
    <w:tcPr>
      <w:shd w:val="clear" w:color="auto" w:fill="F1E8F8" w:themeFill="accent6" w:themeFillTint="19"/>
    </w:tcPr>
    <w:tblStylePr w:type="firstRow">
      <w:rPr>
        <w:b/>
        <w:bCs/>
        <w:color w:val="FFFFFF" w:themeColor="background1"/>
      </w:rPr>
      <w:tblPr/>
      <w:tcPr>
        <w:tcBorders>
          <w:bottom w:val="single" w:sz="12" w:space="0" w:color="FFFFFF" w:themeColor="background1"/>
        </w:tcBorders>
        <w:shd w:val="clear" w:color="auto" w:fill="AF114A" w:themeFill="accent5" w:themeFillShade="CC"/>
      </w:tcPr>
    </w:tblStylePr>
    <w:tblStylePr w:type="lastRow">
      <w:rPr>
        <w:b/>
        <w:bCs/>
        <w:color w:val="AF114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C5ED" w:themeFill="accent6" w:themeFillTint="3F"/>
      </w:tcPr>
    </w:tblStylePr>
    <w:tblStylePr w:type="band1Horz">
      <w:tblPr/>
      <w:tcPr>
        <w:shd w:val="clear" w:color="auto" w:fill="E2D0F1" w:themeFill="accent6" w:themeFillTint="33"/>
      </w:tcPr>
    </w:tblStylePr>
  </w:style>
  <w:style w:type="table" w:styleId="ColorfulShading">
    <w:name w:val="Colorful Shading"/>
    <w:basedOn w:val="TableNormal"/>
    <w:uiPriority w:val="71"/>
    <w:semiHidden/>
    <w:unhideWhenUsed/>
    <w:pPr>
      <w:spacing w:before="0" w:after="0"/>
    </w:pPr>
    <w:rPr>
      <w:color w:val="000000" w:themeColor="text1"/>
    </w:rPr>
    <w:tblPr>
      <w:tblStyleRowBandSize w:val="1"/>
      <w:tblStyleColBandSize w:val="1"/>
      <w:tblBorders>
        <w:top w:val="single" w:sz="24" w:space="0" w:color="DE600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pPr>
      <w:spacing w:before="0" w:after="0"/>
    </w:pPr>
    <w:rPr>
      <w:color w:val="000000" w:themeColor="text1"/>
    </w:rPr>
    <w:tblPr>
      <w:tblStyleRowBandSize w:val="1"/>
      <w:tblStyleColBandSize w:val="1"/>
      <w:tblBorders>
        <w:top w:val="single" w:sz="24" w:space="0" w:color="DE6002" w:themeColor="accent2"/>
        <w:left w:val="single" w:sz="4" w:space="0" w:color="008139" w:themeColor="accent1"/>
        <w:bottom w:val="single" w:sz="4" w:space="0" w:color="008139" w:themeColor="accent1"/>
        <w:right w:val="single" w:sz="4" w:space="0" w:color="008139" w:themeColor="accent1"/>
        <w:insideH w:val="single" w:sz="4" w:space="0" w:color="FFFFFF" w:themeColor="background1"/>
        <w:insideV w:val="single" w:sz="4" w:space="0" w:color="FFFFFF" w:themeColor="background1"/>
      </w:tblBorders>
    </w:tblPr>
    <w:tcPr>
      <w:shd w:val="clear" w:color="auto" w:fill="D9FFE9" w:themeFill="accen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D21" w:themeFill="accent1" w:themeFillShade="99"/>
      </w:tcPr>
    </w:tblStylePr>
    <w:tblStylePr w:type="firstCol">
      <w:rPr>
        <w:color w:val="FFFFFF" w:themeColor="background1"/>
      </w:rPr>
      <w:tblPr/>
      <w:tcPr>
        <w:tcBorders>
          <w:top w:val="nil"/>
          <w:left w:val="nil"/>
          <w:bottom w:val="nil"/>
          <w:right w:val="nil"/>
          <w:insideH w:val="single" w:sz="4" w:space="0" w:color="004D21" w:themeColor="accent1" w:themeShade="99"/>
          <w:insideV w:val="nil"/>
        </w:tcBorders>
        <w:shd w:val="clear" w:color="auto" w:fill="004D2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D21" w:themeFill="accent1" w:themeFillShade="99"/>
      </w:tcPr>
    </w:tblStylePr>
    <w:tblStylePr w:type="band1Vert">
      <w:tblPr/>
      <w:tcPr>
        <w:shd w:val="clear" w:color="auto" w:fill="66FFA9" w:themeFill="accent1" w:themeFillTint="66"/>
      </w:tcPr>
    </w:tblStylePr>
    <w:tblStylePr w:type="band1Horz">
      <w:tblPr/>
      <w:tcPr>
        <w:shd w:val="clear" w:color="auto" w:fill="41FF9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pPr>
      <w:spacing w:before="0" w:after="0"/>
    </w:pPr>
    <w:rPr>
      <w:color w:val="000000" w:themeColor="text1"/>
    </w:rPr>
    <w:tblPr>
      <w:tblStyleRowBandSize w:val="1"/>
      <w:tblStyleColBandSize w:val="1"/>
      <w:tblBorders>
        <w:top w:val="single" w:sz="24" w:space="0" w:color="DE6002" w:themeColor="accent2"/>
        <w:left w:val="single" w:sz="4" w:space="0" w:color="DE6002" w:themeColor="accent2"/>
        <w:bottom w:val="single" w:sz="4" w:space="0" w:color="DE6002" w:themeColor="accent2"/>
        <w:right w:val="single" w:sz="4" w:space="0" w:color="DE6002" w:themeColor="accent2"/>
        <w:insideH w:val="single" w:sz="4" w:space="0" w:color="FFFFFF" w:themeColor="background1"/>
        <w:insideV w:val="single" w:sz="4" w:space="0" w:color="FFFFFF" w:themeColor="background1"/>
      </w:tblBorders>
    </w:tblPr>
    <w:tcPr>
      <w:shd w:val="clear" w:color="auto" w:fill="FEEEE2" w:themeFill="accent2"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3901" w:themeFill="accent2" w:themeFillShade="99"/>
      </w:tcPr>
    </w:tblStylePr>
    <w:tblStylePr w:type="firstCol">
      <w:rPr>
        <w:color w:val="FFFFFF" w:themeColor="background1"/>
      </w:rPr>
      <w:tblPr/>
      <w:tcPr>
        <w:tcBorders>
          <w:top w:val="nil"/>
          <w:left w:val="nil"/>
          <w:bottom w:val="nil"/>
          <w:right w:val="nil"/>
          <w:insideH w:val="single" w:sz="4" w:space="0" w:color="853901" w:themeColor="accent2" w:themeShade="99"/>
          <w:insideV w:val="nil"/>
        </w:tcBorders>
        <w:shd w:val="clear" w:color="auto" w:fill="85390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53901" w:themeFill="accent2" w:themeFillShade="99"/>
      </w:tcPr>
    </w:tblStylePr>
    <w:tblStylePr w:type="band1Vert">
      <w:tblPr/>
      <w:tcPr>
        <w:shd w:val="clear" w:color="auto" w:fill="FEBD8D" w:themeFill="accent2" w:themeFillTint="66"/>
      </w:tcPr>
    </w:tblStylePr>
    <w:tblStylePr w:type="band1Horz">
      <w:tblPr/>
      <w:tcPr>
        <w:shd w:val="clear" w:color="auto" w:fill="FDAC7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pPr>
      <w:spacing w:before="0" w:after="0"/>
    </w:pPr>
    <w:rPr>
      <w:color w:val="000000" w:themeColor="text1"/>
    </w:rPr>
    <w:tblPr>
      <w:tblStyleRowBandSize w:val="1"/>
      <w:tblStyleColBandSize w:val="1"/>
      <w:tblBorders>
        <w:top w:val="single" w:sz="24" w:space="0" w:color="FDAB07" w:themeColor="accent4"/>
        <w:left w:val="single" w:sz="4" w:space="0" w:color="2688FE" w:themeColor="accent3"/>
        <w:bottom w:val="single" w:sz="4" w:space="0" w:color="2688FE" w:themeColor="accent3"/>
        <w:right w:val="single" w:sz="4" w:space="0" w:color="2688FE" w:themeColor="accent3"/>
        <w:insideH w:val="single" w:sz="4" w:space="0" w:color="FFFFFF" w:themeColor="background1"/>
        <w:insideV w:val="single" w:sz="4" w:space="0" w:color="FFFFFF" w:themeColor="background1"/>
      </w:tblBorders>
    </w:tblPr>
    <w:tcPr>
      <w:shd w:val="clear" w:color="auto" w:fill="E9F3FF" w:themeFill="accent3" w:themeFillTint="19"/>
    </w:tcPr>
    <w:tblStylePr w:type="firstRow">
      <w:rPr>
        <w:b/>
        <w:bCs/>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4FAE" w:themeFill="accent3" w:themeFillShade="99"/>
      </w:tcPr>
    </w:tblStylePr>
    <w:tblStylePr w:type="firstCol">
      <w:rPr>
        <w:color w:val="FFFFFF" w:themeColor="background1"/>
      </w:rPr>
      <w:tblPr/>
      <w:tcPr>
        <w:tcBorders>
          <w:top w:val="nil"/>
          <w:left w:val="nil"/>
          <w:bottom w:val="nil"/>
          <w:right w:val="nil"/>
          <w:insideH w:val="single" w:sz="4" w:space="0" w:color="014FAE" w:themeColor="accent3" w:themeShade="99"/>
          <w:insideV w:val="nil"/>
        </w:tcBorders>
        <w:shd w:val="clear" w:color="auto" w:fill="014FA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14FAE" w:themeFill="accent3" w:themeFillShade="99"/>
      </w:tcPr>
    </w:tblStylePr>
    <w:tblStylePr w:type="band1Vert">
      <w:tblPr/>
      <w:tcPr>
        <w:shd w:val="clear" w:color="auto" w:fill="A8CFFE" w:themeFill="accent3" w:themeFillTint="66"/>
      </w:tcPr>
    </w:tblStylePr>
    <w:tblStylePr w:type="band1Horz">
      <w:tblPr/>
      <w:tcPr>
        <w:shd w:val="clear" w:color="auto" w:fill="92C3FE" w:themeFill="accent3" w:themeFillTint="7F"/>
      </w:tcPr>
    </w:tblStylePr>
  </w:style>
  <w:style w:type="table" w:styleId="ColorfulShading-Accent4">
    <w:name w:val="Colorful Shading Accent 4"/>
    <w:basedOn w:val="TableNormal"/>
    <w:uiPriority w:val="71"/>
    <w:semiHidden/>
    <w:unhideWhenUsed/>
    <w:pPr>
      <w:spacing w:before="0" w:after="0"/>
    </w:pPr>
    <w:rPr>
      <w:color w:val="000000" w:themeColor="text1"/>
    </w:rPr>
    <w:tblPr>
      <w:tblStyleRowBandSize w:val="1"/>
      <w:tblStyleColBandSize w:val="1"/>
      <w:tblBorders>
        <w:top w:val="single" w:sz="24" w:space="0" w:color="2688FE" w:themeColor="accent3"/>
        <w:left w:val="single" w:sz="4" w:space="0" w:color="FDAB07" w:themeColor="accent4"/>
        <w:bottom w:val="single" w:sz="4" w:space="0" w:color="FDAB07" w:themeColor="accent4"/>
        <w:right w:val="single" w:sz="4" w:space="0" w:color="FDAB07" w:themeColor="accent4"/>
        <w:insideH w:val="single" w:sz="4" w:space="0" w:color="FFFFFF" w:themeColor="background1"/>
        <w:insideV w:val="single" w:sz="4" w:space="0" w:color="FFFFFF" w:themeColor="background1"/>
      </w:tblBorders>
    </w:tblPr>
    <w:tcPr>
      <w:shd w:val="clear" w:color="auto" w:fill="FEF6E6" w:themeFill="accent4" w:themeFillTint="19"/>
    </w:tcPr>
    <w:tblStylePr w:type="firstRow">
      <w:rPr>
        <w:b/>
        <w:bCs/>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6701" w:themeFill="accent4" w:themeFillShade="99"/>
      </w:tcPr>
    </w:tblStylePr>
    <w:tblStylePr w:type="firstCol">
      <w:rPr>
        <w:color w:val="FFFFFF" w:themeColor="background1"/>
      </w:rPr>
      <w:tblPr/>
      <w:tcPr>
        <w:tcBorders>
          <w:top w:val="nil"/>
          <w:left w:val="nil"/>
          <w:bottom w:val="nil"/>
          <w:right w:val="nil"/>
          <w:insideH w:val="single" w:sz="4" w:space="0" w:color="9A6701" w:themeColor="accent4" w:themeShade="99"/>
          <w:insideV w:val="nil"/>
        </w:tcBorders>
        <w:shd w:val="clear" w:color="auto" w:fill="9A670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A6701" w:themeFill="accent4" w:themeFillShade="99"/>
      </w:tcPr>
    </w:tblStylePr>
    <w:tblStylePr w:type="band1Vert">
      <w:tblPr/>
      <w:tcPr>
        <w:shd w:val="clear" w:color="auto" w:fill="FEDD9B" w:themeFill="accent4" w:themeFillTint="66"/>
      </w:tcPr>
    </w:tblStylePr>
    <w:tblStylePr w:type="band1Horz">
      <w:tblPr/>
      <w:tcPr>
        <w:shd w:val="clear" w:color="auto" w:fill="FED583"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pPr>
      <w:spacing w:before="0" w:after="0"/>
    </w:pPr>
    <w:rPr>
      <w:color w:val="000000" w:themeColor="text1"/>
    </w:rPr>
    <w:tblPr>
      <w:tblStyleRowBandSize w:val="1"/>
      <w:tblStyleColBandSize w:val="1"/>
      <w:tblBorders>
        <w:top w:val="single" w:sz="24" w:space="0" w:color="7030A0" w:themeColor="accent6"/>
        <w:left w:val="single" w:sz="4" w:space="0" w:color="DC165D" w:themeColor="accent5"/>
        <w:bottom w:val="single" w:sz="4" w:space="0" w:color="DC165D" w:themeColor="accent5"/>
        <w:right w:val="single" w:sz="4" w:space="0" w:color="DC165D" w:themeColor="accent5"/>
        <w:insideH w:val="single" w:sz="4" w:space="0" w:color="FFFFFF" w:themeColor="background1"/>
        <w:insideV w:val="single" w:sz="4" w:space="0" w:color="FFFFFF" w:themeColor="background1"/>
      </w:tblBorders>
    </w:tblPr>
    <w:tcPr>
      <w:shd w:val="clear" w:color="auto" w:fill="FCE7EE" w:themeFill="accent5" w:themeFillTint="19"/>
    </w:tcPr>
    <w:tblStylePr w:type="firstRow">
      <w:rPr>
        <w:b/>
        <w:bCs/>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30D37" w:themeFill="accent5" w:themeFillShade="99"/>
      </w:tcPr>
    </w:tblStylePr>
    <w:tblStylePr w:type="firstCol">
      <w:rPr>
        <w:color w:val="FFFFFF" w:themeColor="background1"/>
      </w:rPr>
      <w:tblPr/>
      <w:tcPr>
        <w:tcBorders>
          <w:top w:val="nil"/>
          <w:left w:val="nil"/>
          <w:bottom w:val="nil"/>
          <w:right w:val="nil"/>
          <w:insideH w:val="single" w:sz="4" w:space="0" w:color="830D37" w:themeColor="accent5" w:themeShade="99"/>
          <w:insideV w:val="nil"/>
        </w:tcBorders>
        <w:shd w:val="clear" w:color="auto" w:fill="830D3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30D37" w:themeFill="accent5" w:themeFillShade="99"/>
      </w:tcPr>
    </w:tblStylePr>
    <w:tblStylePr w:type="band1Vert">
      <w:tblPr/>
      <w:tcPr>
        <w:shd w:val="clear" w:color="auto" w:fill="F59DBC" w:themeFill="accent5" w:themeFillTint="66"/>
      </w:tcPr>
    </w:tblStylePr>
    <w:tblStylePr w:type="band1Horz">
      <w:tblPr/>
      <w:tcPr>
        <w:shd w:val="clear" w:color="auto" w:fill="F285A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pPr>
      <w:spacing w:before="0" w:after="0"/>
    </w:pPr>
    <w:rPr>
      <w:color w:val="000000" w:themeColor="text1"/>
    </w:rPr>
    <w:tblPr>
      <w:tblStyleRowBandSize w:val="1"/>
      <w:tblStyleColBandSize w:val="1"/>
      <w:tblBorders>
        <w:top w:val="single" w:sz="24" w:space="0" w:color="DC165D" w:themeColor="accent5"/>
        <w:left w:val="single" w:sz="4" w:space="0" w:color="7030A0" w:themeColor="accent6"/>
        <w:bottom w:val="single" w:sz="4" w:space="0" w:color="7030A0" w:themeColor="accent6"/>
        <w:right w:val="single" w:sz="4" w:space="0" w:color="7030A0" w:themeColor="accent6"/>
        <w:insideH w:val="single" w:sz="4" w:space="0" w:color="FFFFFF" w:themeColor="background1"/>
        <w:insideV w:val="single" w:sz="4" w:space="0" w:color="FFFFFF" w:themeColor="background1"/>
      </w:tblBorders>
    </w:tblPr>
    <w:tcPr>
      <w:shd w:val="clear" w:color="auto" w:fill="F1E8F8" w:themeFill="accent6" w:themeFillTint="19"/>
    </w:tcPr>
    <w:tblStylePr w:type="firstRow">
      <w:rPr>
        <w:b/>
        <w:bCs/>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1C5F" w:themeFill="accent6" w:themeFillShade="99"/>
      </w:tcPr>
    </w:tblStylePr>
    <w:tblStylePr w:type="firstCol">
      <w:rPr>
        <w:color w:val="FFFFFF" w:themeColor="background1"/>
      </w:rPr>
      <w:tblPr/>
      <w:tcPr>
        <w:tcBorders>
          <w:top w:val="nil"/>
          <w:left w:val="nil"/>
          <w:bottom w:val="nil"/>
          <w:right w:val="nil"/>
          <w:insideH w:val="single" w:sz="4" w:space="0" w:color="421C5F" w:themeColor="accent6" w:themeShade="99"/>
          <w:insideV w:val="nil"/>
        </w:tcBorders>
        <w:shd w:val="clear" w:color="auto" w:fill="421C5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1C5F" w:themeFill="accent6" w:themeFillShade="99"/>
      </w:tcPr>
    </w:tblStylePr>
    <w:tblStylePr w:type="band1Vert">
      <w:tblPr/>
      <w:tcPr>
        <w:shd w:val="clear" w:color="auto" w:fill="C6A1E3" w:themeFill="accent6" w:themeFillTint="66"/>
      </w:tcPr>
    </w:tblStylePr>
    <w:tblStylePr w:type="band1Horz">
      <w:tblPr/>
      <w:tcPr>
        <w:shd w:val="clear" w:color="auto" w:fill="B98BD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unhideWhenUsed/>
    <w:qFormat/>
    <w:rPr>
      <w:sz w:val="16"/>
      <w:szCs w:val="16"/>
      <w:lang w:val="fr-FR"/>
    </w:rPr>
  </w:style>
  <w:style w:type="table" w:styleId="DarkList">
    <w:name w:val="Dark List"/>
    <w:basedOn w:val="TableNormal"/>
    <w:uiPriority w:val="70"/>
    <w:semiHidden/>
    <w:unhideWhenUsed/>
    <w:pPr>
      <w:spacing w:before="0"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pPr>
      <w:spacing w:before="0" w:after="0"/>
    </w:pPr>
    <w:rPr>
      <w:color w:val="FFFFFF" w:themeColor="background1"/>
    </w:rPr>
    <w:tblPr>
      <w:tblStyleRowBandSize w:val="1"/>
      <w:tblStyleColBandSize w:val="1"/>
    </w:tblPr>
    <w:tcPr>
      <w:shd w:val="clear" w:color="auto" w:fill="00813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01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02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02A" w:themeFill="accent1" w:themeFillShade="BF"/>
      </w:tcPr>
    </w:tblStylePr>
    <w:tblStylePr w:type="band1Vert">
      <w:tblPr/>
      <w:tcPr>
        <w:tcBorders>
          <w:top w:val="nil"/>
          <w:left w:val="nil"/>
          <w:bottom w:val="nil"/>
          <w:right w:val="nil"/>
          <w:insideH w:val="nil"/>
          <w:insideV w:val="nil"/>
        </w:tcBorders>
        <w:shd w:val="clear" w:color="auto" w:fill="00602A" w:themeFill="accent1" w:themeFillShade="BF"/>
      </w:tcPr>
    </w:tblStylePr>
    <w:tblStylePr w:type="band1Horz">
      <w:tblPr/>
      <w:tcPr>
        <w:tcBorders>
          <w:top w:val="nil"/>
          <w:left w:val="nil"/>
          <w:bottom w:val="nil"/>
          <w:right w:val="nil"/>
          <w:insideH w:val="nil"/>
          <w:insideV w:val="nil"/>
        </w:tcBorders>
        <w:shd w:val="clear" w:color="auto" w:fill="00602A" w:themeFill="accent1" w:themeFillShade="BF"/>
      </w:tcPr>
    </w:tblStylePr>
  </w:style>
  <w:style w:type="table" w:styleId="DarkList-Accent2">
    <w:name w:val="Dark List Accent 2"/>
    <w:basedOn w:val="TableNormal"/>
    <w:uiPriority w:val="70"/>
    <w:semiHidden/>
    <w:unhideWhenUsed/>
    <w:pPr>
      <w:spacing w:before="0" w:after="0"/>
    </w:pPr>
    <w:rPr>
      <w:color w:val="FFFFFF" w:themeColor="background1"/>
    </w:rPr>
    <w:tblPr>
      <w:tblStyleRowBandSize w:val="1"/>
      <w:tblStyleColBandSize w:val="1"/>
    </w:tblPr>
    <w:tcPr>
      <w:shd w:val="clear" w:color="auto" w:fill="DE600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2F0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6470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64701" w:themeFill="accent2" w:themeFillShade="BF"/>
      </w:tcPr>
    </w:tblStylePr>
    <w:tblStylePr w:type="band1Vert">
      <w:tblPr/>
      <w:tcPr>
        <w:tcBorders>
          <w:top w:val="nil"/>
          <w:left w:val="nil"/>
          <w:bottom w:val="nil"/>
          <w:right w:val="nil"/>
          <w:insideH w:val="nil"/>
          <w:insideV w:val="nil"/>
        </w:tcBorders>
        <w:shd w:val="clear" w:color="auto" w:fill="A64701" w:themeFill="accent2" w:themeFillShade="BF"/>
      </w:tcPr>
    </w:tblStylePr>
    <w:tblStylePr w:type="band1Horz">
      <w:tblPr/>
      <w:tcPr>
        <w:tcBorders>
          <w:top w:val="nil"/>
          <w:left w:val="nil"/>
          <w:bottom w:val="nil"/>
          <w:right w:val="nil"/>
          <w:insideH w:val="nil"/>
          <w:insideV w:val="nil"/>
        </w:tcBorders>
        <w:shd w:val="clear" w:color="auto" w:fill="A64701" w:themeFill="accent2" w:themeFillShade="BF"/>
      </w:tcPr>
    </w:tblStylePr>
  </w:style>
  <w:style w:type="table" w:styleId="DarkList-Accent3">
    <w:name w:val="Dark List Accent 3"/>
    <w:basedOn w:val="TableNormal"/>
    <w:uiPriority w:val="70"/>
    <w:semiHidden/>
    <w:unhideWhenUsed/>
    <w:pPr>
      <w:spacing w:before="0" w:after="0"/>
    </w:pPr>
    <w:rPr>
      <w:color w:val="FFFFFF" w:themeColor="background1"/>
    </w:rPr>
    <w:tblPr>
      <w:tblStyleRowBandSize w:val="1"/>
      <w:tblStyleColBandSize w:val="1"/>
    </w:tblPr>
    <w:tcPr>
      <w:shd w:val="clear" w:color="auto" w:fill="2688F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1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162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162D9" w:themeFill="accent3" w:themeFillShade="BF"/>
      </w:tcPr>
    </w:tblStylePr>
    <w:tblStylePr w:type="band1Vert">
      <w:tblPr/>
      <w:tcPr>
        <w:tcBorders>
          <w:top w:val="nil"/>
          <w:left w:val="nil"/>
          <w:bottom w:val="nil"/>
          <w:right w:val="nil"/>
          <w:insideH w:val="nil"/>
          <w:insideV w:val="nil"/>
        </w:tcBorders>
        <w:shd w:val="clear" w:color="auto" w:fill="0162D9" w:themeFill="accent3" w:themeFillShade="BF"/>
      </w:tcPr>
    </w:tblStylePr>
    <w:tblStylePr w:type="band1Horz">
      <w:tblPr/>
      <w:tcPr>
        <w:tcBorders>
          <w:top w:val="nil"/>
          <w:left w:val="nil"/>
          <w:bottom w:val="nil"/>
          <w:right w:val="nil"/>
          <w:insideH w:val="nil"/>
          <w:insideV w:val="nil"/>
        </w:tcBorders>
        <w:shd w:val="clear" w:color="auto" w:fill="0162D9" w:themeFill="accent3" w:themeFillShade="BF"/>
      </w:tcPr>
    </w:tblStylePr>
  </w:style>
  <w:style w:type="table" w:styleId="DarkList-Accent4">
    <w:name w:val="Dark List Accent 4"/>
    <w:basedOn w:val="TableNormal"/>
    <w:uiPriority w:val="70"/>
    <w:semiHidden/>
    <w:unhideWhenUsed/>
    <w:pPr>
      <w:spacing w:before="0" w:after="0"/>
    </w:pPr>
    <w:rPr>
      <w:color w:val="FFFFFF" w:themeColor="background1"/>
    </w:rPr>
    <w:tblPr>
      <w:tblStyleRowBandSize w:val="1"/>
      <w:tblStyleColBandSize w:val="1"/>
    </w:tblPr>
    <w:tcPr>
      <w:shd w:val="clear" w:color="auto" w:fill="FDAB0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0550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1810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18101" w:themeFill="accent4" w:themeFillShade="BF"/>
      </w:tcPr>
    </w:tblStylePr>
    <w:tblStylePr w:type="band1Vert">
      <w:tblPr/>
      <w:tcPr>
        <w:tcBorders>
          <w:top w:val="nil"/>
          <w:left w:val="nil"/>
          <w:bottom w:val="nil"/>
          <w:right w:val="nil"/>
          <w:insideH w:val="nil"/>
          <w:insideV w:val="nil"/>
        </w:tcBorders>
        <w:shd w:val="clear" w:color="auto" w:fill="C18101" w:themeFill="accent4" w:themeFillShade="BF"/>
      </w:tcPr>
    </w:tblStylePr>
    <w:tblStylePr w:type="band1Horz">
      <w:tblPr/>
      <w:tcPr>
        <w:tcBorders>
          <w:top w:val="nil"/>
          <w:left w:val="nil"/>
          <w:bottom w:val="nil"/>
          <w:right w:val="nil"/>
          <w:insideH w:val="nil"/>
          <w:insideV w:val="nil"/>
        </w:tcBorders>
        <w:shd w:val="clear" w:color="auto" w:fill="C18101" w:themeFill="accent4" w:themeFillShade="BF"/>
      </w:tcPr>
    </w:tblStylePr>
  </w:style>
  <w:style w:type="table" w:styleId="DarkList-Accent5">
    <w:name w:val="Dark List Accent 5"/>
    <w:basedOn w:val="TableNormal"/>
    <w:uiPriority w:val="70"/>
    <w:semiHidden/>
    <w:unhideWhenUsed/>
    <w:pPr>
      <w:spacing w:before="0" w:after="0"/>
    </w:pPr>
    <w:rPr>
      <w:color w:val="FFFFFF" w:themeColor="background1"/>
    </w:rPr>
    <w:tblPr>
      <w:tblStyleRowBandSize w:val="1"/>
      <w:tblStyleColBandSize w:val="1"/>
    </w:tblPr>
    <w:tcPr>
      <w:shd w:val="clear" w:color="auto" w:fill="DC165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D0B2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4104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41045" w:themeFill="accent5" w:themeFillShade="BF"/>
      </w:tcPr>
    </w:tblStylePr>
    <w:tblStylePr w:type="band1Vert">
      <w:tblPr/>
      <w:tcPr>
        <w:tcBorders>
          <w:top w:val="nil"/>
          <w:left w:val="nil"/>
          <w:bottom w:val="nil"/>
          <w:right w:val="nil"/>
          <w:insideH w:val="nil"/>
          <w:insideV w:val="nil"/>
        </w:tcBorders>
        <w:shd w:val="clear" w:color="auto" w:fill="A41045" w:themeFill="accent5" w:themeFillShade="BF"/>
      </w:tcPr>
    </w:tblStylePr>
    <w:tblStylePr w:type="band1Horz">
      <w:tblPr/>
      <w:tcPr>
        <w:tcBorders>
          <w:top w:val="nil"/>
          <w:left w:val="nil"/>
          <w:bottom w:val="nil"/>
          <w:right w:val="nil"/>
          <w:insideH w:val="nil"/>
          <w:insideV w:val="nil"/>
        </w:tcBorders>
        <w:shd w:val="clear" w:color="auto" w:fill="A41045" w:themeFill="accent5" w:themeFillShade="BF"/>
      </w:tcPr>
    </w:tblStylePr>
  </w:style>
  <w:style w:type="table" w:styleId="DarkList-Accent6">
    <w:name w:val="Dark List Accent 6"/>
    <w:basedOn w:val="TableNormal"/>
    <w:uiPriority w:val="70"/>
    <w:semiHidden/>
    <w:unhideWhenUsed/>
    <w:pPr>
      <w:spacing w:before="0" w:after="0"/>
    </w:pPr>
    <w:rPr>
      <w:color w:val="FFFFFF" w:themeColor="background1"/>
    </w:rPr>
    <w:tblPr>
      <w:tblStyleRowBandSize w:val="1"/>
      <w:tblStyleColBandSize w:val="1"/>
    </w:tblPr>
    <w:tcPr>
      <w:shd w:val="clear" w:color="auto" w:fill="703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184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247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2477" w:themeFill="accent6" w:themeFillShade="BF"/>
      </w:tcPr>
    </w:tblStylePr>
    <w:tblStylePr w:type="band1Vert">
      <w:tblPr/>
      <w:tcPr>
        <w:tcBorders>
          <w:top w:val="nil"/>
          <w:left w:val="nil"/>
          <w:bottom w:val="nil"/>
          <w:right w:val="nil"/>
          <w:insideH w:val="nil"/>
          <w:insideV w:val="nil"/>
        </w:tcBorders>
        <w:shd w:val="clear" w:color="auto" w:fill="532477" w:themeFill="accent6" w:themeFillShade="BF"/>
      </w:tcPr>
    </w:tblStylePr>
    <w:tblStylePr w:type="band1Horz">
      <w:tblPr/>
      <w:tcPr>
        <w:tcBorders>
          <w:top w:val="nil"/>
          <w:left w:val="nil"/>
          <w:bottom w:val="nil"/>
          <w:right w:val="nil"/>
          <w:insideH w:val="nil"/>
          <w:insideV w:val="nil"/>
        </w:tcBorders>
        <w:shd w:val="clear" w:color="auto" w:fill="532477" w:themeFill="accent6" w:themeFillShade="BF"/>
      </w:tcPr>
    </w:tblStylePr>
  </w:style>
  <w:style w:type="character" w:styleId="Emphasis">
    <w:name w:val="Emphasis"/>
    <w:basedOn w:val="DefaultParagraphFont"/>
    <w:uiPriority w:val="20"/>
    <w:qFormat/>
    <w:rPr>
      <w:i/>
      <w:iCs/>
      <w:lang w:val="fr-FR"/>
    </w:rPr>
  </w:style>
  <w:style w:type="table" w:styleId="GridTable1Light">
    <w:name w:val="Grid Table 1 Light"/>
    <w:basedOn w:val="TableNormal"/>
    <w:uiPriority w:val="46"/>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pPr>
      <w:spacing w:after="0"/>
    </w:pPr>
    <w:tblPr>
      <w:tblStyleRowBandSize w:val="1"/>
      <w:tblStyleColBandSize w:val="1"/>
      <w:tblBorders>
        <w:top w:val="single" w:sz="4" w:space="0" w:color="66FFA9" w:themeColor="accent1" w:themeTint="66"/>
        <w:left w:val="single" w:sz="4" w:space="0" w:color="66FFA9" w:themeColor="accent1" w:themeTint="66"/>
        <w:bottom w:val="single" w:sz="4" w:space="0" w:color="66FFA9" w:themeColor="accent1" w:themeTint="66"/>
        <w:right w:val="single" w:sz="4" w:space="0" w:color="66FFA9" w:themeColor="accent1" w:themeTint="66"/>
        <w:insideH w:val="single" w:sz="4" w:space="0" w:color="66FFA9" w:themeColor="accent1" w:themeTint="66"/>
        <w:insideV w:val="single" w:sz="4" w:space="0" w:color="66FFA9" w:themeColor="accent1" w:themeTint="66"/>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2" w:space="0" w:color="1AFF7E"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pPr>
      <w:spacing w:after="0"/>
    </w:pPr>
    <w:tblPr>
      <w:tblStyleRowBandSize w:val="1"/>
      <w:tblStyleColBandSize w:val="1"/>
      <w:tblBorders>
        <w:top w:val="single" w:sz="4" w:space="0" w:color="FEBD8D" w:themeColor="accent2" w:themeTint="66"/>
        <w:left w:val="single" w:sz="4" w:space="0" w:color="FEBD8D" w:themeColor="accent2" w:themeTint="66"/>
        <w:bottom w:val="single" w:sz="4" w:space="0" w:color="FEBD8D" w:themeColor="accent2" w:themeTint="66"/>
        <w:right w:val="single" w:sz="4" w:space="0" w:color="FEBD8D" w:themeColor="accent2" w:themeTint="66"/>
        <w:insideH w:val="single" w:sz="4" w:space="0" w:color="FEBD8D" w:themeColor="accent2" w:themeTint="66"/>
        <w:insideV w:val="single" w:sz="4" w:space="0" w:color="FEBD8D" w:themeColor="accent2" w:themeTint="66"/>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2" w:space="0" w:color="FD9C5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pPr>
      <w:spacing w:after="0"/>
    </w:pPr>
    <w:tblPr>
      <w:tblStyleRowBandSize w:val="1"/>
      <w:tblStyleColBandSize w:val="1"/>
      <w:tblBorders>
        <w:top w:val="single" w:sz="4" w:space="0" w:color="A8CFFE" w:themeColor="accent3" w:themeTint="66"/>
        <w:left w:val="single" w:sz="4" w:space="0" w:color="A8CFFE" w:themeColor="accent3" w:themeTint="66"/>
        <w:bottom w:val="single" w:sz="4" w:space="0" w:color="A8CFFE" w:themeColor="accent3" w:themeTint="66"/>
        <w:right w:val="single" w:sz="4" w:space="0" w:color="A8CFFE" w:themeColor="accent3" w:themeTint="66"/>
        <w:insideH w:val="single" w:sz="4" w:space="0" w:color="A8CFFE" w:themeColor="accent3" w:themeTint="66"/>
        <w:insideV w:val="single" w:sz="4" w:space="0" w:color="A8CFFE" w:themeColor="accent3" w:themeTint="66"/>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2" w:space="0" w:color="7CB7F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pPr>
      <w:spacing w:after="0"/>
    </w:pPr>
    <w:tblPr>
      <w:tblStyleRowBandSize w:val="1"/>
      <w:tblStyleColBandSize w:val="1"/>
      <w:tblBorders>
        <w:top w:val="single" w:sz="4" w:space="0" w:color="FEDD9B" w:themeColor="accent4" w:themeTint="66"/>
        <w:left w:val="single" w:sz="4" w:space="0" w:color="FEDD9B" w:themeColor="accent4" w:themeTint="66"/>
        <w:bottom w:val="single" w:sz="4" w:space="0" w:color="FEDD9B" w:themeColor="accent4" w:themeTint="66"/>
        <w:right w:val="single" w:sz="4" w:space="0" w:color="FEDD9B" w:themeColor="accent4" w:themeTint="66"/>
        <w:insideH w:val="single" w:sz="4" w:space="0" w:color="FEDD9B" w:themeColor="accent4" w:themeTint="66"/>
        <w:insideV w:val="single" w:sz="4" w:space="0" w:color="FEDD9B" w:themeColor="accent4" w:themeTint="66"/>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2" w:space="0" w:color="FDCC6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pPr>
      <w:spacing w:after="0"/>
    </w:pPr>
    <w:tblPr>
      <w:tblStyleRowBandSize w:val="1"/>
      <w:tblStyleColBandSize w:val="1"/>
      <w:tblBorders>
        <w:top w:val="single" w:sz="4" w:space="0" w:color="F59DBC" w:themeColor="accent5" w:themeTint="66"/>
        <w:left w:val="single" w:sz="4" w:space="0" w:color="F59DBC" w:themeColor="accent5" w:themeTint="66"/>
        <w:bottom w:val="single" w:sz="4" w:space="0" w:color="F59DBC" w:themeColor="accent5" w:themeTint="66"/>
        <w:right w:val="single" w:sz="4" w:space="0" w:color="F59DBC" w:themeColor="accent5" w:themeTint="66"/>
        <w:insideH w:val="single" w:sz="4" w:space="0" w:color="F59DBC" w:themeColor="accent5" w:themeTint="66"/>
        <w:insideV w:val="single" w:sz="4" w:space="0" w:color="F59DBC" w:themeColor="accent5" w:themeTint="66"/>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2" w:space="0" w:color="F06C9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pPr>
      <w:spacing w:after="0"/>
    </w:pPr>
    <w:tblPr>
      <w:tblStyleRowBandSize w:val="1"/>
      <w:tblStyleColBandSize w:val="1"/>
      <w:tblBorders>
        <w:top w:val="single" w:sz="4" w:space="0" w:color="C6A1E3" w:themeColor="accent6" w:themeTint="66"/>
        <w:left w:val="single" w:sz="4" w:space="0" w:color="C6A1E3" w:themeColor="accent6" w:themeTint="66"/>
        <w:bottom w:val="single" w:sz="4" w:space="0" w:color="C6A1E3" w:themeColor="accent6" w:themeTint="66"/>
        <w:right w:val="single" w:sz="4" w:space="0" w:color="C6A1E3" w:themeColor="accent6" w:themeTint="66"/>
        <w:insideH w:val="single" w:sz="4" w:space="0" w:color="C6A1E3" w:themeColor="accent6" w:themeTint="66"/>
        <w:insideV w:val="single" w:sz="4" w:space="0" w:color="C6A1E3" w:themeColor="accent6" w:themeTint="66"/>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2" w:space="0" w:color="AB73D5"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pPr>
      <w:spacing w:after="0"/>
    </w:pPr>
    <w:tblPr>
      <w:tblStyleRowBandSize w:val="1"/>
      <w:tblStyleColBandSize w:val="1"/>
      <w:tblBorders>
        <w:top w:val="single" w:sz="2" w:space="0" w:color="1AFF7E" w:themeColor="accent1" w:themeTint="99"/>
        <w:bottom w:val="single" w:sz="2" w:space="0" w:color="1AFF7E" w:themeColor="accent1" w:themeTint="99"/>
        <w:insideH w:val="single" w:sz="2" w:space="0" w:color="1AFF7E" w:themeColor="accent1" w:themeTint="99"/>
        <w:insideV w:val="single" w:sz="2" w:space="0" w:color="1AFF7E" w:themeColor="accent1" w:themeTint="99"/>
      </w:tblBorders>
    </w:tblPr>
    <w:tblStylePr w:type="firstRow">
      <w:rPr>
        <w:b/>
        <w:bCs/>
      </w:rPr>
      <w:tblPr/>
      <w:tcPr>
        <w:tcBorders>
          <w:top w:val="nil"/>
          <w:bottom w:val="single" w:sz="12" w:space="0" w:color="1AFF7E" w:themeColor="accent1" w:themeTint="99"/>
          <w:insideH w:val="nil"/>
          <w:insideV w:val="nil"/>
        </w:tcBorders>
        <w:shd w:val="clear" w:color="auto" w:fill="FFFFFF" w:themeFill="background1"/>
      </w:tcPr>
    </w:tblStylePr>
    <w:tblStylePr w:type="lastRow">
      <w:rPr>
        <w:b/>
        <w:bCs/>
      </w:rPr>
      <w:tblPr/>
      <w:tcPr>
        <w:tcBorders>
          <w:top w:val="double" w:sz="2" w:space="0" w:color="1AFF7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2-Accent3">
    <w:name w:val="Grid Table 2 Accent 3"/>
    <w:basedOn w:val="TableNormal"/>
    <w:uiPriority w:val="47"/>
    <w:pPr>
      <w:spacing w:after="0"/>
    </w:pPr>
    <w:tblPr>
      <w:tblStyleRowBandSize w:val="1"/>
      <w:tblStyleColBandSize w:val="1"/>
      <w:tblBorders>
        <w:top w:val="single" w:sz="2" w:space="0" w:color="7CB7FE" w:themeColor="accent3" w:themeTint="99"/>
        <w:bottom w:val="single" w:sz="2" w:space="0" w:color="7CB7FE" w:themeColor="accent3" w:themeTint="99"/>
        <w:insideH w:val="single" w:sz="2" w:space="0" w:color="7CB7FE" w:themeColor="accent3" w:themeTint="99"/>
        <w:insideV w:val="single" w:sz="2" w:space="0" w:color="7CB7FE" w:themeColor="accent3" w:themeTint="99"/>
      </w:tblBorders>
    </w:tblPr>
    <w:tblStylePr w:type="firstRow">
      <w:rPr>
        <w:b/>
        <w:bCs/>
      </w:rPr>
      <w:tblPr/>
      <w:tcPr>
        <w:tcBorders>
          <w:top w:val="nil"/>
          <w:bottom w:val="single" w:sz="12" w:space="0" w:color="7CB7FE" w:themeColor="accent3" w:themeTint="99"/>
          <w:insideH w:val="nil"/>
          <w:insideV w:val="nil"/>
        </w:tcBorders>
        <w:shd w:val="clear" w:color="auto" w:fill="FFFFFF" w:themeFill="background1"/>
      </w:tcPr>
    </w:tblStylePr>
    <w:tblStylePr w:type="lastRow">
      <w:rPr>
        <w:b/>
        <w:bCs/>
      </w:rPr>
      <w:tblPr/>
      <w:tcPr>
        <w:tcBorders>
          <w:top w:val="double" w:sz="2" w:space="0" w:color="7CB7F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2-Accent4">
    <w:name w:val="Grid Table 2 Accent 4"/>
    <w:basedOn w:val="TableNormal"/>
    <w:uiPriority w:val="47"/>
    <w:pPr>
      <w:spacing w:after="0"/>
    </w:pPr>
    <w:tblPr>
      <w:tblStyleRowBandSize w:val="1"/>
      <w:tblStyleColBandSize w:val="1"/>
      <w:tblBorders>
        <w:top w:val="single" w:sz="2" w:space="0" w:color="FDCC6A" w:themeColor="accent4" w:themeTint="99"/>
        <w:bottom w:val="single" w:sz="2" w:space="0" w:color="FDCC6A" w:themeColor="accent4" w:themeTint="99"/>
        <w:insideH w:val="single" w:sz="2" w:space="0" w:color="FDCC6A" w:themeColor="accent4" w:themeTint="99"/>
        <w:insideV w:val="single" w:sz="2" w:space="0" w:color="FDCC6A" w:themeColor="accent4" w:themeTint="99"/>
      </w:tblBorders>
    </w:tblPr>
    <w:tblStylePr w:type="firstRow">
      <w:rPr>
        <w:b/>
        <w:bCs/>
      </w:rPr>
      <w:tblPr/>
      <w:tcPr>
        <w:tcBorders>
          <w:top w:val="nil"/>
          <w:bottom w:val="single" w:sz="12" w:space="0" w:color="FDCC6A" w:themeColor="accent4" w:themeTint="99"/>
          <w:insideH w:val="nil"/>
          <w:insideV w:val="nil"/>
        </w:tcBorders>
        <w:shd w:val="clear" w:color="auto" w:fill="FFFFFF" w:themeFill="background1"/>
      </w:tcPr>
    </w:tblStylePr>
    <w:tblStylePr w:type="lastRow">
      <w:rPr>
        <w:b/>
        <w:bCs/>
      </w:rPr>
      <w:tblPr/>
      <w:tcPr>
        <w:tcBorders>
          <w:top w:val="double" w:sz="2" w:space="0" w:color="FDCC6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2-Accent5">
    <w:name w:val="Grid Table 2 Accent 5"/>
    <w:basedOn w:val="TableNormal"/>
    <w:uiPriority w:val="47"/>
    <w:pPr>
      <w:spacing w:after="0"/>
    </w:pPr>
    <w:tblPr>
      <w:tblStyleRowBandSize w:val="1"/>
      <w:tblStyleColBandSize w:val="1"/>
      <w:tblBorders>
        <w:top w:val="single" w:sz="2" w:space="0" w:color="F06C9B" w:themeColor="accent5" w:themeTint="99"/>
        <w:bottom w:val="single" w:sz="2" w:space="0" w:color="F06C9B" w:themeColor="accent5" w:themeTint="99"/>
        <w:insideH w:val="single" w:sz="2" w:space="0" w:color="F06C9B" w:themeColor="accent5" w:themeTint="99"/>
        <w:insideV w:val="single" w:sz="2" w:space="0" w:color="F06C9B" w:themeColor="accent5" w:themeTint="99"/>
      </w:tblBorders>
    </w:tblPr>
    <w:tblStylePr w:type="firstRow">
      <w:rPr>
        <w:b/>
        <w:bCs/>
      </w:rPr>
      <w:tblPr/>
      <w:tcPr>
        <w:tcBorders>
          <w:top w:val="nil"/>
          <w:bottom w:val="single" w:sz="12" w:space="0" w:color="F06C9B" w:themeColor="accent5" w:themeTint="99"/>
          <w:insideH w:val="nil"/>
          <w:insideV w:val="nil"/>
        </w:tcBorders>
        <w:shd w:val="clear" w:color="auto" w:fill="FFFFFF" w:themeFill="background1"/>
      </w:tcPr>
    </w:tblStylePr>
    <w:tblStylePr w:type="lastRow">
      <w:rPr>
        <w:b/>
        <w:bCs/>
      </w:rPr>
      <w:tblPr/>
      <w:tcPr>
        <w:tcBorders>
          <w:top w:val="double" w:sz="2" w:space="0" w:color="F06C9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2-Accent6">
    <w:name w:val="Grid Table 2 Accent 6"/>
    <w:basedOn w:val="TableNormal"/>
    <w:uiPriority w:val="47"/>
    <w:pPr>
      <w:spacing w:after="0"/>
    </w:pPr>
    <w:tblPr>
      <w:tblStyleRowBandSize w:val="1"/>
      <w:tblStyleColBandSize w:val="1"/>
      <w:tblBorders>
        <w:top w:val="single" w:sz="2" w:space="0" w:color="AB73D5" w:themeColor="accent6" w:themeTint="99"/>
        <w:bottom w:val="single" w:sz="2" w:space="0" w:color="AB73D5" w:themeColor="accent6" w:themeTint="99"/>
        <w:insideH w:val="single" w:sz="2" w:space="0" w:color="AB73D5" w:themeColor="accent6" w:themeTint="99"/>
        <w:insideV w:val="single" w:sz="2" w:space="0" w:color="AB73D5" w:themeColor="accent6" w:themeTint="99"/>
      </w:tblBorders>
    </w:tblPr>
    <w:tblStylePr w:type="firstRow">
      <w:rPr>
        <w:b/>
        <w:bCs/>
      </w:rPr>
      <w:tblPr/>
      <w:tcPr>
        <w:tcBorders>
          <w:top w:val="nil"/>
          <w:bottom w:val="single" w:sz="12" w:space="0" w:color="AB73D5" w:themeColor="accent6" w:themeTint="99"/>
          <w:insideH w:val="nil"/>
          <w:insideV w:val="nil"/>
        </w:tcBorders>
        <w:shd w:val="clear" w:color="auto" w:fill="FFFFFF" w:themeFill="background1"/>
      </w:tcPr>
    </w:tblStylePr>
    <w:tblStylePr w:type="lastRow">
      <w:rPr>
        <w:b/>
        <w:bCs/>
      </w:rPr>
      <w:tblPr/>
      <w:tcPr>
        <w:tcBorders>
          <w:top w:val="double" w:sz="2" w:space="0" w:color="AB73D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3">
    <w:name w:val="Grid Table 3"/>
    <w:basedOn w:val="TableNormal"/>
    <w:uiPriority w:val="4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pPr>
      <w:spacing w:after="0"/>
    </w:p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3-Accent2">
    <w:name w:val="Grid Table 3 Accent 2"/>
    <w:basedOn w:val="TableNormal"/>
    <w:uiPriority w:val="48"/>
    <w:pPr>
      <w:spacing w:after="0"/>
    </w:p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3-Accent3">
    <w:name w:val="Grid Table 3 Accent 3"/>
    <w:basedOn w:val="TableNormal"/>
    <w:uiPriority w:val="48"/>
    <w:pPr>
      <w:spacing w:after="0"/>
    </w:p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3-Accent4">
    <w:name w:val="Grid Table 3 Accent 4"/>
    <w:basedOn w:val="TableNormal"/>
    <w:uiPriority w:val="48"/>
    <w:pPr>
      <w:spacing w:after="0"/>
    </w:p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3-Accent5">
    <w:name w:val="Grid Table 3 Accent 5"/>
    <w:basedOn w:val="TableNormal"/>
    <w:uiPriority w:val="48"/>
    <w:pPr>
      <w:spacing w:after="0"/>
    </w:p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3-Accent6">
    <w:name w:val="Grid Table 3 Accent 6"/>
    <w:basedOn w:val="TableNormal"/>
    <w:uiPriority w:val="48"/>
    <w:pPr>
      <w:spacing w:after="0"/>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table" w:styleId="GridTable4">
    <w:name w:val="Grid Table 4"/>
    <w:basedOn w:val="TableNormal"/>
    <w:uiPriority w:val="49"/>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pPr>
      <w:spacing w:after="0"/>
    </w:p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insideV w:val="nil"/>
        </w:tcBorders>
        <w:shd w:val="clear" w:color="auto" w:fill="008139" w:themeFill="accent1"/>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4-Accent3">
    <w:name w:val="Grid Table 4 Accent 3"/>
    <w:basedOn w:val="TableNormal"/>
    <w:uiPriority w:val="49"/>
    <w:pPr>
      <w:spacing w:after="0"/>
    </w:p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insideV w:val="nil"/>
        </w:tcBorders>
        <w:shd w:val="clear" w:color="auto" w:fill="2688FE" w:themeFill="accent3"/>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4-Accent4">
    <w:name w:val="Grid Table 4 Accent 4"/>
    <w:basedOn w:val="TableNormal"/>
    <w:uiPriority w:val="49"/>
    <w:pPr>
      <w:spacing w:after="0"/>
    </w:p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insideV w:val="nil"/>
        </w:tcBorders>
        <w:shd w:val="clear" w:color="auto" w:fill="FDAB07" w:themeFill="accent4"/>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4-Accent5">
    <w:name w:val="Grid Table 4 Accent 5"/>
    <w:basedOn w:val="TableNormal"/>
    <w:uiPriority w:val="49"/>
    <w:pPr>
      <w:spacing w:after="0"/>
    </w:p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insideV w:val="nil"/>
        </w:tcBorders>
        <w:shd w:val="clear" w:color="auto" w:fill="DC165D" w:themeFill="accent5"/>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4-Accent6">
    <w:name w:val="Grid Table 4 Accent 6"/>
    <w:basedOn w:val="TableNormal"/>
    <w:uiPriority w:val="49"/>
    <w:pPr>
      <w:spacing w:after="0"/>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insideV w:val="nil"/>
        </w:tcBorders>
        <w:shd w:val="clear" w:color="auto" w:fill="7030A0" w:themeFill="accent6"/>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5Dark">
    <w:name w:val="Grid Table 5 Dark"/>
    <w:basedOn w:val="TableNormal"/>
    <w:uiPriority w:val="5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FFD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13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13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13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139" w:themeFill="accent1"/>
      </w:tcPr>
    </w:tblStylePr>
    <w:tblStylePr w:type="band1Vert">
      <w:tblPr/>
      <w:tcPr>
        <w:shd w:val="clear" w:color="auto" w:fill="66FFA9" w:themeFill="accent1" w:themeFillTint="66"/>
      </w:tcPr>
    </w:tblStylePr>
    <w:tblStylePr w:type="band1Horz">
      <w:tblPr/>
      <w:tcPr>
        <w:shd w:val="clear" w:color="auto" w:fill="66FFA9" w:themeFill="accent1" w:themeFillTint="66"/>
      </w:tcPr>
    </w:tblStylePr>
  </w:style>
  <w:style w:type="table" w:styleId="GridTable5Dark-Accent2">
    <w:name w:val="Grid Table 5 Dark Accent 2"/>
    <w:basedOn w:val="TableNormal"/>
    <w:uiPriority w:val="5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EC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600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600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600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6002" w:themeFill="accent2"/>
      </w:tcPr>
    </w:tblStylePr>
    <w:tblStylePr w:type="band1Vert">
      <w:tblPr/>
      <w:tcPr>
        <w:shd w:val="clear" w:color="auto" w:fill="FEBD8D" w:themeFill="accent2" w:themeFillTint="66"/>
      </w:tcPr>
    </w:tblStylePr>
    <w:tblStylePr w:type="band1Horz">
      <w:tblPr/>
      <w:tcPr>
        <w:shd w:val="clear" w:color="auto" w:fill="FEBD8D" w:themeFill="accent2" w:themeFillTint="66"/>
      </w:tcPr>
    </w:tblStylePr>
  </w:style>
  <w:style w:type="table" w:styleId="GridTable5Dark-Accent3">
    <w:name w:val="Grid Table 5 Dark Accent 3"/>
    <w:basedOn w:val="TableNormal"/>
    <w:uiPriority w:val="5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7F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8F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8F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8F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8FE" w:themeFill="accent3"/>
      </w:tcPr>
    </w:tblStylePr>
    <w:tblStylePr w:type="band1Vert">
      <w:tblPr/>
      <w:tcPr>
        <w:shd w:val="clear" w:color="auto" w:fill="A8CFFE" w:themeFill="accent3" w:themeFillTint="66"/>
      </w:tcPr>
    </w:tblStylePr>
    <w:tblStylePr w:type="band1Horz">
      <w:tblPr/>
      <w:tcPr>
        <w:shd w:val="clear" w:color="auto" w:fill="A8CFFE" w:themeFill="accent3" w:themeFillTint="66"/>
      </w:tcPr>
    </w:tblStylePr>
  </w:style>
  <w:style w:type="table" w:styleId="GridTable5Dark-Accent4">
    <w:name w:val="Grid Table 5 Dark Accent 4"/>
    <w:basedOn w:val="TableNormal"/>
    <w:uiPriority w:val="5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EC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AB0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AB0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DAB0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DAB07" w:themeFill="accent4"/>
      </w:tcPr>
    </w:tblStylePr>
    <w:tblStylePr w:type="band1Vert">
      <w:tblPr/>
      <w:tcPr>
        <w:shd w:val="clear" w:color="auto" w:fill="FEDD9B" w:themeFill="accent4" w:themeFillTint="66"/>
      </w:tcPr>
    </w:tblStylePr>
    <w:tblStylePr w:type="band1Horz">
      <w:tblPr/>
      <w:tcPr>
        <w:shd w:val="clear" w:color="auto" w:fill="FEDD9B" w:themeFill="accent4" w:themeFillTint="66"/>
      </w:tcPr>
    </w:tblStylePr>
  </w:style>
  <w:style w:type="table" w:styleId="GridTable5Dark-Accent5">
    <w:name w:val="Grid Table 5 Dark Accent 5"/>
    <w:basedOn w:val="TableNormal"/>
    <w:uiPriority w:val="5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CED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C165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C165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C165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C165D" w:themeFill="accent5"/>
      </w:tcPr>
    </w:tblStylePr>
    <w:tblStylePr w:type="band1Vert">
      <w:tblPr/>
      <w:tcPr>
        <w:shd w:val="clear" w:color="auto" w:fill="F59DBC" w:themeFill="accent5" w:themeFillTint="66"/>
      </w:tcPr>
    </w:tblStylePr>
    <w:tblStylePr w:type="band1Horz">
      <w:tblPr/>
      <w:tcPr>
        <w:shd w:val="clear" w:color="auto" w:fill="F59DBC" w:themeFill="accent5" w:themeFillTint="66"/>
      </w:tcPr>
    </w:tblStylePr>
  </w:style>
  <w:style w:type="table" w:styleId="GridTable5Dark-Accent6">
    <w:name w:val="Grid Table 5 Dark Accent 6"/>
    <w:basedOn w:val="TableNormal"/>
    <w:uiPriority w:val="5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D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3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3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3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30A0" w:themeFill="accent6"/>
      </w:tcPr>
    </w:tblStylePr>
    <w:tblStylePr w:type="band1Vert">
      <w:tblPr/>
      <w:tcPr>
        <w:shd w:val="clear" w:color="auto" w:fill="C6A1E3" w:themeFill="accent6" w:themeFillTint="66"/>
      </w:tcPr>
    </w:tblStylePr>
    <w:tblStylePr w:type="band1Horz">
      <w:tblPr/>
      <w:tcPr>
        <w:shd w:val="clear" w:color="auto" w:fill="C6A1E3" w:themeFill="accent6" w:themeFillTint="66"/>
      </w:tcPr>
    </w:tblStylePr>
  </w:style>
  <w:style w:type="table" w:styleId="GridTable6Colorful">
    <w:name w:val="Grid Table 6 Colorful"/>
    <w:basedOn w:val="TableNormal"/>
    <w:uiPriority w:val="5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pPr>
      <w:spacing w:after="0"/>
    </w:pPr>
    <w:rPr>
      <w:color w:val="00602A" w:themeColor="accent1" w:themeShade="BF"/>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6Colorful-Accent2">
    <w:name w:val="Grid Table 6 Colorful Accent 2"/>
    <w:basedOn w:val="TableNormal"/>
    <w:uiPriority w:val="51"/>
    <w:pPr>
      <w:spacing w:after="0"/>
    </w:pPr>
    <w:rPr>
      <w:color w:val="A64701" w:themeColor="accent2" w:themeShade="BF"/>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6Colorful-Accent3">
    <w:name w:val="Grid Table 6 Colorful Accent 3"/>
    <w:basedOn w:val="TableNormal"/>
    <w:uiPriority w:val="51"/>
    <w:pPr>
      <w:spacing w:after="0"/>
    </w:pPr>
    <w:rPr>
      <w:color w:val="0162D9" w:themeColor="accent3" w:themeShade="BF"/>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6Colorful-Accent4">
    <w:name w:val="Grid Table 6 Colorful Accent 4"/>
    <w:basedOn w:val="TableNormal"/>
    <w:uiPriority w:val="51"/>
    <w:pPr>
      <w:spacing w:after="0"/>
    </w:pPr>
    <w:rPr>
      <w:color w:val="C18101" w:themeColor="accent4" w:themeShade="BF"/>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6Colorful-Accent5">
    <w:name w:val="Grid Table 6 Colorful Accent 5"/>
    <w:basedOn w:val="TableNormal"/>
    <w:uiPriority w:val="51"/>
    <w:pPr>
      <w:spacing w:after="0"/>
    </w:pPr>
    <w:rPr>
      <w:color w:val="A41045" w:themeColor="accent5" w:themeShade="BF"/>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6Colorful-Accent6">
    <w:name w:val="Grid Table 6 Colorful Accent 6"/>
    <w:basedOn w:val="TableNormal"/>
    <w:uiPriority w:val="51"/>
    <w:pPr>
      <w:spacing w:after="0"/>
    </w:pPr>
    <w:rPr>
      <w:color w:val="532477" w:themeColor="accent6" w:themeShade="BF"/>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7Colorful">
    <w:name w:val="Grid Table 7 Colorful"/>
    <w:basedOn w:val="TableNormal"/>
    <w:uiPriority w:val="52"/>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pPr>
      <w:spacing w:after="0"/>
    </w:pPr>
    <w:rPr>
      <w:color w:val="00602A" w:themeColor="accent1" w:themeShade="BF"/>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7Colorful-Accent2">
    <w:name w:val="Grid Table 7 Colorful Accent 2"/>
    <w:basedOn w:val="TableNormal"/>
    <w:uiPriority w:val="52"/>
    <w:pPr>
      <w:spacing w:after="0"/>
    </w:pPr>
    <w:rPr>
      <w:color w:val="A64701" w:themeColor="accent2" w:themeShade="BF"/>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7Colorful-Accent3">
    <w:name w:val="Grid Table 7 Colorful Accent 3"/>
    <w:basedOn w:val="TableNormal"/>
    <w:uiPriority w:val="52"/>
    <w:pPr>
      <w:spacing w:after="0"/>
    </w:pPr>
    <w:rPr>
      <w:color w:val="0162D9" w:themeColor="accent3" w:themeShade="BF"/>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7Colorful-Accent4">
    <w:name w:val="Grid Table 7 Colorful Accent 4"/>
    <w:basedOn w:val="TableNormal"/>
    <w:uiPriority w:val="52"/>
    <w:pPr>
      <w:spacing w:after="0"/>
    </w:pPr>
    <w:rPr>
      <w:color w:val="C18101" w:themeColor="accent4" w:themeShade="BF"/>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7Colorful-Accent5">
    <w:name w:val="Grid Table 7 Colorful Accent 5"/>
    <w:basedOn w:val="TableNormal"/>
    <w:uiPriority w:val="52"/>
    <w:pPr>
      <w:spacing w:after="0"/>
    </w:pPr>
    <w:rPr>
      <w:color w:val="A41045" w:themeColor="accent5" w:themeShade="BF"/>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7Colorful-Accent6">
    <w:name w:val="Grid Table 7 Colorful Accent 6"/>
    <w:basedOn w:val="TableNormal"/>
    <w:uiPriority w:val="52"/>
    <w:pPr>
      <w:spacing w:after="0"/>
    </w:pPr>
    <w:rPr>
      <w:color w:val="532477" w:themeColor="accent6" w:themeShade="BF"/>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character" w:styleId="IntenseEmphasis">
    <w:name w:val="Intense Emphasis"/>
    <w:basedOn w:val="DefaultParagraphFont"/>
    <w:uiPriority w:val="21"/>
    <w:semiHidden/>
    <w:rPr>
      <w:i/>
      <w:iCs/>
      <w:color w:val="003399" w:themeColor="text2"/>
      <w:lang w:val="fr-FR"/>
    </w:rPr>
  </w:style>
  <w:style w:type="character" w:styleId="IntenseReference">
    <w:name w:val="Intense Reference"/>
    <w:basedOn w:val="DefaultParagraphFont"/>
    <w:uiPriority w:val="32"/>
    <w:semiHidden/>
    <w:rPr>
      <w:b/>
      <w:bCs/>
      <w:smallCaps/>
      <w:color w:val="003399" w:themeColor="text2"/>
      <w:spacing w:val="5"/>
      <w:lang w:val="fr-FR"/>
    </w:rPr>
  </w:style>
  <w:style w:type="table" w:styleId="LightGrid">
    <w:name w:val="Light Grid"/>
    <w:basedOn w:val="TableNormal"/>
    <w:uiPriority w:val="62"/>
    <w:semiHidden/>
    <w:unhideWhenUsed/>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pPr>
      <w:spacing w:before="0" w:after="0"/>
    </w:p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18" w:space="0" w:color="008139" w:themeColor="accent1"/>
          <w:right w:val="single" w:sz="8" w:space="0" w:color="008139" w:themeColor="accent1"/>
          <w:insideH w:val="nil"/>
          <w:insideV w:val="single" w:sz="8" w:space="0" w:color="00813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insideH w:val="nil"/>
          <w:insideV w:val="single" w:sz="8" w:space="0" w:color="00813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shd w:val="clear" w:color="auto" w:fill="A0FFCA" w:themeFill="accent1" w:themeFillTint="3F"/>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shd w:val="clear" w:color="auto" w:fill="A0FFCA" w:themeFill="accent1" w:themeFillTint="3F"/>
      </w:tcPr>
    </w:tblStylePr>
    <w:tblStylePr w:type="band2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tcPr>
    </w:tblStylePr>
  </w:style>
  <w:style w:type="table" w:styleId="LightGrid-Accent2">
    <w:name w:val="Light Grid Accent 2"/>
    <w:basedOn w:val="TableNormal"/>
    <w:uiPriority w:val="62"/>
    <w:semiHidden/>
    <w:unhideWhenUsed/>
    <w:pPr>
      <w:spacing w:before="0" w:after="0"/>
    </w:p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18" w:space="0" w:color="DE6002" w:themeColor="accent2"/>
          <w:right w:val="single" w:sz="8" w:space="0" w:color="DE6002" w:themeColor="accent2"/>
          <w:insideH w:val="nil"/>
          <w:insideV w:val="single" w:sz="8" w:space="0" w:color="DE600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insideH w:val="nil"/>
          <w:insideV w:val="single" w:sz="8" w:space="0" w:color="DE600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shd w:val="clear" w:color="auto" w:fill="FED6B8" w:themeFill="accent2" w:themeFillTint="3F"/>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shd w:val="clear" w:color="auto" w:fill="FED6B8" w:themeFill="accent2" w:themeFillTint="3F"/>
      </w:tcPr>
    </w:tblStylePr>
    <w:tblStylePr w:type="band2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tcPr>
    </w:tblStylePr>
  </w:style>
  <w:style w:type="table" w:styleId="LightGrid-Accent3">
    <w:name w:val="Light Grid Accent 3"/>
    <w:basedOn w:val="TableNormal"/>
    <w:uiPriority w:val="62"/>
    <w:semiHidden/>
    <w:unhideWhenUsed/>
    <w:pPr>
      <w:spacing w:before="0" w:after="0"/>
    </w:p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18" w:space="0" w:color="2688FE" w:themeColor="accent3"/>
          <w:right w:val="single" w:sz="8" w:space="0" w:color="2688FE" w:themeColor="accent3"/>
          <w:insideH w:val="nil"/>
          <w:insideV w:val="single" w:sz="8" w:space="0" w:color="2688F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insideH w:val="nil"/>
          <w:insideV w:val="single" w:sz="8" w:space="0" w:color="2688F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shd w:val="clear" w:color="auto" w:fill="C9E1FE" w:themeFill="accent3" w:themeFillTint="3F"/>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shd w:val="clear" w:color="auto" w:fill="C9E1FE" w:themeFill="accent3" w:themeFillTint="3F"/>
      </w:tcPr>
    </w:tblStylePr>
    <w:tblStylePr w:type="band2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tcPr>
    </w:tblStylePr>
  </w:style>
  <w:style w:type="table" w:styleId="LightGrid-Accent4">
    <w:name w:val="Light Grid Accent 4"/>
    <w:basedOn w:val="TableNormal"/>
    <w:uiPriority w:val="62"/>
    <w:semiHidden/>
    <w:unhideWhenUsed/>
    <w:pPr>
      <w:spacing w:before="0" w:after="0"/>
    </w:p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18" w:space="0" w:color="FDAB07" w:themeColor="accent4"/>
          <w:right w:val="single" w:sz="8" w:space="0" w:color="FDAB07" w:themeColor="accent4"/>
          <w:insideH w:val="nil"/>
          <w:insideV w:val="single" w:sz="8" w:space="0" w:color="FDAB0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insideH w:val="nil"/>
          <w:insideV w:val="single" w:sz="8" w:space="0" w:color="FDAB0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shd w:val="clear" w:color="auto" w:fill="FEEAC1" w:themeFill="accent4" w:themeFillTint="3F"/>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shd w:val="clear" w:color="auto" w:fill="FEEAC1" w:themeFill="accent4" w:themeFillTint="3F"/>
      </w:tcPr>
    </w:tblStylePr>
    <w:tblStylePr w:type="band2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tcPr>
    </w:tblStylePr>
  </w:style>
  <w:style w:type="table" w:styleId="LightGrid-Accent5">
    <w:name w:val="Light Grid Accent 5"/>
    <w:basedOn w:val="TableNormal"/>
    <w:uiPriority w:val="62"/>
    <w:semiHidden/>
    <w:unhideWhenUsed/>
    <w:pPr>
      <w:spacing w:before="0" w:after="0"/>
    </w:p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18" w:space="0" w:color="DC165D" w:themeColor="accent5"/>
          <w:right w:val="single" w:sz="8" w:space="0" w:color="DC165D" w:themeColor="accent5"/>
          <w:insideH w:val="nil"/>
          <w:insideV w:val="single" w:sz="8" w:space="0" w:color="DC165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insideH w:val="nil"/>
          <w:insideV w:val="single" w:sz="8" w:space="0" w:color="DC165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shd w:val="clear" w:color="auto" w:fill="F9C2D6" w:themeFill="accent5" w:themeFillTint="3F"/>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shd w:val="clear" w:color="auto" w:fill="F9C2D6" w:themeFill="accent5" w:themeFillTint="3F"/>
      </w:tcPr>
    </w:tblStylePr>
    <w:tblStylePr w:type="band2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tcPr>
    </w:tblStylePr>
  </w:style>
  <w:style w:type="table" w:styleId="LightGrid-Accent6">
    <w:name w:val="Light Grid Accent 6"/>
    <w:basedOn w:val="TableNormal"/>
    <w:uiPriority w:val="62"/>
    <w:semiHidden/>
    <w:unhideWhenUsed/>
    <w:pPr>
      <w:spacing w:before="0" w:after="0"/>
    </w:p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18" w:space="0" w:color="7030A0" w:themeColor="accent6"/>
          <w:right w:val="single" w:sz="8" w:space="0" w:color="7030A0" w:themeColor="accent6"/>
          <w:insideH w:val="nil"/>
          <w:insideV w:val="single" w:sz="8" w:space="0" w:color="703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insideH w:val="nil"/>
          <w:insideV w:val="single" w:sz="8" w:space="0" w:color="703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shd w:val="clear" w:color="auto" w:fill="DCC5ED" w:themeFill="accent6" w:themeFillTint="3F"/>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shd w:val="clear" w:color="auto" w:fill="DCC5ED" w:themeFill="accent6" w:themeFillTint="3F"/>
      </w:tcPr>
    </w:tblStylePr>
    <w:tblStylePr w:type="band2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tcPr>
    </w:tblStylePr>
  </w:style>
  <w:style w:type="table" w:styleId="LightList">
    <w:name w:val="Light List"/>
    <w:basedOn w:val="TableNormal"/>
    <w:uiPriority w:val="61"/>
    <w:semiHidden/>
    <w:unhideWhenUsed/>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pPr>
      <w:spacing w:before="0" w:after="0"/>
    </w:p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pPr>
        <w:spacing w:before="0" w:after="0" w:line="240" w:lineRule="auto"/>
      </w:pPr>
      <w:rPr>
        <w:b/>
        <w:bCs/>
        <w:color w:val="FFFFFF" w:themeColor="background1"/>
      </w:rPr>
      <w:tblPr/>
      <w:tcPr>
        <w:shd w:val="clear" w:color="auto" w:fill="008139" w:themeFill="accent1"/>
      </w:tcPr>
    </w:tblStylePr>
    <w:tblStylePr w:type="lastRow">
      <w:pPr>
        <w:spacing w:before="0" w:after="0" w:line="240" w:lineRule="auto"/>
      </w:pPr>
      <w:rPr>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tcBorders>
      </w:tcPr>
    </w:tblStylePr>
    <w:tblStylePr w:type="firstCol">
      <w:rPr>
        <w:b/>
        <w:bCs/>
      </w:rPr>
    </w:tblStylePr>
    <w:tblStylePr w:type="lastCol">
      <w:rPr>
        <w:b/>
        <w:bCs/>
      </w:r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style>
  <w:style w:type="table" w:styleId="LightList-Accent2">
    <w:name w:val="Light List Accent 2"/>
    <w:basedOn w:val="TableNormal"/>
    <w:uiPriority w:val="61"/>
    <w:semiHidden/>
    <w:unhideWhenUsed/>
    <w:pPr>
      <w:spacing w:before="0" w:after="0"/>
    </w:p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pPr>
        <w:spacing w:before="0" w:after="0" w:line="240" w:lineRule="auto"/>
      </w:pPr>
      <w:rPr>
        <w:b/>
        <w:bCs/>
        <w:color w:val="FFFFFF" w:themeColor="background1"/>
      </w:rPr>
      <w:tblPr/>
      <w:tcPr>
        <w:shd w:val="clear" w:color="auto" w:fill="DE6002" w:themeFill="accent2"/>
      </w:tcPr>
    </w:tblStylePr>
    <w:tblStylePr w:type="lastRow">
      <w:pPr>
        <w:spacing w:before="0" w:after="0" w:line="240" w:lineRule="auto"/>
      </w:pPr>
      <w:rPr>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tcBorders>
      </w:tcPr>
    </w:tblStylePr>
    <w:tblStylePr w:type="firstCol">
      <w:rPr>
        <w:b/>
        <w:bCs/>
      </w:rPr>
    </w:tblStylePr>
    <w:tblStylePr w:type="lastCol">
      <w:rPr>
        <w:b/>
        <w:bCs/>
      </w:r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style>
  <w:style w:type="table" w:styleId="LightList-Accent3">
    <w:name w:val="Light List Accent 3"/>
    <w:basedOn w:val="TableNormal"/>
    <w:uiPriority w:val="61"/>
    <w:semiHidden/>
    <w:unhideWhenUsed/>
    <w:pPr>
      <w:spacing w:before="0" w:after="0"/>
    </w:p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pPr>
        <w:spacing w:before="0" w:after="0" w:line="240" w:lineRule="auto"/>
      </w:pPr>
      <w:rPr>
        <w:b/>
        <w:bCs/>
        <w:color w:val="FFFFFF" w:themeColor="background1"/>
      </w:rPr>
      <w:tblPr/>
      <w:tcPr>
        <w:shd w:val="clear" w:color="auto" w:fill="2688FE" w:themeFill="accent3"/>
      </w:tcPr>
    </w:tblStylePr>
    <w:tblStylePr w:type="lastRow">
      <w:pPr>
        <w:spacing w:before="0" w:after="0" w:line="240" w:lineRule="auto"/>
      </w:pPr>
      <w:rPr>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tcBorders>
      </w:tcPr>
    </w:tblStylePr>
    <w:tblStylePr w:type="firstCol">
      <w:rPr>
        <w:b/>
        <w:bCs/>
      </w:rPr>
    </w:tblStylePr>
    <w:tblStylePr w:type="lastCol">
      <w:rPr>
        <w:b/>
        <w:bCs/>
      </w:r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style>
  <w:style w:type="table" w:styleId="LightList-Accent4">
    <w:name w:val="Light List Accent 4"/>
    <w:basedOn w:val="TableNormal"/>
    <w:uiPriority w:val="61"/>
    <w:semiHidden/>
    <w:unhideWhenUsed/>
    <w:pPr>
      <w:spacing w:before="0" w:after="0"/>
    </w:p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pPr>
        <w:spacing w:before="0" w:after="0" w:line="240" w:lineRule="auto"/>
      </w:pPr>
      <w:rPr>
        <w:b/>
        <w:bCs/>
        <w:color w:val="FFFFFF" w:themeColor="background1"/>
      </w:rPr>
      <w:tblPr/>
      <w:tcPr>
        <w:shd w:val="clear" w:color="auto" w:fill="FDAB07" w:themeFill="accent4"/>
      </w:tcPr>
    </w:tblStylePr>
    <w:tblStylePr w:type="lastRow">
      <w:pPr>
        <w:spacing w:before="0" w:after="0" w:line="240" w:lineRule="auto"/>
      </w:pPr>
      <w:rPr>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tcBorders>
      </w:tcPr>
    </w:tblStylePr>
    <w:tblStylePr w:type="firstCol">
      <w:rPr>
        <w:b/>
        <w:bCs/>
      </w:rPr>
    </w:tblStylePr>
    <w:tblStylePr w:type="lastCol">
      <w:rPr>
        <w:b/>
        <w:bCs/>
      </w:r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style>
  <w:style w:type="table" w:styleId="LightList-Accent5">
    <w:name w:val="Light List Accent 5"/>
    <w:basedOn w:val="TableNormal"/>
    <w:uiPriority w:val="61"/>
    <w:semiHidden/>
    <w:unhideWhenUsed/>
    <w:pPr>
      <w:spacing w:before="0" w:after="0"/>
    </w:p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pPr>
        <w:spacing w:before="0" w:after="0" w:line="240" w:lineRule="auto"/>
      </w:pPr>
      <w:rPr>
        <w:b/>
        <w:bCs/>
        <w:color w:val="FFFFFF" w:themeColor="background1"/>
      </w:rPr>
      <w:tblPr/>
      <w:tcPr>
        <w:shd w:val="clear" w:color="auto" w:fill="DC165D" w:themeFill="accent5"/>
      </w:tcPr>
    </w:tblStylePr>
    <w:tblStylePr w:type="lastRow">
      <w:pPr>
        <w:spacing w:before="0" w:after="0" w:line="240" w:lineRule="auto"/>
      </w:pPr>
      <w:rPr>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tcBorders>
      </w:tcPr>
    </w:tblStylePr>
    <w:tblStylePr w:type="firstCol">
      <w:rPr>
        <w:b/>
        <w:bCs/>
      </w:rPr>
    </w:tblStylePr>
    <w:tblStylePr w:type="lastCol">
      <w:rPr>
        <w:b/>
        <w:bCs/>
      </w:r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style>
  <w:style w:type="table" w:styleId="LightList-Accent6">
    <w:name w:val="Light List Accent 6"/>
    <w:basedOn w:val="TableNormal"/>
    <w:uiPriority w:val="61"/>
    <w:semiHidden/>
    <w:unhideWhenUsed/>
    <w:pPr>
      <w:spacing w:before="0" w:after="0"/>
    </w:p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pPr>
        <w:spacing w:before="0" w:after="0" w:line="240" w:lineRule="auto"/>
      </w:pPr>
      <w:rPr>
        <w:b/>
        <w:bCs/>
        <w:color w:val="FFFFFF" w:themeColor="background1"/>
      </w:rPr>
      <w:tblPr/>
      <w:tcPr>
        <w:shd w:val="clear" w:color="auto" w:fill="7030A0" w:themeFill="accent6"/>
      </w:tcPr>
    </w:tblStylePr>
    <w:tblStylePr w:type="lastRow">
      <w:pPr>
        <w:spacing w:before="0" w:after="0" w:line="240" w:lineRule="auto"/>
      </w:pPr>
      <w:rPr>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tcBorders>
      </w:tcPr>
    </w:tblStylePr>
    <w:tblStylePr w:type="firstCol">
      <w:rPr>
        <w:b/>
        <w:bCs/>
      </w:rPr>
    </w:tblStylePr>
    <w:tblStylePr w:type="lastCol">
      <w:rPr>
        <w:b/>
        <w:bCs/>
      </w:r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style>
  <w:style w:type="table" w:styleId="LightShading-Accent1">
    <w:name w:val="Light Shading Accent 1"/>
    <w:basedOn w:val="TableNormal"/>
    <w:uiPriority w:val="60"/>
    <w:semiHidden/>
    <w:unhideWhenUsed/>
    <w:pPr>
      <w:spacing w:before="0" w:after="0"/>
    </w:pPr>
    <w:rPr>
      <w:color w:val="00602A" w:themeColor="accent1" w:themeShade="BF"/>
    </w:rPr>
    <w:tblPr>
      <w:tblStyleRowBandSize w:val="1"/>
      <w:tblStyleColBandSize w:val="1"/>
      <w:tblBorders>
        <w:top w:val="single" w:sz="8" w:space="0" w:color="008139" w:themeColor="accent1"/>
        <w:bottom w:val="single" w:sz="8" w:space="0" w:color="008139" w:themeColor="accent1"/>
      </w:tblBorders>
    </w:tblPr>
    <w:tblStylePr w:type="fir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la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left w:val="nil"/>
          <w:right w:val="nil"/>
          <w:insideH w:val="nil"/>
          <w:insideV w:val="nil"/>
        </w:tcBorders>
        <w:shd w:val="clear" w:color="auto" w:fill="A0FFCA" w:themeFill="accent1" w:themeFillTint="3F"/>
      </w:tcPr>
    </w:tblStylePr>
  </w:style>
  <w:style w:type="table" w:styleId="LightShading-Accent2">
    <w:name w:val="Light Shading Accent 2"/>
    <w:basedOn w:val="TableNormal"/>
    <w:uiPriority w:val="60"/>
    <w:semiHidden/>
    <w:unhideWhenUsed/>
    <w:pPr>
      <w:spacing w:before="0" w:after="0"/>
    </w:pPr>
    <w:rPr>
      <w:color w:val="A64701" w:themeColor="accent2" w:themeShade="BF"/>
    </w:rPr>
    <w:tblPr>
      <w:tblStyleRowBandSize w:val="1"/>
      <w:tblStyleColBandSize w:val="1"/>
      <w:tblBorders>
        <w:top w:val="single" w:sz="8" w:space="0" w:color="DE6002" w:themeColor="accent2"/>
        <w:bottom w:val="single" w:sz="8" w:space="0" w:color="DE6002" w:themeColor="accent2"/>
      </w:tblBorders>
    </w:tblPr>
    <w:tblStylePr w:type="fir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la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left w:val="nil"/>
          <w:right w:val="nil"/>
          <w:insideH w:val="nil"/>
          <w:insideV w:val="nil"/>
        </w:tcBorders>
        <w:shd w:val="clear" w:color="auto" w:fill="FED6B8" w:themeFill="accent2" w:themeFillTint="3F"/>
      </w:tcPr>
    </w:tblStylePr>
  </w:style>
  <w:style w:type="table" w:styleId="LightShading-Accent3">
    <w:name w:val="Light Shading Accent 3"/>
    <w:basedOn w:val="TableNormal"/>
    <w:uiPriority w:val="60"/>
    <w:semiHidden/>
    <w:unhideWhenUsed/>
    <w:pPr>
      <w:spacing w:before="0" w:after="0"/>
    </w:pPr>
    <w:rPr>
      <w:color w:val="0162D9" w:themeColor="accent3" w:themeShade="BF"/>
    </w:rPr>
    <w:tblPr>
      <w:tblStyleRowBandSize w:val="1"/>
      <w:tblStyleColBandSize w:val="1"/>
      <w:tblBorders>
        <w:top w:val="single" w:sz="8" w:space="0" w:color="2688FE" w:themeColor="accent3"/>
        <w:bottom w:val="single" w:sz="8" w:space="0" w:color="2688FE" w:themeColor="accent3"/>
      </w:tblBorders>
    </w:tblPr>
    <w:tblStylePr w:type="fir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la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left w:val="nil"/>
          <w:right w:val="nil"/>
          <w:insideH w:val="nil"/>
          <w:insideV w:val="nil"/>
        </w:tcBorders>
        <w:shd w:val="clear" w:color="auto" w:fill="C9E1FE" w:themeFill="accent3" w:themeFillTint="3F"/>
      </w:tcPr>
    </w:tblStylePr>
  </w:style>
  <w:style w:type="table" w:styleId="LightShading-Accent4">
    <w:name w:val="Light Shading Accent 4"/>
    <w:basedOn w:val="TableNormal"/>
    <w:uiPriority w:val="60"/>
    <w:semiHidden/>
    <w:unhideWhenUsed/>
    <w:pPr>
      <w:spacing w:before="0" w:after="0"/>
    </w:pPr>
    <w:rPr>
      <w:color w:val="C18101" w:themeColor="accent4" w:themeShade="BF"/>
    </w:rPr>
    <w:tblPr>
      <w:tblStyleRowBandSize w:val="1"/>
      <w:tblStyleColBandSize w:val="1"/>
      <w:tblBorders>
        <w:top w:val="single" w:sz="8" w:space="0" w:color="FDAB07" w:themeColor="accent4"/>
        <w:bottom w:val="single" w:sz="8" w:space="0" w:color="FDAB07" w:themeColor="accent4"/>
      </w:tblBorders>
    </w:tblPr>
    <w:tblStylePr w:type="fir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la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left w:val="nil"/>
          <w:right w:val="nil"/>
          <w:insideH w:val="nil"/>
          <w:insideV w:val="nil"/>
        </w:tcBorders>
        <w:shd w:val="clear" w:color="auto" w:fill="FEEAC1" w:themeFill="accent4" w:themeFillTint="3F"/>
      </w:tcPr>
    </w:tblStylePr>
  </w:style>
  <w:style w:type="table" w:styleId="ListTable1Light">
    <w:name w:val="List Table 1 Light"/>
    <w:basedOn w:val="TableNormal"/>
    <w:uiPriority w:val="46"/>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pPr>
      <w:spacing w:after="0"/>
    </w:pPr>
    <w:tblPr>
      <w:tblStyleRowBandSize w:val="1"/>
      <w:tblStyleColBandSize w:val="1"/>
    </w:tblPr>
    <w:tblStylePr w:type="firstRow">
      <w:rPr>
        <w:b/>
        <w:bCs/>
      </w:rPr>
      <w:tblPr/>
      <w:tcPr>
        <w:tcBorders>
          <w:bottom w:val="single" w:sz="4" w:space="0" w:color="1AFF7E" w:themeColor="accent1" w:themeTint="99"/>
        </w:tcBorders>
      </w:tcPr>
    </w:tblStylePr>
    <w:tblStylePr w:type="lastRow">
      <w:rPr>
        <w:b/>
        <w:bCs/>
      </w:rPr>
      <w:tblPr/>
      <w:tcPr>
        <w:tcBorders>
          <w:top w:val="sing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1Light-Accent2">
    <w:name w:val="List Table 1 Light Accent 2"/>
    <w:basedOn w:val="TableNormal"/>
    <w:uiPriority w:val="46"/>
    <w:pPr>
      <w:spacing w:after="0"/>
    </w:pPr>
    <w:tblPr>
      <w:tblStyleRowBandSize w:val="1"/>
      <w:tblStyleColBandSize w:val="1"/>
    </w:tblPr>
    <w:tblStylePr w:type="firstRow">
      <w:rPr>
        <w:b/>
        <w:bCs/>
      </w:rPr>
      <w:tblPr/>
      <w:tcPr>
        <w:tcBorders>
          <w:bottom w:val="single" w:sz="4" w:space="0" w:color="FD9C54" w:themeColor="accent2" w:themeTint="99"/>
        </w:tcBorders>
      </w:tcPr>
    </w:tblStylePr>
    <w:tblStylePr w:type="lastRow">
      <w:rPr>
        <w:b/>
        <w:bCs/>
      </w:rPr>
      <w:tblPr/>
      <w:tcPr>
        <w:tcBorders>
          <w:top w:val="sing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1Light-Accent3">
    <w:name w:val="List Table 1 Light Accent 3"/>
    <w:basedOn w:val="TableNormal"/>
    <w:uiPriority w:val="46"/>
    <w:pPr>
      <w:spacing w:after="0"/>
    </w:pPr>
    <w:tblPr>
      <w:tblStyleRowBandSize w:val="1"/>
      <w:tblStyleColBandSize w:val="1"/>
    </w:tblPr>
    <w:tblStylePr w:type="firstRow">
      <w:rPr>
        <w:b/>
        <w:bCs/>
      </w:rPr>
      <w:tblPr/>
      <w:tcPr>
        <w:tcBorders>
          <w:bottom w:val="single" w:sz="4" w:space="0" w:color="7CB7FE" w:themeColor="accent3" w:themeTint="99"/>
        </w:tcBorders>
      </w:tcPr>
    </w:tblStylePr>
    <w:tblStylePr w:type="lastRow">
      <w:rPr>
        <w:b/>
        <w:bCs/>
      </w:rPr>
      <w:tblPr/>
      <w:tcPr>
        <w:tcBorders>
          <w:top w:val="sing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1Light-Accent4">
    <w:name w:val="List Table 1 Light Accent 4"/>
    <w:basedOn w:val="TableNormal"/>
    <w:uiPriority w:val="46"/>
    <w:pPr>
      <w:spacing w:after="0"/>
    </w:pPr>
    <w:tblPr>
      <w:tblStyleRowBandSize w:val="1"/>
      <w:tblStyleColBandSize w:val="1"/>
    </w:tblPr>
    <w:tblStylePr w:type="firstRow">
      <w:rPr>
        <w:b/>
        <w:bCs/>
      </w:rPr>
      <w:tblPr/>
      <w:tcPr>
        <w:tcBorders>
          <w:bottom w:val="single" w:sz="4" w:space="0" w:color="FDCC6A" w:themeColor="accent4" w:themeTint="99"/>
        </w:tcBorders>
      </w:tcPr>
    </w:tblStylePr>
    <w:tblStylePr w:type="lastRow">
      <w:rPr>
        <w:b/>
        <w:bCs/>
      </w:rPr>
      <w:tblPr/>
      <w:tcPr>
        <w:tcBorders>
          <w:top w:val="sing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1Light-Accent5">
    <w:name w:val="List Table 1 Light Accent 5"/>
    <w:basedOn w:val="TableNormal"/>
    <w:uiPriority w:val="46"/>
    <w:pPr>
      <w:spacing w:after="0"/>
    </w:pPr>
    <w:tblPr>
      <w:tblStyleRowBandSize w:val="1"/>
      <w:tblStyleColBandSize w:val="1"/>
    </w:tblPr>
    <w:tblStylePr w:type="firstRow">
      <w:rPr>
        <w:b/>
        <w:bCs/>
      </w:rPr>
      <w:tblPr/>
      <w:tcPr>
        <w:tcBorders>
          <w:bottom w:val="single" w:sz="4" w:space="0" w:color="F06C9B" w:themeColor="accent5" w:themeTint="99"/>
        </w:tcBorders>
      </w:tcPr>
    </w:tblStylePr>
    <w:tblStylePr w:type="lastRow">
      <w:rPr>
        <w:b/>
        <w:bCs/>
      </w:rPr>
      <w:tblPr/>
      <w:tcPr>
        <w:tcBorders>
          <w:top w:val="sing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1Light-Accent6">
    <w:name w:val="List Table 1 Light Accent 6"/>
    <w:basedOn w:val="TableNormal"/>
    <w:uiPriority w:val="46"/>
    <w:pPr>
      <w:spacing w:after="0"/>
    </w:pPr>
    <w:tblPr>
      <w:tblStyleRowBandSize w:val="1"/>
      <w:tblStyleColBandSize w:val="1"/>
    </w:tblPr>
    <w:tblStylePr w:type="firstRow">
      <w:rPr>
        <w:b/>
        <w:bCs/>
      </w:rPr>
      <w:tblPr/>
      <w:tcPr>
        <w:tcBorders>
          <w:bottom w:val="single" w:sz="4" w:space="0" w:color="AB73D5" w:themeColor="accent6" w:themeTint="99"/>
        </w:tcBorders>
      </w:tcPr>
    </w:tblStylePr>
    <w:tblStylePr w:type="lastRow">
      <w:rPr>
        <w:b/>
        <w:bCs/>
      </w:rPr>
      <w:tblPr/>
      <w:tcPr>
        <w:tcBorders>
          <w:top w:val="sing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2">
    <w:name w:val="List Table 2"/>
    <w:basedOn w:val="TableNormal"/>
    <w:uiPriority w:val="47"/>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pPr>
      <w:spacing w:after="0"/>
    </w:pPr>
    <w:tblPr>
      <w:tblStyleRowBandSize w:val="1"/>
      <w:tblStyleColBandSize w:val="1"/>
      <w:tblBorders>
        <w:top w:val="single" w:sz="4" w:space="0" w:color="1AFF7E" w:themeColor="accent1" w:themeTint="99"/>
        <w:bottom w:val="single" w:sz="4" w:space="0" w:color="1AFF7E" w:themeColor="accent1" w:themeTint="99"/>
        <w:insideH w:val="single" w:sz="4" w:space="0" w:color="1AFF7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2-Accent3">
    <w:name w:val="List Table 2 Accent 3"/>
    <w:basedOn w:val="TableNormal"/>
    <w:uiPriority w:val="47"/>
    <w:pPr>
      <w:spacing w:after="0"/>
    </w:pPr>
    <w:tblPr>
      <w:tblStyleRowBandSize w:val="1"/>
      <w:tblStyleColBandSize w:val="1"/>
      <w:tblBorders>
        <w:top w:val="single" w:sz="4" w:space="0" w:color="7CB7FE" w:themeColor="accent3" w:themeTint="99"/>
        <w:bottom w:val="single" w:sz="4" w:space="0" w:color="7CB7FE" w:themeColor="accent3" w:themeTint="99"/>
        <w:insideH w:val="single" w:sz="4" w:space="0" w:color="7CB7F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2-Accent4">
    <w:name w:val="List Table 2 Accent 4"/>
    <w:basedOn w:val="TableNormal"/>
    <w:uiPriority w:val="47"/>
    <w:pPr>
      <w:spacing w:after="0"/>
    </w:pPr>
    <w:tblPr>
      <w:tblStyleRowBandSize w:val="1"/>
      <w:tblStyleColBandSize w:val="1"/>
      <w:tblBorders>
        <w:top w:val="single" w:sz="4" w:space="0" w:color="FDCC6A" w:themeColor="accent4" w:themeTint="99"/>
        <w:bottom w:val="single" w:sz="4" w:space="0" w:color="FDCC6A" w:themeColor="accent4" w:themeTint="99"/>
        <w:insideH w:val="single" w:sz="4" w:space="0" w:color="FDCC6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2-Accent5">
    <w:name w:val="List Table 2 Accent 5"/>
    <w:basedOn w:val="TableNormal"/>
    <w:uiPriority w:val="47"/>
    <w:pPr>
      <w:spacing w:after="0"/>
    </w:pPr>
    <w:tblPr>
      <w:tblStyleRowBandSize w:val="1"/>
      <w:tblStyleColBandSize w:val="1"/>
      <w:tblBorders>
        <w:top w:val="single" w:sz="4" w:space="0" w:color="F06C9B" w:themeColor="accent5" w:themeTint="99"/>
        <w:bottom w:val="single" w:sz="4" w:space="0" w:color="F06C9B" w:themeColor="accent5" w:themeTint="99"/>
        <w:insideH w:val="single" w:sz="4" w:space="0" w:color="F06C9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2-Accent6">
    <w:name w:val="List Table 2 Accent 6"/>
    <w:basedOn w:val="TableNormal"/>
    <w:uiPriority w:val="47"/>
    <w:pPr>
      <w:spacing w:after="0"/>
    </w:pPr>
    <w:tblPr>
      <w:tblStyleRowBandSize w:val="1"/>
      <w:tblStyleColBandSize w:val="1"/>
      <w:tblBorders>
        <w:top w:val="single" w:sz="4" w:space="0" w:color="AB73D5" w:themeColor="accent6" w:themeTint="99"/>
        <w:bottom w:val="single" w:sz="4" w:space="0" w:color="AB73D5" w:themeColor="accent6" w:themeTint="99"/>
        <w:insideH w:val="single" w:sz="4" w:space="0" w:color="AB73D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3">
    <w:name w:val="List Table 3"/>
    <w:basedOn w:val="TableNormal"/>
    <w:uiPriority w:val="48"/>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pPr>
      <w:spacing w:after="0"/>
    </w:pPr>
    <w:tblPr>
      <w:tblStyleRowBandSize w:val="1"/>
      <w:tblStyleColBandSize w:val="1"/>
      <w:tblBorders>
        <w:top w:val="single" w:sz="4" w:space="0" w:color="008139" w:themeColor="accent1"/>
        <w:left w:val="single" w:sz="4" w:space="0" w:color="008139" w:themeColor="accent1"/>
        <w:bottom w:val="single" w:sz="4" w:space="0" w:color="008139" w:themeColor="accent1"/>
        <w:right w:val="single" w:sz="4" w:space="0" w:color="008139" w:themeColor="accent1"/>
      </w:tblBorders>
    </w:tblPr>
    <w:tblStylePr w:type="firstRow">
      <w:rPr>
        <w:b/>
        <w:bCs/>
        <w:color w:val="FFFFFF" w:themeColor="background1"/>
      </w:rPr>
      <w:tblPr/>
      <w:tcPr>
        <w:shd w:val="clear" w:color="auto" w:fill="008139" w:themeFill="accent1"/>
      </w:tcPr>
    </w:tblStylePr>
    <w:tblStylePr w:type="lastRow">
      <w:rPr>
        <w:b/>
        <w:bCs/>
      </w:rPr>
      <w:tblPr/>
      <w:tcPr>
        <w:tcBorders>
          <w:top w:val="double" w:sz="4" w:space="0" w:color="00813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139" w:themeColor="accent1"/>
          <w:right w:val="single" w:sz="4" w:space="0" w:color="008139" w:themeColor="accent1"/>
        </w:tcBorders>
      </w:tcPr>
    </w:tblStylePr>
    <w:tblStylePr w:type="band1Horz">
      <w:tblPr/>
      <w:tcPr>
        <w:tcBorders>
          <w:top w:val="single" w:sz="4" w:space="0" w:color="008139" w:themeColor="accent1"/>
          <w:bottom w:val="single" w:sz="4" w:space="0" w:color="00813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139" w:themeColor="accent1"/>
          <w:left w:val="nil"/>
        </w:tcBorders>
      </w:tcPr>
    </w:tblStylePr>
    <w:tblStylePr w:type="swCell">
      <w:tblPr/>
      <w:tcPr>
        <w:tcBorders>
          <w:top w:val="double" w:sz="4" w:space="0" w:color="008139" w:themeColor="accent1"/>
          <w:right w:val="nil"/>
        </w:tcBorders>
      </w:tcPr>
    </w:tblStylePr>
  </w:style>
  <w:style w:type="table" w:styleId="ListTable3-Accent2">
    <w:name w:val="List Table 3 Accent 2"/>
    <w:basedOn w:val="TableNormal"/>
    <w:uiPriority w:val="48"/>
    <w:pPr>
      <w:spacing w:after="0"/>
    </w:pPr>
    <w:tblPr>
      <w:tblStyleRowBandSize w:val="1"/>
      <w:tblStyleColBandSize w:val="1"/>
      <w:tblBorders>
        <w:top w:val="single" w:sz="4" w:space="0" w:color="DE6002" w:themeColor="accent2"/>
        <w:left w:val="single" w:sz="4" w:space="0" w:color="DE6002" w:themeColor="accent2"/>
        <w:bottom w:val="single" w:sz="4" w:space="0" w:color="DE6002" w:themeColor="accent2"/>
        <w:right w:val="single" w:sz="4" w:space="0" w:color="DE6002" w:themeColor="accent2"/>
      </w:tblBorders>
    </w:tblPr>
    <w:tblStylePr w:type="firstRow">
      <w:rPr>
        <w:b/>
        <w:bCs/>
        <w:color w:val="FFFFFF" w:themeColor="background1"/>
      </w:rPr>
      <w:tblPr/>
      <w:tcPr>
        <w:shd w:val="clear" w:color="auto" w:fill="DE6002" w:themeFill="accent2"/>
      </w:tcPr>
    </w:tblStylePr>
    <w:tblStylePr w:type="lastRow">
      <w:rPr>
        <w:b/>
        <w:bCs/>
      </w:rPr>
      <w:tblPr/>
      <w:tcPr>
        <w:tcBorders>
          <w:top w:val="double" w:sz="4" w:space="0" w:color="DE600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6002" w:themeColor="accent2"/>
          <w:right w:val="single" w:sz="4" w:space="0" w:color="DE6002" w:themeColor="accent2"/>
        </w:tcBorders>
      </w:tcPr>
    </w:tblStylePr>
    <w:tblStylePr w:type="band1Horz">
      <w:tblPr/>
      <w:tcPr>
        <w:tcBorders>
          <w:top w:val="single" w:sz="4" w:space="0" w:color="DE6002" w:themeColor="accent2"/>
          <w:bottom w:val="single" w:sz="4" w:space="0" w:color="DE600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6002" w:themeColor="accent2"/>
          <w:left w:val="nil"/>
        </w:tcBorders>
      </w:tcPr>
    </w:tblStylePr>
    <w:tblStylePr w:type="swCell">
      <w:tblPr/>
      <w:tcPr>
        <w:tcBorders>
          <w:top w:val="double" w:sz="4" w:space="0" w:color="DE6002" w:themeColor="accent2"/>
          <w:right w:val="nil"/>
        </w:tcBorders>
      </w:tcPr>
    </w:tblStylePr>
  </w:style>
  <w:style w:type="table" w:styleId="ListTable3-Accent3">
    <w:name w:val="List Table 3 Accent 3"/>
    <w:basedOn w:val="TableNormal"/>
    <w:uiPriority w:val="48"/>
    <w:pPr>
      <w:spacing w:after="0"/>
    </w:pPr>
    <w:tblPr>
      <w:tblStyleRowBandSize w:val="1"/>
      <w:tblStyleColBandSize w:val="1"/>
      <w:tblBorders>
        <w:top w:val="single" w:sz="4" w:space="0" w:color="2688FE" w:themeColor="accent3"/>
        <w:left w:val="single" w:sz="4" w:space="0" w:color="2688FE" w:themeColor="accent3"/>
        <w:bottom w:val="single" w:sz="4" w:space="0" w:color="2688FE" w:themeColor="accent3"/>
        <w:right w:val="single" w:sz="4" w:space="0" w:color="2688FE" w:themeColor="accent3"/>
      </w:tblBorders>
    </w:tblPr>
    <w:tblStylePr w:type="firstRow">
      <w:rPr>
        <w:b/>
        <w:bCs/>
        <w:color w:val="FFFFFF" w:themeColor="background1"/>
      </w:rPr>
      <w:tblPr/>
      <w:tcPr>
        <w:shd w:val="clear" w:color="auto" w:fill="2688FE" w:themeFill="accent3"/>
      </w:tcPr>
    </w:tblStylePr>
    <w:tblStylePr w:type="lastRow">
      <w:rPr>
        <w:b/>
        <w:bCs/>
      </w:rPr>
      <w:tblPr/>
      <w:tcPr>
        <w:tcBorders>
          <w:top w:val="double" w:sz="4" w:space="0" w:color="2688F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88FE" w:themeColor="accent3"/>
          <w:right w:val="single" w:sz="4" w:space="0" w:color="2688FE" w:themeColor="accent3"/>
        </w:tcBorders>
      </w:tcPr>
    </w:tblStylePr>
    <w:tblStylePr w:type="band1Horz">
      <w:tblPr/>
      <w:tcPr>
        <w:tcBorders>
          <w:top w:val="single" w:sz="4" w:space="0" w:color="2688FE" w:themeColor="accent3"/>
          <w:bottom w:val="single" w:sz="4" w:space="0" w:color="2688F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88FE" w:themeColor="accent3"/>
          <w:left w:val="nil"/>
        </w:tcBorders>
      </w:tcPr>
    </w:tblStylePr>
    <w:tblStylePr w:type="swCell">
      <w:tblPr/>
      <w:tcPr>
        <w:tcBorders>
          <w:top w:val="double" w:sz="4" w:space="0" w:color="2688FE" w:themeColor="accent3"/>
          <w:right w:val="nil"/>
        </w:tcBorders>
      </w:tcPr>
    </w:tblStylePr>
  </w:style>
  <w:style w:type="table" w:styleId="ListTable3-Accent4">
    <w:name w:val="List Table 3 Accent 4"/>
    <w:basedOn w:val="TableNormal"/>
    <w:uiPriority w:val="48"/>
    <w:pPr>
      <w:spacing w:after="0"/>
    </w:pPr>
    <w:tblPr>
      <w:tblStyleRowBandSize w:val="1"/>
      <w:tblStyleColBandSize w:val="1"/>
      <w:tblBorders>
        <w:top w:val="single" w:sz="4" w:space="0" w:color="FDAB07" w:themeColor="accent4"/>
        <w:left w:val="single" w:sz="4" w:space="0" w:color="FDAB07" w:themeColor="accent4"/>
        <w:bottom w:val="single" w:sz="4" w:space="0" w:color="FDAB07" w:themeColor="accent4"/>
        <w:right w:val="single" w:sz="4" w:space="0" w:color="FDAB07" w:themeColor="accent4"/>
      </w:tblBorders>
    </w:tblPr>
    <w:tblStylePr w:type="firstRow">
      <w:rPr>
        <w:b/>
        <w:bCs/>
        <w:color w:val="FFFFFF" w:themeColor="background1"/>
      </w:rPr>
      <w:tblPr/>
      <w:tcPr>
        <w:shd w:val="clear" w:color="auto" w:fill="FDAB07" w:themeFill="accent4"/>
      </w:tcPr>
    </w:tblStylePr>
    <w:tblStylePr w:type="lastRow">
      <w:rPr>
        <w:b/>
        <w:bCs/>
      </w:rPr>
      <w:tblPr/>
      <w:tcPr>
        <w:tcBorders>
          <w:top w:val="double" w:sz="4" w:space="0" w:color="FDAB0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AB07" w:themeColor="accent4"/>
          <w:right w:val="single" w:sz="4" w:space="0" w:color="FDAB07" w:themeColor="accent4"/>
        </w:tcBorders>
      </w:tcPr>
    </w:tblStylePr>
    <w:tblStylePr w:type="band1Horz">
      <w:tblPr/>
      <w:tcPr>
        <w:tcBorders>
          <w:top w:val="single" w:sz="4" w:space="0" w:color="FDAB07" w:themeColor="accent4"/>
          <w:bottom w:val="single" w:sz="4" w:space="0" w:color="FDAB0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AB07" w:themeColor="accent4"/>
          <w:left w:val="nil"/>
        </w:tcBorders>
      </w:tcPr>
    </w:tblStylePr>
    <w:tblStylePr w:type="swCell">
      <w:tblPr/>
      <w:tcPr>
        <w:tcBorders>
          <w:top w:val="double" w:sz="4" w:space="0" w:color="FDAB07" w:themeColor="accent4"/>
          <w:right w:val="nil"/>
        </w:tcBorders>
      </w:tcPr>
    </w:tblStylePr>
  </w:style>
  <w:style w:type="table" w:styleId="ListTable3-Accent5">
    <w:name w:val="List Table 3 Accent 5"/>
    <w:basedOn w:val="TableNormal"/>
    <w:uiPriority w:val="48"/>
    <w:pPr>
      <w:spacing w:after="0"/>
    </w:pPr>
    <w:tblPr>
      <w:tblStyleRowBandSize w:val="1"/>
      <w:tblStyleColBandSize w:val="1"/>
      <w:tblBorders>
        <w:top w:val="single" w:sz="4" w:space="0" w:color="DC165D" w:themeColor="accent5"/>
        <w:left w:val="single" w:sz="4" w:space="0" w:color="DC165D" w:themeColor="accent5"/>
        <w:bottom w:val="single" w:sz="4" w:space="0" w:color="DC165D" w:themeColor="accent5"/>
        <w:right w:val="single" w:sz="4" w:space="0" w:color="DC165D" w:themeColor="accent5"/>
      </w:tblBorders>
    </w:tblPr>
    <w:tblStylePr w:type="firstRow">
      <w:rPr>
        <w:b/>
        <w:bCs/>
        <w:color w:val="FFFFFF" w:themeColor="background1"/>
      </w:rPr>
      <w:tblPr/>
      <w:tcPr>
        <w:shd w:val="clear" w:color="auto" w:fill="DC165D" w:themeFill="accent5"/>
      </w:tcPr>
    </w:tblStylePr>
    <w:tblStylePr w:type="lastRow">
      <w:rPr>
        <w:b/>
        <w:bCs/>
      </w:rPr>
      <w:tblPr/>
      <w:tcPr>
        <w:tcBorders>
          <w:top w:val="double" w:sz="4" w:space="0" w:color="DC165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C165D" w:themeColor="accent5"/>
          <w:right w:val="single" w:sz="4" w:space="0" w:color="DC165D" w:themeColor="accent5"/>
        </w:tcBorders>
      </w:tcPr>
    </w:tblStylePr>
    <w:tblStylePr w:type="band1Horz">
      <w:tblPr/>
      <w:tcPr>
        <w:tcBorders>
          <w:top w:val="single" w:sz="4" w:space="0" w:color="DC165D" w:themeColor="accent5"/>
          <w:bottom w:val="single" w:sz="4" w:space="0" w:color="DC165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C165D" w:themeColor="accent5"/>
          <w:left w:val="nil"/>
        </w:tcBorders>
      </w:tcPr>
    </w:tblStylePr>
    <w:tblStylePr w:type="swCell">
      <w:tblPr/>
      <w:tcPr>
        <w:tcBorders>
          <w:top w:val="double" w:sz="4" w:space="0" w:color="DC165D" w:themeColor="accent5"/>
          <w:right w:val="nil"/>
        </w:tcBorders>
      </w:tcPr>
    </w:tblStylePr>
  </w:style>
  <w:style w:type="table" w:styleId="ListTable3-Accent6">
    <w:name w:val="List Table 3 Accent 6"/>
    <w:basedOn w:val="TableNormal"/>
    <w:uiPriority w:val="48"/>
    <w:pPr>
      <w:spacing w:after="0"/>
    </w:pPr>
    <w:tblPr>
      <w:tblStyleRowBandSize w:val="1"/>
      <w:tblStyleColBandSize w:val="1"/>
      <w:tblBorders>
        <w:top w:val="single" w:sz="4" w:space="0" w:color="7030A0" w:themeColor="accent6"/>
        <w:left w:val="single" w:sz="4" w:space="0" w:color="7030A0" w:themeColor="accent6"/>
        <w:bottom w:val="single" w:sz="4" w:space="0" w:color="7030A0" w:themeColor="accent6"/>
        <w:right w:val="single" w:sz="4" w:space="0" w:color="7030A0" w:themeColor="accent6"/>
      </w:tblBorders>
    </w:tblPr>
    <w:tblStylePr w:type="firstRow">
      <w:rPr>
        <w:b/>
        <w:bCs/>
        <w:color w:val="FFFFFF" w:themeColor="background1"/>
      </w:rPr>
      <w:tblPr/>
      <w:tcPr>
        <w:shd w:val="clear" w:color="auto" w:fill="7030A0" w:themeFill="accent6"/>
      </w:tcPr>
    </w:tblStylePr>
    <w:tblStylePr w:type="lastRow">
      <w:rPr>
        <w:b/>
        <w:bCs/>
      </w:rPr>
      <w:tblPr/>
      <w:tcPr>
        <w:tcBorders>
          <w:top w:val="double" w:sz="4" w:space="0" w:color="703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30A0" w:themeColor="accent6"/>
          <w:right w:val="single" w:sz="4" w:space="0" w:color="7030A0" w:themeColor="accent6"/>
        </w:tcBorders>
      </w:tcPr>
    </w:tblStylePr>
    <w:tblStylePr w:type="band1Horz">
      <w:tblPr/>
      <w:tcPr>
        <w:tcBorders>
          <w:top w:val="single" w:sz="4" w:space="0" w:color="7030A0" w:themeColor="accent6"/>
          <w:bottom w:val="single" w:sz="4" w:space="0" w:color="703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30A0" w:themeColor="accent6"/>
          <w:left w:val="nil"/>
        </w:tcBorders>
      </w:tcPr>
    </w:tblStylePr>
    <w:tblStylePr w:type="swCell">
      <w:tblPr/>
      <w:tcPr>
        <w:tcBorders>
          <w:top w:val="double" w:sz="4" w:space="0" w:color="7030A0" w:themeColor="accent6"/>
          <w:right w:val="nil"/>
        </w:tcBorders>
      </w:tcPr>
    </w:tblStylePr>
  </w:style>
  <w:style w:type="table" w:styleId="ListTable4">
    <w:name w:val="List Table 4"/>
    <w:basedOn w:val="TableNormal"/>
    <w:uiPriority w:val="49"/>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pPr>
      <w:spacing w:after="0"/>
    </w:p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tcBorders>
        <w:shd w:val="clear" w:color="auto" w:fill="008139" w:themeFill="accent1"/>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4-Accent2">
    <w:name w:val="List Table 4 Accent 2"/>
    <w:basedOn w:val="TableNormal"/>
    <w:uiPriority w:val="49"/>
    <w:pPr>
      <w:spacing w:after="0"/>
    </w:p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tcBorders>
        <w:shd w:val="clear" w:color="auto" w:fill="DE6002" w:themeFill="accent2"/>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4-Accent3">
    <w:name w:val="List Table 4 Accent 3"/>
    <w:basedOn w:val="TableNormal"/>
    <w:uiPriority w:val="49"/>
    <w:pPr>
      <w:spacing w:after="0"/>
    </w:p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tcBorders>
        <w:shd w:val="clear" w:color="auto" w:fill="2688FE" w:themeFill="accent3"/>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4-Accent4">
    <w:name w:val="List Table 4 Accent 4"/>
    <w:basedOn w:val="TableNormal"/>
    <w:uiPriority w:val="49"/>
    <w:pPr>
      <w:spacing w:after="0"/>
    </w:p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tcBorders>
        <w:shd w:val="clear" w:color="auto" w:fill="FDAB07" w:themeFill="accent4"/>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4-Accent5">
    <w:name w:val="List Table 4 Accent 5"/>
    <w:basedOn w:val="TableNormal"/>
    <w:uiPriority w:val="49"/>
    <w:pPr>
      <w:spacing w:after="0"/>
    </w:p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tcBorders>
        <w:shd w:val="clear" w:color="auto" w:fill="DC165D" w:themeFill="accent5"/>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4-Accent6">
    <w:name w:val="List Table 4 Accent 6"/>
    <w:basedOn w:val="TableNormal"/>
    <w:uiPriority w:val="49"/>
    <w:pPr>
      <w:spacing w:after="0"/>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tcBorders>
        <w:shd w:val="clear" w:color="auto" w:fill="7030A0" w:themeFill="accent6"/>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5Dark">
    <w:name w:val="List Table 5 Dark"/>
    <w:basedOn w:val="TableNormal"/>
    <w:uiPriority w:val="50"/>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pPr>
      <w:spacing w:after="0"/>
    </w:pPr>
    <w:rPr>
      <w:color w:val="FFFFFF" w:themeColor="background1"/>
    </w:rPr>
    <w:tblPr>
      <w:tblStyleRowBandSize w:val="1"/>
      <w:tblStyleColBandSize w:val="1"/>
      <w:tblBorders>
        <w:top w:val="single" w:sz="24" w:space="0" w:color="008139" w:themeColor="accent1"/>
        <w:left w:val="single" w:sz="24" w:space="0" w:color="008139" w:themeColor="accent1"/>
        <w:bottom w:val="single" w:sz="24" w:space="0" w:color="008139" w:themeColor="accent1"/>
        <w:right w:val="single" w:sz="24" w:space="0" w:color="008139" w:themeColor="accent1"/>
      </w:tblBorders>
    </w:tblPr>
    <w:tcPr>
      <w:shd w:val="clear" w:color="auto" w:fill="00813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pPr>
      <w:spacing w:after="0"/>
    </w:pPr>
    <w:rPr>
      <w:color w:val="FFFFFF" w:themeColor="background1"/>
    </w:rPr>
    <w:tblPr>
      <w:tblStyleRowBandSize w:val="1"/>
      <w:tblStyleColBandSize w:val="1"/>
      <w:tblBorders>
        <w:top w:val="single" w:sz="24" w:space="0" w:color="DE6002" w:themeColor="accent2"/>
        <w:left w:val="single" w:sz="24" w:space="0" w:color="DE6002" w:themeColor="accent2"/>
        <w:bottom w:val="single" w:sz="24" w:space="0" w:color="DE6002" w:themeColor="accent2"/>
        <w:right w:val="single" w:sz="24" w:space="0" w:color="DE6002" w:themeColor="accent2"/>
      </w:tblBorders>
    </w:tblPr>
    <w:tcPr>
      <w:shd w:val="clear" w:color="auto" w:fill="DE600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pPr>
      <w:spacing w:after="0"/>
    </w:pPr>
    <w:rPr>
      <w:color w:val="FFFFFF" w:themeColor="background1"/>
    </w:rPr>
    <w:tblPr>
      <w:tblStyleRowBandSize w:val="1"/>
      <w:tblStyleColBandSize w:val="1"/>
      <w:tblBorders>
        <w:top w:val="single" w:sz="24" w:space="0" w:color="2688FE" w:themeColor="accent3"/>
        <w:left w:val="single" w:sz="24" w:space="0" w:color="2688FE" w:themeColor="accent3"/>
        <w:bottom w:val="single" w:sz="24" w:space="0" w:color="2688FE" w:themeColor="accent3"/>
        <w:right w:val="single" w:sz="24" w:space="0" w:color="2688FE" w:themeColor="accent3"/>
      </w:tblBorders>
    </w:tblPr>
    <w:tcPr>
      <w:shd w:val="clear" w:color="auto" w:fill="2688F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pPr>
      <w:spacing w:after="0"/>
    </w:pPr>
    <w:rPr>
      <w:color w:val="FFFFFF" w:themeColor="background1"/>
    </w:rPr>
    <w:tblPr>
      <w:tblStyleRowBandSize w:val="1"/>
      <w:tblStyleColBandSize w:val="1"/>
      <w:tblBorders>
        <w:top w:val="single" w:sz="24" w:space="0" w:color="FDAB07" w:themeColor="accent4"/>
        <w:left w:val="single" w:sz="24" w:space="0" w:color="FDAB07" w:themeColor="accent4"/>
        <w:bottom w:val="single" w:sz="24" w:space="0" w:color="FDAB07" w:themeColor="accent4"/>
        <w:right w:val="single" w:sz="24" w:space="0" w:color="FDAB07" w:themeColor="accent4"/>
      </w:tblBorders>
    </w:tblPr>
    <w:tcPr>
      <w:shd w:val="clear" w:color="auto" w:fill="FDAB0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pPr>
      <w:spacing w:after="0"/>
    </w:pPr>
    <w:rPr>
      <w:color w:val="FFFFFF" w:themeColor="background1"/>
    </w:rPr>
    <w:tblPr>
      <w:tblStyleRowBandSize w:val="1"/>
      <w:tblStyleColBandSize w:val="1"/>
      <w:tblBorders>
        <w:top w:val="single" w:sz="24" w:space="0" w:color="DC165D" w:themeColor="accent5"/>
        <w:left w:val="single" w:sz="24" w:space="0" w:color="DC165D" w:themeColor="accent5"/>
        <w:bottom w:val="single" w:sz="24" w:space="0" w:color="DC165D" w:themeColor="accent5"/>
        <w:right w:val="single" w:sz="24" w:space="0" w:color="DC165D" w:themeColor="accent5"/>
      </w:tblBorders>
    </w:tblPr>
    <w:tcPr>
      <w:shd w:val="clear" w:color="auto" w:fill="DC165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pPr>
      <w:spacing w:after="0"/>
    </w:pPr>
    <w:rPr>
      <w:color w:val="FFFFFF" w:themeColor="background1"/>
    </w:rPr>
    <w:tblPr>
      <w:tblStyleRowBandSize w:val="1"/>
      <w:tblStyleColBandSize w:val="1"/>
      <w:tblBorders>
        <w:top w:val="single" w:sz="24" w:space="0" w:color="7030A0" w:themeColor="accent6"/>
        <w:left w:val="single" w:sz="24" w:space="0" w:color="7030A0" w:themeColor="accent6"/>
        <w:bottom w:val="single" w:sz="24" w:space="0" w:color="7030A0" w:themeColor="accent6"/>
        <w:right w:val="single" w:sz="24" w:space="0" w:color="7030A0" w:themeColor="accent6"/>
      </w:tblBorders>
    </w:tblPr>
    <w:tcPr>
      <w:shd w:val="clear" w:color="auto" w:fill="703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pPr>
      <w:spacing w:after="0"/>
    </w:pPr>
    <w:rPr>
      <w:color w:val="00602A" w:themeColor="accent1" w:themeShade="BF"/>
    </w:rPr>
    <w:tblPr>
      <w:tblStyleRowBandSize w:val="1"/>
      <w:tblStyleColBandSize w:val="1"/>
      <w:tblBorders>
        <w:top w:val="single" w:sz="4" w:space="0" w:color="008139" w:themeColor="accent1"/>
        <w:bottom w:val="single" w:sz="4" w:space="0" w:color="008139" w:themeColor="accent1"/>
      </w:tblBorders>
    </w:tblPr>
    <w:tblStylePr w:type="firstRow">
      <w:rPr>
        <w:b/>
        <w:bCs/>
      </w:rPr>
      <w:tblPr/>
      <w:tcPr>
        <w:tcBorders>
          <w:bottom w:val="single" w:sz="4" w:space="0" w:color="008139" w:themeColor="accent1"/>
        </w:tcBorders>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6Colorful-Accent2">
    <w:name w:val="List Table 6 Colorful Accent 2"/>
    <w:basedOn w:val="TableNormal"/>
    <w:uiPriority w:val="51"/>
    <w:pPr>
      <w:spacing w:after="0"/>
    </w:pPr>
    <w:rPr>
      <w:color w:val="A64701" w:themeColor="accent2" w:themeShade="BF"/>
    </w:rPr>
    <w:tblPr>
      <w:tblStyleRowBandSize w:val="1"/>
      <w:tblStyleColBandSize w:val="1"/>
      <w:tblBorders>
        <w:top w:val="single" w:sz="4" w:space="0" w:color="DE6002" w:themeColor="accent2"/>
        <w:bottom w:val="single" w:sz="4" w:space="0" w:color="DE6002" w:themeColor="accent2"/>
      </w:tblBorders>
    </w:tblPr>
    <w:tblStylePr w:type="firstRow">
      <w:rPr>
        <w:b/>
        <w:bCs/>
      </w:rPr>
      <w:tblPr/>
      <w:tcPr>
        <w:tcBorders>
          <w:bottom w:val="single" w:sz="4" w:space="0" w:color="DE6002" w:themeColor="accent2"/>
        </w:tcBorders>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6Colorful-Accent3">
    <w:name w:val="List Table 6 Colorful Accent 3"/>
    <w:basedOn w:val="TableNormal"/>
    <w:uiPriority w:val="51"/>
    <w:pPr>
      <w:spacing w:after="0"/>
    </w:pPr>
    <w:rPr>
      <w:color w:val="0162D9" w:themeColor="accent3" w:themeShade="BF"/>
    </w:rPr>
    <w:tblPr>
      <w:tblStyleRowBandSize w:val="1"/>
      <w:tblStyleColBandSize w:val="1"/>
      <w:tblBorders>
        <w:top w:val="single" w:sz="4" w:space="0" w:color="2688FE" w:themeColor="accent3"/>
        <w:bottom w:val="single" w:sz="4" w:space="0" w:color="2688FE" w:themeColor="accent3"/>
      </w:tblBorders>
    </w:tblPr>
    <w:tblStylePr w:type="firstRow">
      <w:rPr>
        <w:b/>
        <w:bCs/>
      </w:rPr>
      <w:tblPr/>
      <w:tcPr>
        <w:tcBorders>
          <w:bottom w:val="single" w:sz="4" w:space="0" w:color="2688FE" w:themeColor="accent3"/>
        </w:tcBorders>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6Colorful-Accent4">
    <w:name w:val="List Table 6 Colorful Accent 4"/>
    <w:basedOn w:val="TableNormal"/>
    <w:uiPriority w:val="51"/>
    <w:pPr>
      <w:spacing w:after="0"/>
    </w:pPr>
    <w:rPr>
      <w:color w:val="C18101" w:themeColor="accent4" w:themeShade="BF"/>
    </w:rPr>
    <w:tblPr>
      <w:tblStyleRowBandSize w:val="1"/>
      <w:tblStyleColBandSize w:val="1"/>
      <w:tblBorders>
        <w:top w:val="single" w:sz="4" w:space="0" w:color="FDAB07" w:themeColor="accent4"/>
        <w:bottom w:val="single" w:sz="4" w:space="0" w:color="FDAB07" w:themeColor="accent4"/>
      </w:tblBorders>
    </w:tblPr>
    <w:tblStylePr w:type="firstRow">
      <w:rPr>
        <w:b/>
        <w:bCs/>
      </w:rPr>
      <w:tblPr/>
      <w:tcPr>
        <w:tcBorders>
          <w:bottom w:val="single" w:sz="4" w:space="0" w:color="FDAB07" w:themeColor="accent4"/>
        </w:tcBorders>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6Colorful-Accent5">
    <w:name w:val="List Table 6 Colorful Accent 5"/>
    <w:basedOn w:val="TableNormal"/>
    <w:uiPriority w:val="51"/>
    <w:pPr>
      <w:spacing w:after="0"/>
    </w:pPr>
    <w:rPr>
      <w:color w:val="A41045" w:themeColor="accent5" w:themeShade="BF"/>
    </w:rPr>
    <w:tblPr>
      <w:tblStyleRowBandSize w:val="1"/>
      <w:tblStyleColBandSize w:val="1"/>
      <w:tblBorders>
        <w:top w:val="single" w:sz="4" w:space="0" w:color="DC165D" w:themeColor="accent5"/>
        <w:bottom w:val="single" w:sz="4" w:space="0" w:color="DC165D" w:themeColor="accent5"/>
      </w:tblBorders>
    </w:tblPr>
    <w:tblStylePr w:type="firstRow">
      <w:rPr>
        <w:b/>
        <w:bCs/>
      </w:rPr>
      <w:tblPr/>
      <w:tcPr>
        <w:tcBorders>
          <w:bottom w:val="single" w:sz="4" w:space="0" w:color="DC165D" w:themeColor="accent5"/>
        </w:tcBorders>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6Colorful-Accent6">
    <w:name w:val="List Table 6 Colorful Accent 6"/>
    <w:basedOn w:val="TableNormal"/>
    <w:uiPriority w:val="51"/>
    <w:pPr>
      <w:spacing w:after="0"/>
    </w:pPr>
    <w:rPr>
      <w:color w:val="532477" w:themeColor="accent6" w:themeShade="BF"/>
    </w:rPr>
    <w:tblPr>
      <w:tblStyleRowBandSize w:val="1"/>
      <w:tblStyleColBandSize w:val="1"/>
      <w:tblBorders>
        <w:top w:val="single" w:sz="4" w:space="0" w:color="7030A0" w:themeColor="accent6"/>
        <w:bottom w:val="single" w:sz="4" w:space="0" w:color="7030A0" w:themeColor="accent6"/>
      </w:tblBorders>
    </w:tblPr>
    <w:tblStylePr w:type="firstRow">
      <w:rPr>
        <w:b/>
        <w:bCs/>
      </w:rPr>
      <w:tblPr/>
      <w:tcPr>
        <w:tcBorders>
          <w:bottom w:val="single" w:sz="4" w:space="0" w:color="7030A0" w:themeColor="accent6"/>
        </w:tcBorders>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7Colorful">
    <w:name w:val="List Table 7 Colorful"/>
    <w:basedOn w:val="TableNormal"/>
    <w:uiPriority w:val="52"/>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pPr>
      <w:spacing w:after="0"/>
    </w:pPr>
    <w:rPr>
      <w:color w:val="00602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13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13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13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139" w:themeColor="accent1"/>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pPr>
      <w:spacing w:after="0"/>
    </w:pPr>
    <w:rPr>
      <w:color w:val="A6470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600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600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600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6002" w:themeColor="accent2"/>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pPr>
      <w:spacing w:after="0"/>
    </w:pPr>
    <w:rPr>
      <w:color w:val="0162D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88F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88F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88F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88FE" w:themeColor="accent3"/>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pPr>
      <w:spacing w:after="0"/>
    </w:pPr>
    <w:rPr>
      <w:color w:val="C1810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DAB0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AB0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AB0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AB07" w:themeColor="accent4"/>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pPr>
      <w:spacing w:after="0"/>
    </w:pPr>
    <w:rPr>
      <w:color w:val="A4104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C165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C165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C165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C165D" w:themeColor="accent5"/>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pPr>
      <w:spacing w:after="0"/>
    </w:pPr>
    <w:rPr>
      <w:color w:val="53247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3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3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3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30A0" w:themeColor="accent6"/>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pPr>
      <w:spacing w:before="0" w:after="0"/>
    </w:p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insideV w:val="single" w:sz="8" w:space="0" w:color="00E062" w:themeColor="accent1" w:themeTint="BF"/>
      </w:tblBorders>
    </w:tblPr>
    <w:tcPr>
      <w:shd w:val="clear" w:color="auto" w:fill="A0FFCA" w:themeFill="accent1" w:themeFillTint="3F"/>
    </w:tcPr>
    <w:tblStylePr w:type="firstRow">
      <w:rPr>
        <w:b/>
        <w:bCs/>
      </w:rPr>
    </w:tblStylePr>
    <w:tblStylePr w:type="lastRow">
      <w:rPr>
        <w:b/>
        <w:bCs/>
      </w:rPr>
      <w:tblPr/>
      <w:tcPr>
        <w:tcBorders>
          <w:top w:val="single" w:sz="18" w:space="0" w:color="00E062" w:themeColor="accent1" w:themeTint="BF"/>
        </w:tcBorders>
      </w:tcPr>
    </w:tblStylePr>
    <w:tblStylePr w:type="firstCol">
      <w:rPr>
        <w:b/>
        <w:bCs/>
      </w:rPr>
    </w:tblStylePr>
    <w:tblStylePr w:type="lastCol">
      <w:rPr>
        <w:b/>
        <w:bCs/>
      </w:r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MediumGrid1-Accent2">
    <w:name w:val="Medium Grid 1 Accent 2"/>
    <w:basedOn w:val="TableNormal"/>
    <w:uiPriority w:val="67"/>
    <w:semiHidden/>
    <w:unhideWhenUsed/>
    <w:pPr>
      <w:spacing w:before="0" w:after="0"/>
    </w:p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insideV w:val="single" w:sz="8" w:space="0" w:color="FD832A" w:themeColor="accent2" w:themeTint="BF"/>
      </w:tblBorders>
    </w:tblPr>
    <w:tcPr>
      <w:shd w:val="clear" w:color="auto" w:fill="FED6B8" w:themeFill="accent2" w:themeFillTint="3F"/>
    </w:tcPr>
    <w:tblStylePr w:type="firstRow">
      <w:rPr>
        <w:b/>
        <w:bCs/>
      </w:rPr>
    </w:tblStylePr>
    <w:tblStylePr w:type="lastRow">
      <w:rPr>
        <w:b/>
        <w:bCs/>
      </w:rPr>
      <w:tblPr/>
      <w:tcPr>
        <w:tcBorders>
          <w:top w:val="single" w:sz="18" w:space="0" w:color="FD832A" w:themeColor="accent2" w:themeTint="BF"/>
        </w:tcBorders>
      </w:tcPr>
    </w:tblStylePr>
    <w:tblStylePr w:type="firstCol">
      <w:rPr>
        <w:b/>
        <w:bCs/>
      </w:rPr>
    </w:tblStylePr>
    <w:tblStylePr w:type="lastCol">
      <w:rPr>
        <w:b/>
        <w:bCs/>
      </w:r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MediumGrid1-Accent3">
    <w:name w:val="Medium Grid 1 Accent 3"/>
    <w:basedOn w:val="TableNormal"/>
    <w:uiPriority w:val="67"/>
    <w:semiHidden/>
    <w:unhideWhenUsed/>
    <w:pPr>
      <w:spacing w:before="0" w:after="0"/>
    </w:p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insideV w:val="single" w:sz="8" w:space="0" w:color="5CA5FE" w:themeColor="accent3" w:themeTint="BF"/>
      </w:tblBorders>
    </w:tblPr>
    <w:tcPr>
      <w:shd w:val="clear" w:color="auto" w:fill="C9E1FE" w:themeFill="accent3" w:themeFillTint="3F"/>
    </w:tcPr>
    <w:tblStylePr w:type="firstRow">
      <w:rPr>
        <w:b/>
        <w:bCs/>
      </w:rPr>
    </w:tblStylePr>
    <w:tblStylePr w:type="lastRow">
      <w:rPr>
        <w:b/>
        <w:bCs/>
      </w:rPr>
      <w:tblPr/>
      <w:tcPr>
        <w:tcBorders>
          <w:top w:val="single" w:sz="18" w:space="0" w:color="5CA5FE" w:themeColor="accent3" w:themeTint="BF"/>
        </w:tcBorders>
      </w:tcPr>
    </w:tblStylePr>
    <w:tblStylePr w:type="firstCol">
      <w:rPr>
        <w:b/>
        <w:bCs/>
      </w:rPr>
    </w:tblStylePr>
    <w:tblStylePr w:type="lastCol">
      <w:rPr>
        <w:b/>
        <w:bCs/>
      </w:r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MediumGrid1-Accent4">
    <w:name w:val="Medium Grid 1 Accent 4"/>
    <w:basedOn w:val="TableNormal"/>
    <w:uiPriority w:val="67"/>
    <w:semiHidden/>
    <w:unhideWhenUsed/>
    <w:pPr>
      <w:spacing w:before="0" w:after="0"/>
    </w:p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insideV w:val="single" w:sz="8" w:space="0" w:color="FDC045" w:themeColor="accent4" w:themeTint="BF"/>
      </w:tblBorders>
    </w:tblPr>
    <w:tcPr>
      <w:shd w:val="clear" w:color="auto" w:fill="FEEAC1" w:themeFill="accent4" w:themeFillTint="3F"/>
    </w:tcPr>
    <w:tblStylePr w:type="firstRow">
      <w:rPr>
        <w:b/>
        <w:bCs/>
      </w:rPr>
    </w:tblStylePr>
    <w:tblStylePr w:type="lastRow">
      <w:rPr>
        <w:b/>
        <w:bCs/>
      </w:rPr>
      <w:tblPr/>
      <w:tcPr>
        <w:tcBorders>
          <w:top w:val="single" w:sz="18" w:space="0" w:color="FDC045" w:themeColor="accent4" w:themeTint="BF"/>
        </w:tcBorders>
      </w:tcPr>
    </w:tblStylePr>
    <w:tblStylePr w:type="firstCol">
      <w:rPr>
        <w:b/>
        <w:bCs/>
      </w:rPr>
    </w:tblStylePr>
    <w:tblStylePr w:type="lastCol">
      <w:rPr>
        <w:b/>
        <w:bCs/>
      </w:r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MediumGrid1-Accent5">
    <w:name w:val="Medium Grid 1 Accent 5"/>
    <w:basedOn w:val="TableNormal"/>
    <w:uiPriority w:val="67"/>
    <w:semiHidden/>
    <w:unhideWhenUsed/>
    <w:pPr>
      <w:spacing w:before="0" w:after="0"/>
    </w:p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insideV w:val="single" w:sz="8" w:space="0" w:color="EC4882" w:themeColor="accent5" w:themeTint="BF"/>
      </w:tblBorders>
    </w:tblPr>
    <w:tcPr>
      <w:shd w:val="clear" w:color="auto" w:fill="F9C2D6" w:themeFill="accent5" w:themeFillTint="3F"/>
    </w:tcPr>
    <w:tblStylePr w:type="firstRow">
      <w:rPr>
        <w:b/>
        <w:bCs/>
      </w:rPr>
    </w:tblStylePr>
    <w:tblStylePr w:type="lastRow">
      <w:rPr>
        <w:b/>
        <w:bCs/>
      </w:rPr>
      <w:tblPr/>
      <w:tcPr>
        <w:tcBorders>
          <w:top w:val="single" w:sz="18" w:space="0" w:color="EC4882" w:themeColor="accent5" w:themeTint="BF"/>
        </w:tcBorders>
      </w:tcPr>
    </w:tblStylePr>
    <w:tblStylePr w:type="firstCol">
      <w:rPr>
        <w:b/>
        <w:bCs/>
      </w:rPr>
    </w:tblStylePr>
    <w:tblStylePr w:type="lastCol">
      <w:rPr>
        <w:b/>
        <w:bCs/>
      </w:r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MediumGrid1-Accent6">
    <w:name w:val="Medium Grid 1 Accent 6"/>
    <w:basedOn w:val="TableNormal"/>
    <w:uiPriority w:val="67"/>
    <w:semiHidden/>
    <w:unhideWhenUsed/>
    <w:pPr>
      <w:spacing w:before="0" w:after="0"/>
    </w:p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insideV w:val="single" w:sz="8" w:space="0" w:color="9650CA" w:themeColor="accent6" w:themeTint="BF"/>
      </w:tblBorders>
    </w:tblPr>
    <w:tcPr>
      <w:shd w:val="clear" w:color="auto" w:fill="DCC5ED" w:themeFill="accent6" w:themeFillTint="3F"/>
    </w:tcPr>
    <w:tblStylePr w:type="firstRow">
      <w:rPr>
        <w:b/>
        <w:bCs/>
      </w:rPr>
    </w:tblStylePr>
    <w:tblStylePr w:type="lastRow">
      <w:rPr>
        <w:b/>
        <w:bCs/>
      </w:rPr>
      <w:tblPr/>
      <w:tcPr>
        <w:tcBorders>
          <w:top w:val="single" w:sz="18" w:space="0" w:color="9650CA" w:themeColor="accent6" w:themeTint="BF"/>
        </w:tcBorders>
      </w:tcPr>
    </w:tblStylePr>
    <w:tblStylePr w:type="firstCol">
      <w:rPr>
        <w:b/>
        <w:bCs/>
      </w:rPr>
    </w:tblStylePr>
    <w:tblStylePr w:type="lastCol">
      <w:rPr>
        <w:b/>
        <w:bCs/>
      </w:r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MediumGrid2">
    <w:name w:val="Medium Grid 2"/>
    <w:basedOn w:val="TableNormal"/>
    <w:uiPriority w:val="68"/>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cPr>
      <w:shd w:val="clear" w:color="auto" w:fill="A0FFCA" w:themeFill="accent1" w:themeFillTint="3F"/>
    </w:tcPr>
    <w:tblStylePr w:type="firstRow">
      <w:rPr>
        <w:b/>
        <w:bCs/>
        <w:color w:val="000000" w:themeColor="text1"/>
      </w:rPr>
      <w:tblPr/>
      <w:tcPr>
        <w:shd w:val="clear" w:color="auto" w:fill="D9FF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2FFD4" w:themeFill="accent1" w:themeFillTint="33"/>
      </w:tcPr>
    </w:tblStylePr>
    <w:tblStylePr w:type="band1Vert">
      <w:tblPr/>
      <w:tcPr>
        <w:shd w:val="clear" w:color="auto" w:fill="41FF94" w:themeFill="accent1" w:themeFillTint="7F"/>
      </w:tcPr>
    </w:tblStylePr>
    <w:tblStylePr w:type="band1Horz">
      <w:tblPr/>
      <w:tcPr>
        <w:tcBorders>
          <w:insideH w:val="single" w:sz="6" w:space="0" w:color="008139" w:themeColor="accent1"/>
          <w:insideV w:val="single" w:sz="6" w:space="0" w:color="008139" w:themeColor="accent1"/>
        </w:tcBorders>
        <w:shd w:val="clear" w:color="auto" w:fill="41FF9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cPr>
      <w:shd w:val="clear" w:color="auto" w:fill="FED6B8" w:themeFill="accent2" w:themeFillTint="3F"/>
    </w:tcPr>
    <w:tblStylePr w:type="firstRow">
      <w:rPr>
        <w:b/>
        <w:bCs/>
        <w:color w:val="000000" w:themeColor="text1"/>
      </w:rPr>
      <w:tblPr/>
      <w:tcPr>
        <w:shd w:val="clear" w:color="auto" w:fill="FEEEE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EC6" w:themeFill="accent2" w:themeFillTint="33"/>
      </w:tcPr>
    </w:tblStylePr>
    <w:tblStylePr w:type="band1Vert">
      <w:tblPr/>
      <w:tcPr>
        <w:shd w:val="clear" w:color="auto" w:fill="FDAC71" w:themeFill="accent2" w:themeFillTint="7F"/>
      </w:tcPr>
    </w:tblStylePr>
    <w:tblStylePr w:type="band1Horz">
      <w:tblPr/>
      <w:tcPr>
        <w:tcBorders>
          <w:insideH w:val="single" w:sz="6" w:space="0" w:color="DE6002" w:themeColor="accent2"/>
          <w:insideV w:val="single" w:sz="6" w:space="0" w:color="DE6002" w:themeColor="accent2"/>
        </w:tcBorders>
        <w:shd w:val="clear" w:color="auto" w:fill="FDAC7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cPr>
      <w:shd w:val="clear" w:color="auto" w:fill="C9E1FE" w:themeFill="accent3" w:themeFillTint="3F"/>
    </w:tcPr>
    <w:tblStylePr w:type="firstRow">
      <w:rPr>
        <w:b/>
        <w:bCs/>
        <w:color w:val="000000" w:themeColor="text1"/>
      </w:rPr>
      <w:tblPr/>
      <w:tcPr>
        <w:shd w:val="clear" w:color="auto" w:fill="E9F3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7FE" w:themeFill="accent3" w:themeFillTint="33"/>
      </w:tcPr>
    </w:tblStylePr>
    <w:tblStylePr w:type="band1Vert">
      <w:tblPr/>
      <w:tcPr>
        <w:shd w:val="clear" w:color="auto" w:fill="92C3FE" w:themeFill="accent3" w:themeFillTint="7F"/>
      </w:tcPr>
    </w:tblStylePr>
    <w:tblStylePr w:type="band1Horz">
      <w:tblPr/>
      <w:tcPr>
        <w:tcBorders>
          <w:insideH w:val="single" w:sz="6" w:space="0" w:color="2688FE" w:themeColor="accent3"/>
          <w:insideV w:val="single" w:sz="6" w:space="0" w:color="2688FE" w:themeColor="accent3"/>
        </w:tcBorders>
        <w:shd w:val="clear" w:color="auto" w:fill="92C3F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cPr>
      <w:shd w:val="clear" w:color="auto" w:fill="FEEAC1" w:themeFill="accent4" w:themeFillTint="3F"/>
    </w:tcPr>
    <w:tblStylePr w:type="firstRow">
      <w:rPr>
        <w:b/>
        <w:bCs/>
        <w:color w:val="000000" w:themeColor="text1"/>
      </w:rPr>
      <w:tblPr/>
      <w:tcPr>
        <w:shd w:val="clear" w:color="auto" w:fill="FEF6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ECD" w:themeFill="accent4" w:themeFillTint="33"/>
      </w:tcPr>
    </w:tblStylePr>
    <w:tblStylePr w:type="band1Vert">
      <w:tblPr/>
      <w:tcPr>
        <w:shd w:val="clear" w:color="auto" w:fill="FED583" w:themeFill="accent4" w:themeFillTint="7F"/>
      </w:tcPr>
    </w:tblStylePr>
    <w:tblStylePr w:type="band1Horz">
      <w:tblPr/>
      <w:tcPr>
        <w:tcBorders>
          <w:insideH w:val="single" w:sz="6" w:space="0" w:color="FDAB07" w:themeColor="accent4"/>
          <w:insideV w:val="single" w:sz="6" w:space="0" w:color="FDAB07" w:themeColor="accent4"/>
        </w:tcBorders>
        <w:shd w:val="clear" w:color="auto" w:fill="FED58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cPr>
      <w:shd w:val="clear" w:color="auto" w:fill="F9C2D6" w:themeFill="accent5" w:themeFillTint="3F"/>
    </w:tcPr>
    <w:tblStylePr w:type="firstRow">
      <w:rPr>
        <w:b/>
        <w:bCs/>
        <w:color w:val="000000" w:themeColor="text1"/>
      </w:rPr>
      <w:tblPr/>
      <w:tcPr>
        <w:shd w:val="clear" w:color="auto" w:fill="FCE7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CEDD" w:themeFill="accent5" w:themeFillTint="33"/>
      </w:tcPr>
    </w:tblStylePr>
    <w:tblStylePr w:type="band1Vert">
      <w:tblPr/>
      <w:tcPr>
        <w:shd w:val="clear" w:color="auto" w:fill="F285AC" w:themeFill="accent5" w:themeFillTint="7F"/>
      </w:tcPr>
    </w:tblStylePr>
    <w:tblStylePr w:type="band1Horz">
      <w:tblPr/>
      <w:tcPr>
        <w:tcBorders>
          <w:insideH w:val="single" w:sz="6" w:space="0" w:color="DC165D" w:themeColor="accent5"/>
          <w:insideV w:val="single" w:sz="6" w:space="0" w:color="DC165D" w:themeColor="accent5"/>
        </w:tcBorders>
        <w:shd w:val="clear" w:color="auto" w:fill="F285A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cPr>
      <w:shd w:val="clear" w:color="auto" w:fill="DCC5ED" w:themeFill="accent6" w:themeFillTint="3F"/>
    </w:tcPr>
    <w:tblStylePr w:type="firstRow">
      <w:rPr>
        <w:b/>
        <w:bCs/>
        <w:color w:val="000000" w:themeColor="text1"/>
      </w:rPr>
      <w:tblPr/>
      <w:tcPr>
        <w:shd w:val="clear" w:color="auto" w:fill="F1E8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D0F1" w:themeFill="accent6" w:themeFillTint="33"/>
      </w:tcPr>
    </w:tblStylePr>
    <w:tblStylePr w:type="band1Vert">
      <w:tblPr/>
      <w:tcPr>
        <w:shd w:val="clear" w:color="auto" w:fill="B98BDC" w:themeFill="accent6" w:themeFillTint="7F"/>
      </w:tcPr>
    </w:tblStylePr>
    <w:tblStylePr w:type="band1Horz">
      <w:tblPr/>
      <w:tcPr>
        <w:tcBorders>
          <w:insideH w:val="single" w:sz="6" w:space="0" w:color="7030A0" w:themeColor="accent6"/>
          <w:insideV w:val="single" w:sz="6" w:space="0" w:color="7030A0" w:themeColor="accent6"/>
        </w:tcBorders>
        <w:shd w:val="clear" w:color="auto" w:fill="B98BD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FFC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13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13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1FF9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1FF94" w:themeFill="accent1" w:themeFillTint="7F"/>
      </w:tcPr>
    </w:tblStylePr>
  </w:style>
  <w:style w:type="table" w:styleId="MediumGrid3-Accent2">
    <w:name w:val="Medium Grid 3 Accent 2"/>
    <w:basedOn w:val="TableNormal"/>
    <w:uiPriority w:val="69"/>
    <w:semiHidden/>
    <w:unhideWhenUsed/>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6B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600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600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AC7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AC71" w:themeFill="accent2" w:themeFillTint="7F"/>
      </w:tcPr>
    </w:tblStylePr>
  </w:style>
  <w:style w:type="table" w:styleId="MediumGrid3-Accent3">
    <w:name w:val="Medium Grid 3 Accent 3"/>
    <w:basedOn w:val="TableNormal"/>
    <w:uiPriority w:val="69"/>
    <w:semiHidden/>
    <w:unhideWhenUsed/>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E1F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88F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88F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C3F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C3FE" w:themeFill="accent3" w:themeFillTint="7F"/>
      </w:tcPr>
    </w:tblStylePr>
  </w:style>
  <w:style w:type="table" w:styleId="MediumGrid3-Accent4">
    <w:name w:val="Medium Grid 3 Accent 4"/>
    <w:basedOn w:val="TableNormal"/>
    <w:uiPriority w:val="69"/>
    <w:semiHidden/>
    <w:unhideWhenUsed/>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AC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AB0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AB0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58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583" w:themeFill="accent4" w:themeFillTint="7F"/>
      </w:tcPr>
    </w:tblStylePr>
  </w:style>
  <w:style w:type="table" w:styleId="MediumGrid3-Accent5">
    <w:name w:val="Medium Grid 3 Accent 5"/>
    <w:basedOn w:val="TableNormal"/>
    <w:uiPriority w:val="69"/>
    <w:semiHidden/>
    <w:unhideWhenUsed/>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C2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C165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C165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5A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5AC" w:themeFill="accent5" w:themeFillTint="7F"/>
      </w:tcPr>
    </w:tblStylePr>
  </w:style>
  <w:style w:type="table" w:styleId="MediumGrid3-Accent6">
    <w:name w:val="Medium Grid 3 Accent 6"/>
    <w:basedOn w:val="TableNormal"/>
    <w:uiPriority w:val="69"/>
    <w:semiHidden/>
    <w:unhideWhenUsed/>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C5E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3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3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8BD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8BDC" w:themeFill="accent6" w:themeFillTint="7F"/>
      </w:tcPr>
    </w:tblStylePr>
  </w:style>
  <w:style w:type="table" w:styleId="MediumList1">
    <w:name w:val="Medium List 1"/>
    <w:basedOn w:val="TableNormal"/>
    <w:uiPriority w:val="65"/>
    <w:semiHidden/>
    <w:unhideWhenUsed/>
    <w:pPr>
      <w:spacing w:before="0"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39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pPr>
      <w:spacing w:before="0" w:after="0"/>
    </w:pPr>
    <w:rPr>
      <w:color w:val="000000" w:themeColor="text1"/>
    </w:rPr>
    <w:tblPr>
      <w:tblStyleRowBandSize w:val="1"/>
      <w:tblStyleColBandSize w:val="1"/>
      <w:tblBorders>
        <w:top w:val="single" w:sz="8" w:space="0" w:color="008139" w:themeColor="accent1"/>
        <w:bottom w:val="single" w:sz="8" w:space="0" w:color="008139" w:themeColor="accent1"/>
      </w:tblBorders>
    </w:tblPr>
    <w:tblStylePr w:type="firstRow">
      <w:rPr>
        <w:rFonts w:asciiTheme="majorHAnsi" w:eastAsiaTheme="majorEastAsia" w:hAnsiTheme="majorHAnsi" w:cstheme="majorBidi"/>
      </w:rPr>
      <w:tblPr/>
      <w:tcPr>
        <w:tcBorders>
          <w:top w:val="nil"/>
          <w:bottom w:val="single" w:sz="8" w:space="0" w:color="008139" w:themeColor="accent1"/>
        </w:tcBorders>
      </w:tcPr>
    </w:tblStylePr>
    <w:tblStylePr w:type="lastRow">
      <w:rPr>
        <w:b/>
        <w:bCs/>
        <w:color w:val="003399" w:themeColor="text2"/>
      </w:rPr>
      <w:tblPr/>
      <w:tcPr>
        <w:tcBorders>
          <w:top w:val="single" w:sz="8" w:space="0" w:color="008139" w:themeColor="accent1"/>
          <w:bottom w:val="single" w:sz="8" w:space="0" w:color="008139" w:themeColor="accent1"/>
        </w:tcBorders>
      </w:tcPr>
    </w:tblStylePr>
    <w:tblStylePr w:type="firstCol">
      <w:rPr>
        <w:b/>
        <w:bCs/>
      </w:rPr>
    </w:tblStylePr>
    <w:tblStylePr w:type="lastCol">
      <w:rPr>
        <w:b/>
        <w:bCs/>
      </w:rPr>
      <w:tblPr/>
      <w:tcPr>
        <w:tcBorders>
          <w:top w:val="single" w:sz="8" w:space="0" w:color="008139" w:themeColor="accent1"/>
          <w:bottom w:val="single" w:sz="8" w:space="0" w:color="008139" w:themeColor="accent1"/>
        </w:tcBorders>
      </w:tcPr>
    </w:tblStylePr>
    <w:tblStylePr w:type="band1Vert">
      <w:tblPr/>
      <w:tcPr>
        <w:shd w:val="clear" w:color="auto" w:fill="A0FFCA" w:themeFill="accent1" w:themeFillTint="3F"/>
      </w:tcPr>
    </w:tblStylePr>
    <w:tblStylePr w:type="band1Horz">
      <w:tblPr/>
      <w:tcPr>
        <w:shd w:val="clear" w:color="auto" w:fill="A0FFCA" w:themeFill="accent1" w:themeFillTint="3F"/>
      </w:tcPr>
    </w:tblStylePr>
  </w:style>
  <w:style w:type="table" w:styleId="MediumList1-Accent2">
    <w:name w:val="Medium List 1 Accent 2"/>
    <w:basedOn w:val="TableNormal"/>
    <w:uiPriority w:val="65"/>
    <w:semiHidden/>
    <w:unhideWhenUsed/>
    <w:pPr>
      <w:spacing w:before="0" w:after="0"/>
    </w:pPr>
    <w:rPr>
      <w:color w:val="000000" w:themeColor="text1"/>
    </w:rPr>
    <w:tblPr>
      <w:tblStyleRowBandSize w:val="1"/>
      <w:tblStyleColBandSize w:val="1"/>
      <w:tblBorders>
        <w:top w:val="single" w:sz="8" w:space="0" w:color="DE6002" w:themeColor="accent2"/>
        <w:bottom w:val="single" w:sz="8" w:space="0" w:color="DE6002" w:themeColor="accent2"/>
      </w:tblBorders>
    </w:tblPr>
    <w:tblStylePr w:type="firstRow">
      <w:rPr>
        <w:rFonts w:asciiTheme="majorHAnsi" w:eastAsiaTheme="majorEastAsia" w:hAnsiTheme="majorHAnsi" w:cstheme="majorBidi"/>
      </w:rPr>
      <w:tblPr/>
      <w:tcPr>
        <w:tcBorders>
          <w:top w:val="nil"/>
          <w:bottom w:val="single" w:sz="8" w:space="0" w:color="DE6002" w:themeColor="accent2"/>
        </w:tcBorders>
      </w:tcPr>
    </w:tblStylePr>
    <w:tblStylePr w:type="lastRow">
      <w:rPr>
        <w:b/>
        <w:bCs/>
        <w:color w:val="003399" w:themeColor="text2"/>
      </w:rPr>
      <w:tblPr/>
      <w:tcPr>
        <w:tcBorders>
          <w:top w:val="single" w:sz="8" w:space="0" w:color="DE6002" w:themeColor="accent2"/>
          <w:bottom w:val="single" w:sz="8" w:space="0" w:color="DE6002" w:themeColor="accent2"/>
        </w:tcBorders>
      </w:tcPr>
    </w:tblStylePr>
    <w:tblStylePr w:type="firstCol">
      <w:rPr>
        <w:b/>
        <w:bCs/>
      </w:rPr>
    </w:tblStylePr>
    <w:tblStylePr w:type="lastCol">
      <w:rPr>
        <w:b/>
        <w:bCs/>
      </w:rPr>
      <w:tblPr/>
      <w:tcPr>
        <w:tcBorders>
          <w:top w:val="single" w:sz="8" w:space="0" w:color="DE6002" w:themeColor="accent2"/>
          <w:bottom w:val="single" w:sz="8" w:space="0" w:color="DE6002" w:themeColor="accent2"/>
        </w:tcBorders>
      </w:tcPr>
    </w:tblStylePr>
    <w:tblStylePr w:type="band1Vert">
      <w:tblPr/>
      <w:tcPr>
        <w:shd w:val="clear" w:color="auto" w:fill="FED6B8" w:themeFill="accent2" w:themeFillTint="3F"/>
      </w:tcPr>
    </w:tblStylePr>
    <w:tblStylePr w:type="band1Horz">
      <w:tblPr/>
      <w:tcPr>
        <w:shd w:val="clear" w:color="auto" w:fill="FED6B8" w:themeFill="accent2" w:themeFillTint="3F"/>
      </w:tcPr>
    </w:tblStylePr>
  </w:style>
  <w:style w:type="table" w:styleId="MediumList1-Accent3">
    <w:name w:val="Medium List 1 Accent 3"/>
    <w:basedOn w:val="TableNormal"/>
    <w:uiPriority w:val="65"/>
    <w:semiHidden/>
    <w:unhideWhenUsed/>
    <w:pPr>
      <w:spacing w:before="0" w:after="0"/>
    </w:pPr>
    <w:rPr>
      <w:color w:val="000000" w:themeColor="text1"/>
    </w:rPr>
    <w:tblPr>
      <w:tblStyleRowBandSize w:val="1"/>
      <w:tblStyleColBandSize w:val="1"/>
      <w:tblBorders>
        <w:top w:val="single" w:sz="8" w:space="0" w:color="2688FE" w:themeColor="accent3"/>
        <w:bottom w:val="single" w:sz="8" w:space="0" w:color="2688FE" w:themeColor="accent3"/>
      </w:tblBorders>
    </w:tblPr>
    <w:tblStylePr w:type="firstRow">
      <w:rPr>
        <w:rFonts w:asciiTheme="majorHAnsi" w:eastAsiaTheme="majorEastAsia" w:hAnsiTheme="majorHAnsi" w:cstheme="majorBidi"/>
      </w:rPr>
      <w:tblPr/>
      <w:tcPr>
        <w:tcBorders>
          <w:top w:val="nil"/>
          <w:bottom w:val="single" w:sz="8" w:space="0" w:color="2688FE" w:themeColor="accent3"/>
        </w:tcBorders>
      </w:tcPr>
    </w:tblStylePr>
    <w:tblStylePr w:type="lastRow">
      <w:rPr>
        <w:b/>
        <w:bCs/>
        <w:color w:val="003399" w:themeColor="text2"/>
      </w:rPr>
      <w:tblPr/>
      <w:tcPr>
        <w:tcBorders>
          <w:top w:val="single" w:sz="8" w:space="0" w:color="2688FE" w:themeColor="accent3"/>
          <w:bottom w:val="single" w:sz="8" w:space="0" w:color="2688FE" w:themeColor="accent3"/>
        </w:tcBorders>
      </w:tcPr>
    </w:tblStylePr>
    <w:tblStylePr w:type="firstCol">
      <w:rPr>
        <w:b/>
        <w:bCs/>
      </w:rPr>
    </w:tblStylePr>
    <w:tblStylePr w:type="lastCol">
      <w:rPr>
        <w:b/>
        <w:bCs/>
      </w:rPr>
      <w:tblPr/>
      <w:tcPr>
        <w:tcBorders>
          <w:top w:val="single" w:sz="8" w:space="0" w:color="2688FE" w:themeColor="accent3"/>
          <w:bottom w:val="single" w:sz="8" w:space="0" w:color="2688FE" w:themeColor="accent3"/>
        </w:tcBorders>
      </w:tcPr>
    </w:tblStylePr>
    <w:tblStylePr w:type="band1Vert">
      <w:tblPr/>
      <w:tcPr>
        <w:shd w:val="clear" w:color="auto" w:fill="C9E1FE" w:themeFill="accent3" w:themeFillTint="3F"/>
      </w:tcPr>
    </w:tblStylePr>
    <w:tblStylePr w:type="band1Horz">
      <w:tblPr/>
      <w:tcPr>
        <w:shd w:val="clear" w:color="auto" w:fill="C9E1FE" w:themeFill="accent3" w:themeFillTint="3F"/>
      </w:tcPr>
    </w:tblStylePr>
  </w:style>
  <w:style w:type="table" w:styleId="MediumList1-Accent4">
    <w:name w:val="Medium List 1 Accent 4"/>
    <w:basedOn w:val="TableNormal"/>
    <w:uiPriority w:val="65"/>
    <w:semiHidden/>
    <w:unhideWhenUsed/>
    <w:pPr>
      <w:spacing w:before="0" w:after="0"/>
    </w:pPr>
    <w:rPr>
      <w:color w:val="000000" w:themeColor="text1"/>
    </w:rPr>
    <w:tblPr>
      <w:tblStyleRowBandSize w:val="1"/>
      <w:tblStyleColBandSize w:val="1"/>
      <w:tblBorders>
        <w:top w:val="single" w:sz="8" w:space="0" w:color="FDAB07" w:themeColor="accent4"/>
        <w:bottom w:val="single" w:sz="8" w:space="0" w:color="FDAB07" w:themeColor="accent4"/>
      </w:tblBorders>
    </w:tblPr>
    <w:tblStylePr w:type="firstRow">
      <w:rPr>
        <w:rFonts w:asciiTheme="majorHAnsi" w:eastAsiaTheme="majorEastAsia" w:hAnsiTheme="majorHAnsi" w:cstheme="majorBidi"/>
      </w:rPr>
      <w:tblPr/>
      <w:tcPr>
        <w:tcBorders>
          <w:top w:val="nil"/>
          <w:bottom w:val="single" w:sz="8" w:space="0" w:color="FDAB07" w:themeColor="accent4"/>
        </w:tcBorders>
      </w:tcPr>
    </w:tblStylePr>
    <w:tblStylePr w:type="lastRow">
      <w:rPr>
        <w:b/>
        <w:bCs/>
        <w:color w:val="003399" w:themeColor="text2"/>
      </w:rPr>
      <w:tblPr/>
      <w:tcPr>
        <w:tcBorders>
          <w:top w:val="single" w:sz="8" w:space="0" w:color="FDAB07" w:themeColor="accent4"/>
          <w:bottom w:val="single" w:sz="8" w:space="0" w:color="FDAB07" w:themeColor="accent4"/>
        </w:tcBorders>
      </w:tcPr>
    </w:tblStylePr>
    <w:tblStylePr w:type="firstCol">
      <w:rPr>
        <w:b/>
        <w:bCs/>
      </w:rPr>
    </w:tblStylePr>
    <w:tblStylePr w:type="lastCol">
      <w:rPr>
        <w:b/>
        <w:bCs/>
      </w:rPr>
      <w:tblPr/>
      <w:tcPr>
        <w:tcBorders>
          <w:top w:val="single" w:sz="8" w:space="0" w:color="FDAB07" w:themeColor="accent4"/>
          <w:bottom w:val="single" w:sz="8" w:space="0" w:color="FDAB07" w:themeColor="accent4"/>
        </w:tcBorders>
      </w:tcPr>
    </w:tblStylePr>
    <w:tblStylePr w:type="band1Vert">
      <w:tblPr/>
      <w:tcPr>
        <w:shd w:val="clear" w:color="auto" w:fill="FEEAC1" w:themeFill="accent4" w:themeFillTint="3F"/>
      </w:tcPr>
    </w:tblStylePr>
    <w:tblStylePr w:type="band1Horz">
      <w:tblPr/>
      <w:tcPr>
        <w:shd w:val="clear" w:color="auto" w:fill="FEEAC1" w:themeFill="accent4" w:themeFillTint="3F"/>
      </w:tcPr>
    </w:tblStylePr>
  </w:style>
  <w:style w:type="table" w:styleId="MediumList1-Accent5">
    <w:name w:val="Medium List 1 Accent 5"/>
    <w:basedOn w:val="TableNormal"/>
    <w:uiPriority w:val="65"/>
    <w:semiHidden/>
    <w:unhideWhenUsed/>
    <w:pPr>
      <w:spacing w:before="0" w:after="0"/>
    </w:pPr>
    <w:rPr>
      <w:color w:val="000000" w:themeColor="text1"/>
    </w:rPr>
    <w:tblPr>
      <w:tblStyleRowBandSize w:val="1"/>
      <w:tblStyleColBandSize w:val="1"/>
      <w:tblBorders>
        <w:top w:val="single" w:sz="8" w:space="0" w:color="DC165D" w:themeColor="accent5"/>
        <w:bottom w:val="single" w:sz="8" w:space="0" w:color="DC165D" w:themeColor="accent5"/>
      </w:tblBorders>
    </w:tblPr>
    <w:tblStylePr w:type="firstRow">
      <w:rPr>
        <w:rFonts w:asciiTheme="majorHAnsi" w:eastAsiaTheme="majorEastAsia" w:hAnsiTheme="majorHAnsi" w:cstheme="majorBidi"/>
      </w:rPr>
      <w:tblPr/>
      <w:tcPr>
        <w:tcBorders>
          <w:top w:val="nil"/>
          <w:bottom w:val="single" w:sz="8" w:space="0" w:color="DC165D" w:themeColor="accent5"/>
        </w:tcBorders>
      </w:tcPr>
    </w:tblStylePr>
    <w:tblStylePr w:type="lastRow">
      <w:rPr>
        <w:b/>
        <w:bCs/>
        <w:color w:val="003399" w:themeColor="text2"/>
      </w:rPr>
      <w:tblPr/>
      <w:tcPr>
        <w:tcBorders>
          <w:top w:val="single" w:sz="8" w:space="0" w:color="DC165D" w:themeColor="accent5"/>
          <w:bottom w:val="single" w:sz="8" w:space="0" w:color="DC165D" w:themeColor="accent5"/>
        </w:tcBorders>
      </w:tcPr>
    </w:tblStylePr>
    <w:tblStylePr w:type="firstCol">
      <w:rPr>
        <w:b/>
        <w:bCs/>
      </w:rPr>
    </w:tblStylePr>
    <w:tblStylePr w:type="lastCol">
      <w:rPr>
        <w:b/>
        <w:bCs/>
      </w:rPr>
      <w:tblPr/>
      <w:tcPr>
        <w:tcBorders>
          <w:top w:val="single" w:sz="8" w:space="0" w:color="DC165D" w:themeColor="accent5"/>
          <w:bottom w:val="single" w:sz="8" w:space="0" w:color="DC165D" w:themeColor="accent5"/>
        </w:tcBorders>
      </w:tcPr>
    </w:tblStylePr>
    <w:tblStylePr w:type="band1Vert">
      <w:tblPr/>
      <w:tcPr>
        <w:shd w:val="clear" w:color="auto" w:fill="F9C2D6" w:themeFill="accent5" w:themeFillTint="3F"/>
      </w:tcPr>
    </w:tblStylePr>
    <w:tblStylePr w:type="band1Horz">
      <w:tblPr/>
      <w:tcPr>
        <w:shd w:val="clear" w:color="auto" w:fill="F9C2D6" w:themeFill="accent5" w:themeFillTint="3F"/>
      </w:tcPr>
    </w:tblStylePr>
  </w:style>
  <w:style w:type="table" w:styleId="MediumList1-Accent6">
    <w:name w:val="Medium List 1 Accent 6"/>
    <w:basedOn w:val="TableNormal"/>
    <w:uiPriority w:val="65"/>
    <w:semiHidden/>
    <w:unhideWhenUsed/>
    <w:pPr>
      <w:spacing w:before="0" w:after="0"/>
    </w:pPr>
    <w:rPr>
      <w:color w:val="000000" w:themeColor="text1"/>
    </w:rPr>
    <w:tblPr>
      <w:tblStyleRowBandSize w:val="1"/>
      <w:tblStyleColBandSize w:val="1"/>
      <w:tblBorders>
        <w:top w:val="single" w:sz="8" w:space="0" w:color="7030A0" w:themeColor="accent6"/>
        <w:bottom w:val="single" w:sz="8" w:space="0" w:color="7030A0" w:themeColor="accent6"/>
      </w:tblBorders>
    </w:tblPr>
    <w:tblStylePr w:type="firstRow">
      <w:rPr>
        <w:rFonts w:asciiTheme="majorHAnsi" w:eastAsiaTheme="majorEastAsia" w:hAnsiTheme="majorHAnsi" w:cstheme="majorBidi"/>
      </w:rPr>
      <w:tblPr/>
      <w:tcPr>
        <w:tcBorders>
          <w:top w:val="nil"/>
          <w:bottom w:val="single" w:sz="8" w:space="0" w:color="7030A0" w:themeColor="accent6"/>
        </w:tcBorders>
      </w:tcPr>
    </w:tblStylePr>
    <w:tblStylePr w:type="lastRow">
      <w:rPr>
        <w:b/>
        <w:bCs/>
        <w:color w:val="003399" w:themeColor="text2"/>
      </w:rPr>
      <w:tblPr/>
      <w:tcPr>
        <w:tcBorders>
          <w:top w:val="single" w:sz="8" w:space="0" w:color="7030A0" w:themeColor="accent6"/>
          <w:bottom w:val="single" w:sz="8" w:space="0" w:color="7030A0" w:themeColor="accent6"/>
        </w:tcBorders>
      </w:tcPr>
    </w:tblStylePr>
    <w:tblStylePr w:type="firstCol">
      <w:rPr>
        <w:b/>
        <w:bCs/>
      </w:rPr>
    </w:tblStylePr>
    <w:tblStylePr w:type="lastCol">
      <w:rPr>
        <w:b/>
        <w:bCs/>
      </w:rPr>
      <w:tblPr/>
      <w:tcPr>
        <w:tcBorders>
          <w:top w:val="single" w:sz="8" w:space="0" w:color="7030A0" w:themeColor="accent6"/>
          <w:bottom w:val="single" w:sz="8" w:space="0" w:color="7030A0" w:themeColor="accent6"/>
        </w:tcBorders>
      </w:tcPr>
    </w:tblStylePr>
    <w:tblStylePr w:type="band1Vert">
      <w:tblPr/>
      <w:tcPr>
        <w:shd w:val="clear" w:color="auto" w:fill="DCC5ED" w:themeFill="accent6" w:themeFillTint="3F"/>
      </w:tcPr>
    </w:tblStylePr>
    <w:tblStylePr w:type="band1Horz">
      <w:tblPr/>
      <w:tcPr>
        <w:shd w:val="clear" w:color="auto" w:fill="DCC5ED" w:themeFill="accent6" w:themeFillTint="3F"/>
      </w:tcPr>
    </w:tblStylePr>
  </w:style>
  <w:style w:type="table" w:styleId="MediumList2">
    <w:name w:val="Medium List 2"/>
    <w:basedOn w:val="TableNormal"/>
    <w:uiPriority w:val="66"/>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rPr>
        <w:sz w:val="24"/>
        <w:szCs w:val="24"/>
      </w:rPr>
      <w:tblPr/>
      <w:tcPr>
        <w:tcBorders>
          <w:top w:val="nil"/>
          <w:left w:val="nil"/>
          <w:bottom w:val="single" w:sz="24" w:space="0" w:color="008139"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139" w:themeColor="accent1"/>
          <w:insideH w:val="nil"/>
          <w:insideV w:val="nil"/>
        </w:tcBorders>
        <w:shd w:val="clear" w:color="auto" w:fill="FFFFFF" w:themeFill="background1"/>
      </w:tcPr>
    </w:tblStylePr>
    <w:tblStylePr w:type="lastCol">
      <w:tblPr/>
      <w:tcPr>
        <w:tcBorders>
          <w:top w:val="nil"/>
          <w:left w:val="single" w:sz="8" w:space="0" w:color="00813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top w:val="nil"/>
          <w:bottom w:val="nil"/>
          <w:insideH w:val="nil"/>
          <w:insideV w:val="nil"/>
        </w:tcBorders>
        <w:shd w:val="clear" w:color="auto" w:fill="A0FFC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rPr>
        <w:sz w:val="24"/>
        <w:szCs w:val="24"/>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6002" w:themeColor="accent2"/>
          <w:insideH w:val="nil"/>
          <w:insideV w:val="nil"/>
        </w:tcBorders>
        <w:shd w:val="clear" w:color="auto" w:fill="FFFFFF" w:themeFill="background1"/>
      </w:tcPr>
    </w:tblStylePr>
    <w:tblStylePr w:type="lastCol">
      <w:tblPr/>
      <w:tcPr>
        <w:tcBorders>
          <w:top w:val="nil"/>
          <w:left w:val="single" w:sz="8" w:space="0" w:color="DE600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top w:val="nil"/>
          <w:bottom w:val="nil"/>
          <w:insideH w:val="nil"/>
          <w:insideV w:val="nil"/>
        </w:tcBorders>
        <w:shd w:val="clear" w:color="auto" w:fill="FED6B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rPr>
        <w:sz w:val="24"/>
        <w:szCs w:val="24"/>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88FE" w:themeColor="accent3"/>
          <w:insideH w:val="nil"/>
          <w:insideV w:val="nil"/>
        </w:tcBorders>
        <w:shd w:val="clear" w:color="auto" w:fill="FFFFFF" w:themeFill="background1"/>
      </w:tcPr>
    </w:tblStylePr>
    <w:tblStylePr w:type="lastCol">
      <w:tblPr/>
      <w:tcPr>
        <w:tcBorders>
          <w:top w:val="nil"/>
          <w:left w:val="single" w:sz="8" w:space="0" w:color="2688F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top w:val="nil"/>
          <w:bottom w:val="nil"/>
          <w:insideH w:val="nil"/>
          <w:insideV w:val="nil"/>
        </w:tcBorders>
        <w:shd w:val="clear" w:color="auto" w:fill="C9E1F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rPr>
        <w:sz w:val="24"/>
        <w:szCs w:val="24"/>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AB07" w:themeColor="accent4"/>
          <w:insideH w:val="nil"/>
          <w:insideV w:val="nil"/>
        </w:tcBorders>
        <w:shd w:val="clear" w:color="auto" w:fill="FFFFFF" w:themeFill="background1"/>
      </w:tcPr>
    </w:tblStylePr>
    <w:tblStylePr w:type="lastCol">
      <w:tblPr/>
      <w:tcPr>
        <w:tcBorders>
          <w:top w:val="nil"/>
          <w:left w:val="single" w:sz="8" w:space="0" w:color="FDAB0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top w:val="nil"/>
          <w:bottom w:val="nil"/>
          <w:insideH w:val="nil"/>
          <w:insideV w:val="nil"/>
        </w:tcBorders>
        <w:shd w:val="clear" w:color="auto" w:fill="FEEAC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rPr>
        <w:sz w:val="24"/>
        <w:szCs w:val="24"/>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C165D" w:themeColor="accent5"/>
          <w:insideH w:val="nil"/>
          <w:insideV w:val="nil"/>
        </w:tcBorders>
        <w:shd w:val="clear" w:color="auto" w:fill="FFFFFF" w:themeFill="background1"/>
      </w:tcPr>
    </w:tblStylePr>
    <w:tblStylePr w:type="lastCol">
      <w:tblPr/>
      <w:tcPr>
        <w:tcBorders>
          <w:top w:val="nil"/>
          <w:left w:val="single" w:sz="8" w:space="0" w:color="DC165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top w:val="nil"/>
          <w:bottom w:val="nil"/>
          <w:insideH w:val="nil"/>
          <w:insideV w:val="nil"/>
        </w:tcBorders>
        <w:shd w:val="clear" w:color="auto" w:fill="F9C2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rPr>
        <w:sz w:val="24"/>
        <w:szCs w:val="24"/>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30A0" w:themeColor="accent6"/>
          <w:insideH w:val="nil"/>
          <w:insideV w:val="nil"/>
        </w:tcBorders>
        <w:shd w:val="clear" w:color="auto" w:fill="FFFFFF" w:themeFill="background1"/>
      </w:tcPr>
    </w:tblStylePr>
    <w:tblStylePr w:type="lastCol">
      <w:tblPr/>
      <w:tcPr>
        <w:tcBorders>
          <w:top w:val="nil"/>
          <w:left w:val="single" w:sz="8" w:space="0" w:color="703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top w:val="nil"/>
          <w:bottom w:val="nil"/>
          <w:insideH w:val="nil"/>
          <w:insideV w:val="nil"/>
        </w:tcBorders>
        <w:shd w:val="clear" w:color="auto" w:fill="DCC5E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pPr>
      <w:spacing w:before="0" w:after="0"/>
    </w:p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tblBorders>
    </w:tblPr>
    <w:tblStylePr w:type="firstRow">
      <w:pPr>
        <w:spacing w:before="0" w:after="0" w:line="240" w:lineRule="auto"/>
      </w:pPr>
      <w:rPr>
        <w:b/>
        <w:bCs/>
        <w:color w:val="FFFFFF" w:themeColor="background1"/>
      </w:rPr>
      <w:tblPr/>
      <w:tcPr>
        <w:tc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shd w:val="clear" w:color="auto" w:fill="008139" w:themeFill="accent1"/>
      </w:tcPr>
    </w:tblStylePr>
    <w:tblStylePr w:type="lastRow">
      <w:pPr>
        <w:spacing w:before="0" w:after="0" w:line="240" w:lineRule="auto"/>
      </w:pPr>
      <w:rPr>
        <w:b/>
        <w:bCs/>
      </w:rPr>
      <w:tblPr/>
      <w:tcPr>
        <w:tcBorders>
          <w:top w:val="double" w:sz="6"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0FFCA" w:themeFill="accent1" w:themeFillTint="3F"/>
      </w:tcPr>
    </w:tblStylePr>
    <w:tblStylePr w:type="band1Horz">
      <w:tblPr/>
      <w:tcPr>
        <w:tcBorders>
          <w:insideH w:val="nil"/>
          <w:insideV w:val="nil"/>
        </w:tcBorders>
        <w:shd w:val="clear" w:color="auto" w:fill="A0FFC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pPr>
      <w:spacing w:before="0" w:after="0"/>
    </w:p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tblBorders>
    </w:tblPr>
    <w:tblStylePr w:type="firstRow">
      <w:pPr>
        <w:spacing w:before="0" w:after="0" w:line="240" w:lineRule="auto"/>
      </w:pPr>
      <w:rPr>
        <w:b/>
        <w:bCs/>
        <w:color w:val="FFFFFF" w:themeColor="background1"/>
      </w:rPr>
      <w:tblPr/>
      <w:tcPr>
        <w:tc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shd w:val="clear" w:color="auto" w:fill="DE6002" w:themeFill="accent2"/>
      </w:tcPr>
    </w:tblStylePr>
    <w:tblStylePr w:type="lastRow">
      <w:pPr>
        <w:spacing w:before="0" w:after="0" w:line="240" w:lineRule="auto"/>
      </w:pPr>
      <w:rPr>
        <w:b/>
        <w:bCs/>
      </w:rPr>
      <w:tblPr/>
      <w:tcPr>
        <w:tcBorders>
          <w:top w:val="double" w:sz="6"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tcPr>
    </w:tblStylePr>
    <w:tblStylePr w:type="firstCol">
      <w:rPr>
        <w:b/>
        <w:bCs/>
      </w:rPr>
    </w:tblStylePr>
    <w:tblStylePr w:type="lastCol">
      <w:rPr>
        <w:b/>
        <w:bCs/>
      </w:rPr>
    </w:tblStylePr>
    <w:tblStylePr w:type="band1Vert">
      <w:tblPr/>
      <w:tcPr>
        <w:shd w:val="clear" w:color="auto" w:fill="FED6B8" w:themeFill="accent2" w:themeFillTint="3F"/>
      </w:tcPr>
    </w:tblStylePr>
    <w:tblStylePr w:type="band1Horz">
      <w:tblPr/>
      <w:tcPr>
        <w:tcBorders>
          <w:insideH w:val="nil"/>
          <w:insideV w:val="nil"/>
        </w:tcBorders>
        <w:shd w:val="clear" w:color="auto" w:fill="FED6B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pPr>
      <w:spacing w:before="0" w:after="0"/>
    </w:p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tblBorders>
    </w:tblPr>
    <w:tblStylePr w:type="firstRow">
      <w:pPr>
        <w:spacing w:before="0" w:after="0" w:line="240" w:lineRule="auto"/>
      </w:pPr>
      <w:rPr>
        <w:b/>
        <w:bCs/>
        <w:color w:val="FFFFFF" w:themeColor="background1"/>
      </w:rPr>
      <w:tblPr/>
      <w:tcPr>
        <w:tc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shd w:val="clear" w:color="auto" w:fill="2688FE" w:themeFill="accent3"/>
      </w:tcPr>
    </w:tblStylePr>
    <w:tblStylePr w:type="lastRow">
      <w:pPr>
        <w:spacing w:before="0" w:after="0" w:line="240" w:lineRule="auto"/>
      </w:pPr>
      <w:rPr>
        <w:b/>
        <w:bCs/>
      </w:rPr>
      <w:tblPr/>
      <w:tcPr>
        <w:tcBorders>
          <w:top w:val="double" w:sz="6"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E1FE" w:themeFill="accent3" w:themeFillTint="3F"/>
      </w:tcPr>
    </w:tblStylePr>
    <w:tblStylePr w:type="band1Horz">
      <w:tblPr/>
      <w:tcPr>
        <w:tcBorders>
          <w:insideH w:val="nil"/>
          <w:insideV w:val="nil"/>
        </w:tcBorders>
        <w:shd w:val="clear" w:color="auto" w:fill="C9E1F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pPr>
      <w:spacing w:before="0" w:after="0"/>
    </w:p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tblBorders>
    </w:tblPr>
    <w:tblStylePr w:type="firstRow">
      <w:pPr>
        <w:spacing w:before="0" w:after="0" w:line="240" w:lineRule="auto"/>
      </w:pPr>
      <w:rPr>
        <w:b/>
        <w:bCs/>
        <w:color w:val="FFFFFF" w:themeColor="background1"/>
      </w:rPr>
      <w:tblPr/>
      <w:tcPr>
        <w:tc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shd w:val="clear" w:color="auto" w:fill="FDAB07" w:themeFill="accent4"/>
      </w:tcPr>
    </w:tblStylePr>
    <w:tblStylePr w:type="lastRow">
      <w:pPr>
        <w:spacing w:before="0" w:after="0" w:line="240" w:lineRule="auto"/>
      </w:pPr>
      <w:rPr>
        <w:b/>
        <w:bCs/>
      </w:rPr>
      <w:tblPr/>
      <w:tcPr>
        <w:tcBorders>
          <w:top w:val="double" w:sz="6"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EAC1" w:themeFill="accent4" w:themeFillTint="3F"/>
      </w:tcPr>
    </w:tblStylePr>
    <w:tblStylePr w:type="band1Horz">
      <w:tblPr/>
      <w:tcPr>
        <w:tcBorders>
          <w:insideH w:val="nil"/>
          <w:insideV w:val="nil"/>
        </w:tcBorders>
        <w:shd w:val="clear" w:color="auto" w:fill="FEEAC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pPr>
      <w:spacing w:before="0" w:after="0"/>
    </w:p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tblBorders>
    </w:tblPr>
    <w:tblStylePr w:type="firstRow">
      <w:pPr>
        <w:spacing w:before="0" w:after="0" w:line="240" w:lineRule="auto"/>
      </w:pPr>
      <w:rPr>
        <w:b/>
        <w:bCs/>
        <w:color w:val="FFFFFF" w:themeColor="background1"/>
      </w:rPr>
      <w:tblPr/>
      <w:tcPr>
        <w:tc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shd w:val="clear" w:color="auto" w:fill="DC165D" w:themeFill="accent5"/>
      </w:tcPr>
    </w:tblStylePr>
    <w:tblStylePr w:type="lastRow">
      <w:pPr>
        <w:spacing w:before="0" w:after="0" w:line="240" w:lineRule="auto"/>
      </w:pPr>
      <w:rPr>
        <w:b/>
        <w:bCs/>
      </w:rPr>
      <w:tblPr/>
      <w:tcPr>
        <w:tcBorders>
          <w:top w:val="double" w:sz="6"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C2D6" w:themeFill="accent5" w:themeFillTint="3F"/>
      </w:tcPr>
    </w:tblStylePr>
    <w:tblStylePr w:type="band1Horz">
      <w:tblPr/>
      <w:tcPr>
        <w:tcBorders>
          <w:insideH w:val="nil"/>
          <w:insideV w:val="nil"/>
        </w:tcBorders>
        <w:shd w:val="clear" w:color="auto" w:fill="F9C2D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pPr>
      <w:spacing w:before="0" w:after="0"/>
    </w:p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tblBorders>
    </w:tblPr>
    <w:tblStylePr w:type="firstRow">
      <w:pPr>
        <w:spacing w:before="0" w:after="0" w:line="240" w:lineRule="auto"/>
      </w:pPr>
      <w:rPr>
        <w:b/>
        <w:bCs/>
        <w:color w:val="FFFFFF" w:themeColor="background1"/>
      </w:rPr>
      <w:tblPr/>
      <w:tcPr>
        <w:tc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shd w:val="clear" w:color="auto" w:fill="7030A0" w:themeFill="accent6"/>
      </w:tcPr>
    </w:tblStylePr>
    <w:tblStylePr w:type="lastRow">
      <w:pPr>
        <w:spacing w:before="0" w:after="0" w:line="240" w:lineRule="auto"/>
      </w:pPr>
      <w:rPr>
        <w:b/>
        <w:bCs/>
      </w:rPr>
      <w:tblPr/>
      <w:tcPr>
        <w:tcBorders>
          <w:top w:val="double" w:sz="6"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CC5ED" w:themeFill="accent6" w:themeFillTint="3F"/>
      </w:tcPr>
    </w:tblStylePr>
    <w:tblStylePr w:type="band1Horz">
      <w:tblPr/>
      <w:tcPr>
        <w:tcBorders>
          <w:insideH w:val="nil"/>
          <w:insideV w:val="nil"/>
        </w:tcBorders>
        <w:shd w:val="clear" w:color="auto" w:fill="DCC5E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600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6002" w:themeFill="accent2"/>
      </w:tcPr>
    </w:tblStylePr>
    <w:tblStylePr w:type="lastCol">
      <w:rPr>
        <w:b/>
        <w:bCs/>
        <w:color w:val="FFFFFF" w:themeColor="background1"/>
      </w:rPr>
      <w:tblPr/>
      <w:tcPr>
        <w:tcBorders>
          <w:left w:val="nil"/>
          <w:right w:val="nil"/>
          <w:insideH w:val="nil"/>
          <w:insideV w:val="nil"/>
        </w:tcBorders>
        <w:shd w:val="clear" w:color="auto" w:fill="DE600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88F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688FE" w:themeFill="accent3"/>
      </w:tcPr>
    </w:tblStylePr>
    <w:tblStylePr w:type="lastCol">
      <w:rPr>
        <w:b/>
        <w:bCs/>
        <w:color w:val="FFFFFF" w:themeColor="background1"/>
      </w:rPr>
      <w:tblPr/>
      <w:tcPr>
        <w:tcBorders>
          <w:left w:val="nil"/>
          <w:right w:val="nil"/>
          <w:insideH w:val="nil"/>
          <w:insideV w:val="nil"/>
        </w:tcBorders>
        <w:shd w:val="clear" w:color="auto" w:fill="2688F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AB0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DAB07" w:themeFill="accent4"/>
      </w:tcPr>
    </w:tblStylePr>
    <w:tblStylePr w:type="lastCol">
      <w:rPr>
        <w:b/>
        <w:bCs/>
        <w:color w:val="FFFFFF" w:themeColor="background1"/>
      </w:rPr>
      <w:tblPr/>
      <w:tcPr>
        <w:tcBorders>
          <w:left w:val="nil"/>
          <w:right w:val="nil"/>
          <w:insideH w:val="nil"/>
          <w:insideV w:val="nil"/>
        </w:tcBorders>
        <w:shd w:val="clear" w:color="auto" w:fill="FDAB0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C165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C165D" w:themeFill="accent5"/>
      </w:tcPr>
    </w:tblStylePr>
    <w:tblStylePr w:type="lastCol">
      <w:rPr>
        <w:b/>
        <w:bCs/>
        <w:color w:val="FFFFFF" w:themeColor="background1"/>
      </w:rPr>
      <w:tblPr/>
      <w:tcPr>
        <w:tcBorders>
          <w:left w:val="nil"/>
          <w:right w:val="nil"/>
          <w:insideH w:val="nil"/>
          <w:insideV w:val="nil"/>
        </w:tcBorders>
        <w:shd w:val="clear" w:color="auto" w:fill="DC165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3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30A0" w:themeFill="accent6"/>
      </w:tcPr>
    </w:tblStylePr>
    <w:tblStylePr w:type="lastCol">
      <w:rPr>
        <w:b/>
        <w:bCs/>
        <w:color w:val="FFFFFF" w:themeColor="background1"/>
      </w:rPr>
      <w:tblPr/>
      <w:tcPr>
        <w:tcBorders>
          <w:left w:val="nil"/>
          <w:right w:val="nil"/>
          <w:insideH w:val="nil"/>
          <w:insideV w:val="nil"/>
        </w:tcBorders>
        <w:shd w:val="clear" w:color="auto" w:fill="703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PlainTable1">
    <w:name w:val="Plain Table 1"/>
    <w:basedOn w:val="TableNormal"/>
    <w:uiPriority w:val="4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lang w:val="fr-FR"/>
    </w:rPr>
  </w:style>
  <w:style w:type="character" w:styleId="Strong">
    <w:name w:val="Strong"/>
    <w:basedOn w:val="DefaultParagraphFont"/>
    <w:uiPriority w:val="22"/>
    <w:qFormat/>
    <w:rPr>
      <w:b/>
      <w:bCs/>
      <w:lang w:val="fr-FR"/>
    </w:rPr>
  </w:style>
  <w:style w:type="paragraph" w:styleId="Subtitle">
    <w:name w:val="Subtitle"/>
    <w:basedOn w:val="Normal"/>
    <w:next w:val="Normal"/>
    <w:link w:val="SubtitleChar"/>
    <w:uiPriority w:val="11"/>
    <w:pPr>
      <w:numPr>
        <w:ilvl w:val="1"/>
      </w:numPr>
    </w:pPr>
    <w:rPr>
      <w:rFonts w:asciiTheme="minorHAnsi" w:eastAsiaTheme="minorEastAsia" w:hAnsiTheme="minorHAnsi"/>
      <w:color w:val="000000" w:themeColor="text1"/>
      <w:spacing w:val="15"/>
      <w:sz w:val="22"/>
      <w:szCs w:val="22"/>
    </w:rPr>
  </w:style>
  <w:style w:type="character" w:customStyle="1" w:styleId="SubtitleChar">
    <w:name w:val="Subtitle Char"/>
    <w:basedOn w:val="DefaultParagraphFont"/>
    <w:link w:val="Subtitle"/>
    <w:uiPriority w:val="11"/>
    <w:rPr>
      <w:rFonts w:asciiTheme="minorHAnsi" w:eastAsiaTheme="minorEastAsia" w:hAnsiTheme="minorHAnsi"/>
      <w:color w:val="000000" w:themeColor="text1"/>
      <w:spacing w:val="15"/>
      <w:sz w:val="22"/>
      <w:szCs w:val="22"/>
      <w:lang w:val="fr-FR"/>
    </w:rPr>
  </w:style>
  <w:style w:type="character" w:styleId="SubtleEmphasis">
    <w:name w:val="Subtle Emphasis"/>
    <w:basedOn w:val="DefaultParagraphFont"/>
    <w:uiPriority w:val="19"/>
    <w:semiHidden/>
    <w:rPr>
      <w:i/>
      <w:iCs/>
      <w:color w:val="404040" w:themeColor="text1" w:themeTint="BF"/>
      <w:lang w:val="fr-FR"/>
    </w:rPr>
  </w:style>
  <w:style w:type="character" w:styleId="SubtleReference">
    <w:name w:val="Subtle Reference"/>
    <w:basedOn w:val="DefaultParagraphFont"/>
    <w:uiPriority w:val="31"/>
    <w:semiHidden/>
    <w:qFormat/>
    <w:rPr>
      <w:smallCaps/>
      <w:color w:val="5A5A5A" w:themeColor="text1" w:themeTint="A5"/>
      <w:lang w:val="fr-FR"/>
    </w:rPr>
  </w:style>
  <w:style w:type="table" w:styleId="Table3Deffects1">
    <w:name w:val="Table 3D effects 1"/>
    <w:basedOn w:val="TableNormal"/>
    <w:uiPriority w:val="99"/>
    <w:semiHidden/>
    <w:unhideWhenUse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fr-FR"/>
    </w:rPr>
  </w:style>
  <w:style w:type="paragraph" w:styleId="TOC2">
    <w:name w:val="toc 2"/>
    <w:basedOn w:val="Normal"/>
    <w:next w:val="Normal"/>
    <w:autoRedefine/>
    <w:uiPriority w:val="39"/>
    <w:unhideWhenUsed/>
    <w:qFormat/>
    <w:rsid w:val="000F0FD4"/>
    <w:pPr>
      <w:tabs>
        <w:tab w:val="left" w:pos="880"/>
        <w:tab w:val="right" w:leader="dot" w:pos="9072"/>
        <w:tab w:val="right" w:leader="dot" w:pos="9594"/>
      </w:tabs>
      <w:spacing w:before="0" w:after="120" w:line="240" w:lineRule="auto"/>
    </w:pPr>
    <w:rPr>
      <w:noProof/>
    </w:rPr>
  </w:style>
  <w:style w:type="paragraph" w:styleId="TOC3">
    <w:name w:val="toc 3"/>
    <w:basedOn w:val="Normal"/>
    <w:next w:val="Normal"/>
    <w:autoRedefine/>
    <w:uiPriority w:val="39"/>
    <w:unhideWhenUsed/>
    <w:qFormat/>
    <w:rsid w:val="000E4F78"/>
    <w:pPr>
      <w:tabs>
        <w:tab w:val="left" w:pos="1400"/>
        <w:tab w:val="right" w:leader="dot" w:pos="9072"/>
      </w:tabs>
      <w:ind w:left="284"/>
    </w:pPr>
  </w:style>
  <w:style w:type="paragraph" w:styleId="TOC4">
    <w:name w:val="toc 4"/>
    <w:basedOn w:val="Normal"/>
    <w:next w:val="Normal"/>
    <w:autoRedefine/>
    <w:uiPriority w:val="39"/>
    <w:semiHidden/>
    <w:unhideWhenUsed/>
    <w:pPr>
      <w:spacing w:after="100"/>
      <w:ind w:left="600"/>
    </w:pPr>
  </w:style>
  <w:style w:type="paragraph" w:styleId="TOC5">
    <w:name w:val="toc 5"/>
    <w:basedOn w:val="Normal"/>
    <w:next w:val="Normal"/>
    <w:autoRedefine/>
    <w:uiPriority w:val="39"/>
    <w:semiHidden/>
    <w:unhideWhenUsed/>
    <w:pPr>
      <w:spacing w:after="100"/>
      <w:ind w:left="800"/>
    </w:pPr>
  </w:style>
  <w:style w:type="paragraph" w:styleId="TOC6">
    <w:name w:val="toc 6"/>
    <w:basedOn w:val="Normal"/>
    <w:next w:val="Normal"/>
    <w:autoRedefine/>
    <w:uiPriority w:val="39"/>
    <w:semiHidden/>
    <w:unhideWhenUsed/>
    <w:pPr>
      <w:spacing w:after="100"/>
      <w:ind w:left="1000"/>
    </w:pPr>
  </w:style>
  <w:style w:type="paragraph" w:styleId="TOC7">
    <w:name w:val="toc 7"/>
    <w:basedOn w:val="Normal"/>
    <w:next w:val="Normal"/>
    <w:autoRedefine/>
    <w:uiPriority w:val="39"/>
    <w:semiHidden/>
    <w:unhideWhenUsed/>
    <w:pPr>
      <w:spacing w:after="100"/>
      <w:ind w:left="1200"/>
    </w:pPr>
  </w:style>
  <w:style w:type="paragraph" w:styleId="TOC8">
    <w:name w:val="toc 8"/>
    <w:basedOn w:val="Normal"/>
    <w:next w:val="Normal"/>
    <w:autoRedefine/>
    <w:uiPriority w:val="39"/>
    <w:semiHidden/>
    <w:unhideWhenUsed/>
    <w:pPr>
      <w:spacing w:after="100"/>
      <w:ind w:left="1400"/>
    </w:pPr>
  </w:style>
  <w:style w:type="paragraph" w:styleId="TOC9">
    <w:name w:val="toc 9"/>
    <w:basedOn w:val="Normal"/>
    <w:next w:val="Normal"/>
    <w:autoRedefine/>
    <w:uiPriority w:val="39"/>
    <w:semiHidden/>
    <w:unhideWhenUsed/>
    <w:pPr>
      <w:spacing w:after="100"/>
      <w:ind w:left="1600"/>
    </w:pPr>
  </w:style>
  <w:style w:type="paragraph" w:styleId="TOCHeading">
    <w:name w:val="TOC Heading"/>
    <w:basedOn w:val="amprH1TITLE-noTOC"/>
    <w:next w:val="Normal"/>
    <w:uiPriority w:val="39"/>
    <w:unhideWhenUsed/>
    <w:qFormat/>
  </w:style>
  <w:style w:type="paragraph" w:customStyle="1" w:styleId="amprH2TITLE1-Numbered-1">
    <w:name w:val="[ampr H2] TITLE 1 - Numbered - 1."/>
    <w:basedOn w:val="amprH2TITLE1"/>
    <w:next w:val="amprBodyText"/>
    <w:uiPriority w:val="9"/>
    <w:qFormat/>
    <w:rsid w:val="007E57AA"/>
    <w:pPr>
      <w:pageBreakBefore w:val="0"/>
      <w:numPr>
        <w:numId w:val="13"/>
      </w:numPr>
      <w:spacing w:before="360" w:after="480"/>
    </w:pPr>
  </w:style>
  <w:style w:type="paragraph" w:customStyle="1" w:styleId="amprH3Title2-Numbered-11">
    <w:name w:val="[ampr H3] Title 2 - Numbered - 1.1."/>
    <w:basedOn w:val="amprH3Title2"/>
    <w:next w:val="amprBodyText"/>
    <w:uiPriority w:val="9"/>
    <w:qFormat/>
    <w:rsid w:val="00FB4DAD"/>
    <w:pPr>
      <w:numPr>
        <w:ilvl w:val="1"/>
        <w:numId w:val="13"/>
      </w:numPr>
      <w:ind w:left="576" w:hanging="576"/>
    </w:pPr>
  </w:style>
  <w:style w:type="paragraph" w:customStyle="1" w:styleId="amprH5Subhead2-Numbered-1111">
    <w:name w:val="[ampr H5] Subhead 2 - Numbered - 1.1.1.1."/>
    <w:basedOn w:val="amprH5Subhead2"/>
    <w:next w:val="amprBodyText"/>
    <w:uiPriority w:val="9"/>
    <w:qFormat/>
    <w:pPr>
      <w:numPr>
        <w:ilvl w:val="3"/>
        <w:numId w:val="13"/>
      </w:numPr>
    </w:pPr>
  </w:style>
  <w:style w:type="table" w:customStyle="1" w:styleId="amprbox1">
    <w:name w:val="[ampr] box 1"/>
    <w:basedOn w:val="TableNormal"/>
    <w:uiPriority w:val="99"/>
    <w:pPr>
      <w:keepLines/>
    </w:pPr>
    <w:tblPr>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blBorders>
      <w:tblCellMar>
        <w:left w:w="198" w:type="dxa"/>
        <w:right w:w="198" w:type="dxa"/>
      </w:tblCellMar>
    </w:tblPr>
    <w:trPr>
      <w:jc w:val="center"/>
    </w:trPr>
    <w:tcPr>
      <w:shd w:val="clear" w:color="auto" w:fill="F2F2F2" w:themeFill="background1" w:themeFillShade="F2"/>
    </w:tcPr>
  </w:style>
  <w:style w:type="paragraph" w:customStyle="1" w:styleId="amprboxGREYtext">
    <w:name w:val="[ampr box GREY] text"/>
    <w:basedOn w:val="BASE-STYLE-TEXT"/>
    <w:uiPriority w:val="5"/>
    <w:qFormat/>
    <w:pPr>
      <w:pBdr>
        <w:top w:val="single" w:sz="12" w:space="8" w:color="F2F2F2" w:themeColor="background1" w:themeShade="F2"/>
        <w:left w:val="single" w:sz="12" w:space="8" w:color="F2F2F2" w:themeColor="background1" w:themeShade="F2"/>
        <w:bottom w:val="single" w:sz="12" w:space="8" w:color="F2F2F2" w:themeColor="background1" w:themeShade="F2"/>
        <w:right w:val="single" w:sz="12" w:space="8" w:color="F2F2F2" w:themeColor="background1" w:themeShade="F2"/>
      </w:pBdr>
      <w:shd w:val="clear" w:color="auto" w:fill="F2F2F2" w:themeFill="background1" w:themeFillShade="F2"/>
      <w:spacing w:before="240" w:after="240"/>
    </w:pPr>
    <w:rPr>
      <w:color w:val="auto"/>
      <w:sz w:val="20"/>
      <w:lang w:eastAsia="fr-BE"/>
    </w:rPr>
  </w:style>
  <w:style w:type="paragraph" w:customStyle="1" w:styleId="amprLISTblackbullets-L1consecutiveparagraph">
    <w:name w:val="[ampr LIST black] bullets - L1 (consecutive paragraph)"/>
    <w:basedOn w:val="amprLISTblackbullets-L1"/>
    <w:uiPriority w:val="5"/>
    <w:qFormat/>
    <w:pPr>
      <w:numPr>
        <w:numId w:val="0"/>
      </w:numPr>
      <w:ind w:left="720"/>
    </w:pPr>
  </w:style>
  <w:style w:type="paragraph" w:customStyle="1" w:styleId="amprLISTblackbullets-L2consecutiveparagraph">
    <w:name w:val="[ampr LIST black] bullets - L2 (consecutive paragraph)"/>
    <w:basedOn w:val="amprLISTblackbullets-L2"/>
    <w:uiPriority w:val="5"/>
    <w:qFormat/>
    <w:pPr>
      <w:numPr>
        <w:ilvl w:val="0"/>
        <w:numId w:val="0"/>
      </w:numPr>
      <w:ind w:left="1435"/>
    </w:pPr>
  </w:style>
  <w:style w:type="paragraph" w:customStyle="1" w:styleId="amprLISTgreenbullets-L2consecutiveparagraph">
    <w:name w:val="[ampr LIST green] bullets - L2 (consecutive paragraph)"/>
    <w:basedOn w:val="amprLISTgreenbullets-L2"/>
    <w:uiPriority w:val="5"/>
    <w:qFormat/>
    <w:pPr>
      <w:numPr>
        <w:ilvl w:val="0"/>
        <w:numId w:val="0"/>
      </w:numPr>
      <w:ind w:left="1435"/>
    </w:pPr>
  </w:style>
  <w:style w:type="paragraph" w:customStyle="1" w:styleId="amprH1Sectiontitle">
    <w:name w:val="[ampr H1] Section title"/>
    <w:basedOn w:val="BASE-STYLE-HEADINGS"/>
    <w:next w:val="amprBodyText"/>
    <w:uiPriority w:val="9"/>
    <w:qFormat/>
    <w:pPr>
      <w:spacing w:before="8000" w:after="240"/>
      <w:ind w:left="4321"/>
      <w:jc w:val="left"/>
      <w:outlineLvl w:val="0"/>
    </w:pPr>
    <w:rPr>
      <w:rFonts w:ascii="EC Square Sans Pro Light" w:eastAsiaTheme="minorHAnsi" w:hAnsi="EC Square Sans Pro Light" w:cstheme="minorBidi"/>
      <w:color w:val="FFFFFF" w:themeColor="background1"/>
      <w:sz w:val="96"/>
      <w:szCs w:val="96"/>
    </w:rPr>
  </w:style>
  <w:style w:type="numbering" w:customStyle="1" w:styleId="amprHLISTNumberedheadings">
    <w:name w:val="[ampr H LIST] Numbered headings"/>
    <w:uiPriority w:val="99"/>
    <w:pPr>
      <w:numPr>
        <w:numId w:val="12"/>
      </w:numPr>
    </w:pPr>
  </w:style>
  <w:style w:type="table" w:customStyle="1" w:styleId="amprbox2">
    <w:name w:val="[ampr] box 2"/>
    <w:basedOn w:val="TableNormal"/>
    <w:uiPriority w:val="99"/>
    <w:pPr>
      <w:keepLines/>
    </w:pPr>
    <w:rPr>
      <w:color w:val="FFFFFF" w:themeColor="background1"/>
    </w:rPr>
    <w:tblPr>
      <w:jc w:val="center"/>
      <w:tblBorders>
        <w:top w:val="single" w:sz="12" w:space="0" w:color="003399" w:themeColor="text2"/>
        <w:left w:val="single" w:sz="12" w:space="0" w:color="003399" w:themeColor="text2"/>
        <w:bottom w:val="single" w:sz="12" w:space="0" w:color="003399" w:themeColor="text2"/>
        <w:right w:val="single" w:sz="12" w:space="0" w:color="003399" w:themeColor="text2"/>
        <w:insideH w:val="single" w:sz="12" w:space="0" w:color="003399" w:themeColor="text2"/>
        <w:insideV w:val="single" w:sz="12" w:space="0" w:color="003399" w:themeColor="text2"/>
      </w:tblBorders>
      <w:tblCellMar>
        <w:left w:w="198" w:type="dxa"/>
        <w:right w:w="198" w:type="dxa"/>
      </w:tblCellMar>
    </w:tblPr>
    <w:trPr>
      <w:jc w:val="center"/>
    </w:trPr>
    <w:tcPr>
      <w:shd w:val="clear" w:color="auto" w:fill="003399" w:themeFill="text2"/>
    </w:tcPr>
  </w:style>
  <w:style w:type="table" w:customStyle="1" w:styleId="amprbox3">
    <w:name w:val="[ampr] box 3"/>
    <w:basedOn w:val="TableNormal"/>
    <w:uiPriority w:val="99"/>
    <w:pPr>
      <w:keepLines/>
    </w:pPr>
    <w:tblPr>
      <w:jc w:val="center"/>
      <w:tblBorders>
        <w:top w:val="dashSmallGap" w:sz="12" w:space="0" w:color="008139" w:themeColor="accent1"/>
        <w:left w:val="dashSmallGap" w:sz="12" w:space="0" w:color="008139" w:themeColor="accent1"/>
        <w:bottom w:val="dashSmallGap" w:sz="12" w:space="0" w:color="008139" w:themeColor="accent1"/>
        <w:right w:val="dashSmallGap" w:sz="12" w:space="0" w:color="008139" w:themeColor="accent1"/>
      </w:tblBorders>
      <w:tblCellMar>
        <w:left w:w="198" w:type="dxa"/>
        <w:right w:w="198" w:type="dxa"/>
      </w:tblCellMar>
    </w:tblPr>
    <w:trPr>
      <w:jc w:val="center"/>
    </w:trPr>
    <w:tcPr>
      <w:shd w:val="clear" w:color="auto" w:fill="auto"/>
    </w:tcPr>
  </w:style>
  <w:style w:type="paragraph" w:customStyle="1" w:styleId="amprboxBLUEdashedtext">
    <w:name w:val="[ampr box BLUE dashed] text"/>
    <w:basedOn w:val="BASE-STYLE-TEXT"/>
    <w:uiPriority w:val="5"/>
    <w:qFormat/>
    <w:pPr>
      <w:keepLines/>
      <w:pBdr>
        <w:top w:val="dashSmallGap" w:sz="12" w:space="8" w:color="003399" w:themeColor="text2"/>
        <w:left w:val="dashSmallGap" w:sz="12" w:space="8" w:color="003399" w:themeColor="text2"/>
        <w:bottom w:val="dashSmallGap" w:sz="12" w:space="8" w:color="003399" w:themeColor="text2"/>
        <w:right w:val="dashSmallGap" w:sz="12" w:space="8" w:color="003399" w:themeColor="text2"/>
      </w:pBdr>
      <w:spacing w:before="240" w:after="240"/>
    </w:pPr>
    <w:rPr>
      <w:sz w:val="20"/>
      <w:lang w:eastAsia="fr-BE"/>
    </w:rPr>
  </w:style>
  <w:style w:type="paragraph" w:customStyle="1" w:styleId="amprboxBLUEdashedheading">
    <w:name w:val="[ampr box BLUE dashed] heading"/>
    <w:basedOn w:val="amprboxBLUEdashedtext"/>
    <w:next w:val="amprboxBLUEdashedtext"/>
    <w:uiPriority w:val="5"/>
    <w:qFormat/>
    <w:pPr>
      <w:keepNext/>
    </w:pPr>
    <w:rPr>
      <w:b/>
      <w:color w:val="003399" w:themeColor="text2"/>
    </w:rPr>
  </w:style>
  <w:style w:type="paragraph" w:customStyle="1" w:styleId="amprboxBLUEdashedbulletlist">
    <w:name w:val="[ampr box BLUE dashed] bullet list"/>
    <w:basedOn w:val="amprboxBLUEdashedtext"/>
    <w:next w:val="amprboxBLUEdashedtext"/>
    <w:uiPriority w:val="5"/>
    <w:qFormat/>
    <w:pPr>
      <w:numPr>
        <w:numId w:val="14"/>
      </w:numPr>
      <w:spacing w:before="60" w:after="60"/>
      <w:ind w:left="357" w:hanging="357"/>
    </w:pPr>
  </w:style>
  <w:style w:type="paragraph" w:customStyle="1" w:styleId="amprLISTOrdered-L1">
    <w:name w:val="[ampr LIST Ordered] - L1"/>
    <w:basedOn w:val="BASE-STYLE-TEXT"/>
    <w:uiPriority w:val="5"/>
    <w:qFormat/>
    <w:pPr>
      <w:numPr>
        <w:numId w:val="15"/>
      </w:numPr>
      <w:spacing w:before="80" w:after="80"/>
    </w:pPr>
    <w:rPr>
      <w:rFonts w:ascii="Proxima Nova" w:hAnsi="Proxima Nova"/>
      <w:szCs w:val="22"/>
    </w:rPr>
  </w:style>
  <w:style w:type="paragraph" w:customStyle="1" w:styleId="amprLISTOrdered-L2">
    <w:name w:val="[ampr LIST Ordered] - L2"/>
    <w:basedOn w:val="amprLISTOrdered-L1"/>
    <w:uiPriority w:val="5"/>
    <w:qFormat/>
    <w:pPr>
      <w:numPr>
        <w:ilvl w:val="1"/>
      </w:numPr>
    </w:pPr>
  </w:style>
  <w:style w:type="paragraph" w:customStyle="1" w:styleId="amprLISTOrdered-L3">
    <w:name w:val="[ampr LIST Ordered] - L3"/>
    <w:basedOn w:val="amprLISTOrdered-L2"/>
    <w:uiPriority w:val="5"/>
    <w:qFormat/>
    <w:pPr>
      <w:numPr>
        <w:ilvl w:val="2"/>
      </w:numPr>
    </w:pPr>
  </w:style>
  <w:style w:type="paragraph" w:customStyle="1" w:styleId="amprLISTOrdered-L1consecutiveparagraph">
    <w:name w:val="[ampr LIST Ordered] - L1 (consecutive paragraph)"/>
    <w:basedOn w:val="amprLISTOrdered-L1"/>
    <w:uiPriority w:val="5"/>
    <w:qFormat/>
    <w:pPr>
      <w:numPr>
        <w:numId w:val="0"/>
      </w:numPr>
      <w:ind w:left="714"/>
    </w:pPr>
  </w:style>
  <w:style w:type="paragraph" w:customStyle="1" w:styleId="amprLISTOrdered-L2consecutiveparagraph">
    <w:name w:val="[ampr LIST Ordered] - L2 (consecutive paragraph)"/>
    <w:basedOn w:val="amprLISTOrdered-L2"/>
    <w:uiPriority w:val="5"/>
    <w:qFormat/>
    <w:pPr>
      <w:numPr>
        <w:ilvl w:val="0"/>
        <w:numId w:val="0"/>
      </w:numPr>
      <w:ind w:left="1185"/>
    </w:pPr>
  </w:style>
  <w:style w:type="paragraph" w:customStyle="1" w:styleId="amprLISTOrdered-L3consecutiveparagraph">
    <w:name w:val="[ampr LIST Ordered] - L3 (consecutive paragraph)"/>
    <w:basedOn w:val="amprLISTOrdered-L3"/>
    <w:uiPriority w:val="5"/>
    <w:qFormat/>
    <w:pPr>
      <w:numPr>
        <w:ilvl w:val="0"/>
        <w:numId w:val="0"/>
      </w:numPr>
      <w:ind w:left="1769"/>
    </w:pPr>
  </w:style>
  <w:style w:type="numbering" w:customStyle="1" w:styleId="amprLIST-Ordered">
    <w:name w:val="[ampr LIST]-Ordered"/>
    <w:uiPriority w:val="99"/>
    <w:pPr>
      <w:numPr>
        <w:numId w:val="15"/>
      </w:numPr>
    </w:pPr>
  </w:style>
  <w:style w:type="paragraph" w:customStyle="1" w:styleId="amprLISTOrdered-L4">
    <w:name w:val="[ampr LIST Ordered] - L4"/>
    <w:basedOn w:val="amprLISTOrdered-L3"/>
    <w:uiPriority w:val="5"/>
    <w:qFormat/>
    <w:pPr>
      <w:numPr>
        <w:ilvl w:val="3"/>
      </w:numPr>
    </w:pPr>
  </w:style>
  <w:style w:type="paragraph" w:customStyle="1" w:styleId="amprLISTOrdered-L4consecutiveparagraph">
    <w:name w:val="[ampr LIST Ordered] - L4 (consecutive paragraph)"/>
    <w:basedOn w:val="amprLISTOrdered-L4"/>
    <w:uiPriority w:val="5"/>
    <w:qFormat/>
    <w:pPr>
      <w:numPr>
        <w:ilvl w:val="0"/>
        <w:numId w:val="0"/>
      </w:numPr>
      <w:ind w:left="2466"/>
    </w:pPr>
  </w:style>
  <w:style w:type="paragraph" w:customStyle="1" w:styleId="amprLISTMixed-L1">
    <w:name w:val="[ampr LIST Mixed] - L1"/>
    <w:basedOn w:val="BASE-STYLE-TEXT"/>
    <w:uiPriority w:val="5"/>
    <w:qFormat/>
    <w:pPr>
      <w:numPr>
        <w:numId w:val="17"/>
      </w:numPr>
      <w:spacing w:before="80" w:after="80"/>
    </w:pPr>
    <w:rPr>
      <w:szCs w:val="22"/>
    </w:rPr>
  </w:style>
  <w:style w:type="paragraph" w:customStyle="1" w:styleId="amprLISTMixed-L2">
    <w:name w:val="[ampr LIST Mixed] - L2"/>
    <w:basedOn w:val="amprLISTMixed-L1"/>
    <w:uiPriority w:val="5"/>
    <w:qFormat/>
    <w:pPr>
      <w:numPr>
        <w:ilvl w:val="1"/>
      </w:numPr>
    </w:pPr>
  </w:style>
  <w:style w:type="paragraph" w:customStyle="1" w:styleId="amprLISTMixed-L3">
    <w:name w:val="[ampr LIST Mixed] - L3"/>
    <w:basedOn w:val="amprLISTMixed-L2"/>
    <w:uiPriority w:val="5"/>
    <w:qFormat/>
    <w:pPr>
      <w:numPr>
        <w:ilvl w:val="2"/>
      </w:numPr>
    </w:pPr>
  </w:style>
  <w:style w:type="paragraph" w:customStyle="1" w:styleId="amprLISTMixed-L1consecutiveparagraph">
    <w:name w:val="[ampr LIST Mixed] - L1 (consecutive paragraph)"/>
    <w:basedOn w:val="amprLISTMixed-L1"/>
    <w:uiPriority w:val="5"/>
    <w:qFormat/>
    <w:pPr>
      <w:numPr>
        <w:numId w:val="0"/>
      </w:numPr>
      <w:ind w:left="714"/>
    </w:pPr>
  </w:style>
  <w:style w:type="paragraph" w:customStyle="1" w:styleId="amprLISTMixed-L2consecutiveparagraph">
    <w:name w:val="[ampr LIST Mixed] - L2 (consecutive paragraph)"/>
    <w:basedOn w:val="amprLISTMixed-L2"/>
    <w:uiPriority w:val="5"/>
    <w:qFormat/>
    <w:pPr>
      <w:numPr>
        <w:ilvl w:val="0"/>
        <w:numId w:val="0"/>
      </w:numPr>
      <w:ind w:left="1072"/>
    </w:pPr>
  </w:style>
  <w:style w:type="paragraph" w:customStyle="1" w:styleId="amprLISTMixed-L3consecutiveparagraph">
    <w:name w:val="[ampr LIST Mixed] - L3 (consecutive paragraph)"/>
    <w:basedOn w:val="amprLISTMixed-L3"/>
    <w:uiPriority w:val="5"/>
    <w:qFormat/>
    <w:pPr>
      <w:numPr>
        <w:ilvl w:val="0"/>
        <w:numId w:val="0"/>
      </w:numPr>
      <w:ind w:left="1429"/>
    </w:pPr>
  </w:style>
  <w:style w:type="numbering" w:customStyle="1" w:styleId="amprLIST-Mixed">
    <w:name w:val="[ampr LIST]-Mixed"/>
    <w:uiPriority w:val="99"/>
    <w:pPr>
      <w:numPr>
        <w:numId w:val="16"/>
      </w:numPr>
    </w:pPr>
  </w:style>
  <w:style w:type="table" w:customStyle="1" w:styleId="AMPR20212">
    <w:name w:val="AMPR_2021_2"/>
    <w:basedOn w:val="TableNormal"/>
    <w:uiPriority w:val="99"/>
    <w:pPr>
      <w:spacing w:before="60" w:after="60" w:line="240" w:lineRule="auto"/>
    </w:pPr>
    <w:tblPr>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Pr>
    <w:trPr>
      <w:jc w:val="center"/>
    </w:trPr>
    <w:tcPr>
      <w:shd w:val="clear" w:color="auto" w:fill="F2F2F2" w:themeFill="background1" w:themeFillShade="F2"/>
    </w:tcPr>
    <w:tblStylePr w:type="firstRow">
      <w:pPr>
        <w:wordWrap/>
        <w:spacing w:beforeLines="0" w:before="100" w:beforeAutospacing="0" w:afterLines="0" w:after="100" w:afterAutospacing="0" w:line="240" w:lineRule="auto"/>
        <w:contextualSpacing w:val="0"/>
      </w:pPr>
      <w:rPr>
        <w:b/>
        <w:color w:val="FFFFFF" w:themeColor="background1"/>
      </w:rPr>
      <w:tblPr/>
      <w:tcPr>
        <w:tcBorders>
          <w:top w:val="single" w:sz="4" w:space="0" w:color="003399" w:themeColor="text2"/>
          <w:left w:val="single" w:sz="4" w:space="0" w:color="003399" w:themeColor="text2"/>
          <w:bottom w:val="single" w:sz="4" w:space="0" w:color="003399" w:themeColor="text2"/>
          <w:right w:val="single" w:sz="4" w:space="0" w:color="003399" w:themeColor="text2"/>
          <w:insideH w:val="nil"/>
          <w:insideV w:val="single" w:sz="4" w:space="0" w:color="FFFFFF" w:themeColor="background1"/>
          <w:tl2br w:val="nil"/>
          <w:tr2bl w:val="nil"/>
        </w:tcBorders>
        <w:shd w:val="clear" w:color="auto" w:fill="003399" w:themeFill="text2"/>
      </w:tcPr>
    </w:tblStylePr>
    <w:tblStylePr w:type="firstCol">
      <w:rPr>
        <w:b/>
        <w:i w:val="0"/>
        <w:color w:val="008139" w:themeColor="accent1"/>
      </w:rPr>
    </w:tblStylePr>
  </w:style>
  <w:style w:type="paragraph" w:customStyle="1" w:styleId="ZCom">
    <w:name w:val="Z_Com"/>
    <w:basedOn w:val="Normal"/>
    <w:next w:val="ZDGName"/>
    <w:pPr>
      <w:widowControl w:val="0"/>
      <w:autoSpaceDE w:val="0"/>
      <w:autoSpaceDN w:val="0"/>
      <w:spacing w:before="0" w:after="0" w:line="240" w:lineRule="auto"/>
      <w:ind w:right="85"/>
      <w:jc w:val="both"/>
    </w:pPr>
    <w:rPr>
      <w:rFonts w:ascii="Arial" w:eastAsia="Times New Roman" w:hAnsi="Arial" w:cs="Arial"/>
      <w:sz w:val="24"/>
      <w:szCs w:val="24"/>
      <w:lang w:eastAsia="ko-KR"/>
    </w:rPr>
  </w:style>
  <w:style w:type="paragraph" w:customStyle="1" w:styleId="ZDGName">
    <w:name w:val="Z_DGName"/>
    <w:basedOn w:val="Normal"/>
    <w:pPr>
      <w:widowControl w:val="0"/>
      <w:autoSpaceDE w:val="0"/>
      <w:autoSpaceDN w:val="0"/>
      <w:spacing w:before="0" w:after="0" w:line="240" w:lineRule="auto"/>
      <w:ind w:right="85"/>
    </w:pPr>
    <w:rPr>
      <w:rFonts w:ascii="Arial" w:eastAsia="Times New Roman" w:hAnsi="Arial" w:cs="Arial"/>
      <w:sz w:val="16"/>
      <w:szCs w:val="16"/>
      <w:lang w:eastAsia="ko-KR"/>
    </w:rPr>
  </w:style>
  <w:style w:type="paragraph" w:customStyle="1" w:styleId="NoteHead">
    <w:name w:val="NoteHead"/>
    <w:basedOn w:val="Normal"/>
    <w:next w:val="Normal"/>
    <w:pPr>
      <w:spacing w:before="720" w:after="720" w:line="240" w:lineRule="auto"/>
      <w:jc w:val="center"/>
    </w:pPr>
    <w:rPr>
      <w:rFonts w:ascii="Times New Roman" w:eastAsia="Times New Roman" w:hAnsi="Times New Roman" w:cs="Times New Roman"/>
      <w:b/>
      <w:smallCaps/>
      <w:sz w:val="24"/>
    </w:rPr>
  </w:style>
  <w:style w:type="paragraph" w:customStyle="1" w:styleId="Text3">
    <w:name w:val="Text 3"/>
    <w:basedOn w:val="Normal"/>
    <w:pPr>
      <w:spacing w:before="120" w:after="120" w:line="240" w:lineRule="auto"/>
      <w:ind w:left="851"/>
      <w:jc w:val="both"/>
    </w:pPr>
    <w:rPr>
      <w:rFonts w:ascii="Times New Roman" w:eastAsia="Times New Roman" w:hAnsi="Times New Roman" w:cs="Times New Roman"/>
      <w:sz w:val="24"/>
      <w:lang w:eastAsia="fr-BE"/>
    </w:rPr>
  </w:style>
  <w:style w:type="paragraph" w:customStyle="1" w:styleId="Tiret0">
    <w:name w:val="Tiret 0"/>
    <w:basedOn w:val="Normal"/>
    <w:link w:val="Tiret0Char"/>
    <w:uiPriority w:val="99"/>
    <w:pPr>
      <w:numPr>
        <w:numId w:val="18"/>
      </w:numPr>
      <w:spacing w:before="120" w:after="120" w:line="240" w:lineRule="auto"/>
      <w:jc w:val="both"/>
    </w:pPr>
    <w:rPr>
      <w:rFonts w:ascii="Times New Roman" w:eastAsia="Times New Roman" w:hAnsi="Times New Roman" w:cs="Times New Roman"/>
      <w:sz w:val="24"/>
      <w:szCs w:val="24"/>
      <w:lang w:eastAsia="en-GB"/>
    </w:rPr>
  </w:style>
  <w:style w:type="character" w:customStyle="1" w:styleId="Tiret0Char">
    <w:name w:val="Tiret 0 Char"/>
    <w:basedOn w:val="DefaultParagraphFont"/>
    <w:link w:val="Tiret0"/>
    <w:uiPriority w:val="99"/>
    <w:rPr>
      <w:rFonts w:ascii="Times New Roman" w:eastAsia="Times New Roman" w:hAnsi="Times New Roman" w:cs="Times New Roman"/>
      <w:sz w:val="24"/>
      <w:szCs w:val="24"/>
      <w:lang w:val="fr-FR" w:eastAsia="en-GB"/>
    </w:rPr>
  </w:style>
  <w:style w:type="paragraph" w:customStyle="1" w:styleId="Text1">
    <w:name w:val="Text 1"/>
    <w:basedOn w:val="Normal"/>
    <w:link w:val="Text1Char"/>
    <w:pPr>
      <w:spacing w:before="0" w:line="240" w:lineRule="auto"/>
      <w:ind w:left="482"/>
      <w:jc w:val="both"/>
    </w:pPr>
    <w:rPr>
      <w:rFonts w:ascii="Times New Roman" w:eastAsia="Times New Roman" w:hAnsi="Times New Roman" w:cs="Times New Roman"/>
      <w:sz w:val="24"/>
    </w:rPr>
  </w:style>
  <w:style w:type="paragraph" w:customStyle="1" w:styleId="Text2">
    <w:name w:val="Text 2"/>
    <w:basedOn w:val="Normal"/>
    <w:pPr>
      <w:tabs>
        <w:tab w:val="left" w:pos="2160"/>
      </w:tabs>
      <w:spacing w:before="0" w:line="240" w:lineRule="auto"/>
      <w:ind w:left="1077"/>
      <w:jc w:val="both"/>
    </w:pPr>
    <w:rPr>
      <w:rFonts w:ascii="Times New Roman" w:eastAsia="Times New Roman" w:hAnsi="Times New Roman" w:cs="Times New Roman"/>
      <w:sz w:val="24"/>
    </w:rPr>
  </w:style>
  <w:style w:type="paragraph" w:customStyle="1" w:styleId="Subject">
    <w:name w:val="Subject"/>
    <w:basedOn w:val="Normal"/>
    <w:next w:val="Normal"/>
    <w:pPr>
      <w:spacing w:before="0" w:after="480" w:line="240" w:lineRule="auto"/>
      <w:ind w:left="1191" w:hanging="1191"/>
    </w:pPr>
    <w:rPr>
      <w:rFonts w:ascii="Times New Roman" w:eastAsia="Times New Roman" w:hAnsi="Times New Roman" w:cs="Times New Roman"/>
      <w:b/>
      <w:sz w:val="24"/>
    </w:rPr>
  </w:style>
  <w:style w:type="character" w:customStyle="1" w:styleId="Text1Char">
    <w:name w:val="Text 1 Char"/>
    <w:basedOn w:val="DefaultParagraphFont"/>
    <w:link w:val="Text1"/>
    <w:rPr>
      <w:rFonts w:ascii="Times New Roman" w:eastAsia="Times New Roman" w:hAnsi="Times New Roman" w:cs="Times New Roman"/>
      <w:sz w:val="24"/>
      <w:lang w:val="fr-FR"/>
    </w:rPr>
  </w:style>
  <w:style w:type="paragraph" w:customStyle="1" w:styleId="Default">
    <w:name w:val="Default"/>
    <w:pPr>
      <w:autoSpaceDE w:val="0"/>
      <w:autoSpaceDN w:val="0"/>
      <w:adjustRightInd w:val="0"/>
      <w:spacing w:before="0" w:after="0" w:line="240" w:lineRule="auto"/>
    </w:pPr>
    <w:rPr>
      <w:rFonts w:ascii="EUAlbertina" w:eastAsia="Times New Roman" w:hAnsi="EUAlbertina" w:cs="EUAlbertina"/>
      <w:color w:val="000000"/>
      <w:sz w:val="24"/>
      <w:szCs w:val="24"/>
      <w:lang w:eastAsia="en-GB"/>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line="240" w:lineRule="auto"/>
      <w:jc w:val="both"/>
    </w:pPr>
    <w:rPr>
      <w:rFonts w:ascii="Times New Roman" w:hAnsi="Times New Roman" w:cs="Times New Roman"/>
      <w:sz w:val="24"/>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CaptionChar">
    <w:name w:val="Caption Char"/>
    <w:basedOn w:val="DefaultParagraphFont"/>
    <w:link w:val="Caption"/>
    <w:rPr>
      <w:i/>
      <w:iCs/>
      <w:color w:val="003399" w:themeColor="text2"/>
      <w:sz w:val="18"/>
      <w:szCs w:val="18"/>
      <w:lang w:val="fr-FR"/>
    </w:rPr>
  </w:style>
  <w:style w:type="character" w:customStyle="1" w:styleId="FooterCoverPageChar">
    <w:name w:val="Footer Cover Page Char"/>
    <w:basedOn w:val="CaptionChar"/>
    <w:link w:val="FooterCoverPage"/>
    <w:rPr>
      <w:rFonts w:ascii="Times New Roman" w:hAnsi="Times New Roman" w:cs="Times New Roman"/>
      <w:i w:val="0"/>
      <w:iCs w:val="0"/>
      <w:color w:val="003399" w:themeColor="text2"/>
      <w:sz w:val="24"/>
      <w:szCs w:val="18"/>
      <w:lang w:val="fr-FR"/>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CaptionChar"/>
    <w:link w:val="FooterSensitivity"/>
    <w:rPr>
      <w:rFonts w:ascii="Times New Roman" w:hAnsi="Times New Roman" w:cs="Times New Roman"/>
      <w:b/>
      <w:i w:val="0"/>
      <w:iCs w:val="0"/>
      <w:color w:val="003399" w:themeColor="text2"/>
      <w:sz w:val="32"/>
      <w:szCs w:val="18"/>
      <w:lang w:val="fr-FR"/>
    </w:rPr>
  </w:style>
  <w:style w:type="paragraph" w:customStyle="1" w:styleId="HeaderCoverPage">
    <w:name w:val="Header Cover Page"/>
    <w:basedOn w:val="Normal"/>
    <w:link w:val="HeaderCoverPageChar"/>
    <w:pPr>
      <w:tabs>
        <w:tab w:val="center" w:pos="4535"/>
        <w:tab w:val="right" w:pos="9071"/>
      </w:tabs>
      <w:spacing w:before="0" w:after="120" w:line="240" w:lineRule="auto"/>
      <w:jc w:val="both"/>
    </w:pPr>
    <w:rPr>
      <w:rFonts w:ascii="Times New Roman" w:hAnsi="Times New Roman" w:cs="Times New Roman"/>
      <w:sz w:val="24"/>
    </w:rPr>
  </w:style>
  <w:style w:type="character" w:customStyle="1" w:styleId="HeaderCoverPageChar">
    <w:name w:val="Header Cover Page Char"/>
    <w:basedOn w:val="CaptionChar"/>
    <w:link w:val="HeaderCoverPage"/>
    <w:rPr>
      <w:rFonts w:ascii="Times New Roman" w:hAnsi="Times New Roman" w:cs="Times New Roman"/>
      <w:i w:val="0"/>
      <w:iCs w:val="0"/>
      <w:color w:val="003399" w:themeColor="text2"/>
      <w:sz w:val="24"/>
      <w:szCs w:val="18"/>
      <w:lang w:val="fr-FR"/>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CaptionChar"/>
    <w:link w:val="HeaderSensitivity"/>
    <w:rPr>
      <w:rFonts w:ascii="Times New Roman" w:hAnsi="Times New Roman" w:cs="Times New Roman"/>
      <w:b/>
      <w:i w:val="0"/>
      <w:iCs w:val="0"/>
      <w:color w:val="003399" w:themeColor="text2"/>
      <w:sz w:val="32"/>
      <w:szCs w:val="18"/>
      <w:lang w:val="fr-FR"/>
    </w:rPr>
  </w:style>
  <w:style w:type="character" w:customStyle="1" w:styleId="WW8Num4z1">
    <w:name w:val="WW8Num4z1"/>
    <w:rPr>
      <w:rFonts w:ascii="Wingdings" w:hAnsi="Wingdings" w:cs="Symbol" w:hint="default"/>
    </w:rPr>
  </w:style>
  <w:style w:type="character" w:customStyle="1" w:styleId="footnotereference0">
    <w:name w:val="footnotereference"/>
    <w:basedOn w:val="DefaultParagraphFont"/>
    <w:rPr>
      <w:rFonts w:ascii="Times New Roman" w:hAnsi="Times New Roman" w:cs="Times New Roman" w:hint="default"/>
    </w:rPr>
  </w:style>
  <w:style w:type="paragraph" w:customStyle="1" w:styleId="SecurityMarking">
    <w:name w:val="SecurityMarking"/>
    <w:basedOn w:val="Normal"/>
    <w:pPr>
      <w:spacing w:before="0" w:after="0" w:line="276" w:lineRule="auto"/>
      <w:ind w:left="5103"/>
    </w:pPr>
    <w:rPr>
      <w:rFonts w:ascii="Times New Roman" w:hAnsi="Times New Roman" w:cs="Times New Roman"/>
      <w:sz w:val="28"/>
      <w:szCs w:val="22"/>
    </w:rPr>
  </w:style>
  <w:style w:type="paragraph" w:customStyle="1" w:styleId="DateMarking">
    <w:name w:val="DateMarking"/>
    <w:basedOn w:val="Normal"/>
    <w:pPr>
      <w:spacing w:before="0" w:after="0" w:line="276" w:lineRule="auto"/>
      <w:ind w:left="5103"/>
    </w:pPr>
    <w:rPr>
      <w:rFonts w:ascii="Times New Roman" w:hAnsi="Times New Roman" w:cs="Times New Roman"/>
      <w:i/>
      <w:sz w:val="28"/>
      <w:szCs w:val="22"/>
    </w:rPr>
  </w:style>
  <w:style w:type="paragraph" w:customStyle="1" w:styleId="ReleasableTo">
    <w:name w:val="ReleasableTo"/>
    <w:basedOn w:val="Normal"/>
    <w:pPr>
      <w:spacing w:before="0" w:after="0" w:line="276" w:lineRule="auto"/>
      <w:ind w:left="5103"/>
    </w:pPr>
    <w:rPr>
      <w:rFonts w:ascii="Times New Roman" w:hAnsi="Times New Roman" w:cs="Times New Roman"/>
      <w:i/>
      <w:sz w:val="28"/>
      <w:szCs w:val="22"/>
    </w:rPr>
  </w:style>
  <w:style w:type="paragraph" w:customStyle="1" w:styleId="HeaderSensitivityRight">
    <w:name w:val="Header Sensitivity Right"/>
    <w:basedOn w:val="Normal"/>
    <w:pPr>
      <w:spacing w:before="0" w:after="120" w:line="240" w:lineRule="auto"/>
      <w:jc w:val="right"/>
    </w:pPr>
    <w:rPr>
      <w:rFonts w:ascii="Times New Roman" w:hAnsi="Times New Roman" w:cs="Times New Roman"/>
      <w:sz w:val="28"/>
    </w:rPr>
  </w:style>
  <w:style w:type="paragraph" w:customStyle="1" w:styleId="Point0">
    <w:name w:val="Point 0"/>
    <w:basedOn w:val="Normal"/>
    <w:uiPriority w:val="99"/>
    <w:pPr>
      <w:spacing w:before="120" w:after="120" w:line="240" w:lineRule="auto"/>
      <w:ind w:left="850" w:hanging="850"/>
      <w:jc w:val="both"/>
    </w:pPr>
    <w:rPr>
      <w:rFonts w:ascii="Times New Roman" w:eastAsiaTheme="minorEastAsia" w:hAnsi="Times New Roman" w:cs="Times New Roman"/>
      <w:sz w:val="24"/>
      <w:szCs w:val="24"/>
      <w:lang w:eastAsia="en-GB"/>
    </w:rPr>
  </w:style>
  <w:style w:type="character" w:customStyle="1" w:styleId="markedcontent">
    <w:name w:val="markedcontent"/>
    <w:basedOn w:val="DefaultParagraphFont"/>
  </w:style>
  <w:style w:type="paragraph" w:customStyle="1" w:styleId="title-bold">
    <w:name w:val="title-bold"/>
    <w:basedOn w:val="Normal"/>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Mention1">
    <w:name w:val="Mention1"/>
    <w:basedOn w:val="DefaultParagraphFont"/>
    <w:uiPriority w:val="99"/>
    <w:unhideWhenUsed/>
    <w:rPr>
      <w:color w:val="2B579A"/>
      <w:shd w:val="clear" w:color="auto" w:fill="E6E6E6"/>
    </w:rPr>
  </w:style>
  <w:style w:type="character" w:customStyle="1" w:styleId="normaltextrun">
    <w:name w:val="normaltextrun"/>
    <w:basedOn w:val="DefaultParagraphFont"/>
  </w:style>
  <w:style w:type="character" w:customStyle="1" w:styleId="UnresolvedMention">
    <w:name w:val="Unresolved Mention"/>
    <w:basedOn w:val="DefaultParagraphFont"/>
    <w:uiPriority w:val="99"/>
    <w:semiHidden/>
    <w:unhideWhenUsed/>
    <w:rPr>
      <w:color w:val="605E5C"/>
      <w:shd w:val="clear" w:color="auto" w:fill="E1DFDD"/>
    </w:rPr>
  </w:style>
  <w:style w:type="paragraph" w:customStyle="1" w:styleId="NormalRight">
    <w:name w:val="Normal Right"/>
    <w:basedOn w:val="Normal"/>
    <w:uiPriority w:val="99"/>
    <w:rsid w:val="0027372E"/>
    <w:pPr>
      <w:spacing w:before="120" w:after="120" w:line="240" w:lineRule="auto"/>
      <w:jc w:val="right"/>
    </w:pPr>
    <w:rPr>
      <w:rFonts w:ascii="Times New Roman" w:eastAsiaTheme="minorEastAsia" w:hAnsi="Times New Roman" w:cs="Times New Roman"/>
      <w:sz w:val="24"/>
      <w:szCs w:val="24"/>
      <w:lang w:eastAsia="en-IE"/>
    </w:rPr>
  </w:style>
  <w:style w:type="character" w:customStyle="1" w:styleId="Mention">
    <w:name w:val="Mention"/>
    <w:basedOn w:val="DefaultParagraphFont"/>
    <w:uiPriority w:val="99"/>
    <w:unhideWhenUsed/>
    <w:rsid w:val="007E65F8"/>
    <w:rPr>
      <w:color w:val="2B579A"/>
      <w:shd w:val="clear" w:color="auto" w:fill="E1DFDD"/>
    </w:rPr>
  </w:style>
  <w:style w:type="paragraph" w:customStyle="1" w:styleId="isselectedend">
    <w:name w:val="isselectedend"/>
    <w:basedOn w:val="Normal"/>
    <w:rsid w:val="001A24F3"/>
    <w:pPr>
      <w:spacing w:before="100" w:beforeAutospacing="1" w:after="100" w:afterAutospacing="1" w:line="240" w:lineRule="auto"/>
    </w:pPr>
    <w:rPr>
      <w:rFonts w:ascii="Times New Roman" w:eastAsia="Times New Roman"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1340">
      <w:bodyDiv w:val="1"/>
      <w:marLeft w:val="0"/>
      <w:marRight w:val="0"/>
      <w:marTop w:val="0"/>
      <w:marBottom w:val="0"/>
      <w:divBdr>
        <w:top w:val="none" w:sz="0" w:space="0" w:color="auto"/>
        <w:left w:val="none" w:sz="0" w:space="0" w:color="auto"/>
        <w:bottom w:val="none" w:sz="0" w:space="0" w:color="auto"/>
        <w:right w:val="none" w:sz="0" w:space="0" w:color="auto"/>
      </w:divBdr>
    </w:div>
    <w:div w:id="17318377">
      <w:bodyDiv w:val="1"/>
      <w:marLeft w:val="0"/>
      <w:marRight w:val="0"/>
      <w:marTop w:val="0"/>
      <w:marBottom w:val="0"/>
      <w:divBdr>
        <w:top w:val="none" w:sz="0" w:space="0" w:color="auto"/>
        <w:left w:val="none" w:sz="0" w:space="0" w:color="auto"/>
        <w:bottom w:val="none" w:sz="0" w:space="0" w:color="auto"/>
        <w:right w:val="none" w:sz="0" w:space="0" w:color="auto"/>
      </w:divBdr>
    </w:div>
    <w:div w:id="24672186">
      <w:bodyDiv w:val="1"/>
      <w:marLeft w:val="0"/>
      <w:marRight w:val="0"/>
      <w:marTop w:val="0"/>
      <w:marBottom w:val="0"/>
      <w:divBdr>
        <w:top w:val="none" w:sz="0" w:space="0" w:color="auto"/>
        <w:left w:val="none" w:sz="0" w:space="0" w:color="auto"/>
        <w:bottom w:val="none" w:sz="0" w:space="0" w:color="auto"/>
        <w:right w:val="none" w:sz="0" w:space="0" w:color="auto"/>
      </w:divBdr>
    </w:div>
    <w:div w:id="56518824">
      <w:bodyDiv w:val="1"/>
      <w:marLeft w:val="0"/>
      <w:marRight w:val="0"/>
      <w:marTop w:val="0"/>
      <w:marBottom w:val="0"/>
      <w:divBdr>
        <w:top w:val="none" w:sz="0" w:space="0" w:color="auto"/>
        <w:left w:val="none" w:sz="0" w:space="0" w:color="auto"/>
        <w:bottom w:val="none" w:sz="0" w:space="0" w:color="auto"/>
        <w:right w:val="none" w:sz="0" w:space="0" w:color="auto"/>
      </w:divBdr>
    </w:div>
    <w:div w:id="63913620">
      <w:bodyDiv w:val="1"/>
      <w:marLeft w:val="0"/>
      <w:marRight w:val="0"/>
      <w:marTop w:val="0"/>
      <w:marBottom w:val="0"/>
      <w:divBdr>
        <w:top w:val="none" w:sz="0" w:space="0" w:color="auto"/>
        <w:left w:val="none" w:sz="0" w:space="0" w:color="auto"/>
        <w:bottom w:val="none" w:sz="0" w:space="0" w:color="auto"/>
        <w:right w:val="none" w:sz="0" w:space="0" w:color="auto"/>
      </w:divBdr>
    </w:div>
    <w:div w:id="106512562">
      <w:bodyDiv w:val="1"/>
      <w:marLeft w:val="0"/>
      <w:marRight w:val="0"/>
      <w:marTop w:val="0"/>
      <w:marBottom w:val="0"/>
      <w:divBdr>
        <w:top w:val="none" w:sz="0" w:space="0" w:color="auto"/>
        <w:left w:val="none" w:sz="0" w:space="0" w:color="auto"/>
        <w:bottom w:val="none" w:sz="0" w:space="0" w:color="auto"/>
        <w:right w:val="none" w:sz="0" w:space="0" w:color="auto"/>
      </w:divBdr>
    </w:div>
    <w:div w:id="124474031">
      <w:bodyDiv w:val="1"/>
      <w:marLeft w:val="0"/>
      <w:marRight w:val="0"/>
      <w:marTop w:val="0"/>
      <w:marBottom w:val="0"/>
      <w:divBdr>
        <w:top w:val="none" w:sz="0" w:space="0" w:color="auto"/>
        <w:left w:val="none" w:sz="0" w:space="0" w:color="auto"/>
        <w:bottom w:val="none" w:sz="0" w:space="0" w:color="auto"/>
        <w:right w:val="none" w:sz="0" w:space="0" w:color="auto"/>
      </w:divBdr>
    </w:div>
    <w:div w:id="133062814">
      <w:bodyDiv w:val="1"/>
      <w:marLeft w:val="0"/>
      <w:marRight w:val="0"/>
      <w:marTop w:val="0"/>
      <w:marBottom w:val="0"/>
      <w:divBdr>
        <w:top w:val="none" w:sz="0" w:space="0" w:color="auto"/>
        <w:left w:val="none" w:sz="0" w:space="0" w:color="auto"/>
        <w:bottom w:val="none" w:sz="0" w:space="0" w:color="auto"/>
        <w:right w:val="none" w:sz="0" w:space="0" w:color="auto"/>
      </w:divBdr>
    </w:div>
    <w:div w:id="154498362">
      <w:bodyDiv w:val="1"/>
      <w:marLeft w:val="0"/>
      <w:marRight w:val="0"/>
      <w:marTop w:val="0"/>
      <w:marBottom w:val="0"/>
      <w:divBdr>
        <w:top w:val="none" w:sz="0" w:space="0" w:color="auto"/>
        <w:left w:val="none" w:sz="0" w:space="0" w:color="auto"/>
        <w:bottom w:val="none" w:sz="0" w:space="0" w:color="auto"/>
        <w:right w:val="none" w:sz="0" w:space="0" w:color="auto"/>
      </w:divBdr>
    </w:div>
    <w:div w:id="163471648">
      <w:bodyDiv w:val="1"/>
      <w:marLeft w:val="0"/>
      <w:marRight w:val="0"/>
      <w:marTop w:val="0"/>
      <w:marBottom w:val="0"/>
      <w:divBdr>
        <w:top w:val="none" w:sz="0" w:space="0" w:color="auto"/>
        <w:left w:val="none" w:sz="0" w:space="0" w:color="auto"/>
        <w:bottom w:val="none" w:sz="0" w:space="0" w:color="auto"/>
        <w:right w:val="none" w:sz="0" w:space="0" w:color="auto"/>
      </w:divBdr>
      <w:divsChild>
        <w:div w:id="1545603797">
          <w:marLeft w:val="0"/>
          <w:marRight w:val="0"/>
          <w:marTop w:val="0"/>
          <w:marBottom w:val="0"/>
          <w:divBdr>
            <w:top w:val="none" w:sz="0" w:space="0" w:color="auto"/>
            <w:left w:val="none" w:sz="0" w:space="0" w:color="auto"/>
            <w:bottom w:val="none" w:sz="0" w:space="0" w:color="auto"/>
            <w:right w:val="none" w:sz="0" w:space="0" w:color="auto"/>
          </w:divBdr>
          <w:divsChild>
            <w:div w:id="2087412605">
              <w:marLeft w:val="0"/>
              <w:marRight w:val="0"/>
              <w:marTop w:val="0"/>
              <w:marBottom w:val="0"/>
              <w:divBdr>
                <w:top w:val="none" w:sz="0" w:space="0" w:color="auto"/>
                <w:left w:val="none" w:sz="0" w:space="0" w:color="auto"/>
                <w:bottom w:val="none" w:sz="0" w:space="0" w:color="auto"/>
                <w:right w:val="none" w:sz="0" w:space="0" w:color="auto"/>
              </w:divBdr>
              <w:divsChild>
                <w:div w:id="414977839">
                  <w:marLeft w:val="0"/>
                  <w:marRight w:val="0"/>
                  <w:marTop w:val="0"/>
                  <w:marBottom w:val="0"/>
                  <w:divBdr>
                    <w:top w:val="none" w:sz="0" w:space="0" w:color="auto"/>
                    <w:left w:val="none" w:sz="0" w:space="0" w:color="auto"/>
                    <w:bottom w:val="none" w:sz="0" w:space="0" w:color="auto"/>
                    <w:right w:val="none" w:sz="0" w:space="0" w:color="auto"/>
                  </w:divBdr>
                  <w:divsChild>
                    <w:div w:id="1951547590">
                      <w:marLeft w:val="0"/>
                      <w:marRight w:val="0"/>
                      <w:marTop w:val="0"/>
                      <w:marBottom w:val="0"/>
                      <w:divBdr>
                        <w:top w:val="none" w:sz="0" w:space="0" w:color="auto"/>
                        <w:left w:val="none" w:sz="0" w:space="0" w:color="auto"/>
                        <w:bottom w:val="none" w:sz="0" w:space="0" w:color="auto"/>
                        <w:right w:val="none" w:sz="0" w:space="0" w:color="auto"/>
                      </w:divBdr>
                      <w:divsChild>
                        <w:div w:id="1997223519">
                          <w:marLeft w:val="0"/>
                          <w:marRight w:val="0"/>
                          <w:marTop w:val="0"/>
                          <w:marBottom w:val="0"/>
                          <w:divBdr>
                            <w:top w:val="none" w:sz="0" w:space="0" w:color="auto"/>
                            <w:left w:val="none" w:sz="0" w:space="0" w:color="auto"/>
                            <w:bottom w:val="none" w:sz="0" w:space="0" w:color="auto"/>
                            <w:right w:val="none" w:sz="0" w:space="0" w:color="auto"/>
                          </w:divBdr>
                          <w:divsChild>
                            <w:div w:id="665859235">
                              <w:marLeft w:val="-225"/>
                              <w:marRight w:val="-225"/>
                              <w:marTop w:val="0"/>
                              <w:marBottom w:val="0"/>
                              <w:divBdr>
                                <w:top w:val="none" w:sz="0" w:space="0" w:color="auto"/>
                                <w:left w:val="none" w:sz="0" w:space="0" w:color="auto"/>
                                <w:bottom w:val="none" w:sz="0" w:space="0" w:color="auto"/>
                                <w:right w:val="none" w:sz="0" w:space="0" w:color="auto"/>
                              </w:divBdr>
                              <w:divsChild>
                                <w:div w:id="1634603584">
                                  <w:marLeft w:val="0"/>
                                  <w:marRight w:val="0"/>
                                  <w:marTop w:val="0"/>
                                  <w:marBottom w:val="133"/>
                                  <w:divBdr>
                                    <w:top w:val="none" w:sz="0" w:space="0" w:color="auto"/>
                                    <w:left w:val="none" w:sz="0" w:space="0" w:color="auto"/>
                                    <w:bottom w:val="none" w:sz="0" w:space="0" w:color="auto"/>
                                    <w:right w:val="none" w:sz="0" w:space="0" w:color="auto"/>
                                  </w:divBdr>
                                  <w:divsChild>
                                    <w:div w:id="85834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984693">
      <w:bodyDiv w:val="1"/>
      <w:marLeft w:val="0"/>
      <w:marRight w:val="0"/>
      <w:marTop w:val="0"/>
      <w:marBottom w:val="0"/>
      <w:divBdr>
        <w:top w:val="none" w:sz="0" w:space="0" w:color="auto"/>
        <w:left w:val="none" w:sz="0" w:space="0" w:color="auto"/>
        <w:bottom w:val="none" w:sz="0" w:space="0" w:color="auto"/>
        <w:right w:val="none" w:sz="0" w:space="0" w:color="auto"/>
      </w:divBdr>
    </w:div>
    <w:div w:id="207642439">
      <w:bodyDiv w:val="1"/>
      <w:marLeft w:val="0"/>
      <w:marRight w:val="0"/>
      <w:marTop w:val="0"/>
      <w:marBottom w:val="0"/>
      <w:divBdr>
        <w:top w:val="none" w:sz="0" w:space="0" w:color="auto"/>
        <w:left w:val="none" w:sz="0" w:space="0" w:color="auto"/>
        <w:bottom w:val="none" w:sz="0" w:space="0" w:color="auto"/>
        <w:right w:val="none" w:sz="0" w:space="0" w:color="auto"/>
      </w:divBdr>
    </w:div>
    <w:div w:id="229850510">
      <w:bodyDiv w:val="1"/>
      <w:marLeft w:val="0"/>
      <w:marRight w:val="0"/>
      <w:marTop w:val="0"/>
      <w:marBottom w:val="0"/>
      <w:divBdr>
        <w:top w:val="none" w:sz="0" w:space="0" w:color="auto"/>
        <w:left w:val="none" w:sz="0" w:space="0" w:color="auto"/>
        <w:bottom w:val="none" w:sz="0" w:space="0" w:color="auto"/>
        <w:right w:val="none" w:sz="0" w:space="0" w:color="auto"/>
      </w:divBdr>
    </w:div>
    <w:div w:id="233854571">
      <w:bodyDiv w:val="1"/>
      <w:marLeft w:val="0"/>
      <w:marRight w:val="0"/>
      <w:marTop w:val="0"/>
      <w:marBottom w:val="0"/>
      <w:divBdr>
        <w:top w:val="none" w:sz="0" w:space="0" w:color="auto"/>
        <w:left w:val="none" w:sz="0" w:space="0" w:color="auto"/>
        <w:bottom w:val="none" w:sz="0" w:space="0" w:color="auto"/>
        <w:right w:val="none" w:sz="0" w:space="0" w:color="auto"/>
      </w:divBdr>
    </w:div>
    <w:div w:id="251816919">
      <w:bodyDiv w:val="1"/>
      <w:marLeft w:val="0"/>
      <w:marRight w:val="0"/>
      <w:marTop w:val="0"/>
      <w:marBottom w:val="0"/>
      <w:divBdr>
        <w:top w:val="none" w:sz="0" w:space="0" w:color="auto"/>
        <w:left w:val="none" w:sz="0" w:space="0" w:color="auto"/>
        <w:bottom w:val="none" w:sz="0" w:space="0" w:color="auto"/>
        <w:right w:val="none" w:sz="0" w:space="0" w:color="auto"/>
      </w:divBdr>
    </w:div>
    <w:div w:id="256796035">
      <w:bodyDiv w:val="1"/>
      <w:marLeft w:val="0"/>
      <w:marRight w:val="0"/>
      <w:marTop w:val="0"/>
      <w:marBottom w:val="0"/>
      <w:divBdr>
        <w:top w:val="none" w:sz="0" w:space="0" w:color="auto"/>
        <w:left w:val="none" w:sz="0" w:space="0" w:color="auto"/>
        <w:bottom w:val="none" w:sz="0" w:space="0" w:color="auto"/>
        <w:right w:val="none" w:sz="0" w:space="0" w:color="auto"/>
      </w:divBdr>
    </w:div>
    <w:div w:id="306596134">
      <w:bodyDiv w:val="1"/>
      <w:marLeft w:val="0"/>
      <w:marRight w:val="0"/>
      <w:marTop w:val="0"/>
      <w:marBottom w:val="0"/>
      <w:divBdr>
        <w:top w:val="none" w:sz="0" w:space="0" w:color="auto"/>
        <w:left w:val="none" w:sz="0" w:space="0" w:color="auto"/>
        <w:bottom w:val="none" w:sz="0" w:space="0" w:color="auto"/>
        <w:right w:val="none" w:sz="0" w:space="0" w:color="auto"/>
      </w:divBdr>
    </w:div>
    <w:div w:id="308438651">
      <w:bodyDiv w:val="1"/>
      <w:marLeft w:val="0"/>
      <w:marRight w:val="0"/>
      <w:marTop w:val="0"/>
      <w:marBottom w:val="0"/>
      <w:divBdr>
        <w:top w:val="none" w:sz="0" w:space="0" w:color="auto"/>
        <w:left w:val="none" w:sz="0" w:space="0" w:color="auto"/>
        <w:bottom w:val="none" w:sz="0" w:space="0" w:color="auto"/>
        <w:right w:val="none" w:sz="0" w:space="0" w:color="auto"/>
      </w:divBdr>
    </w:div>
    <w:div w:id="354618136">
      <w:bodyDiv w:val="1"/>
      <w:marLeft w:val="0"/>
      <w:marRight w:val="0"/>
      <w:marTop w:val="0"/>
      <w:marBottom w:val="0"/>
      <w:divBdr>
        <w:top w:val="none" w:sz="0" w:space="0" w:color="auto"/>
        <w:left w:val="none" w:sz="0" w:space="0" w:color="auto"/>
        <w:bottom w:val="none" w:sz="0" w:space="0" w:color="auto"/>
        <w:right w:val="none" w:sz="0" w:space="0" w:color="auto"/>
      </w:divBdr>
    </w:div>
    <w:div w:id="362098488">
      <w:bodyDiv w:val="1"/>
      <w:marLeft w:val="0"/>
      <w:marRight w:val="0"/>
      <w:marTop w:val="0"/>
      <w:marBottom w:val="0"/>
      <w:divBdr>
        <w:top w:val="none" w:sz="0" w:space="0" w:color="auto"/>
        <w:left w:val="none" w:sz="0" w:space="0" w:color="auto"/>
        <w:bottom w:val="none" w:sz="0" w:space="0" w:color="auto"/>
        <w:right w:val="none" w:sz="0" w:space="0" w:color="auto"/>
      </w:divBdr>
    </w:div>
    <w:div w:id="378669119">
      <w:bodyDiv w:val="1"/>
      <w:marLeft w:val="0"/>
      <w:marRight w:val="0"/>
      <w:marTop w:val="0"/>
      <w:marBottom w:val="0"/>
      <w:divBdr>
        <w:top w:val="none" w:sz="0" w:space="0" w:color="auto"/>
        <w:left w:val="none" w:sz="0" w:space="0" w:color="auto"/>
        <w:bottom w:val="none" w:sz="0" w:space="0" w:color="auto"/>
        <w:right w:val="none" w:sz="0" w:space="0" w:color="auto"/>
      </w:divBdr>
    </w:div>
    <w:div w:id="379524759">
      <w:bodyDiv w:val="1"/>
      <w:marLeft w:val="0"/>
      <w:marRight w:val="0"/>
      <w:marTop w:val="0"/>
      <w:marBottom w:val="0"/>
      <w:divBdr>
        <w:top w:val="none" w:sz="0" w:space="0" w:color="auto"/>
        <w:left w:val="none" w:sz="0" w:space="0" w:color="auto"/>
        <w:bottom w:val="none" w:sz="0" w:space="0" w:color="auto"/>
        <w:right w:val="none" w:sz="0" w:space="0" w:color="auto"/>
      </w:divBdr>
    </w:div>
    <w:div w:id="382218318">
      <w:bodyDiv w:val="1"/>
      <w:marLeft w:val="0"/>
      <w:marRight w:val="0"/>
      <w:marTop w:val="0"/>
      <w:marBottom w:val="0"/>
      <w:divBdr>
        <w:top w:val="none" w:sz="0" w:space="0" w:color="auto"/>
        <w:left w:val="none" w:sz="0" w:space="0" w:color="auto"/>
        <w:bottom w:val="none" w:sz="0" w:space="0" w:color="auto"/>
        <w:right w:val="none" w:sz="0" w:space="0" w:color="auto"/>
      </w:divBdr>
      <w:divsChild>
        <w:div w:id="13771394">
          <w:marLeft w:val="0"/>
          <w:marRight w:val="0"/>
          <w:marTop w:val="0"/>
          <w:marBottom w:val="0"/>
          <w:divBdr>
            <w:top w:val="none" w:sz="0" w:space="0" w:color="auto"/>
            <w:left w:val="none" w:sz="0" w:space="0" w:color="auto"/>
            <w:bottom w:val="none" w:sz="0" w:space="0" w:color="auto"/>
            <w:right w:val="none" w:sz="0" w:space="0" w:color="auto"/>
          </w:divBdr>
        </w:div>
        <w:div w:id="351037791">
          <w:marLeft w:val="0"/>
          <w:marRight w:val="0"/>
          <w:marTop w:val="0"/>
          <w:marBottom w:val="0"/>
          <w:divBdr>
            <w:top w:val="none" w:sz="0" w:space="0" w:color="auto"/>
            <w:left w:val="none" w:sz="0" w:space="0" w:color="auto"/>
            <w:bottom w:val="none" w:sz="0" w:space="0" w:color="auto"/>
            <w:right w:val="none" w:sz="0" w:space="0" w:color="auto"/>
          </w:divBdr>
        </w:div>
        <w:div w:id="1160927742">
          <w:marLeft w:val="0"/>
          <w:marRight w:val="0"/>
          <w:marTop w:val="0"/>
          <w:marBottom w:val="0"/>
          <w:divBdr>
            <w:top w:val="none" w:sz="0" w:space="0" w:color="auto"/>
            <w:left w:val="none" w:sz="0" w:space="0" w:color="auto"/>
            <w:bottom w:val="none" w:sz="0" w:space="0" w:color="auto"/>
            <w:right w:val="none" w:sz="0" w:space="0" w:color="auto"/>
          </w:divBdr>
        </w:div>
        <w:div w:id="1696610093">
          <w:marLeft w:val="0"/>
          <w:marRight w:val="0"/>
          <w:marTop w:val="0"/>
          <w:marBottom w:val="0"/>
          <w:divBdr>
            <w:top w:val="none" w:sz="0" w:space="0" w:color="auto"/>
            <w:left w:val="none" w:sz="0" w:space="0" w:color="auto"/>
            <w:bottom w:val="none" w:sz="0" w:space="0" w:color="auto"/>
            <w:right w:val="none" w:sz="0" w:space="0" w:color="auto"/>
          </w:divBdr>
        </w:div>
        <w:div w:id="1951353634">
          <w:marLeft w:val="0"/>
          <w:marRight w:val="0"/>
          <w:marTop w:val="0"/>
          <w:marBottom w:val="0"/>
          <w:divBdr>
            <w:top w:val="none" w:sz="0" w:space="0" w:color="auto"/>
            <w:left w:val="none" w:sz="0" w:space="0" w:color="auto"/>
            <w:bottom w:val="none" w:sz="0" w:space="0" w:color="auto"/>
            <w:right w:val="none" w:sz="0" w:space="0" w:color="auto"/>
          </w:divBdr>
        </w:div>
      </w:divsChild>
    </w:div>
    <w:div w:id="441609357">
      <w:bodyDiv w:val="1"/>
      <w:marLeft w:val="0"/>
      <w:marRight w:val="0"/>
      <w:marTop w:val="0"/>
      <w:marBottom w:val="0"/>
      <w:divBdr>
        <w:top w:val="none" w:sz="0" w:space="0" w:color="auto"/>
        <w:left w:val="none" w:sz="0" w:space="0" w:color="auto"/>
        <w:bottom w:val="none" w:sz="0" w:space="0" w:color="auto"/>
        <w:right w:val="none" w:sz="0" w:space="0" w:color="auto"/>
      </w:divBdr>
      <w:divsChild>
        <w:div w:id="583799303">
          <w:marLeft w:val="0"/>
          <w:marRight w:val="0"/>
          <w:marTop w:val="0"/>
          <w:marBottom w:val="0"/>
          <w:divBdr>
            <w:top w:val="none" w:sz="0" w:space="0" w:color="auto"/>
            <w:left w:val="none" w:sz="0" w:space="0" w:color="auto"/>
            <w:bottom w:val="none" w:sz="0" w:space="0" w:color="auto"/>
            <w:right w:val="none" w:sz="0" w:space="0" w:color="auto"/>
          </w:divBdr>
          <w:divsChild>
            <w:div w:id="208156326">
              <w:marLeft w:val="0"/>
              <w:marRight w:val="0"/>
              <w:marTop w:val="0"/>
              <w:marBottom w:val="0"/>
              <w:divBdr>
                <w:top w:val="none" w:sz="0" w:space="0" w:color="auto"/>
                <w:left w:val="none" w:sz="0" w:space="0" w:color="auto"/>
                <w:bottom w:val="none" w:sz="0" w:space="0" w:color="auto"/>
                <w:right w:val="none" w:sz="0" w:space="0" w:color="auto"/>
              </w:divBdr>
              <w:divsChild>
                <w:div w:id="702243767">
                  <w:marLeft w:val="0"/>
                  <w:marRight w:val="0"/>
                  <w:marTop w:val="0"/>
                  <w:marBottom w:val="0"/>
                  <w:divBdr>
                    <w:top w:val="none" w:sz="0" w:space="0" w:color="auto"/>
                    <w:left w:val="none" w:sz="0" w:space="0" w:color="auto"/>
                    <w:bottom w:val="none" w:sz="0" w:space="0" w:color="auto"/>
                    <w:right w:val="none" w:sz="0" w:space="0" w:color="auto"/>
                  </w:divBdr>
                  <w:divsChild>
                    <w:div w:id="64422346">
                      <w:marLeft w:val="0"/>
                      <w:marRight w:val="0"/>
                      <w:marTop w:val="0"/>
                      <w:marBottom w:val="0"/>
                      <w:divBdr>
                        <w:top w:val="none" w:sz="0" w:space="0" w:color="auto"/>
                        <w:left w:val="none" w:sz="0" w:space="0" w:color="auto"/>
                        <w:bottom w:val="none" w:sz="0" w:space="0" w:color="auto"/>
                        <w:right w:val="none" w:sz="0" w:space="0" w:color="auto"/>
                      </w:divBdr>
                      <w:divsChild>
                        <w:div w:id="1014117586">
                          <w:marLeft w:val="0"/>
                          <w:marRight w:val="0"/>
                          <w:marTop w:val="0"/>
                          <w:marBottom w:val="0"/>
                          <w:divBdr>
                            <w:top w:val="none" w:sz="0" w:space="0" w:color="auto"/>
                            <w:left w:val="none" w:sz="0" w:space="0" w:color="auto"/>
                            <w:bottom w:val="none" w:sz="0" w:space="0" w:color="auto"/>
                            <w:right w:val="none" w:sz="0" w:space="0" w:color="auto"/>
                          </w:divBdr>
                          <w:divsChild>
                            <w:div w:id="1535147112">
                              <w:marLeft w:val="-225"/>
                              <w:marRight w:val="-225"/>
                              <w:marTop w:val="0"/>
                              <w:marBottom w:val="0"/>
                              <w:divBdr>
                                <w:top w:val="none" w:sz="0" w:space="0" w:color="auto"/>
                                <w:left w:val="none" w:sz="0" w:space="0" w:color="auto"/>
                                <w:bottom w:val="none" w:sz="0" w:space="0" w:color="auto"/>
                                <w:right w:val="none" w:sz="0" w:space="0" w:color="auto"/>
                              </w:divBdr>
                              <w:divsChild>
                                <w:div w:id="759565836">
                                  <w:marLeft w:val="0"/>
                                  <w:marRight w:val="0"/>
                                  <w:marTop w:val="0"/>
                                  <w:marBottom w:val="133"/>
                                  <w:divBdr>
                                    <w:top w:val="none" w:sz="0" w:space="0" w:color="auto"/>
                                    <w:left w:val="none" w:sz="0" w:space="0" w:color="auto"/>
                                    <w:bottom w:val="none" w:sz="0" w:space="0" w:color="auto"/>
                                    <w:right w:val="none" w:sz="0" w:space="0" w:color="auto"/>
                                  </w:divBdr>
                                  <w:divsChild>
                                    <w:div w:id="209770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6045589">
      <w:bodyDiv w:val="1"/>
      <w:marLeft w:val="0"/>
      <w:marRight w:val="0"/>
      <w:marTop w:val="0"/>
      <w:marBottom w:val="0"/>
      <w:divBdr>
        <w:top w:val="none" w:sz="0" w:space="0" w:color="auto"/>
        <w:left w:val="none" w:sz="0" w:space="0" w:color="auto"/>
        <w:bottom w:val="none" w:sz="0" w:space="0" w:color="auto"/>
        <w:right w:val="none" w:sz="0" w:space="0" w:color="auto"/>
      </w:divBdr>
    </w:div>
    <w:div w:id="485367911">
      <w:bodyDiv w:val="1"/>
      <w:marLeft w:val="0"/>
      <w:marRight w:val="0"/>
      <w:marTop w:val="0"/>
      <w:marBottom w:val="0"/>
      <w:divBdr>
        <w:top w:val="none" w:sz="0" w:space="0" w:color="auto"/>
        <w:left w:val="none" w:sz="0" w:space="0" w:color="auto"/>
        <w:bottom w:val="none" w:sz="0" w:space="0" w:color="auto"/>
        <w:right w:val="none" w:sz="0" w:space="0" w:color="auto"/>
      </w:divBdr>
    </w:div>
    <w:div w:id="500703562">
      <w:bodyDiv w:val="1"/>
      <w:marLeft w:val="0"/>
      <w:marRight w:val="0"/>
      <w:marTop w:val="0"/>
      <w:marBottom w:val="0"/>
      <w:divBdr>
        <w:top w:val="none" w:sz="0" w:space="0" w:color="auto"/>
        <w:left w:val="none" w:sz="0" w:space="0" w:color="auto"/>
        <w:bottom w:val="none" w:sz="0" w:space="0" w:color="auto"/>
        <w:right w:val="none" w:sz="0" w:space="0" w:color="auto"/>
      </w:divBdr>
    </w:div>
    <w:div w:id="502821650">
      <w:bodyDiv w:val="1"/>
      <w:marLeft w:val="0"/>
      <w:marRight w:val="0"/>
      <w:marTop w:val="0"/>
      <w:marBottom w:val="0"/>
      <w:divBdr>
        <w:top w:val="none" w:sz="0" w:space="0" w:color="auto"/>
        <w:left w:val="none" w:sz="0" w:space="0" w:color="auto"/>
        <w:bottom w:val="none" w:sz="0" w:space="0" w:color="auto"/>
        <w:right w:val="none" w:sz="0" w:space="0" w:color="auto"/>
      </w:divBdr>
    </w:div>
    <w:div w:id="511606774">
      <w:bodyDiv w:val="1"/>
      <w:marLeft w:val="0"/>
      <w:marRight w:val="0"/>
      <w:marTop w:val="0"/>
      <w:marBottom w:val="0"/>
      <w:divBdr>
        <w:top w:val="none" w:sz="0" w:space="0" w:color="auto"/>
        <w:left w:val="none" w:sz="0" w:space="0" w:color="auto"/>
        <w:bottom w:val="none" w:sz="0" w:space="0" w:color="auto"/>
        <w:right w:val="none" w:sz="0" w:space="0" w:color="auto"/>
      </w:divBdr>
    </w:div>
    <w:div w:id="520163498">
      <w:bodyDiv w:val="1"/>
      <w:marLeft w:val="0"/>
      <w:marRight w:val="0"/>
      <w:marTop w:val="0"/>
      <w:marBottom w:val="0"/>
      <w:divBdr>
        <w:top w:val="none" w:sz="0" w:space="0" w:color="auto"/>
        <w:left w:val="none" w:sz="0" w:space="0" w:color="auto"/>
        <w:bottom w:val="none" w:sz="0" w:space="0" w:color="auto"/>
        <w:right w:val="none" w:sz="0" w:space="0" w:color="auto"/>
      </w:divBdr>
    </w:div>
    <w:div w:id="525022587">
      <w:bodyDiv w:val="1"/>
      <w:marLeft w:val="0"/>
      <w:marRight w:val="0"/>
      <w:marTop w:val="0"/>
      <w:marBottom w:val="0"/>
      <w:divBdr>
        <w:top w:val="none" w:sz="0" w:space="0" w:color="auto"/>
        <w:left w:val="none" w:sz="0" w:space="0" w:color="auto"/>
        <w:bottom w:val="none" w:sz="0" w:space="0" w:color="auto"/>
        <w:right w:val="none" w:sz="0" w:space="0" w:color="auto"/>
      </w:divBdr>
    </w:div>
    <w:div w:id="536430408">
      <w:bodyDiv w:val="1"/>
      <w:marLeft w:val="0"/>
      <w:marRight w:val="0"/>
      <w:marTop w:val="0"/>
      <w:marBottom w:val="0"/>
      <w:divBdr>
        <w:top w:val="none" w:sz="0" w:space="0" w:color="auto"/>
        <w:left w:val="none" w:sz="0" w:space="0" w:color="auto"/>
        <w:bottom w:val="none" w:sz="0" w:space="0" w:color="auto"/>
        <w:right w:val="none" w:sz="0" w:space="0" w:color="auto"/>
      </w:divBdr>
    </w:div>
    <w:div w:id="542403621">
      <w:bodyDiv w:val="1"/>
      <w:marLeft w:val="0"/>
      <w:marRight w:val="0"/>
      <w:marTop w:val="0"/>
      <w:marBottom w:val="0"/>
      <w:divBdr>
        <w:top w:val="none" w:sz="0" w:space="0" w:color="auto"/>
        <w:left w:val="none" w:sz="0" w:space="0" w:color="auto"/>
        <w:bottom w:val="none" w:sz="0" w:space="0" w:color="auto"/>
        <w:right w:val="none" w:sz="0" w:space="0" w:color="auto"/>
      </w:divBdr>
    </w:div>
    <w:div w:id="571740146">
      <w:bodyDiv w:val="1"/>
      <w:marLeft w:val="0"/>
      <w:marRight w:val="0"/>
      <w:marTop w:val="0"/>
      <w:marBottom w:val="0"/>
      <w:divBdr>
        <w:top w:val="none" w:sz="0" w:space="0" w:color="auto"/>
        <w:left w:val="none" w:sz="0" w:space="0" w:color="auto"/>
        <w:bottom w:val="none" w:sz="0" w:space="0" w:color="auto"/>
        <w:right w:val="none" w:sz="0" w:space="0" w:color="auto"/>
      </w:divBdr>
      <w:divsChild>
        <w:div w:id="717586248">
          <w:marLeft w:val="0"/>
          <w:marRight w:val="0"/>
          <w:marTop w:val="0"/>
          <w:marBottom w:val="0"/>
          <w:divBdr>
            <w:top w:val="none" w:sz="0" w:space="0" w:color="auto"/>
            <w:left w:val="none" w:sz="0" w:space="0" w:color="auto"/>
            <w:bottom w:val="none" w:sz="0" w:space="0" w:color="auto"/>
            <w:right w:val="none" w:sz="0" w:space="0" w:color="auto"/>
          </w:divBdr>
          <w:divsChild>
            <w:div w:id="152752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685153">
      <w:bodyDiv w:val="1"/>
      <w:marLeft w:val="0"/>
      <w:marRight w:val="0"/>
      <w:marTop w:val="0"/>
      <w:marBottom w:val="0"/>
      <w:divBdr>
        <w:top w:val="none" w:sz="0" w:space="0" w:color="auto"/>
        <w:left w:val="none" w:sz="0" w:space="0" w:color="auto"/>
        <w:bottom w:val="none" w:sz="0" w:space="0" w:color="auto"/>
        <w:right w:val="none" w:sz="0" w:space="0" w:color="auto"/>
      </w:divBdr>
      <w:divsChild>
        <w:div w:id="6139029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7810853">
      <w:bodyDiv w:val="1"/>
      <w:marLeft w:val="0"/>
      <w:marRight w:val="0"/>
      <w:marTop w:val="0"/>
      <w:marBottom w:val="0"/>
      <w:divBdr>
        <w:top w:val="none" w:sz="0" w:space="0" w:color="auto"/>
        <w:left w:val="none" w:sz="0" w:space="0" w:color="auto"/>
        <w:bottom w:val="none" w:sz="0" w:space="0" w:color="auto"/>
        <w:right w:val="none" w:sz="0" w:space="0" w:color="auto"/>
      </w:divBdr>
    </w:div>
    <w:div w:id="619846104">
      <w:bodyDiv w:val="1"/>
      <w:marLeft w:val="0"/>
      <w:marRight w:val="0"/>
      <w:marTop w:val="0"/>
      <w:marBottom w:val="0"/>
      <w:divBdr>
        <w:top w:val="none" w:sz="0" w:space="0" w:color="auto"/>
        <w:left w:val="none" w:sz="0" w:space="0" w:color="auto"/>
        <w:bottom w:val="none" w:sz="0" w:space="0" w:color="auto"/>
        <w:right w:val="none" w:sz="0" w:space="0" w:color="auto"/>
      </w:divBdr>
      <w:divsChild>
        <w:div w:id="11142553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3456627">
      <w:bodyDiv w:val="1"/>
      <w:marLeft w:val="0"/>
      <w:marRight w:val="0"/>
      <w:marTop w:val="0"/>
      <w:marBottom w:val="0"/>
      <w:divBdr>
        <w:top w:val="none" w:sz="0" w:space="0" w:color="auto"/>
        <w:left w:val="none" w:sz="0" w:space="0" w:color="auto"/>
        <w:bottom w:val="none" w:sz="0" w:space="0" w:color="auto"/>
        <w:right w:val="none" w:sz="0" w:space="0" w:color="auto"/>
      </w:divBdr>
    </w:div>
    <w:div w:id="707343200">
      <w:bodyDiv w:val="1"/>
      <w:marLeft w:val="0"/>
      <w:marRight w:val="0"/>
      <w:marTop w:val="0"/>
      <w:marBottom w:val="0"/>
      <w:divBdr>
        <w:top w:val="none" w:sz="0" w:space="0" w:color="auto"/>
        <w:left w:val="none" w:sz="0" w:space="0" w:color="auto"/>
        <w:bottom w:val="none" w:sz="0" w:space="0" w:color="auto"/>
        <w:right w:val="none" w:sz="0" w:space="0" w:color="auto"/>
      </w:divBdr>
    </w:div>
    <w:div w:id="714701984">
      <w:bodyDiv w:val="1"/>
      <w:marLeft w:val="0"/>
      <w:marRight w:val="0"/>
      <w:marTop w:val="0"/>
      <w:marBottom w:val="0"/>
      <w:divBdr>
        <w:top w:val="none" w:sz="0" w:space="0" w:color="auto"/>
        <w:left w:val="none" w:sz="0" w:space="0" w:color="auto"/>
        <w:bottom w:val="none" w:sz="0" w:space="0" w:color="auto"/>
        <w:right w:val="none" w:sz="0" w:space="0" w:color="auto"/>
      </w:divBdr>
    </w:div>
    <w:div w:id="732387652">
      <w:bodyDiv w:val="1"/>
      <w:marLeft w:val="0"/>
      <w:marRight w:val="0"/>
      <w:marTop w:val="0"/>
      <w:marBottom w:val="0"/>
      <w:divBdr>
        <w:top w:val="none" w:sz="0" w:space="0" w:color="auto"/>
        <w:left w:val="none" w:sz="0" w:space="0" w:color="auto"/>
        <w:bottom w:val="none" w:sz="0" w:space="0" w:color="auto"/>
        <w:right w:val="none" w:sz="0" w:space="0" w:color="auto"/>
      </w:divBdr>
    </w:div>
    <w:div w:id="773287929">
      <w:bodyDiv w:val="1"/>
      <w:marLeft w:val="0"/>
      <w:marRight w:val="0"/>
      <w:marTop w:val="0"/>
      <w:marBottom w:val="0"/>
      <w:divBdr>
        <w:top w:val="none" w:sz="0" w:space="0" w:color="auto"/>
        <w:left w:val="none" w:sz="0" w:space="0" w:color="auto"/>
        <w:bottom w:val="none" w:sz="0" w:space="0" w:color="auto"/>
        <w:right w:val="none" w:sz="0" w:space="0" w:color="auto"/>
      </w:divBdr>
    </w:div>
    <w:div w:id="805004994">
      <w:bodyDiv w:val="1"/>
      <w:marLeft w:val="0"/>
      <w:marRight w:val="0"/>
      <w:marTop w:val="0"/>
      <w:marBottom w:val="0"/>
      <w:divBdr>
        <w:top w:val="none" w:sz="0" w:space="0" w:color="auto"/>
        <w:left w:val="none" w:sz="0" w:space="0" w:color="auto"/>
        <w:bottom w:val="none" w:sz="0" w:space="0" w:color="auto"/>
        <w:right w:val="none" w:sz="0" w:space="0" w:color="auto"/>
      </w:divBdr>
    </w:div>
    <w:div w:id="836118116">
      <w:bodyDiv w:val="1"/>
      <w:marLeft w:val="0"/>
      <w:marRight w:val="0"/>
      <w:marTop w:val="0"/>
      <w:marBottom w:val="0"/>
      <w:divBdr>
        <w:top w:val="none" w:sz="0" w:space="0" w:color="auto"/>
        <w:left w:val="none" w:sz="0" w:space="0" w:color="auto"/>
        <w:bottom w:val="none" w:sz="0" w:space="0" w:color="auto"/>
        <w:right w:val="none" w:sz="0" w:space="0" w:color="auto"/>
      </w:divBdr>
      <w:divsChild>
        <w:div w:id="1816333134">
          <w:marLeft w:val="0"/>
          <w:marRight w:val="0"/>
          <w:marTop w:val="0"/>
          <w:marBottom w:val="0"/>
          <w:divBdr>
            <w:top w:val="single" w:sz="2" w:space="0" w:color="CCCCCC"/>
            <w:left w:val="single" w:sz="6" w:space="0" w:color="CCCCCC"/>
            <w:bottom w:val="single" w:sz="6" w:space="0" w:color="CCCCCC"/>
            <w:right w:val="single" w:sz="6" w:space="0" w:color="CCCCCC"/>
          </w:divBdr>
          <w:divsChild>
            <w:div w:id="243033381">
              <w:marLeft w:val="0"/>
              <w:marRight w:val="0"/>
              <w:marTop w:val="0"/>
              <w:marBottom w:val="0"/>
              <w:divBdr>
                <w:top w:val="none" w:sz="0" w:space="0" w:color="auto"/>
                <w:left w:val="none" w:sz="0" w:space="0" w:color="auto"/>
                <w:bottom w:val="none" w:sz="0" w:space="0" w:color="auto"/>
                <w:right w:val="none" w:sz="0" w:space="0" w:color="auto"/>
              </w:divBdr>
              <w:divsChild>
                <w:div w:id="693309435">
                  <w:marLeft w:val="-180"/>
                  <w:marRight w:val="-180"/>
                  <w:marTop w:val="0"/>
                  <w:marBottom w:val="0"/>
                  <w:divBdr>
                    <w:top w:val="none" w:sz="0" w:space="0" w:color="auto"/>
                    <w:left w:val="none" w:sz="0" w:space="0" w:color="auto"/>
                    <w:bottom w:val="none" w:sz="0" w:space="0" w:color="auto"/>
                    <w:right w:val="none" w:sz="0" w:space="0" w:color="auto"/>
                  </w:divBdr>
                  <w:divsChild>
                    <w:div w:id="826286987">
                      <w:marLeft w:val="0"/>
                      <w:marRight w:val="0"/>
                      <w:marTop w:val="0"/>
                      <w:marBottom w:val="0"/>
                      <w:divBdr>
                        <w:top w:val="none" w:sz="0" w:space="0" w:color="auto"/>
                        <w:left w:val="none" w:sz="0" w:space="0" w:color="auto"/>
                        <w:bottom w:val="none" w:sz="0" w:space="0" w:color="auto"/>
                        <w:right w:val="none" w:sz="0" w:space="0" w:color="auto"/>
                      </w:divBdr>
                      <w:divsChild>
                        <w:div w:id="699743034">
                          <w:marLeft w:val="-180"/>
                          <w:marRight w:val="-180"/>
                          <w:marTop w:val="0"/>
                          <w:marBottom w:val="0"/>
                          <w:divBdr>
                            <w:top w:val="none" w:sz="0" w:space="0" w:color="auto"/>
                            <w:left w:val="none" w:sz="0" w:space="0" w:color="auto"/>
                            <w:bottom w:val="none" w:sz="0" w:space="0" w:color="auto"/>
                            <w:right w:val="none" w:sz="0" w:space="0" w:color="auto"/>
                          </w:divBdr>
                          <w:divsChild>
                            <w:div w:id="230701301">
                              <w:marLeft w:val="0"/>
                              <w:marRight w:val="0"/>
                              <w:marTop w:val="0"/>
                              <w:marBottom w:val="0"/>
                              <w:divBdr>
                                <w:top w:val="none" w:sz="0" w:space="0" w:color="auto"/>
                                <w:left w:val="none" w:sz="0" w:space="0" w:color="auto"/>
                                <w:bottom w:val="none" w:sz="0" w:space="0" w:color="auto"/>
                                <w:right w:val="none" w:sz="0" w:space="0" w:color="auto"/>
                              </w:divBdr>
                              <w:divsChild>
                                <w:div w:id="921640175">
                                  <w:marLeft w:val="0"/>
                                  <w:marRight w:val="0"/>
                                  <w:marTop w:val="0"/>
                                  <w:marBottom w:val="0"/>
                                  <w:divBdr>
                                    <w:top w:val="none" w:sz="0" w:space="0" w:color="auto"/>
                                    <w:left w:val="none" w:sz="0" w:space="0" w:color="auto"/>
                                    <w:bottom w:val="none" w:sz="0" w:space="0" w:color="auto"/>
                                    <w:right w:val="none" w:sz="0" w:space="0" w:color="auto"/>
                                  </w:divBdr>
                                  <w:divsChild>
                                    <w:div w:id="382753246">
                                      <w:marLeft w:val="0"/>
                                      <w:marRight w:val="0"/>
                                      <w:marTop w:val="0"/>
                                      <w:marBottom w:val="0"/>
                                      <w:divBdr>
                                        <w:top w:val="none" w:sz="0" w:space="0" w:color="auto"/>
                                        <w:left w:val="none" w:sz="0" w:space="0" w:color="auto"/>
                                        <w:bottom w:val="none" w:sz="0" w:space="0" w:color="auto"/>
                                        <w:right w:val="none" w:sz="0" w:space="0" w:color="auto"/>
                                      </w:divBdr>
                                      <w:divsChild>
                                        <w:div w:id="383716176">
                                          <w:marLeft w:val="0"/>
                                          <w:marRight w:val="0"/>
                                          <w:marTop w:val="0"/>
                                          <w:marBottom w:val="0"/>
                                          <w:divBdr>
                                            <w:top w:val="none" w:sz="0" w:space="0" w:color="auto"/>
                                            <w:left w:val="none" w:sz="0" w:space="0" w:color="auto"/>
                                            <w:bottom w:val="none" w:sz="0" w:space="0" w:color="auto"/>
                                            <w:right w:val="none" w:sz="0" w:space="0" w:color="auto"/>
                                          </w:divBdr>
                                          <w:divsChild>
                                            <w:div w:id="1240797192">
                                              <w:marLeft w:val="0"/>
                                              <w:marRight w:val="0"/>
                                              <w:marTop w:val="0"/>
                                              <w:marBottom w:val="0"/>
                                              <w:divBdr>
                                                <w:top w:val="none" w:sz="0" w:space="0" w:color="auto"/>
                                                <w:left w:val="none" w:sz="0" w:space="0" w:color="auto"/>
                                                <w:bottom w:val="none" w:sz="0" w:space="0" w:color="auto"/>
                                                <w:right w:val="none" w:sz="0" w:space="0" w:color="auto"/>
                                              </w:divBdr>
                                              <w:divsChild>
                                                <w:div w:id="1932661072">
                                                  <w:marLeft w:val="0"/>
                                                  <w:marRight w:val="0"/>
                                                  <w:marTop w:val="0"/>
                                                  <w:marBottom w:val="0"/>
                                                  <w:divBdr>
                                                    <w:top w:val="none" w:sz="0" w:space="0" w:color="auto"/>
                                                    <w:left w:val="none" w:sz="0" w:space="0" w:color="auto"/>
                                                    <w:bottom w:val="none" w:sz="0" w:space="0" w:color="auto"/>
                                                    <w:right w:val="none" w:sz="0" w:space="0" w:color="auto"/>
                                                  </w:divBdr>
                                                  <w:divsChild>
                                                    <w:div w:id="1928880898">
                                                      <w:marLeft w:val="0"/>
                                                      <w:marRight w:val="0"/>
                                                      <w:marTop w:val="0"/>
                                                      <w:marBottom w:val="0"/>
                                                      <w:divBdr>
                                                        <w:top w:val="none" w:sz="0" w:space="0" w:color="auto"/>
                                                        <w:left w:val="none" w:sz="0" w:space="0" w:color="auto"/>
                                                        <w:bottom w:val="none" w:sz="0" w:space="0" w:color="auto"/>
                                                        <w:right w:val="none" w:sz="0" w:space="0" w:color="auto"/>
                                                      </w:divBdr>
                                                      <w:divsChild>
                                                        <w:div w:id="623077403">
                                                          <w:marLeft w:val="-180"/>
                                                          <w:marRight w:val="-180"/>
                                                          <w:marTop w:val="0"/>
                                                          <w:marBottom w:val="0"/>
                                                          <w:divBdr>
                                                            <w:top w:val="none" w:sz="0" w:space="0" w:color="auto"/>
                                                            <w:left w:val="none" w:sz="0" w:space="0" w:color="auto"/>
                                                            <w:bottom w:val="none" w:sz="0" w:space="0" w:color="auto"/>
                                                            <w:right w:val="none" w:sz="0" w:space="0" w:color="auto"/>
                                                          </w:divBdr>
                                                          <w:divsChild>
                                                            <w:div w:id="442504384">
                                                              <w:marLeft w:val="0"/>
                                                              <w:marRight w:val="0"/>
                                                              <w:marTop w:val="0"/>
                                                              <w:marBottom w:val="0"/>
                                                              <w:divBdr>
                                                                <w:top w:val="none" w:sz="0" w:space="0" w:color="auto"/>
                                                                <w:left w:val="none" w:sz="0" w:space="0" w:color="auto"/>
                                                                <w:bottom w:val="none" w:sz="0" w:space="0" w:color="auto"/>
                                                                <w:right w:val="none" w:sz="0" w:space="0" w:color="auto"/>
                                                              </w:divBdr>
                                                              <w:divsChild>
                                                                <w:div w:id="14696957">
                                                                  <w:marLeft w:val="0"/>
                                                                  <w:marRight w:val="0"/>
                                                                  <w:marTop w:val="0"/>
                                                                  <w:marBottom w:val="0"/>
                                                                  <w:divBdr>
                                                                    <w:top w:val="none" w:sz="0" w:space="0" w:color="auto"/>
                                                                    <w:left w:val="none" w:sz="0" w:space="0" w:color="auto"/>
                                                                    <w:bottom w:val="none" w:sz="0" w:space="0" w:color="auto"/>
                                                                    <w:right w:val="none" w:sz="0" w:space="0" w:color="auto"/>
                                                                  </w:divBdr>
                                                                  <w:divsChild>
                                                                    <w:div w:id="1590653096">
                                                                      <w:marLeft w:val="0"/>
                                                                      <w:marRight w:val="0"/>
                                                                      <w:marTop w:val="0"/>
                                                                      <w:marBottom w:val="0"/>
                                                                      <w:divBdr>
                                                                        <w:top w:val="none" w:sz="0" w:space="0" w:color="auto"/>
                                                                        <w:left w:val="none" w:sz="0" w:space="0" w:color="auto"/>
                                                                        <w:bottom w:val="none" w:sz="0" w:space="0" w:color="auto"/>
                                                                        <w:right w:val="none" w:sz="0" w:space="0" w:color="auto"/>
                                                                      </w:divBdr>
                                                                      <w:divsChild>
                                                                        <w:div w:id="106325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2576547">
      <w:bodyDiv w:val="1"/>
      <w:marLeft w:val="0"/>
      <w:marRight w:val="0"/>
      <w:marTop w:val="0"/>
      <w:marBottom w:val="0"/>
      <w:divBdr>
        <w:top w:val="none" w:sz="0" w:space="0" w:color="auto"/>
        <w:left w:val="none" w:sz="0" w:space="0" w:color="auto"/>
        <w:bottom w:val="none" w:sz="0" w:space="0" w:color="auto"/>
        <w:right w:val="none" w:sz="0" w:space="0" w:color="auto"/>
      </w:divBdr>
    </w:div>
    <w:div w:id="857163708">
      <w:bodyDiv w:val="1"/>
      <w:marLeft w:val="0"/>
      <w:marRight w:val="0"/>
      <w:marTop w:val="0"/>
      <w:marBottom w:val="0"/>
      <w:divBdr>
        <w:top w:val="none" w:sz="0" w:space="0" w:color="auto"/>
        <w:left w:val="none" w:sz="0" w:space="0" w:color="auto"/>
        <w:bottom w:val="none" w:sz="0" w:space="0" w:color="auto"/>
        <w:right w:val="none" w:sz="0" w:space="0" w:color="auto"/>
      </w:divBdr>
      <w:divsChild>
        <w:div w:id="384569576">
          <w:marLeft w:val="0"/>
          <w:marRight w:val="0"/>
          <w:marTop w:val="0"/>
          <w:marBottom w:val="0"/>
          <w:divBdr>
            <w:top w:val="none" w:sz="0" w:space="0" w:color="auto"/>
            <w:left w:val="none" w:sz="0" w:space="0" w:color="auto"/>
            <w:bottom w:val="none" w:sz="0" w:space="0" w:color="auto"/>
            <w:right w:val="none" w:sz="0" w:space="0" w:color="auto"/>
          </w:divBdr>
          <w:divsChild>
            <w:div w:id="1145314700">
              <w:marLeft w:val="0"/>
              <w:marRight w:val="0"/>
              <w:marTop w:val="0"/>
              <w:marBottom w:val="0"/>
              <w:divBdr>
                <w:top w:val="none" w:sz="0" w:space="0" w:color="auto"/>
                <w:left w:val="none" w:sz="0" w:space="0" w:color="auto"/>
                <w:bottom w:val="none" w:sz="0" w:space="0" w:color="auto"/>
                <w:right w:val="none" w:sz="0" w:space="0" w:color="auto"/>
              </w:divBdr>
              <w:divsChild>
                <w:div w:id="603004632">
                  <w:marLeft w:val="0"/>
                  <w:marRight w:val="0"/>
                  <w:marTop w:val="0"/>
                  <w:marBottom w:val="0"/>
                  <w:divBdr>
                    <w:top w:val="none" w:sz="0" w:space="0" w:color="auto"/>
                    <w:left w:val="none" w:sz="0" w:space="0" w:color="auto"/>
                    <w:bottom w:val="none" w:sz="0" w:space="0" w:color="auto"/>
                    <w:right w:val="none" w:sz="0" w:space="0" w:color="auto"/>
                  </w:divBdr>
                  <w:divsChild>
                    <w:div w:id="1084837614">
                      <w:marLeft w:val="0"/>
                      <w:marRight w:val="0"/>
                      <w:marTop w:val="0"/>
                      <w:marBottom w:val="0"/>
                      <w:divBdr>
                        <w:top w:val="none" w:sz="0" w:space="0" w:color="auto"/>
                        <w:left w:val="none" w:sz="0" w:space="0" w:color="auto"/>
                        <w:bottom w:val="none" w:sz="0" w:space="0" w:color="auto"/>
                        <w:right w:val="none" w:sz="0" w:space="0" w:color="auto"/>
                      </w:divBdr>
                      <w:divsChild>
                        <w:div w:id="1277252659">
                          <w:marLeft w:val="0"/>
                          <w:marRight w:val="0"/>
                          <w:marTop w:val="0"/>
                          <w:marBottom w:val="0"/>
                          <w:divBdr>
                            <w:top w:val="none" w:sz="0" w:space="0" w:color="auto"/>
                            <w:left w:val="none" w:sz="0" w:space="0" w:color="auto"/>
                            <w:bottom w:val="none" w:sz="0" w:space="0" w:color="auto"/>
                            <w:right w:val="none" w:sz="0" w:space="0" w:color="auto"/>
                          </w:divBdr>
                          <w:divsChild>
                            <w:div w:id="1596985510">
                              <w:marLeft w:val="-225"/>
                              <w:marRight w:val="-225"/>
                              <w:marTop w:val="0"/>
                              <w:marBottom w:val="0"/>
                              <w:divBdr>
                                <w:top w:val="none" w:sz="0" w:space="0" w:color="auto"/>
                                <w:left w:val="none" w:sz="0" w:space="0" w:color="auto"/>
                                <w:bottom w:val="none" w:sz="0" w:space="0" w:color="auto"/>
                                <w:right w:val="none" w:sz="0" w:space="0" w:color="auto"/>
                              </w:divBdr>
                              <w:divsChild>
                                <w:div w:id="267006942">
                                  <w:marLeft w:val="0"/>
                                  <w:marRight w:val="0"/>
                                  <w:marTop w:val="0"/>
                                  <w:marBottom w:val="133"/>
                                  <w:divBdr>
                                    <w:top w:val="none" w:sz="0" w:space="0" w:color="auto"/>
                                    <w:left w:val="none" w:sz="0" w:space="0" w:color="auto"/>
                                    <w:bottom w:val="none" w:sz="0" w:space="0" w:color="auto"/>
                                    <w:right w:val="none" w:sz="0" w:space="0" w:color="auto"/>
                                  </w:divBdr>
                                  <w:divsChild>
                                    <w:div w:id="30232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3175261">
      <w:bodyDiv w:val="1"/>
      <w:marLeft w:val="0"/>
      <w:marRight w:val="0"/>
      <w:marTop w:val="0"/>
      <w:marBottom w:val="0"/>
      <w:divBdr>
        <w:top w:val="none" w:sz="0" w:space="0" w:color="auto"/>
        <w:left w:val="none" w:sz="0" w:space="0" w:color="auto"/>
        <w:bottom w:val="none" w:sz="0" w:space="0" w:color="auto"/>
        <w:right w:val="none" w:sz="0" w:space="0" w:color="auto"/>
      </w:divBdr>
      <w:divsChild>
        <w:div w:id="303899439">
          <w:marLeft w:val="0"/>
          <w:marRight w:val="0"/>
          <w:marTop w:val="0"/>
          <w:marBottom w:val="0"/>
          <w:divBdr>
            <w:top w:val="none" w:sz="0" w:space="0" w:color="auto"/>
            <w:left w:val="none" w:sz="0" w:space="0" w:color="auto"/>
            <w:bottom w:val="none" w:sz="0" w:space="0" w:color="auto"/>
            <w:right w:val="none" w:sz="0" w:space="0" w:color="auto"/>
          </w:divBdr>
        </w:div>
        <w:div w:id="701439095">
          <w:marLeft w:val="0"/>
          <w:marRight w:val="0"/>
          <w:marTop w:val="0"/>
          <w:marBottom w:val="0"/>
          <w:divBdr>
            <w:top w:val="none" w:sz="0" w:space="0" w:color="auto"/>
            <w:left w:val="none" w:sz="0" w:space="0" w:color="auto"/>
            <w:bottom w:val="none" w:sz="0" w:space="0" w:color="auto"/>
            <w:right w:val="none" w:sz="0" w:space="0" w:color="auto"/>
          </w:divBdr>
        </w:div>
        <w:div w:id="1441416683">
          <w:marLeft w:val="0"/>
          <w:marRight w:val="0"/>
          <w:marTop w:val="0"/>
          <w:marBottom w:val="0"/>
          <w:divBdr>
            <w:top w:val="none" w:sz="0" w:space="0" w:color="auto"/>
            <w:left w:val="none" w:sz="0" w:space="0" w:color="auto"/>
            <w:bottom w:val="none" w:sz="0" w:space="0" w:color="auto"/>
            <w:right w:val="none" w:sz="0" w:space="0" w:color="auto"/>
          </w:divBdr>
        </w:div>
        <w:div w:id="1603300060">
          <w:marLeft w:val="0"/>
          <w:marRight w:val="0"/>
          <w:marTop w:val="0"/>
          <w:marBottom w:val="0"/>
          <w:divBdr>
            <w:top w:val="none" w:sz="0" w:space="0" w:color="auto"/>
            <w:left w:val="none" w:sz="0" w:space="0" w:color="auto"/>
            <w:bottom w:val="none" w:sz="0" w:space="0" w:color="auto"/>
            <w:right w:val="none" w:sz="0" w:space="0" w:color="auto"/>
          </w:divBdr>
        </w:div>
        <w:div w:id="1743327301">
          <w:marLeft w:val="0"/>
          <w:marRight w:val="0"/>
          <w:marTop w:val="0"/>
          <w:marBottom w:val="0"/>
          <w:divBdr>
            <w:top w:val="none" w:sz="0" w:space="0" w:color="auto"/>
            <w:left w:val="none" w:sz="0" w:space="0" w:color="auto"/>
            <w:bottom w:val="none" w:sz="0" w:space="0" w:color="auto"/>
            <w:right w:val="none" w:sz="0" w:space="0" w:color="auto"/>
          </w:divBdr>
        </w:div>
      </w:divsChild>
    </w:div>
    <w:div w:id="922907523">
      <w:bodyDiv w:val="1"/>
      <w:marLeft w:val="0"/>
      <w:marRight w:val="0"/>
      <w:marTop w:val="0"/>
      <w:marBottom w:val="0"/>
      <w:divBdr>
        <w:top w:val="none" w:sz="0" w:space="0" w:color="auto"/>
        <w:left w:val="none" w:sz="0" w:space="0" w:color="auto"/>
        <w:bottom w:val="none" w:sz="0" w:space="0" w:color="auto"/>
        <w:right w:val="none" w:sz="0" w:space="0" w:color="auto"/>
      </w:divBdr>
    </w:div>
    <w:div w:id="928268341">
      <w:bodyDiv w:val="1"/>
      <w:marLeft w:val="0"/>
      <w:marRight w:val="0"/>
      <w:marTop w:val="0"/>
      <w:marBottom w:val="0"/>
      <w:divBdr>
        <w:top w:val="none" w:sz="0" w:space="0" w:color="auto"/>
        <w:left w:val="none" w:sz="0" w:space="0" w:color="auto"/>
        <w:bottom w:val="none" w:sz="0" w:space="0" w:color="auto"/>
        <w:right w:val="none" w:sz="0" w:space="0" w:color="auto"/>
      </w:divBdr>
    </w:div>
    <w:div w:id="944770525">
      <w:bodyDiv w:val="1"/>
      <w:marLeft w:val="0"/>
      <w:marRight w:val="0"/>
      <w:marTop w:val="0"/>
      <w:marBottom w:val="0"/>
      <w:divBdr>
        <w:top w:val="none" w:sz="0" w:space="0" w:color="auto"/>
        <w:left w:val="none" w:sz="0" w:space="0" w:color="auto"/>
        <w:bottom w:val="none" w:sz="0" w:space="0" w:color="auto"/>
        <w:right w:val="none" w:sz="0" w:space="0" w:color="auto"/>
      </w:divBdr>
    </w:div>
    <w:div w:id="946235517">
      <w:bodyDiv w:val="1"/>
      <w:marLeft w:val="0"/>
      <w:marRight w:val="0"/>
      <w:marTop w:val="0"/>
      <w:marBottom w:val="0"/>
      <w:divBdr>
        <w:top w:val="none" w:sz="0" w:space="0" w:color="auto"/>
        <w:left w:val="none" w:sz="0" w:space="0" w:color="auto"/>
        <w:bottom w:val="none" w:sz="0" w:space="0" w:color="auto"/>
        <w:right w:val="none" w:sz="0" w:space="0" w:color="auto"/>
      </w:divBdr>
    </w:div>
    <w:div w:id="956374190">
      <w:bodyDiv w:val="1"/>
      <w:marLeft w:val="0"/>
      <w:marRight w:val="0"/>
      <w:marTop w:val="0"/>
      <w:marBottom w:val="0"/>
      <w:divBdr>
        <w:top w:val="none" w:sz="0" w:space="0" w:color="auto"/>
        <w:left w:val="none" w:sz="0" w:space="0" w:color="auto"/>
        <w:bottom w:val="none" w:sz="0" w:space="0" w:color="auto"/>
        <w:right w:val="none" w:sz="0" w:space="0" w:color="auto"/>
      </w:divBdr>
    </w:div>
    <w:div w:id="956910310">
      <w:bodyDiv w:val="1"/>
      <w:marLeft w:val="0"/>
      <w:marRight w:val="0"/>
      <w:marTop w:val="0"/>
      <w:marBottom w:val="0"/>
      <w:divBdr>
        <w:top w:val="none" w:sz="0" w:space="0" w:color="auto"/>
        <w:left w:val="none" w:sz="0" w:space="0" w:color="auto"/>
        <w:bottom w:val="none" w:sz="0" w:space="0" w:color="auto"/>
        <w:right w:val="none" w:sz="0" w:space="0" w:color="auto"/>
      </w:divBdr>
    </w:div>
    <w:div w:id="963928851">
      <w:bodyDiv w:val="1"/>
      <w:marLeft w:val="0"/>
      <w:marRight w:val="0"/>
      <w:marTop w:val="0"/>
      <w:marBottom w:val="0"/>
      <w:divBdr>
        <w:top w:val="none" w:sz="0" w:space="0" w:color="auto"/>
        <w:left w:val="none" w:sz="0" w:space="0" w:color="auto"/>
        <w:bottom w:val="none" w:sz="0" w:space="0" w:color="auto"/>
        <w:right w:val="none" w:sz="0" w:space="0" w:color="auto"/>
      </w:divBdr>
    </w:div>
    <w:div w:id="968630805">
      <w:bodyDiv w:val="1"/>
      <w:marLeft w:val="0"/>
      <w:marRight w:val="0"/>
      <w:marTop w:val="0"/>
      <w:marBottom w:val="0"/>
      <w:divBdr>
        <w:top w:val="none" w:sz="0" w:space="0" w:color="auto"/>
        <w:left w:val="none" w:sz="0" w:space="0" w:color="auto"/>
        <w:bottom w:val="none" w:sz="0" w:space="0" w:color="auto"/>
        <w:right w:val="none" w:sz="0" w:space="0" w:color="auto"/>
      </w:divBdr>
    </w:div>
    <w:div w:id="986012970">
      <w:bodyDiv w:val="1"/>
      <w:marLeft w:val="0"/>
      <w:marRight w:val="0"/>
      <w:marTop w:val="0"/>
      <w:marBottom w:val="0"/>
      <w:divBdr>
        <w:top w:val="none" w:sz="0" w:space="0" w:color="auto"/>
        <w:left w:val="none" w:sz="0" w:space="0" w:color="auto"/>
        <w:bottom w:val="none" w:sz="0" w:space="0" w:color="auto"/>
        <w:right w:val="none" w:sz="0" w:space="0" w:color="auto"/>
      </w:divBdr>
    </w:div>
    <w:div w:id="1034117773">
      <w:bodyDiv w:val="1"/>
      <w:marLeft w:val="0"/>
      <w:marRight w:val="0"/>
      <w:marTop w:val="0"/>
      <w:marBottom w:val="0"/>
      <w:divBdr>
        <w:top w:val="none" w:sz="0" w:space="0" w:color="auto"/>
        <w:left w:val="none" w:sz="0" w:space="0" w:color="auto"/>
        <w:bottom w:val="none" w:sz="0" w:space="0" w:color="auto"/>
        <w:right w:val="none" w:sz="0" w:space="0" w:color="auto"/>
      </w:divBdr>
    </w:div>
    <w:div w:id="1035354747">
      <w:bodyDiv w:val="1"/>
      <w:marLeft w:val="0"/>
      <w:marRight w:val="0"/>
      <w:marTop w:val="0"/>
      <w:marBottom w:val="0"/>
      <w:divBdr>
        <w:top w:val="none" w:sz="0" w:space="0" w:color="auto"/>
        <w:left w:val="none" w:sz="0" w:space="0" w:color="auto"/>
        <w:bottom w:val="none" w:sz="0" w:space="0" w:color="auto"/>
        <w:right w:val="none" w:sz="0" w:space="0" w:color="auto"/>
      </w:divBdr>
    </w:div>
    <w:div w:id="1037707069">
      <w:bodyDiv w:val="1"/>
      <w:marLeft w:val="0"/>
      <w:marRight w:val="0"/>
      <w:marTop w:val="0"/>
      <w:marBottom w:val="0"/>
      <w:divBdr>
        <w:top w:val="none" w:sz="0" w:space="0" w:color="auto"/>
        <w:left w:val="none" w:sz="0" w:space="0" w:color="auto"/>
        <w:bottom w:val="none" w:sz="0" w:space="0" w:color="auto"/>
        <w:right w:val="none" w:sz="0" w:space="0" w:color="auto"/>
      </w:divBdr>
    </w:div>
    <w:div w:id="1053848113">
      <w:bodyDiv w:val="1"/>
      <w:marLeft w:val="0"/>
      <w:marRight w:val="0"/>
      <w:marTop w:val="0"/>
      <w:marBottom w:val="0"/>
      <w:divBdr>
        <w:top w:val="none" w:sz="0" w:space="0" w:color="auto"/>
        <w:left w:val="none" w:sz="0" w:space="0" w:color="auto"/>
        <w:bottom w:val="none" w:sz="0" w:space="0" w:color="auto"/>
        <w:right w:val="none" w:sz="0" w:space="0" w:color="auto"/>
      </w:divBdr>
    </w:div>
    <w:div w:id="1062874348">
      <w:bodyDiv w:val="1"/>
      <w:marLeft w:val="0"/>
      <w:marRight w:val="0"/>
      <w:marTop w:val="0"/>
      <w:marBottom w:val="0"/>
      <w:divBdr>
        <w:top w:val="none" w:sz="0" w:space="0" w:color="auto"/>
        <w:left w:val="none" w:sz="0" w:space="0" w:color="auto"/>
        <w:bottom w:val="none" w:sz="0" w:space="0" w:color="auto"/>
        <w:right w:val="none" w:sz="0" w:space="0" w:color="auto"/>
      </w:divBdr>
    </w:div>
    <w:div w:id="1089471907">
      <w:bodyDiv w:val="1"/>
      <w:marLeft w:val="0"/>
      <w:marRight w:val="0"/>
      <w:marTop w:val="0"/>
      <w:marBottom w:val="0"/>
      <w:divBdr>
        <w:top w:val="none" w:sz="0" w:space="0" w:color="auto"/>
        <w:left w:val="none" w:sz="0" w:space="0" w:color="auto"/>
        <w:bottom w:val="none" w:sz="0" w:space="0" w:color="auto"/>
        <w:right w:val="none" w:sz="0" w:space="0" w:color="auto"/>
      </w:divBdr>
    </w:div>
    <w:div w:id="1115906899">
      <w:bodyDiv w:val="1"/>
      <w:marLeft w:val="0"/>
      <w:marRight w:val="0"/>
      <w:marTop w:val="0"/>
      <w:marBottom w:val="0"/>
      <w:divBdr>
        <w:top w:val="none" w:sz="0" w:space="0" w:color="auto"/>
        <w:left w:val="none" w:sz="0" w:space="0" w:color="auto"/>
        <w:bottom w:val="none" w:sz="0" w:space="0" w:color="auto"/>
        <w:right w:val="none" w:sz="0" w:space="0" w:color="auto"/>
      </w:divBdr>
    </w:div>
    <w:div w:id="1143228947">
      <w:bodyDiv w:val="1"/>
      <w:marLeft w:val="0"/>
      <w:marRight w:val="0"/>
      <w:marTop w:val="0"/>
      <w:marBottom w:val="0"/>
      <w:divBdr>
        <w:top w:val="none" w:sz="0" w:space="0" w:color="auto"/>
        <w:left w:val="none" w:sz="0" w:space="0" w:color="auto"/>
        <w:bottom w:val="none" w:sz="0" w:space="0" w:color="auto"/>
        <w:right w:val="none" w:sz="0" w:space="0" w:color="auto"/>
      </w:divBdr>
    </w:div>
    <w:div w:id="1152714501">
      <w:bodyDiv w:val="1"/>
      <w:marLeft w:val="0"/>
      <w:marRight w:val="0"/>
      <w:marTop w:val="0"/>
      <w:marBottom w:val="0"/>
      <w:divBdr>
        <w:top w:val="none" w:sz="0" w:space="0" w:color="auto"/>
        <w:left w:val="none" w:sz="0" w:space="0" w:color="auto"/>
        <w:bottom w:val="none" w:sz="0" w:space="0" w:color="auto"/>
        <w:right w:val="none" w:sz="0" w:space="0" w:color="auto"/>
      </w:divBdr>
    </w:div>
    <w:div w:id="1165128996">
      <w:bodyDiv w:val="1"/>
      <w:marLeft w:val="0"/>
      <w:marRight w:val="0"/>
      <w:marTop w:val="0"/>
      <w:marBottom w:val="0"/>
      <w:divBdr>
        <w:top w:val="none" w:sz="0" w:space="0" w:color="auto"/>
        <w:left w:val="none" w:sz="0" w:space="0" w:color="auto"/>
        <w:bottom w:val="none" w:sz="0" w:space="0" w:color="auto"/>
        <w:right w:val="none" w:sz="0" w:space="0" w:color="auto"/>
      </w:divBdr>
      <w:divsChild>
        <w:div w:id="747119650">
          <w:marLeft w:val="0"/>
          <w:marRight w:val="0"/>
          <w:marTop w:val="0"/>
          <w:marBottom w:val="0"/>
          <w:divBdr>
            <w:top w:val="none" w:sz="0" w:space="0" w:color="auto"/>
            <w:left w:val="none" w:sz="0" w:space="0" w:color="auto"/>
            <w:bottom w:val="none" w:sz="0" w:space="0" w:color="auto"/>
            <w:right w:val="none" w:sz="0" w:space="0" w:color="auto"/>
          </w:divBdr>
          <w:divsChild>
            <w:div w:id="29321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027898">
      <w:bodyDiv w:val="1"/>
      <w:marLeft w:val="0"/>
      <w:marRight w:val="0"/>
      <w:marTop w:val="0"/>
      <w:marBottom w:val="0"/>
      <w:divBdr>
        <w:top w:val="none" w:sz="0" w:space="0" w:color="auto"/>
        <w:left w:val="none" w:sz="0" w:space="0" w:color="auto"/>
        <w:bottom w:val="none" w:sz="0" w:space="0" w:color="auto"/>
        <w:right w:val="none" w:sz="0" w:space="0" w:color="auto"/>
      </w:divBdr>
    </w:div>
    <w:div w:id="1174496443">
      <w:bodyDiv w:val="1"/>
      <w:marLeft w:val="0"/>
      <w:marRight w:val="0"/>
      <w:marTop w:val="0"/>
      <w:marBottom w:val="0"/>
      <w:divBdr>
        <w:top w:val="none" w:sz="0" w:space="0" w:color="auto"/>
        <w:left w:val="none" w:sz="0" w:space="0" w:color="auto"/>
        <w:bottom w:val="none" w:sz="0" w:space="0" w:color="auto"/>
        <w:right w:val="none" w:sz="0" w:space="0" w:color="auto"/>
      </w:divBdr>
    </w:div>
    <w:div w:id="1175148365">
      <w:bodyDiv w:val="1"/>
      <w:marLeft w:val="0"/>
      <w:marRight w:val="0"/>
      <w:marTop w:val="0"/>
      <w:marBottom w:val="0"/>
      <w:divBdr>
        <w:top w:val="none" w:sz="0" w:space="0" w:color="auto"/>
        <w:left w:val="none" w:sz="0" w:space="0" w:color="auto"/>
        <w:bottom w:val="none" w:sz="0" w:space="0" w:color="auto"/>
        <w:right w:val="none" w:sz="0" w:space="0" w:color="auto"/>
      </w:divBdr>
    </w:div>
    <w:div w:id="1202474947">
      <w:bodyDiv w:val="1"/>
      <w:marLeft w:val="0"/>
      <w:marRight w:val="0"/>
      <w:marTop w:val="0"/>
      <w:marBottom w:val="0"/>
      <w:divBdr>
        <w:top w:val="none" w:sz="0" w:space="0" w:color="auto"/>
        <w:left w:val="none" w:sz="0" w:space="0" w:color="auto"/>
        <w:bottom w:val="none" w:sz="0" w:space="0" w:color="auto"/>
        <w:right w:val="none" w:sz="0" w:space="0" w:color="auto"/>
      </w:divBdr>
    </w:div>
    <w:div w:id="1236555188">
      <w:bodyDiv w:val="1"/>
      <w:marLeft w:val="0"/>
      <w:marRight w:val="0"/>
      <w:marTop w:val="0"/>
      <w:marBottom w:val="0"/>
      <w:divBdr>
        <w:top w:val="none" w:sz="0" w:space="0" w:color="auto"/>
        <w:left w:val="none" w:sz="0" w:space="0" w:color="auto"/>
        <w:bottom w:val="none" w:sz="0" w:space="0" w:color="auto"/>
        <w:right w:val="none" w:sz="0" w:space="0" w:color="auto"/>
      </w:divBdr>
    </w:div>
    <w:div w:id="1288123358">
      <w:bodyDiv w:val="1"/>
      <w:marLeft w:val="0"/>
      <w:marRight w:val="0"/>
      <w:marTop w:val="0"/>
      <w:marBottom w:val="0"/>
      <w:divBdr>
        <w:top w:val="none" w:sz="0" w:space="0" w:color="auto"/>
        <w:left w:val="none" w:sz="0" w:space="0" w:color="auto"/>
        <w:bottom w:val="none" w:sz="0" w:space="0" w:color="auto"/>
        <w:right w:val="none" w:sz="0" w:space="0" w:color="auto"/>
      </w:divBdr>
    </w:div>
    <w:div w:id="1297103018">
      <w:bodyDiv w:val="1"/>
      <w:marLeft w:val="0"/>
      <w:marRight w:val="0"/>
      <w:marTop w:val="0"/>
      <w:marBottom w:val="0"/>
      <w:divBdr>
        <w:top w:val="none" w:sz="0" w:space="0" w:color="auto"/>
        <w:left w:val="none" w:sz="0" w:space="0" w:color="auto"/>
        <w:bottom w:val="none" w:sz="0" w:space="0" w:color="auto"/>
        <w:right w:val="none" w:sz="0" w:space="0" w:color="auto"/>
      </w:divBdr>
    </w:div>
    <w:div w:id="1304235338">
      <w:bodyDiv w:val="1"/>
      <w:marLeft w:val="0"/>
      <w:marRight w:val="0"/>
      <w:marTop w:val="0"/>
      <w:marBottom w:val="0"/>
      <w:divBdr>
        <w:top w:val="none" w:sz="0" w:space="0" w:color="auto"/>
        <w:left w:val="none" w:sz="0" w:space="0" w:color="auto"/>
        <w:bottom w:val="none" w:sz="0" w:space="0" w:color="auto"/>
        <w:right w:val="none" w:sz="0" w:space="0" w:color="auto"/>
      </w:divBdr>
    </w:div>
    <w:div w:id="1339819049">
      <w:bodyDiv w:val="1"/>
      <w:marLeft w:val="0"/>
      <w:marRight w:val="0"/>
      <w:marTop w:val="0"/>
      <w:marBottom w:val="0"/>
      <w:divBdr>
        <w:top w:val="none" w:sz="0" w:space="0" w:color="auto"/>
        <w:left w:val="none" w:sz="0" w:space="0" w:color="auto"/>
        <w:bottom w:val="none" w:sz="0" w:space="0" w:color="auto"/>
        <w:right w:val="none" w:sz="0" w:space="0" w:color="auto"/>
      </w:divBdr>
    </w:div>
    <w:div w:id="1357733554">
      <w:bodyDiv w:val="1"/>
      <w:marLeft w:val="0"/>
      <w:marRight w:val="0"/>
      <w:marTop w:val="0"/>
      <w:marBottom w:val="0"/>
      <w:divBdr>
        <w:top w:val="none" w:sz="0" w:space="0" w:color="auto"/>
        <w:left w:val="none" w:sz="0" w:space="0" w:color="auto"/>
        <w:bottom w:val="none" w:sz="0" w:space="0" w:color="auto"/>
        <w:right w:val="none" w:sz="0" w:space="0" w:color="auto"/>
      </w:divBdr>
    </w:div>
    <w:div w:id="1362894796">
      <w:bodyDiv w:val="1"/>
      <w:marLeft w:val="0"/>
      <w:marRight w:val="0"/>
      <w:marTop w:val="0"/>
      <w:marBottom w:val="0"/>
      <w:divBdr>
        <w:top w:val="none" w:sz="0" w:space="0" w:color="auto"/>
        <w:left w:val="none" w:sz="0" w:space="0" w:color="auto"/>
        <w:bottom w:val="none" w:sz="0" w:space="0" w:color="auto"/>
        <w:right w:val="none" w:sz="0" w:space="0" w:color="auto"/>
      </w:divBdr>
    </w:div>
    <w:div w:id="1368946028">
      <w:bodyDiv w:val="1"/>
      <w:marLeft w:val="0"/>
      <w:marRight w:val="0"/>
      <w:marTop w:val="0"/>
      <w:marBottom w:val="0"/>
      <w:divBdr>
        <w:top w:val="none" w:sz="0" w:space="0" w:color="auto"/>
        <w:left w:val="none" w:sz="0" w:space="0" w:color="auto"/>
        <w:bottom w:val="none" w:sz="0" w:space="0" w:color="auto"/>
        <w:right w:val="none" w:sz="0" w:space="0" w:color="auto"/>
      </w:divBdr>
    </w:div>
    <w:div w:id="1422096702">
      <w:bodyDiv w:val="1"/>
      <w:marLeft w:val="0"/>
      <w:marRight w:val="0"/>
      <w:marTop w:val="0"/>
      <w:marBottom w:val="0"/>
      <w:divBdr>
        <w:top w:val="none" w:sz="0" w:space="0" w:color="auto"/>
        <w:left w:val="none" w:sz="0" w:space="0" w:color="auto"/>
        <w:bottom w:val="none" w:sz="0" w:space="0" w:color="auto"/>
        <w:right w:val="none" w:sz="0" w:space="0" w:color="auto"/>
      </w:divBdr>
    </w:div>
    <w:div w:id="1490950157">
      <w:bodyDiv w:val="1"/>
      <w:marLeft w:val="0"/>
      <w:marRight w:val="0"/>
      <w:marTop w:val="0"/>
      <w:marBottom w:val="0"/>
      <w:divBdr>
        <w:top w:val="none" w:sz="0" w:space="0" w:color="auto"/>
        <w:left w:val="none" w:sz="0" w:space="0" w:color="auto"/>
        <w:bottom w:val="none" w:sz="0" w:space="0" w:color="auto"/>
        <w:right w:val="none" w:sz="0" w:space="0" w:color="auto"/>
      </w:divBdr>
    </w:div>
    <w:div w:id="1539122319">
      <w:bodyDiv w:val="1"/>
      <w:marLeft w:val="0"/>
      <w:marRight w:val="0"/>
      <w:marTop w:val="0"/>
      <w:marBottom w:val="0"/>
      <w:divBdr>
        <w:top w:val="none" w:sz="0" w:space="0" w:color="auto"/>
        <w:left w:val="none" w:sz="0" w:space="0" w:color="auto"/>
        <w:bottom w:val="none" w:sz="0" w:space="0" w:color="auto"/>
        <w:right w:val="none" w:sz="0" w:space="0" w:color="auto"/>
      </w:divBdr>
    </w:div>
    <w:div w:id="1554191890">
      <w:bodyDiv w:val="1"/>
      <w:marLeft w:val="0"/>
      <w:marRight w:val="0"/>
      <w:marTop w:val="0"/>
      <w:marBottom w:val="0"/>
      <w:divBdr>
        <w:top w:val="none" w:sz="0" w:space="0" w:color="auto"/>
        <w:left w:val="none" w:sz="0" w:space="0" w:color="auto"/>
        <w:bottom w:val="none" w:sz="0" w:space="0" w:color="auto"/>
        <w:right w:val="none" w:sz="0" w:space="0" w:color="auto"/>
      </w:divBdr>
    </w:div>
    <w:div w:id="1558858962">
      <w:bodyDiv w:val="1"/>
      <w:marLeft w:val="0"/>
      <w:marRight w:val="0"/>
      <w:marTop w:val="0"/>
      <w:marBottom w:val="0"/>
      <w:divBdr>
        <w:top w:val="none" w:sz="0" w:space="0" w:color="auto"/>
        <w:left w:val="none" w:sz="0" w:space="0" w:color="auto"/>
        <w:bottom w:val="none" w:sz="0" w:space="0" w:color="auto"/>
        <w:right w:val="none" w:sz="0" w:space="0" w:color="auto"/>
      </w:divBdr>
    </w:div>
    <w:div w:id="1559977806">
      <w:bodyDiv w:val="1"/>
      <w:marLeft w:val="0"/>
      <w:marRight w:val="0"/>
      <w:marTop w:val="0"/>
      <w:marBottom w:val="0"/>
      <w:divBdr>
        <w:top w:val="none" w:sz="0" w:space="0" w:color="auto"/>
        <w:left w:val="none" w:sz="0" w:space="0" w:color="auto"/>
        <w:bottom w:val="none" w:sz="0" w:space="0" w:color="auto"/>
        <w:right w:val="none" w:sz="0" w:space="0" w:color="auto"/>
      </w:divBdr>
    </w:div>
    <w:div w:id="1562906534">
      <w:bodyDiv w:val="1"/>
      <w:marLeft w:val="0"/>
      <w:marRight w:val="0"/>
      <w:marTop w:val="0"/>
      <w:marBottom w:val="0"/>
      <w:divBdr>
        <w:top w:val="none" w:sz="0" w:space="0" w:color="auto"/>
        <w:left w:val="none" w:sz="0" w:space="0" w:color="auto"/>
        <w:bottom w:val="none" w:sz="0" w:space="0" w:color="auto"/>
        <w:right w:val="none" w:sz="0" w:space="0" w:color="auto"/>
      </w:divBdr>
    </w:div>
    <w:div w:id="1579050749">
      <w:bodyDiv w:val="1"/>
      <w:marLeft w:val="0"/>
      <w:marRight w:val="0"/>
      <w:marTop w:val="0"/>
      <w:marBottom w:val="0"/>
      <w:divBdr>
        <w:top w:val="none" w:sz="0" w:space="0" w:color="auto"/>
        <w:left w:val="none" w:sz="0" w:space="0" w:color="auto"/>
        <w:bottom w:val="none" w:sz="0" w:space="0" w:color="auto"/>
        <w:right w:val="none" w:sz="0" w:space="0" w:color="auto"/>
      </w:divBdr>
    </w:div>
    <w:div w:id="1620839400">
      <w:bodyDiv w:val="1"/>
      <w:marLeft w:val="0"/>
      <w:marRight w:val="0"/>
      <w:marTop w:val="0"/>
      <w:marBottom w:val="0"/>
      <w:divBdr>
        <w:top w:val="none" w:sz="0" w:space="0" w:color="auto"/>
        <w:left w:val="none" w:sz="0" w:space="0" w:color="auto"/>
        <w:bottom w:val="none" w:sz="0" w:space="0" w:color="auto"/>
        <w:right w:val="none" w:sz="0" w:space="0" w:color="auto"/>
      </w:divBdr>
    </w:div>
    <w:div w:id="1648780793">
      <w:bodyDiv w:val="1"/>
      <w:marLeft w:val="0"/>
      <w:marRight w:val="0"/>
      <w:marTop w:val="0"/>
      <w:marBottom w:val="0"/>
      <w:divBdr>
        <w:top w:val="none" w:sz="0" w:space="0" w:color="auto"/>
        <w:left w:val="none" w:sz="0" w:space="0" w:color="auto"/>
        <w:bottom w:val="none" w:sz="0" w:space="0" w:color="auto"/>
        <w:right w:val="none" w:sz="0" w:space="0" w:color="auto"/>
      </w:divBdr>
    </w:div>
    <w:div w:id="1666124783">
      <w:bodyDiv w:val="1"/>
      <w:marLeft w:val="0"/>
      <w:marRight w:val="0"/>
      <w:marTop w:val="0"/>
      <w:marBottom w:val="0"/>
      <w:divBdr>
        <w:top w:val="none" w:sz="0" w:space="0" w:color="auto"/>
        <w:left w:val="none" w:sz="0" w:space="0" w:color="auto"/>
        <w:bottom w:val="none" w:sz="0" w:space="0" w:color="auto"/>
        <w:right w:val="none" w:sz="0" w:space="0" w:color="auto"/>
      </w:divBdr>
    </w:div>
    <w:div w:id="1674410561">
      <w:bodyDiv w:val="1"/>
      <w:marLeft w:val="0"/>
      <w:marRight w:val="0"/>
      <w:marTop w:val="0"/>
      <w:marBottom w:val="0"/>
      <w:divBdr>
        <w:top w:val="none" w:sz="0" w:space="0" w:color="auto"/>
        <w:left w:val="none" w:sz="0" w:space="0" w:color="auto"/>
        <w:bottom w:val="none" w:sz="0" w:space="0" w:color="auto"/>
        <w:right w:val="none" w:sz="0" w:space="0" w:color="auto"/>
      </w:divBdr>
    </w:div>
    <w:div w:id="1710452589">
      <w:bodyDiv w:val="1"/>
      <w:marLeft w:val="0"/>
      <w:marRight w:val="0"/>
      <w:marTop w:val="0"/>
      <w:marBottom w:val="0"/>
      <w:divBdr>
        <w:top w:val="none" w:sz="0" w:space="0" w:color="auto"/>
        <w:left w:val="none" w:sz="0" w:space="0" w:color="auto"/>
        <w:bottom w:val="none" w:sz="0" w:space="0" w:color="auto"/>
        <w:right w:val="none" w:sz="0" w:space="0" w:color="auto"/>
      </w:divBdr>
    </w:div>
    <w:div w:id="1724908724">
      <w:bodyDiv w:val="1"/>
      <w:marLeft w:val="0"/>
      <w:marRight w:val="0"/>
      <w:marTop w:val="0"/>
      <w:marBottom w:val="0"/>
      <w:divBdr>
        <w:top w:val="none" w:sz="0" w:space="0" w:color="auto"/>
        <w:left w:val="none" w:sz="0" w:space="0" w:color="auto"/>
        <w:bottom w:val="none" w:sz="0" w:space="0" w:color="auto"/>
        <w:right w:val="none" w:sz="0" w:space="0" w:color="auto"/>
      </w:divBdr>
    </w:div>
    <w:div w:id="1752777900">
      <w:bodyDiv w:val="1"/>
      <w:marLeft w:val="0"/>
      <w:marRight w:val="0"/>
      <w:marTop w:val="0"/>
      <w:marBottom w:val="0"/>
      <w:divBdr>
        <w:top w:val="none" w:sz="0" w:space="0" w:color="auto"/>
        <w:left w:val="none" w:sz="0" w:space="0" w:color="auto"/>
        <w:bottom w:val="none" w:sz="0" w:space="0" w:color="auto"/>
        <w:right w:val="none" w:sz="0" w:space="0" w:color="auto"/>
      </w:divBdr>
    </w:div>
    <w:div w:id="1762994582">
      <w:bodyDiv w:val="1"/>
      <w:marLeft w:val="0"/>
      <w:marRight w:val="0"/>
      <w:marTop w:val="0"/>
      <w:marBottom w:val="0"/>
      <w:divBdr>
        <w:top w:val="none" w:sz="0" w:space="0" w:color="auto"/>
        <w:left w:val="none" w:sz="0" w:space="0" w:color="auto"/>
        <w:bottom w:val="none" w:sz="0" w:space="0" w:color="auto"/>
        <w:right w:val="none" w:sz="0" w:space="0" w:color="auto"/>
      </w:divBdr>
    </w:div>
    <w:div w:id="1817066552">
      <w:bodyDiv w:val="1"/>
      <w:marLeft w:val="0"/>
      <w:marRight w:val="0"/>
      <w:marTop w:val="0"/>
      <w:marBottom w:val="0"/>
      <w:divBdr>
        <w:top w:val="none" w:sz="0" w:space="0" w:color="auto"/>
        <w:left w:val="none" w:sz="0" w:space="0" w:color="auto"/>
        <w:bottom w:val="none" w:sz="0" w:space="0" w:color="auto"/>
        <w:right w:val="none" w:sz="0" w:space="0" w:color="auto"/>
      </w:divBdr>
    </w:div>
    <w:div w:id="1820879658">
      <w:bodyDiv w:val="1"/>
      <w:marLeft w:val="0"/>
      <w:marRight w:val="0"/>
      <w:marTop w:val="0"/>
      <w:marBottom w:val="0"/>
      <w:divBdr>
        <w:top w:val="none" w:sz="0" w:space="0" w:color="auto"/>
        <w:left w:val="none" w:sz="0" w:space="0" w:color="auto"/>
        <w:bottom w:val="none" w:sz="0" w:space="0" w:color="auto"/>
        <w:right w:val="none" w:sz="0" w:space="0" w:color="auto"/>
      </w:divBdr>
    </w:div>
    <w:div w:id="1829976105">
      <w:bodyDiv w:val="1"/>
      <w:marLeft w:val="0"/>
      <w:marRight w:val="0"/>
      <w:marTop w:val="0"/>
      <w:marBottom w:val="0"/>
      <w:divBdr>
        <w:top w:val="none" w:sz="0" w:space="0" w:color="auto"/>
        <w:left w:val="none" w:sz="0" w:space="0" w:color="auto"/>
        <w:bottom w:val="none" w:sz="0" w:space="0" w:color="auto"/>
        <w:right w:val="none" w:sz="0" w:space="0" w:color="auto"/>
      </w:divBdr>
    </w:div>
    <w:div w:id="1835802284">
      <w:bodyDiv w:val="1"/>
      <w:marLeft w:val="0"/>
      <w:marRight w:val="0"/>
      <w:marTop w:val="0"/>
      <w:marBottom w:val="0"/>
      <w:divBdr>
        <w:top w:val="none" w:sz="0" w:space="0" w:color="auto"/>
        <w:left w:val="none" w:sz="0" w:space="0" w:color="auto"/>
        <w:bottom w:val="none" w:sz="0" w:space="0" w:color="auto"/>
        <w:right w:val="none" w:sz="0" w:space="0" w:color="auto"/>
      </w:divBdr>
    </w:div>
    <w:div w:id="1846168020">
      <w:bodyDiv w:val="1"/>
      <w:marLeft w:val="0"/>
      <w:marRight w:val="0"/>
      <w:marTop w:val="0"/>
      <w:marBottom w:val="0"/>
      <w:divBdr>
        <w:top w:val="none" w:sz="0" w:space="0" w:color="auto"/>
        <w:left w:val="none" w:sz="0" w:space="0" w:color="auto"/>
        <w:bottom w:val="none" w:sz="0" w:space="0" w:color="auto"/>
        <w:right w:val="none" w:sz="0" w:space="0" w:color="auto"/>
      </w:divBdr>
    </w:div>
    <w:div w:id="1848014453">
      <w:bodyDiv w:val="1"/>
      <w:marLeft w:val="0"/>
      <w:marRight w:val="0"/>
      <w:marTop w:val="0"/>
      <w:marBottom w:val="0"/>
      <w:divBdr>
        <w:top w:val="none" w:sz="0" w:space="0" w:color="auto"/>
        <w:left w:val="none" w:sz="0" w:space="0" w:color="auto"/>
        <w:bottom w:val="none" w:sz="0" w:space="0" w:color="auto"/>
        <w:right w:val="none" w:sz="0" w:space="0" w:color="auto"/>
      </w:divBdr>
    </w:div>
    <w:div w:id="1857621644">
      <w:bodyDiv w:val="1"/>
      <w:marLeft w:val="0"/>
      <w:marRight w:val="0"/>
      <w:marTop w:val="0"/>
      <w:marBottom w:val="0"/>
      <w:divBdr>
        <w:top w:val="none" w:sz="0" w:space="0" w:color="auto"/>
        <w:left w:val="none" w:sz="0" w:space="0" w:color="auto"/>
        <w:bottom w:val="none" w:sz="0" w:space="0" w:color="auto"/>
        <w:right w:val="none" w:sz="0" w:space="0" w:color="auto"/>
      </w:divBdr>
    </w:div>
    <w:div w:id="1870487796">
      <w:bodyDiv w:val="1"/>
      <w:marLeft w:val="0"/>
      <w:marRight w:val="0"/>
      <w:marTop w:val="0"/>
      <w:marBottom w:val="0"/>
      <w:divBdr>
        <w:top w:val="none" w:sz="0" w:space="0" w:color="auto"/>
        <w:left w:val="none" w:sz="0" w:space="0" w:color="auto"/>
        <w:bottom w:val="none" w:sz="0" w:space="0" w:color="auto"/>
        <w:right w:val="none" w:sz="0" w:space="0" w:color="auto"/>
      </w:divBdr>
    </w:div>
    <w:div w:id="1874463715">
      <w:bodyDiv w:val="1"/>
      <w:marLeft w:val="0"/>
      <w:marRight w:val="0"/>
      <w:marTop w:val="0"/>
      <w:marBottom w:val="0"/>
      <w:divBdr>
        <w:top w:val="none" w:sz="0" w:space="0" w:color="auto"/>
        <w:left w:val="none" w:sz="0" w:space="0" w:color="auto"/>
        <w:bottom w:val="none" w:sz="0" w:space="0" w:color="auto"/>
        <w:right w:val="none" w:sz="0" w:space="0" w:color="auto"/>
      </w:divBdr>
    </w:div>
    <w:div w:id="1938515457">
      <w:bodyDiv w:val="1"/>
      <w:marLeft w:val="0"/>
      <w:marRight w:val="0"/>
      <w:marTop w:val="0"/>
      <w:marBottom w:val="0"/>
      <w:divBdr>
        <w:top w:val="none" w:sz="0" w:space="0" w:color="auto"/>
        <w:left w:val="none" w:sz="0" w:space="0" w:color="auto"/>
        <w:bottom w:val="none" w:sz="0" w:space="0" w:color="auto"/>
        <w:right w:val="none" w:sz="0" w:space="0" w:color="auto"/>
      </w:divBdr>
    </w:div>
    <w:div w:id="1975064939">
      <w:bodyDiv w:val="1"/>
      <w:marLeft w:val="0"/>
      <w:marRight w:val="0"/>
      <w:marTop w:val="0"/>
      <w:marBottom w:val="0"/>
      <w:divBdr>
        <w:top w:val="none" w:sz="0" w:space="0" w:color="auto"/>
        <w:left w:val="none" w:sz="0" w:space="0" w:color="auto"/>
        <w:bottom w:val="none" w:sz="0" w:space="0" w:color="auto"/>
        <w:right w:val="none" w:sz="0" w:space="0" w:color="auto"/>
      </w:divBdr>
    </w:div>
    <w:div w:id="2030639721">
      <w:bodyDiv w:val="1"/>
      <w:marLeft w:val="0"/>
      <w:marRight w:val="0"/>
      <w:marTop w:val="0"/>
      <w:marBottom w:val="0"/>
      <w:divBdr>
        <w:top w:val="none" w:sz="0" w:space="0" w:color="auto"/>
        <w:left w:val="none" w:sz="0" w:space="0" w:color="auto"/>
        <w:bottom w:val="none" w:sz="0" w:space="0" w:color="auto"/>
        <w:right w:val="none" w:sz="0" w:space="0" w:color="auto"/>
      </w:divBdr>
    </w:div>
    <w:div w:id="2036493993">
      <w:bodyDiv w:val="1"/>
      <w:marLeft w:val="0"/>
      <w:marRight w:val="0"/>
      <w:marTop w:val="0"/>
      <w:marBottom w:val="0"/>
      <w:divBdr>
        <w:top w:val="none" w:sz="0" w:space="0" w:color="auto"/>
        <w:left w:val="none" w:sz="0" w:space="0" w:color="auto"/>
        <w:bottom w:val="none" w:sz="0" w:space="0" w:color="auto"/>
        <w:right w:val="none" w:sz="0" w:space="0" w:color="auto"/>
      </w:divBdr>
    </w:div>
    <w:div w:id="2047292501">
      <w:bodyDiv w:val="1"/>
      <w:marLeft w:val="0"/>
      <w:marRight w:val="0"/>
      <w:marTop w:val="0"/>
      <w:marBottom w:val="0"/>
      <w:divBdr>
        <w:top w:val="none" w:sz="0" w:space="0" w:color="auto"/>
        <w:left w:val="none" w:sz="0" w:space="0" w:color="auto"/>
        <w:bottom w:val="none" w:sz="0" w:space="0" w:color="auto"/>
        <w:right w:val="none" w:sz="0" w:space="0" w:color="auto"/>
      </w:divBdr>
    </w:div>
    <w:div w:id="2067218424">
      <w:bodyDiv w:val="1"/>
      <w:marLeft w:val="0"/>
      <w:marRight w:val="0"/>
      <w:marTop w:val="0"/>
      <w:marBottom w:val="0"/>
      <w:divBdr>
        <w:top w:val="none" w:sz="0" w:space="0" w:color="auto"/>
        <w:left w:val="none" w:sz="0" w:space="0" w:color="auto"/>
        <w:bottom w:val="none" w:sz="0" w:space="0" w:color="auto"/>
        <w:right w:val="none" w:sz="0" w:space="0" w:color="auto"/>
      </w:divBdr>
    </w:div>
    <w:div w:id="2087726406">
      <w:bodyDiv w:val="1"/>
      <w:marLeft w:val="0"/>
      <w:marRight w:val="0"/>
      <w:marTop w:val="0"/>
      <w:marBottom w:val="0"/>
      <w:divBdr>
        <w:top w:val="none" w:sz="0" w:space="0" w:color="auto"/>
        <w:left w:val="none" w:sz="0" w:space="0" w:color="auto"/>
        <w:bottom w:val="none" w:sz="0" w:space="0" w:color="auto"/>
        <w:right w:val="none" w:sz="0" w:space="0" w:color="auto"/>
      </w:divBdr>
    </w:div>
    <w:div w:id="214723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header" Target="header14.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header" Target="header11.xml"/><Relationship Id="rId42" Type="http://schemas.openxmlformats.org/officeDocument/2006/relationships/header" Target="header15.xml"/><Relationship Id="rId47" Type="http://schemas.openxmlformats.org/officeDocument/2006/relationships/footer" Target="footer17.xml"/><Relationship Id="rId50"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hart" Target="charts/chart2.xml"/><Relationship Id="rId33" Type="http://schemas.openxmlformats.org/officeDocument/2006/relationships/footer" Target="footer10.xml"/><Relationship Id="rId38" Type="http://schemas.openxmlformats.org/officeDocument/2006/relationships/header" Target="header13.xml"/><Relationship Id="rId46" Type="http://schemas.openxmlformats.org/officeDocument/2006/relationships/header" Target="header1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chart" Target="charts/chart1.xml"/><Relationship Id="rId32" Type="http://schemas.openxmlformats.org/officeDocument/2006/relationships/header" Target="header10.xml"/><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footer" Target="footer1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9.xml"/><Relationship Id="rId44" Type="http://schemas.openxmlformats.org/officeDocument/2006/relationships/header" Target="header1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fontTable" Target="fontTable.xml"/><Relationship Id="rId8" Type="http://schemas.openxmlformats.org/officeDocument/2006/relationships/webSettings" Target="webSettings.xml"/><Relationship Id="rId51" Type="http://schemas.microsoft.com/office/2020/10/relationships/intelligence" Target="intelligence2.xml"/></Relationships>
</file>

<file path=word/charts/_rels/chart1.xml.rels><?xml version="1.0" encoding="UTF-8" standalone="yes"?>
<Relationships xmlns="http://schemas.openxmlformats.org/package/2006/relationships"><Relationship Id="rId3" Type="http://schemas.openxmlformats.org/officeDocument/2006/relationships/oleObject" Target="file:///\\dossiers.dgt.cec.eu.int\dossiers\BUDG\BUDG-2026-00711\BUDG-2026-00711-00-00-FR-SRC-00.2026072213260866159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ossiers.dgt.cec.eu.int\dossiers\BUDG\BUDG-2026-00711\BUDG-2026-00711-00-00-FR-SRC-00.20260722132608661599.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graph_1_data!$B$4</c:f>
              <c:strCache>
                <c:ptCount val="1"/>
                <c:pt idx="0">
                  <c:v>Engagements antérieurs à 2021</c:v>
                </c:pt>
              </c:strCache>
            </c:strRef>
          </c:tx>
          <c:spPr>
            <a:solidFill>
              <a:schemeClr val="accent5"/>
            </a:solidFill>
            <a:ln>
              <a:noFill/>
            </a:ln>
            <a:effectLst/>
          </c:spPr>
          <c:invertIfNegative val="0"/>
          <c:cat>
            <c:numRef>
              <c:f>graph_1_data!$C$3:$J$3</c:f>
              <c:numCache>
                <c:formatCode>General</c:formatCode>
                <c:ptCount val="8"/>
                <c:pt idx="0">
                  <c:v>2027</c:v>
                </c:pt>
                <c:pt idx="1">
                  <c:v>2028</c:v>
                </c:pt>
                <c:pt idx="2">
                  <c:v>2029</c:v>
                </c:pt>
                <c:pt idx="3">
                  <c:v>2030</c:v>
                </c:pt>
                <c:pt idx="4">
                  <c:v>2031</c:v>
                </c:pt>
                <c:pt idx="5">
                  <c:v>2032</c:v>
                </c:pt>
                <c:pt idx="6">
                  <c:v>2033</c:v>
                </c:pt>
                <c:pt idx="7">
                  <c:v>2034</c:v>
                </c:pt>
              </c:numCache>
            </c:numRef>
          </c:cat>
          <c:val>
            <c:numRef>
              <c:f>graph_1_data!$C$4:$J$4</c:f>
              <c:numCache>
                <c:formatCode>##\ ##0.0</c:formatCode>
                <c:ptCount val="8"/>
                <c:pt idx="0">
                  <c:v>1.705251012</c:v>
                </c:pt>
                <c:pt idx="1">
                  <c:v>1.373878221</c:v>
                </c:pt>
                <c:pt idx="2">
                  <c:v>0.93206007200000007</c:v>
                </c:pt>
                <c:pt idx="3">
                  <c:v>0.75217986299999995</c:v>
                </c:pt>
                <c:pt idx="4">
                  <c:v>0.44765226599999997</c:v>
                </c:pt>
                <c:pt idx="5">
                  <c:v>0.45744308119999999</c:v>
                </c:pt>
                <c:pt idx="6">
                  <c:v>0.19604703479999996</c:v>
                </c:pt>
                <c:pt idx="7">
                  <c:v>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1C26-423F-9CC2-9B786D1C3245}"/>
            </c:ext>
          </c:extLst>
        </c:ser>
        <c:ser>
          <c:idx val="1"/>
          <c:order val="1"/>
          <c:tx>
            <c:strRef>
              <c:f>graph_1_data!$B$5</c:f>
              <c:strCache>
                <c:ptCount val="1"/>
                <c:pt idx="0">
                  <c:v>Engagements 2021-2027</c:v>
                </c:pt>
              </c:strCache>
            </c:strRef>
          </c:tx>
          <c:spPr>
            <a:solidFill>
              <a:schemeClr val="accent2"/>
            </a:solidFill>
            <a:ln>
              <a:noFill/>
            </a:ln>
            <a:effectLst/>
          </c:spPr>
          <c:invertIfNegative val="0"/>
          <c:cat>
            <c:numRef>
              <c:f>graph_1_data!$C$3:$J$3</c:f>
              <c:numCache>
                <c:formatCode>General</c:formatCode>
                <c:ptCount val="8"/>
                <c:pt idx="0">
                  <c:v>2027</c:v>
                </c:pt>
                <c:pt idx="1">
                  <c:v>2028</c:v>
                </c:pt>
                <c:pt idx="2">
                  <c:v>2029</c:v>
                </c:pt>
                <c:pt idx="3">
                  <c:v>2030</c:v>
                </c:pt>
                <c:pt idx="4">
                  <c:v>2031</c:v>
                </c:pt>
                <c:pt idx="5">
                  <c:v>2032</c:v>
                </c:pt>
                <c:pt idx="6">
                  <c:v>2033</c:v>
                </c:pt>
                <c:pt idx="7">
                  <c:v>2034</c:v>
                </c:pt>
              </c:numCache>
            </c:numRef>
          </c:cat>
          <c:val>
            <c:numRef>
              <c:f>graph_1_data!$C$5:$J$5</c:f>
              <c:numCache>
                <c:formatCode>##\ ##0.0</c:formatCode>
                <c:ptCount val="8"/>
                <c:pt idx="0">
                  <c:v>210.26946739300001</c:v>
                </c:pt>
                <c:pt idx="1">
                  <c:v>121.65687238420448</c:v>
                </c:pt>
                <c:pt idx="2">
                  <c:v>94.520925276584563</c:v>
                </c:pt>
                <c:pt idx="3">
                  <c:v>70.887295686072591</c:v>
                </c:pt>
                <c:pt idx="4">
                  <c:v>15.61249525516274</c:v>
                </c:pt>
                <c:pt idx="5">
                  <c:v>9.8164097260113685</c:v>
                </c:pt>
                <c:pt idx="6">
                  <c:v>4.207032739719156</c:v>
                </c:pt>
                <c:pt idx="7">
                  <c:v>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1C26-423F-9CC2-9B786D1C3245}"/>
            </c:ext>
          </c:extLst>
        </c:ser>
        <c:ser>
          <c:idx val="2"/>
          <c:order val="2"/>
          <c:tx>
            <c:strRef>
              <c:f>graph_1_data!$B$6</c:f>
              <c:strCache>
                <c:ptCount val="1"/>
                <c:pt idx="0">
                  <c:v>Engagements 2028-2034</c:v>
                </c:pt>
              </c:strCache>
            </c:strRef>
          </c:tx>
          <c:spPr>
            <a:solidFill>
              <a:srgbClr val="0033CC"/>
            </a:solidFill>
            <a:ln>
              <a:noFill/>
            </a:ln>
            <a:effectLst/>
          </c:spPr>
          <c:invertIfNegative val="0"/>
          <c:cat>
            <c:numRef>
              <c:f>graph_1_data!$C$3:$J$3</c:f>
              <c:numCache>
                <c:formatCode>General</c:formatCode>
                <c:ptCount val="8"/>
                <c:pt idx="0">
                  <c:v>2027</c:v>
                </c:pt>
                <c:pt idx="1">
                  <c:v>2028</c:v>
                </c:pt>
                <c:pt idx="2">
                  <c:v>2029</c:v>
                </c:pt>
                <c:pt idx="3">
                  <c:v>2030</c:v>
                </c:pt>
                <c:pt idx="4">
                  <c:v>2031</c:v>
                </c:pt>
                <c:pt idx="5">
                  <c:v>2032</c:v>
                </c:pt>
                <c:pt idx="6">
                  <c:v>2033</c:v>
                </c:pt>
                <c:pt idx="7">
                  <c:v>2034</c:v>
                </c:pt>
              </c:numCache>
            </c:numRef>
          </c:cat>
          <c:val>
            <c:numRef>
              <c:f>graph_1_data!$C$6:$J$6</c:f>
              <c:numCache>
                <c:formatCode>##\ ##0.0</c:formatCode>
                <c:ptCount val="8"/>
                <c:pt idx="1">
                  <c:v>142.5517374577887</c:v>
                </c:pt>
                <c:pt idx="2">
                  <c:v>188.68021361409671</c:v>
                </c:pt>
                <c:pt idx="3">
                  <c:v>239.04363022326126</c:v>
                </c:pt>
                <c:pt idx="4">
                  <c:v>255.95897587431202</c:v>
                </c:pt>
                <c:pt idx="5">
                  <c:v>273.16723447011651</c:v>
                </c:pt>
                <c:pt idx="6">
                  <c:v>274.13513092759752</c:v>
                </c:pt>
                <c:pt idx="7">
                  <c:v>267.48207743282728</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1C26-423F-9CC2-9B786D1C3245}"/>
            </c:ext>
          </c:extLst>
        </c:ser>
        <c:dLbls>
          <c:showLegendKey val="0"/>
          <c:showVal val="0"/>
          <c:showCatName val="0"/>
          <c:showSerName val="0"/>
          <c:showPercent val="0"/>
          <c:showBubbleSize val="0"/>
        </c:dLbls>
        <c:gapWidth val="150"/>
        <c:overlap val="100"/>
        <c:axId val="703899503"/>
        <c:axId val="703901423"/>
      </c:barChart>
      <c:catAx>
        <c:axId val="703899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3901423"/>
        <c:crosses val="autoZero"/>
        <c:auto val="1"/>
        <c:lblAlgn val="ctr"/>
        <c:lblOffset val="100"/>
        <c:noMultiLvlLbl val="0"/>
      </c:catAx>
      <c:valAx>
        <c:axId val="703901423"/>
        <c:scaling>
          <c:orientation val="minMax"/>
          <c:max val="350"/>
        </c:scaling>
        <c:delete val="0"/>
        <c:axPos val="l"/>
        <c:numFmt formatCode="#\ ##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3899503"/>
        <c:crosses val="autoZero"/>
        <c:crossBetween val="between"/>
      </c:valAx>
      <c:spPr>
        <a:noFill/>
        <a:ln>
          <a:noFill/>
        </a:ln>
        <a:effectLst/>
      </c:spPr>
    </c:plotArea>
    <c:legend>
      <c:legendPos val="b"/>
      <c:layout>
        <c:manualLayout>
          <c:xMode val="edge"/>
          <c:yMode val="edge"/>
          <c:x val="1.6370270349179886E-2"/>
          <c:y val="0.82291557305336838"/>
          <c:w val="0.97004718208182894"/>
          <c:h val="0.1493066491688538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1"/>
          <c:tx>
            <c:strRef>
              <c:f>graph_2_data!$B$7</c:f>
              <c:strCache>
                <c:ptCount val="1"/>
                <c:pt idx="0">
                  <c:v>Besoins de paiements</c:v>
                </c:pt>
              </c:strCache>
            </c:strRef>
          </c:tx>
          <c:spPr>
            <a:solidFill>
              <a:srgbClr val="0033CC"/>
            </a:solidFill>
            <a:ln w="25400">
              <a:noFill/>
            </a:ln>
            <a:effectLst/>
          </c:spPr>
          <c:invertIfNegative val="0"/>
          <c:cat>
            <c:numRef>
              <c:f>graph_2_data!$C$3:$J$3</c:f>
              <c:numCache>
                <c:formatCode>General</c:formatCode>
                <c:ptCount val="8"/>
                <c:pt idx="0">
                  <c:v>2027</c:v>
                </c:pt>
                <c:pt idx="1">
                  <c:v>2028</c:v>
                </c:pt>
                <c:pt idx="2">
                  <c:v>2029</c:v>
                </c:pt>
                <c:pt idx="3">
                  <c:v>2030</c:v>
                </c:pt>
                <c:pt idx="4">
                  <c:v>2031</c:v>
                </c:pt>
                <c:pt idx="5">
                  <c:v>2032</c:v>
                </c:pt>
                <c:pt idx="6">
                  <c:v>2033</c:v>
                </c:pt>
                <c:pt idx="7">
                  <c:v>2034</c:v>
                </c:pt>
              </c:numCache>
            </c:numRef>
          </c:cat>
          <c:val>
            <c:numRef>
              <c:f>graph_2_data!$C$7:$J$7</c:f>
              <c:numCache>
                <c:formatCode>##\ ##0.0</c:formatCode>
                <c:ptCount val="8"/>
                <c:pt idx="0">
                  <c:v>211.97471840499998</c:v>
                </c:pt>
                <c:pt idx="1">
                  <c:v>265.58981350900001</c:v>
                </c:pt>
                <c:pt idx="2">
                  <c:v>284.13306500000004</c:v>
                </c:pt>
                <c:pt idx="3">
                  <c:v>310.68299999999999</c:v>
                </c:pt>
                <c:pt idx="4">
                  <c:v>272.01900000000001</c:v>
                </c:pt>
                <c:pt idx="5">
                  <c:v>283.44099999999997</c:v>
                </c:pt>
                <c:pt idx="6">
                  <c:v>278.53800000000001</c:v>
                </c:pt>
                <c:pt idx="7">
                  <c:v>267.48200000000003</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F330-4809-9A8E-47ADBB74E8E6}"/>
            </c:ext>
          </c:extLst>
        </c:ser>
        <c:dLbls>
          <c:showLegendKey val="0"/>
          <c:showVal val="0"/>
          <c:showCatName val="0"/>
          <c:showSerName val="0"/>
          <c:showPercent val="0"/>
          <c:showBubbleSize val="0"/>
        </c:dLbls>
        <c:gapWidth val="150"/>
        <c:overlap val="100"/>
        <c:axId val="1992239903"/>
        <c:axId val="1992244223"/>
      </c:barChart>
      <c:lineChart>
        <c:grouping val="standard"/>
        <c:varyColors val="0"/>
        <c:ser>
          <c:idx val="2"/>
          <c:order val="0"/>
          <c:tx>
            <c:strRef>
              <c:f>graph_2_data!$B$6</c:f>
              <c:strCache>
                <c:ptCount val="1"/>
                <c:pt idx="0">
                  <c:v>Plafond des paiements y compris instruments spéciaux</c:v>
                </c:pt>
              </c:strCache>
            </c:strRef>
          </c:tx>
          <c:spPr>
            <a:ln w="28575" cap="rnd">
              <a:noFill/>
              <a:round/>
            </a:ln>
            <a:effectLst/>
          </c:spPr>
          <c:marker>
            <c:symbol val="dash"/>
            <c:size val="10"/>
            <c:spPr>
              <a:solidFill>
                <a:schemeClr val="accent2"/>
              </a:solidFill>
              <a:ln w="9525">
                <a:noFill/>
              </a:ln>
              <a:effectLst/>
            </c:spPr>
          </c:marker>
          <c:val>
            <c:numRef>
              <c:f>graph_2_data!$C$6:$J$6</c:f>
              <c:numCache>
                <c:formatCode>##\ ##0.0</c:formatCode>
                <c:ptCount val="8"/>
                <c:pt idx="0">
                  <c:v>212.47550220800002</c:v>
                </c:pt>
                <c:pt idx="1">
                  <c:v>270.67081350900003</c:v>
                </c:pt>
                <c:pt idx="2">
                  <c:v>301.01306500000004</c:v>
                </c:pt>
                <c:pt idx="3">
                  <c:v>297.08799999999997</c:v>
                </c:pt>
                <c:pt idx="4">
                  <c:v>292.79199999999997</c:v>
                </c:pt>
                <c:pt idx="5">
                  <c:v>277.40600000000001</c:v>
                </c:pt>
                <c:pt idx="6">
                  <c:v>274.66199999999998</c:v>
                </c:pt>
                <c:pt idx="7">
                  <c:v>267.48</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F330-4809-9A8E-47ADBB74E8E6}"/>
            </c:ext>
          </c:extLst>
        </c:ser>
        <c:dLbls>
          <c:showLegendKey val="0"/>
          <c:showVal val="0"/>
          <c:showCatName val="0"/>
          <c:showSerName val="0"/>
          <c:showPercent val="0"/>
          <c:showBubbleSize val="0"/>
        </c:dLbls>
        <c:marker val="1"/>
        <c:smooth val="0"/>
        <c:axId val="1992239903"/>
        <c:axId val="1992244223"/>
      </c:lineChart>
      <c:catAx>
        <c:axId val="19922399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2244223"/>
        <c:crosses val="autoZero"/>
        <c:auto val="1"/>
        <c:lblAlgn val="ctr"/>
        <c:lblOffset val="100"/>
        <c:noMultiLvlLbl val="0"/>
      </c:catAx>
      <c:valAx>
        <c:axId val="1992244223"/>
        <c:scaling>
          <c:orientation val="minMax"/>
          <c:min val="150"/>
        </c:scaling>
        <c:delete val="0"/>
        <c:axPos val="l"/>
        <c:numFmt formatCode="##\ ##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22399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8DFCC1C1-DC7F-4239-B05C-15C1EE3053B9}">
    <t:Anchor>
      <t:Comment id="1229335686"/>
    </t:Anchor>
    <t:History>
      <t:Event time="2025-05-27T12:50:46.268Z" id="{102B51A1-4137-41DC-AFE0-4B3C46288920}">
        <t:Attribution userId="S::louk.hoffmans@ec.europa.eu::88d42cfc-6f4d-4a58-be4a-0e9321e56e81" userName="HOFFMANS Louk (BUDG)" userProvider="AD"/>
        <t:Anchor>
          <t:Comment id="1229335686"/>
        </t:Anchor>
        <t:Create/>
      </t:Event>
      <t:Event time="2025-05-27T12:50:46.268Z" id="{B075C9F2-B974-4D53-8AC8-FCBB0C976D3C}">
        <t:Attribution userId="S::louk.hoffmans@ec.europa.eu::88d42cfc-6f4d-4a58-be4a-0e9321e56e81" userName="HOFFMANS Louk (BUDG)" userProvider="AD"/>
        <t:Anchor>
          <t:Comment id="1229335686"/>
        </t:Anchor>
        <t:Assign userId="S::Andrei.MORARU@ec.europa.eu::5acbf149-e8cc-427b-a727-98c39b40d6a4" userName="MORARU Andrei (BUDG)" userProvider="AD"/>
      </t:Event>
      <t:Event time="2025-05-27T12:50:46.268Z" id="{F2E828D3-6C4C-4E0C-9923-0C615D662E9E}">
        <t:Attribution userId="S::louk.hoffmans@ec.europa.eu::88d42cfc-6f4d-4a58-be4a-0e9321e56e81" userName="HOFFMANS Louk (BUDG)" userProvider="AD"/>
        <t:Anchor>
          <t:Comment id="1229335686"/>
        </t:Anchor>
        <t:SetTitle title="@MORARU Andrei (BUDG) what exactly do we use as cut-off date?"/>
      </t:Event>
    </t:History>
  </t:Task>
</t:Tasks>
</file>

<file path=word/theme/theme1.xml><?xml version="1.0" encoding="utf-8"?>
<a:theme xmlns:a="http://schemas.openxmlformats.org/drawingml/2006/main" name="Office Theme">
  <a:themeElements>
    <a:clrScheme name="Custom 1">
      <a:dk1>
        <a:srgbClr val="000000"/>
      </a:dk1>
      <a:lt1>
        <a:sysClr val="window" lastClr="FFFFFF"/>
      </a:lt1>
      <a:dk2>
        <a:srgbClr val="003399"/>
      </a:dk2>
      <a:lt2>
        <a:srgbClr val="F3F7FF"/>
      </a:lt2>
      <a:accent1>
        <a:srgbClr val="008139"/>
      </a:accent1>
      <a:accent2>
        <a:srgbClr val="DE6002"/>
      </a:accent2>
      <a:accent3>
        <a:srgbClr val="2688FE"/>
      </a:accent3>
      <a:accent4>
        <a:srgbClr val="FDAB07"/>
      </a:accent4>
      <a:accent5>
        <a:srgbClr val="DC165D"/>
      </a:accent5>
      <a:accent6>
        <a:srgbClr val="7030A0"/>
      </a:accent6>
      <a:hlink>
        <a:srgbClr val="003399"/>
      </a:hlink>
      <a:folHlink>
        <a:srgbClr val="003399"/>
      </a:folHlink>
    </a:clrScheme>
    <a:fontScheme name="FONT EC Square">
      <a:majorFont>
        <a:latin typeface="EC Square Sans Pro"/>
        <a:ea typeface=""/>
        <a:cs typeface=""/>
      </a:majorFont>
      <a:minorFont>
        <a:latin typeface="EC Squar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6d4cde7-209b-4353-8904-a6d145be66ae" xsi:nil="true"/>
    <lcf76f155ced4ddcb4097134ff3c332f xmlns="8e58f9bf-af8e-457a-8b79-61fccd4d6d5f">
      <Terms xmlns="http://schemas.microsoft.com/office/infopath/2007/PartnerControls"/>
    </lcf76f155ced4ddcb4097134ff3c332f>
    <ApprovalStep xmlns="8e58f9bf-af8e-457a-8b79-61fccd4d6d5f">In Progress</ApprovalStep>
    <_x0054_ag2 xmlns="8e58f9bf-af8e-457a-8b79-61fccd4d6d5f">Report communication</_x0054_ag2>
    <MemberStates xmlns="8e58f9bf-af8e-457a-8b79-61fccd4d6d5f" xsi:nil="true"/>
    <Tag_06 xmlns="8e58f9bf-af8e-457a-8b79-61fccd4d6d5f">External stakeholders</Tag_06>
    <Sensitive xmlns="8e58f9bf-af8e-457a-8b79-61fccd4d6d5f" xsi:nil="true"/>
    <Tag_05 xmlns="8e58f9bf-af8e-457a-8b79-61fccd4d6d5f">MFF Preparation</Tag_05>
    <Year xmlns="8e58f9bf-af8e-457a-8b79-61fccd4d6d5f">2026</Year>
    <_x0054_ag1 xmlns="8e58f9bf-af8e-457a-8b79-61fccd4d6d5f">Communication</_x0054_ag1>
    <Tag_03 xmlns="8e58f9bf-af8e-457a-8b79-61fccd4d6d5f">2028-2034</Tag_03>
    <Tag_04 xmlns="8e58f9bf-af8e-457a-8b79-61fccd4d6d5f">Long-term payment forecast</Tag_04>
    <_x0054_ag8 xmlns="8e58f9bf-af8e-457a-8b79-61fccd4d6d5f" xsi:nil="true"/>
    <Tag_07 xmlns="8e58f9bf-af8e-457a-8b79-61fccd4d6d5f">LTPF 2027-2034</Tag_07>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5BD0826AAE22F4CB9B703218939610D" ma:contentTypeVersion="23" ma:contentTypeDescription="Create a new document." ma:contentTypeScope="" ma:versionID="0e4bc2abd81eb83ce38ac982e3c03f2b">
  <xsd:schema xmlns:xsd="http://www.w3.org/2001/XMLSchema" xmlns:xs="http://www.w3.org/2001/XMLSchema" xmlns:p="http://schemas.microsoft.com/office/2006/metadata/properties" xmlns:ns2="8e58f9bf-af8e-457a-8b79-61fccd4d6d5f" xmlns:ns3="b6d4cde7-209b-4353-8904-a6d145be66ae" targetNamespace="http://schemas.microsoft.com/office/2006/metadata/properties" ma:root="true" ma:fieldsID="aa1c0422f854eb23b042c5cec2109e69" ns2:_="" ns3:_="">
    <xsd:import namespace="8e58f9bf-af8e-457a-8b79-61fccd4d6d5f"/>
    <xsd:import namespace="b6d4cde7-209b-4353-8904-a6d145be66ae"/>
    <xsd:element name="properties">
      <xsd:complexType>
        <xsd:sequence>
          <xsd:element name="documentManagement">
            <xsd:complexType>
              <xsd:all>
                <xsd:element ref="ns2:_x0054_ag1" minOccurs="0"/>
                <xsd:element ref="ns2:_x0054_ag2" minOccurs="0"/>
                <xsd:element ref="ns2:Tag_03" minOccurs="0"/>
                <xsd:element ref="ns2:Tag_04" minOccurs="0"/>
                <xsd:element ref="ns2:Tag_05" minOccurs="0"/>
                <xsd:element ref="ns2:Tag_06" minOccurs="0"/>
                <xsd:element ref="ns2:Tag_07" minOccurs="0"/>
                <xsd:element ref="ns2:_x0054_ag8" minOccurs="0"/>
                <xsd:element ref="ns2:Year" minOccurs="0"/>
                <xsd:element ref="ns2:ApprovalStep" minOccurs="0"/>
                <xsd:element ref="ns2:MediaServiceMetadata" minOccurs="0"/>
                <xsd:element ref="ns2:MediaServiceFastMetadata" minOccurs="0"/>
                <xsd:element ref="ns2:MediaServiceSearchProperties" minOccurs="0"/>
                <xsd:element ref="ns2:MediaServiceObjectDetectorVersions" minOccurs="0"/>
                <xsd:element ref="ns2:MemberStates" minOccurs="0"/>
                <xsd:element ref="ns2:Sensitive"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58f9bf-af8e-457a-8b79-61fccd4d6d5f" elementFormDefault="qualified">
    <xsd:import namespace="http://schemas.microsoft.com/office/2006/documentManagement/types"/>
    <xsd:import namespace="http://schemas.microsoft.com/office/infopath/2007/PartnerControls"/>
    <xsd:element name="_x0054_ag1" ma:index="8" nillable="true" ma:displayName="Document Type" ma:format="Dropdown" ma:internalName="_x0054_ag1">
      <xsd:simpleType>
        <xsd:union memberTypes="dms:Text">
          <xsd:simpleType>
            <xsd:restriction base="dms:Choice">
              <xsd:enumeration value="Attendance Report"/>
              <xsd:enumeration value="Technical Paper"/>
              <xsd:enumeration value="Presentation"/>
              <xsd:enumeration value="Briefing"/>
              <xsd:enumeration value="Issues Note"/>
              <xsd:enumeration value="Note"/>
              <xsd:enumeration value="Meeting Report"/>
              <xsd:enumeration value="Spreadsheet"/>
              <xsd:enumeration value="Calendar"/>
              <xsd:enumeration value="Non-paper"/>
              <xsd:enumeration value="Working document"/>
              <xsd:enumeration value="Official reply"/>
              <xsd:enumeration value="LTT / Defensive"/>
              <xsd:enumeration value="MFF Country Fiche"/>
              <xsd:enumeration value="Resolution"/>
              <xsd:enumeration value="Negotiating box"/>
              <xsd:enumeration value="Procedure"/>
              <xsd:enumeration value="Vademecum"/>
              <xsd:enumeration value="Regulation"/>
              <xsd:enumeration value="Directive"/>
              <xsd:enumeration value="Council Implementing Decision"/>
              <xsd:enumeration value="Work Programme"/>
              <xsd:enumeration value="Communication"/>
              <xsd:enumeration value="Agenda"/>
              <xsd:enumeration value="IIA"/>
              <xsd:enumeration value="Request for contribution"/>
            </xsd:restriction>
          </xsd:simpleType>
        </xsd:union>
      </xsd:simpleType>
    </xsd:element>
    <xsd:element name="_x0054_ag2" ma:index="9" nillable="true" ma:displayName="Document Description" ma:format="Dropdown" ma:internalName="_x0054_ag2">
      <xsd:simpleType>
        <xsd:restriction base="dms:Text">
          <xsd:maxLength value="255"/>
        </xsd:restriction>
      </xsd:simpleType>
    </xsd:element>
    <xsd:element name="Tag_03" ma:index="10" nillable="true" ma:displayName="MFF" ma:format="Dropdown" ma:internalName="Tag_03">
      <xsd:simpleType>
        <xsd:restriction base="dms:Choice">
          <xsd:enumeration value="2014-2020"/>
          <xsd:enumeration value="2021-2027"/>
          <xsd:enumeration value="2028-2034"/>
          <xsd:enumeration value="2007-2013"/>
          <xsd:enumeration value="2000-2006"/>
          <xsd:enumeration value="1993-1999"/>
          <xsd:enumeration value="1988-1992"/>
        </xsd:restriction>
      </xsd:simpleType>
    </xsd:element>
    <xsd:element name="Tag_04" ma:index="11" nillable="true" ma:displayName="Secondary Topic" ma:format="Dropdown" ma:internalName="Tag_04">
      <xsd:simpleType>
        <xsd:restriction base="dms:Choice">
          <xsd:enumeration value="Fiscal frameworks"/>
          <xsd:enumeration value="Horizon Europe"/>
          <xsd:enumeration value="Euratom Research and Training Programme"/>
          <xsd:enumeration value="International Thermonuclear Experience"/>
          <xsd:enumeration value="Other actions"/>
          <xsd:enumeration value="Pilot projects and preparatory action"/>
          <xsd:enumeration value="InvetsEU Fund"/>
          <xsd:enumeration value="CAP"/>
          <xsd:enumeration value="Cohesion"/>
          <xsd:enumeration value="Connecting Europe Facility (CEF)"/>
          <xsd:enumeration value="Connecting Europe Facility (CEF)- Transport"/>
          <xsd:enumeration value="Connecting Europe Facility (CEF) - Energy"/>
          <xsd:enumeration value="Connecting Europe Facility (CEF) - Digital"/>
          <xsd:enumeration value="Digital Europe Programme"/>
          <xsd:enumeration value="Decentralised agencies"/>
          <xsd:enumeration value="Actions financed under the prerogatives of the Commission and specific competences conferred to the Commission"/>
          <xsd:enumeration value="Single Market Programme (incl. SMEs)"/>
          <xsd:enumeration value="EU Anti-Fraud Programme"/>
          <xsd:enumeration value="Cooperation in the field of taxation (Fiscalis)"/>
          <xsd:enumeration value="Cooperation in the field of customs (Customs)"/>
          <xsd:enumeration value="European Space Programme"/>
          <xsd:enumeration value="Union Secure Connectivity"/>
          <xsd:enumeration value="European Regional Development Fund"/>
          <xsd:enumeration value="Cohesion Fund (CF)"/>
          <xsd:enumeration value="European Social Fund Plus (ESF+)"/>
          <xsd:enumeration value="European Recovery and Resilience Facility (incl. Technical Support Instrument)"/>
          <xsd:enumeration value="Protection of the euro against counterfeiting (the ‘Pericles IV programme')"/>
          <xsd:enumeration value="Financing cost of the European Union Recovery Instrument (EURI)"/>
          <xsd:enumeration value="Union Civil Protection Mechanism (RescEU)"/>
          <xsd:enumeration value="EU4Health"/>
          <xsd:enumeration value="Instrument for emergency support within the Union (ESI)"/>
          <xsd:enumeration value="Employment and Social Innovation"/>
          <xsd:enumeration value="Erasmus+"/>
          <xsd:enumeration value="European Solidarity Corps (ESC)"/>
          <xsd:enumeration value="Creative Europe"/>
          <xsd:enumeration value="Justice"/>
          <xsd:enumeration value="Right and Values"/>
          <xsd:enumeration value="European Agricultural Guarantee Fund (EAGF)"/>
          <xsd:enumeration value="European Agricultural Fund for Rural Development (EAFRD)"/>
          <xsd:enumeration value="European Maritime, Fisheries and Aquaculture Fund (EMFAF)"/>
          <xsd:enumeration value="Sustainable Fisheries Partnership Agreements (SFPA) and Regional Fisheries Management Organisations (RFMO)"/>
          <xsd:enumeration value="Programme for Environment and Climate Action (LIFE)"/>
          <xsd:enumeration value="Just Transition Fund"/>
          <xsd:enumeration value="Public sector loan facility under the Just Transition Mechanism (JTM)"/>
          <xsd:enumeration value="Integrated Border Management Fund (IBMF) - Instrument for border management and visa (BMVI)"/>
          <xsd:enumeration value="Integrated Border Management Fund (IBMF) - Instrument for financial support for customs control equipment (CCEi)"/>
          <xsd:enumeration value="Internal Security Fund (ISF)"/>
          <xsd:enumeration value="Nuclear decommissioning (Lithuania)"/>
          <xsd:enumeration value="Nuclear Safety and decommissioning (incl. For Bulgaria and Slovakia)"/>
          <xsd:enumeration value="European Defence Fund (Research)"/>
          <xsd:enumeration value="European Defence Fund (Non Research)"/>
          <xsd:enumeration value="Military Mobility"/>
          <xsd:enumeration value="Short-term Defence instrument on common procurement"/>
          <xsd:enumeration value="Defence Industrial Reiforcement Instrument"/>
          <xsd:enumeration value="European Defence Industrial Programme"/>
          <xsd:enumeration value="Union Secure Connectivity"/>
          <xsd:enumeration value="Neighbourhood, Development and International Cooperation Instrument - Global Europe ( NDICI - Global Europe )"/>
          <xsd:enumeration value="European Instrument for International Nuclear Safety Cooperation (INSC)"/>
          <xsd:enumeration value="Humanitarian Aid (HUMA)"/>
          <xsd:enumeration value="Common Foreign and Security Policy (CFSP)"/>
          <xsd:enumeration value="Overseas Countries and Territories (OCT) (including Greenland)"/>
          <xsd:enumeration value="MFA+"/>
          <xsd:enumeration value="Ukraine Support Instrument"/>
          <xsd:enumeration value="Union Secure Connectivity Programme"/>
          <xsd:enumeration value="Pre-Accession Assistance (IPA III)"/>
          <xsd:enumeration value="Reform and Growth Facility for Western Balkans"/>
          <xsd:enumeration value="Special instruments"/>
          <xsd:enumeration value="Heading 7"/>
          <xsd:enumeration value="Innovation Fund"/>
          <xsd:enumeration value="Modernisation Fund"/>
          <xsd:enumeration value="Ukraine Facility"/>
          <xsd:enumeration value="Solidarity and Emergency Aid Reserve"/>
          <xsd:enumeration value="Flexibility Instrument"/>
          <xsd:enumeration value="Brexit Adjustment Reserve"/>
          <xsd:enumeration value="European Globalisation Adjustment Fund for Displaced Workers"/>
          <xsd:enumeration value="Single Margin Instrument"/>
          <xsd:enumeration value="European Competitiveness Fund"/>
          <xsd:enumeration value="Single Plan"/>
          <xsd:enumeration value="Citizens' dialogue"/>
          <xsd:enumeration value="Access to documents"/>
          <xsd:enumeration value="Citizens' question"/>
          <xsd:enumeration value="Cohesion Fund (CF), contribution to the Connecting Europe Facility"/>
          <xsd:enumeration value="Support to the Turkish-Cypriot Community"/>
          <xsd:enumeration value="Asylum, Migration and Integration Fund"/>
          <xsd:enumeration value="Allocated Expenditure"/>
          <xsd:enumeration value="Economic and Budgetary Analysis"/>
          <xsd:enumeration value="Economic and Fiscal Governance"/>
          <xsd:enumeration value="Rating Agencies"/>
          <xsd:enumeration value="Working group 1"/>
          <xsd:enumeration value="Sectoral Programmes / Initiatives"/>
          <xsd:enumeration value="Technical Adjustments"/>
          <xsd:enumeration value="Discharge"/>
          <xsd:enumeration value="Financial Regulation"/>
          <xsd:enumeration value="Annual Budget Conference"/>
          <xsd:enumeration value="Flexibility / Special Instruments"/>
          <xsd:enumeration value="MFF Regulation and IIA"/>
          <xsd:enumeration value="Annual budget"/>
          <xsd:enumeration value="Allocated expenditure"/>
          <xsd:enumeration value="Annual accounts"/>
          <xsd:enumeration value="Long-term payment forecast"/>
          <xsd:enumeration value="Art. 250 report"/>
          <xsd:enumeration value="Discharge"/>
          <xsd:enumeration value="MFF preparation"/>
          <xsd:enumeration value="MFF negotiation"/>
          <xsd:enumeration value="Revenue"/>
          <xsd:enumeration value="Headroom"/>
          <xsd:enumeration value="Communication"/>
          <xsd:enumeration value="Other states"/>
          <xsd:enumeration value="Enlargement"/>
          <xsd:enumeration value="Third Country"/>
          <xsd:enumeration value="Art. 140 UK Report"/>
          <xsd:enumeration value="UK invoice"/>
          <xsd:enumeration value="UK SCFP - Special Committee on Financial Provisions"/>
          <xsd:enumeration value="Country knowledge"/>
          <xsd:enumeration value="BUDG Administrative"/>
          <xsd:enumeration value="MFF Achitecture"/>
          <xsd:enumeration value="Cross-cutting horizontal elements"/>
          <xsd:enumeration value="Competitiveness and single market"/>
          <xsd:enumeration value="PRE ALLOCATED Cohesion and Resilience"/>
          <xsd:enumeration value="Skills and values: Education, skills, values, justice"/>
          <xsd:enumeration value="Crisis response: Crisis response and macroeconomic stabilization"/>
          <xsd:enumeration value="External action"/>
          <xsd:enumeration value="MFF financial calibration"/>
          <xsd:enumeration value="New Commission"/>
        </xsd:restriction>
      </xsd:simpleType>
    </xsd:element>
    <xsd:element name="Tag_05" ma:index="12" nillable="true" ma:displayName="Main Topic" ma:format="Dropdown" ma:internalName="Tag_05">
      <xsd:simpleType>
        <xsd:restriction base="dms:Choice">
          <xsd:enumeration value="Economic and Budgetary Analysis"/>
          <xsd:enumeration value="Rating Agencies"/>
          <xsd:enumeration value="Working Group 1"/>
          <xsd:enumeration value="Sectoral Programmes / Initiatives"/>
          <xsd:enumeration value="Technical Adjustments"/>
          <xsd:enumeration value="Discharge"/>
          <xsd:enumeration value="Financial Regulation"/>
          <xsd:enumeration value="Annual Budget Conference"/>
          <xsd:enumeration value="Flexibility / Special Instruments"/>
          <xsd:enumeration value="MFF Regulation and IIA"/>
          <xsd:enumeration value="TAJU"/>
          <xsd:enumeration value="Annual budget"/>
          <xsd:enumeration value="Allocated expenditure"/>
          <xsd:enumeration value="Annual accounts"/>
          <xsd:enumeration value="Long-term payment forecast"/>
          <xsd:enumeration value="Art. 250 report"/>
          <xsd:enumeration value="Discharge"/>
          <xsd:enumeration value="MFF Preparation"/>
          <xsd:enumeration value="MFF negotiation"/>
          <xsd:enumeration value="ORD"/>
          <xsd:enumeration value="Headroom"/>
          <xsd:enumeration value="Communication"/>
          <xsd:enumeration value="Other States"/>
          <xsd:enumeration value="Enlargement"/>
          <xsd:enumeration value="Proportionality factor"/>
          <xsd:enumeration value="Art. 140 UK Report"/>
          <xsd:enumeration value="UK invoice"/>
          <xsd:enumeration value="BUDG Administrative"/>
          <xsd:enumeration value="MFF Architecture"/>
          <xsd:enumeration value="Cross-cutting horizontal elements"/>
          <xsd:enumeration value="Competitiveness and single market"/>
          <xsd:enumeration value="Cohesion and Resilience"/>
          <xsd:enumeration value="Skills and values: Education, skills, values, justice"/>
          <xsd:enumeration value="Crisis response: Crisis response and macroeconomic stabilization"/>
          <xsd:enumeration value="External action"/>
          <xsd:enumeration value="MFF financial calibration"/>
        </xsd:restriction>
      </xsd:simpleType>
    </xsd:element>
    <xsd:element name="Tag_06" ma:index="13" nillable="true" ma:displayName="Document Target" ma:format="Dropdown" ma:internalName="Tag_06">
      <xsd:simpleType>
        <xsd:restriction base="dms:Choice">
          <xsd:enumeration value="Internal Meeting"/>
          <xsd:enumeration value="Internal B1"/>
          <xsd:enumeration value="Internal BUDG"/>
          <xsd:enumeration value="Internal COM"/>
          <xsd:enumeration value="Council / EUCO"/>
          <xsd:enumeration value="Council"/>
          <xsd:enumeration value="EUCO"/>
          <xsd:enumeration value="MFF AHWP"/>
          <xsd:enumeration value="EP plenary"/>
          <xsd:enumeration value="EP BUDG"/>
          <xsd:enumeration value="EP other"/>
          <xsd:enumeration value="Parliament"/>
          <xsd:enumeration value="ECA"/>
          <xsd:enumeration value="EESC and CoR"/>
          <xsd:enumeration value="External stakeholders"/>
          <xsd:enumeration value="Jour fixe"/>
          <xsd:enumeration value="ISG meeting"/>
        </xsd:restriction>
      </xsd:simpleType>
    </xsd:element>
    <xsd:element name="Tag_07" ma:index="14" nillable="true" ma:displayName="Free text" ma:format="Dropdown" ma:internalName="Tag_07">
      <xsd:simpleType>
        <xsd:restriction base="dms:Text">
          <xsd:maxLength value="255"/>
        </xsd:restriction>
      </xsd:simpleType>
    </xsd:element>
    <xsd:element name="_x0054_ag8" ma:index="15" nillable="true" ma:displayName="Meeting Date" ma:format="DateOnly" ma:internalName="_x0054_ag8">
      <xsd:simpleType>
        <xsd:restriction base="dms:DateTime"/>
      </xsd:simpleType>
    </xsd:element>
    <xsd:element name="Year" ma:index="16" nillable="true" ma:displayName="Year" ma:format="Dropdown" ma:internalName="Year">
      <xsd:simpleType>
        <xsd:restriction base="dms:Text">
          <xsd:maxLength value="255"/>
        </xsd:restriction>
      </xsd:simpleType>
    </xsd:element>
    <xsd:element name="ApprovalStep" ma:index="17" nillable="true" ma:displayName="Approval Step" ma:format="Dropdown" ma:internalName="ApprovalStep">
      <xsd:simpleType>
        <xsd:restriction base="dms:Choice">
          <xsd:enumeration value="B1 Technical"/>
          <xsd:enumeration value="BUDG Technical"/>
          <xsd:enumeration value="COM Technical"/>
          <xsd:enumeration value="DHoU"/>
          <xsd:enumeration value="HoU"/>
          <xsd:enumeration value="Director"/>
          <xsd:enumeration value="Assistants"/>
          <xsd:enumeration value="DG"/>
          <xsd:enumeration value="CAB"/>
          <xsd:enumeration value="Commissioner"/>
          <xsd:enumeration value="In Progress"/>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mberStates" ma:index="22" nillable="true" ma:displayName="Member States" ma:format="Dropdown" ma:internalName="MemberStates">
      <xsd:complexType>
        <xsd:complexContent>
          <xsd:extension base="dms:MultiChoice">
            <xsd:sequence>
              <xsd:element name="Value" maxOccurs="unbounded" minOccurs="0" nillable="true">
                <xsd:simpleType>
                  <xsd:restriction base="dms:Choice">
                    <xsd:enumeration value="EU-27"/>
                    <xsd:enumeration value="BE"/>
                    <xsd:enumeration value="BG"/>
                    <xsd:enumeration value="CZ"/>
                    <xsd:enumeration value="DK"/>
                    <xsd:enumeration value="DE"/>
                    <xsd:enumeration value="EE"/>
                    <xsd:enumeration value="IE"/>
                    <xsd:enumeration value="EL"/>
                    <xsd:enumeration value="ES"/>
                    <xsd:enumeration value="FR"/>
                    <xsd:enumeration value="HR"/>
                    <xsd:enumeration value="IT"/>
                    <xsd:enumeration value="CY"/>
                    <xsd:enumeration value="LV"/>
                    <xsd:enumeration value="LT"/>
                    <xsd:enumeration value="LU"/>
                    <xsd:enumeration value="HU"/>
                    <xsd:enumeration value="MT"/>
                    <xsd:enumeration value="NL"/>
                    <xsd:enumeration value="AT"/>
                    <xsd:enumeration value="PL"/>
                    <xsd:enumeration value="PT"/>
                    <xsd:enumeration value="RO"/>
                    <xsd:enumeration value="FI"/>
                    <xsd:enumeration value="SE"/>
                    <xsd:enumeration value="UK"/>
                    <xsd:enumeration value="SI"/>
                    <xsd:enumeration value="SK"/>
                    <xsd:enumeration value="CH"/>
                    <xsd:enumeration value="NO"/>
                    <xsd:enumeration value="TR (Turkiye)"/>
                    <xsd:enumeration value="EU-10"/>
                    <xsd:enumeration value="EU-12"/>
                    <xsd:enumeration value="EU-13"/>
                    <xsd:enumeration value="EU-15"/>
                    <xsd:enumeration value="EU-28"/>
                    <xsd:enumeration value="EFTA"/>
                    <xsd:enumeration value="BA (Bosnia and Herzegovina)"/>
                    <xsd:enumeration value="ME (Montenegro)"/>
                    <xsd:enumeration value="MD (Moldova)"/>
                    <xsd:enumeration value="MK (North Macedonia)"/>
                    <xsd:enumeration value="GE (Georgia)"/>
                    <xsd:enumeration value="AL (Albania)"/>
                    <xsd:enumeration value="RS (Serbia)"/>
                    <xsd:enumeration value="UA (Ukraine)"/>
                    <xsd:enumeration value="XK (Kosovo)"/>
                  </xsd:restriction>
                </xsd:simpleType>
              </xsd:element>
            </xsd:sequence>
          </xsd:extension>
        </xsd:complexContent>
      </xsd:complexType>
    </xsd:element>
    <xsd:element name="Sensitive" ma:index="23" nillable="true" ma:displayName="Sensitive" ma:format="Dropdown" ma:internalName="Sensitive">
      <xsd:simpleType>
        <xsd:restriction base="dms:Choice">
          <xsd:enumeration value="YES"/>
          <xsd:enumeration value="NO"/>
        </xsd:restrictio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d4cde7-209b-4353-8904-a6d145be66ae"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ed32c070-1309-46aa-9390-a4831651057c}" ma:internalName="TaxCatchAll" ma:showField="CatchAllData" ma:web="b6d4cde7-209b-4353-8904-a6d145be6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0E44A12-B6EA-431B-98C8-8D35772715DB}">
  <ds:schemaRefs>
    <ds:schemaRef ds:uri="http://schemas.microsoft.com/sharepoint/v3/contenttype/forms"/>
  </ds:schemaRefs>
</ds:datastoreItem>
</file>

<file path=customXml/itemProps2.xml><?xml version="1.0" encoding="utf-8"?>
<ds:datastoreItem xmlns:ds="http://schemas.openxmlformats.org/officeDocument/2006/customXml" ds:itemID="{4D32D953-E476-477A-9BB5-CC6C9245F445}">
  <ds:schemaRefs>
    <ds:schemaRef ds:uri="http://schemas.microsoft.com/office/2006/metadata/properties"/>
    <ds:schemaRef ds:uri="http://schemas.microsoft.com/office/infopath/2007/PartnerControls"/>
    <ds:schemaRef ds:uri="b6d4cde7-209b-4353-8904-a6d145be66ae"/>
    <ds:schemaRef ds:uri="8e58f9bf-af8e-457a-8b79-61fccd4d6d5f"/>
  </ds:schemaRefs>
</ds:datastoreItem>
</file>

<file path=customXml/itemProps3.xml><?xml version="1.0" encoding="utf-8"?>
<ds:datastoreItem xmlns:ds="http://schemas.openxmlformats.org/officeDocument/2006/customXml" ds:itemID="{D6DBCA19-2C24-48D2-AF00-90FD78C17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58f9bf-af8e-457a-8b79-61fccd4d6d5f"/>
    <ds:schemaRef ds:uri="b6d4cde7-209b-4353-8904-a6d145be6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24E160-FF0E-4195-BE12-A2117D600518}">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29</TotalTime>
  <Pages>17</Pages>
  <Words>6410</Words>
  <Characters>36542</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cp:lastPrinted>2023-05-28T12:21:00Z</cp:lastPrinted>
  <dcterms:created xsi:type="dcterms:W3CDTF">2026-07-03T07:49:00Z</dcterms:created>
  <dcterms:modified xsi:type="dcterms:W3CDTF">2026-07-28T14:32:00Z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Last edited using">
    <vt:lpwstr>LW 9.2, Build 20250828</vt:lpwstr>
  </property>
  <property fmtid="{D5CDD505-2E9C-101B-9397-08002B2CF9AE}" pid="6" name="Created using">
    <vt:lpwstr>LW 6.0.1, Build 20180503</vt:lpwstr>
  </property>
  <property fmtid="{D5CDD505-2E9C-101B-9397-08002B2CF9AE}" pid="7" name="synchronize">
    <vt:lpwstr>on</vt:lpwstr>
  </property>
  <property fmtid="{D5CDD505-2E9C-101B-9397-08002B2CF9AE}" pid="8" name="CPTemplateID">
    <vt:lpwstr>CP-006</vt:lpwstr>
  </property>
  <property fmtid="{D5CDD505-2E9C-101B-9397-08002B2CF9AE}" pid="9" name="_LW_INVALIDATED__LW_INVALIDATED_ContentTypeId">
    <vt:lpwstr>0x010100258AA79CEB83498886A3A0868112325000189CB87B1E53E74D8E56C76F27A51955</vt:lpwstr>
  </property>
  <property fmtid="{D5CDD505-2E9C-101B-9397-08002B2CF9AE}" pid="10" name="ContentTypeId">
    <vt:lpwstr>0x010100B5BD0826AAE22F4CB9B703218939610D</vt:lpwstr>
  </property>
  <property fmtid="{D5CDD505-2E9C-101B-9397-08002B2CF9AE}" pid="11" name="_dlc_DocIdItemGuid">
    <vt:lpwstr>612815d5-7b94-4e92-b123-ce86cafd4f18</vt:lpwstr>
  </property>
  <property fmtid="{D5CDD505-2E9C-101B-9397-08002B2CF9AE}" pid="12" name="MSIP_Label_6bd9ddd1-4d20-43f6-abfa-fc3c07406f94_Enabled">
    <vt:lpwstr>true</vt:lpwstr>
  </property>
  <property fmtid="{D5CDD505-2E9C-101B-9397-08002B2CF9AE}" pid="13" name="MSIP_Label_6bd9ddd1-4d20-43f6-abfa-fc3c07406f94_SetDate">
    <vt:lpwstr>2022-05-17T07:30:17Z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5bd134ee-e9e5-4153-9fea-730183349a8b</vt:lpwstr>
  </property>
  <property fmtid="{D5CDD505-2E9C-101B-9397-08002B2CF9AE}" pid="18" name="MSIP_Label_6bd9ddd1-4d20-43f6-abfa-fc3c07406f94_ContentBits">
    <vt:lpwstr>0</vt:lpwstr>
  </property>
  <property fmtid="{D5CDD505-2E9C-101B-9397-08002B2CF9AE}" pid="19" name="MediaServiceImageTags">
    <vt:lpwstr/>
  </property>
  <property fmtid="{D5CDD505-2E9C-101B-9397-08002B2CF9AE}" pid="20" name="SharedWithUsers">
    <vt:lpwstr>20;#MORARU Andrei (BUDG)</vt:lpwstr>
  </property>
  <property fmtid="{D5CDD505-2E9C-101B-9397-08002B2CF9AE}" pid="21" name="Tag_05">
    <vt:lpwstr>MFF Preparation</vt:lpwstr>
  </property>
  <property fmtid="{D5CDD505-2E9C-101B-9397-08002B2CF9AE}" pid="22" name="ApprovalStep">
    <vt:lpwstr>In Progress</vt:lpwstr>
  </property>
  <property fmtid="{D5CDD505-2E9C-101B-9397-08002B2CF9AE}" pid="23" name="Tag2">
    <vt:lpwstr>Report communication</vt:lpwstr>
  </property>
  <property fmtid="{D5CDD505-2E9C-101B-9397-08002B2CF9AE}" pid="24" name="Tag_06">
    <vt:lpwstr>External stakeholders</vt:lpwstr>
  </property>
  <property fmtid="{D5CDD505-2E9C-101B-9397-08002B2CF9AE}" pid="25" name="Tag_07">
    <vt:lpwstr>LTPF 2027-2034</vt:lpwstr>
  </property>
  <property fmtid="{D5CDD505-2E9C-101B-9397-08002B2CF9AE}" pid="26" name="Tag1">
    <vt:lpwstr>Communication</vt:lpwstr>
  </property>
  <property fmtid="{D5CDD505-2E9C-101B-9397-08002B2CF9AE}" pid="27" name="Tag_03">
    <vt:lpwstr>2028-2034</vt:lpwstr>
  </property>
  <property fmtid="{D5CDD505-2E9C-101B-9397-08002B2CF9AE}" pid="28" name="Year">
    <vt:lpwstr>2026</vt:lpwstr>
  </property>
  <property fmtid="{D5CDD505-2E9C-101B-9397-08002B2CF9AE}" pid="29" name="Tag_04">
    <vt:lpwstr>Long-term payment forecast</vt:lpwstr>
  </property>
  <property fmtid="{D5CDD505-2E9C-101B-9397-08002B2CF9AE}" pid="30" name="DocStatus">
    <vt:lpwstr>Green</vt:lpwstr>
  </property>
</Properties>
</file>