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C4A33" w14:textId="41147B9D" w:rsidR="00861C1C" w:rsidRPr="00F423B9" w:rsidRDefault="00AD0008" w:rsidP="00AD0008">
      <w:pPr>
        <w:pStyle w:val="Pagedecouverture"/>
        <w:rPr>
          <w:noProof/>
        </w:rPr>
      </w:pPr>
      <w:bookmarkStart w:id="0" w:name="_Toc456026166"/>
      <w:bookmarkStart w:id="1" w:name="LW_BM_COVERPAGE"/>
      <w:r>
        <w:rPr>
          <w:noProof/>
        </w:rPr>
        <w:pict w14:anchorId="5637D7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B557E4-5422-4F08-A66B-BF1E5E546738" style="width:455.25pt;height:286.5pt">
            <v:imagedata r:id="rId11" o:title=""/>
          </v:shape>
        </w:pict>
      </w:r>
    </w:p>
    <w:bookmarkEnd w:id="1"/>
    <w:p w14:paraId="7CA99554" w14:textId="77777777" w:rsidR="00313440" w:rsidRDefault="00313440" w:rsidP="00313440">
      <w:pPr>
        <w:rPr>
          <w:noProof/>
        </w:rPr>
        <w:sectPr w:rsidR="00313440" w:rsidSect="00AD000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fmt="numberInDash" w:start="1"/>
          <w:cols w:space="720"/>
          <w:docGrid w:linePitch="326"/>
        </w:sectPr>
      </w:pPr>
    </w:p>
    <w:p w14:paraId="43DBD787" w14:textId="19728816" w:rsidR="00861C1C" w:rsidRPr="00F423B9" w:rsidRDefault="003B6DC2" w:rsidP="00DE0036">
      <w:pPr>
        <w:pStyle w:val="TOCHeading"/>
        <w:rPr>
          <w:rFonts w:asciiTheme="majorHAnsi" w:hAnsiTheme="majorHAnsi"/>
          <w:noProof/>
        </w:rPr>
      </w:pPr>
      <w:bookmarkStart w:id="2" w:name="_Toc167194507"/>
      <w:bookmarkStart w:id="3" w:name="_Toc232061793"/>
      <w:bookmarkStart w:id="4" w:name="_Toc232061861"/>
      <w:bookmarkStart w:id="5" w:name="_Toc232087283"/>
      <w:bookmarkStart w:id="6" w:name="_Toc232174496"/>
      <w:bookmarkStart w:id="7" w:name="_Toc232591326"/>
      <w:bookmarkStart w:id="8" w:name="_Toc232603640"/>
      <w:bookmarkStart w:id="9" w:name="_Toc233027392"/>
      <w:bookmarkStart w:id="10" w:name="_Toc233045172"/>
      <w:bookmarkStart w:id="11" w:name="_Toc235439604"/>
      <w:bookmarkStart w:id="12" w:name="_Toc494974436"/>
      <w:bookmarkStart w:id="13" w:name="_Toc524523057"/>
      <w:bookmarkStart w:id="14" w:name="_GoBack"/>
      <w:bookmarkEnd w:id="0"/>
      <w:bookmarkEnd w:id="14"/>
      <w:r>
        <w:rPr>
          <w:rFonts w:asciiTheme="majorHAnsi" w:hAnsiTheme="majorHAnsi"/>
          <w:noProof/>
        </w:rPr>
        <w:lastRenderedPageBreak/>
        <w:t>Cuprins</w:t>
      </w:r>
      <w:bookmarkEnd w:id="2"/>
      <w:bookmarkEnd w:id="3"/>
      <w:bookmarkEnd w:id="4"/>
      <w:bookmarkEnd w:id="5"/>
      <w:bookmarkEnd w:id="6"/>
      <w:bookmarkEnd w:id="7"/>
      <w:bookmarkEnd w:id="8"/>
      <w:bookmarkEnd w:id="9"/>
      <w:bookmarkEnd w:id="10"/>
      <w:bookmarkEnd w:id="11"/>
    </w:p>
    <w:p w14:paraId="19CF3FED" w14:textId="48E08B14" w:rsidR="00952885" w:rsidRDefault="003B6DC2">
      <w:pPr>
        <w:pStyle w:val="TOC1"/>
        <w:rPr>
          <w:rFonts w:asciiTheme="minorHAnsi" w:eastAsiaTheme="minorEastAsia" w:hAnsiTheme="minorHAnsi"/>
          <w:b w:val="0"/>
          <w:caps w:val="0"/>
          <w:noProof/>
          <w:kern w:val="2"/>
          <w:sz w:val="24"/>
          <w:szCs w:val="24"/>
          <w:lang w:val="en-IE" w:eastAsia="en-IE"/>
          <w14:ligatures w14:val="standardContextual"/>
        </w:rPr>
      </w:pPr>
      <w:r>
        <w:rPr>
          <w:rFonts w:asciiTheme="majorHAnsi" w:hAnsiTheme="majorHAnsi"/>
          <w:noProof/>
        </w:rPr>
        <w:fldChar w:fldCharType="begin"/>
      </w:r>
      <w:r>
        <w:rPr>
          <w:rFonts w:asciiTheme="majorHAnsi" w:hAnsiTheme="majorHAnsi"/>
          <w:noProof/>
        </w:rPr>
        <w:instrText>TOC \o "1-3" \h \z \u</w:instrText>
      </w:r>
      <w:r>
        <w:rPr>
          <w:rFonts w:asciiTheme="majorHAnsi" w:hAnsiTheme="majorHAnsi"/>
          <w:noProof/>
        </w:rPr>
        <w:fldChar w:fldCharType="separate"/>
      </w:r>
    </w:p>
    <w:p w14:paraId="3ED41BC6" w14:textId="7EC3CC2A"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05" w:history="1">
        <w:r w:rsidR="00952885" w:rsidRPr="0075144A">
          <w:rPr>
            <w:rStyle w:val="Hyperlink"/>
            <w:rFonts w:asciiTheme="majorHAnsi" w:hAnsiTheme="majorHAnsi"/>
          </w:rPr>
          <w:t>1.</w:t>
        </w:r>
        <w:r w:rsidR="00952885">
          <w:rPr>
            <w:rFonts w:asciiTheme="minorHAnsi" w:eastAsiaTheme="minorEastAsia" w:hAnsiTheme="minorHAnsi"/>
            <w:kern w:val="2"/>
            <w:sz w:val="24"/>
            <w:szCs w:val="24"/>
            <w:lang w:val="en-IE" w:eastAsia="en-IE"/>
            <w14:ligatures w14:val="standardContextual"/>
          </w:rPr>
          <w:tab/>
        </w:r>
        <w:r w:rsidR="00952885" w:rsidRPr="0075144A">
          <w:rPr>
            <w:rStyle w:val="Hyperlink"/>
            <w:rFonts w:asciiTheme="majorHAnsi" w:hAnsiTheme="majorHAnsi"/>
          </w:rPr>
          <w:t>Introducere</w:t>
        </w:r>
        <w:r w:rsidR="00952885">
          <w:rPr>
            <w:webHidden/>
          </w:rPr>
          <w:tab/>
        </w:r>
        <w:r w:rsidR="00952885">
          <w:rPr>
            <w:webHidden/>
          </w:rPr>
          <w:fldChar w:fldCharType="begin"/>
        </w:r>
        <w:r w:rsidR="00952885">
          <w:rPr>
            <w:webHidden/>
          </w:rPr>
          <w:instrText xml:space="preserve"> PAGEREF _Toc235439605 \h </w:instrText>
        </w:r>
        <w:r w:rsidR="00952885">
          <w:rPr>
            <w:webHidden/>
          </w:rPr>
        </w:r>
        <w:r w:rsidR="00952885">
          <w:rPr>
            <w:webHidden/>
          </w:rPr>
          <w:fldChar w:fldCharType="separate"/>
        </w:r>
        <w:r w:rsidR="000442AB">
          <w:rPr>
            <w:webHidden/>
          </w:rPr>
          <w:t>1</w:t>
        </w:r>
        <w:r w:rsidR="00952885">
          <w:rPr>
            <w:webHidden/>
          </w:rPr>
          <w:fldChar w:fldCharType="end"/>
        </w:r>
      </w:hyperlink>
    </w:p>
    <w:p w14:paraId="6A3A4901" w14:textId="190F9ACE"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06" w:history="1">
        <w:r w:rsidR="00952885" w:rsidRPr="0075144A">
          <w:rPr>
            <w:rStyle w:val="Hyperlink"/>
            <w:rFonts w:asciiTheme="majorHAnsi" w:hAnsiTheme="majorHAnsi"/>
          </w:rPr>
          <w:t>2.</w:t>
        </w:r>
        <w:r w:rsidR="00952885">
          <w:rPr>
            <w:rFonts w:asciiTheme="minorHAnsi" w:eastAsiaTheme="minorEastAsia" w:hAnsiTheme="minorHAnsi"/>
            <w:kern w:val="2"/>
            <w:sz w:val="24"/>
            <w:szCs w:val="24"/>
            <w:lang w:val="en-IE" w:eastAsia="en-IE"/>
            <w14:ligatures w14:val="standardContextual"/>
          </w:rPr>
          <w:tab/>
        </w:r>
        <w:r w:rsidR="00952885" w:rsidRPr="0075144A">
          <w:rPr>
            <w:rStyle w:val="Hyperlink"/>
            <w:rFonts w:asciiTheme="majorHAnsi" w:hAnsiTheme="majorHAnsi"/>
          </w:rPr>
          <w:t xml:space="preserve">Prognoza privind ieșirile din bugetul UE pentru perioada </w:t>
        </w:r>
        <w:r w:rsidR="00952885" w:rsidRPr="0075144A">
          <w:rPr>
            <w:rStyle w:val="Hyperlink"/>
          </w:rPr>
          <w:t xml:space="preserve">   </w:t>
        </w:r>
        <w:r w:rsidR="00952885" w:rsidRPr="0075144A">
          <w:rPr>
            <w:rStyle w:val="Hyperlink"/>
            <w:rFonts w:asciiTheme="majorHAnsi" w:hAnsiTheme="majorHAnsi"/>
          </w:rPr>
          <w:t>2027-2034</w:t>
        </w:r>
        <w:r w:rsidR="00952885">
          <w:rPr>
            <w:webHidden/>
          </w:rPr>
          <w:tab/>
        </w:r>
        <w:r w:rsidR="00952885">
          <w:rPr>
            <w:webHidden/>
          </w:rPr>
          <w:fldChar w:fldCharType="begin"/>
        </w:r>
        <w:r w:rsidR="00952885">
          <w:rPr>
            <w:webHidden/>
          </w:rPr>
          <w:instrText xml:space="preserve"> PAGEREF _Toc235439606 \h </w:instrText>
        </w:r>
        <w:r w:rsidR="00952885">
          <w:rPr>
            <w:webHidden/>
          </w:rPr>
        </w:r>
        <w:r w:rsidR="00952885">
          <w:rPr>
            <w:webHidden/>
          </w:rPr>
          <w:fldChar w:fldCharType="separate"/>
        </w:r>
        <w:r w:rsidR="000442AB">
          <w:rPr>
            <w:webHidden/>
          </w:rPr>
          <w:t>1</w:t>
        </w:r>
        <w:r w:rsidR="00952885">
          <w:rPr>
            <w:webHidden/>
          </w:rPr>
          <w:fldChar w:fldCharType="end"/>
        </w:r>
      </w:hyperlink>
    </w:p>
    <w:p w14:paraId="590F8F8B" w14:textId="0AB89529" w:rsidR="00952885" w:rsidRDefault="00AD0008">
      <w:pPr>
        <w:pStyle w:val="TOC3"/>
        <w:rPr>
          <w:rFonts w:asciiTheme="minorHAnsi" w:eastAsiaTheme="minorEastAsia" w:hAnsiTheme="minorHAnsi"/>
          <w:noProof/>
          <w:kern w:val="2"/>
          <w:sz w:val="24"/>
          <w:szCs w:val="24"/>
          <w:lang w:val="en-IE" w:eastAsia="en-IE"/>
          <w14:ligatures w14:val="standardContextual"/>
        </w:rPr>
      </w:pPr>
      <w:hyperlink w:anchor="_Toc235439607" w:history="1">
        <w:r w:rsidR="00952885" w:rsidRPr="0075144A">
          <w:rPr>
            <w:rStyle w:val="Hyperlink"/>
            <w:rFonts w:asciiTheme="majorHAnsi" w:hAnsiTheme="majorHAnsi"/>
            <w:noProof/>
          </w:rPr>
          <w:t>2.1.</w:t>
        </w:r>
        <w:r w:rsidR="00952885">
          <w:rPr>
            <w:rFonts w:asciiTheme="minorHAnsi" w:eastAsiaTheme="minorEastAsia" w:hAnsiTheme="minorHAnsi"/>
            <w:noProof/>
            <w:kern w:val="2"/>
            <w:sz w:val="24"/>
            <w:szCs w:val="24"/>
            <w:lang w:val="en-IE" w:eastAsia="en-IE"/>
            <w14:ligatures w14:val="standardContextual"/>
          </w:rPr>
          <w:tab/>
        </w:r>
        <w:r w:rsidR="00952885" w:rsidRPr="0075144A">
          <w:rPr>
            <w:rStyle w:val="Hyperlink"/>
            <w:rFonts w:asciiTheme="majorHAnsi" w:hAnsiTheme="majorHAnsi"/>
            <w:noProof/>
          </w:rPr>
          <w:t>Plăți legate de angajamentele din CFM pentru perioada 2021-2027</w:t>
        </w:r>
        <w:r w:rsidR="00952885">
          <w:rPr>
            <w:noProof/>
            <w:webHidden/>
          </w:rPr>
          <w:tab/>
        </w:r>
        <w:r w:rsidR="00952885">
          <w:rPr>
            <w:noProof/>
            <w:webHidden/>
          </w:rPr>
          <w:fldChar w:fldCharType="begin"/>
        </w:r>
        <w:r w:rsidR="00952885">
          <w:rPr>
            <w:noProof/>
            <w:webHidden/>
          </w:rPr>
          <w:instrText xml:space="preserve"> PAGEREF _Toc235439607 \h </w:instrText>
        </w:r>
        <w:r w:rsidR="00952885">
          <w:rPr>
            <w:noProof/>
            <w:webHidden/>
          </w:rPr>
        </w:r>
        <w:r w:rsidR="00952885">
          <w:rPr>
            <w:noProof/>
            <w:webHidden/>
          </w:rPr>
          <w:fldChar w:fldCharType="separate"/>
        </w:r>
        <w:r w:rsidR="000442AB">
          <w:rPr>
            <w:noProof/>
            <w:webHidden/>
          </w:rPr>
          <w:t>3</w:t>
        </w:r>
        <w:r w:rsidR="00952885">
          <w:rPr>
            <w:noProof/>
            <w:webHidden/>
          </w:rPr>
          <w:fldChar w:fldCharType="end"/>
        </w:r>
      </w:hyperlink>
    </w:p>
    <w:p w14:paraId="45029BB7" w14:textId="17453675" w:rsidR="00952885" w:rsidRDefault="00AD0008">
      <w:pPr>
        <w:pStyle w:val="TOC3"/>
        <w:rPr>
          <w:rFonts w:asciiTheme="minorHAnsi" w:eastAsiaTheme="minorEastAsia" w:hAnsiTheme="minorHAnsi"/>
          <w:noProof/>
          <w:kern w:val="2"/>
          <w:sz w:val="24"/>
          <w:szCs w:val="24"/>
          <w:lang w:val="en-IE" w:eastAsia="en-IE"/>
          <w14:ligatures w14:val="standardContextual"/>
        </w:rPr>
      </w:pPr>
      <w:hyperlink w:anchor="_Toc235439608" w:history="1">
        <w:r w:rsidR="00952885" w:rsidRPr="0075144A">
          <w:rPr>
            <w:rStyle w:val="Hyperlink"/>
            <w:rFonts w:asciiTheme="majorHAnsi" w:hAnsiTheme="majorHAnsi"/>
            <w:noProof/>
          </w:rPr>
          <w:t>2.2.</w:t>
        </w:r>
        <w:r w:rsidR="00952885">
          <w:rPr>
            <w:rFonts w:asciiTheme="minorHAnsi" w:eastAsiaTheme="minorEastAsia" w:hAnsiTheme="minorHAnsi"/>
            <w:noProof/>
            <w:kern w:val="2"/>
            <w:sz w:val="24"/>
            <w:szCs w:val="24"/>
            <w:lang w:val="en-IE" w:eastAsia="en-IE"/>
            <w14:ligatures w14:val="standardContextual"/>
          </w:rPr>
          <w:tab/>
        </w:r>
        <w:r w:rsidR="00952885" w:rsidRPr="0075144A">
          <w:rPr>
            <w:rStyle w:val="Hyperlink"/>
            <w:rFonts w:asciiTheme="majorHAnsi" w:hAnsiTheme="majorHAnsi"/>
            <w:noProof/>
          </w:rPr>
          <w:t>Plăți legate de angajamentele din CFM pentru perioada 2028-2034</w:t>
        </w:r>
        <w:r w:rsidR="00952885">
          <w:rPr>
            <w:noProof/>
            <w:webHidden/>
          </w:rPr>
          <w:tab/>
        </w:r>
        <w:r w:rsidR="00952885">
          <w:rPr>
            <w:noProof/>
            <w:webHidden/>
          </w:rPr>
          <w:fldChar w:fldCharType="begin"/>
        </w:r>
        <w:r w:rsidR="00952885">
          <w:rPr>
            <w:noProof/>
            <w:webHidden/>
          </w:rPr>
          <w:instrText xml:space="preserve"> PAGEREF _Toc235439608 \h </w:instrText>
        </w:r>
        <w:r w:rsidR="00952885">
          <w:rPr>
            <w:noProof/>
            <w:webHidden/>
          </w:rPr>
        </w:r>
        <w:r w:rsidR="00952885">
          <w:rPr>
            <w:noProof/>
            <w:webHidden/>
          </w:rPr>
          <w:fldChar w:fldCharType="separate"/>
        </w:r>
        <w:r w:rsidR="000442AB">
          <w:rPr>
            <w:noProof/>
            <w:webHidden/>
          </w:rPr>
          <w:t>4</w:t>
        </w:r>
        <w:r w:rsidR="00952885">
          <w:rPr>
            <w:noProof/>
            <w:webHidden/>
          </w:rPr>
          <w:fldChar w:fldCharType="end"/>
        </w:r>
      </w:hyperlink>
    </w:p>
    <w:p w14:paraId="101C9B9E" w14:textId="1A1CA43F" w:rsidR="00952885" w:rsidRDefault="00AD0008">
      <w:pPr>
        <w:pStyle w:val="TOC3"/>
        <w:rPr>
          <w:rFonts w:asciiTheme="minorHAnsi" w:eastAsiaTheme="minorEastAsia" w:hAnsiTheme="minorHAnsi"/>
          <w:noProof/>
          <w:kern w:val="2"/>
          <w:sz w:val="24"/>
          <w:szCs w:val="24"/>
          <w:lang w:val="en-IE" w:eastAsia="en-IE"/>
          <w14:ligatures w14:val="standardContextual"/>
        </w:rPr>
      </w:pPr>
      <w:hyperlink w:anchor="_Toc235439609" w:history="1">
        <w:r w:rsidR="00952885" w:rsidRPr="0075144A">
          <w:rPr>
            <w:rStyle w:val="Hyperlink"/>
            <w:rFonts w:asciiTheme="majorHAnsi" w:hAnsiTheme="majorHAnsi"/>
            <w:noProof/>
          </w:rPr>
          <w:t>2.3.</w:t>
        </w:r>
        <w:r w:rsidR="00952885">
          <w:rPr>
            <w:rFonts w:asciiTheme="minorHAnsi" w:eastAsiaTheme="minorEastAsia" w:hAnsiTheme="minorHAnsi"/>
            <w:noProof/>
            <w:kern w:val="2"/>
            <w:sz w:val="24"/>
            <w:szCs w:val="24"/>
            <w:lang w:val="en-IE" w:eastAsia="en-IE"/>
            <w14:ligatures w14:val="standardContextual"/>
          </w:rPr>
          <w:tab/>
        </w:r>
        <w:r w:rsidR="00952885" w:rsidRPr="0075144A">
          <w:rPr>
            <w:rStyle w:val="Hyperlink"/>
            <w:rFonts w:asciiTheme="majorHAnsi" w:hAnsiTheme="majorHAnsi"/>
            <w:noProof/>
          </w:rPr>
          <w:t>Dezangajări</w:t>
        </w:r>
        <w:r w:rsidR="00952885">
          <w:rPr>
            <w:noProof/>
            <w:webHidden/>
          </w:rPr>
          <w:tab/>
        </w:r>
        <w:r w:rsidR="00952885">
          <w:rPr>
            <w:noProof/>
            <w:webHidden/>
          </w:rPr>
          <w:fldChar w:fldCharType="begin"/>
        </w:r>
        <w:r w:rsidR="00952885">
          <w:rPr>
            <w:noProof/>
            <w:webHidden/>
          </w:rPr>
          <w:instrText xml:space="preserve"> PAGEREF _Toc235439609 \h </w:instrText>
        </w:r>
        <w:r w:rsidR="00952885">
          <w:rPr>
            <w:noProof/>
            <w:webHidden/>
          </w:rPr>
        </w:r>
        <w:r w:rsidR="00952885">
          <w:rPr>
            <w:noProof/>
            <w:webHidden/>
          </w:rPr>
          <w:fldChar w:fldCharType="separate"/>
        </w:r>
        <w:r w:rsidR="000442AB">
          <w:rPr>
            <w:noProof/>
            <w:webHidden/>
          </w:rPr>
          <w:t>5</w:t>
        </w:r>
        <w:r w:rsidR="00952885">
          <w:rPr>
            <w:noProof/>
            <w:webHidden/>
          </w:rPr>
          <w:fldChar w:fldCharType="end"/>
        </w:r>
      </w:hyperlink>
    </w:p>
    <w:p w14:paraId="348AB199" w14:textId="3ED7A4E5" w:rsidR="00952885" w:rsidRDefault="00AD0008">
      <w:pPr>
        <w:pStyle w:val="TOC3"/>
        <w:rPr>
          <w:rFonts w:asciiTheme="minorHAnsi" w:eastAsiaTheme="minorEastAsia" w:hAnsiTheme="minorHAnsi"/>
          <w:noProof/>
          <w:kern w:val="2"/>
          <w:sz w:val="24"/>
          <w:szCs w:val="24"/>
          <w:lang w:val="en-IE" w:eastAsia="en-IE"/>
          <w14:ligatures w14:val="standardContextual"/>
        </w:rPr>
      </w:pPr>
      <w:hyperlink w:anchor="_Toc235439610" w:history="1">
        <w:r w:rsidR="00952885" w:rsidRPr="0075144A">
          <w:rPr>
            <w:rStyle w:val="Hyperlink"/>
            <w:rFonts w:asciiTheme="majorHAnsi" w:hAnsiTheme="majorHAnsi"/>
            <w:noProof/>
          </w:rPr>
          <w:t>2.4.</w:t>
        </w:r>
        <w:r w:rsidR="00952885">
          <w:rPr>
            <w:rFonts w:asciiTheme="minorHAnsi" w:eastAsiaTheme="minorEastAsia" w:hAnsiTheme="minorHAnsi"/>
            <w:noProof/>
            <w:kern w:val="2"/>
            <w:sz w:val="24"/>
            <w:szCs w:val="24"/>
            <w:lang w:val="en-IE" w:eastAsia="en-IE"/>
            <w14:ligatures w14:val="standardContextual"/>
          </w:rPr>
          <w:tab/>
        </w:r>
        <w:r w:rsidR="00952885" w:rsidRPr="0075144A">
          <w:rPr>
            <w:rStyle w:val="Hyperlink"/>
            <w:rFonts w:asciiTheme="majorHAnsi" w:hAnsiTheme="majorHAnsi"/>
            <w:noProof/>
          </w:rPr>
          <w:t>Evoluția nivelului angajamentelor restante</w:t>
        </w:r>
        <w:r w:rsidR="00952885">
          <w:rPr>
            <w:noProof/>
            <w:webHidden/>
          </w:rPr>
          <w:tab/>
        </w:r>
        <w:r w:rsidR="00952885">
          <w:rPr>
            <w:noProof/>
            <w:webHidden/>
          </w:rPr>
          <w:fldChar w:fldCharType="begin"/>
        </w:r>
        <w:r w:rsidR="00952885">
          <w:rPr>
            <w:noProof/>
            <w:webHidden/>
          </w:rPr>
          <w:instrText xml:space="preserve"> PAGEREF _Toc235439610 \h </w:instrText>
        </w:r>
        <w:r w:rsidR="00952885">
          <w:rPr>
            <w:noProof/>
            <w:webHidden/>
          </w:rPr>
        </w:r>
        <w:r w:rsidR="00952885">
          <w:rPr>
            <w:noProof/>
            <w:webHidden/>
          </w:rPr>
          <w:fldChar w:fldCharType="separate"/>
        </w:r>
        <w:r w:rsidR="000442AB">
          <w:rPr>
            <w:noProof/>
            <w:webHidden/>
          </w:rPr>
          <w:t>6</w:t>
        </w:r>
        <w:r w:rsidR="00952885">
          <w:rPr>
            <w:noProof/>
            <w:webHidden/>
          </w:rPr>
          <w:fldChar w:fldCharType="end"/>
        </w:r>
      </w:hyperlink>
    </w:p>
    <w:p w14:paraId="47CC1312" w14:textId="626F4DA8"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1" w:history="1">
        <w:r w:rsidR="00952885" w:rsidRPr="0075144A">
          <w:rPr>
            <w:rStyle w:val="Hyperlink"/>
            <w:rFonts w:asciiTheme="majorHAnsi" w:hAnsiTheme="majorHAnsi"/>
          </w:rPr>
          <w:t>3.</w:t>
        </w:r>
        <w:r w:rsidR="00952885">
          <w:rPr>
            <w:rFonts w:asciiTheme="minorHAnsi" w:eastAsiaTheme="minorEastAsia" w:hAnsiTheme="minorHAnsi"/>
            <w:kern w:val="2"/>
            <w:sz w:val="24"/>
            <w:szCs w:val="24"/>
            <w:lang w:val="en-IE" w:eastAsia="en-IE"/>
            <w14:ligatures w14:val="standardContextual"/>
          </w:rPr>
          <w:tab/>
        </w:r>
        <w:r w:rsidR="00952885" w:rsidRPr="0075144A">
          <w:rPr>
            <w:rStyle w:val="Hyperlink"/>
            <w:rFonts w:asciiTheme="majorHAnsi" w:hAnsiTheme="majorHAnsi"/>
          </w:rPr>
          <w:t xml:space="preserve">Prognoza privind intrările în bugetul UE pentru perioada </w:t>
        </w:r>
        <w:r w:rsidR="00952885" w:rsidRPr="0075144A">
          <w:rPr>
            <w:rStyle w:val="Hyperlink"/>
          </w:rPr>
          <w:t xml:space="preserve">   </w:t>
        </w:r>
        <w:r w:rsidR="00952885" w:rsidRPr="0075144A">
          <w:rPr>
            <w:rStyle w:val="Hyperlink"/>
            <w:rFonts w:asciiTheme="majorHAnsi" w:hAnsiTheme="majorHAnsi"/>
          </w:rPr>
          <w:t>2027-2034</w:t>
        </w:r>
        <w:r w:rsidR="00952885">
          <w:rPr>
            <w:webHidden/>
          </w:rPr>
          <w:tab/>
        </w:r>
        <w:r w:rsidR="00952885">
          <w:rPr>
            <w:webHidden/>
          </w:rPr>
          <w:fldChar w:fldCharType="begin"/>
        </w:r>
        <w:r w:rsidR="00952885">
          <w:rPr>
            <w:webHidden/>
          </w:rPr>
          <w:instrText xml:space="preserve"> PAGEREF _Toc235439611 \h </w:instrText>
        </w:r>
        <w:r w:rsidR="00952885">
          <w:rPr>
            <w:webHidden/>
          </w:rPr>
        </w:r>
        <w:r w:rsidR="00952885">
          <w:rPr>
            <w:webHidden/>
          </w:rPr>
          <w:fldChar w:fldCharType="separate"/>
        </w:r>
        <w:r w:rsidR="000442AB">
          <w:rPr>
            <w:webHidden/>
          </w:rPr>
          <w:t>7</w:t>
        </w:r>
        <w:r w:rsidR="00952885">
          <w:rPr>
            <w:webHidden/>
          </w:rPr>
          <w:fldChar w:fldCharType="end"/>
        </w:r>
      </w:hyperlink>
    </w:p>
    <w:p w14:paraId="7B04873B" w14:textId="05585D1A" w:rsidR="00952885" w:rsidRDefault="00AD0008">
      <w:pPr>
        <w:pStyle w:val="TOC3"/>
        <w:rPr>
          <w:rFonts w:asciiTheme="minorHAnsi" w:eastAsiaTheme="minorEastAsia" w:hAnsiTheme="minorHAnsi"/>
          <w:noProof/>
          <w:kern w:val="2"/>
          <w:sz w:val="24"/>
          <w:szCs w:val="24"/>
          <w:lang w:val="en-IE" w:eastAsia="en-IE"/>
          <w14:ligatures w14:val="standardContextual"/>
        </w:rPr>
      </w:pPr>
      <w:hyperlink w:anchor="_Toc235439612" w:history="1">
        <w:r w:rsidR="00952885" w:rsidRPr="0075144A">
          <w:rPr>
            <w:rStyle w:val="Hyperlink"/>
            <w:rFonts w:asciiTheme="majorHAnsi" w:hAnsiTheme="majorHAnsi"/>
            <w:noProof/>
          </w:rPr>
          <w:t>3.1.</w:t>
        </w:r>
        <w:r w:rsidR="00952885">
          <w:rPr>
            <w:rFonts w:asciiTheme="minorHAnsi" w:eastAsiaTheme="minorEastAsia" w:hAnsiTheme="minorHAnsi"/>
            <w:noProof/>
            <w:kern w:val="2"/>
            <w:sz w:val="24"/>
            <w:szCs w:val="24"/>
            <w:lang w:val="en-IE" w:eastAsia="en-IE"/>
            <w14:ligatures w14:val="standardContextual"/>
          </w:rPr>
          <w:tab/>
        </w:r>
        <w:r w:rsidR="00952885" w:rsidRPr="0075144A">
          <w:rPr>
            <w:rStyle w:val="Hyperlink"/>
            <w:rFonts w:asciiTheme="majorHAnsi" w:hAnsiTheme="majorHAnsi"/>
            <w:noProof/>
          </w:rPr>
          <w:t>Surse de venituri</w:t>
        </w:r>
        <w:r w:rsidR="00952885">
          <w:rPr>
            <w:noProof/>
            <w:webHidden/>
          </w:rPr>
          <w:tab/>
        </w:r>
        <w:r w:rsidR="00952885">
          <w:rPr>
            <w:noProof/>
            <w:webHidden/>
          </w:rPr>
          <w:fldChar w:fldCharType="begin"/>
        </w:r>
        <w:r w:rsidR="00952885">
          <w:rPr>
            <w:noProof/>
            <w:webHidden/>
          </w:rPr>
          <w:instrText xml:space="preserve"> PAGEREF _Toc235439612 \h </w:instrText>
        </w:r>
        <w:r w:rsidR="00952885">
          <w:rPr>
            <w:noProof/>
            <w:webHidden/>
          </w:rPr>
        </w:r>
        <w:r w:rsidR="00952885">
          <w:rPr>
            <w:noProof/>
            <w:webHidden/>
          </w:rPr>
          <w:fldChar w:fldCharType="separate"/>
        </w:r>
        <w:r w:rsidR="000442AB">
          <w:rPr>
            <w:noProof/>
            <w:webHidden/>
          </w:rPr>
          <w:t>7</w:t>
        </w:r>
        <w:r w:rsidR="00952885">
          <w:rPr>
            <w:noProof/>
            <w:webHidden/>
          </w:rPr>
          <w:fldChar w:fldCharType="end"/>
        </w:r>
      </w:hyperlink>
    </w:p>
    <w:p w14:paraId="77C4DFA3" w14:textId="37E5B703"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3" w:history="1">
        <w:r w:rsidR="00952885" w:rsidRPr="0075144A">
          <w:rPr>
            <w:rStyle w:val="Hyperlink"/>
            <w:rFonts w:asciiTheme="majorHAnsi" w:hAnsiTheme="majorHAnsi"/>
          </w:rPr>
          <w:t>4.</w:t>
        </w:r>
        <w:r w:rsidR="00952885">
          <w:rPr>
            <w:rFonts w:asciiTheme="minorHAnsi" w:eastAsiaTheme="minorEastAsia" w:hAnsiTheme="minorHAnsi"/>
            <w:kern w:val="2"/>
            <w:sz w:val="24"/>
            <w:szCs w:val="24"/>
            <w:lang w:val="en-IE" w:eastAsia="en-IE"/>
            <w14:ligatures w14:val="standardContextual"/>
          </w:rPr>
          <w:tab/>
        </w:r>
        <w:r w:rsidR="00952885" w:rsidRPr="0075144A">
          <w:rPr>
            <w:rStyle w:val="Hyperlink"/>
            <w:rFonts w:asciiTheme="majorHAnsi" w:hAnsiTheme="majorHAnsi"/>
          </w:rPr>
          <w:t>Concluzii</w:t>
        </w:r>
        <w:r w:rsidR="00952885">
          <w:rPr>
            <w:webHidden/>
          </w:rPr>
          <w:tab/>
        </w:r>
        <w:r w:rsidR="00952885">
          <w:rPr>
            <w:webHidden/>
          </w:rPr>
          <w:fldChar w:fldCharType="begin"/>
        </w:r>
        <w:r w:rsidR="00952885">
          <w:rPr>
            <w:webHidden/>
          </w:rPr>
          <w:instrText xml:space="preserve"> PAGEREF _Toc235439613 \h </w:instrText>
        </w:r>
        <w:r w:rsidR="00952885">
          <w:rPr>
            <w:webHidden/>
          </w:rPr>
        </w:r>
        <w:r w:rsidR="00952885">
          <w:rPr>
            <w:webHidden/>
          </w:rPr>
          <w:fldChar w:fldCharType="separate"/>
        </w:r>
        <w:r w:rsidR="000442AB">
          <w:rPr>
            <w:webHidden/>
          </w:rPr>
          <w:t>9</w:t>
        </w:r>
        <w:r w:rsidR="00952885">
          <w:rPr>
            <w:webHidden/>
          </w:rPr>
          <w:fldChar w:fldCharType="end"/>
        </w:r>
      </w:hyperlink>
    </w:p>
    <w:p w14:paraId="56C45E22" w14:textId="6B99D495"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4" w:history="1">
        <w:r w:rsidR="00952885" w:rsidRPr="0075144A">
          <w:rPr>
            <w:rStyle w:val="Hyperlink"/>
            <w:rFonts w:asciiTheme="majorHAnsi" w:hAnsiTheme="majorHAnsi"/>
          </w:rPr>
          <w:t>Anexa II – Rezultatele prognozei</w:t>
        </w:r>
        <w:r w:rsidR="00952885">
          <w:rPr>
            <w:webHidden/>
          </w:rPr>
          <w:tab/>
        </w:r>
        <w:r w:rsidR="00952885">
          <w:rPr>
            <w:webHidden/>
          </w:rPr>
          <w:fldChar w:fldCharType="begin"/>
        </w:r>
        <w:r w:rsidR="00952885">
          <w:rPr>
            <w:webHidden/>
          </w:rPr>
          <w:instrText xml:space="preserve"> PAGEREF _Toc235439614 \h </w:instrText>
        </w:r>
        <w:r w:rsidR="00952885">
          <w:rPr>
            <w:webHidden/>
          </w:rPr>
        </w:r>
        <w:r w:rsidR="00952885">
          <w:rPr>
            <w:webHidden/>
          </w:rPr>
          <w:fldChar w:fldCharType="separate"/>
        </w:r>
        <w:r w:rsidR="000442AB">
          <w:rPr>
            <w:webHidden/>
          </w:rPr>
          <w:t>11</w:t>
        </w:r>
        <w:r w:rsidR="00952885">
          <w:rPr>
            <w:webHidden/>
          </w:rPr>
          <w:fldChar w:fldCharType="end"/>
        </w:r>
      </w:hyperlink>
    </w:p>
    <w:p w14:paraId="465C2A2C" w14:textId="69DE9529"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5" w:history="1">
        <w:r w:rsidR="00952885" w:rsidRPr="0075144A">
          <w:rPr>
            <w:rStyle w:val="Hyperlink"/>
            <w:rFonts w:asciiTheme="majorHAnsi" w:hAnsiTheme="majorHAnsi"/>
          </w:rPr>
          <w:t>Tabelul 1.1 – Prognoza pe termen lung privind viitoarele ieșiri în perioada 2027-2034 pentru CFM</w:t>
        </w:r>
        <w:r w:rsidR="00952885">
          <w:rPr>
            <w:webHidden/>
          </w:rPr>
          <w:tab/>
        </w:r>
        <w:r w:rsidR="00952885">
          <w:rPr>
            <w:webHidden/>
          </w:rPr>
          <w:fldChar w:fldCharType="begin"/>
        </w:r>
        <w:r w:rsidR="00952885">
          <w:rPr>
            <w:webHidden/>
          </w:rPr>
          <w:instrText xml:space="preserve"> PAGEREF _Toc235439615 \h </w:instrText>
        </w:r>
        <w:r w:rsidR="00952885">
          <w:rPr>
            <w:webHidden/>
          </w:rPr>
        </w:r>
        <w:r w:rsidR="00952885">
          <w:rPr>
            <w:webHidden/>
          </w:rPr>
          <w:fldChar w:fldCharType="separate"/>
        </w:r>
        <w:r w:rsidR="000442AB">
          <w:rPr>
            <w:webHidden/>
          </w:rPr>
          <w:t>11</w:t>
        </w:r>
        <w:r w:rsidR="00952885">
          <w:rPr>
            <w:webHidden/>
          </w:rPr>
          <w:fldChar w:fldCharType="end"/>
        </w:r>
      </w:hyperlink>
    </w:p>
    <w:p w14:paraId="58CAC26F" w14:textId="66F3A281"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6" w:history="1">
        <w:r w:rsidR="00952885" w:rsidRPr="0075144A">
          <w:rPr>
            <w:rStyle w:val="Hyperlink"/>
            <w:rFonts w:asciiTheme="majorHAnsi" w:hAnsiTheme="majorHAnsi"/>
          </w:rPr>
          <w:t>Tabelul 1.2 – Plăți legate de angajamentele din CFM pentru perioada 2021-2027</w:t>
        </w:r>
        <w:r w:rsidR="00952885">
          <w:rPr>
            <w:webHidden/>
          </w:rPr>
          <w:tab/>
        </w:r>
        <w:r w:rsidR="00952885">
          <w:rPr>
            <w:webHidden/>
          </w:rPr>
          <w:fldChar w:fldCharType="begin"/>
        </w:r>
        <w:r w:rsidR="00952885">
          <w:rPr>
            <w:webHidden/>
          </w:rPr>
          <w:instrText xml:space="preserve"> PAGEREF _Toc235439616 \h </w:instrText>
        </w:r>
        <w:r w:rsidR="00952885">
          <w:rPr>
            <w:webHidden/>
          </w:rPr>
        </w:r>
        <w:r w:rsidR="00952885">
          <w:rPr>
            <w:webHidden/>
          </w:rPr>
          <w:fldChar w:fldCharType="separate"/>
        </w:r>
        <w:r w:rsidR="000442AB">
          <w:rPr>
            <w:webHidden/>
          </w:rPr>
          <w:t>12</w:t>
        </w:r>
        <w:r w:rsidR="00952885">
          <w:rPr>
            <w:webHidden/>
          </w:rPr>
          <w:fldChar w:fldCharType="end"/>
        </w:r>
      </w:hyperlink>
    </w:p>
    <w:p w14:paraId="7591FE1A" w14:textId="4F290C35"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7" w:history="1">
        <w:r w:rsidR="00952885" w:rsidRPr="0075144A">
          <w:rPr>
            <w:rStyle w:val="Hyperlink"/>
            <w:rFonts w:asciiTheme="majorHAnsi" w:hAnsiTheme="majorHAnsi"/>
          </w:rPr>
          <w:t>Tabelul 1.3 – Plăți pentru finalizarea angajamentelor anterioare anului 2021</w:t>
        </w:r>
        <w:r w:rsidR="00952885">
          <w:rPr>
            <w:webHidden/>
          </w:rPr>
          <w:tab/>
        </w:r>
        <w:r w:rsidR="00952885">
          <w:rPr>
            <w:webHidden/>
          </w:rPr>
          <w:fldChar w:fldCharType="begin"/>
        </w:r>
        <w:r w:rsidR="00952885">
          <w:rPr>
            <w:webHidden/>
          </w:rPr>
          <w:instrText xml:space="preserve"> PAGEREF _Toc235439617 \h </w:instrText>
        </w:r>
        <w:r w:rsidR="00952885">
          <w:rPr>
            <w:webHidden/>
          </w:rPr>
        </w:r>
        <w:r w:rsidR="00952885">
          <w:rPr>
            <w:webHidden/>
          </w:rPr>
          <w:fldChar w:fldCharType="separate"/>
        </w:r>
        <w:r w:rsidR="000442AB">
          <w:rPr>
            <w:webHidden/>
          </w:rPr>
          <w:t>13</w:t>
        </w:r>
        <w:r w:rsidR="00952885">
          <w:rPr>
            <w:webHidden/>
          </w:rPr>
          <w:fldChar w:fldCharType="end"/>
        </w:r>
      </w:hyperlink>
    </w:p>
    <w:p w14:paraId="7CCE2D38" w14:textId="7288A1DC"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8" w:history="1">
        <w:r w:rsidR="00952885" w:rsidRPr="0075144A">
          <w:rPr>
            <w:rStyle w:val="Hyperlink"/>
            <w:rFonts w:asciiTheme="majorHAnsi" w:hAnsiTheme="majorHAnsi"/>
          </w:rPr>
          <w:t>Tabelul 1.4 – Plăți pentru angajamentele din perioada 2028-2034</w:t>
        </w:r>
        <w:r w:rsidR="00952885">
          <w:rPr>
            <w:webHidden/>
          </w:rPr>
          <w:tab/>
        </w:r>
        <w:r w:rsidR="00952885">
          <w:rPr>
            <w:webHidden/>
          </w:rPr>
          <w:fldChar w:fldCharType="begin"/>
        </w:r>
        <w:r w:rsidR="00952885">
          <w:rPr>
            <w:webHidden/>
          </w:rPr>
          <w:instrText xml:space="preserve"> PAGEREF _Toc235439618 \h </w:instrText>
        </w:r>
        <w:r w:rsidR="00952885">
          <w:rPr>
            <w:webHidden/>
          </w:rPr>
        </w:r>
        <w:r w:rsidR="00952885">
          <w:rPr>
            <w:webHidden/>
          </w:rPr>
          <w:fldChar w:fldCharType="separate"/>
        </w:r>
        <w:r w:rsidR="000442AB">
          <w:rPr>
            <w:webHidden/>
          </w:rPr>
          <w:t>14</w:t>
        </w:r>
        <w:r w:rsidR="00952885">
          <w:rPr>
            <w:webHidden/>
          </w:rPr>
          <w:fldChar w:fldCharType="end"/>
        </w:r>
      </w:hyperlink>
    </w:p>
    <w:p w14:paraId="0CA9AE44" w14:textId="3764EDA2"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19" w:history="1">
        <w:r w:rsidR="00952885" w:rsidRPr="0075144A">
          <w:rPr>
            <w:rStyle w:val="Hyperlink"/>
            <w:rFonts w:asciiTheme="majorHAnsi" w:hAnsiTheme="majorHAnsi"/>
          </w:rPr>
          <w:t>Tabelul 2 – Dezangajările prevăzute pentru perioada 2027-2034</w:t>
        </w:r>
        <w:r w:rsidR="00952885">
          <w:rPr>
            <w:webHidden/>
          </w:rPr>
          <w:tab/>
        </w:r>
        <w:r w:rsidR="00952885">
          <w:rPr>
            <w:webHidden/>
          </w:rPr>
          <w:fldChar w:fldCharType="begin"/>
        </w:r>
        <w:r w:rsidR="00952885">
          <w:rPr>
            <w:webHidden/>
          </w:rPr>
          <w:instrText xml:space="preserve"> PAGEREF _Toc235439619 \h </w:instrText>
        </w:r>
        <w:r w:rsidR="00952885">
          <w:rPr>
            <w:webHidden/>
          </w:rPr>
        </w:r>
        <w:r w:rsidR="00952885">
          <w:rPr>
            <w:webHidden/>
          </w:rPr>
          <w:fldChar w:fldCharType="separate"/>
        </w:r>
        <w:r w:rsidR="000442AB">
          <w:rPr>
            <w:webHidden/>
          </w:rPr>
          <w:t>15</w:t>
        </w:r>
        <w:r w:rsidR="00952885">
          <w:rPr>
            <w:webHidden/>
          </w:rPr>
          <w:fldChar w:fldCharType="end"/>
        </w:r>
      </w:hyperlink>
    </w:p>
    <w:p w14:paraId="648F0FFD" w14:textId="4DBAD70F"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20" w:history="1">
        <w:r w:rsidR="00952885" w:rsidRPr="0075144A">
          <w:rPr>
            <w:rStyle w:val="Hyperlink"/>
            <w:rFonts w:asciiTheme="majorHAnsi" w:hAnsiTheme="majorHAnsi"/>
          </w:rPr>
          <w:t>Tabelul 3 – Angajamentele restante pentru perioada 2027-2034</w:t>
        </w:r>
        <w:r w:rsidR="00952885">
          <w:rPr>
            <w:webHidden/>
          </w:rPr>
          <w:tab/>
        </w:r>
        <w:r w:rsidR="00952885">
          <w:rPr>
            <w:webHidden/>
          </w:rPr>
          <w:fldChar w:fldCharType="begin"/>
        </w:r>
        <w:r w:rsidR="00952885">
          <w:rPr>
            <w:webHidden/>
          </w:rPr>
          <w:instrText xml:space="preserve"> PAGEREF _Toc235439620 \h </w:instrText>
        </w:r>
        <w:r w:rsidR="00952885">
          <w:rPr>
            <w:webHidden/>
          </w:rPr>
        </w:r>
        <w:r w:rsidR="00952885">
          <w:rPr>
            <w:webHidden/>
          </w:rPr>
          <w:fldChar w:fldCharType="separate"/>
        </w:r>
        <w:r w:rsidR="000442AB">
          <w:rPr>
            <w:webHidden/>
          </w:rPr>
          <w:t>16</w:t>
        </w:r>
        <w:r w:rsidR="00952885">
          <w:rPr>
            <w:webHidden/>
          </w:rPr>
          <w:fldChar w:fldCharType="end"/>
        </w:r>
      </w:hyperlink>
    </w:p>
    <w:p w14:paraId="5F6539F8" w14:textId="10D4343F" w:rsidR="00952885" w:rsidRDefault="00AD0008">
      <w:pPr>
        <w:pStyle w:val="TOC2"/>
        <w:rPr>
          <w:rFonts w:asciiTheme="minorHAnsi" w:eastAsiaTheme="minorEastAsia" w:hAnsiTheme="minorHAnsi"/>
          <w:kern w:val="2"/>
          <w:sz w:val="24"/>
          <w:szCs w:val="24"/>
          <w:lang w:val="en-IE" w:eastAsia="en-IE"/>
          <w14:ligatures w14:val="standardContextual"/>
        </w:rPr>
      </w:pPr>
      <w:hyperlink w:anchor="_Toc235439621" w:history="1">
        <w:r w:rsidR="00952885" w:rsidRPr="0075144A">
          <w:rPr>
            <w:rStyle w:val="Hyperlink"/>
            <w:rFonts w:asciiTheme="majorHAnsi" w:hAnsiTheme="majorHAnsi"/>
          </w:rPr>
          <w:t xml:space="preserve">Tabelul 4 – </w:t>
        </w:r>
        <w:r w:rsidR="00952885" w:rsidRPr="0075144A">
          <w:rPr>
            <w:rStyle w:val="Hyperlink"/>
            <w:rFonts w:asciiTheme="majorHAnsi" w:hAnsiTheme="majorHAnsi"/>
            <w:spacing w:val="-4"/>
          </w:rPr>
          <w:t>Prognoza pe termen lung privind viitoarele intrări în bugetul UE pentru 2027 și în CFM 2028-2034</w:t>
        </w:r>
        <w:r w:rsidR="00952885">
          <w:rPr>
            <w:webHidden/>
          </w:rPr>
          <w:tab/>
        </w:r>
        <w:r w:rsidR="00952885">
          <w:rPr>
            <w:webHidden/>
          </w:rPr>
          <w:fldChar w:fldCharType="begin"/>
        </w:r>
        <w:r w:rsidR="00952885">
          <w:rPr>
            <w:webHidden/>
          </w:rPr>
          <w:instrText xml:space="preserve"> PAGEREF _Toc235439621 \h </w:instrText>
        </w:r>
        <w:r w:rsidR="00952885">
          <w:rPr>
            <w:webHidden/>
          </w:rPr>
        </w:r>
        <w:r w:rsidR="00952885">
          <w:rPr>
            <w:webHidden/>
          </w:rPr>
          <w:fldChar w:fldCharType="separate"/>
        </w:r>
        <w:r w:rsidR="000442AB">
          <w:rPr>
            <w:webHidden/>
          </w:rPr>
          <w:t>17</w:t>
        </w:r>
        <w:r w:rsidR="00952885">
          <w:rPr>
            <w:webHidden/>
          </w:rPr>
          <w:fldChar w:fldCharType="end"/>
        </w:r>
      </w:hyperlink>
    </w:p>
    <w:p w14:paraId="3620F4B9" w14:textId="496DCFDC" w:rsidR="00861C1C" w:rsidRPr="00F423B9" w:rsidRDefault="003B6DC2" w:rsidP="000F0FD4">
      <w:pPr>
        <w:pStyle w:val="TOC2"/>
        <w:rPr>
          <w:rFonts w:asciiTheme="majorHAnsi" w:hAnsiTheme="majorHAnsi"/>
        </w:rPr>
      </w:pPr>
      <w:r>
        <w:rPr>
          <w:rFonts w:asciiTheme="majorHAnsi" w:hAnsiTheme="majorHAnsi"/>
        </w:rPr>
        <w:fldChar w:fldCharType="end"/>
      </w:r>
    </w:p>
    <w:p w14:paraId="3FE3C258" w14:textId="77777777" w:rsidR="00413BE5" w:rsidRPr="00F423B9" w:rsidRDefault="00413BE5">
      <w:pPr>
        <w:rPr>
          <w:rFonts w:asciiTheme="majorHAnsi" w:hAnsiTheme="majorHAnsi"/>
          <w:noProof/>
        </w:rPr>
        <w:sectPr w:rsidR="00413BE5" w:rsidRPr="00F423B9">
          <w:headerReference w:type="even" r:id="rId18"/>
          <w:headerReference w:type="default" r:id="rId19"/>
          <w:footerReference w:type="even" r:id="rId20"/>
          <w:footerReference w:type="default" r:id="rId21"/>
          <w:headerReference w:type="first" r:id="rId22"/>
          <w:footerReference w:type="first" r:id="rId23"/>
          <w:pgSz w:w="11906" w:h="16838"/>
          <w:pgMar w:top="1321" w:right="1151" w:bottom="1440" w:left="1151" w:header="720" w:footer="720" w:gutter="0"/>
          <w:pgNumType w:start="1"/>
          <w:cols w:space="720"/>
          <w:docGrid w:linePitch="326"/>
        </w:sectPr>
      </w:pPr>
    </w:p>
    <w:p w14:paraId="65357E71" w14:textId="3D309FFD" w:rsidR="00861C1C" w:rsidRPr="00F423B9" w:rsidRDefault="003B6DC2">
      <w:pPr>
        <w:pStyle w:val="amprH2TITLE1-Numbered-1"/>
        <w:rPr>
          <w:rFonts w:asciiTheme="majorHAnsi" w:hAnsiTheme="majorHAnsi"/>
          <w:noProof/>
        </w:rPr>
      </w:pPr>
      <w:bookmarkStart w:id="15" w:name="_Toc235439605"/>
      <w:r>
        <w:rPr>
          <w:rFonts w:asciiTheme="majorHAnsi" w:hAnsiTheme="majorHAnsi"/>
          <w:noProof/>
        </w:rPr>
        <w:t>Introducere</w:t>
      </w:r>
      <w:bookmarkEnd w:id="12"/>
      <w:bookmarkEnd w:id="13"/>
      <w:bookmarkEnd w:id="15"/>
    </w:p>
    <w:p w14:paraId="2C5B0703" w14:textId="7A483793" w:rsidR="00EB50D1" w:rsidRDefault="55E43B5C" w:rsidP="0050317D">
      <w:pPr>
        <w:spacing w:before="180" w:after="120" w:line="276" w:lineRule="auto"/>
        <w:jc w:val="both"/>
        <w:rPr>
          <w:rFonts w:asciiTheme="majorHAnsi" w:hAnsiTheme="majorHAnsi"/>
          <w:noProof/>
        </w:rPr>
      </w:pPr>
      <w:r>
        <w:rPr>
          <w:rFonts w:asciiTheme="majorHAnsi" w:hAnsiTheme="majorHAnsi"/>
          <w:noProof/>
        </w:rPr>
        <w:t>Prezentul raport prezintă previziunile privind intrările și ieșirile din bugetul UE, în conformitate cu articolul </w:t>
      </w:r>
      <w:r w:rsidRPr="00EF3A3A">
        <w:rPr>
          <w:rFonts w:asciiTheme="majorHAnsi" w:hAnsiTheme="majorHAnsi"/>
          <w:noProof/>
        </w:rPr>
        <w:t>253</w:t>
      </w:r>
      <w:r>
        <w:rPr>
          <w:rFonts w:asciiTheme="majorHAnsi" w:hAnsiTheme="majorHAnsi"/>
          <w:noProof/>
        </w:rPr>
        <w:t xml:space="preserve"> alineatul (</w:t>
      </w:r>
      <w:r w:rsidRPr="00EF3A3A">
        <w:rPr>
          <w:rFonts w:asciiTheme="majorHAnsi" w:hAnsiTheme="majorHAnsi"/>
          <w:noProof/>
        </w:rPr>
        <w:t>1</w:t>
      </w:r>
      <w:r>
        <w:rPr>
          <w:rFonts w:asciiTheme="majorHAnsi" w:hAnsiTheme="majorHAnsi"/>
          <w:noProof/>
        </w:rPr>
        <w:t>) litera (c) din Regulamentul financiar</w:t>
      </w:r>
      <w:r>
        <w:rPr>
          <w:rFonts w:asciiTheme="majorHAnsi" w:hAnsiTheme="majorHAnsi"/>
          <w:noProof/>
          <w:vertAlign w:val="superscript"/>
        </w:rPr>
        <w:endnoteReference w:id="2"/>
      </w:r>
      <w:r>
        <w:rPr>
          <w:rFonts w:asciiTheme="majorHAnsi" w:hAnsiTheme="majorHAnsi"/>
          <w:noProof/>
        </w:rPr>
        <w:t>. Această a șasea</w:t>
      </w:r>
      <w:r>
        <w:rPr>
          <w:rStyle w:val="EndnoteReference"/>
          <w:rFonts w:asciiTheme="majorHAnsi" w:hAnsiTheme="majorHAnsi"/>
          <w:noProof/>
        </w:rPr>
        <w:endnoteReference w:id="3"/>
      </w:r>
      <w:r>
        <w:rPr>
          <w:rFonts w:asciiTheme="majorHAnsi" w:hAnsiTheme="majorHAnsi"/>
          <w:noProof/>
        </w:rPr>
        <w:t xml:space="preserve"> ediție prevede veniturile și cheltuielile care decurg din cadrul financiar multianual (CFM) </w:t>
      </w:r>
      <w:r w:rsidRPr="00EF3A3A">
        <w:rPr>
          <w:rFonts w:asciiTheme="majorHAnsi" w:hAnsiTheme="majorHAnsi"/>
          <w:noProof/>
        </w:rPr>
        <w:t>2021</w:t>
      </w:r>
      <w:r>
        <w:rPr>
          <w:rFonts w:asciiTheme="majorHAnsi" w:hAnsiTheme="majorHAnsi"/>
          <w:noProof/>
        </w:rPr>
        <w:t>-</w:t>
      </w:r>
      <w:r w:rsidRPr="00EF3A3A">
        <w:rPr>
          <w:rFonts w:asciiTheme="majorHAnsi" w:hAnsiTheme="majorHAnsi"/>
          <w:noProof/>
        </w:rPr>
        <w:t>2027</w:t>
      </w:r>
      <w:r>
        <w:rPr>
          <w:rFonts w:asciiTheme="majorHAnsi" w:hAnsiTheme="majorHAnsi"/>
          <w:noProof/>
          <w:vertAlign w:val="superscript"/>
        </w:rPr>
        <w:endnoteReference w:id="4"/>
      </w:r>
      <w:r>
        <w:rPr>
          <w:rFonts w:asciiTheme="majorHAnsi" w:hAnsiTheme="majorHAnsi"/>
          <w:noProof/>
        </w:rPr>
        <w:t xml:space="preserve"> și din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pe baza propunerii Comisiei privind următorul CFM</w:t>
      </w:r>
      <w:r>
        <w:rPr>
          <w:rFonts w:asciiTheme="majorHAnsi" w:hAnsiTheme="majorHAnsi"/>
          <w:noProof/>
          <w:vertAlign w:val="superscript"/>
        </w:rPr>
        <w:endnoteReference w:id="5"/>
      </w:r>
      <w:r>
        <w:rPr>
          <w:rFonts w:asciiTheme="majorHAnsi" w:hAnsiTheme="majorHAnsi"/>
          <w:noProof/>
        </w:rPr>
        <w:t xml:space="preserve"> pentru plățile aferente angajamentelor din perioada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w:t>
      </w:r>
    </w:p>
    <w:p w14:paraId="79BF96EE" w14:textId="24EE0F8D" w:rsidR="00824C63" w:rsidRDefault="00824C63" w:rsidP="0050317D">
      <w:pPr>
        <w:spacing w:before="180" w:after="120" w:line="276" w:lineRule="auto"/>
        <w:jc w:val="both"/>
        <w:rPr>
          <w:rFonts w:asciiTheme="majorHAnsi" w:hAnsiTheme="majorHAnsi"/>
          <w:noProof/>
        </w:rPr>
      </w:pPr>
      <w:r>
        <w:rPr>
          <w:rFonts w:asciiTheme="majorHAnsi" w:hAnsiTheme="majorHAnsi"/>
          <w:noProof/>
        </w:rPr>
        <w:t xml:space="preserve">În ceea ce privește cheltuielile, raportul prevede plățile care decurg din angajamentele asumate în cadrul CFM-urilor actuale și anterioare, inclusiv stocul de angajamente restante (RAL) preconizat la sfârșitul anului </w:t>
      </w:r>
      <w:r w:rsidRPr="00EF3A3A">
        <w:rPr>
          <w:rFonts w:asciiTheme="majorHAnsi" w:hAnsiTheme="majorHAnsi"/>
          <w:noProof/>
        </w:rPr>
        <w:t>2027</w:t>
      </w:r>
      <w:r>
        <w:rPr>
          <w:rFonts w:asciiTheme="majorHAnsi" w:hAnsiTheme="majorHAnsi"/>
          <w:noProof/>
        </w:rPr>
        <w:t xml:space="preserve">. La fel ca în raportul de anul trecut, prezentul raport preconizează, de asemenea, plăți legate de angajamente care ar urma să fie asumate în cadrul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pe baza propunerii Comisiei pentru următorul CFM.</w:t>
      </w:r>
    </w:p>
    <w:p w14:paraId="1859AD78" w14:textId="17078BB5" w:rsidR="00D726CC" w:rsidRDefault="00DC5279" w:rsidP="00440630">
      <w:pPr>
        <w:spacing w:before="180" w:after="120" w:line="276" w:lineRule="auto"/>
        <w:jc w:val="both"/>
        <w:rPr>
          <w:rFonts w:asciiTheme="majorHAnsi" w:hAnsiTheme="majorHAnsi"/>
          <w:noProof/>
        </w:rPr>
      </w:pPr>
      <w:r>
        <w:rPr>
          <w:rFonts w:asciiTheme="majorHAnsi" w:hAnsiTheme="majorHAnsi"/>
          <w:noProof/>
        </w:rPr>
        <w:t xml:space="preserve">Veniturile pentru </w:t>
      </w:r>
      <w:r w:rsidRPr="00EF3A3A">
        <w:rPr>
          <w:rFonts w:asciiTheme="majorHAnsi" w:hAnsiTheme="majorHAnsi"/>
          <w:noProof/>
        </w:rPr>
        <w:t>2027</w:t>
      </w:r>
      <w:r>
        <w:rPr>
          <w:rFonts w:asciiTheme="majorHAnsi" w:hAnsiTheme="majorHAnsi"/>
          <w:noProof/>
        </w:rPr>
        <w:t xml:space="preserve"> se bazează pe proiectul de buget </w:t>
      </w:r>
      <w:r w:rsidRPr="00EF3A3A">
        <w:rPr>
          <w:rFonts w:asciiTheme="majorHAnsi" w:hAnsiTheme="majorHAnsi"/>
          <w:noProof/>
        </w:rPr>
        <w:t>2027</w:t>
      </w:r>
      <w:r>
        <w:rPr>
          <w:rFonts w:asciiTheme="majorHAnsi" w:hAnsiTheme="majorHAnsi"/>
          <w:noProof/>
        </w:rPr>
        <w:t xml:space="preserve">. Veniturile începând din </w:t>
      </w:r>
      <w:r w:rsidRPr="00EF3A3A">
        <w:rPr>
          <w:rFonts w:asciiTheme="majorHAnsi" w:hAnsiTheme="majorHAnsi"/>
          <w:noProof/>
        </w:rPr>
        <w:t>2028</w:t>
      </w:r>
      <w:r>
        <w:rPr>
          <w:rFonts w:asciiTheme="majorHAnsi" w:hAnsiTheme="majorHAnsi"/>
          <w:noProof/>
        </w:rPr>
        <w:t xml:space="preserve"> sunt estimate pe baza propunerii Comisiei din </w:t>
      </w:r>
      <w:r w:rsidRPr="00EF3A3A">
        <w:rPr>
          <w:rFonts w:asciiTheme="majorHAnsi" w:hAnsiTheme="majorHAnsi"/>
          <w:noProof/>
        </w:rPr>
        <w:t>2025</w:t>
      </w:r>
      <w:r>
        <w:rPr>
          <w:rFonts w:asciiTheme="majorHAnsi" w:hAnsiTheme="majorHAnsi"/>
          <w:noProof/>
        </w:rPr>
        <w:t xml:space="preserve"> referitoare la o nouă decizie privind resursele proprii</w:t>
      </w:r>
      <w:r>
        <w:rPr>
          <w:rStyle w:val="EndnoteReference"/>
          <w:noProof/>
        </w:rPr>
        <w:endnoteReference w:id="6"/>
      </w:r>
      <w:r>
        <w:rPr>
          <w:rFonts w:asciiTheme="majorHAnsi" w:hAnsiTheme="majorHAnsi"/>
          <w:noProof/>
        </w:rPr>
        <w:t>. Previziunile privind veniturile țin seama, de asemenea, de Acordul privind retragerea Regatului Unit al Marii Britanii și Irlandei de Nord din Uniunea Europeană și din Comunitatea Europeană a Energiei Atomice</w:t>
      </w:r>
      <w:r>
        <w:rPr>
          <w:rStyle w:val="EndnoteReference"/>
          <w:noProof/>
        </w:rPr>
        <w:endnoteReference w:id="7"/>
      </w:r>
      <w:r>
        <w:rPr>
          <w:rFonts w:asciiTheme="majorHAnsi" w:hAnsiTheme="majorHAnsi"/>
          <w:noProof/>
        </w:rPr>
        <w:t xml:space="preserve"> („Acordul de retragere”).</w:t>
      </w:r>
    </w:p>
    <w:p w14:paraId="43B1767A" w14:textId="207155FD" w:rsidR="00E46775" w:rsidRDefault="003B6DC2" w:rsidP="4A9B78FD">
      <w:pPr>
        <w:spacing w:before="180" w:after="120" w:line="276" w:lineRule="auto"/>
        <w:jc w:val="both"/>
        <w:rPr>
          <w:rFonts w:asciiTheme="majorHAnsi" w:hAnsiTheme="majorHAnsi"/>
          <w:noProof/>
        </w:rPr>
      </w:pPr>
      <w:bookmarkStart w:id="16" w:name="_Hlk133853331"/>
      <w:r>
        <w:rPr>
          <w:rFonts w:asciiTheme="majorHAnsi" w:hAnsiTheme="majorHAnsi"/>
          <w:noProof/>
        </w:rPr>
        <w:t xml:space="preserve">Estimările privind plățile din prezentul raport se bazează pe plafoanele de cheltuieli revizuite (ajustarea tehnică a CFM pentru </w:t>
      </w:r>
      <w:r w:rsidRPr="00EF3A3A">
        <w:rPr>
          <w:rFonts w:asciiTheme="majorHAnsi" w:hAnsiTheme="majorHAnsi"/>
          <w:noProof/>
        </w:rPr>
        <w:t>2027</w:t>
      </w:r>
      <w:r>
        <w:rPr>
          <w:rFonts w:asciiTheme="majorHAnsi" w:hAnsiTheme="majorHAnsi"/>
          <w:noProof/>
        </w:rPr>
        <w:t>)</w:t>
      </w:r>
      <w:r>
        <w:rPr>
          <w:rStyle w:val="EndnoteReference"/>
          <w:rFonts w:asciiTheme="majorHAnsi" w:hAnsiTheme="majorHAnsi"/>
          <w:noProof/>
        </w:rPr>
        <w:endnoteReference w:id="8"/>
      </w:r>
      <w:r>
        <w:rPr>
          <w:rFonts w:asciiTheme="majorHAnsi" w:hAnsiTheme="majorHAnsi"/>
          <w:noProof/>
        </w:rPr>
        <w:t xml:space="preserve"> și pe creditele de angajament incluse în proiectul de buget </w:t>
      </w:r>
      <w:r w:rsidRPr="00EF3A3A">
        <w:rPr>
          <w:rFonts w:asciiTheme="majorHAnsi" w:hAnsiTheme="majorHAnsi"/>
          <w:noProof/>
        </w:rPr>
        <w:t>2027</w:t>
      </w:r>
      <w:r>
        <w:rPr>
          <w:rStyle w:val="EndnoteReference"/>
          <w:rFonts w:asciiTheme="majorHAnsi" w:hAnsiTheme="majorHAnsi"/>
          <w:noProof/>
        </w:rPr>
        <w:endnoteReference w:id="9"/>
      </w:r>
      <w:r>
        <w:rPr>
          <w:rFonts w:asciiTheme="majorHAnsi" w:hAnsiTheme="majorHAnsi"/>
          <w:noProof/>
        </w:rPr>
        <w:t xml:space="preserve">, care include ajustările specifice programului în temeiul articolului </w:t>
      </w:r>
      <w:r w:rsidRPr="00EF3A3A">
        <w:rPr>
          <w:rFonts w:asciiTheme="majorHAnsi" w:hAnsiTheme="majorHAnsi"/>
          <w:noProof/>
        </w:rPr>
        <w:t>5</w:t>
      </w:r>
      <w:r>
        <w:rPr>
          <w:rFonts w:asciiTheme="majorHAnsi" w:hAnsiTheme="majorHAnsi"/>
          <w:noProof/>
        </w:rPr>
        <w:t xml:space="preserve"> din Regulamentul privind CFM</w:t>
      </w:r>
      <w:r>
        <w:rPr>
          <w:rStyle w:val="EndnoteReference"/>
          <w:rFonts w:asciiTheme="majorHAnsi" w:hAnsiTheme="majorHAnsi"/>
          <w:noProof/>
        </w:rPr>
        <w:endnoteReference w:id="10"/>
      </w:r>
      <w:r>
        <w:rPr>
          <w:rFonts w:asciiTheme="majorHAnsi" w:hAnsiTheme="majorHAnsi"/>
          <w:noProof/>
        </w:rPr>
        <w:t xml:space="preserve"> (RCFM)</w:t>
      </w:r>
      <w:r>
        <w:rPr>
          <w:rFonts w:asciiTheme="majorHAnsi" w:hAnsiTheme="majorHAnsi"/>
          <w:noProof/>
          <w:vertAlign w:val="superscript"/>
        </w:rPr>
        <w:endnoteReference w:id="11"/>
      </w:r>
      <w:r>
        <w:rPr>
          <w:rFonts w:asciiTheme="majorHAnsi" w:hAnsiTheme="majorHAnsi"/>
          <w:noProof/>
        </w:rPr>
        <w:t xml:space="preserve">, precum și reutilizarea dezangajărilor în temeiul articolului </w:t>
      </w:r>
      <w:r w:rsidRPr="00EF3A3A">
        <w:rPr>
          <w:rFonts w:asciiTheme="majorHAnsi" w:hAnsiTheme="majorHAnsi"/>
          <w:noProof/>
        </w:rPr>
        <w:t>15</w:t>
      </w:r>
      <w:r>
        <w:rPr>
          <w:rFonts w:asciiTheme="majorHAnsi" w:hAnsiTheme="majorHAnsi"/>
          <w:noProof/>
        </w:rPr>
        <w:t xml:space="preserve"> alineatul (</w:t>
      </w:r>
      <w:r w:rsidRPr="00EF3A3A">
        <w:rPr>
          <w:rFonts w:asciiTheme="majorHAnsi" w:hAnsiTheme="majorHAnsi"/>
          <w:noProof/>
        </w:rPr>
        <w:t>3</w:t>
      </w:r>
      <w:r>
        <w:rPr>
          <w:rFonts w:asciiTheme="majorHAnsi" w:hAnsiTheme="majorHAnsi"/>
          <w:noProof/>
        </w:rPr>
        <w:t>)</w:t>
      </w:r>
      <w:r>
        <w:rPr>
          <w:rFonts w:asciiTheme="majorHAnsi" w:hAnsiTheme="majorHAnsi"/>
          <w:noProof/>
          <w:vertAlign w:val="superscript"/>
        </w:rPr>
        <w:endnoteReference w:id="12"/>
      </w:r>
      <w:r>
        <w:rPr>
          <w:rFonts w:asciiTheme="majorHAnsi" w:hAnsiTheme="majorHAnsi"/>
          <w:noProof/>
        </w:rPr>
        <w:t xml:space="preserve"> din Regulamentul financiar.</w:t>
      </w:r>
    </w:p>
    <w:bookmarkEnd w:id="16"/>
    <w:p w14:paraId="6BE5B2C0" w14:textId="5CFC00FF" w:rsidR="009B09BA" w:rsidRPr="00F423B9" w:rsidRDefault="00EA740D" w:rsidP="0050317D">
      <w:pPr>
        <w:spacing w:before="180" w:after="120" w:line="276" w:lineRule="auto"/>
        <w:jc w:val="both"/>
        <w:rPr>
          <w:rFonts w:asciiTheme="majorHAnsi" w:hAnsiTheme="majorHAnsi"/>
          <w:noProof/>
        </w:rPr>
      </w:pPr>
      <w:r>
        <w:rPr>
          <w:rFonts w:asciiTheme="majorHAnsi" w:hAnsiTheme="majorHAnsi"/>
          <w:noProof/>
        </w:rPr>
        <w:t xml:space="preserve">În ceea ce privește NextGenerationEU, toate împrumuturile nete pentru finanțarea noilor plăți vor fi finalizate până la sfârșitul anului </w:t>
      </w:r>
      <w:r w:rsidRPr="00EF3A3A">
        <w:rPr>
          <w:rFonts w:asciiTheme="majorHAnsi" w:hAnsiTheme="majorHAnsi"/>
          <w:noProof/>
        </w:rPr>
        <w:t>2026</w:t>
      </w:r>
      <w:r>
        <w:rPr>
          <w:rFonts w:asciiTheme="majorHAnsi" w:hAnsiTheme="majorHAnsi"/>
          <w:noProof/>
        </w:rPr>
        <w:t xml:space="preserve">. Ulterior, vor fi efectuate doar plăți minore, în principal pentru cheltuieli administrative. Plățile din cadrul NextGenerationEU nu intră în domeniul de aplicare al prezentului raport, care acoperă perioada începând din </w:t>
      </w:r>
      <w:r w:rsidRPr="00EF3A3A">
        <w:rPr>
          <w:rFonts w:asciiTheme="majorHAnsi" w:hAnsiTheme="majorHAnsi"/>
          <w:noProof/>
        </w:rPr>
        <w:t>2027</w:t>
      </w:r>
      <w:r>
        <w:rPr>
          <w:rFonts w:asciiTheme="majorHAnsi" w:hAnsiTheme="majorHAnsi"/>
          <w:noProof/>
        </w:rPr>
        <w:t>.</w:t>
      </w:r>
    </w:p>
    <w:p w14:paraId="0C794B59" w14:textId="2A1E945E" w:rsidR="00861C1C" w:rsidRPr="00F423B9" w:rsidRDefault="003B6DC2" w:rsidP="00B95218">
      <w:pPr>
        <w:pStyle w:val="amprH2TITLE1-Numbered-1"/>
        <w:spacing w:after="240"/>
        <w:rPr>
          <w:rFonts w:asciiTheme="majorHAnsi" w:hAnsiTheme="majorHAnsi"/>
          <w:noProof/>
        </w:rPr>
      </w:pPr>
      <w:bookmarkStart w:id="17" w:name="_Toc494974438"/>
      <w:bookmarkStart w:id="18" w:name="_Toc524523058"/>
      <w:bookmarkStart w:id="19" w:name="_Toc235439606"/>
      <w:bookmarkEnd w:id="17"/>
      <w:bookmarkEnd w:id="18"/>
      <w:r>
        <w:rPr>
          <w:rFonts w:asciiTheme="majorHAnsi" w:hAnsiTheme="majorHAnsi"/>
          <w:noProof/>
        </w:rPr>
        <w:t xml:space="preserve">Prognoza privind ieșirile din bugetul UE </w:t>
      </w:r>
      <w:r w:rsidR="00EF3A3A">
        <w:rPr>
          <w:noProof/>
        </w:rPr>
        <w:br/>
      </w:r>
      <w:r>
        <w:rPr>
          <w:rFonts w:asciiTheme="majorHAnsi" w:hAnsiTheme="majorHAnsi"/>
          <w:noProof/>
        </w:rPr>
        <w:t xml:space="preserve">pentru perioada </w:t>
      </w:r>
      <w:r w:rsidRPr="00EF3A3A">
        <w:rPr>
          <w:rFonts w:asciiTheme="majorHAnsi" w:hAnsiTheme="majorHAnsi"/>
          <w:noProof/>
        </w:rPr>
        <w:t>2027</w:t>
      </w:r>
      <w:r>
        <w:rPr>
          <w:rFonts w:asciiTheme="majorHAnsi" w:hAnsiTheme="majorHAnsi"/>
          <w:noProof/>
        </w:rPr>
        <w:t>-</w:t>
      </w:r>
      <w:r w:rsidRPr="00EF3A3A">
        <w:rPr>
          <w:rFonts w:asciiTheme="majorHAnsi" w:hAnsiTheme="majorHAnsi"/>
          <w:noProof/>
        </w:rPr>
        <w:t>2034</w:t>
      </w:r>
      <w:bookmarkEnd w:id="19"/>
    </w:p>
    <w:p w14:paraId="6026CE0B" w14:textId="039B6C23" w:rsidR="001B4E5E" w:rsidRPr="00F423B9" w:rsidRDefault="31B9AE73" w:rsidP="00B95218">
      <w:pPr>
        <w:spacing w:before="120" w:after="120"/>
        <w:jc w:val="both"/>
        <w:rPr>
          <w:rFonts w:asciiTheme="majorHAnsi" w:hAnsiTheme="majorHAnsi"/>
          <w:noProof/>
        </w:rPr>
      </w:pPr>
      <w:r>
        <w:rPr>
          <w:noProof/>
        </w:rPr>
        <w:t xml:space="preserve">În perioada </w:t>
      </w:r>
      <w:r w:rsidRPr="00EF3A3A">
        <w:rPr>
          <w:noProof/>
        </w:rPr>
        <w:t>2027</w:t>
      </w:r>
      <w:r>
        <w:rPr>
          <w:noProof/>
        </w:rPr>
        <w:t>-</w:t>
      </w:r>
      <w:r w:rsidRPr="00EF3A3A">
        <w:rPr>
          <w:noProof/>
        </w:rPr>
        <w:t>2034</w:t>
      </w:r>
      <w:r>
        <w:rPr>
          <w:noProof/>
        </w:rPr>
        <w:t xml:space="preserve">, plățile sunt estimate la </w:t>
      </w:r>
      <w:r w:rsidRPr="00EF3A3A">
        <w:rPr>
          <w:noProof/>
        </w:rPr>
        <w:t>2</w:t>
      </w:r>
      <w:r>
        <w:rPr>
          <w:noProof/>
        </w:rPr>
        <w:t> </w:t>
      </w:r>
      <w:r w:rsidRPr="00EF3A3A">
        <w:rPr>
          <w:noProof/>
        </w:rPr>
        <w:t>173</w:t>
      </w:r>
      <w:r>
        <w:rPr>
          <w:noProof/>
        </w:rPr>
        <w:t xml:space="preserve"> de miliarde EUR</w:t>
      </w:r>
      <w:r>
        <w:rPr>
          <w:rStyle w:val="EndnoteReference"/>
          <w:noProof/>
        </w:rPr>
        <w:endnoteReference w:id="13"/>
      </w:r>
      <w:r>
        <w:rPr>
          <w:noProof/>
        </w:rPr>
        <w:t>.</w:t>
      </w:r>
      <w:r>
        <w:rPr>
          <w:rFonts w:asciiTheme="majorHAnsi" w:hAnsiTheme="majorHAnsi"/>
          <w:noProof/>
        </w:rPr>
        <w:t xml:space="preserve"> Media anuală estimată a ieșirilor din bugetul UE este de </w:t>
      </w:r>
      <w:r w:rsidRPr="00EF3A3A">
        <w:rPr>
          <w:rFonts w:asciiTheme="majorHAnsi" w:hAnsiTheme="majorHAnsi"/>
          <w:noProof/>
        </w:rPr>
        <w:t>272</w:t>
      </w:r>
      <w:r>
        <w:rPr>
          <w:rFonts w:asciiTheme="majorHAnsi" w:hAnsiTheme="majorHAnsi"/>
          <w:noProof/>
        </w:rPr>
        <w:t xml:space="preserve"> de miliarde EUR</w:t>
      </w:r>
      <w:r>
        <w:rPr>
          <w:noProof/>
        </w:rPr>
        <w:t>.</w:t>
      </w:r>
    </w:p>
    <w:p w14:paraId="54724F62" w14:textId="3E893178" w:rsidR="00BA45A1" w:rsidRDefault="00744FFD" w:rsidP="00B95218">
      <w:pPr>
        <w:spacing w:before="120" w:after="120" w:line="276" w:lineRule="auto"/>
        <w:jc w:val="both"/>
        <w:rPr>
          <w:rFonts w:asciiTheme="majorHAnsi" w:hAnsiTheme="majorHAnsi"/>
          <w:noProof/>
        </w:rPr>
      </w:pPr>
      <w:r>
        <w:rPr>
          <w:rFonts w:asciiTheme="majorHAnsi" w:hAnsiTheme="majorHAnsi"/>
          <w:noProof/>
        </w:rPr>
        <w:t>Acestea sunt compuse din:</w:t>
      </w:r>
    </w:p>
    <w:p w14:paraId="6E4476C7" w14:textId="77777777" w:rsidR="009F1AFB" w:rsidRDefault="009F1AFB" w:rsidP="009F1AFB">
      <w:pPr>
        <w:pStyle w:val="ListParagraph"/>
        <w:numPr>
          <w:ilvl w:val="0"/>
          <w:numId w:val="31"/>
        </w:numPr>
        <w:spacing w:after="120" w:line="276" w:lineRule="auto"/>
        <w:jc w:val="both"/>
        <w:rPr>
          <w:rFonts w:asciiTheme="majorHAnsi" w:hAnsiTheme="majorHAnsi"/>
          <w:noProof/>
        </w:rPr>
      </w:pPr>
      <w:r>
        <w:rPr>
          <w:rFonts w:asciiTheme="majorHAnsi" w:hAnsiTheme="majorHAnsi"/>
          <w:noProof/>
        </w:rPr>
        <w:t xml:space="preserve">Plăți aferente angajamentelor asumate în CFM </w:t>
      </w:r>
      <w:r w:rsidRPr="00EF3A3A">
        <w:rPr>
          <w:rFonts w:asciiTheme="majorHAnsi" w:hAnsiTheme="majorHAnsi"/>
          <w:noProof/>
        </w:rPr>
        <w:t>2021</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și în CFM-urile anterioare</w:t>
      </w:r>
    </w:p>
    <w:p w14:paraId="5843F642" w14:textId="3BE56F68" w:rsidR="009F1AFB" w:rsidRPr="00F423B9" w:rsidRDefault="009F1AFB" w:rsidP="009F1AFB">
      <w:pPr>
        <w:spacing w:before="120" w:after="120" w:line="276" w:lineRule="auto"/>
        <w:jc w:val="both"/>
        <w:rPr>
          <w:rFonts w:asciiTheme="majorHAnsi" w:hAnsiTheme="majorHAnsi"/>
          <w:noProof/>
        </w:rPr>
      </w:pPr>
      <w:r>
        <w:rPr>
          <w:noProof/>
        </w:rPr>
        <w:t xml:space="preserve">Plățile pentru angajamentele asumate în CFM </w:t>
      </w:r>
      <w:r w:rsidRPr="00EF3A3A">
        <w:rPr>
          <w:noProof/>
        </w:rPr>
        <w:t>2021</w:t>
      </w:r>
      <w:r>
        <w:rPr>
          <w:noProof/>
        </w:rPr>
        <w:t>-</w:t>
      </w:r>
      <w:r w:rsidRPr="00EF3A3A">
        <w:rPr>
          <w:noProof/>
        </w:rPr>
        <w:t>2027</w:t>
      </w:r>
      <w:r>
        <w:rPr>
          <w:noProof/>
        </w:rPr>
        <w:t xml:space="preserve"> sunt efectuate parțial în </w:t>
      </w:r>
      <w:r w:rsidRPr="00EF3A3A">
        <w:rPr>
          <w:noProof/>
        </w:rPr>
        <w:t>2027</w:t>
      </w:r>
      <w:r>
        <w:rPr>
          <w:noProof/>
        </w:rPr>
        <w:t xml:space="preserve"> și parțial în CFM </w:t>
      </w:r>
      <w:r w:rsidRPr="00EF3A3A">
        <w:rPr>
          <w:noProof/>
        </w:rPr>
        <w:t>2028</w:t>
      </w:r>
      <w:r w:rsidR="00EF3A3A">
        <w:rPr>
          <w:noProof/>
        </w:rPr>
        <w:t>­</w:t>
      </w:r>
      <w:r w:rsidRPr="00EF3A3A">
        <w:rPr>
          <w:noProof/>
        </w:rPr>
        <w:t>2034</w:t>
      </w:r>
      <w:r>
        <w:rPr>
          <w:noProof/>
        </w:rPr>
        <w:t xml:space="preserve">, cu un total estimat de </w:t>
      </w:r>
      <w:r w:rsidRPr="00EF3A3A">
        <w:rPr>
          <w:b/>
          <w:noProof/>
        </w:rPr>
        <w:t>527 de miliarde EUR</w:t>
      </w:r>
      <w:r>
        <w:rPr>
          <w:noProof/>
        </w:rPr>
        <w:t xml:space="preserve">, sau, în medie, </w:t>
      </w:r>
      <w:r w:rsidRPr="00EF3A3A">
        <w:rPr>
          <w:noProof/>
        </w:rPr>
        <w:t>75</w:t>
      </w:r>
      <w:r>
        <w:rPr>
          <w:noProof/>
        </w:rPr>
        <w:t>,</w:t>
      </w:r>
      <w:r w:rsidRPr="00EF3A3A">
        <w:rPr>
          <w:noProof/>
        </w:rPr>
        <w:t>3</w:t>
      </w:r>
      <w:r>
        <w:rPr>
          <w:noProof/>
        </w:rPr>
        <w:t xml:space="preserve"> miliarde EUR pentru perioada </w:t>
      </w:r>
      <w:r w:rsidRPr="00EF3A3A">
        <w:rPr>
          <w:noProof/>
        </w:rPr>
        <w:t>2027</w:t>
      </w:r>
      <w:r w:rsidR="00EF3A3A">
        <w:rPr>
          <w:noProof/>
        </w:rPr>
        <w:t>­</w:t>
      </w:r>
      <w:r w:rsidRPr="00EF3A3A">
        <w:rPr>
          <w:noProof/>
        </w:rPr>
        <w:t>2033</w:t>
      </w:r>
      <w:r>
        <w:rPr>
          <w:noProof/>
        </w:rPr>
        <w:t>.</w:t>
      </w:r>
      <w:r>
        <w:rPr>
          <w:rFonts w:asciiTheme="majorHAnsi" w:hAnsiTheme="majorHAnsi"/>
          <w:noProof/>
        </w:rPr>
        <w:t xml:space="preserve"> Aproximativ </w:t>
      </w:r>
      <w:r w:rsidRPr="00EF3A3A">
        <w:rPr>
          <w:rFonts w:asciiTheme="majorHAnsi" w:hAnsiTheme="majorHAnsi"/>
          <w:noProof/>
        </w:rPr>
        <w:t>40</w:t>
      </w:r>
      <w:r>
        <w:rPr>
          <w:rFonts w:asciiTheme="majorHAnsi" w:hAnsiTheme="majorHAnsi"/>
          <w:noProof/>
        </w:rPr>
        <w:t xml:space="preserve"> % din aceste plăți, și anume </w:t>
      </w:r>
      <w:r w:rsidRPr="00EF3A3A">
        <w:rPr>
          <w:rFonts w:asciiTheme="majorHAnsi" w:hAnsiTheme="majorHAnsi"/>
          <w:noProof/>
        </w:rPr>
        <w:t>210</w:t>
      </w:r>
      <w:r>
        <w:rPr>
          <w:rFonts w:asciiTheme="majorHAnsi" w:hAnsiTheme="majorHAnsi"/>
          <w:noProof/>
        </w:rPr>
        <w:t xml:space="preserve"> miliarde EUR, sunt preconizate în </w:t>
      </w:r>
      <w:r w:rsidRPr="00EF3A3A">
        <w:rPr>
          <w:rFonts w:asciiTheme="majorHAnsi" w:hAnsiTheme="majorHAnsi"/>
          <w:noProof/>
        </w:rPr>
        <w:t>2027</w:t>
      </w:r>
      <w:r>
        <w:rPr>
          <w:rFonts w:asciiTheme="majorHAnsi" w:hAnsiTheme="majorHAnsi"/>
          <w:noProof/>
        </w:rPr>
        <w:t xml:space="preserve">, în conformitate cu propunerea de proiect de buget. Se preconizează că restul de </w:t>
      </w:r>
      <w:r w:rsidRPr="00EF3A3A">
        <w:rPr>
          <w:rFonts w:asciiTheme="majorHAnsi" w:hAnsiTheme="majorHAnsi"/>
          <w:noProof/>
        </w:rPr>
        <w:t>317</w:t>
      </w:r>
      <w:r>
        <w:rPr>
          <w:rFonts w:asciiTheme="majorHAnsi" w:hAnsiTheme="majorHAnsi"/>
          <w:noProof/>
        </w:rPr>
        <w:t xml:space="preserve"> miliarde EUR vor fi plătite în principal în primii </w:t>
      </w:r>
      <w:r w:rsidRPr="00EF3A3A">
        <w:rPr>
          <w:rFonts w:asciiTheme="majorHAnsi" w:hAnsiTheme="majorHAnsi"/>
          <w:noProof/>
        </w:rPr>
        <w:t>3</w:t>
      </w:r>
      <w:r>
        <w:rPr>
          <w:rFonts w:asciiTheme="majorHAnsi" w:hAnsiTheme="majorHAnsi"/>
          <w:noProof/>
        </w:rPr>
        <w:t xml:space="preserve"> ani ai noului CFM. Acest lucru este în concordanță cu modelele anterioare de punere în aplicare, pe măsură ce programele (în special politica de coeziune) ating viteza de croazieră. Plățile aferente angajamentelor restante din CFM anterioare perioadei </w:t>
      </w:r>
      <w:r w:rsidRPr="00EF3A3A">
        <w:rPr>
          <w:rFonts w:asciiTheme="majorHAnsi" w:hAnsiTheme="majorHAnsi"/>
          <w:noProof/>
        </w:rPr>
        <w:t>2021</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sunt estimate la </w:t>
      </w:r>
      <w:r w:rsidRPr="00EF3A3A">
        <w:rPr>
          <w:rFonts w:asciiTheme="majorHAnsi" w:hAnsiTheme="majorHAnsi"/>
          <w:noProof/>
        </w:rPr>
        <w:t>5</w:t>
      </w:r>
      <w:r>
        <w:rPr>
          <w:rFonts w:asciiTheme="majorHAnsi" w:hAnsiTheme="majorHAnsi"/>
          <w:noProof/>
        </w:rPr>
        <w:t>,</w:t>
      </w:r>
      <w:r w:rsidRPr="00EF3A3A">
        <w:rPr>
          <w:rFonts w:asciiTheme="majorHAnsi" w:hAnsiTheme="majorHAnsi"/>
          <w:noProof/>
        </w:rPr>
        <w:t>9</w:t>
      </w:r>
      <w:r>
        <w:rPr>
          <w:rFonts w:asciiTheme="majorHAnsi" w:hAnsiTheme="majorHAnsi"/>
          <w:noProof/>
        </w:rPr>
        <w:t xml:space="preserve"> miliarde EUR sau, în medie, </w:t>
      </w:r>
      <w:r w:rsidRPr="00EF3A3A">
        <w:rPr>
          <w:rFonts w:asciiTheme="majorHAnsi" w:hAnsiTheme="majorHAnsi"/>
          <w:noProof/>
        </w:rPr>
        <w:t>0</w:t>
      </w:r>
      <w:r>
        <w:rPr>
          <w:rFonts w:asciiTheme="majorHAnsi" w:hAnsiTheme="majorHAnsi"/>
          <w:noProof/>
        </w:rPr>
        <w:t>,</w:t>
      </w:r>
      <w:r w:rsidRPr="00EF3A3A">
        <w:rPr>
          <w:rFonts w:asciiTheme="majorHAnsi" w:hAnsiTheme="majorHAnsi"/>
          <w:noProof/>
        </w:rPr>
        <w:t>8</w:t>
      </w:r>
      <w:r>
        <w:rPr>
          <w:rFonts w:ascii="Calibri" w:hAnsi="Calibri"/>
          <w:noProof/>
        </w:rPr>
        <w:t xml:space="preserve"> </w:t>
      </w:r>
      <w:r>
        <w:rPr>
          <w:rFonts w:asciiTheme="majorHAnsi" w:hAnsiTheme="majorHAnsi"/>
          <w:noProof/>
        </w:rPr>
        <w:t xml:space="preserve">miliarde EUR pentru perioada </w:t>
      </w:r>
      <w:r w:rsidRPr="00EF3A3A">
        <w:rPr>
          <w:rFonts w:asciiTheme="majorHAnsi" w:hAnsiTheme="majorHAnsi"/>
          <w:noProof/>
        </w:rPr>
        <w:t>2027</w:t>
      </w:r>
      <w:r>
        <w:rPr>
          <w:rFonts w:asciiTheme="majorHAnsi" w:hAnsiTheme="majorHAnsi"/>
          <w:noProof/>
        </w:rPr>
        <w:t>-</w:t>
      </w:r>
      <w:r w:rsidRPr="00EF3A3A">
        <w:rPr>
          <w:rFonts w:asciiTheme="majorHAnsi" w:hAnsiTheme="majorHAnsi"/>
          <w:noProof/>
        </w:rPr>
        <w:t>2033</w:t>
      </w:r>
      <w:r>
        <w:rPr>
          <w:rFonts w:asciiTheme="majorHAnsi" w:hAnsiTheme="majorHAnsi"/>
          <w:noProof/>
        </w:rPr>
        <w:t xml:space="preserve">. Se preconizează că acestea vor scădea și vor fi eliminate treptat până la sfârșitul anului </w:t>
      </w:r>
      <w:r w:rsidRPr="00EF3A3A">
        <w:rPr>
          <w:rFonts w:asciiTheme="majorHAnsi" w:hAnsiTheme="majorHAnsi"/>
          <w:noProof/>
        </w:rPr>
        <w:t>2033</w:t>
      </w:r>
      <w:r>
        <w:rPr>
          <w:rFonts w:asciiTheme="majorHAnsi" w:hAnsiTheme="majorHAnsi"/>
          <w:noProof/>
        </w:rPr>
        <w:t>.</w:t>
      </w:r>
    </w:p>
    <w:p w14:paraId="1BAD838F" w14:textId="634D2F31" w:rsidR="007851BF" w:rsidRDefault="00DA0258" w:rsidP="0075144A">
      <w:pPr>
        <w:pStyle w:val="ListParagraph"/>
        <w:keepNext/>
        <w:numPr>
          <w:ilvl w:val="0"/>
          <w:numId w:val="31"/>
        </w:numPr>
        <w:spacing w:after="120" w:line="276" w:lineRule="auto"/>
        <w:ind w:left="714" w:hanging="357"/>
        <w:jc w:val="both"/>
        <w:rPr>
          <w:rFonts w:asciiTheme="majorHAnsi" w:hAnsiTheme="majorHAnsi"/>
          <w:noProof/>
        </w:rPr>
      </w:pPr>
      <w:r>
        <w:rPr>
          <w:rFonts w:asciiTheme="majorHAnsi" w:hAnsiTheme="majorHAnsi"/>
          <w:noProof/>
        </w:rPr>
        <w:t xml:space="preserve">Plăți aferente angajamentelor pentru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w:t>
      </w:r>
    </w:p>
    <w:p w14:paraId="4C58296F" w14:textId="06C3C9AA" w:rsidR="00C47DAD" w:rsidRPr="007B2374" w:rsidRDefault="00100819" w:rsidP="0033008E">
      <w:pPr>
        <w:spacing w:after="120" w:line="276" w:lineRule="auto"/>
        <w:jc w:val="both"/>
        <w:rPr>
          <w:rFonts w:asciiTheme="majorHAnsi" w:hAnsiTheme="majorHAnsi"/>
          <w:noProof/>
          <w:spacing w:val="-4"/>
        </w:rPr>
      </w:pPr>
      <w:r>
        <w:rPr>
          <w:rFonts w:asciiTheme="majorHAnsi" w:hAnsiTheme="majorHAnsi"/>
          <w:noProof/>
        </w:rPr>
        <w:t xml:space="preserve">În conformitate cu propunerea Comisiei privind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din iulie </w:t>
      </w:r>
      <w:r w:rsidRPr="00EF3A3A">
        <w:rPr>
          <w:rFonts w:asciiTheme="majorHAnsi" w:hAnsiTheme="majorHAnsi"/>
          <w:noProof/>
        </w:rPr>
        <w:t>2025</w:t>
      </w:r>
      <w:r>
        <w:rPr>
          <w:rFonts w:asciiTheme="majorHAnsi" w:hAnsiTheme="majorHAnsi"/>
          <w:noProof/>
        </w:rPr>
        <w:t xml:space="preserve"> și cu raportul de anul trecut, plățile aferente angajamentelor asumate în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se ridică, în medie, la </w:t>
      </w:r>
      <w:r w:rsidRPr="00EF3A3A">
        <w:rPr>
          <w:rFonts w:asciiTheme="majorHAnsi" w:hAnsiTheme="majorHAnsi"/>
          <w:noProof/>
        </w:rPr>
        <w:t>234</w:t>
      </w:r>
      <w:r>
        <w:rPr>
          <w:rFonts w:asciiTheme="majorHAnsi" w:hAnsiTheme="majorHAnsi"/>
          <w:noProof/>
        </w:rPr>
        <w:t xml:space="preserve"> de miliarde EUR pe an, </w:t>
      </w:r>
      <w:r w:rsidRPr="00EF3A3A">
        <w:rPr>
          <w:rFonts w:asciiTheme="majorHAnsi" w:hAnsiTheme="majorHAnsi"/>
          <w:b/>
          <w:noProof/>
        </w:rPr>
        <w:t>totalizând 1</w:t>
      </w:r>
      <w:r w:rsidRPr="00EF3A3A">
        <w:rPr>
          <w:rFonts w:ascii="Calibri" w:hAnsi="Calibri" w:cs="Calibri"/>
          <w:b/>
          <w:noProof/>
        </w:rPr>
        <w:t> </w:t>
      </w:r>
      <w:r w:rsidRPr="00EF3A3A">
        <w:rPr>
          <w:rFonts w:asciiTheme="majorHAnsi" w:hAnsiTheme="majorHAnsi"/>
          <w:b/>
          <w:noProof/>
        </w:rPr>
        <w:t>641 de miliarde EUR</w:t>
      </w:r>
      <w:r>
        <w:rPr>
          <w:rFonts w:asciiTheme="majorHAnsi" w:hAnsiTheme="majorHAnsi"/>
          <w:noProof/>
        </w:rPr>
        <w:t xml:space="preserve"> pentru întreaga perioadă. Plățile sunt, în general, concentrate la începutul perioadei în prima jumătate a perioadei de </w:t>
      </w:r>
      <w:r w:rsidRPr="00EF3A3A">
        <w:rPr>
          <w:rFonts w:asciiTheme="majorHAnsi" w:hAnsiTheme="majorHAnsi"/>
          <w:noProof/>
        </w:rPr>
        <w:t>7</w:t>
      </w:r>
      <w:r>
        <w:rPr>
          <w:rFonts w:asciiTheme="majorHAnsi" w:hAnsiTheme="majorHAnsi"/>
          <w:noProof/>
        </w:rPr>
        <w:t xml:space="preserve"> ani, deoarece se preconizează că noile programe vor avea un model de punere în aplicare mai rapid. Astfel cum s-a explicat în raportul de anul trecut, concentrarea la începutul perioadei este rezultatul măsurilor propuse pentru a facilita demararea la timp și un profil de punere în aplicare mai ușor, ceea ce duce la un model mai uniform de plăți în cursul perioadei.</w:t>
      </w:r>
    </w:p>
    <w:p w14:paraId="5C3E96CB" w14:textId="3F882A54" w:rsidR="00861C1C" w:rsidRPr="00EF3A3A" w:rsidRDefault="003B6DC2" w:rsidP="0033008E">
      <w:pPr>
        <w:rPr>
          <w:rStyle w:val="amprcharCharttitle"/>
          <w:rFonts w:asciiTheme="majorHAnsi" w:hAnsiTheme="majorHAnsi"/>
          <w:noProof/>
        </w:rPr>
      </w:pPr>
      <w:r w:rsidRPr="00EF3A3A">
        <w:rPr>
          <w:rStyle w:val="amprcharCharttitle"/>
          <w:rFonts w:asciiTheme="majorHAnsi" w:hAnsiTheme="majorHAnsi"/>
          <w:noProof/>
        </w:rPr>
        <w:t>Graficul</w:t>
      </w:r>
      <w:r w:rsidR="00E2053D" w:rsidRPr="00EF3A3A">
        <w:rPr>
          <w:rStyle w:val="amprcharCharttitle"/>
          <w:rFonts w:asciiTheme="majorHAnsi" w:hAnsiTheme="majorHAnsi"/>
          <w:noProof/>
        </w:rPr>
        <w:t xml:space="preserve"> </w:t>
      </w:r>
      <w:r w:rsidRPr="00EF3A3A">
        <w:rPr>
          <w:rStyle w:val="amprcharCharttitle"/>
          <w:rFonts w:asciiTheme="majorHAnsi" w:hAnsiTheme="majorHAnsi"/>
          <w:noProof/>
        </w:rPr>
        <w:fldChar w:fldCharType="begin"/>
      </w:r>
      <w:r w:rsidRPr="00EF3A3A">
        <w:rPr>
          <w:rStyle w:val="amprcharCharttitle"/>
          <w:rFonts w:asciiTheme="majorHAnsi" w:hAnsiTheme="majorHAnsi"/>
          <w:noProof/>
        </w:rPr>
        <w:instrText xml:space="preserve"> SEQ Chart \* ARABIC </w:instrText>
      </w:r>
      <w:r w:rsidRPr="00EF3A3A">
        <w:rPr>
          <w:rStyle w:val="amprcharCharttitle"/>
          <w:rFonts w:asciiTheme="majorHAnsi" w:hAnsiTheme="majorHAnsi"/>
          <w:noProof/>
        </w:rPr>
        <w:fldChar w:fldCharType="separate"/>
      </w:r>
      <w:r w:rsidRPr="00EF3A3A">
        <w:rPr>
          <w:rStyle w:val="amprcharCharttitle"/>
          <w:rFonts w:asciiTheme="majorHAnsi" w:hAnsiTheme="majorHAnsi"/>
          <w:noProof/>
        </w:rPr>
        <w:t>1</w:t>
      </w:r>
      <w:r w:rsidRPr="00EF3A3A">
        <w:rPr>
          <w:rStyle w:val="amprcharCharttitle"/>
          <w:rFonts w:asciiTheme="majorHAnsi" w:hAnsiTheme="majorHAnsi"/>
          <w:noProof/>
        </w:rPr>
        <w:fldChar w:fldCharType="end"/>
      </w:r>
      <w:r w:rsidRPr="00EF3A3A">
        <w:rPr>
          <w:rStyle w:val="amprcharCharttitle"/>
          <w:rFonts w:asciiTheme="majorHAnsi" w:hAnsiTheme="majorHAnsi"/>
          <w:noProof/>
        </w:rPr>
        <w:t xml:space="preserve"> – Prognoza privind plățile, pe categorii</w:t>
      </w:r>
    </w:p>
    <w:p w14:paraId="6CAD3611" w14:textId="5DB15DE5" w:rsidR="00A848EF" w:rsidRPr="00F423B9" w:rsidRDefault="00431EEA" w:rsidP="00D525FB">
      <w:pPr>
        <w:pStyle w:val="amprBodyText"/>
        <w:jc w:val="center"/>
        <w:rPr>
          <w:rFonts w:asciiTheme="majorHAnsi" w:hAnsiTheme="majorHAnsi"/>
          <w:noProof/>
        </w:rPr>
      </w:pPr>
      <w:r w:rsidRPr="00431EEA">
        <w:rPr>
          <w:rFonts w:asciiTheme="majorHAnsi" w:hAnsiTheme="majorHAnsi"/>
          <w:noProof/>
          <w:lang w:val="en-GB" w:eastAsia="en-GB"/>
        </w:rPr>
        <w:drawing>
          <wp:inline distT="0" distB="0" distL="0" distR="0" wp14:anchorId="786C01E4" wp14:editId="009B9502">
            <wp:extent cx="4477375" cy="2676899"/>
            <wp:effectExtent l="0" t="0" r="0" b="9525"/>
            <wp:docPr id="762851863" name="Picture 1" descr="A graph of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51863" name="Picture 1" descr="A graph of blue and orange bars&#10;&#10;AI-generated content may be incorrect."/>
                    <pic:cNvPicPr/>
                  </pic:nvPicPr>
                  <pic:blipFill>
                    <a:blip r:embed="rId24"/>
                    <a:stretch>
                      <a:fillRect/>
                    </a:stretch>
                  </pic:blipFill>
                  <pic:spPr>
                    <a:xfrm>
                      <a:off x="0" y="0"/>
                      <a:ext cx="4477375" cy="2676899"/>
                    </a:xfrm>
                    <a:prstGeom prst="rect">
                      <a:avLst/>
                    </a:prstGeom>
                  </pic:spPr>
                </pic:pic>
              </a:graphicData>
            </a:graphic>
          </wp:inline>
        </w:drawing>
      </w:r>
    </w:p>
    <w:p w14:paraId="16A4706E" w14:textId="77777777" w:rsidR="00166293" w:rsidRDefault="00166293" w:rsidP="00B26C60">
      <w:pPr>
        <w:spacing w:after="120" w:line="276" w:lineRule="auto"/>
        <w:jc w:val="both"/>
        <w:rPr>
          <w:rFonts w:asciiTheme="majorHAnsi" w:hAnsiTheme="majorHAnsi"/>
          <w:noProof/>
        </w:rPr>
      </w:pPr>
    </w:p>
    <w:p w14:paraId="322F66CB" w14:textId="6A63E030" w:rsidR="009B68F9" w:rsidRDefault="00B26C60" w:rsidP="00B26C60">
      <w:pPr>
        <w:spacing w:after="120" w:line="276" w:lineRule="auto"/>
        <w:jc w:val="both"/>
        <w:rPr>
          <w:rFonts w:asciiTheme="majorHAnsi" w:hAnsiTheme="majorHAnsi"/>
          <w:noProof/>
        </w:rPr>
      </w:pPr>
      <w:r>
        <w:rPr>
          <w:rFonts w:asciiTheme="majorHAnsi" w:hAnsiTheme="majorHAnsi"/>
          <w:noProof/>
        </w:rPr>
        <w:t xml:space="preserve">În comparație cu estimările care stau la baza propunerii Comisiei din iulie </w:t>
      </w:r>
      <w:r w:rsidRPr="00EF3A3A">
        <w:rPr>
          <w:rFonts w:asciiTheme="majorHAnsi" w:hAnsiTheme="majorHAnsi"/>
          <w:noProof/>
        </w:rPr>
        <w:t>2025</w:t>
      </w:r>
      <w:r>
        <w:rPr>
          <w:rFonts w:asciiTheme="majorHAnsi" w:hAnsiTheme="majorHAnsi"/>
          <w:noProof/>
        </w:rPr>
        <w:t xml:space="preserve">, previziunile actuale indică un nivel mai scăzut al plăților, de </w:t>
      </w:r>
      <w:r w:rsidRPr="00EF3A3A">
        <w:rPr>
          <w:rFonts w:asciiTheme="majorHAnsi" w:hAnsiTheme="majorHAnsi"/>
          <w:noProof/>
        </w:rPr>
        <w:t>18</w:t>
      </w:r>
      <w:r>
        <w:rPr>
          <w:rFonts w:asciiTheme="majorHAnsi" w:hAnsiTheme="majorHAnsi"/>
          <w:noProof/>
        </w:rPr>
        <w:t xml:space="preserve"> miliarde EUR, legat de modificările plăților RAL (și anume plățile aferente angajamentelor asumate înainte de </w:t>
      </w:r>
      <w:r w:rsidRPr="00EF3A3A">
        <w:rPr>
          <w:rFonts w:asciiTheme="majorHAnsi" w:hAnsiTheme="majorHAnsi"/>
          <w:noProof/>
        </w:rPr>
        <w:t>2028</w:t>
      </w:r>
      <w:r>
        <w:rPr>
          <w:rFonts w:asciiTheme="majorHAnsi" w:hAnsiTheme="majorHAnsi"/>
          <w:noProof/>
        </w:rPr>
        <w:t xml:space="preserve">). Această diferență este determinată în principal de accelerarea plăților în cadrul politicii de coeziune pentru perioada </w:t>
      </w:r>
      <w:r w:rsidRPr="00EF3A3A">
        <w:rPr>
          <w:rFonts w:asciiTheme="majorHAnsi" w:hAnsiTheme="majorHAnsi"/>
          <w:noProof/>
        </w:rPr>
        <w:t>2021</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în </w:t>
      </w:r>
      <w:r w:rsidRPr="00EF3A3A">
        <w:rPr>
          <w:rFonts w:asciiTheme="majorHAnsi" w:hAnsiTheme="majorHAnsi"/>
          <w:noProof/>
        </w:rPr>
        <w:t>2026</w:t>
      </w:r>
      <w:r>
        <w:rPr>
          <w:rFonts w:asciiTheme="majorHAnsi" w:hAnsiTheme="majorHAnsi"/>
          <w:noProof/>
        </w:rPr>
        <w:t xml:space="preserve"> și </w:t>
      </w:r>
      <w:r w:rsidRPr="00EF3A3A">
        <w:rPr>
          <w:rFonts w:asciiTheme="majorHAnsi" w:hAnsiTheme="majorHAnsi"/>
          <w:noProof/>
        </w:rPr>
        <w:t>2027</w:t>
      </w:r>
      <w:r>
        <w:rPr>
          <w:rFonts w:asciiTheme="majorHAnsi" w:hAnsiTheme="majorHAnsi"/>
          <w:noProof/>
        </w:rPr>
        <w:t xml:space="preserve">, ceea ce reduce stocul de angajamente restante preconizate la sfârșitul actualului CFM și, în consecință, nivelul plăților pentru angajamentele anterioare anului </w:t>
      </w:r>
      <w:r w:rsidRPr="00EF3A3A">
        <w:rPr>
          <w:rFonts w:asciiTheme="majorHAnsi" w:hAnsiTheme="majorHAnsi"/>
          <w:noProof/>
        </w:rPr>
        <w:t>2028</w:t>
      </w:r>
      <w:r>
        <w:rPr>
          <w:rFonts w:asciiTheme="majorHAnsi" w:hAnsiTheme="majorHAnsi"/>
          <w:noProof/>
        </w:rPr>
        <w:t xml:space="preserve"> necesare în perioada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w:t>
      </w:r>
    </w:p>
    <w:p w14:paraId="56FC78D1" w14:textId="41D633C5" w:rsidR="009B68F9" w:rsidRPr="00B26C60" w:rsidRDefault="005974E8" w:rsidP="009B68F9">
      <w:pPr>
        <w:spacing w:after="120" w:line="276" w:lineRule="auto"/>
        <w:jc w:val="both"/>
        <w:rPr>
          <w:rFonts w:asciiTheme="majorHAnsi" w:hAnsiTheme="majorHAnsi"/>
          <w:noProof/>
        </w:rPr>
      </w:pPr>
      <w:r>
        <w:rPr>
          <w:rFonts w:asciiTheme="majorHAnsi" w:hAnsiTheme="majorHAnsi"/>
          <w:noProof/>
        </w:rPr>
        <w:t xml:space="preserve">Plafonul de plăți propus pentru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rămâne suficient pentru a acoperi în ansamblu nevoile de plată preconizate în prezent pentru întreaga perioadă, cu unele variații de la un an la altul. Conform ipotezelor actuale, plățile ar putea depăși plafoanele anuale în </w:t>
      </w:r>
      <w:r w:rsidRPr="00EF3A3A">
        <w:rPr>
          <w:rFonts w:asciiTheme="majorHAnsi" w:hAnsiTheme="majorHAnsi"/>
          <w:noProof/>
        </w:rPr>
        <w:t>2030</w:t>
      </w:r>
      <w:r>
        <w:rPr>
          <w:rFonts w:asciiTheme="majorHAnsi" w:hAnsiTheme="majorHAnsi"/>
          <w:noProof/>
        </w:rPr>
        <w:t xml:space="preserve"> (</w:t>
      </w:r>
      <w:r w:rsidRPr="00EF3A3A">
        <w:rPr>
          <w:rFonts w:asciiTheme="majorHAnsi" w:hAnsiTheme="majorHAnsi"/>
          <w:noProof/>
        </w:rPr>
        <w:t>14</w:t>
      </w:r>
      <w:r>
        <w:rPr>
          <w:rFonts w:ascii="Calibri" w:hAnsi="Calibri"/>
          <w:noProof/>
        </w:rPr>
        <w:t xml:space="preserve"> </w:t>
      </w:r>
      <w:r>
        <w:rPr>
          <w:rFonts w:asciiTheme="majorHAnsi" w:hAnsiTheme="majorHAnsi"/>
          <w:noProof/>
        </w:rPr>
        <w:t xml:space="preserve">miliarde EUR), </w:t>
      </w:r>
      <w:r w:rsidRPr="00EF3A3A">
        <w:rPr>
          <w:rFonts w:asciiTheme="majorHAnsi" w:hAnsiTheme="majorHAnsi"/>
          <w:noProof/>
        </w:rPr>
        <w:t>2032</w:t>
      </w:r>
      <w:r>
        <w:rPr>
          <w:rFonts w:asciiTheme="majorHAnsi" w:hAnsiTheme="majorHAnsi"/>
          <w:noProof/>
        </w:rPr>
        <w:t xml:space="preserve"> (</w:t>
      </w:r>
      <w:r w:rsidRPr="00EF3A3A">
        <w:rPr>
          <w:rFonts w:asciiTheme="majorHAnsi" w:hAnsiTheme="majorHAnsi"/>
          <w:noProof/>
        </w:rPr>
        <w:t>6</w:t>
      </w:r>
      <w:r>
        <w:rPr>
          <w:rFonts w:ascii="Calibri" w:hAnsi="Calibri"/>
          <w:noProof/>
        </w:rPr>
        <w:t xml:space="preserve"> </w:t>
      </w:r>
      <w:r>
        <w:rPr>
          <w:rFonts w:asciiTheme="majorHAnsi" w:hAnsiTheme="majorHAnsi"/>
          <w:noProof/>
        </w:rPr>
        <w:t xml:space="preserve">miliarde EUR) și </w:t>
      </w:r>
      <w:r w:rsidRPr="00EF3A3A">
        <w:rPr>
          <w:rFonts w:asciiTheme="majorHAnsi" w:hAnsiTheme="majorHAnsi"/>
          <w:noProof/>
        </w:rPr>
        <w:t>2033</w:t>
      </w:r>
      <w:r>
        <w:rPr>
          <w:rFonts w:asciiTheme="majorHAnsi" w:hAnsiTheme="majorHAnsi"/>
          <w:noProof/>
        </w:rPr>
        <w:t xml:space="preserve"> (</w:t>
      </w:r>
      <w:r w:rsidRPr="00EF3A3A">
        <w:rPr>
          <w:rFonts w:asciiTheme="majorHAnsi" w:hAnsiTheme="majorHAnsi"/>
          <w:noProof/>
        </w:rPr>
        <w:t>4</w:t>
      </w:r>
      <w:r>
        <w:rPr>
          <w:rFonts w:ascii="Calibri" w:hAnsi="Calibri"/>
          <w:noProof/>
        </w:rPr>
        <w:t xml:space="preserve"> </w:t>
      </w:r>
      <w:r>
        <w:rPr>
          <w:rFonts w:asciiTheme="majorHAnsi" w:hAnsiTheme="majorHAnsi"/>
          <w:noProof/>
        </w:rPr>
        <w:t xml:space="preserve">miliarde EUR). Plățile s-ar situa sub plafoane în anii </w:t>
      </w:r>
      <w:r w:rsidRPr="00EF3A3A">
        <w:rPr>
          <w:rFonts w:asciiTheme="majorHAnsi" w:hAnsiTheme="majorHAnsi"/>
          <w:noProof/>
        </w:rPr>
        <w:t>2028</w:t>
      </w:r>
      <w:r>
        <w:rPr>
          <w:rFonts w:asciiTheme="majorHAnsi" w:hAnsiTheme="majorHAnsi"/>
          <w:noProof/>
        </w:rPr>
        <w:t xml:space="preserve"> (</w:t>
      </w:r>
      <w:r w:rsidRPr="00EF3A3A">
        <w:rPr>
          <w:rFonts w:asciiTheme="majorHAnsi" w:hAnsiTheme="majorHAnsi"/>
          <w:noProof/>
        </w:rPr>
        <w:t>4</w:t>
      </w:r>
      <w:r>
        <w:rPr>
          <w:rFonts w:ascii="Calibri" w:hAnsi="Calibri"/>
          <w:noProof/>
        </w:rPr>
        <w:t xml:space="preserve"> </w:t>
      </w:r>
      <w:r>
        <w:rPr>
          <w:rFonts w:asciiTheme="majorHAnsi" w:hAnsiTheme="majorHAnsi"/>
          <w:noProof/>
        </w:rPr>
        <w:t xml:space="preserve">miliarde EUR), </w:t>
      </w:r>
      <w:r w:rsidRPr="00EF3A3A">
        <w:rPr>
          <w:rFonts w:asciiTheme="majorHAnsi" w:hAnsiTheme="majorHAnsi"/>
          <w:noProof/>
        </w:rPr>
        <w:t>2029</w:t>
      </w:r>
      <w:r>
        <w:rPr>
          <w:rFonts w:asciiTheme="majorHAnsi" w:hAnsiTheme="majorHAnsi"/>
          <w:noProof/>
        </w:rPr>
        <w:t xml:space="preserve"> (</w:t>
      </w:r>
      <w:r w:rsidRPr="00EF3A3A">
        <w:rPr>
          <w:rFonts w:asciiTheme="majorHAnsi" w:hAnsiTheme="majorHAnsi"/>
          <w:noProof/>
        </w:rPr>
        <w:t>17</w:t>
      </w:r>
      <w:r>
        <w:rPr>
          <w:rFonts w:ascii="Calibri" w:hAnsi="Calibri"/>
          <w:noProof/>
        </w:rPr>
        <w:t xml:space="preserve"> </w:t>
      </w:r>
      <w:r>
        <w:rPr>
          <w:rFonts w:asciiTheme="majorHAnsi" w:hAnsiTheme="majorHAnsi"/>
          <w:noProof/>
        </w:rPr>
        <w:t xml:space="preserve">miliarde EUR) și </w:t>
      </w:r>
      <w:r w:rsidRPr="00EF3A3A">
        <w:rPr>
          <w:rFonts w:asciiTheme="majorHAnsi" w:hAnsiTheme="majorHAnsi"/>
          <w:noProof/>
        </w:rPr>
        <w:t>2031</w:t>
      </w:r>
      <w:r>
        <w:rPr>
          <w:rFonts w:asciiTheme="majorHAnsi" w:hAnsiTheme="majorHAnsi"/>
          <w:noProof/>
        </w:rPr>
        <w:t xml:space="preserve"> (EUR</w:t>
      </w:r>
      <w:r>
        <w:rPr>
          <w:rFonts w:ascii="Calibri" w:hAnsi="Calibri"/>
          <w:noProof/>
        </w:rPr>
        <w:t xml:space="preserve"> </w:t>
      </w:r>
      <w:r w:rsidRPr="00EF3A3A">
        <w:rPr>
          <w:rFonts w:asciiTheme="majorHAnsi" w:hAnsiTheme="majorHAnsi"/>
          <w:noProof/>
        </w:rPr>
        <w:t>21</w:t>
      </w:r>
      <w:r>
        <w:rPr>
          <w:rFonts w:ascii="Calibri" w:hAnsi="Calibri"/>
          <w:noProof/>
        </w:rPr>
        <w:t xml:space="preserve"> de </w:t>
      </w:r>
      <w:r>
        <w:rPr>
          <w:rFonts w:asciiTheme="majorHAnsi" w:hAnsiTheme="majorHAnsi"/>
          <w:noProof/>
        </w:rPr>
        <w:t>miliarde EUR). Pentru a se asigura respectarea plafonului de plăți în fiecare an al CFM, ar putea fi necesară utilizarea mecanismelor prevăzute în Regulamentul privind CFM pentru ajustarea nivelurilor plafoanelor anuale de plăți.</w:t>
      </w:r>
    </w:p>
    <w:p w14:paraId="14877F67" w14:textId="2AC30C79" w:rsidR="00B26C60" w:rsidRPr="00B26C60" w:rsidRDefault="00B26C60" w:rsidP="00B26C60">
      <w:pPr>
        <w:spacing w:after="120" w:line="276" w:lineRule="auto"/>
        <w:jc w:val="both"/>
        <w:rPr>
          <w:rFonts w:asciiTheme="majorHAnsi" w:hAnsiTheme="majorHAnsi"/>
          <w:noProof/>
        </w:rPr>
      </w:pPr>
      <w:r>
        <w:rPr>
          <w:rFonts w:asciiTheme="majorHAnsi" w:hAnsiTheme="majorHAnsi"/>
          <w:noProof/>
        </w:rPr>
        <w:t>Cu toate acestea, diferența rezultată dintre previziunile actuale globale privind plățile și plafoanele de plăți propuse pentru CFM ar trebui interpretată cu prudență. Deși previziunile privind plățile aferente angajamentelor existente beneficiază de date mai recente privind punerea în aplicare, profilul de plată al programelor din cadrul viitorului CFM depinde de rezultatul negocierilor în curs. Modificările aduse dimensiunii și componenței globale a CFM pot afecta calendarul și nivelul viitoarelor nevoi de plată.</w:t>
      </w:r>
    </w:p>
    <w:p w14:paraId="3A0D52B1" w14:textId="77777777" w:rsidR="00AA63C5" w:rsidDel="00AA63C5" w:rsidRDefault="00A41066" w:rsidP="00747518">
      <w:pPr>
        <w:rPr>
          <w:rFonts w:asciiTheme="majorHAnsi" w:hAnsiTheme="majorHAnsi"/>
          <w:noProof/>
        </w:rPr>
      </w:pPr>
      <w:r>
        <w:rPr>
          <w:noProof/>
        </w:rPr>
        <w:br w:type="page"/>
      </w:r>
    </w:p>
    <w:p w14:paraId="25C7786E" w14:textId="288FBF53" w:rsidR="009F2F6E" w:rsidRPr="00EF3A3A" w:rsidRDefault="00C83BE9" w:rsidP="624BAA84">
      <w:pPr>
        <w:spacing w:after="120" w:line="276" w:lineRule="auto"/>
        <w:jc w:val="both"/>
        <w:rPr>
          <w:rStyle w:val="amprcharCharttitle"/>
          <w:rFonts w:asciiTheme="majorHAnsi" w:hAnsiTheme="majorHAnsi"/>
          <w:noProof/>
        </w:rPr>
      </w:pPr>
      <w:r w:rsidRPr="00EF3A3A">
        <w:rPr>
          <w:rStyle w:val="amprcharCharttitle"/>
          <w:rFonts w:asciiTheme="majorHAnsi" w:hAnsiTheme="majorHAnsi"/>
          <w:noProof/>
        </w:rPr>
        <w:t>G</w:t>
      </w:r>
      <w:r w:rsidR="003B6DC2" w:rsidRPr="00EF3A3A">
        <w:rPr>
          <w:rStyle w:val="amprcharCharttitle"/>
          <w:rFonts w:asciiTheme="majorHAnsi" w:hAnsiTheme="majorHAnsi"/>
          <w:noProof/>
        </w:rPr>
        <w:t>raficul</w:t>
      </w:r>
      <w:r w:rsidR="00776F4E" w:rsidRPr="00EF3A3A">
        <w:rPr>
          <w:rStyle w:val="amprcharCharttitle"/>
          <w:rFonts w:asciiTheme="majorHAnsi" w:hAnsiTheme="majorHAnsi"/>
          <w:noProof/>
        </w:rPr>
        <w:t xml:space="preserve"> </w:t>
      </w:r>
      <w:r w:rsidR="003B6DC2" w:rsidRPr="00EF3A3A">
        <w:rPr>
          <w:rStyle w:val="amprcharCharttitle"/>
          <w:rFonts w:asciiTheme="majorHAnsi" w:hAnsiTheme="majorHAnsi"/>
          <w:noProof/>
        </w:rPr>
        <w:fldChar w:fldCharType="begin"/>
      </w:r>
      <w:r w:rsidR="003B6DC2" w:rsidRPr="00EF3A3A">
        <w:rPr>
          <w:rStyle w:val="amprcharCharttitle"/>
          <w:rFonts w:asciiTheme="majorHAnsi" w:hAnsiTheme="majorHAnsi"/>
          <w:noProof/>
        </w:rPr>
        <w:instrText xml:space="preserve"> SEQ Chart \* ARABIC </w:instrText>
      </w:r>
      <w:r w:rsidR="003B6DC2" w:rsidRPr="00EF3A3A">
        <w:rPr>
          <w:rStyle w:val="amprcharCharttitle"/>
          <w:rFonts w:asciiTheme="majorHAnsi" w:hAnsiTheme="majorHAnsi"/>
          <w:noProof/>
        </w:rPr>
        <w:fldChar w:fldCharType="separate"/>
      </w:r>
      <w:r w:rsidR="003B6DC2" w:rsidRPr="00EF3A3A">
        <w:rPr>
          <w:rStyle w:val="amprcharCharttitle"/>
          <w:rFonts w:asciiTheme="majorHAnsi" w:hAnsiTheme="majorHAnsi"/>
          <w:noProof/>
        </w:rPr>
        <w:t>2</w:t>
      </w:r>
      <w:r w:rsidR="003B6DC2" w:rsidRPr="00EF3A3A">
        <w:rPr>
          <w:rStyle w:val="amprcharCharttitle"/>
          <w:rFonts w:asciiTheme="majorHAnsi" w:hAnsiTheme="majorHAnsi"/>
          <w:noProof/>
        </w:rPr>
        <w:fldChar w:fldCharType="end"/>
      </w:r>
      <w:r w:rsidR="003B6DC2" w:rsidRPr="00EF3A3A">
        <w:rPr>
          <w:rStyle w:val="amprcharCharttitle"/>
          <w:rFonts w:asciiTheme="majorHAnsi" w:hAnsiTheme="majorHAnsi"/>
          <w:noProof/>
        </w:rPr>
        <w:t xml:space="preserve"> – Prognoza privind plățile în raport cu plafonul de plăți din CFM pentru perioada 2027-2034</w:t>
      </w:r>
    </w:p>
    <w:p w14:paraId="30FE2C46" w14:textId="432C2B16" w:rsidR="00A16F02" w:rsidRPr="00EF3A3A" w:rsidRDefault="00E2053D" w:rsidP="00923645">
      <w:pPr>
        <w:spacing w:after="120" w:line="276" w:lineRule="auto"/>
        <w:jc w:val="center"/>
        <w:rPr>
          <w:rFonts w:asciiTheme="majorHAnsi" w:hAnsiTheme="majorHAnsi"/>
          <w:b/>
          <w:bCs/>
          <w:noProof/>
          <w:color w:val="003399" w:themeColor="text2"/>
          <w:spacing w:val="1"/>
        </w:rPr>
      </w:pPr>
      <w:r w:rsidRPr="00EF3A3A">
        <w:rPr>
          <w:rFonts w:asciiTheme="majorHAnsi" w:hAnsiTheme="majorHAnsi"/>
          <w:b/>
          <w:bCs/>
          <w:noProof/>
          <w:color w:val="003399" w:themeColor="text2"/>
          <w:spacing w:val="1"/>
          <w:lang w:val="en-GB" w:eastAsia="en-GB"/>
        </w:rPr>
        <w:drawing>
          <wp:inline distT="0" distB="0" distL="0" distR="0" wp14:anchorId="107DB22D" wp14:editId="1A895453">
            <wp:extent cx="4899600" cy="2944800"/>
            <wp:effectExtent l="0" t="0" r="0" b="8255"/>
            <wp:docPr id="1922229177" name="Picture 1" descr="A graph of blue bars with orange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29177" name="Picture 1" descr="A graph of blue bars with orange numbers&#10;&#10;AI-generated content may be incorrect."/>
                    <pic:cNvPicPr/>
                  </pic:nvPicPr>
                  <pic:blipFill>
                    <a:blip r:embed="rId25"/>
                    <a:stretch>
                      <a:fillRect/>
                    </a:stretch>
                  </pic:blipFill>
                  <pic:spPr>
                    <a:xfrm>
                      <a:off x="0" y="0"/>
                      <a:ext cx="4899600" cy="2944800"/>
                    </a:xfrm>
                    <a:prstGeom prst="rect">
                      <a:avLst/>
                    </a:prstGeom>
                  </pic:spPr>
                </pic:pic>
              </a:graphicData>
            </a:graphic>
          </wp:inline>
        </w:drawing>
      </w:r>
    </w:p>
    <w:p w14:paraId="7DEAF549" w14:textId="1BA54A78" w:rsidR="000708A2" w:rsidRDefault="000708A2" w:rsidP="000708A2">
      <w:pPr>
        <w:spacing w:before="0" w:after="120" w:line="276" w:lineRule="auto"/>
        <w:jc w:val="both"/>
        <w:rPr>
          <w:noProof/>
        </w:rPr>
      </w:pPr>
    </w:p>
    <w:p w14:paraId="41F116AD" w14:textId="6F21E6BA" w:rsidR="00160CE3" w:rsidRPr="00EF3A3A" w:rsidRDefault="00160CE3" w:rsidP="00160CE3">
      <w:pPr>
        <w:pStyle w:val="amprH3Title2-Numbered-11"/>
        <w:rPr>
          <w:rFonts w:asciiTheme="majorHAnsi" w:hAnsiTheme="majorHAnsi"/>
          <w:noProof/>
        </w:rPr>
      </w:pPr>
      <w:bookmarkStart w:id="20" w:name="_Toc235439607"/>
      <w:bookmarkStart w:id="21" w:name="_Hlk231910861"/>
      <w:r w:rsidRPr="00EF3A3A">
        <w:rPr>
          <w:rFonts w:asciiTheme="majorHAnsi" w:hAnsiTheme="majorHAnsi"/>
          <w:noProof/>
        </w:rPr>
        <w:t>Plăți legate de angajamentele din CFM pentru perioada 2021-2027</w:t>
      </w:r>
      <w:bookmarkEnd w:id="20"/>
    </w:p>
    <w:p w14:paraId="568E0E95" w14:textId="7A5A81DA" w:rsidR="00861C1C" w:rsidRPr="00F423B9" w:rsidRDefault="003B6DC2">
      <w:pPr>
        <w:spacing w:after="120" w:line="276" w:lineRule="auto"/>
        <w:jc w:val="both"/>
        <w:rPr>
          <w:rFonts w:asciiTheme="majorHAnsi" w:hAnsiTheme="majorHAnsi"/>
          <w:noProof/>
        </w:rPr>
      </w:pPr>
      <w:r>
        <w:rPr>
          <w:rFonts w:asciiTheme="majorHAnsi" w:hAnsiTheme="majorHAnsi"/>
          <w:noProof/>
        </w:rPr>
        <w:t xml:space="preserve">Politica de coeziune și politica agricolă comună (PAC) reprezintă mai mult de jumătate din plățile prognozate care decurg din CFM pentru perioada </w:t>
      </w:r>
      <w:r w:rsidRPr="00EF3A3A">
        <w:rPr>
          <w:rFonts w:asciiTheme="majorHAnsi" w:hAnsiTheme="majorHAnsi"/>
          <w:noProof/>
        </w:rPr>
        <w:t>2021</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w:t>
      </w:r>
    </w:p>
    <w:p w14:paraId="22D24D7C" w14:textId="22A47D9A" w:rsidR="00861C1C" w:rsidRPr="00F423B9" w:rsidRDefault="003B6DC2">
      <w:pPr>
        <w:pStyle w:val="amprH4Subhead1"/>
        <w:rPr>
          <w:rFonts w:asciiTheme="majorHAnsi" w:hAnsiTheme="majorHAnsi"/>
          <w:noProof/>
        </w:rPr>
      </w:pPr>
      <w:r>
        <w:rPr>
          <w:rFonts w:asciiTheme="majorHAnsi" w:hAnsiTheme="majorHAnsi"/>
          <w:noProof/>
        </w:rPr>
        <w:t xml:space="preserve">Rubrica </w:t>
      </w:r>
      <w:r w:rsidRPr="00EF3A3A">
        <w:rPr>
          <w:rFonts w:asciiTheme="majorHAnsi" w:hAnsiTheme="majorHAnsi"/>
          <w:noProof/>
        </w:rPr>
        <w:t>2</w:t>
      </w:r>
      <w:r>
        <w:rPr>
          <w:rFonts w:asciiTheme="majorHAnsi" w:hAnsiTheme="majorHAnsi"/>
          <w:noProof/>
        </w:rPr>
        <w:t>a – Politica de coeziune</w:t>
      </w:r>
    </w:p>
    <w:p w14:paraId="1C41DB59" w14:textId="37A144A3" w:rsidR="002C6BBE" w:rsidRDefault="00150D53" w:rsidP="457755A8">
      <w:pPr>
        <w:spacing w:after="120" w:line="276" w:lineRule="auto"/>
        <w:jc w:val="both"/>
        <w:rPr>
          <w:rFonts w:asciiTheme="majorHAnsi" w:hAnsiTheme="majorHAnsi"/>
          <w:noProof/>
        </w:rPr>
      </w:pPr>
      <w:bookmarkStart w:id="22" w:name="_Hlk136512092"/>
      <w:r>
        <w:rPr>
          <w:rFonts w:asciiTheme="majorHAnsi" w:hAnsiTheme="majorHAnsi"/>
          <w:noProof/>
        </w:rPr>
        <w:t>Execuția fondurilor politicii de coeziune se accelerează în comparație cu ultimul raport privind previziunile de plată pe termen lung</w:t>
      </w:r>
      <w:r>
        <w:rPr>
          <w:rStyle w:val="EndnoteReference"/>
          <w:noProof/>
        </w:rPr>
        <w:endnoteReference w:id="14"/>
      </w:r>
      <w:r>
        <w:rPr>
          <w:rFonts w:asciiTheme="majorHAnsi" w:hAnsiTheme="majorHAnsi"/>
          <w:noProof/>
        </w:rPr>
        <w:t xml:space="preserve">. Consolidarea politicii de coeziune în </w:t>
      </w:r>
      <w:r w:rsidRPr="00EF3A3A">
        <w:rPr>
          <w:rFonts w:asciiTheme="majorHAnsi" w:hAnsiTheme="majorHAnsi"/>
          <w:noProof/>
        </w:rPr>
        <w:t>2026</w:t>
      </w:r>
      <w:r>
        <w:rPr>
          <w:rStyle w:val="EndnoteReference"/>
          <w:noProof/>
        </w:rPr>
        <w:endnoteReference w:id="15"/>
      </w:r>
      <w:r>
        <w:rPr>
          <w:rFonts w:asciiTheme="majorHAnsi" w:hAnsiTheme="majorHAnsi"/>
          <w:noProof/>
        </w:rPr>
        <w:t xml:space="preserve"> (</w:t>
      </w:r>
      <w:r w:rsidRPr="00EF3A3A">
        <w:rPr>
          <w:rFonts w:asciiTheme="majorHAnsi" w:hAnsiTheme="majorHAnsi"/>
          <w:noProof/>
        </w:rPr>
        <w:t>3</w:t>
      </w:r>
      <w:r>
        <w:rPr>
          <w:rFonts w:asciiTheme="majorHAnsi" w:hAnsiTheme="majorHAnsi"/>
          <w:noProof/>
        </w:rPr>
        <w:t>,</w:t>
      </w:r>
      <w:r w:rsidRPr="00EF3A3A">
        <w:rPr>
          <w:rFonts w:asciiTheme="majorHAnsi" w:hAnsiTheme="majorHAnsi"/>
          <w:noProof/>
        </w:rPr>
        <w:t>4</w:t>
      </w:r>
      <w:r>
        <w:rPr>
          <w:rFonts w:asciiTheme="majorHAnsi" w:hAnsiTheme="majorHAnsi"/>
          <w:noProof/>
        </w:rPr>
        <w:t xml:space="preserve"> miliarde EUR pentru Fondul european de dezvoltare regională, </w:t>
      </w:r>
      <w:r w:rsidRPr="00EF3A3A">
        <w:rPr>
          <w:rFonts w:asciiTheme="majorHAnsi" w:hAnsiTheme="majorHAnsi"/>
          <w:noProof/>
        </w:rPr>
        <w:t>0</w:t>
      </w:r>
      <w:r>
        <w:rPr>
          <w:rFonts w:asciiTheme="majorHAnsi" w:hAnsiTheme="majorHAnsi"/>
          <w:noProof/>
        </w:rPr>
        <w:t>,</w:t>
      </w:r>
      <w:r w:rsidRPr="00EF3A3A">
        <w:rPr>
          <w:rFonts w:asciiTheme="majorHAnsi" w:hAnsiTheme="majorHAnsi"/>
          <w:noProof/>
        </w:rPr>
        <w:t>6</w:t>
      </w:r>
      <w:r>
        <w:rPr>
          <w:rFonts w:asciiTheme="majorHAnsi" w:hAnsiTheme="majorHAnsi"/>
          <w:noProof/>
        </w:rPr>
        <w:t xml:space="preserve"> miliarde EUR pentru Fondul de coeziune, </w:t>
      </w:r>
      <w:r w:rsidRPr="00EF3A3A">
        <w:rPr>
          <w:rFonts w:asciiTheme="majorHAnsi" w:hAnsiTheme="majorHAnsi"/>
          <w:noProof/>
        </w:rPr>
        <w:t>1</w:t>
      </w:r>
      <w:r>
        <w:rPr>
          <w:rFonts w:asciiTheme="majorHAnsi" w:hAnsiTheme="majorHAnsi"/>
          <w:noProof/>
        </w:rPr>
        <w:t>,</w:t>
      </w:r>
      <w:r w:rsidRPr="00EF3A3A">
        <w:rPr>
          <w:rFonts w:asciiTheme="majorHAnsi" w:hAnsiTheme="majorHAnsi"/>
          <w:noProof/>
        </w:rPr>
        <w:t>4</w:t>
      </w:r>
      <w:r>
        <w:rPr>
          <w:rFonts w:asciiTheme="majorHAnsi" w:hAnsiTheme="majorHAnsi"/>
          <w:noProof/>
        </w:rPr>
        <w:t xml:space="preserve"> miliarde EUR pentru Fondul social european Plus) necesită finanțare suplimentară pentru a acoperi cererile de plată mai mari.</w:t>
      </w:r>
    </w:p>
    <w:p w14:paraId="414274AC" w14:textId="6DE70C1A" w:rsidR="00ED713C" w:rsidRPr="004D465B" w:rsidRDefault="002C6BBE" w:rsidP="00ED713C">
      <w:pPr>
        <w:spacing w:after="120" w:line="276" w:lineRule="auto"/>
        <w:jc w:val="both"/>
        <w:rPr>
          <w:rFonts w:asciiTheme="majorHAnsi" w:hAnsiTheme="majorHAnsi"/>
          <w:noProof/>
          <w:spacing w:val="-4"/>
        </w:rPr>
      </w:pPr>
      <w:r>
        <w:rPr>
          <w:rFonts w:asciiTheme="majorHAnsi" w:hAnsiTheme="majorHAnsi"/>
          <w:noProof/>
        </w:rPr>
        <w:t xml:space="preserve">Această accelerare este rezultatul faptului că statele membre au depus, în </w:t>
      </w:r>
      <w:r w:rsidRPr="00EF3A3A">
        <w:rPr>
          <w:rFonts w:asciiTheme="majorHAnsi" w:hAnsiTheme="majorHAnsi"/>
          <w:noProof/>
        </w:rPr>
        <w:t>2025</w:t>
      </w:r>
      <w:r>
        <w:rPr>
          <w:rFonts w:asciiTheme="majorHAnsi" w:hAnsiTheme="majorHAnsi"/>
          <w:noProof/>
        </w:rPr>
        <w:t>, cereri de plată care depășe</w:t>
      </w:r>
      <w:r w:rsidR="00D90E2C">
        <w:rPr>
          <w:rFonts w:asciiTheme="majorHAnsi" w:hAnsiTheme="majorHAnsi"/>
          <w:noProof/>
        </w:rPr>
        <w:t xml:space="preserve">au </w:t>
      </w:r>
      <w:r>
        <w:rPr>
          <w:rFonts w:asciiTheme="majorHAnsi" w:hAnsiTheme="majorHAnsi"/>
          <w:noProof/>
        </w:rPr>
        <w:t xml:space="preserve">cu mult regula privind dezangajarea </w:t>
      </w:r>
      <w:r w:rsidR="00D90E2C">
        <w:rPr>
          <w:rFonts w:asciiTheme="majorHAnsi" w:hAnsiTheme="majorHAnsi"/>
          <w:noProof/>
        </w:rPr>
        <w:t>„N</w:t>
      </w:r>
      <w:r>
        <w:rPr>
          <w:rFonts w:asciiTheme="majorHAnsi" w:hAnsiTheme="majorHAnsi"/>
          <w:noProof/>
        </w:rPr>
        <w:t>+</w:t>
      </w:r>
      <w:r w:rsidRPr="00EF3A3A">
        <w:rPr>
          <w:rFonts w:asciiTheme="majorHAnsi" w:hAnsiTheme="majorHAnsi"/>
          <w:noProof/>
        </w:rPr>
        <w:t>3</w:t>
      </w:r>
      <w:r w:rsidR="00D90E2C">
        <w:rPr>
          <w:rFonts w:asciiTheme="majorHAnsi" w:hAnsiTheme="majorHAnsi"/>
          <w:noProof/>
        </w:rPr>
        <w:t>”</w:t>
      </w:r>
      <w:r>
        <w:rPr>
          <w:rFonts w:asciiTheme="majorHAnsi" w:hAnsiTheme="majorHAnsi"/>
          <w:noProof/>
        </w:rPr>
        <w:t xml:space="preserve">, </w:t>
      </w:r>
      <w:r w:rsidR="00D90E2C">
        <w:rPr>
          <w:rFonts w:asciiTheme="majorHAnsi" w:hAnsiTheme="majorHAnsi"/>
          <w:noProof/>
        </w:rPr>
        <w:t>ca urmare a</w:t>
      </w:r>
      <w:r>
        <w:rPr>
          <w:rFonts w:asciiTheme="majorHAnsi" w:hAnsiTheme="majorHAnsi"/>
          <w:noProof/>
        </w:rPr>
        <w:t xml:space="preserve"> flexibilitățil</w:t>
      </w:r>
      <w:r w:rsidR="00D90E2C">
        <w:rPr>
          <w:rFonts w:asciiTheme="majorHAnsi" w:hAnsiTheme="majorHAnsi"/>
          <w:noProof/>
        </w:rPr>
        <w:t>or</w:t>
      </w:r>
      <w:r>
        <w:rPr>
          <w:rFonts w:asciiTheme="majorHAnsi" w:hAnsiTheme="majorHAnsi"/>
          <w:noProof/>
        </w:rPr>
        <w:t xml:space="preserve"> și stimulentel</w:t>
      </w:r>
      <w:r w:rsidR="00D90E2C">
        <w:rPr>
          <w:rFonts w:asciiTheme="majorHAnsi" w:hAnsiTheme="majorHAnsi"/>
          <w:noProof/>
        </w:rPr>
        <w:t>or</w:t>
      </w:r>
      <w:r>
        <w:rPr>
          <w:rFonts w:asciiTheme="majorHAnsi" w:hAnsiTheme="majorHAnsi"/>
          <w:noProof/>
        </w:rPr>
        <w:t xml:space="preserve"> financiare oferite statelor membre în cadrul evaluării la jumătatea perioadei a politicii de coeziune și a Regulamentului privind platforma „Tehnologii strategice pentru Europa” (STEP). Acest lucru a sporit presiunea asupra bugetului pentru </w:t>
      </w:r>
      <w:r w:rsidRPr="00EF3A3A">
        <w:rPr>
          <w:rFonts w:asciiTheme="majorHAnsi" w:hAnsiTheme="majorHAnsi"/>
          <w:noProof/>
        </w:rPr>
        <w:t>2026</w:t>
      </w:r>
      <w:r>
        <w:rPr>
          <w:rFonts w:asciiTheme="majorHAnsi" w:hAnsiTheme="majorHAnsi"/>
          <w:noProof/>
        </w:rPr>
        <w:t xml:space="preserve"> (astfel cum se reflectă în propunerea de proiect de buget rectificativ nr. </w:t>
      </w:r>
      <w:r w:rsidRPr="00EF3A3A">
        <w:rPr>
          <w:rFonts w:asciiTheme="majorHAnsi" w:hAnsiTheme="majorHAnsi"/>
          <w:noProof/>
        </w:rPr>
        <w:t>2</w:t>
      </w:r>
      <w:r>
        <w:rPr>
          <w:rFonts w:asciiTheme="majorHAnsi" w:hAnsiTheme="majorHAnsi"/>
          <w:noProof/>
        </w:rPr>
        <w:t>/</w:t>
      </w:r>
      <w:r w:rsidRPr="00EF3A3A">
        <w:rPr>
          <w:rFonts w:asciiTheme="majorHAnsi" w:hAnsiTheme="majorHAnsi"/>
          <w:noProof/>
        </w:rPr>
        <w:t>2026</w:t>
      </w:r>
      <w:r>
        <w:rPr>
          <w:rFonts w:asciiTheme="majorHAnsi" w:hAnsiTheme="majorHAnsi"/>
          <w:noProof/>
        </w:rPr>
        <w:t xml:space="preserve">). Se preconizează că această accelerare va continua în </w:t>
      </w:r>
      <w:r w:rsidRPr="00EF3A3A">
        <w:rPr>
          <w:rFonts w:asciiTheme="majorHAnsi" w:hAnsiTheme="majorHAnsi"/>
          <w:noProof/>
        </w:rPr>
        <w:t>2027</w:t>
      </w:r>
      <w:r>
        <w:rPr>
          <w:rFonts w:asciiTheme="majorHAnsi" w:hAnsiTheme="majorHAnsi"/>
          <w:noProof/>
        </w:rPr>
        <w:t xml:space="preserve"> și </w:t>
      </w:r>
      <w:r w:rsidRPr="00EF3A3A">
        <w:rPr>
          <w:rFonts w:asciiTheme="majorHAnsi" w:hAnsiTheme="majorHAnsi"/>
          <w:noProof/>
        </w:rPr>
        <w:t>2028</w:t>
      </w:r>
      <w:r>
        <w:rPr>
          <w:rFonts w:asciiTheme="majorHAnsi" w:hAnsiTheme="majorHAnsi"/>
          <w:noProof/>
        </w:rPr>
        <w:t xml:space="preserve">.  Previziunile pentru </w:t>
      </w:r>
      <w:r w:rsidRPr="00EF3A3A">
        <w:rPr>
          <w:rFonts w:asciiTheme="majorHAnsi" w:hAnsiTheme="majorHAnsi"/>
          <w:noProof/>
        </w:rPr>
        <w:t>2027</w:t>
      </w:r>
      <w:r>
        <w:rPr>
          <w:rFonts w:asciiTheme="majorHAnsi" w:hAnsiTheme="majorHAnsi"/>
          <w:noProof/>
        </w:rPr>
        <w:t xml:space="preserve"> și </w:t>
      </w:r>
      <w:r w:rsidRPr="00EF3A3A">
        <w:rPr>
          <w:rFonts w:asciiTheme="majorHAnsi" w:hAnsiTheme="majorHAnsi"/>
          <w:noProof/>
        </w:rPr>
        <w:t>2028</w:t>
      </w:r>
      <w:r>
        <w:rPr>
          <w:rFonts w:asciiTheme="majorHAnsi" w:hAnsiTheme="majorHAnsi"/>
          <w:noProof/>
        </w:rPr>
        <w:t xml:space="preserve"> presupun că rata de depunere a cererilor de plată se va alinia la profilul istoric în anii următori, ceea ce va duce la plata a aproximativ </w:t>
      </w:r>
      <w:r w:rsidRPr="00EF3A3A">
        <w:rPr>
          <w:rFonts w:asciiTheme="majorHAnsi" w:hAnsiTheme="majorHAnsi"/>
          <w:noProof/>
        </w:rPr>
        <w:t>18</w:t>
      </w:r>
      <w:r>
        <w:rPr>
          <w:rFonts w:asciiTheme="majorHAnsi" w:hAnsiTheme="majorHAnsi"/>
          <w:noProof/>
        </w:rPr>
        <w:t xml:space="preserve"> % din alocările fondurilor în </w:t>
      </w:r>
      <w:r w:rsidRPr="00EF3A3A">
        <w:rPr>
          <w:rFonts w:asciiTheme="majorHAnsi" w:hAnsiTheme="majorHAnsi"/>
          <w:noProof/>
        </w:rPr>
        <w:t>2027</w:t>
      </w:r>
      <w:r>
        <w:rPr>
          <w:rFonts w:asciiTheme="majorHAnsi" w:hAnsiTheme="majorHAnsi"/>
          <w:noProof/>
        </w:rPr>
        <w:t xml:space="preserve"> și a aproximativ </w:t>
      </w:r>
      <w:r w:rsidRPr="00EF3A3A">
        <w:rPr>
          <w:rFonts w:asciiTheme="majorHAnsi" w:hAnsiTheme="majorHAnsi"/>
          <w:noProof/>
        </w:rPr>
        <w:t>50</w:t>
      </w:r>
      <w:r>
        <w:rPr>
          <w:rFonts w:asciiTheme="majorHAnsi" w:hAnsiTheme="majorHAnsi"/>
          <w:noProof/>
        </w:rPr>
        <w:t xml:space="preserve"> % din alocările totale care urmează să fie plătite începând cu </w:t>
      </w:r>
      <w:r w:rsidRPr="00EF3A3A">
        <w:rPr>
          <w:rFonts w:asciiTheme="majorHAnsi" w:hAnsiTheme="majorHAnsi"/>
          <w:noProof/>
        </w:rPr>
        <w:t>2028</w:t>
      </w:r>
      <w:r>
        <w:rPr>
          <w:rFonts w:asciiTheme="majorHAnsi" w:hAnsiTheme="majorHAnsi"/>
          <w:noProof/>
        </w:rPr>
        <w:t>.</w:t>
      </w:r>
    </w:p>
    <w:p w14:paraId="5B5D7E13" w14:textId="3909E79F" w:rsidR="00861C1C" w:rsidRPr="00F423B9" w:rsidRDefault="2A67BF04">
      <w:pPr>
        <w:pStyle w:val="amprH4Subhead1"/>
        <w:rPr>
          <w:rFonts w:asciiTheme="majorHAnsi" w:hAnsiTheme="majorHAnsi"/>
          <w:noProof/>
        </w:rPr>
      </w:pPr>
      <w:r>
        <w:rPr>
          <w:rFonts w:asciiTheme="majorHAnsi" w:hAnsiTheme="majorHAnsi"/>
          <w:noProof/>
        </w:rPr>
        <w:t xml:space="preserve">Rubrica </w:t>
      </w:r>
      <w:r w:rsidRPr="00EF3A3A">
        <w:rPr>
          <w:rFonts w:asciiTheme="majorHAnsi" w:hAnsiTheme="majorHAnsi"/>
          <w:noProof/>
        </w:rPr>
        <w:t>3</w:t>
      </w:r>
      <w:r>
        <w:rPr>
          <w:rFonts w:asciiTheme="majorHAnsi" w:hAnsiTheme="majorHAnsi"/>
          <w:noProof/>
        </w:rPr>
        <w:t xml:space="preserve"> – Politica agricolă comună (PAC) și Fondul pentru o tranziție justă </w:t>
      </w:r>
    </w:p>
    <w:p w14:paraId="2CBA95BD" w14:textId="64A6067D" w:rsidR="00861C1C" w:rsidRPr="00F423B9" w:rsidRDefault="2A67BF04">
      <w:pPr>
        <w:spacing w:after="120" w:line="276" w:lineRule="auto"/>
        <w:jc w:val="both"/>
        <w:rPr>
          <w:rFonts w:asciiTheme="majorHAnsi" w:hAnsiTheme="majorHAnsi"/>
          <w:noProof/>
        </w:rPr>
      </w:pPr>
      <w:r>
        <w:rPr>
          <w:rFonts w:asciiTheme="majorHAnsi" w:hAnsiTheme="majorHAnsi"/>
          <w:noProof/>
        </w:rPr>
        <w:t xml:space="preserve">Previziunile privind plățile pentru pilonul I al PAC, cheltuielile legate de piață și plățile directe se ridică la </w:t>
      </w:r>
      <w:r w:rsidRPr="00EF3A3A">
        <w:rPr>
          <w:rFonts w:asciiTheme="majorHAnsi" w:hAnsiTheme="majorHAnsi"/>
          <w:noProof/>
        </w:rPr>
        <w:t>40</w:t>
      </w:r>
      <w:r>
        <w:rPr>
          <w:rFonts w:asciiTheme="majorHAnsi" w:hAnsiTheme="majorHAnsi"/>
          <w:noProof/>
        </w:rPr>
        <w:t>,</w:t>
      </w:r>
      <w:r w:rsidRPr="00EF3A3A">
        <w:rPr>
          <w:rFonts w:asciiTheme="majorHAnsi" w:hAnsiTheme="majorHAnsi"/>
          <w:noProof/>
        </w:rPr>
        <w:t>6</w:t>
      </w:r>
      <w:r w:rsidR="00EF3A3A">
        <w:rPr>
          <w:rFonts w:ascii="Calibri" w:hAnsi="Calibri" w:cs="Calibri"/>
          <w:noProof/>
        </w:rPr>
        <w:t> </w:t>
      </w:r>
      <w:r>
        <w:rPr>
          <w:rFonts w:asciiTheme="majorHAnsi" w:hAnsiTheme="majorHAnsi"/>
          <w:noProof/>
        </w:rPr>
        <w:t xml:space="preserve">miliarde EUR în </w:t>
      </w:r>
      <w:r w:rsidRPr="00EF3A3A">
        <w:rPr>
          <w:rFonts w:asciiTheme="majorHAnsi" w:hAnsiTheme="majorHAnsi"/>
          <w:noProof/>
        </w:rPr>
        <w:t>2027</w:t>
      </w:r>
      <w:r>
        <w:rPr>
          <w:rFonts w:asciiTheme="majorHAnsi" w:hAnsiTheme="majorHAnsi"/>
          <w:noProof/>
        </w:rPr>
        <w:t>, reflectând cel mai recent proiect de buget</w:t>
      </w:r>
      <w:r>
        <w:rPr>
          <w:noProof/>
        </w:rPr>
        <w:t>.</w:t>
      </w:r>
    </w:p>
    <w:p w14:paraId="0D0F50A6" w14:textId="32577DE5" w:rsidR="00861C1C" w:rsidRDefault="00122108" w:rsidP="00614792">
      <w:pPr>
        <w:spacing w:after="120" w:line="276" w:lineRule="auto"/>
        <w:jc w:val="both"/>
        <w:rPr>
          <w:rFonts w:asciiTheme="majorHAnsi" w:hAnsiTheme="majorHAnsi"/>
          <w:noProof/>
        </w:rPr>
      </w:pPr>
      <w:r>
        <w:rPr>
          <w:rFonts w:asciiTheme="majorHAnsi" w:hAnsiTheme="majorHAnsi"/>
          <w:noProof/>
        </w:rPr>
        <w:t xml:space="preserve">Punerea în aplicare a pilonului II în cadrul planurilor strategice PAC, Fondul european agricol pentru dezvoltare rurală (FEADR) - a început în </w:t>
      </w:r>
      <w:r w:rsidRPr="00EF3A3A">
        <w:rPr>
          <w:rFonts w:asciiTheme="majorHAnsi" w:hAnsiTheme="majorHAnsi"/>
          <w:noProof/>
        </w:rPr>
        <w:t>2023</w:t>
      </w:r>
      <w:r>
        <w:rPr>
          <w:rFonts w:asciiTheme="majorHAnsi" w:hAnsiTheme="majorHAnsi"/>
          <w:noProof/>
        </w:rPr>
        <w:t xml:space="preserve">. Dispozițiile tranzitorii care prelungesc programele pentru perioada </w:t>
      </w:r>
      <w:r w:rsidRPr="00EF3A3A">
        <w:rPr>
          <w:rFonts w:asciiTheme="majorHAnsi" w:hAnsiTheme="majorHAnsi"/>
          <w:noProof/>
        </w:rPr>
        <w:t>2014</w:t>
      </w:r>
      <w:r>
        <w:rPr>
          <w:rFonts w:asciiTheme="majorHAnsi" w:hAnsiTheme="majorHAnsi"/>
          <w:noProof/>
        </w:rPr>
        <w:t>-</w:t>
      </w:r>
      <w:r w:rsidRPr="00EF3A3A">
        <w:rPr>
          <w:rFonts w:asciiTheme="majorHAnsi" w:hAnsiTheme="majorHAnsi"/>
          <w:noProof/>
        </w:rPr>
        <w:t>2020</w:t>
      </w:r>
      <w:r>
        <w:rPr>
          <w:rFonts w:asciiTheme="majorHAnsi" w:hAnsiTheme="majorHAnsi"/>
          <w:noProof/>
        </w:rPr>
        <w:t xml:space="preserve"> până în </w:t>
      </w:r>
      <w:r w:rsidRPr="00EF3A3A">
        <w:rPr>
          <w:rFonts w:asciiTheme="majorHAnsi" w:hAnsiTheme="majorHAnsi"/>
          <w:noProof/>
        </w:rPr>
        <w:t>2022</w:t>
      </w:r>
      <w:r>
        <w:rPr>
          <w:rFonts w:asciiTheme="majorHAnsi" w:hAnsiTheme="majorHAnsi"/>
          <w:noProof/>
        </w:rPr>
        <w:t>, permițând continuarea punerii lor în aplicare în temeiul regulii n+</w:t>
      </w:r>
      <w:r w:rsidRPr="00EF3A3A">
        <w:rPr>
          <w:rFonts w:asciiTheme="majorHAnsi" w:hAnsiTheme="majorHAnsi"/>
          <w:noProof/>
        </w:rPr>
        <w:t>3</w:t>
      </w:r>
      <w:r>
        <w:rPr>
          <w:rFonts w:asciiTheme="majorHAnsi" w:hAnsiTheme="majorHAnsi"/>
          <w:noProof/>
        </w:rPr>
        <w:t xml:space="preserve">, au prevăzut încă un an pentru finalizarea plăților în comparație cu normele pentru planurile strategice PAC pentru perioada </w:t>
      </w:r>
      <w:r w:rsidRPr="00EF3A3A">
        <w:rPr>
          <w:rFonts w:asciiTheme="majorHAnsi" w:hAnsiTheme="majorHAnsi"/>
          <w:noProof/>
        </w:rPr>
        <w:t>2023</w:t>
      </w:r>
      <w:r>
        <w:rPr>
          <w:rFonts w:asciiTheme="majorHAnsi" w:hAnsiTheme="majorHAnsi"/>
          <w:noProof/>
        </w:rPr>
        <w:t>-</w:t>
      </w:r>
      <w:r w:rsidRPr="00EF3A3A">
        <w:rPr>
          <w:rFonts w:asciiTheme="majorHAnsi" w:hAnsiTheme="majorHAnsi"/>
          <w:noProof/>
        </w:rPr>
        <w:t>2027</w:t>
      </w:r>
      <w:r>
        <w:rPr>
          <w:rFonts w:asciiTheme="majorHAnsi" w:hAnsiTheme="majorHAnsi"/>
          <w:noProof/>
        </w:rPr>
        <w:t>, care fac obiectul regulii N+</w:t>
      </w:r>
      <w:r w:rsidRPr="00EF3A3A">
        <w:rPr>
          <w:rFonts w:asciiTheme="majorHAnsi" w:hAnsiTheme="majorHAnsi"/>
          <w:noProof/>
        </w:rPr>
        <w:t>2</w:t>
      </w:r>
      <w:r>
        <w:rPr>
          <w:rFonts w:asciiTheme="majorHAnsi" w:hAnsiTheme="majorHAnsi"/>
          <w:noProof/>
        </w:rPr>
        <w:t>.</w:t>
      </w:r>
    </w:p>
    <w:p w14:paraId="08273A86" w14:textId="67ED7148" w:rsidR="00614792" w:rsidRPr="00F423B9" w:rsidRDefault="00614792" w:rsidP="00614792">
      <w:pPr>
        <w:spacing w:after="120" w:line="276" w:lineRule="auto"/>
        <w:jc w:val="both"/>
        <w:rPr>
          <w:rFonts w:asciiTheme="majorHAnsi" w:hAnsiTheme="majorHAnsi"/>
          <w:noProof/>
        </w:rPr>
      </w:pPr>
      <w:r>
        <w:rPr>
          <w:rFonts w:asciiTheme="majorHAnsi" w:hAnsiTheme="majorHAnsi"/>
          <w:noProof/>
        </w:rPr>
        <w:t xml:space="preserve">Prognoza pentru plățile care decurg din CFM </w:t>
      </w:r>
      <w:r w:rsidRPr="00EF3A3A">
        <w:rPr>
          <w:rFonts w:asciiTheme="majorHAnsi" w:hAnsiTheme="majorHAnsi"/>
          <w:noProof/>
        </w:rPr>
        <w:t>2021</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includ plăți din planurile strategice PAC </w:t>
      </w:r>
      <w:r w:rsidRPr="00EF3A3A">
        <w:rPr>
          <w:rFonts w:asciiTheme="majorHAnsi" w:hAnsiTheme="majorHAnsi"/>
          <w:noProof/>
        </w:rPr>
        <w:t>2023</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precum și plăți legate de prelungirea programelor de dezvoltare rurală până în </w:t>
      </w:r>
      <w:r w:rsidRPr="00EF3A3A">
        <w:rPr>
          <w:rFonts w:asciiTheme="majorHAnsi" w:hAnsiTheme="majorHAnsi"/>
          <w:noProof/>
        </w:rPr>
        <w:t>2021</w:t>
      </w:r>
      <w:r>
        <w:rPr>
          <w:rFonts w:asciiTheme="majorHAnsi" w:hAnsiTheme="majorHAnsi"/>
          <w:noProof/>
        </w:rPr>
        <w:t xml:space="preserve"> și </w:t>
      </w:r>
      <w:r w:rsidRPr="00EF3A3A">
        <w:rPr>
          <w:rFonts w:asciiTheme="majorHAnsi" w:hAnsiTheme="majorHAnsi"/>
          <w:noProof/>
        </w:rPr>
        <w:t>2022</w:t>
      </w:r>
      <w:r>
        <w:rPr>
          <w:rFonts w:asciiTheme="majorHAnsi" w:hAnsiTheme="majorHAnsi"/>
          <w:noProof/>
        </w:rPr>
        <w:t xml:space="preserve">, care vor fi finalizate până în </w:t>
      </w:r>
      <w:r w:rsidRPr="00EF3A3A">
        <w:rPr>
          <w:rFonts w:asciiTheme="majorHAnsi" w:hAnsiTheme="majorHAnsi"/>
          <w:noProof/>
        </w:rPr>
        <w:t>2027</w:t>
      </w:r>
      <w:r>
        <w:rPr>
          <w:rFonts w:asciiTheme="majorHAnsi" w:hAnsiTheme="majorHAnsi"/>
          <w:noProof/>
        </w:rPr>
        <w:t>. Prognoza ia în considerare, de asemenea, transferurile între pilonii politicii agricole comune comunicate de statele membre</w:t>
      </w:r>
      <w:r>
        <w:rPr>
          <w:rStyle w:val="EndnoteReference"/>
          <w:noProof/>
        </w:rPr>
        <w:endnoteReference w:id="16"/>
      </w:r>
      <w:r>
        <w:rPr>
          <w:rFonts w:asciiTheme="majorHAnsi" w:hAnsiTheme="majorHAnsi"/>
          <w:noProof/>
        </w:rPr>
        <w:t>, care au condus la un transfer net de </w:t>
      </w:r>
      <w:r w:rsidRPr="00EF3A3A">
        <w:rPr>
          <w:rFonts w:asciiTheme="majorHAnsi" w:hAnsiTheme="majorHAnsi"/>
          <w:noProof/>
        </w:rPr>
        <w:t>5</w:t>
      </w:r>
      <w:r>
        <w:rPr>
          <w:rFonts w:asciiTheme="majorHAnsi" w:hAnsiTheme="majorHAnsi"/>
          <w:noProof/>
        </w:rPr>
        <w:t>,</w:t>
      </w:r>
      <w:r w:rsidRPr="00EF3A3A">
        <w:rPr>
          <w:rFonts w:asciiTheme="majorHAnsi" w:hAnsiTheme="majorHAnsi"/>
          <w:noProof/>
        </w:rPr>
        <w:t>5</w:t>
      </w:r>
      <w:r>
        <w:rPr>
          <w:rFonts w:asciiTheme="majorHAnsi" w:hAnsiTheme="majorHAnsi"/>
          <w:noProof/>
        </w:rPr>
        <w:t xml:space="preserve"> miliarde EUR din pilonul I (FEGA) către pilonul II (FEADR) pentru perioada </w:t>
      </w:r>
      <w:r w:rsidRPr="00EF3A3A">
        <w:rPr>
          <w:rFonts w:asciiTheme="majorHAnsi" w:hAnsiTheme="majorHAnsi"/>
          <w:noProof/>
        </w:rPr>
        <w:t>2023</w:t>
      </w:r>
      <w:r>
        <w:rPr>
          <w:rFonts w:asciiTheme="majorHAnsi" w:hAnsiTheme="majorHAnsi"/>
          <w:noProof/>
        </w:rPr>
        <w:t>-</w:t>
      </w:r>
      <w:r w:rsidRPr="00EF3A3A">
        <w:rPr>
          <w:rFonts w:asciiTheme="majorHAnsi" w:hAnsiTheme="majorHAnsi"/>
          <w:noProof/>
        </w:rPr>
        <w:t>2027</w:t>
      </w:r>
      <w:r>
        <w:rPr>
          <w:rFonts w:asciiTheme="majorHAnsi" w:hAnsiTheme="majorHAnsi"/>
          <w:noProof/>
        </w:rPr>
        <w:t>.</w:t>
      </w:r>
    </w:p>
    <w:p w14:paraId="618CF04E" w14:textId="286F8CF5" w:rsidR="008114E5" w:rsidRPr="008114E5" w:rsidRDefault="008114E5" w:rsidP="008114E5">
      <w:pPr>
        <w:spacing w:after="120" w:line="276" w:lineRule="auto"/>
        <w:jc w:val="both"/>
        <w:rPr>
          <w:rFonts w:asciiTheme="majorHAnsi" w:hAnsiTheme="majorHAnsi"/>
          <w:noProof/>
        </w:rPr>
      </w:pPr>
      <w:r>
        <w:rPr>
          <w:rFonts w:asciiTheme="majorHAnsi" w:hAnsiTheme="majorHAnsi"/>
          <w:noProof/>
        </w:rPr>
        <w:t xml:space="preserve">Se preconizează că punerea în aplicare a planurilor PAC pentru perioada </w:t>
      </w:r>
      <w:r w:rsidRPr="00EF3A3A">
        <w:rPr>
          <w:rFonts w:asciiTheme="majorHAnsi" w:hAnsiTheme="majorHAnsi"/>
          <w:noProof/>
        </w:rPr>
        <w:t>2023</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va atinge nivelul maxim în </w:t>
      </w:r>
      <w:r w:rsidRPr="00EF3A3A">
        <w:rPr>
          <w:rFonts w:asciiTheme="majorHAnsi" w:hAnsiTheme="majorHAnsi"/>
          <w:noProof/>
        </w:rPr>
        <w:t>2028</w:t>
      </w:r>
      <w:r>
        <w:rPr>
          <w:rFonts w:asciiTheme="majorHAnsi" w:hAnsiTheme="majorHAnsi"/>
          <w:noProof/>
        </w:rPr>
        <w:t xml:space="preserve">, cu plăți mai mici în </w:t>
      </w:r>
      <w:r w:rsidRPr="00EF3A3A">
        <w:rPr>
          <w:rFonts w:asciiTheme="majorHAnsi" w:hAnsiTheme="majorHAnsi"/>
          <w:noProof/>
        </w:rPr>
        <w:t>2029</w:t>
      </w:r>
      <w:r>
        <w:rPr>
          <w:rFonts w:asciiTheme="majorHAnsi" w:hAnsiTheme="majorHAnsi"/>
          <w:noProof/>
        </w:rPr>
        <w:t xml:space="preserve"> și ulterior în </w:t>
      </w:r>
      <w:r w:rsidRPr="00EF3A3A">
        <w:rPr>
          <w:rFonts w:asciiTheme="majorHAnsi" w:hAnsiTheme="majorHAnsi"/>
          <w:noProof/>
        </w:rPr>
        <w:t>2030</w:t>
      </w:r>
      <w:r>
        <w:rPr>
          <w:rFonts w:asciiTheme="majorHAnsi" w:hAnsiTheme="majorHAnsi"/>
          <w:noProof/>
        </w:rPr>
        <w:t xml:space="preserve">, iar închiderea este preconizată pentru </w:t>
      </w:r>
      <w:r w:rsidRPr="00EF3A3A">
        <w:rPr>
          <w:rFonts w:asciiTheme="majorHAnsi" w:hAnsiTheme="majorHAnsi"/>
          <w:noProof/>
        </w:rPr>
        <w:t>2031</w:t>
      </w:r>
      <w:r>
        <w:rPr>
          <w:rFonts w:asciiTheme="majorHAnsi" w:hAnsiTheme="majorHAnsi"/>
          <w:noProof/>
        </w:rPr>
        <w:t xml:space="preserve">. Finalizarea programului operațional de dezvoltare rurală pentru perioada </w:t>
      </w:r>
      <w:r w:rsidRPr="00EF3A3A">
        <w:rPr>
          <w:rFonts w:asciiTheme="majorHAnsi" w:hAnsiTheme="majorHAnsi"/>
          <w:noProof/>
        </w:rPr>
        <w:t>2014</w:t>
      </w:r>
      <w:r>
        <w:rPr>
          <w:rFonts w:asciiTheme="majorHAnsi" w:hAnsiTheme="majorHAnsi"/>
          <w:noProof/>
        </w:rPr>
        <w:t>-</w:t>
      </w:r>
      <w:r w:rsidRPr="00EF3A3A">
        <w:rPr>
          <w:rFonts w:asciiTheme="majorHAnsi" w:hAnsiTheme="majorHAnsi"/>
          <w:noProof/>
        </w:rPr>
        <w:t>2022</w:t>
      </w:r>
      <w:r>
        <w:rPr>
          <w:rFonts w:asciiTheme="majorHAnsi" w:hAnsiTheme="majorHAnsi"/>
          <w:noProof/>
        </w:rPr>
        <w:t xml:space="preserve"> și cele mai recente plăți sunt preconizate pentru </w:t>
      </w:r>
      <w:r w:rsidRPr="00EF3A3A">
        <w:rPr>
          <w:rFonts w:asciiTheme="majorHAnsi" w:hAnsiTheme="majorHAnsi"/>
          <w:noProof/>
        </w:rPr>
        <w:t>2027</w:t>
      </w:r>
      <w:r>
        <w:rPr>
          <w:rFonts w:asciiTheme="majorHAnsi" w:hAnsiTheme="majorHAnsi"/>
          <w:noProof/>
        </w:rPr>
        <w:t>.</w:t>
      </w:r>
    </w:p>
    <w:p w14:paraId="0005D92E" w14:textId="2F2694AB" w:rsidR="348A84CE" w:rsidRPr="00F423B9" w:rsidRDefault="008114E5" w:rsidP="23B06DA2">
      <w:pPr>
        <w:spacing w:after="120" w:line="276" w:lineRule="auto"/>
        <w:jc w:val="both"/>
        <w:rPr>
          <w:rFonts w:asciiTheme="majorHAnsi" w:hAnsiTheme="majorHAnsi"/>
          <w:noProof/>
        </w:rPr>
      </w:pPr>
      <w:r>
        <w:rPr>
          <w:rFonts w:asciiTheme="majorHAnsi" w:hAnsiTheme="majorHAnsi"/>
          <w:noProof/>
        </w:rPr>
        <w:t xml:space="preserve">În ceea ce privește Fondul pentru o tranziție justă, plățile efectuate până în prezent au fost finanțate în principal în cadrul componentei sale NextGenerationEU, care va fi utilizată până la sfârșitul anului </w:t>
      </w:r>
      <w:r w:rsidRPr="00EF3A3A">
        <w:rPr>
          <w:rFonts w:asciiTheme="majorHAnsi" w:hAnsiTheme="majorHAnsi"/>
          <w:noProof/>
        </w:rPr>
        <w:t>2026</w:t>
      </w:r>
      <w:r>
        <w:rPr>
          <w:rFonts w:asciiTheme="majorHAnsi" w:hAnsiTheme="majorHAnsi"/>
          <w:noProof/>
        </w:rPr>
        <w:t xml:space="preserve">, în conformitate cu termenele legale. Primele plăți substanțiale din cadrul componentei CFM sunt preconizate începând cu </w:t>
      </w:r>
      <w:r w:rsidRPr="00EF3A3A">
        <w:rPr>
          <w:rFonts w:asciiTheme="majorHAnsi" w:hAnsiTheme="majorHAnsi"/>
          <w:noProof/>
        </w:rPr>
        <w:t>2026</w:t>
      </w:r>
      <w:r>
        <w:rPr>
          <w:rFonts w:asciiTheme="majorHAnsi" w:hAnsiTheme="majorHAnsi"/>
          <w:noProof/>
        </w:rPr>
        <w:t>.</w:t>
      </w:r>
    </w:p>
    <w:bookmarkEnd w:id="22"/>
    <w:p w14:paraId="770AE79D" w14:textId="77777777" w:rsidR="00861C1C" w:rsidRPr="00F423B9" w:rsidRDefault="003B6DC2" w:rsidP="0050317D">
      <w:pPr>
        <w:pStyle w:val="amprH4Subhead1"/>
        <w:spacing w:before="400"/>
        <w:rPr>
          <w:rFonts w:asciiTheme="majorHAnsi" w:hAnsiTheme="majorHAnsi"/>
          <w:noProof/>
        </w:rPr>
      </w:pPr>
      <w:r>
        <w:rPr>
          <w:rFonts w:asciiTheme="majorHAnsi" w:hAnsiTheme="majorHAnsi"/>
          <w:noProof/>
        </w:rPr>
        <w:t>Alte programe și rubrici</w:t>
      </w:r>
    </w:p>
    <w:p w14:paraId="4B149E6B" w14:textId="6E47C82F" w:rsidR="008472CD" w:rsidRDefault="009F1598" w:rsidP="217EDCC6">
      <w:pPr>
        <w:spacing w:before="0" w:after="120" w:line="276" w:lineRule="auto"/>
        <w:jc w:val="both"/>
        <w:rPr>
          <w:rFonts w:asciiTheme="majorHAnsi" w:hAnsiTheme="majorHAnsi"/>
          <w:noProof/>
        </w:rPr>
      </w:pPr>
      <w:r>
        <w:rPr>
          <w:rFonts w:asciiTheme="majorHAnsi" w:hAnsiTheme="majorHAnsi"/>
          <w:noProof/>
        </w:rPr>
        <w:t xml:space="preserve">Se preconizează că Rezerva pentru Ucraina, un instrument special care mobilizează sprijin pentru cheltuieli peste plafoanele de cheltuieli din CFM pentru perioada </w:t>
      </w:r>
      <w:r w:rsidRPr="00EF3A3A">
        <w:rPr>
          <w:rFonts w:asciiTheme="majorHAnsi" w:hAnsiTheme="majorHAnsi"/>
          <w:noProof/>
        </w:rPr>
        <w:t>2024</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va finaliza majoritatea plăților până la sfârșitul anului </w:t>
      </w:r>
      <w:r w:rsidRPr="00EF3A3A">
        <w:rPr>
          <w:rFonts w:asciiTheme="majorHAnsi" w:hAnsiTheme="majorHAnsi"/>
          <w:noProof/>
        </w:rPr>
        <w:t>2027</w:t>
      </w:r>
      <w:r>
        <w:rPr>
          <w:rFonts w:asciiTheme="majorHAnsi" w:hAnsiTheme="majorHAnsi"/>
          <w:noProof/>
        </w:rPr>
        <w:t xml:space="preserve">. </w:t>
      </w:r>
      <w:r w:rsidRPr="00EF3A3A">
        <w:rPr>
          <w:rFonts w:asciiTheme="majorHAnsi" w:hAnsiTheme="majorHAnsi"/>
          <w:noProof/>
        </w:rPr>
        <w:t>0</w:t>
      </w:r>
      <w:r>
        <w:rPr>
          <w:rFonts w:asciiTheme="majorHAnsi" w:hAnsiTheme="majorHAnsi"/>
          <w:noProof/>
        </w:rPr>
        <w:t>,</w:t>
      </w:r>
      <w:r w:rsidRPr="00EF3A3A">
        <w:rPr>
          <w:rFonts w:asciiTheme="majorHAnsi" w:hAnsiTheme="majorHAnsi"/>
          <w:noProof/>
        </w:rPr>
        <w:t>9</w:t>
      </w:r>
      <w:r>
        <w:rPr>
          <w:rFonts w:asciiTheme="majorHAnsi" w:hAnsiTheme="majorHAnsi"/>
          <w:noProof/>
        </w:rPr>
        <w:t xml:space="preserve"> miliarde EUR ar urma să fie acoperite în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sub formă de plăți aferente angajamentelor restante</w:t>
      </w:r>
      <w:r>
        <w:rPr>
          <w:noProof/>
        </w:rPr>
        <w:t>.</w:t>
      </w:r>
    </w:p>
    <w:p w14:paraId="4EEC229D" w14:textId="77777777" w:rsidR="009E4500" w:rsidRPr="00EF3A3A" w:rsidRDefault="009E4500" w:rsidP="009E4500">
      <w:pPr>
        <w:pStyle w:val="amprH3Title2-Numbered-11"/>
        <w:rPr>
          <w:rFonts w:asciiTheme="majorHAnsi" w:hAnsiTheme="majorHAnsi"/>
          <w:noProof/>
        </w:rPr>
      </w:pPr>
      <w:bookmarkStart w:id="23" w:name="_Toc235439608"/>
      <w:r w:rsidRPr="00EF3A3A">
        <w:rPr>
          <w:rFonts w:asciiTheme="majorHAnsi" w:hAnsiTheme="majorHAnsi"/>
          <w:noProof/>
        </w:rPr>
        <w:t>Plăți legate de angajamentele din CFM pentru perioada 2028-2034</w:t>
      </w:r>
      <w:bookmarkEnd w:id="23"/>
    </w:p>
    <w:p w14:paraId="53F8D300" w14:textId="77777777" w:rsidR="009E4500" w:rsidRPr="004D465B" w:rsidRDefault="009E4500" w:rsidP="009E4500">
      <w:pPr>
        <w:spacing w:after="120" w:line="276" w:lineRule="auto"/>
        <w:jc w:val="both"/>
        <w:rPr>
          <w:rFonts w:asciiTheme="majorHAnsi" w:hAnsiTheme="majorHAnsi"/>
          <w:noProof/>
          <w:spacing w:val="-4"/>
        </w:rPr>
      </w:pPr>
      <w:r>
        <w:rPr>
          <w:rFonts w:asciiTheme="majorHAnsi" w:hAnsiTheme="majorHAnsi"/>
          <w:noProof/>
        </w:rPr>
        <w:t xml:space="preserve">Plățile pentru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sunt estimate la </w:t>
      </w:r>
      <w:r w:rsidRPr="00EF3A3A">
        <w:rPr>
          <w:rFonts w:asciiTheme="majorHAnsi" w:hAnsiTheme="majorHAnsi"/>
          <w:b/>
          <w:noProof/>
        </w:rPr>
        <w:t>1</w:t>
      </w:r>
      <w:r w:rsidRPr="00EF3A3A">
        <w:rPr>
          <w:rFonts w:ascii="Calibri" w:hAnsi="Calibri" w:cs="Calibri"/>
          <w:b/>
          <w:noProof/>
        </w:rPr>
        <w:t> </w:t>
      </w:r>
      <w:r w:rsidRPr="00EF3A3A">
        <w:rPr>
          <w:rFonts w:asciiTheme="majorHAnsi" w:hAnsiTheme="majorHAnsi"/>
          <w:b/>
          <w:noProof/>
        </w:rPr>
        <w:t xml:space="preserve">641 de miliarde EUR </w:t>
      </w:r>
      <w:r>
        <w:rPr>
          <w:rFonts w:asciiTheme="majorHAnsi" w:hAnsiTheme="majorHAnsi"/>
          <w:noProof/>
        </w:rPr>
        <w:t xml:space="preserve">pe parcursul perioadei, acoperind peste </w:t>
      </w:r>
      <w:r w:rsidRPr="00EF3A3A">
        <w:rPr>
          <w:rFonts w:asciiTheme="majorHAnsi" w:hAnsiTheme="majorHAnsi"/>
          <w:b/>
          <w:noProof/>
        </w:rPr>
        <w:t>80</w:t>
      </w:r>
      <w:r w:rsidRPr="00EF3A3A">
        <w:rPr>
          <w:rFonts w:ascii="Calibri" w:hAnsi="Calibri" w:cs="Calibri"/>
          <w:b/>
          <w:noProof/>
        </w:rPr>
        <w:t> </w:t>
      </w:r>
      <w:r w:rsidRPr="00EF3A3A">
        <w:rPr>
          <w:rFonts w:asciiTheme="majorHAnsi" w:hAnsiTheme="majorHAnsi"/>
          <w:b/>
          <w:noProof/>
        </w:rPr>
        <w:t>%</w:t>
      </w:r>
      <w:r>
        <w:rPr>
          <w:rFonts w:asciiTheme="majorHAnsi" w:hAnsiTheme="majorHAnsi"/>
          <w:noProof/>
        </w:rPr>
        <w:t xml:space="preserve"> din CFM. Având în vedere că negocierile privind următorul CFM sunt în curs, datele prezentate în secțiune se bazează pe propunerea Comisiei din iulie </w:t>
      </w:r>
      <w:r w:rsidRPr="00EF3A3A">
        <w:rPr>
          <w:rFonts w:asciiTheme="majorHAnsi" w:hAnsiTheme="majorHAnsi"/>
          <w:noProof/>
        </w:rPr>
        <w:t>2025</w:t>
      </w:r>
      <w:r>
        <w:rPr>
          <w:rFonts w:asciiTheme="majorHAnsi" w:hAnsiTheme="majorHAnsi"/>
          <w:noProof/>
        </w:rPr>
        <w:t xml:space="preserve"> și sunt, ca atare, aceleași ca în raportul de anul trecut. </w:t>
      </w:r>
    </w:p>
    <w:p w14:paraId="0BC38B68" w14:textId="77777777" w:rsidR="009E4500" w:rsidRPr="00F423B9" w:rsidRDefault="009E4500" w:rsidP="009E4500">
      <w:pPr>
        <w:pStyle w:val="amprH4Subhead1"/>
        <w:rPr>
          <w:rFonts w:asciiTheme="majorHAnsi" w:hAnsiTheme="majorHAnsi"/>
          <w:noProof/>
        </w:rPr>
      </w:pPr>
      <w:r>
        <w:rPr>
          <w:rFonts w:asciiTheme="majorHAnsi" w:hAnsiTheme="majorHAnsi"/>
          <w:noProof/>
        </w:rPr>
        <w:t xml:space="preserve">Rubrica </w:t>
      </w:r>
      <w:r w:rsidRPr="00EF3A3A">
        <w:rPr>
          <w:rFonts w:asciiTheme="majorHAnsi" w:hAnsiTheme="majorHAnsi"/>
          <w:noProof/>
        </w:rPr>
        <w:t>1</w:t>
      </w:r>
      <w:r>
        <w:rPr>
          <w:rFonts w:asciiTheme="majorHAnsi" w:hAnsiTheme="majorHAnsi"/>
          <w:noProof/>
        </w:rPr>
        <w:t xml:space="preserve"> – Coeziune economică, socială și teritorială, agricultură și zone rurale, afaceri maritime, prosperitate și securitate</w:t>
      </w:r>
    </w:p>
    <w:p w14:paraId="67C7D78A" w14:textId="429D2749" w:rsidR="009E4500" w:rsidRPr="0054634E" w:rsidRDefault="009E4500" w:rsidP="009E4500">
      <w:pPr>
        <w:spacing w:after="120" w:line="276" w:lineRule="auto"/>
        <w:jc w:val="both"/>
        <w:rPr>
          <w:rFonts w:asciiTheme="majorHAnsi" w:hAnsiTheme="majorHAnsi"/>
          <w:noProof/>
        </w:rPr>
      </w:pPr>
      <w:r>
        <w:rPr>
          <w:rFonts w:asciiTheme="majorHAnsi" w:hAnsiTheme="majorHAnsi"/>
          <w:noProof/>
        </w:rPr>
        <w:t xml:space="preserve">Principalul factor determinant al profilului plăților în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va fi reprezentat de planurile de parteneriat național și regional, cu previziuni privind plățile în valoare totală de </w:t>
      </w:r>
      <w:r w:rsidRPr="00EF3A3A">
        <w:rPr>
          <w:rFonts w:asciiTheme="majorHAnsi" w:hAnsiTheme="majorHAnsi"/>
          <w:b/>
          <w:noProof/>
        </w:rPr>
        <w:t xml:space="preserve">965 de miliarde EUR </w:t>
      </w:r>
      <w:r>
        <w:rPr>
          <w:rFonts w:asciiTheme="majorHAnsi" w:hAnsiTheme="majorHAnsi"/>
          <w:noProof/>
        </w:rPr>
        <w:t xml:space="preserve">pentru întreaga rubrică. </w:t>
      </w:r>
    </w:p>
    <w:p w14:paraId="78A4C343" w14:textId="77777777" w:rsidR="009E4500" w:rsidRDefault="009E4500" w:rsidP="009E4500">
      <w:pPr>
        <w:spacing w:after="120" w:line="276" w:lineRule="auto"/>
        <w:jc w:val="both"/>
        <w:rPr>
          <w:rFonts w:asciiTheme="majorHAnsi" w:hAnsiTheme="majorHAnsi"/>
          <w:noProof/>
        </w:rPr>
      </w:pPr>
      <w:r>
        <w:rPr>
          <w:rFonts w:asciiTheme="majorHAnsi" w:hAnsiTheme="majorHAnsi"/>
          <w:noProof/>
        </w:rPr>
        <w:t xml:space="preserve">Începând din </w:t>
      </w:r>
      <w:r w:rsidRPr="00EF3A3A">
        <w:rPr>
          <w:rFonts w:asciiTheme="majorHAnsi" w:hAnsiTheme="majorHAnsi"/>
          <w:noProof/>
        </w:rPr>
        <w:t>2028</w:t>
      </w:r>
      <w:r>
        <w:rPr>
          <w:rFonts w:asciiTheme="majorHAnsi" w:hAnsiTheme="majorHAnsi"/>
          <w:noProof/>
        </w:rPr>
        <w:t xml:space="preserve">, UE trebuie să înceapă rambursarea datoriei emise în cadrul NextGenerationEU. Pentru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Comisia propune o sumă fixă de </w:t>
      </w:r>
      <w:r w:rsidRPr="00EF3A3A">
        <w:rPr>
          <w:rFonts w:asciiTheme="majorHAnsi" w:hAnsiTheme="majorHAnsi"/>
          <w:noProof/>
        </w:rPr>
        <w:t>24</w:t>
      </w:r>
      <w:r>
        <w:rPr>
          <w:rFonts w:asciiTheme="majorHAnsi" w:hAnsiTheme="majorHAnsi"/>
          <w:noProof/>
        </w:rPr>
        <w:t xml:space="preserve"> de miliarde EUR pe an, în prețuri curente, pentru rambursarea dobânzii și a capitalului sprijinului nerambursabil acordat în cadrul NextGenerationEU. Aceasta înseamnă un total de </w:t>
      </w:r>
      <w:r w:rsidRPr="00EF3A3A">
        <w:rPr>
          <w:rFonts w:asciiTheme="majorHAnsi" w:hAnsiTheme="majorHAnsi"/>
          <w:b/>
          <w:noProof/>
        </w:rPr>
        <w:t xml:space="preserve">168 de miliarde EUR </w:t>
      </w:r>
      <w:r>
        <w:rPr>
          <w:rFonts w:asciiTheme="majorHAnsi" w:hAnsiTheme="majorHAnsi"/>
          <w:noProof/>
        </w:rPr>
        <w:t xml:space="preserve">în perioada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w:t>
      </w:r>
    </w:p>
    <w:p w14:paraId="63E3E463" w14:textId="77777777" w:rsidR="009E4500" w:rsidRDefault="009E4500" w:rsidP="009E4500">
      <w:pPr>
        <w:spacing w:after="120" w:line="276" w:lineRule="auto"/>
        <w:jc w:val="both"/>
        <w:rPr>
          <w:rFonts w:asciiTheme="majorHAnsi" w:hAnsiTheme="majorHAnsi"/>
          <w:noProof/>
        </w:rPr>
      </w:pPr>
      <w:r>
        <w:rPr>
          <w:rFonts w:asciiTheme="majorHAnsi" w:hAnsiTheme="majorHAnsi"/>
          <w:noProof/>
        </w:rPr>
        <w:t>Restul plăților aferente acestei rubrici sunt destinate în principal agențiilor descentralizate (cum ar fi Frontex și Europol), în cazul cărora plățile UE sunt efectuate integral în același an în care este angajată subvenția pentru agenție.</w:t>
      </w:r>
    </w:p>
    <w:p w14:paraId="38BD9E54" w14:textId="77777777" w:rsidR="009E4500" w:rsidRPr="00F423B9" w:rsidRDefault="009E4500" w:rsidP="009E4500">
      <w:pPr>
        <w:pStyle w:val="amprH4Subhead1"/>
        <w:rPr>
          <w:rFonts w:asciiTheme="majorHAnsi" w:hAnsiTheme="majorHAnsi"/>
          <w:noProof/>
        </w:rPr>
      </w:pPr>
      <w:r>
        <w:rPr>
          <w:rFonts w:asciiTheme="majorHAnsi" w:hAnsiTheme="majorHAnsi"/>
          <w:noProof/>
        </w:rPr>
        <w:t xml:space="preserve">Rubrica </w:t>
      </w:r>
      <w:r w:rsidRPr="00EF3A3A">
        <w:rPr>
          <w:rFonts w:asciiTheme="majorHAnsi" w:hAnsiTheme="majorHAnsi"/>
          <w:noProof/>
        </w:rPr>
        <w:t>2</w:t>
      </w:r>
      <w:r>
        <w:rPr>
          <w:rFonts w:asciiTheme="majorHAnsi" w:hAnsiTheme="majorHAnsi"/>
          <w:noProof/>
        </w:rPr>
        <w:t xml:space="preserve"> – Competitivitate, prosperitate și securitate</w:t>
      </w:r>
    </w:p>
    <w:p w14:paraId="5D6FD9BA" w14:textId="77777777" w:rsidR="009E4500" w:rsidRDefault="009E4500" w:rsidP="009E4500">
      <w:pPr>
        <w:spacing w:after="120" w:line="276" w:lineRule="auto"/>
        <w:jc w:val="both"/>
        <w:rPr>
          <w:rFonts w:asciiTheme="majorHAnsi" w:hAnsiTheme="majorHAnsi"/>
          <w:noProof/>
        </w:rPr>
      </w:pPr>
      <w:r>
        <w:rPr>
          <w:rFonts w:asciiTheme="majorHAnsi" w:hAnsiTheme="majorHAnsi"/>
          <w:noProof/>
        </w:rPr>
        <w:t xml:space="preserve">Plățile de la rubrica </w:t>
      </w:r>
      <w:r w:rsidRPr="00EF3A3A">
        <w:rPr>
          <w:rFonts w:asciiTheme="majorHAnsi" w:hAnsiTheme="majorHAnsi"/>
          <w:noProof/>
        </w:rPr>
        <w:t>2</w:t>
      </w:r>
      <w:r>
        <w:rPr>
          <w:rFonts w:asciiTheme="majorHAnsi" w:hAnsiTheme="majorHAnsi"/>
          <w:noProof/>
        </w:rPr>
        <w:t xml:space="preserve"> se ridică la </w:t>
      </w:r>
      <w:r w:rsidRPr="00EF3A3A">
        <w:rPr>
          <w:rFonts w:asciiTheme="majorHAnsi" w:hAnsiTheme="majorHAnsi"/>
          <w:b/>
          <w:noProof/>
        </w:rPr>
        <w:t>424</w:t>
      </w:r>
      <w:r>
        <w:rPr>
          <w:rFonts w:asciiTheme="majorHAnsi" w:hAnsiTheme="majorHAnsi"/>
          <w:noProof/>
        </w:rPr>
        <w:t xml:space="preserve"> </w:t>
      </w:r>
      <w:r w:rsidRPr="00EF3A3A">
        <w:rPr>
          <w:rFonts w:asciiTheme="majorHAnsi" w:hAnsiTheme="majorHAnsi"/>
          <w:b/>
          <w:noProof/>
        </w:rPr>
        <w:t>de miliarde EUR</w:t>
      </w:r>
      <w:r>
        <w:rPr>
          <w:rFonts w:asciiTheme="majorHAnsi" w:hAnsiTheme="majorHAnsi"/>
          <w:noProof/>
        </w:rPr>
        <w:t>. Plățile sunt determinate în principal de Fondul european pentru competitivitate și de programul Orizont Europa.</w:t>
      </w:r>
    </w:p>
    <w:p w14:paraId="27008CEA" w14:textId="77777777" w:rsidR="009E4500" w:rsidRPr="00F423B9" w:rsidRDefault="009E4500" w:rsidP="009E4500">
      <w:pPr>
        <w:pStyle w:val="amprH4Subhead1"/>
        <w:rPr>
          <w:rFonts w:asciiTheme="majorHAnsi" w:hAnsiTheme="majorHAnsi"/>
          <w:noProof/>
        </w:rPr>
      </w:pPr>
      <w:r>
        <w:rPr>
          <w:rFonts w:asciiTheme="majorHAnsi" w:hAnsiTheme="majorHAnsi"/>
          <w:noProof/>
        </w:rPr>
        <w:t xml:space="preserve">Rubrica </w:t>
      </w:r>
      <w:r w:rsidRPr="00EF3A3A">
        <w:rPr>
          <w:rFonts w:asciiTheme="majorHAnsi" w:hAnsiTheme="majorHAnsi"/>
          <w:noProof/>
        </w:rPr>
        <w:t>3</w:t>
      </w:r>
      <w:r>
        <w:rPr>
          <w:rFonts w:asciiTheme="majorHAnsi" w:hAnsiTheme="majorHAnsi"/>
          <w:noProof/>
        </w:rPr>
        <w:t xml:space="preserve"> – Europa globală</w:t>
      </w:r>
    </w:p>
    <w:p w14:paraId="5B2AA667" w14:textId="77777777" w:rsidR="009E4500" w:rsidRDefault="009E4500" w:rsidP="009E4500">
      <w:pPr>
        <w:spacing w:after="120" w:line="276" w:lineRule="auto"/>
        <w:jc w:val="both"/>
        <w:rPr>
          <w:rFonts w:asciiTheme="majorHAnsi" w:hAnsiTheme="majorHAnsi"/>
          <w:noProof/>
        </w:rPr>
      </w:pPr>
      <w:r>
        <w:rPr>
          <w:rFonts w:asciiTheme="majorHAnsi" w:hAnsiTheme="majorHAnsi"/>
          <w:noProof/>
        </w:rPr>
        <w:t xml:space="preserve">Plățile de la rubrica </w:t>
      </w:r>
      <w:r w:rsidRPr="00EF3A3A">
        <w:rPr>
          <w:rFonts w:asciiTheme="majorHAnsi" w:hAnsiTheme="majorHAnsi"/>
          <w:noProof/>
        </w:rPr>
        <w:t>3</w:t>
      </w:r>
      <w:r>
        <w:rPr>
          <w:rFonts w:asciiTheme="majorHAnsi" w:hAnsiTheme="majorHAnsi"/>
          <w:noProof/>
        </w:rPr>
        <w:t xml:space="preserve"> se ridică la </w:t>
      </w:r>
      <w:r w:rsidRPr="00EF3A3A">
        <w:rPr>
          <w:rFonts w:asciiTheme="majorHAnsi" w:hAnsiTheme="majorHAnsi"/>
          <w:b/>
          <w:noProof/>
        </w:rPr>
        <w:t>135</w:t>
      </w:r>
      <w:r>
        <w:rPr>
          <w:rFonts w:asciiTheme="majorHAnsi" w:hAnsiTheme="majorHAnsi"/>
          <w:noProof/>
        </w:rPr>
        <w:t xml:space="preserve"> </w:t>
      </w:r>
      <w:r w:rsidRPr="00EF3A3A">
        <w:rPr>
          <w:rFonts w:asciiTheme="majorHAnsi" w:hAnsiTheme="majorHAnsi"/>
          <w:b/>
          <w:noProof/>
        </w:rPr>
        <w:t>de miliarde EUR</w:t>
      </w:r>
      <w:r>
        <w:rPr>
          <w:rFonts w:asciiTheme="majorHAnsi" w:hAnsiTheme="majorHAnsi"/>
          <w:noProof/>
        </w:rPr>
        <w:t xml:space="preserve">. Plățile sunt efectuate în principal de Europa globală. </w:t>
      </w:r>
    </w:p>
    <w:p w14:paraId="0E3E9C81" w14:textId="77777777" w:rsidR="009E4500" w:rsidRPr="00F423B9" w:rsidRDefault="009E4500" w:rsidP="009E4500">
      <w:pPr>
        <w:pStyle w:val="amprH4Subhead1"/>
        <w:rPr>
          <w:rFonts w:asciiTheme="majorHAnsi" w:hAnsiTheme="majorHAnsi"/>
          <w:noProof/>
        </w:rPr>
      </w:pPr>
      <w:r>
        <w:rPr>
          <w:rFonts w:asciiTheme="majorHAnsi" w:hAnsiTheme="majorHAnsi"/>
          <w:noProof/>
        </w:rPr>
        <w:t>Instrumente speciale</w:t>
      </w:r>
    </w:p>
    <w:p w14:paraId="1306C799" w14:textId="77777777" w:rsidR="009E4500" w:rsidRDefault="009E4500" w:rsidP="009E4500">
      <w:pPr>
        <w:spacing w:after="120" w:line="276" w:lineRule="auto"/>
        <w:jc w:val="both"/>
        <w:rPr>
          <w:noProof/>
        </w:rPr>
      </w:pPr>
      <w:r>
        <w:rPr>
          <w:noProof/>
        </w:rPr>
        <w:t>Instrumentele speciale se încadrează în două categorii:</w:t>
      </w:r>
    </w:p>
    <w:p w14:paraId="0623FE0B" w14:textId="2B888CD1" w:rsidR="009E4500" w:rsidRDefault="009E4500" w:rsidP="009E4500">
      <w:pPr>
        <w:spacing w:before="0" w:after="120" w:line="276" w:lineRule="auto"/>
        <w:jc w:val="both"/>
        <w:rPr>
          <w:noProof/>
        </w:rPr>
      </w:pPr>
      <w:r w:rsidRPr="00EF3A3A">
        <w:rPr>
          <w:b/>
          <w:noProof/>
        </w:rPr>
        <w:t>Instrumentul tematic (Ucraina)</w:t>
      </w:r>
      <w:r>
        <w:rPr>
          <w:noProof/>
        </w:rPr>
        <w:t xml:space="preserve"> – Rezerva pentru Ucraina va fi un instrument special tematic (</w:t>
      </w:r>
      <w:r w:rsidRPr="00EF3A3A">
        <w:rPr>
          <w:noProof/>
        </w:rPr>
        <w:t>100</w:t>
      </w:r>
      <w:r w:rsidR="00EF3A3A">
        <w:rPr>
          <w:rFonts w:ascii="Calibri" w:hAnsi="Calibri" w:cs="Calibri"/>
          <w:noProof/>
        </w:rPr>
        <w:t> </w:t>
      </w:r>
      <w:r>
        <w:rPr>
          <w:noProof/>
        </w:rPr>
        <w:t>de</w:t>
      </w:r>
      <w:r w:rsidR="00EF3A3A">
        <w:rPr>
          <w:rFonts w:ascii="Calibri" w:hAnsi="Calibri" w:cs="Calibri"/>
          <w:noProof/>
        </w:rPr>
        <w:t> </w:t>
      </w:r>
      <w:r>
        <w:rPr>
          <w:noProof/>
        </w:rPr>
        <w:t>miliarde</w:t>
      </w:r>
      <w:r w:rsidR="00EF3A3A">
        <w:rPr>
          <w:rFonts w:ascii="Calibri" w:hAnsi="Calibri" w:cs="Calibri"/>
          <w:noProof/>
        </w:rPr>
        <w:t> </w:t>
      </w:r>
      <w:r>
        <w:rPr>
          <w:noProof/>
        </w:rPr>
        <w:t xml:space="preserve">EUR) care va permite Uniunii să finanțeze eforturile de redresare și reconstrucție ale Ucrainei, precum și să sprijine procesul de aderare a țării prin intermediul asistenței pentru preaderare. Întregul sprijin acordat Ucrainei va fi canalizat și pus în aplicare prin intermediul instrumentului „Europa globală”. Regulamentul privind CFM prevede că cuantumul anual mobilizat în cadrul Rezervei pentru Ucraina într-un anumit an nu depășește </w:t>
      </w:r>
      <w:r w:rsidRPr="00EF3A3A">
        <w:rPr>
          <w:noProof/>
        </w:rPr>
        <w:t>13</w:t>
      </w:r>
      <w:r>
        <w:rPr>
          <w:noProof/>
        </w:rPr>
        <w:t>,</w:t>
      </w:r>
      <w:r w:rsidRPr="00EF3A3A">
        <w:rPr>
          <w:noProof/>
        </w:rPr>
        <w:t>5</w:t>
      </w:r>
      <w:r w:rsidR="00EF3A3A">
        <w:rPr>
          <w:rFonts w:ascii="Calibri" w:hAnsi="Calibri" w:cs="Calibri"/>
          <w:noProof/>
        </w:rPr>
        <w:t> </w:t>
      </w:r>
      <w:r>
        <w:rPr>
          <w:noProof/>
        </w:rPr>
        <w:t xml:space="preserve">miliarde EUR la prețurile din </w:t>
      </w:r>
      <w:r w:rsidRPr="00EF3A3A">
        <w:rPr>
          <w:noProof/>
        </w:rPr>
        <w:t>2025</w:t>
      </w:r>
      <w:r>
        <w:rPr>
          <w:noProof/>
        </w:rPr>
        <w:t xml:space="preserve">. La </w:t>
      </w:r>
      <w:r w:rsidRPr="00EF3A3A">
        <w:rPr>
          <w:noProof/>
        </w:rPr>
        <w:t>24</w:t>
      </w:r>
      <w:r>
        <w:rPr>
          <w:noProof/>
        </w:rPr>
        <w:t xml:space="preserve"> februarie </w:t>
      </w:r>
      <w:r w:rsidRPr="00EF3A3A">
        <w:rPr>
          <w:noProof/>
        </w:rPr>
        <w:t>2026</w:t>
      </w:r>
      <w:r>
        <w:rPr>
          <w:noProof/>
        </w:rPr>
        <w:t>, a fost adoptat un Regulament</w:t>
      </w:r>
      <w:r>
        <w:rPr>
          <w:rStyle w:val="EndnoteReference"/>
          <w:noProof/>
        </w:rPr>
        <w:endnoteReference w:id="17"/>
      </w:r>
      <w:r>
        <w:rPr>
          <w:noProof/>
        </w:rPr>
        <w:t xml:space="preserve"> de instituire a unui împrumut de sprijin pentru Ucraina în valoare de </w:t>
      </w:r>
      <w:r w:rsidRPr="00EF3A3A">
        <w:rPr>
          <w:noProof/>
        </w:rPr>
        <w:t>90</w:t>
      </w:r>
      <w:r>
        <w:rPr>
          <w:noProof/>
        </w:rPr>
        <w:t xml:space="preserve"> de miliarde EUR. La </w:t>
      </w:r>
      <w:r w:rsidRPr="00EF3A3A">
        <w:rPr>
          <w:noProof/>
        </w:rPr>
        <w:t>23</w:t>
      </w:r>
      <w:r>
        <w:rPr>
          <w:noProof/>
        </w:rPr>
        <w:t xml:space="preserve"> mai </w:t>
      </w:r>
      <w:r w:rsidRPr="00EF3A3A">
        <w:rPr>
          <w:noProof/>
        </w:rPr>
        <w:t>2026</w:t>
      </w:r>
      <w:r>
        <w:rPr>
          <w:noProof/>
        </w:rPr>
        <w:t xml:space="preserve">, Regulamentul privind CFM </w:t>
      </w:r>
      <w:r w:rsidRPr="00EF3A3A">
        <w:rPr>
          <w:noProof/>
        </w:rPr>
        <w:t>2021</w:t>
      </w:r>
      <w:r>
        <w:rPr>
          <w:noProof/>
        </w:rPr>
        <w:t>-</w:t>
      </w:r>
      <w:r w:rsidRPr="00EF3A3A">
        <w:rPr>
          <w:noProof/>
        </w:rPr>
        <w:t>2027</w:t>
      </w:r>
      <w:r>
        <w:rPr>
          <w:noProof/>
        </w:rPr>
        <w:t xml:space="preserve"> a fost modificat pentru a permite susținerea financiară a acestui împrumut în marja de manevră a bugetului UE, peste plafoanele CFM, precum și pentru a crea un instrument special pentru finanțarea subvenționării ratei dobânzii acordate de Uniune Ucrainei pentru împrumut. Aceste cheltuieli și datoriile contingente aferente, care urmează să fie acoperite din marja de manevră a bugetului UE, nu sunt incluse în Rezerva pentru Ucraina în valoare de </w:t>
      </w:r>
      <w:r w:rsidRPr="00EF3A3A">
        <w:rPr>
          <w:noProof/>
        </w:rPr>
        <w:t>100</w:t>
      </w:r>
      <w:r>
        <w:rPr>
          <w:noProof/>
        </w:rPr>
        <w:t xml:space="preserve"> de miliarde EUR propusă în iulie </w:t>
      </w:r>
      <w:r w:rsidRPr="00EF3A3A">
        <w:rPr>
          <w:noProof/>
        </w:rPr>
        <w:t>2025</w:t>
      </w:r>
      <w:r>
        <w:rPr>
          <w:noProof/>
        </w:rPr>
        <w:t xml:space="preserve">. </w:t>
      </w:r>
    </w:p>
    <w:p w14:paraId="2DD5AE16" w14:textId="77777777" w:rsidR="009E4500" w:rsidRDefault="009E4500" w:rsidP="009E4500">
      <w:pPr>
        <w:spacing w:before="0" w:after="120" w:line="276" w:lineRule="auto"/>
        <w:jc w:val="both"/>
        <w:rPr>
          <w:noProof/>
        </w:rPr>
      </w:pPr>
      <w:r w:rsidRPr="00EF3A3A">
        <w:rPr>
          <w:b/>
          <w:noProof/>
        </w:rPr>
        <w:t xml:space="preserve">Instrumente netematice </w:t>
      </w:r>
      <w:r>
        <w:rPr>
          <w:noProof/>
        </w:rPr>
        <w:t xml:space="preserve">– alocarea unor sume suplimentare pentru programe specifice din CFM, sub rezerva unor condiții specifice. Mobilizarea acestora și nevoile de plată ulterioare nu pot fi previzionate. În ceea ce privește Instrumentul de flexibilitate, Regulamentul privind CFM pentru perioada </w:t>
      </w:r>
      <w:r w:rsidRPr="00EF3A3A">
        <w:rPr>
          <w:noProof/>
        </w:rPr>
        <w:t>2028</w:t>
      </w:r>
      <w:r>
        <w:rPr>
          <w:noProof/>
        </w:rPr>
        <w:t>-</w:t>
      </w:r>
      <w:r w:rsidRPr="00EF3A3A">
        <w:rPr>
          <w:noProof/>
        </w:rPr>
        <w:t>2034</w:t>
      </w:r>
      <w:r>
        <w:rPr>
          <w:noProof/>
        </w:rPr>
        <w:t xml:space="preserve"> prevede cel puțin o sumă fixă anuală de </w:t>
      </w:r>
      <w:r w:rsidRPr="00EF3A3A">
        <w:rPr>
          <w:noProof/>
        </w:rPr>
        <w:t>2</w:t>
      </w:r>
      <w:r>
        <w:rPr>
          <w:noProof/>
        </w:rPr>
        <w:t> </w:t>
      </w:r>
      <w:r w:rsidRPr="00EF3A3A">
        <w:rPr>
          <w:noProof/>
        </w:rPr>
        <w:t>000</w:t>
      </w:r>
      <w:r>
        <w:rPr>
          <w:noProof/>
        </w:rPr>
        <w:t xml:space="preserve"> de milioane EUR la prețurile din </w:t>
      </w:r>
      <w:r w:rsidRPr="00EF3A3A">
        <w:rPr>
          <w:noProof/>
        </w:rPr>
        <w:t>2025</w:t>
      </w:r>
      <w:r>
        <w:rPr>
          <w:noProof/>
        </w:rPr>
        <w:t>.</w:t>
      </w:r>
    </w:p>
    <w:p w14:paraId="11214EA4" w14:textId="562A0C17" w:rsidR="009E4500" w:rsidRPr="00F423B9" w:rsidRDefault="009E4500" w:rsidP="009E4500">
      <w:pPr>
        <w:spacing w:before="0" w:after="120" w:line="276" w:lineRule="auto"/>
        <w:jc w:val="both"/>
        <w:rPr>
          <w:rFonts w:asciiTheme="majorHAnsi" w:hAnsiTheme="majorHAnsi"/>
          <w:noProof/>
        </w:rPr>
      </w:pPr>
      <w:r>
        <w:rPr>
          <w:noProof/>
        </w:rPr>
        <w:t xml:space="preserve">Cheltuielile acoperite de mobilizarea instrumentelor speciale sunt contabilizate în plus față de plafoanele CFM și sunt excluse în scopul stabilirii marjelor pentru angajamente și plăți. Având în vedere natura lor și faptul că fac obiectul unor decizii anuale ale autorității bugetare, sumele pentru perioada </w:t>
      </w:r>
      <w:r w:rsidRPr="00EF3A3A">
        <w:rPr>
          <w:noProof/>
        </w:rPr>
        <w:t>2028</w:t>
      </w:r>
      <w:r>
        <w:rPr>
          <w:noProof/>
        </w:rPr>
        <w:t>-</w:t>
      </w:r>
      <w:r w:rsidRPr="00EF3A3A">
        <w:rPr>
          <w:noProof/>
        </w:rPr>
        <w:t>2034</w:t>
      </w:r>
      <w:r>
        <w:rPr>
          <w:noProof/>
        </w:rPr>
        <w:t xml:space="preserve"> prezentate în acest raport nu reprezintă mobilizarea acestor instrumente speciale.</w:t>
      </w:r>
    </w:p>
    <w:p w14:paraId="39623D05" w14:textId="5AD8B7CB" w:rsidR="00861C1C" w:rsidRPr="00EF3A3A" w:rsidRDefault="003B6DC2">
      <w:pPr>
        <w:pStyle w:val="amprH3Title2-Numbered-11"/>
        <w:rPr>
          <w:rFonts w:asciiTheme="majorHAnsi" w:hAnsiTheme="majorHAnsi"/>
          <w:noProof/>
        </w:rPr>
      </w:pPr>
      <w:bookmarkStart w:id="24" w:name="_Toc74213162"/>
      <w:bookmarkStart w:id="25" w:name="_Toc71370937"/>
      <w:bookmarkStart w:id="26" w:name="_Toc71377349"/>
      <w:bookmarkStart w:id="27" w:name="_Toc71392500"/>
      <w:bookmarkStart w:id="28" w:name="_Toc71399666"/>
      <w:bookmarkStart w:id="29" w:name="_Toc71454330"/>
      <w:bookmarkStart w:id="30" w:name="_Toc71462280"/>
      <w:bookmarkStart w:id="31" w:name="_Toc71462312"/>
      <w:bookmarkStart w:id="32" w:name="_Toc71370938"/>
      <w:bookmarkStart w:id="33" w:name="_Toc71377350"/>
      <w:bookmarkStart w:id="34" w:name="_Toc71392501"/>
      <w:bookmarkStart w:id="35" w:name="_Toc71399667"/>
      <w:bookmarkStart w:id="36" w:name="_Toc71454331"/>
      <w:bookmarkStart w:id="37" w:name="_Toc71462281"/>
      <w:bookmarkStart w:id="38" w:name="_Toc71462313"/>
      <w:bookmarkStart w:id="39" w:name="_Toc71370939"/>
      <w:bookmarkStart w:id="40" w:name="_Toc71377351"/>
      <w:bookmarkStart w:id="41" w:name="_Toc71392502"/>
      <w:bookmarkStart w:id="42" w:name="_Toc71399668"/>
      <w:bookmarkStart w:id="43" w:name="_Toc71454332"/>
      <w:bookmarkStart w:id="44" w:name="_Toc71462282"/>
      <w:bookmarkStart w:id="45" w:name="_Toc71462314"/>
      <w:bookmarkStart w:id="46" w:name="_Toc71224921"/>
      <w:bookmarkStart w:id="47" w:name="_Toc71226625"/>
      <w:bookmarkStart w:id="48" w:name="_Toc71232395"/>
      <w:bookmarkStart w:id="49" w:name="_Toc71370940"/>
      <w:bookmarkStart w:id="50" w:name="_Toc71377352"/>
      <w:bookmarkStart w:id="51" w:name="_Toc71392503"/>
      <w:bookmarkStart w:id="52" w:name="_Toc71399669"/>
      <w:bookmarkStart w:id="53" w:name="_Toc71454333"/>
      <w:bookmarkStart w:id="54" w:name="_Toc71462283"/>
      <w:bookmarkStart w:id="55" w:name="_Toc71462315"/>
      <w:bookmarkStart w:id="56" w:name="_Toc71224922"/>
      <w:bookmarkStart w:id="57" w:name="_Toc71226626"/>
      <w:bookmarkStart w:id="58" w:name="_Toc71232396"/>
      <w:bookmarkStart w:id="59" w:name="_Toc71370941"/>
      <w:bookmarkStart w:id="60" w:name="_Toc71377353"/>
      <w:bookmarkStart w:id="61" w:name="_Toc71392504"/>
      <w:bookmarkStart w:id="62" w:name="_Toc71399670"/>
      <w:bookmarkStart w:id="63" w:name="_Toc71454334"/>
      <w:bookmarkStart w:id="64" w:name="_Toc71462284"/>
      <w:bookmarkStart w:id="65" w:name="_Toc71462316"/>
      <w:bookmarkStart w:id="66" w:name="_Toc524523063"/>
      <w:bookmarkStart w:id="67" w:name="_Toc235439609"/>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EF3A3A">
        <w:rPr>
          <w:rFonts w:asciiTheme="majorHAnsi" w:hAnsiTheme="majorHAnsi"/>
          <w:noProof/>
        </w:rPr>
        <w:t>Dezangajări</w:t>
      </w:r>
      <w:bookmarkEnd w:id="66"/>
      <w:bookmarkEnd w:id="67"/>
    </w:p>
    <w:p w14:paraId="70AD1C3C" w14:textId="021A15CD" w:rsidR="00D31DBA" w:rsidRPr="00D31DBA" w:rsidRDefault="00D31DBA" w:rsidP="00D31DBA">
      <w:pPr>
        <w:spacing w:after="120" w:line="276" w:lineRule="auto"/>
        <w:jc w:val="both"/>
        <w:rPr>
          <w:rFonts w:asciiTheme="majorHAnsi" w:hAnsiTheme="majorHAnsi"/>
          <w:noProof/>
        </w:rPr>
      </w:pPr>
      <w:r>
        <w:rPr>
          <w:rFonts w:asciiTheme="majorHAnsi" w:hAnsiTheme="majorHAnsi"/>
          <w:noProof/>
        </w:rPr>
        <w:t xml:space="preserve">Previziunile privind dezangajările care decurg din programele din CFM actual și anterior până la sfârșitul anului </w:t>
      </w:r>
      <w:r w:rsidRPr="00EF3A3A">
        <w:rPr>
          <w:rFonts w:asciiTheme="majorHAnsi" w:hAnsiTheme="majorHAnsi"/>
          <w:noProof/>
        </w:rPr>
        <w:t>2034</w:t>
      </w:r>
      <w:r>
        <w:rPr>
          <w:rFonts w:asciiTheme="majorHAnsi" w:hAnsiTheme="majorHAnsi"/>
          <w:noProof/>
        </w:rPr>
        <w:t xml:space="preserve"> se ridică la </w:t>
      </w:r>
      <w:r w:rsidRPr="00EF3A3A">
        <w:rPr>
          <w:rFonts w:asciiTheme="majorHAnsi" w:hAnsiTheme="majorHAnsi"/>
          <w:b/>
          <w:noProof/>
        </w:rPr>
        <w:t>11 miliarde EUR</w:t>
      </w:r>
      <w:r>
        <w:rPr>
          <w:rFonts w:asciiTheme="majorHAnsi" w:hAnsiTheme="majorHAnsi"/>
          <w:noProof/>
        </w:rPr>
        <w:t>.</w:t>
      </w:r>
      <w:r w:rsidRPr="00EF3A3A">
        <w:rPr>
          <w:rFonts w:asciiTheme="majorHAnsi" w:hAnsiTheme="majorHAnsi"/>
          <w:b/>
          <w:noProof/>
        </w:rPr>
        <w:t xml:space="preserve"> </w:t>
      </w:r>
      <w:r>
        <w:rPr>
          <w:rFonts w:asciiTheme="majorHAnsi" w:hAnsiTheme="majorHAnsi"/>
          <w:noProof/>
        </w:rPr>
        <w:t xml:space="preserve">Creșterea este determinată în mod substanțial de programele de coeziune din actualul CFM și din Fondul european agricol pentru dezvoltare rurală (FEADR). </w:t>
      </w:r>
    </w:p>
    <w:p w14:paraId="07AF1B1F" w14:textId="64E210A4" w:rsidR="00D31DBA" w:rsidRPr="0084311F" w:rsidRDefault="00D31DBA" w:rsidP="00D31DBA">
      <w:pPr>
        <w:spacing w:after="120" w:line="276" w:lineRule="auto"/>
        <w:jc w:val="both"/>
        <w:rPr>
          <w:rFonts w:asciiTheme="majorHAnsi" w:hAnsiTheme="majorHAnsi"/>
          <w:noProof/>
          <w:spacing w:val="-6"/>
        </w:rPr>
      </w:pPr>
      <w:r>
        <w:rPr>
          <w:rFonts w:asciiTheme="majorHAnsi" w:hAnsiTheme="majorHAnsi"/>
          <w:noProof/>
        </w:rPr>
        <w:t xml:space="preserve">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propune modificări substanțiale ale modurilor de execuție, menite să simplifice și să accelereze punerea în aplicare, conducând la o asumare deplină a angajamentelor în următorul CFM. Prin urmare, nu se preconizează nicio previziune specifică privind dezangajarea pentru programele din următorul CFM.</w:t>
      </w:r>
    </w:p>
    <w:p w14:paraId="0AA447F8" w14:textId="6AEAADED" w:rsidR="00861C1C" w:rsidRPr="00F423B9" w:rsidRDefault="55E43B5C" w:rsidP="00A74031">
      <w:pPr>
        <w:pStyle w:val="amprH4Subhead1"/>
        <w:spacing w:after="120" w:line="276" w:lineRule="auto"/>
        <w:jc w:val="both"/>
        <w:rPr>
          <w:rFonts w:asciiTheme="majorHAnsi" w:hAnsiTheme="majorHAnsi"/>
          <w:noProof/>
        </w:rPr>
      </w:pPr>
      <w:r>
        <w:rPr>
          <w:rFonts w:asciiTheme="majorHAnsi" w:hAnsiTheme="majorHAnsi"/>
          <w:noProof/>
        </w:rPr>
        <w:t xml:space="preserve">Rubrica </w:t>
      </w:r>
      <w:r w:rsidRPr="00EF3A3A">
        <w:rPr>
          <w:rFonts w:asciiTheme="majorHAnsi" w:hAnsiTheme="majorHAnsi"/>
          <w:noProof/>
        </w:rPr>
        <w:t>2</w:t>
      </w:r>
      <w:r>
        <w:rPr>
          <w:rFonts w:asciiTheme="majorHAnsi" w:hAnsiTheme="majorHAnsi"/>
          <w:noProof/>
        </w:rPr>
        <w:t>a – Politica de coeziune</w:t>
      </w:r>
    </w:p>
    <w:p w14:paraId="7D8650F4" w14:textId="6A76A254" w:rsidR="00861C1C" w:rsidRPr="00F423B9" w:rsidRDefault="00777C81" w:rsidP="04494A96">
      <w:pPr>
        <w:spacing w:after="120" w:line="276" w:lineRule="auto"/>
        <w:jc w:val="both"/>
        <w:rPr>
          <w:rFonts w:asciiTheme="majorHAnsi" w:hAnsiTheme="majorHAnsi"/>
          <w:noProof/>
        </w:rPr>
      </w:pPr>
      <w:bookmarkStart w:id="68" w:name="_Hlk136514282"/>
      <w:r>
        <w:rPr>
          <w:noProof/>
        </w:rPr>
        <w:t xml:space="preserve">Având în vedere cele mai recente informații disponibile, dezangajările pentru finalizarea programelor din perioada </w:t>
      </w:r>
      <w:r w:rsidRPr="00EF3A3A">
        <w:rPr>
          <w:noProof/>
        </w:rPr>
        <w:t>2014</w:t>
      </w:r>
      <w:r>
        <w:rPr>
          <w:noProof/>
        </w:rPr>
        <w:t>-</w:t>
      </w:r>
      <w:r w:rsidRPr="00EF3A3A">
        <w:rPr>
          <w:noProof/>
        </w:rPr>
        <w:t>2020</w:t>
      </w:r>
      <w:r>
        <w:rPr>
          <w:noProof/>
        </w:rPr>
        <w:t xml:space="preserve"> au crescut față de raportul de anul trecut, de la </w:t>
      </w:r>
      <w:r w:rsidRPr="00EF3A3A">
        <w:rPr>
          <w:noProof/>
        </w:rPr>
        <w:t>0</w:t>
      </w:r>
      <w:r>
        <w:rPr>
          <w:noProof/>
        </w:rPr>
        <w:t>,</w:t>
      </w:r>
      <w:r w:rsidRPr="00EF3A3A">
        <w:rPr>
          <w:noProof/>
        </w:rPr>
        <w:t>5</w:t>
      </w:r>
      <w:r>
        <w:rPr>
          <w:noProof/>
        </w:rPr>
        <w:t xml:space="preserve"> miliarde EUR la </w:t>
      </w:r>
      <w:r w:rsidRPr="00EF3A3A">
        <w:rPr>
          <w:noProof/>
        </w:rPr>
        <w:t>1</w:t>
      </w:r>
      <w:r>
        <w:rPr>
          <w:noProof/>
        </w:rPr>
        <w:t>,</w:t>
      </w:r>
      <w:r w:rsidRPr="00EF3A3A">
        <w:rPr>
          <w:noProof/>
        </w:rPr>
        <w:t>6</w:t>
      </w:r>
      <w:r>
        <w:rPr>
          <w:noProof/>
        </w:rPr>
        <w:t xml:space="preserve"> miliarde EUR.</w:t>
      </w:r>
      <w:r>
        <w:rPr>
          <w:rFonts w:asciiTheme="majorHAnsi" w:hAnsiTheme="majorHAnsi"/>
          <w:noProof/>
        </w:rPr>
        <w:t xml:space="preserve"> În ansamblu, riscul dezangajărilor la sfârșitul anului </w:t>
      </w:r>
      <w:r w:rsidRPr="00EF3A3A">
        <w:rPr>
          <w:rFonts w:asciiTheme="majorHAnsi" w:hAnsiTheme="majorHAnsi"/>
          <w:noProof/>
        </w:rPr>
        <w:t>2027</w:t>
      </w:r>
      <w:r>
        <w:rPr>
          <w:rFonts w:asciiTheme="majorHAnsi" w:hAnsiTheme="majorHAnsi"/>
          <w:noProof/>
        </w:rPr>
        <w:t xml:space="preserve"> pentru programele din perioada </w:t>
      </w:r>
      <w:r w:rsidRPr="00EF3A3A">
        <w:rPr>
          <w:rFonts w:asciiTheme="majorHAnsi" w:hAnsiTheme="majorHAnsi"/>
          <w:noProof/>
        </w:rPr>
        <w:t>2021</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este scăzut datorită punerii în aplicare accelerate și prefinanțării suplimentare care rezultă din evaluarea la jumătatea perioadei a politicii de coeziune. În </w:t>
      </w:r>
      <w:r w:rsidRPr="00EF3A3A">
        <w:rPr>
          <w:rFonts w:asciiTheme="majorHAnsi" w:hAnsiTheme="majorHAnsi"/>
          <w:noProof/>
        </w:rPr>
        <w:t>2025</w:t>
      </w:r>
      <w:r>
        <w:rPr>
          <w:rFonts w:asciiTheme="majorHAnsi" w:hAnsiTheme="majorHAnsi"/>
          <w:noProof/>
        </w:rPr>
        <w:t xml:space="preserve"> și </w:t>
      </w:r>
      <w:r w:rsidRPr="00EF3A3A">
        <w:rPr>
          <w:rFonts w:asciiTheme="majorHAnsi" w:hAnsiTheme="majorHAnsi"/>
          <w:noProof/>
        </w:rPr>
        <w:t>2026</w:t>
      </w:r>
      <w:r>
        <w:rPr>
          <w:rFonts w:asciiTheme="majorHAnsi" w:hAnsiTheme="majorHAnsi"/>
          <w:noProof/>
        </w:rPr>
        <w:t>, statele membre au depus cereri de plată care depășesc regula de dezangajare n+</w:t>
      </w:r>
      <w:r w:rsidRPr="00EF3A3A">
        <w:rPr>
          <w:rFonts w:asciiTheme="majorHAnsi" w:hAnsiTheme="majorHAnsi"/>
          <w:noProof/>
        </w:rPr>
        <w:t>3</w:t>
      </w:r>
      <w:r>
        <w:rPr>
          <w:rFonts w:asciiTheme="majorHAnsi" w:hAnsiTheme="majorHAnsi"/>
          <w:noProof/>
        </w:rPr>
        <w:t xml:space="preserve"> și se preconizează că această tendință va continua în </w:t>
      </w:r>
      <w:r w:rsidRPr="00EF3A3A">
        <w:rPr>
          <w:rFonts w:asciiTheme="majorHAnsi" w:hAnsiTheme="majorHAnsi"/>
          <w:noProof/>
        </w:rPr>
        <w:t>2027</w:t>
      </w:r>
      <w:r>
        <w:rPr>
          <w:rFonts w:asciiTheme="majorHAnsi" w:hAnsiTheme="majorHAnsi"/>
          <w:noProof/>
        </w:rPr>
        <w:t xml:space="preserve">. Cu toate acestea, se preconizează dezangajări în valoare de </w:t>
      </w:r>
      <w:r w:rsidRPr="00EF3A3A">
        <w:rPr>
          <w:rFonts w:asciiTheme="majorHAnsi" w:hAnsiTheme="majorHAnsi"/>
          <w:noProof/>
        </w:rPr>
        <w:t>0</w:t>
      </w:r>
      <w:r>
        <w:rPr>
          <w:rFonts w:asciiTheme="majorHAnsi" w:hAnsiTheme="majorHAnsi"/>
          <w:noProof/>
        </w:rPr>
        <w:t>,</w:t>
      </w:r>
      <w:r w:rsidRPr="00EF3A3A">
        <w:rPr>
          <w:rFonts w:asciiTheme="majorHAnsi" w:hAnsiTheme="majorHAnsi"/>
          <w:noProof/>
        </w:rPr>
        <w:t>4</w:t>
      </w:r>
      <w:r>
        <w:rPr>
          <w:rFonts w:asciiTheme="majorHAnsi" w:hAnsiTheme="majorHAnsi"/>
          <w:noProof/>
        </w:rPr>
        <w:t xml:space="preserve"> miliarde EUR la închidere, în conformitate cu modelele de execuție din perioada de programare anterioară</w:t>
      </w:r>
      <w:r>
        <w:rPr>
          <w:noProof/>
        </w:rPr>
        <w:t>.</w:t>
      </w:r>
    </w:p>
    <w:bookmarkEnd w:id="68"/>
    <w:p w14:paraId="24DC8C51" w14:textId="06A0738F" w:rsidR="00861C1C" w:rsidRPr="00F423B9" w:rsidRDefault="003B6DC2">
      <w:pPr>
        <w:pStyle w:val="amprH4Subhead1"/>
        <w:rPr>
          <w:rFonts w:asciiTheme="majorHAnsi" w:hAnsiTheme="majorHAnsi"/>
          <w:noProof/>
        </w:rPr>
      </w:pPr>
      <w:r>
        <w:rPr>
          <w:rFonts w:asciiTheme="majorHAnsi" w:hAnsiTheme="majorHAnsi"/>
          <w:noProof/>
        </w:rPr>
        <w:t xml:space="preserve">Rubrica </w:t>
      </w:r>
      <w:r w:rsidRPr="00EF3A3A">
        <w:rPr>
          <w:rFonts w:asciiTheme="majorHAnsi" w:hAnsiTheme="majorHAnsi"/>
          <w:noProof/>
        </w:rPr>
        <w:t>3</w:t>
      </w:r>
      <w:r>
        <w:rPr>
          <w:rFonts w:asciiTheme="majorHAnsi" w:hAnsiTheme="majorHAnsi"/>
          <w:noProof/>
        </w:rPr>
        <w:t xml:space="preserve"> – Politica agricolă comună </w:t>
      </w:r>
    </w:p>
    <w:p w14:paraId="3363326C" w14:textId="19922A31" w:rsidR="00951B9B" w:rsidRPr="00BF250D" w:rsidRDefault="00951B9B" w:rsidP="00951B9B">
      <w:pPr>
        <w:spacing w:after="120" w:line="276" w:lineRule="auto"/>
        <w:jc w:val="both"/>
        <w:rPr>
          <w:rFonts w:asciiTheme="majorHAnsi" w:hAnsiTheme="majorHAnsi"/>
          <w:noProof/>
          <w:spacing w:val="-6"/>
        </w:rPr>
      </w:pPr>
      <w:r>
        <w:rPr>
          <w:rFonts w:asciiTheme="majorHAnsi" w:hAnsiTheme="majorHAnsi"/>
          <w:noProof/>
        </w:rPr>
        <w:t xml:space="preserve">Previziunile privind dezangajările din programele de dezvoltare rurală pentru perioada </w:t>
      </w:r>
      <w:r w:rsidRPr="00EF3A3A">
        <w:rPr>
          <w:rFonts w:asciiTheme="majorHAnsi" w:hAnsiTheme="majorHAnsi"/>
          <w:noProof/>
        </w:rPr>
        <w:t>2014</w:t>
      </w:r>
      <w:r>
        <w:rPr>
          <w:rFonts w:asciiTheme="majorHAnsi" w:hAnsiTheme="majorHAnsi"/>
          <w:noProof/>
        </w:rPr>
        <w:t>-</w:t>
      </w:r>
      <w:r w:rsidRPr="00EF3A3A">
        <w:rPr>
          <w:rFonts w:asciiTheme="majorHAnsi" w:hAnsiTheme="majorHAnsi"/>
          <w:noProof/>
        </w:rPr>
        <w:t>2022</w:t>
      </w:r>
      <w:r>
        <w:rPr>
          <w:rFonts w:asciiTheme="majorHAnsi" w:hAnsiTheme="majorHAnsi"/>
          <w:noProof/>
        </w:rPr>
        <w:t xml:space="preserve"> au scăzut în comparație cu ultima previziune, de la </w:t>
      </w:r>
      <w:r w:rsidRPr="00EF3A3A">
        <w:rPr>
          <w:rFonts w:asciiTheme="majorHAnsi" w:hAnsiTheme="majorHAnsi"/>
          <w:noProof/>
        </w:rPr>
        <w:t>3</w:t>
      </w:r>
      <w:r>
        <w:rPr>
          <w:rFonts w:asciiTheme="majorHAnsi" w:hAnsiTheme="majorHAnsi"/>
          <w:noProof/>
        </w:rPr>
        <w:t>,</w:t>
      </w:r>
      <w:r w:rsidRPr="00EF3A3A">
        <w:rPr>
          <w:rFonts w:asciiTheme="majorHAnsi" w:hAnsiTheme="majorHAnsi"/>
          <w:noProof/>
        </w:rPr>
        <w:t>1</w:t>
      </w:r>
      <w:r>
        <w:rPr>
          <w:rFonts w:asciiTheme="majorHAnsi" w:hAnsiTheme="majorHAnsi"/>
          <w:noProof/>
        </w:rPr>
        <w:t xml:space="preserve"> miliarde EUR la </w:t>
      </w:r>
      <w:r w:rsidRPr="00EF3A3A">
        <w:rPr>
          <w:rFonts w:asciiTheme="majorHAnsi" w:hAnsiTheme="majorHAnsi"/>
          <w:noProof/>
        </w:rPr>
        <w:t>1</w:t>
      </w:r>
      <w:r>
        <w:rPr>
          <w:rFonts w:asciiTheme="majorHAnsi" w:hAnsiTheme="majorHAnsi"/>
          <w:noProof/>
        </w:rPr>
        <w:t>,</w:t>
      </w:r>
      <w:r w:rsidRPr="00EF3A3A">
        <w:rPr>
          <w:rFonts w:asciiTheme="majorHAnsi" w:hAnsiTheme="majorHAnsi"/>
          <w:noProof/>
        </w:rPr>
        <w:t>5</w:t>
      </w:r>
      <w:r>
        <w:rPr>
          <w:rFonts w:asciiTheme="majorHAnsi" w:hAnsiTheme="majorHAnsi"/>
          <w:noProof/>
        </w:rPr>
        <w:t xml:space="preserve"> miliarde EUR preconizate pentru </w:t>
      </w:r>
      <w:r w:rsidRPr="00EF3A3A">
        <w:rPr>
          <w:rFonts w:asciiTheme="majorHAnsi" w:hAnsiTheme="majorHAnsi"/>
          <w:noProof/>
        </w:rPr>
        <w:t>2027</w:t>
      </w:r>
      <w:r>
        <w:rPr>
          <w:rFonts w:asciiTheme="majorHAnsi" w:hAnsiTheme="majorHAnsi"/>
          <w:noProof/>
        </w:rPr>
        <w:t xml:space="preserve">. Dezangajările anterioare s-au ridicat la </w:t>
      </w:r>
      <w:r w:rsidRPr="00EF3A3A">
        <w:rPr>
          <w:rFonts w:asciiTheme="majorHAnsi" w:hAnsiTheme="majorHAnsi"/>
          <w:noProof/>
        </w:rPr>
        <w:t>0</w:t>
      </w:r>
      <w:r>
        <w:rPr>
          <w:rFonts w:asciiTheme="majorHAnsi" w:hAnsiTheme="majorHAnsi"/>
          <w:noProof/>
        </w:rPr>
        <w:t>,</w:t>
      </w:r>
      <w:r w:rsidRPr="00EF3A3A">
        <w:rPr>
          <w:rFonts w:asciiTheme="majorHAnsi" w:hAnsiTheme="majorHAnsi"/>
          <w:noProof/>
        </w:rPr>
        <w:t>3</w:t>
      </w:r>
      <w:r>
        <w:rPr>
          <w:rFonts w:asciiTheme="majorHAnsi" w:hAnsiTheme="majorHAnsi"/>
          <w:noProof/>
        </w:rPr>
        <w:t xml:space="preserve"> miliarde EUR. În ansamblu, dezangajările din cadrul FEADR pentru programele din perioada </w:t>
      </w:r>
      <w:r w:rsidRPr="00EF3A3A">
        <w:rPr>
          <w:rFonts w:asciiTheme="majorHAnsi" w:hAnsiTheme="majorHAnsi"/>
          <w:noProof/>
        </w:rPr>
        <w:t>2014</w:t>
      </w:r>
      <w:r>
        <w:rPr>
          <w:rFonts w:asciiTheme="majorHAnsi" w:hAnsiTheme="majorHAnsi"/>
          <w:noProof/>
        </w:rPr>
        <w:t>-</w:t>
      </w:r>
      <w:r w:rsidRPr="00EF3A3A">
        <w:rPr>
          <w:rFonts w:asciiTheme="majorHAnsi" w:hAnsiTheme="majorHAnsi"/>
          <w:noProof/>
        </w:rPr>
        <w:t>2022</w:t>
      </w:r>
      <w:r>
        <w:rPr>
          <w:rFonts w:asciiTheme="majorHAnsi" w:hAnsiTheme="majorHAnsi"/>
          <w:noProof/>
        </w:rPr>
        <w:t xml:space="preserve"> sunt estimate în prezent la </w:t>
      </w:r>
      <w:r w:rsidRPr="00EF3A3A">
        <w:rPr>
          <w:rFonts w:asciiTheme="majorHAnsi" w:hAnsiTheme="majorHAnsi"/>
          <w:noProof/>
        </w:rPr>
        <w:t>1</w:t>
      </w:r>
      <w:r>
        <w:rPr>
          <w:rFonts w:asciiTheme="majorHAnsi" w:hAnsiTheme="majorHAnsi"/>
          <w:noProof/>
        </w:rPr>
        <w:t>,</w:t>
      </w:r>
      <w:r w:rsidRPr="00EF3A3A">
        <w:rPr>
          <w:rFonts w:asciiTheme="majorHAnsi" w:hAnsiTheme="majorHAnsi"/>
          <w:noProof/>
        </w:rPr>
        <w:t>5</w:t>
      </w:r>
      <w:r>
        <w:rPr>
          <w:rFonts w:asciiTheme="majorHAnsi" w:hAnsiTheme="majorHAnsi"/>
          <w:noProof/>
        </w:rPr>
        <w:t xml:space="preserve"> % din alocarea totală, observându-se o îmbunătățire în comparație cu programele de dezvoltare rurală din perioada </w:t>
      </w:r>
      <w:r w:rsidRPr="00EF3A3A">
        <w:rPr>
          <w:rFonts w:asciiTheme="majorHAnsi" w:hAnsiTheme="majorHAnsi"/>
          <w:noProof/>
        </w:rPr>
        <w:t>2007</w:t>
      </w:r>
      <w:r>
        <w:rPr>
          <w:rFonts w:asciiTheme="majorHAnsi" w:hAnsiTheme="majorHAnsi"/>
          <w:noProof/>
        </w:rPr>
        <w:t>-</w:t>
      </w:r>
      <w:r w:rsidRPr="00EF3A3A">
        <w:rPr>
          <w:rFonts w:asciiTheme="majorHAnsi" w:hAnsiTheme="majorHAnsi"/>
          <w:noProof/>
        </w:rPr>
        <w:t>2013</w:t>
      </w:r>
      <w:r>
        <w:rPr>
          <w:rFonts w:asciiTheme="majorHAnsi" w:hAnsiTheme="majorHAnsi"/>
          <w:noProof/>
        </w:rPr>
        <w:t xml:space="preserve">, în care ponderea dezangajărilor a fost de </w:t>
      </w:r>
      <w:r w:rsidRPr="00EF3A3A">
        <w:rPr>
          <w:rFonts w:asciiTheme="majorHAnsi" w:hAnsiTheme="majorHAnsi"/>
          <w:noProof/>
        </w:rPr>
        <w:t>2</w:t>
      </w:r>
      <w:r>
        <w:rPr>
          <w:rFonts w:asciiTheme="majorHAnsi" w:hAnsiTheme="majorHAnsi"/>
          <w:noProof/>
        </w:rPr>
        <w:t xml:space="preserve"> %. În ceea ce privește calendarul, dezangajările sunt preconizate până la sfârșitul anului </w:t>
      </w:r>
      <w:r w:rsidRPr="00EF3A3A">
        <w:rPr>
          <w:rFonts w:asciiTheme="majorHAnsi" w:hAnsiTheme="majorHAnsi"/>
          <w:noProof/>
        </w:rPr>
        <w:t>2027</w:t>
      </w:r>
      <w:r>
        <w:rPr>
          <w:rFonts w:asciiTheme="majorHAnsi" w:hAnsiTheme="majorHAnsi"/>
          <w:noProof/>
        </w:rPr>
        <w:t xml:space="preserve">, când va fi prelucrată închiderea plăților. </w:t>
      </w:r>
    </w:p>
    <w:p w14:paraId="5B9BD84C" w14:textId="37AE487D" w:rsidR="00861C1C" w:rsidRPr="00F423B9" w:rsidRDefault="00951B9B" w:rsidP="23B06DA2">
      <w:pPr>
        <w:spacing w:after="120" w:line="276" w:lineRule="auto"/>
        <w:jc w:val="both"/>
        <w:rPr>
          <w:rFonts w:asciiTheme="majorHAnsi" w:hAnsiTheme="majorHAnsi"/>
          <w:noProof/>
        </w:rPr>
      </w:pPr>
      <w:r>
        <w:rPr>
          <w:rFonts w:asciiTheme="majorHAnsi" w:hAnsiTheme="majorHAnsi"/>
          <w:noProof/>
        </w:rPr>
        <w:t xml:space="preserve">În prezent, se preconizează că o sumă de </w:t>
      </w:r>
      <w:r w:rsidRPr="00EF3A3A">
        <w:rPr>
          <w:rFonts w:asciiTheme="majorHAnsi" w:hAnsiTheme="majorHAnsi"/>
          <w:noProof/>
        </w:rPr>
        <w:t>1</w:t>
      </w:r>
      <w:r>
        <w:rPr>
          <w:rFonts w:asciiTheme="majorHAnsi" w:hAnsiTheme="majorHAnsi"/>
          <w:noProof/>
        </w:rPr>
        <w:t xml:space="preserve"> miliard EUR va fi dezangajată în cadrul planurilor strategice PAC pentru perioada </w:t>
      </w:r>
      <w:r w:rsidRPr="00EF3A3A">
        <w:rPr>
          <w:rFonts w:asciiTheme="majorHAnsi" w:hAnsiTheme="majorHAnsi"/>
          <w:noProof/>
        </w:rPr>
        <w:t>2023</w:t>
      </w:r>
      <w:r>
        <w:rPr>
          <w:rFonts w:asciiTheme="majorHAnsi" w:hAnsiTheme="majorHAnsi"/>
          <w:noProof/>
        </w:rPr>
        <w:t>-</w:t>
      </w:r>
      <w:r w:rsidRPr="00EF3A3A">
        <w:rPr>
          <w:rFonts w:asciiTheme="majorHAnsi" w:hAnsiTheme="majorHAnsi"/>
          <w:noProof/>
        </w:rPr>
        <w:t>2027</w:t>
      </w:r>
      <w:r>
        <w:rPr>
          <w:rFonts w:asciiTheme="majorHAnsi" w:hAnsiTheme="majorHAnsi"/>
          <w:noProof/>
        </w:rPr>
        <w:t xml:space="preserve">. Se preconizează că plățile vor avea loc între </w:t>
      </w:r>
      <w:r w:rsidRPr="00EF3A3A">
        <w:rPr>
          <w:rFonts w:asciiTheme="majorHAnsi" w:hAnsiTheme="majorHAnsi"/>
          <w:noProof/>
        </w:rPr>
        <w:t>2026</w:t>
      </w:r>
      <w:r>
        <w:rPr>
          <w:rFonts w:asciiTheme="majorHAnsi" w:hAnsiTheme="majorHAnsi"/>
          <w:noProof/>
        </w:rPr>
        <w:t xml:space="preserve"> și </w:t>
      </w:r>
      <w:r w:rsidRPr="00EF3A3A">
        <w:rPr>
          <w:rFonts w:asciiTheme="majorHAnsi" w:hAnsiTheme="majorHAnsi"/>
          <w:noProof/>
        </w:rPr>
        <w:t>2030</w:t>
      </w:r>
      <w:r>
        <w:rPr>
          <w:rFonts w:asciiTheme="majorHAnsi" w:hAnsiTheme="majorHAnsi"/>
          <w:noProof/>
        </w:rPr>
        <w:t xml:space="preserve">. </w:t>
      </w:r>
    </w:p>
    <w:bookmarkEnd w:id="21"/>
    <w:p w14:paraId="04C5B228" w14:textId="77777777" w:rsidR="00861C1C" w:rsidRPr="00F423B9" w:rsidRDefault="003B6DC2">
      <w:pPr>
        <w:pStyle w:val="amprH4Subhead1"/>
        <w:rPr>
          <w:rFonts w:asciiTheme="majorHAnsi" w:hAnsiTheme="majorHAnsi"/>
          <w:noProof/>
        </w:rPr>
      </w:pPr>
      <w:r>
        <w:rPr>
          <w:rFonts w:asciiTheme="majorHAnsi" w:hAnsiTheme="majorHAnsi"/>
          <w:noProof/>
        </w:rPr>
        <w:t>Alte programe și rubrici</w:t>
      </w:r>
    </w:p>
    <w:p w14:paraId="2F505424" w14:textId="75DCCD67" w:rsidR="00861C1C" w:rsidRPr="00F423B9" w:rsidRDefault="005A04CC" w:rsidP="005F08A0">
      <w:pPr>
        <w:spacing w:after="120" w:line="276" w:lineRule="auto"/>
        <w:jc w:val="both"/>
        <w:rPr>
          <w:rFonts w:asciiTheme="majorHAnsi" w:hAnsiTheme="majorHAnsi"/>
          <w:noProof/>
        </w:rPr>
      </w:pPr>
      <w:r>
        <w:rPr>
          <w:rFonts w:asciiTheme="majorHAnsi" w:hAnsiTheme="majorHAnsi"/>
          <w:noProof/>
        </w:rPr>
        <w:t xml:space="preserve">Pentru programele gestionate direct de către Comisie, prognoza privind dezangajările se bazează pe cele mai recente informații referitoare la proiecte. Previziunile privind dezangajările legate de programele din CFM </w:t>
      </w:r>
      <w:r w:rsidRPr="00EF3A3A">
        <w:rPr>
          <w:rFonts w:asciiTheme="majorHAnsi" w:hAnsiTheme="majorHAnsi"/>
          <w:noProof/>
        </w:rPr>
        <w:t>2021</w:t>
      </w:r>
      <w:r w:rsidR="00EF3A3A">
        <w:rPr>
          <w:rFonts w:asciiTheme="majorHAnsi" w:hAnsiTheme="majorHAnsi"/>
          <w:noProof/>
        </w:rPr>
        <w:t>­</w:t>
      </w:r>
      <w:r w:rsidRPr="00EF3A3A">
        <w:rPr>
          <w:rFonts w:asciiTheme="majorHAnsi" w:hAnsiTheme="majorHAnsi"/>
          <w:noProof/>
        </w:rPr>
        <w:t>2027</w:t>
      </w:r>
      <w:r>
        <w:rPr>
          <w:rFonts w:asciiTheme="majorHAnsi" w:hAnsiTheme="majorHAnsi"/>
          <w:noProof/>
        </w:rPr>
        <w:t xml:space="preserve"> sunt prezentate în tabelul </w:t>
      </w:r>
      <w:r w:rsidRPr="00EF3A3A">
        <w:rPr>
          <w:rFonts w:asciiTheme="majorHAnsi" w:hAnsiTheme="majorHAnsi"/>
          <w:noProof/>
        </w:rPr>
        <w:t>2</w:t>
      </w:r>
      <w:r>
        <w:rPr>
          <w:rFonts w:asciiTheme="majorHAnsi" w:hAnsiTheme="majorHAnsi"/>
          <w:noProof/>
        </w:rPr>
        <w:t>. Acestea sunt în concordanță cu estimările din calendarele de plată. Cu toate acestea, anul exact al dezangajării nu poate fi previzionat cu precizie, deoarece depinde de închiderea proiectelor și acțiunilor individuale</w:t>
      </w:r>
      <w:r>
        <w:rPr>
          <w:noProof/>
        </w:rPr>
        <w:t>.</w:t>
      </w:r>
    </w:p>
    <w:p w14:paraId="78FBDB87" w14:textId="21A19235" w:rsidR="00861C1C" w:rsidRPr="00EF3A3A" w:rsidRDefault="003B6DC2">
      <w:pPr>
        <w:pStyle w:val="amprH3Title2-Numbered-11"/>
        <w:rPr>
          <w:rFonts w:asciiTheme="majorHAnsi" w:hAnsiTheme="majorHAnsi"/>
          <w:noProof/>
        </w:rPr>
      </w:pPr>
      <w:bookmarkStart w:id="69" w:name="_Toc524523064"/>
      <w:bookmarkStart w:id="70" w:name="_Toc524523066"/>
      <w:r w:rsidRPr="00EF3A3A">
        <w:rPr>
          <w:noProof/>
        </w:rPr>
        <w:tab/>
      </w:r>
      <w:bookmarkStart w:id="71" w:name="_Toc235439610"/>
      <w:r w:rsidRPr="00EF3A3A">
        <w:rPr>
          <w:rFonts w:asciiTheme="majorHAnsi" w:hAnsiTheme="majorHAnsi"/>
          <w:noProof/>
        </w:rPr>
        <w:t>Evoluția nivelului angajamentelor restante</w:t>
      </w:r>
      <w:bookmarkEnd w:id="69"/>
      <w:bookmarkEnd w:id="71"/>
    </w:p>
    <w:p w14:paraId="6A7E0D93" w14:textId="2E6984EC" w:rsidR="007327B7" w:rsidRDefault="007327B7" w:rsidP="007327B7">
      <w:pPr>
        <w:spacing w:after="120" w:line="276" w:lineRule="auto"/>
        <w:jc w:val="both"/>
        <w:rPr>
          <w:rFonts w:asciiTheme="majorHAnsi" w:hAnsiTheme="majorHAnsi"/>
          <w:noProof/>
        </w:rPr>
      </w:pPr>
      <w:r>
        <w:rPr>
          <w:rFonts w:asciiTheme="majorHAnsi" w:hAnsiTheme="majorHAnsi"/>
          <w:noProof/>
        </w:rPr>
        <w:t xml:space="preserve">Se preconizează că următorul CFM va începe cu RAL în valoare de </w:t>
      </w:r>
      <w:r w:rsidRPr="00EF3A3A">
        <w:rPr>
          <w:rFonts w:asciiTheme="majorHAnsi" w:hAnsiTheme="majorHAnsi"/>
          <w:noProof/>
        </w:rPr>
        <w:t>321</w:t>
      </w:r>
      <w:r>
        <w:rPr>
          <w:rFonts w:asciiTheme="majorHAnsi" w:hAnsiTheme="majorHAnsi"/>
          <w:noProof/>
        </w:rPr>
        <w:t xml:space="preserve"> de miliarde EUR</w:t>
      </w:r>
      <w:r>
        <w:rPr>
          <w:rStyle w:val="EndnoteReference"/>
          <w:rFonts w:asciiTheme="majorHAnsi" w:hAnsiTheme="majorHAnsi"/>
          <w:noProof/>
          <w:spacing w:val="-4"/>
        </w:rPr>
        <w:endnoteReference w:id="18"/>
      </w:r>
      <w:r>
        <w:rPr>
          <w:rFonts w:asciiTheme="majorHAnsi" w:hAnsiTheme="majorHAnsi"/>
          <w:noProof/>
        </w:rPr>
        <w:t xml:space="preserve">, ceea ce reprezintă o scădere de </w:t>
      </w:r>
      <w:r w:rsidRPr="00EF3A3A">
        <w:rPr>
          <w:rFonts w:asciiTheme="majorHAnsi" w:hAnsiTheme="majorHAnsi"/>
          <w:noProof/>
        </w:rPr>
        <w:t>18</w:t>
      </w:r>
      <w:r>
        <w:rPr>
          <w:rFonts w:asciiTheme="majorHAnsi" w:hAnsiTheme="majorHAnsi"/>
          <w:noProof/>
        </w:rPr>
        <w:t xml:space="preserve"> miliarde EUR față de previziunile de anul trecut (</w:t>
      </w:r>
      <w:r w:rsidRPr="00EF3A3A">
        <w:rPr>
          <w:rFonts w:asciiTheme="majorHAnsi" w:hAnsiTheme="majorHAnsi"/>
          <w:noProof/>
        </w:rPr>
        <w:t>339</w:t>
      </w:r>
      <w:r>
        <w:rPr>
          <w:rFonts w:asciiTheme="majorHAnsi" w:hAnsiTheme="majorHAnsi"/>
          <w:noProof/>
        </w:rPr>
        <w:t xml:space="preserve"> de miliarde EUR). Acest rezultat este determinat în principal de așteptările revizuite pentru programele politicii de coeziune și de creșterea plăților în perioada </w:t>
      </w:r>
      <w:r w:rsidRPr="00EF3A3A">
        <w:rPr>
          <w:rFonts w:asciiTheme="majorHAnsi" w:hAnsiTheme="majorHAnsi"/>
          <w:noProof/>
        </w:rPr>
        <w:t>2026</w:t>
      </w:r>
      <w:r w:rsidR="00EF3A3A">
        <w:rPr>
          <w:rFonts w:asciiTheme="majorHAnsi" w:hAnsiTheme="majorHAnsi"/>
          <w:noProof/>
        </w:rPr>
        <w:t>­</w:t>
      </w:r>
      <w:r w:rsidRPr="00EF3A3A">
        <w:rPr>
          <w:rFonts w:asciiTheme="majorHAnsi" w:hAnsiTheme="majorHAnsi"/>
          <w:noProof/>
        </w:rPr>
        <w:t>2027</w:t>
      </w:r>
      <w:r>
        <w:rPr>
          <w:rFonts w:asciiTheme="majorHAnsi" w:hAnsiTheme="majorHAnsi"/>
          <w:noProof/>
        </w:rPr>
        <w:t xml:space="preserve">. Nivelul mai scăzut preconizat al RAL la începutul următorului CFM se traduce direct în previziunile corespunzătoare mai scăzute privind plățile pentru finalizarea programelor anterioare anului </w:t>
      </w:r>
      <w:r w:rsidRPr="00EF3A3A">
        <w:rPr>
          <w:rFonts w:asciiTheme="majorHAnsi" w:hAnsiTheme="majorHAnsi"/>
          <w:noProof/>
        </w:rPr>
        <w:t>2028</w:t>
      </w:r>
      <w:r>
        <w:rPr>
          <w:rFonts w:asciiTheme="majorHAnsi" w:hAnsiTheme="majorHAnsi"/>
          <w:noProof/>
        </w:rPr>
        <w:t xml:space="preserve"> în următorul CFM.</w:t>
      </w:r>
    </w:p>
    <w:p w14:paraId="2A6C7071" w14:textId="213B5C6B" w:rsidR="007327B7" w:rsidRDefault="007327B7" w:rsidP="007327B7">
      <w:pPr>
        <w:spacing w:after="120" w:line="276" w:lineRule="auto"/>
        <w:jc w:val="both"/>
        <w:rPr>
          <w:rFonts w:asciiTheme="majorHAnsi" w:hAnsiTheme="majorHAnsi"/>
          <w:noProof/>
        </w:rPr>
      </w:pPr>
      <w:r>
        <w:rPr>
          <w:rFonts w:asciiTheme="majorHAnsi" w:hAnsiTheme="majorHAnsi"/>
          <w:noProof/>
        </w:rPr>
        <w:t xml:space="preserve">În ceea ce privește NextGenerationEU, RAL va fi absorbit până la sfârșitul anului </w:t>
      </w:r>
      <w:r w:rsidRPr="00EF3A3A">
        <w:rPr>
          <w:rFonts w:asciiTheme="majorHAnsi" w:hAnsiTheme="majorHAnsi"/>
          <w:noProof/>
        </w:rPr>
        <w:t>2026</w:t>
      </w:r>
      <w:r>
        <w:rPr>
          <w:rFonts w:asciiTheme="majorHAnsi" w:hAnsiTheme="majorHAnsi"/>
          <w:noProof/>
        </w:rPr>
        <w:t>, când toate plățile vor fi efectuate, cu excepția sumelor foarte mici legate în principal de cheltuielile administrative.</w:t>
      </w:r>
    </w:p>
    <w:p w14:paraId="6309432D" w14:textId="0DE30A0C" w:rsidR="00246B69" w:rsidRPr="00246B69" w:rsidRDefault="009E6787" w:rsidP="00246B69">
      <w:pPr>
        <w:spacing w:after="120" w:line="276" w:lineRule="auto"/>
        <w:jc w:val="both"/>
        <w:rPr>
          <w:rFonts w:asciiTheme="majorHAnsi" w:hAnsiTheme="majorHAnsi"/>
          <w:noProof/>
        </w:rPr>
      </w:pPr>
      <w:r>
        <w:rPr>
          <w:rFonts w:asciiTheme="majorHAnsi" w:hAnsiTheme="majorHAnsi"/>
          <w:noProof/>
        </w:rPr>
        <w:t xml:space="preserve">Deși se preconizează că RAL va crește în termeni nominali de la </w:t>
      </w:r>
      <w:r w:rsidRPr="00EF3A3A">
        <w:rPr>
          <w:rFonts w:asciiTheme="majorHAnsi" w:hAnsiTheme="majorHAnsi"/>
          <w:noProof/>
        </w:rPr>
        <w:t>321</w:t>
      </w:r>
      <w:r>
        <w:rPr>
          <w:rFonts w:asciiTheme="majorHAnsi" w:hAnsiTheme="majorHAnsi"/>
          <w:noProof/>
        </w:rPr>
        <w:t xml:space="preserve"> de miliarde EUR la începutul CFM la </w:t>
      </w:r>
      <w:r w:rsidRPr="00EF3A3A">
        <w:rPr>
          <w:rFonts w:asciiTheme="majorHAnsi" w:hAnsiTheme="majorHAnsi"/>
          <w:noProof/>
        </w:rPr>
        <w:t>344</w:t>
      </w:r>
      <w:r>
        <w:rPr>
          <w:rFonts w:asciiTheme="majorHAnsi" w:hAnsiTheme="majorHAnsi"/>
          <w:noProof/>
        </w:rPr>
        <w:t xml:space="preserve"> de miliarde EUR la sfârșitul anului </w:t>
      </w:r>
      <w:r w:rsidRPr="00EF3A3A">
        <w:rPr>
          <w:rFonts w:asciiTheme="majorHAnsi" w:hAnsiTheme="majorHAnsi"/>
          <w:noProof/>
        </w:rPr>
        <w:t>2034</w:t>
      </w:r>
      <w:r>
        <w:rPr>
          <w:rFonts w:asciiTheme="majorHAnsi" w:hAnsiTheme="majorHAnsi"/>
          <w:noProof/>
        </w:rPr>
        <w:t xml:space="preserve">, se preconizează că ponderea sa relativă în economia UE și în raport cu dimensiunea CFM va scădea. RAL ar scădea de la </w:t>
      </w:r>
      <w:r w:rsidRPr="00EF3A3A">
        <w:rPr>
          <w:rFonts w:asciiTheme="majorHAnsi" w:hAnsiTheme="majorHAnsi"/>
          <w:noProof/>
        </w:rPr>
        <w:t>1</w:t>
      </w:r>
      <w:r>
        <w:rPr>
          <w:rFonts w:asciiTheme="majorHAnsi" w:hAnsiTheme="majorHAnsi"/>
          <w:noProof/>
        </w:rPr>
        <w:t>,</w:t>
      </w:r>
      <w:r w:rsidRPr="00EF3A3A">
        <w:rPr>
          <w:rFonts w:asciiTheme="majorHAnsi" w:hAnsiTheme="majorHAnsi"/>
          <w:noProof/>
        </w:rPr>
        <w:t>6</w:t>
      </w:r>
      <w:r>
        <w:rPr>
          <w:rFonts w:asciiTheme="majorHAnsi" w:hAnsiTheme="majorHAnsi"/>
          <w:noProof/>
        </w:rPr>
        <w:t xml:space="preserve"> % din VNB-ul UE la sfârșitul anului </w:t>
      </w:r>
      <w:r w:rsidRPr="00EF3A3A">
        <w:rPr>
          <w:rFonts w:asciiTheme="majorHAnsi" w:hAnsiTheme="majorHAnsi"/>
          <w:noProof/>
        </w:rPr>
        <w:t>2027</w:t>
      </w:r>
      <w:r>
        <w:rPr>
          <w:rFonts w:asciiTheme="majorHAnsi" w:hAnsiTheme="majorHAnsi"/>
          <w:noProof/>
        </w:rPr>
        <w:t xml:space="preserve"> la </w:t>
      </w:r>
      <w:r w:rsidRPr="00EF3A3A">
        <w:rPr>
          <w:rFonts w:asciiTheme="majorHAnsi" w:hAnsiTheme="majorHAnsi"/>
          <w:noProof/>
        </w:rPr>
        <w:t>1</w:t>
      </w:r>
      <w:r>
        <w:rPr>
          <w:rFonts w:asciiTheme="majorHAnsi" w:hAnsiTheme="majorHAnsi"/>
          <w:noProof/>
        </w:rPr>
        <w:t>,</w:t>
      </w:r>
      <w:r w:rsidRPr="00EF3A3A">
        <w:rPr>
          <w:rFonts w:asciiTheme="majorHAnsi" w:hAnsiTheme="majorHAnsi"/>
          <w:noProof/>
        </w:rPr>
        <w:t>3</w:t>
      </w:r>
      <w:r>
        <w:rPr>
          <w:rFonts w:asciiTheme="majorHAnsi" w:hAnsiTheme="majorHAnsi"/>
          <w:noProof/>
        </w:rPr>
        <w:t xml:space="preserve"> % la sfârșitul anului </w:t>
      </w:r>
      <w:r w:rsidRPr="00EF3A3A">
        <w:rPr>
          <w:rFonts w:asciiTheme="majorHAnsi" w:hAnsiTheme="majorHAnsi"/>
          <w:noProof/>
        </w:rPr>
        <w:t>2034</w:t>
      </w:r>
      <w:r>
        <w:rPr>
          <w:rFonts w:asciiTheme="majorHAnsi" w:hAnsiTheme="majorHAnsi"/>
          <w:noProof/>
        </w:rPr>
        <w:t xml:space="preserve"> și ar reprezenta aproximativ o cincime din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un raport mai mic decât cel preconizat pentru actualul CFM. Acest lucru indică un stoc mai limitat de angajamente restante decât în perioadele de programare anterioare și o concentrare redusă a plăților după sfârșitul CFM. Evoluția preconizată reflectă atât o punere în aplicare mai strictă observată spre sfârșitul actualului CFM, cât și caracteristicile de punere în aplicare propuse pentru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care se preconizează că vor duce la o execuție mai rapidă a programelor și la o acumulare mai scăzută de angajamente restante în timp.</w:t>
      </w:r>
    </w:p>
    <w:p w14:paraId="25AC0004" w14:textId="6DB6CF1F" w:rsidR="00861C1C" w:rsidRPr="00F423B9" w:rsidRDefault="6375D7F3">
      <w:pPr>
        <w:pStyle w:val="amprH2TITLE1-Numbered-1"/>
        <w:rPr>
          <w:rFonts w:asciiTheme="majorHAnsi" w:hAnsiTheme="majorHAnsi"/>
          <w:noProof/>
        </w:rPr>
      </w:pPr>
      <w:bookmarkStart w:id="72" w:name="_Toc232591333"/>
      <w:bookmarkStart w:id="73" w:name="_Toc235439611"/>
      <w:bookmarkEnd w:id="72"/>
      <w:r>
        <w:rPr>
          <w:rFonts w:asciiTheme="majorHAnsi" w:hAnsiTheme="majorHAnsi"/>
          <w:noProof/>
        </w:rPr>
        <w:t xml:space="preserve">Prognoza privind intrările în bugetul UE </w:t>
      </w:r>
      <w:r w:rsidR="00EF3A3A">
        <w:rPr>
          <w:noProof/>
        </w:rPr>
        <w:br/>
      </w:r>
      <w:r>
        <w:rPr>
          <w:rFonts w:asciiTheme="majorHAnsi" w:hAnsiTheme="majorHAnsi"/>
          <w:noProof/>
        </w:rPr>
        <w:t xml:space="preserve">pentru perioada </w:t>
      </w:r>
      <w:r w:rsidRPr="00EF3A3A">
        <w:rPr>
          <w:rFonts w:asciiTheme="majorHAnsi" w:hAnsiTheme="majorHAnsi"/>
          <w:noProof/>
        </w:rPr>
        <w:t>2027</w:t>
      </w:r>
      <w:r>
        <w:rPr>
          <w:rFonts w:asciiTheme="majorHAnsi" w:hAnsiTheme="majorHAnsi"/>
          <w:noProof/>
        </w:rPr>
        <w:t>-</w:t>
      </w:r>
      <w:r w:rsidRPr="00EF3A3A">
        <w:rPr>
          <w:rFonts w:asciiTheme="majorHAnsi" w:hAnsiTheme="majorHAnsi"/>
          <w:noProof/>
        </w:rPr>
        <w:t>2034</w:t>
      </w:r>
      <w:bookmarkEnd w:id="73"/>
    </w:p>
    <w:p w14:paraId="4F06F7DF" w14:textId="29C93FDC" w:rsidR="00DB73F3" w:rsidRDefault="004D01B2" w:rsidP="00DB73F3">
      <w:pPr>
        <w:spacing w:before="180" w:after="120" w:line="276" w:lineRule="auto"/>
        <w:jc w:val="both"/>
        <w:rPr>
          <w:rFonts w:asciiTheme="majorHAnsi" w:hAnsiTheme="majorHAnsi"/>
          <w:noProof/>
        </w:rPr>
      </w:pPr>
      <w:r>
        <w:rPr>
          <w:rFonts w:asciiTheme="majorHAnsi" w:hAnsiTheme="majorHAnsi"/>
          <w:noProof/>
        </w:rPr>
        <w:t xml:space="preserve">Pentru </w:t>
      </w:r>
      <w:r w:rsidRPr="00EF3A3A">
        <w:rPr>
          <w:rFonts w:asciiTheme="majorHAnsi" w:hAnsiTheme="majorHAnsi"/>
          <w:noProof/>
        </w:rPr>
        <w:t>2027</w:t>
      </w:r>
      <w:r>
        <w:rPr>
          <w:rFonts w:asciiTheme="majorHAnsi" w:hAnsiTheme="majorHAnsi"/>
          <w:noProof/>
        </w:rPr>
        <w:t xml:space="preserve">, veniturile se bazează pe proiectul de buget pentru anul </w:t>
      </w:r>
      <w:r w:rsidRPr="00EF3A3A">
        <w:rPr>
          <w:rFonts w:asciiTheme="majorHAnsi" w:hAnsiTheme="majorHAnsi"/>
          <w:noProof/>
        </w:rPr>
        <w:t>2027</w:t>
      </w:r>
      <w:r>
        <w:rPr>
          <w:rFonts w:asciiTheme="majorHAnsi" w:hAnsiTheme="majorHAnsi"/>
          <w:noProof/>
        </w:rPr>
        <w:t xml:space="preserve">. Veniturile începând din </w:t>
      </w:r>
      <w:r w:rsidRPr="00EF3A3A">
        <w:rPr>
          <w:rFonts w:asciiTheme="majorHAnsi" w:hAnsiTheme="majorHAnsi"/>
          <w:noProof/>
        </w:rPr>
        <w:t>2028</w:t>
      </w:r>
      <w:r>
        <w:rPr>
          <w:rFonts w:asciiTheme="majorHAnsi" w:hAnsiTheme="majorHAnsi"/>
          <w:noProof/>
        </w:rPr>
        <w:t xml:space="preserve"> rămân previzionate la fel ca în raportul de anul trecut, deoarece reflectă propunerea Comisiei referitoare la o nouă decizie privind resursele proprii, care este în prezent în curs de negociere. Estimarea resursei proprii reziduale bazate pe VNB este ajustată mecanic pentru a asigura un echilibru global cu plățile prognozate, care au fost actualizate pentru finalizarea programelor anterioare anului </w:t>
      </w:r>
      <w:r w:rsidRPr="00EF3A3A">
        <w:rPr>
          <w:rFonts w:asciiTheme="majorHAnsi" w:hAnsiTheme="majorHAnsi"/>
          <w:noProof/>
        </w:rPr>
        <w:t>2028</w:t>
      </w:r>
      <w:r>
        <w:rPr>
          <w:rFonts w:asciiTheme="majorHAnsi" w:hAnsiTheme="majorHAnsi"/>
          <w:noProof/>
        </w:rPr>
        <w:t xml:space="preserve">.  </w:t>
      </w:r>
    </w:p>
    <w:p w14:paraId="15D10B86" w14:textId="177EB459" w:rsidR="00CF08E3" w:rsidRPr="00CF08E3" w:rsidRDefault="00CF08E3" w:rsidP="00CF08E3">
      <w:pPr>
        <w:spacing w:before="180" w:after="120" w:line="276" w:lineRule="auto"/>
        <w:jc w:val="both"/>
        <w:rPr>
          <w:rFonts w:asciiTheme="majorHAnsi" w:hAnsiTheme="majorHAnsi"/>
          <w:noProof/>
        </w:rPr>
      </w:pPr>
      <w:r>
        <w:rPr>
          <w:rFonts w:asciiTheme="majorHAnsi" w:hAnsiTheme="majorHAnsi"/>
          <w:noProof/>
        </w:rPr>
        <w:t xml:space="preserve">Bugetul UE este finanțat din resursele proprii și din alte venituri. În plus, Uniunea este împuternicită să împrumute fonduri pentru finanțarea NextGenerationEU, care sunt direcționate către buget prin venituri alocate externe – împrumuturile nete încheindu-se în </w:t>
      </w:r>
      <w:r w:rsidRPr="00EF3A3A">
        <w:rPr>
          <w:rFonts w:asciiTheme="majorHAnsi" w:hAnsiTheme="majorHAnsi"/>
          <w:noProof/>
        </w:rPr>
        <w:t>2026</w:t>
      </w:r>
      <w:r>
        <w:rPr>
          <w:rFonts w:asciiTheme="majorHAnsi" w:hAnsiTheme="majorHAnsi"/>
          <w:noProof/>
        </w:rPr>
        <w:t xml:space="preserve">. </w:t>
      </w:r>
    </w:p>
    <w:p w14:paraId="7973A53E" w14:textId="766C6C5A" w:rsidR="00CF08E3" w:rsidRPr="004334A3" w:rsidRDefault="00CF08E3" w:rsidP="00CF08E3">
      <w:pPr>
        <w:spacing w:before="180" w:after="120" w:line="276" w:lineRule="auto"/>
        <w:jc w:val="both"/>
        <w:rPr>
          <w:rFonts w:asciiTheme="majorHAnsi" w:hAnsiTheme="majorHAnsi"/>
          <w:noProof/>
          <w:spacing w:val="-4"/>
        </w:rPr>
      </w:pPr>
      <w:r>
        <w:rPr>
          <w:rFonts w:asciiTheme="majorHAnsi" w:hAnsiTheme="majorHAnsi"/>
          <w:noProof/>
        </w:rPr>
        <w:t xml:space="preserve">Resursele proprii necesare pentru finanțarea bugetului se obține prin scăderea celorlalte venituri din cheltuielile totale. Prognoza privind veniturile din bugetul UE se bazează pe principiul echilibrului dintre cheltuieli și venituri; prin urmare, veniturile totale trebuie să fie egale cu cheltuielile totale. </w:t>
      </w:r>
    </w:p>
    <w:p w14:paraId="245A3130" w14:textId="0A653BB4" w:rsidR="00CF08E3" w:rsidRPr="003E1BB5" w:rsidRDefault="00CF08E3" w:rsidP="00CF08E3">
      <w:pPr>
        <w:spacing w:before="180" w:after="120" w:line="276" w:lineRule="auto"/>
        <w:jc w:val="both"/>
        <w:rPr>
          <w:rFonts w:asciiTheme="majorHAnsi" w:hAnsiTheme="majorHAnsi"/>
          <w:noProof/>
          <w:spacing w:val="-6"/>
        </w:rPr>
      </w:pPr>
      <w:r>
        <w:rPr>
          <w:rFonts w:asciiTheme="majorHAnsi" w:hAnsiTheme="majorHAnsi"/>
          <w:noProof/>
        </w:rPr>
        <w:t xml:space="preserve">Începând din </w:t>
      </w:r>
      <w:r w:rsidRPr="00EF3A3A">
        <w:rPr>
          <w:rFonts w:asciiTheme="majorHAnsi" w:hAnsiTheme="majorHAnsi"/>
          <w:noProof/>
        </w:rPr>
        <w:t>2021</w:t>
      </w:r>
      <w:r>
        <w:rPr>
          <w:rFonts w:asciiTheme="majorHAnsi" w:hAnsiTheme="majorHAnsi"/>
          <w:noProof/>
        </w:rPr>
        <w:t xml:space="preserve">, în conformitate cu Acordul de retragere (partea V), Regatul Unit contribuie la bugetul UE în ceea ce privește angajamentele restante din cadrele financiare multianuale anterioare. Contribuția Regatului Unit constituie „alte venituri” în bugetul UE. Aceasta va fi eliminată treptat, pe măsură ce plățile aferente angajamentelor restante sunt efectuate în următorul CFM, astfel cum se prezintă în secțiunea </w:t>
      </w:r>
      <w:r w:rsidRPr="00EF3A3A">
        <w:rPr>
          <w:rFonts w:asciiTheme="majorHAnsi" w:hAnsiTheme="majorHAnsi"/>
          <w:noProof/>
        </w:rPr>
        <w:t>2</w:t>
      </w:r>
      <w:r>
        <w:rPr>
          <w:rFonts w:asciiTheme="majorHAnsi" w:hAnsiTheme="majorHAnsi"/>
          <w:noProof/>
        </w:rPr>
        <w:t>.</w:t>
      </w:r>
      <w:r w:rsidRPr="00EF3A3A">
        <w:rPr>
          <w:rFonts w:asciiTheme="majorHAnsi" w:hAnsiTheme="majorHAnsi"/>
          <w:noProof/>
        </w:rPr>
        <w:t>1</w:t>
      </w:r>
      <w:r>
        <w:rPr>
          <w:rFonts w:asciiTheme="majorHAnsi" w:hAnsiTheme="majorHAnsi"/>
          <w:noProof/>
        </w:rPr>
        <w:t xml:space="preserve">. Pentru perioada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rubrica „alte venituri” include contribuția actualizată a Regatului Unit.</w:t>
      </w:r>
    </w:p>
    <w:p w14:paraId="514372BF" w14:textId="37536393" w:rsidR="00DB73F3" w:rsidRDefault="00CF08E3" w:rsidP="082EABE0">
      <w:pPr>
        <w:spacing w:before="180" w:after="120" w:line="276" w:lineRule="auto"/>
        <w:jc w:val="both"/>
        <w:rPr>
          <w:rFonts w:asciiTheme="majorHAnsi" w:hAnsiTheme="majorHAnsi"/>
          <w:noProof/>
        </w:rPr>
      </w:pPr>
      <w:r>
        <w:rPr>
          <w:rFonts w:asciiTheme="majorHAnsi" w:hAnsiTheme="majorHAnsi"/>
          <w:noProof/>
        </w:rPr>
        <w:t>Resursele proprii – în prezent resurse proprii tradiționale, precum și resurse proprii bazate pe TVA, plastic și VNB – reprezintă cea mai mare parte a veniturilor necesare pentru finanțarea cheltuielilor bugetare. Ciclul de cheltuieli determină evoluția contribuțiilor statelor membre din resursele proprii pe parcursul perioadei de previzionare.</w:t>
      </w:r>
    </w:p>
    <w:p w14:paraId="4AFAAEDE" w14:textId="7D32599C" w:rsidR="005E727A" w:rsidRPr="00EF3A3A" w:rsidRDefault="005E727A" w:rsidP="005E727A">
      <w:pPr>
        <w:pStyle w:val="amprH3Title2-Numbered-11"/>
        <w:rPr>
          <w:rFonts w:asciiTheme="majorHAnsi" w:hAnsiTheme="majorHAnsi"/>
          <w:noProof/>
        </w:rPr>
      </w:pPr>
      <w:r w:rsidRPr="00EF3A3A">
        <w:rPr>
          <w:noProof/>
        </w:rPr>
        <w:tab/>
      </w:r>
      <w:bookmarkStart w:id="74" w:name="_Toc235439612"/>
      <w:r w:rsidRPr="00EF3A3A">
        <w:rPr>
          <w:rFonts w:asciiTheme="majorHAnsi" w:hAnsiTheme="majorHAnsi"/>
          <w:noProof/>
        </w:rPr>
        <w:t>Surse de venituri</w:t>
      </w:r>
      <w:bookmarkEnd w:id="74"/>
    </w:p>
    <w:p w14:paraId="3BA73305" w14:textId="77777777" w:rsidR="00FA324E" w:rsidRDefault="00FA324E" w:rsidP="00FD3E53">
      <w:pPr>
        <w:spacing w:before="180" w:after="120" w:line="276" w:lineRule="auto"/>
        <w:jc w:val="both"/>
        <w:rPr>
          <w:rFonts w:asciiTheme="majorHAnsi" w:hAnsiTheme="majorHAnsi"/>
          <w:noProof/>
        </w:rPr>
      </w:pPr>
    </w:p>
    <w:p w14:paraId="0CB6AEAF" w14:textId="4B18D835" w:rsidR="00FD3E53" w:rsidRPr="00FD3E53" w:rsidRDefault="00805721" w:rsidP="00FD3E53">
      <w:pPr>
        <w:spacing w:before="180" w:after="120" w:line="276" w:lineRule="auto"/>
        <w:jc w:val="both"/>
        <w:rPr>
          <w:rFonts w:asciiTheme="majorHAnsi" w:hAnsiTheme="majorHAnsi"/>
          <w:noProof/>
        </w:rPr>
      </w:pPr>
      <w:r>
        <w:rPr>
          <w:rFonts w:asciiTheme="majorHAnsi" w:hAnsiTheme="majorHAnsi"/>
          <w:noProof/>
        </w:rPr>
        <w:t xml:space="preserve">Pentru anul </w:t>
      </w:r>
      <w:r w:rsidRPr="00EF3A3A">
        <w:rPr>
          <w:rFonts w:asciiTheme="majorHAnsi" w:hAnsiTheme="majorHAnsi"/>
          <w:noProof/>
        </w:rPr>
        <w:t>2027</w:t>
      </w:r>
      <w:r>
        <w:rPr>
          <w:rFonts w:asciiTheme="majorHAnsi" w:hAnsiTheme="majorHAnsi"/>
          <w:noProof/>
        </w:rPr>
        <w:t xml:space="preserve">, veniturile din prezentul raport reflectă proiectul de buget pentru anul </w:t>
      </w:r>
      <w:r w:rsidRPr="00EF3A3A">
        <w:rPr>
          <w:rFonts w:asciiTheme="majorHAnsi" w:hAnsiTheme="majorHAnsi"/>
          <w:noProof/>
        </w:rPr>
        <w:t>2027</w:t>
      </w:r>
      <w:r>
        <w:rPr>
          <w:rFonts w:asciiTheme="majorHAnsi" w:hAnsiTheme="majorHAnsi"/>
          <w:noProof/>
        </w:rPr>
        <w:t xml:space="preserve">. Pentru următorul CFM, resursele proprii sunt estimate în conformitate cu propunerea Comisiei din iulie </w:t>
      </w:r>
      <w:r w:rsidRPr="00EF3A3A">
        <w:rPr>
          <w:rFonts w:asciiTheme="majorHAnsi" w:hAnsiTheme="majorHAnsi"/>
          <w:noProof/>
        </w:rPr>
        <w:t>2025</w:t>
      </w:r>
      <w:r>
        <w:rPr>
          <w:rFonts w:asciiTheme="majorHAnsi" w:hAnsiTheme="majorHAnsi"/>
          <w:noProof/>
        </w:rPr>
        <w:t xml:space="preserve">. Conform previziunilor care însoțesc propunerea Comisiei, se preconizează că resursele proprii tradiționale (taxele vamale) vor crește în același ritm ca VNB în prețuri curente pentru fiecare stat membru, pornind de la nivelul taxelor vamale brute preconizat pentru proiectul de buget pentru anul </w:t>
      </w:r>
      <w:r w:rsidRPr="00EF3A3A">
        <w:rPr>
          <w:rFonts w:asciiTheme="majorHAnsi" w:hAnsiTheme="majorHAnsi"/>
          <w:noProof/>
        </w:rPr>
        <w:t>2026</w:t>
      </w:r>
      <w:r>
        <w:rPr>
          <w:rFonts w:asciiTheme="majorHAnsi" w:hAnsiTheme="majorHAnsi"/>
          <w:noProof/>
        </w:rPr>
        <w:t>, utilizând parametrii din noua Propunere de decizie privind resursele proprii pentru următorul CFM.</w:t>
      </w:r>
    </w:p>
    <w:p w14:paraId="0EC984AA" w14:textId="230AFAFF"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Veniturile din resursa proprie bazată pe TVA sunt estimate pornind de la bazele de calcul ale TVA ale fiecărui stat membru incluse în proiectul de buget pentru </w:t>
      </w:r>
      <w:r w:rsidRPr="00EF3A3A">
        <w:rPr>
          <w:rFonts w:asciiTheme="majorHAnsi" w:hAnsiTheme="majorHAnsi"/>
          <w:noProof/>
        </w:rPr>
        <w:t>2026</w:t>
      </w:r>
      <w:r>
        <w:rPr>
          <w:rFonts w:asciiTheme="majorHAnsi" w:hAnsiTheme="majorHAnsi"/>
          <w:noProof/>
        </w:rPr>
        <w:t>. Se preconizează că bazele de calcul ale TVA vor crește în același ritm ca VNB în prețuri curente.</w:t>
      </w:r>
    </w:p>
    <w:p w14:paraId="6D8070D0" w14:textId="79DA6C7C" w:rsidR="00FD3E53" w:rsidRPr="00FD3E53" w:rsidRDefault="00FD3E53" w:rsidP="001827CB">
      <w:pPr>
        <w:spacing w:before="180" w:after="0" w:line="276" w:lineRule="auto"/>
        <w:jc w:val="both"/>
        <w:rPr>
          <w:rFonts w:asciiTheme="majorHAnsi" w:hAnsiTheme="majorHAnsi"/>
          <w:noProof/>
        </w:rPr>
      </w:pPr>
      <w:r>
        <w:rPr>
          <w:rFonts w:asciiTheme="majorHAnsi" w:hAnsiTheme="majorHAnsi"/>
          <w:noProof/>
        </w:rPr>
        <w:t xml:space="preserve">Resursa proprie bazată pe deșeurile de plastic este estimată pornind de la deșeurile de ambalaje din plastic nereciclate incluse în proiectul de buget pe </w:t>
      </w:r>
      <w:r w:rsidRPr="00EF3A3A">
        <w:rPr>
          <w:rFonts w:asciiTheme="majorHAnsi" w:hAnsiTheme="majorHAnsi"/>
          <w:noProof/>
        </w:rPr>
        <w:t>2026</w:t>
      </w:r>
      <w:r>
        <w:rPr>
          <w:rFonts w:asciiTheme="majorHAnsi" w:hAnsiTheme="majorHAnsi"/>
          <w:noProof/>
        </w:rPr>
        <w:t xml:space="preserve">. Se preconizează că deșeurile de ambalaje din plastic corespunzătoare vor crește în același ritm ca VNB în prețuri constante. Se prevede că ratele de reciclare vor converge liniar către obiectivul de reciclare al UE de </w:t>
      </w:r>
      <w:r w:rsidRPr="00EF3A3A">
        <w:rPr>
          <w:rFonts w:asciiTheme="majorHAnsi" w:hAnsiTheme="majorHAnsi"/>
          <w:noProof/>
        </w:rPr>
        <w:t>55</w:t>
      </w:r>
      <w:r>
        <w:rPr>
          <w:rFonts w:asciiTheme="majorHAnsi" w:hAnsiTheme="majorHAnsi"/>
          <w:noProof/>
        </w:rPr>
        <w:t xml:space="preserve"> %, care trebuie atins până în </w:t>
      </w:r>
      <w:r w:rsidRPr="00EF3A3A">
        <w:rPr>
          <w:rFonts w:asciiTheme="majorHAnsi" w:hAnsiTheme="majorHAnsi"/>
          <w:noProof/>
        </w:rPr>
        <w:t>2030</w:t>
      </w:r>
      <w:r>
        <w:rPr>
          <w:rFonts w:asciiTheme="majorHAnsi" w:hAnsiTheme="majorHAnsi"/>
          <w:noProof/>
        </w:rPr>
        <w:t xml:space="preserve">. </w:t>
      </w:r>
    </w:p>
    <w:p w14:paraId="42A16B40" w14:textId="13F1068B"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Resursa proprie bazată pe VNB pentru UE-</w:t>
      </w:r>
      <w:r w:rsidRPr="00EF3A3A">
        <w:rPr>
          <w:rFonts w:asciiTheme="majorHAnsi" w:hAnsiTheme="majorHAnsi"/>
          <w:noProof/>
        </w:rPr>
        <w:t>27</w:t>
      </w:r>
      <w:r>
        <w:rPr>
          <w:rFonts w:asciiTheme="majorHAnsi" w:hAnsiTheme="majorHAnsi"/>
          <w:noProof/>
        </w:rPr>
        <w:t xml:space="preserve"> se calculează ca diferența rămasă dintre toate celelalte resurse proprii și alte venituri, pe de o parte, și cheltuielile previzionate, pe de altă parte. Parametrii pentru resursele proprii precizați în Decizia privind resursele proprii determină cota statelor membre din valoarea totală a contribuțiilor din resurse proprii necesară pentru echilibrarea bugetului UE.</w:t>
      </w:r>
    </w:p>
    <w:p w14:paraId="12F2A354" w14:textId="5DAA7733" w:rsidR="00131BC4" w:rsidRDefault="00FD3E53" w:rsidP="00FD3E53">
      <w:pPr>
        <w:spacing w:before="180" w:after="120" w:line="276" w:lineRule="auto"/>
        <w:jc w:val="both"/>
        <w:rPr>
          <w:rFonts w:asciiTheme="majorHAnsi" w:hAnsiTheme="majorHAnsi"/>
          <w:noProof/>
        </w:rPr>
      </w:pPr>
      <w:r>
        <w:rPr>
          <w:rFonts w:asciiTheme="majorHAnsi" w:hAnsiTheme="majorHAnsi"/>
          <w:noProof/>
        </w:rPr>
        <w:t>Propunerea Comisiei de decizie privind resursele proprii include mai multe resurse proprii suplimentare.</w:t>
      </w:r>
    </w:p>
    <w:p w14:paraId="3B0109B1" w14:textId="54EC8DF8"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Prognoza privind veniturile pentru resursa proprie bazată pe sistemul european de comercializare a certificatelor de emisii (ETS</w:t>
      </w:r>
      <w:r w:rsidRPr="00EF3A3A">
        <w:rPr>
          <w:rFonts w:asciiTheme="majorHAnsi" w:hAnsiTheme="majorHAnsi"/>
          <w:noProof/>
        </w:rPr>
        <w:t>1</w:t>
      </w:r>
      <w:r>
        <w:rPr>
          <w:rFonts w:asciiTheme="majorHAnsi" w:hAnsiTheme="majorHAnsi"/>
          <w:noProof/>
        </w:rPr>
        <w:t xml:space="preserve">) se bazează pe un preț estimat al carbonului de </w:t>
      </w:r>
      <w:r w:rsidRPr="00EF3A3A">
        <w:rPr>
          <w:rFonts w:asciiTheme="majorHAnsi" w:hAnsiTheme="majorHAnsi"/>
          <w:noProof/>
        </w:rPr>
        <w:t>88</w:t>
      </w:r>
      <w:r>
        <w:rPr>
          <w:rFonts w:asciiTheme="majorHAnsi" w:hAnsiTheme="majorHAnsi"/>
          <w:noProof/>
        </w:rPr>
        <w:t>,</w:t>
      </w:r>
      <w:r w:rsidRPr="00EF3A3A">
        <w:rPr>
          <w:rFonts w:asciiTheme="majorHAnsi" w:hAnsiTheme="majorHAnsi"/>
          <w:noProof/>
        </w:rPr>
        <w:t>33</w:t>
      </w:r>
      <w:r>
        <w:rPr>
          <w:rFonts w:asciiTheme="majorHAnsi" w:hAnsiTheme="majorHAnsi"/>
          <w:noProof/>
        </w:rPr>
        <w:t xml:space="preserve"> EUR la prețurile din </w:t>
      </w:r>
      <w:r w:rsidRPr="00EF3A3A">
        <w:rPr>
          <w:rFonts w:asciiTheme="majorHAnsi" w:hAnsiTheme="majorHAnsi"/>
          <w:noProof/>
        </w:rPr>
        <w:t>2025</w:t>
      </w:r>
      <w:r>
        <w:rPr>
          <w:rFonts w:asciiTheme="majorHAnsi" w:hAnsiTheme="majorHAnsi"/>
          <w:noProof/>
        </w:rPr>
        <w:t>. Numărul de certificate de emisii licitate rezultă din dispozițiile legale ale Directivei ETS</w:t>
      </w:r>
      <w:r>
        <w:rPr>
          <w:rStyle w:val="EndnoteReference"/>
          <w:noProof/>
        </w:rPr>
        <w:endnoteReference w:id="19"/>
      </w:r>
      <w:r>
        <w:rPr>
          <w:rFonts w:asciiTheme="majorHAnsi" w:hAnsiTheme="majorHAnsi"/>
          <w:noProof/>
        </w:rPr>
        <w:t>.</w:t>
      </w:r>
    </w:p>
    <w:p w14:paraId="37E538BB" w14:textId="3F080C0B"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În ceea ce privește resursa proprie bazată pe deșeurile electronice, se calculează mai întâi deșeurile subiacente necolectate de echipamente electrice și electronice (DEEE) într-un stat membru într-un anumit an. Astfel, se preconizează că ratele de colectare vor converge liniar către obiectivul de colectare al UE de </w:t>
      </w:r>
      <w:r w:rsidRPr="00EF3A3A">
        <w:rPr>
          <w:rFonts w:asciiTheme="majorHAnsi" w:hAnsiTheme="majorHAnsi"/>
          <w:noProof/>
        </w:rPr>
        <w:t>65</w:t>
      </w:r>
      <w:r>
        <w:rPr>
          <w:rFonts w:asciiTheme="majorHAnsi" w:hAnsiTheme="majorHAnsi"/>
          <w:noProof/>
        </w:rPr>
        <w:t xml:space="preserve"> % până în </w:t>
      </w:r>
      <w:r w:rsidRPr="00EF3A3A">
        <w:rPr>
          <w:rFonts w:asciiTheme="majorHAnsi" w:hAnsiTheme="majorHAnsi"/>
          <w:noProof/>
        </w:rPr>
        <w:t>2034</w:t>
      </w:r>
      <w:r>
        <w:rPr>
          <w:rFonts w:asciiTheme="majorHAnsi" w:hAnsiTheme="majorHAnsi"/>
          <w:noProof/>
        </w:rPr>
        <w:t xml:space="preserve">. </w:t>
      </w:r>
    </w:p>
    <w:p w14:paraId="6C329DD8" w14:textId="1FA53EFA"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Veniturile din resursa proprie bazată pe accizele la tutun sunt estimate pe baza Directivei privind accizele la tutun și a propunerii de reformare a acesteia. </w:t>
      </w:r>
    </w:p>
    <w:p w14:paraId="2AD487E3" w14:textId="21DA4AF1"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Veniturile din resursa proprie bazată pe mecanismul de ajustare a carbonului la frontieră (CBAM) sunt estimate presupunând același preț al carbonului ca în cazul ETS</w:t>
      </w:r>
      <w:r w:rsidRPr="00EF3A3A">
        <w:rPr>
          <w:rFonts w:asciiTheme="majorHAnsi" w:hAnsiTheme="majorHAnsi"/>
          <w:noProof/>
        </w:rPr>
        <w:t>1</w:t>
      </w:r>
      <w:r>
        <w:rPr>
          <w:rFonts w:asciiTheme="majorHAnsi" w:hAnsiTheme="majorHAnsi"/>
          <w:noProof/>
        </w:rPr>
        <w:t xml:space="preserve">. </w:t>
      </w:r>
    </w:p>
    <w:p w14:paraId="6C1196ED" w14:textId="497AE435"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Previziunile privind resursele corporative pentru Europa (CORE) se bazează pe datele din </w:t>
      </w:r>
      <w:r w:rsidRPr="00EF3A3A">
        <w:rPr>
          <w:rFonts w:asciiTheme="majorHAnsi" w:hAnsiTheme="majorHAnsi"/>
          <w:noProof/>
        </w:rPr>
        <w:t>2023</w:t>
      </w:r>
      <w:r>
        <w:rPr>
          <w:rFonts w:asciiTheme="majorHAnsi" w:hAnsiTheme="majorHAnsi"/>
          <w:noProof/>
        </w:rPr>
        <w:t xml:space="preserve"> la nivel de firmă din baza de date Orbis. Se aplică o contribuție forfetară anuală din partea tuturor întreprinderilor care își desfășoară activitatea și vând în UE, astfel cum se specifică în propunerea Comisiei pentru o nouă decizie privind resursele proprii.</w:t>
      </w:r>
    </w:p>
    <w:p w14:paraId="4CF707FE" w14:textId="61319BC2"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Celelalte venituri la bugetul UE includ contribuțiile personalului, veniturile provenite din funcționarea administrativă a instituțiilor, contribuțiile și restituirile aferente acordurilor și programelor Uniunii, penalitățile de întârziere și amenzi, veniturile provenite din operațiunile de împrumut și de creditare, veniturile din taxe care nu sunt alocate unor cheltuieli specifice și veniturile diverse, precum și excedentele din anii anteriori. Având în vedere volatilitatea lor inerentă, majoritatea acestor componente sunt dificil de prevăzut pe termen lung. Prin urmare, se presupune că suma anuală inclusă în propunerea Comisiei pentru următorul CFM din iulie </w:t>
      </w:r>
      <w:r w:rsidRPr="00EF3A3A">
        <w:rPr>
          <w:rFonts w:asciiTheme="majorHAnsi" w:hAnsiTheme="majorHAnsi"/>
          <w:noProof/>
        </w:rPr>
        <w:t>2025</w:t>
      </w:r>
      <w:r>
        <w:rPr>
          <w:rFonts w:asciiTheme="majorHAnsi" w:hAnsiTheme="majorHAnsi"/>
          <w:noProof/>
        </w:rPr>
        <w:t xml:space="preserve"> (și anume </w:t>
      </w:r>
      <w:r w:rsidRPr="00EF3A3A">
        <w:rPr>
          <w:rFonts w:asciiTheme="majorHAnsi" w:hAnsiTheme="majorHAnsi"/>
          <w:noProof/>
        </w:rPr>
        <w:t>3</w:t>
      </w:r>
      <w:r>
        <w:rPr>
          <w:rFonts w:asciiTheme="majorHAnsi" w:hAnsiTheme="majorHAnsi"/>
          <w:noProof/>
        </w:rPr>
        <w:t xml:space="preserve"> miliarde EUR) va rămâne constantă din punct de vedere nominal pe parcursul perioadei de previzionare.</w:t>
      </w:r>
    </w:p>
    <w:p w14:paraId="434F20C0" w14:textId="67EAACC9"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Începând din </w:t>
      </w:r>
      <w:r w:rsidRPr="00EF3A3A">
        <w:rPr>
          <w:rFonts w:asciiTheme="majorHAnsi" w:hAnsiTheme="majorHAnsi"/>
          <w:noProof/>
        </w:rPr>
        <w:t>2021</w:t>
      </w:r>
      <w:r>
        <w:rPr>
          <w:rFonts w:asciiTheme="majorHAnsi" w:hAnsiTheme="majorHAnsi"/>
          <w:noProof/>
        </w:rPr>
        <w:t>, în plus față de elementele menționate anterior, alte venituri la bugetul UE includ contribuția Regatului Unit legată de angajamentele restante (RAL) pentru care Regatul Unit este răspunzător, obligațiile în materie de pensii și alte componente ale decontului financiar, astfel cum se prevede în Acordul de retragere</w:t>
      </w:r>
      <w:r>
        <w:rPr>
          <w:rStyle w:val="EndnoteReference"/>
          <w:noProof/>
        </w:rPr>
        <w:endnoteReference w:id="20"/>
      </w:r>
      <w:r>
        <w:rPr>
          <w:rFonts w:asciiTheme="majorHAnsi" w:hAnsiTheme="majorHAnsi"/>
          <w:noProof/>
        </w:rPr>
        <w:t xml:space="preserve">. Acest lucru se reflectă și în propunerea de finanțare a proiectului de buget pentru </w:t>
      </w:r>
      <w:r w:rsidRPr="00EF3A3A">
        <w:rPr>
          <w:rFonts w:asciiTheme="majorHAnsi" w:hAnsiTheme="majorHAnsi"/>
          <w:noProof/>
        </w:rPr>
        <w:t>2027</w:t>
      </w:r>
      <w:r>
        <w:rPr>
          <w:rFonts w:asciiTheme="majorHAnsi" w:hAnsiTheme="majorHAnsi"/>
          <w:noProof/>
        </w:rPr>
        <w:t>.</w:t>
      </w:r>
    </w:p>
    <w:p w14:paraId="7061C369" w14:textId="4E5609A0"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Contribuția Regatului Unit legată de angajamentele restante la </w:t>
      </w:r>
      <w:r w:rsidRPr="00EF3A3A">
        <w:rPr>
          <w:rFonts w:asciiTheme="majorHAnsi" w:hAnsiTheme="majorHAnsi"/>
          <w:noProof/>
        </w:rPr>
        <w:t>31</w:t>
      </w:r>
      <w:r>
        <w:rPr>
          <w:rFonts w:asciiTheme="majorHAnsi" w:hAnsiTheme="majorHAnsi"/>
          <w:noProof/>
        </w:rPr>
        <w:t xml:space="preserve"> decembrie </w:t>
      </w:r>
      <w:r w:rsidRPr="00EF3A3A">
        <w:rPr>
          <w:rFonts w:asciiTheme="majorHAnsi" w:hAnsiTheme="majorHAnsi"/>
          <w:noProof/>
        </w:rPr>
        <w:t>2020</w:t>
      </w:r>
      <w:r>
        <w:rPr>
          <w:rFonts w:asciiTheme="majorHAnsi" w:hAnsiTheme="majorHAnsi"/>
          <w:noProof/>
        </w:rPr>
        <w:t xml:space="preserve"> se obține aplicând cota de finanțare a Regatului Unit la plățile RAL prognozate pentru fiecare an din perioada </w:t>
      </w:r>
      <w:r w:rsidRPr="00EF3A3A">
        <w:rPr>
          <w:rFonts w:asciiTheme="majorHAnsi" w:hAnsiTheme="majorHAnsi"/>
          <w:noProof/>
        </w:rPr>
        <w:t>2027</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Contribuția anuală a Regatului Unit rezultată ține seama de modalitățile de plată prevăzute la articolul </w:t>
      </w:r>
      <w:r w:rsidRPr="00EF3A3A">
        <w:rPr>
          <w:rFonts w:asciiTheme="majorHAnsi" w:hAnsiTheme="majorHAnsi"/>
          <w:noProof/>
        </w:rPr>
        <w:t>148</w:t>
      </w:r>
      <w:r>
        <w:rPr>
          <w:rFonts w:asciiTheme="majorHAnsi" w:hAnsiTheme="majorHAnsi"/>
          <w:noProof/>
        </w:rPr>
        <w:t xml:space="preserve"> din Acordul de retragere.</w:t>
      </w:r>
    </w:p>
    <w:p w14:paraId="72A67F9A" w14:textId="55487207" w:rsidR="00FD3E53" w:rsidRP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Prognoza privind alte venituri include contribuția Regatului Unit la angajamentele cu titlu de pensii ale membrilor și ale înalților funcționari ai UE, astfel cum se prevede la articolul </w:t>
      </w:r>
      <w:r w:rsidRPr="00EF3A3A">
        <w:rPr>
          <w:rFonts w:asciiTheme="majorHAnsi" w:hAnsiTheme="majorHAnsi"/>
          <w:noProof/>
        </w:rPr>
        <w:t>142</w:t>
      </w:r>
      <w:r>
        <w:rPr>
          <w:rFonts w:asciiTheme="majorHAnsi" w:hAnsiTheme="majorHAnsi"/>
          <w:noProof/>
        </w:rPr>
        <w:t xml:space="preserve"> alineatul (</w:t>
      </w:r>
      <w:r w:rsidRPr="00EF3A3A">
        <w:rPr>
          <w:rFonts w:asciiTheme="majorHAnsi" w:hAnsiTheme="majorHAnsi"/>
          <w:noProof/>
        </w:rPr>
        <w:t>5</w:t>
      </w:r>
      <w:r>
        <w:rPr>
          <w:rFonts w:asciiTheme="majorHAnsi" w:hAnsiTheme="majorHAnsi"/>
          <w:noProof/>
        </w:rPr>
        <w:t xml:space="preserve">) din Acordul de retragere. Contribuția Regatului Unit la pensiile personalului (estimată la </w:t>
      </w:r>
      <w:r w:rsidRPr="00EF3A3A">
        <w:rPr>
          <w:rFonts w:asciiTheme="majorHAnsi" w:hAnsiTheme="majorHAnsi"/>
          <w:noProof/>
        </w:rPr>
        <w:t>351</w:t>
      </w:r>
      <w:r>
        <w:rPr>
          <w:rFonts w:asciiTheme="majorHAnsi" w:hAnsiTheme="majorHAnsi"/>
          <w:noProof/>
        </w:rPr>
        <w:t xml:space="preserve"> de milioane EUR în proiectul de buget pentru </w:t>
      </w:r>
      <w:r w:rsidRPr="00EF3A3A">
        <w:rPr>
          <w:rFonts w:asciiTheme="majorHAnsi" w:hAnsiTheme="majorHAnsi"/>
          <w:noProof/>
        </w:rPr>
        <w:t>2027</w:t>
      </w:r>
      <w:r>
        <w:rPr>
          <w:rFonts w:asciiTheme="majorHAnsi" w:hAnsiTheme="majorHAnsi"/>
          <w:noProof/>
        </w:rPr>
        <w:t>) intră în bugetul UE ca venituri alocate externe și, prin urmare, nu face parte din prognoza pe termen lung privind alte venituri.</w:t>
      </w:r>
    </w:p>
    <w:p w14:paraId="53EBA236" w14:textId="74745313" w:rsidR="00FD3E53" w:rsidRDefault="00FD3E53" w:rsidP="00FD3E53">
      <w:pPr>
        <w:spacing w:before="180" w:after="120" w:line="276" w:lineRule="auto"/>
        <w:jc w:val="both"/>
        <w:rPr>
          <w:rFonts w:asciiTheme="majorHAnsi" w:hAnsiTheme="majorHAnsi"/>
          <w:noProof/>
        </w:rPr>
      </w:pPr>
      <w:r>
        <w:rPr>
          <w:rFonts w:asciiTheme="majorHAnsi" w:hAnsiTheme="majorHAnsi"/>
          <w:noProof/>
        </w:rPr>
        <w:t xml:space="preserve">În cursul unui an, totalul resurselor proprii colectate de Uniune nu poate depăși plafonul resurselor proprii stabilit în Decizia (UE, Euratom) </w:t>
      </w:r>
      <w:r w:rsidRPr="00EF3A3A">
        <w:rPr>
          <w:rFonts w:asciiTheme="majorHAnsi" w:hAnsiTheme="majorHAnsi"/>
          <w:noProof/>
        </w:rPr>
        <w:t>2020</w:t>
      </w:r>
      <w:r>
        <w:rPr>
          <w:rFonts w:asciiTheme="majorHAnsi" w:hAnsiTheme="majorHAnsi"/>
          <w:noProof/>
        </w:rPr>
        <w:t>/</w:t>
      </w:r>
      <w:r w:rsidRPr="00EF3A3A">
        <w:rPr>
          <w:rFonts w:asciiTheme="majorHAnsi" w:hAnsiTheme="majorHAnsi"/>
          <w:noProof/>
        </w:rPr>
        <w:t>2053</w:t>
      </w:r>
      <w:r>
        <w:rPr>
          <w:rFonts w:asciiTheme="majorHAnsi" w:hAnsiTheme="majorHAnsi"/>
          <w:noProof/>
        </w:rPr>
        <w:t xml:space="preserve"> a Consiliului la </w:t>
      </w:r>
      <w:r w:rsidRPr="00EF3A3A">
        <w:rPr>
          <w:rFonts w:asciiTheme="majorHAnsi" w:hAnsiTheme="majorHAnsi"/>
          <w:noProof/>
        </w:rPr>
        <w:t>1</w:t>
      </w:r>
      <w:r>
        <w:rPr>
          <w:rFonts w:asciiTheme="majorHAnsi" w:hAnsiTheme="majorHAnsi"/>
          <w:noProof/>
        </w:rPr>
        <w:t>,</w:t>
      </w:r>
      <w:r w:rsidRPr="00EF3A3A">
        <w:rPr>
          <w:rFonts w:asciiTheme="majorHAnsi" w:hAnsiTheme="majorHAnsi"/>
          <w:noProof/>
        </w:rPr>
        <w:t>4</w:t>
      </w:r>
      <w:r>
        <w:rPr>
          <w:rFonts w:asciiTheme="majorHAnsi" w:hAnsiTheme="majorHAnsi"/>
          <w:noProof/>
        </w:rPr>
        <w:t> % din VNB al UE-</w:t>
      </w:r>
      <w:r w:rsidRPr="00EF3A3A">
        <w:rPr>
          <w:rFonts w:asciiTheme="majorHAnsi" w:hAnsiTheme="majorHAnsi"/>
          <w:noProof/>
        </w:rPr>
        <w:t>27</w:t>
      </w:r>
      <w:r>
        <w:rPr>
          <w:rFonts w:asciiTheme="majorHAnsi" w:hAnsiTheme="majorHAnsi"/>
          <w:noProof/>
        </w:rPr>
        <w:t xml:space="preserve">, cu o creștere temporară suplimentară de </w:t>
      </w:r>
      <w:r w:rsidRPr="00EF3A3A">
        <w:rPr>
          <w:rFonts w:asciiTheme="majorHAnsi" w:hAnsiTheme="majorHAnsi"/>
          <w:noProof/>
        </w:rPr>
        <w:t>0</w:t>
      </w:r>
      <w:r>
        <w:rPr>
          <w:rFonts w:asciiTheme="majorHAnsi" w:hAnsiTheme="majorHAnsi"/>
          <w:noProof/>
        </w:rPr>
        <w:t>,</w:t>
      </w:r>
      <w:r w:rsidRPr="00EF3A3A">
        <w:rPr>
          <w:rFonts w:asciiTheme="majorHAnsi" w:hAnsiTheme="majorHAnsi"/>
          <w:noProof/>
        </w:rPr>
        <w:t>6</w:t>
      </w:r>
      <w:r>
        <w:rPr>
          <w:rFonts w:asciiTheme="majorHAnsi" w:hAnsiTheme="majorHAnsi"/>
          <w:noProof/>
        </w:rPr>
        <w:t> % din VNB al UE pentru acoperirea tuturor datoriilor Uniunii din împrumuturile de pe piețele de capital pentru finanțarea NextGenerationEU.</w:t>
      </w:r>
    </w:p>
    <w:p w14:paraId="5173F99A" w14:textId="7240D012" w:rsidR="00402978" w:rsidRPr="00F423B9" w:rsidRDefault="007E1BB1" w:rsidP="00402978">
      <w:pPr>
        <w:spacing w:before="180" w:after="120" w:line="276" w:lineRule="auto"/>
        <w:jc w:val="both"/>
        <w:rPr>
          <w:rFonts w:asciiTheme="majorHAnsi" w:hAnsiTheme="majorHAnsi"/>
          <w:noProof/>
        </w:rPr>
      </w:pPr>
      <w:r>
        <w:rPr>
          <w:rFonts w:asciiTheme="majorHAnsi" w:hAnsiTheme="majorHAnsi"/>
          <w:noProof/>
        </w:rPr>
        <w:t xml:space="preserve">Noua Propunere de decizie privind resursele proprii stabilește plafoanele resurselor proprii pentru perioada </w:t>
      </w:r>
      <w:r w:rsidRPr="00EF3A3A">
        <w:rPr>
          <w:rFonts w:asciiTheme="majorHAnsi" w:hAnsiTheme="majorHAnsi"/>
          <w:noProof/>
        </w:rPr>
        <w:t>2028</w:t>
      </w:r>
      <w:r w:rsidR="00EF3A3A">
        <w:rPr>
          <w:rFonts w:asciiTheme="majorHAnsi" w:hAnsiTheme="majorHAnsi"/>
          <w:noProof/>
        </w:rPr>
        <w:t>­</w:t>
      </w:r>
      <w:r w:rsidRPr="00EF3A3A">
        <w:rPr>
          <w:rFonts w:asciiTheme="majorHAnsi" w:hAnsiTheme="majorHAnsi"/>
          <w:noProof/>
        </w:rPr>
        <w:t>2034</w:t>
      </w:r>
      <w:r>
        <w:rPr>
          <w:rFonts w:asciiTheme="majorHAnsi" w:hAnsiTheme="majorHAnsi"/>
          <w:noProof/>
        </w:rPr>
        <w:t xml:space="preserve"> după cum urmează:</w:t>
      </w:r>
    </w:p>
    <w:p w14:paraId="693B663B" w14:textId="0DA16803" w:rsidR="00402978" w:rsidRPr="00CA5BFC" w:rsidRDefault="00402978" w:rsidP="00402978">
      <w:pPr>
        <w:pStyle w:val="ListParagraph"/>
        <w:numPr>
          <w:ilvl w:val="0"/>
          <w:numId w:val="32"/>
        </w:numPr>
        <w:spacing w:before="180" w:after="120" w:line="276" w:lineRule="auto"/>
        <w:jc w:val="both"/>
        <w:rPr>
          <w:rStyle w:val="amprcharCharttitle"/>
          <w:rFonts w:asciiTheme="majorHAnsi" w:hAnsiTheme="majorHAnsi"/>
          <w:b w:val="0"/>
          <w:bCs/>
          <w:noProof/>
          <w:color w:val="auto"/>
        </w:rPr>
      </w:pPr>
      <w:r w:rsidRPr="00EF3A3A">
        <w:rPr>
          <w:rStyle w:val="amprcharCharttitle"/>
          <w:rFonts w:asciiTheme="majorHAnsi" w:hAnsiTheme="majorHAnsi"/>
          <w:b w:val="0"/>
          <w:noProof/>
          <w:color w:val="auto"/>
        </w:rPr>
        <w:t>1</w:t>
      </w:r>
      <w:r>
        <w:rPr>
          <w:rStyle w:val="amprcharCharttitle"/>
          <w:rFonts w:asciiTheme="majorHAnsi" w:hAnsiTheme="majorHAnsi"/>
          <w:b w:val="0"/>
          <w:noProof/>
          <w:color w:val="auto"/>
        </w:rPr>
        <w:t>,</w:t>
      </w:r>
      <w:r w:rsidRPr="00EF3A3A">
        <w:rPr>
          <w:rStyle w:val="amprcharCharttitle"/>
          <w:rFonts w:asciiTheme="majorHAnsi" w:hAnsiTheme="majorHAnsi"/>
          <w:b w:val="0"/>
          <w:noProof/>
          <w:color w:val="auto"/>
        </w:rPr>
        <w:t>75</w:t>
      </w:r>
      <w:r>
        <w:rPr>
          <w:rStyle w:val="amprcharCharttitle"/>
          <w:rFonts w:asciiTheme="majorHAnsi" w:hAnsiTheme="majorHAnsi"/>
          <w:b w:val="0"/>
          <w:noProof/>
          <w:color w:val="auto"/>
        </w:rPr>
        <w:t> % pentru plafonul permanent;</w:t>
      </w:r>
    </w:p>
    <w:p w14:paraId="26CDC4BF" w14:textId="4D4F62FF" w:rsidR="00402978" w:rsidRPr="00CA5BFC" w:rsidRDefault="00402978" w:rsidP="00402978">
      <w:pPr>
        <w:pStyle w:val="ListParagraph"/>
        <w:numPr>
          <w:ilvl w:val="0"/>
          <w:numId w:val="32"/>
        </w:numPr>
        <w:spacing w:before="180" w:after="120" w:line="276" w:lineRule="auto"/>
        <w:jc w:val="both"/>
        <w:rPr>
          <w:rStyle w:val="amprcharCharttitle"/>
          <w:rFonts w:asciiTheme="majorHAnsi" w:hAnsiTheme="majorHAnsi"/>
          <w:b w:val="0"/>
          <w:bCs/>
          <w:noProof/>
          <w:color w:val="auto"/>
        </w:rPr>
      </w:pPr>
      <w:r w:rsidRPr="00EF3A3A">
        <w:rPr>
          <w:rStyle w:val="amprcharCharttitle"/>
          <w:rFonts w:asciiTheme="majorHAnsi" w:hAnsiTheme="majorHAnsi"/>
          <w:b w:val="0"/>
          <w:noProof/>
          <w:color w:val="auto"/>
        </w:rPr>
        <w:t>0</w:t>
      </w:r>
      <w:r>
        <w:rPr>
          <w:rStyle w:val="amprcharCharttitle"/>
          <w:rFonts w:asciiTheme="majorHAnsi" w:hAnsiTheme="majorHAnsi"/>
          <w:b w:val="0"/>
          <w:noProof/>
          <w:color w:val="auto"/>
        </w:rPr>
        <w:t>,</w:t>
      </w:r>
      <w:r w:rsidRPr="00EF3A3A">
        <w:rPr>
          <w:rStyle w:val="amprcharCharttitle"/>
          <w:rFonts w:asciiTheme="majorHAnsi" w:hAnsiTheme="majorHAnsi"/>
          <w:b w:val="0"/>
          <w:noProof/>
          <w:color w:val="auto"/>
        </w:rPr>
        <w:t>6</w:t>
      </w:r>
      <w:r>
        <w:rPr>
          <w:rStyle w:val="amprcharCharttitle"/>
          <w:rFonts w:asciiTheme="majorHAnsi" w:hAnsiTheme="majorHAnsi"/>
          <w:b w:val="0"/>
          <w:noProof/>
          <w:color w:val="auto"/>
        </w:rPr>
        <w:t> % pentru plafonul pentru acoperirea tuturor datoriilor Uniunii din împrumuturile de pe piețele de capital pentru a finanța NextGenerationEU;</w:t>
      </w:r>
    </w:p>
    <w:p w14:paraId="3F0188A9" w14:textId="77777777" w:rsidR="00402978" w:rsidRPr="00EF3A3A" w:rsidRDefault="00402978" w:rsidP="00402978">
      <w:pPr>
        <w:pStyle w:val="ListParagraph"/>
        <w:numPr>
          <w:ilvl w:val="0"/>
          <w:numId w:val="32"/>
        </w:numPr>
        <w:spacing w:before="180" w:after="120" w:line="276" w:lineRule="auto"/>
        <w:jc w:val="both"/>
        <w:rPr>
          <w:rStyle w:val="amprcharCharttitle"/>
          <w:rFonts w:asciiTheme="majorHAnsi" w:hAnsiTheme="majorHAnsi"/>
          <w:noProof/>
        </w:rPr>
      </w:pPr>
      <w:r w:rsidRPr="00EF3A3A">
        <w:rPr>
          <w:rStyle w:val="amprcharCharttitle"/>
          <w:rFonts w:asciiTheme="majorHAnsi" w:hAnsiTheme="majorHAnsi"/>
          <w:b w:val="0"/>
          <w:noProof/>
          <w:color w:val="auto"/>
        </w:rPr>
        <w:t>0</w:t>
      </w:r>
      <w:r>
        <w:rPr>
          <w:rStyle w:val="amprcharCharttitle"/>
          <w:rFonts w:asciiTheme="majorHAnsi" w:hAnsiTheme="majorHAnsi"/>
          <w:b w:val="0"/>
          <w:noProof/>
          <w:color w:val="auto"/>
        </w:rPr>
        <w:t>,</w:t>
      </w:r>
      <w:r w:rsidRPr="00EF3A3A">
        <w:rPr>
          <w:rStyle w:val="amprcharCharttitle"/>
          <w:rFonts w:asciiTheme="majorHAnsi" w:hAnsiTheme="majorHAnsi"/>
          <w:b w:val="0"/>
          <w:noProof/>
          <w:color w:val="auto"/>
        </w:rPr>
        <w:t>25</w:t>
      </w:r>
      <w:r>
        <w:rPr>
          <w:rStyle w:val="amprcharCharttitle"/>
          <w:rFonts w:asciiTheme="majorHAnsi" w:hAnsiTheme="majorHAnsi"/>
          <w:b w:val="0"/>
          <w:noProof/>
          <w:color w:val="auto"/>
        </w:rPr>
        <w:t> % pentru instrumentul de criză, în caz de activare.</w:t>
      </w:r>
    </w:p>
    <w:p w14:paraId="6DE4F168" w14:textId="623F396B" w:rsidR="009C3C6B" w:rsidRDefault="00660100" w:rsidP="23B06DA2">
      <w:pPr>
        <w:spacing w:after="120" w:line="276" w:lineRule="auto"/>
        <w:jc w:val="both"/>
        <w:rPr>
          <w:rFonts w:asciiTheme="majorHAnsi" w:hAnsiTheme="majorHAnsi"/>
          <w:noProof/>
        </w:rPr>
      </w:pPr>
      <w:r>
        <w:rPr>
          <w:rFonts w:asciiTheme="majorHAnsi" w:hAnsiTheme="majorHAnsi"/>
          <w:noProof/>
        </w:rPr>
        <w:t xml:space="preserve">Se preconizează că marja disponibilă în limita plafonului permanent al resurselor proprii (așa-numita marjă de manevră) va scădea, deoarece se preconizează că plățile vor crește în </w:t>
      </w:r>
      <w:r w:rsidRPr="00EF3A3A">
        <w:rPr>
          <w:rFonts w:asciiTheme="majorHAnsi" w:hAnsiTheme="majorHAnsi"/>
          <w:noProof/>
        </w:rPr>
        <w:t>2027</w:t>
      </w:r>
      <w:r>
        <w:rPr>
          <w:rFonts w:asciiTheme="majorHAnsi" w:hAnsiTheme="majorHAnsi"/>
          <w:noProof/>
        </w:rPr>
        <w:t xml:space="preserve"> comparativ cu </w:t>
      </w:r>
      <w:r w:rsidRPr="00EF3A3A">
        <w:rPr>
          <w:rFonts w:asciiTheme="majorHAnsi" w:hAnsiTheme="majorHAnsi"/>
          <w:noProof/>
        </w:rPr>
        <w:t>2026</w:t>
      </w:r>
      <w:r>
        <w:rPr>
          <w:rFonts w:asciiTheme="majorHAnsi" w:hAnsiTheme="majorHAnsi"/>
          <w:noProof/>
        </w:rPr>
        <w:t xml:space="preserve">, în timp ce venitul național brut al Uniunii va crește proporțional mai puțin în același an. Marja disponibilă în limita plafonului permanent al resurselor proprii în </w:t>
      </w:r>
      <w:r w:rsidRPr="00EF3A3A">
        <w:rPr>
          <w:rFonts w:asciiTheme="majorHAnsi" w:hAnsiTheme="majorHAnsi"/>
          <w:noProof/>
        </w:rPr>
        <w:t>2027</w:t>
      </w:r>
      <w:r>
        <w:rPr>
          <w:rFonts w:asciiTheme="majorHAnsi" w:hAnsiTheme="majorHAnsi"/>
          <w:noProof/>
        </w:rPr>
        <w:t xml:space="preserve"> va fi de aproximativ </w:t>
      </w:r>
      <w:r w:rsidRPr="00EF3A3A">
        <w:rPr>
          <w:rFonts w:asciiTheme="majorHAnsi" w:hAnsiTheme="majorHAnsi"/>
          <w:noProof/>
        </w:rPr>
        <w:t>84</w:t>
      </w:r>
      <w:r>
        <w:rPr>
          <w:rFonts w:asciiTheme="majorHAnsi" w:hAnsiTheme="majorHAnsi"/>
          <w:noProof/>
        </w:rPr>
        <w:t xml:space="preserve"> de miliarde EUR</w:t>
      </w:r>
      <w:r>
        <w:rPr>
          <w:noProof/>
        </w:rPr>
        <w:t>.</w:t>
      </w:r>
    </w:p>
    <w:p w14:paraId="2B531C36" w14:textId="2FD7B839" w:rsidR="004857A9" w:rsidRDefault="009C3C6B" w:rsidP="23B06DA2">
      <w:pPr>
        <w:spacing w:after="120" w:line="276" w:lineRule="auto"/>
        <w:jc w:val="both"/>
        <w:rPr>
          <w:rFonts w:asciiTheme="majorHAnsi" w:hAnsiTheme="majorHAnsi"/>
          <w:noProof/>
        </w:rPr>
      </w:pPr>
      <w:r>
        <w:rPr>
          <w:rFonts w:asciiTheme="majorHAnsi" w:hAnsiTheme="majorHAnsi"/>
          <w:noProof/>
        </w:rPr>
        <w:t xml:space="preserve">Pentru perioada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marja disponibilă în limita noului plafon permanent al resurselor proprii propus de Comisie este estimată, în medie, la </w:t>
      </w:r>
      <w:r w:rsidRPr="00EF3A3A">
        <w:rPr>
          <w:rFonts w:asciiTheme="majorHAnsi" w:hAnsiTheme="majorHAnsi"/>
          <w:noProof/>
        </w:rPr>
        <w:t>155</w:t>
      </w:r>
      <w:r>
        <w:rPr>
          <w:rFonts w:asciiTheme="majorHAnsi" w:hAnsiTheme="majorHAnsi"/>
          <w:noProof/>
        </w:rPr>
        <w:t xml:space="preserve"> de miliarde EUR pe an, iar marja disponibilă în limita plafonului temporar al NGEU este estimată, în medie, la </w:t>
      </w:r>
      <w:r w:rsidRPr="00EF3A3A">
        <w:rPr>
          <w:rFonts w:asciiTheme="majorHAnsi" w:hAnsiTheme="majorHAnsi"/>
          <w:noProof/>
        </w:rPr>
        <w:t>116</w:t>
      </w:r>
      <w:r>
        <w:rPr>
          <w:rFonts w:asciiTheme="majorHAnsi" w:hAnsiTheme="majorHAnsi"/>
          <w:noProof/>
        </w:rPr>
        <w:t xml:space="preserve"> miliarde EUR. Acest lucru reflectă actualizările previziunilor privind VNB-ul UE din cadrul previziunilor economice din primăvara anului </w:t>
      </w:r>
      <w:r w:rsidRPr="00EF3A3A">
        <w:rPr>
          <w:rFonts w:asciiTheme="majorHAnsi" w:hAnsiTheme="majorHAnsi"/>
          <w:noProof/>
        </w:rPr>
        <w:t>2026</w:t>
      </w:r>
      <w:r>
        <w:rPr>
          <w:rFonts w:asciiTheme="majorHAnsi" w:hAnsiTheme="majorHAnsi"/>
          <w:noProof/>
        </w:rPr>
        <w:t xml:space="preserve">, nevoile actualizate pentru plățile RAL anterioare anului </w:t>
      </w:r>
      <w:r w:rsidRPr="00EF3A3A">
        <w:rPr>
          <w:rFonts w:asciiTheme="majorHAnsi" w:hAnsiTheme="majorHAnsi"/>
          <w:noProof/>
        </w:rPr>
        <w:t>2028</w:t>
      </w:r>
      <w:r>
        <w:rPr>
          <w:rFonts w:asciiTheme="majorHAnsi" w:hAnsiTheme="majorHAnsi"/>
          <w:noProof/>
        </w:rPr>
        <w:t xml:space="preserve"> și actualizarea minimă a plăților care nu sunt legate de resursele proprii aferente contribuției Regatului Unit în temeiul Acordului de retragere.</w:t>
      </w:r>
    </w:p>
    <w:p w14:paraId="4C94CD41" w14:textId="290EDF7F" w:rsidR="0006097B" w:rsidRDefault="0006097B" w:rsidP="23B06DA2">
      <w:pPr>
        <w:spacing w:after="120" w:line="276" w:lineRule="auto"/>
        <w:jc w:val="both"/>
        <w:rPr>
          <w:rFonts w:asciiTheme="majorHAnsi" w:hAnsiTheme="majorHAnsi"/>
          <w:noProof/>
        </w:rPr>
      </w:pPr>
      <w:r>
        <w:rPr>
          <w:rFonts w:asciiTheme="majorHAnsi" w:hAnsiTheme="majorHAnsi"/>
          <w:noProof/>
        </w:rPr>
        <w:t xml:space="preserve">Atât pentru plafonul permanent al resurselor proprii, cât și pentru plafonul temporar al resurselor proprii ale NGEU, marja reprezintă spațiul liber în limita acestor plafoane după luarea în considerare a resurselor proprii necesare pentru finanțarea cheltuielilor bugetare ale UE, iar pentru plafoanele temporare – resursele proprii pentru acoperirea costurilor pentru acoperirea și rambursarea dobânzilor NextGenerationEU (începând din </w:t>
      </w:r>
      <w:r w:rsidRPr="00EF3A3A">
        <w:rPr>
          <w:rFonts w:asciiTheme="majorHAnsi" w:hAnsiTheme="majorHAnsi"/>
          <w:noProof/>
        </w:rPr>
        <w:t>2028</w:t>
      </w:r>
      <w:r>
        <w:rPr>
          <w:rFonts w:asciiTheme="majorHAnsi" w:hAnsiTheme="majorHAnsi"/>
          <w:noProof/>
        </w:rPr>
        <w:t xml:space="preserve">). Această marjă de manevră este necesară pentru a acoperi ieșirile suplimentare legate de posibila materializare a datoriilor contingente și de eventualele credite de plată suplimentare. În comparație cu propunerea Comisiei pentru următorul CFM din iulie </w:t>
      </w:r>
      <w:r w:rsidRPr="00EF3A3A">
        <w:rPr>
          <w:rFonts w:asciiTheme="majorHAnsi" w:hAnsiTheme="majorHAnsi"/>
          <w:noProof/>
        </w:rPr>
        <w:t>2025</w:t>
      </w:r>
      <w:r>
        <w:rPr>
          <w:rFonts w:asciiTheme="majorHAnsi" w:hAnsiTheme="majorHAnsi"/>
          <w:noProof/>
        </w:rPr>
        <w:t xml:space="preserve">, există datorii contingente suplimentare datorate Împrumutului pentru sprijinirea Ucrainei care trebuie acoperite prin marja de manevră (și anume principalul de </w:t>
      </w:r>
      <w:r w:rsidRPr="00EF3A3A">
        <w:rPr>
          <w:rFonts w:asciiTheme="majorHAnsi" w:hAnsiTheme="majorHAnsi"/>
          <w:noProof/>
        </w:rPr>
        <w:t>90</w:t>
      </w:r>
      <w:r>
        <w:rPr>
          <w:rFonts w:asciiTheme="majorHAnsi" w:hAnsiTheme="majorHAnsi"/>
          <w:noProof/>
        </w:rPr>
        <w:t xml:space="preserve"> de miliarde EUR și costurile de finanțare asociate).</w:t>
      </w:r>
    </w:p>
    <w:p w14:paraId="38BA6FDF" w14:textId="77777777" w:rsidR="005A497C" w:rsidRDefault="005A497C" w:rsidP="23B06DA2">
      <w:pPr>
        <w:spacing w:after="120" w:line="276" w:lineRule="auto"/>
        <w:jc w:val="both"/>
        <w:rPr>
          <w:rFonts w:asciiTheme="majorHAnsi" w:hAnsiTheme="majorHAnsi"/>
          <w:noProof/>
        </w:rPr>
      </w:pPr>
    </w:p>
    <w:p w14:paraId="34A9E241" w14:textId="05369CB5" w:rsidR="00861C1C" w:rsidRPr="00F423B9" w:rsidRDefault="003B6DC2">
      <w:pPr>
        <w:pStyle w:val="amprH2TITLE1-Numbered-1"/>
        <w:rPr>
          <w:rFonts w:asciiTheme="majorHAnsi" w:hAnsiTheme="majorHAnsi"/>
          <w:noProof/>
        </w:rPr>
      </w:pPr>
      <w:bookmarkStart w:id="75" w:name="_Toc71745280"/>
      <w:bookmarkStart w:id="76" w:name="_Toc524523073"/>
      <w:bookmarkStart w:id="77" w:name="_Toc235439613"/>
      <w:bookmarkEnd w:id="75"/>
      <w:r>
        <w:rPr>
          <w:rFonts w:asciiTheme="majorHAnsi" w:hAnsiTheme="majorHAnsi"/>
          <w:noProof/>
        </w:rPr>
        <w:t>Concluzii</w:t>
      </w:r>
      <w:bookmarkEnd w:id="76"/>
      <w:bookmarkEnd w:id="77"/>
    </w:p>
    <w:p w14:paraId="1653C95E" w14:textId="77777777" w:rsidR="001A24F3" w:rsidRPr="004334A3" w:rsidRDefault="001A24F3" w:rsidP="004334A3">
      <w:pPr>
        <w:spacing w:after="120" w:line="276" w:lineRule="auto"/>
        <w:jc w:val="both"/>
        <w:rPr>
          <w:rFonts w:asciiTheme="majorHAnsi" w:hAnsiTheme="majorHAnsi"/>
          <w:noProof/>
        </w:rPr>
      </w:pPr>
      <w:r>
        <w:rPr>
          <w:rFonts w:asciiTheme="majorHAnsi" w:hAnsiTheme="majorHAnsi"/>
          <w:noProof/>
        </w:rPr>
        <w:t xml:space="preserve">Previziunile confirmă faptul că plafonul de plăți propus de Comisie pentru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rămâne suficient pentru a acoperi cheltuielile preconizate în prezent pentru întreaga perioadă.</w:t>
      </w:r>
    </w:p>
    <w:p w14:paraId="34C57BB6" w14:textId="77777777" w:rsidR="001A24F3" w:rsidRPr="004334A3" w:rsidRDefault="001A24F3" w:rsidP="004334A3">
      <w:pPr>
        <w:spacing w:after="120" w:line="276" w:lineRule="auto"/>
        <w:jc w:val="both"/>
        <w:rPr>
          <w:rFonts w:asciiTheme="majorHAnsi" w:hAnsiTheme="majorHAnsi"/>
          <w:noProof/>
        </w:rPr>
      </w:pPr>
      <w:r>
        <w:rPr>
          <w:rFonts w:asciiTheme="majorHAnsi" w:hAnsiTheme="majorHAnsi"/>
          <w:noProof/>
        </w:rPr>
        <w:t xml:space="preserve">În comparație cu estimările care stau la baza propunerii Comisiei din iulie </w:t>
      </w:r>
      <w:r w:rsidRPr="00EF3A3A">
        <w:rPr>
          <w:rFonts w:asciiTheme="majorHAnsi" w:hAnsiTheme="majorHAnsi"/>
          <w:noProof/>
        </w:rPr>
        <w:t>2025</w:t>
      </w:r>
      <w:r>
        <w:rPr>
          <w:rFonts w:asciiTheme="majorHAnsi" w:hAnsiTheme="majorHAnsi"/>
          <w:noProof/>
        </w:rPr>
        <w:t xml:space="preserve">, previziunile privind plățile aferente angajamentelor asumate înainte de </w:t>
      </w:r>
      <w:r w:rsidRPr="00EF3A3A">
        <w:rPr>
          <w:rFonts w:asciiTheme="majorHAnsi" w:hAnsiTheme="majorHAnsi"/>
          <w:noProof/>
        </w:rPr>
        <w:t>2028</w:t>
      </w:r>
      <w:r>
        <w:rPr>
          <w:rFonts w:asciiTheme="majorHAnsi" w:hAnsiTheme="majorHAnsi"/>
          <w:noProof/>
        </w:rPr>
        <w:t xml:space="preserve"> au fost revizuite în sens descrescător. Acest lucru reflectă o implementare mai strictă și o execuție mai ridicată a plăților în ultimii ani ai actualului CFM, ceea ce a dus la un stoc mai mic de angajamente restante la sfârșitul anului </w:t>
      </w:r>
      <w:r w:rsidRPr="00EF3A3A">
        <w:rPr>
          <w:rFonts w:asciiTheme="majorHAnsi" w:hAnsiTheme="majorHAnsi"/>
          <w:noProof/>
        </w:rPr>
        <w:t>2027</w:t>
      </w:r>
      <w:r>
        <w:rPr>
          <w:rFonts w:asciiTheme="majorHAnsi" w:hAnsiTheme="majorHAnsi"/>
          <w:noProof/>
        </w:rPr>
        <w:t xml:space="preserve">. Cu toate acestea, profilul plăților care decurg din angajamentele anterioare anului </w:t>
      </w:r>
      <w:r w:rsidRPr="00EF3A3A">
        <w:rPr>
          <w:rFonts w:asciiTheme="majorHAnsi" w:hAnsiTheme="majorHAnsi"/>
          <w:noProof/>
        </w:rPr>
        <w:t>2028</w:t>
      </w:r>
      <w:r>
        <w:rPr>
          <w:rFonts w:asciiTheme="majorHAnsi" w:hAnsiTheme="majorHAnsi"/>
          <w:noProof/>
        </w:rPr>
        <w:t xml:space="preserve"> depinde în continuare de evoluțiile în materie de punere în aplicare din </w:t>
      </w:r>
      <w:r w:rsidRPr="00EF3A3A">
        <w:rPr>
          <w:rFonts w:asciiTheme="majorHAnsi" w:hAnsiTheme="majorHAnsi"/>
          <w:noProof/>
        </w:rPr>
        <w:t>2026</w:t>
      </w:r>
      <w:r>
        <w:rPr>
          <w:rFonts w:asciiTheme="majorHAnsi" w:hAnsiTheme="majorHAnsi"/>
          <w:noProof/>
        </w:rPr>
        <w:t xml:space="preserve"> și </w:t>
      </w:r>
      <w:r w:rsidRPr="00EF3A3A">
        <w:rPr>
          <w:rFonts w:asciiTheme="majorHAnsi" w:hAnsiTheme="majorHAnsi"/>
          <w:noProof/>
        </w:rPr>
        <w:t>2027</w:t>
      </w:r>
      <w:r>
        <w:rPr>
          <w:rFonts w:asciiTheme="majorHAnsi" w:hAnsiTheme="majorHAnsi"/>
          <w:noProof/>
        </w:rPr>
        <w:t>.</w:t>
      </w:r>
    </w:p>
    <w:p w14:paraId="1727B675" w14:textId="3BEE2BF0" w:rsidR="001A24F3" w:rsidRPr="004334A3" w:rsidRDefault="001A24F3">
      <w:pPr>
        <w:spacing w:after="120" w:line="276" w:lineRule="auto"/>
        <w:jc w:val="both"/>
        <w:rPr>
          <w:rFonts w:asciiTheme="majorHAnsi" w:hAnsiTheme="majorHAnsi"/>
          <w:noProof/>
        </w:rPr>
      </w:pPr>
      <w:r>
        <w:rPr>
          <w:rFonts w:asciiTheme="majorHAnsi" w:hAnsiTheme="majorHAnsi"/>
          <w:noProof/>
        </w:rPr>
        <w:t xml:space="preserve">În același timp, previziunile privind plățile legate de programele propuse în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 xml:space="preserve"> continuă să se bazeze pe propunerea Comisiei din </w:t>
      </w:r>
      <w:r w:rsidRPr="00EF3A3A">
        <w:rPr>
          <w:rFonts w:asciiTheme="majorHAnsi" w:hAnsiTheme="majorHAnsi"/>
          <w:noProof/>
        </w:rPr>
        <w:t>2025</w:t>
      </w:r>
      <w:r>
        <w:rPr>
          <w:rFonts w:asciiTheme="majorHAnsi" w:hAnsiTheme="majorHAnsi"/>
          <w:noProof/>
        </w:rPr>
        <w:t>. Întrucât negocierile privind viitorul CFM sunt în curs, parametrii care afectează viitoarele nevoi de plată pot suferi în continuare modificări.</w:t>
      </w:r>
    </w:p>
    <w:p w14:paraId="16060B5B" w14:textId="68EEA722" w:rsidR="001A24F3" w:rsidRPr="004334A3" w:rsidRDefault="00D6464A" w:rsidP="004334A3">
      <w:pPr>
        <w:spacing w:after="120" w:line="276" w:lineRule="auto"/>
        <w:jc w:val="both"/>
        <w:rPr>
          <w:rFonts w:asciiTheme="majorHAnsi" w:hAnsiTheme="majorHAnsi"/>
          <w:noProof/>
        </w:rPr>
      </w:pPr>
      <w:r>
        <w:rPr>
          <w:rFonts w:asciiTheme="majorHAnsi" w:hAnsiTheme="majorHAnsi"/>
          <w:noProof/>
        </w:rPr>
        <w:t xml:space="preserve">Diferențele observate în prezent între nivelul preconizat al plăților și plafonul de plăți propus pot suferi modificări, deoarece cerințele de plată din următorul CFM nu pot fi încă stabilite pe deplin. Reducerea plăților estimate legate de angajamentele asumate înainte de </w:t>
      </w:r>
      <w:r w:rsidRPr="00EF3A3A">
        <w:rPr>
          <w:rFonts w:asciiTheme="majorHAnsi" w:hAnsiTheme="majorHAnsi"/>
          <w:noProof/>
        </w:rPr>
        <w:t>2028</w:t>
      </w:r>
      <w:r>
        <w:rPr>
          <w:rFonts w:asciiTheme="majorHAnsi" w:hAnsiTheme="majorHAnsi"/>
          <w:noProof/>
        </w:rPr>
        <w:t xml:space="preserve"> reflectă informațiile actualizate privind nevoile legate de angajamentele anterioare, în timp ce profilul de plată al programelor viitoare rămâne provizoriu.</w:t>
      </w:r>
    </w:p>
    <w:p w14:paraId="00EE535E" w14:textId="613A13AE" w:rsidR="001A24F3" w:rsidRPr="004334A3" w:rsidRDefault="001A24F3" w:rsidP="001A24F3">
      <w:pPr>
        <w:spacing w:after="120" w:line="276" w:lineRule="auto"/>
        <w:jc w:val="both"/>
        <w:rPr>
          <w:rFonts w:asciiTheme="majorHAnsi" w:hAnsiTheme="majorHAnsi"/>
          <w:noProof/>
        </w:rPr>
      </w:pPr>
      <w:r>
        <w:rPr>
          <w:rFonts w:asciiTheme="majorHAnsi" w:hAnsiTheme="majorHAnsi"/>
          <w:noProof/>
        </w:rPr>
        <w:t xml:space="preserve">Prin urmare, previziunile actuale ar trebui considerate o evaluare intermediară bazată pe propunerea Comisiei și pe informațiile disponibile în această etapă. </w:t>
      </w:r>
    </w:p>
    <w:p w14:paraId="4AF03F3B" w14:textId="6D0C27EA" w:rsidR="004F6A78" w:rsidRPr="004334A3" w:rsidRDefault="004F6A78" w:rsidP="004334A3">
      <w:pPr>
        <w:spacing w:after="120" w:line="276" w:lineRule="auto"/>
        <w:jc w:val="both"/>
        <w:rPr>
          <w:rFonts w:asciiTheme="majorHAnsi" w:hAnsiTheme="majorHAnsi"/>
          <w:noProof/>
        </w:rPr>
      </w:pPr>
      <w:r>
        <w:rPr>
          <w:rFonts w:asciiTheme="majorHAnsi" w:hAnsiTheme="majorHAnsi"/>
          <w:noProof/>
        </w:rPr>
        <w:t xml:space="preserve">Previziunile indică, de asemenea, un nivel mai limitat al angajamentelor restante în raport cu dimensiunea economiei UE și cu viitorul CFM. Această evoluție pozitivă reflectă atât o punere în aplicare mai strictă observată spre sfârșitul actualei perioade de programare, cât și profilul de punere în aplicare din propunerea Comisiei pentru CFM </w:t>
      </w:r>
      <w:r w:rsidRPr="00EF3A3A">
        <w:rPr>
          <w:rFonts w:asciiTheme="majorHAnsi" w:hAnsiTheme="majorHAnsi"/>
          <w:noProof/>
        </w:rPr>
        <w:t>2028</w:t>
      </w:r>
      <w:r>
        <w:rPr>
          <w:rFonts w:asciiTheme="majorHAnsi" w:hAnsiTheme="majorHAnsi"/>
          <w:noProof/>
        </w:rPr>
        <w:t>-</w:t>
      </w:r>
      <w:r w:rsidRPr="00EF3A3A">
        <w:rPr>
          <w:rFonts w:asciiTheme="majorHAnsi" w:hAnsiTheme="majorHAnsi"/>
          <w:noProof/>
        </w:rPr>
        <w:t>2034</w:t>
      </w:r>
      <w:r>
        <w:rPr>
          <w:rFonts w:asciiTheme="majorHAnsi" w:hAnsiTheme="majorHAnsi"/>
          <w:noProof/>
        </w:rPr>
        <w:t>.</w:t>
      </w:r>
    </w:p>
    <w:p w14:paraId="76D1A985" w14:textId="116F78C2" w:rsidR="00861C1C" w:rsidRPr="00F423B9" w:rsidRDefault="005C7748" w:rsidP="005C7748">
      <w:pPr>
        <w:spacing w:after="120" w:line="276" w:lineRule="auto"/>
        <w:jc w:val="both"/>
        <w:rPr>
          <w:rFonts w:asciiTheme="majorHAnsi" w:hAnsiTheme="majorHAnsi"/>
          <w:noProof/>
        </w:rPr>
      </w:pPr>
      <w:r>
        <w:rPr>
          <w:rFonts w:asciiTheme="majorHAnsi" w:hAnsiTheme="majorHAnsi"/>
          <w:noProof/>
        </w:rPr>
        <w:t>Veniturile pentru finanțarea bugetului urmează ciclul de cheltuieli al CFM. Se preconizează că pachetul propus de noi resurse proprii va reduce sarcina asupra contribuțiilor bazate pe TVA și pe VNB ale statelor membre.</w:t>
      </w:r>
    </w:p>
    <w:p w14:paraId="64614B46" w14:textId="77777777" w:rsidR="00861C1C" w:rsidRPr="00F423B9" w:rsidRDefault="00861C1C">
      <w:pPr>
        <w:spacing w:after="120" w:line="276" w:lineRule="auto"/>
        <w:jc w:val="both"/>
        <w:rPr>
          <w:rFonts w:asciiTheme="majorHAnsi" w:hAnsiTheme="majorHAnsi"/>
          <w:noProof/>
        </w:rPr>
        <w:sectPr w:rsidR="00861C1C" w:rsidRPr="00F423B9">
          <w:headerReference w:type="default" r:id="rId26"/>
          <w:footerReference w:type="default" r:id="rId27"/>
          <w:pgSz w:w="11906" w:h="16838"/>
          <w:pgMar w:top="1321" w:right="1151" w:bottom="1440" w:left="1151" w:header="720" w:footer="720" w:gutter="0"/>
          <w:pgNumType w:start="1"/>
          <w:cols w:space="720"/>
          <w:docGrid w:linePitch="326"/>
        </w:sectPr>
      </w:pPr>
    </w:p>
    <w:p w14:paraId="4DF4B46E" w14:textId="1C7E6860" w:rsidR="00861C1C" w:rsidRPr="00F423B9" w:rsidRDefault="00391EE0" w:rsidP="002A00F5">
      <w:pPr>
        <w:pStyle w:val="amprH2TITLE1"/>
        <w:spacing w:after="480"/>
        <w:rPr>
          <w:rFonts w:asciiTheme="majorHAnsi" w:hAnsiTheme="majorHAnsi"/>
          <w:noProof/>
        </w:rPr>
      </w:pPr>
      <w:bookmarkStart w:id="78" w:name="_Toc235439614"/>
      <w:bookmarkStart w:id="79" w:name="_Toc524523074"/>
      <w:bookmarkEnd w:id="70"/>
      <w:r>
        <w:rPr>
          <w:rFonts w:asciiTheme="majorHAnsi" w:hAnsiTheme="majorHAnsi"/>
          <w:noProof/>
        </w:rPr>
        <w:t>Anexa II – Rezultatele prognozei</w:t>
      </w:r>
      <w:bookmarkEnd w:id="78"/>
    </w:p>
    <w:bookmarkEnd w:id="79"/>
    <w:p w14:paraId="1823CB20" w14:textId="1C8DF275" w:rsidR="00EB3BDB" w:rsidRPr="0075144A" w:rsidRDefault="009838C1" w:rsidP="00850C3E">
      <w:pPr>
        <w:pStyle w:val="amprBodyText"/>
        <w:rPr>
          <w:rFonts w:asciiTheme="majorHAnsi" w:hAnsiTheme="majorHAnsi"/>
          <w:b/>
          <w:i/>
          <w:iCs/>
          <w:noProof/>
          <w:sz w:val="22"/>
          <w:szCs w:val="22"/>
        </w:rPr>
      </w:pPr>
      <w:r w:rsidRPr="0075144A">
        <w:rPr>
          <w:rFonts w:asciiTheme="majorHAnsi" w:hAnsiTheme="majorHAnsi"/>
          <w:i/>
          <w:noProof/>
          <w:sz w:val="22"/>
        </w:rPr>
        <w:t>Toate valorile sunt exprimate în miliarde EUR, în prețuri curente, cu excepția cazului în care se prevede altfel. Este posibil ca totalurile să nu corespundă din cauza rotunjirii.</w:t>
      </w:r>
    </w:p>
    <w:p w14:paraId="7CD51858" w14:textId="7FDF45AB" w:rsidR="00861C1C" w:rsidRPr="00EF3A3A" w:rsidRDefault="003B6DC2" w:rsidP="009C6708">
      <w:pPr>
        <w:pStyle w:val="Heading2"/>
        <w:rPr>
          <w:rFonts w:asciiTheme="majorHAnsi" w:hAnsiTheme="majorHAnsi"/>
          <w:noProof/>
        </w:rPr>
      </w:pPr>
      <w:bookmarkStart w:id="80" w:name="_Toc235439615"/>
      <w:r w:rsidRPr="00EF3A3A">
        <w:rPr>
          <w:rFonts w:asciiTheme="majorHAnsi" w:hAnsiTheme="majorHAnsi"/>
          <w:noProof/>
        </w:rPr>
        <w:t xml:space="preserve">Tabelul </w:t>
      </w:r>
      <w:r w:rsidRPr="00EF3A3A">
        <w:rPr>
          <w:rFonts w:asciiTheme="majorHAnsi" w:hAnsiTheme="majorHAnsi"/>
          <w:noProof/>
        </w:rPr>
        <w:fldChar w:fldCharType="begin"/>
      </w:r>
      <w:r w:rsidRPr="00EF3A3A">
        <w:rPr>
          <w:rFonts w:asciiTheme="majorHAnsi" w:hAnsiTheme="majorHAnsi"/>
          <w:noProof/>
        </w:rPr>
        <w:instrText xml:space="preserve"> SEQ Table \* ARABIC </w:instrText>
      </w:r>
      <w:r w:rsidRPr="00EF3A3A">
        <w:rPr>
          <w:rFonts w:asciiTheme="majorHAnsi" w:hAnsiTheme="majorHAnsi"/>
          <w:noProof/>
        </w:rPr>
        <w:fldChar w:fldCharType="separate"/>
      </w:r>
      <w:r w:rsidRPr="00EF3A3A">
        <w:rPr>
          <w:rFonts w:asciiTheme="majorHAnsi" w:hAnsiTheme="majorHAnsi"/>
          <w:noProof/>
        </w:rPr>
        <w:t>1</w:t>
      </w:r>
      <w:r w:rsidRPr="00EF3A3A">
        <w:rPr>
          <w:rFonts w:asciiTheme="majorHAnsi" w:hAnsiTheme="majorHAnsi"/>
          <w:noProof/>
        </w:rPr>
        <w:fldChar w:fldCharType="end"/>
      </w:r>
      <w:r w:rsidRPr="00EF3A3A">
        <w:rPr>
          <w:rFonts w:asciiTheme="majorHAnsi" w:hAnsiTheme="majorHAnsi"/>
          <w:noProof/>
        </w:rPr>
        <w:t>.1 – Prognoza pe termen lung privind viitoarele ieșiri în perioada 2027</w:t>
      </w:r>
      <w:r w:rsidR="00EF3A3A" w:rsidRPr="00EF3A3A">
        <w:rPr>
          <w:rFonts w:asciiTheme="majorHAnsi" w:hAnsiTheme="majorHAnsi"/>
          <w:noProof/>
        </w:rPr>
        <w:t>­</w:t>
      </w:r>
      <w:r w:rsidRPr="00EF3A3A">
        <w:rPr>
          <w:rFonts w:asciiTheme="majorHAnsi" w:hAnsiTheme="majorHAnsi"/>
          <w:noProof/>
        </w:rPr>
        <w:t>2034 pentru CFM</w:t>
      </w:r>
      <w:bookmarkEnd w:id="80"/>
    </w:p>
    <w:tbl>
      <w:tblPr>
        <w:tblStyle w:val="AMPR2021"/>
        <w:tblW w:w="5107" w:type="pct"/>
        <w:tblBorders>
          <w:top w:val="none" w:sz="0" w:space="0" w:color="auto"/>
          <w:insideH w:val="single" w:sz="6" w:space="0" w:color="BFBFBF" w:themeColor="background1" w:themeShade="BF"/>
          <w:insideV w:val="single" w:sz="6" w:space="0" w:color="BFBFBF" w:themeColor="background1" w:themeShade="BF"/>
        </w:tblBorders>
        <w:tblLook w:val="06A0" w:firstRow="1" w:lastRow="0" w:firstColumn="1" w:lastColumn="0" w:noHBand="1" w:noVBand="1"/>
      </w:tblPr>
      <w:tblGrid>
        <w:gridCol w:w="2264"/>
        <w:gridCol w:w="836"/>
        <w:gridCol w:w="838"/>
        <w:gridCol w:w="838"/>
        <w:gridCol w:w="839"/>
        <w:gridCol w:w="839"/>
        <w:gridCol w:w="839"/>
        <w:gridCol w:w="839"/>
        <w:gridCol w:w="839"/>
        <w:gridCol w:w="1059"/>
      </w:tblGrid>
      <w:tr w:rsidR="00607FF2" w:rsidRPr="003501FF" w14:paraId="11D38320" w14:textId="77777777" w:rsidTr="002B1A99">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129" w:type="pct"/>
            <w:vAlign w:val="center"/>
          </w:tcPr>
          <w:p w14:paraId="4D8A7161" w14:textId="495F1621" w:rsidR="00DF371E" w:rsidRPr="002A475F" w:rsidRDefault="00DF371E" w:rsidP="002A475F">
            <w:pPr>
              <w:spacing w:after="120"/>
              <w:rPr>
                <w:rFonts w:asciiTheme="majorHAnsi" w:eastAsia="Calibri" w:hAnsiTheme="majorHAnsi"/>
                <w:bCs/>
                <w:noProof/>
                <w:sz w:val="22"/>
                <w:szCs w:val="22"/>
              </w:rPr>
            </w:pPr>
            <w:r w:rsidRPr="00EF3A3A">
              <w:rPr>
                <w:rFonts w:asciiTheme="majorHAnsi" w:hAnsiTheme="majorHAnsi"/>
                <w:noProof/>
                <w:sz w:val="22"/>
              </w:rPr>
              <w:t>Anul</w:t>
            </w:r>
          </w:p>
        </w:tc>
        <w:tc>
          <w:tcPr>
            <w:tcW w:w="417" w:type="pct"/>
            <w:vAlign w:val="center"/>
          </w:tcPr>
          <w:p w14:paraId="6A0E29DC" w14:textId="0E72E1A6"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2027</w:t>
            </w:r>
          </w:p>
        </w:tc>
        <w:tc>
          <w:tcPr>
            <w:tcW w:w="418" w:type="pct"/>
            <w:vAlign w:val="center"/>
          </w:tcPr>
          <w:p w14:paraId="7ED12D07" w14:textId="124941F6"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EF3A3A">
              <w:rPr>
                <w:noProof/>
                <w:sz w:val="22"/>
              </w:rPr>
              <w:t>2028</w:t>
            </w:r>
          </w:p>
        </w:tc>
        <w:tc>
          <w:tcPr>
            <w:tcW w:w="418" w:type="pct"/>
            <w:vAlign w:val="center"/>
          </w:tcPr>
          <w:p w14:paraId="3C68C61F" w14:textId="48EF938B"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2029</w:t>
            </w:r>
          </w:p>
        </w:tc>
        <w:tc>
          <w:tcPr>
            <w:tcW w:w="418" w:type="pct"/>
            <w:vAlign w:val="center"/>
          </w:tcPr>
          <w:p w14:paraId="1A856E01" w14:textId="471332AE"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2030</w:t>
            </w:r>
          </w:p>
        </w:tc>
        <w:tc>
          <w:tcPr>
            <w:tcW w:w="418" w:type="pct"/>
            <w:vAlign w:val="center"/>
          </w:tcPr>
          <w:p w14:paraId="0BD9CE92" w14:textId="091AAB5A"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2031</w:t>
            </w:r>
          </w:p>
        </w:tc>
        <w:tc>
          <w:tcPr>
            <w:tcW w:w="418" w:type="pct"/>
            <w:vAlign w:val="center"/>
          </w:tcPr>
          <w:p w14:paraId="3DD65EFA" w14:textId="43D76648"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2032</w:t>
            </w:r>
          </w:p>
        </w:tc>
        <w:tc>
          <w:tcPr>
            <w:tcW w:w="418" w:type="pct"/>
            <w:vAlign w:val="center"/>
          </w:tcPr>
          <w:p w14:paraId="64066F8A" w14:textId="5BBB5A89"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2033</w:t>
            </w:r>
          </w:p>
        </w:tc>
        <w:tc>
          <w:tcPr>
            <w:tcW w:w="418" w:type="pct"/>
            <w:vAlign w:val="center"/>
          </w:tcPr>
          <w:p w14:paraId="65F1EF5A" w14:textId="6C88C78D"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2034</w:t>
            </w:r>
          </w:p>
        </w:tc>
        <w:tc>
          <w:tcPr>
            <w:tcW w:w="530" w:type="pct"/>
            <w:vAlign w:val="center"/>
          </w:tcPr>
          <w:p w14:paraId="56FAD1A3" w14:textId="30991BDD" w:rsidR="00DF371E" w:rsidRPr="00EF3A3A"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EF3A3A">
              <w:rPr>
                <w:noProof/>
                <w:sz w:val="22"/>
              </w:rPr>
              <w:t>TOTAL</w:t>
            </w:r>
          </w:p>
        </w:tc>
      </w:tr>
      <w:tr w:rsidR="00EE23F8" w:rsidRPr="00F423B9" w14:paraId="0EC073A7" w14:textId="77777777"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Pr>
          <w:p w14:paraId="4610EFB2" w14:textId="1224D226" w:rsidR="00DF371E" w:rsidRPr="003501FF" w:rsidRDefault="00DF371E" w:rsidP="00DF371E">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Plafonul de angajamente</w:t>
            </w:r>
          </w:p>
        </w:tc>
        <w:tc>
          <w:tcPr>
            <w:tcW w:w="417" w:type="pct"/>
            <w:tcBorders>
              <w:top w:val="single" w:sz="8" w:space="0" w:color="BFBFBF"/>
              <w:left w:val="single" w:sz="8" w:space="0" w:color="BFBFBF"/>
              <w:bottom w:val="single" w:sz="8" w:space="0" w:color="BFBFBF"/>
              <w:right w:val="single" w:sz="8" w:space="0" w:color="BFBFBF"/>
            </w:tcBorders>
            <w:vAlign w:val="center"/>
          </w:tcPr>
          <w:p w14:paraId="29107334" w14:textId="01D4641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188,8</w:t>
            </w:r>
          </w:p>
        </w:tc>
        <w:tc>
          <w:tcPr>
            <w:tcW w:w="418" w:type="pct"/>
            <w:tcBorders>
              <w:top w:val="single" w:sz="8" w:space="0" w:color="BFBFBF"/>
              <w:left w:val="nil"/>
              <w:bottom w:val="single" w:sz="8" w:space="0" w:color="BFBFBF"/>
              <w:right w:val="single" w:sz="8" w:space="0" w:color="BFBFBF"/>
            </w:tcBorders>
            <w:vAlign w:val="center"/>
          </w:tcPr>
          <w:p w14:paraId="77205E2A" w14:textId="4C10CF1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269,5</w:t>
            </w:r>
          </w:p>
        </w:tc>
        <w:tc>
          <w:tcPr>
            <w:tcW w:w="418" w:type="pct"/>
            <w:tcBorders>
              <w:top w:val="single" w:sz="8" w:space="0" w:color="BFBFBF"/>
              <w:left w:val="nil"/>
              <w:bottom w:val="single" w:sz="8" w:space="0" w:color="BFBFBF"/>
              <w:right w:val="single" w:sz="8" w:space="0" w:color="BFBFBF"/>
            </w:tcBorders>
            <w:vAlign w:val="center"/>
          </w:tcPr>
          <w:p w14:paraId="2FC96E04" w14:textId="3BE5DEE1" w:rsidR="00DF371E" w:rsidRPr="0075144A"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i/>
                <w:noProof/>
                <w:color w:val="003399" w:themeColor="text2"/>
              </w:rPr>
            </w:pPr>
            <w:r w:rsidRPr="00EF3A3A">
              <w:rPr>
                <w:b/>
                <w:noProof/>
                <w:color w:val="003399" w:themeColor="text2"/>
              </w:rPr>
              <w:t>282,9</w:t>
            </w:r>
          </w:p>
        </w:tc>
        <w:tc>
          <w:tcPr>
            <w:tcW w:w="418" w:type="pct"/>
            <w:tcBorders>
              <w:top w:val="single" w:sz="8" w:space="0" w:color="BFBFBF"/>
              <w:left w:val="nil"/>
              <w:bottom w:val="single" w:sz="8" w:space="0" w:color="BFBFBF"/>
              <w:right w:val="single" w:sz="8" w:space="0" w:color="BFBFBF"/>
            </w:tcBorders>
            <w:vAlign w:val="center"/>
          </w:tcPr>
          <w:p w14:paraId="5D8E5390" w14:textId="7CA444B0"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283,1</w:t>
            </w:r>
          </w:p>
        </w:tc>
        <w:tc>
          <w:tcPr>
            <w:tcW w:w="418" w:type="pct"/>
            <w:tcBorders>
              <w:top w:val="single" w:sz="8" w:space="0" w:color="BFBFBF"/>
              <w:left w:val="nil"/>
              <w:bottom w:val="single" w:sz="8" w:space="0" w:color="BFBFBF"/>
              <w:right w:val="single" w:sz="8" w:space="0" w:color="BFBFBF"/>
            </w:tcBorders>
            <w:vAlign w:val="center"/>
          </w:tcPr>
          <w:p w14:paraId="3828996C" w14:textId="44EC03CE"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290,4</w:t>
            </w:r>
          </w:p>
        </w:tc>
        <w:tc>
          <w:tcPr>
            <w:tcW w:w="418" w:type="pct"/>
            <w:tcBorders>
              <w:top w:val="single" w:sz="8" w:space="0" w:color="BFBFBF"/>
              <w:left w:val="nil"/>
              <w:bottom w:val="single" w:sz="8" w:space="0" w:color="BFBFBF"/>
              <w:right w:val="single" w:sz="8" w:space="0" w:color="BFBFBF"/>
            </w:tcBorders>
            <w:vAlign w:val="center"/>
          </w:tcPr>
          <w:p w14:paraId="0892A379" w14:textId="2D5AD705"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294,1</w:t>
            </w:r>
          </w:p>
        </w:tc>
        <w:tc>
          <w:tcPr>
            <w:tcW w:w="418" w:type="pct"/>
            <w:tcBorders>
              <w:top w:val="single" w:sz="8" w:space="0" w:color="BFBFBF"/>
              <w:left w:val="nil"/>
              <w:bottom w:val="single" w:sz="8" w:space="0" w:color="BFBFBF"/>
              <w:right w:val="single" w:sz="8" w:space="0" w:color="BFBFBF"/>
            </w:tcBorders>
            <w:vAlign w:val="center"/>
          </w:tcPr>
          <w:p w14:paraId="7C960742" w14:textId="10F7A4D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285,4</w:t>
            </w:r>
          </w:p>
        </w:tc>
        <w:tc>
          <w:tcPr>
            <w:tcW w:w="418" w:type="pct"/>
            <w:tcBorders>
              <w:top w:val="single" w:sz="8" w:space="0" w:color="BFBFBF"/>
              <w:left w:val="nil"/>
              <w:right w:val="single" w:sz="8" w:space="0" w:color="BFBFBF"/>
            </w:tcBorders>
            <w:vAlign w:val="center"/>
          </w:tcPr>
          <w:p w14:paraId="0B80A834" w14:textId="077BDDFF" w:rsidR="00DF371E" w:rsidRPr="0075144A"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i/>
                <w:noProof/>
                <w:color w:val="003399" w:themeColor="text2"/>
              </w:rPr>
            </w:pPr>
            <w:r w:rsidRPr="00EF3A3A">
              <w:rPr>
                <w:b/>
                <w:noProof/>
                <w:color w:val="003399" w:themeColor="text2"/>
              </w:rPr>
              <w:t>279,7</w:t>
            </w:r>
          </w:p>
        </w:tc>
        <w:tc>
          <w:tcPr>
            <w:tcW w:w="530" w:type="pct"/>
            <w:tcBorders>
              <w:top w:val="single" w:sz="8" w:space="0" w:color="BFBFBF"/>
              <w:left w:val="nil"/>
              <w:bottom w:val="single" w:sz="8" w:space="0" w:color="BFBFBF"/>
              <w:right w:val="single" w:sz="8" w:space="0" w:color="BFBFBF"/>
            </w:tcBorders>
            <w:vAlign w:val="center"/>
          </w:tcPr>
          <w:p w14:paraId="27A8B8A6" w14:textId="72EA2B8C" w:rsidR="00DF371E" w:rsidRPr="00EF3A3A" w:rsidRDefault="00DF371E"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sz w:val="22"/>
                <w:szCs w:val="22"/>
              </w:rPr>
            </w:pPr>
            <w:r w:rsidRPr="00EF3A3A">
              <w:rPr>
                <w:b/>
                <w:noProof/>
                <w:sz w:val="22"/>
              </w:rPr>
              <w:t>2</w:t>
            </w:r>
            <w:r w:rsidRPr="00EF3A3A">
              <w:rPr>
                <w:rFonts w:ascii="Calibri" w:hAnsi="Calibri" w:cs="Calibri"/>
                <w:b/>
                <w:noProof/>
                <w:sz w:val="22"/>
              </w:rPr>
              <w:t> </w:t>
            </w:r>
            <w:r w:rsidRPr="00EF3A3A">
              <w:rPr>
                <w:b/>
                <w:noProof/>
                <w:sz w:val="22"/>
              </w:rPr>
              <w:t>173,7</w:t>
            </w:r>
          </w:p>
        </w:tc>
      </w:tr>
      <w:tr w:rsidR="00AF56E4" w:rsidRPr="00F423B9" w14:paraId="5F681BD4" w14:textId="0E9E996B" w:rsidTr="00EA6749">
        <w:trPr>
          <w:trHeight w:val="313"/>
        </w:trPr>
        <w:tc>
          <w:tcPr>
            <w:cnfStyle w:val="001000000000" w:firstRow="0" w:lastRow="0" w:firstColumn="1" w:lastColumn="0" w:oddVBand="0" w:evenVBand="0" w:oddHBand="0" w:evenHBand="0" w:firstRowFirstColumn="0" w:firstRowLastColumn="0" w:lastRowFirstColumn="0" w:lastRowLastColumn="0"/>
            <w:tcW w:w="1129" w:type="pct"/>
            <w:shd w:val="clear" w:color="auto" w:fill="F3F7FF" w:themeFill="background2"/>
          </w:tcPr>
          <w:p w14:paraId="3178286A" w14:textId="77777777" w:rsidR="00DF371E" w:rsidRPr="00F423B9" w:rsidRDefault="00DF371E" w:rsidP="00DF371E">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Plafonul de plăți</w:t>
            </w:r>
          </w:p>
        </w:tc>
        <w:tc>
          <w:tcPr>
            <w:tcW w:w="417" w:type="pct"/>
            <w:tcBorders>
              <w:top w:val="nil"/>
              <w:left w:val="nil"/>
              <w:bottom w:val="single" w:sz="8" w:space="0" w:color="BFBFBF"/>
              <w:right w:val="single" w:sz="8" w:space="0" w:color="BFBFBF"/>
            </w:tcBorders>
            <w:shd w:val="clear" w:color="auto" w:fill="F3F7FF" w:themeFill="background2"/>
            <w:vAlign w:val="center"/>
          </w:tcPr>
          <w:p w14:paraId="6C9D0B33" w14:textId="360025DA"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199,7</w:t>
            </w:r>
          </w:p>
        </w:tc>
        <w:tc>
          <w:tcPr>
            <w:tcW w:w="418" w:type="pct"/>
            <w:tcBorders>
              <w:top w:val="nil"/>
              <w:left w:val="nil"/>
              <w:bottom w:val="single" w:sz="8" w:space="0" w:color="BFBFBF"/>
              <w:right w:val="single" w:sz="8" w:space="0" w:color="BFBFBF"/>
            </w:tcBorders>
            <w:shd w:val="clear" w:color="auto" w:fill="F3F7FF" w:themeFill="background2"/>
            <w:vAlign w:val="center"/>
          </w:tcPr>
          <w:p w14:paraId="5FC39066" w14:textId="3EB8E81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270,0</w:t>
            </w:r>
          </w:p>
        </w:tc>
        <w:tc>
          <w:tcPr>
            <w:tcW w:w="418" w:type="pct"/>
            <w:tcBorders>
              <w:top w:val="nil"/>
              <w:left w:val="nil"/>
              <w:bottom w:val="single" w:sz="8" w:space="0" w:color="BFBFBF"/>
              <w:right w:val="single" w:sz="8" w:space="0" w:color="BFBFBF"/>
            </w:tcBorders>
            <w:shd w:val="clear" w:color="auto" w:fill="F3F7FF" w:themeFill="background2"/>
            <w:vAlign w:val="center"/>
          </w:tcPr>
          <w:p w14:paraId="15A56518" w14:textId="56ACE0FF"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300,7</w:t>
            </w:r>
          </w:p>
        </w:tc>
        <w:tc>
          <w:tcPr>
            <w:tcW w:w="418" w:type="pct"/>
            <w:tcBorders>
              <w:top w:val="nil"/>
              <w:left w:val="nil"/>
              <w:bottom w:val="single" w:sz="8" w:space="0" w:color="BFBFBF"/>
              <w:right w:val="single" w:sz="8" w:space="0" w:color="BFBFBF"/>
            </w:tcBorders>
            <w:shd w:val="clear" w:color="auto" w:fill="F3F7FF" w:themeFill="background2"/>
            <w:vAlign w:val="center"/>
          </w:tcPr>
          <w:p w14:paraId="757053E4" w14:textId="41406F47"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297,1</w:t>
            </w:r>
          </w:p>
        </w:tc>
        <w:tc>
          <w:tcPr>
            <w:tcW w:w="418" w:type="pct"/>
            <w:tcBorders>
              <w:top w:val="nil"/>
              <w:left w:val="nil"/>
              <w:bottom w:val="single" w:sz="8" w:space="0" w:color="BFBFBF"/>
              <w:right w:val="single" w:sz="8" w:space="0" w:color="BFBFBF"/>
            </w:tcBorders>
            <w:shd w:val="clear" w:color="auto" w:fill="F3F7FF" w:themeFill="background2"/>
            <w:vAlign w:val="center"/>
          </w:tcPr>
          <w:p w14:paraId="714F509B" w14:textId="5FF9CC0F"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292,8</w:t>
            </w:r>
          </w:p>
        </w:tc>
        <w:tc>
          <w:tcPr>
            <w:tcW w:w="418" w:type="pct"/>
            <w:tcBorders>
              <w:top w:val="nil"/>
              <w:left w:val="nil"/>
              <w:bottom w:val="single" w:sz="8" w:space="0" w:color="BFBFBF"/>
              <w:right w:val="single" w:sz="8" w:space="0" w:color="BFBFBF"/>
            </w:tcBorders>
            <w:shd w:val="clear" w:color="auto" w:fill="F3F7FF" w:themeFill="background2"/>
            <w:vAlign w:val="center"/>
          </w:tcPr>
          <w:p w14:paraId="0AD4310A" w14:textId="0D16506A"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277,4</w:t>
            </w:r>
          </w:p>
        </w:tc>
        <w:tc>
          <w:tcPr>
            <w:tcW w:w="418" w:type="pct"/>
            <w:tcBorders>
              <w:top w:val="nil"/>
              <w:left w:val="nil"/>
              <w:bottom w:val="single" w:sz="8" w:space="0" w:color="BFBFBF"/>
              <w:right w:val="single" w:sz="8" w:space="0" w:color="BFBFBF"/>
            </w:tcBorders>
            <w:shd w:val="clear" w:color="auto" w:fill="F3F7FF" w:themeFill="background2"/>
            <w:vAlign w:val="center"/>
          </w:tcPr>
          <w:p w14:paraId="096A0150" w14:textId="2C17BABD"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274,7</w:t>
            </w:r>
          </w:p>
        </w:tc>
        <w:tc>
          <w:tcPr>
            <w:tcW w:w="418" w:type="pct"/>
            <w:tcBorders>
              <w:left w:val="nil"/>
              <w:right w:val="single" w:sz="8" w:space="0" w:color="BFBFBF"/>
            </w:tcBorders>
            <w:shd w:val="clear" w:color="auto" w:fill="F3F7FF" w:themeFill="background2"/>
            <w:vAlign w:val="center"/>
          </w:tcPr>
          <w:p w14:paraId="55BF4004" w14:textId="2563C266"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EF3A3A">
              <w:rPr>
                <w:b/>
                <w:noProof/>
                <w:color w:val="003399" w:themeColor="text2"/>
              </w:rPr>
              <w:t>267,5</w:t>
            </w:r>
          </w:p>
        </w:tc>
        <w:tc>
          <w:tcPr>
            <w:tcW w:w="530" w:type="pct"/>
            <w:tcBorders>
              <w:top w:val="nil"/>
              <w:left w:val="nil"/>
              <w:bottom w:val="single" w:sz="8" w:space="0" w:color="BFBFBF"/>
              <w:right w:val="single" w:sz="8" w:space="0" w:color="BFBFBF"/>
            </w:tcBorders>
            <w:shd w:val="clear" w:color="auto" w:fill="F3F7FF" w:themeFill="background2"/>
            <w:vAlign w:val="center"/>
          </w:tcPr>
          <w:p w14:paraId="712E1F63" w14:textId="7AD06CE9" w:rsidR="00DF371E" w:rsidRPr="00EF3A3A" w:rsidRDefault="00DF371E"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EF3A3A">
              <w:rPr>
                <w:b/>
                <w:noProof/>
                <w:sz w:val="22"/>
              </w:rPr>
              <w:t>2</w:t>
            </w:r>
            <w:r w:rsidRPr="00EF3A3A">
              <w:rPr>
                <w:rFonts w:ascii="Calibri" w:hAnsi="Calibri" w:cs="Calibri"/>
                <w:b/>
                <w:noProof/>
                <w:sz w:val="22"/>
              </w:rPr>
              <w:t> </w:t>
            </w:r>
            <w:r w:rsidRPr="00EF3A3A">
              <w:rPr>
                <w:b/>
                <w:noProof/>
                <w:sz w:val="22"/>
              </w:rPr>
              <w:t>179,8</w:t>
            </w:r>
          </w:p>
        </w:tc>
      </w:tr>
      <w:tr w:rsidR="00EE23F8" w:rsidRPr="00F423B9" w14:paraId="1862E808" w14:textId="399A6DFC"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Pr>
          <w:p w14:paraId="1DBD8B65" w14:textId="77777777" w:rsidR="00EE23F8" w:rsidRPr="009C7F46" w:rsidRDefault="00EE23F8" w:rsidP="00EE23F8">
            <w:pPr>
              <w:spacing w:after="120"/>
              <w:rPr>
                <w:rFonts w:asciiTheme="majorHAnsi" w:eastAsia="Calibri" w:hAnsiTheme="majorHAnsi"/>
                <w:b w:val="0"/>
                <w:bCs/>
                <w:noProof/>
                <w:color w:val="003399" w:themeColor="text2"/>
                <w:sz w:val="22"/>
                <w:szCs w:val="22"/>
              </w:rPr>
            </w:pPr>
            <w:r>
              <w:rPr>
                <w:rFonts w:asciiTheme="majorHAnsi" w:hAnsiTheme="majorHAnsi"/>
                <w:b w:val="0"/>
                <w:noProof/>
                <w:color w:val="003399" w:themeColor="text2"/>
                <w:sz w:val="22"/>
              </w:rPr>
              <w:t>Angajamente (programate)*</w:t>
            </w:r>
          </w:p>
        </w:tc>
        <w:tc>
          <w:tcPr>
            <w:tcW w:w="417" w:type="pct"/>
            <w:tcBorders>
              <w:top w:val="nil"/>
              <w:left w:val="nil"/>
              <w:bottom w:val="single" w:sz="8" w:space="0" w:color="BFBFBF"/>
              <w:right w:val="single" w:sz="8" w:space="0" w:color="BFBFBF"/>
            </w:tcBorders>
            <w:vAlign w:val="center"/>
          </w:tcPr>
          <w:p w14:paraId="51A410FC" w14:textId="7F257F72"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199</w:t>
            </w:r>
            <w:r>
              <w:rPr>
                <w:noProof/>
                <w:color w:val="003399" w:themeColor="text2"/>
              </w:rPr>
              <w:t>,</w:t>
            </w:r>
            <w:r w:rsidRPr="00EF3A3A">
              <w:rPr>
                <w:noProof/>
                <w:color w:val="003399" w:themeColor="text2"/>
              </w:rPr>
              <w:t>9</w:t>
            </w:r>
          </w:p>
        </w:tc>
        <w:tc>
          <w:tcPr>
            <w:tcW w:w="418" w:type="pct"/>
            <w:tcBorders>
              <w:top w:val="nil"/>
              <w:left w:val="nil"/>
              <w:bottom w:val="single" w:sz="8" w:space="0" w:color="BFBFBF"/>
              <w:right w:val="single" w:sz="8" w:space="0" w:color="BFBFBF"/>
            </w:tcBorders>
            <w:vAlign w:val="center"/>
          </w:tcPr>
          <w:p w14:paraId="1E2C8597" w14:textId="5C9721B0"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269</w:t>
            </w:r>
            <w:r>
              <w:rPr>
                <w:noProof/>
                <w:color w:val="003399" w:themeColor="text2"/>
              </w:rPr>
              <w:t>,</w:t>
            </w:r>
            <w:r w:rsidRPr="00EF3A3A">
              <w:rPr>
                <w:noProof/>
                <w:color w:val="003399" w:themeColor="text2"/>
              </w:rPr>
              <w:t>5</w:t>
            </w:r>
          </w:p>
        </w:tc>
        <w:tc>
          <w:tcPr>
            <w:tcW w:w="418" w:type="pct"/>
            <w:tcBorders>
              <w:top w:val="nil"/>
              <w:left w:val="nil"/>
              <w:bottom w:val="single" w:sz="8" w:space="0" w:color="BFBFBF"/>
              <w:right w:val="single" w:sz="8" w:space="0" w:color="BFBFBF"/>
            </w:tcBorders>
            <w:vAlign w:val="center"/>
          </w:tcPr>
          <w:p w14:paraId="1EFBD65A" w14:textId="2CF43EB8"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282</w:t>
            </w:r>
            <w:r>
              <w:rPr>
                <w:noProof/>
                <w:color w:val="003399" w:themeColor="text2"/>
              </w:rPr>
              <w:t>,</w:t>
            </w:r>
            <w:r w:rsidRPr="00EF3A3A">
              <w:rPr>
                <w:noProof/>
                <w:color w:val="003399" w:themeColor="text2"/>
              </w:rPr>
              <w:t>9</w:t>
            </w:r>
          </w:p>
        </w:tc>
        <w:tc>
          <w:tcPr>
            <w:tcW w:w="418" w:type="pct"/>
            <w:tcBorders>
              <w:top w:val="nil"/>
              <w:left w:val="nil"/>
              <w:bottom w:val="single" w:sz="8" w:space="0" w:color="BFBFBF"/>
              <w:right w:val="single" w:sz="8" w:space="0" w:color="BFBFBF"/>
            </w:tcBorders>
            <w:vAlign w:val="center"/>
          </w:tcPr>
          <w:p w14:paraId="747A38A2" w14:textId="3116F442"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283</w:t>
            </w:r>
            <w:r>
              <w:rPr>
                <w:noProof/>
                <w:color w:val="003399" w:themeColor="text2"/>
              </w:rPr>
              <w:t>,</w:t>
            </w:r>
            <w:r w:rsidRPr="00EF3A3A">
              <w:rPr>
                <w:noProof/>
                <w:color w:val="003399" w:themeColor="text2"/>
              </w:rPr>
              <w:t>1</w:t>
            </w:r>
          </w:p>
        </w:tc>
        <w:tc>
          <w:tcPr>
            <w:tcW w:w="418" w:type="pct"/>
            <w:tcBorders>
              <w:top w:val="nil"/>
              <w:left w:val="nil"/>
              <w:bottom w:val="single" w:sz="8" w:space="0" w:color="BFBFBF"/>
              <w:right w:val="single" w:sz="8" w:space="0" w:color="BFBFBF"/>
            </w:tcBorders>
            <w:vAlign w:val="center"/>
          </w:tcPr>
          <w:p w14:paraId="0FDB81C3" w14:textId="58A55287"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290</w:t>
            </w:r>
            <w:r>
              <w:rPr>
                <w:noProof/>
                <w:color w:val="003399" w:themeColor="text2"/>
              </w:rPr>
              <w:t>,</w:t>
            </w:r>
            <w:r w:rsidRPr="00EF3A3A">
              <w:rPr>
                <w:noProof/>
                <w:color w:val="003399" w:themeColor="text2"/>
              </w:rPr>
              <w:t>4</w:t>
            </w:r>
          </w:p>
        </w:tc>
        <w:tc>
          <w:tcPr>
            <w:tcW w:w="418" w:type="pct"/>
            <w:tcBorders>
              <w:top w:val="nil"/>
              <w:left w:val="nil"/>
              <w:bottom w:val="single" w:sz="8" w:space="0" w:color="BFBFBF"/>
              <w:right w:val="single" w:sz="8" w:space="0" w:color="BFBFBF"/>
            </w:tcBorders>
            <w:vAlign w:val="center"/>
          </w:tcPr>
          <w:p w14:paraId="730DC052" w14:textId="595BFAFB"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294</w:t>
            </w:r>
            <w:r>
              <w:rPr>
                <w:noProof/>
                <w:color w:val="003399" w:themeColor="text2"/>
              </w:rPr>
              <w:t>,</w:t>
            </w:r>
            <w:r w:rsidRPr="00EF3A3A">
              <w:rPr>
                <w:noProof/>
                <w:color w:val="003399" w:themeColor="text2"/>
              </w:rPr>
              <w:t>1</w:t>
            </w:r>
          </w:p>
        </w:tc>
        <w:tc>
          <w:tcPr>
            <w:tcW w:w="418" w:type="pct"/>
            <w:tcBorders>
              <w:top w:val="nil"/>
              <w:left w:val="nil"/>
              <w:bottom w:val="single" w:sz="8" w:space="0" w:color="BFBFBF"/>
              <w:right w:val="single" w:sz="8" w:space="0" w:color="BFBFBF"/>
            </w:tcBorders>
            <w:vAlign w:val="center"/>
          </w:tcPr>
          <w:p w14:paraId="7198099D" w14:textId="38B84547"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285</w:t>
            </w:r>
            <w:r>
              <w:rPr>
                <w:noProof/>
                <w:color w:val="003399" w:themeColor="text2"/>
              </w:rPr>
              <w:t>,</w:t>
            </w:r>
            <w:r w:rsidRPr="00EF3A3A">
              <w:rPr>
                <w:noProof/>
                <w:color w:val="003399" w:themeColor="text2"/>
              </w:rPr>
              <w:t>4</w:t>
            </w:r>
          </w:p>
        </w:tc>
        <w:tc>
          <w:tcPr>
            <w:tcW w:w="418" w:type="pct"/>
            <w:tcBorders>
              <w:left w:val="nil"/>
              <w:right w:val="single" w:sz="8" w:space="0" w:color="BFBFBF"/>
            </w:tcBorders>
            <w:vAlign w:val="center"/>
          </w:tcPr>
          <w:p w14:paraId="1378B33F" w14:textId="10468352"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279</w:t>
            </w:r>
            <w:r>
              <w:rPr>
                <w:noProof/>
                <w:color w:val="003399" w:themeColor="text2"/>
              </w:rPr>
              <w:t>,</w:t>
            </w:r>
            <w:r w:rsidRPr="00EF3A3A">
              <w:rPr>
                <w:noProof/>
                <w:color w:val="003399" w:themeColor="text2"/>
              </w:rPr>
              <w:t>7</w:t>
            </w:r>
          </w:p>
        </w:tc>
        <w:tc>
          <w:tcPr>
            <w:tcW w:w="530" w:type="pct"/>
            <w:tcBorders>
              <w:top w:val="nil"/>
              <w:left w:val="nil"/>
              <w:bottom w:val="single" w:sz="8" w:space="0" w:color="BFBFBF"/>
              <w:right w:val="single" w:sz="8" w:space="0" w:color="BFBFBF"/>
            </w:tcBorders>
            <w:vAlign w:val="center"/>
          </w:tcPr>
          <w:p w14:paraId="46600046" w14:textId="46DBC396" w:rsidR="00EE23F8" w:rsidRPr="00EF3A3A"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EF3A3A">
              <w:rPr>
                <w:b/>
                <w:noProof/>
                <w:sz w:val="22"/>
              </w:rPr>
              <w:t>2</w:t>
            </w:r>
            <w:r w:rsidRPr="00EF3A3A">
              <w:rPr>
                <w:rFonts w:ascii="Calibri" w:hAnsi="Calibri" w:cs="Calibri"/>
                <w:b/>
                <w:noProof/>
                <w:sz w:val="22"/>
              </w:rPr>
              <w:t> </w:t>
            </w:r>
            <w:r w:rsidRPr="00EF3A3A">
              <w:rPr>
                <w:b/>
                <w:noProof/>
                <w:sz w:val="22"/>
              </w:rPr>
              <w:t>184,8</w:t>
            </w:r>
          </w:p>
        </w:tc>
      </w:tr>
      <w:tr w:rsidR="00AF56E4" w:rsidRPr="00F423B9" w14:paraId="2775948F" w14:textId="18124EBE" w:rsidTr="00EA6749">
        <w:trPr>
          <w:trHeight w:val="313"/>
        </w:trPr>
        <w:tc>
          <w:tcPr>
            <w:cnfStyle w:val="001000000000" w:firstRow="0" w:lastRow="0" w:firstColumn="1" w:lastColumn="0" w:oddVBand="0" w:evenVBand="0" w:oddHBand="0" w:evenHBand="0" w:firstRowFirstColumn="0" w:firstRowLastColumn="0" w:lastRowFirstColumn="0" w:lastRowLastColumn="0"/>
            <w:tcW w:w="1129" w:type="pct"/>
            <w:tcBorders>
              <w:bottom w:val="single" w:sz="6" w:space="0" w:color="BFBFBF" w:themeColor="background1" w:themeShade="BF"/>
            </w:tcBorders>
            <w:shd w:val="clear" w:color="auto" w:fill="F3F7FF" w:themeFill="background2"/>
          </w:tcPr>
          <w:p w14:paraId="256C2DB6" w14:textId="1B373DC8" w:rsidR="00EE23F8" w:rsidRPr="009C7F46" w:rsidRDefault="00EE23F8" w:rsidP="00EE23F8">
            <w:pPr>
              <w:spacing w:after="120"/>
              <w:rPr>
                <w:rFonts w:asciiTheme="majorHAnsi" w:eastAsia="Calibri" w:hAnsiTheme="majorHAnsi"/>
                <w:b w:val="0"/>
                <w:bCs/>
                <w:noProof/>
                <w:color w:val="003399" w:themeColor="text2"/>
                <w:sz w:val="22"/>
                <w:szCs w:val="22"/>
              </w:rPr>
            </w:pPr>
            <w:r>
              <w:rPr>
                <w:rFonts w:asciiTheme="majorHAnsi" w:hAnsiTheme="majorHAnsi"/>
                <w:b w:val="0"/>
                <w:noProof/>
                <w:color w:val="003399" w:themeColor="text2"/>
                <w:sz w:val="22"/>
              </w:rPr>
              <w:t>Plăți previzionate**</w:t>
            </w:r>
          </w:p>
        </w:tc>
        <w:tc>
          <w:tcPr>
            <w:tcW w:w="417" w:type="pct"/>
            <w:tcBorders>
              <w:top w:val="nil"/>
              <w:left w:val="nil"/>
              <w:bottom w:val="single" w:sz="8" w:space="0" w:color="BFBFBF"/>
              <w:right w:val="single" w:sz="8" w:space="0" w:color="BFBFBF"/>
            </w:tcBorders>
            <w:shd w:val="clear" w:color="auto" w:fill="F3F7FF" w:themeFill="background2"/>
            <w:vAlign w:val="center"/>
          </w:tcPr>
          <w:p w14:paraId="090EDE20" w14:textId="7C28A20C"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212</w:t>
            </w:r>
            <w:r>
              <w:rPr>
                <w:noProof/>
                <w:color w:val="003399" w:themeColor="text2"/>
              </w:rPr>
              <w:t>,</w:t>
            </w:r>
            <w:r w:rsidRPr="00EF3A3A">
              <w:rPr>
                <w:noProof/>
                <w:color w:val="003399" w:themeColor="text2"/>
              </w:rPr>
              <w:t>0</w:t>
            </w:r>
          </w:p>
        </w:tc>
        <w:tc>
          <w:tcPr>
            <w:tcW w:w="418" w:type="pct"/>
            <w:tcBorders>
              <w:top w:val="nil"/>
              <w:left w:val="nil"/>
              <w:bottom w:val="single" w:sz="8" w:space="0" w:color="BFBFBF"/>
              <w:right w:val="single" w:sz="8" w:space="0" w:color="BFBFBF"/>
            </w:tcBorders>
            <w:shd w:val="clear" w:color="auto" w:fill="F3F7FF" w:themeFill="background2"/>
            <w:vAlign w:val="center"/>
          </w:tcPr>
          <w:p w14:paraId="1A6C36A3" w14:textId="3DDDAE94"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265</w:t>
            </w:r>
            <w:r>
              <w:rPr>
                <w:noProof/>
                <w:color w:val="003399" w:themeColor="text2"/>
              </w:rPr>
              <w:t>,</w:t>
            </w:r>
            <w:r w:rsidRPr="00EF3A3A">
              <w:rPr>
                <w:noProof/>
                <w:color w:val="003399" w:themeColor="text2"/>
              </w:rPr>
              <w:t>6</w:t>
            </w:r>
          </w:p>
        </w:tc>
        <w:tc>
          <w:tcPr>
            <w:tcW w:w="418" w:type="pct"/>
            <w:tcBorders>
              <w:top w:val="nil"/>
              <w:left w:val="nil"/>
              <w:bottom w:val="single" w:sz="8" w:space="0" w:color="BFBFBF"/>
              <w:right w:val="single" w:sz="8" w:space="0" w:color="BFBFBF"/>
            </w:tcBorders>
            <w:shd w:val="clear" w:color="auto" w:fill="F3F7FF" w:themeFill="background2"/>
            <w:vAlign w:val="center"/>
          </w:tcPr>
          <w:p w14:paraId="1C4723C1" w14:textId="7C7F464B"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284</w:t>
            </w:r>
            <w:r>
              <w:rPr>
                <w:noProof/>
                <w:color w:val="003399" w:themeColor="text2"/>
              </w:rPr>
              <w:t>,</w:t>
            </w:r>
            <w:r w:rsidRPr="00EF3A3A">
              <w:rPr>
                <w:noProof/>
                <w:color w:val="003399" w:themeColor="text2"/>
              </w:rPr>
              <w:t>1</w:t>
            </w:r>
          </w:p>
        </w:tc>
        <w:tc>
          <w:tcPr>
            <w:tcW w:w="418" w:type="pct"/>
            <w:tcBorders>
              <w:top w:val="nil"/>
              <w:left w:val="nil"/>
              <w:bottom w:val="single" w:sz="8" w:space="0" w:color="BFBFBF"/>
              <w:right w:val="single" w:sz="8" w:space="0" w:color="BFBFBF"/>
            </w:tcBorders>
            <w:shd w:val="clear" w:color="auto" w:fill="F3F7FF" w:themeFill="background2"/>
            <w:vAlign w:val="center"/>
          </w:tcPr>
          <w:p w14:paraId="11637B16" w14:textId="39B8A5FB"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310</w:t>
            </w:r>
            <w:r>
              <w:rPr>
                <w:noProof/>
                <w:color w:val="003399" w:themeColor="text2"/>
              </w:rPr>
              <w:t>,</w:t>
            </w:r>
            <w:r w:rsidRPr="00EF3A3A">
              <w:rPr>
                <w:noProof/>
                <w:color w:val="003399" w:themeColor="text2"/>
              </w:rPr>
              <w:t>7</w:t>
            </w:r>
          </w:p>
        </w:tc>
        <w:tc>
          <w:tcPr>
            <w:tcW w:w="418" w:type="pct"/>
            <w:tcBorders>
              <w:top w:val="nil"/>
              <w:left w:val="nil"/>
              <w:bottom w:val="single" w:sz="8" w:space="0" w:color="BFBFBF"/>
              <w:right w:val="single" w:sz="8" w:space="0" w:color="BFBFBF"/>
            </w:tcBorders>
            <w:shd w:val="clear" w:color="auto" w:fill="F3F7FF" w:themeFill="background2"/>
            <w:vAlign w:val="center"/>
          </w:tcPr>
          <w:p w14:paraId="3075A6FA" w14:textId="7BC45609"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272</w:t>
            </w:r>
            <w:r>
              <w:rPr>
                <w:noProof/>
                <w:color w:val="003399" w:themeColor="text2"/>
              </w:rPr>
              <w:t>,</w:t>
            </w:r>
            <w:r w:rsidRPr="00EF3A3A">
              <w:rPr>
                <w:noProof/>
                <w:color w:val="003399" w:themeColor="text2"/>
              </w:rPr>
              <w:t>0</w:t>
            </w:r>
          </w:p>
        </w:tc>
        <w:tc>
          <w:tcPr>
            <w:tcW w:w="418" w:type="pct"/>
            <w:tcBorders>
              <w:top w:val="nil"/>
              <w:left w:val="nil"/>
              <w:bottom w:val="single" w:sz="8" w:space="0" w:color="BFBFBF"/>
              <w:right w:val="single" w:sz="8" w:space="0" w:color="BFBFBF"/>
            </w:tcBorders>
            <w:shd w:val="clear" w:color="auto" w:fill="F3F7FF" w:themeFill="background2"/>
            <w:vAlign w:val="center"/>
          </w:tcPr>
          <w:p w14:paraId="2C939033" w14:textId="36259EE4"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283</w:t>
            </w:r>
            <w:r>
              <w:rPr>
                <w:noProof/>
                <w:color w:val="003399" w:themeColor="text2"/>
              </w:rPr>
              <w:t>,</w:t>
            </w:r>
            <w:r w:rsidRPr="00EF3A3A">
              <w:rPr>
                <w:noProof/>
                <w:color w:val="003399" w:themeColor="text2"/>
              </w:rPr>
              <w:t>4</w:t>
            </w:r>
          </w:p>
        </w:tc>
        <w:tc>
          <w:tcPr>
            <w:tcW w:w="418" w:type="pct"/>
            <w:tcBorders>
              <w:top w:val="nil"/>
              <w:left w:val="nil"/>
              <w:bottom w:val="single" w:sz="8" w:space="0" w:color="BFBFBF"/>
              <w:right w:val="single" w:sz="8" w:space="0" w:color="BFBFBF"/>
            </w:tcBorders>
            <w:shd w:val="clear" w:color="auto" w:fill="F3F7FF" w:themeFill="background2"/>
            <w:vAlign w:val="center"/>
          </w:tcPr>
          <w:p w14:paraId="340FC407" w14:textId="5C4D61F9"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278</w:t>
            </w:r>
            <w:r>
              <w:rPr>
                <w:noProof/>
                <w:color w:val="003399" w:themeColor="text2"/>
              </w:rPr>
              <w:t>,</w:t>
            </w:r>
            <w:r w:rsidRPr="00EF3A3A">
              <w:rPr>
                <w:noProof/>
                <w:color w:val="003399" w:themeColor="text2"/>
              </w:rPr>
              <w:t>5</w:t>
            </w:r>
          </w:p>
        </w:tc>
        <w:tc>
          <w:tcPr>
            <w:tcW w:w="418" w:type="pct"/>
            <w:tcBorders>
              <w:left w:val="nil"/>
              <w:right w:val="single" w:sz="8" w:space="0" w:color="BFBFBF"/>
            </w:tcBorders>
            <w:shd w:val="clear" w:color="auto" w:fill="F3F7FF" w:themeFill="background2"/>
            <w:vAlign w:val="center"/>
          </w:tcPr>
          <w:p w14:paraId="45996A33" w14:textId="1FB482CC"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EF3A3A">
              <w:rPr>
                <w:noProof/>
                <w:color w:val="003399" w:themeColor="text2"/>
              </w:rPr>
              <w:t>267</w:t>
            </w:r>
            <w:r>
              <w:rPr>
                <w:noProof/>
                <w:color w:val="003399" w:themeColor="text2"/>
              </w:rPr>
              <w:t>,</w:t>
            </w:r>
            <w:r w:rsidRPr="00EF3A3A">
              <w:rPr>
                <w:noProof/>
                <w:color w:val="003399" w:themeColor="text2"/>
              </w:rPr>
              <w:t>5</w:t>
            </w:r>
          </w:p>
        </w:tc>
        <w:tc>
          <w:tcPr>
            <w:tcW w:w="530" w:type="pct"/>
            <w:tcBorders>
              <w:top w:val="nil"/>
              <w:left w:val="nil"/>
              <w:bottom w:val="single" w:sz="8" w:space="0" w:color="BFBFBF"/>
              <w:right w:val="single" w:sz="8" w:space="0" w:color="BFBFBF"/>
            </w:tcBorders>
            <w:shd w:val="clear" w:color="auto" w:fill="F3F7FF" w:themeFill="background2"/>
            <w:vAlign w:val="center"/>
          </w:tcPr>
          <w:p w14:paraId="6C0C7774" w14:textId="5EE3C9B4" w:rsidR="00EE23F8" w:rsidRPr="00EF3A3A"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EF3A3A">
              <w:rPr>
                <w:b/>
                <w:noProof/>
                <w:sz w:val="22"/>
              </w:rPr>
              <w:t>2</w:t>
            </w:r>
            <w:r w:rsidRPr="00EF3A3A">
              <w:rPr>
                <w:rFonts w:ascii="Calibri" w:hAnsi="Calibri" w:cs="Calibri"/>
                <w:b/>
                <w:noProof/>
                <w:sz w:val="22"/>
              </w:rPr>
              <w:t> </w:t>
            </w:r>
            <w:r w:rsidRPr="00EF3A3A">
              <w:rPr>
                <w:b/>
                <w:noProof/>
                <w:sz w:val="22"/>
              </w:rPr>
              <w:t>173,9</w:t>
            </w:r>
          </w:p>
        </w:tc>
      </w:tr>
      <w:tr w:rsidR="00EE23F8" w:rsidRPr="00F423B9" w14:paraId="2026525A" w14:textId="5EB3D9FB"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Borders>
              <w:top w:val="single" w:sz="6" w:space="0" w:color="BFBFBF" w:themeColor="background1" w:themeShade="BF"/>
              <w:bottom w:val="nil"/>
            </w:tcBorders>
          </w:tcPr>
          <w:p w14:paraId="64D0EB44" w14:textId="5C3D7C25" w:rsidR="00EE23F8" w:rsidRPr="009C7F46" w:rsidRDefault="00EE23F8" w:rsidP="00EE23F8">
            <w:pPr>
              <w:spacing w:after="120"/>
              <w:rPr>
                <w:rFonts w:asciiTheme="majorHAnsi" w:eastAsia="Calibri" w:hAnsiTheme="majorHAnsi"/>
                <w:b w:val="0"/>
                <w:bCs/>
                <w:i/>
                <w:iCs/>
                <w:noProof/>
                <w:color w:val="003399" w:themeColor="text2"/>
                <w:sz w:val="22"/>
                <w:szCs w:val="22"/>
              </w:rPr>
            </w:pPr>
            <w:r w:rsidRPr="0075144A">
              <w:rPr>
                <w:rFonts w:asciiTheme="majorHAnsi" w:hAnsiTheme="majorHAnsi"/>
                <w:b w:val="0"/>
                <w:i/>
                <w:noProof/>
                <w:color w:val="003399" w:themeColor="text2"/>
                <w:sz w:val="22"/>
              </w:rPr>
              <w:t>Din care instrumente speciale***</w:t>
            </w:r>
          </w:p>
        </w:tc>
        <w:tc>
          <w:tcPr>
            <w:tcW w:w="417" w:type="pct"/>
            <w:tcBorders>
              <w:top w:val="nil"/>
              <w:left w:val="nil"/>
              <w:bottom w:val="single" w:sz="8" w:space="0" w:color="BFBFBF"/>
              <w:right w:val="single" w:sz="8" w:space="0" w:color="BFBFBF"/>
            </w:tcBorders>
            <w:vAlign w:val="center"/>
          </w:tcPr>
          <w:p w14:paraId="37964E8C" w14:textId="6BD497A2"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12,8</w:t>
            </w:r>
          </w:p>
        </w:tc>
        <w:tc>
          <w:tcPr>
            <w:tcW w:w="418" w:type="pct"/>
            <w:tcBorders>
              <w:top w:val="nil"/>
              <w:left w:val="nil"/>
              <w:bottom w:val="single" w:sz="8" w:space="0" w:color="BFBFBF"/>
              <w:right w:val="single" w:sz="8" w:space="0" w:color="BFBFBF"/>
            </w:tcBorders>
            <w:vAlign w:val="center"/>
          </w:tcPr>
          <w:p w14:paraId="1C501678" w14:textId="55CA0FC5"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0,7</w:t>
            </w:r>
          </w:p>
        </w:tc>
        <w:tc>
          <w:tcPr>
            <w:tcW w:w="418" w:type="pct"/>
            <w:tcBorders>
              <w:top w:val="nil"/>
              <w:left w:val="nil"/>
              <w:bottom w:val="single" w:sz="8" w:space="0" w:color="BFBFBF"/>
              <w:right w:val="single" w:sz="8" w:space="0" w:color="BFBFBF"/>
            </w:tcBorders>
            <w:vAlign w:val="center"/>
          </w:tcPr>
          <w:p w14:paraId="129CCC55" w14:textId="43CBE463"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0,3</w:t>
            </w:r>
          </w:p>
        </w:tc>
        <w:tc>
          <w:tcPr>
            <w:tcW w:w="418" w:type="pct"/>
            <w:tcBorders>
              <w:top w:val="nil"/>
              <w:left w:val="nil"/>
              <w:bottom w:val="single" w:sz="8" w:space="0" w:color="BFBFBF"/>
              <w:right w:val="single" w:sz="8" w:space="0" w:color="BFBFBF"/>
            </w:tcBorders>
            <w:vAlign w:val="center"/>
          </w:tcPr>
          <w:p w14:paraId="34BE4F9F" w14:textId="0005926B"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0,0</w:t>
            </w:r>
          </w:p>
        </w:tc>
        <w:tc>
          <w:tcPr>
            <w:tcW w:w="418" w:type="pct"/>
            <w:tcBorders>
              <w:top w:val="nil"/>
              <w:left w:val="nil"/>
              <w:bottom w:val="single" w:sz="8" w:space="0" w:color="BFBFBF"/>
              <w:right w:val="single" w:sz="8" w:space="0" w:color="BFBFBF"/>
            </w:tcBorders>
            <w:vAlign w:val="center"/>
          </w:tcPr>
          <w:p w14:paraId="04014DA6" w14:textId="70CECE49"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0,0</w:t>
            </w:r>
          </w:p>
        </w:tc>
        <w:tc>
          <w:tcPr>
            <w:tcW w:w="418" w:type="pct"/>
            <w:tcBorders>
              <w:top w:val="single" w:sz="8" w:space="0" w:color="BFBFBF"/>
              <w:left w:val="nil"/>
              <w:bottom w:val="single" w:sz="8" w:space="0" w:color="BFBFBF"/>
              <w:right w:val="single" w:sz="8" w:space="0" w:color="BFBFBF"/>
            </w:tcBorders>
            <w:vAlign w:val="center"/>
          </w:tcPr>
          <w:p w14:paraId="410C8656" w14:textId="48CCC84C"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0,0</w:t>
            </w:r>
          </w:p>
        </w:tc>
        <w:tc>
          <w:tcPr>
            <w:tcW w:w="418" w:type="pct"/>
            <w:tcBorders>
              <w:top w:val="single" w:sz="8" w:space="0" w:color="BFBFBF"/>
              <w:left w:val="nil"/>
              <w:bottom w:val="single" w:sz="8" w:space="0" w:color="BFBFBF"/>
              <w:right w:val="single" w:sz="8" w:space="0" w:color="BFBFBF"/>
            </w:tcBorders>
            <w:vAlign w:val="center"/>
          </w:tcPr>
          <w:p w14:paraId="188A7174" w14:textId="732CE419"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0,0</w:t>
            </w:r>
          </w:p>
        </w:tc>
        <w:tc>
          <w:tcPr>
            <w:tcW w:w="418" w:type="pct"/>
            <w:tcBorders>
              <w:left w:val="nil"/>
              <w:bottom w:val="single" w:sz="8" w:space="0" w:color="BFBFBF"/>
              <w:right w:val="single" w:sz="8" w:space="0" w:color="BFBFBF"/>
            </w:tcBorders>
            <w:vAlign w:val="center"/>
          </w:tcPr>
          <w:p w14:paraId="7A87B0D0" w14:textId="1C3780C8"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75144A">
              <w:rPr>
                <w:i/>
                <w:noProof/>
                <w:color w:val="003399" w:themeColor="text2"/>
              </w:rPr>
              <w:t>0,0</w:t>
            </w:r>
          </w:p>
        </w:tc>
        <w:tc>
          <w:tcPr>
            <w:tcW w:w="530" w:type="pct"/>
            <w:tcBorders>
              <w:top w:val="nil"/>
              <w:left w:val="nil"/>
              <w:bottom w:val="single" w:sz="8" w:space="0" w:color="BFBFBF"/>
              <w:right w:val="single" w:sz="8" w:space="0" w:color="BFBFBF"/>
            </w:tcBorders>
            <w:vAlign w:val="center"/>
          </w:tcPr>
          <w:p w14:paraId="4B2F5C3F" w14:textId="56CDF79F" w:rsidR="00EE23F8" w:rsidRPr="0075144A"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i/>
                <w:noProof/>
                <w:sz w:val="22"/>
                <w:szCs w:val="22"/>
              </w:rPr>
            </w:pPr>
            <w:r w:rsidRPr="0075144A">
              <w:rPr>
                <w:b/>
                <w:i/>
                <w:noProof/>
                <w:sz w:val="22"/>
              </w:rPr>
              <w:t>13,8</w:t>
            </w:r>
          </w:p>
        </w:tc>
      </w:tr>
    </w:tbl>
    <w:p w14:paraId="7DE43EE3" w14:textId="69EC2D2F" w:rsidR="00E50A59" w:rsidRPr="0075144A" w:rsidRDefault="00E50A59" w:rsidP="00682537">
      <w:pPr>
        <w:rPr>
          <w:rFonts w:asciiTheme="majorHAnsi" w:hAnsiTheme="majorHAnsi"/>
          <w:i/>
          <w:noProof/>
          <w:sz w:val="16"/>
          <w:szCs w:val="16"/>
        </w:rPr>
      </w:pPr>
      <w:r w:rsidRPr="0075144A">
        <w:rPr>
          <w:rFonts w:asciiTheme="majorHAnsi" w:hAnsiTheme="majorHAnsi"/>
          <w:i/>
          <w:noProof/>
          <w:sz w:val="16"/>
        </w:rPr>
        <w:t>* În conformitate cu proiectul de buget pentru 2027 pentru anul 2027, care include alocarea din Rezerva pentru Ucraina și alocările prevăzute la articolul 5 din Regulamentul privind CFM și la articolul 15 alineatul (3) din Regulamentul financiar.</w:t>
      </w:r>
    </w:p>
    <w:p w14:paraId="1C8E939C" w14:textId="36EA2EE4" w:rsidR="0049492C" w:rsidRPr="0075144A" w:rsidRDefault="0049492C" w:rsidP="00682537">
      <w:pPr>
        <w:rPr>
          <w:rFonts w:asciiTheme="majorHAnsi" w:hAnsiTheme="majorHAnsi"/>
          <w:i/>
          <w:noProof/>
          <w:sz w:val="16"/>
          <w:szCs w:val="16"/>
        </w:rPr>
      </w:pPr>
      <w:r w:rsidRPr="0075144A">
        <w:rPr>
          <w:rFonts w:asciiTheme="majorHAnsi" w:hAnsiTheme="majorHAnsi"/>
          <w:i/>
          <w:noProof/>
          <w:sz w:val="16"/>
        </w:rPr>
        <w:t>** Sumele alocate instrumentelor speciale în 2027 acoperă rezerva pentru solidaritate și ajutoare de urgență, Fondul european de ajustare la globalizare, Rezerva de ajustare la Brexit, Rezerva pentru Ucraina, Instrumentul EURI și Instrumentul de flexibilitate. Pentru anii următori, sunt incluse numai plățile aferente angajamentelor restante pentru Instrumentul de flexibilitate și Rezerva pentru Ucraina, inclusiv pentru costul serviciului datoriei aferent Împrumutului pentru sprijinirea Ucrainei. În tabelele următoare, plățile legate de mobilizarea instrumentelor speciale sunt incluse în rubricile respective.</w:t>
      </w:r>
    </w:p>
    <w:p w14:paraId="79320A34" w14:textId="25530B46" w:rsidR="00861C1C" w:rsidRPr="00F423B9" w:rsidRDefault="003B6DC2" w:rsidP="00682537">
      <w:pPr>
        <w:rPr>
          <w:rFonts w:asciiTheme="majorHAnsi" w:hAnsiTheme="majorHAnsi"/>
          <w:noProof/>
        </w:rPr>
      </w:pPr>
      <w:r>
        <w:rPr>
          <w:noProof/>
        </w:rPr>
        <w:br w:type="page"/>
      </w:r>
    </w:p>
    <w:p w14:paraId="0FBE5FFC" w14:textId="3DE49242" w:rsidR="00861C1C" w:rsidRPr="00EF3A3A" w:rsidRDefault="003B6DC2" w:rsidP="009C6708">
      <w:pPr>
        <w:pStyle w:val="Heading2"/>
        <w:rPr>
          <w:rFonts w:asciiTheme="majorHAnsi" w:hAnsiTheme="majorHAnsi"/>
          <w:noProof/>
        </w:rPr>
      </w:pPr>
      <w:bookmarkStart w:id="81" w:name="_Toc235439616"/>
      <w:r w:rsidRPr="00EF3A3A">
        <w:rPr>
          <w:rFonts w:asciiTheme="majorHAnsi" w:hAnsiTheme="majorHAnsi"/>
          <w:noProof/>
        </w:rPr>
        <w:t>Tabelul 1.2 – Plăți legate de angajamentele din CFM pentru perioada 2021-2027</w:t>
      </w:r>
      <w:bookmarkEnd w:id="81"/>
    </w:p>
    <w:tbl>
      <w:tblPr>
        <w:tblStyle w:val="AMPR2021"/>
        <w:tblW w:w="5000"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CellMar>
          <w:left w:w="85" w:type="dxa"/>
        </w:tblCellMar>
        <w:tblLook w:val="06A0" w:firstRow="1" w:lastRow="0" w:firstColumn="1" w:lastColumn="0" w:noHBand="1" w:noVBand="1"/>
      </w:tblPr>
      <w:tblGrid>
        <w:gridCol w:w="2744"/>
        <w:gridCol w:w="881"/>
        <w:gridCol w:w="882"/>
        <w:gridCol w:w="882"/>
        <w:gridCol w:w="882"/>
        <w:gridCol w:w="882"/>
        <w:gridCol w:w="882"/>
        <w:gridCol w:w="882"/>
        <w:gridCol w:w="880"/>
      </w:tblGrid>
      <w:tr w:rsidR="00586721" w:rsidRPr="00F423B9" w14:paraId="1CF6F3CB" w14:textId="77777777" w:rsidTr="005C046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01" w:type="pct"/>
          </w:tcPr>
          <w:p w14:paraId="1574FA07" w14:textId="77777777" w:rsidR="007A66F5" w:rsidRPr="00F423B9" w:rsidRDefault="007A66F5" w:rsidP="00EC5FD9">
            <w:pPr>
              <w:spacing w:after="120"/>
              <w:rPr>
                <w:rFonts w:asciiTheme="majorHAnsi" w:eastAsia="Calibri" w:hAnsiTheme="majorHAnsi"/>
                <w:b w:val="0"/>
                <w:bCs/>
                <w:noProof/>
                <w:sz w:val="22"/>
                <w:szCs w:val="22"/>
              </w:rPr>
            </w:pPr>
            <w:r w:rsidRPr="00EF3A3A">
              <w:rPr>
                <w:rFonts w:asciiTheme="majorHAnsi" w:hAnsiTheme="majorHAnsi"/>
                <w:noProof/>
                <w:sz w:val="22"/>
              </w:rPr>
              <w:t>Rubrica CFM</w:t>
            </w:r>
          </w:p>
        </w:tc>
        <w:tc>
          <w:tcPr>
            <w:tcW w:w="450" w:type="pct"/>
            <w:vAlign w:val="center"/>
          </w:tcPr>
          <w:p w14:paraId="7FBCCDB7" w14:textId="0243364A"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EF3A3A">
              <w:rPr>
                <w:rFonts w:asciiTheme="majorHAnsi" w:hAnsiTheme="majorHAnsi"/>
                <w:noProof/>
                <w:sz w:val="22"/>
              </w:rPr>
              <w:t>2027</w:t>
            </w:r>
          </w:p>
        </w:tc>
        <w:tc>
          <w:tcPr>
            <w:tcW w:w="450" w:type="pct"/>
            <w:vAlign w:val="center"/>
          </w:tcPr>
          <w:p w14:paraId="092CD79A" w14:textId="678653E7"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EF3A3A">
              <w:rPr>
                <w:rFonts w:asciiTheme="majorHAnsi" w:hAnsiTheme="majorHAnsi"/>
                <w:noProof/>
                <w:sz w:val="22"/>
              </w:rPr>
              <w:t>2028</w:t>
            </w:r>
          </w:p>
        </w:tc>
        <w:tc>
          <w:tcPr>
            <w:tcW w:w="450" w:type="pct"/>
            <w:vAlign w:val="center"/>
          </w:tcPr>
          <w:p w14:paraId="1857D4A3" w14:textId="274DA667"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EF3A3A">
              <w:rPr>
                <w:rFonts w:asciiTheme="majorHAnsi" w:hAnsiTheme="majorHAnsi"/>
                <w:noProof/>
                <w:sz w:val="22"/>
              </w:rPr>
              <w:t>2029</w:t>
            </w:r>
          </w:p>
        </w:tc>
        <w:tc>
          <w:tcPr>
            <w:tcW w:w="450" w:type="pct"/>
            <w:vAlign w:val="center"/>
          </w:tcPr>
          <w:p w14:paraId="156891D6" w14:textId="68F593F5"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EF3A3A">
              <w:rPr>
                <w:rFonts w:asciiTheme="majorHAnsi" w:hAnsiTheme="majorHAnsi"/>
                <w:noProof/>
                <w:sz w:val="22"/>
              </w:rPr>
              <w:t>2030</w:t>
            </w:r>
          </w:p>
        </w:tc>
        <w:tc>
          <w:tcPr>
            <w:tcW w:w="450" w:type="pct"/>
            <w:vAlign w:val="center"/>
          </w:tcPr>
          <w:p w14:paraId="0AA8455E" w14:textId="6A87CCF1"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EF3A3A">
              <w:rPr>
                <w:rFonts w:asciiTheme="majorHAnsi" w:hAnsiTheme="majorHAnsi"/>
                <w:noProof/>
                <w:sz w:val="22"/>
              </w:rPr>
              <w:t>2031</w:t>
            </w:r>
          </w:p>
        </w:tc>
        <w:tc>
          <w:tcPr>
            <w:tcW w:w="450" w:type="pct"/>
            <w:vAlign w:val="center"/>
          </w:tcPr>
          <w:p w14:paraId="2AEEFDBF" w14:textId="4E9D3307"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EF3A3A">
              <w:rPr>
                <w:rFonts w:asciiTheme="majorHAnsi" w:hAnsiTheme="majorHAnsi"/>
                <w:noProof/>
                <w:sz w:val="22"/>
              </w:rPr>
              <w:t>2032</w:t>
            </w:r>
          </w:p>
        </w:tc>
        <w:tc>
          <w:tcPr>
            <w:tcW w:w="450" w:type="pct"/>
            <w:vAlign w:val="center"/>
          </w:tcPr>
          <w:p w14:paraId="6F555AF4" w14:textId="10FCDE71"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EF3A3A">
              <w:rPr>
                <w:rFonts w:asciiTheme="majorHAnsi" w:hAnsiTheme="majorHAnsi"/>
                <w:noProof/>
                <w:sz w:val="22"/>
              </w:rPr>
              <w:t>2033</w:t>
            </w:r>
          </w:p>
        </w:tc>
        <w:tc>
          <w:tcPr>
            <w:tcW w:w="449" w:type="pct"/>
            <w:vAlign w:val="center"/>
          </w:tcPr>
          <w:p w14:paraId="7C8532B3" w14:textId="3B48B505"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EF3A3A">
              <w:rPr>
                <w:rFonts w:asciiTheme="majorHAnsi" w:hAnsiTheme="majorHAnsi"/>
                <w:noProof/>
                <w:sz w:val="22"/>
              </w:rPr>
              <w:t>Total</w:t>
            </w:r>
          </w:p>
        </w:tc>
      </w:tr>
      <w:tr w:rsidR="00871143" w:rsidRPr="00F423B9" w14:paraId="06E36101"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48F3627A" w14:textId="77777777" w:rsidR="007A66F5" w:rsidRPr="00F423B9" w:rsidRDefault="007A66F5" w:rsidP="00EE3626">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1 Piața unică, inovare și sectorul digital</w:t>
            </w:r>
          </w:p>
        </w:tc>
        <w:tc>
          <w:tcPr>
            <w:tcW w:w="450" w:type="pct"/>
            <w:tcBorders>
              <w:top w:val="single" w:sz="8" w:space="0" w:color="BFBFBF"/>
              <w:left w:val="nil"/>
              <w:bottom w:val="single" w:sz="8" w:space="0" w:color="BFBFBF"/>
              <w:right w:val="single" w:sz="8" w:space="0" w:color="BFBFBF"/>
            </w:tcBorders>
            <w:vAlign w:val="center"/>
          </w:tcPr>
          <w:p w14:paraId="32DE1894" w14:textId="0187C2B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22,1</w:t>
            </w:r>
          </w:p>
        </w:tc>
        <w:tc>
          <w:tcPr>
            <w:tcW w:w="450" w:type="pct"/>
            <w:tcBorders>
              <w:top w:val="single" w:sz="8" w:space="0" w:color="BFBFBF"/>
              <w:left w:val="nil"/>
              <w:bottom w:val="single" w:sz="8" w:space="0" w:color="BFBFBF"/>
              <w:right w:val="single" w:sz="8" w:space="0" w:color="BFBFBF"/>
            </w:tcBorders>
            <w:vAlign w:val="center"/>
          </w:tcPr>
          <w:p w14:paraId="0D61A1C9" w14:textId="6C97E0AC"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16,5</w:t>
            </w:r>
          </w:p>
        </w:tc>
        <w:tc>
          <w:tcPr>
            <w:tcW w:w="450" w:type="pct"/>
            <w:tcBorders>
              <w:top w:val="single" w:sz="8" w:space="0" w:color="BFBFBF"/>
              <w:left w:val="nil"/>
              <w:bottom w:val="single" w:sz="8" w:space="0" w:color="BFBFBF"/>
              <w:right w:val="single" w:sz="8" w:space="0" w:color="BFBFBF"/>
            </w:tcBorders>
            <w:vAlign w:val="center"/>
          </w:tcPr>
          <w:p w14:paraId="75886273" w14:textId="19931E99"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8,3</w:t>
            </w:r>
          </w:p>
        </w:tc>
        <w:tc>
          <w:tcPr>
            <w:tcW w:w="450" w:type="pct"/>
            <w:tcBorders>
              <w:top w:val="single" w:sz="8" w:space="0" w:color="BFBFBF"/>
              <w:left w:val="nil"/>
              <w:bottom w:val="single" w:sz="8" w:space="0" w:color="BFBFBF"/>
              <w:right w:val="single" w:sz="8" w:space="0" w:color="BFBFBF"/>
            </w:tcBorders>
            <w:vAlign w:val="center"/>
          </w:tcPr>
          <w:p w14:paraId="4848F78B" w14:textId="3C098DA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6,5</w:t>
            </w:r>
          </w:p>
        </w:tc>
        <w:tc>
          <w:tcPr>
            <w:tcW w:w="450" w:type="pct"/>
            <w:tcBorders>
              <w:top w:val="single" w:sz="8" w:space="0" w:color="BFBFBF"/>
              <w:left w:val="nil"/>
              <w:bottom w:val="single" w:sz="8" w:space="0" w:color="BFBFBF"/>
              <w:right w:val="single" w:sz="8" w:space="0" w:color="BFBFBF"/>
            </w:tcBorders>
            <w:vAlign w:val="center"/>
          </w:tcPr>
          <w:p w14:paraId="22679B3C" w14:textId="558C10BD"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3,1</w:t>
            </w:r>
          </w:p>
        </w:tc>
        <w:tc>
          <w:tcPr>
            <w:tcW w:w="450" w:type="pct"/>
            <w:tcBorders>
              <w:top w:val="single" w:sz="8" w:space="0" w:color="BFBFBF"/>
              <w:left w:val="nil"/>
              <w:bottom w:val="single" w:sz="8" w:space="0" w:color="BFBFBF"/>
              <w:right w:val="single" w:sz="8" w:space="0" w:color="BFBFBF"/>
            </w:tcBorders>
            <w:vAlign w:val="center"/>
          </w:tcPr>
          <w:p w14:paraId="3001A67F" w14:textId="796B1107"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3,5</w:t>
            </w:r>
          </w:p>
        </w:tc>
        <w:tc>
          <w:tcPr>
            <w:tcW w:w="450" w:type="pct"/>
            <w:tcBorders>
              <w:top w:val="single" w:sz="8" w:space="0" w:color="BFBFBF"/>
              <w:left w:val="nil"/>
              <w:bottom w:val="single" w:sz="8" w:space="0" w:color="BFBFBF"/>
              <w:right w:val="single" w:sz="8" w:space="0" w:color="BFBFBF"/>
            </w:tcBorders>
            <w:vAlign w:val="center"/>
          </w:tcPr>
          <w:p w14:paraId="3C8D1B1D" w14:textId="1B7928BD"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1,5</w:t>
            </w:r>
          </w:p>
        </w:tc>
        <w:tc>
          <w:tcPr>
            <w:tcW w:w="449" w:type="pct"/>
            <w:tcBorders>
              <w:top w:val="single" w:sz="8" w:space="0" w:color="BFBFBF"/>
              <w:left w:val="nil"/>
              <w:bottom w:val="single" w:sz="8" w:space="0" w:color="BFBFBF"/>
              <w:right w:val="nil"/>
            </w:tcBorders>
            <w:vAlign w:val="center"/>
          </w:tcPr>
          <w:p w14:paraId="0C35CC18" w14:textId="121CA36B"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61,5</w:t>
            </w:r>
          </w:p>
        </w:tc>
      </w:tr>
      <w:tr w:rsidR="00871143" w:rsidRPr="00F423B9" w14:paraId="47854F47"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5C0D2440" w14:textId="77777777" w:rsidR="007A66F5" w:rsidRPr="00F423B9" w:rsidRDefault="007A66F5" w:rsidP="00D212B3">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2 Coeziune, reziliență și valori</w:t>
            </w:r>
          </w:p>
        </w:tc>
        <w:tc>
          <w:tcPr>
            <w:tcW w:w="450" w:type="pct"/>
            <w:tcBorders>
              <w:top w:val="nil"/>
              <w:left w:val="nil"/>
              <w:bottom w:val="single" w:sz="8" w:space="0" w:color="BFBFBF"/>
              <w:right w:val="single" w:sz="8" w:space="0" w:color="BFBFBF"/>
            </w:tcBorders>
            <w:shd w:val="clear" w:color="auto" w:fill="F3F7FF" w:themeFill="background2"/>
            <w:vAlign w:val="center"/>
          </w:tcPr>
          <w:p w14:paraId="11D7BA19" w14:textId="310F7C5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81,8</w:t>
            </w:r>
          </w:p>
        </w:tc>
        <w:tc>
          <w:tcPr>
            <w:tcW w:w="450" w:type="pct"/>
            <w:tcBorders>
              <w:top w:val="nil"/>
              <w:left w:val="nil"/>
              <w:bottom w:val="single" w:sz="8" w:space="0" w:color="BFBFBF"/>
              <w:right w:val="single" w:sz="8" w:space="0" w:color="BFBFBF"/>
            </w:tcBorders>
            <w:shd w:val="clear" w:color="auto" w:fill="F3F7FF" w:themeFill="background2"/>
            <w:vAlign w:val="center"/>
          </w:tcPr>
          <w:p w14:paraId="1C0B0C47" w14:textId="6FB601A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69,0</w:t>
            </w:r>
          </w:p>
        </w:tc>
        <w:tc>
          <w:tcPr>
            <w:tcW w:w="450" w:type="pct"/>
            <w:tcBorders>
              <w:top w:val="nil"/>
              <w:left w:val="nil"/>
              <w:bottom w:val="single" w:sz="8" w:space="0" w:color="BFBFBF"/>
              <w:right w:val="single" w:sz="8" w:space="0" w:color="BFBFBF"/>
            </w:tcBorders>
            <w:shd w:val="clear" w:color="auto" w:fill="F3F7FF" w:themeFill="background2"/>
            <w:vAlign w:val="center"/>
          </w:tcPr>
          <w:p w14:paraId="6EE2C64C" w14:textId="346A764E"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57,9</w:t>
            </w:r>
          </w:p>
        </w:tc>
        <w:tc>
          <w:tcPr>
            <w:tcW w:w="450" w:type="pct"/>
            <w:tcBorders>
              <w:top w:val="nil"/>
              <w:left w:val="nil"/>
              <w:bottom w:val="single" w:sz="8" w:space="0" w:color="BFBFBF"/>
              <w:right w:val="single" w:sz="8" w:space="0" w:color="BFBFBF"/>
            </w:tcBorders>
            <w:shd w:val="clear" w:color="auto" w:fill="F3F7FF" w:themeFill="background2"/>
            <w:vAlign w:val="center"/>
          </w:tcPr>
          <w:p w14:paraId="137F418C" w14:textId="734953F1"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53,4</w:t>
            </w:r>
          </w:p>
        </w:tc>
        <w:tc>
          <w:tcPr>
            <w:tcW w:w="450" w:type="pct"/>
            <w:tcBorders>
              <w:top w:val="nil"/>
              <w:left w:val="nil"/>
              <w:bottom w:val="single" w:sz="8" w:space="0" w:color="BFBFBF"/>
              <w:right w:val="single" w:sz="8" w:space="0" w:color="BFBFBF"/>
            </w:tcBorders>
            <w:shd w:val="clear" w:color="auto" w:fill="F3F7FF" w:themeFill="background2"/>
            <w:vAlign w:val="center"/>
          </w:tcPr>
          <w:p w14:paraId="16926FBC" w14:textId="5F263AF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5,1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7150BAB" w14:textId="58AFE2BA"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0,9</w:t>
            </w:r>
          </w:p>
        </w:tc>
        <w:tc>
          <w:tcPr>
            <w:tcW w:w="450" w:type="pct"/>
            <w:tcBorders>
              <w:top w:val="nil"/>
              <w:left w:val="nil"/>
              <w:bottom w:val="single" w:sz="8" w:space="0" w:color="BFBFBF"/>
              <w:right w:val="single" w:sz="8" w:space="0" w:color="BFBFBF"/>
            </w:tcBorders>
            <w:shd w:val="clear" w:color="auto" w:fill="F3F7FF" w:themeFill="background2"/>
            <w:vAlign w:val="center"/>
          </w:tcPr>
          <w:p w14:paraId="2B3B9F95" w14:textId="6E99D5B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0,4</w:t>
            </w:r>
          </w:p>
        </w:tc>
        <w:tc>
          <w:tcPr>
            <w:tcW w:w="449" w:type="pct"/>
            <w:tcBorders>
              <w:top w:val="nil"/>
              <w:left w:val="nil"/>
              <w:bottom w:val="single" w:sz="8" w:space="0" w:color="BFBFBF"/>
              <w:right w:val="nil"/>
            </w:tcBorders>
            <w:shd w:val="clear" w:color="auto" w:fill="F3F7FF" w:themeFill="background2"/>
            <w:vAlign w:val="center"/>
          </w:tcPr>
          <w:p w14:paraId="0CDE4EE5" w14:textId="1EA950CF"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268,5</w:t>
            </w:r>
          </w:p>
        </w:tc>
      </w:tr>
      <w:tr w:rsidR="00871143" w:rsidRPr="00F423B9" w14:paraId="0D40747B"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603F3773"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EF3A3A">
              <w:rPr>
                <w:rFonts w:asciiTheme="majorHAnsi" w:hAnsiTheme="majorHAnsi"/>
                <w:b w:val="0"/>
                <w:noProof/>
                <w:color w:val="003399" w:themeColor="text2"/>
                <w:sz w:val="22"/>
              </w:rPr>
              <w:t>2</w:t>
            </w:r>
            <w:r>
              <w:rPr>
                <w:rFonts w:asciiTheme="majorHAnsi" w:hAnsiTheme="majorHAnsi"/>
                <w:b w:val="0"/>
                <w:noProof/>
                <w:color w:val="003399" w:themeColor="text2"/>
                <w:sz w:val="22"/>
              </w:rPr>
              <w:t>.</w:t>
            </w:r>
            <w:r w:rsidRPr="00EF3A3A">
              <w:rPr>
                <w:rFonts w:asciiTheme="majorHAnsi" w:hAnsiTheme="majorHAnsi"/>
                <w:b w:val="0"/>
                <w:noProof/>
                <w:color w:val="003399" w:themeColor="text2"/>
                <w:sz w:val="22"/>
              </w:rPr>
              <w:t>1</w:t>
            </w:r>
            <w:r>
              <w:rPr>
                <w:rFonts w:asciiTheme="majorHAnsi" w:hAnsiTheme="majorHAnsi"/>
                <w:b w:val="0"/>
                <w:noProof/>
                <w:color w:val="003399" w:themeColor="text2"/>
                <w:sz w:val="22"/>
              </w:rPr>
              <w:t xml:space="preserve"> Coeziune economică, socială și teritorială</w:t>
            </w:r>
          </w:p>
        </w:tc>
        <w:tc>
          <w:tcPr>
            <w:tcW w:w="450" w:type="pct"/>
            <w:tcBorders>
              <w:top w:val="nil"/>
              <w:left w:val="nil"/>
              <w:bottom w:val="single" w:sz="8" w:space="0" w:color="BFBFBF"/>
              <w:right w:val="single" w:sz="8" w:space="0" w:color="BFBFBF"/>
            </w:tcBorders>
            <w:shd w:val="clear" w:color="auto" w:fill="F3F7FF" w:themeFill="background2"/>
            <w:vAlign w:val="center"/>
          </w:tcPr>
          <w:p w14:paraId="6F0E4137" w14:textId="231362B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64</w:t>
            </w:r>
            <w:r>
              <w:rPr>
                <w:rFonts w:asciiTheme="minorHAnsi" w:hAnsiTheme="minorHAnsi"/>
                <w:noProof/>
                <w:color w:val="003399" w:themeColor="text2"/>
              </w:rPr>
              <w:t>,</w:t>
            </w:r>
            <w:r w:rsidRPr="00EF3A3A">
              <w:rPr>
                <w:rFonts w:asciiTheme="minorHAnsi" w:hAnsiTheme="minorHAnsi"/>
                <w:noProof/>
                <w:color w:val="003399" w:themeColor="text2"/>
              </w:rPr>
              <w:t>7</w:t>
            </w:r>
          </w:p>
        </w:tc>
        <w:tc>
          <w:tcPr>
            <w:tcW w:w="450" w:type="pct"/>
            <w:tcBorders>
              <w:top w:val="nil"/>
              <w:left w:val="nil"/>
              <w:bottom w:val="single" w:sz="8" w:space="0" w:color="BFBFBF"/>
              <w:right w:val="single" w:sz="8" w:space="0" w:color="BFBFBF"/>
            </w:tcBorders>
            <w:shd w:val="clear" w:color="auto" w:fill="F3F7FF" w:themeFill="background2"/>
            <w:vAlign w:val="center"/>
          </w:tcPr>
          <w:p w14:paraId="10E8BF8A" w14:textId="608DE200"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66</w:t>
            </w:r>
            <w:r>
              <w:rPr>
                <w:rFonts w:asciiTheme="minorHAnsi" w:hAnsiTheme="minorHAnsi"/>
                <w:noProof/>
                <w:color w:val="003399" w:themeColor="text2"/>
              </w:rPr>
              <w:t>,</w:t>
            </w:r>
            <w:r w:rsidRPr="00EF3A3A">
              <w:rPr>
                <w:rFonts w:asciiTheme="minorHAnsi" w:hAnsiTheme="minorHAnsi"/>
                <w:noProof/>
                <w:color w:val="003399" w:themeColor="text2"/>
              </w:rPr>
              <w:t>5</w:t>
            </w:r>
          </w:p>
        </w:tc>
        <w:tc>
          <w:tcPr>
            <w:tcW w:w="450" w:type="pct"/>
            <w:tcBorders>
              <w:top w:val="nil"/>
              <w:left w:val="nil"/>
              <w:bottom w:val="single" w:sz="8" w:space="0" w:color="BFBFBF"/>
              <w:right w:val="single" w:sz="8" w:space="0" w:color="BFBFBF"/>
            </w:tcBorders>
            <w:shd w:val="clear" w:color="auto" w:fill="F3F7FF" w:themeFill="background2"/>
            <w:vAlign w:val="center"/>
          </w:tcPr>
          <w:p w14:paraId="4C08BB9E" w14:textId="3E23FAC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56</w:t>
            </w:r>
            <w:r>
              <w:rPr>
                <w:rFonts w:asciiTheme="minorHAnsi" w:hAnsiTheme="minorHAnsi"/>
                <w:noProof/>
                <w:color w:val="003399" w:themeColor="text2"/>
              </w:rPr>
              <w:t>,</w:t>
            </w:r>
            <w:r w:rsidRPr="00EF3A3A">
              <w:rPr>
                <w:rFonts w:asciiTheme="minorHAnsi" w:hAnsiTheme="minorHAnsi"/>
                <w:noProof/>
                <w:color w:val="003399" w:themeColor="text2"/>
              </w:rPr>
              <w:t>6</w:t>
            </w:r>
          </w:p>
        </w:tc>
        <w:tc>
          <w:tcPr>
            <w:tcW w:w="450" w:type="pct"/>
            <w:tcBorders>
              <w:top w:val="nil"/>
              <w:left w:val="nil"/>
              <w:bottom w:val="single" w:sz="8" w:space="0" w:color="BFBFBF"/>
              <w:right w:val="single" w:sz="8" w:space="0" w:color="BFBFBF"/>
            </w:tcBorders>
            <w:shd w:val="clear" w:color="auto" w:fill="F3F7FF" w:themeFill="background2"/>
            <w:vAlign w:val="center"/>
          </w:tcPr>
          <w:p w14:paraId="0952F2D8" w14:textId="0559A4C1"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noProof/>
                <w:color w:val="003399" w:themeColor="text2"/>
              </w:rPr>
              <w:t>52</w:t>
            </w:r>
            <w:r>
              <w:rPr>
                <w:rFonts w:asciiTheme="minorHAnsi" w:hAnsiTheme="minorHAnsi"/>
                <w:noProof/>
                <w:color w:val="003399" w:themeColor="text2"/>
              </w:rPr>
              <w:t>,</w:t>
            </w:r>
            <w:r w:rsidRPr="00EF3A3A">
              <w:rPr>
                <w:rFonts w:asciiTheme="minorHAnsi" w:hAnsiTheme="minorHAnsi"/>
                <w:noProof/>
                <w:color w:val="003399" w:themeColor="text2"/>
              </w:rPr>
              <w:t>7</w:t>
            </w:r>
          </w:p>
        </w:tc>
        <w:tc>
          <w:tcPr>
            <w:tcW w:w="450" w:type="pct"/>
            <w:tcBorders>
              <w:top w:val="nil"/>
              <w:left w:val="nil"/>
              <w:bottom w:val="single" w:sz="8" w:space="0" w:color="BFBFBF"/>
              <w:right w:val="single" w:sz="8" w:space="0" w:color="BFBFBF"/>
            </w:tcBorders>
            <w:shd w:val="clear" w:color="auto" w:fill="F3F7FF" w:themeFill="background2"/>
            <w:vAlign w:val="center"/>
          </w:tcPr>
          <w:p w14:paraId="6F219BC0" w14:textId="5B123383"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5</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50" w:type="pct"/>
            <w:tcBorders>
              <w:top w:val="nil"/>
              <w:left w:val="nil"/>
              <w:bottom w:val="single" w:sz="8" w:space="0" w:color="BFBFBF"/>
              <w:right w:val="single" w:sz="8" w:space="0" w:color="BFBFBF"/>
            </w:tcBorders>
            <w:shd w:val="clear" w:color="auto" w:fill="F3F7FF" w:themeFill="background2"/>
            <w:vAlign w:val="center"/>
          </w:tcPr>
          <w:p w14:paraId="403046C8" w14:textId="644F19A8"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7</w:t>
            </w:r>
          </w:p>
        </w:tc>
        <w:tc>
          <w:tcPr>
            <w:tcW w:w="450" w:type="pct"/>
            <w:tcBorders>
              <w:top w:val="nil"/>
              <w:left w:val="nil"/>
              <w:bottom w:val="single" w:sz="8" w:space="0" w:color="BFBFBF"/>
              <w:right w:val="single" w:sz="8" w:space="0" w:color="BFBFBF"/>
            </w:tcBorders>
            <w:shd w:val="clear" w:color="auto" w:fill="F3F7FF" w:themeFill="background2"/>
            <w:vAlign w:val="center"/>
          </w:tcPr>
          <w:p w14:paraId="5F0C5E95" w14:textId="49981F8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3</w:t>
            </w:r>
          </w:p>
        </w:tc>
        <w:tc>
          <w:tcPr>
            <w:tcW w:w="449" w:type="pct"/>
            <w:tcBorders>
              <w:top w:val="nil"/>
              <w:left w:val="nil"/>
              <w:bottom w:val="single" w:sz="8" w:space="0" w:color="BFBFBF"/>
              <w:right w:val="nil"/>
            </w:tcBorders>
            <w:shd w:val="clear" w:color="auto" w:fill="F3F7FF" w:themeFill="background2"/>
            <w:vAlign w:val="center"/>
          </w:tcPr>
          <w:p w14:paraId="061275DE" w14:textId="6BFEE558"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246,5</w:t>
            </w:r>
          </w:p>
        </w:tc>
      </w:tr>
      <w:tr w:rsidR="00871143" w:rsidRPr="00F423B9" w14:paraId="7CAF976F"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7CC15A50"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EF3A3A">
              <w:rPr>
                <w:rFonts w:asciiTheme="majorHAnsi" w:hAnsiTheme="majorHAnsi"/>
                <w:b w:val="0"/>
                <w:noProof/>
                <w:color w:val="003399" w:themeColor="text2"/>
                <w:sz w:val="22"/>
              </w:rPr>
              <w:t>2</w:t>
            </w:r>
            <w:r>
              <w:rPr>
                <w:rFonts w:asciiTheme="majorHAnsi" w:hAnsiTheme="majorHAnsi"/>
                <w:b w:val="0"/>
                <w:noProof/>
                <w:color w:val="003399" w:themeColor="text2"/>
                <w:sz w:val="22"/>
              </w:rPr>
              <w:t>.</w:t>
            </w:r>
            <w:r w:rsidRPr="00EF3A3A">
              <w:rPr>
                <w:rFonts w:asciiTheme="majorHAnsi" w:hAnsiTheme="majorHAnsi"/>
                <w:b w:val="0"/>
                <w:noProof/>
                <w:color w:val="003399" w:themeColor="text2"/>
                <w:sz w:val="22"/>
              </w:rPr>
              <w:t>2</w:t>
            </w:r>
            <w:r>
              <w:rPr>
                <w:rFonts w:asciiTheme="majorHAnsi" w:hAnsiTheme="majorHAnsi"/>
                <w:b w:val="0"/>
                <w:noProof/>
                <w:color w:val="003399" w:themeColor="text2"/>
                <w:sz w:val="22"/>
              </w:rPr>
              <w:t xml:space="preserve"> Reziliență și valori</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C1C8D0" w14:textId="10152FA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17</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450" w:type="pct"/>
            <w:tcBorders>
              <w:top w:val="nil"/>
              <w:left w:val="nil"/>
              <w:bottom w:val="single" w:sz="8" w:space="0" w:color="BFBFBF"/>
              <w:right w:val="single" w:sz="8" w:space="0" w:color="BFBFBF"/>
            </w:tcBorders>
            <w:shd w:val="clear" w:color="auto" w:fill="F3F7FF" w:themeFill="background2"/>
            <w:vAlign w:val="center"/>
          </w:tcPr>
          <w:p w14:paraId="5441CD78" w14:textId="2CB1569C"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2</w:t>
            </w:r>
            <w:r>
              <w:rPr>
                <w:rFonts w:asciiTheme="minorHAnsi" w:hAnsiTheme="minorHAnsi"/>
                <w:noProof/>
                <w:color w:val="003399" w:themeColor="text2"/>
              </w:rPr>
              <w:t>,</w:t>
            </w:r>
            <w:r w:rsidRPr="00EF3A3A">
              <w:rPr>
                <w:rFonts w:asciiTheme="minorHAnsi" w:hAnsiTheme="minorHAnsi"/>
                <w:noProof/>
                <w:color w:val="003399" w:themeColor="text2"/>
              </w:rPr>
              <w:t>5</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7462CF" w14:textId="2A54590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1</w:t>
            </w:r>
            <w:r>
              <w:rPr>
                <w:rFonts w:asciiTheme="minorHAnsi" w:hAnsiTheme="minorHAnsi"/>
                <w:noProof/>
                <w:color w:val="003399" w:themeColor="text2"/>
              </w:rPr>
              <w:t>,</w:t>
            </w:r>
            <w:r w:rsidRPr="00EF3A3A">
              <w:rPr>
                <w:rFonts w:asciiTheme="minorHAnsi" w:hAnsiTheme="minorHAnsi"/>
                <w:noProof/>
                <w:color w:val="003399" w:themeColor="text2"/>
              </w:rPr>
              <w:t>4</w:t>
            </w:r>
          </w:p>
        </w:tc>
        <w:tc>
          <w:tcPr>
            <w:tcW w:w="450" w:type="pct"/>
            <w:tcBorders>
              <w:top w:val="nil"/>
              <w:left w:val="nil"/>
              <w:bottom w:val="single" w:sz="8" w:space="0" w:color="BFBFBF"/>
              <w:right w:val="single" w:sz="8" w:space="0" w:color="BFBFBF"/>
            </w:tcBorders>
            <w:shd w:val="clear" w:color="auto" w:fill="F3F7FF" w:themeFill="background2"/>
            <w:vAlign w:val="center"/>
          </w:tcPr>
          <w:p w14:paraId="6D1BCE12" w14:textId="00E8C195"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7</w:t>
            </w:r>
          </w:p>
        </w:tc>
        <w:tc>
          <w:tcPr>
            <w:tcW w:w="450" w:type="pct"/>
            <w:tcBorders>
              <w:top w:val="nil"/>
              <w:left w:val="nil"/>
              <w:bottom w:val="single" w:sz="8" w:space="0" w:color="BFBFBF"/>
              <w:right w:val="single" w:sz="8" w:space="0" w:color="BFBFBF"/>
            </w:tcBorders>
            <w:shd w:val="clear" w:color="auto" w:fill="F3F7FF" w:themeFill="background2"/>
            <w:vAlign w:val="center"/>
          </w:tcPr>
          <w:p w14:paraId="46914057" w14:textId="7C5728A6"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C19C33" w14:textId="36BF5900"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2</w:t>
            </w:r>
          </w:p>
        </w:tc>
        <w:tc>
          <w:tcPr>
            <w:tcW w:w="450" w:type="pct"/>
            <w:tcBorders>
              <w:top w:val="nil"/>
              <w:left w:val="nil"/>
              <w:bottom w:val="single" w:sz="8" w:space="0" w:color="BFBFBF"/>
              <w:right w:val="single" w:sz="8" w:space="0" w:color="BFBFBF"/>
            </w:tcBorders>
            <w:shd w:val="clear" w:color="auto" w:fill="F3F7FF" w:themeFill="background2"/>
            <w:vAlign w:val="center"/>
          </w:tcPr>
          <w:p w14:paraId="71728B76" w14:textId="65C61B35"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449" w:type="pct"/>
            <w:tcBorders>
              <w:top w:val="nil"/>
              <w:left w:val="nil"/>
              <w:bottom w:val="single" w:sz="8" w:space="0" w:color="BFBFBF"/>
              <w:right w:val="nil"/>
            </w:tcBorders>
            <w:shd w:val="clear" w:color="auto" w:fill="F3F7FF" w:themeFill="background2"/>
            <w:vAlign w:val="center"/>
          </w:tcPr>
          <w:p w14:paraId="3AFFA6D2" w14:textId="7C0EA1A8"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22,0</w:t>
            </w:r>
          </w:p>
        </w:tc>
      </w:tr>
      <w:tr w:rsidR="00871143" w:rsidRPr="00F423B9" w14:paraId="668AF3D8"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75172A9" w14:textId="77777777" w:rsidR="007A66F5" w:rsidRPr="00F423B9" w:rsidRDefault="007A66F5" w:rsidP="00D212B3">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3 Resurse naturale și mediu</w:t>
            </w:r>
          </w:p>
        </w:tc>
        <w:tc>
          <w:tcPr>
            <w:tcW w:w="450" w:type="pct"/>
            <w:tcBorders>
              <w:top w:val="nil"/>
              <w:left w:val="nil"/>
              <w:bottom w:val="single" w:sz="8" w:space="0" w:color="BFBFBF"/>
              <w:right w:val="single" w:sz="8" w:space="0" w:color="BFBFBF"/>
            </w:tcBorders>
            <w:vAlign w:val="center"/>
          </w:tcPr>
          <w:p w14:paraId="1D716D7D" w14:textId="3793D16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61,4</w:t>
            </w:r>
          </w:p>
        </w:tc>
        <w:tc>
          <w:tcPr>
            <w:tcW w:w="450" w:type="pct"/>
            <w:tcBorders>
              <w:top w:val="nil"/>
              <w:left w:val="nil"/>
              <w:bottom w:val="single" w:sz="8" w:space="0" w:color="BFBFBF"/>
              <w:right w:val="single" w:sz="8" w:space="0" w:color="BFBFBF"/>
            </w:tcBorders>
            <w:vAlign w:val="center"/>
          </w:tcPr>
          <w:p w14:paraId="238228B5" w14:textId="585CAF54"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17,9</w:t>
            </w:r>
          </w:p>
        </w:tc>
        <w:tc>
          <w:tcPr>
            <w:tcW w:w="450" w:type="pct"/>
            <w:tcBorders>
              <w:top w:val="nil"/>
              <w:left w:val="nil"/>
              <w:bottom w:val="single" w:sz="8" w:space="0" w:color="BFBFBF"/>
              <w:right w:val="single" w:sz="8" w:space="0" w:color="BFBFBF"/>
            </w:tcBorders>
            <w:vAlign w:val="center"/>
          </w:tcPr>
          <w:p w14:paraId="5360687E" w14:textId="76BF08B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13,8</w:t>
            </w:r>
          </w:p>
        </w:tc>
        <w:tc>
          <w:tcPr>
            <w:tcW w:w="450" w:type="pct"/>
            <w:tcBorders>
              <w:top w:val="nil"/>
              <w:left w:val="nil"/>
              <w:bottom w:val="single" w:sz="8" w:space="0" w:color="BFBFBF"/>
              <w:right w:val="single" w:sz="8" w:space="0" w:color="BFBFBF"/>
            </w:tcBorders>
            <w:vAlign w:val="center"/>
          </w:tcPr>
          <w:p w14:paraId="4063E511" w14:textId="19BF826C"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2,4</w:t>
            </w:r>
          </w:p>
        </w:tc>
        <w:tc>
          <w:tcPr>
            <w:tcW w:w="450" w:type="pct"/>
            <w:tcBorders>
              <w:top w:val="nil"/>
              <w:left w:val="nil"/>
              <w:bottom w:val="single" w:sz="8" w:space="0" w:color="BFBFBF"/>
              <w:right w:val="single" w:sz="8" w:space="0" w:color="BFBFBF"/>
            </w:tcBorders>
            <w:vAlign w:val="center"/>
          </w:tcPr>
          <w:p w14:paraId="7BAF45B5" w14:textId="62FB269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2,4</w:t>
            </w:r>
          </w:p>
        </w:tc>
        <w:tc>
          <w:tcPr>
            <w:tcW w:w="450" w:type="pct"/>
            <w:tcBorders>
              <w:top w:val="nil"/>
              <w:left w:val="nil"/>
              <w:bottom w:val="single" w:sz="8" w:space="0" w:color="BFBFBF"/>
              <w:right w:val="single" w:sz="8" w:space="0" w:color="BFBFBF"/>
            </w:tcBorders>
            <w:vAlign w:val="center"/>
          </w:tcPr>
          <w:p w14:paraId="70D7A65D" w14:textId="5804B2B8"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0,4</w:t>
            </w:r>
          </w:p>
        </w:tc>
        <w:tc>
          <w:tcPr>
            <w:tcW w:w="450" w:type="pct"/>
            <w:tcBorders>
              <w:top w:val="nil"/>
              <w:left w:val="nil"/>
              <w:bottom w:val="single" w:sz="8" w:space="0" w:color="BFBFBF"/>
              <w:right w:val="single" w:sz="8" w:space="0" w:color="BFBFBF"/>
            </w:tcBorders>
            <w:vAlign w:val="center"/>
          </w:tcPr>
          <w:p w14:paraId="2B9C7002" w14:textId="47490F57"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0,2</w:t>
            </w:r>
          </w:p>
        </w:tc>
        <w:tc>
          <w:tcPr>
            <w:tcW w:w="449" w:type="pct"/>
            <w:tcBorders>
              <w:top w:val="nil"/>
              <w:left w:val="nil"/>
              <w:bottom w:val="single" w:sz="8" w:space="0" w:color="BFBFBF"/>
              <w:right w:val="nil"/>
            </w:tcBorders>
            <w:vAlign w:val="center"/>
          </w:tcPr>
          <w:p w14:paraId="34958137" w14:textId="58DE55EB"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98,5</w:t>
            </w:r>
          </w:p>
        </w:tc>
      </w:tr>
      <w:tr w:rsidR="00871143" w:rsidRPr="00F423B9" w14:paraId="784A411F"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BB98FA4"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EF3A3A">
              <w:rPr>
                <w:rFonts w:asciiTheme="majorHAnsi" w:hAnsiTheme="majorHAnsi"/>
                <w:b w:val="0"/>
                <w:noProof/>
                <w:color w:val="003399" w:themeColor="text2"/>
                <w:sz w:val="22"/>
              </w:rPr>
              <w:t>3</w:t>
            </w:r>
            <w:r>
              <w:rPr>
                <w:rFonts w:asciiTheme="majorHAnsi" w:hAnsiTheme="majorHAnsi"/>
                <w:b w:val="0"/>
                <w:noProof/>
                <w:color w:val="003399" w:themeColor="text2"/>
                <w:sz w:val="22"/>
              </w:rPr>
              <w:t>.</w:t>
            </w:r>
            <w:r w:rsidRPr="00EF3A3A">
              <w:rPr>
                <w:rFonts w:asciiTheme="majorHAnsi" w:hAnsiTheme="majorHAnsi"/>
                <w:b w:val="0"/>
                <w:noProof/>
                <w:color w:val="003399" w:themeColor="text2"/>
                <w:sz w:val="22"/>
              </w:rPr>
              <w:t>1</w:t>
            </w:r>
            <w:r>
              <w:rPr>
                <w:rFonts w:asciiTheme="majorHAnsi" w:hAnsiTheme="majorHAnsi"/>
                <w:b w:val="0"/>
                <w:noProof/>
                <w:color w:val="003399" w:themeColor="text2"/>
                <w:sz w:val="22"/>
              </w:rPr>
              <w:t xml:space="preserve"> Cheltuieli de piață și plăți directe</w:t>
            </w:r>
          </w:p>
        </w:tc>
        <w:tc>
          <w:tcPr>
            <w:tcW w:w="450" w:type="pct"/>
            <w:tcBorders>
              <w:top w:val="nil"/>
              <w:left w:val="nil"/>
              <w:bottom w:val="single" w:sz="8" w:space="0" w:color="BFBFBF"/>
              <w:right w:val="single" w:sz="8" w:space="0" w:color="BFBFBF"/>
            </w:tcBorders>
            <w:vAlign w:val="center"/>
          </w:tcPr>
          <w:p w14:paraId="1D5BBC59" w14:textId="77A30630"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40</w:t>
            </w:r>
            <w:r>
              <w:rPr>
                <w:rFonts w:asciiTheme="minorHAnsi" w:hAnsiTheme="minorHAnsi"/>
                <w:noProof/>
                <w:color w:val="003399" w:themeColor="text2"/>
              </w:rPr>
              <w:t>,</w:t>
            </w:r>
            <w:r w:rsidRPr="00EF3A3A">
              <w:rPr>
                <w:rFonts w:asciiTheme="minorHAnsi" w:hAnsiTheme="minorHAnsi"/>
                <w:noProof/>
                <w:color w:val="003399" w:themeColor="text2"/>
              </w:rPr>
              <w:t>6</w:t>
            </w:r>
          </w:p>
        </w:tc>
        <w:tc>
          <w:tcPr>
            <w:tcW w:w="450" w:type="pct"/>
            <w:tcBorders>
              <w:top w:val="nil"/>
              <w:left w:val="nil"/>
              <w:bottom w:val="single" w:sz="8" w:space="0" w:color="BFBFBF"/>
              <w:right w:val="single" w:sz="8" w:space="0" w:color="BFBFBF"/>
            </w:tcBorders>
            <w:vAlign w:val="center"/>
          </w:tcPr>
          <w:p w14:paraId="63556DA2" w14:textId="649305F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2</w:t>
            </w:r>
          </w:p>
        </w:tc>
        <w:tc>
          <w:tcPr>
            <w:tcW w:w="450" w:type="pct"/>
            <w:tcBorders>
              <w:top w:val="nil"/>
              <w:left w:val="nil"/>
              <w:bottom w:val="single" w:sz="8" w:space="0" w:color="BFBFBF"/>
              <w:right w:val="single" w:sz="8" w:space="0" w:color="BFBFBF"/>
            </w:tcBorders>
            <w:vAlign w:val="center"/>
          </w:tcPr>
          <w:p w14:paraId="5F5BCEBE" w14:textId="7759B125"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450" w:type="pct"/>
            <w:tcBorders>
              <w:top w:val="nil"/>
              <w:left w:val="nil"/>
              <w:bottom w:val="single" w:sz="8" w:space="0" w:color="BFBFBF"/>
              <w:right w:val="single" w:sz="8" w:space="0" w:color="BFBFBF"/>
            </w:tcBorders>
            <w:vAlign w:val="center"/>
          </w:tcPr>
          <w:p w14:paraId="621F0361" w14:textId="46EDCA6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50" w:type="pct"/>
            <w:tcBorders>
              <w:top w:val="nil"/>
              <w:left w:val="nil"/>
              <w:bottom w:val="single" w:sz="8" w:space="0" w:color="BFBFBF"/>
              <w:right w:val="single" w:sz="8" w:space="0" w:color="BFBFBF"/>
            </w:tcBorders>
            <w:vAlign w:val="center"/>
          </w:tcPr>
          <w:p w14:paraId="3BE4AC6A" w14:textId="2B7ADC43"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50" w:type="pct"/>
            <w:tcBorders>
              <w:top w:val="nil"/>
              <w:left w:val="nil"/>
              <w:bottom w:val="single" w:sz="8" w:space="0" w:color="BFBFBF"/>
              <w:right w:val="single" w:sz="8" w:space="0" w:color="BFBFBF"/>
            </w:tcBorders>
            <w:vAlign w:val="center"/>
          </w:tcPr>
          <w:p w14:paraId="3208C43F" w14:textId="2360C012"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50" w:type="pct"/>
            <w:tcBorders>
              <w:top w:val="nil"/>
              <w:left w:val="nil"/>
              <w:bottom w:val="single" w:sz="8" w:space="0" w:color="BFBFBF"/>
              <w:right w:val="single" w:sz="8" w:space="0" w:color="BFBFBF"/>
            </w:tcBorders>
            <w:vAlign w:val="center"/>
          </w:tcPr>
          <w:p w14:paraId="19FAA1CD" w14:textId="51B5423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9" w:type="pct"/>
            <w:tcBorders>
              <w:top w:val="nil"/>
              <w:left w:val="nil"/>
              <w:bottom w:val="single" w:sz="8" w:space="0" w:color="BFBFBF"/>
              <w:right w:val="nil"/>
            </w:tcBorders>
            <w:vAlign w:val="center"/>
          </w:tcPr>
          <w:p w14:paraId="601748A1" w14:textId="31B90880"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40,9</w:t>
            </w:r>
          </w:p>
        </w:tc>
      </w:tr>
      <w:tr w:rsidR="00871143" w:rsidRPr="00F423B9" w14:paraId="550EEA50"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53B12D09"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EF3A3A">
              <w:rPr>
                <w:rFonts w:asciiTheme="majorHAnsi" w:hAnsiTheme="majorHAnsi"/>
                <w:b w:val="0"/>
                <w:noProof/>
                <w:color w:val="003399" w:themeColor="text2"/>
                <w:sz w:val="22"/>
              </w:rPr>
              <w:t>3</w:t>
            </w:r>
            <w:r>
              <w:rPr>
                <w:rFonts w:asciiTheme="majorHAnsi" w:hAnsiTheme="majorHAnsi"/>
                <w:b w:val="0"/>
                <w:noProof/>
                <w:color w:val="003399" w:themeColor="text2"/>
                <w:sz w:val="22"/>
              </w:rPr>
              <w:t>.</w:t>
            </w:r>
            <w:r w:rsidRPr="00EF3A3A">
              <w:rPr>
                <w:rFonts w:asciiTheme="majorHAnsi" w:hAnsiTheme="majorHAnsi"/>
                <w:b w:val="0"/>
                <w:noProof/>
                <w:color w:val="003399" w:themeColor="text2"/>
                <w:sz w:val="22"/>
              </w:rPr>
              <w:t>2</w:t>
            </w:r>
            <w:r>
              <w:rPr>
                <w:rFonts w:asciiTheme="majorHAnsi" w:hAnsiTheme="majorHAnsi"/>
                <w:b w:val="0"/>
                <w:noProof/>
                <w:color w:val="003399" w:themeColor="text2"/>
                <w:sz w:val="22"/>
              </w:rPr>
              <w:t xml:space="preserve"> Alte programe legate de resurse naturale și mediu</w:t>
            </w:r>
          </w:p>
        </w:tc>
        <w:tc>
          <w:tcPr>
            <w:tcW w:w="450" w:type="pct"/>
            <w:tcBorders>
              <w:top w:val="nil"/>
              <w:left w:val="nil"/>
              <w:bottom w:val="single" w:sz="8" w:space="0" w:color="BFBFBF"/>
              <w:right w:val="single" w:sz="8" w:space="0" w:color="BFBFBF"/>
            </w:tcBorders>
            <w:vAlign w:val="center"/>
          </w:tcPr>
          <w:p w14:paraId="0FAA4FD4" w14:textId="0D21F82A"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20</w:t>
            </w:r>
            <w:r>
              <w:rPr>
                <w:rFonts w:asciiTheme="minorHAnsi" w:hAnsiTheme="minorHAnsi"/>
                <w:noProof/>
                <w:color w:val="003399" w:themeColor="text2"/>
              </w:rPr>
              <w:t>,</w:t>
            </w:r>
            <w:r w:rsidRPr="00EF3A3A">
              <w:rPr>
                <w:rFonts w:asciiTheme="minorHAnsi" w:hAnsiTheme="minorHAnsi"/>
                <w:noProof/>
                <w:color w:val="003399" w:themeColor="text2"/>
              </w:rPr>
              <w:t>7</w:t>
            </w:r>
          </w:p>
        </w:tc>
        <w:tc>
          <w:tcPr>
            <w:tcW w:w="450" w:type="pct"/>
            <w:tcBorders>
              <w:top w:val="nil"/>
              <w:left w:val="nil"/>
              <w:bottom w:val="single" w:sz="8" w:space="0" w:color="BFBFBF"/>
              <w:right w:val="single" w:sz="8" w:space="0" w:color="BFBFBF"/>
            </w:tcBorders>
            <w:vAlign w:val="center"/>
          </w:tcPr>
          <w:p w14:paraId="13C52786" w14:textId="2287E0E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17</w:t>
            </w:r>
            <w:r>
              <w:rPr>
                <w:rFonts w:asciiTheme="minorHAnsi" w:hAnsiTheme="minorHAnsi"/>
                <w:noProof/>
                <w:color w:val="003399" w:themeColor="text2"/>
              </w:rPr>
              <w:t>,</w:t>
            </w:r>
            <w:r w:rsidRPr="00EF3A3A">
              <w:rPr>
                <w:rFonts w:asciiTheme="minorHAnsi" w:hAnsiTheme="minorHAnsi"/>
                <w:noProof/>
                <w:color w:val="003399" w:themeColor="text2"/>
              </w:rPr>
              <w:t>8</w:t>
            </w:r>
          </w:p>
        </w:tc>
        <w:tc>
          <w:tcPr>
            <w:tcW w:w="450" w:type="pct"/>
            <w:tcBorders>
              <w:top w:val="nil"/>
              <w:left w:val="nil"/>
              <w:bottom w:val="single" w:sz="8" w:space="0" w:color="BFBFBF"/>
              <w:right w:val="single" w:sz="8" w:space="0" w:color="BFBFBF"/>
            </w:tcBorders>
            <w:vAlign w:val="center"/>
          </w:tcPr>
          <w:p w14:paraId="0D89F94E" w14:textId="51CBE5E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13</w:t>
            </w:r>
            <w:r>
              <w:rPr>
                <w:rFonts w:asciiTheme="minorHAnsi" w:hAnsiTheme="minorHAnsi"/>
                <w:noProof/>
                <w:color w:val="003399" w:themeColor="text2"/>
              </w:rPr>
              <w:t>,</w:t>
            </w:r>
            <w:r w:rsidRPr="00EF3A3A">
              <w:rPr>
                <w:rFonts w:asciiTheme="minorHAnsi" w:hAnsiTheme="minorHAnsi"/>
                <w:noProof/>
                <w:color w:val="003399" w:themeColor="text2"/>
              </w:rPr>
              <w:t>7</w:t>
            </w:r>
          </w:p>
        </w:tc>
        <w:tc>
          <w:tcPr>
            <w:tcW w:w="450" w:type="pct"/>
            <w:tcBorders>
              <w:top w:val="nil"/>
              <w:left w:val="nil"/>
              <w:bottom w:val="single" w:sz="8" w:space="0" w:color="BFBFBF"/>
              <w:right w:val="single" w:sz="8" w:space="0" w:color="BFBFBF"/>
            </w:tcBorders>
            <w:vAlign w:val="center"/>
          </w:tcPr>
          <w:p w14:paraId="6FCF0FD0" w14:textId="164046B5"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noProof/>
                <w:color w:val="003399" w:themeColor="text2"/>
              </w:rPr>
              <w:t>2</w:t>
            </w:r>
            <w:r>
              <w:rPr>
                <w:rFonts w:asciiTheme="minorHAnsi" w:hAnsiTheme="minorHAnsi"/>
                <w:noProof/>
                <w:color w:val="003399" w:themeColor="text2"/>
              </w:rPr>
              <w:t>,</w:t>
            </w:r>
            <w:r w:rsidRPr="00EF3A3A">
              <w:rPr>
                <w:rFonts w:asciiTheme="minorHAnsi" w:hAnsiTheme="minorHAnsi"/>
                <w:noProof/>
                <w:color w:val="003399" w:themeColor="text2"/>
              </w:rPr>
              <w:t>4</w:t>
            </w:r>
          </w:p>
        </w:tc>
        <w:tc>
          <w:tcPr>
            <w:tcW w:w="450" w:type="pct"/>
            <w:tcBorders>
              <w:top w:val="nil"/>
              <w:left w:val="nil"/>
              <w:bottom w:val="single" w:sz="8" w:space="0" w:color="BFBFBF"/>
              <w:right w:val="single" w:sz="8" w:space="0" w:color="BFBFBF"/>
            </w:tcBorders>
            <w:vAlign w:val="center"/>
          </w:tcPr>
          <w:p w14:paraId="7A2E52CF" w14:textId="3AE55B88"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2</w:t>
            </w:r>
            <w:r>
              <w:rPr>
                <w:rFonts w:asciiTheme="minorHAnsi" w:hAnsiTheme="minorHAnsi"/>
                <w:noProof/>
                <w:color w:val="003399" w:themeColor="text2"/>
              </w:rPr>
              <w:t>,</w:t>
            </w:r>
            <w:r w:rsidRPr="00EF3A3A">
              <w:rPr>
                <w:rFonts w:asciiTheme="minorHAnsi" w:hAnsiTheme="minorHAnsi"/>
                <w:noProof/>
                <w:color w:val="003399" w:themeColor="text2"/>
              </w:rPr>
              <w:t>4</w:t>
            </w:r>
          </w:p>
        </w:tc>
        <w:tc>
          <w:tcPr>
            <w:tcW w:w="450" w:type="pct"/>
            <w:tcBorders>
              <w:top w:val="nil"/>
              <w:left w:val="nil"/>
              <w:bottom w:val="single" w:sz="8" w:space="0" w:color="BFBFBF"/>
              <w:right w:val="single" w:sz="8" w:space="0" w:color="BFBFBF"/>
            </w:tcBorders>
            <w:vAlign w:val="center"/>
          </w:tcPr>
          <w:p w14:paraId="2FB7CA02" w14:textId="0BF538B7"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4</w:t>
            </w:r>
          </w:p>
        </w:tc>
        <w:tc>
          <w:tcPr>
            <w:tcW w:w="450" w:type="pct"/>
            <w:tcBorders>
              <w:top w:val="nil"/>
              <w:left w:val="nil"/>
              <w:bottom w:val="single" w:sz="8" w:space="0" w:color="BFBFBF"/>
              <w:right w:val="single" w:sz="8" w:space="0" w:color="BFBFBF"/>
            </w:tcBorders>
            <w:vAlign w:val="center"/>
          </w:tcPr>
          <w:p w14:paraId="2E81BE4D" w14:textId="598D82D2"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2</w:t>
            </w:r>
          </w:p>
        </w:tc>
        <w:tc>
          <w:tcPr>
            <w:tcW w:w="449" w:type="pct"/>
            <w:tcBorders>
              <w:top w:val="nil"/>
              <w:left w:val="nil"/>
              <w:bottom w:val="single" w:sz="8" w:space="0" w:color="BFBFBF"/>
              <w:right w:val="nil"/>
            </w:tcBorders>
            <w:vAlign w:val="center"/>
          </w:tcPr>
          <w:p w14:paraId="012DCC9A" w14:textId="24E090ED"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57,5</w:t>
            </w:r>
          </w:p>
        </w:tc>
      </w:tr>
      <w:tr w:rsidR="00871143" w:rsidRPr="00F423B9" w14:paraId="71A05873"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383FEC03" w14:textId="77777777" w:rsidR="007A66F5" w:rsidRPr="00F423B9" w:rsidRDefault="007A66F5" w:rsidP="004C07C6">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4 Migrație și gestionarea frontierelor</w:t>
            </w:r>
          </w:p>
        </w:tc>
        <w:tc>
          <w:tcPr>
            <w:tcW w:w="450" w:type="pct"/>
            <w:tcBorders>
              <w:top w:val="nil"/>
              <w:left w:val="nil"/>
              <w:bottom w:val="single" w:sz="8" w:space="0" w:color="BFBFBF"/>
              <w:right w:val="single" w:sz="8" w:space="0" w:color="BFBFBF"/>
            </w:tcBorders>
            <w:shd w:val="clear" w:color="auto" w:fill="F3F7FF" w:themeFill="background2"/>
            <w:vAlign w:val="center"/>
          </w:tcPr>
          <w:p w14:paraId="1C5F1D17" w14:textId="7709A61E"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3,8</w:t>
            </w:r>
          </w:p>
        </w:tc>
        <w:tc>
          <w:tcPr>
            <w:tcW w:w="450" w:type="pct"/>
            <w:tcBorders>
              <w:top w:val="nil"/>
              <w:left w:val="nil"/>
              <w:bottom w:val="single" w:sz="8" w:space="0" w:color="BFBFBF"/>
              <w:right w:val="single" w:sz="8" w:space="0" w:color="BFBFBF"/>
            </w:tcBorders>
            <w:shd w:val="clear" w:color="auto" w:fill="F3F7FF" w:themeFill="background2"/>
            <w:vAlign w:val="center"/>
          </w:tcPr>
          <w:p w14:paraId="07EBCA69" w14:textId="56249762"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2,8</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C0C375" w14:textId="54D068C9"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1,6</w:t>
            </w:r>
          </w:p>
        </w:tc>
        <w:tc>
          <w:tcPr>
            <w:tcW w:w="450" w:type="pct"/>
            <w:tcBorders>
              <w:top w:val="nil"/>
              <w:left w:val="nil"/>
              <w:bottom w:val="single" w:sz="8" w:space="0" w:color="BFBFBF"/>
              <w:right w:val="single" w:sz="8" w:space="0" w:color="BFBFBF"/>
            </w:tcBorders>
            <w:shd w:val="clear" w:color="auto" w:fill="F3F7FF" w:themeFill="background2"/>
            <w:vAlign w:val="center"/>
          </w:tcPr>
          <w:p w14:paraId="535B5139" w14:textId="5A50CD3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1,0</w:t>
            </w:r>
          </w:p>
        </w:tc>
        <w:tc>
          <w:tcPr>
            <w:tcW w:w="450" w:type="pct"/>
            <w:tcBorders>
              <w:top w:val="nil"/>
              <w:left w:val="nil"/>
              <w:bottom w:val="single" w:sz="8" w:space="0" w:color="BFBFBF"/>
              <w:right w:val="single" w:sz="8" w:space="0" w:color="BFBFBF"/>
            </w:tcBorders>
            <w:shd w:val="clear" w:color="auto" w:fill="F3F7FF" w:themeFill="background2"/>
            <w:vAlign w:val="center"/>
          </w:tcPr>
          <w:p w14:paraId="0E0F546A" w14:textId="68DDD441"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0,7</w:t>
            </w:r>
          </w:p>
        </w:tc>
        <w:tc>
          <w:tcPr>
            <w:tcW w:w="450" w:type="pct"/>
            <w:tcBorders>
              <w:top w:val="nil"/>
              <w:left w:val="nil"/>
              <w:bottom w:val="single" w:sz="8" w:space="0" w:color="BFBFBF"/>
              <w:right w:val="single" w:sz="8" w:space="0" w:color="BFBFBF"/>
            </w:tcBorders>
            <w:shd w:val="clear" w:color="auto" w:fill="F3F7FF" w:themeFill="background2"/>
            <w:vAlign w:val="center"/>
          </w:tcPr>
          <w:p w14:paraId="73394C57" w14:textId="2124A592"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1,9</w:t>
            </w:r>
          </w:p>
        </w:tc>
        <w:tc>
          <w:tcPr>
            <w:tcW w:w="450" w:type="pct"/>
            <w:tcBorders>
              <w:top w:val="nil"/>
              <w:left w:val="nil"/>
              <w:bottom w:val="single" w:sz="8" w:space="0" w:color="BFBFBF"/>
              <w:right w:val="single" w:sz="8" w:space="0" w:color="BFBFBF"/>
            </w:tcBorders>
            <w:shd w:val="clear" w:color="auto" w:fill="F3F7FF" w:themeFill="background2"/>
            <w:vAlign w:val="center"/>
          </w:tcPr>
          <w:p w14:paraId="0E542830" w14:textId="15F0915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0,8</w:t>
            </w:r>
          </w:p>
        </w:tc>
        <w:tc>
          <w:tcPr>
            <w:tcW w:w="449" w:type="pct"/>
            <w:tcBorders>
              <w:top w:val="nil"/>
              <w:left w:val="nil"/>
              <w:bottom w:val="single" w:sz="8" w:space="0" w:color="BFBFBF"/>
              <w:right w:val="nil"/>
            </w:tcBorders>
            <w:shd w:val="clear" w:color="auto" w:fill="F3F7FF" w:themeFill="background2"/>
            <w:vAlign w:val="center"/>
          </w:tcPr>
          <w:p w14:paraId="2D174AE1" w14:textId="49051631"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12,6</w:t>
            </w:r>
          </w:p>
        </w:tc>
      </w:tr>
      <w:tr w:rsidR="00871143" w:rsidRPr="00F423B9" w14:paraId="6FDBB1E3"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2F6E3541" w14:textId="77777777" w:rsidR="007A66F5" w:rsidRPr="00F423B9" w:rsidRDefault="007A66F5" w:rsidP="004C07C6">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5 Securitate și apărare</w:t>
            </w:r>
          </w:p>
        </w:tc>
        <w:tc>
          <w:tcPr>
            <w:tcW w:w="450" w:type="pct"/>
            <w:tcBorders>
              <w:top w:val="nil"/>
              <w:left w:val="nil"/>
              <w:bottom w:val="single" w:sz="8" w:space="0" w:color="BFBFBF"/>
              <w:right w:val="single" w:sz="8" w:space="0" w:color="BFBFBF"/>
            </w:tcBorders>
            <w:vAlign w:val="center"/>
          </w:tcPr>
          <w:p w14:paraId="2FE2AAF3" w14:textId="044EA633"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2,2</w:t>
            </w:r>
          </w:p>
        </w:tc>
        <w:tc>
          <w:tcPr>
            <w:tcW w:w="450" w:type="pct"/>
            <w:tcBorders>
              <w:top w:val="nil"/>
              <w:left w:val="nil"/>
              <w:bottom w:val="single" w:sz="8" w:space="0" w:color="BFBFBF"/>
              <w:right w:val="single" w:sz="8" w:space="0" w:color="BFBFBF"/>
            </w:tcBorders>
            <w:vAlign w:val="center"/>
          </w:tcPr>
          <w:p w14:paraId="25C508F7" w14:textId="6331303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2,1</w:t>
            </w:r>
          </w:p>
        </w:tc>
        <w:tc>
          <w:tcPr>
            <w:tcW w:w="450" w:type="pct"/>
            <w:tcBorders>
              <w:top w:val="nil"/>
              <w:left w:val="nil"/>
              <w:bottom w:val="single" w:sz="8" w:space="0" w:color="BFBFBF"/>
              <w:right w:val="single" w:sz="8" w:space="0" w:color="BFBFBF"/>
            </w:tcBorders>
            <w:vAlign w:val="center"/>
          </w:tcPr>
          <w:p w14:paraId="12F5B9A9" w14:textId="7114773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1,6</w:t>
            </w:r>
          </w:p>
        </w:tc>
        <w:tc>
          <w:tcPr>
            <w:tcW w:w="450" w:type="pct"/>
            <w:tcBorders>
              <w:top w:val="nil"/>
              <w:left w:val="nil"/>
              <w:bottom w:val="single" w:sz="8" w:space="0" w:color="BFBFBF"/>
              <w:right w:val="single" w:sz="8" w:space="0" w:color="BFBFBF"/>
            </w:tcBorders>
            <w:vAlign w:val="center"/>
          </w:tcPr>
          <w:p w14:paraId="00E6733B" w14:textId="392E57C4"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1,3</w:t>
            </w:r>
          </w:p>
        </w:tc>
        <w:tc>
          <w:tcPr>
            <w:tcW w:w="450" w:type="pct"/>
            <w:tcBorders>
              <w:top w:val="nil"/>
              <w:left w:val="nil"/>
              <w:bottom w:val="single" w:sz="8" w:space="0" w:color="BFBFBF"/>
              <w:right w:val="single" w:sz="8" w:space="0" w:color="BFBFBF"/>
            </w:tcBorders>
            <w:vAlign w:val="center"/>
          </w:tcPr>
          <w:p w14:paraId="6B0BB6F5" w14:textId="41E9CB8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0,9</w:t>
            </w:r>
          </w:p>
        </w:tc>
        <w:tc>
          <w:tcPr>
            <w:tcW w:w="450" w:type="pct"/>
            <w:tcBorders>
              <w:top w:val="nil"/>
              <w:left w:val="nil"/>
              <w:bottom w:val="single" w:sz="8" w:space="0" w:color="BFBFBF"/>
              <w:right w:val="single" w:sz="8" w:space="0" w:color="BFBFBF"/>
            </w:tcBorders>
            <w:vAlign w:val="center"/>
          </w:tcPr>
          <w:p w14:paraId="43DBF28F" w14:textId="4130CA6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0,3</w:t>
            </w:r>
          </w:p>
        </w:tc>
        <w:tc>
          <w:tcPr>
            <w:tcW w:w="450" w:type="pct"/>
            <w:tcBorders>
              <w:top w:val="nil"/>
              <w:left w:val="nil"/>
              <w:bottom w:val="single" w:sz="8" w:space="0" w:color="BFBFBF"/>
              <w:right w:val="single" w:sz="8" w:space="0" w:color="BFBFBF"/>
            </w:tcBorders>
            <w:vAlign w:val="center"/>
          </w:tcPr>
          <w:p w14:paraId="38E7CEAB" w14:textId="07D200F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0,1</w:t>
            </w:r>
          </w:p>
        </w:tc>
        <w:tc>
          <w:tcPr>
            <w:tcW w:w="449" w:type="pct"/>
            <w:tcBorders>
              <w:top w:val="nil"/>
              <w:left w:val="nil"/>
              <w:bottom w:val="single" w:sz="8" w:space="0" w:color="BFBFBF"/>
              <w:right w:val="nil"/>
            </w:tcBorders>
            <w:vAlign w:val="center"/>
          </w:tcPr>
          <w:p w14:paraId="77E03845" w14:textId="1E7C40B4"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8,5</w:t>
            </w:r>
          </w:p>
        </w:tc>
      </w:tr>
      <w:tr w:rsidR="00871143" w:rsidRPr="00F423B9" w14:paraId="52FABBBE"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5A44575C" w14:textId="77777777" w:rsidR="007A66F5" w:rsidRPr="00F423B9" w:rsidRDefault="007A66F5" w:rsidP="004C07C6">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6 Vecinătate și întreaga lume</w:t>
            </w:r>
          </w:p>
        </w:tc>
        <w:tc>
          <w:tcPr>
            <w:tcW w:w="450" w:type="pct"/>
            <w:tcBorders>
              <w:top w:val="nil"/>
              <w:left w:val="nil"/>
              <w:bottom w:val="single" w:sz="8" w:space="0" w:color="BFBFBF"/>
              <w:right w:val="single" w:sz="8" w:space="0" w:color="BFBFBF"/>
            </w:tcBorders>
            <w:shd w:val="clear" w:color="auto" w:fill="F3F7FF" w:themeFill="background2"/>
            <w:vAlign w:val="center"/>
          </w:tcPr>
          <w:p w14:paraId="362FA53E" w14:textId="5B52300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16,0</w:t>
            </w:r>
          </w:p>
        </w:tc>
        <w:tc>
          <w:tcPr>
            <w:tcW w:w="450" w:type="pct"/>
            <w:tcBorders>
              <w:top w:val="nil"/>
              <w:left w:val="nil"/>
              <w:bottom w:val="single" w:sz="8" w:space="0" w:color="BFBFBF"/>
              <w:right w:val="single" w:sz="8" w:space="0" w:color="BFBFBF"/>
            </w:tcBorders>
            <w:shd w:val="clear" w:color="auto" w:fill="F3F7FF" w:themeFill="background2"/>
            <w:vAlign w:val="center"/>
          </w:tcPr>
          <w:p w14:paraId="5CE3088C" w14:textId="1FCAF09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12,7</w:t>
            </w:r>
          </w:p>
        </w:tc>
        <w:tc>
          <w:tcPr>
            <w:tcW w:w="450" w:type="pct"/>
            <w:tcBorders>
              <w:top w:val="nil"/>
              <w:left w:val="nil"/>
              <w:bottom w:val="single" w:sz="8" w:space="0" w:color="BFBFBF"/>
              <w:right w:val="single" w:sz="8" w:space="0" w:color="BFBFBF"/>
            </w:tcBorders>
            <w:shd w:val="clear" w:color="auto" w:fill="F3F7FF" w:themeFill="background2"/>
            <w:vAlign w:val="center"/>
          </w:tcPr>
          <w:p w14:paraId="0CCBD893" w14:textId="477D8BD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11,1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4AEF29" w14:textId="366B1BB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6,3</w:t>
            </w:r>
          </w:p>
        </w:tc>
        <w:tc>
          <w:tcPr>
            <w:tcW w:w="450" w:type="pct"/>
            <w:tcBorders>
              <w:top w:val="nil"/>
              <w:left w:val="nil"/>
              <w:bottom w:val="single" w:sz="8" w:space="0" w:color="BFBFBF"/>
              <w:right w:val="single" w:sz="8" w:space="0" w:color="BFBFBF"/>
            </w:tcBorders>
            <w:shd w:val="clear" w:color="auto" w:fill="F3F7FF" w:themeFill="background2"/>
            <w:vAlign w:val="center"/>
          </w:tcPr>
          <w:p w14:paraId="0C4F391D" w14:textId="4612F61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3,4</w:t>
            </w:r>
          </w:p>
        </w:tc>
        <w:tc>
          <w:tcPr>
            <w:tcW w:w="450" w:type="pct"/>
            <w:tcBorders>
              <w:top w:val="nil"/>
              <w:left w:val="nil"/>
              <w:bottom w:val="single" w:sz="8" w:space="0" w:color="BFBFBF"/>
              <w:right w:val="single" w:sz="8" w:space="0" w:color="BFBFBF"/>
            </w:tcBorders>
            <w:shd w:val="clear" w:color="auto" w:fill="F3F7FF" w:themeFill="background2"/>
            <w:vAlign w:val="center"/>
          </w:tcPr>
          <w:p w14:paraId="469C0973" w14:textId="6077126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2,8</w:t>
            </w:r>
          </w:p>
        </w:tc>
        <w:tc>
          <w:tcPr>
            <w:tcW w:w="450" w:type="pct"/>
            <w:tcBorders>
              <w:top w:val="nil"/>
              <w:left w:val="nil"/>
              <w:bottom w:val="single" w:sz="8" w:space="0" w:color="BFBFBF"/>
              <w:right w:val="single" w:sz="8" w:space="0" w:color="BFBFBF"/>
            </w:tcBorders>
            <w:shd w:val="clear" w:color="auto" w:fill="F3F7FF" w:themeFill="background2"/>
            <w:vAlign w:val="center"/>
          </w:tcPr>
          <w:p w14:paraId="4DC5A8C9" w14:textId="530957D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1,2</w:t>
            </w:r>
          </w:p>
        </w:tc>
        <w:tc>
          <w:tcPr>
            <w:tcW w:w="449" w:type="pct"/>
            <w:tcBorders>
              <w:top w:val="nil"/>
              <w:left w:val="nil"/>
              <w:bottom w:val="single" w:sz="8" w:space="0" w:color="BFBFBF"/>
              <w:right w:val="nil"/>
            </w:tcBorders>
            <w:shd w:val="clear" w:color="auto" w:fill="F3F7FF" w:themeFill="background2"/>
            <w:vAlign w:val="center"/>
          </w:tcPr>
          <w:p w14:paraId="03404098" w14:textId="287C11A6"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53,4</w:t>
            </w:r>
          </w:p>
        </w:tc>
      </w:tr>
      <w:tr w:rsidR="006D268C" w:rsidRPr="00F423B9" w14:paraId="20E5E4C6"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8014E86" w14:textId="77777777" w:rsidR="007A66F5" w:rsidRPr="00F423B9" w:rsidRDefault="007A66F5" w:rsidP="00BC65B0">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7 Administrația publică europeană</w:t>
            </w:r>
          </w:p>
        </w:tc>
        <w:tc>
          <w:tcPr>
            <w:tcW w:w="450" w:type="pct"/>
            <w:tcBorders>
              <w:top w:val="nil"/>
              <w:left w:val="nil"/>
              <w:bottom w:val="single" w:sz="8" w:space="0" w:color="BFBFBF"/>
              <w:right w:val="single" w:sz="8" w:space="0" w:color="BFBFBF"/>
            </w:tcBorders>
            <w:vAlign w:val="center"/>
          </w:tcPr>
          <w:p w14:paraId="3AA6DB5C" w14:textId="519A14B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13,7</w:t>
            </w:r>
          </w:p>
        </w:tc>
        <w:tc>
          <w:tcPr>
            <w:tcW w:w="450" w:type="pct"/>
            <w:tcBorders>
              <w:top w:val="single" w:sz="8" w:space="0" w:color="BFBFBF"/>
              <w:left w:val="nil"/>
              <w:bottom w:val="single" w:sz="8" w:space="0" w:color="BFBFBF"/>
              <w:right w:val="single" w:sz="8" w:space="0" w:color="BFBFBF"/>
            </w:tcBorders>
            <w:vAlign w:val="center"/>
          </w:tcPr>
          <w:p w14:paraId="2E3A2E84" w14:textId="3ABDE3C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09174C7B" w14:textId="21D7EDE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6AEDD656" w14:textId="73CFBCD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7DE07370" w14:textId="038C8E34"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E2DE921" w14:textId="42380B6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C5E3B83" w14:textId="7B193B56"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49" w:type="pct"/>
            <w:tcBorders>
              <w:top w:val="nil"/>
              <w:left w:val="nil"/>
              <w:bottom w:val="single" w:sz="8" w:space="0" w:color="BFBFBF"/>
              <w:right w:val="nil"/>
            </w:tcBorders>
            <w:vAlign w:val="center"/>
          </w:tcPr>
          <w:p w14:paraId="5DDDCBF2" w14:textId="12064DCD"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13,7</w:t>
            </w:r>
          </w:p>
        </w:tc>
      </w:tr>
      <w:tr w:rsidR="006D268C" w:rsidRPr="00F423B9" w14:paraId="43FD8BC9"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380294AF" w14:textId="29D20839" w:rsidR="007A66F5" w:rsidRPr="00F423B9" w:rsidRDefault="009D35B3" w:rsidP="00BC65B0">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O În afara plafoanelor CFM</w:t>
            </w:r>
          </w:p>
        </w:tc>
        <w:tc>
          <w:tcPr>
            <w:tcW w:w="450" w:type="pct"/>
            <w:tcBorders>
              <w:top w:val="nil"/>
              <w:left w:val="nil"/>
              <w:bottom w:val="single" w:sz="8" w:space="0" w:color="BFBFBF"/>
              <w:right w:val="single" w:sz="8" w:space="0" w:color="BFBFBF"/>
            </w:tcBorders>
            <w:shd w:val="clear" w:color="auto" w:fill="F3F7FF" w:themeFill="background2"/>
            <w:vAlign w:val="center"/>
          </w:tcPr>
          <w:p w14:paraId="0FECABE5" w14:textId="2CF1890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7,6</w:t>
            </w:r>
          </w:p>
        </w:tc>
        <w:tc>
          <w:tcPr>
            <w:tcW w:w="450" w:type="pct"/>
            <w:tcBorders>
              <w:top w:val="nil"/>
              <w:left w:val="nil"/>
              <w:bottom w:val="single" w:sz="8" w:space="0" w:color="BFBFBF"/>
              <w:right w:val="single" w:sz="8" w:space="0" w:color="BFBFBF"/>
            </w:tcBorders>
            <w:shd w:val="clear" w:color="auto" w:fill="F3F7FF" w:themeFill="background2"/>
            <w:vAlign w:val="center"/>
          </w:tcPr>
          <w:p w14:paraId="058B1D61" w14:textId="16E3792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0,6</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F2B3A8" w14:textId="2FACAD0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0,3</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2DE30E52" w14:textId="0E76E52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7AA934E8" w14:textId="0241A31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485F8F4F" w14:textId="2B1AA3B7"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15099A40" w14:textId="38076EB6"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49" w:type="pct"/>
            <w:tcBorders>
              <w:top w:val="nil"/>
              <w:left w:val="nil"/>
              <w:bottom w:val="single" w:sz="8" w:space="0" w:color="BFBFBF"/>
              <w:right w:val="nil"/>
            </w:tcBorders>
            <w:shd w:val="clear" w:color="auto" w:fill="F3F7FF" w:themeFill="background2"/>
            <w:vAlign w:val="center"/>
          </w:tcPr>
          <w:p w14:paraId="2C6F46D8" w14:textId="102F14B0"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8,4</w:t>
            </w:r>
          </w:p>
        </w:tc>
      </w:tr>
      <w:tr w:rsidR="006D268C" w:rsidRPr="00F423B9" w14:paraId="67BD657C"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2E863BF3" w14:textId="77777777" w:rsidR="007A66F5" w:rsidRPr="00F423B9" w:rsidRDefault="007A66F5" w:rsidP="00BC65B0">
            <w:pPr>
              <w:spacing w:after="120"/>
              <w:rPr>
                <w:rFonts w:asciiTheme="majorHAnsi" w:eastAsia="Calibri" w:hAnsiTheme="majorHAnsi"/>
                <w:bCs/>
                <w:noProof/>
                <w:color w:val="003399" w:themeColor="text2"/>
                <w:sz w:val="22"/>
                <w:szCs w:val="22"/>
              </w:rPr>
            </w:pPr>
            <w:r w:rsidRPr="00EF3A3A">
              <w:rPr>
                <w:rFonts w:asciiTheme="majorHAnsi" w:hAnsiTheme="majorHAnsi"/>
                <w:noProof/>
                <w:color w:val="003399" w:themeColor="text2"/>
                <w:sz w:val="22"/>
              </w:rPr>
              <w:t>Instrumente speciale</w:t>
            </w:r>
          </w:p>
        </w:tc>
        <w:tc>
          <w:tcPr>
            <w:tcW w:w="450" w:type="pct"/>
            <w:tcBorders>
              <w:top w:val="nil"/>
              <w:left w:val="nil"/>
              <w:bottom w:val="single" w:sz="8" w:space="0" w:color="BFBFBF"/>
              <w:right w:val="single" w:sz="8" w:space="0" w:color="BFBFBF"/>
            </w:tcBorders>
            <w:vAlign w:val="center"/>
          </w:tcPr>
          <w:p w14:paraId="4DA933D2" w14:textId="1AE2546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1,9</w:t>
            </w:r>
          </w:p>
        </w:tc>
        <w:tc>
          <w:tcPr>
            <w:tcW w:w="450" w:type="pct"/>
            <w:tcBorders>
              <w:top w:val="single" w:sz="8" w:space="0" w:color="BFBFBF"/>
              <w:left w:val="nil"/>
              <w:bottom w:val="single" w:sz="8" w:space="0" w:color="BFBFBF"/>
              <w:right w:val="single" w:sz="8" w:space="0" w:color="BFBFBF"/>
            </w:tcBorders>
            <w:vAlign w:val="center"/>
          </w:tcPr>
          <w:p w14:paraId="6F35E69D" w14:textId="79394BD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01DD0163" w14:textId="2620A319"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5D734AF3" w14:textId="4D1DBDF0"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72EE4A35" w14:textId="090C817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C6592F3" w14:textId="3FCEC36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4C51BAD8" w14:textId="7A2B7A8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0,0</w:t>
            </w:r>
          </w:p>
        </w:tc>
        <w:tc>
          <w:tcPr>
            <w:tcW w:w="449" w:type="pct"/>
            <w:tcBorders>
              <w:top w:val="nil"/>
              <w:left w:val="nil"/>
              <w:bottom w:val="single" w:sz="8" w:space="0" w:color="BFBFBF"/>
              <w:right w:val="nil"/>
            </w:tcBorders>
            <w:vAlign w:val="center"/>
          </w:tcPr>
          <w:p w14:paraId="168AD942" w14:textId="710919CF" w:rsidR="007A66F5" w:rsidRPr="00EF3A3A"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F3A3A">
              <w:rPr>
                <w:b/>
                <w:noProof/>
                <w:color w:val="000000" w:themeColor="text1"/>
                <w:sz w:val="22"/>
              </w:rPr>
              <w:t>1,9</w:t>
            </w:r>
          </w:p>
        </w:tc>
      </w:tr>
      <w:tr w:rsidR="00607FF2" w:rsidRPr="00F423B9" w14:paraId="6A0EBD92" w14:textId="77777777" w:rsidTr="0071020D">
        <w:trPr>
          <w:trHeight w:val="300"/>
        </w:trPr>
        <w:tc>
          <w:tcPr>
            <w:cnfStyle w:val="001000000000" w:firstRow="0" w:lastRow="0" w:firstColumn="1" w:lastColumn="0" w:oddVBand="0" w:evenVBand="0" w:oddHBand="0" w:evenHBand="0" w:firstRowFirstColumn="0" w:firstRowLastColumn="0" w:lastRowFirstColumn="0" w:lastRowLastColumn="0"/>
            <w:tcW w:w="0" w:type="pct"/>
            <w:shd w:val="clear" w:color="auto" w:fill="D9D9D9" w:themeFill="background1" w:themeFillShade="D9"/>
          </w:tcPr>
          <w:p w14:paraId="67EB32D7" w14:textId="77777777" w:rsidR="007A66F5" w:rsidRPr="00C5567C" w:rsidRDefault="007A66F5" w:rsidP="00B35585">
            <w:pPr>
              <w:spacing w:after="120"/>
              <w:rPr>
                <w:rFonts w:asciiTheme="majorHAnsi" w:hAnsiTheme="majorHAnsi"/>
                <w:noProof/>
                <w:color w:val="000000" w:themeColor="text1"/>
                <w:sz w:val="22"/>
                <w:szCs w:val="22"/>
              </w:rPr>
            </w:pPr>
            <w:r w:rsidRPr="00EF3A3A">
              <w:rPr>
                <w:rFonts w:asciiTheme="majorHAnsi" w:hAnsiTheme="majorHAnsi"/>
                <w:noProof/>
                <w:color w:val="000000" w:themeColor="text1"/>
                <w:sz w:val="22"/>
              </w:rPr>
              <w:t>Total</w:t>
            </w:r>
          </w:p>
        </w:tc>
        <w:tc>
          <w:tcPr>
            <w:tcW w:w="0" w:type="pct"/>
            <w:tcBorders>
              <w:top w:val="nil"/>
              <w:left w:val="nil"/>
              <w:bottom w:val="nil"/>
              <w:right w:val="single" w:sz="8" w:space="0" w:color="BFBFBF"/>
            </w:tcBorders>
            <w:shd w:val="clear" w:color="auto" w:fill="D9D9D9" w:themeFill="background1" w:themeFillShade="D9"/>
            <w:vAlign w:val="center"/>
          </w:tcPr>
          <w:p w14:paraId="3D327656" w14:textId="35EE2226"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210,3</w:t>
            </w:r>
          </w:p>
        </w:tc>
        <w:tc>
          <w:tcPr>
            <w:tcW w:w="0" w:type="pct"/>
            <w:tcBorders>
              <w:top w:val="nil"/>
              <w:left w:val="nil"/>
              <w:bottom w:val="nil"/>
              <w:right w:val="single" w:sz="8" w:space="0" w:color="BFBFBF"/>
            </w:tcBorders>
            <w:shd w:val="clear" w:color="auto" w:fill="D9D9D9" w:themeFill="background1" w:themeFillShade="D9"/>
            <w:vAlign w:val="center"/>
          </w:tcPr>
          <w:p w14:paraId="53F28461" w14:textId="0E31FDF4"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121,7</w:t>
            </w:r>
          </w:p>
        </w:tc>
        <w:tc>
          <w:tcPr>
            <w:tcW w:w="0" w:type="pct"/>
            <w:tcBorders>
              <w:top w:val="nil"/>
              <w:left w:val="nil"/>
              <w:bottom w:val="nil"/>
              <w:right w:val="single" w:sz="8" w:space="0" w:color="BFBFBF"/>
            </w:tcBorders>
            <w:shd w:val="clear" w:color="auto" w:fill="D9D9D9" w:themeFill="background1" w:themeFillShade="D9"/>
            <w:vAlign w:val="center"/>
          </w:tcPr>
          <w:p w14:paraId="19CD4D7D" w14:textId="2EE83CB4"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94,5</w:t>
            </w:r>
          </w:p>
        </w:tc>
        <w:tc>
          <w:tcPr>
            <w:tcW w:w="0" w:type="pct"/>
            <w:tcBorders>
              <w:top w:val="nil"/>
              <w:left w:val="nil"/>
              <w:bottom w:val="nil"/>
              <w:right w:val="single" w:sz="8" w:space="0" w:color="BFBFBF"/>
            </w:tcBorders>
            <w:shd w:val="clear" w:color="auto" w:fill="D9D9D9" w:themeFill="background1" w:themeFillShade="D9"/>
            <w:vAlign w:val="center"/>
          </w:tcPr>
          <w:p w14:paraId="70FD23B7" w14:textId="1E6D8EAC"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70,9</w:t>
            </w:r>
          </w:p>
        </w:tc>
        <w:tc>
          <w:tcPr>
            <w:tcW w:w="0" w:type="pct"/>
            <w:tcBorders>
              <w:top w:val="nil"/>
              <w:left w:val="nil"/>
              <w:bottom w:val="nil"/>
              <w:right w:val="single" w:sz="8" w:space="0" w:color="BFBFBF"/>
            </w:tcBorders>
            <w:shd w:val="clear" w:color="auto" w:fill="D9D9D9" w:themeFill="background1" w:themeFillShade="D9"/>
            <w:vAlign w:val="center"/>
          </w:tcPr>
          <w:p w14:paraId="4BFE0809" w14:textId="6C0728AF"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15,6</w:t>
            </w:r>
          </w:p>
        </w:tc>
        <w:tc>
          <w:tcPr>
            <w:tcW w:w="0" w:type="pct"/>
            <w:tcBorders>
              <w:top w:val="nil"/>
              <w:left w:val="nil"/>
              <w:bottom w:val="nil"/>
              <w:right w:val="single" w:sz="8" w:space="0" w:color="BFBFBF"/>
            </w:tcBorders>
            <w:shd w:val="clear" w:color="auto" w:fill="D9D9D9" w:themeFill="background1" w:themeFillShade="D9"/>
            <w:vAlign w:val="center"/>
          </w:tcPr>
          <w:p w14:paraId="1411EFB8" w14:textId="69B0B75C"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9,8</w:t>
            </w:r>
          </w:p>
        </w:tc>
        <w:tc>
          <w:tcPr>
            <w:tcW w:w="0" w:type="pct"/>
            <w:tcBorders>
              <w:top w:val="nil"/>
              <w:left w:val="nil"/>
              <w:bottom w:val="nil"/>
              <w:right w:val="single" w:sz="8" w:space="0" w:color="BFBFBF"/>
            </w:tcBorders>
            <w:shd w:val="clear" w:color="auto" w:fill="D9D9D9" w:themeFill="background1" w:themeFillShade="D9"/>
            <w:vAlign w:val="center"/>
          </w:tcPr>
          <w:p w14:paraId="7D976A6C" w14:textId="3B7732F1"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4,2</w:t>
            </w:r>
          </w:p>
        </w:tc>
        <w:tc>
          <w:tcPr>
            <w:tcW w:w="0" w:type="pct"/>
            <w:tcBorders>
              <w:top w:val="nil"/>
              <w:left w:val="nil"/>
              <w:bottom w:val="nil"/>
              <w:right w:val="nil"/>
            </w:tcBorders>
            <w:shd w:val="clear" w:color="auto" w:fill="D9D9D9" w:themeFill="background1" w:themeFillShade="D9"/>
            <w:vAlign w:val="center"/>
          </w:tcPr>
          <w:p w14:paraId="74227C7D" w14:textId="66EA1E51" w:rsidR="007A66F5" w:rsidRPr="00EF3A3A"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F3A3A">
              <w:rPr>
                <w:rFonts w:asciiTheme="majorHAnsi" w:hAnsiTheme="majorHAnsi"/>
                <w:b/>
                <w:noProof/>
                <w:color w:val="000000" w:themeColor="text1"/>
                <w:sz w:val="22"/>
              </w:rPr>
              <w:t>527,0</w:t>
            </w:r>
          </w:p>
        </w:tc>
      </w:tr>
    </w:tbl>
    <w:p w14:paraId="528B751C" w14:textId="77777777" w:rsidR="00861C1C" w:rsidRPr="00F423B9" w:rsidRDefault="003B6DC2" w:rsidP="00682537">
      <w:pPr>
        <w:rPr>
          <w:rFonts w:asciiTheme="majorHAnsi" w:hAnsiTheme="majorHAnsi"/>
          <w:noProof/>
        </w:rPr>
      </w:pPr>
      <w:r>
        <w:rPr>
          <w:noProof/>
        </w:rPr>
        <w:br w:type="page"/>
      </w:r>
    </w:p>
    <w:p w14:paraId="4B18A2AA" w14:textId="78F382FA" w:rsidR="00861C1C" w:rsidRPr="00EF3A3A" w:rsidRDefault="003B6DC2" w:rsidP="009C6708">
      <w:pPr>
        <w:pStyle w:val="Heading2"/>
        <w:rPr>
          <w:rFonts w:asciiTheme="majorHAnsi" w:hAnsiTheme="majorHAnsi"/>
          <w:noProof/>
        </w:rPr>
      </w:pPr>
      <w:bookmarkStart w:id="82" w:name="_Toc235439617"/>
      <w:r w:rsidRPr="00EF3A3A">
        <w:rPr>
          <w:rFonts w:asciiTheme="majorHAnsi" w:hAnsiTheme="majorHAnsi"/>
          <w:noProof/>
        </w:rPr>
        <w:t>Tabelul 1.3 – Plăți pentru finalizarea angajamentelor anterioare anului 2021</w:t>
      </w:r>
      <w:bookmarkEnd w:id="82"/>
    </w:p>
    <w:tbl>
      <w:tblPr>
        <w:tblStyle w:val="AMPR2021"/>
        <w:tblW w:w="4948"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2839"/>
        <w:gridCol w:w="860"/>
        <w:gridCol w:w="860"/>
        <w:gridCol w:w="860"/>
        <w:gridCol w:w="861"/>
        <w:gridCol w:w="859"/>
        <w:gridCol w:w="859"/>
        <w:gridCol w:w="859"/>
        <w:gridCol w:w="861"/>
      </w:tblGrid>
      <w:tr w:rsidR="00586721" w:rsidRPr="00F423B9" w14:paraId="436066E2" w14:textId="77777777" w:rsidTr="005C1F2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B253864" w14:textId="77777777" w:rsidR="007A66F5" w:rsidRPr="00D61004" w:rsidRDefault="007A66F5">
            <w:pPr>
              <w:rPr>
                <w:rFonts w:asciiTheme="minorHAnsi" w:eastAsia="Calibri" w:hAnsiTheme="minorHAnsi"/>
                <w:b w:val="0"/>
                <w:noProof/>
                <w:sz w:val="22"/>
                <w:szCs w:val="22"/>
              </w:rPr>
            </w:pPr>
            <w:r w:rsidRPr="00EF3A3A">
              <w:rPr>
                <w:rFonts w:asciiTheme="minorHAnsi" w:hAnsiTheme="minorHAnsi"/>
                <w:noProof/>
                <w:sz w:val="22"/>
              </w:rPr>
              <w:t>Rubrica CFM</w:t>
            </w:r>
          </w:p>
        </w:tc>
        <w:tc>
          <w:tcPr>
            <w:tcW w:w="442" w:type="pct"/>
          </w:tcPr>
          <w:p w14:paraId="340AB3BB" w14:textId="7D5B07DA"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2027</w:t>
            </w:r>
          </w:p>
        </w:tc>
        <w:tc>
          <w:tcPr>
            <w:tcW w:w="442" w:type="pct"/>
          </w:tcPr>
          <w:p w14:paraId="5E593656" w14:textId="72C877A6"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2028</w:t>
            </w:r>
          </w:p>
        </w:tc>
        <w:tc>
          <w:tcPr>
            <w:tcW w:w="442" w:type="pct"/>
          </w:tcPr>
          <w:p w14:paraId="346A8A9F" w14:textId="7CBAEA3B"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2029</w:t>
            </w:r>
          </w:p>
        </w:tc>
        <w:tc>
          <w:tcPr>
            <w:tcW w:w="443" w:type="pct"/>
          </w:tcPr>
          <w:p w14:paraId="358EC4CA" w14:textId="3A86AD2E"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2030</w:t>
            </w:r>
          </w:p>
        </w:tc>
        <w:tc>
          <w:tcPr>
            <w:tcW w:w="442" w:type="pct"/>
          </w:tcPr>
          <w:p w14:paraId="41203CBE" w14:textId="5BAEA243"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2031</w:t>
            </w:r>
          </w:p>
        </w:tc>
        <w:tc>
          <w:tcPr>
            <w:tcW w:w="442" w:type="pct"/>
          </w:tcPr>
          <w:p w14:paraId="4096278C" w14:textId="3AFCF392" w:rsidR="00B7576C" w:rsidRPr="00D61004" w:rsidRDefault="00B757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2032</w:t>
            </w:r>
          </w:p>
        </w:tc>
        <w:tc>
          <w:tcPr>
            <w:tcW w:w="442" w:type="pct"/>
          </w:tcPr>
          <w:p w14:paraId="41261363" w14:textId="34A91A0C" w:rsidR="00B7576C" w:rsidRPr="00D61004" w:rsidRDefault="00B757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2033</w:t>
            </w:r>
          </w:p>
        </w:tc>
        <w:tc>
          <w:tcPr>
            <w:tcW w:w="443" w:type="pct"/>
          </w:tcPr>
          <w:p w14:paraId="4FA9E26E" w14:textId="449985F2"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Total</w:t>
            </w:r>
          </w:p>
        </w:tc>
      </w:tr>
      <w:tr w:rsidR="000A2D2A" w:rsidRPr="00F423B9" w14:paraId="7865842B"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6457CC88" w14:textId="77777777" w:rsidR="007A66F5" w:rsidRPr="003B1D7B" w:rsidRDefault="007A66F5">
            <w:pPr>
              <w:spacing w:after="120"/>
              <w:rPr>
                <w:rFonts w:asciiTheme="minorHAnsi" w:eastAsia="Calibri" w:hAnsiTheme="minorHAnsi"/>
                <w:noProof/>
                <w:color w:val="003399" w:themeColor="text2"/>
                <w:sz w:val="22"/>
                <w:szCs w:val="22"/>
              </w:rPr>
            </w:pPr>
            <w:r w:rsidRPr="00EF3A3A">
              <w:rPr>
                <w:rFonts w:asciiTheme="minorHAnsi" w:hAnsiTheme="minorHAnsi"/>
                <w:noProof/>
                <w:color w:val="003399" w:themeColor="text2"/>
                <w:sz w:val="22"/>
              </w:rPr>
              <w:t>1 Piața unică, inovare și sectorul digital</w:t>
            </w:r>
          </w:p>
        </w:tc>
        <w:tc>
          <w:tcPr>
            <w:tcW w:w="442" w:type="pct"/>
            <w:tcBorders>
              <w:top w:val="single" w:sz="8" w:space="0" w:color="BFBFBF"/>
              <w:left w:val="nil"/>
              <w:bottom w:val="single" w:sz="8" w:space="0" w:color="BFBFBF"/>
              <w:right w:val="single" w:sz="8" w:space="0" w:color="BFBFBF"/>
            </w:tcBorders>
            <w:vAlign w:val="center"/>
          </w:tcPr>
          <w:p w14:paraId="5EB740E0" w14:textId="5AA33849"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0,7</w:t>
            </w:r>
          </w:p>
        </w:tc>
        <w:tc>
          <w:tcPr>
            <w:tcW w:w="442" w:type="pct"/>
            <w:tcBorders>
              <w:top w:val="single" w:sz="8" w:space="0" w:color="BFBFBF"/>
              <w:left w:val="nil"/>
              <w:bottom w:val="single" w:sz="8" w:space="0" w:color="BFBFBF"/>
              <w:right w:val="single" w:sz="8" w:space="0" w:color="BFBFBF"/>
            </w:tcBorders>
            <w:vAlign w:val="center"/>
          </w:tcPr>
          <w:p w14:paraId="08CB52CB" w14:textId="42B33E8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0,5</w:t>
            </w:r>
          </w:p>
        </w:tc>
        <w:tc>
          <w:tcPr>
            <w:tcW w:w="442" w:type="pct"/>
            <w:tcBorders>
              <w:top w:val="single" w:sz="8" w:space="0" w:color="BFBFBF"/>
              <w:left w:val="nil"/>
              <w:bottom w:val="single" w:sz="8" w:space="0" w:color="BFBFBF"/>
              <w:right w:val="single" w:sz="8" w:space="0" w:color="BFBFBF"/>
            </w:tcBorders>
            <w:vAlign w:val="center"/>
          </w:tcPr>
          <w:p w14:paraId="0550CE84" w14:textId="7172C47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0,2</w:t>
            </w:r>
          </w:p>
        </w:tc>
        <w:tc>
          <w:tcPr>
            <w:tcW w:w="443" w:type="pct"/>
            <w:tcBorders>
              <w:top w:val="single" w:sz="8" w:space="0" w:color="BFBFBF"/>
              <w:left w:val="nil"/>
              <w:bottom w:val="single" w:sz="8" w:space="0" w:color="BFBFBF"/>
              <w:right w:val="single" w:sz="8" w:space="0" w:color="BFBFBF"/>
            </w:tcBorders>
            <w:vAlign w:val="center"/>
          </w:tcPr>
          <w:p w14:paraId="7266F326" w14:textId="5AE7F9FF"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0,2</w:t>
            </w:r>
          </w:p>
        </w:tc>
        <w:tc>
          <w:tcPr>
            <w:tcW w:w="442" w:type="pct"/>
            <w:tcBorders>
              <w:top w:val="single" w:sz="8" w:space="0" w:color="BFBFBF"/>
              <w:left w:val="nil"/>
              <w:bottom w:val="single" w:sz="8" w:space="0" w:color="BFBFBF"/>
              <w:right w:val="single" w:sz="8" w:space="0" w:color="BFBFBF"/>
            </w:tcBorders>
            <w:vAlign w:val="center"/>
          </w:tcPr>
          <w:p w14:paraId="728AE7EC" w14:textId="106E93B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0,1</w:t>
            </w:r>
          </w:p>
        </w:tc>
        <w:tc>
          <w:tcPr>
            <w:tcW w:w="442" w:type="pct"/>
            <w:tcBorders>
              <w:top w:val="single" w:sz="8" w:space="0" w:color="BFBFBF"/>
              <w:left w:val="nil"/>
              <w:bottom w:val="single" w:sz="8" w:space="0" w:color="BFBFBF"/>
              <w:right w:val="single" w:sz="8" w:space="0" w:color="BFBFBF"/>
            </w:tcBorders>
            <w:vAlign w:val="center"/>
          </w:tcPr>
          <w:p w14:paraId="62ABB767" w14:textId="7D25926B"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0,2</w:t>
            </w:r>
          </w:p>
        </w:tc>
        <w:tc>
          <w:tcPr>
            <w:tcW w:w="442" w:type="pct"/>
            <w:tcBorders>
              <w:top w:val="single" w:sz="8" w:space="0" w:color="BFBFBF"/>
              <w:left w:val="nil"/>
              <w:bottom w:val="single" w:sz="8" w:space="0" w:color="BFBFBF"/>
              <w:right w:val="single" w:sz="8" w:space="0" w:color="BFBFBF"/>
            </w:tcBorders>
            <w:vAlign w:val="center"/>
          </w:tcPr>
          <w:p w14:paraId="245FE09D" w14:textId="256F02E4"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0,1</w:t>
            </w:r>
          </w:p>
        </w:tc>
        <w:tc>
          <w:tcPr>
            <w:tcW w:w="443" w:type="pct"/>
            <w:tcBorders>
              <w:top w:val="single" w:sz="8" w:space="0" w:color="BFBFBF"/>
              <w:left w:val="nil"/>
              <w:bottom w:val="single" w:sz="8" w:space="0" w:color="BFBFBF"/>
              <w:right w:val="single" w:sz="8" w:space="0" w:color="BFBFBF"/>
            </w:tcBorders>
            <w:vAlign w:val="center"/>
          </w:tcPr>
          <w:p w14:paraId="7A931A51" w14:textId="168E466D" w:rsidR="007A66F5" w:rsidRPr="00EF3A3A"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2,1</w:t>
            </w:r>
          </w:p>
        </w:tc>
      </w:tr>
      <w:tr w:rsidR="00AF56E4" w:rsidRPr="00F423B9" w14:paraId="44CDA9C9"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698C5171" w14:textId="77777777" w:rsidR="007A66F5" w:rsidRPr="003B1D7B" w:rsidRDefault="007A66F5">
            <w:pPr>
              <w:spacing w:after="120"/>
              <w:rPr>
                <w:rFonts w:asciiTheme="minorHAnsi" w:eastAsia="Calibri" w:hAnsiTheme="minorHAnsi"/>
                <w:noProof/>
                <w:color w:val="003399" w:themeColor="text2"/>
                <w:sz w:val="22"/>
                <w:szCs w:val="22"/>
              </w:rPr>
            </w:pPr>
            <w:r w:rsidRPr="00EF3A3A">
              <w:rPr>
                <w:rFonts w:asciiTheme="minorHAnsi" w:hAnsiTheme="minorHAnsi"/>
                <w:noProof/>
                <w:color w:val="003399" w:themeColor="text2"/>
                <w:sz w:val="22"/>
              </w:rPr>
              <w:t>2 Coeziune, reziliență și valori</w:t>
            </w:r>
          </w:p>
        </w:tc>
        <w:tc>
          <w:tcPr>
            <w:tcW w:w="442" w:type="pct"/>
            <w:tcBorders>
              <w:top w:val="nil"/>
              <w:left w:val="nil"/>
              <w:bottom w:val="single" w:sz="8" w:space="0" w:color="BFBFBF"/>
              <w:right w:val="single" w:sz="8" w:space="0" w:color="BFBFBF"/>
            </w:tcBorders>
            <w:shd w:val="clear" w:color="auto" w:fill="F3F7FF" w:themeFill="background2"/>
            <w:vAlign w:val="center"/>
          </w:tcPr>
          <w:p w14:paraId="6F78F77D" w14:textId="2ECEAD96"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193E3FE9" w14:textId="49E6154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7B37272B" w14:textId="1ACB3111"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53924375" w14:textId="00261EB7"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32D0CC" w14:textId="5174F52C"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5A7A6DC1" w14:textId="0EEE76A6"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727399D1" w14:textId="6D4A821D"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1A3D82BF" w14:textId="6B308E4D" w:rsidR="007A66F5" w:rsidRPr="00EF3A3A"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0,1</w:t>
            </w:r>
          </w:p>
        </w:tc>
      </w:tr>
      <w:tr w:rsidR="000A2D2A" w:rsidRPr="00F423B9" w14:paraId="1A125161"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20F75A0A" w14:textId="77777777" w:rsidR="007A66F5" w:rsidRPr="003B1D7B" w:rsidRDefault="007A66F5" w:rsidP="00D16649">
            <w:pPr>
              <w:spacing w:after="120"/>
              <w:ind w:left="17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2.1 Coeziune economică, socială și teritorială</w:t>
            </w:r>
          </w:p>
        </w:tc>
        <w:tc>
          <w:tcPr>
            <w:tcW w:w="442" w:type="pct"/>
            <w:tcBorders>
              <w:top w:val="nil"/>
              <w:left w:val="nil"/>
              <w:bottom w:val="single" w:sz="8" w:space="0" w:color="BFBFBF"/>
              <w:right w:val="single" w:sz="8" w:space="0" w:color="BFBFBF"/>
            </w:tcBorders>
            <w:shd w:val="clear" w:color="auto" w:fill="F3F7FF" w:themeFill="background2"/>
            <w:vAlign w:val="center"/>
          </w:tcPr>
          <w:p w14:paraId="1D314A04" w14:textId="5E6E7B22"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DF42EB3" w14:textId="4F76B712"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04559C8" w14:textId="185A00B6"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3" w:type="pct"/>
            <w:tcBorders>
              <w:top w:val="nil"/>
              <w:left w:val="nil"/>
              <w:bottom w:val="single" w:sz="8" w:space="0" w:color="BFBFBF"/>
              <w:right w:val="single" w:sz="8" w:space="0" w:color="BFBFBF"/>
            </w:tcBorders>
            <w:shd w:val="clear" w:color="auto" w:fill="F3F7FF" w:themeFill="background2"/>
            <w:vAlign w:val="center"/>
          </w:tcPr>
          <w:p w14:paraId="4075F68E" w14:textId="4FDA116B"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08808B7E" w14:textId="7BDB24C3"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12F5B0C9" w14:textId="211E4673" w:rsidR="000A57B5" w:rsidRPr="00EF3A3A"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E33D247" w14:textId="21817C20"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3" w:type="pct"/>
            <w:tcBorders>
              <w:top w:val="nil"/>
              <w:left w:val="nil"/>
              <w:bottom w:val="single" w:sz="8" w:space="0" w:color="BFBFBF"/>
              <w:right w:val="single" w:sz="8" w:space="0" w:color="BFBFBF"/>
            </w:tcBorders>
            <w:shd w:val="clear" w:color="auto" w:fill="F3F7FF" w:themeFill="background2"/>
            <w:vAlign w:val="center"/>
          </w:tcPr>
          <w:p w14:paraId="6E67AADA" w14:textId="40CFFD7C" w:rsidR="007A66F5" w:rsidRPr="00EF3A3A"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0,0</w:t>
            </w:r>
          </w:p>
        </w:tc>
      </w:tr>
      <w:tr w:rsidR="000A2D2A" w:rsidRPr="00F423B9" w14:paraId="7C5E6D79"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4BC8A42B" w14:textId="77777777" w:rsidR="007A66F5" w:rsidRPr="003B1D7B" w:rsidRDefault="007A66F5" w:rsidP="00D16649">
            <w:pPr>
              <w:spacing w:after="120"/>
              <w:ind w:left="17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2.2 Reziliență și valori</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8F2C5B" w14:textId="7F83A300"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EEEFCD" w14:textId="78112CDC"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72CDBF74" w14:textId="45F2E97C"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3" w:type="pct"/>
            <w:tcBorders>
              <w:top w:val="nil"/>
              <w:left w:val="nil"/>
              <w:bottom w:val="single" w:sz="8" w:space="0" w:color="BFBFBF"/>
              <w:right w:val="single" w:sz="8" w:space="0" w:color="BFBFBF"/>
            </w:tcBorders>
            <w:shd w:val="clear" w:color="auto" w:fill="F3F7FF" w:themeFill="background2"/>
            <w:vAlign w:val="center"/>
          </w:tcPr>
          <w:p w14:paraId="1775553F" w14:textId="12F413BD"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0B541CAB" w14:textId="38A5FD65"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9E60A12" w14:textId="52F6ED52" w:rsidR="000A57B5" w:rsidRPr="00EF3A3A"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699BFC4E" w14:textId="65FB56A0"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3" w:type="pct"/>
            <w:tcBorders>
              <w:top w:val="nil"/>
              <w:left w:val="nil"/>
              <w:bottom w:val="single" w:sz="8" w:space="0" w:color="BFBFBF"/>
              <w:right w:val="single" w:sz="8" w:space="0" w:color="BFBFBF"/>
            </w:tcBorders>
            <w:shd w:val="clear" w:color="auto" w:fill="F3F7FF" w:themeFill="background2"/>
            <w:vAlign w:val="center"/>
          </w:tcPr>
          <w:p w14:paraId="0BB00FE5" w14:textId="063C4BE7" w:rsidR="007A66F5" w:rsidRPr="00EF3A3A"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0,1</w:t>
            </w:r>
          </w:p>
        </w:tc>
      </w:tr>
      <w:tr w:rsidR="000A2D2A" w:rsidRPr="00F423B9" w14:paraId="31FB0AFA"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4D9ABE61" w14:textId="77777777" w:rsidR="007A66F5" w:rsidRPr="003B1D7B" w:rsidRDefault="007A66F5" w:rsidP="00D56216">
            <w:pPr>
              <w:spacing w:after="120"/>
              <w:rPr>
                <w:rFonts w:asciiTheme="minorHAnsi" w:eastAsia="Calibri" w:hAnsiTheme="minorHAnsi"/>
                <w:noProof/>
                <w:color w:val="003399" w:themeColor="text2"/>
                <w:sz w:val="22"/>
                <w:szCs w:val="22"/>
              </w:rPr>
            </w:pPr>
            <w:r w:rsidRPr="00EF3A3A">
              <w:rPr>
                <w:rFonts w:asciiTheme="minorHAnsi" w:hAnsiTheme="minorHAnsi"/>
                <w:noProof/>
                <w:color w:val="003399" w:themeColor="text2"/>
                <w:sz w:val="22"/>
              </w:rPr>
              <w:t>3 Resurse naturale și mediu</w:t>
            </w:r>
          </w:p>
        </w:tc>
        <w:tc>
          <w:tcPr>
            <w:tcW w:w="442" w:type="pct"/>
            <w:tcBorders>
              <w:top w:val="nil"/>
              <w:left w:val="nil"/>
              <w:bottom w:val="single" w:sz="8" w:space="0" w:color="BFBFBF"/>
              <w:right w:val="single" w:sz="8" w:space="0" w:color="BFBFBF"/>
            </w:tcBorders>
            <w:vAlign w:val="center"/>
          </w:tcPr>
          <w:p w14:paraId="23963224" w14:textId="76373148"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vAlign w:val="center"/>
          </w:tcPr>
          <w:p w14:paraId="21DB0577" w14:textId="3E6A8C5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vAlign w:val="center"/>
          </w:tcPr>
          <w:p w14:paraId="76D375B3" w14:textId="1896E91B"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0,1</w:t>
            </w:r>
          </w:p>
        </w:tc>
        <w:tc>
          <w:tcPr>
            <w:tcW w:w="443" w:type="pct"/>
            <w:tcBorders>
              <w:top w:val="nil"/>
              <w:left w:val="nil"/>
              <w:bottom w:val="single" w:sz="8" w:space="0" w:color="BFBFBF"/>
              <w:right w:val="single" w:sz="8" w:space="0" w:color="BFBFBF"/>
            </w:tcBorders>
            <w:vAlign w:val="center"/>
          </w:tcPr>
          <w:p w14:paraId="559437E6" w14:textId="7079822E"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2316785" w14:textId="0084029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128BFEF7" w14:textId="636439A3"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2E98ABB3" w14:textId="170419CE"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0BDCD599" w14:textId="523885D4" w:rsidR="007A66F5" w:rsidRPr="00EF3A3A"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0,4</w:t>
            </w:r>
          </w:p>
        </w:tc>
      </w:tr>
      <w:tr w:rsidR="000A2D2A" w:rsidRPr="00F423B9" w14:paraId="08AA612C"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6E0DBBC" w14:textId="1A53A219" w:rsidR="007A66F5" w:rsidRPr="003B1D7B" w:rsidRDefault="007A66F5" w:rsidP="00D16649">
            <w:pPr>
              <w:ind w:left="17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3.1 Cheltuieli de piață și plăți directe</w:t>
            </w:r>
          </w:p>
        </w:tc>
        <w:tc>
          <w:tcPr>
            <w:tcW w:w="442" w:type="pct"/>
            <w:tcBorders>
              <w:top w:val="nil"/>
              <w:left w:val="nil"/>
              <w:bottom w:val="single" w:sz="8" w:space="0" w:color="BFBFBF"/>
              <w:right w:val="single" w:sz="8" w:space="0" w:color="BFBFBF"/>
            </w:tcBorders>
            <w:vAlign w:val="center"/>
          </w:tcPr>
          <w:p w14:paraId="20B207CE" w14:textId="135EAEE2"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60375593" w14:textId="3267CCAC"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5773B369" w14:textId="5323C1A4"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3" w:type="pct"/>
            <w:tcBorders>
              <w:top w:val="nil"/>
              <w:left w:val="nil"/>
              <w:bottom w:val="single" w:sz="8" w:space="0" w:color="BFBFBF"/>
              <w:right w:val="single" w:sz="8" w:space="0" w:color="BFBFBF"/>
            </w:tcBorders>
            <w:vAlign w:val="center"/>
          </w:tcPr>
          <w:p w14:paraId="323922EE" w14:textId="1DC8A4A5"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54FDDAA1" w14:textId="35610F48"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7447DA24" w14:textId="6793FF9E"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17C21844" w14:textId="33C22EA9"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3" w:type="pct"/>
            <w:tcBorders>
              <w:top w:val="nil"/>
              <w:left w:val="nil"/>
              <w:bottom w:val="single" w:sz="8" w:space="0" w:color="BFBFBF"/>
              <w:right w:val="single" w:sz="8" w:space="0" w:color="BFBFBF"/>
            </w:tcBorders>
            <w:vAlign w:val="center"/>
          </w:tcPr>
          <w:p w14:paraId="3F3FABB0" w14:textId="5D72F699" w:rsidR="007A66F5" w:rsidRPr="00EF3A3A"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0,0</w:t>
            </w:r>
          </w:p>
        </w:tc>
      </w:tr>
      <w:tr w:rsidR="000A2D2A" w:rsidRPr="008C77C4" w14:paraId="3AE80AEF"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B5E8D7C" w14:textId="2C203B08" w:rsidR="007A66F5" w:rsidRPr="003B1D7B" w:rsidRDefault="007A66F5" w:rsidP="00D16649">
            <w:pPr>
              <w:ind w:left="17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3.2 Alte programe legate de resurse naturale și mediu</w:t>
            </w:r>
          </w:p>
        </w:tc>
        <w:tc>
          <w:tcPr>
            <w:tcW w:w="442" w:type="pct"/>
            <w:tcBorders>
              <w:top w:val="nil"/>
              <w:left w:val="nil"/>
              <w:bottom w:val="single" w:sz="8" w:space="0" w:color="BFBFBF"/>
              <w:right w:val="single" w:sz="8" w:space="0" w:color="BFBFBF"/>
            </w:tcBorders>
            <w:vAlign w:val="center"/>
          </w:tcPr>
          <w:p w14:paraId="1D232823" w14:textId="3B84D034"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442" w:type="pct"/>
            <w:tcBorders>
              <w:top w:val="nil"/>
              <w:left w:val="nil"/>
              <w:bottom w:val="single" w:sz="8" w:space="0" w:color="BFBFBF"/>
              <w:right w:val="single" w:sz="8" w:space="0" w:color="BFBFBF"/>
            </w:tcBorders>
            <w:vAlign w:val="center"/>
          </w:tcPr>
          <w:p w14:paraId="53C0C7C9" w14:textId="71342751"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442" w:type="pct"/>
            <w:tcBorders>
              <w:top w:val="nil"/>
              <w:left w:val="nil"/>
              <w:bottom w:val="single" w:sz="8" w:space="0" w:color="BFBFBF"/>
              <w:right w:val="single" w:sz="8" w:space="0" w:color="BFBFBF"/>
            </w:tcBorders>
            <w:vAlign w:val="center"/>
          </w:tcPr>
          <w:p w14:paraId="06006605" w14:textId="78D532C0"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443" w:type="pct"/>
            <w:tcBorders>
              <w:top w:val="nil"/>
              <w:left w:val="nil"/>
              <w:bottom w:val="single" w:sz="8" w:space="0" w:color="BFBFBF"/>
              <w:right w:val="single" w:sz="8" w:space="0" w:color="BFBFBF"/>
            </w:tcBorders>
            <w:vAlign w:val="center"/>
          </w:tcPr>
          <w:p w14:paraId="47DD137D" w14:textId="2608F859"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07418EC3" w14:textId="412C26E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54432E19" w14:textId="55DD4B13" w:rsidR="000A57B5" w:rsidRPr="00EF3A3A"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1D135275" w14:textId="25960BF8"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0</w:t>
            </w:r>
          </w:p>
        </w:tc>
        <w:tc>
          <w:tcPr>
            <w:tcW w:w="443" w:type="pct"/>
            <w:tcBorders>
              <w:top w:val="nil"/>
              <w:left w:val="nil"/>
              <w:bottom w:val="single" w:sz="8" w:space="0" w:color="BFBFBF"/>
              <w:right w:val="single" w:sz="8" w:space="0" w:color="BFBFBF"/>
            </w:tcBorders>
            <w:vAlign w:val="center"/>
          </w:tcPr>
          <w:p w14:paraId="3AAA861E" w14:textId="1E6B2A98" w:rsidR="007A66F5" w:rsidRPr="00EF3A3A"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0,4</w:t>
            </w:r>
          </w:p>
        </w:tc>
      </w:tr>
      <w:tr w:rsidR="00AF56E4" w:rsidRPr="00F423B9" w14:paraId="055A6AEB"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72F84B16" w14:textId="77777777" w:rsidR="007A66F5" w:rsidRPr="003B1D7B" w:rsidRDefault="007A66F5">
            <w:pPr>
              <w:spacing w:after="120"/>
              <w:rPr>
                <w:rFonts w:asciiTheme="minorHAnsi" w:eastAsia="Calibri" w:hAnsiTheme="minorHAnsi"/>
                <w:noProof/>
                <w:color w:val="003399" w:themeColor="text2"/>
                <w:sz w:val="22"/>
                <w:szCs w:val="22"/>
              </w:rPr>
            </w:pPr>
            <w:r w:rsidRPr="00EF3A3A">
              <w:rPr>
                <w:rFonts w:asciiTheme="minorHAnsi" w:hAnsiTheme="minorHAnsi"/>
                <w:noProof/>
                <w:color w:val="003399" w:themeColor="text2"/>
                <w:sz w:val="22"/>
              </w:rPr>
              <w:t>4 Migrație și gestionarea frontierelor</w:t>
            </w:r>
          </w:p>
        </w:tc>
        <w:tc>
          <w:tcPr>
            <w:tcW w:w="442" w:type="pct"/>
            <w:tcBorders>
              <w:top w:val="nil"/>
              <w:left w:val="nil"/>
              <w:bottom w:val="single" w:sz="8" w:space="0" w:color="BFBFBF"/>
              <w:right w:val="single" w:sz="8" w:space="0" w:color="BFBFBF"/>
            </w:tcBorders>
            <w:shd w:val="clear" w:color="auto" w:fill="F3F7FF" w:themeFill="background2"/>
            <w:vAlign w:val="center"/>
          </w:tcPr>
          <w:p w14:paraId="6535180C" w14:textId="0855EA6F"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shd w:val="clear" w:color="auto" w:fill="F3F7FF" w:themeFill="background2"/>
            <w:vAlign w:val="center"/>
          </w:tcPr>
          <w:p w14:paraId="5FB021F0" w14:textId="630F66C9"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0D90D79E" w14:textId="60E70B4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3" w:type="pct"/>
            <w:tcBorders>
              <w:top w:val="single" w:sz="8" w:space="0" w:color="BFBFBF"/>
              <w:left w:val="nil"/>
              <w:bottom w:val="single" w:sz="8" w:space="0" w:color="BFBFBF"/>
              <w:right w:val="single" w:sz="8" w:space="0" w:color="BFBFBF"/>
            </w:tcBorders>
            <w:shd w:val="clear" w:color="auto" w:fill="F3F7FF" w:themeFill="background2"/>
            <w:vAlign w:val="center"/>
          </w:tcPr>
          <w:p w14:paraId="73C9D688" w14:textId="1AA88FF7"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21380AA1" w14:textId="4FA7C328"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1CAEA73B" w14:textId="71F6B9DC"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2D62A557" w14:textId="21450F15"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5E9E98D7" w14:textId="104DC8FC" w:rsidR="007A66F5" w:rsidRPr="00EF3A3A"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0,1</w:t>
            </w:r>
          </w:p>
        </w:tc>
      </w:tr>
      <w:tr w:rsidR="000A2D2A" w:rsidRPr="00F423B9" w14:paraId="256AAF93"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78C461AE" w14:textId="77777777" w:rsidR="007A66F5" w:rsidRPr="003B1D7B" w:rsidRDefault="007A66F5">
            <w:pPr>
              <w:spacing w:after="120"/>
              <w:rPr>
                <w:rFonts w:asciiTheme="minorHAnsi" w:eastAsia="Calibri" w:hAnsiTheme="minorHAnsi"/>
                <w:noProof/>
                <w:color w:val="003399" w:themeColor="text2"/>
                <w:sz w:val="22"/>
                <w:szCs w:val="22"/>
              </w:rPr>
            </w:pPr>
            <w:r w:rsidRPr="00EF3A3A">
              <w:rPr>
                <w:rFonts w:asciiTheme="minorHAnsi" w:hAnsiTheme="minorHAnsi"/>
                <w:noProof/>
                <w:color w:val="003399" w:themeColor="text2"/>
                <w:sz w:val="22"/>
              </w:rPr>
              <w:t>5 Securitate și apărare</w:t>
            </w:r>
          </w:p>
        </w:tc>
        <w:tc>
          <w:tcPr>
            <w:tcW w:w="442" w:type="pct"/>
            <w:tcBorders>
              <w:top w:val="nil"/>
              <w:left w:val="nil"/>
              <w:bottom w:val="single" w:sz="8" w:space="0" w:color="BFBFBF"/>
              <w:right w:val="single" w:sz="8" w:space="0" w:color="BFBFBF"/>
            </w:tcBorders>
            <w:vAlign w:val="center"/>
          </w:tcPr>
          <w:p w14:paraId="27498097" w14:textId="71604A4E"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6A52DB4A" w14:textId="160F7C96"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vAlign w:val="center"/>
          </w:tcPr>
          <w:p w14:paraId="44DC758E" w14:textId="6B2B4FD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1E801580" w14:textId="77A30B00"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2C58AC5" w14:textId="44E9F0D1"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5593D3D7" w14:textId="5DC85877"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84EA6E4" w14:textId="69F6C590"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6BBBF9CA" w14:textId="13243521" w:rsidR="007A66F5" w:rsidRPr="00EF3A3A"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0,1</w:t>
            </w:r>
          </w:p>
        </w:tc>
      </w:tr>
      <w:tr w:rsidR="000A2D2A" w:rsidRPr="00F423B9" w14:paraId="7CAD225E"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08DE512E" w14:textId="77777777" w:rsidR="007A66F5" w:rsidRPr="003B1D7B" w:rsidRDefault="007A66F5">
            <w:pPr>
              <w:spacing w:after="120"/>
              <w:rPr>
                <w:rFonts w:asciiTheme="minorHAnsi" w:eastAsia="Calibri" w:hAnsiTheme="minorHAnsi"/>
                <w:noProof/>
                <w:color w:val="003399" w:themeColor="text2"/>
                <w:sz w:val="22"/>
                <w:szCs w:val="22"/>
              </w:rPr>
            </w:pPr>
            <w:r w:rsidRPr="00EF3A3A">
              <w:rPr>
                <w:rFonts w:asciiTheme="minorHAnsi" w:hAnsiTheme="minorHAnsi"/>
                <w:noProof/>
                <w:color w:val="003399" w:themeColor="text2"/>
                <w:sz w:val="22"/>
              </w:rPr>
              <w:t>6 Vecinătate și întreaga lume</w:t>
            </w:r>
          </w:p>
        </w:tc>
        <w:tc>
          <w:tcPr>
            <w:tcW w:w="442" w:type="pct"/>
            <w:tcBorders>
              <w:top w:val="nil"/>
              <w:left w:val="nil"/>
              <w:bottom w:val="single" w:sz="8" w:space="0" w:color="BFBFBF"/>
              <w:right w:val="single" w:sz="8" w:space="0" w:color="BFBFBF"/>
            </w:tcBorders>
            <w:shd w:val="clear" w:color="auto" w:fill="F3F7FF" w:themeFill="background2"/>
            <w:vAlign w:val="center"/>
          </w:tcPr>
          <w:p w14:paraId="225E68EA" w14:textId="3B061A93"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0,7</w:t>
            </w:r>
          </w:p>
        </w:tc>
        <w:tc>
          <w:tcPr>
            <w:tcW w:w="442" w:type="pct"/>
            <w:tcBorders>
              <w:top w:val="nil"/>
              <w:left w:val="nil"/>
              <w:bottom w:val="single" w:sz="8" w:space="0" w:color="BFBFBF"/>
              <w:right w:val="single" w:sz="8" w:space="0" w:color="BFBFBF"/>
            </w:tcBorders>
            <w:shd w:val="clear" w:color="auto" w:fill="F3F7FF" w:themeFill="background2"/>
            <w:vAlign w:val="center"/>
          </w:tcPr>
          <w:p w14:paraId="14664732" w14:textId="74365D81"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0,7</w:t>
            </w:r>
          </w:p>
        </w:tc>
        <w:tc>
          <w:tcPr>
            <w:tcW w:w="442" w:type="pct"/>
            <w:tcBorders>
              <w:top w:val="nil"/>
              <w:left w:val="nil"/>
              <w:bottom w:val="single" w:sz="8" w:space="0" w:color="BFBFBF"/>
              <w:right w:val="single" w:sz="8" w:space="0" w:color="BFBFBF"/>
            </w:tcBorders>
            <w:shd w:val="clear" w:color="auto" w:fill="F3F7FF" w:themeFill="background2"/>
            <w:vAlign w:val="center"/>
          </w:tcPr>
          <w:p w14:paraId="0CE2BC53" w14:textId="64AE117A"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0,6</w:t>
            </w:r>
          </w:p>
        </w:tc>
        <w:tc>
          <w:tcPr>
            <w:tcW w:w="443" w:type="pct"/>
            <w:tcBorders>
              <w:top w:val="nil"/>
              <w:left w:val="nil"/>
              <w:bottom w:val="single" w:sz="8" w:space="0" w:color="BFBFBF"/>
              <w:right w:val="single" w:sz="8" w:space="0" w:color="BFBFBF"/>
            </w:tcBorders>
            <w:shd w:val="clear" w:color="auto" w:fill="F3F7FF" w:themeFill="background2"/>
            <w:vAlign w:val="center"/>
          </w:tcPr>
          <w:p w14:paraId="7CED51EA" w14:textId="04E159A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0,5</w:t>
            </w:r>
          </w:p>
        </w:tc>
        <w:tc>
          <w:tcPr>
            <w:tcW w:w="442" w:type="pct"/>
            <w:tcBorders>
              <w:top w:val="nil"/>
              <w:left w:val="nil"/>
              <w:bottom w:val="single" w:sz="8" w:space="0" w:color="BFBFBF"/>
              <w:right w:val="single" w:sz="8" w:space="0" w:color="BFBFBF"/>
            </w:tcBorders>
            <w:shd w:val="clear" w:color="auto" w:fill="F3F7FF" w:themeFill="background2"/>
            <w:vAlign w:val="center"/>
          </w:tcPr>
          <w:p w14:paraId="376C6EA0" w14:textId="54391776"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0,3</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3CDB80" w14:textId="2D45E1C2"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0,2</w:t>
            </w:r>
          </w:p>
        </w:tc>
        <w:tc>
          <w:tcPr>
            <w:tcW w:w="442" w:type="pct"/>
            <w:tcBorders>
              <w:top w:val="nil"/>
              <w:left w:val="nil"/>
              <w:bottom w:val="single" w:sz="8" w:space="0" w:color="BFBFBF"/>
              <w:right w:val="single" w:sz="8" w:space="0" w:color="BFBFBF"/>
            </w:tcBorders>
            <w:shd w:val="clear" w:color="auto" w:fill="F3F7FF" w:themeFill="background2"/>
            <w:vAlign w:val="center"/>
          </w:tcPr>
          <w:p w14:paraId="544EA8D9" w14:textId="6CF2ABC9"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0,1</w:t>
            </w:r>
          </w:p>
        </w:tc>
        <w:tc>
          <w:tcPr>
            <w:tcW w:w="443" w:type="pct"/>
            <w:tcBorders>
              <w:top w:val="nil"/>
              <w:left w:val="nil"/>
              <w:bottom w:val="single" w:sz="8" w:space="0" w:color="BFBFBF"/>
              <w:right w:val="single" w:sz="8" w:space="0" w:color="BFBFBF"/>
            </w:tcBorders>
            <w:shd w:val="clear" w:color="auto" w:fill="F3F7FF" w:themeFill="background2"/>
            <w:vAlign w:val="center"/>
          </w:tcPr>
          <w:p w14:paraId="124859E3" w14:textId="6F16F4B3" w:rsidR="007A66F5" w:rsidRPr="00EF3A3A"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3,1</w:t>
            </w:r>
          </w:p>
        </w:tc>
      </w:tr>
      <w:tr w:rsidR="00586721" w:rsidRPr="00F423B9" w14:paraId="405CFA2C" w14:textId="77777777" w:rsidTr="00610F45">
        <w:trPr>
          <w:trHeight w:val="465"/>
        </w:trPr>
        <w:tc>
          <w:tcPr>
            <w:cnfStyle w:val="001000000000" w:firstRow="0" w:lastRow="0" w:firstColumn="1" w:lastColumn="0" w:oddVBand="0" w:evenVBand="0" w:oddHBand="0" w:evenHBand="0" w:firstRowFirstColumn="0" w:firstRowLastColumn="0" w:lastRowFirstColumn="0" w:lastRowLastColumn="0"/>
            <w:tcW w:w="1459" w:type="pct"/>
            <w:shd w:val="clear" w:color="auto" w:fill="D9D9D9" w:themeFill="background1" w:themeFillShade="D9"/>
          </w:tcPr>
          <w:p w14:paraId="190C663D" w14:textId="77777777" w:rsidR="007A66F5" w:rsidRPr="00C5567C" w:rsidRDefault="007A66F5">
            <w:pPr>
              <w:spacing w:after="120"/>
              <w:rPr>
                <w:rFonts w:asciiTheme="minorHAnsi" w:eastAsia="Calibri" w:hAnsiTheme="minorHAnsi"/>
                <w:noProof/>
                <w:color w:val="000000" w:themeColor="text1"/>
                <w:sz w:val="22"/>
                <w:szCs w:val="22"/>
              </w:rPr>
            </w:pPr>
            <w:r w:rsidRPr="00EF3A3A">
              <w:rPr>
                <w:rFonts w:asciiTheme="minorHAnsi" w:hAnsiTheme="minorHAnsi"/>
                <w:noProof/>
                <w:color w:val="000000" w:themeColor="text1"/>
                <w:sz w:val="22"/>
              </w:rPr>
              <w:t>Total</w:t>
            </w:r>
          </w:p>
        </w:tc>
        <w:tc>
          <w:tcPr>
            <w:tcW w:w="442" w:type="pct"/>
            <w:tcBorders>
              <w:top w:val="nil"/>
              <w:left w:val="nil"/>
              <w:bottom w:val="nil"/>
              <w:right w:val="single" w:sz="8" w:space="0" w:color="BFBFBF"/>
            </w:tcBorders>
            <w:shd w:val="clear" w:color="auto" w:fill="D9D9D9" w:themeFill="background1" w:themeFillShade="D9"/>
            <w:vAlign w:val="center"/>
          </w:tcPr>
          <w:p w14:paraId="62F9904E" w14:textId="51CE08BE" w:rsidR="007A66F5" w:rsidRPr="00B426DE"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1,7</w:t>
            </w:r>
          </w:p>
        </w:tc>
        <w:tc>
          <w:tcPr>
            <w:tcW w:w="442" w:type="pct"/>
            <w:tcBorders>
              <w:top w:val="nil"/>
              <w:left w:val="nil"/>
              <w:bottom w:val="nil"/>
              <w:right w:val="single" w:sz="8" w:space="0" w:color="BFBFBF"/>
            </w:tcBorders>
            <w:shd w:val="clear" w:color="auto" w:fill="D9D9D9" w:themeFill="background1" w:themeFillShade="D9"/>
            <w:vAlign w:val="center"/>
          </w:tcPr>
          <w:p w14:paraId="6212225C" w14:textId="68324DE4"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1,4</w:t>
            </w:r>
          </w:p>
        </w:tc>
        <w:tc>
          <w:tcPr>
            <w:tcW w:w="442" w:type="pct"/>
            <w:tcBorders>
              <w:top w:val="nil"/>
              <w:left w:val="nil"/>
              <w:bottom w:val="nil"/>
              <w:right w:val="single" w:sz="8" w:space="0" w:color="BFBFBF"/>
            </w:tcBorders>
            <w:shd w:val="clear" w:color="auto" w:fill="D9D9D9" w:themeFill="background1" w:themeFillShade="D9"/>
            <w:vAlign w:val="center"/>
          </w:tcPr>
          <w:p w14:paraId="1D904174" w14:textId="6CE3211B"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0,9</w:t>
            </w:r>
          </w:p>
        </w:tc>
        <w:tc>
          <w:tcPr>
            <w:tcW w:w="443" w:type="pct"/>
            <w:tcBorders>
              <w:top w:val="nil"/>
              <w:left w:val="nil"/>
              <w:bottom w:val="nil"/>
              <w:right w:val="single" w:sz="8" w:space="0" w:color="BFBFBF"/>
            </w:tcBorders>
            <w:shd w:val="clear" w:color="auto" w:fill="D9D9D9" w:themeFill="background1" w:themeFillShade="D9"/>
            <w:vAlign w:val="center"/>
          </w:tcPr>
          <w:p w14:paraId="202171FD" w14:textId="6079FD9F"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0,8</w:t>
            </w:r>
          </w:p>
        </w:tc>
        <w:tc>
          <w:tcPr>
            <w:tcW w:w="442" w:type="pct"/>
            <w:tcBorders>
              <w:top w:val="nil"/>
              <w:left w:val="nil"/>
              <w:bottom w:val="nil"/>
              <w:right w:val="single" w:sz="8" w:space="0" w:color="BFBFBF"/>
            </w:tcBorders>
            <w:shd w:val="clear" w:color="auto" w:fill="D9D9D9" w:themeFill="background1" w:themeFillShade="D9"/>
            <w:vAlign w:val="center"/>
          </w:tcPr>
          <w:p w14:paraId="3E1EAB5C" w14:textId="43039D7F"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0,4</w:t>
            </w:r>
          </w:p>
        </w:tc>
        <w:tc>
          <w:tcPr>
            <w:tcW w:w="442" w:type="pct"/>
            <w:tcBorders>
              <w:top w:val="nil"/>
              <w:left w:val="nil"/>
              <w:bottom w:val="nil"/>
              <w:right w:val="single" w:sz="8" w:space="0" w:color="BFBFBF"/>
            </w:tcBorders>
            <w:shd w:val="clear" w:color="auto" w:fill="D9D9D9" w:themeFill="background1" w:themeFillShade="D9"/>
            <w:vAlign w:val="center"/>
          </w:tcPr>
          <w:p w14:paraId="093B1741" w14:textId="7CBDD7B7" w:rsidR="000A57B5" w:rsidRPr="00B426DE"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0,5</w:t>
            </w:r>
          </w:p>
        </w:tc>
        <w:tc>
          <w:tcPr>
            <w:tcW w:w="442" w:type="pct"/>
            <w:tcBorders>
              <w:top w:val="nil"/>
              <w:left w:val="nil"/>
              <w:bottom w:val="nil"/>
              <w:right w:val="single" w:sz="8" w:space="0" w:color="BFBFBF"/>
            </w:tcBorders>
            <w:shd w:val="clear" w:color="auto" w:fill="D9D9D9" w:themeFill="background1" w:themeFillShade="D9"/>
            <w:vAlign w:val="center"/>
          </w:tcPr>
          <w:p w14:paraId="3AA6126F" w14:textId="1A098BBB" w:rsidR="000A57B5" w:rsidRPr="00B426DE"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0,2</w:t>
            </w:r>
          </w:p>
        </w:tc>
        <w:tc>
          <w:tcPr>
            <w:tcW w:w="443" w:type="pct"/>
            <w:shd w:val="clear" w:color="auto" w:fill="D9D9D9" w:themeFill="background1" w:themeFillShade="D9"/>
            <w:vAlign w:val="center"/>
          </w:tcPr>
          <w:p w14:paraId="6823CC2E" w14:textId="3E09ED81" w:rsidR="007A66F5" w:rsidRPr="00EF3A3A"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5,9</w:t>
            </w:r>
          </w:p>
        </w:tc>
      </w:tr>
    </w:tbl>
    <w:p w14:paraId="2A58B687" w14:textId="77777777" w:rsidR="00934FFF" w:rsidRPr="00F423B9" w:rsidRDefault="00934FFF" w:rsidP="00682537">
      <w:pPr>
        <w:rPr>
          <w:rFonts w:asciiTheme="majorHAnsi" w:hAnsiTheme="majorHAnsi"/>
          <w:noProof/>
        </w:rPr>
        <w:sectPr w:rsidR="00934FFF" w:rsidRPr="00F423B9">
          <w:headerReference w:type="even" r:id="rId28"/>
          <w:headerReference w:type="default" r:id="rId29"/>
          <w:footerReference w:type="even" r:id="rId30"/>
          <w:footerReference w:type="default" r:id="rId31"/>
          <w:headerReference w:type="first" r:id="rId32"/>
          <w:footerReference w:type="first" r:id="rId33"/>
          <w:pgSz w:w="11906" w:h="16838"/>
          <w:pgMar w:top="1321" w:right="1151" w:bottom="1440" w:left="1151" w:header="720" w:footer="720" w:gutter="0"/>
          <w:cols w:space="720"/>
          <w:docGrid w:linePitch="326"/>
        </w:sectPr>
      </w:pPr>
    </w:p>
    <w:p w14:paraId="285F1836" w14:textId="5B1AE7EF" w:rsidR="00934FFF" w:rsidRPr="00EF3A3A" w:rsidRDefault="00934FFF" w:rsidP="00934FFF">
      <w:pPr>
        <w:pStyle w:val="Heading2"/>
        <w:rPr>
          <w:rFonts w:asciiTheme="majorHAnsi" w:hAnsiTheme="majorHAnsi"/>
          <w:noProof/>
        </w:rPr>
      </w:pPr>
      <w:bookmarkStart w:id="83" w:name="_Toc235439618"/>
      <w:r w:rsidRPr="00EF3A3A">
        <w:rPr>
          <w:rFonts w:asciiTheme="majorHAnsi" w:hAnsiTheme="majorHAnsi"/>
          <w:noProof/>
        </w:rPr>
        <w:t>Tabelul 1.4 – Plăți pentru angajamentele din perioada 2028-2034</w:t>
      </w:r>
      <w:bookmarkEnd w:id="83"/>
    </w:p>
    <w:tbl>
      <w:tblPr>
        <w:tblStyle w:val="AMPR2021"/>
        <w:tblW w:w="5252"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2831"/>
        <w:gridCol w:w="918"/>
        <w:gridCol w:w="918"/>
        <w:gridCol w:w="918"/>
        <w:gridCol w:w="918"/>
        <w:gridCol w:w="918"/>
        <w:gridCol w:w="918"/>
        <w:gridCol w:w="918"/>
        <w:gridCol w:w="1058"/>
      </w:tblGrid>
      <w:tr w:rsidR="00607FF2" w:rsidRPr="00F423B9" w14:paraId="75BA2081" w14:textId="77777777" w:rsidTr="00BA6C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pct"/>
          </w:tcPr>
          <w:p w14:paraId="7168AE7A" w14:textId="77777777" w:rsidR="007E1EE8" w:rsidRPr="00406E9B" w:rsidRDefault="007E1EE8" w:rsidP="007E1EE8">
            <w:pPr>
              <w:rPr>
                <w:rFonts w:asciiTheme="minorHAnsi" w:eastAsia="Calibri" w:hAnsiTheme="minorHAnsi"/>
                <w:b w:val="0"/>
                <w:noProof/>
                <w:sz w:val="22"/>
                <w:szCs w:val="22"/>
              </w:rPr>
            </w:pPr>
            <w:r w:rsidRPr="00EF3A3A">
              <w:rPr>
                <w:rFonts w:asciiTheme="minorHAnsi" w:hAnsiTheme="minorHAnsi"/>
                <w:noProof/>
                <w:sz w:val="22"/>
              </w:rPr>
              <w:t>Rubrica CFM</w:t>
            </w:r>
          </w:p>
        </w:tc>
        <w:tc>
          <w:tcPr>
            <w:tcW w:w="445" w:type="pct"/>
          </w:tcPr>
          <w:p w14:paraId="407E44DF"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2028</w:t>
            </w:r>
          </w:p>
        </w:tc>
        <w:tc>
          <w:tcPr>
            <w:tcW w:w="445" w:type="pct"/>
          </w:tcPr>
          <w:p w14:paraId="4724F960"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2029</w:t>
            </w:r>
          </w:p>
        </w:tc>
        <w:tc>
          <w:tcPr>
            <w:tcW w:w="445" w:type="pct"/>
          </w:tcPr>
          <w:p w14:paraId="707FB3F6"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2030</w:t>
            </w:r>
          </w:p>
        </w:tc>
        <w:tc>
          <w:tcPr>
            <w:tcW w:w="445" w:type="pct"/>
          </w:tcPr>
          <w:p w14:paraId="6E27C745"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2031</w:t>
            </w:r>
          </w:p>
        </w:tc>
        <w:tc>
          <w:tcPr>
            <w:tcW w:w="445" w:type="pct"/>
          </w:tcPr>
          <w:p w14:paraId="07149948"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2032</w:t>
            </w:r>
          </w:p>
        </w:tc>
        <w:tc>
          <w:tcPr>
            <w:tcW w:w="445" w:type="pct"/>
          </w:tcPr>
          <w:p w14:paraId="3C491255"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2033</w:t>
            </w:r>
          </w:p>
        </w:tc>
        <w:tc>
          <w:tcPr>
            <w:tcW w:w="445" w:type="pct"/>
          </w:tcPr>
          <w:p w14:paraId="339F87FB" w14:textId="7975CBB4"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EF3A3A">
              <w:rPr>
                <w:rFonts w:asciiTheme="minorHAnsi" w:hAnsiTheme="minorHAnsi"/>
                <w:noProof/>
                <w:sz w:val="22"/>
              </w:rPr>
              <w:t>2034</w:t>
            </w:r>
          </w:p>
        </w:tc>
        <w:tc>
          <w:tcPr>
            <w:tcW w:w="513" w:type="pct"/>
          </w:tcPr>
          <w:p w14:paraId="5A51230A" w14:textId="7A327493"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Total</w:t>
            </w:r>
          </w:p>
        </w:tc>
      </w:tr>
      <w:tr w:rsidR="00AD7836" w:rsidRPr="00F423B9" w14:paraId="56903E6D" w14:textId="77777777" w:rsidTr="003B1D7B">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07DE7F5" w14:textId="4F3DACD1" w:rsidR="00AD7836" w:rsidRPr="00406E9B" w:rsidRDefault="00D70476" w:rsidP="00AD7836">
            <w:pPr>
              <w:spacing w:after="120"/>
              <w:rPr>
                <w:rFonts w:asciiTheme="minorHAnsi" w:eastAsia="Calibri" w:hAnsiTheme="minorHAnsi"/>
                <w:noProof/>
                <w:color w:val="003399" w:themeColor="text2"/>
                <w:sz w:val="22"/>
                <w:szCs w:val="18"/>
              </w:rPr>
            </w:pPr>
            <w:r w:rsidRPr="00EF3A3A">
              <w:rPr>
                <w:rFonts w:asciiTheme="minorHAnsi" w:hAnsiTheme="minorHAnsi"/>
                <w:noProof/>
                <w:color w:val="003399" w:themeColor="text2"/>
                <w:sz w:val="22"/>
              </w:rPr>
              <w:t>1. Coeziune economică, socială și teritorială, agricultură și zone rurale, afaceri maritime, prosperitate și securitate</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134215C" w14:textId="164BCC98"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108,0</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47F084FD" w14:textId="74F4AF45"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122,6</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712AAB16" w14:textId="69F4D1EA"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150,8</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CF253BF" w14:textId="7025F4EB"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150,7</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47837777" w14:textId="7B31BF52"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157,8</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198AE919" w14:textId="3E85B8FB"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144,3</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6A4AF682" w14:textId="2B164954"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130,3</w:t>
            </w:r>
          </w:p>
        </w:tc>
        <w:tc>
          <w:tcPr>
            <w:tcW w:w="513" w:type="pct"/>
            <w:tcBorders>
              <w:top w:val="single" w:sz="8" w:space="0" w:color="BFBFBF" w:themeColor="background1" w:themeShade="BF"/>
              <w:left w:val="nil"/>
              <w:bottom w:val="single" w:sz="8" w:space="0" w:color="BFBFBF" w:themeColor="background1" w:themeShade="BF"/>
              <w:right w:val="nil"/>
            </w:tcBorders>
            <w:vAlign w:val="center"/>
          </w:tcPr>
          <w:p w14:paraId="011D27E5" w14:textId="3303B47E" w:rsidR="00AD7836" w:rsidRPr="00EF3A3A"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F3A3A">
              <w:rPr>
                <w:rFonts w:asciiTheme="minorHAnsi" w:hAnsiTheme="minorHAnsi"/>
                <w:b/>
                <w:noProof/>
                <w:color w:val="000000" w:themeColor="text1"/>
                <w:sz w:val="22"/>
              </w:rPr>
              <w:t>964,6</w:t>
            </w:r>
          </w:p>
        </w:tc>
      </w:tr>
      <w:tr w:rsidR="00EA6749" w:rsidRPr="00F423B9" w14:paraId="38ED1511" w14:textId="77777777" w:rsidTr="00EA6749">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6B7CB50" w14:textId="661C778A" w:rsidR="00AD7836" w:rsidRPr="00406E9B" w:rsidRDefault="00D70476" w:rsidP="00AD7836">
            <w:pPr>
              <w:spacing w:after="120"/>
              <w:rPr>
                <w:rFonts w:asciiTheme="minorHAnsi" w:eastAsia="Calibri" w:hAnsiTheme="minorHAnsi"/>
                <w:noProof/>
                <w:color w:val="003399" w:themeColor="text2"/>
                <w:sz w:val="22"/>
                <w:szCs w:val="18"/>
              </w:rPr>
            </w:pPr>
            <w:r w:rsidRPr="00EF3A3A">
              <w:rPr>
                <w:rFonts w:asciiTheme="minorHAnsi" w:hAnsiTheme="minorHAnsi"/>
                <w:noProof/>
                <w:color w:val="003399" w:themeColor="text2"/>
                <w:sz w:val="22"/>
              </w:rPr>
              <w:t>2. Competitivitate, prosperitate și securitate</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59E462D" w14:textId="1107F4A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14,8</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3F6EB24" w14:textId="794296E4"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40,6</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2A77FCC" w14:textId="0AA3A750"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57,4</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EDE8607" w14:textId="43564C8D"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68,8</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9C8C157" w14:textId="60C3A8AB"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73,1</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5ADF7C0" w14:textId="4D2A9418"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82,9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2A79819" w14:textId="75802CBD"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86,2</w:t>
            </w:r>
          </w:p>
        </w:tc>
        <w:tc>
          <w:tcPr>
            <w:tcW w:w="513" w:type="pct"/>
            <w:tcBorders>
              <w:top w:val="nil"/>
              <w:left w:val="nil"/>
              <w:bottom w:val="single" w:sz="8" w:space="0" w:color="BFBFBF" w:themeColor="background1" w:themeShade="BF"/>
              <w:right w:val="nil"/>
            </w:tcBorders>
            <w:shd w:val="clear" w:color="auto" w:fill="F3F7FF" w:themeFill="background2"/>
            <w:vAlign w:val="center"/>
          </w:tcPr>
          <w:p w14:paraId="5E067616" w14:textId="303018A5" w:rsidR="00AD7836" w:rsidRPr="00EF3A3A"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F3A3A">
              <w:rPr>
                <w:rFonts w:asciiTheme="minorHAnsi" w:hAnsiTheme="minorHAnsi"/>
                <w:b/>
                <w:noProof/>
                <w:color w:val="000000" w:themeColor="text1"/>
                <w:sz w:val="22"/>
              </w:rPr>
              <w:t>423,7</w:t>
            </w:r>
          </w:p>
        </w:tc>
      </w:tr>
      <w:tr w:rsidR="006615F6" w:rsidRPr="00F423B9" w14:paraId="36FAE15F" w14:textId="77777777" w:rsidTr="00BA6CD0">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vAlign w:val="center"/>
          </w:tcPr>
          <w:p w14:paraId="0FA9E0FB" w14:textId="1AD982A4" w:rsidR="00AD7836" w:rsidRPr="00406E9B" w:rsidRDefault="00D70476" w:rsidP="00AD7836">
            <w:pPr>
              <w:spacing w:after="120"/>
              <w:rPr>
                <w:rFonts w:asciiTheme="minorHAnsi" w:eastAsia="Calibri" w:hAnsiTheme="minorHAnsi"/>
                <w:noProof/>
                <w:color w:val="003399" w:themeColor="text2"/>
                <w:sz w:val="22"/>
                <w:szCs w:val="18"/>
              </w:rPr>
            </w:pPr>
            <w:r w:rsidRPr="00EF3A3A">
              <w:rPr>
                <w:rFonts w:asciiTheme="minorHAnsi" w:hAnsiTheme="minorHAnsi"/>
                <w:noProof/>
                <w:color w:val="003399" w:themeColor="text2"/>
                <w:sz w:val="22"/>
              </w:rPr>
              <w:t>3. Europa globală</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4B251408" w14:textId="51414E90"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4,8</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687E55B1" w14:textId="516FC68C"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9,9</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51AA4F86" w14:textId="4820D9B4"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14,6</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0DB9BAEC" w14:textId="2F4C96F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19,6</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2944B126" w14:textId="28498EDA"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24,8</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4B4CC83C" w14:textId="28FA0F59"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28,9</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13C3D082" w14:textId="1C2B8E1E"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32,3</w:t>
            </w:r>
          </w:p>
        </w:tc>
        <w:tc>
          <w:tcPr>
            <w:tcW w:w="513" w:type="pct"/>
            <w:tcBorders>
              <w:top w:val="nil"/>
              <w:left w:val="nil"/>
              <w:bottom w:val="single" w:sz="8" w:space="0" w:color="BFBFBF" w:themeColor="background1" w:themeShade="BF"/>
              <w:right w:val="nil"/>
            </w:tcBorders>
            <w:vAlign w:val="center"/>
          </w:tcPr>
          <w:p w14:paraId="5BAA7FEF" w14:textId="402E47BC" w:rsidR="00AD7836" w:rsidRPr="00EF3A3A"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F3A3A">
              <w:rPr>
                <w:rFonts w:asciiTheme="minorHAnsi" w:hAnsiTheme="minorHAnsi"/>
                <w:b/>
                <w:noProof/>
                <w:color w:val="000000" w:themeColor="text1"/>
                <w:sz w:val="22"/>
              </w:rPr>
              <w:t>134,8</w:t>
            </w:r>
          </w:p>
        </w:tc>
      </w:tr>
      <w:tr w:rsidR="00EA6749" w:rsidRPr="00F423B9" w14:paraId="29241786" w14:textId="77777777" w:rsidTr="00EA6749">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6E58E60" w14:textId="10DF6FF4" w:rsidR="00AD7836" w:rsidRPr="00406E9B" w:rsidRDefault="00D70476" w:rsidP="00AD7836">
            <w:pPr>
              <w:spacing w:after="120"/>
              <w:rPr>
                <w:rFonts w:asciiTheme="minorHAnsi" w:eastAsia="Calibri" w:hAnsiTheme="minorHAnsi"/>
                <w:noProof/>
                <w:color w:val="003399" w:themeColor="text2"/>
                <w:sz w:val="22"/>
                <w:szCs w:val="18"/>
              </w:rPr>
            </w:pPr>
            <w:r w:rsidRPr="00EF3A3A">
              <w:rPr>
                <w:rFonts w:asciiTheme="minorHAnsi" w:hAnsiTheme="minorHAnsi"/>
                <w:noProof/>
                <w:color w:val="003399" w:themeColor="text2"/>
                <w:sz w:val="22"/>
              </w:rPr>
              <w:t>4. Administrare</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20DCA6E" w14:textId="4DF7E4F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14,9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61B7C88" w14:textId="3A18EB25"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15,6</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47854B72" w14:textId="6901C27B"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16,3</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FAC1D51" w14:textId="038ED2F0"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b/>
                <w:noProof/>
                <w:color w:val="003399" w:themeColor="text2"/>
              </w:rPr>
              <w:t>16,9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8EDA283" w14:textId="193EE408"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17,5</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F805F9E" w14:textId="1CBECC24"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18,1</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1A3D5111" w14:textId="5EAA549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EF3A3A">
              <w:rPr>
                <w:rFonts w:asciiTheme="minorHAnsi" w:hAnsiTheme="minorHAnsi"/>
                <w:b/>
                <w:noProof/>
                <w:color w:val="003399" w:themeColor="text2"/>
              </w:rPr>
              <w:t>18,7</w:t>
            </w:r>
          </w:p>
        </w:tc>
        <w:tc>
          <w:tcPr>
            <w:tcW w:w="513" w:type="pct"/>
            <w:tcBorders>
              <w:top w:val="nil"/>
              <w:left w:val="nil"/>
              <w:bottom w:val="single" w:sz="8" w:space="0" w:color="BFBFBF" w:themeColor="background1" w:themeShade="BF"/>
              <w:right w:val="nil"/>
            </w:tcBorders>
            <w:shd w:val="clear" w:color="auto" w:fill="F3F7FF" w:themeFill="background2"/>
            <w:vAlign w:val="center"/>
          </w:tcPr>
          <w:p w14:paraId="7AE11D0B" w14:textId="4A82D050" w:rsidR="00AD7836" w:rsidRPr="00EF3A3A"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F3A3A">
              <w:rPr>
                <w:rFonts w:asciiTheme="minorHAnsi" w:hAnsiTheme="minorHAnsi"/>
                <w:b/>
                <w:noProof/>
                <w:color w:val="000000" w:themeColor="text1"/>
                <w:sz w:val="22"/>
              </w:rPr>
              <w:t>117,9</w:t>
            </w:r>
          </w:p>
        </w:tc>
      </w:tr>
      <w:tr w:rsidR="00BA6CD0" w:rsidRPr="00F423B9" w14:paraId="0CF4FFF7" w14:textId="77777777" w:rsidTr="00BA6CD0">
        <w:trPr>
          <w:trHeight w:val="465"/>
        </w:trPr>
        <w:tc>
          <w:tcPr>
            <w:cnfStyle w:val="001000000000" w:firstRow="0" w:lastRow="0" w:firstColumn="1" w:lastColumn="0" w:oddVBand="0" w:evenVBand="0" w:oddHBand="0" w:evenHBand="0" w:firstRowFirstColumn="0" w:firstRowLastColumn="0" w:lastRowFirstColumn="0" w:lastRowLastColumn="0"/>
            <w:tcW w:w="1372" w:type="pct"/>
            <w:shd w:val="clear" w:color="auto" w:fill="D9D9D9" w:themeFill="background1" w:themeFillShade="D9"/>
          </w:tcPr>
          <w:p w14:paraId="2F67CD7E" w14:textId="77777777" w:rsidR="00AD7836" w:rsidRPr="00C5567C" w:rsidRDefault="00AD7836" w:rsidP="00AD7836">
            <w:pPr>
              <w:spacing w:after="120"/>
              <w:rPr>
                <w:rFonts w:asciiTheme="minorHAnsi" w:eastAsia="Calibri" w:hAnsiTheme="minorHAnsi"/>
                <w:noProof/>
                <w:color w:val="000000" w:themeColor="text1"/>
                <w:sz w:val="22"/>
                <w:szCs w:val="18"/>
              </w:rPr>
            </w:pPr>
            <w:r w:rsidRPr="00EF3A3A">
              <w:rPr>
                <w:rFonts w:asciiTheme="minorHAnsi" w:hAnsiTheme="minorHAnsi"/>
                <w:noProof/>
                <w:color w:val="000000" w:themeColor="text1"/>
                <w:sz w:val="22"/>
              </w:rPr>
              <w:t>Total</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79463CB4" w14:textId="12373A49"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142,6</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693C525" w14:textId="6BC3C667"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188,7</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3DFEEABE" w14:textId="509F4CFC"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239,0</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77804DBE" w14:textId="0A594B39"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256,0</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033603F" w14:textId="1EA77DDC"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273,2</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E000BDC" w14:textId="1A942496"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274,1</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403A5A2A" w14:textId="404C42CB"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267,5</w:t>
            </w:r>
          </w:p>
        </w:tc>
        <w:tc>
          <w:tcPr>
            <w:tcW w:w="513" w:type="pct"/>
            <w:tcBorders>
              <w:top w:val="nil"/>
              <w:left w:val="nil"/>
              <w:bottom w:val="nil"/>
              <w:right w:val="nil"/>
            </w:tcBorders>
            <w:shd w:val="clear" w:color="auto" w:fill="D9D9D9" w:themeFill="background1" w:themeFillShade="D9"/>
            <w:vAlign w:val="center"/>
          </w:tcPr>
          <w:p w14:paraId="02D3A887" w14:textId="2E1CFBE1" w:rsidR="00AD7836" w:rsidRPr="00EF3A3A"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F3A3A">
              <w:rPr>
                <w:rFonts w:asciiTheme="minorHAnsi" w:hAnsiTheme="minorHAnsi"/>
                <w:b/>
                <w:noProof/>
                <w:color w:val="000000" w:themeColor="text1"/>
                <w:sz w:val="22"/>
              </w:rPr>
              <w:t>1</w:t>
            </w:r>
            <w:r w:rsidRPr="00EF3A3A">
              <w:rPr>
                <w:rFonts w:ascii="Calibri" w:hAnsi="Calibri" w:cs="Calibri"/>
                <w:b/>
                <w:noProof/>
                <w:color w:val="000000" w:themeColor="text1"/>
                <w:sz w:val="22"/>
              </w:rPr>
              <w:t> </w:t>
            </w:r>
            <w:r w:rsidRPr="00EF3A3A">
              <w:rPr>
                <w:rFonts w:asciiTheme="minorHAnsi" w:hAnsiTheme="minorHAnsi"/>
                <w:b/>
                <w:noProof/>
                <w:color w:val="000000" w:themeColor="text1"/>
                <w:sz w:val="22"/>
              </w:rPr>
              <w:t>641,0</w:t>
            </w:r>
          </w:p>
        </w:tc>
      </w:tr>
    </w:tbl>
    <w:p w14:paraId="623DAEEA" w14:textId="77777777" w:rsidR="00AD7836" w:rsidRDefault="00AD7836" w:rsidP="00682537">
      <w:pPr>
        <w:rPr>
          <w:rFonts w:asciiTheme="majorHAnsi" w:hAnsiTheme="majorHAnsi"/>
          <w:noProof/>
        </w:rPr>
        <w:sectPr w:rsidR="00AD7836">
          <w:headerReference w:type="default" r:id="rId34"/>
          <w:footerReference w:type="default" r:id="rId35"/>
          <w:pgSz w:w="11906" w:h="16838"/>
          <w:pgMar w:top="1321" w:right="1151" w:bottom="1440" w:left="1151" w:header="720" w:footer="720" w:gutter="0"/>
          <w:cols w:space="720"/>
          <w:docGrid w:linePitch="326"/>
        </w:sectPr>
      </w:pPr>
    </w:p>
    <w:p w14:paraId="45547C87" w14:textId="654860A7" w:rsidR="00861C1C" w:rsidRPr="00EF3A3A" w:rsidRDefault="2A67BF04" w:rsidP="009C6708">
      <w:pPr>
        <w:pStyle w:val="Heading2"/>
        <w:rPr>
          <w:rFonts w:asciiTheme="majorHAnsi" w:hAnsiTheme="majorHAnsi"/>
          <w:noProof/>
        </w:rPr>
      </w:pPr>
      <w:bookmarkStart w:id="84" w:name="_Toc235439619"/>
      <w:r w:rsidRPr="00EF3A3A">
        <w:rPr>
          <w:rFonts w:asciiTheme="majorHAnsi" w:hAnsiTheme="majorHAnsi"/>
          <w:noProof/>
        </w:rPr>
        <w:t>Tabelul 2 – Dezangajările prevăzute pentru perioada 2027-2034</w:t>
      </w:r>
      <w:bookmarkEnd w:id="84"/>
    </w:p>
    <w:tbl>
      <w:tblPr>
        <w:tblStyle w:val="AMPR2021"/>
        <w:tblW w:w="0" w:type="auto"/>
        <w:tblBorders>
          <w:top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5102"/>
        <w:gridCol w:w="1549"/>
        <w:gridCol w:w="1549"/>
        <w:gridCol w:w="1549"/>
      </w:tblGrid>
      <w:tr w:rsidR="00861C1C" w:rsidRPr="00F423B9" w14:paraId="0C5AD426" w14:textId="77777777" w:rsidTr="008729D0">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5102" w:type="dxa"/>
          </w:tcPr>
          <w:p w14:paraId="553A200F" w14:textId="77777777" w:rsidR="00861C1C" w:rsidRPr="003B1D7B" w:rsidRDefault="003B6DC2">
            <w:pPr>
              <w:rPr>
                <w:rFonts w:asciiTheme="minorHAnsi" w:eastAsia="Calibri" w:hAnsiTheme="minorHAnsi"/>
                <w:b w:val="0"/>
                <w:noProof/>
                <w:sz w:val="22"/>
                <w:szCs w:val="22"/>
              </w:rPr>
            </w:pPr>
            <w:r w:rsidRPr="00EF3A3A">
              <w:rPr>
                <w:rFonts w:asciiTheme="minorHAnsi" w:hAnsiTheme="minorHAnsi"/>
                <w:noProof/>
                <w:sz w:val="22"/>
              </w:rPr>
              <w:t>Rubrica CFM</w:t>
            </w:r>
          </w:p>
        </w:tc>
        <w:tc>
          <w:tcPr>
            <w:tcW w:w="1549" w:type="dxa"/>
          </w:tcPr>
          <w:p w14:paraId="31ECB132" w14:textId="77777777" w:rsidR="00861C1C" w:rsidRPr="003B1D7B"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Finalizare</w:t>
            </w:r>
          </w:p>
        </w:tc>
        <w:tc>
          <w:tcPr>
            <w:tcW w:w="1549" w:type="dxa"/>
          </w:tcPr>
          <w:p w14:paraId="6056AB85" w14:textId="6D5015C1" w:rsidR="00861C1C" w:rsidRPr="003B1D7B"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CFM 2021</w:t>
            </w:r>
            <w:r w:rsidR="00EF3A3A" w:rsidRPr="00EF3A3A">
              <w:rPr>
                <w:rFonts w:asciiTheme="minorHAnsi" w:hAnsiTheme="minorHAnsi"/>
                <w:noProof/>
                <w:sz w:val="22"/>
              </w:rPr>
              <w:t>­</w:t>
            </w:r>
            <w:r w:rsidRPr="00EF3A3A">
              <w:rPr>
                <w:rFonts w:asciiTheme="minorHAnsi" w:hAnsiTheme="minorHAnsi"/>
                <w:noProof/>
                <w:sz w:val="22"/>
              </w:rPr>
              <w:t>2027</w:t>
            </w:r>
          </w:p>
        </w:tc>
        <w:tc>
          <w:tcPr>
            <w:tcW w:w="1549" w:type="dxa"/>
          </w:tcPr>
          <w:p w14:paraId="77FEFDC8" w14:textId="77777777" w:rsidR="00861C1C" w:rsidRPr="003B1D7B"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EF3A3A">
              <w:rPr>
                <w:rFonts w:asciiTheme="minorHAnsi" w:hAnsiTheme="minorHAnsi"/>
                <w:noProof/>
                <w:sz w:val="22"/>
              </w:rPr>
              <w:t>Total</w:t>
            </w:r>
          </w:p>
        </w:tc>
      </w:tr>
      <w:tr w:rsidR="00CD66D5" w:rsidRPr="00F423B9" w14:paraId="29CAC9CD"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Pr>
          <w:p w14:paraId="13897E43" w14:textId="77777777" w:rsidR="00861C1C" w:rsidRPr="003B1D7B" w:rsidRDefault="003B6DC2">
            <w:pPr>
              <w:spacing w:after="12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1 Piața unică, inovare și sectorul digital</w:t>
            </w:r>
          </w:p>
        </w:tc>
        <w:tc>
          <w:tcPr>
            <w:tcW w:w="1549"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1CBD9C9F" w14:textId="00034450" w:rsidR="00861C1C" w:rsidRPr="003B1D7B" w:rsidRDefault="00E5778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1,1</w:t>
            </w:r>
          </w:p>
        </w:tc>
        <w:tc>
          <w:tcPr>
            <w:tcW w:w="1549"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312E2FCB" w14:textId="082BF4E2" w:rsidR="00861C1C" w:rsidRPr="003B1D7B"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1,3</w:t>
            </w:r>
          </w:p>
        </w:tc>
        <w:tc>
          <w:tcPr>
            <w:tcW w:w="1549" w:type="dxa"/>
            <w:tcBorders>
              <w:top w:val="single" w:sz="8" w:space="0" w:color="BFBFBF" w:themeColor="background1" w:themeShade="BF"/>
              <w:left w:val="nil"/>
              <w:bottom w:val="single" w:sz="8" w:space="0" w:color="BFBFBF" w:themeColor="background1" w:themeShade="BF"/>
              <w:right w:val="nil"/>
            </w:tcBorders>
            <w:vAlign w:val="center"/>
          </w:tcPr>
          <w:p w14:paraId="53EC42C8" w14:textId="7A5B08BB" w:rsidR="00861C1C" w:rsidRPr="00EF3A3A"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2,4</w:t>
            </w:r>
          </w:p>
        </w:tc>
      </w:tr>
      <w:tr w:rsidR="00CD66D5" w:rsidRPr="00F423B9" w14:paraId="0B3921F3"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63AC7A76" w14:textId="77777777" w:rsidR="00861C1C" w:rsidRPr="003B1D7B" w:rsidRDefault="003B6DC2">
            <w:pPr>
              <w:spacing w:after="12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2 Coeziune, reziliență și valori</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AE2FB86" w14:textId="62741B95" w:rsidR="00861C1C" w:rsidRPr="003B1D7B" w:rsidRDefault="00C6075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1,7</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0D82AC9" w14:textId="7AE74167" w:rsidR="00861C1C" w:rsidRPr="003B1D7B" w:rsidRDefault="00185A87"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1,3</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1FEE121A" w14:textId="03CB6E77" w:rsidR="00861C1C" w:rsidRPr="00EF3A3A"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2,9</w:t>
            </w:r>
          </w:p>
        </w:tc>
      </w:tr>
      <w:tr w:rsidR="00CD66D5" w:rsidRPr="00F423B9" w14:paraId="321D33B5"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29D82B17" w14:textId="77777777" w:rsidR="00861C1C" w:rsidRPr="002E6F73" w:rsidRDefault="2A67BF04" w:rsidP="00CD66D5">
            <w:pPr>
              <w:spacing w:after="120"/>
              <w:ind w:left="170"/>
              <w:rPr>
                <w:rFonts w:asciiTheme="minorHAnsi" w:eastAsia="Calibri" w:hAnsiTheme="minorHAnsi"/>
                <w:b w:val="0"/>
                <w:bCs/>
                <w:noProof/>
                <w:color w:val="003399" w:themeColor="text2"/>
                <w:sz w:val="22"/>
                <w:szCs w:val="22"/>
              </w:rPr>
            </w:pPr>
            <w:r w:rsidRPr="00EF3A3A">
              <w:rPr>
                <w:rFonts w:asciiTheme="minorHAnsi" w:hAnsiTheme="minorHAnsi"/>
                <w:b w:val="0"/>
                <w:noProof/>
                <w:color w:val="003399" w:themeColor="text2"/>
                <w:sz w:val="22"/>
              </w:rPr>
              <w:t>2</w:t>
            </w:r>
            <w:r>
              <w:rPr>
                <w:rFonts w:asciiTheme="minorHAnsi" w:hAnsiTheme="minorHAnsi"/>
                <w:b w:val="0"/>
                <w:noProof/>
                <w:color w:val="003399" w:themeColor="text2"/>
                <w:sz w:val="22"/>
              </w:rPr>
              <w:t>.</w:t>
            </w:r>
            <w:r w:rsidRPr="00EF3A3A">
              <w:rPr>
                <w:rFonts w:asciiTheme="minorHAnsi" w:hAnsiTheme="minorHAnsi"/>
                <w:b w:val="0"/>
                <w:noProof/>
                <w:color w:val="003399" w:themeColor="text2"/>
                <w:sz w:val="22"/>
              </w:rPr>
              <w:t>1</w:t>
            </w:r>
            <w:r>
              <w:rPr>
                <w:rFonts w:asciiTheme="minorHAnsi" w:hAnsiTheme="minorHAnsi"/>
                <w:b w:val="0"/>
                <w:noProof/>
                <w:color w:val="003399" w:themeColor="text2"/>
                <w:sz w:val="22"/>
              </w:rPr>
              <w:t xml:space="preserve"> Coeziune economică, socială și teritorială</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4F9D397" w14:textId="25900A8D" w:rsidR="00861C1C" w:rsidRPr="003B1D7B"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1</w:t>
            </w:r>
            <w:r>
              <w:rPr>
                <w:rFonts w:asciiTheme="minorHAnsi" w:hAnsiTheme="minorHAnsi"/>
                <w:noProof/>
                <w:color w:val="003399" w:themeColor="text2"/>
              </w:rPr>
              <w:t>,</w:t>
            </w:r>
            <w:r w:rsidRPr="00EF3A3A">
              <w:rPr>
                <w:rFonts w:asciiTheme="minorHAnsi" w:hAnsiTheme="minorHAnsi"/>
                <w:noProof/>
                <w:color w:val="003399" w:themeColor="text2"/>
              </w:rPr>
              <w:t>6</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F373792" w14:textId="21F190ED" w:rsidR="00861C1C" w:rsidRPr="003B1D7B" w:rsidRDefault="00185A87"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4</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645BD592" w14:textId="4B51956F" w:rsidR="00861C1C" w:rsidRPr="00EF3A3A"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2,0</w:t>
            </w:r>
          </w:p>
        </w:tc>
      </w:tr>
      <w:tr w:rsidR="00CD66D5" w:rsidRPr="00F423B9" w14:paraId="25BD1C8E"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25556F49" w14:textId="77777777" w:rsidR="00861C1C" w:rsidRPr="002E6F73" w:rsidRDefault="003B6DC2" w:rsidP="00CD66D5">
            <w:pPr>
              <w:spacing w:after="120"/>
              <w:ind w:left="170"/>
              <w:rPr>
                <w:rFonts w:asciiTheme="minorHAnsi" w:eastAsia="Calibri" w:hAnsiTheme="minorHAnsi"/>
                <w:b w:val="0"/>
                <w:bCs/>
                <w:noProof/>
                <w:color w:val="003399" w:themeColor="text2"/>
                <w:sz w:val="22"/>
                <w:szCs w:val="22"/>
              </w:rPr>
            </w:pPr>
            <w:r w:rsidRPr="00EF3A3A">
              <w:rPr>
                <w:rFonts w:asciiTheme="minorHAnsi" w:hAnsiTheme="minorHAnsi"/>
                <w:b w:val="0"/>
                <w:noProof/>
                <w:color w:val="003399" w:themeColor="text2"/>
                <w:sz w:val="22"/>
              </w:rPr>
              <w:t>2</w:t>
            </w:r>
            <w:r>
              <w:rPr>
                <w:rFonts w:asciiTheme="minorHAnsi" w:hAnsiTheme="minorHAnsi"/>
                <w:b w:val="0"/>
                <w:noProof/>
                <w:color w:val="003399" w:themeColor="text2"/>
                <w:sz w:val="22"/>
              </w:rPr>
              <w:t>.</w:t>
            </w:r>
            <w:r w:rsidRPr="00EF3A3A">
              <w:rPr>
                <w:rFonts w:asciiTheme="minorHAnsi" w:hAnsiTheme="minorHAnsi"/>
                <w:b w:val="0"/>
                <w:noProof/>
                <w:color w:val="003399" w:themeColor="text2"/>
                <w:sz w:val="22"/>
              </w:rPr>
              <w:t>2</w:t>
            </w:r>
            <w:r>
              <w:rPr>
                <w:rFonts w:asciiTheme="minorHAnsi" w:hAnsiTheme="minorHAnsi"/>
                <w:b w:val="0"/>
                <w:noProof/>
                <w:color w:val="003399" w:themeColor="text2"/>
                <w:sz w:val="22"/>
              </w:rPr>
              <w:t xml:space="preserve"> Reziliență și valori</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99B16C3" w14:textId="13DEAC27" w:rsidR="00861C1C" w:rsidRPr="003B1D7B" w:rsidRDefault="66545B3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1</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DC52F7A" w14:textId="607F0C10" w:rsidR="00861C1C" w:rsidRPr="003B1D7B"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rFonts w:asciiTheme="minorHAnsi" w:hAnsiTheme="minorHAnsi"/>
                <w:noProof/>
                <w:color w:val="003399" w:themeColor="text2"/>
              </w:rPr>
              <w:t>0</w:t>
            </w:r>
            <w:r>
              <w:rPr>
                <w:rFonts w:asciiTheme="minorHAnsi" w:hAnsiTheme="minorHAnsi"/>
                <w:noProof/>
                <w:color w:val="003399" w:themeColor="text2"/>
              </w:rPr>
              <w:t>,</w:t>
            </w:r>
            <w:r w:rsidRPr="00EF3A3A">
              <w:rPr>
                <w:rFonts w:asciiTheme="minorHAnsi" w:hAnsiTheme="minorHAnsi"/>
                <w:noProof/>
                <w:color w:val="003399" w:themeColor="text2"/>
              </w:rPr>
              <w:t>9</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00BB1FBC" w14:textId="70050186" w:rsidR="00861C1C" w:rsidRPr="00EF3A3A"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0,9</w:t>
            </w:r>
          </w:p>
        </w:tc>
      </w:tr>
      <w:tr w:rsidR="00804C3F" w:rsidRPr="00F423B9" w14:paraId="2589BF42"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Pr>
          <w:p w14:paraId="62FD4256" w14:textId="05BD9379" w:rsidR="008729D0" w:rsidRPr="003B1D7B" w:rsidRDefault="008729D0" w:rsidP="008729D0">
            <w:pPr>
              <w:spacing w:after="12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3 Resurse naturale și mediu</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28E6BEEA" w14:textId="14EF637D" w:rsidR="008729D0" w:rsidRPr="008729D0"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2,3</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3736D4C0" w14:textId="57128976" w:rsidR="008729D0" w:rsidRPr="008729D0"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EF3A3A">
              <w:rPr>
                <w:b/>
                <w:noProof/>
                <w:color w:val="003399" w:themeColor="text2"/>
              </w:rPr>
              <w:t>1,2</w:t>
            </w:r>
          </w:p>
        </w:tc>
        <w:tc>
          <w:tcPr>
            <w:tcW w:w="1549" w:type="dxa"/>
            <w:tcBorders>
              <w:top w:val="nil"/>
              <w:left w:val="nil"/>
              <w:bottom w:val="single" w:sz="8" w:space="0" w:color="BFBFBF" w:themeColor="background1" w:themeShade="BF"/>
              <w:right w:val="nil"/>
            </w:tcBorders>
            <w:vAlign w:val="center"/>
          </w:tcPr>
          <w:p w14:paraId="4D8C9700" w14:textId="396E4E87" w:rsidR="008729D0" w:rsidRPr="00EF3A3A"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0000" w:themeColor="text1"/>
                <w:sz w:val="22"/>
                <w:szCs w:val="22"/>
              </w:rPr>
            </w:pPr>
            <w:r w:rsidRPr="00EF3A3A">
              <w:rPr>
                <w:b/>
                <w:noProof/>
              </w:rPr>
              <w:t>3,5</w:t>
            </w:r>
          </w:p>
        </w:tc>
      </w:tr>
      <w:tr w:rsidR="00804C3F" w:rsidRPr="00F423B9" w14:paraId="1B65F24B"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78C73CFF" w14:textId="4386C8C9" w:rsidR="008729D0" w:rsidRPr="002E6F73" w:rsidRDefault="008729D0" w:rsidP="008729D0">
            <w:pPr>
              <w:spacing w:after="120"/>
              <w:ind w:left="170"/>
              <w:rPr>
                <w:rFonts w:asciiTheme="minorHAnsi" w:eastAsia="Calibri" w:hAnsiTheme="minorHAnsi"/>
                <w:b w:val="0"/>
                <w:bCs/>
                <w:noProof/>
                <w:color w:val="003399" w:themeColor="text2"/>
                <w:sz w:val="22"/>
                <w:szCs w:val="22"/>
              </w:rPr>
            </w:pPr>
            <w:r w:rsidRPr="00EF3A3A">
              <w:rPr>
                <w:rFonts w:asciiTheme="minorHAnsi" w:hAnsiTheme="minorHAnsi"/>
                <w:b w:val="0"/>
                <w:noProof/>
                <w:color w:val="003399" w:themeColor="text2"/>
                <w:sz w:val="22"/>
              </w:rPr>
              <w:t>3</w:t>
            </w:r>
            <w:r>
              <w:rPr>
                <w:rFonts w:asciiTheme="minorHAnsi" w:hAnsiTheme="minorHAnsi"/>
                <w:b w:val="0"/>
                <w:noProof/>
                <w:color w:val="003399" w:themeColor="text2"/>
                <w:sz w:val="22"/>
              </w:rPr>
              <w:t>.</w:t>
            </w:r>
            <w:r w:rsidRPr="00EF3A3A">
              <w:rPr>
                <w:rFonts w:asciiTheme="minorHAnsi" w:hAnsiTheme="minorHAnsi"/>
                <w:b w:val="0"/>
                <w:noProof/>
                <w:color w:val="003399" w:themeColor="text2"/>
                <w:sz w:val="22"/>
              </w:rPr>
              <w:t>1</w:t>
            </w:r>
            <w:r>
              <w:rPr>
                <w:rFonts w:asciiTheme="minorHAnsi" w:hAnsiTheme="minorHAnsi"/>
                <w:b w:val="0"/>
                <w:noProof/>
                <w:color w:val="003399" w:themeColor="text2"/>
                <w:sz w:val="22"/>
              </w:rPr>
              <w:t xml:space="preserve"> Cheltuieli de piață și plăți directe</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0E7BFECC" w14:textId="7A53115F"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noProof/>
                <w:color w:val="003399" w:themeColor="text2"/>
              </w:rPr>
              <w:t>0</w:t>
            </w:r>
            <w:r>
              <w:rPr>
                <w:noProof/>
                <w:color w:val="003399" w:themeColor="text2"/>
              </w:rPr>
              <w:t>,</w:t>
            </w:r>
            <w:r w:rsidRPr="00EF3A3A">
              <w:rPr>
                <w:noProof/>
                <w:color w:val="003399" w:themeColor="text2"/>
              </w:rPr>
              <w:t>0</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45EA8AD6" w14:textId="1F48748C"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EF3A3A">
              <w:rPr>
                <w:noProof/>
                <w:color w:val="003399" w:themeColor="text2"/>
              </w:rPr>
              <w:t>0</w:t>
            </w:r>
            <w:r>
              <w:rPr>
                <w:noProof/>
                <w:color w:val="003399" w:themeColor="text2"/>
              </w:rPr>
              <w:t>,</w:t>
            </w:r>
            <w:r w:rsidRPr="00EF3A3A">
              <w:rPr>
                <w:noProof/>
                <w:color w:val="003399" w:themeColor="text2"/>
              </w:rPr>
              <w:t>0</w:t>
            </w:r>
          </w:p>
        </w:tc>
        <w:tc>
          <w:tcPr>
            <w:tcW w:w="1549" w:type="dxa"/>
            <w:tcBorders>
              <w:top w:val="nil"/>
              <w:left w:val="nil"/>
              <w:bottom w:val="single" w:sz="8" w:space="0" w:color="BFBFBF" w:themeColor="background1" w:themeShade="BF"/>
              <w:right w:val="nil"/>
            </w:tcBorders>
            <w:vAlign w:val="center"/>
          </w:tcPr>
          <w:p w14:paraId="51DD0C75" w14:textId="4572A6E5" w:rsidR="008729D0" w:rsidRPr="00EF3A3A"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F3A3A">
              <w:rPr>
                <w:noProof/>
              </w:rPr>
              <w:t>0</w:t>
            </w:r>
            <w:r>
              <w:rPr>
                <w:noProof/>
              </w:rPr>
              <w:t>,</w:t>
            </w:r>
            <w:r w:rsidRPr="00EF3A3A">
              <w:rPr>
                <w:noProof/>
              </w:rPr>
              <w:t>0</w:t>
            </w:r>
          </w:p>
        </w:tc>
      </w:tr>
      <w:tr w:rsidR="00804C3F" w:rsidRPr="00F423B9" w14:paraId="302FC164"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307AFBCD" w14:textId="67CC062B" w:rsidR="008729D0" w:rsidRPr="002E6F73" w:rsidRDefault="008729D0" w:rsidP="008729D0">
            <w:pPr>
              <w:spacing w:after="120"/>
              <w:ind w:left="170"/>
              <w:rPr>
                <w:rFonts w:asciiTheme="minorHAnsi" w:eastAsia="Calibri" w:hAnsiTheme="minorHAnsi"/>
                <w:b w:val="0"/>
                <w:bCs/>
                <w:noProof/>
                <w:color w:val="003399" w:themeColor="text2"/>
                <w:sz w:val="22"/>
                <w:szCs w:val="22"/>
              </w:rPr>
            </w:pPr>
            <w:r w:rsidRPr="00EF3A3A">
              <w:rPr>
                <w:rFonts w:asciiTheme="minorHAnsi" w:hAnsiTheme="minorHAnsi"/>
                <w:b w:val="0"/>
                <w:noProof/>
                <w:color w:val="003399" w:themeColor="text2"/>
                <w:sz w:val="22"/>
              </w:rPr>
              <w:t>3</w:t>
            </w:r>
            <w:r>
              <w:rPr>
                <w:rFonts w:asciiTheme="minorHAnsi" w:hAnsiTheme="minorHAnsi"/>
                <w:b w:val="0"/>
                <w:noProof/>
                <w:color w:val="003399" w:themeColor="text2"/>
                <w:sz w:val="22"/>
              </w:rPr>
              <w:t>.</w:t>
            </w:r>
            <w:r w:rsidRPr="00EF3A3A">
              <w:rPr>
                <w:rFonts w:asciiTheme="minorHAnsi" w:hAnsiTheme="minorHAnsi"/>
                <w:b w:val="0"/>
                <w:noProof/>
                <w:color w:val="003399" w:themeColor="text2"/>
                <w:sz w:val="22"/>
              </w:rPr>
              <w:t>2</w:t>
            </w:r>
            <w:r>
              <w:rPr>
                <w:rFonts w:asciiTheme="minorHAnsi" w:hAnsiTheme="minorHAnsi"/>
                <w:b w:val="0"/>
                <w:noProof/>
                <w:color w:val="003399" w:themeColor="text2"/>
                <w:sz w:val="22"/>
              </w:rPr>
              <w:t xml:space="preserve"> Alte programe legate de resurse naturale și mediu</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791AC37B" w14:textId="3B8C2C52"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noProof/>
                <w:color w:val="003399" w:themeColor="text2"/>
              </w:rPr>
              <w:t>2</w:t>
            </w:r>
            <w:r>
              <w:rPr>
                <w:noProof/>
                <w:color w:val="003399" w:themeColor="text2"/>
              </w:rPr>
              <w:t>,</w:t>
            </w:r>
            <w:r w:rsidRPr="00EF3A3A">
              <w:rPr>
                <w:noProof/>
                <w:color w:val="003399" w:themeColor="text2"/>
              </w:rPr>
              <w:t>3</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12CA47FD" w14:textId="12D4402F"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EF3A3A">
              <w:rPr>
                <w:noProof/>
                <w:color w:val="003399" w:themeColor="text2"/>
              </w:rPr>
              <w:t>1</w:t>
            </w:r>
            <w:r>
              <w:rPr>
                <w:noProof/>
                <w:color w:val="003399" w:themeColor="text2"/>
              </w:rPr>
              <w:t>,</w:t>
            </w:r>
            <w:r w:rsidRPr="00EF3A3A">
              <w:rPr>
                <w:noProof/>
                <w:color w:val="003399" w:themeColor="text2"/>
              </w:rPr>
              <w:t>2</w:t>
            </w:r>
          </w:p>
        </w:tc>
        <w:tc>
          <w:tcPr>
            <w:tcW w:w="1549" w:type="dxa"/>
            <w:tcBorders>
              <w:top w:val="nil"/>
              <w:left w:val="nil"/>
              <w:bottom w:val="single" w:sz="8" w:space="0" w:color="BFBFBF" w:themeColor="background1" w:themeShade="BF"/>
              <w:right w:val="nil"/>
            </w:tcBorders>
            <w:vAlign w:val="center"/>
          </w:tcPr>
          <w:p w14:paraId="75386396" w14:textId="0E73D772" w:rsidR="008729D0" w:rsidRPr="00EF3A3A"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noProof/>
              </w:rPr>
              <w:t>3</w:t>
            </w:r>
            <w:r>
              <w:rPr>
                <w:noProof/>
              </w:rPr>
              <w:t>,</w:t>
            </w:r>
            <w:r w:rsidRPr="00EF3A3A">
              <w:rPr>
                <w:noProof/>
              </w:rPr>
              <w:t>5</w:t>
            </w:r>
          </w:p>
        </w:tc>
      </w:tr>
      <w:tr w:rsidR="00CD66D5" w:rsidRPr="00F423B9" w14:paraId="5AA64EC4"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437220C0" w14:textId="59282784" w:rsidR="00861C1C" w:rsidRPr="003B1D7B" w:rsidRDefault="003B6DC2">
            <w:pPr>
              <w:spacing w:after="12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4 Migrație și gestionarea frontierelor</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C5F504D" w14:textId="64B85AEA"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0,6</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F9858B0" w14:textId="0F84BB59"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528F330D" w14:textId="7213EDDE" w:rsidR="00861C1C" w:rsidRPr="00EF3A3A"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0,6</w:t>
            </w:r>
          </w:p>
        </w:tc>
      </w:tr>
      <w:tr w:rsidR="00CD66D5" w:rsidRPr="00F423B9" w14:paraId="3104574E"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39289543" w14:textId="1FE4FCAE" w:rsidR="00861C1C" w:rsidRPr="003B1D7B" w:rsidRDefault="003B6DC2">
            <w:pPr>
              <w:spacing w:after="12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5 Securitate și apărare</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64F2FFEF" w14:textId="019941C2"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0,1</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5951506F" w14:textId="6F7C565D" w:rsidR="00861C1C" w:rsidRPr="003B1D7B" w:rsidRDefault="0389906F"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0,0</w:t>
            </w:r>
          </w:p>
        </w:tc>
        <w:tc>
          <w:tcPr>
            <w:tcW w:w="1549" w:type="dxa"/>
            <w:tcBorders>
              <w:top w:val="nil"/>
              <w:left w:val="nil"/>
              <w:bottom w:val="single" w:sz="8" w:space="0" w:color="BFBFBF" w:themeColor="background1" w:themeShade="BF"/>
              <w:right w:val="nil"/>
            </w:tcBorders>
            <w:vAlign w:val="center"/>
          </w:tcPr>
          <w:p w14:paraId="1F879FA6" w14:textId="100A120B" w:rsidR="00861C1C" w:rsidRPr="00EF3A3A"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0,1</w:t>
            </w:r>
          </w:p>
        </w:tc>
      </w:tr>
      <w:tr w:rsidR="00CD66D5" w:rsidRPr="00F423B9" w14:paraId="2CD70082"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E96276D" w14:textId="4FB22D31" w:rsidR="00861C1C" w:rsidRPr="003B1D7B" w:rsidRDefault="003B6DC2">
            <w:pPr>
              <w:spacing w:after="120"/>
              <w:rPr>
                <w:rFonts w:asciiTheme="minorHAnsi" w:eastAsia="Calibri" w:hAnsiTheme="minorHAnsi"/>
                <w:b w:val="0"/>
                <w:noProof/>
                <w:color w:val="003399" w:themeColor="text2"/>
                <w:sz w:val="22"/>
                <w:szCs w:val="22"/>
              </w:rPr>
            </w:pPr>
            <w:r w:rsidRPr="00EF3A3A">
              <w:rPr>
                <w:rFonts w:asciiTheme="minorHAnsi" w:hAnsiTheme="minorHAnsi"/>
                <w:noProof/>
                <w:color w:val="003399" w:themeColor="text2"/>
                <w:sz w:val="22"/>
              </w:rPr>
              <w:t>6 Vecinătate și întreaga lume</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1733D24" w14:textId="6D62F05B"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0,3</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CFD5EED" w14:textId="267331DA"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EF3A3A">
              <w:rPr>
                <w:rFonts w:asciiTheme="minorHAnsi" w:hAnsiTheme="minorHAnsi"/>
                <w:b/>
                <w:noProof/>
                <w:color w:val="003399" w:themeColor="text2"/>
              </w:rPr>
              <w:t>1,0</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0F2F8391" w14:textId="4308E497" w:rsidR="00861C1C" w:rsidRPr="00EF3A3A"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1,3</w:t>
            </w:r>
          </w:p>
        </w:tc>
      </w:tr>
      <w:tr w:rsidR="00586721" w:rsidRPr="00F423B9" w14:paraId="26F229FD" w14:textId="77777777" w:rsidTr="003A6FA3">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single" w:sz="6" w:space="0" w:color="BFBFBF" w:themeColor="background1" w:themeShade="BF"/>
              <w:bottom w:val="nil"/>
            </w:tcBorders>
            <w:shd w:val="clear" w:color="auto" w:fill="D9D9D9" w:themeFill="background1" w:themeFillShade="D9"/>
          </w:tcPr>
          <w:p w14:paraId="4F3B42DB" w14:textId="77777777" w:rsidR="00861C1C" w:rsidRPr="003B1D7B" w:rsidRDefault="003B6DC2">
            <w:pPr>
              <w:spacing w:after="120"/>
              <w:rPr>
                <w:rFonts w:asciiTheme="minorHAnsi" w:hAnsiTheme="minorHAnsi"/>
                <w:noProof/>
                <w:color w:val="003399" w:themeColor="text2"/>
                <w:sz w:val="22"/>
                <w:szCs w:val="22"/>
              </w:rPr>
            </w:pPr>
            <w:r w:rsidRPr="00EF3A3A">
              <w:rPr>
                <w:rFonts w:asciiTheme="minorHAnsi" w:hAnsiTheme="minorHAnsi"/>
                <w:noProof/>
                <w:color w:val="003399" w:themeColor="text2"/>
                <w:sz w:val="22"/>
              </w:rPr>
              <w:t>Total</w:t>
            </w:r>
          </w:p>
        </w:tc>
        <w:tc>
          <w:tcPr>
            <w:tcW w:w="1549" w:type="dxa"/>
            <w:tcBorders>
              <w:top w:val="nil"/>
              <w:left w:val="nil"/>
              <w:bottom w:val="nil"/>
              <w:right w:val="single" w:sz="8" w:space="0" w:color="BFBFBF" w:themeColor="background1" w:themeShade="BF"/>
            </w:tcBorders>
            <w:shd w:val="clear" w:color="auto" w:fill="D9D9D9" w:themeFill="background1" w:themeFillShade="D9"/>
            <w:vAlign w:val="center"/>
          </w:tcPr>
          <w:p w14:paraId="2F80BE46" w14:textId="2376DA8B" w:rsidR="00861C1C" w:rsidRPr="003B1D7B" w:rsidRDefault="009A12B3"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6,0</w:t>
            </w:r>
          </w:p>
        </w:tc>
        <w:tc>
          <w:tcPr>
            <w:tcW w:w="1549" w:type="dxa"/>
            <w:tcBorders>
              <w:top w:val="nil"/>
              <w:left w:val="nil"/>
              <w:bottom w:val="nil"/>
              <w:right w:val="single" w:sz="8" w:space="0" w:color="BFBFBF" w:themeColor="background1" w:themeShade="BF"/>
            </w:tcBorders>
            <w:shd w:val="clear" w:color="auto" w:fill="D9D9D9" w:themeFill="background1" w:themeFillShade="D9"/>
            <w:vAlign w:val="center"/>
          </w:tcPr>
          <w:p w14:paraId="791060CA" w14:textId="2E0609A4" w:rsidR="00861C1C" w:rsidRPr="003B1D7B"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4,9</w:t>
            </w:r>
          </w:p>
        </w:tc>
        <w:tc>
          <w:tcPr>
            <w:tcW w:w="1549" w:type="dxa"/>
            <w:tcBorders>
              <w:top w:val="nil"/>
              <w:left w:val="nil"/>
              <w:bottom w:val="nil"/>
              <w:right w:val="nil"/>
            </w:tcBorders>
            <w:shd w:val="clear" w:color="auto" w:fill="D9D9D9" w:themeFill="background1" w:themeFillShade="D9"/>
            <w:vAlign w:val="center"/>
          </w:tcPr>
          <w:p w14:paraId="045E0BAA" w14:textId="613278C6" w:rsidR="00861C1C" w:rsidRPr="00EF3A3A"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EF3A3A">
              <w:rPr>
                <w:rFonts w:asciiTheme="minorHAnsi" w:hAnsiTheme="minorHAnsi"/>
                <w:b/>
                <w:noProof/>
                <w:color w:val="000000" w:themeColor="text1"/>
                <w:sz w:val="22"/>
              </w:rPr>
              <w:t>10,9</w:t>
            </w:r>
          </w:p>
        </w:tc>
      </w:tr>
    </w:tbl>
    <w:p w14:paraId="6D8BA01E" w14:textId="0BC49801" w:rsidR="00E438BB" w:rsidRPr="0075144A" w:rsidRDefault="00A50B3F">
      <w:pPr>
        <w:rPr>
          <w:rFonts w:asciiTheme="majorHAnsi" w:hAnsiTheme="majorHAnsi"/>
          <w:i/>
          <w:noProof/>
        </w:rPr>
      </w:pPr>
      <w:r w:rsidRPr="0075144A">
        <w:rPr>
          <w:rFonts w:asciiTheme="majorHAnsi" w:hAnsiTheme="majorHAnsi"/>
          <w:i/>
          <w:noProof/>
        </w:rPr>
        <w:t>Previziunile privind dezangajările nu fac distincție între sursele de fonduri pentru dezangajări.</w:t>
      </w:r>
    </w:p>
    <w:p w14:paraId="794886A6" w14:textId="77777777" w:rsidR="00A50B3F" w:rsidRDefault="00A50B3F">
      <w:pPr>
        <w:rPr>
          <w:rFonts w:asciiTheme="majorHAnsi" w:hAnsiTheme="majorHAnsi"/>
          <w:noProof/>
        </w:rPr>
      </w:pPr>
    </w:p>
    <w:p w14:paraId="51EBA2CC" w14:textId="77777777" w:rsidR="00213380" w:rsidRPr="00F423B9" w:rsidRDefault="00213380">
      <w:pPr>
        <w:rPr>
          <w:rFonts w:asciiTheme="majorHAnsi" w:hAnsiTheme="majorHAnsi"/>
          <w:noProof/>
        </w:rPr>
        <w:sectPr w:rsidR="00213380" w:rsidRPr="00F423B9">
          <w:headerReference w:type="default" r:id="rId36"/>
          <w:footerReference w:type="default" r:id="rId37"/>
          <w:pgSz w:w="11906" w:h="16838"/>
          <w:pgMar w:top="1321" w:right="1151" w:bottom="1440" w:left="1151" w:header="720" w:footer="720" w:gutter="0"/>
          <w:cols w:space="720"/>
          <w:docGrid w:linePitch="326"/>
        </w:sectPr>
      </w:pPr>
    </w:p>
    <w:p w14:paraId="210BBE1E" w14:textId="54CEC115" w:rsidR="008B2384" w:rsidRPr="00EF3A3A" w:rsidRDefault="2A67BF04" w:rsidP="007E0D6B">
      <w:pPr>
        <w:pStyle w:val="Heading2"/>
        <w:rPr>
          <w:rFonts w:asciiTheme="majorHAnsi" w:hAnsiTheme="majorHAnsi"/>
          <w:noProof/>
        </w:rPr>
      </w:pPr>
      <w:bookmarkStart w:id="85" w:name="_Toc235439620"/>
      <w:r w:rsidRPr="00EF3A3A">
        <w:rPr>
          <w:rFonts w:asciiTheme="majorHAnsi" w:hAnsiTheme="majorHAnsi"/>
          <w:noProof/>
        </w:rPr>
        <w:t>Tabelul 3 – Angajamentele restante pentru perioada 2027-2034</w:t>
      </w:r>
      <w:bookmarkEnd w:id="85"/>
    </w:p>
    <w:tbl>
      <w:tblPr>
        <w:tblStyle w:val="AMPR2021"/>
        <w:tblpPr w:leftFromText="180" w:rightFromText="180" w:vertAnchor="text" w:horzAnchor="margin" w:tblpY="108"/>
        <w:tblW w:w="5000"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ook w:val="06A0" w:firstRow="1" w:lastRow="0" w:firstColumn="1" w:lastColumn="0" w:noHBand="1" w:noVBand="1"/>
      </w:tblPr>
      <w:tblGrid>
        <w:gridCol w:w="1340"/>
        <w:gridCol w:w="2121"/>
        <w:gridCol w:w="2121"/>
        <w:gridCol w:w="2121"/>
        <w:gridCol w:w="2117"/>
      </w:tblGrid>
      <w:tr w:rsidR="008B2384" w:rsidRPr="00F423B9" w14:paraId="6783BF3D" w14:textId="77777777" w:rsidTr="003B1D7B">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82" w:type="pct"/>
            <w:vAlign w:val="center"/>
          </w:tcPr>
          <w:p w14:paraId="16EA6545" w14:textId="77777777" w:rsidR="008B2384" w:rsidRPr="00F423B9" w:rsidRDefault="008B2384" w:rsidP="00B877FC">
            <w:pPr>
              <w:rPr>
                <w:rFonts w:asciiTheme="majorHAnsi" w:eastAsia="Calibri" w:hAnsiTheme="majorHAnsi"/>
                <w:noProof/>
                <w:sz w:val="22"/>
                <w:szCs w:val="18"/>
              </w:rPr>
            </w:pPr>
            <w:r w:rsidRPr="00EF3A3A">
              <w:rPr>
                <w:rFonts w:asciiTheme="majorHAnsi" w:hAnsiTheme="majorHAnsi"/>
                <w:noProof/>
                <w:sz w:val="22"/>
              </w:rPr>
              <w:t>Sursă</w:t>
            </w:r>
          </w:p>
        </w:tc>
        <w:tc>
          <w:tcPr>
            <w:tcW w:w="1080" w:type="pct"/>
            <w:vAlign w:val="center"/>
          </w:tcPr>
          <w:p w14:paraId="393BCFEC" w14:textId="1AD22E3B" w:rsidR="008B2384" w:rsidRPr="00F423B9"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noProof/>
                <w:sz w:val="22"/>
                <w:szCs w:val="22"/>
              </w:rPr>
            </w:pPr>
            <w:r w:rsidRPr="00EF3A3A">
              <w:rPr>
                <w:rFonts w:asciiTheme="majorHAnsi" w:hAnsiTheme="majorHAnsi"/>
                <w:noProof/>
                <w:sz w:val="22"/>
              </w:rPr>
              <w:t>RAL la începutul anului 2028*</w:t>
            </w:r>
          </w:p>
        </w:tc>
        <w:tc>
          <w:tcPr>
            <w:tcW w:w="1080" w:type="pct"/>
            <w:vAlign w:val="center"/>
          </w:tcPr>
          <w:p w14:paraId="46A471FE" w14:textId="3566235C" w:rsidR="008B2384" w:rsidRPr="00F423B9"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EF3A3A">
              <w:rPr>
                <w:rFonts w:asciiTheme="majorHAnsi" w:hAnsiTheme="majorHAnsi"/>
                <w:noProof/>
                <w:sz w:val="22"/>
              </w:rPr>
              <w:t>Angajamente în perioada 2028-2034</w:t>
            </w:r>
          </w:p>
        </w:tc>
        <w:tc>
          <w:tcPr>
            <w:tcW w:w="1080" w:type="pct"/>
            <w:vAlign w:val="center"/>
          </w:tcPr>
          <w:p w14:paraId="2DB5EE46" w14:textId="7E662946" w:rsidR="008B2384" w:rsidRPr="00F423B9"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18"/>
              </w:rPr>
            </w:pPr>
            <w:r w:rsidRPr="00EF3A3A">
              <w:rPr>
                <w:rFonts w:asciiTheme="majorHAnsi" w:hAnsiTheme="majorHAnsi"/>
                <w:noProof/>
                <w:sz w:val="22"/>
              </w:rPr>
              <w:t>Plăți în perioada 2028-2034</w:t>
            </w:r>
          </w:p>
        </w:tc>
        <w:tc>
          <w:tcPr>
            <w:tcW w:w="1078" w:type="pct"/>
            <w:vAlign w:val="center"/>
          </w:tcPr>
          <w:p w14:paraId="1312FE2E" w14:textId="0DC46A67" w:rsidR="00A60630"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noProof/>
                <w:sz w:val="22"/>
                <w:szCs w:val="22"/>
              </w:rPr>
            </w:pPr>
            <w:r w:rsidRPr="00EF3A3A">
              <w:rPr>
                <w:rFonts w:asciiTheme="majorHAnsi" w:hAnsiTheme="majorHAnsi"/>
                <w:noProof/>
                <w:sz w:val="22"/>
              </w:rPr>
              <w:t>SEMED</w:t>
            </w:r>
          </w:p>
          <w:p w14:paraId="2C522C8C" w14:textId="64E07C72" w:rsidR="008B2384" w:rsidRPr="00EF3A3A"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EF3A3A">
              <w:rPr>
                <w:rFonts w:asciiTheme="majorHAnsi" w:hAnsiTheme="majorHAnsi"/>
                <w:noProof/>
                <w:sz w:val="22"/>
              </w:rPr>
              <w:t>sfârșitul anului -2034</w:t>
            </w:r>
          </w:p>
        </w:tc>
      </w:tr>
      <w:tr w:rsidR="00DE1047" w:rsidRPr="00F423B9" w14:paraId="7DFCF234" w14:textId="77777777" w:rsidTr="00DE1047">
        <w:trPr>
          <w:trHeight w:val="341"/>
        </w:trPr>
        <w:tc>
          <w:tcPr>
            <w:cnfStyle w:val="001000000000" w:firstRow="0" w:lastRow="0" w:firstColumn="1" w:lastColumn="0" w:oddVBand="0" w:evenVBand="0" w:oddHBand="0" w:evenHBand="0" w:firstRowFirstColumn="0" w:firstRowLastColumn="0" w:lastRowFirstColumn="0" w:lastRowLastColumn="0"/>
            <w:tcW w:w="682" w:type="pct"/>
            <w:vAlign w:val="center"/>
          </w:tcPr>
          <w:p w14:paraId="34F93038" w14:textId="26C20418" w:rsidR="00DE1047" w:rsidRPr="003B1D7B" w:rsidRDefault="00DE1047" w:rsidP="003B1D7B">
            <w:pPr>
              <w:jc w:val="center"/>
              <w:rPr>
                <w:rFonts w:asciiTheme="majorHAnsi" w:eastAsia="Calibri" w:hAnsiTheme="majorHAnsi"/>
                <w:noProof/>
                <w:color w:val="003399" w:themeColor="text2"/>
                <w:sz w:val="22"/>
                <w:szCs w:val="18"/>
              </w:rPr>
            </w:pPr>
            <w:r w:rsidRPr="00EF3A3A">
              <w:rPr>
                <w:noProof/>
                <w:color w:val="003399" w:themeColor="text2"/>
              </w:rPr>
              <w:t>CFM</w:t>
            </w:r>
          </w:p>
        </w:tc>
        <w:tc>
          <w:tcPr>
            <w:tcW w:w="1080" w:type="pct"/>
            <w:vAlign w:val="center"/>
          </w:tcPr>
          <w:p w14:paraId="56BBA7BD" w14:textId="2C876A80" w:rsidR="00DE1047" w:rsidRPr="00FE2B00"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EF3A3A">
              <w:rPr>
                <w:b/>
                <w:noProof/>
                <w:color w:val="003399" w:themeColor="text2"/>
              </w:rPr>
              <w:t>320,9</w:t>
            </w:r>
          </w:p>
        </w:tc>
        <w:tc>
          <w:tcPr>
            <w:tcW w:w="1080" w:type="pct"/>
            <w:vAlign w:val="center"/>
          </w:tcPr>
          <w:p w14:paraId="781EDDDD" w14:textId="620D894A" w:rsidR="00DE1047" w:rsidRPr="00FE2B00"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EF3A3A">
              <w:rPr>
                <w:b/>
                <w:noProof/>
                <w:color w:val="003399" w:themeColor="text2"/>
              </w:rPr>
              <w:t>1</w:t>
            </w:r>
            <w:r w:rsidRPr="00EF3A3A">
              <w:rPr>
                <w:rFonts w:ascii="Calibri" w:hAnsi="Calibri" w:cs="Calibri"/>
                <w:b/>
                <w:noProof/>
                <w:color w:val="003399" w:themeColor="text2"/>
              </w:rPr>
              <w:t> </w:t>
            </w:r>
            <w:r w:rsidRPr="00EF3A3A">
              <w:rPr>
                <w:b/>
                <w:noProof/>
                <w:color w:val="003399" w:themeColor="text2"/>
              </w:rPr>
              <w:t>984,9</w:t>
            </w:r>
          </w:p>
        </w:tc>
        <w:tc>
          <w:tcPr>
            <w:tcW w:w="1080" w:type="pct"/>
            <w:vAlign w:val="center"/>
          </w:tcPr>
          <w:p w14:paraId="5332702E" w14:textId="3C58BF17" w:rsidR="00DE1047" w:rsidRPr="00FE2B00"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EF3A3A">
              <w:rPr>
                <w:b/>
                <w:noProof/>
                <w:color w:val="003399" w:themeColor="text2"/>
              </w:rPr>
              <w:t>1</w:t>
            </w:r>
            <w:r w:rsidRPr="00EF3A3A">
              <w:rPr>
                <w:rFonts w:ascii="Calibri" w:hAnsi="Calibri" w:cs="Calibri"/>
                <w:b/>
                <w:noProof/>
                <w:color w:val="003399" w:themeColor="text2"/>
              </w:rPr>
              <w:t> </w:t>
            </w:r>
            <w:r w:rsidRPr="00EF3A3A">
              <w:rPr>
                <w:b/>
                <w:noProof/>
                <w:color w:val="003399" w:themeColor="text2"/>
              </w:rPr>
              <w:t>961,9</w:t>
            </w:r>
          </w:p>
        </w:tc>
        <w:tc>
          <w:tcPr>
            <w:tcW w:w="1078" w:type="pct"/>
            <w:vAlign w:val="center"/>
          </w:tcPr>
          <w:p w14:paraId="51066928" w14:textId="33A79BB7" w:rsidR="00DE1047" w:rsidRPr="00EF3A3A"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EF3A3A">
              <w:rPr>
                <w:b/>
                <w:noProof/>
                <w:color w:val="003399" w:themeColor="text2"/>
              </w:rPr>
              <w:t>343,9</w:t>
            </w:r>
          </w:p>
        </w:tc>
      </w:tr>
    </w:tbl>
    <w:p w14:paraId="1BEC179E" w14:textId="0C366A0F" w:rsidR="00682537" w:rsidRPr="0075144A" w:rsidRDefault="00682537" w:rsidP="00682537">
      <w:pPr>
        <w:rPr>
          <w:rFonts w:asciiTheme="majorHAnsi" w:hAnsiTheme="majorHAnsi"/>
          <w:i/>
          <w:noProof/>
          <w:sz w:val="16"/>
          <w:szCs w:val="16"/>
        </w:rPr>
      </w:pPr>
      <w:r w:rsidRPr="0075144A">
        <w:rPr>
          <w:rFonts w:asciiTheme="majorHAnsi" w:hAnsiTheme="majorHAnsi"/>
          <w:i/>
          <w:noProof/>
          <w:sz w:val="16"/>
        </w:rPr>
        <w:t>* RAL la începutul anului 2028 exclud sumele generate din alte surse de fonduri sau venituri și dezangajările estimate.</w:t>
      </w:r>
    </w:p>
    <w:p w14:paraId="4C0F8082" w14:textId="77777777" w:rsidR="00682537" w:rsidRPr="00F423B9" w:rsidRDefault="00682537" w:rsidP="00682537">
      <w:pPr>
        <w:rPr>
          <w:rFonts w:asciiTheme="majorHAnsi" w:hAnsiTheme="majorHAnsi"/>
          <w:noProof/>
        </w:rPr>
      </w:pPr>
      <w:bookmarkStart w:id="86" w:name="_Toc74236911"/>
      <w:bookmarkStart w:id="87" w:name="_Hlk134032462"/>
      <w:r>
        <w:rPr>
          <w:noProof/>
        </w:rPr>
        <w:br w:type="page"/>
      </w:r>
    </w:p>
    <w:bookmarkEnd w:id="86"/>
    <w:bookmarkEnd w:id="87"/>
    <w:p w14:paraId="12AEAD13" w14:textId="77777777" w:rsidR="00D55589" w:rsidRPr="0075144A" w:rsidRDefault="00D55589" w:rsidP="0050317D">
      <w:pPr>
        <w:spacing w:before="0"/>
        <w:rPr>
          <w:rFonts w:asciiTheme="majorHAnsi" w:hAnsiTheme="majorHAnsi"/>
          <w:i/>
          <w:noProof/>
          <w:sz w:val="16"/>
          <w:szCs w:val="16"/>
        </w:rPr>
        <w:sectPr w:rsidR="00D55589" w:rsidRPr="0075144A">
          <w:headerReference w:type="even" r:id="rId38"/>
          <w:headerReference w:type="default" r:id="rId39"/>
          <w:footerReference w:type="even" r:id="rId40"/>
          <w:footerReference w:type="default" r:id="rId41"/>
          <w:headerReference w:type="first" r:id="rId42"/>
          <w:footerReference w:type="first" r:id="rId43"/>
          <w:pgSz w:w="11906" w:h="16838"/>
          <w:pgMar w:top="1321" w:right="1151" w:bottom="1440" w:left="1151" w:header="720" w:footer="720" w:gutter="0"/>
          <w:cols w:space="720"/>
          <w:docGrid w:linePitch="326"/>
        </w:sectPr>
      </w:pPr>
    </w:p>
    <w:p w14:paraId="1DBE7582" w14:textId="54AAC96C" w:rsidR="005A1B83" w:rsidRPr="00EF3A3A" w:rsidRDefault="005A1B83" w:rsidP="009A435C">
      <w:pPr>
        <w:pStyle w:val="Heading2"/>
        <w:spacing w:after="0"/>
        <w:rPr>
          <w:rFonts w:asciiTheme="majorHAnsi" w:hAnsiTheme="majorHAnsi"/>
          <w:noProof/>
        </w:rPr>
      </w:pPr>
      <w:bookmarkStart w:id="88" w:name="_Toc235439621"/>
      <w:r w:rsidRPr="00EF3A3A">
        <w:rPr>
          <w:rFonts w:asciiTheme="majorHAnsi" w:hAnsiTheme="majorHAnsi"/>
          <w:noProof/>
        </w:rPr>
        <w:t>Tabelul 4 – Prognoza pe termen lung privind viitoarele intrări în bugetul UE pentru 2027 și în CFM 2028-2034</w:t>
      </w:r>
      <w:bookmarkEnd w:id="88"/>
    </w:p>
    <w:tbl>
      <w:tblPr>
        <w:tblW w:w="4997" w:type="pct"/>
        <w:tblLayout w:type="fixed"/>
        <w:tblLook w:val="04A0" w:firstRow="1" w:lastRow="0" w:firstColumn="1" w:lastColumn="0" w:noHBand="0" w:noVBand="1"/>
      </w:tblPr>
      <w:tblGrid>
        <w:gridCol w:w="3225"/>
        <w:gridCol w:w="628"/>
        <w:gridCol w:w="1160"/>
        <w:gridCol w:w="1160"/>
        <w:gridCol w:w="1160"/>
        <w:gridCol w:w="1160"/>
        <w:gridCol w:w="1160"/>
        <w:gridCol w:w="1160"/>
        <w:gridCol w:w="1160"/>
        <w:gridCol w:w="1160"/>
        <w:gridCol w:w="1151"/>
      </w:tblGrid>
      <w:tr w:rsidR="00D74601" w:rsidRPr="00AB5413" w14:paraId="7E51666A" w14:textId="77777777" w:rsidTr="00F5067A">
        <w:trPr>
          <w:trHeight w:val="300"/>
          <w:tblHeader/>
        </w:trPr>
        <w:tc>
          <w:tcPr>
            <w:tcW w:w="1129"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2EAEBDA4" w14:textId="77777777"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INTRĂRI</w:t>
            </w:r>
          </w:p>
        </w:tc>
        <w:tc>
          <w:tcPr>
            <w:tcW w:w="220"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00AE0603" w14:textId="77777777" w:rsidR="000D256C" w:rsidRPr="00F77DBE" w:rsidRDefault="000D256C" w:rsidP="00F77DBE">
            <w:pPr>
              <w:spacing w:before="100" w:after="100"/>
              <w:jc w:val="center"/>
              <w:rPr>
                <w:rFonts w:asciiTheme="majorHAnsi" w:hAnsiTheme="majorHAnsi"/>
                <w:b/>
                <w:iCs/>
                <w:noProof/>
                <w:color w:val="FFFFFF" w:themeColor="background1"/>
                <w:sz w:val="22"/>
                <w:szCs w:val="22"/>
              </w:rPr>
            </w:pPr>
          </w:p>
        </w:tc>
        <w:tc>
          <w:tcPr>
            <w:tcW w:w="406" w:type="pct"/>
            <w:tcBorders>
              <w:bottom w:val="single" w:sz="6" w:space="0" w:color="BFBFBF" w:themeColor="background1" w:themeShade="BF"/>
              <w:right w:val="single" w:sz="6" w:space="0" w:color="BFBFBF" w:themeColor="background1" w:themeShade="BF"/>
            </w:tcBorders>
            <w:shd w:val="clear" w:color="auto" w:fill="003399" w:themeFill="text2"/>
          </w:tcPr>
          <w:p w14:paraId="236F2545" w14:textId="2100CD56"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2027*</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vAlign w:val="center"/>
          </w:tcPr>
          <w:p w14:paraId="2F2954DE" w14:textId="6265D714"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2028</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5FA98FD4" w14:textId="54C6C9CA"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2029</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06FFB2CA" w14:textId="227E3253"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2030</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1A7AA76F" w14:textId="201C1B1D"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2031</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tcPr>
          <w:p w14:paraId="6E75FBB4" w14:textId="6C324FB0"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2032</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tcPr>
          <w:p w14:paraId="35F55781" w14:textId="726EDC96"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2033</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tcPr>
          <w:p w14:paraId="3916FC76" w14:textId="06F8089A"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2034</w:t>
            </w:r>
          </w:p>
        </w:tc>
        <w:tc>
          <w:tcPr>
            <w:tcW w:w="403" w:type="pct"/>
            <w:tcBorders>
              <w:left w:val="single" w:sz="6" w:space="0" w:color="BFBFBF" w:themeColor="background1" w:themeShade="BF"/>
              <w:bottom w:val="single" w:sz="6" w:space="0" w:color="BFBFBF" w:themeColor="background1" w:themeShade="BF"/>
            </w:tcBorders>
            <w:shd w:val="clear" w:color="auto" w:fill="003399" w:themeFill="text2"/>
            <w:vAlign w:val="center"/>
          </w:tcPr>
          <w:p w14:paraId="3F4612F0" w14:textId="033E9385" w:rsidR="000D256C" w:rsidRPr="00EF3A3A" w:rsidRDefault="000D256C" w:rsidP="00F77DBE">
            <w:pPr>
              <w:spacing w:before="100" w:after="100"/>
              <w:jc w:val="center"/>
              <w:rPr>
                <w:rFonts w:asciiTheme="majorHAnsi" w:hAnsiTheme="majorHAnsi"/>
                <w:b/>
                <w:iCs/>
                <w:noProof/>
                <w:color w:val="FFFFFF" w:themeColor="background1"/>
                <w:sz w:val="22"/>
                <w:szCs w:val="22"/>
              </w:rPr>
            </w:pPr>
            <w:r w:rsidRPr="00EF3A3A">
              <w:rPr>
                <w:rFonts w:asciiTheme="majorHAnsi" w:hAnsiTheme="majorHAnsi"/>
                <w:b/>
                <w:noProof/>
                <w:color w:val="FFFFFF" w:themeColor="background1"/>
                <w:sz w:val="22"/>
              </w:rPr>
              <w:t>Total</w:t>
            </w:r>
          </w:p>
        </w:tc>
      </w:tr>
      <w:tr w:rsidR="00D967DE" w:rsidRPr="00AB5413" w14:paraId="4811B134" w14:textId="77777777" w:rsidTr="00D967D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3D2D98F" w14:textId="0E4C2E14" w:rsidR="00D967DE" w:rsidRPr="00186C27" w:rsidRDefault="00D967DE" w:rsidP="00D967DE">
            <w:pPr>
              <w:spacing w:before="100" w:after="100"/>
              <w:rPr>
                <w:rFonts w:asciiTheme="majorHAnsi" w:hAnsiTheme="majorHAnsi"/>
                <w:b/>
                <w:iCs/>
                <w:noProof/>
                <w:color w:val="003399" w:themeColor="text2"/>
                <w:sz w:val="22"/>
                <w:szCs w:val="22"/>
              </w:rPr>
            </w:pPr>
            <w:r w:rsidRPr="00EF3A3A">
              <w:rPr>
                <w:rFonts w:asciiTheme="majorHAnsi" w:hAnsiTheme="majorHAnsi"/>
                <w:b/>
                <w:noProof/>
                <w:color w:val="003399" w:themeColor="text2"/>
                <w:sz w:val="22"/>
              </w:rPr>
              <w:t>Plafonul resurselor proprii exprimat ca</w:t>
            </w:r>
            <w:r w:rsidRPr="00EF3A3A">
              <w:rPr>
                <w:rFonts w:ascii="Calibri" w:hAnsi="Calibri" w:cs="Calibri"/>
                <w:b/>
                <w:noProof/>
                <w:color w:val="003399" w:themeColor="text2"/>
                <w:sz w:val="22"/>
              </w:rPr>
              <w:t> </w:t>
            </w:r>
            <w:r w:rsidRPr="00EF3A3A">
              <w:rPr>
                <w:rFonts w:asciiTheme="majorHAnsi" w:hAnsiTheme="majorHAnsi"/>
                <w:b/>
                <w:noProof/>
                <w:color w:val="003399" w:themeColor="text2"/>
                <w:sz w:val="22"/>
              </w:rPr>
              <w:t>% din venitul na</w:t>
            </w:r>
            <w:r w:rsidRPr="00EF3A3A">
              <w:rPr>
                <w:rFonts w:cs="EC Square Sans Pro"/>
                <w:b/>
                <w:noProof/>
                <w:color w:val="003399" w:themeColor="text2"/>
                <w:sz w:val="22"/>
              </w:rPr>
              <w:t>ț</w:t>
            </w:r>
            <w:r w:rsidRPr="00EF3A3A">
              <w:rPr>
                <w:rFonts w:asciiTheme="majorHAnsi" w:hAnsiTheme="majorHAnsi"/>
                <w:b/>
                <w:noProof/>
                <w:color w:val="003399" w:themeColor="text2"/>
                <w:sz w:val="22"/>
              </w:rPr>
              <w:t>ional brut al UE**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F10FE7" w14:textId="77777777" w:rsidR="00D967DE" w:rsidRPr="00FE4AEE" w:rsidRDefault="00D967DE" w:rsidP="00FE4AEE">
            <w:pPr>
              <w:spacing w:before="100" w:after="100"/>
              <w:jc w:val="center"/>
              <w:rPr>
                <w:rFonts w:asciiTheme="majorHAnsi" w:hAnsiTheme="majorHAnsi"/>
                <w:b/>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DB3145B" w14:textId="3FDA2C78"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2,00</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CFBD94D" w14:textId="5A7457B9"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2,35</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CC2448" w14:textId="53DD7540"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2,35</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698B8AC" w14:textId="6CAC1217"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2,35</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BF16226" w14:textId="2A3559AA"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2,35</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64F001C" w14:textId="14A97663"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2,35</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BF3CB1" w14:textId="6CD366DD"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2,35</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A6E1CB" w14:textId="6E02D2BE" w:rsidR="00D967DE" w:rsidRPr="00FE4AEE" w:rsidRDefault="00D967DE"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2,35</w:t>
            </w:r>
            <w:r w:rsidRPr="00EF3A3A">
              <w:rPr>
                <w:rFonts w:ascii="Calibri" w:hAnsi="Calibri" w:cs="Calibri"/>
                <w:b/>
                <w:noProof/>
                <w:color w:val="003399" w:themeColor="text2"/>
              </w:rPr>
              <w:t> </w:t>
            </w:r>
            <w:r w:rsidRPr="00EF3A3A">
              <w:rPr>
                <w:rFonts w:asciiTheme="majorHAnsi" w:hAnsiTheme="majorHAnsi"/>
                <w:b/>
                <w:noProof/>
                <w:color w:val="003399" w:themeColor="text2"/>
              </w:rPr>
              <w:t>%</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6FC3DD67" w14:textId="6D102BC9" w:rsidR="00D967DE" w:rsidRPr="00EF3A3A" w:rsidRDefault="00D967DE" w:rsidP="00FE4AEE">
            <w:pPr>
              <w:spacing w:before="100" w:after="100"/>
              <w:jc w:val="center"/>
              <w:rPr>
                <w:rFonts w:asciiTheme="majorHAnsi" w:hAnsiTheme="majorHAnsi"/>
                <w:b/>
                <w:bCs/>
                <w:iCs/>
                <w:noProof/>
                <w:sz w:val="22"/>
                <w:szCs w:val="22"/>
              </w:rPr>
            </w:pPr>
            <w:r w:rsidRPr="00EF3A3A">
              <w:rPr>
                <w:rFonts w:asciiTheme="majorHAnsi" w:hAnsiTheme="majorHAnsi"/>
                <w:b/>
                <w:noProof/>
                <w:sz w:val="22"/>
              </w:rPr>
              <w:t>nu se aplică</w:t>
            </w:r>
          </w:p>
        </w:tc>
      </w:tr>
      <w:tr w:rsidR="00291794" w14:paraId="6AFCC232" w14:textId="77777777" w:rsidTr="0041100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789AF5" w14:textId="67E6D6B7" w:rsidR="2CD8512F" w:rsidRPr="00186C27" w:rsidRDefault="2CD8512F" w:rsidP="6856BD68">
            <w:pPr>
              <w:rPr>
                <w:rFonts w:asciiTheme="majorHAnsi" w:hAnsiTheme="majorHAnsi"/>
                <w:noProof/>
                <w:color w:val="003399" w:themeColor="text2"/>
                <w:sz w:val="22"/>
                <w:szCs w:val="22"/>
              </w:rPr>
            </w:pPr>
            <w:r>
              <w:rPr>
                <w:rFonts w:asciiTheme="majorHAnsi" w:hAnsiTheme="majorHAnsi"/>
                <w:noProof/>
                <w:color w:val="003399" w:themeColor="text2"/>
                <w:sz w:val="22"/>
              </w:rPr>
              <w:t>Din care majorare temporară pentru NGEU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749C547" w14:textId="5356CFD0" w:rsidR="6856BD68" w:rsidRPr="00EF3A3A" w:rsidRDefault="6856BD68" w:rsidP="00FE4AEE">
            <w:pPr>
              <w:jc w:val="center"/>
              <w:rPr>
                <w:rFonts w:asciiTheme="majorHAnsi" w:hAnsiTheme="majorHAnsi"/>
                <w:b/>
                <w:b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747292F" w14:textId="1DE01EF4"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C727847" w14:textId="74FC8F76"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D0A8F8" w14:textId="1440D14A"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883C80C" w14:textId="020DDDAA"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699B14A" w14:textId="050B5A9E"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B0010E" w14:textId="25410F94"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FF4BD1E" w14:textId="383DADDA"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28335A" w14:textId="4DEAEF28" w:rsidR="2CD8512F" w:rsidRPr="00FE4AEE" w:rsidRDefault="2CD8512F" w:rsidP="00FE4AEE">
            <w:pPr>
              <w:jc w:val="center"/>
              <w:rPr>
                <w:rFonts w:asciiTheme="majorHAnsi" w:hAnsiTheme="majorHAnsi"/>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60</w:t>
            </w:r>
            <w:r>
              <w:rPr>
                <w:rFonts w:asciiTheme="majorHAnsi" w:hAnsiTheme="majorHAnsi"/>
                <w:noProof/>
                <w:color w:val="003399" w:themeColor="text2"/>
              </w:rPr>
              <w:t> %</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4F8CCE5F" w14:textId="197DD68E" w:rsidR="2CD8512F" w:rsidRPr="00EF3A3A" w:rsidRDefault="2CD8512F" w:rsidP="00FE4AEE">
            <w:pPr>
              <w:jc w:val="center"/>
              <w:rPr>
                <w:rFonts w:asciiTheme="majorHAnsi" w:hAnsiTheme="majorHAnsi"/>
                <w:b/>
                <w:bCs/>
                <w:noProof/>
                <w:sz w:val="22"/>
                <w:szCs w:val="22"/>
              </w:rPr>
            </w:pPr>
            <w:r w:rsidRPr="00EF3A3A">
              <w:rPr>
                <w:rFonts w:asciiTheme="majorHAnsi" w:hAnsiTheme="majorHAnsi"/>
                <w:b/>
                <w:noProof/>
                <w:sz w:val="22"/>
              </w:rPr>
              <w:t>nu se aplică</w:t>
            </w:r>
          </w:p>
        </w:tc>
      </w:tr>
      <w:tr w:rsidR="006B0EB7" w:rsidRPr="00AB5413" w14:paraId="377EF73D" w14:textId="77777777" w:rsidTr="00FE4AE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351E597" w14:textId="191EA2C1" w:rsidR="006B0EB7" w:rsidRPr="00186C27" w:rsidRDefault="006B0EB7" w:rsidP="006B0EB7">
            <w:pPr>
              <w:spacing w:before="100" w:after="100"/>
              <w:rPr>
                <w:rFonts w:asciiTheme="majorHAnsi" w:hAnsiTheme="majorHAnsi"/>
                <w:b/>
                <w:iCs/>
                <w:noProof/>
                <w:color w:val="003399" w:themeColor="text2"/>
                <w:sz w:val="22"/>
                <w:szCs w:val="22"/>
              </w:rPr>
            </w:pPr>
            <w:r w:rsidRPr="00EF3A3A">
              <w:rPr>
                <w:rFonts w:asciiTheme="majorHAnsi" w:hAnsiTheme="majorHAnsi"/>
                <w:b/>
                <w:noProof/>
                <w:color w:val="003399" w:themeColor="text2"/>
                <w:sz w:val="22"/>
              </w:rPr>
              <w:t>Plafonul resurselor proprii exprimat în miliarde EUR</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7E1AF71" w14:textId="5569B819" w:rsidR="006B0EB7" w:rsidRPr="00FE4AEE" w:rsidRDefault="3C2C0FA0" w:rsidP="00FE4AEE">
            <w:pPr>
              <w:spacing w:before="100" w:after="100"/>
              <w:jc w:val="center"/>
              <w:rPr>
                <w:rFonts w:asciiTheme="majorHAnsi" w:hAnsiTheme="majorHAnsi"/>
                <w:b/>
                <w:iCs/>
                <w:noProof/>
                <w:color w:val="003399" w:themeColor="text2"/>
              </w:rPr>
            </w:pPr>
            <w:r w:rsidRPr="00EF3A3A">
              <w:rPr>
                <w:rFonts w:asciiTheme="majorHAnsi" w:hAnsiTheme="majorHAnsi"/>
                <w:b/>
                <w:noProof/>
                <w:color w:val="003399" w:themeColor="text2"/>
              </w:rPr>
              <w:t>A</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7978FB9" w14:textId="61DFC6D6"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403,8</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081456E0" w14:textId="21BD5CB9"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493,0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0F55742B" w14:textId="789ADE73"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511,4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C565037" w14:textId="74CCEED6"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530,1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6502977" w14:textId="3C06D402"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548,0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C53B21D" w14:textId="6C4AA491"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566,1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6D0406D" w14:textId="1AD20E2D"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584,2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0C5FBDA" w14:textId="6C16FADC" w:rsidR="006B0EB7" w:rsidRPr="00FE4AEE" w:rsidRDefault="006B0EB7" w:rsidP="00FE4AEE">
            <w:pPr>
              <w:spacing w:before="100" w:after="100"/>
              <w:jc w:val="center"/>
              <w:rPr>
                <w:rFonts w:asciiTheme="majorHAnsi" w:hAnsiTheme="majorHAnsi"/>
                <w:b/>
                <w:bCs/>
                <w:iCs/>
                <w:noProof/>
                <w:color w:val="003399" w:themeColor="text2"/>
              </w:rPr>
            </w:pPr>
            <w:r w:rsidRPr="00EF3A3A">
              <w:rPr>
                <w:b/>
                <w:noProof/>
                <w:color w:val="003399" w:themeColor="text2"/>
              </w:rPr>
              <w:t>602,3</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31E4F45A" w14:textId="13039049" w:rsidR="006B0EB7" w:rsidRPr="00EF3A3A" w:rsidRDefault="6C959BBE" w:rsidP="00FE4AEE">
            <w:pPr>
              <w:spacing w:before="100" w:after="100"/>
              <w:jc w:val="center"/>
              <w:rPr>
                <w:rFonts w:asciiTheme="majorHAnsi" w:hAnsiTheme="majorHAnsi"/>
                <w:b/>
                <w:bCs/>
                <w:iCs/>
                <w:noProof/>
                <w:sz w:val="22"/>
                <w:szCs w:val="22"/>
              </w:rPr>
            </w:pPr>
            <w:r w:rsidRPr="00EF3A3A">
              <w:rPr>
                <w:b/>
                <w:noProof/>
                <w:sz w:val="22"/>
              </w:rPr>
              <w:t>nu se aplică</w:t>
            </w:r>
          </w:p>
        </w:tc>
      </w:tr>
      <w:tr w:rsidR="00291794" w14:paraId="108AF2D6" w14:textId="77777777" w:rsidTr="00FE4AE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BF3DCBF" w14:textId="422FC0CE" w:rsidR="5AEBA257" w:rsidRPr="00186C27" w:rsidRDefault="5AEBA257" w:rsidP="6856BD68">
            <w:pPr>
              <w:rPr>
                <w:rFonts w:asciiTheme="majorHAnsi" w:hAnsiTheme="majorHAnsi"/>
                <w:noProof/>
                <w:color w:val="003399" w:themeColor="text2"/>
                <w:sz w:val="22"/>
                <w:szCs w:val="22"/>
              </w:rPr>
            </w:pPr>
            <w:r>
              <w:rPr>
                <w:rFonts w:asciiTheme="majorHAnsi" w:hAnsiTheme="majorHAnsi"/>
                <w:noProof/>
                <w:color w:val="003399" w:themeColor="text2"/>
                <w:sz w:val="22"/>
              </w:rPr>
              <w:t>Din care majorare temporară pentru NGEU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9D9B6B3" w14:textId="5E734DEF" w:rsidR="5AEBA257" w:rsidRPr="00FE4AEE" w:rsidRDefault="5AEBA257" w:rsidP="00FE4AEE">
            <w:pPr>
              <w:jc w:val="center"/>
              <w:rPr>
                <w:rFonts w:asciiTheme="majorHAnsi" w:hAnsiTheme="majorHAnsi"/>
                <w:noProof/>
                <w:color w:val="003399" w:themeColor="text2"/>
              </w:rPr>
            </w:pPr>
            <w:r>
              <w:rPr>
                <w:rFonts w:asciiTheme="majorHAnsi" w:hAnsiTheme="majorHAnsi"/>
                <w:noProof/>
                <w:color w:val="003399" w:themeColor="text2"/>
              </w:rPr>
              <w:t>A’</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1A0CB42" w14:textId="26778AFE" w:rsidR="561D5332" w:rsidRPr="00FE4AEE" w:rsidRDefault="561D5332" w:rsidP="00FE4AEE">
            <w:pPr>
              <w:jc w:val="center"/>
              <w:rPr>
                <w:noProof/>
                <w:color w:val="003399" w:themeColor="text2"/>
              </w:rPr>
            </w:pPr>
            <w:r w:rsidRPr="00EF3A3A">
              <w:rPr>
                <w:noProof/>
                <w:color w:val="003399" w:themeColor="text2"/>
              </w:rPr>
              <w:t>121</w:t>
            </w:r>
            <w:r>
              <w:rPr>
                <w:noProof/>
                <w:color w:val="003399" w:themeColor="text2"/>
              </w:rPr>
              <w:t>,</w:t>
            </w:r>
            <w:r w:rsidRPr="00EF3A3A">
              <w:rPr>
                <w:noProof/>
                <w:color w:val="003399" w:themeColor="text2"/>
              </w:rPr>
              <w:t>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882E3FE" w14:textId="4F49A992" w:rsidR="561D5332" w:rsidRPr="00FE4AEE" w:rsidRDefault="561D5332" w:rsidP="00FE4AEE">
            <w:pPr>
              <w:jc w:val="center"/>
              <w:rPr>
                <w:noProof/>
                <w:color w:val="003399" w:themeColor="text2"/>
              </w:rPr>
            </w:pPr>
            <w:r w:rsidRPr="00EF3A3A">
              <w:rPr>
                <w:noProof/>
                <w:color w:val="003399" w:themeColor="text2"/>
              </w:rPr>
              <w:t>125</w:t>
            </w:r>
            <w:r>
              <w:rPr>
                <w:noProof/>
                <w:color w:val="003399" w:themeColor="text2"/>
              </w:rPr>
              <w:t>,</w:t>
            </w:r>
            <w:r w:rsidRPr="00EF3A3A">
              <w:rPr>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515F73A" w14:textId="5A19745B" w:rsidR="561D5332" w:rsidRPr="00FE4AEE" w:rsidRDefault="561D5332" w:rsidP="00FE4AEE">
            <w:pPr>
              <w:jc w:val="center"/>
              <w:rPr>
                <w:noProof/>
                <w:color w:val="003399" w:themeColor="text2"/>
              </w:rPr>
            </w:pPr>
            <w:r w:rsidRPr="00EF3A3A">
              <w:rPr>
                <w:noProof/>
                <w:color w:val="003399" w:themeColor="text2"/>
              </w:rPr>
              <w:t>130</w:t>
            </w:r>
            <w:r>
              <w:rPr>
                <w:noProof/>
                <w:color w:val="003399" w:themeColor="text2"/>
              </w:rPr>
              <w:t>,</w:t>
            </w:r>
            <w:r w:rsidRPr="00EF3A3A">
              <w:rPr>
                <w:noProof/>
                <w:color w:val="003399" w:themeColor="text2"/>
              </w:rPr>
              <w:t>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D701D4A" w14:textId="1D91A133" w:rsidR="561D5332" w:rsidRPr="00FE4AEE" w:rsidRDefault="561D5332" w:rsidP="00FE4AEE">
            <w:pPr>
              <w:jc w:val="center"/>
              <w:rPr>
                <w:noProof/>
                <w:color w:val="003399" w:themeColor="text2"/>
              </w:rPr>
            </w:pPr>
            <w:r w:rsidRPr="00EF3A3A">
              <w:rPr>
                <w:noProof/>
                <w:color w:val="003399" w:themeColor="text2"/>
              </w:rPr>
              <w:t>135</w:t>
            </w:r>
            <w:r>
              <w:rPr>
                <w:noProof/>
                <w:color w:val="003399" w:themeColor="text2"/>
              </w:rPr>
              <w:t>,</w:t>
            </w:r>
            <w:r w:rsidRPr="00EF3A3A">
              <w:rPr>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CCE5339" w14:textId="53A95706" w:rsidR="561D5332" w:rsidRPr="00FE4AEE" w:rsidRDefault="561D5332" w:rsidP="00FE4AEE">
            <w:pPr>
              <w:jc w:val="center"/>
              <w:rPr>
                <w:noProof/>
                <w:color w:val="003399" w:themeColor="text2"/>
              </w:rPr>
            </w:pPr>
            <w:r w:rsidRPr="00EF3A3A">
              <w:rPr>
                <w:noProof/>
                <w:color w:val="003399" w:themeColor="text2"/>
              </w:rPr>
              <w:t>139</w:t>
            </w:r>
            <w:r>
              <w:rPr>
                <w:noProof/>
                <w:color w:val="003399" w:themeColor="text2"/>
              </w:rPr>
              <w:t>,</w:t>
            </w:r>
            <w:r w:rsidRPr="00EF3A3A">
              <w:rPr>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EDA0276" w14:textId="227C50FB" w:rsidR="561D5332" w:rsidRPr="00FE4AEE" w:rsidRDefault="561D5332" w:rsidP="00FE4AEE">
            <w:pPr>
              <w:jc w:val="center"/>
              <w:rPr>
                <w:noProof/>
                <w:color w:val="003399" w:themeColor="text2"/>
              </w:rPr>
            </w:pPr>
            <w:r w:rsidRPr="00EF3A3A">
              <w:rPr>
                <w:noProof/>
                <w:color w:val="003399" w:themeColor="text2"/>
              </w:rPr>
              <w:t>144</w:t>
            </w:r>
            <w:r>
              <w:rPr>
                <w:noProof/>
                <w:color w:val="003399" w:themeColor="text2"/>
              </w:rPr>
              <w:t>,</w:t>
            </w:r>
            <w:r w:rsidRPr="00EF3A3A">
              <w:rPr>
                <w:noProof/>
                <w:color w:val="003399" w:themeColor="text2"/>
              </w:rPr>
              <w:t>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DED9729" w14:textId="018A4774" w:rsidR="561D5332" w:rsidRPr="00FE4AEE" w:rsidRDefault="561D5332" w:rsidP="00FE4AEE">
            <w:pPr>
              <w:jc w:val="center"/>
              <w:rPr>
                <w:noProof/>
                <w:color w:val="003399" w:themeColor="text2"/>
              </w:rPr>
            </w:pPr>
            <w:r w:rsidRPr="00EF3A3A">
              <w:rPr>
                <w:noProof/>
                <w:color w:val="003399" w:themeColor="text2"/>
              </w:rPr>
              <w:t>149</w:t>
            </w:r>
            <w:r>
              <w:rPr>
                <w:noProof/>
                <w:color w:val="003399" w:themeColor="text2"/>
              </w:rPr>
              <w:t>,</w:t>
            </w:r>
            <w:r w:rsidRPr="00EF3A3A">
              <w:rPr>
                <w:noProof/>
                <w:color w:val="003399" w:themeColor="text2"/>
              </w:rPr>
              <w:t>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19A011C" w14:textId="0E805005" w:rsidR="561D5332" w:rsidRPr="00FE4AEE" w:rsidRDefault="561D5332" w:rsidP="00FE4AEE">
            <w:pPr>
              <w:jc w:val="center"/>
              <w:rPr>
                <w:noProof/>
                <w:color w:val="003399" w:themeColor="text2"/>
              </w:rPr>
            </w:pPr>
            <w:r w:rsidRPr="00EF3A3A">
              <w:rPr>
                <w:noProof/>
                <w:color w:val="003399" w:themeColor="text2"/>
              </w:rPr>
              <w:t>153</w:t>
            </w:r>
            <w:r>
              <w:rPr>
                <w:noProof/>
                <w:color w:val="003399" w:themeColor="text2"/>
              </w:rPr>
              <w:t>,</w:t>
            </w:r>
            <w:r w:rsidRPr="00EF3A3A">
              <w:rPr>
                <w:noProof/>
                <w:color w:val="003399" w:themeColor="text2"/>
              </w:rPr>
              <w:t>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6F5A379B" w14:textId="2B7D2AB4" w:rsidR="561D5332" w:rsidRPr="00EF3A3A" w:rsidRDefault="561D5332" w:rsidP="00FE4AEE">
            <w:pPr>
              <w:jc w:val="center"/>
              <w:rPr>
                <w:b/>
                <w:bCs/>
                <w:noProof/>
                <w:sz w:val="22"/>
                <w:szCs w:val="22"/>
              </w:rPr>
            </w:pPr>
            <w:r w:rsidRPr="00EF3A3A">
              <w:rPr>
                <w:b/>
                <w:noProof/>
                <w:sz w:val="22"/>
              </w:rPr>
              <w:t>nu se aplică</w:t>
            </w:r>
          </w:p>
        </w:tc>
      </w:tr>
      <w:tr w:rsidR="003A2400" w:rsidRPr="00AB5413" w14:paraId="325027B8"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810ACEE" w14:textId="1F799BF3" w:rsidR="003A2400" w:rsidRPr="00186C27" w:rsidRDefault="003A2400" w:rsidP="003A2400">
            <w:pPr>
              <w:spacing w:before="100" w:after="100"/>
              <w:rPr>
                <w:rFonts w:asciiTheme="majorHAnsi" w:hAnsiTheme="majorHAnsi"/>
                <w:b/>
                <w:bCs/>
                <w:iCs/>
                <w:noProof/>
                <w:color w:val="003399" w:themeColor="text2"/>
                <w:sz w:val="22"/>
                <w:szCs w:val="22"/>
              </w:rPr>
            </w:pPr>
            <w:r w:rsidRPr="00EF3A3A">
              <w:rPr>
                <w:rFonts w:asciiTheme="majorHAnsi" w:hAnsiTheme="majorHAnsi"/>
                <w:b/>
                <w:noProof/>
                <w:color w:val="003399" w:themeColor="text2"/>
                <w:sz w:val="22"/>
              </w:rPr>
              <w:t>Total resurse proprii</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C71A60" w14:textId="013931CF" w:rsidR="003A2400" w:rsidRPr="00FE4AEE" w:rsidRDefault="003A2400" w:rsidP="003A2400">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0BA1A05" w14:textId="0DBDF003" w:rsidR="003A2400" w:rsidRPr="00FE4AEE" w:rsidRDefault="003A2400" w:rsidP="003A2400">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208,9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B4BAEA5" w14:textId="09B53082" w:rsidR="003A2400" w:rsidRPr="00FE4AEE" w:rsidRDefault="003A2400" w:rsidP="003A2400">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262,2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1779447" w14:textId="0712AC7E" w:rsidR="003A2400" w:rsidRPr="00FE4AEE" w:rsidRDefault="003A2400" w:rsidP="003A2400">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281,0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3806BAB" w14:textId="72701944" w:rsidR="003A2400" w:rsidRPr="00FE4AEE" w:rsidRDefault="003A2400" w:rsidP="003A2400">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307,6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0AF4CF9" w14:textId="51862815" w:rsidR="003A2400" w:rsidRPr="00FE4AEE" w:rsidRDefault="003A2400" w:rsidP="003A2400">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269,0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28BBBC" w14:textId="22BC9A80" w:rsidR="003A2400" w:rsidRPr="005A4CD5" w:rsidRDefault="003A2400" w:rsidP="003A2400">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280,5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5B6D584" w14:textId="387FF76B" w:rsidR="003A2400" w:rsidRPr="005A4CD5" w:rsidRDefault="003A2400" w:rsidP="003A2400">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275,6</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2A07F6" w14:textId="20439253" w:rsidR="003A2400" w:rsidRPr="005A4CD5" w:rsidRDefault="003A2400" w:rsidP="003A2400">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264,6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1804E80" w14:textId="5B513472" w:rsidR="003A2400" w:rsidRPr="00EF3A3A" w:rsidRDefault="003A2400" w:rsidP="003A2400">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w:t>
            </w:r>
            <w:r w:rsidRPr="00EF3A3A">
              <w:rPr>
                <w:rFonts w:ascii="Calibri" w:hAnsi="Calibri" w:cs="Calibri"/>
                <w:b/>
                <w:noProof/>
                <w:color w:val="003399" w:themeColor="text2"/>
              </w:rPr>
              <w:t> </w:t>
            </w:r>
            <w:r w:rsidRPr="00EF3A3A">
              <w:rPr>
                <w:rFonts w:asciiTheme="majorHAnsi" w:hAnsiTheme="majorHAnsi"/>
                <w:b/>
                <w:noProof/>
                <w:color w:val="003399" w:themeColor="text2"/>
              </w:rPr>
              <w:t>149,4</w:t>
            </w:r>
          </w:p>
        </w:tc>
      </w:tr>
      <w:tr w:rsidR="00411000" w:rsidRPr="00AB5413" w14:paraId="75B6CAF0" w14:textId="77777777" w:rsidTr="6856BD68">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284EB16" w14:textId="6A4F69EF" w:rsidR="00411000" w:rsidRPr="00186C27" w:rsidRDefault="00411000">
            <w:pPr>
              <w:spacing w:before="100" w:after="100"/>
              <w:rPr>
                <w:rFonts w:asciiTheme="majorHAnsi" w:hAnsiTheme="majorHAnsi"/>
                <w:iCs/>
                <w:noProof/>
                <w:color w:val="003399" w:themeColor="text2"/>
                <w:sz w:val="22"/>
                <w:szCs w:val="22"/>
              </w:rPr>
            </w:pPr>
            <w:r>
              <w:rPr>
                <w:rFonts w:asciiTheme="majorHAnsi" w:hAnsiTheme="majorHAnsi"/>
                <w:noProof/>
                <w:color w:val="003399" w:themeColor="text2"/>
                <w:sz w:val="22"/>
              </w:rPr>
              <w:t>Din care resurse proprii pentru finanțarea obligațiilor aferente NGEU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03B783F" w14:textId="71800AA9" w:rsidR="00411000" w:rsidRPr="00FE4AEE" w:rsidDel="000D256C" w:rsidRDefault="00A652C4" w:rsidP="00FE4AEE">
            <w:pPr>
              <w:spacing w:before="100" w:after="100"/>
              <w:jc w:val="center"/>
              <w:rPr>
                <w:rFonts w:asciiTheme="majorHAnsi" w:hAnsiTheme="majorHAnsi"/>
                <w:b/>
                <w:bCs/>
                <w:noProof/>
                <w:color w:val="003399" w:themeColor="text2"/>
              </w:rPr>
            </w:pPr>
            <w:r w:rsidRPr="00EF3A3A">
              <w:rPr>
                <w:rFonts w:asciiTheme="majorHAnsi" w:hAnsiTheme="majorHAnsi"/>
                <w:b/>
                <w:noProof/>
                <w:color w:val="003399" w:themeColor="text2"/>
              </w:rPr>
              <w:t>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480C6C8" w14:textId="37DB0322" w:rsidR="00411000" w:rsidRPr="00FE4AEE" w:rsidRDefault="00A652C4"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9,9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B569B7B" w14:textId="2E768C33" w:rsidR="00A652C4" w:rsidRPr="00FE4AEE" w:rsidRDefault="00A652C4"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97A812" w14:textId="0AADC768" w:rsidR="00411000" w:rsidRPr="00FE4AEE" w:rsidRDefault="00A652C4"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9177AD3" w14:textId="7228639F" w:rsidR="00411000" w:rsidRPr="00FE4AEE" w:rsidRDefault="00A652C4"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CFEB03" w14:textId="1425E885" w:rsidR="00411000" w:rsidRPr="00FE4AEE" w:rsidRDefault="00A652C4" w:rsidP="00FE4AEE">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7779D51" w14:textId="2AFA9A03" w:rsidR="00411000" w:rsidRPr="00FE4AEE" w:rsidRDefault="00A652C4" w:rsidP="00FE4AEE">
            <w:pPr>
              <w:spacing w:before="100" w:after="100"/>
              <w:jc w:val="center"/>
              <w:rPr>
                <w:rFonts w:asciiTheme="majorHAnsi" w:eastAsia="Calibri" w:hAnsiTheme="majorHAnsi"/>
                <w:b/>
                <w:bCs/>
                <w:iCs/>
                <w:noProof/>
                <w:color w:val="003399" w:themeColor="text2"/>
              </w:rPr>
            </w:pPr>
            <w:r w:rsidRPr="00EF3A3A">
              <w:rPr>
                <w:rFonts w:asciiTheme="majorHAnsi" w:hAnsiTheme="majorHAnsi"/>
                <w:b/>
                <w:noProof/>
                <w:color w:val="003399" w:themeColor="text2"/>
              </w:rPr>
              <w:t>24,0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2DB145A" w14:textId="082A89AF" w:rsidR="00411000" w:rsidRPr="00FE4AEE" w:rsidRDefault="00A652C4" w:rsidP="00FE4AEE">
            <w:pPr>
              <w:spacing w:before="100" w:after="100"/>
              <w:jc w:val="center"/>
              <w:rPr>
                <w:rFonts w:asciiTheme="majorHAnsi" w:eastAsia="Calibri" w:hAnsiTheme="majorHAnsi"/>
                <w:b/>
                <w:bCs/>
                <w:iCs/>
                <w:noProof/>
                <w:color w:val="003399" w:themeColor="text2"/>
              </w:rPr>
            </w:pPr>
            <w:r w:rsidRPr="00EF3A3A">
              <w:rPr>
                <w:rFonts w:asciiTheme="majorHAnsi" w:hAnsiTheme="majorHAnsi"/>
                <w:b/>
                <w:noProof/>
                <w:color w:val="003399" w:themeColor="text2"/>
              </w:rPr>
              <w:t>24,0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9A89822" w14:textId="4DDE273D" w:rsidR="00411000" w:rsidRPr="00FE4AEE" w:rsidRDefault="00A652C4" w:rsidP="00FE4AEE">
            <w:pPr>
              <w:spacing w:before="100" w:after="100"/>
              <w:jc w:val="center"/>
              <w:rPr>
                <w:rFonts w:asciiTheme="majorHAnsi" w:eastAsia="Calibri" w:hAnsiTheme="majorHAnsi"/>
                <w:b/>
                <w:bCs/>
                <w:iCs/>
                <w:noProof/>
                <w:color w:val="003399" w:themeColor="text2"/>
              </w:rPr>
            </w:pPr>
            <w:r w:rsidRPr="00EF3A3A">
              <w:rPr>
                <w:rFonts w:asciiTheme="majorHAnsi" w:hAnsiTheme="majorHAnsi"/>
                <w:b/>
                <w:noProof/>
                <w:color w:val="003399" w:themeColor="text2"/>
              </w:rPr>
              <w:t>24,0</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3E14F95" w14:textId="77777777" w:rsidR="00411000" w:rsidRPr="00EF3A3A" w:rsidRDefault="00411000" w:rsidP="00FE4AEE">
            <w:pPr>
              <w:spacing w:before="100" w:after="100"/>
              <w:jc w:val="center"/>
              <w:rPr>
                <w:rFonts w:asciiTheme="majorHAnsi" w:hAnsiTheme="majorHAnsi"/>
                <w:b/>
                <w:bCs/>
                <w:iCs/>
                <w:noProof/>
                <w:sz w:val="22"/>
                <w:szCs w:val="22"/>
              </w:rPr>
            </w:pPr>
          </w:p>
        </w:tc>
      </w:tr>
      <w:tr w:rsidR="00876141" w:rsidRPr="00AB5413" w14:paraId="36949093"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1313F9D" w14:textId="77777777" w:rsidR="00876141" w:rsidRPr="00186C27" w:rsidRDefault="00876141" w:rsidP="00876141">
            <w:pPr>
              <w:spacing w:before="0" w:after="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 xml:space="preserve">din care: </w:t>
            </w:r>
          </w:p>
          <w:p w14:paraId="50AEB591" w14:textId="42A7B7F9" w:rsidR="00876141" w:rsidRPr="00186C27" w:rsidRDefault="00876141" w:rsidP="00876141">
            <w:pPr>
              <w:spacing w:before="0" w:after="0"/>
              <w:ind w:left="142"/>
              <w:rPr>
                <w:rFonts w:asciiTheme="majorHAnsi" w:hAnsiTheme="majorHAnsi"/>
                <w:b/>
                <w:bCs/>
                <w:iCs/>
                <w:noProof/>
                <w:color w:val="003399" w:themeColor="text2"/>
                <w:sz w:val="22"/>
                <w:szCs w:val="22"/>
              </w:rPr>
            </w:pPr>
            <w:r>
              <w:rPr>
                <w:rFonts w:asciiTheme="majorHAnsi" w:hAnsiTheme="majorHAnsi"/>
                <w:noProof/>
                <w:color w:val="003399" w:themeColor="text2"/>
                <w:sz w:val="22"/>
              </w:rPr>
              <w:t>Valoarea netă a resurselor proprii tradiționale***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9784D32" w14:textId="52C9A4CD" w:rsidR="00876141" w:rsidRPr="00EF3A3A" w:rsidRDefault="00876141" w:rsidP="00876141">
            <w:pPr>
              <w:spacing w:before="0" w:after="0"/>
              <w:jc w:val="center"/>
              <w:rPr>
                <w:rFonts w:asciiTheme="majorHAnsi" w:hAnsiTheme="majorHAnsi"/>
                <w:b/>
                <w:bCs/>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ACF1A4E" w14:textId="139B37D5" w:rsidR="00876141" w:rsidRPr="005A4CD5" w:rsidRDefault="00C67A5A" w:rsidP="005A4CD5">
            <w:pPr>
              <w:spacing w:before="100" w:after="100" w:line="22" w:lineRule="atLeast"/>
              <w:jc w:val="center"/>
              <w:rPr>
                <w:rFonts w:asciiTheme="majorHAnsi" w:eastAsia="Calibri" w:hAnsiTheme="majorHAnsi"/>
                <w:noProof/>
                <w:color w:val="003399" w:themeColor="text2"/>
              </w:rPr>
            </w:pPr>
            <w:r>
              <w:rPr>
                <w:rFonts w:asciiTheme="majorHAnsi" w:hAnsiTheme="majorHAnsi"/>
                <w:noProof/>
                <w:color w:val="003399" w:themeColor="text2"/>
              </w:rPr>
              <w:t xml:space="preserve"> </w:t>
            </w:r>
            <w:r w:rsidRPr="00EF3A3A">
              <w:rPr>
                <w:rFonts w:asciiTheme="majorHAnsi" w:hAnsiTheme="majorHAnsi"/>
                <w:noProof/>
                <w:color w:val="003399" w:themeColor="text2"/>
              </w:rPr>
              <w:t>25</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73668FA" w14:textId="5A67E155"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EF3A3A">
              <w:rPr>
                <w:rFonts w:asciiTheme="majorHAnsi" w:hAnsiTheme="majorHAnsi"/>
                <w:noProof/>
                <w:color w:val="003399" w:themeColor="text2"/>
              </w:rPr>
              <w:t>34</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D663BA6" w14:textId="5E3C6A32"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EF3A3A">
              <w:rPr>
                <w:rFonts w:asciiTheme="majorHAnsi" w:hAnsiTheme="majorHAnsi"/>
                <w:noProof/>
                <w:color w:val="003399" w:themeColor="text2"/>
              </w:rPr>
              <w:t>35</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60B40D2" w14:textId="4EC2E4B8"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EF3A3A">
              <w:rPr>
                <w:rFonts w:asciiTheme="majorHAnsi" w:hAnsiTheme="majorHAnsi"/>
                <w:noProof/>
                <w:color w:val="003399" w:themeColor="text2"/>
              </w:rPr>
              <w:t>36</w:t>
            </w:r>
            <w:r>
              <w:rPr>
                <w:rFonts w:asciiTheme="majorHAnsi" w:hAnsiTheme="majorHAnsi"/>
                <w:noProof/>
                <w:color w:val="003399" w:themeColor="text2"/>
              </w:rPr>
              <w:t>,</w:t>
            </w:r>
            <w:r w:rsidRPr="00EF3A3A">
              <w:rPr>
                <w:rFonts w:asciiTheme="majorHAnsi" w:hAnsiTheme="majorHAnsi"/>
                <w:noProof/>
                <w:color w:val="003399" w:themeColor="text2"/>
              </w:rPr>
              <w:t>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C29953" w14:textId="25CD378B"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EF3A3A">
              <w:rPr>
                <w:rFonts w:asciiTheme="majorHAnsi" w:hAnsiTheme="majorHAnsi"/>
                <w:noProof/>
                <w:color w:val="003399" w:themeColor="text2"/>
              </w:rPr>
              <w:t>38</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C80C13F" w14:textId="4CD89B06"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EF3A3A">
              <w:rPr>
                <w:rFonts w:asciiTheme="majorHAnsi" w:hAnsiTheme="majorHAnsi"/>
                <w:noProof/>
                <w:color w:val="003399" w:themeColor="text2"/>
              </w:rPr>
              <w:t>39</w:t>
            </w:r>
            <w:r>
              <w:rPr>
                <w:rFonts w:asciiTheme="majorHAnsi" w:hAnsiTheme="majorHAnsi"/>
                <w:noProof/>
                <w:color w:val="003399" w:themeColor="text2"/>
              </w:rPr>
              <w:t>,</w:t>
            </w:r>
            <w:r w:rsidRPr="00EF3A3A">
              <w:rPr>
                <w:rFonts w:asciiTheme="majorHAnsi" w:hAnsiTheme="majorHAnsi"/>
                <w:noProof/>
                <w:color w:val="003399" w:themeColor="text2"/>
              </w:rPr>
              <w:t>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825B49" w14:textId="2CC0129E"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EF3A3A">
              <w:rPr>
                <w:rFonts w:asciiTheme="majorHAnsi" w:hAnsiTheme="majorHAnsi"/>
                <w:noProof/>
                <w:color w:val="003399" w:themeColor="text2"/>
              </w:rPr>
              <w:t>40</w:t>
            </w:r>
            <w:r>
              <w:rPr>
                <w:rFonts w:asciiTheme="majorHAnsi" w:hAnsiTheme="majorHAnsi"/>
                <w:noProof/>
                <w:color w:val="003399" w:themeColor="text2"/>
              </w:rPr>
              <w:t>,</w:t>
            </w:r>
            <w:r w:rsidRPr="00EF3A3A">
              <w:rPr>
                <w:rFonts w:asciiTheme="majorHAnsi" w:hAnsiTheme="majorHAnsi"/>
                <w:noProof/>
                <w:color w:val="003399" w:themeColor="text2"/>
              </w:rPr>
              <w:t>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DF4F1B6" w14:textId="5F96FE47"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EF3A3A">
              <w:rPr>
                <w:rFonts w:asciiTheme="majorHAnsi" w:hAnsiTheme="majorHAnsi"/>
                <w:noProof/>
                <w:color w:val="003399" w:themeColor="text2"/>
              </w:rPr>
              <w:t>41</w:t>
            </w:r>
            <w:r>
              <w:rPr>
                <w:rFonts w:asciiTheme="majorHAnsi" w:hAnsiTheme="majorHAnsi"/>
                <w:noProof/>
                <w:color w:val="003399" w:themeColor="text2"/>
              </w:rPr>
              <w:t>,</w:t>
            </w:r>
            <w:r w:rsidRPr="00EF3A3A">
              <w:rPr>
                <w:rFonts w:asciiTheme="majorHAnsi" w:hAnsiTheme="majorHAnsi"/>
                <w:noProof/>
                <w:color w:val="003399" w:themeColor="text2"/>
              </w:rPr>
              <w:t>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78E9A60F" w14:textId="3EA5E38D" w:rsidR="00876141" w:rsidRPr="00EF3A3A" w:rsidRDefault="00876141" w:rsidP="005A4CD5">
            <w:pPr>
              <w:spacing w:before="100" w:after="100" w:line="22" w:lineRule="atLeast"/>
              <w:jc w:val="center"/>
              <w:rPr>
                <w:rFonts w:asciiTheme="majorHAnsi" w:eastAsia="Calibri" w:hAnsiTheme="majorHAnsi"/>
                <w:b/>
                <w:noProof/>
              </w:rPr>
            </w:pPr>
            <w:r w:rsidRPr="00EF3A3A">
              <w:rPr>
                <w:rFonts w:asciiTheme="majorHAnsi" w:hAnsiTheme="majorHAnsi"/>
                <w:b/>
                <w:noProof/>
              </w:rPr>
              <w:t>291,3</w:t>
            </w:r>
          </w:p>
        </w:tc>
      </w:tr>
      <w:tr w:rsidR="002568D0" w:rsidRPr="00AB5413" w14:paraId="12E9D7C1" w14:textId="77777777" w:rsidTr="005A4CD5">
        <w:trPr>
          <w:trHeight w:val="497"/>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CE3151" w14:textId="77777777" w:rsidR="002568D0" w:rsidRPr="00186C27" w:rsidRDefault="002568D0" w:rsidP="002568D0">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Resursa proprie bazată pe TVA</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646F56C" w14:textId="623AB704" w:rsidR="002568D0" w:rsidRPr="00FE4AEE" w:rsidRDefault="002568D0" w:rsidP="002568D0">
            <w:pPr>
              <w:spacing w:before="100" w:after="100"/>
              <w:jc w:val="center"/>
              <w:rPr>
                <w:rFonts w:asciiTheme="majorHAnsi" w:hAnsiTheme="majorHAnsi"/>
                <w:bCs/>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51F1CA5" w14:textId="0AD7F61E"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26</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B4219F6" w14:textId="7D17786D"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26</w:t>
            </w:r>
            <w:r>
              <w:rPr>
                <w:rFonts w:asciiTheme="majorHAnsi" w:hAnsiTheme="majorHAnsi"/>
                <w:noProof/>
                <w:color w:val="003399" w:themeColor="text2"/>
              </w:rPr>
              <w:t>,</w:t>
            </w:r>
            <w:r w:rsidRPr="00EF3A3A">
              <w:rPr>
                <w:rFonts w:asciiTheme="majorHAnsi" w:hAnsiTheme="majorHAnsi"/>
                <w:noProof/>
                <w:color w:val="003399" w:themeColor="text2"/>
              </w:rPr>
              <w:t>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1EAB13B" w14:textId="0873F67F"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27</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39E0D7C" w14:textId="63C41437"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28</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1781AD9" w14:textId="74487704"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29</w:t>
            </w:r>
            <w:r>
              <w:rPr>
                <w:rFonts w:asciiTheme="majorHAnsi" w:hAnsiTheme="majorHAnsi"/>
                <w:noProof/>
                <w:color w:val="003399" w:themeColor="text2"/>
              </w:rPr>
              <w:t>,</w:t>
            </w:r>
            <w:r w:rsidRPr="00EF3A3A">
              <w:rPr>
                <w:rFonts w:asciiTheme="majorHAnsi" w:hAnsiTheme="majorHAnsi"/>
                <w:noProof/>
                <w:color w:val="003399" w:themeColor="text2"/>
              </w:rPr>
              <w:t>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AAD7A5" w14:textId="1B0ACA05"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30</w:t>
            </w:r>
            <w:r>
              <w:rPr>
                <w:rFonts w:asciiTheme="majorHAnsi" w:hAnsiTheme="majorHAnsi"/>
                <w:noProof/>
                <w:color w:val="003399" w:themeColor="text2"/>
              </w:rPr>
              <w:t>,</w:t>
            </w:r>
            <w:r w:rsidRPr="00EF3A3A">
              <w:rPr>
                <w:rFonts w:asciiTheme="majorHAnsi" w:hAnsiTheme="majorHAnsi"/>
                <w:noProof/>
                <w:color w:val="003399" w:themeColor="text2"/>
              </w:rPr>
              <w:t>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5F8303" w14:textId="07F4D525"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31</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37A97D" w14:textId="56A1B02D"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31</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401F7C21" w14:textId="13F08FFB" w:rsidR="002568D0" w:rsidRPr="00EF3A3A" w:rsidRDefault="002568D0" w:rsidP="002568D0">
            <w:pPr>
              <w:spacing w:before="100" w:after="100" w:line="22" w:lineRule="atLeast"/>
              <w:jc w:val="center"/>
              <w:rPr>
                <w:rFonts w:asciiTheme="majorHAnsi" w:eastAsia="Calibri" w:hAnsiTheme="majorHAnsi"/>
                <w:b/>
                <w:noProof/>
              </w:rPr>
            </w:pPr>
            <w:r w:rsidRPr="00EF3A3A">
              <w:rPr>
                <w:rFonts w:asciiTheme="majorHAnsi" w:hAnsiTheme="majorHAnsi"/>
                <w:b/>
                <w:noProof/>
              </w:rPr>
              <w:t>230,4</w:t>
            </w:r>
          </w:p>
        </w:tc>
      </w:tr>
      <w:tr w:rsidR="002568D0" w:rsidRPr="00AB5413" w14:paraId="77B2CAB7"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006D1D1" w14:textId="77777777" w:rsidR="002568D0" w:rsidRPr="00186C27" w:rsidRDefault="002568D0" w:rsidP="002568D0">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Resursa proprie bazată pe deșeuri de ambalaje din plastic</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0AC1C71" w14:textId="77777777" w:rsidR="002568D0" w:rsidRPr="00FE4AEE" w:rsidRDefault="002568D0" w:rsidP="002568D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CF90739" w14:textId="7B9E395D"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6</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5CBC28A" w14:textId="0ED05DAA"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9</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4F2F768" w14:textId="6AA5EF30"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9</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80A315D" w14:textId="7AD5F99F"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9</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149BCC" w14:textId="7DD64C42"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9</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3A9A0E0" w14:textId="213877CA"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10</w:t>
            </w:r>
            <w:r>
              <w:rPr>
                <w:rFonts w:asciiTheme="majorHAnsi" w:hAnsiTheme="majorHAnsi"/>
                <w:noProof/>
                <w:color w:val="003399" w:themeColor="text2"/>
              </w:rPr>
              <w:t>,</w:t>
            </w:r>
            <w:r w:rsidRPr="00EF3A3A">
              <w:rPr>
                <w:rFonts w:asciiTheme="majorHAnsi" w:hAnsiTheme="majorHAnsi"/>
                <w:noProof/>
                <w:color w:val="003399" w:themeColor="text2"/>
              </w:rPr>
              <w:t>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8250ACC" w14:textId="0E5844F2"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10</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D38712" w14:textId="6B59B31B"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10</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3D8D7AF4" w14:textId="6B38FFAD" w:rsidR="002568D0" w:rsidRPr="00EF3A3A" w:rsidRDefault="002568D0" w:rsidP="002568D0">
            <w:pPr>
              <w:spacing w:before="100" w:after="100" w:line="22" w:lineRule="atLeast"/>
              <w:jc w:val="center"/>
              <w:rPr>
                <w:rFonts w:asciiTheme="majorHAnsi" w:eastAsia="Calibri" w:hAnsiTheme="majorHAnsi"/>
                <w:b/>
                <w:noProof/>
              </w:rPr>
            </w:pPr>
            <w:r w:rsidRPr="00EF3A3A">
              <w:rPr>
                <w:rFonts w:asciiTheme="majorHAnsi" w:hAnsiTheme="majorHAnsi"/>
                <w:b/>
                <w:noProof/>
              </w:rPr>
              <w:t>75,6</w:t>
            </w:r>
          </w:p>
        </w:tc>
      </w:tr>
      <w:tr w:rsidR="000D256C" w:rsidRPr="00AB5413" w14:paraId="55ACB159"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EECED4D" w14:textId="11590498" w:rsidR="000D256C" w:rsidRPr="00186C27" w:rsidRDefault="000D256C" w:rsidP="00F41B7B">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Resursa proprie bazată pe sistemul european de comercializare a certificatelor de emisii (ETS</w:t>
            </w:r>
            <w:r w:rsidRPr="00EF3A3A">
              <w:rPr>
                <w:rFonts w:asciiTheme="majorHAnsi" w:hAnsiTheme="majorHAnsi"/>
                <w:noProof/>
                <w:color w:val="003399" w:themeColor="text2"/>
                <w:sz w:val="22"/>
              </w:rPr>
              <w:t>1</w:t>
            </w:r>
            <w:r>
              <w:rPr>
                <w:rFonts w:asciiTheme="majorHAnsi" w:hAnsiTheme="majorHAnsi"/>
                <w:noProof/>
                <w:color w:val="003399" w:themeColor="text2"/>
                <w:sz w:val="22"/>
              </w:rPr>
              <w:t>)</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586450" w14:textId="77777777" w:rsidR="000D256C" w:rsidRPr="00FE4AEE" w:rsidRDefault="000D256C" w:rsidP="00FE4AEE">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21021D" w14:textId="7777777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0D1387" w14:textId="272B29D2"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8</w:t>
            </w:r>
            <w:r>
              <w:rPr>
                <w:rFonts w:asciiTheme="majorHAnsi" w:hAnsiTheme="majorHAnsi"/>
                <w:noProof/>
                <w:color w:val="003399" w:themeColor="text2"/>
              </w:rPr>
              <w:t>,</w:t>
            </w:r>
            <w:r w:rsidRPr="00EF3A3A">
              <w:rPr>
                <w:rFonts w:asciiTheme="majorHAnsi" w:hAnsiTheme="majorHAnsi"/>
                <w:noProof/>
                <w:color w:val="003399" w:themeColor="text2"/>
              </w:rPr>
              <w:t>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B2D9F1" w14:textId="3DF0374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11</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5FD05C" w14:textId="43857E6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11</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2C94326" w14:textId="734F0690"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13</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E21C7AB" w14:textId="39BBB7A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11</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F5D42C" w14:textId="71814686"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10</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1D968F0" w14:textId="077B801D"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8</w:t>
            </w:r>
            <w:r>
              <w:rPr>
                <w:rFonts w:asciiTheme="majorHAnsi" w:hAnsiTheme="majorHAnsi"/>
                <w:noProof/>
                <w:color w:val="003399" w:themeColor="text2"/>
              </w:rPr>
              <w:t>,</w:t>
            </w:r>
            <w:r w:rsidRPr="00EF3A3A">
              <w:rPr>
                <w:rFonts w:asciiTheme="majorHAnsi" w:hAnsiTheme="majorHAnsi"/>
                <w:noProof/>
                <w:color w:val="003399" w:themeColor="text2"/>
              </w:rPr>
              <w:t>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5C9B8791" w14:textId="27EE8EB6" w:rsidR="000D256C" w:rsidRPr="00EF3A3A" w:rsidRDefault="00E9143B" w:rsidP="00FE4AEE">
            <w:pPr>
              <w:spacing w:before="100" w:after="100" w:line="22" w:lineRule="atLeast"/>
              <w:jc w:val="center"/>
              <w:rPr>
                <w:rFonts w:asciiTheme="majorHAnsi" w:eastAsia="Calibri" w:hAnsiTheme="majorHAnsi"/>
                <w:b/>
                <w:noProof/>
              </w:rPr>
            </w:pPr>
            <w:r w:rsidRPr="00EF3A3A">
              <w:rPr>
                <w:rFonts w:asciiTheme="majorHAnsi" w:hAnsiTheme="majorHAnsi"/>
                <w:b/>
                <w:noProof/>
              </w:rPr>
              <w:t>75,6</w:t>
            </w:r>
          </w:p>
        </w:tc>
      </w:tr>
      <w:tr w:rsidR="002A3F2D" w:rsidRPr="00AB5413" w14:paraId="40576EE9"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DFC84FB" w14:textId="1F11FB6F" w:rsidR="002A3F2D" w:rsidRPr="00186C27" w:rsidRDefault="002A3F2D" w:rsidP="002A3F2D">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Resursa proprie bazată pe deșeurile electronice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B86773C" w14:textId="77777777" w:rsidR="002A3F2D" w:rsidRPr="00481B6B" w:rsidRDefault="002A3F2D" w:rsidP="002A3F2D">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68EA19" w14:textId="77777777" w:rsidR="002A3F2D" w:rsidRPr="00481B6B" w:rsidRDefault="002A3F2D" w:rsidP="002A3F2D">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9921C6" w14:textId="04B58D35"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16</w:t>
            </w:r>
            <w:r>
              <w:rPr>
                <w:rFonts w:asciiTheme="majorHAnsi" w:hAnsiTheme="majorHAnsi"/>
                <w:noProof/>
                <w:color w:val="003399" w:themeColor="text2"/>
              </w:rPr>
              <w:t>,</w:t>
            </w:r>
            <w:r w:rsidRPr="00EF3A3A">
              <w:rPr>
                <w:rFonts w:asciiTheme="majorHAnsi" w:hAnsiTheme="majorHAnsi"/>
                <w:noProof/>
                <w:color w:val="003399" w:themeColor="text2"/>
              </w:rPr>
              <w:t>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DB16ED7" w14:textId="43F6D962"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16</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F5F3A4" w14:textId="6FFE681B"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16</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890A3A3" w14:textId="0DECB60B"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16</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FE25B82" w14:textId="4D107C91"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17</w:t>
            </w:r>
            <w:r>
              <w:rPr>
                <w:rFonts w:asciiTheme="majorHAnsi" w:hAnsiTheme="majorHAnsi"/>
                <w:noProof/>
                <w:color w:val="003399" w:themeColor="text2"/>
              </w:rPr>
              <w:t>,</w:t>
            </w:r>
            <w:r w:rsidRPr="00EF3A3A">
              <w:rPr>
                <w:rFonts w:asciiTheme="majorHAnsi" w:hAnsiTheme="majorHAnsi"/>
                <w:noProof/>
                <w:color w:val="003399" w:themeColor="text2"/>
              </w:rPr>
              <w:t>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DD8C61" w14:textId="0C87A5D7"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17</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35F2C59" w14:textId="4AF1D071"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17</w:t>
            </w:r>
            <w:r>
              <w:rPr>
                <w:rFonts w:asciiTheme="majorHAnsi" w:hAnsiTheme="majorHAnsi"/>
                <w:noProof/>
                <w:color w:val="003399" w:themeColor="text2"/>
              </w:rPr>
              <w:t>,</w:t>
            </w:r>
            <w:r w:rsidRPr="00EF3A3A">
              <w:rPr>
                <w:rFonts w:asciiTheme="majorHAnsi" w:hAnsiTheme="majorHAnsi"/>
                <w:noProof/>
                <w:color w:val="003399" w:themeColor="text2"/>
              </w:rPr>
              <w:t>4</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65351444" w14:textId="39D666C1" w:rsidR="002A3F2D" w:rsidRPr="00EF3A3A" w:rsidRDefault="002A3F2D" w:rsidP="002A3F2D">
            <w:pPr>
              <w:spacing w:before="100" w:after="100" w:line="22" w:lineRule="atLeast"/>
              <w:jc w:val="center"/>
              <w:rPr>
                <w:rFonts w:asciiTheme="majorHAnsi" w:eastAsia="Calibri" w:hAnsiTheme="majorHAnsi"/>
                <w:b/>
                <w:noProof/>
              </w:rPr>
            </w:pPr>
            <w:r w:rsidRPr="00EF3A3A">
              <w:rPr>
                <w:rFonts w:asciiTheme="majorHAnsi" w:hAnsiTheme="majorHAnsi"/>
                <w:b/>
                <w:noProof/>
              </w:rPr>
              <w:t>118,0</w:t>
            </w:r>
          </w:p>
        </w:tc>
      </w:tr>
      <w:tr w:rsidR="00F84A50" w:rsidRPr="00AB5413" w14:paraId="3E9E6FB3"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276DD0" w14:textId="3965378C" w:rsidR="00F84A50" w:rsidRPr="00186C27" w:rsidRDefault="00F84A50" w:rsidP="00F84A50">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 xml:space="preserve">Resursa proprie bazată pe accizele la tutun </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8AC9329" w14:textId="77777777" w:rsidR="00F84A50" w:rsidRPr="00481B6B" w:rsidRDefault="00F84A50" w:rsidP="00F84A5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ADED6FE" w14:textId="77777777" w:rsidR="00F84A50" w:rsidRPr="00481B6B" w:rsidRDefault="00F84A50" w:rsidP="00F84A50">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F967A7D" w14:textId="7130BC92"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13</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E5EB26" w14:textId="75BF31A9"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12</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17ACD33" w14:textId="42E10DB7"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12</w:t>
            </w:r>
            <w:r>
              <w:rPr>
                <w:rFonts w:asciiTheme="majorHAnsi" w:hAnsiTheme="majorHAnsi"/>
                <w:noProof/>
                <w:color w:val="003399" w:themeColor="text2"/>
              </w:rPr>
              <w:t>,</w:t>
            </w:r>
            <w:r w:rsidRPr="00EF3A3A">
              <w:rPr>
                <w:rFonts w:asciiTheme="majorHAnsi" w:hAnsiTheme="majorHAnsi"/>
                <w:noProof/>
                <w:color w:val="003399" w:themeColor="text2"/>
              </w:rPr>
              <w:t>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F1EE070" w14:textId="4ED7FFEB"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12</w:t>
            </w:r>
            <w:r>
              <w:rPr>
                <w:rFonts w:asciiTheme="majorHAnsi" w:hAnsiTheme="majorHAnsi"/>
                <w:noProof/>
                <w:color w:val="003399" w:themeColor="text2"/>
              </w:rPr>
              <w:t>,</w:t>
            </w:r>
            <w:r w:rsidRPr="00EF3A3A">
              <w:rPr>
                <w:rFonts w:asciiTheme="majorHAnsi" w:hAnsiTheme="majorHAnsi"/>
                <w:noProof/>
                <w:color w:val="003399" w:themeColor="text2"/>
              </w:rPr>
              <w:t>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E950A64" w14:textId="4F81BD6D"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12</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BC9922" w14:textId="3F4CDD62"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12</w:t>
            </w:r>
            <w:r>
              <w:rPr>
                <w:rFonts w:asciiTheme="majorHAnsi" w:hAnsiTheme="majorHAnsi"/>
                <w:noProof/>
                <w:color w:val="003399" w:themeColor="text2"/>
              </w:rPr>
              <w:t>,</w:t>
            </w:r>
            <w:r w:rsidRPr="00EF3A3A">
              <w:rPr>
                <w:rFonts w:asciiTheme="majorHAnsi" w:hAnsiTheme="majorHAnsi"/>
                <w:noProof/>
                <w:color w:val="003399" w:themeColor="text2"/>
              </w:rPr>
              <w:t>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4BA276" w14:textId="02D5C9D4"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12</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2CA48566" w14:textId="5EAC7998" w:rsidR="00F84A50" w:rsidRPr="00EF3A3A" w:rsidRDefault="00F84A50" w:rsidP="00F84A50">
            <w:pPr>
              <w:spacing w:before="100" w:after="100" w:line="22" w:lineRule="atLeast"/>
              <w:jc w:val="center"/>
              <w:rPr>
                <w:rFonts w:asciiTheme="majorHAnsi" w:eastAsia="Calibri" w:hAnsiTheme="majorHAnsi"/>
                <w:b/>
                <w:noProof/>
              </w:rPr>
            </w:pPr>
            <w:r w:rsidRPr="00EF3A3A">
              <w:rPr>
                <w:rFonts w:asciiTheme="majorHAnsi" w:hAnsiTheme="majorHAnsi"/>
                <w:b/>
                <w:noProof/>
              </w:rPr>
              <w:t>88,3</w:t>
            </w:r>
          </w:p>
        </w:tc>
      </w:tr>
      <w:tr w:rsidR="000D256C" w:rsidRPr="00AB5413" w14:paraId="22ED2FD7"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A09501" w14:textId="3EB7B06A" w:rsidR="000D256C" w:rsidRPr="00186C27" w:rsidRDefault="000D256C">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Resursa proprie bazată pe mecanismul de ajustare a carbonului la frontieră (CBAM)</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F81173D" w14:textId="77777777" w:rsidR="000D256C" w:rsidRPr="00481B6B" w:rsidRDefault="000D256C">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0522844" w14:textId="77777777" w:rsidR="000D256C" w:rsidRPr="00481B6B" w:rsidRDefault="000D256C" w:rsidP="00481B6B">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6654AC3" w14:textId="430AA24F"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0</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6F1FF3F" w14:textId="71C9C0B6"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CD9D6A7" w14:textId="74770F3F"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C0C7214" w14:textId="329B2FE7"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811F97" w14:textId="48804D95"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A5B1C9" w14:textId="544BD0EA"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2</w:t>
            </w:r>
            <w:r>
              <w:rPr>
                <w:rFonts w:asciiTheme="majorHAnsi" w:hAnsiTheme="majorHAnsi"/>
                <w:noProof/>
                <w:color w:val="003399" w:themeColor="text2"/>
              </w:rPr>
              <w:t>,</w:t>
            </w:r>
            <w:r w:rsidRPr="00EF3A3A">
              <w:rPr>
                <w:rFonts w:asciiTheme="majorHAnsi" w:hAnsiTheme="majorHAnsi"/>
                <w:noProof/>
                <w:color w:val="003399" w:themeColor="text2"/>
              </w:rPr>
              <w:t>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7A21BE6" w14:textId="68F47DF3"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2</w:t>
            </w:r>
            <w:r>
              <w:rPr>
                <w:rFonts w:asciiTheme="majorHAnsi" w:hAnsiTheme="majorHAnsi"/>
                <w:noProof/>
                <w:color w:val="003399" w:themeColor="text2"/>
              </w:rPr>
              <w:t>,</w:t>
            </w:r>
            <w:r w:rsidRPr="00EF3A3A">
              <w:rPr>
                <w:rFonts w:asciiTheme="majorHAnsi" w:hAnsiTheme="majorHAnsi"/>
                <w:noProof/>
                <w:color w:val="003399" w:themeColor="text2"/>
              </w:rPr>
              <w:t>2</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1152305" w14:textId="4B323E77" w:rsidR="000D256C" w:rsidRPr="00EF3A3A" w:rsidRDefault="005B0C56" w:rsidP="00481B6B">
            <w:pPr>
              <w:spacing w:before="100" w:after="100" w:line="22" w:lineRule="atLeast"/>
              <w:jc w:val="center"/>
              <w:rPr>
                <w:rFonts w:asciiTheme="majorHAnsi" w:eastAsia="Calibri" w:hAnsiTheme="majorHAnsi"/>
                <w:b/>
                <w:noProof/>
              </w:rPr>
            </w:pPr>
            <w:r w:rsidRPr="00EF3A3A">
              <w:rPr>
                <w:rFonts w:asciiTheme="majorHAnsi" w:hAnsiTheme="majorHAnsi"/>
                <w:b/>
                <w:noProof/>
              </w:rPr>
              <w:t>10,8</w:t>
            </w:r>
          </w:p>
        </w:tc>
      </w:tr>
      <w:tr w:rsidR="00F84A50" w:rsidRPr="00AB5413" w14:paraId="25BE7D4F"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B73B49" w14:textId="71DA1EF4" w:rsidR="00F84A50" w:rsidRPr="00186C27" w:rsidRDefault="00F84A50" w:rsidP="00F84A50">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Resursa corporativă pentru Europa (CORE)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6A0F3F" w14:textId="77777777" w:rsidR="00F84A50" w:rsidRPr="00481B6B" w:rsidRDefault="00F84A50" w:rsidP="00F84A5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B6EEE96" w14:textId="77777777" w:rsidR="00F84A50" w:rsidRPr="00481B6B" w:rsidRDefault="00F84A50" w:rsidP="00F84A50">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3D7D8C7" w14:textId="19C1A32D"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7</w:t>
            </w:r>
            <w:r>
              <w:rPr>
                <w:rFonts w:asciiTheme="majorHAnsi" w:hAnsiTheme="majorHAnsi"/>
                <w:noProof/>
                <w:color w:val="003399" w:themeColor="text2"/>
              </w:rPr>
              <w:t>,</w:t>
            </w:r>
            <w:r w:rsidRPr="00EF3A3A">
              <w:rPr>
                <w:rFonts w:asciiTheme="majorHAnsi" w:hAnsiTheme="majorHAnsi"/>
                <w:noProof/>
                <w:color w:val="003399" w:themeColor="text2"/>
              </w:rPr>
              <w:t>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A40B8F" w14:textId="349DAF7E"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7</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25C2871" w14:textId="20624CD1"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7</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488596F" w14:textId="7629B1CF"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7</w:t>
            </w:r>
            <w:r>
              <w:rPr>
                <w:rFonts w:asciiTheme="majorHAnsi" w:hAnsiTheme="majorHAnsi"/>
                <w:noProof/>
                <w:color w:val="003399" w:themeColor="text2"/>
              </w:rPr>
              <w:t>,</w:t>
            </w:r>
            <w:r w:rsidRPr="00EF3A3A">
              <w:rPr>
                <w:rFonts w:asciiTheme="majorHAnsi" w:hAnsiTheme="majorHAnsi"/>
                <w:noProof/>
                <w:color w:val="003399" w:themeColor="text2"/>
              </w:rPr>
              <w:t>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DBBDC1" w14:textId="389741C5"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7</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20B8B6D" w14:textId="1DC2E7E1"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7</w:t>
            </w:r>
            <w:r>
              <w:rPr>
                <w:rFonts w:asciiTheme="majorHAnsi" w:hAnsiTheme="majorHAnsi"/>
                <w:noProof/>
                <w:color w:val="003399" w:themeColor="text2"/>
              </w:rPr>
              <w:t>,</w:t>
            </w:r>
            <w:r w:rsidRPr="00EF3A3A">
              <w:rPr>
                <w:rFonts w:asciiTheme="majorHAnsi" w:hAnsiTheme="majorHAnsi"/>
                <w:noProof/>
                <w:color w:val="003399" w:themeColor="text2"/>
              </w:rPr>
              <w:t>8</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FF0A73F" w14:textId="594656E3"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7</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3E4CDCC6" w14:textId="7A802C7C" w:rsidR="00F84A50" w:rsidRPr="00EF3A3A" w:rsidRDefault="00F84A50" w:rsidP="00F84A50">
            <w:pPr>
              <w:spacing w:before="100" w:after="100" w:line="22" w:lineRule="atLeast"/>
              <w:jc w:val="center"/>
              <w:rPr>
                <w:rFonts w:asciiTheme="majorHAnsi" w:eastAsia="Calibri" w:hAnsiTheme="majorHAnsi"/>
                <w:b/>
                <w:noProof/>
              </w:rPr>
            </w:pPr>
            <w:r w:rsidRPr="00EF3A3A">
              <w:rPr>
                <w:rFonts w:asciiTheme="majorHAnsi" w:hAnsiTheme="majorHAnsi"/>
                <w:b/>
                <w:noProof/>
              </w:rPr>
              <w:t>53,3</w:t>
            </w:r>
          </w:p>
        </w:tc>
      </w:tr>
      <w:tr w:rsidR="0073328F" w:rsidRPr="00AB5413" w14:paraId="396A9F5C"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117B3C9" w14:textId="4637C016" w:rsidR="0073328F" w:rsidRPr="00186C27" w:rsidRDefault="0073328F" w:rsidP="0073328F">
            <w:pPr>
              <w:spacing w:before="100" w:after="100"/>
              <w:ind w:left="170"/>
              <w:rPr>
                <w:rFonts w:asciiTheme="majorHAnsi" w:hAnsiTheme="majorHAnsi"/>
                <w:bCs/>
                <w:iCs/>
                <w:noProof/>
                <w:color w:val="003399" w:themeColor="text2"/>
                <w:sz w:val="22"/>
                <w:szCs w:val="22"/>
              </w:rPr>
            </w:pPr>
            <w:r>
              <w:rPr>
                <w:rFonts w:asciiTheme="majorHAnsi" w:hAnsiTheme="majorHAnsi"/>
                <w:noProof/>
                <w:color w:val="003399" w:themeColor="text2"/>
                <w:sz w:val="22"/>
              </w:rPr>
              <w:t>Resursa proprie bazată pe VNB</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558EFAD" w14:textId="77777777" w:rsidR="0073328F" w:rsidRPr="00481B6B" w:rsidRDefault="0073328F" w:rsidP="0073328F">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B49814E" w14:textId="5AD4894E"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151</w:t>
            </w:r>
            <w:r>
              <w:rPr>
                <w:rFonts w:asciiTheme="majorHAnsi" w:hAnsiTheme="majorHAnsi"/>
                <w:noProof/>
                <w:color w:val="003399" w:themeColor="text2"/>
              </w:rPr>
              <w:t>,</w:t>
            </w:r>
            <w:r w:rsidRPr="00EF3A3A">
              <w:rPr>
                <w:rFonts w:asciiTheme="majorHAnsi" w:hAnsiTheme="majorHAnsi"/>
                <w:noProof/>
                <w:color w:val="003399" w:themeColor="text2"/>
              </w:rPr>
              <w:t>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FEF8887" w14:textId="22379213"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145</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355843B" w14:textId="48EBB4A6"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159</w:t>
            </w:r>
            <w:r>
              <w:rPr>
                <w:rFonts w:asciiTheme="majorHAnsi" w:hAnsiTheme="majorHAnsi"/>
                <w:noProof/>
                <w:color w:val="003399" w:themeColor="text2"/>
              </w:rPr>
              <w:t>,</w:t>
            </w:r>
            <w:r w:rsidRPr="00EF3A3A">
              <w:rPr>
                <w:rFonts w:asciiTheme="majorHAnsi" w:hAnsiTheme="majorHAnsi"/>
                <w:noProof/>
                <w:color w:val="003399" w:themeColor="text2"/>
              </w:rPr>
              <w:t>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BE6F1B" w14:textId="157E24AA"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183</w:t>
            </w:r>
            <w:r>
              <w:rPr>
                <w:rFonts w:asciiTheme="majorHAnsi" w:hAnsiTheme="majorHAnsi"/>
                <w:noProof/>
                <w:color w:val="003399" w:themeColor="text2"/>
              </w:rPr>
              <w:t>,</w:t>
            </w:r>
            <w:r w:rsidRPr="00EF3A3A">
              <w:rPr>
                <w:rFonts w:asciiTheme="majorHAnsi" w:hAnsiTheme="majorHAnsi"/>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B8FD9A" w14:textId="235157DD"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140</w:t>
            </w:r>
            <w:r>
              <w:rPr>
                <w:rFonts w:asciiTheme="majorHAnsi" w:hAnsiTheme="majorHAnsi"/>
                <w:noProof/>
                <w:color w:val="003399" w:themeColor="text2"/>
              </w:rPr>
              <w:t>,</w:t>
            </w:r>
            <w:r w:rsidRPr="00EF3A3A">
              <w:rPr>
                <w:rFonts w:asciiTheme="majorHAnsi" w:hAnsiTheme="majorHAnsi"/>
                <w:noProof/>
                <w:color w:val="003399" w:themeColor="text2"/>
              </w:rPr>
              <w:t>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E5EFE2" w14:textId="02A4856B"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150</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F9D3351" w14:textId="7C9EFBF6"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144</w:t>
            </w:r>
            <w:r>
              <w:rPr>
                <w:rFonts w:asciiTheme="majorHAnsi" w:hAnsiTheme="majorHAnsi"/>
                <w:noProof/>
                <w:color w:val="003399" w:themeColor="text2"/>
              </w:rPr>
              <w:t>,</w:t>
            </w:r>
            <w:r w:rsidRPr="00EF3A3A">
              <w:rPr>
                <w:rFonts w:asciiTheme="majorHAnsi" w:hAnsiTheme="majorHAnsi"/>
                <w:noProof/>
                <w:color w:val="003399" w:themeColor="text2"/>
              </w:rPr>
              <w:t>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129030E" w14:textId="7A34FF02"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EF3A3A">
              <w:rPr>
                <w:rFonts w:asciiTheme="majorHAnsi" w:hAnsiTheme="majorHAnsi"/>
                <w:noProof/>
                <w:color w:val="003399" w:themeColor="text2"/>
              </w:rPr>
              <w:t>131</w:t>
            </w:r>
            <w:r>
              <w:rPr>
                <w:rFonts w:asciiTheme="majorHAnsi" w:hAnsiTheme="majorHAnsi"/>
                <w:noProof/>
                <w:color w:val="003399" w:themeColor="text2"/>
              </w:rPr>
              <w:t>,</w:t>
            </w:r>
            <w:r w:rsidRPr="00EF3A3A">
              <w:rPr>
                <w:rFonts w:asciiTheme="majorHAnsi" w:hAnsiTheme="majorHAnsi"/>
                <w:noProof/>
                <w:color w:val="003399" w:themeColor="text2"/>
              </w:rPr>
              <w:t>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530BA60" w14:textId="5E27DD32" w:rsidR="0073328F" w:rsidRPr="00EF3A3A" w:rsidRDefault="0073328F" w:rsidP="0073328F">
            <w:pPr>
              <w:spacing w:before="100" w:after="100" w:line="22" w:lineRule="atLeast"/>
              <w:jc w:val="center"/>
              <w:rPr>
                <w:rFonts w:asciiTheme="majorHAnsi" w:eastAsia="Calibri" w:hAnsiTheme="majorHAnsi"/>
                <w:b/>
                <w:noProof/>
              </w:rPr>
            </w:pPr>
            <w:r w:rsidRPr="00EF3A3A">
              <w:rPr>
                <w:rFonts w:asciiTheme="majorHAnsi" w:hAnsiTheme="majorHAnsi"/>
                <w:b/>
                <w:noProof/>
              </w:rPr>
              <w:t>1</w:t>
            </w:r>
            <w:r w:rsidRPr="00EF3A3A">
              <w:rPr>
                <w:rFonts w:ascii="Calibri" w:hAnsi="Calibri" w:cs="Calibri"/>
                <w:b/>
                <w:noProof/>
              </w:rPr>
              <w:t> </w:t>
            </w:r>
            <w:r w:rsidRPr="00EF3A3A">
              <w:rPr>
                <w:rFonts w:asciiTheme="majorHAnsi" w:hAnsiTheme="majorHAnsi"/>
                <w:b/>
                <w:noProof/>
              </w:rPr>
              <w:t>205,9</w:t>
            </w:r>
          </w:p>
        </w:tc>
      </w:tr>
      <w:tr w:rsidR="00D1758B" w:rsidRPr="00AB5413" w14:paraId="5A2FD315" w14:textId="77777777" w:rsidTr="6603F2C9">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8AA0255" w14:textId="53E50CDC" w:rsidR="00CA37D2" w:rsidRPr="00186C27" w:rsidRDefault="00CA37D2" w:rsidP="00CA37D2">
            <w:pPr>
              <w:spacing w:before="100" w:after="100"/>
              <w:rPr>
                <w:rFonts w:asciiTheme="majorHAnsi" w:hAnsiTheme="majorHAnsi"/>
                <w:b/>
                <w:bCs/>
                <w:iCs/>
                <w:noProof/>
                <w:color w:val="003399" w:themeColor="text2"/>
                <w:sz w:val="22"/>
                <w:szCs w:val="22"/>
              </w:rPr>
            </w:pPr>
            <w:r w:rsidRPr="00EF3A3A">
              <w:rPr>
                <w:rFonts w:asciiTheme="majorHAnsi" w:hAnsiTheme="majorHAnsi"/>
                <w:b/>
                <w:noProof/>
                <w:color w:val="003399" w:themeColor="text2"/>
                <w:sz w:val="22"/>
              </w:rPr>
              <w:t>Alte venituri [inclusiv taxele și contribuția provizorie a Regatului Unit, taxa aferentă Sistemului european de informații și de autorizare privind călătoriile (ETIAS)]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1D283AEB" w14:textId="5F0383CF" w:rsidR="00CA37D2" w:rsidRPr="00481B6B" w:rsidRDefault="00CA37D2" w:rsidP="00CA37D2">
            <w:pPr>
              <w:spacing w:before="100" w:after="100"/>
              <w:jc w:val="center"/>
              <w:rPr>
                <w:rFonts w:asciiTheme="majorHAnsi" w:hAnsiTheme="majorHAnsi"/>
                <w:b/>
                <w:bCs/>
                <w:iCs/>
                <w:noProof/>
                <w:color w:val="003399" w:themeColor="text2"/>
                <w:spacing w:val="-4"/>
              </w:rPr>
            </w:pPr>
            <w:r w:rsidRPr="00EF3A3A">
              <w:rPr>
                <w:rFonts w:asciiTheme="majorHAnsi" w:hAnsiTheme="majorHAnsi"/>
                <w:b/>
                <w:noProof/>
                <w:color w:val="003399" w:themeColor="text2"/>
              </w:rPr>
              <w:t>C</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1CFF6E8" w14:textId="38667242" w:rsidR="00CA37D2" w:rsidRPr="00481B6B" w:rsidRDefault="00CA37D2" w:rsidP="00CA37D2">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3,1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B68FA27" w14:textId="3A5DAF8A" w:rsidR="00CA37D2" w:rsidRPr="00481B6B" w:rsidRDefault="00CA37D2" w:rsidP="00CA37D2">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3,4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5516728" w14:textId="37241BF2" w:rsidR="00CA37D2" w:rsidRPr="00481B6B" w:rsidRDefault="00CA37D2" w:rsidP="00CA37D2">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3,2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EEF6430" w14:textId="7F50F272" w:rsidR="00CA37D2" w:rsidRPr="00481B6B" w:rsidRDefault="00CA37D2" w:rsidP="00CA37D2">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3,1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0E36C9D" w14:textId="5F71EFF4" w:rsidR="00CA37D2" w:rsidRPr="00481B6B" w:rsidRDefault="00CA37D2" w:rsidP="00CA37D2">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FCAA172" w14:textId="310F5D40" w:rsidR="00CA37D2" w:rsidRPr="005A4CD5" w:rsidRDefault="00CA37D2" w:rsidP="00CA37D2">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BA06728" w14:textId="35793286" w:rsidR="00CA37D2" w:rsidRPr="005A4CD5" w:rsidRDefault="00CA37D2" w:rsidP="00CA37D2">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3A25415" w14:textId="05940318" w:rsidR="00CA37D2" w:rsidRPr="005A4CD5" w:rsidRDefault="00CA37D2" w:rsidP="00CA37D2">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75806857" w14:textId="1A475CFA" w:rsidR="00CA37D2" w:rsidRPr="00EF3A3A" w:rsidRDefault="00CA37D2" w:rsidP="00CA37D2">
            <w:pPr>
              <w:spacing w:before="100" w:after="100"/>
              <w:jc w:val="center"/>
              <w:rPr>
                <w:rFonts w:asciiTheme="majorHAnsi" w:hAnsiTheme="majorHAnsi"/>
                <w:b/>
                <w:noProof/>
                <w:color w:val="003399" w:themeColor="text2"/>
              </w:rPr>
            </w:pPr>
            <w:r w:rsidRPr="00EF3A3A">
              <w:rPr>
                <w:rFonts w:asciiTheme="majorHAnsi" w:hAnsiTheme="majorHAnsi"/>
                <w:b/>
                <w:noProof/>
                <w:color w:val="003399" w:themeColor="text2"/>
              </w:rPr>
              <w:t>24,4</w:t>
            </w:r>
          </w:p>
        </w:tc>
      </w:tr>
      <w:tr w:rsidR="00D74601" w:rsidRPr="00AB5413" w14:paraId="4F4439A4" w14:textId="77777777" w:rsidTr="00186C27">
        <w:trPr>
          <w:trHeight w:val="533"/>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1FE861B0" w14:textId="77777777" w:rsidR="000D256C" w:rsidRPr="00186C27" w:rsidRDefault="000D256C">
            <w:pPr>
              <w:spacing w:before="100" w:after="100"/>
              <w:rPr>
                <w:rFonts w:asciiTheme="majorHAnsi" w:hAnsiTheme="majorHAnsi"/>
                <w:b/>
                <w:bCs/>
                <w:iCs/>
                <w:noProof/>
                <w:color w:val="003399" w:themeColor="text2"/>
                <w:sz w:val="22"/>
                <w:szCs w:val="22"/>
              </w:rPr>
            </w:pPr>
            <w:r w:rsidRPr="00EF3A3A">
              <w:rPr>
                <w:rFonts w:asciiTheme="majorHAnsi" w:hAnsiTheme="majorHAnsi"/>
                <w:b/>
                <w:noProof/>
                <w:color w:val="003399" w:themeColor="text2"/>
                <w:sz w:val="22"/>
              </w:rPr>
              <w:t>TOTAL VENITURI</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30F856B5" w14:textId="39D1A39A" w:rsidR="000D256C" w:rsidRPr="00481B6B" w:rsidRDefault="28123C7F">
            <w:pPr>
              <w:spacing w:before="100" w:after="100"/>
              <w:jc w:val="center"/>
              <w:rPr>
                <w:rFonts w:asciiTheme="majorHAnsi" w:hAnsiTheme="majorHAnsi"/>
                <w:b/>
                <w:bCs/>
                <w:iCs/>
                <w:noProof/>
                <w:color w:val="003399" w:themeColor="text2"/>
              </w:rPr>
            </w:pPr>
            <w:r w:rsidRPr="00EF3A3A">
              <w:rPr>
                <w:rFonts w:asciiTheme="majorHAnsi" w:hAnsiTheme="majorHAnsi"/>
                <w:b/>
                <w:noProof/>
                <w:color w:val="003399" w:themeColor="text2"/>
              </w:rPr>
              <w:t>D=B+C</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2DF38A62" w14:textId="46F412A8" w:rsidR="000D256C" w:rsidRPr="001C6BF4" w:rsidRDefault="00E444B3" w:rsidP="00186C27">
            <w:pPr>
              <w:spacing w:before="100" w:after="100"/>
              <w:jc w:val="center"/>
              <w:rPr>
                <w:rFonts w:asciiTheme="majorHAnsi" w:hAnsiTheme="majorHAnsi"/>
                <w:b/>
                <w:bCs/>
                <w:iCs/>
                <w:noProof/>
                <w:color w:val="000000" w:themeColor="text1"/>
                <w:sz w:val="22"/>
                <w:szCs w:val="22"/>
              </w:rPr>
            </w:pPr>
            <w:r w:rsidRPr="00EF3A3A">
              <w:rPr>
                <w:rFonts w:asciiTheme="majorHAnsi" w:hAnsiTheme="majorHAnsi"/>
                <w:b/>
                <w:noProof/>
                <w:color w:val="000000" w:themeColor="text1"/>
                <w:sz w:val="22"/>
              </w:rPr>
              <w:t>212,0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42233951" w14:textId="0F8967B5"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EF3A3A">
              <w:rPr>
                <w:rFonts w:asciiTheme="majorHAnsi" w:hAnsiTheme="majorHAnsi"/>
                <w:b/>
                <w:noProof/>
                <w:color w:val="000000" w:themeColor="text1"/>
                <w:sz w:val="22"/>
              </w:rPr>
              <w:t>265,6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5C5AB0EA" w14:textId="446BF6F6"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EF3A3A">
              <w:rPr>
                <w:rFonts w:asciiTheme="majorHAnsi" w:hAnsiTheme="majorHAnsi"/>
                <w:b/>
                <w:noProof/>
                <w:color w:val="000000" w:themeColor="text1"/>
                <w:sz w:val="22"/>
              </w:rPr>
              <w:t>284,1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1E41EEB5" w14:textId="318EA906"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EF3A3A">
              <w:rPr>
                <w:rFonts w:asciiTheme="majorHAnsi" w:hAnsiTheme="majorHAnsi"/>
                <w:b/>
                <w:noProof/>
                <w:color w:val="000000" w:themeColor="text1"/>
                <w:sz w:val="22"/>
              </w:rPr>
              <w:t>310,7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626F463B" w14:textId="628F875A"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EF3A3A">
              <w:rPr>
                <w:rFonts w:asciiTheme="majorHAnsi" w:hAnsiTheme="majorHAnsi"/>
                <w:b/>
                <w:noProof/>
                <w:color w:val="000000" w:themeColor="text1"/>
                <w:sz w:val="22"/>
              </w:rPr>
              <w:t>272,0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61E63347" w14:textId="731A696C" w:rsidR="000D256C" w:rsidRPr="001C6BF4" w:rsidRDefault="000D256C" w:rsidP="00186C27">
            <w:pPr>
              <w:spacing w:before="100" w:after="100"/>
              <w:jc w:val="center"/>
              <w:rPr>
                <w:rFonts w:asciiTheme="majorHAnsi" w:eastAsia="Calibri" w:hAnsiTheme="majorHAnsi"/>
                <w:b/>
                <w:bCs/>
                <w:iCs/>
                <w:noProof/>
                <w:color w:val="000000" w:themeColor="text1"/>
                <w:sz w:val="22"/>
                <w:szCs w:val="22"/>
              </w:rPr>
            </w:pPr>
            <w:r w:rsidRPr="00EF3A3A">
              <w:rPr>
                <w:rFonts w:asciiTheme="majorHAnsi" w:hAnsiTheme="majorHAnsi"/>
                <w:b/>
                <w:noProof/>
                <w:color w:val="000000" w:themeColor="text1"/>
                <w:sz w:val="22"/>
              </w:rPr>
              <w:t>283,4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78A79487" w14:textId="7EFB18A3" w:rsidR="000D256C" w:rsidRPr="001C6BF4" w:rsidRDefault="000D256C" w:rsidP="00186C27">
            <w:pPr>
              <w:spacing w:before="100" w:after="100"/>
              <w:jc w:val="center"/>
              <w:rPr>
                <w:rFonts w:asciiTheme="majorHAnsi" w:eastAsia="Calibri" w:hAnsiTheme="majorHAnsi"/>
                <w:b/>
                <w:bCs/>
                <w:iCs/>
                <w:noProof/>
                <w:color w:val="000000" w:themeColor="text1"/>
                <w:sz w:val="22"/>
                <w:szCs w:val="22"/>
              </w:rPr>
            </w:pPr>
            <w:r w:rsidRPr="00EF3A3A">
              <w:rPr>
                <w:rFonts w:asciiTheme="majorHAnsi" w:hAnsiTheme="majorHAnsi"/>
                <w:b/>
                <w:noProof/>
                <w:color w:val="000000" w:themeColor="text1"/>
                <w:sz w:val="22"/>
              </w:rPr>
              <w:t>278,5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40536126" w14:textId="26C97881" w:rsidR="000D256C" w:rsidRPr="001C6BF4" w:rsidRDefault="000D256C" w:rsidP="00186C27">
            <w:pPr>
              <w:spacing w:before="100" w:after="100"/>
              <w:jc w:val="center"/>
              <w:rPr>
                <w:rFonts w:asciiTheme="majorHAnsi" w:eastAsia="Calibri" w:hAnsiTheme="majorHAnsi"/>
                <w:b/>
                <w:bCs/>
                <w:iCs/>
                <w:noProof/>
                <w:color w:val="000000" w:themeColor="text1"/>
                <w:sz w:val="22"/>
                <w:szCs w:val="22"/>
              </w:rPr>
            </w:pPr>
            <w:r w:rsidRPr="00EF3A3A">
              <w:rPr>
                <w:rFonts w:asciiTheme="majorHAnsi" w:hAnsiTheme="majorHAnsi"/>
                <w:b/>
                <w:noProof/>
                <w:color w:val="000000" w:themeColor="text1"/>
                <w:sz w:val="22"/>
              </w:rPr>
              <w:t>267,5</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D9D9D9" w:themeFill="background1" w:themeFillShade="D9"/>
            <w:vAlign w:val="center"/>
          </w:tcPr>
          <w:p w14:paraId="574A0F92" w14:textId="29BF05BE" w:rsidR="000D256C" w:rsidRPr="00EF3A3A" w:rsidRDefault="009973DD" w:rsidP="00186C27">
            <w:pPr>
              <w:spacing w:before="100" w:after="100"/>
              <w:jc w:val="center"/>
              <w:rPr>
                <w:rFonts w:asciiTheme="majorHAnsi" w:hAnsiTheme="majorHAnsi"/>
                <w:b/>
                <w:bCs/>
                <w:iCs/>
                <w:noProof/>
                <w:color w:val="000000" w:themeColor="text1"/>
                <w:sz w:val="22"/>
                <w:szCs w:val="22"/>
              </w:rPr>
            </w:pPr>
            <w:r w:rsidRPr="00EF3A3A">
              <w:rPr>
                <w:rFonts w:asciiTheme="majorHAnsi" w:hAnsiTheme="majorHAnsi"/>
                <w:b/>
                <w:noProof/>
                <w:color w:val="000000" w:themeColor="text1"/>
                <w:sz w:val="22"/>
              </w:rPr>
              <w:t>2</w:t>
            </w:r>
            <w:r w:rsidRPr="00EF3A3A">
              <w:rPr>
                <w:rFonts w:ascii="Calibri" w:hAnsi="Calibri" w:cs="Calibri"/>
                <w:b/>
                <w:noProof/>
                <w:color w:val="000000" w:themeColor="text1"/>
                <w:sz w:val="22"/>
              </w:rPr>
              <w:t> </w:t>
            </w:r>
            <w:r w:rsidRPr="00EF3A3A">
              <w:rPr>
                <w:rFonts w:asciiTheme="majorHAnsi" w:hAnsiTheme="majorHAnsi"/>
                <w:b/>
                <w:noProof/>
                <w:color w:val="000000" w:themeColor="text1"/>
                <w:sz w:val="22"/>
              </w:rPr>
              <w:t>173,9</w:t>
            </w:r>
          </w:p>
        </w:tc>
      </w:tr>
      <w:tr w:rsidR="000D256C" w:rsidRPr="00AB5413" w14:paraId="55E09A0C"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642E1C" w14:textId="5430C852" w:rsidR="000D256C" w:rsidRPr="00186C27" w:rsidRDefault="000D256C">
            <w:pPr>
              <w:spacing w:before="100" w:after="100"/>
              <w:rPr>
                <w:rFonts w:asciiTheme="majorHAnsi" w:hAnsiTheme="majorHAnsi"/>
                <w:b/>
                <w:iCs/>
                <w:noProof/>
                <w:color w:val="003399" w:themeColor="text2"/>
                <w:sz w:val="22"/>
                <w:szCs w:val="22"/>
              </w:rPr>
            </w:pPr>
            <w:r w:rsidRPr="00EF3A3A">
              <w:rPr>
                <w:rFonts w:asciiTheme="majorHAnsi" w:hAnsiTheme="majorHAnsi"/>
                <w:b/>
                <w:noProof/>
                <w:color w:val="003399" w:themeColor="text2"/>
                <w:sz w:val="22"/>
              </w:rPr>
              <w:t xml:space="preserve">Marja disponibilă în cadrul </w:t>
            </w:r>
            <w:r>
              <w:rPr>
                <w:noProof/>
              </w:rPr>
              <w:br/>
            </w:r>
            <w:r w:rsidRPr="00EF3A3A">
              <w:rPr>
                <w:rFonts w:asciiTheme="majorHAnsi" w:hAnsiTheme="majorHAnsi"/>
                <w:b/>
                <w:noProof/>
                <w:color w:val="003399" w:themeColor="text2"/>
                <w:sz w:val="22"/>
              </w:rPr>
              <w:t xml:space="preserve">plafoanelor resurselor proprii </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49A05F" w14:textId="33E8A43E" w:rsidR="000D256C" w:rsidRPr="00481B6B" w:rsidRDefault="65917720">
            <w:pPr>
              <w:spacing w:before="100" w:after="100"/>
              <w:jc w:val="center"/>
              <w:rPr>
                <w:rFonts w:asciiTheme="majorHAnsi" w:hAnsiTheme="majorHAnsi"/>
                <w:b/>
                <w:iCs/>
                <w:noProof/>
                <w:color w:val="003399" w:themeColor="text2"/>
              </w:rPr>
            </w:pPr>
            <w:r w:rsidRPr="00EF3A3A">
              <w:rPr>
                <w:rFonts w:asciiTheme="majorHAnsi" w:hAnsiTheme="majorHAnsi"/>
                <w:b/>
                <w:noProof/>
                <w:color w:val="003399" w:themeColor="text2"/>
              </w:rPr>
              <w:t>A-B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B3FACB2" w14:textId="08AA3332"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194,9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9A18D5" w14:textId="67970434"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230,7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B75F53" w14:textId="569F94E4"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230,4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D0B29F" w14:textId="36A40B4F"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222,5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612B77" w14:textId="4E52ADE4"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279,0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CD6CCA" w14:textId="104228A2"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285,6</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120F24" w14:textId="6AE3A23E"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308,5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181D63" w14:textId="176FC954" w:rsidR="000D256C" w:rsidRPr="001C6BF4" w:rsidRDefault="01C14EF4" w:rsidP="00D74601">
            <w:pPr>
              <w:spacing w:before="100" w:after="100"/>
              <w:jc w:val="right"/>
              <w:rPr>
                <w:rFonts w:asciiTheme="majorHAnsi" w:hAnsiTheme="majorHAnsi"/>
                <w:b/>
                <w:iCs/>
                <w:noProof/>
                <w:color w:val="003399" w:themeColor="text2"/>
              </w:rPr>
            </w:pPr>
            <w:r w:rsidRPr="00EF3A3A">
              <w:rPr>
                <w:rFonts w:asciiTheme="majorHAnsi" w:hAnsiTheme="majorHAnsi"/>
                <w:b/>
                <w:noProof/>
                <w:color w:val="003399" w:themeColor="text2"/>
              </w:rPr>
              <w:t>337,8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71D36542" w14:textId="72078EC4" w:rsidR="000D256C" w:rsidRPr="00EF3A3A" w:rsidRDefault="01C14EF4" w:rsidP="00481B6B">
            <w:pPr>
              <w:spacing w:before="100" w:after="100"/>
              <w:jc w:val="center"/>
              <w:rPr>
                <w:rFonts w:asciiTheme="majorHAnsi" w:hAnsiTheme="majorHAnsi"/>
                <w:b/>
                <w:bCs/>
                <w:iCs/>
                <w:noProof/>
                <w:color w:val="000000" w:themeColor="text1"/>
                <w:sz w:val="22"/>
                <w:szCs w:val="22"/>
              </w:rPr>
            </w:pPr>
            <w:r w:rsidRPr="00EF3A3A">
              <w:rPr>
                <w:rFonts w:asciiTheme="majorHAnsi" w:hAnsiTheme="majorHAnsi"/>
                <w:b/>
                <w:noProof/>
                <w:color w:val="000000" w:themeColor="text1"/>
                <w:sz w:val="22"/>
              </w:rPr>
              <w:t>nu se aplică</w:t>
            </w:r>
          </w:p>
        </w:tc>
      </w:tr>
      <w:tr w:rsidR="000D256C" w:rsidRPr="00AB5413" w14:paraId="6DE56EBF"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F3471B6" w14:textId="0EBEA30F" w:rsidR="000D256C" w:rsidRPr="00EF3A3A" w:rsidRDefault="000D256C" w:rsidP="00AD6672">
            <w:pPr>
              <w:spacing w:before="100" w:after="100"/>
              <w:jc w:val="right"/>
              <w:rPr>
                <w:rFonts w:asciiTheme="majorHAnsi" w:hAnsiTheme="majorHAnsi"/>
                <w:b/>
                <w:iCs/>
                <w:noProof/>
                <w:color w:val="003399" w:themeColor="text2"/>
                <w:sz w:val="22"/>
                <w:szCs w:val="22"/>
              </w:rPr>
            </w:pPr>
            <w:r>
              <w:rPr>
                <w:rFonts w:asciiTheme="majorHAnsi" w:hAnsiTheme="majorHAnsi"/>
                <w:noProof/>
                <w:color w:val="003399" w:themeColor="text2"/>
                <w:sz w:val="22"/>
              </w:rPr>
              <w:t>din care marjă în limita creșterii temporare pentru NGEU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9FB4B9A" w14:textId="0278646C" w:rsidR="000D256C" w:rsidRPr="00914420" w:rsidRDefault="2030E1C6">
            <w:pPr>
              <w:spacing w:before="100" w:after="100"/>
              <w:jc w:val="center"/>
              <w:rPr>
                <w:rFonts w:asciiTheme="majorHAnsi" w:hAnsiTheme="majorHAnsi"/>
                <w:noProof/>
                <w:color w:val="003399" w:themeColor="text2"/>
              </w:rPr>
            </w:pPr>
            <w:r>
              <w:rPr>
                <w:rFonts w:asciiTheme="majorHAnsi" w:hAnsiTheme="majorHAnsi"/>
                <w:noProof/>
                <w:color w:val="003399" w:themeColor="text2"/>
              </w:rPr>
              <w:t>A'- 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5A7D90B" w14:textId="411AFB79"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111</w:t>
            </w:r>
            <w:r>
              <w:rPr>
                <w:rFonts w:asciiTheme="majorHAnsi" w:hAnsiTheme="majorHAnsi"/>
                <w:noProof/>
                <w:color w:val="003399" w:themeColor="text2"/>
              </w:rPr>
              <w:t>,</w:t>
            </w:r>
            <w:r w:rsidRPr="00EF3A3A">
              <w:rPr>
                <w:rFonts w:asciiTheme="majorHAnsi" w:hAnsiTheme="majorHAnsi"/>
                <w:noProof/>
                <w:color w:val="003399" w:themeColor="text2"/>
              </w:rPr>
              <w:t>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8902FC8" w14:textId="3B3BA4EB"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101</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85E784" w14:textId="04D63056"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106</w:t>
            </w:r>
            <w:r>
              <w:rPr>
                <w:rFonts w:asciiTheme="majorHAnsi" w:hAnsiTheme="majorHAnsi"/>
                <w:noProof/>
                <w:color w:val="003399" w:themeColor="text2"/>
              </w:rPr>
              <w:t>,</w:t>
            </w:r>
            <w:r w:rsidRPr="00EF3A3A">
              <w:rPr>
                <w:rFonts w:asciiTheme="majorHAnsi" w:hAnsiTheme="majorHAnsi"/>
                <w:noProof/>
                <w:color w:val="003399" w:themeColor="text2"/>
              </w:rPr>
              <w:t>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20FA751" w14:textId="2808FBEE"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111</w:t>
            </w:r>
            <w:r>
              <w:rPr>
                <w:rFonts w:asciiTheme="majorHAnsi" w:hAnsiTheme="majorHAnsi"/>
                <w:noProof/>
                <w:color w:val="003399" w:themeColor="text2"/>
              </w:rPr>
              <w:t>,</w:t>
            </w:r>
            <w:r w:rsidRPr="00EF3A3A">
              <w:rPr>
                <w:rFonts w:asciiTheme="majorHAnsi" w:hAnsiTheme="majorHAnsi"/>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D92ABA3" w14:textId="7BB5A523"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115</w:t>
            </w:r>
            <w:r>
              <w:rPr>
                <w:rFonts w:asciiTheme="majorHAnsi" w:hAnsiTheme="majorHAnsi"/>
                <w:noProof/>
                <w:color w:val="003399" w:themeColor="text2"/>
              </w:rPr>
              <w:t>,</w:t>
            </w:r>
            <w:r w:rsidRPr="00EF3A3A">
              <w:rPr>
                <w:rFonts w:asciiTheme="majorHAnsi" w:hAnsiTheme="majorHAnsi"/>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ECF648E" w14:textId="028D1B17"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120</w:t>
            </w:r>
            <w:r>
              <w:rPr>
                <w:rFonts w:asciiTheme="majorHAnsi" w:hAnsiTheme="majorHAnsi"/>
                <w:noProof/>
                <w:color w:val="003399" w:themeColor="text2"/>
              </w:rPr>
              <w:t>,</w:t>
            </w:r>
            <w:r w:rsidRPr="00EF3A3A">
              <w:rPr>
                <w:rFonts w:asciiTheme="majorHAnsi" w:hAnsiTheme="majorHAnsi"/>
                <w:noProof/>
                <w:color w:val="003399" w:themeColor="text2"/>
              </w:rPr>
              <w:t>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5517B58" w14:textId="7A550011"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125</w:t>
            </w:r>
            <w:r>
              <w:rPr>
                <w:rFonts w:asciiTheme="majorHAnsi" w:hAnsiTheme="majorHAnsi"/>
                <w:noProof/>
                <w:color w:val="003399" w:themeColor="text2"/>
              </w:rPr>
              <w:t>,</w:t>
            </w:r>
            <w:r w:rsidRPr="00EF3A3A">
              <w:rPr>
                <w:rFonts w:asciiTheme="majorHAnsi" w:hAnsiTheme="majorHAnsi"/>
                <w:noProof/>
                <w:color w:val="003399" w:themeColor="text2"/>
              </w:rPr>
              <w:t>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1F5BE0E" w14:textId="00C9C818" w:rsidR="000D256C" w:rsidRPr="001C6BF4" w:rsidRDefault="00BC618D" w:rsidP="00D74601">
            <w:pPr>
              <w:spacing w:before="100" w:after="100"/>
              <w:jc w:val="right"/>
              <w:rPr>
                <w:rFonts w:asciiTheme="majorHAnsi" w:hAnsiTheme="majorHAnsi"/>
                <w:noProof/>
                <w:color w:val="003399" w:themeColor="text2"/>
              </w:rPr>
            </w:pPr>
            <w:r w:rsidRPr="00EF3A3A">
              <w:rPr>
                <w:rFonts w:asciiTheme="majorHAnsi" w:hAnsiTheme="majorHAnsi"/>
                <w:noProof/>
                <w:color w:val="003399" w:themeColor="text2"/>
              </w:rPr>
              <w:t>129</w:t>
            </w:r>
            <w:r>
              <w:rPr>
                <w:rFonts w:asciiTheme="majorHAnsi" w:hAnsiTheme="majorHAnsi"/>
                <w:noProof/>
                <w:color w:val="003399" w:themeColor="text2"/>
              </w:rPr>
              <w:t>,</w:t>
            </w:r>
            <w:r w:rsidRPr="00EF3A3A">
              <w:rPr>
                <w:rFonts w:asciiTheme="majorHAnsi" w:hAnsiTheme="majorHAnsi"/>
                <w:noProof/>
                <w:color w:val="003399" w:themeColor="text2"/>
              </w:rPr>
              <w:t>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1B88E5D2" w14:textId="23DF0BBF" w:rsidR="000D256C" w:rsidRPr="00EF3A3A" w:rsidRDefault="00BC618D" w:rsidP="00481B6B">
            <w:pPr>
              <w:spacing w:before="100" w:after="100"/>
              <w:jc w:val="center"/>
              <w:rPr>
                <w:rFonts w:asciiTheme="majorHAnsi" w:hAnsiTheme="majorHAnsi"/>
                <w:b/>
                <w:bCs/>
                <w:noProof/>
                <w:color w:val="000000" w:themeColor="text1"/>
                <w:sz w:val="22"/>
                <w:szCs w:val="22"/>
              </w:rPr>
            </w:pPr>
            <w:r w:rsidRPr="00EF3A3A">
              <w:rPr>
                <w:rFonts w:asciiTheme="majorHAnsi" w:hAnsiTheme="majorHAnsi"/>
                <w:b/>
                <w:noProof/>
                <w:color w:val="000000" w:themeColor="text1"/>
                <w:sz w:val="22"/>
              </w:rPr>
              <w:t>nu se aplică</w:t>
            </w:r>
          </w:p>
        </w:tc>
      </w:tr>
    </w:tbl>
    <w:p w14:paraId="1919C0EF" w14:textId="1635A90B" w:rsidR="000A2D2A" w:rsidRPr="0075144A" w:rsidRDefault="000A2D2A" w:rsidP="009A435C">
      <w:pPr>
        <w:spacing w:before="0" w:after="0"/>
        <w:rPr>
          <w:rFonts w:asciiTheme="majorHAnsi" w:hAnsiTheme="majorHAnsi"/>
          <w:i/>
          <w:noProof/>
          <w:sz w:val="16"/>
          <w:szCs w:val="16"/>
        </w:rPr>
      </w:pPr>
      <w:r w:rsidRPr="0075144A">
        <w:rPr>
          <w:rFonts w:asciiTheme="majorHAnsi" w:hAnsiTheme="majorHAnsi"/>
          <w:i/>
          <w:noProof/>
          <w:sz w:val="16"/>
        </w:rPr>
        <w:t xml:space="preserve">* Corespunde cifrelor din proiectul de buget pe 2027, pe baza Deciziei privind resursele proprii din 2020. </w:t>
      </w:r>
    </w:p>
    <w:p w14:paraId="1AFB27FF" w14:textId="5BE98988" w:rsidR="005A1B83" w:rsidRPr="0075144A" w:rsidRDefault="005A1B83" w:rsidP="009A435C">
      <w:pPr>
        <w:spacing w:before="0" w:after="0"/>
        <w:rPr>
          <w:rFonts w:asciiTheme="majorHAnsi" w:hAnsiTheme="majorHAnsi"/>
          <w:i/>
          <w:noProof/>
          <w:sz w:val="16"/>
          <w:szCs w:val="16"/>
        </w:rPr>
      </w:pPr>
      <w:r w:rsidRPr="0075144A">
        <w:rPr>
          <w:rFonts w:asciiTheme="majorHAnsi" w:hAnsiTheme="majorHAnsi"/>
          <w:i/>
          <w:noProof/>
          <w:sz w:val="16"/>
        </w:rPr>
        <w:t xml:space="preserve">** Plafonul resurselor proprii – calculat pe baza previziunilor economice din primăvara anului 2026 pentru venitul național brut al UE-27 </w:t>
      </w:r>
    </w:p>
    <w:p w14:paraId="6410CAD5" w14:textId="714D98BD" w:rsidR="005A1B83" w:rsidRPr="0075144A" w:rsidRDefault="005A1B83" w:rsidP="009A435C">
      <w:pPr>
        <w:spacing w:before="0" w:after="0"/>
        <w:rPr>
          <w:rFonts w:asciiTheme="majorHAnsi" w:hAnsiTheme="majorHAnsi"/>
          <w:i/>
          <w:noProof/>
          <w:sz w:val="16"/>
          <w:szCs w:val="16"/>
        </w:rPr>
      </w:pPr>
      <w:r w:rsidRPr="0075144A">
        <w:rPr>
          <w:rFonts w:asciiTheme="majorHAnsi" w:hAnsiTheme="majorHAnsi"/>
          <w:i/>
          <w:noProof/>
          <w:sz w:val="16"/>
        </w:rPr>
        <w:t>*** Resursele proprii tradiționale sunt estimate pe baza ratei de reținere de 10</w:t>
      </w:r>
      <w:r w:rsidRPr="0075144A">
        <w:rPr>
          <w:rFonts w:ascii="Calibri" w:hAnsi="Calibri" w:cs="Calibri"/>
          <w:i/>
          <w:noProof/>
          <w:sz w:val="16"/>
        </w:rPr>
        <w:t> </w:t>
      </w:r>
      <w:r w:rsidRPr="0075144A">
        <w:rPr>
          <w:rFonts w:asciiTheme="majorHAnsi" w:hAnsiTheme="majorHAnsi"/>
          <w:i/>
          <w:noProof/>
          <w:sz w:val="16"/>
        </w:rPr>
        <w:t xml:space="preserve">% pentru costurile de colectare pentru perioada 2028-2034. </w:t>
      </w:r>
    </w:p>
    <w:p w14:paraId="225C27A0" w14:textId="56BA39B0" w:rsidR="005A1B83" w:rsidRPr="0075144A" w:rsidRDefault="005A1B83" w:rsidP="0050317D">
      <w:pPr>
        <w:spacing w:before="0"/>
        <w:rPr>
          <w:rFonts w:asciiTheme="majorHAnsi" w:hAnsiTheme="majorHAnsi"/>
          <w:i/>
          <w:noProof/>
          <w:sz w:val="16"/>
          <w:szCs w:val="16"/>
        </w:rPr>
        <w:sectPr w:rsidR="005A1B83" w:rsidRPr="0075144A" w:rsidSect="009A435C">
          <w:headerReference w:type="default" r:id="rId44"/>
          <w:footerReference w:type="default" r:id="rId45"/>
          <w:pgSz w:w="16838" w:h="11906" w:orient="landscape"/>
          <w:pgMar w:top="1151" w:right="1321" w:bottom="1151" w:left="1440" w:header="720" w:footer="720" w:gutter="0"/>
          <w:cols w:space="720"/>
          <w:docGrid w:linePitch="326"/>
        </w:sectPr>
      </w:pPr>
    </w:p>
    <w:p w14:paraId="3D48B530" w14:textId="77777777" w:rsidR="008C5A43" w:rsidRPr="0075144A" w:rsidRDefault="008C5A43" w:rsidP="0050317D">
      <w:pPr>
        <w:spacing w:before="0"/>
        <w:rPr>
          <w:rFonts w:asciiTheme="majorHAnsi" w:hAnsiTheme="majorHAnsi"/>
          <w:i/>
          <w:noProof/>
          <w:sz w:val="16"/>
        </w:rPr>
      </w:pPr>
    </w:p>
    <w:sectPr w:rsidR="008C5A43" w:rsidRPr="0075144A">
      <w:headerReference w:type="default" r:id="rId46"/>
      <w:footerReference w:type="default" r:id="rId47"/>
      <w:pgSz w:w="11906" w:h="16838"/>
      <w:pgMar w:top="1321" w:right="1151" w:bottom="1440" w:left="11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CCA6A" w14:textId="77777777" w:rsidR="00204C75" w:rsidRDefault="00204C75">
      <w:r>
        <w:separator/>
      </w:r>
    </w:p>
    <w:p w14:paraId="501DF4FC" w14:textId="77777777" w:rsidR="00204C75" w:rsidRDefault="00204C75"/>
    <w:p w14:paraId="284C5565" w14:textId="77777777" w:rsidR="00204C75" w:rsidRDefault="00204C75"/>
  </w:endnote>
  <w:endnote w:type="continuationSeparator" w:id="0">
    <w:p w14:paraId="01476B6A" w14:textId="77777777" w:rsidR="00204C75" w:rsidRDefault="00204C75">
      <w:r>
        <w:continuationSeparator/>
      </w:r>
    </w:p>
    <w:p w14:paraId="2BF080AD" w14:textId="77777777" w:rsidR="00204C75" w:rsidRDefault="00204C75"/>
    <w:p w14:paraId="4485250C" w14:textId="77777777" w:rsidR="00204C75" w:rsidRDefault="00204C75"/>
  </w:endnote>
  <w:endnote w:type="continuationNotice" w:id="1">
    <w:p w14:paraId="4D328057" w14:textId="77777777" w:rsidR="00204C75" w:rsidRDefault="00204C75"/>
    <w:p w14:paraId="25726026" w14:textId="77777777" w:rsidR="00204C75" w:rsidRDefault="00204C75"/>
    <w:p w14:paraId="2FDF63C7" w14:textId="77777777" w:rsidR="00204C75" w:rsidRDefault="00204C75"/>
  </w:endnote>
  <w:endnote w:id="2">
    <w:p w14:paraId="3A08614C" w14:textId="354B6B88" w:rsidR="00861C1C" w:rsidRDefault="003B6DC2" w:rsidP="004E7898">
      <w:pPr>
        <w:pStyle w:val="EndnoteText"/>
        <w:spacing w:before="0" w:line="276" w:lineRule="auto"/>
        <w:jc w:val="both"/>
      </w:pPr>
      <w:r>
        <w:rPr>
          <w:rStyle w:val="EndnoteReference"/>
        </w:rPr>
        <w:endnoteRef/>
      </w:r>
      <w:r>
        <w:t xml:space="preserve"> Regulamentul (UE, Euratom) 2024/2509 al Parlamentului European și al Consiliului din 23 septembrie 2024 privind normele financiare aplicabile bugetului general al Uniunii (reformare), JO L, 2024/2559, 26.9.2024.</w:t>
      </w:r>
    </w:p>
  </w:endnote>
  <w:endnote w:id="3">
    <w:p w14:paraId="60FC9FB8" w14:textId="0168F392" w:rsidR="00C3162D" w:rsidRDefault="00C3162D" w:rsidP="00D26971">
      <w:pPr>
        <w:pStyle w:val="EndnoteText"/>
        <w:spacing w:line="276" w:lineRule="auto"/>
        <w:jc w:val="both"/>
      </w:pPr>
      <w:r>
        <w:rPr>
          <w:rStyle w:val="EndnoteReference"/>
        </w:rPr>
        <w:endnoteRef/>
      </w:r>
      <w:r>
        <w:t xml:space="preserve"> COM(2021) 343, 30.6.2021. Este prima ediție a acestui raport pentru perioada CFM 2021-2027.</w:t>
      </w:r>
    </w:p>
  </w:endnote>
  <w:endnote w:id="4">
    <w:p w14:paraId="1B241D6C" w14:textId="13527D09" w:rsidR="00894044" w:rsidRDefault="00894044" w:rsidP="00894044">
      <w:pPr>
        <w:pStyle w:val="EndnoteText"/>
        <w:spacing w:line="276" w:lineRule="auto"/>
        <w:jc w:val="both"/>
        <w:rPr>
          <w:highlight w:val="yellow"/>
        </w:rPr>
      </w:pPr>
      <w:r>
        <w:rPr>
          <w:rStyle w:val="EndnoteReference"/>
        </w:rPr>
        <w:endnoteRef/>
      </w:r>
      <w:r>
        <w:t xml:space="preserve"> Regulamentul (UE, Euratom) 2024/765 al Consiliului din 29 februarie 2024 de modificare a Regulamentului (UE,</w:t>
      </w:r>
      <w:r w:rsidR="0075144A">
        <w:rPr>
          <w:rFonts w:ascii="Calibri" w:hAnsi="Calibri" w:cs="Calibri"/>
        </w:rPr>
        <w:t> </w:t>
      </w:r>
      <w:r>
        <w:t>Euratom) 2020/2093 de stabilire a cadrului financiar multianual pentru perioada 2021-2027, JO L, 2024/765, 29.2.2024.</w:t>
      </w:r>
    </w:p>
  </w:endnote>
  <w:endnote w:id="5">
    <w:p w14:paraId="0BB846F1" w14:textId="179391B5" w:rsidR="00861C1C" w:rsidRDefault="003B6DC2" w:rsidP="00D26971">
      <w:pPr>
        <w:pStyle w:val="EndnoteText"/>
        <w:spacing w:line="276" w:lineRule="auto"/>
        <w:jc w:val="both"/>
      </w:pPr>
      <w:r>
        <w:rPr>
          <w:rStyle w:val="EndnoteReference"/>
        </w:rPr>
        <w:endnoteRef/>
      </w:r>
      <w:r>
        <w:t xml:space="preserve"> Propunere de regulament al Consiliului de stabilire a cadrului financiar multianual pentru perioada 2028-2034. COM(2025) 571 final. 16.7.2025.</w:t>
      </w:r>
      <w:r>
        <w:tab/>
      </w:r>
    </w:p>
  </w:endnote>
  <w:endnote w:id="6">
    <w:p w14:paraId="17876C9B" w14:textId="7424AC9C" w:rsidR="0088021B" w:rsidRDefault="0088021B">
      <w:pPr>
        <w:pStyle w:val="EndnoteText"/>
      </w:pPr>
      <w:r>
        <w:rPr>
          <w:rStyle w:val="EndnoteReference"/>
        </w:rPr>
        <w:endnoteRef/>
      </w:r>
      <w:r>
        <w:t xml:space="preserve"> Propunere de DECIZIE A CONSILIULUI privind sistemul de resurse proprii ale Uniunii Europene și de abrogare a Deciziei (UE, Euratom) 2020/2053. COM(2025) 574 final. 16.7.2025.</w:t>
      </w:r>
    </w:p>
  </w:endnote>
  <w:endnote w:id="7">
    <w:p w14:paraId="2C4CAABB" w14:textId="278ED47D" w:rsidR="00766033" w:rsidRDefault="00766033">
      <w:pPr>
        <w:pStyle w:val="EndnoteText"/>
      </w:pPr>
      <w:r>
        <w:rPr>
          <w:rStyle w:val="EndnoteReference"/>
        </w:rPr>
        <w:endnoteRef/>
      </w:r>
      <w:r>
        <w:t xml:space="preserve"> JO C66 I, 19.2.2019, p. 1.</w:t>
      </w:r>
    </w:p>
  </w:endnote>
  <w:endnote w:id="8">
    <w:p w14:paraId="09C8D251" w14:textId="59A78FA3" w:rsidR="00C62FD6" w:rsidRDefault="00C62FD6">
      <w:pPr>
        <w:pStyle w:val="EndnoteText"/>
      </w:pPr>
      <w:r>
        <w:rPr>
          <w:rStyle w:val="EndnoteReference"/>
        </w:rPr>
        <w:endnoteRef/>
      </w:r>
      <w:r>
        <w:t xml:space="preserve"> Comunicarea Comisiei către Parlamentul European și Consiliu – Ajustarea tehnică a cadrului financiar multianual pentru 2027 în conformitate cu articolul 4 din Regulamentul (UE, Euratom) 2020/2093 al Consiliului de stabilire a cadrului financiar multianual pentru perioada 2021-2027. COM(2026) 299. </w:t>
      </w:r>
    </w:p>
  </w:endnote>
  <w:endnote w:id="9">
    <w:p w14:paraId="429B897C" w14:textId="72A73BB2" w:rsidR="00861C1C" w:rsidRPr="0050317D" w:rsidRDefault="003B6DC2" w:rsidP="00D26971">
      <w:pPr>
        <w:pStyle w:val="EndnoteText"/>
        <w:spacing w:line="276" w:lineRule="auto"/>
        <w:jc w:val="both"/>
      </w:pPr>
      <w:r>
        <w:rPr>
          <w:rStyle w:val="EndnoteReference"/>
        </w:rPr>
        <w:endnoteRef/>
      </w:r>
      <w:r>
        <w:t xml:space="preserve"> Situația estimărilor de venituri și cheltuieli ale Comisiei Europene pentru exercițiul financiar 2027. SEC(2026) 250.</w:t>
      </w:r>
    </w:p>
  </w:endnote>
  <w:endnote w:id="10">
    <w:p w14:paraId="0E0D9CF1" w14:textId="596999F2" w:rsidR="00894044" w:rsidRDefault="00894044">
      <w:pPr>
        <w:pStyle w:val="EndnoteText"/>
      </w:pPr>
      <w:r>
        <w:rPr>
          <w:rStyle w:val="EndnoteReference"/>
        </w:rPr>
        <w:endnoteRef/>
      </w:r>
      <w:r>
        <w:t xml:space="preserve"> Regulamentul (UE, Euratom) 2024/765 al Consiliului din 29 februarie 2024 de modificare a Regulamentului (UE,</w:t>
      </w:r>
      <w:r w:rsidR="0075144A">
        <w:rPr>
          <w:rFonts w:ascii="Calibri" w:hAnsi="Calibri" w:cs="Calibri"/>
        </w:rPr>
        <w:t> </w:t>
      </w:r>
      <w:r>
        <w:t>Euratom) 2020/2093 de stabilire a cadrului financiar multianual pentru perioada 2021-2027, JO L, 2024/765, 29.2.2024.</w:t>
      </w:r>
    </w:p>
  </w:endnote>
  <w:endnote w:id="11">
    <w:p w14:paraId="63F62AF8" w14:textId="77777777" w:rsidR="00861C1C" w:rsidRDefault="003B6DC2" w:rsidP="00D26971">
      <w:pPr>
        <w:pStyle w:val="EndnoteText"/>
        <w:spacing w:line="276" w:lineRule="auto"/>
        <w:jc w:val="both"/>
      </w:pPr>
      <w:r>
        <w:rPr>
          <w:rStyle w:val="EndnoteReference"/>
        </w:rPr>
        <w:endnoteRef/>
      </w:r>
      <w:r>
        <w:t xml:space="preserve"> Articolul 5 din Regulamentul privind CFM prevede alocarea suplimentară în credite de angajament și credite de plată pentru o listă predefinită de programe, cuantumul fiind echivalent cu anumite tipuri de amenzi.</w:t>
      </w:r>
    </w:p>
  </w:endnote>
  <w:endnote w:id="12">
    <w:p w14:paraId="75DB4C86" w14:textId="77777777" w:rsidR="00861C1C" w:rsidRDefault="003B6DC2" w:rsidP="00D26971">
      <w:pPr>
        <w:pStyle w:val="EndnoteText"/>
        <w:spacing w:line="276" w:lineRule="auto"/>
        <w:jc w:val="both"/>
      </w:pPr>
      <w:r>
        <w:rPr>
          <w:vertAlign w:val="superscript"/>
        </w:rPr>
        <w:endnoteRef/>
      </w:r>
      <w:r>
        <w:t xml:space="preserve"> Articolul 15 alineatul (3) din Regulamentul financiar prevede că pot fi reconstituite creditele de angajament corespunzătoare cuantumului dezangajărilor efectuate în legătură cu proiectele de cercetare.</w:t>
      </w:r>
    </w:p>
  </w:endnote>
  <w:endnote w:id="13">
    <w:p w14:paraId="65F7F954" w14:textId="12C2DB43" w:rsidR="003B668E" w:rsidRDefault="003B668E">
      <w:pPr>
        <w:pStyle w:val="EndnoteText"/>
      </w:pPr>
      <w:r>
        <w:rPr>
          <w:rStyle w:val="EndnoteReference"/>
        </w:rPr>
        <w:endnoteRef/>
      </w:r>
      <w:r>
        <w:t xml:space="preserve"> Cu excepția cazului în care se specifică altfel, toate sumele prezentate în raport sunt exprimate în prețurile curente.</w:t>
      </w:r>
    </w:p>
  </w:endnote>
  <w:endnote w:id="14">
    <w:p w14:paraId="683642AE" w14:textId="77777777" w:rsidR="00C640CE" w:rsidRDefault="00C640CE" w:rsidP="00C640CE">
      <w:pPr>
        <w:pStyle w:val="EndnoteText"/>
      </w:pPr>
      <w:r>
        <w:rPr>
          <w:rStyle w:val="EndnoteReference"/>
        </w:rPr>
        <w:endnoteRef/>
      </w:r>
      <w:r>
        <w:t xml:space="preserve"> Raport al Comisiei către Parlamentul European și Consiliu. Prognoza pe termen lung privind viitoarele intrări și ieșiri din bugetul UE (2026-2034). COM(2025) 573 final. 16.7.2025.</w:t>
      </w:r>
    </w:p>
  </w:endnote>
  <w:endnote w:id="15">
    <w:p w14:paraId="0504AB29" w14:textId="0F97E662" w:rsidR="00331806" w:rsidRDefault="00331806">
      <w:pPr>
        <w:pStyle w:val="EndnoteText"/>
      </w:pPr>
      <w:r>
        <w:rPr>
          <w:rStyle w:val="EndnoteReference"/>
        </w:rPr>
        <w:endnoteRef/>
      </w:r>
      <w:r>
        <w:t xml:space="preserve"> Proiectul de buget rectificativ nr. 2 la bugetul general pentru exercițiul financiar 2026. Actualizarea veniturilor (resurse proprii) și ajustări ale cheltuielilor. COM(2026) 460 final. 9.6.2026.</w:t>
      </w:r>
    </w:p>
  </w:endnote>
  <w:endnote w:id="16">
    <w:p w14:paraId="02214641" w14:textId="218C5580" w:rsidR="00A15A2B" w:rsidRDefault="00A15A2B" w:rsidP="00A15A2B">
      <w:pPr>
        <w:pStyle w:val="EndnoteText"/>
      </w:pPr>
      <w:r>
        <w:rPr>
          <w:rStyle w:val="EndnoteReference"/>
        </w:rPr>
        <w:endnoteRef/>
      </w:r>
      <w:r>
        <w:t xml:space="preserve"> Statele membre au decis să transfere fonduri între plățile directe și dezvoltarea rurală. Rezultatul a fost stabilit în Regulamentul delegat (UE) 2026/1 al Comisiei din 1 decembrie 2025 de modificare a Regulamentului (UE) 2021/2115.</w:t>
      </w:r>
    </w:p>
  </w:endnote>
  <w:endnote w:id="17">
    <w:p w14:paraId="6134C08E" w14:textId="77777777" w:rsidR="009E4500" w:rsidRDefault="009E4500" w:rsidP="009E4500">
      <w:pPr>
        <w:pStyle w:val="EndnoteText"/>
      </w:pPr>
      <w:r>
        <w:rPr>
          <w:rStyle w:val="EndnoteReference"/>
        </w:rPr>
        <w:endnoteRef/>
      </w:r>
      <w:r>
        <w:t xml:space="preserve"> Regulamentul (UE) 2026/467 al Parlamentului European și al Consiliului din 24 februarie 2026 de punere în aplicare a unei cooperări consolidate în ceea ce privește instituirea împrumutului pentru sprijinirea Ucrainei pentru 2026 și 2027.</w:t>
      </w:r>
    </w:p>
  </w:endnote>
  <w:endnote w:id="18">
    <w:p w14:paraId="2DD8BA5C" w14:textId="4C9C4CFA" w:rsidR="00DB1237" w:rsidRDefault="00DB1237">
      <w:pPr>
        <w:pStyle w:val="EndnoteText"/>
      </w:pPr>
      <w:r>
        <w:rPr>
          <w:rStyle w:val="EndnoteReference"/>
        </w:rPr>
        <w:endnoteRef/>
      </w:r>
      <w:r>
        <w:t xml:space="preserve"> Această sumă nu include dezangajările și plățile din alte surse de fonduri, cum ar fi veniturile alocate.</w:t>
      </w:r>
    </w:p>
  </w:endnote>
  <w:endnote w:id="19">
    <w:p w14:paraId="120F446E" w14:textId="45B85CF0" w:rsidR="00131BC4" w:rsidRDefault="00131BC4" w:rsidP="002D17E8">
      <w:pPr>
        <w:pStyle w:val="EndnoteText"/>
      </w:pPr>
      <w:r>
        <w:rPr>
          <w:rStyle w:val="EndnoteReference"/>
        </w:rPr>
        <w:endnoteRef/>
      </w:r>
      <w:r>
        <w:t xml:space="preserve"> Directiva 2003/87/CE a Parlamentului European și a Consiliului din 13 octombrie 2003 de stabilire a unui sistem de comercializare a cotelor de emisie de gaze cu efect de seră în cadrul Comunității și de modificare a Directivei 96/61/CE a Consiliului.</w:t>
      </w:r>
    </w:p>
  </w:endnote>
  <w:endnote w:id="20">
    <w:p w14:paraId="69F8B3E5" w14:textId="5306B91D" w:rsidR="00614181" w:rsidRDefault="00614181" w:rsidP="00614181">
      <w:pPr>
        <w:pStyle w:val="EndnoteText"/>
      </w:pPr>
      <w:r>
        <w:rPr>
          <w:rStyle w:val="EndnoteReference"/>
        </w:rPr>
        <w:endnoteRef/>
      </w:r>
      <w:r>
        <w:t xml:space="preserve"> Toate componentele contribuției Regatului Unit sunt prevăzute la articolul 148 din Acordul de retragere. Prognoza include doar componente cuantificabile în acest stadiu, și anume contribuția provizorie a Regatului Unit la finanțarea plăților care rezultă din angajamentele restante anterioare anului 2021 pentru care Regatul Unit este răspunzător în temeiul articolului 140 și obligațiile în materie de pensii specificate la articolul 142 alineatul (5) din Acordul de retragere, precum și sumele pe care Uniunea le datorează Regatului Unit în temeiul articolului 145 (Comunitatea Europeană a Cărbunelui și Oțelului) și al articolului 146 (investițiile Uniunii în FEI).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Bahnschrift Light"/>
    <w:charset w:val="00"/>
    <w:family w:val="swiss"/>
    <w:pitch w:val="variable"/>
    <w:sig w:usb0="00000001" w:usb1="00000001" w:usb2="00000000" w:usb3="00000000" w:csb0="0000019F" w:csb1="00000000"/>
  </w:font>
  <w:font w:name="Tunga">
    <w:altName w:val="Courier New"/>
    <w:panose1 w:val="00000400000000000000"/>
    <w:charset w:val="00"/>
    <w:family w:val="swiss"/>
    <w:pitch w:val="variable"/>
    <w:sig w:usb0="00000003" w:usb1="00000000" w:usb2="00000000" w:usb3="00000000" w:csb0="00000001" w:csb1="00000000"/>
  </w:font>
  <w:font w:name="Proxima Nova">
    <w:altName w:val="EC Square Sans Pro Medium"/>
    <w:panose1 w:val="00000000000000000000"/>
    <w:charset w:val="00"/>
    <w:family w:val="modern"/>
    <w:notTrueType/>
    <w:pitch w:val="variable"/>
    <w:sig w:usb0="00000001" w:usb1="5000E0F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EC Square Sans Cond Pro Medium">
    <w:altName w:val="Calibri"/>
    <w:charset w:val="00"/>
    <w:family w:val="swiss"/>
    <w:pitch w:val="variable"/>
    <w:sig w:usb0="20000287" w:usb1="00000001" w:usb2="00000000" w:usb3="00000000" w:csb0="0000019F" w:csb1="00000000"/>
  </w:font>
  <w:font w:name="EC Square Sans Pro Light">
    <w:charset w:val="00"/>
    <w:family w:val="swiss"/>
    <w:pitch w:val="variable"/>
    <w:sig w:usb0="20000287" w:usb1="00000001" w:usb2="00000000" w:usb3="00000000" w:csb0="0000019F" w:csb1="00000000"/>
  </w:font>
  <w:font w:name="EUAlbertina">
    <w:altName w:val="Calibri"/>
    <w:charset w:val="00"/>
    <w:family w:val="auto"/>
    <w:pitch w:val="variable"/>
    <w:sig w:usb0="00000001"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EBF36" w14:textId="455C351B" w:rsidR="00AD0008" w:rsidRPr="00AD0008" w:rsidRDefault="00AD0008" w:rsidP="00AD0008">
    <w:pPr>
      <w:pStyle w:val="FooterCoverPage"/>
      <w:rPr>
        <w:rFonts w:ascii="Arial" w:hAnsi="Arial" w:cs="Arial"/>
        <w:b/>
        <w:sz w:val="48"/>
      </w:rPr>
    </w:pPr>
    <w:r w:rsidRPr="00AD0008">
      <w:rPr>
        <w:rFonts w:ascii="Arial" w:hAnsi="Arial" w:cs="Arial"/>
        <w:b/>
        <w:sz w:val="48"/>
      </w:rPr>
      <w:t>RO</w:t>
    </w:r>
    <w:r w:rsidRPr="00AD0008">
      <w:rPr>
        <w:rFonts w:ascii="Arial" w:hAnsi="Arial" w:cs="Arial"/>
        <w:b/>
        <w:sz w:val="48"/>
      </w:rPr>
      <w:tab/>
    </w:r>
    <w:r w:rsidRPr="00AD0008">
      <w:rPr>
        <w:rFonts w:ascii="Arial" w:hAnsi="Arial" w:cs="Arial"/>
        <w:b/>
        <w:sz w:val="48"/>
      </w:rPr>
      <w:tab/>
    </w:r>
    <w:r w:rsidRPr="00AD0008">
      <w:tab/>
    </w:r>
    <w:r w:rsidRPr="00AD000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F6715" w14:textId="392F818D" w:rsidR="00AD0008" w:rsidRPr="00AD0008" w:rsidRDefault="00AD0008" w:rsidP="00AD0008">
    <w:pPr>
      <w:pStyle w:val="FooterCoverPage"/>
      <w:rPr>
        <w:rFonts w:ascii="Arial" w:hAnsi="Arial" w:cs="Arial"/>
        <w:b/>
        <w:sz w:val="48"/>
      </w:rPr>
    </w:pPr>
    <w:r w:rsidRPr="00AD0008">
      <w:rPr>
        <w:rFonts w:ascii="Arial" w:hAnsi="Arial" w:cs="Arial"/>
        <w:b/>
        <w:sz w:val="48"/>
      </w:rPr>
      <w:t>RO</w:t>
    </w:r>
    <w:r w:rsidRPr="00AD0008">
      <w:rPr>
        <w:rFonts w:ascii="Arial" w:hAnsi="Arial" w:cs="Arial"/>
        <w:b/>
        <w:sz w:val="48"/>
      </w:rPr>
      <w:tab/>
    </w:r>
    <w:r w:rsidRPr="00AD0008">
      <w:rPr>
        <w:rFonts w:ascii="Arial" w:hAnsi="Arial" w:cs="Arial"/>
        <w:b/>
        <w:sz w:val="48"/>
      </w:rPr>
      <w:tab/>
    </w:r>
    <w:r w:rsidRPr="00AD0008">
      <w:tab/>
    </w:r>
    <w:r w:rsidRPr="00AD000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9D15C" w14:textId="77777777" w:rsidR="00AD0008" w:rsidRPr="00AD0008" w:rsidRDefault="00AD0008" w:rsidP="00AD000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7275" w14:textId="77777777" w:rsidR="00861C1C" w:rsidRDefault="003B6DC2">
    <w:pPr>
      <w:pStyle w:val="Foo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6709605"/>
      <w:docPartObj>
        <w:docPartGallery w:val="Page Numbers (Bottom of Page)"/>
        <w:docPartUnique/>
      </w:docPartObj>
    </w:sdtPr>
    <w:sdtEndPr/>
    <w:sdtContent>
      <w:p w14:paraId="719339A1" w14:textId="050CE8A5" w:rsidR="00861C1C" w:rsidRDefault="003B6DC2">
        <w:pPr>
          <w:pStyle w:val="Footer"/>
        </w:pPr>
        <w:r>
          <w:fldChar w:fldCharType="begin"/>
        </w:r>
        <w:r>
          <w:instrText xml:space="preserve"> PAGE   \* MERGEFORMAT </w:instrText>
        </w:r>
        <w:r>
          <w:fldChar w:fldCharType="separate"/>
        </w:r>
        <w:r w:rsidR="00AD0008">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9DC92" w14:textId="77777777" w:rsidR="00861C1C" w:rsidRDefault="00861C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285544"/>
      <w:docPartObj>
        <w:docPartGallery w:val="Page Numbers (Bottom of Page)"/>
        <w:docPartUnique/>
      </w:docPartObj>
    </w:sdtPr>
    <w:sdtEndPr/>
    <w:sdtContent>
      <w:p w14:paraId="56CCFE44" w14:textId="4805C9E2" w:rsidR="00597877" w:rsidRDefault="00597877">
        <w:pPr>
          <w:pStyle w:val="Footer"/>
        </w:pPr>
        <w:r>
          <w:fldChar w:fldCharType="begin"/>
        </w:r>
        <w:r>
          <w:instrText xml:space="preserve"> PAGE   \* MERGEFORMAT </w:instrText>
        </w:r>
        <w:r>
          <w:fldChar w:fldCharType="separate"/>
        </w:r>
        <w:r w:rsidR="00AD0008">
          <w:t>6</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74124" w14:textId="77777777" w:rsidR="00861C1C" w:rsidRDefault="003B6DC2">
    <w:pPr>
      <w:pStyle w:val="Footer"/>
    </w:pPr>
    <w:r>
      <w:rPr>
        <w:color w:val="2B579A"/>
        <w:shd w:val="clear" w:color="auto" w:fill="E6E6E6"/>
      </w:rPr>
      <w:fldChar w:fldCharType="begin"/>
    </w:r>
    <w:r>
      <w:instrText xml:space="preserve"> PAGE   \* MERGEFORMAT </w:instrText>
    </w:r>
    <w:r>
      <w:rPr>
        <w:color w:val="2B579A"/>
        <w:shd w:val="clear" w:color="auto" w:fill="E6E6E6"/>
      </w:rPr>
      <w:fldChar w:fldCharType="separate"/>
    </w:r>
    <w:r>
      <w:t>20</w:t>
    </w:r>
    <w:r>
      <w:rPr>
        <w:color w:val="2B579A"/>
        <w:shd w:val="clear" w:color="auto" w:fill="E6E6E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384086"/>
      <w:docPartObj>
        <w:docPartGallery w:val="Page Numbers (Bottom of Page)"/>
        <w:docPartUnique/>
      </w:docPartObj>
    </w:sdtPr>
    <w:sdtEndPr/>
    <w:sdtContent>
      <w:p w14:paraId="6E2222E7" w14:textId="45A6BAE6" w:rsidR="00861C1C" w:rsidRDefault="003B6DC2" w:rsidP="00967E56">
        <w:pPr>
          <w:pStyle w:val="Footer"/>
        </w:pPr>
        <w:r>
          <w:rPr>
            <w:shd w:val="clear" w:color="auto" w:fill="FFFFFF" w:themeFill="background1"/>
          </w:rPr>
          <w:fldChar w:fldCharType="begin"/>
        </w:r>
        <w:r>
          <w:rPr>
            <w:shd w:val="clear" w:color="auto" w:fill="FFFFFF" w:themeFill="background1"/>
          </w:rPr>
          <w:instrText xml:space="preserve"> PAGE   \* MERGEFORMAT </w:instrText>
        </w:r>
        <w:r>
          <w:rPr>
            <w:shd w:val="clear" w:color="auto" w:fill="FFFFFF" w:themeFill="background1"/>
          </w:rPr>
          <w:fldChar w:fldCharType="separate"/>
        </w:r>
        <w:r w:rsidR="00AF56E4">
          <w:rPr>
            <w:shd w:val="clear" w:color="auto" w:fill="FFFFFF" w:themeFill="background1"/>
          </w:rPr>
          <w:t>13</w:t>
        </w:r>
        <w:r>
          <w:rPr>
            <w:shd w:val="clear" w:color="auto" w:fill="FFFFFF" w:themeFill="background1"/>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C9750" w14:textId="77777777" w:rsidR="00861C1C" w:rsidRDefault="00861C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874707"/>
      <w:docPartObj>
        <w:docPartGallery w:val="Page Numbers (Bottom of Page)"/>
        <w:docPartUnique/>
      </w:docPartObj>
    </w:sdtPr>
    <w:sdtEndPr/>
    <w:sdtContent>
      <w:p w14:paraId="735B4392" w14:textId="77777777" w:rsidR="00597877" w:rsidRDefault="00597877" w:rsidP="00967E56">
        <w:pPr>
          <w:pStyle w:val="Footer"/>
        </w:pPr>
        <w:r>
          <w:rPr>
            <w:shd w:val="clear" w:color="auto" w:fill="FFFFFF" w:themeFill="background1"/>
          </w:rPr>
          <w:fldChar w:fldCharType="begin"/>
        </w:r>
        <w:r>
          <w:rPr>
            <w:shd w:val="clear" w:color="auto" w:fill="FFFFFF" w:themeFill="background1"/>
          </w:rPr>
          <w:instrText xml:space="preserve"> PAGE   \* MERGEFORMAT </w:instrText>
        </w:r>
        <w:r>
          <w:rPr>
            <w:shd w:val="clear" w:color="auto" w:fill="FFFFFF" w:themeFill="background1"/>
          </w:rPr>
          <w:fldChar w:fldCharType="separate"/>
        </w:r>
        <w:r>
          <w:rPr>
            <w:shd w:val="clear" w:color="auto" w:fill="FFFFFF" w:themeFill="background1"/>
          </w:rPr>
          <w:t>20</w:t>
        </w:r>
        <w:r>
          <w:rPr>
            <w:shd w:val="clear" w:color="auto" w:fill="FFFFFF" w:themeFill="background1"/>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085622"/>
      <w:docPartObj>
        <w:docPartGallery w:val="Page Numbers (Bottom of Page)"/>
        <w:docPartUnique/>
      </w:docPartObj>
    </w:sdtPr>
    <w:sdtEndPr/>
    <w:sdtContent>
      <w:p w14:paraId="5347A350" w14:textId="77777777" w:rsidR="00952885" w:rsidRDefault="00952885" w:rsidP="00967E56">
        <w:pPr>
          <w:pStyle w:val="Footer"/>
        </w:pPr>
        <w:r>
          <w:rPr>
            <w:shd w:val="clear" w:color="auto" w:fill="FFFFFF" w:themeFill="background1"/>
          </w:rPr>
          <w:fldChar w:fldCharType="begin"/>
        </w:r>
        <w:r>
          <w:rPr>
            <w:shd w:val="clear" w:color="auto" w:fill="FFFFFF" w:themeFill="background1"/>
          </w:rPr>
          <w:instrText xml:space="preserve"> PAGE   \* MERGEFORMAT </w:instrText>
        </w:r>
        <w:r>
          <w:rPr>
            <w:shd w:val="clear" w:color="auto" w:fill="FFFFFF" w:themeFill="background1"/>
          </w:rPr>
          <w:fldChar w:fldCharType="separate"/>
        </w:r>
        <w:r>
          <w:rPr>
            <w:shd w:val="clear" w:color="auto" w:fill="FFFFFF" w:themeFill="background1"/>
          </w:rPr>
          <w:t>20</w:t>
        </w:r>
        <w:r>
          <w:rPr>
            <w:shd w:val="clear" w:color="auto" w:fill="FFFFFF" w:themeFill="background1"/>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C79F4" w14:textId="77777777" w:rsidR="00861C1C" w:rsidRDefault="00861C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317603"/>
      <w:docPartObj>
        <w:docPartGallery w:val="Page Numbers (Bottom of Page)"/>
        <w:docPartUnique/>
      </w:docPartObj>
    </w:sdtPr>
    <w:sdtEndPr/>
    <w:sdtContent>
      <w:p w14:paraId="0077EFE7" w14:textId="77777777" w:rsidR="00861C1C" w:rsidRDefault="003B6DC2" w:rsidP="00F35BB7">
        <w:pPr>
          <w:pStyle w:val="Footer"/>
        </w:pPr>
        <w:r>
          <w:rPr>
            <w:shd w:val="clear" w:color="auto" w:fill="FFFFFF" w:themeFill="background1"/>
          </w:rPr>
          <w:fldChar w:fldCharType="begin"/>
        </w:r>
        <w:r>
          <w:rPr>
            <w:shd w:val="clear" w:color="auto" w:fill="FFFFFF" w:themeFill="background1"/>
          </w:rPr>
          <w:instrText xml:space="preserve"> PAGE   \* MERGEFORMAT </w:instrText>
        </w:r>
        <w:r>
          <w:rPr>
            <w:shd w:val="clear" w:color="auto" w:fill="FFFFFF" w:themeFill="background1"/>
          </w:rPr>
          <w:fldChar w:fldCharType="separate"/>
        </w:r>
        <w:r>
          <w:rPr>
            <w:shd w:val="clear" w:color="auto" w:fill="FFFFFF" w:themeFill="background1"/>
          </w:rPr>
          <w:t>24</w:t>
        </w:r>
        <w:r>
          <w:rPr>
            <w:shd w:val="clear" w:color="auto" w:fill="FFFFFF" w:themeFill="background1"/>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E057" w14:textId="77777777" w:rsidR="00861C1C" w:rsidRDefault="00861C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043228"/>
      <w:docPartObj>
        <w:docPartGallery w:val="Page Numbers (Bottom of Page)"/>
        <w:docPartUnique/>
      </w:docPartObj>
    </w:sdtPr>
    <w:sdtEndPr/>
    <w:sdtContent>
      <w:p w14:paraId="0ED8587F" w14:textId="77777777" w:rsidR="00597877" w:rsidRDefault="00597877" w:rsidP="00F35BB7">
        <w:pPr>
          <w:pStyle w:val="Footer"/>
        </w:pPr>
        <w:r>
          <w:rPr>
            <w:shd w:val="clear" w:color="auto" w:fill="FFFFFF" w:themeFill="background1"/>
          </w:rPr>
          <w:fldChar w:fldCharType="begin"/>
        </w:r>
        <w:r>
          <w:rPr>
            <w:shd w:val="clear" w:color="auto" w:fill="FFFFFF" w:themeFill="background1"/>
          </w:rPr>
          <w:instrText xml:space="preserve"> PAGE   \* MERGEFORMAT </w:instrText>
        </w:r>
        <w:r>
          <w:rPr>
            <w:shd w:val="clear" w:color="auto" w:fill="FFFFFF" w:themeFill="background1"/>
          </w:rPr>
          <w:fldChar w:fldCharType="separate"/>
        </w:r>
        <w:r>
          <w:rPr>
            <w:shd w:val="clear" w:color="auto" w:fill="FFFFFF" w:themeFill="background1"/>
          </w:rPr>
          <w:t>24</w:t>
        </w:r>
        <w:r>
          <w:rPr>
            <w:shd w:val="clear" w:color="auto" w:fill="FFFFFF" w:themeFill="background1"/>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849638"/>
      <w:docPartObj>
        <w:docPartGallery w:val="Page Numbers (Bottom of Page)"/>
        <w:docPartUnique/>
      </w:docPartObj>
    </w:sdtPr>
    <w:sdtEndPr/>
    <w:sdtContent>
      <w:p w14:paraId="7CC75897" w14:textId="77777777" w:rsidR="00597877" w:rsidRDefault="00597877" w:rsidP="00F35BB7">
        <w:pPr>
          <w:pStyle w:val="Footer"/>
        </w:pPr>
        <w:r>
          <w:rPr>
            <w:shd w:val="clear" w:color="auto" w:fill="FFFFFF" w:themeFill="background1"/>
          </w:rPr>
          <w:fldChar w:fldCharType="begin"/>
        </w:r>
        <w:r>
          <w:rPr>
            <w:shd w:val="clear" w:color="auto" w:fill="FFFFFF" w:themeFill="background1"/>
          </w:rPr>
          <w:instrText xml:space="preserve"> PAGE   \* MERGEFORMAT </w:instrText>
        </w:r>
        <w:r>
          <w:rPr>
            <w:shd w:val="clear" w:color="auto" w:fill="FFFFFF" w:themeFill="background1"/>
          </w:rPr>
          <w:fldChar w:fldCharType="separate"/>
        </w:r>
        <w:r>
          <w:rPr>
            <w:shd w:val="clear" w:color="auto" w:fill="FFFFFF" w:themeFill="background1"/>
          </w:rPr>
          <w:t>24</w:t>
        </w:r>
        <w:r>
          <w:rPr>
            <w:shd w:val="clear" w:color="auto" w:fill="FFFFFF" w:themeFill="background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DA736" w14:textId="77777777" w:rsidR="00204C75" w:rsidRDefault="00204C75">
      <w:r>
        <w:separator/>
      </w:r>
    </w:p>
  </w:footnote>
  <w:footnote w:type="continuationSeparator" w:id="0">
    <w:p w14:paraId="573FB454" w14:textId="77777777" w:rsidR="00204C75" w:rsidRDefault="00204C75">
      <w:r>
        <w:continuationSeparator/>
      </w:r>
    </w:p>
  </w:footnote>
  <w:footnote w:type="continuationNotice" w:id="1">
    <w:p w14:paraId="0FD1EDDF" w14:textId="77777777" w:rsidR="00204C75" w:rsidRDefault="00204C75">
      <w:pPr>
        <w:pStyle w:val="Footer"/>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77176" w14:textId="77777777" w:rsidR="00AD0008" w:rsidRPr="00AD0008" w:rsidRDefault="00AD0008" w:rsidP="00AD000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51FFE" w14:textId="77777777" w:rsidR="00AD0008" w:rsidRPr="00AD0008" w:rsidRDefault="00AD0008" w:rsidP="00AD000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8C057" w14:textId="77777777" w:rsidR="00AD0008" w:rsidRPr="00AD0008" w:rsidRDefault="00AD0008" w:rsidP="00AD000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5A063" w14:textId="77777777" w:rsidR="00861C1C" w:rsidRDefault="00861C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2A754" w14:textId="0BD29C78" w:rsidR="00861C1C" w:rsidRDefault="00861C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9AF9A" w14:textId="77777777" w:rsidR="00861C1C" w:rsidRDefault="00861C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037C3" w14:textId="77777777" w:rsidR="00D22273" w:rsidRDefault="00891AFF">
    <w:pPr>
      <w:pStyle w:val="Header"/>
    </w:pPr>
    <w:r>
      <w:rPr>
        <w:noProof/>
        <w:color w:val="2B579A"/>
        <w:shd w:val="clear" w:color="auto" w:fill="E6E6E6"/>
        <w:lang w:val="en-GB" w:eastAsia="en-GB"/>
      </w:rPr>
      <mc:AlternateContent>
        <mc:Choice Requires="wps">
          <w:drawing>
            <wp:anchor distT="0" distB="0" distL="114300" distR="114300" simplePos="0" relativeHeight="251656192" behindDoc="0" locked="1" layoutInCell="1" allowOverlap="1" wp14:anchorId="3A27F900" wp14:editId="04C1AE4D">
              <wp:simplePos x="0" y="0"/>
              <wp:positionH relativeFrom="page">
                <wp:posOffset>-31115</wp:posOffset>
              </wp:positionH>
              <wp:positionV relativeFrom="page">
                <wp:posOffset>0</wp:posOffset>
              </wp:positionV>
              <wp:extent cx="7620635" cy="212090"/>
              <wp:effectExtent l="0" t="0" r="0"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4" style="position:absolute;margin-left:-2.45pt;margin-top:0;width:600.05pt;height:16.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ab07 [3207]"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" w14:anchorId="7182E805">
              <o:lock v:ext="edit" aspectratio="t"/>
              <w10:wrap anchorx="page" anchory="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C5024" w14:textId="77777777" w:rsidR="00861C1C" w:rsidRDefault="00861C1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A1FEF" w14:textId="29C96470" w:rsidR="00861C1C" w:rsidRDefault="00697C8D">
    <w:pPr>
      <w:pStyle w:val="Header"/>
    </w:pPr>
    <w:r>
      <w:rPr>
        <w:noProof/>
        <w:color w:val="2B579A"/>
        <w:shd w:val="clear" w:color="auto" w:fill="E6E6E6"/>
        <w:lang w:val="en-GB" w:eastAsia="en-GB"/>
      </w:rPr>
      <mc:AlternateContent>
        <mc:Choice Requires="wps">
          <w:drawing>
            <wp:anchor distT="0" distB="0" distL="114300" distR="114300" simplePos="0" relativeHeight="251652096" behindDoc="0" locked="1" layoutInCell="1" allowOverlap="1" wp14:anchorId="7652CC88" wp14:editId="055F3679">
              <wp:simplePos x="0" y="0"/>
              <wp:positionH relativeFrom="page">
                <wp:posOffset>-52705</wp:posOffset>
              </wp:positionH>
              <wp:positionV relativeFrom="page">
                <wp:posOffset>-635</wp:posOffset>
              </wp:positionV>
              <wp:extent cx="7620635" cy="212090"/>
              <wp:effectExtent l="0" t="0" r="0" b="0"/>
              <wp:wrapNone/>
              <wp:docPr id="1825826825" name="Rectangle 18258268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825826825" style="position:absolute;margin-left:-4.15pt;margin-top:-.05pt;width:600.05pt;height:16.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6F1F9FFB">
              <o:lock v:ext="edit" aspectratio="t"/>
              <w10:wrap anchorx="page" anchory="page"/>
              <w10:anchorlock/>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CE3C" w14:textId="77777777" w:rsidR="00861C1C" w:rsidRDefault="00861C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9570F" w14:textId="77777777" w:rsidR="00597877" w:rsidRDefault="00597877">
    <w:pPr>
      <w:pStyle w:val="Header"/>
    </w:pPr>
    <w:r>
      <w:rPr>
        <w:noProof/>
        <w:color w:val="2B579A"/>
        <w:shd w:val="clear" w:color="auto" w:fill="E6E6E6"/>
        <w:lang w:val="en-GB" w:eastAsia="en-GB"/>
      </w:rPr>
      <mc:AlternateContent>
        <mc:Choice Requires="wps">
          <w:drawing>
            <wp:anchor distT="0" distB="0" distL="114300" distR="114300" simplePos="0" relativeHeight="251662336" behindDoc="0" locked="1" layoutInCell="1" allowOverlap="1" wp14:anchorId="23ADD363" wp14:editId="5E9336E2">
              <wp:simplePos x="0" y="0"/>
              <wp:positionH relativeFrom="page">
                <wp:posOffset>-52705</wp:posOffset>
              </wp:positionH>
              <wp:positionV relativeFrom="page">
                <wp:posOffset>-635</wp:posOffset>
              </wp:positionV>
              <wp:extent cx="7620635" cy="212090"/>
              <wp:effectExtent l="0" t="0" r="0" b="0"/>
              <wp:wrapNone/>
              <wp:docPr id="116051710" name="Rectangle 1160517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16051710" style="position:absolute;margin-left:-4.15pt;margin-top:-.05pt;width:600.05pt;height:16.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0DCCBA7A">
              <o:lock v:ext="edit" aspectratio="t"/>
              <w10:wrap anchorx="page" anchory="page"/>
              <w10:anchorlock/>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700DD" w14:textId="77777777" w:rsidR="00952885" w:rsidRDefault="00952885">
    <w:pPr>
      <w:pStyle w:val="Header"/>
    </w:pPr>
    <w:r>
      <w:rPr>
        <w:noProof/>
        <w:color w:val="2B579A"/>
        <w:shd w:val="clear" w:color="auto" w:fill="E6E6E6"/>
        <w:lang w:val="en-GB" w:eastAsia="en-GB"/>
      </w:rPr>
      <mc:AlternateContent>
        <mc:Choice Requires="wps">
          <w:drawing>
            <wp:anchor distT="0" distB="0" distL="114300" distR="114300" simplePos="0" relativeHeight="251668480" behindDoc="0" locked="1" layoutInCell="1" allowOverlap="1" wp14:anchorId="3708F7E6" wp14:editId="6E1B15AF">
              <wp:simplePos x="0" y="0"/>
              <wp:positionH relativeFrom="page">
                <wp:posOffset>-52705</wp:posOffset>
              </wp:positionH>
              <wp:positionV relativeFrom="page">
                <wp:posOffset>-635</wp:posOffset>
              </wp:positionV>
              <wp:extent cx="7620635" cy="212090"/>
              <wp:effectExtent l="0" t="0" r="0" b="0"/>
              <wp:wrapNone/>
              <wp:docPr id="1780076976" name="Rectangle 17800769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780076976" style="position:absolute;margin-left:-4.15pt;margin-top:-.05pt;width:600.05pt;height:16.7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6DF8C3A6">
              <o:lock v:ext="edit" aspectratio="t"/>
              <w10:wrap anchorx="page" anchory="page"/>
              <w10:anchorlock/>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3ED37" w14:textId="77777777" w:rsidR="00861C1C" w:rsidRDefault="00861C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E674" w14:textId="77777777" w:rsidR="00861C1C" w:rsidRDefault="00861C1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BAD35" w14:textId="77777777" w:rsidR="00861C1C" w:rsidRDefault="00861C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08248" w14:textId="77777777" w:rsidR="00597877" w:rsidRDefault="005978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9180D" w14:textId="77777777" w:rsidR="00597877" w:rsidRDefault="005978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9DA011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B8B6D3F8"/>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249579D"/>
    <w:multiLevelType w:val="multilevel"/>
    <w:tmpl w:val="A08C8E34"/>
    <w:styleLink w:val="amprLIST-Ordered"/>
    <w:lvl w:ilvl="0">
      <w:start w:val="1"/>
      <w:numFmt w:val="decimal"/>
      <w:pStyle w:val="amprLISTOrdered-L1"/>
      <w:lvlText w:val="%1."/>
      <w:lvlJc w:val="left"/>
      <w:pPr>
        <w:ind w:left="714" w:hanging="357"/>
      </w:pPr>
      <w:rPr>
        <w:rFonts w:hint="default"/>
      </w:rPr>
    </w:lvl>
    <w:lvl w:ilvl="1">
      <w:start w:val="1"/>
      <w:numFmt w:val="decimal"/>
      <w:pStyle w:val="amprLISTOrdered-L2"/>
      <w:lvlText w:val="%1.%2."/>
      <w:lvlJc w:val="left"/>
      <w:pPr>
        <w:ind w:left="1185" w:hanging="471"/>
      </w:pPr>
      <w:rPr>
        <w:rFonts w:hint="default"/>
      </w:rPr>
    </w:lvl>
    <w:lvl w:ilvl="2">
      <w:start w:val="1"/>
      <w:numFmt w:val="decimal"/>
      <w:pStyle w:val="amprLISTOrdered-L3"/>
      <w:lvlText w:val="%1.%2.%3."/>
      <w:lvlJc w:val="left"/>
      <w:pPr>
        <w:ind w:left="1769" w:hanging="584"/>
      </w:pPr>
      <w:rPr>
        <w:rFonts w:hint="default"/>
      </w:rPr>
    </w:lvl>
    <w:lvl w:ilvl="3">
      <w:start w:val="1"/>
      <w:numFmt w:val="decimal"/>
      <w:pStyle w:val="amprLISTOrdered-L4"/>
      <w:lvlText w:val="%1.%2.%3.%4."/>
      <w:lvlJc w:val="left"/>
      <w:pPr>
        <w:ind w:left="2466" w:hanging="6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1B48C7"/>
    <w:multiLevelType w:val="hybridMultilevel"/>
    <w:tmpl w:val="D6D43D2A"/>
    <w:lvl w:ilvl="0" w:tplc="24482FE6">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61258B"/>
    <w:multiLevelType w:val="hybridMultilevel"/>
    <w:tmpl w:val="1DCC9992"/>
    <w:lvl w:ilvl="0" w:tplc="EE84F68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F0196"/>
    <w:multiLevelType w:val="multilevel"/>
    <w:tmpl w:val="D6C29086"/>
    <w:styleLink w:val="amprHLISTNumberedheadings"/>
    <w:lvl w:ilvl="0">
      <w:start w:val="1"/>
      <w:numFmt w:val="decimal"/>
      <w:pStyle w:val="amprH2TITLE1-Numbered-1"/>
      <w:lvlText w:val="%1."/>
      <w:lvlJc w:val="left"/>
      <w:pPr>
        <w:ind w:left="578" w:hanging="578"/>
      </w:pPr>
      <w:rPr>
        <w:rFonts w:hint="default"/>
      </w:rPr>
    </w:lvl>
    <w:lvl w:ilvl="1">
      <w:start w:val="1"/>
      <w:numFmt w:val="decimal"/>
      <w:pStyle w:val="amprH3Title2-Numbered-11"/>
      <w:lvlText w:val="%1.%2."/>
      <w:lvlJc w:val="left"/>
      <w:pPr>
        <w:ind w:left="1928" w:hanging="578"/>
      </w:pPr>
      <w:rPr>
        <w:rFonts w:hint="default"/>
      </w:rPr>
    </w:lvl>
    <w:lvl w:ilvl="2">
      <w:start w:val="1"/>
      <w:numFmt w:val="decimal"/>
      <w:pStyle w:val="amprH4Subhead1-Numbered-111"/>
      <w:lvlText w:val="%1.%2.%3."/>
      <w:lvlJc w:val="left"/>
      <w:pPr>
        <w:ind w:left="578" w:hanging="578"/>
      </w:pPr>
      <w:rPr>
        <w:rFonts w:hint="default"/>
      </w:rPr>
    </w:lvl>
    <w:lvl w:ilvl="3">
      <w:start w:val="1"/>
      <w:numFmt w:val="decimal"/>
      <w:pStyle w:val="amprH5Subhead2-Numbered-1111"/>
      <w:lvlText w:val="%1.%2.%3.%4."/>
      <w:lvlJc w:val="left"/>
      <w:pPr>
        <w:ind w:left="578" w:hanging="578"/>
      </w:pPr>
      <w:rPr>
        <w:rFonts w:hint="default"/>
      </w:rPr>
    </w:lvl>
    <w:lvl w:ilvl="4">
      <w:start w:val="1"/>
      <w:numFmt w:val="lowerLetter"/>
      <w:lvlText w:val="(%5)"/>
      <w:lvlJc w:val="left"/>
      <w:pPr>
        <w:ind w:left="578" w:hanging="578"/>
      </w:pPr>
      <w:rPr>
        <w:rFonts w:hint="default"/>
      </w:rPr>
    </w:lvl>
    <w:lvl w:ilvl="5">
      <w:start w:val="1"/>
      <w:numFmt w:val="lowerRoman"/>
      <w:lvlText w:val="(%6)"/>
      <w:lvlJc w:val="left"/>
      <w:pPr>
        <w:ind w:left="578" w:hanging="578"/>
      </w:pPr>
      <w:rPr>
        <w:rFonts w:hint="default"/>
      </w:rPr>
    </w:lvl>
    <w:lvl w:ilvl="6">
      <w:start w:val="1"/>
      <w:numFmt w:val="decimal"/>
      <w:lvlText w:val="%7."/>
      <w:lvlJc w:val="left"/>
      <w:pPr>
        <w:ind w:left="578" w:hanging="578"/>
      </w:pPr>
      <w:rPr>
        <w:rFonts w:hint="default"/>
      </w:rPr>
    </w:lvl>
    <w:lvl w:ilvl="7">
      <w:start w:val="1"/>
      <w:numFmt w:val="lowerLetter"/>
      <w:lvlText w:val="%8."/>
      <w:lvlJc w:val="left"/>
      <w:pPr>
        <w:ind w:left="578" w:hanging="578"/>
      </w:pPr>
      <w:rPr>
        <w:rFonts w:hint="default"/>
      </w:rPr>
    </w:lvl>
    <w:lvl w:ilvl="8">
      <w:start w:val="1"/>
      <w:numFmt w:val="lowerRoman"/>
      <w:lvlText w:val="%9."/>
      <w:lvlJc w:val="left"/>
      <w:pPr>
        <w:ind w:left="578" w:hanging="578"/>
      </w:pPr>
      <w:rPr>
        <w:rFonts w:hint="default"/>
      </w:rPr>
    </w:lvl>
  </w:abstractNum>
  <w:abstractNum w:abstractNumId="6" w15:restartNumberingAfterBreak="0">
    <w:nsid w:val="151578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1327C8"/>
    <w:multiLevelType w:val="hybridMultilevel"/>
    <w:tmpl w:val="B8AAD2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15:restartNumberingAfterBreak="0">
    <w:nsid w:val="1C47181D"/>
    <w:multiLevelType w:val="multilevel"/>
    <w:tmpl w:val="2A9AD0EE"/>
    <w:styleLink w:val="amprLISTblackbullets"/>
    <w:lvl w:ilvl="0">
      <w:start w:val="1"/>
      <w:numFmt w:val="bullet"/>
      <w:pStyle w:val="amprLISTblackbullets-L1"/>
      <w:lvlText w:val=""/>
      <w:lvlJc w:val="left"/>
      <w:pPr>
        <w:ind w:left="714" w:hanging="357"/>
      </w:pPr>
      <w:rPr>
        <w:rFonts w:ascii="Symbol" w:hAnsi="Symbol" w:hint="default"/>
      </w:rPr>
    </w:lvl>
    <w:lvl w:ilvl="1">
      <w:start w:val="1"/>
      <w:numFmt w:val="bullet"/>
      <w:pStyle w:val="amprLISTblackbullets-L2"/>
      <w:lvlText w:val="—"/>
      <w:lvlJc w:val="left"/>
      <w:pPr>
        <w:ind w:left="1435" w:hanging="358"/>
      </w:pPr>
      <w:rPr>
        <w:rFonts w:ascii="EC Square Sans Pro" w:hAnsi="EC Square Sans Pro" w:hint="default"/>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C25113"/>
    <w:multiLevelType w:val="hybridMultilevel"/>
    <w:tmpl w:val="8D1E1EAC"/>
    <w:lvl w:ilvl="0" w:tplc="9BC6A976">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B22A4D"/>
    <w:multiLevelType w:val="multilevel"/>
    <w:tmpl w:val="78248A56"/>
    <w:numStyleLink w:val="amprLISTgreenbullets"/>
  </w:abstractNum>
  <w:abstractNum w:abstractNumId="13"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lvlText w:val="–"/>
      <w:lvlJc w:val="left"/>
      <w:pPr>
        <w:tabs>
          <w:tab w:val="num" w:pos="2551"/>
        </w:tabs>
        <w:ind w:left="2551" w:hanging="567"/>
      </w:pPr>
    </w:lvl>
  </w:abstractNum>
  <w:abstractNum w:abstractNumId="15" w15:restartNumberingAfterBreak="0">
    <w:nsid w:val="309C18B6"/>
    <w:multiLevelType w:val="multilevel"/>
    <w:tmpl w:val="6110FEBA"/>
    <w:name w:val="ListNumberNonindentedNumbering65"/>
    <w:styleLink w:val="amprLIST-Mixed"/>
    <w:lvl w:ilvl="0">
      <w:start w:val="1"/>
      <w:numFmt w:val="decimal"/>
      <w:pStyle w:val="amprLISTMixed-L1"/>
      <w:lvlText w:val="%1."/>
      <w:lvlJc w:val="left"/>
      <w:pPr>
        <w:ind w:left="714" w:hanging="357"/>
      </w:pPr>
      <w:rPr>
        <w:rFonts w:hint="default"/>
      </w:rPr>
    </w:lvl>
    <w:lvl w:ilvl="1">
      <w:start w:val="1"/>
      <w:numFmt w:val="lowerLetter"/>
      <w:pStyle w:val="amprLISTMixed-L2"/>
      <w:lvlText w:val="(%2)"/>
      <w:lvlJc w:val="left"/>
      <w:pPr>
        <w:ind w:left="1071" w:hanging="357"/>
      </w:pPr>
      <w:rPr>
        <w:rFonts w:hint="default"/>
      </w:rPr>
    </w:lvl>
    <w:lvl w:ilvl="2">
      <w:start w:val="1"/>
      <w:numFmt w:val="bullet"/>
      <w:pStyle w:val="amprLISTMixed-L3"/>
      <w:lvlText w:val="—"/>
      <w:lvlJc w:val="left"/>
      <w:pPr>
        <w:ind w:left="1428" w:hanging="357"/>
      </w:pPr>
      <w:rPr>
        <w:rFonts w:ascii="Proxima Nova" w:hAnsi="Proxima Nova" w:hint="default"/>
        <w:color w:val="auto"/>
      </w:rPr>
    </w:lvl>
    <w:lvl w:ilvl="3">
      <w:start w:val="1"/>
      <w:numFmt w:val="decimal"/>
      <w:lvlText w:val="(%4)"/>
      <w:lvlJc w:val="left"/>
      <w:pPr>
        <w:ind w:left="1785" w:hanging="357"/>
      </w:pPr>
      <w:rPr>
        <w:rFonts w:hint="default"/>
      </w:rPr>
    </w:lvl>
    <w:lvl w:ilvl="4">
      <w:start w:val="1"/>
      <w:numFmt w:val="lowerLetter"/>
      <w:lvlText w:val="(%5)"/>
      <w:lvlJc w:val="left"/>
      <w:pPr>
        <w:ind w:left="2142" w:hanging="357"/>
      </w:pPr>
      <w:rPr>
        <w:rFonts w:hint="default"/>
      </w:rPr>
    </w:lvl>
    <w:lvl w:ilvl="5">
      <w:start w:val="1"/>
      <w:numFmt w:val="lowerRoman"/>
      <w:lvlText w:val="(%6)"/>
      <w:lvlJc w:val="left"/>
      <w:pPr>
        <w:ind w:left="2499" w:hanging="357"/>
      </w:pPr>
      <w:rPr>
        <w:rFonts w:hint="default"/>
      </w:rPr>
    </w:lvl>
    <w:lvl w:ilvl="6">
      <w:start w:val="1"/>
      <w:numFmt w:val="decimal"/>
      <w:lvlText w:val="%7."/>
      <w:lvlJc w:val="left"/>
      <w:pPr>
        <w:ind w:left="2856" w:hanging="357"/>
      </w:pPr>
      <w:rPr>
        <w:rFonts w:hint="default"/>
      </w:rPr>
    </w:lvl>
    <w:lvl w:ilvl="7">
      <w:start w:val="1"/>
      <w:numFmt w:val="lowerLetter"/>
      <w:lvlText w:val="%8."/>
      <w:lvlJc w:val="left"/>
      <w:pPr>
        <w:ind w:left="3213" w:hanging="357"/>
      </w:pPr>
      <w:rPr>
        <w:rFonts w:hint="default"/>
      </w:rPr>
    </w:lvl>
    <w:lvl w:ilvl="8">
      <w:start w:val="1"/>
      <w:numFmt w:val="lowerRoman"/>
      <w:lvlText w:val="%9."/>
      <w:lvlJc w:val="left"/>
      <w:pPr>
        <w:ind w:left="3570" w:hanging="357"/>
      </w:pPr>
      <w:rPr>
        <w:rFonts w:hint="default"/>
      </w:rPr>
    </w:lvl>
  </w:abstractNum>
  <w:abstractNum w:abstractNumId="16" w15:restartNumberingAfterBreak="0">
    <w:nsid w:val="32CE3C72"/>
    <w:multiLevelType w:val="hybridMultilevel"/>
    <w:tmpl w:val="39E0BB52"/>
    <w:lvl w:ilvl="0" w:tplc="CA606920">
      <w:start w:val="1"/>
      <w:numFmt w:val="bullet"/>
      <w:pStyle w:val="amprboxBLUEdashed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81849"/>
    <w:multiLevelType w:val="hybridMultilevel"/>
    <w:tmpl w:val="84682B5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51779EF"/>
    <w:multiLevelType w:val="hybridMultilevel"/>
    <w:tmpl w:val="AA90E94E"/>
    <w:lvl w:ilvl="0" w:tplc="41A60B74">
      <w:start w:val="1"/>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7125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8AF61F8"/>
    <w:multiLevelType w:val="multilevel"/>
    <w:tmpl w:val="60A07854"/>
    <w:styleLink w:val="Style1"/>
    <w:lvl w:ilvl="0">
      <w:start w:val="1"/>
      <w:numFmt w:val="decimal"/>
      <w:lvlText w:val="%1"/>
      <w:lvlJc w:val="left"/>
      <w:pPr>
        <w:ind w:left="432" w:hanging="432"/>
      </w:pPr>
      <w:rPr>
        <w:rFonts w:hint="default"/>
        <w:caps/>
        <w:strike w:val="0"/>
        <w:dstrike w:val="0"/>
        <w:vanish/>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B1A17B2"/>
    <w:multiLevelType w:val="multilevel"/>
    <w:tmpl w:val="6110FEBA"/>
    <w:numStyleLink w:val="amprLIST-Mixed"/>
  </w:abstractNum>
  <w:abstractNum w:abstractNumId="22" w15:restartNumberingAfterBreak="0">
    <w:nsid w:val="3BE45363"/>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457F5F"/>
    <w:multiLevelType w:val="hybridMultilevel"/>
    <w:tmpl w:val="50B6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D57A2B"/>
    <w:multiLevelType w:val="hybridMultilevel"/>
    <w:tmpl w:val="BD16A592"/>
    <w:lvl w:ilvl="0" w:tplc="AE2A3438">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lvlText w:val="–"/>
      <w:lvlJc w:val="left"/>
      <w:pPr>
        <w:tabs>
          <w:tab w:val="num" w:pos="3118"/>
        </w:tabs>
        <w:ind w:left="3118" w:hanging="567"/>
      </w:pPr>
    </w:lvl>
  </w:abstractNum>
  <w:abstractNum w:abstractNumId="27" w15:restartNumberingAfterBreak="0">
    <w:nsid w:val="4552127F"/>
    <w:multiLevelType w:val="singleLevel"/>
    <w:tmpl w:val="057A5296"/>
    <w:name w:val="Bullet 0"/>
    <w:lvl w:ilvl="0">
      <w:start w:val="1"/>
      <w:numFmt w:val="bullet"/>
      <w:lvlRestart w:val="0"/>
      <w:lvlText w:val=""/>
      <w:lvlJc w:val="left"/>
      <w:pPr>
        <w:tabs>
          <w:tab w:val="num" w:pos="850"/>
        </w:tabs>
        <w:ind w:left="850" w:hanging="850"/>
      </w:pPr>
      <w:rPr>
        <w:rFonts w:ascii="Symbol" w:hAnsi="Symbol" w:hint="default"/>
      </w:rPr>
    </w:lvl>
  </w:abstractNum>
  <w:abstractNum w:abstractNumId="28" w15:restartNumberingAfterBreak="0">
    <w:nsid w:val="469C0FD1"/>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7CC1762"/>
    <w:multiLevelType w:val="hybridMultilevel"/>
    <w:tmpl w:val="62A833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89956A0"/>
    <w:multiLevelType w:val="singleLevel"/>
    <w:tmpl w:val="6520E3F6"/>
    <w:lvl w:ilvl="0">
      <w:start w:val="1"/>
      <w:numFmt w:val="bullet"/>
      <w:lvlRestart w:val="0"/>
      <w:pStyle w:val="Tiret0"/>
      <w:lvlText w:val="–"/>
      <w:lvlJc w:val="left"/>
      <w:pPr>
        <w:tabs>
          <w:tab w:val="num" w:pos="850"/>
        </w:tabs>
        <w:ind w:left="850" w:hanging="850"/>
      </w:pPr>
    </w:lvl>
  </w:abstractNum>
  <w:abstractNum w:abstractNumId="31" w15:restartNumberingAfterBreak="0">
    <w:nsid w:val="52B23671"/>
    <w:multiLevelType w:val="multilevel"/>
    <w:tmpl w:val="3E4EA4C8"/>
    <w:lvl w:ilvl="0">
      <w:start w:val="1"/>
      <w:numFmt w:val="bullet"/>
      <w:pStyle w:val="amprboxGREEN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33" w15:restartNumberingAfterBreak="0">
    <w:nsid w:val="59BB2205"/>
    <w:multiLevelType w:val="multilevel"/>
    <w:tmpl w:val="78248A56"/>
    <w:styleLink w:val="amprLISTgreenbullets"/>
    <w:lvl w:ilvl="0">
      <w:start w:val="1"/>
      <w:numFmt w:val="bullet"/>
      <w:pStyle w:val="amprLISTgreenbullets-L1"/>
      <w:lvlText w:val=""/>
      <w:lvlJc w:val="left"/>
      <w:pPr>
        <w:ind w:left="714" w:hanging="357"/>
      </w:pPr>
      <w:rPr>
        <w:rFonts w:ascii="Symbol" w:hAnsi="Symbol" w:hint="default"/>
        <w:color w:val="008139" w:themeColor="accent1"/>
      </w:rPr>
    </w:lvl>
    <w:lvl w:ilvl="1">
      <w:start w:val="1"/>
      <w:numFmt w:val="bullet"/>
      <w:pStyle w:val="amprLISTgreenbullets-L2"/>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34"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7" w15:restartNumberingAfterBreak="0">
    <w:nsid w:val="5EA810B0"/>
    <w:multiLevelType w:val="multilevel"/>
    <w:tmpl w:val="D6C29086"/>
    <w:numStyleLink w:val="amprHLISTNumberedheadings"/>
  </w:abstractNum>
  <w:abstractNum w:abstractNumId="38" w15:restartNumberingAfterBreak="0">
    <w:nsid w:val="6227387F"/>
    <w:multiLevelType w:val="multilevel"/>
    <w:tmpl w:val="2A9AD0EE"/>
    <w:numStyleLink w:val="amprLISTblackbullets"/>
  </w:abstractNum>
  <w:abstractNum w:abstractNumId="39"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41" w15:restartNumberingAfterBreak="0">
    <w:nsid w:val="6D78636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8AD56D9"/>
    <w:multiLevelType w:val="hybridMultilevel"/>
    <w:tmpl w:val="3C24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abstractNum w:abstractNumId="44" w15:restartNumberingAfterBreak="0">
    <w:nsid w:val="7ECE6A82"/>
    <w:multiLevelType w:val="multilevel"/>
    <w:tmpl w:val="C7520AF0"/>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20"/>
  </w:num>
  <w:num w:numId="4">
    <w:abstractNumId w:val="9"/>
  </w:num>
  <w:num w:numId="5">
    <w:abstractNumId w:val="38"/>
  </w:num>
  <w:num w:numId="6">
    <w:abstractNumId w:val="33"/>
  </w:num>
  <w:num w:numId="7">
    <w:abstractNumId w:val="31"/>
  </w:num>
  <w:num w:numId="8">
    <w:abstractNumId w:val="22"/>
  </w:num>
  <w:num w:numId="9">
    <w:abstractNumId w:val="28"/>
  </w:num>
  <w:num w:numId="10">
    <w:abstractNumId w:val="41"/>
  </w:num>
  <w:num w:numId="11">
    <w:abstractNumId w:val="12"/>
  </w:num>
  <w:num w:numId="12">
    <w:abstractNumId w:val="5"/>
  </w:num>
  <w:num w:numId="13">
    <w:abstractNumId w:val="37"/>
    <w:lvlOverride w:ilvl="0">
      <w:lvl w:ilvl="0">
        <w:start w:val="1"/>
        <w:numFmt w:val="decimal"/>
        <w:pStyle w:val="amprH2TITLE1-Numbered-1"/>
        <w:lvlText w:val="%1."/>
        <w:lvlJc w:val="left"/>
        <w:pPr>
          <w:ind w:left="578" w:hanging="578"/>
        </w:pPr>
        <w:rPr>
          <w:rFonts w:hint="default"/>
        </w:rPr>
      </w:lvl>
    </w:lvlOverride>
    <w:lvlOverride w:ilvl="1">
      <w:lvl w:ilvl="1">
        <w:start w:val="1"/>
        <w:numFmt w:val="decimal"/>
        <w:pStyle w:val="amprH3Title2-Numbered-11"/>
        <w:lvlText w:val="%1.%2."/>
        <w:lvlJc w:val="left"/>
        <w:pPr>
          <w:ind w:left="3129" w:hanging="578"/>
        </w:pPr>
        <w:rPr>
          <w:rFonts w:hint="default"/>
        </w:rPr>
      </w:lvl>
    </w:lvlOverride>
    <w:lvlOverride w:ilvl="2">
      <w:lvl w:ilvl="2">
        <w:start w:val="1"/>
        <w:numFmt w:val="decimal"/>
        <w:pStyle w:val="amprH4Subhead1-Numbered-111"/>
        <w:lvlText w:val="%1.%2.%3."/>
        <w:lvlJc w:val="left"/>
        <w:pPr>
          <w:ind w:left="578" w:hanging="578"/>
        </w:pPr>
        <w:rPr>
          <w:rFonts w:hint="default"/>
        </w:rPr>
      </w:lvl>
    </w:lvlOverride>
    <w:lvlOverride w:ilvl="3">
      <w:lvl w:ilvl="3">
        <w:start w:val="1"/>
        <w:numFmt w:val="decimal"/>
        <w:pStyle w:val="amprH5Subhead2-Numbered-1111"/>
        <w:lvlText w:val="%1.%2.%3.%4."/>
        <w:lvlJc w:val="left"/>
        <w:pPr>
          <w:ind w:left="578" w:hanging="578"/>
        </w:pPr>
        <w:rPr>
          <w:rFonts w:hint="default"/>
        </w:rPr>
      </w:lvl>
    </w:lvlOverride>
    <w:lvlOverride w:ilvl="4">
      <w:lvl w:ilvl="4">
        <w:start w:val="1"/>
        <w:numFmt w:val="lowerLetter"/>
        <w:lvlText w:val="(%5)"/>
        <w:lvlJc w:val="left"/>
        <w:pPr>
          <w:ind w:left="578" w:hanging="578"/>
        </w:pPr>
        <w:rPr>
          <w:rFonts w:hint="default"/>
        </w:rPr>
      </w:lvl>
    </w:lvlOverride>
    <w:lvlOverride w:ilvl="5">
      <w:lvl w:ilvl="5">
        <w:start w:val="1"/>
        <w:numFmt w:val="lowerRoman"/>
        <w:lvlText w:val="(%6)"/>
        <w:lvlJc w:val="left"/>
        <w:pPr>
          <w:ind w:left="578" w:hanging="578"/>
        </w:pPr>
        <w:rPr>
          <w:rFonts w:hint="default"/>
        </w:rPr>
      </w:lvl>
    </w:lvlOverride>
    <w:lvlOverride w:ilvl="6">
      <w:lvl w:ilvl="6">
        <w:start w:val="1"/>
        <w:numFmt w:val="decimal"/>
        <w:lvlText w:val="%7."/>
        <w:lvlJc w:val="left"/>
        <w:pPr>
          <w:ind w:left="578" w:hanging="578"/>
        </w:pPr>
        <w:rPr>
          <w:rFonts w:hint="default"/>
        </w:rPr>
      </w:lvl>
    </w:lvlOverride>
    <w:lvlOverride w:ilvl="7">
      <w:lvl w:ilvl="7">
        <w:start w:val="1"/>
        <w:numFmt w:val="lowerLetter"/>
        <w:lvlText w:val="%8."/>
        <w:lvlJc w:val="left"/>
        <w:pPr>
          <w:ind w:left="578" w:hanging="578"/>
        </w:pPr>
        <w:rPr>
          <w:rFonts w:hint="default"/>
        </w:rPr>
      </w:lvl>
    </w:lvlOverride>
    <w:lvlOverride w:ilvl="8">
      <w:lvl w:ilvl="8">
        <w:start w:val="1"/>
        <w:numFmt w:val="lowerRoman"/>
        <w:lvlText w:val="%9."/>
        <w:lvlJc w:val="left"/>
        <w:pPr>
          <w:ind w:left="578" w:hanging="578"/>
        </w:pPr>
        <w:rPr>
          <w:rFonts w:hint="default"/>
        </w:rPr>
      </w:lvl>
    </w:lvlOverride>
  </w:num>
  <w:num w:numId="14">
    <w:abstractNumId w:val="16"/>
  </w:num>
  <w:num w:numId="15">
    <w:abstractNumId w:val="2"/>
  </w:num>
  <w:num w:numId="16">
    <w:abstractNumId w:val="15"/>
  </w:num>
  <w:num w:numId="17">
    <w:abstractNumId w:val="21"/>
  </w:num>
  <w:num w:numId="18">
    <w:abstractNumId w:val="30"/>
  </w:num>
  <w:num w:numId="19">
    <w:abstractNumId w:val="6"/>
  </w:num>
  <w:num w:numId="20">
    <w:abstractNumId w:val="19"/>
  </w:num>
  <w:num w:numId="21">
    <w:abstractNumId w:val="24"/>
  </w:num>
  <w:num w:numId="22">
    <w:abstractNumId w:val="44"/>
  </w:num>
  <w:num w:numId="23">
    <w:abstractNumId w:val="3"/>
  </w:num>
  <w:num w:numId="24">
    <w:abstractNumId w:val="37"/>
    <w:lvlOverride w:ilvl="0">
      <w:startOverride w:val="1"/>
      <w:lvl w:ilvl="0">
        <w:start w:val="1"/>
        <w:numFmt w:val="decimal"/>
        <w:pStyle w:val="amprH2TITLE1-Numbered-1"/>
        <w:lvlText w:val="%1."/>
        <w:lvlJc w:val="left"/>
        <w:pPr>
          <w:ind w:left="578" w:hanging="578"/>
        </w:pPr>
        <w:rPr>
          <w:rFonts w:hint="default"/>
        </w:rPr>
      </w:lvl>
    </w:lvlOverride>
    <w:lvlOverride w:ilvl="1">
      <w:startOverride w:val="1"/>
      <w:lvl w:ilvl="1">
        <w:start w:val="1"/>
        <w:numFmt w:val="decimal"/>
        <w:pStyle w:val="amprH3Title2-Numbered-11"/>
        <w:lvlText w:val="%1.%2."/>
        <w:lvlJc w:val="left"/>
        <w:pPr>
          <w:ind w:left="1928" w:hanging="578"/>
        </w:pPr>
        <w:rPr>
          <w:rFonts w:hint="default"/>
        </w:rPr>
      </w:lvl>
    </w:lvlOverride>
    <w:lvlOverride w:ilvl="2">
      <w:startOverride w:val="1"/>
      <w:lvl w:ilvl="2">
        <w:start w:val="1"/>
        <w:numFmt w:val="decimal"/>
        <w:pStyle w:val="amprH4Subhead1-Numbered-111"/>
        <w:lvlText w:val="%1.%2.%3."/>
        <w:lvlJc w:val="left"/>
        <w:pPr>
          <w:ind w:left="578" w:hanging="578"/>
        </w:pPr>
        <w:rPr>
          <w:rFonts w:hint="default"/>
        </w:rPr>
      </w:lvl>
    </w:lvlOverride>
    <w:lvlOverride w:ilvl="3">
      <w:startOverride w:val="1"/>
      <w:lvl w:ilvl="3">
        <w:start w:val="1"/>
        <w:numFmt w:val="decimal"/>
        <w:pStyle w:val="amprH5Subhead2-Numbered-1111"/>
        <w:lvlText w:val="%1.%2.%3.%4."/>
        <w:lvlJc w:val="left"/>
        <w:pPr>
          <w:ind w:left="578" w:hanging="578"/>
        </w:pPr>
        <w:rPr>
          <w:rFonts w:hint="default"/>
        </w:rPr>
      </w:lvl>
    </w:lvlOverride>
    <w:lvlOverride w:ilvl="4">
      <w:startOverride w:val="1"/>
      <w:lvl w:ilvl="4">
        <w:start w:val="1"/>
        <w:numFmt w:val="lowerLetter"/>
        <w:lvlText w:val="(%5)"/>
        <w:lvlJc w:val="left"/>
        <w:pPr>
          <w:ind w:left="578" w:hanging="578"/>
        </w:pPr>
        <w:rPr>
          <w:rFonts w:hint="default"/>
        </w:rPr>
      </w:lvl>
    </w:lvlOverride>
    <w:lvlOverride w:ilvl="5">
      <w:startOverride w:val="1"/>
      <w:lvl w:ilvl="5">
        <w:start w:val="1"/>
        <w:numFmt w:val="lowerRoman"/>
        <w:lvlText w:val="(%6)"/>
        <w:lvlJc w:val="left"/>
        <w:pPr>
          <w:ind w:left="578" w:hanging="578"/>
        </w:pPr>
        <w:rPr>
          <w:rFonts w:hint="default"/>
        </w:rPr>
      </w:lvl>
    </w:lvlOverride>
    <w:lvlOverride w:ilvl="6">
      <w:startOverride w:val="1"/>
      <w:lvl w:ilvl="6">
        <w:start w:val="1"/>
        <w:numFmt w:val="decimal"/>
        <w:lvlText w:val="%7."/>
        <w:lvlJc w:val="left"/>
        <w:pPr>
          <w:ind w:left="578" w:hanging="578"/>
        </w:pPr>
        <w:rPr>
          <w:rFonts w:hint="default"/>
        </w:rPr>
      </w:lvl>
    </w:lvlOverride>
    <w:lvlOverride w:ilvl="7">
      <w:startOverride w:val="1"/>
      <w:lvl w:ilvl="7">
        <w:start w:val="1"/>
        <w:numFmt w:val="lowerLetter"/>
        <w:lvlText w:val="%8."/>
        <w:lvlJc w:val="left"/>
        <w:pPr>
          <w:ind w:left="578" w:hanging="578"/>
        </w:pPr>
        <w:rPr>
          <w:rFonts w:hint="default"/>
        </w:rPr>
      </w:lvl>
    </w:lvlOverride>
    <w:lvlOverride w:ilvl="8">
      <w:startOverride w:val="1"/>
      <w:lvl w:ilvl="8">
        <w:start w:val="1"/>
        <w:numFmt w:val="lowerRoman"/>
        <w:lvlText w:val="%9."/>
        <w:lvlJc w:val="left"/>
        <w:pPr>
          <w:ind w:left="578" w:hanging="578"/>
        </w:pPr>
        <w:rPr>
          <w:rFonts w:hint="default"/>
        </w:rPr>
      </w:lvl>
    </w:lvlOverride>
  </w:num>
  <w:num w:numId="25">
    <w:abstractNumId w:val="17"/>
  </w:num>
  <w:num w:numId="26">
    <w:abstractNumId w:val="29"/>
  </w:num>
  <w:num w:numId="27">
    <w:abstractNumId w:val="7"/>
  </w:num>
  <w:num w:numId="28">
    <w:abstractNumId w:val="11"/>
  </w:num>
  <w:num w:numId="29">
    <w:abstractNumId w:val="37"/>
    <w:lvlOverride w:ilvl="0">
      <w:lvl w:ilvl="0">
        <w:start w:val="1"/>
        <w:numFmt w:val="decimal"/>
        <w:pStyle w:val="amprH2TITLE1-Numbered-1"/>
        <w:lvlText w:val="%1."/>
        <w:lvlJc w:val="left"/>
        <w:pPr>
          <w:ind w:left="578" w:hanging="578"/>
        </w:pPr>
        <w:rPr>
          <w:rFonts w:hint="default"/>
        </w:rPr>
      </w:lvl>
    </w:lvlOverride>
    <w:lvlOverride w:ilvl="1">
      <w:lvl w:ilvl="1">
        <w:start w:val="1"/>
        <w:numFmt w:val="decimal"/>
        <w:pStyle w:val="amprH3Title2-Numbered-11"/>
        <w:lvlText w:val="%1.%2."/>
        <w:lvlJc w:val="left"/>
        <w:pPr>
          <w:ind w:left="3129" w:hanging="578"/>
        </w:pPr>
        <w:rPr>
          <w:rFonts w:hint="default"/>
        </w:rPr>
      </w:lvl>
    </w:lvlOverride>
    <w:lvlOverride w:ilvl="2">
      <w:lvl w:ilvl="2">
        <w:start w:val="1"/>
        <w:numFmt w:val="decimal"/>
        <w:pStyle w:val="amprH4Subhead1-Numbered-111"/>
        <w:lvlText w:val="%1.%2.%3."/>
        <w:lvlJc w:val="left"/>
        <w:pPr>
          <w:ind w:left="578" w:hanging="578"/>
        </w:pPr>
        <w:rPr>
          <w:rFonts w:hint="default"/>
        </w:rPr>
      </w:lvl>
    </w:lvlOverride>
    <w:lvlOverride w:ilvl="3">
      <w:lvl w:ilvl="3">
        <w:start w:val="1"/>
        <w:numFmt w:val="decimal"/>
        <w:pStyle w:val="amprH5Subhead2-Numbered-1111"/>
        <w:lvlText w:val="%1.%2.%3.%4."/>
        <w:lvlJc w:val="left"/>
        <w:pPr>
          <w:ind w:left="578" w:hanging="578"/>
        </w:pPr>
        <w:rPr>
          <w:rFonts w:hint="default"/>
        </w:rPr>
      </w:lvl>
    </w:lvlOverride>
    <w:lvlOverride w:ilvl="4">
      <w:lvl w:ilvl="4">
        <w:start w:val="1"/>
        <w:numFmt w:val="lowerLetter"/>
        <w:lvlText w:val="(%5)"/>
        <w:lvlJc w:val="left"/>
        <w:pPr>
          <w:ind w:left="578" w:hanging="578"/>
        </w:pPr>
        <w:rPr>
          <w:rFonts w:hint="default"/>
        </w:rPr>
      </w:lvl>
    </w:lvlOverride>
    <w:lvlOverride w:ilvl="5">
      <w:lvl w:ilvl="5">
        <w:start w:val="1"/>
        <w:numFmt w:val="lowerRoman"/>
        <w:lvlText w:val="(%6)"/>
        <w:lvlJc w:val="left"/>
        <w:pPr>
          <w:ind w:left="578" w:hanging="578"/>
        </w:pPr>
        <w:rPr>
          <w:rFonts w:hint="default"/>
        </w:rPr>
      </w:lvl>
    </w:lvlOverride>
    <w:lvlOverride w:ilvl="6">
      <w:lvl w:ilvl="6">
        <w:start w:val="1"/>
        <w:numFmt w:val="decimal"/>
        <w:lvlText w:val="%7."/>
        <w:lvlJc w:val="left"/>
        <w:pPr>
          <w:ind w:left="578" w:hanging="578"/>
        </w:pPr>
        <w:rPr>
          <w:rFonts w:hint="default"/>
        </w:rPr>
      </w:lvl>
    </w:lvlOverride>
    <w:lvlOverride w:ilvl="7">
      <w:lvl w:ilvl="7">
        <w:start w:val="1"/>
        <w:numFmt w:val="lowerLetter"/>
        <w:lvlText w:val="%8."/>
        <w:lvlJc w:val="left"/>
        <w:pPr>
          <w:ind w:left="578" w:hanging="578"/>
        </w:pPr>
        <w:rPr>
          <w:rFonts w:hint="default"/>
        </w:rPr>
      </w:lvl>
    </w:lvlOverride>
    <w:lvlOverride w:ilvl="8">
      <w:lvl w:ilvl="8">
        <w:start w:val="1"/>
        <w:numFmt w:val="lowerRoman"/>
        <w:lvlText w:val="%9."/>
        <w:lvlJc w:val="left"/>
        <w:pPr>
          <w:ind w:left="578" w:hanging="578"/>
        </w:pPr>
        <w:rPr>
          <w:rFonts w:hint="default"/>
        </w:rPr>
      </w:lvl>
    </w:lvlOverride>
  </w:num>
  <w:num w:numId="30">
    <w:abstractNumId w:val="23"/>
  </w:num>
  <w:num w:numId="31">
    <w:abstractNumId w:val="42"/>
  </w:num>
  <w:num w:numId="32">
    <w:abstractNumId w:val="4"/>
  </w:num>
  <w:num w:numId="3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IP_META_DOC_TBL00001" w:val="&lt;OBJECT&gt;&lt;META&gt;&lt;ID&gt;&lt;/ID&gt;&lt;NAME&gt;DOC_TBL00001&lt;/NAME&gt;&lt;TYPE&gt;&lt;ID&gt;19&lt;/ID&gt;&lt;FRIENDLYNAME&gt;Table&lt;/FRIENDLYNAME&gt;&lt;LABEL&gt;&lt;/LABEL&gt;&lt;/TYPE&gt;&lt;STATUS&gt;NEW&lt;/STATUS&gt;&lt;INFO&gt;&lt;/INFO&gt;&lt;/META&gt;&lt;UPDATE&gt;&lt;DATE&gt;&lt;/DATE&gt;&lt;/UPDATE&gt;&lt;QUERIES&gt;&lt;META&gt;&lt;DATAPROVIDER&gt;&lt;/DATAPROVIDER&gt;&lt;/META&gt;&lt;QUERY reftype=&quot;&quot; elmntsel=&quot;&quot;&gt;&lt;META&gt;&lt;REFERENCE&gt;&lt;/REFERENCE&gt;&lt;/META&gt;&lt;SELECT&gt;&lt;/SELECT&gt;&lt;FILTERS&gt;&lt;FILTER&gt;&lt;/FILTER&gt;&lt;/FILTERS&gt;&lt;/QUERY&gt;&lt;/QUERIES&gt;&lt;/OBJECT&gt;"/>
    <w:docVar w:name="BIP_NAME_DOC_TBL00001" w:val="DOC_TBL00001"/>
    <w:docVar w:name="DocStatus" w:val="Green"/>
    <w:docVar w:name="EPKit_DocumentHasBeenSaved" w:val="true"/>
    <w:docVar w:name="LW_CORRIGENDUM" w:val="&lt;UNUSED&gt;"/>
    <w:docVar w:name="LW_COVERPAGE_EXISTS" w:val="True"/>
    <w:docVar w:name="LW_COVERPAGE_GUID" w:val="41B557E4-5422-4F08-A66B-BF1E5E546738"/>
    <w:docVar w:name="LW_COVERPAGE_TYPE" w:val="1"/>
    <w:docVar w:name="LW_CROSSREFERENCE" w:val="&lt;UNUSED&gt;"/>
    <w:docVar w:name="LW_DocType" w:val="NORMAL"/>
    <w:docVar w:name="LW_EMISSION" w:val="3.7.2026"/>
    <w:docVar w:name="LW_EMISSION_ISODATE" w:val="2026-07-0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ognoza pe termen lung privind viitoarele intr\u259?ri \u537?i ie\u537?iri din bugetul UE (2027-2034)&lt;/FMT&gt;_x000b_"/>
    <w:docVar w:name="LW_TYPE.DOC.CP" w:val="RAPORT AL COMISIEI C\u258?TRE PARLAMENTUL EUROPEAN \u536?I CONSILIU"/>
    <w:docVar w:name="LwApiVersions" w:val="LW4CoDe 1.24.5.0; LW 9.2, Build 20251112"/>
  </w:docVars>
  <w:rsids>
    <w:rsidRoot w:val="00861C1C"/>
    <w:rsid w:val="00000084"/>
    <w:rsid w:val="0000049C"/>
    <w:rsid w:val="000006C8"/>
    <w:rsid w:val="00000A29"/>
    <w:rsid w:val="00000ABA"/>
    <w:rsid w:val="00000CC3"/>
    <w:rsid w:val="00001111"/>
    <w:rsid w:val="00001628"/>
    <w:rsid w:val="000016BA"/>
    <w:rsid w:val="0000173A"/>
    <w:rsid w:val="00001CB8"/>
    <w:rsid w:val="00002920"/>
    <w:rsid w:val="000031C6"/>
    <w:rsid w:val="000038B9"/>
    <w:rsid w:val="00003A3A"/>
    <w:rsid w:val="0000427E"/>
    <w:rsid w:val="000044B9"/>
    <w:rsid w:val="00004740"/>
    <w:rsid w:val="000049EE"/>
    <w:rsid w:val="00005289"/>
    <w:rsid w:val="00005B30"/>
    <w:rsid w:val="00005C72"/>
    <w:rsid w:val="000060EE"/>
    <w:rsid w:val="00006591"/>
    <w:rsid w:val="000065E5"/>
    <w:rsid w:val="000076D6"/>
    <w:rsid w:val="000078DA"/>
    <w:rsid w:val="00007927"/>
    <w:rsid w:val="00007AC4"/>
    <w:rsid w:val="00007BC5"/>
    <w:rsid w:val="00010499"/>
    <w:rsid w:val="0001064A"/>
    <w:rsid w:val="00010DF7"/>
    <w:rsid w:val="00010E4A"/>
    <w:rsid w:val="000116FD"/>
    <w:rsid w:val="00011B9A"/>
    <w:rsid w:val="000120AC"/>
    <w:rsid w:val="000121F6"/>
    <w:rsid w:val="00012859"/>
    <w:rsid w:val="000129A3"/>
    <w:rsid w:val="000129D9"/>
    <w:rsid w:val="00012A2F"/>
    <w:rsid w:val="00012A69"/>
    <w:rsid w:val="00012CFE"/>
    <w:rsid w:val="0001311A"/>
    <w:rsid w:val="0001333B"/>
    <w:rsid w:val="000133DA"/>
    <w:rsid w:val="00013455"/>
    <w:rsid w:val="000136FA"/>
    <w:rsid w:val="000138D0"/>
    <w:rsid w:val="00013B09"/>
    <w:rsid w:val="00013E11"/>
    <w:rsid w:val="000141FC"/>
    <w:rsid w:val="00014562"/>
    <w:rsid w:val="000149E8"/>
    <w:rsid w:val="00014AD4"/>
    <w:rsid w:val="0001532D"/>
    <w:rsid w:val="000154A5"/>
    <w:rsid w:val="000160AA"/>
    <w:rsid w:val="000166DB"/>
    <w:rsid w:val="00016A9C"/>
    <w:rsid w:val="00016CDF"/>
    <w:rsid w:val="00017155"/>
    <w:rsid w:val="000171F4"/>
    <w:rsid w:val="00017485"/>
    <w:rsid w:val="00017A93"/>
    <w:rsid w:val="000204A7"/>
    <w:rsid w:val="00020765"/>
    <w:rsid w:val="0002130B"/>
    <w:rsid w:val="000218A0"/>
    <w:rsid w:val="00021A1E"/>
    <w:rsid w:val="00021B76"/>
    <w:rsid w:val="00021BF4"/>
    <w:rsid w:val="00021C39"/>
    <w:rsid w:val="0002208B"/>
    <w:rsid w:val="000222C6"/>
    <w:rsid w:val="0002240C"/>
    <w:rsid w:val="00022828"/>
    <w:rsid w:val="00022929"/>
    <w:rsid w:val="00022B2C"/>
    <w:rsid w:val="00022C6A"/>
    <w:rsid w:val="00022CC8"/>
    <w:rsid w:val="000234DE"/>
    <w:rsid w:val="0002356E"/>
    <w:rsid w:val="00023846"/>
    <w:rsid w:val="00023933"/>
    <w:rsid w:val="0002421A"/>
    <w:rsid w:val="00024998"/>
    <w:rsid w:val="00024F5B"/>
    <w:rsid w:val="0002504F"/>
    <w:rsid w:val="000250D9"/>
    <w:rsid w:val="0002515B"/>
    <w:rsid w:val="000251AC"/>
    <w:rsid w:val="00025304"/>
    <w:rsid w:val="00025D24"/>
    <w:rsid w:val="00025E40"/>
    <w:rsid w:val="00026125"/>
    <w:rsid w:val="00026238"/>
    <w:rsid w:val="00026389"/>
    <w:rsid w:val="000264DA"/>
    <w:rsid w:val="000269EA"/>
    <w:rsid w:val="000275AB"/>
    <w:rsid w:val="00027D7F"/>
    <w:rsid w:val="00030372"/>
    <w:rsid w:val="00030492"/>
    <w:rsid w:val="00030655"/>
    <w:rsid w:val="000307A6"/>
    <w:rsid w:val="000308B5"/>
    <w:rsid w:val="0003120C"/>
    <w:rsid w:val="000312DE"/>
    <w:rsid w:val="0003131C"/>
    <w:rsid w:val="0003141A"/>
    <w:rsid w:val="000317A0"/>
    <w:rsid w:val="00031960"/>
    <w:rsid w:val="00031DEF"/>
    <w:rsid w:val="00032124"/>
    <w:rsid w:val="000323B5"/>
    <w:rsid w:val="00032437"/>
    <w:rsid w:val="00032FDA"/>
    <w:rsid w:val="00033473"/>
    <w:rsid w:val="00033614"/>
    <w:rsid w:val="00033691"/>
    <w:rsid w:val="0003394A"/>
    <w:rsid w:val="00033ED2"/>
    <w:rsid w:val="00033FA1"/>
    <w:rsid w:val="0003416D"/>
    <w:rsid w:val="00034699"/>
    <w:rsid w:val="000347AC"/>
    <w:rsid w:val="000347D7"/>
    <w:rsid w:val="000348CD"/>
    <w:rsid w:val="000349AC"/>
    <w:rsid w:val="00034BBD"/>
    <w:rsid w:val="00034DE6"/>
    <w:rsid w:val="00034DED"/>
    <w:rsid w:val="00034E69"/>
    <w:rsid w:val="00035027"/>
    <w:rsid w:val="0003512E"/>
    <w:rsid w:val="0003526F"/>
    <w:rsid w:val="00035687"/>
    <w:rsid w:val="00035780"/>
    <w:rsid w:val="0003581B"/>
    <w:rsid w:val="000359A2"/>
    <w:rsid w:val="00035A48"/>
    <w:rsid w:val="00035C52"/>
    <w:rsid w:val="000368CE"/>
    <w:rsid w:val="00036927"/>
    <w:rsid w:val="000369CD"/>
    <w:rsid w:val="00037063"/>
    <w:rsid w:val="00037080"/>
    <w:rsid w:val="000372D4"/>
    <w:rsid w:val="0003754E"/>
    <w:rsid w:val="000401E3"/>
    <w:rsid w:val="000404F5"/>
    <w:rsid w:val="0004056F"/>
    <w:rsid w:val="00040958"/>
    <w:rsid w:val="00040C10"/>
    <w:rsid w:val="00041326"/>
    <w:rsid w:val="00041435"/>
    <w:rsid w:val="000415FD"/>
    <w:rsid w:val="000416EA"/>
    <w:rsid w:val="00041CFB"/>
    <w:rsid w:val="00041D38"/>
    <w:rsid w:val="00042043"/>
    <w:rsid w:val="000420CA"/>
    <w:rsid w:val="00042328"/>
    <w:rsid w:val="0004237E"/>
    <w:rsid w:val="00042F93"/>
    <w:rsid w:val="00043ADE"/>
    <w:rsid w:val="000442AB"/>
    <w:rsid w:val="000445AF"/>
    <w:rsid w:val="000450B9"/>
    <w:rsid w:val="0004515C"/>
    <w:rsid w:val="00045447"/>
    <w:rsid w:val="000455FA"/>
    <w:rsid w:val="0004577E"/>
    <w:rsid w:val="00045874"/>
    <w:rsid w:val="00045929"/>
    <w:rsid w:val="00046222"/>
    <w:rsid w:val="00046419"/>
    <w:rsid w:val="000465DC"/>
    <w:rsid w:val="00046678"/>
    <w:rsid w:val="00046765"/>
    <w:rsid w:val="00046A82"/>
    <w:rsid w:val="00046C5B"/>
    <w:rsid w:val="00046DD1"/>
    <w:rsid w:val="00046F0D"/>
    <w:rsid w:val="0004739D"/>
    <w:rsid w:val="00047698"/>
    <w:rsid w:val="000479B8"/>
    <w:rsid w:val="00047AA3"/>
    <w:rsid w:val="00047B85"/>
    <w:rsid w:val="00047D98"/>
    <w:rsid w:val="00047DC6"/>
    <w:rsid w:val="00047E39"/>
    <w:rsid w:val="00047F43"/>
    <w:rsid w:val="00050030"/>
    <w:rsid w:val="000504A1"/>
    <w:rsid w:val="00050F88"/>
    <w:rsid w:val="00051114"/>
    <w:rsid w:val="0005137F"/>
    <w:rsid w:val="000518C1"/>
    <w:rsid w:val="00051947"/>
    <w:rsid w:val="00051EC2"/>
    <w:rsid w:val="00051FEE"/>
    <w:rsid w:val="000524D3"/>
    <w:rsid w:val="00052918"/>
    <w:rsid w:val="0005329A"/>
    <w:rsid w:val="00053368"/>
    <w:rsid w:val="0005372A"/>
    <w:rsid w:val="00053911"/>
    <w:rsid w:val="000545C8"/>
    <w:rsid w:val="00054867"/>
    <w:rsid w:val="00054A4B"/>
    <w:rsid w:val="00055193"/>
    <w:rsid w:val="0005527E"/>
    <w:rsid w:val="000554B6"/>
    <w:rsid w:val="000555E8"/>
    <w:rsid w:val="00055606"/>
    <w:rsid w:val="00055626"/>
    <w:rsid w:val="00055777"/>
    <w:rsid w:val="00056482"/>
    <w:rsid w:val="000564D5"/>
    <w:rsid w:val="000568FA"/>
    <w:rsid w:val="00056B8F"/>
    <w:rsid w:val="00056C3C"/>
    <w:rsid w:val="000572D1"/>
    <w:rsid w:val="0005737A"/>
    <w:rsid w:val="000574A3"/>
    <w:rsid w:val="00057816"/>
    <w:rsid w:val="00057D47"/>
    <w:rsid w:val="00057D8B"/>
    <w:rsid w:val="00057FC1"/>
    <w:rsid w:val="000602FA"/>
    <w:rsid w:val="00060671"/>
    <w:rsid w:val="000606B3"/>
    <w:rsid w:val="00060745"/>
    <w:rsid w:val="0006097B"/>
    <w:rsid w:val="000610C7"/>
    <w:rsid w:val="00061293"/>
    <w:rsid w:val="000618A9"/>
    <w:rsid w:val="00061A1D"/>
    <w:rsid w:val="00061A38"/>
    <w:rsid w:val="00061E61"/>
    <w:rsid w:val="00061E74"/>
    <w:rsid w:val="00062399"/>
    <w:rsid w:val="0006292D"/>
    <w:rsid w:val="00062A09"/>
    <w:rsid w:val="00062ECB"/>
    <w:rsid w:val="00062FF7"/>
    <w:rsid w:val="000638F9"/>
    <w:rsid w:val="00064624"/>
    <w:rsid w:val="00064732"/>
    <w:rsid w:val="00064987"/>
    <w:rsid w:val="00064E2B"/>
    <w:rsid w:val="00064E5D"/>
    <w:rsid w:val="00065814"/>
    <w:rsid w:val="00065B6B"/>
    <w:rsid w:val="00066052"/>
    <w:rsid w:val="000662F1"/>
    <w:rsid w:val="00066549"/>
    <w:rsid w:val="000665D4"/>
    <w:rsid w:val="00066699"/>
    <w:rsid w:val="000668DD"/>
    <w:rsid w:val="00066964"/>
    <w:rsid w:val="00066994"/>
    <w:rsid w:val="00066CA9"/>
    <w:rsid w:val="00066D7C"/>
    <w:rsid w:val="00066F44"/>
    <w:rsid w:val="00067075"/>
    <w:rsid w:val="0006716E"/>
    <w:rsid w:val="00067470"/>
    <w:rsid w:val="00067D7E"/>
    <w:rsid w:val="00067EAC"/>
    <w:rsid w:val="00067F0D"/>
    <w:rsid w:val="00070083"/>
    <w:rsid w:val="000701AA"/>
    <w:rsid w:val="000708A2"/>
    <w:rsid w:val="000709C9"/>
    <w:rsid w:val="00070A1F"/>
    <w:rsid w:val="00070A92"/>
    <w:rsid w:val="00070AB2"/>
    <w:rsid w:val="00070B44"/>
    <w:rsid w:val="00070B9D"/>
    <w:rsid w:val="00070ED5"/>
    <w:rsid w:val="00071098"/>
    <w:rsid w:val="0007179C"/>
    <w:rsid w:val="00071890"/>
    <w:rsid w:val="00071C29"/>
    <w:rsid w:val="000720E1"/>
    <w:rsid w:val="000730B3"/>
    <w:rsid w:val="00073220"/>
    <w:rsid w:val="0007330F"/>
    <w:rsid w:val="000734B5"/>
    <w:rsid w:val="00073D47"/>
    <w:rsid w:val="000742E1"/>
    <w:rsid w:val="00074316"/>
    <w:rsid w:val="000743C1"/>
    <w:rsid w:val="000744DC"/>
    <w:rsid w:val="0007454A"/>
    <w:rsid w:val="00074599"/>
    <w:rsid w:val="000745D3"/>
    <w:rsid w:val="000745FE"/>
    <w:rsid w:val="00074948"/>
    <w:rsid w:val="000749D8"/>
    <w:rsid w:val="00074BB5"/>
    <w:rsid w:val="00074BC0"/>
    <w:rsid w:val="00074C13"/>
    <w:rsid w:val="00074CAE"/>
    <w:rsid w:val="00074F20"/>
    <w:rsid w:val="0007529A"/>
    <w:rsid w:val="000758D3"/>
    <w:rsid w:val="00075C07"/>
    <w:rsid w:val="00075C95"/>
    <w:rsid w:val="00075CC3"/>
    <w:rsid w:val="00076BF1"/>
    <w:rsid w:val="00076F21"/>
    <w:rsid w:val="00077191"/>
    <w:rsid w:val="0007743B"/>
    <w:rsid w:val="00077A8D"/>
    <w:rsid w:val="00077BC2"/>
    <w:rsid w:val="000800DE"/>
    <w:rsid w:val="00080427"/>
    <w:rsid w:val="0008086D"/>
    <w:rsid w:val="000808B7"/>
    <w:rsid w:val="000808C7"/>
    <w:rsid w:val="00080BDF"/>
    <w:rsid w:val="00080D1F"/>
    <w:rsid w:val="00080E68"/>
    <w:rsid w:val="0008152E"/>
    <w:rsid w:val="00081986"/>
    <w:rsid w:val="00081991"/>
    <w:rsid w:val="00081A23"/>
    <w:rsid w:val="00081AF3"/>
    <w:rsid w:val="00081D8B"/>
    <w:rsid w:val="00081EA0"/>
    <w:rsid w:val="00082240"/>
    <w:rsid w:val="000823CB"/>
    <w:rsid w:val="00082D5D"/>
    <w:rsid w:val="00082EA6"/>
    <w:rsid w:val="0008328F"/>
    <w:rsid w:val="00083738"/>
    <w:rsid w:val="00083825"/>
    <w:rsid w:val="00083D3B"/>
    <w:rsid w:val="00084648"/>
    <w:rsid w:val="0008481E"/>
    <w:rsid w:val="00084C5A"/>
    <w:rsid w:val="00084E4F"/>
    <w:rsid w:val="00084FDF"/>
    <w:rsid w:val="00085497"/>
    <w:rsid w:val="00085A68"/>
    <w:rsid w:val="00085BAD"/>
    <w:rsid w:val="00085BBB"/>
    <w:rsid w:val="00086654"/>
    <w:rsid w:val="000869E8"/>
    <w:rsid w:val="00087161"/>
    <w:rsid w:val="00087931"/>
    <w:rsid w:val="00087B75"/>
    <w:rsid w:val="00087CC4"/>
    <w:rsid w:val="00087D9E"/>
    <w:rsid w:val="00087DB3"/>
    <w:rsid w:val="00087E64"/>
    <w:rsid w:val="00090774"/>
    <w:rsid w:val="00090941"/>
    <w:rsid w:val="00090942"/>
    <w:rsid w:val="00090B24"/>
    <w:rsid w:val="00090BBD"/>
    <w:rsid w:val="000910BD"/>
    <w:rsid w:val="000913AB"/>
    <w:rsid w:val="0009143F"/>
    <w:rsid w:val="000915EB"/>
    <w:rsid w:val="00091DEE"/>
    <w:rsid w:val="00091E21"/>
    <w:rsid w:val="00091E6C"/>
    <w:rsid w:val="000922B4"/>
    <w:rsid w:val="00092371"/>
    <w:rsid w:val="0009281B"/>
    <w:rsid w:val="000929A2"/>
    <w:rsid w:val="00092C16"/>
    <w:rsid w:val="00092CEE"/>
    <w:rsid w:val="00093323"/>
    <w:rsid w:val="000935DC"/>
    <w:rsid w:val="00093736"/>
    <w:rsid w:val="000938FC"/>
    <w:rsid w:val="00093A93"/>
    <w:rsid w:val="00093CB9"/>
    <w:rsid w:val="00093D75"/>
    <w:rsid w:val="00093FB0"/>
    <w:rsid w:val="0009415B"/>
    <w:rsid w:val="000943D1"/>
    <w:rsid w:val="000948AE"/>
    <w:rsid w:val="00094C0E"/>
    <w:rsid w:val="00094C1B"/>
    <w:rsid w:val="00094F80"/>
    <w:rsid w:val="00095E62"/>
    <w:rsid w:val="00096193"/>
    <w:rsid w:val="00096199"/>
    <w:rsid w:val="0009640A"/>
    <w:rsid w:val="000965ED"/>
    <w:rsid w:val="00096E57"/>
    <w:rsid w:val="000974A7"/>
    <w:rsid w:val="000975BF"/>
    <w:rsid w:val="000978A9"/>
    <w:rsid w:val="000978AC"/>
    <w:rsid w:val="00097BCE"/>
    <w:rsid w:val="000A00D5"/>
    <w:rsid w:val="000A0266"/>
    <w:rsid w:val="000A0959"/>
    <w:rsid w:val="000A0C93"/>
    <w:rsid w:val="000A0EDD"/>
    <w:rsid w:val="000A0FBF"/>
    <w:rsid w:val="000A1D7E"/>
    <w:rsid w:val="000A1F9F"/>
    <w:rsid w:val="000A1FB6"/>
    <w:rsid w:val="000A2830"/>
    <w:rsid w:val="000A2BF8"/>
    <w:rsid w:val="000A2D2A"/>
    <w:rsid w:val="000A327D"/>
    <w:rsid w:val="000A3407"/>
    <w:rsid w:val="000A353D"/>
    <w:rsid w:val="000A36C4"/>
    <w:rsid w:val="000A370D"/>
    <w:rsid w:val="000A3909"/>
    <w:rsid w:val="000A3928"/>
    <w:rsid w:val="000A3C77"/>
    <w:rsid w:val="000A3D27"/>
    <w:rsid w:val="000A429A"/>
    <w:rsid w:val="000A43A6"/>
    <w:rsid w:val="000A447A"/>
    <w:rsid w:val="000A4481"/>
    <w:rsid w:val="000A44D1"/>
    <w:rsid w:val="000A492F"/>
    <w:rsid w:val="000A4EE2"/>
    <w:rsid w:val="000A508B"/>
    <w:rsid w:val="000A537B"/>
    <w:rsid w:val="000A541F"/>
    <w:rsid w:val="000A55BB"/>
    <w:rsid w:val="000A55CE"/>
    <w:rsid w:val="000A57B5"/>
    <w:rsid w:val="000A5E1F"/>
    <w:rsid w:val="000A612F"/>
    <w:rsid w:val="000A6162"/>
    <w:rsid w:val="000A618C"/>
    <w:rsid w:val="000A6B20"/>
    <w:rsid w:val="000A6C44"/>
    <w:rsid w:val="000A6E7C"/>
    <w:rsid w:val="000A747D"/>
    <w:rsid w:val="000A7546"/>
    <w:rsid w:val="000A774A"/>
    <w:rsid w:val="000A7761"/>
    <w:rsid w:val="000B0645"/>
    <w:rsid w:val="000B081F"/>
    <w:rsid w:val="000B0C18"/>
    <w:rsid w:val="000B0DE2"/>
    <w:rsid w:val="000B0E7B"/>
    <w:rsid w:val="000B119F"/>
    <w:rsid w:val="000B1704"/>
    <w:rsid w:val="000B19D8"/>
    <w:rsid w:val="000B1D39"/>
    <w:rsid w:val="000B21E8"/>
    <w:rsid w:val="000B22F4"/>
    <w:rsid w:val="000B26C8"/>
    <w:rsid w:val="000B2A7A"/>
    <w:rsid w:val="000B32D8"/>
    <w:rsid w:val="000B37BC"/>
    <w:rsid w:val="000B455D"/>
    <w:rsid w:val="000B4DE2"/>
    <w:rsid w:val="000B557F"/>
    <w:rsid w:val="000B587F"/>
    <w:rsid w:val="000B590E"/>
    <w:rsid w:val="000B5B5B"/>
    <w:rsid w:val="000B5D89"/>
    <w:rsid w:val="000B5D95"/>
    <w:rsid w:val="000B6738"/>
    <w:rsid w:val="000B6B5A"/>
    <w:rsid w:val="000B713E"/>
    <w:rsid w:val="000B716E"/>
    <w:rsid w:val="000B74AC"/>
    <w:rsid w:val="000B7556"/>
    <w:rsid w:val="000B7800"/>
    <w:rsid w:val="000B7BB2"/>
    <w:rsid w:val="000B7BC0"/>
    <w:rsid w:val="000C0170"/>
    <w:rsid w:val="000C01C5"/>
    <w:rsid w:val="000C0236"/>
    <w:rsid w:val="000C028A"/>
    <w:rsid w:val="000C0A0B"/>
    <w:rsid w:val="000C0B70"/>
    <w:rsid w:val="000C0E5F"/>
    <w:rsid w:val="000C12C9"/>
    <w:rsid w:val="000C16B7"/>
    <w:rsid w:val="000C1AFD"/>
    <w:rsid w:val="000C216A"/>
    <w:rsid w:val="000C2486"/>
    <w:rsid w:val="000C255E"/>
    <w:rsid w:val="000C29EF"/>
    <w:rsid w:val="000C2BF2"/>
    <w:rsid w:val="000C2E30"/>
    <w:rsid w:val="000C3008"/>
    <w:rsid w:val="000C304E"/>
    <w:rsid w:val="000C3509"/>
    <w:rsid w:val="000C3988"/>
    <w:rsid w:val="000C3D54"/>
    <w:rsid w:val="000C3D97"/>
    <w:rsid w:val="000C3F19"/>
    <w:rsid w:val="000C3FEB"/>
    <w:rsid w:val="000C4144"/>
    <w:rsid w:val="000C4176"/>
    <w:rsid w:val="000C45E0"/>
    <w:rsid w:val="000C4AED"/>
    <w:rsid w:val="000C5260"/>
    <w:rsid w:val="000C5746"/>
    <w:rsid w:val="000C59D1"/>
    <w:rsid w:val="000C5D10"/>
    <w:rsid w:val="000C5EC9"/>
    <w:rsid w:val="000C60E2"/>
    <w:rsid w:val="000C6795"/>
    <w:rsid w:val="000C6BDD"/>
    <w:rsid w:val="000C710C"/>
    <w:rsid w:val="000C719C"/>
    <w:rsid w:val="000C745D"/>
    <w:rsid w:val="000C790B"/>
    <w:rsid w:val="000C7984"/>
    <w:rsid w:val="000D0543"/>
    <w:rsid w:val="000D0C52"/>
    <w:rsid w:val="000D0CAC"/>
    <w:rsid w:val="000D0CC4"/>
    <w:rsid w:val="000D0D5F"/>
    <w:rsid w:val="000D0DD8"/>
    <w:rsid w:val="000D11F5"/>
    <w:rsid w:val="000D12F6"/>
    <w:rsid w:val="000D2268"/>
    <w:rsid w:val="000D24A0"/>
    <w:rsid w:val="000D256C"/>
    <w:rsid w:val="000D29CE"/>
    <w:rsid w:val="000D2DB2"/>
    <w:rsid w:val="000D30AF"/>
    <w:rsid w:val="000D33A2"/>
    <w:rsid w:val="000D33AA"/>
    <w:rsid w:val="000D3804"/>
    <w:rsid w:val="000D3854"/>
    <w:rsid w:val="000D3B83"/>
    <w:rsid w:val="000D3BA2"/>
    <w:rsid w:val="000D414F"/>
    <w:rsid w:val="000D4241"/>
    <w:rsid w:val="000D4675"/>
    <w:rsid w:val="000D49E4"/>
    <w:rsid w:val="000D4F3B"/>
    <w:rsid w:val="000D5073"/>
    <w:rsid w:val="000D5D71"/>
    <w:rsid w:val="000D69C5"/>
    <w:rsid w:val="000D6B02"/>
    <w:rsid w:val="000D70ED"/>
    <w:rsid w:val="000D730A"/>
    <w:rsid w:val="000D761E"/>
    <w:rsid w:val="000D7C39"/>
    <w:rsid w:val="000E0051"/>
    <w:rsid w:val="000E043B"/>
    <w:rsid w:val="000E049E"/>
    <w:rsid w:val="000E0738"/>
    <w:rsid w:val="000E08AC"/>
    <w:rsid w:val="000E094F"/>
    <w:rsid w:val="000E09A9"/>
    <w:rsid w:val="000E0A97"/>
    <w:rsid w:val="000E0B29"/>
    <w:rsid w:val="000E0B7C"/>
    <w:rsid w:val="000E0E21"/>
    <w:rsid w:val="000E1883"/>
    <w:rsid w:val="000E1C22"/>
    <w:rsid w:val="000E1CFD"/>
    <w:rsid w:val="000E1D7F"/>
    <w:rsid w:val="000E1FA5"/>
    <w:rsid w:val="000E2508"/>
    <w:rsid w:val="000E282C"/>
    <w:rsid w:val="000E333B"/>
    <w:rsid w:val="000E3677"/>
    <w:rsid w:val="000E3863"/>
    <w:rsid w:val="000E3BCE"/>
    <w:rsid w:val="000E3C1A"/>
    <w:rsid w:val="000E3D37"/>
    <w:rsid w:val="000E4004"/>
    <w:rsid w:val="000E4651"/>
    <w:rsid w:val="000E4EE5"/>
    <w:rsid w:val="000E4F78"/>
    <w:rsid w:val="000E505C"/>
    <w:rsid w:val="000E5608"/>
    <w:rsid w:val="000E5642"/>
    <w:rsid w:val="000E5A46"/>
    <w:rsid w:val="000E661D"/>
    <w:rsid w:val="000E6CBD"/>
    <w:rsid w:val="000E6D78"/>
    <w:rsid w:val="000E6E2D"/>
    <w:rsid w:val="000E704D"/>
    <w:rsid w:val="000E7070"/>
    <w:rsid w:val="000E7211"/>
    <w:rsid w:val="000E76F7"/>
    <w:rsid w:val="000E7768"/>
    <w:rsid w:val="000E78EC"/>
    <w:rsid w:val="000E7C8E"/>
    <w:rsid w:val="000E7CF4"/>
    <w:rsid w:val="000F0036"/>
    <w:rsid w:val="000F03F6"/>
    <w:rsid w:val="000F079D"/>
    <w:rsid w:val="000F0AC0"/>
    <w:rsid w:val="000F0C6F"/>
    <w:rsid w:val="000F0D09"/>
    <w:rsid w:val="000F0EC4"/>
    <w:rsid w:val="000F0ED7"/>
    <w:rsid w:val="000F0F55"/>
    <w:rsid w:val="000F0FD4"/>
    <w:rsid w:val="000F1252"/>
    <w:rsid w:val="000F16BF"/>
    <w:rsid w:val="000F19BC"/>
    <w:rsid w:val="000F1B6B"/>
    <w:rsid w:val="000F1B8E"/>
    <w:rsid w:val="000F1C4D"/>
    <w:rsid w:val="000F2B22"/>
    <w:rsid w:val="000F2C66"/>
    <w:rsid w:val="000F3399"/>
    <w:rsid w:val="000F3405"/>
    <w:rsid w:val="000F3B85"/>
    <w:rsid w:val="000F4076"/>
    <w:rsid w:val="000F47C5"/>
    <w:rsid w:val="000F483E"/>
    <w:rsid w:val="000F533A"/>
    <w:rsid w:val="000F5600"/>
    <w:rsid w:val="000F57E0"/>
    <w:rsid w:val="000F589D"/>
    <w:rsid w:val="000F5B3B"/>
    <w:rsid w:val="000F5E7C"/>
    <w:rsid w:val="000F6403"/>
    <w:rsid w:val="000F73DF"/>
    <w:rsid w:val="000F7C27"/>
    <w:rsid w:val="000F7FC2"/>
    <w:rsid w:val="000F7FE0"/>
    <w:rsid w:val="000FF74C"/>
    <w:rsid w:val="001003B0"/>
    <w:rsid w:val="001004DB"/>
    <w:rsid w:val="00100819"/>
    <w:rsid w:val="00100F4A"/>
    <w:rsid w:val="001015FB"/>
    <w:rsid w:val="0010199A"/>
    <w:rsid w:val="00101A15"/>
    <w:rsid w:val="00101BDF"/>
    <w:rsid w:val="00101C7E"/>
    <w:rsid w:val="00101D97"/>
    <w:rsid w:val="00101F0F"/>
    <w:rsid w:val="00102AE9"/>
    <w:rsid w:val="00102BA0"/>
    <w:rsid w:val="00102EA5"/>
    <w:rsid w:val="0010345E"/>
    <w:rsid w:val="00103527"/>
    <w:rsid w:val="00103668"/>
    <w:rsid w:val="0010393C"/>
    <w:rsid w:val="00103AB5"/>
    <w:rsid w:val="00103D4F"/>
    <w:rsid w:val="00103E2B"/>
    <w:rsid w:val="00103EBF"/>
    <w:rsid w:val="00104CCB"/>
    <w:rsid w:val="00105276"/>
    <w:rsid w:val="00105396"/>
    <w:rsid w:val="001058B3"/>
    <w:rsid w:val="0010648A"/>
    <w:rsid w:val="0010689B"/>
    <w:rsid w:val="00106D51"/>
    <w:rsid w:val="00106E8F"/>
    <w:rsid w:val="00107274"/>
    <w:rsid w:val="00107282"/>
    <w:rsid w:val="0010744F"/>
    <w:rsid w:val="001079FD"/>
    <w:rsid w:val="001079FF"/>
    <w:rsid w:val="00107B6A"/>
    <w:rsid w:val="00107B7A"/>
    <w:rsid w:val="00107D30"/>
    <w:rsid w:val="00107DE5"/>
    <w:rsid w:val="001104DC"/>
    <w:rsid w:val="001104FB"/>
    <w:rsid w:val="0011054B"/>
    <w:rsid w:val="00110615"/>
    <w:rsid w:val="00110887"/>
    <w:rsid w:val="001109BE"/>
    <w:rsid w:val="00110D03"/>
    <w:rsid w:val="00110DAD"/>
    <w:rsid w:val="0011112E"/>
    <w:rsid w:val="001113C8"/>
    <w:rsid w:val="001118B7"/>
    <w:rsid w:val="00111A24"/>
    <w:rsid w:val="00111C38"/>
    <w:rsid w:val="00111E6F"/>
    <w:rsid w:val="00112098"/>
    <w:rsid w:val="00112997"/>
    <w:rsid w:val="00112A92"/>
    <w:rsid w:val="00112B10"/>
    <w:rsid w:val="00112CEC"/>
    <w:rsid w:val="00113401"/>
    <w:rsid w:val="00113604"/>
    <w:rsid w:val="00113F07"/>
    <w:rsid w:val="0011452D"/>
    <w:rsid w:val="00114742"/>
    <w:rsid w:val="00114BE9"/>
    <w:rsid w:val="00114C36"/>
    <w:rsid w:val="001151CE"/>
    <w:rsid w:val="001152A0"/>
    <w:rsid w:val="0011536A"/>
    <w:rsid w:val="001158D7"/>
    <w:rsid w:val="00115C0B"/>
    <w:rsid w:val="0011621C"/>
    <w:rsid w:val="00116234"/>
    <w:rsid w:val="001163D7"/>
    <w:rsid w:val="00116543"/>
    <w:rsid w:val="00116765"/>
    <w:rsid w:val="0011721E"/>
    <w:rsid w:val="00117494"/>
    <w:rsid w:val="0011764A"/>
    <w:rsid w:val="001178BE"/>
    <w:rsid w:val="00117CCE"/>
    <w:rsid w:val="00117E8C"/>
    <w:rsid w:val="0012084A"/>
    <w:rsid w:val="00120992"/>
    <w:rsid w:val="00120A35"/>
    <w:rsid w:val="00121371"/>
    <w:rsid w:val="00121624"/>
    <w:rsid w:val="00121825"/>
    <w:rsid w:val="00121872"/>
    <w:rsid w:val="00121C4E"/>
    <w:rsid w:val="00121E96"/>
    <w:rsid w:val="00121F08"/>
    <w:rsid w:val="00122108"/>
    <w:rsid w:val="00122173"/>
    <w:rsid w:val="001226D8"/>
    <w:rsid w:val="0012270B"/>
    <w:rsid w:val="001229C2"/>
    <w:rsid w:val="00123619"/>
    <w:rsid w:val="0012367F"/>
    <w:rsid w:val="00123B55"/>
    <w:rsid w:val="00123CCC"/>
    <w:rsid w:val="00123DED"/>
    <w:rsid w:val="00123E35"/>
    <w:rsid w:val="0012444D"/>
    <w:rsid w:val="0012451B"/>
    <w:rsid w:val="00124B49"/>
    <w:rsid w:val="00125185"/>
    <w:rsid w:val="00125196"/>
    <w:rsid w:val="00125427"/>
    <w:rsid w:val="0012555E"/>
    <w:rsid w:val="001256CF"/>
    <w:rsid w:val="001259FC"/>
    <w:rsid w:val="00125F6C"/>
    <w:rsid w:val="00126030"/>
    <w:rsid w:val="001265D5"/>
    <w:rsid w:val="001268F8"/>
    <w:rsid w:val="00126EBC"/>
    <w:rsid w:val="0012728A"/>
    <w:rsid w:val="001272C6"/>
    <w:rsid w:val="001277EF"/>
    <w:rsid w:val="001278BA"/>
    <w:rsid w:val="00127E20"/>
    <w:rsid w:val="00130297"/>
    <w:rsid w:val="001302AB"/>
    <w:rsid w:val="0013033B"/>
    <w:rsid w:val="00130570"/>
    <w:rsid w:val="001305D4"/>
    <w:rsid w:val="0013061F"/>
    <w:rsid w:val="0013080F"/>
    <w:rsid w:val="00130C93"/>
    <w:rsid w:val="00130E13"/>
    <w:rsid w:val="00130F58"/>
    <w:rsid w:val="001312A1"/>
    <w:rsid w:val="001312CB"/>
    <w:rsid w:val="00131691"/>
    <w:rsid w:val="00131A1A"/>
    <w:rsid w:val="00131BAA"/>
    <w:rsid w:val="00131BC4"/>
    <w:rsid w:val="00131C3D"/>
    <w:rsid w:val="001324A5"/>
    <w:rsid w:val="001330B6"/>
    <w:rsid w:val="001333DB"/>
    <w:rsid w:val="0013387B"/>
    <w:rsid w:val="00133888"/>
    <w:rsid w:val="001338BC"/>
    <w:rsid w:val="00133919"/>
    <w:rsid w:val="00133C0C"/>
    <w:rsid w:val="00133D6B"/>
    <w:rsid w:val="001341AF"/>
    <w:rsid w:val="00134393"/>
    <w:rsid w:val="00134495"/>
    <w:rsid w:val="00134526"/>
    <w:rsid w:val="001346F7"/>
    <w:rsid w:val="00134AB5"/>
    <w:rsid w:val="00134B85"/>
    <w:rsid w:val="001354E7"/>
    <w:rsid w:val="00135507"/>
    <w:rsid w:val="00135A8C"/>
    <w:rsid w:val="001362B9"/>
    <w:rsid w:val="001363EF"/>
    <w:rsid w:val="001366AA"/>
    <w:rsid w:val="001367DD"/>
    <w:rsid w:val="00136A7A"/>
    <w:rsid w:val="0013760E"/>
    <w:rsid w:val="0013789C"/>
    <w:rsid w:val="001406A5"/>
    <w:rsid w:val="001408C7"/>
    <w:rsid w:val="001409CB"/>
    <w:rsid w:val="00140A5B"/>
    <w:rsid w:val="00140C66"/>
    <w:rsid w:val="00140F3D"/>
    <w:rsid w:val="00141993"/>
    <w:rsid w:val="001419CC"/>
    <w:rsid w:val="00141D62"/>
    <w:rsid w:val="00141EFF"/>
    <w:rsid w:val="0014232A"/>
    <w:rsid w:val="001425F5"/>
    <w:rsid w:val="0014289A"/>
    <w:rsid w:val="00143176"/>
    <w:rsid w:val="001435D9"/>
    <w:rsid w:val="001435E2"/>
    <w:rsid w:val="00143809"/>
    <w:rsid w:val="001442CD"/>
    <w:rsid w:val="001442E5"/>
    <w:rsid w:val="001444AB"/>
    <w:rsid w:val="00144D2D"/>
    <w:rsid w:val="00145414"/>
    <w:rsid w:val="001458C2"/>
    <w:rsid w:val="00145DC3"/>
    <w:rsid w:val="00145E04"/>
    <w:rsid w:val="0014672C"/>
    <w:rsid w:val="00146FB5"/>
    <w:rsid w:val="00147153"/>
    <w:rsid w:val="00147C2D"/>
    <w:rsid w:val="00147C53"/>
    <w:rsid w:val="00147D5C"/>
    <w:rsid w:val="00147DC3"/>
    <w:rsid w:val="001500D7"/>
    <w:rsid w:val="00150326"/>
    <w:rsid w:val="001506F3"/>
    <w:rsid w:val="00150CDA"/>
    <w:rsid w:val="00150D53"/>
    <w:rsid w:val="0015139C"/>
    <w:rsid w:val="001513FC"/>
    <w:rsid w:val="0015140C"/>
    <w:rsid w:val="001514C1"/>
    <w:rsid w:val="001522E0"/>
    <w:rsid w:val="0015255E"/>
    <w:rsid w:val="0015276F"/>
    <w:rsid w:val="00152ABF"/>
    <w:rsid w:val="00153186"/>
    <w:rsid w:val="0015329B"/>
    <w:rsid w:val="001532A0"/>
    <w:rsid w:val="00153364"/>
    <w:rsid w:val="0015341B"/>
    <w:rsid w:val="00153799"/>
    <w:rsid w:val="00153ACE"/>
    <w:rsid w:val="00153C23"/>
    <w:rsid w:val="00154046"/>
    <w:rsid w:val="00154784"/>
    <w:rsid w:val="0015499C"/>
    <w:rsid w:val="00154AA0"/>
    <w:rsid w:val="00154B38"/>
    <w:rsid w:val="00154BB1"/>
    <w:rsid w:val="00154D0B"/>
    <w:rsid w:val="00155004"/>
    <w:rsid w:val="00155439"/>
    <w:rsid w:val="00155894"/>
    <w:rsid w:val="00155F33"/>
    <w:rsid w:val="00155F90"/>
    <w:rsid w:val="0015627B"/>
    <w:rsid w:val="001564C3"/>
    <w:rsid w:val="00156A07"/>
    <w:rsid w:val="00156A43"/>
    <w:rsid w:val="00156A98"/>
    <w:rsid w:val="00156ACF"/>
    <w:rsid w:val="00156DB7"/>
    <w:rsid w:val="00157914"/>
    <w:rsid w:val="00157E6F"/>
    <w:rsid w:val="00157EB7"/>
    <w:rsid w:val="001600D5"/>
    <w:rsid w:val="0016015A"/>
    <w:rsid w:val="00160213"/>
    <w:rsid w:val="001604B0"/>
    <w:rsid w:val="001606E3"/>
    <w:rsid w:val="00160AC8"/>
    <w:rsid w:val="00160CE3"/>
    <w:rsid w:val="00161198"/>
    <w:rsid w:val="001614C1"/>
    <w:rsid w:val="001616DD"/>
    <w:rsid w:val="00161995"/>
    <w:rsid w:val="00161E51"/>
    <w:rsid w:val="0016215F"/>
    <w:rsid w:val="001623E1"/>
    <w:rsid w:val="00162462"/>
    <w:rsid w:val="00162AB2"/>
    <w:rsid w:val="00162B6B"/>
    <w:rsid w:val="00162B95"/>
    <w:rsid w:val="0016305F"/>
    <w:rsid w:val="00163375"/>
    <w:rsid w:val="00163427"/>
    <w:rsid w:val="00163FBD"/>
    <w:rsid w:val="00164013"/>
    <w:rsid w:val="0016421D"/>
    <w:rsid w:val="00164270"/>
    <w:rsid w:val="001643B2"/>
    <w:rsid w:val="001645FF"/>
    <w:rsid w:val="00164A6B"/>
    <w:rsid w:val="00164E0D"/>
    <w:rsid w:val="00164EE1"/>
    <w:rsid w:val="00165115"/>
    <w:rsid w:val="001653C9"/>
    <w:rsid w:val="00165480"/>
    <w:rsid w:val="00165893"/>
    <w:rsid w:val="00165902"/>
    <w:rsid w:val="00165BC1"/>
    <w:rsid w:val="00165CB5"/>
    <w:rsid w:val="00165DDF"/>
    <w:rsid w:val="00166293"/>
    <w:rsid w:val="0016683D"/>
    <w:rsid w:val="0016692E"/>
    <w:rsid w:val="00166ED4"/>
    <w:rsid w:val="0016722E"/>
    <w:rsid w:val="001679D7"/>
    <w:rsid w:val="00167F53"/>
    <w:rsid w:val="001701AE"/>
    <w:rsid w:val="00170270"/>
    <w:rsid w:val="001708F3"/>
    <w:rsid w:val="00170AAC"/>
    <w:rsid w:val="00170CAA"/>
    <w:rsid w:val="00170D10"/>
    <w:rsid w:val="001713D8"/>
    <w:rsid w:val="00171592"/>
    <w:rsid w:val="001716B2"/>
    <w:rsid w:val="001717DD"/>
    <w:rsid w:val="001717F5"/>
    <w:rsid w:val="00171A60"/>
    <w:rsid w:val="00171BCE"/>
    <w:rsid w:val="00171DFF"/>
    <w:rsid w:val="00172067"/>
    <w:rsid w:val="00172090"/>
    <w:rsid w:val="001726EF"/>
    <w:rsid w:val="00172A1B"/>
    <w:rsid w:val="00172ED6"/>
    <w:rsid w:val="001730D3"/>
    <w:rsid w:val="00173367"/>
    <w:rsid w:val="0017361E"/>
    <w:rsid w:val="00173B1C"/>
    <w:rsid w:val="00173CD6"/>
    <w:rsid w:val="00173D35"/>
    <w:rsid w:val="00173F37"/>
    <w:rsid w:val="001744ED"/>
    <w:rsid w:val="0017463B"/>
    <w:rsid w:val="0017527D"/>
    <w:rsid w:val="00175676"/>
    <w:rsid w:val="001756CA"/>
    <w:rsid w:val="001758D9"/>
    <w:rsid w:val="00175F35"/>
    <w:rsid w:val="00176093"/>
    <w:rsid w:val="00176191"/>
    <w:rsid w:val="001762C0"/>
    <w:rsid w:val="001764DA"/>
    <w:rsid w:val="001769DE"/>
    <w:rsid w:val="00176A64"/>
    <w:rsid w:val="00176A6E"/>
    <w:rsid w:val="00176D3B"/>
    <w:rsid w:val="00176EBE"/>
    <w:rsid w:val="00176F2D"/>
    <w:rsid w:val="001773C0"/>
    <w:rsid w:val="00177400"/>
    <w:rsid w:val="00177476"/>
    <w:rsid w:val="00177514"/>
    <w:rsid w:val="0017791E"/>
    <w:rsid w:val="00177B4A"/>
    <w:rsid w:val="00177B64"/>
    <w:rsid w:val="00177D53"/>
    <w:rsid w:val="00177EBF"/>
    <w:rsid w:val="00177F4C"/>
    <w:rsid w:val="001801AA"/>
    <w:rsid w:val="00180251"/>
    <w:rsid w:val="00180259"/>
    <w:rsid w:val="0018062F"/>
    <w:rsid w:val="00180738"/>
    <w:rsid w:val="0018074F"/>
    <w:rsid w:val="00180A68"/>
    <w:rsid w:val="00180CA0"/>
    <w:rsid w:val="00180D73"/>
    <w:rsid w:val="00180E63"/>
    <w:rsid w:val="001812BC"/>
    <w:rsid w:val="0018135B"/>
    <w:rsid w:val="00181366"/>
    <w:rsid w:val="00181891"/>
    <w:rsid w:val="00181A0E"/>
    <w:rsid w:val="00181E45"/>
    <w:rsid w:val="00182197"/>
    <w:rsid w:val="001827CB"/>
    <w:rsid w:val="001828C1"/>
    <w:rsid w:val="00182A74"/>
    <w:rsid w:val="001831F5"/>
    <w:rsid w:val="00183246"/>
    <w:rsid w:val="0018346B"/>
    <w:rsid w:val="0018366C"/>
    <w:rsid w:val="0018368F"/>
    <w:rsid w:val="00183731"/>
    <w:rsid w:val="00183C34"/>
    <w:rsid w:val="00184729"/>
    <w:rsid w:val="00184813"/>
    <w:rsid w:val="00185389"/>
    <w:rsid w:val="0018553D"/>
    <w:rsid w:val="00185A87"/>
    <w:rsid w:val="00185B30"/>
    <w:rsid w:val="0018623E"/>
    <w:rsid w:val="00186265"/>
    <w:rsid w:val="001862E3"/>
    <w:rsid w:val="001862EB"/>
    <w:rsid w:val="001868BE"/>
    <w:rsid w:val="00186966"/>
    <w:rsid w:val="00186C27"/>
    <w:rsid w:val="00186E7A"/>
    <w:rsid w:val="001870CF"/>
    <w:rsid w:val="0018730D"/>
    <w:rsid w:val="0018731E"/>
    <w:rsid w:val="001873BE"/>
    <w:rsid w:val="0018778F"/>
    <w:rsid w:val="00187A20"/>
    <w:rsid w:val="00187D4D"/>
    <w:rsid w:val="00190138"/>
    <w:rsid w:val="001902C2"/>
    <w:rsid w:val="001903EA"/>
    <w:rsid w:val="0019049D"/>
    <w:rsid w:val="001906FE"/>
    <w:rsid w:val="00190EB6"/>
    <w:rsid w:val="00190F57"/>
    <w:rsid w:val="00190F9A"/>
    <w:rsid w:val="001911F7"/>
    <w:rsid w:val="00191599"/>
    <w:rsid w:val="00191683"/>
    <w:rsid w:val="00191B06"/>
    <w:rsid w:val="00191B0A"/>
    <w:rsid w:val="0019205C"/>
    <w:rsid w:val="001920B0"/>
    <w:rsid w:val="0019219A"/>
    <w:rsid w:val="00192409"/>
    <w:rsid w:val="00192978"/>
    <w:rsid w:val="00193017"/>
    <w:rsid w:val="00193112"/>
    <w:rsid w:val="0019388B"/>
    <w:rsid w:val="00193E5C"/>
    <w:rsid w:val="00193E7A"/>
    <w:rsid w:val="0019402C"/>
    <w:rsid w:val="001943E6"/>
    <w:rsid w:val="00194512"/>
    <w:rsid w:val="001949AB"/>
    <w:rsid w:val="0019504D"/>
    <w:rsid w:val="001952C0"/>
    <w:rsid w:val="001959CF"/>
    <w:rsid w:val="00195AF2"/>
    <w:rsid w:val="00195B3F"/>
    <w:rsid w:val="00195FBD"/>
    <w:rsid w:val="00196144"/>
    <w:rsid w:val="001963F1"/>
    <w:rsid w:val="00196564"/>
    <w:rsid w:val="00196FCA"/>
    <w:rsid w:val="00197209"/>
    <w:rsid w:val="0019724B"/>
    <w:rsid w:val="00197287"/>
    <w:rsid w:val="00197ACC"/>
    <w:rsid w:val="00197DC9"/>
    <w:rsid w:val="001A032F"/>
    <w:rsid w:val="001A0549"/>
    <w:rsid w:val="001A0594"/>
    <w:rsid w:val="001A08B9"/>
    <w:rsid w:val="001A0F11"/>
    <w:rsid w:val="001A1000"/>
    <w:rsid w:val="001A1333"/>
    <w:rsid w:val="001A151C"/>
    <w:rsid w:val="001A161E"/>
    <w:rsid w:val="001A1889"/>
    <w:rsid w:val="001A24F3"/>
    <w:rsid w:val="001A2637"/>
    <w:rsid w:val="001A27AE"/>
    <w:rsid w:val="001A27DB"/>
    <w:rsid w:val="001A2A18"/>
    <w:rsid w:val="001A2A58"/>
    <w:rsid w:val="001A2B8B"/>
    <w:rsid w:val="001A2C4E"/>
    <w:rsid w:val="001A2D7A"/>
    <w:rsid w:val="001A2E65"/>
    <w:rsid w:val="001A2FB5"/>
    <w:rsid w:val="001A30F4"/>
    <w:rsid w:val="001A3179"/>
    <w:rsid w:val="001A342B"/>
    <w:rsid w:val="001A3816"/>
    <w:rsid w:val="001A395D"/>
    <w:rsid w:val="001A3F43"/>
    <w:rsid w:val="001A406A"/>
    <w:rsid w:val="001A4258"/>
    <w:rsid w:val="001A4437"/>
    <w:rsid w:val="001A496C"/>
    <w:rsid w:val="001A5AD5"/>
    <w:rsid w:val="001A5B47"/>
    <w:rsid w:val="001A5D5E"/>
    <w:rsid w:val="001A6167"/>
    <w:rsid w:val="001A638E"/>
    <w:rsid w:val="001A68D8"/>
    <w:rsid w:val="001A6A99"/>
    <w:rsid w:val="001A6B08"/>
    <w:rsid w:val="001A6FCE"/>
    <w:rsid w:val="001A75DA"/>
    <w:rsid w:val="001A77A7"/>
    <w:rsid w:val="001A7849"/>
    <w:rsid w:val="001A7CC1"/>
    <w:rsid w:val="001B002E"/>
    <w:rsid w:val="001B05AC"/>
    <w:rsid w:val="001B063A"/>
    <w:rsid w:val="001B0BC8"/>
    <w:rsid w:val="001B0F48"/>
    <w:rsid w:val="001B1031"/>
    <w:rsid w:val="001B14F2"/>
    <w:rsid w:val="001B1575"/>
    <w:rsid w:val="001B1A8A"/>
    <w:rsid w:val="001B1B60"/>
    <w:rsid w:val="001B1BCF"/>
    <w:rsid w:val="001B1D0A"/>
    <w:rsid w:val="001B20E1"/>
    <w:rsid w:val="001B24C4"/>
    <w:rsid w:val="001B3605"/>
    <w:rsid w:val="001B3859"/>
    <w:rsid w:val="001B3CFE"/>
    <w:rsid w:val="001B3D40"/>
    <w:rsid w:val="001B404D"/>
    <w:rsid w:val="001B4092"/>
    <w:rsid w:val="001B42E9"/>
    <w:rsid w:val="001B45AF"/>
    <w:rsid w:val="001B4850"/>
    <w:rsid w:val="001B4D41"/>
    <w:rsid w:val="001B4E5E"/>
    <w:rsid w:val="001B4FDD"/>
    <w:rsid w:val="001B548A"/>
    <w:rsid w:val="001B57A4"/>
    <w:rsid w:val="001B57A5"/>
    <w:rsid w:val="001B59C1"/>
    <w:rsid w:val="001B5AC4"/>
    <w:rsid w:val="001B5CD3"/>
    <w:rsid w:val="001B5D6D"/>
    <w:rsid w:val="001B5EF4"/>
    <w:rsid w:val="001B65A8"/>
    <w:rsid w:val="001B65F3"/>
    <w:rsid w:val="001B6DE2"/>
    <w:rsid w:val="001B6F59"/>
    <w:rsid w:val="001B7013"/>
    <w:rsid w:val="001B7220"/>
    <w:rsid w:val="001B7596"/>
    <w:rsid w:val="001B788D"/>
    <w:rsid w:val="001C0052"/>
    <w:rsid w:val="001C00C6"/>
    <w:rsid w:val="001C044B"/>
    <w:rsid w:val="001C07A5"/>
    <w:rsid w:val="001C123B"/>
    <w:rsid w:val="001C1283"/>
    <w:rsid w:val="001C1415"/>
    <w:rsid w:val="001C1D8D"/>
    <w:rsid w:val="001C1DA8"/>
    <w:rsid w:val="001C2108"/>
    <w:rsid w:val="001C2347"/>
    <w:rsid w:val="001C23EA"/>
    <w:rsid w:val="001C25F4"/>
    <w:rsid w:val="001C2BAE"/>
    <w:rsid w:val="001C2EED"/>
    <w:rsid w:val="001C3113"/>
    <w:rsid w:val="001C3222"/>
    <w:rsid w:val="001C3264"/>
    <w:rsid w:val="001C3733"/>
    <w:rsid w:val="001C37A9"/>
    <w:rsid w:val="001C3D86"/>
    <w:rsid w:val="001C428D"/>
    <w:rsid w:val="001C45CC"/>
    <w:rsid w:val="001C4983"/>
    <w:rsid w:val="001C4AB3"/>
    <w:rsid w:val="001C4ABC"/>
    <w:rsid w:val="001C4CCD"/>
    <w:rsid w:val="001C4EBD"/>
    <w:rsid w:val="001C504A"/>
    <w:rsid w:val="001C5059"/>
    <w:rsid w:val="001C57F4"/>
    <w:rsid w:val="001C585F"/>
    <w:rsid w:val="001C5BBE"/>
    <w:rsid w:val="001C617C"/>
    <w:rsid w:val="001C61E0"/>
    <w:rsid w:val="001C64E3"/>
    <w:rsid w:val="001C66D4"/>
    <w:rsid w:val="001C6BF4"/>
    <w:rsid w:val="001C75A7"/>
    <w:rsid w:val="001C77EB"/>
    <w:rsid w:val="001C780C"/>
    <w:rsid w:val="001C7AB4"/>
    <w:rsid w:val="001C7ABA"/>
    <w:rsid w:val="001C7CD9"/>
    <w:rsid w:val="001C7E93"/>
    <w:rsid w:val="001C7F6E"/>
    <w:rsid w:val="001D01DF"/>
    <w:rsid w:val="001D0213"/>
    <w:rsid w:val="001D120D"/>
    <w:rsid w:val="001D1322"/>
    <w:rsid w:val="001D1F9A"/>
    <w:rsid w:val="001D2728"/>
    <w:rsid w:val="001D2879"/>
    <w:rsid w:val="001D29C8"/>
    <w:rsid w:val="001D2A50"/>
    <w:rsid w:val="001D2C2A"/>
    <w:rsid w:val="001D2F5A"/>
    <w:rsid w:val="001D3247"/>
    <w:rsid w:val="001D3313"/>
    <w:rsid w:val="001D36B1"/>
    <w:rsid w:val="001D3B83"/>
    <w:rsid w:val="001D3C4E"/>
    <w:rsid w:val="001D3CFB"/>
    <w:rsid w:val="001D3ED2"/>
    <w:rsid w:val="001D4056"/>
    <w:rsid w:val="001D4261"/>
    <w:rsid w:val="001D45B5"/>
    <w:rsid w:val="001D45D2"/>
    <w:rsid w:val="001D491D"/>
    <w:rsid w:val="001D4BDD"/>
    <w:rsid w:val="001D4ED9"/>
    <w:rsid w:val="001D542F"/>
    <w:rsid w:val="001D5890"/>
    <w:rsid w:val="001D59B9"/>
    <w:rsid w:val="001D5C45"/>
    <w:rsid w:val="001D5C6D"/>
    <w:rsid w:val="001D5D43"/>
    <w:rsid w:val="001D5E98"/>
    <w:rsid w:val="001D7473"/>
    <w:rsid w:val="001D7713"/>
    <w:rsid w:val="001D79E5"/>
    <w:rsid w:val="001D7A14"/>
    <w:rsid w:val="001D7AEF"/>
    <w:rsid w:val="001D7B9D"/>
    <w:rsid w:val="001D7D9A"/>
    <w:rsid w:val="001E0075"/>
    <w:rsid w:val="001E076C"/>
    <w:rsid w:val="001E0937"/>
    <w:rsid w:val="001E09A5"/>
    <w:rsid w:val="001E0B63"/>
    <w:rsid w:val="001E0E41"/>
    <w:rsid w:val="001E1007"/>
    <w:rsid w:val="001E1627"/>
    <w:rsid w:val="001E1A8F"/>
    <w:rsid w:val="001E1B11"/>
    <w:rsid w:val="001E2136"/>
    <w:rsid w:val="001E22C3"/>
    <w:rsid w:val="001E232B"/>
    <w:rsid w:val="001E29FD"/>
    <w:rsid w:val="001E2A52"/>
    <w:rsid w:val="001E3216"/>
    <w:rsid w:val="001E33B1"/>
    <w:rsid w:val="001E3410"/>
    <w:rsid w:val="001E3632"/>
    <w:rsid w:val="001E38E9"/>
    <w:rsid w:val="001E393C"/>
    <w:rsid w:val="001E3A85"/>
    <w:rsid w:val="001E3CBC"/>
    <w:rsid w:val="001E3F6A"/>
    <w:rsid w:val="001E4049"/>
    <w:rsid w:val="001E4616"/>
    <w:rsid w:val="001E4D06"/>
    <w:rsid w:val="001E5762"/>
    <w:rsid w:val="001E5955"/>
    <w:rsid w:val="001E5A27"/>
    <w:rsid w:val="001E5A8B"/>
    <w:rsid w:val="001E64E9"/>
    <w:rsid w:val="001E661C"/>
    <w:rsid w:val="001E6B84"/>
    <w:rsid w:val="001E6C5E"/>
    <w:rsid w:val="001E6FB1"/>
    <w:rsid w:val="001E7499"/>
    <w:rsid w:val="001E77CF"/>
    <w:rsid w:val="001E77D4"/>
    <w:rsid w:val="001E77D9"/>
    <w:rsid w:val="001F011A"/>
    <w:rsid w:val="001F0551"/>
    <w:rsid w:val="001F057F"/>
    <w:rsid w:val="001F0B4E"/>
    <w:rsid w:val="001F121B"/>
    <w:rsid w:val="001F1646"/>
    <w:rsid w:val="001F1740"/>
    <w:rsid w:val="001F282D"/>
    <w:rsid w:val="001F2D7E"/>
    <w:rsid w:val="001F2F43"/>
    <w:rsid w:val="001F2F99"/>
    <w:rsid w:val="001F305F"/>
    <w:rsid w:val="001F3308"/>
    <w:rsid w:val="001F35E1"/>
    <w:rsid w:val="001F39B3"/>
    <w:rsid w:val="001F3AF9"/>
    <w:rsid w:val="001F3D07"/>
    <w:rsid w:val="001F3D6F"/>
    <w:rsid w:val="001F4217"/>
    <w:rsid w:val="001F473C"/>
    <w:rsid w:val="001F48EA"/>
    <w:rsid w:val="001F494E"/>
    <w:rsid w:val="001F4BA9"/>
    <w:rsid w:val="001F4EEC"/>
    <w:rsid w:val="001F5221"/>
    <w:rsid w:val="001F5DDA"/>
    <w:rsid w:val="001F62A9"/>
    <w:rsid w:val="001F6487"/>
    <w:rsid w:val="001F6499"/>
    <w:rsid w:val="001F6718"/>
    <w:rsid w:val="001F6B41"/>
    <w:rsid w:val="001F6D58"/>
    <w:rsid w:val="001F6DA8"/>
    <w:rsid w:val="001F79EF"/>
    <w:rsid w:val="001F7BB2"/>
    <w:rsid w:val="001F7F9F"/>
    <w:rsid w:val="00200056"/>
    <w:rsid w:val="0020008E"/>
    <w:rsid w:val="002000DB"/>
    <w:rsid w:val="00200323"/>
    <w:rsid w:val="00200C24"/>
    <w:rsid w:val="0020101F"/>
    <w:rsid w:val="002011EB"/>
    <w:rsid w:val="00201247"/>
    <w:rsid w:val="002012D1"/>
    <w:rsid w:val="00201CF2"/>
    <w:rsid w:val="00201FB1"/>
    <w:rsid w:val="002024DB"/>
    <w:rsid w:val="00202632"/>
    <w:rsid w:val="00202891"/>
    <w:rsid w:val="00202D65"/>
    <w:rsid w:val="00203057"/>
    <w:rsid w:val="002031AF"/>
    <w:rsid w:val="002039DA"/>
    <w:rsid w:val="00203C9E"/>
    <w:rsid w:val="00203EE6"/>
    <w:rsid w:val="00203F98"/>
    <w:rsid w:val="00204C75"/>
    <w:rsid w:val="002050BC"/>
    <w:rsid w:val="0020566E"/>
    <w:rsid w:val="0020575C"/>
    <w:rsid w:val="00205761"/>
    <w:rsid w:val="00205ABD"/>
    <w:rsid w:val="00205CE6"/>
    <w:rsid w:val="00205E0E"/>
    <w:rsid w:val="0020638D"/>
    <w:rsid w:val="0020676E"/>
    <w:rsid w:val="00206E3E"/>
    <w:rsid w:val="00206E8F"/>
    <w:rsid w:val="00206F75"/>
    <w:rsid w:val="002070C4"/>
    <w:rsid w:val="00207364"/>
    <w:rsid w:val="0020749D"/>
    <w:rsid w:val="00207880"/>
    <w:rsid w:val="00207BD6"/>
    <w:rsid w:val="00207EF3"/>
    <w:rsid w:val="00207F6B"/>
    <w:rsid w:val="002102DF"/>
    <w:rsid w:val="0021057B"/>
    <w:rsid w:val="002106E0"/>
    <w:rsid w:val="002109CB"/>
    <w:rsid w:val="00210E55"/>
    <w:rsid w:val="002114A7"/>
    <w:rsid w:val="00211515"/>
    <w:rsid w:val="00211A91"/>
    <w:rsid w:val="00211CBB"/>
    <w:rsid w:val="00211E6F"/>
    <w:rsid w:val="002120BF"/>
    <w:rsid w:val="0021222E"/>
    <w:rsid w:val="00212D5E"/>
    <w:rsid w:val="00212E31"/>
    <w:rsid w:val="00213380"/>
    <w:rsid w:val="002133A8"/>
    <w:rsid w:val="002133DF"/>
    <w:rsid w:val="0021416C"/>
    <w:rsid w:val="00214894"/>
    <w:rsid w:val="00214916"/>
    <w:rsid w:val="00214C19"/>
    <w:rsid w:val="002152B5"/>
    <w:rsid w:val="0021536C"/>
    <w:rsid w:val="002153F8"/>
    <w:rsid w:val="0021555D"/>
    <w:rsid w:val="00215AFE"/>
    <w:rsid w:val="00215BCE"/>
    <w:rsid w:val="00216545"/>
    <w:rsid w:val="00216A09"/>
    <w:rsid w:val="00216B8F"/>
    <w:rsid w:val="00216C7C"/>
    <w:rsid w:val="00217376"/>
    <w:rsid w:val="0021781F"/>
    <w:rsid w:val="00217DF9"/>
    <w:rsid w:val="0021F446"/>
    <w:rsid w:val="00220364"/>
    <w:rsid w:val="00220824"/>
    <w:rsid w:val="002208F0"/>
    <w:rsid w:val="0022090B"/>
    <w:rsid w:val="00220C89"/>
    <w:rsid w:val="00220DEF"/>
    <w:rsid w:val="00221485"/>
    <w:rsid w:val="002216A4"/>
    <w:rsid w:val="002218E0"/>
    <w:rsid w:val="00221937"/>
    <w:rsid w:val="00221A9D"/>
    <w:rsid w:val="0022216C"/>
    <w:rsid w:val="002221CA"/>
    <w:rsid w:val="00222465"/>
    <w:rsid w:val="002228FE"/>
    <w:rsid w:val="00222DC8"/>
    <w:rsid w:val="00223093"/>
    <w:rsid w:val="00223CDC"/>
    <w:rsid w:val="00223D65"/>
    <w:rsid w:val="00223D8C"/>
    <w:rsid w:val="00223F15"/>
    <w:rsid w:val="00224769"/>
    <w:rsid w:val="0022492A"/>
    <w:rsid w:val="0022546A"/>
    <w:rsid w:val="002254C3"/>
    <w:rsid w:val="0022556F"/>
    <w:rsid w:val="0022566E"/>
    <w:rsid w:val="00225717"/>
    <w:rsid w:val="00225A45"/>
    <w:rsid w:val="00225CDB"/>
    <w:rsid w:val="00225F5D"/>
    <w:rsid w:val="002261E8"/>
    <w:rsid w:val="00226289"/>
    <w:rsid w:val="00226400"/>
    <w:rsid w:val="00226572"/>
    <w:rsid w:val="0022696B"/>
    <w:rsid w:val="00226D67"/>
    <w:rsid w:val="00226E7B"/>
    <w:rsid w:val="0022705E"/>
    <w:rsid w:val="00227061"/>
    <w:rsid w:val="002271A7"/>
    <w:rsid w:val="002272F7"/>
    <w:rsid w:val="00227900"/>
    <w:rsid w:val="002304BC"/>
    <w:rsid w:val="002309AC"/>
    <w:rsid w:val="00230BFD"/>
    <w:rsid w:val="00230C1F"/>
    <w:rsid w:val="00230D6A"/>
    <w:rsid w:val="0023129E"/>
    <w:rsid w:val="0023138B"/>
    <w:rsid w:val="002317A0"/>
    <w:rsid w:val="00231871"/>
    <w:rsid w:val="00231AF7"/>
    <w:rsid w:val="002323B5"/>
    <w:rsid w:val="00232C08"/>
    <w:rsid w:val="00232EE8"/>
    <w:rsid w:val="002337D5"/>
    <w:rsid w:val="00234086"/>
    <w:rsid w:val="0023439E"/>
    <w:rsid w:val="002343E0"/>
    <w:rsid w:val="002349C4"/>
    <w:rsid w:val="00234F6B"/>
    <w:rsid w:val="002350B8"/>
    <w:rsid w:val="002358D3"/>
    <w:rsid w:val="00235C8C"/>
    <w:rsid w:val="00235D23"/>
    <w:rsid w:val="00235DF4"/>
    <w:rsid w:val="002361B4"/>
    <w:rsid w:val="0023643E"/>
    <w:rsid w:val="00236727"/>
    <w:rsid w:val="002367B3"/>
    <w:rsid w:val="00236C5D"/>
    <w:rsid w:val="00236C6D"/>
    <w:rsid w:val="00236DE1"/>
    <w:rsid w:val="002370C3"/>
    <w:rsid w:val="002373D4"/>
    <w:rsid w:val="0023750C"/>
    <w:rsid w:val="002375B0"/>
    <w:rsid w:val="00237DC3"/>
    <w:rsid w:val="00237DE7"/>
    <w:rsid w:val="0024000C"/>
    <w:rsid w:val="002401D0"/>
    <w:rsid w:val="00240209"/>
    <w:rsid w:val="00240275"/>
    <w:rsid w:val="002403E9"/>
    <w:rsid w:val="00240654"/>
    <w:rsid w:val="002406D9"/>
    <w:rsid w:val="002408BE"/>
    <w:rsid w:val="00240908"/>
    <w:rsid w:val="00240E83"/>
    <w:rsid w:val="00240EB9"/>
    <w:rsid w:val="00240F1B"/>
    <w:rsid w:val="002410AB"/>
    <w:rsid w:val="00241140"/>
    <w:rsid w:val="0024154C"/>
    <w:rsid w:val="00241859"/>
    <w:rsid w:val="00241D1D"/>
    <w:rsid w:val="00241E42"/>
    <w:rsid w:val="00241EA7"/>
    <w:rsid w:val="00242505"/>
    <w:rsid w:val="00242529"/>
    <w:rsid w:val="00242845"/>
    <w:rsid w:val="00242967"/>
    <w:rsid w:val="00242EBC"/>
    <w:rsid w:val="00242F38"/>
    <w:rsid w:val="002432C3"/>
    <w:rsid w:val="00243791"/>
    <w:rsid w:val="002438A5"/>
    <w:rsid w:val="002439A2"/>
    <w:rsid w:val="00243B69"/>
    <w:rsid w:val="00244261"/>
    <w:rsid w:val="0024457E"/>
    <w:rsid w:val="0024458E"/>
    <w:rsid w:val="00244764"/>
    <w:rsid w:val="002448D7"/>
    <w:rsid w:val="00244AC1"/>
    <w:rsid w:val="00244CC0"/>
    <w:rsid w:val="002455EF"/>
    <w:rsid w:val="002456C6"/>
    <w:rsid w:val="00245943"/>
    <w:rsid w:val="002466D6"/>
    <w:rsid w:val="002467E9"/>
    <w:rsid w:val="002468AF"/>
    <w:rsid w:val="00246B69"/>
    <w:rsid w:val="00247143"/>
    <w:rsid w:val="00247387"/>
    <w:rsid w:val="002477E0"/>
    <w:rsid w:val="00250614"/>
    <w:rsid w:val="00250A7F"/>
    <w:rsid w:val="00250DC4"/>
    <w:rsid w:val="00250DE1"/>
    <w:rsid w:val="002510FF"/>
    <w:rsid w:val="00251657"/>
    <w:rsid w:val="0025166A"/>
    <w:rsid w:val="002516B8"/>
    <w:rsid w:val="002516C2"/>
    <w:rsid w:val="00251729"/>
    <w:rsid w:val="00251F02"/>
    <w:rsid w:val="00251FA1"/>
    <w:rsid w:val="002520D7"/>
    <w:rsid w:val="00252651"/>
    <w:rsid w:val="002526A4"/>
    <w:rsid w:val="00252746"/>
    <w:rsid w:val="002528CE"/>
    <w:rsid w:val="00252C9F"/>
    <w:rsid w:val="0025322E"/>
    <w:rsid w:val="002536A7"/>
    <w:rsid w:val="002537FE"/>
    <w:rsid w:val="00253F61"/>
    <w:rsid w:val="00254043"/>
    <w:rsid w:val="0025410E"/>
    <w:rsid w:val="002542C1"/>
    <w:rsid w:val="00254442"/>
    <w:rsid w:val="002547EF"/>
    <w:rsid w:val="0025581F"/>
    <w:rsid w:val="00255C91"/>
    <w:rsid w:val="00255EE9"/>
    <w:rsid w:val="002565FB"/>
    <w:rsid w:val="002568D0"/>
    <w:rsid w:val="00256C0A"/>
    <w:rsid w:val="00256CCC"/>
    <w:rsid w:val="00256D83"/>
    <w:rsid w:val="00256FD5"/>
    <w:rsid w:val="00257055"/>
    <w:rsid w:val="002570A4"/>
    <w:rsid w:val="0025715C"/>
    <w:rsid w:val="002573A2"/>
    <w:rsid w:val="00257439"/>
    <w:rsid w:val="0025745E"/>
    <w:rsid w:val="0025753C"/>
    <w:rsid w:val="002575BD"/>
    <w:rsid w:val="00257B2D"/>
    <w:rsid w:val="00257C25"/>
    <w:rsid w:val="00257F99"/>
    <w:rsid w:val="0025B48C"/>
    <w:rsid w:val="00260189"/>
    <w:rsid w:val="0026049A"/>
    <w:rsid w:val="0026067E"/>
    <w:rsid w:val="0026070E"/>
    <w:rsid w:val="00260841"/>
    <w:rsid w:val="00260C35"/>
    <w:rsid w:val="00260D39"/>
    <w:rsid w:val="002617F5"/>
    <w:rsid w:val="00261990"/>
    <w:rsid w:val="0026210A"/>
    <w:rsid w:val="002623F6"/>
    <w:rsid w:val="00262468"/>
    <w:rsid w:val="002624B8"/>
    <w:rsid w:val="002624D9"/>
    <w:rsid w:val="00262508"/>
    <w:rsid w:val="002625BF"/>
    <w:rsid w:val="002626DF"/>
    <w:rsid w:val="002629F0"/>
    <w:rsid w:val="00262DB1"/>
    <w:rsid w:val="00263280"/>
    <w:rsid w:val="00263543"/>
    <w:rsid w:val="002639B1"/>
    <w:rsid w:val="00263E25"/>
    <w:rsid w:val="002641FB"/>
    <w:rsid w:val="002644A1"/>
    <w:rsid w:val="00264575"/>
    <w:rsid w:val="002648D0"/>
    <w:rsid w:val="00264BB6"/>
    <w:rsid w:val="00264FD1"/>
    <w:rsid w:val="002650C5"/>
    <w:rsid w:val="0026552C"/>
    <w:rsid w:val="0026562A"/>
    <w:rsid w:val="002657C4"/>
    <w:rsid w:val="0026584D"/>
    <w:rsid w:val="00265996"/>
    <w:rsid w:val="00265AA2"/>
    <w:rsid w:val="00265CBF"/>
    <w:rsid w:val="00265E0E"/>
    <w:rsid w:val="00266578"/>
    <w:rsid w:val="0026659C"/>
    <w:rsid w:val="00266664"/>
    <w:rsid w:val="00266B17"/>
    <w:rsid w:val="00266DC9"/>
    <w:rsid w:val="00266E8D"/>
    <w:rsid w:val="002675A9"/>
    <w:rsid w:val="00267874"/>
    <w:rsid w:val="00267B1B"/>
    <w:rsid w:val="00270299"/>
    <w:rsid w:val="00270349"/>
    <w:rsid w:val="002705BC"/>
    <w:rsid w:val="00270998"/>
    <w:rsid w:val="00270F1E"/>
    <w:rsid w:val="0027196F"/>
    <w:rsid w:val="00271AD1"/>
    <w:rsid w:val="00271F23"/>
    <w:rsid w:val="00272023"/>
    <w:rsid w:val="002725D4"/>
    <w:rsid w:val="002727B2"/>
    <w:rsid w:val="00272B91"/>
    <w:rsid w:val="00272ED2"/>
    <w:rsid w:val="002730F0"/>
    <w:rsid w:val="002731E2"/>
    <w:rsid w:val="0027372E"/>
    <w:rsid w:val="00273E51"/>
    <w:rsid w:val="002741C2"/>
    <w:rsid w:val="002741C5"/>
    <w:rsid w:val="002747A3"/>
    <w:rsid w:val="00274ADB"/>
    <w:rsid w:val="00274D9C"/>
    <w:rsid w:val="00274DEA"/>
    <w:rsid w:val="002757B8"/>
    <w:rsid w:val="00275EC5"/>
    <w:rsid w:val="00275EF5"/>
    <w:rsid w:val="00276052"/>
    <w:rsid w:val="002761AA"/>
    <w:rsid w:val="0027660C"/>
    <w:rsid w:val="00276A88"/>
    <w:rsid w:val="00276B24"/>
    <w:rsid w:val="00276B4C"/>
    <w:rsid w:val="002770A3"/>
    <w:rsid w:val="0027752B"/>
    <w:rsid w:val="00277D1C"/>
    <w:rsid w:val="00280071"/>
    <w:rsid w:val="00280644"/>
    <w:rsid w:val="002820C8"/>
    <w:rsid w:val="002820CC"/>
    <w:rsid w:val="00282710"/>
    <w:rsid w:val="00282A98"/>
    <w:rsid w:val="00282AE2"/>
    <w:rsid w:val="00282BEF"/>
    <w:rsid w:val="00282CC5"/>
    <w:rsid w:val="00282CDB"/>
    <w:rsid w:val="00282DB1"/>
    <w:rsid w:val="00282ECB"/>
    <w:rsid w:val="00282FB5"/>
    <w:rsid w:val="002834FD"/>
    <w:rsid w:val="00283716"/>
    <w:rsid w:val="00283723"/>
    <w:rsid w:val="00283A78"/>
    <w:rsid w:val="00283BC5"/>
    <w:rsid w:val="00283C52"/>
    <w:rsid w:val="00283F43"/>
    <w:rsid w:val="00284193"/>
    <w:rsid w:val="002843FC"/>
    <w:rsid w:val="0028461F"/>
    <w:rsid w:val="002846CA"/>
    <w:rsid w:val="00284E16"/>
    <w:rsid w:val="00284E5D"/>
    <w:rsid w:val="002850A9"/>
    <w:rsid w:val="00285268"/>
    <w:rsid w:val="00285343"/>
    <w:rsid w:val="002857D1"/>
    <w:rsid w:val="00285A71"/>
    <w:rsid w:val="002864EF"/>
    <w:rsid w:val="002866CF"/>
    <w:rsid w:val="00286BBF"/>
    <w:rsid w:val="00287037"/>
    <w:rsid w:val="002873D1"/>
    <w:rsid w:val="002873F2"/>
    <w:rsid w:val="002877F4"/>
    <w:rsid w:val="00287833"/>
    <w:rsid w:val="00287AD0"/>
    <w:rsid w:val="00287EF3"/>
    <w:rsid w:val="00287F94"/>
    <w:rsid w:val="002903C6"/>
    <w:rsid w:val="00290421"/>
    <w:rsid w:val="00290583"/>
    <w:rsid w:val="002905BF"/>
    <w:rsid w:val="00290A27"/>
    <w:rsid w:val="00290FF6"/>
    <w:rsid w:val="002911F7"/>
    <w:rsid w:val="002912EC"/>
    <w:rsid w:val="002913B3"/>
    <w:rsid w:val="0029146A"/>
    <w:rsid w:val="002914F4"/>
    <w:rsid w:val="002916EB"/>
    <w:rsid w:val="00291794"/>
    <w:rsid w:val="002922B1"/>
    <w:rsid w:val="00292699"/>
    <w:rsid w:val="00292BE4"/>
    <w:rsid w:val="00292C0F"/>
    <w:rsid w:val="0029302D"/>
    <w:rsid w:val="002931D1"/>
    <w:rsid w:val="0029321D"/>
    <w:rsid w:val="0029352F"/>
    <w:rsid w:val="00293532"/>
    <w:rsid w:val="00293ADF"/>
    <w:rsid w:val="00294167"/>
    <w:rsid w:val="002948AC"/>
    <w:rsid w:val="00294D95"/>
    <w:rsid w:val="002953BA"/>
    <w:rsid w:val="00295755"/>
    <w:rsid w:val="0029577A"/>
    <w:rsid w:val="00295CD7"/>
    <w:rsid w:val="00295E0C"/>
    <w:rsid w:val="00295E20"/>
    <w:rsid w:val="002964B0"/>
    <w:rsid w:val="0029707E"/>
    <w:rsid w:val="00297203"/>
    <w:rsid w:val="00297250"/>
    <w:rsid w:val="002979C5"/>
    <w:rsid w:val="00297D87"/>
    <w:rsid w:val="00297DCC"/>
    <w:rsid w:val="002A00F5"/>
    <w:rsid w:val="002A011A"/>
    <w:rsid w:val="002A0145"/>
    <w:rsid w:val="002A016C"/>
    <w:rsid w:val="002A0628"/>
    <w:rsid w:val="002A0A96"/>
    <w:rsid w:val="002A0CC1"/>
    <w:rsid w:val="002A1067"/>
    <w:rsid w:val="002A125B"/>
    <w:rsid w:val="002A1BDB"/>
    <w:rsid w:val="002A1EF4"/>
    <w:rsid w:val="002A1FF3"/>
    <w:rsid w:val="002A21B8"/>
    <w:rsid w:val="002A2240"/>
    <w:rsid w:val="002A239A"/>
    <w:rsid w:val="002A245E"/>
    <w:rsid w:val="002A283B"/>
    <w:rsid w:val="002A289D"/>
    <w:rsid w:val="002A2A2E"/>
    <w:rsid w:val="002A2BE1"/>
    <w:rsid w:val="002A2C39"/>
    <w:rsid w:val="002A35B4"/>
    <w:rsid w:val="002A35D9"/>
    <w:rsid w:val="002A3703"/>
    <w:rsid w:val="002A378C"/>
    <w:rsid w:val="002A391A"/>
    <w:rsid w:val="002A3CAE"/>
    <w:rsid w:val="002A3F2D"/>
    <w:rsid w:val="002A41DF"/>
    <w:rsid w:val="002A438B"/>
    <w:rsid w:val="002A475F"/>
    <w:rsid w:val="002A4EDC"/>
    <w:rsid w:val="002A4F81"/>
    <w:rsid w:val="002A5003"/>
    <w:rsid w:val="002A57FA"/>
    <w:rsid w:val="002A5871"/>
    <w:rsid w:val="002A5AF7"/>
    <w:rsid w:val="002A5D53"/>
    <w:rsid w:val="002A5EA1"/>
    <w:rsid w:val="002A656D"/>
    <w:rsid w:val="002A6822"/>
    <w:rsid w:val="002A689F"/>
    <w:rsid w:val="002A6C02"/>
    <w:rsid w:val="002A6D43"/>
    <w:rsid w:val="002A70A4"/>
    <w:rsid w:val="002A70AD"/>
    <w:rsid w:val="002A7280"/>
    <w:rsid w:val="002A72BA"/>
    <w:rsid w:val="002A7514"/>
    <w:rsid w:val="002A79C4"/>
    <w:rsid w:val="002A7C3B"/>
    <w:rsid w:val="002A7EB3"/>
    <w:rsid w:val="002B067A"/>
    <w:rsid w:val="002B06DD"/>
    <w:rsid w:val="002B07FC"/>
    <w:rsid w:val="002B0A67"/>
    <w:rsid w:val="002B0E05"/>
    <w:rsid w:val="002B0EE2"/>
    <w:rsid w:val="002B106E"/>
    <w:rsid w:val="002B1381"/>
    <w:rsid w:val="002B1385"/>
    <w:rsid w:val="002B13C0"/>
    <w:rsid w:val="002B1A86"/>
    <w:rsid w:val="002B1A99"/>
    <w:rsid w:val="002B1BFC"/>
    <w:rsid w:val="002B1C68"/>
    <w:rsid w:val="002B1EBF"/>
    <w:rsid w:val="002B1F16"/>
    <w:rsid w:val="002B238D"/>
    <w:rsid w:val="002B2AC2"/>
    <w:rsid w:val="002B2B78"/>
    <w:rsid w:val="002B2E24"/>
    <w:rsid w:val="002B30E8"/>
    <w:rsid w:val="002B3102"/>
    <w:rsid w:val="002B32D8"/>
    <w:rsid w:val="002B3816"/>
    <w:rsid w:val="002B3ABA"/>
    <w:rsid w:val="002B3C4F"/>
    <w:rsid w:val="002B3DE2"/>
    <w:rsid w:val="002B4123"/>
    <w:rsid w:val="002B436E"/>
    <w:rsid w:val="002B52A2"/>
    <w:rsid w:val="002B52D7"/>
    <w:rsid w:val="002B5782"/>
    <w:rsid w:val="002B585C"/>
    <w:rsid w:val="002B5FB2"/>
    <w:rsid w:val="002B60DA"/>
    <w:rsid w:val="002B65C9"/>
    <w:rsid w:val="002B67B5"/>
    <w:rsid w:val="002B696B"/>
    <w:rsid w:val="002B6B18"/>
    <w:rsid w:val="002B6CBC"/>
    <w:rsid w:val="002B6D38"/>
    <w:rsid w:val="002B70AC"/>
    <w:rsid w:val="002B731C"/>
    <w:rsid w:val="002B7329"/>
    <w:rsid w:val="002B7410"/>
    <w:rsid w:val="002B7672"/>
    <w:rsid w:val="002B7695"/>
    <w:rsid w:val="002B7EFE"/>
    <w:rsid w:val="002C00C4"/>
    <w:rsid w:val="002C042B"/>
    <w:rsid w:val="002C0482"/>
    <w:rsid w:val="002C0A11"/>
    <w:rsid w:val="002C0B69"/>
    <w:rsid w:val="002C100A"/>
    <w:rsid w:val="002C1231"/>
    <w:rsid w:val="002C1268"/>
    <w:rsid w:val="002C1284"/>
    <w:rsid w:val="002C13EF"/>
    <w:rsid w:val="002C16C3"/>
    <w:rsid w:val="002C1B3D"/>
    <w:rsid w:val="002C1B82"/>
    <w:rsid w:val="002C1BA1"/>
    <w:rsid w:val="002C1E58"/>
    <w:rsid w:val="002C22A7"/>
    <w:rsid w:val="002C22C2"/>
    <w:rsid w:val="002C23F4"/>
    <w:rsid w:val="002C2427"/>
    <w:rsid w:val="002C2786"/>
    <w:rsid w:val="002C2A93"/>
    <w:rsid w:val="002C2ADF"/>
    <w:rsid w:val="002C2D3E"/>
    <w:rsid w:val="002C3024"/>
    <w:rsid w:val="002C315B"/>
    <w:rsid w:val="002C31C6"/>
    <w:rsid w:val="002C3349"/>
    <w:rsid w:val="002C33FD"/>
    <w:rsid w:val="002C358C"/>
    <w:rsid w:val="002C3682"/>
    <w:rsid w:val="002C370A"/>
    <w:rsid w:val="002C39C7"/>
    <w:rsid w:val="002C4043"/>
    <w:rsid w:val="002C414A"/>
    <w:rsid w:val="002C4ABC"/>
    <w:rsid w:val="002C4D9F"/>
    <w:rsid w:val="002C4EE1"/>
    <w:rsid w:val="002C5015"/>
    <w:rsid w:val="002C56A0"/>
    <w:rsid w:val="002C5FA5"/>
    <w:rsid w:val="002C6170"/>
    <w:rsid w:val="002C6336"/>
    <w:rsid w:val="002C6452"/>
    <w:rsid w:val="002C6BBE"/>
    <w:rsid w:val="002C7485"/>
    <w:rsid w:val="002C74BE"/>
    <w:rsid w:val="002C74DE"/>
    <w:rsid w:val="002C767A"/>
    <w:rsid w:val="002C783E"/>
    <w:rsid w:val="002C7BA8"/>
    <w:rsid w:val="002C7BFD"/>
    <w:rsid w:val="002D0907"/>
    <w:rsid w:val="002D0AD3"/>
    <w:rsid w:val="002D0B50"/>
    <w:rsid w:val="002D0B99"/>
    <w:rsid w:val="002D0B9A"/>
    <w:rsid w:val="002D0BD9"/>
    <w:rsid w:val="002D0CFE"/>
    <w:rsid w:val="002D1745"/>
    <w:rsid w:val="002D17E8"/>
    <w:rsid w:val="002D1804"/>
    <w:rsid w:val="002D1CCF"/>
    <w:rsid w:val="002D223B"/>
    <w:rsid w:val="002D28E4"/>
    <w:rsid w:val="002D28F0"/>
    <w:rsid w:val="002D2917"/>
    <w:rsid w:val="002D2D93"/>
    <w:rsid w:val="002D318A"/>
    <w:rsid w:val="002D33BC"/>
    <w:rsid w:val="002D35A3"/>
    <w:rsid w:val="002D3B55"/>
    <w:rsid w:val="002D3EFC"/>
    <w:rsid w:val="002D47C8"/>
    <w:rsid w:val="002D4816"/>
    <w:rsid w:val="002D4917"/>
    <w:rsid w:val="002D4B64"/>
    <w:rsid w:val="002D52EF"/>
    <w:rsid w:val="002D5380"/>
    <w:rsid w:val="002D5575"/>
    <w:rsid w:val="002D5585"/>
    <w:rsid w:val="002D55C0"/>
    <w:rsid w:val="002D5C7C"/>
    <w:rsid w:val="002D5CCB"/>
    <w:rsid w:val="002D5DED"/>
    <w:rsid w:val="002D6005"/>
    <w:rsid w:val="002D6C0B"/>
    <w:rsid w:val="002D6C1C"/>
    <w:rsid w:val="002D730A"/>
    <w:rsid w:val="002D74DD"/>
    <w:rsid w:val="002D7514"/>
    <w:rsid w:val="002D764E"/>
    <w:rsid w:val="002D7B4C"/>
    <w:rsid w:val="002D7DE5"/>
    <w:rsid w:val="002D7F35"/>
    <w:rsid w:val="002DE30F"/>
    <w:rsid w:val="002E015A"/>
    <w:rsid w:val="002E02C9"/>
    <w:rsid w:val="002E0368"/>
    <w:rsid w:val="002E0449"/>
    <w:rsid w:val="002E061E"/>
    <w:rsid w:val="002E0AF7"/>
    <w:rsid w:val="002E0BC1"/>
    <w:rsid w:val="002E0EDA"/>
    <w:rsid w:val="002E0FB4"/>
    <w:rsid w:val="002E0FE3"/>
    <w:rsid w:val="002E1196"/>
    <w:rsid w:val="002E1549"/>
    <w:rsid w:val="002E1706"/>
    <w:rsid w:val="002E18B3"/>
    <w:rsid w:val="002E1EBE"/>
    <w:rsid w:val="002E1EDE"/>
    <w:rsid w:val="002E1F3B"/>
    <w:rsid w:val="002E1FD6"/>
    <w:rsid w:val="002E20C8"/>
    <w:rsid w:val="002E20E3"/>
    <w:rsid w:val="002E271C"/>
    <w:rsid w:val="002E28BA"/>
    <w:rsid w:val="002E30D8"/>
    <w:rsid w:val="002E3BC3"/>
    <w:rsid w:val="002E42FE"/>
    <w:rsid w:val="002E4C9F"/>
    <w:rsid w:val="002E51FC"/>
    <w:rsid w:val="002E5409"/>
    <w:rsid w:val="002E5442"/>
    <w:rsid w:val="002E57C0"/>
    <w:rsid w:val="002E5AB4"/>
    <w:rsid w:val="002E5ABE"/>
    <w:rsid w:val="002E5C52"/>
    <w:rsid w:val="002E5CDB"/>
    <w:rsid w:val="002E6592"/>
    <w:rsid w:val="002E6A99"/>
    <w:rsid w:val="002E6F73"/>
    <w:rsid w:val="002E6FD5"/>
    <w:rsid w:val="002E6FF0"/>
    <w:rsid w:val="002E6FF3"/>
    <w:rsid w:val="002E71AE"/>
    <w:rsid w:val="002E79B0"/>
    <w:rsid w:val="002E7F27"/>
    <w:rsid w:val="002E7F90"/>
    <w:rsid w:val="002F042A"/>
    <w:rsid w:val="002F0713"/>
    <w:rsid w:val="002F0BFF"/>
    <w:rsid w:val="002F0D5C"/>
    <w:rsid w:val="002F11A0"/>
    <w:rsid w:val="002F19B8"/>
    <w:rsid w:val="002F19BC"/>
    <w:rsid w:val="002F19F8"/>
    <w:rsid w:val="002F1D5C"/>
    <w:rsid w:val="002F1F82"/>
    <w:rsid w:val="002F211D"/>
    <w:rsid w:val="002F2285"/>
    <w:rsid w:val="002F27B5"/>
    <w:rsid w:val="002F28B7"/>
    <w:rsid w:val="002F307B"/>
    <w:rsid w:val="002F30CB"/>
    <w:rsid w:val="002F30FA"/>
    <w:rsid w:val="002F357F"/>
    <w:rsid w:val="002F3675"/>
    <w:rsid w:val="002F3D39"/>
    <w:rsid w:val="002F3DA1"/>
    <w:rsid w:val="002F3E07"/>
    <w:rsid w:val="002F4112"/>
    <w:rsid w:val="002F4458"/>
    <w:rsid w:val="002F47C6"/>
    <w:rsid w:val="002F47EA"/>
    <w:rsid w:val="002F5622"/>
    <w:rsid w:val="002F57A3"/>
    <w:rsid w:val="002F5949"/>
    <w:rsid w:val="002F5B99"/>
    <w:rsid w:val="002F5C2C"/>
    <w:rsid w:val="002F5E63"/>
    <w:rsid w:val="002F606A"/>
    <w:rsid w:val="002F6620"/>
    <w:rsid w:val="002F72CB"/>
    <w:rsid w:val="002F7930"/>
    <w:rsid w:val="002F7C96"/>
    <w:rsid w:val="002F7EF0"/>
    <w:rsid w:val="00300093"/>
    <w:rsid w:val="003002C2"/>
    <w:rsid w:val="003006C1"/>
    <w:rsid w:val="0030205B"/>
    <w:rsid w:val="0030251E"/>
    <w:rsid w:val="003028CF"/>
    <w:rsid w:val="00302B5B"/>
    <w:rsid w:val="00302E5E"/>
    <w:rsid w:val="00302F64"/>
    <w:rsid w:val="00303361"/>
    <w:rsid w:val="00303536"/>
    <w:rsid w:val="0030355A"/>
    <w:rsid w:val="00303E88"/>
    <w:rsid w:val="0030409C"/>
    <w:rsid w:val="0030445D"/>
    <w:rsid w:val="00304673"/>
    <w:rsid w:val="00304870"/>
    <w:rsid w:val="003049C1"/>
    <w:rsid w:val="003049E0"/>
    <w:rsid w:val="00304F5B"/>
    <w:rsid w:val="00305C32"/>
    <w:rsid w:val="00305CC0"/>
    <w:rsid w:val="00305FB3"/>
    <w:rsid w:val="00306022"/>
    <w:rsid w:val="00306323"/>
    <w:rsid w:val="003063F8"/>
    <w:rsid w:val="003064E2"/>
    <w:rsid w:val="00306792"/>
    <w:rsid w:val="00306C26"/>
    <w:rsid w:val="00306CCB"/>
    <w:rsid w:val="00306D32"/>
    <w:rsid w:val="00306F49"/>
    <w:rsid w:val="00306FE7"/>
    <w:rsid w:val="0030725C"/>
    <w:rsid w:val="00307490"/>
    <w:rsid w:val="00307533"/>
    <w:rsid w:val="0030778D"/>
    <w:rsid w:val="00307ABD"/>
    <w:rsid w:val="00307FDB"/>
    <w:rsid w:val="00310071"/>
    <w:rsid w:val="0031021F"/>
    <w:rsid w:val="00310994"/>
    <w:rsid w:val="00310DF2"/>
    <w:rsid w:val="00311817"/>
    <w:rsid w:val="00311B9E"/>
    <w:rsid w:val="00311E49"/>
    <w:rsid w:val="003126E6"/>
    <w:rsid w:val="00312988"/>
    <w:rsid w:val="00312C98"/>
    <w:rsid w:val="00312F51"/>
    <w:rsid w:val="00313320"/>
    <w:rsid w:val="00313440"/>
    <w:rsid w:val="003136B0"/>
    <w:rsid w:val="003137E4"/>
    <w:rsid w:val="00313BC1"/>
    <w:rsid w:val="00313C9A"/>
    <w:rsid w:val="003140D9"/>
    <w:rsid w:val="00314647"/>
    <w:rsid w:val="00314658"/>
    <w:rsid w:val="00314B2F"/>
    <w:rsid w:val="003151E0"/>
    <w:rsid w:val="0031528F"/>
    <w:rsid w:val="00315359"/>
    <w:rsid w:val="00315522"/>
    <w:rsid w:val="003157B9"/>
    <w:rsid w:val="00315D6C"/>
    <w:rsid w:val="00315DD0"/>
    <w:rsid w:val="00316240"/>
    <w:rsid w:val="0031659A"/>
    <w:rsid w:val="00316708"/>
    <w:rsid w:val="003168DF"/>
    <w:rsid w:val="00317521"/>
    <w:rsid w:val="00320160"/>
    <w:rsid w:val="00320B45"/>
    <w:rsid w:val="00320D5E"/>
    <w:rsid w:val="00320E02"/>
    <w:rsid w:val="00321052"/>
    <w:rsid w:val="003217CE"/>
    <w:rsid w:val="0032193E"/>
    <w:rsid w:val="0032196C"/>
    <w:rsid w:val="00321A34"/>
    <w:rsid w:val="00321D0D"/>
    <w:rsid w:val="00321F2E"/>
    <w:rsid w:val="003220A7"/>
    <w:rsid w:val="00322880"/>
    <w:rsid w:val="00322AD4"/>
    <w:rsid w:val="00322CE5"/>
    <w:rsid w:val="00322D0B"/>
    <w:rsid w:val="003231EC"/>
    <w:rsid w:val="0032340F"/>
    <w:rsid w:val="003234C1"/>
    <w:rsid w:val="00323F61"/>
    <w:rsid w:val="00324078"/>
    <w:rsid w:val="0032407C"/>
    <w:rsid w:val="003240DE"/>
    <w:rsid w:val="003241F0"/>
    <w:rsid w:val="00324308"/>
    <w:rsid w:val="00324461"/>
    <w:rsid w:val="00324B08"/>
    <w:rsid w:val="00325138"/>
    <w:rsid w:val="003252E8"/>
    <w:rsid w:val="003254EA"/>
    <w:rsid w:val="0032591B"/>
    <w:rsid w:val="00325C40"/>
    <w:rsid w:val="00325CAC"/>
    <w:rsid w:val="00325FC5"/>
    <w:rsid w:val="003265D6"/>
    <w:rsid w:val="00326C3D"/>
    <w:rsid w:val="00326E2D"/>
    <w:rsid w:val="0032708A"/>
    <w:rsid w:val="003270B7"/>
    <w:rsid w:val="00327406"/>
    <w:rsid w:val="00327BDF"/>
    <w:rsid w:val="00327EB8"/>
    <w:rsid w:val="0033004F"/>
    <w:rsid w:val="0033008E"/>
    <w:rsid w:val="003309C8"/>
    <w:rsid w:val="00330A50"/>
    <w:rsid w:val="003314B4"/>
    <w:rsid w:val="00331792"/>
    <w:rsid w:val="00331806"/>
    <w:rsid w:val="00331D08"/>
    <w:rsid w:val="00332772"/>
    <w:rsid w:val="00332B8E"/>
    <w:rsid w:val="00332FDC"/>
    <w:rsid w:val="003332DB"/>
    <w:rsid w:val="003334FE"/>
    <w:rsid w:val="003339B9"/>
    <w:rsid w:val="00333AF0"/>
    <w:rsid w:val="0033419D"/>
    <w:rsid w:val="00334244"/>
    <w:rsid w:val="00334655"/>
    <w:rsid w:val="003348CD"/>
    <w:rsid w:val="00334C60"/>
    <w:rsid w:val="0033502C"/>
    <w:rsid w:val="003350E1"/>
    <w:rsid w:val="00335140"/>
    <w:rsid w:val="003353AF"/>
    <w:rsid w:val="00335415"/>
    <w:rsid w:val="00335840"/>
    <w:rsid w:val="00335852"/>
    <w:rsid w:val="00335896"/>
    <w:rsid w:val="0033612E"/>
    <w:rsid w:val="003363E8"/>
    <w:rsid w:val="00336538"/>
    <w:rsid w:val="003365EA"/>
    <w:rsid w:val="00336717"/>
    <w:rsid w:val="00336B84"/>
    <w:rsid w:val="0033737E"/>
    <w:rsid w:val="00337648"/>
    <w:rsid w:val="00337744"/>
    <w:rsid w:val="00337891"/>
    <w:rsid w:val="00337BA5"/>
    <w:rsid w:val="00337C39"/>
    <w:rsid w:val="00337C41"/>
    <w:rsid w:val="00337FD0"/>
    <w:rsid w:val="00340043"/>
    <w:rsid w:val="003402B9"/>
    <w:rsid w:val="0034041A"/>
    <w:rsid w:val="00340465"/>
    <w:rsid w:val="00340506"/>
    <w:rsid w:val="003406A1"/>
    <w:rsid w:val="00340D1A"/>
    <w:rsid w:val="003412DF"/>
    <w:rsid w:val="003415DE"/>
    <w:rsid w:val="003417F2"/>
    <w:rsid w:val="00342C33"/>
    <w:rsid w:val="00342D95"/>
    <w:rsid w:val="00342F28"/>
    <w:rsid w:val="003436F0"/>
    <w:rsid w:val="00343856"/>
    <w:rsid w:val="00343EBF"/>
    <w:rsid w:val="00343FC8"/>
    <w:rsid w:val="003442F1"/>
    <w:rsid w:val="0034434A"/>
    <w:rsid w:val="00344521"/>
    <w:rsid w:val="003447A4"/>
    <w:rsid w:val="0034488E"/>
    <w:rsid w:val="00344B2B"/>
    <w:rsid w:val="00344F06"/>
    <w:rsid w:val="003451A3"/>
    <w:rsid w:val="00345527"/>
    <w:rsid w:val="00345666"/>
    <w:rsid w:val="003461A1"/>
    <w:rsid w:val="00346853"/>
    <w:rsid w:val="00346F78"/>
    <w:rsid w:val="00347225"/>
    <w:rsid w:val="00347795"/>
    <w:rsid w:val="00347B8A"/>
    <w:rsid w:val="00347D03"/>
    <w:rsid w:val="003501FF"/>
    <w:rsid w:val="00350552"/>
    <w:rsid w:val="00350822"/>
    <w:rsid w:val="00351040"/>
    <w:rsid w:val="003511E3"/>
    <w:rsid w:val="0035166A"/>
    <w:rsid w:val="003516CF"/>
    <w:rsid w:val="00351711"/>
    <w:rsid w:val="003519FD"/>
    <w:rsid w:val="00351DAF"/>
    <w:rsid w:val="00351DCD"/>
    <w:rsid w:val="00352554"/>
    <w:rsid w:val="0035272F"/>
    <w:rsid w:val="00352A62"/>
    <w:rsid w:val="00352EC4"/>
    <w:rsid w:val="00352F58"/>
    <w:rsid w:val="00353344"/>
    <w:rsid w:val="00353936"/>
    <w:rsid w:val="003539BF"/>
    <w:rsid w:val="00353E0B"/>
    <w:rsid w:val="00353E34"/>
    <w:rsid w:val="00353F9D"/>
    <w:rsid w:val="003540A7"/>
    <w:rsid w:val="0035412D"/>
    <w:rsid w:val="00354211"/>
    <w:rsid w:val="003542C2"/>
    <w:rsid w:val="00354420"/>
    <w:rsid w:val="00354503"/>
    <w:rsid w:val="003548F1"/>
    <w:rsid w:val="00354A7B"/>
    <w:rsid w:val="00355964"/>
    <w:rsid w:val="00355DD6"/>
    <w:rsid w:val="00355F3B"/>
    <w:rsid w:val="0035674C"/>
    <w:rsid w:val="003567E9"/>
    <w:rsid w:val="003569B0"/>
    <w:rsid w:val="00356E74"/>
    <w:rsid w:val="00357150"/>
    <w:rsid w:val="003574D2"/>
    <w:rsid w:val="0035753E"/>
    <w:rsid w:val="00357658"/>
    <w:rsid w:val="003576D1"/>
    <w:rsid w:val="003578B3"/>
    <w:rsid w:val="003582F1"/>
    <w:rsid w:val="00360079"/>
    <w:rsid w:val="003604AF"/>
    <w:rsid w:val="003606A4"/>
    <w:rsid w:val="003609FB"/>
    <w:rsid w:val="00360A6A"/>
    <w:rsid w:val="00360D67"/>
    <w:rsid w:val="0036110D"/>
    <w:rsid w:val="00361111"/>
    <w:rsid w:val="00361426"/>
    <w:rsid w:val="0036145F"/>
    <w:rsid w:val="003615CA"/>
    <w:rsid w:val="003617EF"/>
    <w:rsid w:val="00361A74"/>
    <w:rsid w:val="00361D0B"/>
    <w:rsid w:val="00361EC2"/>
    <w:rsid w:val="00362118"/>
    <w:rsid w:val="0036239A"/>
    <w:rsid w:val="0036259D"/>
    <w:rsid w:val="0036289B"/>
    <w:rsid w:val="00362C6D"/>
    <w:rsid w:val="00362CD5"/>
    <w:rsid w:val="00363212"/>
    <w:rsid w:val="0036321F"/>
    <w:rsid w:val="0036347B"/>
    <w:rsid w:val="003638CB"/>
    <w:rsid w:val="00363B95"/>
    <w:rsid w:val="00363EBE"/>
    <w:rsid w:val="00364606"/>
    <w:rsid w:val="00364AEC"/>
    <w:rsid w:val="00364B24"/>
    <w:rsid w:val="00364B45"/>
    <w:rsid w:val="00364EB2"/>
    <w:rsid w:val="00364F4C"/>
    <w:rsid w:val="0036506C"/>
    <w:rsid w:val="003658F3"/>
    <w:rsid w:val="00365A4C"/>
    <w:rsid w:val="00365C8F"/>
    <w:rsid w:val="00365D6E"/>
    <w:rsid w:val="00365DFF"/>
    <w:rsid w:val="00365E8C"/>
    <w:rsid w:val="00366008"/>
    <w:rsid w:val="003660F9"/>
    <w:rsid w:val="0036616D"/>
    <w:rsid w:val="003664F1"/>
    <w:rsid w:val="0036653F"/>
    <w:rsid w:val="00366742"/>
    <w:rsid w:val="00366749"/>
    <w:rsid w:val="00366784"/>
    <w:rsid w:val="00366BCA"/>
    <w:rsid w:val="00366BD6"/>
    <w:rsid w:val="00366BE8"/>
    <w:rsid w:val="00366C46"/>
    <w:rsid w:val="00367351"/>
    <w:rsid w:val="0036735C"/>
    <w:rsid w:val="00367725"/>
    <w:rsid w:val="00367D2A"/>
    <w:rsid w:val="0037077D"/>
    <w:rsid w:val="00370A01"/>
    <w:rsid w:val="003711F2"/>
    <w:rsid w:val="003711F5"/>
    <w:rsid w:val="0037126A"/>
    <w:rsid w:val="00371385"/>
    <w:rsid w:val="00371B71"/>
    <w:rsid w:val="0037241C"/>
    <w:rsid w:val="00372E2E"/>
    <w:rsid w:val="00372E5E"/>
    <w:rsid w:val="00372E80"/>
    <w:rsid w:val="00373045"/>
    <w:rsid w:val="00373866"/>
    <w:rsid w:val="00373881"/>
    <w:rsid w:val="00373E31"/>
    <w:rsid w:val="00373FC4"/>
    <w:rsid w:val="00374117"/>
    <w:rsid w:val="0037471D"/>
    <w:rsid w:val="00374E24"/>
    <w:rsid w:val="0037503E"/>
    <w:rsid w:val="003755E1"/>
    <w:rsid w:val="00375690"/>
    <w:rsid w:val="00375B58"/>
    <w:rsid w:val="00375C6F"/>
    <w:rsid w:val="00375FBE"/>
    <w:rsid w:val="00376123"/>
    <w:rsid w:val="003763C3"/>
    <w:rsid w:val="003765C8"/>
    <w:rsid w:val="0037668E"/>
    <w:rsid w:val="003766F6"/>
    <w:rsid w:val="00376DDB"/>
    <w:rsid w:val="00376FDE"/>
    <w:rsid w:val="003770D6"/>
    <w:rsid w:val="003774CB"/>
    <w:rsid w:val="00377B30"/>
    <w:rsid w:val="00380139"/>
    <w:rsid w:val="00380250"/>
    <w:rsid w:val="00380401"/>
    <w:rsid w:val="003805F3"/>
    <w:rsid w:val="00380687"/>
    <w:rsid w:val="0038083E"/>
    <w:rsid w:val="00380CF9"/>
    <w:rsid w:val="00380DCD"/>
    <w:rsid w:val="00380E04"/>
    <w:rsid w:val="00380F1C"/>
    <w:rsid w:val="00381178"/>
    <w:rsid w:val="00381255"/>
    <w:rsid w:val="00381584"/>
    <w:rsid w:val="003817E3"/>
    <w:rsid w:val="003818A8"/>
    <w:rsid w:val="003818D6"/>
    <w:rsid w:val="00382129"/>
    <w:rsid w:val="0038255C"/>
    <w:rsid w:val="003825BF"/>
    <w:rsid w:val="0038280F"/>
    <w:rsid w:val="0038299E"/>
    <w:rsid w:val="0038301C"/>
    <w:rsid w:val="0038303B"/>
    <w:rsid w:val="00383380"/>
    <w:rsid w:val="0038361C"/>
    <w:rsid w:val="0038367E"/>
    <w:rsid w:val="00383D6C"/>
    <w:rsid w:val="00383DB4"/>
    <w:rsid w:val="00383F74"/>
    <w:rsid w:val="0038406F"/>
    <w:rsid w:val="00384397"/>
    <w:rsid w:val="00384713"/>
    <w:rsid w:val="00384741"/>
    <w:rsid w:val="003847D5"/>
    <w:rsid w:val="00384D02"/>
    <w:rsid w:val="00384D50"/>
    <w:rsid w:val="00385099"/>
    <w:rsid w:val="00385229"/>
    <w:rsid w:val="00385312"/>
    <w:rsid w:val="00385675"/>
    <w:rsid w:val="00385682"/>
    <w:rsid w:val="00385904"/>
    <w:rsid w:val="00385975"/>
    <w:rsid w:val="00385DC7"/>
    <w:rsid w:val="0038628F"/>
    <w:rsid w:val="0038652B"/>
    <w:rsid w:val="00386824"/>
    <w:rsid w:val="003875C6"/>
    <w:rsid w:val="00387C5F"/>
    <w:rsid w:val="00390735"/>
    <w:rsid w:val="003907BE"/>
    <w:rsid w:val="0039098E"/>
    <w:rsid w:val="00390C2C"/>
    <w:rsid w:val="00390EB1"/>
    <w:rsid w:val="003911AF"/>
    <w:rsid w:val="003916BA"/>
    <w:rsid w:val="00391CCB"/>
    <w:rsid w:val="00391E49"/>
    <w:rsid w:val="00391EE0"/>
    <w:rsid w:val="0039236A"/>
    <w:rsid w:val="00392C42"/>
    <w:rsid w:val="00392EF7"/>
    <w:rsid w:val="00393474"/>
    <w:rsid w:val="00393851"/>
    <w:rsid w:val="0039448A"/>
    <w:rsid w:val="00394802"/>
    <w:rsid w:val="003948C5"/>
    <w:rsid w:val="00394920"/>
    <w:rsid w:val="00394A30"/>
    <w:rsid w:val="00395809"/>
    <w:rsid w:val="0039580C"/>
    <w:rsid w:val="0039614F"/>
    <w:rsid w:val="003968E6"/>
    <w:rsid w:val="00396ABB"/>
    <w:rsid w:val="00396B3A"/>
    <w:rsid w:val="00396B5A"/>
    <w:rsid w:val="00396BEC"/>
    <w:rsid w:val="00396C78"/>
    <w:rsid w:val="00396E0D"/>
    <w:rsid w:val="0039736A"/>
    <w:rsid w:val="003973C7"/>
    <w:rsid w:val="00397440"/>
    <w:rsid w:val="00397603"/>
    <w:rsid w:val="00397859"/>
    <w:rsid w:val="003978CD"/>
    <w:rsid w:val="00397B49"/>
    <w:rsid w:val="00397B72"/>
    <w:rsid w:val="00397BC7"/>
    <w:rsid w:val="00397FA1"/>
    <w:rsid w:val="003A02A4"/>
    <w:rsid w:val="003A05B9"/>
    <w:rsid w:val="003A09E7"/>
    <w:rsid w:val="003A11F8"/>
    <w:rsid w:val="003A1C53"/>
    <w:rsid w:val="003A1F50"/>
    <w:rsid w:val="003A203D"/>
    <w:rsid w:val="003A232B"/>
    <w:rsid w:val="003A235F"/>
    <w:rsid w:val="003A2400"/>
    <w:rsid w:val="003A2446"/>
    <w:rsid w:val="003A25F2"/>
    <w:rsid w:val="003A26E8"/>
    <w:rsid w:val="003A29B4"/>
    <w:rsid w:val="003A2AC0"/>
    <w:rsid w:val="003A2BC0"/>
    <w:rsid w:val="003A2BC6"/>
    <w:rsid w:val="003A2F31"/>
    <w:rsid w:val="003A2F9D"/>
    <w:rsid w:val="003A2FCD"/>
    <w:rsid w:val="003A358D"/>
    <w:rsid w:val="003A374D"/>
    <w:rsid w:val="003A3C3C"/>
    <w:rsid w:val="003A3FAB"/>
    <w:rsid w:val="003A40C5"/>
    <w:rsid w:val="003A413B"/>
    <w:rsid w:val="003A422C"/>
    <w:rsid w:val="003A4487"/>
    <w:rsid w:val="003A4702"/>
    <w:rsid w:val="003A496A"/>
    <w:rsid w:val="003A55D8"/>
    <w:rsid w:val="003A563E"/>
    <w:rsid w:val="003A5B0C"/>
    <w:rsid w:val="003A5C49"/>
    <w:rsid w:val="003A5D1A"/>
    <w:rsid w:val="003A5DEE"/>
    <w:rsid w:val="003A62EA"/>
    <w:rsid w:val="003A6532"/>
    <w:rsid w:val="003A6FA3"/>
    <w:rsid w:val="003A7255"/>
    <w:rsid w:val="003A7846"/>
    <w:rsid w:val="003A7AE2"/>
    <w:rsid w:val="003A7B70"/>
    <w:rsid w:val="003A7D37"/>
    <w:rsid w:val="003A7D6D"/>
    <w:rsid w:val="003A7F85"/>
    <w:rsid w:val="003B03CE"/>
    <w:rsid w:val="003B0473"/>
    <w:rsid w:val="003B04DD"/>
    <w:rsid w:val="003B0B44"/>
    <w:rsid w:val="003B0D88"/>
    <w:rsid w:val="003B11D5"/>
    <w:rsid w:val="003B1416"/>
    <w:rsid w:val="003B14B2"/>
    <w:rsid w:val="003B167C"/>
    <w:rsid w:val="003B1932"/>
    <w:rsid w:val="003B1D7B"/>
    <w:rsid w:val="003B26AB"/>
    <w:rsid w:val="003B2C49"/>
    <w:rsid w:val="003B2F8E"/>
    <w:rsid w:val="003B3850"/>
    <w:rsid w:val="003B3994"/>
    <w:rsid w:val="003B39CA"/>
    <w:rsid w:val="003B3E47"/>
    <w:rsid w:val="003B3EE8"/>
    <w:rsid w:val="003B41D6"/>
    <w:rsid w:val="003B4261"/>
    <w:rsid w:val="003B4325"/>
    <w:rsid w:val="003B4368"/>
    <w:rsid w:val="003B4523"/>
    <w:rsid w:val="003B49F7"/>
    <w:rsid w:val="003B4A95"/>
    <w:rsid w:val="003B4AC7"/>
    <w:rsid w:val="003B4E74"/>
    <w:rsid w:val="003B5768"/>
    <w:rsid w:val="003B58C3"/>
    <w:rsid w:val="003B62B5"/>
    <w:rsid w:val="003B6565"/>
    <w:rsid w:val="003B668E"/>
    <w:rsid w:val="003B6786"/>
    <w:rsid w:val="003B67BF"/>
    <w:rsid w:val="003B6DC2"/>
    <w:rsid w:val="003B6F07"/>
    <w:rsid w:val="003B7363"/>
    <w:rsid w:val="003B756D"/>
    <w:rsid w:val="003B794D"/>
    <w:rsid w:val="003B7C1B"/>
    <w:rsid w:val="003B7EAD"/>
    <w:rsid w:val="003C0136"/>
    <w:rsid w:val="003C02A9"/>
    <w:rsid w:val="003C03EB"/>
    <w:rsid w:val="003C0421"/>
    <w:rsid w:val="003C04B0"/>
    <w:rsid w:val="003C0792"/>
    <w:rsid w:val="003C08A3"/>
    <w:rsid w:val="003C1277"/>
    <w:rsid w:val="003C138B"/>
    <w:rsid w:val="003C1456"/>
    <w:rsid w:val="003C176A"/>
    <w:rsid w:val="003C18D7"/>
    <w:rsid w:val="003C1B8F"/>
    <w:rsid w:val="003C1CA5"/>
    <w:rsid w:val="003C1D19"/>
    <w:rsid w:val="003C2059"/>
    <w:rsid w:val="003C2474"/>
    <w:rsid w:val="003C248C"/>
    <w:rsid w:val="003C25A3"/>
    <w:rsid w:val="003C25B1"/>
    <w:rsid w:val="003C2B1A"/>
    <w:rsid w:val="003C3D15"/>
    <w:rsid w:val="003C3FDB"/>
    <w:rsid w:val="003C4829"/>
    <w:rsid w:val="003C48C1"/>
    <w:rsid w:val="003C4A4B"/>
    <w:rsid w:val="003C4B0A"/>
    <w:rsid w:val="003C52B4"/>
    <w:rsid w:val="003C52B9"/>
    <w:rsid w:val="003C55EB"/>
    <w:rsid w:val="003C5859"/>
    <w:rsid w:val="003C5C52"/>
    <w:rsid w:val="003C5E24"/>
    <w:rsid w:val="003C6153"/>
    <w:rsid w:val="003C6A81"/>
    <w:rsid w:val="003C6FD6"/>
    <w:rsid w:val="003C7593"/>
    <w:rsid w:val="003C7F0C"/>
    <w:rsid w:val="003D018B"/>
    <w:rsid w:val="003D034C"/>
    <w:rsid w:val="003D0713"/>
    <w:rsid w:val="003D0A1B"/>
    <w:rsid w:val="003D0A64"/>
    <w:rsid w:val="003D0DBF"/>
    <w:rsid w:val="003D0EBD"/>
    <w:rsid w:val="003D1127"/>
    <w:rsid w:val="003D15CF"/>
    <w:rsid w:val="003D1DE3"/>
    <w:rsid w:val="003D1EAB"/>
    <w:rsid w:val="003D249E"/>
    <w:rsid w:val="003D25E2"/>
    <w:rsid w:val="003D2731"/>
    <w:rsid w:val="003D2A34"/>
    <w:rsid w:val="003D2CC7"/>
    <w:rsid w:val="003D2CE8"/>
    <w:rsid w:val="003D31A0"/>
    <w:rsid w:val="003D32AA"/>
    <w:rsid w:val="003D34D2"/>
    <w:rsid w:val="003D3BAB"/>
    <w:rsid w:val="003D3C42"/>
    <w:rsid w:val="003D3C99"/>
    <w:rsid w:val="003D3D3F"/>
    <w:rsid w:val="003D3E4F"/>
    <w:rsid w:val="003D3FAA"/>
    <w:rsid w:val="003D404C"/>
    <w:rsid w:val="003D40E7"/>
    <w:rsid w:val="003D41C5"/>
    <w:rsid w:val="003D443A"/>
    <w:rsid w:val="003D4A96"/>
    <w:rsid w:val="003D4C86"/>
    <w:rsid w:val="003D5C9F"/>
    <w:rsid w:val="003D5E93"/>
    <w:rsid w:val="003D5F7D"/>
    <w:rsid w:val="003D6043"/>
    <w:rsid w:val="003D61DA"/>
    <w:rsid w:val="003D624E"/>
    <w:rsid w:val="003D643E"/>
    <w:rsid w:val="003D6BBD"/>
    <w:rsid w:val="003D6DFF"/>
    <w:rsid w:val="003D6ED1"/>
    <w:rsid w:val="003D75AC"/>
    <w:rsid w:val="003D7C83"/>
    <w:rsid w:val="003D7D7A"/>
    <w:rsid w:val="003E0072"/>
    <w:rsid w:val="003E031C"/>
    <w:rsid w:val="003E04CF"/>
    <w:rsid w:val="003E0E76"/>
    <w:rsid w:val="003E0E99"/>
    <w:rsid w:val="003E11BE"/>
    <w:rsid w:val="003E122B"/>
    <w:rsid w:val="003E1545"/>
    <w:rsid w:val="003E174D"/>
    <w:rsid w:val="003E17C3"/>
    <w:rsid w:val="003E18A7"/>
    <w:rsid w:val="003E1AD8"/>
    <w:rsid w:val="003E1BB5"/>
    <w:rsid w:val="003E1CF5"/>
    <w:rsid w:val="003E2739"/>
    <w:rsid w:val="003E3242"/>
    <w:rsid w:val="003E332F"/>
    <w:rsid w:val="003E342F"/>
    <w:rsid w:val="003E344F"/>
    <w:rsid w:val="003E35AA"/>
    <w:rsid w:val="003E3624"/>
    <w:rsid w:val="003E36B2"/>
    <w:rsid w:val="003E3F13"/>
    <w:rsid w:val="003E40E0"/>
    <w:rsid w:val="003E419A"/>
    <w:rsid w:val="003E4362"/>
    <w:rsid w:val="003E476E"/>
    <w:rsid w:val="003E4AEF"/>
    <w:rsid w:val="003E4DBE"/>
    <w:rsid w:val="003E51A1"/>
    <w:rsid w:val="003E543B"/>
    <w:rsid w:val="003E5BE7"/>
    <w:rsid w:val="003E5CCD"/>
    <w:rsid w:val="003E6447"/>
    <w:rsid w:val="003E648A"/>
    <w:rsid w:val="003E648F"/>
    <w:rsid w:val="003E6549"/>
    <w:rsid w:val="003E6C8F"/>
    <w:rsid w:val="003E71B4"/>
    <w:rsid w:val="003E7376"/>
    <w:rsid w:val="003E76EA"/>
    <w:rsid w:val="003E7814"/>
    <w:rsid w:val="003E782F"/>
    <w:rsid w:val="003E7D34"/>
    <w:rsid w:val="003E7F70"/>
    <w:rsid w:val="003F0005"/>
    <w:rsid w:val="003F06A5"/>
    <w:rsid w:val="003F0AAB"/>
    <w:rsid w:val="003F11EC"/>
    <w:rsid w:val="003F1910"/>
    <w:rsid w:val="003F1DDA"/>
    <w:rsid w:val="003F1E7A"/>
    <w:rsid w:val="003F1ECE"/>
    <w:rsid w:val="003F1F39"/>
    <w:rsid w:val="003F2204"/>
    <w:rsid w:val="003F2A8D"/>
    <w:rsid w:val="003F2AE2"/>
    <w:rsid w:val="003F2B72"/>
    <w:rsid w:val="003F3219"/>
    <w:rsid w:val="003F323A"/>
    <w:rsid w:val="003F32FB"/>
    <w:rsid w:val="003F3311"/>
    <w:rsid w:val="003F360F"/>
    <w:rsid w:val="003F362C"/>
    <w:rsid w:val="003F38C1"/>
    <w:rsid w:val="003F3A9A"/>
    <w:rsid w:val="003F3CC3"/>
    <w:rsid w:val="003F3DC4"/>
    <w:rsid w:val="003F4545"/>
    <w:rsid w:val="003F5376"/>
    <w:rsid w:val="003F5586"/>
    <w:rsid w:val="003F564D"/>
    <w:rsid w:val="003F5936"/>
    <w:rsid w:val="003F5B46"/>
    <w:rsid w:val="003F5C4A"/>
    <w:rsid w:val="003F5E38"/>
    <w:rsid w:val="003F6474"/>
    <w:rsid w:val="003F647C"/>
    <w:rsid w:val="003F670F"/>
    <w:rsid w:val="003F687A"/>
    <w:rsid w:val="003F6BD7"/>
    <w:rsid w:val="0040015A"/>
    <w:rsid w:val="004001E4"/>
    <w:rsid w:val="004002F0"/>
    <w:rsid w:val="00400814"/>
    <w:rsid w:val="00400B47"/>
    <w:rsid w:val="00400DB7"/>
    <w:rsid w:val="00401086"/>
    <w:rsid w:val="00401202"/>
    <w:rsid w:val="00401A27"/>
    <w:rsid w:val="00401A75"/>
    <w:rsid w:val="00401CCA"/>
    <w:rsid w:val="00401D64"/>
    <w:rsid w:val="00401F60"/>
    <w:rsid w:val="004021E0"/>
    <w:rsid w:val="004027BA"/>
    <w:rsid w:val="00402833"/>
    <w:rsid w:val="00402978"/>
    <w:rsid w:val="00402B08"/>
    <w:rsid w:val="00402C0B"/>
    <w:rsid w:val="00402D7D"/>
    <w:rsid w:val="00402FF5"/>
    <w:rsid w:val="0040310C"/>
    <w:rsid w:val="004038B6"/>
    <w:rsid w:val="004038C6"/>
    <w:rsid w:val="00403AFA"/>
    <w:rsid w:val="00403B7B"/>
    <w:rsid w:val="00403FBA"/>
    <w:rsid w:val="00403FE4"/>
    <w:rsid w:val="00404737"/>
    <w:rsid w:val="004047D0"/>
    <w:rsid w:val="004048EE"/>
    <w:rsid w:val="00404B5E"/>
    <w:rsid w:val="00404D0A"/>
    <w:rsid w:val="00404EA5"/>
    <w:rsid w:val="00405576"/>
    <w:rsid w:val="00405728"/>
    <w:rsid w:val="00405737"/>
    <w:rsid w:val="00405DBC"/>
    <w:rsid w:val="004060D1"/>
    <w:rsid w:val="0040684C"/>
    <w:rsid w:val="00406A7A"/>
    <w:rsid w:val="00406E9B"/>
    <w:rsid w:val="00406FED"/>
    <w:rsid w:val="0040716D"/>
    <w:rsid w:val="00407A19"/>
    <w:rsid w:val="00407AB1"/>
    <w:rsid w:val="00407C5F"/>
    <w:rsid w:val="00407CCD"/>
    <w:rsid w:val="00407D9D"/>
    <w:rsid w:val="00407E62"/>
    <w:rsid w:val="00407F97"/>
    <w:rsid w:val="00410170"/>
    <w:rsid w:val="00410496"/>
    <w:rsid w:val="00410760"/>
    <w:rsid w:val="00410A05"/>
    <w:rsid w:val="00410A72"/>
    <w:rsid w:val="00410A89"/>
    <w:rsid w:val="00410AA8"/>
    <w:rsid w:val="00410DE3"/>
    <w:rsid w:val="00410DE4"/>
    <w:rsid w:val="00410E0E"/>
    <w:rsid w:val="00410EC3"/>
    <w:rsid w:val="00410F1B"/>
    <w:rsid w:val="00411000"/>
    <w:rsid w:val="00411338"/>
    <w:rsid w:val="0041144A"/>
    <w:rsid w:val="004118F7"/>
    <w:rsid w:val="00411A8B"/>
    <w:rsid w:val="00411C4C"/>
    <w:rsid w:val="00411E1C"/>
    <w:rsid w:val="00411E43"/>
    <w:rsid w:val="0041218B"/>
    <w:rsid w:val="0041237A"/>
    <w:rsid w:val="004128B7"/>
    <w:rsid w:val="00413414"/>
    <w:rsid w:val="00413457"/>
    <w:rsid w:val="004135D4"/>
    <w:rsid w:val="004135F4"/>
    <w:rsid w:val="00413B4C"/>
    <w:rsid w:val="00413BD7"/>
    <w:rsid w:val="00413BE5"/>
    <w:rsid w:val="0041419B"/>
    <w:rsid w:val="004142E2"/>
    <w:rsid w:val="00414AE8"/>
    <w:rsid w:val="0041505D"/>
    <w:rsid w:val="004151A6"/>
    <w:rsid w:val="00415260"/>
    <w:rsid w:val="0041532A"/>
    <w:rsid w:val="0041590F"/>
    <w:rsid w:val="00415F0D"/>
    <w:rsid w:val="0041603F"/>
    <w:rsid w:val="0041651C"/>
    <w:rsid w:val="00416845"/>
    <w:rsid w:val="004168F3"/>
    <w:rsid w:val="00416BCA"/>
    <w:rsid w:val="00416F50"/>
    <w:rsid w:val="004174A5"/>
    <w:rsid w:val="00417655"/>
    <w:rsid w:val="004177D6"/>
    <w:rsid w:val="00417803"/>
    <w:rsid w:val="00417A32"/>
    <w:rsid w:val="00417AB1"/>
    <w:rsid w:val="00420319"/>
    <w:rsid w:val="00420559"/>
    <w:rsid w:val="004206EA"/>
    <w:rsid w:val="00420971"/>
    <w:rsid w:val="00420A13"/>
    <w:rsid w:val="00420E1B"/>
    <w:rsid w:val="00421118"/>
    <w:rsid w:val="004211E4"/>
    <w:rsid w:val="0042128A"/>
    <w:rsid w:val="004212FC"/>
    <w:rsid w:val="0042193C"/>
    <w:rsid w:val="00421A19"/>
    <w:rsid w:val="00422018"/>
    <w:rsid w:val="0042202B"/>
    <w:rsid w:val="00422739"/>
    <w:rsid w:val="00422ECC"/>
    <w:rsid w:val="004232AD"/>
    <w:rsid w:val="0042338B"/>
    <w:rsid w:val="00423439"/>
    <w:rsid w:val="00423790"/>
    <w:rsid w:val="00424856"/>
    <w:rsid w:val="00424BCB"/>
    <w:rsid w:val="0042504B"/>
    <w:rsid w:val="00425241"/>
    <w:rsid w:val="004254CF"/>
    <w:rsid w:val="004257A9"/>
    <w:rsid w:val="00425A52"/>
    <w:rsid w:val="00425AF4"/>
    <w:rsid w:val="00425CA1"/>
    <w:rsid w:val="00425CC2"/>
    <w:rsid w:val="00425D75"/>
    <w:rsid w:val="00426486"/>
    <w:rsid w:val="00426681"/>
    <w:rsid w:val="0042683B"/>
    <w:rsid w:val="00426E08"/>
    <w:rsid w:val="0042701A"/>
    <w:rsid w:val="004270D0"/>
    <w:rsid w:val="0042788A"/>
    <w:rsid w:val="00427A71"/>
    <w:rsid w:val="004300D7"/>
    <w:rsid w:val="00430153"/>
    <w:rsid w:val="004301B0"/>
    <w:rsid w:val="004304F0"/>
    <w:rsid w:val="00430620"/>
    <w:rsid w:val="00430643"/>
    <w:rsid w:val="004308DD"/>
    <w:rsid w:val="004309C1"/>
    <w:rsid w:val="00430AE3"/>
    <w:rsid w:val="0043102E"/>
    <w:rsid w:val="004311BD"/>
    <w:rsid w:val="004313CE"/>
    <w:rsid w:val="004317D6"/>
    <w:rsid w:val="0043195C"/>
    <w:rsid w:val="00431D7B"/>
    <w:rsid w:val="00431EEA"/>
    <w:rsid w:val="00432212"/>
    <w:rsid w:val="004323D0"/>
    <w:rsid w:val="0043286F"/>
    <w:rsid w:val="004334A3"/>
    <w:rsid w:val="004335C0"/>
    <w:rsid w:val="00434401"/>
    <w:rsid w:val="00434468"/>
    <w:rsid w:val="004344AD"/>
    <w:rsid w:val="004346EE"/>
    <w:rsid w:val="00434986"/>
    <w:rsid w:val="004355E2"/>
    <w:rsid w:val="00436DE5"/>
    <w:rsid w:val="0043753E"/>
    <w:rsid w:val="004378F3"/>
    <w:rsid w:val="0044024F"/>
    <w:rsid w:val="00440630"/>
    <w:rsid w:val="00440689"/>
    <w:rsid w:val="00440772"/>
    <w:rsid w:val="00440A5E"/>
    <w:rsid w:val="00440BC1"/>
    <w:rsid w:val="00440BD7"/>
    <w:rsid w:val="00440D9B"/>
    <w:rsid w:val="00440DA8"/>
    <w:rsid w:val="00440E81"/>
    <w:rsid w:val="00441537"/>
    <w:rsid w:val="0044156F"/>
    <w:rsid w:val="004416CB"/>
    <w:rsid w:val="00441EC1"/>
    <w:rsid w:val="00442F94"/>
    <w:rsid w:val="004431FC"/>
    <w:rsid w:val="004437AB"/>
    <w:rsid w:val="00443EF7"/>
    <w:rsid w:val="004440FE"/>
    <w:rsid w:val="00444559"/>
    <w:rsid w:val="004447AD"/>
    <w:rsid w:val="00444CE7"/>
    <w:rsid w:val="00444D1A"/>
    <w:rsid w:val="00444FF2"/>
    <w:rsid w:val="00445124"/>
    <w:rsid w:val="004452BC"/>
    <w:rsid w:val="004454FF"/>
    <w:rsid w:val="00445809"/>
    <w:rsid w:val="00445BC5"/>
    <w:rsid w:val="004464FD"/>
    <w:rsid w:val="004467F4"/>
    <w:rsid w:val="00446AAC"/>
    <w:rsid w:val="00446C60"/>
    <w:rsid w:val="00446DEA"/>
    <w:rsid w:val="00446E16"/>
    <w:rsid w:val="00446E45"/>
    <w:rsid w:val="0044700C"/>
    <w:rsid w:val="00447188"/>
    <w:rsid w:val="00447539"/>
    <w:rsid w:val="00447595"/>
    <w:rsid w:val="00447786"/>
    <w:rsid w:val="004478D7"/>
    <w:rsid w:val="0044795D"/>
    <w:rsid w:val="00447FD3"/>
    <w:rsid w:val="004505C6"/>
    <w:rsid w:val="004507C4"/>
    <w:rsid w:val="00450A11"/>
    <w:rsid w:val="004512F8"/>
    <w:rsid w:val="00451846"/>
    <w:rsid w:val="00451DFF"/>
    <w:rsid w:val="00451E53"/>
    <w:rsid w:val="00451EB0"/>
    <w:rsid w:val="004523F0"/>
    <w:rsid w:val="00452751"/>
    <w:rsid w:val="00452E21"/>
    <w:rsid w:val="004530CC"/>
    <w:rsid w:val="00453365"/>
    <w:rsid w:val="004539A9"/>
    <w:rsid w:val="00454333"/>
    <w:rsid w:val="00454439"/>
    <w:rsid w:val="00454E3A"/>
    <w:rsid w:val="004553DF"/>
    <w:rsid w:val="00455410"/>
    <w:rsid w:val="004556BB"/>
    <w:rsid w:val="00455813"/>
    <w:rsid w:val="00455945"/>
    <w:rsid w:val="00456B6C"/>
    <w:rsid w:val="00456DB3"/>
    <w:rsid w:val="00456E01"/>
    <w:rsid w:val="00456F6C"/>
    <w:rsid w:val="0045734F"/>
    <w:rsid w:val="004576F0"/>
    <w:rsid w:val="0045777F"/>
    <w:rsid w:val="00457F2F"/>
    <w:rsid w:val="00460190"/>
    <w:rsid w:val="004602EC"/>
    <w:rsid w:val="0046032F"/>
    <w:rsid w:val="004603BB"/>
    <w:rsid w:val="0046043D"/>
    <w:rsid w:val="0046044A"/>
    <w:rsid w:val="00460510"/>
    <w:rsid w:val="00460584"/>
    <w:rsid w:val="004605A2"/>
    <w:rsid w:val="00460A61"/>
    <w:rsid w:val="00460AEE"/>
    <w:rsid w:val="00460B5D"/>
    <w:rsid w:val="00460F1A"/>
    <w:rsid w:val="00460F67"/>
    <w:rsid w:val="00461755"/>
    <w:rsid w:val="00461B3B"/>
    <w:rsid w:val="00462143"/>
    <w:rsid w:val="004622E0"/>
    <w:rsid w:val="00462657"/>
    <w:rsid w:val="0046292B"/>
    <w:rsid w:val="0046319C"/>
    <w:rsid w:val="004632B2"/>
    <w:rsid w:val="00463847"/>
    <w:rsid w:val="004639A5"/>
    <w:rsid w:val="00463A4D"/>
    <w:rsid w:val="00463B69"/>
    <w:rsid w:val="00463DFE"/>
    <w:rsid w:val="00463F86"/>
    <w:rsid w:val="00463FA6"/>
    <w:rsid w:val="00464003"/>
    <w:rsid w:val="004642B1"/>
    <w:rsid w:val="004642BD"/>
    <w:rsid w:val="00464387"/>
    <w:rsid w:val="004644C0"/>
    <w:rsid w:val="004645B2"/>
    <w:rsid w:val="004645BE"/>
    <w:rsid w:val="00464617"/>
    <w:rsid w:val="004648C8"/>
    <w:rsid w:val="00465650"/>
    <w:rsid w:val="00465931"/>
    <w:rsid w:val="00465C09"/>
    <w:rsid w:val="00465DFB"/>
    <w:rsid w:val="0046605B"/>
    <w:rsid w:val="004663B8"/>
    <w:rsid w:val="004667B8"/>
    <w:rsid w:val="004669A0"/>
    <w:rsid w:val="00466B85"/>
    <w:rsid w:val="00466DAA"/>
    <w:rsid w:val="004670C7"/>
    <w:rsid w:val="00467194"/>
    <w:rsid w:val="004677B1"/>
    <w:rsid w:val="004679C7"/>
    <w:rsid w:val="00467AB0"/>
    <w:rsid w:val="00467E32"/>
    <w:rsid w:val="004701F6"/>
    <w:rsid w:val="00470450"/>
    <w:rsid w:val="004704DE"/>
    <w:rsid w:val="00470665"/>
    <w:rsid w:val="004706E7"/>
    <w:rsid w:val="0047080E"/>
    <w:rsid w:val="00471CFF"/>
    <w:rsid w:val="00471E26"/>
    <w:rsid w:val="00471FFE"/>
    <w:rsid w:val="004725A0"/>
    <w:rsid w:val="004725AB"/>
    <w:rsid w:val="004726A7"/>
    <w:rsid w:val="00472FAC"/>
    <w:rsid w:val="004730C5"/>
    <w:rsid w:val="004734DC"/>
    <w:rsid w:val="00473AD9"/>
    <w:rsid w:val="00473D17"/>
    <w:rsid w:val="00473D40"/>
    <w:rsid w:val="00473D52"/>
    <w:rsid w:val="00473E77"/>
    <w:rsid w:val="00473EFC"/>
    <w:rsid w:val="004745A5"/>
    <w:rsid w:val="00474DEA"/>
    <w:rsid w:val="00474E03"/>
    <w:rsid w:val="00475011"/>
    <w:rsid w:val="004751BB"/>
    <w:rsid w:val="00475376"/>
    <w:rsid w:val="00475449"/>
    <w:rsid w:val="004754E4"/>
    <w:rsid w:val="00475E72"/>
    <w:rsid w:val="0047601C"/>
    <w:rsid w:val="00476B76"/>
    <w:rsid w:val="00476BC5"/>
    <w:rsid w:val="00476E2D"/>
    <w:rsid w:val="00477157"/>
    <w:rsid w:val="0047717F"/>
    <w:rsid w:val="004777D8"/>
    <w:rsid w:val="00477F75"/>
    <w:rsid w:val="0047A202"/>
    <w:rsid w:val="0047AAE4"/>
    <w:rsid w:val="004809E5"/>
    <w:rsid w:val="0048132A"/>
    <w:rsid w:val="004814F6"/>
    <w:rsid w:val="00481609"/>
    <w:rsid w:val="0048180B"/>
    <w:rsid w:val="00481B6B"/>
    <w:rsid w:val="004823BC"/>
    <w:rsid w:val="00482509"/>
    <w:rsid w:val="0048267D"/>
    <w:rsid w:val="00482E51"/>
    <w:rsid w:val="00482EBD"/>
    <w:rsid w:val="0048322A"/>
    <w:rsid w:val="0048329C"/>
    <w:rsid w:val="00483CA3"/>
    <w:rsid w:val="00484240"/>
    <w:rsid w:val="004847BB"/>
    <w:rsid w:val="00484AE3"/>
    <w:rsid w:val="00484DAE"/>
    <w:rsid w:val="004850DE"/>
    <w:rsid w:val="00485126"/>
    <w:rsid w:val="00485291"/>
    <w:rsid w:val="004852C7"/>
    <w:rsid w:val="004854CD"/>
    <w:rsid w:val="00485701"/>
    <w:rsid w:val="004857A9"/>
    <w:rsid w:val="004858BA"/>
    <w:rsid w:val="004859D5"/>
    <w:rsid w:val="00485EF7"/>
    <w:rsid w:val="0048610F"/>
    <w:rsid w:val="00486928"/>
    <w:rsid w:val="00486B32"/>
    <w:rsid w:val="00486D2E"/>
    <w:rsid w:val="0048704D"/>
    <w:rsid w:val="00487246"/>
    <w:rsid w:val="0048765A"/>
    <w:rsid w:val="00491512"/>
    <w:rsid w:val="00491571"/>
    <w:rsid w:val="004915B2"/>
    <w:rsid w:val="00491640"/>
    <w:rsid w:val="00491B16"/>
    <w:rsid w:val="00491DEF"/>
    <w:rsid w:val="00492252"/>
    <w:rsid w:val="004926B3"/>
    <w:rsid w:val="004927C1"/>
    <w:rsid w:val="00492B92"/>
    <w:rsid w:val="00492C4D"/>
    <w:rsid w:val="00492D1E"/>
    <w:rsid w:val="00492FAD"/>
    <w:rsid w:val="00492FDE"/>
    <w:rsid w:val="004932B1"/>
    <w:rsid w:val="0049380A"/>
    <w:rsid w:val="0049380F"/>
    <w:rsid w:val="00493A2E"/>
    <w:rsid w:val="00493A30"/>
    <w:rsid w:val="00493E67"/>
    <w:rsid w:val="00493EF3"/>
    <w:rsid w:val="004943AF"/>
    <w:rsid w:val="00494527"/>
    <w:rsid w:val="0049466F"/>
    <w:rsid w:val="004947B2"/>
    <w:rsid w:val="0049489C"/>
    <w:rsid w:val="0049492C"/>
    <w:rsid w:val="00495251"/>
    <w:rsid w:val="004954FF"/>
    <w:rsid w:val="00495B60"/>
    <w:rsid w:val="00495BB4"/>
    <w:rsid w:val="00495D4A"/>
    <w:rsid w:val="00496399"/>
    <w:rsid w:val="00496632"/>
    <w:rsid w:val="00496A5D"/>
    <w:rsid w:val="0049720E"/>
    <w:rsid w:val="004972A8"/>
    <w:rsid w:val="00497510"/>
    <w:rsid w:val="0049763D"/>
    <w:rsid w:val="00497816"/>
    <w:rsid w:val="00497D7D"/>
    <w:rsid w:val="00497D7E"/>
    <w:rsid w:val="00497EEF"/>
    <w:rsid w:val="004A01DE"/>
    <w:rsid w:val="004A0364"/>
    <w:rsid w:val="004A0545"/>
    <w:rsid w:val="004A07A6"/>
    <w:rsid w:val="004A0A1F"/>
    <w:rsid w:val="004A0A56"/>
    <w:rsid w:val="004A0C81"/>
    <w:rsid w:val="004A1388"/>
    <w:rsid w:val="004A1692"/>
    <w:rsid w:val="004A1752"/>
    <w:rsid w:val="004A1764"/>
    <w:rsid w:val="004A185F"/>
    <w:rsid w:val="004A1BB8"/>
    <w:rsid w:val="004A1BC3"/>
    <w:rsid w:val="004A209F"/>
    <w:rsid w:val="004A21B0"/>
    <w:rsid w:val="004A2251"/>
    <w:rsid w:val="004A246A"/>
    <w:rsid w:val="004A277C"/>
    <w:rsid w:val="004A292A"/>
    <w:rsid w:val="004A2C51"/>
    <w:rsid w:val="004A3281"/>
    <w:rsid w:val="004A3418"/>
    <w:rsid w:val="004A3679"/>
    <w:rsid w:val="004A38A8"/>
    <w:rsid w:val="004A3C85"/>
    <w:rsid w:val="004A3CA7"/>
    <w:rsid w:val="004A3CAD"/>
    <w:rsid w:val="004A4007"/>
    <w:rsid w:val="004A4389"/>
    <w:rsid w:val="004A4955"/>
    <w:rsid w:val="004A4F45"/>
    <w:rsid w:val="004A54FB"/>
    <w:rsid w:val="004A56BF"/>
    <w:rsid w:val="004A5C85"/>
    <w:rsid w:val="004A5D0E"/>
    <w:rsid w:val="004A62A8"/>
    <w:rsid w:val="004A62C4"/>
    <w:rsid w:val="004A62ED"/>
    <w:rsid w:val="004A63A0"/>
    <w:rsid w:val="004A6591"/>
    <w:rsid w:val="004A6A5D"/>
    <w:rsid w:val="004A6D1C"/>
    <w:rsid w:val="004A6D74"/>
    <w:rsid w:val="004A77DB"/>
    <w:rsid w:val="004A7A63"/>
    <w:rsid w:val="004A7B95"/>
    <w:rsid w:val="004A7F17"/>
    <w:rsid w:val="004A7F4A"/>
    <w:rsid w:val="004A7F8B"/>
    <w:rsid w:val="004B040A"/>
    <w:rsid w:val="004B0557"/>
    <w:rsid w:val="004B059D"/>
    <w:rsid w:val="004B066C"/>
    <w:rsid w:val="004B0814"/>
    <w:rsid w:val="004B107C"/>
    <w:rsid w:val="004B14E2"/>
    <w:rsid w:val="004B1515"/>
    <w:rsid w:val="004B1522"/>
    <w:rsid w:val="004B21D9"/>
    <w:rsid w:val="004B2297"/>
    <w:rsid w:val="004B2520"/>
    <w:rsid w:val="004B2A10"/>
    <w:rsid w:val="004B2BCA"/>
    <w:rsid w:val="004B2E31"/>
    <w:rsid w:val="004B322A"/>
    <w:rsid w:val="004B3744"/>
    <w:rsid w:val="004B3EFD"/>
    <w:rsid w:val="004B3F9A"/>
    <w:rsid w:val="004B4074"/>
    <w:rsid w:val="004B40E7"/>
    <w:rsid w:val="004B4161"/>
    <w:rsid w:val="004B4280"/>
    <w:rsid w:val="004B44B5"/>
    <w:rsid w:val="004B51B5"/>
    <w:rsid w:val="004B5433"/>
    <w:rsid w:val="004B5AD5"/>
    <w:rsid w:val="004B5F3F"/>
    <w:rsid w:val="004B5FF0"/>
    <w:rsid w:val="004B60D4"/>
    <w:rsid w:val="004B62C7"/>
    <w:rsid w:val="004B68D6"/>
    <w:rsid w:val="004B6A38"/>
    <w:rsid w:val="004B6E70"/>
    <w:rsid w:val="004B6F5F"/>
    <w:rsid w:val="004B6F7F"/>
    <w:rsid w:val="004B6FAF"/>
    <w:rsid w:val="004B737F"/>
    <w:rsid w:val="004B756F"/>
    <w:rsid w:val="004B798B"/>
    <w:rsid w:val="004C0073"/>
    <w:rsid w:val="004C0745"/>
    <w:rsid w:val="004C07A9"/>
    <w:rsid w:val="004C07C6"/>
    <w:rsid w:val="004C08AD"/>
    <w:rsid w:val="004C0DA9"/>
    <w:rsid w:val="004C131C"/>
    <w:rsid w:val="004C1671"/>
    <w:rsid w:val="004C1B7A"/>
    <w:rsid w:val="004C1D68"/>
    <w:rsid w:val="004C2679"/>
    <w:rsid w:val="004C2BA4"/>
    <w:rsid w:val="004C2D03"/>
    <w:rsid w:val="004C30C3"/>
    <w:rsid w:val="004C3300"/>
    <w:rsid w:val="004C3B89"/>
    <w:rsid w:val="004C3BD1"/>
    <w:rsid w:val="004C3D60"/>
    <w:rsid w:val="004C4122"/>
    <w:rsid w:val="004C41AE"/>
    <w:rsid w:val="004C44A2"/>
    <w:rsid w:val="004C480C"/>
    <w:rsid w:val="004C4953"/>
    <w:rsid w:val="004C4D5C"/>
    <w:rsid w:val="004C510E"/>
    <w:rsid w:val="004C5223"/>
    <w:rsid w:val="004C5350"/>
    <w:rsid w:val="004C680A"/>
    <w:rsid w:val="004C6F21"/>
    <w:rsid w:val="004C739D"/>
    <w:rsid w:val="004C7584"/>
    <w:rsid w:val="004C75BE"/>
    <w:rsid w:val="004C7DAE"/>
    <w:rsid w:val="004D01B2"/>
    <w:rsid w:val="004D057F"/>
    <w:rsid w:val="004D0E5E"/>
    <w:rsid w:val="004D104E"/>
    <w:rsid w:val="004D1397"/>
    <w:rsid w:val="004D1D86"/>
    <w:rsid w:val="004D2143"/>
    <w:rsid w:val="004D2699"/>
    <w:rsid w:val="004D29FB"/>
    <w:rsid w:val="004D2FBB"/>
    <w:rsid w:val="004D30A4"/>
    <w:rsid w:val="004D31B8"/>
    <w:rsid w:val="004D34B9"/>
    <w:rsid w:val="004D370D"/>
    <w:rsid w:val="004D3879"/>
    <w:rsid w:val="004D3DEE"/>
    <w:rsid w:val="004D3FA0"/>
    <w:rsid w:val="004D4220"/>
    <w:rsid w:val="004D465B"/>
    <w:rsid w:val="004D474A"/>
    <w:rsid w:val="004D4849"/>
    <w:rsid w:val="004D48C6"/>
    <w:rsid w:val="004D4C3C"/>
    <w:rsid w:val="004D4F2D"/>
    <w:rsid w:val="004D5632"/>
    <w:rsid w:val="004D56EC"/>
    <w:rsid w:val="004D57BB"/>
    <w:rsid w:val="004D5C13"/>
    <w:rsid w:val="004D5C14"/>
    <w:rsid w:val="004D5C3F"/>
    <w:rsid w:val="004D5D61"/>
    <w:rsid w:val="004D5E2C"/>
    <w:rsid w:val="004D6256"/>
    <w:rsid w:val="004D63C2"/>
    <w:rsid w:val="004D6500"/>
    <w:rsid w:val="004D6B04"/>
    <w:rsid w:val="004D6BD1"/>
    <w:rsid w:val="004D6D36"/>
    <w:rsid w:val="004D6FCF"/>
    <w:rsid w:val="004D74A2"/>
    <w:rsid w:val="004D7863"/>
    <w:rsid w:val="004D79C7"/>
    <w:rsid w:val="004D7C32"/>
    <w:rsid w:val="004D7CAA"/>
    <w:rsid w:val="004D7FEE"/>
    <w:rsid w:val="004E0044"/>
    <w:rsid w:val="004E01FF"/>
    <w:rsid w:val="004E0211"/>
    <w:rsid w:val="004E0484"/>
    <w:rsid w:val="004E058A"/>
    <w:rsid w:val="004E0768"/>
    <w:rsid w:val="004E0824"/>
    <w:rsid w:val="004E0949"/>
    <w:rsid w:val="004E0F3F"/>
    <w:rsid w:val="004E0F7F"/>
    <w:rsid w:val="004E100C"/>
    <w:rsid w:val="004E190A"/>
    <w:rsid w:val="004E1B5D"/>
    <w:rsid w:val="004E1DBA"/>
    <w:rsid w:val="004E20DA"/>
    <w:rsid w:val="004E30CB"/>
    <w:rsid w:val="004E3762"/>
    <w:rsid w:val="004E3A55"/>
    <w:rsid w:val="004E3C00"/>
    <w:rsid w:val="004E437A"/>
    <w:rsid w:val="004E4A61"/>
    <w:rsid w:val="004E560A"/>
    <w:rsid w:val="004E57B5"/>
    <w:rsid w:val="004E5EF3"/>
    <w:rsid w:val="004E5F37"/>
    <w:rsid w:val="004E5F5A"/>
    <w:rsid w:val="004E5FC7"/>
    <w:rsid w:val="004E61EA"/>
    <w:rsid w:val="004E6650"/>
    <w:rsid w:val="004E6AA0"/>
    <w:rsid w:val="004E6B55"/>
    <w:rsid w:val="004E6DB4"/>
    <w:rsid w:val="004E6E67"/>
    <w:rsid w:val="004E6FF0"/>
    <w:rsid w:val="004E70BA"/>
    <w:rsid w:val="004E77D0"/>
    <w:rsid w:val="004E7898"/>
    <w:rsid w:val="004E79FA"/>
    <w:rsid w:val="004E7B99"/>
    <w:rsid w:val="004E7BE3"/>
    <w:rsid w:val="004F0264"/>
    <w:rsid w:val="004F0970"/>
    <w:rsid w:val="004F11C5"/>
    <w:rsid w:val="004F1427"/>
    <w:rsid w:val="004F16FD"/>
    <w:rsid w:val="004F18CD"/>
    <w:rsid w:val="004F1BE5"/>
    <w:rsid w:val="004F1C83"/>
    <w:rsid w:val="004F2028"/>
    <w:rsid w:val="004F236E"/>
    <w:rsid w:val="004F26BF"/>
    <w:rsid w:val="004F29BC"/>
    <w:rsid w:val="004F3242"/>
    <w:rsid w:val="004F3477"/>
    <w:rsid w:val="004F377A"/>
    <w:rsid w:val="004F38B8"/>
    <w:rsid w:val="004F398E"/>
    <w:rsid w:val="004F3C74"/>
    <w:rsid w:val="004F4041"/>
    <w:rsid w:val="004F4697"/>
    <w:rsid w:val="004F4737"/>
    <w:rsid w:val="004F4E02"/>
    <w:rsid w:val="004F55D0"/>
    <w:rsid w:val="004F57E9"/>
    <w:rsid w:val="004F5ADB"/>
    <w:rsid w:val="004F5CEC"/>
    <w:rsid w:val="004F6157"/>
    <w:rsid w:val="004F6324"/>
    <w:rsid w:val="004F6761"/>
    <w:rsid w:val="004F6A78"/>
    <w:rsid w:val="004F71A3"/>
    <w:rsid w:val="004F76E8"/>
    <w:rsid w:val="004F7B2A"/>
    <w:rsid w:val="00500065"/>
    <w:rsid w:val="005003B5"/>
    <w:rsid w:val="00500618"/>
    <w:rsid w:val="005006D5"/>
    <w:rsid w:val="00500C7B"/>
    <w:rsid w:val="00500D61"/>
    <w:rsid w:val="00500E33"/>
    <w:rsid w:val="00501322"/>
    <w:rsid w:val="0050140E"/>
    <w:rsid w:val="00501968"/>
    <w:rsid w:val="00501AA9"/>
    <w:rsid w:val="00501CED"/>
    <w:rsid w:val="00501FA4"/>
    <w:rsid w:val="00501FD4"/>
    <w:rsid w:val="00502127"/>
    <w:rsid w:val="0050225F"/>
    <w:rsid w:val="0050287C"/>
    <w:rsid w:val="00502C4E"/>
    <w:rsid w:val="00502CA3"/>
    <w:rsid w:val="00502EED"/>
    <w:rsid w:val="00502F19"/>
    <w:rsid w:val="00502F62"/>
    <w:rsid w:val="0050317D"/>
    <w:rsid w:val="005032FA"/>
    <w:rsid w:val="0050336D"/>
    <w:rsid w:val="005035D0"/>
    <w:rsid w:val="00503750"/>
    <w:rsid w:val="00503AFF"/>
    <w:rsid w:val="005042E1"/>
    <w:rsid w:val="00504735"/>
    <w:rsid w:val="00504850"/>
    <w:rsid w:val="00504B2C"/>
    <w:rsid w:val="00504F9C"/>
    <w:rsid w:val="0050516C"/>
    <w:rsid w:val="00505576"/>
    <w:rsid w:val="005058B5"/>
    <w:rsid w:val="00505A8D"/>
    <w:rsid w:val="00505AE2"/>
    <w:rsid w:val="00505CC8"/>
    <w:rsid w:val="005062CD"/>
    <w:rsid w:val="005068C4"/>
    <w:rsid w:val="00506A5E"/>
    <w:rsid w:val="00507255"/>
    <w:rsid w:val="0050745A"/>
    <w:rsid w:val="00507670"/>
    <w:rsid w:val="0050789C"/>
    <w:rsid w:val="00507A08"/>
    <w:rsid w:val="00507A67"/>
    <w:rsid w:val="00510198"/>
    <w:rsid w:val="005103C5"/>
    <w:rsid w:val="0051045E"/>
    <w:rsid w:val="00510715"/>
    <w:rsid w:val="0051079F"/>
    <w:rsid w:val="00510AF5"/>
    <w:rsid w:val="00510FC0"/>
    <w:rsid w:val="005111BC"/>
    <w:rsid w:val="00511292"/>
    <w:rsid w:val="005112EF"/>
    <w:rsid w:val="005112FB"/>
    <w:rsid w:val="00511E80"/>
    <w:rsid w:val="005120AE"/>
    <w:rsid w:val="0051245F"/>
    <w:rsid w:val="00512490"/>
    <w:rsid w:val="00512795"/>
    <w:rsid w:val="00512979"/>
    <w:rsid w:val="00512F9C"/>
    <w:rsid w:val="0051342C"/>
    <w:rsid w:val="005135CF"/>
    <w:rsid w:val="00513642"/>
    <w:rsid w:val="0051379B"/>
    <w:rsid w:val="00513B86"/>
    <w:rsid w:val="00513B98"/>
    <w:rsid w:val="00513D19"/>
    <w:rsid w:val="00513E04"/>
    <w:rsid w:val="0051423B"/>
    <w:rsid w:val="00514647"/>
    <w:rsid w:val="005147D7"/>
    <w:rsid w:val="00514864"/>
    <w:rsid w:val="00514E03"/>
    <w:rsid w:val="00515052"/>
    <w:rsid w:val="005153CC"/>
    <w:rsid w:val="0051544A"/>
    <w:rsid w:val="00515462"/>
    <w:rsid w:val="005157A9"/>
    <w:rsid w:val="00515A1C"/>
    <w:rsid w:val="00515C8E"/>
    <w:rsid w:val="005167C5"/>
    <w:rsid w:val="00516B32"/>
    <w:rsid w:val="00516BBF"/>
    <w:rsid w:val="00516D08"/>
    <w:rsid w:val="00516DF9"/>
    <w:rsid w:val="00516DFB"/>
    <w:rsid w:val="00516F48"/>
    <w:rsid w:val="00517071"/>
    <w:rsid w:val="005170DF"/>
    <w:rsid w:val="005174F1"/>
    <w:rsid w:val="005179EA"/>
    <w:rsid w:val="00517BB5"/>
    <w:rsid w:val="00517C7C"/>
    <w:rsid w:val="00517FEF"/>
    <w:rsid w:val="005209B1"/>
    <w:rsid w:val="00520C59"/>
    <w:rsid w:val="00520F13"/>
    <w:rsid w:val="00521704"/>
    <w:rsid w:val="00521D13"/>
    <w:rsid w:val="00521DAE"/>
    <w:rsid w:val="005220F7"/>
    <w:rsid w:val="005231FA"/>
    <w:rsid w:val="005231FF"/>
    <w:rsid w:val="00523334"/>
    <w:rsid w:val="0052362A"/>
    <w:rsid w:val="00523694"/>
    <w:rsid w:val="00523696"/>
    <w:rsid w:val="00523744"/>
    <w:rsid w:val="00523C63"/>
    <w:rsid w:val="00523EB1"/>
    <w:rsid w:val="0052440D"/>
    <w:rsid w:val="00524577"/>
    <w:rsid w:val="00524FD6"/>
    <w:rsid w:val="00525005"/>
    <w:rsid w:val="00525300"/>
    <w:rsid w:val="00525AB4"/>
    <w:rsid w:val="00525C27"/>
    <w:rsid w:val="00526065"/>
    <w:rsid w:val="00526421"/>
    <w:rsid w:val="00526589"/>
    <w:rsid w:val="0052677A"/>
    <w:rsid w:val="00527080"/>
    <w:rsid w:val="0052727B"/>
    <w:rsid w:val="00527288"/>
    <w:rsid w:val="00527298"/>
    <w:rsid w:val="005273D7"/>
    <w:rsid w:val="00527524"/>
    <w:rsid w:val="00527667"/>
    <w:rsid w:val="005277A5"/>
    <w:rsid w:val="00527828"/>
    <w:rsid w:val="00527A55"/>
    <w:rsid w:val="005301DF"/>
    <w:rsid w:val="0053060F"/>
    <w:rsid w:val="0053095C"/>
    <w:rsid w:val="00530B00"/>
    <w:rsid w:val="005313B8"/>
    <w:rsid w:val="0053186B"/>
    <w:rsid w:val="00531BCA"/>
    <w:rsid w:val="00531BEB"/>
    <w:rsid w:val="00531DC4"/>
    <w:rsid w:val="0053221B"/>
    <w:rsid w:val="005328FF"/>
    <w:rsid w:val="00532E2F"/>
    <w:rsid w:val="00532F70"/>
    <w:rsid w:val="005331FF"/>
    <w:rsid w:val="00533534"/>
    <w:rsid w:val="005336BA"/>
    <w:rsid w:val="005336E5"/>
    <w:rsid w:val="00533E5D"/>
    <w:rsid w:val="00533F1E"/>
    <w:rsid w:val="0053432D"/>
    <w:rsid w:val="00534373"/>
    <w:rsid w:val="005346AF"/>
    <w:rsid w:val="005347D3"/>
    <w:rsid w:val="00534A90"/>
    <w:rsid w:val="00535450"/>
    <w:rsid w:val="00535CE2"/>
    <w:rsid w:val="00535D9F"/>
    <w:rsid w:val="00535F9E"/>
    <w:rsid w:val="005363BC"/>
    <w:rsid w:val="0053650F"/>
    <w:rsid w:val="00536530"/>
    <w:rsid w:val="00536C55"/>
    <w:rsid w:val="00536EA6"/>
    <w:rsid w:val="00536F49"/>
    <w:rsid w:val="005370BF"/>
    <w:rsid w:val="005374C5"/>
    <w:rsid w:val="005400EA"/>
    <w:rsid w:val="0054019A"/>
    <w:rsid w:val="005405E1"/>
    <w:rsid w:val="00540D3C"/>
    <w:rsid w:val="00540DDB"/>
    <w:rsid w:val="00540E19"/>
    <w:rsid w:val="00540F21"/>
    <w:rsid w:val="00540FED"/>
    <w:rsid w:val="00541142"/>
    <w:rsid w:val="005413B8"/>
    <w:rsid w:val="00542017"/>
    <w:rsid w:val="0054213C"/>
    <w:rsid w:val="00542163"/>
    <w:rsid w:val="0054224F"/>
    <w:rsid w:val="00542709"/>
    <w:rsid w:val="005427D2"/>
    <w:rsid w:val="005427DF"/>
    <w:rsid w:val="0054298E"/>
    <w:rsid w:val="00542BBB"/>
    <w:rsid w:val="00542D5F"/>
    <w:rsid w:val="00542D6B"/>
    <w:rsid w:val="00542D6E"/>
    <w:rsid w:val="005433D9"/>
    <w:rsid w:val="005434A7"/>
    <w:rsid w:val="005434E9"/>
    <w:rsid w:val="005437FF"/>
    <w:rsid w:val="00543915"/>
    <w:rsid w:val="005439B6"/>
    <w:rsid w:val="00543C23"/>
    <w:rsid w:val="00543CB3"/>
    <w:rsid w:val="00544044"/>
    <w:rsid w:val="00544057"/>
    <w:rsid w:val="005440CC"/>
    <w:rsid w:val="00544517"/>
    <w:rsid w:val="005445D2"/>
    <w:rsid w:val="005446F0"/>
    <w:rsid w:val="00544EF0"/>
    <w:rsid w:val="0054581D"/>
    <w:rsid w:val="00545EDA"/>
    <w:rsid w:val="005462DC"/>
    <w:rsid w:val="0054634E"/>
    <w:rsid w:val="0054637B"/>
    <w:rsid w:val="00546912"/>
    <w:rsid w:val="00546BDF"/>
    <w:rsid w:val="00546C47"/>
    <w:rsid w:val="00546C72"/>
    <w:rsid w:val="00546E50"/>
    <w:rsid w:val="0054774F"/>
    <w:rsid w:val="0054780F"/>
    <w:rsid w:val="0054787B"/>
    <w:rsid w:val="005478FE"/>
    <w:rsid w:val="00547B59"/>
    <w:rsid w:val="00547BAD"/>
    <w:rsid w:val="00547CF9"/>
    <w:rsid w:val="00547EC6"/>
    <w:rsid w:val="00547F31"/>
    <w:rsid w:val="00550498"/>
    <w:rsid w:val="00550971"/>
    <w:rsid w:val="00550EDA"/>
    <w:rsid w:val="00551137"/>
    <w:rsid w:val="005513D5"/>
    <w:rsid w:val="0055155D"/>
    <w:rsid w:val="00551B29"/>
    <w:rsid w:val="00551B33"/>
    <w:rsid w:val="00551EEC"/>
    <w:rsid w:val="00552097"/>
    <w:rsid w:val="005524F8"/>
    <w:rsid w:val="0055262C"/>
    <w:rsid w:val="005528F6"/>
    <w:rsid w:val="00552910"/>
    <w:rsid w:val="005529E6"/>
    <w:rsid w:val="00552DE3"/>
    <w:rsid w:val="00553467"/>
    <w:rsid w:val="00553837"/>
    <w:rsid w:val="005538FC"/>
    <w:rsid w:val="00553913"/>
    <w:rsid w:val="00553A8F"/>
    <w:rsid w:val="00553FC0"/>
    <w:rsid w:val="00554103"/>
    <w:rsid w:val="00554271"/>
    <w:rsid w:val="0055477B"/>
    <w:rsid w:val="005549BE"/>
    <w:rsid w:val="00554D4D"/>
    <w:rsid w:val="00554EB0"/>
    <w:rsid w:val="005551A5"/>
    <w:rsid w:val="00555330"/>
    <w:rsid w:val="00555924"/>
    <w:rsid w:val="00555CF9"/>
    <w:rsid w:val="00555FCB"/>
    <w:rsid w:val="0055640C"/>
    <w:rsid w:val="00556476"/>
    <w:rsid w:val="005564B8"/>
    <w:rsid w:val="005568E6"/>
    <w:rsid w:val="00556B95"/>
    <w:rsid w:val="00556C5E"/>
    <w:rsid w:val="00556C76"/>
    <w:rsid w:val="00556D52"/>
    <w:rsid w:val="005570BC"/>
    <w:rsid w:val="00557419"/>
    <w:rsid w:val="0055748B"/>
    <w:rsid w:val="005578CF"/>
    <w:rsid w:val="005608E5"/>
    <w:rsid w:val="00560AFC"/>
    <w:rsid w:val="00560B99"/>
    <w:rsid w:val="00560C63"/>
    <w:rsid w:val="00560C8E"/>
    <w:rsid w:val="00560CA4"/>
    <w:rsid w:val="00560DEE"/>
    <w:rsid w:val="005612DB"/>
    <w:rsid w:val="00561609"/>
    <w:rsid w:val="0056166E"/>
    <w:rsid w:val="0056171C"/>
    <w:rsid w:val="00561CF3"/>
    <w:rsid w:val="00561EB7"/>
    <w:rsid w:val="005620A7"/>
    <w:rsid w:val="00562194"/>
    <w:rsid w:val="00562433"/>
    <w:rsid w:val="00562718"/>
    <w:rsid w:val="00563100"/>
    <w:rsid w:val="005634EF"/>
    <w:rsid w:val="00563523"/>
    <w:rsid w:val="005636B2"/>
    <w:rsid w:val="005638B3"/>
    <w:rsid w:val="00563B74"/>
    <w:rsid w:val="00564939"/>
    <w:rsid w:val="00564CBE"/>
    <w:rsid w:val="00565039"/>
    <w:rsid w:val="00565111"/>
    <w:rsid w:val="005653D2"/>
    <w:rsid w:val="005653FE"/>
    <w:rsid w:val="005654A5"/>
    <w:rsid w:val="005656C2"/>
    <w:rsid w:val="00566184"/>
    <w:rsid w:val="005663F7"/>
    <w:rsid w:val="0056648E"/>
    <w:rsid w:val="00566BE2"/>
    <w:rsid w:val="00566DFC"/>
    <w:rsid w:val="005673DE"/>
    <w:rsid w:val="00567733"/>
    <w:rsid w:val="00567F0C"/>
    <w:rsid w:val="00567F97"/>
    <w:rsid w:val="00570447"/>
    <w:rsid w:val="00570625"/>
    <w:rsid w:val="005709B8"/>
    <w:rsid w:val="00570F68"/>
    <w:rsid w:val="0057178D"/>
    <w:rsid w:val="00571ADB"/>
    <w:rsid w:val="00572171"/>
    <w:rsid w:val="00572432"/>
    <w:rsid w:val="005725DC"/>
    <w:rsid w:val="005726A5"/>
    <w:rsid w:val="00572992"/>
    <w:rsid w:val="005729FB"/>
    <w:rsid w:val="00572D78"/>
    <w:rsid w:val="005730CF"/>
    <w:rsid w:val="0057311A"/>
    <w:rsid w:val="0057349B"/>
    <w:rsid w:val="0057375C"/>
    <w:rsid w:val="005737F5"/>
    <w:rsid w:val="00573CC4"/>
    <w:rsid w:val="00573DDC"/>
    <w:rsid w:val="00573F7B"/>
    <w:rsid w:val="00574250"/>
    <w:rsid w:val="005744B5"/>
    <w:rsid w:val="005745AA"/>
    <w:rsid w:val="00574A62"/>
    <w:rsid w:val="00574B4D"/>
    <w:rsid w:val="00574C18"/>
    <w:rsid w:val="00575094"/>
    <w:rsid w:val="005750FE"/>
    <w:rsid w:val="0057534C"/>
    <w:rsid w:val="00575C4B"/>
    <w:rsid w:val="00575FFE"/>
    <w:rsid w:val="0057619D"/>
    <w:rsid w:val="00576A08"/>
    <w:rsid w:val="00576A6D"/>
    <w:rsid w:val="00576C3D"/>
    <w:rsid w:val="00577069"/>
    <w:rsid w:val="0057709B"/>
    <w:rsid w:val="00577149"/>
    <w:rsid w:val="005772BC"/>
    <w:rsid w:val="00577E20"/>
    <w:rsid w:val="00577F89"/>
    <w:rsid w:val="0058019F"/>
    <w:rsid w:val="00580612"/>
    <w:rsid w:val="00580D66"/>
    <w:rsid w:val="00580D6A"/>
    <w:rsid w:val="00580F6E"/>
    <w:rsid w:val="00580F7D"/>
    <w:rsid w:val="005811DB"/>
    <w:rsid w:val="0058180B"/>
    <w:rsid w:val="005819EC"/>
    <w:rsid w:val="00581C15"/>
    <w:rsid w:val="00581C1C"/>
    <w:rsid w:val="00581C25"/>
    <w:rsid w:val="00581D6B"/>
    <w:rsid w:val="00582308"/>
    <w:rsid w:val="0058249F"/>
    <w:rsid w:val="00582864"/>
    <w:rsid w:val="00582E36"/>
    <w:rsid w:val="00582F70"/>
    <w:rsid w:val="00582FB0"/>
    <w:rsid w:val="0058362F"/>
    <w:rsid w:val="005837E2"/>
    <w:rsid w:val="0058380B"/>
    <w:rsid w:val="00584438"/>
    <w:rsid w:val="0058447F"/>
    <w:rsid w:val="005845A7"/>
    <w:rsid w:val="005847A0"/>
    <w:rsid w:val="0058490E"/>
    <w:rsid w:val="005849B9"/>
    <w:rsid w:val="00584A2E"/>
    <w:rsid w:val="00584C85"/>
    <w:rsid w:val="005852D2"/>
    <w:rsid w:val="00585C0E"/>
    <w:rsid w:val="00586078"/>
    <w:rsid w:val="0058651A"/>
    <w:rsid w:val="00586558"/>
    <w:rsid w:val="00586589"/>
    <w:rsid w:val="0058665E"/>
    <w:rsid w:val="0058670D"/>
    <w:rsid w:val="00586721"/>
    <w:rsid w:val="0058684B"/>
    <w:rsid w:val="00586BF0"/>
    <w:rsid w:val="00586D17"/>
    <w:rsid w:val="00586D51"/>
    <w:rsid w:val="0058731B"/>
    <w:rsid w:val="0058751E"/>
    <w:rsid w:val="00587725"/>
    <w:rsid w:val="00587A78"/>
    <w:rsid w:val="00587E37"/>
    <w:rsid w:val="00590468"/>
    <w:rsid w:val="005904C9"/>
    <w:rsid w:val="005904CF"/>
    <w:rsid w:val="005907DB"/>
    <w:rsid w:val="00590817"/>
    <w:rsid w:val="00590CDC"/>
    <w:rsid w:val="005914FB"/>
    <w:rsid w:val="00591C89"/>
    <w:rsid w:val="00591E9B"/>
    <w:rsid w:val="00591ED3"/>
    <w:rsid w:val="00591FA3"/>
    <w:rsid w:val="0059208D"/>
    <w:rsid w:val="0059231D"/>
    <w:rsid w:val="005923D2"/>
    <w:rsid w:val="0059253B"/>
    <w:rsid w:val="00593420"/>
    <w:rsid w:val="005934B2"/>
    <w:rsid w:val="0059372C"/>
    <w:rsid w:val="0059387E"/>
    <w:rsid w:val="00593C2B"/>
    <w:rsid w:val="0059401F"/>
    <w:rsid w:val="005940FC"/>
    <w:rsid w:val="005942EE"/>
    <w:rsid w:val="00594A19"/>
    <w:rsid w:val="005950DA"/>
    <w:rsid w:val="00595319"/>
    <w:rsid w:val="005958E5"/>
    <w:rsid w:val="0059592A"/>
    <w:rsid w:val="00595AB2"/>
    <w:rsid w:val="00596287"/>
    <w:rsid w:val="00596537"/>
    <w:rsid w:val="0059659A"/>
    <w:rsid w:val="005966AA"/>
    <w:rsid w:val="005974E8"/>
    <w:rsid w:val="00597620"/>
    <w:rsid w:val="005976D8"/>
    <w:rsid w:val="005977C0"/>
    <w:rsid w:val="00597877"/>
    <w:rsid w:val="005978CD"/>
    <w:rsid w:val="00597A5D"/>
    <w:rsid w:val="00597ABF"/>
    <w:rsid w:val="00597B49"/>
    <w:rsid w:val="00597BDF"/>
    <w:rsid w:val="00597C2A"/>
    <w:rsid w:val="005A01E6"/>
    <w:rsid w:val="005A04CC"/>
    <w:rsid w:val="005A1508"/>
    <w:rsid w:val="005A1B83"/>
    <w:rsid w:val="005A1CC6"/>
    <w:rsid w:val="005A1E0E"/>
    <w:rsid w:val="005A22DA"/>
    <w:rsid w:val="005A2501"/>
    <w:rsid w:val="005A2701"/>
    <w:rsid w:val="005A2E41"/>
    <w:rsid w:val="005A2E54"/>
    <w:rsid w:val="005A3117"/>
    <w:rsid w:val="005A403F"/>
    <w:rsid w:val="005A429E"/>
    <w:rsid w:val="005A4970"/>
    <w:rsid w:val="005A497C"/>
    <w:rsid w:val="005A4B2F"/>
    <w:rsid w:val="005A4CD5"/>
    <w:rsid w:val="005A4DC3"/>
    <w:rsid w:val="005A504B"/>
    <w:rsid w:val="005A54A2"/>
    <w:rsid w:val="005A5586"/>
    <w:rsid w:val="005A585F"/>
    <w:rsid w:val="005A5EDE"/>
    <w:rsid w:val="005A6593"/>
    <w:rsid w:val="005A65D5"/>
    <w:rsid w:val="005A66CB"/>
    <w:rsid w:val="005A6791"/>
    <w:rsid w:val="005A67FF"/>
    <w:rsid w:val="005A6814"/>
    <w:rsid w:val="005A68F4"/>
    <w:rsid w:val="005A6970"/>
    <w:rsid w:val="005A6E81"/>
    <w:rsid w:val="005A713B"/>
    <w:rsid w:val="005A784A"/>
    <w:rsid w:val="005B0449"/>
    <w:rsid w:val="005B06C0"/>
    <w:rsid w:val="005B07EA"/>
    <w:rsid w:val="005B080B"/>
    <w:rsid w:val="005B089A"/>
    <w:rsid w:val="005B0BC2"/>
    <w:rsid w:val="005B0C50"/>
    <w:rsid w:val="005B0C56"/>
    <w:rsid w:val="005B1182"/>
    <w:rsid w:val="005B1563"/>
    <w:rsid w:val="005B17E1"/>
    <w:rsid w:val="005B18FA"/>
    <w:rsid w:val="005B1DD6"/>
    <w:rsid w:val="005B2270"/>
    <w:rsid w:val="005B22E3"/>
    <w:rsid w:val="005B2957"/>
    <w:rsid w:val="005B29C6"/>
    <w:rsid w:val="005B29E6"/>
    <w:rsid w:val="005B2F28"/>
    <w:rsid w:val="005B3226"/>
    <w:rsid w:val="005B3DB8"/>
    <w:rsid w:val="005B3E3B"/>
    <w:rsid w:val="005B3FF0"/>
    <w:rsid w:val="005B4145"/>
    <w:rsid w:val="005B4164"/>
    <w:rsid w:val="005B416A"/>
    <w:rsid w:val="005B41B4"/>
    <w:rsid w:val="005B4371"/>
    <w:rsid w:val="005B450D"/>
    <w:rsid w:val="005B47E0"/>
    <w:rsid w:val="005B4B80"/>
    <w:rsid w:val="005B4E38"/>
    <w:rsid w:val="005B504F"/>
    <w:rsid w:val="005B521F"/>
    <w:rsid w:val="005B59DC"/>
    <w:rsid w:val="005B6037"/>
    <w:rsid w:val="005B675F"/>
    <w:rsid w:val="005B678B"/>
    <w:rsid w:val="005B6C03"/>
    <w:rsid w:val="005B7040"/>
    <w:rsid w:val="005B7816"/>
    <w:rsid w:val="005B7ACA"/>
    <w:rsid w:val="005B7BF5"/>
    <w:rsid w:val="005B7DDF"/>
    <w:rsid w:val="005C01CE"/>
    <w:rsid w:val="005C0316"/>
    <w:rsid w:val="005C046C"/>
    <w:rsid w:val="005C0C79"/>
    <w:rsid w:val="005C10D0"/>
    <w:rsid w:val="005C1354"/>
    <w:rsid w:val="005C1537"/>
    <w:rsid w:val="005C1636"/>
    <w:rsid w:val="005C1B9B"/>
    <w:rsid w:val="005C1CC6"/>
    <w:rsid w:val="005C1F2A"/>
    <w:rsid w:val="005C259B"/>
    <w:rsid w:val="005C2619"/>
    <w:rsid w:val="005C2734"/>
    <w:rsid w:val="005C2CAD"/>
    <w:rsid w:val="005C30BB"/>
    <w:rsid w:val="005C3649"/>
    <w:rsid w:val="005C39A4"/>
    <w:rsid w:val="005C3BE1"/>
    <w:rsid w:val="005C3C96"/>
    <w:rsid w:val="005C4BE1"/>
    <w:rsid w:val="005C4BEC"/>
    <w:rsid w:val="005C4DB0"/>
    <w:rsid w:val="005C4E25"/>
    <w:rsid w:val="005C4FB0"/>
    <w:rsid w:val="005C520D"/>
    <w:rsid w:val="005C5B1A"/>
    <w:rsid w:val="005C5E97"/>
    <w:rsid w:val="005C5EFD"/>
    <w:rsid w:val="005C6005"/>
    <w:rsid w:val="005C6713"/>
    <w:rsid w:val="005C688E"/>
    <w:rsid w:val="005C6ECD"/>
    <w:rsid w:val="005C7012"/>
    <w:rsid w:val="005C76CC"/>
    <w:rsid w:val="005C7748"/>
    <w:rsid w:val="005C7C62"/>
    <w:rsid w:val="005C7D6D"/>
    <w:rsid w:val="005C7F5D"/>
    <w:rsid w:val="005D01E1"/>
    <w:rsid w:val="005D050C"/>
    <w:rsid w:val="005D0985"/>
    <w:rsid w:val="005D09D2"/>
    <w:rsid w:val="005D0A5A"/>
    <w:rsid w:val="005D0F4A"/>
    <w:rsid w:val="005D0F59"/>
    <w:rsid w:val="005D0FD3"/>
    <w:rsid w:val="005D10A6"/>
    <w:rsid w:val="005D116B"/>
    <w:rsid w:val="005D144D"/>
    <w:rsid w:val="005D1B9C"/>
    <w:rsid w:val="005D1BCF"/>
    <w:rsid w:val="005D250D"/>
    <w:rsid w:val="005D2536"/>
    <w:rsid w:val="005D26DF"/>
    <w:rsid w:val="005D2BB0"/>
    <w:rsid w:val="005D2D12"/>
    <w:rsid w:val="005D2F67"/>
    <w:rsid w:val="005D2F8D"/>
    <w:rsid w:val="005D32D6"/>
    <w:rsid w:val="005D352E"/>
    <w:rsid w:val="005D3DE3"/>
    <w:rsid w:val="005D4173"/>
    <w:rsid w:val="005D4419"/>
    <w:rsid w:val="005D4810"/>
    <w:rsid w:val="005D4817"/>
    <w:rsid w:val="005D56F2"/>
    <w:rsid w:val="005D5987"/>
    <w:rsid w:val="005D5E94"/>
    <w:rsid w:val="005D6258"/>
    <w:rsid w:val="005D68D8"/>
    <w:rsid w:val="005D68F4"/>
    <w:rsid w:val="005D7BB0"/>
    <w:rsid w:val="005D7FFA"/>
    <w:rsid w:val="005E048C"/>
    <w:rsid w:val="005E05AF"/>
    <w:rsid w:val="005E0790"/>
    <w:rsid w:val="005E0EAB"/>
    <w:rsid w:val="005E0ED5"/>
    <w:rsid w:val="005E1173"/>
    <w:rsid w:val="005E142A"/>
    <w:rsid w:val="005E1734"/>
    <w:rsid w:val="005E17D2"/>
    <w:rsid w:val="005E2338"/>
    <w:rsid w:val="005E24AE"/>
    <w:rsid w:val="005E25B8"/>
    <w:rsid w:val="005E265F"/>
    <w:rsid w:val="005E29D7"/>
    <w:rsid w:val="005E2C5E"/>
    <w:rsid w:val="005E2DAC"/>
    <w:rsid w:val="005E369A"/>
    <w:rsid w:val="005E3A85"/>
    <w:rsid w:val="005E3B03"/>
    <w:rsid w:val="005E3E70"/>
    <w:rsid w:val="005E4193"/>
    <w:rsid w:val="005E42DE"/>
    <w:rsid w:val="005E43C5"/>
    <w:rsid w:val="005E4CD4"/>
    <w:rsid w:val="005E4DA3"/>
    <w:rsid w:val="005E50C2"/>
    <w:rsid w:val="005E5AA3"/>
    <w:rsid w:val="005E5AB5"/>
    <w:rsid w:val="005E5C76"/>
    <w:rsid w:val="005E6240"/>
    <w:rsid w:val="005E6331"/>
    <w:rsid w:val="005E6464"/>
    <w:rsid w:val="005E68AA"/>
    <w:rsid w:val="005E68CE"/>
    <w:rsid w:val="005E6EC9"/>
    <w:rsid w:val="005E6F5A"/>
    <w:rsid w:val="005E727A"/>
    <w:rsid w:val="005E788F"/>
    <w:rsid w:val="005E793D"/>
    <w:rsid w:val="005E7AF5"/>
    <w:rsid w:val="005F006C"/>
    <w:rsid w:val="005F0076"/>
    <w:rsid w:val="005F0116"/>
    <w:rsid w:val="005F07D7"/>
    <w:rsid w:val="005F08A0"/>
    <w:rsid w:val="005F0E91"/>
    <w:rsid w:val="005F104B"/>
    <w:rsid w:val="005F16B0"/>
    <w:rsid w:val="005F1AD4"/>
    <w:rsid w:val="005F1CDE"/>
    <w:rsid w:val="005F22D3"/>
    <w:rsid w:val="005F2863"/>
    <w:rsid w:val="005F28EA"/>
    <w:rsid w:val="005F2925"/>
    <w:rsid w:val="005F2BA6"/>
    <w:rsid w:val="005F2DB9"/>
    <w:rsid w:val="005F31CE"/>
    <w:rsid w:val="005F3450"/>
    <w:rsid w:val="005F3557"/>
    <w:rsid w:val="005F3671"/>
    <w:rsid w:val="005F382A"/>
    <w:rsid w:val="005F44CA"/>
    <w:rsid w:val="005F48D5"/>
    <w:rsid w:val="005F4A03"/>
    <w:rsid w:val="005F4A53"/>
    <w:rsid w:val="005F4E92"/>
    <w:rsid w:val="005F5014"/>
    <w:rsid w:val="005F502B"/>
    <w:rsid w:val="005F5143"/>
    <w:rsid w:val="005F51C6"/>
    <w:rsid w:val="005F51F2"/>
    <w:rsid w:val="005F5239"/>
    <w:rsid w:val="005F5E86"/>
    <w:rsid w:val="005F5EF4"/>
    <w:rsid w:val="005F635C"/>
    <w:rsid w:val="005F6410"/>
    <w:rsid w:val="005F65D9"/>
    <w:rsid w:val="005F6752"/>
    <w:rsid w:val="005F6E81"/>
    <w:rsid w:val="005F705E"/>
    <w:rsid w:val="005F765F"/>
    <w:rsid w:val="005F77D8"/>
    <w:rsid w:val="005F7C1B"/>
    <w:rsid w:val="006001A6"/>
    <w:rsid w:val="006004BF"/>
    <w:rsid w:val="006007CC"/>
    <w:rsid w:val="00600ACD"/>
    <w:rsid w:val="00600B52"/>
    <w:rsid w:val="00600BA0"/>
    <w:rsid w:val="00600C67"/>
    <w:rsid w:val="00600F00"/>
    <w:rsid w:val="00601334"/>
    <w:rsid w:val="00601473"/>
    <w:rsid w:val="00601851"/>
    <w:rsid w:val="00601A72"/>
    <w:rsid w:val="00601BC0"/>
    <w:rsid w:val="00601CDD"/>
    <w:rsid w:val="00601E99"/>
    <w:rsid w:val="00602689"/>
    <w:rsid w:val="00602B11"/>
    <w:rsid w:val="00602C12"/>
    <w:rsid w:val="00602DD4"/>
    <w:rsid w:val="00602F05"/>
    <w:rsid w:val="00603248"/>
    <w:rsid w:val="006035CD"/>
    <w:rsid w:val="006037FF"/>
    <w:rsid w:val="00603BA0"/>
    <w:rsid w:val="00603E0E"/>
    <w:rsid w:val="0060430C"/>
    <w:rsid w:val="00604770"/>
    <w:rsid w:val="00604DAB"/>
    <w:rsid w:val="00604FBC"/>
    <w:rsid w:val="00605040"/>
    <w:rsid w:val="00605223"/>
    <w:rsid w:val="0060586D"/>
    <w:rsid w:val="00605B59"/>
    <w:rsid w:val="00605BFF"/>
    <w:rsid w:val="00605C53"/>
    <w:rsid w:val="006060BA"/>
    <w:rsid w:val="0060621C"/>
    <w:rsid w:val="006063A7"/>
    <w:rsid w:val="006066B4"/>
    <w:rsid w:val="0060676A"/>
    <w:rsid w:val="00606813"/>
    <w:rsid w:val="0060735E"/>
    <w:rsid w:val="0060739E"/>
    <w:rsid w:val="00607B18"/>
    <w:rsid w:val="00607D65"/>
    <w:rsid w:val="00607FF2"/>
    <w:rsid w:val="00610249"/>
    <w:rsid w:val="00610B71"/>
    <w:rsid w:val="00610F45"/>
    <w:rsid w:val="00610FE6"/>
    <w:rsid w:val="00610FFB"/>
    <w:rsid w:val="00611069"/>
    <w:rsid w:val="00611230"/>
    <w:rsid w:val="006113B7"/>
    <w:rsid w:val="0061153A"/>
    <w:rsid w:val="00611953"/>
    <w:rsid w:val="00611DE7"/>
    <w:rsid w:val="0061201F"/>
    <w:rsid w:val="00612113"/>
    <w:rsid w:val="006121BF"/>
    <w:rsid w:val="006122EA"/>
    <w:rsid w:val="00612B2F"/>
    <w:rsid w:val="00613154"/>
    <w:rsid w:val="006132CB"/>
    <w:rsid w:val="00613448"/>
    <w:rsid w:val="00613A2E"/>
    <w:rsid w:val="00613AFE"/>
    <w:rsid w:val="00613E05"/>
    <w:rsid w:val="00614181"/>
    <w:rsid w:val="00614473"/>
    <w:rsid w:val="006145E2"/>
    <w:rsid w:val="00614792"/>
    <w:rsid w:val="00614813"/>
    <w:rsid w:val="00614D63"/>
    <w:rsid w:val="00614E6B"/>
    <w:rsid w:val="00614FD4"/>
    <w:rsid w:val="006151FF"/>
    <w:rsid w:val="00615669"/>
    <w:rsid w:val="006156EE"/>
    <w:rsid w:val="0061578C"/>
    <w:rsid w:val="006157F5"/>
    <w:rsid w:val="006158A2"/>
    <w:rsid w:val="00615B58"/>
    <w:rsid w:val="00615D4A"/>
    <w:rsid w:val="00616689"/>
    <w:rsid w:val="00616795"/>
    <w:rsid w:val="006168D0"/>
    <w:rsid w:val="00616B4B"/>
    <w:rsid w:val="00616B71"/>
    <w:rsid w:val="00616C48"/>
    <w:rsid w:val="0061751E"/>
    <w:rsid w:val="00617746"/>
    <w:rsid w:val="00617885"/>
    <w:rsid w:val="006178D0"/>
    <w:rsid w:val="00617B73"/>
    <w:rsid w:val="00617D63"/>
    <w:rsid w:val="006202B7"/>
    <w:rsid w:val="006205C8"/>
    <w:rsid w:val="0062078F"/>
    <w:rsid w:val="00620A1A"/>
    <w:rsid w:val="00620EE2"/>
    <w:rsid w:val="00620F21"/>
    <w:rsid w:val="00620FF4"/>
    <w:rsid w:val="006215C5"/>
    <w:rsid w:val="00621A35"/>
    <w:rsid w:val="00621E7E"/>
    <w:rsid w:val="00622765"/>
    <w:rsid w:val="00622D28"/>
    <w:rsid w:val="00622D69"/>
    <w:rsid w:val="006232D1"/>
    <w:rsid w:val="006233CF"/>
    <w:rsid w:val="00623C53"/>
    <w:rsid w:val="00623DDE"/>
    <w:rsid w:val="00624230"/>
    <w:rsid w:val="006249A0"/>
    <w:rsid w:val="00624BD2"/>
    <w:rsid w:val="006250C9"/>
    <w:rsid w:val="00625362"/>
    <w:rsid w:val="006253FB"/>
    <w:rsid w:val="00625998"/>
    <w:rsid w:val="00625B75"/>
    <w:rsid w:val="00625DD2"/>
    <w:rsid w:val="006260F0"/>
    <w:rsid w:val="006261C6"/>
    <w:rsid w:val="006262F0"/>
    <w:rsid w:val="0062735E"/>
    <w:rsid w:val="00627413"/>
    <w:rsid w:val="0062741D"/>
    <w:rsid w:val="00627747"/>
    <w:rsid w:val="006277E5"/>
    <w:rsid w:val="00630371"/>
    <w:rsid w:val="00630489"/>
    <w:rsid w:val="006304DD"/>
    <w:rsid w:val="00630563"/>
    <w:rsid w:val="0063058B"/>
    <w:rsid w:val="00630643"/>
    <w:rsid w:val="006306C5"/>
    <w:rsid w:val="006310F4"/>
    <w:rsid w:val="00631A73"/>
    <w:rsid w:val="00631A95"/>
    <w:rsid w:val="00631AD0"/>
    <w:rsid w:val="00631B22"/>
    <w:rsid w:val="00631DAA"/>
    <w:rsid w:val="00631F32"/>
    <w:rsid w:val="0063210A"/>
    <w:rsid w:val="006322EB"/>
    <w:rsid w:val="0063262D"/>
    <w:rsid w:val="006326D6"/>
    <w:rsid w:val="00632DCC"/>
    <w:rsid w:val="006332CB"/>
    <w:rsid w:val="0063339C"/>
    <w:rsid w:val="00633449"/>
    <w:rsid w:val="0063349F"/>
    <w:rsid w:val="00633959"/>
    <w:rsid w:val="00633A0C"/>
    <w:rsid w:val="00633A63"/>
    <w:rsid w:val="00633AE4"/>
    <w:rsid w:val="00633B13"/>
    <w:rsid w:val="00634304"/>
    <w:rsid w:val="006346E4"/>
    <w:rsid w:val="00634B55"/>
    <w:rsid w:val="00634DA5"/>
    <w:rsid w:val="006359B2"/>
    <w:rsid w:val="00635C39"/>
    <w:rsid w:val="0063602A"/>
    <w:rsid w:val="00636237"/>
    <w:rsid w:val="006367F8"/>
    <w:rsid w:val="00636ACA"/>
    <w:rsid w:val="0063725E"/>
    <w:rsid w:val="00637CC7"/>
    <w:rsid w:val="00637F22"/>
    <w:rsid w:val="0063EECE"/>
    <w:rsid w:val="0064014C"/>
    <w:rsid w:val="0064042E"/>
    <w:rsid w:val="00640738"/>
    <w:rsid w:val="00640915"/>
    <w:rsid w:val="00640B81"/>
    <w:rsid w:val="00640D1F"/>
    <w:rsid w:val="00640FD1"/>
    <w:rsid w:val="006410F8"/>
    <w:rsid w:val="006415F6"/>
    <w:rsid w:val="00641888"/>
    <w:rsid w:val="00641B31"/>
    <w:rsid w:val="006421F1"/>
    <w:rsid w:val="00642295"/>
    <w:rsid w:val="00642501"/>
    <w:rsid w:val="006425DE"/>
    <w:rsid w:val="006426FF"/>
    <w:rsid w:val="006428C2"/>
    <w:rsid w:val="006429F6"/>
    <w:rsid w:val="00642DD3"/>
    <w:rsid w:val="00642F28"/>
    <w:rsid w:val="00642FF8"/>
    <w:rsid w:val="0064318E"/>
    <w:rsid w:val="00643653"/>
    <w:rsid w:val="006437CF"/>
    <w:rsid w:val="0064394E"/>
    <w:rsid w:val="0064415F"/>
    <w:rsid w:val="00644376"/>
    <w:rsid w:val="006447FD"/>
    <w:rsid w:val="00644A96"/>
    <w:rsid w:val="00644B31"/>
    <w:rsid w:val="00645292"/>
    <w:rsid w:val="00645810"/>
    <w:rsid w:val="006464CD"/>
    <w:rsid w:val="006466CA"/>
    <w:rsid w:val="00646760"/>
    <w:rsid w:val="006469AE"/>
    <w:rsid w:val="00646C49"/>
    <w:rsid w:val="00646E3B"/>
    <w:rsid w:val="00647AF0"/>
    <w:rsid w:val="00647EFA"/>
    <w:rsid w:val="0065008C"/>
    <w:rsid w:val="00650704"/>
    <w:rsid w:val="00650AF0"/>
    <w:rsid w:val="00650DD0"/>
    <w:rsid w:val="006512FB"/>
    <w:rsid w:val="00651565"/>
    <w:rsid w:val="00651998"/>
    <w:rsid w:val="0065200A"/>
    <w:rsid w:val="006521C8"/>
    <w:rsid w:val="00652245"/>
    <w:rsid w:val="00652B6F"/>
    <w:rsid w:val="00652EE4"/>
    <w:rsid w:val="00652F69"/>
    <w:rsid w:val="00653208"/>
    <w:rsid w:val="00653710"/>
    <w:rsid w:val="00653CC7"/>
    <w:rsid w:val="00653FE8"/>
    <w:rsid w:val="006543A1"/>
    <w:rsid w:val="00654421"/>
    <w:rsid w:val="00654C08"/>
    <w:rsid w:val="00654E23"/>
    <w:rsid w:val="00654FDD"/>
    <w:rsid w:val="0065525A"/>
    <w:rsid w:val="0065535D"/>
    <w:rsid w:val="006555CE"/>
    <w:rsid w:val="0065567A"/>
    <w:rsid w:val="00655757"/>
    <w:rsid w:val="006557FE"/>
    <w:rsid w:val="006559E1"/>
    <w:rsid w:val="00655A36"/>
    <w:rsid w:val="00655B0E"/>
    <w:rsid w:val="00656453"/>
    <w:rsid w:val="006564D8"/>
    <w:rsid w:val="006567EE"/>
    <w:rsid w:val="006569E8"/>
    <w:rsid w:val="00656C64"/>
    <w:rsid w:val="00656EDF"/>
    <w:rsid w:val="0065721C"/>
    <w:rsid w:val="0065725C"/>
    <w:rsid w:val="006573FC"/>
    <w:rsid w:val="00657AB4"/>
    <w:rsid w:val="00657BE4"/>
    <w:rsid w:val="00657C07"/>
    <w:rsid w:val="00657F43"/>
    <w:rsid w:val="00660100"/>
    <w:rsid w:val="00660170"/>
    <w:rsid w:val="00660305"/>
    <w:rsid w:val="00660730"/>
    <w:rsid w:val="00660A85"/>
    <w:rsid w:val="00660BC7"/>
    <w:rsid w:val="00660C6B"/>
    <w:rsid w:val="00660E1D"/>
    <w:rsid w:val="00660EB8"/>
    <w:rsid w:val="00660FA3"/>
    <w:rsid w:val="00660FC8"/>
    <w:rsid w:val="00661157"/>
    <w:rsid w:val="006613AF"/>
    <w:rsid w:val="0066142A"/>
    <w:rsid w:val="006615F6"/>
    <w:rsid w:val="00661A5C"/>
    <w:rsid w:val="00661C8D"/>
    <w:rsid w:val="00661DC7"/>
    <w:rsid w:val="0066223C"/>
    <w:rsid w:val="00662288"/>
    <w:rsid w:val="006624D9"/>
    <w:rsid w:val="00662BB1"/>
    <w:rsid w:val="00662D6B"/>
    <w:rsid w:val="00663629"/>
    <w:rsid w:val="00663D09"/>
    <w:rsid w:val="00663F1C"/>
    <w:rsid w:val="00664038"/>
    <w:rsid w:val="006642CC"/>
    <w:rsid w:val="00664367"/>
    <w:rsid w:val="006643AB"/>
    <w:rsid w:val="006646C9"/>
    <w:rsid w:val="0066480C"/>
    <w:rsid w:val="0066499D"/>
    <w:rsid w:val="006649D1"/>
    <w:rsid w:val="00664EEC"/>
    <w:rsid w:val="00665294"/>
    <w:rsid w:val="00665D80"/>
    <w:rsid w:val="00665F18"/>
    <w:rsid w:val="00665F80"/>
    <w:rsid w:val="00666291"/>
    <w:rsid w:val="006662D8"/>
    <w:rsid w:val="006665CC"/>
    <w:rsid w:val="0066696E"/>
    <w:rsid w:val="00666A34"/>
    <w:rsid w:val="00666ADC"/>
    <w:rsid w:val="00666CA9"/>
    <w:rsid w:val="0066755D"/>
    <w:rsid w:val="00667759"/>
    <w:rsid w:val="006678DD"/>
    <w:rsid w:val="00667D14"/>
    <w:rsid w:val="00667E83"/>
    <w:rsid w:val="00667FA4"/>
    <w:rsid w:val="006702A6"/>
    <w:rsid w:val="00670932"/>
    <w:rsid w:val="0067101F"/>
    <w:rsid w:val="00671059"/>
    <w:rsid w:val="0067154F"/>
    <w:rsid w:val="006716B2"/>
    <w:rsid w:val="00671AE1"/>
    <w:rsid w:val="00671E06"/>
    <w:rsid w:val="00671E14"/>
    <w:rsid w:val="006723C2"/>
    <w:rsid w:val="006726BE"/>
    <w:rsid w:val="00672BFF"/>
    <w:rsid w:val="00672C49"/>
    <w:rsid w:val="00672CF2"/>
    <w:rsid w:val="00672EE0"/>
    <w:rsid w:val="00673108"/>
    <w:rsid w:val="00673128"/>
    <w:rsid w:val="006731B1"/>
    <w:rsid w:val="00673663"/>
    <w:rsid w:val="006736E8"/>
    <w:rsid w:val="00673DD7"/>
    <w:rsid w:val="00673F33"/>
    <w:rsid w:val="0067440D"/>
    <w:rsid w:val="006748A6"/>
    <w:rsid w:val="00674BD2"/>
    <w:rsid w:val="0067503D"/>
    <w:rsid w:val="0067513E"/>
    <w:rsid w:val="00675463"/>
    <w:rsid w:val="006758F6"/>
    <w:rsid w:val="00675D59"/>
    <w:rsid w:val="00675F4E"/>
    <w:rsid w:val="0067622E"/>
    <w:rsid w:val="00676525"/>
    <w:rsid w:val="00676CF6"/>
    <w:rsid w:val="00676EF7"/>
    <w:rsid w:val="00677056"/>
    <w:rsid w:val="00677B98"/>
    <w:rsid w:val="00677E48"/>
    <w:rsid w:val="0068019F"/>
    <w:rsid w:val="006804C0"/>
    <w:rsid w:val="0068082B"/>
    <w:rsid w:val="006808C7"/>
    <w:rsid w:val="006808D5"/>
    <w:rsid w:val="00680920"/>
    <w:rsid w:val="00680A15"/>
    <w:rsid w:val="00680B51"/>
    <w:rsid w:val="00680D54"/>
    <w:rsid w:val="00680EBA"/>
    <w:rsid w:val="006811D8"/>
    <w:rsid w:val="00681294"/>
    <w:rsid w:val="006815A2"/>
    <w:rsid w:val="00681627"/>
    <w:rsid w:val="0068172F"/>
    <w:rsid w:val="006817CE"/>
    <w:rsid w:val="00681876"/>
    <w:rsid w:val="00681A69"/>
    <w:rsid w:val="00681AE1"/>
    <w:rsid w:val="00681B8A"/>
    <w:rsid w:val="00681DE5"/>
    <w:rsid w:val="00682165"/>
    <w:rsid w:val="006823C1"/>
    <w:rsid w:val="006824E1"/>
    <w:rsid w:val="00682537"/>
    <w:rsid w:val="00682679"/>
    <w:rsid w:val="0068280D"/>
    <w:rsid w:val="00682C33"/>
    <w:rsid w:val="00682EFB"/>
    <w:rsid w:val="00682F0E"/>
    <w:rsid w:val="00682F86"/>
    <w:rsid w:val="0068336D"/>
    <w:rsid w:val="0068355C"/>
    <w:rsid w:val="00683BB8"/>
    <w:rsid w:val="00683DFF"/>
    <w:rsid w:val="00684775"/>
    <w:rsid w:val="0068488B"/>
    <w:rsid w:val="00684AA0"/>
    <w:rsid w:val="00684B8D"/>
    <w:rsid w:val="00684FBC"/>
    <w:rsid w:val="00685469"/>
    <w:rsid w:val="00685D6B"/>
    <w:rsid w:val="00685EB5"/>
    <w:rsid w:val="00685ECB"/>
    <w:rsid w:val="00685EED"/>
    <w:rsid w:val="006861F6"/>
    <w:rsid w:val="00686281"/>
    <w:rsid w:val="00686416"/>
    <w:rsid w:val="0068643B"/>
    <w:rsid w:val="0068695E"/>
    <w:rsid w:val="00686CF4"/>
    <w:rsid w:val="00686F07"/>
    <w:rsid w:val="00687275"/>
    <w:rsid w:val="006873AA"/>
    <w:rsid w:val="0068783F"/>
    <w:rsid w:val="00687A57"/>
    <w:rsid w:val="00687D74"/>
    <w:rsid w:val="00687D75"/>
    <w:rsid w:val="006901D5"/>
    <w:rsid w:val="006908D6"/>
    <w:rsid w:val="00690D1A"/>
    <w:rsid w:val="00690DBC"/>
    <w:rsid w:val="00690F17"/>
    <w:rsid w:val="00690FD3"/>
    <w:rsid w:val="006912FA"/>
    <w:rsid w:val="00691517"/>
    <w:rsid w:val="006918B7"/>
    <w:rsid w:val="0069234D"/>
    <w:rsid w:val="006923C4"/>
    <w:rsid w:val="006924FB"/>
    <w:rsid w:val="00692A6F"/>
    <w:rsid w:val="00692BDF"/>
    <w:rsid w:val="00692D3A"/>
    <w:rsid w:val="00692E5C"/>
    <w:rsid w:val="0069304A"/>
    <w:rsid w:val="006933F8"/>
    <w:rsid w:val="00693BAE"/>
    <w:rsid w:val="00694171"/>
    <w:rsid w:val="0069429D"/>
    <w:rsid w:val="00694BB8"/>
    <w:rsid w:val="00694CAE"/>
    <w:rsid w:val="00695115"/>
    <w:rsid w:val="0069559D"/>
    <w:rsid w:val="0069598E"/>
    <w:rsid w:val="00695AAF"/>
    <w:rsid w:val="00695BDF"/>
    <w:rsid w:val="00695CA7"/>
    <w:rsid w:val="00695D9C"/>
    <w:rsid w:val="00695EC4"/>
    <w:rsid w:val="00695FD9"/>
    <w:rsid w:val="006962A1"/>
    <w:rsid w:val="00696E4C"/>
    <w:rsid w:val="0069714E"/>
    <w:rsid w:val="0069717B"/>
    <w:rsid w:val="00697191"/>
    <w:rsid w:val="00697269"/>
    <w:rsid w:val="0069779E"/>
    <w:rsid w:val="006979A2"/>
    <w:rsid w:val="00697C13"/>
    <w:rsid w:val="00697C8D"/>
    <w:rsid w:val="00697F63"/>
    <w:rsid w:val="006A01B7"/>
    <w:rsid w:val="006A0872"/>
    <w:rsid w:val="006A0ACA"/>
    <w:rsid w:val="006A0F89"/>
    <w:rsid w:val="006A1172"/>
    <w:rsid w:val="006A11E3"/>
    <w:rsid w:val="006A17CD"/>
    <w:rsid w:val="006A18B1"/>
    <w:rsid w:val="006A1BBE"/>
    <w:rsid w:val="006A22E0"/>
    <w:rsid w:val="006A232D"/>
    <w:rsid w:val="006A2523"/>
    <w:rsid w:val="006A3361"/>
    <w:rsid w:val="006A387F"/>
    <w:rsid w:val="006A3ACF"/>
    <w:rsid w:val="006A3AED"/>
    <w:rsid w:val="006A3C4B"/>
    <w:rsid w:val="006A4DCF"/>
    <w:rsid w:val="006A4E57"/>
    <w:rsid w:val="006A4EFE"/>
    <w:rsid w:val="006A4FC1"/>
    <w:rsid w:val="006A5099"/>
    <w:rsid w:val="006A5222"/>
    <w:rsid w:val="006A523C"/>
    <w:rsid w:val="006A53FF"/>
    <w:rsid w:val="006A5454"/>
    <w:rsid w:val="006A54A6"/>
    <w:rsid w:val="006A54F6"/>
    <w:rsid w:val="006A5560"/>
    <w:rsid w:val="006A585E"/>
    <w:rsid w:val="006A5873"/>
    <w:rsid w:val="006A5A68"/>
    <w:rsid w:val="006A5C40"/>
    <w:rsid w:val="006A5E52"/>
    <w:rsid w:val="006A6485"/>
    <w:rsid w:val="006A6AAF"/>
    <w:rsid w:val="006A7154"/>
    <w:rsid w:val="006A733D"/>
    <w:rsid w:val="006A7B51"/>
    <w:rsid w:val="006A7B5E"/>
    <w:rsid w:val="006B03D1"/>
    <w:rsid w:val="006B0574"/>
    <w:rsid w:val="006B072F"/>
    <w:rsid w:val="006B085A"/>
    <w:rsid w:val="006B0EB7"/>
    <w:rsid w:val="006B18F1"/>
    <w:rsid w:val="006B1AC2"/>
    <w:rsid w:val="006B1DEC"/>
    <w:rsid w:val="006B1FD5"/>
    <w:rsid w:val="006B21C0"/>
    <w:rsid w:val="006B23B9"/>
    <w:rsid w:val="006B2758"/>
    <w:rsid w:val="006B2830"/>
    <w:rsid w:val="006B29C6"/>
    <w:rsid w:val="006B2BEB"/>
    <w:rsid w:val="006B2CEB"/>
    <w:rsid w:val="006B2F21"/>
    <w:rsid w:val="006B3294"/>
    <w:rsid w:val="006B395F"/>
    <w:rsid w:val="006B3B26"/>
    <w:rsid w:val="006B3D98"/>
    <w:rsid w:val="006B3E7F"/>
    <w:rsid w:val="006B4103"/>
    <w:rsid w:val="006B431C"/>
    <w:rsid w:val="006B4E03"/>
    <w:rsid w:val="006B51EC"/>
    <w:rsid w:val="006B5601"/>
    <w:rsid w:val="006B597C"/>
    <w:rsid w:val="006B5B1C"/>
    <w:rsid w:val="006B63CC"/>
    <w:rsid w:val="006B64F5"/>
    <w:rsid w:val="006B65F0"/>
    <w:rsid w:val="006B6B80"/>
    <w:rsid w:val="006B6C59"/>
    <w:rsid w:val="006B6F1E"/>
    <w:rsid w:val="006B70C4"/>
    <w:rsid w:val="006B71F3"/>
    <w:rsid w:val="006B726F"/>
    <w:rsid w:val="006B72CA"/>
    <w:rsid w:val="006B7433"/>
    <w:rsid w:val="006B76D2"/>
    <w:rsid w:val="006C019C"/>
    <w:rsid w:val="006C02FE"/>
    <w:rsid w:val="006C049E"/>
    <w:rsid w:val="006C06F6"/>
    <w:rsid w:val="006C0729"/>
    <w:rsid w:val="006C08DB"/>
    <w:rsid w:val="006C20ED"/>
    <w:rsid w:val="006C2127"/>
    <w:rsid w:val="006C21DE"/>
    <w:rsid w:val="006C267A"/>
    <w:rsid w:val="006C2939"/>
    <w:rsid w:val="006C2BD3"/>
    <w:rsid w:val="006C327A"/>
    <w:rsid w:val="006C33DB"/>
    <w:rsid w:val="006C346A"/>
    <w:rsid w:val="006C3869"/>
    <w:rsid w:val="006C3A0C"/>
    <w:rsid w:val="006C3A7F"/>
    <w:rsid w:val="006C3BF3"/>
    <w:rsid w:val="006C3FC4"/>
    <w:rsid w:val="006C42C9"/>
    <w:rsid w:val="006C45AF"/>
    <w:rsid w:val="006C48AD"/>
    <w:rsid w:val="006C496E"/>
    <w:rsid w:val="006C4972"/>
    <w:rsid w:val="006C569C"/>
    <w:rsid w:val="006C5E4C"/>
    <w:rsid w:val="006C5E65"/>
    <w:rsid w:val="006C5E69"/>
    <w:rsid w:val="006C61D0"/>
    <w:rsid w:val="006C62C5"/>
    <w:rsid w:val="006C6670"/>
    <w:rsid w:val="006C68CA"/>
    <w:rsid w:val="006C6B27"/>
    <w:rsid w:val="006C73BB"/>
    <w:rsid w:val="006C76F4"/>
    <w:rsid w:val="006C7AF7"/>
    <w:rsid w:val="006C7D10"/>
    <w:rsid w:val="006D0066"/>
    <w:rsid w:val="006D0174"/>
    <w:rsid w:val="006D0207"/>
    <w:rsid w:val="006D026F"/>
    <w:rsid w:val="006D04B5"/>
    <w:rsid w:val="006D0557"/>
    <w:rsid w:val="006D0A73"/>
    <w:rsid w:val="006D0B01"/>
    <w:rsid w:val="006D0BD1"/>
    <w:rsid w:val="006D0CD9"/>
    <w:rsid w:val="006D15D3"/>
    <w:rsid w:val="006D1CA6"/>
    <w:rsid w:val="006D1ED4"/>
    <w:rsid w:val="006D2067"/>
    <w:rsid w:val="006D2351"/>
    <w:rsid w:val="006D268C"/>
    <w:rsid w:val="006D2B89"/>
    <w:rsid w:val="006D2DF1"/>
    <w:rsid w:val="006D341A"/>
    <w:rsid w:val="006D3743"/>
    <w:rsid w:val="006D39FC"/>
    <w:rsid w:val="006D3AE4"/>
    <w:rsid w:val="006D3EC2"/>
    <w:rsid w:val="006D3F82"/>
    <w:rsid w:val="006D401E"/>
    <w:rsid w:val="006D4D7F"/>
    <w:rsid w:val="006D4FAD"/>
    <w:rsid w:val="006D54A9"/>
    <w:rsid w:val="006D5A33"/>
    <w:rsid w:val="006D623F"/>
    <w:rsid w:val="006D663A"/>
    <w:rsid w:val="006D69D7"/>
    <w:rsid w:val="006D74D3"/>
    <w:rsid w:val="006D7E7E"/>
    <w:rsid w:val="006D7EF5"/>
    <w:rsid w:val="006E0396"/>
    <w:rsid w:val="006E0699"/>
    <w:rsid w:val="006E0937"/>
    <w:rsid w:val="006E09F0"/>
    <w:rsid w:val="006E0F9F"/>
    <w:rsid w:val="006E1476"/>
    <w:rsid w:val="006E14F5"/>
    <w:rsid w:val="006E1923"/>
    <w:rsid w:val="006E1A32"/>
    <w:rsid w:val="006E1BF9"/>
    <w:rsid w:val="006E1DF2"/>
    <w:rsid w:val="006E26DC"/>
    <w:rsid w:val="006E2C1E"/>
    <w:rsid w:val="006E3003"/>
    <w:rsid w:val="006E3359"/>
    <w:rsid w:val="006E3522"/>
    <w:rsid w:val="006E36A5"/>
    <w:rsid w:val="006E381E"/>
    <w:rsid w:val="006E3906"/>
    <w:rsid w:val="006E3C82"/>
    <w:rsid w:val="006E4511"/>
    <w:rsid w:val="006E49B1"/>
    <w:rsid w:val="006E50ED"/>
    <w:rsid w:val="006E5A10"/>
    <w:rsid w:val="006E6A59"/>
    <w:rsid w:val="006E6AF2"/>
    <w:rsid w:val="006E6B32"/>
    <w:rsid w:val="006E6C3E"/>
    <w:rsid w:val="006E6FE4"/>
    <w:rsid w:val="006E73BF"/>
    <w:rsid w:val="006E7434"/>
    <w:rsid w:val="006E7898"/>
    <w:rsid w:val="006E7B87"/>
    <w:rsid w:val="006F0282"/>
    <w:rsid w:val="006F06DE"/>
    <w:rsid w:val="006F07F2"/>
    <w:rsid w:val="006F0869"/>
    <w:rsid w:val="006F097B"/>
    <w:rsid w:val="006F0B4C"/>
    <w:rsid w:val="006F0DA7"/>
    <w:rsid w:val="006F1698"/>
    <w:rsid w:val="006F16CC"/>
    <w:rsid w:val="006F1A5B"/>
    <w:rsid w:val="006F1A62"/>
    <w:rsid w:val="006F1B45"/>
    <w:rsid w:val="006F2169"/>
    <w:rsid w:val="006F217E"/>
    <w:rsid w:val="006F2788"/>
    <w:rsid w:val="006F28AE"/>
    <w:rsid w:val="006F2A69"/>
    <w:rsid w:val="006F2BDE"/>
    <w:rsid w:val="006F3039"/>
    <w:rsid w:val="006F331E"/>
    <w:rsid w:val="006F335D"/>
    <w:rsid w:val="006F34DC"/>
    <w:rsid w:val="006F3685"/>
    <w:rsid w:val="006F37A6"/>
    <w:rsid w:val="006F37EE"/>
    <w:rsid w:val="006F385D"/>
    <w:rsid w:val="006F3C03"/>
    <w:rsid w:val="006F3F99"/>
    <w:rsid w:val="006F3FB6"/>
    <w:rsid w:val="006F4008"/>
    <w:rsid w:val="006F402A"/>
    <w:rsid w:val="006F4591"/>
    <w:rsid w:val="006F47C0"/>
    <w:rsid w:val="006F4865"/>
    <w:rsid w:val="006F4DA5"/>
    <w:rsid w:val="006F4FD8"/>
    <w:rsid w:val="006F5574"/>
    <w:rsid w:val="006F55DE"/>
    <w:rsid w:val="006F56E5"/>
    <w:rsid w:val="006F5ADB"/>
    <w:rsid w:val="006F5BCB"/>
    <w:rsid w:val="006F5BDD"/>
    <w:rsid w:val="006F5F64"/>
    <w:rsid w:val="006F603F"/>
    <w:rsid w:val="006F64D7"/>
    <w:rsid w:val="006F650E"/>
    <w:rsid w:val="006F6836"/>
    <w:rsid w:val="006F6DA0"/>
    <w:rsid w:val="006F703E"/>
    <w:rsid w:val="006F705B"/>
    <w:rsid w:val="006F7786"/>
    <w:rsid w:val="006F7FD7"/>
    <w:rsid w:val="00700373"/>
    <w:rsid w:val="00700402"/>
    <w:rsid w:val="007005D8"/>
    <w:rsid w:val="00700617"/>
    <w:rsid w:val="0070097E"/>
    <w:rsid w:val="00700CA9"/>
    <w:rsid w:val="00701189"/>
    <w:rsid w:val="0070196E"/>
    <w:rsid w:val="00701C3F"/>
    <w:rsid w:val="0070208D"/>
    <w:rsid w:val="007028F5"/>
    <w:rsid w:val="007029E7"/>
    <w:rsid w:val="00702C81"/>
    <w:rsid w:val="00702FF6"/>
    <w:rsid w:val="00703128"/>
    <w:rsid w:val="00703434"/>
    <w:rsid w:val="007038EF"/>
    <w:rsid w:val="007039F7"/>
    <w:rsid w:val="00703E08"/>
    <w:rsid w:val="00703F4E"/>
    <w:rsid w:val="007043C9"/>
    <w:rsid w:val="00704752"/>
    <w:rsid w:val="007049EF"/>
    <w:rsid w:val="00704A3C"/>
    <w:rsid w:val="00704CA6"/>
    <w:rsid w:val="00705890"/>
    <w:rsid w:val="00705A61"/>
    <w:rsid w:val="00705FCF"/>
    <w:rsid w:val="007063E5"/>
    <w:rsid w:val="00706701"/>
    <w:rsid w:val="007068FD"/>
    <w:rsid w:val="00706C06"/>
    <w:rsid w:val="00706C52"/>
    <w:rsid w:val="00706F49"/>
    <w:rsid w:val="00707174"/>
    <w:rsid w:val="007072F2"/>
    <w:rsid w:val="0070739E"/>
    <w:rsid w:val="00707739"/>
    <w:rsid w:val="0071020D"/>
    <w:rsid w:val="0071022D"/>
    <w:rsid w:val="0071028B"/>
    <w:rsid w:val="007103C4"/>
    <w:rsid w:val="00710879"/>
    <w:rsid w:val="00710DA8"/>
    <w:rsid w:val="00710DCB"/>
    <w:rsid w:val="007110F9"/>
    <w:rsid w:val="00711359"/>
    <w:rsid w:val="00711560"/>
    <w:rsid w:val="007118A2"/>
    <w:rsid w:val="0071195E"/>
    <w:rsid w:val="00711AB5"/>
    <w:rsid w:val="00711AE0"/>
    <w:rsid w:val="007125C2"/>
    <w:rsid w:val="00712792"/>
    <w:rsid w:val="00712D87"/>
    <w:rsid w:val="007130AF"/>
    <w:rsid w:val="00713102"/>
    <w:rsid w:val="0071310E"/>
    <w:rsid w:val="007131EF"/>
    <w:rsid w:val="007139AA"/>
    <w:rsid w:val="00713A5B"/>
    <w:rsid w:val="00713AB2"/>
    <w:rsid w:val="00713B0A"/>
    <w:rsid w:val="00713D30"/>
    <w:rsid w:val="00713EAE"/>
    <w:rsid w:val="00714E2C"/>
    <w:rsid w:val="00714E5C"/>
    <w:rsid w:val="007153ED"/>
    <w:rsid w:val="0071559B"/>
    <w:rsid w:val="0071585F"/>
    <w:rsid w:val="007158EF"/>
    <w:rsid w:val="00715E3F"/>
    <w:rsid w:val="00716049"/>
    <w:rsid w:val="00716062"/>
    <w:rsid w:val="007160BE"/>
    <w:rsid w:val="007165D1"/>
    <w:rsid w:val="00716706"/>
    <w:rsid w:val="00716DC4"/>
    <w:rsid w:val="00717009"/>
    <w:rsid w:val="007170DD"/>
    <w:rsid w:val="007171D7"/>
    <w:rsid w:val="00717683"/>
    <w:rsid w:val="00717958"/>
    <w:rsid w:val="007179DE"/>
    <w:rsid w:val="0071BA43"/>
    <w:rsid w:val="0072002D"/>
    <w:rsid w:val="0072015E"/>
    <w:rsid w:val="00720771"/>
    <w:rsid w:val="007207E7"/>
    <w:rsid w:val="00721BE9"/>
    <w:rsid w:val="00721D42"/>
    <w:rsid w:val="00721D8C"/>
    <w:rsid w:val="00721EF2"/>
    <w:rsid w:val="0072204C"/>
    <w:rsid w:val="0072225F"/>
    <w:rsid w:val="0072258E"/>
    <w:rsid w:val="007226A9"/>
    <w:rsid w:val="0072279C"/>
    <w:rsid w:val="00723294"/>
    <w:rsid w:val="00723D3A"/>
    <w:rsid w:val="00723F2C"/>
    <w:rsid w:val="007242B4"/>
    <w:rsid w:val="007242BA"/>
    <w:rsid w:val="007243ED"/>
    <w:rsid w:val="00724437"/>
    <w:rsid w:val="00724447"/>
    <w:rsid w:val="007245DD"/>
    <w:rsid w:val="007246B6"/>
    <w:rsid w:val="007249A8"/>
    <w:rsid w:val="00724E53"/>
    <w:rsid w:val="0072568B"/>
    <w:rsid w:val="007257EF"/>
    <w:rsid w:val="007258F4"/>
    <w:rsid w:val="00725946"/>
    <w:rsid w:val="0072598E"/>
    <w:rsid w:val="00725A0D"/>
    <w:rsid w:val="00725C2E"/>
    <w:rsid w:val="00725DCB"/>
    <w:rsid w:val="0072600B"/>
    <w:rsid w:val="00726237"/>
    <w:rsid w:val="007262E8"/>
    <w:rsid w:val="0072651B"/>
    <w:rsid w:val="007265B3"/>
    <w:rsid w:val="0072687C"/>
    <w:rsid w:val="00726F09"/>
    <w:rsid w:val="00727130"/>
    <w:rsid w:val="007278AE"/>
    <w:rsid w:val="00727924"/>
    <w:rsid w:val="00727BB3"/>
    <w:rsid w:val="00727C2E"/>
    <w:rsid w:val="007300DA"/>
    <w:rsid w:val="0073052E"/>
    <w:rsid w:val="007306ED"/>
    <w:rsid w:val="007309A5"/>
    <w:rsid w:val="00730B2F"/>
    <w:rsid w:val="00730B5A"/>
    <w:rsid w:val="00730BD9"/>
    <w:rsid w:val="00730C86"/>
    <w:rsid w:val="007312BB"/>
    <w:rsid w:val="0073184A"/>
    <w:rsid w:val="007318CE"/>
    <w:rsid w:val="007319CF"/>
    <w:rsid w:val="00731BA8"/>
    <w:rsid w:val="007323F2"/>
    <w:rsid w:val="00732652"/>
    <w:rsid w:val="0073265E"/>
    <w:rsid w:val="007327B7"/>
    <w:rsid w:val="007327CD"/>
    <w:rsid w:val="00732E8F"/>
    <w:rsid w:val="00732EEC"/>
    <w:rsid w:val="00732FD9"/>
    <w:rsid w:val="0073328F"/>
    <w:rsid w:val="00733563"/>
    <w:rsid w:val="007335BC"/>
    <w:rsid w:val="007338C7"/>
    <w:rsid w:val="00733A9A"/>
    <w:rsid w:val="00733DD2"/>
    <w:rsid w:val="00734571"/>
    <w:rsid w:val="00734853"/>
    <w:rsid w:val="00734915"/>
    <w:rsid w:val="00734D87"/>
    <w:rsid w:val="0073507C"/>
    <w:rsid w:val="00735A6D"/>
    <w:rsid w:val="007362D0"/>
    <w:rsid w:val="007365BB"/>
    <w:rsid w:val="00736918"/>
    <w:rsid w:val="00736B85"/>
    <w:rsid w:val="00736CA7"/>
    <w:rsid w:val="00736EDF"/>
    <w:rsid w:val="00737120"/>
    <w:rsid w:val="0073736E"/>
    <w:rsid w:val="00737454"/>
    <w:rsid w:val="007378E5"/>
    <w:rsid w:val="00737A31"/>
    <w:rsid w:val="00737B3F"/>
    <w:rsid w:val="00737CF9"/>
    <w:rsid w:val="0074002F"/>
    <w:rsid w:val="0074023E"/>
    <w:rsid w:val="007402E8"/>
    <w:rsid w:val="00740348"/>
    <w:rsid w:val="00740D3D"/>
    <w:rsid w:val="00740F3F"/>
    <w:rsid w:val="00741023"/>
    <w:rsid w:val="007417C1"/>
    <w:rsid w:val="00741BDD"/>
    <w:rsid w:val="00742316"/>
    <w:rsid w:val="007424C6"/>
    <w:rsid w:val="0074260A"/>
    <w:rsid w:val="00742675"/>
    <w:rsid w:val="00742684"/>
    <w:rsid w:val="00742714"/>
    <w:rsid w:val="00742A08"/>
    <w:rsid w:val="00742B21"/>
    <w:rsid w:val="00742DFB"/>
    <w:rsid w:val="0074351E"/>
    <w:rsid w:val="0074369A"/>
    <w:rsid w:val="0074410D"/>
    <w:rsid w:val="00744464"/>
    <w:rsid w:val="00744DB3"/>
    <w:rsid w:val="00744FFD"/>
    <w:rsid w:val="007450AA"/>
    <w:rsid w:val="00745666"/>
    <w:rsid w:val="007456F1"/>
    <w:rsid w:val="00745743"/>
    <w:rsid w:val="00746019"/>
    <w:rsid w:val="00746030"/>
    <w:rsid w:val="007460BF"/>
    <w:rsid w:val="00746189"/>
    <w:rsid w:val="007464B7"/>
    <w:rsid w:val="00746977"/>
    <w:rsid w:val="00746A29"/>
    <w:rsid w:val="00746AFB"/>
    <w:rsid w:val="00747518"/>
    <w:rsid w:val="007479E9"/>
    <w:rsid w:val="00747A6B"/>
    <w:rsid w:val="00747D1B"/>
    <w:rsid w:val="00750307"/>
    <w:rsid w:val="00750675"/>
    <w:rsid w:val="00750759"/>
    <w:rsid w:val="00750821"/>
    <w:rsid w:val="00750A82"/>
    <w:rsid w:val="00750AA6"/>
    <w:rsid w:val="00750AF0"/>
    <w:rsid w:val="00750D08"/>
    <w:rsid w:val="0075144A"/>
    <w:rsid w:val="007514C4"/>
    <w:rsid w:val="00751899"/>
    <w:rsid w:val="00751BF1"/>
    <w:rsid w:val="00751C6D"/>
    <w:rsid w:val="00751D64"/>
    <w:rsid w:val="00751D7D"/>
    <w:rsid w:val="00751DDD"/>
    <w:rsid w:val="00751E0C"/>
    <w:rsid w:val="00752078"/>
    <w:rsid w:val="00752655"/>
    <w:rsid w:val="007528BC"/>
    <w:rsid w:val="00752D54"/>
    <w:rsid w:val="00752D75"/>
    <w:rsid w:val="00753345"/>
    <w:rsid w:val="00753445"/>
    <w:rsid w:val="0075355F"/>
    <w:rsid w:val="00753745"/>
    <w:rsid w:val="007538DA"/>
    <w:rsid w:val="00753964"/>
    <w:rsid w:val="00753B18"/>
    <w:rsid w:val="00753D75"/>
    <w:rsid w:val="0075457F"/>
    <w:rsid w:val="00754777"/>
    <w:rsid w:val="00754E82"/>
    <w:rsid w:val="0075515A"/>
    <w:rsid w:val="00755838"/>
    <w:rsid w:val="00755E7D"/>
    <w:rsid w:val="00755E9B"/>
    <w:rsid w:val="007566AF"/>
    <w:rsid w:val="007566CC"/>
    <w:rsid w:val="00756F09"/>
    <w:rsid w:val="00756F5A"/>
    <w:rsid w:val="00757061"/>
    <w:rsid w:val="00757214"/>
    <w:rsid w:val="007578A2"/>
    <w:rsid w:val="007579D2"/>
    <w:rsid w:val="00757BC7"/>
    <w:rsid w:val="00757C8F"/>
    <w:rsid w:val="00757C93"/>
    <w:rsid w:val="0075CDBB"/>
    <w:rsid w:val="00760CCA"/>
    <w:rsid w:val="007612CB"/>
    <w:rsid w:val="0076132F"/>
    <w:rsid w:val="0076167F"/>
    <w:rsid w:val="0076173B"/>
    <w:rsid w:val="00761812"/>
    <w:rsid w:val="00761AE3"/>
    <w:rsid w:val="00761C5A"/>
    <w:rsid w:val="00762032"/>
    <w:rsid w:val="00762606"/>
    <w:rsid w:val="00762692"/>
    <w:rsid w:val="00762696"/>
    <w:rsid w:val="0076310B"/>
    <w:rsid w:val="00763259"/>
    <w:rsid w:val="0076330E"/>
    <w:rsid w:val="00763536"/>
    <w:rsid w:val="007635E6"/>
    <w:rsid w:val="00763863"/>
    <w:rsid w:val="00763AC1"/>
    <w:rsid w:val="00763C6D"/>
    <w:rsid w:val="00764394"/>
    <w:rsid w:val="0076444D"/>
    <w:rsid w:val="00764812"/>
    <w:rsid w:val="007649E2"/>
    <w:rsid w:val="00764AC3"/>
    <w:rsid w:val="00765168"/>
    <w:rsid w:val="007659A1"/>
    <w:rsid w:val="00765A3B"/>
    <w:rsid w:val="00765BE3"/>
    <w:rsid w:val="00765F38"/>
    <w:rsid w:val="00766033"/>
    <w:rsid w:val="007662D8"/>
    <w:rsid w:val="00766994"/>
    <w:rsid w:val="00766C97"/>
    <w:rsid w:val="00766E79"/>
    <w:rsid w:val="00767218"/>
    <w:rsid w:val="007673EA"/>
    <w:rsid w:val="00767B62"/>
    <w:rsid w:val="00767B77"/>
    <w:rsid w:val="00767C23"/>
    <w:rsid w:val="00767CA1"/>
    <w:rsid w:val="0076A8A0"/>
    <w:rsid w:val="007702C0"/>
    <w:rsid w:val="0077060A"/>
    <w:rsid w:val="007707F8"/>
    <w:rsid w:val="00770832"/>
    <w:rsid w:val="00770958"/>
    <w:rsid w:val="00770C3D"/>
    <w:rsid w:val="00770C68"/>
    <w:rsid w:val="00770F33"/>
    <w:rsid w:val="00771226"/>
    <w:rsid w:val="0077152E"/>
    <w:rsid w:val="007715BF"/>
    <w:rsid w:val="0077172A"/>
    <w:rsid w:val="00771868"/>
    <w:rsid w:val="00771886"/>
    <w:rsid w:val="007720FC"/>
    <w:rsid w:val="007721EE"/>
    <w:rsid w:val="007722BA"/>
    <w:rsid w:val="007722E3"/>
    <w:rsid w:val="00772368"/>
    <w:rsid w:val="00772479"/>
    <w:rsid w:val="007724F5"/>
    <w:rsid w:val="007726E1"/>
    <w:rsid w:val="00772747"/>
    <w:rsid w:val="007728F3"/>
    <w:rsid w:val="00772DA5"/>
    <w:rsid w:val="00772E67"/>
    <w:rsid w:val="00772EC0"/>
    <w:rsid w:val="00773A5A"/>
    <w:rsid w:val="00773B35"/>
    <w:rsid w:val="00773ED0"/>
    <w:rsid w:val="00773F52"/>
    <w:rsid w:val="00773F89"/>
    <w:rsid w:val="00774967"/>
    <w:rsid w:val="00774B16"/>
    <w:rsid w:val="00774C8F"/>
    <w:rsid w:val="00774CC6"/>
    <w:rsid w:val="00774FE6"/>
    <w:rsid w:val="00775783"/>
    <w:rsid w:val="00775809"/>
    <w:rsid w:val="007759E4"/>
    <w:rsid w:val="007759E9"/>
    <w:rsid w:val="0077617E"/>
    <w:rsid w:val="007766F4"/>
    <w:rsid w:val="0077685A"/>
    <w:rsid w:val="00776893"/>
    <w:rsid w:val="00776F4E"/>
    <w:rsid w:val="00776FDB"/>
    <w:rsid w:val="007770D6"/>
    <w:rsid w:val="00777A1C"/>
    <w:rsid w:val="00777C81"/>
    <w:rsid w:val="00777F73"/>
    <w:rsid w:val="00779D7B"/>
    <w:rsid w:val="0078036F"/>
    <w:rsid w:val="00780467"/>
    <w:rsid w:val="00780B9A"/>
    <w:rsid w:val="00780D27"/>
    <w:rsid w:val="00781625"/>
    <w:rsid w:val="00781662"/>
    <w:rsid w:val="00781AFA"/>
    <w:rsid w:val="00781D2A"/>
    <w:rsid w:val="00781DBD"/>
    <w:rsid w:val="00782381"/>
    <w:rsid w:val="00782B17"/>
    <w:rsid w:val="00782BA4"/>
    <w:rsid w:val="00782F03"/>
    <w:rsid w:val="007832DF"/>
    <w:rsid w:val="00783716"/>
    <w:rsid w:val="00783BDD"/>
    <w:rsid w:val="00783F51"/>
    <w:rsid w:val="0078450C"/>
    <w:rsid w:val="00784556"/>
    <w:rsid w:val="007851BF"/>
    <w:rsid w:val="00785463"/>
    <w:rsid w:val="00786338"/>
    <w:rsid w:val="007869EE"/>
    <w:rsid w:val="00787148"/>
    <w:rsid w:val="007876CE"/>
    <w:rsid w:val="007879C2"/>
    <w:rsid w:val="00787DA8"/>
    <w:rsid w:val="00787EE1"/>
    <w:rsid w:val="00787FE6"/>
    <w:rsid w:val="00790557"/>
    <w:rsid w:val="00790C10"/>
    <w:rsid w:val="00790DAD"/>
    <w:rsid w:val="0079127E"/>
    <w:rsid w:val="007912FE"/>
    <w:rsid w:val="0079155E"/>
    <w:rsid w:val="0079181B"/>
    <w:rsid w:val="00791ACC"/>
    <w:rsid w:val="00791B16"/>
    <w:rsid w:val="00792276"/>
    <w:rsid w:val="00792306"/>
    <w:rsid w:val="007927C2"/>
    <w:rsid w:val="00792B66"/>
    <w:rsid w:val="00792DFE"/>
    <w:rsid w:val="007931C1"/>
    <w:rsid w:val="00793550"/>
    <w:rsid w:val="007935E5"/>
    <w:rsid w:val="00793678"/>
    <w:rsid w:val="0079373A"/>
    <w:rsid w:val="0079378E"/>
    <w:rsid w:val="00793B06"/>
    <w:rsid w:val="00793CAF"/>
    <w:rsid w:val="00793D45"/>
    <w:rsid w:val="00793D58"/>
    <w:rsid w:val="0079401D"/>
    <w:rsid w:val="00794039"/>
    <w:rsid w:val="00794168"/>
    <w:rsid w:val="00794183"/>
    <w:rsid w:val="0079474A"/>
    <w:rsid w:val="007947C9"/>
    <w:rsid w:val="00794B94"/>
    <w:rsid w:val="00794F7A"/>
    <w:rsid w:val="00794FB4"/>
    <w:rsid w:val="00794FF6"/>
    <w:rsid w:val="0079515A"/>
    <w:rsid w:val="00795223"/>
    <w:rsid w:val="00795237"/>
    <w:rsid w:val="00795266"/>
    <w:rsid w:val="0079565B"/>
    <w:rsid w:val="00795B8C"/>
    <w:rsid w:val="00795E77"/>
    <w:rsid w:val="00796C7E"/>
    <w:rsid w:val="00796EBA"/>
    <w:rsid w:val="00797239"/>
    <w:rsid w:val="0079756D"/>
    <w:rsid w:val="00797591"/>
    <w:rsid w:val="00797C30"/>
    <w:rsid w:val="00797CC1"/>
    <w:rsid w:val="00797F24"/>
    <w:rsid w:val="00797FB2"/>
    <w:rsid w:val="007A0945"/>
    <w:rsid w:val="007A099A"/>
    <w:rsid w:val="007A0C45"/>
    <w:rsid w:val="007A126D"/>
    <w:rsid w:val="007A1826"/>
    <w:rsid w:val="007A19CF"/>
    <w:rsid w:val="007A1A96"/>
    <w:rsid w:val="007A1DB0"/>
    <w:rsid w:val="007A1E3C"/>
    <w:rsid w:val="007A26DD"/>
    <w:rsid w:val="007A2BCB"/>
    <w:rsid w:val="007A2CE2"/>
    <w:rsid w:val="007A3158"/>
    <w:rsid w:val="007A31A8"/>
    <w:rsid w:val="007A3374"/>
    <w:rsid w:val="007A33BE"/>
    <w:rsid w:val="007A346F"/>
    <w:rsid w:val="007A3497"/>
    <w:rsid w:val="007A35B5"/>
    <w:rsid w:val="007A3AA6"/>
    <w:rsid w:val="007A3DCB"/>
    <w:rsid w:val="007A3EA2"/>
    <w:rsid w:val="007A3ED2"/>
    <w:rsid w:val="007A3FFA"/>
    <w:rsid w:val="007A440F"/>
    <w:rsid w:val="007A4836"/>
    <w:rsid w:val="007A4976"/>
    <w:rsid w:val="007A4F44"/>
    <w:rsid w:val="007A5126"/>
    <w:rsid w:val="007A529B"/>
    <w:rsid w:val="007A534D"/>
    <w:rsid w:val="007A58AC"/>
    <w:rsid w:val="007A58D0"/>
    <w:rsid w:val="007A594D"/>
    <w:rsid w:val="007A5A98"/>
    <w:rsid w:val="007A5AB9"/>
    <w:rsid w:val="007A5B66"/>
    <w:rsid w:val="007A5B85"/>
    <w:rsid w:val="007A5BB8"/>
    <w:rsid w:val="007A5C32"/>
    <w:rsid w:val="007A6245"/>
    <w:rsid w:val="007A644B"/>
    <w:rsid w:val="007A65CD"/>
    <w:rsid w:val="007A66F5"/>
    <w:rsid w:val="007A6942"/>
    <w:rsid w:val="007A69FA"/>
    <w:rsid w:val="007A6D29"/>
    <w:rsid w:val="007A6FE4"/>
    <w:rsid w:val="007A7386"/>
    <w:rsid w:val="007A747B"/>
    <w:rsid w:val="007A75A7"/>
    <w:rsid w:val="007A7609"/>
    <w:rsid w:val="007A770E"/>
    <w:rsid w:val="007B00E3"/>
    <w:rsid w:val="007B012A"/>
    <w:rsid w:val="007B06AC"/>
    <w:rsid w:val="007B0791"/>
    <w:rsid w:val="007B0AE7"/>
    <w:rsid w:val="007B0BE9"/>
    <w:rsid w:val="007B0E66"/>
    <w:rsid w:val="007B0ECB"/>
    <w:rsid w:val="007B113E"/>
    <w:rsid w:val="007B11AA"/>
    <w:rsid w:val="007B130A"/>
    <w:rsid w:val="007B14E8"/>
    <w:rsid w:val="007B1AEB"/>
    <w:rsid w:val="007B1D29"/>
    <w:rsid w:val="007B202C"/>
    <w:rsid w:val="007B2142"/>
    <w:rsid w:val="007B21EB"/>
    <w:rsid w:val="007B229C"/>
    <w:rsid w:val="007B2374"/>
    <w:rsid w:val="007B2819"/>
    <w:rsid w:val="007B3B63"/>
    <w:rsid w:val="007B3C0F"/>
    <w:rsid w:val="007B426D"/>
    <w:rsid w:val="007B45E0"/>
    <w:rsid w:val="007B4856"/>
    <w:rsid w:val="007B49D9"/>
    <w:rsid w:val="007B4D07"/>
    <w:rsid w:val="007B4DE7"/>
    <w:rsid w:val="007B509E"/>
    <w:rsid w:val="007B5164"/>
    <w:rsid w:val="007B527B"/>
    <w:rsid w:val="007B576D"/>
    <w:rsid w:val="007B5988"/>
    <w:rsid w:val="007B5A1A"/>
    <w:rsid w:val="007B6485"/>
    <w:rsid w:val="007B6B39"/>
    <w:rsid w:val="007B6DB9"/>
    <w:rsid w:val="007B6DCF"/>
    <w:rsid w:val="007B6E3E"/>
    <w:rsid w:val="007B7045"/>
    <w:rsid w:val="007B70F3"/>
    <w:rsid w:val="007B7160"/>
    <w:rsid w:val="007B7398"/>
    <w:rsid w:val="007B73FD"/>
    <w:rsid w:val="007B7432"/>
    <w:rsid w:val="007B774C"/>
    <w:rsid w:val="007B7BBD"/>
    <w:rsid w:val="007B7CFD"/>
    <w:rsid w:val="007C02F6"/>
    <w:rsid w:val="007C0316"/>
    <w:rsid w:val="007C05A6"/>
    <w:rsid w:val="007C05EC"/>
    <w:rsid w:val="007C0867"/>
    <w:rsid w:val="007C0923"/>
    <w:rsid w:val="007C0C20"/>
    <w:rsid w:val="007C10B9"/>
    <w:rsid w:val="007C121E"/>
    <w:rsid w:val="007C1490"/>
    <w:rsid w:val="007C1613"/>
    <w:rsid w:val="007C186F"/>
    <w:rsid w:val="007C197E"/>
    <w:rsid w:val="007C1B40"/>
    <w:rsid w:val="007C2462"/>
    <w:rsid w:val="007C2649"/>
    <w:rsid w:val="007C27D1"/>
    <w:rsid w:val="007C2808"/>
    <w:rsid w:val="007C289F"/>
    <w:rsid w:val="007C2F31"/>
    <w:rsid w:val="007C3102"/>
    <w:rsid w:val="007C320F"/>
    <w:rsid w:val="007C3363"/>
    <w:rsid w:val="007C398D"/>
    <w:rsid w:val="007C3CA0"/>
    <w:rsid w:val="007C3D3E"/>
    <w:rsid w:val="007C3F56"/>
    <w:rsid w:val="007C435C"/>
    <w:rsid w:val="007C43F2"/>
    <w:rsid w:val="007C4850"/>
    <w:rsid w:val="007C48BE"/>
    <w:rsid w:val="007C49DB"/>
    <w:rsid w:val="007C49F7"/>
    <w:rsid w:val="007C4B46"/>
    <w:rsid w:val="007C4C05"/>
    <w:rsid w:val="007C4C15"/>
    <w:rsid w:val="007C4C2C"/>
    <w:rsid w:val="007C4F76"/>
    <w:rsid w:val="007C517A"/>
    <w:rsid w:val="007C56C9"/>
    <w:rsid w:val="007C5824"/>
    <w:rsid w:val="007C599C"/>
    <w:rsid w:val="007C5B4B"/>
    <w:rsid w:val="007C5D7E"/>
    <w:rsid w:val="007C6038"/>
    <w:rsid w:val="007C64C8"/>
    <w:rsid w:val="007C6597"/>
    <w:rsid w:val="007C68E0"/>
    <w:rsid w:val="007C6932"/>
    <w:rsid w:val="007C6A50"/>
    <w:rsid w:val="007C6E40"/>
    <w:rsid w:val="007C6EAF"/>
    <w:rsid w:val="007C6F68"/>
    <w:rsid w:val="007C7272"/>
    <w:rsid w:val="007C7412"/>
    <w:rsid w:val="007C7D74"/>
    <w:rsid w:val="007D0317"/>
    <w:rsid w:val="007D095B"/>
    <w:rsid w:val="007D0FEC"/>
    <w:rsid w:val="007D1254"/>
    <w:rsid w:val="007D128E"/>
    <w:rsid w:val="007D1292"/>
    <w:rsid w:val="007D192C"/>
    <w:rsid w:val="007D238F"/>
    <w:rsid w:val="007D26EC"/>
    <w:rsid w:val="007D2801"/>
    <w:rsid w:val="007D2D4F"/>
    <w:rsid w:val="007D3613"/>
    <w:rsid w:val="007D3DA1"/>
    <w:rsid w:val="007D413E"/>
    <w:rsid w:val="007D416E"/>
    <w:rsid w:val="007D4534"/>
    <w:rsid w:val="007D45F8"/>
    <w:rsid w:val="007D46DD"/>
    <w:rsid w:val="007D485A"/>
    <w:rsid w:val="007D495C"/>
    <w:rsid w:val="007D4CA3"/>
    <w:rsid w:val="007D52E6"/>
    <w:rsid w:val="007D5407"/>
    <w:rsid w:val="007D5596"/>
    <w:rsid w:val="007D5908"/>
    <w:rsid w:val="007D5AC3"/>
    <w:rsid w:val="007D6759"/>
    <w:rsid w:val="007D6A05"/>
    <w:rsid w:val="007D6A5B"/>
    <w:rsid w:val="007D6B28"/>
    <w:rsid w:val="007D704C"/>
    <w:rsid w:val="007D70FB"/>
    <w:rsid w:val="007D71DA"/>
    <w:rsid w:val="007D722E"/>
    <w:rsid w:val="007D734B"/>
    <w:rsid w:val="007D7D28"/>
    <w:rsid w:val="007D7EB8"/>
    <w:rsid w:val="007D7F8A"/>
    <w:rsid w:val="007E009B"/>
    <w:rsid w:val="007E089B"/>
    <w:rsid w:val="007E0A3D"/>
    <w:rsid w:val="007E0BE8"/>
    <w:rsid w:val="007E0D6B"/>
    <w:rsid w:val="007E1096"/>
    <w:rsid w:val="007E153B"/>
    <w:rsid w:val="007E15DB"/>
    <w:rsid w:val="007E1621"/>
    <w:rsid w:val="007E1BB1"/>
    <w:rsid w:val="007E1CB8"/>
    <w:rsid w:val="007E1EE8"/>
    <w:rsid w:val="007E1FF8"/>
    <w:rsid w:val="007E2620"/>
    <w:rsid w:val="007E2AAA"/>
    <w:rsid w:val="007E3DF2"/>
    <w:rsid w:val="007E423B"/>
    <w:rsid w:val="007E5153"/>
    <w:rsid w:val="007E54D9"/>
    <w:rsid w:val="007E5575"/>
    <w:rsid w:val="007E57AA"/>
    <w:rsid w:val="007E57B3"/>
    <w:rsid w:val="007E5998"/>
    <w:rsid w:val="007E5AB8"/>
    <w:rsid w:val="007E5BDB"/>
    <w:rsid w:val="007E6368"/>
    <w:rsid w:val="007E6389"/>
    <w:rsid w:val="007E65F8"/>
    <w:rsid w:val="007E66F2"/>
    <w:rsid w:val="007E6B2F"/>
    <w:rsid w:val="007E6C1A"/>
    <w:rsid w:val="007E6F7A"/>
    <w:rsid w:val="007E6F9D"/>
    <w:rsid w:val="007E70E2"/>
    <w:rsid w:val="007E757E"/>
    <w:rsid w:val="007E759E"/>
    <w:rsid w:val="007E7A7C"/>
    <w:rsid w:val="007E7AFC"/>
    <w:rsid w:val="007E7B08"/>
    <w:rsid w:val="007E7D84"/>
    <w:rsid w:val="007F0567"/>
    <w:rsid w:val="007F083E"/>
    <w:rsid w:val="007F0E8A"/>
    <w:rsid w:val="007F14B1"/>
    <w:rsid w:val="007F168C"/>
    <w:rsid w:val="007F1F7A"/>
    <w:rsid w:val="007F26B7"/>
    <w:rsid w:val="007F2B1E"/>
    <w:rsid w:val="007F3611"/>
    <w:rsid w:val="007F3948"/>
    <w:rsid w:val="007F447B"/>
    <w:rsid w:val="007F49B3"/>
    <w:rsid w:val="007F4CD0"/>
    <w:rsid w:val="007F556E"/>
    <w:rsid w:val="007F5583"/>
    <w:rsid w:val="007F66B0"/>
    <w:rsid w:val="007F68D5"/>
    <w:rsid w:val="007F74D1"/>
    <w:rsid w:val="007F7667"/>
    <w:rsid w:val="007F76EE"/>
    <w:rsid w:val="007F787A"/>
    <w:rsid w:val="008000E2"/>
    <w:rsid w:val="008000E9"/>
    <w:rsid w:val="00800179"/>
    <w:rsid w:val="008002ED"/>
    <w:rsid w:val="008003C4"/>
    <w:rsid w:val="00800688"/>
    <w:rsid w:val="00800721"/>
    <w:rsid w:val="00800E51"/>
    <w:rsid w:val="0080121A"/>
    <w:rsid w:val="0080130B"/>
    <w:rsid w:val="00801325"/>
    <w:rsid w:val="0080136B"/>
    <w:rsid w:val="008017D5"/>
    <w:rsid w:val="00801A21"/>
    <w:rsid w:val="00802385"/>
    <w:rsid w:val="0080250E"/>
    <w:rsid w:val="00802671"/>
    <w:rsid w:val="008027A4"/>
    <w:rsid w:val="0080291E"/>
    <w:rsid w:val="00802CE5"/>
    <w:rsid w:val="00802E53"/>
    <w:rsid w:val="008030AA"/>
    <w:rsid w:val="0080315C"/>
    <w:rsid w:val="008031C7"/>
    <w:rsid w:val="0080342F"/>
    <w:rsid w:val="00803810"/>
    <w:rsid w:val="00803E7F"/>
    <w:rsid w:val="00804B20"/>
    <w:rsid w:val="00804C3F"/>
    <w:rsid w:val="00804F95"/>
    <w:rsid w:val="00805721"/>
    <w:rsid w:val="00805827"/>
    <w:rsid w:val="0080588E"/>
    <w:rsid w:val="008058C7"/>
    <w:rsid w:val="00805C5E"/>
    <w:rsid w:val="00805D77"/>
    <w:rsid w:val="00805F0E"/>
    <w:rsid w:val="008065B0"/>
    <w:rsid w:val="00806A49"/>
    <w:rsid w:val="00806C9E"/>
    <w:rsid w:val="00806F4B"/>
    <w:rsid w:val="008070B1"/>
    <w:rsid w:val="008071ED"/>
    <w:rsid w:val="00807418"/>
    <w:rsid w:val="00807756"/>
    <w:rsid w:val="0080790F"/>
    <w:rsid w:val="00807970"/>
    <w:rsid w:val="00807D49"/>
    <w:rsid w:val="00807EC7"/>
    <w:rsid w:val="00807F95"/>
    <w:rsid w:val="0081044E"/>
    <w:rsid w:val="0081048B"/>
    <w:rsid w:val="008106E0"/>
    <w:rsid w:val="00810932"/>
    <w:rsid w:val="00810A01"/>
    <w:rsid w:val="00810F69"/>
    <w:rsid w:val="0081123C"/>
    <w:rsid w:val="008114E5"/>
    <w:rsid w:val="00811616"/>
    <w:rsid w:val="00811667"/>
    <w:rsid w:val="008119D8"/>
    <w:rsid w:val="00811B17"/>
    <w:rsid w:val="00811BE6"/>
    <w:rsid w:val="008121ED"/>
    <w:rsid w:val="008125A0"/>
    <w:rsid w:val="00812786"/>
    <w:rsid w:val="00812A62"/>
    <w:rsid w:val="00812ED4"/>
    <w:rsid w:val="008136EC"/>
    <w:rsid w:val="008137B6"/>
    <w:rsid w:val="008139E5"/>
    <w:rsid w:val="008139E9"/>
    <w:rsid w:val="00813E23"/>
    <w:rsid w:val="008140EF"/>
    <w:rsid w:val="0081450B"/>
    <w:rsid w:val="008147B8"/>
    <w:rsid w:val="00814977"/>
    <w:rsid w:val="00814F66"/>
    <w:rsid w:val="0081501A"/>
    <w:rsid w:val="00815050"/>
    <w:rsid w:val="00815068"/>
    <w:rsid w:val="00815244"/>
    <w:rsid w:val="00815AFF"/>
    <w:rsid w:val="008160C5"/>
    <w:rsid w:val="0081642F"/>
    <w:rsid w:val="00816801"/>
    <w:rsid w:val="00816818"/>
    <w:rsid w:val="008168A3"/>
    <w:rsid w:val="00816CD8"/>
    <w:rsid w:val="00816E22"/>
    <w:rsid w:val="008171C3"/>
    <w:rsid w:val="00817502"/>
    <w:rsid w:val="008177FA"/>
    <w:rsid w:val="00817987"/>
    <w:rsid w:val="00817D7E"/>
    <w:rsid w:val="00820899"/>
    <w:rsid w:val="008219DB"/>
    <w:rsid w:val="00821EE1"/>
    <w:rsid w:val="00822177"/>
    <w:rsid w:val="008223B4"/>
    <w:rsid w:val="0082296E"/>
    <w:rsid w:val="008229F7"/>
    <w:rsid w:val="00822D88"/>
    <w:rsid w:val="00823175"/>
    <w:rsid w:val="008231A5"/>
    <w:rsid w:val="00823693"/>
    <w:rsid w:val="008238C2"/>
    <w:rsid w:val="00823903"/>
    <w:rsid w:val="00823C77"/>
    <w:rsid w:val="00823F13"/>
    <w:rsid w:val="00824216"/>
    <w:rsid w:val="0082424D"/>
    <w:rsid w:val="008244AE"/>
    <w:rsid w:val="008245C7"/>
    <w:rsid w:val="00824AAB"/>
    <w:rsid w:val="00824BF6"/>
    <w:rsid w:val="00824C63"/>
    <w:rsid w:val="0082505F"/>
    <w:rsid w:val="00825C9C"/>
    <w:rsid w:val="00825F8E"/>
    <w:rsid w:val="00826407"/>
    <w:rsid w:val="00826640"/>
    <w:rsid w:val="00826A91"/>
    <w:rsid w:val="00826BCA"/>
    <w:rsid w:val="0082730A"/>
    <w:rsid w:val="00827500"/>
    <w:rsid w:val="00827691"/>
    <w:rsid w:val="00827A67"/>
    <w:rsid w:val="00827BAB"/>
    <w:rsid w:val="00827C0F"/>
    <w:rsid w:val="00831031"/>
    <w:rsid w:val="00831260"/>
    <w:rsid w:val="008315F4"/>
    <w:rsid w:val="00831872"/>
    <w:rsid w:val="00831B71"/>
    <w:rsid w:val="00831F61"/>
    <w:rsid w:val="00832251"/>
    <w:rsid w:val="00832568"/>
    <w:rsid w:val="0083282C"/>
    <w:rsid w:val="00832BD1"/>
    <w:rsid w:val="00832C07"/>
    <w:rsid w:val="008330EA"/>
    <w:rsid w:val="0083327B"/>
    <w:rsid w:val="00833BA3"/>
    <w:rsid w:val="0083440B"/>
    <w:rsid w:val="008345DA"/>
    <w:rsid w:val="00834AF4"/>
    <w:rsid w:val="00835070"/>
    <w:rsid w:val="0083551C"/>
    <w:rsid w:val="00835A7A"/>
    <w:rsid w:val="00835CB7"/>
    <w:rsid w:val="00835F19"/>
    <w:rsid w:val="00835F1F"/>
    <w:rsid w:val="00835F2C"/>
    <w:rsid w:val="00836349"/>
    <w:rsid w:val="0083681C"/>
    <w:rsid w:val="00836ED5"/>
    <w:rsid w:val="008371A8"/>
    <w:rsid w:val="00837258"/>
    <w:rsid w:val="008372B4"/>
    <w:rsid w:val="00837668"/>
    <w:rsid w:val="008376B5"/>
    <w:rsid w:val="00837747"/>
    <w:rsid w:val="00837D64"/>
    <w:rsid w:val="00837DFC"/>
    <w:rsid w:val="008402A6"/>
    <w:rsid w:val="00840A66"/>
    <w:rsid w:val="00840C62"/>
    <w:rsid w:val="008418B0"/>
    <w:rsid w:val="00841BFB"/>
    <w:rsid w:val="00841E94"/>
    <w:rsid w:val="008426A4"/>
    <w:rsid w:val="008428B8"/>
    <w:rsid w:val="00842A11"/>
    <w:rsid w:val="00842B9A"/>
    <w:rsid w:val="008430E7"/>
    <w:rsid w:val="0084311F"/>
    <w:rsid w:val="0084313E"/>
    <w:rsid w:val="008431DE"/>
    <w:rsid w:val="00843309"/>
    <w:rsid w:val="00843556"/>
    <w:rsid w:val="00843583"/>
    <w:rsid w:val="00843E22"/>
    <w:rsid w:val="0084453E"/>
    <w:rsid w:val="00844F27"/>
    <w:rsid w:val="008451B4"/>
    <w:rsid w:val="0084584C"/>
    <w:rsid w:val="008459DD"/>
    <w:rsid w:val="00845ACD"/>
    <w:rsid w:val="00845B82"/>
    <w:rsid w:val="00845FDC"/>
    <w:rsid w:val="00846363"/>
    <w:rsid w:val="0084672B"/>
    <w:rsid w:val="008468B5"/>
    <w:rsid w:val="00846B72"/>
    <w:rsid w:val="00846CD6"/>
    <w:rsid w:val="00846F91"/>
    <w:rsid w:val="00846FEF"/>
    <w:rsid w:val="008472C0"/>
    <w:rsid w:val="008472CD"/>
    <w:rsid w:val="00847341"/>
    <w:rsid w:val="008474AC"/>
    <w:rsid w:val="00847548"/>
    <w:rsid w:val="0084759A"/>
    <w:rsid w:val="008475BF"/>
    <w:rsid w:val="008477AC"/>
    <w:rsid w:val="008479EF"/>
    <w:rsid w:val="00847B18"/>
    <w:rsid w:val="00847D65"/>
    <w:rsid w:val="0084FFF5"/>
    <w:rsid w:val="00850148"/>
    <w:rsid w:val="008501FF"/>
    <w:rsid w:val="00850250"/>
    <w:rsid w:val="008509B1"/>
    <w:rsid w:val="00850A30"/>
    <w:rsid w:val="00850A58"/>
    <w:rsid w:val="00850AF5"/>
    <w:rsid w:val="00850C3E"/>
    <w:rsid w:val="00850E21"/>
    <w:rsid w:val="00850EB6"/>
    <w:rsid w:val="00851260"/>
    <w:rsid w:val="00851338"/>
    <w:rsid w:val="008513A5"/>
    <w:rsid w:val="00851437"/>
    <w:rsid w:val="008514EB"/>
    <w:rsid w:val="008518CC"/>
    <w:rsid w:val="00851B76"/>
    <w:rsid w:val="00851C7C"/>
    <w:rsid w:val="00851EC0"/>
    <w:rsid w:val="0085232E"/>
    <w:rsid w:val="00852504"/>
    <w:rsid w:val="00852587"/>
    <w:rsid w:val="008528FF"/>
    <w:rsid w:val="0085291F"/>
    <w:rsid w:val="008529F7"/>
    <w:rsid w:val="00852A32"/>
    <w:rsid w:val="00852AE2"/>
    <w:rsid w:val="008532F6"/>
    <w:rsid w:val="00853AC0"/>
    <w:rsid w:val="00853CD8"/>
    <w:rsid w:val="0085455D"/>
    <w:rsid w:val="0085458B"/>
    <w:rsid w:val="008547D2"/>
    <w:rsid w:val="00854962"/>
    <w:rsid w:val="008549E3"/>
    <w:rsid w:val="00854FCD"/>
    <w:rsid w:val="008550E1"/>
    <w:rsid w:val="00855157"/>
    <w:rsid w:val="00855271"/>
    <w:rsid w:val="008552BE"/>
    <w:rsid w:val="00855550"/>
    <w:rsid w:val="00855727"/>
    <w:rsid w:val="00855866"/>
    <w:rsid w:val="00855877"/>
    <w:rsid w:val="00855A55"/>
    <w:rsid w:val="00855F0F"/>
    <w:rsid w:val="0085634E"/>
    <w:rsid w:val="00856C18"/>
    <w:rsid w:val="00856F5E"/>
    <w:rsid w:val="00857410"/>
    <w:rsid w:val="00857744"/>
    <w:rsid w:val="00857785"/>
    <w:rsid w:val="00857909"/>
    <w:rsid w:val="00857B54"/>
    <w:rsid w:val="00857D80"/>
    <w:rsid w:val="00857DB8"/>
    <w:rsid w:val="00860126"/>
    <w:rsid w:val="008602FC"/>
    <w:rsid w:val="00860359"/>
    <w:rsid w:val="008603E5"/>
    <w:rsid w:val="00860A66"/>
    <w:rsid w:val="00860E47"/>
    <w:rsid w:val="00861758"/>
    <w:rsid w:val="00861889"/>
    <w:rsid w:val="00861999"/>
    <w:rsid w:val="00861C1C"/>
    <w:rsid w:val="00861C20"/>
    <w:rsid w:val="00862795"/>
    <w:rsid w:val="00862831"/>
    <w:rsid w:val="00862B0E"/>
    <w:rsid w:val="00862F7B"/>
    <w:rsid w:val="00862F9D"/>
    <w:rsid w:val="0086327E"/>
    <w:rsid w:val="008633BF"/>
    <w:rsid w:val="00863B24"/>
    <w:rsid w:val="00863BCA"/>
    <w:rsid w:val="00863D3C"/>
    <w:rsid w:val="00863E69"/>
    <w:rsid w:val="00864FA7"/>
    <w:rsid w:val="00865196"/>
    <w:rsid w:val="008654F2"/>
    <w:rsid w:val="0086569F"/>
    <w:rsid w:val="00865807"/>
    <w:rsid w:val="0086582E"/>
    <w:rsid w:val="00865F36"/>
    <w:rsid w:val="0086642D"/>
    <w:rsid w:val="008665B2"/>
    <w:rsid w:val="008666B0"/>
    <w:rsid w:val="008671E8"/>
    <w:rsid w:val="0086721A"/>
    <w:rsid w:val="008679DE"/>
    <w:rsid w:val="00867B89"/>
    <w:rsid w:val="00867C2C"/>
    <w:rsid w:val="00867C33"/>
    <w:rsid w:val="00867F63"/>
    <w:rsid w:val="0086AAB2"/>
    <w:rsid w:val="00870538"/>
    <w:rsid w:val="00870A26"/>
    <w:rsid w:val="00870A3D"/>
    <w:rsid w:val="00870B8D"/>
    <w:rsid w:val="00870B93"/>
    <w:rsid w:val="00870E3A"/>
    <w:rsid w:val="00870EE4"/>
    <w:rsid w:val="00871143"/>
    <w:rsid w:val="0087125D"/>
    <w:rsid w:val="00871954"/>
    <w:rsid w:val="00871B21"/>
    <w:rsid w:val="00872148"/>
    <w:rsid w:val="00872368"/>
    <w:rsid w:val="0087265A"/>
    <w:rsid w:val="00872790"/>
    <w:rsid w:val="008727E7"/>
    <w:rsid w:val="00872966"/>
    <w:rsid w:val="008729D0"/>
    <w:rsid w:val="00872C07"/>
    <w:rsid w:val="00872CF2"/>
    <w:rsid w:val="00873249"/>
    <w:rsid w:val="00873438"/>
    <w:rsid w:val="008737D3"/>
    <w:rsid w:val="00873899"/>
    <w:rsid w:val="00873AE9"/>
    <w:rsid w:val="00874945"/>
    <w:rsid w:val="00874C5C"/>
    <w:rsid w:val="00874D3E"/>
    <w:rsid w:val="00874ED8"/>
    <w:rsid w:val="00875383"/>
    <w:rsid w:val="00875AED"/>
    <w:rsid w:val="00875DE4"/>
    <w:rsid w:val="00875EBD"/>
    <w:rsid w:val="00876022"/>
    <w:rsid w:val="00876141"/>
    <w:rsid w:val="008763FE"/>
    <w:rsid w:val="00876440"/>
    <w:rsid w:val="008764B2"/>
    <w:rsid w:val="0087675F"/>
    <w:rsid w:val="00876760"/>
    <w:rsid w:val="00876D5D"/>
    <w:rsid w:val="00877746"/>
    <w:rsid w:val="008777BD"/>
    <w:rsid w:val="00877870"/>
    <w:rsid w:val="00877F66"/>
    <w:rsid w:val="0088004C"/>
    <w:rsid w:val="0088021B"/>
    <w:rsid w:val="00880373"/>
    <w:rsid w:val="00880488"/>
    <w:rsid w:val="0088073B"/>
    <w:rsid w:val="00880F28"/>
    <w:rsid w:val="00881476"/>
    <w:rsid w:val="008815EE"/>
    <w:rsid w:val="00881694"/>
    <w:rsid w:val="00881F0B"/>
    <w:rsid w:val="0088208C"/>
    <w:rsid w:val="00882BF4"/>
    <w:rsid w:val="00882DD3"/>
    <w:rsid w:val="008830A0"/>
    <w:rsid w:val="0088324F"/>
    <w:rsid w:val="0088335A"/>
    <w:rsid w:val="00883692"/>
    <w:rsid w:val="00883799"/>
    <w:rsid w:val="00883A84"/>
    <w:rsid w:val="00883C26"/>
    <w:rsid w:val="00883D7C"/>
    <w:rsid w:val="00884011"/>
    <w:rsid w:val="008843D4"/>
    <w:rsid w:val="00884FD0"/>
    <w:rsid w:val="00885311"/>
    <w:rsid w:val="0088598D"/>
    <w:rsid w:val="00885FDB"/>
    <w:rsid w:val="00886068"/>
    <w:rsid w:val="00886176"/>
    <w:rsid w:val="00886484"/>
    <w:rsid w:val="00886524"/>
    <w:rsid w:val="008869BF"/>
    <w:rsid w:val="00886C56"/>
    <w:rsid w:val="00887152"/>
    <w:rsid w:val="00887711"/>
    <w:rsid w:val="00887C00"/>
    <w:rsid w:val="00890164"/>
    <w:rsid w:val="00890442"/>
    <w:rsid w:val="0089057B"/>
    <w:rsid w:val="00890606"/>
    <w:rsid w:val="00890A8A"/>
    <w:rsid w:val="00890C90"/>
    <w:rsid w:val="00890E8E"/>
    <w:rsid w:val="0089135E"/>
    <w:rsid w:val="00891705"/>
    <w:rsid w:val="00891907"/>
    <w:rsid w:val="00891AFF"/>
    <w:rsid w:val="00892223"/>
    <w:rsid w:val="00892470"/>
    <w:rsid w:val="00892584"/>
    <w:rsid w:val="00892D37"/>
    <w:rsid w:val="00892E8A"/>
    <w:rsid w:val="00893A70"/>
    <w:rsid w:val="00893EF3"/>
    <w:rsid w:val="00894044"/>
    <w:rsid w:val="0089409F"/>
    <w:rsid w:val="0089428F"/>
    <w:rsid w:val="008943B2"/>
    <w:rsid w:val="008943CC"/>
    <w:rsid w:val="008945A1"/>
    <w:rsid w:val="0089471E"/>
    <w:rsid w:val="00894984"/>
    <w:rsid w:val="008949A4"/>
    <w:rsid w:val="00894B26"/>
    <w:rsid w:val="00894CCF"/>
    <w:rsid w:val="00894E22"/>
    <w:rsid w:val="00895394"/>
    <w:rsid w:val="00895D50"/>
    <w:rsid w:val="00895DAE"/>
    <w:rsid w:val="00896833"/>
    <w:rsid w:val="008968DF"/>
    <w:rsid w:val="00897229"/>
    <w:rsid w:val="008973DB"/>
    <w:rsid w:val="008975BA"/>
    <w:rsid w:val="00897DF3"/>
    <w:rsid w:val="008A0526"/>
    <w:rsid w:val="008A0B16"/>
    <w:rsid w:val="008A0B92"/>
    <w:rsid w:val="008A13E1"/>
    <w:rsid w:val="008A1639"/>
    <w:rsid w:val="008A1826"/>
    <w:rsid w:val="008A19F7"/>
    <w:rsid w:val="008A1C65"/>
    <w:rsid w:val="008A2276"/>
    <w:rsid w:val="008A23B1"/>
    <w:rsid w:val="008A2767"/>
    <w:rsid w:val="008A3322"/>
    <w:rsid w:val="008A36FF"/>
    <w:rsid w:val="008A37D3"/>
    <w:rsid w:val="008A3901"/>
    <w:rsid w:val="008A3E4A"/>
    <w:rsid w:val="008A414C"/>
    <w:rsid w:val="008A427A"/>
    <w:rsid w:val="008A462A"/>
    <w:rsid w:val="008A4681"/>
    <w:rsid w:val="008A4F45"/>
    <w:rsid w:val="008A50BF"/>
    <w:rsid w:val="008A5180"/>
    <w:rsid w:val="008A54C0"/>
    <w:rsid w:val="008A5620"/>
    <w:rsid w:val="008A5B87"/>
    <w:rsid w:val="008A5C01"/>
    <w:rsid w:val="008A6335"/>
    <w:rsid w:val="008A64EE"/>
    <w:rsid w:val="008A68B2"/>
    <w:rsid w:val="008A6D87"/>
    <w:rsid w:val="008A755A"/>
    <w:rsid w:val="008A7A0E"/>
    <w:rsid w:val="008A7E3A"/>
    <w:rsid w:val="008B0255"/>
    <w:rsid w:val="008B04F8"/>
    <w:rsid w:val="008B0762"/>
    <w:rsid w:val="008B0892"/>
    <w:rsid w:val="008B0A13"/>
    <w:rsid w:val="008B0C0A"/>
    <w:rsid w:val="008B0D14"/>
    <w:rsid w:val="008B15A6"/>
    <w:rsid w:val="008B1906"/>
    <w:rsid w:val="008B1972"/>
    <w:rsid w:val="008B1CDF"/>
    <w:rsid w:val="008B1D98"/>
    <w:rsid w:val="008B1F8B"/>
    <w:rsid w:val="008B1F95"/>
    <w:rsid w:val="008B2101"/>
    <w:rsid w:val="008B2384"/>
    <w:rsid w:val="008B26B9"/>
    <w:rsid w:val="008B2AD1"/>
    <w:rsid w:val="008B2BA4"/>
    <w:rsid w:val="008B3340"/>
    <w:rsid w:val="008B361B"/>
    <w:rsid w:val="008B3B8B"/>
    <w:rsid w:val="008B4433"/>
    <w:rsid w:val="008B48D6"/>
    <w:rsid w:val="008B4ACA"/>
    <w:rsid w:val="008B4F08"/>
    <w:rsid w:val="008B4F89"/>
    <w:rsid w:val="008B514E"/>
    <w:rsid w:val="008B56D5"/>
    <w:rsid w:val="008B5F27"/>
    <w:rsid w:val="008B62C7"/>
    <w:rsid w:val="008B6622"/>
    <w:rsid w:val="008B6688"/>
    <w:rsid w:val="008B6AEF"/>
    <w:rsid w:val="008B6B79"/>
    <w:rsid w:val="008B702D"/>
    <w:rsid w:val="008B755D"/>
    <w:rsid w:val="008B786C"/>
    <w:rsid w:val="008B7930"/>
    <w:rsid w:val="008B7CB7"/>
    <w:rsid w:val="008C0C01"/>
    <w:rsid w:val="008C0E1A"/>
    <w:rsid w:val="008C0F84"/>
    <w:rsid w:val="008C1262"/>
    <w:rsid w:val="008C13EE"/>
    <w:rsid w:val="008C15A2"/>
    <w:rsid w:val="008C18BC"/>
    <w:rsid w:val="008C19EB"/>
    <w:rsid w:val="008C1C0A"/>
    <w:rsid w:val="008C1C1B"/>
    <w:rsid w:val="008C1FB2"/>
    <w:rsid w:val="008C1FFA"/>
    <w:rsid w:val="008C265A"/>
    <w:rsid w:val="008C29FC"/>
    <w:rsid w:val="008C2BA4"/>
    <w:rsid w:val="008C2F97"/>
    <w:rsid w:val="008C2FAC"/>
    <w:rsid w:val="008C2FDF"/>
    <w:rsid w:val="008C338F"/>
    <w:rsid w:val="008C34B2"/>
    <w:rsid w:val="008C36A2"/>
    <w:rsid w:val="008C3A86"/>
    <w:rsid w:val="008C3EFE"/>
    <w:rsid w:val="008C4220"/>
    <w:rsid w:val="008C42D2"/>
    <w:rsid w:val="008C445C"/>
    <w:rsid w:val="008C46DA"/>
    <w:rsid w:val="008C4964"/>
    <w:rsid w:val="008C4C11"/>
    <w:rsid w:val="008C4D76"/>
    <w:rsid w:val="008C4DB0"/>
    <w:rsid w:val="008C4DC9"/>
    <w:rsid w:val="008C50DD"/>
    <w:rsid w:val="008C547F"/>
    <w:rsid w:val="008C592F"/>
    <w:rsid w:val="008C5989"/>
    <w:rsid w:val="008C5A43"/>
    <w:rsid w:val="008C5D20"/>
    <w:rsid w:val="008C5EDB"/>
    <w:rsid w:val="008C6001"/>
    <w:rsid w:val="008C6B5C"/>
    <w:rsid w:val="008C6D94"/>
    <w:rsid w:val="008C6DE8"/>
    <w:rsid w:val="008C6E09"/>
    <w:rsid w:val="008C6ED4"/>
    <w:rsid w:val="008C6FF8"/>
    <w:rsid w:val="008C7208"/>
    <w:rsid w:val="008C73C1"/>
    <w:rsid w:val="008C75DA"/>
    <w:rsid w:val="008C77C4"/>
    <w:rsid w:val="008C78BD"/>
    <w:rsid w:val="008C7D70"/>
    <w:rsid w:val="008D0097"/>
    <w:rsid w:val="008D00B0"/>
    <w:rsid w:val="008D058F"/>
    <w:rsid w:val="008D0701"/>
    <w:rsid w:val="008D07C0"/>
    <w:rsid w:val="008D0802"/>
    <w:rsid w:val="008D0F3C"/>
    <w:rsid w:val="008D112A"/>
    <w:rsid w:val="008D153A"/>
    <w:rsid w:val="008D1918"/>
    <w:rsid w:val="008D1AFF"/>
    <w:rsid w:val="008D1D6A"/>
    <w:rsid w:val="008D20D9"/>
    <w:rsid w:val="008D218D"/>
    <w:rsid w:val="008D232C"/>
    <w:rsid w:val="008D2546"/>
    <w:rsid w:val="008D27C4"/>
    <w:rsid w:val="008D2D01"/>
    <w:rsid w:val="008D2EA5"/>
    <w:rsid w:val="008D2EFE"/>
    <w:rsid w:val="008D37EE"/>
    <w:rsid w:val="008D3970"/>
    <w:rsid w:val="008D4665"/>
    <w:rsid w:val="008D4E11"/>
    <w:rsid w:val="008D4FE8"/>
    <w:rsid w:val="008D5210"/>
    <w:rsid w:val="008D5289"/>
    <w:rsid w:val="008D5406"/>
    <w:rsid w:val="008D6839"/>
    <w:rsid w:val="008D6E55"/>
    <w:rsid w:val="008D6EDE"/>
    <w:rsid w:val="008D6F96"/>
    <w:rsid w:val="008D6FCD"/>
    <w:rsid w:val="008D6FD5"/>
    <w:rsid w:val="008D70D9"/>
    <w:rsid w:val="008D7699"/>
    <w:rsid w:val="008D7723"/>
    <w:rsid w:val="008D77BA"/>
    <w:rsid w:val="008D783A"/>
    <w:rsid w:val="008D7976"/>
    <w:rsid w:val="008D7D69"/>
    <w:rsid w:val="008D7FD4"/>
    <w:rsid w:val="008E034D"/>
    <w:rsid w:val="008E0412"/>
    <w:rsid w:val="008E0466"/>
    <w:rsid w:val="008E058B"/>
    <w:rsid w:val="008E076F"/>
    <w:rsid w:val="008E0C6C"/>
    <w:rsid w:val="008E0E3D"/>
    <w:rsid w:val="008E0F33"/>
    <w:rsid w:val="008E0F5B"/>
    <w:rsid w:val="008E11D3"/>
    <w:rsid w:val="008E12FC"/>
    <w:rsid w:val="008E1E42"/>
    <w:rsid w:val="008E20A8"/>
    <w:rsid w:val="008E23D2"/>
    <w:rsid w:val="008E2AA2"/>
    <w:rsid w:val="008E2F54"/>
    <w:rsid w:val="008E2F91"/>
    <w:rsid w:val="008E3098"/>
    <w:rsid w:val="008E356B"/>
    <w:rsid w:val="008E367E"/>
    <w:rsid w:val="008E3702"/>
    <w:rsid w:val="008E3A89"/>
    <w:rsid w:val="008E41DF"/>
    <w:rsid w:val="008E43F9"/>
    <w:rsid w:val="008E4BE2"/>
    <w:rsid w:val="008E4BFE"/>
    <w:rsid w:val="008E4E6C"/>
    <w:rsid w:val="008E50F5"/>
    <w:rsid w:val="008E5187"/>
    <w:rsid w:val="008E54A6"/>
    <w:rsid w:val="008E5711"/>
    <w:rsid w:val="008E6106"/>
    <w:rsid w:val="008E631E"/>
    <w:rsid w:val="008E6F0D"/>
    <w:rsid w:val="008E73FC"/>
    <w:rsid w:val="008E7465"/>
    <w:rsid w:val="008E7B28"/>
    <w:rsid w:val="008E7F93"/>
    <w:rsid w:val="008E7FF3"/>
    <w:rsid w:val="008F00AE"/>
    <w:rsid w:val="008F00B3"/>
    <w:rsid w:val="008F01BA"/>
    <w:rsid w:val="008F0319"/>
    <w:rsid w:val="008F05E4"/>
    <w:rsid w:val="008F081D"/>
    <w:rsid w:val="008F0ED1"/>
    <w:rsid w:val="008F128B"/>
    <w:rsid w:val="008F12DC"/>
    <w:rsid w:val="008F18DE"/>
    <w:rsid w:val="008F1B04"/>
    <w:rsid w:val="008F1EB5"/>
    <w:rsid w:val="008F2046"/>
    <w:rsid w:val="008F2431"/>
    <w:rsid w:val="008F24DA"/>
    <w:rsid w:val="008F274F"/>
    <w:rsid w:val="008F3039"/>
    <w:rsid w:val="008F33A6"/>
    <w:rsid w:val="008F34F9"/>
    <w:rsid w:val="008F351B"/>
    <w:rsid w:val="008F3777"/>
    <w:rsid w:val="008F4885"/>
    <w:rsid w:val="008F4F6C"/>
    <w:rsid w:val="008F5295"/>
    <w:rsid w:val="008F5F35"/>
    <w:rsid w:val="008F60B5"/>
    <w:rsid w:val="008F64FA"/>
    <w:rsid w:val="008F67D3"/>
    <w:rsid w:val="008F7A3E"/>
    <w:rsid w:val="008F7C16"/>
    <w:rsid w:val="008F7F61"/>
    <w:rsid w:val="00900461"/>
    <w:rsid w:val="009008AB"/>
    <w:rsid w:val="00900BAD"/>
    <w:rsid w:val="00900C69"/>
    <w:rsid w:val="00900CD9"/>
    <w:rsid w:val="00900F06"/>
    <w:rsid w:val="00901173"/>
    <w:rsid w:val="00901AD8"/>
    <w:rsid w:val="00901D74"/>
    <w:rsid w:val="0090232A"/>
    <w:rsid w:val="009029E8"/>
    <w:rsid w:val="00902F30"/>
    <w:rsid w:val="00902FD1"/>
    <w:rsid w:val="00903057"/>
    <w:rsid w:val="0090319C"/>
    <w:rsid w:val="0090335A"/>
    <w:rsid w:val="00903840"/>
    <w:rsid w:val="00903E71"/>
    <w:rsid w:val="00903F68"/>
    <w:rsid w:val="0090426D"/>
    <w:rsid w:val="009042D9"/>
    <w:rsid w:val="00904654"/>
    <w:rsid w:val="009046E5"/>
    <w:rsid w:val="009049BC"/>
    <w:rsid w:val="00904CE5"/>
    <w:rsid w:val="00904FCD"/>
    <w:rsid w:val="009050C4"/>
    <w:rsid w:val="00905239"/>
    <w:rsid w:val="0090534F"/>
    <w:rsid w:val="009058CF"/>
    <w:rsid w:val="00905DA6"/>
    <w:rsid w:val="00905E33"/>
    <w:rsid w:val="0090663D"/>
    <w:rsid w:val="0090676A"/>
    <w:rsid w:val="00907127"/>
    <w:rsid w:val="009074AE"/>
    <w:rsid w:val="00907551"/>
    <w:rsid w:val="0090756D"/>
    <w:rsid w:val="0090765B"/>
    <w:rsid w:val="00910076"/>
    <w:rsid w:val="009100E9"/>
    <w:rsid w:val="00910441"/>
    <w:rsid w:val="00910495"/>
    <w:rsid w:val="00910632"/>
    <w:rsid w:val="00910969"/>
    <w:rsid w:val="00910E86"/>
    <w:rsid w:val="009114BE"/>
    <w:rsid w:val="009114CC"/>
    <w:rsid w:val="00911665"/>
    <w:rsid w:val="009116EA"/>
    <w:rsid w:val="00911A43"/>
    <w:rsid w:val="009124F4"/>
    <w:rsid w:val="00912975"/>
    <w:rsid w:val="00912B52"/>
    <w:rsid w:val="00912B64"/>
    <w:rsid w:val="00913102"/>
    <w:rsid w:val="0091342E"/>
    <w:rsid w:val="009136F3"/>
    <w:rsid w:val="009137EA"/>
    <w:rsid w:val="00913B8D"/>
    <w:rsid w:val="00913F65"/>
    <w:rsid w:val="00914363"/>
    <w:rsid w:val="009143DC"/>
    <w:rsid w:val="00914420"/>
    <w:rsid w:val="00914527"/>
    <w:rsid w:val="0091463F"/>
    <w:rsid w:val="009147E8"/>
    <w:rsid w:val="009147FB"/>
    <w:rsid w:val="0091495C"/>
    <w:rsid w:val="00914987"/>
    <w:rsid w:val="009155D1"/>
    <w:rsid w:val="00915C01"/>
    <w:rsid w:val="00915F71"/>
    <w:rsid w:val="00916592"/>
    <w:rsid w:val="00916CD3"/>
    <w:rsid w:val="009170A9"/>
    <w:rsid w:val="009172BA"/>
    <w:rsid w:val="009176CB"/>
    <w:rsid w:val="009177B2"/>
    <w:rsid w:val="0091783B"/>
    <w:rsid w:val="009178DD"/>
    <w:rsid w:val="009178DF"/>
    <w:rsid w:val="00917996"/>
    <w:rsid w:val="00917C0E"/>
    <w:rsid w:val="00917F22"/>
    <w:rsid w:val="0091DCF3"/>
    <w:rsid w:val="00920043"/>
    <w:rsid w:val="00920BB1"/>
    <w:rsid w:val="00920DD0"/>
    <w:rsid w:val="009212A3"/>
    <w:rsid w:val="009216D2"/>
    <w:rsid w:val="009219C4"/>
    <w:rsid w:val="00921B0B"/>
    <w:rsid w:val="00921BE1"/>
    <w:rsid w:val="00921E15"/>
    <w:rsid w:val="00921E2C"/>
    <w:rsid w:val="00921EC7"/>
    <w:rsid w:val="009220AB"/>
    <w:rsid w:val="0092223C"/>
    <w:rsid w:val="00922726"/>
    <w:rsid w:val="00922842"/>
    <w:rsid w:val="009235A6"/>
    <w:rsid w:val="00923645"/>
    <w:rsid w:val="0092367F"/>
    <w:rsid w:val="00923693"/>
    <w:rsid w:val="00923AD7"/>
    <w:rsid w:val="00923ADD"/>
    <w:rsid w:val="00923B52"/>
    <w:rsid w:val="00923FCD"/>
    <w:rsid w:val="009242D5"/>
    <w:rsid w:val="00924D2B"/>
    <w:rsid w:val="00924DF0"/>
    <w:rsid w:val="00925037"/>
    <w:rsid w:val="0092534A"/>
    <w:rsid w:val="00925450"/>
    <w:rsid w:val="0092553E"/>
    <w:rsid w:val="009256F3"/>
    <w:rsid w:val="009259BD"/>
    <w:rsid w:val="00925A87"/>
    <w:rsid w:val="00925C6E"/>
    <w:rsid w:val="00925F7C"/>
    <w:rsid w:val="00925F87"/>
    <w:rsid w:val="00926142"/>
    <w:rsid w:val="00926416"/>
    <w:rsid w:val="009269C8"/>
    <w:rsid w:val="009269F9"/>
    <w:rsid w:val="00926F5E"/>
    <w:rsid w:val="0092713D"/>
    <w:rsid w:val="00927279"/>
    <w:rsid w:val="00927C3F"/>
    <w:rsid w:val="0093005A"/>
    <w:rsid w:val="009300C1"/>
    <w:rsid w:val="00930789"/>
    <w:rsid w:val="00931135"/>
    <w:rsid w:val="009315C5"/>
    <w:rsid w:val="00931732"/>
    <w:rsid w:val="00931BC6"/>
    <w:rsid w:val="00931BDB"/>
    <w:rsid w:val="00931C71"/>
    <w:rsid w:val="00931D82"/>
    <w:rsid w:val="00931F20"/>
    <w:rsid w:val="00932437"/>
    <w:rsid w:val="00932894"/>
    <w:rsid w:val="00932B2A"/>
    <w:rsid w:val="00932BF9"/>
    <w:rsid w:val="00932E6E"/>
    <w:rsid w:val="00933112"/>
    <w:rsid w:val="00933299"/>
    <w:rsid w:val="009339AB"/>
    <w:rsid w:val="00934501"/>
    <w:rsid w:val="009346BD"/>
    <w:rsid w:val="00934F39"/>
    <w:rsid w:val="00934FB2"/>
    <w:rsid w:val="00934FFF"/>
    <w:rsid w:val="00935215"/>
    <w:rsid w:val="00935DE0"/>
    <w:rsid w:val="00936668"/>
    <w:rsid w:val="00936D30"/>
    <w:rsid w:val="00937159"/>
    <w:rsid w:val="009371F2"/>
    <w:rsid w:val="00937411"/>
    <w:rsid w:val="00937EAD"/>
    <w:rsid w:val="00937EC1"/>
    <w:rsid w:val="00940304"/>
    <w:rsid w:val="00940506"/>
    <w:rsid w:val="0094067B"/>
    <w:rsid w:val="009407C6"/>
    <w:rsid w:val="00940BB1"/>
    <w:rsid w:val="00941397"/>
    <w:rsid w:val="009415AB"/>
    <w:rsid w:val="009415BA"/>
    <w:rsid w:val="0094174B"/>
    <w:rsid w:val="009419DF"/>
    <w:rsid w:val="00942826"/>
    <w:rsid w:val="009428CE"/>
    <w:rsid w:val="00942B86"/>
    <w:rsid w:val="00942C38"/>
    <w:rsid w:val="00942D3E"/>
    <w:rsid w:val="00943205"/>
    <w:rsid w:val="00943288"/>
    <w:rsid w:val="0094344D"/>
    <w:rsid w:val="009439AF"/>
    <w:rsid w:val="00943B86"/>
    <w:rsid w:val="00943BE6"/>
    <w:rsid w:val="00943E7F"/>
    <w:rsid w:val="00943F2A"/>
    <w:rsid w:val="0094408E"/>
    <w:rsid w:val="00944180"/>
    <w:rsid w:val="0094425C"/>
    <w:rsid w:val="009442B5"/>
    <w:rsid w:val="009448C6"/>
    <w:rsid w:val="00944AF3"/>
    <w:rsid w:val="00944CBC"/>
    <w:rsid w:val="00944CEB"/>
    <w:rsid w:val="00944E64"/>
    <w:rsid w:val="00944FC6"/>
    <w:rsid w:val="00945346"/>
    <w:rsid w:val="00945390"/>
    <w:rsid w:val="00945B44"/>
    <w:rsid w:val="00945C6B"/>
    <w:rsid w:val="00945F8E"/>
    <w:rsid w:val="00946162"/>
    <w:rsid w:val="00946701"/>
    <w:rsid w:val="00946AC5"/>
    <w:rsid w:val="00946CF1"/>
    <w:rsid w:val="00947274"/>
    <w:rsid w:val="00947357"/>
    <w:rsid w:val="00947882"/>
    <w:rsid w:val="00947969"/>
    <w:rsid w:val="00947C02"/>
    <w:rsid w:val="00947D20"/>
    <w:rsid w:val="0095054D"/>
    <w:rsid w:val="0095057D"/>
    <w:rsid w:val="00950AF8"/>
    <w:rsid w:val="00950E29"/>
    <w:rsid w:val="00950E48"/>
    <w:rsid w:val="009511B9"/>
    <w:rsid w:val="00951304"/>
    <w:rsid w:val="0095172E"/>
    <w:rsid w:val="0095175C"/>
    <w:rsid w:val="00951B9B"/>
    <w:rsid w:val="00951BA4"/>
    <w:rsid w:val="00951EF9"/>
    <w:rsid w:val="00951F45"/>
    <w:rsid w:val="009520F6"/>
    <w:rsid w:val="00952289"/>
    <w:rsid w:val="00952448"/>
    <w:rsid w:val="009527BC"/>
    <w:rsid w:val="00952885"/>
    <w:rsid w:val="00952997"/>
    <w:rsid w:val="00952DFC"/>
    <w:rsid w:val="00953615"/>
    <w:rsid w:val="0095378E"/>
    <w:rsid w:val="009539F9"/>
    <w:rsid w:val="00953F72"/>
    <w:rsid w:val="009541A3"/>
    <w:rsid w:val="00954603"/>
    <w:rsid w:val="009547C8"/>
    <w:rsid w:val="009547D6"/>
    <w:rsid w:val="00954CD1"/>
    <w:rsid w:val="0095507E"/>
    <w:rsid w:val="00955199"/>
    <w:rsid w:val="009554F2"/>
    <w:rsid w:val="009558BD"/>
    <w:rsid w:val="00955930"/>
    <w:rsid w:val="00955A9F"/>
    <w:rsid w:val="00955CC9"/>
    <w:rsid w:val="00955D65"/>
    <w:rsid w:val="00956180"/>
    <w:rsid w:val="0095669D"/>
    <w:rsid w:val="009567A8"/>
    <w:rsid w:val="00956B4D"/>
    <w:rsid w:val="00956CAB"/>
    <w:rsid w:val="00956E9F"/>
    <w:rsid w:val="0095766E"/>
    <w:rsid w:val="00957719"/>
    <w:rsid w:val="00960306"/>
    <w:rsid w:val="0096061C"/>
    <w:rsid w:val="00960A83"/>
    <w:rsid w:val="00960AB1"/>
    <w:rsid w:val="00960C35"/>
    <w:rsid w:val="00960FEE"/>
    <w:rsid w:val="0096111A"/>
    <w:rsid w:val="0096145E"/>
    <w:rsid w:val="00961897"/>
    <w:rsid w:val="00961A15"/>
    <w:rsid w:val="00961D2D"/>
    <w:rsid w:val="00961F3C"/>
    <w:rsid w:val="00961F81"/>
    <w:rsid w:val="009621B2"/>
    <w:rsid w:val="009624DF"/>
    <w:rsid w:val="00962790"/>
    <w:rsid w:val="0096297D"/>
    <w:rsid w:val="009629E4"/>
    <w:rsid w:val="00962E8D"/>
    <w:rsid w:val="00962E99"/>
    <w:rsid w:val="0096328B"/>
    <w:rsid w:val="009632DA"/>
    <w:rsid w:val="009635D1"/>
    <w:rsid w:val="00963AC9"/>
    <w:rsid w:val="00964197"/>
    <w:rsid w:val="0096423F"/>
    <w:rsid w:val="009643D6"/>
    <w:rsid w:val="0096474C"/>
    <w:rsid w:val="0096479F"/>
    <w:rsid w:val="009649DE"/>
    <w:rsid w:val="00964A2E"/>
    <w:rsid w:val="00964BB3"/>
    <w:rsid w:val="009652F0"/>
    <w:rsid w:val="00965492"/>
    <w:rsid w:val="00965567"/>
    <w:rsid w:val="00965618"/>
    <w:rsid w:val="00965DF8"/>
    <w:rsid w:val="00966152"/>
    <w:rsid w:val="00966344"/>
    <w:rsid w:val="00966346"/>
    <w:rsid w:val="00966511"/>
    <w:rsid w:val="0096660C"/>
    <w:rsid w:val="009667A9"/>
    <w:rsid w:val="009667AB"/>
    <w:rsid w:val="0096685A"/>
    <w:rsid w:val="00966BEF"/>
    <w:rsid w:val="00967B7C"/>
    <w:rsid w:val="00967E56"/>
    <w:rsid w:val="00970010"/>
    <w:rsid w:val="00970778"/>
    <w:rsid w:val="00971308"/>
    <w:rsid w:val="00972003"/>
    <w:rsid w:val="00972014"/>
    <w:rsid w:val="0097217D"/>
    <w:rsid w:val="009728F6"/>
    <w:rsid w:val="00972912"/>
    <w:rsid w:val="00972B49"/>
    <w:rsid w:val="00972E5A"/>
    <w:rsid w:val="00972F24"/>
    <w:rsid w:val="00973011"/>
    <w:rsid w:val="009741FB"/>
    <w:rsid w:val="0097439A"/>
    <w:rsid w:val="009744E7"/>
    <w:rsid w:val="00974517"/>
    <w:rsid w:val="00974838"/>
    <w:rsid w:val="00974CD9"/>
    <w:rsid w:val="009750A6"/>
    <w:rsid w:val="0097517E"/>
    <w:rsid w:val="0097555D"/>
    <w:rsid w:val="00975912"/>
    <w:rsid w:val="00975B9C"/>
    <w:rsid w:val="00976205"/>
    <w:rsid w:val="00976326"/>
    <w:rsid w:val="00976B2D"/>
    <w:rsid w:val="00976D9F"/>
    <w:rsid w:val="00976E5E"/>
    <w:rsid w:val="009772C2"/>
    <w:rsid w:val="00977C7C"/>
    <w:rsid w:val="00977CD8"/>
    <w:rsid w:val="00977CFA"/>
    <w:rsid w:val="00977E96"/>
    <w:rsid w:val="00980604"/>
    <w:rsid w:val="00980B35"/>
    <w:rsid w:val="00980C3B"/>
    <w:rsid w:val="00981217"/>
    <w:rsid w:val="00981257"/>
    <w:rsid w:val="009815F0"/>
    <w:rsid w:val="00981B75"/>
    <w:rsid w:val="00981CC8"/>
    <w:rsid w:val="00981D88"/>
    <w:rsid w:val="00981EC0"/>
    <w:rsid w:val="00982DC7"/>
    <w:rsid w:val="00982FE8"/>
    <w:rsid w:val="009830A1"/>
    <w:rsid w:val="009830CC"/>
    <w:rsid w:val="009835EB"/>
    <w:rsid w:val="009838C1"/>
    <w:rsid w:val="00983CC2"/>
    <w:rsid w:val="00984281"/>
    <w:rsid w:val="0098434A"/>
    <w:rsid w:val="0098455F"/>
    <w:rsid w:val="009847AE"/>
    <w:rsid w:val="00984C68"/>
    <w:rsid w:val="00984C6E"/>
    <w:rsid w:val="00984D41"/>
    <w:rsid w:val="00985117"/>
    <w:rsid w:val="00985215"/>
    <w:rsid w:val="009854C8"/>
    <w:rsid w:val="009858AF"/>
    <w:rsid w:val="00985904"/>
    <w:rsid w:val="009859DF"/>
    <w:rsid w:val="00985AE9"/>
    <w:rsid w:val="00985EE3"/>
    <w:rsid w:val="0098617D"/>
    <w:rsid w:val="009861B9"/>
    <w:rsid w:val="00986200"/>
    <w:rsid w:val="00986219"/>
    <w:rsid w:val="009862C7"/>
    <w:rsid w:val="00986494"/>
    <w:rsid w:val="009864BE"/>
    <w:rsid w:val="0098699F"/>
    <w:rsid w:val="00986C86"/>
    <w:rsid w:val="00987500"/>
    <w:rsid w:val="00987518"/>
    <w:rsid w:val="00987530"/>
    <w:rsid w:val="0098779B"/>
    <w:rsid w:val="00987849"/>
    <w:rsid w:val="00987CE7"/>
    <w:rsid w:val="009901A4"/>
    <w:rsid w:val="00990219"/>
    <w:rsid w:val="0099023E"/>
    <w:rsid w:val="009903C8"/>
    <w:rsid w:val="00990632"/>
    <w:rsid w:val="009908B6"/>
    <w:rsid w:val="00990905"/>
    <w:rsid w:val="00990E39"/>
    <w:rsid w:val="009917D1"/>
    <w:rsid w:val="00991B0A"/>
    <w:rsid w:val="00991E76"/>
    <w:rsid w:val="009920DD"/>
    <w:rsid w:val="0099221B"/>
    <w:rsid w:val="00992716"/>
    <w:rsid w:val="00992810"/>
    <w:rsid w:val="00992AF7"/>
    <w:rsid w:val="00993600"/>
    <w:rsid w:val="009937BC"/>
    <w:rsid w:val="00993879"/>
    <w:rsid w:val="00993E95"/>
    <w:rsid w:val="0099462F"/>
    <w:rsid w:val="00995018"/>
    <w:rsid w:val="009955E4"/>
    <w:rsid w:val="00995667"/>
    <w:rsid w:val="009956F0"/>
    <w:rsid w:val="00995D10"/>
    <w:rsid w:val="00995FA8"/>
    <w:rsid w:val="009960E0"/>
    <w:rsid w:val="0099613D"/>
    <w:rsid w:val="0099644A"/>
    <w:rsid w:val="00996498"/>
    <w:rsid w:val="0099651B"/>
    <w:rsid w:val="00996697"/>
    <w:rsid w:val="009967AF"/>
    <w:rsid w:val="00996971"/>
    <w:rsid w:val="00996CFE"/>
    <w:rsid w:val="00996E3D"/>
    <w:rsid w:val="00996EFA"/>
    <w:rsid w:val="00997079"/>
    <w:rsid w:val="009970BF"/>
    <w:rsid w:val="0099737D"/>
    <w:rsid w:val="009973DD"/>
    <w:rsid w:val="00997796"/>
    <w:rsid w:val="00997C40"/>
    <w:rsid w:val="00997CB1"/>
    <w:rsid w:val="009A01F9"/>
    <w:rsid w:val="009A025B"/>
    <w:rsid w:val="009A0617"/>
    <w:rsid w:val="009A0651"/>
    <w:rsid w:val="009A0846"/>
    <w:rsid w:val="009A09BE"/>
    <w:rsid w:val="009A0DAD"/>
    <w:rsid w:val="009A10C4"/>
    <w:rsid w:val="009A12B3"/>
    <w:rsid w:val="009A14E4"/>
    <w:rsid w:val="009A1630"/>
    <w:rsid w:val="009A1AFF"/>
    <w:rsid w:val="009A1B4B"/>
    <w:rsid w:val="009A1E43"/>
    <w:rsid w:val="009A29E3"/>
    <w:rsid w:val="009A2C1B"/>
    <w:rsid w:val="009A2EE2"/>
    <w:rsid w:val="009A322D"/>
    <w:rsid w:val="009A3252"/>
    <w:rsid w:val="009A35BC"/>
    <w:rsid w:val="009A38DA"/>
    <w:rsid w:val="009A3C82"/>
    <w:rsid w:val="009A3E89"/>
    <w:rsid w:val="009A4090"/>
    <w:rsid w:val="009A423E"/>
    <w:rsid w:val="009A4273"/>
    <w:rsid w:val="009A435C"/>
    <w:rsid w:val="009A4B20"/>
    <w:rsid w:val="009A4B97"/>
    <w:rsid w:val="009A4E9A"/>
    <w:rsid w:val="009A4FD3"/>
    <w:rsid w:val="009A5024"/>
    <w:rsid w:val="009A6178"/>
    <w:rsid w:val="009A623F"/>
    <w:rsid w:val="009A6791"/>
    <w:rsid w:val="009A6ADA"/>
    <w:rsid w:val="009A6B09"/>
    <w:rsid w:val="009A6D40"/>
    <w:rsid w:val="009A6F01"/>
    <w:rsid w:val="009A71A3"/>
    <w:rsid w:val="009A760C"/>
    <w:rsid w:val="009A7990"/>
    <w:rsid w:val="009A7ACF"/>
    <w:rsid w:val="009B001F"/>
    <w:rsid w:val="009B0595"/>
    <w:rsid w:val="009B09BA"/>
    <w:rsid w:val="009B0BA6"/>
    <w:rsid w:val="009B0F92"/>
    <w:rsid w:val="009B1071"/>
    <w:rsid w:val="009B1234"/>
    <w:rsid w:val="009B15C5"/>
    <w:rsid w:val="009B1BD3"/>
    <w:rsid w:val="009B1C2E"/>
    <w:rsid w:val="009B23A9"/>
    <w:rsid w:val="009B27D8"/>
    <w:rsid w:val="009B2AFA"/>
    <w:rsid w:val="009B2D98"/>
    <w:rsid w:val="009B3274"/>
    <w:rsid w:val="009B3320"/>
    <w:rsid w:val="009B33FC"/>
    <w:rsid w:val="009B34DE"/>
    <w:rsid w:val="009B4058"/>
    <w:rsid w:val="009B450E"/>
    <w:rsid w:val="009B47F3"/>
    <w:rsid w:val="009B4901"/>
    <w:rsid w:val="009B4AFA"/>
    <w:rsid w:val="009B4FFD"/>
    <w:rsid w:val="009B5080"/>
    <w:rsid w:val="009B5176"/>
    <w:rsid w:val="009B521A"/>
    <w:rsid w:val="009B53B5"/>
    <w:rsid w:val="009B562D"/>
    <w:rsid w:val="009B5891"/>
    <w:rsid w:val="009B5D64"/>
    <w:rsid w:val="009B61C7"/>
    <w:rsid w:val="009B62BA"/>
    <w:rsid w:val="009B63CA"/>
    <w:rsid w:val="009B645D"/>
    <w:rsid w:val="009B658A"/>
    <w:rsid w:val="009B6762"/>
    <w:rsid w:val="009B68F9"/>
    <w:rsid w:val="009B69BC"/>
    <w:rsid w:val="009B6A1F"/>
    <w:rsid w:val="009B6D41"/>
    <w:rsid w:val="009B7350"/>
    <w:rsid w:val="009B7852"/>
    <w:rsid w:val="009B798C"/>
    <w:rsid w:val="009B7A85"/>
    <w:rsid w:val="009B7F51"/>
    <w:rsid w:val="009C0113"/>
    <w:rsid w:val="009C0132"/>
    <w:rsid w:val="009C03FB"/>
    <w:rsid w:val="009C06F1"/>
    <w:rsid w:val="009C0808"/>
    <w:rsid w:val="009C0923"/>
    <w:rsid w:val="009C117D"/>
    <w:rsid w:val="009C1183"/>
    <w:rsid w:val="009C128F"/>
    <w:rsid w:val="009C1309"/>
    <w:rsid w:val="009C166E"/>
    <w:rsid w:val="009C194A"/>
    <w:rsid w:val="009C19BF"/>
    <w:rsid w:val="009C1E02"/>
    <w:rsid w:val="009C1FD6"/>
    <w:rsid w:val="009C2183"/>
    <w:rsid w:val="009C2217"/>
    <w:rsid w:val="009C270C"/>
    <w:rsid w:val="009C2CA5"/>
    <w:rsid w:val="009C2E10"/>
    <w:rsid w:val="009C30FF"/>
    <w:rsid w:val="009C3620"/>
    <w:rsid w:val="009C37ED"/>
    <w:rsid w:val="009C3B21"/>
    <w:rsid w:val="009C3BFF"/>
    <w:rsid w:val="009C3C6B"/>
    <w:rsid w:val="009C41E5"/>
    <w:rsid w:val="009C45E3"/>
    <w:rsid w:val="009C4742"/>
    <w:rsid w:val="009C477D"/>
    <w:rsid w:val="009C499F"/>
    <w:rsid w:val="009C4A5E"/>
    <w:rsid w:val="009C50C3"/>
    <w:rsid w:val="009C56DF"/>
    <w:rsid w:val="009C5BC0"/>
    <w:rsid w:val="009C5D86"/>
    <w:rsid w:val="009C5EA9"/>
    <w:rsid w:val="009C6612"/>
    <w:rsid w:val="009C6624"/>
    <w:rsid w:val="009C6708"/>
    <w:rsid w:val="009C67BA"/>
    <w:rsid w:val="009C6853"/>
    <w:rsid w:val="009C6B1E"/>
    <w:rsid w:val="009C74AF"/>
    <w:rsid w:val="009C76B1"/>
    <w:rsid w:val="009C7970"/>
    <w:rsid w:val="009C79ED"/>
    <w:rsid w:val="009C7F46"/>
    <w:rsid w:val="009D02DF"/>
    <w:rsid w:val="009D0A41"/>
    <w:rsid w:val="009D0C6E"/>
    <w:rsid w:val="009D0CB0"/>
    <w:rsid w:val="009D0E27"/>
    <w:rsid w:val="009D0EDA"/>
    <w:rsid w:val="009D10CB"/>
    <w:rsid w:val="009D163B"/>
    <w:rsid w:val="009D16E8"/>
    <w:rsid w:val="009D17E9"/>
    <w:rsid w:val="009D1BA5"/>
    <w:rsid w:val="009D1F27"/>
    <w:rsid w:val="009D1FCF"/>
    <w:rsid w:val="009D209E"/>
    <w:rsid w:val="009D21E8"/>
    <w:rsid w:val="009D27E4"/>
    <w:rsid w:val="009D2966"/>
    <w:rsid w:val="009D2A88"/>
    <w:rsid w:val="009D2CA4"/>
    <w:rsid w:val="009D2EF7"/>
    <w:rsid w:val="009D3580"/>
    <w:rsid w:val="009D35B3"/>
    <w:rsid w:val="009D3724"/>
    <w:rsid w:val="009D3739"/>
    <w:rsid w:val="009D39DA"/>
    <w:rsid w:val="009D3E9F"/>
    <w:rsid w:val="009D3F3B"/>
    <w:rsid w:val="009D4172"/>
    <w:rsid w:val="009D462D"/>
    <w:rsid w:val="009D4A18"/>
    <w:rsid w:val="009D4B26"/>
    <w:rsid w:val="009D4BA7"/>
    <w:rsid w:val="009D4DA6"/>
    <w:rsid w:val="009D4ECC"/>
    <w:rsid w:val="009D501A"/>
    <w:rsid w:val="009D5320"/>
    <w:rsid w:val="009D539A"/>
    <w:rsid w:val="009D54FC"/>
    <w:rsid w:val="009D5506"/>
    <w:rsid w:val="009D56F1"/>
    <w:rsid w:val="009D58FE"/>
    <w:rsid w:val="009D5C33"/>
    <w:rsid w:val="009D60A0"/>
    <w:rsid w:val="009D669D"/>
    <w:rsid w:val="009D66DA"/>
    <w:rsid w:val="009D6FE2"/>
    <w:rsid w:val="009D705C"/>
    <w:rsid w:val="009D78A9"/>
    <w:rsid w:val="009D7AC4"/>
    <w:rsid w:val="009D7DE6"/>
    <w:rsid w:val="009D7FE6"/>
    <w:rsid w:val="009DCC97"/>
    <w:rsid w:val="009E04F6"/>
    <w:rsid w:val="009E0F22"/>
    <w:rsid w:val="009E106B"/>
    <w:rsid w:val="009E12A8"/>
    <w:rsid w:val="009E17E4"/>
    <w:rsid w:val="009E197C"/>
    <w:rsid w:val="009E1B06"/>
    <w:rsid w:val="009E1EFF"/>
    <w:rsid w:val="009E1F46"/>
    <w:rsid w:val="009E2026"/>
    <w:rsid w:val="009E205F"/>
    <w:rsid w:val="009E252A"/>
    <w:rsid w:val="009E276F"/>
    <w:rsid w:val="009E2981"/>
    <w:rsid w:val="009E2A72"/>
    <w:rsid w:val="009E2C22"/>
    <w:rsid w:val="009E2C9F"/>
    <w:rsid w:val="009E2DBB"/>
    <w:rsid w:val="009E2EB7"/>
    <w:rsid w:val="009E303C"/>
    <w:rsid w:val="009E352B"/>
    <w:rsid w:val="009E3546"/>
    <w:rsid w:val="009E36C8"/>
    <w:rsid w:val="009E36D9"/>
    <w:rsid w:val="009E3746"/>
    <w:rsid w:val="009E3A86"/>
    <w:rsid w:val="009E3C82"/>
    <w:rsid w:val="009E40C5"/>
    <w:rsid w:val="009E4158"/>
    <w:rsid w:val="009E41F2"/>
    <w:rsid w:val="009E4500"/>
    <w:rsid w:val="009E46CA"/>
    <w:rsid w:val="009E4A40"/>
    <w:rsid w:val="009E4F5E"/>
    <w:rsid w:val="009E50B5"/>
    <w:rsid w:val="009E511F"/>
    <w:rsid w:val="009E5748"/>
    <w:rsid w:val="009E5A28"/>
    <w:rsid w:val="009E65B9"/>
    <w:rsid w:val="009E6787"/>
    <w:rsid w:val="009E6A4A"/>
    <w:rsid w:val="009E6F2F"/>
    <w:rsid w:val="009E6F35"/>
    <w:rsid w:val="009E6FA2"/>
    <w:rsid w:val="009E78E4"/>
    <w:rsid w:val="009E7A0E"/>
    <w:rsid w:val="009F035C"/>
    <w:rsid w:val="009F04DB"/>
    <w:rsid w:val="009F08AB"/>
    <w:rsid w:val="009F0E6E"/>
    <w:rsid w:val="009F104C"/>
    <w:rsid w:val="009F1106"/>
    <w:rsid w:val="009F132F"/>
    <w:rsid w:val="009F1598"/>
    <w:rsid w:val="009F178A"/>
    <w:rsid w:val="009F17F6"/>
    <w:rsid w:val="009F1898"/>
    <w:rsid w:val="009F191D"/>
    <w:rsid w:val="009F1AFB"/>
    <w:rsid w:val="009F1B32"/>
    <w:rsid w:val="009F1DF5"/>
    <w:rsid w:val="009F22E0"/>
    <w:rsid w:val="009F29D7"/>
    <w:rsid w:val="009F2A49"/>
    <w:rsid w:val="009F2BC7"/>
    <w:rsid w:val="009F2DE0"/>
    <w:rsid w:val="009F2DEE"/>
    <w:rsid w:val="009F2F6E"/>
    <w:rsid w:val="009F31AA"/>
    <w:rsid w:val="009F3751"/>
    <w:rsid w:val="009F3D3E"/>
    <w:rsid w:val="009F3E18"/>
    <w:rsid w:val="009F4499"/>
    <w:rsid w:val="009F45E5"/>
    <w:rsid w:val="009F467B"/>
    <w:rsid w:val="009F47F6"/>
    <w:rsid w:val="009F4862"/>
    <w:rsid w:val="009F4969"/>
    <w:rsid w:val="009F5195"/>
    <w:rsid w:val="009F53F0"/>
    <w:rsid w:val="009F5558"/>
    <w:rsid w:val="009F57C3"/>
    <w:rsid w:val="009F5DD9"/>
    <w:rsid w:val="009F5EE1"/>
    <w:rsid w:val="009F63B9"/>
    <w:rsid w:val="009F66B6"/>
    <w:rsid w:val="009F66BC"/>
    <w:rsid w:val="009F6926"/>
    <w:rsid w:val="009F6FC0"/>
    <w:rsid w:val="009F7327"/>
    <w:rsid w:val="009F744D"/>
    <w:rsid w:val="009F7E23"/>
    <w:rsid w:val="009FB94D"/>
    <w:rsid w:val="00A0003D"/>
    <w:rsid w:val="00A00212"/>
    <w:rsid w:val="00A00336"/>
    <w:rsid w:val="00A006B3"/>
    <w:rsid w:val="00A00741"/>
    <w:rsid w:val="00A00A14"/>
    <w:rsid w:val="00A01062"/>
    <w:rsid w:val="00A01153"/>
    <w:rsid w:val="00A0146F"/>
    <w:rsid w:val="00A0192B"/>
    <w:rsid w:val="00A01A00"/>
    <w:rsid w:val="00A01E3A"/>
    <w:rsid w:val="00A02285"/>
    <w:rsid w:val="00A0235C"/>
    <w:rsid w:val="00A02BAF"/>
    <w:rsid w:val="00A02DAE"/>
    <w:rsid w:val="00A0365D"/>
    <w:rsid w:val="00A04647"/>
    <w:rsid w:val="00A04AC3"/>
    <w:rsid w:val="00A04CDB"/>
    <w:rsid w:val="00A04D88"/>
    <w:rsid w:val="00A050CA"/>
    <w:rsid w:val="00A0568A"/>
    <w:rsid w:val="00A056FA"/>
    <w:rsid w:val="00A05DE0"/>
    <w:rsid w:val="00A061E6"/>
    <w:rsid w:val="00A064E3"/>
    <w:rsid w:val="00A06664"/>
    <w:rsid w:val="00A06834"/>
    <w:rsid w:val="00A06BB3"/>
    <w:rsid w:val="00A06D05"/>
    <w:rsid w:val="00A06DCB"/>
    <w:rsid w:val="00A07164"/>
    <w:rsid w:val="00A07336"/>
    <w:rsid w:val="00A074D9"/>
    <w:rsid w:val="00A077FD"/>
    <w:rsid w:val="00A07B25"/>
    <w:rsid w:val="00A07F0D"/>
    <w:rsid w:val="00A10234"/>
    <w:rsid w:val="00A104A3"/>
    <w:rsid w:val="00A1058F"/>
    <w:rsid w:val="00A106C1"/>
    <w:rsid w:val="00A10B5A"/>
    <w:rsid w:val="00A10FD6"/>
    <w:rsid w:val="00A11240"/>
    <w:rsid w:val="00A112F1"/>
    <w:rsid w:val="00A113A4"/>
    <w:rsid w:val="00A11410"/>
    <w:rsid w:val="00A11889"/>
    <w:rsid w:val="00A11E94"/>
    <w:rsid w:val="00A12675"/>
    <w:rsid w:val="00A128E6"/>
    <w:rsid w:val="00A12DB6"/>
    <w:rsid w:val="00A12DFB"/>
    <w:rsid w:val="00A12E7C"/>
    <w:rsid w:val="00A12EDB"/>
    <w:rsid w:val="00A12F3C"/>
    <w:rsid w:val="00A13898"/>
    <w:rsid w:val="00A13CD4"/>
    <w:rsid w:val="00A13FF1"/>
    <w:rsid w:val="00A14026"/>
    <w:rsid w:val="00A140BA"/>
    <w:rsid w:val="00A141F3"/>
    <w:rsid w:val="00A1420F"/>
    <w:rsid w:val="00A14684"/>
    <w:rsid w:val="00A14803"/>
    <w:rsid w:val="00A149DF"/>
    <w:rsid w:val="00A14AE6"/>
    <w:rsid w:val="00A14D4C"/>
    <w:rsid w:val="00A14D81"/>
    <w:rsid w:val="00A157D7"/>
    <w:rsid w:val="00A15A2B"/>
    <w:rsid w:val="00A15A3E"/>
    <w:rsid w:val="00A15E81"/>
    <w:rsid w:val="00A163E1"/>
    <w:rsid w:val="00A165F1"/>
    <w:rsid w:val="00A16895"/>
    <w:rsid w:val="00A16924"/>
    <w:rsid w:val="00A16C16"/>
    <w:rsid w:val="00A16F02"/>
    <w:rsid w:val="00A16F12"/>
    <w:rsid w:val="00A17177"/>
    <w:rsid w:val="00A1727B"/>
    <w:rsid w:val="00A17730"/>
    <w:rsid w:val="00A179AC"/>
    <w:rsid w:val="00A2016B"/>
    <w:rsid w:val="00A20295"/>
    <w:rsid w:val="00A20C91"/>
    <w:rsid w:val="00A21070"/>
    <w:rsid w:val="00A21165"/>
    <w:rsid w:val="00A2153A"/>
    <w:rsid w:val="00A21564"/>
    <w:rsid w:val="00A2170A"/>
    <w:rsid w:val="00A217BC"/>
    <w:rsid w:val="00A218A1"/>
    <w:rsid w:val="00A21B6B"/>
    <w:rsid w:val="00A21C38"/>
    <w:rsid w:val="00A21CAB"/>
    <w:rsid w:val="00A21D8F"/>
    <w:rsid w:val="00A223D8"/>
    <w:rsid w:val="00A22584"/>
    <w:rsid w:val="00A226DC"/>
    <w:rsid w:val="00A22ACC"/>
    <w:rsid w:val="00A22E6A"/>
    <w:rsid w:val="00A2301D"/>
    <w:rsid w:val="00A23051"/>
    <w:rsid w:val="00A23188"/>
    <w:rsid w:val="00A2319D"/>
    <w:rsid w:val="00A23754"/>
    <w:rsid w:val="00A238DF"/>
    <w:rsid w:val="00A2398B"/>
    <w:rsid w:val="00A23E2F"/>
    <w:rsid w:val="00A240A9"/>
    <w:rsid w:val="00A2440C"/>
    <w:rsid w:val="00A24545"/>
    <w:rsid w:val="00A2454E"/>
    <w:rsid w:val="00A24688"/>
    <w:rsid w:val="00A249AC"/>
    <w:rsid w:val="00A24CC7"/>
    <w:rsid w:val="00A24EB5"/>
    <w:rsid w:val="00A250B5"/>
    <w:rsid w:val="00A25286"/>
    <w:rsid w:val="00A25564"/>
    <w:rsid w:val="00A25618"/>
    <w:rsid w:val="00A2576C"/>
    <w:rsid w:val="00A25980"/>
    <w:rsid w:val="00A25C5F"/>
    <w:rsid w:val="00A25DA5"/>
    <w:rsid w:val="00A25E33"/>
    <w:rsid w:val="00A25FBF"/>
    <w:rsid w:val="00A260AE"/>
    <w:rsid w:val="00A26DDE"/>
    <w:rsid w:val="00A26FCB"/>
    <w:rsid w:val="00A26FD0"/>
    <w:rsid w:val="00A270CC"/>
    <w:rsid w:val="00A27322"/>
    <w:rsid w:val="00A273F0"/>
    <w:rsid w:val="00A2749E"/>
    <w:rsid w:val="00A276ED"/>
    <w:rsid w:val="00A277C0"/>
    <w:rsid w:val="00A27B3D"/>
    <w:rsid w:val="00A27BDE"/>
    <w:rsid w:val="00A27DF6"/>
    <w:rsid w:val="00A27E4A"/>
    <w:rsid w:val="00A3060D"/>
    <w:rsid w:val="00A309EC"/>
    <w:rsid w:val="00A30BA6"/>
    <w:rsid w:val="00A31A9B"/>
    <w:rsid w:val="00A31C39"/>
    <w:rsid w:val="00A3255E"/>
    <w:rsid w:val="00A326FD"/>
    <w:rsid w:val="00A3291B"/>
    <w:rsid w:val="00A330BA"/>
    <w:rsid w:val="00A3369E"/>
    <w:rsid w:val="00A33861"/>
    <w:rsid w:val="00A33C6C"/>
    <w:rsid w:val="00A33F5E"/>
    <w:rsid w:val="00A34230"/>
    <w:rsid w:val="00A346A8"/>
    <w:rsid w:val="00A34BED"/>
    <w:rsid w:val="00A34D98"/>
    <w:rsid w:val="00A34EA8"/>
    <w:rsid w:val="00A34F9B"/>
    <w:rsid w:val="00A35243"/>
    <w:rsid w:val="00A35414"/>
    <w:rsid w:val="00A3543E"/>
    <w:rsid w:val="00A354C9"/>
    <w:rsid w:val="00A35720"/>
    <w:rsid w:val="00A3604E"/>
    <w:rsid w:val="00A36094"/>
    <w:rsid w:val="00A36292"/>
    <w:rsid w:val="00A3719E"/>
    <w:rsid w:val="00A376A7"/>
    <w:rsid w:val="00A37C78"/>
    <w:rsid w:val="00A37E94"/>
    <w:rsid w:val="00A40560"/>
    <w:rsid w:val="00A405AF"/>
    <w:rsid w:val="00A40703"/>
    <w:rsid w:val="00A40E3B"/>
    <w:rsid w:val="00A40EF8"/>
    <w:rsid w:val="00A41004"/>
    <w:rsid w:val="00A41066"/>
    <w:rsid w:val="00A41085"/>
    <w:rsid w:val="00A41303"/>
    <w:rsid w:val="00A4153D"/>
    <w:rsid w:val="00A415F2"/>
    <w:rsid w:val="00A417BB"/>
    <w:rsid w:val="00A41E65"/>
    <w:rsid w:val="00A421B3"/>
    <w:rsid w:val="00A427A4"/>
    <w:rsid w:val="00A42BF9"/>
    <w:rsid w:val="00A42D7E"/>
    <w:rsid w:val="00A42F84"/>
    <w:rsid w:val="00A434B1"/>
    <w:rsid w:val="00A435FE"/>
    <w:rsid w:val="00A4376E"/>
    <w:rsid w:val="00A43EEF"/>
    <w:rsid w:val="00A44152"/>
    <w:rsid w:val="00A441B2"/>
    <w:rsid w:val="00A454B5"/>
    <w:rsid w:val="00A45BEB"/>
    <w:rsid w:val="00A45D72"/>
    <w:rsid w:val="00A46154"/>
    <w:rsid w:val="00A465B6"/>
    <w:rsid w:val="00A466EE"/>
    <w:rsid w:val="00A46D5B"/>
    <w:rsid w:val="00A46E57"/>
    <w:rsid w:val="00A47083"/>
    <w:rsid w:val="00A47401"/>
    <w:rsid w:val="00A474E9"/>
    <w:rsid w:val="00A47C4A"/>
    <w:rsid w:val="00A47F07"/>
    <w:rsid w:val="00A47F93"/>
    <w:rsid w:val="00A5031D"/>
    <w:rsid w:val="00A50610"/>
    <w:rsid w:val="00A508F8"/>
    <w:rsid w:val="00A50B3F"/>
    <w:rsid w:val="00A511B2"/>
    <w:rsid w:val="00A515EF"/>
    <w:rsid w:val="00A516B0"/>
    <w:rsid w:val="00A51861"/>
    <w:rsid w:val="00A5188B"/>
    <w:rsid w:val="00A519D4"/>
    <w:rsid w:val="00A51B64"/>
    <w:rsid w:val="00A51C1D"/>
    <w:rsid w:val="00A523CF"/>
    <w:rsid w:val="00A5244D"/>
    <w:rsid w:val="00A52505"/>
    <w:rsid w:val="00A52E16"/>
    <w:rsid w:val="00A531E6"/>
    <w:rsid w:val="00A53464"/>
    <w:rsid w:val="00A537D1"/>
    <w:rsid w:val="00A53B70"/>
    <w:rsid w:val="00A54399"/>
    <w:rsid w:val="00A543C1"/>
    <w:rsid w:val="00A548A6"/>
    <w:rsid w:val="00A54B8D"/>
    <w:rsid w:val="00A55225"/>
    <w:rsid w:val="00A556F0"/>
    <w:rsid w:val="00A5581E"/>
    <w:rsid w:val="00A55A17"/>
    <w:rsid w:val="00A55B02"/>
    <w:rsid w:val="00A55B8E"/>
    <w:rsid w:val="00A55D7F"/>
    <w:rsid w:val="00A55FC0"/>
    <w:rsid w:val="00A5600C"/>
    <w:rsid w:val="00A56A14"/>
    <w:rsid w:val="00A56BC1"/>
    <w:rsid w:val="00A56C73"/>
    <w:rsid w:val="00A56D5F"/>
    <w:rsid w:val="00A56E7F"/>
    <w:rsid w:val="00A570CB"/>
    <w:rsid w:val="00A5731C"/>
    <w:rsid w:val="00A57B98"/>
    <w:rsid w:val="00A57CFD"/>
    <w:rsid w:val="00A57DFF"/>
    <w:rsid w:val="00A58CAE"/>
    <w:rsid w:val="00A60037"/>
    <w:rsid w:val="00A60065"/>
    <w:rsid w:val="00A605AC"/>
    <w:rsid w:val="00A60630"/>
    <w:rsid w:val="00A60DBE"/>
    <w:rsid w:val="00A60DFC"/>
    <w:rsid w:val="00A614A2"/>
    <w:rsid w:val="00A6168A"/>
    <w:rsid w:val="00A61858"/>
    <w:rsid w:val="00A61E70"/>
    <w:rsid w:val="00A61FB9"/>
    <w:rsid w:val="00A61FEB"/>
    <w:rsid w:val="00A626A7"/>
    <w:rsid w:val="00A627A3"/>
    <w:rsid w:val="00A62973"/>
    <w:rsid w:val="00A62E7C"/>
    <w:rsid w:val="00A6303C"/>
    <w:rsid w:val="00A631FC"/>
    <w:rsid w:val="00A6320E"/>
    <w:rsid w:val="00A6371F"/>
    <w:rsid w:val="00A63D24"/>
    <w:rsid w:val="00A6403E"/>
    <w:rsid w:val="00A6411D"/>
    <w:rsid w:val="00A64448"/>
    <w:rsid w:val="00A645EE"/>
    <w:rsid w:val="00A6475D"/>
    <w:rsid w:val="00A64BD4"/>
    <w:rsid w:val="00A64DFD"/>
    <w:rsid w:val="00A64F64"/>
    <w:rsid w:val="00A65048"/>
    <w:rsid w:val="00A652C4"/>
    <w:rsid w:val="00A6554B"/>
    <w:rsid w:val="00A6570F"/>
    <w:rsid w:val="00A65A90"/>
    <w:rsid w:val="00A65B3C"/>
    <w:rsid w:val="00A66214"/>
    <w:rsid w:val="00A664FB"/>
    <w:rsid w:val="00A6659F"/>
    <w:rsid w:val="00A66733"/>
    <w:rsid w:val="00A66C3D"/>
    <w:rsid w:val="00A67192"/>
    <w:rsid w:val="00A671BC"/>
    <w:rsid w:val="00A67448"/>
    <w:rsid w:val="00A67591"/>
    <w:rsid w:val="00A676C7"/>
    <w:rsid w:val="00A677C6"/>
    <w:rsid w:val="00A67900"/>
    <w:rsid w:val="00A7026B"/>
    <w:rsid w:val="00A7028C"/>
    <w:rsid w:val="00A702BD"/>
    <w:rsid w:val="00A702F9"/>
    <w:rsid w:val="00A71062"/>
    <w:rsid w:val="00A71929"/>
    <w:rsid w:val="00A71A02"/>
    <w:rsid w:val="00A71ABC"/>
    <w:rsid w:val="00A71E03"/>
    <w:rsid w:val="00A71F8E"/>
    <w:rsid w:val="00A724A7"/>
    <w:rsid w:val="00A725FF"/>
    <w:rsid w:val="00A72627"/>
    <w:rsid w:val="00A7280C"/>
    <w:rsid w:val="00A728C7"/>
    <w:rsid w:val="00A72A50"/>
    <w:rsid w:val="00A72A67"/>
    <w:rsid w:val="00A72CCB"/>
    <w:rsid w:val="00A72D9E"/>
    <w:rsid w:val="00A72F73"/>
    <w:rsid w:val="00A73021"/>
    <w:rsid w:val="00A736B6"/>
    <w:rsid w:val="00A737AC"/>
    <w:rsid w:val="00A73AC4"/>
    <w:rsid w:val="00A73D5A"/>
    <w:rsid w:val="00A74031"/>
    <w:rsid w:val="00A7424A"/>
    <w:rsid w:val="00A744E5"/>
    <w:rsid w:val="00A74AFE"/>
    <w:rsid w:val="00A74C95"/>
    <w:rsid w:val="00A752CD"/>
    <w:rsid w:val="00A755EE"/>
    <w:rsid w:val="00A757B7"/>
    <w:rsid w:val="00A758EF"/>
    <w:rsid w:val="00A75B2B"/>
    <w:rsid w:val="00A75B8C"/>
    <w:rsid w:val="00A75FFB"/>
    <w:rsid w:val="00A76279"/>
    <w:rsid w:val="00A76547"/>
    <w:rsid w:val="00A7691E"/>
    <w:rsid w:val="00A76AB5"/>
    <w:rsid w:val="00A76B8B"/>
    <w:rsid w:val="00A76EB2"/>
    <w:rsid w:val="00A76FBF"/>
    <w:rsid w:val="00A7706B"/>
    <w:rsid w:val="00A77141"/>
    <w:rsid w:val="00A771EC"/>
    <w:rsid w:val="00A77231"/>
    <w:rsid w:val="00A772B5"/>
    <w:rsid w:val="00A77333"/>
    <w:rsid w:val="00A7764F"/>
    <w:rsid w:val="00A777E2"/>
    <w:rsid w:val="00A77A62"/>
    <w:rsid w:val="00A77E8A"/>
    <w:rsid w:val="00A80309"/>
    <w:rsid w:val="00A80317"/>
    <w:rsid w:val="00A803DB"/>
    <w:rsid w:val="00A8044F"/>
    <w:rsid w:val="00A80E61"/>
    <w:rsid w:val="00A81397"/>
    <w:rsid w:val="00A81408"/>
    <w:rsid w:val="00A815D9"/>
    <w:rsid w:val="00A818C9"/>
    <w:rsid w:val="00A8193E"/>
    <w:rsid w:val="00A81A24"/>
    <w:rsid w:val="00A81F1D"/>
    <w:rsid w:val="00A824A7"/>
    <w:rsid w:val="00A82C10"/>
    <w:rsid w:val="00A82CA6"/>
    <w:rsid w:val="00A82E0E"/>
    <w:rsid w:val="00A8313D"/>
    <w:rsid w:val="00A838D1"/>
    <w:rsid w:val="00A8391C"/>
    <w:rsid w:val="00A839E4"/>
    <w:rsid w:val="00A83E33"/>
    <w:rsid w:val="00A83EDD"/>
    <w:rsid w:val="00A848EF"/>
    <w:rsid w:val="00A856CD"/>
    <w:rsid w:val="00A86135"/>
    <w:rsid w:val="00A863E1"/>
    <w:rsid w:val="00A864CC"/>
    <w:rsid w:val="00A8657C"/>
    <w:rsid w:val="00A86A91"/>
    <w:rsid w:val="00A86F3C"/>
    <w:rsid w:val="00A872A0"/>
    <w:rsid w:val="00A872B2"/>
    <w:rsid w:val="00A90683"/>
    <w:rsid w:val="00A90E90"/>
    <w:rsid w:val="00A90E9A"/>
    <w:rsid w:val="00A9154A"/>
    <w:rsid w:val="00A915AA"/>
    <w:rsid w:val="00A91635"/>
    <w:rsid w:val="00A919FE"/>
    <w:rsid w:val="00A92E6E"/>
    <w:rsid w:val="00A92F5A"/>
    <w:rsid w:val="00A93478"/>
    <w:rsid w:val="00A9354F"/>
    <w:rsid w:val="00A9392C"/>
    <w:rsid w:val="00A93E55"/>
    <w:rsid w:val="00A942BB"/>
    <w:rsid w:val="00A9443D"/>
    <w:rsid w:val="00A9481B"/>
    <w:rsid w:val="00A94BB6"/>
    <w:rsid w:val="00A94CCB"/>
    <w:rsid w:val="00A94D5D"/>
    <w:rsid w:val="00A950DC"/>
    <w:rsid w:val="00A955DF"/>
    <w:rsid w:val="00A9560B"/>
    <w:rsid w:val="00A956B2"/>
    <w:rsid w:val="00A95A94"/>
    <w:rsid w:val="00A95AFE"/>
    <w:rsid w:val="00A95CBF"/>
    <w:rsid w:val="00A95FAD"/>
    <w:rsid w:val="00A96335"/>
    <w:rsid w:val="00A96AEB"/>
    <w:rsid w:val="00A96C70"/>
    <w:rsid w:val="00A96CD9"/>
    <w:rsid w:val="00A9739A"/>
    <w:rsid w:val="00A97689"/>
    <w:rsid w:val="00A978FB"/>
    <w:rsid w:val="00A97B21"/>
    <w:rsid w:val="00A97D89"/>
    <w:rsid w:val="00AA0466"/>
    <w:rsid w:val="00AA057D"/>
    <w:rsid w:val="00AA05EE"/>
    <w:rsid w:val="00AA07D9"/>
    <w:rsid w:val="00AA098C"/>
    <w:rsid w:val="00AA0A36"/>
    <w:rsid w:val="00AA0C61"/>
    <w:rsid w:val="00AA0DF7"/>
    <w:rsid w:val="00AA108A"/>
    <w:rsid w:val="00AA18DC"/>
    <w:rsid w:val="00AA199C"/>
    <w:rsid w:val="00AA1CFC"/>
    <w:rsid w:val="00AA1D49"/>
    <w:rsid w:val="00AA204F"/>
    <w:rsid w:val="00AA2279"/>
    <w:rsid w:val="00AA22E2"/>
    <w:rsid w:val="00AA27BE"/>
    <w:rsid w:val="00AA3058"/>
    <w:rsid w:val="00AA30B3"/>
    <w:rsid w:val="00AA3348"/>
    <w:rsid w:val="00AA3515"/>
    <w:rsid w:val="00AA36BB"/>
    <w:rsid w:val="00AA3932"/>
    <w:rsid w:val="00AA3A45"/>
    <w:rsid w:val="00AA3A96"/>
    <w:rsid w:val="00AA3B44"/>
    <w:rsid w:val="00AA3CB6"/>
    <w:rsid w:val="00AA3FAD"/>
    <w:rsid w:val="00AA43DA"/>
    <w:rsid w:val="00AA46D3"/>
    <w:rsid w:val="00AA46D7"/>
    <w:rsid w:val="00AA475A"/>
    <w:rsid w:val="00AA4E83"/>
    <w:rsid w:val="00AA4F00"/>
    <w:rsid w:val="00AA54D1"/>
    <w:rsid w:val="00AA5566"/>
    <w:rsid w:val="00AA566B"/>
    <w:rsid w:val="00AA5B7E"/>
    <w:rsid w:val="00AA5D25"/>
    <w:rsid w:val="00AA5DA3"/>
    <w:rsid w:val="00AA6078"/>
    <w:rsid w:val="00AA613F"/>
    <w:rsid w:val="00AA6266"/>
    <w:rsid w:val="00AA62A3"/>
    <w:rsid w:val="00AA63C5"/>
    <w:rsid w:val="00AA63FB"/>
    <w:rsid w:val="00AA6466"/>
    <w:rsid w:val="00AA6FFF"/>
    <w:rsid w:val="00AA7155"/>
    <w:rsid w:val="00AA7426"/>
    <w:rsid w:val="00AA79EB"/>
    <w:rsid w:val="00AA7C80"/>
    <w:rsid w:val="00AA7D32"/>
    <w:rsid w:val="00AA7D7A"/>
    <w:rsid w:val="00AA7F14"/>
    <w:rsid w:val="00AA7F23"/>
    <w:rsid w:val="00AA7FD2"/>
    <w:rsid w:val="00AB009E"/>
    <w:rsid w:val="00AB0899"/>
    <w:rsid w:val="00AB08A4"/>
    <w:rsid w:val="00AB0D0D"/>
    <w:rsid w:val="00AB1292"/>
    <w:rsid w:val="00AB1A8F"/>
    <w:rsid w:val="00AB1BBF"/>
    <w:rsid w:val="00AB1D64"/>
    <w:rsid w:val="00AB2183"/>
    <w:rsid w:val="00AB21AC"/>
    <w:rsid w:val="00AB21DE"/>
    <w:rsid w:val="00AB238E"/>
    <w:rsid w:val="00AB2627"/>
    <w:rsid w:val="00AB274F"/>
    <w:rsid w:val="00AB2750"/>
    <w:rsid w:val="00AB2847"/>
    <w:rsid w:val="00AB2B1F"/>
    <w:rsid w:val="00AB2F2E"/>
    <w:rsid w:val="00AB3024"/>
    <w:rsid w:val="00AB31EA"/>
    <w:rsid w:val="00AB36A2"/>
    <w:rsid w:val="00AB37AC"/>
    <w:rsid w:val="00AB3933"/>
    <w:rsid w:val="00AB3D5D"/>
    <w:rsid w:val="00AB4117"/>
    <w:rsid w:val="00AB44AD"/>
    <w:rsid w:val="00AB49C1"/>
    <w:rsid w:val="00AB4A8A"/>
    <w:rsid w:val="00AB4BE9"/>
    <w:rsid w:val="00AB4CAB"/>
    <w:rsid w:val="00AB4CE0"/>
    <w:rsid w:val="00AB4E78"/>
    <w:rsid w:val="00AB4EF4"/>
    <w:rsid w:val="00AB50AF"/>
    <w:rsid w:val="00AB519A"/>
    <w:rsid w:val="00AB5357"/>
    <w:rsid w:val="00AB5413"/>
    <w:rsid w:val="00AB549E"/>
    <w:rsid w:val="00AB5764"/>
    <w:rsid w:val="00AB58B5"/>
    <w:rsid w:val="00AB6078"/>
    <w:rsid w:val="00AB66A9"/>
    <w:rsid w:val="00AB6BEC"/>
    <w:rsid w:val="00AB6C14"/>
    <w:rsid w:val="00AB6DE5"/>
    <w:rsid w:val="00AB6EEB"/>
    <w:rsid w:val="00AB6F4A"/>
    <w:rsid w:val="00AB75A1"/>
    <w:rsid w:val="00AB7719"/>
    <w:rsid w:val="00AB7D8C"/>
    <w:rsid w:val="00AC0119"/>
    <w:rsid w:val="00AC0435"/>
    <w:rsid w:val="00AC0A96"/>
    <w:rsid w:val="00AC0E5F"/>
    <w:rsid w:val="00AC13DD"/>
    <w:rsid w:val="00AC1420"/>
    <w:rsid w:val="00AC18C6"/>
    <w:rsid w:val="00AC19A5"/>
    <w:rsid w:val="00AC1AE6"/>
    <w:rsid w:val="00AC2724"/>
    <w:rsid w:val="00AC2DCE"/>
    <w:rsid w:val="00AC3266"/>
    <w:rsid w:val="00AC32F6"/>
    <w:rsid w:val="00AC34B7"/>
    <w:rsid w:val="00AC35EF"/>
    <w:rsid w:val="00AC3901"/>
    <w:rsid w:val="00AC3968"/>
    <w:rsid w:val="00AC3A2D"/>
    <w:rsid w:val="00AC3BF9"/>
    <w:rsid w:val="00AC49AE"/>
    <w:rsid w:val="00AC4AEC"/>
    <w:rsid w:val="00AC4C70"/>
    <w:rsid w:val="00AC4E7C"/>
    <w:rsid w:val="00AC510A"/>
    <w:rsid w:val="00AC5467"/>
    <w:rsid w:val="00AC54A4"/>
    <w:rsid w:val="00AC556F"/>
    <w:rsid w:val="00AC6BEF"/>
    <w:rsid w:val="00AC6F34"/>
    <w:rsid w:val="00AC751B"/>
    <w:rsid w:val="00AC7AC9"/>
    <w:rsid w:val="00AC7B33"/>
    <w:rsid w:val="00AC7E9A"/>
    <w:rsid w:val="00AC7F47"/>
    <w:rsid w:val="00AC7F7E"/>
    <w:rsid w:val="00AD0008"/>
    <w:rsid w:val="00AD0530"/>
    <w:rsid w:val="00AD0679"/>
    <w:rsid w:val="00AD075B"/>
    <w:rsid w:val="00AD08D9"/>
    <w:rsid w:val="00AD0956"/>
    <w:rsid w:val="00AD167D"/>
    <w:rsid w:val="00AD22B9"/>
    <w:rsid w:val="00AD259D"/>
    <w:rsid w:val="00AD28A1"/>
    <w:rsid w:val="00AD2C57"/>
    <w:rsid w:val="00AD3582"/>
    <w:rsid w:val="00AD39E9"/>
    <w:rsid w:val="00AD3AE9"/>
    <w:rsid w:val="00AD3B50"/>
    <w:rsid w:val="00AD3DBF"/>
    <w:rsid w:val="00AD3E51"/>
    <w:rsid w:val="00AD401A"/>
    <w:rsid w:val="00AD4107"/>
    <w:rsid w:val="00AD43E8"/>
    <w:rsid w:val="00AD4A8F"/>
    <w:rsid w:val="00AD4BE8"/>
    <w:rsid w:val="00AD4E2F"/>
    <w:rsid w:val="00AD4FC1"/>
    <w:rsid w:val="00AD4FF4"/>
    <w:rsid w:val="00AD512C"/>
    <w:rsid w:val="00AD5400"/>
    <w:rsid w:val="00AD5508"/>
    <w:rsid w:val="00AD55F0"/>
    <w:rsid w:val="00AD5915"/>
    <w:rsid w:val="00AD5A26"/>
    <w:rsid w:val="00AD5BCA"/>
    <w:rsid w:val="00AD5CD3"/>
    <w:rsid w:val="00AD5E9F"/>
    <w:rsid w:val="00AD6672"/>
    <w:rsid w:val="00AD6857"/>
    <w:rsid w:val="00AD68BC"/>
    <w:rsid w:val="00AD6D70"/>
    <w:rsid w:val="00AD6E06"/>
    <w:rsid w:val="00AD6F90"/>
    <w:rsid w:val="00AD6F91"/>
    <w:rsid w:val="00AD7467"/>
    <w:rsid w:val="00AD76AF"/>
    <w:rsid w:val="00AD7836"/>
    <w:rsid w:val="00AD7F58"/>
    <w:rsid w:val="00AE02C5"/>
    <w:rsid w:val="00AE054B"/>
    <w:rsid w:val="00AE061B"/>
    <w:rsid w:val="00AE0C43"/>
    <w:rsid w:val="00AE1340"/>
    <w:rsid w:val="00AE17A4"/>
    <w:rsid w:val="00AE1DA4"/>
    <w:rsid w:val="00AE20D3"/>
    <w:rsid w:val="00AE248C"/>
    <w:rsid w:val="00AE258C"/>
    <w:rsid w:val="00AE2C09"/>
    <w:rsid w:val="00AE2C3C"/>
    <w:rsid w:val="00AE2F7A"/>
    <w:rsid w:val="00AE3249"/>
    <w:rsid w:val="00AE3276"/>
    <w:rsid w:val="00AE3484"/>
    <w:rsid w:val="00AE3658"/>
    <w:rsid w:val="00AE3804"/>
    <w:rsid w:val="00AE3841"/>
    <w:rsid w:val="00AE3A10"/>
    <w:rsid w:val="00AE3AEB"/>
    <w:rsid w:val="00AE3BC0"/>
    <w:rsid w:val="00AE3C48"/>
    <w:rsid w:val="00AE3EF8"/>
    <w:rsid w:val="00AE4079"/>
    <w:rsid w:val="00AE4413"/>
    <w:rsid w:val="00AE4820"/>
    <w:rsid w:val="00AE4B04"/>
    <w:rsid w:val="00AE4C45"/>
    <w:rsid w:val="00AE4E41"/>
    <w:rsid w:val="00AE5747"/>
    <w:rsid w:val="00AE5CA3"/>
    <w:rsid w:val="00AE5F33"/>
    <w:rsid w:val="00AE66E9"/>
    <w:rsid w:val="00AE6937"/>
    <w:rsid w:val="00AE694D"/>
    <w:rsid w:val="00AE69BB"/>
    <w:rsid w:val="00AE6C49"/>
    <w:rsid w:val="00AE702A"/>
    <w:rsid w:val="00AE7511"/>
    <w:rsid w:val="00AE78BD"/>
    <w:rsid w:val="00AE7BD5"/>
    <w:rsid w:val="00AE7C70"/>
    <w:rsid w:val="00AE7CA9"/>
    <w:rsid w:val="00AF0501"/>
    <w:rsid w:val="00AF0540"/>
    <w:rsid w:val="00AF0D68"/>
    <w:rsid w:val="00AF124E"/>
    <w:rsid w:val="00AF1668"/>
    <w:rsid w:val="00AF18C8"/>
    <w:rsid w:val="00AF19F7"/>
    <w:rsid w:val="00AF1DCB"/>
    <w:rsid w:val="00AF1F82"/>
    <w:rsid w:val="00AF1FD0"/>
    <w:rsid w:val="00AF21D2"/>
    <w:rsid w:val="00AF27E0"/>
    <w:rsid w:val="00AF2CD4"/>
    <w:rsid w:val="00AF2DAB"/>
    <w:rsid w:val="00AF30F9"/>
    <w:rsid w:val="00AF332C"/>
    <w:rsid w:val="00AF3424"/>
    <w:rsid w:val="00AF362F"/>
    <w:rsid w:val="00AF3674"/>
    <w:rsid w:val="00AF36B4"/>
    <w:rsid w:val="00AF37F9"/>
    <w:rsid w:val="00AF3A3F"/>
    <w:rsid w:val="00AF4036"/>
    <w:rsid w:val="00AF4167"/>
    <w:rsid w:val="00AF41CE"/>
    <w:rsid w:val="00AF47A4"/>
    <w:rsid w:val="00AF4A18"/>
    <w:rsid w:val="00AF4E6C"/>
    <w:rsid w:val="00AF4FCC"/>
    <w:rsid w:val="00AF51B8"/>
    <w:rsid w:val="00AF558E"/>
    <w:rsid w:val="00AF56E4"/>
    <w:rsid w:val="00AF5BE5"/>
    <w:rsid w:val="00AF5D28"/>
    <w:rsid w:val="00AF61A4"/>
    <w:rsid w:val="00AF63AE"/>
    <w:rsid w:val="00AF659A"/>
    <w:rsid w:val="00AF6B8C"/>
    <w:rsid w:val="00AF6D6F"/>
    <w:rsid w:val="00AF6DE5"/>
    <w:rsid w:val="00AF6F94"/>
    <w:rsid w:val="00AF71F2"/>
    <w:rsid w:val="00AF7583"/>
    <w:rsid w:val="00AF77A8"/>
    <w:rsid w:val="00AF7B69"/>
    <w:rsid w:val="00AF7BB9"/>
    <w:rsid w:val="00AF7EE5"/>
    <w:rsid w:val="00AF7F0E"/>
    <w:rsid w:val="00AF7FA8"/>
    <w:rsid w:val="00B00125"/>
    <w:rsid w:val="00B001D9"/>
    <w:rsid w:val="00B009B3"/>
    <w:rsid w:val="00B00A23"/>
    <w:rsid w:val="00B010B5"/>
    <w:rsid w:val="00B01A92"/>
    <w:rsid w:val="00B01E24"/>
    <w:rsid w:val="00B02045"/>
    <w:rsid w:val="00B02122"/>
    <w:rsid w:val="00B022A1"/>
    <w:rsid w:val="00B029A1"/>
    <w:rsid w:val="00B02ED9"/>
    <w:rsid w:val="00B03090"/>
    <w:rsid w:val="00B033CB"/>
    <w:rsid w:val="00B034E4"/>
    <w:rsid w:val="00B03B35"/>
    <w:rsid w:val="00B0437D"/>
    <w:rsid w:val="00B043DB"/>
    <w:rsid w:val="00B047FF"/>
    <w:rsid w:val="00B04AC5"/>
    <w:rsid w:val="00B0502C"/>
    <w:rsid w:val="00B056B6"/>
    <w:rsid w:val="00B05718"/>
    <w:rsid w:val="00B059E4"/>
    <w:rsid w:val="00B06061"/>
    <w:rsid w:val="00B0617E"/>
    <w:rsid w:val="00B0679C"/>
    <w:rsid w:val="00B0698F"/>
    <w:rsid w:val="00B06B03"/>
    <w:rsid w:val="00B07345"/>
    <w:rsid w:val="00B073A4"/>
    <w:rsid w:val="00B07C2A"/>
    <w:rsid w:val="00B1003F"/>
    <w:rsid w:val="00B10274"/>
    <w:rsid w:val="00B1035A"/>
    <w:rsid w:val="00B10370"/>
    <w:rsid w:val="00B10378"/>
    <w:rsid w:val="00B107DA"/>
    <w:rsid w:val="00B108FF"/>
    <w:rsid w:val="00B10D64"/>
    <w:rsid w:val="00B10F12"/>
    <w:rsid w:val="00B11210"/>
    <w:rsid w:val="00B1131B"/>
    <w:rsid w:val="00B11BE4"/>
    <w:rsid w:val="00B11BE8"/>
    <w:rsid w:val="00B11C62"/>
    <w:rsid w:val="00B11C86"/>
    <w:rsid w:val="00B1206B"/>
    <w:rsid w:val="00B1234E"/>
    <w:rsid w:val="00B127FD"/>
    <w:rsid w:val="00B1280E"/>
    <w:rsid w:val="00B129F8"/>
    <w:rsid w:val="00B12AE6"/>
    <w:rsid w:val="00B12BF4"/>
    <w:rsid w:val="00B12E1B"/>
    <w:rsid w:val="00B12E47"/>
    <w:rsid w:val="00B12EE8"/>
    <w:rsid w:val="00B12FA3"/>
    <w:rsid w:val="00B13272"/>
    <w:rsid w:val="00B13359"/>
    <w:rsid w:val="00B13C21"/>
    <w:rsid w:val="00B13C24"/>
    <w:rsid w:val="00B13E4F"/>
    <w:rsid w:val="00B13F86"/>
    <w:rsid w:val="00B148A3"/>
    <w:rsid w:val="00B14A23"/>
    <w:rsid w:val="00B14C31"/>
    <w:rsid w:val="00B14D3D"/>
    <w:rsid w:val="00B14E15"/>
    <w:rsid w:val="00B1515C"/>
    <w:rsid w:val="00B15B7D"/>
    <w:rsid w:val="00B16111"/>
    <w:rsid w:val="00B16189"/>
    <w:rsid w:val="00B16D2D"/>
    <w:rsid w:val="00B16F53"/>
    <w:rsid w:val="00B170A6"/>
    <w:rsid w:val="00B1721F"/>
    <w:rsid w:val="00B17717"/>
    <w:rsid w:val="00B178E9"/>
    <w:rsid w:val="00B17CA1"/>
    <w:rsid w:val="00B17E56"/>
    <w:rsid w:val="00B2001B"/>
    <w:rsid w:val="00B2007F"/>
    <w:rsid w:val="00B201E6"/>
    <w:rsid w:val="00B20691"/>
    <w:rsid w:val="00B208C0"/>
    <w:rsid w:val="00B21152"/>
    <w:rsid w:val="00B21809"/>
    <w:rsid w:val="00B219CA"/>
    <w:rsid w:val="00B21ADB"/>
    <w:rsid w:val="00B21AE8"/>
    <w:rsid w:val="00B21C65"/>
    <w:rsid w:val="00B21CF9"/>
    <w:rsid w:val="00B21F9E"/>
    <w:rsid w:val="00B22BBC"/>
    <w:rsid w:val="00B22CE2"/>
    <w:rsid w:val="00B2317B"/>
    <w:rsid w:val="00B23626"/>
    <w:rsid w:val="00B23BD3"/>
    <w:rsid w:val="00B23F30"/>
    <w:rsid w:val="00B24410"/>
    <w:rsid w:val="00B24444"/>
    <w:rsid w:val="00B24AA4"/>
    <w:rsid w:val="00B24DF6"/>
    <w:rsid w:val="00B24E33"/>
    <w:rsid w:val="00B25088"/>
    <w:rsid w:val="00B2514F"/>
    <w:rsid w:val="00B2525E"/>
    <w:rsid w:val="00B25453"/>
    <w:rsid w:val="00B25596"/>
    <w:rsid w:val="00B25C6B"/>
    <w:rsid w:val="00B26021"/>
    <w:rsid w:val="00B2644A"/>
    <w:rsid w:val="00B26846"/>
    <w:rsid w:val="00B26B64"/>
    <w:rsid w:val="00B26C60"/>
    <w:rsid w:val="00B2718A"/>
    <w:rsid w:val="00B276B4"/>
    <w:rsid w:val="00B279B0"/>
    <w:rsid w:val="00B30811"/>
    <w:rsid w:val="00B309F4"/>
    <w:rsid w:val="00B30C29"/>
    <w:rsid w:val="00B30E32"/>
    <w:rsid w:val="00B3115E"/>
    <w:rsid w:val="00B311D9"/>
    <w:rsid w:val="00B31814"/>
    <w:rsid w:val="00B318F5"/>
    <w:rsid w:val="00B31A17"/>
    <w:rsid w:val="00B31E65"/>
    <w:rsid w:val="00B31F2E"/>
    <w:rsid w:val="00B32159"/>
    <w:rsid w:val="00B32343"/>
    <w:rsid w:val="00B3267C"/>
    <w:rsid w:val="00B326C4"/>
    <w:rsid w:val="00B32A4D"/>
    <w:rsid w:val="00B32AE0"/>
    <w:rsid w:val="00B32BF1"/>
    <w:rsid w:val="00B330F1"/>
    <w:rsid w:val="00B33346"/>
    <w:rsid w:val="00B33404"/>
    <w:rsid w:val="00B33938"/>
    <w:rsid w:val="00B33984"/>
    <w:rsid w:val="00B3421B"/>
    <w:rsid w:val="00B34491"/>
    <w:rsid w:val="00B34C7D"/>
    <w:rsid w:val="00B34F3A"/>
    <w:rsid w:val="00B3512D"/>
    <w:rsid w:val="00B351A5"/>
    <w:rsid w:val="00B35585"/>
    <w:rsid w:val="00B35750"/>
    <w:rsid w:val="00B35A26"/>
    <w:rsid w:val="00B36060"/>
    <w:rsid w:val="00B36190"/>
    <w:rsid w:val="00B365DC"/>
    <w:rsid w:val="00B3667B"/>
    <w:rsid w:val="00B36760"/>
    <w:rsid w:val="00B36DAF"/>
    <w:rsid w:val="00B37871"/>
    <w:rsid w:val="00B37991"/>
    <w:rsid w:val="00B37DCB"/>
    <w:rsid w:val="00B40107"/>
    <w:rsid w:val="00B40263"/>
    <w:rsid w:val="00B407C8"/>
    <w:rsid w:val="00B40939"/>
    <w:rsid w:val="00B4094A"/>
    <w:rsid w:val="00B40DAA"/>
    <w:rsid w:val="00B40F99"/>
    <w:rsid w:val="00B414FB"/>
    <w:rsid w:val="00B41585"/>
    <w:rsid w:val="00B41C5F"/>
    <w:rsid w:val="00B42043"/>
    <w:rsid w:val="00B421B9"/>
    <w:rsid w:val="00B423B0"/>
    <w:rsid w:val="00B42424"/>
    <w:rsid w:val="00B426DE"/>
    <w:rsid w:val="00B42A03"/>
    <w:rsid w:val="00B42C86"/>
    <w:rsid w:val="00B43043"/>
    <w:rsid w:val="00B431DF"/>
    <w:rsid w:val="00B432D7"/>
    <w:rsid w:val="00B43408"/>
    <w:rsid w:val="00B435CC"/>
    <w:rsid w:val="00B43B5A"/>
    <w:rsid w:val="00B44661"/>
    <w:rsid w:val="00B446AD"/>
    <w:rsid w:val="00B44FFA"/>
    <w:rsid w:val="00B450E8"/>
    <w:rsid w:val="00B457B3"/>
    <w:rsid w:val="00B45852"/>
    <w:rsid w:val="00B458ED"/>
    <w:rsid w:val="00B45C89"/>
    <w:rsid w:val="00B46639"/>
    <w:rsid w:val="00B46ADC"/>
    <w:rsid w:val="00B46DE7"/>
    <w:rsid w:val="00B47137"/>
    <w:rsid w:val="00B471D6"/>
    <w:rsid w:val="00B4758F"/>
    <w:rsid w:val="00B47951"/>
    <w:rsid w:val="00B47C74"/>
    <w:rsid w:val="00B47D1A"/>
    <w:rsid w:val="00B47E93"/>
    <w:rsid w:val="00B509EC"/>
    <w:rsid w:val="00B50B08"/>
    <w:rsid w:val="00B51065"/>
    <w:rsid w:val="00B5109B"/>
    <w:rsid w:val="00B510FD"/>
    <w:rsid w:val="00B51128"/>
    <w:rsid w:val="00B512F7"/>
    <w:rsid w:val="00B515A8"/>
    <w:rsid w:val="00B519F2"/>
    <w:rsid w:val="00B51BD8"/>
    <w:rsid w:val="00B51C57"/>
    <w:rsid w:val="00B51D53"/>
    <w:rsid w:val="00B51EEB"/>
    <w:rsid w:val="00B51F27"/>
    <w:rsid w:val="00B52136"/>
    <w:rsid w:val="00B523C9"/>
    <w:rsid w:val="00B52948"/>
    <w:rsid w:val="00B52A0E"/>
    <w:rsid w:val="00B52F00"/>
    <w:rsid w:val="00B5301D"/>
    <w:rsid w:val="00B53191"/>
    <w:rsid w:val="00B532B5"/>
    <w:rsid w:val="00B53705"/>
    <w:rsid w:val="00B53BAD"/>
    <w:rsid w:val="00B53F94"/>
    <w:rsid w:val="00B541A8"/>
    <w:rsid w:val="00B541D9"/>
    <w:rsid w:val="00B5436B"/>
    <w:rsid w:val="00B544BD"/>
    <w:rsid w:val="00B5459D"/>
    <w:rsid w:val="00B549D0"/>
    <w:rsid w:val="00B54C29"/>
    <w:rsid w:val="00B550CF"/>
    <w:rsid w:val="00B552A9"/>
    <w:rsid w:val="00B5585C"/>
    <w:rsid w:val="00B55D7B"/>
    <w:rsid w:val="00B55FDA"/>
    <w:rsid w:val="00B56097"/>
    <w:rsid w:val="00B560BF"/>
    <w:rsid w:val="00B56507"/>
    <w:rsid w:val="00B56BE7"/>
    <w:rsid w:val="00B57B98"/>
    <w:rsid w:val="00B57ED7"/>
    <w:rsid w:val="00B57FD9"/>
    <w:rsid w:val="00B57FEC"/>
    <w:rsid w:val="00B60CA4"/>
    <w:rsid w:val="00B60D8C"/>
    <w:rsid w:val="00B610BB"/>
    <w:rsid w:val="00B6125D"/>
    <w:rsid w:val="00B617BE"/>
    <w:rsid w:val="00B619FC"/>
    <w:rsid w:val="00B62563"/>
    <w:rsid w:val="00B62B13"/>
    <w:rsid w:val="00B62F7B"/>
    <w:rsid w:val="00B63007"/>
    <w:rsid w:val="00B63128"/>
    <w:rsid w:val="00B63484"/>
    <w:rsid w:val="00B634D8"/>
    <w:rsid w:val="00B636FF"/>
    <w:rsid w:val="00B637CD"/>
    <w:rsid w:val="00B64098"/>
    <w:rsid w:val="00B642CF"/>
    <w:rsid w:val="00B642EA"/>
    <w:rsid w:val="00B645F5"/>
    <w:rsid w:val="00B64781"/>
    <w:rsid w:val="00B648BE"/>
    <w:rsid w:val="00B64934"/>
    <w:rsid w:val="00B657B4"/>
    <w:rsid w:val="00B65964"/>
    <w:rsid w:val="00B65B5A"/>
    <w:rsid w:val="00B6630E"/>
    <w:rsid w:val="00B664BC"/>
    <w:rsid w:val="00B66C17"/>
    <w:rsid w:val="00B66EC5"/>
    <w:rsid w:val="00B672C3"/>
    <w:rsid w:val="00B6780E"/>
    <w:rsid w:val="00B67B1F"/>
    <w:rsid w:val="00B703F4"/>
    <w:rsid w:val="00B704FE"/>
    <w:rsid w:val="00B7093E"/>
    <w:rsid w:val="00B70A78"/>
    <w:rsid w:val="00B70E47"/>
    <w:rsid w:val="00B71047"/>
    <w:rsid w:val="00B713DB"/>
    <w:rsid w:val="00B7146C"/>
    <w:rsid w:val="00B71667"/>
    <w:rsid w:val="00B7166D"/>
    <w:rsid w:val="00B717A4"/>
    <w:rsid w:val="00B71841"/>
    <w:rsid w:val="00B71BA7"/>
    <w:rsid w:val="00B71C42"/>
    <w:rsid w:val="00B71E6A"/>
    <w:rsid w:val="00B72122"/>
    <w:rsid w:val="00B7217B"/>
    <w:rsid w:val="00B72734"/>
    <w:rsid w:val="00B72992"/>
    <w:rsid w:val="00B72A36"/>
    <w:rsid w:val="00B72AAC"/>
    <w:rsid w:val="00B73040"/>
    <w:rsid w:val="00B73712"/>
    <w:rsid w:val="00B73B4C"/>
    <w:rsid w:val="00B73EFB"/>
    <w:rsid w:val="00B7403C"/>
    <w:rsid w:val="00B741F7"/>
    <w:rsid w:val="00B742B7"/>
    <w:rsid w:val="00B7434B"/>
    <w:rsid w:val="00B74588"/>
    <w:rsid w:val="00B74ACC"/>
    <w:rsid w:val="00B7576C"/>
    <w:rsid w:val="00B75D00"/>
    <w:rsid w:val="00B75E4F"/>
    <w:rsid w:val="00B7631B"/>
    <w:rsid w:val="00B76480"/>
    <w:rsid w:val="00B765B7"/>
    <w:rsid w:val="00B7686B"/>
    <w:rsid w:val="00B768E1"/>
    <w:rsid w:val="00B76C16"/>
    <w:rsid w:val="00B774A5"/>
    <w:rsid w:val="00B77B1B"/>
    <w:rsid w:val="00B77BB9"/>
    <w:rsid w:val="00B77DA6"/>
    <w:rsid w:val="00B77F4F"/>
    <w:rsid w:val="00B800C8"/>
    <w:rsid w:val="00B80F96"/>
    <w:rsid w:val="00B8130C"/>
    <w:rsid w:val="00B8183F"/>
    <w:rsid w:val="00B81CBF"/>
    <w:rsid w:val="00B81E17"/>
    <w:rsid w:val="00B82379"/>
    <w:rsid w:val="00B8282C"/>
    <w:rsid w:val="00B82A8E"/>
    <w:rsid w:val="00B833EC"/>
    <w:rsid w:val="00B8349B"/>
    <w:rsid w:val="00B8360E"/>
    <w:rsid w:val="00B8374C"/>
    <w:rsid w:val="00B8395C"/>
    <w:rsid w:val="00B83CEF"/>
    <w:rsid w:val="00B83D92"/>
    <w:rsid w:val="00B84453"/>
    <w:rsid w:val="00B84864"/>
    <w:rsid w:val="00B84993"/>
    <w:rsid w:val="00B84C93"/>
    <w:rsid w:val="00B84CD5"/>
    <w:rsid w:val="00B85072"/>
    <w:rsid w:val="00B85279"/>
    <w:rsid w:val="00B853CD"/>
    <w:rsid w:val="00B85970"/>
    <w:rsid w:val="00B85EA6"/>
    <w:rsid w:val="00B860BB"/>
    <w:rsid w:val="00B86272"/>
    <w:rsid w:val="00B864A1"/>
    <w:rsid w:val="00B864CC"/>
    <w:rsid w:val="00B86572"/>
    <w:rsid w:val="00B86604"/>
    <w:rsid w:val="00B86618"/>
    <w:rsid w:val="00B8677B"/>
    <w:rsid w:val="00B86A44"/>
    <w:rsid w:val="00B86AE0"/>
    <w:rsid w:val="00B86EC1"/>
    <w:rsid w:val="00B86F43"/>
    <w:rsid w:val="00B8702D"/>
    <w:rsid w:val="00B8724C"/>
    <w:rsid w:val="00B877C3"/>
    <w:rsid w:val="00B877FC"/>
    <w:rsid w:val="00B9025F"/>
    <w:rsid w:val="00B9030F"/>
    <w:rsid w:val="00B9069E"/>
    <w:rsid w:val="00B90728"/>
    <w:rsid w:val="00B9094E"/>
    <w:rsid w:val="00B90A56"/>
    <w:rsid w:val="00B90D67"/>
    <w:rsid w:val="00B9102F"/>
    <w:rsid w:val="00B910CE"/>
    <w:rsid w:val="00B91105"/>
    <w:rsid w:val="00B916D3"/>
    <w:rsid w:val="00B9179C"/>
    <w:rsid w:val="00B91DE8"/>
    <w:rsid w:val="00B91E21"/>
    <w:rsid w:val="00B91EDA"/>
    <w:rsid w:val="00B91FD7"/>
    <w:rsid w:val="00B92314"/>
    <w:rsid w:val="00B9253C"/>
    <w:rsid w:val="00B92620"/>
    <w:rsid w:val="00B9285D"/>
    <w:rsid w:val="00B92E39"/>
    <w:rsid w:val="00B93595"/>
    <w:rsid w:val="00B93B76"/>
    <w:rsid w:val="00B93D9E"/>
    <w:rsid w:val="00B93E39"/>
    <w:rsid w:val="00B944AC"/>
    <w:rsid w:val="00B94A26"/>
    <w:rsid w:val="00B94B33"/>
    <w:rsid w:val="00B94DCF"/>
    <w:rsid w:val="00B94E6C"/>
    <w:rsid w:val="00B950CE"/>
    <w:rsid w:val="00B951F0"/>
    <w:rsid w:val="00B95218"/>
    <w:rsid w:val="00B953A9"/>
    <w:rsid w:val="00B953FB"/>
    <w:rsid w:val="00B9580E"/>
    <w:rsid w:val="00B95A8A"/>
    <w:rsid w:val="00B95A9E"/>
    <w:rsid w:val="00B95ADF"/>
    <w:rsid w:val="00B962B3"/>
    <w:rsid w:val="00B96303"/>
    <w:rsid w:val="00B96390"/>
    <w:rsid w:val="00B9651D"/>
    <w:rsid w:val="00B96E08"/>
    <w:rsid w:val="00B96F39"/>
    <w:rsid w:val="00B975A3"/>
    <w:rsid w:val="00B976A1"/>
    <w:rsid w:val="00B97736"/>
    <w:rsid w:val="00B97884"/>
    <w:rsid w:val="00B97DAE"/>
    <w:rsid w:val="00BA011A"/>
    <w:rsid w:val="00BA0243"/>
    <w:rsid w:val="00BA0403"/>
    <w:rsid w:val="00BA0E09"/>
    <w:rsid w:val="00BA0E0C"/>
    <w:rsid w:val="00BA0F5B"/>
    <w:rsid w:val="00BA12AE"/>
    <w:rsid w:val="00BA13E8"/>
    <w:rsid w:val="00BA15A8"/>
    <w:rsid w:val="00BA160F"/>
    <w:rsid w:val="00BA1F24"/>
    <w:rsid w:val="00BA23B6"/>
    <w:rsid w:val="00BA2481"/>
    <w:rsid w:val="00BA26D3"/>
    <w:rsid w:val="00BA2851"/>
    <w:rsid w:val="00BA293D"/>
    <w:rsid w:val="00BA302E"/>
    <w:rsid w:val="00BA30B6"/>
    <w:rsid w:val="00BA3141"/>
    <w:rsid w:val="00BA3149"/>
    <w:rsid w:val="00BA3D96"/>
    <w:rsid w:val="00BA3E5D"/>
    <w:rsid w:val="00BA45A1"/>
    <w:rsid w:val="00BA46DA"/>
    <w:rsid w:val="00BA4963"/>
    <w:rsid w:val="00BA4C4F"/>
    <w:rsid w:val="00BA501B"/>
    <w:rsid w:val="00BA5175"/>
    <w:rsid w:val="00BA5226"/>
    <w:rsid w:val="00BA5249"/>
    <w:rsid w:val="00BA5598"/>
    <w:rsid w:val="00BA56C0"/>
    <w:rsid w:val="00BA596C"/>
    <w:rsid w:val="00BA5DA4"/>
    <w:rsid w:val="00BA62BA"/>
    <w:rsid w:val="00BA64F5"/>
    <w:rsid w:val="00BA6686"/>
    <w:rsid w:val="00BA6A59"/>
    <w:rsid w:val="00BA6CD0"/>
    <w:rsid w:val="00BA6E8D"/>
    <w:rsid w:val="00BA6F8A"/>
    <w:rsid w:val="00BA72CF"/>
    <w:rsid w:val="00BA7593"/>
    <w:rsid w:val="00BA7943"/>
    <w:rsid w:val="00BA7BF9"/>
    <w:rsid w:val="00BA7CAE"/>
    <w:rsid w:val="00BA7F19"/>
    <w:rsid w:val="00BA7FFE"/>
    <w:rsid w:val="00BB023C"/>
    <w:rsid w:val="00BB048C"/>
    <w:rsid w:val="00BB05CE"/>
    <w:rsid w:val="00BB110B"/>
    <w:rsid w:val="00BB1E95"/>
    <w:rsid w:val="00BB2034"/>
    <w:rsid w:val="00BB2373"/>
    <w:rsid w:val="00BB2678"/>
    <w:rsid w:val="00BB26C0"/>
    <w:rsid w:val="00BB29E7"/>
    <w:rsid w:val="00BB3049"/>
    <w:rsid w:val="00BB3D82"/>
    <w:rsid w:val="00BB3E05"/>
    <w:rsid w:val="00BB3F08"/>
    <w:rsid w:val="00BB4039"/>
    <w:rsid w:val="00BB407A"/>
    <w:rsid w:val="00BB4272"/>
    <w:rsid w:val="00BB4355"/>
    <w:rsid w:val="00BB4770"/>
    <w:rsid w:val="00BB5265"/>
    <w:rsid w:val="00BB545D"/>
    <w:rsid w:val="00BB5C30"/>
    <w:rsid w:val="00BB65BC"/>
    <w:rsid w:val="00BB6907"/>
    <w:rsid w:val="00BB6B8D"/>
    <w:rsid w:val="00BB6B98"/>
    <w:rsid w:val="00BB6C06"/>
    <w:rsid w:val="00BB6CBF"/>
    <w:rsid w:val="00BB6ECB"/>
    <w:rsid w:val="00BB703C"/>
    <w:rsid w:val="00BB7183"/>
    <w:rsid w:val="00BB7244"/>
    <w:rsid w:val="00BB7279"/>
    <w:rsid w:val="00BB75C7"/>
    <w:rsid w:val="00BB767A"/>
    <w:rsid w:val="00BB787F"/>
    <w:rsid w:val="00BB78ED"/>
    <w:rsid w:val="00BB79A4"/>
    <w:rsid w:val="00BB79F5"/>
    <w:rsid w:val="00BB7F55"/>
    <w:rsid w:val="00BC0090"/>
    <w:rsid w:val="00BC00B6"/>
    <w:rsid w:val="00BC0546"/>
    <w:rsid w:val="00BC0A57"/>
    <w:rsid w:val="00BC0BA0"/>
    <w:rsid w:val="00BC116A"/>
    <w:rsid w:val="00BC12F5"/>
    <w:rsid w:val="00BC135B"/>
    <w:rsid w:val="00BC1B99"/>
    <w:rsid w:val="00BC1BAC"/>
    <w:rsid w:val="00BC1DDF"/>
    <w:rsid w:val="00BC1FFD"/>
    <w:rsid w:val="00BC241E"/>
    <w:rsid w:val="00BC25FF"/>
    <w:rsid w:val="00BC2765"/>
    <w:rsid w:val="00BC2A0C"/>
    <w:rsid w:val="00BC2AF8"/>
    <w:rsid w:val="00BC2E96"/>
    <w:rsid w:val="00BC2F6F"/>
    <w:rsid w:val="00BC3037"/>
    <w:rsid w:val="00BC35BC"/>
    <w:rsid w:val="00BC360F"/>
    <w:rsid w:val="00BC3A36"/>
    <w:rsid w:val="00BC3A54"/>
    <w:rsid w:val="00BC3A60"/>
    <w:rsid w:val="00BC3DE6"/>
    <w:rsid w:val="00BC3F5D"/>
    <w:rsid w:val="00BC430F"/>
    <w:rsid w:val="00BC4ADA"/>
    <w:rsid w:val="00BC4C2E"/>
    <w:rsid w:val="00BC53E1"/>
    <w:rsid w:val="00BC5484"/>
    <w:rsid w:val="00BC55BB"/>
    <w:rsid w:val="00BC5765"/>
    <w:rsid w:val="00BC58AB"/>
    <w:rsid w:val="00BC5EB8"/>
    <w:rsid w:val="00BC618D"/>
    <w:rsid w:val="00BC63EE"/>
    <w:rsid w:val="00BC65B0"/>
    <w:rsid w:val="00BC6BA7"/>
    <w:rsid w:val="00BC6F7A"/>
    <w:rsid w:val="00BC74C9"/>
    <w:rsid w:val="00BC78E7"/>
    <w:rsid w:val="00BC7B6D"/>
    <w:rsid w:val="00BC7DEA"/>
    <w:rsid w:val="00BC7EB7"/>
    <w:rsid w:val="00BD003B"/>
    <w:rsid w:val="00BD00CE"/>
    <w:rsid w:val="00BD01F1"/>
    <w:rsid w:val="00BD036A"/>
    <w:rsid w:val="00BD0472"/>
    <w:rsid w:val="00BD04CA"/>
    <w:rsid w:val="00BD087C"/>
    <w:rsid w:val="00BD0A33"/>
    <w:rsid w:val="00BD0AF5"/>
    <w:rsid w:val="00BD0D48"/>
    <w:rsid w:val="00BD0DA7"/>
    <w:rsid w:val="00BD0E1F"/>
    <w:rsid w:val="00BD1AEC"/>
    <w:rsid w:val="00BD1C55"/>
    <w:rsid w:val="00BD2734"/>
    <w:rsid w:val="00BD27EA"/>
    <w:rsid w:val="00BD2968"/>
    <w:rsid w:val="00BD305F"/>
    <w:rsid w:val="00BD3836"/>
    <w:rsid w:val="00BD3BF0"/>
    <w:rsid w:val="00BD3D37"/>
    <w:rsid w:val="00BD3DAC"/>
    <w:rsid w:val="00BD4B31"/>
    <w:rsid w:val="00BD4B95"/>
    <w:rsid w:val="00BD4E49"/>
    <w:rsid w:val="00BD58D5"/>
    <w:rsid w:val="00BD59BA"/>
    <w:rsid w:val="00BD5A38"/>
    <w:rsid w:val="00BD5E2C"/>
    <w:rsid w:val="00BD6437"/>
    <w:rsid w:val="00BD68E3"/>
    <w:rsid w:val="00BD6D8C"/>
    <w:rsid w:val="00BD6F18"/>
    <w:rsid w:val="00BD6FA5"/>
    <w:rsid w:val="00BD6FD7"/>
    <w:rsid w:val="00BD7282"/>
    <w:rsid w:val="00BD74A7"/>
    <w:rsid w:val="00BD76A8"/>
    <w:rsid w:val="00BD7E49"/>
    <w:rsid w:val="00BE046E"/>
    <w:rsid w:val="00BE0491"/>
    <w:rsid w:val="00BE04CB"/>
    <w:rsid w:val="00BE0E02"/>
    <w:rsid w:val="00BE0EA6"/>
    <w:rsid w:val="00BE11D2"/>
    <w:rsid w:val="00BE1F9F"/>
    <w:rsid w:val="00BE21A9"/>
    <w:rsid w:val="00BE23A8"/>
    <w:rsid w:val="00BE2603"/>
    <w:rsid w:val="00BE283E"/>
    <w:rsid w:val="00BE2EE8"/>
    <w:rsid w:val="00BE3281"/>
    <w:rsid w:val="00BE3338"/>
    <w:rsid w:val="00BE35EA"/>
    <w:rsid w:val="00BE3D53"/>
    <w:rsid w:val="00BE3E09"/>
    <w:rsid w:val="00BE3F0C"/>
    <w:rsid w:val="00BE4481"/>
    <w:rsid w:val="00BE4794"/>
    <w:rsid w:val="00BE48FE"/>
    <w:rsid w:val="00BE4948"/>
    <w:rsid w:val="00BE5294"/>
    <w:rsid w:val="00BE5820"/>
    <w:rsid w:val="00BE6005"/>
    <w:rsid w:val="00BE64BD"/>
    <w:rsid w:val="00BE6599"/>
    <w:rsid w:val="00BE6878"/>
    <w:rsid w:val="00BE6945"/>
    <w:rsid w:val="00BE6B7F"/>
    <w:rsid w:val="00BE6BB1"/>
    <w:rsid w:val="00BE6C63"/>
    <w:rsid w:val="00BE7AE0"/>
    <w:rsid w:val="00BE7D36"/>
    <w:rsid w:val="00BF008C"/>
    <w:rsid w:val="00BF0206"/>
    <w:rsid w:val="00BF0D4B"/>
    <w:rsid w:val="00BF102C"/>
    <w:rsid w:val="00BF1813"/>
    <w:rsid w:val="00BF18E0"/>
    <w:rsid w:val="00BF1B87"/>
    <w:rsid w:val="00BF21F5"/>
    <w:rsid w:val="00BF250D"/>
    <w:rsid w:val="00BF280A"/>
    <w:rsid w:val="00BF2CDA"/>
    <w:rsid w:val="00BF2E7F"/>
    <w:rsid w:val="00BF3B08"/>
    <w:rsid w:val="00BF3B0D"/>
    <w:rsid w:val="00BF4251"/>
    <w:rsid w:val="00BF444B"/>
    <w:rsid w:val="00BF456B"/>
    <w:rsid w:val="00BF496E"/>
    <w:rsid w:val="00BF4AA9"/>
    <w:rsid w:val="00BF4C2C"/>
    <w:rsid w:val="00BF4EBB"/>
    <w:rsid w:val="00BF4FDE"/>
    <w:rsid w:val="00BF53BF"/>
    <w:rsid w:val="00BF5C73"/>
    <w:rsid w:val="00BF63C3"/>
    <w:rsid w:val="00BF63CD"/>
    <w:rsid w:val="00BF65FF"/>
    <w:rsid w:val="00BF678D"/>
    <w:rsid w:val="00BF6828"/>
    <w:rsid w:val="00BF6BFF"/>
    <w:rsid w:val="00BF6C5C"/>
    <w:rsid w:val="00BF7537"/>
    <w:rsid w:val="00BF7569"/>
    <w:rsid w:val="00BF76ED"/>
    <w:rsid w:val="00BF7973"/>
    <w:rsid w:val="00BF7C03"/>
    <w:rsid w:val="00BF7C07"/>
    <w:rsid w:val="00BFB0AF"/>
    <w:rsid w:val="00C00285"/>
    <w:rsid w:val="00C0039A"/>
    <w:rsid w:val="00C00546"/>
    <w:rsid w:val="00C0085D"/>
    <w:rsid w:val="00C008BB"/>
    <w:rsid w:val="00C012B9"/>
    <w:rsid w:val="00C0135A"/>
    <w:rsid w:val="00C01542"/>
    <w:rsid w:val="00C019B2"/>
    <w:rsid w:val="00C01BF7"/>
    <w:rsid w:val="00C0217F"/>
    <w:rsid w:val="00C022C3"/>
    <w:rsid w:val="00C026FF"/>
    <w:rsid w:val="00C02997"/>
    <w:rsid w:val="00C02C2A"/>
    <w:rsid w:val="00C030C4"/>
    <w:rsid w:val="00C0332A"/>
    <w:rsid w:val="00C0342B"/>
    <w:rsid w:val="00C03632"/>
    <w:rsid w:val="00C03AE0"/>
    <w:rsid w:val="00C03B43"/>
    <w:rsid w:val="00C03ECD"/>
    <w:rsid w:val="00C0453B"/>
    <w:rsid w:val="00C048F8"/>
    <w:rsid w:val="00C049E3"/>
    <w:rsid w:val="00C04A9D"/>
    <w:rsid w:val="00C04CFB"/>
    <w:rsid w:val="00C04DC9"/>
    <w:rsid w:val="00C0506E"/>
    <w:rsid w:val="00C0527C"/>
    <w:rsid w:val="00C052EE"/>
    <w:rsid w:val="00C05305"/>
    <w:rsid w:val="00C05A00"/>
    <w:rsid w:val="00C05B33"/>
    <w:rsid w:val="00C05F6A"/>
    <w:rsid w:val="00C063DA"/>
    <w:rsid w:val="00C0645C"/>
    <w:rsid w:val="00C0683E"/>
    <w:rsid w:val="00C07010"/>
    <w:rsid w:val="00C07375"/>
    <w:rsid w:val="00C0740B"/>
    <w:rsid w:val="00C07846"/>
    <w:rsid w:val="00C07FF0"/>
    <w:rsid w:val="00C101DF"/>
    <w:rsid w:val="00C106DA"/>
    <w:rsid w:val="00C109AE"/>
    <w:rsid w:val="00C10AA3"/>
    <w:rsid w:val="00C112AF"/>
    <w:rsid w:val="00C117C5"/>
    <w:rsid w:val="00C11CCE"/>
    <w:rsid w:val="00C11D8D"/>
    <w:rsid w:val="00C12779"/>
    <w:rsid w:val="00C1279A"/>
    <w:rsid w:val="00C12B9E"/>
    <w:rsid w:val="00C12C7F"/>
    <w:rsid w:val="00C12E00"/>
    <w:rsid w:val="00C12EBE"/>
    <w:rsid w:val="00C13789"/>
    <w:rsid w:val="00C137D9"/>
    <w:rsid w:val="00C138A0"/>
    <w:rsid w:val="00C139EB"/>
    <w:rsid w:val="00C13A40"/>
    <w:rsid w:val="00C13B6D"/>
    <w:rsid w:val="00C13CF5"/>
    <w:rsid w:val="00C14D3F"/>
    <w:rsid w:val="00C15457"/>
    <w:rsid w:val="00C158D9"/>
    <w:rsid w:val="00C15E6E"/>
    <w:rsid w:val="00C16250"/>
    <w:rsid w:val="00C16324"/>
    <w:rsid w:val="00C167D9"/>
    <w:rsid w:val="00C1680A"/>
    <w:rsid w:val="00C17714"/>
    <w:rsid w:val="00C1784B"/>
    <w:rsid w:val="00C17855"/>
    <w:rsid w:val="00C17889"/>
    <w:rsid w:val="00C17C78"/>
    <w:rsid w:val="00C1FB5A"/>
    <w:rsid w:val="00C200A0"/>
    <w:rsid w:val="00C20304"/>
    <w:rsid w:val="00C2077C"/>
    <w:rsid w:val="00C209D5"/>
    <w:rsid w:val="00C20B96"/>
    <w:rsid w:val="00C20C86"/>
    <w:rsid w:val="00C212F7"/>
    <w:rsid w:val="00C214C5"/>
    <w:rsid w:val="00C219F3"/>
    <w:rsid w:val="00C21A17"/>
    <w:rsid w:val="00C22005"/>
    <w:rsid w:val="00C221AB"/>
    <w:rsid w:val="00C222AE"/>
    <w:rsid w:val="00C2255E"/>
    <w:rsid w:val="00C227B9"/>
    <w:rsid w:val="00C2329C"/>
    <w:rsid w:val="00C2355F"/>
    <w:rsid w:val="00C23A52"/>
    <w:rsid w:val="00C24A2B"/>
    <w:rsid w:val="00C24CE7"/>
    <w:rsid w:val="00C24D48"/>
    <w:rsid w:val="00C24D77"/>
    <w:rsid w:val="00C24EEB"/>
    <w:rsid w:val="00C25054"/>
    <w:rsid w:val="00C25182"/>
    <w:rsid w:val="00C25527"/>
    <w:rsid w:val="00C2593F"/>
    <w:rsid w:val="00C2597F"/>
    <w:rsid w:val="00C259FA"/>
    <w:rsid w:val="00C25A51"/>
    <w:rsid w:val="00C25C21"/>
    <w:rsid w:val="00C25D96"/>
    <w:rsid w:val="00C25F2F"/>
    <w:rsid w:val="00C26C82"/>
    <w:rsid w:val="00C26DD2"/>
    <w:rsid w:val="00C26E9C"/>
    <w:rsid w:val="00C26F4A"/>
    <w:rsid w:val="00C26F6D"/>
    <w:rsid w:val="00C270D9"/>
    <w:rsid w:val="00C271B1"/>
    <w:rsid w:val="00C27223"/>
    <w:rsid w:val="00C2765B"/>
    <w:rsid w:val="00C27838"/>
    <w:rsid w:val="00C2794B"/>
    <w:rsid w:val="00C27BA7"/>
    <w:rsid w:val="00C27C29"/>
    <w:rsid w:val="00C27C48"/>
    <w:rsid w:val="00C3069B"/>
    <w:rsid w:val="00C309C3"/>
    <w:rsid w:val="00C30A0F"/>
    <w:rsid w:val="00C30C89"/>
    <w:rsid w:val="00C31044"/>
    <w:rsid w:val="00C3105F"/>
    <w:rsid w:val="00C311C5"/>
    <w:rsid w:val="00C3162D"/>
    <w:rsid w:val="00C319FE"/>
    <w:rsid w:val="00C323DF"/>
    <w:rsid w:val="00C3250E"/>
    <w:rsid w:val="00C325E0"/>
    <w:rsid w:val="00C326FF"/>
    <w:rsid w:val="00C32833"/>
    <w:rsid w:val="00C33368"/>
    <w:rsid w:val="00C333FB"/>
    <w:rsid w:val="00C336FF"/>
    <w:rsid w:val="00C33926"/>
    <w:rsid w:val="00C33AFE"/>
    <w:rsid w:val="00C33F6B"/>
    <w:rsid w:val="00C342A6"/>
    <w:rsid w:val="00C3466F"/>
    <w:rsid w:val="00C34681"/>
    <w:rsid w:val="00C34D03"/>
    <w:rsid w:val="00C34D5D"/>
    <w:rsid w:val="00C34D79"/>
    <w:rsid w:val="00C34D9D"/>
    <w:rsid w:val="00C34E72"/>
    <w:rsid w:val="00C352A5"/>
    <w:rsid w:val="00C353E8"/>
    <w:rsid w:val="00C354CF"/>
    <w:rsid w:val="00C35A31"/>
    <w:rsid w:val="00C35DFC"/>
    <w:rsid w:val="00C361E7"/>
    <w:rsid w:val="00C366FE"/>
    <w:rsid w:val="00C36947"/>
    <w:rsid w:val="00C36A93"/>
    <w:rsid w:val="00C36D5B"/>
    <w:rsid w:val="00C37530"/>
    <w:rsid w:val="00C37778"/>
    <w:rsid w:val="00C377F1"/>
    <w:rsid w:val="00C37B6E"/>
    <w:rsid w:val="00C37C89"/>
    <w:rsid w:val="00C37D95"/>
    <w:rsid w:val="00C40201"/>
    <w:rsid w:val="00C40D57"/>
    <w:rsid w:val="00C412F0"/>
    <w:rsid w:val="00C4133C"/>
    <w:rsid w:val="00C41512"/>
    <w:rsid w:val="00C41A25"/>
    <w:rsid w:val="00C422E9"/>
    <w:rsid w:val="00C424C9"/>
    <w:rsid w:val="00C42544"/>
    <w:rsid w:val="00C428BB"/>
    <w:rsid w:val="00C42D2A"/>
    <w:rsid w:val="00C43682"/>
    <w:rsid w:val="00C437AC"/>
    <w:rsid w:val="00C44006"/>
    <w:rsid w:val="00C441E6"/>
    <w:rsid w:val="00C4459C"/>
    <w:rsid w:val="00C44B9E"/>
    <w:rsid w:val="00C44F35"/>
    <w:rsid w:val="00C46724"/>
    <w:rsid w:val="00C46B98"/>
    <w:rsid w:val="00C46C98"/>
    <w:rsid w:val="00C46FBB"/>
    <w:rsid w:val="00C471BA"/>
    <w:rsid w:val="00C475C3"/>
    <w:rsid w:val="00C47BFD"/>
    <w:rsid w:val="00C47DAD"/>
    <w:rsid w:val="00C47DFA"/>
    <w:rsid w:val="00C47F34"/>
    <w:rsid w:val="00C509B0"/>
    <w:rsid w:val="00C509C5"/>
    <w:rsid w:val="00C50B04"/>
    <w:rsid w:val="00C50B73"/>
    <w:rsid w:val="00C50CF2"/>
    <w:rsid w:val="00C50F10"/>
    <w:rsid w:val="00C51051"/>
    <w:rsid w:val="00C512C7"/>
    <w:rsid w:val="00C51629"/>
    <w:rsid w:val="00C5176C"/>
    <w:rsid w:val="00C518E6"/>
    <w:rsid w:val="00C51B8E"/>
    <w:rsid w:val="00C51BDD"/>
    <w:rsid w:val="00C51BF9"/>
    <w:rsid w:val="00C51D4B"/>
    <w:rsid w:val="00C51E1A"/>
    <w:rsid w:val="00C51F65"/>
    <w:rsid w:val="00C52487"/>
    <w:rsid w:val="00C5255F"/>
    <w:rsid w:val="00C529F5"/>
    <w:rsid w:val="00C52FA1"/>
    <w:rsid w:val="00C53198"/>
    <w:rsid w:val="00C5350E"/>
    <w:rsid w:val="00C53536"/>
    <w:rsid w:val="00C53771"/>
    <w:rsid w:val="00C53961"/>
    <w:rsid w:val="00C53B4A"/>
    <w:rsid w:val="00C53DC7"/>
    <w:rsid w:val="00C542C5"/>
    <w:rsid w:val="00C548BF"/>
    <w:rsid w:val="00C54AE1"/>
    <w:rsid w:val="00C54BA7"/>
    <w:rsid w:val="00C54D7F"/>
    <w:rsid w:val="00C54D80"/>
    <w:rsid w:val="00C54DFC"/>
    <w:rsid w:val="00C55159"/>
    <w:rsid w:val="00C55338"/>
    <w:rsid w:val="00C5567C"/>
    <w:rsid w:val="00C5588F"/>
    <w:rsid w:val="00C55D12"/>
    <w:rsid w:val="00C55DF2"/>
    <w:rsid w:val="00C55EB5"/>
    <w:rsid w:val="00C5607C"/>
    <w:rsid w:val="00C563B2"/>
    <w:rsid w:val="00C56600"/>
    <w:rsid w:val="00C566E8"/>
    <w:rsid w:val="00C56E21"/>
    <w:rsid w:val="00C57192"/>
    <w:rsid w:val="00C576A2"/>
    <w:rsid w:val="00C57724"/>
    <w:rsid w:val="00C578A3"/>
    <w:rsid w:val="00C57909"/>
    <w:rsid w:val="00C57B1D"/>
    <w:rsid w:val="00C57B37"/>
    <w:rsid w:val="00C5E46F"/>
    <w:rsid w:val="00C6043F"/>
    <w:rsid w:val="00C604E2"/>
    <w:rsid w:val="00C605EE"/>
    <w:rsid w:val="00C60750"/>
    <w:rsid w:val="00C60C37"/>
    <w:rsid w:val="00C60D15"/>
    <w:rsid w:val="00C60D42"/>
    <w:rsid w:val="00C613EF"/>
    <w:rsid w:val="00C61A85"/>
    <w:rsid w:val="00C61B37"/>
    <w:rsid w:val="00C61CED"/>
    <w:rsid w:val="00C61E49"/>
    <w:rsid w:val="00C620DA"/>
    <w:rsid w:val="00C6219E"/>
    <w:rsid w:val="00C62323"/>
    <w:rsid w:val="00C62691"/>
    <w:rsid w:val="00C6273E"/>
    <w:rsid w:val="00C62838"/>
    <w:rsid w:val="00C6288D"/>
    <w:rsid w:val="00C62FC6"/>
    <w:rsid w:val="00C62FD6"/>
    <w:rsid w:val="00C630E1"/>
    <w:rsid w:val="00C632CA"/>
    <w:rsid w:val="00C63368"/>
    <w:rsid w:val="00C6340A"/>
    <w:rsid w:val="00C637D3"/>
    <w:rsid w:val="00C63CA6"/>
    <w:rsid w:val="00C63EC9"/>
    <w:rsid w:val="00C6406E"/>
    <w:rsid w:val="00C640BD"/>
    <w:rsid w:val="00C640CE"/>
    <w:rsid w:val="00C642ED"/>
    <w:rsid w:val="00C6461B"/>
    <w:rsid w:val="00C64671"/>
    <w:rsid w:val="00C647B5"/>
    <w:rsid w:val="00C64BEF"/>
    <w:rsid w:val="00C656A7"/>
    <w:rsid w:val="00C65797"/>
    <w:rsid w:val="00C65F3B"/>
    <w:rsid w:val="00C6645A"/>
    <w:rsid w:val="00C66624"/>
    <w:rsid w:val="00C669DC"/>
    <w:rsid w:val="00C66B92"/>
    <w:rsid w:val="00C66E65"/>
    <w:rsid w:val="00C67949"/>
    <w:rsid w:val="00C67A5A"/>
    <w:rsid w:val="00C67F92"/>
    <w:rsid w:val="00C70474"/>
    <w:rsid w:val="00C70861"/>
    <w:rsid w:val="00C7095D"/>
    <w:rsid w:val="00C70A65"/>
    <w:rsid w:val="00C70B9B"/>
    <w:rsid w:val="00C70BA8"/>
    <w:rsid w:val="00C70E34"/>
    <w:rsid w:val="00C710C6"/>
    <w:rsid w:val="00C71140"/>
    <w:rsid w:val="00C713BF"/>
    <w:rsid w:val="00C71CCC"/>
    <w:rsid w:val="00C71CE2"/>
    <w:rsid w:val="00C721C4"/>
    <w:rsid w:val="00C722B0"/>
    <w:rsid w:val="00C7234C"/>
    <w:rsid w:val="00C72757"/>
    <w:rsid w:val="00C72785"/>
    <w:rsid w:val="00C72A35"/>
    <w:rsid w:val="00C72FA7"/>
    <w:rsid w:val="00C7324F"/>
    <w:rsid w:val="00C735B6"/>
    <w:rsid w:val="00C737BE"/>
    <w:rsid w:val="00C73A26"/>
    <w:rsid w:val="00C73B36"/>
    <w:rsid w:val="00C73DB9"/>
    <w:rsid w:val="00C7432A"/>
    <w:rsid w:val="00C7434D"/>
    <w:rsid w:val="00C7438C"/>
    <w:rsid w:val="00C745AC"/>
    <w:rsid w:val="00C74AE7"/>
    <w:rsid w:val="00C74C5D"/>
    <w:rsid w:val="00C74E27"/>
    <w:rsid w:val="00C751E7"/>
    <w:rsid w:val="00C752BA"/>
    <w:rsid w:val="00C7564B"/>
    <w:rsid w:val="00C75D9D"/>
    <w:rsid w:val="00C76A76"/>
    <w:rsid w:val="00C772BC"/>
    <w:rsid w:val="00C773E9"/>
    <w:rsid w:val="00C7749E"/>
    <w:rsid w:val="00C774DB"/>
    <w:rsid w:val="00C7764F"/>
    <w:rsid w:val="00C77836"/>
    <w:rsid w:val="00C77B5B"/>
    <w:rsid w:val="00C77DD6"/>
    <w:rsid w:val="00C77ED5"/>
    <w:rsid w:val="00C8044F"/>
    <w:rsid w:val="00C807B6"/>
    <w:rsid w:val="00C81213"/>
    <w:rsid w:val="00C81289"/>
    <w:rsid w:val="00C812EB"/>
    <w:rsid w:val="00C81644"/>
    <w:rsid w:val="00C81C3A"/>
    <w:rsid w:val="00C81E60"/>
    <w:rsid w:val="00C824AE"/>
    <w:rsid w:val="00C826EB"/>
    <w:rsid w:val="00C82769"/>
    <w:rsid w:val="00C827E3"/>
    <w:rsid w:val="00C831F3"/>
    <w:rsid w:val="00C83686"/>
    <w:rsid w:val="00C83772"/>
    <w:rsid w:val="00C83807"/>
    <w:rsid w:val="00C83A28"/>
    <w:rsid w:val="00C83A69"/>
    <w:rsid w:val="00C83B3A"/>
    <w:rsid w:val="00C83BE9"/>
    <w:rsid w:val="00C842C9"/>
    <w:rsid w:val="00C84739"/>
    <w:rsid w:val="00C84AF6"/>
    <w:rsid w:val="00C84B21"/>
    <w:rsid w:val="00C8508F"/>
    <w:rsid w:val="00C855A1"/>
    <w:rsid w:val="00C85752"/>
    <w:rsid w:val="00C85C02"/>
    <w:rsid w:val="00C85D1E"/>
    <w:rsid w:val="00C85F86"/>
    <w:rsid w:val="00C86198"/>
    <w:rsid w:val="00C8620A"/>
    <w:rsid w:val="00C8666C"/>
    <w:rsid w:val="00C86FD7"/>
    <w:rsid w:val="00C870F3"/>
    <w:rsid w:val="00C8717D"/>
    <w:rsid w:val="00C8718F"/>
    <w:rsid w:val="00C875CA"/>
    <w:rsid w:val="00C87925"/>
    <w:rsid w:val="00C879E3"/>
    <w:rsid w:val="00C87C6E"/>
    <w:rsid w:val="00C900C0"/>
    <w:rsid w:val="00C9019F"/>
    <w:rsid w:val="00C90444"/>
    <w:rsid w:val="00C90F3E"/>
    <w:rsid w:val="00C9106F"/>
    <w:rsid w:val="00C9121D"/>
    <w:rsid w:val="00C91E0D"/>
    <w:rsid w:val="00C91F8D"/>
    <w:rsid w:val="00C92562"/>
    <w:rsid w:val="00C928F6"/>
    <w:rsid w:val="00C92AFD"/>
    <w:rsid w:val="00C93091"/>
    <w:rsid w:val="00C9356D"/>
    <w:rsid w:val="00C93BF6"/>
    <w:rsid w:val="00C93E2A"/>
    <w:rsid w:val="00C93EF4"/>
    <w:rsid w:val="00C941A2"/>
    <w:rsid w:val="00C9486F"/>
    <w:rsid w:val="00C94942"/>
    <w:rsid w:val="00C94C11"/>
    <w:rsid w:val="00C94D8C"/>
    <w:rsid w:val="00C94E54"/>
    <w:rsid w:val="00C95043"/>
    <w:rsid w:val="00C950C4"/>
    <w:rsid w:val="00C952E8"/>
    <w:rsid w:val="00C954E7"/>
    <w:rsid w:val="00C956B2"/>
    <w:rsid w:val="00C956C6"/>
    <w:rsid w:val="00C957ED"/>
    <w:rsid w:val="00C959E7"/>
    <w:rsid w:val="00C96034"/>
    <w:rsid w:val="00C96082"/>
    <w:rsid w:val="00C9617B"/>
    <w:rsid w:val="00C962E2"/>
    <w:rsid w:val="00C96581"/>
    <w:rsid w:val="00C97326"/>
    <w:rsid w:val="00C975C2"/>
    <w:rsid w:val="00C9771A"/>
    <w:rsid w:val="00C97EAE"/>
    <w:rsid w:val="00CA03EE"/>
    <w:rsid w:val="00CA057F"/>
    <w:rsid w:val="00CA05F1"/>
    <w:rsid w:val="00CA0AFE"/>
    <w:rsid w:val="00CA0CF2"/>
    <w:rsid w:val="00CA1202"/>
    <w:rsid w:val="00CA16A8"/>
    <w:rsid w:val="00CA1C0E"/>
    <w:rsid w:val="00CA2647"/>
    <w:rsid w:val="00CA2909"/>
    <w:rsid w:val="00CA2BB6"/>
    <w:rsid w:val="00CA2F6C"/>
    <w:rsid w:val="00CA37D2"/>
    <w:rsid w:val="00CA3B9B"/>
    <w:rsid w:val="00CA3D1B"/>
    <w:rsid w:val="00CA422F"/>
    <w:rsid w:val="00CA44E7"/>
    <w:rsid w:val="00CA45EC"/>
    <w:rsid w:val="00CA4AB6"/>
    <w:rsid w:val="00CA5275"/>
    <w:rsid w:val="00CA5465"/>
    <w:rsid w:val="00CA5678"/>
    <w:rsid w:val="00CA56CA"/>
    <w:rsid w:val="00CA57A5"/>
    <w:rsid w:val="00CA5BFC"/>
    <w:rsid w:val="00CA5CAD"/>
    <w:rsid w:val="00CA664E"/>
    <w:rsid w:val="00CA72A6"/>
    <w:rsid w:val="00CA7433"/>
    <w:rsid w:val="00CA74DB"/>
    <w:rsid w:val="00CA7682"/>
    <w:rsid w:val="00CA78F1"/>
    <w:rsid w:val="00CA7BD9"/>
    <w:rsid w:val="00CA7BDC"/>
    <w:rsid w:val="00CA7D5B"/>
    <w:rsid w:val="00CA7DC6"/>
    <w:rsid w:val="00CB0965"/>
    <w:rsid w:val="00CB098F"/>
    <w:rsid w:val="00CB125F"/>
    <w:rsid w:val="00CB133C"/>
    <w:rsid w:val="00CB1985"/>
    <w:rsid w:val="00CB1A4F"/>
    <w:rsid w:val="00CB1E0E"/>
    <w:rsid w:val="00CB260D"/>
    <w:rsid w:val="00CB269D"/>
    <w:rsid w:val="00CB2965"/>
    <w:rsid w:val="00CB3154"/>
    <w:rsid w:val="00CB316C"/>
    <w:rsid w:val="00CB3171"/>
    <w:rsid w:val="00CB3313"/>
    <w:rsid w:val="00CB337D"/>
    <w:rsid w:val="00CB344A"/>
    <w:rsid w:val="00CB3746"/>
    <w:rsid w:val="00CB399C"/>
    <w:rsid w:val="00CB3D15"/>
    <w:rsid w:val="00CB4338"/>
    <w:rsid w:val="00CB4428"/>
    <w:rsid w:val="00CB4B17"/>
    <w:rsid w:val="00CB5123"/>
    <w:rsid w:val="00CB5336"/>
    <w:rsid w:val="00CB533D"/>
    <w:rsid w:val="00CB5543"/>
    <w:rsid w:val="00CB561A"/>
    <w:rsid w:val="00CB5BE3"/>
    <w:rsid w:val="00CB5E9E"/>
    <w:rsid w:val="00CB6203"/>
    <w:rsid w:val="00CB632B"/>
    <w:rsid w:val="00CB6399"/>
    <w:rsid w:val="00CB6A36"/>
    <w:rsid w:val="00CB6AD4"/>
    <w:rsid w:val="00CB6C2E"/>
    <w:rsid w:val="00CB729E"/>
    <w:rsid w:val="00CB731E"/>
    <w:rsid w:val="00CC0704"/>
    <w:rsid w:val="00CC0937"/>
    <w:rsid w:val="00CC0AE9"/>
    <w:rsid w:val="00CC16A2"/>
    <w:rsid w:val="00CC1759"/>
    <w:rsid w:val="00CC189F"/>
    <w:rsid w:val="00CC1B2B"/>
    <w:rsid w:val="00CC1CC7"/>
    <w:rsid w:val="00CC2055"/>
    <w:rsid w:val="00CC2693"/>
    <w:rsid w:val="00CC2A9F"/>
    <w:rsid w:val="00CC2DB9"/>
    <w:rsid w:val="00CC348C"/>
    <w:rsid w:val="00CC392A"/>
    <w:rsid w:val="00CC3BBA"/>
    <w:rsid w:val="00CC3CA3"/>
    <w:rsid w:val="00CC3CAC"/>
    <w:rsid w:val="00CC425C"/>
    <w:rsid w:val="00CC4440"/>
    <w:rsid w:val="00CC4779"/>
    <w:rsid w:val="00CC4ABC"/>
    <w:rsid w:val="00CC4E9B"/>
    <w:rsid w:val="00CC50D8"/>
    <w:rsid w:val="00CC5725"/>
    <w:rsid w:val="00CC572E"/>
    <w:rsid w:val="00CC5DF4"/>
    <w:rsid w:val="00CC644C"/>
    <w:rsid w:val="00CC6A9C"/>
    <w:rsid w:val="00CC6B5D"/>
    <w:rsid w:val="00CC6C4A"/>
    <w:rsid w:val="00CC6C75"/>
    <w:rsid w:val="00CC6D84"/>
    <w:rsid w:val="00CC6E4B"/>
    <w:rsid w:val="00CC6EB4"/>
    <w:rsid w:val="00CC744B"/>
    <w:rsid w:val="00CC77DD"/>
    <w:rsid w:val="00CD00A5"/>
    <w:rsid w:val="00CD19F9"/>
    <w:rsid w:val="00CD19FF"/>
    <w:rsid w:val="00CD1D91"/>
    <w:rsid w:val="00CD1F87"/>
    <w:rsid w:val="00CD2AC4"/>
    <w:rsid w:val="00CD2B6C"/>
    <w:rsid w:val="00CD2DB3"/>
    <w:rsid w:val="00CD2F5C"/>
    <w:rsid w:val="00CD30B4"/>
    <w:rsid w:val="00CD3C3F"/>
    <w:rsid w:val="00CD4027"/>
    <w:rsid w:val="00CD46AB"/>
    <w:rsid w:val="00CD4701"/>
    <w:rsid w:val="00CD4880"/>
    <w:rsid w:val="00CD48E6"/>
    <w:rsid w:val="00CD4AFD"/>
    <w:rsid w:val="00CD5653"/>
    <w:rsid w:val="00CD5839"/>
    <w:rsid w:val="00CD5976"/>
    <w:rsid w:val="00CD6111"/>
    <w:rsid w:val="00CD61A8"/>
    <w:rsid w:val="00CD6382"/>
    <w:rsid w:val="00CD640E"/>
    <w:rsid w:val="00CD66D5"/>
    <w:rsid w:val="00CD69CB"/>
    <w:rsid w:val="00CD6C77"/>
    <w:rsid w:val="00CD6E6F"/>
    <w:rsid w:val="00CD6F22"/>
    <w:rsid w:val="00CD70E8"/>
    <w:rsid w:val="00CD74BC"/>
    <w:rsid w:val="00CD7AE7"/>
    <w:rsid w:val="00CD7C08"/>
    <w:rsid w:val="00CD7DDD"/>
    <w:rsid w:val="00CD89DE"/>
    <w:rsid w:val="00CE068E"/>
    <w:rsid w:val="00CE11E1"/>
    <w:rsid w:val="00CE13A6"/>
    <w:rsid w:val="00CE1470"/>
    <w:rsid w:val="00CE15DA"/>
    <w:rsid w:val="00CE170F"/>
    <w:rsid w:val="00CE19EE"/>
    <w:rsid w:val="00CE1EAF"/>
    <w:rsid w:val="00CE1FEF"/>
    <w:rsid w:val="00CE2109"/>
    <w:rsid w:val="00CE21C6"/>
    <w:rsid w:val="00CE2CC0"/>
    <w:rsid w:val="00CE2D5B"/>
    <w:rsid w:val="00CE2D81"/>
    <w:rsid w:val="00CE316B"/>
    <w:rsid w:val="00CE323E"/>
    <w:rsid w:val="00CE32FD"/>
    <w:rsid w:val="00CE3353"/>
    <w:rsid w:val="00CE3BB5"/>
    <w:rsid w:val="00CE3D20"/>
    <w:rsid w:val="00CE3EDC"/>
    <w:rsid w:val="00CE3FD6"/>
    <w:rsid w:val="00CE403E"/>
    <w:rsid w:val="00CE46ED"/>
    <w:rsid w:val="00CE4B83"/>
    <w:rsid w:val="00CE4B8D"/>
    <w:rsid w:val="00CE57A7"/>
    <w:rsid w:val="00CE58F0"/>
    <w:rsid w:val="00CE60A3"/>
    <w:rsid w:val="00CE6324"/>
    <w:rsid w:val="00CE6957"/>
    <w:rsid w:val="00CE6BD4"/>
    <w:rsid w:val="00CE6D2B"/>
    <w:rsid w:val="00CE6EC9"/>
    <w:rsid w:val="00CE7139"/>
    <w:rsid w:val="00CE7275"/>
    <w:rsid w:val="00CE7409"/>
    <w:rsid w:val="00CE740B"/>
    <w:rsid w:val="00CE79AC"/>
    <w:rsid w:val="00CE7B1A"/>
    <w:rsid w:val="00CE7B7B"/>
    <w:rsid w:val="00CE7C86"/>
    <w:rsid w:val="00CF0070"/>
    <w:rsid w:val="00CF015E"/>
    <w:rsid w:val="00CF08E3"/>
    <w:rsid w:val="00CF0926"/>
    <w:rsid w:val="00CF0C79"/>
    <w:rsid w:val="00CF0CA7"/>
    <w:rsid w:val="00CF0D57"/>
    <w:rsid w:val="00CF0F1D"/>
    <w:rsid w:val="00CF1055"/>
    <w:rsid w:val="00CF1137"/>
    <w:rsid w:val="00CF163E"/>
    <w:rsid w:val="00CF179E"/>
    <w:rsid w:val="00CF1913"/>
    <w:rsid w:val="00CF1A1C"/>
    <w:rsid w:val="00CF1B95"/>
    <w:rsid w:val="00CF1D4D"/>
    <w:rsid w:val="00CF219B"/>
    <w:rsid w:val="00CF2204"/>
    <w:rsid w:val="00CF22B1"/>
    <w:rsid w:val="00CF230F"/>
    <w:rsid w:val="00CF28A9"/>
    <w:rsid w:val="00CF29D5"/>
    <w:rsid w:val="00CF2DD1"/>
    <w:rsid w:val="00CF32B0"/>
    <w:rsid w:val="00CF3572"/>
    <w:rsid w:val="00CF3A68"/>
    <w:rsid w:val="00CF3C30"/>
    <w:rsid w:val="00CF473C"/>
    <w:rsid w:val="00CF4A9C"/>
    <w:rsid w:val="00CF4CAD"/>
    <w:rsid w:val="00CF4FB3"/>
    <w:rsid w:val="00CF513A"/>
    <w:rsid w:val="00CF52FF"/>
    <w:rsid w:val="00CF544E"/>
    <w:rsid w:val="00CF59FC"/>
    <w:rsid w:val="00CF5B39"/>
    <w:rsid w:val="00CF5EC9"/>
    <w:rsid w:val="00CF620B"/>
    <w:rsid w:val="00CF6E04"/>
    <w:rsid w:val="00CF6FE5"/>
    <w:rsid w:val="00CF7059"/>
    <w:rsid w:val="00CF708F"/>
    <w:rsid w:val="00CF709A"/>
    <w:rsid w:val="00CF71CF"/>
    <w:rsid w:val="00CF725C"/>
    <w:rsid w:val="00CF7468"/>
    <w:rsid w:val="00CF74A2"/>
    <w:rsid w:val="00CF756A"/>
    <w:rsid w:val="00CF7949"/>
    <w:rsid w:val="00CF7B04"/>
    <w:rsid w:val="00CF7CD7"/>
    <w:rsid w:val="00CF7E22"/>
    <w:rsid w:val="00D00CEC"/>
    <w:rsid w:val="00D0100B"/>
    <w:rsid w:val="00D01018"/>
    <w:rsid w:val="00D0124D"/>
    <w:rsid w:val="00D01285"/>
    <w:rsid w:val="00D014F9"/>
    <w:rsid w:val="00D0160B"/>
    <w:rsid w:val="00D01A1C"/>
    <w:rsid w:val="00D01B29"/>
    <w:rsid w:val="00D01C58"/>
    <w:rsid w:val="00D02135"/>
    <w:rsid w:val="00D021D0"/>
    <w:rsid w:val="00D02403"/>
    <w:rsid w:val="00D026D3"/>
    <w:rsid w:val="00D02961"/>
    <w:rsid w:val="00D030D8"/>
    <w:rsid w:val="00D0313B"/>
    <w:rsid w:val="00D03159"/>
    <w:rsid w:val="00D03253"/>
    <w:rsid w:val="00D03327"/>
    <w:rsid w:val="00D034B2"/>
    <w:rsid w:val="00D034B7"/>
    <w:rsid w:val="00D035C8"/>
    <w:rsid w:val="00D03A92"/>
    <w:rsid w:val="00D03B59"/>
    <w:rsid w:val="00D03C05"/>
    <w:rsid w:val="00D045B0"/>
    <w:rsid w:val="00D046E5"/>
    <w:rsid w:val="00D047CF"/>
    <w:rsid w:val="00D04A48"/>
    <w:rsid w:val="00D04ECC"/>
    <w:rsid w:val="00D04F0D"/>
    <w:rsid w:val="00D051EB"/>
    <w:rsid w:val="00D052D3"/>
    <w:rsid w:val="00D053B7"/>
    <w:rsid w:val="00D05462"/>
    <w:rsid w:val="00D056A9"/>
    <w:rsid w:val="00D05B62"/>
    <w:rsid w:val="00D05D40"/>
    <w:rsid w:val="00D0621E"/>
    <w:rsid w:val="00D06E8E"/>
    <w:rsid w:val="00D06EB0"/>
    <w:rsid w:val="00D07149"/>
    <w:rsid w:val="00D07268"/>
    <w:rsid w:val="00D072E0"/>
    <w:rsid w:val="00D073B8"/>
    <w:rsid w:val="00D07E16"/>
    <w:rsid w:val="00D10212"/>
    <w:rsid w:val="00D10502"/>
    <w:rsid w:val="00D10832"/>
    <w:rsid w:val="00D10973"/>
    <w:rsid w:val="00D10A43"/>
    <w:rsid w:val="00D10B4B"/>
    <w:rsid w:val="00D1105A"/>
    <w:rsid w:val="00D1137A"/>
    <w:rsid w:val="00D11453"/>
    <w:rsid w:val="00D11758"/>
    <w:rsid w:val="00D11F31"/>
    <w:rsid w:val="00D12384"/>
    <w:rsid w:val="00D123C4"/>
    <w:rsid w:val="00D1259E"/>
    <w:rsid w:val="00D1260D"/>
    <w:rsid w:val="00D12690"/>
    <w:rsid w:val="00D127F3"/>
    <w:rsid w:val="00D12A0D"/>
    <w:rsid w:val="00D13216"/>
    <w:rsid w:val="00D133C8"/>
    <w:rsid w:val="00D13454"/>
    <w:rsid w:val="00D13635"/>
    <w:rsid w:val="00D13AC0"/>
    <w:rsid w:val="00D13C7F"/>
    <w:rsid w:val="00D13D01"/>
    <w:rsid w:val="00D1404F"/>
    <w:rsid w:val="00D14293"/>
    <w:rsid w:val="00D14451"/>
    <w:rsid w:val="00D144C5"/>
    <w:rsid w:val="00D14906"/>
    <w:rsid w:val="00D14F58"/>
    <w:rsid w:val="00D14F76"/>
    <w:rsid w:val="00D153D1"/>
    <w:rsid w:val="00D1549A"/>
    <w:rsid w:val="00D15694"/>
    <w:rsid w:val="00D156B7"/>
    <w:rsid w:val="00D15F6E"/>
    <w:rsid w:val="00D16276"/>
    <w:rsid w:val="00D1629F"/>
    <w:rsid w:val="00D16649"/>
    <w:rsid w:val="00D167E1"/>
    <w:rsid w:val="00D16BF8"/>
    <w:rsid w:val="00D16C95"/>
    <w:rsid w:val="00D16F82"/>
    <w:rsid w:val="00D172DB"/>
    <w:rsid w:val="00D1749E"/>
    <w:rsid w:val="00D1758B"/>
    <w:rsid w:val="00D175C1"/>
    <w:rsid w:val="00D2008F"/>
    <w:rsid w:val="00D203B6"/>
    <w:rsid w:val="00D20532"/>
    <w:rsid w:val="00D20C34"/>
    <w:rsid w:val="00D20D9A"/>
    <w:rsid w:val="00D21293"/>
    <w:rsid w:val="00D212B3"/>
    <w:rsid w:val="00D21A2E"/>
    <w:rsid w:val="00D21DC2"/>
    <w:rsid w:val="00D21FD0"/>
    <w:rsid w:val="00D22123"/>
    <w:rsid w:val="00D22273"/>
    <w:rsid w:val="00D22309"/>
    <w:rsid w:val="00D224DC"/>
    <w:rsid w:val="00D224F8"/>
    <w:rsid w:val="00D2287E"/>
    <w:rsid w:val="00D228F3"/>
    <w:rsid w:val="00D22946"/>
    <w:rsid w:val="00D229A3"/>
    <w:rsid w:val="00D231F5"/>
    <w:rsid w:val="00D23233"/>
    <w:rsid w:val="00D23950"/>
    <w:rsid w:val="00D239A7"/>
    <w:rsid w:val="00D23E39"/>
    <w:rsid w:val="00D244DA"/>
    <w:rsid w:val="00D2504D"/>
    <w:rsid w:val="00D25132"/>
    <w:rsid w:val="00D2529C"/>
    <w:rsid w:val="00D256CF"/>
    <w:rsid w:val="00D26039"/>
    <w:rsid w:val="00D2625E"/>
    <w:rsid w:val="00D262FF"/>
    <w:rsid w:val="00D26394"/>
    <w:rsid w:val="00D264E1"/>
    <w:rsid w:val="00D2671D"/>
    <w:rsid w:val="00D26906"/>
    <w:rsid w:val="00D2694D"/>
    <w:rsid w:val="00D26971"/>
    <w:rsid w:val="00D26A68"/>
    <w:rsid w:val="00D26BE0"/>
    <w:rsid w:val="00D26D1A"/>
    <w:rsid w:val="00D271B4"/>
    <w:rsid w:val="00D27510"/>
    <w:rsid w:val="00D2756D"/>
    <w:rsid w:val="00D27AFA"/>
    <w:rsid w:val="00D27FA9"/>
    <w:rsid w:val="00D30383"/>
    <w:rsid w:val="00D304F6"/>
    <w:rsid w:val="00D30582"/>
    <w:rsid w:val="00D3059E"/>
    <w:rsid w:val="00D30D22"/>
    <w:rsid w:val="00D30D7F"/>
    <w:rsid w:val="00D30E41"/>
    <w:rsid w:val="00D3126F"/>
    <w:rsid w:val="00D317CD"/>
    <w:rsid w:val="00D31D01"/>
    <w:rsid w:val="00D31DBA"/>
    <w:rsid w:val="00D3241A"/>
    <w:rsid w:val="00D3257E"/>
    <w:rsid w:val="00D325EF"/>
    <w:rsid w:val="00D32B17"/>
    <w:rsid w:val="00D32C67"/>
    <w:rsid w:val="00D32C74"/>
    <w:rsid w:val="00D330D7"/>
    <w:rsid w:val="00D33378"/>
    <w:rsid w:val="00D338FA"/>
    <w:rsid w:val="00D33ADE"/>
    <w:rsid w:val="00D33B11"/>
    <w:rsid w:val="00D33F73"/>
    <w:rsid w:val="00D34209"/>
    <w:rsid w:val="00D3460F"/>
    <w:rsid w:val="00D3464E"/>
    <w:rsid w:val="00D3477A"/>
    <w:rsid w:val="00D347E9"/>
    <w:rsid w:val="00D34CAF"/>
    <w:rsid w:val="00D34DDB"/>
    <w:rsid w:val="00D352B3"/>
    <w:rsid w:val="00D35325"/>
    <w:rsid w:val="00D357C0"/>
    <w:rsid w:val="00D3651C"/>
    <w:rsid w:val="00D36F79"/>
    <w:rsid w:val="00D3767E"/>
    <w:rsid w:val="00D3770F"/>
    <w:rsid w:val="00D37B07"/>
    <w:rsid w:val="00D37E3B"/>
    <w:rsid w:val="00D37E4E"/>
    <w:rsid w:val="00D402EA"/>
    <w:rsid w:val="00D40708"/>
    <w:rsid w:val="00D409A7"/>
    <w:rsid w:val="00D40CF3"/>
    <w:rsid w:val="00D40F68"/>
    <w:rsid w:val="00D40FB7"/>
    <w:rsid w:val="00D41591"/>
    <w:rsid w:val="00D41865"/>
    <w:rsid w:val="00D421E5"/>
    <w:rsid w:val="00D42398"/>
    <w:rsid w:val="00D42431"/>
    <w:rsid w:val="00D428AB"/>
    <w:rsid w:val="00D430B4"/>
    <w:rsid w:val="00D430D7"/>
    <w:rsid w:val="00D4356A"/>
    <w:rsid w:val="00D438D3"/>
    <w:rsid w:val="00D43C48"/>
    <w:rsid w:val="00D43E39"/>
    <w:rsid w:val="00D43ECC"/>
    <w:rsid w:val="00D44013"/>
    <w:rsid w:val="00D44044"/>
    <w:rsid w:val="00D44078"/>
    <w:rsid w:val="00D441D5"/>
    <w:rsid w:val="00D44482"/>
    <w:rsid w:val="00D44542"/>
    <w:rsid w:val="00D44BCC"/>
    <w:rsid w:val="00D453CF"/>
    <w:rsid w:val="00D45C3E"/>
    <w:rsid w:val="00D45C53"/>
    <w:rsid w:val="00D45CA2"/>
    <w:rsid w:val="00D45DE9"/>
    <w:rsid w:val="00D460AF"/>
    <w:rsid w:val="00D46168"/>
    <w:rsid w:val="00D46423"/>
    <w:rsid w:val="00D4649D"/>
    <w:rsid w:val="00D466CA"/>
    <w:rsid w:val="00D475E5"/>
    <w:rsid w:val="00D477A0"/>
    <w:rsid w:val="00D47A7B"/>
    <w:rsid w:val="00D47D67"/>
    <w:rsid w:val="00D47F02"/>
    <w:rsid w:val="00D507F2"/>
    <w:rsid w:val="00D50B4C"/>
    <w:rsid w:val="00D511BE"/>
    <w:rsid w:val="00D5149A"/>
    <w:rsid w:val="00D514AF"/>
    <w:rsid w:val="00D51559"/>
    <w:rsid w:val="00D51CCB"/>
    <w:rsid w:val="00D51DD0"/>
    <w:rsid w:val="00D52428"/>
    <w:rsid w:val="00D52521"/>
    <w:rsid w:val="00D525FB"/>
    <w:rsid w:val="00D5297F"/>
    <w:rsid w:val="00D52AE3"/>
    <w:rsid w:val="00D52DC2"/>
    <w:rsid w:val="00D53953"/>
    <w:rsid w:val="00D539C4"/>
    <w:rsid w:val="00D53D24"/>
    <w:rsid w:val="00D53F9A"/>
    <w:rsid w:val="00D54406"/>
    <w:rsid w:val="00D54F95"/>
    <w:rsid w:val="00D553E4"/>
    <w:rsid w:val="00D55561"/>
    <w:rsid w:val="00D55589"/>
    <w:rsid w:val="00D55FCB"/>
    <w:rsid w:val="00D56216"/>
    <w:rsid w:val="00D5654D"/>
    <w:rsid w:val="00D568E9"/>
    <w:rsid w:val="00D56AC6"/>
    <w:rsid w:val="00D56D26"/>
    <w:rsid w:val="00D56E26"/>
    <w:rsid w:val="00D5702A"/>
    <w:rsid w:val="00D570AA"/>
    <w:rsid w:val="00D57175"/>
    <w:rsid w:val="00D57210"/>
    <w:rsid w:val="00D576B6"/>
    <w:rsid w:val="00D57D8E"/>
    <w:rsid w:val="00D601CF"/>
    <w:rsid w:val="00D60249"/>
    <w:rsid w:val="00D602A4"/>
    <w:rsid w:val="00D602BA"/>
    <w:rsid w:val="00D60BE2"/>
    <w:rsid w:val="00D60F42"/>
    <w:rsid w:val="00D61004"/>
    <w:rsid w:val="00D610C7"/>
    <w:rsid w:val="00D61190"/>
    <w:rsid w:val="00D61385"/>
    <w:rsid w:val="00D61580"/>
    <w:rsid w:val="00D616CB"/>
    <w:rsid w:val="00D61A9E"/>
    <w:rsid w:val="00D61C53"/>
    <w:rsid w:val="00D61DA2"/>
    <w:rsid w:val="00D620E3"/>
    <w:rsid w:val="00D623B3"/>
    <w:rsid w:val="00D62606"/>
    <w:rsid w:val="00D62803"/>
    <w:rsid w:val="00D628BC"/>
    <w:rsid w:val="00D628C1"/>
    <w:rsid w:val="00D62DB1"/>
    <w:rsid w:val="00D6329E"/>
    <w:rsid w:val="00D6374E"/>
    <w:rsid w:val="00D640A5"/>
    <w:rsid w:val="00D64172"/>
    <w:rsid w:val="00D64337"/>
    <w:rsid w:val="00D6464A"/>
    <w:rsid w:val="00D64A30"/>
    <w:rsid w:val="00D64DDC"/>
    <w:rsid w:val="00D64FB3"/>
    <w:rsid w:val="00D650C8"/>
    <w:rsid w:val="00D651B3"/>
    <w:rsid w:val="00D65301"/>
    <w:rsid w:val="00D65322"/>
    <w:rsid w:val="00D654BD"/>
    <w:rsid w:val="00D6564E"/>
    <w:rsid w:val="00D65EC6"/>
    <w:rsid w:val="00D665BA"/>
    <w:rsid w:val="00D66929"/>
    <w:rsid w:val="00D66B0D"/>
    <w:rsid w:val="00D66FEC"/>
    <w:rsid w:val="00D675D8"/>
    <w:rsid w:val="00D6764E"/>
    <w:rsid w:val="00D67B2E"/>
    <w:rsid w:val="00D70161"/>
    <w:rsid w:val="00D70476"/>
    <w:rsid w:val="00D708E9"/>
    <w:rsid w:val="00D70950"/>
    <w:rsid w:val="00D70A6A"/>
    <w:rsid w:val="00D70B86"/>
    <w:rsid w:val="00D7127E"/>
    <w:rsid w:val="00D714D9"/>
    <w:rsid w:val="00D718E6"/>
    <w:rsid w:val="00D71A97"/>
    <w:rsid w:val="00D72175"/>
    <w:rsid w:val="00D721AB"/>
    <w:rsid w:val="00D72370"/>
    <w:rsid w:val="00D723F1"/>
    <w:rsid w:val="00D7242D"/>
    <w:rsid w:val="00D726CC"/>
    <w:rsid w:val="00D72C23"/>
    <w:rsid w:val="00D72CFE"/>
    <w:rsid w:val="00D72FCF"/>
    <w:rsid w:val="00D73274"/>
    <w:rsid w:val="00D73363"/>
    <w:rsid w:val="00D734C5"/>
    <w:rsid w:val="00D73FBE"/>
    <w:rsid w:val="00D74001"/>
    <w:rsid w:val="00D7442D"/>
    <w:rsid w:val="00D74601"/>
    <w:rsid w:val="00D74686"/>
    <w:rsid w:val="00D7476B"/>
    <w:rsid w:val="00D74877"/>
    <w:rsid w:val="00D74C40"/>
    <w:rsid w:val="00D74C74"/>
    <w:rsid w:val="00D74CD3"/>
    <w:rsid w:val="00D74EA5"/>
    <w:rsid w:val="00D751A9"/>
    <w:rsid w:val="00D758FE"/>
    <w:rsid w:val="00D75D35"/>
    <w:rsid w:val="00D75E3B"/>
    <w:rsid w:val="00D7619B"/>
    <w:rsid w:val="00D8020E"/>
    <w:rsid w:val="00D802C0"/>
    <w:rsid w:val="00D8054F"/>
    <w:rsid w:val="00D81120"/>
    <w:rsid w:val="00D8142E"/>
    <w:rsid w:val="00D81651"/>
    <w:rsid w:val="00D817C3"/>
    <w:rsid w:val="00D819B7"/>
    <w:rsid w:val="00D81B37"/>
    <w:rsid w:val="00D81C0E"/>
    <w:rsid w:val="00D82348"/>
    <w:rsid w:val="00D82440"/>
    <w:rsid w:val="00D82BAC"/>
    <w:rsid w:val="00D83008"/>
    <w:rsid w:val="00D8340F"/>
    <w:rsid w:val="00D836C1"/>
    <w:rsid w:val="00D83AFA"/>
    <w:rsid w:val="00D83B8E"/>
    <w:rsid w:val="00D84407"/>
    <w:rsid w:val="00D84E20"/>
    <w:rsid w:val="00D852FC"/>
    <w:rsid w:val="00D85404"/>
    <w:rsid w:val="00D8547D"/>
    <w:rsid w:val="00D85541"/>
    <w:rsid w:val="00D85690"/>
    <w:rsid w:val="00D85693"/>
    <w:rsid w:val="00D85821"/>
    <w:rsid w:val="00D85A1E"/>
    <w:rsid w:val="00D85AA3"/>
    <w:rsid w:val="00D85E2B"/>
    <w:rsid w:val="00D8643F"/>
    <w:rsid w:val="00D86CE6"/>
    <w:rsid w:val="00D86D29"/>
    <w:rsid w:val="00D86DAD"/>
    <w:rsid w:val="00D86F75"/>
    <w:rsid w:val="00D8702F"/>
    <w:rsid w:val="00D870B2"/>
    <w:rsid w:val="00D87614"/>
    <w:rsid w:val="00D87AA1"/>
    <w:rsid w:val="00D9036F"/>
    <w:rsid w:val="00D903F6"/>
    <w:rsid w:val="00D90442"/>
    <w:rsid w:val="00D906BD"/>
    <w:rsid w:val="00D90B75"/>
    <w:rsid w:val="00D90E2C"/>
    <w:rsid w:val="00D90E6D"/>
    <w:rsid w:val="00D910C4"/>
    <w:rsid w:val="00D913E6"/>
    <w:rsid w:val="00D91729"/>
    <w:rsid w:val="00D91A98"/>
    <w:rsid w:val="00D91AFB"/>
    <w:rsid w:val="00D91FD3"/>
    <w:rsid w:val="00D923C6"/>
    <w:rsid w:val="00D92490"/>
    <w:rsid w:val="00D925FB"/>
    <w:rsid w:val="00D9273D"/>
    <w:rsid w:val="00D92AED"/>
    <w:rsid w:val="00D93092"/>
    <w:rsid w:val="00D93093"/>
    <w:rsid w:val="00D93278"/>
    <w:rsid w:val="00D9327C"/>
    <w:rsid w:val="00D93310"/>
    <w:rsid w:val="00D9339F"/>
    <w:rsid w:val="00D9451E"/>
    <w:rsid w:val="00D94C0A"/>
    <w:rsid w:val="00D94D74"/>
    <w:rsid w:val="00D94F39"/>
    <w:rsid w:val="00D95293"/>
    <w:rsid w:val="00D9534D"/>
    <w:rsid w:val="00D9540E"/>
    <w:rsid w:val="00D954E7"/>
    <w:rsid w:val="00D9568A"/>
    <w:rsid w:val="00D956C7"/>
    <w:rsid w:val="00D956EA"/>
    <w:rsid w:val="00D95AB7"/>
    <w:rsid w:val="00D95C0B"/>
    <w:rsid w:val="00D95E89"/>
    <w:rsid w:val="00D95EB6"/>
    <w:rsid w:val="00D967DE"/>
    <w:rsid w:val="00D96C4D"/>
    <w:rsid w:val="00D96D66"/>
    <w:rsid w:val="00D96E9C"/>
    <w:rsid w:val="00D972E8"/>
    <w:rsid w:val="00D97617"/>
    <w:rsid w:val="00D97A98"/>
    <w:rsid w:val="00D97F89"/>
    <w:rsid w:val="00DA0258"/>
    <w:rsid w:val="00DA0D9B"/>
    <w:rsid w:val="00DA15F5"/>
    <w:rsid w:val="00DA174D"/>
    <w:rsid w:val="00DA19E1"/>
    <w:rsid w:val="00DA1C4B"/>
    <w:rsid w:val="00DA1CD6"/>
    <w:rsid w:val="00DA1D8A"/>
    <w:rsid w:val="00DA1DE5"/>
    <w:rsid w:val="00DA2785"/>
    <w:rsid w:val="00DA2F77"/>
    <w:rsid w:val="00DA33CF"/>
    <w:rsid w:val="00DA3495"/>
    <w:rsid w:val="00DA38B9"/>
    <w:rsid w:val="00DA39AC"/>
    <w:rsid w:val="00DA3A92"/>
    <w:rsid w:val="00DA3B9F"/>
    <w:rsid w:val="00DA3C4E"/>
    <w:rsid w:val="00DA3C8D"/>
    <w:rsid w:val="00DA3D9A"/>
    <w:rsid w:val="00DA3EEA"/>
    <w:rsid w:val="00DA4474"/>
    <w:rsid w:val="00DA45B0"/>
    <w:rsid w:val="00DA498E"/>
    <w:rsid w:val="00DA4CDB"/>
    <w:rsid w:val="00DA55A8"/>
    <w:rsid w:val="00DA567C"/>
    <w:rsid w:val="00DA57A5"/>
    <w:rsid w:val="00DA602D"/>
    <w:rsid w:val="00DA63D8"/>
    <w:rsid w:val="00DA66DB"/>
    <w:rsid w:val="00DA6C6E"/>
    <w:rsid w:val="00DA703F"/>
    <w:rsid w:val="00DA7160"/>
    <w:rsid w:val="00DA7232"/>
    <w:rsid w:val="00DA7BEC"/>
    <w:rsid w:val="00DB004D"/>
    <w:rsid w:val="00DB00DF"/>
    <w:rsid w:val="00DB029C"/>
    <w:rsid w:val="00DB02ED"/>
    <w:rsid w:val="00DB0BA1"/>
    <w:rsid w:val="00DB11EF"/>
    <w:rsid w:val="00DB1237"/>
    <w:rsid w:val="00DB172F"/>
    <w:rsid w:val="00DB1C4E"/>
    <w:rsid w:val="00DB1CB3"/>
    <w:rsid w:val="00DB1D66"/>
    <w:rsid w:val="00DB1DB3"/>
    <w:rsid w:val="00DB1DE1"/>
    <w:rsid w:val="00DB1F09"/>
    <w:rsid w:val="00DB2439"/>
    <w:rsid w:val="00DB2704"/>
    <w:rsid w:val="00DB2B03"/>
    <w:rsid w:val="00DB3360"/>
    <w:rsid w:val="00DB36CF"/>
    <w:rsid w:val="00DB3A3D"/>
    <w:rsid w:val="00DB3B16"/>
    <w:rsid w:val="00DB3BD0"/>
    <w:rsid w:val="00DB453E"/>
    <w:rsid w:val="00DB4977"/>
    <w:rsid w:val="00DB4CC9"/>
    <w:rsid w:val="00DB505C"/>
    <w:rsid w:val="00DB56AC"/>
    <w:rsid w:val="00DB5AC6"/>
    <w:rsid w:val="00DB608E"/>
    <w:rsid w:val="00DB6298"/>
    <w:rsid w:val="00DB668A"/>
    <w:rsid w:val="00DB6794"/>
    <w:rsid w:val="00DB6A44"/>
    <w:rsid w:val="00DB6C08"/>
    <w:rsid w:val="00DB6C3A"/>
    <w:rsid w:val="00DB6E33"/>
    <w:rsid w:val="00DB73A0"/>
    <w:rsid w:val="00DB73F3"/>
    <w:rsid w:val="00DB77F8"/>
    <w:rsid w:val="00DB7AB5"/>
    <w:rsid w:val="00DB7B95"/>
    <w:rsid w:val="00DB7F84"/>
    <w:rsid w:val="00DB7FB4"/>
    <w:rsid w:val="00DC0381"/>
    <w:rsid w:val="00DC043D"/>
    <w:rsid w:val="00DC046D"/>
    <w:rsid w:val="00DC0596"/>
    <w:rsid w:val="00DC09EF"/>
    <w:rsid w:val="00DC0A4E"/>
    <w:rsid w:val="00DC0A63"/>
    <w:rsid w:val="00DC0B6F"/>
    <w:rsid w:val="00DC1576"/>
    <w:rsid w:val="00DC15E6"/>
    <w:rsid w:val="00DC1C97"/>
    <w:rsid w:val="00DC258A"/>
    <w:rsid w:val="00DC25E6"/>
    <w:rsid w:val="00DC2BFB"/>
    <w:rsid w:val="00DC2C3B"/>
    <w:rsid w:val="00DC2E26"/>
    <w:rsid w:val="00DC309C"/>
    <w:rsid w:val="00DC4073"/>
    <w:rsid w:val="00DC42E6"/>
    <w:rsid w:val="00DC4429"/>
    <w:rsid w:val="00DC4832"/>
    <w:rsid w:val="00DC4E09"/>
    <w:rsid w:val="00DC4E56"/>
    <w:rsid w:val="00DC5279"/>
    <w:rsid w:val="00DC5B60"/>
    <w:rsid w:val="00DC664F"/>
    <w:rsid w:val="00DC6BA5"/>
    <w:rsid w:val="00DC71E1"/>
    <w:rsid w:val="00DC7273"/>
    <w:rsid w:val="00DC7E02"/>
    <w:rsid w:val="00DD0046"/>
    <w:rsid w:val="00DD06D1"/>
    <w:rsid w:val="00DD1006"/>
    <w:rsid w:val="00DD11C8"/>
    <w:rsid w:val="00DD1252"/>
    <w:rsid w:val="00DD12CB"/>
    <w:rsid w:val="00DD18D9"/>
    <w:rsid w:val="00DD1AEB"/>
    <w:rsid w:val="00DD2099"/>
    <w:rsid w:val="00DD2476"/>
    <w:rsid w:val="00DD2584"/>
    <w:rsid w:val="00DD2A01"/>
    <w:rsid w:val="00DD2A72"/>
    <w:rsid w:val="00DD2BB8"/>
    <w:rsid w:val="00DD3471"/>
    <w:rsid w:val="00DD3512"/>
    <w:rsid w:val="00DD38A7"/>
    <w:rsid w:val="00DD3FF9"/>
    <w:rsid w:val="00DD470D"/>
    <w:rsid w:val="00DD4B0E"/>
    <w:rsid w:val="00DD4C33"/>
    <w:rsid w:val="00DD4CE8"/>
    <w:rsid w:val="00DD4D9E"/>
    <w:rsid w:val="00DD4F9F"/>
    <w:rsid w:val="00DD534D"/>
    <w:rsid w:val="00DD53EE"/>
    <w:rsid w:val="00DD5558"/>
    <w:rsid w:val="00DD55B6"/>
    <w:rsid w:val="00DD56BC"/>
    <w:rsid w:val="00DD5AB5"/>
    <w:rsid w:val="00DD5B11"/>
    <w:rsid w:val="00DD5B79"/>
    <w:rsid w:val="00DD5BE7"/>
    <w:rsid w:val="00DD62F4"/>
    <w:rsid w:val="00DD63EF"/>
    <w:rsid w:val="00DD648C"/>
    <w:rsid w:val="00DD65FF"/>
    <w:rsid w:val="00DD69F1"/>
    <w:rsid w:val="00DD6A1A"/>
    <w:rsid w:val="00DD6D6D"/>
    <w:rsid w:val="00DD7372"/>
    <w:rsid w:val="00DD74F3"/>
    <w:rsid w:val="00DD78E1"/>
    <w:rsid w:val="00DE0036"/>
    <w:rsid w:val="00DE00E3"/>
    <w:rsid w:val="00DE024D"/>
    <w:rsid w:val="00DE075D"/>
    <w:rsid w:val="00DE08A3"/>
    <w:rsid w:val="00DE09C0"/>
    <w:rsid w:val="00DE0ADB"/>
    <w:rsid w:val="00DE0D74"/>
    <w:rsid w:val="00DE0E73"/>
    <w:rsid w:val="00DE1047"/>
    <w:rsid w:val="00DE12BF"/>
    <w:rsid w:val="00DE1449"/>
    <w:rsid w:val="00DE15AA"/>
    <w:rsid w:val="00DE22A1"/>
    <w:rsid w:val="00DE25A9"/>
    <w:rsid w:val="00DE2F5E"/>
    <w:rsid w:val="00DE3535"/>
    <w:rsid w:val="00DE37C4"/>
    <w:rsid w:val="00DE3BF7"/>
    <w:rsid w:val="00DE4035"/>
    <w:rsid w:val="00DE44F1"/>
    <w:rsid w:val="00DE4757"/>
    <w:rsid w:val="00DE48B7"/>
    <w:rsid w:val="00DE4A9F"/>
    <w:rsid w:val="00DE4D0F"/>
    <w:rsid w:val="00DE4E4E"/>
    <w:rsid w:val="00DE50BC"/>
    <w:rsid w:val="00DE564D"/>
    <w:rsid w:val="00DE5877"/>
    <w:rsid w:val="00DE5FCB"/>
    <w:rsid w:val="00DE61E4"/>
    <w:rsid w:val="00DE6253"/>
    <w:rsid w:val="00DE65A1"/>
    <w:rsid w:val="00DE6759"/>
    <w:rsid w:val="00DE6906"/>
    <w:rsid w:val="00DE6BF5"/>
    <w:rsid w:val="00DE6CCB"/>
    <w:rsid w:val="00DE77F6"/>
    <w:rsid w:val="00DE7823"/>
    <w:rsid w:val="00DF0261"/>
    <w:rsid w:val="00DF0635"/>
    <w:rsid w:val="00DF0AE8"/>
    <w:rsid w:val="00DF0B96"/>
    <w:rsid w:val="00DF0CD4"/>
    <w:rsid w:val="00DF0CE5"/>
    <w:rsid w:val="00DF0E5C"/>
    <w:rsid w:val="00DF10F9"/>
    <w:rsid w:val="00DF1188"/>
    <w:rsid w:val="00DF1300"/>
    <w:rsid w:val="00DF178B"/>
    <w:rsid w:val="00DF19DC"/>
    <w:rsid w:val="00DF1ADB"/>
    <w:rsid w:val="00DF1F21"/>
    <w:rsid w:val="00DF2561"/>
    <w:rsid w:val="00DF2607"/>
    <w:rsid w:val="00DF2662"/>
    <w:rsid w:val="00DF276D"/>
    <w:rsid w:val="00DF2C14"/>
    <w:rsid w:val="00DF2DFC"/>
    <w:rsid w:val="00DF2F6C"/>
    <w:rsid w:val="00DF3625"/>
    <w:rsid w:val="00DF371E"/>
    <w:rsid w:val="00DF372E"/>
    <w:rsid w:val="00DF3945"/>
    <w:rsid w:val="00DF3E10"/>
    <w:rsid w:val="00DF3EF6"/>
    <w:rsid w:val="00DF4063"/>
    <w:rsid w:val="00DF41FB"/>
    <w:rsid w:val="00DF472F"/>
    <w:rsid w:val="00DF4764"/>
    <w:rsid w:val="00DF4BE1"/>
    <w:rsid w:val="00DF5014"/>
    <w:rsid w:val="00DF5785"/>
    <w:rsid w:val="00DF581E"/>
    <w:rsid w:val="00DF5E2E"/>
    <w:rsid w:val="00DF6000"/>
    <w:rsid w:val="00DF63A5"/>
    <w:rsid w:val="00DF6CFA"/>
    <w:rsid w:val="00DF78CA"/>
    <w:rsid w:val="00DF7E07"/>
    <w:rsid w:val="00E00285"/>
    <w:rsid w:val="00E00AA8"/>
    <w:rsid w:val="00E00BF5"/>
    <w:rsid w:val="00E00D90"/>
    <w:rsid w:val="00E00FD0"/>
    <w:rsid w:val="00E01036"/>
    <w:rsid w:val="00E014CA"/>
    <w:rsid w:val="00E0178D"/>
    <w:rsid w:val="00E018E3"/>
    <w:rsid w:val="00E01900"/>
    <w:rsid w:val="00E01CBB"/>
    <w:rsid w:val="00E01D3D"/>
    <w:rsid w:val="00E01D4E"/>
    <w:rsid w:val="00E0251F"/>
    <w:rsid w:val="00E02881"/>
    <w:rsid w:val="00E02E3F"/>
    <w:rsid w:val="00E0323D"/>
    <w:rsid w:val="00E032F8"/>
    <w:rsid w:val="00E034F0"/>
    <w:rsid w:val="00E03548"/>
    <w:rsid w:val="00E0418C"/>
    <w:rsid w:val="00E042A9"/>
    <w:rsid w:val="00E045F9"/>
    <w:rsid w:val="00E04938"/>
    <w:rsid w:val="00E04E63"/>
    <w:rsid w:val="00E0514D"/>
    <w:rsid w:val="00E052F4"/>
    <w:rsid w:val="00E0566D"/>
    <w:rsid w:val="00E05849"/>
    <w:rsid w:val="00E05B3B"/>
    <w:rsid w:val="00E05B76"/>
    <w:rsid w:val="00E05B8D"/>
    <w:rsid w:val="00E05F20"/>
    <w:rsid w:val="00E05FF8"/>
    <w:rsid w:val="00E06226"/>
    <w:rsid w:val="00E0643D"/>
    <w:rsid w:val="00E06B8A"/>
    <w:rsid w:val="00E06E59"/>
    <w:rsid w:val="00E070C0"/>
    <w:rsid w:val="00E071DA"/>
    <w:rsid w:val="00E07A92"/>
    <w:rsid w:val="00E07B57"/>
    <w:rsid w:val="00E07BA1"/>
    <w:rsid w:val="00E07C33"/>
    <w:rsid w:val="00E07C77"/>
    <w:rsid w:val="00E07CCB"/>
    <w:rsid w:val="00E07FD1"/>
    <w:rsid w:val="00E100E5"/>
    <w:rsid w:val="00E104DE"/>
    <w:rsid w:val="00E1051E"/>
    <w:rsid w:val="00E106ED"/>
    <w:rsid w:val="00E107CA"/>
    <w:rsid w:val="00E107D0"/>
    <w:rsid w:val="00E10D0B"/>
    <w:rsid w:val="00E10F89"/>
    <w:rsid w:val="00E111F1"/>
    <w:rsid w:val="00E1180C"/>
    <w:rsid w:val="00E11811"/>
    <w:rsid w:val="00E11872"/>
    <w:rsid w:val="00E11AC4"/>
    <w:rsid w:val="00E11D0F"/>
    <w:rsid w:val="00E11FA9"/>
    <w:rsid w:val="00E12081"/>
    <w:rsid w:val="00E1227F"/>
    <w:rsid w:val="00E12437"/>
    <w:rsid w:val="00E132E2"/>
    <w:rsid w:val="00E13325"/>
    <w:rsid w:val="00E13493"/>
    <w:rsid w:val="00E13624"/>
    <w:rsid w:val="00E1369A"/>
    <w:rsid w:val="00E1370A"/>
    <w:rsid w:val="00E13D1F"/>
    <w:rsid w:val="00E13D90"/>
    <w:rsid w:val="00E13F34"/>
    <w:rsid w:val="00E143ED"/>
    <w:rsid w:val="00E14A9A"/>
    <w:rsid w:val="00E14F70"/>
    <w:rsid w:val="00E15216"/>
    <w:rsid w:val="00E15268"/>
    <w:rsid w:val="00E1539C"/>
    <w:rsid w:val="00E154E6"/>
    <w:rsid w:val="00E1589A"/>
    <w:rsid w:val="00E15984"/>
    <w:rsid w:val="00E15CF8"/>
    <w:rsid w:val="00E165E9"/>
    <w:rsid w:val="00E171FF"/>
    <w:rsid w:val="00E1729A"/>
    <w:rsid w:val="00E1756B"/>
    <w:rsid w:val="00E176D5"/>
    <w:rsid w:val="00E177F1"/>
    <w:rsid w:val="00E17938"/>
    <w:rsid w:val="00E17975"/>
    <w:rsid w:val="00E17D76"/>
    <w:rsid w:val="00E17EDE"/>
    <w:rsid w:val="00E17F9F"/>
    <w:rsid w:val="00E202D4"/>
    <w:rsid w:val="00E20458"/>
    <w:rsid w:val="00E2053D"/>
    <w:rsid w:val="00E206B0"/>
    <w:rsid w:val="00E208BE"/>
    <w:rsid w:val="00E20926"/>
    <w:rsid w:val="00E20AF4"/>
    <w:rsid w:val="00E20C73"/>
    <w:rsid w:val="00E20D3D"/>
    <w:rsid w:val="00E20DD3"/>
    <w:rsid w:val="00E20FAD"/>
    <w:rsid w:val="00E2105E"/>
    <w:rsid w:val="00E212EC"/>
    <w:rsid w:val="00E2147A"/>
    <w:rsid w:val="00E2159A"/>
    <w:rsid w:val="00E21651"/>
    <w:rsid w:val="00E217C4"/>
    <w:rsid w:val="00E217F0"/>
    <w:rsid w:val="00E21B27"/>
    <w:rsid w:val="00E220DC"/>
    <w:rsid w:val="00E22113"/>
    <w:rsid w:val="00E221F3"/>
    <w:rsid w:val="00E222A0"/>
    <w:rsid w:val="00E22911"/>
    <w:rsid w:val="00E22C8A"/>
    <w:rsid w:val="00E231EB"/>
    <w:rsid w:val="00E23574"/>
    <w:rsid w:val="00E23888"/>
    <w:rsid w:val="00E23BE0"/>
    <w:rsid w:val="00E23C6E"/>
    <w:rsid w:val="00E23E27"/>
    <w:rsid w:val="00E24361"/>
    <w:rsid w:val="00E2448A"/>
    <w:rsid w:val="00E24600"/>
    <w:rsid w:val="00E2473A"/>
    <w:rsid w:val="00E247E5"/>
    <w:rsid w:val="00E25BA0"/>
    <w:rsid w:val="00E25D72"/>
    <w:rsid w:val="00E26016"/>
    <w:rsid w:val="00E2606F"/>
    <w:rsid w:val="00E2659E"/>
    <w:rsid w:val="00E269FC"/>
    <w:rsid w:val="00E26E54"/>
    <w:rsid w:val="00E27569"/>
    <w:rsid w:val="00E27D07"/>
    <w:rsid w:val="00E30220"/>
    <w:rsid w:val="00E3026C"/>
    <w:rsid w:val="00E305BF"/>
    <w:rsid w:val="00E3076F"/>
    <w:rsid w:val="00E3083A"/>
    <w:rsid w:val="00E308AE"/>
    <w:rsid w:val="00E30AA3"/>
    <w:rsid w:val="00E30D58"/>
    <w:rsid w:val="00E30E2C"/>
    <w:rsid w:val="00E31129"/>
    <w:rsid w:val="00E3112D"/>
    <w:rsid w:val="00E3146C"/>
    <w:rsid w:val="00E315E4"/>
    <w:rsid w:val="00E316EA"/>
    <w:rsid w:val="00E318E0"/>
    <w:rsid w:val="00E31E8A"/>
    <w:rsid w:val="00E322A8"/>
    <w:rsid w:val="00E32576"/>
    <w:rsid w:val="00E3388E"/>
    <w:rsid w:val="00E33E6A"/>
    <w:rsid w:val="00E34196"/>
    <w:rsid w:val="00E34303"/>
    <w:rsid w:val="00E34707"/>
    <w:rsid w:val="00E348E2"/>
    <w:rsid w:val="00E34914"/>
    <w:rsid w:val="00E3495F"/>
    <w:rsid w:val="00E34ED6"/>
    <w:rsid w:val="00E363FA"/>
    <w:rsid w:val="00E366B9"/>
    <w:rsid w:val="00E367EE"/>
    <w:rsid w:val="00E36991"/>
    <w:rsid w:val="00E36ACC"/>
    <w:rsid w:val="00E36C6F"/>
    <w:rsid w:val="00E36CE4"/>
    <w:rsid w:val="00E36EB0"/>
    <w:rsid w:val="00E36FB0"/>
    <w:rsid w:val="00E37108"/>
    <w:rsid w:val="00E3732F"/>
    <w:rsid w:val="00E3784F"/>
    <w:rsid w:val="00E403EC"/>
    <w:rsid w:val="00E40594"/>
    <w:rsid w:val="00E40747"/>
    <w:rsid w:val="00E4075E"/>
    <w:rsid w:val="00E408E1"/>
    <w:rsid w:val="00E40A83"/>
    <w:rsid w:val="00E40EAC"/>
    <w:rsid w:val="00E412D1"/>
    <w:rsid w:val="00E41575"/>
    <w:rsid w:val="00E41816"/>
    <w:rsid w:val="00E419C4"/>
    <w:rsid w:val="00E41A20"/>
    <w:rsid w:val="00E41AA9"/>
    <w:rsid w:val="00E41DF5"/>
    <w:rsid w:val="00E42831"/>
    <w:rsid w:val="00E42DC6"/>
    <w:rsid w:val="00E42E87"/>
    <w:rsid w:val="00E43197"/>
    <w:rsid w:val="00E432CB"/>
    <w:rsid w:val="00E43629"/>
    <w:rsid w:val="00E43717"/>
    <w:rsid w:val="00E438BB"/>
    <w:rsid w:val="00E43ADF"/>
    <w:rsid w:val="00E43BA0"/>
    <w:rsid w:val="00E44280"/>
    <w:rsid w:val="00E444B3"/>
    <w:rsid w:val="00E44738"/>
    <w:rsid w:val="00E448E5"/>
    <w:rsid w:val="00E449E8"/>
    <w:rsid w:val="00E44C08"/>
    <w:rsid w:val="00E44CE4"/>
    <w:rsid w:val="00E44D35"/>
    <w:rsid w:val="00E44D8C"/>
    <w:rsid w:val="00E453FC"/>
    <w:rsid w:val="00E45E91"/>
    <w:rsid w:val="00E45F7B"/>
    <w:rsid w:val="00E463AD"/>
    <w:rsid w:val="00E466D7"/>
    <w:rsid w:val="00E46775"/>
    <w:rsid w:val="00E46C4F"/>
    <w:rsid w:val="00E46C6E"/>
    <w:rsid w:val="00E46F39"/>
    <w:rsid w:val="00E471A6"/>
    <w:rsid w:val="00E47250"/>
    <w:rsid w:val="00E47269"/>
    <w:rsid w:val="00E4758D"/>
    <w:rsid w:val="00E47939"/>
    <w:rsid w:val="00E5015B"/>
    <w:rsid w:val="00E50739"/>
    <w:rsid w:val="00E5089F"/>
    <w:rsid w:val="00E50A59"/>
    <w:rsid w:val="00E50B1B"/>
    <w:rsid w:val="00E50D5D"/>
    <w:rsid w:val="00E51488"/>
    <w:rsid w:val="00E51975"/>
    <w:rsid w:val="00E51EC8"/>
    <w:rsid w:val="00E5233A"/>
    <w:rsid w:val="00E52689"/>
    <w:rsid w:val="00E52715"/>
    <w:rsid w:val="00E52950"/>
    <w:rsid w:val="00E52968"/>
    <w:rsid w:val="00E529A3"/>
    <w:rsid w:val="00E52A9E"/>
    <w:rsid w:val="00E52D05"/>
    <w:rsid w:val="00E52E9A"/>
    <w:rsid w:val="00E5341D"/>
    <w:rsid w:val="00E53720"/>
    <w:rsid w:val="00E53E58"/>
    <w:rsid w:val="00E53F4D"/>
    <w:rsid w:val="00E53F61"/>
    <w:rsid w:val="00E53FFB"/>
    <w:rsid w:val="00E54137"/>
    <w:rsid w:val="00E54284"/>
    <w:rsid w:val="00E54307"/>
    <w:rsid w:val="00E5443D"/>
    <w:rsid w:val="00E544AA"/>
    <w:rsid w:val="00E545F6"/>
    <w:rsid w:val="00E54C3E"/>
    <w:rsid w:val="00E54D58"/>
    <w:rsid w:val="00E55143"/>
    <w:rsid w:val="00E554A7"/>
    <w:rsid w:val="00E55A22"/>
    <w:rsid w:val="00E55B1C"/>
    <w:rsid w:val="00E55D11"/>
    <w:rsid w:val="00E563C0"/>
    <w:rsid w:val="00E566C6"/>
    <w:rsid w:val="00E566DF"/>
    <w:rsid w:val="00E5676A"/>
    <w:rsid w:val="00E567CB"/>
    <w:rsid w:val="00E5684A"/>
    <w:rsid w:val="00E56936"/>
    <w:rsid w:val="00E56B33"/>
    <w:rsid w:val="00E57041"/>
    <w:rsid w:val="00E576B2"/>
    <w:rsid w:val="00E5778B"/>
    <w:rsid w:val="00E577E8"/>
    <w:rsid w:val="00E578E0"/>
    <w:rsid w:val="00E57E9E"/>
    <w:rsid w:val="00E60061"/>
    <w:rsid w:val="00E60194"/>
    <w:rsid w:val="00E601A9"/>
    <w:rsid w:val="00E6074E"/>
    <w:rsid w:val="00E6086D"/>
    <w:rsid w:val="00E60A93"/>
    <w:rsid w:val="00E6103A"/>
    <w:rsid w:val="00E61370"/>
    <w:rsid w:val="00E614BB"/>
    <w:rsid w:val="00E614EA"/>
    <w:rsid w:val="00E61898"/>
    <w:rsid w:val="00E61B34"/>
    <w:rsid w:val="00E622B9"/>
    <w:rsid w:val="00E62620"/>
    <w:rsid w:val="00E62BB4"/>
    <w:rsid w:val="00E62DB5"/>
    <w:rsid w:val="00E632D8"/>
    <w:rsid w:val="00E632EA"/>
    <w:rsid w:val="00E6395E"/>
    <w:rsid w:val="00E63C98"/>
    <w:rsid w:val="00E63F14"/>
    <w:rsid w:val="00E64582"/>
    <w:rsid w:val="00E6478C"/>
    <w:rsid w:val="00E64C3A"/>
    <w:rsid w:val="00E64E4C"/>
    <w:rsid w:val="00E6538A"/>
    <w:rsid w:val="00E6553F"/>
    <w:rsid w:val="00E6573D"/>
    <w:rsid w:val="00E65D70"/>
    <w:rsid w:val="00E66514"/>
    <w:rsid w:val="00E66523"/>
    <w:rsid w:val="00E665A4"/>
    <w:rsid w:val="00E668D6"/>
    <w:rsid w:val="00E67076"/>
    <w:rsid w:val="00E67430"/>
    <w:rsid w:val="00E674DD"/>
    <w:rsid w:val="00E6750D"/>
    <w:rsid w:val="00E67DD2"/>
    <w:rsid w:val="00E67F82"/>
    <w:rsid w:val="00E700EB"/>
    <w:rsid w:val="00E703F5"/>
    <w:rsid w:val="00E707D8"/>
    <w:rsid w:val="00E70F56"/>
    <w:rsid w:val="00E71623"/>
    <w:rsid w:val="00E71D6D"/>
    <w:rsid w:val="00E71E39"/>
    <w:rsid w:val="00E71FB5"/>
    <w:rsid w:val="00E728AA"/>
    <w:rsid w:val="00E72E26"/>
    <w:rsid w:val="00E72F7F"/>
    <w:rsid w:val="00E7333A"/>
    <w:rsid w:val="00E7342D"/>
    <w:rsid w:val="00E7350F"/>
    <w:rsid w:val="00E7382E"/>
    <w:rsid w:val="00E73C52"/>
    <w:rsid w:val="00E73CFF"/>
    <w:rsid w:val="00E7400E"/>
    <w:rsid w:val="00E7402D"/>
    <w:rsid w:val="00E74107"/>
    <w:rsid w:val="00E7446F"/>
    <w:rsid w:val="00E74C5C"/>
    <w:rsid w:val="00E75466"/>
    <w:rsid w:val="00E75780"/>
    <w:rsid w:val="00E7593C"/>
    <w:rsid w:val="00E75B5D"/>
    <w:rsid w:val="00E75DF5"/>
    <w:rsid w:val="00E75FC9"/>
    <w:rsid w:val="00E760EE"/>
    <w:rsid w:val="00E76219"/>
    <w:rsid w:val="00E76D47"/>
    <w:rsid w:val="00E76D72"/>
    <w:rsid w:val="00E770C3"/>
    <w:rsid w:val="00E77270"/>
    <w:rsid w:val="00E772AA"/>
    <w:rsid w:val="00E77383"/>
    <w:rsid w:val="00E77670"/>
    <w:rsid w:val="00E779F9"/>
    <w:rsid w:val="00E77CCF"/>
    <w:rsid w:val="00E7CDDF"/>
    <w:rsid w:val="00E800DA"/>
    <w:rsid w:val="00E80556"/>
    <w:rsid w:val="00E80663"/>
    <w:rsid w:val="00E80A77"/>
    <w:rsid w:val="00E80CC0"/>
    <w:rsid w:val="00E80D42"/>
    <w:rsid w:val="00E823DA"/>
    <w:rsid w:val="00E823FA"/>
    <w:rsid w:val="00E8293B"/>
    <w:rsid w:val="00E82BC7"/>
    <w:rsid w:val="00E82CDD"/>
    <w:rsid w:val="00E838B1"/>
    <w:rsid w:val="00E83C86"/>
    <w:rsid w:val="00E83CB5"/>
    <w:rsid w:val="00E83DD6"/>
    <w:rsid w:val="00E83E34"/>
    <w:rsid w:val="00E84194"/>
    <w:rsid w:val="00E84A3E"/>
    <w:rsid w:val="00E84B33"/>
    <w:rsid w:val="00E84C20"/>
    <w:rsid w:val="00E856C1"/>
    <w:rsid w:val="00E8577D"/>
    <w:rsid w:val="00E85DAF"/>
    <w:rsid w:val="00E85DB2"/>
    <w:rsid w:val="00E85E2C"/>
    <w:rsid w:val="00E8604F"/>
    <w:rsid w:val="00E860DA"/>
    <w:rsid w:val="00E862A1"/>
    <w:rsid w:val="00E862D4"/>
    <w:rsid w:val="00E86593"/>
    <w:rsid w:val="00E86691"/>
    <w:rsid w:val="00E86748"/>
    <w:rsid w:val="00E86777"/>
    <w:rsid w:val="00E8678C"/>
    <w:rsid w:val="00E86CE5"/>
    <w:rsid w:val="00E86DC8"/>
    <w:rsid w:val="00E86E80"/>
    <w:rsid w:val="00E86E81"/>
    <w:rsid w:val="00E86F88"/>
    <w:rsid w:val="00E87236"/>
    <w:rsid w:val="00E87250"/>
    <w:rsid w:val="00E8743F"/>
    <w:rsid w:val="00E874B3"/>
    <w:rsid w:val="00E87898"/>
    <w:rsid w:val="00E87E0D"/>
    <w:rsid w:val="00E8EE02"/>
    <w:rsid w:val="00E90444"/>
    <w:rsid w:val="00E9059B"/>
    <w:rsid w:val="00E9083B"/>
    <w:rsid w:val="00E90DA1"/>
    <w:rsid w:val="00E90DC3"/>
    <w:rsid w:val="00E9107D"/>
    <w:rsid w:val="00E91125"/>
    <w:rsid w:val="00E91346"/>
    <w:rsid w:val="00E9143B"/>
    <w:rsid w:val="00E9192E"/>
    <w:rsid w:val="00E91CF2"/>
    <w:rsid w:val="00E91EAD"/>
    <w:rsid w:val="00E91F49"/>
    <w:rsid w:val="00E921D3"/>
    <w:rsid w:val="00E922ED"/>
    <w:rsid w:val="00E9302D"/>
    <w:rsid w:val="00E9346E"/>
    <w:rsid w:val="00E9355E"/>
    <w:rsid w:val="00E93B8E"/>
    <w:rsid w:val="00E943E1"/>
    <w:rsid w:val="00E94596"/>
    <w:rsid w:val="00E94B33"/>
    <w:rsid w:val="00E95458"/>
    <w:rsid w:val="00E956FE"/>
    <w:rsid w:val="00E95EF4"/>
    <w:rsid w:val="00E960AF"/>
    <w:rsid w:val="00E96E61"/>
    <w:rsid w:val="00E96F24"/>
    <w:rsid w:val="00E96F38"/>
    <w:rsid w:val="00E970B3"/>
    <w:rsid w:val="00E97327"/>
    <w:rsid w:val="00E974F2"/>
    <w:rsid w:val="00E9758B"/>
    <w:rsid w:val="00E97DC0"/>
    <w:rsid w:val="00E97F22"/>
    <w:rsid w:val="00E97F49"/>
    <w:rsid w:val="00E985A2"/>
    <w:rsid w:val="00EA030A"/>
    <w:rsid w:val="00EA058C"/>
    <w:rsid w:val="00EA0604"/>
    <w:rsid w:val="00EA0794"/>
    <w:rsid w:val="00EA0877"/>
    <w:rsid w:val="00EA0BB2"/>
    <w:rsid w:val="00EA0CDD"/>
    <w:rsid w:val="00EA180E"/>
    <w:rsid w:val="00EA1825"/>
    <w:rsid w:val="00EA1A20"/>
    <w:rsid w:val="00EA1F4F"/>
    <w:rsid w:val="00EA2928"/>
    <w:rsid w:val="00EA2CF6"/>
    <w:rsid w:val="00EA2ED7"/>
    <w:rsid w:val="00EA32AA"/>
    <w:rsid w:val="00EA36E6"/>
    <w:rsid w:val="00EA386E"/>
    <w:rsid w:val="00EA3A25"/>
    <w:rsid w:val="00EA3CF2"/>
    <w:rsid w:val="00EA3DF3"/>
    <w:rsid w:val="00EA40CA"/>
    <w:rsid w:val="00EA412E"/>
    <w:rsid w:val="00EA43C0"/>
    <w:rsid w:val="00EA4446"/>
    <w:rsid w:val="00EA49FB"/>
    <w:rsid w:val="00EA4D8F"/>
    <w:rsid w:val="00EA5228"/>
    <w:rsid w:val="00EA5478"/>
    <w:rsid w:val="00EA5A16"/>
    <w:rsid w:val="00EA5B59"/>
    <w:rsid w:val="00EA5BA5"/>
    <w:rsid w:val="00EA5E58"/>
    <w:rsid w:val="00EA5E89"/>
    <w:rsid w:val="00EA5E93"/>
    <w:rsid w:val="00EA6142"/>
    <w:rsid w:val="00EA6749"/>
    <w:rsid w:val="00EA67EB"/>
    <w:rsid w:val="00EA67FB"/>
    <w:rsid w:val="00EA68FF"/>
    <w:rsid w:val="00EA6D02"/>
    <w:rsid w:val="00EA7187"/>
    <w:rsid w:val="00EA71BB"/>
    <w:rsid w:val="00EA740D"/>
    <w:rsid w:val="00EA7620"/>
    <w:rsid w:val="00EA76C0"/>
    <w:rsid w:val="00EA79FF"/>
    <w:rsid w:val="00EA7D7A"/>
    <w:rsid w:val="00EA7FC8"/>
    <w:rsid w:val="00EB016C"/>
    <w:rsid w:val="00EB022B"/>
    <w:rsid w:val="00EB03A1"/>
    <w:rsid w:val="00EB0625"/>
    <w:rsid w:val="00EB0716"/>
    <w:rsid w:val="00EB0A1E"/>
    <w:rsid w:val="00EB0B19"/>
    <w:rsid w:val="00EB0DCE"/>
    <w:rsid w:val="00EB0E9F"/>
    <w:rsid w:val="00EB0FDE"/>
    <w:rsid w:val="00EB116E"/>
    <w:rsid w:val="00EB1367"/>
    <w:rsid w:val="00EB139B"/>
    <w:rsid w:val="00EB1483"/>
    <w:rsid w:val="00EB14F6"/>
    <w:rsid w:val="00EB1585"/>
    <w:rsid w:val="00EB1EE0"/>
    <w:rsid w:val="00EB20CF"/>
    <w:rsid w:val="00EB22DE"/>
    <w:rsid w:val="00EB250E"/>
    <w:rsid w:val="00EB26D9"/>
    <w:rsid w:val="00EB2D4E"/>
    <w:rsid w:val="00EB3080"/>
    <w:rsid w:val="00EB30CA"/>
    <w:rsid w:val="00EB3386"/>
    <w:rsid w:val="00EB3567"/>
    <w:rsid w:val="00EB35AC"/>
    <w:rsid w:val="00EB375E"/>
    <w:rsid w:val="00EB3BDB"/>
    <w:rsid w:val="00EB3CFF"/>
    <w:rsid w:val="00EB3FD5"/>
    <w:rsid w:val="00EB4218"/>
    <w:rsid w:val="00EB43C2"/>
    <w:rsid w:val="00EB43E2"/>
    <w:rsid w:val="00EB467D"/>
    <w:rsid w:val="00EB49C7"/>
    <w:rsid w:val="00EB4DA3"/>
    <w:rsid w:val="00EB4E60"/>
    <w:rsid w:val="00EB50D1"/>
    <w:rsid w:val="00EB532A"/>
    <w:rsid w:val="00EB575A"/>
    <w:rsid w:val="00EB58A8"/>
    <w:rsid w:val="00EB5901"/>
    <w:rsid w:val="00EB5D2D"/>
    <w:rsid w:val="00EB6154"/>
    <w:rsid w:val="00EB63CA"/>
    <w:rsid w:val="00EB6695"/>
    <w:rsid w:val="00EB69E8"/>
    <w:rsid w:val="00EB6C0E"/>
    <w:rsid w:val="00EB6EB2"/>
    <w:rsid w:val="00EB6F04"/>
    <w:rsid w:val="00EB7A9B"/>
    <w:rsid w:val="00EC00A6"/>
    <w:rsid w:val="00EC01BF"/>
    <w:rsid w:val="00EC049E"/>
    <w:rsid w:val="00EC08F2"/>
    <w:rsid w:val="00EC098D"/>
    <w:rsid w:val="00EC0BD6"/>
    <w:rsid w:val="00EC1158"/>
    <w:rsid w:val="00EC156E"/>
    <w:rsid w:val="00EC1A7B"/>
    <w:rsid w:val="00EC1B04"/>
    <w:rsid w:val="00EC1C20"/>
    <w:rsid w:val="00EC1CFF"/>
    <w:rsid w:val="00EC2007"/>
    <w:rsid w:val="00EC205B"/>
    <w:rsid w:val="00EC223C"/>
    <w:rsid w:val="00EC2413"/>
    <w:rsid w:val="00EC2A1B"/>
    <w:rsid w:val="00EC2A60"/>
    <w:rsid w:val="00EC2F80"/>
    <w:rsid w:val="00EC3595"/>
    <w:rsid w:val="00EC365E"/>
    <w:rsid w:val="00EC391C"/>
    <w:rsid w:val="00EC3ACF"/>
    <w:rsid w:val="00EC3C3F"/>
    <w:rsid w:val="00EC3CC1"/>
    <w:rsid w:val="00EC3EEA"/>
    <w:rsid w:val="00EC4024"/>
    <w:rsid w:val="00EC431D"/>
    <w:rsid w:val="00EC4442"/>
    <w:rsid w:val="00EC462B"/>
    <w:rsid w:val="00EC488B"/>
    <w:rsid w:val="00EC4B4E"/>
    <w:rsid w:val="00EC4D8E"/>
    <w:rsid w:val="00EC4ECF"/>
    <w:rsid w:val="00EC504A"/>
    <w:rsid w:val="00EC5363"/>
    <w:rsid w:val="00EC5696"/>
    <w:rsid w:val="00EC5827"/>
    <w:rsid w:val="00EC59CE"/>
    <w:rsid w:val="00EC59D6"/>
    <w:rsid w:val="00EC5A0B"/>
    <w:rsid w:val="00EC5FAA"/>
    <w:rsid w:val="00EC5FD9"/>
    <w:rsid w:val="00EC6571"/>
    <w:rsid w:val="00EC69D1"/>
    <w:rsid w:val="00EC6A0E"/>
    <w:rsid w:val="00EC6D18"/>
    <w:rsid w:val="00EC7259"/>
    <w:rsid w:val="00EC757C"/>
    <w:rsid w:val="00EC75D2"/>
    <w:rsid w:val="00EC77E9"/>
    <w:rsid w:val="00EC7873"/>
    <w:rsid w:val="00EC7A91"/>
    <w:rsid w:val="00EC7B3A"/>
    <w:rsid w:val="00EC7EC3"/>
    <w:rsid w:val="00ED0769"/>
    <w:rsid w:val="00ED0869"/>
    <w:rsid w:val="00ED0AB7"/>
    <w:rsid w:val="00ED1261"/>
    <w:rsid w:val="00ED16D2"/>
    <w:rsid w:val="00ED1BB1"/>
    <w:rsid w:val="00ED1E96"/>
    <w:rsid w:val="00ED2279"/>
    <w:rsid w:val="00ED237F"/>
    <w:rsid w:val="00ED2405"/>
    <w:rsid w:val="00ED2B77"/>
    <w:rsid w:val="00ED2EB9"/>
    <w:rsid w:val="00ED2F9C"/>
    <w:rsid w:val="00ED387E"/>
    <w:rsid w:val="00ED3AFD"/>
    <w:rsid w:val="00ED3C7F"/>
    <w:rsid w:val="00ED3CA1"/>
    <w:rsid w:val="00ED3E96"/>
    <w:rsid w:val="00ED3FC7"/>
    <w:rsid w:val="00ED4631"/>
    <w:rsid w:val="00ED4A20"/>
    <w:rsid w:val="00ED4FEC"/>
    <w:rsid w:val="00ED4FF6"/>
    <w:rsid w:val="00ED50CD"/>
    <w:rsid w:val="00ED519A"/>
    <w:rsid w:val="00ED5369"/>
    <w:rsid w:val="00ED5392"/>
    <w:rsid w:val="00ED571B"/>
    <w:rsid w:val="00ED58A6"/>
    <w:rsid w:val="00ED5BD7"/>
    <w:rsid w:val="00ED5D1E"/>
    <w:rsid w:val="00ED6342"/>
    <w:rsid w:val="00ED65BF"/>
    <w:rsid w:val="00ED6B28"/>
    <w:rsid w:val="00ED6EFB"/>
    <w:rsid w:val="00ED6FE5"/>
    <w:rsid w:val="00ED7102"/>
    <w:rsid w:val="00ED713C"/>
    <w:rsid w:val="00ED73A8"/>
    <w:rsid w:val="00ED7547"/>
    <w:rsid w:val="00ED797C"/>
    <w:rsid w:val="00ED79EE"/>
    <w:rsid w:val="00ED7F83"/>
    <w:rsid w:val="00EE05E2"/>
    <w:rsid w:val="00EE06FF"/>
    <w:rsid w:val="00EE0818"/>
    <w:rsid w:val="00EE0AF7"/>
    <w:rsid w:val="00EE0F5C"/>
    <w:rsid w:val="00EE11A7"/>
    <w:rsid w:val="00EE12AB"/>
    <w:rsid w:val="00EE15C9"/>
    <w:rsid w:val="00EE18B4"/>
    <w:rsid w:val="00EE18EC"/>
    <w:rsid w:val="00EE1BE1"/>
    <w:rsid w:val="00EE1F04"/>
    <w:rsid w:val="00EE23F8"/>
    <w:rsid w:val="00EE2A88"/>
    <w:rsid w:val="00EE3231"/>
    <w:rsid w:val="00EE3461"/>
    <w:rsid w:val="00EE3626"/>
    <w:rsid w:val="00EE3AFD"/>
    <w:rsid w:val="00EE3B5F"/>
    <w:rsid w:val="00EE3EDB"/>
    <w:rsid w:val="00EE42E5"/>
    <w:rsid w:val="00EE44BC"/>
    <w:rsid w:val="00EE472C"/>
    <w:rsid w:val="00EE48EC"/>
    <w:rsid w:val="00EE4B30"/>
    <w:rsid w:val="00EE4EA7"/>
    <w:rsid w:val="00EE511C"/>
    <w:rsid w:val="00EE516A"/>
    <w:rsid w:val="00EE563C"/>
    <w:rsid w:val="00EE567C"/>
    <w:rsid w:val="00EE5939"/>
    <w:rsid w:val="00EE5A8C"/>
    <w:rsid w:val="00EE602F"/>
    <w:rsid w:val="00EE6271"/>
    <w:rsid w:val="00EE6CBF"/>
    <w:rsid w:val="00EE7256"/>
    <w:rsid w:val="00EE760B"/>
    <w:rsid w:val="00EE7AC9"/>
    <w:rsid w:val="00EE7D15"/>
    <w:rsid w:val="00EF01DB"/>
    <w:rsid w:val="00EF0519"/>
    <w:rsid w:val="00EF0831"/>
    <w:rsid w:val="00EF08B6"/>
    <w:rsid w:val="00EF0D9F"/>
    <w:rsid w:val="00EF0F76"/>
    <w:rsid w:val="00EF0F7E"/>
    <w:rsid w:val="00EF0FCE"/>
    <w:rsid w:val="00EF15B9"/>
    <w:rsid w:val="00EF18BE"/>
    <w:rsid w:val="00EF18C1"/>
    <w:rsid w:val="00EF1A6F"/>
    <w:rsid w:val="00EF1C9D"/>
    <w:rsid w:val="00EF1DEE"/>
    <w:rsid w:val="00EF1E3D"/>
    <w:rsid w:val="00EF1FCF"/>
    <w:rsid w:val="00EF231D"/>
    <w:rsid w:val="00EF2F5E"/>
    <w:rsid w:val="00EF39FA"/>
    <w:rsid w:val="00EF3A3A"/>
    <w:rsid w:val="00EF3DE5"/>
    <w:rsid w:val="00EF3E92"/>
    <w:rsid w:val="00EF3EF6"/>
    <w:rsid w:val="00EF47D6"/>
    <w:rsid w:val="00EF4DC6"/>
    <w:rsid w:val="00EF4DDA"/>
    <w:rsid w:val="00EF53B8"/>
    <w:rsid w:val="00EF540B"/>
    <w:rsid w:val="00EF5449"/>
    <w:rsid w:val="00EF5764"/>
    <w:rsid w:val="00EF65B9"/>
    <w:rsid w:val="00EF6741"/>
    <w:rsid w:val="00EF67AB"/>
    <w:rsid w:val="00EF6987"/>
    <w:rsid w:val="00EF6C17"/>
    <w:rsid w:val="00EF6C49"/>
    <w:rsid w:val="00EF7094"/>
    <w:rsid w:val="00EF70C3"/>
    <w:rsid w:val="00EF7248"/>
    <w:rsid w:val="00EF72B4"/>
    <w:rsid w:val="00EF7525"/>
    <w:rsid w:val="00EF7527"/>
    <w:rsid w:val="00EF7BBE"/>
    <w:rsid w:val="00EF7BCE"/>
    <w:rsid w:val="00EF7C39"/>
    <w:rsid w:val="00EF7F00"/>
    <w:rsid w:val="00F007F8"/>
    <w:rsid w:val="00F00984"/>
    <w:rsid w:val="00F011ED"/>
    <w:rsid w:val="00F014A5"/>
    <w:rsid w:val="00F014B8"/>
    <w:rsid w:val="00F01596"/>
    <w:rsid w:val="00F0173B"/>
    <w:rsid w:val="00F0195C"/>
    <w:rsid w:val="00F01CC9"/>
    <w:rsid w:val="00F02305"/>
    <w:rsid w:val="00F02495"/>
    <w:rsid w:val="00F026C7"/>
    <w:rsid w:val="00F02ACC"/>
    <w:rsid w:val="00F02AD3"/>
    <w:rsid w:val="00F02E8A"/>
    <w:rsid w:val="00F02F56"/>
    <w:rsid w:val="00F031B9"/>
    <w:rsid w:val="00F03310"/>
    <w:rsid w:val="00F03674"/>
    <w:rsid w:val="00F03724"/>
    <w:rsid w:val="00F0382C"/>
    <w:rsid w:val="00F03847"/>
    <w:rsid w:val="00F03ECA"/>
    <w:rsid w:val="00F03EFB"/>
    <w:rsid w:val="00F0416D"/>
    <w:rsid w:val="00F047CA"/>
    <w:rsid w:val="00F049B8"/>
    <w:rsid w:val="00F04D15"/>
    <w:rsid w:val="00F04D3B"/>
    <w:rsid w:val="00F05428"/>
    <w:rsid w:val="00F0543B"/>
    <w:rsid w:val="00F059CB"/>
    <w:rsid w:val="00F05CFA"/>
    <w:rsid w:val="00F06653"/>
    <w:rsid w:val="00F0667A"/>
    <w:rsid w:val="00F077C3"/>
    <w:rsid w:val="00F07922"/>
    <w:rsid w:val="00F07B5D"/>
    <w:rsid w:val="00F10192"/>
    <w:rsid w:val="00F102F1"/>
    <w:rsid w:val="00F10357"/>
    <w:rsid w:val="00F10583"/>
    <w:rsid w:val="00F105A0"/>
    <w:rsid w:val="00F10989"/>
    <w:rsid w:val="00F10A65"/>
    <w:rsid w:val="00F10D30"/>
    <w:rsid w:val="00F1107D"/>
    <w:rsid w:val="00F11110"/>
    <w:rsid w:val="00F1121F"/>
    <w:rsid w:val="00F11724"/>
    <w:rsid w:val="00F118A2"/>
    <w:rsid w:val="00F119EB"/>
    <w:rsid w:val="00F11E67"/>
    <w:rsid w:val="00F120E5"/>
    <w:rsid w:val="00F12254"/>
    <w:rsid w:val="00F123A4"/>
    <w:rsid w:val="00F124B6"/>
    <w:rsid w:val="00F124F2"/>
    <w:rsid w:val="00F129B1"/>
    <w:rsid w:val="00F12C82"/>
    <w:rsid w:val="00F12D24"/>
    <w:rsid w:val="00F12EC8"/>
    <w:rsid w:val="00F12F07"/>
    <w:rsid w:val="00F13680"/>
    <w:rsid w:val="00F13979"/>
    <w:rsid w:val="00F1436C"/>
    <w:rsid w:val="00F145CB"/>
    <w:rsid w:val="00F149D6"/>
    <w:rsid w:val="00F14A65"/>
    <w:rsid w:val="00F14BF2"/>
    <w:rsid w:val="00F14FB6"/>
    <w:rsid w:val="00F153B6"/>
    <w:rsid w:val="00F15453"/>
    <w:rsid w:val="00F155CA"/>
    <w:rsid w:val="00F15A3D"/>
    <w:rsid w:val="00F15E68"/>
    <w:rsid w:val="00F15F40"/>
    <w:rsid w:val="00F16376"/>
    <w:rsid w:val="00F163FC"/>
    <w:rsid w:val="00F1676E"/>
    <w:rsid w:val="00F16774"/>
    <w:rsid w:val="00F16C09"/>
    <w:rsid w:val="00F16C54"/>
    <w:rsid w:val="00F17212"/>
    <w:rsid w:val="00F1730A"/>
    <w:rsid w:val="00F17610"/>
    <w:rsid w:val="00F17E38"/>
    <w:rsid w:val="00F20B4B"/>
    <w:rsid w:val="00F20EFE"/>
    <w:rsid w:val="00F216A7"/>
    <w:rsid w:val="00F216F4"/>
    <w:rsid w:val="00F21E84"/>
    <w:rsid w:val="00F22621"/>
    <w:rsid w:val="00F22AB0"/>
    <w:rsid w:val="00F22EB4"/>
    <w:rsid w:val="00F2320F"/>
    <w:rsid w:val="00F2333B"/>
    <w:rsid w:val="00F23536"/>
    <w:rsid w:val="00F238E9"/>
    <w:rsid w:val="00F239D1"/>
    <w:rsid w:val="00F23B0A"/>
    <w:rsid w:val="00F2443B"/>
    <w:rsid w:val="00F24659"/>
    <w:rsid w:val="00F247F7"/>
    <w:rsid w:val="00F2480F"/>
    <w:rsid w:val="00F249F5"/>
    <w:rsid w:val="00F24A2C"/>
    <w:rsid w:val="00F24B1F"/>
    <w:rsid w:val="00F24C6D"/>
    <w:rsid w:val="00F24D28"/>
    <w:rsid w:val="00F24EC6"/>
    <w:rsid w:val="00F252F5"/>
    <w:rsid w:val="00F25720"/>
    <w:rsid w:val="00F25B11"/>
    <w:rsid w:val="00F25CDA"/>
    <w:rsid w:val="00F25FD4"/>
    <w:rsid w:val="00F2608C"/>
    <w:rsid w:val="00F26B1C"/>
    <w:rsid w:val="00F26B9A"/>
    <w:rsid w:val="00F27703"/>
    <w:rsid w:val="00F27AA3"/>
    <w:rsid w:val="00F30158"/>
    <w:rsid w:val="00F30205"/>
    <w:rsid w:val="00F30AF4"/>
    <w:rsid w:val="00F30BAB"/>
    <w:rsid w:val="00F30F77"/>
    <w:rsid w:val="00F31184"/>
    <w:rsid w:val="00F3141C"/>
    <w:rsid w:val="00F31A9D"/>
    <w:rsid w:val="00F3260F"/>
    <w:rsid w:val="00F3274E"/>
    <w:rsid w:val="00F3289F"/>
    <w:rsid w:val="00F329A6"/>
    <w:rsid w:val="00F32A86"/>
    <w:rsid w:val="00F32B44"/>
    <w:rsid w:val="00F32B94"/>
    <w:rsid w:val="00F32BF7"/>
    <w:rsid w:val="00F32C93"/>
    <w:rsid w:val="00F32D8A"/>
    <w:rsid w:val="00F33D67"/>
    <w:rsid w:val="00F340E6"/>
    <w:rsid w:val="00F34170"/>
    <w:rsid w:val="00F342A1"/>
    <w:rsid w:val="00F34797"/>
    <w:rsid w:val="00F3490E"/>
    <w:rsid w:val="00F34F0F"/>
    <w:rsid w:val="00F34FE9"/>
    <w:rsid w:val="00F3504C"/>
    <w:rsid w:val="00F35505"/>
    <w:rsid w:val="00F35BB7"/>
    <w:rsid w:val="00F35D50"/>
    <w:rsid w:val="00F361EC"/>
    <w:rsid w:val="00F3671D"/>
    <w:rsid w:val="00F36888"/>
    <w:rsid w:val="00F36A1C"/>
    <w:rsid w:val="00F36E07"/>
    <w:rsid w:val="00F3717A"/>
    <w:rsid w:val="00F372B9"/>
    <w:rsid w:val="00F372C6"/>
    <w:rsid w:val="00F375F5"/>
    <w:rsid w:val="00F3783C"/>
    <w:rsid w:val="00F37C43"/>
    <w:rsid w:val="00F37E75"/>
    <w:rsid w:val="00F4002A"/>
    <w:rsid w:val="00F402B5"/>
    <w:rsid w:val="00F40ABD"/>
    <w:rsid w:val="00F40C87"/>
    <w:rsid w:val="00F40FF1"/>
    <w:rsid w:val="00F411DA"/>
    <w:rsid w:val="00F41412"/>
    <w:rsid w:val="00F41634"/>
    <w:rsid w:val="00F41843"/>
    <w:rsid w:val="00F418B7"/>
    <w:rsid w:val="00F41B7B"/>
    <w:rsid w:val="00F41C29"/>
    <w:rsid w:val="00F41F9D"/>
    <w:rsid w:val="00F42042"/>
    <w:rsid w:val="00F421E7"/>
    <w:rsid w:val="00F423B9"/>
    <w:rsid w:val="00F42BE0"/>
    <w:rsid w:val="00F42C5C"/>
    <w:rsid w:val="00F42D92"/>
    <w:rsid w:val="00F42DC4"/>
    <w:rsid w:val="00F42ED1"/>
    <w:rsid w:val="00F437F4"/>
    <w:rsid w:val="00F43892"/>
    <w:rsid w:val="00F438DB"/>
    <w:rsid w:val="00F43BD5"/>
    <w:rsid w:val="00F43DE6"/>
    <w:rsid w:val="00F4418E"/>
    <w:rsid w:val="00F44300"/>
    <w:rsid w:val="00F4433B"/>
    <w:rsid w:val="00F44579"/>
    <w:rsid w:val="00F445FC"/>
    <w:rsid w:val="00F44BAB"/>
    <w:rsid w:val="00F44D6E"/>
    <w:rsid w:val="00F45046"/>
    <w:rsid w:val="00F450AF"/>
    <w:rsid w:val="00F45654"/>
    <w:rsid w:val="00F45883"/>
    <w:rsid w:val="00F45CD7"/>
    <w:rsid w:val="00F45E06"/>
    <w:rsid w:val="00F460EA"/>
    <w:rsid w:val="00F461A6"/>
    <w:rsid w:val="00F461D8"/>
    <w:rsid w:val="00F464EB"/>
    <w:rsid w:val="00F466D5"/>
    <w:rsid w:val="00F46C2F"/>
    <w:rsid w:val="00F46C3C"/>
    <w:rsid w:val="00F46C5D"/>
    <w:rsid w:val="00F46FD4"/>
    <w:rsid w:val="00F4713F"/>
    <w:rsid w:val="00F47142"/>
    <w:rsid w:val="00F471BA"/>
    <w:rsid w:val="00F47235"/>
    <w:rsid w:val="00F47383"/>
    <w:rsid w:val="00F478B4"/>
    <w:rsid w:val="00F47A4E"/>
    <w:rsid w:val="00F47AD3"/>
    <w:rsid w:val="00F47F92"/>
    <w:rsid w:val="00F47FBD"/>
    <w:rsid w:val="00F50134"/>
    <w:rsid w:val="00F504AB"/>
    <w:rsid w:val="00F5067A"/>
    <w:rsid w:val="00F507B1"/>
    <w:rsid w:val="00F50A96"/>
    <w:rsid w:val="00F50F36"/>
    <w:rsid w:val="00F51357"/>
    <w:rsid w:val="00F5171D"/>
    <w:rsid w:val="00F51798"/>
    <w:rsid w:val="00F51D28"/>
    <w:rsid w:val="00F51E33"/>
    <w:rsid w:val="00F51F1E"/>
    <w:rsid w:val="00F524CD"/>
    <w:rsid w:val="00F5272F"/>
    <w:rsid w:val="00F527BC"/>
    <w:rsid w:val="00F52D9B"/>
    <w:rsid w:val="00F52F32"/>
    <w:rsid w:val="00F52F36"/>
    <w:rsid w:val="00F530A9"/>
    <w:rsid w:val="00F5327A"/>
    <w:rsid w:val="00F54016"/>
    <w:rsid w:val="00F54218"/>
    <w:rsid w:val="00F544F6"/>
    <w:rsid w:val="00F5454B"/>
    <w:rsid w:val="00F54624"/>
    <w:rsid w:val="00F5479A"/>
    <w:rsid w:val="00F54894"/>
    <w:rsid w:val="00F548D1"/>
    <w:rsid w:val="00F54D6D"/>
    <w:rsid w:val="00F5530E"/>
    <w:rsid w:val="00F553EA"/>
    <w:rsid w:val="00F55A99"/>
    <w:rsid w:val="00F55C56"/>
    <w:rsid w:val="00F55E26"/>
    <w:rsid w:val="00F56083"/>
    <w:rsid w:val="00F5627D"/>
    <w:rsid w:val="00F56738"/>
    <w:rsid w:val="00F56775"/>
    <w:rsid w:val="00F569A7"/>
    <w:rsid w:val="00F569E5"/>
    <w:rsid w:val="00F56A06"/>
    <w:rsid w:val="00F574AC"/>
    <w:rsid w:val="00F579AB"/>
    <w:rsid w:val="00F57B39"/>
    <w:rsid w:val="00F57BFB"/>
    <w:rsid w:val="00F57DDD"/>
    <w:rsid w:val="00F57DE4"/>
    <w:rsid w:val="00F601F6"/>
    <w:rsid w:val="00F60547"/>
    <w:rsid w:val="00F60648"/>
    <w:rsid w:val="00F60780"/>
    <w:rsid w:val="00F608C1"/>
    <w:rsid w:val="00F60EA6"/>
    <w:rsid w:val="00F61053"/>
    <w:rsid w:val="00F614EB"/>
    <w:rsid w:val="00F61893"/>
    <w:rsid w:val="00F61B04"/>
    <w:rsid w:val="00F61BCE"/>
    <w:rsid w:val="00F61C88"/>
    <w:rsid w:val="00F624FA"/>
    <w:rsid w:val="00F6273E"/>
    <w:rsid w:val="00F6283A"/>
    <w:rsid w:val="00F62890"/>
    <w:rsid w:val="00F62EA6"/>
    <w:rsid w:val="00F632DB"/>
    <w:rsid w:val="00F63513"/>
    <w:rsid w:val="00F6367A"/>
    <w:rsid w:val="00F637E7"/>
    <w:rsid w:val="00F638CC"/>
    <w:rsid w:val="00F63A8E"/>
    <w:rsid w:val="00F63F1A"/>
    <w:rsid w:val="00F64289"/>
    <w:rsid w:val="00F64A8C"/>
    <w:rsid w:val="00F64AEC"/>
    <w:rsid w:val="00F64C94"/>
    <w:rsid w:val="00F64D7F"/>
    <w:rsid w:val="00F650B0"/>
    <w:rsid w:val="00F65186"/>
    <w:rsid w:val="00F65916"/>
    <w:rsid w:val="00F65DE5"/>
    <w:rsid w:val="00F65E8C"/>
    <w:rsid w:val="00F65F81"/>
    <w:rsid w:val="00F6635C"/>
    <w:rsid w:val="00F667BD"/>
    <w:rsid w:val="00F67266"/>
    <w:rsid w:val="00F672D8"/>
    <w:rsid w:val="00F673DC"/>
    <w:rsid w:val="00F67578"/>
    <w:rsid w:val="00F67B0F"/>
    <w:rsid w:val="00F67F75"/>
    <w:rsid w:val="00F7076A"/>
    <w:rsid w:val="00F70843"/>
    <w:rsid w:val="00F70B78"/>
    <w:rsid w:val="00F70CA4"/>
    <w:rsid w:val="00F70FAF"/>
    <w:rsid w:val="00F70FBD"/>
    <w:rsid w:val="00F71044"/>
    <w:rsid w:val="00F713AD"/>
    <w:rsid w:val="00F71A9F"/>
    <w:rsid w:val="00F71C66"/>
    <w:rsid w:val="00F7231A"/>
    <w:rsid w:val="00F7273F"/>
    <w:rsid w:val="00F728D7"/>
    <w:rsid w:val="00F72A7F"/>
    <w:rsid w:val="00F737BD"/>
    <w:rsid w:val="00F73B1B"/>
    <w:rsid w:val="00F74135"/>
    <w:rsid w:val="00F74275"/>
    <w:rsid w:val="00F74539"/>
    <w:rsid w:val="00F74595"/>
    <w:rsid w:val="00F745F7"/>
    <w:rsid w:val="00F7492D"/>
    <w:rsid w:val="00F7552B"/>
    <w:rsid w:val="00F758D8"/>
    <w:rsid w:val="00F75A16"/>
    <w:rsid w:val="00F75B38"/>
    <w:rsid w:val="00F75F5D"/>
    <w:rsid w:val="00F760E8"/>
    <w:rsid w:val="00F76110"/>
    <w:rsid w:val="00F763B3"/>
    <w:rsid w:val="00F763FD"/>
    <w:rsid w:val="00F7653F"/>
    <w:rsid w:val="00F768B9"/>
    <w:rsid w:val="00F76BE7"/>
    <w:rsid w:val="00F773C1"/>
    <w:rsid w:val="00F77BC9"/>
    <w:rsid w:val="00F77DBE"/>
    <w:rsid w:val="00F800C9"/>
    <w:rsid w:val="00F80727"/>
    <w:rsid w:val="00F81179"/>
    <w:rsid w:val="00F81200"/>
    <w:rsid w:val="00F81A17"/>
    <w:rsid w:val="00F826B7"/>
    <w:rsid w:val="00F8271C"/>
    <w:rsid w:val="00F8275D"/>
    <w:rsid w:val="00F82A35"/>
    <w:rsid w:val="00F82E4C"/>
    <w:rsid w:val="00F82F1D"/>
    <w:rsid w:val="00F82F51"/>
    <w:rsid w:val="00F830BC"/>
    <w:rsid w:val="00F8369F"/>
    <w:rsid w:val="00F83761"/>
    <w:rsid w:val="00F83F7A"/>
    <w:rsid w:val="00F8420C"/>
    <w:rsid w:val="00F843BE"/>
    <w:rsid w:val="00F84691"/>
    <w:rsid w:val="00F8490F"/>
    <w:rsid w:val="00F84941"/>
    <w:rsid w:val="00F84A50"/>
    <w:rsid w:val="00F84CEC"/>
    <w:rsid w:val="00F84D1D"/>
    <w:rsid w:val="00F84D46"/>
    <w:rsid w:val="00F85235"/>
    <w:rsid w:val="00F8584B"/>
    <w:rsid w:val="00F85B28"/>
    <w:rsid w:val="00F85DCA"/>
    <w:rsid w:val="00F860F0"/>
    <w:rsid w:val="00F86292"/>
    <w:rsid w:val="00F86BA3"/>
    <w:rsid w:val="00F86FE0"/>
    <w:rsid w:val="00F87246"/>
    <w:rsid w:val="00F87AF5"/>
    <w:rsid w:val="00F87E9C"/>
    <w:rsid w:val="00F902DF"/>
    <w:rsid w:val="00F90587"/>
    <w:rsid w:val="00F905A3"/>
    <w:rsid w:val="00F90694"/>
    <w:rsid w:val="00F909B0"/>
    <w:rsid w:val="00F912DF"/>
    <w:rsid w:val="00F915C1"/>
    <w:rsid w:val="00F9175E"/>
    <w:rsid w:val="00F91C8E"/>
    <w:rsid w:val="00F91F08"/>
    <w:rsid w:val="00F920BE"/>
    <w:rsid w:val="00F9225C"/>
    <w:rsid w:val="00F9279D"/>
    <w:rsid w:val="00F927A1"/>
    <w:rsid w:val="00F92A16"/>
    <w:rsid w:val="00F9310F"/>
    <w:rsid w:val="00F93299"/>
    <w:rsid w:val="00F93397"/>
    <w:rsid w:val="00F935C0"/>
    <w:rsid w:val="00F938B0"/>
    <w:rsid w:val="00F93BB0"/>
    <w:rsid w:val="00F93D94"/>
    <w:rsid w:val="00F93F11"/>
    <w:rsid w:val="00F9420E"/>
    <w:rsid w:val="00F944AB"/>
    <w:rsid w:val="00F94588"/>
    <w:rsid w:val="00F94719"/>
    <w:rsid w:val="00F9476C"/>
    <w:rsid w:val="00F9485D"/>
    <w:rsid w:val="00F948E0"/>
    <w:rsid w:val="00F94989"/>
    <w:rsid w:val="00F94B53"/>
    <w:rsid w:val="00F94C9C"/>
    <w:rsid w:val="00F94E51"/>
    <w:rsid w:val="00F94E94"/>
    <w:rsid w:val="00F94EB9"/>
    <w:rsid w:val="00F9526F"/>
    <w:rsid w:val="00F955E1"/>
    <w:rsid w:val="00F95631"/>
    <w:rsid w:val="00F958FF"/>
    <w:rsid w:val="00F9592C"/>
    <w:rsid w:val="00F95CC5"/>
    <w:rsid w:val="00F95D77"/>
    <w:rsid w:val="00F95FD5"/>
    <w:rsid w:val="00F96030"/>
    <w:rsid w:val="00F967AB"/>
    <w:rsid w:val="00F96C65"/>
    <w:rsid w:val="00F96FE9"/>
    <w:rsid w:val="00F977FB"/>
    <w:rsid w:val="00F97935"/>
    <w:rsid w:val="00F97C7D"/>
    <w:rsid w:val="00F97D56"/>
    <w:rsid w:val="00F97E7F"/>
    <w:rsid w:val="00F97E87"/>
    <w:rsid w:val="00F97E88"/>
    <w:rsid w:val="00FA008C"/>
    <w:rsid w:val="00FA01EE"/>
    <w:rsid w:val="00FA0209"/>
    <w:rsid w:val="00FA05A5"/>
    <w:rsid w:val="00FA0773"/>
    <w:rsid w:val="00FA11ED"/>
    <w:rsid w:val="00FA123F"/>
    <w:rsid w:val="00FA1671"/>
    <w:rsid w:val="00FA1743"/>
    <w:rsid w:val="00FA17DF"/>
    <w:rsid w:val="00FA1814"/>
    <w:rsid w:val="00FA1A49"/>
    <w:rsid w:val="00FA1A52"/>
    <w:rsid w:val="00FA1B13"/>
    <w:rsid w:val="00FA1DCB"/>
    <w:rsid w:val="00FA1E7C"/>
    <w:rsid w:val="00FA1E95"/>
    <w:rsid w:val="00FA1EB2"/>
    <w:rsid w:val="00FA2658"/>
    <w:rsid w:val="00FA2C54"/>
    <w:rsid w:val="00FA2C80"/>
    <w:rsid w:val="00FA324E"/>
    <w:rsid w:val="00FA34B7"/>
    <w:rsid w:val="00FA3835"/>
    <w:rsid w:val="00FA3BDD"/>
    <w:rsid w:val="00FA3EFF"/>
    <w:rsid w:val="00FA4C57"/>
    <w:rsid w:val="00FA545F"/>
    <w:rsid w:val="00FA5503"/>
    <w:rsid w:val="00FA5770"/>
    <w:rsid w:val="00FA59D9"/>
    <w:rsid w:val="00FA5B3E"/>
    <w:rsid w:val="00FA5E68"/>
    <w:rsid w:val="00FA6105"/>
    <w:rsid w:val="00FA641D"/>
    <w:rsid w:val="00FA6A9A"/>
    <w:rsid w:val="00FA701E"/>
    <w:rsid w:val="00FA72A9"/>
    <w:rsid w:val="00FA737A"/>
    <w:rsid w:val="00FA74CD"/>
    <w:rsid w:val="00FA7AC2"/>
    <w:rsid w:val="00FB03A7"/>
    <w:rsid w:val="00FB04D1"/>
    <w:rsid w:val="00FB098D"/>
    <w:rsid w:val="00FB09AB"/>
    <w:rsid w:val="00FB0E6F"/>
    <w:rsid w:val="00FB0EF6"/>
    <w:rsid w:val="00FB0F9A"/>
    <w:rsid w:val="00FB0FD4"/>
    <w:rsid w:val="00FB12D8"/>
    <w:rsid w:val="00FB12FB"/>
    <w:rsid w:val="00FB1699"/>
    <w:rsid w:val="00FB16F9"/>
    <w:rsid w:val="00FB1AED"/>
    <w:rsid w:val="00FB1BB9"/>
    <w:rsid w:val="00FB1E58"/>
    <w:rsid w:val="00FB1F2A"/>
    <w:rsid w:val="00FB2740"/>
    <w:rsid w:val="00FB2A86"/>
    <w:rsid w:val="00FB2C90"/>
    <w:rsid w:val="00FB2DFA"/>
    <w:rsid w:val="00FB35BE"/>
    <w:rsid w:val="00FB3794"/>
    <w:rsid w:val="00FB37A1"/>
    <w:rsid w:val="00FB3920"/>
    <w:rsid w:val="00FB4444"/>
    <w:rsid w:val="00FB4489"/>
    <w:rsid w:val="00FB4789"/>
    <w:rsid w:val="00FB4C13"/>
    <w:rsid w:val="00FB4DAD"/>
    <w:rsid w:val="00FB4E99"/>
    <w:rsid w:val="00FB4F96"/>
    <w:rsid w:val="00FB5149"/>
    <w:rsid w:val="00FB52D9"/>
    <w:rsid w:val="00FB5543"/>
    <w:rsid w:val="00FB565F"/>
    <w:rsid w:val="00FB60B3"/>
    <w:rsid w:val="00FB63B1"/>
    <w:rsid w:val="00FB6476"/>
    <w:rsid w:val="00FB6A53"/>
    <w:rsid w:val="00FB6BC0"/>
    <w:rsid w:val="00FB6C6F"/>
    <w:rsid w:val="00FB6D96"/>
    <w:rsid w:val="00FB728C"/>
    <w:rsid w:val="00FB743C"/>
    <w:rsid w:val="00FB7510"/>
    <w:rsid w:val="00FB7547"/>
    <w:rsid w:val="00FB77D8"/>
    <w:rsid w:val="00FB7A2A"/>
    <w:rsid w:val="00FB7E87"/>
    <w:rsid w:val="00FC00AF"/>
    <w:rsid w:val="00FC04BE"/>
    <w:rsid w:val="00FC04E8"/>
    <w:rsid w:val="00FC078F"/>
    <w:rsid w:val="00FC09FC"/>
    <w:rsid w:val="00FC0A8F"/>
    <w:rsid w:val="00FC0C6D"/>
    <w:rsid w:val="00FC1349"/>
    <w:rsid w:val="00FC155D"/>
    <w:rsid w:val="00FC1722"/>
    <w:rsid w:val="00FC18C5"/>
    <w:rsid w:val="00FC1C5B"/>
    <w:rsid w:val="00FC1C76"/>
    <w:rsid w:val="00FC1FA0"/>
    <w:rsid w:val="00FC22F0"/>
    <w:rsid w:val="00FC264D"/>
    <w:rsid w:val="00FC28AE"/>
    <w:rsid w:val="00FC2AA4"/>
    <w:rsid w:val="00FC2C9C"/>
    <w:rsid w:val="00FC3143"/>
    <w:rsid w:val="00FC330A"/>
    <w:rsid w:val="00FC390B"/>
    <w:rsid w:val="00FC3DC9"/>
    <w:rsid w:val="00FC3E8C"/>
    <w:rsid w:val="00FC3FA9"/>
    <w:rsid w:val="00FC4293"/>
    <w:rsid w:val="00FC42A7"/>
    <w:rsid w:val="00FC4B49"/>
    <w:rsid w:val="00FC5063"/>
    <w:rsid w:val="00FC521A"/>
    <w:rsid w:val="00FC530C"/>
    <w:rsid w:val="00FC54E1"/>
    <w:rsid w:val="00FC59C6"/>
    <w:rsid w:val="00FC5A35"/>
    <w:rsid w:val="00FC5C1D"/>
    <w:rsid w:val="00FC610A"/>
    <w:rsid w:val="00FC64D3"/>
    <w:rsid w:val="00FC6948"/>
    <w:rsid w:val="00FC69D5"/>
    <w:rsid w:val="00FC6B58"/>
    <w:rsid w:val="00FC6E61"/>
    <w:rsid w:val="00FC701E"/>
    <w:rsid w:val="00FC733E"/>
    <w:rsid w:val="00FC7385"/>
    <w:rsid w:val="00FC75B1"/>
    <w:rsid w:val="00FC7B09"/>
    <w:rsid w:val="00FC7BA1"/>
    <w:rsid w:val="00FC7DE9"/>
    <w:rsid w:val="00FD0395"/>
    <w:rsid w:val="00FD082A"/>
    <w:rsid w:val="00FD0958"/>
    <w:rsid w:val="00FD0B11"/>
    <w:rsid w:val="00FD0F72"/>
    <w:rsid w:val="00FD1270"/>
    <w:rsid w:val="00FD1A26"/>
    <w:rsid w:val="00FD1FF5"/>
    <w:rsid w:val="00FD2095"/>
    <w:rsid w:val="00FD2241"/>
    <w:rsid w:val="00FD2C67"/>
    <w:rsid w:val="00FD3475"/>
    <w:rsid w:val="00FD3623"/>
    <w:rsid w:val="00FD367E"/>
    <w:rsid w:val="00FD3A65"/>
    <w:rsid w:val="00FD3ABE"/>
    <w:rsid w:val="00FD3E53"/>
    <w:rsid w:val="00FD3EDC"/>
    <w:rsid w:val="00FD402B"/>
    <w:rsid w:val="00FD457D"/>
    <w:rsid w:val="00FD4B41"/>
    <w:rsid w:val="00FD5091"/>
    <w:rsid w:val="00FD5151"/>
    <w:rsid w:val="00FD545A"/>
    <w:rsid w:val="00FD56F4"/>
    <w:rsid w:val="00FD5D18"/>
    <w:rsid w:val="00FD610E"/>
    <w:rsid w:val="00FD6481"/>
    <w:rsid w:val="00FD666E"/>
    <w:rsid w:val="00FD6D07"/>
    <w:rsid w:val="00FD70A5"/>
    <w:rsid w:val="00FD7353"/>
    <w:rsid w:val="00FD74DC"/>
    <w:rsid w:val="00FD76FB"/>
    <w:rsid w:val="00FD7A30"/>
    <w:rsid w:val="00FD7B02"/>
    <w:rsid w:val="00FD7D73"/>
    <w:rsid w:val="00FD7DEA"/>
    <w:rsid w:val="00FE0160"/>
    <w:rsid w:val="00FE0224"/>
    <w:rsid w:val="00FE0E44"/>
    <w:rsid w:val="00FE12F6"/>
    <w:rsid w:val="00FE162F"/>
    <w:rsid w:val="00FE176B"/>
    <w:rsid w:val="00FE184A"/>
    <w:rsid w:val="00FE1D24"/>
    <w:rsid w:val="00FE2115"/>
    <w:rsid w:val="00FE22DD"/>
    <w:rsid w:val="00FE24FB"/>
    <w:rsid w:val="00FE2B00"/>
    <w:rsid w:val="00FE2E31"/>
    <w:rsid w:val="00FE34A7"/>
    <w:rsid w:val="00FE353E"/>
    <w:rsid w:val="00FE3AD6"/>
    <w:rsid w:val="00FE3B82"/>
    <w:rsid w:val="00FE3BD9"/>
    <w:rsid w:val="00FE451D"/>
    <w:rsid w:val="00FE4AEE"/>
    <w:rsid w:val="00FE4C2F"/>
    <w:rsid w:val="00FE4EAC"/>
    <w:rsid w:val="00FE4F39"/>
    <w:rsid w:val="00FE4F6A"/>
    <w:rsid w:val="00FE525C"/>
    <w:rsid w:val="00FE5280"/>
    <w:rsid w:val="00FE52E7"/>
    <w:rsid w:val="00FE582F"/>
    <w:rsid w:val="00FE5CA3"/>
    <w:rsid w:val="00FE5EBA"/>
    <w:rsid w:val="00FE5F46"/>
    <w:rsid w:val="00FE603B"/>
    <w:rsid w:val="00FE6306"/>
    <w:rsid w:val="00FE6356"/>
    <w:rsid w:val="00FE6710"/>
    <w:rsid w:val="00FE675A"/>
    <w:rsid w:val="00FE6AC0"/>
    <w:rsid w:val="00FE6ECD"/>
    <w:rsid w:val="00FE72F8"/>
    <w:rsid w:val="00FE79C7"/>
    <w:rsid w:val="00FE7B87"/>
    <w:rsid w:val="00FF00BC"/>
    <w:rsid w:val="00FF0141"/>
    <w:rsid w:val="00FF03AC"/>
    <w:rsid w:val="00FF0D06"/>
    <w:rsid w:val="00FF138A"/>
    <w:rsid w:val="00FF13AB"/>
    <w:rsid w:val="00FF15E4"/>
    <w:rsid w:val="00FF1683"/>
    <w:rsid w:val="00FF1A07"/>
    <w:rsid w:val="00FF1A6B"/>
    <w:rsid w:val="00FF2176"/>
    <w:rsid w:val="00FF2602"/>
    <w:rsid w:val="00FF267E"/>
    <w:rsid w:val="00FF293F"/>
    <w:rsid w:val="00FF3087"/>
    <w:rsid w:val="00FF37C5"/>
    <w:rsid w:val="00FF386E"/>
    <w:rsid w:val="00FF39A4"/>
    <w:rsid w:val="00FF3BA9"/>
    <w:rsid w:val="00FF4425"/>
    <w:rsid w:val="00FF475A"/>
    <w:rsid w:val="00FF47D3"/>
    <w:rsid w:val="00FF492C"/>
    <w:rsid w:val="00FF4BF5"/>
    <w:rsid w:val="00FF4F24"/>
    <w:rsid w:val="00FF4F9D"/>
    <w:rsid w:val="00FF5584"/>
    <w:rsid w:val="00FF582F"/>
    <w:rsid w:val="00FF693E"/>
    <w:rsid w:val="00FF69E4"/>
    <w:rsid w:val="00FF6C88"/>
    <w:rsid w:val="00FF6D05"/>
    <w:rsid w:val="00FF740F"/>
    <w:rsid w:val="00FF78B1"/>
    <w:rsid w:val="00FF7C7B"/>
    <w:rsid w:val="00FF7E9D"/>
    <w:rsid w:val="01022A96"/>
    <w:rsid w:val="0102EEB8"/>
    <w:rsid w:val="01032B21"/>
    <w:rsid w:val="0104FBC1"/>
    <w:rsid w:val="010A8FF7"/>
    <w:rsid w:val="010D7501"/>
    <w:rsid w:val="010E2153"/>
    <w:rsid w:val="0113D941"/>
    <w:rsid w:val="0118D508"/>
    <w:rsid w:val="01203E3D"/>
    <w:rsid w:val="0121A449"/>
    <w:rsid w:val="0129319F"/>
    <w:rsid w:val="012E65CC"/>
    <w:rsid w:val="0130D79A"/>
    <w:rsid w:val="013728CE"/>
    <w:rsid w:val="013DDA60"/>
    <w:rsid w:val="013FC72A"/>
    <w:rsid w:val="0147370C"/>
    <w:rsid w:val="014A8D27"/>
    <w:rsid w:val="015950B6"/>
    <w:rsid w:val="015CA653"/>
    <w:rsid w:val="01628FCB"/>
    <w:rsid w:val="0164ED9C"/>
    <w:rsid w:val="01678C23"/>
    <w:rsid w:val="016BAFD6"/>
    <w:rsid w:val="017A5A34"/>
    <w:rsid w:val="017B0A71"/>
    <w:rsid w:val="017CD800"/>
    <w:rsid w:val="017E14F2"/>
    <w:rsid w:val="017E4FC8"/>
    <w:rsid w:val="017FD33B"/>
    <w:rsid w:val="018AEA91"/>
    <w:rsid w:val="01900689"/>
    <w:rsid w:val="0192D38C"/>
    <w:rsid w:val="019E1EA0"/>
    <w:rsid w:val="019FA248"/>
    <w:rsid w:val="01A133AF"/>
    <w:rsid w:val="01A45478"/>
    <w:rsid w:val="01A72E83"/>
    <w:rsid w:val="01A95339"/>
    <w:rsid w:val="01AE977C"/>
    <w:rsid w:val="01B90EF8"/>
    <w:rsid w:val="01C14EF4"/>
    <w:rsid w:val="01C1E4B6"/>
    <w:rsid w:val="01C5F32D"/>
    <w:rsid w:val="01CA6350"/>
    <w:rsid w:val="01CB5274"/>
    <w:rsid w:val="01CB7478"/>
    <w:rsid w:val="01CBFAB4"/>
    <w:rsid w:val="01D57F0A"/>
    <w:rsid w:val="01D8C657"/>
    <w:rsid w:val="01DE02AC"/>
    <w:rsid w:val="01DF4257"/>
    <w:rsid w:val="01E24B00"/>
    <w:rsid w:val="01E82C54"/>
    <w:rsid w:val="01E85360"/>
    <w:rsid w:val="01F0BA82"/>
    <w:rsid w:val="01F48484"/>
    <w:rsid w:val="01F50841"/>
    <w:rsid w:val="01F859E5"/>
    <w:rsid w:val="01FA14A6"/>
    <w:rsid w:val="0204FDE4"/>
    <w:rsid w:val="020956F6"/>
    <w:rsid w:val="020DB369"/>
    <w:rsid w:val="02103F44"/>
    <w:rsid w:val="02144E7A"/>
    <w:rsid w:val="0218980F"/>
    <w:rsid w:val="021CB012"/>
    <w:rsid w:val="02222F52"/>
    <w:rsid w:val="02252F6C"/>
    <w:rsid w:val="0228ABA5"/>
    <w:rsid w:val="022C92CF"/>
    <w:rsid w:val="0230F720"/>
    <w:rsid w:val="02384CEB"/>
    <w:rsid w:val="023CB22A"/>
    <w:rsid w:val="023FDC39"/>
    <w:rsid w:val="0244EF90"/>
    <w:rsid w:val="0245FA91"/>
    <w:rsid w:val="024CF403"/>
    <w:rsid w:val="024E33EB"/>
    <w:rsid w:val="025388DD"/>
    <w:rsid w:val="025998B5"/>
    <w:rsid w:val="0262BAAE"/>
    <w:rsid w:val="02723B3E"/>
    <w:rsid w:val="027562B2"/>
    <w:rsid w:val="027562DF"/>
    <w:rsid w:val="0278054D"/>
    <w:rsid w:val="027FDD3F"/>
    <w:rsid w:val="02810D54"/>
    <w:rsid w:val="02885DEE"/>
    <w:rsid w:val="0288E832"/>
    <w:rsid w:val="02897B0B"/>
    <w:rsid w:val="02919408"/>
    <w:rsid w:val="0292877A"/>
    <w:rsid w:val="029B2671"/>
    <w:rsid w:val="02A0E640"/>
    <w:rsid w:val="02A9830C"/>
    <w:rsid w:val="02B581FF"/>
    <w:rsid w:val="02B58BFC"/>
    <w:rsid w:val="02B7EF12"/>
    <w:rsid w:val="02BC5ED1"/>
    <w:rsid w:val="02C427B0"/>
    <w:rsid w:val="02C78CBC"/>
    <w:rsid w:val="02CD44B3"/>
    <w:rsid w:val="02D0C68B"/>
    <w:rsid w:val="02D483AD"/>
    <w:rsid w:val="02D5E85A"/>
    <w:rsid w:val="02DE4F51"/>
    <w:rsid w:val="02DF3051"/>
    <w:rsid w:val="02E1EA5B"/>
    <w:rsid w:val="02E1F0A1"/>
    <w:rsid w:val="02E69365"/>
    <w:rsid w:val="02EC4D9D"/>
    <w:rsid w:val="02EF2137"/>
    <w:rsid w:val="03005CF8"/>
    <w:rsid w:val="030068E2"/>
    <w:rsid w:val="0305E1CA"/>
    <w:rsid w:val="0307D792"/>
    <w:rsid w:val="0308835B"/>
    <w:rsid w:val="0308C39E"/>
    <w:rsid w:val="03122EA7"/>
    <w:rsid w:val="031F4A99"/>
    <w:rsid w:val="0321AE5F"/>
    <w:rsid w:val="0328CBDC"/>
    <w:rsid w:val="032D20FC"/>
    <w:rsid w:val="032F0BE1"/>
    <w:rsid w:val="0336AD88"/>
    <w:rsid w:val="0337EBE4"/>
    <w:rsid w:val="0344193D"/>
    <w:rsid w:val="03472458"/>
    <w:rsid w:val="034B2819"/>
    <w:rsid w:val="034FF86E"/>
    <w:rsid w:val="035062F2"/>
    <w:rsid w:val="03554FBB"/>
    <w:rsid w:val="035B8D46"/>
    <w:rsid w:val="0364D8C4"/>
    <w:rsid w:val="036A451A"/>
    <w:rsid w:val="036B432A"/>
    <w:rsid w:val="036F5A35"/>
    <w:rsid w:val="0373E1B8"/>
    <w:rsid w:val="037C703E"/>
    <w:rsid w:val="03802745"/>
    <w:rsid w:val="0387A94D"/>
    <w:rsid w:val="0389906F"/>
    <w:rsid w:val="0389AEE8"/>
    <w:rsid w:val="038BC653"/>
    <w:rsid w:val="0398DEF7"/>
    <w:rsid w:val="039B144B"/>
    <w:rsid w:val="039E6F6F"/>
    <w:rsid w:val="039EA6C5"/>
    <w:rsid w:val="039FE4DF"/>
    <w:rsid w:val="03A5793C"/>
    <w:rsid w:val="03A92393"/>
    <w:rsid w:val="03AA657B"/>
    <w:rsid w:val="03AA760B"/>
    <w:rsid w:val="03ABD333"/>
    <w:rsid w:val="03ACB210"/>
    <w:rsid w:val="03B75FDE"/>
    <w:rsid w:val="03BE41FB"/>
    <w:rsid w:val="03C2E1B6"/>
    <w:rsid w:val="03C72FD6"/>
    <w:rsid w:val="03C93BA5"/>
    <w:rsid w:val="03CAFBF5"/>
    <w:rsid w:val="03CD785A"/>
    <w:rsid w:val="03D05E16"/>
    <w:rsid w:val="03DA0CC1"/>
    <w:rsid w:val="03DDF019"/>
    <w:rsid w:val="03E28B7E"/>
    <w:rsid w:val="03E2AC46"/>
    <w:rsid w:val="03E64459"/>
    <w:rsid w:val="03E7099C"/>
    <w:rsid w:val="03EC0190"/>
    <w:rsid w:val="03EC23A8"/>
    <w:rsid w:val="03EF6938"/>
    <w:rsid w:val="03FC4C2F"/>
    <w:rsid w:val="03FCE225"/>
    <w:rsid w:val="04077D0C"/>
    <w:rsid w:val="0413B489"/>
    <w:rsid w:val="041A0657"/>
    <w:rsid w:val="04239B50"/>
    <w:rsid w:val="0425D889"/>
    <w:rsid w:val="0428222A"/>
    <w:rsid w:val="0432AA5E"/>
    <w:rsid w:val="04336C90"/>
    <w:rsid w:val="043BC57A"/>
    <w:rsid w:val="043C83D0"/>
    <w:rsid w:val="043DAAF6"/>
    <w:rsid w:val="043DEB90"/>
    <w:rsid w:val="043E6DB2"/>
    <w:rsid w:val="04438849"/>
    <w:rsid w:val="04494A96"/>
    <w:rsid w:val="0464F933"/>
    <w:rsid w:val="047673E4"/>
    <w:rsid w:val="04776973"/>
    <w:rsid w:val="04819C8E"/>
    <w:rsid w:val="04898A14"/>
    <w:rsid w:val="0489A837"/>
    <w:rsid w:val="0492F789"/>
    <w:rsid w:val="0496EB07"/>
    <w:rsid w:val="04B04F1D"/>
    <w:rsid w:val="04B2DF1B"/>
    <w:rsid w:val="04C31106"/>
    <w:rsid w:val="04DAE967"/>
    <w:rsid w:val="04DDEB47"/>
    <w:rsid w:val="04E9B000"/>
    <w:rsid w:val="04EB040B"/>
    <w:rsid w:val="04EC14BF"/>
    <w:rsid w:val="04EE3DEB"/>
    <w:rsid w:val="04EF6A5E"/>
    <w:rsid w:val="04F7AAF1"/>
    <w:rsid w:val="050917C9"/>
    <w:rsid w:val="0516B25D"/>
    <w:rsid w:val="0526A72E"/>
    <w:rsid w:val="052B537A"/>
    <w:rsid w:val="052EF30D"/>
    <w:rsid w:val="05319782"/>
    <w:rsid w:val="05351755"/>
    <w:rsid w:val="0536154B"/>
    <w:rsid w:val="053AA8D2"/>
    <w:rsid w:val="053B8246"/>
    <w:rsid w:val="053FD2AA"/>
    <w:rsid w:val="0543383B"/>
    <w:rsid w:val="054485C0"/>
    <w:rsid w:val="05473AA3"/>
    <w:rsid w:val="05495A6B"/>
    <w:rsid w:val="054C2CC0"/>
    <w:rsid w:val="054E4B02"/>
    <w:rsid w:val="054F78E2"/>
    <w:rsid w:val="0550F553"/>
    <w:rsid w:val="055AAB70"/>
    <w:rsid w:val="05615133"/>
    <w:rsid w:val="056B8E94"/>
    <w:rsid w:val="056D53F3"/>
    <w:rsid w:val="0572AB76"/>
    <w:rsid w:val="0572FBFA"/>
    <w:rsid w:val="057E6080"/>
    <w:rsid w:val="0588499A"/>
    <w:rsid w:val="0588BB74"/>
    <w:rsid w:val="058B9544"/>
    <w:rsid w:val="058C00C8"/>
    <w:rsid w:val="058CB2C0"/>
    <w:rsid w:val="0591494A"/>
    <w:rsid w:val="05951E7E"/>
    <w:rsid w:val="05A2ABF3"/>
    <w:rsid w:val="05A690A6"/>
    <w:rsid w:val="05ABD9C8"/>
    <w:rsid w:val="05AC7A7E"/>
    <w:rsid w:val="05ADF5F9"/>
    <w:rsid w:val="05B3099E"/>
    <w:rsid w:val="05B73CE9"/>
    <w:rsid w:val="05BE37B1"/>
    <w:rsid w:val="05BE52E5"/>
    <w:rsid w:val="05BFF8BA"/>
    <w:rsid w:val="05C61615"/>
    <w:rsid w:val="05C87B09"/>
    <w:rsid w:val="05C8B186"/>
    <w:rsid w:val="05CEAFB2"/>
    <w:rsid w:val="05D6B100"/>
    <w:rsid w:val="05D90976"/>
    <w:rsid w:val="05E048B3"/>
    <w:rsid w:val="05EDCB10"/>
    <w:rsid w:val="05F03AEE"/>
    <w:rsid w:val="05F31C0C"/>
    <w:rsid w:val="05F42C90"/>
    <w:rsid w:val="05F9751C"/>
    <w:rsid w:val="05FB3C8D"/>
    <w:rsid w:val="060456E3"/>
    <w:rsid w:val="0606BD07"/>
    <w:rsid w:val="0608D511"/>
    <w:rsid w:val="0609D9B4"/>
    <w:rsid w:val="061038C6"/>
    <w:rsid w:val="06139937"/>
    <w:rsid w:val="06165DA6"/>
    <w:rsid w:val="0628B41C"/>
    <w:rsid w:val="062E9FB3"/>
    <w:rsid w:val="063155A2"/>
    <w:rsid w:val="06371DB2"/>
    <w:rsid w:val="0639FDB2"/>
    <w:rsid w:val="0644D348"/>
    <w:rsid w:val="0647D99C"/>
    <w:rsid w:val="0652B6F7"/>
    <w:rsid w:val="065AA119"/>
    <w:rsid w:val="065E50FD"/>
    <w:rsid w:val="066269A3"/>
    <w:rsid w:val="0662A04F"/>
    <w:rsid w:val="0664E7F8"/>
    <w:rsid w:val="06692F56"/>
    <w:rsid w:val="067162BD"/>
    <w:rsid w:val="06718FC3"/>
    <w:rsid w:val="0679F53A"/>
    <w:rsid w:val="067A00AC"/>
    <w:rsid w:val="067A47EA"/>
    <w:rsid w:val="068DC521"/>
    <w:rsid w:val="06900560"/>
    <w:rsid w:val="069C6D1C"/>
    <w:rsid w:val="06AA11D9"/>
    <w:rsid w:val="06AD1A72"/>
    <w:rsid w:val="06AD4805"/>
    <w:rsid w:val="06AFCEF9"/>
    <w:rsid w:val="06B33928"/>
    <w:rsid w:val="06B349EA"/>
    <w:rsid w:val="06B52787"/>
    <w:rsid w:val="06B62ACA"/>
    <w:rsid w:val="06C23399"/>
    <w:rsid w:val="06D17D15"/>
    <w:rsid w:val="06D907C8"/>
    <w:rsid w:val="06E0BA29"/>
    <w:rsid w:val="06E19894"/>
    <w:rsid w:val="06EC7873"/>
    <w:rsid w:val="06ED6581"/>
    <w:rsid w:val="06F762E2"/>
    <w:rsid w:val="06FC7C58"/>
    <w:rsid w:val="06FE60F3"/>
    <w:rsid w:val="06FFBF11"/>
    <w:rsid w:val="07072C47"/>
    <w:rsid w:val="070D5070"/>
    <w:rsid w:val="070EAE73"/>
    <w:rsid w:val="070EE57F"/>
    <w:rsid w:val="071A58A4"/>
    <w:rsid w:val="071DFCFF"/>
    <w:rsid w:val="071E3A14"/>
    <w:rsid w:val="072174F6"/>
    <w:rsid w:val="0723FAFC"/>
    <w:rsid w:val="0739E997"/>
    <w:rsid w:val="073AB314"/>
    <w:rsid w:val="074723C5"/>
    <w:rsid w:val="07472984"/>
    <w:rsid w:val="074DA2B4"/>
    <w:rsid w:val="0751E935"/>
    <w:rsid w:val="0755675C"/>
    <w:rsid w:val="0758E0C3"/>
    <w:rsid w:val="075DF401"/>
    <w:rsid w:val="075E3EF1"/>
    <w:rsid w:val="076658BB"/>
    <w:rsid w:val="077CF42F"/>
    <w:rsid w:val="0782126F"/>
    <w:rsid w:val="0782666D"/>
    <w:rsid w:val="078A450A"/>
    <w:rsid w:val="078EA9F3"/>
    <w:rsid w:val="0792D1B3"/>
    <w:rsid w:val="07A55E00"/>
    <w:rsid w:val="07A568E0"/>
    <w:rsid w:val="07AE9553"/>
    <w:rsid w:val="07AFD326"/>
    <w:rsid w:val="07B2A2CE"/>
    <w:rsid w:val="07BA29ED"/>
    <w:rsid w:val="07BCC5D1"/>
    <w:rsid w:val="07C2ABA8"/>
    <w:rsid w:val="07C31839"/>
    <w:rsid w:val="07C607E4"/>
    <w:rsid w:val="07C9671B"/>
    <w:rsid w:val="07CA9C76"/>
    <w:rsid w:val="07CFAACC"/>
    <w:rsid w:val="07D25BA4"/>
    <w:rsid w:val="07D4FA21"/>
    <w:rsid w:val="07D5F719"/>
    <w:rsid w:val="07DAEAC9"/>
    <w:rsid w:val="07E1347B"/>
    <w:rsid w:val="07E1DA15"/>
    <w:rsid w:val="07E1F59B"/>
    <w:rsid w:val="07F0EB18"/>
    <w:rsid w:val="07F3FB77"/>
    <w:rsid w:val="07F66B63"/>
    <w:rsid w:val="07FFB8CD"/>
    <w:rsid w:val="080219BB"/>
    <w:rsid w:val="080468B6"/>
    <w:rsid w:val="0805AB3A"/>
    <w:rsid w:val="08075F42"/>
    <w:rsid w:val="0810AE92"/>
    <w:rsid w:val="08137CB5"/>
    <w:rsid w:val="081E72D3"/>
    <w:rsid w:val="0824102F"/>
    <w:rsid w:val="08242145"/>
    <w:rsid w:val="0826DA3A"/>
    <w:rsid w:val="082EABE0"/>
    <w:rsid w:val="0831D0F4"/>
    <w:rsid w:val="0832C05C"/>
    <w:rsid w:val="0832DC6F"/>
    <w:rsid w:val="08404985"/>
    <w:rsid w:val="08461AE5"/>
    <w:rsid w:val="085154A6"/>
    <w:rsid w:val="0856CE7D"/>
    <w:rsid w:val="08601599"/>
    <w:rsid w:val="0868C4B4"/>
    <w:rsid w:val="086D2694"/>
    <w:rsid w:val="087117FC"/>
    <w:rsid w:val="08782814"/>
    <w:rsid w:val="087A0AAE"/>
    <w:rsid w:val="08845DBE"/>
    <w:rsid w:val="08954574"/>
    <w:rsid w:val="08B50F45"/>
    <w:rsid w:val="08B8D882"/>
    <w:rsid w:val="08DEA5E2"/>
    <w:rsid w:val="08E36D17"/>
    <w:rsid w:val="08E76B06"/>
    <w:rsid w:val="08EEC97C"/>
    <w:rsid w:val="08F2C2CC"/>
    <w:rsid w:val="08F7D4A5"/>
    <w:rsid w:val="08FBC787"/>
    <w:rsid w:val="08FE9E9E"/>
    <w:rsid w:val="09015669"/>
    <w:rsid w:val="09024CA1"/>
    <w:rsid w:val="0903F9CF"/>
    <w:rsid w:val="090D8DCA"/>
    <w:rsid w:val="09118FFE"/>
    <w:rsid w:val="09286E41"/>
    <w:rsid w:val="092B7CA9"/>
    <w:rsid w:val="09403B79"/>
    <w:rsid w:val="0942A3EA"/>
    <w:rsid w:val="0943D2DA"/>
    <w:rsid w:val="09464E2B"/>
    <w:rsid w:val="094A1BC7"/>
    <w:rsid w:val="095A735B"/>
    <w:rsid w:val="095E89D0"/>
    <w:rsid w:val="095E8B3F"/>
    <w:rsid w:val="095F1BC7"/>
    <w:rsid w:val="096CFF82"/>
    <w:rsid w:val="096D0EB2"/>
    <w:rsid w:val="097284F9"/>
    <w:rsid w:val="0978AA3F"/>
    <w:rsid w:val="097D69ED"/>
    <w:rsid w:val="0982D787"/>
    <w:rsid w:val="0987869E"/>
    <w:rsid w:val="09896300"/>
    <w:rsid w:val="098ADEC9"/>
    <w:rsid w:val="098D4873"/>
    <w:rsid w:val="098F32DC"/>
    <w:rsid w:val="099A9317"/>
    <w:rsid w:val="099F964E"/>
    <w:rsid w:val="09A073F1"/>
    <w:rsid w:val="09AC12C3"/>
    <w:rsid w:val="09BE526C"/>
    <w:rsid w:val="09CCC023"/>
    <w:rsid w:val="09CD3B91"/>
    <w:rsid w:val="09D1544B"/>
    <w:rsid w:val="09D4218F"/>
    <w:rsid w:val="09D6B7C3"/>
    <w:rsid w:val="09D8A308"/>
    <w:rsid w:val="09DB9EA2"/>
    <w:rsid w:val="09E515E6"/>
    <w:rsid w:val="09EF986C"/>
    <w:rsid w:val="0A0101A7"/>
    <w:rsid w:val="0A0508A5"/>
    <w:rsid w:val="0A0B7A8A"/>
    <w:rsid w:val="0A0F7A6D"/>
    <w:rsid w:val="0A0FEA14"/>
    <w:rsid w:val="0A1CD73E"/>
    <w:rsid w:val="0A20BC7B"/>
    <w:rsid w:val="0A2B443D"/>
    <w:rsid w:val="0A2F4F04"/>
    <w:rsid w:val="0A3324F1"/>
    <w:rsid w:val="0A37EEA8"/>
    <w:rsid w:val="0A38C2C1"/>
    <w:rsid w:val="0A4096B2"/>
    <w:rsid w:val="0A41039E"/>
    <w:rsid w:val="0A52152E"/>
    <w:rsid w:val="0A58EB15"/>
    <w:rsid w:val="0A5B270D"/>
    <w:rsid w:val="0A5E05C7"/>
    <w:rsid w:val="0A5F7B46"/>
    <w:rsid w:val="0A65ED7D"/>
    <w:rsid w:val="0A6CF5C3"/>
    <w:rsid w:val="0A7522B8"/>
    <w:rsid w:val="0A8206A4"/>
    <w:rsid w:val="0A853C7C"/>
    <w:rsid w:val="0A8634E7"/>
    <w:rsid w:val="0A8AF6FD"/>
    <w:rsid w:val="0A8F776C"/>
    <w:rsid w:val="0A98E713"/>
    <w:rsid w:val="0AA3E3F0"/>
    <w:rsid w:val="0AA42E19"/>
    <w:rsid w:val="0AB9E06F"/>
    <w:rsid w:val="0ABD1188"/>
    <w:rsid w:val="0AC1FBC5"/>
    <w:rsid w:val="0ACB63BE"/>
    <w:rsid w:val="0ACD6F6C"/>
    <w:rsid w:val="0ACF0BFD"/>
    <w:rsid w:val="0AD0C881"/>
    <w:rsid w:val="0AD26F26"/>
    <w:rsid w:val="0AD8FD05"/>
    <w:rsid w:val="0ADDDE11"/>
    <w:rsid w:val="0AE1220F"/>
    <w:rsid w:val="0AFA331C"/>
    <w:rsid w:val="0AFA57EC"/>
    <w:rsid w:val="0AFCCA02"/>
    <w:rsid w:val="0B0295A8"/>
    <w:rsid w:val="0B1DD235"/>
    <w:rsid w:val="0B213D17"/>
    <w:rsid w:val="0B243B6F"/>
    <w:rsid w:val="0B24B3A6"/>
    <w:rsid w:val="0B250C9D"/>
    <w:rsid w:val="0B2866EF"/>
    <w:rsid w:val="0B2D03C9"/>
    <w:rsid w:val="0B2D94BF"/>
    <w:rsid w:val="0B3A7A8D"/>
    <w:rsid w:val="0B4FAD96"/>
    <w:rsid w:val="0B528229"/>
    <w:rsid w:val="0B54C085"/>
    <w:rsid w:val="0B55D2B8"/>
    <w:rsid w:val="0B5A27AB"/>
    <w:rsid w:val="0B5BF7E2"/>
    <w:rsid w:val="0B6305C1"/>
    <w:rsid w:val="0B654513"/>
    <w:rsid w:val="0B6859AD"/>
    <w:rsid w:val="0B7FFFCF"/>
    <w:rsid w:val="0B80743D"/>
    <w:rsid w:val="0B80B70D"/>
    <w:rsid w:val="0B816E4D"/>
    <w:rsid w:val="0B8522DB"/>
    <w:rsid w:val="0B874A6D"/>
    <w:rsid w:val="0B8DA82F"/>
    <w:rsid w:val="0B93D4EC"/>
    <w:rsid w:val="0B968F29"/>
    <w:rsid w:val="0B98EE7F"/>
    <w:rsid w:val="0B9E397F"/>
    <w:rsid w:val="0BA0BAE8"/>
    <w:rsid w:val="0BAC6EEB"/>
    <w:rsid w:val="0BB29097"/>
    <w:rsid w:val="0BC9599C"/>
    <w:rsid w:val="0BC9A0A3"/>
    <w:rsid w:val="0BCCBCE8"/>
    <w:rsid w:val="0BD49573"/>
    <w:rsid w:val="0BD5BFC6"/>
    <w:rsid w:val="0BD7A5A9"/>
    <w:rsid w:val="0BDC10FA"/>
    <w:rsid w:val="0BDC397D"/>
    <w:rsid w:val="0BDCBB38"/>
    <w:rsid w:val="0BDE375D"/>
    <w:rsid w:val="0BDFAA3F"/>
    <w:rsid w:val="0BE7D3E8"/>
    <w:rsid w:val="0BF39CFB"/>
    <w:rsid w:val="0BF59DB0"/>
    <w:rsid w:val="0BF672A3"/>
    <w:rsid w:val="0BFAA766"/>
    <w:rsid w:val="0C06C758"/>
    <w:rsid w:val="0C07A928"/>
    <w:rsid w:val="0C07BA65"/>
    <w:rsid w:val="0C0F1FA2"/>
    <w:rsid w:val="0C110CCB"/>
    <w:rsid w:val="0C2209AA"/>
    <w:rsid w:val="0C22D318"/>
    <w:rsid w:val="0C28A6B4"/>
    <w:rsid w:val="0C293080"/>
    <w:rsid w:val="0C298C82"/>
    <w:rsid w:val="0C319711"/>
    <w:rsid w:val="0C31B398"/>
    <w:rsid w:val="0C3262A2"/>
    <w:rsid w:val="0C355109"/>
    <w:rsid w:val="0C37C733"/>
    <w:rsid w:val="0C3F1F7C"/>
    <w:rsid w:val="0C43B864"/>
    <w:rsid w:val="0C45BAF0"/>
    <w:rsid w:val="0C4724AA"/>
    <w:rsid w:val="0C55D2D8"/>
    <w:rsid w:val="0C59188A"/>
    <w:rsid w:val="0C5F9085"/>
    <w:rsid w:val="0C643B9D"/>
    <w:rsid w:val="0C659BE7"/>
    <w:rsid w:val="0C6ADC0F"/>
    <w:rsid w:val="0C8E4580"/>
    <w:rsid w:val="0C8E54E0"/>
    <w:rsid w:val="0C9564B8"/>
    <w:rsid w:val="0CA43EDC"/>
    <w:rsid w:val="0CA4F7C4"/>
    <w:rsid w:val="0CA54EC9"/>
    <w:rsid w:val="0CA864B7"/>
    <w:rsid w:val="0CA9EEC2"/>
    <w:rsid w:val="0CADD78D"/>
    <w:rsid w:val="0CAEA221"/>
    <w:rsid w:val="0CB13410"/>
    <w:rsid w:val="0CB56828"/>
    <w:rsid w:val="0CB5FDF8"/>
    <w:rsid w:val="0CBAB75D"/>
    <w:rsid w:val="0CC304C0"/>
    <w:rsid w:val="0CC93249"/>
    <w:rsid w:val="0CD05673"/>
    <w:rsid w:val="0CD5F155"/>
    <w:rsid w:val="0CD7915A"/>
    <w:rsid w:val="0CD91F9D"/>
    <w:rsid w:val="0CDAC0A3"/>
    <w:rsid w:val="0CDF4B0C"/>
    <w:rsid w:val="0CE19D19"/>
    <w:rsid w:val="0CED557B"/>
    <w:rsid w:val="0CF2122C"/>
    <w:rsid w:val="0CF8E3A0"/>
    <w:rsid w:val="0CFAE57E"/>
    <w:rsid w:val="0D04DAF9"/>
    <w:rsid w:val="0D15AC91"/>
    <w:rsid w:val="0D161D23"/>
    <w:rsid w:val="0D1A1D69"/>
    <w:rsid w:val="0D1E3AC1"/>
    <w:rsid w:val="0D209D93"/>
    <w:rsid w:val="0D275A66"/>
    <w:rsid w:val="0D2EE97C"/>
    <w:rsid w:val="0D308645"/>
    <w:rsid w:val="0D33E888"/>
    <w:rsid w:val="0D36A057"/>
    <w:rsid w:val="0D36D70E"/>
    <w:rsid w:val="0D392C05"/>
    <w:rsid w:val="0D3CA967"/>
    <w:rsid w:val="0D43B7E1"/>
    <w:rsid w:val="0D4B7B70"/>
    <w:rsid w:val="0D50051B"/>
    <w:rsid w:val="0D50BD33"/>
    <w:rsid w:val="0D512BD0"/>
    <w:rsid w:val="0D516C16"/>
    <w:rsid w:val="0D540AA3"/>
    <w:rsid w:val="0D5CB71C"/>
    <w:rsid w:val="0D7016BE"/>
    <w:rsid w:val="0D819FCB"/>
    <w:rsid w:val="0D81C322"/>
    <w:rsid w:val="0D860328"/>
    <w:rsid w:val="0D8C2B81"/>
    <w:rsid w:val="0D9044B4"/>
    <w:rsid w:val="0D93675F"/>
    <w:rsid w:val="0D966B62"/>
    <w:rsid w:val="0D9B4F30"/>
    <w:rsid w:val="0DA26217"/>
    <w:rsid w:val="0DA6E9C9"/>
    <w:rsid w:val="0DAAF514"/>
    <w:rsid w:val="0DAB890A"/>
    <w:rsid w:val="0DABE5D9"/>
    <w:rsid w:val="0DB3ED9E"/>
    <w:rsid w:val="0DB4B40D"/>
    <w:rsid w:val="0DBA5226"/>
    <w:rsid w:val="0DBEF0EC"/>
    <w:rsid w:val="0DC5C6B4"/>
    <w:rsid w:val="0DC9BB03"/>
    <w:rsid w:val="0DCA7D6C"/>
    <w:rsid w:val="0DCEB646"/>
    <w:rsid w:val="0DD2F694"/>
    <w:rsid w:val="0DD46546"/>
    <w:rsid w:val="0DD6C302"/>
    <w:rsid w:val="0DD853C8"/>
    <w:rsid w:val="0DDA7254"/>
    <w:rsid w:val="0DDD4FF7"/>
    <w:rsid w:val="0DDF88C5"/>
    <w:rsid w:val="0DF5D6F7"/>
    <w:rsid w:val="0DF7C8FA"/>
    <w:rsid w:val="0DFC359D"/>
    <w:rsid w:val="0DFE76AF"/>
    <w:rsid w:val="0DFF0EF3"/>
    <w:rsid w:val="0E070EE8"/>
    <w:rsid w:val="0E0BE040"/>
    <w:rsid w:val="0E0D8477"/>
    <w:rsid w:val="0E0DB267"/>
    <w:rsid w:val="0E0E86F1"/>
    <w:rsid w:val="0E11D6D9"/>
    <w:rsid w:val="0E1291C9"/>
    <w:rsid w:val="0E1499FA"/>
    <w:rsid w:val="0E162901"/>
    <w:rsid w:val="0E199F6B"/>
    <w:rsid w:val="0E1CA26F"/>
    <w:rsid w:val="0E1EF729"/>
    <w:rsid w:val="0E2A99D2"/>
    <w:rsid w:val="0E2E2C88"/>
    <w:rsid w:val="0E353A05"/>
    <w:rsid w:val="0E3A6F31"/>
    <w:rsid w:val="0E409A8C"/>
    <w:rsid w:val="0E40FA09"/>
    <w:rsid w:val="0E4828CB"/>
    <w:rsid w:val="0E492EE9"/>
    <w:rsid w:val="0E493EF3"/>
    <w:rsid w:val="0E6737D0"/>
    <w:rsid w:val="0E6B213E"/>
    <w:rsid w:val="0E6DAF7D"/>
    <w:rsid w:val="0E7016EC"/>
    <w:rsid w:val="0E70A629"/>
    <w:rsid w:val="0E711957"/>
    <w:rsid w:val="0E7192DB"/>
    <w:rsid w:val="0E72A9C3"/>
    <w:rsid w:val="0E794423"/>
    <w:rsid w:val="0E79BF42"/>
    <w:rsid w:val="0E7B4DD8"/>
    <w:rsid w:val="0E7CA85B"/>
    <w:rsid w:val="0E837C36"/>
    <w:rsid w:val="0E8B0E95"/>
    <w:rsid w:val="0EA2E442"/>
    <w:rsid w:val="0EA70B65"/>
    <w:rsid w:val="0EAD9A06"/>
    <w:rsid w:val="0EADB944"/>
    <w:rsid w:val="0EAF920C"/>
    <w:rsid w:val="0EB032B8"/>
    <w:rsid w:val="0EB070C1"/>
    <w:rsid w:val="0EB493BC"/>
    <w:rsid w:val="0EB9133E"/>
    <w:rsid w:val="0EBDC7EF"/>
    <w:rsid w:val="0EC1CD3D"/>
    <w:rsid w:val="0EC21B4F"/>
    <w:rsid w:val="0ED7446D"/>
    <w:rsid w:val="0EDF2AF8"/>
    <w:rsid w:val="0EE59202"/>
    <w:rsid w:val="0EE5C748"/>
    <w:rsid w:val="0EF70E64"/>
    <w:rsid w:val="0EFA4F81"/>
    <w:rsid w:val="0F036D6D"/>
    <w:rsid w:val="0F0856FD"/>
    <w:rsid w:val="0F0FB4F8"/>
    <w:rsid w:val="0F10F270"/>
    <w:rsid w:val="0F124EF0"/>
    <w:rsid w:val="0F1AF978"/>
    <w:rsid w:val="0F1F1B5D"/>
    <w:rsid w:val="0F218248"/>
    <w:rsid w:val="0F25FC0B"/>
    <w:rsid w:val="0F267CBC"/>
    <w:rsid w:val="0F290463"/>
    <w:rsid w:val="0F296E41"/>
    <w:rsid w:val="0F2EE5CC"/>
    <w:rsid w:val="0F30F7CD"/>
    <w:rsid w:val="0F3210D5"/>
    <w:rsid w:val="0F322219"/>
    <w:rsid w:val="0F3D1261"/>
    <w:rsid w:val="0F3E9447"/>
    <w:rsid w:val="0F423121"/>
    <w:rsid w:val="0F4B6299"/>
    <w:rsid w:val="0F4DFA92"/>
    <w:rsid w:val="0F5004DB"/>
    <w:rsid w:val="0F529B39"/>
    <w:rsid w:val="0F5C08A6"/>
    <w:rsid w:val="0F5E6047"/>
    <w:rsid w:val="0F5F5DCD"/>
    <w:rsid w:val="0F65495B"/>
    <w:rsid w:val="0F6EE89E"/>
    <w:rsid w:val="0F7347C7"/>
    <w:rsid w:val="0F7A2659"/>
    <w:rsid w:val="0F7B5926"/>
    <w:rsid w:val="0F81C033"/>
    <w:rsid w:val="0F87CEA0"/>
    <w:rsid w:val="0F8E03EC"/>
    <w:rsid w:val="0F98FB9B"/>
    <w:rsid w:val="0FA262A8"/>
    <w:rsid w:val="0FA44630"/>
    <w:rsid w:val="0FAC5647"/>
    <w:rsid w:val="0FAEA95D"/>
    <w:rsid w:val="0FB0FE15"/>
    <w:rsid w:val="0FB274F1"/>
    <w:rsid w:val="0FB52985"/>
    <w:rsid w:val="0FBD834A"/>
    <w:rsid w:val="0FCED9DC"/>
    <w:rsid w:val="0FD591C5"/>
    <w:rsid w:val="0FD5FB0E"/>
    <w:rsid w:val="0FD88569"/>
    <w:rsid w:val="0FE690FB"/>
    <w:rsid w:val="0FEC8D13"/>
    <w:rsid w:val="0FECEF38"/>
    <w:rsid w:val="0FED08EA"/>
    <w:rsid w:val="0FF2D6AF"/>
    <w:rsid w:val="0FF43EFE"/>
    <w:rsid w:val="0FF84C82"/>
    <w:rsid w:val="0FFD42D7"/>
    <w:rsid w:val="0FFEC7BC"/>
    <w:rsid w:val="1005DAAE"/>
    <w:rsid w:val="1006DE73"/>
    <w:rsid w:val="10161B5A"/>
    <w:rsid w:val="101AF9AD"/>
    <w:rsid w:val="1024FB3C"/>
    <w:rsid w:val="10251A2B"/>
    <w:rsid w:val="102A4C05"/>
    <w:rsid w:val="102B7F18"/>
    <w:rsid w:val="102EA6B1"/>
    <w:rsid w:val="102F0BA6"/>
    <w:rsid w:val="1034011A"/>
    <w:rsid w:val="103D1BA9"/>
    <w:rsid w:val="1048BB22"/>
    <w:rsid w:val="104CB3B2"/>
    <w:rsid w:val="105A370D"/>
    <w:rsid w:val="105CABC5"/>
    <w:rsid w:val="105E416E"/>
    <w:rsid w:val="105F552C"/>
    <w:rsid w:val="1061EF92"/>
    <w:rsid w:val="1063E552"/>
    <w:rsid w:val="106A71AC"/>
    <w:rsid w:val="106B2CCC"/>
    <w:rsid w:val="106C9862"/>
    <w:rsid w:val="106E867E"/>
    <w:rsid w:val="106F42FE"/>
    <w:rsid w:val="106FF900"/>
    <w:rsid w:val="10742933"/>
    <w:rsid w:val="107A65D0"/>
    <w:rsid w:val="10860BD2"/>
    <w:rsid w:val="10901C9F"/>
    <w:rsid w:val="10969CBF"/>
    <w:rsid w:val="109F8188"/>
    <w:rsid w:val="10A1970B"/>
    <w:rsid w:val="10A5B857"/>
    <w:rsid w:val="10A5E409"/>
    <w:rsid w:val="10A65A4F"/>
    <w:rsid w:val="10AFAF12"/>
    <w:rsid w:val="10B34D08"/>
    <w:rsid w:val="10B425DA"/>
    <w:rsid w:val="10BA5D36"/>
    <w:rsid w:val="10BC4089"/>
    <w:rsid w:val="10BE804A"/>
    <w:rsid w:val="10C32A8E"/>
    <w:rsid w:val="10D4D845"/>
    <w:rsid w:val="10D963EC"/>
    <w:rsid w:val="10E123CA"/>
    <w:rsid w:val="10F2F9FD"/>
    <w:rsid w:val="10FBD009"/>
    <w:rsid w:val="10FDBF37"/>
    <w:rsid w:val="11059581"/>
    <w:rsid w:val="11095679"/>
    <w:rsid w:val="110E2A97"/>
    <w:rsid w:val="111387C8"/>
    <w:rsid w:val="111923E9"/>
    <w:rsid w:val="11198F5E"/>
    <w:rsid w:val="111A3AD1"/>
    <w:rsid w:val="111CB82C"/>
    <w:rsid w:val="11232431"/>
    <w:rsid w:val="11249861"/>
    <w:rsid w:val="112EEE8A"/>
    <w:rsid w:val="11328C47"/>
    <w:rsid w:val="113C2406"/>
    <w:rsid w:val="113D02D0"/>
    <w:rsid w:val="113E02E1"/>
    <w:rsid w:val="1142B8AE"/>
    <w:rsid w:val="1146305E"/>
    <w:rsid w:val="1149900D"/>
    <w:rsid w:val="114E105C"/>
    <w:rsid w:val="114F2296"/>
    <w:rsid w:val="1150D2C0"/>
    <w:rsid w:val="1153C49E"/>
    <w:rsid w:val="115A4926"/>
    <w:rsid w:val="115A6EF0"/>
    <w:rsid w:val="115B973A"/>
    <w:rsid w:val="11606BFC"/>
    <w:rsid w:val="1168AA00"/>
    <w:rsid w:val="1169D10D"/>
    <w:rsid w:val="1174786B"/>
    <w:rsid w:val="1175331B"/>
    <w:rsid w:val="11763A75"/>
    <w:rsid w:val="117F096F"/>
    <w:rsid w:val="117F7814"/>
    <w:rsid w:val="118053FC"/>
    <w:rsid w:val="11834EBB"/>
    <w:rsid w:val="1187C8AE"/>
    <w:rsid w:val="1188F9CB"/>
    <w:rsid w:val="11924EA4"/>
    <w:rsid w:val="1196CCAC"/>
    <w:rsid w:val="119D9C58"/>
    <w:rsid w:val="11AAE689"/>
    <w:rsid w:val="11AD89E2"/>
    <w:rsid w:val="11B085A7"/>
    <w:rsid w:val="11BF4C57"/>
    <w:rsid w:val="11C00F5A"/>
    <w:rsid w:val="11C92C0D"/>
    <w:rsid w:val="11DAC596"/>
    <w:rsid w:val="11DCE56A"/>
    <w:rsid w:val="11EE5BDB"/>
    <w:rsid w:val="11EFE422"/>
    <w:rsid w:val="11F14C3A"/>
    <w:rsid w:val="11F2E630"/>
    <w:rsid w:val="11F55DFC"/>
    <w:rsid w:val="11FC3E8D"/>
    <w:rsid w:val="120478EF"/>
    <w:rsid w:val="12062190"/>
    <w:rsid w:val="120E1F92"/>
    <w:rsid w:val="1213A30B"/>
    <w:rsid w:val="121F2F84"/>
    <w:rsid w:val="121F7E53"/>
    <w:rsid w:val="1227E17C"/>
    <w:rsid w:val="123C3DD5"/>
    <w:rsid w:val="124BFCBC"/>
    <w:rsid w:val="12576B0A"/>
    <w:rsid w:val="12614252"/>
    <w:rsid w:val="126EDA5D"/>
    <w:rsid w:val="127159D1"/>
    <w:rsid w:val="127C6B4D"/>
    <w:rsid w:val="127F2FB0"/>
    <w:rsid w:val="1286215F"/>
    <w:rsid w:val="1286CA03"/>
    <w:rsid w:val="128943AD"/>
    <w:rsid w:val="128FC4C3"/>
    <w:rsid w:val="1298B0C1"/>
    <w:rsid w:val="129A99E7"/>
    <w:rsid w:val="12A0A4F6"/>
    <w:rsid w:val="12A392C9"/>
    <w:rsid w:val="12A7932B"/>
    <w:rsid w:val="12AA4DE5"/>
    <w:rsid w:val="12AA75A2"/>
    <w:rsid w:val="12AB275D"/>
    <w:rsid w:val="12B0060B"/>
    <w:rsid w:val="12B1C92C"/>
    <w:rsid w:val="12BD9DB6"/>
    <w:rsid w:val="12C254B8"/>
    <w:rsid w:val="12C6F92D"/>
    <w:rsid w:val="12CE175C"/>
    <w:rsid w:val="12D07952"/>
    <w:rsid w:val="12D1D6E4"/>
    <w:rsid w:val="12D5740F"/>
    <w:rsid w:val="12E3C9EB"/>
    <w:rsid w:val="12EA65F6"/>
    <w:rsid w:val="12EB87ED"/>
    <w:rsid w:val="12F2BDC7"/>
    <w:rsid w:val="12F6B614"/>
    <w:rsid w:val="12FDAEDE"/>
    <w:rsid w:val="130062EE"/>
    <w:rsid w:val="1303FA90"/>
    <w:rsid w:val="13053C5E"/>
    <w:rsid w:val="13069176"/>
    <w:rsid w:val="1307A728"/>
    <w:rsid w:val="1308660E"/>
    <w:rsid w:val="131E055F"/>
    <w:rsid w:val="13231AA0"/>
    <w:rsid w:val="132AF4D3"/>
    <w:rsid w:val="132D6633"/>
    <w:rsid w:val="132F28E6"/>
    <w:rsid w:val="132FCDBA"/>
    <w:rsid w:val="13309246"/>
    <w:rsid w:val="133195A9"/>
    <w:rsid w:val="133C9686"/>
    <w:rsid w:val="133FCA47"/>
    <w:rsid w:val="13447E3F"/>
    <w:rsid w:val="134C6B3D"/>
    <w:rsid w:val="134FFA31"/>
    <w:rsid w:val="13523438"/>
    <w:rsid w:val="135BDBDA"/>
    <w:rsid w:val="13695395"/>
    <w:rsid w:val="1373E2FC"/>
    <w:rsid w:val="1375D25B"/>
    <w:rsid w:val="137BB178"/>
    <w:rsid w:val="138553E6"/>
    <w:rsid w:val="13861670"/>
    <w:rsid w:val="13947433"/>
    <w:rsid w:val="139DCB46"/>
    <w:rsid w:val="13A70670"/>
    <w:rsid w:val="13C80940"/>
    <w:rsid w:val="13CC3199"/>
    <w:rsid w:val="13DA823E"/>
    <w:rsid w:val="13DC1E47"/>
    <w:rsid w:val="13E0333F"/>
    <w:rsid w:val="13EB1538"/>
    <w:rsid w:val="13F4FA8F"/>
    <w:rsid w:val="13F82A0B"/>
    <w:rsid w:val="1403D64F"/>
    <w:rsid w:val="140B7E32"/>
    <w:rsid w:val="140E30D3"/>
    <w:rsid w:val="141A0404"/>
    <w:rsid w:val="1421E505"/>
    <w:rsid w:val="14282FF8"/>
    <w:rsid w:val="142D2B69"/>
    <w:rsid w:val="142FB740"/>
    <w:rsid w:val="14330E42"/>
    <w:rsid w:val="143B5FB8"/>
    <w:rsid w:val="1446F424"/>
    <w:rsid w:val="144B773C"/>
    <w:rsid w:val="144D1A68"/>
    <w:rsid w:val="145DA467"/>
    <w:rsid w:val="14601E41"/>
    <w:rsid w:val="146259E5"/>
    <w:rsid w:val="146F97F4"/>
    <w:rsid w:val="1479DBCE"/>
    <w:rsid w:val="14821E93"/>
    <w:rsid w:val="14846CED"/>
    <w:rsid w:val="1484CB49"/>
    <w:rsid w:val="14880181"/>
    <w:rsid w:val="1497E240"/>
    <w:rsid w:val="1499E21B"/>
    <w:rsid w:val="149E4B4B"/>
    <w:rsid w:val="14A902E8"/>
    <w:rsid w:val="14ADBECD"/>
    <w:rsid w:val="14AF6EC0"/>
    <w:rsid w:val="14B0D2CE"/>
    <w:rsid w:val="14B44028"/>
    <w:rsid w:val="14BBB9C1"/>
    <w:rsid w:val="14BED922"/>
    <w:rsid w:val="14C1E6BC"/>
    <w:rsid w:val="14C4349D"/>
    <w:rsid w:val="14C6ACBD"/>
    <w:rsid w:val="14D98BAB"/>
    <w:rsid w:val="14DDE47E"/>
    <w:rsid w:val="14F12808"/>
    <w:rsid w:val="14F5BF4E"/>
    <w:rsid w:val="14F8825A"/>
    <w:rsid w:val="14FC34BB"/>
    <w:rsid w:val="150359E4"/>
    <w:rsid w:val="150A79F9"/>
    <w:rsid w:val="150AD041"/>
    <w:rsid w:val="15115FD2"/>
    <w:rsid w:val="1512025F"/>
    <w:rsid w:val="152433C1"/>
    <w:rsid w:val="152F7B0C"/>
    <w:rsid w:val="1531E552"/>
    <w:rsid w:val="15328D69"/>
    <w:rsid w:val="153362FB"/>
    <w:rsid w:val="15394772"/>
    <w:rsid w:val="154495C8"/>
    <w:rsid w:val="1544A045"/>
    <w:rsid w:val="1546B9CB"/>
    <w:rsid w:val="154B1D9E"/>
    <w:rsid w:val="154CE2B6"/>
    <w:rsid w:val="15593A07"/>
    <w:rsid w:val="15593E07"/>
    <w:rsid w:val="155CF880"/>
    <w:rsid w:val="155FBBF0"/>
    <w:rsid w:val="15615357"/>
    <w:rsid w:val="1563D4F5"/>
    <w:rsid w:val="1567E690"/>
    <w:rsid w:val="156892A3"/>
    <w:rsid w:val="156E6982"/>
    <w:rsid w:val="15729598"/>
    <w:rsid w:val="157889EF"/>
    <w:rsid w:val="15878B6A"/>
    <w:rsid w:val="159A5D31"/>
    <w:rsid w:val="159B14A3"/>
    <w:rsid w:val="159D886B"/>
    <w:rsid w:val="15A317CB"/>
    <w:rsid w:val="15A7A58C"/>
    <w:rsid w:val="15B3C789"/>
    <w:rsid w:val="15B6132D"/>
    <w:rsid w:val="15C6428B"/>
    <w:rsid w:val="15D81916"/>
    <w:rsid w:val="15E80C96"/>
    <w:rsid w:val="15E85CF3"/>
    <w:rsid w:val="15F10655"/>
    <w:rsid w:val="15F5620A"/>
    <w:rsid w:val="15FAAA9D"/>
    <w:rsid w:val="15FB9B65"/>
    <w:rsid w:val="16002EF3"/>
    <w:rsid w:val="1600478B"/>
    <w:rsid w:val="16027EDC"/>
    <w:rsid w:val="160EDCD0"/>
    <w:rsid w:val="1620014D"/>
    <w:rsid w:val="162152FC"/>
    <w:rsid w:val="162319F3"/>
    <w:rsid w:val="1623889E"/>
    <w:rsid w:val="1628CF68"/>
    <w:rsid w:val="162E2E95"/>
    <w:rsid w:val="163329DB"/>
    <w:rsid w:val="16347BEF"/>
    <w:rsid w:val="163D2A37"/>
    <w:rsid w:val="163EC5A7"/>
    <w:rsid w:val="164514C8"/>
    <w:rsid w:val="164B2043"/>
    <w:rsid w:val="164C0148"/>
    <w:rsid w:val="164C9468"/>
    <w:rsid w:val="1653F446"/>
    <w:rsid w:val="165BFDEB"/>
    <w:rsid w:val="165D16FC"/>
    <w:rsid w:val="1662802B"/>
    <w:rsid w:val="16744DA7"/>
    <w:rsid w:val="16761546"/>
    <w:rsid w:val="1676276C"/>
    <w:rsid w:val="1684C733"/>
    <w:rsid w:val="16885213"/>
    <w:rsid w:val="168914FE"/>
    <w:rsid w:val="168B0021"/>
    <w:rsid w:val="168FC6E1"/>
    <w:rsid w:val="1696DB3A"/>
    <w:rsid w:val="1698479D"/>
    <w:rsid w:val="169A71DE"/>
    <w:rsid w:val="16A1F32A"/>
    <w:rsid w:val="16A9C51D"/>
    <w:rsid w:val="16AEF0A2"/>
    <w:rsid w:val="16B58E48"/>
    <w:rsid w:val="16B7684C"/>
    <w:rsid w:val="16B7C8D2"/>
    <w:rsid w:val="16BDDAE4"/>
    <w:rsid w:val="16C1FD5B"/>
    <w:rsid w:val="16C23215"/>
    <w:rsid w:val="16D3431A"/>
    <w:rsid w:val="16D7113A"/>
    <w:rsid w:val="16DA2C91"/>
    <w:rsid w:val="16DCCAA7"/>
    <w:rsid w:val="16E5287D"/>
    <w:rsid w:val="16F07E9C"/>
    <w:rsid w:val="16F625CE"/>
    <w:rsid w:val="16FF0731"/>
    <w:rsid w:val="17137EF4"/>
    <w:rsid w:val="1714805A"/>
    <w:rsid w:val="171F6DDF"/>
    <w:rsid w:val="17200F04"/>
    <w:rsid w:val="1725335C"/>
    <w:rsid w:val="172AAD01"/>
    <w:rsid w:val="172C6852"/>
    <w:rsid w:val="172EA896"/>
    <w:rsid w:val="17325E88"/>
    <w:rsid w:val="173A7176"/>
    <w:rsid w:val="173CECAC"/>
    <w:rsid w:val="173DCBFD"/>
    <w:rsid w:val="17405DFF"/>
    <w:rsid w:val="1741A21B"/>
    <w:rsid w:val="174A2734"/>
    <w:rsid w:val="174A7785"/>
    <w:rsid w:val="174B0E90"/>
    <w:rsid w:val="174FB4F4"/>
    <w:rsid w:val="1752A8D4"/>
    <w:rsid w:val="17548F6A"/>
    <w:rsid w:val="175A6E5C"/>
    <w:rsid w:val="175AA6CE"/>
    <w:rsid w:val="175B45D1"/>
    <w:rsid w:val="17626A60"/>
    <w:rsid w:val="1765AF78"/>
    <w:rsid w:val="1772BDCD"/>
    <w:rsid w:val="17733C6F"/>
    <w:rsid w:val="1776DDB2"/>
    <w:rsid w:val="17779A0B"/>
    <w:rsid w:val="1777A1AE"/>
    <w:rsid w:val="1779EF9C"/>
    <w:rsid w:val="177D0CB1"/>
    <w:rsid w:val="1798D107"/>
    <w:rsid w:val="1799AFF3"/>
    <w:rsid w:val="179CCA9C"/>
    <w:rsid w:val="17A9CCA4"/>
    <w:rsid w:val="17AA49F1"/>
    <w:rsid w:val="17AD4685"/>
    <w:rsid w:val="17B7CE16"/>
    <w:rsid w:val="17BC3F5B"/>
    <w:rsid w:val="17BCF211"/>
    <w:rsid w:val="17C7C37D"/>
    <w:rsid w:val="17CCD35A"/>
    <w:rsid w:val="17CDE255"/>
    <w:rsid w:val="17D0DA01"/>
    <w:rsid w:val="17D42053"/>
    <w:rsid w:val="17DD766E"/>
    <w:rsid w:val="17DEB604"/>
    <w:rsid w:val="17EA8C5A"/>
    <w:rsid w:val="17FA2A90"/>
    <w:rsid w:val="18040334"/>
    <w:rsid w:val="180B5A3F"/>
    <w:rsid w:val="1816EB25"/>
    <w:rsid w:val="181A2FE5"/>
    <w:rsid w:val="181D8922"/>
    <w:rsid w:val="182C6DA1"/>
    <w:rsid w:val="183299A6"/>
    <w:rsid w:val="18378DD5"/>
    <w:rsid w:val="1845E50B"/>
    <w:rsid w:val="18468953"/>
    <w:rsid w:val="1849BFF5"/>
    <w:rsid w:val="1867BDF0"/>
    <w:rsid w:val="186BF509"/>
    <w:rsid w:val="186F573A"/>
    <w:rsid w:val="186F803E"/>
    <w:rsid w:val="187A7B90"/>
    <w:rsid w:val="187D5DE2"/>
    <w:rsid w:val="18809B07"/>
    <w:rsid w:val="18813F6F"/>
    <w:rsid w:val="188661A9"/>
    <w:rsid w:val="188A659C"/>
    <w:rsid w:val="188EB15E"/>
    <w:rsid w:val="188FF992"/>
    <w:rsid w:val="1892BB06"/>
    <w:rsid w:val="189A0FE4"/>
    <w:rsid w:val="18A70379"/>
    <w:rsid w:val="18AB03A5"/>
    <w:rsid w:val="18AE1585"/>
    <w:rsid w:val="18B25203"/>
    <w:rsid w:val="18B28240"/>
    <w:rsid w:val="18B3276B"/>
    <w:rsid w:val="18B88699"/>
    <w:rsid w:val="18BE9E2F"/>
    <w:rsid w:val="18C07401"/>
    <w:rsid w:val="18CBF066"/>
    <w:rsid w:val="18CCAA6F"/>
    <w:rsid w:val="18D86E91"/>
    <w:rsid w:val="18D8AFD1"/>
    <w:rsid w:val="18FB36B0"/>
    <w:rsid w:val="18FF52D1"/>
    <w:rsid w:val="1901B6F4"/>
    <w:rsid w:val="190654DF"/>
    <w:rsid w:val="190BD8B1"/>
    <w:rsid w:val="190DC5A3"/>
    <w:rsid w:val="19139B41"/>
    <w:rsid w:val="19230244"/>
    <w:rsid w:val="19274A43"/>
    <w:rsid w:val="1927CCA7"/>
    <w:rsid w:val="192850F1"/>
    <w:rsid w:val="19295B38"/>
    <w:rsid w:val="193A538C"/>
    <w:rsid w:val="193A8840"/>
    <w:rsid w:val="193B3F6A"/>
    <w:rsid w:val="194330E8"/>
    <w:rsid w:val="1947BF48"/>
    <w:rsid w:val="194969B3"/>
    <w:rsid w:val="194C475F"/>
    <w:rsid w:val="195070B1"/>
    <w:rsid w:val="19507E86"/>
    <w:rsid w:val="195F6B63"/>
    <w:rsid w:val="1961E4DA"/>
    <w:rsid w:val="19636203"/>
    <w:rsid w:val="197874F8"/>
    <w:rsid w:val="197A3262"/>
    <w:rsid w:val="197D49AA"/>
    <w:rsid w:val="197F5C64"/>
    <w:rsid w:val="1985C214"/>
    <w:rsid w:val="198805AD"/>
    <w:rsid w:val="1988A000"/>
    <w:rsid w:val="198E6FCC"/>
    <w:rsid w:val="1994146E"/>
    <w:rsid w:val="1995EF2B"/>
    <w:rsid w:val="19A33924"/>
    <w:rsid w:val="19A77341"/>
    <w:rsid w:val="19BA7E35"/>
    <w:rsid w:val="19BBEEFA"/>
    <w:rsid w:val="19BE0FCC"/>
    <w:rsid w:val="19BF93A9"/>
    <w:rsid w:val="19C52153"/>
    <w:rsid w:val="19CC1F78"/>
    <w:rsid w:val="19CEE30C"/>
    <w:rsid w:val="19D276DF"/>
    <w:rsid w:val="19D29254"/>
    <w:rsid w:val="19D54D58"/>
    <w:rsid w:val="19EAE245"/>
    <w:rsid w:val="19F09965"/>
    <w:rsid w:val="19F4D3CC"/>
    <w:rsid w:val="19F895FE"/>
    <w:rsid w:val="19FE30D0"/>
    <w:rsid w:val="1A13986E"/>
    <w:rsid w:val="1A1425A7"/>
    <w:rsid w:val="1A15276E"/>
    <w:rsid w:val="1A1D2775"/>
    <w:rsid w:val="1A2F67E6"/>
    <w:rsid w:val="1A40C9CF"/>
    <w:rsid w:val="1A42004B"/>
    <w:rsid w:val="1A456616"/>
    <w:rsid w:val="1A4A800F"/>
    <w:rsid w:val="1A55F5DC"/>
    <w:rsid w:val="1A5A38A5"/>
    <w:rsid w:val="1A5A3997"/>
    <w:rsid w:val="1A5C22C6"/>
    <w:rsid w:val="1A5F2493"/>
    <w:rsid w:val="1A6566A4"/>
    <w:rsid w:val="1A94D4BB"/>
    <w:rsid w:val="1A969DE7"/>
    <w:rsid w:val="1A999DB4"/>
    <w:rsid w:val="1A99BDDB"/>
    <w:rsid w:val="1A9FBF49"/>
    <w:rsid w:val="1AA05607"/>
    <w:rsid w:val="1ABDF773"/>
    <w:rsid w:val="1AC14FC5"/>
    <w:rsid w:val="1AC4210F"/>
    <w:rsid w:val="1AD73C69"/>
    <w:rsid w:val="1ADC3DF5"/>
    <w:rsid w:val="1AE1104D"/>
    <w:rsid w:val="1AE7D0AF"/>
    <w:rsid w:val="1AE89819"/>
    <w:rsid w:val="1AEAFCB5"/>
    <w:rsid w:val="1AEBAA47"/>
    <w:rsid w:val="1AEBB017"/>
    <w:rsid w:val="1AEF84A9"/>
    <w:rsid w:val="1AF40938"/>
    <w:rsid w:val="1AFB9FD1"/>
    <w:rsid w:val="1AFC10BA"/>
    <w:rsid w:val="1B023CEC"/>
    <w:rsid w:val="1B0516FB"/>
    <w:rsid w:val="1B124419"/>
    <w:rsid w:val="1B14582E"/>
    <w:rsid w:val="1B18446C"/>
    <w:rsid w:val="1B26496E"/>
    <w:rsid w:val="1B280895"/>
    <w:rsid w:val="1B2891C5"/>
    <w:rsid w:val="1B28D06E"/>
    <w:rsid w:val="1B2B4077"/>
    <w:rsid w:val="1B2BC757"/>
    <w:rsid w:val="1B2F3626"/>
    <w:rsid w:val="1B349FF0"/>
    <w:rsid w:val="1B364921"/>
    <w:rsid w:val="1B36ADAB"/>
    <w:rsid w:val="1B3BAFA2"/>
    <w:rsid w:val="1B43211B"/>
    <w:rsid w:val="1B4AD194"/>
    <w:rsid w:val="1B57CD69"/>
    <w:rsid w:val="1B696F43"/>
    <w:rsid w:val="1B6F76DB"/>
    <w:rsid w:val="1B7D88FE"/>
    <w:rsid w:val="1B833E67"/>
    <w:rsid w:val="1B8523DA"/>
    <w:rsid w:val="1B852A8A"/>
    <w:rsid w:val="1B8DACB9"/>
    <w:rsid w:val="1B97D7B7"/>
    <w:rsid w:val="1B9CD1F9"/>
    <w:rsid w:val="1BA2B120"/>
    <w:rsid w:val="1BAEAB81"/>
    <w:rsid w:val="1BAF832C"/>
    <w:rsid w:val="1BB2FF42"/>
    <w:rsid w:val="1BB75858"/>
    <w:rsid w:val="1BBE195D"/>
    <w:rsid w:val="1BCE204C"/>
    <w:rsid w:val="1BD11ED8"/>
    <w:rsid w:val="1BD40C0D"/>
    <w:rsid w:val="1BD6FB37"/>
    <w:rsid w:val="1BDA367C"/>
    <w:rsid w:val="1BDBC877"/>
    <w:rsid w:val="1BE6EA31"/>
    <w:rsid w:val="1BE71755"/>
    <w:rsid w:val="1BEAC126"/>
    <w:rsid w:val="1BEB9F1F"/>
    <w:rsid w:val="1BEDA32D"/>
    <w:rsid w:val="1BF2DF02"/>
    <w:rsid w:val="1BF3781C"/>
    <w:rsid w:val="1BF49A43"/>
    <w:rsid w:val="1C095D27"/>
    <w:rsid w:val="1C0B9647"/>
    <w:rsid w:val="1C0D8FE9"/>
    <w:rsid w:val="1C0DBAEF"/>
    <w:rsid w:val="1C1387B0"/>
    <w:rsid w:val="1C13DB3E"/>
    <w:rsid w:val="1C14D38D"/>
    <w:rsid w:val="1C1ACE09"/>
    <w:rsid w:val="1C26F9B3"/>
    <w:rsid w:val="1C2AEACD"/>
    <w:rsid w:val="1C2C01DC"/>
    <w:rsid w:val="1C323D20"/>
    <w:rsid w:val="1C33B0DE"/>
    <w:rsid w:val="1C34F8CE"/>
    <w:rsid w:val="1C39D564"/>
    <w:rsid w:val="1C3B4480"/>
    <w:rsid w:val="1C40FD29"/>
    <w:rsid w:val="1C54E010"/>
    <w:rsid w:val="1C55E88F"/>
    <w:rsid w:val="1C5B187F"/>
    <w:rsid w:val="1C633FDC"/>
    <w:rsid w:val="1C762282"/>
    <w:rsid w:val="1C76459F"/>
    <w:rsid w:val="1C7E5939"/>
    <w:rsid w:val="1C7F6142"/>
    <w:rsid w:val="1C866EEA"/>
    <w:rsid w:val="1C8A7C16"/>
    <w:rsid w:val="1C909AE0"/>
    <w:rsid w:val="1C955A61"/>
    <w:rsid w:val="1C9567C6"/>
    <w:rsid w:val="1C9D16E4"/>
    <w:rsid w:val="1CA15581"/>
    <w:rsid w:val="1CABB16B"/>
    <w:rsid w:val="1CADDCC6"/>
    <w:rsid w:val="1CB038B5"/>
    <w:rsid w:val="1CB10DDB"/>
    <w:rsid w:val="1CB95C30"/>
    <w:rsid w:val="1CBEECAD"/>
    <w:rsid w:val="1CC9F95E"/>
    <w:rsid w:val="1CCA5BDD"/>
    <w:rsid w:val="1CD069FD"/>
    <w:rsid w:val="1CD84A92"/>
    <w:rsid w:val="1CDA9221"/>
    <w:rsid w:val="1CDC3076"/>
    <w:rsid w:val="1CDE1E7D"/>
    <w:rsid w:val="1CF0191C"/>
    <w:rsid w:val="1CF308AA"/>
    <w:rsid w:val="1CF3CC14"/>
    <w:rsid w:val="1CF9167E"/>
    <w:rsid w:val="1CFCCEEC"/>
    <w:rsid w:val="1D0B38F5"/>
    <w:rsid w:val="1D118CD8"/>
    <w:rsid w:val="1D14380F"/>
    <w:rsid w:val="1D170438"/>
    <w:rsid w:val="1D1C6625"/>
    <w:rsid w:val="1D1E610E"/>
    <w:rsid w:val="1D30FC91"/>
    <w:rsid w:val="1D319FC0"/>
    <w:rsid w:val="1D31EBCA"/>
    <w:rsid w:val="1D338F78"/>
    <w:rsid w:val="1D355E76"/>
    <w:rsid w:val="1D36EE59"/>
    <w:rsid w:val="1D37BEE7"/>
    <w:rsid w:val="1D3FFAC1"/>
    <w:rsid w:val="1D441759"/>
    <w:rsid w:val="1D4D3E1B"/>
    <w:rsid w:val="1D50ED3E"/>
    <w:rsid w:val="1D514D80"/>
    <w:rsid w:val="1D519CE0"/>
    <w:rsid w:val="1D5318D0"/>
    <w:rsid w:val="1D542208"/>
    <w:rsid w:val="1D5893B8"/>
    <w:rsid w:val="1D5DD5AE"/>
    <w:rsid w:val="1D608D44"/>
    <w:rsid w:val="1D73F663"/>
    <w:rsid w:val="1D7AB0CF"/>
    <w:rsid w:val="1D83B1FF"/>
    <w:rsid w:val="1D875692"/>
    <w:rsid w:val="1D88838F"/>
    <w:rsid w:val="1D8DB1D9"/>
    <w:rsid w:val="1DA05DB9"/>
    <w:rsid w:val="1DA19CB1"/>
    <w:rsid w:val="1DAAAC35"/>
    <w:rsid w:val="1DB0753A"/>
    <w:rsid w:val="1DB38AD0"/>
    <w:rsid w:val="1DB7CA32"/>
    <w:rsid w:val="1DC023C6"/>
    <w:rsid w:val="1DC900C4"/>
    <w:rsid w:val="1DC9E1F7"/>
    <w:rsid w:val="1DCC79E0"/>
    <w:rsid w:val="1DD46553"/>
    <w:rsid w:val="1DD51D86"/>
    <w:rsid w:val="1DDDC4D3"/>
    <w:rsid w:val="1DE18E66"/>
    <w:rsid w:val="1DE22969"/>
    <w:rsid w:val="1DE2CA69"/>
    <w:rsid w:val="1DEAB913"/>
    <w:rsid w:val="1DF1FA88"/>
    <w:rsid w:val="1DFE5A69"/>
    <w:rsid w:val="1E001A27"/>
    <w:rsid w:val="1E0299FF"/>
    <w:rsid w:val="1E059192"/>
    <w:rsid w:val="1E0A6D1C"/>
    <w:rsid w:val="1E1925A3"/>
    <w:rsid w:val="1E2378C9"/>
    <w:rsid w:val="1E274708"/>
    <w:rsid w:val="1E2768D5"/>
    <w:rsid w:val="1E30F048"/>
    <w:rsid w:val="1E3AD33F"/>
    <w:rsid w:val="1E3B0421"/>
    <w:rsid w:val="1E3EF1CE"/>
    <w:rsid w:val="1E4AF85C"/>
    <w:rsid w:val="1E63B1D6"/>
    <w:rsid w:val="1E66B67B"/>
    <w:rsid w:val="1E671D10"/>
    <w:rsid w:val="1E6A91CA"/>
    <w:rsid w:val="1E6F4C07"/>
    <w:rsid w:val="1E79EF7B"/>
    <w:rsid w:val="1E7A35F5"/>
    <w:rsid w:val="1E84D890"/>
    <w:rsid w:val="1E92ABED"/>
    <w:rsid w:val="1E945D15"/>
    <w:rsid w:val="1E9CA486"/>
    <w:rsid w:val="1E9F4567"/>
    <w:rsid w:val="1EA1481C"/>
    <w:rsid w:val="1EA8926F"/>
    <w:rsid w:val="1EAD5D39"/>
    <w:rsid w:val="1EADEBD1"/>
    <w:rsid w:val="1EB979E2"/>
    <w:rsid w:val="1EBB255E"/>
    <w:rsid w:val="1EBC6DDD"/>
    <w:rsid w:val="1EC1AFF4"/>
    <w:rsid w:val="1EC2243E"/>
    <w:rsid w:val="1EC75E79"/>
    <w:rsid w:val="1ED3EF68"/>
    <w:rsid w:val="1ED8CF74"/>
    <w:rsid w:val="1EDDD406"/>
    <w:rsid w:val="1EE1BCC4"/>
    <w:rsid w:val="1EE26C24"/>
    <w:rsid w:val="1EF03DAC"/>
    <w:rsid w:val="1EF41A92"/>
    <w:rsid w:val="1EF4BB91"/>
    <w:rsid w:val="1EFE4F6A"/>
    <w:rsid w:val="1F021E5B"/>
    <w:rsid w:val="1F024155"/>
    <w:rsid w:val="1F04647D"/>
    <w:rsid w:val="1F0842E0"/>
    <w:rsid w:val="1F0CD8FE"/>
    <w:rsid w:val="1F15FAF5"/>
    <w:rsid w:val="1F21FA84"/>
    <w:rsid w:val="1F2391E6"/>
    <w:rsid w:val="1F2725F4"/>
    <w:rsid w:val="1F2E0845"/>
    <w:rsid w:val="1F31351D"/>
    <w:rsid w:val="1F4136CA"/>
    <w:rsid w:val="1F4514A4"/>
    <w:rsid w:val="1F48CE89"/>
    <w:rsid w:val="1F4BF015"/>
    <w:rsid w:val="1F4D701D"/>
    <w:rsid w:val="1F5CA639"/>
    <w:rsid w:val="1F609203"/>
    <w:rsid w:val="1F618B30"/>
    <w:rsid w:val="1F67A0E3"/>
    <w:rsid w:val="1F6C4AD4"/>
    <w:rsid w:val="1F77A37E"/>
    <w:rsid w:val="1F7CEC46"/>
    <w:rsid w:val="1F916B14"/>
    <w:rsid w:val="1F9AE09E"/>
    <w:rsid w:val="1F9DA605"/>
    <w:rsid w:val="1F9E38D3"/>
    <w:rsid w:val="1FA0C11D"/>
    <w:rsid w:val="1FA8AD0F"/>
    <w:rsid w:val="1FADB427"/>
    <w:rsid w:val="1FAEF5CB"/>
    <w:rsid w:val="1FB3EF25"/>
    <w:rsid w:val="1FB60E39"/>
    <w:rsid w:val="1FB6B9D6"/>
    <w:rsid w:val="1FB822C6"/>
    <w:rsid w:val="1FC57E8E"/>
    <w:rsid w:val="1FCAE158"/>
    <w:rsid w:val="1FD671E4"/>
    <w:rsid w:val="1FD6C5EB"/>
    <w:rsid w:val="1FE2C405"/>
    <w:rsid w:val="1FE57B77"/>
    <w:rsid w:val="1FEFA6AF"/>
    <w:rsid w:val="1FF69BBC"/>
    <w:rsid w:val="1FFD84FF"/>
    <w:rsid w:val="2000FFE2"/>
    <w:rsid w:val="20032CB4"/>
    <w:rsid w:val="20051832"/>
    <w:rsid w:val="2005FD13"/>
    <w:rsid w:val="200BA744"/>
    <w:rsid w:val="200E5D03"/>
    <w:rsid w:val="200EF7DA"/>
    <w:rsid w:val="20119671"/>
    <w:rsid w:val="20159F9B"/>
    <w:rsid w:val="2017D9FA"/>
    <w:rsid w:val="2030E1C6"/>
    <w:rsid w:val="2034AC48"/>
    <w:rsid w:val="2038F39E"/>
    <w:rsid w:val="203C0AE0"/>
    <w:rsid w:val="203D84CC"/>
    <w:rsid w:val="204182E5"/>
    <w:rsid w:val="2043FCD2"/>
    <w:rsid w:val="20492D9A"/>
    <w:rsid w:val="2050E634"/>
    <w:rsid w:val="20518141"/>
    <w:rsid w:val="2052A1B2"/>
    <w:rsid w:val="20574018"/>
    <w:rsid w:val="20650E60"/>
    <w:rsid w:val="206594C5"/>
    <w:rsid w:val="20668234"/>
    <w:rsid w:val="2067E67A"/>
    <w:rsid w:val="20684232"/>
    <w:rsid w:val="206E86D7"/>
    <w:rsid w:val="207B56D6"/>
    <w:rsid w:val="2081D432"/>
    <w:rsid w:val="20824280"/>
    <w:rsid w:val="2083DE63"/>
    <w:rsid w:val="208577F0"/>
    <w:rsid w:val="20858840"/>
    <w:rsid w:val="2085CA63"/>
    <w:rsid w:val="208EF8D3"/>
    <w:rsid w:val="20914ACA"/>
    <w:rsid w:val="2097C7F5"/>
    <w:rsid w:val="209D9142"/>
    <w:rsid w:val="209FC8DB"/>
    <w:rsid w:val="20B031D0"/>
    <w:rsid w:val="20BCE79D"/>
    <w:rsid w:val="20BE629F"/>
    <w:rsid w:val="20BEC681"/>
    <w:rsid w:val="20C76BC3"/>
    <w:rsid w:val="20C824AA"/>
    <w:rsid w:val="20CB3816"/>
    <w:rsid w:val="20D5405F"/>
    <w:rsid w:val="20D604CF"/>
    <w:rsid w:val="20D82AF7"/>
    <w:rsid w:val="20DA1DCC"/>
    <w:rsid w:val="20E8032A"/>
    <w:rsid w:val="20EA39AC"/>
    <w:rsid w:val="20F0B67F"/>
    <w:rsid w:val="20F55938"/>
    <w:rsid w:val="20F72084"/>
    <w:rsid w:val="20FAB24D"/>
    <w:rsid w:val="20FC86EB"/>
    <w:rsid w:val="20FFDBFF"/>
    <w:rsid w:val="21007905"/>
    <w:rsid w:val="21033A8C"/>
    <w:rsid w:val="210A98CA"/>
    <w:rsid w:val="210C8614"/>
    <w:rsid w:val="210F30BC"/>
    <w:rsid w:val="2112EACB"/>
    <w:rsid w:val="2113040E"/>
    <w:rsid w:val="21131E99"/>
    <w:rsid w:val="2116873E"/>
    <w:rsid w:val="212077EC"/>
    <w:rsid w:val="2128BF68"/>
    <w:rsid w:val="212D3B75"/>
    <w:rsid w:val="212E5B9E"/>
    <w:rsid w:val="213227A4"/>
    <w:rsid w:val="2134A3EA"/>
    <w:rsid w:val="21358633"/>
    <w:rsid w:val="213B3235"/>
    <w:rsid w:val="213B4917"/>
    <w:rsid w:val="213FC924"/>
    <w:rsid w:val="2142F5F2"/>
    <w:rsid w:val="2145A93F"/>
    <w:rsid w:val="21474EF8"/>
    <w:rsid w:val="214BF9A1"/>
    <w:rsid w:val="214D7F6B"/>
    <w:rsid w:val="215477A5"/>
    <w:rsid w:val="215ABE18"/>
    <w:rsid w:val="215F3CE2"/>
    <w:rsid w:val="21609D76"/>
    <w:rsid w:val="216128D9"/>
    <w:rsid w:val="2164392C"/>
    <w:rsid w:val="21650889"/>
    <w:rsid w:val="216BE541"/>
    <w:rsid w:val="216CEB5B"/>
    <w:rsid w:val="2172181B"/>
    <w:rsid w:val="217C0A8B"/>
    <w:rsid w:val="217CB37C"/>
    <w:rsid w:val="217EDCC6"/>
    <w:rsid w:val="218DB2F2"/>
    <w:rsid w:val="218EE178"/>
    <w:rsid w:val="219411BF"/>
    <w:rsid w:val="2194962E"/>
    <w:rsid w:val="219FEC41"/>
    <w:rsid w:val="21A63F3D"/>
    <w:rsid w:val="21ACE1D6"/>
    <w:rsid w:val="21B75B66"/>
    <w:rsid w:val="21BB62F5"/>
    <w:rsid w:val="21C79369"/>
    <w:rsid w:val="21C7DDB9"/>
    <w:rsid w:val="21C8D5F1"/>
    <w:rsid w:val="21CA31DD"/>
    <w:rsid w:val="21CE8439"/>
    <w:rsid w:val="21D36A6B"/>
    <w:rsid w:val="21DF936A"/>
    <w:rsid w:val="21E74200"/>
    <w:rsid w:val="21E8667E"/>
    <w:rsid w:val="21EB1C83"/>
    <w:rsid w:val="21F23CC2"/>
    <w:rsid w:val="21F37430"/>
    <w:rsid w:val="21F4E05F"/>
    <w:rsid w:val="220874E8"/>
    <w:rsid w:val="220B4A52"/>
    <w:rsid w:val="220E86A7"/>
    <w:rsid w:val="221A0CFC"/>
    <w:rsid w:val="221AECF5"/>
    <w:rsid w:val="221B3E36"/>
    <w:rsid w:val="221C1EEF"/>
    <w:rsid w:val="222D85BE"/>
    <w:rsid w:val="2230435C"/>
    <w:rsid w:val="2230AB52"/>
    <w:rsid w:val="22365849"/>
    <w:rsid w:val="223661CA"/>
    <w:rsid w:val="22376045"/>
    <w:rsid w:val="223DF2C7"/>
    <w:rsid w:val="223F465B"/>
    <w:rsid w:val="224A342E"/>
    <w:rsid w:val="2250F047"/>
    <w:rsid w:val="225B1BB0"/>
    <w:rsid w:val="225FFD08"/>
    <w:rsid w:val="22684B3C"/>
    <w:rsid w:val="22691BD1"/>
    <w:rsid w:val="2272832D"/>
    <w:rsid w:val="22768E12"/>
    <w:rsid w:val="2277967C"/>
    <w:rsid w:val="228226BA"/>
    <w:rsid w:val="228CCFBE"/>
    <w:rsid w:val="2292C008"/>
    <w:rsid w:val="229B897E"/>
    <w:rsid w:val="229F18D0"/>
    <w:rsid w:val="22A3F294"/>
    <w:rsid w:val="22A3FEB7"/>
    <w:rsid w:val="22AB65E1"/>
    <w:rsid w:val="22B16324"/>
    <w:rsid w:val="22B47E28"/>
    <w:rsid w:val="22BBDD47"/>
    <w:rsid w:val="22BD51BE"/>
    <w:rsid w:val="22C1B50A"/>
    <w:rsid w:val="22CA479E"/>
    <w:rsid w:val="22D1B5F4"/>
    <w:rsid w:val="22D31524"/>
    <w:rsid w:val="22D70296"/>
    <w:rsid w:val="22D9174D"/>
    <w:rsid w:val="22DF1F50"/>
    <w:rsid w:val="22E8309A"/>
    <w:rsid w:val="22EBEAAF"/>
    <w:rsid w:val="22EE5E53"/>
    <w:rsid w:val="22F31525"/>
    <w:rsid w:val="22F99E62"/>
    <w:rsid w:val="22FABDC9"/>
    <w:rsid w:val="2302A02F"/>
    <w:rsid w:val="2304DB3B"/>
    <w:rsid w:val="230B1B0B"/>
    <w:rsid w:val="231005DE"/>
    <w:rsid w:val="23101B51"/>
    <w:rsid w:val="2316883A"/>
    <w:rsid w:val="231A1C50"/>
    <w:rsid w:val="231C6F6B"/>
    <w:rsid w:val="231FEABD"/>
    <w:rsid w:val="232CCAC0"/>
    <w:rsid w:val="2338E3DC"/>
    <w:rsid w:val="233D9DD5"/>
    <w:rsid w:val="233E2ADA"/>
    <w:rsid w:val="234DF88D"/>
    <w:rsid w:val="235270F1"/>
    <w:rsid w:val="23679858"/>
    <w:rsid w:val="2369F3D7"/>
    <w:rsid w:val="237D094E"/>
    <w:rsid w:val="237D8ACB"/>
    <w:rsid w:val="23924F58"/>
    <w:rsid w:val="2398C5E1"/>
    <w:rsid w:val="23A15449"/>
    <w:rsid w:val="23A747D1"/>
    <w:rsid w:val="23A9C64A"/>
    <w:rsid w:val="23ACCE57"/>
    <w:rsid w:val="23ADEA5F"/>
    <w:rsid w:val="23B06DA2"/>
    <w:rsid w:val="23B1E826"/>
    <w:rsid w:val="23B31BED"/>
    <w:rsid w:val="23B65EE5"/>
    <w:rsid w:val="23B94A32"/>
    <w:rsid w:val="23C39986"/>
    <w:rsid w:val="23D7CAC0"/>
    <w:rsid w:val="23D96E49"/>
    <w:rsid w:val="23DD61FF"/>
    <w:rsid w:val="23E43897"/>
    <w:rsid w:val="23EEDC7D"/>
    <w:rsid w:val="23F47206"/>
    <w:rsid w:val="23F65942"/>
    <w:rsid w:val="23FDF0E7"/>
    <w:rsid w:val="240877F8"/>
    <w:rsid w:val="240E12F9"/>
    <w:rsid w:val="24123C34"/>
    <w:rsid w:val="241F7062"/>
    <w:rsid w:val="24209C13"/>
    <w:rsid w:val="242224D6"/>
    <w:rsid w:val="24294326"/>
    <w:rsid w:val="2429AE37"/>
    <w:rsid w:val="24317A5B"/>
    <w:rsid w:val="24384F19"/>
    <w:rsid w:val="243B3DA5"/>
    <w:rsid w:val="243BB3C1"/>
    <w:rsid w:val="24431171"/>
    <w:rsid w:val="24431D99"/>
    <w:rsid w:val="244B9797"/>
    <w:rsid w:val="244CBBB6"/>
    <w:rsid w:val="244DBFDD"/>
    <w:rsid w:val="244DEEE5"/>
    <w:rsid w:val="2451EEA6"/>
    <w:rsid w:val="245256D0"/>
    <w:rsid w:val="2453ED7E"/>
    <w:rsid w:val="2456D4E3"/>
    <w:rsid w:val="24597749"/>
    <w:rsid w:val="245C9162"/>
    <w:rsid w:val="2462856E"/>
    <w:rsid w:val="24662215"/>
    <w:rsid w:val="2467A489"/>
    <w:rsid w:val="247129CC"/>
    <w:rsid w:val="2471C7C1"/>
    <w:rsid w:val="2473A484"/>
    <w:rsid w:val="24788D89"/>
    <w:rsid w:val="247BE071"/>
    <w:rsid w:val="247F6584"/>
    <w:rsid w:val="2485DD41"/>
    <w:rsid w:val="248B9B94"/>
    <w:rsid w:val="2490B8EA"/>
    <w:rsid w:val="2493F9E4"/>
    <w:rsid w:val="2495ACEF"/>
    <w:rsid w:val="24A5CBA2"/>
    <w:rsid w:val="24A78A9C"/>
    <w:rsid w:val="24AC4D3B"/>
    <w:rsid w:val="24AC659B"/>
    <w:rsid w:val="24AD2C2A"/>
    <w:rsid w:val="24AED63C"/>
    <w:rsid w:val="24AF039A"/>
    <w:rsid w:val="24B2FCA9"/>
    <w:rsid w:val="24C99A47"/>
    <w:rsid w:val="24DA7007"/>
    <w:rsid w:val="24E5FEBA"/>
    <w:rsid w:val="24F09B15"/>
    <w:rsid w:val="24F94EF5"/>
    <w:rsid w:val="24FF9AF6"/>
    <w:rsid w:val="2505CE29"/>
    <w:rsid w:val="250B8B27"/>
    <w:rsid w:val="250BCA4C"/>
    <w:rsid w:val="250D71EB"/>
    <w:rsid w:val="250EE3A3"/>
    <w:rsid w:val="2514BDDA"/>
    <w:rsid w:val="2515C55F"/>
    <w:rsid w:val="25162C9A"/>
    <w:rsid w:val="25184F85"/>
    <w:rsid w:val="251A10DD"/>
    <w:rsid w:val="251EDE1F"/>
    <w:rsid w:val="2521E315"/>
    <w:rsid w:val="25283C26"/>
    <w:rsid w:val="253C8E8B"/>
    <w:rsid w:val="253CF990"/>
    <w:rsid w:val="253E3E8F"/>
    <w:rsid w:val="2544104B"/>
    <w:rsid w:val="25478CCE"/>
    <w:rsid w:val="25496CF2"/>
    <w:rsid w:val="255727CB"/>
    <w:rsid w:val="255DEDF7"/>
    <w:rsid w:val="25744559"/>
    <w:rsid w:val="25760E01"/>
    <w:rsid w:val="25762B56"/>
    <w:rsid w:val="25775632"/>
    <w:rsid w:val="257891F7"/>
    <w:rsid w:val="2578AD2C"/>
    <w:rsid w:val="25816069"/>
    <w:rsid w:val="258A475D"/>
    <w:rsid w:val="258D7E9F"/>
    <w:rsid w:val="258DC761"/>
    <w:rsid w:val="2592C15D"/>
    <w:rsid w:val="2597A1CB"/>
    <w:rsid w:val="2599C148"/>
    <w:rsid w:val="259D8302"/>
    <w:rsid w:val="25AE8294"/>
    <w:rsid w:val="25AF7511"/>
    <w:rsid w:val="25B86E81"/>
    <w:rsid w:val="25B9113C"/>
    <w:rsid w:val="25BCD58C"/>
    <w:rsid w:val="25BE1E4B"/>
    <w:rsid w:val="25CF6E8C"/>
    <w:rsid w:val="25CF8792"/>
    <w:rsid w:val="25D23510"/>
    <w:rsid w:val="25D4713D"/>
    <w:rsid w:val="25DAC76E"/>
    <w:rsid w:val="25DEB9F0"/>
    <w:rsid w:val="25E70EF5"/>
    <w:rsid w:val="25F532FF"/>
    <w:rsid w:val="25F5AA9E"/>
    <w:rsid w:val="25F64CAA"/>
    <w:rsid w:val="25F6F6F4"/>
    <w:rsid w:val="25FC308B"/>
    <w:rsid w:val="260113B2"/>
    <w:rsid w:val="260366CC"/>
    <w:rsid w:val="260F9BB2"/>
    <w:rsid w:val="2610DE8B"/>
    <w:rsid w:val="26147BFA"/>
    <w:rsid w:val="2617F81C"/>
    <w:rsid w:val="261AEF23"/>
    <w:rsid w:val="261BF1D5"/>
    <w:rsid w:val="261EA6DD"/>
    <w:rsid w:val="26238D61"/>
    <w:rsid w:val="26247BD1"/>
    <w:rsid w:val="26260FE5"/>
    <w:rsid w:val="26460C9F"/>
    <w:rsid w:val="26558E09"/>
    <w:rsid w:val="2656B998"/>
    <w:rsid w:val="265ACF6C"/>
    <w:rsid w:val="265D279B"/>
    <w:rsid w:val="266B9609"/>
    <w:rsid w:val="26786DFA"/>
    <w:rsid w:val="267CCD9C"/>
    <w:rsid w:val="267CFE2F"/>
    <w:rsid w:val="267D6028"/>
    <w:rsid w:val="2689429F"/>
    <w:rsid w:val="268FDC0F"/>
    <w:rsid w:val="26925958"/>
    <w:rsid w:val="26947985"/>
    <w:rsid w:val="26955354"/>
    <w:rsid w:val="2697462D"/>
    <w:rsid w:val="26990105"/>
    <w:rsid w:val="26AEA3E5"/>
    <w:rsid w:val="26B3A5AA"/>
    <w:rsid w:val="26B4990E"/>
    <w:rsid w:val="26B859B4"/>
    <w:rsid w:val="26CCCD6A"/>
    <w:rsid w:val="26DAEF16"/>
    <w:rsid w:val="26DC9083"/>
    <w:rsid w:val="26DF93E6"/>
    <w:rsid w:val="26E2F74E"/>
    <w:rsid w:val="26E31FF2"/>
    <w:rsid w:val="26E9A9F8"/>
    <w:rsid w:val="26F16291"/>
    <w:rsid w:val="26F22817"/>
    <w:rsid w:val="26F3D611"/>
    <w:rsid w:val="26F54F0D"/>
    <w:rsid w:val="26F56C4D"/>
    <w:rsid w:val="26FEDFC9"/>
    <w:rsid w:val="2702EA17"/>
    <w:rsid w:val="27055161"/>
    <w:rsid w:val="27061142"/>
    <w:rsid w:val="270F9EDB"/>
    <w:rsid w:val="27183C0B"/>
    <w:rsid w:val="271CAA03"/>
    <w:rsid w:val="2722C2FF"/>
    <w:rsid w:val="27234D88"/>
    <w:rsid w:val="272DB504"/>
    <w:rsid w:val="273D52CD"/>
    <w:rsid w:val="274D14B7"/>
    <w:rsid w:val="275B2834"/>
    <w:rsid w:val="275D8B1E"/>
    <w:rsid w:val="276325D2"/>
    <w:rsid w:val="27666EBE"/>
    <w:rsid w:val="27667ABE"/>
    <w:rsid w:val="276A48F9"/>
    <w:rsid w:val="276D4445"/>
    <w:rsid w:val="27853B49"/>
    <w:rsid w:val="2789E66B"/>
    <w:rsid w:val="278C91F3"/>
    <w:rsid w:val="278EBD0E"/>
    <w:rsid w:val="27964A9D"/>
    <w:rsid w:val="279AB7B3"/>
    <w:rsid w:val="27AB7B8A"/>
    <w:rsid w:val="27AFFF7C"/>
    <w:rsid w:val="27B20E18"/>
    <w:rsid w:val="27B6DCA5"/>
    <w:rsid w:val="27BC6463"/>
    <w:rsid w:val="27C44FC3"/>
    <w:rsid w:val="27C78629"/>
    <w:rsid w:val="27CE8F96"/>
    <w:rsid w:val="27D037E4"/>
    <w:rsid w:val="27D24FA5"/>
    <w:rsid w:val="27D3B65B"/>
    <w:rsid w:val="27D9553C"/>
    <w:rsid w:val="27E11815"/>
    <w:rsid w:val="27FC5122"/>
    <w:rsid w:val="27FC857F"/>
    <w:rsid w:val="2805120B"/>
    <w:rsid w:val="28066C72"/>
    <w:rsid w:val="28081967"/>
    <w:rsid w:val="280CDFFF"/>
    <w:rsid w:val="280D938A"/>
    <w:rsid w:val="28123C7F"/>
    <w:rsid w:val="28153AC2"/>
    <w:rsid w:val="281E5EC2"/>
    <w:rsid w:val="281F0C09"/>
    <w:rsid w:val="282F98C0"/>
    <w:rsid w:val="2848DA99"/>
    <w:rsid w:val="284A07EA"/>
    <w:rsid w:val="284AB43B"/>
    <w:rsid w:val="28510B24"/>
    <w:rsid w:val="2853DE2E"/>
    <w:rsid w:val="285581B8"/>
    <w:rsid w:val="285A9658"/>
    <w:rsid w:val="2870F83C"/>
    <w:rsid w:val="287180BF"/>
    <w:rsid w:val="28774CE2"/>
    <w:rsid w:val="2878F8BD"/>
    <w:rsid w:val="28819866"/>
    <w:rsid w:val="2884895E"/>
    <w:rsid w:val="288D013A"/>
    <w:rsid w:val="289DF986"/>
    <w:rsid w:val="28A735AD"/>
    <w:rsid w:val="28AD3AF2"/>
    <w:rsid w:val="28B41927"/>
    <w:rsid w:val="28BC15C2"/>
    <w:rsid w:val="28BFACC9"/>
    <w:rsid w:val="28C21D23"/>
    <w:rsid w:val="28D78B9D"/>
    <w:rsid w:val="28DF512F"/>
    <w:rsid w:val="28E33D42"/>
    <w:rsid w:val="28EA3082"/>
    <w:rsid w:val="28EA31F7"/>
    <w:rsid w:val="28EBE0EF"/>
    <w:rsid w:val="28F2E756"/>
    <w:rsid w:val="28F603EC"/>
    <w:rsid w:val="28F922C1"/>
    <w:rsid w:val="29058551"/>
    <w:rsid w:val="290679AB"/>
    <w:rsid w:val="29070C14"/>
    <w:rsid w:val="2912A14B"/>
    <w:rsid w:val="2917BE90"/>
    <w:rsid w:val="291A6AB3"/>
    <w:rsid w:val="291B7942"/>
    <w:rsid w:val="2920D00E"/>
    <w:rsid w:val="292CDFB9"/>
    <w:rsid w:val="29363E68"/>
    <w:rsid w:val="293671C5"/>
    <w:rsid w:val="29473B7D"/>
    <w:rsid w:val="294C50BA"/>
    <w:rsid w:val="294C70DB"/>
    <w:rsid w:val="2960E15B"/>
    <w:rsid w:val="2968ED06"/>
    <w:rsid w:val="296A5115"/>
    <w:rsid w:val="296A9F58"/>
    <w:rsid w:val="2972957A"/>
    <w:rsid w:val="2975FFAA"/>
    <w:rsid w:val="297859FE"/>
    <w:rsid w:val="29861E68"/>
    <w:rsid w:val="298C8C05"/>
    <w:rsid w:val="299C7A40"/>
    <w:rsid w:val="299DABBE"/>
    <w:rsid w:val="29A2AF79"/>
    <w:rsid w:val="29ACFBDC"/>
    <w:rsid w:val="29B4B2DB"/>
    <w:rsid w:val="29B7F845"/>
    <w:rsid w:val="29B8D906"/>
    <w:rsid w:val="29CB57E4"/>
    <w:rsid w:val="29D08555"/>
    <w:rsid w:val="29D223E5"/>
    <w:rsid w:val="29DBB374"/>
    <w:rsid w:val="29DD0903"/>
    <w:rsid w:val="29DF6D3E"/>
    <w:rsid w:val="29E2A215"/>
    <w:rsid w:val="29E2D8C3"/>
    <w:rsid w:val="29E579C4"/>
    <w:rsid w:val="29E73650"/>
    <w:rsid w:val="29EE4D8F"/>
    <w:rsid w:val="29F11F97"/>
    <w:rsid w:val="29F29700"/>
    <w:rsid w:val="29FC0EE8"/>
    <w:rsid w:val="2A04C358"/>
    <w:rsid w:val="2A0B5181"/>
    <w:rsid w:val="2A154BB0"/>
    <w:rsid w:val="2A183035"/>
    <w:rsid w:val="2A23F360"/>
    <w:rsid w:val="2A2E1740"/>
    <w:rsid w:val="2A33ECA9"/>
    <w:rsid w:val="2A3B55B9"/>
    <w:rsid w:val="2A3E6A8E"/>
    <w:rsid w:val="2A40F4F9"/>
    <w:rsid w:val="2A43FA09"/>
    <w:rsid w:val="2A497544"/>
    <w:rsid w:val="2A530350"/>
    <w:rsid w:val="2A545D6F"/>
    <w:rsid w:val="2A5DE5E0"/>
    <w:rsid w:val="2A5E8886"/>
    <w:rsid w:val="2A61E2BA"/>
    <w:rsid w:val="2A61F6A0"/>
    <w:rsid w:val="2A625404"/>
    <w:rsid w:val="2A67BF04"/>
    <w:rsid w:val="2A687208"/>
    <w:rsid w:val="2A6D326B"/>
    <w:rsid w:val="2A77D603"/>
    <w:rsid w:val="2A7821E7"/>
    <w:rsid w:val="2A7A5C31"/>
    <w:rsid w:val="2A821326"/>
    <w:rsid w:val="2A871F97"/>
    <w:rsid w:val="2A87D837"/>
    <w:rsid w:val="2A88D0FF"/>
    <w:rsid w:val="2A89F186"/>
    <w:rsid w:val="2A8B4531"/>
    <w:rsid w:val="2A8B58B5"/>
    <w:rsid w:val="2A8C59D7"/>
    <w:rsid w:val="2A8F3289"/>
    <w:rsid w:val="2A95E0DD"/>
    <w:rsid w:val="2A97D2AF"/>
    <w:rsid w:val="2A9A7D06"/>
    <w:rsid w:val="2A9D40A6"/>
    <w:rsid w:val="2AA43429"/>
    <w:rsid w:val="2AA71758"/>
    <w:rsid w:val="2AAD563F"/>
    <w:rsid w:val="2AB08504"/>
    <w:rsid w:val="2AB40544"/>
    <w:rsid w:val="2AC3E5BF"/>
    <w:rsid w:val="2ACCAC2C"/>
    <w:rsid w:val="2AD04D24"/>
    <w:rsid w:val="2AD14E69"/>
    <w:rsid w:val="2AD726E3"/>
    <w:rsid w:val="2AD85B37"/>
    <w:rsid w:val="2AECF96E"/>
    <w:rsid w:val="2AEE8FDF"/>
    <w:rsid w:val="2AEE93AE"/>
    <w:rsid w:val="2AF02B72"/>
    <w:rsid w:val="2AF73A91"/>
    <w:rsid w:val="2AFC6CCE"/>
    <w:rsid w:val="2AFF66E3"/>
    <w:rsid w:val="2AFF8FFB"/>
    <w:rsid w:val="2B007DD9"/>
    <w:rsid w:val="2B008213"/>
    <w:rsid w:val="2B034511"/>
    <w:rsid w:val="2B12A0D8"/>
    <w:rsid w:val="2B17D39D"/>
    <w:rsid w:val="2B2BD22F"/>
    <w:rsid w:val="2B38234C"/>
    <w:rsid w:val="2B3831E9"/>
    <w:rsid w:val="2B457659"/>
    <w:rsid w:val="2B45DF5B"/>
    <w:rsid w:val="2B45FECC"/>
    <w:rsid w:val="2B461FF3"/>
    <w:rsid w:val="2B4AE7FD"/>
    <w:rsid w:val="2B4CE803"/>
    <w:rsid w:val="2B4DB6B5"/>
    <w:rsid w:val="2B4FDE16"/>
    <w:rsid w:val="2B513091"/>
    <w:rsid w:val="2B587549"/>
    <w:rsid w:val="2B5D8354"/>
    <w:rsid w:val="2B5ECFD5"/>
    <w:rsid w:val="2B60B1A4"/>
    <w:rsid w:val="2B62FB06"/>
    <w:rsid w:val="2B6E5E6D"/>
    <w:rsid w:val="2B77312A"/>
    <w:rsid w:val="2B8337D1"/>
    <w:rsid w:val="2B88D40C"/>
    <w:rsid w:val="2B98BA62"/>
    <w:rsid w:val="2B9B7750"/>
    <w:rsid w:val="2BA446F0"/>
    <w:rsid w:val="2BA4D6C6"/>
    <w:rsid w:val="2BB21289"/>
    <w:rsid w:val="2BB3455D"/>
    <w:rsid w:val="2BB8D4B0"/>
    <w:rsid w:val="2BC1BC1B"/>
    <w:rsid w:val="2BCB56AF"/>
    <w:rsid w:val="2BCD4D65"/>
    <w:rsid w:val="2BCDEEB1"/>
    <w:rsid w:val="2BCDF55E"/>
    <w:rsid w:val="2BD61BAC"/>
    <w:rsid w:val="2BDB9FA8"/>
    <w:rsid w:val="2BDBD5C7"/>
    <w:rsid w:val="2BE41862"/>
    <w:rsid w:val="2BEB86DB"/>
    <w:rsid w:val="2BEC7E06"/>
    <w:rsid w:val="2BF2DCFC"/>
    <w:rsid w:val="2C0002D6"/>
    <w:rsid w:val="2C01E76D"/>
    <w:rsid w:val="2C0902CC"/>
    <w:rsid w:val="2C0D3310"/>
    <w:rsid w:val="2C0FFC87"/>
    <w:rsid w:val="2C155026"/>
    <w:rsid w:val="2C289088"/>
    <w:rsid w:val="2C2D6DC3"/>
    <w:rsid w:val="2C4129C6"/>
    <w:rsid w:val="2C49D2BF"/>
    <w:rsid w:val="2C4CE120"/>
    <w:rsid w:val="2C4D2B0C"/>
    <w:rsid w:val="2C535C6F"/>
    <w:rsid w:val="2C545252"/>
    <w:rsid w:val="2C5F910C"/>
    <w:rsid w:val="2C68BA20"/>
    <w:rsid w:val="2C6E3D19"/>
    <w:rsid w:val="2C7D54E3"/>
    <w:rsid w:val="2C8573C4"/>
    <w:rsid w:val="2C862007"/>
    <w:rsid w:val="2C869747"/>
    <w:rsid w:val="2C8BDAB8"/>
    <w:rsid w:val="2C8D447B"/>
    <w:rsid w:val="2C8F5215"/>
    <w:rsid w:val="2C930AF2"/>
    <w:rsid w:val="2C94408A"/>
    <w:rsid w:val="2C9BE511"/>
    <w:rsid w:val="2C9D72EB"/>
    <w:rsid w:val="2CA137E8"/>
    <w:rsid w:val="2CA228CF"/>
    <w:rsid w:val="2CA23BD5"/>
    <w:rsid w:val="2CA5A9AA"/>
    <w:rsid w:val="2CA82339"/>
    <w:rsid w:val="2CCB6F48"/>
    <w:rsid w:val="2CD22C6D"/>
    <w:rsid w:val="2CD48423"/>
    <w:rsid w:val="2CD6885F"/>
    <w:rsid w:val="2CD8512F"/>
    <w:rsid w:val="2CD98E71"/>
    <w:rsid w:val="2CDAA3CF"/>
    <w:rsid w:val="2CE39D62"/>
    <w:rsid w:val="2CE58915"/>
    <w:rsid w:val="2CEDE084"/>
    <w:rsid w:val="2CF20601"/>
    <w:rsid w:val="2CF89082"/>
    <w:rsid w:val="2CFA333F"/>
    <w:rsid w:val="2CFB16E8"/>
    <w:rsid w:val="2D035864"/>
    <w:rsid w:val="2D095583"/>
    <w:rsid w:val="2D098EF7"/>
    <w:rsid w:val="2D0D11E6"/>
    <w:rsid w:val="2D0EB29E"/>
    <w:rsid w:val="2D1B9874"/>
    <w:rsid w:val="2D2AB90F"/>
    <w:rsid w:val="2D2B1DB6"/>
    <w:rsid w:val="2D2BD178"/>
    <w:rsid w:val="2D2C347C"/>
    <w:rsid w:val="2D3FC2D7"/>
    <w:rsid w:val="2D4A06D4"/>
    <w:rsid w:val="2D4B186D"/>
    <w:rsid w:val="2D55B99C"/>
    <w:rsid w:val="2D60226B"/>
    <w:rsid w:val="2D6B6B8C"/>
    <w:rsid w:val="2D6BF8BE"/>
    <w:rsid w:val="2D748D48"/>
    <w:rsid w:val="2D76C4BD"/>
    <w:rsid w:val="2D811606"/>
    <w:rsid w:val="2D8320BF"/>
    <w:rsid w:val="2D83FD4B"/>
    <w:rsid w:val="2DA38D95"/>
    <w:rsid w:val="2DA44C1C"/>
    <w:rsid w:val="2DABE519"/>
    <w:rsid w:val="2DADCC32"/>
    <w:rsid w:val="2DB17AAB"/>
    <w:rsid w:val="2DB8FABA"/>
    <w:rsid w:val="2DBF8F48"/>
    <w:rsid w:val="2DC1E467"/>
    <w:rsid w:val="2DCA6E05"/>
    <w:rsid w:val="2DCCB6CD"/>
    <w:rsid w:val="2DCE7CC9"/>
    <w:rsid w:val="2DD2AF6D"/>
    <w:rsid w:val="2DDEA436"/>
    <w:rsid w:val="2DEA285E"/>
    <w:rsid w:val="2DF70BED"/>
    <w:rsid w:val="2DFE75EA"/>
    <w:rsid w:val="2E0FD66B"/>
    <w:rsid w:val="2E12055B"/>
    <w:rsid w:val="2E12B0DA"/>
    <w:rsid w:val="2E13ED34"/>
    <w:rsid w:val="2E1A86CA"/>
    <w:rsid w:val="2E1E4C8A"/>
    <w:rsid w:val="2E1EAA17"/>
    <w:rsid w:val="2E1F1C21"/>
    <w:rsid w:val="2E21DE21"/>
    <w:rsid w:val="2E233ED4"/>
    <w:rsid w:val="2E296F4C"/>
    <w:rsid w:val="2E2E04FB"/>
    <w:rsid w:val="2E2F7B8B"/>
    <w:rsid w:val="2E310D07"/>
    <w:rsid w:val="2E3316F2"/>
    <w:rsid w:val="2E33FC51"/>
    <w:rsid w:val="2E37B02F"/>
    <w:rsid w:val="2E3DEAEE"/>
    <w:rsid w:val="2E404BB8"/>
    <w:rsid w:val="2E4198C4"/>
    <w:rsid w:val="2E44765E"/>
    <w:rsid w:val="2E4B6482"/>
    <w:rsid w:val="2E4F8B7B"/>
    <w:rsid w:val="2E50D422"/>
    <w:rsid w:val="2E50DDEB"/>
    <w:rsid w:val="2E5F16A9"/>
    <w:rsid w:val="2E5F943E"/>
    <w:rsid w:val="2E60FFE1"/>
    <w:rsid w:val="2E643702"/>
    <w:rsid w:val="2E6E08E1"/>
    <w:rsid w:val="2E733AF4"/>
    <w:rsid w:val="2E78F74F"/>
    <w:rsid w:val="2E7A2B60"/>
    <w:rsid w:val="2E800759"/>
    <w:rsid w:val="2E85F2B9"/>
    <w:rsid w:val="2E8C9B35"/>
    <w:rsid w:val="2E8DF4AC"/>
    <w:rsid w:val="2E8E94DB"/>
    <w:rsid w:val="2E91E526"/>
    <w:rsid w:val="2E94596F"/>
    <w:rsid w:val="2E959AAF"/>
    <w:rsid w:val="2E975F60"/>
    <w:rsid w:val="2E99850D"/>
    <w:rsid w:val="2E9B58A4"/>
    <w:rsid w:val="2EA538E0"/>
    <w:rsid w:val="2EA96C6E"/>
    <w:rsid w:val="2EACB878"/>
    <w:rsid w:val="2EADDCE0"/>
    <w:rsid w:val="2EBBD5FD"/>
    <w:rsid w:val="2EBD8856"/>
    <w:rsid w:val="2EC2170A"/>
    <w:rsid w:val="2EC4FD02"/>
    <w:rsid w:val="2EC5F7C0"/>
    <w:rsid w:val="2EC81309"/>
    <w:rsid w:val="2EC92225"/>
    <w:rsid w:val="2ECE658A"/>
    <w:rsid w:val="2ED52081"/>
    <w:rsid w:val="2ED58180"/>
    <w:rsid w:val="2EDAB6FD"/>
    <w:rsid w:val="2EE64D72"/>
    <w:rsid w:val="2EE8DA35"/>
    <w:rsid w:val="2EF90CC7"/>
    <w:rsid w:val="2EFDE98B"/>
    <w:rsid w:val="2F00AC14"/>
    <w:rsid w:val="2F02B835"/>
    <w:rsid w:val="2F046A18"/>
    <w:rsid w:val="2F0A5F04"/>
    <w:rsid w:val="2F0CFCE0"/>
    <w:rsid w:val="2F0ECFC1"/>
    <w:rsid w:val="2F0FBB56"/>
    <w:rsid w:val="2F144846"/>
    <w:rsid w:val="2F1A2BFE"/>
    <w:rsid w:val="2F40A38E"/>
    <w:rsid w:val="2F44BFBD"/>
    <w:rsid w:val="2F4B7BD9"/>
    <w:rsid w:val="2F4DF9D4"/>
    <w:rsid w:val="2F4F1636"/>
    <w:rsid w:val="2F541EBB"/>
    <w:rsid w:val="2F54DC59"/>
    <w:rsid w:val="2F577600"/>
    <w:rsid w:val="2F5AB626"/>
    <w:rsid w:val="2F68E5DB"/>
    <w:rsid w:val="2F6DB88F"/>
    <w:rsid w:val="2F7139B2"/>
    <w:rsid w:val="2F75F2D9"/>
    <w:rsid w:val="2F7A43BF"/>
    <w:rsid w:val="2F82D95D"/>
    <w:rsid w:val="2F831461"/>
    <w:rsid w:val="2F86CBAB"/>
    <w:rsid w:val="2F875728"/>
    <w:rsid w:val="2F973877"/>
    <w:rsid w:val="2F983A8E"/>
    <w:rsid w:val="2F9C8E3D"/>
    <w:rsid w:val="2FABC407"/>
    <w:rsid w:val="2FB71AC7"/>
    <w:rsid w:val="2FB7607E"/>
    <w:rsid w:val="2FBAD18A"/>
    <w:rsid w:val="2FC27AB4"/>
    <w:rsid w:val="2FC9E6AA"/>
    <w:rsid w:val="2FCCB505"/>
    <w:rsid w:val="2FD7A266"/>
    <w:rsid w:val="2FD89EC4"/>
    <w:rsid w:val="2FEB1AC4"/>
    <w:rsid w:val="2FEDB61E"/>
    <w:rsid w:val="2FEE243F"/>
    <w:rsid w:val="2FF25875"/>
    <w:rsid w:val="2FF4525E"/>
    <w:rsid w:val="2FF52AD4"/>
    <w:rsid w:val="2FF72CE4"/>
    <w:rsid w:val="30044066"/>
    <w:rsid w:val="3011425B"/>
    <w:rsid w:val="3019507E"/>
    <w:rsid w:val="3024264E"/>
    <w:rsid w:val="302E30BB"/>
    <w:rsid w:val="302FC211"/>
    <w:rsid w:val="30356102"/>
    <w:rsid w:val="3035BA51"/>
    <w:rsid w:val="303B8097"/>
    <w:rsid w:val="303D8932"/>
    <w:rsid w:val="30445C63"/>
    <w:rsid w:val="304A0F9B"/>
    <w:rsid w:val="305DED5E"/>
    <w:rsid w:val="305EB1F5"/>
    <w:rsid w:val="30604EAD"/>
    <w:rsid w:val="306789CF"/>
    <w:rsid w:val="306A78C0"/>
    <w:rsid w:val="306C6FB9"/>
    <w:rsid w:val="30718D05"/>
    <w:rsid w:val="30778191"/>
    <w:rsid w:val="30836955"/>
    <w:rsid w:val="3086A670"/>
    <w:rsid w:val="3088C4E9"/>
    <w:rsid w:val="308C7E28"/>
    <w:rsid w:val="3098CCDD"/>
    <w:rsid w:val="30996455"/>
    <w:rsid w:val="309F0901"/>
    <w:rsid w:val="30B19C06"/>
    <w:rsid w:val="30B9BB8B"/>
    <w:rsid w:val="30BA83A7"/>
    <w:rsid w:val="30C50F72"/>
    <w:rsid w:val="30C67E7D"/>
    <w:rsid w:val="30C9643D"/>
    <w:rsid w:val="30D60A4F"/>
    <w:rsid w:val="30D7498B"/>
    <w:rsid w:val="30EB7D66"/>
    <w:rsid w:val="30EF19EE"/>
    <w:rsid w:val="30F196AC"/>
    <w:rsid w:val="30F5D514"/>
    <w:rsid w:val="30F6A211"/>
    <w:rsid w:val="30FB3AAE"/>
    <w:rsid w:val="3102DA65"/>
    <w:rsid w:val="3103CE14"/>
    <w:rsid w:val="3103EDF9"/>
    <w:rsid w:val="3107E7B6"/>
    <w:rsid w:val="310877AD"/>
    <w:rsid w:val="31162C11"/>
    <w:rsid w:val="31181CB3"/>
    <w:rsid w:val="31197828"/>
    <w:rsid w:val="3119A96E"/>
    <w:rsid w:val="311AD258"/>
    <w:rsid w:val="311CC3C3"/>
    <w:rsid w:val="311FD8AA"/>
    <w:rsid w:val="3122B944"/>
    <w:rsid w:val="31273EF5"/>
    <w:rsid w:val="312A9403"/>
    <w:rsid w:val="313E8D8E"/>
    <w:rsid w:val="3149DA84"/>
    <w:rsid w:val="314A9C39"/>
    <w:rsid w:val="314BC103"/>
    <w:rsid w:val="31569492"/>
    <w:rsid w:val="3156B554"/>
    <w:rsid w:val="3163BF42"/>
    <w:rsid w:val="31743996"/>
    <w:rsid w:val="317D8BFC"/>
    <w:rsid w:val="318319D9"/>
    <w:rsid w:val="31855F86"/>
    <w:rsid w:val="31875ACA"/>
    <w:rsid w:val="319D393A"/>
    <w:rsid w:val="319D4DE7"/>
    <w:rsid w:val="31A33E98"/>
    <w:rsid w:val="31A86C0A"/>
    <w:rsid w:val="31A8A270"/>
    <w:rsid w:val="31B04916"/>
    <w:rsid w:val="31B2A97B"/>
    <w:rsid w:val="31B3684F"/>
    <w:rsid w:val="31B4EDB7"/>
    <w:rsid w:val="31B80D8E"/>
    <w:rsid w:val="31B9AE73"/>
    <w:rsid w:val="31C4586F"/>
    <w:rsid w:val="31C65D1F"/>
    <w:rsid w:val="31C69F40"/>
    <w:rsid w:val="31C8A3F1"/>
    <w:rsid w:val="31CEE33C"/>
    <w:rsid w:val="31DC6B9A"/>
    <w:rsid w:val="31DD168C"/>
    <w:rsid w:val="31E987A2"/>
    <w:rsid w:val="31ED6F95"/>
    <w:rsid w:val="31EE9975"/>
    <w:rsid w:val="31FE1923"/>
    <w:rsid w:val="31FF1942"/>
    <w:rsid w:val="31FF1BC3"/>
    <w:rsid w:val="320480FA"/>
    <w:rsid w:val="320A3469"/>
    <w:rsid w:val="320B2217"/>
    <w:rsid w:val="32144430"/>
    <w:rsid w:val="32169023"/>
    <w:rsid w:val="321C0197"/>
    <w:rsid w:val="32258884"/>
    <w:rsid w:val="3225B7A5"/>
    <w:rsid w:val="3227A8D2"/>
    <w:rsid w:val="32322CB1"/>
    <w:rsid w:val="3238D0C6"/>
    <w:rsid w:val="32412B41"/>
    <w:rsid w:val="324268E6"/>
    <w:rsid w:val="32465089"/>
    <w:rsid w:val="324B9C5C"/>
    <w:rsid w:val="3251136D"/>
    <w:rsid w:val="325807E8"/>
    <w:rsid w:val="32623F53"/>
    <w:rsid w:val="326455C9"/>
    <w:rsid w:val="326CBCE6"/>
    <w:rsid w:val="327656AA"/>
    <w:rsid w:val="327BFFBA"/>
    <w:rsid w:val="327C56B4"/>
    <w:rsid w:val="3281BF97"/>
    <w:rsid w:val="32892E5D"/>
    <w:rsid w:val="32893AB7"/>
    <w:rsid w:val="328A4D20"/>
    <w:rsid w:val="328ACC74"/>
    <w:rsid w:val="328BDEC7"/>
    <w:rsid w:val="32909588"/>
    <w:rsid w:val="3295FF4C"/>
    <w:rsid w:val="329E56B9"/>
    <w:rsid w:val="32A1F371"/>
    <w:rsid w:val="32A4F3B4"/>
    <w:rsid w:val="32A51ABE"/>
    <w:rsid w:val="32A5C2F9"/>
    <w:rsid w:val="32AC2370"/>
    <w:rsid w:val="32B81D92"/>
    <w:rsid w:val="32B87352"/>
    <w:rsid w:val="32B9A817"/>
    <w:rsid w:val="32BDAD0F"/>
    <w:rsid w:val="32BFF86C"/>
    <w:rsid w:val="32D0854A"/>
    <w:rsid w:val="32DD0990"/>
    <w:rsid w:val="32E17D79"/>
    <w:rsid w:val="32E71C93"/>
    <w:rsid w:val="32E81DBC"/>
    <w:rsid w:val="32F5EA9B"/>
    <w:rsid w:val="32F938BF"/>
    <w:rsid w:val="32FAF790"/>
    <w:rsid w:val="33059AA5"/>
    <w:rsid w:val="330FB68F"/>
    <w:rsid w:val="3316DEA5"/>
    <w:rsid w:val="331DFE81"/>
    <w:rsid w:val="3322B787"/>
    <w:rsid w:val="3323E844"/>
    <w:rsid w:val="3328E5E4"/>
    <w:rsid w:val="33328916"/>
    <w:rsid w:val="333648B8"/>
    <w:rsid w:val="333A2D64"/>
    <w:rsid w:val="3344621D"/>
    <w:rsid w:val="3348C261"/>
    <w:rsid w:val="334DE64F"/>
    <w:rsid w:val="33536DDA"/>
    <w:rsid w:val="335E745C"/>
    <w:rsid w:val="336B95DF"/>
    <w:rsid w:val="338336C6"/>
    <w:rsid w:val="3384EE22"/>
    <w:rsid w:val="338557B0"/>
    <w:rsid w:val="3387A9CE"/>
    <w:rsid w:val="33888D16"/>
    <w:rsid w:val="33957CF0"/>
    <w:rsid w:val="339CCEE3"/>
    <w:rsid w:val="339CD7A2"/>
    <w:rsid w:val="339FA4AC"/>
    <w:rsid w:val="33A45D21"/>
    <w:rsid w:val="33A53092"/>
    <w:rsid w:val="33AF1771"/>
    <w:rsid w:val="33AF5D85"/>
    <w:rsid w:val="33B1764E"/>
    <w:rsid w:val="33BC7B46"/>
    <w:rsid w:val="33BCC719"/>
    <w:rsid w:val="33BDFC0B"/>
    <w:rsid w:val="33C20744"/>
    <w:rsid w:val="33C33FC0"/>
    <w:rsid w:val="33D17547"/>
    <w:rsid w:val="33D3DDC9"/>
    <w:rsid w:val="33DB40CD"/>
    <w:rsid w:val="33DD2082"/>
    <w:rsid w:val="33E983EE"/>
    <w:rsid w:val="34026B3A"/>
    <w:rsid w:val="340B0E66"/>
    <w:rsid w:val="340D9E08"/>
    <w:rsid w:val="342EEB05"/>
    <w:rsid w:val="34308A38"/>
    <w:rsid w:val="3437F6EA"/>
    <w:rsid w:val="343A59A3"/>
    <w:rsid w:val="343CF808"/>
    <w:rsid w:val="343E1A3F"/>
    <w:rsid w:val="34458914"/>
    <w:rsid w:val="34574149"/>
    <w:rsid w:val="3457FD4B"/>
    <w:rsid w:val="345E12F9"/>
    <w:rsid w:val="34656025"/>
    <w:rsid w:val="346D37E5"/>
    <w:rsid w:val="346F569E"/>
    <w:rsid w:val="34765718"/>
    <w:rsid w:val="347769BE"/>
    <w:rsid w:val="347EE82A"/>
    <w:rsid w:val="34817467"/>
    <w:rsid w:val="34878D84"/>
    <w:rsid w:val="348A84CE"/>
    <w:rsid w:val="348C326C"/>
    <w:rsid w:val="3493CF5D"/>
    <w:rsid w:val="34960271"/>
    <w:rsid w:val="34990343"/>
    <w:rsid w:val="34A3095F"/>
    <w:rsid w:val="34A4E65A"/>
    <w:rsid w:val="34A67BD6"/>
    <w:rsid w:val="34A861F0"/>
    <w:rsid w:val="34AC3725"/>
    <w:rsid w:val="34B4E51F"/>
    <w:rsid w:val="34B5E0D1"/>
    <w:rsid w:val="34B660E7"/>
    <w:rsid w:val="34BD71CF"/>
    <w:rsid w:val="34C4A04F"/>
    <w:rsid w:val="34C53844"/>
    <w:rsid w:val="34CDB7F8"/>
    <w:rsid w:val="34D3A416"/>
    <w:rsid w:val="34DA9536"/>
    <w:rsid w:val="34E2FC79"/>
    <w:rsid w:val="34E75C10"/>
    <w:rsid w:val="34E8E675"/>
    <w:rsid w:val="34F1DC19"/>
    <w:rsid w:val="34F5243E"/>
    <w:rsid w:val="34F6E17A"/>
    <w:rsid w:val="35004999"/>
    <w:rsid w:val="3511F9D6"/>
    <w:rsid w:val="351449B1"/>
    <w:rsid w:val="3525989F"/>
    <w:rsid w:val="3528A8D2"/>
    <w:rsid w:val="3529F532"/>
    <w:rsid w:val="352BF777"/>
    <w:rsid w:val="3540238D"/>
    <w:rsid w:val="354140B2"/>
    <w:rsid w:val="35438C5F"/>
    <w:rsid w:val="3546C570"/>
    <w:rsid w:val="354956BA"/>
    <w:rsid w:val="3556E374"/>
    <w:rsid w:val="3558CF4B"/>
    <w:rsid w:val="355C9795"/>
    <w:rsid w:val="355CB28C"/>
    <w:rsid w:val="3564C695"/>
    <w:rsid w:val="356A3FBB"/>
    <w:rsid w:val="356A809D"/>
    <w:rsid w:val="356E62D1"/>
    <w:rsid w:val="3570FDEC"/>
    <w:rsid w:val="35766BC5"/>
    <w:rsid w:val="357963F0"/>
    <w:rsid w:val="35875B04"/>
    <w:rsid w:val="35880C81"/>
    <w:rsid w:val="35918F6C"/>
    <w:rsid w:val="3593A0A8"/>
    <w:rsid w:val="359CD050"/>
    <w:rsid w:val="359D3B73"/>
    <w:rsid w:val="35AAE2E6"/>
    <w:rsid w:val="35AC56AC"/>
    <w:rsid w:val="35AE17CE"/>
    <w:rsid w:val="35AE50FC"/>
    <w:rsid w:val="35B5EDB4"/>
    <w:rsid w:val="35B931D2"/>
    <w:rsid w:val="35C1F365"/>
    <w:rsid w:val="35C37E5E"/>
    <w:rsid w:val="35C7B603"/>
    <w:rsid w:val="35D45A9E"/>
    <w:rsid w:val="35DC8336"/>
    <w:rsid w:val="35E2854D"/>
    <w:rsid w:val="35E32E26"/>
    <w:rsid w:val="35E5E2D9"/>
    <w:rsid w:val="35E6DEAD"/>
    <w:rsid w:val="35E8AE88"/>
    <w:rsid w:val="35E9C648"/>
    <w:rsid w:val="35EDC0EA"/>
    <w:rsid w:val="35F45ADE"/>
    <w:rsid w:val="35F46573"/>
    <w:rsid w:val="35F55317"/>
    <w:rsid w:val="35F5BA25"/>
    <w:rsid w:val="3616ECE8"/>
    <w:rsid w:val="361ADA73"/>
    <w:rsid w:val="361D9E6B"/>
    <w:rsid w:val="3622D04E"/>
    <w:rsid w:val="36275B20"/>
    <w:rsid w:val="36293670"/>
    <w:rsid w:val="362BA2CB"/>
    <w:rsid w:val="362F927A"/>
    <w:rsid w:val="3637E957"/>
    <w:rsid w:val="363F1544"/>
    <w:rsid w:val="36416A7E"/>
    <w:rsid w:val="36435ECF"/>
    <w:rsid w:val="364C6653"/>
    <w:rsid w:val="364FF34B"/>
    <w:rsid w:val="3654469B"/>
    <w:rsid w:val="3657412C"/>
    <w:rsid w:val="365A45D9"/>
    <w:rsid w:val="36605CD7"/>
    <w:rsid w:val="3665D77F"/>
    <w:rsid w:val="3666770A"/>
    <w:rsid w:val="366F3C2C"/>
    <w:rsid w:val="36727F2E"/>
    <w:rsid w:val="3672C2F3"/>
    <w:rsid w:val="3676C7B6"/>
    <w:rsid w:val="367A30A9"/>
    <w:rsid w:val="3690E13D"/>
    <w:rsid w:val="3692B1DB"/>
    <w:rsid w:val="36979A76"/>
    <w:rsid w:val="3698CC85"/>
    <w:rsid w:val="36998F8B"/>
    <w:rsid w:val="36A3329F"/>
    <w:rsid w:val="36A4B19F"/>
    <w:rsid w:val="36B8BEA0"/>
    <w:rsid w:val="36B961E9"/>
    <w:rsid w:val="36B9691A"/>
    <w:rsid w:val="36C4457C"/>
    <w:rsid w:val="36C590D9"/>
    <w:rsid w:val="36C64375"/>
    <w:rsid w:val="36D397C0"/>
    <w:rsid w:val="36E0812C"/>
    <w:rsid w:val="36E4B17E"/>
    <w:rsid w:val="36EC7DE2"/>
    <w:rsid w:val="36F8229E"/>
    <w:rsid w:val="3707938F"/>
    <w:rsid w:val="3722F5B0"/>
    <w:rsid w:val="372415D7"/>
    <w:rsid w:val="37269362"/>
    <w:rsid w:val="372A379A"/>
    <w:rsid w:val="372DF7D9"/>
    <w:rsid w:val="372E2584"/>
    <w:rsid w:val="372F0974"/>
    <w:rsid w:val="374972BD"/>
    <w:rsid w:val="37546589"/>
    <w:rsid w:val="3754E990"/>
    <w:rsid w:val="37624010"/>
    <w:rsid w:val="376C3EA0"/>
    <w:rsid w:val="376D7A2C"/>
    <w:rsid w:val="3770A309"/>
    <w:rsid w:val="3771C990"/>
    <w:rsid w:val="3774383C"/>
    <w:rsid w:val="3774A174"/>
    <w:rsid w:val="37774979"/>
    <w:rsid w:val="37845D81"/>
    <w:rsid w:val="378D1C42"/>
    <w:rsid w:val="378E0D2B"/>
    <w:rsid w:val="3790247E"/>
    <w:rsid w:val="379C1912"/>
    <w:rsid w:val="37A806A0"/>
    <w:rsid w:val="37ABD800"/>
    <w:rsid w:val="37AC7BDE"/>
    <w:rsid w:val="37ACE6D3"/>
    <w:rsid w:val="37AD08DB"/>
    <w:rsid w:val="37AFE707"/>
    <w:rsid w:val="37B91EF2"/>
    <w:rsid w:val="37BECE7B"/>
    <w:rsid w:val="37C74ECA"/>
    <w:rsid w:val="37C8DD13"/>
    <w:rsid w:val="37D284D6"/>
    <w:rsid w:val="37D972A0"/>
    <w:rsid w:val="37E0E731"/>
    <w:rsid w:val="37FB0926"/>
    <w:rsid w:val="37FD5422"/>
    <w:rsid w:val="38023657"/>
    <w:rsid w:val="380C59E8"/>
    <w:rsid w:val="380E3083"/>
    <w:rsid w:val="380ED05F"/>
    <w:rsid w:val="38109138"/>
    <w:rsid w:val="38121542"/>
    <w:rsid w:val="3821A966"/>
    <w:rsid w:val="382BF947"/>
    <w:rsid w:val="382E5302"/>
    <w:rsid w:val="3837B5E5"/>
    <w:rsid w:val="3839977E"/>
    <w:rsid w:val="383F196A"/>
    <w:rsid w:val="3845B4B4"/>
    <w:rsid w:val="3846333B"/>
    <w:rsid w:val="3846650C"/>
    <w:rsid w:val="3859B260"/>
    <w:rsid w:val="385BF4AC"/>
    <w:rsid w:val="385E11C5"/>
    <w:rsid w:val="386401BF"/>
    <w:rsid w:val="386581C4"/>
    <w:rsid w:val="38675F7E"/>
    <w:rsid w:val="386A359B"/>
    <w:rsid w:val="386B1D0A"/>
    <w:rsid w:val="386DA949"/>
    <w:rsid w:val="38703510"/>
    <w:rsid w:val="3870BD53"/>
    <w:rsid w:val="3871A966"/>
    <w:rsid w:val="38763044"/>
    <w:rsid w:val="38791883"/>
    <w:rsid w:val="38798B5A"/>
    <w:rsid w:val="387DD731"/>
    <w:rsid w:val="387F6CCD"/>
    <w:rsid w:val="387FFFF4"/>
    <w:rsid w:val="3892BB3C"/>
    <w:rsid w:val="38953ABB"/>
    <w:rsid w:val="38983B09"/>
    <w:rsid w:val="38A1868F"/>
    <w:rsid w:val="38A9656A"/>
    <w:rsid w:val="38ABCE5E"/>
    <w:rsid w:val="38AC5A48"/>
    <w:rsid w:val="38B11C22"/>
    <w:rsid w:val="38B19C1D"/>
    <w:rsid w:val="38B281A6"/>
    <w:rsid w:val="38BDAC2C"/>
    <w:rsid w:val="38C30515"/>
    <w:rsid w:val="38C34E72"/>
    <w:rsid w:val="38CB4C74"/>
    <w:rsid w:val="38CBFF48"/>
    <w:rsid w:val="38CC751A"/>
    <w:rsid w:val="38D07122"/>
    <w:rsid w:val="38D26042"/>
    <w:rsid w:val="38D98010"/>
    <w:rsid w:val="38DA7437"/>
    <w:rsid w:val="38DE1EC7"/>
    <w:rsid w:val="38E6C210"/>
    <w:rsid w:val="38EC710C"/>
    <w:rsid w:val="38EFA4B4"/>
    <w:rsid w:val="38F344AA"/>
    <w:rsid w:val="38F61B93"/>
    <w:rsid w:val="38FB65C1"/>
    <w:rsid w:val="38FC8391"/>
    <w:rsid w:val="3903EEF5"/>
    <w:rsid w:val="3907A1EA"/>
    <w:rsid w:val="390B7DAD"/>
    <w:rsid w:val="39127D82"/>
    <w:rsid w:val="391386D0"/>
    <w:rsid w:val="391C2FF8"/>
    <w:rsid w:val="3927AB2B"/>
    <w:rsid w:val="392817DB"/>
    <w:rsid w:val="39281C8F"/>
    <w:rsid w:val="392C09E5"/>
    <w:rsid w:val="392CA00B"/>
    <w:rsid w:val="3931EB2B"/>
    <w:rsid w:val="3933376E"/>
    <w:rsid w:val="3934C8ED"/>
    <w:rsid w:val="393ECCD1"/>
    <w:rsid w:val="394EFE97"/>
    <w:rsid w:val="394F89B2"/>
    <w:rsid w:val="3952D204"/>
    <w:rsid w:val="3956D7EB"/>
    <w:rsid w:val="3956E481"/>
    <w:rsid w:val="395E3110"/>
    <w:rsid w:val="39727A69"/>
    <w:rsid w:val="3975EE40"/>
    <w:rsid w:val="397A6111"/>
    <w:rsid w:val="397C091A"/>
    <w:rsid w:val="3984A124"/>
    <w:rsid w:val="398A4CC2"/>
    <w:rsid w:val="398F1D77"/>
    <w:rsid w:val="398F9B1C"/>
    <w:rsid w:val="39901A99"/>
    <w:rsid w:val="3994DF32"/>
    <w:rsid w:val="3995AB69"/>
    <w:rsid w:val="3996D987"/>
    <w:rsid w:val="39A2E1C4"/>
    <w:rsid w:val="39A5DFC3"/>
    <w:rsid w:val="39AE88D8"/>
    <w:rsid w:val="39B176FD"/>
    <w:rsid w:val="39B2F5E9"/>
    <w:rsid w:val="39B5BACA"/>
    <w:rsid w:val="39B865FD"/>
    <w:rsid w:val="39BC7960"/>
    <w:rsid w:val="39D000B7"/>
    <w:rsid w:val="39D35526"/>
    <w:rsid w:val="39D3947E"/>
    <w:rsid w:val="39D66E05"/>
    <w:rsid w:val="39DB2D48"/>
    <w:rsid w:val="39E25B0A"/>
    <w:rsid w:val="39E7A0AF"/>
    <w:rsid w:val="39F0FE83"/>
    <w:rsid w:val="39F20F0A"/>
    <w:rsid w:val="39F447CC"/>
    <w:rsid w:val="39F618DC"/>
    <w:rsid w:val="39F6CD2A"/>
    <w:rsid w:val="3A03A4AD"/>
    <w:rsid w:val="3A05259A"/>
    <w:rsid w:val="3A07B651"/>
    <w:rsid w:val="3A0F6BE2"/>
    <w:rsid w:val="3A1174D3"/>
    <w:rsid w:val="3A119372"/>
    <w:rsid w:val="3A27A086"/>
    <w:rsid w:val="3A3094FC"/>
    <w:rsid w:val="3A372088"/>
    <w:rsid w:val="3A37979F"/>
    <w:rsid w:val="3A3980A8"/>
    <w:rsid w:val="3A3D88B1"/>
    <w:rsid w:val="3A40A37A"/>
    <w:rsid w:val="3A40E01A"/>
    <w:rsid w:val="3A40FD4A"/>
    <w:rsid w:val="3A494B51"/>
    <w:rsid w:val="3A580893"/>
    <w:rsid w:val="3A58952E"/>
    <w:rsid w:val="3A5E07FD"/>
    <w:rsid w:val="3A629E3B"/>
    <w:rsid w:val="3A646FB9"/>
    <w:rsid w:val="3A65BE46"/>
    <w:rsid w:val="3A6F3C67"/>
    <w:rsid w:val="3A71E702"/>
    <w:rsid w:val="3A775D2F"/>
    <w:rsid w:val="3A83B5B0"/>
    <w:rsid w:val="3A86D8CA"/>
    <w:rsid w:val="3A941A7C"/>
    <w:rsid w:val="3A961AD4"/>
    <w:rsid w:val="3A977873"/>
    <w:rsid w:val="3A9FCC8D"/>
    <w:rsid w:val="3AA42616"/>
    <w:rsid w:val="3AB4922E"/>
    <w:rsid w:val="3ABA5D94"/>
    <w:rsid w:val="3ABEB478"/>
    <w:rsid w:val="3AC20E5F"/>
    <w:rsid w:val="3AC81144"/>
    <w:rsid w:val="3AD0838D"/>
    <w:rsid w:val="3ADA5D09"/>
    <w:rsid w:val="3ADB4072"/>
    <w:rsid w:val="3AF6E700"/>
    <w:rsid w:val="3AF8DEA3"/>
    <w:rsid w:val="3AFB8880"/>
    <w:rsid w:val="3AFDCA16"/>
    <w:rsid w:val="3B0AC9E7"/>
    <w:rsid w:val="3B0E91ED"/>
    <w:rsid w:val="3B11F1C9"/>
    <w:rsid w:val="3B174642"/>
    <w:rsid w:val="3B1F2180"/>
    <w:rsid w:val="3B202540"/>
    <w:rsid w:val="3B3A2EB6"/>
    <w:rsid w:val="3B3A5BC4"/>
    <w:rsid w:val="3B50F7A6"/>
    <w:rsid w:val="3B596FCF"/>
    <w:rsid w:val="3B5CA46F"/>
    <w:rsid w:val="3B6766DB"/>
    <w:rsid w:val="3B6A4FBF"/>
    <w:rsid w:val="3B70D6AE"/>
    <w:rsid w:val="3B7154C3"/>
    <w:rsid w:val="3B72DC70"/>
    <w:rsid w:val="3B741CBB"/>
    <w:rsid w:val="3B773681"/>
    <w:rsid w:val="3B78A1B2"/>
    <w:rsid w:val="3B7F5D3B"/>
    <w:rsid w:val="3B812042"/>
    <w:rsid w:val="3B98480E"/>
    <w:rsid w:val="3B994308"/>
    <w:rsid w:val="3B99B372"/>
    <w:rsid w:val="3BAC4B29"/>
    <w:rsid w:val="3BAF94AB"/>
    <w:rsid w:val="3BB6EBBD"/>
    <w:rsid w:val="3BC1B4C1"/>
    <w:rsid w:val="3BC22787"/>
    <w:rsid w:val="3BC5E055"/>
    <w:rsid w:val="3BC5FC3B"/>
    <w:rsid w:val="3BC898AF"/>
    <w:rsid w:val="3BD048CA"/>
    <w:rsid w:val="3BD182FB"/>
    <w:rsid w:val="3BD1BA74"/>
    <w:rsid w:val="3BDF97CC"/>
    <w:rsid w:val="3BE3B422"/>
    <w:rsid w:val="3BE72862"/>
    <w:rsid w:val="3BEA0CE4"/>
    <w:rsid w:val="3BEAC848"/>
    <w:rsid w:val="3BF457A9"/>
    <w:rsid w:val="3BFDA6F9"/>
    <w:rsid w:val="3C023C2B"/>
    <w:rsid w:val="3C032031"/>
    <w:rsid w:val="3C10547A"/>
    <w:rsid w:val="3C196BDC"/>
    <w:rsid w:val="3C203826"/>
    <w:rsid w:val="3C2836FE"/>
    <w:rsid w:val="3C2BEE58"/>
    <w:rsid w:val="3C2C0FA0"/>
    <w:rsid w:val="3C308284"/>
    <w:rsid w:val="3C364C90"/>
    <w:rsid w:val="3C3B7F50"/>
    <w:rsid w:val="3C3C0EB0"/>
    <w:rsid w:val="3C3C92E2"/>
    <w:rsid w:val="3C3FC150"/>
    <w:rsid w:val="3C54EC17"/>
    <w:rsid w:val="3C59C631"/>
    <w:rsid w:val="3C5BED47"/>
    <w:rsid w:val="3C637FBC"/>
    <w:rsid w:val="3C64262F"/>
    <w:rsid w:val="3C6A2811"/>
    <w:rsid w:val="3C6B8B66"/>
    <w:rsid w:val="3C74BACC"/>
    <w:rsid w:val="3C7740C1"/>
    <w:rsid w:val="3C79D4AA"/>
    <w:rsid w:val="3C7A0562"/>
    <w:rsid w:val="3C7E5237"/>
    <w:rsid w:val="3C849336"/>
    <w:rsid w:val="3C8538F8"/>
    <w:rsid w:val="3C89A853"/>
    <w:rsid w:val="3C8B9DA4"/>
    <w:rsid w:val="3C8C0F65"/>
    <w:rsid w:val="3C923A9E"/>
    <w:rsid w:val="3C93C17B"/>
    <w:rsid w:val="3C99E78F"/>
    <w:rsid w:val="3CABD0D4"/>
    <w:rsid w:val="3CB0E2D5"/>
    <w:rsid w:val="3CB20187"/>
    <w:rsid w:val="3CB21EED"/>
    <w:rsid w:val="3CB362B9"/>
    <w:rsid w:val="3CBB3D8C"/>
    <w:rsid w:val="3CC154F0"/>
    <w:rsid w:val="3CC36F3E"/>
    <w:rsid w:val="3CCFD60F"/>
    <w:rsid w:val="3CD29C76"/>
    <w:rsid w:val="3CD7CD93"/>
    <w:rsid w:val="3CD9A48A"/>
    <w:rsid w:val="3CE846A8"/>
    <w:rsid w:val="3CEA747C"/>
    <w:rsid w:val="3CF3EE42"/>
    <w:rsid w:val="3D02E860"/>
    <w:rsid w:val="3D0FC7C1"/>
    <w:rsid w:val="3D122AFD"/>
    <w:rsid w:val="3D1620EB"/>
    <w:rsid w:val="3D19469A"/>
    <w:rsid w:val="3D2BCA0C"/>
    <w:rsid w:val="3D318FA8"/>
    <w:rsid w:val="3D5273A9"/>
    <w:rsid w:val="3D56C88E"/>
    <w:rsid w:val="3D574DA9"/>
    <w:rsid w:val="3D5971D9"/>
    <w:rsid w:val="3D59F9A3"/>
    <w:rsid w:val="3D6E0294"/>
    <w:rsid w:val="3D714258"/>
    <w:rsid w:val="3D758EF7"/>
    <w:rsid w:val="3D8013E1"/>
    <w:rsid w:val="3D81C76C"/>
    <w:rsid w:val="3D85FEF9"/>
    <w:rsid w:val="3DAF4206"/>
    <w:rsid w:val="3DB83126"/>
    <w:rsid w:val="3DB84EC0"/>
    <w:rsid w:val="3DBADCF3"/>
    <w:rsid w:val="3DBB8895"/>
    <w:rsid w:val="3DC0792E"/>
    <w:rsid w:val="3DC1E5C7"/>
    <w:rsid w:val="3DC50821"/>
    <w:rsid w:val="3DCD4FD5"/>
    <w:rsid w:val="3DCEF89C"/>
    <w:rsid w:val="3DDA8C7F"/>
    <w:rsid w:val="3DDC0607"/>
    <w:rsid w:val="3DE6B7A2"/>
    <w:rsid w:val="3DE989A4"/>
    <w:rsid w:val="3DF3C06D"/>
    <w:rsid w:val="3DFC47A3"/>
    <w:rsid w:val="3E038A48"/>
    <w:rsid w:val="3E067A31"/>
    <w:rsid w:val="3E08A6FF"/>
    <w:rsid w:val="3E0A889B"/>
    <w:rsid w:val="3E190D7B"/>
    <w:rsid w:val="3E1C8CE0"/>
    <w:rsid w:val="3E2020AD"/>
    <w:rsid w:val="3E2B4E6D"/>
    <w:rsid w:val="3E2DEE13"/>
    <w:rsid w:val="3E32F9E4"/>
    <w:rsid w:val="3E360ABD"/>
    <w:rsid w:val="3E3B3C8B"/>
    <w:rsid w:val="3E3F1374"/>
    <w:rsid w:val="3E4A646E"/>
    <w:rsid w:val="3E5606D7"/>
    <w:rsid w:val="3E6492D3"/>
    <w:rsid w:val="3E68BFA1"/>
    <w:rsid w:val="3E6D4724"/>
    <w:rsid w:val="3E706076"/>
    <w:rsid w:val="3E70D847"/>
    <w:rsid w:val="3E785D33"/>
    <w:rsid w:val="3E7B13FD"/>
    <w:rsid w:val="3E7FCD90"/>
    <w:rsid w:val="3E833C7D"/>
    <w:rsid w:val="3E847D41"/>
    <w:rsid w:val="3E8E8EA1"/>
    <w:rsid w:val="3E91478B"/>
    <w:rsid w:val="3E915813"/>
    <w:rsid w:val="3E937D4F"/>
    <w:rsid w:val="3EA4E541"/>
    <w:rsid w:val="3EA9C0DA"/>
    <w:rsid w:val="3EB1010C"/>
    <w:rsid w:val="3EBA2161"/>
    <w:rsid w:val="3EC15D27"/>
    <w:rsid w:val="3EC26EF1"/>
    <w:rsid w:val="3EC49BFF"/>
    <w:rsid w:val="3EC9846A"/>
    <w:rsid w:val="3ECEB498"/>
    <w:rsid w:val="3ECF03A7"/>
    <w:rsid w:val="3ED3F75C"/>
    <w:rsid w:val="3ED628E7"/>
    <w:rsid w:val="3EDA073D"/>
    <w:rsid w:val="3EDBE1FF"/>
    <w:rsid w:val="3EDC5872"/>
    <w:rsid w:val="3EE0EB4A"/>
    <w:rsid w:val="3EE125A1"/>
    <w:rsid w:val="3EE22725"/>
    <w:rsid w:val="3EE73C4C"/>
    <w:rsid w:val="3EEA53C8"/>
    <w:rsid w:val="3EEAF5F5"/>
    <w:rsid w:val="3EED5C56"/>
    <w:rsid w:val="3EF3B8E3"/>
    <w:rsid w:val="3EF45729"/>
    <w:rsid w:val="3EF7E22C"/>
    <w:rsid w:val="3F0540C7"/>
    <w:rsid w:val="3F06B66E"/>
    <w:rsid w:val="3F0FF696"/>
    <w:rsid w:val="3F13AF30"/>
    <w:rsid w:val="3F142A83"/>
    <w:rsid w:val="3F186EA5"/>
    <w:rsid w:val="3F1AA82A"/>
    <w:rsid w:val="3F1C8001"/>
    <w:rsid w:val="3F1CBC74"/>
    <w:rsid w:val="3F39ED4B"/>
    <w:rsid w:val="3F3E71CC"/>
    <w:rsid w:val="3F4169EB"/>
    <w:rsid w:val="3F44EBDD"/>
    <w:rsid w:val="3F457BB6"/>
    <w:rsid w:val="3F470AB7"/>
    <w:rsid w:val="3F4AC363"/>
    <w:rsid w:val="3F54A223"/>
    <w:rsid w:val="3F5BEBFE"/>
    <w:rsid w:val="3F6257CE"/>
    <w:rsid w:val="3F64BF80"/>
    <w:rsid w:val="3F67BAEB"/>
    <w:rsid w:val="3F6A6CB1"/>
    <w:rsid w:val="3F722F93"/>
    <w:rsid w:val="3F72C92F"/>
    <w:rsid w:val="3F73B500"/>
    <w:rsid w:val="3F7BBBD3"/>
    <w:rsid w:val="3F7DB8E6"/>
    <w:rsid w:val="3F87FB44"/>
    <w:rsid w:val="3F8832BC"/>
    <w:rsid w:val="3F8A11BA"/>
    <w:rsid w:val="3F979B2A"/>
    <w:rsid w:val="3FA36069"/>
    <w:rsid w:val="3FAF257F"/>
    <w:rsid w:val="3FB0FBD2"/>
    <w:rsid w:val="3FBBC52C"/>
    <w:rsid w:val="3FC2C3EF"/>
    <w:rsid w:val="3FCA25C7"/>
    <w:rsid w:val="3FCFCAD2"/>
    <w:rsid w:val="3FD147C0"/>
    <w:rsid w:val="3FD1BB3F"/>
    <w:rsid w:val="3FD53CD8"/>
    <w:rsid w:val="3FD94E93"/>
    <w:rsid w:val="3FDAFA3F"/>
    <w:rsid w:val="3FE48BEF"/>
    <w:rsid w:val="3FE9948C"/>
    <w:rsid w:val="3FEE4930"/>
    <w:rsid w:val="3FF025F9"/>
    <w:rsid w:val="3FF987A0"/>
    <w:rsid w:val="3FFC7586"/>
    <w:rsid w:val="40016898"/>
    <w:rsid w:val="40094C6D"/>
    <w:rsid w:val="400D43F7"/>
    <w:rsid w:val="4014006E"/>
    <w:rsid w:val="4016084E"/>
    <w:rsid w:val="401683BB"/>
    <w:rsid w:val="4018FF1B"/>
    <w:rsid w:val="40194CE9"/>
    <w:rsid w:val="402031AF"/>
    <w:rsid w:val="40271161"/>
    <w:rsid w:val="402D787F"/>
    <w:rsid w:val="402FBAE6"/>
    <w:rsid w:val="4036B623"/>
    <w:rsid w:val="403DA25B"/>
    <w:rsid w:val="404E8A77"/>
    <w:rsid w:val="40517D07"/>
    <w:rsid w:val="4052E25A"/>
    <w:rsid w:val="40589AB6"/>
    <w:rsid w:val="406177E9"/>
    <w:rsid w:val="406A492F"/>
    <w:rsid w:val="406A4F38"/>
    <w:rsid w:val="406D0F82"/>
    <w:rsid w:val="406E6E02"/>
    <w:rsid w:val="4071FDAB"/>
    <w:rsid w:val="407385F7"/>
    <w:rsid w:val="407467AC"/>
    <w:rsid w:val="407B1370"/>
    <w:rsid w:val="4083CAC4"/>
    <w:rsid w:val="4086943B"/>
    <w:rsid w:val="40900632"/>
    <w:rsid w:val="4092F029"/>
    <w:rsid w:val="409769E1"/>
    <w:rsid w:val="40A383D7"/>
    <w:rsid w:val="40B5482A"/>
    <w:rsid w:val="40B5AAC4"/>
    <w:rsid w:val="40B744CD"/>
    <w:rsid w:val="40B7F70B"/>
    <w:rsid w:val="40B8E513"/>
    <w:rsid w:val="40C5181E"/>
    <w:rsid w:val="40CB8958"/>
    <w:rsid w:val="40CFE92C"/>
    <w:rsid w:val="40D89A0D"/>
    <w:rsid w:val="40DC792F"/>
    <w:rsid w:val="40E17533"/>
    <w:rsid w:val="40EE00C7"/>
    <w:rsid w:val="40EE372D"/>
    <w:rsid w:val="40F2D12F"/>
    <w:rsid w:val="40F31D7C"/>
    <w:rsid w:val="40FE1520"/>
    <w:rsid w:val="40FEC176"/>
    <w:rsid w:val="40FFA77C"/>
    <w:rsid w:val="410F8561"/>
    <w:rsid w:val="4110EA1A"/>
    <w:rsid w:val="4113C161"/>
    <w:rsid w:val="411AE633"/>
    <w:rsid w:val="412704BD"/>
    <w:rsid w:val="41396A6B"/>
    <w:rsid w:val="414652F0"/>
    <w:rsid w:val="41470076"/>
    <w:rsid w:val="414B071C"/>
    <w:rsid w:val="414BBE21"/>
    <w:rsid w:val="415841CD"/>
    <w:rsid w:val="415EB880"/>
    <w:rsid w:val="41646B38"/>
    <w:rsid w:val="41674EB1"/>
    <w:rsid w:val="416F3BE9"/>
    <w:rsid w:val="4189F6D7"/>
    <w:rsid w:val="418AE1D6"/>
    <w:rsid w:val="418C2818"/>
    <w:rsid w:val="418F1AE3"/>
    <w:rsid w:val="419278D5"/>
    <w:rsid w:val="419A77CE"/>
    <w:rsid w:val="419EC39F"/>
    <w:rsid w:val="41A5623E"/>
    <w:rsid w:val="41AA3106"/>
    <w:rsid w:val="41B16400"/>
    <w:rsid w:val="41B641A7"/>
    <w:rsid w:val="41BD613B"/>
    <w:rsid w:val="41C476BA"/>
    <w:rsid w:val="41C9DECF"/>
    <w:rsid w:val="41CA8994"/>
    <w:rsid w:val="41CE3B4C"/>
    <w:rsid w:val="41CFA774"/>
    <w:rsid w:val="41DA1530"/>
    <w:rsid w:val="41DCEA8F"/>
    <w:rsid w:val="41DFC998"/>
    <w:rsid w:val="41E10DB0"/>
    <w:rsid w:val="41E48E40"/>
    <w:rsid w:val="41E7A980"/>
    <w:rsid w:val="41E8798A"/>
    <w:rsid w:val="41EA8EBB"/>
    <w:rsid w:val="420371C7"/>
    <w:rsid w:val="42063B77"/>
    <w:rsid w:val="420BFEEC"/>
    <w:rsid w:val="420CE5B9"/>
    <w:rsid w:val="421CA029"/>
    <w:rsid w:val="4221C646"/>
    <w:rsid w:val="4228EF8B"/>
    <w:rsid w:val="422A85D3"/>
    <w:rsid w:val="422AD293"/>
    <w:rsid w:val="422B5E4E"/>
    <w:rsid w:val="4234A96F"/>
    <w:rsid w:val="42360619"/>
    <w:rsid w:val="423B45DB"/>
    <w:rsid w:val="42408C9E"/>
    <w:rsid w:val="424701A1"/>
    <w:rsid w:val="4248D487"/>
    <w:rsid w:val="424AD5E4"/>
    <w:rsid w:val="42530D6E"/>
    <w:rsid w:val="4260E87F"/>
    <w:rsid w:val="426476DC"/>
    <w:rsid w:val="426B4A0B"/>
    <w:rsid w:val="426D43B5"/>
    <w:rsid w:val="4270A010"/>
    <w:rsid w:val="42759A52"/>
    <w:rsid w:val="4278A84D"/>
    <w:rsid w:val="427B5896"/>
    <w:rsid w:val="427D2D43"/>
    <w:rsid w:val="42826CF4"/>
    <w:rsid w:val="42845B18"/>
    <w:rsid w:val="428498C4"/>
    <w:rsid w:val="429828D9"/>
    <w:rsid w:val="42993914"/>
    <w:rsid w:val="429E3B3F"/>
    <w:rsid w:val="42A18221"/>
    <w:rsid w:val="42A3C94B"/>
    <w:rsid w:val="42AACFFE"/>
    <w:rsid w:val="42B09FE6"/>
    <w:rsid w:val="42BCA416"/>
    <w:rsid w:val="42CF60E9"/>
    <w:rsid w:val="42D505BD"/>
    <w:rsid w:val="42D86E4C"/>
    <w:rsid w:val="42D89436"/>
    <w:rsid w:val="42D898D2"/>
    <w:rsid w:val="42D9E47D"/>
    <w:rsid w:val="42E8276C"/>
    <w:rsid w:val="42EE63A8"/>
    <w:rsid w:val="42EFAEC6"/>
    <w:rsid w:val="42F41FCB"/>
    <w:rsid w:val="42F65073"/>
    <w:rsid w:val="42FDDA25"/>
    <w:rsid w:val="43017619"/>
    <w:rsid w:val="4309F860"/>
    <w:rsid w:val="4310839C"/>
    <w:rsid w:val="431D6559"/>
    <w:rsid w:val="4323A8C0"/>
    <w:rsid w:val="432792C8"/>
    <w:rsid w:val="432A683E"/>
    <w:rsid w:val="432C2346"/>
    <w:rsid w:val="4336F494"/>
    <w:rsid w:val="4337996F"/>
    <w:rsid w:val="4338AF80"/>
    <w:rsid w:val="433D0DBF"/>
    <w:rsid w:val="433E5EC7"/>
    <w:rsid w:val="4340D6AA"/>
    <w:rsid w:val="43418D30"/>
    <w:rsid w:val="4342F087"/>
    <w:rsid w:val="4345CDA9"/>
    <w:rsid w:val="4355C90B"/>
    <w:rsid w:val="4357F9F6"/>
    <w:rsid w:val="43664DB5"/>
    <w:rsid w:val="4369A454"/>
    <w:rsid w:val="436A464D"/>
    <w:rsid w:val="4373D54E"/>
    <w:rsid w:val="43829915"/>
    <w:rsid w:val="43854F11"/>
    <w:rsid w:val="4387455B"/>
    <w:rsid w:val="439B6580"/>
    <w:rsid w:val="439DC4F3"/>
    <w:rsid w:val="43A14FBF"/>
    <w:rsid w:val="43B41EDA"/>
    <w:rsid w:val="43B7F343"/>
    <w:rsid w:val="43B8C1B4"/>
    <w:rsid w:val="43CB71F3"/>
    <w:rsid w:val="43D0D134"/>
    <w:rsid w:val="43D3D83D"/>
    <w:rsid w:val="43D52C60"/>
    <w:rsid w:val="43E3FC0E"/>
    <w:rsid w:val="43E5E217"/>
    <w:rsid w:val="43E67542"/>
    <w:rsid w:val="43E8156A"/>
    <w:rsid w:val="43E91B74"/>
    <w:rsid w:val="43F06C2E"/>
    <w:rsid w:val="43F206D3"/>
    <w:rsid w:val="43F3DE9E"/>
    <w:rsid w:val="43F7F8DE"/>
    <w:rsid w:val="43FCB8E0"/>
    <w:rsid w:val="4407D1AD"/>
    <w:rsid w:val="4408B1B8"/>
    <w:rsid w:val="44094905"/>
    <w:rsid w:val="4409B9A0"/>
    <w:rsid w:val="4410F531"/>
    <w:rsid w:val="442A37E3"/>
    <w:rsid w:val="442AAD14"/>
    <w:rsid w:val="443FFB65"/>
    <w:rsid w:val="4446D7D5"/>
    <w:rsid w:val="4451C2D6"/>
    <w:rsid w:val="445CDF4B"/>
    <w:rsid w:val="4460A56D"/>
    <w:rsid w:val="4462EDD3"/>
    <w:rsid w:val="44630114"/>
    <w:rsid w:val="4463A4BF"/>
    <w:rsid w:val="447611E5"/>
    <w:rsid w:val="447C6AC6"/>
    <w:rsid w:val="448C8FD4"/>
    <w:rsid w:val="44905ED6"/>
    <w:rsid w:val="4490EBAA"/>
    <w:rsid w:val="44944715"/>
    <w:rsid w:val="449671AE"/>
    <w:rsid w:val="449EBE84"/>
    <w:rsid w:val="449FA51B"/>
    <w:rsid w:val="44A70F70"/>
    <w:rsid w:val="44A728EC"/>
    <w:rsid w:val="44AE3DC6"/>
    <w:rsid w:val="44B13E04"/>
    <w:rsid w:val="44B815C4"/>
    <w:rsid w:val="44B862CA"/>
    <w:rsid w:val="44BCACA1"/>
    <w:rsid w:val="44BF304C"/>
    <w:rsid w:val="44C22C11"/>
    <w:rsid w:val="44CA17CA"/>
    <w:rsid w:val="44CAF280"/>
    <w:rsid w:val="44CE4F60"/>
    <w:rsid w:val="44D36C82"/>
    <w:rsid w:val="44DB7F8E"/>
    <w:rsid w:val="44E115EA"/>
    <w:rsid w:val="44E27F72"/>
    <w:rsid w:val="44E71FF5"/>
    <w:rsid w:val="44E9B14C"/>
    <w:rsid w:val="44EA514B"/>
    <w:rsid w:val="44EA942E"/>
    <w:rsid w:val="44EFE418"/>
    <w:rsid w:val="44F1F871"/>
    <w:rsid w:val="44F9064A"/>
    <w:rsid w:val="45000B03"/>
    <w:rsid w:val="45001C55"/>
    <w:rsid w:val="4502690C"/>
    <w:rsid w:val="45027057"/>
    <w:rsid w:val="4509D1F1"/>
    <w:rsid w:val="450A32B7"/>
    <w:rsid w:val="450F2DEE"/>
    <w:rsid w:val="45146B72"/>
    <w:rsid w:val="4514A664"/>
    <w:rsid w:val="4514C38E"/>
    <w:rsid w:val="451EA45E"/>
    <w:rsid w:val="452B7720"/>
    <w:rsid w:val="452C40D4"/>
    <w:rsid w:val="45310D83"/>
    <w:rsid w:val="45422132"/>
    <w:rsid w:val="4542B7EC"/>
    <w:rsid w:val="4553DE75"/>
    <w:rsid w:val="455441A8"/>
    <w:rsid w:val="4555DBF7"/>
    <w:rsid w:val="45600FDC"/>
    <w:rsid w:val="4562CCC4"/>
    <w:rsid w:val="45679170"/>
    <w:rsid w:val="456EB64D"/>
    <w:rsid w:val="45707012"/>
    <w:rsid w:val="457755A8"/>
    <w:rsid w:val="457E4A10"/>
    <w:rsid w:val="458467B6"/>
    <w:rsid w:val="45863450"/>
    <w:rsid w:val="4587126B"/>
    <w:rsid w:val="458A0D50"/>
    <w:rsid w:val="458A8727"/>
    <w:rsid w:val="458AC7F7"/>
    <w:rsid w:val="4591474E"/>
    <w:rsid w:val="459374FA"/>
    <w:rsid w:val="459E6DD5"/>
    <w:rsid w:val="45A074B9"/>
    <w:rsid w:val="45A9D1D8"/>
    <w:rsid w:val="45B5D3FB"/>
    <w:rsid w:val="45B95055"/>
    <w:rsid w:val="45BB7F82"/>
    <w:rsid w:val="45BDB801"/>
    <w:rsid w:val="45BE1341"/>
    <w:rsid w:val="45C28C57"/>
    <w:rsid w:val="45CA0869"/>
    <w:rsid w:val="45CEF102"/>
    <w:rsid w:val="45DB88E8"/>
    <w:rsid w:val="45DB932F"/>
    <w:rsid w:val="45E758C3"/>
    <w:rsid w:val="45EAE044"/>
    <w:rsid w:val="45EE126F"/>
    <w:rsid w:val="45F0BE32"/>
    <w:rsid w:val="45F2FAD5"/>
    <w:rsid w:val="45F7E6E6"/>
    <w:rsid w:val="45FB29A9"/>
    <w:rsid w:val="45FD70C0"/>
    <w:rsid w:val="4606659A"/>
    <w:rsid w:val="460C3961"/>
    <w:rsid w:val="460D8BCE"/>
    <w:rsid w:val="46106483"/>
    <w:rsid w:val="461087B8"/>
    <w:rsid w:val="4612609B"/>
    <w:rsid w:val="461512A5"/>
    <w:rsid w:val="4615A069"/>
    <w:rsid w:val="46182517"/>
    <w:rsid w:val="461EC139"/>
    <w:rsid w:val="462A81A2"/>
    <w:rsid w:val="4636083C"/>
    <w:rsid w:val="463F0387"/>
    <w:rsid w:val="46427A3C"/>
    <w:rsid w:val="464621DC"/>
    <w:rsid w:val="4647D3E8"/>
    <w:rsid w:val="4671FFBD"/>
    <w:rsid w:val="4672F295"/>
    <w:rsid w:val="46741A1A"/>
    <w:rsid w:val="467AD8D5"/>
    <w:rsid w:val="46A3ABD3"/>
    <w:rsid w:val="46C09B0E"/>
    <w:rsid w:val="46C76E63"/>
    <w:rsid w:val="46D00DC2"/>
    <w:rsid w:val="46D049C3"/>
    <w:rsid w:val="46E96A1C"/>
    <w:rsid w:val="46ECDA96"/>
    <w:rsid w:val="46F66545"/>
    <w:rsid w:val="46F9B554"/>
    <w:rsid w:val="46FB1948"/>
    <w:rsid w:val="4704B5E4"/>
    <w:rsid w:val="470E77DC"/>
    <w:rsid w:val="471090F3"/>
    <w:rsid w:val="47176F53"/>
    <w:rsid w:val="4721C3E1"/>
    <w:rsid w:val="472AA3F9"/>
    <w:rsid w:val="472CB7D3"/>
    <w:rsid w:val="472E20FF"/>
    <w:rsid w:val="47309F6A"/>
    <w:rsid w:val="47320747"/>
    <w:rsid w:val="473A685C"/>
    <w:rsid w:val="474188FF"/>
    <w:rsid w:val="4746B066"/>
    <w:rsid w:val="474749C9"/>
    <w:rsid w:val="47476D96"/>
    <w:rsid w:val="47493B16"/>
    <w:rsid w:val="475CD4BF"/>
    <w:rsid w:val="475E017C"/>
    <w:rsid w:val="475E95AC"/>
    <w:rsid w:val="476C7893"/>
    <w:rsid w:val="477329B9"/>
    <w:rsid w:val="477465AB"/>
    <w:rsid w:val="477CD9C5"/>
    <w:rsid w:val="477E3857"/>
    <w:rsid w:val="478AD8E0"/>
    <w:rsid w:val="478BC39F"/>
    <w:rsid w:val="4795EEEF"/>
    <w:rsid w:val="47A105DB"/>
    <w:rsid w:val="47A38683"/>
    <w:rsid w:val="47A7B4A4"/>
    <w:rsid w:val="47AEEA84"/>
    <w:rsid w:val="47BE2C9C"/>
    <w:rsid w:val="47C238F2"/>
    <w:rsid w:val="47C29990"/>
    <w:rsid w:val="47C93957"/>
    <w:rsid w:val="47CB60DB"/>
    <w:rsid w:val="47CDD961"/>
    <w:rsid w:val="47D78CDA"/>
    <w:rsid w:val="47E12FDF"/>
    <w:rsid w:val="47E1D194"/>
    <w:rsid w:val="47ED2E68"/>
    <w:rsid w:val="47FF1C0C"/>
    <w:rsid w:val="4800AB5B"/>
    <w:rsid w:val="48087924"/>
    <w:rsid w:val="4808BC57"/>
    <w:rsid w:val="481A70A4"/>
    <w:rsid w:val="481D5982"/>
    <w:rsid w:val="482DB7C9"/>
    <w:rsid w:val="482E7801"/>
    <w:rsid w:val="483199D1"/>
    <w:rsid w:val="4835AA51"/>
    <w:rsid w:val="4835DD8A"/>
    <w:rsid w:val="48382972"/>
    <w:rsid w:val="48391DD5"/>
    <w:rsid w:val="4848C3ED"/>
    <w:rsid w:val="4849B262"/>
    <w:rsid w:val="4849CE11"/>
    <w:rsid w:val="48525340"/>
    <w:rsid w:val="4852A677"/>
    <w:rsid w:val="48543920"/>
    <w:rsid w:val="485D9C06"/>
    <w:rsid w:val="4866607C"/>
    <w:rsid w:val="48670BA3"/>
    <w:rsid w:val="486B785B"/>
    <w:rsid w:val="4870BEFA"/>
    <w:rsid w:val="487C5FB6"/>
    <w:rsid w:val="487D6631"/>
    <w:rsid w:val="48802AE9"/>
    <w:rsid w:val="488191B3"/>
    <w:rsid w:val="4885D6BB"/>
    <w:rsid w:val="48894664"/>
    <w:rsid w:val="488F8FE5"/>
    <w:rsid w:val="4896A5C5"/>
    <w:rsid w:val="489BE487"/>
    <w:rsid w:val="489EC7FC"/>
    <w:rsid w:val="489ED9D3"/>
    <w:rsid w:val="48A3D714"/>
    <w:rsid w:val="48AEB45F"/>
    <w:rsid w:val="48B36B3C"/>
    <w:rsid w:val="48B39DCC"/>
    <w:rsid w:val="48BF605C"/>
    <w:rsid w:val="48CA4F6B"/>
    <w:rsid w:val="48E42972"/>
    <w:rsid w:val="48E76C06"/>
    <w:rsid w:val="48E8C13A"/>
    <w:rsid w:val="48EE6CBA"/>
    <w:rsid w:val="48EE8142"/>
    <w:rsid w:val="48EEA123"/>
    <w:rsid w:val="48F1D4D2"/>
    <w:rsid w:val="48FB5C2B"/>
    <w:rsid w:val="48FC113D"/>
    <w:rsid w:val="48FC8432"/>
    <w:rsid w:val="48FEF97B"/>
    <w:rsid w:val="4901D22D"/>
    <w:rsid w:val="490236ED"/>
    <w:rsid w:val="490246A6"/>
    <w:rsid w:val="490C68F1"/>
    <w:rsid w:val="490EE61B"/>
    <w:rsid w:val="4913922B"/>
    <w:rsid w:val="4916C7A3"/>
    <w:rsid w:val="4918B2B9"/>
    <w:rsid w:val="4918E181"/>
    <w:rsid w:val="49244444"/>
    <w:rsid w:val="492FC160"/>
    <w:rsid w:val="49311B3E"/>
    <w:rsid w:val="493DFCE5"/>
    <w:rsid w:val="49402FCC"/>
    <w:rsid w:val="494258D7"/>
    <w:rsid w:val="49430F0C"/>
    <w:rsid w:val="4948287A"/>
    <w:rsid w:val="49495911"/>
    <w:rsid w:val="494E87CD"/>
    <w:rsid w:val="49535049"/>
    <w:rsid w:val="4955206B"/>
    <w:rsid w:val="49558C55"/>
    <w:rsid w:val="495D35E1"/>
    <w:rsid w:val="49613DE0"/>
    <w:rsid w:val="49647AEB"/>
    <w:rsid w:val="496F81DE"/>
    <w:rsid w:val="497133EC"/>
    <w:rsid w:val="4972855D"/>
    <w:rsid w:val="49738516"/>
    <w:rsid w:val="497C761C"/>
    <w:rsid w:val="497DBA9B"/>
    <w:rsid w:val="497FC245"/>
    <w:rsid w:val="498A9379"/>
    <w:rsid w:val="4990F7A6"/>
    <w:rsid w:val="49970815"/>
    <w:rsid w:val="49A72F69"/>
    <w:rsid w:val="49A7410B"/>
    <w:rsid w:val="49ACB734"/>
    <w:rsid w:val="49AFA19E"/>
    <w:rsid w:val="49BA6237"/>
    <w:rsid w:val="49C017FA"/>
    <w:rsid w:val="49CC9322"/>
    <w:rsid w:val="49CE7C07"/>
    <w:rsid w:val="49DDB66E"/>
    <w:rsid w:val="49E96B7E"/>
    <w:rsid w:val="49EF63ED"/>
    <w:rsid w:val="49F77C90"/>
    <w:rsid w:val="4A0129BF"/>
    <w:rsid w:val="4A020ADE"/>
    <w:rsid w:val="4A02E6A5"/>
    <w:rsid w:val="4A09768B"/>
    <w:rsid w:val="4A16B08C"/>
    <w:rsid w:val="4A1C4A88"/>
    <w:rsid w:val="4A1E4935"/>
    <w:rsid w:val="4A2311FE"/>
    <w:rsid w:val="4A251481"/>
    <w:rsid w:val="4A31BCC2"/>
    <w:rsid w:val="4A327626"/>
    <w:rsid w:val="4A37B40B"/>
    <w:rsid w:val="4A3FF881"/>
    <w:rsid w:val="4A4478CB"/>
    <w:rsid w:val="4A459828"/>
    <w:rsid w:val="4A47479C"/>
    <w:rsid w:val="4A4F0E94"/>
    <w:rsid w:val="4A515989"/>
    <w:rsid w:val="4A51D9C4"/>
    <w:rsid w:val="4A5C7137"/>
    <w:rsid w:val="4A60D6E5"/>
    <w:rsid w:val="4A6D90AA"/>
    <w:rsid w:val="4A78A7C2"/>
    <w:rsid w:val="4A7C8ADA"/>
    <w:rsid w:val="4A7E3D5B"/>
    <w:rsid w:val="4A8A84A9"/>
    <w:rsid w:val="4A8CD6B7"/>
    <w:rsid w:val="4A927562"/>
    <w:rsid w:val="4A9B78FD"/>
    <w:rsid w:val="4A9E0D49"/>
    <w:rsid w:val="4AA174DD"/>
    <w:rsid w:val="4AA4B1F7"/>
    <w:rsid w:val="4AAE2805"/>
    <w:rsid w:val="4AB7E17C"/>
    <w:rsid w:val="4ABA66E1"/>
    <w:rsid w:val="4ABAF6CA"/>
    <w:rsid w:val="4ABC8CA2"/>
    <w:rsid w:val="4ABED5BC"/>
    <w:rsid w:val="4AD5C127"/>
    <w:rsid w:val="4AD815FD"/>
    <w:rsid w:val="4AD82CBA"/>
    <w:rsid w:val="4AE3F8DB"/>
    <w:rsid w:val="4AEC70C8"/>
    <w:rsid w:val="4AF1FF33"/>
    <w:rsid w:val="4AFDF2C5"/>
    <w:rsid w:val="4AFF0A37"/>
    <w:rsid w:val="4B054B83"/>
    <w:rsid w:val="4B06A192"/>
    <w:rsid w:val="4B1574E9"/>
    <w:rsid w:val="4B23AC43"/>
    <w:rsid w:val="4B2BB61E"/>
    <w:rsid w:val="4B345BB0"/>
    <w:rsid w:val="4B39BBDC"/>
    <w:rsid w:val="4B41204A"/>
    <w:rsid w:val="4B431135"/>
    <w:rsid w:val="4B43F285"/>
    <w:rsid w:val="4B450722"/>
    <w:rsid w:val="4B4B1D4A"/>
    <w:rsid w:val="4B4C83C3"/>
    <w:rsid w:val="4B50CE96"/>
    <w:rsid w:val="4B5F13AC"/>
    <w:rsid w:val="4B5F2445"/>
    <w:rsid w:val="4B6424CF"/>
    <w:rsid w:val="4B66CA67"/>
    <w:rsid w:val="4B70B1E6"/>
    <w:rsid w:val="4B8C242D"/>
    <w:rsid w:val="4B9D2887"/>
    <w:rsid w:val="4B9E2096"/>
    <w:rsid w:val="4BA021B5"/>
    <w:rsid w:val="4BAB24EB"/>
    <w:rsid w:val="4BB0F2B8"/>
    <w:rsid w:val="4BB640D3"/>
    <w:rsid w:val="4BB6E96B"/>
    <w:rsid w:val="4BB7C4ED"/>
    <w:rsid w:val="4BB9DA34"/>
    <w:rsid w:val="4BC193AB"/>
    <w:rsid w:val="4BC9FE40"/>
    <w:rsid w:val="4BD68E70"/>
    <w:rsid w:val="4BD711C5"/>
    <w:rsid w:val="4BD8A36D"/>
    <w:rsid w:val="4BEAAD59"/>
    <w:rsid w:val="4BEB062E"/>
    <w:rsid w:val="4BEB929E"/>
    <w:rsid w:val="4BF2C11D"/>
    <w:rsid w:val="4BFC4353"/>
    <w:rsid w:val="4BFDC56D"/>
    <w:rsid w:val="4BFDF62F"/>
    <w:rsid w:val="4BFFE654"/>
    <w:rsid w:val="4C00161E"/>
    <w:rsid w:val="4C046C93"/>
    <w:rsid w:val="4C083D06"/>
    <w:rsid w:val="4C14CD74"/>
    <w:rsid w:val="4C1CDB63"/>
    <w:rsid w:val="4C21258F"/>
    <w:rsid w:val="4C2AA33C"/>
    <w:rsid w:val="4C2EE459"/>
    <w:rsid w:val="4C36D02E"/>
    <w:rsid w:val="4C45C648"/>
    <w:rsid w:val="4C4B055A"/>
    <w:rsid w:val="4C519692"/>
    <w:rsid w:val="4C560ED7"/>
    <w:rsid w:val="4C61A738"/>
    <w:rsid w:val="4C676222"/>
    <w:rsid w:val="4C6B28C9"/>
    <w:rsid w:val="4C6B7EAA"/>
    <w:rsid w:val="4C71BC2B"/>
    <w:rsid w:val="4C759EFA"/>
    <w:rsid w:val="4C75AFE3"/>
    <w:rsid w:val="4C787F5D"/>
    <w:rsid w:val="4C7A4E9C"/>
    <w:rsid w:val="4C7DF51B"/>
    <w:rsid w:val="4C802288"/>
    <w:rsid w:val="4C805E45"/>
    <w:rsid w:val="4C8D6E13"/>
    <w:rsid w:val="4C98857D"/>
    <w:rsid w:val="4C99C326"/>
    <w:rsid w:val="4CA08DC4"/>
    <w:rsid w:val="4CAF3FA6"/>
    <w:rsid w:val="4CB9FD52"/>
    <w:rsid w:val="4CBC1E3A"/>
    <w:rsid w:val="4CBFCC8C"/>
    <w:rsid w:val="4CD2C2E5"/>
    <w:rsid w:val="4CD80521"/>
    <w:rsid w:val="4CDBF7B6"/>
    <w:rsid w:val="4CE83835"/>
    <w:rsid w:val="4CF1B93E"/>
    <w:rsid w:val="4CF40F66"/>
    <w:rsid w:val="4CF41555"/>
    <w:rsid w:val="4CFCA931"/>
    <w:rsid w:val="4CFE12F3"/>
    <w:rsid w:val="4D005798"/>
    <w:rsid w:val="4D054406"/>
    <w:rsid w:val="4D0B8AA9"/>
    <w:rsid w:val="4D0BD862"/>
    <w:rsid w:val="4D0CB7BA"/>
    <w:rsid w:val="4D0D8579"/>
    <w:rsid w:val="4D11B9A3"/>
    <w:rsid w:val="4D1827FB"/>
    <w:rsid w:val="4D1A11C2"/>
    <w:rsid w:val="4D1AE99D"/>
    <w:rsid w:val="4D203E57"/>
    <w:rsid w:val="4D34126A"/>
    <w:rsid w:val="4D34CB77"/>
    <w:rsid w:val="4D394AAC"/>
    <w:rsid w:val="4D482A27"/>
    <w:rsid w:val="4D497F49"/>
    <w:rsid w:val="4D4B8DCB"/>
    <w:rsid w:val="4D505A32"/>
    <w:rsid w:val="4D5428C0"/>
    <w:rsid w:val="4D54DE2A"/>
    <w:rsid w:val="4D65C049"/>
    <w:rsid w:val="4D71EB56"/>
    <w:rsid w:val="4D890648"/>
    <w:rsid w:val="4D8CE9D8"/>
    <w:rsid w:val="4D91FF70"/>
    <w:rsid w:val="4D949AC2"/>
    <w:rsid w:val="4D9D6283"/>
    <w:rsid w:val="4D9DCE91"/>
    <w:rsid w:val="4DA0239E"/>
    <w:rsid w:val="4DA966A7"/>
    <w:rsid w:val="4DB1CDB6"/>
    <w:rsid w:val="4DB7B022"/>
    <w:rsid w:val="4DBAC0A8"/>
    <w:rsid w:val="4DC21425"/>
    <w:rsid w:val="4DC3ECD2"/>
    <w:rsid w:val="4DD08C3B"/>
    <w:rsid w:val="4DD2F77E"/>
    <w:rsid w:val="4DD644C5"/>
    <w:rsid w:val="4DDE9323"/>
    <w:rsid w:val="4DE83729"/>
    <w:rsid w:val="4DE9D5A4"/>
    <w:rsid w:val="4DF2A7A8"/>
    <w:rsid w:val="4DFF4B7A"/>
    <w:rsid w:val="4E0A340D"/>
    <w:rsid w:val="4E0FA593"/>
    <w:rsid w:val="4E14AA99"/>
    <w:rsid w:val="4E15DA9C"/>
    <w:rsid w:val="4E1B73C2"/>
    <w:rsid w:val="4E240DB2"/>
    <w:rsid w:val="4E251913"/>
    <w:rsid w:val="4E2BBE11"/>
    <w:rsid w:val="4E30FDB4"/>
    <w:rsid w:val="4E315770"/>
    <w:rsid w:val="4E3A6FE3"/>
    <w:rsid w:val="4E4070DD"/>
    <w:rsid w:val="4E419705"/>
    <w:rsid w:val="4E44AD6C"/>
    <w:rsid w:val="4E473C5F"/>
    <w:rsid w:val="4E4CC9DB"/>
    <w:rsid w:val="4E68FA9F"/>
    <w:rsid w:val="4E6D6448"/>
    <w:rsid w:val="4E720928"/>
    <w:rsid w:val="4E861082"/>
    <w:rsid w:val="4E882E87"/>
    <w:rsid w:val="4E8B9D33"/>
    <w:rsid w:val="4E8C8D78"/>
    <w:rsid w:val="4E8F4615"/>
    <w:rsid w:val="4E923FA3"/>
    <w:rsid w:val="4E9A8633"/>
    <w:rsid w:val="4EA2604D"/>
    <w:rsid w:val="4EA28E6E"/>
    <w:rsid w:val="4EAA399C"/>
    <w:rsid w:val="4EAB9A8A"/>
    <w:rsid w:val="4EAC444C"/>
    <w:rsid w:val="4EB4A3D9"/>
    <w:rsid w:val="4EBD63D2"/>
    <w:rsid w:val="4EC2B482"/>
    <w:rsid w:val="4EC3C4EF"/>
    <w:rsid w:val="4ECB1A02"/>
    <w:rsid w:val="4ECB4821"/>
    <w:rsid w:val="4ED47377"/>
    <w:rsid w:val="4EE3B34C"/>
    <w:rsid w:val="4EF3BFB4"/>
    <w:rsid w:val="4EFB79A9"/>
    <w:rsid w:val="4EFCD7D4"/>
    <w:rsid w:val="4F03AAFB"/>
    <w:rsid w:val="4F043A5D"/>
    <w:rsid w:val="4F04D3A9"/>
    <w:rsid w:val="4F08A39B"/>
    <w:rsid w:val="4F12BF0D"/>
    <w:rsid w:val="4F18338C"/>
    <w:rsid w:val="4F1870F4"/>
    <w:rsid w:val="4F19004E"/>
    <w:rsid w:val="4F1D0539"/>
    <w:rsid w:val="4F30F138"/>
    <w:rsid w:val="4F47E0A6"/>
    <w:rsid w:val="4F4E128F"/>
    <w:rsid w:val="4F539E78"/>
    <w:rsid w:val="4F55E3C2"/>
    <w:rsid w:val="4F573EAC"/>
    <w:rsid w:val="4F5820A5"/>
    <w:rsid w:val="4F59A350"/>
    <w:rsid w:val="4F5E7DFD"/>
    <w:rsid w:val="4F600AF3"/>
    <w:rsid w:val="4F629688"/>
    <w:rsid w:val="4F6824CE"/>
    <w:rsid w:val="4F68E667"/>
    <w:rsid w:val="4F6D2EC7"/>
    <w:rsid w:val="4F722696"/>
    <w:rsid w:val="4F78DF16"/>
    <w:rsid w:val="4F7F2CBB"/>
    <w:rsid w:val="4F846247"/>
    <w:rsid w:val="4F910ABC"/>
    <w:rsid w:val="4F97E289"/>
    <w:rsid w:val="4F99C958"/>
    <w:rsid w:val="4F9ED441"/>
    <w:rsid w:val="4FA3015D"/>
    <w:rsid w:val="4FABAA70"/>
    <w:rsid w:val="4FB9767F"/>
    <w:rsid w:val="4FC9D5E3"/>
    <w:rsid w:val="4FCFEE44"/>
    <w:rsid w:val="4FD21F2C"/>
    <w:rsid w:val="4FD5E410"/>
    <w:rsid w:val="4FD841C0"/>
    <w:rsid w:val="4FE10F2C"/>
    <w:rsid w:val="4FE2B30D"/>
    <w:rsid w:val="4FE38251"/>
    <w:rsid w:val="4FF56A08"/>
    <w:rsid w:val="4FF6094C"/>
    <w:rsid w:val="4FFBB8CF"/>
    <w:rsid w:val="500E3FB8"/>
    <w:rsid w:val="500FA5E3"/>
    <w:rsid w:val="5011E78D"/>
    <w:rsid w:val="5019ED06"/>
    <w:rsid w:val="502E52E2"/>
    <w:rsid w:val="50328EE0"/>
    <w:rsid w:val="503677A4"/>
    <w:rsid w:val="503FDED3"/>
    <w:rsid w:val="50412420"/>
    <w:rsid w:val="505156F9"/>
    <w:rsid w:val="5051D1BF"/>
    <w:rsid w:val="505DA2DF"/>
    <w:rsid w:val="50641DC9"/>
    <w:rsid w:val="50679399"/>
    <w:rsid w:val="506B69F5"/>
    <w:rsid w:val="506C09CC"/>
    <w:rsid w:val="5076D9D6"/>
    <w:rsid w:val="507B7D04"/>
    <w:rsid w:val="5080439D"/>
    <w:rsid w:val="50820AFE"/>
    <w:rsid w:val="5083E0FD"/>
    <w:rsid w:val="5097E519"/>
    <w:rsid w:val="509A7704"/>
    <w:rsid w:val="50A00F88"/>
    <w:rsid w:val="50A12F24"/>
    <w:rsid w:val="50A27D3F"/>
    <w:rsid w:val="50A54C1A"/>
    <w:rsid w:val="50ACBCDA"/>
    <w:rsid w:val="50AEB28E"/>
    <w:rsid w:val="50AEDDEA"/>
    <w:rsid w:val="50C660E6"/>
    <w:rsid w:val="50CB0041"/>
    <w:rsid w:val="50CBCC12"/>
    <w:rsid w:val="50D49D09"/>
    <w:rsid w:val="50D8B145"/>
    <w:rsid w:val="50DA329F"/>
    <w:rsid w:val="50E1AA1A"/>
    <w:rsid w:val="50EA3CB7"/>
    <w:rsid w:val="50ED553A"/>
    <w:rsid w:val="50FD6C3F"/>
    <w:rsid w:val="5105AA80"/>
    <w:rsid w:val="5113FBBC"/>
    <w:rsid w:val="5117CEE9"/>
    <w:rsid w:val="511E4556"/>
    <w:rsid w:val="5126A18F"/>
    <w:rsid w:val="512EE834"/>
    <w:rsid w:val="512F4B6A"/>
    <w:rsid w:val="51318366"/>
    <w:rsid w:val="513262CD"/>
    <w:rsid w:val="5134AFE5"/>
    <w:rsid w:val="51363EB2"/>
    <w:rsid w:val="513894A4"/>
    <w:rsid w:val="513DEE62"/>
    <w:rsid w:val="5143EE96"/>
    <w:rsid w:val="5148C4A2"/>
    <w:rsid w:val="514AD4B0"/>
    <w:rsid w:val="5153227B"/>
    <w:rsid w:val="51585B33"/>
    <w:rsid w:val="515CCF6F"/>
    <w:rsid w:val="51677890"/>
    <w:rsid w:val="516CE451"/>
    <w:rsid w:val="51711A9A"/>
    <w:rsid w:val="5175E1B8"/>
    <w:rsid w:val="517F7DB3"/>
    <w:rsid w:val="518034F9"/>
    <w:rsid w:val="519215AF"/>
    <w:rsid w:val="51A40CB1"/>
    <w:rsid w:val="51A80CF1"/>
    <w:rsid w:val="51ABCCBC"/>
    <w:rsid w:val="51AFBA67"/>
    <w:rsid w:val="51B23029"/>
    <w:rsid w:val="51B5A50C"/>
    <w:rsid w:val="51C2C094"/>
    <w:rsid w:val="51CC8735"/>
    <w:rsid w:val="51CD58A6"/>
    <w:rsid w:val="51CDBAA2"/>
    <w:rsid w:val="51D1D1BE"/>
    <w:rsid w:val="51D2FF18"/>
    <w:rsid w:val="51F2067F"/>
    <w:rsid w:val="51F9620A"/>
    <w:rsid w:val="51FDACB4"/>
    <w:rsid w:val="5202100C"/>
    <w:rsid w:val="520EAC99"/>
    <w:rsid w:val="52131DEE"/>
    <w:rsid w:val="521C32F3"/>
    <w:rsid w:val="5224B5B9"/>
    <w:rsid w:val="52253B79"/>
    <w:rsid w:val="52265CF1"/>
    <w:rsid w:val="522A5E92"/>
    <w:rsid w:val="5233535F"/>
    <w:rsid w:val="524177BE"/>
    <w:rsid w:val="5246F8A4"/>
    <w:rsid w:val="524A14FE"/>
    <w:rsid w:val="5250D584"/>
    <w:rsid w:val="525281B6"/>
    <w:rsid w:val="525343FF"/>
    <w:rsid w:val="52609370"/>
    <w:rsid w:val="52622C47"/>
    <w:rsid w:val="52659522"/>
    <w:rsid w:val="526BBEAA"/>
    <w:rsid w:val="52715D29"/>
    <w:rsid w:val="5272D0A2"/>
    <w:rsid w:val="52773DF8"/>
    <w:rsid w:val="528819D1"/>
    <w:rsid w:val="528BB2A3"/>
    <w:rsid w:val="528F74F5"/>
    <w:rsid w:val="52957173"/>
    <w:rsid w:val="5298EDEF"/>
    <w:rsid w:val="52A16BE7"/>
    <w:rsid w:val="52A62368"/>
    <w:rsid w:val="52A91545"/>
    <w:rsid w:val="52BA06A4"/>
    <w:rsid w:val="52C4A0E4"/>
    <w:rsid w:val="52CCEFAB"/>
    <w:rsid w:val="52E0C726"/>
    <w:rsid w:val="52E0D4EC"/>
    <w:rsid w:val="52E334C1"/>
    <w:rsid w:val="52EF6512"/>
    <w:rsid w:val="52F05C6D"/>
    <w:rsid w:val="53009796"/>
    <w:rsid w:val="53021CDF"/>
    <w:rsid w:val="5305ED87"/>
    <w:rsid w:val="53069668"/>
    <w:rsid w:val="5307BE07"/>
    <w:rsid w:val="530C3E59"/>
    <w:rsid w:val="5311446D"/>
    <w:rsid w:val="5312D059"/>
    <w:rsid w:val="53162724"/>
    <w:rsid w:val="531B90A4"/>
    <w:rsid w:val="531D0E26"/>
    <w:rsid w:val="531F0E65"/>
    <w:rsid w:val="53219DBE"/>
    <w:rsid w:val="5329F14B"/>
    <w:rsid w:val="532CA661"/>
    <w:rsid w:val="532EBB53"/>
    <w:rsid w:val="532FC659"/>
    <w:rsid w:val="53320C23"/>
    <w:rsid w:val="53333235"/>
    <w:rsid w:val="5333C7DB"/>
    <w:rsid w:val="53343BC7"/>
    <w:rsid w:val="53363625"/>
    <w:rsid w:val="533B2BAA"/>
    <w:rsid w:val="5343B67A"/>
    <w:rsid w:val="5349A216"/>
    <w:rsid w:val="53506220"/>
    <w:rsid w:val="535119F4"/>
    <w:rsid w:val="5353E794"/>
    <w:rsid w:val="53561654"/>
    <w:rsid w:val="535B4F9E"/>
    <w:rsid w:val="535D62D7"/>
    <w:rsid w:val="535DE57A"/>
    <w:rsid w:val="5361BC4C"/>
    <w:rsid w:val="53673D1A"/>
    <w:rsid w:val="5367B39C"/>
    <w:rsid w:val="536AC6CD"/>
    <w:rsid w:val="53754328"/>
    <w:rsid w:val="53863282"/>
    <w:rsid w:val="539671EE"/>
    <w:rsid w:val="5399D2A5"/>
    <w:rsid w:val="539F0CD0"/>
    <w:rsid w:val="53B30F55"/>
    <w:rsid w:val="53BC9A98"/>
    <w:rsid w:val="53C04B57"/>
    <w:rsid w:val="53CC2101"/>
    <w:rsid w:val="53CCD682"/>
    <w:rsid w:val="53D52019"/>
    <w:rsid w:val="53D887EB"/>
    <w:rsid w:val="53E3AAC7"/>
    <w:rsid w:val="53E9923E"/>
    <w:rsid w:val="53FA73E9"/>
    <w:rsid w:val="53FB831B"/>
    <w:rsid w:val="5404326F"/>
    <w:rsid w:val="54057BCE"/>
    <w:rsid w:val="5405C890"/>
    <w:rsid w:val="540718A0"/>
    <w:rsid w:val="54127D07"/>
    <w:rsid w:val="5414005E"/>
    <w:rsid w:val="5414F335"/>
    <w:rsid w:val="541C2629"/>
    <w:rsid w:val="5427EC85"/>
    <w:rsid w:val="54294266"/>
    <w:rsid w:val="542A81D6"/>
    <w:rsid w:val="542E0AA2"/>
    <w:rsid w:val="543143BC"/>
    <w:rsid w:val="543707A8"/>
    <w:rsid w:val="54383A84"/>
    <w:rsid w:val="543AE4DE"/>
    <w:rsid w:val="54416C54"/>
    <w:rsid w:val="544BE281"/>
    <w:rsid w:val="54503751"/>
    <w:rsid w:val="545396FA"/>
    <w:rsid w:val="5453DE24"/>
    <w:rsid w:val="5454466F"/>
    <w:rsid w:val="54545D79"/>
    <w:rsid w:val="54560A97"/>
    <w:rsid w:val="545C9C2B"/>
    <w:rsid w:val="54658A62"/>
    <w:rsid w:val="546C1171"/>
    <w:rsid w:val="5470059C"/>
    <w:rsid w:val="54707293"/>
    <w:rsid w:val="5475BDBA"/>
    <w:rsid w:val="5478E554"/>
    <w:rsid w:val="547BBD3A"/>
    <w:rsid w:val="547C517A"/>
    <w:rsid w:val="547EFB71"/>
    <w:rsid w:val="54826CFC"/>
    <w:rsid w:val="54851164"/>
    <w:rsid w:val="5485DD6C"/>
    <w:rsid w:val="548A3252"/>
    <w:rsid w:val="54938E36"/>
    <w:rsid w:val="549603FE"/>
    <w:rsid w:val="5496041A"/>
    <w:rsid w:val="549772C6"/>
    <w:rsid w:val="549A5BF2"/>
    <w:rsid w:val="549DCED6"/>
    <w:rsid w:val="54A0EDCA"/>
    <w:rsid w:val="54A70CDB"/>
    <w:rsid w:val="54AC987C"/>
    <w:rsid w:val="54AFF3DF"/>
    <w:rsid w:val="54B1C0DE"/>
    <w:rsid w:val="54B91567"/>
    <w:rsid w:val="54B9CD14"/>
    <w:rsid w:val="54B9E69A"/>
    <w:rsid w:val="54BF0BFF"/>
    <w:rsid w:val="54C15BC6"/>
    <w:rsid w:val="54C9B066"/>
    <w:rsid w:val="54CC5991"/>
    <w:rsid w:val="54D638F3"/>
    <w:rsid w:val="54D65EF9"/>
    <w:rsid w:val="54D8D72A"/>
    <w:rsid w:val="54DC2FF7"/>
    <w:rsid w:val="54DDE5A4"/>
    <w:rsid w:val="54E09D29"/>
    <w:rsid w:val="54E57973"/>
    <w:rsid w:val="54E93404"/>
    <w:rsid w:val="54E9FD63"/>
    <w:rsid w:val="54EA686E"/>
    <w:rsid w:val="54ED276D"/>
    <w:rsid w:val="54F8E872"/>
    <w:rsid w:val="54FF5B87"/>
    <w:rsid w:val="5501F693"/>
    <w:rsid w:val="5511EC18"/>
    <w:rsid w:val="55163D62"/>
    <w:rsid w:val="55178296"/>
    <w:rsid w:val="551B3903"/>
    <w:rsid w:val="5522681B"/>
    <w:rsid w:val="55292216"/>
    <w:rsid w:val="55382B21"/>
    <w:rsid w:val="553A3D21"/>
    <w:rsid w:val="5540D99C"/>
    <w:rsid w:val="5546FF88"/>
    <w:rsid w:val="554D6ACE"/>
    <w:rsid w:val="5552E37F"/>
    <w:rsid w:val="5559E0EE"/>
    <w:rsid w:val="555B429F"/>
    <w:rsid w:val="555C562A"/>
    <w:rsid w:val="555FA3EA"/>
    <w:rsid w:val="55622540"/>
    <w:rsid w:val="55632DD3"/>
    <w:rsid w:val="557CABF2"/>
    <w:rsid w:val="557F15CA"/>
    <w:rsid w:val="557FA609"/>
    <w:rsid w:val="5586DCED"/>
    <w:rsid w:val="558D34A4"/>
    <w:rsid w:val="5591C0A0"/>
    <w:rsid w:val="5591C8F5"/>
    <w:rsid w:val="55975D8B"/>
    <w:rsid w:val="55A09E58"/>
    <w:rsid w:val="55ADB5DF"/>
    <w:rsid w:val="55ADF6A7"/>
    <w:rsid w:val="55B061EE"/>
    <w:rsid w:val="55BE72E2"/>
    <w:rsid w:val="55BF3B80"/>
    <w:rsid w:val="55C0052E"/>
    <w:rsid w:val="55C4D4D0"/>
    <w:rsid w:val="55C52816"/>
    <w:rsid w:val="55CC868D"/>
    <w:rsid w:val="55CC929D"/>
    <w:rsid w:val="55D754C5"/>
    <w:rsid w:val="55E23BC0"/>
    <w:rsid w:val="55E43B5C"/>
    <w:rsid w:val="55EC4B04"/>
    <w:rsid w:val="55ECC21D"/>
    <w:rsid w:val="55EE7308"/>
    <w:rsid w:val="55F3884A"/>
    <w:rsid w:val="55F92490"/>
    <w:rsid w:val="55F9DEF0"/>
    <w:rsid w:val="55FDDD3C"/>
    <w:rsid w:val="56011987"/>
    <w:rsid w:val="560715B0"/>
    <w:rsid w:val="56078324"/>
    <w:rsid w:val="56083CC8"/>
    <w:rsid w:val="56084838"/>
    <w:rsid w:val="56114A69"/>
    <w:rsid w:val="56119684"/>
    <w:rsid w:val="5615BF99"/>
    <w:rsid w:val="56164238"/>
    <w:rsid w:val="561D5332"/>
    <w:rsid w:val="56320695"/>
    <w:rsid w:val="56324AC2"/>
    <w:rsid w:val="56366870"/>
    <w:rsid w:val="56398320"/>
    <w:rsid w:val="563BBDA0"/>
    <w:rsid w:val="564DCE37"/>
    <w:rsid w:val="565A4F3C"/>
    <w:rsid w:val="56621F79"/>
    <w:rsid w:val="56637B1B"/>
    <w:rsid w:val="56781DA1"/>
    <w:rsid w:val="56796A76"/>
    <w:rsid w:val="567B24BA"/>
    <w:rsid w:val="567C32E7"/>
    <w:rsid w:val="567CBC58"/>
    <w:rsid w:val="5681923B"/>
    <w:rsid w:val="56846D6B"/>
    <w:rsid w:val="5686ED59"/>
    <w:rsid w:val="56876E60"/>
    <w:rsid w:val="5688F589"/>
    <w:rsid w:val="568D3164"/>
    <w:rsid w:val="5697CCD1"/>
    <w:rsid w:val="569B7FBD"/>
    <w:rsid w:val="569D0927"/>
    <w:rsid w:val="56A13149"/>
    <w:rsid w:val="56A95619"/>
    <w:rsid w:val="56B530CC"/>
    <w:rsid w:val="56BA78D6"/>
    <w:rsid w:val="56CE5178"/>
    <w:rsid w:val="56D54F18"/>
    <w:rsid w:val="56EA3337"/>
    <w:rsid w:val="56EAC0E7"/>
    <w:rsid w:val="56EE60B6"/>
    <w:rsid w:val="56FA7436"/>
    <w:rsid w:val="56FFAA6F"/>
    <w:rsid w:val="57027F16"/>
    <w:rsid w:val="57048911"/>
    <w:rsid w:val="570E351D"/>
    <w:rsid w:val="570F020E"/>
    <w:rsid w:val="5716F386"/>
    <w:rsid w:val="571D518D"/>
    <w:rsid w:val="571D7C32"/>
    <w:rsid w:val="572031C3"/>
    <w:rsid w:val="57206666"/>
    <w:rsid w:val="5720F318"/>
    <w:rsid w:val="57243B71"/>
    <w:rsid w:val="57259842"/>
    <w:rsid w:val="573073B2"/>
    <w:rsid w:val="5733452D"/>
    <w:rsid w:val="573502BA"/>
    <w:rsid w:val="5739B367"/>
    <w:rsid w:val="573BC2A6"/>
    <w:rsid w:val="57518FBF"/>
    <w:rsid w:val="575ABC06"/>
    <w:rsid w:val="576152C6"/>
    <w:rsid w:val="5762FD7C"/>
    <w:rsid w:val="5764D48A"/>
    <w:rsid w:val="576F2E62"/>
    <w:rsid w:val="5789E129"/>
    <w:rsid w:val="579B60AB"/>
    <w:rsid w:val="57A6571F"/>
    <w:rsid w:val="57A6BD56"/>
    <w:rsid w:val="57AAD9D6"/>
    <w:rsid w:val="57B180E2"/>
    <w:rsid w:val="57C35E9F"/>
    <w:rsid w:val="57C851D1"/>
    <w:rsid w:val="57CC8949"/>
    <w:rsid w:val="57E44611"/>
    <w:rsid w:val="57F2E301"/>
    <w:rsid w:val="57FAFE53"/>
    <w:rsid w:val="581029DE"/>
    <w:rsid w:val="581094AB"/>
    <w:rsid w:val="581160B6"/>
    <w:rsid w:val="5811E702"/>
    <w:rsid w:val="5823E47D"/>
    <w:rsid w:val="58282A37"/>
    <w:rsid w:val="5829A986"/>
    <w:rsid w:val="582A03B6"/>
    <w:rsid w:val="582E6EE6"/>
    <w:rsid w:val="583AA47B"/>
    <w:rsid w:val="583F8E9B"/>
    <w:rsid w:val="58408ECD"/>
    <w:rsid w:val="5840EB85"/>
    <w:rsid w:val="5859306B"/>
    <w:rsid w:val="585C0DAD"/>
    <w:rsid w:val="585CC58E"/>
    <w:rsid w:val="585E7FC7"/>
    <w:rsid w:val="585E955A"/>
    <w:rsid w:val="585F06B2"/>
    <w:rsid w:val="58692866"/>
    <w:rsid w:val="586B58D9"/>
    <w:rsid w:val="586D581B"/>
    <w:rsid w:val="58719EBF"/>
    <w:rsid w:val="5873F065"/>
    <w:rsid w:val="5881B795"/>
    <w:rsid w:val="58841B9E"/>
    <w:rsid w:val="588AFD91"/>
    <w:rsid w:val="588DF74F"/>
    <w:rsid w:val="58957E96"/>
    <w:rsid w:val="58A047A5"/>
    <w:rsid w:val="58A1B16D"/>
    <w:rsid w:val="58A437FE"/>
    <w:rsid w:val="58A784EB"/>
    <w:rsid w:val="58A7E9B8"/>
    <w:rsid w:val="58A90463"/>
    <w:rsid w:val="58A9F327"/>
    <w:rsid w:val="58AFB50B"/>
    <w:rsid w:val="58B22C01"/>
    <w:rsid w:val="58B393E2"/>
    <w:rsid w:val="58B45142"/>
    <w:rsid w:val="58B886F8"/>
    <w:rsid w:val="58BB1FBA"/>
    <w:rsid w:val="58C1FFE7"/>
    <w:rsid w:val="58C76E55"/>
    <w:rsid w:val="58CDB133"/>
    <w:rsid w:val="58CF5970"/>
    <w:rsid w:val="58D0526C"/>
    <w:rsid w:val="58D14219"/>
    <w:rsid w:val="58D7CF13"/>
    <w:rsid w:val="58E0152A"/>
    <w:rsid w:val="58E52D81"/>
    <w:rsid w:val="58E9AC85"/>
    <w:rsid w:val="58F2D0FD"/>
    <w:rsid w:val="58F42D7C"/>
    <w:rsid w:val="58FF7ED3"/>
    <w:rsid w:val="59015059"/>
    <w:rsid w:val="5906CFEB"/>
    <w:rsid w:val="59117050"/>
    <w:rsid w:val="59136945"/>
    <w:rsid w:val="5917A123"/>
    <w:rsid w:val="5917A56E"/>
    <w:rsid w:val="5918070A"/>
    <w:rsid w:val="591E6883"/>
    <w:rsid w:val="59200345"/>
    <w:rsid w:val="5922788E"/>
    <w:rsid w:val="59239690"/>
    <w:rsid w:val="5924287B"/>
    <w:rsid w:val="592CA234"/>
    <w:rsid w:val="59335321"/>
    <w:rsid w:val="593D947D"/>
    <w:rsid w:val="5941F840"/>
    <w:rsid w:val="59443503"/>
    <w:rsid w:val="5948BD6D"/>
    <w:rsid w:val="59523D1C"/>
    <w:rsid w:val="595A1980"/>
    <w:rsid w:val="59603A5F"/>
    <w:rsid w:val="59629023"/>
    <w:rsid w:val="5963BCFB"/>
    <w:rsid w:val="59647942"/>
    <w:rsid w:val="59697946"/>
    <w:rsid w:val="5977DDCE"/>
    <w:rsid w:val="597E8921"/>
    <w:rsid w:val="59807994"/>
    <w:rsid w:val="59821C87"/>
    <w:rsid w:val="59822395"/>
    <w:rsid w:val="598CA0B0"/>
    <w:rsid w:val="59909F26"/>
    <w:rsid w:val="59955777"/>
    <w:rsid w:val="599AE57B"/>
    <w:rsid w:val="599DF3DF"/>
    <w:rsid w:val="59A08C82"/>
    <w:rsid w:val="59A4F9BA"/>
    <w:rsid w:val="59B0C50F"/>
    <w:rsid w:val="59BD3F3D"/>
    <w:rsid w:val="59BDAC37"/>
    <w:rsid w:val="59C5436D"/>
    <w:rsid w:val="59CDD1D5"/>
    <w:rsid w:val="59CEEDE1"/>
    <w:rsid w:val="59D33891"/>
    <w:rsid w:val="59D4A9A0"/>
    <w:rsid w:val="59D55589"/>
    <w:rsid w:val="59D733EB"/>
    <w:rsid w:val="59D8728C"/>
    <w:rsid w:val="59DC04B6"/>
    <w:rsid w:val="59E32E69"/>
    <w:rsid w:val="59F2E4B0"/>
    <w:rsid w:val="59F56A78"/>
    <w:rsid w:val="59F5F1EB"/>
    <w:rsid w:val="59F763F6"/>
    <w:rsid w:val="59F8872D"/>
    <w:rsid w:val="5A0AE3A8"/>
    <w:rsid w:val="5A0E5474"/>
    <w:rsid w:val="5A0E9D4B"/>
    <w:rsid w:val="5A1F8FB2"/>
    <w:rsid w:val="5A2221C4"/>
    <w:rsid w:val="5A2871A0"/>
    <w:rsid w:val="5A2F1EFA"/>
    <w:rsid w:val="5A3308A0"/>
    <w:rsid w:val="5A3C9C4E"/>
    <w:rsid w:val="5A46E93C"/>
    <w:rsid w:val="5A4D868A"/>
    <w:rsid w:val="5A4D8E01"/>
    <w:rsid w:val="5A4D8E31"/>
    <w:rsid w:val="5A529FB5"/>
    <w:rsid w:val="5A59A996"/>
    <w:rsid w:val="5A5B4355"/>
    <w:rsid w:val="5A60ED96"/>
    <w:rsid w:val="5A618AFB"/>
    <w:rsid w:val="5A619C7D"/>
    <w:rsid w:val="5A769F7C"/>
    <w:rsid w:val="5A8F7967"/>
    <w:rsid w:val="5A9147D5"/>
    <w:rsid w:val="5A9CEC31"/>
    <w:rsid w:val="5A9E84AB"/>
    <w:rsid w:val="5A9FF6A9"/>
    <w:rsid w:val="5AA3480A"/>
    <w:rsid w:val="5AAB3956"/>
    <w:rsid w:val="5AACAD89"/>
    <w:rsid w:val="5AB4C842"/>
    <w:rsid w:val="5AB57AB2"/>
    <w:rsid w:val="5ABE54A7"/>
    <w:rsid w:val="5AC05710"/>
    <w:rsid w:val="5AC77216"/>
    <w:rsid w:val="5ACACE8E"/>
    <w:rsid w:val="5ACBCA47"/>
    <w:rsid w:val="5ACC63C2"/>
    <w:rsid w:val="5AE013BE"/>
    <w:rsid w:val="5AEBA257"/>
    <w:rsid w:val="5AF426DC"/>
    <w:rsid w:val="5AF6F709"/>
    <w:rsid w:val="5B07719B"/>
    <w:rsid w:val="5B0BC385"/>
    <w:rsid w:val="5B0F90D8"/>
    <w:rsid w:val="5B177086"/>
    <w:rsid w:val="5B1818F7"/>
    <w:rsid w:val="5B22864D"/>
    <w:rsid w:val="5B2EF707"/>
    <w:rsid w:val="5B36F021"/>
    <w:rsid w:val="5B38F682"/>
    <w:rsid w:val="5B3B007A"/>
    <w:rsid w:val="5B3E53C9"/>
    <w:rsid w:val="5B42087D"/>
    <w:rsid w:val="5B45F2CB"/>
    <w:rsid w:val="5B46AB39"/>
    <w:rsid w:val="5B49B976"/>
    <w:rsid w:val="5B4BA441"/>
    <w:rsid w:val="5B580345"/>
    <w:rsid w:val="5B5877ED"/>
    <w:rsid w:val="5B5AF89B"/>
    <w:rsid w:val="5B61587C"/>
    <w:rsid w:val="5B6286B3"/>
    <w:rsid w:val="5B68BAF7"/>
    <w:rsid w:val="5B6B9E09"/>
    <w:rsid w:val="5B766714"/>
    <w:rsid w:val="5B77A768"/>
    <w:rsid w:val="5B78035E"/>
    <w:rsid w:val="5B7AFAD0"/>
    <w:rsid w:val="5B85940C"/>
    <w:rsid w:val="5B863F90"/>
    <w:rsid w:val="5B88F10B"/>
    <w:rsid w:val="5B8ACD55"/>
    <w:rsid w:val="5B8C8FCB"/>
    <w:rsid w:val="5B9537B1"/>
    <w:rsid w:val="5B9B59CA"/>
    <w:rsid w:val="5BA1531C"/>
    <w:rsid w:val="5BA77D0E"/>
    <w:rsid w:val="5BAA3DE9"/>
    <w:rsid w:val="5BB18A7D"/>
    <w:rsid w:val="5BB1A326"/>
    <w:rsid w:val="5BB5C228"/>
    <w:rsid w:val="5BC20756"/>
    <w:rsid w:val="5BCA4E96"/>
    <w:rsid w:val="5BD17AF8"/>
    <w:rsid w:val="5BE1033C"/>
    <w:rsid w:val="5BE4ECC3"/>
    <w:rsid w:val="5BE645F2"/>
    <w:rsid w:val="5BEB846B"/>
    <w:rsid w:val="5BEEA2B6"/>
    <w:rsid w:val="5BEEB125"/>
    <w:rsid w:val="5BEFAEEF"/>
    <w:rsid w:val="5BFAB7A0"/>
    <w:rsid w:val="5BFB09EA"/>
    <w:rsid w:val="5C09ACF9"/>
    <w:rsid w:val="5C0E56DF"/>
    <w:rsid w:val="5C1AEFDB"/>
    <w:rsid w:val="5C1C1D5F"/>
    <w:rsid w:val="5C1DE252"/>
    <w:rsid w:val="5C1E87BC"/>
    <w:rsid w:val="5C1EC2D1"/>
    <w:rsid w:val="5C33FEB2"/>
    <w:rsid w:val="5C3466CA"/>
    <w:rsid w:val="5C3517CE"/>
    <w:rsid w:val="5C38466C"/>
    <w:rsid w:val="5C38F46E"/>
    <w:rsid w:val="5C3EDF33"/>
    <w:rsid w:val="5C44DDFB"/>
    <w:rsid w:val="5C487DEA"/>
    <w:rsid w:val="5C4A481C"/>
    <w:rsid w:val="5C4B2C33"/>
    <w:rsid w:val="5C4C4549"/>
    <w:rsid w:val="5C4FF607"/>
    <w:rsid w:val="5C53C48D"/>
    <w:rsid w:val="5C58ECA0"/>
    <w:rsid w:val="5C648453"/>
    <w:rsid w:val="5C69C002"/>
    <w:rsid w:val="5C7FD511"/>
    <w:rsid w:val="5C8D238A"/>
    <w:rsid w:val="5C9A6FE1"/>
    <w:rsid w:val="5C9F583B"/>
    <w:rsid w:val="5C9FE2EE"/>
    <w:rsid w:val="5CA03175"/>
    <w:rsid w:val="5CA2D7EC"/>
    <w:rsid w:val="5CA4B399"/>
    <w:rsid w:val="5CA5EC4E"/>
    <w:rsid w:val="5CA7E9C2"/>
    <w:rsid w:val="5CAAD443"/>
    <w:rsid w:val="5CABA227"/>
    <w:rsid w:val="5CC7D48A"/>
    <w:rsid w:val="5CD4B3A7"/>
    <w:rsid w:val="5CD80895"/>
    <w:rsid w:val="5CDBA0FF"/>
    <w:rsid w:val="5CDD2A8E"/>
    <w:rsid w:val="5CE4A3B0"/>
    <w:rsid w:val="5CE5F733"/>
    <w:rsid w:val="5CF54F5A"/>
    <w:rsid w:val="5CF8897E"/>
    <w:rsid w:val="5CFD2BC3"/>
    <w:rsid w:val="5D039DAA"/>
    <w:rsid w:val="5D0C20C1"/>
    <w:rsid w:val="5D0D70DA"/>
    <w:rsid w:val="5D15DBF6"/>
    <w:rsid w:val="5D244E15"/>
    <w:rsid w:val="5D2F5907"/>
    <w:rsid w:val="5D316917"/>
    <w:rsid w:val="5D3A8CAC"/>
    <w:rsid w:val="5D3FFE03"/>
    <w:rsid w:val="5D404EF1"/>
    <w:rsid w:val="5D4316D5"/>
    <w:rsid w:val="5D4A95D9"/>
    <w:rsid w:val="5D519A07"/>
    <w:rsid w:val="5D556194"/>
    <w:rsid w:val="5D64E5F8"/>
    <w:rsid w:val="5D6AE594"/>
    <w:rsid w:val="5D745F01"/>
    <w:rsid w:val="5D74B856"/>
    <w:rsid w:val="5D775A31"/>
    <w:rsid w:val="5D78289C"/>
    <w:rsid w:val="5D7ADDF9"/>
    <w:rsid w:val="5D7C6F65"/>
    <w:rsid w:val="5D7D0193"/>
    <w:rsid w:val="5D8555B6"/>
    <w:rsid w:val="5D885A97"/>
    <w:rsid w:val="5D8C4BB0"/>
    <w:rsid w:val="5D9485FC"/>
    <w:rsid w:val="5D987803"/>
    <w:rsid w:val="5D9F5F83"/>
    <w:rsid w:val="5DA964B7"/>
    <w:rsid w:val="5DC11E49"/>
    <w:rsid w:val="5DC89F4F"/>
    <w:rsid w:val="5DCD3964"/>
    <w:rsid w:val="5DCF873F"/>
    <w:rsid w:val="5DD340C4"/>
    <w:rsid w:val="5DD4315D"/>
    <w:rsid w:val="5DE436DE"/>
    <w:rsid w:val="5DE44E4B"/>
    <w:rsid w:val="5DED7AD9"/>
    <w:rsid w:val="5DF7609D"/>
    <w:rsid w:val="5E021E42"/>
    <w:rsid w:val="5E0D6CCF"/>
    <w:rsid w:val="5E11508C"/>
    <w:rsid w:val="5E18F12F"/>
    <w:rsid w:val="5E264FA6"/>
    <w:rsid w:val="5E265A0D"/>
    <w:rsid w:val="5E287E23"/>
    <w:rsid w:val="5E2942E1"/>
    <w:rsid w:val="5E2FB281"/>
    <w:rsid w:val="5E39E12F"/>
    <w:rsid w:val="5E3ED0E1"/>
    <w:rsid w:val="5E496B32"/>
    <w:rsid w:val="5E4E42B0"/>
    <w:rsid w:val="5E57D8A8"/>
    <w:rsid w:val="5E5B5BFE"/>
    <w:rsid w:val="5E5FB425"/>
    <w:rsid w:val="5E7186F2"/>
    <w:rsid w:val="5E7415DA"/>
    <w:rsid w:val="5E7A52FC"/>
    <w:rsid w:val="5E82D466"/>
    <w:rsid w:val="5E836B52"/>
    <w:rsid w:val="5E839863"/>
    <w:rsid w:val="5E8B4BB4"/>
    <w:rsid w:val="5E8D8D31"/>
    <w:rsid w:val="5E8E3176"/>
    <w:rsid w:val="5E9501DA"/>
    <w:rsid w:val="5E9ADDB6"/>
    <w:rsid w:val="5E9BD315"/>
    <w:rsid w:val="5EA6B47A"/>
    <w:rsid w:val="5EB08065"/>
    <w:rsid w:val="5EB3169C"/>
    <w:rsid w:val="5EB4F5B7"/>
    <w:rsid w:val="5EC224F7"/>
    <w:rsid w:val="5ECF7314"/>
    <w:rsid w:val="5ED7468B"/>
    <w:rsid w:val="5EE588EC"/>
    <w:rsid w:val="5EF4924B"/>
    <w:rsid w:val="5EF56D3D"/>
    <w:rsid w:val="5EF757E6"/>
    <w:rsid w:val="5EFB8314"/>
    <w:rsid w:val="5EFD3C69"/>
    <w:rsid w:val="5F00BE93"/>
    <w:rsid w:val="5F0CD06F"/>
    <w:rsid w:val="5F0F9AC7"/>
    <w:rsid w:val="5F12DD58"/>
    <w:rsid w:val="5F1432DB"/>
    <w:rsid w:val="5F15FB02"/>
    <w:rsid w:val="5F1A9457"/>
    <w:rsid w:val="5F1E9C31"/>
    <w:rsid w:val="5F22004D"/>
    <w:rsid w:val="5F26F3EC"/>
    <w:rsid w:val="5F271199"/>
    <w:rsid w:val="5F27755F"/>
    <w:rsid w:val="5F27C7FD"/>
    <w:rsid w:val="5F280578"/>
    <w:rsid w:val="5F381F6D"/>
    <w:rsid w:val="5F461F3F"/>
    <w:rsid w:val="5F4AB200"/>
    <w:rsid w:val="5F5206FF"/>
    <w:rsid w:val="5F5E8BD2"/>
    <w:rsid w:val="5F5F03E8"/>
    <w:rsid w:val="5F62EB05"/>
    <w:rsid w:val="5F6C0C60"/>
    <w:rsid w:val="5F73BC12"/>
    <w:rsid w:val="5F79A228"/>
    <w:rsid w:val="5F7A145E"/>
    <w:rsid w:val="5F8445D7"/>
    <w:rsid w:val="5F87F439"/>
    <w:rsid w:val="5F9A3537"/>
    <w:rsid w:val="5F9E9A8B"/>
    <w:rsid w:val="5FAEC61A"/>
    <w:rsid w:val="5FB06099"/>
    <w:rsid w:val="5FB5B466"/>
    <w:rsid w:val="5FBD945C"/>
    <w:rsid w:val="5FCC57EC"/>
    <w:rsid w:val="5FD56C2C"/>
    <w:rsid w:val="5FD67602"/>
    <w:rsid w:val="5FD6A66B"/>
    <w:rsid w:val="5FDCC391"/>
    <w:rsid w:val="5FDE34A3"/>
    <w:rsid w:val="5FDF21AA"/>
    <w:rsid w:val="5FE03E4C"/>
    <w:rsid w:val="5FE16B90"/>
    <w:rsid w:val="5FE3B79D"/>
    <w:rsid w:val="5FE57957"/>
    <w:rsid w:val="5FFB9BE8"/>
    <w:rsid w:val="6007CFA4"/>
    <w:rsid w:val="601118F0"/>
    <w:rsid w:val="6011AD6A"/>
    <w:rsid w:val="6016291F"/>
    <w:rsid w:val="60210047"/>
    <w:rsid w:val="6032A9A4"/>
    <w:rsid w:val="6036BE86"/>
    <w:rsid w:val="603B0E23"/>
    <w:rsid w:val="60402669"/>
    <w:rsid w:val="60429CF4"/>
    <w:rsid w:val="6043CA14"/>
    <w:rsid w:val="60459F2C"/>
    <w:rsid w:val="6053406C"/>
    <w:rsid w:val="6055EADE"/>
    <w:rsid w:val="605811A6"/>
    <w:rsid w:val="606981B9"/>
    <w:rsid w:val="606B1BE4"/>
    <w:rsid w:val="606ED38B"/>
    <w:rsid w:val="606EE2C1"/>
    <w:rsid w:val="6071A5BB"/>
    <w:rsid w:val="60756A38"/>
    <w:rsid w:val="6076BC64"/>
    <w:rsid w:val="60776D16"/>
    <w:rsid w:val="607CE719"/>
    <w:rsid w:val="608A58B2"/>
    <w:rsid w:val="608C8E59"/>
    <w:rsid w:val="608FDC0D"/>
    <w:rsid w:val="609337D8"/>
    <w:rsid w:val="609858BF"/>
    <w:rsid w:val="609E1388"/>
    <w:rsid w:val="609E3A0D"/>
    <w:rsid w:val="609EF1F5"/>
    <w:rsid w:val="60A02810"/>
    <w:rsid w:val="60A0D1CC"/>
    <w:rsid w:val="60A445AE"/>
    <w:rsid w:val="60B064D2"/>
    <w:rsid w:val="60CC656B"/>
    <w:rsid w:val="60D6E318"/>
    <w:rsid w:val="60E4F416"/>
    <w:rsid w:val="60E6D5A2"/>
    <w:rsid w:val="60E9319C"/>
    <w:rsid w:val="60EEC65A"/>
    <w:rsid w:val="60F1FF46"/>
    <w:rsid w:val="60F482D2"/>
    <w:rsid w:val="60F708AA"/>
    <w:rsid w:val="60FDE6E0"/>
    <w:rsid w:val="61044557"/>
    <w:rsid w:val="61129AE4"/>
    <w:rsid w:val="61177344"/>
    <w:rsid w:val="611D906E"/>
    <w:rsid w:val="6123A7EA"/>
    <w:rsid w:val="61251B9B"/>
    <w:rsid w:val="6125E477"/>
    <w:rsid w:val="61288937"/>
    <w:rsid w:val="612C5DC3"/>
    <w:rsid w:val="61330527"/>
    <w:rsid w:val="6133583D"/>
    <w:rsid w:val="613420A3"/>
    <w:rsid w:val="613B2776"/>
    <w:rsid w:val="6140319E"/>
    <w:rsid w:val="6141AB52"/>
    <w:rsid w:val="6141BA28"/>
    <w:rsid w:val="614CAF62"/>
    <w:rsid w:val="61579AD7"/>
    <w:rsid w:val="6157A8C3"/>
    <w:rsid w:val="615A9DDF"/>
    <w:rsid w:val="615ADF88"/>
    <w:rsid w:val="615B046D"/>
    <w:rsid w:val="615B07C1"/>
    <w:rsid w:val="61609F63"/>
    <w:rsid w:val="616A0C8A"/>
    <w:rsid w:val="616FE256"/>
    <w:rsid w:val="61722E92"/>
    <w:rsid w:val="617937EF"/>
    <w:rsid w:val="617EA96A"/>
    <w:rsid w:val="6185E86D"/>
    <w:rsid w:val="618AA924"/>
    <w:rsid w:val="6193FBEC"/>
    <w:rsid w:val="6195AA05"/>
    <w:rsid w:val="619821A8"/>
    <w:rsid w:val="6199F63A"/>
    <w:rsid w:val="61A38DA8"/>
    <w:rsid w:val="61A54A83"/>
    <w:rsid w:val="61AB41DB"/>
    <w:rsid w:val="61AB9FEF"/>
    <w:rsid w:val="61B441A2"/>
    <w:rsid w:val="61B4E971"/>
    <w:rsid w:val="61B56C05"/>
    <w:rsid w:val="61BBB7EA"/>
    <w:rsid w:val="61C4DD19"/>
    <w:rsid w:val="61C7DDB6"/>
    <w:rsid w:val="61C85E8C"/>
    <w:rsid w:val="61CA40C3"/>
    <w:rsid w:val="61D26A5D"/>
    <w:rsid w:val="61D56743"/>
    <w:rsid w:val="61DE3F31"/>
    <w:rsid w:val="61E0BC5F"/>
    <w:rsid w:val="61E2E19B"/>
    <w:rsid w:val="61EF6CE1"/>
    <w:rsid w:val="61F62F1C"/>
    <w:rsid w:val="61FB4329"/>
    <w:rsid w:val="61FB8BD0"/>
    <w:rsid w:val="6205310A"/>
    <w:rsid w:val="62077862"/>
    <w:rsid w:val="620DDF4C"/>
    <w:rsid w:val="6214307E"/>
    <w:rsid w:val="622064A4"/>
    <w:rsid w:val="62220754"/>
    <w:rsid w:val="62223BFD"/>
    <w:rsid w:val="6228498A"/>
    <w:rsid w:val="6230E1C7"/>
    <w:rsid w:val="62352FBB"/>
    <w:rsid w:val="62390DF8"/>
    <w:rsid w:val="62493826"/>
    <w:rsid w:val="624B6531"/>
    <w:rsid w:val="624B9182"/>
    <w:rsid w:val="624BAA84"/>
    <w:rsid w:val="6250F436"/>
    <w:rsid w:val="62512E57"/>
    <w:rsid w:val="62596D46"/>
    <w:rsid w:val="625B9427"/>
    <w:rsid w:val="62613E5E"/>
    <w:rsid w:val="62656260"/>
    <w:rsid w:val="627000E4"/>
    <w:rsid w:val="62704A1F"/>
    <w:rsid w:val="62724732"/>
    <w:rsid w:val="627E8D00"/>
    <w:rsid w:val="628C919A"/>
    <w:rsid w:val="62928AFA"/>
    <w:rsid w:val="62997EA3"/>
    <w:rsid w:val="62A4167D"/>
    <w:rsid w:val="62A9FBF0"/>
    <w:rsid w:val="62B44BE6"/>
    <w:rsid w:val="62B53A17"/>
    <w:rsid w:val="62B797CE"/>
    <w:rsid w:val="62BC6A75"/>
    <w:rsid w:val="62C428C4"/>
    <w:rsid w:val="62C6627F"/>
    <w:rsid w:val="62CA8222"/>
    <w:rsid w:val="62D4048F"/>
    <w:rsid w:val="62D5BE25"/>
    <w:rsid w:val="62D81E0D"/>
    <w:rsid w:val="62D90A5C"/>
    <w:rsid w:val="62DF46D0"/>
    <w:rsid w:val="62E261A1"/>
    <w:rsid w:val="62E5FF8C"/>
    <w:rsid w:val="62E646F4"/>
    <w:rsid w:val="62E886B9"/>
    <w:rsid w:val="62E93510"/>
    <w:rsid w:val="62E9A02A"/>
    <w:rsid w:val="62EB68F3"/>
    <w:rsid w:val="62EB75A4"/>
    <w:rsid w:val="62FA16E3"/>
    <w:rsid w:val="62FCCCB2"/>
    <w:rsid w:val="62FE5465"/>
    <w:rsid w:val="62FEDDED"/>
    <w:rsid w:val="630485C2"/>
    <w:rsid w:val="630B9AF4"/>
    <w:rsid w:val="630C6CC2"/>
    <w:rsid w:val="63156D50"/>
    <w:rsid w:val="6344160D"/>
    <w:rsid w:val="6347B95B"/>
    <w:rsid w:val="63488CE9"/>
    <w:rsid w:val="634F8777"/>
    <w:rsid w:val="63501183"/>
    <w:rsid w:val="63572B36"/>
    <w:rsid w:val="635BE538"/>
    <w:rsid w:val="635F8E8C"/>
    <w:rsid w:val="6374B153"/>
    <w:rsid w:val="6375D7F3"/>
    <w:rsid w:val="637DB439"/>
    <w:rsid w:val="63847397"/>
    <w:rsid w:val="639565AD"/>
    <w:rsid w:val="6398712B"/>
    <w:rsid w:val="639F1F1F"/>
    <w:rsid w:val="63A37310"/>
    <w:rsid w:val="63AEB727"/>
    <w:rsid w:val="63AF7641"/>
    <w:rsid w:val="63B29FDF"/>
    <w:rsid w:val="63B2B931"/>
    <w:rsid w:val="63B67257"/>
    <w:rsid w:val="63B770AB"/>
    <w:rsid w:val="63B8385C"/>
    <w:rsid w:val="63BA40B4"/>
    <w:rsid w:val="63C605F3"/>
    <w:rsid w:val="63CB66FD"/>
    <w:rsid w:val="63CEB688"/>
    <w:rsid w:val="63D096BF"/>
    <w:rsid w:val="63D0F696"/>
    <w:rsid w:val="63E1645B"/>
    <w:rsid w:val="63E1ADBD"/>
    <w:rsid w:val="63E1D8A4"/>
    <w:rsid w:val="63FE4E10"/>
    <w:rsid w:val="64099D9B"/>
    <w:rsid w:val="640A01CD"/>
    <w:rsid w:val="64174142"/>
    <w:rsid w:val="6422C644"/>
    <w:rsid w:val="6422C7D1"/>
    <w:rsid w:val="6426F915"/>
    <w:rsid w:val="642AB557"/>
    <w:rsid w:val="64322CD3"/>
    <w:rsid w:val="64366883"/>
    <w:rsid w:val="643693B4"/>
    <w:rsid w:val="64380505"/>
    <w:rsid w:val="6438FC14"/>
    <w:rsid w:val="643A6772"/>
    <w:rsid w:val="643CA646"/>
    <w:rsid w:val="643CAF51"/>
    <w:rsid w:val="643D55C5"/>
    <w:rsid w:val="64489228"/>
    <w:rsid w:val="644D9BA6"/>
    <w:rsid w:val="645B496A"/>
    <w:rsid w:val="64639799"/>
    <w:rsid w:val="6467427B"/>
    <w:rsid w:val="6477D260"/>
    <w:rsid w:val="647D28E4"/>
    <w:rsid w:val="64826F21"/>
    <w:rsid w:val="6482BDF9"/>
    <w:rsid w:val="6496085E"/>
    <w:rsid w:val="649A8232"/>
    <w:rsid w:val="649F18E9"/>
    <w:rsid w:val="64A159AB"/>
    <w:rsid w:val="64A4C836"/>
    <w:rsid w:val="64A841C4"/>
    <w:rsid w:val="64AB839D"/>
    <w:rsid w:val="64C49A01"/>
    <w:rsid w:val="64C6A5BC"/>
    <w:rsid w:val="64C8309F"/>
    <w:rsid w:val="64CC0E2A"/>
    <w:rsid w:val="64CC5FA6"/>
    <w:rsid w:val="64CC8B01"/>
    <w:rsid w:val="64D1FA27"/>
    <w:rsid w:val="64D44500"/>
    <w:rsid w:val="64D4908C"/>
    <w:rsid w:val="64D6D858"/>
    <w:rsid w:val="64DF5866"/>
    <w:rsid w:val="64E8EE2E"/>
    <w:rsid w:val="64ED029C"/>
    <w:rsid w:val="64ED9B16"/>
    <w:rsid w:val="64EEEE63"/>
    <w:rsid w:val="64F198F5"/>
    <w:rsid w:val="64FD74B8"/>
    <w:rsid w:val="64FE5FEE"/>
    <w:rsid w:val="6508113C"/>
    <w:rsid w:val="6512A80E"/>
    <w:rsid w:val="651721DB"/>
    <w:rsid w:val="65177317"/>
    <w:rsid w:val="65198B64"/>
    <w:rsid w:val="651B241E"/>
    <w:rsid w:val="651D2BD6"/>
    <w:rsid w:val="6529AEF1"/>
    <w:rsid w:val="652A482F"/>
    <w:rsid w:val="652DC09F"/>
    <w:rsid w:val="653334CB"/>
    <w:rsid w:val="65382381"/>
    <w:rsid w:val="653F28F8"/>
    <w:rsid w:val="65449C9B"/>
    <w:rsid w:val="654BE0D1"/>
    <w:rsid w:val="654D67C9"/>
    <w:rsid w:val="6550B24B"/>
    <w:rsid w:val="6555104E"/>
    <w:rsid w:val="65564E34"/>
    <w:rsid w:val="65576A41"/>
    <w:rsid w:val="655C0C4C"/>
    <w:rsid w:val="65659D7F"/>
    <w:rsid w:val="656FFE2E"/>
    <w:rsid w:val="6575182E"/>
    <w:rsid w:val="658584A0"/>
    <w:rsid w:val="65866637"/>
    <w:rsid w:val="658CA9A1"/>
    <w:rsid w:val="65917720"/>
    <w:rsid w:val="659677CE"/>
    <w:rsid w:val="659CBFA0"/>
    <w:rsid w:val="65A2613E"/>
    <w:rsid w:val="65B3F31F"/>
    <w:rsid w:val="65B57339"/>
    <w:rsid w:val="65B8B4EE"/>
    <w:rsid w:val="65BB458A"/>
    <w:rsid w:val="65C1EACD"/>
    <w:rsid w:val="65C3F301"/>
    <w:rsid w:val="65C73E5D"/>
    <w:rsid w:val="65D2EE99"/>
    <w:rsid w:val="65D375BF"/>
    <w:rsid w:val="65D9B71D"/>
    <w:rsid w:val="65E13AB4"/>
    <w:rsid w:val="65E41CF7"/>
    <w:rsid w:val="65E5D696"/>
    <w:rsid w:val="65FC2791"/>
    <w:rsid w:val="6602263E"/>
    <w:rsid w:val="6603F2C9"/>
    <w:rsid w:val="6605BC82"/>
    <w:rsid w:val="6605F33A"/>
    <w:rsid w:val="660BF4C9"/>
    <w:rsid w:val="66112545"/>
    <w:rsid w:val="66192049"/>
    <w:rsid w:val="661A44DB"/>
    <w:rsid w:val="6620A99A"/>
    <w:rsid w:val="662C24AC"/>
    <w:rsid w:val="663129E4"/>
    <w:rsid w:val="663E8E6B"/>
    <w:rsid w:val="664A8CAC"/>
    <w:rsid w:val="664BBA82"/>
    <w:rsid w:val="664FCE16"/>
    <w:rsid w:val="6651809A"/>
    <w:rsid w:val="66545B3C"/>
    <w:rsid w:val="6654ECE6"/>
    <w:rsid w:val="665ADEEE"/>
    <w:rsid w:val="66608D21"/>
    <w:rsid w:val="666F4F27"/>
    <w:rsid w:val="66798635"/>
    <w:rsid w:val="667B3678"/>
    <w:rsid w:val="667FC5A1"/>
    <w:rsid w:val="66817C47"/>
    <w:rsid w:val="668B5361"/>
    <w:rsid w:val="669240B9"/>
    <w:rsid w:val="6692F000"/>
    <w:rsid w:val="66997DB7"/>
    <w:rsid w:val="669D743C"/>
    <w:rsid w:val="66A59F23"/>
    <w:rsid w:val="66A6409E"/>
    <w:rsid w:val="66A8A0FF"/>
    <w:rsid w:val="66B273A0"/>
    <w:rsid w:val="66B289DA"/>
    <w:rsid w:val="66BC4BEE"/>
    <w:rsid w:val="66C104DE"/>
    <w:rsid w:val="66C4AD77"/>
    <w:rsid w:val="66E4FB2D"/>
    <w:rsid w:val="66EB2744"/>
    <w:rsid w:val="66EE45BE"/>
    <w:rsid w:val="66F9AB6A"/>
    <w:rsid w:val="6701453A"/>
    <w:rsid w:val="6704F5A3"/>
    <w:rsid w:val="670DB25B"/>
    <w:rsid w:val="67148E92"/>
    <w:rsid w:val="67228894"/>
    <w:rsid w:val="6725D5A3"/>
    <w:rsid w:val="6726212B"/>
    <w:rsid w:val="6728BE4E"/>
    <w:rsid w:val="672B0762"/>
    <w:rsid w:val="6735412B"/>
    <w:rsid w:val="674FB162"/>
    <w:rsid w:val="674FEC52"/>
    <w:rsid w:val="6751ACA8"/>
    <w:rsid w:val="6757BF61"/>
    <w:rsid w:val="675D7ED8"/>
    <w:rsid w:val="675F8967"/>
    <w:rsid w:val="6769D952"/>
    <w:rsid w:val="676C4829"/>
    <w:rsid w:val="676D3970"/>
    <w:rsid w:val="6781E4C5"/>
    <w:rsid w:val="679417A2"/>
    <w:rsid w:val="6796145F"/>
    <w:rsid w:val="67A86858"/>
    <w:rsid w:val="67A8A4C9"/>
    <w:rsid w:val="67AA8DB2"/>
    <w:rsid w:val="67AC7B17"/>
    <w:rsid w:val="67ADE755"/>
    <w:rsid w:val="67B43CAA"/>
    <w:rsid w:val="67C0430D"/>
    <w:rsid w:val="67C6DC5B"/>
    <w:rsid w:val="67DADA53"/>
    <w:rsid w:val="67DD59BF"/>
    <w:rsid w:val="67DDDD27"/>
    <w:rsid w:val="67E09499"/>
    <w:rsid w:val="67E58561"/>
    <w:rsid w:val="67E9E617"/>
    <w:rsid w:val="67ECCDCA"/>
    <w:rsid w:val="67F9F1CF"/>
    <w:rsid w:val="67FEEC3F"/>
    <w:rsid w:val="67FF24E0"/>
    <w:rsid w:val="680E65F2"/>
    <w:rsid w:val="6817A3B7"/>
    <w:rsid w:val="681ED452"/>
    <w:rsid w:val="682557E7"/>
    <w:rsid w:val="6834E989"/>
    <w:rsid w:val="6834F413"/>
    <w:rsid w:val="68492CF9"/>
    <w:rsid w:val="684E3DD7"/>
    <w:rsid w:val="68510F3D"/>
    <w:rsid w:val="6855CE9F"/>
    <w:rsid w:val="6856BD68"/>
    <w:rsid w:val="68584655"/>
    <w:rsid w:val="685BC7E0"/>
    <w:rsid w:val="685D63CA"/>
    <w:rsid w:val="685F4C8B"/>
    <w:rsid w:val="6862F39A"/>
    <w:rsid w:val="6869526F"/>
    <w:rsid w:val="686BDC81"/>
    <w:rsid w:val="6870A5D6"/>
    <w:rsid w:val="688AF071"/>
    <w:rsid w:val="688C3683"/>
    <w:rsid w:val="68957C06"/>
    <w:rsid w:val="68978B0E"/>
    <w:rsid w:val="689C2167"/>
    <w:rsid w:val="68A00A43"/>
    <w:rsid w:val="68A0B486"/>
    <w:rsid w:val="68A109E1"/>
    <w:rsid w:val="68A9E4B7"/>
    <w:rsid w:val="68AE7B5A"/>
    <w:rsid w:val="68C01616"/>
    <w:rsid w:val="68C53010"/>
    <w:rsid w:val="68C9F42B"/>
    <w:rsid w:val="68D5BEB4"/>
    <w:rsid w:val="68D6710A"/>
    <w:rsid w:val="68DC4111"/>
    <w:rsid w:val="68E6BE02"/>
    <w:rsid w:val="68EA557D"/>
    <w:rsid w:val="68EBBCB3"/>
    <w:rsid w:val="68F0FED9"/>
    <w:rsid w:val="68F39F5E"/>
    <w:rsid w:val="68F41FFE"/>
    <w:rsid w:val="68F445CF"/>
    <w:rsid w:val="68F4B067"/>
    <w:rsid w:val="68FB8DDA"/>
    <w:rsid w:val="690A864C"/>
    <w:rsid w:val="690E3959"/>
    <w:rsid w:val="6913DF1A"/>
    <w:rsid w:val="69159172"/>
    <w:rsid w:val="691AF52F"/>
    <w:rsid w:val="691E3A2F"/>
    <w:rsid w:val="6921E08B"/>
    <w:rsid w:val="6925BFE8"/>
    <w:rsid w:val="6928326A"/>
    <w:rsid w:val="692AB36D"/>
    <w:rsid w:val="692EB955"/>
    <w:rsid w:val="69409F33"/>
    <w:rsid w:val="69436BE5"/>
    <w:rsid w:val="6948765B"/>
    <w:rsid w:val="694F9A59"/>
    <w:rsid w:val="6950F72A"/>
    <w:rsid w:val="69551CD2"/>
    <w:rsid w:val="696097DA"/>
    <w:rsid w:val="6964D65F"/>
    <w:rsid w:val="6968E566"/>
    <w:rsid w:val="696E3E99"/>
    <w:rsid w:val="6970D148"/>
    <w:rsid w:val="6975E325"/>
    <w:rsid w:val="6979AB3D"/>
    <w:rsid w:val="6980DD1D"/>
    <w:rsid w:val="698E04A9"/>
    <w:rsid w:val="698F2127"/>
    <w:rsid w:val="698FAEEE"/>
    <w:rsid w:val="69922E31"/>
    <w:rsid w:val="699886B2"/>
    <w:rsid w:val="699A1587"/>
    <w:rsid w:val="699A9438"/>
    <w:rsid w:val="699B411C"/>
    <w:rsid w:val="699B4BAE"/>
    <w:rsid w:val="69B71526"/>
    <w:rsid w:val="69B85A4F"/>
    <w:rsid w:val="69B95A4A"/>
    <w:rsid w:val="69BC7E39"/>
    <w:rsid w:val="69C184DD"/>
    <w:rsid w:val="69C9326A"/>
    <w:rsid w:val="69D3FC20"/>
    <w:rsid w:val="69DE6FE4"/>
    <w:rsid w:val="69E7EF10"/>
    <w:rsid w:val="69EC37F5"/>
    <w:rsid w:val="69ED879B"/>
    <w:rsid w:val="69F127DB"/>
    <w:rsid w:val="69F398AA"/>
    <w:rsid w:val="6A067CB7"/>
    <w:rsid w:val="6A085ECA"/>
    <w:rsid w:val="6A2BFE79"/>
    <w:rsid w:val="6A2D4FAC"/>
    <w:rsid w:val="6A44F236"/>
    <w:rsid w:val="6A48CA82"/>
    <w:rsid w:val="6A4A8809"/>
    <w:rsid w:val="6A4E6B7E"/>
    <w:rsid w:val="6A5875D9"/>
    <w:rsid w:val="6A5B24EA"/>
    <w:rsid w:val="6A63D58D"/>
    <w:rsid w:val="6A6AA864"/>
    <w:rsid w:val="6A6E2043"/>
    <w:rsid w:val="6A702087"/>
    <w:rsid w:val="6A70A5C4"/>
    <w:rsid w:val="6A73F89B"/>
    <w:rsid w:val="6A791FFB"/>
    <w:rsid w:val="6A7F9104"/>
    <w:rsid w:val="6A84F4BF"/>
    <w:rsid w:val="6A878D14"/>
    <w:rsid w:val="6A88C695"/>
    <w:rsid w:val="6A8D1E8D"/>
    <w:rsid w:val="6A8FC9C5"/>
    <w:rsid w:val="6AA0EF67"/>
    <w:rsid w:val="6AA4E807"/>
    <w:rsid w:val="6AA50775"/>
    <w:rsid w:val="6AA6D750"/>
    <w:rsid w:val="6AA8C970"/>
    <w:rsid w:val="6AA93EB5"/>
    <w:rsid w:val="6AAFE16C"/>
    <w:rsid w:val="6AB0335B"/>
    <w:rsid w:val="6ABE8BD6"/>
    <w:rsid w:val="6AC31A79"/>
    <w:rsid w:val="6ACDEB87"/>
    <w:rsid w:val="6ACFE355"/>
    <w:rsid w:val="6AD79967"/>
    <w:rsid w:val="6AD7AA37"/>
    <w:rsid w:val="6AE2A9A4"/>
    <w:rsid w:val="6AE6FFFE"/>
    <w:rsid w:val="6AEBF543"/>
    <w:rsid w:val="6AED5032"/>
    <w:rsid w:val="6AF38DA5"/>
    <w:rsid w:val="6AFB4331"/>
    <w:rsid w:val="6AFBE707"/>
    <w:rsid w:val="6B009D47"/>
    <w:rsid w:val="6B02F73A"/>
    <w:rsid w:val="6B05D8AA"/>
    <w:rsid w:val="6B10A56C"/>
    <w:rsid w:val="6B1222F5"/>
    <w:rsid w:val="6B135D8B"/>
    <w:rsid w:val="6B212AFA"/>
    <w:rsid w:val="6B2C7F84"/>
    <w:rsid w:val="6B33E675"/>
    <w:rsid w:val="6B384108"/>
    <w:rsid w:val="6B3C532A"/>
    <w:rsid w:val="6B40C91C"/>
    <w:rsid w:val="6B449704"/>
    <w:rsid w:val="6B44B3E7"/>
    <w:rsid w:val="6B4D9537"/>
    <w:rsid w:val="6B4E917E"/>
    <w:rsid w:val="6B53CDF5"/>
    <w:rsid w:val="6B53FC27"/>
    <w:rsid w:val="6B5FB1B6"/>
    <w:rsid w:val="6B605955"/>
    <w:rsid w:val="6B6404AA"/>
    <w:rsid w:val="6B64CEC7"/>
    <w:rsid w:val="6B66E463"/>
    <w:rsid w:val="6B6BC7F5"/>
    <w:rsid w:val="6B70E39E"/>
    <w:rsid w:val="6B715212"/>
    <w:rsid w:val="6B7193AA"/>
    <w:rsid w:val="6B745EA5"/>
    <w:rsid w:val="6B86A75B"/>
    <w:rsid w:val="6B8F2152"/>
    <w:rsid w:val="6BBA30AA"/>
    <w:rsid w:val="6BC29701"/>
    <w:rsid w:val="6BC7CEDA"/>
    <w:rsid w:val="6BCA4835"/>
    <w:rsid w:val="6BCAB5E0"/>
    <w:rsid w:val="6BCB770A"/>
    <w:rsid w:val="6BCF91FD"/>
    <w:rsid w:val="6BD244F6"/>
    <w:rsid w:val="6BD53AD3"/>
    <w:rsid w:val="6BDBC3C2"/>
    <w:rsid w:val="6BDE9BDA"/>
    <w:rsid w:val="6BE6CE7F"/>
    <w:rsid w:val="6BE9BEBA"/>
    <w:rsid w:val="6BEB6E9C"/>
    <w:rsid w:val="6BEE348E"/>
    <w:rsid w:val="6BF510AD"/>
    <w:rsid w:val="6C02E7F9"/>
    <w:rsid w:val="6C07AD45"/>
    <w:rsid w:val="6C10E36A"/>
    <w:rsid w:val="6C13D58B"/>
    <w:rsid w:val="6C188615"/>
    <w:rsid w:val="6C18F2B4"/>
    <w:rsid w:val="6C213F61"/>
    <w:rsid w:val="6C26C7C2"/>
    <w:rsid w:val="6C2E99D4"/>
    <w:rsid w:val="6C2EEBA6"/>
    <w:rsid w:val="6C38B824"/>
    <w:rsid w:val="6C40ABC2"/>
    <w:rsid w:val="6C4218C7"/>
    <w:rsid w:val="6C4FA7FE"/>
    <w:rsid w:val="6C50F2BF"/>
    <w:rsid w:val="6C510F82"/>
    <w:rsid w:val="6C59F678"/>
    <w:rsid w:val="6C5EAA27"/>
    <w:rsid w:val="6C63353B"/>
    <w:rsid w:val="6C638FB7"/>
    <w:rsid w:val="6C7D17BC"/>
    <w:rsid w:val="6C80F69F"/>
    <w:rsid w:val="6C8B7F32"/>
    <w:rsid w:val="6C8EC5AA"/>
    <w:rsid w:val="6C937810"/>
    <w:rsid w:val="6C959BBE"/>
    <w:rsid w:val="6C9EBC63"/>
    <w:rsid w:val="6CA4C15B"/>
    <w:rsid w:val="6CA95847"/>
    <w:rsid w:val="6CB35724"/>
    <w:rsid w:val="6CB8E7E0"/>
    <w:rsid w:val="6CB8F258"/>
    <w:rsid w:val="6CBBADBB"/>
    <w:rsid w:val="6CDAB14D"/>
    <w:rsid w:val="6CE46A92"/>
    <w:rsid w:val="6CEAB84B"/>
    <w:rsid w:val="6CEC3448"/>
    <w:rsid w:val="6CEF5365"/>
    <w:rsid w:val="6CF0922F"/>
    <w:rsid w:val="6CF1CEF7"/>
    <w:rsid w:val="6CF1F3E3"/>
    <w:rsid w:val="6CF8E7CD"/>
    <w:rsid w:val="6CFCC499"/>
    <w:rsid w:val="6D0733D7"/>
    <w:rsid w:val="6D0B132A"/>
    <w:rsid w:val="6D1C72E8"/>
    <w:rsid w:val="6D2C3D31"/>
    <w:rsid w:val="6D4A6E16"/>
    <w:rsid w:val="6D4AC0DB"/>
    <w:rsid w:val="6D57DA5E"/>
    <w:rsid w:val="6D5B2A5E"/>
    <w:rsid w:val="6D745B4E"/>
    <w:rsid w:val="6D7901D6"/>
    <w:rsid w:val="6D855429"/>
    <w:rsid w:val="6D8733C1"/>
    <w:rsid w:val="6D8C4021"/>
    <w:rsid w:val="6D8DE9BF"/>
    <w:rsid w:val="6D921011"/>
    <w:rsid w:val="6D975CD1"/>
    <w:rsid w:val="6D97624E"/>
    <w:rsid w:val="6D9C9447"/>
    <w:rsid w:val="6DA4B002"/>
    <w:rsid w:val="6DA56F02"/>
    <w:rsid w:val="6DA77E7A"/>
    <w:rsid w:val="6DAAD84B"/>
    <w:rsid w:val="6DAD68D1"/>
    <w:rsid w:val="6DB35F3B"/>
    <w:rsid w:val="6DB59382"/>
    <w:rsid w:val="6DB689FA"/>
    <w:rsid w:val="6DB7F5D6"/>
    <w:rsid w:val="6DB93351"/>
    <w:rsid w:val="6DC1BB01"/>
    <w:rsid w:val="6DC3E937"/>
    <w:rsid w:val="6DC3FB16"/>
    <w:rsid w:val="6DCCFF27"/>
    <w:rsid w:val="6DCD57D4"/>
    <w:rsid w:val="6DCF8C3E"/>
    <w:rsid w:val="6DD9B5FD"/>
    <w:rsid w:val="6DDC168A"/>
    <w:rsid w:val="6DE0FD0A"/>
    <w:rsid w:val="6DE4769F"/>
    <w:rsid w:val="6DE9E998"/>
    <w:rsid w:val="6DF15896"/>
    <w:rsid w:val="6DF6B2DA"/>
    <w:rsid w:val="6DFCE421"/>
    <w:rsid w:val="6DFD5C85"/>
    <w:rsid w:val="6DFE7DAF"/>
    <w:rsid w:val="6DFF01AB"/>
    <w:rsid w:val="6E063908"/>
    <w:rsid w:val="6E07BB0F"/>
    <w:rsid w:val="6E0878A8"/>
    <w:rsid w:val="6E121B85"/>
    <w:rsid w:val="6E1AE842"/>
    <w:rsid w:val="6E1C69C6"/>
    <w:rsid w:val="6E1F437D"/>
    <w:rsid w:val="6E2558CD"/>
    <w:rsid w:val="6E2B0E65"/>
    <w:rsid w:val="6E306B53"/>
    <w:rsid w:val="6E344ACE"/>
    <w:rsid w:val="6E38DEAA"/>
    <w:rsid w:val="6E38E8A9"/>
    <w:rsid w:val="6E38E8FB"/>
    <w:rsid w:val="6E3A2329"/>
    <w:rsid w:val="6E3C5CC6"/>
    <w:rsid w:val="6E3CCF23"/>
    <w:rsid w:val="6E3CDABC"/>
    <w:rsid w:val="6E44A3AC"/>
    <w:rsid w:val="6E4F8505"/>
    <w:rsid w:val="6E4FB9BD"/>
    <w:rsid w:val="6E5CD068"/>
    <w:rsid w:val="6E6DC945"/>
    <w:rsid w:val="6E6E30BB"/>
    <w:rsid w:val="6E74D204"/>
    <w:rsid w:val="6E80A720"/>
    <w:rsid w:val="6E80BCE5"/>
    <w:rsid w:val="6E81EF28"/>
    <w:rsid w:val="6E8C9A2E"/>
    <w:rsid w:val="6E8D9F58"/>
    <w:rsid w:val="6E8F5051"/>
    <w:rsid w:val="6E9073C2"/>
    <w:rsid w:val="6E946821"/>
    <w:rsid w:val="6E97D7DE"/>
    <w:rsid w:val="6E9BA181"/>
    <w:rsid w:val="6EA9BF90"/>
    <w:rsid w:val="6EAE3707"/>
    <w:rsid w:val="6EAE8262"/>
    <w:rsid w:val="6EAEFF4C"/>
    <w:rsid w:val="6EB72AD0"/>
    <w:rsid w:val="6EB7D300"/>
    <w:rsid w:val="6EB9E74F"/>
    <w:rsid w:val="6EBC4ABC"/>
    <w:rsid w:val="6EBC9F71"/>
    <w:rsid w:val="6EBE8A76"/>
    <w:rsid w:val="6EC957F2"/>
    <w:rsid w:val="6ED0CC7A"/>
    <w:rsid w:val="6ED36EA6"/>
    <w:rsid w:val="6EDD205D"/>
    <w:rsid w:val="6EDDE6CE"/>
    <w:rsid w:val="6EE4E31C"/>
    <w:rsid w:val="6EE56528"/>
    <w:rsid w:val="6EEE1849"/>
    <w:rsid w:val="6F014D5C"/>
    <w:rsid w:val="6F03E2D1"/>
    <w:rsid w:val="6F04160F"/>
    <w:rsid w:val="6F20C7BA"/>
    <w:rsid w:val="6F2DFEDB"/>
    <w:rsid w:val="6F2FCFD8"/>
    <w:rsid w:val="6F3003AD"/>
    <w:rsid w:val="6F3427FC"/>
    <w:rsid w:val="6F35C228"/>
    <w:rsid w:val="6F3BC38C"/>
    <w:rsid w:val="6F3D3923"/>
    <w:rsid w:val="6F3D6689"/>
    <w:rsid w:val="6F4884C8"/>
    <w:rsid w:val="6F498CD6"/>
    <w:rsid w:val="6F4D7F78"/>
    <w:rsid w:val="6F613962"/>
    <w:rsid w:val="6F65EE45"/>
    <w:rsid w:val="6F69BDA2"/>
    <w:rsid w:val="6F6CB59C"/>
    <w:rsid w:val="6F726E0E"/>
    <w:rsid w:val="6F7272C2"/>
    <w:rsid w:val="6F754EFF"/>
    <w:rsid w:val="6F7D7AB9"/>
    <w:rsid w:val="6F7EB4D9"/>
    <w:rsid w:val="6F860DBA"/>
    <w:rsid w:val="6F89973D"/>
    <w:rsid w:val="6F8B0984"/>
    <w:rsid w:val="6F8D69FD"/>
    <w:rsid w:val="6F9187B1"/>
    <w:rsid w:val="6F9E203F"/>
    <w:rsid w:val="6F9E80D2"/>
    <w:rsid w:val="6FA3E528"/>
    <w:rsid w:val="6FAB3060"/>
    <w:rsid w:val="6FB22507"/>
    <w:rsid w:val="6FB3CD16"/>
    <w:rsid w:val="6FB77476"/>
    <w:rsid w:val="6FB7D42F"/>
    <w:rsid w:val="6FC028CF"/>
    <w:rsid w:val="6FC23CE9"/>
    <w:rsid w:val="6FC50EBD"/>
    <w:rsid w:val="6FC82B36"/>
    <w:rsid w:val="6FD3285F"/>
    <w:rsid w:val="6FD468B9"/>
    <w:rsid w:val="6FD64912"/>
    <w:rsid w:val="6FDB4244"/>
    <w:rsid w:val="6FDCAC63"/>
    <w:rsid w:val="6FDF6FFC"/>
    <w:rsid w:val="6FECECA5"/>
    <w:rsid w:val="6FEE6C1F"/>
    <w:rsid w:val="6FFEA7B6"/>
    <w:rsid w:val="700631E0"/>
    <w:rsid w:val="701CF44A"/>
    <w:rsid w:val="701DD37A"/>
    <w:rsid w:val="70216DF7"/>
    <w:rsid w:val="7027C8B0"/>
    <w:rsid w:val="702907D2"/>
    <w:rsid w:val="702AB581"/>
    <w:rsid w:val="702B1463"/>
    <w:rsid w:val="702B4AB1"/>
    <w:rsid w:val="702E593B"/>
    <w:rsid w:val="703F3918"/>
    <w:rsid w:val="704120A8"/>
    <w:rsid w:val="7041464E"/>
    <w:rsid w:val="704426C0"/>
    <w:rsid w:val="704D4940"/>
    <w:rsid w:val="70536CFD"/>
    <w:rsid w:val="705D0B3F"/>
    <w:rsid w:val="70651538"/>
    <w:rsid w:val="7065315A"/>
    <w:rsid w:val="706A2B83"/>
    <w:rsid w:val="70733AF9"/>
    <w:rsid w:val="7078BAA9"/>
    <w:rsid w:val="70984C0E"/>
    <w:rsid w:val="7099E16B"/>
    <w:rsid w:val="709AAD81"/>
    <w:rsid w:val="709D6CB5"/>
    <w:rsid w:val="709EAF9A"/>
    <w:rsid w:val="70A510CC"/>
    <w:rsid w:val="70ABEF49"/>
    <w:rsid w:val="70AD603F"/>
    <w:rsid w:val="70AEECD0"/>
    <w:rsid w:val="70AFE876"/>
    <w:rsid w:val="70B05E56"/>
    <w:rsid w:val="70B38AF8"/>
    <w:rsid w:val="70C7D6BE"/>
    <w:rsid w:val="70CDA437"/>
    <w:rsid w:val="70CF116E"/>
    <w:rsid w:val="70D8B0C7"/>
    <w:rsid w:val="70D8D3EB"/>
    <w:rsid w:val="70DA82EB"/>
    <w:rsid w:val="70DD3769"/>
    <w:rsid w:val="70E66B14"/>
    <w:rsid w:val="70F73746"/>
    <w:rsid w:val="70F92902"/>
    <w:rsid w:val="70FF0B03"/>
    <w:rsid w:val="71166066"/>
    <w:rsid w:val="7118EA7A"/>
    <w:rsid w:val="711B9BE4"/>
    <w:rsid w:val="711E0BF3"/>
    <w:rsid w:val="7128E832"/>
    <w:rsid w:val="713316F1"/>
    <w:rsid w:val="7133F570"/>
    <w:rsid w:val="7136029C"/>
    <w:rsid w:val="71385FFA"/>
    <w:rsid w:val="713BABE1"/>
    <w:rsid w:val="713D2D0B"/>
    <w:rsid w:val="71480E37"/>
    <w:rsid w:val="71486785"/>
    <w:rsid w:val="714CF9B0"/>
    <w:rsid w:val="71565368"/>
    <w:rsid w:val="715BFCA0"/>
    <w:rsid w:val="71637D15"/>
    <w:rsid w:val="71645320"/>
    <w:rsid w:val="717FD3F2"/>
    <w:rsid w:val="7183F594"/>
    <w:rsid w:val="7188B340"/>
    <w:rsid w:val="718A6CE6"/>
    <w:rsid w:val="718EEC80"/>
    <w:rsid w:val="719234C9"/>
    <w:rsid w:val="71A4E2CE"/>
    <w:rsid w:val="71A73D24"/>
    <w:rsid w:val="71ACB4FE"/>
    <w:rsid w:val="71B4727E"/>
    <w:rsid w:val="71B58291"/>
    <w:rsid w:val="71BB7F4F"/>
    <w:rsid w:val="71BDAB21"/>
    <w:rsid w:val="71C0EFC1"/>
    <w:rsid w:val="71C65E17"/>
    <w:rsid w:val="71C922C7"/>
    <w:rsid w:val="71DD59AB"/>
    <w:rsid w:val="71E3D2F5"/>
    <w:rsid w:val="71E455AA"/>
    <w:rsid w:val="71E54990"/>
    <w:rsid w:val="71E6BDD7"/>
    <w:rsid w:val="71EB3F7D"/>
    <w:rsid w:val="71F6B30B"/>
    <w:rsid w:val="71FA7C33"/>
    <w:rsid w:val="7200144F"/>
    <w:rsid w:val="72004A9E"/>
    <w:rsid w:val="72035E77"/>
    <w:rsid w:val="720BB5D3"/>
    <w:rsid w:val="721BCBB6"/>
    <w:rsid w:val="72216D9E"/>
    <w:rsid w:val="72226B70"/>
    <w:rsid w:val="72248E07"/>
    <w:rsid w:val="7224B679"/>
    <w:rsid w:val="722EF43D"/>
    <w:rsid w:val="723285C8"/>
    <w:rsid w:val="72332E8C"/>
    <w:rsid w:val="72375322"/>
    <w:rsid w:val="723B7F1A"/>
    <w:rsid w:val="723C50B7"/>
    <w:rsid w:val="723F1F31"/>
    <w:rsid w:val="723F4D62"/>
    <w:rsid w:val="72457F17"/>
    <w:rsid w:val="72466D9A"/>
    <w:rsid w:val="7246B77B"/>
    <w:rsid w:val="724B3CC8"/>
    <w:rsid w:val="72518554"/>
    <w:rsid w:val="725483B3"/>
    <w:rsid w:val="725CCE6A"/>
    <w:rsid w:val="7264CFDD"/>
    <w:rsid w:val="72675374"/>
    <w:rsid w:val="7272BF7C"/>
    <w:rsid w:val="727A9F5B"/>
    <w:rsid w:val="728670E6"/>
    <w:rsid w:val="728B13B0"/>
    <w:rsid w:val="728DEEE3"/>
    <w:rsid w:val="72929EF9"/>
    <w:rsid w:val="729766EF"/>
    <w:rsid w:val="729C0DBC"/>
    <w:rsid w:val="729E9A0E"/>
    <w:rsid w:val="72A1FD7E"/>
    <w:rsid w:val="72A5B1D1"/>
    <w:rsid w:val="72A65E07"/>
    <w:rsid w:val="72B1947B"/>
    <w:rsid w:val="72B220FA"/>
    <w:rsid w:val="72B4BADB"/>
    <w:rsid w:val="72BBA4A6"/>
    <w:rsid w:val="72BC028D"/>
    <w:rsid w:val="72C12C9C"/>
    <w:rsid w:val="72C2AD8C"/>
    <w:rsid w:val="72C4B893"/>
    <w:rsid w:val="72CE3D04"/>
    <w:rsid w:val="72D7442B"/>
    <w:rsid w:val="72D8FD6C"/>
    <w:rsid w:val="72D98660"/>
    <w:rsid w:val="72D98A71"/>
    <w:rsid w:val="72D99B88"/>
    <w:rsid w:val="72DF9984"/>
    <w:rsid w:val="72E63F74"/>
    <w:rsid w:val="72EA92E9"/>
    <w:rsid w:val="72EC9908"/>
    <w:rsid w:val="72ED04A6"/>
    <w:rsid w:val="72F0FABE"/>
    <w:rsid w:val="72F592FB"/>
    <w:rsid w:val="72FCB946"/>
    <w:rsid w:val="730165F5"/>
    <w:rsid w:val="73027DBC"/>
    <w:rsid w:val="73044228"/>
    <w:rsid w:val="7307A2B0"/>
    <w:rsid w:val="7309B144"/>
    <w:rsid w:val="730E8366"/>
    <w:rsid w:val="7310D302"/>
    <w:rsid w:val="7314BB26"/>
    <w:rsid w:val="731926EF"/>
    <w:rsid w:val="731E5E4E"/>
    <w:rsid w:val="7324470E"/>
    <w:rsid w:val="73282185"/>
    <w:rsid w:val="73295479"/>
    <w:rsid w:val="732A7A7D"/>
    <w:rsid w:val="732C8E74"/>
    <w:rsid w:val="733D8EA0"/>
    <w:rsid w:val="733E2360"/>
    <w:rsid w:val="7343B7C7"/>
    <w:rsid w:val="734514D4"/>
    <w:rsid w:val="7348F032"/>
    <w:rsid w:val="734AE898"/>
    <w:rsid w:val="73507CD2"/>
    <w:rsid w:val="7358F76F"/>
    <w:rsid w:val="735EEA0F"/>
    <w:rsid w:val="735F16E4"/>
    <w:rsid w:val="7362802F"/>
    <w:rsid w:val="736553EC"/>
    <w:rsid w:val="73665967"/>
    <w:rsid w:val="7368D5C8"/>
    <w:rsid w:val="736B6A63"/>
    <w:rsid w:val="7376F465"/>
    <w:rsid w:val="738598E8"/>
    <w:rsid w:val="7385F88F"/>
    <w:rsid w:val="738B49FA"/>
    <w:rsid w:val="73909885"/>
    <w:rsid w:val="7396FC40"/>
    <w:rsid w:val="739A1ECD"/>
    <w:rsid w:val="73AE271B"/>
    <w:rsid w:val="73B6B236"/>
    <w:rsid w:val="73B81B9F"/>
    <w:rsid w:val="73C37920"/>
    <w:rsid w:val="73C3E7F9"/>
    <w:rsid w:val="73C86146"/>
    <w:rsid w:val="73D4B87D"/>
    <w:rsid w:val="73DAEA5D"/>
    <w:rsid w:val="73F277A8"/>
    <w:rsid w:val="73F2CFE0"/>
    <w:rsid w:val="73FE18E2"/>
    <w:rsid w:val="73FF30A6"/>
    <w:rsid w:val="7402C1B5"/>
    <w:rsid w:val="74036A92"/>
    <w:rsid w:val="740AC54C"/>
    <w:rsid w:val="740C1C55"/>
    <w:rsid w:val="7413653B"/>
    <w:rsid w:val="7414B52C"/>
    <w:rsid w:val="7415AD30"/>
    <w:rsid w:val="7415EE98"/>
    <w:rsid w:val="74168091"/>
    <w:rsid w:val="7418770A"/>
    <w:rsid w:val="741D6D3E"/>
    <w:rsid w:val="74274A88"/>
    <w:rsid w:val="742BECB9"/>
    <w:rsid w:val="743284A7"/>
    <w:rsid w:val="743B571A"/>
    <w:rsid w:val="744760B6"/>
    <w:rsid w:val="744A3E96"/>
    <w:rsid w:val="744D061E"/>
    <w:rsid w:val="744D20A5"/>
    <w:rsid w:val="744D6F3F"/>
    <w:rsid w:val="744E3C0C"/>
    <w:rsid w:val="74508B3C"/>
    <w:rsid w:val="74565F09"/>
    <w:rsid w:val="74591D16"/>
    <w:rsid w:val="745C662E"/>
    <w:rsid w:val="745E8321"/>
    <w:rsid w:val="74604989"/>
    <w:rsid w:val="7461A77A"/>
    <w:rsid w:val="7464A5BD"/>
    <w:rsid w:val="746604FA"/>
    <w:rsid w:val="7467CBA2"/>
    <w:rsid w:val="746A20A5"/>
    <w:rsid w:val="7481F876"/>
    <w:rsid w:val="74829213"/>
    <w:rsid w:val="7484EECB"/>
    <w:rsid w:val="7486A1B3"/>
    <w:rsid w:val="748976C4"/>
    <w:rsid w:val="748A9C0D"/>
    <w:rsid w:val="748AB909"/>
    <w:rsid w:val="74961FE9"/>
    <w:rsid w:val="749CEA71"/>
    <w:rsid w:val="749D8CD8"/>
    <w:rsid w:val="749E44BB"/>
    <w:rsid w:val="74A3C5EC"/>
    <w:rsid w:val="74A57291"/>
    <w:rsid w:val="74A639DD"/>
    <w:rsid w:val="74AAB508"/>
    <w:rsid w:val="74B1AAE8"/>
    <w:rsid w:val="74BEF4E5"/>
    <w:rsid w:val="74C4F965"/>
    <w:rsid w:val="74C6E30F"/>
    <w:rsid w:val="74C8B7DE"/>
    <w:rsid w:val="74CB52E5"/>
    <w:rsid w:val="74CF7565"/>
    <w:rsid w:val="74D3338A"/>
    <w:rsid w:val="74D3908E"/>
    <w:rsid w:val="74DA4C73"/>
    <w:rsid w:val="74DE759D"/>
    <w:rsid w:val="74E8281C"/>
    <w:rsid w:val="74EB03FB"/>
    <w:rsid w:val="74EE47E8"/>
    <w:rsid w:val="74EFF509"/>
    <w:rsid w:val="74F46E4C"/>
    <w:rsid w:val="74F6D9E2"/>
    <w:rsid w:val="7500ACF7"/>
    <w:rsid w:val="7500C80F"/>
    <w:rsid w:val="7503271A"/>
    <w:rsid w:val="7505101E"/>
    <w:rsid w:val="7506F2B8"/>
    <w:rsid w:val="75074931"/>
    <w:rsid w:val="750D5F62"/>
    <w:rsid w:val="75126F32"/>
    <w:rsid w:val="7519BCB7"/>
    <w:rsid w:val="753C1BF8"/>
    <w:rsid w:val="75404ED7"/>
    <w:rsid w:val="754404D5"/>
    <w:rsid w:val="7546DA58"/>
    <w:rsid w:val="754784D6"/>
    <w:rsid w:val="75591593"/>
    <w:rsid w:val="7563884C"/>
    <w:rsid w:val="7569AD5D"/>
    <w:rsid w:val="7579BDDE"/>
    <w:rsid w:val="757A9925"/>
    <w:rsid w:val="75809EB9"/>
    <w:rsid w:val="75836A2F"/>
    <w:rsid w:val="758693D9"/>
    <w:rsid w:val="758A2C37"/>
    <w:rsid w:val="758E6F25"/>
    <w:rsid w:val="759F605C"/>
    <w:rsid w:val="75A35E07"/>
    <w:rsid w:val="75A96CF8"/>
    <w:rsid w:val="75A9743C"/>
    <w:rsid w:val="75AC7A38"/>
    <w:rsid w:val="75AE8100"/>
    <w:rsid w:val="75C309ED"/>
    <w:rsid w:val="75CE2038"/>
    <w:rsid w:val="75D02DD0"/>
    <w:rsid w:val="75D0CBED"/>
    <w:rsid w:val="75D448AF"/>
    <w:rsid w:val="75DC5CAC"/>
    <w:rsid w:val="75DE0438"/>
    <w:rsid w:val="75E0732D"/>
    <w:rsid w:val="75E3DF5D"/>
    <w:rsid w:val="75E8C452"/>
    <w:rsid w:val="75EB17C0"/>
    <w:rsid w:val="75ED0AE2"/>
    <w:rsid w:val="75EFF9AA"/>
    <w:rsid w:val="75F35185"/>
    <w:rsid w:val="75F60DE7"/>
    <w:rsid w:val="75F65FDE"/>
    <w:rsid w:val="75FBAC53"/>
    <w:rsid w:val="75FFA804"/>
    <w:rsid w:val="7611F895"/>
    <w:rsid w:val="76127B04"/>
    <w:rsid w:val="761323CC"/>
    <w:rsid w:val="761A4D0C"/>
    <w:rsid w:val="761DABC7"/>
    <w:rsid w:val="76255614"/>
    <w:rsid w:val="7625DBA8"/>
    <w:rsid w:val="762BE583"/>
    <w:rsid w:val="762E7D36"/>
    <w:rsid w:val="76311EC8"/>
    <w:rsid w:val="763AD476"/>
    <w:rsid w:val="764375A5"/>
    <w:rsid w:val="764379EB"/>
    <w:rsid w:val="7662A492"/>
    <w:rsid w:val="76670E82"/>
    <w:rsid w:val="76695B51"/>
    <w:rsid w:val="766AAB6D"/>
    <w:rsid w:val="766AE6F9"/>
    <w:rsid w:val="76740947"/>
    <w:rsid w:val="76780E6B"/>
    <w:rsid w:val="7682DD6A"/>
    <w:rsid w:val="768A786C"/>
    <w:rsid w:val="768B420C"/>
    <w:rsid w:val="769231D1"/>
    <w:rsid w:val="7692B69D"/>
    <w:rsid w:val="76966178"/>
    <w:rsid w:val="7697BD33"/>
    <w:rsid w:val="7698F0A3"/>
    <w:rsid w:val="76A0C8D6"/>
    <w:rsid w:val="76B9FB66"/>
    <w:rsid w:val="76C59B6B"/>
    <w:rsid w:val="76C65099"/>
    <w:rsid w:val="76CDBEF5"/>
    <w:rsid w:val="76CED3EB"/>
    <w:rsid w:val="76D12100"/>
    <w:rsid w:val="76D2985A"/>
    <w:rsid w:val="76D791CE"/>
    <w:rsid w:val="76DD51DE"/>
    <w:rsid w:val="76F0BAE0"/>
    <w:rsid w:val="76F38275"/>
    <w:rsid w:val="77007B9C"/>
    <w:rsid w:val="77023AF4"/>
    <w:rsid w:val="77028464"/>
    <w:rsid w:val="77110882"/>
    <w:rsid w:val="77181A03"/>
    <w:rsid w:val="77196E28"/>
    <w:rsid w:val="772827A7"/>
    <w:rsid w:val="772DB9E6"/>
    <w:rsid w:val="77390F1A"/>
    <w:rsid w:val="77494A24"/>
    <w:rsid w:val="774CCC05"/>
    <w:rsid w:val="7755D42F"/>
    <w:rsid w:val="7757F7CD"/>
    <w:rsid w:val="775BEC10"/>
    <w:rsid w:val="775C09CF"/>
    <w:rsid w:val="775C4056"/>
    <w:rsid w:val="775F5E40"/>
    <w:rsid w:val="77604F0D"/>
    <w:rsid w:val="77639E7A"/>
    <w:rsid w:val="776B00AC"/>
    <w:rsid w:val="77785161"/>
    <w:rsid w:val="77787A4C"/>
    <w:rsid w:val="777A3B24"/>
    <w:rsid w:val="777BF703"/>
    <w:rsid w:val="778B675E"/>
    <w:rsid w:val="7794E84C"/>
    <w:rsid w:val="77952D89"/>
    <w:rsid w:val="779B4E5B"/>
    <w:rsid w:val="77A6C2A3"/>
    <w:rsid w:val="77B4188E"/>
    <w:rsid w:val="77BD7785"/>
    <w:rsid w:val="77BDBF16"/>
    <w:rsid w:val="77C70D9A"/>
    <w:rsid w:val="77D04624"/>
    <w:rsid w:val="77D211CF"/>
    <w:rsid w:val="77D57463"/>
    <w:rsid w:val="77D7C5A6"/>
    <w:rsid w:val="77D9B92A"/>
    <w:rsid w:val="77E46FDC"/>
    <w:rsid w:val="77E50758"/>
    <w:rsid w:val="77EA2045"/>
    <w:rsid w:val="77EE361C"/>
    <w:rsid w:val="77F5D01C"/>
    <w:rsid w:val="77F6CD77"/>
    <w:rsid w:val="77FB772E"/>
    <w:rsid w:val="77FC2B37"/>
    <w:rsid w:val="78023150"/>
    <w:rsid w:val="7804F7DB"/>
    <w:rsid w:val="78066468"/>
    <w:rsid w:val="780DBCE7"/>
    <w:rsid w:val="780E9DDC"/>
    <w:rsid w:val="7810134D"/>
    <w:rsid w:val="781280EC"/>
    <w:rsid w:val="781338F2"/>
    <w:rsid w:val="7813B2C0"/>
    <w:rsid w:val="7814EAA7"/>
    <w:rsid w:val="7816A44E"/>
    <w:rsid w:val="781D44F6"/>
    <w:rsid w:val="781DCF8E"/>
    <w:rsid w:val="781E2D8B"/>
    <w:rsid w:val="78220C42"/>
    <w:rsid w:val="7826679F"/>
    <w:rsid w:val="78329D57"/>
    <w:rsid w:val="78332825"/>
    <w:rsid w:val="7833526B"/>
    <w:rsid w:val="784B0843"/>
    <w:rsid w:val="784FF567"/>
    <w:rsid w:val="7851A863"/>
    <w:rsid w:val="78531479"/>
    <w:rsid w:val="7861BE3C"/>
    <w:rsid w:val="786B9141"/>
    <w:rsid w:val="78707F15"/>
    <w:rsid w:val="78794FB2"/>
    <w:rsid w:val="7886270E"/>
    <w:rsid w:val="78864DF7"/>
    <w:rsid w:val="788A86A8"/>
    <w:rsid w:val="7890C191"/>
    <w:rsid w:val="7891B5EE"/>
    <w:rsid w:val="78A09358"/>
    <w:rsid w:val="78A0EFD2"/>
    <w:rsid w:val="78A293BE"/>
    <w:rsid w:val="78A636AE"/>
    <w:rsid w:val="78A9B38E"/>
    <w:rsid w:val="78B119CF"/>
    <w:rsid w:val="78B1B41E"/>
    <w:rsid w:val="78BAE269"/>
    <w:rsid w:val="78C1D686"/>
    <w:rsid w:val="78C86B10"/>
    <w:rsid w:val="78CB8B94"/>
    <w:rsid w:val="78D2FE96"/>
    <w:rsid w:val="78D4E3FB"/>
    <w:rsid w:val="78D502D3"/>
    <w:rsid w:val="78D6F93A"/>
    <w:rsid w:val="78D7FC83"/>
    <w:rsid w:val="78DFEB3D"/>
    <w:rsid w:val="78E0BF29"/>
    <w:rsid w:val="78F176D7"/>
    <w:rsid w:val="78F4305E"/>
    <w:rsid w:val="78F44FCE"/>
    <w:rsid w:val="79001273"/>
    <w:rsid w:val="7905F649"/>
    <w:rsid w:val="790AF1CD"/>
    <w:rsid w:val="790B962F"/>
    <w:rsid w:val="790F0778"/>
    <w:rsid w:val="791BD9C9"/>
    <w:rsid w:val="791C7855"/>
    <w:rsid w:val="792874D9"/>
    <w:rsid w:val="7929D540"/>
    <w:rsid w:val="7932F2A8"/>
    <w:rsid w:val="79359E9F"/>
    <w:rsid w:val="793DA5B8"/>
    <w:rsid w:val="79430BFD"/>
    <w:rsid w:val="79452161"/>
    <w:rsid w:val="79463173"/>
    <w:rsid w:val="79483EF0"/>
    <w:rsid w:val="794ADA63"/>
    <w:rsid w:val="794CD95A"/>
    <w:rsid w:val="794F95E6"/>
    <w:rsid w:val="7954A381"/>
    <w:rsid w:val="7957656C"/>
    <w:rsid w:val="795E67D6"/>
    <w:rsid w:val="796A0D38"/>
    <w:rsid w:val="796E3A65"/>
    <w:rsid w:val="79708F85"/>
    <w:rsid w:val="797E512F"/>
    <w:rsid w:val="7986348A"/>
    <w:rsid w:val="7989CF91"/>
    <w:rsid w:val="79910AB1"/>
    <w:rsid w:val="7992C2BA"/>
    <w:rsid w:val="7996C6D6"/>
    <w:rsid w:val="799D4E2F"/>
    <w:rsid w:val="79A3A899"/>
    <w:rsid w:val="79A8B0E1"/>
    <w:rsid w:val="79B349F7"/>
    <w:rsid w:val="79B4EBEB"/>
    <w:rsid w:val="79B50639"/>
    <w:rsid w:val="79BAAD17"/>
    <w:rsid w:val="79BEA1D6"/>
    <w:rsid w:val="79BFBD41"/>
    <w:rsid w:val="79C287D3"/>
    <w:rsid w:val="79DBF645"/>
    <w:rsid w:val="79E076D9"/>
    <w:rsid w:val="79E35B6D"/>
    <w:rsid w:val="79E407B9"/>
    <w:rsid w:val="79E56BED"/>
    <w:rsid w:val="79E77A04"/>
    <w:rsid w:val="79ED78C4"/>
    <w:rsid w:val="79F1F77E"/>
    <w:rsid w:val="79FBF805"/>
    <w:rsid w:val="79FEC130"/>
    <w:rsid w:val="7A086F39"/>
    <w:rsid w:val="7A0DEA92"/>
    <w:rsid w:val="7A10ECDB"/>
    <w:rsid w:val="7A1D7092"/>
    <w:rsid w:val="7A2059E5"/>
    <w:rsid w:val="7A227C17"/>
    <w:rsid w:val="7A22D986"/>
    <w:rsid w:val="7A23EA87"/>
    <w:rsid w:val="7A272737"/>
    <w:rsid w:val="7A29B43C"/>
    <w:rsid w:val="7A2D3A5F"/>
    <w:rsid w:val="7A2DDEA5"/>
    <w:rsid w:val="7A319385"/>
    <w:rsid w:val="7A31D93F"/>
    <w:rsid w:val="7A37808F"/>
    <w:rsid w:val="7A3EF9DD"/>
    <w:rsid w:val="7A3EFCEB"/>
    <w:rsid w:val="7A4E4496"/>
    <w:rsid w:val="7A66D57B"/>
    <w:rsid w:val="7A6DED81"/>
    <w:rsid w:val="7A7CDE42"/>
    <w:rsid w:val="7A95213E"/>
    <w:rsid w:val="7A9771F0"/>
    <w:rsid w:val="7A97738B"/>
    <w:rsid w:val="7A982903"/>
    <w:rsid w:val="7A99E0A1"/>
    <w:rsid w:val="7AA468B9"/>
    <w:rsid w:val="7AAD5D95"/>
    <w:rsid w:val="7AB39C82"/>
    <w:rsid w:val="7AB93620"/>
    <w:rsid w:val="7AD0F150"/>
    <w:rsid w:val="7AD7A02A"/>
    <w:rsid w:val="7AD97316"/>
    <w:rsid w:val="7ADA2C8A"/>
    <w:rsid w:val="7ADABA47"/>
    <w:rsid w:val="7ADBFE11"/>
    <w:rsid w:val="7ADC01AB"/>
    <w:rsid w:val="7AEC21D7"/>
    <w:rsid w:val="7AF05B82"/>
    <w:rsid w:val="7AF30BD7"/>
    <w:rsid w:val="7AF52EFF"/>
    <w:rsid w:val="7B062B04"/>
    <w:rsid w:val="7B225F3F"/>
    <w:rsid w:val="7B232C65"/>
    <w:rsid w:val="7B254202"/>
    <w:rsid w:val="7B25E207"/>
    <w:rsid w:val="7B280E2A"/>
    <w:rsid w:val="7B28909E"/>
    <w:rsid w:val="7B292330"/>
    <w:rsid w:val="7B2D49C8"/>
    <w:rsid w:val="7B35F593"/>
    <w:rsid w:val="7B37DCA6"/>
    <w:rsid w:val="7B3B5742"/>
    <w:rsid w:val="7B4D5867"/>
    <w:rsid w:val="7B4D9F5E"/>
    <w:rsid w:val="7B561639"/>
    <w:rsid w:val="7B579FB9"/>
    <w:rsid w:val="7B5B79E1"/>
    <w:rsid w:val="7B661C5F"/>
    <w:rsid w:val="7B6A7030"/>
    <w:rsid w:val="7B6AF756"/>
    <w:rsid w:val="7B70159B"/>
    <w:rsid w:val="7B72B42F"/>
    <w:rsid w:val="7B73E781"/>
    <w:rsid w:val="7B7440F0"/>
    <w:rsid w:val="7B7BFB2B"/>
    <w:rsid w:val="7B7F2788"/>
    <w:rsid w:val="7B827692"/>
    <w:rsid w:val="7B83E678"/>
    <w:rsid w:val="7B86FC79"/>
    <w:rsid w:val="7B8B9143"/>
    <w:rsid w:val="7B92AF5E"/>
    <w:rsid w:val="7B97D11E"/>
    <w:rsid w:val="7B987A8C"/>
    <w:rsid w:val="7B9BA38B"/>
    <w:rsid w:val="7BA3C73C"/>
    <w:rsid w:val="7BA6024D"/>
    <w:rsid w:val="7BAB4B6C"/>
    <w:rsid w:val="7BB08C6F"/>
    <w:rsid w:val="7BB1E713"/>
    <w:rsid w:val="7BB5F80D"/>
    <w:rsid w:val="7BBBBCFF"/>
    <w:rsid w:val="7BBE7EE3"/>
    <w:rsid w:val="7BBE9554"/>
    <w:rsid w:val="7BC1EF32"/>
    <w:rsid w:val="7BD04F14"/>
    <w:rsid w:val="7BD1353F"/>
    <w:rsid w:val="7BD1DF45"/>
    <w:rsid w:val="7BD2B302"/>
    <w:rsid w:val="7BD2F33B"/>
    <w:rsid w:val="7BD6A1AD"/>
    <w:rsid w:val="7BDC819D"/>
    <w:rsid w:val="7BE11B68"/>
    <w:rsid w:val="7BEAE2FD"/>
    <w:rsid w:val="7BEB9D65"/>
    <w:rsid w:val="7BEF2743"/>
    <w:rsid w:val="7BF0853B"/>
    <w:rsid w:val="7C0B9C19"/>
    <w:rsid w:val="7C0DBDC9"/>
    <w:rsid w:val="7C123C32"/>
    <w:rsid w:val="7C16F2A0"/>
    <w:rsid w:val="7C218AE8"/>
    <w:rsid w:val="7C30E279"/>
    <w:rsid w:val="7C32E603"/>
    <w:rsid w:val="7C383577"/>
    <w:rsid w:val="7C3BAB5B"/>
    <w:rsid w:val="7C3CFB3D"/>
    <w:rsid w:val="7C3DD55F"/>
    <w:rsid w:val="7C3FF487"/>
    <w:rsid w:val="7C4441F3"/>
    <w:rsid w:val="7C485D12"/>
    <w:rsid w:val="7C493E89"/>
    <w:rsid w:val="7C4CE5E3"/>
    <w:rsid w:val="7C4EE422"/>
    <w:rsid w:val="7C4F7833"/>
    <w:rsid w:val="7C567BBE"/>
    <w:rsid w:val="7C57D96F"/>
    <w:rsid w:val="7C5A8D96"/>
    <w:rsid w:val="7C5AA33D"/>
    <w:rsid w:val="7C627B06"/>
    <w:rsid w:val="7C6444DB"/>
    <w:rsid w:val="7C6F3AA2"/>
    <w:rsid w:val="7C759EC5"/>
    <w:rsid w:val="7C7D73BC"/>
    <w:rsid w:val="7C7EA182"/>
    <w:rsid w:val="7C7EC5F7"/>
    <w:rsid w:val="7C80859C"/>
    <w:rsid w:val="7C81DB30"/>
    <w:rsid w:val="7C83535E"/>
    <w:rsid w:val="7C85EA2D"/>
    <w:rsid w:val="7C9BD023"/>
    <w:rsid w:val="7CA5B6FF"/>
    <w:rsid w:val="7CB7A07F"/>
    <w:rsid w:val="7CBC9B13"/>
    <w:rsid w:val="7CC53A02"/>
    <w:rsid w:val="7CC92D66"/>
    <w:rsid w:val="7CCB49FB"/>
    <w:rsid w:val="7CD0EB55"/>
    <w:rsid w:val="7CD87565"/>
    <w:rsid w:val="7CD9C7FA"/>
    <w:rsid w:val="7CDD983E"/>
    <w:rsid w:val="7CE23FBA"/>
    <w:rsid w:val="7CE9EB29"/>
    <w:rsid w:val="7CEEB67C"/>
    <w:rsid w:val="7CFD1ECD"/>
    <w:rsid w:val="7CFEBBFE"/>
    <w:rsid w:val="7D0034E5"/>
    <w:rsid w:val="7D008D1C"/>
    <w:rsid w:val="7D034B81"/>
    <w:rsid w:val="7D050746"/>
    <w:rsid w:val="7D069FA7"/>
    <w:rsid w:val="7D119A92"/>
    <w:rsid w:val="7D18486C"/>
    <w:rsid w:val="7D1A071C"/>
    <w:rsid w:val="7D25F66F"/>
    <w:rsid w:val="7D3874A0"/>
    <w:rsid w:val="7D39E503"/>
    <w:rsid w:val="7D467B26"/>
    <w:rsid w:val="7D49659A"/>
    <w:rsid w:val="7D4D03E3"/>
    <w:rsid w:val="7D4EB842"/>
    <w:rsid w:val="7D550C8A"/>
    <w:rsid w:val="7D6A5FEC"/>
    <w:rsid w:val="7D6A96AF"/>
    <w:rsid w:val="7D707908"/>
    <w:rsid w:val="7D767E04"/>
    <w:rsid w:val="7D77C5A3"/>
    <w:rsid w:val="7D78B128"/>
    <w:rsid w:val="7D833491"/>
    <w:rsid w:val="7D83C4E8"/>
    <w:rsid w:val="7D8CA9CF"/>
    <w:rsid w:val="7D9249E9"/>
    <w:rsid w:val="7DAF259C"/>
    <w:rsid w:val="7DB15652"/>
    <w:rsid w:val="7DB19393"/>
    <w:rsid w:val="7DB6C91A"/>
    <w:rsid w:val="7DBB4E7C"/>
    <w:rsid w:val="7DC00515"/>
    <w:rsid w:val="7DC95E92"/>
    <w:rsid w:val="7DCA0F27"/>
    <w:rsid w:val="7DCA2784"/>
    <w:rsid w:val="7DD7322A"/>
    <w:rsid w:val="7DD74963"/>
    <w:rsid w:val="7DE64E80"/>
    <w:rsid w:val="7DEB5BAA"/>
    <w:rsid w:val="7DEF91BA"/>
    <w:rsid w:val="7E0790B9"/>
    <w:rsid w:val="7E0B74E2"/>
    <w:rsid w:val="7E13B692"/>
    <w:rsid w:val="7E1B1FDE"/>
    <w:rsid w:val="7E1E1C87"/>
    <w:rsid w:val="7E1E5712"/>
    <w:rsid w:val="7E25714E"/>
    <w:rsid w:val="7E289A1E"/>
    <w:rsid w:val="7E292BE8"/>
    <w:rsid w:val="7E2BD225"/>
    <w:rsid w:val="7E34D870"/>
    <w:rsid w:val="7E3513FC"/>
    <w:rsid w:val="7E37E27C"/>
    <w:rsid w:val="7E497D59"/>
    <w:rsid w:val="7E4BCBB6"/>
    <w:rsid w:val="7E572C8B"/>
    <w:rsid w:val="7E5DB389"/>
    <w:rsid w:val="7E62BAAD"/>
    <w:rsid w:val="7E70741B"/>
    <w:rsid w:val="7E73653F"/>
    <w:rsid w:val="7E76BD06"/>
    <w:rsid w:val="7E7A6693"/>
    <w:rsid w:val="7E805522"/>
    <w:rsid w:val="7E8CF18B"/>
    <w:rsid w:val="7E92C28D"/>
    <w:rsid w:val="7E94FCC2"/>
    <w:rsid w:val="7E9EB89A"/>
    <w:rsid w:val="7E9FF376"/>
    <w:rsid w:val="7EA00FA4"/>
    <w:rsid w:val="7EA3B3F9"/>
    <w:rsid w:val="7EA58CA9"/>
    <w:rsid w:val="7EA776B0"/>
    <w:rsid w:val="7EABA745"/>
    <w:rsid w:val="7EB68BCB"/>
    <w:rsid w:val="7EB7CBF9"/>
    <w:rsid w:val="7EBB372F"/>
    <w:rsid w:val="7EBBC0BD"/>
    <w:rsid w:val="7EC1C889"/>
    <w:rsid w:val="7EC20544"/>
    <w:rsid w:val="7EC255FD"/>
    <w:rsid w:val="7ECAAA99"/>
    <w:rsid w:val="7ED53193"/>
    <w:rsid w:val="7EDACBF8"/>
    <w:rsid w:val="7EDAD83E"/>
    <w:rsid w:val="7EE18D75"/>
    <w:rsid w:val="7EE78FFC"/>
    <w:rsid w:val="7EE87437"/>
    <w:rsid w:val="7EEC150C"/>
    <w:rsid w:val="7EF09F82"/>
    <w:rsid w:val="7F06A125"/>
    <w:rsid w:val="7F08317A"/>
    <w:rsid w:val="7F1CF8D7"/>
    <w:rsid w:val="7F1F9CDD"/>
    <w:rsid w:val="7F2482D8"/>
    <w:rsid w:val="7F3453BC"/>
    <w:rsid w:val="7F347ED1"/>
    <w:rsid w:val="7F3647E8"/>
    <w:rsid w:val="7F3B92DA"/>
    <w:rsid w:val="7F3C9F66"/>
    <w:rsid w:val="7F42518F"/>
    <w:rsid w:val="7F48E602"/>
    <w:rsid w:val="7F491D50"/>
    <w:rsid w:val="7F49C538"/>
    <w:rsid w:val="7F54C61F"/>
    <w:rsid w:val="7F5E9954"/>
    <w:rsid w:val="7F621B21"/>
    <w:rsid w:val="7F688A3E"/>
    <w:rsid w:val="7F6C960D"/>
    <w:rsid w:val="7F6F4BA0"/>
    <w:rsid w:val="7F6F7640"/>
    <w:rsid w:val="7F75DBA3"/>
    <w:rsid w:val="7F7A105E"/>
    <w:rsid w:val="7F7B84D0"/>
    <w:rsid w:val="7F7BF7F1"/>
    <w:rsid w:val="7F7C2AA0"/>
    <w:rsid w:val="7F894ED3"/>
    <w:rsid w:val="7F8D3A6D"/>
    <w:rsid w:val="7F8DF47A"/>
    <w:rsid w:val="7F8F32F1"/>
    <w:rsid w:val="7F993A72"/>
    <w:rsid w:val="7FA8225A"/>
    <w:rsid w:val="7FBBC586"/>
    <w:rsid w:val="7FBBDB08"/>
    <w:rsid w:val="7FC9715F"/>
    <w:rsid w:val="7FCF6A90"/>
    <w:rsid w:val="7FD695AA"/>
    <w:rsid w:val="7FD84AE4"/>
    <w:rsid w:val="7FD89759"/>
    <w:rsid w:val="7FDB73C8"/>
    <w:rsid w:val="7FE004AF"/>
    <w:rsid w:val="7FE7DDDA"/>
    <w:rsid w:val="7FEACC6A"/>
    <w:rsid w:val="7FEB56ED"/>
    <w:rsid w:val="7FEB5886"/>
    <w:rsid w:val="7FEBC690"/>
    <w:rsid w:val="7FF50ADC"/>
    <w:rsid w:val="7FF90A7F"/>
    <w:rsid w:val="7FFB30DB"/>
  </w:rsids>
  <m:mathPr>
    <m:mathFont m:val="Cambria Math"/>
    <m:brkBin m:val="before"/>
    <m:brkBinSub m:val="--"/>
    <m:smallFrac m:val="0"/>
    <m:dispDef/>
    <m:lMargin m:val="0"/>
    <m:rMargin m:val="0"/>
    <m:defJc m:val="centerGroup"/>
    <m:wrapIndent m:val="1440"/>
    <m:intLim m:val="subSup"/>
    <m:naryLim m:val="undOvr"/>
  </m:mathPr>
  <w:themeFontLang w:val="en-GB" w:eastAsia="zh-CN"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F7F53CF"/>
  <w14:defaultImageDpi w14:val="330"/>
  <w15:docId w15:val="{1796973E-5ED8-4A34-AF98-D40AFC4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EC Square Sans Pro" w:eastAsia="MS Mincho" w:hAnsi="EC Square Sans Pro" w:cstheme="minorBidi"/>
        <w:lang w:val="ro-RO" w:eastAsia="en-US" w:bidi="ar-SA"/>
      </w:rPr>
    </w:rPrDefault>
    <w:pPrDefault>
      <w:pPr>
        <w:spacing w:before="240" w:after="240" w:line="264" w:lineRule="auto"/>
      </w:pPr>
    </w:pPrDefault>
  </w:docDefaults>
  <w:latentStyles w:defLockedState="0" w:defUIPriority="99" w:defSemiHidden="0" w:defUnhideWhenUsed="0" w:defQFormat="0" w:count="371">
    <w:lsdException w:name="Normal" w:uiPriority="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8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89" w:unhideWhenUsed="1"/>
    <w:lsdException w:name="Body Text 3" w:semiHidden="1" w:uiPriority="8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style>
  <w:style w:type="paragraph" w:styleId="Heading1">
    <w:name w:val="heading 1"/>
    <w:next w:val="Normal"/>
    <w:link w:val="Heading1Char"/>
    <w:qFormat/>
    <w:pPr>
      <w:keepNext/>
      <w:keepLines/>
      <w:pageBreakBefore/>
      <w:suppressAutoHyphens/>
      <w:spacing w:before="0" w:after="480"/>
      <w:outlineLvl w:val="0"/>
    </w:pPr>
    <w:rPr>
      <w:rFonts w:eastAsia="EC Square Sans Pro" w:cs="Times New Roman"/>
      <w:color w:val="003399" w:themeColor="text2"/>
      <w:sz w:val="48"/>
      <w:szCs w:val="21"/>
      <w:lang w:eastAsia="zh-CN"/>
    </w:rPr>
  </w:style>
  <w:style w:type="paragraph" w:styleId="Heading2">
    <w:name w:val="heading 2"/>
    <w:basedOn w:val="Normal"/>
    <w:next w:val="Normal"/>
    <w:link w:val="Heading2Char"/>
    <w:unhideWhenUsed/>
    <w:qFormat/>
    <w:rsid w:val="00B56BE7"/>
    <w:pPr>
      <w:keepNext/>
      <w:keepLines/>
      <w:pBdr>
        <w:bottom w:val="single" w:sz="6" w:space="1" w:color="DE6002" w:themeColor="accent2"/>
      </w:pBdr>
      <w:tabs>
        <w:tab w:val="num" w:pos="0"/>
      </w:tabs>
      <w:suppressAutoHyphens/>
      <w:spacing w:after="360"/>
      <w:outlineLvl w:val="1"/>
    </w:pPr>
    <w:rPr>
      <w:rFonts w:eastAsia="EC Square Sans Pro"/>
      <w:b/>
      <w:color w:val="003399" w:themeColor="text2"/>
      <w:spacing w:val="-10"/>
      <w:sz w:val="28"/>
      <w:szCs w:val="21"/>
      <w:lang w:eastAsia="zh-CN"/>
    </w:rPr>
  </w:style>
  <w:style w:type="paragraph" w:styleId="Heading3">
    <w:name w:val="heading 3"/>
    <w:basedOn w:val="Normal"/>
    <w:next w:val="Normal"/>
    <w:link w:val="Heading3Char"/>
    <w:unhideWhenUsed/>
    <w:qFormat/>
    <w:pPr>
      <w:keepNext/>
      <w:keepLines/>
      <w:suppressAutoHyphens/>
      <w:spacing w:before="480"/>
      <w:outlineLvl w:val="2"/>
    </w:pPr>
    <w:rPr>
      <w:rFonts w:eastAsiaTheme="majorEastAsia" w:cstheme="majorBidi"/>
      <w:b/>
      <w:color w:val="003399" w:themeColor="text2"/>
      <w:sz w:val="28"/>
      <w:szCs w:val="24"/>
    </w:rPr>
  </w:style>
  <w:style w:type="paragraph" w:styleId="Heading4">
    <w:name w:val="heading 4"/>
    <w:basedOn w:val="Normal"/>
    <w:next w:val="Normal"/>
    <w:link w:val="Heading4Char"/>
    <w:unhideWhenUsed/>
    <w:qFormat/>
    <w:pPr>
      <w:keepNext/>
      <w:keepLines/>
      <w:suppressAutoHyphens/>
      <w:spacing w:before="480"/>
      <w:outlineLvl w:val="3"/>
    </w:pPr>
    <w:rPr>
      <w:rFonts w:cs="Times New Roman"/>
      <w:color w:val="003399" w:themeColor="text2"/>
      <w:sz w:val="24"/>
      <w:szCs w:val="22"/>
      <w:lang w:eastAsia="zh-CN"/>
    </w:rPr>
  </w:style>
  <w:style w:type="paragraph" w:styleId="Heading5">
    <w:name w:val="heading 5"/>
    <w:basedOn w:val="Normal"/>
    <w:next w:val="Normal"/>
    <w:link w:val="Heading5Char"/>
    <w:uiPriority w:val="99"/>
    <w:unhideWhenUsed/>
    <w:qFormat/>
    <w:pPr>
      <w:keepNext/>
      <w:keepLines/>
      <w:suppressAutoHyphens/>
      <w:ind w:left="340"/>
      <w:outlineLvl w:val="4"/>
    </w:pPr>
    <w:rPr>
      <w:rFonts w:cs="Times New Roman"/>
      <w:b/>
      <w:color w:val="008139" w:themeColor="accent1"/>
      <w:sz w:val="24"/>
      <w:szCs w:val="22"/>
      <w:lang w:eastAsia="zh-CN"/>
      <w14:textOutline w14:w="9525" w14:cap="rnd" w14:cmpd="sng" w14:algn="ctr">
        <w14:noFill/>
        <w14:prstDash w14:val="solid"/>
        <w14:bevel/>
      </w14:textOutline>
    </w:rPr>
  </w:style>
  <w:style w:type="paragraph" w:styleId="Heading6">
    <w:name w:val="heading 6"/>
    <w:basedOn w:val="Normal"/>
    <w:next w:val="Normal"/>
    <w:link w:val="Heading6Char"/>
    <w:uiPriority w:val="99"/>
    <w:unhideWhenUsed/>
    <w:qFormat/>
    <w:pPr>
      <w:keepNext/>
      <w:keepLines/>
      <w:spacing w:before="200"/>
      <w:outlineLvl w:val="5"/>
    </w:pPr>
    <w:rPr>
      <w:rFonts w:eastAsiaTheme="majorEastAsia" w:cstheme="majorBidi"/>
      <w:i/>
      <w:iCs/>
      <w:color w:val="00401C" w:themeColor="accent1" w:themeShade="7F"/>
    </w:rPr>
  </w:style>
  <w:style w:type="paragraph" w:styleId="Heading7">
    <w:name w:val="heading 7"/>
    <w:basedOn w:val="Normal"/>
    <w:next w:val="Normal"/>
    <w:link w:val="Heading7Char"/>
    <w:uiPriority w:val="99"/>
    <w:unhideWhenUsed/>
    <w:qFormat/>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9"/>
    <w:unhideWhenUsed/>
    <w:qFormat/>
    <w:pPr>
      <w:keepNext/>
      <w:keepLines/>
      <w:spacing w:before="200"/>
      <w:outlineLvl w:val="7"/>
    </w:pPr>
    <w:rPr>
      <w:rFonts w:eastAsiaTheme="majorEastAsia" w:cstheme="majorBidi"/>
      <w:color w:val="404040" w:themeColor="text1" w:themeTint="BF"/>
    </w:rPr>
  </w:style>
  <w:style w:type="paragraph" w:styleId="Heading9">
    <w:name w:val="heading 9"/>
    <w:basedOn w:val="Normal"/>
    <w:next w:val="Normal"/>
    <w:link w:val="Heading9Char"/>
    <w:uiPriority w:val="99"/>
    <w:unhideWhenUsed/>
    <w:qFormat/>
    <w:pPr>
      <w:keepNext/>
      <w:keepLines/>
      <w:spacing w:before="200"/>
      <w:outlineLvl w:val="8"/>
    </w:pPr>
    <w:rPr>
      <w:rFonts w:eastAsiaTheme="majorEastAsia"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eastAsia="EC Square Sans Pro" w:cs="Times New Roman"/>
      <w:color w:val="003399" w:themeColor="text2"/>
      <w:sz w:val="48"/>
      <w:szCs w:val="21"/>
      <w:lang w:val="ro-RO" w:eastAsia="zh-CN"/>
    </w:rPr>
  </w:style>
  <w:style w:type="character" w:customStyle="1" w:styleId="Heading2Char">
    <w:name w:val="Heading 2 Char"/>
    <w:basedOn w:val="DefaultParagraphFont"/>
    <w:link w:val="Heading2"/>
    <w:rsid w:val="00B56BE7"/>
    <w:rPr>
      <w:rFonts w:eastAsia="EC Square Sans Pro"/>
      <w:b/>
      <w:color w:val="003399" w:themeColor="text2"/>
      <w:spacing w:val="-10"/>
      <w:sz w:val="28"/>
      <w:szCs w:val="21"/>
      <w:lang w:val="ro-RO" w:eastAsia="zh-CN"/>
    </w:rPr>
  </w:style>
  <w:style w:type="character" w:customStyle="1" w:styleId="Heading3Char">
    <w:name w:val="Heading 3 Char"/>
    <w:basedOn w:val="DefaultParagraphFont"/>
    <w:link w:val="Heading3"/>
    <w:rPr>
      <w:rFonts w:eastAsiaTheme="majorEastAsia" w:cstheme="majorBidi"/>
      <w:b/>
      <w:color w:val="003399" w:themeColor="text2"/>
      <w:sz w:val="28"/>
      <w:szCs w:val="24"/>
      <w:lang w:val="ro-RO"/>
    </w:rPr>
  </w:style>
  <w:style w:type="character" w:customStyle="1" w:styleId="Heading4Char">
    <w:name w:val="Heading 4 Char"/>
    <w:basedOn w:val="DefaultParagraphFont"/>
    <w:link w:val="Heading4"/>
    <w:rPr>
      <w:rFonts w:cs="Times New Roman"/>
      <w:color w:val="003399" w:themeColor="text2"/>
      <w:sz w:val="24"/>
      <w:szCs w:val="22"/>
      <w:lang w:val="ro-RO" w:eastAsia="zh-CN"/>
    </w:rPr>
  </w:style>
  <w:style w:type="character" w:customStyle="1" w:styleId="Heading5Char">
    <w:name w:val="Heading 5 Char"/>
    <w:basedOn w:val="DefaultParagraphFont"/>
    <w:link w:val="Heading5"/>
    <w:uiPriority w:val="99"/>
    <w:rPr>
      <w:rFonts w:cs="Times New Roman"/>
      <w:b/>
      <w:color w:val="008139" w:themeColor="accent1"/>
      <w:sz w:val="24"/>
      <w:szCs w:val="22"/>
      <w:lang w:val="ro-RO" w:eastAsia="zh-CN"/>
      <w14:textOutline w14:w="9525" w14:cap="rnd" w14:cmpd="sng" w14:algn="ctr">
        <w14:noFill/>
        <w14:prstDash w14:val="solid"/>
        <w14:bevel/>
      </w14:textOutline>
    </w:rPr>
  </w:style>
  <w:style w:type="character" w:customStyle="1" w:styleId="Heading6Char">
    <w:name w:val="Heading 6 Char"/>
    <w:basedOn w:val="DefaultParagraphFont"/>
    <w:link w:val="Heading6"/>
    <w:uiPriority w:val="99"/>
    <w:rPr>
      <w:rFonts w:eastAsiaTheme="majorEastAsia" w:cstheme="majorBidi"/>
      <w:i/>
      <w:iCs/>
      <w:color w:val="00401C" w:themeColor="accent1" w:themeShade="7F"/>
      <w:lang w:val="ro-RO"/>
    </w:rPr>
  </w:style>
  <w:style w:type="character" w:customStyle="1" w:styleId="Heading7Char">
    <w:name w:val="Heading 7 Char"/>
    <w:basedOn w:val="DefaultParagraphFont"/>
    <w:link w:val="Heading7"/>
    <w:uiPriority w:val="99"/>
    <w:rPr>
      <w:rFonts w:eastAsiaTheme="majorEastAsia" w:cstheme="majorBidi"/>
      <w:i/>
      <w:iCs/>
      <w:color w:val="404040" w:themeColor="text1" w:themeTint="BF"/>
      <w:lang w:val="ro-RO"/>
    </w:rPr>
  </w:style>
  <w:style w:type="character" w:customStyle="1" w:styleId="Heading8Char">
    <w:name w:val="Heading 8 Char"/>
    <w:basedOn w:val="DefaultParagraphFont"/>
    <w:link w:val="Heading8"/>
    <w:uiPriority w:val="99"/>
    <w:rPr>
      <w:rFonts w:eastAsiaTheme="majorEastAsia" w:cstheme="majorBidi"/>
      <w:color w:val="404040" w:themeColor="text1" w:themeTint="BF"/>
      <w:lang w:val="ro-RO"/>
    </w:rPr>
  </w:style>
  <w:style w:type="character" w:customStyle="1" w:styleId="Heading9Char">
    <w:name w:val="Heading 9 Char"/>
    <w:basedOn w:val="DefaultParagraphFont"/>
    <w:link w:val="Heading9"/>
    <w:uiPriority w:val="99"/>
    <w:rPr>
      <w:rFonts w:eastAsiaTheme="majorEastAsia" w:cstheme="majorBidi"/>
      <w:i/>
      <w:iCs/>
      <w:color w:val="404040" w:themeColor="text1" w:themeTint="BF"/>
      <w:lang w:val="ro-RO"/>
    </w:rPr>
  </w:style>
  <w:style w:type="paragraph" w:styleId="ListParagraph">
    <w:name w:val="List Paragraph"/>
    <w:basedOn w:val="Normal"/>
    <w:uiPriority w:val="34"/>
    <w:qFormat/>
    <w:pPr>
      <w:ind w:left="720"/>
      <w:contextualSpacing/>
    </w:pPr>
  </w:style>
  <w:style w:type="table" w:styleId="GridTable2-Accent2">
    <w:name w:val="Grid Table 2 Accent 2"/>
    <w:basedOn w:val="TableNormal"/>
    <w:uiPriority w:val="47"/>
    <w:pPr>
      <w:spacing w:after="0" w:line="240" w:lineRule="auto"/>
    </w:p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TableGrid">
    <w:name w:val="Table Grid"/>
    <w:aliases w:val="Document Table,CV1,Standard table format,Simple table"/>
    <w:basedOn w:val="TableNormal"/>
    <w:uiPriority w:val="59"/>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basedOn w:val="DefaultParagraphFont"/>
    <w:uiPriority w:val="99"/>
    <w:qFormat/>
    <w:rPr>
      <w:vertAlign w:val="superscript"/>
    </w:rPr>
  </w:style>
  <w:style w:type="paragraph" w:styleId="BalloonText">
    <w:name w:val="Balloon Text"/>
    <w:basedOn w:val="Normal"/>
    <w:link w:val="BalloonTextChar"/>
    <w:semiHidden/>
    <w:unhideWhenUsed/>
    <w:rPr>
      <w:rFonts w:cs="Segoe UI"/>
      <w:sz w:val="18"/>
      <w:szCs w:val="18"/>
    </w:rPr>
  </w:style>
  <w:style w:type="character" w:customStyle="1" w:styleId="BalloonTextChar">
    <w:name w:val="Balloon Text Char"/>
    <w:basedOn w:val="DefaultParagraphFont"/>
    <w:link w:val="BalloonText"/>
    <w:semiHidden/>
    <w:rPr>
      <w:rFonts w:cs="Segoe UI"/>
      <w:sz w:val="18"/>
      <w:szCs w:val="18"/>
      <w:lang w:val="ro-RO"/>
    </w:rPr>
  </w:style>
  <w:style w:type="paragraph" w:styleId="Footer">
    <w:name w:val="footer"/>
    <w:basedOn w:val="amprFooter-Left"/>
    <w:link w:val="FooterChar"/>
    <w:uiPriority w:val="99"/>
    <w:unhideWhenUsed/>
    <w:pPr>
      <w:jc w:val="center"/>
    </w:pPr>
    <w:rPr>
      <w:noProof/>
    </w:rPr>
  </w:style>
  <w:style w:type="character" w:customStyle="1" w:styleId="FooterChar">
    <w:name w:val="Footer Char"/>
    <w:basedOn w:val="DefaultParagraphFont"/>
    <w:link w:val="Footer"/>
    <w:uiPriority w:val="99"/>
    <w:rPr>
      <w:rFonts w:eastAsia="EC Square Sans Pro" w:cs="Times New Roman"/>
      <w:noProof/>
      <w:szCs w:val="21"/>
      <w:lang w:val="ro-RO" w:eastAsia="zh-CN"/>
    </w:rPr>
  </w:style>
  <w:style w:type="paragraph" w:styleId="CommentSubject">
    <w:name w:val="annotation subject"/>
    <w:basedOn w:val="Normal"/>
    <w:next w:val="Normal"/>
    <w:link w:val="CommentSubjectChar"/>
    <w:unhideWhenUsed/>
    <w:pPr>
      <w:spacing w:after="200"/>
    </w:pPr>
    <w:rPr>
      <w:b/>
      <w:bCs/>
    </w:rPr>
  </w:style>
  <w:style w:type="character" w:customStyle="1" w:styleId="CommentSubjectChar">
    <w:name w:val="Comment Subject Char"/>
    <w:basedOn w:val="DefaultParagraphFont"/>
    <w:link w:val="CommentSubject"/>
    <w:rPr>
      <w:b/>
      <w:bCs/>
      <w:lang w:val="ro-RO"/>
    </w:rPr>
  </w:style>
  <w:style w:type="paragraph" w:styleId="Revision">
    <w:name w:val="Revision"/>
    <w:hidden/>
    <w:uiPriority w:val="99"/>
    <w:semiHidden/>
  </w:style>
  <w:style w:type="character" w:styleId="Hyperlink">
    <w:name w:val="Hyperlink"/>
    <w:basedOn w:val="DefaultParagraphFont"/>
    <w:uiPriority w:val="99"/>
    <w:unhideWhenUsed/>
    <w:rPr>
      <w:rFonts w:ascii="EC Square Sans Pro" w:hAnsi="EC Square Sans Pro"/>
      <w:strike w:val="0"/>
      <w:dstrike w:val="0"/>
      <w:color w:val="007ACC"/>
      <w:u w:val="single" w:color="65BBC8"/>
      <w:effect w:val="none"/>
      <w:shd w:val="clear" w:color="auto" w:fill="auto"/>
      <w:lang w:val="ro-RO"/>
    </w:rPr>
  </w:style>
  <w:style w:type="table" w:styleId="LightShading-Accent6">
    <w:name w:val="Light Shading Accent 6"/>
    <w:basedOn w:val="TableNormal"/>
    <w:uiPriority w:val="60"/>
    <w:rPr>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paragraph" w:styleId="EndnoteText">
    <w:name w:val="endnote text"/>
    <w:basedOn w:val="Normal"/>
    <w:link w:val="EndnoteTextChar"/>
    <w:uiPriority w:val="99"/>
    <w:semiHidden/>
    <w:unhideWhenUsed/>
    <w:rPr>
      <w:rFonts w:eastAsia="Calibri"/>
    </w:rPr>
  </w:style>
  <w:style w:type="character" w:customStyle="1" w:styleId="EndnoteTextChar">
    <w:name w:val="Endnote Text Char"/>
    <w:basedOn w:val="DefaultParagraphFont"/>
    <w:link w:val="EndnoteText"/>
    <w:uiPriority w:val="99"/>
    <w:semiHidden/>
    <w:rPr>
      <w:rFonts w:eastAsia="Calibri"/>
      <w:lang w:val="ro-RO"/>
    </w:rPr>
  </w:style>
  <w:style w:type="character" w:styleId="EndnoteReference">
    <w:name w:val="endnote reference"/>
    <w:basedOn w:val="DefaultParagraphFont"/>
    <w:semiHidden/>
    <w:unhideWhenUsed/>
    <w:rPr>
      <w:rFonts w:ascii="EC Square Sans Pro" w:hAnsi="EC Square Sans Pro"/>
      <w:vertAlign w:val="superscript"/>
      <w:lang w:val="ro-RO"/>
    </w:rPr>
  </w:style>
  <w:style w:type="paragraph" w:styleId="ListBullet">
    <w:name w:val="List Bullet"/>
    <w:basedOn w:val="Normal"/>
    <w:uiPriority w:val="99"/>
    <w:semiHidden/>
    <w:unhideWhenUsed/>
    <w:pPr>
      <w:tabs>
        <w:tab w:val="num" w:pos="360"/>
      </w:tabs>
      <w:spacing w:before="120" w:after="120"/>
      <w:ind w:left="360" w:hanging="360"/>
      <w:contextualSpacing/>
      <w:jc w:val="both"/>
    </w:pPr>
    <w:rPr>
      <w:sz w:val="24"/>
    </w:rPr>
  </w:style>
  <w:style w:type="paragraph" w:styleId="ListBullet2">
    <w:name w:val="List Bullet 2"/>
    <w:basedOn w:val="Normal"/>
    <w:unhideWhenUsed/>
    <w:pPr>
      <w:tabs>
        <w:tab w:val="num" w:pos="643"/>
      </w:tabs>
      <w:spacing w:before="120" w:after="120"/>
      <w:ind w:left="643" w:hanging="360"/>
      <w:contextualSpacing/>
      <w:jc w:val="both"/>
    </w:pPr>
    <w:rPr>
      <w:sz w:val="24"/>
    </w:rPr>
  </w:style>
  <w:style w:type="paragraph" w:styleId="ListBullet3">
    <w:name w:val="List Bullet 3"/>
    <w:basedOn w:val="Normal"/>
    <w:uiPriority w:val="99"/>
    <w:semiHidden/>
    <w:unhideWhenUsed/>
    <w:pPr>
      <w:tabs>
        <w:tab w:val="num" w:pos="926"/>
      </w:tabs>
      <w:spacing w:before="120" w:after="120"/>
      <w:ind w:left="926" w:hanging="360"/>
      <w:contextualSpacing/>
      <w:jc w:val="both"/>
    </w:pPr>
    <w:rPr>
      <w:sz w:val="24"/>
    </w:rPr>
  </w:style>
  <w:style w:type="paragraph" w:styleId="ListBullet4">
    <w:name w:val="List Bullet 4"/>
    <w:basedOn w:val="Normal"/>
    <w:uiPriority w:val="99"/>
    <w:semiHidden/>
    <w:unhideWhenUsed/>
    <w:pPr>
      <w:tabs>
        <w:tab w:val="num" w:pos="1209"/>
      </w:tabs>
      <w:spacing w:before="120" w:after="120"/>
      <w:ind w:left="1209" w:hanging="360"/>
      <w:contextualSpacing/>
      <w:jc w:val="both"/>
    </w:pPr>
    <w:rPr>
      <w:sz w:val="24"/>
    </w:rPr>
  </w:style>
  <w:style w:type="table" w:styleId="LightShading-Accent5">
    <w:name w:val="Light Shading Accent 5"/>
    <w:basedOn w:val="TableNormal"/>
    <w:uiPriority w:val="60"/>
    <w:rPr>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paragraph" w:styleId="TableofFigures">
    <w:name w:val="table of figures"/>
    <w:basedOn w:val="Normal"/>
    <w:next w:val="Normal"/>
    <w:uiPriority w:val="99"/>
    <w:semiHidden/>
    <w:unhideWhenUsed/>
    <w:pPr>
      <w:spacing w:before="120"/>
      <w:jc w:val="both"/>
    </w:pPr>
    <w:rPr>
      <w:sz w:val="24"/>
    </w:rPr>
  </w:style>
  <w:style w:type="paragraph" w:styleId="ListNumber">
    <w:name w:val="List Number"/>
    <w:basedOn w:val="Normal"/>
    <w:uiPriority w:val="99"/>
    <w:semiHidden/>
    <w:unhideWhenUsed/>
    <w:pPr>
      <w:tabs>
        <w:tab w:val="num" w:pos="360"/>
      </w:tabs>
      <w:spacing w:before="120" w:after="120"/>
      <w:ind w:left="360" w:hanging="360"/>
      <w:contextualSpacing/>
      <w:jc w:val="both"/>
    </w:pPr>
    <w:rPr>
      <w:sz w:val="24"/>
    </w:rPr>
  </w:style>
  <w:style w:type="paragraph" w:styleId="ListNumber2">
    <w:name w:val="List Number 2"/>
    <w:basedOn w:val="Normal"/>
    <w:uiPriority w:val="99"/>
    <w:semiHidden/>
    <w:unhideWhenUsed/>
    <w:pPr>
      <w:tabs>
        <w:tab w:val="num" w:pos="643"/>
      </w:tabs>
      <w:spacing w:before="120" w:after="120"/>
      <w:ind w:left="643" w:hanging="360"/>
      <w:contextualSpacing/>
      <w:jc w:val="both"/>
    </w:pPr>
    <w:rPr>
      <w:sz w:val="24"/>
    </w:rPr>
  </w:style>
  <w:style w:type="paragraph" w:styleId="ListNumber3">
    <w:name w:val="List Number 3"/>
    <w:basedOn w:val="Normal"/>
    <w:uiPriority w:val="99"/>
    <w:semiHidden/>
    <w:unhideWhenUsed/>
    <w:pPr>
      <w:tabs>
        <w:tab w:val="num" w:pos="926"/>
      </w:tabs>
      <w:spacing w:before="120" w:after="120"/>
      <w:ind w:left="926" w:hanging="360"/>
      <w:contextualSpacing/>
      <w:jc w:val="both"/>
    </w:pPr>
    <w:rPr>
      <w:sz w:val="24"/>
    </w:rPr>
  </w:style>
  <w:style w:type="paragraph" w:styleId="ListNumber4">
    <w:name w:val="List Number 4"/>
    <w:basedOn w:val="Normal"/>
    <w:uiPriority w:val="99"/>
    <w:semiHidden/>
    <w:unhideWhenUsed/>
    <w:pPr>
      <w:tabs>
        <w:tab w:val="num" w:pos="1209"/>
      </w:tabs>
      <w:spacing w:before="120" w:after="120"/>
      <w:ind w:left="1209" w:hanging="360"/>
      <w:contextualSpacing/>
      <w:jc w:val="both"/>
    </w:pPr>
    <w:rPr>
      <w:sz w:val="24"/>
    </w:r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amprBodyText"/>
    <w:next w:val="Normal"/>
    <w:link w:val="BodyTextChar"/>
    <w:uiPriority w:val="89"/>
    <w:semiHidden/>
    <w:qFormat/>
  </w:style>
  <w:style w:type="character" w:customStyle="1" w:styleId="BodyTextChar">
    <w:name w:val="Body Text Char"/>
    <w:basedOn w:val="DefaultParagraphFont"/>
    <w:link w:val="BodyText"/>
    <w:uiPriority w:val="89"/>
    <w:semiHidden/>
    <w:rPr>
      <w:rFonts w:eastAsia="EC Square Sans Pro" w:cs="Times New Roman"/>
      <w:szCs w:val="21"/>
      <w:lang w:val="ro-RO" w:eastAsia="zh-CN"/>
    </w:rPr>
  </w:style>
  <w:style w:type="paragraph" w:customStyle="1" w:styleId="Quotes">
    <w:name w:val="Quotes"/>
    <w:basedOn w:val="Normal"/>
    <w:link w:val="QuotesChar"/>
    <w:qFormat/>
    <w:pPr>
      <w:ind w:left="851" w:right="851"/>
      <w:jc w:val="center"/>
    </w:pPr>
    <w:rPr>
      <w:rFonts w:eastAsia="Calibri"/>
      <w:i/>
      <w:color w:val="003399" w:themeColor="text2"/>
      <w:sz w:val="28"/>
      <w:lang w:eastAsia="zh-CN"/>
    </w:rPr>
  </w:style>
  <w:style w:type="character" w:customStyle="1" w:styleId="QuotesChar">
    <w:name w:val="Quotes Char"/>
    <w:basedOn w:val="DefaultParagraphFont"/>
    <w:link w:val="Quotes"/>
    <w:rPr>
      <w:rFonts w:eastAsia="Calibri"/>
      <w:i/>
      <w:color w:val="003399" w:themeColor="text2"/>
      <w:sz w:val="28"/>
      <w:lang w:val="ro-RO" w:eastAsia="zh-CN"/>
    </w:rPr>
  </w:style>
  <w:style w:type="paragraph" w:styleId="TOC1">
    <w:name w:val="toc 1"/>
    <w:basedOn w:val="Normal"/>
    <w:next w:val="Normal"/>
    <w:autoRedefine/>
    <w:uiPriority w:val="39"/>
    <w:unhideWhenUsed/>
    <w:qFormat/>
    <w:rsid w:val="006B431C"/>
    <w:pPr>
      <w:tabs>
        <w:tab w:val="right" w:leader="dot" w:pos="9072"/>
      </w:tabs>
      <w:spacing w:before="120" w:after="120"/>
      <w:jc w:val="both"/>
    </w:pPr>
    <w:rPr>
      <w:b/>
      <w:caps/>
    </w:rPr>
  </w:style>
  <w:style w:type="character" w:styleId="FollowedHyperlink">
    <w:name w:val="FollowedHyperlink"/>
    <w:basedOn w:val="DefaultParagraphFont"/>
    <w:uiPriority w:val="99"/>
    <w:semiHidden/>
    <w:unhideWhenUsed/>
    <w:rPr>
      <w:rFonts w:ascii="EC Square Sans Pro" w:hAnsi="EC Square Sans Pro"/>
      <w:color w:val="003399" w:themeColor="followedHyperlink"/>
      <w:u w:val="single"/>
      <w:lang w:val="ro-RO"/>
    </w:rPr>
  </w:style>
  <w:style w:type="table" w:styleId="MediumShading2-Accent1">
    <w:name w:val="Medium Shading 2 Accent 1"/>
    <w:basedOn w:val="TableNormal"/>
    <w:uiPriority w:val="64"/>
    <w:rPr>
      <w:rFonts w:ascii="Calibri" w:eastAsia="Calibri" w:hAnsi="Calibri" w:cs="Times New Roman"/>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008139" w:themeColor="accent1" w:shadow="1" w:frame="1"/>
        <w:left w:val="single" w:sz="2" w:space="10" w:color="008139" w:themeColor="accent1" w:shadow="1" w:frame="1"/>
        <w:bottom w:val="single" w:sz="2" w:space="10" w:color="008139" w:themeColor="accent1" w:shadow="1" w:frame="1"/>
        <w:right w:val="single" w:sz="2" w:space="10" w:color="008139" w:themeColor="accent1" w:shadow="1" w:frame="1"/>
      </w:pBdr>
      <w:ind w:left="1152" w:right="1152"/>
    </w:pPr>
    <w:rPr>
      <w:rFonts w:eastAsiaTheme="minorEastAsia"/>
      <w:i/>
      <w:iCs/>
      <w:color w:val="008139" w:themeColor="accent1"/>
    </w:rPr>
  </w:style>
  <w:style w:type="paragraph" w:styleId="BodyText2">
    <w:name w:val="Body Text 2"/>
    <w:basedOn w:val="amprBodyText"/>
    <w:link w:val="BodyText2Char"/>
    <w:uiPriority w:val="89"/>
    <w:semiHidden/>
  </w:style>
  <w:style w:type="character" w:customStyle="1" w:styleId="BodyText2Char">
    <w:name w:val="Body Text 2 Char"/>
    <w:basedOn w:val="DefaultParagraphFont"/>
    <w:link w:val="BodyText2"/>
    <w:uiPriority w:val="89"/>
    <w:semiHidden/>
    <w:rPr>
      <w:rFonts w:eastAsia="EC Square Sans Pro" w:cs="Times New Roman"/>
      <w:szCs w:val="21"/>
      <w:lang w:val="ro-RO" w:eastAsia="zh-CN"/>
    </w:rPr>
  </w:style>
  <w:style w:type="paragraph" w:styleId="BodyText3">
    <w:name w:val="Body Text 3"/>
    <w:basedOn w:val="amprBodyText"/>
    <w:link w:val="BodyText3Char"/>
    <w:uiPriority w:val="89"/>
    <w:semiHidden/>
  </w:style>
  <w:style w:type="character" w:customStyle="1" w:styleId="BodyText3Char">
    <w:name w:val="Body Text 3 Char"/>
    <w:basedOn w:val="DefaultParagraphFont"/>
    <w:link w:val="BodyText3"/>
    <w:uiPriority w:val="89"/>
    <w:semiHidden/>
    <w:rPr>
      <w:rFonts w:eastAsia="EC Square Sans Pro" w:cs="Times New Roman"/>
      <w:szCs w:val="21"/>
      <w:lang w:val="ro-RO" w:eastAsia="zh-CN"/>
    </w:rPr>
  </w:style>
  <w:style w:type="paragraph" w:styleId="BodyTextFirstIndent">
    <w:name w:val="Body Text First Indent"/>
    <w:basedOn w:val="BodyText"/>
    <w:link w:val="BodyTextFirstIndentChar"/>
    <w:uiPriority w:val="99"/>
    <w:semiHidden/>
    <w:unhideWhenUsed/>
    <w:pPr>
      <w:ind w:firstLine="360"/>
    </w:pPr>
  </w:style>
  <w:style w:type="character" w:customStyle="1" w:styleId="BodyTextFirstIndentChar">
    <w:name w:val="Body Text First Indent Char"/>
    <w:basedOn w:val="BodyTextChar"/>
    <w:link w:val="BodyTextFirstIndent"/>
    <w:uiPriority w:val="99"/>
    <w:semiHidden/>
    <w:rPr>
      <w:rFonts w:eastAsia="EC Square Sans Pro" w:cs="Times New Roman"/>
      <w:color w:val="000000" w:themeColor="text1"/>
      <w:szCs w:val="21"/>
      <w:lang w:val="ro-RO" w:eastAsia="zh-CN"/>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lang w:val="ro-RO"/>
    </w:rPr>
  </w:style>
  <w:style w:type="paragraph" w:styleId="BodyTextFirstIndent2">
    <w:name w:val="Body Text First Indent 2"/>
    <w:basedOn w:val="BodyTextIndent"/>
    <w:link w:val="BodyTextFirstIndent2Char"/>
    <w:uiPriority w:val="99"/>
    <w:semiHidden/>
    <w:unhideWhenUsed/>
    <w:pPr>
      <w:spacing w:after="0"/>
      <w:ind w:left="360" w:firstLine="360"/>
    </w:pPr>
  </w:style>
  <w:style w:type="character" w:customStyle="1" w:styleId="BodyTextFirstIndent2Char">
    <w:name w:val="Body Text First Indent 2 Char"/>
    <w:basedOn w:val="BodyTextIndentChar"/>
    <w:link w:val="BodyTextFirstIndent2"/>
    <w:uiPriority w:val="99"/>
    <w:semiHidden/>
    <w:rPr>
      <w:lang w:val="ro-RO"/>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lang w:val="ro-RO"/>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sz w:val="16"/>
      <w:szCs w:val="16"/>
      <w:lang w:val="ro-RO"/>
    </w:rPr>
  </w:style>
  <w:style w:type="paragraph" w:styleId="Closing">
    <w:name w:val="Closing"/>
    <w:basedOn w:val="Normal"/>
    <w:link w:val="ClosingChar"/>
    <w:uiPriority w:val="99"/>
    <w:semiHidden/>
    <w:unhideWhenUsed/>
    <w:pPr>
      <w:ind w:left="4252"/>
    </w:pPr>
  </w:style>
  <w:style w:type="character" w:customStyle="1" w:styleId="ClosingChar">
    <w:name w:val="Closing Char"/>
    <w:basedOn w:val="DefaultParagraphFont"/>
    <w:link w:val="Closing"/>
    <w:uiPriority w:val="99"/>
    <w:semiHidden/>
    <w:rPr>
      <w:lang w:val="ro-RO"/>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lang w:val="ro-RO"/>
    </w:rPr>
  </w:style>
  <w:style w:type="paragraph" w:styleId="DocumentMap">
    <w:name w:val="Document Map"/>
    <w:basedOn w:val="Normal"/>
    <w:link w:val="DocumentMapChar"/>
    <w:semiHidden/>
    <w:unhideWhenUsed/>
    <w:rPr>
      <w:rFonts w:cs="Tahoma"/>
      <w:sz w:val="16"/>
      <w:szCs w:val="16"/>
    </w:rPr>
  </w:style>
  <w:style w:type="character" w:customStyle="1" w:styleId="DocumentMapChar">
    <w:name w:val="Document Map Char"/>
    <w:basedOn w:val="DefaultParagraphFont"/>
    <w:link w:val="DocumentMap"/>
    <w:semiHidden/>
    <w:rPr>
      <w:rFonts w:cs="Tahoma"/>
      <w:sz w:val="16"/>
      <w:szCs w:val="16"/>
      <w:lang w:val="ro-RO"/>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lang w:val="ro-RO"/>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9"/>
    <w:semiHidden/>
    <w:unhideWhenUsed/>
    <w:rPr>
      <w:rFonts w:eastAsiaTheme="majorEastAsia" w:cstheme="majorBidi"/>
    </w:rPr>
  </w:style>
  <w:style w:type="character" w:styleId="HTMLAcronym">
    <w:name w:val="HTML Acronym"/>
    <w:basedOn w:val="DefaultParagraphFont"/>
    <w:uiPriority w:val="99"/>
    <w:semiHidden/>
    <w:unhideWhenUsed/>
    <w:rPr>
      <w:rFonts w:ascii="EC Square Sans Pro" w:hAnsi="EC Square Sans Pro"/>
      <w:lang w:val="ro-RO"/>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lang w:val="ro-RO"/>
    </w:rPr>
  </w:style>
  <w:style w:type="character" w:styleId="HTMLCite">
    <w:name w:val="HTML Cite"/>
    <w:basedOn w:val="DefaultParagraphFont"/>
    <w:uiPriority w:val="99"/>
    <w:semiHidden/>
    <w:unhideWhenUsed/>
    <w:rPr>
      <w:rFonts w:ascii="EC Square Sans Pro" w:hAnsi="EC Square Sans Pro"/>
      <w:i/>
      <w:iCs/>
      <w:lang w:val="ro-RO"/>
    </w:rPr>
  </w:style>
  <w:style w:type="character" w:styleId="HTMLCode">
    <w:name w:val="HTML Code"/>
    <w:basedOn w:val="DefaultParagraphFont"/>
    <w:uiPriority w:val="99"/>
    <w:semiHidden/>
    <w:unhideWhenUsed/>
    <w:rPr>
      <w:rFonts w:ascii="EC Square Sans Pro" w:hAnsi="EC Square Sans Pro" w:cs="Consolas"/>
      <w:sz w:val="20"/>
      <w:szCs w:val="20"/>
      <w:lang w:val="ro-RO"/>
    </w:rPr>
  </w:style>
  <w:style w:type="character" w:styleId="HTMLDefinition">
    <w:name w:val="HTML Definition"/>
    <w:basedOn w:val="DefaultParagraphFont"/>
    <w:uiPriority w:val="99"/>
    <w:semiHidden/>
    <w:unhideWhenUsed/>
    <w:rPr>
      <w:rFonts w:ascii="EC Square Sans Pro" w:hAnsi="EC Square Sans Pro"/>
      <w:i/>
      <w:iCs/>
      <w:lang w:val="ro-RO"/>
    </w:rPr>
  </w:style>
  <w:style w:type="character" w:styleId="HTMLKeyboard">
    <w:name w:val="HTML Keyboard"/>
    <w:basedOn w:val="DefaultParagraphFont"/>
    <w:uiPriority w:val="99"/>
    <w:semiHidden/>
    <w:unhideWhenUsed/>
    <w:rPr>
      <w:rFonts w:ascii="EC Square Sans Pro" w:hAnsi="EC Square Sans Pro" w:cs="Consolas"/>
      <w:sz w:val="20"/>
      <w:szCs w:val="20"/>
      <w:lang w:val="ro-RO"/>
    </w:rPr>
  </w:style>
  <w:style w:type="paragraph" w:styleId="HTMLPreformatted">
    <w:name w:val="HTML Preformatted"/>
    <w:basedOn w:val="Normal"/>
    <w:link w:val="HTMLPreformattedChar"/>
    <w:uiPriority w:val="99"/>
    <w:semiHidden/>
    <w:unhideWhenUsed/>
    <w:rPr>
      <w:rFonts w:cs="Consolas"/>
    </w:rPr>
  </w:style>
  <w:style w:type="character" w:customStyle="1" w:styleId="HTMLPreformattedChar">
    <w:name w:val="HTML Preformatted Char"/>
    <w:basedOn w:val="DefaultParagraphFont"/>
    <w:link w:val="HTMLPreformatted"/>
    <w:uiPriority w:val="99"/>
    <w:semiHidden/>
    <w:rPr>
      <w:rFonts w:cs="Consolas"/>
      <w:lang w:val="ro-RO"/>
    </w:rPr>
  </w:style>
  <w:style w:type="character" w:styleId="HTMLSample">
    <w:name w:val="HTML Sample"/>
    <w:basedOn w:val="DefaultParagraphFont"/>
    <w:uiPriority w:val="99"/>
    <w:semiHidden/>
    <w:unhideWhenUsed/>
    <w:rPr>
      <w:rFonts w:ascii="EC Square Sans Pro" w:hAnsi="EC Square Sans Pro" w:cs="Consolas"/>
      <w:sz w:val="24"/>
      <w:szCs w:val="24"/>
      <w:lang w:val="ro-RO"/>
    </w:rPr>
  </w:style>
  <w:style w:type="character" w:styleId="HTMLTypewriter">
    <w:name w:val="HTML Typewriter"/>
    <w:basedOn w:val="DefaultParagraphFont"/>
    <w:uiPriority w:val="99"/>
    <w:semiHidden/>
    <w:unhideWhenUsed/>
    <w:rPr>
      <w:rFonts w:ascii="EC Square Sans Pro" w:hAnsi="EC Square Sans Pro" w:cs="Consolas"/>
      <w:sz w:val="20"/>
      <w:szCs w:val="20"/>
      <w:lang w:val="ro-RO"/>
    </w:rPr>
  </w:style>
  <w:style w:type="character" w:styleId="HTMLVariable">
    <w:name w:val="HTML Variable"/>
    <w:basedOn w:val="DefaultParagraphFont"/>
    <w:uiPriority w:val="99"/>
    <w:semiHidden/>
    <w:unhideWhenUsed/>
    <w:rPr>
      <w:rFonts w:ascii="EC Square Sans Pro" w:hAnsi="EC Square Sans Pro"/>
      <w:i/>
      <w:iCs/>
      <w:lang w:val="ro-RO"/>
    </w:rPr>
  </w:style>
  <w:style w:type="paragraph" w:styleId="Index1">
    <w:name w:val="index 1"/>
    <w:basedOn w:val="Normal"/>
    <w:next w:val="Normal"/>
    <w:autoRedefine/>
    <w:uiPriority w:val="99"/>
    <w:semiHidden/>
    <w:unhideWhenUsed/>
    <w:pPr>
      <w:ind w:left="200" w:hanging="200"/>
    </w:pPr>
  </w:style>
  <w:style w:type="paragraph" w:styleId="Index2">
    <w:name w:val="index 2"/>
    <w:basedOn w:val="Normal"/>
    <w:next w:val="Normal"/>
    <w:autoRedefine/>
    <w:uiPriority w:val="99"/>
    <w:semiHidden/>
    <w:unhideWhenUsed/>
    <w:pPr>
      <w:ind w:left="400" w:hanging="200"/>
    </w:pPr>
  </w:style>
  <w:style w:type="paragraph" w:styleId="Index3">
    <w:name w:val="index 3"/>
    <w:basedOn w:val="Normal"/>
    <w:next w:val="Normal"/>
    <w:autoRedefine/>
    <w:uiPriority w:val="99"/>
    <w:semiHidden/>
    <w:unhideWhenUsed/>
    <w:pPr>
      <w:ind w:left="600" w:hanging="200"/>
    </w:pPr>
  </w:style>
  <w:style w:type="paragraph" w:styleId="Index4">
    <w:name w:val="index 4"/>
    <w:basedOn w:val="Normal"/>
    <w:next w:val="Normal"/>
    <w:autoRedefine/>
    <w:uiPriority w:val="99"/>
    <w:semiHidden/>
    <w:unhideWhenUsed/>
    <w:pPr>
      <w:ind w:left="800" w:hanging="200"/>
    </w:pPr>
  </w:style>
  <w:style w:type="paragraph" w:styleId="Index5">
    <w:name w:val="index 5"/>
    <w:basedOn w:val="Normal"/>
    <w:next w:val="Normal"/>
    <w:autoRedefine/>
    <w:uiPriority w:val="99"/>
    <w:semiHidden/>
    <w:unhideWhenUsed/>
    <w:pPr>
      <w:ind w:left="1000" w:hanging="200"/>
    </w:pPr>
  </w:style>
  <w:style w:type="paragraph" w:styleId="Index6">
    <w:name w:val="index 6"/>
    <w:basedOn w:val="Normal"/>
    <w:next w:val="Normal"/>
    <w:autoRedefine/>
    <w:uiPriority w:val="99"/>
    <w:semiHidden/>
    <w:unhideWhenUsed/>
    <w:pPr>
      <w:ind w:left="1200" w:hanging="200"/>
    </w:pPr>
  </w:style>
  <w:style w:type="paragraph" w:styleId="Index7">
    <w:name w:val="index 7"/>
    <w:basedOn w:val="Normal"/>
    <w:next w:val="Normal"/>
    <w:autoRedefine/>
    <w:uiPriority w:val="99"/>
    <w:semiHidden/>
    <w:unhideWhenUsed/>
    <w:pPr>
      <w:ind w:left="1400" w:hanging="200"/>
    </w:pPr>
  </w:style>
  <w:style w:type="paragraph" w:styleId="Index8">
    <w:name w:val="index 8"/>
    <w:basedOn w:val="Normal"/>
    <w:next w:val="Normal"/>
    <w:autoRedefine/>
    <w:uiPriority w:val="99"/>
    <w:semiHidden/>
    <w:unhideWhenUsed/>
    <w:pPr>
      <w:ind w:left="1600" w:hanging="200"/>
    </w:pPr>
  </w:style>
  <w:style w:type="paragraph" w:styleId="Index9">
    <w:name w:val="index 9"/>
    <w:basedOn w:val="Normal"/>
    <w:next w:val="Normal"/>
    <w:autoRedefine/>
    <w:uiPriority w:val="99"/>
    <w:semiHidden/>
    <w:unhideWhenUsed/>
    <w:pPr>
      <w:ind w:left="1800" w:hanging="200"/>
    </w:pPr>
  </w:style>
  <w:style w:type="paragraph" w:styleId="IndexHeading">
    <w:name w:val="index heading"/>
    <w:basedOn w:val="Normal"/>
    <w:next w:val="Index1"/>
    <w:uiPriority w:val="99"/>
    <w:semiHidden/>
    <w:unhideWhenUsed/>
    <w:rPr>
      <w:rFonts w:eastAsiaTheme="majorEastAsia" w:cstheme="majorBidi"/>
      <w:b/>
      <w:bCs/>
    </w:rPr>
  </w:style>
  <w:style w:type="character" w:styleId="LineNumber">
    <w:name w:val="line number"/>
    <w:basedOn w:val="DefaultParagraphFont"/>
    <w:uiPriority w:val="99"/>
    <w:semiHidden/>
    <w:unhideWhenUsed/>
    <w:rPr>
      <w:rFonts w:ascii="EC Square Sans Pro" w:hAnsi="EC Square Sans Pro"/>
      <w:lang w:val="ro-RO"/>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5">
    <w:name w:val="List Bullet 5"/>
    <w:basedOn w:val="Normal"/>
    <w:uiPriority w:val="99"/>
    <w:semiHidden/>
    <w:unhideWhenUsed/>
    <w:pPr>
      <w:numPr>
        <w:numId w:val="1"/>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5">
    <w:name w:val="List Number 5"/>
    <w:basedOn w:val="Normal"/>
    <w:uiPriority w:val="99"/>
    <w:semiHidden/>
    <w:unhideWhenUsed/>
    <w:pPr>
      <w:numPr>
        <w:numId w:val="2"/>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cs="Consolas"/>
    </w:rPr>
  </w:style>
  <w:style w:type="character" w:customStyle="1" w:styleId="MacroTextChar">
    <w:name w:val="Macro Text Char"/>
    <w:basedOn w:val="DefaultParagraphFont"/>
    <w:link w:val="MacroText"/>
    <w:uiPriority w:val="99"/>
    <w:semiHidden/>
    <w:rPr>
      <w:rFonts w:cs="Consolas"/>
      <w:lang w:val="ro-RO"/>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Pr>
      <w:rFonts w:eastAsiaTheme="majorEastAsia" w:cstheme="majorBidi"/>
      <w:sz w:val="24"/>
      <w:szCs w:val="24"/>
      <w:shd w:val="pct20" w:color="auto" w:fill="auto"/>
      <w:lang w:val="ro-RO"/>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lang w:val="ro-RO"/>
    </w:rPr>
  </w:style>
  <w:style w:type="character" w:styleId="PageNumber">
    <w:name w:val="page number"/>
    <w:basedOn w:val="DefaultParagraphFont"/>
    <w:unhideWhenUsed/>
    <w:rPr>
      <w:rFonts w:ascii="EC Square Sans Pro" w:hAnsi="EC Square Sans Pro"/>
      <w:lang w:val="ro-RO"/>
    </w:rPr>
  </w:style>
  <w:style w:type="character" w:styleId="PlaceholderText">
    <w:name w:val="Placeholder Text"/>
    <w:basedOn w:val="DefaultParagraphFont"/>
    <w:uiPriority w:val="99"/>
    <w:semiHidden/>
    <w:rPr>
      <w:rFonts w:ascii="EC Square Sans Pro" w:hAnsi="EC Square Sans Pro"/>
      <w:color w:val="808080"/>
      <w:lang w:val="ro-RO"/>
    </w:rPr>
  </w:style>
  <w:style w:type="paragraph" w:styleId="PlainText">
    <w:name w:val="Plain Text"/>
    <w:basedOn w:val="Normal"/>
    <w:link w:val="PlainTextChar"/>
    <w:uiPriority w:val="99"/>
    <w:semiHidden/>
    <w:unhideWhenUsed/>
    <w:rPr>
      <w:rFonts w:cs="Consolas"/>
      <w:sz w:val="21"/>
      <w:szCs w:val="21"/>
    </w:rPr>
  </w:style>
  <w:style w:type="character" w:customStyle="1" w:styleId="PlainTextChar">
    <w:name w:val="Plain Text Char"/>
    <w:basedOn w:val="DefaultParagraphFont"/>
    <w:link w:val="PlainText"/>
    <w:uiPriority w:val="99"/>
    <w:semiHidden/>
    <w:rPr>
      <w:rFonts w:cs="Consolas"/>
      <w:sz w:val="21"/>
      <w:szCs w:val="21"/>
      <w:lang w:val="ro-RO"/>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lang w:val="ro-RO"/>
    </w:rPr>
  </w:style>
  <w:style w:type="paragraph" w:styleId="Signature">
    <w:name w:val="Signature"/>
    <w:link w:val="SignatureChar"/>
    <w:uiPriority w:val="99"/>
    <w:pPr>
      <w:spacing w:before="400"/>
      <w:contextualSpacing/>
    </w:pPr>
    <w:rPr>
      <w:sz w:val="22"/>
      <w:szCs w:val="22"/>
    </w:rPr>
  </w:style>
  <w:style w:type="character" w:customStyle="1" w:styleId="SignatureChar">
    <w:name w:val="Signature Char"/>
    <w:basedOn w:val="DefaultParagraphFont"/>
    <w:link w:val="Signature"/>
    <w:uiPriority w:val="99"/>
    <w:rPr>
      <w:sz w:val="22"/>
      <w:szCs w:val="22"/>
      <w:lang w:val="ro-RO"/>
    </w:rPr>
  </w:style>
  <w:style w:type="paragraph" w:styleId="TableofAuthorities">
    <w:name w:val="table of authorities"/>
    <w:basedOn w:val="Normal"/>
    <w:next w:val="Normal"/>
    <w:uiPriority w:val="99"/>
    <w:semiHidden/>
    <w:unhideWhenUsed/>
    <w:pPr>
      <w:ind w:left="200" w:hanging="200"/>
    </w:pPr>
  </w:style>
  <w:style w:type="paragraph" w:styleId="TOAHeading">
    <w:name w:val="toa heading"/>
    <w:basedOn w:val="amprH1TITLE-noTOC"/>
    <w:next w:val="Normal"/>
    <w:uiPriority w:val="99"/>
    <w:semiHidden/>
    <w:unhideWhenUsed/>
  </w:style>
  <w:style w:type="character" w:customStyle="1" w:styleId="BOLDBLUE">
    <w:name w:val="BOLD BLUE"/>
    <w:basedOn w:val="BodyTextChar"/>
    <w:uiPriority w:val="40"/>
    <w:semiHidden/>
    <w:qFormat/>
    <w:rPr>
      <w:rFonts w:eastAsia="EC Square Sans Pro" w:cs="Times New Roman"/>
      <w:b/>
      <w:color w:val="003399" w:themeColor="text2"/>
      <w:szCs w:val="21"/>
      <w:lang w:val="ro-RO" w:eastAsia="fr-BE"/>
    </w:rPr>
  </w:style>
  <w:style w:type="table" w:styleId="ListTable2-Accent2">
    <w:name w:val="List Table 2 Accent 2"/>
    <w:basedOn w:val="TableNormal"/>
    <w:uiPriority w:val="47"/>
    <w:pPr>
      <w:spacing w:after="0" w:line="240" w:lineRule="auto"/>
    </w:p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paragraph" w:styleId="Header">
    <w:name w:val="header"/>
    <w:basedOn w:val="amprHeader-Right"/>
    <w:link w:val="HeaderChar"/>
    <w:unhideWhenUsed/>
  </w:style>
  <w:style w:type="character" w:customStyle="1" w:styleId="HeaderChar">
    <w:name w:val="Header Char"/>
    <w:basedOn w:val="DefaultParagraphFont"/>
    <w:link w:val="Header"/>
    <w:rPr>
      <w:rFonts w:eastAsia="EC Square Sans Pro" w:cs="Times New Roman"/>
      <w:color w:val="767676"/>
      <w:szCs w:val="21"/>
      <w:lang w:val="ro-RO" w:eastAsia="zh-CN"/>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sz w:val="24"/>
      <w:szCs w:val="24"/>
      <w:lang w:eastAsia="en-GB"/>
    </w:rPr>
  </w:style>
  <w:style w:type="paragraph" w:styleId="FootnoteText">
    <w:name w:val="footnote text"/>
    <w:aliases w:val="fn,footnote text,footnote text Char Char,Car,Footnote Text Char2 Char,Footnote Text Char Char Char1,Footnote Text Char1 Char Char Char,Footnote Text Char2 Char Char Char Char,Footnote Text Char1 Char1 Char Char Char Char,Car Car Ca"/>
    <w:basedOn w:val="BASE-STYLE-TEXT"/>
    <w:link w:val="FootnoteTextChar"/>
    <w:uiPriority w:val="99"/>
    <w:unhideWhenUsed/>
    <w:qFormat/>
    <w:pPr>
      <w:spacing w:after="0" w:line="240" w:lineRule="auto"/>
      <w:ind w:left="357" w:hanging="357"/>
      <w:jc w:val="left"/>
    </w:pPr>
    <w:rPr>
      <w:sz w:val="20"/>
      <w:szCs w:val="20"/>
    </w:rPr>
  </w:style>
  <w:style w:type="character" w:customStyle="1" w:styleId="FootnoteTextChar">
    <w:name w:val="Footnote Text Char"/>
    <w:aliases w:val="fn Char,footnote text Char,footnote text Char Char Char,Car Char,Footnote Text Char2 Char Char,Footnote Text Char Char Char1 Char,Footnote Text Char1 Char Char Char Char,Footnote Text Char2 Char Char Char Char Char,Car Car Ca Char"/>
    <w:basedOn w:val="DefaultParagraphFont"/>
    <w:link w:val="FootnoteText"/>
    <w:uiPriority w:val="99"/>
    <w:qFormat/>
    <w:rPr>
      <w:rFonts w:eastAsia="EC Square Sans Pro" w:cs="Times New Roman"/>
      <w:color w:val="000000" w:themeColor="text1"/>
      <w:lang w:val="ro-RO" w:eastAsia="zh-CN"/>
    </w:rPr>
  </w:style>
  <w:style w:type="paragraph" w:customStyle="1" w:styleId="amprTable-ChartSOURCEandPhotoCAPTION">
    <w:name w:val="[ampr] Table-Chart SOURCE and Photo CAPTION"/>
    <w:next w:val="amprBodyText"/>
    <w:uiPriority w:val="2"/>
    <w:qFormat/>
    <w:pPr>
      <w:spacing w:before="40"/>
      <w:contextualSpacing/>
    </w:pPr>
    <w:rPr>
      <w:rFonts w:eastAsia="Calibri"/>
      <w:iCs/>
      <w:noProof/>
      <w:sz w:val="16"/>
      <w:szCs w:val="16"/>
      <w:lang w:eastAsia="fr-BE"/>
    </w:rPr>
  </w:style>
  <w:style w:type="table" w:customStyle="1" w:styleId="AMPR2021">
    <w:name w:val="AMPR_2021"/>
    <w:basedOn w:val="TableNormal"/>
    <w:uiPriority w:val="99"/>
    <w:pPr>
      <w:spacing w:before="100" w:after="100"/>
    </w:pPr>
    <w:tblPr>
      <w:tblStyleRowBandSize w:val="1"/>
      <w:tblStyleColBandSize w:val="1"/>
      <w:tblBorders>
        <w:top w:val="single" w:sz="4" w:space="0" w:color="8C8C8C"/>
        <w:bottom w:val="single" w:sz="4" w:space="0" w:color="8C8C8C"/>
        <w:insideH w:val="single" w:sz="4" w:space="0" w:color="8C8C8C"/>
      </w:tblBorders>
    </w:tblPr>
    <w:trPr>
      <w:cantSplit/>
    </w:trPr>
    <w:tblStylePr w:type="firstRow">
      <w:pPr>
        <w:wordWrap/>
        <w:jc w:val="center"/>
      </w:pPr>
      <w:rPr>
        <w:b/>
        <w:color w:val="FFFFFF" w:themeColor="background1"/>
      </w:rPr>
      <w:tblPr/>
      <w:tcPr>
        <w:tcBorders>
          <w:top w:val="nil"/>
          <w:left w:val="nil"/>
          <w:bottom w:val="nil"/>
          <w:right w:val="nil"/>
          <w:insideH w:val="nil"/>
          <w:insideV w:val="nil"/>
          <w:tl2br w:val="nil"/>
          <w:tr2bl w:val="nil"/>
        </w:tcBorders>
        <w:shd w:val="clear" w:color="auto" w:fill="003399" w:themeFill="text2"/>
      </w:tcPr>
    </w:tblStylePr>
    <w:tblStylePr w:type="lastRow">
      <w:rPr>
        <w:b/>
        <w:color w:val="003399" w:themeColor="text2"/>
      </w:rPr>
      <w:tblPr/>
      <w:tcPr>
        <w:tcBorders>
          <w:bottom w:val="nil"/>
        </w:tcBorders>
        <w:shd w:val="clear" w:color="auto" w:fill="FFFFFF" w:themeFill="background1"/>
      </w:tcPr>
    </w:tblStylePr>
    <w:tblStylePr w:type="firstCol">
      <w:pPr>
        <w:wordWrap/>
        <w:spacing w:beforeLines="0" w:before="100" w:beforeAutospacing="0" w:afterLines="0" w:after="100" w:afterAutospacing="0" w:line="22" w:lineRule="atLeast"/>
        <w:contextualSpacing w:val="0"/>
        <w:jc w:val="left"/>
      </w:pPr>
      <w:rPr>
        <w:b/>
        <w:i w:val="0"/>
        <w:color w:val="008139" w:themeColor="accent1"/>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numbering" w:customStyle="1" w:styleId="Style1">
    <w:name w:val="Style1"/>
    <w:uiPriority w:val="99"/>
    <w:pPr>
      <w:numPr>
        <w:numId w:val="3"/>
      </w:numPr>
    </w:pPr>
  </w:style>
  <w:style w:type="paragraph" w:styleId="Caption">
    <w:name w:val="caption"/>
    <w:basedOn w:val="Normal"/>
    <w:next w:val="Normal"/>
    <w:link w:val="CaptionChar"/>
    <w:unhideWhenUsed/>
    <w:qFormat/>
    <w:pPr>
      <w:spacing w:before="0" w:after="200"/>
    </w:pPr>
    <w:rPr>
      <w:i/>
      <w:iCs/>
      <w:color w:val="003399" w:themeColor="text2"/>
      <w:sz w:val="18"/>
      <w:szCs w:val="18"/>
    </w:rPr>
  </w:style>
  <w:style w:type="paragraph" w:styleId="CommentText">
    <w:name w:val="annotation text"/>
    <w:basedOn w:val="Normal"/>
    <w:link w:val="CommentTextChar"/>
    <w:uiPriority w:val="99"/>
    <w:unhideWhenUsed/>
    <w:qFormat/>
  </w:style>
  <w:style w:type="character" w:customStyle="1" w:styleId="CommentTextChar">
    <w:name w:val="Comment Text Char"/>
    <w:basedOn w:val="DefaultParagraphFont"/>
    <w:link w:val="CommentText"/>
    <w:uiPriority w:val="99"/>
    <w:rPr>
      <w:lang w:val="ro-RO"/>
    </w:rPr>
  </w:style>
  <w:style w:type="paragraph" w:styleId="IntenseQuote">
    <w:name w:val="Intense Quote"/>
    <w:basedOn w:val="Normal"/>
    <w:next w:val="Normal"/>
    <w:link w:val="IntenseQuoteChar"/>
    <w:uiPriority w:val="30"/>
    <w:semiHidden/>
    <w:pPr>
      <w:keepLines/>
      <w:pBdr>
        <w:top w:val="single" w:sz="4" w:space="10" w:color="008139" w:themeColor="accent1"/>
        <w:bottom w:val="single" w:sz="4" w:space="10" w:color="008139" w:themeColor="accent1"/>
      </w:pBdr>
      <w:spacing w:before="360" w:after="360"/>
      <w:ind w:left="851" w:right="851"/>
      <w:jc w:val="center"/>
    </w:pPr>
    <w:rPr>
      <w:i/>
      <w:iCs/>
      <w:color w:val="003399" w:themeColor="text2"/>
    </w:rPr>
  </w:style>
  <w:style w:type="character" w:customStyle="1" w:styleId="IntenseQuoteChar">
    <w:name w:val="Intense Quote Char"/>
    <w:basedOn w:val="DefaultParagraphFont"/>
    <w:link w:val="IntenseQuote"/>
    <w:uiPriority w:val="30"/>
    <w:rPr>
      <w:i/>
      <w:iCs/>
      <w:color w:val="003399" w:themeColor="text2"/>
      <w:lang w:val="ro-RO"/>
    </w:rPr>
  </w:style>
  <w:style w:type="paragraph" w:styleId="NoSpacing">
    <w:name w:val="No Spacing"/>
    <w:uiPriority w:val="1"/>
    <w:pPr>
      <w:spacing w:before="0" w:after="0"/>
    </w:pPr>
  </w:style>
  <w:style w:type="paragraph" w:customStyle="1" w:styleId="BASE-STYLE-TEXT">
    <w:name w:val="_BASE-STYLE-TEXT"/>
    <w:next w:val="Normal"/>
    <w:uiPriority w:val="40"/>
    <w:semiHidden/>
    <w:pPr>
      <w:spacing w:before="0" w:after="200"/>
      <w:jc w:val="both"/>
    </w:pPr>
    <w:rPr>
      <w:rFonts w:eastAsia="EC Square Sans Pro" w:cs="Times New Roman"/>
      <w:color w:val="000000" w:themeColor="text1"/>
      <w:sz w:val="18"/>
      <w:szCs w:val="21"/>
      <w:lang w:eastAsia="zh-CN"/>
    </w:rPr>
  </w:style>
  <w:style w:type="paragraph" w:customStyle="1" w:styleId="BASE-STYLE-HEADINGS">
    <w:name w:val="_BASE-STYLE-HEADINGS"/>
    <w:basedOn w:val="BASE-STYLE-TEXT"/>
    <w:next w:val="Normal"/>
    <w:uiPriority w:val="40"/>
    <w:semiHidden/>
  </w:style>
  <w:style w:type="paragraph" w:customStyle="1" w:styleId="amprboxBLUEtext">
    <w:name w:val="[ampr box BLUE] text"/>
    <w:basedOn w:val="BASE-STYLE-TEXT"/>
    <w:uiPriority w:val="5"/>
    <w:qFormat/>
    <w:pPr>
      <w:pBdr>
        <w:top w:val="single" w:sz="12" w:space="8" w:color="003399" w:themeColor="text2"/>
        <w:left w:val="single" w:sz="12" w:space="8" w:color="003399" w:themeColor="text2"/>
        <w:bottom w:val="single" w:sz="12" w:space="8" w:color="003399" w:themeColor="text2"/>
        <w:right w:val="single" w:sz="12" w:space="8" w:color="003399" w:themeColor="text2"/>
      </w:pBdr>
      <w:shd w:val="clear" w:color="auto" w:fill="003399" w:themeFill="text2"/>
      <w:spacing w:before="240" w:after="240"/>
    </w:pPr>
    <w:rPr>
      <w:color w:val="FFFFFF" w:themeColor="background1"/>
      <w:sz w:val="20"/>
      <w:lang w:eastAsia="fr-BE"/>
    </w:rPr>
  </w:style>
  <w:style w:type="paragraph" w:customStyle="1" w:styleId="amprboxGREENdashedbulletlist">
    <w:name w:val="[ampr box GREEN dashed] bullet list"/>
    <w:basedOn w:val="amprboxGREENdashedtext"/>
    <w:uiPriority w:val="5"/>
    <w:qFormat/>
    <w:pPr>
      <w:numPr>
        <w:numId w:val="7"/>
      </w:numPr>
      <w:spacing w:before="60" w:after="60"/>
      <w:ind w:left="357" w:hanging="357"/>
    </w:pPr>
  </w:style>
  <w:style w:type="paragraph" w:customStyle="1" w:styleId="amprboxGREENdashedheading">
    <w:name w:val="[ampr box GREEN dashed] heading"/>
    <w:basedOn w:val="amprboxGREENdashedtext"/>
    <w:next w:val="Normal"/>
    <w:uiPriority w:val="5"/>
    <w:qFormat/>
    <w:pPr>
      <w:keepNext/>
    </w:pPr>
    <w:rPr>
      <w:b/>
      <w:color w:val="008139" w:themeColor="accent1"/>
    </w:rPr>
  </w:style>
  <w:style w:type="paragraph" w:customStyle="1" w:styleId="amprboxGREENdashedtext">
    <w:name w:val="[ampr box GREEN dashed] text"/>
    <w:basedOn w:val="BASE-STYLE-TEXT"/>
    <w:uiPriority w:val="5"/>
    <w:qFormat/>
    <w:pPr>
      <w:keepLines/>
      <w:pBdr>
        <w:top w:val="dashSmallGap" w:sz="12" w:space="8" w:color="008139" w:themeColor="accent1"/>
        <w:left w:val="dashSmallGap" w:sz="12" w:space="8" w:color="008139" w:themeColor="accent1"/>
        <w:bottom w:val="dashSmallGap" w:sz="12" w:space="8" w:color="008139" w:themeColor="accent1"/>
        <w:right w:val="dashSmallGap" w:sz="12" w:space="8" w:color="008139" w:themeColor="accent1"/>
      </w:pBdr>
      <w:spacing w:before="240" w:after="240"/>
    </w:pPr>
    <w:rPr>
      <w:sz w:val="20"/>
      <w:lang w:eastAsia="fr-BE"/>
    </w:rPr>
  </w:style>
  <w:style w:type="character" w:customStyle="1" w:styleId="amprcharCharttitle">
    <w:name w:val="[ampr char] Chart title"/>
    <w:qFormat/>
    <w:rsid w:val="00B56BE7"/>
    <w:rPr>
      <w:b/>
      <w:color w:val="DE6002" w:themeColor="accent2"/>
      <w:spacing w:val="1"/>
      <w:bdr w:val="none" w:sz="0" w:space="0" w:color="auto"/>
      <w:shd w:val="clear" w:color="auto" w:fill="auto"/>
      <w:lang w:val="ro-RO"/>
    </w:rPr>
  </w:style>
  <w:style w:type="numbering" w:customStyle="1" w:styleId="amprLISTblackbullets">
    <w:name w:val="[ampr LIST black]  bullets"/>
    <w:uiPriority w:val="99"/>
    <w:pPr>
      <w:numPr>
        <w:numId w:val="4"/>
      </w:numPr>
    </w:pPr>
  </w:style>
  <w:style w:type="paragraph" w:customStyle="1" w:styleId="amprLISTblackbullets-L1">
    <w:name w:val="[ampr LIST black] bullets - L1"/>
    <w:basedOn w:val="BASE-STYLE-TEXT"/>
    <w:uiPriority w:val="5"/>
    <w:qFormat/>
    <w:pPr>
      <w:numPr>
        <w:numId w:val="5"/>
      </w:numPr>
      <w:spacing w:before="60" w:after="60"/>
    </w:pPr>
    <w:rPr>
      <w:sz w:val="20"/>
      <w:lang w:eastAsia="fr-BE"/>
    </w:rPr>
  </w:style>
  <w:style w:type="paragraph" w:customStyle="1" w:styleId="amprLISTblackbullets-L2">
    <w:name w:val="[ampr LIST black] bullets - L2"/>
    <w:basedOn w:val="BASE-STYLE-TEXT"/>
    <w:uiPriority w:val="5"/>
    <w:qFormat/>
    <w:pPr>
      <w:numPr>
        <w:ilvl w:val="1"/>
        <w:numId w:val="5"/>
      </w:numPr>
      <w:spacing w:before="60" w:after="60"/>
      <w:ind w:left="1434" w:hanging="357"/>
    </w:pPr>
    <w:rPr>
      <w:sz w:val="20"/>
      <w:lang w:eastAsia="fr-BE"/>
    </w:rPr>
  </w:style>
  <w:style w:type="numbering" w:customStyle="1" w:styleId="amprLISTgreenbullets">
    <w:name w:val="[ampr LIST green] bullets"/>
    <w:uiPriority w:val="99"/>
    <w:pPr>
      <w:numPr>
        <w:numId w:val="6"/>
      </w:numPr>
    </w:pPr>
  </w:style>
  <w:style w:type="paragraph" w:customStyle="1" w:styleId="amprLISTgreenbullets-L1">
    <w:name w:val="[ampr LIST green] bullets - L1"/>
    <w:basedOn w:val="BASE-STYLE-TEXT"/>
    <w:uiPriority w:val="5"/>
    <w:qFormat/>
    <w:pPr>
      <w:numPr>
        <w:numId w:val="11"/>
      </w:numPr>
      <w:spacing w:before="60" w:after="60"/>
    </w:pPr>
    <w:rPr>
      <w:sz w:val="20"/>
      <w:lang w:eastAsia="fr-BE"/>
    </w:rPr>
  </w:style>
  <w:style w:type="paragraph" w:customStyle="1" w:styleId="amprLISTgreenbullets-L1consecutiveparagraph">
    <w:name w:val="[ampr LIST green] bullets - L1 (consecutive paragraph)"/>
    <w:basedOn w:val="amprLISTgreenbullets-L1"/>
    <w:uiPriority w:val="5"/>
    <w:qFormat/>
    <w:pPr>
      <w:numPr>
        <w:numId w:val="0"/>
      </w:numPr>
      <w:ind w:left="720"/>
    </w:pPr>
  </w:style>
  <w:style w:type="paragraph" w:customStyle="1" w:styleId="amprLISTgreenbullets-L2">
    <w:name w:val="[ampr LIST green] bullets - L2"/>
    <w:basedOn w:val="BASE-STYLE-TEXT"/>
    <w:uiPriority w:val="5"/>
    <w:qFormat/>
    <w:pPr>
      <w:numPr>
        <w:ilvl w:val="1"/>
        <w:numId w:val="11"/>
      </w:numPr>
      <w:spacing w:before="60" w:after="60"/>
      <w:ind w:left="1434" w:hanging="357"/>
    </w:pPr>
    <w:rPr>
      <w:sz w:val="20"/>
      <w:lang w:eastAsia="fr-BE"/>
    </w:rPr>
  </w:style>
  <w:style w:type="paragraph" w:customStyle="1" w:styleId="OPcomment">
    <w:name w:val="OP comment"/>
    <w:uiPriority w:val="89"/>
    <w:semiHidden/>
    <w:qFormat/>
    <w:pPr>
      <w:pBdr>
        <w:top w:val="single" w:sz="48" w:space="31" w:color="595959" w:themeColor="text1" w:themeTint="A6"/>
        <w:left w:val="single" w:sz="48" w:space="31" w:color="595959" w:themeColor="text1" w:themeTint="A6"/>
        <w:bottom w:val="single" w:sz="48" w:space="31" w:color="595959" w:themeColor="text1" w:themeTint="A6"/>
        <w:right w:val="single" w:sz="48" w:space="31" w:color="595959" w:themeColor="text1" w:themeTint="A6"/>
      </w:pBdr>
      <w:shd w:val="clear" w:color="auto" w:fill="595959" w:themeFill="text1" w:themeFillTint="A6"/>
      <w:spacing w:before="0" w:line="288" w:lineRule="auto"/>
      <w:ind w:left="-660" w:right="-680"/>
    </w:pPr>
    <w:rPr>
      <w:rFonts w:cs="Arial"/>
      <w:color w:val="FFFFFF"/>
      <w:sz w:val="24"/>
    </w:rPr>
  </w:style>
  <w:style w:type="paragraph" w:customStyle="1" w:styleId="amprBodyText">
    <w:name w:val="[ampr] Body Text"/>
    <w:basedOn w:val="BASE-STYLE-TEXT"/>
    <w:uiPriority w:val="1"/>
    <w:qFormat/>
    <w:pPr>
      <w:spacing w:before="240" w:after="240"/>
      <w:jc w:val="left"/>
    </w:pPr>
    <w:rPr>
      <w:color w:val="auto"/>
      <w:sz w:val="20"/>
    </w:rPr>
  </w:style>
  <w:style w:type="paragraph" w:customStyle="1" w:styleId="amprTable-ChartTITLE">
    <w:name w:val="[ampr] Table-Chart TITLE"/>
    <w:basedOn w:val="BASE-STYLE-TEXT"/>
    <w:next w:val="amprTable-ChartSOURCEandPhotoCAPTION"/>
    <w:uiPriority w:val="2"/>
    <w:qFormat/>
    <w:pPr>
      <w:spacing w:before="40" w:after="0" w:line="240" w:lineRule="auto"/>
      <w:jc w:val="left"/>
    </w:pPr>
    <w:rPr>
      <w:rFonts w:ascii="EC Square Sans Cond Pro Medium" w:eastAsia="Calibri" w:hAnsi="EC Square Sans Cond Pro Medium"/>
      <w:color w:val="auto"/>
      <w:sz w:val="16"/>
      <w:szCs w:val="16"/>
      <w:lang w:eastAsia="fr-BE"/>
    </w:rPr>
  </w:style>
  <w:style w:type="paragraph" w:customStyle="1" w:styleId="amprFooter-Left">
    <w:name w:val="[ampr] Footer - Left"/>
    <w:basedOn w:val="BASE-STYLE-TEXT"/>
    <w:next w:val="amprBodyText"/>
    <w:uiPriority w:val="10"/>
    <w:qFormat/>
    <w:pPr>
      <w:spacing w:after="0" w:line="240" w:lineRule="auto"/>
      <w:jc w:val="left"/>
    </w:pPr>
    <w:rPr>
      <w:color w:val="auto"/>
      <w:sz w:val="20"/>
    </w:rPr>
  </w:style>
  <w:style w:type="paragraph" w:customStyle="1" w:styleId="amprFooter-Right">
    <w:name w:val="[ampr] Footer - Right"/>
    <w:basedOn w:val="BASE-STYLE-TEXT"/>
    <w:next w:val="amprBodyText"/>
    <w:uiPriority w:val="10"/>
    <w:qFormat/>
    <w:pPr>
      <w:spacing w:after="0" w:line="240" w:lineRule="auto"/>
      <w:jc w:val="right"/>
    </w:pPr>
    <w:rPr>
      <w:color w:val="auto"/>
      <w:sz w:val="20"/>
    </w:rPr>
  </w:style>
  <w:style w:type="paragraph" w:customStyle="1" w:styleId="amprHeader-Left">
    <w:name w:val="[ampr] Header - Left"/>
    <w:basedOn w:val="BASE-STYLE-TEXT"/>
    <w:next w:val="amprBodyText"/>
    <w:uiPriority w:val="10"/>
    <w:qFormat/>
    <w:pPr>
      <w:spacing w:after="0" w:line="240" w:lineRule="auto"/>
      <w:jc w:val="left"/>
    </w:pPr>
    <w:rPr>
      <w:color w:val="767676"/>
      <w:sz w:val="20"/>
    </w:rPr>
  </w:style>
  <w:style w:type="paragraph" w:customStyle="1" w:styleId="amprHeader-Right">
    <w:name w:val="[ampr] Header - Right"/>
    <w:basedOn w:val="BASE-STYLE-TEXT"/>
    <w:next w:val="amprBodyText"/>
    <w:uiPriority w:val="10"/>
    <w:qFormat/>
    <w:pPr>
      <w:spacing w:after="0" w:line="240" w:lineRule="auto"/>
      <w:jc w:val="right"/>
    </w:pPr>
    <w:rPr>
      <w:color w:val="767676"/>
      <w:sz w:val="20"/>
    </w:rPr>
  </w:style>
  <w:style w:type="paragraph" w:customStyle="1" w:styleId="amprImageplaceholder">
    <w:name w:val="[ampr] Image placeholder"/>
    <w:next w:val="amprBodyText"/>
    <w:uiPriority w:val="2"/>
    <w:qFormat/>
    <w:pPr>
      <w:spacing w:after="40" w:line="240" w:lineRule="auto"/>
      <w:jc w:val="center"/>
    </w:pPr>
    <w:rPr>
      <w:rFonts w:eastAsia="EC Square Sans Pro" w:cs="Times New Roman"/>
      <w:szCs w:val="21"/>
      <w:lang w:eastAsia="zh-CN"/>
    </w:rPr>
  </w:style>
  <w:style w:type="paragraph" w:customStyle="1" w:styleId="amprH4Subhead1">
    <w:name w:val="[ampr H4] Subhead 1"/>
    <w:basedOn w:val="BASE-STYLE-HEADINGS"/>
    <w:next w:val="amprBodyText"/>
    <w:uiPriority w:val="9"/>
    <w:qFormat/>
    <w:pPr>
      <w:keepNext/>
      <w:keepLines/>
      <w:suppressAutoHyphens/>
      <w:spacing w:before="480" w:after="240"/>
      <w:jc w:val="left"/>
      <w:outlineLvl w:val="3"/>
    </w:pPr>
    <w:rPr>
      <w:color w:val="003399" w:themeColor="text2"/>
      <w:sz w:val="28"/>
    </w:rPr>
  </w:style>
  <w:style w:type="paragraph" w:customStyle="1" w:styleId="amprH5Subhead2">
    <w:name w:val="[ampr H5] Subhead 2"/>
    <w:basedOn w:val="BASE-STYLE-HEADINGS"/>
    <w:next w:val="amprBodyText"/>
    <w:uiPriority w:val="9"/>
    <w:qFormat/>
    <w:pPr>
      <w:keepNext/>
      <w:keepLines/>
      <w:suppressAutoHyphens/>
      <w:spacing w:before="480" w:after="240"/>
      <w:jc w:val="left"/>
      <w:outlineLvl w:val="4"/>
    </w:pPr>
    <w:rPr>
      <w:b/>
      <w:color w:val="003399" w:themeColor="text2"/>
      <w:sz w:val="24"/>
    </w:rPr>
  </w:style>
  <w:style w:type="paragraph" w:customStyle="1" w:styleId="amprH6Subhead3">
    <w:name w:val="[ampr H6] Subhead 3"/>
    <w:basedOn w:val="BASE-STYLE-HEADINGS"/>
    <w:next w:val="amprBodyText"/>
    <w:uiPriority w:val="9"/>
    <w:qFormat/>
    <w:pPr>
      <w:keepNext/>
      <w:keepLines/>
      <w:suppressAutoHyphens/>
      <w:spacing w:before="240" w:after="240"/>
      <w:ind w:left="340"/>
      <w:jc w:val="left"/>
      <w:outlineLvl w:val="5"/>
    </w:pPr>
    <w:rPr>
      <w:b/>
      <w:color w:val="008139" w:themeColor="accent1"/>
      <w:sz w:val="24"/>
      <w14:textOutline w14:w="9525" w14:cap="rnd" w14:cmpd="sng" w14:algn="ctr">
        <w14:noFill/>
        <w14:prstDash w14:val="solid"/>
        <w14:bevel/>
      </w14:textOutline>
    </w:rPr>
  </w:style>
  <w:style w:type="paragraph" w:customStyle="1" w:styleId="amprH2TITLE1">
    <w:name w:val="[ampr H2] TITLE 1"/>
    <w:basedOn w:val="BASE-STYLE-HEADINGS"/>
    <w:next w:val="amprBodyText"/>
    <w:uiPriority w:val="9"/>
    <w:qFormat/>
    <w:pPr>
      <w:keepNext/>
      <w:keepLines/>
      <w:pageBreakBefore/>
      <w:suppressAutoHyphens/>
      <w:spacing w:after="720"/>
      <w:jc w:val="left"/>
      <w:outlineLvl w:val="1"/>
    </w:pPr>
    <w:rPr>
      <w:color w:val="003399" w:themeColor="text2"/>
      <w:sz w:val="48"/>
    </w:rPr>
  </w:style>
  <w:style w:type="paragraph" w:customStyle="1" w:styleId="amprH1TITLE-noTOC">
    <w:name w:val="[ampr H1] TITLE - noTOC"/>
    <w:basedOn w:val="amprH2TITLE1"/>
    <w:next w:val="amprBodyText"/>
    <w:uiPriority w:val="9"/>
    <w:qFormat/>
    <w:pPr>
      <w:spacing w:after="480"/>
      <w:outlineLvl w:val="0"/>
    </w:pPr>
  </w:style>
  <w:style w:type="paragraph" w:customStyle="1" w:styleId="amprH3Title2">
    <w:name w:val="[ampr H3] Title 2"/>
    <w:basedOn w:val="BASE-STYLE-HEADINGS"/>
    <w:next w:val="amprBodyText"/>
    <w:uiPriority w:val="9"/>
    <w:qFormat/>
    <w:rsid w:val="00FB4DAD"/>
    <w:pPr>
      <w:keepNext/>
      <w:keepLines/>
      <w:pBdr>
        <w:bottom w:val="single" w:sz="6" w:space="1" w:color="DE6002" w:themeColor="accent2"/>
      </w:pBdr>
      <w:suppressAutoHyphens/>
      <w:spacing w:before="480" w:after="240"/>
      <w:jc w:val="left"/>
      <w:outlineLvl w:val="2"/>
    </w:pPr>
    <w:rPr>
      <w:b/>
      <w:color w:val="003399" w:themeColor="text2"/>
      <w:sz w:val="28"/>
    </w:rPr>
  </w:style>
  <w:style w:type="paragraph" w:customStyle="1" w:styleId="amprH4Subhead1-Numbered-111">
    <w:name w:val="[ampr H4] Subhead 1 - Numbered - 1.1.1."/>
    <w:basedOn w:val="amprH4Subhead1"/>
    <w:next w:val="amprBodyText"/>
    <w:uiPriority w:val="9"/>
    <w:qFormat/>
    <w:pPr>
      <w:numPr>
        <w:ilvl w:val="2"/>
        <w:numId w:val="13"/>
      </w:numPr>
    </w:pPr>
  </w:style>
  <w:style w:type="paragraph" w:customStyle="1" w:styleId="Hidelastparagraphafterthetable">
    <w:name w:val="_Hide last paragraph after the table"/>
    <w:next w:val="Normal"/>
    <w:uiPriority w:val="11"/>
    <w:pPr>
      <w:widowControl w:val="0"/>
      <w:spacing w:before="0" w:after="0" w:line="20" w:lineRule="exact"/>
    </w:pPr>
    <w:rPr>
      <w:rFonts w:asciiTheme="minorHAnsi" w:eastAsiaTheme="minorEastAsia" w:hAnsiTheme="minorHAnsi"/>
      <w:vanish/>
      <w:sz w:val="2"/>
      <w:szCs w:val="2"/>
    </w:rPr>
  </w:style>
  <w:style w:type="numbering" w:styleId="111111">
    <w:name w:val="Outline List 2"/>
    <w:basedOn w:val="NoList"/>
    <w:uiPriority w:val="99"/>
    <w:semiHidden/>
    <w:unhideWhenUsed/>
    <w:pPr>
      <w:numPr>
        <w:numId w:val="8"/>
      </w:numPr>
    </w:pPr>
  </w:style>
  <w:style w:type="numbering" w:styleId="1ai">
    <w:name w:val="Outline List 1"/>
    <w:basedOn w:val="NoList"/>
    <w:uiPriority w:val="99"/>
    <w:semiHidden/>
    <w:unhideWhenUsed/>
    <w:pPr>
      <w:numPr>
        <w:numId w:val="9"/>
      </w:numPr>
    </w:pPr>
  </w:style>
  <w:style w:type="numbering" w:styleId="ArticleSection">
    <w:name w:val="Outline List 3"/>
    <w:basedOn w:val="NoList"/>
    <w:uiPriority w:val="99"/>
    <w:semiHidden/>
    <w:unhideWhenUsed/>
    <w:pPr>
      <w:numPr>
        <w:numId w:val="10"/>
      </w:numPr>
    </w:pPr>
  </w:style>
  <w:style w:type="character" w:styleId="BookTitle">
    <w:name w:val="Book Title"/>
    <w:basedOn w:val="DefaultParagraphFont"/>
    <w:uiPriority w:val="33"/>
    <w:semiHidden/>
    <w:rPr>
      <w:b/>
      <w:bCs/>
      <w:i/>
      <w:iCs/>
      <w:spacing w:val="5"/>
      <w:lang w:val="ro-RO"/>
    </w:rPr>
  </w:style>
  <w:style w:type="table" w:styleId="ColorfulGrid">
    <w:name w:val="Colorful Grid"/>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uiPriority w:val="72"/>
    <w:semiHidden/>
    <w:unhideWhenUsed/>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pPr>
      <w:spacing w:before="0" w:after="0"/>
    </w:pPr>
    <w:rPr>
      <w:color w:val="000000" w:themeColor="text1"/>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uiPriority w:val="72"/>
    <w:semiHidden/>
    <w:unhideWhenUsed/>
    <w:pPr>
      <w:spacing w:before="0" w:after="0"/>
    </w:pPr>
    <w:rPr>
      <w:color w:val="000000" w:themeColor="text1"/>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uiPriority w:val="72"/>
    <w:semiHidden/>
    <w:unhideWhenUsed/>
    <w:pPr>
      <w:spacing w:before="0" w:after="0"/>
    </w:pPr>
    <w:rPr>
      <w:color w:val="000000" w:themeColor="text1"/>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uiPriority w:val="72"/>
    <w:semiHidden/>
    <w:unhideWhenUsed/>
    <w:pPr>
      <w:spacing w:before="0" w:after="0"/>
    </w:pPr>
    <w:rPr>
      <w:color w:val="000000" w:themeColor="text1"/>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uiPriority w:val="72"/>
    <w:semiHidden/>
    <w:unhideWhenUsed/>
    <w:pPr>
      <w:spacing w:before="0" w:after="0"/>
    </w:pPr>
    <w:rPr>
      <w:color w:val="000000" w:themeColor="text1"/>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uiPriority w:val="72"/>
    <w:semiHidden/>
    <w:unhideWhenUsed/>
    <w:pPr>
      <w:spacing w:before="0" w:after="0"/>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pPr>
      <w:spacing w:before="0" w:after="0"/>
    </w:pPr>
    <w:rPr>
      <w:color w:val="000000" w:themeColor="text1"/>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uiPriority w:val="71"/>
    <w:semiHidden/>
    <w:unhideWhenUsed/>
    <w:pPr>
      <w:spacing w:before="0" w:after="0"/>
    </w:pPr>
    <w:rPr>
      <w:color w:val="000000" w:themeColor="text1"/>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pPr>
      <w:spacing w:before="0" w:after="0"/>
    </w:pPr>
    <w:rPr>
      <w:color w:val="000000" w:themeColor="text1"/>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pPr>
      <w:spacing w:before="0" w:after="0"/>
    </w:pPr>
    <w:rPr>
      <w:color w:val="000000" w:themeColor="text1"/>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qFormat/>
    <w:rPr>
      <w:sz w:val="16"/>
      <w:szCs w:val="16"/>
      <w:lang w:val="ro-RO"/>
    </w:rPr>
  </w:style>
  <w:style w:type="table" w:styleId="DarkList">
    <w:name w:val="Dark List"/>
    <w:basedOn w:val="TableNormal"/>
    <w:uiPriority w:val="70"/>
    <w:semiHidden/>
    <w:unhideWhenUsed/>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pPr>
      <w:spacing w:before="0" w:after="0"/>
    </w:pPr>
    <w:rPr>
      <w:color w:val="FFFFFF" w:themeColor="background1"/>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uiPriority w:val="70"/>
    <w:semiHidden/>
    <w:unhideWhenUsed/>
    <w:pPr>
      <w:spacing w:before="0" w:after="0"/>
    </w:pPr>
    <w:rPr>
      <w:color w:val="FFFFFF" w:themeColor="background1"/>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uiPriority w:val="70"/>
    <w:semiHidden/>
    <w:unhideWhenUsed/>
    <w:pPr>
      <w:spacing w:before="0" w:after="0"/>
    </w:pPr>
    <w:rPr>
      <w:color w:val="FFFFFF" w:themeColor="background1"/>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uiPriority w:val="70"/>
    <w:semiHidden/>
    <w:unhideWhenUsed/>
    <w:pPr>
      <w:spacing w:before="0" w:after="0"/>
    </w:pPr>
    <w:rPr>
      <w:color w:val="FFFFFF" w:themeColor="background1"/>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uiPriority w:val="70"/>
    <w:semiHidden/>
    <w:unhideWhenUsed/>
    <w:pPr>
      <w:spacing w:before="0" w:after="0"/>
    </w:pPr>
    <w:rPr>
      <w:color w:val="FFFFFF" w:themeColor="background1"/>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uiPriority w:val="70"/>
    <w:semiHidden/>
    <w:unhideWhenUsed/>
    <w:pPr>
      <w:spacing w:before="0" w:after="0"/>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character" w:styleId="Emphasis">
    <w:name w:val="Emphasis"/>
    <w:basedOn w:val="DefaultParagraphFont"/>
    <w:uiPriority w:val="20"/>
    <w:qFormat/>
    <w:rPr>
      <w:i/>
      <w:iCs/>
      <w:lang w:val="ro-RO"/>
    </w:rPr>
  </w:style>
  <w:style w:type="table" w:styleId="GridTable1Light">
    <w:name w:val="Grid Table 1 Light"/>
    <w:basedOn w:val="TableNormal"/>
    <w:uiPriority w:val="4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pPr>
      <w:spacing w:after="0"/>
    </w:p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pPr>
      <w:spacing w:after="0"/>
    </w:p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pPr>
      <w:spacing w:after="0"/>
    </w:p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pPr>
      <w:spacing w:after="0"/>
    </w:p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pPr>
      <w:spacing w:after="0"/>
    </w:p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pPr>
      <w:spacing w:after="0"/>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pPr>
      <w:spacing w:after="0"/>
    </w:p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3">
    <w:name w:val="Grid Table 2 Accent 3"/>
    <w:basedOn w:val="TableNormal"/>
    <w:uiPriority w:val="47"/>
    <w:pPr>
      <w:spacing w:after="0"/>
    </w:p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uiPriority w:val="47"/>
    <w:pPr>
      <w:spacing w:after="0"/>
    </w:p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uiPriority w:val="47"/>
    <w:pPr>
      <w:spacing w:after="0"/>
    </w:p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uiPriority w:val="47"/>
    <w:pPr>
      <w:spacing w:after="0"/>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uiPriority w:val="48"/>
    <w:pPr>
      <w:spacing w:after="0"/>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uiPriority w:val="48"/>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uiPriority w:val="48"/>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uiPriority w:val="48"/>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uiPriority w:val="48"/>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3">
    <w:name w:val="Grid Table 4 Accent 3"/>
    <w:basedOn w:val="TableNormal"/>
    <w:uiPriority w:val="49"/>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uiPriority w:val="49"/>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uiPriority w:val="49"/>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uiPriority w:val="49"/>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uiPriority w:val="5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pPr>
      <w:spacing w:after="0"/>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uiPriority w:val="51"/>
    <w:pPr>
      <w:spacing w:after="0"/>
    </w:pPr>
    <w:rPr>
      <w:color w:val="A64701" w:themeColor="accent2" w:themeShade="BF"/>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uiPriority w:val="51"/>
    <w:pPr>
      <w:spacing w:after="0"/>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uiPriority w:val="51"/>
    <w:pPr>
      <w:spacing w:after="0"/>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uiPriority w:val="51"/>
    <w:pPr>
      <w:spacing w:after="0"/>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uiPriority w:val="51"/>
    <w:pPr>
      <w:spacing w:after="0"/>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uiPriority w:val="5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pPr>
      <w:spacing w:after="0"/>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uiPriority w:val="52"/>
    <w:pPr>
      <w:spacing w:after="0"/>
    </w:pPr>
    <w:rPr>
      <w:color w:val="A64701" w:themeColor="accent2" w:themeShade="BF"/>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uiPriority w:val="52"/>
    <w:pPr>
      <w:spacing w:after="0"/>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uiPriority w:val="52"/>
    <w:pPr>
      <w:spacing w:after="0"/>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uiPriority w:val="52"/>
    <w:pPr>
      <w:spacing w:after="0"/>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uiPriority w:val="52"/>
    <w:pPr>
      <w:spacing w:after="0"/>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character" w:styleId="IntenseEmphasis">
    <w:name w:val="Intense Emphasis"/>
    <w:basedOn w:val="DefaultParagraphFont"/>
    <w:uiPriority w:val="21"/>
    <w:semiHidden/>
    <w:rPr>
      <w:i/>
      <w:iCs/>
      <w:color w:val="003399" w:themeColor="text2"/>
      <w:lang w:val="ro-RO"/>
    </w:rPr>
  </w:style>
  <w:style w:type="character" w:styleId="IntenseReference">
    <w:name w:val="Intense Reference"/>
    <w:basedOn w:val="DefaultParagraphFont"/>
    <w:uiPriority w:val="32"/>
    <w:semiHidden/>
    <w:rPr>
      <w:b/>
      <w:bCs/>
      <w:smallCaps/>
      <w:color w:val="003399" w:themeColor="text2"/>
      <w:spacing w:val="5"/>
      <w:lang w:val="ro-RO"/>
    </w:rPr>
  </w:style>
  <w:style w:type="table" w:styleId="LightGrid">
    <w:name w:val="Light Grid"/>
    <w:basedOn w:val="TableNormal"/>
    <w:uiPriority w:val="62"/>
    <w:semiHidden/>
    <w:unhideWhenUsed/>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pPr>
      <w:spacing w:before="0" w:after="0"/>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uiPriority w:val="62"/>
    <w:semiHidden/>
    <w:unhideWhenUsed/>
    <w:pPr>
      <w:spacing w:before="0" w:after="0"/>
    </w:p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uiPriority w:val="62"/>
    <w:semiHidden/>
    <w:unhideWhenUsed/>
    <w:pPr>
      <w:spacing w:before="0" w:after="0"/>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uiPriority w:val="62"/>
    <w:semiHidden/>
    <w:unhideWhenUsed/>
    <w:pPr>
      <w:spacing w:before="0" w:after="0"/>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uiPriority w:val="62"/>
    <w:semiHidden/>
    <w:unhideWhenUsed/>
    <w:pPr>
      <w:spacing w:before="0" w:after="0"/>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uiPriority w:val="62"/>
    <w:semiHidden/>
    <w:unhideWhenUsed/>
    <w:pPr>
      <w:spacing w:before="0" w:after="0"/>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pPr>
      <w:spacing w:before="0" w:after="0"/>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uiPriority w:val="61"/>
    <w:semiHidden/>
    <w:unhideWhenUsed/>
    <w:pPr>
      <w:spacing w:before="0" w:after="0"/>
    </w:p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uiPriority w:val="61"/>
    <w:semiHidden/>
    <w:unhideWhenUsed/>
    <w:pPr>
      <w:spacing w:before="0" w:after="0"/>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uiPriority w:val="61"/>
    <w:semiHidden/>
    <w:unhideWhenUsed/>
    <w:pPr>
      <w:spacing w:before="0" w:after="0"/>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uiPriority w:val="61"/>
    <w:semiHidden/>
    <w:unhideWhenUsed/>
    <w:pPr>
      <w:spacing w:before="0" w:after="0"/>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uiPriority w:val="61"/>
    <w:semiHidden/>
    <w:unhideWhenUsed/>
    <w:pPr>
      <w:spacing w:before="0" w:after="0"/>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Accent1">
    <w:name w:val="Light Shading Accent 1"/>
    <w:basedOn w:val="TableNormal"/>
    <w:uiPriority w:val="60"/>
    <w:semiHidden/>
    <w:unhideWhenUsed/>
    <w:pPr>
      <w:spacing w:before="0" w:after="0"/>
    </w:pPr>
    <w:rPr>
      <w:color w:val="00602A" w:themeColor="accent1" w:themeShade="BF"/>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uiPriority w:val="60"/>
    <w:semiHidden/>
    <w:unhideWhenUsed/>
    <w:pPr>
      <w:spacing w:before="0" w:after="0"/>
    </w:pPr>
    <w:rPr>
      <w:color w:val="A64701" w:themeColor="accent2" w:themeShade="BF"/>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uiPriority w:val="60"/>
    <w:semiHidden/>
    <w:unhideWhenUsed/>
    <w:pPr>
      <w:spacing w:before="0" w:after="0"/>
    </w:pPr>
    <w:rPr>
      <w:color w:val="0162D9" w:themeColor="accent3" w:themeShade="BF"/>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uiPriority w:val="60"/>
    <w:semiHidden/>
    <w:unhideWhenUsed/>
    <w:pPr>
      <w:spacing w:before="0" w:after="0"/>
    </w:pPr>
    <w:rPr>
      <w:color w:val="C18101" w:themeColor="accent4" w:themeShade="BF"/>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stTable1Light">
    <w:name w:val="List Table 1 Light"/>
    <w:basedOn w:val="TableNormal"/>
    <w:uiPriority w:val="4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pPr>
      <w:spacing w:after="0"/>
    </w:p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uiPriority w:val="46"/>
    <w:pPr>
      <w:spacing w:after="0"/>
    </w:p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uiPriority w:val="46"/>
    <w:pPr>
      <w:spacing w:after="0"/>
    </w:p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uiPriority w:val="46"/>
    <w:pPr>
      <w:spacing w:after="0"/>
    </w:p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uiPriority w:val="46"/>
    <w:pPr>
      <w:spacing w:after="0"/>
    </w:p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uiPriority w:val="46"/>
    <w:pPr>
      <w:spacing w:after="0"/>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pPr>
      <w:spacing w:after="0"/>
    </w:p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3">
    <w:name w:val="List Table 2 Accent 3"/>
    <w:basedOn w:val="TableNormal"/>
    <w:uiPriority w:val="47"/>
    <w:pPr>
      <w:spacing w:after="0"/>
    </w:p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uiPriority w:val="47"/>
    <w:pPr>
      <w:spacing w:after="0"/>
    </w:p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uiPriority w:val="47"/>
    <w:pPr>
      <w:spacing w:after="0"/>
    </w:p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uiPriority w:val="47"/>
    <w:pPr>
      <w:spacing w:after="0"/>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pPr>
      <w:spacing w:after="0"/>
    </w:p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uiPriority w:val="48"/>
    <w:pPr>
      <w:spacing w:after="0"/>
    </w:p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uiPriority w:val="48"/>
    <w:pPr>
      <w:spacing w:after="0"/>
    </w:p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uiPriority w:val="48"/>
    <w:pPr>
      <w:spacing w:after="0"/>
    </w:p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uiPriority w:val="48"/>
    <w:pPr>
      <w:spacing w:after="0"/>
    </w:p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uiPriority w:val="48"/>
    <w:pPr>
      <w:spacing w:after="0"/>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uiPriority w:val="49"/>
    <w:pPr>
      <w:spacing w:after="0"/>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uiPriority w:val="49"/>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uiPriority w:val="49"/>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uiPriority w:val="49"/>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uiPriority w:val="49"/>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pPr>
      <w:spacing w:after="0"/>
    </w:pPr>
    <w:rPr>
      <w:color w:val="FFFFFF" w:themeColor="background1"/>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pPr>
      <w:spacing w:after="0"/>
    </w:pPr>
    <w:rPr>
      <w:color w:val="FFFFFF" w:themeColor="background1"/>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pPr>
      <w:spacing w:after="0"/>
    </w:pPr>
    <w:rPr>
      <w:color w:val="FFFFFF" w:themeColor="background1"/>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pPr>
      <w:spacing w:after="0"/>
    </w:pPr>
    <w:rPr>
      <w:color w:val="FFFFFF" w:themeColor="background1"/>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pPr>
      <w:spacing w:after="0"/>
    </w:pPr>
    <w:rPr>
      <w:color w:val="FFFFFF" w:themeColor="background1"/>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pPr>
      <w:spacing w:after="0"/>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pPr>
      <w:spacing w:after="0"/>
    </w:pPr>
    <w:rPr>
      <w:color w:val="00602A" w:themeColor="accent1" w:themeShade="BF"/>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uiPriority w:val="51"/>
    <w:pPr>
      <w:spacing w:after="0"/>
    </w:pPr>
    <w:rPr>
      <w:color w:val="A64701" w:themeColor="accent2" w:themeShade="BF"/>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uiPriority w:val="51"/>
    <w:pPr>
      <w:spacing w:after="0"/>
    </w:pPr>
    <w:rPr>
      <w:color w:val="0162D9" w:themeColor="accent3" w:themeShade="BF"/>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uiPriority w:val="51"/>
    <w:pPr>
      <w:spacing w:after="0"/>
    </w:pPr>
    <w:rPr>
      <w:color w:val="C18101" w:themeColor="accent4" w:themeShade="BF"/>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uiPriority w:val="51"/>
    <w:pPr>
      <w:spacing w:after="0"/>
    </w:pPr>
    <w:rPr>
      <w:color w:val="A41045" w:themeColor="accent5" w:themeShade="BF"/>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uiPriority w:val="51"/>
    <w:pPr>
      <w:spacing w:after="0"/>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uiPriority w:val="52"/>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pPr>
      <w:spacing w:after="0"/>
    </w:pPr>
    <w:rPr>
      <w:color w:val="00602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pPr>
      <w:spacing w:after="0"/>
    </w:pPr>
    <w:rPr>
      <w:color w:val="A6470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pPr>
      <w:spacing w:after="0"/>
    </w:pPr>
    <w:rPr>
      <w:color w:val="0162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pPr>
      <w:spacing w:after="0"/>
    </w:pPr>
    <w:rPr>
      <w:color w:val="C1810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pPr>
      <w:spacing w:after="0"/>
    </w:pPr>
    <w:rPr>
      <w:color w:val="A4104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pPr>
      <w:spacing w:after="0"/>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pPr>
      <w:spacing w:before="0" w:after="0"/>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uiPriority w:val="67"/>
    <w:semiHidden/>
    <w:unhideWhenUsed/>
    <w:pPr>
      <w:spacing w:before="0" w:after="0"/>
    </w:p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uiPriority w:val="67"/>
    <w:semiHidden/>
    <w:unhideWhenUsed/>
    <w:pPr>
      <w:spacing w:before="0" w:after="0"/>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uiPriority w:val="67"/>
    <w:semiHidden/>
    <w:unhideWhenUsed/>
    <w:pPr>
      <w:spacing w:before="0" w:after="0"/>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uiPriority w:val="67"/>
    <w:semiHidden/>
    <w:unhideWhenUsed/>
    <w:pPr>
      <w:spacing w:before="0" w:after="0"/>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uiPriority w:val="67"/>
    <w:semiHidden/>
    <w:unhideWhenUsed/>
    <w:pPr>
      <w:spacing w:before="0" w:after="0"/>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pPr>
      <w:spacing w:before="0" w:after="0"/>
    </w:pPr>
    <w:rPr>
      <w:color w:val="000000" w:themeColor="text1"/>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uiPriority w:val="65"/>
    <w:semiHidden/>
    <w:unhideWhenUsed/>
    <w:pPr>
      <w:spacing w:before="0" w:after="0"/>
    </w:pPr>
    <w:rPr>
      <w:color w:val="000000" w:themeColor="text1"/>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uiPriority w:val="65"/>
    <w:semiHidden/>
    <w:unhideWhenUsed/>
    <w:pPr>
      <w:spacing w:before="0" w:after="0"/>
    </w:pPr>
    <w:rPr>
      <w:color w:val="000000" w:themeColor="text1"/>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uiPriority w:val="65"/>
    <w:semiHidden/>
    <w:unhideWhenUsed/>
    <w:pPr>
      <w:spacing w:before="0" w:after="0"/>
    </w:pPr>
    <w:rPr>
      <w:color w:val="000000" w:themeColor="text1"/>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uiPriority w:val="65"/>
    <w:semiHidden/>
    <w:unhideWhenUsed/>
    <w:pPr>
      <w:spacing w:before="0" w:after="0"/>
    </w:pPr>
    <w:rPr>
      <w:color w:val="000000" w:themeColor="text1"/>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uiPriority w:val="65"/>
    <w:semiHidden/>
    <w:unhideWhenUsed/>
    <w:pPr>
      <w:spacing w:before="0" w:after="0"/>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pPr>
      <w:spacing w:before="0" w:after="0"/>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pPr>
      <w:spacing w:before="0" w:after="0"/>
    </w:p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pPr>
      <w:spacing w:before="0" w:after="0"/>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pPr>
      <w:spacing w:before="0" w:after="0"/>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pPr>
      <w:spacing w:before="0" w:after="0"/>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pPr>
      <w:spacing w:before="0" w:after="0"/>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PlainTable1">
    <w:name w:val="Plain Table 1"/>
    <w:basedOn w:val="TableNormal"/>
    <w:uiPriority w:val="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val="ro-RO"/>
    </w:rPr>
  </w:style>
  <w:style w:type="character" w:styleId="Strong">
    <w:name w:val="Strong"/>
    <w:basedOn w:val="DefaultParagraphFont"/>
    <w:uiPriority w:val="22"/>
    <w:qFormat/>
    <w:rPr>
      <w:b/>
      <w:bCs/>
      <w:lang w:val="ro-RO"/>
    </w:rPr>
  </w:style>
  <w:style w:type="paragraph" w:styleId="Subtitle">
    <w:name w:val="Subtitle"/>
    <w:basedOn w:val="Normal"/>
    <w:next w:val="Normal"/>
    <w:link w:val="SubtitleChar"/>
    <w:uiPriority w:val="11"/>
    <w:pPr>
      <w:numPr>
        <w:ilvl w:val="1"/>
      </w:numPr>
    </w:pPr>
    <w:rPr>
      <w:rFonts w:asciiTheme="minorHAnsi" w:eastAsiaTheme="minorEastAsia" w:hAnsiTheme="minorHAnsi"/>
      <w:color w:val="000000" w:themeColor="text1"/>
      <w:spacing w:val="15"/>
      <w:sz w:val="22"/>
      <w:szCs w:val="22"/>
    </w:rPr>
  </w:style>
  <w:style w:type="character" w:customStyle="1" w:styleId="SubtitleChar">
    <w:name w:val="Subtitle Char"/>
    <w:basedOn w:val="DefaultParagraphFont"/>
    <w:link w:val="Subtitle"/>
    <w:uiPriority w:val="11"/>
    <w:rPr>
      <w:rFonts w:asciiTheme="minorHAnsi" w:eastAsiaTheme="minorEastAsia" w:hAnsiTheme="minorHAnsi"/>
      <w:color w:val="000000" w:themeColor="text1"/>
      <w:spacing w:val="15"/>
      <w:sz w:val="22"/>
      <w:szCs w:val="22"/>
      <w:lang w:val="ro-RO"/>
    </w:rPr>
  </w:style>
  <w:style w:type="character" w:styleId="SubtleEmphasis">
    <w:name w:val="Subtle Emphasis"/>
    <w:basedOn w:val="DefaultParagraphFont"/>
    <w:uiPriority w:val="19"/>
    <w:semiHidden/>
    <w:rPr>
      <w:i/>
      <w:iCs/>
      <w:color w:val="404040" w:themeColor="text1" w:themeTint="BF"/>
      <w:lang w:val="ro-RO"/>
    </w:rPr>
  </w:style>
  <w:style w:type="character" w:styleId="SubtleReference">
    <w:name w:val="Subtle Reference"/>
    <w:basedOn w:val="DefaultParagraphFont"/>
    <w:uiPriority w:val="31"/>
    <w:semiHidden/>
    <w:qFormat/>
    <w:rPr>
      <w:smallCaps/>
      <w:color w:val="5A5A5A" w:themeColor="text1" w:themeTint="A5"/>
      <w:lang w:val="ro-RO"/>
    </w:rPr>
  </w:style>
  <w:style w:type="table" w:styleId="Table3Deffects1">
    <w:name w:val="Table 3D effects 1"/>
    <w:basedOn w:val="TableNormal"/>
    <w:uiPriority w:val="99"/>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rPr>
  </w:style>
  <w:style w:type="paragraph" w:styleId="TOC2">
    <w:name w:val="toc 2"/>
    <w:basedOn w:val="Normal"/>
    <w:next w:val="Normal"/>
    <w:autoRedefine/>
    <w:uiPriority w:val="39"/>
    <w:unhideWhenUsed/>
    <w:qFormat/>
    <w:rsid w:val="000F0FD4"/>
    <w:pPr>
      <w:tabs>
        <w:tab w:val="left" w:pos="880"/>
        <w:tab w:val="right" w:leader="dot" w:pos="9072"/>
        <w:tab w:val="right" w:leader="dot" w:pos="9594"/>
      </w:tabs>
      <w:spacing w:before="0" w:after="120" w:line="240" w:lineRule="auto"/>
    </w:pPr>
    <w:rPr>
      <w:noProof/>
    </w:rPr>
  </w:style>
  <w:style w:type="paragraph" w:styleId="TOC3">
    <w:name w:val="toc 3"/>
    <w:basedOn w:val="Normal"/>
    <w:next w:val="Normal"/>
    <w:autoRedefine/>
    <w:uiPriority w:val="39"/>
    <w:unhideWhenUsed/>
    <w:qFormat/>
    <w:rsid w:val="000E4F78"/>
    <w:pPr>
      <w:tabs>
        <w:tab w:val="left" w:pos="1400"/>
        <w:tab w:val="right" w:leader="dot" w:pos="9072"/>
      </w:tabs>
      <w:ind w:left="284"/>
    </w:pPr>
  </w:style>
  <w:style w:type="paragraph" w:styleId="TOC4">
    <w:name w:val="toc 4"/>
    <w:basedOn w:val="Normal"/>
    <w:next w:val="Normal"/>
    <w:autoRedefine/>
    <w:uiPriority w:val="39"/>
    <w:semiHidden/>
    <w:unhideWhenUsed/>
    <w:pPr>
      <w:spacing w:after="100"/>
      <w:ind w:left="600"/>
    </w:pPr>
  </w:style>
  <w:style w:type="paragraph" w:styleId="TOC5">
    <w:name w:val="toc 5"/>
    <w:basedOn w:val="Normal"/>
    <w:next w:val="Normal"/>
    <w:autoRedefine/>
    <w:uiPriority w:val="39"/>
    <w:semiHidden/>
    <w:unhideWhenUsed/>
    <w:pPr>
      <w:spacing w:after="100"/>
      <w:ind w:left="800"/>
    </w:pPr>
  </w:style>
  <w:style w:type="paragraph" w:styleId="TOC6">
    <w:name w:val="toc 6"/>
    <w:basedOn w:val="Normal"/>
    <w:next w:val="Normal"/>
    <w:autoRedefine/>
    <w:uiPriority w:val="39"/>
    <w:semiHidden/>
    <w:unhideWhenUsed/>
    <w:pPr>
      <w:spacing w:after="100"/>
      <w:ind w:left="1000"/>
    </w:pPr>
  </w:style>
  <w:style w:type="paragraph" w:styleId="TOC7">
    <w:name w:val="toc 7"/>
    <w:basedOn w:val="Normal"/>
    <w:next w:val="Normal"/>
    <w:autoRedefine/>
    <w:uiPriority w:val="39"/>
    <w:semiHidden/>
    <w:unhideWhenUsed/>
    <w:pPr>
      <w:spacing w:after="100"/>
      <w:ind w:left="1200"/>
    </w:pPr>
  </w:style>
  <w:style w:type="paragraph" w:styleId="TOC8">
    <w:name w:val="toc 8"/>
    <w:basedOn w:val="Normal"/>
    <w:next w:val="Normal"/>
    <w:autoRedefine/>
    <w:uiPriority w:val="39"/>
    <w:semiHidden/>
    <w:unhideWhenUsed/>
    <w:pPr>
      <w:spacing w:after="100"/>
      <w:ind w:left="1400"/>
    </w:pPr>
  </w:style>
  <w:style w:type="paragraph" w:styleId="TOC9">
    <w:name w:val="toc 9"/>
    <w:basedOn w:val="Normal"/>
    <w:next w:val="Normal"/>
    <w:autoRedefine/>
    <w:uiPriority w:val="39"/>
    <w:semiHidden/>
    <w:unhideWhenUsed/>
    <w:pPr>
      <w:spacing w:after="100"/>
      <w:ind w:left="1600"/>
    </w:pPr>
  </w:style>
  <w:style w:type="paragraph" w:styleId="TOCHeading">
    <w:name w:val="TOC Heading"/>
    <w:basedOn w:val="amprH1TITLE-noTOC"/>
    <w:next w:val="Normal"/>
    <w:uiPriority w:val="39"/>
    <w:unhideWhenUsed/>
    <w:qFormat/>
  </w:style>
  <w:style w:type="paragraph" w:customStyle="1" w:styleId="amprH2TITLE1-Numbered-1">
    <w:name w:val="[ampr H2] TITLE 1 - Numbered - 1."/>
    <w:basedOn w:val="amprH2TITLE1"/>
    <w:next w:val="amprBodyText"/>
    <w:uiPriority w:val="9"/>
    <w:qFormat/>
    <w:rsid w:val="007E57AA"/>
    <w:pPr>
      <w:pageBreakBefore w:val="0"/>
      <w:numPr>
        <w:numId w:val="13"/>
      </w:numPr>
      <w:spacing w:before="360" w:after="480"/>
    </w:pPr>
  </w:style>
  <w:style w:type="paragraph" w:customStyle="1" w:styleId="amprH3Title2-Numbered-11">
    <w:name w:val="[ampr H3] Title 2 - Numbered - 1.1."/>
    <w:basedOn w:val="amprH3Title2"/>
    <w:next w:val="amprBodyText"/>
    <w:uiPriority w:val="9"/>
    <w:qFormat/>
    <w:rsid w:val="00FB4DAD"/>
    <w:pPr>
      <w:numPr>
        <w:ilvl w:val="1"/>
        <w:numId w:val="13"/>
      </w:numPr>
      <w:ind w:left="576" w:hanging="576"/>
    </w:pPr>
  </w:style>
  <w:style w:type="paragraph" w:customStyle="1" w:styleId="amprH5Subhead2-Numbered-1111">
    <w:name w:val="[ampr H5] Subhead 2 - Numbered - 1.1.1.1."/>
    <w:basedOn w:val="amprH5Subhead2"/>
    <w:next w:val="amprBodyText"/>
    <w:uiPriority w:val="9"/>
    <w:qFormat/>
    <w:pPr>
      <w:numPr>
        <w:ilvl w:val="3"/>
        <w:numId w:val="13"/>
      </w:numPr>
    </w:pPr>
  </w:style>
  <w:style w:type="table" w:customStyle="1" w:styleId="amprbox1">
    <w:name w:val="[ampr] box 1"/>
    <w:basedOn w:val="TableNormal"/>
    <w:uiPriority w:val="99"/>
    <w:pPr>
      <w:keepLines/>
    </w:pPr>
    <w:tblPr>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blBorders>
      <w:tblCellMar>
        <w:left w:w="198" w:type="dxa"/>
        <w:right w:w="198" w:type="dxa"/>
      </w:tblCellMar>
    </w:tblPr>
    <w:trPr>
      <w:jc w:val="center"/>
    </w:trPr>
    <w:tcPr>
      <w:shd w:val="clear" w:color="auto" w:fill="F2F2F2" w:themeFill="background1" w:themeFillShade="F2"/>
    </w:tcPr>
  </w:style>
  <w:style w:type="paragraph" w:customStyle="1" w:styleId="amprboxGREYtext">
    <w:name w:val="[ampr box GREY] text"/>
    <w:basedOn w:val="BASE-STYLE-TEXT"/>
    <w:uiPriority w:val="5"/>
    <w:qFormat/>
    <w:pPr>
      <w:pBdr>
        <w:top w:val="single" w:sz="12" w:space="8" w:color="F2F2F2" w:themeColor="background1" w:themeShade="F2"/>
        <w:left w:val="single" w:sz="12" w:space="8" w:color="F2F2F2" w:themeColor="background1" w:themeShade="F2"/>
        <w:bottom w:val="single" w:sz="12" w:space="8" w:color="F2F2F2" w:themeColor="background1" w:themeShade="F2"/>
        <w:right w:val="single" w:sz="12" w:space="8" w:color="F2F2F2" w:themeColor="background1" w:themeShade="F2"/>
      </w:pBdr>
      <w:shd w:val="clear" w:color="auto" w:fill="F2F2F2" w:themeFill="background1" w:themeFillShade="F2"/>
      <w:spacing w:before="240" w:after="240"/>
    </w:pPr>
    <w:rPr>
      <w:color w:val="auto"/>
      <w:sz w:val="20"/>
      <w:lang w:eastAsia="fr-BE"/>
    </w:rPr>
  </w:style>
  <w:style w:type="paragraph" w:customStyle="1" w:styleId="amprLISTblackbullets-L1consecutiveparagraph">
    <w:name w:val="[ampr LIST black] bullets - L1 (consecutive paragraph)"/>
    <w:basedOn w:val="amprLISTblackbullets-L1"/>
    <w:uiPriority w:val="5"/>
    <w:qFormat/>
    <w:pPr>
      <w:numPr>
        <w:numId w:val="0"/>
      </w:numPr>
      <w:ind w:left="720"/>
    </w:pPr>
  </w:style>
  <w:style w:type="paragraph" w:customStyle="1" w:styleId="amprLISTblackbullets-L2consecutiveparagraph">
    <w:name w:val="[ampr LIST black] bullets - L2 (consecutive paragraph)"/>
    <w:basedOn w:val="amprLISTblackbullets-L2"/>
    <w:uiPriority w:val="5"/>
    <w:qFormat/>
    <w:pPr>
      <w:numPr>
        <w:ilvl w:val="0"/>
        <w:numId w:val="0"/>
      </w:numPr>
      <w:ind w:left="1435"/>
    </w:pPr>
  </w:style>
  <w:style w:type="paragraph" w:customStyle="1" w:styleId="amprLISTgreenbullets-L2consecutiveparagraph">
    <w:name w:val="[ampr LIST green] bullets - L2 (consecutive paragraph)"/>
    <w:basedOn w:val="amprLISTgreenbullets-L2"/>
    <w:uiPriority w:val="5"/>
    <w:qFormat/>
    <w:pPr>
      <w:numPr>
        <w:ilvl w:val="0"/>
        <w:numId w:val="0"/>
      </w:numPr>
      <w:ind w:left="1435"/>
    </w:pPr>
  </w:style>
  <w:style w:type="paragraph" w:customStyle="1" w:styleId="amprH1Sectiontitle">
    <w:name w:val="[ampr H1] Section title"/>
    <w:basedOn w:val="BASE-STYLE-HEADINGS"/>
    <w:next w:val="amprBodyText"/>
    <w:uiPriority w:val="9"/>
    <w:qFormat/>
    <w:pPr>
      <w:spacing w:before="8000" w:after="240"/>
      <w:ind w:left="4321"/>
      <w:jc w:val="left"/>
      <w:outlineLvl w:val="0"/>
    </w:pPr>
    <w:rPr>
      <w:rFonts w:ascii="EC Square Sans Pro Light" w:eastAsiaTheme="minorHAnsi" w:hAnsi="EC Square Sans Pro Light" w:cstheme="minorBidi"/>
      <w:color w:val="FFFFFF" w:themeColor="background1"/>
      <w:sz w:val="96"/>
      <w:szCs w:val="96"/>
    </w:rPr>
  </w:style>
  <w:style w:type="numbering" w:customStyle="1" w:styleId="amprHLISTNumberedheadings">
    <w:name w:val="[ampr H LIST] Numbered headings"/>
    <w:uiPriority w:val="99"/>
    <w:pPr>
      <w:numPr>
        <w:numId w:val="12"/>
      </w:numPr>
    </w:pPr>
  </w:style>
  <w:style w:type="table" w:customStyle="1" w:styleId="amprbox2">
    <w:name w:val="[ampr] box 2"/>
    <w:basedOn w:val="TableNormal"/>
    <w:uiPriority w:val="99"/>
    <w:pPr>
      <w:keepLines/>
    </w:pPr>
    <w:rPr>
      <w:color w:val="FFFFFF" w:themeColor="background1"/>
    </w:rPr>
    <w:tblPr>
      <w:jc w:val="center"/>
      <w:tblBorders>
        <w:top w:val="single" w:sz="12" w:space="0" w:color="003399" w:themeColor="text2"/>
        <w:left w:val="single" w:sz="12" w:space="0" w:color="003399" w:themeColor="text2"/>
        <w:bottom w:val="single" w:sz="12" w:space="0" w:color="003399" w:themeColor="text2"/>
        <w:right w:val="single" w:sz="12" w:space="0" w:color="003399" w:themeColor="text2"/>
        <w:insideH w:val="single" w:sz="12" w:space="0" w:color="003399" w:themeColor="text2"/>
        <w:insideV w:val="single" w:sz="12" w:space="0" w:color="003399" w:themeColor="text2"/>
      </w:tblBorders>
      <w:tblCellMar>
        <w:left w:w="198" w:type="dxa"/>
        <w:right w:w="198" w:type="dxa"/>
      </w:tblCellMar>
    </w:tblPr>
    <w:trPr>
      <w:jc w:val="center"/>
    </w:trPr>
    <w:tcPr>
      <w:shd w:val="clear" w:color="auto" w:fill="003399" w:themeFill="text2"/>
    </w:tcPr>
  </w:style>
  <w:style w:type="table" w:customStyle="1" w:styleId="amprbox3">
    <w:name w:val="[ampr] box 3"/>
    <w:basedOn w:val="TableNormal"/>
    <w:uiPriority w:val="99"/>
    <w:pPr>
      <w:keepLines/>
    </w:pPr>
    <w:tblPr>
      <w:jc w:val="center"/>
      <w:tblBorders>
        <w:top w:val="dashSmallGap" w:sz="12" w:space="0" w:color="008139" w:themeColor="accent1"/>
        <w:left w:val="dashSmallGap" w:sz="12" w:space="0" w:color="008139" w:themeColor="accent1"/>
        <w:bottom w:val="dashSmallGap" w:sz="12" w:space="0" w:color="008139" w:themeColor="accent1"/>
        <w:right w:val="dashSmallGap" w:sz="12" w:space="0" w:color="008139" w:themeColor="accent1"/>
      </w:tblBorders>
      <w:tblCellMar>
        <w:left w:w="198" w:type="dxa"/>
        <w:right w:w="198" w:type="dxa"/>
      </w:tblCellMar>
    </w:tblPr>
    <w:trPr>
      <w:jc w:val="center"/>
    </w:trPr>
    <w:tcPr>
      <w:shd w:val="clear" w:color="auto" w:fill="auto"/>
    </w:tcPr>
  </w:style>
  <w:style w:type="paragraph" w:customStyle="1" w:styleId="amprboxBLUEdashedtext">
    <w:name w:val="[ampr box BLUE dashed] text"/>
    <w:basedOn w:val="BASE-STYLE-TEXT"/>
    <w:uiPriority w:val="5"/>
    <w:qFormat/>
    <w:pPr>
      <w:keepLines/>
      <w:pBdr>
        <w:top w:val="dashSmallGap" w:sz="12" w:space="8" w:color="003399" w:themeColor="text2"/>
        <w:left w:val="dashSmallGap" w:sz="12" w:space="8" w:color="003399" w:themeColor="text2"/>
        <w:bottom w:val="dashSmallGap" w:sz="12" w:space="8" w:color="003399" w:themeColor="text2"/>
        <w:right w:val="dashSmallGap" w:sz="12" w:space="8" w:color="003399" w:themeColor="text2"/>
      </w:pBdr>
      <w:spacing w:before="240" w:after="240"/>
    </w:pPr>
    <w:rPr>
      <w:sz w:val="20"/>
      <w:lang w:eastAsia="fr-BE"/>
    </w:rPr>
  </w:style>
  <w:style w:type="paragraph" w:customStyle="1" w:styleId="amprboxBLUEdashedheading">
    <w:name w:val="[ampr box BLUE dashed] heading"/>
    <w:basedOn w:val="amprboxBLUEdashedtext"/>
    <w:next w:val="amprboxBLUEdashedtext"/>
    <w:uiPriority w:val="5"/>
    <w:qFormat/>
    <w:pPr>
      <w:keepNext/>
    </w:pPr>
    <w:rPr>
      <w:b/>
      <w:color w:val="003399" w:themeColor="text2"/>
    </w:rPr>
  </w:style>
  <w:style w:type="paragraph" w:customStyle="1" w:styleId="amprboxBLUEdashedbulletlist">
    <w:name w:val="[ampr box BLUE dashed] bullet list"/>
    <w:basedOn w:val="amprboxBLUEdashedtext"/>
    <w:next w:val="amprboxBLUEdashedtext"/>
    <w:uiPriority w:val="5"/>
    <w:qFormat/>
    <w:pPr>
      <w:numPr>
        <w:numId w:val="14"/>
      </w:numPr>
      <w:spacing w:before="60" w:after="60"/>
      <w:ind w:left="357" w:hanging="357"/>
    </w:pPr>
  </w:style>
  <w:style w:type="paragraph" w:customStyle="1" w:styleId="amprLISTOrdered-L1">
    <w:name w:val="[ampr LIST Ordered] - L1"/>
    <w:basedOn w:val="BASE-STYLE-TEXT"/>
    <w:uiPriority w:val="5"/>
    <w:qFormat/>
    <w:pPr>
      <w:numPr>
        <w:numId w:val="15"/>
      </w:numPr>
      <w:spacing w:before="80" w:after="80"/>
    </w:pPr>
    <w:rPr>
      <w:rFonts w:ascii="Proxima Nova" w:hAnsi="Proxima Nova"/>
      <w:szCs w:val="22"/>
    </w:rPr>
  </w:style>
  <w:style w:type="paragraph" w:customStyle="1" w:styleId="amprLISTOrdered-L2">
    <w:name w:val="[ampr LIST Ordered] - L2"/>
    <w:basedOn w:val="amprLISTOrdered-L1"/>
    <w:uiPriority w:val="5"/>
    <w:qFormat/>
    <w:pPr>
      <w:numPr>
        <w:ilvl w:val="1"/>
      </w:numPr>
    </w:pPr>
  </w:style>
  <w:style w:type="paragraph" w:customStyle="1" w:styleId="amprLISTOrdered-L3">
    <w:name w:val="[ampr LIST Ordered] - L3"/>
    <w:basedOn w:val="amprLISTOrdered-L2"/>
    <w:uiPriority w:val="5"/>
    <w:qFormat/>
    <w:pPr>
      <w:numPr>
        <w:ilvl w:val="2"/>
      </w:numPr>
    </w:pPr>
  </w:style>
  <w:style w:type="paragraph" w:customStyle="1" w:styleId="amprLISTOrdered-L1consecutiveparagraph">
    <w:name w:val="[ampr LIST Ordered] - L1 (consecutive paragraph)"/>
    <w:basedOn w:val="amprLISTOrdered-L1"/>
    <w:uiPriority w:val="5"/>
    <w:qFormat/>
    <w:pPr>
      <w:numPr>
        <w:numId w:val="0"/>
      </w:numPr>
      <w:ind w:left="714"/>
    </w:pPr>
  </w:style>
  <w:style w:type="paragraph" w:customStyle="1" w:styleId="amprLISTOrdered-L2consecutiveparagraph">
    <w:name w:val="[ampr LIST Ordered] - L2 (consecutive paragraph)"/>
    <w:basedOn w:val="amprLISTOrdered-L2"/>
    <w:uiPriority w:val="5"/>
    <w:qFormat/>
    <w:pPr>
      <w:numPr>
        <w:ilvl w:val="0"/>
        <w:numId w:val="0"/>
      </w:numPr>
      <w:ind w:left="1185"/>
    </w:pPr>
  </w:style>
  <w:style w:type="paragraph" w:customStyle="1" w:styleId="amprLISTOrdered-L3consecutiveparagraph">
    <w:name w:val="[ampr LIST Ordered] - L3 (consecutive paragraph)"/>
    <w:basedOn w:val="amprLISTOrdered-L3"/>
    <w:uiPriority w:val="5"/>
    <w:qFormat/>
    <w:pPr>
      <w:numPr>
        <w:ilvl w:val="0"/>
        <w:numId w:val="0"/>
      </w:numPr>
      <w:ind w:left="1769"/>
    </w:pPr>
  </w:style>
  <w:style w:type="numbering" w:customStyle="1" w:styleId="amprLIST-Ordered">
    <w:name w:val="[ampr LIST]-Ordered"/>
    <w:uiPriority w:val="99"/>
    <w:pPr>
      <w:numPr>
        <w:numId w:val="15"/>
      </w:numPr>
    </w:pPr>
  </w:style>
  <w:style w:type="paragraph" w:customStyle="1" w:styleId="amprLISTOrdered-L4">
    <w:name w:val="[ampr LIST Ordered] - L4"/>
    <w:basedOn w:val="amprLISTOrdered-L3"/>
    <w:uiPriority w:val="5"/>
    <w:qFormat/>
    <w:pPr>
      <w:numPr>
        <w:ilvl w:val="3"/>
      </w:numPr>
    </w:pPr>
  </w:style>
  <w:style w:type="paragraph" w:customStyle="1" w:styleId="amprLISTOrdered-L4consecutiveparagraph">
    <w:name w:val="[ampr LIST Ordered] - L4 (consecutive paragraph)"/>
    <w:basedOn w:val="amprLISTOrdered-L4"/>
    <w:uiPriority w:val="5"/>
    <w:qFormat/>
    <w:pPr>
      <w:numPr>
        <w:ilvl w:val="0"/>
        <w:numId w:val="0"/>
      </w:numPr>
      <w:ind w:left="2466"/>
    </w:pPr>
  </w:style>
  <w:style w:type="paragraph" w:customStyle="1" w:styleId="amprLISTMixed-L1">
    <w:name w:val="[ampr LIST Mixed] - L1"/>
    <w:basedOn w:val="BASE-STYLE-TEXT"/>
    <w:uiPriority w:val="5"/>
    <w:qFormat/>
    <w:pPr>
      <w:numPr>
        <w:numId w:val="17"/>
      </w:numPr>
      <w:spacing w:before="80" w:after="80"/>
    </w:pPr>
    <w:rPr>
      <w:szCs w:val="22"/>
    </w:rPr>
  </w:style>
  <w:style w:type="paragraph" w:customStyle="1" w:styleId="amprLISTMixed-L2">
    <w:name w:val="[ampr LIST Mixed] - L2"/>
    <w:basedOn w:val="amprLISTMixed-L1"/>
    <w:uiPriority w:val="5"/>
    <w:qFormat/>
    <w:pPr>
      <w:numPr>
        <w:ilvl w:val="1"/>
      </w:numPr>
    </w:pPr>
  </w:style>
  <w:style w:type="paragraph" w:customStyle="1" w:styleId="amprLISTMixed-L3">
    <w:name w:val="[ampr LIST Mixed] - L3"/>
    <w:basedOn w:val="amprLISTMixed-L2"/>
    <w:uiPriority w:val="5"/>
    <w:qFormat/>
    <w:pPr>
      <w:numPr>
        <w:ilvl w:val="2"/>
      </w:numPr>
    </w:pPr>
  </w:style>
  <w:style w:type="paragraph" w:customStyle="1" w:styleId="amprLISTMixed-L1consecutiveparagraph">
    <w:name w:val="[ampr LIST Mixed] - L1 (consecutive paragraph)"/>
    <w:basedOn w:val="amprLISTMixed-L1"/>
    <w:uiPriority w:val="5"/>
    <w:qFormat/>
    <w:pPr>
      <w:numPr>
        <w:numId w:val="0"/>
      </w:numPr>
      <w:ind w:left="714"/>
    </w:pPr>
  </w:style>
  <w:style w:type="paragraph" w:customStyle="1" w:styleId="amprLISTMixed-L2consecutiveparagraph">
    <w:name w:val="[ampr LIST Mixed] - L2 (consecutive paragraph)"/>
    <w:basedOn w:val="amprLISTMixed-L2"/>
    <w:uiPriority w:val="5"/>
    <w:qFormat/>
    <w:pPr>
      <w:numPr>
        <w:ilvl w:val="0"/>
        <w:numId w:val="0"/>
      </w:numPr>
      <w:ind w:left="1072"/>
    </w:pPr>
  </w:style>
  <w:style w:type="paragraph" w:customStyle="1" w:styleId="amprLISTMixed-L3consecutiveparagraph">
    <w:name w:val="[ampr LIST Mixed] - L3 (consecutive paragraph)"/>
    <w:basedOn w:val="amprLISTMixed-L3"/>
    <w:uiPriority w:val="5"/>
    <w:qFormat/>
    <w:pPr>
      <w:numPr>
        <w:ilvl w:val="0"/>
        <w:numId w:val="0"/>
      </w:numPr>
      <w:ind w:left="1429"/>
    </w:pPr>
  </w:style>
  <w:style w:type="numbering" w:customStyle="1" w:styleId="amprLIST-Mixed">
    <w:name w:val="[ampr LIST]-Mixed"/>
    <w:uiPriority w:val="99"/>
    <w:pPr>
      <w:numPr>
        <w:numId w:val="16"/>
      </w:numPr>
    </w:pPr>
  </w:style>
  <w:style w:type="table" w:customStyle="1" w:styleId="AMPR20212">
    <w:name w:val="AMPR_2021_2"/>
    <w:basedOn w:val="TableNormal"/>
    <w:uiPriority w:val="99"/>
    <w:pPr>
      <w:spacing w:before="60" w:after="60" w:line="240" w:lineRule="auto"/>
    </w:p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paragraph" w:customStyle="1" w:styleId="ZCom">
    <w:name w:val="Z_Com"/>
    <w:basedOn w:val="Normal"/>
    <w:next w:val="ZDGName"/>
    <w:pPr>
      <w:widowControl w:val="0"/>
      <w:autoSpaceDE w:val="0"/>
      <w:autoSpaceDN w:val="0"/>
      <w:spacing w:before="0" w:after="0" w:line="240" w:lineRule="auto"/>
      <w:ind w:right="85"/>
      <w:jc w:val="both"/>
    </w:pPr>
    <w:rPr>
      <w:rFonts w:ascii="Arial" w:eastAsia="Times New Roman" w:hAnsi="Arial" w:cs="Arial"/>
      <w:sz w:val="24"/>
      <w:szCs w:val="24"/>
      <w:lang w:eastAsia="ko-KR"/>
    </w:rPr>
  </w:style>
  <w:style w:type="paragraph" w:customStyle="1" w:styleId="ZDGName">
    <w:name w:val="Z_DGName"/>
    <w:basedOn w:val="Normal"/>
    <w:pPr>
      <w:widowControl w:val="0"/>
      <w:autoSpaceDE w:val="0"/>
      <w:autoSpaceDN w:val="0"/>
      <w:spacing w:before="0" w:after="0" w:line="240" w:lineRule="auto"/>
      <w:ind w:right="85"/>
    </w:pPr>
    <w:rPr>
      <w:rFonts w:ascii="Arial" w:eastAsia="Times New Roman" w:hAnsi="Arial" w:cs="Arial"/>
      <w:sz w:val="16"/>
      <w:szCs w:val="16"/>
      <w:lang w:eastAsia="ko-KR"/>
    </w:rPr>
  </w:style>
  <w:style w:type="paragraph" w:customStyle="1" w:styleId="NoteHead">
    <w:name w:val="NoteHead"/>
    <w:basedOn w:val="Normal"/>
    <w:next w:val="Normal"/>
    <w:pPr>
      <w:spacing w:before="720" w:after="720" w:line="240" w:lineRule="auto"/>
      <w:jc w:val="center"/>
    </w:pPr>
    <w:rPr>
      <w:rFonts w:ascii="Times New Roman" w:eastAsia="Times New Roman" w:hAnsi="Times New Roman" w:cs="Times New Roman"/>
      <w:b/>
      <w:smallCaps/>
      <w:sz w:val="24"/>
    </w:rPr>
  </w:style>
  <w:style w:type="paragraph" w:customStyle="1" w:styleId="Text3">
    <w:name w:val="Text 3"/>
    <w:basedOn w:val="Normal"/>
    <w:pPr>
      <w:spacing w:before="120" w:after="120" w:line="240" w:lineRule="auto"/>
      <w:ind w:left="851"/>
      <w:jc w:val="both"/>
    </w:pPr>
    <w:rPr>
      <w:rFonts w:ascii="Times New Roman" w:eastAsia="Times New Roman" w:hAnsi="Times New Roman" w:cs="Times New Roman"/>
      <w:sz w:val="24"/>
      <w:lang w:eastAsia="fr-BE"/>
    </w:rPr>
  </w:style>
  <w:style w:type="paragraph" w:customStyle="1" w:styleId="Tiret0">
    <w:name w:val="Tiret 0"/>
    <w:basedOn w:val="Normal"/>
    <w:link w:val="Tiret0Char"/>
    <w:uiPriority w:val="99"/>
    <w:pPr>
      <w:numPr>
        <w:numId w:val="18"/>
      </w:numPr>
      <w:spacing w:before="120" w:after="120" w:line="240" w:lineRule="auto"/>
      <w:jc w:val="both"/>
    </w:pPr>
    <w:rPr>
      <w:rFonts w:ascii="Times New Roman" w:eastAsia="Times New Roman" w:hAnsi="Times New Roman" w:cs="Times New Roman"/>
      <w:sz w:val="24"/>
      <w:szCs w:val="24"/>
      <w:lang w:eastAsia="en-GB"/>
    </w:rPr>
  </w:style>
  <w:style w:type="character" w:customStyle="1" w:styleId="Tiret0Char">
    <w:name w:val="Tiret 0 Char"/>
    <w:basedOn w:val="DefaultParagraphFont"/>
    <w:link w:val="Tiret0"/>
    <w:uiPriority w:val="99"/>
    <w:rPr>
      <w:rFonts w:ascii="Times New Roman" w:eastAsia="Times New Roman" w:hAnsi="Times New Roman" w:cs="Times New Roman"/>
      <w:sz w:val="24"/>
      <w:szCs w:val="24"/>
      <w:lang w:val="ro-RO" w:eastAsia="en-GB"/>
    </w:rPr>
  </w:style>
  <w:style w:type="paragraph" w:customStyle="1" w:styleId="Text1">
    <w:name w:val="Text 1"/>
    <w:basedOn w:val="Normal"/>
    <w:link w:val="Text1Char"/>
    <w:pPr>
      <w:spacing w:before="0" w:line="240" w:lineRule="auto"/>
      <w:ind w:left="482"/>
      <w:jc w:val="both"/>
    </w:pPr>
    <w:rPr>
      <w:rFonts w:ascii="Times New Roman" w:eastAsia="Times New Roman" w:hAnsi="Times New Roman" w:cs="Times New Roman"/>
      <w:sz w:val="24"/>
    </w:rPr>
  </w:style>
  <w:style w:type="paragraph" w:customStyle="1" w:styleId="Text2">
    <w:name w:val="Text 2"/>
    <w:basedOn w:val="Normal"/>
    <w:pPr>
      <w:tabs>
        <w:tab w:val="left" w:pos="2160"/>
      </w:tabs>
      <w:spacing w:before="0" w:line="240" w:lineRule="auto"/>
      <w:ind w:left="1077"/>
      <w:jc w:val="both"/>
    </w:pPr>
    <w:rPr>
      <w:rFonts w:ascii="Times New Roman" w:eastAsia="Times New Roman" w:hAnsi="Times New Roman" w:cs="Times New Roman"/>
      <w:sz w:val="24"/>
    </w:rPr>
  </w:style>
  <w:style w:type="paragraph" w:customStyle="1" w:styleId="Subject">
    <w:name w:val="Subject"/>
    <w:basedOn w:val="Normal"/>
    <w:next w:val="Normal"/>
    <w:pPr>
      <w:spacing w:before="0" w:after="480" w:line="240" w:lineRule="auto"/>
      <w:ind w:left="1191" w:hanging="1191"/>
    </w:pPr>
    <w:rPr>
      <w:rFonts w:ascii="Times New Roman" w:eastAsia="Times New Roman" w:hAnsi="Times New Roman" w:cs="Times New Roman"/>
      <w:b/>
      <w:sz w:val="24"/>
    </w:rPr>
  </w:style>
  <w:style w:type="character" w:customStyle="1" w:styleId="Text1Char">
    <w:name w:val="Text 1 Char"/>
    <w:basedOn w:val="DefaultParagraphFont"/>
    <w:link w:val="Text1"/>
    <w:rPr>
      <w:rFonts w:ascii="Times New Roman" w:eastAsia="Times New Roman" w:hAnsi="Times New Roman" w:cs="Times New Roman"/>
      <w:sz w:val="24"/>
      <w:lang w:val="ro-RO"/>
    </w:rPr>
  </w:style>
  <w:style w:type="paragraph" w:customStyle="1" w:styleId="Default">
    <w:name w:val="Default"/>
    <w:pPr>
      <w:autoSpaceDE w:val="0"/>
      <w:autoSpaceDN w:val="0"/>
      <w:adjustRightInd w:val="0"/>
      <w:spacing w:before="0" w:after="0" w:line="240" w:lineRule="auto"/>
    </w:pPr>
    <w:rPr>
      <w:rFonts w:ascii="EUAlbertina" w:eastAsia="Times New Roman" w:hAnsi="EUAlbertina" w:cs="EUAlbertina"/>
      <w:color w:val="000000"/>
      <w:sz w:val="24"/>
      <w:szCs w:val="24"/>
      <w:lang w:eastAsia="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line="240" w:lineRule="auto"/>
      <w:jc w:val="both"/>
    </w:pPr>
    <w:rPr>
      <w:rFonts w:ascii="Times New Roman"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CaptionChar">
    <w:name w:val="Caption Char"/>
    <w:basedOn w:val="DefaultParagraphFont"/>
    <w:link w:val="Caption"/>
    <w:rPr>
      <w:i/>
      <w:iCs/>
      <w:color w:val="003399" w:themeColor="text2"/>
      <w:sz w:val="18"/>
      <w:szCs w:val="18"/>
      <w:lang w:val="ro-RO"/>
    </w:rPr>
  </w:style>
  <w:style w:type="character" w:customStyle="1" w:styleId="FooterCoverPageChar">
    <w:name w:val="Footer Cover Page Char"/>
    <w:basedOn w:val="CaptionChar"/>
    <w:link w:val="FooterCoverPage"/>
    <w:rPr>
      <w:rFonts w:ascii="Times New Roman" w:hAnsi="Times New Roman" w:cs="Times New Roman"/>
      <w:i w:val="0"/>
      <w:iCs w:val="0"/>
      <w:color w:val="003399" w:themeColor="text2"/>
      <w:sz w:val="24"/>
      <w:szCs w:val="18"/>
      <w:lang w:val="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CaptionChar"/>
    <w:link w:val="FooterSensitivity"/>
    <w:rPr>
      <w:rFonts w:ascii="Times New Roman" w:hAnsi="Times New Roman" w:cs="Times New Roman"/>
      <w:b/>
      <w:i w:val="0"/>
      <w:iCs w:val="0"/>
      <w:color w:val="003399" w:themeColor="text2"/>
      <w:sz w:val="32"/>
      <w:szCs w:val="18"/>
      <w:lang w:val="ro-RO"/>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CaptionChar"/>
    <w:link w:val="HeaderCoverPage"/>
    <w:rPr>
      <w:rFonts w:ascii="Times New Roman" w:hAnsi="Times New Roman" w:cs="Times New Roman"/>
      <w:i w:val="0"/>
      <w:iCs w:val="0"/>
      <w:color w:val="003399" w:themeColor="text2"/>
      <w:sz w:val="24"/>
      <w:szCs w:val="18"/>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CaptionChar"/>
    <w:link w:val="HeaderSensitivity"/>
    <w:rPr>
      <w:rFonts w:ascii="Times New Roman" w:hAnsi="Times New Roman" w:cs="Times New Roman"/>
      <w:b/>
      <w:i w:val="0"/>
      <w:iCs w:val="0"/>
      <w:color w:val="003399" w:themeColor="text2"/>
      <w:sz w:val="32"/>
      <w:szCs w:val="18"/>
      <w:lang w:val="ro-RO"/>
    </w:rPr>
  </w:style>
  <w:style w:type="character" w:customStyle="1" w:styleId="WW8Num4z1">
    <w:name w:val="WW8Num4z1"/>
    <w:rPr>
      <w:rFonts w:ascii="Wingdings" w:hAnsi="Wingdings" w:cs="Symbol" w:hint="default"/>
    </w:rPr>
  </w:style>
  <w:style w:type="character" w:customStyle="1" w:styleId="footnotereference0">
    <w:name w:val="footnotereference"/>
    <w:basedOn w:val="DefaultParagraphFont"/>
    <w:rPr>
      <w:rFonts w:ascii="Times New Roman" w:hAnsi="Times New Roman" w:cs="Times New Roman" w:hint="default"/>
    </w:rPr>
  </w:style>
  <w:style w:type="paragraph" w:customStyle="1" w:styleId="SecurityMarking">
    <w:name w:val="SecurityMarking"/>
    <w:basedOn w:val="Normal"/>
    <w:pPr>
      <w:spacing w:before="0" w:after="0" w:line="276" w:lineRule="auto"/>
      <w:ind w:left="5103"/>
    </w:pPr>
    <w:rPr>
      <w:rFonts w:ascii="Times New Roman" w:hAnsi="Times New Roman" w:cs="Times New Roman"/>
      <w:sz w:val="28"/>
      <w:szCs w:val="22"/>
    </w:rPr>
  </w:style>
  <w:style w:type="paragraph" w:customStyle="1" w:styleId="DateMarking">
    <w:name w:val="DateMarking"/>
    <w:basedOn w:val="Normal"/>
    <w:pPr>
      <w:spacing w:before="0" w:after="0" w:line="276" w:lineRule="auto"/>
      <w:ind w:left="5103"/>
    </w:pPr>
    <w:rPr>
      <w:rFonts w:ascii="Times New Roman" w:hAnsi="Times New Roman" w:cs="Times New Roman"/>
      <w:i/>
      <w:sz w:val="28"/>
      <w:szCs w:val="22"/>
    </w:rPr>
  </w:style>
  <w:style w:type="paragraph" w:customStyle="1" w:styleId="ReleasableTo">
    <w:name w:val="ReleasableTo"/>
    <w:basedOn w:val="Normal"/>
    <w:pPr>
      <w:spacing w:before="0" w:after="0" w:line="276" w:lineRule="auto"/>
      <w:ind w:left="5103"/>
    </w:pPr>
    <w:rPr>
      <w:rFonts w:ascii="Times New Roman" w:hAnsi="Times New Roman" w:cs="Times New Roman"/>
      <w:i/>
      <w:sz w:val="28"/>
      <w:szCs w:val="22"/>
    </w:rPr>
  </w:style>
  <w:style w:type="paragraph" w:customStyle="1" w:styleId="HeaderSensitivityRight">
    <w:name w:val="Header Sensitivity Right"/>
    <w:basedOn w:val="Normal"/>
    <w:pPr>
      <w:spacing w:before="0" w:after="120" w:line="240" w:lineRule="auto"/>
      <w:jc w:val="right"/>
    </w:pPr>
    <w:rPr>
      <w:rFonts w:ascii="Times New Roman" w:hAnsi="Times New Roman" w:cs="Times New Roman"/>
      <w:sz w:val="28"/>
    </w:rPr>
  </w:style>
  <w:style w:type="paragraph" w:customStyle="1" w:styleId="Point0">
    <w:name w:val="Point 0"/>
    <w:basedOn w:val="Normal"/>
    <w:uiPriority w:val="99"/>
    <w:pPr>
      <w:spacing w:before="120" w:after="120" w:line="240" w:lineRule="auto"/>
      <w:ind w:left="850" w:hanging="850"/>
      <w:jc w:val="both"/>
    </w:pPr>
    <w:rPr>
      <w:rFonts w:ascii="Times New Roman" w:eastAsiaTheme="minorEastAsia" w:hAnsi="Times New Roman" w:cs="Times New Roman"/>
      <w:sz w:val="24"/>
      <w:szCs w:val="24"/>
      <w:lang w:eastAsia="en-GB"/>
    </w:rPr>
  </w:style>
  <w:style w:type="character" w:customStyle="1" w:styleId="markedcontent">
    <w:name w:val="markedcontent"/>
    <w:basedOn w:val="DefaultParagraphFont"/>
  </w:style>
  <w:style w:type="paragraph" w:customStyle="1" w:styleId="title-bold">
    <w:name w:val="title-bold"/>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NormalRight">
    <w:name w:val="Normal Right"/>
    <w:basedOn w:val="Normal"/>
    <w:uiPriority w:val="99"/>
    <w:rsid w:val="0027372E"/>
    <w:pPr>
      <w:spacing w:before="120" w:after="120" w:line="240" w:lineRule="auto"/>
      <w:jc w:val="right"/>
    </w:pPr>
    <w:rPr>
      <w:rFonts w:ascii="Times New Roman" w:eastAsiaTheme="minorEastAsia" w:hAnsi="Times New Roman" w:cs="Times New Roman"/>
      <w:sz w:val="24"/>
      <w:szCs w:val="24"/>
      <w:lang w:eastAsia="en-IE"/>
    </w:rPr>
  </w:style>
  <w:style w:type="character" w:customStyle="1" w:styleId="Mention">
    <w:name w:val="Mention"/>
    <w:basedOn w:val="DefaultParagraphFont"/>
    <w:uiPriority w:val="99"/>
    <w:unhideWhenUsed/>
    <w:rsid w:val="007E65F8"/>
    <w:rPr>
      <w:color w:val="2B579A"/>
      <w:shd w:val="clear" w:color="auto" w:fill="E1DFDD"/>
    </w:rPr>
  </w:style>
  <w:style w:type="paragraph" w:customStyle="1" w:styleId="isselectedend">
    <w:name w:val="isselectedend"/>
    <w:basedOn w:val="Normal"/>
    <w:rsid w:val="001A24F3"/>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1340">
      <w:bodyDiv w:val="1"/>
      <w:marLeft w:val="0"/>
      <w:marRight w:val="0"/>
      <w:marTop w:val="0"/>
      <w:marBottom w:val="0"/>
      <w:divBdr>
        <w:top w:val="none" w:sz="0" w:space="0" w:color="auto"/>
        <w:left w:val="none" w:sz="0" w:space="0" w:color="auto"/>
        <w:bottom w:val="none" w:sz="0" w:space="0" w:color="auto"/>
        <w:right w:val="none" w:sz="0" w:space="0" w:color="auto"/>
      </w:divBdr>
    </w:div>
    <w:div w:id="17318377">
      <w:bodyDiv w:val="1"/>
      <w:marLeft w:val="0"/>
      <w:marRight w:val="0"/>
      <w:marTop w:val="0"/>
      <w:marBottom w:val="0"/>
      <w:divBdr>
        <w:top w:val="none" w:sz="0" w:space="0" w:color="auto"/>
        <w:left w:val="none" w:sz="0" w:space="0" w:color="auto"/>
        <w:bottom w:val="none" w:sz="0" w:space="0" w:color="auto"/>
        <w:right w:val="none" w:sz="0" w:space="0" w:color="auto"/>
      </w:divBdr>
    </w:div>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56518824">
      <w:bodyDiv w:val="1"/>
      <w:marLeft w:val="0"/>
      <w:marRight w:val="0"/>
      <w:marTop w:val="0"/>
      <w:marBottom w:val="0"/>
      <w:divBdr>
        <w:top w:val="none" w:sz="0" w:space="0" w:color="auto"/>
        <w:left w:val="none" w:sz="0" w:space="0" w:color="auto"/>
        <w:bottom w:val="none" w:sz="0" w:space="0" w:color="auto"/>
        <w:right w:val="none" w:sz="0" w:space="0" w:color="auto"/>
      </w:divBdr>
    </w:div>
    <w:div w:id="63913620">
      <w:bodyDiv w:val="1"/>
      <w:marLeft w:val="0"/>
      <w:marRight w:val="0"/>
      <w:marTop w:val="0"/>
      <w:marBottom w:val="0"/>
      <w:divBdr>
        <w:top w:val="none" w:sz="0" w:space="0" w:color="auto"/>
        <w:left w:val="none" w:sz="0" w:space="0" w:color="auto"/>
        <w:bottom w:val="none" w:sz="0" w:space="0" w:color="auto"/>
        <w:right w:val="none" w:sz="0" w:space="0" w:color="auto"/>
      </w:divBdr>
    </w:div>
    <w:div w:id="106512562">
      <w:bodyDiv w:val="1"/>
      <w:marLeft w:val="0"/>
      <w:marRight w:val="0"/>
      <w:marTop w:val="0"/>
      <w:marBottom w:val="0"/>
      <w:divBdr>
        <w:top w:val="none" w:sz="0" w:space="0" w:color="auto"/>
        <w:left w:val="none" w:sz="0" w:space="0" w:color="auto"/>
        <w:bottom w:val="none" w:sz="0" w:space="0" w:color="auto"/>
        <w:right w:val="none" w:sz="0" w:space="0" w:color="auto"/>
      </w:divBdr>
    </w:div>
    <w:div w:id="124474031">
      <w:bodyDiv w:val="1"/>
      <w:marLeft w:val="0"/>
      <w:marRight w:val="0"/>
      <w:marTop w:val="0"/>
      <w:marBottom w:val="0"/>
      <w:divBdr>
        <w:top w:val="none" w:sz="0" w:space="0" w:color="auto"/>
        <w:left w:val="none" w:sz="0" w:space="0" w:color="auto"/>
        <w:bottom w:val="none" w:sz="0" w:space="0" w:color="auto"/>
        <w:right w:val="none" w:sz="0" w:space="0" w:color="auto"/>
      </w:divBdr>
    </w:div>
    <w:div w:id="133062814">
      <w:bodyDiv w:val="1"/>
      <w:marLeft w:val="0"/>
      <w:marRight w:val="0"/>
      <w:marTop w:val="0"/>
      <w:marBottom w:val="0"/>
      <w:divBdr>
        <w:top w:val="none" w:sz="0" w:space="0" w:color="auto"/>
        <w:left w:val="none" w:sz="0" w:space="0" w:color="auto"/>
        <w:bottom w:val="none" w:sz="0" w:space="0" w:color="auto"/>
        <w:right w:val="none" w:sz="0" w:space="0" w:color="auto"/>
      </w:divBdr>
    </w:div>
    <w:div w:id="154498362">
      <w:bodyDiv w:val="1"/>
      <w:marLeft w:val="0"/>
      <w:marRight w:val="0"/>
      <w:marTop w:val="0"/>
      <w:marBottom w:val="0"/>
      <w:divBdr>
        <w:top w:val="none" w:sz="0" w:space="0" w:color="auto"/>
        <w:left w:val="none" w:sz="0" w:space="0" w:color="auto"/>
        <w:bottom w:val="none" w:sz="0" w:space="0" w:color="auto"/>
        <w:right w:val="none" w:sz="0" w:space="0" w:color="auto"/>
      </w:divBdr>
    </w:div>
    <w:div w:id="163471648">
      <w:bodyDiv w:val="1"/>
      <w:marLeft w:val="0"/>
      <w:marRight w:val="0"/>
      <w:marTop w:val="0"/>
      <w:marBottom w:val="0"/>
      <w:divBdr>
        <w:top w:val="none" w:sz="0" w:space="0" w:color="auto"/>
        <w:left w:val="none" w:sz="0" w:space="0" w:color="auto"/>
        <w:bottom w:val="none" w:sz="0" w:space="0" w:color="auto"/>
        <w:right w:val="none" w:sz="0" w:space="0" w:color="auto"/>
      </w:divBdr>
      <w:divsChild>
        <w:div w:id="1545603797">
          <w:marLeft w:val="0"/>
          <w:marRight w:val="0"/>
          <w:marTop w:val="0"/>
          <w:marBottom w:val="0"/>
          <w:divBdr>
            <w:top w:val="none" w:sz="0" w:space="0" w:color="auto"/>
            <w:left w:val="none" w:sz="0" w:space="0" w:color="auto"/>
            <w:bottom w:val="none" w:sz="0" w:space="0" w:color="auto"/>
            <w:right w:val="none" w:sz="0" w:space="0" w:color="auto"/>
          </w:divBdr>
          <w:divsChild>
            <w:div w:id="2087412605">
              <w:marLeft w:val="0"/>
              <w:marRight w:val="0"/>
              <w:marTop w:val="0"/>
              <w:marBottom w:val="0"/>
              <w:divBdr>
                <w:top w:val="none" w:sz="0" w:space="0" w:color="auto"/>
                <w:left w:val="none" w:sz="0" w:space="0" w:color="auto"/>
                <w:bottom w:val="none" w:sz="0" w:space="0" w:color="auto"/>
                <w:right w:val="none" w:sz="0" w:space="0" w:color="auto"/>
              </w:divBdr>
              <w:divsChild>
                <w:div w:id="414977839">
                  <w:marLeft w:val="0"/>
                  <w:marRight w:val="0"/>
                  <w:marTop w:val="0"/>
                  <w:marBottom w:val="0"/>
                  <w:divBdr>
                    <w:top w:val="none" w:sz="0" w:space="0" w:color="auto"/>
                    <w:left w:val="none" w:sz="0" w:space="0" w:color="auto"/>
                    <w:bottom w:val="none" w:sz="0" w:space="0" w:color="auto"/>
                    <w:right w:val="none" w:sz="0" w:space="0" w:color="auto"/>
                  </w:divBdr>
                  <w:divsChild>
                    <w:div w:id="1951547590">
                      <w:marLeft w:val="0"/>
                      <w:marRight w:val="0"/>
                      <w:marTop w:val="0"/>
                      <w:marBottom w:val="0"/>
                      <w:divBdr>
                        <w:top w:val="none" w:sz="0" w:space="0" w:color="auto"/>
                        <w:left w:val="none" w:sz="0" w:space="0" w:color="auto"/>
                        <w:bottom w:val="none" w:sz="0" w:space="0" w:color="auto"/>
                        <w:right w:val="none" w:sz="0" w:space="0" w:color="auto"/>
                      </w:divBdr>
                      <w:divsChild>
                        <w:div w:id="1997223519">
                          <w:marLeft w:val="0"/>
                          <w:marRight w:val="0"/>
                          <w:marTop w:val="0"/>
                          <w:marBottom w:val="0"/>
                          <w:divBdr>
                            <w:top w:val="none" w:sz="0" w:space="0" w:color="auto"/>
                            <w:left w:val="none" w:sz="0" w:space="0" w:color="auto"/>
                            <w:bottom w:val="none" w:sz="0" w:space="0" w:color="auto"/>
                            <w:right w:val="none" w:sz="0" w:space="0" w:color="auto"/>
                          </w:divBdr>
                          <w:divsChild>
                            <w:div w:id="665859235">
                              <w:marLeft w:val="-225"/>
                              <w:marRight w:val="-225"/>
                              <w:marTop w:val="0"/>
                              <w:marBottom w:val="0"/>
                              <w:divBdr>
                                <w:top w:val="none" w:sz="0" w:space="0" w:color="auto"/>
                                <w:left w:val="none" w:sz="0" w:space="0" w:color="auto"/>
                                <w:bottom w:val="none" w:sz="0" w:space="0" w:color="auto"/>
                                <w:right w:val="none" w:sz="0" w:space="0" w:color="auto"/>
                              </w:divBdr>
                              <w:divsChild>
                                <w:div w:id="1634603584">
                                  <w:marLeft w:val="0"/>
                                  <w:marRight w:val="0"/>
                                  <w:marTop w:val="0"/>
                                  <w:marBottom w:val="133"/>
                                  <w:divBdr>
                                    <w:top w:val="none" w:sz="0" w:space="0" w:color="auto"/>
                                    <w:left w:val="none" w:sz="0" w:space="0" w:color="auto"/>
                                    <w:bottom w:val="none" w:sz="0" w:space="0" w:color="auto"/>
                                    <w:right w:val="none" w:sz="0" w:space="0" w:color="auto"/>
                                  </w:divBdr>
                                  <w:divsChild>
                                    <w:div w:id="8583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84693">
      <w:bodyDiv w:val="1"/>
      <w:marLeft w:val="0"/>
      <w:marRight w:val="0"/>
      <w:marTop w:val="0"/>
      <w:marBottom w:val="0"/>
      <w:divBdr>
        <w:top w:val="none" w:sz="0" w:space="0" w:color="auto"/>
        <w:left w:val="none" w:sz="0" w:space="0" w:color="auto"/>
        <w:bottom w:val="none" w:sz="0" w:space="0" w:color="auto"/>
        <w:right w:val="none" w:sz="0" w:space="0" w:color="auto"/>
      </w:divBdr>
    </w:div>
    <w:div w:id="207642439">
      <w:bodyDiv w:val="1"/>
      <w:marLeft w:val="0"/>
      <w:marRight w:val="0"/>
      <w:marTop w:val="0"/>
      <w:marBottom w:val="0"/>
      <w:divBdr>
        <w:top w:val="none" w:sz="0" w:space="0" w:color="auto"/>
        <w:left w:val="none" w:sz="0" w:space="0" w:color="auto"/>
        <w:bottom w:val="none" w:sz="0" w:space="0" w:color="auto"/>
        <w:right w:val="none" w:sz="0" w:space="0" w:color="auto"/>
      </w:divBdr>
    </w:div>
    <w:div w:id="229850510">
      <w:bodyDiv w:val="1"/>
      <w:marLeft w:val="0"/>
      <w:marRight w:val="0"/>
      <w:marTop w:val="0"/>
      <w:marBottom w:val="0"/>
      <w:divBdr>
        <w:top w:val="none" w:sz="0" w:space="0" w:color="auto"/>
        <w:left w:val="none" w:sz="0" w:space="0" w:color="auto"/>
        <w:bottom w:val="none" w:sz="0" w:space="0" w:color="auto"/>
        <w:right w:val="none" w:sz="0" w:space="0" w:color="auto"/>
      </w:divBdr>
    </w:div>
    <w:div w:id="233854571">
      <w:bodyDiv w:val="1"/>
      <w:marLeft w:val="0"/>
      <w:marRight w:val="0"/>
      <w:marTop w:val="0"/>
      <w:marBottom w:val="0"/>
      <w:divBdr>
        <w:top w:val="none" w:sz="0" w:space="0" w:color="auto"/>
        <w:left w:val="none" w:sz="0" w:space="0" w:color="auto"/>
        <w:bottom w:val="none" w:sz="0" w:space="0" w:color="auto"/>
        <w:right w:val="none" w:sz="0" w:space="0" w:color="auto"/>
      </w:divBdr>
    </w:div>
    <w:div w:id="251816919">
      <w:bodyDiv w:val="1"/>
      <w:marLeft w:val="0"/>
      <w:marRight w:val="0"/>
      <w:marTop w:val="0"/>
      <w:marBottom w:val="0"/>
      <w:divBdr>
        <w:top w:val="none" w:sz="0" w:space="0" w:color="auto"/>
        <w:left w:val="none" w:sz="0" w:space="0" w:color="auto"/>
        <w:bottom w:val="none" w:sz="0" w:space="0" w:color="auto"/>
        <w:right w:val="none" w:sz="0" w:space="0" w:color="auto"/>
      </w:divBdr>
    </w:div>
    <w:div w:id="256796035">
      <w:bodyDiv w:val="1"/>
      <w:marLeft w:val="0"/>
      <w:marRight w:val="0"/>
      <w:marTop w:val="0"/>
      <w:marBottom w:val="0"/>
      <w:divBdr>
        <w:top w:val="none" w:sz="0" w:space="0" w:color="auto"/>
        <w:left w:val="none" w:sz="0" w:space="0" w:color="auto"/>
        <w:bottom w:val="none" w:sz="0" w:space="0" w:color="auto"/>
        <w:right w:val="none" w:sz="0" w:space="0" w:color="auto"/>
      </w:divBdr>
    </w:div>
    <w:div w:id="306596134">
      <w:bodyDiv w:val="1"/>
      <w:marLeft w:val="0"/>
      <w:marRight w:val="0"/>
      <w:marTop w:val="0"/>
      <w:marBottom w:val="0"/>
      <w:divBdr>
        <w:top w:val="none" w:sz="0" w:space="0" w:color="auto"/>
        <w:left w:val="none" w:sz="0" w:space="0" w:color="auto"/>
        <w:bottom w:val="none" w:sz="0" w:space="0" w:color="auto"/>
        <w:right w:val="none" w:sz="0" w:space="0" w:color="auto"/>
      </w:divBdr>
    </w:div>
    <w:div w:id="308438651">
      <w:bodyDiv w:val="1"/>
      <w:marLeft w:val="0"/>
      <w:marRight w:val="0"/>
      <w:marTop w:val="0"/>
      <w:marBottom w:val="0"/>
      <w:divBdr>
        <w:top w:val="none" w:sz="0" w:space="0" w:color="auto"/>
        <w:left w:val="none" w:sz="0" w:space="0" w:color="auto"/>
        <w:bottom w:val="none" w:sz="0" w:space="0" w:color="auto"/>
        <w:right w:val="none" w:sz="0" w:space="0" w:color="auto"/>
      </w:divBdr>
    </w:div>
    <w:div w:id="354618136">
      <w:bodyDiv w:val="1"/>
      <w:marLeft w:val="0"/>
      <w:marRight w:val="0"/>
      <w:marTop w:val="0"/>
      <w:marBottom w:val="0"/>
      <w:divBdr>
        <w:top w:val="none" w:sz="0" w:space="0" w:color="auto"/>
        <w:left w:val="none" w:sz="0" w:space="0" w:color="auto"/>
        <w:bottom w:val="none" w:sz="0" w:space="0" w:color="auto"/>
        <w:right w:val="none" w:sz="0" w:space="0" w:color="auto"/>
      </w:divBdr>
    </w:div>
    <w:div w:id="362098488">
      <w:bodyDiv w:val="1"/>
      <w:marLeft w:val="0"/>
      <w:marRight w:val="0"/>
      <w:marTop w:val="0"/>
      <w:marBottom w:val="0"/>
      <w:divBdr>
        <w:top w:val="none" w:sz="0" w:space="0" w:color="auto"/>
        <w:left w:val="none" w:sz="0" w:space="0" w:color="auto"/>
        <w:bottom w:val="none" w:sz="0" w:space="0" w:color="auto"/>
        <w:right w:val="none" w:sz="0" w:space="0" w:color="auto"/>
      </w:divBdr>
    </w:div>
    <w:div w:id="378669119">
      <w:bodyDiv w:val="1"/>
      <w:marLeft w:val="0"/>
      <w:marRight w:val="0"/>
      <w:marTop w:val="0"/>
      <w:marBottom w:val="0"/>
      <w:divBdr>
        <w:top w:val="none" w:sz="0" w:space="0" w:color="auto"/>
        <w:left w:val="none" w:sz="0" w:space="0" w:color="auto"/>
        <w:bottom w:val="none" w:sz="0" w:space="0" w:color="auto"/>
        <w:right w:val="none" w:sz="0" w:space="0" w:color="auto"/>
      </w:divBdr>
    </w:div>
    <w:div w:id="379524759">
      <w:bodyDiv w:val="1"/>
      <w:marLeft w:val="0"/>
      <w:marRight w:val="0"/>
      <w:marTop w:val="0"/>
      <w:marBottom w:val="0"/>
      <w:divBdr>
        <w:top w:val="none" w:sz="0" w:space="0" w:color="auto"/>
        <w:left w:val="none" w:sz="0" w:space="0" w:color="auto"/>
        <w:bottom w:val="none" w:sz="0" w:space="0" w:color="auto"/>
        <w:right w:val="none" w:sz="0" w:space="0" w:color="auto"/>
      </w:divBdr>
    </w:div>
    <w:div w:id="382218318">
      <w:bodyDiv w:val="1"/>
      <w:marLeft w:val="0"/>
      <w:marRight w:val="0"/>
      <w:marTop w:val="0"/>
      <w:marBottom w:val="0"/>
      <w:divBdr>
        <w:top w:val="none" w:sz="0" w:space="0" w:color="auto"/>
        <w:left w:val="none" w:sz="0" w:space="0" w:color="auto"/>
        <w:bottom w:val="none" w:sz="0" w:space="0" w:color="auto"/>
        <w:right w:val="none" w:sz="0" w:space="0" w:color="auto"/>
      </w:divBdr>
      <w:divsChild>
        <w:div w:id="13771394">
          <w:marLeft w:val="0"/>
          <w:marRight w:val="0"/>
          <w:marTop w:val="0"/>
          <w:marBottom w:val="0"/>
          <w:divBdr>
            <w:top w:val="none" w:sz="0" w:space="0" w:color="auto"/>
            <w:left w:val="none" w:sz="0" w:space="0" w:color="auto"/>
            <w:bottom w:val="none" w:sz="0" w:space="0" w:color="auto"/>
            <w:right w:val="none" w:sz="0" w:space="0" w:color="auto"/>
          </w:divBdr>
        </w:div>
        <w:div w:id="351037791">
          <w:marLeft w:val="0"/>
          <w:marRight w:val="0"/>
          <w:marTop w:val="0"/>
          <w:marBottom w:val="0"/>
          <w:divBdr>
            <w:top w:val="none" w:sz="0" w:space="0" w:color="auto"/>
            <w:left w:val="none" w:sz="0" w:space="0" w:color="auto"/>
            <w:bottom w:val="none" w:sz="0" w:space="0" w:color="auto"/>
            <w:right w:val="none" w:sz="0" w:space="0" w:color="auto"/>
          </w:divBdr>
        </w:div>
        <w:div w:id="1160927742">
          <w:marLeft w:val="0"/>
          <w:marRight w:val="0"/>
          <w:marTop w:val="0"/>
          <w:marBottom w:val="0"/>
          <w:divBdr>
            <w:top w:val="none" w:sz="0" w:space="0" w:color="auto"/>
            <w:left w:val="none" w:sz="0" w:space="0" w:color="auto"/>
            <w:bottom w:val="none" w:sz="0" w:space="0" w:color="auto"/>
            <w:right w:val="none" w:sz="0" w:space="0" w:color="auto"/>
          </w:divBdr>
        </w:div>
        <w:div w:id="1696610093">
          <w:marLeft w:val="0"/>
          <w:marRight w:val="0"/>
          <w:marTop w:val="0"/>
          <w:marBottom w:val="0"/>
          <w:divBdr>
            <w:top w:val="none" w:sz="0" w:space="0" w:color="auto"/>
            <w:left w:val="none" w:sz="0" w:space="0" w:color="auto"/>
            <w:bottom w:val="none" w:sz="0" w:space="0" w:color="auto"/>
            <w:right w:val="none" w:sz="0" w:space="0" w:color="auto"/>
          </w:divBdr>
        </w:div>
        <w:div w:id="1951353634">
          <w:marLeft w:val="0"/>
          <w:marRight w:val="0"/>
          <w:marTop w:val="0"/>
          <w:marBottom w:val="0"/>
          <w:divBdr>
            <w:top w:val="none" w:sz="0" w:space="0" w:color="auto"/>
            <w:left w:val="none" w:sz="0" w:space="0" w:color="auto"/>
            <w:bottom w:val="none" w:sz="0" w:space="0" w:color="auto"/>
            <w:right w:val="none" w:sz="0" w:space="0" w:color="auto"/>
          </w:divBdr>
        </w:div>
      </w:divsChild>
    </w:div>
    <w:div w:id="441609357">
      <w:bodyDiv w:val="1"/>
      <w:marLeft w:val="0"/>
      <w:marRight w:val="0"/>
      <w:marTop w:val="0"/>
      <w:marBottom w:val="0"/>
      <w:divBdr>
        <w:top w:val="none" w:sz="0" w:space="0" w:color="auto"/>
        <w:left w:val="none" w:sz="0" w:space="0" w:color="auto"/>
        <w:bottom w:val="none" w:sz="0" w:space="0" w:color="auto"/>
        <w:right w:val="none" w:sz="0" w:space="0" w:color="auto"/>
      </w:divBdr>
      <w:divsChild>
        <w:div w:id="583799303">
          <w:marLeft w:val="0"/>
          <w:marRight w:val="0"/>
          <w:marTop w:val="0"/>
          <w:marBottom w:val="0"/>
          <w:divBdr>
            <w:top w:val="none" w:sz="0" w:space="0" w:color="auto"/>
            <w:left w:val="none" w:sz="0" w:space="0" w:color="auto"/>
            <w:bottom w:val="none" w:sz="0" w:space="0" w:color="auto"/>
            <w:right w:val="none" w:sz="0" w:space="0" w:color="auto"/>
          </w:divBdr>
          <w:divsChild>
            <w:div w:id="208156326">
              <w:marLeft w:val="0"/>
              <w:marRight w:val="0"/>
              <w:marTop w:val="0"/>
              <w:marBottom w:val="0"/>
              <w:divBdr>
                <w:top w:val="none" w:sz="0" w:space="0" w:color="auto"/>
                <w:left w:val="none" w:sz="0" w:space="0" w:color="auto"/>
                <w:bottom w:val="none" w:sz="0" w:space="0" w:color="auto"/>
                <w:right w:val="none" w:sz="0" w:space="0" w:color="auto"/>
              </w:divBdr>
              <w:divsChild>
                <w:div w:id="702243767">
                  <w:marLeft w:val="0"/>
                  <w:marRight w:val="0"/>
                  <w:marTop w:val="0"/>
                  <w:marBottom w:val="0"/>
                  <w:divBdr>
                    <w:top w:val="none" w:sz="0" w:space="0" w:color="auto"/>
                    <w:left w:val="none" w:sz="0" w:space="0" w:color="auto"/>
                    <w:bottom w:val="none" w:sz="0" w:space="0" w:color="auto"/>
                    <w:right w:val="none" w:sz="0" w:space="0" w:color="auto"/>
                  </w:divBdr>
                  <w:divsChild>
                    <w:div w:id="64422346">
                      <w:marLeft w:val="0"/>
                      <w:marRight w:val="0"/>
                      <w:marTop w:val="0"/>
                      <w:marBottom w:val="0"/>
                      <w:divBdr>
                        <w:top w:val="none" w:sz="0" w:space="0" w:color="auto"/>
                        <w:left w:val="none" w:sz="0" w:space="0" w:color="auto"/>
                        <w:bottom w:val="none" w:sz="0" w:space="0" w:color="auto"/>
                        <w:right w:val="none" w:sz="0" w:space="0" w:color="auto"/>
                      </w:divBdr>
                      <w:divsChild>
                        <w:div w:id="1014117586">
                          <w:marLeft w:val="0"/>
                          <w:marRight w:val="0"/>
                          <w:marTop w:val="0"/>
                          <w:marBottom w:val="0"/>
                          <w:divBdr>
                            <w:top w:val="none" w:sz="0" w:space="0" w:color="auto"/>
                            <w:left w:val="none" w:sz="0" w:space="0" w:color="auto"/>
                            <w:bottom w:val="none" w:sz="0" w:space="0" w:color="auto"/>
                            <w:right w:val="none" w:sz="0" w:space="0" w:color="auto"/>
                          </w:divBdr>
                          <w:divsChild>
                            <w:div w:id="1535147112">
                              <w:marLeft w:val="-225"/>
                              <w:marRight w:val="-225"/>
                              <w:marTop w:val="0"/>
                              <w:marBottom w:val="0"/>
                              <w:divBdr>
                                <w:top w:val="none" w:sz="0" w:space="0" w:color="auto"/>
                                <w:left w:val="none" w:sz="0" w:space="0" w:color="auto"/>
                                <w:bottom w:val="none" w:sz="0" w:space="0" w:color="auto"/>
                                <w:right w:val="none" w:sz="0" w:space="0" w:color="auto"/>
                              </w:divBdr>
                              <w:divsChild>
                                <w:div w:id="759565836">
                                  <w:marLeft w:val="0"/>
                                  <w:marRight w:val="0"/>
                                  <w:marTop w:val="0"/>
                                  <w:marBottom w:val="133"/>
                                  <w:divBdr>
                                    <w:top w:val="none" w:sz="0" w:space="0" w:color="auto"/>
                                    <w:left w:val="none" w:sz="0" w:space="0" w:color="auto"/>
                                    <w:bottom w:val="none" w:sz="0" w:space="0" w:color="auto"/>
                                    <w:right w:val="none" w:sz="0" w:space="0" w:color="auto"/>
                                  </w:divBdr>
                                  <w:divsChild>
                                    <w:div w:id="209770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045589">
      <w:bodyDiv w:val="1"/>
      <w:marLeft w:val="0"/>
      <w:marRight w:val="0"/>
      <w:marTop w:val="0"/>
      <w:marBottom w:val="0"/>
      <w:divBdr>
        <w:top w:val="none" w:sz="0" w:space="0" w:color="auto"/>
        <w:left w:val="none" w:sz="0" w:space="0" w:color="auto"/>
        <w:bottom w:val="none" w:sz="0" w:space="0" w:color="auto"/>
        <w:right w:val="none" w:sz="0" w:space="0" w:color="auto"/>
      </w:divBdr>
    </w:div>
    <w:div w:id="485367911">
      <w:bodyDiv w:val="1"/>
      <w:marLeft w:val="0"/>
      <w:marRight w:val="0"/>
      <w:marTop w:val="0"/>
      <w:marBottom w:val="0"/>
      <w:divBdr>
        <w:top w:val="none" w:sz="0" w:space="0" w:color="auto"/>
        <w:left w:val="none" w:sz="0" w:space="0" w:color="auto"/>
        <w:bottom w:val="none" w:sz="0" w:space="0" w:color="auto"/>
        <w:right w:val="none" w:sz="0" w:space="0" w:color="auto"/>
      </w:divBdr>
    </w:div>
    <w:div w:id="500703562">
      <w:bodyDiv w:val="1"/>
      <w:marLeft w:val="0"/>
      <w:marRight w:val="0"/>
      <w:marTop w:val="0"/>
      <w:marBottom w:val="0"/>
      <w:divBdr>
        <w:top w:val="none" w:sz="0" w:space="0" w:color="auto"/>
        <w:left w:val="none" w:sz="0" w:space="0" w:color="auto"/>
        <w:bottom w:val="none" w:sz="0" w:space="0" w:color="auto"/>
        <w:right w:val="none" w:sz="0" w:space="0" w:color="auto"/>
      </w:divBdr>
    </w:div>
    <w:div w:id="502821650">
      <w:bodyDiv w:val="1"/>
      <w:marLeft w:val="0"/>
      <w:marRight w:val="0"/>
      <w:marTop w:val="0"/>
      <w:marBottom w:val="0"/>
      <w:divBdr>
        <w:top w:val="none" w:sz="0" w:space="0" w:color="auto"/>
        <w:left w:val="none" w:sz="0" w:space="0" w:color="auto"/>
        <w:bottom w:val="none" w:sz="0" w:space="0" w:color="auto"/>
        <w:right w:val="none" w:sz="0" w:space="0" w:color="auto"/>
      </w:divBdr>
    </w:div>
    <w:div w:id="511606774">
      <w:bodyDiv w:val="1"/>
      <w:marLeft w:val="0"/>
      <w:marRight w:val="0"/>
      <w:marTop w:val="0"/>
      <w:marBottom w:val="0"/>
      <w:divBdr>
        <w:top w:val="none" w:sz="0" w:space="0" w:color="auto"/>
        <w:left w:val="none" w:sz="0" w:space="0" w:color="auto"/>
        <w:bottom w:val="none" w:sz="0" w:space="0" w:color="auto"/>
        <w:right w:val="none" w:sz="0" w:space="0" w:color="auto"/>
      </w:divBdr>
    </w:div>
    <w:div w:id="520163498">
      <w:bodyDiv w:val="1"/>
      <w:marLeft w:val="0"/>
      <w:marRight w:val="0"/>
      <w:marTop w:val="0"/>
      <w:marBottom w:val="0"/>
      <w:divBdr>
        <w:top w:val="none" w:sz="0" w:space="0" w:color="auto"/>
        <w:left w:val="none" w:sz="0" w:space="0" w:color="auto"/>
        <w:bottom w:val="none" w:sz="0" w:space="0" w:color="auto"/>
        <w:right w:val="none" w:sz="0" w:space="0" w:color="auto"/>
      </w:divBdr>
    </w:div>
    <w:div w:id="525022587">
      <w:bodyDiv w:val="1"/>
      <w:marLeft w:val="0"/>
      <w:marRight w:val="0"/>
      <w:marTop w:val="0"/>
      <w:marBottom w:val="0"/>
      <w:divBdr>
        <w:top w:val="none" w:sz="0" w:space="0" w:color="auto"/>
        <w:left w:val="none" w:sz="0" w:space="0" w:color="auto"/>
        <w:bottom w:val="none" w:sz="0" w:space="0" w:color="auto"/>
        <w:right w:val="none" w:sz="0" w:space="0" w:color="auto"/>
      </w:divBdr>
    </w:div>
    <w:div w:id="536430408">
      <w:bodyDiv w:val="1"/>
      <w:marLeft w:val="0"/>
      <w:marRight w:val="0"/>
      <w:marTop w:val="0"/>
      <w:marBottom w:val="0"/>
      <w:divBdr>
        <w:top w:val="none" w:sz="0" w:space="0" w:color="auto"/>
        <w:left w:val="none" w:sz="0" w:space="0" w:color="auto"/>
        <w:bottom w:val="none" w:sz="0" w:space="0" w:color="auto"/>
        <w:right w:val="none" w:sz="0" w:space="0" w:color="auto"/>
      </w:divBdr>
    </w:div>
    <w:div w:id="542403621">
      <w:bodyDiv w:val="1"/>
      <w:marLeft w:val="0"/>
      <w:marRight w:val="0"/>
      <w:marTop w:val="0"/>
      <w:marBottom w:val="0"/>
      <w:divBdr>
        <w:top w:val="none" w:sz="0" w:space="0" w:color="auto"/>
        <w:left w:val="none" w:sz="0" w:space="0" w:color="auto"/>
        <w:bottom w:val="none" w:sz="0" w:space="0" w:color="auto"/>
        <w:right w:val="none" w:sz="0" w:space="0" w:color="auto"/>
      </w:divBdr>
    </w:div>
    <w:div w:id="571740146">
      <w:bodyDiv w:val="1"/>
      <w:marLeft w:val="0"/>
      <w:marRight w:val="0"/>
      <w:marTop w:val="0"/>
      <w:marBottom w:val="0"/>
      <w:divBdr>
        <w:top w:val="none" w:sz="0" w:space="0" w:color="auto"/>
        <w:left w:val="none" w:sz="0" w:space="0" w:color="auto"/>
        <w:bottom w:val="none" w:sz="0" w:space="0" w:color="auto"/>
        <w:right w:val="none" w:sz="0" w:space="0" w:color="auto"/>
      </w:divBdr>
      <w:divsChild>
        <w:div w:id="717586248">
          <w:marLeft w:val="0"/>
          <w:marRight w:val="0"/>
          <w:marTop w:val="0"/>
          <w:marBottom w:val="0"/>
          <w:divBdr>
            <w:top w:val="none" w:sz="0" w:space="0" w:color="auto"/>
            <w:left w:val="none" w:sz="0" w:space="0" w:color="auto"/>
            <w:bottom w:val="none" w:sz="0" w:space="0" w:color="auto"/>
            <w:right w:val="none" w:sz="0" w:space="0" w:color="auto"/>
          </w:divBdr>
          <w:divsChild>
            <w:div w:id="152752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85153">
      <w:bodyDiv w:val="1"/>
      <w:marLeft w:val="0"/>
      <w:marRight w:val="0"/>
      <w:marTop w:val="0"/>
      <w:marBottom w:val="0"/>
      <w:divBdr>
        <w:top w:val="none" w:sz="0" w:space="0" w:color="auto"/>
        <w:left w:val="none" w:sz="0" w:space="0" w:color="auto"/>
        <w:bottom w:val="none" w:sz="0" w:space="0" w:color="auto"/>
        <w:right w:val="none" w:sz="0" w:space="0" w:color="auto"/>
      </w:divBdr>
      <w:divsChild>
        <w:div w:id="613902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810853">
      <w:bodyDiv w:val="1"/>
      <w:marLeft w:val="0"/>
      <w:marRight w:val="0"/>
      <w:marTop w:val="0"/>
      <w:marBottom w:val="0"/>
      <w:divBdr>
        <w:top w:val="none" w:sz="0" w:space="0" w:color="auto"/>
        <w:left w:val="none" w:sz="0" w:space="0" w:color="auto"/>
        <w:bottom w:val="none" w:sz="0" w:space="0" w:color="auto"/>
        <w:right w:val="none" w:sz="0" w:space="0" w:color="auto"/>
      </w:divBdr>
    </w:div>
    <w:div w:id="619846104">
      <w:bodyDiv w:val="1"/>
      <w:marLeft w:val="0"/>
      <w:marRight w:val="0"/>
      <w:marTop w:val="0"/>
      <w:marBottom w:val="0"/>
      <w:divBdr>
        <w:top w:val="none" w:sz="0" w:space="0" w:color="auto"/>
        <w:left w:val="none" w:sz="0" w:space="0" w:color="auto"/>
        <w:bottom w:val="none" w:sz="0" w:space="0" w:color="auto"/>
        <w:right w:val="none" w:sz="0" w:space="0" w:color="auto"/>
      </w:divBdr>
      <w:divsChild>
        <w:div w:id="1114255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3456627">
      <w:bodyDiv w:val="1"/>
      <w:marLeft w:val="0"/>
      <w:marRight w:val="0"/>
      <w:marTop w:val="0"/>
      <w:marBottom w:val="0"/>
      <w:divBdr>
        <w:top w:val="none" w:sz="0" w:space="0" w:color="auto"/>
        <w:left w:val="none" w:sz="0" w:space="0" w:color="auto"/>
        <w:bottom w:val="none" w:sz="0" w:space="0" w:color="auto"/>
        <w:right w:val="none" w:sz="0" w:space="0" w:color="auto"/>
      </w:divBdr>
    </w:div>
    <w:div w:id="707343200">
      <w:bodyDiv w:val="1"/>
      <w:marLeft w:val="0"/>
      <w:marRight w:val="0"/>
      <w:marTop w:val="0"/>
      <w:marBottom w:val="0"/>
      <w:divBdr>
        <w:top w:val="none" w:sz="0" w:space="0" w:color="auto"/>
        <w:left w:val="none" w:sz="0" w:space="0" w:color="auto"/>
        <w:bottom w:val="none" w:sz="0" w:space="0" w:color="auto"/>
        <w:right w:val="none" w:sz="0" w:space="0" w:color="auto"/>
      </w:divBdr>
    </w:div>
    <w:div w:id="714701984">
      <w:bodyDiv w:val="1"/>
      <w:marLeft w:val="0"/>
      <w:marRight w:val="0"/>
      <w:marTop w:val="0"/>
      <w:marBottom w:val="0"/>
      <w:divBdr>
        <w:top w:val="none" w:sz="0" w:space="0" w:color="auto"/>
        <w:left w:val="none" w:sz="0" w:space="0" w:color="auto"/>
        <w:bottom w:val="none" w:sz="0" w:space="0" w:color="auto"/>
        <w:right w:val="none" w:sz="0" w:space="0" w:color="auto"/>
      </w:divBdr>
    </w:div>
    <w:div w:id="732387652">
      <w:bodyDiv w:val="1"/>
      <w:marLeft w:val="0"/>
      <w:marRight w:val="0"/>
      <w:marTop w:val="0"/>
      <w:marBottom w:val="0"/>
      <w:divBdr>
        <w:top w:val="none" w:sz="0" w:space="0" w:color="auto"/>
        <w:left w:val="none" w:sz="0" w:space="0" w:color="auto"/>
        <w:bottom w:val="none" w:sz="0" w:space="0" w:color="auto"/>
        <w:right w:val="none" w:sz="0" w:space="0" w:color="auto"/>
      </w:divBdr>
    </w:div>
    <w:div w:id="773287929">
      <w:bodyDiv w:val="1"/>
      <w:marLeft w:val="0"/>
      <w:marRight w:val="0"/>
      <w:marTop w:val="0"/>
      <w:marBottom w:val="0"/>
      <w:divBdr>
        <w:top w:val="none" w:sz="0" w:space="0" w:color="auto"/>
        <w:left w:val="none" w:sz="0" w:space="0" w:color="auto"/>
        <w:bottom w:val="none" w:sz="0" w:space="0" w:color="auto"/>
        <w:right w:val="none" w:sz="0" w:space="0" w:color="auto"/>
      </w:divBdr>
    </w:div>
    <w:div w:id="805004994">
      <w:bodyDiv w:val="1"/>
      <w:marLeft w:val="0"/>
      <w:marRight w:val="0"/>
      <w:marTop w:val="0"/>
      <w:marBottom w:val="0"/>
      <w:divBdr>
        <w:top w:val="none" w:sz="0" w:space="0" w:color="auto"/>
        <w:left w:val="none" w:sz="0" w:space="0" w:color="auto"/>
        <w:bottom w:val="none" w:sz="0" w:space="0" w:color="auto"/>
        <w:right w:val="none" w:sz="0" w:space="0" w:color="auto"/>
      </w:divBdr>
    </w:div>
    <w:div w:id="836118116">
      <w:bodyDiv w:val="1"/>
      <w:marLeft w:val="0"/>
      <w:marRight w:val="0"/>
      <w:marTop w:val="0"/>
      <w:marBottom w:val="0"/>
      <w:divBdr>
        <w:top w:val="none" w:sz="0" w:space="0" w:color="auto"/>
        <w:left w:val="none" w:sz="0" w:space="0" w:color="auto"/>
        <w:bottom w:val="none" w:sz="0" w:space="0" w:color="auto"/>
        <w:right w:val="none" w:sz="0" w:space="0" w:color="auto"/>
      </w:divBdr>
      <w:divsChild>
        <w:div w:id="1816333134">
          <w:marLeft w:val="0"/>
          <w:marRight w:val="0"/>
          <w:marTop w:val="0"/>
          <w:marBottom w:val="0"/>
          <w:divBdr>
            <w:top w:val="single" w:sz="2" w:space="0" w:color="CCCCCC"/>
            <w:left w:val="single" w:sz="6" w:space="0" w:color="CCCCCC"/>
            <w:bottom w:val="single" w:sz="6" w:space="0" w:color="CCCCCC"/>
            <w:right w:val="single" w:sz="6" w:space="0" w:color="CCCCCC"/>
          </w:divBdr>
          <w:divsChild>
            <w:div w:id="243033381">
              <w:marLeft w:val="0"/>
              <w:marRight w:val="0"/>
              <w:marTop w:val="0"/>
              <w:marBottom w:val="0"/>
              <w:divBdr>
                <w:top w:val="none" w:sz="0" w:space="0" w:color="auto"/>
                <w:left w:val="none" w:sz="0" w:space="0" w:color="auto"/>
                <w:bottom w:val="none" w:sz="0" w:space="0" w:color="auto"/>
                <w:right w:val="none" w:sz="0" w:space="0" w:color="auto"/>
              </w:divBdr>
              <w:divsChild>
                <w:div w:id="693309435">
                  <w:marLeft w:val="-180"/>
                  <w:marRight w:val="-180"/>
                  <w:marTop w:val="0"/>
                  <w:marBottom w:val="0"/>
                  <w:divBdr>
                    <w:top w:val="none" w:sz="0" w:space="0" w:color="auto"/>
                    <w:left w:val="none" w:sz="0" w:space="0" w:color="auto"/>
                    <w:bottom w:val="none" w:sz="0" w:space="0" w:color="auto"/>
                    <w:right w:val="none" w:sz="0" w:space="0" w:color="auto"/>
                  </w:divBdr>
                  <w:divsChild>
                    <w:div w:id="826286987">
                      <w:marLeft w:val="0"/>
                      <w:marRight w:val="0"/>
                      <w:marTop w:val="0"/>
                      <w:marBottom w:val="0"/>
                      <w:divBdr>
                        <w:top w:val="none" w:sz="0" w:space="0" w:color="auto"/>
                        <w:left w:val="none" w:sz="0" w:space="0" w:color="auto"/>
                        <w:bottom w:val="none" w:sz="0" w:space="0" w:color="auto"/>
                        <w:right w:val="none" w:sz="0" w:space="0" w:color="auto"/>
                      </w:divBdr>
                      <w:divsChild>
                        <w:div w:id="699743034">
                          <w:marLeft w:val="-180"/>
                          <w:marRight w:val="-180"/>
                          <w:marTop w:val="0"/>
                          <w:marBottom w:val="0"/>
                          <w:divBdr>
                            <w:top w:val="none" w:sz="0" w:space="0" w:color="auto"/>
                            <w:left w:val="none" w:sz="0" w:space="0" w:color="auto"/>
                            <w:bottom w:val="none" w:sz="0" w:space="0" w:color="auto"/>
                            <w:right w:val="none" w:sz="0" w:space="0" w:color="auto"/>
                          </w:divBdr>
                          <w:divsChild>
                            <w:div w:id="230701301">
                              <w:marLeft w:val="0"/>
                              <w:marRight w:val="0"/>
                              <w:marTop w:val="0"/>
                              <w:marBottom w:val="0"/>
                              <w:divBdr>
                                <w:top w:val="none" w:sz="0" w:space="0" w:color="auto"/>
                                <w:left w:val="none" w:sz="0" w:space="0" w:color="auto"/>
                                <w:bottom w:val="none" w:sz="0" w:space="0" w:color="auto"/>
                                <w:right w:val="none" w:sz="0" w:space="0" w:color="auto"/>
                              </w:divBdr>
                              <w:divsChild>
                                <w:div w:id="921640175">
                                  <w:marLeft w:val="0"/>
                                  <w:marRight w:val="0"/>
                                  <w:marTop w:val="0"/>
                                  <w:marBottom w:val="0"/>
                                  <w:divBdr>
                                    <w:top w:val="none" w:sz="0" w:space="0" w:color="auto"/>
                                    <w:left w:val="none" w:sz="0" w:space="0" w:color="auto"/>
                                    <w:bottom w:val="none" w:sz="0" w:space="0" w:color="auto"/>
                                    <w:right w:val="none" w:sz="0" w:space="0" w:color="auto"/>
                                  </w:divBdr>
                                  <w:divsChild>
                                    <w:div w:id="382753246">
                                      <w:marLeft w:val="0"/>
                                      <w:marRight w:val="0"/>
                                      <w:marTop w:val="0"/>
                                      <w:marBottom w:val="0"/>
                                      <w:divBdr>
                                        <w:top w:val="none" w:sz="0" w:space="0" w:color="auto"/>
                                        <w:left w:val="none" w:sz="0" w:space="0" w:color="auto"/>
                                        <w:bottom w:val="none" w:sz="0" w:space="0" w:color="auto"/>
                                        <w:right w:val="none" w:sz="0" w:space="0" w:color="auto"/>
                                      </w:divBdr>
                                      <w:divsChild>
                                        <w:div w:id="383716176">
                                          <w:marLeft w:val="0"/>
                                          <w:marRight w:val="0"/>
                                          <w:marTop w:val="0"/>
                                          <w:marBottom w:val="0"/>
                                          <w:divBdr>
                                            <w:top w:val="none" w:sz="0" w:space="0" w:color="auto"/>
                                            <w:left w:val="none" w:sz="0" w:space="0" w:color="auto"/>
                                            <w:bottom w:val="none" w:sz="0" w:space="0" w:color="auto"/>
                                            <w:right w:val="none" w:sz="0" w:space="0" w:color="auto"/>
                                          </w:divBdr>
                                          <w:divsChild>
                                            <w:div w:id="1240797192">
                                              <w:marLeft w:val="0"/>
                                              <w:marRight w:val="0"/>
                                              <w:marTop w:val="0"/>
                                              <w:marBottom w:val="0"/>
                                              <w:divBdr>
                                                <w:top w:val="none" w:sz="0" w:space="0" w:color="auto"/>
                                                <w:left w:val="none" w:sz="0" w:space="0" w:color="auto"/>
                                                <w:bottom w:val="none" w:sz="0" w:space="0" w:color="auto"/>
                                                <w:right w:val="none" w:sz="0" w:space="0" w:color="auto"/>
                                              </w:divBdr>
                                              <w:divsChild>
                                                <w:div w:id="1932661072">
                                                  <w:marLeft w:val="0"/>
                                                  <w:marRight w:val="0"/>
                                                  <w:marTop w:val="0"/>
                                                  <w:marBottom w:val="0"/>
                                                  <w:divBdr>
                                                    <w:top w:val="none" w:sz="0" w:space="0" w:color="auto"/>
                                                    <w:left w:val="none" w:sz="0" w:space="0" w:color="auto"/>
                                                    <w:bottom w:val="none" w:sz="0" w:space="0" w:color="auto"/>
                                                    <w:right w:val="none" w:sz="0" w:space="0" w:color="auto"/>
                                                  </w:divBdr>
                                                  <w:divsChild>
                                                    <w:div w:id="1928880898">
                                                      <w:marLeft w:val="0"/>
                                                      <w:marRight w:val="0"/>
                                                      <w:marTop w:val="0"/>
                                                      <w:marBottom w:val="0"/>
                                                      <w:divBdr>
                                                        <w:top w:val="none" w:sz="0" w:space="0" w:color="auto"/>
                                                        <w:left w:val="none" w:sz="0" w:space="0" w:color="auto"/>
                                                        <w:bottom w:val="none" w:sz="0" w:space="0" w:color="auto"/>
                                                        <w:right w:val="none" w:sz="0" w:space="0" w:color="auto"/>
                                                      </w:divBdr>
                                                      <w:divsChild>
                                                        <w:div w:id="623077403">
                                                          <w:marLeft w:val="-180"/>
                                                          <w:marRight w:val="-180"/>
                                                          <w:marTop w:val="0"/>
                                                          <w:marBottom w:val="0"/>
                                                          <w:divBdr>
                                                            <w:top w:val="none" w:sz="0" w:space="0" w:color="auto"/>
                                                            <w:left w:val="none" w:sz="0" w:space="0" w:color="auto"/>
                                                            <w:bottom w:val="none" w:sz="0" w:space="0" w:color="auto"/>
                                                            <w:right w:val="none" w:sz="0" w:space="0" w:color="auto"/>
                                                          </w:divBdr>
                                                          <w:divsChild>
                                                            <w:div w:id="442504384">
                                                              <w:marLeft w:val="0"/>
                                                              <w:marRight w:val="0"/>
                                                              <w:marTop w:val="0"/>
                                                              <w:marBottom w:val="0"/>
                                                              <w:divBdr>
                                                                <w:top w:val="none" w:sz="0" w:space="0" w:color="auto"/>
                                                                <w:left w:val="none" w:sz="0" w:space="0" w:color="auto"/>
                                                                <w:bottom w:val="none" w:sz="0" w:space="0" w:color="auto"/>
                                                                <w:right w:val="none" w:sz="0" w:space="0" w:color="auto"/>
                                                              </w:divBdr>
                                                              <w:divsChild>
                                                                <w:div w:id="14696957">
                                                                  <w:marLeft w:val="0"/>
                                                                  <w:marRight w:val="0"/>
                                                                  <w:marTop w:val="0"/>
                                                                  <w:marBottom w:val="0"/>
                                                                  <w:divBdr>
                                                                    <w:top w:val="none" w:sz="0" w:space="0" w:color="auto"/>
                                                                    <w:left w:val="none" w:sz="0" w:space="0" w:color="auto"/>
                                                                    <w:bottom w:val="none" w:sz="0" w:space="0" w:color="auto"/>
                                                                    <w:right w:val="none" w:sz="0" w:space="0" w:color="auto"/>
                                                                  </w:divBdr>
                                                                  <w:divsChild>
                                                                    <w:div w:id="1590653096">
                                                                      <w:marLeft w:val="0"/>
                                                                      <w:marRight w:val="0"/>
                                                                      <w:marTop w:val="0"/>
                                                                      <w:marBottom w:val="0"/>
                                                                      <w:divBdr>
                                                                        <w:top w:val="none" w:sz="0" w:space="0" w:color="auto"/>
                                                                        <w:left w:val="none" w:sz="0" w:space="0" w:color="auto"/>
                                                                        <w:bottom w:val="none" w:sz="0" w:space="0" w:color="auto"/>
                                                                        <w:right w:val="none" w:sz="0" w:space="0" w:color="auto"/>
                                                                      </w:divBdr>
                                                                      <w:divsChild>
                                                                        <w:div w:id="10632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2576547">
      <w:bodyDiv w:val="1"/>
      <w:marLeft w:val="0"/>
      <w:marRight w:val="0"/>
      <w:marTop w:val="0"/>
      <w:marBottom w:val="0"/>
      <w:divBdr>
        <w:top w:val="none" w:sz="0" w:space="0" w:color="auto"/>
        <w:left w:val="none" w:sz="0" w:space="0" w:color="auto"/>
        <w:bottom w:val="none" w:sz="0" w:space="0" w:color="auto"/>
        <w:right w:val="none" w:sz="0" w:space="0" w:color="auto"/>
      </w:divBdr>
    </w:div>
    <w:div w:id="857163708">
      <w:bodyDiv w:val="1"/>
      <w:marLeft w:val="0"/>
      <w:marRight w:val="0"/>
      <w:marTop w:val="0"/>
      <w:marBottom w:val="0"/>
      <w:divBdr>
        <w:top w:val="none" w:sz="0" w:space="0" w:color="auto"/>
        <w:left w:val="none" w:sz="0" w:space="0" w:color="auto"/>
        <w:bottom w:val="none" w:sz="0" w:space="0" w:color="auto"/>
        <w:right w:val="none" w:sz="0" w:space="0" w:color="auto"/>
      </w:divBdr>
      <w:divsChild>
        <w:div w:id="384569576">
          <w:marLeft w:val="0"/>
          <w:marRight w:val="0"/>
          <w:marTop w:val="0"/>
          <w:marBottom w:val="0"/>
          <w:divBdr>
            <w:top w:val="none" w:sz="0" w:space="0" w:color="auto"/>
            <w:left w:val="none" w:sz="0" w:space="0" w:color="auto"/>
            <w:bottom w:val="none" w:sz="0" w:space="0" w:color="auto"/>
            <w:right w:val="none" w:sz="0" w:space="0" w:color="auto"/>
          </w:divBdr>
          <w:divsChild>
            <w:div w:id="1145314700">
              <w:marLeft w:val="0"/>
              <w:marRight w:val="0"/>
              <w:marTop w:val="0"/>
              <w:marBottom w:val="0"/>
              <w:divBdr>
                <w:top w:val="none" w:sz="0" w:space="0" w:color="auto"/>
                <w:left w:val="none" w:sz="0" w:space="0" w:color="auto"/>
                <w:bottom w:val="none" w:sz="0" w:space="0" w:color="auto"/>
                <w:right w:val="none" w:sz="0" w:space="0" w:color="auto"/>
              </w:divBdr>
              <w:divsChild>
                <w:div w:id="603004632">
                  <w:marLeft w:val="0"/>
                  <w:marRight w:val="0"/>
                  <w:marTop w:val="0"/>
                  <w:marBottom w:val="0"/>
                  <w:divBdr>
                    <w:top w:val="none" w:sz="0" w:space="0" w:color="auto"/>
                    <w:left w:val="none" w:sz="0" w:space="0" w:color="auto"/>
                    <w:bottom w:val="none" w:sz="0" w:space="0" w:color="auto"/>
                    <w:right w:val="none" w:sz="0" w:space="0" w:color="auto"/>
                  </w:divBdr>
                  <w:divsChild>
                    <w:div w:id="1084837614">
                      <w:marLeft w:val="0"/>
                      <w:marRight w:val="0"/>
                      <w:marTop w:val="0"/>
                      <w:marBottom w:val="0"/>
                      <w:divBdr>
                        <w:top w:val="none" w:sz="0" w:space="0" w:color="auto"/>
                        <w:left w:val="none" w:sz="0" w:space="0" w:color="auto"/>
                        <w:bottom w:val="none" w:sz="0" w:space="0" w:color="auto"/>
                        <w:right w:val="none" w:sz="0" w:space="0" w:color="auto"/>
                      </w:divBdr>
                      <w:divsChild>
                        <w:div w:id="1277252659">
                          <w:marLeft w:val="0"/>
                          <w:marRight w:val="0"/>
                          <w:marTop w:val="0"/>
                          <w:marBottom w:val="0"/>
                          <w:divBdr>
                            <w:top w:val="none" w:sz="0" w:space="0" w:color="auto"/>
                            <w:left w:val="none" w:sz="0" w:space="0" w:color="auto"/>
                            <w:bottom w:val="none" w:sz="0" w:space="0" w:color="auto"/>
                            <w:right w:val="none" w:sz="0" w:space="0" w:color="auto"/>
                          </w:divBdr>
                          <w:divsChild>
                            <w:div w:id="1596985510">
                              <w:marLeft w:val="-225"/>
                              <w:marRight w:val="-225"/>
                              <w:marTop w:val="0"/>
                              <w:marBottom w:val="0"/>
                              <w:divBdr>
                                <w:top w:val="none" w:sz="0" w:space="0" w:color="auto"/>
                                <w:left w:val="none" w:sz="0" w:space="0" w:color="auto"/>
                                <w:bottom w:val="none" w:sz="0" w:space="0" w:color="auto"/>
                                <w:right w:val="none" w:sz="0" w:space="0" w:color="auto"/>
                              </w:divBdr>
                              <w:divsChild>
                                <w:div w:id="267006942">
                                  <w:marLeft w:val="0"/>
                                  <w:marRight w:val="0"/>
                                  <w:marTop w:val="0"/>
                                  <w:marBottom w:val="133"/>
                                  <w:divBdr>
                                    <w:top w:val="none" w:sz="0" w:space="0" w:color="auto"/>
                                    <w:left w:val="none" w:sz="0" w:space="0" w:color="auto"/>
                                    <w:bottom w:val="none" w:sz="0" w:space="0" w:color="auto"/>
                                    <w:right w:val="none" w:sz="0" w:space="0" w:color="auto"/>
                                  </w:divBdr>
                                  <w:divsChild>
                                    <w:div w:id="3023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3175261">
      <w:bodyDiv w:val="1"/>
      <w:marLeft w:val="0"/>
      <w:marRight w:val="0"/>
      <w:marTop w:val="0"/>
      <w:marBottom w:val="0"/>
      <w:divBdr>
        <w:top w:val="none" w:sz="0" w:space="0" w:color="auto"/>
        <w:left w:val="none" w:sz="0" w:space="0" w:color="auto"/>
        <w:bottom w:val="none" w:sz="0" w:space="0" w:color="auto"/>
        <w:right w:val="none" w:sz="0" w:space="0" w:color="auto"/>
      </w:divBdr>
      <w:divsChild>
        <w:div w:id="303899439">
          <w:marLeft w:val="0"/>
          <w:marRight w:val="0"/>
          <w:marTop w:val="0"/>
          <w:marBottom w:val="0"/>
          <w:divBdr>
            <w:top w:val="none" w:sz="0" w:space="0" w:color="auto"/>
            <w:left w:val="none" w:sz="0" w:space="0" w:color="auto"/>
            <w:bottom w:val="none" w:sz="0" w:space="0" w:color="auto"/>
            <w:right w:val="none" w:sz="0" w:space="0" w:color="auto"/>
          </w:divBdr>
        </w:div>
        <w:div w:id="701439095">
          <w:marLeft w:val="0"/>
          <w:marRight w:val="0"/>
          <w:marTop w:val="0"/>
          <w:marBottom w:val="0"/>
          <w:divBdr>
            <w:top w:val="none" w:sz="0" w:space="0" w:color="auto"/>
            <w:left w:val="none" w:sz="0" w:space="0" w:color="auto"/>
            <w:bottom w:val="none" w:sz="0" w:space="0" w:color="auto"/>
            <w:right w:val="none" w:sz="0" w:space="0" w:color="auto"/>
          </w:divBdr>
        </w:div>
        <w:div w:id="1441416683">
          <w:marLeft w:val="0"/>
          <w:marRight w:val="0"/>
          <w:marTop w:val="0"/>
          <w:marBottom w:val="0"/>
          <w:divBdr>
            <w:top w:val="none" w:sz="0" w:space="0" w:color="auto"/>
            <w:left w:val="none" w:sz="0" w:space="0" w:color="auto"/>
            <w:bottom w:val="none" w:sz="0" w:space="0" w:color="auto"/>
            <w:right w:val="none" w:sz="0" w:space="0" w:color="auto"/>
          </w:divBdr>
        </w:div>
        <w:div w:id="1603300060">
          <w:marLeft w:val="0"/>
          <w:marRight w:val="0"/>
          <w:marTop w:val="0"/>
          <w:marBottom w:val="0"/>
          <w:divBdr>
            <w:top w:val="none" w:sz="0" w:space="0" w:color="auto"/>
            <w:left w:val="none" w:sz="0" w:space="0" w:color="auto"/>
            <w:bottom w:val="none" w:sz="0" w:space="0" w:color="auto"/>
            <w:right w:val="none" w:sz="0" w:space="0" w:color="auto"/>
          </w:divBdr>
        </w:div>
        <w:div w:id="1743327301">
          <w:marLeft w:val="0"/>
          <w:marRight w:val="0"/>
          <w:marTop w:val="0"/>
          <w:marBottom w:val="0"/>
          <w:divBdr>
            <w:top w:val="none" w:sz="0" w:space="0" w:color="auto"/>
            <w:left w:val="none" w:sz="0" w:space="0" w:color="auto"/>
            <w:bottom w:val="none" w:sz="0" w:space="0" w:color="auto"/>
            <w:right w:val="none" w:sz="0" w:space="0" w:color="auto"/>
          </w:divBdr>
        </w:div>
      </w:divsChild>
    </w:div>
    <w:div w:id="922907523">
      <w:bodyDiv w:val="1"/>
      <w:marLeft w:val="0"/>
      <w:marRight w:val="0"/>
      <w:marTop w:val="0"/>
      <w:marBottom w:val="0"/>
      <w:divBdr>
        <w:top w:val="none" w:sz="0" w:space="0" w:color="auto"/>
        <w:left w:val="none" w:sz="0" w:space="0" w:color="auto"/>
        <w:bottom w:val="none" w:sz="0" w:space="0" w:color="auto"/>
        <w:right w:val="none" w:sz="0" w:space="0" w:color="auto"/>
      </w:divBdr>
    </w:div>
    <w:div w:id="928268341">
      <w:bodyDiv w:val="1"/>
      <w:marLeft w:val="0"/>
      <w:marRight w:val="0"/>
      <w:marTop w:val="0"/>
      <w:marBottom w:val="0"/>
      <w:divBdr>
        <w:top w:val="none" w:sz="0" w:space="0" w:color="auto"/>
        <w:left w:val="none" w:sz="0" w:space="0" w:color="auto"/>
        <w:bottom w:val="none" w:sz="0" w:space="0" w:color="auto"/>
        <w:right w:val="none" w:sz="0" w:space="0" w:color="auto"/>
      </w:divBdr>
    </w:div>
    <w:div w:id="944770525">
      <w:bodyDiv w:val="1"/>
      <w:marLeft w:val="0"/>
      <w:marRight w:val="0"/>
      <w:marTop w:val="0"/>
      <w:marBottom w:val="0"/>
      <w:divBdr>
        <w:top w:val="none" w:sz="0" w:space="0" w:color="auto"/>
        <w:left w:val="none" w:sz="0" w:space="0" w:color="auto"/>
        <w:bottom w:val="none" w:sz="0" w:space="0" w:color="auto"/>
        <w:right w:val="none" w:sz="0" w:space="0" w:color="auto"/>
      </w:divBdr>
    </w:div>
    <w:div w:id="946235517">
      <w:bodyDiv w:val="1"/>
      <w:marLeft w:val="0"/>
      <w:marRight w:val="0"/>
      <w:marTop w:val="0"/>
      <w:marBottom w:val="0"/>
      <w:divBdr>
        <w:top w:val="none" w:sz="0" w:space="0" w:color="auto"/>
        <w:left w:val="none" w:sz="0" w:space="0" w:color="auto"/>
        <w:bottom w:val="none" w:sz="0" w:space="0" w:color="auto"/>
        <w:right w:val="none" w:sz="0" w:space="0" w:color="auto"/>
      </w:divBdr>
    </w:div>
    <w:div w:id="956374190">
      <w:bodyDiv w:val="1"/>
      <w:marLeft w:val="0"/>
      <w:marRight w:val="0"/>
      <w:marTop w:val="0"/>
      <w:marBottom w:val="0"/>
      <w:divBdr>
        <w:top w:val="none" w:sz="0" w:space="0" w:color="auto"/>
        <w:left w:val="none" w:sz="0" w:space="0" w:color="auto"/>
        <w:bottom w:val="none" w:sz="0" w:space="0" w:color="auto"/>
        <w:right w:val="none" w:sz="0" w:space="0" w:color="auto"/>
      </w:divBdr>
    </w:div>
    <w:div w:id="956910310">
      <w:bodyDiv w:val="1"/>
      <w:marLeft w:val="0"/>
      <w:marRight w:val="0"/>
      <w:marTop w:val="0"/>
      <w:marBottom w:val="0"/>
      <w:divBdr>
        <w:top w:val="none" w:sz="0" w:space="0" w:color="auto"/>
        <w:left w:val="none" w:sz="0" w:space="0" w:color="auto"/>
        <w:bottom w:val="none" w:sz="0" w:space="0" w:color="auto"/>
        <w:right w:val="none" w:sz="0" w:space="0" w:color="auto"/>
      </w:divBdr>
    </w:div>
    <w:div w:id="963928851">
      <w:bodyDiv w:val="1"/>
      <w:marLeft w:val="0"/>
      <w:marRight w:val="0"/>
      <w:marTop w:val="0"/>
      <w:marBottom w:val="0"/>
      <w:divBdr>
        <w:top w:val="none" w:sz="0" w:space="0" w:color="auto"/>
        <w:left w:val="none" w:sz="0" w:space="0" w:color="auto"/>
        <w:bottom w:val="none" w:sz="0" w:space="0" w:color="auto"/>
        <w:right w:val="none" w:sz="0" w:space="0" w:color="auto"/>
      </w:divBdr>
    </w:div>
    <w:div w:id="968630805">
      <w:bodyDiv w:val="1"/>
      <w:marLeft w:val="0"/>
      <w:marRight w:val="0"/>
      <w:marTop w:val="0"/>
      <w:marBottom w:val="0"/>
      <w:divBdr>
        <w:top w:val="none" w:sz="0" w:space="0" w:color="auto"/>
        <w:left w:val="none" w:sz="0" w:space="0" w:color="auto"/>
        <w:bottom w:val="none" w:sz="0" w:space="0" w:color="auto"/>
        <w:right w:val="none" w:sz="0" w:space="0" w:color="auto"/>
      </w:divBdr>
    </w:div>
    <w:div w:id="986012970">
      <w:bodyDiv w:val="1"/>
      <w:marLeft w:val="0"/>
      <w:marRight w:val="0"/>
      <w:marTop w:val="0"/>
      <w:marBottom w:val="0"/>
      <w:divBdr>
        <w:top w:val="none" w:sz="0" w:space="0" w:color="auto"/>
        <w:left w:val="none" w:sz="0" w:space="0" w:color="auto"/>
        <w:bottom w:val="none" w:sz="0" w:space="0" w:color="auto"/>
        <w:right w:val="none" w:sz="0" w:space="0" w:color="auto"/>
      </w:divBdr>
    </w:div>
    <w:div w:id="1034117773">
      <w:bodyDiv w:val="1"/>
      <w:marLeft w:val="0"/>
      <w:marRight w:val="0"/>
      <w:marTop w:val="0"/>
      <w:marBottom w:val="0"/>
      <w:divBdr>
        <w:top w:val="none" w:sz="0" w:space="0" w:color="auto"/>
        <w:left w:val="none" w:sz="0" w:space="0" w:color="auto"/>
        <w:bottom w:val="none" w:sz="0" w:space="0" w:color="auto"/>
        <w:right w:val="none" w:sz="0" w:space="0" w:color="auto"/>
      </w:divBdr>
    </w:div>
    <w:div w:id="1035354747">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053848113">
      <w:bodyDiv w:val="1"/>
      <w:marLeft w:val="0"/>
      <w:marRight w:val="0"/>
      <w:marTop w:val="0"/>
      <w:marBottom w:val="0"/>
      <w:divBdr>
        <w:top w:val="none" w:sz="0" w:space="0" w:color="auto"/>
        <w:left w:val="none" w:sz="0" w:space="0" w:color="auto"/>
        <w:bottom w:val="none" w:sz="0" w:space="0" w:color="auto"/>
        <w:right w:val="none" w:sz="0" w:space="0" w:color="auto"/>
      </w:divBdr>
    </w:div>
    <w:div w:id="1062874348">
      <w:bodyDiv w:val="1"/>
      <w:marLeft w:val="0"/>
      <w:marRight w:val="0"/>
      <w:marTop w:val="0"/>
      <w:marBottom w:val="0"/>
      <w:divBdr>
        <w:top w:val="none" w:sz="0" w:space="0" w:color="auto"/>
        <w:left w:val="none" w:sz="0" w:space="0" w:color="auto"/>
        <w:bottom w:val="none" w:sz="0" w:space="0" w:color="auto"/>
        <w:right w:val="none" w:sz="0" w:space="0" w:color="auto"/>
      </w:divBdr>
    </w:div>
    <w:div w:id="1089471907">
      <w:bodyDiv w:val="1"/>
      <w:marLeft w:val="0"/>
      <w:marRight w:val="0"/>
      <w:marTop w:val="0"/>
      <w:marBottom w:val="0"/>
      <w:divBdr>
        <w:top w:val="none" w:sz="0" w:space="0" w:color="auto"/>
        <w:left w:val="none" w:sz="0" w:space="0" w:color="auto"/>
        <w:bottom w:val="none" w:sz="0" w:space="0" w:color="auto"/>
        <w:right w:val="none" w:sz="0" w:space="0" w:color="auto"/>
      </w:divBdr>
    </w:div>
    <w:div w:id="111590689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152714501">
      <w:bodyDiv w:val="1"/>
      <w:marLeft w:val="0"/>
      <w:marRight w:val="0"/>
      <w:marTop w:val="0"/>
      <w:marBottom w:val="0"/>
      <w:divBdr>
        <w:top w:val="none" w:sz="0" w:space="0" w:color="auto"/>
        <w:left w:val="none" w:sz="0" w:space="0" w:color="auto"/>
        <w:bottom w:val="none" w:sz="0" w:space="0" w:color="auto"/>
        <w:right w:val="none" w:sz="0" w:space="0" w:color="auto"/>
      </w:divBdr>
    </w:div>
    <w:div w:id="1165128996">
      <w:bodyDiv w:val="1"/>
      <w:marLeft w:val="0"/>
      <w:marRight w:val="0"/>
      <w:marTop w:val="0"/>
      <w:marBottom w:val="0"/>
      <w:divBdr>
        <w:top w:val="none" w:sz="0" w:space="0" w:color="auto"/>
        <w:left w:val="none" w:sz="0" w:space="0" w:color="auto"/>
        <w:bottom w:val="none" w:sz="0" w:space="0" w:color="auto"/>
        <w:right w:val="none" w:sz="0" w:space="0" w:color="auto"/>
      </w:divBdr>
      <w:divsChild>
        <w:div w:id="747119650">
          <w:marLeft w:val="0"/>
          <w:marRight w:val="0"/>
          <w:marTop w:val="0"/>
          <w:marBottom w:val="0"/>
          <w:divBdr>
            <w:top w:val="none" w:sz="0" w:space="0" w:color="auto"/>
            <w:left w:val="none" w:sz="0" w:space="0" w:color="auto"/>
            <w:bottom w:val="none" w:sz="0" w:space="0" w:color="auto"/>
            <w:right w:val="none" w:sz="0" w:space="0" w:color="auto"/>
          </w:divBdr>
          <w:divsChild>
            <w:div w:id="29321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7898">
      <w:bodyDiv w:val="1"/>
      <w:marLeft w:val="0"/>
      <w:marRight w:val="0"/>
      <w:marTop w:val="0"/>
      <w:marBottom w:val="0"/>
      <w:divBdr>
        <w:top w:val="none" w:sz="0" w:space="0" w:color="auto"/>
        <w:left w:val="none" w:sz="0" w:space="0" w:color="auto"/>
        <w:bottom w:val="none" w:sz="0" w:space="0" w:color="auto"/>
        <w:right w:val="none" w:sz="0" w:space="0" w:color="auto"/>
      </w:divBdr>
    </w:div>
    <w:div w:id="1174496443">
      <w:bodyDiv w:val="1"/>
      <w:marLeft w:val="0"/>
      <w:marRight w:val="0"/>
      <w:marTop w:val="0"/>
      <w:marBottom w:val="0"/>
      <w:divBdr>
        <w:top w:val="none" w:sz="0" w:space="0" w:color="auto"/>
        <w:left w:val="none" w:sz="0" w:space="0" w:color="auto"/>
        <w:bottom w:val="none" w:sz="0" w:space="0" w:color="auto"/>
        <w:right w:val="none" w:sz="0" w:space="0" w:color="auto"/>
      </w:divBdr>
    </w:div>
    <w:div w:id="1175148365">
      <w:bodyDiv w:val="1"/>
      <w:marLeft w:val="0"/>
      <w:marRight w:val="0"/>
      <w:marTop w:val="0"/>
      <w:marBottom w:val="0"/>
      <w:divBdr>
        <w:top w:val="none" w:sz="0" w:space="0" w:color="auto"/>
        <w:left w:val="none" w:sz="0" w:space="0" w:color="auto"/>
        <w:bottom w:val="none" w:sz="0" w:space="0" w:color="auto"/>
        <w:right w:val="none" w:sz="0" w:space="0" w:color="auto"/>
      </w:divBdr>
    </w:div>
    <w:div w:id="1202474947">
      <w:bodyDiv w:val="1"/>
      <w:marLeft w:val="0"/>
      <w:marRight w:val="0"/>
      <w:marTop w:val="0"/>
      <w:marBottom w:val="0"/>
      <w:divBdr>
        <w:top w:val="none" w:sz="0" w:space="0" w:color="auto"/>
        <w:left w:val="none" w:sz="0" w:space="0" w:color="auto"/>
        <w:bottom w:val="none" w:sz="0" w:space="0" w:color="auto"/>
        <w:right w:val="none" w:sz="0" w:space="0" w:color="auto"/>
      </w:divBdr>
    </w:div>
    <w:div w:id="1236555188">
      <w:bodyDiv w:val="1"/>
      <w:marLeft w:val="0"/>
      <w:marRight w:val="0"/>
      <w:marTop w:val="0"/>
      <w:marBottom w:val="0"/>
      <w:divBdr>
        <w:top w:val="none" w:sz="0" w:space="0" w:color="auto"/>
        <w:left w:val="none" w:sz="0" w:space="0" w:color="auto"/>
        <w:bottom w:val="none" w:sz="0" w:space="0" w:color="auto"/>
        <w:right w:val="none" w:sz="0" w:space="0" w:color="auto"/>
      </w:divBdr>
    </w:div>
    <w:div w:id="1288123358">
      <w:bodyDiv w:val="1"/>
      <w:marLeft w:val="0"/>
      <w:marRight w:val="0"/>
      <w:marTop w:val="0"/>
      <w:marBottom w:val="0"/>
      <w:divBdr>
        <w:top w:val="none" w:sz="0" w:space="0" w:color="auto"/>
        <w:left w:val="none" w:sz="0" w:space="0" w:color="auto"/>
        <w:bottom w:val="none" w:sz="0" w:space="0" w:color="auto"/>
        <w:right w:val="none" w:sz="0" w:space="0" w:color="auto"/>
      </w:divBdr>
    </w:div>
    <w:div w:id="1297103018">
      <w:bodyDiv w:val="1"/>
      <w:marLeft w:val="0"/>
      <w:marRight w:val="0"/>
      <w:marTop w:val="0"/>
      <w:marBottom w:val="0"/>
      <w:divBdr>
        <w:top w:val="none" w:sz="0" w:space="0" w:color="auto"/>
        <w:left w:val="none" w:sz="0" w:space="0" w:color="auto"/>
        <w:bottom w:val="none" w:sz="0" w:space="0" w:color="auto"/>
        <w:right w:val="none" w:sz="0" w:space="0" w:color="auto"/>
      </w:divBdr>
    </w:div>
    <w:div w:id="1304235338">
      <w:bodyDiv w:val="1"/>
      <w:marLeft w:val="0"/>
      <w:marRight w:val="0"/>
      <w:marTop w:val="0"/>
      <w:marBottom w:val="0"/>
      <w:divBdr>
        <w:top w:val="none" w:sz="0" w:space="0" w:color="auto"/>
        <w:left w:val="none" w:sz="0" w:space="0" w:color="auto"/>
        <w:bottom w:val="none" w:sz="0" w:space="0" w:color="auto"/>
        <w:right w:val="none" w:sz="0" w:space="0" w:color="auto"/>
      </w:divBdr>
    </w:div>
    <w:div w:id="1339819049">
      <w:bodyDiv w:val="1"/>
      <w:marLeft w:val="0"/>
      <w:marRight w:val="0"/>
      <w:marTop w:val="0"/>
      <w:marBottom w:val="0"/>
      <w:divBdr>
        <w:top w:val="none" w:sz="0" w:space="0" w:color="auto"/>
        <w:left w:val="none" w:sz="0" w:space="0" w:color="auto"/>
        <w:bottom w:val="none" w:sz="0" w:space="0" w:color="auto"/>
        <w:right w:val="none" w:sz="0" w:space="0" w:color="auto"/>
      </w:divBdr>
    </w:div>
    <w:div w:id="1357733554">
      <w:bodyDiv w:val="1"/>
      <w:marLeft w:val="0"/>
      <w:marRight w:val="0"/>
      <w:marTop w:val="0"/>
      <w:marBottom w:val="0"/>
      <w:divBdr>
        <w:top w:val="none" w:sz="0" w:space="0" w:color="auto"/>
        <w:left w:val="none" w:sz="0" w:space="0" w:color="auto"/>
        <w:bottom w:val="none" w:sz="0" w:space="0" w:color="auto"/>
        <w:right w:val="none" w:sz="0" w:space="0" w:color="auto"/>
      </w:divBdr>
    </w:div>
    <w:div w:id="1362894796">
      <w:bodyDiv w:val="1"/>
      <w:marLeft w:val="0"/>
      <w:marRight w:val="0"/>
      <w:marTop w:val="0"/>
      <w:marBottom w:val="0"/>
      <w:divBdr>
        <w:top w:val="none" w:sz="0" w:space="0" w:color="auto"/>
        <w:left w:val="none" w:sz="0" w:space="0" w:color="auto"/>
        <w:bottom w:val="none" w:sz="0" w:space="0" w:color="auto"/>
        <w:right w:val="none" w:sz="0" w:space="0" w:color="auto"/>
      </w:divBdr>
    </w:div>
    <w:div w:id="1368946028">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490950157">
      <w:bodyDiv w:val="1"/>
      <w:marLeft w:val="0"/>
      <w:marRight w:val="0"/>
      <w:marTop w:val="0"/>
      <w:marBottom w:val="0"/>
      <w:divBdr>
        <w:top w:val="none" w:sz="0" w:space="0" w:color="auto"/>
        <w:left w:val="none" w:sz="0" w:space="0" w:color="auto"/>
        <w:bottom w:val="none" w:sz="0" w:space="0" w:color="auto"/>
        <w:right w:val="none" w:sz="0" w:space="0" w:color="auto"/>
      </w:divBdr>
    </w:div>
    <w:div w:id="1539122319">
      <w:bodyDiv w:val="1"/>
      <w:marLeft w:val="0"/>
      <w:marRight w:val="0"/>
      <w:marTop w:val="0"/>
      <w:marBottom w:val="0"/>
      <w:divBdr>
        <w:top w:val="none" w:sz="0" w:space="0" w:color="auto"/>
        <w:left w:val="none" w:sz="0" w:space="0" w:color="auto"/>
        <w:bottom w:val="none" w:sz="0" w:space="0" w:color="auto"/>
        <w:right w:val="none" w:sz="0" w:space="0" w:color="auto"/>
      </w:divBdr>
    </w:div>
    <w:div w:id="1554191890">
      <w:bodyDiv w:val="1"/>
      <w:marLeft w:val="0"/>
      <w:marRight w:val="0"/>
      <w:marTop w:val="0"/>
      <w:marBottom w:val="0"/>
      <w:divBdr>
        <w:top w:val="none" w:sz="0" w:space="0" w:color="auto"/>
        <w:left w:val="none" w:sz="0" w:space="0" w:color="auto"/>
        <w:bottom w:val="none" w:sz="0" w:space="0" w:color="auto"/>
        <w:right w:val="none" w:sz="0" w:space="0" w:color="auto"/>
      </w:divBdr>
    </w:div>
    <w:div w:id="1558858962">
      <w:bodyDiv w:val="1"/>
      <w:marLeft w:val="0"/>
      <w:marRight w:val="0"/>
      <w:marTop w:val="0"/>
      <w:marBottom w:val="0"/>
      <w:divBdr>
        <w:top w:val="none" w:sz="0" w:space="0" w:color="auto"/>
        <w:left w:val="none" w:sz="0" w:space="0" w:color="auto"/>
        <w:bottom w:val="none" w:sz="0" w:space="0" w:color="auto"/>
        <w:right w:val="none" w:sz="0" w:space="0" w:color="auto"/>
      </w:divBdr>
    </w:div>
    <w:div w:id="1559977806">
      <w:bodyDiv w:val="1"/>
      <w:marLeft w:val="0"/>
      <w:marRight w:val="0"/>
      <w:marTop w:val="0"/>
      <w:marBottom w:val="0"/>
      <w:divBdr>
        <w:top w:val="none" w:sz="0" w:space="0" w:color="auto"/>
        <w:left w:val="none" w:sz="0" w:space="0" w:color="auto"/>
        <w:bottom w:val="none" w:sz="0" w:space="0" w:color="auto"/>
        <w:right w:val="none" w:sz="0" w:space="0" w:color="auto"/>
      </w:divBdr>
    </w:div>
    <w:div w:id="1562906534">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620839400">
      <w:bodyDiv w:val="1"/>
      <w:marLeft w:val="0"/>
      <w:marRight w:val="0"/>
      <w:marTop w:val="0"/>
      <w:marBottom w:val="0"/>
      <w:divBdr>
        <w:top w:val="none" w:sz="0" w:space="0" w:color="auto"/>
        <w:left w:val="none" w:sz="0" w:space="0" w:color="auto"/>
        <w:bottom w:val="none" w:sz="0" w:space="0" w:color="auto"/>
        <w:right w:val="none" w:sz="0" w:space="0" w:color="auto"/>
      </w:divBdr>
    </w:div>
    <w:div w:id="1648780793">
      <w:bodyDiv w:val="1"/>
      <w:marLeft w:val="0"/>
      <w:marRight w:val="0"/>
      <w:marTop w:val="0"/>
      <w:marBottom w:val="0"/>
      <w:divBdr>
        <w:top w:val="none" w:sz="0" w:space="0" w:color="auto"/>
        <w:left w:val="none" w:sz="0" w:space="0" w:color="auto"/>
        <w:bottom w:val="none" w:sz="0" w:space="0" w:color="auto"/>
        <w:right w:val="none" w:sz="0" w:space="0" w:color="auto"/>
      </w:divBdr>
    </w:div>
    <w:div w:id="1666124783">
      <w:bodyDiv w:val="1"/>
      <w:marLeft w:val="0"/>
      <w:marRight w:val="0"/>
      <w:marTop w:val="0"/>
      <w:marBottom w:val="0"/>
      <w:divBdr>
        <w:top w:val="none" w:sz="0" w:space="0" w:color="auto"/>
        <w:left w:val="none" w:sz="0" w:space="0" w:color="auto"/>
        <w:bottom w:val="none" w:sz="0" w:space="0" w:color="auto"/>
        <w:right w:val="none" w:sz="0" w:space="0" w:color="auto"/>
      </w:divBdr>
    </w:div>
    <w:div w:id="1674410561">
      <w:bodyDiv w:val="1"/>
      <w:marLeft w:val="0"/>
      <w:marRight w:val="0"/>
      <w:marTop w:val="0"/>
      <w:marBottom w:val="0"/>
      <w:divBdr>
        <w:top w:val="none" w:sz="0" w:space="0" w:color="auto"/>
        <w:left w:val="none" w:sz="0" w:space="0" w:color="auto"/>
        <w:bottom w:val="none" w:sz="0" w:space="0" w:color="auto"/>
        <w:right w:val="none" w:sz="0" w:space="0" w:color="auto"/>
      </w:divBdr>
    </w:div>
    <w:div w:id="1710452589">
      <w:bodyDiv w:val="1"/>
      <w:marLeft w:val="0"/>
      <w:marRight w:val="0"/>
      <w:marTop w:val="0"/>
      <w:marBottom w:val="0"/>
      <w:divBdr>
        <w:top w:val="none" w:sz="0" w:space="0" w:color="auto"/>
        <w:left w:val="none" w:sz="0" w:space="0" w:color="auto"/>
        <w:bottom w:val="none" w:sz="0" w:space="0" w:color="auto"/>
        <w:right w:val="none" w:sz="0" w:space="0" w:color="auto"/>
      </w:divBdr>
    </w:div>
    <w:div w:id="1724908724">
      <w:bodyDiv w:val="1"/>
      <w:marLeft w:val="0"/>
      <w:marRight w:val="0"/>
      <w:marTop w:val="0"/>
      <w:marBottom w:val="0"/>
      <w:divBdr>
        <w:top w:val="none" w:sz="0" w:space="0" w:color="auto"/>
        <w:left w:val="none" w:sz="0" w:space="0" w:color="auto"/>
        <w:bottom w:val="none" w:sz="0" w:space="0" w:color="auto"/>
        <w:right w:val="none" w:sz="0" w:space="0" w:color="auto"/>
      </w:divBdr>
    </w:div>
    <w:div w:id="1752777900">
      <w:bodyDiv w:val="1"/>
      <w:marLeft w:val="0"/>
      <w:marRight w:val="0"/>
      <w:marTop w:val="0"/>
      <w:marBottom w:val="0"/>
      <w:divBdr>
        <w:top w:val="none" w:sz="0" w:space="0" w:color="auto"/>
        <w:left w:val="none" w:sz="0" w:space="0" w:color="auto"/>
        <w:bottom w:val="none" w:sz="0" w:space="0" w:color="auto"/>
        <w:right w:val="none" w:sz="0" w:space="0" w:color="auto"/>
      </w:divBdr>
    </w:div>
    <w:div w:id="1762994582">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1820879658">
      <w:bodyDiv w:val="1"/>
      <w:marLeft w:val="0"/>
      <w:marRight w:val="0"/>
      <w:marTop w:val="0"/>
      <w:marBottom w:val="0"/>
      <w:divBdr>
        <w:top w:val="none" w:sz="0" w:space="0" w:color="auto"/>
        <w:left w:val="none" w:sz="0" w:space="0" w:color="auto"/>
        <w:bottom w:val="none" w:sz="0" w:space="0" w:color="auto"/>
        <w:right w:val="none" w:sz="0" w:space="0" w:color="auto"/>
      </w:divBdr>
    </w:div>
    <w:div w:id="1829976105">
      <w:bodyDiv w:val="1"/>
      <w:marLeft w:val="0"/>
      <w:marRight w:val="0"/>
      <w:marTop w:val="0"/>
      <w:marBottom w:val="0"/>
      <w:divBdr>
        <w:top w:val="none" w:sz="0" w:space="0" w:color="auto"/>
        <w:left w:val="none" w:sz="0" w:space="0" w:color="auto"/>
        <w:bottom w:val="none" w:sz="0" w:space="0" w:color="auto"/>
        <w:right w:val="none" w:sz="0" w:space="0" w:color="auto"/>
      </w:divBdr>
    </w:div>
    <w:div w:id="1835802284">
      <w:bodyDiv w:val="1"/>
      <w:marLeft w:val="0"/>
      <w:marRight w:val="0"/>
      <w:marTop w:val="0"/>
      <w:marBottom w:val="0"/>
      <w:divBdr>
        <w:top w:val="none" w:sz="0" w:space="0" w:color="auto"/>
        <w:left w:val="none" w:sz="0" w:space="0" w:color="auto"/>
        <w:bottom w:val="none" w:sz="0" w:space="0" w:color="auto"/>
        <w:right w:val="none" w:sz="0" w:space="0" w:color="auto"/>
      </w:divBdr>
    </w:div>
    <w:div w:id="1846168020">
      <w:bodyDiv w:val="1"/>
      <w:marLeft w:val="0"/>
      <w:marRight w:val="0"/>
      <w:marTop w:val="0"/>
      <w:marBottom w:val="0"/>
      <w:divBdr>
        <w:top w:val="none" w:sz="0" w:space="0" w:color="auto"/>
        <w:left w:val="none" w:sz="0" w:space="0" w:color="auto"/>
        <w:bottom w:val="none" w:sz="0" w:space="0" w:color="auto"/>
        <w:right w:val="none" w:sz="0" w:space="0" w:color="auto"/>
      </w:divBdr>
    </w:div>
    <w:div w:id="1848014453">
      <w:bodyDiv w:val="1"/>
      <w:marLeft w:val="0"/>
      <w:marRight w:val="0"/>
      <w:marTop w:val="0"/>
      <w:marBottom w:val="0"/>
      <w:divBdr>
        <w:top w:val="none" w:sz="0" w:space="0" w:color="auto"/>
        <w:left w:val="none" w:sz="0" w:space="0" w:color="auto"/>
        <w:bottom w:val="none" w:sz="0" w:space="0" w:color="auto"/>
        <w:right w:val="none" w:sz="0" w:space="0" w:color="auto"/>
      </w:divBdr>
    </w:div>
    <w:div w:id="1857621644">
      <w:bodyDiv w:val="1"/>
      <w:marLeft w:val="0"/>
      <w:marRight w:val="0"/>
      <w:marTop w:val="0"/>
      <w:marBottom w:val="0"/>
      <w:divBdr>
        <w:top w:val="none" w:sz="0" w:space="0" w:color="auto"/>
        <w:left w:val="none" w:sz="0" w:space="0" w:color="auto"/>
        <w:bottom w:val="none" w:sz="0" w:space="0" w:color="auto"/>
        <w:right w:val="none" w:sz="0" w:space="0" w:color="auto"/>
      </w:divBdr>
    </w:div>
    <w:div w:id="1870487796">
      <w:bodyDiv w:val="1"/>
      <w:marLeft w:val="0"/>
      <w:marRight w:val="0"/>
      <w:marTop w:val="0"/>
      <w:marBottom w:val="0"/>
      <w:divBdr>
        <w:top w:val="none" w:sz="0" w:space="0" w:color="auto"/>
        <w:left w:val="none" w:sz="0" w:space="0" w:color="auto"/>
        <w:bottom w:val="none" w:sz="0" w:space="0" w:color="auto"/>
        <w:right w:val="none" w:sz="0" w:space="0" w:color="auto"/>
      </w:divBdr>
    </w:div>
    <w:div w:id="1874463715">
      <w:bodyDiv w:val="1"/>
      <w:marLeft w:val="0"/>
      <w:marRight w:val="0"/>
      <w:marTop w:val="0"/>
      <w:marBottom w:val="0"/>
      <w:divBdr>
        <w:top w:val="none" w:sz="0" w:space="0" w:color="auto"/>
        <w:left w:val="none" w:sz="0" w:space="0" w:color="auto"/>
        <w:bottom w:val="none" w:sz="0" w:space="0" w:color="auto"/>
        <w:right w:val="none" w:sz="0" w:space="0" w:color="auto"/>
      </w:divBdr>
    </w:div>
    <w:div w:id="1938515457">
      <w:bodyDiv w:val="1"/>
      <w:marLeft w:val="0"/>
      <w:marRight w:val="0"/>
      <w:marTop w:val="0"/>
      <w:marBottom w:val="0"/>
      <w:divBdr>
        <w:top w:val="none" w:sz="0" w:space="0" w:color="auto"/>
        <w:left w:val="none" w:sz="0" w:space="0" w:color="auto"/>
        <w:bottom w:val="none" w:sz="0" w:space="0" w:color="auto"/>
        <w:right w:val="none" w:sz="0" w:space="0" w:color="auto"/>
      </w:divBdr>
    </w:div>
    <w:div w:id="1975064939">
      <w:bodyDiv w:val="1"/>
      <w:marLeft w:val="0"/>
      <w:marRight w:val="0"/>
      <w:marTop w:val="0"/>
      <w:marBottom w:val="0"/>
      <w:divBdr>
        <w:top w:val="none" w:sz="0" w:space="0" w:color="auto"/>
        <w:left w:val="none" w:sz="0" w:space="0" w:color="auto"/>
        <w:bottom w:val="none" w:sz="0" w:space="0" w:color="auto"/>
        <w:right w:val="none" w:sz="0" w:space="0" w:color="auto"/>
      </w:divBdr>
    </w:div>
    <w:div w:id="2030639721">
      <w:bodyDiv w:val="1"/>
      <w:marLeft w:val="0"/>
      <w:marRight w:val="0"/>
      <w:marTop w:val="0"/>
      <w:marBottom w:val="0"/>
      <w:divBdr>
        <w:top w:val="none" w:sz="0" w:space="0" w:color="auto"/>
        <w:left w:val="none" w:sz="0" w:space="0" w:color="auto"/>
        <w:bottom w:val="none" w:sz="0" w:space="0" w:color="auto"/>
        <w:right w:val="none" w:sz="0" w:space="0" w:color="auto"/>
      </w:divBdr>
    </w:div>
    <w:div w:id="2036493993">
      <w:bodyDiv w:val="1"/>
      <w:marLeft w:val="0"/>
      <w:marRight w:val="0"/>
      <w:marTop w:val="0"/>
      <w:marBottom w:val="0"/>
      <w:divBdr>
        <w:top w:val="none" w:sz="0" w:space="0" w:color="auto"/>
        <w:left w:val="none" w:sz="0" w:space="0" w:color="auto"/>
        <w:bottom w:val="none" w:sz="0" w:space="0" w:color="auto"/>
        <w:right w:val="none" w:sz="0" w:space="0" w:color="auto"/>
      </w:divBdr>
    </w:div>
    <w:div w:id="2047292501">
      <w:bodyDiv w:val="1"/>
      <w:marLeft w:val="0"/>
      <w:marRight w:val="0"/>
      <w:marTop w:val="0"/>
      <w:marBottom w:val="0"/>
      <w:divBdr>
        <w:top w:val="none" w:sz="0" w:space="0" w:color="auto"/>
        <w:left w:val="none" w:sz="0" w:space="0" w:color="auto"/>
        <w:bottom w:val="none" w:sz="0" w:space="0" w:color="auto"/>
        <w:right w:val="none" w:sz="0" w:space="0" w:color="auto"/>
      </w:divBdr>
    </w:div>
    <w:div w:id="2067218424">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 w:id="214723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footer" Target="footer17.xml"/><Relationship Id="rId50"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header" Target="head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ntTable" Target="fontTable.xml"/><Relationship Id="rId8" Type="http://schemas.openxmlformats.org/officeDocument/2006/relationships/webSettings" Target="webSettings.xml"/><Relationship Id="rId51"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8DFCC1C1-DC7F-4239-B05C-15C1EE3053B9}">
    <t:Anchor>
      <t:Comment id="1229335686"/>
    </t:Anchor>
    <t:History>
      <t:Event time="2025-05-27T12:50:46.268Z" id="{102B51A1-4137-41DC-AFE0-4B3C46288920}">
        <t:Attribution userId="S::louk.hoffmans@ec.europa.eu::88d42cfc-6f4d-4a58-be4a-0e9321e56e81" userName="HOFFMANS Louk (BUDG)" userProvider="AD"/>
        <t:Anchor>
          <t:Comment id="1229335686"/>
        </t:Anchor>
        <t:Create/>
      </t:Event>
      <t:Event time="2025-05-27T12:50:46.268Z" id="{B075C9F2-B974-4D53-8AC8-FCBB0C976D3C}">
        <t:Attribution userId="S::louk.hoffmans@ec.europa.eu::88d42cfc-6f4d-4a58-be4a-0e9321e56e81" userName="HOFFMANS Louk (BUDG)" userProvider="AD"/>
        <t:Anchor>
          <t:Comment id="1229335686"/>
        </t:Anchor>
        <t:Assign userId="S::Andrei.MORARU@ec.europa.eu::5acbf149-e8cc-427b-a727-98c39b40d6a4" userName="MORARU Andrei (BUDG)" userProvider="AD"/>
      </t:Event>
      <t:Event time="2025-05-27T12:50:46.268Z" id="{F2E828D3-6C4C-4E0C-9923-0C615D662E9E}">
        <t:Attribution userId="S::louk.hoffmans@ec.europa.eu::88d42cfc-6f4d-4a58-be4a-0e9321e56e81" userName="HOFFMANS Louk (BUDG)" userProvider="AD"/>
        <t:Anchor>
          <t:Comment id="1229335686"/>
        </t:Anchor>
        <t:SetTitle title="@MORARU Andrei (BUDG) what exactly do we use as cut-off date?"/>
      </t:Event>
    </t:History>
  </t:Task>
</t:Tasks>
</file>

<file path=word/theme/theme1.xml><?xml version="1.0" encoding="utf-8"?>
<a:theme xmlns:a="http://schemas.openxmlformats.org/drawingml/2006/main" name="Office Theme">
  <a:themeElements>
    <a:clrScheme name="Custom 1">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FONT EC Square">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BD0826AAE22F4CB9B703218939610D" ma:contentTypeVersion="23" ma:contentTypeDescription="Create a new document." ma:contentTypeScope="" ma:versionID="0e4bc2abd81eb83ce38ac982e3c03f2b">
  <xsd:schema xmlns:xsd="http://www.w3.org/2001/XMLSchema" xmlns:xs="http://www.w3.org/2001/XMLSchema" xmlns:p="http://schemas.microsoft.com/office/2006/metadata/properties" xmlns:ns2="8e58f9bf-af8e-457a-8b79-61fccd4d6d5f" xmlns:ns3="b6d4cde7-209b-4353-8904-a6d145be66ae" targetNamespace="http://schemas.microsoft.com/office/2006/metadata/properties" ma:root="true" ma:fieldsID="aa1c0422f854eb23b042c5cec2109e69" ns2:_="" ns3:_="">
    <xsd:import namespace="8e58f9bf-af8e-457a-8b79-61fccd4d6d5f"/>
    <xsd:import namespace="b6d4cde7-209b-4353-8904-a6d145be66ae"/>
    <xsd:element name="properties">
      <xsd:complexType>
        <xsd:sequence>
          <xsd:element name="documentManagement">
            <xsd:complexType>
              <xsd:all>
                <xsd:element ref="ns2:_x0054_ag1" minOccurs="0"/>
                <xsd:element ref="ns2:_x0054_ag2" minOccurs="0"/>
                <xsd:element ref="ns2:Tag_03" minOccurs="0"/>
                <xsd:element ref="ns2:Tag_04" minOccurs="0"/>
                <xsd:element ref="ns2:Tag_05" minOccurs="0"/>
                <xsd:element ref="ns2:Tag_06" minOccurs="0"/>
                <xsd:element ref="ns2:Tag_07" minOccurs="0"/>
                <xsd:element ref="ns2:_x0054_ag8" minOccurs="0"/>
                <xsd:element ref="ns2:Year" minOccurs="0"/>
                <xsd:element ref="ns2:ApprovalStep" minOccurs="0"/>
                <xsd:element ref="ns2:MediaServiceMetadata" minOccurs="0"/>
                <xsd:element ref="ns2:MediaServiceFastMetadata" minOccurs="0"/>
                <xsd:element ref="ns2:MediaServiceSearchProperties" minOccurs="0"/>
                <xsd:element ref="ns2:MediaServiceObjectDetectorVersions" minOccurs="0"/>
                <xsd:element ref="ns2:MemberStates" minOccurs="0"/>
                <xsd:element ref="ns2:Sensitive"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8f9bf-af8e-457a-8b79-61fccd4d6d5f" elementFormDefault="qualified">
    <xsd:import namespace="http://schemas.microsoft.com/office/2006/documentManagement/types"/>
    <xsd:import namespace="http://schemas.microsoft.com/office/infopath/2007/PartnerControls"/>
    <xsd:element name="_x0054_ag1" ma:index="8" nillable="true" ma:displayName="Document Type" ma:format="Dropdown" ma:internalName="_x0054_ag1">
      <xsd:simpleType>
        <xsd:union memberTypes="dms:Text">
          <xsd:simpleType>
            <xsd:restriction base="dms:Choice">
              <xsd:enumeration value="Attendance Report"/>
              <xsd:enumeration value="Technical Paper"/>
              <xsd:enumeration value="Presentation"/>
              <xsd:enumeration value="Briefing"/>
              <xsd:enumeration value="Issues Note"/>
              <xsd:enumeration value="Note"/>
              <xsd:enumeration value="Meeting Report"/>
              <xsd:enumeration value="Spreadsheet"/>
              <xsd:enumeration value="Calendar"/>
              <xsd:enumeration value="Non-paper"/>
              <xsd:enumeration value="Working document"/>
              <xsd:enumeration value="Official reply"/>
              <xsd:enumeration value="LTT / Defensive"/>
              <xsd:enumeration value="MFF Country Fiche"/>
              <xsd:enumeration value="Resolution"/>
              <xsd:enumeration value="Negotiating box"/>
              <xsd:enumeration value="Procedure"/>
              <xsd:enumeration value="Vademecum"/>
              <xsd:enumeration value="Regulation"/>
              <xsd:enumeration value="Directive"/>
              <xsd:enumeration value="Council Implementing Decision"/>
              <xsd:enumeration value="Work Programme"/>
              <xsd:enumeration value="Communication"/>
              <xsd:enumeration value="Agenda"/>
              <xsd:enumeration value="IIA"/>
              <xsd:enumeration value="Request for contribution"/>
            </xsd:restriction>
          </xsd:simpleType>
        </xsd:union>
      </xsd:simpleType>
    </xsd:element>
    <xsd:element name="_x0054_ag2" ma:index="9" nillable="true" ma:displayName="Document Description" ma:format="Dropdown" ma:internalName="_x0054_ag2">
      <xsd:simpleType>
        <xsd:restriction base="dms:Text">
          <xsd:maxLength value="255"/>
        </xsd:restriction>
      </xsd:simpleType>
    </xsd:element>
    <xsd:element name="Tag_03" ma:index="10" nillable="true" ma:displayName="MFF" ma:format="Dropdown" ma:internalName="Tag_03">
      <xsd:simpleType>
        <xsd:restriction base="dms:Choice">
          <xsd:enumeration value="2014-2020"/>
          <xsd:enumeration value="2021-2027"/>
          <xsd:enumeration value="2028-2034"/>
          <xsd:enumeration value="2007-2013"/>
          <xsd:enumeration value="2000-2006"/>
          <xsd:enumeration value="1993-1999"/>
          <xsd:enumeration value="1988-1992"/>
        </xsd:restriction>
      </xsd:simpleType>
    </xsd:element>
    <xsd:element name="Tag_04" ma:index="11" nillable="true" ma:displayName="Secondary Topic" ma:format="Dropdown" ma:internalName="Tag_04">
      <xsd:simpleType>
        <xsd:restriction base="dms:Choice">
          <xsd:enumeration value="Fiscal frameworks"/>
          <xsd:enumeration value="Horizon Europe"/>
          <xsd:enumeration value="Euratom Research and Training Programme"/>
          <xsd:enumeration value="International Thermonuclear Experience"/>
          <xsd:enumeration value="Other actions"/>
          <xsd:enumeration value="Pilot projects and preparatory action"/>
          <xsd:enumeration value="InvetsEU Fund"/>
          <xsd:enumeration value="CAP"/>
          <xsd:enumeration value="Cohesion"/>
          <xsd:enumeration value="Connecting Europe Facility (CEF)"/>
          <xsd:enumeration value="Connecting Europe Facility (CEF)- Transport"/>
          <xsd:enumeration value="Connecting Europe Facility (CEF) - Energy"/>
          <xsd:enumeration value="Connecting Europe Facility (CEF) - Digital"/>
          <xsd:enumeration value="Digital Europe Programme"/>
          <xsd:enumeration value="Decentralised agencies"/>
          <xsd:enumeration value="Actions financed under the prerogatives of the Commission and specific competences conferred to the Commission"/>
          <xsd:enumeration value="Single Market Programme (incl. SMEs)"/>
          <xsd:enumeration value="EU Anti-Fraud Programme"/>
          <xsd:enumeration value="Cooperation in the field of taxation (Fiscalis)"/>
          <xsd:enumeration value="Cooperation in the field of customs (Customs)"/>
          <xsd:enumeration value="European Space Programme"/>
          <xsd:enumeration value="Union Secure Connectivity"/>
          <xsd:enumeration value="European Regional Development Fund"/>
          <xsd:enumeration value="Cohesion Fund (CF)"/>
          <xsd:enumeration value="European Social Fund Plus (ESF+)"/>
          <xsd:enumeration value="European Recovery and Resilience Facility (incl. Technical Support Instrument)"/>
          <xsd:enumeration value="Protection of the euro against counterfeiting (the ‘Pericles IV programme')"/>
          <xsd:enumeration value="Financing cost of the European Union Recovery Instrument (EURI)"/>
          <xsd:enumeration value="Union Civil Protection Mechanism (RescEU)"/>
          <xsd:enumeration value="EU4Health"/>
          <xsd:enumeration value="Instrument for emergency support within the Union (ESI)"/>
          <xsd:enumeration value="Employment and Social Innovation"/>
          <xsd:enumeration value="Erasmus+"/>
          <xsd:enumeration value="European Solidarity Corps (ESC)"/>
          <xsd:enumeration value="Creative Europe"/>
          <xsd:enumeration value="Justice"/>
          <xsd:enumeration value="Right and Values"/>
          <xsd:enumeration value="European Agricultural Guarantee Fund (EAGF)"/>
          <xsd:enumeration value="European Agricultural Fund for Rural Development (EAFRD)"/>
          <xsd:enumeration value="European Maritime, Fisheries and Aquaculture Fund (EMFAF)"/>
          <xsd:enumeration value="Sustainable Fisheries Partnership Agreements (SFPA) and Regional Fisheries Management Organisations (RFMO)"/>
          <xsd:enumeration value="Programme for Environment and Climate Action (LIFE)"/>
          <xsd:enumeration value="Just Transition Fund"/>
          <xsd:enumeration value="Public sector loan facility under the Just Transition Mechanism (JTM)"/>
          <xsd:enumeration value="Integrated Border Management Fund (IBMF) - Instrument for border management and visa (BMVI)"/>
          <xsd:enumeration value="Integrated Border Management Fund (IBMF) - Instrument for financial support for customs control equipment (CCEi)"/>
          <xsd:enumeration value="Internal Security Fund (ISF)"/>
          <xsd:enumeration value="Nuclear decommissioning (Lithuania)"/>
          <xsd:enumeration value="Nuclear Safety and decommissioning (incl. For Bulgaria and Slovakia)"/>
          <xsd:enumeration value="European Defence Fund (Research)"/>
          <xsd:enumeration value="European Defence Fund (Non Research)"/>
          <xsd:enumeration value="Military Mobility"/>
          <xsd:enumeration value="Short-term Defence instrument on common procurement"/>
          <xsd:enumeration value="Defence Industrial Reiforcement Instrument"/>
          <xsd:enumeration value="European Defence Industrial Programme"/>
          <xsd:enumeration value="Union Secure Connectivity"/>
          <xsd:enumeration value="Neighbourhood, Development and International Cooperation Instrument - Global Europe ( NDICI - Global Europe )"/>
          <xsd:enumeration value="European Instrument for International Nuclear Safety Cooperation (INSC)"/>
          <xsd:enumeration value="Humanitarian Aid (HUMA)"/>
          <xsd:enumeration value="Common Foreign and Security Policy (CFSP)"/>
          <xsd:enumeration value="Overseas Countries and Territories (OCT) (including Greenland)"/>
          <xsd:enumeration value="MFA+"/>
          <xsd:enumeration value="Ukraine Support Instrument"/>
          <xsd:enumeration value="Union Secure Connectivity Programme"/>
          <xsd:enumeration value="Pre-Accession Assistance (IPA III)"/>
          <xsd:enumeration value="Reform and Growth Facility for Western Balkans"/>
          <xsd:enumeration value="Special instruments"/>
          <xsd:enumeration value="Heading 7"/>
          <xsd:enumeration value="Innovation Fund"/>
          <xsd:enumeration value="Modernisation Fund"/>
          <xsd:enumeration value="Ukraine Facility"/>
          <xsd:enumeration value="Solidarity and Emergency Aid Reserve"/>
          <xsd:enumeration value="Flexibility Instrument"/>
          <xsd:enumeration value="Brexit Adjustment Reserve"/>
          <xsd:enumeration value="European Globalisation Adjustment Fund for Displaced Workers"/>
          <xsd:enumeration value="Single Margin Instrument"/>
          <xsd:enumeration value="European Competitiveness Fund"/>
          <xsd:enumeration value="Single Plan"/>
          <xsd:enumeration value="Citizens' dialogue"/>
          <xsd:enumeration value="Access to documents"/>
          <xsd:enumeration value="Citizens' question"/>
          <xsd:enumeration value="Cohesion Fund (CF), contribution to the Connecting Europe Facility"/>
          <xsd:enumeration value="Support to the Turkish-Cypriot Community"/>
          <xsd:enumeration value="Asylum, Migration and Integration Fund"/>
          <xsd:enumeration value="Allocated Expenditure"/>
          <xsd:enumeration value="Economic and Budgetary Analysis"/>
          <xsd:enumeration value="Economic and Fiscal Governance"/>
          <xsd:enumeration value="Rating Agencies"/>
          <xsd:enumeration value="Working group 1"/>
          <xsd:enumeration value="Sectoral Programmes / Initiatives"/>
          <xsd:enumeration value="Technical Adjustments"/>
          <xsd:enumeration value="Discharge"/>
          <xsd:enumeration value="Financial Regulation"/>
          <xsd:enumeration value="Annual Budget Conference"/>
          <xsd:enumeration value="Flexibility / Special Instruments"/>
          <xsd:enumeration value="MFF Regulation and IIA"/>
          <xsd:enumeration value="Annual budget"/>
          <xsd:enumeration value="Allocated expenditure"/>
          <xsd:enumeration value="Annual accounts"/>
          <xsd:enumeration value="Long-term payment forecast"/>
          <xsd:enumeration value="Art. 250 report"/>
          <xsd:enumeration value="Discharge"/>
          <xsd:enumeration value="MFF preparation"/>
          <xsd:enumeration value="MFF negotiation"/>
          <xsd:enumeration value="Revenue"/>
          <xsd:enumeration value="Headroom"/>
          <xsd:enumeration value="Communication"/>
          <xsd:enumeration value="Other states"/>
          <xsd:enumeration value="Enlargement"/>
          <xsd:enumeration value="Third Country"/>
          <xsd:enumeration value="Art. 140 UK Report"/>
          <xsd:enumeration value="UK invoice"/>
          <xsd:enumeration value="UK SCFP - Special Committee on Financial Provisions"/>
          <xsd:enumeration value="Country knowledge"/>
          <xsd:enumeration value="BUDG Administrative"/>
          <xsd:enumeration value="MFF Achitecture"/>
          <xsd:enumeration value="Cross-cutting horizontal elements"/>
          <xsd:enumeration value="Competitiveness and single market"/>
          <xsd:enumeration value="PRE ALLOCATED Cohesion and Resilience"/>
          <xsd:enumeration value="Skills and values: Education, skills, values, justice"/>
          <xsd:enumeration value="Crisis response: Crisis response and macroeconomic stabilization"/>
          <xsd:enumeration value="External action"/>
          <xsd:enumeration value="MFF financial calibration"/>
          <xsd:enumeration value="New Commission"/>
        </xsd:restriction>
      </xsd:simpleType>
    </xsd:element>
    <xsd:element name="Tag_05" ma:index="12" nillable="true" ma:displayName="Main Topic" ma:format="Dropdown" ma:internalName="Tag_05">
      <xsd:simpleType>
        <xsd:restriction base="dms:Choice">
          <xsd:enumeration value="Economic and Budgetary Analysis"/>
          <xsd:enumeration value="Rating Agencies"/>
          <xsd:enumeration value="Working Group 1"/>
          <xsd:enumeration value="Sectoral Programmes / Initiatives"/>
          <xsd:enumeration value="Technical Adjustments"/>
          <xsd:enumeration value="Discharge"/>
          <xsd:enumeration value="Financial Regulation"/>
          <xsd:enumeration value="Annual Budget Conference"/>
          <xsd:enumeration value="Flexibility / Special Instruments"/>
          <xsd:enumeration value="MFF Regulation and IIA"/>
          <xsd:enumeration value="TAJU"/>
          <xsd:enumeration value="Annual budget"/>
          <xsd:enumeration value="Allocated expenditure"/>
          <xsd:enumeration value="Annual accounts"/>
          <xsd:enumeration value="Long-term payment forecast"/>
          <xsd:enumeration value="Art. 250 report"/>
          <xsd:enumeration value="Discharge"/>
          <xsd:enumeration value="MFF Preparation"/>
          <xsd:enumeration value="MFF negotiation"/>
          <xsd:enumeration value="ORD"/>
          <xsd:enumeration value="Headroom"/>
          <xsd:enumeration value="Communication"/>
          <xsd:enumeration value="Other States"/>
          <xsd:enumeration value="Enlargement"/>
          <xsd:enumeration value="Proportionality factor"/>
          <xsd:enumeration value="Art. 140 UK Report"/>
          <xsd:enumeration value="UK invoice"/>
          <xsd:enumeration value="BUDG Administrative"/>
          <xsd:enumeration value="MFF Architecture"/>
          <xsd:enumeration value="Cross-cutting horizontal elements"/>
          <xsd:enumeration value="Competitiveness and single market"/>
          <xsd:enumeration value="Cohesion and Resilience"/>
          <xsd:enumeration value="Skills and values: Education, skills, values, justice"/>
          <xsd:enumeration value="Crisis response: Crisis response and macroeconomic stabilization"/>
          <xsd:enumeration value="External action"/>
          <xsd:enumeration value="MFF financial calibration"/>
        </xsd:restriction>
      </xsd:simpleType>
    </xsd:element>
    <xsd:element name="Tag_06" ma:index="13" nillable="true" ma:displayName="Document Target" ma:format="Dropdown" ma:internalName="Tag_06">
      <xsd:simpleType>
        <xsd:restriction base="dms:Choice">
          <xsd:enumeration value="Internal Meeting"/>
          <xsd:enumeration value="Internal B1"/>
          <xsd:enumeration value="Internal BUDG"/>
          <xsd:enumeration value="Internal COM"/>
          <xsd:enumeration value="Council / EUCO"/>
          <xsd:enumeration value="Council"/>
          <xsd:enumeration value="EUCO"/>
          <xsd:enumeration value="MFF AHWP"/>
          <xsd:enumeration value="EP plenary"/>
          <xsd:enumeration value="EP BUDG"/>
          <xsd:enumeration value="EP other"/>
          <xsd:enumeration value="Parliament"/>
          <xsd:enumeration value="ECA"/>
          <xsd:enumeration value="EESC and CoR"/>
          <xsd:enumeration value="External stakeholders"/>
          <xsd:enumeration value="Jour fixe"/>
          <xsd:enumeration value="ISG meeting"/>
        </xsd:restriction>
      </xsd:simpleType>
    </xsd:element>
    <xsd:element name="Tag_07" ma:index="14" nillable="true" ma:displayName="Free text" ma:format="Dropdown" ma:internalName="Tag_07">
      <xsd:simpleType>
        <xsd:restriction base="dms:Text">
          <xsd:maxLength value="255"/>
        </xsd:restriction>
      </xsd:simpleType>
    </xsd:element>
    <xsd:element name="_x0054_ag8" ma:index="15" nillable="true" ma:displayName="Meeting Date" ma:format="DateOnly" ma:internalName="_x0054_ag8">
      <xsd:simpleType>
        <xsd:restriction base="dms:DateTime"/>
      </xsd:simpleType>
    </xsd:element>
    <xsd:element name="Year" ma:index="16" nillable="true" ma:displayName="Year" ma:format="Dropdown" ma:internalName="Year">
      <xsd:simpleType>
        <xsd:restriction base="dms:Text">
          <xsd:maxLength value="255"/>
        </xsd:restriction>
      </xsd:simpleType>
    </xsd:element>
    <xsd:element name="ApprovalStep" ma:index="17" nillable="true" ma:displayName="Approval Step" ma:format="Dropdown" ma:internalName="ApprovalStep">
      <xsd:simpleType>
        <xsd:restriction base="dms:Choice">
          <xsd:enumeration value="B1 Technical"/>
          <xsd:enumeration value="BUDG Technical"/>
          <xsd:enumeration value="COM Technical"/>
          <xsd:enumeration value="DHoU"/>
          <xsd:enumeration value="HoU"/>
          <xsd:enumeration value="Director"/>
          <xsd:enumeration value="Assistants"/>
          <xsd:enumeration value="DG"/>
          <xsd:enumeration value="CAB"/>
          <xsd:enumeration value="Commissioner"/>
          <xsd:enumeration value="In Progress"/>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mberStates" ma:index="22" nillable="true" ma:displayName="Member States" ma:format="Dropdown" ma:internalName="MemberStates">
      <xsd:complexType>
        <xsd:complexContent>
          <xsd:extension base="dms:MultiChoice">
            <xsd:sequence>
              <xsd:element name="Value" maxOccurs="unbounded" minOccurs="0" nillable="true">
                <xsd:simpleType>
                  <xsd:restriction base="dms:Choice">
                    <xsd:enumeration value="EU-27"/>
                    <xsd:enumeration value="BE"/>
                    <xsd:enumeration value="BG"/>
                    <xsd:enumeration value="CZ"/>
                    <xsd:enumeration value="DK"/>
                    <xsd:enumeration value="DE"/>
                    <xsd:enumeration value="EE"/>
                    <xsd:enumeration value="IE"/>
                    <xsd:enumeration value="EL"/>
                    <xsd:enumeration value="ES"/>
                    <xsd:enumeration value="FR"/>
                    <xsd:enumeration value="HR"/>
                    <xsd:enumeration value="IT"/>
                    <xsd:enumeration value="CY"/>
                    <xsd:enumeration value="LV"/>
                    <xsd:enumeration value="LT"/>
                    <xsd:enumeration value="LU"/>
                    <xsd:enumeration value="HU"/>
                    <xsd:enumeration value="MT"/>
                    <xsd:enumeration value="NL"/>
                    <xsd:enumeration value="AT"/>
                    <xsd:enumeration value="PL"/>
                    <xsd:enumeration value="PT"/>
                    <xsd:enumeration value="RO"/>
                    <xsd:enumeration value="FI"/>
                    <xsd:enumeration value="SE"/>
                    <xsd:enumeration value="UK"/>
                    <xsd:enumeration value="SI"/>
                    <xsd:enumeration value="SK"/>
                    <xsd:enumeration value="CH"/>
                    <xsd:enumeration value="NO"/>
                    <xsd:enumeration value="TR (Turkiye)"/>
                    <xsd:enumeration value="EU-10"/>
                    <xsd:enumeration value="EU-12"/>
                    <xsd:enumeration value="EU-13"/>
                    <xsd:enumeration value="EU-15"/>
                    <xsd:enumeration value="EU-28"/>
                    <xsd:enumeration value="EFTA"/>
                    <xsd:enumeration value="BA (Bosnia and Herzegovina)"/>
                    <xsd:enumeration value="ME (Montenegro)"/>
                    <xsd:enumeration value="MD (Moldova)"/>
                    <xsd:enumeration value="MK (North Macedonia)"/>
                    <xsd:enumeration value="GE (Georgia)"/>
                    <xsd:enumeration value="AL (Albania)"/>
                    <xsd:enumeration value="RS (Serbia)"/>
                    <xsd:enumeration value="UA (Ukraine)"/>
                    <xsd:enumeration value="XK (Kosovo)"/>
                  </xsd:restriction>
                </xsd:simpleType>
              </xsd:element>
            </xsd:sequence>
          </xsd:extension>
        </xsd:complexContent>
      </xsd:complexType>
    </xsd:element>
    <xsd:element name="Sensitive" ma:index="23" nillable="true" ma:displayName="Sensitive" ma:format="Dropdown" ma:internalName="Sensitive">
      <xsd:simpleType>
        <xsd:restriction base="dms:Choice">
          <xsd:enumeration value="YES"/>
          <xsd:enumeration value="NO"/>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6d4cde7-209b-4353-8904-a6d145be66ae" xsi:nil="true"/>
    <lcf76f155ced4ddcb4097134ff3c332f xmlns="8e58f9bf-af8e-457a-8b79-61fccd4d6d5f">
      <Terms xmlns="http://schemas.microsoft.com/office/infopath/2007/PartnerControls"/>
    </lcf76f155ced4ddcb4097134ff3c332f>
    <ApprovalStep xmlns="8e58f9bf-af8e-457a-8b79-61fccd4d6d5f">In Progress</ApprovalStep>
    <_x0054_ag2 xmlns="8e58f9bf-af8e-457a-8b79-61fccd4d6d5f">Report communication</_x0054_ag2>
    <MemberStates xmlns="8e58f9bf-af8e-457a-8b79-61fccd4d6d5f" xsi:nil="true"/>
    <Tag_06 xmlns="8e58f9bf-af8e-457a-8b79-61fccd4d6d5f">External stakeholders</Tag_06>
    <Sensitive xmlns="8e58f9bf-af8e-457a-8b79-61fccd4d6d5f" xsi:nil="true"/>
    <Tag_05 xmlns="8e58f9bf-af8e-457a-8b79-61fccd4d6d5f">MFF Preparation</Tag_05>
    <Year xmlns="8e58f9bf-af8e-457a-8b79-61fccd4d6d5f">2026</Year>
    <_x0054_ag1 xmlns="8e58f9bf-af8e-457a-8b79-61fccd4d6d5f">Communication</_x0054_ag1>
    <Tag_03 xmlns="8e58f9bf-af8e-457a-8b79-61fccd4d6d5f">2028-2034</Tag_03>
    <Tag_04 xmlns="8e58f9bf-af8e-457a-8b79-61fccd4d6d5f">Long-term payment forecast</Tag_04>
    <_x0054_ag8 xmlns="8e58f9bf-af8e-457a-8b79-61fccd4d6d5f" xsi:nil="true"/>
    <Tag_07 xmlns="8e58f9bf-af8e-457a-8b79-61fccd4d6d5f">LTPF 2027-2034</Tag_07>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6DBCA19-2C24-48D2-AF00-90FD78C17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8f9bf-af8e-457a-8b79-61fccd4d6d5f"/>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E44A12-B6EA-431B-98C8-8D35772715DB}">
  <ds:schemaRefs>
    <ds:schemaRef ds:uri="http://schemas.microsoft.com/sharepoint/v3/contenttype/forms"/>
  </ds:schemaRefs>
</ds:datastoreItem>
</file>

<file path=customXml/itemProps3.xml><?xml version="1.0" encoding="utf-8"?>
<ds:datastoreItem xmlns:ds="http://schemas.openxmlformats.org/officeDocument/2006/customXml" ds:itemID="{4D32D953-E476-477A-9BB5-CC6C9245F445}">
  <ds:schemaRefs>
    <ds:schemaRef ds:uri="http://schemas.microsoft.com/office/2006/metadata/properties"/>
    <ds:schemaRef ds:uri="http://schemas.microsoft.com/office/infopath/2007/PartnerControls"/>
    <ds:schemaRef ds:uri="b6d4cde7-209b-4353-8904-a6d145be66ae"/>
    <ds:schemaRef ds:uri="8e58f9bf-af8e-457a-8b79-61fccd4d6d5f"/>
  </ds:schemaRefs>
</ds:datastoreItem>
</file>

<file path=customXml/itemProps4.xml><?xml version="1.0" encoding="utf-8"?>
<ds:datastoreItem xmlns:ds="http://schemas.openxmlformats.org/officeDocument/2006/customXml" ds:itemID="{CCF38DE9-B0FF-42D4-99A0-003C382102D3}">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95</TotalTime>
  <Pages>16</Pages>
  <Words>6079</Words>
  <Characters>34652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2023-05-28T12:21:00Z</cp:lastPrinted>
  <dcterms:created xsi:type="dcterms:W3CDTF">2026-07-20T09:31:00Z</dcterms:created>
  <dcterms:modified xsi:type="dcterms:W3CDTF">2026-07-28T14:32:00Z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Last edited using">
    <vt:lpwstr>LW 9.2, Build 20250828</vt:lpwstr>
  </property>
  <property fmtid="{D5CDD505-2E9C-101B-9397-08002B2CF9AE}" pid="6" name="Created using">
    <vt:lpwstr>LW 6.0.1, Build 20180503</vt:lpwstr>
  </property>
  <property fmtid="{D5CDD505-2E9C-101B-9397-08002B2CF9AE}" pid="7" name="synchronize">
    <vt:lpwstr>on</vt:lpwstr>
  </property>
  <property fmtid="{D5CDD505-2E9C-101B-9397-08002B2CF9AE}" pid="8" name="CPTemplateID">
    <vt:lpwstr>CP-006</vt:lpwstr>
  </property>
  <property fmtid="{D5CDD505-2E9C-101B-9397-08002B2CF9AE}" pid="9" name="_LW_INVALIDATED__LW_INVALIDATED_ContentTypeId">
    <vt:lpwstr>0x010100258AA79CEB83498886A3A0868112325000189CB87B1E53E74D8E56C76F27A51955</vt:lpwstr>
  </property>
  <property fmtid="{D5CDD505-2E9C-101B-9397-08002B2CF9AE}" pid="10" name="ContentTypeId">
    <vt:lpwstr>0x010100B5BD0826AAE22F4CB9B703218939610D</vt:lpwstr>
  </property>
  <property fmtid="{D5CDD505-2E9C-101B-9397-08002B2CF9AE}" pid="11" name="_dlc_DocIdItemGuid">
    <vt:lpwstr>612815d5-7b94-4e92-b123-ce86cafd4f18</vt:lpwstr>
  </property>
  <property fmtid="{D5CDD505-2E9C-101B-9397-08002B2CF9AE}" pid="12" name="MSIP_Label_6bd9ddd1-4d20-43f6-abfa-fc3c07406f94_Enabled">
    <vt:lpwstr>true</vt:lpwstr>
  </property>
  <property fmtid="{D5CDD505-2E9C-101B-9397-08002B2CF9AE}" pid="13" name="MSIP_Label_6bd9ddd1-4d20-43f6-abfa-fc3c07406f94_SetDate">
    <vt:lpwstr>2022-05-17T07:30:17Z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5bd134ee-e9e5-4153-9fea-730183349a8b</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SharedWithUsers">
    <vt:lpwstr>20;#MORARU Andrei (BUDG)</vt:lpwstr>
  </property>
  <property fmtid="{D5CDD505-2E9C-101B-9397-08002B2CF9AE}" pid="21" name="Tag_05">
    <vt:lpwstr>MFF Preparation</vt:lpwstr>
  </property>
  <property fmtid="{D5CDD505-2E9C-101B-9397-08002B2CF9AE}" pid="22" name="ApprovalStep">
    <vt:lpwstr>In Progress</vt:lpwstr>
  </property>
  <property fmtid="{D5CDD505-2E9C-101B-9397-08002B2CF9AE}" pid="23" name="Tag2">
    <vt:lpwstr>Report communication</vt:lpwstr>
  </property>
  <property fmtid="{D5CDD505-2E9C-101B-9397-08002B2CF9AE}" pid="24" name="Tag_06">
    <vt:lpwstr>External stakeholders</vt:lpwstr>
  </property>
  <property fmtid="{D5CDD505-2E9C-101B-9397-08002B2CF9AE}" pid="25" name="Tag_07">
    <vt:lpwstr>LTPF 2027-2034</vt:lpwstr>
  </property>
  <property fmtid="{D5CDD505-2E9C-101B-9397-08002B2CF9AE}" pid="26" name="Tag1">
    <vt:lpwstr>Communication</vt:lpwstr>
  </property>
  <property fmtid="{D5CDD505-2E9C-101B-9397-08002B2CF9AE}" pid="27" name="Tag_03">
    <vt:lpwstr>2028-2034</vt:lpwstr>
  </property>
  <property fmtid="{D5CDD505-2E9C-101B-9397-08002B2CF9AE}" pid="28" name="Year">
    <vt:lpwstr>2026</vt:lpwstr>
  </property>
  <property fmtid="{D5CDD505-2E9C-101B-9397-08002B2CF9AE}" pid="29" name="Tag_04">
    <vt:lpwstr>Long-term payment forecast</vt:lpwstr>
  </property>
  <property fmtid="{D5CDD505-2E9C-101B-9397-08002B2CF9AE}" pid="30" name="DocStatus">
    <vt:lpwstr>Green</vt:lpwstr>
  </property>
</Properties>
</file>