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2C4A33" w14:textId="581F96D7" w:rsidR="00861C1C" w:rsidRPr="00F423B9" w:rsidRDefault="006C787C" w:rsidP="006C787C">
      <w:pPr>
        <w:pStyle w:val="Pagedecouverture"/>
        <w:rPr>
          <w:noProof/>
        </w:rPr>
      </w:pPr>
      <w:bookmarkStart w:id="0" w:name="_Toc456026166"/>
      <w:bookmarkStart w:id="1" w:name="LW_BM_COVERPAGE"/>
      <w:r>
        <w:rPr>
          <w:noProof/>
        </w:rPr>
        <w:pict w14:anchorId="265C77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56F18202-DF34-4C6A-9A1F-5038686A90FE" style="width:455.25pt;height:286.5pt">
            <v:imagedata r:id="rId11" o:title=""/>
          </v:shape>
        </w:pict>
      </w:r>
    </w:p>
    <w:bookmarkEnd w:id="1"/>
    <w:p w14:paraId="7CA99554" w14:textId="77777777" w:rsidR="00313440" w:rsidRDefault="00313440" w:rsidP="00313440">
      <w:pPr>
        <w:rPr>
          <w:noProof/>
        </w:rPr>
        <w:sectPr w:rsidR="00313440" w:rsidSect="006C787C">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fmt="numberInDash" w:start="1"/>
          <w:cols w:space="720"/>
          <w:docGrid w:linePitch="326"/>
        </w:sectPr>
      </w:pPr>
    </w:p>
    <w:p w14:paraId="43DBD787" w14:textId="19728816" w:rsidR="00861C1C" w:rsidRPr="00F423B9" w:rsidRDefault="003B6DC2" w:rsidP="00DE0036">
      <w:pPr>
        <w:pStyle w:val="TOCHeading"/>
        <w:rPr>
          <w:rFonts w:asciiTheme="majorHAnsi" w:hAnsiTheme="majorHAnsi"/>
          <w:noProof/>
        </w:rPr>
      </w:pPr>
      <w:bookmarkStart w:id="2" w:name="_Toc167194507"/>
      <w:bookmarkStart w:id="3" w:name="_Toc232061793"/>
      <w:bookmarkStart w:id="4" w:name="_Toc232061861"/>
      <w:bookmarkStart w:id="5" w:name="_Toc232087283"/>
      <w:bookmarkStart w:id="6" w:name="_Toc232174496"/>
      <w:bookmarkStart w:id="7" w:name="_Toc232591326"/>
      <w:bookmarkStart w:id="8" w:name="_Toc232603640"/>
      <w:bookmarkStart w:id="9" w:name="_Toc233027392"/>
      <w:bookmarkStart w:id="10" w:name="_Toc233045172"/>
      <w:bookmarkStart w:id="11" w:name="_Toc233958935"/>
      <w:bookmarkStart w:id="12" w:name="_Toc494974436"/>
      <w:bookmarkStart w:id="13" w:name="_Toc524523057"/>
      <w:bookmarkStart w:id="14" w:name="_GoBack"/>
      <w:bookmarkEnd w:id="0"/>
      <w:bookmarkEnd w:id="14"/>
      <w:r w:rsidRPr="00F423B9">
        <w:rPr>
          <w:rFonts w:asciiTheme="majorHAnsi" w:hAnsiTheme="majorHAnsi"/>
          <w:noProof/>
        </w:rPr>
        <w:lastRenderedPageBreak/>
        <w:t>Table of Contents</w:t>
      </w:r>
      <w:bookmarkEnd w:id="2"/>
      <w:bookmarkEnd w:id="3"/>
      <w:bookmarkEnd w:id="4"/>
      <w:bookmarkEnd w:id="5"/>
      <w:bookmarkEnd w:id="6"/>
      <w:bookmarkEnd w:id="7"/>
      <w:bookmarkEnd w:id="8"/>
      <w:bookmarkEnd w:id="9"/>
      <w:bookmarkEnd w:id="10"/>
      <w:bookmarkEnd w:id="11"/>
    </w:p>
    <w:p w14:paraId="29C3B995" w14:textId="3EF24FC2" w:rsidR="005D2F67" w:rsidRDefault="003B6DC2">
      <w:pPr>
        <w:pStyle w:val="TOC1"/>
        <w:rPr>
          <w:rFonts w:asciiTheme="minorHAnsi" w:eastAsiaTheme="minorEastAsia" w:hAnsiTheme="minorHAnsi"/>
          <w:b w:val="0"/>
          <w:caps w:val="0"/>
          <w:noProof/>
          <w:kern w:val="2"/>
          <w:sz w:val="24"/>
          <w:szCs w:val="24"/>
          <w:lang w:val="en-US"/>
          <w14:ligatures w14:val="standardContextual"/>
        </w:rPr>
      </w:pPr>
      <w:r w:rsidRPr="00F423B9">
        <w:rPr>
          <w:rFonts w:asciiTheme="majorHAnsi" w:hAnsiTheme="majorHAnsi"/>
          <w:noProof/>
        </w:rPr>
        <w:fldChar w:fldCharType="begin"/>
      </w:r>
      <w:r w:rsidRPr="005D2F67">
        <w:rPr>
          <w:rFonts w:asciiTheme="majorHAnsi" w:hAnsiTheme="majorHAnsi"/>
          <w:noProof/>
        </w:rPr>
        <w:instrText>TOC \o "1-3" \h \z \u</w:instrText>
      </w:r>
      <w:r w:rsidRPr="00F423B9">
        <w:rPr>
          <w:rFonts w:asciiTheme="majorHAnsi" w:hAnsiTheme="majorHAnsi"/>
          <w:noProof/>
        </w:rPr>
        <w:fldChar w:fldCharType="separate"/>
      </w:r>
      <w:hyperlink w:anchor="_Toc233958935" w:history="1"/>
    </w:p>
    <w:p w14:paraId="54B35FBF" w14:textId="1A97FCB7" w:rsidR="005D2F67" w:rsidRDefault="006C787C">
      <w:pPr>
        <w:pStyle w:val="TOC2"/>
        <w:rPr>
          <w:rFonts w:asciiTheme="minorHAnsi" w:eastAsiaTheme="minorEastAsia" w:hAnsiTheme="minorHAnsi"/>
          <w:kern w:val="2"/>
          <w:sz w:val="24"/>
          <w:szCs w:val="24"/>
          <w:lang w:val="en-US"/>
          <w14:ligatures w14:val="standardContextual"/>
        </w:rPr>
      </w:pPr>
      <w:hyperlink w:anchor="_Toc233958936" w:history="1">
        <w:r w:rsidR="005D2F67" w:rsidRPr="00660670">
          <w:rPr>
            <w:rStyle w:val="Hyperlink"/>
            <w:rFonts w:asciiTheme="majorHAnsi" w:hAnsiTheme="majorHAnsi"/>
          </w:rPr>
          <w:t>1.</w:t>
        </w:r>
        <w:r w:rsidR="005D2F67">
          <w:rPr>
            <w:rFonts w:asciiTheme="minorHAnsi" w:eastAsiaTheme="minorEastAsia" w:hAnsiTheme="minorHAnsi"/>
            <w:kern w:val="2"/>
            <w:sz w:val="24"/>
            <w:szCs w:val="24"/>
            <w:lang w:val="en-US"/>
            <w14:ligatures w14:val="standardContextual"/>
          </w:rPr>
          <w:tab/>
        </w:r>
        <w:r w:rsidR="005D2F67" w:rsidRPr="00660670">
          <w:rPr>
            <w:rStyle w:val="Hyperlink"/>
            <w:rFonts w:asciiTheme="majorHAnsi" w:hAnsiTheme="majorHAnsi"/>
          </w:rPr>
          <w:t>Introduction</w:t>
        </w:r>
        <w:r w:rsidR="005D2F67">
          <w:rPr>
            <w:webHidden/>
          </w:rPr>
          <w:tab/>
        </w:r>
        <w:r w:rsidR="005D2F67">
          <w:rPr>
            <w:webHidden/>
          </w:rPr>
          <w:fldChar w:fldCharType="begin"/>
        </w:r>
        <w:r w:rsidR="005D2F67">
          <w:rPr>
            <w:webHidden/>
          </w:rPr>
          <w:instrText xml:space="preserve"> PAGEREF _Toc233958936 \h </w:instrText>
        </w:r>
        <w:r w:rsidR="005D2F67">
          <w:rPr>
            <w:webHidden/>
          </w:rPr>
        </w:r>
        <w:r w:rsidR="005D2F67">
          <w:rPr>
            <w:webHidden/>
          </w:rPr>
          <w:fldChar w:fldCharType="separate"/>
        </w:r>
        <w:r w:rsidR="005D2F67">
          <w:rPr>
            <w:webHidden/>
          </w:rPr>
          <w:t>1</w:t>
        </w:r>
        <w:r w:rsidR="005D2F67">
          <w:rPr>
            <w:webHidden/>
          </w:rPr>
          <w:fldChar w:fldCharType="end"/>
        </w:r>
      </w:hyperlink>
    </w:p>
    <w:p w14:paraId="006CFB55" w14:textId="0C5472EA" w:rsidR="005D2F67" w:rsidRDefault="006C787C">
      <w:pPr>
        <w:pStyle w:val="TOC2"/>
        <w:rPr>
          <w:rFonts w:asciiTheme="minorHAnsi" w:eastAsiaTheme="minorEastAsia" w:hAnsiTheme="minorHAnsi"/>
          <w:kern w:val="2"/>
          <w:sz w:val="24"/>
          <w:szCs w:val="24"/>
          <w:lang w:val="en-US"/>
          <w14:ligatures w14:val="standardContextual"/>
        </w:rPr>
      </w:pPr>
      <w:hyperlink w:anchor="_Toc233958937" w:history="1">
        <w:r w:rsidR="005D2F67" w:rsidRPr="00660670">
          <w:rPr>
            <w:rStyle w:val="Hyperlink"/>
            <w:rFonts w:asciiTheme="majorHAnsi" w:hAnsiTheme="majorHAnsi"/>
          </w:rPr>
          <w:t>2.</w:t>
        </w:r>
        <w:r w:rsidR="005D2F67">
          <w:rPr>
            <w:rFonts w:asciiTheme="minorHAnsi" w:eastAsiaTheme="minorEastAsia" w:hAnsiTheme="minorHAnsi"/>
            <w:kern w:val="2"/>
            <w:sz w:val="24"/>
            <w:szCs w:val="24"/>
            <w:lang w:val="en-US"/>
            <w14:ligatures w14:val="standardContextual"/>
          </w:rPr>
          <w:tab/>
        </w:r>
        <w:r w:rsidR="005D2F67" w:rsidRPr="00660670">
          <w:rPr>
            <w:rStyle w:val="Hyperlink"/>
            <w:rFonts w:asciiTheme="majorHAnsi" w:hAnsiTheme="majorHAnsi"/>
          </w:rPr>
          <w:t>Forecast of outflows of the EU budget  2027-2034</w:t>
        </w:r>
        <w:r w:rsidR="005D2F67">
          <w:rPr>
            <w:webHidden/>
          </w:rPr>
          <w:tab/>
        </w:r>
        <w:r w:rsidR="005D2F67">
          <w:rPr>
            <w:webHidden/>
          </w:rPr>
          <w:fldChar w:fldCharType="begin"/>
        </w:r>
        <w:r w:rsidR="005D2F67">
          <w:rPr>
            <w:webHidden/>
          </w:rPr>
          <w:instrText xml:space="preserve"> PAGEREF _Toc233958937 \h </w:instrText>
        </w:r>
        <w:r w:rsidR="005D2F67">
          <w:rPr>
            <w:webHidden/>
          </w:rPr>
        </w:r>
        <w:r w:rsidR="005D2F67">
          <w:rPr>
            <w:webHidden/>
          </w:rPr>
          <w:fldChar w:fldCharType="separate"/>
        </w:r>
        <w:r w:rsidR="005D2F67">
          <w:rPr>
            <w:webHidden/>
          </w:rPr>
          <w:t>1</w:t>
        </w:r>
        <w:r w:rsidR="005D2F67">
          <w:rPr>
            <w:webHidden/>
          </w:rPr>
          <w:fldChar w:fldCharType="end"/>
        </w:r>
      </w:hyperlink>
    </w:p>
    <w:p w14:paraId="6FF2904B" w14:textId="27F4D21E" w:rsidR="005D2F67" w:rsidRDefault="006C787C">
      <w:pPr>
        <w:pStyle w:val="TOC3"/>
        <w:rPr>
          <w:rFonts w:asciiTheme="minorHAnsi" w:eastAsiaTheme="minorEastAsia" w:hAnsiTheme="minorHAnsi"/>
          <w:noProof/>
          <w:kern w:val="2"/>
          <w:sz w:val="24"/>
          <w:szCs w:val="24"/>
          <w:lang w:val="en-US"/>
          <w14:ligatures w14:val="standardContextual"/>
        </w:rPr>
      </w:pPr>
      <w:hyperlink w:anchor="_Toc233958938" w:history="1">
        <w:r w:rsidR="005D2F67" w:rsidRPr="00660670">
          <w:rPr>
            <w:rStyle w:val="Hyperlink"/>
            <w:rFonts w:asciiTheme="majorHAnsi" w:hAnsiTheme="majorHAnsi"/>
            <w:noProof/>
          </w:rPr>
          <w:t>2.1.</w:t>
        </w:r>
        <w:r w:rsidR="005D2F67">
          <w:rPr>
            <w:rFonts w:asciiTheme="minorHAnsi" w:eastAsiaTheme="minorEastAsia" w:hAnsiTheme="minorHAnsi"/>
            <w:noProof/>
            <w:kern w:val="2"/>
            <w:sz w:val="24"/>
            <w:szCs w:val="24"/>
            <w:lang w:val="en-US"/>
            <w14:ligatures w14:val="standardContextual"/>
          </w:rPr>
          <w:tab/>
        </w:r>
        <w:r w:rsidR="005D2F67" w:rsidRPr="00660670">
          <w:rPr>
            <w:rStyle w:val="Hyperlink"/>
            <w:rFonts w:asciiTheme="majorHAnsi" w:hAnsiTheme="majorHAnsi"/>
            <w:noProof/>
          </w:rPr>
          <w:t>Payments in relation to the commitments of the 2021-2027 MFF</w:t>
        </w:r>
        <w:r w:rsidR="005D2F67">
          <w:rPr>
            <w:noProof/>
            <w:webHidden/>
          </w:rPr>
          <w:tab/>
        </w:r>
        <w:r w:rsidR="005D2F67">
          <w:rPr>
            <w:noProof/>
            <w:webHidden/>
          </w:rPr>
          <w:fldChar w:fldCharType="begin"/>
        </w:r>
        <w:r w:rsidR="005D2F67">
          <w:rPr>
            <w:noProof/>
            <w:webHidden/>
          </w:rPr>
          <w:instrText xml:space="preserve"> PAGEREF _Toc233958938 \h </w:instrText>
        </w:r>
        <w:r w:rsidR="005D2F67">
          <w:rPr>
            <w:noProof/>
            <w:webHidden/>
          </w:rPr>
        </w:r>
        <w:r w:rsidR="005D2F67">
          <w:rPr>
            <w:noProof/>
            <w:webHidden/>
          </w:rPr>
          <w:fldChar w:fldCharType="separate"/>
        </w:r>
        <w:r w:rsidR="005D2F67">
          <w:rPr>
            <w:noProof/>
            <w:webHidden/>
          </w:rPr>
          <w:t>3</w:t>
        </w:r>
        <w:r w:rsidR="005D2F67">
          <w:rPr>
            <w:noProof/>
            <w:webHidden/>
          </w:rPr>
          <w:fldChar w:fldCharType="end"/>
        </w:r>
      </w:hyperlink>
    </w:p>
    <w:p w14:paraId="479671BA" w14:textId="4B11B4A6" w:rsidR="005D2F67" w:rsidRDefault="006C787C">
      <w:pPr>
        <w:pStyle w:val="TOC3"/>
        <w:rPr>
          <w:rFonts w:asciiTheme="minorHAnsi" w:eastAsiaTheme="minorEastAsia" w:hAnsiTheme="minorHAnsi"/>
          <w:noProof/>
          <w:kern w:val="2"/>
          <w:sz w:val="24"/>
          <w:szCs w:val="24"/>
          <w:lang w:val="en-US"/>
          <w14:ligatures w14:val="standardContextual"/>
        </w:rPr>
      </w:pPr>
      <w:hyperlink w:anchor="_Toc233958939" w:history="1">
        <w:r w:rsidR="005D2F67" w:rsidRPr="00660670">
          <w:rPr>
            <w:rStyle w:val="Hyperlink"/>
            <w:rFonts w:asciiTheme="majorHAnsi" w:hAnsiTheme="majorHAnsi"/>
            <w:noProof/>
          </w:rPr>
          <w:t>2.2.</w:t>
        </w:r>
        <w:r w:rsidR="005D2F67">
          <w:rPr>
            <w:rFonts w:asciiTheme="minorHAnsi" w:eastAsiaTheme="minorEastAsia" w:hAnsiTheme="minorHAnsi"/>
            <w:noProof/>
            <w:kern w:val="2"/>
            <w:sz w:val="24"/>
            <w:szCs w:val="24"/>
            <w:lang w:val="en-US"/>
            <w14:ligatures w14:val="standardContextual"/>
          </w:rPr>
          <w:tab/>
        </w:r>
        <w:r w:rsidR="005D2F67" w:rsidRPr="00660670">
          <w:rPr>
            <w:rStyle w:val="Hyperlink"/>
            <w:rFonts w:asciiTheme="majorHAnsi" w:hAnsiTheme="majorHAnsi"/>
            <w:noProof/>
          </w:rPr>
          <w:t>Payments in relation to the commitments of the 2028-2034 MFF</w:t>
        </w:r>
        <w:r w:rsidR="005D2F67">
          <w:rPr>
            <w:noProof/>
            <w:webHidden/>
          </w:rPr>
          <w:tab/>
        </w:r>
        <w:r w:rsidR="005D2F67">
          <w:rPr>
            <w:noProof/>
            <w:webHidden/>
          </w:rPr>
          <w:fldChar w:fldCharType="begin"/>
        </w:r>
        <w:r w:rsidR="005D2F67">
          <w:rPr>
            <w:noProof/>
            <w:webHidden/>
          </w:rPr>
          <w:instrText xml:space="preserve"> PAGEREF _Toc233958939 \h </w:instrText>
        </w:r>
        <w:r w:rsidR="005D2F67">
          <w:rPr>
            <w:noProof/>
            <w:webHidden/>
          </w:rPr>
        </w:r>
        <w:r w:rsidR="005D2F67">
          <w:rPr>
            <w:noProof/>
            <w:webHidden/>
          </w:rPr>
          <w:fldChar w:fldCharType="separate"/>
        </w:r>
        <w:r w:rsidR="005D2F67">
          <w:rPr>
            <w:noProof/>
            <w:webHidden/>
          </w:rPr>
          <w:t>4</w:t>
        </w:r>
        <w:r w:rsidR="005D2F67">
          <w:rPr>
            <w:noProof/>
            <w:webHidden/>
          </w:rPr>
          <w:fldChar w:fldCharType="end"/>
        </w:r>
      </w:hyperlink>
    </w:p>
    <w:p w14:paraId="7195C1E9" w14:textId="60CE3BDF" w:rsidR="005D2F67" w:rsidRDefault="006C787C">
      <w:pPr>
        <w:pStyle w:val="TOC3"/>
        <w:rPr>
          <w:rFonts w:asciiTheme="minorHAnsi" w:eastAsiaTheme="minorEastAsia" w:hAnsiTheme="minorHAnsi"/>
          <w:noProof/>
          <w:kern w:val="2"/>
          <w:sz w:val="24"/>
          <w:szCs w:val="24"/>
          <w:lang w:val="en-US"/>
          <w14:ligatures w14:val="standardContextual"/>
        </w:rPr>
      </w:pPr>
      <w:hyperlink w:anchor="_Toc233958940" w:history="1">
        <w:r w:rsidR="005D2F67" w:rsidRPr="00660670">
          <w:rPr>
            <w:rStyle w:val="Hyperlink"/>
            <w:rFonts w:asciiTheme="majorHAnsi" w:hAnsiTheme="majorHAnsi"/>
            <w:noProof/>
          </w:rPr>
          <w:t>2.3.</w:t>
        </w:r>
        <w:r w:rsidR="005D2F67">
          <w:rPr>
            <w:rFonts w:asciiTheme="minorHAnsi" w:eastAsiaTheme="minorEastAsia" w:hAnsiTheme="minorHAnsi"/>
            <w:noProof/>
            <w:kern w:val="2"/>
            <w:sz w:val="24"/>
            <w:szCs w:val="24"/>
            <w:lang w:val="en-US"/>
            <w14:ligatures w14:val="standardContextual"/>
          </w:rPr>
          <w:tab/>
        </w:r>
        <w:r w:rsidR="005D2F67" w:rsidRPr="00660670">
          <w:rPr>
            <w:rStyle w:val="Hyperlink"/>
            <w:rFonts w:asciiTheme="majorHAnsi" w:hAnsiTheme="majorHAnsi"/>
            <w:noProof/>
          </w:rPr>
          <w:t>Decommitments</w:t>
        </w:r>
        <w:r w:rsidR="005D2F67">
          <w:rPr>
            <w:noProof/>
            <w:webHidden/>
          </w:rPr>
          <w:tab/>
        </w:r>
        <w:r w:rsidR="005D2F67">
          <w:rPr>
            <w:noProof/>
            <w:webHidden/>
          </w:rPr>
          <w:fldChar w:fldCharType="begin"/>
        </w:r>
        <w:r w:rsidR="005D2F67">
          <w:rPr>
            <w:noProof/>
            <w:webHidden/>
          </w:rPr>
          <w:instrText xml:space="preserve"> PAGEREF _Toc233958940 \h </w:instrText>
        </w:r>
        <w:r w:rsidR="005D2F67">
          <w:rPr>
            <w:noProof/>
            <w:webHidden/>
          </w:rPr>
        </w:r>
        <w:r w:rsidR="005D2F67">
          <w:rPr>
            <w:noProof/>
            <w:webHidden/>
          </w:rPr>
          <w:fldChar w:fldCharType="separate"/>
        </w:r>
        <w:r w:rsidR="005D2F67">
          <w:rPr>
            <w:noProof/>
            <w:webHidden/>
          </w:rPr>
          <w:t>5</w:t>
        </w:r>
        <w:r w:rsidR="005D2F67">
          <w:rPr>
            <w:noProof/>
            <w:webHidden/>
          </w:rPr>
          <w:fldChar w:fldCharType="end"/>
        </w:r>
      </w:hyperlink>
    </w:p>
    <w:p w14:paraId="193D0394" w14:textId="21675125" w:rsidR="005D2F67" w:rsidRDefault="006C787C">
      <w:pPr>
        <w:pStyle w:val="TOC3"/>
        <w:rPr>
          <w:rFonts w:asciiTheme="minorHAnsi" w:eastAsiaTheme="minorEastAsia" w:hAnsiTheme="minorHAnsi"/>
          <w:noProof/>
          <w:kern w:val="2"/>
          <w:sz w:val="24"/>
          <w:szCs w:val="24"/>
          <w:lang w:val="en-US"/>
          <w14:ligatures w14:val="standardContextual"/>
        </w:rPr>
      </w:pPr>
      <w:hyperlink w:anchor="_Toc233958941" w:history="1">
        <w:r w:rsidR="005D2F67" w:rsidRPr="00660670">
          <w:rPr>
            <w:rStyle w:val="Hyperlink"/>
            <w:rFonts w:asciiTheme="majorHAnsi" w:hAnsiTheme="majorHAnsi"/>
            <w:noProof/>
          </w:rPr>
          <w:t>2.4.</w:t>
        </w:r>
        <w:r w:rsidR="005D2F67">
          <w:rPr>
            <w:rFonts w:asciiTheme="minorHAnsi" w:eastAsiaTheme="minorEastAsia" w:hAnsiTheme="minorHAnsi"/>
            <w:noProof/>
            <w:kern w:val="2"/>
            <w:sz w:val="24"/>
            <w:szCs w:val="24"/>
            <w:lang w:val="en-US"/>
            <w14:ligatures w14:val="standardContextual"/>
          </w:rPr>
          <w:tab/>
        </w:r>
        <w:r w:rsidR="005D2F67" w:rsidRPr="00660670">
          <w:rPr>
            <w:rStyle w:val="Hyperlink"/>
            <w:rFonts w:asciiTheme="majorHAnsi" w:hAnsiTheme="majorHAnsi"/>
            <w:noProof/>
          </w:rPr>
          <w:t>Evolution of the level of outstanding commitments</w:t>
        </w:r>
        <w:r w:rsidR="005D2F67">
          <w:rPr>
            <w:noProof/>
            <w:webHidden/>
          </w:rPr>
          <w:tab/>
        </w:r>
        <w:r w:rsidR="005D2F67">
          <w:rPr>
            <w:noProof/>
            <w:webHidden/>
          </w:rPr>
          <w:fldChar w:fldCharType="begin"/>
        </w:r>
        <w:r w:rsidR="005D2F67">
          <w:rPr>
            <w:noProof/>
            <w:webHidden/>
          </w:rPr>
          <w:instrText xml:space="preserve"> PAGEREF _Toc233958941 \h </w:instrText>
        </w:r>
        <w:r w:rsidR="005D2F67">
          <w:rPr>
            <w:noProof/>
            <w:webHidden/>
          </w:rPr>
        </w:r>
        <w:r w:rsidR="005D2F67">
          <w:rPr>
            <w:noProof/>
            <w:webHidden/>
          </w:rPr>
          <w:fldChar w:fldCharType="separate"/>
        </w:r>
        <w:r w:rsidR="005D2F67">
          <w:rPr>
            <w:noProof/>
            <w:webHidden/>
          </w:rPr>
          <w:t>6</w:t>
        </w:r>
        <w:r w:rsidR="005D2F67">
          <w:rPr>
            <w:noProof/>
            <w:webHidden/>
          </w:rPr>
          <w:fldChar w:fldCharType="end"/>
        </w:r>
      </w:hyperlink>
    </w:p>
    <w:p w14:paraId="54BF0906" w14:textId="1790F54B" w:rsidR="005D2F67" w:rsidRDefault="006C787C">
      <w:pPr>
        <w:pStyle w:val="TOC2"/>
        <w:rPr>
          <w:rFonts w:asciiTheme="minorHAnsi" w:eastAsiaTheme="minorEastAsia" w:hAnsiTheme="minorHAnsi"/>
          <w:kern w:val="2"/>
          <w:sz w:val="24"/>
          <w:szCs w:val="24"/>
          <w:lang w:val="en-US"/>
          <w14:ligatures w14:val="standardContextual"/>
        </w:rPr>
      </w:pPr>
      <w:hyperlink w:anchor="_Toc233958942" w:history="1">
        <w:r w:rsidR="005D2F67" w:rsidRPr="00660670">
          <w:rPr>
            <w:rStyle w:val="Hyperlink"/>
            <w:rFonts w:asciiTheme="majorHAnsi" w:hAnsiTheme="majorHAnsi"/>
          </w:rPr>
          <w:t>3.</w:t>
        </w:r>
        <w:r w:rsidR="005D2F67">
          <w:rPr>
            <w:rFonts w:asciiTheme="minorHAnsi" w:eastAsiaTheme="minorEastAsia" w:hAnsiTheme="minorHAnsi"/>
            <w:kern w:val="2"/>
            <w:sz w:val="24"/>
            <w:szCs w:val="24"/>
            <w:lang w:val="en-US"/>
            <w14:ligatures w14:val="standardContextual"/>
          </w:rPr>
          <w:tab/>
        </w:r>
        <w:r w:rsidR="005D2F67" w:rsidRPr="00660670">
          <w:rPr>
            <w:rStyle w:val="Hyperlink"/>
            <w:rFonts w:asciiTheme="majorHAnsi" w:hAnsiTheme="majorHAnsi"/>
          </w:rPr>
          <w:t>Forecast of inflows of the EU budget  2027-2034</w:t>
        </w:r>
        <w:r w:rsidR="005D2F67">
          <w:rPr>
            <w:webHidden/>
          </w:rPr>
          <w:tab/>
        </w:r>
        <w:r w:rsidR="005D2F67">
          <w:rPr>
            <w:webHidden/>
          </w:rPr>
          <w:fldChar w:fldCharType="begin"/>
        </w:r>
        <w:r w:rsidR="005D2F67">
          <w:rPr>
            <w:webHidden/>
          </w:rPr>
          <w:instrText xml:space="preserve"> PAGEREF _Toc233958942 \h </w:instrText>
        </w:r>
        <w:r w:rsidR="005D2F67">
          <w:rPr>
            <w:webHidden/>
          </w:rPr>
        </w:r>
        <w:r w:rsidR="005D2F67">
          <w:rPr>
            <w:webHidden/>
          </w:rPr>
          <w:fldChar w:fldCharType="separate"/>
        </w:r>
        <w:r w:rsidR="005D2F67">
          <w:rPr>
            <w:webHidden/>
          </w:rPr>
          <w:t>6</w:t>
        </w:r>
        <w:r w:rsidR="005D2F67">
          <w:rPr>
            <w:webHidden/>
          </w:rPr>
          <w:fldChar w:fldCharType="end"/>
        </w:r>
      </w:hyperlink>
    </w:p>
    <w:p w14:paraId="3FCA173A" w14:textId="538A9C97" w:rsidR="005D2F67" w:rsidRDefault="006C787C">
      <w:pPr>
        <w:pStyle w:val="TOC3"/>
        <w:rPr>
          <w:rFonts w:asciiTheme="minorHAnsi" w:eastAsiaTheme="minorEastAsia" w:hAnsiTheme="minorHAnsi"/>
          <w:noProof/>
          <w:kern w:val="2"/>
          <w:sz w:val="24"/>
          <w:szCs w:val="24"/>
          <w:lang w:val="en-US"/>
          <w14:ligatures w14:val="standardContextual"/>
        </w:rPr>
      </w:pPr>
      <w:hyperlink w:anchor="_Toc233958943" w:history="1">
        <w:r w:rsidR="005D2F67" w:rsidRPr="00660670">
          <w:rPr>
            <w:rStyle w:val="Hyperlink"/>
            <w:rFonts w:asciiTheme="majorHAnsi" w:hAnsiTheme="majorHAnsi"/>
            <w:noProof/>
          </w:rPr>
          <w:t>3.1.</w:t>
        </w:r>
        <w:r w:rsidR="005D2F67">
          <w:rPr>
            <w:rFonts w:asciiTheme="minorHAnsi" w:eastAsiaTheme="minorEastAsia" w:hAnsiTheme="minorHAnsi"/>
            <w:noProof/>
            <w:kern w:val="2"/>
            <w:sz w:val="24"/>
            <w:szCs w:val="24"/>
            <w:lang w:val="en-US"/>
            <w14:ligatures w14:val="standardContextual"/>
          </w:rPr>
          <w:tab/>
        </w:r>
        <w:r w:rsidR="005D2F67" w:rsidRPr="00660670">
          <w:rPr>
            <w:rStyle w:val="Hyperlink"/>
            <w:rFonts w:asciiTheme="majorHAnsi" w:hAnsiTheme="majorHAnsi"/>
            <w:noProof/>
          </w:rPr>
          <w:t>Revenue sources</w:t>
        </w:r>
        <w:r w:rsidR="005D2F67">
          <w:rPr>
            <w:noProof/>
            <w:webHidden/>
          </w:rPr>
          <w:tab/>
        </w:r>
        <w:r w:rsidR="005D2F67">
          <w:rPr>
            <w:noProof/>
            <w:webHidden/>
          </w:rPr>
          <w:fldChar w:fldCharType="begin"/>
        </w:r>
        <w:r w:rsidR="005D2F67">
          <w:rPr>
            <w:noProof/>
            <w:webHidden/>
          </w:rPr>
          <w:instrText xml:space="preserve"> PAGEREF _Toc233958943 \h </w:instrText>
        </w:r>
        <w:r w:rsidR="005D2F67">
          <w:rPr>
            <w:noProof/>
            <w:webHidden/>
          </w:rPr>
        </w:r>
        <w:r w:rsidR="005D2F67">
          <w:rPr>
            <w:noProof/>
            <w:webHidden/>
          </w:rPr>
          <w:fldChar w:fldCharType="separate"/>
        </w:r>
        <w:r w:rsidR="005D2F67">
          <w:rPr>
            <w:noProof/>
            <w:webHidden/>
          </w:rPr>
          <w:t>7</w:t>
        </w:r>
        <w:r w:rsidR="005D2F67">
          <w:rPr>
            <w:noProof/>
            <w:webHidden/>
          </w:rPr>
          <w:fldChar w:fldCharType="end"/>
        </w:r>
      </w:hyperlink>
    </w:p>
    <w:p w14:paraId="46E9E310" w14:textId="0E019700" w:rsidR="005D2F67" w:rsidRDefault="006C787C">
      <w:pPr>
        <w:pStyle w:val="TOC2"/>
        <w:rPr>
          <w:rFonts w:asciiTheme="minorHAnsi" w:eastAsiaTheme="minorEastAsia" w:hAnsiTheme="minorHAnsi"/>
          <w:kern w:val="2"/>
          <w:sz w:val="24"/>
          <w:szCs w:val="24"/>
          <w:lang w:val="en-US"/>
          <w14:ligatures w14:val="standardContextual"/>
        </w:rPr>
      </w:pPr>
      <w:hyperlink w:anchor="_Toc233958944" w:history="1">
        <w:r w:rsidR="005D2F67" w:rsidRPr="00660670">
          <w:rPr>
            <w:rStyle w:val="Hyperlink"/>
            <w:rFonts w:asciiTheme="majorHAnsi" w:hAnsiTheme="majorHAnsi"/>
          </w:rPr>
          <w:t>4.</w:t>
        </w:r>
        <w:r w:rsidR="005D2F67">
          <w:rPr>
            <w:rFonts w:asciiTheme="minorHAnsi" w:eastAsiaTheme="minorEastAsia" w:hAnsiTheme="minorHAnsi"/>
            <w:kern w:val="2"/>
            <w:sz w:val="24"/>
            <w:szCs w:val="24"/>
            <w:lang w:val="en-US"/>
            <w14:ligatures w14:val="standardContextual"/>
          </w:rPr>
          <w:tab/>
        </w:r>
        <w:r w:rsidR="005D2F67" w:rsidRPr="00660670">
          <w:rPr>
            <w:rStyle w:val="Hyperlink"/>
            <w:rFonts w:asciiTheme="majorHAnsi" w:hAnsiTheme="majorHAnsi"/>
          </w:rPr>
          <w:t>Conclusions</w:t>
        </w:r>
        <w:r w:rsidR="005D2F67">
          <w:rPr>
            <w:webHidden/>
          </w:rPr>
          <w:tab/>
        </w:r>
        <w:r w:rsidR="005D2F67">
          <w:rPr>
            <w:webHidden/>
          </w:rPr>
          <w:fldChar w:fldCharType="begin"/>
        </w:r>
        <w:r w:rsidR="005D2F67">
          <w:rPr>
            <w:webHidden/>
          </w:rPr>
          <w:instrText xml:space="preserve"> PAGEREF _Toc233958944 \h </w:instrText>
        </w:r>
        <w:r w:rsidR="005D2F67">
          <w:rPr>
            <w:webHidden/>
          </w:rPr>
        </w:r>
        <w:r w:rsidR="005D2F67">
          <w:rPr>
            <w:webHidden/>
          </w:rPr>
          <w:fldChar w:fldCharType="separate"/>
        </w:r>
        <w:r w:rsidR="005D2F67">
          <w:rPr>
            <w:webHidden/>
          </w:rPr>
          <w:t>9</w:t>
        </w:r>
        <w:r w:rsidR="005D2F67">
          <w:rPr>
            <w:webHidden/>
          </w:rPr>
          <w:fldChar w:fldCharType="end"/>
        </w:r>
      </w:hyperlink>
    </w:p>
    <w:p w14:paraId="15B8B23C" w14:textId="278CBE89" w:rsidR="005D2F67" w:rsidRDefault="006C787C">
      <w:pPr>
        <w:pStyle w:val="TOC2"/>
        <w:rPr>
          <w:rFonts w:asciiTheme="minorHAnsi" w:eastAsiaTheme="minorEastAsia" w:hAnsiTheme="minorHAnsi"/>
          <w:kern w:val="2"/>
          <w:sz w:val="24"/>
          <w:szCs w:val="24"/>
          <w:lang w:val="en-US"/>
          <w14:ligatures w14:val="standardContextual"/>
        </w:rPr>
      </w:pPr>
      <w:hyperlink w:anchor="_Toc233958945" w:history="1">
        <w:r w:rsidR="005D2F67" w:rsidRPr="00660670">
          <w:rPr>
            <w:rStyle w:val="Hyperlink"/>
            <w:rFonts w:asciiTheme="majorHAnsi" w:hAnsiTheme="majorHAnsi"/>
          </w:rPr>
          <w:t>Annex II – Results of the forecast</w:t>
        </w:r>
        <w:r w:rsidR="005D2F67">
          <w:rPr>
            <w:webHidden/>
          </w:rPr>
          <w:tab/>
        </w:r>
        <w:r w:rsidR="005D2F67">
          <w:rPr>
            <w:webHidden/>
          </w:rPr>
          <w:fldChar w:fldCharType="begin"/>
        </w:r>
        <w:r w:rsidR="005D2F67">
          <w:rPr>
            <w:webHidden/>
          </w:rPr>
          <w:instrText xml:space="preserve"> PAGEREF _Toc233958945 \h </w:instrText>
        </w:r>
        <w:r w:rsidR="005D2F67">
          <w:rPr>
            <w:webHidden/>
          </w:rPr>
        </w:r>
        <w:r w:rsidR="005D2F67">
          <w:rPr>
            <w:webHidden/>
          </w:rPr>
          <w:fldChar w:fldCharType="separate"/>
        </w:r>
        <w:r w:rsidR="005D2F67">
          <w:rPr>
            <w:webHidden/>
          </w:rPr>
          <w:t>10</w:t>
        </w:r>
        <w:r w:rsidR="005D2F67">
          <w:rPr>
            <w:webHidden/>
          </w:rPr>
          <w:fldChar w:fldCharType="end"/>
        </w:r>
      </w:hyperlink>
    </w:p>
    <w:p w14:paraId="699A5DF8" w14:textId="1F807F3B" w:rsidR="005D2F67" w:rsidRDefault="006C787C">
      <w:pPr>
        <w:pStyle w:val="TOC2"/>
        <w:rPr>
          <w:rFonts w:asciiTheme="minorHAnsi" w:eastAsiaTheme="minorEastAsia" w:hAnsiTheme="minorHAnsi"/>
          <w:kern w:val="2"/>
          <w:sz w:val="24"/>
          <w:szCs w:val="24"/>
          <w:lang w:val="en-US"/>
          <w14:ligatures w14:val="standardContextual"/>
        </w:rPr>
      </w:pPr>
      <w:hyperlink w:anchor="_Toc233958946" w:history="1">
        <w:r w:rsidR="005D2F67" w:rsidRPr="00660670">
          <w:rPr>
            <w:rStyle w:val="Hyperlink"/>
            <w:rFonts w:asciiTheme="majorHAnsi" w:hAnsiTheme="majorHAnsi"/>
          </w:rPr>
          <w:t>Table 1.1 – Long-term forecast of future outflows over 2027-2034 for the MFF</w:t>
        </w:r>
        <w:r w:rsidR="005D2F67">
          <w:rPr>
            <w:webHidden/>
          </w:rPr>
          <w:tab/>
        </w:r>
        <w:r w:rsidR="005D2F67">
          <w:rPr>
            <w:webHidden/>
          </w:rPr>
          <w:fldChar w:fldCharType="begin"/>
        </w:r>
        <w:r w:rsidR="005D2F67">
          <w:rPr>
            <w:webHidden/>
          </w:rPr>
          <w:instrText xml:space="preserve"> PAGEREF _Toc233958946 \h </w:instrText>
        </w:r>
        <w:r w:rsidR="005D2F67">
          <w:rPr>
            <w:webHidden/>
          </w:rPr>
        </w:r>
        <w:r w:rsidR="005D2F67">
          <w:rPr>
            <w:webHidden/>
          </w:rPr>
          <w:fldChar w:fldCharType="separate"/>
        </w:r>
        <w:r w:rsidR="005D2F67">
          <w:rPr>
            <w:webHidden/>
          </w:rPr>
          <w:t>10</w:t>
        </w:r>
        <w:r w:rsidR="005D2F67">
          <w:rPr>
            <w:webHidden/>
          </w:rPr>
          <w:fldChar w:fldCharType="end"/>
        </w:r>
      </w:hyperlink>
    </w:p>
    <w:p w14:paraId="6213D972" w14:textId="7FE90C85" w:rsidR="005D2F67" w:rsidRDefault="006C787C">
      <w:pPr>
        <w:pStyle w:val="TOC2"/>
        <w:rPr>
          <w:rFonts w:asciiTheme="minorHAnsi" w:eastAsiaTheme="minorEastAsia" w:hAnsiTheme="minorHAnsi"/>
          <w:kern w:val="2"/>
          <w:sz w:val="24"/>
          <w:szCs w:val="24"/>
          <w:lang w:val="en-US"/>
          <w14:ligatures w14:val="standardContextual"/>
        </w:rPr>
      </w:pPr>
      <w:hyperlink w:anchor="_Toc233958947" w:history="1">
        <w:r w:rsidR="005D2F67" w:rsidRPr="00660670">
          <w:rPr>
            <w:rStyle w:val="Hyperlink"/>
            <w:rFonts w:asciiTheme="majorHAnsi" w:hAnsiTheme="majorHAnsi"/>
          </w:rPr>
          <w:t>Table 1.2 – Payments in relation to the commitments of the 2021-2027 MFF</w:t>
        </w:r>
        <w:r w:rsidR="005D2F67">
          <w:rPr>
            <w:webHidden/>
          </w:rPr>
          <w:tab/>
        </w:r>
        <w:r w:rsidR="005D2F67">
          <w:rPr>
            <w:webHidden/>
          </w:rPr>
          <w:fldChar w:fldCharType="begin"/>
        </w:r>
        <w:r w:rsidR="005D2F67">
          <w:rPr>
            <w:webHidden/>
          </w:rPr>
          <w:instrText xml:space="preserve"> PAGEREF _Toc233958947 \h </w:instrText>
        </w:r>
        <w:r w:rsidR="005D2F67">
          <w:rPr>
            <w:webHidden/>
          </w:rPr>
        </w:r>
        <w:r w:rsidR="005D2F67">
          <w:rPr>
            <w:webHidden/>
          </w:rPr>
          <w:fldChar w:fldCharType="separate"/>
        </w:r>
        <w:r w:rsidR="005D2F67">
          <w:rPr>
            <w:webHidden/>
          </w:rPr>
          <w:t>11</w:t>
        </w:r>
        <w:r w:rsidR="005D2F67">
          <w:rPr>
            <w:webHidden/>
          </w:rPr>
          <w:fldChar w:fldCharType="end"/>
        </w:r>
      </w:hyperlink>
    </w:p>
    <w:p w14:paraId="2E89C8E6" w14:textId="476FF704" w:rsidR="005D2F67" w:rsidRDefault="006C787C">
      <w:pPr>
        <w:pStyle w:val="TOC2"/>
        <w:rPr>
          <w:rFonts w:asciiTheme="minorHAnsi" w:eastAsiaTheme="minorEastAsia" w:hAnsiTheme="minorHAnsi"/>
          <w:kern w:val="2"/>
          <w:sz w:val="24"/>
          <w:szCs w:val="24"/>
          <w:lang w:val="en-US"/>
          <w14:ligatures w14:val="standardContextual"/>
        </w:rPr>
      </w:pPr>
      <w:hyperlink w:anchor="_Toc233958948" w:history="1">
        <w:r w:rsidR="005D2F67" w:rsidRPr="00660670">
          <w:rPr>
            <w:rStyle w:val="Hyperlink"/>
            <w:rFonts w:asciiTheme="majorHAnsi" w:hAnsiTheme="majorHAnsi"/>
          </w:rPr>
          <w:t>Table 1.3 – Payments for the completion of pre-2021 commitments</w:t>
        </w:r>
        <w:r w:rsidR="005D2F67">
          <w:rPr>
            <w:webHidden/>
          </w:rPr>
          <w:tab/>
        </w:r>
        <w:r w:rsidR="005D2F67">
          <w:rPr>
            <w:webHidden/>
          </w:rPr>
          <w:fldChar w:fldCharType="begin"/>
        </w:r>
        <w:r w:rsidR="005D2F67">
          <w:rPr>
            <w:webHidden/>
          </w:rPr>
          <w:instrText xml:space="preserve"> PAGEREF _Toc233958948 \h </w:instrText>
        </w:r>
        <w:r w:rsidR="005D2F67">
          <w:rPr>
            <w:webHidden/>
          </w:rPr>
        </w:r>
        <w:r w:rsidR="005D2F67">
          <w:rPr>
            <w:webHidden/>
          </w:rPr>
          <w:fldChar w:fldCharType="separate"/>
        </w:r>
        <w:r w:rsidR="005D2F67">
          <w:rPr>
            <w:webHidden/>
          </w:rPr>
          <w:t>12</w:t>
        </w:r>
        <w:r w:rsidR="005D2F67">
          <w:rPr>
            <w:webHidden/>
          </w:rPr>
          <w:fldChar w:fldCharType="end"/>
        </w:r>
      </w:hyperlink>
    </w:p>
    <w:p w14:paraId="76ECFB44" w14:textId="74DB413D" w:rsidR="005D2F67" w:rsidRDefault="006C787C">
      <w:pPr>
        <w:pStyle w:val="TOC2"/>
        <w:rPr>
          <w:rFonts w:asciiTheme="minorHAnsi" w:eastAsiaTheme="minorEastAsia" w:hAnsiTheme="minorHAnsi"/>
          <w:kern w:val="2"/>
          <w:sz w:val="24"/>
          <w:szCs w:val="24"/>
          <w:lang w:val="en-US"/>
          <w14:ligatures w14:val="standardContextual"/>
        </w:rPr>
      </w:pPr>
      <w:hyperlink w:anchor="_Toc233958949" w:history="1">
        <w:r w:rsidR="005D2F67" w:rsidRPr="00660670">
          <w:rPr>
            <w:rStyle w:val="Hyperlink"/>
            <w:rFonts w:asciiTheme="majorHAnsi" w:hAnsiTheme="majorHAnsi"/>
          </w:rPr>
          <w:t>Table 1.4 – Payments for 2028-2034 commitments</w:t>
        </w:r>
        <w:r w:rsidR="005D2F67">
          <w:rPr>
            <w:webHidden/>
          </w:rPr>
          <w:tab/>
        </w:r>
        <w:r w:rsidR="005D2F67">
          <w:rPr>
            <w:webHidden/>
          </w:rPr>
          <w:fldChar w:fldCharType="begin"/>
        </w:r>
        <w:r w:rsidR="005D2F67">
          <w:rPr>
            <w:webHidden/>
          </w:rPr>
          <w:instrText xml:space="preserve"> PAGEREF _Toc233958949 \h </w:instrText>
        </w:r>
        <w:r w:rsidR="005D2F67">
          <w:rPr>
            <w:webHidden/>
          </w:rPr>
        </w:r>
        <w:r w:rsidR="005D2F67">
          <w:rPr>
            <w:webHidden/>
          </w:rPr>
          <w:fldChar w:fldCharType="separate"/>
        </w:r>
        <w:r w:rsidR="005D2F67">
          <w:rPr>
            <w:webHidden/>
          </w:rPr>
          <w:t>13</w:t>
        </w:r>
        <w:r w:rsidR="005D2F67">
          <w:rPr>
            <w:webHidden/>
          </w:rPr>
          <w:fldChar w:fldCharType="end"/>
        </w:r>
      </w:hyperlink>
    </w:p>
    <w:p w14:paraId="7C704620" w14:textId="56D51ECF" w:rsidR="005D2F67" w:rsidRDefault="006C787C">
      <w:pPr>
        <w:pStyle w:val="TOC2"/>
        <w:rPr>
          <w:rFonts w:asciiTheme="minorHAnsi" w:eastAsiaTheme="minorEastAsia" w:hAnsiTheme="minorHAnsi"/>
          <w:kern w:val="2"/>
          <w:sz w:val="24"/>
          <w:szCs w:val="24"/>
          <w:lang w:val="en-US"/>
          <w14:ligatures w14:val="standardContextual"/>
        </w:rPr>
      </w:pPr>
      <w:hyperlink w:anchor="_Toc233958950" w:history="1">
        <w:r w:rsidR="005D2F67" w:rsidRPr="00660670">
          <w:rPr>
            <w:rStyle w:val="Hyperlink"/>
            <w:rFonts w:asciiTheme="majorHAnsi" w:hAnsiTheme="majorHAnsi"/>
          </w:rPr>
          <w:t>Table 2 – Forecast decommitments 2027-2034</w:t>
        </w:r>
        <w:r w:rsidR="005D2F67">
          <w:rPr>
            <w:webHidden/>
          </w:rPr>
          <w:tab/>
        </w:r>
        <w:r w:rsidR="005D2F67">
          <w:rPr>
            <w:webHidden/>
          </w:rPr>
          <w:fldChar w:fldCharType="begin"/>
        </w:r>
        <w:r w:rsidR="005D2F67">
          <w:rPr>
            <w:webHidden/>
          </w:rPr>
          <w:instrText xml:space="preserve"> PAGEREF _Toc233958950 \h </w:instrText>
        </w:r>
        <w:r w:rsidR="005D2F67">
          <w:rPr>
            <w:webHidden/>
          </w:rPr>
        </w:r>
        <w:r w:rsidR="005D2F67">
          <w:rPr>
            <w:webHidden/>
          </w:rPr>
          <w:fldChar w:fldCharType="separate"/>
        </w:r>
        <w:r w:rsidR="005D2F67">
          <w:rPr>
            <w:webHidden/>
          </w:rPr>
          <w:t>14</w:t>
        </w:r>
        <w:r w:rsidR="005D2F67">
          <w:rPr>
            <w:webHidden/>
          </w:rPr>
          <w:fldChar w:fldCharType="end"/>
        </w:r>
      </w:hyperlink>
    </w:p>
    <w:p w14:paraId="7A3F4583" w14:textId="64257BB5" w:rsidR="005D2F67" w:rsidRDefault="006C787C">
      <w:pPr>
        <w:pStyle w:val="TOC2"/>
        <w:rPr>
          <w:rFonts w:asciiTheme="minorHAnsi" w:eastAsiaTheme="minorEastAsia" w:hAnsiTheme="minorHAnsi"/>
          <w:kern w:val="2"/>
          <w:sz w:val="24"/>
          <w:szCs w:val="24"/>
          <w:lang w:val="en-US"/>
          <w14:ligatures w14:val="standardContextual"/>
        </w:rPr>
      </w:pPr>
      <w:hyperlink w:anchor="_Toc233958951" w:history="1">
        <w:r w:rsidR="005D2F67" w:rsidRPr="00660670">
          <w:rPr>
            <w:rStyle w:val="Hyperlink"/>
            <w:rFonts w:asciiTheme="majorHAnsi" w:hAnsiTheme="majorHAnsi"/>
          </w:rPr>
          <w:t>Table 3 – Outstanding commitments 2027-2034</w:t>
        </w:r>
        <w:r w:rsidR="005D2F67">
          <w:rPr>
            <w:webHidden/>
          </w:rPr>
          <w:tab/>
        </w:r>
        <w:r w:rsidR="005D2F67">
          <w:rPr>
            <w:webHidden/>
          </w:rPr>
          <w:fldChar w:fldCharType="begin"/>
        </w:r>
        <w:r w:rsidR="005D2F67">
          <w:rPr>
            <w:webHidden/>
          </w:rPr>
          <w:instrText xml:space="preserve"> PAGEREF _Toc233958951 \h </w:instrText>
        </w:r>
        <w:r w:rsidR="005D2F67">
          <w:rPr>
            <w:webHidden/>
          </w:rPr>
        </w:r>
        <w:r w:rsidR="005D2F67">
          <w:rPr>
            <w:webHidden/>
          </w:rPr>
          <w:fldChar w:fldCharType="separate"/>
        </w:r>
        <w:r w:rsidR="005D2F67">
          <w:rPr>
            <w:webHidden/>
          </w:rPr>
          <w:t>15</w:t>
        </w:r>
        <w:r w:rsidR="005D2F67">
          <w:rPr>
            <w:webHidden/>
          </w:rPr>
          <w:fldChar w:fldCharType="end"/>
        </w:r>
      </w:hyperlink>
    </w:p>
    <w:p w14:paraId="685AB796" w14:textId="7CC9DF22" w:rsidR="005D2F67" w:rsidRDefault="006C787C">
      <w:pPr>
        <w:pStyle w:val="TOC2"/>
        <w:rPr>
          <w:rFonts w:asciiTheme="minorHAnsi" w:eastAsiaTheme="minorEastAsia" w:hAnsiTheme="minorHAnsi"/>
          <w:kern w:val="2"/>
          <w:sz w:val="24"/>
          <w:szCs w:val="24"/>
          <w:lang w:val="en-US"/>
          <w14:ligatures w14:val="standardContextual"/>
        </w:rPr>
      </w:pPr>
      <w:hyperlink w:anchor="_Toc233958952" w:history="1">
        <w:r w:rsidR="005D2F67" w:rsidRPr="00660670">
          <w:rPr>
            <w:rStyle w:val="Hyperlink"/>
            <w:rFonts w:asciiTheme="majorHAnsi" w:hAnsiTheme="majorHAnsi"/>
          </w:rPr>
          <w:t>Table 4 – Long-term forecast of future inflows of the EU budget of 2027 and 2028-2034 MFF</w:t>
        </w:r>
        <w:r w:rsidR="005D2F67">
          <w:rPr>
            <w:webHidden/>
          </w:rPr>
          <w:tab/>
        </w:r>
        <w:r w:rsidR="005D2F67">
          <w:rPr>
            <w:webHidden/>
          </w:rPr>
          <w:fldChar w:fldCharType="begin"/>
        </w:r>
        <w:r w:rsidR="005D2F67">
          <w:rPr>
            <w:webHidden/>
          </w:rPr>
          <w:instrText xml:space="preserve"> PAGEREF _Toc233958952 \h </w:instrText>
        </w:r>
        <w:r w:rsidR="005D2F67">
          <w:rPr>
            <w:webHidden/>
          </w:rPr>
        </w:r>
        <w:r w:rsidR="005D2F67">
          <w:rPr>
            <w:webHidden/>
          </w:rPr>
          <w:fldChar w:fldCharType="separate"/>
        </w:r>
        <w:r w:rsidR="005D2F67">
          <w:rPr>
            <w:webHidden/>
          </w:rPr>
          <w:t>16</w:t>
        </w:r>
        <w:r w:rsidR="005D2F67">
          <w:rPr>
            <w:webHidden/>
          </w:rPr>
          <w:fldChar w:fldCharType="end"/>
        </w:r>
      </w:hyperlink>
    </w:p>
    <w:p w14:paraId="3620F4B9" w14:textId="7B41DF36" w:rsidR="00861C1C" w:rsidRPr="00F423B9" w:rsidRDefault="003B6DC2" w:rsidP="000F0FD4">
      <w:pPr>
        <w:pStyle w:val="TOC2"/>
        <w:spacing w:after="240"/>
        <w:rPr>
          <w:rFonts w:asciiTheme="majorHAnsi" w:hAnsiTheme="majorHAnsi"/>
        </w:rPr>
      </w:pPr>
      <w:r w:rsidRPr="00F423B9">
        <w:rPr>
          <w:rFonts w:asciiTheme="majorHAnsi" w:hAnsiTheme="majorHAnsi"/>
        </w:rPr>
        <w:fldChar w:fldCharType="end"/>
      </w:r>
    </w:p>
    <w:p w14:paraId="3FE3C258" w14:textId="77777777" w:rsidR="00413BE5" w:rsidRPr="00F423B9" w:rsidRDefault="00413BE5">
      <w:pPr>
        <w:rPr>
          <w:rFonts w:asciiTheme="majorHAnsi" w:hAnsiTheme="majorHAnsi"/>
          <w:noProof/>
        </w:rPr>
        <w:sectPr w:rsidR="00413BE5" w:rsidRPr="00F423B9">
          <w:headerReference w:type="even" r:id="rId18"/>
          <w:headerReference w:type="default" r:id="rId19"/>
          <w:footerReference w:type="even" r:id="rId20"/>
          <w:footerReference w:type="default" r:id="rId21"/>
          <w:headerReference w:type="first" r:id="rId22"/>
          <w:footerReference w:type="first" r:id="rId23"/>
          <w:pgSz w:w="11906" w:h="16838"/>
          <w:pgMar w:top="1321" w:right="1151" w:bottom="1440" w:left="1151" w:header="720" w:footer="720" w:gutter="0"/>
          <w:pgNumType w:start="1"/>
          <w:cols w:space="720"/>
          <w:docGrid w:linePitch="326"/>
        </w:sectPr>
      </w:pPr>
    </w:p>
    <w:p w14:paraId="65357E71" w14:textId="3D309FFD" w:rsidR="00861C1C" w:rsidRPr="00F423B9" w:rsidRDefault="003B6DC2">
      <w:pPr>
        <w:pStyle w:val="amprH2TITLE1-Numbered-1"/>
        <w:rPr>
          <w:rFonts w:asciiTheme="majorHAnsi" w:hAnsiTheme="majorHAnsi"/>
          <w:noProof/>
        </w:rPr>
      </w:pPr>
      <w:bookmarkStart w:id="15" w:name="_Toc233958936"/>
      <w:r w:rsidRPr="00F423B9">
        <w:rPr>
          <w:rFonts w:asciiTheme="majorHAnsi" w:hAnsiTheme="majorHAnsi"/>
          <w:noProof/>
        </w:rPr>
        <w:t>Introduction</w:t>
      </w:r>
      <w:bookmarkEnd w:id="12"/>
      <w:bookmarkEnd w:id="13"/>
      <w:bookmarkEnd w:id="15"/>
    </w:p>
    <w:p w14:paraId="2C5B0703" w14:textId="7A483793" w:rsidR="00EB50D1" w:rsidRDefault="55E43B5C" w:rsidP="0050317D">
      <w:pPr>
        <w:spacing w:before="180" w:after="120" w:line="276" w:lineRule="auto"/>
        <w:jc w:val="both"/>
        <w:rPr>
          <w:rFonts w:asciiTheme="majorHAnsi" w:hAnsiTheme="majorHAnsi"/>
          <w:noProof/>
        </w:rPr>
      </w:pPr>
      <w:r w:rsidRPr="00F423B9">
        <w:rPr>
          <w:rFonts w:asciiTheme="majorHAnsi" w:hAnsiTheme="majorHAnsi"/>
          <w:noProof/>
        </w:rPr>
        <w:t>This report projects the inflows and outflows of the EU budget in accordance with Article 2</w:t>
      </w:r>
      <w:r w:rsidR="001A27AE">
        <w:rPr>
          <w:rFonts w:asciiTheme="majorHAnsi" w:hAnsiTheme="majorHAnsi"/>
          <w:noProof/>
        </w:rPr>
        <w:t>53</w:t>
      </w:r>
      <w:r w:rsidRPr="00F423B9">
        <w:rPr>
          <w:rFonts w:asciiTheme="majorHAnsi" w:hAnsiTheme="majorHAnsi"/>
          <w:noProof/>
        </w:rPr>
        <w:t>(1)(c) of the Financial Regulation</w:t>
      </w:r>
      <w:r w:rsidR="003B6DC2" w:rsidRPr="00F423B9">
        <w:rPr>
          <w:rFonts w:asciiTheme="majorHAnsi" w:hAnsiTheme="majorHAnsi"/>
          <w:noProof/>
          <w:vertAlign w:val="superscript"/>
        </w:rPr>
        <w:endnoteReference w:id="2"/>
      </w:r>
      <w:r w:rsidR="001A27AE">
        <w:rPr>
          <w:rFonts w:asciiTheme="majorHAnsi" w:hAnsiTheme="majorHAnsi"/>
          <w:noProof/>
        </w:rPr>
        <w:t>. This</w:t>
      </w:r>
      <w:r w:rsidR="00742675" w:rsidRPr="00F423B9">
        <w:rPr>
          <w:rFonts w:asciiTheme="majorHAnsi" w:hAnsiTheme="majorHAnsi"/>
          <w:noProof/>
        </w:rPr>
        <w:t xml:space="preserve"> </w:t>
      </w:r>
      <w:r w:rsidR="001A27AE">
        <w:rPr>
          <w:rFonts w:asciiTheme="majorHAnsi" w:hAnsiTheme="majorHAnsi"/>
          <w:noProof/>
        </w:rPr>
        <w:t>sixth</w:t>
      </w:r>
      <w:r w:rsidR="00C3162D" w:rsidRPr="00F423B9">
        <w:rPr>
          <w:rStyle w:val="EndnoteReference"/>
          <w:rFonts w:asciiTheme="majorHAnsi" w:hAnsiTheme="majorHAnsi"/>
          <w:noProof/>
        </w:rPr>
        <w:endnoteReference w:id="3"/>
      </w:r>
      <w:r w:rsidRPr="00F423B9">
        <w:rPr>
          <w:rFonts w:asciiTheme="majorHAnsi" w:hAnsiTheme="majorHAnsi"/>
          <w:noProof/>
        </w:rPr>
        <w:t xml:space="preserve"> edition forecast</w:t>
      </w:r>
      <w:r w:rsidR="00A9154A" w:rsidRPr="00F423B9">
        <w:rPr>
          <w:rFonts w:asciiTheme="majorHAnsi" w:hAnsiTheme="majorHAnsi"/>
          <w:noProof/>
        </w:rPr>
        <w:t>s</w:t>
      </w:r>
      <w:r w:rsidRPr="00F423B9">
        <w:rPr>
          <w:rFonts w:asciiTheme="majorHAnsi" w:hAnsiTheme="majorHAnsi"/>
          <w:noProof/>
        </w:rPr>
        <w:t xml:space="preserve"> the revenue and expenditure stemming </w:t>
      </w:r>
      <w:r w:rsidR="53561654" w:rsidRPr="00F423B9">
        <w:rPr>
          <w:rFonts w:asciiTheme="majorHAnsi" w:hAnsiTheme="majorHAnsi"/>
          <w:noProof/>
        </w:rPr>
        <w:t>from</w:t>
      </w:r>
      <w:r w:rsidRPr="00F423B9">
        <w:rPr>
          <w:rFonts w:asciiTheme="majorHAnsi" w:hAnsiTheme="majorHAnsi"/>
          <w:noProof/>
        </w:rPr>
        <w:t xml:space="preserve"> the Multiannual Financial Framework (MFF) 2021-2027</w:t>
      </w:r>
      <w:r w:rsidR="00894044" w:rsidRPr="00F423B9">
        <w:rPr>
          <w:rFonts w:asciiTheme="majorHAnsi" w:hAnsiTheme="majorHAnsi"/>
          <w:noProof/>
          <w:vertAlign w:val="superscript"/>
        </w:rPr>
        <w:endnoteReference w:id="4"/>
      </w:r>
      <w:r w:rsidR="00A66C3D" w:rsidRPr="00F423B9">
        <w:rPr>
          <w:rFonts w:asciiTheme="majorHAnsi" w:hAnsiTheme="majorHAnsi"/>
          <w:noProof/>
        </w:rPr>
        <w:t>,</w:t>
      </w:r>
      <w:r w:rsidRPr="00F423B9">
        <w:rPr>
          <w:rFonts w:asciiTheme="majorHAnsi" w:hAnsiTheme="majorHAnsi"/>
          <w:noProof/>
        </w:rPr>
        <w:t xml:space="preserve"> </w:t>
      </w:r>
      <w:r w:rsidR="00633A63" w:rsidRPr="00F423B9">
        <w:rPr>
          <w:rFonts w:asciiTheme="majorHAnsi" w:hAnsiTheme="majorHAnsi"/>
          <w:noProof/>
        </w:rPr>
        <w:t xml:space="preserve">and the </w:t>
      </w:r>
      <w:r w:rsidR="00DC0381">
        <w:rPr>
          <w:rFonts w:asciiTheme="majorHAnsi" w:hAnsiTheme="majorHAnsi"/>
          <w:noProof/>
        </w:rPr>
        <w:t>2028-2034</w:t>
      </w:r>
      <w:r w:rsidR="00633A63" w:rsidRPr="00F423B9">
        <w:rPr>
          <w:rFonts w:asciiTheme="majorHAnsi" w:hAnsiTheme="majorHAnsi"/>
          <w:noProof/>
        </w:rPr>
        <w:t xml:space="preserve"> MFF </w:t>
      </w:r>
      <w:r w:rsidR="00CB5123">
        <w:rPr>
          <w:rFonts w:asciiTheme="majorHAnsi" w:hAnsiTheme="majorHAnsi"/>
          <w:noProof/>
        </w:rPr>
        <w:t xml:space="preserve">based on the Commission’s proposal for the next </w:t>
      </w:r>
      <w:r w:rsidR="00F71C66">
        <w:rPr>
          <w:rFonts w:asciiTheme="majorHAnsi" w:hAnsiTheme="majorHAnsi"/>
          <w:noProof/>
        </w:rPr>
        <w:t>MFF</w:t>
      </w:r>
      <w:r w:rsidR="003B6DC2" w:rsidRPr="00F423B9">
        <w:rPr>
          <w:rFonts w:asciiTheme="majorHAnsi" w:hAnsiTheme="majorHAnsi"/>
          <w:noProof/>
          <w:vertAlign w:val="superscript"/>
        </w:rPr>
        <w:endnoteReference w:id="5"/>
      </w:r>
      <w:r w:rsidR="00641B31">
        <w:rPr>
          <w:rFonts w:asciiTheme="majorHAnsi" w:hAnsiTheme="majorHAnsi"/>
          <w:noProof/>
        </w:rPr>
        <w:t xml:space="preserve"> </w:t>
      </w:r>
      <w:r w:rsidR="00B25596">
        <w:rPr>
          <w:rFonts w:asciiTheme="majorHAnsi" w:hAnsiTheme="majorHAnsi"/>
          <w:noProof/>
        </w:rPr>
        <w:t>for payments on 2028-2034 commitments</w:t>
      </w:r>
      <w:r w:rsidRPr="00F423B9">
        <w:rPr>
          <w:rFonts w:asciiTheme="majorHAnsi" w:hAnsiTheme="majorHAnsi"/>
          <w:noProof/>
        </w:rPr>
        <w:t>.</w:t>
      </w:r>
    </w:p>
    <w:p w14:paraId="79BF96EE" w14:textId="24EE0F8D" w:rsidR="00824C63" w:rsidRDefault="00824C63" w:rsidP="0050317D">
      <w:pPr>
        <w:spacing w:before="180" w:after="120" w:line="276" w:lineRule="auto"/>
        <w:jc w:val="both"/>
        <w:rPr>
          <w:rFonts w:asciiTheme="majorHAnsi" w:hAnsiTheme="majorHAnsi"/>
          <w:noProof/>
        </w:rPr>
      </w:pPr>
      <w:r w:rsidRPr="00824C63">
        <w:rPr>
          <w:rFonts w:asciiTheme="majorHAnsi" w:hAnsiTheme="majorHAnsi"/>
          <w:noProof/>
        </w:rPr>
        <w:t>On the expenditure side, the report forecasts payments arising from commitments entered into under the current and previous MFFs, including the stock of outstanding commitments (RAL) expected at the end of 2027.</w:t>
      </w:r>
      <w:r w:rsidR="00D43C48">
        <w:rPr>
          <w:rFonts w:asciiTheme="majorHAnsi" w:hAnsiTheme="majorHAnsi"/>
          <w:noProof/>
        </w:rPr>
        <w:t xml:space="preserve"> As in last year’s report, i</w:t>
      </w:r>
      <w:r w:rsidRPr="00824C63">
        <w:rPr>
          <w:rFonts w:asciiTheme="majorHAnsi" w:hAnsiTheme="majorHAnsi"/>
          <w:noProof/>
        </w:rPr>
        <w:t>t also projects payments related to commitments that would be entered into under the 2028-2034 MFF on the basis of the Commission proposal for the next MFF.</w:t>
      </w:r>
    </w:p>
    <w:p w14:paraId="1859AD78" w14:textId="17078BB5" w:rsidR="00D726CC" w:rsidRDefault="00DC5279" w:rsidP="00440630">
      <w:pPr>
        <w:spacing w:before="180" w:after="120" w:line="276" w:lineRule="auto"/>
        <w:jc w:val="both"/>
        <w:rPr>
          <w:rFonts w:asciiTheme="majorHAnsi" w:hAnsiTheme="majorHAnsi"/>
          <w:noProof/>
        </w:rPr>
      </w:pPr>
      <w:r>
        <w:rPr>
          <w:rFonts w:asciiTheme="majorHAnsi" w:hAnsiTheme="majorHAnsi"/>
          <w:noProof/>
        </w:rPr>
        <w:t>Revenue</w:t>
      </w:r>
      <w:r w:rsidR="00654421">
        <w:rPr>
          <w:rFonts w:asciiTheme="majorHAnsi" w:hAnsiTheme="majorHAnsi"/>
          <w:noProof/>
        </w:rPr>
        <w:t xml:space="preserve"> </w:t>
      </w:r>
      <w:r>
        <w:rPr>
          <w:rFonts w:asciiTheme="majorHAnsi" w:hAnsiTheme="majorHAnsi"/>
          <w:noProof/>
        </w:rPr>
        <w:t>for</w:t>
      </w:r>
      <w:r w:rsidR="00440630" w:rsidRPr="00440630">
        <w:rPr>
          <w:rFonts w:asciiTheme="majorHAnsi" w:hAnsiTheme="majorHAnsi"/>
          <w:noProof/>
        </w:rPr>
        <w:t xml:space="preserve"> 2027 </w:t>
      </w:r>
      <w:r w:rsidR="00440630" w:rsidRPr="00440630" w:rsidDel="00DC5279">
        <w:rPr>
          <w:rFonts w:asciiTheme="majorHAnsi" w:hAnsiTheme="majorHAnsi"/>
          <w:noProof/>
        </w:rPr>
        <w:t xml:space="preserve">is </w:t>
      </w:r>
      <w:r w:rsidR="00440630" w:rsidRPr="00440630">
        <w:rPr>
          <w:rFonts w:asciiTheme="majorHAnsi" w:hAnsiTheme="majorHAnsi"/>
          <w:noProof/>
        </w:rPr>
        <w:t>based on the</w:t>
      </w:r>
      <w:r w:rsidR="00440630" w:rsidRPr="00440630" w:rsidDel="007F0567">
        <w:rPr>
          <w:rFonts w:asciiTheme="majorHAnsi" w:hAnsiTheme="majorHAnsi"/>
          <w:noProof/>
        </w:rPr>
        <w:t xml:space="preserve"> </w:t>
      </w:r>
      <w:r w:rsidR="007F0567">
        <w:rPr>
          <w:rFonts w:asciiTheme="majorHAnsi" w:hAnsiTheme="majorHAnsi"/>
          <w:noProof/>
        </w:rPr>
        <w:t>draft budget</w:t>
      </w:r>
      <w:r w:rsidR="00CD6111">
        <w:rPr>
          <w:rFonts w:asciiTheme="majorHAnsi" w:hAnsiTheme="majorHAnsi"/>
          <w:noProof/>
        </w:rPr>
        <w:t xml:space="preserve"> 2027</w:t>
      </w:r>
      <w:r w:rsidR="00440630" w:rsidRPr="00440630">
        <w:rPr>
          <w:rFonts w:asciiTheme="majorHAnsi" w:hAnsiTheme="majorHAnsi"/>
          <w:noProof/>
        </w:rPr>
        <w:t xml:space="preserve">. </w:t>
      </w:r>
      <w:r w:rsidR="00F34797">
        <w:rPr>
          <w:rFonts w:asciiTheme="majorHAnsi" w:hAnsiTheme="majorHAnsi"/>
          <w:noProof/>
        </w:rPr>
        <w:t>Revenue</w:t>
      </w:r>
      <w:r w:rsidR="00F34797" w:rsidRPr="00DB73F3">
        <w:rPr>
          <w:rFonts w:asciiTheme="majorHAnsi" w:hAnsiTheme="majorHAnsi"/>
          <w:noProof/>
        </w:rPr>
        <w:t xml:space="preserve"> as of 2028 is forecast based on the</w:t>
      </w:r>
      <w:r w:rsidR="001435E2">
        <w:rPr>
          <w:rFonts w:asciiTheme="majorHAnsi" w:hAnsiTheme="majorHAnsi"/>
          <w:noProof/>
        </w:rPr>
        <w:t xml:space="preserve"> 2025</w:t>
      </w:r>
      <w:r w:rsidR="00F34797" w:rsidRPr="00DB73F3">
        <w:rPr>
          <w:rFonts w:asciiTheme="majorHAnsi" w:hAnsiTheme="majorHAnsi"/>
          <w:noProof/>
        </w:rPr>
        <w:t xml:space="preserve"> Commission proposal for a new Own Resources Decision</w:t>
      </w:r>
      <w:r w:rsidR="0088021B">
        <w:rPr>
          <w:rStyle w:val="EndnoteReference"/>
          <w:noProof/>
        </w:rPr>
        <w:endnoteReference w:id="6"/>
      </w:r>
      <w:r w:rsidR="00F34797" w:rsidRPr="00DB73F3">
        <w:rPr>
          <w:rFonts w:asciiTheme="majorHAnsi" w:hAnsiTheme="majorHAnsi"/>
          <w:noProof/>
        </w:rPr>
        <w:t>.</w:t>
      </w:r>
      <w:r w:rsidR="00F34797">
        <w:rPr>
          <w:rFonts w:asciiTheme="majorHAnsi" w:hAnsiTheme="majorHAnsi"/>
          <w:noProof/>
        </w:rPr>
        <w:t xml:space="preserve"> </w:t>
      </w:r>
      <w:r w:rsidR="00440630" w:rsidRPr="00440630">
        <w:rPr>
          <w:rFonts w:asciiTheme="majorHAnsi" w:hAnsiTheme="majorHAnsi"/>
          <w:noProof/>
        </w:rPr>
        <w:t>The revenue projections also consider the Agreement on the withdrawal of the United Kingdom of Great Britain and Northern Ireland from the European Union and the European Atomic Energy Community</w:t>
      </w:r>
      <w:r w:rsidR="00766033">
        <w:rPr>
          <w:rStyle w:val="EndnoteReference"/>
          <w:noProof/>
        </w:rPr>
        <w:endnoteReference w:id="7"/>
      </w:r>
      <w:r w:rsidR="00440630" w:rsidRPr="00440630">
        <w:rPr>
          <w:rFonts w:asciiTheme="majorHAnsi" w:hAnsiTheme="majorHAnsi"/>
          <w:noProof/>
        </w:rPr>
        <w:t xml:space="preserve"> (‘Withdrawal</w:t>
      </w:r>
      <w:r w:rsidR="00440630">
        <w:rPr>
          <w:rFonts w:asciiTheme="majorHAnsi" w:hAnsiTheme="majorHAnsi"/>
          <w:noProof/>
        </w:rPr>
        <w:t xml:space="preserve"> </w:t>
      </w:r>
      <w:r w:rsidR="00440630" w:rsidRPr="00440630">
        <w:rPr>
          <w:rFonts w:asciiTheme="majorHAnsi" w:hAnsiTheme="majorHAnsi"/>
          <w:noProof/>
        </w:rPr>
        <w:t>Agreement’).</w:t>
      </w:r>
    </w:p>
    <w:p w14:paraId="43B1767A" w14:textId="207155FD" w:rsidR="00E46775" w:rsidRDefault="003B6DC2" w:rsidP="4A9B78FD">
      <w:pPr>
        <w:spacing w:before="180" w:after="120" w:line="276" w:lineRule="auto"/>
        <w:jc w:val="both"/>
        <w:rPr>
          <w:rFonts w:asciiTheme="majorHAnsi" w:hAnsiTheme="majorHAnsi"/>
          <w:noProof/>
        </w:rPr>
      </w:pPr>
      <w:bookmarkStart w:id="16" w:name="_Hlk133853331"/>
      <w:r w:rsidRPr="4A9B78FD">
        <w:rPr>
          <w:rFonts w:asciiTheme="majorHAnsi" w:hAnsiTheme="majorHAnsi"/>
          <w:noProof/>
        </w:rPr>
        <w:t xml:space="preserve">The estimates for payments presented </w:t>
      </w:r>
      <w:r w:rsidR="00AB5357" w:rsidRPr="4A9B78FD">
        <w:rPr>
          <w:rFonts w:asciiTheme="majorHAnsi" w:hAnsiTheme="majorHAnsi"/>
          <w:noProof/>
        </w:rPr>
        <w:t xml:space="preserve">in </w:t>
      </w:r>
      <w:r w:rsidRPr="4A9B78FD">
        <w:rPr>
          <w:rFonts w:asciiTheme="majorHAnsi" w:hAnsiTheme="majorHAnsi"/>
          <w:noProof/>
        </w:rPr>
        <w:t xml:space="preserve">this report are based on the </w:t>
      </w:r>
      <w:r w:rsidR="006B6F1E" w:rsidRPr="4A9B78FD">
        <w:rPr>
          <w:rFonts w:asciiTheme="majorHAnsi" w:hAnsiTheme="majorHAnsi"/>
          <w:noProof/>
        </w:rPr>
        <w:t>revised expenditure ceilings</w:t>
      </w:r>
      <w:r w:rsidR="00BC3F5D" w:rsidRPr="4A9B78FD">
        <w:rPr>
          <w:rFonts w:asciiTheme="majorHAnsi" w:hAnsiTheme="majorHAnsi"/>
          <w:noProof/>
        </w:rPr>
        <w:t xml:space="preserve"> (</w:t>
      </w:r>
      <w:r w:rsidR="00DA6C6E" w:rsidRPr="4A9B78FD">
        <w:rPr>
          <w:rFonts w:asciiTheme="majorHAnsi" w:hAnsiTheme="majorHAnsi"/>
          <w:noProof/>
        </w:rPr>
        <w:t>technical adjustment</w:t>
      </w:r>
      <w:r w:rsidR="00D20532" w:rsidRPr="4A9B78FD">
        <w:rPr>
          <w:rFonts w:asciiTheme="majorHAnsi" w:hAnsiTheme="majorHAnsi"/>
          <w:noProof/>
        </w:rPr>
        <w:t xml:space="preserve"> of the MFF for</w:t>
      </w:r>
      <w:r w:rsidR="00BC3F5D" w:rsidRPr="4A9B78FD">
        <w:rPr>
          <w:rFonts w:asciiTheme="majorHAnsi" w:hAnsiTheme="majorHAnsi"/>
          <w:noProof/>
        </w:rPr>
        <w:t xml:space="preserve"> 202</w:t>
      </w:r>
      <w:r w:rsidR="00940BB1" w:rsidRPr="4A9B78FD">
        <w:rPr>
          <w:rFonts w:asciiTheme="majorHAnsi" w:hAnsiTheme="majorHAnsi"/>
          <w:noProof/>
        </w:rPr>
        <w:t>7</w:t>
      </w:r>
      <w:r w:rsidR="00BC3F5D" w:rsidRPr="4A9B78FD">
        <w:rPr>
          <w:rFonts w:asciiTheme="majorHAnsi" w:hAnsiTheme="majorHAnsi"/>
          <w:noProof/>
        </w:rPr>
        <w:t>)</w:t>
      </w:r>
      <w:r w:rsidR="00C62FD6" w:rsidRPr="4A9B78FD">
        <w:rPr>
          <w:rStyle w:val="EndnoteReference"/>
          <w:rFonts w:asciiTheme="majorHAnsi" w:hAnsiTheme="majorHAnsi"/>
          <w:noProof/>
        </w:rPr>
        <w:endnoteReference w:id="8"/>
      </w:r>
      <w:r w:rsidR="006B6F1E" w:rsidRPr="4A9B78FD">
        <w:rPr>
          <w:rFonts w:asciiTheme="majorHAnsi" w:hAnsiTheme="majorHAnsi"/>
          <w:noProof/>
        </w:rPr>
        <w:t xml:space="preserve"> and the </w:t>
      </w:r>
      <w:r w:rsidRPr="4A9B78FD">
        <w:rPr>
          <w:rFonts w:asciiTheme="majorHAnsi" w:hAnsiTheme="majorHAnsi"/>
          <w:noProof/>
        </w:rPr>
        <w:t xml:space="preserve">commitment appropriations included in the </w:t>
      </w:r>
      <w:r w:rsidR="00306022" w:rsidRPr="4A9B78FD">
        <w:rPr>
          <w:rFonts w:asciiTheme="majorHAnsi" w:hAnsiTheme="majorHAnsi"/>
          <w:noProof/>
        </w:rPr>
        <w:t>d</w:t>
      </w:r>
      <w:r w:rsidRPr="4A9B78FD">
        <w:rPr>
          <w:rFonts w:asciiTheme="majorHAnsi" w:hAnsiTheme="majorHAnsi"/>
          <w:noProof/>
        </w:rPr>
        <w:t xml:space="preserve">raft </w:t>
      </w:r>
      <w:r w:rsidR="00306022" w:rsidRPr="4A9B78FD">
        <w:rPr>
          <w:rFonts w:asciiTheme="majorHAnsi" w:hAnsiTheme="majorHAnsi"/>
          <w:noProof/>
        </w:rPr>
        <w:t>b</w:t>
      </w:r>
      <w:r w:rsidRPr="4A9B78FD">
        <w:rPr>
          <w:rFonts w:asciiTheme="majorHAnsi" w:hAnsiTheme="majorHAnsi"/>
          <w:noProof/>
        </w:rPr>
        <w:t>udget</w:t>
      </w:r>
      <w:r w:rsidR="006E36A5" w:rsidRPr="4A9B78FD">
        <w:rPr>
          <w:rFonts w:asciiTheme="majorHAnsi" w:hAnsiTheme="majorHAnsi"/>
          <w:noProof/>
        </w:rPr>
        <w:t xml:space="preserve"> for</w:t>
      </w:r>
      <w:r w:rsidRPr="4A9B78FD">
        <w:rPr>
          <w:rFonts w:asciiTheme="majorHAnsi" w:hAnsiTheme="majorHAnsi"/>
          <w:noProof/>
        </w:rPr>
        <w:t xml:space="preserve"> 202</w:t>
      </w:r>
      <w:r w:rsidR="000C255E" w:rsidRPr="4A9B78FD">
        <w:rPr>
          <w:rFonts w:asciiTheme="majorHAnsi" w:hAnsiTheme="majorHAnsi"/>
          <w:noProof/>
        </w:rPr>
        <w:t>7</w:t>
      </w:r>
      <w:r w:rsidRPr="4A9B78FD">
        <w:rPr>
          <w:rStyle w:val="EndnoteReference"/>
          <w:rFonts w:asciiTheme="majorHAnsi" w:hAnsiTheme="majorHAnsi"/>
          <w:noProof/>
        </w:rPr>
        <w:endnoteReference w:id="9"/>
      </w:r>
      <w:r w:rsidRPr="4A9B78FD">
        <w:rPr>
          <w:rFonts w:asciiTheme="majorHAnsi" w:hAnsiTheme="majorHAnsi"/>
          <w:noProof/>
        </w:rPr>
        <w:t>, which incorporates the programme-specific adjustments under Article 5 of the MFF Regulation</w:t>
      </w:r>
      <w:r w:rsidR="00894044" w:rsidRPr="4A9B78FD">
        <w:rPr>
          <w:rStyle w:val="EndnoteReference"/>
          <w:rFonts w:asciiTheme="majorHAnsi" w:hAnsiTheme="majorHAnsi"/>
          <w:noProof/>
        </w:rPr>
        <w:endnoteReference w:id="10"/>
      </w:r>
      <w:r w:rsidR="00894044" w:rsidRPr="4A9B78FD">
        <w:rPr>
          <w:rFonts w:asciiTheme="majorHAnsi" w:hAnsiTheme="majorHAnsi"/>
          <w:noProof/>
        </w:rPr>
        <w:t xml:space="preserve"> (MFFR)</w:t>
      </w:r>
      <w:r w:rsidRPr="4A9B78FD">
        <w:rPr>
          <w:rFonts w:asciiTheme="majorHAnsi" w:hAnsiTheme="majorHAnsi"/>
          <w:noProof/>
          <w:vertAlign w:val="superscript"/>
        </w:rPr>
        <w:endnoteReference w:id="11"/>
      </w:r>
      <w:r w:rsidRPr="4A9B78FD">
        <w:rPr>
          <w:rFonts w:asciiTheme="majorHAnsi" w:hAnsiTheme="majorHAnsi"/>
          <w:noProof/>
        </w:rPr>
        <w:t xml:space="preserve"> as well as re-use of decommitments under Article 15(3)</w:t>
      </w:r>
      <w:r w:rsidRPr="4A9B78FD">
        <w:rPr>
          <w:rFonts w:asciiTheme="majorHAnsi" w:hAnsiTheme="majorHAnsi"/>
          <w:noProof/>
          <w:vertAlign w:val="superscript"/>
        </w:rPr>
        <w:endnoteReference w:id="12"/>
      </w:r>
      <w:r w:rsidRPr="4A9B78FD">
        <w:rPr>
          <w:rFonts w:asciiTheme="majorHAnsi" w:hAnsiTheme="majorHAnsi"/>
          <w:noProof/>
        </w:rPr>
        <w:t xml:space="preserve"> of the Financial Regulation.</w:t>
      </w:r>
    </w:p>
    <w:bookmarkEnd w:id="16"/>
    <w:p w14:paraId="6BE5B2C0" w14:textId="5CFC00FF" w:rsidR="009B09BA" w:rsidRPr="00F423B9" w:rsidRDefault="00EA740D" w:rsidP="0050317D">
      <w:pPr>
        <w:spacing w:before="180" w:after="120" w:line="276" w:lineRule="auto"/>
        <w:jc w:val="both"/>
        <w:rPr>
          <w:rFonts w:asciiTheme="majorHAnsi" w:hAnsiTheme="majorHAnsi"/>
          <w:noProof/>
        </w:rPr>
      </w:pPr>
      <w:r w:rsidRPr="002B3102">
        <w:rPr>
          <w:rFonts w:asciiTheme="majorHAnsi" w:hAnsiTheme="majorHAnsi"/>
          <w:noProof/>
        </w:rPr>
        <w:t xml:space="preserve">As regards NextGenerationEU, </w:t>
      </w:r>
      <w:r w:rsidR="000554B6" w:rsidRPr="002B3102">
        <w:rPr>
          <w:rFonts w:asciiTheme="majorHAnsi" w:hAnsiTheme="majorHAnsi"/>
          <w:noProof/>
        </w:rPr>
        <w:t xml:space="preserve">all </w:t>
      </w:r>
      <w:r w:rsidR="00FD5D18" w:rsidRPr="002B3102">
        <w:rPr>
          <w:rFonts w:asciiTheme="majorHAnsi" w:hAnsiTheme="majorHAnsi"/>
          <w:noProof/>
        </w:rPr>
        <w:t xml:space="preserve">net borrowing to finance </w:t>
      </w:r>
      <w:r w:rsidR="000554B6" w:rsidRPr="002B3102">
        <w:rPr>
          <w:rFonts w:asciiTheme="majorHAnsi" w:hAnsiTheme="majorHAnsi"/>
          <w:noProof/>
        </w:rPr>
        <w:t xml:space="preserve">new </w:t>
      </w:r>
      <w:r w:rsidR="00FD5D18" w:rsidRPr="002B3102">
        <w:rPr>
          <w:rFonts w:asciiTheme="majorHAnsi" w:hAnsiTheme="majorHAnsi"/>
          <w:noProof/>
        </w:rPr>
        <w:t xml:space="preserve">disbursements will </w:t>
      </w:r>
      <w:r w:rsidR="000554B6" w:rsidRPr="002B3102">
        <w:rPr>
          <w:rFonts w:asciiTheme="majorHAnsi" w:hAnsiTheme="majorHAnsi"/>
          <w:noProof/>
        </w:rPr>
        <w:t xml:space="preserve">be completed by the end of 2026. </w:t>
      </w:r>
      <w:r w:rsidR="00410DE4" w:rsidRPr="002B3102">
        <w:rPr>
          <w:rFonts w:asciiTheme="majorHAnsi" w:hAnsiTheme="majorHAnsi"/>
          <w:noProof/>
        </w:rPr>
        <w:t xml:space="preserve">Subsequently, </w:t>
      </w:r>
      <w:r w:rsidR="003E11BE" w:rsidRPr="002B3102">
        <w:rPr>
          <w:rFonts w:asciiTheme="majorHAnsi" w:hAnsiTheme="majorHAnsi"/>
          <w:noProof/>
          <w:lang w:val="en-US"/>
        </w:rPr>
        <w:t>only minor amounts</w:t>
      </w:r>
      <w:r w:rsidR="00B7434B">
        <w:rPr>
          <w:rFonts w:asciiTheme="majorHAnsi" w:hAnsiTheme="majorHAnsi"/>
          <w:noProof/>
          <w:lang w:val="en-US"/>
        </w:rPr>
        <w:t>, mainly</w:t>
      </w:r>
      <w:r w:rsidR="003E11BE" w:rsidRPr="002B3102">
        <w:rPr>
          <w:rFonts w:asciiTheme="majorHAnsi" w:hAnsiTheme="majorHAnsi"/>
          <w:noProof/>
          <w:lang w:val="en-US"/>
        </w:rPr>
        <w:t xml:space="preserve"> for</w:t>
      </w:r>
      <w:r w:rsidR="003E11BE" w:rsidRPr="002B3102">
        <w:rPr>
          <w:rFonts w:ascii="Calibri" w:hAnsi="Calibri" w:cs="Calibri"/>
          <w:noProof/>
          <w:lang w:val="en-US"/>
        </w:rPr>
        <w:t> </w:t>
      </w:r>
      <w:r w:rsidR="003E11BE" w:rsidRPr="002B3102">
        <w:rPr>
          <w:rFonts w:asciiTheme="majorHAnsi" w:hAnsiTheme="majorHAnsi"/>
          <w:noProof/>
          <w:lang w:val="en-US"/>
        </w:rPr>
        <w:t>administrative expenditure</w:t>
      </w:r>
      <w:r w:rsidR="00410DE4" w:rsidRPr="002B3102">
        <w:rPr>
          <w:rFonts w:asciiTheme="majorHAnsi" w:hAnsiTheme="majorHAnsi"/>
          <w:noProof/>
          <w:lang w:val="en-US"/>
        </w:rPr>
        <w:t xml:space="preserve"> will be made</w:t>
      </w:r>
      <w:r w:rsidR="00410DE4" w:rsidRPr="00B95218">
        <w:rPr>
          <w:rFonts w:asciiTheme="majorHAnsi" w:hAnsiTheme="majorHAnsi"/>
          <w:noProof/>
          <w:lang w:val="en-US"/>
        </w:rPr>
        <w:t xml:space="preserve">. </w:t>
      </w:r>
      <w:r w:rsidR="00CD7AE7" w:rsidRPr="00B95218">
        <w:rPr>
          <w:rFonts w:asciiTheme="majorHAnsi" w:hAnsiTheme="majorHAnsi"/>
          <w:noProof/>
          <w:lang w:val="en-US"/>
        </w:rPr>
        <w:t>NextGener</w:t>
      </w:r>
      <w:r w:rsidR="18468953" w:rsidRPr="053B8246">
        <w:rPr>
          <w:rFonts w:asciiTheme="majorHAnsi" w:hAnsiTheme="majorHAnsi"/>
          <w:noProof/>
          <w:lang w:val="en-US"/>
        </w:rPr>
        <w:t>a</w:t>
      </w:r>
      <w:r w:rsidR="00CD7AE7" w:rsidRPr="002B3102">
        <w:rPr>
          <w:rFonts w:asciiTheme="majorHAnsi" w:hAnsiTheme="majorHAnsi"/>
          <w:noProof/>
          <w:lang w:val="en-US"/>
        </w:rPr>
        <w:t>tionEU disbursements fall outside of the scope of this report, which covers the period as of 2027.</w:t>
      </w:r>
    </w:p>
    <w:p w14:paraId="0C794B59" w14:textId="4A695598" w:rsidR="00861C1C" w:rsidRPr="00F423B9" w:rsidRDefault="003B6DC2" w:rsidP="00B95218">
      <w:pPr>
        <w:pStyle w:val="amprH2TITLE1-Numbered-1"/>
        <w:spacing w:after="240"/>
        <w:rPr>
          <w:rFonts w:asciiTheme="majorHAnsi" w:hAnsiTheme="majorHAnsi"/>
          <w:noProof/>
        </w:rPr>
      </w:pPr>
      <w:bookmarkStart w:id="17" w:name="_Toc494974438"/>
      <w:bookmarkStart w:id="18" w:name="_Toc524523058"/>
      <w:bookmarkStart w:id="19" w:name="_Toc233958937"/>
      <w:r w:rsidRPr="00F423B9">
        <w:rPr>
          <w:rFonts w:asciiTheme="majorHAnsi" w:hAnsiTheme="majorHAnsi"/>
          <w:noProof/>
        </w:rPr>
        <w:t>F</w:t>
      </w:r>
      <w:bookmarkEnd w:id="17"/>
      <w:bookmarkEnd w:id="18"/>
      <w:r w:rsidRPr="00F423B9">
        <w:rPr>
          <w:rFonts w:asciiTheme="majorHAnsi" w:hAnsiTheme="majorHAnsi"/>
          <w:noProof/>
        </w:rPr>
        <w:t xml:space="preserve">orecast of outflows of the EU budget </w:t>
      </w:r>
      <w:r w:rsidR="00952289">
        <w:rPr>
          <w:rFonts w:asciiTheme="majorHAnsi" w:hAnsiTheme="majorHAnsi"/>
          <w:noProof/>
        </w:rPr>
        <w:br/>
      </w:r>
      <w:r w:rsidRPr="00F423B9">
        <w:rPr>
          <w:rFonts w:asciiTheme="majorHAnsi" w:hAnsiTheme="majorHAnsi"/>
          <w:noProof/>
        </w:rPr>
        <w:t>202</w:t>
      </w:r>
      <w:r w:rsidR="00B43B5A">
        <w:rPr>
          <w:rFonts w:asciiTheme="majorHAnsi" w:hAnsiTheme="majorHAnsi"/>
          <w:noProof/>
        </w:rPr>
        <w:t>7</w:t>
      </w:r>
      <w:r w:rsidRPr="00F423B9">
        <w:rPr>
          <w:rFonts w:asciiTheme="majorHAnsi" w:hAnsiTheme="majorHAnsi"/>
          <w:noProof/>
        </w:rPr>
        <w:t>-20</w:t>
      </w:r>
      <w:r w:rsidR="008973DB" w:rsidRPr="00F423B9">
        <w:rPr>
          <w:rFonts w:asciiTheme="majorHAnsi" w:hAnsiTheme="majorHAnsi"/>
          <w:noProof/>
        </w:rPr>
        <w:t>3</w:t>
      </w:r>
      <w:r w:rsidR="00B43B5A">
        <w:rPr>
          <w:rFonts w:asciiTheme="majorHAnsi" w:hAnsiTheme="majorHAnsi"/>
          <w:noProof/>
        </w:rPr>
        <w:t>4</w:t>
      </w:r>
      <w:bookmarkEnd w:id="19"/>
    </w:p>
    <w:p w14:paraId="6026CE0B" w14:textId="039B6C23" w:rsidR="001B4E5E" w:rsidRPr="00F423B9" w:rsidRDefault="31B9AE73" w:rsidP="00B95218">
      <w:pPr>
        <w:spacing w:before="120" w:after="120"/>
        <w:jc w:val="both"/>
        <w:rPr>
          <w:rFonts w:asciiTheme="majorHAnsi" w:hAnsiTheme="majorHAnsi"/>
          <w:noProof/>
        </w:rPr>
      </w:pPr>
      <w:r w:rsidRPr="00F423B9">
        <w:rPr>
          <w:rFonts w:asciiTheme="majorHAnsi" w:hAnsiTheme="majorHAnsi"/>
          <w:noProof/>
        </w:rPr>
        <w:t>Over the period 202</w:t>
      </w:r>
      <w:r w:rsidR="00B43B5A">
        <w:rPr>
          <w:rFonts w:asciiTheme="majorHAnsi" w:hAnsiTheme="majorHAnsi"/>
          <w:noProof/>
        </w:rPr>
        <w:t>7</w:t>
      </w:r>
      <w:r w:rsidRPr="00F423B9">
        <w:rPr>
          <w:rFonts w:asciiTheme="majorHAnsi" w:hAnsiTheme="majorHAnsi"/>
          <w:noProof/>
        </w:rPr>
        <w:t>-20</w:t>
      </w:r>
      <w:r w:rsidR="008973DB" w:rsidRPr="00F423B9">
        <w:rPr>
          <w:rFonts w:asciiTheme="majorHAnsi" w:hAnsiTheme="majorHAnsi"/>
          <w:noProof/>
        </w:rPr>
        <w:t>3</w:t>
      </w:r>
      <w:r w:rsidR="00B43B5A">
        <w:rPr>
          <w:rFonts w:asciiTheme="majorHAnsi" w:hAnsiTheme="majorHAnsi"/>
          <w:noProof/>
        </w:rPr>
        <w:t>4</w:t>
      </w:r>
      <w:r w:rsidRPr="00F423B9">
        <w:rPr>
          <w:rFonts w:asciiTheme="majorHAnsi" w:hAnsiTheme="majorHAnsi"/>
          <w:noProof/>
        </w:rPr>
        <w:t xml:space="preserve">, </w:t>
      </w:r>
      <w:r w:rsidR="55E43B5C" w:rsidRPr="00F423B9">
        <w:rPr>
          <w:rFonts w:asciiTheme="majorHAnsi" w:hAnsiTheme="majorHAnsi"/>
          <w:noProof/>
        </w:rPr>
        <w:t xml:space="preserve">payments </w:t>
      </w:r>
      <w:r w:rsidRPr="00F423B9">
        <w:rPr>
          <w:rFonts w:asciiTheme="majorHAnsi" w:hAnsiTheme="majorHAnsi"/>
          <w:noProof/>
        </w:rPr>
        <w:t>are estimated at</w:t>
      </w:r>
      <w:r w:rsidR="55E43B5C" w:rsidRPr="00F423B9">
        <w:rPr>
          <w:rFonts w:asciiTheme="majorHAnsi" w:hAnsiTheme="majorHAnsi"/>
          <w:noProof/>
        </w:rPr>
        <w:t xml:space="preserve"> EUR</w:t>
      </w:r>
      <w:r w:rsidR="004A6591">
        <w:rPr>
          <w:rFonts w:ascii="Calibri" w:hAnsi="Calibri" w:cs="Calibri"/>
          <w:noProof/>
        </w:rPr>
        <w:t> </w:t>
      </w:r>
      <w:r w:rsidR="00A35414">
        <w:rPr>
          <w:rFonts w:asciiTheme="majorHAnsi" w:hAnsiTheme="majorHAnsi" w:cs="Calibri"/>
          <w:noProof/>
        </w:rPr>
        <w:t>2</w:t>
      </w:r>
      <w:r w:rsidR="00CA03EE">
        <w:rPr>
          <w:rFonts w:ascii="Calibri" w:hAnsi="Calibri" w:cs="Calibri"/>
          <w:noProof/>
        </w:rPr>
        <w:t> </w:t>
      </w:r>
      <w:r w:rsidR="00CA03EE">
        <w:rPr>
          <w:rFonts w:asciiTheme="majorHAnsi" w:hAnsiTheme="majorHAnsi" w:cs="Calibri"/>
          <w:noProof/>
        </w:rPr>
        <w:t>173</w:t>
      </w:r>
      <w:r w:rsidR="004A6591">
        <w:rPr>
          <w:rFonts w:ascii="Calibri" w:hAnsi="Calibri" w:cs="Calibri"/>
          <w:noProof/>
        </w:rPr>
        <w:t> </w:t>
      </w:r>
      <w:r w:rsidR="55E43B5C" w:rsidRPr="00F423B9">
        <w:rPr>
          <w:rFonts w:asciiTheme="majorHAnsi" w:hAnsiTheme="majorHAnsi"/>
          <w:noProof/>
        </w:rPr>
        <w:t>billion</w:t>
      </w:r>
      <w:r w:rsidR="003B668E">
        <w:rPr>
          <w:rStyle w:val="EndnoteReference"/>
          <w:noProof/>
        </w:rPr>
        <w:endnoteReference w:id="13"/>
      </w:r>
      <w:r w:rsidR="00744FFD" w:rsidRPr="00F423B9">
        <w:rPr>
          <w:rFonts w:asciiTheme="majorHAnsi" w:hAnsiTheme="majorHAnsi"/>
          <w:noProof/>
        </w:rPr>
        <w:t xml:space="preserve">. </w:t>
      </w:r>
      <w:r w:rsidR="001B4E5E" w:rsidRPr="00F423B9">
        <w:rPr>
          <w:rFonts w:asciiTheme="majorHAnsi" w:hAnsiTheme="majorHAnsi"/>
          <w:noProof/>
        </w:rPr>
        <w:t>The estimated annual average of outflows of the EU budget is EUR</w:t>
      </w:r>
      <w:r w:rsidR="004A6591">
        <w:rPr>
          <w:rFonts w:ascii="Calibri" w:hAnsi="Calibri" w:cs="Calibri"/>
          <w:noProof/>
        </w:rPr>
        <w:t> </w:t>
      </w:r>
      <w:r w:rsidR="00BE2603">
        <w:rPr>
          <w:rFonts w:asciiTheme="majorHAnsi" w:hAnsiTheme="majorHAnsi"/>
          <w:noProof/>
        </w:rPr>
        <w:t>272</w:t>
      </w:r>
      <w:r w:rsidR="004A6591">
        <w:rPr>
          <w:rFonts w:ascii="Calibri" w:hAnsi="Calibri" w:cs="Calibri"/>
          <w:noProof/>
        </w:rPr>
        <w:t> </w:t>
      </w:r>
      <w:r w:rsidR="001B4E5E" w:rsidRPr="00F423B9">
        <w:rPr>
          <w:rFonts w:asciiTheme="majorHAnsi" w:hAnsiTheme="majorHAnsi"/>
          <w:noProof/>
        </w:rPr>
        <w:t>billion.</w:t>
      </w:r>
    </w:p>
    <w:p w14:paraId="54724F62" w14:textId="3E893178" w:rsidR="00BA45A1" w:rsidRDefault="00744FFD" w:rsidP="00B95218">
      <w:pPr>
        <w:spacing w:before="120" w:after="120" w:line="276" w:lineRule="auto"/>
        <w:jc w:val="both"/>
        <w:rPr>
          <w:rFonts w:asciiTheme="majorHAnsi" w:hAnsiTheme="majorHAnsi"/>
          <w:noProof/>
        </w:rPr>
      </w:pPr>
      <w:r w:rsidRPr="00F423B9">
        <w:rPr>
          <w:rFonts w:asciiTheme="majorHAnsi" w:hAnsiTheme="majorHAnsi"/>
          <w:noProof/>
        </w:rPr>
        <w:t>They are composed of:</w:t>
      </w:r>
    </w:p>
    <w:p w14:paraId="6E4476C7" w14:textId="77777777" w:rsidR="009F1AFB" w:rsidRDefault="009F1AFB" w:rsidP="009F1AFB">
      <w:pPr>
        <w:pStyle w:val="ListParagraph"/>
        <w:numPr>
          <w:ilvl w:val="0"/>
          <w:numId w:val="31"/>
        </w:numPr>
        <w:spacing w:after="120" w:line="276" w:lineRule="auto"/>
        <w:jc w:val="both"/>
        <w:rPr>
          <w:rFonts w:asciiTheme="majorHAnsi" w:hAnsiTheme="majorHAnsi"/>
          <w:noProof/>
        </w:rPr>
      </w:pPr>
      <w:r w:rsidRPr="00730B5A">
        <w:rPr>
          <w:rFonts w:asciiTheme="majorHAnsi" w:hAnsiTheme="majorHAnsi"/>
          <w:noProof/>
        </w:rPr>
        <w:t>Payments on commitments made in the MFF 2021-</w:t>
      </w:r>
      <w:r>
        <w:rPr>
          <w:rFonts w:asciiTheme="majorHAnsi" w:hAnsiTheme="majorHAnsi"/>
          <w:noProof/>
        </w:rPr>
        <w:t>20</w:t>
      </w:r>
      <w:r w:rsidRPr="00730B5A">
        <w:rPr>
          <w:rFonts w:asciiTheme="majorHAnsi" w:hAnsiTheme="majorHAnsi"/>
          <w:noProof/>
        </w:rPr>
        <w:t>27</w:t>
      </w:r>
      <w:r>
        <w:rPr>
          <w:rFonts w:asciiTheme="majorHAnsi" w:hAnsiTheme="majorHAnsi"/>
          <w:noProof/>
        </w:rPr>
        <w:t xml:space="preserve"> and earlier MFFs</w:t>
      </w:r>
    </w:p>
    <w:p w14:paraId="5843F642" w14:textId="039D9DB2" w:rsidR="009F1AFB" w:rsidRPr="00F423B9" w:rsidRDefault="009F1AFB" w:rsidP="009F1AFB">
      <w:pPr>
        <w:spacing w:before="120" w:after="120" w:line="276" w:lineRule="auto"/>
        <w:jc w:val="both"/>
        <w:rPr>
          <w:rFonts w:asciiTheme="majorHAnsi" w:hAnsiTheme="majorHAnsi"/>
          <w:noProof/>
        </w:rPr>
      </w:pPr>
      <w:r w:rsidRPr="0033008E">
        <w:rPr>
          <w:rFonts w:asciiTheme="majorHAnsi" w:hAnsiTheme="majorHAnsi"/>
          <w:noProof/>
          <w:spacing w:val="-4"/>
        </w:rPr>
        <w:t xml:space="preserve">Payments on commitments made in the MFF 2021-2027 are paid partly in 2027 and partly in the MFF 2028-2034, for an estimated total of </w:t>
      </w:r>
      <w:r w:rsidRPr="0033008E">
        <w:rPr>
          <w:rFonts w:asciiTheme="majorHAnsi" w:hAnsiTheme="majorHAnsi"/>
          <w:b/>
          <w:noProof/>
          <w:spacing w:val="-4"/>
        </w:rPr>
        <w:t>EUR</w:t>
      </w:r>
      <w:r w:rsidRPr="0033008E">
        <w:rPr>
          <w:rFonts w:ascii="Calibri" w:hAnsi="Calibri" w:cs="Calibri"/>
          <w:b/>
          <w:noProof/>
          <w:spacing w:val="-4"/>
        </w:rPr>
        <w:t> </w:t>
      </w:r>
      <w:r w:rsidRPr="0033008E">
        <w:rPr>
          <w:rFonts w:asciiTheme="majorHAnsi" w:hAnsiTheme="majorHAnsi"/>
          <w:b/>
          <w:noProof/>
          <w:spacing w:val="-4"/>
        </w:rPr>
        <w:t>527</w:t>
      </w:r>
      <w:r w:rsidRPr="0033008E">
        <w:rPr>
          <w:rFonts w:ascii="Calibri" w:hAnsi="Calibri" w:cs="Calibri"/>
          <w:b/>
          <w:noProof/>
          <w:spacing w:val="-4"/>
        </w:rPr>
        <w:t> </w:t>
      </w:r>
      <w:r w:rsidRPr="0033008E">
        <w:rPr>
          <w:rFonts w:asciiTheme="majorHAnsi" w:hAnsiTheme="majorHAnsi"/>
          <w:b/>
          <w:noProof/>
          <w:spacing w:val="-4"/>
        </w:rPr>
        <w:t>billion</w:t>
      </w:r>
      <w:r w:rsidRPr="0033008E">
        <w:rPr>
          <w:rFonts w:asciiTheme="majorHAnsi" w:hAnsiTheme="majorHAnsi"/>
          <w:noProof/>
          <w:spacing w:val="-4"/>
        </w:rPr>
        <w:t>, or EUR</w:t>
      </w:r>
      <w:r w:rsidRPr="0033008E">
        <w:rPr>
          <w:rFonts w:ascii="Calibri" w:hAnsi="Calibri" w:cs="Calibri"/>
          <w:noProof/>
          <w:spacing w:val="-4"/>
        </w:rPr>
        <w:t> </w:t>
      </w:r>
      <w:r w:rsidRPr="0033008E">
        <w:rPr>
          <w:rFonts w:asciiTheme="majorHAnsi" w:hAnsiTheme="majorHAnsi"/>
          <w:noProof/>
          <w:spacing w:val="-4"/>
        </w:rPr>
        <w:t>75.3</w:t>
      </w:r>
      <w:r w:rsidRPr="0033008E">
        <w:rPr>
          <w:rFonts w:ascii="Calibri" w:hAnsi="Calibri" w:cs="Calibri"/>
          <w:noProof/>
          <w:spacing w:val="-4"/>
        </w:rPr>
        <w:t> </w:t>
      </w:r>
      <w:r w:rsidRPr="0033008E">
        <w:rPr>
          <w:rFonts w:asciiTheme="majorHAnsi" w:hAnsiTheme="majorHAnsi"/>
          <w:noProof/>
          <w:spacing w:val="-4"/>
        </w:rPr>
        <w:t xml:space="preserve">billion </w:t>
      </w:r>
      <w:r w:rsidRPr="005D4810">
        <w:rPr>
          <w:rFonts w:asciiTheme="majorHAnsi" w:hAnsiTheme="majorHAnsi"/>
          <w:noProof/>
          <w:spacing w:val="-4"/>
        </w:rPr>
        <w:t>on average for 2027-2033</w:t>
      </w:r>
      <w:r w:rsidRPr="0033008E">
        <w:rPr>
          <w:rFonts w:asciiTheme="majorHAnsi" w:hAnsiTheme="majorHAnsi"/>
          <w:noProof/>
          <w:spacing w:val="-4"/>
        </w:rPr>
        <w:t>. Around 40% of those payments, i.e. EUR</w:t>
      </w:r>
      <w:r w:rsidRPr="0033008E">
        <w:rPr>
          <w:rFonts w:ascii="Calibri" w:hAnsi="Calibri" w:cs="Calibri"/>
          <w:noProof/>
          <w:spacing w:val="-4"/>
        </w:rPr>
        <w:t> </w:t>
      </w:r>
      <w:r w:rsidRPr="0033008E">
        <w:rPr>
          <w:rFonts w:asciiTheme="majorHAnsi" w:hAnsiTheme="majorHAnsi"/>
          <w:noProof/>
          <w:spacing w:val="-4"/>
        </w:rPr>
        <w:t>210</w:t>
      </w:r>
      <w:r w:rsidRPr="0033008E">
        <w:rPr>
          <w:rFonts w:ascii="Calibri" w:hAnsi="Calibri" w:cs="Calibri"/>
          <w:noProof/>
          <w:spacing w:val="-4"/>
        </w:rPr>
        <w:t> </w:t>
      </w:r>
      <w:r w:rsidRPr="0033008E">
        <w:rPr>
          <w:rFonts w:asciiTheme="majorHAnsi" w:hAnsiTheme="majorHAnsi"/>
          <w:noProof/>
          <w:spacing w:val="-4"/>
        </w:rPr>
        <w:t xml:space="preserve">billion are expected in 2027 in line with the </w:t>
      </w:r>
      <w:r w:rsidRPr="005D4810">
        <w:rPr>
          <w:rFonts w:asciiTheme="majorHAnsi" w:hAnsiTheme="majorHAnsi"/>
          <w:noProof/>
          <w:spacing w:val="-4"/>
        </w:rPr>
        <w:t>draft b</w:t>
      </w:r>
      <w:r w:rsidRPr="0033008E">
        <w:rPr>
          <w:rFonts w:asciiTheme="majorHAnsi" w:hAnsiTheme="majorHAnsi"/>
          <w:noProof/>
          <w:spacing w:val="-4"/>
        </w:rPr>
        <w:t>udget proposal. The remaining EUR</w:t>
      </w:r>
      <w:r w:rsidRPr="0033008E">
        <w:rPr>
          <w:rFonts w:ascii="Calibri" w:hAnsi="Calibri" w:cs="Calibri"/>
          <w:noProof/>
          <w:spacing w:val="-4"/>
        </w:rPr>
        <w:t> </w:t>
      </w:r>
      <w:r w:rsidRPr="0033008E">
        <w:rPr>
          <w:rFonts w:asciiTheme="majorHAnsi" w:hAnsiTheme="majorHAnsi"/>
          <w:noProof/>
          <w:spacing w:val="-4"/>
        </w:rPr>
        <w:t>317</w:t>
      </w:r>
      <w:r w:rsidRPr="0033008E">
        <w:rPr>
          <w:rFonts w:ascii="Calibri" w:hAnsi="Calibri" w:cs="Calibri"/>
          <w:noProof/>
          <w:spacing w:val="-4"/>
        </w:rPr>
        <w:t> </w:t>
      </w:r>
      <w:r w:rsidRPr="0033008E">
        <w:rPr>
          <w:rFonts w:asciiTheme="majorHAnsi" w:hAnsiTheme="majorHAnsi"/>
          <w:noProof/>
          <w:spacing w:val="-4"/>
        </w:rPr>
        <w:t xml:space="preserve">billion is projected to be paid mostly in the first 3 years of the new MFF. This is consistent with past implementation patterns as the programmes (notably cohesion policy) </w:t>
      </w:r>
      <w:r w:rsidR="000709C9">
        <w:rPr>
          <w:rFonts w:asciiTheme="majorHAnsi" w:hAnsiTheme="majorHAnsi"/>
          <w:noProof/>
          <w:spacing w:val="-4"/>
        </w:rPr>
        <w:t xml:space="preserve">are </w:t>
      </w:r>
      <w:r w:rsidRPr="0033008E">
        <w:rPr>
          <w:rFonts w:asciiTheme="majorHAnsi" w:hAnsiTheme="majorHAnsi"/>
          <w:noProof/>
          <w:spacing w:val="-4"/>
        </w:rPr>
        <w:t>reach</w:t>
      </w:r>
      <w:r w:rsidR="000709C9">
        <w:rPr>
          <w:rFonts w:asciiTheme="majorHAnsi" w:hAnsiTheme="majorHAnsi"/>
          <w:noProof/>
          <w:spacing w:val="-4"/>
        </w:rPr>
        <w:t>ing</w:t>
      </w:r>
      <w:r w:rsidRPr="0033008E">
        <w:rPr>
          <w:rFonts w:asciiTheme="majorHAnsi" w:hAnsiTheme="majorHAnsi"/>
          <w:noProof/>
          <w:spacing w:val="-4"/>
        </w:rPr>
        <w:t xml:space="preserve"> cruising speed</w:t>
      </w:r>
      <w:r w:rsidRPr="007B2374">
        <w:rPr>
          <w:rFonts w:asciiTheme="majorHAnsi" w:hAnsiTheme="majorHAnsi"/>
          <w:noProof/>
          <w:spacing w:val="-4"/>
        </w:rPr>
        <w:t>. The payments on outstanding commitments stemming from MFFs prior to 2021-2027 are estimated at EUR 5.9 billion, or EUR</w:t>
      </w:r>
      <w:r w:rsidRPr="007B2374">
        <w:rPr>
          <w:rFonts w:ascii="Calibri" w:hAnsi="Calibri" w:cs="Calibri"/>
          <w:noProof/>
          <w:spacing w:val="-4"/>
        </w:rPr>
        <w:t> </w:t>
      </w:r>
      <w:r w:rsidRPr="007B2374">
        <w:rPr>
          <w:rFonts w:asciiTheme="majorHAnsi" w:hAnsiTheme="majorHAnsi"/>
          <w:noProof/>
          <w:spacing w:val="-4"/>
        </w:rPr>
        <w:t>0.8</w:t>
      </w:r>
      <w:r w:rsidRPr="007B2374">
        <w:rPr>
          <w:rFonts w:ascii="Calibri" w:hAnsi="Calibri" w:cs="Calibri"/>
          <w:noProof/>
          <w:spacing w:val="-4"/>
        </w:rPr>
        <w:t> </w:t>
      </w:r>
      <w:r w:rsidRPr="007B2374">
        <w:rPr>
          <w:rFonts w:asciiTheme="majorHAnsi" w:hAnsiTheme="majorHAnsi"/>
          <w:noProof/>
          <w:spacing w:val="-4"/>
        </w:rPr>
        <w:t>billion on average for 2027-203</w:t>
      </w:r>
      <w:r w:rsidR="00982FE8">
        <w:rPr>
          <w:rFonts w:asciiTheme="majorHAnsi" w:hAnsiTheme="majorHAnsi"/>
          <w:noProof/>
          <w:spacing w:val="-4"/>
        </w:rPr>
        <w:t>3</w:t>
      </w:r>
      <w:r w:rsidRPr="007B2374">
        <w:rPr>
          <w:rFonts w:asciiTheme="majorHAnsi" w:hAnsiTheme="majorHAnsi"/>
          <w:noProof/>
          <w:spacing w:val="-4"/>
        </w:rPr>
        <w:t>. They are expected to decrease and be phased out by end 2033.</w:t>
      </w:r>
    </w:p>
    <w:p w14:paraId="1BAD838F" w14:textId="634D2F31" w:rsidR="007851BF" w:rsidRDefault="00DA0258" w:rsidP="00BA45A1">
      <w:pPr>
        <w:pStyle w:val="ListParagraph"/>
        <w:numPr>
          <w:ilvl w:val="0"/>
          <w:numId w:val="31"/>
        </w:numPr>
        <w:spacing w:after="120" w:line="276" w:lineRule="auto"/>
        <w:jc w:val="both"/>
        <w:rPr>
          <w:rFonts w:asciiTheme="majorHAnsi" w:hAnsiTheme="majorHAnsi"/>
          <w:noProof/>
        </w:rPr>
      </w:pPr>
      <w:r w:rsidRPr="00DA0258">
        <w:rPr>
          <w:rFonts w:asciiTheme="majorHAnsi" w:hAnsiTheme="majorHAnsi"/>
          <w:noProof/>
        </w:rPr>
        <w:t xml:space="preserve">Payments on commitments for the MFF 2028-2034 </w:t>
      </w:r>
    </w:p>
    <w:p w14:paraId="4C58296F" w14:textId="06C3C9AA" w:rsidR="00C47DAD" w:rsidRPr="007B2374" w:rsidRDefault="00100819" w:rsidP="0033008E">
      <w:pPr>
        <w:spacing w:after="120" w:line="276" w:lineRule="auto"/>
        <w:jc w:val="both"/>
        <w:rPr>
          <w:rFonts w:asciiTheme="majorHAnsi" w:hAnsiTheme="majorHAnsi"/>
          <w:noProof/>
          <w:spacing w:val="-4"/>
        </w:rPr>
      </w:pPr>
      <w:r>
        <w:rPr>
          <w:rFonts w:asciiTheme="majorHAnsi" w:hAnsiTheme="majorHAnsi"/>
          <w:noProof/>
        </w:rPr>
        <w:t xml:space="preserve">As per </w:t>
      </w:r>
      <w:r w:rsidR="00552097" w:rsidRPr="005D4810">
        <w:rPr>
          <w:rFonts w:asciiTheme="majorHAnsi" w:hAnsiTheme="majorHAnsi"/>
          <w:noProof/>
        </w:rPr>
        <w:t>the Commission proposal for the MFF 2028-2034 of July 2025</w:t>
      </w:r>
      <w:r w:rsidR="00DD2584">
        <w:rPr>
          <w:rFonts w:asciiTheme="majorHAnsi" w:hAnsiTheme="majorHAnsi"/>
          <w:noProof/>
        </w:rPr>
        <w:t xml:space="preserve"> and last year’s report</w:t>
      </w:r>
      <w:r w:rsidR="00552097">
        <w:rPr>
          <w:rFonts w:asciiTheme="majorHAnsi" w:hAnsiTheme="majorHAnsi"/>
          <w:noProof/>
        </w:rPr>
        <w:t xml:space="preserve">, </w:t>
      </w:r>
      <w:r>
        <w:rPr>
          <w:rFonts w:asciiTheme="majorHAnsi" w:hAnsiTheme="majorHAnsi"/>
          <w:noProof/>
        </w:rPr>
        <w:t>p</w:t>
      </w:r>
      <w:r w:rsidR="000E704D" w:rsidRPr="00B95218">
        <w:rPr>
          <w:rFonts w:asciiTheme="majorHAnsi" w:hAnsiTheme="majorHAnsi"/>
          <w:noProof/>
        </w:rPr>
        <w:t>ayments on</w:t>
      </w:r>
      <w:r>
        <w:rPr>
          <w:rFonts w:asciiTheme="majorHAnsi" w:hAnsiTheme="majorHAnsi"/>
          <w:noProof/>
        </w:rPr>
        <w:t xml:space="preserve"> commitments </w:t>
      </w:r>
      <w:r w:rsidR="00D81B37">
        <w:rPr>
          <w:rFonts w:asciiTheme="majorHAnsi" w:hAnsiTheme="majorHAnsi"/>
          <w:noProof/>
        </w:rPr>
        <w:t xml:space="preserve">made </w:t>
      </w:r>
      <w:r w:rsidR="000E704D" w:rsidRPr="00B95218">
        <w:rPr>
          <w:rFonts w:asciiTheme="majorHAnsi" w:hAnsiTheme="majorHAnsi"/>
          <w:noProof/>
        </w:rPr>
        <w:t>in the MFF 2028-2034 are on average EUR</w:t>
      </w:r>
      <w:r w:rsidR="000E704D" w:rsidRPr="000E704D">
        <w:rPr>
          <w:rFonts w:ascii="Calibri" w:hAnsi="Calibri" w:cs="Calibri"/>
          <w:noProof/>
        </w:rPr>
        <w:t> </w:t>
      </w:r>
      <w:r w:rsidR="000E704D" w:rsidRPr="00B95218">
        <w:rPr>
          <w:rFonts w:asciiTheme="majorHAnsi" w:hAnsiTheme="majorHAnsi"/>
          <w:noProof/>
        </w:rPr>
        <w:t>234</w:t>
      </w:r>
      <w:r w:rsidR="000E704D" w:rsidRPr="000E704D">
        <w:rPr>
          <w:rFonts w:ascii="Calibri" w:hAnsi="Calibri" w:cs="Calibri"/>
          <w:noProof/>
        </w:rPr>
        <w:t> </w:t>
      </w:r>
      <w:r w:rsidR="000E704D" w:rsidRPr="00B95218">
        <w:rPr>
          <w:rFonts w:asciiTheme="majorHAnsi" w:hAnsiTheme="majorHAnsi"/>
          <w:noProof/>
        </w:rPr>
        <w:t>billion</w:t>
      </w:r>
      <w:r w:rsidR="00C71CCC">
        <w:rPr>
          <w:rFonts w:asciiTheme="majorHAnsi" w:hAnsiTheme="majorHAnsi"/>
          <w:noProof/>
        </w:rPr>
        <w:t xml:space="preserve"> per year</w:t>
      </w:r>
      <w:r w:rsidR="000E704D" w:rsidRPr="00B95218">
        <w:rPr>
          <w:rFonts w:asciiTheme="majorHAnsi" w:hAnsiTheme="majorHAnsi"/>
          <w:noProof/>
        </w:rPr>
        <w:t xml:space="preserve">, </w:t>
      </w:r>
      <w:r w:rsidR="000E704D" w:rsidRPr="00B95218">
        <w:rPr>
          <w:rFonts w:asciiTheme="majorHAnsi" w:hAnsiTheme="majorHAnsi"/>
          <w:b/>
          <w:noProof/>
        </w:rPr>
        <w:t>totalling EUR</w:t>
      </w:r>
      <w:r w:rsidR="000E704D" w:rsidRPr="000E704D">
        <w:rPr>
          <w:rFonts w:ascii="Calibri" w:hAnsi="Calibri" w:cs="Calibri"/>
          <w:b/>
          <w:bCs/>
          <w:noProof/>
        </w:rPr>
        <w:t> </w:t>
      </w:r>
      <w:r w:rsidR="000E704D" w:rsidRPr="00B95218">
        <w:rPr>
          <w:rFonts w:asciiTheme="majorHAnsi" w:hAnsiTheme="majorHAnsi"/>
          <w:b/>
          <w:noProof/>
        </w:rPr>
        <w:t>1</w:t>
      </w:r>
      <w:r w:rsidR="000E704D" w:rsidRPr="000E704D">
        <w:rPr>
          <w:rFonts w:ascii="Calibri" w:hAnsi="Calibri" w:cs="Calibri"/>
          <w:b/>
          <w:bCs/>
          <w:noProof/>
        </w:rPr>
        <w:t> </w:t>
      </w:r>
      <w:r w:rsidR="000E704D" w:rsidRPr="00B95218">
        <w:rPr>
          <w:rFonts w:asciiTheme="majorHAnsi" w:hAnsiTheme="majorHAnsi"/>
          <w:b/>
          <w:noProof/>
        </w:rPr>
        <w:t>641</w:t>
      </w:r>
      <w:r w:rsidR="000E704D" w:rsidRPr="000E704D">
        <w:rPr>
          <w:rFonts w:ascii="Calibri" w:hAnsi="Calibri" w:cs="Calibri"/>
          <w:b/>
          <w:bCs/>
          <w:noProof/>
        </w:rPr>
        <w:t> </w:t>
      </w:r>
      <w:r w:rsidR="000E704D" w:rsidRPr="00B95218">
        <w:rPr>
          <w:rFonts w:asciiTheme="majorHAnsi" w:hAnsiTheme="majorHAnsi"/>
          <w:b/>
          <w:noProof/>
        </w:rPr>
        <w:t>billion</w:t>
      </w:r>
      <w:r w:rsidR="000E704D" w:rsidRPr="00B95218">
        <w:rPr>
          <w:rFonts w:asciiTheme="majorHAnsi" w:hAnsiTheme="majorHAnsi"/>
          <w:noProof/>
        </w:rPr>
        <w:t xml:space="preserve"> over the </w:t>
      </w:r>
      <w:r w:rsidR="00D81B37">
        <w:rPr>
          <w:rFonts w:asciiTheme="majorHAnsi" w:hAnsiTheme="majorHAnsi"/>
          <w:noProof/>
        </w:rPr>
        <w:t>period</w:t>
      </w:r>
      <w:r w:rsidR="000E704D" w:rsidRPr="005D4810">
        <w:rPr>
          <w:rFonts w:asciiTheme="majorHAnsi" w:hAnsiTheme="majorHAnsi"/>
          <w:noProof/>
        </w:rPr>
        <w:t>.</w:t>
      </w:r>
      <w:r w:rsidR="00D81B37">
        <w:rPr>
          <w:rFonts w:asciiTheme="majorHAnsi" w:hAnsiTheme="majorHAnsi"/>
          <w:noProof/>
        </w:rPr>
        <w:t xml:space="preserve"> </w:t>
      </w:r>
      <w:r w:rsidR="006F650E">
        <w:rPr>
          <w:rFonts w:asciiTheme="majorHAnsi" w:hAnsiTheme="majorHAnsi"/>
          <w:noProof/>
        </w:rPr>
        <w:t>P</w:t>
      </w:r>
      <w:r w:rsidR="00CE1FEF">
        <w:rPr>
          <w:rFonts w:asciiTheme="majorHAnsi" w:hAnsiTheme="majorHAnsi"/>
          <w:noProof/>
        </w:rPr>
        <w:t>ayments are overall rather frontloaded to the first half of the 7-year period</w:t>
      </w:r>
      <w:r w:rsidR="006F650E">
        <w:rPr>
          <w:rFonts w:asciiTheme="majorHAnsi" w:hAnsiTheme="majorHAnsi"/>
          <w:noProof/>
        </w:rPr>
        <w:t xml:space="preserve"> as t</w:t>
      </w:r>
      <w:r w:rsidR="00CE1FEF">
        <w:rPr>
          <w:rFonts w:asciiTheme="majorHAnsi" w:hAnsiTheme="majorHAnsi"/>
          <w:noProof/>
        </w:rPr>
        <w:t>he new programmes are expected to have a quicker implementation pattern</w:t>
      </w:r>
      <w:r w:rsidR="00D1137A">
        <w:rPr>
          <w:rFonts w:asciiTheme="majorHAnsi" w:hAnsiTheme="majorHAnsi"/>
          <w:noProof/>
        </w:rPr>
        <w:t xml:space="preserve">. </w:t>
      </w:r>
      <w:r w:rsidR="005551A5">
        <w:rPr>
          <w:rFonts w:asciiTheme="majorHAnsi" w:hAnsiTheme="majorHAnsi"/>
          <w:noProof/>
        </w:rPr>
        <w:t xml:space="preserve">As explained in last’ year report, the frontloading is the result of </w:t>
      </w:r>
      <w:r w:rsidR="00CE1FEF" w:rsidRPr="00B26C60">
        <w:rPr>
          <w:rFonts w:asciiTheme="majorHAnsi" w:hAnsiTheme="majorHAnsi"/>
          <w:noProof/>
          <w:lang w:val="en-IE"/>
        </w:rPr>
        <w:t xml:space="preserve">measures </w:t>
      </w:r>
      <w:r w:rsidR="005551A5">
        <w:rPr>
          <w:rFonts w:asciiTheme="majorHAnsi" w:hAnsiTheme="majorHAnsi"/>
          <w:noProof/>
          <w:lang w:val="en-IE"/>
        </w:rPr>
        <w:t>proposed</w:t>
      </w:r>
      <w:r w:rsidR="00CE1FEF" w:rsidRPr="00B26C60">
        <w:rPr>
          <w:rFonts w:asciiTheme="majorHAnsi" w:hAnsiTheme="majorHAnsi"/>
          <w:noProof/>
          <w:lang w:val="en-IE"/>
        </w:rPr>
        <w:t xml:space="preserve"> to facilitate a timely start and a smoother implementation profile, resulting in a more even pattern of payments over the period.</w:t>
      </w:r>
    </w:p>
    <w:p w14:paraId="5C3E96CB" w14:textId="78C103A7" w:rsidR="00861C1C" w:rsidRDefault="003B6DC2" w:rsidP="0033008E">
      <w:pPr>
        <w:rPr>
          <w:rStyle w:val="amprcharCharttitle"/>
          <w:rFonts w:asciiTheme="majorHAnsi" w:hAnsiTheme="majorHAnsi"/>
          <w:noProof/>
        </w:rPr>
      </w:pPr>
      <w:r w:rsidRPr="00F423B9">
        <w:rPr>
          <w:rStyle w:val="amprcharCharttitle"/>
          <w:rFonts w:asciiTheme="majorHAnsi" w:hAnsiTheme="majorHAnsi"/>
          <w:noProof/>
        </w:rPr>
        <w:t xml:space="preserve">Chart </w:t>
      </w:r>
      <w:r w:rsidRPr="00F423B9">
        <w:rPr>
          <w:rStyle w:val="amprcharCharttitle"/>
          <w:rFonts w:asciiTheme="majorHAnsi" w:hAnsiTheme="majorHAnsi"/>
          <w:noProof/>
        </w:rPr>
        <w:fldChar w:fldCharType="begin"/>
      </w:r>
      <w:r w:rsidRPr="00F423B9">
        <w:rPr>
          <w:rStyle w:val="amprcharCharttitle"/>
          <w:rFonts w:asciiTheme="majorHAnsi" w:hAnsiTheme="majorHAnsi"/>
          <w:noProof/>
        </w:rPr>
        <w:instrText xml:space="preserve"> SEQ Chart \* ARABIC </w:instrText>
      </w:r>
      <w:r w:rsidRPr="00F423B9">
        <w:rPr>
          <w:rStyle w:val="amprcharCharttitle"/>
          <w:rFonts w:asciiTheme="majorHAnsi" w:hAnsiTheme="majorHAnsi"/>
          <w:noProof/>
        </w:rPr>
        <w:fldChar w:fldCharType="separate"/>
      </w:r>
      <w:r w:rsidR="00927C3F" w:rsidRPr="00F423B9">
        <w:rPr>
          <w:rStyle w:val="amprcharCharttitle"/>
          <w:rFonts w:asciiTheme="majorHAnsi" w:hAnsiTheme="majorHAnsi"/>
          <w:noProof/>
        </w:rPr>
        <w:t>1</w:t>
      </w:r>
      <w:r w:rsidRPr="00F423B9">
        <w:rPr>
          <w:rStyle w:val="amprcharCharttitle"/>
          <w:rFonts w:asciiTheme="majorHAnsi" w:hAnsiTheme="majorHAnsi"/>
          <w:noProof/>
        </w:rPr>
        <w:fldChar w:fldCharType="end"/>
      </w:r>
      <w:r w:rsidRPr="00F423B9">
        <w:rPr>
          <w:rStyle w:val="amprcharCharttitle"/>
          <w:rFonts w:asciiTheme="majorHAnsi" w:hAnsiTheme="majorHAnsi"/>
          <w:noProof/>
        </w:rPr>
        <w:t xml:space="preserve"> - Payments forecast by category</w:t>
      </w:r>
    </w:p>
    <w:p w14:paraId="6CAD3611" w14:textId="214065BB" w:rsidR="00A848EF" w:rsidRPr="00F423B9" w:rsidRDefault="00D525FB" w:rsidP="00D525FB">
      <w:pPr>
        <w:pStyle w:val="amprBodyText"/>
        <w:jc w:val="center"/>
        <w:rPr>
          <w:rFonts w:asciiTheme="majorHAnsi" w:hAnsiTheme="majorHAnsi"/>
          <w:noProof/>
        </w:rPr>
      </w:pPr>
      <w:r>
        <w:rPr>
          <w:noProof/>
          <w:lang w:eastAsia="en-GB"/>
        </w:rPr>
        <w:drawing>
          <wp:inline distT="0" distB="0" distL="0" distR="0" wp14:anchorId="75C7A295" wp14:editId="18086282">
            <wp:extent cx="4572000" cy="2743200"/>
            <wp:effectExtent l="0" t="0" r="0" b="0"/>
            <wp:docPr id="1691079698" name="Chart 1">
              <a:extLst xmlns:a="http://schemas.openxmlformats.org/drawingml/2006/main">
                <a:ext uri="{FF2B5EF4-FFF2-40B4-BE49-F238E27FC236}">
                  <a16:creationId xmlns:a16="http://schemas.microsoft.com/office/drawing/2014/main" id="{5A98B2E7-134E-47E9-9995-3C555EF770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6A4706E" w14:textId="77777777" w:rsidR="00166293" w:rsidRDefault="00166293" w:rsidP="00B26C60">
      <w:pPr>
        <w:spacing w:after="120" w:line="276" w:lineRule="auto"/>
        <w:jc w:val="both"/>
        <w:rPr>
          <w:rFonts w:asciiTheme="majorHAnsi" w:hAnsiTheme="majorHAnsi"/>
          <w:noProof/>
        </w:rPr>
      </w:pPr>
    </w:p>
    <w:p w14:paraId="322F66CB" w14:textId="6A63E030" w:rsidR="009B68F9" w:rsidRDefault="00B26C60" w:rsidP="00B26C60">
      <w:pPr>
        <w:spacing w:after="120" w:line="276" w:lineRule="auto"/>
        <w:jc w:val="both"/>
        <w:rPr>
          <w:rFonts w:asciiTheme="majorHAnsi" w:hAnsiTheme="majorHAnsi"/>
          <w:noProof/>
        </w:rPr>
      </w:pPr>
      <w:r w:rsidRPr="00B26C60">
        <w:rPr>
          <w:rFonts w:asciiTheme="majorHAnsi" w:hAnsiTheme="majorHAnsi"/>
          <w:noProof/>
          <w:lang w:val="en-IE"/>
        </w:rPr>
        <w:t>Compared with the estimates underpinning the Commission proposal of July 2025, the current forecast indicates a lower level of payments</w:t>
      </w:r>
      <w:r w:rsidR="002153F8">
        <w:rPr>
          <w:rFonts w:asciiTheme="majorHAnsi" w:hAnsiTheme="majorHAnsi" w:hint="eastAsia"/>
          <w:noProof/>
          <w:lang w:val="en-IE" w:eastAsia="ja-JP"/>
        </w:rPr>
        <w:t xml:space="preserve"> b</w:t>
      </w:r>
      <w:r w:rsidR="002E0FE3">
        <w:rPr>
          <w:rFonts w:asciiTheme="majorHAnsi" w:hAnsiTheme="majorHAnsi"/>
          <w:noProof/>
          <w:lang w:val="en-IE" w:eastAsia="ja-JP"/>
        </w:rPr>
        <w:t>y</w:t>
      </w:r>
      <w:r w:rsidR="002153F8">
        <w:rPr>
          <w:rFonts w:asciiTheme="majorHAnsi" w:hAnsiTheme="majorHAnsi" w:hint="eastAsia"/>
          <w:noProof/>
          <w:lang w:val="en-IE" w:eastAsia="ja-JP"/>
        </w:rPr>
        <w:t xml:space="preserve"> EUR 18 billion</w:t>
      </w:r>
      <w:r w:rsidR="00DF1188">
        <w:rPr>
          <w:rFonts w:asciiTheme="majorHAnsi" w:hAnsiTheme="majorHAnsi"/>
          <w:noProof/>
          <w:lang w:val="en-IE" w:eastAsia="ja-JP"/>
        </w:rPr>
        <w:t xml:space="preserve"> linked to changes in</w:t>
      </w:r>
      <w:r w:rsidR="00EC4D8E">
        <w:rPr>
          <w:rFonts w:asciiTheme="majorHAnsi" w:hAnsiTheme="majorHAnsi" w:hint="eastAsia"/>
          <w:noProof/>
          <w:lang w:val="en-IE" w:eastAsia="ja-JP"/>
        </w:rPr>
        <w:t xml:space="preserve"> RAL payments (i.e. payments on</w:t>
      </w:r>
      <w:r w:rsidRPr="00B26C60">
        <w:rPr>
          <w:rFonts w:asciiTheme="majorHAnsi" w:hAnsiTheme="majorHAnsi"/>
          <w:noProof/>
          <w:lang w:val="en-IE"/>
        </w:rPr>
        <w:t xml:space="preserve"> commitments entered into before 2028</w:t>
      </w:r>
      <w:r w:rsidR="00EC4D8E">
        <w:rPr>
          <w:rFonts w:asciiTheme="majorHAnsi" w:hAnsiTheme="majorHAnsi" w:hint="eastAsia"/>
          <w:noProof/>
          <w:lang w:val="en-IE" w:eastAsia="ja-JP"/>
        </w:rPr>
        <w:t>)</w:t>
      </w:r>
      <w:r w:rsidRPr="00B26C60">
        <w:rPr>
          <w:rFonts w:asciiTheme="majorHAnsi" w:hAnsiTheme="majorHAnsi"/>
          <w:noProof/>
          <w:lang w:val="en-IE"/>
        </w:rPr>
        <w:t xml:space="preserve">. </w:t>
      </w:r>
      <w:r w:rsidR="00703F4E" w:rsidRPr="00703F4E">
        <w:rPr>
          <w:rFonts w:asciiTheme="majorHAnsi" w:hAnsiTheme="majorHAnsi"/>
          <w:noProof/>
        </w:rPr>
        <w:t>This difference is mainly driven by the acceleration of payments under the 2021-2027 cohesion policy in 2026 and 2027, which reduces the stock of outstanding commitments expected at the end of the current MFF and, consequently, the level of payments on pre-2028 commitments required during the 2028-2034 period.</w:t>
      </w:r>
      <w:r w:rsidR="002E0FE3">
        <w:rPr>
          <w:rFonts w:asciiTheme="majorHAnsi" w:hAnsiTheme="majorHAnsi"/>
          <w:noProof/>
        </w:rPr>
        <w:t xml:space="preserve"> </w:t>
      </w:r>
    </w:p>
    <w:p w14:paraId="56FC78D1" w14:textId="41D633C5" w:rsidR="009B68F9" w:rsidRPr="00B26C60" w:rsidRDefault="005974E8" w:rsidP="009B68F9">
      <w:pPr>
        <w:spacing w:after="120" w:line="276" w:lineRule="auto"/>
        <w:jc w:val="both"/>
        <w:rPr>
          <w:rFonts w:asciiTheme="majorHAnsi" w:hAnsiTheme="majorHAnsi"/>
          <w:noProof/>
          <w:lang w:val="en-IE"/>
        </w:rPr>
      </w:pPr>
      <w:r>
        <w:rPr>
          <w:rFonts w:asciiTheme="majorHAnsi" w:hAnsiTheme="majorHAnsi"/>
          <w:noProof/>
          <w:lang w:val="en-IE"/>
        </w:rPr>
        <w:t>T</w:t>
      </w:r>
      <w:r w:rsidR="002E0FE3" w:rsidRPr="00B26C60">
        <w:rPr>
          <w:rFonts w:asciiTheme="majorHAnsi" w:hAnsiTheme="majorHAnsi"/>
          <w:noProof/>
          <w:lang w:val="en-IE"/>
        </w:rPr>
        <w:t xml:space="preserve">he proposed payment ceiling for the 2028-2034 MFF </w:t>
      </w:r>
      <w:r>
        <w:rPr>
          <w:rFonts w:asciiTheme="majorHAnsi" w:hAnsiTheme="majorHAnsi"/>
          <w:noProof/>
          <w:lang w:val="en-IE"/>
        </w:rPr>
        <w:t xml:space="preserve">remains </w:t>
      </w:r>
      <w:r w:rsidR="002E0FE3" w:rsidRPr="00B26C60">
        <w:rPr>
          <w:rFonts w:asciiTheme="majorHAnsi" w:hAnsiTheme="majorHAnsi"/>
          <w:noProof/>
          <w:lang w:val="en-IE"/>
        </w:rPr>
        <w:t xml:space="preserve">sufficient to cover </w:t>
      </w:r>
      <w:r w:rsidR="00425241">
        <w:rPr>
          <w:rFonts w:asciiTheme="majorHAnsi" w:hAnsiTheme="majorHAnsi"/>
          <w:noProof/>
          <w:lang w:val="en-IE"/>
        </w:rPr>
        <w:t xml:space="preserve">overall </w:t>
      </w:r>
      <w:r w:rsidR="002E0FE3" w:rsidRPr="00B26C60">
        <w:rPr>
          <w:rFonts w:asciiTheme="majorHAnsi" w:hAnsiTheme="majorHAnsi"/>
          <w:noProof/>
          <w:lang w:val="en-IE"/>
        </w:rPr>
        <w:t>the payment needs currently forecast over the period</w:t>
      </w:r>
      <w:r w:rsidR="00287037">
        <w:rPr>
          <w:rFonts w:asciiTheme="majorHAnsi" w:hAnsiTheme="majorHAnsi"/>
          <w:noProof/>
          <w:lang w:val="en-IE"/>
        </w:rPr>
        <w:t>, with some variations across years</w:t>
      </w:r>
      <w:r w:rsidR="002E0FE3" w:rsidRPr="00B26C60">
        <w:rPr>
          <w:rFonts w:asciiTheme="majorHAnsi" w:hAnsiTheme="majorHAnsi"/>
          <w:noProof/>
          <w:lang w:val="en-IE"/>
        </w:rPr>
        <w:t>.</w:t>
      </w:r>
      <w:r w:rsidR="009B68F9">
        <w:rPr>
          <w:rFonts w:asciiTheme="majorHAnsi" w:hAnsiTheme="majorHAnsi"/>
          <w:noProof/>
          <w:lang w:val="en-IE"/>
        </w:rPr>
        <w:t xml:space="preserve"> </w:t>
      </w:r>
      <w:r w:rsidR="009B68F9" w:rsidRPr="00B26C60">
        <w:rPr>
          <w:rFonts w:asciiTheme="majorHAnsi" w:hAnsiTheme="majorHAnsi"/>
          <w:noProof/>
          <w:lang w:val="en-IE"/>
        </w:rPr>
        <w:t>Under the current assumptions, payments may exceed the annual ceilings in 2030</w:t>
      </w:r>
      <w:r w:rsidR="009B68F9">
        <w:rPr>
          <w:rFonts w:asciiTheme="majorHAnsi" w:hAnsiTheme="majorHAnsi"/>
          <w:noProof/>
          <w:lang w:val="en-IE"/>
        </w:rPr>
        <w:t xml:space="preserve"> (EUR</w:t>
      </w:r>
      <w:r w:rsidR="009B68F9">
        <w:rPr>
          <w:rFonts w:ascii="Calibri" w:hAnsi="Calibri" w:cs="Calibri"/>
          <w:noProof/>
          <w:lang w:val="en-IE"/>
        </w:rPr>
        <w:t> </w:t>
      </w:r>
      <w:r w:rsidR="009B68F9">
        <w:rPr>
          <w:rFonts w:asciiTheme="majorHAnsi" w:hAnsiTheme="majorHAnsi"/>
          <w:noProof/>
          <w:lang w:val="en-IE"/>
        </w:rPr>
        <w:t>14</w:t>
      </w:r>
      <w:r w:rsidR="009B68F9">
        <w:rPr>
          <w:rFonts w:ascii="Calibri" w:hAnsi="Calibri" w:cs="Calibri"/>
          <w:noProof/>
          <w:lang w:val="en-IE"/>
        </w:rPr>
        <w:t> </w:t>
      </w:r>
      <w:r w:rsidR="009B68F9">
        <w:rPr>
          <w:rFonts w:asciiTheme="majorHAnsi" w:hAnsiTheme="majorHAnsi"/>
          <w:noProof/>
          <w:lang w:val="en-IE"/>
        </w:rPr>
        <w:t>billion)</w:t>
      </w:r>
      <w:r w:rsidR="009B68F9" w:rsidRPr="00B26C60">
        <w:rPr>
          <w:rFonts w:asciiTheme="majorHAnsi" w:hAnsiTheme="majorHAnsi"/>
          <w:noProof/>
          <w:lang w:val="en-IE"/>
        </w:rPr>
        <w:t xml:space="preserve">, 2032 </w:t>
      </w:r>
      <w:r w:rsidR="009B68F9">
        <w:rPr>
          <w:rFonts w:asciiTheme="majorHAnsi" w:hAnsiTheme="majorHAnsi"/>
          <w:noProof/>
          <w:lang w:val="en-IE"/>
        </w:rPr>
        <w:t>(EUR</w:t>
      </w:r>
      <w:r w:rsidR="009B68F9">
        <w:rPr>
          <w:rFonts w:ascii="Calibri" w:hAnsi="Calibri" w:cs="Calibri"/>
          <w:noProof/>
          <w:lang w:val="en-IE"/>
        </w:rPr>
        <w:t> </w:t>
      </w:r>
      <w:r w:rsidR="009B68F9">
        <w:rPr>
          <w:rFonts w:asciiTheme="majorHAnsi" w:hAnsiTheme="majorHAnsi"/>
          <w:noProof/>
          <w:lang w:val="en-IE"/>
        </w:rPr>
        <w:t>6</w:t>
      </w:r>
      <w:r w:rsidR="009B68F9">
        <w:rPr>
          <w:rFonts w:ascii="Calibri" w:hAnsi="Calibri" w:cs="Calibri"/>
          <w:noProof/>
          <w:lang w:val="en-IE"/>
        </w:rPr>
        <w:t> </w:t>
      </w:r>
      <w:r w:rsidR="009B68F9">
        <w:rPr>
          <w:rFonts w:asciiTheme="majorHAnsi" w:hAnsiTheme="majorHAnsi"/>
          <w:noProof/>
          <w:lang w:val="en-IE"/>
        </w:rPr>
        <w:t>billion)</w:t>
      </w:r>
      <w:r w:rsidR="009B68F9" w:rsidRPr="00B26C60">
        <w:rPr>
          <w:rFonts w:asciiTheme="majorHAnsi" w:hAnsiTheme="majorHAnsi"/>
          <w:noProof/>
          <w:lang w:val="en-IE"/>
        </w:rPr>
        <w:t xml:space="preserve"> and 2033</w:t>
      </w:r>
      <w:r w:rsidR="009B68F9">
        <w:rPr>
          <w:rFonts w:asciiTheme="majorHAnsi" w:hAnsiTheme="majorHAnsi"/>
          <w:noProof/>
          <w:lang w:val="en-IE"/>
        </w:rPr>
        <w:t xml:space="preserve"> (EUR</w:t>
      </w:r>
      <w:r w:rsidR="009B68F9">
        <w:rPr>
          <w:rFonts w:ascii="Calibri" w:hAnsi="Calibri" w:cs="Calibri"/>
          <w:noProof/>
          <w:lang w:val="en-IE"/>
        </w:rPr>
        <w:t> </w:t>
      </w:r>
      <w:r w:rsidR="009B68F9">
        <w:rPr>
          <w:rFonts w:asciiTheme="majorHAnsi" w:hAnsiTheme="majorHAnsi"/>
          <w:noProof/>
          <w:lang w:val="en-IE"/>
        </w:rPr>
        <w:t>4</w:t>
      </w:r>
      <w:r w:rsidR="009B68F9">
        <w:rPr>
          <w:rFonts w:ascii="Calibri" w:hAnsi="Calibri" w:cs="Calibri"/>
          <w:noProof/>
          <w:lang w:val="en-IE"/>
        </w:rPr>
        <w:t> </w:t>
      </w:r>
      <w:r w:rsidR="009B68F9">
        <w:rPr>
          <w:rFonts w:asciiTheme="majorHAnsi" w:hAnsiTheme="majorHAnsi"/>
          <w:noProof/>
          <w:lang w:val="en-IE"/>
        </w:rPr>
        <w:t>billion)</w:t>
      </w:r>
      <w:r w:rsidR="009B68F9" w:rsidRPr="00B26C60">
        <w:rPr>
          <w:rFonts w:asciiTheme="majorHAnsi" w:hAnsiTheme="majorHAnsi"/>
          <w:noProof/>
          <w:lang w:val="en-IE"/>
        </w:rPr>
        <w:t xml:space="preserve">. </w:t>
      </w:r>
      <w:r w:rsidR="009B68F9">
        <w:rPr>
          <w:rFonts w:asciiTheme="majorHAnsi" w:hAnsiTheme="majorHAnsi"/>
          <w:noProof/>
          <w:lang w:val="en-IE"/>
        </w:rPr>
        <w:t>Payments would be below the ceilings in years 2028 (EUR</w:t>
      </w:r>
      <w:r w:rsidR="009B68F9">
        <w:rPr>
          <w:rFonts w:ascii="Calibri" w:hAnsi="Calibri" w:cs="Calibri"/>
          <w:noProof/>
          <w:lang w:val="en-IE"/>
        </w:rPr>
        <w:t> </w:t>
      </w:r>
      <w:r w:rsidR="009B68F9">
        <w:rPr>
          <w:rFonts w:asciiTheme="majorHAnsi" w:hAnsiTheme="majorHAnsi"/>
          <w:noProof/>
          <w:lang w:val="en-IE"/>
        </w:rPr>
        <w:t>4</w:t>
      </w:r>
      <w:r w:rsidR="009B68F9">
        <w:rPr>
          <w:rFonts w:ascii="Calibri" w:hAnsi="Calibri" w:cs="Calibri"/>
          <w:noProof/>
          <w:lang w:val="en-IE"/>
        </w:rPr>
        <w:t> </w:t>
      </w:r>
      <w:r w:rsidR="009B68F9">
        <w:rPr>
          <w:rFonts w:asciiTheme="majorHAnsi" w:hAnsiTheme="majorHAnsi"/>
          <w:noProof/>
          <w:lang w:val="en-IE"/>
        </w:rPr>
        <w:t>billion), 2029 (EUR</w:t>
      </w:r>
      <w:r w:rsidR="009B68F9">
        <w:rPr>
          <w:rFonts w:ascii="Calibri" w:hAnsi="Calibri" w:cs="Calibri"/>
          <w:noProof/>
          <w:lang w:val="en-IE"/>
        </w:rPr>
        <w:t> </w:t>
      </w:r>
      <w:r w:rsidR="009B68F9">
        <w:rPr>
          <w:rFonts w:asciiTheme="majorHAnsi" w:hAnsiTheme="majorHAnsi"/>
          <w:noProof/>
          <w:lang w:val="en-IE"/>
        </w:rPr>
        <w:t>17</w:t>
      </w:r>
      <w:r w:rsidR="009B68F9">
        <w:rPr>
          <w:rFonts w:ascii="Calibri" w:hAnsi="Calibri" w:cs="Calibri"/>
          <w:noProof/>
          <w:lang w:val="en-IE"/>
        </w:rPr>
        <w:t> </w:t>
      </w:r>
      <w:r w:rsidR="009B68F9">
        <w:rPr>
          <w:rFonts w:asciiTheme="majorHAnsi" w:hAnsiTheme="majorHAnsi"/>
          <w:noProof/>
          <w:lang w:val="en-IE"/>
        </w:rPr>
        <w:t>billion), and 2031 (EUR</w:t>
      </w:r>
      <w:r w:rsidR="009B68F9">
        <w:rPr>
          <w:rFonts w:ascii="Calibri" w:hAnsi="Calibri" w:cs="Calibri"/>
          <w:noProof/>
          <w:lang w:val="en-IE"/>
        </w:rPr>
        <w:t> </w:t>
      </w:r>
      <w:r w:rsidR="009B68F9">
        <w:rPr>
          <w:rFonts w:asciiTheme="majorHAnsi" w:hAnsiTheme="majorHAnsi"/>
          <w:noProof/>
          <w:lang w:val="en-IE"/>
        </w:rPr>
        <w:t>21</w:t>
      </w:r>
      <w:r w:rsidR="009B68F9">
        <w:rPr>
          <w:rFonts w:ascii="Calibri" w:hAnsi="Calibri" w:cs="Calibri"/>
          <w:noProof/>
          <w:lang w:val="en-IE"/>
        </w:rPr>
        <w:t> </w:t>
      </w:r>
      <w:r w:rsidR="009B68F9">
        <w:rPr>
          <w:rFonts w:asciiTheme="majorHAnsi" w:hAnsiTheme="majorHAnsi"/>
          <w:noProof/>
          <w:lang w:val="en-IE"/>
        </w:rPr>
        <w:t>billion).</w:t>
      </w:r>
      <w:r w:rsidR="00497510">
        <w:rPr>
          <w:rFonts w:asciiTheme="majorHAnsi" w:hAnsiTheme="majorHAnsi"/>
          <w:noProof/>
          <w:lang w:val="en-IE"/>
        </w:rPr>
        <w:t xml:space="preserve"> To ensure that the payment ceiling is respected in each year of the MFF, </w:t>
      </w:r>
      <w:r w:rsidR="009B68F9" w:rsidRPr="00B26C60">
        <w:rPr>
          <w:rFonts w:asciiTheme="majorHAnsi" w:hAnsiTheme="majorHAnsi"/>
          <w:noProof/>
          <w:lang w:val="en-IE"/>
        </w:rPr>
        <w:t xml:space="preserve">the use of the mechanisms provided for in the MFF </w:t>
      </w:r>
      <w:r w:rsidR="009B68F9">
        <w:rPr>
          <w:rFonts w:asciiTheme="majorHAnsi" w:hAnsiTheme="majorHAnsi" w:hint="eastAsia"/>
          <w:noProof/>
          <w:lang w:val="en-IE" w:eastAsia="ja-JP"/>
        </w:rPr>
        <w:t>Regulation</w:t>
      </w:r>
      <w:r w:rsidR="009B68F9" w:rsidRPr="00B26C60">
        <w:rPr>
          <w:rFonts w:asciiTheme="majorHAnsi" w:hAnsiTheme="majorHAnsi"/>
          <w:noProof/>
          <w:lang w:val="en-IE"/>
        </w:rPr>
        <w:t xml:space="preserve"> to adjust annual payment ceiling levels</w:t>
      </w:r>
      <w:r w:rsidR="00E471A6">
        <w:rPr>
          <w:rFonts w:asciiTheme="majorHAnsi" w:hAnsiTheme="majorHAnsi"/>
          <w:noProof/>
          <w:lang w:val="en-IE"/>
        </w:rPr>
        <w:t xml:space="preserve"> may be required</w:t>
      </w:r>
      <w:r w:rsidR="000518C1">
        <w:rPr>
          <w:rFonts w:asciiTheme="majorHAnsi" w:hAnsiTheme="majorHAnsi"/>
          <w:noProof/>
          <w:lang w:val="en-IE" w:eastAsia="ja-JP"/>
        </w:rPr>
        <w:t>.</w:t>
      </w:r>
    </w:p>
    <w:p w14:paraId="14877F67" w14:textId="2AC30C79" w:rsidR="00B26C60" w:rsidRPr="00B26C60" w:rsidRDefault="00B26C60" w:rsidP="00B26C60">
      <w:pPr>
        <w:spacing w:after="120" w:line="276" w:lineRule="auto"/>
        <w:jc w:val="both"/>
        <w:rPr>
          <w:rFonts w:asciiTheme="majorHAnsi" w:hAnsiTheme="majorHAnsi"/>
          <w:noProof/>
          <w:lang w:val="en-IE"/>
        </w:rPr>
      </w:pPr>
      <w:r w:rsidRPr="00B26C60">
        <w:rPr>
          <w:rFonts w:asciiTheme="majorHAnsi" w:hAnsiTheme="majorHAnsi"/>
          <w:noProof/>
          <w:lang w:val="en-IE"/>
        </w:rPr>
        <w:t xml:space="preserve">The resulting difference between the </w:t>
      </w:r>
      <w:r w:rsidR="00FB2740">
        <w:rPr>
          <w:rFonts w:asciiTheme="majorHAnsi" w:hAnsiTheme="majorHAnsi"/>
          <w:noProof/>
          <w:lang w:val="en-IE"/>
        </w:rPr>
        <w:t xml:space="preserve">overall </w:t>
      </w:r>
      <w:r w:rsidRPr="00B26C60">
        <w:rPr>
          <w:rFonts w:asciiTheme="majorHAnsi" w:hAnsiTheme="majorHAnsi"/>
          <w:noProof/>
          <w:lang w:val="en-IE"/>
        </w:rPr>
        <w:t xml:space="preserve">current payment forecast and the proposed </w:t>
      </w:r>
      <w:r w:rsidR="002911F7">
        <w:rPr>
          <w:rFonts w:asciiTheme="majorHAnsi" w:hAnsiTheme="majorHAnsi"/>
          <w:noProof/>
          <w:lang w:val="en-IE"/>
        </w:rPr>
        <w:t xml:space="preserve">MFF </w:t>
      </w:r>
      <w:r w:rsidRPr="00B26C60">
        <w:rPr>
          <w:rFonts w:asciiTheme="majorHAnsi" w:hAnsiTheme="majorHAnsi"/>
          <w:noProof/>
          <w:lang w:val="en-IE"/>
        </w:rPr>
        <w:t>payment ceiling</w:t>
      </w:r>
      <w:r w:rsidR="002911F7">
        <w:rPr>
          <w:rFonts w:asciiTheme="majorHAnsi" w:hAnsiTheme="majorHAnsi"/>
          <w:noProof/>
          <w:lang w:val="en-IE"/>
        </w:rPr>
        <w:t>s</w:t>
      </w:r>
      <w:r w:rsidRPr="00B26C60">
        <w:rPr>
          <w:rFonts w:asciiTheme="majorHAnsi" w:hAnsiTheme="majorHAnsi"/>
          <w:noProof/>
          <w:lang w:val="en-IE"/>
        </w:rPr>
        <w:t xml:space="preserve"> should, however, be interpreted with caution. While the forecast for payments on existing commitments benefits from more recent implementation data, the payment profile of programmes under the future MFF is subject to the outcome of the ongoing negotiations. Changes to the overall size and composition of the MFF</w:t>
      </w:r>
      <w:r w:rsidRPr="00B26C60" w:rsidDel="00BC5484">
        <w:rPr>
          <w:rFonts w:asciiTheme="majorHAnsi" w:hAnsiTheme="majorHAnsi"/>
          <w:noProof/>
          <w:lang w:val="en-IE"/>
        </w:rPr>
        <w:t xml:space="preserve"> </w:t>
      </w:r>
      <w:r w:rsidRPr="00B26C60">
        <w:rPr>
          <w:rFonts w:asciiTheme="majorHAnsi" w:hAnsiTheme="majorHAnsi"/>
          <w:noProof/>
          <w:lang w:val="en-IE"/>
        </w:rPr>
        <w:t>may affect the timing and level of future payment needs</w:t>
      </w:r>
      <w:r w:rsidR="009864BE">
        <w:rPr>
          <w:rFonts w:asciiTheme="majorHAnsi" w:hAnsiTheme="majorHAnsi"/>
          <w:noProof/>
          <w:lang w:val="en-IE"/>
        </w:rPr>
        <w:t>.</w:t>
      </w:r>
    </w:p>
    <w:p w14:paraId="3A0D52B1" w14:textId="77777777" w:rsidR="00AA63C5" w:rsidDel="00AA63C5" w:rsidRDefault="00A41066" w:rsidP="00747518">
      <w:pPr>
        <w:rPr>
          <w:rFonts w:asciiTheme="majorHAnsi" w:hAnsiTheme="majorHAnsi"/>
          <w:noProof/>
        </w:rPr>
      </w:pPr>
      <w:r w:rsidDel="00AA63C5">
        <w:rPr>
          <w:rFonts w:asciiTheme="majorHAnsi" w:hAnsiTheme="majorHAnsi"/>
          <w:noProof/>
        </w:rPr>
        <w:br w:type="page"/>
      </w:r>
    </w:p>
    <w:p w14:paraId="25C7786E" w14:textId="285A091F" w:rsidR="009F2F6E" w:rsidRDefault="003B6DC2" w:rsidP="624BAA84">
      <w:pPr>
        <w:spacing w:after="120" w:line="276" w:lineRule="auto"/>
        <w:jc w:val="both"/>
        <w:rPr>
          <w:rStyle w:val="amprcharCharttitle"/>
          <w:rFonts w:asciiTheme="majorHAnsi" w:hAnsiTheme="majorHAnsi"/>
          <w:noProof/>
        </w:rPr>
      </w:pPr>
      <w:r w:rsidRPr="00F423B9">
        <w:rPr>
          <w:rStyle w:val="amprcharCharttitle"/>
          <w:rFonts w:asciiTheme="majorHAnsi" w:hAnsiTheme="majorHAnsi"/>
          <w:noProof/>
        </w:rPr>
        <w:t xml:space="preserve">Chart </w:t>
      </w:r>
      <w:r w:rsidRPr="00F423B9">
        <w:rPr>
          <w:rStyle w:val="amprcharCharttitle"/>
          <w:rFonts w:asciiTheme="majorHAnsi" w:hAnsiTheme="majorHAnsi"/>
          <w:noProof/>
        </w:rPr>
        <w:fldChar w:fldCharType="begin"/>
      </w:r>
      <w:r w:rsidRPr="00F423B9">
        <w:rPr>
          <w:rStyle w:val="amprcharCharttitle"/>
          <w:rFonts w:asciiTheme="majorHAnsi" w:hAnsiTheme="majorHAnsi"/>
          <w:noProof/>
        </w:rPr>
        <w:instrText xml:space="preserve"> SEQ Chart \* ARABIC </w:instrText>
      </w:r>
      <w:r w:rsidRPr="00F423B9">
        <w:rPr>
          <w:rStyle w:val="amprcharCharttitle"/>
          <w:rFonts w:asciiTheme="majorHAnsi" w:hAnsiTheme="majorHAnsi"/>
          <w:noProof/>
        </w:rPr>
        <w:fldChar w:fldCharType="separate"/>
      </w:r>
      <w:r w:rsidR="4542B7EC" w:rsidRPr="00F423B9">
        <w:rPr>
          <w:rStyle w:val="amprcharCharttitle"/>
          <w:rFonts w:asciiTheme="majorHAnsi" w:hAnsiTheme="majorHAnsi"/>
          <w:noProof/>
        </w:rPr>
        <w:t>2</w:t>
      </w:r>
      <w:r w:rsidRPr="00F423B9">
        <w:rPr>
          <w:rStyle w:val="amprcharCharttitle"/>
          <w:rFonts w:asciiTheme="majorHAnsi" w:hAnsiTheme="majorHAnsi"/>
          <w:noProof/>
        </w:rPr>
        <w:fldChar w:fldCharType="end"/>
      </w:r>
      <w:r w:rsidRPr="00F423B9">
        <w:rPr>
          <w:rStyle w:val="amprcharCharttitle"/>
          <w:rFonts w:asciiTheme="majorHAnsi" w:hAnsiTheme="majorHAnsi"/>
          <w:noProof/>
        </w:rPr>
        <w:t xml:space="preserve"> - Payments forecast </w:t>
      </w:r>
      <w:r w:rsidR="00E07CCB">
        <w:rPr>
          <w:rStyle w:val="amprcharCharttitle"/>
          <w:rFonts w:asciiTheme="majorHAnsi" w:hAnsiTheme="majorHAnsi"/>
          <w:noProof/>
        </w:rPr>
        <w:t>compared to</w:t>
      </w:r>
      <w:r w:rsidRPr="00F423B9">
        <w:rPr>
          <w:rStyle w:val="amprcharCharttitle"/>
          <w:rFonts w:asciiTheme="majorHAnsi" w:hAnsiTheme="majorHAnsi"/>
          <w:noProof/>
        </w:rPr>
        <w:t xml:space="preserve"> MFF payment ceiling</w:t>
      </w:r>
      <w:r w:rsidR="174B0E90" w:rsidRPr="00F423B9">
        <w:rPr>
          <w:rStyle w:val="amprcharCharttitle"/>
          <w:rFonts w:asciiTheme="majorHAnsi" w:hAnsiTheme="majorHAnsi"/>
          <w:noProof/>
        </w:rPr>
        <w:t xml:space="preserve"> </w:t>
      </w:r>
      <w:r w:rsidR="6870A5D6" w:rsidRPr="00F423B9">
        <w:rPr>
          <w:rStyle w:val="amprcharCharttitle"/>
          <w:rFonts w:asciiTheme="majorHAnsi" w:hAnsiTheme="majorHAnsi"/>
          <w:noProof/>
        </w:rPr>
        <w:t>for the</w:t>
      </w:r>
      <w:r w:rsidR="174B0E90" w:rsidRPr="00F423B9">
        <w:rPr>
          <w:rStyle w:val="amprcharCharttitle"/>
          <w:rFonts w:asciiTheme="majorHAnsi" w:hAnsiTheme="majorHAnsi"/>
          <w:noProof/>
        </w:rPr>
        <w:t xml:space="preserve"> period 20</w:t>
      </w:r>
      <w:r w:rsidR="00826640">
        <w:rPr>
          <w:rStyle w:val="amprcharCharttitle"/>
          <w:rFonts w:asciiTheme="majorHAnsi" w:hAnsiTheme="majorHAnsi"/>
          <w:noProof/>
        </w:rPr>
        <w:t>27</w:t>
      </w:r>
      <w:r w:rsidR="00E07CCB">
        <w:rPr>
          <w:rStyle w:val="amprcharCharttitle"/>
          <w:rFonts w:asciiTheme="majorHAnsi" w:hAnsiTheme="majorHAnsi"/>
          <w:noProof/>
        </w:rPr>
        <w:t>-2034</w:t>
      </w:r>
    </w:p>
    <w:p w14:paraId="30FE2C46" w14:textId="7C40416F" w:rsidR="00A16F02" w:rsidRPr="00F423B9" w:rsidRDefault="009E303C" w:rsidP="00923645">
      <w:pPr>
        <w:spacing w:after="120" w:line="276" w:lineRule="auto"/>
        <w:jc w:val="center"/>
        <w:rPr>
          <w:rFonts w:asciiTheme="majorHAnsi" w:hAnsiTheme="majorHAnsi"/>
          <w:b/>
          <w:bCs/>
          <w:noProof/>
          <w:color w:val="003399" w:themeColor="text2"/>
          <w:spacing w:val="1"/>
        </w:rPr>
      </w:pPr>
      <w:r>
        <w:rPr>
          <w:noProof/>
          <w:lang w:eastAsia="en-GB"/>
        </w:rPr>
        <w:drawing>
          <wp:inline distT="0" distB="0" distL="0" distR="0" wp14:anchorId="481B33EA" wp14:editId="7563194E">
            <wp:extent cx="4555331" cy="2743200"/>
            <wp:effectExtent l="0" t="0" r="0" b="0"/>
            <wp:docPr id="1966507401" name="Chart 1">
              <a:extLst xmlns:a="http://schemas.openxmlformats.org/drawingml/2006/main">
                <a:ext uri="{FF2B5EF4-FFF2-40B4-BE49-F238E27FC236}">
                  <a16:creationId xmlns:a16="http://schemas.microsoft.com/office/drawing/2014/main" id="{47A9C17C-7E94-44EA-9F91-C7B426B0AA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DEAF549" w14:textId="1BA54A78" w:rsidR="000708A2" w:rsidRDefault="000708A2" w:rsidP="000708A2">
      <w:pPr>
        <w:spacing w:before="0" w:after="120" w:line="276" w:lineRule="auto"/>
        <w:jc w:val="both"/>
        <w:rPr>
          <w:noProof/>
        </w:rPr>
      </w:pPr>
    </w:p>
    <w:p w14:paraId="41F116AD" w14:textId="6F21E6BA" w:rsidR="00160CE3" w:rsidRPr="00F423B9" w:rsidRDefault="00160CE3" w:rsidP="00160CE3">
      <w:pPr>
        <w:pStyle w:val="amprH3Title2-Numbered-11"/>
        <w:rPr>
          <w:rFonts w:asciiTheme="majorHAnsi" w:hAnsiTheme="majorHAnsi"/>
          <w:noProof/>
        </w:rPr>
      </w:pPr>
      <w:bookmarkStart w:id="20" w:name="_Toc233958938"/>
      <w:bookmarkStart w:id="21" w:name="_Hlk231910861"/>
      <w:r w:rsidRPr="00F423B9">
        <w:rPr>
          <w:rFonts w:asciiTheme="majorHAnsi" w:hAnsiTheme="majorHAnsi"/>
          <w:noProof/>
        </w:rPr>
        <w:t>Payments in relation to the commitments of the 202</w:t>
      </w:r>
      <w:r>
        <w:rPr>
          <w:rFonts w:asciiTheme="majorHAnsi" w:hAnsiTheme="majorHAnsi"/>
          <w:noProof/>
        </w:rPr>
        <w:t>1</w:t>
      </w:r>
      <w:r w:rsidRPr="00F423B9">
        <w:rPr>
          <w:rFonts w:asciiTheme="majorHAnsi" w:hAnsiTheme="majorHAnsi"/>
          <w:noProof/>
        </w:rPr>
        <w:t>-20</w:t>
      </w:r>
      <w:r>
        <w:rPr>
          <w:rFonts w:asciiTheme="majorHAnsi" w:hAnsiTheme="majorHAnsi"/>
          <w:noProof/>
        </w:rPr>
        <w:t>27</w:t>
      </w:r>
      <w:r w:rsidRPr="00F423B9">
        <w:rPr>
          <w:rFonts w:asciiTheme="majorHAnsi" w:hAnsiTheme="majorHAnsi"/>
          <w:noProof/>
        </w:rPr>
        <w:t xml:space="preserve"> MFF</w:t>
      </w:r>
      <w:bookmarkEnd w:id="20"/>
    </w:p>
    <w:p w14:paraId="568E0E95" w14:textId="7A5A81DA" w:rsidR="00861C1C" w:rsidRPr="00F423B9" w:rsidRDefault="003B6DC2">
      <w:pPr>
        <w:spacing w:after="120" w:line="276" w:lineRule="auto"/>
        <w:jc w:val="both"/>
        <w:rPr>
          <w:rFonts w:asciiTheme="majorHAnsi" w:hAnsiTheme="majorHAnsi"/>
          <w:noProof/>
        </w:rPr>
      </w:pPr>
      <w:r w:rsidRPr="00F423B9">
        <w:rPr>
          <w:rFonts w:asciiTheme="majorHAnsi" w:hAnsiTheme="majorHAnsi"/>
          <w:noProof/>
        </w:rPr>
        <w:t xml:space="preserve">Cohesion and the Common Agricultural Policy (CAP) represent more than half of the </w:t>
      </w:r>
      <w:r w:rsidR="003A203D" w:rsidRPr="00F423B9">
        <w:rPr>
          <w:rFonts w:asciiTheme="majorHAnsi" w:hAnsiTheme="majorHAnsi"/>
          <w:noProof/>
        </w:rPr>
        <w:t>projecte</w:t>
      </w:r>
      <w:r w:rsidRPr="00F423B9">
        <w:rPr>
          <w:rFonts w:asciiTheme="majorHAnsi" w:hAnsiTheme="majorHAnsi"/>
          <w:noProof/>
        </w:rPr>
        <w:t xml:space="preserve">d payments stemming from the 2021-2027 MFF. </w:t>
      </w:r>
    </w:p>
    <w:p w14:paraId="22D24D7C" w14:textId="22A47D9A" w:rsidR="00861C1C" w:rsidRPr="00F423B9" w:rsidRDefault="003B6DC2">
      <w:pPr>
        <w:pStyle w:val="amprH4Subhead1"/>
        <w:rPr>
          <w:rFonts w:asciiTheme="majorHAnsi" w:hAnsiTheme="majorHAnsi"/>
          <w:noProof/>
        </w:rPr>
      </w:pPr>
      <w:r w:rsidRPr="00F423B9">
        <w:rPr>
          <w:rFonts w:asciiTheme="majorHAnsi" w:hAnsiTheme="majorHAnsi"/>
          <w:noProof/>
        </w:rPr>
        <w:t>Heading 2a - Cohesion policy</w:t>
      </w:r>
    </w:p>
    <w:p w14:paraId="1C41DB59" w14:textId="37A144A3" w:rsidR="002C6BBE" w:rsidRDefault="00150D53" w:rsidP="457755A8">
      <w:pPr>
        <w:spacing w:after="120" w:line="276" w:lineRule="auto"/>
        <w:jc w:val="both"/>
        <w:rPr>
          <w:rFonts w:asciiTheme="majorHAnsi" w:hAnsiTheme="majorHAnsi"/>
          <w:noProof/>
        </w:rPr>
      </w:pPr>
      <w:bookmarkStart w:id="22" w:name="_Hlk136512092"/>
      <w:r>
        <w:rPr>
          <w:rFonts w:asciiTheme="majorHAnsi" w:hAnsiTheme="majorHAnsi"/>
          <w:noProof/>
        </w:rPr>
        <w:t xml:space="preserve">The implementation of cohesion policy funds is accelerating </w:t>
      </w:r>
      <w:r w:rsidR="00C640CE">
        <w:rPr>
          <w:rFonts w:asciiTheme="majorHAnsi" w:hAnsiTheme="majorHAnsi"/>
          <w:noProof/>
        </w:rPr>
        <w:t>compared to last long-term payment forecast report</w:t>
      </w:r>
      <w:r w:rsidR="00C640CE">
        <w:rPr>
          <w:rStyle w:val="EndnoteReference"/>
          <w:noProof/>
        </w:rPr>
        <w:endnoteReference w:id="14"/>
      </w:r>
      <w:r w:rsidR="00C640CE">
        <w:rPr>
          <w:rFonts w:asciiTheme="majorHAnsi" w:hAnsiTheme="majorHAnsi"/>
          <w:noProof/>
        </w:rPr>
        <w:t xml:space="preserve">. </w:t>
      </w:r>
      <w:r w:rsidR="00ED713C" w:rsidRPr="00ED713C">
        <w:rPr>
          <w:rFonts w:asciiTheme="majorHAnsi" w:hAnsiTheme="majorHAnsi"/>
          <w:noProof/>
        </w:rPr>
        <w:t xml:space="preserve">The </w:t>
      </w:r>
      <w:r w:rsidR="00FB2C90" w:rsidRPr="457755A8">
        <w:rPr>
          <w:rFonts w:asciiTheme="majorHAnsi" w:hAnsiTheme="majorHAnsi"/>
          <w:noProof/>
        </w:rPr>
        <w:t xml:space="preserve">reinforcement for </w:t>
      </w:r>
      <w:r w:rsidR="00757BC7">
        <w:rPr>
          <w:rFonts w:asciiTheme="majorHAnsi" w:hAnsiTheme="majorHAnsi"/>
          <w:noProof/>
        </w:rPr>
        <w:t>c</w:t>
      </w:r>
      <w:r w:rsidR="00FB2C90" w:rsidRPr="457755A8">
        <w:rPr>
          <w:rFonts w:asciiTheme="majorHAnsi" w:hAnsiTheme="majorHAnsi"/>
          <w:noProof/>
        </w:rPr>
        <w:t xml:space="preserve">ohesion policy </w:t>
      </w:r>
      <w:r w:rsidR="006E7898">
        <w:rPr>
          <w:rFonts w:asciiTheme="majorHAnsi" w:hAnsiTheme="majorHAnsi"/>
          <w:noProof/>
        </w:rPr>
        <w:t>in</w:t>
      </w:r>
      <w:r w:rsidR="00F41C29">
        <w:rPr>
          <w:rFonts w:asciiTheme="majorHAnsi" w:hAnsiTheme="majorHAnsi"/>
          <w:noProof/>
        </w:rPr>
        <w:t xml:space="preserve"> </w:t>
      </w:r>
      <w:r w:rsidR="00FB2C90" w:rsidRPr="457755A8">
        <w:rPr>
          <w:rFonts w:asciiTheme="majorHAnsi" w:hAnsiTheme="majorHAnsi"/>
          <w:noProof/>
        </w:rPr>
        <w:t>2026</w:t>
      </w:r>
      <w:r w:rsidR="00331806">
        <w:rPr>
          <w:rStyle w:val="EndnoteReference"/>
          <w:noProof/>
        </w:rPr>
        <w:endnoteReference w:id="15"/>
      </w:r>
      <w:r w:rsidR="00A548A6">
        <w:rPr>
          <w:rFonts w:asciiTheme="majorHAnsi" w:hAnsiTheme="majorHAnsi"/>
          <w:noProof/>
        </w:rPr>
        <w:t xml:space="preserve"> (</w:t>
      </w:r>
      <w:r w:rsidR="007B7045" w:rsidRPr="007B7045">
        <w:rPr>
          <w:rFonts w:asciiTheme="majorHAnsi" w:hAnsiTheme="majorHAnsi"/>
          <w:noProof/>
        </w:rPr>
        <w:t>EUR 3</w:t>
      </w:r>
      <w:r w:rsidR="007B7045">
        <w:rPr>
          <w:rFonts w:asciiTheme="majorHAnsi" w:hAnsiTheme="majorHAnsi"/>
          <w:noProof/>
        </w:rPr>
        <w:t>.</w:t>
      </w:r>
      <w:r w:rsidR="007B7045" w:rsidRPr="007B7045">
        <w:rPr>
          <w:rFonts w:asciiTheme="majorHAnsi" w:hAnsiTheme="majorHAnsi"/>
          <w:noProof/>
        </w:rPr>
        <w:t>4 billion for the European Regional Development Fund, EUR 0</w:t>
      </w:r>
      <w:r w:rsidR="007B7045">
        <w:rPr>
          <w:rFonts w:asciiTheme="majorHAnsi" w:hAnsiTheme="majorHAnsi"/>
          <w:noProof/>
        </w:rPr>
        <w:t>.</w:t>
      </w:r>
      <w:r w:rsidR="007B7045" w:rsidRPr="007B7045">
        <w:rPr>
          <w:rFonts w:asciiTheme="majorHAnsi" w:hAnsiTheme="majorHAnsi"/>
          <w:noProof/>
        </w:rPr>
        <w:t>6 billion for the Cohesion Fund, EUR 1</w:t>
      </w:r>
      <w:r w:rsidR="005942EE">
        <w:rPr>
          <w:rFonts w:asciiTheme="majorHAnsi" w:hAnsiTheme="majorHAnsi"/>
          <w:noProof/>
        </w:rPr>
        <w:t>.</w:t>
      </w:r>
      <w:r w:rsidR="007B7045" w:rsidRPr="007B7045">
        <w:rPr>
          <w:rFonts w:asciiTheme="majorHAnsi" w:hAnsiTheme="majorHAnsi"/>
          <w:noProof/>
        </w:rPr>
        <w:t>4 billion for the European Social Fund Plus</w:t>
      </w:r>
      <w:r w:rsidR="007B7045">
        <w:rPr>
          <w:rFonts w:asciiTheme="majorHAnsi" w:hAnsiTheme="majorHAnsi"/>
          <w:noProof/>
        </w:rPr>
        <w:t>)</w:t>
      </w:r>
      <w:r w:rsidR="00E85DB2">
        <w:rPr>
          <w:rFonts w:asciiTheme="majorHAnsi" w:hAnsiTheme="majorHAnsi"/>
          <w:noProof/>
        </w:rPr>
        <w:t xml:space="preserve"> </w:t>
      </w:r>
      <w:r w:rsidR="002A35D9">
        <w:rPr>
          <w:rFonts w:asciiTheme="majorHAnsi" w:hAnsiTheme="majorHAnsi"/>
          <w:noProof/>
        </w:rPr>
        <w:t>requir</w:t>
      </w:r>
      <w:r w:rsidR="00D64DDC">
        <w:rPr>
          <w:rFonts w:asciiTheme="majorHAnsi" w:hAnsiTheme="majorHAnsi"/>
          <w:noProof/>
        </w:rPr>
        <w:t>e</w:t>
      </w:r>
      <w:r w:rsidR="00E85DB2">
        <w:rPr>
          <w:rFonts w:asciiTheme="majorHAnsi" w:hAnsiTheme="majorHAnsi"/>
          <w:noProof/>
        </w:rPr>
        <w:t>s</w:t>
      </w:r>
      <w:r w:rsidR="002A35D9">
        <w:rPr>
          <w:rFonts w:asciiTheme="majorHAnsi" w:hAnsiTheme="majorHAnsi"/>
          <w:noProof/>
        </w:rPr>
        <w:t xml:space="preserve"> additional funding to cover the </w:t>
      </w:r>
      <w:r w:rsidR="00486B32">
        <w:rPr>
          <w:rFonts w:asciiTheme="majorHAnsi" w:hAnsiTheme="majorHAnsi"/>
          <w:noProof/>
        </w:rPr>
        <w:t>higher</w:t>
      </w:r>
      <w:r w:rsidR="002A35D9">
        <w:rPr>
          <w:rFonts w:asciiTheme="majorHAnsi" w:hAnsiTheme="majorHAnsi"/>
          <w:noProof/>
        </w:rPr>
        <w:t xml:space="preserve"> payment claims.</w:t>
      </w:r>
    </w:p>
    <w:p w14:paraId="414274AC" w14:textId="7588BC18" w:rsidR="00ED713C" w:rsidRPr="004D465B" w:rsidRDefault="002C6BBE" w:rsidP="00ED713C">
      <w:pPr>
        <w:spacing w:after="120" w:line="276" w:lineRule="auto"/>
        <w:jc w:val="both"/>
        <w:rPr>
          <w:rFonts w:asciiTheme="majorHAnsi" w:hAnsiTheme="majorHAnsi"/>
          <w:noProof/>
          <w:spacing w:val="-4"/>
        </w:rPr>
      </w:pPr>
      <w:r>
        <w:rPr>
          <w:rFonts w:asciiTheme="majorHAnsi" w:hAnsiTheme="majorHAnsi"/>
          <w:noProof/>
        </w:rPr>
        <w:t xml:space="preserve">This acceleration is the result of </w:t>
      </w:r>
      <w:r w:rsidR="00B97884">
        <w:rPr>
          <w:rFonts w:asciiTheme="majorHAnsi" w:hAnsiTheme="majorHAnsi"/>
          <w:noProof/>
        </w:rPr>
        <w:t>Member States submitt</w:t>
      </w:r>
      <w:r>
        <w:rPr>
          <w:rFonts w:asciiTheme="majorHAnsi" w:hAnsiTheme="majorHAnsi"/>
          <w:noProof/>
        </w:rPr>
        <w:t>ing in 2025</w:t>
      </w:r>
      <w:r w:rsidR="00B97884">
        <w:rPr>
          <w:rFonts w:asciiTheme="majorHAnsi" w:hAnsiTheme="majorHAnsi"/>
          <w:noProof/>
        </w:rPr>
        <w:t xml:space="preserve"> payment applications well </w:t>
      </w:r>
      <w:r w:rsidR="00F119EB">
        <w:rPr>
          <w:rFonts w:asciiTheme="majorHAnsi" w:hAnsiTheme="majorHAnsi"/>
          <w:noProof/>
        </w:rPr>
        <w:t xml:space="preserve">beyond </w:t>
      </w:r>
      <w:r w:rsidR="00B97884">
        <w:rPr>
          <w:rFonts w:asciiTheme="majorHAnsi" w:hAnsiTheme="majorHAnsi"/>
          <w:noProof/>
        </w:rPr>
        <w:t xml:space="preserve">the n+3 decommitment </w:t>
      </w:r>
      <w:r w:rsidR="00C55DF2">
        <w:rPr>
          <w:rFonts w:asciiTheme="majorHAnsi" w:hAnsiTheme="majorHAnsi"/>
          <w:noProof/>
        </w:rPr>
        <w:t>rule</w:t>
      </w:r>
      <w:r w:rsidR="00B97884">
        <w:rPr>
          <w:rFonts w:asciiTheme="majorHAnsi" w:hAnsiTheme="majorHAnsi"/>
          <w:noProof/>
        </w:rPr>
        <w:t xml:space="preserve">, </w:t>
      </w:r>
      <w:r w:rsidR="00C92562">
        <w:rPr>
          <w:rFonts w:asciiTheme="majorHAnsi" w:hAnsiTheme="majorHAnsi"/>
          <w:noProof/>
        </w:rPr>
        <w:t xml:space="preserve">driven by the flexibilities and financial incentives provided to Member States as part of the mid-term review of cohesion policy and the Strategic Technologies for Europe Platform (STEP) Regulation. This has </w:t>
      </w:r>
      <w:r w:rsidR="00B97884">
        <w:rPr>
          <w:rFonts w:asciiTheme="majorHAnsi" w:hAnsiTheme="majorHAnsi"/>
          <w:noProof/>
        </w:rPr>
        <w:t>increas</w:t>
      </w:r>
      <w:r w:rsidR="00C92562">
        <w:rPr>
          <w:rFonts w:asciiTheme="majorHAnsi" w:hAnsiTheme="majorHAnsi"/>
          <w:noProof/>
        </w:rPr>
        <w:t>ed</w:t>
      </w:r>
      <w:r w:rsidR="00B97884">
        <w:rPr>
          <w:rFonts w:asciiTheme="majorHAnsi" w:hAnsiTheme="majorHAnsi"/>
          <w:noProof/>
        </w:rPr>
        <w:t xml:space="preserve"> the pressure on the 2026 budget</w:t>
      </w:r>
      <w:r w:rsidR="00C54D7F">
        <w:rPr>
          <w:rFonts w:asciiTheme="majorHAnsi" w:hAnsiTheme="majorHAnsi"/>
          <w:noProof/>
        </w:rPr>
        <w:t xml:space="preserve"> (as reflected in the proposal for a </w:t>
      </w:r>
      <w:r w:rsidR="00C92562">
        <w:rPr>
          <w:rFonts w:asciiTheme="majorHAnsi" w:hAnsiTheme="majorHAnsi"/>
          <w:noProof/>
        </w:rPr>
        <w:t>draft amending budget 2/2026)</w:t>
      </w:r>
      <w:r w:rsidR="00B97884">
        <w:rPr>
          <w:rFonts w:asciiTheme="majorHAnsi" w:hAnsiTheme="majorHAnsi"/>
          <w:noProof/>
        </w:rPr>
        <w:t xml:space="preserve">. </w:t>
      </w:r>
      <w:r w:rsidR="00FC28AE">
        <w:rPr>
          <w:rFonts w:asciiTheme="majorHAnsi" w:hAnsiTheme="majorHAnsi"/>
          <w:noProof/>
        </w:rPr>
        <w:t>Thi</w:t>
      </w:r>
      <w:r w:rsidR="00486928">
        <w:rPr>
          <w:rFonts w:asciiTheme="majorHAnsi" w:hAnsiTheme="majorHAnsi"/>
          <w:noProof/>
        </w:rPr>
        <w:t>s acceleration is forecast to continue in 2027 and 2028</w:t>
      </w:r>
      <w:r w:rsidR="00D73274">
        <w:rPr>
          <w:rFonts w:asciiTheme="majorHAnsi" w:hAnsiTheme="majorHAnsi"/>
          <w:noProof/>
        </w:rPr>
        <w:t xml:space="preserve">. </w:t>
      </w:r>
      <w:r w:rsidR="00E0566D">
        <w:rPr>
          <w:rFonts w:asciiTheme="majorHAnsi" w:hAnsiTheme="majorHAnsi"/>
          <w:noProof/>
        </w:rPr>
        <w:t xml:space="preserve"> </w:t>
      </w:r>
      <w:r w:rsidR="004A0A1F">
        <w:rPr>
          <w:rFonts w:asciiTheme="majorHAnsi" w:hAnsiTheme="majorHAnsi"/>
          <w:noProof/>
        </w:rPr>
        <w:t xml:space="preserve">The 2027 and 2028 forecast </w:t>
      </w:r>
      <w:r w:rsidR="00B97884" w:rsidRPr="004D465B">
        <w:rPr>
          <w:rFonts w:asciiTheme="majorHAnsi" w:hAnsiTheme="majorHAnsi"/>
          <w:noProof/>
          <w:spacing w:val="-4"/>
        </w:rPr>
        <w:t>assume</w:t>
      </w:r>
      <w:r w:rsidR="004A0A1F">
        <w:rPr>
          <w:rFonts w:asciiTheme="majorHAnsi" w:hAnsiTheme="majorHAnsi"/>
          <w:noProof/>
          <w:spacing w:val="-4"/>
        </w:rPr>
        <w:t>s</w:t>
      </w:r>
      <w:r w:rsidR="00B97884" w:rsidRPr="004D465B">
        <w:rPr>
          <w:rFonts w:asciiTheme="majorHAnsi" w:hAnsiTheme="majorHAnsi"/>
          <w:noProof/>
          <w:spacing w:val="-4"/>
        </w:rPr>
        <w:t xml:space="preserve"> that the submission of payment claims wo</w:t>
      </w:r>
      <w:r w:rsidR="00B97884" w:rsidRPr="3102DA65">
        <w:rPr>
          <w:rFonts w:asciiTheme="majorHAnsi" w:hAnsiTheme="majorHAnsi"/>
          <w:noProof/>
        </w:rPr>
        <w:t>uld</w:t>
      </w:r>
      <w:r w:rsidR="00B97884" w:rsidRPr="004D465B">
        <w:rPr>
          <w:rFonts w:asciiTheme="majorHAnsi" w:hAnsiTheme="majorHAnsi"/>
          <w:noProof/>
          <w:spacing w:val="-4"/>
        </w:rPr>
        <w:t xml:space="preserve"> align with the historical profile in the</w:t>
      </w:r>
      <w:r w:rsidR="00B97884" w:rsidRPr="3102DA65">
        <w:rPr>
          <w:rFonts w:asciiTheme="majorHAnsi" w:hAnsiTheme="majorHAnsi"/>
          <w:noProof/>
        </w:rPr>
        <w:t xml:space="preserve"> coming</w:t>
      </w:r>
      <w:r w:rsidR="00B97884" w:rsidRPr="004D465B">
        <w:rPr>
          <w:rFonts w:asciiTheme="majorHAnsi" w:hAnsiTheme="majorHAnsi"/>
          <w:noProof/>
          <w:spacing w:val="-4"/>
        </w:rPr>
        <w:t xml:space="preserve"> years</w:t>
      </w:r>
      <w:r w:rsidR="00960306">
        <w:rPr>
          <w:rFonts w:asciiTheme="majorHAnsi" w:hAnsiTheme="majorHAnsi"/>
          <w:noProof/>
          <w:spacing w:val="-4"/>
        </w:rPr>
        <w:t xml:space="preserve">, leading to </w:t>
      </w:r>
      <w:r w:rsidR="00B97884" w:rsidRPr="0051544A">
        <w:rPr>
          <w:rFonts w:asciiTheme="majorHAnsi" w:hAnsiTheme="majorHAnsi"/>
          <w:noProof/>
        </w:rPr>
        <w:t>disburse</w:t>
      </w:r>
      <w:r w:rsidR="00960306">
        <w:rPr>
          <w:rFonts w:asciiTheme="majorHAnsi" w:hAnsiTheme="majorHAnsi"/>
          <w:noProof/>
        </w:rPr>
        <w:t>ment of</w:t>
      </w:r>
      <w:r w:rsidR="00B97884" w:rsidRPr="0051544A">
        <w:rPr>
          <w:rFonts w:asciiTheme="majorHAnsi" w:hAnsiTheme="majorHAnsi"/>
          <w:noProof/>
        </w:rPr>
        <w:t xml:space="preserve"> </w:t>
      </w:r>
      <w:r w:rsidR="00B97884">
        <w:rPr>
          <w:rFonts w:asciiTheme="majorHAnsi" w:hAnsiTheme="majorHAnsi"/>
          <w:noProof/>
        </w:rPr>
        <w:t>about</w:t>
      </w:r>
      <w:r w:rsidR="00B97884" w:rsidRPr="0051544A">
        <w:rPr>
          <w:rFonts w:asciiTheme="majorHAnsi" w:hAnsiTheme="majorHAnsi"/>
          <w:noProof/>
        </w:rPr>
        <w:t xml:space="preserve"> 1</w:t>
      </w:r>
      <w:r w:rsidR="00B97884">
        <w:rPr>
          <w:rFonts w:asciiTheme="majorHAnsi" w:hAnsiTheme="majorHAnsi"/>
          <w:noProof/>
        </w:rPr>
        <w:t>8</w:t>
      </w:r>
      <w:r w:rsidR="00B97884" w:rsidRPr="0051544A">
        <w:rPr>
          <w:rFonts w:asciiTheme="majorHAnsi" w:hAnsiTheme="majorHAnsi"/>
          <w:noProof/>
        </w:rPr>
        <w:t xml:space="preserve">% of the </w:t>
      </w:r>
      <w:r w:rsidR="00D01A1C">
        <w:rPr>
          <w:rFonts w:asciiTheme="majorHAnsi" w:hAnsiTheme="majorHAnsi"/>
          <w:noProof/>
        </w:rPr>
        <w:t xml:space="preserve">funds’ </w:t>
      </w:r>
      <w:r w:rsidR="00B97884" w:rsidRPr="0051544A">
        <w:rPr>
          <w:rFonts w:asciiTheme="majorHAnsi" w:hAnsiTheme="majorHAnsi"/>
          <w:noProof/>
        </w:rPr>
        <w:t>allocation</w:t>
      </w:r>
      <w:r w:rsidR="00D01A1C">
        <w:rPr>
          <w:rFonts w:asciiTheme="majorHAnsi" w:hAnsiTheme="majorHAnsi"/>
          <w:noProof/>
        </w:rPr>
        <w:t>s in 2027,</w:t>
      </w:r>
      <w:r w:rsidR="000B0E7B">
        <w:rPr>
          <w:rFonts w:asciiTheme="majorHAnsi" w:hAnsiTheme="majorHAnsi"/>
          <w:noProof/>
        </w:rPr>
        <w:t xml:space="preserve"> and </w:t>
      </w:r>
      <w:r w:rsidR="00F119EB">
        <w:rPr>
          <w:rFonts w:asciiTheme="majorHAnsi" w:hAnsiTheme="majorHAnsi"/>
          <w:noProof/>
        </w:rPr>
        <w:t>to</w:t>
      </w:r>
      <w:r w:rsidR="00D01A1C">
        <w:rPr>
          <w:rFonts w:asciiTheme="majorHAnsi" w:hAnsiTheme="majorHAnsi"/>
          <w:noProof/>
        </w:rPr>
        <w:t xml:space="preserve"> </w:t>
      </w:r>
      <w:r w:rsidR="00B97884" w:rsidRPr="0051544A">
        <w:rPr>
          <w:rFonts w:asciiTheme="majorHAnsi" w:hAnsiTheme="majorHAnsi"/>
          <w:noProof/>
        </w:rPr>
        <w:t xml:space="preserve">around 50% </w:t>
      </w:r>
      <w:r w:rsidR="00B97884">
        <w:rPr>
          <w:rFonts w:asciiTheme="majorHAnsi" w:hAnsiTheme="majorHAnsi"/>
          <w:noProof/>
        </w:rPr>
        <w:t xml:space="preserve">of the </w:t>
      </w:r>
      <w:r w:rsidR="00C84B21">
        <w:rPr>
          <w:rFonts w:asciiTheme="majorHAnsi" w:hAnsiTheme="majorHAnsi"/>
          <w:noProof/>
        </w:rPr>
        <w:t xml:space="preserve">total </w:t>
      </w:r>
      <w:r w:rsidR="00B97884">
        <w:rPr>
          <w:rFonts w:asciiTheme="majorHAnsi" w:hAnsiTheme="majorHAnsi"/>
          <w:noProof/>
        </w:rPr>
        <w:t>allocation</w:t>
      </w:r>
      <w:r w:rsidR="00C84B21">
        <w:rPr>
          <w:rFonts w:asciiTheme="majorHAnsi" w:hAnsiTheme="majorHAnsi"/>
          <w:noProof/>
        </w:rPr>
        <w:t>s</w:t>
      </w:r>
      <w:r w:rsidR="00B97884" w:rsidRPr="0051544A">
        <w:rPr>
          <w:rFonts w:asciiTheme="majorHAnsi" w:hAnsiTheme="majorHAnsi"/>
          <w:noProof/>
        </w:rPr>
        <w:t xml:space="preserve"> to be paid out</w:t>
      </w:r>
      <w:r w:rsidR="00D01A1C">
        <w:rPr>
          <w:rFonts w:asciiTheme="majorHAnsi" w:hAnsiTheme="majorHAnsi"/>
          <w:noProof/>
        </w:rPr>
        <w:t xml:space="preserve"> </w:t>
      </w:r>
      <w:r w:rsidR="00B774A5">
        <w:rPr>
          <w:rFonts w:asciiTheme="majorHAnsi" w:hAnsiTheme="majorHAnsi"/>
          <w:noProof/>
        </w:rPr>
        <w:t>from 2028 onwards</w:t>
      </w:r>
      <w:r w:rsidR="00D01A1C">
        <w:rPr>
          <w:rFonts w:asciiTheme="majorHAnsi" w:hAnsiTheme="majorHAnsi"/>
          <w:noProof/>
        </w:rPr>
        <w:t>.</w:t>
      </w:r>
    </w:p>
    <w:p w14:paraId="5B5D7E13" w14:textId="3909E79F" w:rsidR="00861C1C" w:rsidRPr="00F423B9" w:rsidRDefault="2A67BF04">
      <w:pPr>
        <w:pStyle w:val="amprH4Subhead1"/>
        <w:rPr>
          <w:rFonts w:asciiTheme="majorHAnsi" w:hAnsiTheme="majorHAnsi"/>
          <w:noProof/>
        </w:rPr>
      </w:pPr>
      <w:r w:rsidRPr="00F423B9">
        <w:rPr>
          <w:rFonts w:asciiTheme="majorHAnsi" w:hAnsiTheme="majorHAnsi"/>
          <w:noProof/>
        </w:rPr>
        <w:t>Heading 3 - Common Agricultural Policy (CAP)</w:t>
      </w:r>
      <w:r w:rsidR="63BA40B4" w:rsidRPr="00F423B9">
        <w:rPr>
          <w:rFonts w:asciiTheme="majorHAnsi" w:hAnsiTheme="majorHAnsi"/>
          <w:noProof/>
        </w:rPr>
        <w:t xml:space="preserve"> and Just </w:t>
      </w:r>
      <w:r w:rsidR="00681876" w:rsidRPr="00F423B9">
        <w:rPr>
          <w:rFonts w:asciiTheme="majorHAnsi" w:hAnsiTheme="majorHAnsi"/>
          <w:noProof/>
        </w:rPr>
        <w:t>Transition</w:t>
      </w:r>
      <w:r w:rsidR="63BA40B4" w:rsidRPr="00F423B9">
        <w:rPr>
          <w:rFonts w:asciiTheme="majorHAnsi" w:hAnsiTheme="majorHAnsi"/>
          <w:noProof/>
        </w:rPr>
        <w:t xml:space="preserve"> Fund </w:t>
      </w:r>
    </w:p>
    <w:p w14:paraId="2CBA95BD" w14:textId="61B2DE33" w:rsidR="00861C1C" w:rsidRPr="00F423B9" w:rsidRDefault="2A67BF04">
      <w:pPr>
        <w:spacing w:after="120" w:line="276" w:lineRule="auto"/>
        <w:jc w:val="both"/>
        <w:rPr>
          <w:rFonts w:asciiTheme="majorHAnsi" w:hAnsiTheme="majorHAnsi"/>
          <w:noProof/>
        </w:rPr>
      </w:pPr>
      <w:r w:rsidRPr="00F423B9">
        <w:rPr>
          <w:rFonts w:asciiTheme="majorHAnsi" w:hAnsiTheme="majorHAnsi"/>
          <w:noProof/>
        </w:rPr>
        <w:t>The payments forecast for Pillar I of the CAP, market</w:t>
      </w:r>
      <w:r w:rsidR="008D218D" w:rsidRPr="00F423B9">
        <w:rPr>
          <w:rFonts w:asciiTheme="majorHAnsi" w:hAnsiTheme="majorHAnsi"/>
          <w:noProof/>
        </w:rPr>
        <w:t>-</w:t>
      </w:r>
      <w:r w:rsidRPr="00F423B9">
        <w:rPr>
          <w:rFonts w:asciiTheme="majorHAnsi" w:hAnsiTheme="majorHAnsi"/>
          <w:noProof/>
        </w:rPr>
        <w:t>related expenditure and direct payments, amounts to EUR</w:t>
      </w:r>
      <w:r w:rsidR="0033612E">
        <w:rPr>
          <w:rFonts w:ascii="Calibri" w:hAnsi="Calibri" w:cs="Calibri"/>
          <w:noProof/>
        </w:rPr>
        <w:t> </w:t>
      </w:r>
      <w:r w:rsidR="000A0266">
        <w:rPr>
          <w:rFonts w:asciiTheme="majorHAnsi" w:hAnsiTheme="majorHAnsi"/>
          <w:noProof/>
        </w:rPr>
        <w:t>40.</w:t>
      </w:r>
      <w:r w:rsidR="004344AD">
        <w:rPr>
          <w:rFonts w:asciiTheme="majorHAnsi" w:hAnsiTheme="majorHAnsi"/>
          <w:noProof/>
        </w:rPr>
        <w:t>6</w:t>
      </w:r>
      <w:r w:rsidR="0033612E">
        <w:rPr>
          <w:rFonts w:ascii="Calibri" w:hAnsi="Calibri" w:cs="Calibri"/>
          <w:noProof/>
        </w:rPr>
        <w:t> </w:t>
      </w:r>
      <w:r w:rsidRPr="00F423B9">
        <w:rPr>
          <w:rFonts w:asciiTheme="majorHAnsi" w:hAnsiTheme="majorHAnsi"/>
          <w:noProof/>
        </w:rPr>
        <w:t xml:space="preserve">billion </w:t>
      </w:r>
      <w:r w:rsidR="0033612E">
        <w:rPr>
          <w:rFonts w:asciiTheme="majorHAnsi" w:hAnsiTheme="majorHAnsi"/>
          <w:noProof/>
        </w:rPr>
        <w:t xml:space="preserve">in </w:t>
      </w:r>
      <w:r w:rsidRPr="00F423B9">
        <w:rPr>
          <w:rFonts w:asciiTheme="majorHAnsi" w:hAnsiTheme="majorHAnsi"/>
          <w:noProof/>
        </w:rPr>
        <w:t>2027</w:t>
      </w:r>
      <w:r w:rsidR="008D218D" w:rsidRPr="00F423B9">
        <w:rPr>
          <w:rFonts w:asciiTheme="majorHAnsi" w:hAnsiTheme="majorHAnsi"/>
          <w:noProof/>
        </w:rPr>
        <w:t>,</w:t>
      </w:r>
      <w:r w:rsidRPr="00F423B9">
        <w:rPr>
          <w:rFonts w:asciiTheme="majorHAnsi" w:hAnsiTheme="majorHAnsi"/>
          <w:noProof/>
        </w:rPr>
        <w:t xml:space="preserve"> reflecting the most </w:t>
      </w:r>
      <w:r w:rsidR="00025E40">
        <w:rPr>
          <w:rFonts w:asciiTheme="majorHAnsi" w:hAnsiTheme="majorHAnsi"/>
          <w:noProof/>
        </w:rPr>
        <w:t xml:space="preserve">recent </w:t>
      </w:r>
      <w:r w:rsidR="0033612E">
        <w:rPr>
          <w:rFonts w:asciiTheme="majorHAnsi" w:hAnsiTheme="majorHAnsi"/>
          <w:noProof/>
        </w:rPr>
        <w:t>draft budget</w:t>
      </w:r>
      <w:r w:rsidRPr="00F423B9">
        <w:rPr>
          <w:rFonts w:asciiTheme="majorHAnsi" w:hAnsiTheme="majorHAnsi"/>
          <w:noProof/>
        </w:rPr>
        <w:t>.</w:t>
      </w:r>
    </w:p>
    <w:p w14:paraId="0D0F50A6" w14:textId="32577DE5" w:rsidR="00861C1C" w:rsidRDefault="00122108" w:rsidP="00614792">
      <w:pPr>
        <w:spacing w:after="120" w:line="276" w:lineRule="auto"/>
        <w:jc w:val="both"/>
        <w:rPr>
          <w:rFonts w:asciiTheme="majorHAnsi" w:hAnsiTheme="majorHAnsi"/>
          <w:noProof/>
        </w:rPr>
      </w:pPr>
      <w:r>
        <w:rPr>
          <w:rFonts w:asciiTheme="majorHAnsi" w:hAnsiTheme="majorHAnsi"/>
          <w:noProof/>
        </w:rPr>
        <w:t xml:space="preserve">The </w:t>
      </w:r>
      <w:r w:rsidR="2A67BF04" w:rsidRPr="00F423B9">
        <w:rPr>
          <w:rFonts w:asciiTheme="majorHAnsi" w:hAnsiTheme="majorHAnsi"/>
          <w:noProof/>
        </w:rPr>
        <w:t>implementation of</w:t>
      </w:r>
      <w:r w:rsidR="001151CE" w:rsidRPr="00F423B9">
        <w:rPr>
          <w:rFonts w:asciiTheme="majorHAnsi" w:hAnsiTheme="majorHAnsi"/>
          <w:noProof/>
        </w:rPr>
        <w:t xml:space="preserve"> </w:t>
      </w:r>
      <w:r w:rsidR="007715BF" w:rsidRPr="00F423B9">
        <w:rPr>
          <w:rFonts w:asciiTheme="majorHAnsi" w:hAnsiTheme="majorHAnsi"/>
          <w:noProof/>
        </w:rPr>
        <w:t>Pillar II</w:t>
      </w:r>
      <w:r>
        <w:rPr>
          <w:rFonts w:asciiTheme="majorHAnsi" w:hAnsiTheme="majorHAnsi"/>
          <w:noProof/>
        </w:rPr>
        <w:t xml:space="preserve"> under the CAP strat</w:t>
      </w:r>
      <w:r w:rsidR="009155D1">
        <w:rPr>
          <w:rFonts w:asciiTheme="majorHAnsi" w:hAnsiTheme="majorHAnsi"/>
          <w:noProof/>
        </w:rPr>
        <w:t>egic plans</w:t>
      </w:r>
      <w:r w:rsidR="007715BF" w:rsidRPr="00F423B9">
        <w:rPr>
          <w:rFonts w:asciiTheme="majorHAnsi" w:hAnsiTheme="majorHAnsi"/>
          <w:noProof/>
        </w:rPr>
        <w:t xml:space="preserve"> </w:t>
      </w:r>
      <w:r w:rsidR="00454E3A" w:rsidRPr="00F423B9">
        <w:rPr>
          <w:rFonts w:asciiTheme="majorHAnsi" w:hAnsiTheme="majorHAnsi"/>
          <w:noProof/>
        </w:rPr>
        <w:t xml:space="preserve">– </w:t>
      </w:r>
      <w:r w:rsidR="2A67BF04" w:rsidRPr="00F423B9">
        <w:rPr>
          <w:rFonts w:asciiTheme="majorHAnsi" w:hAnsiTheme="majorHAnsi"/>
          <w:noProof/>
        </w:rPr>
        <w:t xml:space="preserve">the European Agricultural Fund for Rural Development (EAFRD) </w:t>
      </w:r>
      <w:r w:rsidR="00454E3A" w:rsidRPr="00F423B9">
        <w:rPr>
          <w:rFonts w:asciiTheme="majorHAnsi" w:hAnsiTheme="majorHAnsi"/>
          <w:noProof/>
        </w:rPr>
        <w:t>–</w:t>
      </w:r>
      <w:r w:rsidR="0033612E">
        <w:rPr>
          <w:rFonts w:asciiTheme="majorHAnsi" w:hAnsiTheme="majorHAnsi"/>
          <w:noProof/>
        </w:rPr>
        <w:t xml:space="preserve"> </w:t>
      </w:r>
      <w:r w:rsidR="009E5748">
        <w:rPr>
          <w:rFonts w:asciiTheme="majorHAnsi" w:hAnsiTheme="majorHAnsi"/>
          <w:noProof/>
        </w:rPr>
        <w:t>began</w:t>
      </w:r>
      <w:r w:rsidR="009155D1">
        <w:rPr>
          <w:rFonts w:asciiTheme="majorHAnsi" w:hAnsiTheme="majorHAnsi"/>
          <w:noProof/>
        </w:rPr>
        <w:t xml:space="preserve"> in 2023</w:t>
      </w:r>
      <w:r w:rsidR="2A67BF04" w:rsidRPr="00F423B9">
        <w:rPr>
          <w:rFonts w:asciiTheme="majorHAnsi" w:hAnsiTheme="majorHAnsi"/>
          <w:noProof/>
        </w:rPr>
        <w:t xml:space="preserve">. The transitional provisions extending the 2014-2020 programmes </w:t>
      </w:r>
      <w:r w:rsidR="002B7329">
        <w:rPr>
          <w:rFonts w:asciiTheme="majorHAnsi" w:hAnsiTheme="majorHAnsi"/>
          <w:noProof/>
        </w:rPr>
        <w:t>until</w:t>
      </w:r>
      <w:r w:rsidR="00285268" w:rsidRPr="00F423B9">
        <w:rPr>
          <w:rFonts w:asciiTheme="majorHAnsi" w:hAnsiTheme="majorHAnsi"/>
          <w:noProof/>
        </w:rPr>
        <w:t xml:space="preserve"> 2022</w:t>
      </w:r>
      <w:r w:rsidR="002B7329">
        <w:rPr>
          <w:rFonts w:asciiTheme="majorHAnsi" w:hAnsiTheme="majorHAnsi"/>
          <w:noProof/>
        </w:rPr>
        <w:t xml:space="preserve"> enabling</w:t>
      </w:r>
      <w:r w:rsidR="2A67BF04" w:rsidRPr="00F423B9">
        <w:rPr>
          <w:rFonts w:asciiTheme="majorHAnsi" w:hAnsiTheme="majorHAnsi"/>
          <w:noProof/>
        </w:rPr>
        <w:t xml:space="preserve"> the</w:t>
      </w:r>
      <w:r w:rsidR="009E5748">
        <w:rPr>
          <w:rFonts w:asciiTheme="majorHAnsi" w:hAnsiTheme="majorHAnsi"/>
          <w:noProof/>
        </w:rPr>
        <w:t>ir</w:t>
      </w:r>
      <w:r w:rsidR="2A67BF04" w:rsidRPr="00F423B9">
        <w:rPr>
          <w:rFonts w:asciiTheme="majorHAnsi" w:hAnsiTheme="majorHAnsi"/>
          <w:noProof/>
        </w:rPr>
        <w:t xml:space="preserve"> continu</w:t>
      </w:r>
      <w:r w:rsidR="00CB6AD4">
        <w:rPr>
          <w:rFonts w:asciiTheme="majorHAnsi" w:hAnsiTheme="majorHAnsi"/>
          <w:noProof/>
        </w:rPr>
        <w:t>ed</w:t>
      </w:r>
      <w:r w:rsidR="2A67BF04" w:rsidRPr="00F423B9">
        <w:rPr>
          <w:rFonts w:asciiTheme="majorHAnsi" w:hAnsiTheme="majorHAnsi"/>
          <w:noProof/>
        </w:rPr>
        <w:t xml:space="preserve"> implementation </w:t>
      </w:r>
      <w:r w:rsidR="009E78E4" w:rsidRPr="00F423B9">
        <w:rPr>
          <w:rFonts w:asciiTheme="majorHAnsi" w:hAnsiTheme="majorHAnsi"/>
          <w:noProof/>
        </w:rPr>
        <w:t>under the n+3 rule</w:t>
      </w:r>
      <w:r w:rsidR="00614792" w:rsidRPr="00614792">
        <w:rPr>
          <w:rFonts w:asciiTheme="majorHAnsi" w:hAnsiTheme="majorHAnsi"/>
          <w:noProof/>
        </w:rPr>
        <w:t xml:space="preserve"> provid</w:t>
      </w:r>
      <w:r w:rsidR="00300093">
        <w:rPr>
          <w:rFonts w:asciiTheme="majorHAnsi" w:hAnsiTheme="majorHAnsi"/>
          <w:noProof/>
        </w:rPr>
        <w:t>ed</w:t>
      </w:r>
      <w:r w:rsidR="00614792" w:rsidRPr="00614792">
        <w:rPr>
          <w:rFonts w:asciiTheme="majorHAnsi" w:hAnsiTheme="majorHAnsi"/>
          <w:noProof/>
        </w:rPr>
        <w:t xml:space="preserve"> one more year to complete</w:t>
      </w:r>
      <w:r w:rsidR="00614792">
        <w:rPr>
          <w:rFonts w:asciiTheme="majorHAnsi" w:hAnsiTheme="majorHAnsi"/>
          <w:noProof/>
        </w:rPr>
        <w:t xml:space="preserve"> </w:t>
      </w:r>
      <w:r w:rsidR="00614792" w:rsidRPr="00614792">
        <w:rPr>
          <w:rFonts w:asciiTheme="majorHAnsi" w:hAnsiTheme="majorHAnsi"/>
          <w:noProof/>
        </w:rPr>
        <w:t>payments compared to the rules for the 2023-2027 CAP strategic plans</w:t>
      </w:r>
      <w:r w:rsidR="00C16250">
        <w:rPr>
          <w:rFonts w:asciiTheme="majorHAnsi" w:hAnsiTheme="majorHAnsi"/>
          <w:noProof/>
        </w:rPr>
        <w:t>, which</w:t>
      </w:r>
      <w:r w:rsidR="0098455F">
        <w:rPr>
          <w:rFonts w:asciiTheme="majorHAnsi" w:hAnsiTheme="majorHAnsi"/>
          <w:noProof/>
        </w:rPr>
        <w:t xml:space="preserve"> </w:t>
      </w:r>
      <w:r w:rsidR="002B7329">
        <w:rPr>
          <w:rFonts w:asciiTheme="majorHAnsi" w:hAnsiTheme="majorHAnsi"/>
          <w:noProof/>
        </w:rPr>
        <w:t>are subject to the N+2 rule</w:t>
      </w:r>
      <w:r w:rsidR="00614792">
        <w:rPr>
          <w:rFonts w:asciiTheme="majorHAnsi" w:hAnsiTheme="majorHAnsi"/>
          <w:noProof/>
        </w:rPr>
        <w:t>.</w:t>
      </w:r>
    </w:p>
    <w:p w14:paraId="08273A86" w14:textId="67ED7148" w:rsidR="00614792" w:rsidRPr="00F423B9" w:rsidRDefault="00614792" w:rsidP="00614792">
      <w:pPr>
        <w:spacing w:after="120" w:line="276" w:lineRule="auto"/>
        <w:jc w:val="both"/>
        <w:rPr>
          <w:rFonts w:asciiTheme="majorHAnsi" w:hAnsiTheme="majorHAnsi"/>
          <w:noProof/>
        </w:rPr>
      </w:pPr>
      <w:r w:rsidRPr="00614792">
        <w:rPr>
          <w:rFonts w:asciiTheme="majorHAnsi" w:hAnsiTheme="majorHAnsi"/>
          <w:noProof/>
        </w:rPr>
        <w:t>The forecast of payments stemming from the MFF 2021-2027 includes payments from the 2023-2027 CAP</w:t>
      </w:r>
      <w:r>
        <w:rPr>
          <w:rFonts w:asciiTheme="majorHAnsi" w:hAnsiTheme="majorHAnsi"/>
          <w:noProof/>
        </w:rPr>
        <w:t xml:space="preserve"> </w:t>
      </w:r>
      <w:r w:rsidR="00983CC2">
        <w:rPr>
          <w:rFonts w:asciiTheme="majorHAnsi" w:hAnsiTheme="majorHAnsi"/>
          <w:noProof/>
        </w:rPr>
        <w:t xml:space="preserve">Strategic </w:t>
      </w:r>
      <w:r w:rsidRPr="00614792">
        <w:rPr>
          <w:rFonts w:asciiTheme="majorHAnsi" w:hAnsiTheme="majorHAnsi"/>
          <w:noProof/>
        </w:rPr>
        <w:t>Plans as well as those linked to the extension of the rural development programmes to 2021 and 2022</w:t>
      </w:r>
      <w:r w:rsidR="00EF0FCE">
        <w:rPr>
          <w:rFonts w:asciiTheme="majorHAnsi" w:hAnsiTheme="majorHAnsi"/>
          <w:noProof/>
        </w:rPr>
        <w:t>, which</w:t>
      </w:r>
      <w:r w:rsidRPr="00614792" w:rsidDel="00EF0FCE">
        <w:rPr>
          <w:rFonts w:asciiTheme="majorHAnsi" w:hAnsiTheme="majorHAnsi"/>
          <w:noProof/>
        </w:rPr>
        <w:t xml:space="preserve"> </w:t>
      </w:r>
      <w:r w:rsidRPr="00614792">
        <w:rPr>
          <w:rFonts w:asciiTheme="majorHAnsi" w:hAnsiTheme="majorHAnsi"/>
          <w:noProof/>
        </w:rPr>
        <w:t>will be completed by 2027. The forecast also considers the transfers between pillars of the Common Agricultural Policy communicated by Member States</w:t>
      </w:r>
      <w:r w:rsidR="00A15A2B">
        <w:rPr>
          <w:rStyle w:val="EndnoteReference"/>
          <w:noProof/>
        </w:rPr>
        <w:endnoteReference w:id="16"/>
      </w:r>
      <w:r w:rsidRPr="00614792">
        <w:rPr>
          <w:rFonts w:asciiTheme="majorHAnsi" w:hAnsiTheme="majorHAnsi"/>
          <w:noProof/>
        </w:rPr>
        <w:t xml:space="preserve">, which resulted in a net transfer of </w:t>
      </w:r>
      <w:r w:rsidRPr="00440BD7">
        <w:rPr>
          <w:rFonts w:asciiTheme="majorHAnsi" w:hAnsiTheme="majorHAnsi"/>
          <w:noProof/>
        </w:rPr>
        <w:t>EUR</w:t>
      </w:r>
      <w:r w:rsidR="00E52950" w:rsidRPr="00440BD7">
        <w:rPr>
          <w:rFonts w:asciiTheme="majorHAnsi" w:hAnsiTheme="majorHAnsi"/>
          <w:noProof/>
        </w:rPr>
        <w:t xml:space="preserve"> 5.5 billion</w:t>
      </w:r>
      <w:r w:rsidR="00E52950">
        <w:rPr>
          <w:rFonts w:asciiTheme="majorHAnsi" w:hAnsiTheme="majorHAnsi"/>
          <w:noProof/>
        </w:rPr>
        <w:t xml:space="preserve"> </w:t>
      </w:r>
      <w:r w:rsidR="004E5F5A">
        <w:rPr>
          <w:rFonts w:asciiTheme="majorHAnsi" w:hAnsiTheme="majorHAnsi"/>
          <w:noProof/>
        </w:rPr>
        <w:t>from</w:t>
      </w:r>
      <w:r w:rsidRPr="00614792">
        <w:rPr>
          <w:rFonts w:asciiTheme="majorHAnsi" w:hAnsiTheme="majorHAnsi"/>
          <w:noProof/>
        </w:rPr>
        <w:t xml:space="preserve"> Pillar I (EAGF) to Pillar II (EAFRD) for the years 202</w:t>
      </w:r>
      <w:r w:rsidR="002039DA">
        <w:rPr>
          <w:rFonts w:asciiTheme="majorHAnsi" w:hAnsiTheme="majorHAnsi"/>
          <w:noProof/>
        </w:rPr>
        <w:t>3</w:t>
      </w:r>
      <w:r w:rsidRPr="00614792">
        <w:rPr>
          <w:rFonts w:asciiTheme="majorHAnsi" w:hAnsiTheme="majorHAnsi"/>
          <w:noProof/>
        </w:rPr>
        <w:t>-2027.</w:t>
      </w:r>
    </w:p>
    <w:p w14:paraId="618CF04E" w14:textId="286F8CF5" w:rsidR="008114E5" w:rsidRPr="008114E5" w:rsidRDefault="008114E5" w:rsidP="008114E5">
      <w:pPr>
        <w:spacing w:after="120" w:line="276" w:lineRule="auto"/>
        <w:jc w:val="both"/>
        <w:rPr>
          <w:rFonts w:asciiTheme="majorHAnsi" w:hAnsiTheme="majorHAnsi"/>
          <w:noProof/>
        </w:rPr>
      </w:pPr>
      <w:r w:rsidRPr="008114E5">
        <w:rPr>
          <w:rFonts w:asciiTheme="majorHAnsi" w:hAnsiTheme="majorHAnsi"/>
          <w:noProof/>
        </w:rPr>
        <w:t xml:space="preserve">The implementation of the 2023-2027 CAP plans is expected </w:t>
      </w:r>
      <w:r w:rsidR="72DF9984" w:rsidRPr="052EF30D">
        <w:rPr>
          <w:rFonts w:asciiTheme="majorHAnsi" w:hAnsiTheme="majorHAnsi"/>
          <w:noProof/>
        </w:rPr>
        <w:t xml:space="preserve">to </w:t>
      </w:r>
      <w:r w:rsidR="3C203826" w:rsidRPr="052EF30D">
        <w:rPr>
          <w:rFonts w:asciiTheme="majorHAnsi" w:hAnsiTheme="majorHAnsi"/>
          <w:noProof/>
        </w:rPr>
        <w:t>reach</w:t>
      </w:r>
      <w:r w:rsidR="002B7329">
        <w:rPr>
          <w:rFonts w:asciiTheme="majorHAnsi" w:hAnsiTheme="majorHAnsi"/>
          <w:noProof/>
        </w:rPr>
        <w:t xml:space="preserve"> </w:t>
      </w:r>
      <w:r w:rsidR="00E84194">
        <w:rPr>
          <w:rFonts w:asciiTheme="majorHAnsi" w:hAnsiTheme="majorHAnsi"/>
          <w:noProof/>
        </w:rPr>
        <w:t xml:space="preserve">its </w:t>
      </w:r>
      <w:r w:rsidR="002B7329">
        <w:rPr>
          <w:rFonts w:asciiTheme="majorHAnsi" w:hAnsiTheme="majorHAnsi"/>
          <w:noProof/>
        </w:rPr>
        <w:t xml:space="preserve">peak </w:t>
      </w:r>
      <w:r w:rsidRPr="008114E5">
        <w:rPr>
          <w:rFonts w:asciiTheme="majorHAnsi" w:hAnsiTheme="majorHAnsi"/>
          <w:noProof/>
        </w:rPr>
        <w:t xml:space="preserve">in </w:t>
      </w:r>
      <w:r>
        <w:rPr>
          <w:rFonts w:asciiTheme="majorHAnsi" w:hAnsiTheme="majorHAnsi"/>
          <w:noProof/>
        </w:rPr>
        <w:t>20</w:t>
      </w:r>
      <w:r w:rsidR="009744E7">
        <w:rPr>
          <w:rFonts w:asciiTheme="majorHAnsi" w:hAnsiTheme="majorHAnsi"/>
          <w:noProof/>
        </w:rPr>
        <w:t>2</w:t>
      </w:r>
      <w:r w:rsidR="00CC4779">
        <w:rPr>
          <w:rFonts w:asciiTheme="majorHAnsi" w:hAnsiTheme="majorHAnsi"/>
          <w:noProof/>
        </w:rPr>
        <w:t>8</w:t>
      </w:r>
      <w:r w:rsidR="00A16924">
        <w:rPr>
          <w:rFonts w:asciiTheme="majorHAnsi" w:hAnsiTheme="majorHAnsi"/>
          <w:noProof/>
        </w:rPr>
        <w:t xml:space="preserve"> with lower payments in </w:t>
      </w:r>
      <w:r w:rsidRPr="008114E5">
        <w:rPr>
          <w:rFonts w:asciiTheme="majorHAnsi" w:hAnsiTheme="majorHAnsi"/>
          <w:noProof/>
        </w:rPr>
        <w:t>202</w:t>
      </w:r>
      <w:r w:rsidR="00A36292">
        <w:rPr>
          <w:rFonts w:asciiTheme="majorHAnsi" w:hAnsiTheme="majorHAnsi"/>
          <w:noProof/>
        </w:rPr>
        <w:t>9</w:t>
      </w:r>
      <w:r w:rsidRPr="008114E5">
        <w:rPr>
          <w:rFonts w:asciiTheme="majorHAnsi" w:hAnsiTheme="majorHAnsi"/>
          <w:noProof/>
        </w:rPr>
        <w:t xml:space="preserve"> and </w:t>
      </w:r>
      <w:r w:rsidR="002B731C">
        <w:rPr>
          <w:rFonts w:asciiTheme="majorHAnsi" w:hAnsiTheme="majorHAnsi"/>
          <w:noProof/>
        </w:rPr>
        <w:t xml:space="preserve">later in </w:t>
      </w:r>
      <w:r w:rsidRPr="008114E5">
        <w:rPr>
          <w:rFonts w:asciiTheme="majorHAnsi" w:hAnsiTheme="majorHAnsi"/>
          <w:noProof/>
        </w:rPr>
        <w:t>2030, and closure expected in 2031. The completion of the 2014-2022 operational rural development programme</w:t>
      </w:r>
      <w:r w:rsidR="00E24600">
        <w:rPr>
          <w:rFonts w:asciiTheme="majorHAnsi" w:hAnsiTheme="majorHAnsi"/>
          <w:noProof/>
        </w:rPr>
        <w:t xml:space="preserve"> </w:t>
      </w:r>
      <w:r w:rsidR="005B7BF5">
        <w:rPr>
          <w:rFonts w:asciiTheme="majorHAnsi" w:hAnsiTheme="majorHAnsi"/>
          <w:noProof/>
        </w:rPr>
        <w:t>and the latest payments are</w:t>
      </w:r>
      <w:r w:rsidR="00E24600">
        <w:rPr>
          <w:rFonts w:asciiTheme="majorHAnsi" w:hAnsiTheme="majorHAnsi"/>
          <w:noProof/>
        </w:rPr>
        <w:t xml:space="preserve"> expected </w:t>
      </w:r>
      <w:r w:rsidR="00753B18">
        <w:rPr>
          <w:rFonts w:asciiTheme="majorHAnsi" w:hAnsiTheme="majorHAnsi"/>
          <w:noProof/>
        </w:rPr>
        <w:t xml:space="preserve">in </w:t>
      </w:r>
      <w:r w:rsidR="00082EA6">
        <w:rPr>
          <w:rFonts w:asciiTheme="majorHAnsi" w:hAnsiTheme="majorHAnsi"/>
          <w:noProof/>
        </w:rPr>
        <w:t>202</w:t>
      </w:r>
      <w:r w:rsidR="002A5AF7">
        <w:rPr>
          <w:rFonts w:asciiTheme="majorHAnsi" w:hAnsiTheme="majorHAnsi"/>
          <w:noProof/>
        </w:rPr>
        <w:t>7</w:t>
      </w:r>
      <w:r w:rsidRPr="008114E5">
        <w:rPr>
          <w:rFonts w:asciiTheme="majorHAnsi" w:hAnsiTheme="majorHAnsi"/>
          <w:noProof/>
        </w:rPr>
        <w:t>.</w:t>
      </w:r>
    </w:p>
    <w:p w14:paraId="0005D92E" w14:textId="2F2694AB" w:rsidR="348A84CE" w:rsidRPr="00F423B9" w:rsidRDefault="008114E5" w:rsidP="23B06DA2">
      <w:pPr>
        <w:spacing w:after="120" w:line="276" w:lineRule="auto"/>
        <w:jc w:val="both"/>
        <w:rPr>
          <w:rFonts w:asciiTheme="majorHAnsi" w:hAnsiTheme="majorHAnsi"/>
          <w:noProof/>
        </w:rPr>
      </w:pPr>
      <w:r w:rsidRPr="008114E5">
        <w:rPr>
          <w:rFonts w:asciiTheme="majorHAnsi" w:hAnsiTheme="majorHAnsi"/>
          <w:noProof/>
        </w:rPr>
        <w:t xml:space="preserve">For the Just Transition Fund, </w:t>
      </w:r>
      <w:r w:rsidR="00A83EDD">
        <w:rPr>
          <w:rFonts w:asciiTheme="majorHAnsi" w:hAnsiTheme="majorHAnsi"/>
          <w:noProof/>
        </w:rPr>
        <w:t>payments to date have been predominantly financed under its NextGenerationEU component, which will be used until the end of 2026, in line with legal deadlines. T</w:t>
      </w:r>
      <w:r w:rsidRPr="008114E5">
        <w:rPr>
          <w:rFonts w:asciiTheme="majorHAnsi" w:hAnsiTheme="majorHAnsi"/>
          <w:noProof/>
        </w:rPr>
        <w:t xml:space="preserve">he first substantial payments under the MFF </w:t>
      </w:r>
      <w:r w:rsidR="00A83EDD">
        <w:rPr>
          <w:rFonts w:asciiTheme="majorHAnsi" w:hAnsiTheme="majorHAnsi"/>
          <w:noProof/>
        </w:rPr>
        <w:t>component</w:t>
      </w:r>
      <w:r w:rsidR="00A83EDD" w:rsidRPr="008114E5">
        <w:rPr>
          <w:rFonts w:asciiTheme="majorHAnsi" w:hAnsiTheme="majorHAnsi"/>
          <w:noProof/>
        </w:rPr>
        <w:t xml:space="preserve"> </w:t>
      </w:r>
      <w:r w:rsidR="08954574" w:rsidRPr="457755A8">
        <w:rPr>
          <w:rFonts w:asciiTheme="majorHAnsi" w:hAnsiTheme="majorHAnsi"/>
          <w:noProof/>
        </w:rPr>
        <w:t xml:space="preserve">are expected </w:t>
      </w:r>
      <w:r w:rsidR="00A83EDD">
        <w:rPr>
          <w:rFonts w:asciiTheme="majorHAnsi" w:hAnsiTheme="majorHAnsi"/>
          <w:noProof/>
        </w:rPr>
        <w:t>from</w:t>
      </w:r>
      <w:r w:rsidRPr="008114E5">
        <w:rPr>
          <w:rFonts w:asciiTheme="majorHAnsi" w:hAnsiTheme="majorHAnsi"/>
          <w:noProof/>
        </w:rPr>
        <w:t xml:space="preserve"> 2026</w:t>
      </w:r>
      <w:r w:rsidR="00C51629">
        <w:rPr>
          <w:rFonts w:asciiTheme="majorHAnsi" w:hAnsiTheme="majorHAnsi"/>
          <w:noProof/>
        </w:rPr>
        <w:t xml:space="preserve"> </w:t>
      </w:r>
      <w:r w:rsidR="00A83EDD">
        <w:rPr>
          <w:rFonts w:asciiTheme="majorHAnsi" w:hAnsiTheme="majorHAnsi"/>
          <w:noProof/>
        </w:rPr>
        <w:t>onwards</w:t>
      </w:r>
      <w:r w:rsidRPr="008114E5">
        <w:rPr>
          <w:rFonts w:asciiTheme="majorHAnsi" w:hAnsiTheme="majorHAnsi"/>
          <w:noProof/>
        </w:rPr>
        <w:t>.</w:t>
      </w:r>
    </w:p>
    <w:bookmarkEnd w:id="22"/>
    <w:p w14:paraId="770AE79D" w14:textId="77777777" w:rsidR="00861C1C" w:rsidRPr="00F423B9" w:rsidRDefault="003B6DC2" w:rsidP="0050317D">
      <w:pPr>
        <w:pStyle w:val="amprH4Subhead1"/>
        <w:spacing w:before="400"/>
        <w:rPr>
          <w:rFonts w:asciiTheme="majorHAnsi" w:hAnsiTheme="majorHAnsi"/>
          <w:noProof/>
        </w:rPr>
      </w:pPr>
      <w:r w:rsidRPr="00F423B9">
        <w:rPr>
          <w:rFonts w:asciiTheme="majorHAnsi" w:hAnsiTheme="majorHAnsi"/>
          <w:noProof/>
        </w:rPr>
        <w:t>Other programmes and headings</w:t>
      </w:r>
    </w:p>
    <w:p w14:paraId="4B149E6B" w14:textId="6E47C82F" w:rsidR="008472CD" w:rsidRDefault="009F1598" w:rsidP="217EDCC6">
      <w:pPr>
        <w:spacing w:before="0" w:after="120" w:line="276" w:lineRule="auto"/>
        <w:jc w:val="both"/>
        <w:rPr>
          <w:rFonts w:asciiTheme="majorHAnsi" w:hAnsiTheme="majorHAnsi"/>
          <w:noProof/>
        </w:rPr>
      </w:pPr>
      <w:r w:rsidRPr="009F1598">
        <w:rPr>
          <w:rFonts w:asciiTheme="majorHAnsi" w:hAnsiTheme="majorHAnsi"/>
          <w:noProof/>
        </w:rPr>
        <w:t>The Ukraine Reserve, a special instrument that mobilises support</w:t>
      </w:r>
      <w:r w:rsidR="00D3770F">
        <w:rPr>
          <w:rFonts w:asciiTheme="majorHAnsi" w:hAnsiTheme="majorHAnsi"/>
          <w:noProof/>
        </w:rPr>
        <w:t xml:space="preserve"> for expenditure</w:t>
      </w:r>
      <w:r w:rsidRPr="009F1598">
        <w:rPr>
          <w:rFonts w:asciiTheme="majorHAnsi" w:hAnsiTheme="majorHAnsi"/>
          <w:noProof/>
        </w:rPr>
        <w:t xml:space="preserve"> over and above the MFF</w:t>
      </w:r>
      <w:r>
        <w:rPr>
          <w:rFonts w:asciiTheme="majorHAnsi" w:hAnsiTheme="majorHAnsi"/>
          <w:noProof/>
        </w:rPr>
        <w:t xml:space="preserve"> </w:t>
      </w:r>
      <w:r w:rsidRPr="009F1598">
        <w:rPr>
          <w:rFonts w:asciiTheme="majorHAnsi" w:hAnsiTheme="majorHAnsi"/>
          <w:noProof/>
        </w:rPr>
        <w:t>expenditure ceilings</w:t>
      </w:r>
      <w:r w:rsidR="0074369A">
        <w:rPr>
          <w:rFonts w:asciiTheme="majorHAnsi" w:hAnsiTheme="majorHAnsi"/>
          <w:noProof/>
        </w:rPr>
        <w:t xml:space="preserve"> for 2024-2027</w:t>
      </w:r>
      <w:r w:rsidRPr="009F1598">
        <w:rPr>
          <w:rFonts w:asciiTheme="majorHAnsi" w:hAnsiTheme="majorHAnsi"/>
          <w:noProof/>
        </w:rPr>
        <w:t xml:space="preserve">, </w:t>
      </w:r>
      <w:r w:rsidR="00CF71CF">
        <w:rPr>
          <w:rFonts w:asciiTheme="majorHAnsi" w:hAnsiTheme="majorHAnsi"/>
          <w:noProof/>
        </w:rPr>
        <w:t>is foreseen to conclude most payments by end-2027</w:t>
      </w:r>
      <w:r>
        <w:rPr>
          <w:rFonts w:asciiTheme="majorHAnsi" w:hAnsiTheme="majorHAnsi"/>
          <w:noProof/>
        </w:rPr>
        <w:t>.</w:t>
      </w:r>
      <w:r w:rsidR="007F556E">
        <w:rPr>
          <w:rFonts w:asciiTheme="majorHAnsi" w:hAnsiTheme="majorHAnsi"/>
          <w:noProof/>
        </w:rPr>
        <w:t xml:space="preserve"> EUR</w:t>
      </w:r>
      <w:r w:rsidR="00381178">
        <w:rPr>
          <w:rFonts w:ascii="Calibri" w:hAnsi="Calibri" w:cs="Calibri"/>
          <w:noProof/>
        </w:rPr>
        <w:t> </w:t>
      </w:r>
      <w:r w:rsidR="00381178">
        <w:rPr>
          <w:rFonts w:asciiTheme="majorHAnsi" w:hAnsiTheme="majorHAnsi"/>
          <w:noProof/>
        </w:rPr>
        <w:t>0.9</w:t>
      </w:r>
      <w:r w:rsidR="00381178">
        <w:rPr>
          <w:rFonts w:ascii="Calibri" w:hAnsi="Calibri" w:cs="Calibri"/>
          <w:noProof/>
        </w:rPr>
        <w:t> </w:t>
      </w:r>
      <w:r w:rsidR="007F556E">
        <w:rPr>
          <w:rFonts w:asciiTheme="majorHAnsi" w:hAnsiTheme="majorHAnsi"/>
          <w:noProof/>
        </w:rPr>
        <w:t>billion would be covered in the 2028-2034 MFF</w:t>
      </w:r>
      <w:r w:rsidR="00497816">
        <w:rPr>
          <w:rFonts w:asciiTheme="majorHAnsi" w:hAnsiTheme="majorHAnsi"/>
          <w:noProof/>
        </w:rPr>
        <w:t xml:space="preserve"> as payments on outstanding commitments.</w:t>
      </w:r>
    </w:p>
    <w:p w14:paraId="4EEC229D" w14:textId="77777777" w:rsidR="009E4500" w:rsidRPr="00F423B9" w:rsidRDefault="009E4500" w:rsidP="009E4500">
      <w:pPr>
        <w:pStyle w:val="amprH3Title2-Numbered-11"/>
        <w:rPr>
          <w:rFonts w:asciiTheme="majorHAnsi" w:hAnsiTheme="majorHAnsi"/>
          <w:noProof/>
        </w:rPr>
      </w:pPr>
      <w:bookmarkStart w:id="23" w:name="_Toc233958939"/>
      <w:r w:rsidRPr="00F423B9">
        <w:rPr>
          <w:rFonts w:asciiTheme="majorHAnsi" w:hAnsiTheme="majorHAnsi"/>
          <w:noProof/>
        </w:rPr>
        <w:t>Payments in relation to the commitments of the 202</w:t>
      </w:r>
      <w:r>
        <w:rPr>
          <w:rFonts w:asciiTheme="majorHAnsi" w:hAnsiTheme="majorHAnsi"/>
          <w:noProof/>
        </w:rPr>
        <w:t>8</w:t>
      </w:r>
      <w:r w:rsidRPr="00F423B9">
        <w:rPr>
          <w:rFonts w:asciiTheme="majorHAnsi" w:hAnsiTheme="majorHAnsi"/>
          <w:noProof/>
        </w:rPr>
        <w:t>-20</w:t>
      </w:r>
      <w:r>
        <w:rPr>
          <w:rFonts w:asciiTheme="majorHAnsi" w:hAnsiTheme="majorHAnsi"/>
          <w:noProof/>
        </w:rPr>
        <w:t>34</w:t>
      </w:r>
      <w:r w:rsidRPr="00F423B9">
        <w:rPr>
          <w:rFonts w:asciiTheme="majorHAnsi" w:hAnsiTheme="majorHAnsi"/>
          <w:noProof/>
        </w:rPr>
        <w:t xml:space="preserve"> MFF</w:t>
      </w:r>
      <w:bookmarkEnd w:id="23"/>
    </w:p>
    <w:p w14:paraId="53F8D300" w14:textId="77777777" w:rsidR="009E4500" w:rsidRPr="004D465B" w:rsidRDefault="009E4500" w:rsidP="009E4500">
      <w:pPr>
        <w:spacing w:after="120" w:line="276" w:lineRule="auto"/>
        <w:jc w:val="both"/>
        <w:rPr>
          <w:rFonts w:asciiTheme="majorHAnsi" w:hAnsiTheme="majorHAnsi"/>
          <w:noProof/>
          <w:spacing w:val="-4"/>
        </w:rPr>
      </w:pPr>
      <w:r w:rsidRPr="004D465B">
        <w:rPr>
          <w:rFonts w:asciiTheme="majorHAnsi" w:hAnsiTheme="majorHAnsi"/>
          <w:noProof/>
          <w:spacing w:val="-4"/>
        </w:rPr>
        <w:t xml:space="preserve">The payments for the 2028-2034 MFF are forecast at </w:t>
      </w:r>
      <w:r w:rsidRPr="004E7B99">
        <w:rPr>
          <w:rFonts w:asciiTheme="majorHAnsi" w:hAnsiTheme="majorHAnsi"/>
          <w:b/>
          <w:noProof/>
          <w:spacing w:val="-4"/>
        </w:rPr>
        <w:t>EUR</w:t>
      </w:r>
      <w:r w:rsidRPr="004E7B99">
        <w:rPr>
          <w:rFonts w:ascii="Calibri" w:hAnsi="Calibri" w:cs="Calibri"/>
          <w:b/>
          <w:noProof/>
          <w:spacing w:val="-4"/>
        </w:rPr>
        <w:t> </w:t>
      </w:r>
      <w:r w:rsidRPr="004E7B99">
        <w:rPr>
          <w:rFonts w:asciiTheme="majorHAnsi" w:hAnsiTheme="majorHAnsi"/>
          <w:b/>
          <w:noProof/>
          <w:spacing w:val="-4"/>
        </w:rPr>
        <w:t>1</w:t>
      </w:r>
      <w:r w:rsidRPr="004E7B99">
        <w:rPr>
          <w:rFonts w:ascii="Calibri" w:hAnsi="Calibri" w:cs="Calibri"/>
          <w:b/>
          <w:noProof/>
          <w:spacing w:val="-4"/>
        </w:rPr>
        <w:t> </w:t>
      </w:r>
      <w:r w:rsidRPr="004E7B99">
        <w:rPr>
          <w:rFonts w:asciiTheme="majorHAnsi" w:hAnsiTheme="majorHAnsi"/>
          <w:b/>
          <w:noProof/>
          <w:spacing w:val="-4"/>
        </w:rPr>
        <w:t>641</w:t>
      </w:r>
      <w:r w:rsidRPr="004E7B99">
        <w:rPr>
          <w:rFonts w:ascii="Calibri" w:hAnsi="Calibri" w:cs="Calibri"/>
          <w:b/>
          <w:noProof/>
          <w:spacing w:val="-4"/>
        </w:rPr>
        <w:t> </w:t>
      </w:r>
      <w:r w:rsidRPr="004E7B99">
        <w:rPr>
          <w:rFonts w:asciiTheme="majorHAnsi" w:hAnsiTheme="majorHAnsi"/>
          <w:b/>
          <w:noProof/>
          <w:spacing w:val="-4"/>
        </w:rPr>
        <w:t>billion</w:t>
      </w:r>
      <w:r w:rsidRPr="004D465B">
        <w:rPr>
          <w:rFonts w:asciiTheme="majorHAnsi" w:hAnsiTheme="majorHAnsi"/>
          <w:noProof/>
          <w:spacing w:val="-4"/>
        </w:rPr>
        <w:t xml:space="preserve"> over the period, covering over </w:t>
      </w:r>
      <w:r w:rsidRPr="004E7B99">
        <w:rPr>
          <w:rFonts w:asciiTheme="majorHAnsi" w:hAnsiTheme="majorHAnsi"/>
          <w:b/>
          <w:noProof/>
          <w:spacing w:val="-4"/>
        </w:rPr>
        <w:t>80%</w:t>
      </w:r>
      <w:r w:rsidRPr="004D465B">
        <w:rPr>
          <w:rFonts w:asciiTheme="majorHAnsi" w:hAnsiTheme="majorHAnsi"/>
          <w:noProof/>
          <w:spacing w:val="-4"/>
        </w:rPr>
        <w:t xml:space="preserve"> of the MFF</w:t>
      </w:r>
      <w:r>
        <w:rPr>
          <w:rFonts w:asciiTheme="majorHAnsi" w:hAnsiTheme="majorHAnsi"/>
          <w:noProof/>
          <w:spacing w:val="-4"/>
        </w:rPr>
        <w:t xml:space="preserve">. Taking into account that the negotiations on the next MFF are ongoing, the data presented in the section are based on the Commission proposal of July 2025 and are as such the same as in last year’s report. </w:t>
      </w:r>
    </w:p>
    <w:p w14:paraId="0BC38B68" w14:textId="77777777" w:rsidR="009E4500" w:rsidRPr="00F423B9" w:rsidRDefault="009E4500" w:rsidP="009E4500">
      <w:pPr>
        <w:pStyle w:val="amprH4Subhead1"/>
        <w:rPr>
          <w:rFonts w:asciiTheme="majorHAnsi" w:hAnsiTheme="majorHAnsi"/>
          <w:noProof/>
        </w:rPr>
      </w:pPr>
      <w:r w:rsidRPr="002254C3">
        <w:rPr>
          <w:rFonts w:asciiTheme="majorHAnsi" w:hAnsiTheme="majorHAnsi"/>
          <w:noProof/>
        </w:rPr>
        <w:t>Heading 1 – Economic, social and territorial cohesion, agriculture, rural and</w:t>
      </w:r>
      <w:r>
        <w:rPr>
          <w:rFonts w:asciiTheme="majorHAnsi" w:hAnsiTheme="majorHAnsi"/>
          <w:noProof/>
        </w:rPr>
        <w:t xml:space="preserve"> </w:t>
      </w:r>
      <w:r w:rsidRPr="002254C3">
        <w:rPr>
          <w:rFonts w:asciiTheme="majorHAnsi" w:hAnsiTheme="majorHAnsi"/>
          <w:noProof/>
        </w:rPr>
        <w:t>maritime prosperity and security</w:t>
      </w:r>
    </w:p>
    <w:p w14:paraId="67C7D78A" w14:textId="429D2749" w:rsidR="009E4500" w:rsidRPr="0054634E" w:rsidRDefault="009E4500" w:rsidP="009E4500">
      <w:pPr>
        <w:spacing w:after="120" w:line="276" w:lineRule="auto"/>
        <w:jc w:val="both"/>
        <w:rPr>
          <w:rFonts w:asciiTheme="majorHAnsi" w:hAnsiTheme="majorHAnsi"/>
          <w:noProof/>
        </w:rPr>
      </w:pPr>
      <w:r w:rsidRPr="002254C3">
        <w:rPr>
          <w:rFonts w:asciiTheme="majorHAnsi" w:hAnsiTheme="majorHAnsi"/>
          <w:noProof/>
        </w:rPr>
        <w:t>The main driver of the payments profile in the 2028-2034 MFF will be the National and Regional Partnership Plans</w:t>
      </w:r>
      <w:r w:rsidRPr="5FDF21AA">
        <w:rPr>
          <w:rFonts w:asciiTheme="majorHAnsi" w:hAnsiTheme="majorHAnsi"/>
          <w:noProof/>
        </w:rPr>
        <w:t xml:space="preserve"> </w:t>
      </w:r>
      <w:r w:rsidRPr="71EB3F7D">
        <w:rPr>
          <w:rFonts w:asciiTheme="majorHAnsi" w:hAnsiTheme="majorHAnsi"/>
          <w:noProof/>
        </w:rPr>
        <w:t>with</w:t>
      </w:r>
      <w:r w:rsidRPr="3A580893">
        <w:rPr>
          <w:rFonts w:asciiTheme="majorHAnsi" w:hAnsiTheme="majorHAnsi"/>
          <w:noProof/>
        </w:rPr>
        <w:t xml:space="preserve"> a</w:t>
      </w:r>
      <w:r w:rsidRPr="002254C3">
        <w:rPr>
          <w:rFonts w:asciiTheme="majorHAnsi" w:hAnsiTheme="majorHAnsi"/>
          <w:noProof/>
        </w:rPr>
        <w:t xml:space="preserve"> total </w:t>
      </w:r>
      <w:r w:rsidRPr="0054634E">
        <w:rPr>
          <w:rFonts w:asciiTheme="majorHAnsi" w:hAnsiTheme="majorHAnsi"/>
          <w:b/>
          <w:bCs/>
          <w:noProof/>
        </w:rPr>
        <w:t>EUR</w:t>
      </w:r>
      <w:r w:rsidRPr="0054634E">
        <w:rPr>
          <w:rFonts w:ascii="Calibri" w:hAnsi="Calibri" w:cs="Calibri"/>
          <w:b/>
          <w:bCs/>
          <w:noProof/>
        </w:rPr>
        <w:t> </w:t>
      </w:r>
      <w:r w:rsidRPr="0054634E">
        <w:rPr>
          <w:rFonts w:asciiTheme="majorHAnsi" w:hAnsiTheme="majorHAnsi"/>
          <w:b/>
          <w:bCs/>
          <w:noProof/>
        </w:rPr>
        <w:t>965</w:t>
      </w:r>
      <w:r w:rsidRPr="0054634E">
        <w:rPr>
          <w:rFonts w:ascii="Calibri" w:hAnsi="Calibri" w:cs="Calibri"/>
          <w:b/>
          <w:bCs/>
          <w:noProof/>
        </w:rPr>
        <w:t> </w:t>
      </w:r>
      <w:r w:rsidRPr="0054634E">
        <w:rPr>
          <w:rFonts w:asciiTheme="majorHAnsi" w:hAnsiTheme="majorHAnsi"/>
          <w:b/>
          <w:bCs/>
          <w:noProof/>
        </w:rPr>
        <w:t>billion</w:t>
      </w:r>
      <w:r>
        <w:rPr>
          <w:rFonts w:asciiTheme="majorHAnsi" w:hAnsiTheme="majorHAnsi"/>
          <w:bCs/>
          <w:noProof/>
        </w:rPr>
        <w:t xml:space="preserve"> forecast payments for the heading overall</w:t>
      </w:r>
      <w:r w:rsidRPr="002254C3">
        <w:rPr>
          <w:rFonts w:asciiTheme="majorHAnsi" w:hAnsiTheme="majorHAnsi"/>
          <w:noProof/>
        </w:rPr>
        <w:t xml:space="preserve">. </w:t>
      </w:r>
    </w:p>
    <w:p w14:paraId="78A4C343" w14:textId="77777777" w:rsidR="009E4500" w:rsidRDefault="009E4500" w:rsidP="009E4500">
      <w:pPr>
        <w:spacing w:after="120" w:line="276" w:lineRule="auto"/>
        <w:jc w:val="both"/>
        <w:rPr>
          <w:rFonts w:asciiTheme="majorHAnsi" w:hAnsiTheme="majorHAnsi"/>
          <w:noProof/>
        </w:rPr>
      </w:pPr>
      <w:r w:rsidRPr="00EF01DB">
        <w:rPr>
          <w:rFonts w:asciiTheme="majorHAnsi" w:hAnsiTheme="majorHAnsi"/>
          <w:noProof/>
        </w:rPr>
        <w:t>As of 2028, the EU is due to start the repayment of the debt issued under NextGenerationEU. For the MFF 2028-2034, the Commission proposes a fixed amount of EUR</w:t>
      </w:r>
      <w:r>
        <w:rPr>
          <w:rFonts w:ascii="Calibri" w:hAnsi="Calibri" w:cs="Calibri"/>
          <w:noProof/>
        </w:rPr>
        <w:t> </w:t>
      </w:r>
      <w:r w:rsidRPr="00EF01DB">
        <w:rPr>
          <w:rFonts w:asciiTheme="majorHAnsi" w:hAnsiTheme="majorHAnsi"/>
          <w:noProof/>
        </w:rPr>
        <w:t>24</w:t>
      </w:r>
      <w:r>
        <w:rPr>
          <w:rFonts w:ascii="Calibri" w:hAnsi="Calibri" w:cs="Calibri"/>
          <w:noProof/>
        </w:rPr>
        <w:t> </w:t>
      </w:r>
      <w:r w:rsidRPr="00EF01DB">
        <w:rPr>
          <w:rFonts w:asciiTheme="majorHAnsi" w:hAnsiTheme="majorHAnsi"/>
          <w:noProof/>
        </w:rPr>
        <w:t>billion per year in current prices for the repayment of</w:t>
      </w:r>
      <w:r>
        <w:rPr>
          <w:rFonts w:asciiTheme="majorHAnsi" w:hAnsiTheme="majorHAnsi"/>
          <w:noProof/>
        </w:rPr>
        <w:t xml:space="preserve"> </w:t>
      </w:r>
      <w:r w:rsidRPr="00EF01DB">
        <w:rPr>
          <w:rFonts w:asciiTheme="majorHAnsi" w:hAnsiTheme="majorHAnsi"/>
          <w:noProof/>
        </w:rPr>
        <w:t>interest and capital of the non-repayable support provided under NextGenerationEU. This means an overall amount</w:t>
      </w:r>
      <w:r>
        <w:rPr>
          <w:rFonts w:asciiTheme="majorHAnsi" w:hAnsiTheme="majorHAnsi"/>
          <w:noProof/>
        </w:rPr>
        <w:t xml:space="preserve"> </w:t>
      </w:r>
      <w:r w:rsidRPr="00EF01DB">
        <w:rPr>
          <w:rFonts w:asciiTheme="majorHAnsi" w:hAnsiTheme="majorHAnsi"/>
          <w:noProof/>
        </w:rPr>
        <w:t xml:space="preserve">of </w:t>
      </w:r>
      <w:r w:rsidRPr="004E7B99">
        <w:rPr>
          <w:rFonts w:asciiTheme="majorHAnsi" w:hAnsiTheme="majorHAnsi"/>
          <w:b/>
          <w:noProof/>
        </w:rPr>
        <w:t>EUR 168 billion</w:t>
      </w:r>
      <w:r w:rsidRPr="00EF01DB">
        <w:rPr>
          <w:rFonts w:asciiTheme="majorHAnsi" w:hAnsiTheme="majorHAnsi"/>
          <w:noProof/>
        </w:rPr>
        <w:t xml:space="preserve"> over 2028-2034. </w:t>
      </w:r>
    </w:p>
    <w:p w14:paraId="63E3E463" w14:textId="77777777" w:rsidR="009E4500" w:rsidRDefault="009E4500" w:rsidP="009E4500">
      <w:pPr>
        <w:spacing w:after="120" w:line="276" w:lineRule="auto"/>
        <w:jc w:val="both"/>
        <w:rPr>
          <w:rFonts w:asciiTheme="majorHAnsi" w:hAnsiTheme="majorHAnsi"/>
          <w:noProof/>
        </w:rPr>
      </w:pPr>
      <w:r>
        <w:rPr>
          <w:rFonts w:asciiTheme="majorHAnsi" w:hAnsiTheme="majorHAnsi"/>
          <w:noProof/>
        </w:rPr>
        <w:t>The remaining payments in relation to this heading are mostly for decentralised agencies (such as Frontex and Europol) where the EU payments are made in full in the same year as the subsidy to the agency is committed.</w:t>
      </w:r>
    </w:p>
    <w:p w14:paraId="38BD9E54" w14:textId="77777777" w:rsidR="009E4500" w:rsidRPr="00F423B9" w:rsidRDefault="009E4500" w:rsidP="009E4500">
      <w:pPr>
        <w:pStyle w:val="amprH4Subhead1"/>
        <w:rPr>
          <w:rFonts w:asciiTheme="majorHAnsi" w:hAnsiTheme="majorHAnsi"/>
          <w:noProof/>
        </w:rPr>
      </w:pPr>
      <w:r w:rsidRPr="002254C3">
        <w:rPr>
          <w:rFonts w:asciiTheme="majorHAnsi" w:hAnsiTheme="majorHAnsi"/>
          <w:noProof/>
        </w:rPr>
        <w:t xml:space="preserve">Heading </w:t>
      </w:r>
      <w:r>
        <w:rPr>
          <w:rFonts w:asciiTheme="majorHAnsi" w:hAnsiTheme="majorHAnsi"/>
          <w:noProof/>
        </w:rPr>
        <w:t>2</w:t>
      </w:r>
      <w:r w:rsidRPr="002254C3">
        <w:rPr>
          <w:rFonts w:asciiTheme="majorHAnsi" w:hAnsiTheme="majorHAnsi"/>
          <w:noProof/>
        </w:rPr>
        <w:t xml:space="preserve"> – </w:t>
      </w:r>
      <w:r w:rsidRPr="00D56E26">
        <w:rPr>
          <w:rFonts w:asciiTheme="majorHAnsi" w:hAnsiTheme="majorHAnsi"/>
          <w:noProof/>
        </w:rPr>
        <w:t>Competitiveness, prosperity and security</w:t>
      </w:r>
    </w:p>
    <w:p w14:paraId="5D6FD9BA" w14:textId="77777777" w:rsidR="009E4500" w:rsidRDefault="009E4500" w:rsidP="009E4500">
      <w:pPr>
        <w:spacing w:after="120" w:line="276" w:lineRule="auto"/>
        <w:jc w:val="both"/>
        <w:rPr>
          <w:rFonts w:asciiTheme="majorHAnsi" w:hAnsiTheme="majorHAnsi"/>
          <w:noProof/>
        </w:rPr>
      </w:pPr>
      <w:r w:rsidRPr="00351711">
        <w:rPr>
          <w:rFonts w:asciiTheme="majorHAnsi" w:hAnsiTheme="majorHAnsi"/>
          <w:noProof/>
        </w:rPr>
        <w:t xml:space="preserve">Payments under heading 2 total </w:t>
      </w:r>
      <w:r w:rsidRPr="004E7B99">
        <w:rPr>
          <w:rFonts w:asciiTheme="majorHAnsi" w:hAnsiTheme="majorHAnsi"/>
          <w:b/>
          <w:noProof/>
        </w:rPr>
        <w:t>EUR</w:t>
      </w:r>
      <w:r w:rsidRPr="004E7B99">
        <w:rPr>
          <w:rFonts w:ascii="Calibri" w:hAnsi="Calibri" w:cs="Calibri"/>
          <w:b/>
          <w:noProof/>
        </w:rPr>
        <w:t> </w:t>
      </w:r>
      <w:r w:rsidRPr="004E7B99">
        <w:rPr>
          <w:rFonts w:asciiTheme="majorHAnsi" w:hAnsiTheme="majorHAnsi"/>
          <w:b/>
          <w:noProof/>
        </w:rPr>
        <w:t>424</w:t>
      </w:r>
      <w:r w:rsidRPr="004E7B99">
        <w:rPr>
          <w:rFonts w:ascii="Calibri" w:hAnsi="Calibri" w:cs="Calibri"/>
          <w:b/>
          <w:noProof/>
        </w:rPr>
        <w:t> </w:t>
      </w:r>
      <w:r w:rsidRPr="004E7B99">
        <w:rPr>
          <w:rFonts w:asciiTheme="majorHAnsi" w:hAnsiTheme="majorHAnsi"/>
          <w:b/>
          <w:noProof/>
        </w:rPr>
        <w:t>billion</w:t>
      </w:r>
      <w:r w:rsidRPr="00351711">
        <w:rPr>
          <w:rFonts w:asciiTheme="majorHAnsi" w:hAnsiTheme="majorHAnsi"/>
          <w:noProof/>
        </w:rPr>
        <w:t>. Payments are mainly driven by the</w:t>
      </w:r>
      <w:r>
        <w:rPr>
          <w:rFonts w:asciiTheme="majorHAnsi" w:hAnsiTheme="majorHAnsi"/>
          <w:noProof/>
        </w:rPr>
        <w:t xml:space="preserve"> </w:t>
      </w:r>
      <w:r w:rsidRPr="00351711">
        <w:rPr>
          <w:rFonts w:asciiTheme="majorHAnsi" w:hAnsiTheme="majorHAnsi"/>
          <w:noProof/>
        </w:rPr>
        <w:t>European Competitiveness Fund</w:t>
      </w:r>
      <w:r>
        <w:rPr>
          <w:rFonts w:asciiTheme="majorHAnsi" w:hAnsiTheme="majorHAnsi"/>
          <w:noProof/>
        </w:rPr>
        <w:t xml:space="preserve"> and </w:t>
      </w:r>
      <w:r w:rsidRPr="00351711">
        <w:rPr>
          <w:rFonts w:asciiTheme="majorHAnsi" w:hAnsiTheme="majorHAnsi"/>
          <w:noProof/>
        </w:rPr>
        <w:t>Horizon Europe</w:t>
      </w:r>
      <w:r w:rsidRPr="00351711" w:rsidDel="006E09F0">
        <w:rPr>
          <w:rFonts w:asciiTheme="majorHAnsi" w:hAnsiTheme="majorHAnsi"/>
          <w:noProof/>
        </w:rPr>
        <w:t>.</w:t>
      </w:r>
    </w:p>
    <w:p w14:paraId="27008CEA" w14:textId="77777777" w:rsidR="009E4500" w:rsidRPr="00F423B9" w:rsidRDefault="009E4500" w:rsidP="009E4500">
      <w:pPr>
        <w:pStyle w:val="amprH4Subhead1"/>
        <w:rPr>
          <w:rFonts w:asciiTheme="majorHAnsi" w:hAnsiTheme="majorHAnsi"/>
          <w:noProof/>
        </w:rPr>
      </w:pPr>
      <w:r w:rsidRPr="002254C3">
        <w:rPr>
          <w:rFonts w:asciiTheme="majorHAnsi" w:hAnsiTheme="majorHAnsi"/>
          <w:noProof/>
        </w:rPr>
        <w:t xml:space="preserve">Heading </w:t>
      </w:r>
      <w:r>
        <w:rPr>
          <w:rFonts w:asciiTheme="majorHAnsi" w:hAnsiTheme="majorHAnsi"/>
          <w:noProof/>
        </w:rPr>
        <w:t>3</w:t>
      </w:r>
      <w:r w:rsidRPr="002254C3">
        <w:rPr>
          <w:rFonts w:asciiTheme="majorHAnsi" w:hAnsiTheme="majorHAnsi"/>
          <w:noProof/>
        </w:rPr>
        <w:t xml:space="preserve"> – </w:t>
      </w:r>
      <w:r w:rsidRPr="00BD4E49">
        <w:rPr>
          <w:rFonts w:asciiTheme="majorHAnsi" w:hAnsiTheme="majorHAnsi"/>
          <w:noProof/>
        </w:rPr>
        <w:t>Global Europe</w:t>
      </w:r>
    </w:p>
    <w:p w14:paraId="5B2AA667" w14:textId="77777777" w:rsidR="009E4500" w:rsidRDefault="009E4500" w:rsidP="009E4500">
      <w:pPr>
        <w:spacing w:after="120" w:line="276" w:lineRule="auto"/>
        <w:jc w:val="both"/>
        <w:rPr>
          <w:rFonts w:asciiTheme="majorHAnsi" w:hAnsiTheme="majorHAnsi"/>
          <w:noProof/>
        </w:rPr>
      </w:pPr>
      <w:r w:rsidRPr="00BD4E49">
        <w:rPr>
          <w:rFonts w:asciiTheme="majorHAnsi" w:hAnsiTheme="majorHAnsi"/>
          <w:noProof/>
        </w:rPr>
        <w:t>Payments under heading 3 total EUR</w:t>
      </w:r>
      <w:r>
        <w:rPr>
          <w:rFonts w:ascii="Calibri" w:hAnsi="Calibri" w:cs="Calibri"/>
          <w:noProof/>
        </w:rPr>
        <w:t> </w:t>
      </w:r>
      <w:r w:rsidRPr="002A7EB3">
        <w:rPr>
          <w:rFonts w:asciiTheme="majorHAnsi" w:hAnsiTheme="majorHAnsi"/>
          <w:b/>
          <w:noProof/>
        </w:rPr>
        <w:t>135</w:t>
      </w:r>
      <w:r w:rsidRPr="002A7EB3">
        <w:rPr>
          <w:rFonts w:ascii="Calibri" w:hAnsi="Calibri" w:cs="Calibri"/>
          <w:b/>
          <w:noProof/>
        </w:rPr>
        <w:t> </w:t>
      </w:r>
      <w:r w:rsidRPr="002A7EB3">
        <w:rPr>
          <w:rFonts w:asciiTheme="majorHAnsi" w:hAnsiTheme="majorHAnsi"/>
          <w:b/>
          <w:noProof/>
        </w:rPr>
        <w:t>billion</w:t>
      </w:r>
      <w:r w:rsidRPr="00BD4E49">
        <w:rPr>
          <w:rFonts w:asciiTheme="majorHAnsi" w:hAnsiTheme="majorHAnsi"/>
          <w:noProof/>
        </w:rPr>
        <w:t>. Payments are mainly driven by Global Europe.</w:t>
      </w:r>
      <w:r>
        <w:rPr>
          <w:rFonts w:asciiTheme="majorHAnsi" w:hAnsiTheme="majorHAnsi"/>
          <w:noProof/>
        </w:rPr>
        <w:t xml:space="preserve"> </w:t>
      </w:r>
    </w:p>
    <w:p w14:paraId="0E3E9C81" w14:textId="77777777" w:rsidR="009E4500" w:rsidRPr="00F423B9" w:rsidRDefault="009E4500" w:rsidP="009E4500">
      <w:pPr>
        <w:pStyle w:val="amprH4Subhead1"/>
        <w:rPr>
          <w:rFonts w:asciiTheme="majorHAnsi" w:hAnsiTheme="majorHAnsi"/>
          <w:noProof/>
        </w:rPr>
      </w:pPr>
      <w:r>
        <w:rPr>
          <w:rFonts w:asciiTheme="majorHAnsi" w:hAnsiTheme="majorHAnsi"/>
          <w:noProof/>
        </w:rPr>
        <w:t>Special instruments</w:t>
      </w:r>
    </w:p>
    <w:p w14:paraId="1306C799" w14:textId="77777777" w:rsidR="009E4500" w:rsidRDefault="009E4500" w:rsidP="009E4500">
      <w:pPr>
        <w:spacing w:after="120" w:line="276" w:lineRule="auto"/>
        <w:jc w:val="both"/>
        <w:rPr>
          <w:noProof/>
        </w:rPr>
      </w:pPr>
      <w:r>
        <w:rPr>
          <w:noProof/>
        </w:rPr>
        <w:t>Special instruments fall under two categories:</w:t>
      </w:r>
    </w:p>
    <w:p w14:paraId="0623FE0B" w14:textId="55F3AC1B" w:rsidR="009E4500" w:rsidRDefault="009E4500" w:rsidP="009E4500">
      <w:pPr>
        <w:spacing w:before="0" w:after="120" w:line="276" w:lineRule="auto"/>
        <w:jc w:val="both"/>
        <w:rPr>
          <w:noProof/>
        </w:rPr>
      </w:pPr>
      <w:r w:rsidRPr="00EC59CE">
        <w:rPr>
          <w:b/>
          <w:bCs/>
          <w:noProof/>
        </w:rPr>
        <w:t>Thematic instrument (Ukraine)</w:t>
      </w:r>
      <w:r w:rsidRPr="70AFE876">
        <w:rPr>
          <w:noProof/>
        </w:rPr>
        <w:t xml:space="preserve"> –</w:t>
      </w:r>
      <w:r w:rsidRPr="168FC6E1">
        <w:rPr>
          <w:noProof/>
        </w:rPr>
        <w:t xml:space="preserve"> The Ukraine Reserve </w:t>
      </w:r>
      <w:r w:rsidR="00C31044">
        <w:rPr>
          <w:noProof/>
        </w:rPr>
        <w:t>will be</w:t>
      </w:r>
      <w:r w:rsidR="00C31044" w:rsidRPr="168FC6E1">
        <w:rPr>
          <w:noProof/>
        </w:rPr>
        <w:t xml:space="preserve"> </w:t>
      </w:r>
      <w:r w:rsidRPr="168FC6E1">
        <w:rPr>
          <w:noProof/>
        </w:rPr>
        <w:t>a thematic special instrument</w:t>
      </w:r>
      <w:r>
        <w:rPr>
          <w:noProof/>
        </w:rPr>
        <w:t xml:space="preserve"> (EUR</w:t>
      </w:r>
      <w:r w:rsidRPr="0004739D">
        <w:rPr>
          <w:rFonts w:ascii="Calibri" w:hAnsi="Calibri" w:cs="Calibri"/>
          <w:noProof/>
        </w:rPr>
        <w:t> </w:t>
      </w:r>
      <w:r>
        <w:rPr>
          <w:noProof/>
        </w:rPr>
        <w:t>100</w:t>
      </w:r>
      <w:r w:rsidRPr="0004739D">
        <w:rPr>
          <w:rFonts w:ascii="Calibri" w:hAnsi="Calibri" w:cs="Calibri"/>
          <w:noProof/>
        </w:rPr>
        <w:t> </w:t>
      </w:r>
      <w:r>
        <w:rPr>
          <w:noProof/>
        </w:rPr>
        <w:t>billion)</w:t>
      </w:r>
      <w:r w:rsidRPr="168FC6E1">
        <w:rPr>
          <w:noProof/>
        </w:rPr>
        <w:t xml:space="preserve"> to allow the Union to finance Ukraine’s recovery and reconstruction efforts as well as supporting the country’s accession path via pre-accession assistance. All support to Ukraine will be channelled and implemented through Global Europe. The MFF Regulation foresees that the annual amount mobilised under the Ukraine Reserve in a given year shall not exceed EUR 13.5 billion in 2025 prices. </w:t>
      </w:r>
      <w:r w:rsidRPr="00A12EDB">
        <w:rPr>
          <w:noProof/>
        </w:rPr>
        <w:t>On 24 February 2026, the a Regulation</w:t>
      </w:r>
      <w:r>
        <w:rPr>
          <w:rStyle w:val="EndnoteReference"/>
          <w:noProof/>
        </w:rPr>
        <w:endnoteReference w:id="17"/>
      </w:r>
      <w:r w:rsidRPr="00A12EDB">
        <w:rPr>
          <w:noProof/>
        </w:rPr>
        <w:t xml:space="preserve"> establishing a EUR 90 billion Ukraine support loan</w:t>
      </w:r>
      <w:r w:rsidR="008E54A6">
        <w:rPr>
          <w:noProof/>
        </w:rPr>
        <w:t xml:space="preserve"> was adopted</w:t>
      </w:r>
      <w:r w:rsidRPr="00E970B3">
        <w:rPr>
          <w:noProof/>
        </w:rPr>
        <w:t xml:space="preserve">. On 23 May 2026, the 2021-2027 MFF Regulation was amended to allow the financial backing of this loan under the EU budget headroom, over and above the MFF ceilings, as well as to create a special instrument for the financing of the interest rate subsidy provided by the Union to Ukraine for the loan. </w:t>
      </w:r>
      <w:r w:rsidRPr="00F50A96">
        <w:rPr>
          <w:noProof/>
        </w:rPr>
        <w:t>This expenditure</w:t>
      </w:r>
      <w:r>
        <w:rPr>
          <w:noProof/>
        </w:rPr>
        <w:t xml:space="preserve"> and the related contingent liabilities, to be covered under the EU budget headroom, is not included in the EUR 100 billion Ukraine Reserve proposed in July 2025. </w:t>
      </w:r>
    </w:p>
    <w:p w14:paraId="2DD5AE16" w14:textId="77777777" w:rsidR="009E4500" w:rsidRDefault="009E4500" w:rsidP="009E4500">
      <w:pPr>
        <w:spacing w:before="0" w:after="120" w:line="276" w:lineRule="auto"/>
        <w:jc w:val="both"/>
        <w:rPr>
          <w:noProof/>
        </w:rPr>
      </w:pPr>
      <w:r w:rsidRPr="00EC59CE">
        <w:rPr>
          <w:b/>
          <w:bCs/>
          <w:noProof/>
        </w:rPr>
        <w:t>Non-thematic instruments</w:t>
      </w:r>
      <w:r>
        <w:rPr>
          <w:noProof/>
        </w:rPr>
        <w:t xml:space="preserve"> – allocating additional amounts for specific MFF programmes subject to specific conditions. Their mobilisation and the subsequent payment needs cannot be forecast. For the Flexibility Instrument, the MFF Regulation for 2028-2034 foresees at minimum an annual fixed amount of EUR</w:t>
      </w:r>
      <w:r>
        <w:rPr>
          <w:rFonts w:ascii="Calibri" w:hAnsi="Calibri" w:cs="Calibri"/>
          <w:noProof/>
        </w:rPr>
        <w:t> </w:t>
      </w:r>
      <w:r>
        <w:rPr>
          <w:noProof/>
        </w:rPr>
        <w:t>2</w:t>
      </w:r>
      <w:r>
        <w:rPr>
          <w:rFonts w:ascii="Calibri" w:hAnsi="Calibri" w:cs="Calibri"/>
          <w:noProof/>
        </w:rPr>
        <w:t> </w:t>
      </w:r>
      <w:r>
        <w:rPr>
          <w:noProof/>
        </w:rPr>
        <w:t>000</w:t>
      </w:r>
      <w:r>
        <w:rPr>
          <w:rFonts w:ascii="Calibri" w:hAnsi="Calibri" w:cs="Calibri"/>
          <w:noProof/>
        </w:rPr>
        <w:t> </w:t>
      </w:r>
      <w:r>
        <w:rPr>
          <w:noProof/>
        </w:rPr>
        <w:t>million in 2025 prices.</w:t>
      </w:r>
    </w:p>
    <w:p w14:paraId="11214EA4" w14:textId="562A0C17" w:rsidR="009E4500" w:rsidRPr="00F423B9" w:rsidRDefault="009E4500" w:rsidP="009E4500">
      <w:pPr>
        <w:spacing w:before="0" w:after="120" w:line="276" w:lineRule="auto"/>
        <w:jc w:val="both"/>
        <w:rPr>
          <w:rFonts w:asciiTheme="majorHAnsi" w:hAnsiTheme="majorHAnsi"/>
          <w:noProof/>
        </w:rPr>
      </w:pPr>
      <w:r>
        <w:rPr>
          <w:noProof/>
        </w:rPr>
        <w:t xml:space="preserve">The expenditure covered by the mobilisation of special instruments is counted in addition to the MFF ceilings and is excluded for the purpose of establishing the margins for commitments and payments. Due to their nature </w:t>
      </w:r>
      <w:r w:rsidR="00E8293B">
        <w:rPr>
          <w:noProof/>
        </w:rPr>
        <w:t>and</w:t>
      </w:r>
      <w:r>
        <w:rPr>
          <w:noProof/>
        </w:rPr>
        <w:t xml:space="preserve"> since they are subject to decisions of the budgetary authority on annual basis, the amounts for 2028-2034 presented in this report do not </w:t>
      </w:r>
      <w:r w:rsidR="00E8293B">
        <w:rPr>
          <w:noProof/>
        </w:rPr>
        <w:t>account for</w:t>
      </w:r>
      <w:r>
        <w:rPr>
          <w:noProof/>
        </w:rPr>
        <w:t xml:space="preserve"> the mobilisation of these special instruments.</w:t>
      </w:r>
    </w:p>
    <w:p w14:paraId="39623D05" w14:textId="5AD8B7CB" w:rsidR="00861C1C" w:rsidRPr="00F423B9" w:rsidRDefault="003B6DC2">
      <w:pPr>
        <w:pStyle w:val="amprH3Title2-Numbered-11"/>
        <w:rPr>
          <w:rFonts w:asciiTheme="majorHAnsi" w:hAnsiTheme="majorHAnsi"/>
          <w:noProof/>
        </w:rPr>
      </w:pPr>
      <w:bookmarkStart w:id="24" w:name="_Toc74213162"/>
      <w:bookmarkStart w:id="25" w:name="_Toc71370937"/>
      <w:bookmarkStart w:id="26" w:name="_Toc71377349"/>
      <w:bookmarkStart w:id="27" w:name="_Toc71392500"/>
      <w:bookmarkStart w:id="28" w:name="_Toc71399666"/>
      <w:bookmarkStart w:id="29" w:name="_Toc71454330"/>
      <w:bookmarkStart w:id="30" w:name="_Toc71462280"/>
      <w:bookmarkStart w:id="31" w:name="_Toc71462312"/>
      <w:bookmarkStart w:id="32" w:name="_Toc71370938"/>
      <w:bookmarkStart w:id="33" w:name="_Toc71377350"/>
      <w:bookmarkStart w:id="34" w:name="_Toc71392501"/>
      <w:bookmarkStart w:id="35" w:name="_Toc71399667"/>
      <w:bookmarkStart w:id="36" w:name="_Toc71454331"/>
      <w:bookmarkStart w:id="37" w:name="_Toc71462281"/>
      <w:bookmarkStart w:id="38" w:name="_Toc71462313"/>
      <w:bookmarkStart w:id="39" w:name="_Toc71370939"/>
      <w:bookmarkStart w:id="40" w:name="_Toc71377351"/>
      <w:bookmarkStart w:id="41" w:name="_Toc71392502"/>
      <w:bookmarkStart w:id="42" w:name="_Toc71399668"/>
      <w:bookmarkStart w:id="43" w:name="_Toc71454332"/>
      <w:bookmarkStart w:id="44" w:name="_Toc71462282"/>
      <w:bookmarkStart w:id="45" w:name="_Toc71462314"/>
      <w:bookmarkStart w:id="46" w:name="_Toc71224921"/>
      <w:bookmarkStart w:id="47" w:name="_Toc71226625"/>
      <w:bookmarkStart w:id="48" w:name="_Toc71232395"/>
      <w:bookmarkStart w:id="49" w:name="_Toc71370940"/>
      <w:bookmarkStart w:id="50" w:name="_Toc71377352"/>
      <w:bookmarkStart w:id="51" w:name="_Toc71392503"/>
      <w:bookmarkStart w:id="52" w:name="_Toc71399669"/>
      <w:bookmarkStart w:id="53" w:name="_Toc71454333"/>
      <w:bookmarkStart w:id="54" w:name="_Toc71462283"/>
      <w:bookmarkStart w:id="55" w:name="_Toc71462315"/>
      <w:bookmarkStart w:id="56" w:name="_Toc71224922"/>
      <w:bookmarkStart w:id="57" w:name="_Toc71226626"/>
      <w:bookmarkStart w:id="58" w:name="_Toc71232396"/>
      <w:bookmarkStart w:id="59" w:name="_Toc71370941"/>
      <w:bookmarkStart w:id="60" w:name="_Toc71377353"/>
      <w:bookmarkStart w:id="61" w:name="_Toc71392504"/>
      <w:bookmarkStart w:id="62" w:name="_Toc71399670"/>
      <w:bookmarkStart w:id="63" w:name="_Toc71454334"/>
      <w:bookmarkStart w:id="64" w:name="_Toc71462284"/>
      <w:bookmarkStart w:id="65" w:name="_Toc71462316"/>
      <w:bookmarkStart w:id="66" w:name="_Toc524523063"/>
      <w:bookmarkStart w:id="67" w:name="_Toc233958940"/>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F423B9">
        <w:rPr>
          <w:rFonts w:asciiTheme="majorHAnsi" w:hAnsiTheme="majorHAnsi"/>
          <w:noProof/>
        </w:rPr>
        <w:t>Decommitments</w:t>
      </w:r>
      <w:bookmarkEnd w:id="66"/>
      <w:bookmarkEnd w:id="67"/>
    </w:p>
    <w:p w14:paraId="70AD1C3C" w14:textId="021A15CD" w:rsidR="00D31DBA" w:rsidRPr="00D31DBA" w:rsidRDefault="00D31DBA" w:rsidP="00D31DBA">
      <w:pPr>
        <w:spacing w:after="120" w:line="276" w:lineRule="auto"/>
        <w:jc w:val="both"/>
        <w:rPr>
          <w:rFonts w:asciiTheme="majorHAnsi" w:hAnsiTheme="majorHAnsi"/>
          <w:noProof/>
        </w:rPr>
      </w:pPr>
      <w:r w:rsidRPr="00D31DBA">
        <w:rPr>
          <w:rFonts w:asciiTheme="majorHAnsi" w:hAnsiTheme="majorHAnsi"/>
          <w:noProof/>
        </w:rPr>
        <w:t>The</w:t>
      </w:r>
      <w:r w:rsidR="006A6485">
        <w:rPr>
          <w:rFonts w:asciiTheme="majorHAnsi" w:hAnsiTheme="majorHAnsi"/>
          <w:noProof/>
        </w:rPr>
        <w:t xml:space="preserve"> forecast </w:t>
      </w:r>
      <w:r w:rsidR="0F3D1261" w:rsidRPr="2E12055B">
        <w:rPr>
          <w:rFonts w:asciiTheme="majorHAnsi" w:hAnsiTheme="majorHAnsi"/>
          <w:noProof/>
        </w:rPr>
        <w:t>of</w:t>
      </w:r>
      <w:r w:rsidRPr="00D31DBA">
        <w:rPr>
          <w:rFonts w:asciiTheme="majorHAnsi" w:hAnsiTheme="majorHAnsi"/>
          <w:noProof/>
        </w:rPr>
        <w:t xml:space="preserve"> decommitments stemming from programmes </w:t>
      </w:r>
      <w:r w:rsidR="00C12EBE">
        <w:rPr>
          <w:rFonts w:asciiTheme="majorHAnsi" w:hAnsiTheme="majorHAnsi"/>
          <w:noProof/>
        </w:rPr>
        <w:t>under</w:t>
      </w:r>
      <w:r w:rsidRPr="00D31DBA">
        <w:rPr>
          <w:rFonts w:asciiTheme="majorHAnsi" w:hAnsiTheme="majorHAnsi"/>
          <w:noProof/>
        </w:rPr>
        <w:t xml:space="preserve"> the current and prior MFFs until </w:t>
      </w:r>
      <w:r w:rsidR="00943F2A" w:rsidRPr="00D31DBA">
        <w:rPr>
          <w:rFonts w:asciiTheme="majorHAnsi" w:hAnsiTheme="majorHAnsi"/>
          <w:noProof/>
        </w:rPr>
        <w:t>end-</w:t>
      </w:r>
      <w:r w:rsidRPr="00D31DBA">
        <w:rPr>
          <w:rFonts w:asciiTheme="majorHAnsi" w:hAnsiTheme="majorHAnsi"/>
          <w:noProof/>
        </w:rPr>
        <w:t>20</w:t>
      </w:r>
      <w:r w:rsidR="0007743B">
        <w:rPr>
          <w:rFonts w:asciiTheme="majorHAnsi" w:hAnsiTheme="majorHAnsi"/>
          <w:noProof/>
        </w:rPr>
        <w:t>34</w:t>
      </w:r>
      <w:r w:rsidRPr="00D31DBA">
        <w:rPr>
          <w:rFonts w:asciiTheme="majorHAnsi" w:hAnsiTheme="majorHAnsi"/>
          <w:noProof/>
        </w:rPr>
        <w:t xml:space="preserve"> stands</w:t>
      </w:r>
      <w:r>
        <w:rPr>
          <w:rFonts w:asciiTheme="majorHAnsi" w:hAnsiTheme="majorHAnsi"/>
          <w:noProof/>
        </w:rPr>
        <w:t xml:space="preserve"> </w:t>
      </w:r>
      <w:r w:rsidRPr="00D31DBA">
        <w:rPr>
          <w:rFonts w:asciiTheme="majorHAnsi" w:hAnsiTheme="majorHAnsi"/>
          <w:noProof/>
        </w:rPr>
        <w:t xml:space="preserve">at </w:t>
      </w:r>
      <w:r w:rsidRPr="0084311F">
        <w:rPr>
          <w:rFonts w:asciiTheme="majorHAnsi" w:hAnsiTheme="majorHAnsi"/>
          <w:b/>
          <w:noProof/>
        </w:rPr>
        <w:t>EUR</w:t>
      </w:r>
      <w:r w:rsidR="00B92620" w:rsidRPr="0084311F">
        <w:rPr>
          <w:rFonts w:ascii="Calibri" w:hAnsi="Calibri" w:cs="Calibri"/>
          <w:b/>
          <w:noProof/>
        </w:rPr>
        <w:t> </w:t>
      </w:r>
      <w:r w:rsidR="00B92620" w:rsidRPr="0084311F">
        <w:rPr>
          <w:rFonts w:asciiTheme="majorHAnsi" w:hAnsiTheme="majorHAnsi"/>
          <w:b/>
          <w:noProof/>
        </w:rPr>
        <w:t>11</w:t>
      </w:r>
      <w:r w:rsidR="00B92620" w:rsidRPr="0084311F">
        <w:rPr>
          <w:rFonts w:ascii="Calibri" w:hAnsi="Calibri" w:cs="Calibri"/>
          <w:b/>
          <w:noProof/>
        </w:rPr>
        <w:t> </w:t>
      </w:r>
      <w:r w:rsidRPr="0084311F">
        <w:rPr>
          <w:rFonts w:asciiTheme="majorHAnsi" w:hAnsiTheme="majorHAnsi"/>
          <w:b/>
          <w:noProof/>
        </w:rPr>
        <w:t>billion</w:t>
      </w:r>
      <w:r w:rsidR="006C20ED">
        <w:rPr>
          <w:rFonts w:asciiTheme="majorHAnsi" w:hAnsiTheme="majorHAnsi"/>
          <w:b/>
          <w:bCs/>
          <w:noProof/>
        </w:rPr>
        <w:t xml:space="preserve">. </w:t>
      </w:r>
      <w:r w:rsidR="006C20ED" w:rsidRPr="0084311F">
        <w:rPr>
          <w:rFonts w:asciiTheme="majorHAnsi" w:hAnsiTheme="majorHAnsi"/>
          <w:noProof/>
        </w:rPr>
        <w:t>It</w:t>
      </w:r>
      <w:r w:rsidR="00E6553F">
        <w:rPr>
          <w:rFonts w:asciiTheme="majorHAnsi" w:hAnsiTheme="majorHAnsi"/>
          <w:noProof/>
        </w:rPr>
        <w:t xml:space="preserve"> </w:t>
      </w:r>
      <w:r w:rsidRPr="00D31DBA">
        <w:rPr>
          <w:rFonts w:asciiTheme="majorHAnsi" w:hAnsiTheme="majorHAnsi"/>
          <w:noProof/>
        </w:rPr>
        <w:t xml:space="preserve">is </w:t>
      </w:r>
      <w:r w:rsidR="0074260A">
        <w:rPr>
          <w:rFonts w:asciiTheme="majorHAnsi" w:hAnsiTheme="majorHAnsi"/>
          <w:noProof/>
        </w:rPr>
        <w:t>substantially</w:t>
      </w:r>
      <w:r w:rsidRPr="00D31DBA">
        <w:rPr>
          <w:rFonts w:asciiTheme="majorHAnsi" w:hAnsiTheme="majorHAnsi"/>
          <w:noProof/>
        </w:rPr>
        <w:t xml:space="preserve"> driven by the cohesion programmes under the current MFF and the European Agricultural Fund for Rural Development (EAFRD).</w:t>
      </w:r>
      <w:r w:rsidR="00FB2C90">
        <w:rPr>
          <w:rFonts w:asciiTheme="majorHAnsi" w:hAnsiTheme="majorHAnsi"/>
          <w:noProof/>
        </w:rPr>
        <w:t xml:space="preserve"> </w:t>
      </w:r>
    </w:p>
    <w:p w14:paraId="07AF1B1F" w14:textId="64E210A4" w:rsidR="00D31DBA" w:rsidRPr="0084311F" w:rsidRDefault="00D31DBA" w:rsidP="00D31DBA">
      <w:pPr>
        <w:spacing w:after="120" w:line="276" w:lineRule="auto"/>
        <w:jc w:val="both"/>
        <w:rPr>
          <w:rFonts w:asciiTheme="majorHAnsi" w:hAnsiTheme="majorHAnsi"/>
          <w:noProof/>
          <w:spacing w:val="-6"/>
        </w:rPr>
      </w:pPr>
      <w:r w:rsidRPr="0084311F">
        <w:rPr>
          <w:rFonts w:asciiTheme="majorHAnsi" w:hAnsiTheme="majorHAnsi"/>
          <w:noProof/>
          <w:spacing w:val="-6"/>
        </w:rPr>
        <w:t xml:space="preserve">The MFF 2028-2034 proposes substantive changes to the delivery modes </w:t>
      </w:r>
      <w:r w:rsidR="00507670" w:rsidRPr="0084311F">
        <w:rPr>
          <w:rFonts w:asciiTheme="majorHAnsi" w:hAnsiTheme="majorHAnsi"/>
          <w:noProof/>
          <w:spacing w:val="-6"/>
        </w:rPr>
        <w:t xml:space="preserve">aimed at </w:t>
      </w:r>
      <w:r w:rsidRPr="0084311F">
        <w:rPr>
          <w:rFonts w:asciiTheme="majorHAnsi" w:hAnsiTheme="majorHAnsi"/>
          <w:noProof/>
          <w:spacing w:val="-6"/>
        </w:rPr>
        <w:t>simplify</w:t>
      </w:r>
      <w:r w:rsidR="00507670" w:rsidRPr="0084311F">
        <w:rPr>
          <w:rFonts w:asciiTheme="majorHAnsi" w:hAnsiTheme="majorHAnsi"/>
          <w:noProof/>
          <w:spacing w:val="-6"/>
        </w:rPr>
        <w:t>ing</w:t>
      </w:r>
      <w:r w:rsidRPr="0084311F">
        <w:rPr>
          <w:rFonts w:asciiTheme="majorHAnsi" w:hAnsiTheme="majorHAnsi"/>
          <w:noProof/>
          <w:spacing w:val="-6"/>
        </w:rPr>
        <w:t xml:space="preserve"> and accelerat</w:t>
      </w:r>
      <w:r w:rsidR="00266664" w:rsidRPr="0084311F">
        <w:rPr>
          <w:rFonts w:asciiTheme="majorHAnsi" w:hAnsiTheme="majorHAnsi"/>
          <w:noProof/>
          <w:spacing w:val="-6"/>
        </w:rPr>
        <w:t>ing</w:t>
      </w:r>
      <w:r w:rsidRPr="0084311F">
        <w:rPr>
          <w:rFonts w:asciiTheme="majorHAnsi" w:hAnsiTheme="majorHAnsi"/>
          <w:noProof/>
          <w:spacing w:val="-6"/>
        </w:rPr>
        <w:t xml:space="preserve"> implementation</w:t>
      </w:r>
      <w:r w:rsidR="003E543B">
        <w:rPr>
          <w:rFonts w:asciiTheme="majorHAnsi" w:hAnsiTheme="majorHAnsi"/>
          <w:noProof/>
          <w:spacing w:val="-6"/>
        </w:rPr>
        <w:t xml:space="preserve">, </w:t>
      </w:r>
      <w:r w:rsidR="0051045E">
        <w:rPr>
          <w:rFonts w:asciiTheme="majorHAnsi" w:hAnsiTheme="majorHAnsi"/>
          <w:noProof/>
          <w:spacing w:val="-6"/>
        </w:rPr>
        <w:t>leading to a</w:t>
      </w:r>
      <w:r w:rsidR="00BC0A57" w:rsidRPr="0084311F">
        <w:rPr>
          <w:rFonts w:asciiTheme="majorHAnsi" w:hAnsiTheme="majorHAnsi"/>
          <w:noProof/>
          <w:spacing w:val="-6"/>
        </w:rPr>
        <w:t xml:space="preserve"> </w:t>
      </w:r>
      <w:r w:rsidRPr="0084311F">
        <w:rPr>
          <w:rFonts w:asciiTheme="majorHAnsi" w:hAnsiTheme="majorHAnsi"/>
          <w:noProof/>
          <w:spacing w:val="-6"/>
        </w:rPr>
        <w:t xml:space="preserve">full take up of the commitments </w:t>
      </w:r>
      <w:r w:rsidR="0051045E">
        <w:rPr>
          <w:rFonts w:asciiTheme="majorHAnsi" w:hAnsiTheme="majorHAnsi"/>
          <w:noProof/>
          <w:spacing w:val="-6"/>
        </w:rPr>
        <w:t>in</w:t>
      </w:r>
      <w:r w:rsidRPr="0084311F">
        <w:rPr>
          <w:rFonts w:asciiTheme="majorHAnsi" w:hAnsiTheme="majorHAnsi"/>
          <w:noProof/>
          <w:spacing w:val="-6"/>
        </w:rPr>
        <w:t xml:space="preserve"> the next MFF. Therefore, no</w:t>
      </w:r>
      <w:r w:rsidR="005A54A2" w:rsidRPr="0084311F">
        <w:rPr>
          <w:rFonts w:asciiTheme="majorHAnsi" w:hAnsiTheme="majorHAnsi"/>
          <w:noProof/>
          <w:spacing w:val="-6"/>
        </w:rPr>
        <w:t xml:space="preserve"> </w:t>
      </w:r>
      <w:r w:rsidRPr="0084311F">
        <w:rPr>
          <w:rFonts w:asciiTheme="majorHAnsi" w:hAnsiTheme="majorHAnsi"/>
          <w:noProof/>
          <w:spacing w:val="-6"/>
        </w:rPr>
        <w:t xml:space="preserve">specific decommitment forecast is </w:t>
      </w:r>
      <w:r w:rsidR="00A94D5D">
        <w:rPr>
          <w:rFonts w:asciiTheme="majorHAnsi" w:hAnsiTheme="majorHAnsi"/>
          <w:noProof/>
        </w:rPr>
        <w:t>assumed</w:t>
      </w:r>
      <w:r w:rsidRPr="0084311F">
        <w:rPr>
          <w:rFonts w:asciiTheme="majorHAnsi" w:hAnsiTheme="majorHAnsi"/>
          <w:noProof/>
          <w:spacing w:val="-6"/>
        </w:rPr>
        <w:t xml:space="preserve"> </w:t>
      </w:r>
      <w:r w:rsidR="00E8293B">
        <w:rPr>
          <w:rFonts w:asciiTheme="majorHAnsi" w:hAnsiTheme="majorHAnsi"/>
          <w:noProof/>
          <w:spacing w:val="-6"/>
        </w:rPr>
        <w:t>for</w:t>
      </w:r>
      <w:r w:rsidRPr="0084311F">
        <w:rPr>
          <w:rFonts w:asciiTheme="majorHAnsi" w:hAnsiTheme="majorHAnsi"/>
          <w:noProof/>
          <w:spacing w:val="-6"/>
        </w:rPr>
        <w:t xml:space="preserve"> programmes</w:t>
      </w:r>
      <w:r w:rsidR="00E8293B">
        <w:rPr>
          <w:rFonts w:asciiTheme="majorHAnsi" w:hAnsiTheme="majorHAnsi"/>
          <w:noProof/>
          <w:spacing w:val="-6"/>
        </w:rPr>
        <w:t xml:space="preserve"> under the next MFF</w:t>
      </w:r>
      <w:r w:rsidRPr="0084311F">
        <w:rPr>
          <w:rFonts w:asciiTheme="majorHAnsi" w:hAnsiTheme="majorHAnsi"/>
          <w:noProof/>
          <w:spacing w:val="-6"/>
        </w:rPr>
        <w:t>.</w:t>
      </w:r>
    </w:p>
    <w:p w14:paraId="0AA447F8" w14:textId="6AEAADED" w:rsidR="00861C1C" w:rsidRPr="00F423B9" w:rsidRDefault="55E43B5C" w:rsidP="00A74031">
      <w:pPr>
        <w:pStyle w:val="amprH4Subhead1"/>
        <w:spacing w:after="120" w:line="276" w:lineRule="auto"/>
        <w:jc w:val="both"/>
        <w:rPr>
          <w:rFonts w:asciiTheme="majorHAnsi" w:hAnsiTheme="majorHAnsi"/>
          <w:noProof/>
        </w:rPr>
      </w:pPr>
      <w:r w:rsidRPr="00F423B9">
        <w:rPr>
          <w:rFonts w:asciiTheme="majorHAnsi" w:hAnsiTheme="majorHAnsi"/>
          <w:noProof/>
        </w:rPr>
        <w:t>Heading 2a – Cohesion policy</w:t>
      </w:r>
    </w:p>
    <w:p w14:paraId="7D8650F4" w14:textId="6A76A254" w:rsidR="00861C1C" w:rsidRPr="00F423B9" w:rsidRDefault="00777C81" w:rsidP="04494A96">
      <w:pPr>
        <w:spacing w:after="120" w:line="276" w:lineRule="auto"/>
        <w:jc w:val="both"/>
        <w:rPr>
          <w:rFonts w:asciiTheme="majorHAnsi" w:hAnsiTheme="majorHAnsi"/>
          <w:noProof/>
        </w:rPr>
      </w:pPr>
      <w:bookmarkStart w:id="68" w:name="_Hlk136514282"/>
      <w:r w:rsidRPr="00777C81">
        <w:rPr>
          <w:rFonts w:asciiTheme="majorHAnsi" w:hAnsiTheme="majorHAnsi"/>
          <w:noProof/>
        </w:rPr>
        <w:t xml:space="preserve">Considering the latest available </w:t>
      </w:r>
      <w:r w:rsidR="001D36B1">
        <w:rPr>
          <w:rFonts w:asciiTheme="majorHAnsi" w:hAnsiTheme="majorHAnsi"/>
          <w:noProof/>
        </w:rPr>
        <w:t>information</w:t>
      </w:r>
      <w:r w:rsidRPr="00777C81">
        <w:rPr>
          <w:rFonts w:asciiTheme="majorHAnsi" w:hAnsiTheme="majorHAnsi"/>
          <w:noProof/>
        </w:rPr>
        <w:t>, decommitments for the completion of the</w:t>
      </w:r>
      <w:r>
        <w:rPr>
          <w:rFonts w:asciiTheme="majorHAnsi" w:hAnsiTheme="majorHAnsi"/>
          <w:noProof/>
        </w:rPr>
        <w:t xml:space="preserve"> </w:t>
      </w:r>
      <w:r w:rsidRPr="00777C81">
        <w:rPr>
          <w:rFonts w:asciiTheme="majorHAnsi" w:hAnsiTheme="majorHAnsi"/>
          <w:noProof/>
        </w:rPr>
        <w:t xml:space="preserve">programmes 2014-2020 </w:t>
      </w:r>
      <w:r w:rsidRPr="457755A8">
        <w:rPr>
          <w:rFonts w:asciiTheme="majorHAnsi" w:hAnsiTheme="majorHAnsi"/>
          <w:noProof/>
        </w:rPr>
        <w:t>ha</w:t>
      </w:r>
      <w:r w:rsidR="00D92AED" w:rsidRPr="457755A8">
        <w:rPr>
          <w:rFonts w:asciiTheme="majorHAnsi" w:hAnsiTheme="majorHAnsi"/>
          <w:noProof/>
        </w:rPr>
        <w:t>ve</w:t>
      </w:r>
      <w:r w:rsidR="4615A069" w:rsidRPr="457755A8">
        <w:rPr>
          <w:rFonts w:asciiTheme="majorHAnsi" w:hAnsiTheme="majorHAnsi"/>
          <w:noProof/>
        </w:rPr>
        <w:t xml:space="preserve"> </w:t>
      </w:r>
      <w:r w:rsidR="00897229">
        <w:rPr>
          <w:rFonts w:asciiTheme="majorHAnsi" w:hAnsiTheme="majorHAnsi"/>
          <w:noProof/>
        </w:rPr>
        <w:t>increased</w:t>
      </w:r>
      <w:r w:rsidRPr="00777C81">
        <w:rPr>
          <w:rFonts w:asciiTheme="majorHAnsi" w:hAnsiTheme="majorHAnsi"/>
          <w:noProof/>
        </w:rPr>
        <w:t xml:space="preserve"> compared to last year’s report</w:t>
      </w:r>
      <w:r w:rsidR="00B637CD">
        <w:rPr>
          <w:rFonts w:asciiTheme="majorHAnsi" w:hAnsiTheme="majorHAnsi"/>
          <w:noProof/>
        </w:rPr>
        <w:t xml:space="preserve"> from EUR</w:t>
      </w:r>
      <w:r w:rsidR="00B637CD">
        <w:rPr>
          <w:rFonts w:ascii="Calibri" w:hAnsi="Calibri" w:cs="Calibri"/>
          <w:noProof/>
        </w:rPr>
        <w:t> </w:t>
      </w:r>
      <w:r w:rsidR="00B637CD">
        <w:rPr>
          <w:rFonts w:asciiTheme="majorHAnsi" w:hAnsiTheme="majorHAnsi"/>
          <w:noProof/>
        </w:rPr>
        <w:t>0.5</w:t>
      </w:r>
      <w:r w:rsidR="00B637CD">
        <w:rPr>
          <w:rFonts w:ascii="Calibri" w:hAnsi="Calibri" w:cs="Calibri"/>
          <w:noProof/>
        </w:rPr>
        <w:t> </w:t>
      </w:r>
      <w:r w:rsidR="00B637CD">
        <w:rPr>
          <w:rFonts w:asciiTheme="majorHAnsi" w:hAnsiTheme="majorHAnsi"/>
          <w:noProof/>
        </w:rPr>
        <w:t>billion to EUR</w:t>
      </w:r>
      <w:r w:rsidR="00B637CD">
        <w:rPr>
          <w:rFonts w:ascii="Calibri" w:hAnsi="Calibri" w:cs="Calibri"/>
          <w:noProof/>
        </w:rPr>
        <w:t> </w:t>
      </w:r>
      <w:r w:rsidR="00B637CD">
        <w:rPr>
          <w:rFonts w:asciiTheme="majorHAnsi" w:hAnsiTheme="majorHAnsi"/>
          <w:noProof/>
        </w:rPr>
        <w:t>1.6</w:t>
      </w:r>
      <w:r w:rsidR="00B637CD">
        <w:rPr>
          <w:rFonts w:ascii="Calibri" w:hAnsi="Calibri" w:cs="Calibri"/>
          <w:noProof/>
        </w:rPr>
        <w:t> </w:t>
      </w:r>
      <w:r w:rsidR="00B637CD">
        <w:rPr>
          <w:rFonts w:asciiTheme="majorHAnsi" w:hAnsiTheme="majorHAnsi"/>
          <w:noProof/>
        </w:rPr>
        <w:t>billion</w:t>
      </w:r>
      <w:r w:rsidRPr="00777C81">
        <w:rPr>
          <w:rFonts w:asciiTheme="majorHAnsi" w:hAnsiTheme="majorHAnsi"/>
          <w:noProof/>
        </w:rPr>
        <w:t xml:space="preserve">. </w:t>
      </w:r>
      <w:r w:rsidR="005B7816" w:rsidRPr="457755A8">
        <w:rPr>
          <w:rFonts w:asciiTheme="majorHAnsi" w:hAnsiTheme="majorHAnsi"/>
          <w:noProof/>
        </w:rPr>
        <w:t xml:space="preserve">Overall, the risk of decommitments at the end of 2027 </w:t>
      </w:r>
      <w:r w:rsidR="004C2BA4">
        <w:rPr>
          <w:rFonts w:asciiTheme="majorHAnsi" w:hAnsiTheme="majorHAnsi"/>
          <w:noProof/>
        </w:rPr>
        <w:t xml:space="preserve">for the programmes 2021-2027 </w:t>
      </w:r>
      <w:r w:rsidR="0098434A">
        <w:rPr>
          <w:rFonts w:asciiTheme="majorHAnsi" w:hAnsiTheme="majorHAnsi"/>
          <w:noProof/>
        </w:rPr>
        <w:t>is</w:t>
      </w:r>
      <w:r w:rsidR="005B7816" w:rsidRPr="457755A8">
        <w:rPr>
          <w:rFonts w:asciiTheme="majorHAnsi" w:hAnsiTheme="majorHAnsi"/>
          <w:noProof/>
        </w:rPr>
        <w:t xml:space="preserve"> low thanks to accelerated implementation, and additional pre-financing stemming from the mid-term review of cohesion policy. </w:t>
      </w:r>
      <w:r w:rsidR="005849B9">
        <w:rPr>
          <w:rFonts w:asciiTheme="majorHAnsi" w:hAnsiTheme="majorHAnsi"/>
          <w:noProof/>
        </w:rPr>
        <w:t xml:space="preserve">In 2025 and 2026, Member States have submitted payment applications </w:t>
      </w:r>
      <w:r w:rsidR="00680920">
        <w:rPr>
          <w:rFonts w:asciiTheme="majorHAnsi" w:hAnsiTheme="majorHAnsi"/>
          <w:noProof/>
        </w:rPr>
        <w:t>exceeding the</w:t>
      </w:r>
      <w:r w:rsidR="005849B9">
        <w:rPr>
          <w:rFonts w:asciiTheme="majorHAnsi" w:hAnsiTheme="majorHAnsi"/>
          <w:noProof/>
        </w:rPr>
        <w:t xml:space="preserve"> n+3 decommitment </w:t>
      </w:r>
      <w:r w:rsidR="00214894">
        <w:rPr>
          <w:rFonts w:asciiTheme="majorHAnsi" w:hAnsiTheme="majorHAnsi"/>
          <w:noProof/>
        </w:rPr>
        <w:t>rule</w:t>
      </w:r>
      <w:r w:rsidR="00EB0716">
        <w:rPr>
          <w:rFonts w:asciiTheme="majorHAnsi" w:hAnsiTheme="majorHAnsi"/>
          <w:noProof/>
        </w:rPr>
        <w:t>, and t</w:t>
      </w:r>
      <w:r w:rsidR="00680920">
        <w:rPr>
          <w:rFonts w:asciiTheme="majorHAnsi" w:hAnsiTheme="majorHAnsi"/>
          <w:noProof/>
        </w:rPr>
        <w:t xml:space="preserve">his </w:t>
      </w:r>
      <w:r w:rsidR="00EB0716">
        <w:rPr>
          <w:rFonts w:asciiTheme="majorHAnsi" w:hAnsiTheme="majorHAnsi"/>
          <w:noProof/>
        </w:rPr>
        <w:t>trend is expected to continue in 2027.</w:t>
      </w:r>
      <w:r w:rsidR="005B7816" w:rsidRPr="457755A8">
        <w:rPr>
          <w:rFonts w:asciiTheme="majorHAnsi" w:hAnsiTheme="majorHAnsi"/>
          <w:noProof/>
        </w:rPr>
        <w:t xml:space="preserve"> </w:t>
      </w:r>
      <w:r w:rsidR="006C3869">
        <w:rPr>
          <w:rFonts w:asciiTheme="majorHAnsi" w:hAnsiTheme="majorHAnsi"/>
          <w:noProof/>
        </w:rPr>
        <w:t xml:space="preserve">However, </w:t>
      </w:r>
      <w:r w:rsidR="002A0A96">
        <w:rPr>
          <w:rFonts w:asciiTheme="majorHAnsi" w:hAnsiTheme="majorHAnsi"/>
          <w:noProof/>
        </w:rPr>
        <w:t>EUR</w:t>
      </w:r>
      <w:r w:rsidR="002A0A96">
        <w:rPr>
          <w:rFonts w:ascii="Calibri" w:hAnsi="Calibri" w:cs="Calibri"/>
          <w:noProof/>
        </w:rPr>
        <w:t> </w:t>
      </w:r>
      <w:r w:rsidR="002A0A96">
        <w:rPr>
          <w:rFonts w:asciiTheme="majorHAnsi" w:hAnsiTheme="majorHAnsi"/>
          <w:noProof/>
        </w:rPr>
        <w:t>0.4</w:t>
      </w:r>
      <w:r w:rsidR="005D5987">
        <w:rPr>
          <w:rFonts w:asciiTheme="majorHAnsi" w:hAnsiTheme="majorHAnsi"/>
          <w:noProof/>
        </w:rPr>
        <w:t xml:space="preserve"> </w:t>
      </w:r>
      <w:r w:rsidR="002A0A96">
        <w:rPr>
          <w:rFonts w:asciiTheme="majorHAnsi" w:hAnsiTheme="majorHAnsi"/>
          <w:noProof/>
        </w:rPr>
        <w:t>billion</w:t>
      </w:r>
      <w:r w:rsidR="006C3869">
        <w:rPr>
          <w:rFonts w:asciiTheme="majorHAnsi" w:hAnsiTheme="majorHAnsi"/>
          <w:noProof/>
        </w:rPr>
        <w:t xml:space="preserve"> of decommitments are expected</w:t>
      </w:r>
      <w:r w:rsidR="5C38F46E" w:rsidRPr="457755A8">
        <w:rPr>
          <w:rFonts w:asciiTheme="majorHAnsi" w:hAnsiTheme="majorHAnsi"/>
          <w:noProof/>
        </w:rPr>
        <w:t xml:space="preserve"> </w:t>
      </w:r>
      <w:r w:rsidR="26B859B4" w:rsidRPr="79E35B6D">
        <w:rPr>
          <w:rFonts w:asciiTheme="majorHAnsi" w:hAnsiTheme="majorHAnsi"/>
          <w:noProof/>
        </w:rPr>
        <w:t>at closure</w:t>
      </w:r>
      <w:r w:rsidR="008B6688">
        <w:rPr>
          <w:rFonts w:asciiTheme="majorHAnsi" w:hAnsiTheme="majorHAnsi"/>
          <w:noProof/>
        </w:rPr>
        <w:t xml:space="preserve">, in line with implementation </w:t>
      </w:r>
      <w:r w:rsidR="00325138">
        <w:rPr>
          <w:rFonts w:asciiTheme="majorHAnsi" w:hAnsiTheme="majorHAnsi"/>
          <w:noProof/>
        </w:rPr>
        <w:t>patterns</w:t>
      </w:r>
      <w:r w:rsidR="007F66B0">
        <w:rPr>
          <w:rFonts w:asciiTheme="majorHAnsi" w:hAnsiTheme="majorHAnsi"/>
          <w:noProof/>
        </w:rPr>
        <w:t xml:space="preserve"> of the previous programming period</w:t>
      </w:r>
      <w:r w:rsidR="006C496E">
        <w:rPr>
          <w:rFonts w:asciiTheme="majorHAnsi" w:hAnsiTheme="majorHAnsi"/>
          <w:noProof/>
        </w:rPr>
        <w:t>.</w:t>
      </w:r>
    </w:p>
    <w:bookmarkEnd w:id="68"/>
    <w:p w14:paraId="24DC8C51" w14:textId="06A0738F" w:rsidR="00861C1C" w:rsidRPr="00F423B9" w:rsidRDefault="003B6DC2">
      <w:pPr>
        <w:pStyle w:val="amprH4Subhead1"/>
        <w:rPr>
          <w:rFonts w:asciiTheme="majorHAnsi" w:hAnsiTheme="majorHAnsi"/>
          <w:noProof/>
        </w:rPr>
      </w:pPr>
      <w:r w:rsidRPr="00F423B9">
        <w:rPr>
          <w:rFonts w:asciiTheme="majorHAnsi" w:hAnsiTheme="majorHAnsi"/>
          <w:noProof/>
        </w:rPr>
        <w:t xml:space="preserve">Heading 3 - Common Agricultural Policy </w:t>
      </w:r>
    </w:p>
    <w:p w14:paraId="3363326C" w14:textId="19922A31" w:rsidR="00951B9B" w:rsidRPr="00BF250D" w:rsidRDefault="00951B9B" w:rsidP="00951B9B">
      <w:pPr>
        <w:spacing w:after="120" w:line="276" w:lineRule="auto"/>
        <w:jc w:val="both"/>
        <w:rPr>
          <w:rFonts w:asciiTheme="majorHAnsi" w:hAnsiTheme="majorHAnsi"/>
          <w:noProof/>
          <w:spacing w:val="-6"/>
        </w:rPr>
      </w:pPr>
      <w:r w:rsidRPr="00BF250D">
        <w:rPr>
          <w:rFonts w:asciiTheme="majorHAnsi" w:hAnsiTheme="majorHAnsi"/>
          <w:noProof/>
          <w:spacing w:val="-6"/>
        </w:rPr>
        <w:t xml:space="preserve">The forecast of decommitments from rural development programmes 2014-2022 </w:t>
      </w:r>
      <w:r w:rsidR="00093D75" w:rsidRPr="00BF250D">
        <w:rPr>
          <w:rFonts w:asciiTheme="majorHAnsi" w:hAnsiTheme="majorHAnsi"/>
          <w:noProof/>
          <w:spacing w:val="-6"/>
        </w:rPr>
        <w:t xml:space="preserve">has decreased compared </w:t>
      </w:r>
      <w:r w:rsidR="000E08AC" w:rsidRPr="00BF250D">
        <w:rPr>
          <w:rFonts w:asciiTheme="majorHAnsi" w:hAnsiTheme="majorHAnsi"/>
          <w:noProof/>
          <w:spacing w:val="-6"/>
        </w:rPr>
        <w:t xml:space="preserve">to </w:t>
      </w:r>
      <w:r w:rsidR="1DD46553" w:rsidRPr="00BF250D">
        <w:rPr>
          <w:rFonts w:asciiTheme="majorHAnsi" w:hAnsiTheme="majorHAnsi"/>
          <w:noProof/>
          <w:spacing w:val="-6"/>
        </w:rPr>
        <w:t xml:space="preserve">the </w:t>
      </w:r>
      <w:r w:rsidR="000E08AC" w:rsidRPr="00BF250D">
        <w:rPr>
          <w:rFonts w:asciiTheme="majorHAnsi" w:hAnsiTheme="majorHAnsi"/>
          <w:noProof/>
          <w:spacing w:val="-6"/>
        </w:rPr>
        <w:t>last forecast</w:t>
      </w:r>
      <w:r w:rsidR="00FB5543" w:rsidRPr="00BF250D">
        <w:rPr>
          <w:rFonts w:asciiTheme="majorHAnsi" w:hAnsiTheme="majorHAnsi"/>
          <w:noProof/>
          <w:spacing w:val="-6"/>
        </w:rPr>
        <w:t>, from EUR</w:t>
      </w:r>
      <w:r w:rsidR="00FB5543" w:rsidRPr="00BF250D">
        <w:rPr>
          <w:rFonts w:ascii="Calibri" w:hAnsi="Calibri" w:cs="Calibri"/>
          <w:noProof/>
          <w:spacing w:val="-6"/>
        </w:rPr>
        <w:t> </w:t>
      </w:r>
      <w:r w:rsidR="00FB5543" w:rsidRPr="00BF250D">
        <w:rPr>
          <w:rFonts w:asciiTheme="majorHAnsi" w:hAnsiTheme="majorHAnsi"/>
          <w:noProof/>
          <w:spacing w:val="-6"/>
        </w:rPr>
        <w:t>3.</w:t>
      </w:r>
      <w:r w:rsidR="008A4F45" w:rsidRPr="00BF250D">
        <w:rPr>
          <w:rFonts w:asciiTheme="majorHAnsi" w:hAnsiTheme="majorHAnsi"/>
          <w:noProof/>
          <w:spacing w:val="-6"/>
        </w:rPr>
        <w:t>1</w:t>
      </w:r>
      <w:r w:rsidR="00FB5543" w:rsidRPr="00BF250D">
        <w:rPr>
          <w:rFonts w:ascii="Calibri" w:hAnsi="Calibri" w:cs="Calibri"/>
          <w:noProof/>
          <w:spacing w:val="-6"/>
        </w:rPr>
        <w:t> </w:t>
      </w:r>
      <w:r w:rsidR="00FB5543" w:rsidRPr="00BF250D">
        <w:rPr>
          <w:rFonts w:asciiTheme="majorHAnsi" w:hAnsiTheme="majorHAnsi"/>
          <w:noProof/>
          <w:spacing w:val="-6"/>
        </w:rPr>
        <w:t>billion to EUR</w:t>
      </w:r>
      <w:r w:rsidR="00FB5543" w:rsidRPr="00BF250D">
        <w:rPr>
          <w:rFonts w:ascii="Calibri" w:hAnsi="Calibri" w:cs="Calibri"/>
          <w:noProof/>
          <w:spacing w:val="-6"/>
        </w:rPr>
        <w:t> </w:t>
      </w:r>
      <w:r w:rsidR="009E197C" w:rsidRPr="00BF250D">
        <w:rPr>
          <w:rFonts w:asciiTheme="majorHAnsi" w:hAnsiTheme="majorHAnsi"/>
          <w:noProof/>
          <w:spacing w:val="-6"/>
        </w:rPr>
        <w:t>1.</w:t>
      </w:r>
      <w:r w:rsidR="003B756D" w:rsidRPr="00BF250D">
        <w:rPr>
          <w:rFonts w:asciiTheme="majorHAnsi" w:hAnsiTheme="majorHAnsi"/>
          <w:noProof/>
          <w:spacing w:val="-6"/>
        </w:rPr>
        <w:t>5</w:t>
      </w:r>
      <w:r w:rsidR="00FB5543" w:rsidRPr="00BF250D">
        <w:rPr>
          <w:rFonts w:ascii="Calibri" w:hAnsi="Calibri" w:cs="Calibri"/>
          <w:noProof/>
          <w:spacing w:val="-6"/>
        </w:rPr>
        <w:t> </w:t>
      </w:r>
      <w:r w:rsidR="00FB5543" w:rsidRPr="00BF250D">
        <w:rPr>
          <w:rFonts w:asciiTheme="majorHAnsi" w:hAnsiTheme="majorHAnsi"/>
          <w:noProof/>
          <w:spacing w:val="-6"/>
        </w:rPr>
        <w:t>billion</w:t>
      </w:r>
      <w:r w:rsidR="00716062">
        <w:rPr>
          <w:rFonts w:asciiTheme="majorHAnsi" w:hAnsiTheme="majorHAnsi"/>
          <w:noProof/>
          <w:spacing w:val="-6"/>
        </w:rPr>
        <w:t xml:space="preserve"> </w:t>
      </w:r>
      <w:r w:rsidR="006B6B80">
        <w:rPr>
          <w:rFonts w:asciiTheme="majorHAnsi" w:hAnsiTheme="majorHAnsi"/>
          <w:noProof/>
          <w:spacing w:val="-6"/>
        </w:rPr>
        <w:t xml:space="preserve">expected </w:t>
      </w:r>
      <w:r w:rsidR="00716062">
        <w:rPr>
          <w:rFonts w:asciiTheme="majorHAnsi" w:hAnsiTheme="majorHAnsi"/>
          <w:noProof/>
          <w:spacing w:val="-6"/>
        </w:rPr>
        <w:t>in 2027</w:t>
      </w:r>
      <w:r>
        <w:rPr>
          <w:rFonts w:asciiTheme="majorHAnsi" w:hAnsiTheme="majorHAnsi"/>
          <w:noProof/>
          <w:spacing w:val="-6"/>
        </w:rPr>
        <w:t xml:space="preserve">. </w:t>
      </w:r>
      <w:r w:rsidR="005D116B">
        <w:rPr>
          <w:rFonts w:asciiTheme="majorHAnsi" w:hAnsiTheme="majorHAnsi"/>
          <w:noProof/>
          <w:spacing w:val="-6"/>
        </w:rPr>
        <w:t>Earlier</w:t>
      </w:r>
      <w:r w:rsidR="00C222AE">
        <w:rPr>
          <w:rFonts w:asciiTheme="majorHAnsi" w:hAnsiTheme="majorHAnsi"/>
          <w:noProof/>
          <w:spacing w:val="-6"/>
        </w:rPr>
        <w:t xml:space="preserve"> decommitments amounted </w:t>
      </w:r>
      <w:r w:rsidR="00E20D3D">
        <w:rPr>
          <w:rFonts w:asciiTheme="majorHAnsi" w:hAnsiTheme="majorHAnsi"/>
          <w:noProof/>
          <w:spacing w:val="-6"/>
        </w:rPr>
        <w:t xml:space="preserve">to </w:t>
      </w:r>
      <w:r w:rsidR="00C222AE">
        <w:rPr>
          <w:rFonts w:asciiTheme="majorHAnsi" w:hAnsiTheme="majorHAnsi"/>
          <w:noProof/>
          <w:spacing w:val="-6"/>
        </w:rPr>
        <w:t>EUR 0.3 billion</w:t>
      </w:r>
      <w:r w:rsidR="00091DEE">
        <w:rPr>
          <w:rFonts w:asciiTheme="majorHAnsi" w:hAnsiTheme="majorHAnsi"/>
          <w:noProof/>
          <w:spacing w:val="-6"/>
        </w:rPr>
        <w:t xml:space="preserve">. </w:t>
      </w:r>
      <w:r w:rsidR="00E20D3D">
        <w:rPr>
          <w:rFonts w:asciiTheme="majorHAnsi" w:hAnsiTheme="majorHAnsi"/>
          <w:noProof/>
          <w:spacing w:val="-6"/>
        </w:rPr>
        <w:t xml:space="preserve">Overall, </w:t>
      </w:r>
      <w:r w:rsidR="00E20D3D" w:rsidRPr="00091DEE" w:rsidDel="00091DEE">
        <w:rPr>
          <w:rFonts w:asciiTheme="majorHAnsi" w:hAnsiTheme="majorHAnsi"/>
          <w:noProof/>
          <w:spacing w:val="-6"/>
        </w:rPr>
        <w:t>decommitments</w:t>
      </w:r>
      <w:r w:rsidR="006D2DF1">
        <w:rPr>
          <w:rFonts w:asciiTheme="majorHAnsi" w:hAnsiTheme="majorHAnsi"/>
          <w:noProof/>
          <w:spacing w:val="-6"/>
        </w:rPr>
        <w:t xml:space="preserve"> </w:t>
      </w:r>
      <w:r w:rsidR="00434468">
        <w:rPr>
          <w:rFonts w:asciiTheme="majorHAnsi" w:hAnsiTheme="majorHAnsi"/>
          <w:noProof/>
          <w:spacing w:val="-6"/>
        </w:rPr>
        <w:t>under</w:t>
      </w:r>
      <w:r w:rsidR="006D2DF1">
        <w:rPr>
          <w:rFonts w:asciiTheme="majorHAnsi" w:hAnsiTheme="majorHAnsi"/>
          <w:noProof/>
          <w:spacing w:val="-6"/>
        </w:rPr>
        <w:t xml:space="preserve"> EAFRD for the </w:t>
      </w:r>
      <w:r w:rsidR="00434468">
        <w:rPr>
          <w:rFonts w:asciiTheme="majorHAnsi" w:hAnsiTheme="majorHAnsi"/>
          <w:noProof/>
          <w:spacing w:val="-6"/>
        </w:rPr>
        <w:t>2014-2022</w:t>
      </w:r>
      <w:r w:rsidR="00434468" w:rsidRPr="001E617F">
        <w:rPr>
          <w:rFonts w:asciiTheme="majorHAnsi" w:hAnsiTheme="majorHAnsi"/>
          <w:noProof/>
          <w:spacing w:val="-6"/>
        </w:rPr>
        <w:t xml:space="preserve"> </w:t>
      </w:r>
      <w:r w:rsidR="006D2DF1">
        <w:rPr>
          <w:rFonts w:asciiTheme="majorHAnsi" w:hAnsiTheme="majorHAnsi"/>
          <w:noProof/>
          <w:spacing w:val="-6"/>
        </w:rPr>
        <w:t>programmes are</w:t>
      </w:r>
      <w:r w:rsidRPr="00BF250D">
        <w:rPr>
          <w:rFonts w:asciiTheme="majorHAnsi" w:hAnsiTheme="majorHAnsi"/>
          <w:noProof/>
          <w:spacing w:val="-6"/>
        </w:rPr>
        <w:t xml:space="preserve"> </w:t>
      </w:r>
      <w:r w:rsidR="00EF53B8" w:rsidRPr="00BF250D">
        <w:rPr>
          <w:rFonts w:asciiTheme="majorHAnsi" w:hAnsiTheme="majorHAnsi"/>
          <w:noProof/>
          <w:spacing w:val="-6"/>
        </w:rPr>
        <w:t>now</w:t>
      </w:r>
      <w:r w:rsidRPr="00BF250D">
        <w:rPr>
          <w:rFonts w:asciiTheme="majorHAnsi" w:hAnsiTheme="majorHAnsi"/>
          <w:noProof/>
          <w:spacing w:val="-6"/>
        </w:rPr>
        <w:t xml:space="preserve"> estimated at </w:t>
      </w:r>
      <w:r w:rsidR="000E08AC" w:rsidRPr="00BF250D">
        <w:rPr>
          <w:rFonts w:asciiTheme="majorHAnsi" w:hAnsiTheme="majorHAnsi"/>
          <w:noProof/>
          <w:spacing w:val="-6"/>
        </w:rPr>
        <w:t>1.</w:t>
      </w:r>
      <w:r w:rsidR="006D2DF1">
        <w:rPr>
          <w:rFonts w:asciiTheme="majorHAnsi" w:hAnsiTheme="majorHAnsi"/>
          <w:noProof/>
          <w:spacing w:val="-6"/>
        </w:rPr>
        <w:t>5</w:t>
      </w:r>
      <w:r w:rsidRPr="00BF250D">
        <w:rPr>
          <w:rFonts w:asciiTheme="majorHAnsi" w:hAnsiTheme="majorHAnsi"/>
          <w:noProof/>
          <w:spacing w:val="-6"/>
        </w:rPr>
        <w:t xml:space="preserve">% of the total allocation, </w:t>
      </w:r>
      <w:r w:rsidR="00B9069E" w:rsidRPr="00BF250D">
        <w:rPr>
          <w:rFonts w:asciiTheme="majorHAnsi" w:hAnsiTheme="majorHAnsi"/>
          <w:noProof/>
          <w:spacing w:val="-6"/>
        </w:rPr>
        <w:t xml:space="preserve">noting an </w:t>
      </w:r>
      <w:r w:rsidR="0033737E" w:rsidRPr="00BF250D">
        <w:rPr>
          <w:rFonts w:asciiTheme="majorHAnsi" w:hAnsiTheme="majorHAnsi"/>
          <w:noProof/>
          <w:spacing w:val="-6"/>
        </w:rPr>
        <w:t>improv</w:t>
      </w:r>
      <w:r w:rsidR="00B9069E" w:rsidRPr="00BF250D">
        <w:rPr>
          <w:rFonts w:asciiTheme="majorHAnsi" w:hAnsiTheme="majorHAnsi"/>
          <w:noProof/>
          <w:spacing w:val="-6"/>
        </w:rPr>
        <w:t>ement</w:t>
      </w:r>
      <w:r w:rsidR="0033737E" w:rsidRPr="00BF250D">
        <w:rPr>
          <w:rFonts w:asciiTheme="majorHAnsi" w:hAnsiTheme="majorHAnsi"/>
          <w:noProof/>
          <w:spacing w:val="-6"/>
        </w:rPr>
        <w:t xml:space="preserve"> </w:t>
      </w:r>
      <w:r w:rsidRPr="00BF250D">
        <w:rPr>
          <w:rFonts w:asciiTheme="majorHAnsi" w:hAnsiTheme="majorHAnsi"/>
          <w:noProof/>
          <w:spacing w:val="-6"/>
        </w:rPr>
        <w:t>compar</w:t>
      </w:r>
      <w:r w:rsidR="0033737E" w:rsidRPr="00BF250D">
        <w:rPr>
          <w:rFonts w:asciiTheme="majorHAnsi" w:hAnsiTheme="majorHAnsi"/>
          <w:noProof/>
          <w:spacing w:val="-6"/>
        </w:rPr>
        <w:t>ed</w:t>
      </w:r>
      <w:r w:rsidRPr="00BF250D">
        <w:rPr>
          <w:rFonts w:asciiTheme="majorHAnsi" w:hAnsiTheme="majorHAnsi"/>
          <w:noProof/>
          <w:spacing w:val="-6"/>
        </w:rPr>
        <w:t xml:space="preserve"> to th</w:t>
      </w:r>
      <w:r w:rsidR="00FC59C6" w:rsidRPr="00BF250D">
        <w:rPr>
          <w:rFonts w:asciiTheme="majorHAnsi" w:hAnsiTheme="majorHAnsi"/>
          <w:noProof/>
          <w:spacing w:val="-6"/>
        </w:rPr>
        <w:t xml:space="preserve">e </w:t>
      </w:r>
      <w:r w:rsidRPr="00BF250D">
        <w:rPr>
          <w:rFonts w:asciiTheme="majorHAnsi" w:hAnsiTheme="majorHAnsi"/>
          <w:noProof/>
          <w:spacing w:val="-6"/>
        </w:rPr>
        <w:t>2007-2013 rural development programmes</w:t>
      </w:r>
      <w:r w:rsidR="00DF4764" w:rsidRPr="00BF250D">
        <w:rPr>
          <w:rFonts w:asciiTheme="majorHAnsi" w:hAnsiTheme="majorHAnsi"/>
          <w:noProof/>
          <w:spacing w:val="-6"/>
        </w:rPr>
        <w:t xml:space="preserve"> where the share of decommitments stood at </w:t>
      </w:r>
      <w:r w:rsidR="00493E67" w:rsidRPr="00BF250D">
        <w:rPr>
          <w:rFonts w:asciiTheme="majorHAnsi" w:hAnsiTheme="majorHAnsi"/>
          <w:noProof/>
          <w:spacing w:val="-6"/>
        </w:rPr>
        <w:t>2%</w:t>
      </w:r>
      <w:r w:rsidRPr="00BF250D">
        <w:rPr>
          <w:rFonts w:asciiTheme="majorHAnsi" w:hAnsiTheme="majorHAnsi"/>
          <w:noProof/>
          <w:spacing w:val="-6"/>
        </w:rPr>
        <w:t xml:space="preserve">. As regards the timing, decommitments are expected by end-2027 when </w:t>
      </w:r>
      <w:r w:rsidR="00C81E60">
        <w:rPr>
          <w:rFonts w:asciiTheme="majorHAnsi" w:hAnsiTheme="majorHAnsi"/>
          <w:noProof/>
          <w:spacing w:val="-6"/>
        </w:rPr>
        <w:t xml:space="preserve">the </w:t>
      </w:r>
      <w:r w:rsidRPr="00BF250D">
        <w:rPr>
          <w:rFonts w:asciiTheme="majorHAnsi" w:hAnsiTheme="majorHAnsi"/>
          <w:noProof/>
          <w:spacing w:val="-6"/>
        </w:rPr>
        <w:t xml:space="preserve">closure </w:t>
      </w:r>
      <w:r w:rsidR="00C81E60">
        <w:rPr>
          <w:rFonts w:asciiTheme="majorHAnsi" w:hAnsiTheme="majorHAnsi"/>
          <w:noProof/>
          <w:spacing w:val="-6"/>
        </w:rPr>
        <w:t xml:space="preserve">of </w:t>
      </w:r>
      <w:r w:rsidRPr="00BF250D">
        <w:rPr>
          <w:rFonts w:asciiTheme="majorHAnsi" w:hAnsiTheme="majorHAnsi"/>
          <w:noProof/>
          <w:spacing w:val="-6"/>
        </w:rPr>
        <w:t>payments will be processed</w:t>
      </w:r>
      <w:r w:rsidR="008B6B79">
        <w:rPr>
          <w:rFonts w:asciiTheme="majorHAnsi" w:hAnsiTheme="majorHAnsi"/>
          <w:noProof/>
          <w:spacing w:val="-6"/>
        </w:rPr>
        <w:t>.</w:t>
      </w:r>
      <w:r w:rsidR="002644A1" w:rsidRPr="00BF250D">
        <w:rPr>
          <w:rFonts w:asciiTheme="majorHAnsi" w:hAnsiTheme="majorHAnsi"/>
          <w:noProof/>
          <w:spacing w:val="-6"/>
        </w:rPr>
        <w:t xml:space="preserve"> </w:t>
      </w:r>
    </w:p>
    <w:p w14:paraId="5B9BD84C" w14:textId="37AE487D" w:rsidR="00861C1C" w:rsidRPr="00F423B9" w:rsidRDefault="00951B9B" w:rsidP="23B06DA2">
      <w:pPr>
        <w:spacing w:after="120" w:line="276" w:lineRule="auto"/>
        <w:jc w:val="both"/>
        <w:rPr>
          <w:rFonts w:asciiTheme="majorHAnsi" w:hAnsiTheme="majorHAnsi"/>
          <w:noProof/>
        </w:rPr>
      </w:pPr>
      <w:r w:rsidRPr="00951B9B">
        <w:rPr>
          <w:rFonts w:asciiTheme="majorHAnsi" w:hAnsiTheme="majorHAnsi"/>
          <w:noProof/>
        </w:rPr>
        <w:t xml:space="preserve">At </w:t>
      </w:r>
      <w:r w:rsidR="00234086">
        <w:rPr>
          <w:rFonts w:asciiTheme="majorHAnsi" w:hAnsiTheme="majorHAnsi"/>
          <w:noProof/>
        </w:rPr>
        <w:t>present</w:t>
      </w:r>
      <w:r w:rsidR="004D4220">
        <w:rPr>
          <w:rFonts w:asciiTheme="majorHAnsi" w:hAnsiTheme="majorHAnsi"/>
          <w:noProof/>
        </w:rPr>
        <w:t>,</w:t>
      </w:r>
      <w:r w:rsidR="00A537D1">
        <w:rPr>
          <w:rFonts w:asciiTheme="majorHAnsi" w:hAnsiTheme="majorHAnsi"/>
          <w:noProof/>
        </w:rPr>
        <w:t xml:space="preserve"> an amount of EUR 1 billion is expected to be decom</w:t>
      </w:r>
      <w:r w:rsidR="00A82CA6">
        <w:rPr>
          <w:rFonts w:asciiTheme="majorHAnsi" w:hAnsiTheme="majorHAnsi"/>
          <w:noProof/>
        </w:rPr>
        <w:t>mitted</w:t>
      </w:r>
      <w:r w:rsidR="00A537D1">
        <w:rPr>
          <w:rFonts w:asciiTheme="majorHAnsi" w:hAnsiTheme="majorHAnsi"/>
          <w:noProof/>
        </w:rPr>
        <w:t xml:space="preserve"> </w:t>
      </w:r>
      <w:r w:rsidRPr="00951B9B">
        <w:rPr>
          <w:rFonts w:asciiTheme="majorHAnsi" w:hAnsiTheme="majorHAnsi"/>
          <w:noProof/>
        </w:rPr>
        <w:t>under the 2023-2027 CAP Strategic Plans</w:t>
      </w:r>
      <w:r w:rsidR="00A537D1">
        <w:rPr>
          <w:rFonts w:asciiTheme="majorHAnsi" w:hAnsiTheme="majorHAnsi"/>
          <w:noProof/>
        </w:rPr>
        <w:t>. Th</w:t>
      </w:r>
      <w:r w:rsidR="00290583">
        <w:rPr>
          <w:rFonts w:asciiTheme="majorHAnsi" w:hAnsiTheme="majorHAnsi"/>
          <w:noProof/>
        </w:rPr>
        <w:t>ose</w:t>
      </w:r>
      <w:r w:rsidR="00A537D1">
        <w:rPr>
          <w:rFonts w:asciiTheme="majorHAnsi" w:hAnsiTheme="majorHAnsi"/>
          <w:noProof/>
        </w:rPr>
        <w:t xml:space="preserve"> decommitments </w:t>
      </w:r>
      <w:r w:rsidR="00A82CA6">
        <w:rPr>
          <w:rFonts w:asciiTheme="majorHAnsi" w:hAnsiTheme="majorHAnsi"/>
          <w:noProof/>
        </w:rPr>
        <w:t>are expected to t</w:t>
      </w:r>
      <w:r w:rsidR="00A537D1">
        <w:rPr>
          <w:rFonts w:asciiTheme="majorHAnsi" w:hAnsiTheme="majorHAnsi"/>
          <w:noProof/>
        </w:rPr>
        <w:t xml:space="preserve">ake place </w:t>
      </w:r>
      <w:r w:rsidR="00A82CA6">
        <w:rPr>
          <w:rFonts w:asciiTheme="majorHAnsi" w:hAnsiTheme="majorHAnsi"/>
          <w:noProof/>
        </w:rPr>
        <w:t>between</w:t>
      </w:r>
      <w:r w:rsidR="00A537D1">
        <w:rPr>
          <w:rFonts w:asciiTheme="majorHAnsi" w:hAnsiTheme="majorHAnsi"/>
          <w:noProof/>
        </w:rPr>
        <w:t xml:space="preserve"> 2026 </w:t>
      </w:r>
      <w:r w:rsidR="00A82CA6">
        <w:rPr>
          <w:rFonts w:asciiTheme="majorHAnsi" w:hAnsiTheme="majorHAnsi"/>
          <w:noProof/>
        </w:rPr>
        <w:t>and</w:t>
      </w:r>
      <w:r w:rsidR="00A537D1">
        <w:rPr>
          <w:rFonts w:asciiTheme="majorHAnsi" w:hAnsiTheme="majorHAnsi"/>
          <w:noProof/>
        </w:rPr>
        <w:t xml:space="preserve"> 2030. </w:t>
      </w:r>
    </w:p>
    <w:bookmarkEnd w:id="21"/>
    <w:p w14:paraId="04C5B228" w14:textId="77777777" w:rsidR="00861C1C" w:rsidRPr="00F423B9" w:rsidRDefault="003B6DC2">
      <w:pPr>
        <w:pStyle w:val="amprH4Subhead1"/>
        <w:rPr>
          <w:rFonts w:asciiTheme="majorHAnsi" w:hAnsiTheme="majorHAnsi"/>
          <w:noProof/>
        </w:rPr>
      </w:pPr>
      <w:r w:rsidRPr="00F423B9">
        <w:rPr>
          <w:rFonts w:asciiTheme="majorHAnsi" w:hAnsiTheme="majorHAnsi"/>
          <w:noProof/>
        </w:rPr>
        <w:t>Other programmes and headings</w:t>
      </w:r>
    </w:p>
    <w:p w14:paraId="2F505424" w14:textId="6D38FE07" w:rsidR="00861C1C" w:rsidRPr="00F423B9" w:rsidRDefault="005A04CC" w:rsidP="005F08A0">
      <w:pPr>
        <w:spacing w:after="120" w:line="276" w:lineRule="auto"/>
        <w:jc w:val="both"/>
        <w:rPr>
          <w:rFonts w:asciiTheme="majorHAnsi" w:hAnsiTheme="majorHAnsi"/>
          <w:noProof/>
        </w:rPr>
      </w:pPr>
      <w:r w:rsidRPr="005A04CC">
        <w:rPr>
          <w:rFonts w:asciiTheme="majorHAnsi" w:hAnsiTheme="majorHAnsi"/>
          <w:noProof/>
        </w:rPr>
        <w:t>For the programmes directly</w:t>
      </w:r>
      <w:r w:rsidR="00BC53E1">
        <w:rPr>
          <w:rFonts w:asciiTheme="majorHAnsi" w:hAnsiTheme="majorHAnsi"/>
          <w:noProof/>
        </w:rPr>
        <w:t xml:space="preserve"> or indirectly</w:t>
      </w:r>
      <w:r w:rsidRPr="005A04CC">
        <w:rPr>
          <w:rFonts w:asciiTheme="majorHAnsi" w:hAnsiTheme="majorHAnsi"/>
          <w:noProof/>
        </w:rPr>
        <w:t xml:space="preserve"> managed by the Commission, the decommitment forecast is built on the </w:t>
      </w:r>
      <w:r w:rsidR="00A570CB">
        <w:rPr>
          <w:rFonts w:asciiTheme="majorHAnsi" w:hAnsiTheme="majorHAnsi"/>
          <w:noProof/>
        </w:rPr>
        <w:t>latest</w:t>
      </w:r>
      <w:r w:rsidRPr="005A04CC" w:rsidDel="00A570CB">
        <w:rPr>
          <w:rFonts w:asciiTheme="majorHAnsi" w:hAnsiTheme="majorHAnsi"/>
          <w:noProof/>
        </w:rPr>
        <w:t xml:space="preserve"> </w:t>
      </w:r>
      <w:r w:rsidRPr="005A04CC">
        <w:rPr>
          <w:rFonts w:asciiTheme="majorHAnsi" w:hAnsiTheme="majorHAnsi"/>
          <w:noProof/>
        </w:rPr>
        <w:t xml:space="preserve">project-level information. </w:t>
      </w:r>
      <w:r w:rsidR="004A07A6">
        <w:rPr>
          <w:rFonts w:asciiTheme="majorHAnsi" w:hAnsiTheme="majorHAnsi"/>
          <w:noProof/>
        </w:rPr>
        <w:t>T</w:t>
      </w:r>
      <w:r w:rsidRPr="005A04CC">
        <w:rPr>
          <w:rFonts w:asciiTheme="majorHAnsi" w:hAnsiTheme="majorHAnsi"/>
          <w:noProof/>
        </w:rPr>
        <w:t>he projections for the decommitments related to the MFF 2021-2027 programmes</w:t>
      </w:r>
      <w:r w:rsidR="00D6464A">
        <w:rPr>
          <w:rFonts w:asciiTheme="majorHAnsi" w:hAnsiTheme="majorHAnsi"/>
          <w:noProof/>
        </w:rPr>
        <w:t xml:space="preserve"> are presented in table 2. They</w:t>
      </w:r>
      <w:r w:rsidRPr="005A04CC">
        <w:rPr>
          <w:rFonts w:asciiTheme="majorHAnsi" w:hAnsiTheme="majorHAnsi"/>
          <w:noProof/>
        </w:rPr>
        <w:t xml:space="preserve"> are </w:t>
      </w:r>
      <w:r w:rsidR="00EA6142">
        <w:rPr>
          <w:rFonts w:asciiTheme="majorHAnsi" w:hAnsiTheme="majorHAnsi"/>
          <w:noProof/>
        </w:rPr>
        <w:t>consistent</w:t>
      </w:r>
      <w:r w:rsidR="004A07A6">
        <w:rPr>
          <w:rFonts w:asciiTheme="majorHAnsi" w:hAnsiTheme="majorHAnsi"/>
          <w:noProof/>
        </w:rPr>
        <w:t xml:space="preserve"> </w:t>
      </w:r>
      <w:r w:rsidR="00C81E60">
        <w:rPr>
          <w:rFonts w:asciiTheme="majorHAnsi" w:hAnsiTheme="majorHAnsi"/>
          <w:noProof/>
        </w:rPr>
        <w:t xml:space="preserve">with </w:t>
      </w:r>
      <w:r w:rsidR="004A07A6">
        <w:rPr>
          <w:rFonts w:asciiTheme="majorHAnsi" w:hAnsiTheme="majorHAnsi"/>
          <w:noProof/>
        </w:rPr>
        <w:t>the estimates from the payment schedules</w:t>
      </w:r>
      <w:r w:rsidRPr="005A04CC">
        <w:rPr>
          <w:rFonts w:asciiTheme="majorHAnsi" w:hAnsiTheme="majorHAnsi"/>
          <w:noProof/>
        </w:rPr>
        <w:t xml:space="preserve">. </w:t>
      </w:r>
      <w:r w:rsidR="00CB5543">
        <w:rPr>
          <w:rFonts w:asciiTheme="majorHAnsi" w:hAnsiTheme="majorHAnsi"/>
          <w:noProof/>
        </w:rPr>
        <w:t>However, the preci</w:t>
      </w:r>
      <w:r w:rsidR="006E3003">
        <w:rPr>
          <w:rFonts w:asciiTheme="majorHAnsi" w:hAnsiTheme="majorHAnsi"/>
          <w:noProof/>
        </w:rPr>
        <w:t>se</w:t>
      </w:r>
      <w:r w:rsidRPr="005A04CC">
        <w:rPr>
          <w:rFonts w:asciiTheme="majorHAnsi" w:hAnsiTheme="majorHAnsi"/>
          <w:noProof/>
        </w:rPr>
        <w:t xml:space="preserve"> year of</w:t>
      </w:r>
      <w:r w:rsidR="005F08A0" w:rsidRPr="005F08A0">
        <w:rPr>
          <w:noProof/>
        </w:rPr>
        <w:t xml:space="preserve"> </w:t>
      </w:r>
      <w:r w:rsidR="005F08A0" w:rsidRPr="005F08A0">
        <w:rPr>
          <w:rFonts w:asciiTheme="majorHAnsi" w:hAnsiTheme="majorHAnsi"/>
          <w:noProof/>
        </w:rPr>
        <w:t xml:space="preserve">decommitment </w:t>
      </w:r>
      <w:r w:rsidR="006E3003">
        <w:rPr>
          <w:rFonts w:asciiTheme="majorHAnsi" w:hAnsiTheme="majorHAnsi"/>
          <w:noProof/>
        </w:rPr>
        <w:t>cannot be forecast with precision, as it</w:t>
      </w:r>
      <w:r w:rsidR="005F08A0" w:rsidRPr="005F08A0" w:rsidDel="006E3003">
        <w:rPr>
          <w:rFonts w:asciiTheme="majorHAnsi" w:hAnsiTheme="majorHAnsi"/>
          <w:noProof/>
        </w:rPr>
        <w:t xml:space="preserve"> </w:t>
      </w:r>
      <w:r w:rsidR="005F08A0" w:rsidRPr="005F08A0">
        <w:rPr>
          <w:rFonts w:asciiTheme="majorHAnsi" w:hAnsiTheme="majorHAnsi"/>
          <w:noProof/>
        </w:rPr>
        <w:t>depend</w:t>
      </w:r>
      <w:r w:rsidR="006E3003">
        <w:rPr>
          <w:rFonts w:asciiTheme="majorHAnsi" w:hAnsiTheme="majorHAnsi"/>
          <w:noProof/>
        </w:rPr>
        <w:t>s</w:t>
      </w:r>
      <w:r w:rsidR="005F08A0" w:rsidRPr="005F08A0">
        <w:rPr>
          <w:rFonts w:asciiTheme="majorHAnsi" w:hAnsiTheme="majorHAnsi"/>
          <w:noProof/>
        </w:rPr>
        <w:t xml:space="preserve"> on the closure of individual projects and actions.</w:t>
      </w:r>
    </w:p>
    <w:p w14:paraId="78FBDB87" w14:textId="21A19235" w:rsidR="00861C1C" w:rsidRPr="00F423B9" w:rsidRDefault="003B6DC2">
      <w:pPr>
        <w:pStyle w:val="amprH3Title2-Numbered-11"/>
        <w:rPr>
          <w:rFonts w:asciiTheme="majorHAnsi" w:hAnsiTheme="majorHAnsi"/>
          <w:noProof/>
        </w:rPr>
      </w:pPr>
      <w:bookmarkStart w:id="69" w:name="_Toc524523064"/>
      <w:bookmarkStart w:id="70" w:name="_Toc524523066"/>
      <w:r w:rsidRPr="00F423B9">
        <w:rPr>
          <w:rFonts w:asciiTheme="majorHAnsi" w:hAnsiTheme="majorHAnsi"/>
          <w:noProof/>
        </w:rPr>
        <w:tab/>
      </w:r>
      <w:bookmarkStart w:id="71" w:name="_Toc233958941"/>
      <w:r w:rsidRPr="00F423B9">
        <w:rPr>
          <w:rFonts w:asciiTheme="majorHAnsi" w:hAnsiTheme="majorHAnsi"/>
          <w:noProof/>
        </w:rPr>
        <w:t>Evolution of the level of outstanding commitments</w:t>
      </w:r>
      <w:bookmarkEnd w:id="69"/>
      <w:bookmarkEnd w:id="71"/>
    </w:p>
    <w:p w14:paraId="6A7E0D93" w14:textId="13B48187" w:rsidR="007327B7" w:rsidRDefault="007327B7" w:rsidP="007327B7">
      <w:pPr>
        <w:spacing w:after="120" w:line="276" w:lineRule="auto"/>
        <w:jc w:val="both"/>
        <w:rPr>
          <w:rFonts w:asciiTheme="majorHAnsi" w:hAnsiTheme="majorHAnsi"/>
          <w:noProof/>
        </w:rPr>
      </w:pPr>
      <w:r w:rsidRPr="00A46154">
        <w:rPr>
          <w:rFonts w:asciiTheme="majorHAnsi" w:hAnsiTheme="majorHAnsi"/>
          <w:noProof/>
          <w:spacing w:val="-4"/>
        </w:rPr>
        <w:t>The ne</w:t>
      </w:r>
      <w:r w:rsidR="00E8293B">
        <w:rPr>
          <w:rFonts w:asciiTheme="majorHAnsi" w:hAnsiTheme="majorHAnsi"/>
          <w:noProof/>
          <w:spacing w:val="-4"/>
        </w:rPr>
        <w:t>xt</w:t>
      </w:r>
      <w:r w:rsidRPr="00A46154">
        <w:rPr>
          <w:rFonts w:asciiTheme="majorHAnsi" w:hAnsiTheme="majorHAnsi"/>
          <w:noProof/>
          <w:spacing w:val="-4"/>
        </w:rPr>
        <w:t xml:space="preserve"> MFF is expected to start</w:t>
      </w:r>
      <w:r w:rsidR="0012444D" w:rsidRPr="00A46154">
        <w:rPr>
          <w:rFonts w:asciiTheme="majorHAnsi" w:hAnsiTheme="majorHAnsi"/>
          <w:noProof/>
          <w:spacing w:val="-4"/>
        </w:rPr>
        <w:t xml:space="preserve"> with </w:t>
      </w:r>
      <w:r w:rsidR="00A97D89" w:rsidRPr="00A46154">
        <w:rPr>
          <w:rFonts w:asciiTheme="majorHAnsi" w:hAnsiTheme="majorHAnsi"/>
          <w:noProof/>
          <w:spacing w:val="-4"/>
        </w:rPr>
        <w:t>EUR</w:t>
      </w:r>
      <w:r w:rsidR="00A97D89" w:rsidRPr="00A46154">
        <w:rPr>
          <w:rFonts w:ascii="Calibri" w:hAnsi="Calibri" w:cs="Calibri"/>
          <w:noProof/>
          <w:spacing w:val="-4"/>
        </w:rPr>
        <w:t> </w:t>
      </w:r>
      <w:r w:rsidR="00BC74C9" w:rsidRPr="00A46154">
        <w:rPr>
          <w:rFonts w:asciiTheme="majorHAnsi" w:hAnsiTheme="majorHAnsi"/>
          <w:noProof/>
          <w:spacing w:val="-4"/>
        </w:rPr>
        <w:t>321</w:t>
      </w:r>
      <w:r w:rsidRPr="00A46154">
        <w:rPr>
          <w:rFonts w:ascii="Calibri" w:hAnsi="Calibri" w:cs="Calibri"/>
          <w:noProof/>
          <w:spacing w:val="-4"/>
        </w:rPr>
        <w:t> </w:t>
      </w:r>
      <w:r w:rsidRPr="00A46154">
        <w:rPr>
          <w:rFonts w:asciiTheme="majorHAnsi" w:hAnsiTheme="majorHAnsi"/>
          <w:noProof/>
          <w:spacing w:val="-4"/>
        </w:rPr>
        <w:t>billion</w:t>
      </w:r>
      <w:r w:rsidR="00A97D89" w:rsidRPr="00A46154" w:rsidDel="008D4665">
        <w:rPr>
          <w:rFonts w:asciiTheme="majorHAnsi" w:hAnsiTheme="majorHAnsi"/>
          <w:noProof/>
          <w:spacing w:val="-4"/>
        </w:rPr>
        <w:t xml:space="preserve"> </w:t>
      </w:r>
      <w:r w:rsidR="00903E71" w:rsidRPr="00A46154">
        <w:rPr>
          <w:rFonts w:asciiTheme="majorHAnsi" w:hAnsiTheme="majorHAnsi"/>
          <w:noProof/>
          <w:spacing w:val="-4"/>
        </w:rPr>
        <w:t>RAL</w:t>
      </w:r>
      <w:r w:rsidR="00DB1237" w:rsidRPr="007242B4">
        <w:rPr>
          <w:rStyle w:val="EndnoteReference"/>
          <w:rFonts w:asciiTheme="majorHAnsi" w:hAnsiTheme="majorHAnsi"/>
          <w:noProof/>
          <w:spacing w:val="-4"/>
        </w:rPr>
        <w:endnoteReference w:id="18"/>
      </w:r>
      <w:r w:rsidR="008D4665" w:rsidRPr="00A46154">
        <w:rPr>
          <w:rFonts w:asciiTheme="majorHAnsi" w:hAnsiTheme="majorHAnsi"/>
          <w:noProof/>
          <w:spacing w:val="-4"/>
        </w:rPr>
        <w:t>, which is a decrease of EUR 18 billion c</w:t>
      </w:r>
      <w:r w:rsidRPr="00A46154">
        <w:rPr>
          <w:rFonts w:asciiTheme="majorHAnsi" w:hAnsiTheme="majorHAnsi"/>
          <w:noProof/>
          <w:spacing w:val="-4"/>
        </w:rPr>
        <w:t>ompared to last year</w:t>
      </w:r>
      <w:r>
        <w:rPr>
          <w:rFonts w:asciiTheme="majorHAnsi" w:hAnsiTheme="majorHAnsi"/>
          <w:noProof/>
          <w:spacing w:val="-4"/>
        </w:rPr>
        <w:t>’s</w:t>
      </w:r>
      <w:r w:rsidRPr="00A46154">
        <w:rPr>
          <w:rFonts w:asciiTheme="majorHAnsi" w:hAnsiTheme="majorHAnsi"/>
          <w:noProof/>
          <w:spacing w:val="-4"/>
        </w:rPr>
        <w:t xml:space="preserve"> forecast (EUR</w:t>
      </w:r>
      <w:r w:rsidRPr="00A46154">
        <w:rPr>
          <w:rFonts w:ascii="Calibri" w:hAnsi="Calibri" w:cs="Calibri"/>
          <w:noProof/>
          <w:spacing w:val="-4"/>
        </w:rPr>
        <w:t> </w:t>
      </w:r>
      <w:r w:rsidR="00575C4B" w:rsidRPr="00A46154">
        <w:rPr>
          <w:rFonts w:asciiTheme="majorHAnsi" w:hAnsiTheme="majorHAnsi"/>
          <w:noProof/>
          <w:spacing w:val="-4"/>
        </w:rPr>
        <w:t>339</w:t>
      </w:r>
      <w:r w:rsidRPr="00A46154">
        <w:rPr>
          <w:rFonts w:ascii="Calibri" w:hAnsi="Calibri" w:cs="Calibri"/>
          <w:noProof/>
          <w:spacing w:val="-4"/>
        </w:rPr>
        <w:t> </w:t>
      </w:r>
      <w:r w:rsidRPr="00A46154">
        <w:rPr>
          <w:rFonts w:asciiTheme="majorHAnsi" w:hAnsiTheme="majorHAnsi"/>
          <w:noProof/>
          <w:spacing w:val="-4"/>
        </w:rPr>
        <w:t xml:space="preserve">billion). This result is </w:t>
      </w:r>
      <w:r w:rsidR="008D4665" w:rsidRPr="00A46154">
        <w:rPr>
          <w:rFonts w:asciiTheme="majorHAnsi" w:hAnsiTheme="majorHAnsi"/>
          <w:noProof/>
          <w:spacing w:val="-4"/>
        </w:rPr>
        <w:t xml:space="preserve">mostly </w:t>
      </w:r>
      <w:r w:rsidRPr="00A46154">
        <w:rPr>
          <w:rFonts w:asciiTheme="majorHAnsi" w:hAnsiTheme="majorHAnsi"/>
          <w:noProof/>
          <w:spacing w:val="-4"/>
        </w:rPr>
        <w:t xml:space="preserve">driven by </w:t>
      </w:r>
      <w:r w:rsidR="00E54C3E" w:rsidRPr="00A46154">
        <w:rPr>
          <w:rFonts w:asciiTheme="majorHAnsi" w:hAnsiTheme="majorHAnsi"/>
          <w:noProof/>
          <w:spacing w:val="-4"/>
        </w:rPr>
        <w:t xml:space="preserve">the revised expectations for cohesion </w:t>
      </w:r>
      <w:r w:rsidR="0003394A" w:rsidRPr="00A46154">
        <w:rPr>
          <w:rFonts w:asciiTheme="majorHAnsi" w:hAnsiTheme="majorHAnsi"/>
          <w:noProof/>
          <w:spacing w:val="-4"/>
        </w:rPr>
        <w:t xml:space="preserve">policy </w:t>
      </w:r>
      <w:r w:rsidR="00E54C3E" w:rsidRPr="00A46154">
        <w:rPr>
          <w:rFonts w:asciiTheme="majorHAnsi" w:hAnsiTheme="majorHAnsi"/>
          <w:noProof/>
          <w:spacing w:val="-4"/>
        </w:rPr>
        <w:t>programmes</w:t>
      </w:r>
      <w:r w:rsidR="00AA6078" w:rsidRPr="00A46154">
        <w:rPr>
          <w:rFonts w:asciiTheme="majorHAnsi" w:hAnsiTheme="majorHAnsi"/>
          <w:noProof/>
          <w:spacing w:val="-4"/>
        </w:rPr>
        <w:t xml:space="preserve"> and increased </w:t>
      </w:r>
      <w:r w:rsidR="005C10D0">
        <w:rPr>
          <w:rFonts w:asciiTheme="majorHAnsi" w:hAnsiTheme="majorHAnsi"/>
          <w:noProof/>
          <w:spacing w:val="-4"/>
        </w:rPr>
        <w:t>payments</w:t>
      </w:r>
      <w:r w:rsidR="00AA6078" w:rsidRPr="00A46154">
        <w:rPr>
          <w:rFonts w:asciiTheme="majorHAnsi" w:hAnsiTheme="majorHAnsi"/>
          <w:noProof/>
          <w:spacing w:val="-4"/>
        </w:rPr>
        <w:t xml:space="preserve"> in </w:t>
      </w:r>
      <w:r w:rsidR="008D4665" w:rsidRPr="00A46154">
        <w:rPr>
          <w:rFonts w:asciiTheme="majorHAnsi" w:hAnsiTheme="majorHAnsi"/>
          <w:noProof/>
          <w:spacing w:val="-4"/>
        </w:rPr>
        <w:t>2026</w:t>
      </w:r>
      <w:r w:rsidR="00AA6078" w:rsidRPr="00A46154">
        <w:rPr>
          <w:rFonts w:asciiTheme="majorHAnsi" w:hAnsiTheme="majorHAnsi"/>
          <w:noProof/>
          <w:spacing w:val="-4"/>
        </w:rPr>
        <w:t>-2027</w:t>
      </w:r>
      <w:r w:rsidRPr="00A46154">
        <w:rPr>
          <w:rFonts w:asciiTheme="majorHAnsi" w:hAnsiTheme="majorHAnsi"/>
          <w:noProof/>
          <w:spacing w:val="-4"/>
        </w:rPr>
        <w:t>.</w:t>
      </w:r>
      <w:r w:rsidR="008D4665" w:rsidRPr="00A46154">
        <w:rPr>
          <w:rFonts w:asciiTheme="majorHAnsi" w:hAnsiTheme="majorHAnsi"/>
          <w:noProof/>
          <w:spacing w:val="-4"/>
        </w:rPr>
        <w:t xml:space="preserve"> </w:t>
      </w:r>
      <w:r w:rsidR="0020676E" w:rsidRPr="00A46154">
        <w:rPr>
          <w:rFonts w:asciiTheme="majorHAnsi" w:hAnsiTheme="majorHAnsi"/>
          <w:noProof/>
          <w:spacing w:val="-4"/>
        </w:rPr>
        <w:t xml:space="preserve">The expected lower RAL at the start of the </w:t>
      </w:r>
      <w:r w:rsidR="0077617E">
        <w:rPr>
          <w:rFonts w:asciiTheme="majorHAnsi" w:hAnsiTheme="majorHAnsi"/>
          <w:noProof/>
          <w:spacing w:val="-4"/>
        </w:rPr>
        <w:t xml:space="preserve">next </w:t>
      </w:r>
      <w:r w:rsidR="0020676E" w:rsidRPr="00A46154">
        <w:rPr>
          <w:rFonts w:asciiTheme="majorHAnsi" w:hAnsiTheme="majorHAnsi"/>
          <w:noProof/>
          <w:spacing w:val="-4"/>
        </w:rPr>
        <w:t>MFF is directly translated in the corresponding lower forecast of payments for the completion of pre-2028 programmes in the next MFF</w:t>
      </w:r>
      <w:r w:rsidR="0020676E">
        <w:rPr>
          <w:rFonts w:asciiTheme="majorHAnsi" w:hAnsiTheme="majorHAnsi"/>
          <w:noProof/>
        </w:rPr>
        <w:t>.</w:t>
      </w:r>
    </w:p>
    <w:p w14:paraId="2A6C7071" w14:textId="213B5C6B" w:rsidR="007327B7" w:rsidRDefault="007327B7" w:rsidP="007327B7">
      <w:pPr>
        <w:spacing w:after="120" w:line="276" w:lineRule="auto"/>
        <w:jc w:val="both"/>
        <w:rPr>
          <w:rFonts w:asciiTheme="majorHAnsi" w:hAnsiTheme="majorHAnsi"/>
          <w:noProof/>
        </w:rPr>
      </w:pPr>
      <w:r w:rsidRPr="007327B7">
        <w:rPr>
          <w:rFonts w:asciiTheme="majorHAnsi" w:hAnsiTheme="majorHAnsi"/>
          <w:noProof/>
        </w:rPr>
        <w:t>NextGenerationEU RAL will be absorbed by end</w:t>
      </w:r>
      <w:r w:rsidR="00512795">
        <w:rPr>
          <w:rFonts w:asciiTheme="majorHAnsi" w:hAnsiTheme="majorHAnsi"/>
          <w:noProof/>
        </w:rPr>
        <w:t>-</w:t>
      </w:r>
      <w:r w:rsidRPr="007327B7">
        <w:rPr>
          <w:rFonts w:asciiTheme="majorHAnsi" w:hAnsiTheme="majorHAnsi"/>
          <w:noProof/>
        </w:rPr>
        <w:t>2026 when all the payments will be completed, except for small</w:t>
      </w:r>
      <w:r>
        <w:rPr>
          <w:rFonts w:asciiTheme="majorHAnsi" w:hAnsiTheme="majorHAnsi"/>
          <w:noProof/>
        </w:rPr>
        <w:t xml:space="preserve"> </w:t>
      </w:r>
      <w:r w:rsidRPr="007327B7">
        <w:rPr>
          <w:rFonts w:asciiTheme="majorHAnsi" w:hAnsiTheme="majorHAnsi"/>
          <w:noProof/>
        </w:rPr>
        <w:t xml:space="preserve">amounts </w:t>
      </w:r>
      <w:r w:rsidR="002520D7">
        <w:rPr>
          <w:rFonts w:asciiTheme="majorHAnsi" w:hAnsiTheme="majorHAnsi"/>
          <w:noProof/>
        </w:rPr>
        <w:t xml:space="preserve">mainly </w:t>
      </w:r>
      <w:r w:rsidRPr="007327B7">
        <w:rPr>
          <w:rFonts w:asciiTheme="majorHAnsi" w:hAnsiTheme="majorHAnsi"/>
          <w:noProof/>
        </w:rPr>
        <w:t>linked to administrative expenditure.</w:t>
      </w:r>
    </w:p>
    <w:p w14:paraId="6309432D" w14:textId="0DE30A0C" w:rsidR="00246B69" w:rsidRPr="00246B69" w:rsidRDefault="009E6787" w:rsidP="00246B69">
      <w:pPr>
        <w:spacing w:after="120" w:line="276" w:lineRule="auto"/>
        <w:jc w:val="both"/>
        <w:rPr>
          <w:rFonts w:asciiTheme="majorHAnsi" w:hAnsiTheme="majorHAnsi"/>
          <w:noProof/>
          <w:lang w:val="en-IE"/>
        </w:rPr>
      </w:pPr>
      <w:r w:rsidRPr="009E6787">
        <w:rPr>
          <w:rFonts w:asciiTheme="majorHAnsi" w:hAnsiTheme="majorHAnsi"/>
          <w:noProof/>
        </w:rPr>
        <w:t>Although the RAL is projected to increase in nominal terms from EUR 321 billion at the start of the MFF to EUR 344 billion at the end of 2034, its relative weight in the EU economy and in relation to the size of the MFF is expected to decline. The RAL would decrease from 1.6% of EU GNI at the end of 2027 to 1.3% at the end of 2034 and represent around one fifth of the 2028-2034 MFF, a lower ratio than projected for the current MFF. This points to a more contained stock of outstanding commitments than under previous programming periods and a reduced concentration of payment</w:t>
      </w:r>
      <w:r w:rsidR="008F4F6C">
        <w:rPr>
          <w:rFonts w:asciiTheme="majorHAnsi" w:hAnsiTheme="majorHAnsi"/>
          <w:noProof/>
        </w:rPr>
        <w:t xml:space="preserve">s </w:t>
      </w:r>
      <w:r w:rsidRPr="009E6787">
        <w:rPr>
          <w:rFonts w:asciiTheme="majorHAnsi" w:hAnsiTheme="majorHAnsi"/>
          <w:noProof/>
        </w:rPr>
        <w:t xml:space="preserve">beyond the end of the MFF. The projected development reflects both the stronger implementation observed towards the end of the current MFF and the implementation </w:t>
      </w:r>
      <w:r w:rsidR="00B91FD7">
        <w:rPr>
          <w:rFonts w:asciiTheme="majorHAnsi" w:hAnsiTheme="majorHAnsi"/>
          <w:noProof/>
        </w:rPr>
        <w:t xml:space="preserve">features proposed </w:t>
      </w:r>
      <w:r w:rsidRPr="009E6787">
        <w:rPr>
          <w:rFonts w:asciiTheme="majorHAnsi" w:hAnsiTheme="majorHAnsi"/>
          <w:noProof/>
        </w:rPr>
        <w:t xml:space="preserve">for the 2028-2034 MFF, which </w:t>
      </w:r>
      <w:r w:rsidR="00B91FD7">
        <w:rPr>
          <w:rFonts w:asciiTheme="majorHAnsi" w:hAnsiTheme="majorHAnsi"/>
          <w:noProof/>
        </w:rPr>
        <w:t>are</w:t>
      </w:r>
      <w:r w:rsidRPr="009E6787">
        <w:rPr>
          <w:rFonts w:asciiTheme="majorHAnsi" w:hAnsiTheme="majorHAnsi"/>
          <w:noProof/>
        </w:rPr>
        <w:t xml:space="preserve"> expected to lead to a </w:t>
      </w:r>
      <w:r w:rsidR="00946701" w:rsidRPr="009E6787">
        <w:rPr>
          <w:rFonts w:asciiTheme="majorHAnsi" w:hAnsiTheme="majorHAnsi"/>
          <w:noProof/>
        </w:rPr>
        <w:t>timelier</w:t>
      </w:r>
      <w:r w:rsidRPr="009E6787">
        <w:rPr>
          <w:rFonts w:asciiTheme="majorHAnsi" w:hAnsiTheme="majorHAnsi"/>
          <w:noProof/>
        </w:rPr>
        <w:t xml:space="preserve"> execution of programmes and a lower accumulation of outstanding commitments over time.</w:t>
      </w:r>
    </w:p>
    <w:p w14:paraId="25AC0004" w14:textId="692AEBB3" w:rsidR="00861C1C" w:rsidRPr="00F423B9" w:rsidRDefault="6375D7F3">
      <w:pPr>
        <w:pStyle w:val="amprH2TITLE1-Numbered-1"/>
        <w:rPr>
          <w:rFonts w:asciiTheme="majorHAnsi" w:hAnsiTheme="majorHAnsi"/>
          <w:noProof/>
        </w:rPr>
      </w:pPr>
      <w:bookmarkStart w:id="72" w:name="_Toc232591333"/>
      <w:bookmarkStart w:id="73" w:name="_Toc233958942"/>
      <w:bookmarkEnd w:id="72"/>
      <w:r w:rsidRPr="00F423B9">
        <w:rPr>
          <w:rFonts w:asciiTheme="majorHAnsi" w:hAnsiTheme="majorHAnsi"/>
          <w:noProof/>
        </w:rPr>
        <w:t xml:space="preserve">Forecast of inflows of the EU budget </w:t>
      </w:r>
      <w:r w:rsidR="00E61370" w:rsidRPr="00F423B9">
        <w:rPr>
          <w:rFonts w:asciiTheme="majorHAnsi" w:hAnsiTheme="majorHAnsi"/>
          <w:noProof/>
        </w:rPr>
        <w:br/>
      </w:r>
      <w:r w:rsidRPr="00F423B9">
        <w:rPr>
          <w:rFonts w:asciiTheme="majorHAnsi" w:hAnsiTheme="majorHAnsi"/>
          <w:noProof/>
        </w:rPr>
        <w:t>202</w:t>
      </w:r>
      <w:r w:rsidR="00585C0E">
        <w:rPr>
          <w:rFonts w:asciiTheme="majorHAnsi" w:hAnsiTheme="majorHAnsi"/>
          <w:noProof/>
        </w:rPr>
        <w:t>7</w:t>
      </w:r>
      <w:r w:rsidRPr="00F423B9">
        <w:rPr>
          <w:rFonts w:asciiTheme="majorHAnsi" w:hAnsiTheme="majorHAnsi"/>
          <w:noProof/>
        </w:rPr>
        <w:t>-20</w:t>
      </w:r>
      <w:r w:rsidR="008231A5" w:rsidRPr="00F423B9">
        <w:rPr>
          <w:rFonts w:asciiTheme="majorHAnsi" w:hAnsiTheme="majorHAnsi"/>
          <w:noProof/>
        </w:rPr>
        <w:t>3</w:t>
      </w:r>
      <w:r w:rsidR="00585C0E">
        <w:rPr>
          <w:rFonts w:asciiTheme="majorHAnsi" w:hAnsiTheme="majorHAnsi"/>
          <w:noProof/>
        </w:rPr>
        <w:t>4</w:t>
      </w:r>
      <w:bookmarkEnd w:id="73"/>
    </w:p>
    <w:p w14:paraId="4F06F7DF" w14:textId="29C93FDC" w:rsidR="00DB73F3" w:rsidRDefault="004D01B2" w:rsidP="00DB73F3">
      <w:pPr>
        <w:spacing w:before="180" w:after="120" w:line="276" w:lineRule="auto"/>
        <w:jc w:val="both"/>
        <w:rPr>
          <w:rFonts w:asciiTheme="majorHAnsi" w:hAnsiTheme="majorHAnsi"/>
          <w:noProof/>
        </w:rPr>
      </w:pPr>
      <w:r>
        <w:rPr>
          <w:rFonts w:asciiTheme="majorHAnsi" w:hAnsiTheme="majorHAnsi"/>
          <w:noProof/>
        </w:rPr>
        <w:t xml:space="preserve">For </w:t>
      </w:r>
      <w:r w:rsidR="00DB73F3" w:rsidRPr="00DB73F3">
        <w:rPr>
          <w:rFonts w:asciiTheme="majorHAnsi" w:hAnsiTheme="majorHAnsi"/>
          <w:noProof/>
        </w:rPr>
        <w:t xml:space="preserve">2027, revenue is based on the </w:t>
      </w:r>
      <w:r w:rsidR="00E554A7">
        <w:rPr>
          <w:rFonts w:asciiTheme="majorHAnsi" w:hAnsiTheme="majorHAnsi"/>
          <w:noProof/>
        </w:rPr>
        <w:t xml:space="preserve">draft budget </w:t>
      </w:r>
      <w:r w:rsidR="007F0567">
        <w:rPr>
          <w:rFonts w:asciiTheme="majorHAnsi" w:hAnsiTheme="majorHAnsi"/>
          <w:noProof/>
        </w:rPr>
        <w:t>2027</w:t>
      </w:r>
      <w:r w:rsidR="00DB73F3" w:rsidRPr="00DB73F3">
        <w:rPr>
          <w:rFonts w:asciiTheme="majorHAnsi" w:hAnsiTheme="majorHAnsi"/>
          <w:noProof/>
        </w:rPr>
        <w:t xml:space="preserve">. </w:t>
      </w:r>
      <w:r w:rsidR="00073D47">
        <w:rPr>
          <w:rFonts w:asciiTheme="majorHAnsi" w:hAnsiTheme="majorHAnsi"/>
          <w:noProof/>
        </w:rPr>
        <w:t>Revenue</w:t>
      </w:r>
      <w:r w:rsidR="00DB73F3" w:rsidRPr="00DB73F3">
        <w:rPr>
          <w:rFonts w:asciiTheme="majorHAnsi" w:hAnsiTheme="majorHAnsi"/>
          <w:noProof/>
        </w:rPr>
        <w:t xml:space="preserve"> as of 2028 </w:t>
      </w:r>
      <w:r w:rsidR="00B25C6B">
        <w:rPr>
          <w:rFonts w:asciiTheme="majorHAnsi" w:hAnsiTheme="majorHAnsi"/>
          <w:noProof/>
        </w:rPr>
        <w:t>remains as</w:t>
      </w:r>
      <w:r w:rsidR="00B25C6B" w:rsidRPr="00DB73F3">
        <w:rPr>
          <w:rFonts w:asciiTheme="majorHAnsi" w:hAnsiTheme="majorHAnsi"/>
          <w:noProof/>
        </w:rPr>
        <w:t xml:space="preserve"> </w:t>
      </w:r>
      <w:r w:rsidR="00DB73F3" w:rsidRPr="00DB73F3">
        <w:rPr>
          <w:rFonts w:asciiTheme="majorHAnsi" w:hAnsiTheme="majorHAnsi"/>
          <w:noProof/>
        </w:rPr>
        <w:t xml:space="preserve">forecast </w:t>
      </w:r>
      <w:r w:rsidR="00B25C6B">
        <w:rPr>
          <w:rFonts w:asciiTheme="majorHAnsi" w:hAnsiTheme="majorHAnsi"/>
          <w:noProof/>
        </w:rPr>
        <w:t xml:space="preserve">in last year’s report as they reflect </w:t>
      </w:r>
      <w:r w:rsidR="00DB73F3" w:rsidRPr="00DB73F3">
        <w:rPr>
          <w:rFonts w:asciiTheme="majorHAnsi" w:hAnsiTheme="majorHAnsi"/>
          <w:noProof/>
        </w:rPr>
        <w:t>the Commission proposal for a new Own Resources Decision</w:t>
      </w:r>
      <w:r w:rsidR="006A5222">
        <w:rPr>
          <w:rFonts w:asciiTheme="majorHAnsi" w:hAnsiTheme="majorHAnsi"/>
          <w:noProof/>
        </w:rPr>
        <w:t xml:space="preserve">, which is </w:t>
      </w:r>
      <w:r w:rsidR="005B06C0">
        <w:rPr>
          <w:rFonts w:asciiTheme="majorHAnsi" w:hAnsiTheme="majorHAnsi"/>
          <w:noProof/>
        </w:rPr>
        <w:t xml:space="preserve">currently </w:t>
      </w:r>
      <w:r w:rsidR="0060586D">
        <w:rPr>
          <w:rFonts w:asciiTheme="majorHAnsi" w:hAnsiTheme="majorHAnsi"/>
          <w:noProof/>
        </w:rPr>
        <w:t>negotiat</w:t>
      </w:r>
      <w:r w:rsidR="005220F7">
        <w:rPr>
          <w:rFonts w:asciiTheme="majorHAnsi" w:hAnsiTheme="majorHAnsi"/>
          <w:noProof/>
        </w:rPr>
        <w:t>ed</w:t>
      </w:r>
      <w:r w:rsidR="00704752">
        <w:rPr>
          <w:rFonts w:asciiTheme="majorHAnsi" w:hAnsiTheme="majorHAnsi"/>
          <w:noProof/>
        </w:rPr>
        <w:t>.</w:t>
      </w:r>
      <w:r w:rsidR="00DB73F3" w:rsidRPr="00DB73F3">
        <w:rPr>
          <w:rFonts w:asciiTheme="majorHAnsi" w:hAnsiTheme="majorHAnsi"/>
          <w:noProof/>
        </w:rPr>
        <w:t xml:space="preserve"> </w:t>
      </w:r>
      <w:r w:rsidR="005634EF">
        <w:rPr>
          <w:rFonts w:asciiTheme="majorHAnsi" w:hAnsiTheme="majorHAnsi"/>
          <w:noProof/>
        </w:rPr>
        <w:t>T</w:t>
      </w:r>
      <w:r w:rsidR="00D07149">
        <w:rPr>
          <w:rFonts w:asciiTheme="majorHAnsi" w:hAnsiTheme="majorHAnsi"/>
          <w:noProof/>
        </w:rPr>
        <w:t xml:space="preserve">he </w:t>
      </w:r>
      <w:r w:rsidR="0036506C">
        <w:rPr>
          <w:rFonts w:asciiTheme="majorHAnsi" w:hAnsiTheme="majorHAnsi"/>
          <w:noProof/>
        </w:rPr>
        <w:t xml:space="preserve">residual </w:t>
      </w:r>
      <w:r w:rsidR="00D07149">
        <w:rPr>
          <w:rFonts w:asciiTheme="majorHAnsi" w:hAnsiTheme="majorHAnsi"/>
          <w:noProof/>
        </w:rPr>
        <w:t xml:space="preserve">GNI </w:t>
      </w:r>
      <w:r w:rsidR="006F4865">
        <w:rPr>
          <w:rFonts w:asciiTheme="majorHAnsi" w:hAnsiTheme="majorHAnsi"/>
          <w:noProof/>
        </w:rPr>
        <w:t>o</w:t>
      </w:r>
      <w:r w:rsidR="00D07149">
        <w:rPr>
          <w:rFonts w:asciiTheme="majorHAnsi" w:hAnsiTheme="majorHAnsi"/>
          <w:noProof/>
        </w:rPr>
        <w:t xml:space="preserve">wn </w:t>
      </w:r>
      <w:r w:rsidR="006F4865">
        <w:rPr>
          <w:rFonts w:asciiTheme="majorHAnsi" w:hAnsiTheme="majorHAnsi"/>
          <w:noProof/>
        </w:rPr>
        <w:t>r</w:t>
      </w:r>
      <w:r w:rsidR="00D07149">
        <w:rPr>
          <w:rFonts w:asciiTheme="majorHAnsi" w:hAnsiTheme="majorHAnsi"/>
          <w:noProof/>
        </w:rPr>
        <w:t xml:space="preserve">esource </w:t>
      </w:r>
      <w:r w:rsidR="005634EF">
        <w:rPr>
          <w:rFonts w:asciiTheme="majorHAnsi" w:hAnsiTheme="majorHAnsi"/>
          <w:noProof/>
        </w:rPr>
        <w:t>estimate is</w:t>
      </w:r>
      <w:r w:rsidR="00A627A3">
        <w:rPr>
          <w:rFonts w:asciiTheme="majorHAnsi" w:hAnsiTheme="majorHAnsi"/>
          <w:noProof/>
        </w:rPr>
        <w:t xml:space="preserve"> </w:t>
      </w:r>
      <w:r w:rsidR="0015329B">
        <w:rPr>
          <w:rFonts w:asciiTheme="majorHAnsi" w:hAnsiTheme="majorHAnsi"/>
          <w:noProof/>
        </w:rPr>
        <w:t xml:space="preserve">mechanically </w:t>
      </w:r>
      <w:r w:rsidR="002537FE">
        <w:rPr>
          <w:rFonts w:asciiTheme="majorHAnsi" w:hAnsiTheme="majorHAnsi"/>
          <w:noProof/>
        </w:rPr>
        <w:t xml:space="preserve">adjusted to </w:t>
      </w:r>
      <w:r w:rsidR="005634EF">
        <w:rPr>
          <w:rFonts w:asciiTheme="majorHAnsi" w:hAnsiTheme="majorHAnsi"/>
          <w:noProof/>
        </w:rPr>
        <w:t>ensure an overall</w:t>
      </w:r>
      <w:r w:rsidR="002537FE">
        <w:rPr>
          <w:rFonts w:asciiTheme="majorHAnsi" w:hAnsiTheme="majorHAnsi"/>
          <w:noProof/>
        </w:rPr>
        <w:t xml:space="preserve"> balance </w:t>
      </w:r>
      <w:r w:rsidR="005634EF">
        <w:rPr>
          <w:rFonts w:asciiTheme="majorHAnsi" w:hAnsiTheme="majorHAnsi"/>
          <w:noProof/>
        </w:rPr>
        <w:t xml:space="preserve">with </w:t>
      </w:r>
      <w:r w:rsidR="0036506C">
        <w:rPr>
          <w:rFonts w:asciiTheme="majorHAnsi" w:hAnsiTheme="majorHAnsi"/>
          <w:noProof/>
        </w:rPr>
        <w:t xml:space="preserve">the </w:t>
      </w:r>
      <w:r w:rsidR="0010393C">
        <w:rPr>
          <w:rFonts w:asciiTheme="majorHAnsi" w:hAnsiTheme="majorHAnsi"/>
          <w:noProof/>
        </w:rPr>
        <w:t>forecast</w:t>
      </w:r>
      <w:r w:rsidR="00EC1B04">
        <w:rPr>
          <w:rFonts w:asciiTheme="majorHAnsi" w:hAnsiTheme="majorHAnsi"/>
          <w:noProof/>
        </w:rPr>
        <w:t xml:space="preserve"> </w:t>
      </w:r>
      <w:r w:rsidR="004A7B95" w:rsidRPr="004A7B95">
        <w:rPr>
          <w:rFonts w:asciiTheme="majorHAnsi" w:hAnsiTheme="majorHAnsi"/>
          <w:noProof/>
        </w:rPr>
        <w:t>payments</w:t>
      </w:r>
      <w:r w:rsidR="005634EF">
        <w:rPr>
          <w:rFonts w:asciiTheme="majorHAnsi" w:hAnsiTheme="majorHAnsi"/>
          <w:noProof/>
        </w:rPr>
        <w:t>, which have been updated</w:t>
      </w:r>
      <w:r w:rsidR="004A7B95" w:rsidRPr="004A7B95">
        <w:rPr>
          <w:rFonts w:asciiTheme="majorHAnsi" w:hAnsiTheme="majorHAnsi"/>
          <w:noProof/>
        </w:rPr>
        <w:t xml:space="preserve"> for the completion of pre-2028 programmes</w:t>
      </w:r>
      <w:r w:rsidR="00846CD6">
        <w:rPr>
          <w:rFonts w:asciiTheme="majorHAnsi" w:hAnsiTheme="majorHAnsi"/>
          <w:noProof/>
        </w:rPr>
        <w:t xml:space="preserve">. </w:t>
      </w:r>
      <w:r w:rsidR="00825C9C">
        <w:rPr>
          <w:rFonts w:asciiTheme="majorHAnsi" w:hAnsiTheme="majorHAnsi"/>
          <w:noProof/>
        </w:rPr>
        <w:t xml:space="preserve"> </w:t>
      </w:r>
    </w:p>
    <w:p w14:paraId="15D10B86" w14:textId="177EB459" w:rsidR="00CF08E3" w:rsidRPr="00CF08E3" w:rsidRDefault="00CF08E3" w:rsidP="00CF08E3">
      <w:pPr>
        <w:spacing w:before="180" w:after="120" w:line="276" w:lineRule="auto"/>
        <w:jc w:val="both"/>
        <w:rPr>
          <w:rFonts w:asciiTheme="majorHAnsi" w:hAnsiTheme="majorHAnsi"/>
          <w:noProof/>
        </w:rPr>
      </w:pPr>
      <w:r w:rsidRPr="00CF08E3">
        <w:rPr>
          <w:rFonts w:asciiTheme="majorHAnsi" w:hAnsiTheme="majorHAnsi"/>
          <w:noProof/>
        </w:rPr>
        <w:t>The EU budget is financed by own resources and other revenue. In addition, the Union is empowered to borrow funds</w:t>
      </w:r>
      <w:r>
        <w:rPr>
          <w:rFonts w:asciiTheme="majorHAnsi" w:hAnsiTheme="majorHAnsi"/>
          <w:noProof/>
        </w:rPr>
        <w:t xml:space="preserve"> </w:t>
      </w:r>
      <w:r w:rsidRPr="00CF08E3">
        <w:rPr>
          <w:rFonts w:asciiTheme="majorHAnsi" w:hAnsiTheme="majorHAnsi"/>
          <w:noProof/>
        </w:rPr>
        <w:t>to finance NextGenerationEU, which are channelled into the budget through external assigned revenue</w:t>
      </w:r>
      <w:r w:rsidR="00BD6FA5">
        <w:rPr>
          <w:rFonts w:asciiTheme="majorHAnsi" w:hAnsiTheme="majorHAnsi"/>
          <w:noProof/>
        </w:rPr>
        <w:t xml:space="preserve"> – </w:t>
      </w:r>
      <w:r w:rsidR="00FB2DFA">
        <w:rPr>
          <w:rFonts w:asciiTheme="majorHAnsi" w:hAnsiTheme="majorHAnsi"/>
          <w:noProof/>
        </w:rPr>
        <w:t xml:space="preserve">with </w:t>
      </w:r>
      <w:r w:rsidR="00BD6FA5">
        <w:rPr>
          <w:rFonts w:asciiTheme="majorHAnsi" w:hAnsiTheme="majorHAnsi"/>
          <w:noProof/>
        </w:rPr>
        <w:t xml:space="preserve">the net borrowing </w:t>
      </w:r>
      <w:r w:rsidR="00BA13E8">
        <w:rPr>
          <w:rFonts w:asciiTheme="majorHAnsi" w:hAnsiTheme="majorHAnsi"/>
          <w:noProof/>
        </w:rPr>
        <w:t>end</w:t>
      </w:r>
      <w:r w:rsidR="00FB2DFA">
        <w:rPr>
          <w:rFonts w:asciiTheme="majorHAnsi" w:hAnsiTheme="majorHAnsi"/>
          <w:noProof/>
        </w:rPr>
        <w:t>ing</w:t>
      </w:r>
      <w:r w:rsidR="00BA13E8">
        <w:rPr>
          <w:rFonts w:asciiTheme="majorHAnsi" w:hAnsiTheme="majorHAnsi"/>
          <w:noProof/>
        </w:rPr>
        <w:t xml:space="preserve"> in 2026</w:t>
      </w:r>
      <w:r w:rsidRPr="00CF08E3">
        <w:rPr>
          <w:rFonts w:asciiTheme="majorHAnsi" w:hAnsiTheme="majorHAnsi"/>
          <w:noProof/>
        </w:rPr>
        <w:t xml:space="preserve">. </w:t>
      </w:r>
    </w:p>
    <w:p w14:paraId="7973A53E" w14:textId="766C6C5A" w:rsidR="00CF08E3" w:rsidRPr="004334A3" w:rsidRDefault="00CF08E3" w:rsidP="00CF08E3">
      <w:pPr>
        <w:spacing w:before="180" w:after="120" w:line="276" w:lineRule="auto"/>
        <w:jc w:val="both"/>
        <w:rPr>
          <w:rFonts w:asciiTheme="majorHAnsi" w:hAnsiTheme="majorHAnsi"/>
          <w:noProof/>
          <w:spacing w:val="-4"/>
        </w:rPr>
      </w:pPr>
      <w:r w:rsidRPr="004334A3">
        <w:rPr>
          <w:rFonts w:asciiTheme="majorHAnsi" w:hAnsiTheme="majorHAnsi"/>
          <w:noProof/>
          <w:spacing w:val="-4"/>
        </w:rPr>
        <w:t xml:space="preserve">The own resources needed to finance the budget are determined by total expenditure less ‘other revenue’. </w:t>
      </w:r>
      <w:r w:rsidR="007832DF" w:rsidRPr="004334A3">
        <w:rPr>
          <w:rFonts w:asciiTheme="majorHAnsi" w:hAnsiTheme="majorHAnsi"/>
          <w:noProof/>
          <w:spacing w:val="-4"/>
        </w:rPr>
        <w:t>The</w:t>
      </w:r>
      <w:r w:rsidRPr="004334A3">
        <w:rPr>
          <w:rFonts w:asciiTheme="majorHAnsi" w:hAnsiTheme="majorHAnsi"/>
          <w:noProof/>
          <w:spacing w:val="-4"/>
        </w:rPr>
        <w:t xml:space="preserve"> forecast of the EU budget revenue is based on the principle that expenditure must be matched by revenue; therefore, total revenue equals total expenditure.</w:t>
      </w:r>
      <w:r w:rsidR="00767C23" w:rsidRPr="004334A3">
        <w:rPr>
          <w:rFonts w:asciiTheme="majorHAnsi" w:hAnsiTheme="majorHAnsi"/>
          <w:noProof/>
          <w:spacing w:val="-4"/>
        </w:rPr>
        <w:t xml:space="preserve"> </w:t>
      </w:r>
    </w:p>
    <w:p w14:paraId="245A3130" w14:textId="0A653BB4" w:rsidR="00CF08E3" w:rsidRPr="003E1BB5" w:rsidRDefault="00CF08E3" w:rsidP="00CF08E3">
      <w:pPr>
        <w:spacing w:before="180" w:after="120" w:line="276" w:lineRule="auto"/>
        <w:jc w:val="both"/>
        <w:rPr>
          <w:rFonts w:asciiTheme="majorHAnsi" w:hAnsiTheme="majorHAnsi"/>
          <w:noProof/>
          <w:spacing w:val="-6"/>
        </w:rPr>
      </w:pPr>
      <w:r w:rsidRPr="003E1BB5">
        <w:rPr>
          <w:rFonts w:asciiTheme="majorHAnsi" w:hAnsiTheme="majorHAnsi"/>
          <w:noProof/>
          <w:spacing w:val="-6"/>
        </w:rPr>
        <w:t xml:space="preserve">Since 2021, in line with the Withdrawal Agreement (part V), the United Kingdom contributes to the EU budget in relation to outstanding commitments of previous financial frameworks. The United Kingdom’s contribution constitutes ‘other revenue’ of the EU budget. It will progressively phase out as </w:t>
      </w:r>
      <w:r w:rsidR="7BBE7EE3" w:rsidRPr="154CE2B6">
        <w:rPr>
          <w:rFonts w:asciiTheme="majorHAnsi" w:hAnsiTheme="majorHAnsi"/>
          <w:noProof/>
          <w:spacing w:val="-6"/>
        </w:rPr>
        <w:t xml:space="preserve">payments on </w:t>
      </w:r>
      <w:r w:rsidRPr="003E1BB5">
        <w:rPr>
          <w:rFonts w:asciiTheme="majorHAnsi" w:hAnsiTheme="majorHAnsi"/>
          <w:noProof/>
          <w:spacing w:val="-6"/>
        </w:rPr>
        <w:t xml:space="preserve">outstanding commitments </w:t>
      </w:r>
      <w:r w:rsidR="006D7EF5">
        <w:rPr>
          <w:rFonts w:asciiTheme="majorHAnsi" w:hAnsiTheme="majorHAnsi"/>
          <w:noProof/>
          <w:spacing w:val="-6"/>
        </w:rPr>
        <w:t>are made</w:t>
      </w:r>
      <w:r w:rsidR="6F860DBA" w:rsidRPr="154CE2B6">
        <w:rPr>
          <w:rFonts w:asciiTheme="majorHAnsi" w:hAnsiTheme="majorHAnsi"/>
          <w:noProof/>
          <w:spacing w:val="-6"/>
        </w:rPr>
        <w:t xml:space="preserve"> in the next MFF, as presented in section 2.</w:t>
      </w:r>
      <w:r w:rsidR="00A16895">
        <w:rPr>
          <w:rFonts w:asciiTheme="majorHAnsi" w:hAnsiTheme="majorHAnsi"/>
          <w:noProof/>
          <w:spacing w:val="-6"/>
        </w:rPr>
        <w:t>1</w:t>
      </w:r>
      <w:r w:rsidRPr="003E1BB5">
        <w:rPr>
          <w:rFonts w:asciiTheme="majorHAnsi" w:hAnsiTheme="majorHAnsi"/>
          <w:noProof/>
          <w:spacing w:val="-6"/>
        </w:rPr>
        <w:t xml:space="preserve">. </w:t>
      </w:r>
      <w:r w:rsidR="007A6942">
        <w:rPr>
          <w:rFonts w:asciiTheme="majorHAnsi" w:hAnsiTheme="majorHAnsi"/>
          <w:noProof/>
          <w:spacing w:val="-6"/>
        </w:rPr>
        <w:t xml:space="preserve">For 2028-2034, </w:t>
      </w:r>
      <w:r w:rsidR="00DF3EF6">
        <w:rPr>
          <w:rFonts w:asciiTheme="majorHAnsi" w:hAnsiTheme="majorHAnsi"/>
          <w:noProof/>
          <w:spacing w:val="-6"/>
        </w:rPr>
        <w:t xml:space="preserve">‘other revenue’ includes </w:t>
      </w:r>
      <w:r w:rsidR="007A6942">
        <w:rPr>
          <w:rFonts w:asciiTheme="majorHAnsi" w:hAnsiTheme="majorHAnsi"/>
          <w:noProof/>
          <w:spacing w:val="-6"/>
        </w:rPr>
        <w:t xml:space="preserve">the </w:t>
      </w:r>
      <w:r w:rsidR="00D903F6">
        <w:rPr>
          <w:rFonts w:asciiTheme="majorHAnsi" w:hAnsiTheme="majorHAnsi"/>
          <w:noProof/>
          <w:spacing w:val="-6"/>
        </w:rPr>
        <w:t>updated United Kingdom</w:t>
      </w:r>
      <w:r w:rsidR="00C812EB">
        <w:rPr>
          <w:rFonts w:asciiTheme="majorHAnsi" w:hAnsiTheme="majorHAnsi"/>
          <w:noProof/>
          <w:spacing w:val="-6"/>
        </w:rPr>
        <w:t xml:space="preserve"> contribution</w:t>
      </w:r>
      <w:r w:rsidRPr="003E1BB5">
        <w:rPr>
          <w:rFonts w:asciiTheme="majorHAnsi" w:hAnsiTheme="majorHAnsi"/>
          <w:noProof/>
          <w:spacing w:val="-6"/>
        </w:rPr>
        <w:t>.</w:t>
      </w:r>
    </w:p>
    <w:p w14:paraId="514372BF" w14:textId="37536393" w:rsidR="00DB73F3" w:rsidRDefault="00CF08E3" w:rsidP="082EABE0">
      <w:pPr>
        <w:spacing w:before="180" w:after="120" w:line="276" w:lineRule="auto"/>
        <w:jc w:val="both"/>
        <w:rPr>
          <w:rFonts w:asciiTheme="majorHAnsi" w:hAnsiTheme="majorHAnsi"/>
          <w:noProof/>
        </w:rPr>
      </w:pPr>
      <w:r w:rsidRPr="082EABE0">
        <w:rPr>
          <w:rFonts w:asciiTheme="majorHAnsi" w:hAnsiTheme="majorHAnsi"/>
          <w:noProof/>
        </w:rPr>
        <w:t xml:space="preserve">Own resources – </w:t>
      </w:r>
      <w:r w:rsidR="002D5DED" w:rsidRPr="082EABE0">
        <w:rPr>
          <w:rFonts w:asciiTheme="majorHAnsi" w:hAnsiTheme="majorHAnsi"/>
          <w:noProof/>
        </w:rPr>
        <w:t xml:space="preserve">currently </w:t>
      </w:r>
      <w:r w:rsidR="00A25980" w:rsidRPr="082EABE0">
        <w:rPr>
          <w:rFonts w:asciiTheme="majorHAnsi" w:hAnsiTheme="majorHAnsi"/>
          <w:noProof/>
        </w:rPr>
        <w:t>traditional own resources</w:t>
      </w:r>
      <w:r w:rsidR="00A5244D" w:rsidRPr="082EABE0">
        <w:rPr>
          <w:rFonts w:asciiTheme="majorHAnsi" w:hAnsiTheme="majorHAnsi"/>
          <w:noProof/>
        </w:rPr>
        <w:t xml:space="preserve"> as well as VAT, </w:t>
      </w:r>
      <w:r w:rsidR="0005527E" w:rsidRPr="082EABE0">
        <w:rPr>
          <w:rFonts w:asciiTheme="majorHAnsi" w:hAnsiTheme="majorHAnsi"/>
          <w:noProof/>
        </w:rPr>
        <w:t>plastics and GNI-based own resources</w:t>
      </w:r>
      <w:r w:rsidRPr="082EABE0">
        <w:rPr>
          <w:rFonts w:asciiTheme="majorHAnsi" w:hAnsiTheme="majorHAnsi"/>
          <w:noProof/>
        </w:rPr>
        <w:t xml:space="preserve"> – account for most of the revenue needed to finance budget expenditure. The spending cycle determines the development of </w:t>
      </w:r>
      <w:r w:rsidR="002B1C68" w:rsidRPr="082EABE0">
        <w:rPr>
          <w:rFonts w:asciiTheme="majorHAnsi" w:hAnsiTheme="majorHAnsi"/>
          <w:noProof/>
        </w:rPr>
        <w:t>Member States</w:t>
      </w:r>
      <w:r w:rsidR="001C4AB3" w:rsidRPr="082EABE0">
        <w:rPr>
          <w:rFonts w:asciiTheme="majorHAnsi" w:hAnsiTheme="majorHAnsi"/>
          <w:noProof/>
        </w:rPr>
        <w:t>’</w:t>
      </w:r>
      <w:r w:rsidR="002B1C68" w:rsidRPr="082EABE0">
        <w:rPr>
          <w:rFonts w:asciiTheme="majorHAnsi" w:hAnsiTheme="majorHAnsi"/>
          <w:noProof/>
        </w:rPr>
        <w:t xml:space="preserve"> own resources </w:t>
      </w:r>
      <w:r w:rsidRPr="082EABE0">
        <w:rPr>
          <w:rFonts w:asciiTheme="majorHAnsi" w:hAnsiTheme="majorHAnsi"/>
          <w:noProof/>
        </w:rPr>
        <w:t>contributions over the forecast</w:t>
      </w:r>
      <w:r w:rsidR="00765BE3" w:rsidRPr="082EABE0">
        <w:rPr>
          <w:rFonts w:asciiTheme="majorHAnsi" w:hAnsiTheme="majorHAnsi"/>
          <w:noProof/>
        </w:rPr>
        <w:t xml:space="preserve"> </w:t>
      </w:r>
      <w:r w:rsidRPr="082EABE0">
        <w:rPr>
          <w:rFonts w:asciiTheme="majorHAnsi" w:hAnsiTheme="majorHAnsi"/>
          <w:noProof/>
        </w:rPr>
        <w:t>period.</w:t>
      </w:r>
    </w:p>
    <w:p w14:paraId="4AFAAEDE" w14:textId="7D32599C" w:rsidR="005E727A" w:rsidRPr="00F423B9" w:rsidRDefault="005E727A" w:rsidP="005E727A">
      <w:pPr>
        <w:pStyle w:val="amprH3Title2-Numbered-11"/>
        <w:rPr>
          <w:rFonts w:asciiTheme="majorHAnsi" w:hAnsiTheme="majorHAnsi"/>
          <w:noProof/>
        </w:rPr>
      </w:pPr>
      <w:r w:rsidRPr="00F423B9">
        <w:rPr>
          <w:rFonts w:asciiTheme="majorHAnsi" w:hAnsiTheme="majorHAnsi"/>
          <w:noProof/>
        </w:rPr>
        <w:tab/>
      </w:r>
      <w:bookmarkStart w:id="74" w:name="_Toc233958943"/>
      <w:r>
        <w:rPr>
          <w:rFonts w:asciiTheme="majorHAnsi" w:hAnsiTheme="majorHAnsi"/>
          <w:noProof/>
        </w:rPr>
        <w:t>Revenue sources</w:t>
      </w:r>
      <w:bookmarkEnd w:id="74"/>
    </w:p>
    <w:p w14:paraId="3BA73305" w14:textId="77777777" w:rsidR="00FA324E" w:rsidRDefault="00FA324E" w:rsidP="00FD3E53">
      <w:pPr>
        <w:spacing w:before="180" w:after="120" w:line="276" w:lineRule="auto"/>
        <w:jc w:val="both"/>
        <w:rPr>
          <w:rFonts w:asciiTheme="majorHAnsi" w:hAnsiTheme="majorHAnsi"/>
          <w:noProof/>
        </w:rPr>
      </w:pPr>
    </w:p>
    <w:p w14:paraId="0CB6AEAF" w14:textId="4B18D835" w:rsidR="00FD3E53" w:rsidRPr="00FD3E53" w:rsidRDefault="00805721" w:rsidP="00FD3E53">
      <w:pPr>
        <w:spacing w:before="180" w:after="120" w:line="276" w:lineRule="auto"/>
        <w:jc w:val="both"/>
        <w:rPr>
          <w:rFonts w:asciiTheme="majorHAnsi" w:hAnsiTheme="majorHAnsi"/>
          <w:noProof/>
        </w:rPr>
      </w:pPr>
      <w:r>
        <w:rPr>
          <w:rFonts w:asciiTheme="majorHAnsi" w:hAnsiTheme="majorHAnsi"/>
          <w:noProof/>
        </w:rPr>
        <w:t xml:space="preserve">For 2027 the revenues in this report reflect </w:t>
      </w:r>
      <w:r w:rsidR="00033614">
        <w:rPr>
          <w:rFonts w:asciiTheme="majorHAnsi" w:hAnsiTheme="majorHAnsi"/>
          <w:noProof/>
        </w:rPr>
        <w:t>the draft budget</w:t>
      </w:r>
      <w:r w:rsidR="001862EB">
        <w:rPr>
          <w:rFonts w:asciiTheme="majorHAnsi" w:hAnsiTheme="majorHAnsi"/>
          <w:noProof/>
        </w:rPr>
        <w:t xml:space="preserve"> 2027</w:t>
      </w:r>
      <w:r w:rsidR="00033614">
        <w:rPr>
          <w:rFonts w:asciiTheme="majorHAnsi" w:hAnsiTheme="majorHAnsi"/>
          <w:noProof/>
        </w:rPr>
        <w:t>.</w:t>
      </w:r>
      <w:r w:rsidR="003E332F">
        <w:rPr>
          <w:rFonts w:asciiTheme="majorHAnsi" w:hAnsiTheme="majorHAnsi"/>
          <w:noProof/>
        </w:rPr>
        <w:t xml:space="preserve"> </w:t>
      </w:r>
      <w:r w:rsidR="00966344">
        <w:rPr>
          <w:rFonts w:asciiTheme="majorHAnsi" w:hAnsiTheme="majorHAnsi"/>
          <w:noProof/>
        </w:rPr>
        <w:t xml:space="preserve">For the next </w:t>
      </w:r>
      <w:r w:rsidR="00B51128">
        <w:rPr>
          <w:rFonts w:asciiTheme="majorHAnsi" w:hAnsiTheme="majorHAnsi"/>
          <w:noProof/>
        </w:rPr>
        <w:t>MFF</w:t>
      </w:r>
      <w:r w:rsidR="003A4487">
        <w:rPr>
          <w:rFonts w:asciiTheme="majorHAnsi" w:hAnsiTheme="majorHAnsi"/>
          <w:noProof/>
        </w:rPr>
        <w:t>, own</w:t>
      </w:r>
      <w:r w:rsidR="00A6411D">
        <w:rPr>
          <w:rFonts w:asciiTheme="majorHAnsi" w:hAnsiTheme="majorHAnsi"/>
          <w:noProof/>
        </w:rPr>
        <w:t xml:space="preserve"> resources are projected</w:t>
      </w:r>
      <w:r w:rsidR="00DD6D6D">
        <w:rPr>
          <w:rFonts w:asciiTheme="majorHAnsi" w:hAnsiTheme="majorHAnsi"/>
          <w:noProof/>
        </w:rPr>
        <w:t xml:space="preserve"> </w:t>
      </w:r>
      <w:r w:rsidR="00504B2C">
        <w:rPr>
          <w:rFonts w:asciiTheme="majorHAnsi" w:hAnsiTheme="majorHAnsi"/>
          <w:noProof/>
        </w:rPr>
        <w:t>in line with the Commission proposal</w:t>
      </w:r>
      <w:r w:rsidR="00057FC1">
        <w:rPr>
          <w:rFonts w:asciiTheme="majorHAnsi" w:hAnsiTheme="majorHAnsi"/>
          <w:noProof/>
        </w:rPr>
        <w:t xml:space="preserve"> of July 2025.</w:t>
      </w:r>
      <w:r w:rsidR="00340D1A">
        <w:rPr>
          <w:rFonts w:asciiTheme="majorHAnsi" w:hAnsiTheme="majorHAnsi"/>
          <w:noProof/>
        </w:rPr>
        <w:t xml:space="preserve"> </w:t>
      </w:r>
      <w:r w:rsidR="00074BC0">
        <w:rPr>
          <w:rFonts w:asciiTheme="majorHAnsi" w:hAnsiTheme="majorHAnsi"/>
          <w:noProof/>
        </w:rPr>
        <w:t>As per</w:t>
      </w:r>
      <w:r w:rsidR="00D66B0D">
        <w:rPr>
          <w:rFonts w:asciiTheme="majorHAnsi" w:hAnsiTheme="majorHAnsi"/>
          <w:noProof/>
        </w:rPr>
        <w:t xml:space="preserve"> the forecast accompanying the Commission proposal, t</w:t>
      </w:r>
      <w:r w:rsidR="00FD3E53" w:rsidRPr="00FD3E53">
        <w:rPr>
          <w:rFonts w:asciiTheme="majorHAnsi" w:hAnsiTheme="majorHAnsi"/>
          <w:noProof/>
        </w:rPr>
        <w:t>raditional own resources (customs duties) are projected to grow at the same rate as</w:t>
      </w:r>
      <w:r w:rsidR="00FD3E53">
        <w:rPr>
          <w:rFonts w:asciiTheme="majorHAnsi" w:hAnsiTheme="majorHAnsi"/>
          <w:noProof/>
        </w:rPr>
        <w:t xml:space="preserve"> </w:t>
      </w:r>
      <w:r w:rsidR="00FD3E53" w:rsidRPr="00FD3E53">
        <w:rPr>
          <w:rFonts w:asciiTheme="majorHAnsi" w:hAnsiTheme="majorHAnsi"/>
          <w:noProof/>
        </w:rPr>
        <w:t xml:space="preserve">GNI in current prices of each Member State starting from the level of gross customs duties projected for the </w:t>
      </w:r>
      <w:r w:rsidR="00FD3E53">
        <w:rPr>
          <w:rFonts w:asciiTheme="majorHAnsi" w:hAnsiTheme="majorHAnsi"/>
          <w:noProof/>
        </w:rPr>
        <w:t>d</w:t>
      </w:r>
      <w:r w:rsidR="00FD3E53" w:rsidRPr="00FD3E53">
        <w:rPr>
          <w:rFonts w:asciiTheme="majorHAnsi" w:hAnsiTheme="majorHAnsi"/>
          <w:noProof/>
        </w:rPr>
        <w:t>raft</w:t>
      </w:r>
      <w:r w:rsidR="00FD3E53">
        <w:rPr>
          <w:rFonts w:asciiTheme="majorHAnsi" w:hAnsiTheme="majorHAnsi"/>
          <w:noProof/>
        </w:rPr>
        <w:t xml:space="preserve"> b</w:t>
      </w:r>
      <w:r w:rsidR="00FD3E53" w:rsidRPr="00FD3E53">
        <w:rPr>
          <w:rFonts w:asciiTheme="majorHAnsi" w:hAnsiTheme="majorHAnsi"/>
          <w:noProof/>
        </w:rPr>
        <w:t xml:space="preserve">udget </w:t>
      </w:r>
      <w:r w:rsidR="00746030">
        <w:rPr>
          <w:rFonts w:asciiTheme="majorHAnsi" w:hAnsiTheme="majorHAnsi"/>
          <w:noProof/>
        </w:rPr>
        <w:t>2026</w:t>
      </w:r>
      <w:r w:rsidR="00033614">
        <w:rPr>
          <w:rFonts w:asciiTheme="majorHAnsi" w:hAnsiTheme="majorHAnsi"/>
          <w:noProof/>
        </w:rPr>
        <w:t xml:space="preserve">, using </w:t>
      </w:r>
      <w:r w:rsidR="00FD3E53" w:rsidRPr="00FD3E53">
        <w:rPr>
          <w:rFonts w:asciiTheme="majorHAnsi" w:hAnsiTheme="majorHAnsi"/>
          <w:noProof/>
        </w:rPr>
        <w:t xml:space="preserve">the parameters of the new Own Resources Decision proposal </w:t>
      </w:r>
      <w:r w:rsidR="00033614">
        <w:rPr>
          <w:rFonts w:asciiTheme="majorHAnsi" w:hAnsiTheme="majorHAnsi"/>
          <w:noProof/>
        </w:rPr>
        <w:t>for the next MFF</w:t>
      </w:r>
      <w:r w:rsidR="00FD3E53" w:rsidRPr="00FD3E53">
        <w:rPr>
          <w:rFonts w:asciiTheme="majorHAnsi" w:hAnsiTheme="majorHAnsi"/>
          <w:noProof/>
        </w:rPr>
        <w:t>.</w:t>
      </w:r>
    </w:p>
    <w:p w14:paraId="0EC984AA" w14:textId="230AFAFF" w:rsidR="00FD3E53" w:rsidRPr="00FD3E53" w:rsidRDefault="00FD3E53" w:rsidP="00FD3E53">
      <w:pPr>
        <w:spacing w:before="180" w:after="120" w:line="276" w:lineRule="auto"/>
        <w:jc w:val="both"/>
        <w:rPr>
          <w:rFonts w:asciiTheme="majorHAnsi" w:hAnsiTheme="majorHAnsi"/>
          <w:noProof/>
        </w:rPr>
      </w:pPr>
      <w:r w:rsidRPr="00FD3E53">
        <w:rPr>
          <w:rFonts w:asciiTheme="majorHAnsi" w:hAnsiTheme="majorHAnsi"/>
          <w:noProof/>
        </w:rPr>
        <w:t>Revenue from the VAT-based own resource is projected starting from the VAT bases of the individual Member States</w:t>
      </w:r>
      <w:r>
        <w:rPr>
          <w:rFonts w:asciiTheme="majorHAnsi" w:hAnsiTheme="majorHAnsi"/>
          <w:noProof/>
        </w:rPr>
        <w:t xml:space="preserve"> </w:t>
      </w:r>
      <w:r w:rsidRPr="00FD3E53">
        <w:rPr>
          <w:rFonts w:asciiTheme="majorHAnsi" w:hAnsiTheme="majorHAnsi"/>
          <w:noProof/>
        </w:rPr>
        <w:t xml:space="preserve">included in the </w:t>
      </w:r>
      <w:r>
        <w:rPr>
          <w:rFonts w:asciiTheme="majorHAnsi" w:hAnsiTheme="majorHAnsi"/>
          <w:noProof/>
        </w:rPr>
        <w:t>d</w:t>
      </w:r>
      <w:r w:rsidRPr="00FD3E53">
        <w:rPr>
          <w:rFonts w:asciiTheme="majorHAnsi" w:hAnsiTheme="majorHAnsi"/>
          <w:noProof/>
        </w:rPr>
        <w:t xml:space="preserve">raft </w:t>
      </w:r>
      <w:r>
        <w:rPr>
          <w:rFonts w:asciiTheme="majorHAnsi" w:hAnsiTheme="majorHAnsi"/>
          <w:noProof/>
        </w:rPr>
        <w:t>b</w:t>
      </w:r>
      <w:r w:rsidRPr="00FD3E53">
        <w:rPr>
          <w:rFonts w:asciiTheme="majorHAnsi" w:hAnsiTheme="majorHAnsi"/>
          <w:noProof/>
        </w:rPr>
        <w:t xml:space="preserve">udget </w:t>
      </w:r>
      <w:r w:rsidR="00746030">
        <w:rPr>
          <w:rFonts w:asciiTheme="majorHAnsi" w:hAnsiTheme="majorHAnsi"/>
          <w:noProof/>
        </w:rPr>
        <w:t>2026</w:t>
      </w:r>
      <w:r w:rsidRPr="00FD3E53">
        <w:rPr>
          <w:rFonts w:asciiTheme="majorHAnsi" w:hAnsiTheme="majorHAnsi"/>
          <w:noProof/>
        </w:rPr>
        <w:t>. The VAT bases are projected to grow at the same rate as GNI in current prices.</w:t>
      </w:r>
    </w:p>
    <w:p w14:paraId="6D8070D0" w14:textId="79DA6C7C" w:rsidR="00FD3E53" w:rsidRPr="00FD3E53" w:rsidRDefault="00FD3E53" w:rsidP="001827CB">
      <w:pPr>
        <w:spacing w:before="180" w:after="0" w:line="276" w:lineRule="auto"/>
        <w:jc w:val="both"/>
        <w:rPr>
          <w:rFonts w:asciiTheme="majorHAnsi" w:hAnsiTheme="majorHAnsi"/>
          <w:noProof/>
        </w:rPr>
      </w:pPr>
      <w:r w:rsidRPr="00FD3E53">
        <w:rPr>
          <w:rFonts w:asciiTheme="majorHAnsi" w:hAnsiTheme="majorHAnsi"/>
          <w:noProof/>
        </w:rPr>
        <w:t>The plastics-based own resource is projected starting from non-recycled plastic pack</w:t>
      </w:r>
      <w:r w:rsidR="008B0255">
        <w:rPr>
          <w:rFonts w:asciiTheme="majorHAnsi" w:hAnsiTheme="majorHAnsi"/>
          <w:noProof/>
        </w:rPr>
        <w:t>ag</w:t>
      </w:r>
      <w:r w:rsidRPr="00FD3E53">
        <w:rPr>
          <w:rFonts w:asciiTheme="majorHAnsi" w:hAnsiTheme="majorHAnsi"/>
          <w:noProof/>
        </w:rPr>
        <w:t xml:space="preserve">ing waste included in the </w:t>
      </w:r>
      <w:r>
        <w:rPr>
          <w:rFonts w:asciiTheme="majorHAnsi" w:hAnsiTheme="majorHAnsi"/>
          <w:noProof/>
        </w:rPr>
        <w:t>d</w:t>
      </w:r>
      <w:r w:rsidRPr="00FD3E53">
        <w:rPr>
          <w:rFonts w:asciiTheme="majorHAnsi" w:hAnsiTheme="majorHAnsi"/>
          <w:noProof/>
        </w:rPr>
        <w:t xml:space="preserve">raft </w:t>
      </w:r>
      <w:r>
        <w:rPr>
          <w:rFonts w:asciiTheme="majorHAnsi" w:hAnsiTheme="majorHAnsi"/>
          <w:noProof/>
        </w:rPr>
        <w:t>b</w:t>
      </w:r>
      <w:r w:rsidRPr="00FD3E53">
        <w:rPr>
          <w:rFonts w:asciiTheme="majorHAnsi" w:hAnsiTheme="majorHAnsi"/>
          <w:noProof/>
        </w:rPr>
        <w:t xml:space="preserve">udget </w:t>
      </w:r>
      <w:r w:rsidR="00746030">
        <w:rPr>
          <w:rFonts w:asciiTheme="majorHAnsi" w:hAnsiTheme="majorHAnsi"/>
          <w:noProof/>
        </w:rPr>
        <w:t>2026</w:t>
      </w:r>
      <w:r w:rsidRPr="00FD3E53">
        <w:rPr>
          <w:rFonts w:asciiTheme="majorHAnsi" w:hAnsiTheme="majorHAnsi"/>
          <w:noProof/>
        </w:rPr>
        <w:t>. The corresponding plastic packaging waste is projected to grow at the same rate as GNI in constant prices. Recycling rates are projected to converge linearly towards the EU recycling target of 55%,</w:t>
      </w:r>
      <w:r>
        <w:rPr>
          <w:rFonts w:asciiTheme="majorHAnsi" w:hAnsiTheme="majorHAnsi"/>
          <w:noProof/>
        </w:rPr>
        <w:t xml:space="preserve"> </w:t>
      </w:r>
      <w:r w:rsidRPr="00FD3E53">
        <w:rPr>
          <w:rFonts w:asciiTheme="majorHAnsi" w:hAnsiTheme="majorHAnsi"/>
          <w:noProof/>
        </w:rPr>
        <w:t xml:space="preserve">which must be achieved by 2030. </w:t>
      </w:r>
    </w:p>
    <w:p w14:paraId="42A16B40" w14:textId="13F1068B" w:rsidR="00FD3E53" w:rsidRPr="00FD3E53" w:rsidRDefault="00FD3E53" w:rsidP="00FD3E53">
      <w:pPr>
        <w:spacing w:before="180" w:after="120" w:line="276" w:lineRule="auto"/>
        <w:jc w:val="both"/>
        <w:rPr>
          <w:rFonts w:asciiTheme="majorHAnsi" w:hAnsiTheme="majorHAnsi"/>
          <w:noProof/>
        </w:rPr>
      </w:pPr>
      <w:r w:rsidRPr="00FD3E53">
        <w:rPr>
          <w:rFonts w:asciiTheme="majorHAnsi" w:hAnsiTheme="majorHAnsi"/>
          <w:noProof/>
        </w:rPr>
        <w:t xml:space="preserve">The GNI-based own resource for the EU-27 is calculated as the remaining difference between all other own resources and other revenue on the one hand and the forecast expenditure on the other. The parameters for the own resources specified in the Own Resources Decision determine the Member States’ share in the total amount of </w:t>
      </w:r>
      <w:r w:rsidR="0011621C">
        <w:rPr>
          <w:rFonts w:asciiTheme="majorHAnsi" w:hAnsiTheme="majorHAnsi"/>
          <w:noProof/>
        </w:rPr>
        <w:t>own resources</w:t>
      </w:r>
      <w:r w:rsidR="0011621C" w:rsidRPr="00FD3E53">
        <w:rPr>
          <w:rFonts w:asciiTheme="majorHAnsi" w:hAnsiTheme="majorHAnsi"/>
          <w:noProof/>
        </w:rPr>
        <w:t xml:space="preserve"> </w:t>
      </w:r>
      <w:r w:rsidRPr="00FD3E53">
        <w:rPr>
          <w:rFonts w:asciiTheme="majorHAnsi" w:hAnsiTheme="majorHAnsi"/>
          <w:noProof/>
        </w:rPr>
        <w:t>contributions that is needed to balance the EU budget.</w:t>
      </w:r>
    </w:p>
    <w:p w14:paraId="12F2A354" w14:textId="5DAA7733" w:rsidR="00131BC4" w:rsidRDefault="00FD3E53" w:rsidP="00FD3E53">
      <w:pPr>
        <w:spacing w:before="180" w:after="120" w:line="276" w:lineRule="auto"/>
        <w:jc w:val="both"/>
        <w:rPr>
          <w:rFonts w:asciiTheme="majorHAnsi" w:hAnsiTheme="majorHAnsi"/>
          <w:noProof/>
        </w:rPr>
      </w:pPr>
      <w:r w:rsidRPr="00FD3E53">
        <w:rPr>
          <w:rFonts w:asciiTheme="majorHAnsi" w:hAnsiTheme="majorHAnsi"/>
          <w:noProof/>
        </w:rPr>
        <w:t>The Commission proposal for a</w:t>
      </w:r>
      <w:r w:rsidR="006D1ED4">
        <w:rPr>
          <w:rFonts w:asciiTheme="majorHAnsi" w:hAnsiTheme="majorHAnsi"/>
          <w:noProof/>
        </w:rPr>
        <w:t>n</w:t>
      </w:r>
      <w:r w:rsidRPr="00FD3E53">
        <w:rPr>
          <w:rFonts w:asciiTheme="majorHAnsi" w:hAnsiTheme="majorHAnsi"/>
          <w:noProof/>
        </w:rPr>
        <w:t xml:space="preserve"> Own Resources Decision includes several additional own resources.</w:t>
      </w:r>
    </w:p>
    <w:p w14:paraId="3B0109B1" w14:textId="54EC8DF8" w:rsidR="00FD3E53" w:rsidRPr="00FD3E53" w:rsidRDefault="00FD3E53" w:rsidP="00FD3E53">
      <w:pPr>
        <w:spacing w:before="180" w:after="120" w:line="276" w:lineRule="auto"/>
        <w:jc w:val="both"/>
        <w:rPr>
          <w:rFonts w:asciiTheme="majorHAnsi" w:hAnsiTheme="majorHAnsi"/>
          <w:noProof/>
        </w:rPr>
      </w:pPr>
      <w:r w:rsidRPr="00FD3E53">
        <w:rPr>
          <w:rFonts w:asciiTheme="majorHAnsi" w:hAnsiTheme="majorHAnsi"/>
          <w:noProof/>
        </w:rPr>
        <w:t>The revenue forecast for the own resource based on the European Emission Trading System (ETS1) is based on an assumed carbon price of EUR 88.33 in 2025 prices. The number of auctioned emission allowances is derived from the legal provisions in the ETS Directive</w:t>
      </w:r>
      <w:r w:rsidR="00131BC4">
        <w:rPr>
          <w:rStyle w:val="EndnoteReference"/>
          <w:noProof/>
        </w:rPr>
        <w:endnoteReference w:id="19"/>
      </w:r>
      <w:r w:rsidR="00131BC4">
        <w:rPr>
          <w:rFonts w:asciiTheme="majorHAnsi" w:hAnsiTheme="majorHAnsi"/>
          <w:noProof/>
        </w:rPr>
        <w:t>.</w:t>
      </w:r>
    </w:p>
    <w:p w14:paraId="37E538BB" w14:textId="3F080C0B" w:rsidR="00FD3E53" w:rsidRPr="00FD3E53" w:rsidRDefault="00FD3E53" w:rsidP="00FD3E53">
      <w:pPr>
        <w:spacing w:before="180" w:after="120" w:line="276" w:lineRule="auto"/>
        <w:jc w:val="both"/>
        <w:rPr>
          <w:rFonts w:asciiTheme="majorHAnsi" w:hAnsiTheme="majorHAnsi"/>
          <w:noProof/>
        </w:rPr>
      </w:pPr>
      <w:r w:rsidRPr="00FD3E53">
        <w:rPr>
          <w:rFonts w:asciiTheme="majorHAnsi" w:hAnsiTheme="majorHAnsi"/>
          <w:noProof/>
        </w:rPr>
        <w:t xml:space="preserve">Regarding the own resource based on e-waste, first the underlying non-collected waste of electrical and electronic equipment (WEEE) in a Member State in a given year is calculated. </w:t>
      </w:r>
      <w:r w:rsidR="00153C23">
        <w:rPr>
          <w:rFonts w:asciiTheme="majorHAnsi" w:hAnsiTheme="majorHAnsi"/>
          <w:noProof/>
        </w:rPr>
        <w:t>Then, c</w:t>
      </w:r>
      <w:r w:rsidRPr="00FD3E53">
        <w:rPr>
          <w:rFonts w:asciiTheme="majorHAnsi" w:hAnsiTheme="majorHAnsi"/>
          <w:noProof/>
        </w:rPr>
        <w:t xml:space="preserve">ollection rates are projected to converge linearly towards the EU collection target of 65% by 2034. </w:t>
      </w:r>
    </w:p>
    <w:p w14:paraId="6C329DD8" w14:textId="1FA53EFA" w:rsidR="00FD3E53" w:rsidRPr="00FD3E53" w:rsidRDefault="00FD3E53" w:rsidP="00FD3E53">
      <w:pPr>
        <w:spacing w:before="180" w:after="120" w:line="276" w:lineRule="auto"/>
        <w:jc w:val="both"/>
        <w:rPr>
          <w:rFonts w:asciiTheme="majorHAnsi" w:hAnsiTheme="majorHAnsi"/>
          <w:noProof/>
        </w:rPr>
      </w:pPr>
      <w:r w:rsidRPr="00FD3E53">
        <w:rPr>
          <w:rFonts w:asciiTheme="majorHAnsi" w:hAnsiTheme="majorHAnsi"/>
          <w:noProof/>
        </w:rPr>
        <w:t xml:space="preserve">Revenue from the Tobacco Excise Duty Own Resource is projected based on the Tobacco Excise Duty Directive and its proposed recast. </w:t>
      </w:r>
    </w:p>
    <w:p w14:paraId="2AD487E3" w14:textId="21DA4AF1" w:rsidR="00FD3E53" w:rsidRPr="00FD3E53" w:rsidRDefault="00FD3E53" w:rsidP="00FD3E53">
      <w:pPr>
        <w:spacing w:before="180" w:after="120" w:line="276" w:lineRule="auto"/>
        <w:jc w:val="both"/>
        <w:rPr>
          <w:rFonts w:asciiTheme="majorHAnsi" w:hAnsiTheme="majorHAnsi"/>
          <w:noProof/>
        </w:rPr>
      </w:pPr>
      <w:r w:rsidRPr="00FD3E53">
        <w:rPr>
          <w:rFonts w:asciiTheme="majorHAnsi" w:hAnsiTheme="majorHAnsi"/>
          <w:noProof/>
        </w:rPr>
        <w:t>Revenue from the own resource based on the Carbon Border Adjustment Mechanism (CBAM) is projected assuming</w:t>
      </w:r>
      <w:r w:rsidR="001E5A27">
        <w:rPr>
          <w:rFonts w:asciiTheme="majorHAnsi" w:hAnsiTheme="majorHAnsi"/>
          <w:noProof/>
        </w:rPr>
        <w:t xml:space="preserve"> </w:t>
      </w:r>
      <w:r w:rsidRPr="00FD3E53">
        <w:rPr>
          <w:rFonts w:asciiTheme="majorHAnsi" w:hAnsiTheme="majorHAnsi"/>
          <w:noProof/>
        </w:rPr>
        <w:t xml:space="preserve">the same carbon price as </w:t>
      </w:r>
      <w:r w:rsidR="006F6DA0">
        <w:rPr>
          <w:rFonts w:asciiTheme="majorHAnsi" w:hAnsiTheme="majorHAnsi"/>
          <w:noProof/>
        </w:rPr>
        <w:t>for</w:t>
      </w:r>
      <w:r w:rsidRPr="00FD3E53">
        <w:rPr>
          <w:rFonts w:asciiTheme="majorHAnsi" w:hAnsiTheme="majorHAnsi"/>
          <w:noProof/>
        </w:rPr>
        <w:t xml:space="preserve"> ETS1. </w:t>
      </w:r>
    </w:p>
    <w:p w14:paraId="6C1196ED" w14:textId="497AE435" w:rsidR="00FD3E53" w:rsidRPr="00FD3E53" w:rsidRDefault="00FD3E53" w:rsidP="00FD3E53">
      <w:pPr>
        <w:spacing w:before="180" w:after="120" w:line="276" w:lineRule="auto"/>
        <w:jc w:val="both"/>
        <w:rPr>
          <w:rFonts w:asciiTheme="majorHAnsi" w:hAnsiTheme="majorHAnsi"/>
          <w:noProof/>
        </w:rPr>
      </w:pPr>
      <w:r w:rsidRPr="00FD3E53">
        <w:rPr>
          <w:rFonts w:asciiTheme="majorHAnsi" w:hAnsiTheme="majorHAnsi"/>
          <w:noProof/>
        </w:rPr>
        <w:t xml:space="preserve">The projections for the Corporate Resource for Europe (CORE) are based on 2023 firm-level data </w:t>
      </w:r>
      <w:r w:rsidR="006D54A9">
        <w:rPr>
          <w:rFonts w:asciiTheme="majorHAnsi" w:hAnsiTheme="majorHAnsi"/>
          <w:noProof/>
        </w:rPr>
        <w:t>from</w:t>
      </w:r>
      <w:r w:rsidRPr="00FD3E53">
        <w:rPr>
          <w:rFonts w:asciiTheme="majorHAnsi" w:hAnsiTheme="majorHAnsi"/>
          <w:noProof/>
        </w:rPr>
        <w:t xml:space="preserve"> the Orbis database. An annual lump-sum contribution from all companies that operate and sell in the EU is applied as specified in the Commission proposal for a new Own Resources Decision.</w:t>
      </w:r>
    </w:p>
    <w:p w14:paraId="4CF707FE" w14:textId="61319BC2" w:rsidR="00FD3E53" w:rsidRPr="00FD3E53" w:rsidRDefault="00FD3E53" w:rsidP="00FD3E53">
      <w:pPr>
        <w:spacing w:before="180" w:after="120" w:line="276" w:lineRule="auto"/>
        <w:jc w:val="both"/>
        <w:rPr>
          <w:rFonts w:asciiTheme="majorHAnsi" w:hAnsiTheme="majorHAnsi"/>
          <w:noProof/>
        </w:rPr>
      </w:pPr>
      <w:r w:rsidRPr="00FD3E53">
        <w:rPr>
          <w:rFonts w:asciiTheme="majorHAnsi" w:hAnsiTheme="majorHAnsi"/>
          <w:noProof/>
        </w:rPr>
        <w:t>Other revenue of the EU budget includes staff contributions, revenue accruing from the administrative operation of the institutions, contributions and refunds in connection with Union agreements and programmes, interest on late payments and fines, revenue from borrowing and lending operations, revenue from fees not assigned to specific expenditure, and miscellaneous revenue – as well as surpluses from previous years. Given their inheren</w:t>
      </w:r>
      <w:r w:rsidRPr="00B12E47">
        <w:rPr>
          <w:rFonts w:asciiTheme="majorHAnsi" w:hAnsiTheme="majorHAnsi"/>
          <w:noProof/>
        </w:rPr>
        <w:t>t volatility, most of these components are difficult to forecast</w:t>
      </w:r>
      <w:r w:rsidR="00A71929">
        <w:rPr>
          <w:rFonts w:asciiTheme="majorHAnsi" w:hAnsiTheme="majorHAnsi"/>
          <w:noProof/>
        </w:rPr>
        <w:t xml:space="preserve"> in the long run</w:t>
      </w:r>
      <w:r w:rsidRPr="00B12E47">
        <w:rPr>
          <w:rFonts w:asciiTheme="majorHAnsi" w:hAnsiTheme="majorHAnsi"/>
          <w:noProof/>
        </w:rPr>
        <w:t xml:space="preserve">. Therefore, the </w:t>
      </w:r>
      <w:r w:rsidR="006C0729">
        <w:rPr>
          <w:rFonts w:asciiTheme="majorHAnsi" w:hAnsiTheme="majorHAnsi"/>
          <w:noProof/>
        </w:rPr>
        <w:t xml:space="preserve">annual </w:t>
      </w:r>
      <w:r w:rsidRPr="00B12E47">
        <w:rPr>
          <w:rFonts w:asciiTheme="majorHAnsi" w:hAnsiTheme="majorHAnsi"/>
          <w:noProof/>
        </w:rPr>
        <w:t xml:space="preserve">amount included in the </w:t>
      </w:r>
      <w:r w:rsidR="00EC757C">
        <w:rPr>
          <w:rFonts w:asciiTheme="majorHAnsi" w:hAnsiTheme="majorHAnsi"/>
          <w:noProof/>
        </w:rPr>
        <w:t>Commission proposal for the next MFF of July 2025</w:t>
      </w:r>
      <w:r w:rsidR="00F411DA" w:rsidRPr="00B12E47">
        <w:rPr>
          <w:rFonts w:asciiTheme="majorHAnsi" w:hAnsiTheme="majorHAnsi"/>
          <w:noProof/>
        </w:rPr>
        <w:t xml:space="preserve"> </w:t>
      </w:r>
      <w:r w:rsidRPr="00B12E47">
        <w:rPr>
          <w:rFonts w:asciiTheme="majorHAnsi" w:hAnsiTheme="majorHAnsi"/>
          <w:noProof/>
        </w:rPr>
        <w:t>(i.e. EUR</w:t>
      </w:r>
      <w:r w:rsidR="00303361" w:rsidRPr="00B12E47">
        <w:rPr>
          <w:rFonts w:ascii="Calibri" w:hAnsi="Calibri" w:cs="Calibri"/>
          <w:noProof/>
        </w:rPr>
        <w:t> </w:t>
      </w:r>
      <w:r w:rsidR="00B12E47" w:rsidRPr="00D74601">
        <w:rPr>
          <w:rFonts w:asciiTheme="majorHAnsi" w:hAnsiTheme="majorHAnsi"/>
          <w:noProof/>
        </w:rPr>
        <w:t>3</w:t>
      </w:r>
      <w:r w:rsidR="00303361" w:rsidRPr="00B12E47">
        <w:rPr>
          <w:rFonts w:ascii="Calibri" w:hAnsi="Calibri" w:cs="Calibri"/>
          <w:noProof/>
        </w:rPr>
        <w:t> </w:t>
      </w:r>
      <w:r w:rsidRPr="00B12E47">
        <w:rPr>
          <w:rFonts w:asciiTheme="majorHAnsi" w:hAnsiTheme="majorHAnsi"/>
          <w:noProof/>
        </w:rPr>
        <w:t>billion) is assumed</w:t>
      </w:r>
      <w:r w:rsidRPr="00FD3E53">
        <w:rPr>
          <w:rFonts w:asciiTheme="majorHAnsi" w:hAnsiTheme="majorHAnsi"/>
          <w:noProof/>
        </w:rPr>
        <w:t xml:space="preserve"> to remain nominally constant over the forecast period.</w:t>
      </w:r>
    </w:p>
    <w:p w14:paraId="434F20C0" w14:textId="67EAACC9" w:rsidR="00FD3E53" w:rsidRPr="00FD3E53" w:rsidRDefault="00FD3E53" w:rsidP="00FD3E53">
      <w:pPr>
        <w:spacing w:before="180" w:after="120" w:line="276" w:lineRule="auto"/>
        <w:jc w:val="both"/>
        <w:rPr>
          <w:rFonts w:asciiTheme="majorHAnsi" w:hAnsiTheme="majorHAnsi"/>
          <w:noProof/>
        </w:rPr>
      </w:pPr>
      <w:r w:rsidRPr="00FD3E53">
        <w:rPr>
          <w:rFonts w:asciiTheme="majorHAnsi" w:hAnsiTheme="majorHAnsi"/>
          <w:noProof/>
        </w:rPr>
        <w:t>Since 2021, in addition to the above-mentioned items, other revenue of the EU budget includes the United Kingdom’s contribution related to outstanding commitments (RAL) for which the United Kingdom is liable, pension obligations and other components of the financial settlement, as laid down in the Withdrawal Agreement</w:t>
      </w:r>
      <w:r w:rsidR="00614181">
        <w:rPr>
          <w:rStyle w:val="EndnoteReference"/>
          <w:noProof/>
        </w:rPr>
        <w:endnoteReference w:id="20"/>
      </w:r>
      <w:r w:rsidRPr="00FD3E53">
        <w:rPr>
          <w:rFonts w:asciiTheme="majorHAnsi" w:hAnsiTheme="majorHAnsi"/>
          <w:noProof/>
        </w:rPr>
        <w:t xml:space="preserve">. This is also reflected in the proposed financing of the </w:t>
      </w:r>
      <w:r w:rsidR="00892223">
        <w:rPr>
          <w:rFonts w:asciiTheme="majorHAnsi" w:hAnsiTheme="majorHAnsi"/>
          <w:noProof/>
        </w:rPr>
        <w:t>d</w:t>
      </w:r>
      <w:r w:rsidRPr="00FD3E53">
        <w:rPr>
          <w:rFonts w:asciiTheme="majorHAnsi" w:hAnsiTheme="majorHAnsi"/>
          <w:noProof/>
        </w:rPr>
        <w:t xml:space="preserve">raft </w:t>
      </w:r>
      <w:r w:rsidR="00892223">
        <w:rPr>
          <w:rFonts w:asciiTheme="majorHAnsi" w:hAnsiTheme="majorHAnsi"/>
          <w:noProof/>
        </w:rPr>
        <w:t>b</w:t>
      </w:r>
      <w:r w:rsidRPr="00FD3E53">
        <w:rPr>
          <w:rFonts w:asciiTheme="majorHAnsi" w:hAnsiTheme="majorHAnsi"/>
          <w:noProof/>
        </w:rPr>
        <w:t>udget 202</w:t>
      </w:r>
      <w:r w:rsidR="00614181">
        <w:rPr>
          <w:rFonts w:asciiTheme="majorHAnsi" w:hAnsiTheme="majorHAnsi"/>
          <w:noProof/>
        </w:rPr>
        <w:t>7</w:t>
      </w:r>
      <w:r w:rsidRPr="00FD3E53">
        <w:rPr>
          <w:rFonts w:asciiTheme="majorHAnsi" w:hAnsiTheme="majorHAnsi"/>
          <w:noProof/>
        </w:rPr>
        <w:t>.</w:t>
      </w:r>
    </w:p>
    <w:p w14:paraId="7061C369" w14:textId="4E5609A0" w:rsidR="00FD3E53" w:rsidRPr="00FD3E53" w:rsidRDefault="00FD3E53" w:rsidP="00FD3E53">
      <w:pPr>
        <w:spacing w:before="180" w:after="120" w:line="276" w:lineRule="auto"/>
        <w:jc w:val="both"/>
        <w:rPr>
          <w:rFonts w:asciiTheme="majorHAnsi" w:hAnsiTheme="majorHAnsi"/>
          <w:noProof/>
        </w:rPr>
      </w:pPr>
      <w:r w:rsidRPr="00FD3E53">
        <w:rPr>
          <w:rFonts w:asciiTheme="majorHAnsi" w:hAnsiTheme="majorHAnsi"/>
          <w:noProof/>
        </w:rPr>
        <w:t xml:space="preserve">The contribution of the United Kingdom related to outstanding commitments on 31 December 2020 is determined by applying the United Kingdom’s financing share to the forecast RAL payments for each year of the </w:t>
      </w:r>
      <w:r w:rsidR="00E52968">
        <w:rPr>
          <w:rFonts w:asciiTheme="majorHAnsi" w:hAnsiTheme="majorHAnsi"/>
          <w:noProof/>
        </w:rPr>
        <w:t>2027</w:t>
      </w:r>
      <w:r w:rsidRPr="00FD3E53">
        <w:rPr>
          <w:rFonts w:asciiTheme="majorHAnsi" w:hAnsiTheme="majorHAnsi"/>
          <w:noProof/>
        </w:rPr>
        <w:t>-203</w:t>
      </w:r>
      <w:r w:rsidR="00E52968">
        <w:rPr>
          <w:rFonts w:asciiTheme="majorHAnsi" w:hAnsiTheme="majorHAnsi"/>
          <w:noProof/>
        </w:rPr>
        <w:t>4</w:t>
      </w:r>
      <w:r w:rsidRPr="00FD3E53">
        <w:rPr>
          <w:rFonts w:asciiTheme="majorHAnsi" w:hAnsiTheme="majorHAnsi"/>
          <w:noProof/>
        </w:rPr>
        <w:t xml:space="preserve"> period. The resulting annual contribution takes into account the payment modalities set out in Article 148 of the Withdrawal Agreement.</w:t>
      </w:r>
    </w:p>
    <w:p w14:paraId="72A67F9A" w14:textId="55487207" w:rsidR="00FD3E53" w:rsidRPr="00FD3E53" w:rsidRDefault="00FD3E53" w:rsidP="00FD3E53">
      <w:pPr>
        <w:spacing w:before="180" w:after="120" w:line="276" w:lineRule="auto"/>
        <w:jc w:val="both"/>
        <w:rPr>
          <w:rFonts w:asciiTheme="majorHAnsi" w:hAnsiTheme="majorHAnsi"/>
          <w:noProof/>
        </w:rPr>
      </w:pPr>
      <w:r w:rsidRPr="00FD3E53">
        <w:rPr>
          <w:rFonts w:asciiTheme="majorHAnsi" w:hAnsiTheme="majorHAnsi"/>
          <w:noProof/>
        </w:rPr>
        <w:t xml:space="preserve">The forecast of other revenue includes the United Kingdom’s contribution to pension liabilities for Members and EU high-level public office holders as specified in Article 142(5) of the Withdrawal Agreement. The United Kingdom contribution to staff pensions (an estimated EUR </w:t>
      </w:r>
      <w:r w:rsidR="00AB2F2E">
        <w:rPr>
          <w:rFonts w:asciiTheme="majorHAnsi" w:hAnsiTheme="majorHAnsi"/>
          <w:noProof/>
        </w:rPr>
        <w:t>351</w:t>
      </w:r>
      <w:r w:rsidRPr="00FD3E53">
        <w:rPr>
          <w:rFonts w:asciiTheme="majorHAnsi" w:hAnsiTheme="majorHAnsi"/>
          <w:noProof/>
        </w:rPr>
        <w:t xml:space="preserve"> million in the </w:t>
      </w:r>
      <w:r w:rsidR="004211E4">
        <w:rPr>
          <w:rFonts w:asciiTheme="majorHAnsi" w:hAnsiTheme="majorHAnsi"/>
          <w:noProof/>
        </w:rPr>
        <w:t>d</w:t>
      </w:r>
      <w:r w:rsidRPr="00FD3E53">
        <w:rPr>
          <w:rFonts w:asciiTheme="majorHAnsi" w:hAnsiTheme="majorHAnsi"/>
          <w:noProof/>
        </w:rPr>
        <w:t xml:space="preserve">raft </w:t>
      </w:r>
      <w:r w:rsidR="004211E4">
        <w:rPr>
          <w:rFonts w:asciiTheme="majorHAnsi" w:hAnsiTheme="majorHAnsi"/>
          <w:noProof/>
        </w:rPr>
        <w:t>b</w:t>
      </w:r>
      <w:r w:rsidRPr="00FD3E53">
        <w:rPr>
          <w:rFonts w:asciiTheme="majorHAnsi" w:hAnsiTheme="majorHAnsi"/>
          <w:noProof/>
        </w:rPr>
        <w:t>udget 202</w:t>
      </w:r>
      <w:r w:rsidR="004211E4">
        <w:rPr>
          <w:rFonts w:asciiTheme="majorHAnsi" w:hAnsiTheme="majorHAnsi"/>
          <w:noProof/>
        </w:rPr>
        <w:t>7</w:t>
      </w:r>
      <w:r w:rsidRPr="00FD3E53">
        <w:rPr>
          <w:rFonts w:asciiTheme="majorHAnsi" w:hAnsiTheme="majorHAnsi"/>
          <w:noProof/>
        </w:rPr>
        <w:t>) enters the EU budget as external assigned revenue and is therefore not part of the long-term forecast of other revenue.</w:t>
      </w:r>
    </w:p>
    <w:p w14:paraId="53EBA236" w14:textId="74745313" w:rsidR="00FD3E53" w:rsidRDefault="00FD3E53" w:rsidP="00FD3E53">
      <w:pPr>
        <w:spacing w:before="180" w:after="120" w:line="276" w:lineRule="auto"/>
        <w:jc w:val="both"/>
        <w:rPr>
          <w:rFonts w:asciiTheme="majorHAnsi" w:hAnsiTheme="majorHAnsi"/>
          <w:noProof/>
        </w:rPr>
      </w:pPr>
      <w:r w:rsidRPr="00FD3E53">
        <w:rPr>
          <w:rFonts w:asciiTheme="majorHAnsi" w:hAnsiTheme="majorHAnsi"/>
          <w:noProof/>
        </w:rPr>
        <w:t>In any given year, the total own resources collected by the Union may not exceed the own resources ceiling set in the Council Decision (EU, Euratom) 2020/2053 of 1.4% of EU-27 GNI, with an additional temporary increase of 0.6% of EU GNI for covering all liabilities of the Union from the borrowing on the capital markets to fund NextGenerationEU.</w:t>
      </w:r>
    </w:p>
    <w:p w14:paraId="5173F99A" w14:textId="3E117DC4" w:rsidR="00402978" w:rsidRPr="00F423B9" w:rsidRDefault="007E1BB1" w:rsidP="00402978">
      <w:pPr>
        <w:spacing w:before="180" w:after="120" w:line="276" w:lineRule="auto"/>
        <w:jc w:val="both"/>
        <w:rPr>
          <w:rFonts w:asciiTheme="majorHAnsi" w:hAnsiTheme="majorHAnsi"/>
          <w:noProof/>
        </w:rPr>
      </w:pPr>
      <w:r>
        <w:rPr>
          <w:rFonts w:asciiTheme="majorHAnsi" w:hAnsiTheme="majorHAnsi"/>
          <w:noProof/>
        </w:rPr>
        <w:t>T</w:t>
      </w:r>
      <w:r w:rsidR="00402978" w:rsidRPr="00FD3E53">
        <w:rPr>
          <w:rFonts w:asciiTheme="majorHAnsi" w:hAnsiTheme="majorHAnsi"/>
          <w:noProof/>
        </w:rPr>
        <w:t xml:space="preserve">he </w:t>
      </w:r>
      <w:r w:rsidR="0041505D" w:rsidRPr="00FD3E53">
        <w:rPr>
          <w:rFonts w:asciiTheme="majorHAnsi" w:hAnsiTheme="majorHAnsi"/>
          <w:noProof/>
        </w:rPr>
        <w:t xml:space="preserve">proposed </w:t>
      </w:r>
      <w:r w:rsidR="0041505D">
        <w:rPr>
          <w:rFonts w:asciiTheme="majorHAnsi" w:hAnsiTheme="majorHAnsi"/>
          <w:noProof/>
        </w:rPr>
        <w:t xml:space="preserve">new </w:t>
      </w:r>
      <w:r w:rsidR="0041505D" w:rsidRPr="00FD3E53">
        <w:rPr>
          <w:rFonts w:asciiTheme="majorHAnsi" w:hAnsiTheme="majorHAnsi"/>
          <w:noProof/>
        </w:rPr>
        <w:t xml:space="preserve">Own Resources Decision </w:t>
      </w:r>
      <w:r w:rsidR="0041505D">
        <w:rPr>
          <w:rFonts w:asciiTheme="majorHAnsi" w:hAnsiTheme="majorHAnsi"/>
          <w:noProof/>
        </w:rPr>
        <w:t xml:space="preserve">sets the </w:t>
      </w:r>
      <w:r w:rsidR="00402978" w:rsidRPr="00FD3E53">
        <w:rPr>
          <w:rFonts w:asciiTheme="majorHAnsi" w:hAnsiTheme="majorHAnsi"/>
          <w:noProof/>
        </w:rPr>
        <w:t xml:space="preserve">own resources ceilings </w:t>
      </w:r>
      <w:r>
        <w:rPr>
          <w:rFonts w:asciiTheme="majorHAnsi" w:hAnsiTheme="majorHAnsi"/>
          <w:noProof/>
        </w:rPr>
        <w:t>f</w:t>
      </w:r>
      <w:r w:rsidRPr="00FD3E53">
        <w:rPr>
          <w:rFonts w:asciiTheme="majorHAnsi" w:hAnsiTheme="majorHAnsi"/>
          <w:noProof/>
        </w:rPr>
        <w:t>or the period 2028-2034</w:t>
      </w:r>
      <w:r>
        <w:rPr>
          <w:rFonts w:asciiTheme="majorHAnsi" w:hAnsiTheme="majorHAnsi"/>
          <w:noProof/>
        </w:rPr>
        <w:t xml:space="preserve"> </w:t>
      </w:r>
      <w:r w:rsidR="00402978" w:rsidRPr="00FD3E53">
        <w:rPr>
          <w:rFonts w:asciiTheme="majorHAnsi" w:hAnsiTheme="majorHAnsi"/>
          <w:noProof/>
        </w:rPr>
        <w:t>as follows:</w:t>
      </w:r>
    </w:p>
    <w:p w14:paraId="693B663B" w14:textId="0DA16803" w:rsidR="00402978" w:rsidRPr="00CA5BFC" w:rsidRDefault="00402978" w:rsidP="00402978">
      <w:pPr>
        <w:pStyle w:val="ListParagraph"/>
        <w:numPr>
          <w:ilvl w:val="0"/>
          <w:numId w:val="32"/>
        </w:numPr>
        <w:spacing w:before="180" w:after="120" w:line="276" w:lineRule="auto"/>
        <w:jc w:val="both"/>
        <w:rPr>
          <w:rStyle w:val="amprcharCharttitle"/>
          <w:rFonts w:asciiTheme="majorHAnsi" w:hAnsiTheme="majorHAnsi"/>
          <w:b w:val="0"/>
          <w:bCs/>
          <w:noProof/>
          <w:color w:val="auto"/>
        </w:rPr>
      </w:pPr>
      <w:r>
        <w:rPr>
          <w:rStyle w:val="amprcharCharttitle"/>
          <w:rFonts w:asciiTheme="majorHAnsi" w:hAnsiTheme="majorHAnsi"/>
          <w:b w:val="0"/>
          <w:bCs/>
          <w:noProof/>
          <w:color w:val="auto"/>
        </w:rPr>
        <w:t>1</w:t>
      </w:r>
      <w:r w:rsidRPr="00CA5BFC">
        <w:rPr>
          <w:rStyle w:val="amprcharCharttitle"/>
          <w:rFonts w:asciiTheme="majorHAnsi" w:hAnsiTheme="majorHAnsi"/>
          <w:b w:val="0"/>
          <w:bCs/>
          <w:noProof/>
          <w:color w:val="auto"/>
        </w:rPr>
        <w:t xml:space="preserve">.75% </w:t>
      </w:r>
      <w:r w:rsidR="00852A32">
        <w:rPr>
          <w:rStyle w:val="amprcharCharttitle"/>
          <w:rFonts w:asciiTheme="majorHAnsi" w:hAnsiTheme="majorHAnsi"/>
          <w:b w:val="0"/>
          <w:bCs/>
          <w:noProof/>
          <w:color w:val="auto"/>
        </w:rPr>
        <w:t>for</w:t>
      </w:r>
      <w:r w:rsidR="00852A32" w:rsidRPr="00CA5BFC">
        <w:rPr>
          <w:rStyle w:val="amprcharCharttitle"/>
          <w:rFonts w:asciiTheme="majorHAnsi" w:hAnsiTheme="majorHAnsi"/>
          <w:b w:val="0"/>
          <w:bCs/>
          <w:noProof/>
          <w:color w:val="auto"/>
        </w:rPr>
        <w:t xml:space="preserve"> </w:t>
      </w:r>
      <w:r w:rsidRPr="00CA5BFC">
        <w:rPr>
          <w:rStyle w:val="amprcharCharttitle"/>
          <w:rFonts w:asciiTheme="majorHAnsi" w:hAnsiTheme="majorHAnsi"/>
          <w:b w:val="0"/>
          <w:bCs/>
          <w:noProof/>
          <w:color w:val="auto"/>
        </w:rPr>
        <w:t>the permanent ceiling.</w:t>
      </w:r>
    </w:p>
    <w:p w14:paraId="26CDC4BF" w14:textId="4D4F62FF" w:rsidR="00402978" w:rsidRPr="00CA5BFC" w:rsidRDefault="00402978" w:rsidP="00402978">
      <w:pPr>
        <w:pStyle w:val="ListParagraph"/>
        <w:numPr>
          <w:ilvl w:val="0"/>
          <w:numId w:val="32"/>
        </w:numPr>
        <w:spacing w:before="180" w:after="120" w:line="276" w:lineRule="auto"/>
        <w:jc w:val="both"/>
        <w:rPr>
          <w:rStyle w:val="amprcharCharttitle"/>
          <w:rFonts w:asciiTheme="majorHAnsi" w:hAnsiTheme="majorHAnsi"/>
          <w:b w:val="0"/>
          <w:bCs/>
          <w:noProof/>
          <w:color w:val="auto"/>
        </w:rPr>
      </w:pPr>
      <w:r w:rsidRPr="00CA5BFC">
        <w:rPr>
          <w:rStyle w:val="amprcharCharttitle"/>
          <w:rFonts w:asciiTheme="majorHAnsi" w:hAnsiTheme="majorHAnsi"/>
          <w:b w:val="0"/>
          <w:bCs/>
          <w:noProof/>
          <w:color w:val="auto"/>
        </w:rPr>
        <w:t xml:space="preserve">0.6% </w:t>
      </w:r>
      <w:r w:rsidR="00852A32">
        <w:rPr>
          <w:rStyle w:val="amprcharCharttitle"/>
          <w:rFonts w:asciiTheme="majorHAnsi" w:hAnsiTheme="majorHAnsi"/>
          <w:b w:val="0"/>
          <w:bCs/>
          <w:noProof/>
          <w:color w:val="auto"/>
        </w:rPr>
        <w:t>for</w:t>
      </w:r>
      <w:r w:rsidR="00852A32" w:rsidRPr="00CA5BFC">
        <w:rPr>
          <w:rStyle w:val="amprcharCharttitle"/>
          <w:rFonts w:asciiTheme="majorHAnsi" w:hAnsiTheme="majorHAnsi"/>
          <w:b w:val="0"/>
          <w:bCs/>
          <w:noProof/>
          <w:color w:val="auto"/>
        </w:rPr>
        <w:t xml:space="preserve"> </w:t>
      </w:r>
      <w:r w:rsidRPr="00CA5BFC">
        <w:rPr>
          <w:rStyle w:val="amprcharCharttitle"/>
          <w:rFonts w:asciiTheme="majorHAnsi" w:hAnsiTheme="majorHAnsi"/>
          <w:b w:val="0"/>
          <w:bCs/>
          <w:noProof/>
          <w:color w:val="auto"/>
        </w:rPr>
        <w:t>the ceiling covering all liabilities of the Union from the borrowing on the capital markets to fund NextGenerationEU.</w:t>
      </w:r>
    </w:p>
    <w:p w14:paraId="3F0188A9" w14:textId="77777777" w:rsidR="00402978" w:rsidRPr="00962E99" w:rsidRDefault="00402978" w:rsidP="00402978">
      <w:pPr>
        <w:pStyle w:val="ListParagraph"/>
        <w:numPr>
          <w:ilvl w:val="0"/>
          <w:numId w:val="32"/>
        </w:numPr>
        <w:spacing w:before="180" w:after="120" w:line="276" w:lineRule="auto"/>
        <w:jc w:val="both"/>
        <w:rPr>
          <w:rStyle w:val="amprcharCharttitle"/>
          <w:rFonts w:asciiTheme="majorHAnsi" w:hAnsiTheme="majorHAnsi"/>
          <w:noProof/>
        </w:rPr>
      </w:pPr>
      <w:r w:rsidRPr="00CA5BFC">
        <w:rPr>
          <w:rStyle w:val="amprcharCharttitle"/>
          <w:rFonts w:asciiTheme="majorHAnsi" w:hAnsiTheme="majorHAnsi"/>
          <w:b w:val="0"/>
          <w:bCs/>
          <w:noProof/>
          <w:color w:val="auto"/>
        </w:rPr>
        <w:t>0.25% for the crisis instrument, in case of activation.</w:t>
      </w:r>
    </w:p>
    <w:p w14:paraId="6DE4F168" w14:textId="623F396B" w:rsidR="009C3C6B" w:rsidRDefault="00660100" w:rsidP="23B06DA2">
      <w:pPr>
        <w:spacing w:after="120" w:line="276" w:lineRule="auto"/>
        <w:jc w:val="both"/>
        <w:rPr>
          <w:rFonts w:asciiTheme="majorHAnsi" w:hAnsiTheme="majorHAnsi"/>
          <w:noProof/>
        </w:rPr>
      </w:pPr>
      <w:r>
        <w:rPr>
          <w:rFonts w:asciiTheme="majorHAnsi" w:hAnsiTheme="majorHAnsi"/>
          <w:noProof/>
        </w:rPr>
        <w:t>T</w:t>
      </w:r>
      <w:r w:rsidR="30356102" w:rsidRPr="0CE19D19">
        <w:rPr>
          <w:rFonts w:asciiTheme="majorHAnsi" w:hAnsiTheme="majorHAnsi"/>
          <w:noProof/>
        </w:rPr>
        <w:t xml:space="preserve">he available margin under the </w:t>
      </w:r>
      <w:r w:rsidR="00AD55F0">
        <w:rPr>
          <w:rFonts w:asciiTheme="majorHAnsi" w:hAnsiTheme="majorHAnsi"/>
          <w:noProof/>
        </w:rPr>
        <w:t xml:space="preserve">permanent </w:t>
      </w:r>
      <w:r w:rsidR="009FB94D" w:rsidRPr="0CE19D19">
        <w:rPr>
          <w:rFonts w:asciiTheme="majorHAnsi" w:hAnsiTheme="majorHAnsi"/>
          <w:noProof/>
        </w:rPr>
        <w:t>o</w:t>
      </w:r>
      <w:r w:rsidR="30356102" w:rsidRPr="0CE19D19">
        <w:rPr>
          <w:rFonts w:asciiTheme="majorHAnsi" w:hAnsiTheme="majorHAnsi"/>
          <w:noProof/>
        </w:rPr>
        <w:t xml:space="preserve">wn </w:t>
      </w:r>
      <w:r w:rsidR="1BD40C0D" w:rsidRPr="0CE19D19">
        <w:rPr>
          <w:rFonts w:asciiTheme="majorHAnsi" w:hAnsiTheme="majorHAnsi"/>
          <w:noProof/>
        </w:rPr>
        <w:t>r</w:t>
      </w:r>
      <w:r w:rsidR="30356102" w:rsidRPr="0CE19D19">
        <w:rPr>
          <w:rFonts w:asciiTheme="majorHAnsi" w:hAnsiTheme="majorHAnsi"/>
          <w:noProof/>
        </w:rPr>
        <w:t>esources celling (so</w:t>
      </w:r>
      <w:r w:rsidR="5C0E56DF" w:rsidRPr="0CE19D19">
        <w:rPr>
          <w:rFonts w:asciiTheme="majorHAnsi" w:hAnsiTheme="majorHAnsi"/>
          <w:noProof/>
        </w:rPr>
        <w:t>-</w:t>
      </w:r>
      <w:r w:rsidR="30356102" w:rsidRPr="0CE19D19">
        <w:rPr>
          <w:rFonts w:asciiTheme="majorHAnsi" w:hAnsiTheme="majorHAnsi"/>
          <w:noProof/>
        </w:rPr>
        <w:t xml:space="preserve">called headroom) is expected </w:t>
      </w:r>
      <w:r w:rsidR="10969CBF" w:rsidRPr="0CE19D19">
        <w:rPr>
          <w:rFonts w:asciiTheme="majorHAnsi" w:hAnsiTheme="majorHAnsi"/>
          <w:noProof/>
        </w:rPr>
        <w:t>to decline</w:t>
      </w:r>
      <w:r w:rsidR="42D86E4C" w:rsidRPr="0CE19D19">
        <w:rPr>
          <w:rFonts w:asciiTheme="majorHAnsi" w:hAnsiTheme="majorHAnsi"/>
          <w:noProof/>
        </w:rPr>
        <w:t xml:space="preserve"> as payments are expected to increase in 202</w:t>
      </w:r>
      <w:r w:rsidR="7D6A96AF" w:rsidRPr="0CE19D19">
        <w:rPr>
          <w:rFonts w:asciiTheme="majorHAnsi" w:hAnsiTheme="majorHAnsi"/>
          <w:noProof/>
        </w:rPr>
        <w:t>7</w:t>
      </w:r>
      <w:r w:rsidR="42D86E4C" w:rsidRPr="0CE19D19">
        <w:rPr>
          <w:rFonts w:asciiTheme="majorHAnsi" w:hAnsiTheme="majorHAnsi"/>
          <w:noProof/>
        </w:rPr>
        <w:t xml:space="preserve"> compared to </w:t>
      </w:r>
      <w:r w:rsidR="42D86E4C" w:rsidRPr="00585C0E">
        <w:rPr>
          <w:rFonts w:asciiTheme="majorHAnsi" w:hAnsiTheme="majorHAnsi"/>
          <w:noProof/>
        </w:rPr>
        <w:t>202</w:t>
      </w:r>
      <w:r w:rsidR="00402978" w:rsidRPr="00585C0E">
        <w:rPr>
          <w:rFonts w:asciiTheme="majorHAnsi" w:hAnsiTheme="majorHAnsi"/>
          <w:noProof/>
        </w:rPr>
        <w:t>6</w:t>
      </w:r>
      <w:r w:rsidR="42D86E4C" w:rsidRPr="0CE19D19">
        <w:rPr>
          <w:rFonts w:asciiTheme="majorHAnsi" w:hAnsiTheme="majorHAnsi"/>
          <w:noProof/>
        </w:rPr>
        <w:t xml:space="preserve">, while </w:t>
      </w:r>
      <w:r w:rsidR="30356102" w:rsidRPr="0CE19D19">
        <w:rPr>
          <w:rFonts w:asciiTheme="majorHAnsi" w:hAnsiTheme="majorHAnsi"/>
          <w:noProof/>
        </w:rPr>
        <w:t xml:space="preserve">the Union’s </w:t>
      </w:r>
      <w:r w:rsidR="00402978">
        <w:rPr>
          <w:rFonts w:asciiTheme="majorHAnsi" w:hAnsiTheme="majorHAnsi"/>
          <w:noProof/>
        </w:rPr>
        <w:t>g</w:t>
      </w:r>
      <w:r w:rsidR="30356102" w:rsidRPr="0CE19D19">
        <w:rPr>
          <w:rFonts w:asciiTheme="majorHAnsi" w:hAnsiTheme="majorHAnsi"/>
          <w:noProof/>
        </w:rPr>
        <w:t xml:space="preserve">ross </w:t>
      </w:r>
      <w:r w:rsidR="00402978">
        <w:rPr>
          <w:rFonts w:asciiTheme="majorHAnsi" w:hAnsiTheme="majorHAnsi"/>
          <w:noProof/>
        </w:rPr>
        <w:t>n</w:t>
      </w:r>
      <w:r w:rsidR="30356102" w:rsidRPr="0CE19D19">
        <w:rPr>
          <w:rFonts w:asciiTheme="majorHAnsi" w:hAnsiTheme="majorHAnsi"/>
          <w:noProof/>
        </w:rPr>
        <w:t xml:space="preserve">ational </w:t>
      </w:r>
      <w:r w:rsidR="00402978">
        <w:rPr>
          <w:rFonts w:asciiTheme="majorHAnsi" w:hAnsiTheme="majorHAnsi"/>
          <w:noProof/>
        </w:rPr>
        <w:t>i</w:t>
      </w:r>
      <w:r w:rsidR="30356102" w:rsidRPr="0CE19D19">
        <w:rPr>
          <w:rFonts w:asciiTheme="majorHAnsi" w:hAnsiTheme="majorHAnsi"/>
          <w:noProof/>
        </w:rPr>
        <w:t xml:space="preserve">ncome is expected to increase </w:t>
      </w:r>
      <w:r w:rsidR="00A04AC3">
        <w:rPr>
          <w:rFonts w:asciiTheme="majorHAnsi" w:hAnsiTheme="majorHAnsi"/>
          <w:noProof/>
        </w:rPr>
        <w:t xml:space="preserve">proportionally </w:t>
      </w:r>
      <w:r w:rsidR="00B86572">
        <w:rPr>
          <w:rFonts w:asciiTheme="majorHAnsi" w:hAnsiTheme="majorHAnsi"/>
          <w:noProof/>
        </w:rPr>
        <w:t xml:space="preserve">less </w:t>
      </w:r>
      <w:r w:rsidR="30356102" w:rsidRPr="0CE19D19">
        <w:rPr>
          <w:rFonts w:asciiTheme="majorHAnsi" w:hAnsiTheme="majorHAnsi"/>
          <w:noProof/>
        </w:rPr>
        <w:t xml:space="preserve">over </w:t>
      </w:r>
      <w:r w:rsidR="460C3961" w:rsidRPr="0CE19D19">
        <w:rPr>
          <w:rFonts w:asciiTheme="majorHAnsi" w:hAnsiTheme="majorHAnsi"/>
          <w:noProof/>
        </w:rPr>
        <w:t>the same year</w:t>
      </w:r>
      <w:r w:rsidR="30356102" w:rsidRPr="0CE19D19">
        <w:rPr>
          <w:rFonts w:asciiTheme="majorHAnsi" w:hAnsiTheme="majorHAnsi"/>
          <w:noProof/>
        </w:rPr>
        <w:t xml:space="preserve">. The </w:t>
      </w:r>
      <w:r w:rsidR="3EB1010C" w:rsidRPr="0CE19D19">
        <w:rPr>
          <w:rFonts w:asciiTheme="majorHAnsi" w:hAnsiTheme="majorHAnsi"/>
          <w:noProof/>
        </w:rPr>
        <w:t xml:space="preserve">margin </w:t>
      </w:r>
      <w:r w:rsidR="16DCCAA7" w:rsidRPr="0CE19D19">
        <w:rPr>
          <w:rFonts w:asciiTheme="majorHAnsi" w:hAnsiTheme="majorHAnsi"/>
          <w:noProof/>
        </w:rPr>
        <w:t>under the permanent</w:t>
      </w:r>
      <w:r w:rsidR="00345666">
        <w:rPr>
          <w:rFonts w:asciiTheme="majorHAnsi" w:hAnsiTheme="majorHAnsi"/>
          <w:noProof/>
        </w:rPr>
        <w:t xml:space="preserve"> own resource</w:t>
      </w:r>
      <w:r w:rsidR="00B86572">
        <w:rPr>
          <w:rFonts w:asciiTheme="majorHAnsi" w:hAnsiTheme="majorHAnsi"/>
          <w:noProof/>
        </w:rPr>
        <w:t>s</w:t>
      </w:r>
      <w:r w:rsidR="16DCCAA7" w:rsidRPr="0CE19D19">
        <w:rPr>
          <w:rFonts w:asciiTheme="majorHAnsi" w:hAnsiTheme="majorHAnsi"/>
          <w:noProof/>
        </w:rPr>
        <w:t xml:space="preserve"> ceiling </w:t>
      </w:r>
      <w:r w:rsidR="00352554">
        <w:rPr>
          <w:rFonts w:asciiTheme="majorHAnsi" w:hAnsiTheme="majorHAnsi"/>
          <w:noProof/>
        </w:rPr>
        <w:t xml:space="preserve">in 2027 </w:t>
      </w:r>
      <w:r w:rsidR="00345666">
        <w:rPr>
          <w:rFonts w:asciiTheme="majorHAnsi" w:hAnsiTheme="majorHAnsi"/>
          <w:noProof/>
        </w:rPr>
        <w:t>will be</w:t>
      </w:r>
      <w:r w:rsidR="7C3CFB3D" w:rsidRPr="0CE19D19">
        <w:rPr>
          <w:rFonts w:asciiTheme="majorHAnsi" w:hAnsiTheme="majorHAnsi"/>
          <w:noProof/>
        </w:rPr>
        <w:t xml:space="preserve"> around EUR</w:t>
      </w:r>
      <w:r w:rsidR="5BCA4E96" w:rsidRPr="00F423B9">
        <w:rPr>
          <w:rFonts w:ascii="Calibri" w:hAnsi="Calibri" w:cs="Calibri"/>
          <w:noProof/>
        </w:rPr>
        <w:t> </w:t>
      </w:r>
      <w:r w:rsidR="14D98BAB" w:rsidRPr="174FB4F4">
        <w:rPr>
          <w:rFonts w:asciiTheme="majorHAnsi" w:hAnsiTheme="majorHAnsi" w:cs="Calibri"/>
          <w:noProof/>
        </w:rPr>
        <w:t>84</w:t>
      </w:r>
      <w:r w:rsidR="5BCA4E96" w:rsidRPr="00F423B9">
        <w:rPr>
          <w:rFonts w:ascii="Calibri" w:hAnsi="Calibri" w:cs="Calibri"/>
          <w:noProof/>
        </w:rPr>
        <w:t> </w:t>
      </w:r>
      <w:r w:rsidR="34A861F0" w:rsidRPr="0CE19D19">
        <w:rPr>
          <w:rFonts w:asciiTheme="majorHAnsi" w:hAnsiTheme="majorHAnsi"/>
          <w:noProof/>
        </w:rPr>
        <w:t>billion</w:t>
      </w:r>
      <w:r w:rsidR="009C3C6B">
        <w:rPr>
          <w:rFonts w:asciiTheme="majorHAnsi" w:hAnsiTheme="majorHAnsi"/>
          <w:noProof/>
        </w:rPr>
        <w:t>.</w:t>
      </w:r>
    </w:p>
    <w:p w14:paraId="2B531C36" w14:textId="2FD7B839" w:rsidR="004857A9" w:rsidRDefault="009C3C6B" w:rsidP="23B06DA2">
      <w:pPr>
        <w:spacing w:after="120" w:line="276" w:lineRule="auto"/>
        <w:jc w:val="both"/>
        <w:rPr>
          <w:rFonts w:asciiTheme="majorHAnsi" w:hAnsiTheme="majorHAnsi"/>
          <w:noProof/>
        </w:rPr>
      </w:pPr>
      <w:r>
        <w:rPr>
          <w:rFonts w:asciiTheme="majorHAnsi" w:hAnsiTheme="majorHAnsi"/>
          <w:noProof/>
        </w:rPr>
        <w:t xml:space="preserve">For 2028-2034, </w:t>
      </w:r>
      <w:r w:rsidR="34A861F0" w:rsidRPr="0CE19D19">
        <w:rPr>
          <w:rFonts w:asciiTheme="majorHAnsi" w:hAnsiTheme="majorHAnsi"/>
          <w:noProof/>
        </w:rPr>
        <w:t xml:space="preserve">the margin </w:t>
      </w:r>
      <w:r w:rsidR="60429CF4" w:rsidRPr="0CE19D19">
        <w:rPr>
          <w:rFonts w:asciiTheme="majorHAnsi" w:hAnsiTheme="majorHAnsi"/>
          <w:noProof/>
        </w:rPr>
        <w:t>under the</w:t>
      </w:r>
      <w:r>
        <w:rPr>
          <w:rFonts w:asciiTheme="majorHAnsi" w:hAnsiTheme="majorHAnsi"/>
          <w:noProof/>
        </w:rPr>
        <w:t xml:space="preserve"> </w:t>
      </w:r>
      <w:r w:rsidR="00C83A69">
        <w:rPr>
          <w:rFonts w:asciiTheme="majorHAnsi" w:hAnsiTheme="majorHAnsi"/>
          <w:noProof/>
        </w:rPr>
        <w:t xml:space="preserve">new </w:t>
      </w:r>
      <w:r>
        <w:rPr>
          <w:rFonts w:asciiTheme="majorHAnsi" w:hAnsiTheme="majorHAnsi"/>
          <w:noProof/>
        </w:rPr>
        <w:t>permanent ceiling</w:t>
      </w:r>
      <w:r w:rsidR="00C83A69">
        <w:rPr>
          <w:rFonts w:asciiTheme="majorHAnsi" w:hAnsiTheme="majorHAnsi"/>
          <w:noProof/>
        </w:rPr>
        <w:t xml:space="preserve"> proposed by the Commission</w:t>
      </w:r>
      <w:r>
        <w:rPr>
          <w:rFonts w:asciiTheme="majorHAnsi" w:hAnsiTheme="majorHAnsi"/>
          <w:noProof/>
        </w:rPr>
        <w:t xml:space="preserve"> is estimated at EUR</w:t>
      </w:r>
      <w:r w:rsidR="00E622B9">
        <w:rPr>
          <w:rFonts w:ascii="Calibri" w:hAnsi="Calibri" w:cs="Calibri"/>
          <w:noProof/>
        </w:rPr>
        <w:t> </w:t>
      </w:r>
      <w:r w:rsidR="49430F0C" w:rsidRPr="73F2CFE0">
        <w:rPr>
          <w:rFonts w:asciiTheme="majorHAnsi" w:hAnsiTheme="majorHAnsi"/>
          <w:noProof/>
        </w:rPr>
        <w:t>1</w:t>
      </w:r>
      <w:r w:rsidR="005A497C">
        <w:rPr>
          <w:rFonts w:asciiTheme="majorHAnsi" w:hAnsiTheme="majorHAnsi"/>
          <w:noProof/>
        </w:rPr>
        <w:t>55</w:t>
      </w:r>
      <w:r w:rsidRPr="174FB4F4">
        <w:rPr>
          <w:rFonts w:asciiTheme="majorHAnsi" w:hAnsiTheme="majorHAnsi"/>
          <w:noProof/>
        </w:rPr>
        <w:t xml:space="preserve"> </w:t>
      </w:r>
      <w:r>
        <w:rPr>
          <w:rFonts w:asciiTheme="majorHAnsi" w:hAnsiTheme="majorHAnsi"/>
          <w:noProof/>
        </w:rPr>
        <w:t>billion per year</w:t>
      </w:r>
      <w:r w:rsidR="00FB2A86">
        <w:rPr>
          <w:rFonts w:asciiTheme="majorHAnsi" w:hAnsiTheme="majorHAnsi"/>
          <w:noProof/>
        </w:rPr>
        <w:t xml:space="preserve"> </w:t>
      </w:r>
      <w:r w:rsidR="00460AEE">
        <w:rPr>
          <w:rFonts w:asciiTheme="majorHAnsi" w:hAnsiTheme="majorHAnsi"/>
          <w:noProof/>
        </w:rPr>
        <w:t>on average</w:t>
      </w:r>
      <w:r w:rsidR="00FB2A86">
        <w:rPr>
          <w:rFonts w:asciiTheme="majorHAnsi" w:hAnsiTheme="majorHAnsi"/>
          <w:noProof/>
        </w:rPr>
        <w:t xml:space="preserve"> and </w:t>
      </w:r>
      <w:r w:rsidR="00170270">
        <w:rPr>
          <w:rFonts w:asciiTheme="majorHAnsi" w:hAnsiTheme="majorHAnsi"/>
          <w:noProof/>
        </w:rPr>
        <w:t xml:space="preserve">the margin </w:t>
      </w:r>
      <w:r w:rsidR="00FB2A86">
        <w:rPr>
          <w:rFonts w:asciiTheme="majorHAnsi" w:hAnsiTheme="majorHAnsi"/>
          <w:noProof/>
        </w:rPr>
        <w:t xml:space="preserve">under the </w:t>
      </w:r>
      <w:r w:rsidR="00C83A69">
        <w:rPr>
          <w:rFonts w:asciiTheme="majorHAnsi" w:hAnsiTheme="majorHAnsi"/>
          <w:noProof/>
        </w:rPr>
        <w:t xml:space="preserve">NGEU </w:t>
      </w:r>
      <w:r w:rsidR="60429CF4" w:rsidRPr="0CE19D19">
        <w:rPr>
          <w:rFonts w:asciiTheme="majorHAnsi" w:hAnsiTheme="majorHAnsi"/>
          <w:noProof/>
        </w:rPr>
        <w:t>temporary ceiling</w:t>
      </w:r>
      <w:r w:rsidR="00FB2A86">
        <w:rPr>
          <w:rFonts w:asciiTheme="majorHAnsi" w:hAnsiTheme="majorHAnsi"/>
          <w:noProof/>
        </w:rPr>
        <w:t xml:space="preserve"> at EUR</w:t>
      </w:r>
      <w:r w:rsidR="00E622B9">
        <w:rPr>
          <w:rFonts w:ascii="Calibri" w:hAnsi="Calibri" w:cs="Calibri"/>
          <w:noProof/>
        </w:rPr>
        <w:t> </w:t>
      </w:r>
      <w:r w:rsidR="639565AD" w:rsidRPr="68A109E1">
        <w:rPr>
          <w:rFonts w:asciiTheme="majorHAnsi" w:hAnsiTheme="majorHAnsi"/>
          <w:noProof/>
        </w:rPr>
        <w:t>1</w:t>
      </w:r>
      <w:r w:rsidR="65177317" w:rsidRPr="68A109E1">
        <w:rPr>
          <w:rFonts w:asciiTheme="majorHAnsi" w:hAnsiTheme="majorHAnsi"/>
          <w:noProof/>
        </w:rPr>
        <w:t>1</w:t>
      </w:r>
      <w:r w:rsidR="005A497C">
        <w:rPr>
          <w:rFonts w:asciiTheme="majorHAnsi" w:hAnsiTheme="majorHAnsi"/>
          <w:noProof/>
        </w:rPr>
        <w:t>6</w:t>
      </w:r>
      <w:r w:rsidR="004857A9" w:rsidRPr="174FB4F4">
        <w:rPr>
          <w:rFonts w:asciiTheme="majorHAnsi" w:hAnsiTheme="majorHAnsi"/>
          <w:noProof/>
        </w:rPr>
        <w:t xml:space="preserve"> </w:t>
      </w:r>
      <w:r w:rsidR="004857A9">
        <w:rPr>
          <w:rFonts w:asciiTheme="majorHAnsi" w:hAnsiTheme="majorHAnsi"/>
          <w:noProof/>
        </w:rPr>
        <w:t>billion</w:t>
      </w:r>
      <w:r w:rsidR="002625BF">
        <w:rPr>
          <w:rFonts w:asciiTheme="majorHAnsi" w:hAnsiTheme="majorHAnsi"/>
          <w:noProof/>
        </w:rPr>
        <w:t xml:space="preserve"> on average</w:t>
      </w:r>
      <w:r w:rsidR="004857A9">
        <w:rPr>
          <w:rFonts w:asciiTheme="majorHAnsi" w:hAnsiTheme="majorHAnsi"/>
          <w:noProof/>
        </w:rPr>
        <w:t>.</w:t>
      </w:r>
      <w:r w:rsidR="5BCA4E96" w:rsidRPr="0CE19D19">
        <w:rPr>
          <w:rFonts w:asciiTheme="majorHAnsi" w:hAnsiTheme="majorHAnsi"/>
          <w:noProof/>
        </w:rPr>
        <w:t xml:space="preserve"> </w:t>
      </w:r>
      <w:r w:rsidR="00752078">
        <w:rPr>
          <w:rFonts w:asciiTheme="majorHAnsi" w:hAnsiTheme="majorHAnsi"/>
          <w:noProof/>
        </w:rPr>
        <w:t xml:space="preserve">This reflects updates in the forecast EU GNI for the Spring 2026 economic forecast, the </w:t>
      </w:r>
      <w:r w:rsidR="0022492A">
        <w:rPr>
          <w:rFonts w:asciiTheme="majorHAnsi" w:hAnsiTheme="majorHAnsi"/>
          <w:noProof/>
        </w:rPr>
        <w:t>updated need</w:t>
      </w:r>
      <w:r w:rsidR="0047080E">
        <w:rPr>
          <w:rFonts w:asciiTheme="majorHAnsi" w:hAnsiTheme="majorHAnsi"/>
          <w:noProof/>
        </w:rPr>
        <w:t>s</w:t>
      </w:r>
      <w:r w:rsidR="0022492A">
        <w:rPr>
          <w:rFonts w:asciiTheme="majorHAnsi" w:hAnsiTheme="majorHAnsi"/>
          <w:noProof/>
        </w:rPr>
        <w:t xml:space="preserve"> </w:t>
      </w:r>
      <w:r w:rsidR="0047080E">
        <w:rPr>
          <w:rFonts w:asciiTheme="majorHAnsi" w:hAnsiTheme="majorHAnsi"/>
          <w:noProof/>
        </w:rPr>
        <w:t>for pre-2028 RAL payments</w:t>
      </w:r>
      <w:r w:rsidR="00A25FBF">
        <w:rPr>
          <w:rFonts w:asciiTheme="majorHAnsi" w:hAnsiTheme="majorHAnsi"/>
          <w:noProof/>
        </w:rPr>
        <w:t xml:space="preserve"> and the minimal update in non-own resources payments linked to the </w:t>
      </w:r>
      <w:r w:rsidR="008F7F61">
        <w:rPr>
          <w:rFonts w:asciiTheme="majorHAnsi" w:hAnsiTheme="majorHAnsi"/>
          <w:noProof/>
        </w:rPr>
        <w:t xml:space="preserve">UK </w:t>
      </w:r>
      <w:r w:rsidR="00A25FBF">
        <w:rPr>
          <w:rFonts w:asciiTheme="majorHAnsi" w:hAnsiTheme="majorHAnsi"/>
          <w:noProof/>
        </w:rPr>
        <w:t>contribution under the Withdrawal Agreement.</w:t>
      </w:r>
    </w:p>
    <w:p w14:paraId="4C94CD41" w14:textId="290EDF7F" w:rsidR="0006097B" w:rsidRDefault="0006097B" w:rsidP="23B06DA2">
      <w:pPr>
        <w:spacing w:after="120" w:line="276" w:lineRule="auto"/>
        <w:jc w:val="both"/>
        <w:rPr>
          <w:rFonts w:asciiTheme="majorHAnsi" w:hAnsiTheme="majorHAnsi"/>
          <w:noProof/>
        </w:rPr>
      </w:pPr>
      <w:r>
        <w:rPr>
          <w:rFonts w:asciiTheme="majorHAnsi" w:hAnsiTheme="majorHAnsi"/>
          <w:noProof/>
        </w:rPr>
        <w:t xml:space="preserve">For both the permanent </w:t>
      </w:r>
      <w:r w:rsidR="008C5D20">
        <w:rPr>
          <w:rFonts w:asciiTheme="majorHAnsi" w:hAnsiTheme="majorHAnsi"/>
          <w:noProof/>
        </w:rPr>
        <w:t xml:space="preserve">and </w:t>
      </w:r>
      <w:r w:rsidR="00C83A69">
        <w:rPr>
          <w:rFonts w:asciiTheme="majorHAnsi" w:hAnsiTheme="majorHAnsi"/>
          <w:noProof/>
        </w:rPr>
        <w:t xml:space="preserve">NGEU </w:t>
      </w:r>
      <w:r w:rsidR="008C5D20">
        <w:rPr>
          <w:rFonts w:asciiTheme="majorHAnsi" w:hAnsiTheme="majorHAnsi"/>
          <w:noProof/>
        </w:rPr>
        <w:t>temporary own resources ceiling</w:t>
      </w:r>
      <w:r w:rsidR="00654FDD">
        <w:rPr>
          <w:rFonts w:asciiTheme="majorHAnsi" w:hAnsiTheme="majorHAnsi"/>
          <w:noProof/>
        </w:rPr>
        <w:t>, the margin</w:t>
      </w:r>
      <w:r w:rsidR="008C5D20">
        <w:rPr>
          <w:rFonts w:asciiTheme="majorHAnsi" w:hAnsiTheme="majorHAnsi"/>
          <w:noProof/>
        </w:rPr>
        <w:t xml:space="preserve"> </w:t>
      </w:r>
      <w:r w:rsidR="002536A7">
        <w:rPr>
          <w:rFonts w:asciiTheme="majorHAnsi" w:hAnsiTheme="majorHAnsi"/>
          <w:noProof/>
        </w:rPr>
        <w:t xml:space="preserve">represents the free space below those ceilings after taking into account the own resources needed to finance the </w:t>
      </w:r>
      <w:r w:rsidR="006A5873">
        <w:rPr>
          <w:rFonts w:asciiTheme="majorHAnsi" w:hAnsiTheme="majorHAnsi"/>
          <w:noProof/>
        </w:rPr>
        <w:t xml:space="preserve">EU budget expenditures, and for the temporary ceilings – the own resources to cover the </w:t>
      </w:r>
      <w:r w:rsidR="00BF6C5C">
        <w:rPr>
          <w:rFonts w:asciiTheme="majorHAnsi" w:hAnsiTheme="majorHAnsi"/>
          <w:noProof/>
        </w:rPr>
        <w:t>costs for NextGenerationEU interest coverage and repayments (as of 2028).</w:t>
      </w:r>
      <w:r w:rsidR="00EF0F76">
        <w:rPr>
          <w:rFonts w:asciiTheme="majorHAnsi" w:hAnsiTheme="majorHAnsi"/>
          <w:noProof/>
        </w:rPr>
        <w:t xml:space="preserve"> This </w:t>
      </w:r>
      <w:r w:rsidR="00745743">
        <w:rPr>
          <w:rFonts w:asciiTheme="majorHAnsi" w:hAnsiTheme="majorHAnsi"/>
          <w:noProof/>
        </w:rPr>
        <w:t>headroom</w:t>
      </w:r>
      <w:r w:rsidR="00EF0F76">
        <w:rPr>
          <w:rFonts w:asciiTheme="majorHAnsi" w:hAnsiTheme="majorHAnsi"/>
          <w:noProof/>
        </w:rPr>
        <w:t xml:space="preserve"> is needed t</w:t>
      </w:r>
      <w:r w:rsidR="0060676A">
        <w:rPr>
          <w:rFonts w:asciiTheme="majorHAnsi" w:hAnsiTheme="majorHAnsi"/>
          <w:noProof/>
        </w:rPr>
        <w:t xml:space="preserve">o cover </w:t>
      </w:r>
      <w:r w:rsidR="00B6125D">
        <w:rPr>
          <w:rFonts w:asciiTheme="majorHAnsi" w:hAnsiTheme="majorHAnsi"/>
          <w:noProof/>
        </w:rPr>
        <w:t xml:space="preserve">additional outflows related to the </w:t>
      </w:r>
      <w:r w:rsidR="2B4FDE16" w:rsidRPr="3E915813">
        <w:rPr>
          <w:rFonts w:asciiTheme="majorHAnsi" w:hAnsiTheme="majorHAnsi"/>
          <w:noProof/>
        </w:rPr>
        <w:t xml:space="preserve">possible </w:t>
      </w:r>
      <w:r w:rsidR="00B6125D">
        <w:rPr>
          <w:rFonts w:asciiTheme="majorHAnsi" w:hAnsiTheme="majorHAnsi"/>
          <w:noProof/>
        </w:rPr>
        <w:t xml:space="preserve">materialisation of contingent liabilities and possible additional payment appropriations. Compared to the Commission Proposal for the next MFF in July 2025, </w:t>
      </w:r>
      <w:r w:rsidR="00B6125D" w:rsidRPr="5349A216">
        <w:rPr>
          <w:rFonts w:asciiTheme="majorHAnsi" w:hAnsiTheme="majorHAnsi"/>
          <w:noProof/>
        </w:rPr>
        <w:t>th</w:t>
      </w:r>
      <w:r w:rsidR="72ED04A6" w:rsidRPr="5349A216">
        <w:rPr>
          <w:rFonts w:asciiTheme="majorHAnsi" w:hAnsiTheme="majorHAnsi"/>
          <w:noProof/>
        </w:rPr>
        <w:t xml:space="preserve">ere are </w:t>
      </w:r>
      <w:r w:rsidR="00B6125D">
        <w:rPr>
          <w:rFonts w:asciiTheme="majorHAnsi" w:hAnsiTheme="majorHAnsi"/>
          <w:noProof/>
        </w:rPr>
        <w:t xml:space="preserve">additional contingent liabilities due to the Ukraine Support Loan which need to be covered via </w:t>
      </w:r>
      <w:r w:rsidR="00B6125D" w:rsidRPr="7813B2C0">
        <w:rPr>
          <w:rFonts w:asciiTheme="majorHAnsi" w:hAnsiTheme="majorHAnsi"/>
          <w:noProof/>
        </w:rPr>
        <w:t>th</w:t>
      </w:r>
      <w:r w:rsidR="4B1574E9" w:rsidRPr="7813B2C0">
        <w:rPr>
          <w:rFonts w:asciiTheme="majorHAnsi" w:hAnsiTheme="majorHAnsi"/>
          <w:noProof/>
        </w:rPr>
        <w:t>e headroom</w:t>
      </w:r>
      <w:r w:rsidR="3E91478B" w:rsidRPr="3E915813">
        <w:rPr>
          <w:rFonts w:asciiTheme="majorHAnsi" w:hAnsiTheme="majorHAnsi"/>
          <w:noProof/>
        </w:rPr>
        <w:t xml:space="preserve"> (i.e. the principal amount of EUR 90 billion and the associated </w:t>
      </w:r>
      <w:r w:rsidR="4CAF3FA6" w:rsidRPr="3E915813">
        <w:rPr>
          <w:rFonts w:asciiTheme="majorHAnsi" w:hAnsiTheme="majorHAnsi"/>
          <w:noProof/>
        </w:rPr>
        <w:t>financing</w:t>
      </w:r>
      <w:r w:rsidR="3E91478B" w:rsidRPr="3E915813">
        <w:rPr>
          <w:rFonts w:asciiTheme="majorHAnsi" w:hAnsiTheme="majorHAnsi"/>
          <w:noProof/>
        </w:rPr>
        <w:t xml:space="preserve"> costs).</w:t>
      </w:r>
    </w:p>
    <w:p w14:paraId="38BA6FDF" w14:textId="77777777" w:rsidR="005A497C" w:rsidRDefault="005A497C" w:rsidP="23B06DA2">
      <w:pPr>
        <w:spacing w:after="120" w:line="276" w:lineRule="auto"/>
        <w:jc w:val="both"/>
        <w:rPr>
          <w:rFonts w:asciiTheme="majorHAnsi" w:hAnsiTheme="majorHAnsi"/>
          <w:noProof/>
        </w:rPr>
      </w:pPr>
    </w:p>
    <w:p w14:paraId="34A9E241" w14:textId="05369CB5" w:rsidR="00861C1C" w:rsidRPr="00F423B9" w:rsidRDefault="003B6DC2">
      <w:pPr>
        <w:pStyle w:val="amprH2TITLE1-Numbered-1"/>
        <w:rPr>
          <w:rFonts w:asciiTheme="majorHAnsi" w:hAnsiTheme="majorHAnsi"/>
          <w:noProof/>
        </w:rPr>
      </w:pPr>
      <w:bookmarkStart w:id="75" w:name="_Toc71745280"/>
      <w:bookmarkStart w:id="76" w:name="_Toc524523073"/>
      <w:bookmarkStart w:id="77" w:name="_Toc233958944"/>
      <w:bookmarkEnd w:id="75"/>
      <w:r w:rsidRPr="00F423B9">
        <w:rPr>
          <w:rFonts w:asciiTheme="majorHAnsi" w:hAnsiTheme="majorHAnsi"/>
          <w:noProof/>
        </w:rPr>
        <w:t>Conclusions</w:t>
      </w:r>
      <w:bookmarkEnd w:id="76"/>
      <w:bookmarkEnd w:id="77"/>
    </w:p>
    <w:p w14:paraId="1653C95E" w14:textId="77777777" w:rsidR="001A24F3" w:rsidRPr="004334A3" w:rsidRDefault="001A24F3" w:rsidP="004334A3">
      <w:pPr>
        <w:spacing w:after="120" w:line="276" w:lineRule="auto"/>
        <w:jc w:val="both"/>
        <w:rPr>
          <w:rFonts w:asciiTheme="majorHAnsi" w:hAnsiTheme="majorHAnsi"/>
          <w:noProof/>
        </w:rPr>
      </w:pPr>
      <w:r w:rsidRPr="004334A3">
        <w:rPr>
          <w:rFonts w:asciiTheme="majorHAnsi" w:hAnsiTheme="majorHAnsi"/>
          <w:noProof/>
        </w:rPr>
        <w:t>The forecast confirms that the payment ceiling proposed by the Commission for the 2028-2034 MFF remains sufficient to cover the expenditure currently expected over the period.</w:t>
      </w:r>
    </w:p>
    <w:p w14:paraId="34C57BB6" w14:textId="77777777" w:rsidR="001A24F3" w:rsidRPr="004334A3" w:rsidRDefault="001A24F3" w:rsidP="004334A3">
      <w:pPr>
        <w:spacing w:after="120" w:line="276" w:lineRule="auto"/>
        <w:jc w:val="both"/>
        <w:rPr>
          <w:rFonts w:asciiTheme="majorHAnsi" w:hAnsiTheme="majorHAnsi"/>
          <w:noProof/>
        </w:rPr>
      </w:pPr>
      <w:r w:rsidRPr="004334A3">
        <w:rPr>
          <w:rFonts w:asciiTheme="majorHAnsi" w:hAnsiTheme="majorHAnsi"/>
          <w:noProof/>
        </w:rPr>
        <w:t>Compared with the estimates underlying the Commission proposal of July 2025, the forecast for payments related to commitments entered into before 2028 has been revised downwards. This reflects stronger implementation and higher payment execution during the final years of the current MFF, resulting in a lower stock of outstanding commitments at the end of 2027. The profile of payments stemming from pre-2028 commitments nevertheless remains dependent on implementation developments in 2026 and 2027.</w:t>
      </w:r>
    </w:p>
    <w:p w14:paraId="1727B675" w14:textId="3BEE2BF0" w:rsidR="001A24F3" w:rsidRPr="004334A3" w:rsidRDefault="001A24F3">
      <w:pPr>
        <w:spacing w:after="120" w:line="276" w:lineRule="auto"/>
        <w:jc w:val="both"/>
        <w:rPr>
          <w:rFonts w:asciiTheme="majorHAnsi" w:hAnsiTheme="majorHAnsi"/>
          <w:noProof/>
        </w:rPr>
      </w:pPr>
      <w:r w:rsidRPr="004334A3">
        <w:rPr>
          <w:rFonts w:asciiTheme="majorHAnsi" w:hAnsiTheme="majorHAnsi"/>
          <w:noProof/>
        </w:rPr>
        <w:t>At the same time, the forecast for payments linked to programmes proposed under the 2028-2034 MFF continues to be based on the Commission proposal of 2025. As negotiations on the future MFF are ongoing, parameters affecting future payment needs remain subject to change.</w:t>
      </w:r>
    </w:p>
    <w:p w14:paraId="16060B5B" w14:textId="68EEA722" w:rsidR="001A24F3" w:rsidRPr="004334A3" w:rsidRDefault="00D6464A" w:rsidP="004334A3">
      <w:pPr>
        <w:spacing w:after="120" w:line="276" w:lineRule="auto"/>
        <w:jc w:val="both"/>
        <w:rPr>
          <w:rFonts w:asciiTheme="majorHAnsi" w:hAnsiTheme="majorHAnsi"/>
          <w:noProof/>
        </w:rPr>
      </w:pPr>
      <w:r>
        <w:rPr>
          <w:rFonts w:asciiTheme="majorHAnsi" w:hAnsiTheme="majorHAnsi"/>
          <w:noProof/>
        </w:rPr>
        <w:t>T</w:t>
      </w:r>
      <w:r w:rsidR="001A24F3" w:rsidRPr="004334A3">
        <w:rPr>
          <w:rFonts w:asciiTheme="majorHAnsi" w:hAnsiTheme="majorHAnsi"/>
          <w:noProof/>
        </w:rPr>
        <w:t>he difference</w:t>
      </w:r>
      <w:r>
        <w:rPr>
          <w:rFonts w:asciiTheme="majorHAnsi" w:hAnsiTheme="majorHAnsi"/>
          <w:noProof/>
        </w:rPr>
        <w:t>s</w:t>
      </w:r>
      <w:r w:rsidR="001A24F3" w:rsidRPr="004334A3">
        <w:rPr>
          <w:rFonts w:asciiTheme="majorHAnsi" w:hAnsiTheme="majorHAnsi"/>
          <w:noProof/>
        </w:rPr>
        <w:t xml:space="preserve"> currently observed between the forecast level of payments and the proposed payment ceiling </w:t>
      </w:r>
      <w:r>
        <w:rPr>
          <w:rFonts w:asciiTheme="majorHAnsi" w:hAnsiTheme="majorHAnsi"/>
          <w:noProof/>
        </w:rPr>
        <w:t xml:space="preserve"> is subject to change,</w:t>
      </w:r>
      <w:r w:rsidR="001A24F3" w:rsidRPr="004334A3">
        <w:rPr>
          <w:rFonts w:asciiTheme="majorHAnsi" w:hAnsiTheme="majorHAnsi"/>
          <w:noProof/>
        </w:rPr>
        <w:t xml:space="preserve"> as payment requirements </w:t>
      </w:r>
      <w:r>
        <w:rPr>
          <w:rFonts w:asciiTheme="majorHAnsi" w:hAnsiTheme="majorHAnsi"/>
          <w:noProof/>
        </w:rPr>
        <w:t>under</w:t>
      </w:r>
      <w:r w:rsidRPr="004334A3">
        <w:rPr>
          <w:rFonts w:asciiTheme="majorHAnsi" w:hAnsiTheme="majorHAnsi"/>
          <w:noProof/>
        </w:rPr>
        <w:t xml:space="preserve"> </w:t>
      </w:r>
      <w:r w:rsidR="001A24F3" w:rsidRPr="004334A3">
        <w:rPr>
          <w:rFonts w:asciiTheme="majorHAnsi" w:hAnsiTheme="majorHAnsi"/>
          <w:noProof/>
        </w:rPr>
        <w:t xml:space="preserve">the next MFF cannot </w:t>
      </w:r>
      <w:r>
        <w:rPr>
          <w:rFonts w:asciiTheme="majorHAnsi" w:hAnsiTheme="majorHAnsi"/>
          <w:noProof/>
        </w:rPr>
        <w:t xml:space="preserve">yet </w:t>
      </w:r>
      <w:r w:rsidR="001A24F3" w:rsidRPr="004334A3">
        <w:rPr>
          <w:rFonts w:asciiTheme="majorHAnsi" w:hAnsiTheme="majorHAnsi"/>
          <w:noProof/>
        </w:rPr>
        <w:t>be fully established. The reduction in estimated payments related to pre-2028 commitments reflects updated information on legacy needs, whereas the payment profile of future programmes remains provisional.</w:t>
      </w:r>
    </w:p>
    <w:p w14:paraId="00EE535E" w14:textId="613A13AE" w:rsidR="001A24F3" w:rsidRPr="004334A3" w:rsidRDefault="001A24F3" w:rsidP="001A24F3">
      <w:pPr>
        <w:spacing w:after="120" w:line="276" w:lineRule="auto"/>
        <w:jc w:val="both"/>
        <w:rPr>
          <w:rFonts w:asciiTheme="majorHAnsi" w:hAnsiTheme="majorHAnsi"/>
          <w:noProof/>
        </w:rPr>
      </w:pPr>
      <w:r w:rsidRPr="004334A3">
        <w:rPr>
          <w:rFonts w:asciiTheme="majorHAnsi" w:hAnsiTheme="majorHAnsi"/>
          <w:noProof/>
        </w:rPr>
        <w:t xml:space="preserve">The current forecast should therefore be regarded as an intermediate assessment based on the Commission proposal and the information available at this stage. </w:t>
      </w:r>
    </w:p>
    <w:p w14:paraId="4AF03F3B" w14:textId="6D0C27EA" w:rsidR="004F6A78" w:rsidRPr="004334A3" w:rsidRDefault="004F6A78" w:rsidP="004334A3">
      <w:pPr>
        <w:spacing w:after="120" w:line="276" w:lineRule="auto"/>
        <w:jc w:val="both"/>
        <w:rPr>
          <w:rFonts w:asciiTheme="majorHAnsi" w:hAnsiTheme="majorHAnsi"/>
          <w:noProof/>
        </w:rPr>
      </w:pPr>
      <w:r w:rsidRPr="004334A3">
        <w:rPr>
          <w:rFonts w:asciiTheme="majorHAnsi" w:hAnsiTheme="majorHAnsi"/>
          <w:noProof/>
        </w:rPr>
        <w:t>The forecast also points to a more contained level of outstanding commitments relative to the size of the EU economy and of the future MFF. This positive development reflects both the stronger implementation observed towards the end of the current programming period and the implementation profile under the Commission proposal for the MFF 2028-2034.</w:t>
      </w:r>
    </w:p>
    <w:p w14:paraId="76D1A985" w14:textId="116F78C2" w:rsidR="00861C1C" w:rsidRPr="00F423B9" w:rsidRDefault="005C7748" w:rsidP="005C7748">
      <w:pPr>
        <w:spacing w:after="120" w:line="276" w:lineRule="auto"/>
        <w:jc w:val="both"/>
        <w:rPr>
          <w:rFonts w:asciiTheme="majorHAnsi" w:hAnsiTheme="majorHAnsi"/>
          <w:noProof/>
        </w:rPr>
      </w:pPr>
      <w:r w:rsidRPr="005C7748">
        <w:rPr>
          <w:rFonts w:asciiTheme="majorHAnsi" w:hAnsiTheme="majorHAnsi"/>
          <w:noProof/>
        </w:rPr>
        <w:t xml:space="preserve">The revenue to finance the budget follows the MFF expenditure cycle. The proposed package of new own resources is expected to </w:t>
      </w:r>
      <w:r w:rsidR="004C30C3">
        <w:rPr>
          <w:rFonts w:asciiTheme="majorHAnsi" w:hAnsiTheme="majorHAnsi"/>
          <w:noProof/>
        </w:rPr>
        <w:t xml:space="preserve">reduce the burden on </w:t>
      </w:r>
      <w:r w:rsidR="004E70BA">
        <w:rPr>
          <w:rFonts w:asciiTheme="majorHAnsi" w:hAnsiTheme="majorHAnsi"/>
          <w:noProof/>
        </w:rPr>
        <w:t>Member States</w:t>
      </w:r>
      <w:r w:rsidR="009A7990">
        <w:rPr>
          <w:rFonts w:asciiTheme="majorHAnsi" w:hAnsiTheme="majorHAnsi"/>
          <w:noProof/>
        </w:rPr>
        <w:t>’ VAT and GNI-based</w:t>
      </w:r>
      <w:r w:rsidR="004E70BA" w:rsidRPr="005C7748">
        <w:rPr>
          <w:rFonts w:asciiTheme="majorHAnsi" w:hAnsiTheme="majorHAnsi"/>
          <w:noProof/>
        </w:rPr>
        <w:t xml:space="preserve"> </w:t>
      </w:r>
      <w:r w:rsidRPr="005C7748">
        <w:rPr>
          <w:rFonts w:asciiTheme="majorHAnsi" w:hAnsiTheme="majorHAnsi"/>
          <w:noProof/>
        </w:rPr>
        <w:t>contributions.</w:t>
      </w:r>
    </w:p>
    <w:p w14:paraId="64614B46" w14:textId="77777777" w:rsidR="00861C1C" w:rsidRPr="00F423B9" w:rsidRDefault="00861C1C">
      <w:pPr>
        <w:spacing w:after="120" w:line="276" w:lineRule="auto"/>
        <w:jc w:val="both"/>
        <w:rPr>
          <w:rFonts w:asciiTheme="majorHAnsi" w:hAnsiTheme="majorHAnsi"/>
          <w:noProof/>
        </w:rPr>
        <w:sectPr w:rsidR="00861C1C" w:rsidRPr="00F423B9">
          <w:headerReference w:type="default" r:id="rId26"/>
          <w:footerReference w:type="default" r:id="rId27"/>
          <w:pgSz w:w="11906" w:h="16838"/>
          <w:pgMar w:top="1321" w:right="1151" w:bottom="1440" w:left="1151" w:header="720" w:footer="720" w:gutter="0"/>
          <w:pgNumType w:start="1"/>
          <w:cols w:space="720"/>
          <w:docGrid w:linePitch="326"/>
        </w:sectPr>
      </w:pPr>
    </w:p>
    <w:p w14:paraId="4DF4B46E" w14:textId="1C7E6860" w:rsidR="00861C1C" w:rsidRPr="00F423B9" w:rsidRDefault="00391EE0" w:rsidP="002A00F5">
      <w:pPr>
        <w:pStyle w:val="amprH2TITLE1"/>
        <w:spacing w:after="480"/>
        <w:rPr>
          <w:rFonts w:asciiTheme="majorHAnsi" w:hAnsiTheme="majorHAnsi"/>
          <w:noProof/>
        </w:rPr>
      </w:pPr>
      <w:bookmarkStart w:id="78" w:name="_Toc233958945"/>
      <w:bookmarkStart w:id="79" w:name="_Toc524523074"/>
      <w:bookmarkEnd w:id="70"/>
      <w:r w:rsidRPr="00F423B9">
        <w:rPr>
          <w:rFonts w:asciiTheme="majorHAnsi" w:hAnsiTheme="majorHAnsi"/>
          <w:noProof/>
        </w:rPr>
        <w:t>A</w:t>
      </w:r>
      <w:r w:rsidR="003B6DC2" w:rsidRPr="00F423B9">
        <w:rPr>
          <w:rFonts w:asciiTheme="majorHAnsi" w:hAnsiTheme="majorHAnsi"/>
          <w:noProof/>
        </w:rPr>
        <w:t>nnex II – Results of the forecast</w:t>
      </w:r>
      <w:bookmarkEnd w:id="78"/>
    </w:p>
    <w:bookmarkEnd w:id="79"/>
    <w:p w14:paraId="1823CB20" w14:textId="1C8DF275" w:rsidR="00EB3BDB" w:rsidRPr="00F423B9" w:rsidRDefault="009838C1" w:rsidP="00850C3E">
      <w:pPr>
        <w:pStyle w:val="amprBodyText"/>
        <w:rPr>
          <w:rFonts w:asciiTheme="majorHAnsi" w:hAnsiTheme="majorHAnsi"/>
          <w:b/>
          <w:i/>
          <w:iCs/>
          <w:noProof/>
          <w:sz w:val="22"/>
          <w:szCs w:val="22"/>
          <w:lang w:eastAsia="en-US"/>
        </w:rPr>
      </w:pPr>
      <w:r w:rsidRPr="00F423B9">
        <w:rPr>
          <w:rFonts w:asciiTheme="majorHAnsi" w:hAnsiTheme="majorHAnsi"/>
          <w:i/>
          <w:iCs/>
          <w:noProof/>
          <w:sz w:val="22"/>
          <w:szCs w:val="22"/>
          <w:lang w:eastAsia="en-US"/>
        </w:rPr>
        <w:t>All values are in billions of EUR, current prices, unless otherwise specified. Some totals may not tally due to rounding.</w:t>
      </w:r>
    </w:p>
    <w:p w14:paraId="7CD51858" w14:textId="71F9DB43" w:rsidR="00861C1C" w:rsidRPr="00F423B9" w:rsidRDefault="003B6DC2" w:rsidP="009C6708">
      <w:pPr>
        <w:pStyle w:val="Heading2"/>
        <w:rPr>
          <w:rFonts w:asciiTheme="majorHAnsi" w:hAnsiTheme="majorHAnsi"/>
          <w:noProof/>
        </w:rPr>
      </w:pPr>
      <w:bookmarkStart w:id="80" w:name="_Toc233958946"/>
      <w:r w:rsidRPr="00F423B9">
        <w:rPr>
          <w:rFonts w:asciiTheme="majorHAnsi" w:hAnsiTheme="majorHAnsi"/>
          <w:noProof/>
        </w:rPr>
        <w:t xml:space="preserve">Table </w:t>
      </w:r>
      <w:r w:rsidRPr="00F423B9">
        <w:rPr>
          <w:rFonts w:asciiTheme="majorHAnsi" w:hAnsiTheme="majorHAnsi"/>
          <w:noProof/>
        </w:rPr>
        <w:fldChar w:fldCharType="begin"/>
      </w:r>
      <w:r w:rsidRPr="00F423B9">
        <w:rPr>
          <w:rFonts w:asciiTheme="majorHAnsi" w:hAnsiTheme="majorHAnsi"/>
          <w:noProof/>
        </w:rPr>
        <w:instrText xml:space="preserve"> SEQ Table \* ARABIC </w:instrText>
      </w:r>
      <w:r w:rsidRPr="00F423B9">
        <w:rPr>
          <w:rFonts w:asciiTheme="majorHAnsi" w:hAnsiTheme="majorHAnsi"/>
          <w:noProof/>
        </w:rPr>
        <w:fldChar w:fldCharType="separate"/>
      </w:r>
      <w:r w:rsidR="00927C3F" w:rsidRPr="00F423B9">
        <w:rPr>
          <w:rFonts w:asciiTheme="majorHAnsi" w:hAnsiTheme="majorHAnsi"/>
          <w:noProof/>
        </w:rPr>
        <w:t>1</w:t>
      </w:r>
      <w:r w:rsidRPr="00F423B9">
        <w:rPr>
          <w:rFonts w:asciiTheme="majorHAnsi" w:hAnsiTheme="majorHAnsi"/>
          <w:noProof/>
        </w:rPr>
        <w:fldChar w:fldCharType="end"/>
      </w:r>
      <w:r w:rsidRPr="00F423B9">
        <w:rPr>
          <w:rFonts w:asciiTheme="majorHAnsi" w:hAnsiTheme="majorHAnsi"/>
          <w:noProof/>
        </w:rPr>
        <w:t>.1 – Long-term forecast of future outflows over 202</w:t>
      </w:r>
      <w:r w:rsidR="00BC63EE">
        <w:rPr>
          <w:rFonts w:asciiTheme="majorHAnsi" w:hAnsiTheme="majorHAnsi"/>
          <w:noProof/>
        </w:rPr>
        <w:t>7</w:t>
      </w:r>
      <w:r w:rsidRPr="00F423B9">
        <w:rPr>
          <w:rFonts w:asciiTheme="majorHAnsi" w:hAnsiTheme="majorHAnsi"/>
          <w:noProof/>
        </w:rPr>
        <w:t>-20</w:t>
      </w:r>
      <w:r w:rsidR="00D64FB3">
        <w:rPr>
          <w:rFonts w:asciiTheme="majorHAnsi" w:hAnsiTheme="majorHAnsi"/>
          <w:noProof/>
        </w:rPr>
        <w:t>34</w:t>
      </w:r>
      <w:r w:rsidRPr="00F423B9">
        <w:rPr>
          <w:rFonts w:asciiTheme="majorHAnsi" w:hAnsiTheme="majorHAnsi"/>
          <w:noProof/>
        </w:rPr>
        <w:t xml:space="preserve"> for the MFF</w:t>
      </w:r>
      <w:bookmarkEnd w:id="80"/>
    </w:p>
    <w:tbl>
      <w:tblPr>
        <w:tblStyle w:val="AMPR2021"/>
        <w:tblW w:w="5107" w:type="pct"/>
        <w:tblBorders>
          <w:top w:val="none" w:sz="0" w:space="0" w:color="auto"/>
          <w:insideH w:val="single" w:sz="6" w:space="0" w:color="BFBFBF" w:themeColor="background1" w:themeShade="BF"/>
          <w:insideV w:val="single" w:sz="6" w:space="0" w:color="BFBFBF" w:themeColor="background1" w:themeShade="BF"/>
        </w:tblBorders>
        <w:tblLook w:val="06A0" w:firstRow="1" w:lastRow="0" w:firstColumn="1" w:lastColumn="0" w:noHBand="1" w:noVBand="1"/>
      </w:tblPr>
      <w:tblGrid>
        <w:gridCol w:w="2264"/>
        <w:gridCol w:w="836"/>
        <w:gridCol w:w="838"/>
        <w:gridCol w:w="838"/>
        <w:gridCol w:w="839"/>
        <w:gridCol w:w="839"/>
        <w:gridCol w:w="839"/>
        <w:gridCol w:w="839"/>
        <w:gridCol w:w="839"/>
        <w:gridCol w:w="1059"/>
      </w:tblGrid>
      <w:tr w:rsidR="00607FF2" w:rsidRPr="003501FF" w14:paraId="11D38320" w14:textId="77777777" w:rsidTr="002B1A99">
        <w:trPr>
          <w:cnfStyle w:val="100000000000" w:firstRow="1" w:lastRow="0" w:firstColumn="0" w:lastColumn="0" w:oddVBand="0" w:evenVBand="0" w:oddHBand="0"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1129" w:type="pct"/>
            <w:vAlign w:val="center"/>
          </w:tcPr>
          <w:p w14:paraId="4D8A7161" w14:textId="495F1621" w:rsidR="00DF371E" w:rsidRPr="002A475F" w:rsidRDefault="00DF371E" w:rsidP="002A475F">
            <w:pPr>
              <w:spacing w:after="120"/>
              <w:rPr>
                <w:rFonts w:asciiTheme="majorHAnsi" w:eastAsia="Calibri" w:hAnsiTheme="majorHAnsi"/>
                <w:bCs/>
                <w:noProof/>
                <w:sz w:val="22"/>
                <w:szCs w:val="22"/>
              </w:rPr>
            </w:pPr>
            <w:r w:rsidRPr="002A475F">
              <w:rPr>
                <w:rFonts w:asciiTheme="majorHAnsi" w:eastAsia="Calibri" w:hAnsiTheme="majorHAnsi"/>
                <w:bCs/>
                <w:noProof/>
                <w:sz w:val="22"/>
                <w:szCs w:val="22"/>
              </w:rPr>
              <w:t>Year</w:t>
            </w:r>
          </w:p>
        </w:tc>
        <w:tc>
          <w:tcPr>
            <w:tcW w:w="417" w:type="pct"/>
            <w:vAlign w:val="center"/>
          </w:tcPr>
          <w:p w14:paraId="6A0E29DC" w14:textId="0E72E1A6" w:rsidR="00DF371E" w:rsidRPr="002A475F" w:rsidRDefault="00DF371E" w:rsidP="002A475F">
            <w:pPr>
              <w:spacing w:after="120" w:line="22" w:lineRule="atLeast"/>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Cs/>
                <w:noProof/>
                <w:sz w:val="22"/>
                <w:szCs w:val="22"/>
              </w:rPr>
            </w:pPr>
            <w:r w:rsidRPr="002A475F">
              <w:rPr>
                <w:noProof/>
                <w:sz w:val="22"/>
                <w:szCs w:val="22"/>
              </w:rPr>
              <w:t>2027</w:t>
            </w:r>
          </w:p>
        </w:tc>
        <w:tc>
          <w:tcPr>
            <w:tcW w:w="418" w:type="pct"/>
            <w:vAlign w:val="center"/>
          </w:tcPr>
          <w:p w14:paraId="7ED12D07" w14:textId="124941F6" w:rsidR="00DF371E" w:rsidRPr="002A475F" w:rsidRDefault="00DF371E" w:rsidP="002A475F">
            <w:pPr>
              <w:spacing w:after="120" w:line="22" w:lineRule="atLeast"/>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 w:val="0"/>
                <w:bCs/>
                <w:noProof/>
                <w:sz w:val="22"/>
                <w:szCs w:val="22"/>
              </w:rPr>
            </w:pPr>
            <w:r w:rsidRPr="002A475F">
              <w:rPr>
                <w:noProof/>
                <w:sz w:val="22"/>
                <w:szCs w:val="22"/>
              </w:rPr>
              <w:t>2028</w:t>
            </w:r>
          </w:p>
        </w:tc>
        <w:tc>
          <w:tcPr>
            <w:tcW w:w="418" w:type="pct"/>
            <w:vAlign w:val="center"/>
          </w:tcPr>
          <w:p w14:paraId="3C68C61F" w14:textId="48EF938B" w:rsidR="00DF371E" w:rsidRPr="002A475F" w:rsidRDefault="00DF371E" w:rsidP="002A475F">
            <w:pPr>
              <w:spacing w:after="120" w:line="22" w:lineRule="atLeast"/>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Cs/>
                <w:noProof/>
                <w:sz w:val="22"/>
                <w:szCs w:val="22"/>
              </w:rPr>
            </w:pPr>
            <w:r w:rsidRPr="002A475F">
              <w:rPr>
                <w:noProof/>
                <w:sz w:val="22"/>
                <w:szCs w:val="22"/>
              </w:rPr>
              <w:t>2029</w:t>
            </w:r>
          </w:p>
        </w:tc>
        <w:tc>
          <w:tcPr>
            <w:tcW w:w="418" w:type="pct"/>
            <w:vAlign w:val="center"/>
          </w:tcPr>
          <w:p w14:paraId="1A856E01" w14:textId="471332AE" w:rsidR="00DF371E" w:rsidRPr="002A475F" w:rsidRDefault="00DF371E" w:rsidP="002A475F">
            <w:pPr>
              <w:spacing w:after="120" w:line="22" w:lineRule="atLeast"/>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Cs/>
                <w:noProof/>
                <w:sz w:val="22"/>
                <w:szCs w:val="22"/>
              </w:rPr>
            </w:pPr>
            <w:r w:rsidRPr="002A475F">
              <w:rPr>
                <w:noProof/>
                <w:sz w:val="22"/>
                <w:szCs w:val="22"/>
              </w:rPr>
              <w:t>2030</w:t>
            </w:r>
          </w:p>
        </w:tc>
        <w:tc>
          <w:tcPr>
            <w:tcW w:w="418" w:type="pct"/>
            <w:vAlign w:val="center"/>
          </w:tcPr>
          <w:p w14:paraId="0BD9CE92" w14:textId="091AAB5A" w:rsidR="00DF371E" w:rsidRPr="002A475F" w:rsidRDefault="00DF371E" w:rsidP="002A475F">
            <w:pPr>
              <w:spacing w:after="120" w:line="22" w:lineRule="atLeast"/>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Cs/>
                <w:noProof/>
                <w:sz w:val="22"/>
                <w:szCs w:val="22"/>
              </w:rPr>
            </w:pPr>
            <w:r w:rsidRPr="002A475F">
              <w:rPr>
                <w:noProof/>
                <w:sz w:val="22"/>
                <w:szCs w:val="22"/>
              </w:rPr>
              <w:t>2031</w:t>
            </w:r>
          </w:p>
        </w:tc>
        <w:tc>
          <w:tcPr>
            <w:tcW w:w="418" w:type="pct"/>
            <w:vAlign w:val="center"/>
          </w:tcPr>
          <w:p w14:paraId="3DD65EFA" w14:textId="43D76648" w:rsidR="00DF371E" w:rsidRPr="002A475F" w:rsidRDefault="00DF371E" w:rsidP="002A475F">
            <w:pPr>
              <w:spacing w:after="120" w:line="22" w:lineRule="atLeast"/>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Cs/>
                <w:noProof/>
                <w:sz w:val="22"/>
                <w:szCs w:val="22"/>
              </w:rPr>
            </w:pPr>
            <w:r w:rsidRPr="002A475F">
              <w:rPr>
                <w:noProof/>
                <w:sz w:val="22"/>
                <w:szCs w:val="22"/>
              </w:rPr>
              <w:t>2032</w:t>
            </w:r>
          </w:p>
        </w:tc>
        <w:tc>
          <w:tcPr>
            <w:tcW w:w="418" w:type="pct"/>
            <w:vAlign w:val="center"/>
          </w:tcPr>
          <w:p w14:paraId="64066F8A" w14:textId="5BBB5A89" w:rsidR="00DF371E" w:rsidRPr="002A475F" w:rsidRDefault="00DF371E" w:rsidP="002A475F">
            <w:pPr>
              <w:spacing w:after="120" w:line="22" w:lineRule="atLeast"/>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Cs/>
                <w:noProof/>
                <w:sz w:val="22"/>
                <w:szCs w:val="22"/>
              </w:rPr>
            </w:pPr>
            <w:r w:rsidRPr="002A475F">
              <w:rPr>
                <w:noProof/>
                <w:sz w:val="22"/>
                <w:szCs w:val="22"/>
              </w:rPr>
              <w:t>2033</w:t>
            </w:r>
          </w:p>
        </w:tc>
        <w:tc>
          <w:tcPr>
            <w:tcW w:w="418" w:type="pct"/>
            <w:vAlign w:val="center"/>
          </w:tcPr>
          <w:p w14:paraId="65F1EF5A" w14:textId="6C88C78D" w:rsidR="00DF371E" w:rsidRPr="002A475F" w:rsidRDefault="00DF371E" w:rsidP="002A475F">
            <w:pPr>
              <w:spacing w:after="120" w:line="22" w:lineRule="atLeast"/>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Cs/>
                <w:noProof/>
                <w:sz w:val="22"/>
                <w:szCs w:val="22"/>
              </w:rPr>
            </w:pPr>
            <w:r w:rsidRPr="002A475F">
              <w:rPr>
                <w:noProof/>
                <w:sz w:val="22"/>
                <w:szCs w:val="22"/>
              </w:rPr>
              <w:t>2034</w:t>
            </w:r>
          </w:p>
        </w:tc>
        <w:tc>
          <w:tcPr>
            <w:tcW w:w="530" w:type="pct"/>
            <w:vAlign w:val="center"/>
          </w:tcPr>
          <w:p w14:paraId="56FAD1A3" w14:textId="30991BDD" w:rsidR="00DF371E" w:rsidRPr="002A475F" w:rsidRDefault="00DF371E" w:rsidP="002A475F">
            <w:pPr>
              <w:spacing w:after="120" w:line="22" w:lineRule="atLeast"/>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Cs/>
                <w:noProof/>
                <w:sz w:val="22"/>
                <w:szCs w:val="22"/>
              </w:rPr>
            </w:pPr>
            <w:r w:rsidRPr="002A475F">
              <w:rPr>
                <w:noProof/>
                <w:sz w:val="22"/>
                <w:szCs w:val="22"/>
              </w:rPr>
              <w:t>TOTAL</w:t>
            </w:r>
          </w:p>
        </w:tc>
      </w:tr>
      <w:tr w:rsidR="00EE23F8" w:rsidRPr="00F423B9" w14:paraId="0EC073A7" w14:textId="77777777" w:rsidTr="002B1A99">
        <w:trPr>
          <w:trHeight w:val="313"/>
        </w:trPr>
        <w:tc>
          <w:tcPr>
            <w:cnfStyle w:val="001000000000" w:firstRow="0" w:lastRow="0" w:firstColumn="1" w:lastColumn="0" w:oddVBand="0" w:evenVBand="0" w:oddHBand="0" w:evenHBand="0" w:firstRowFirstColumn="0" w:firstRowLastColumn="0" w:lastRowFirstColumn="0" w:lastRowLastColumn="0"/>
            <w:tcW w:w="1129" w:type="pct"/>
          </w:tcPr>
          <w:p w14:paraId="4610EFB2" w14:textId="1224D226" w:rsidR="00DF371E" w:rsidRPr="003501FF" w:rsidRDefault="00DF371E" w:rsidP="00DF371E">
            <w:pPr>
              <w:spacing w:after="120"/>
              <w:rPr>
                <w:rFonts w:asciiTheme="majorHAnsi" w:eastAsia="Calibri" w:hAnsiTheme="majorHAnsi"/>
                <w:bCs/>
                <w:noProof/>
                <w:color w:val="003399" w:themeColor="text2"/>
                <w:sz w:val="22"/>
                <w:szCs w:val="22"/>
              </w:rPr>
            </w:pPr>
            <w:r w:rsidRPr="003501FF">
              <w:rPr>
                <w:rFonts w:asciiTheme="majorHAnsi" w:eastAsia="Calibri" w:hAnsiTheme="majorHAnsi"/>
                <w:bCs/>
                <w:noProof/>
                <w:color w:val="003399" w:themeColor="text2"/>
                <w:sz w:val="22"/>
                <w:szCs w:val="22"/>
              </w:rPr>
              <w:t>Commitment Ceiling</w:t>
            </w:r>
          </w:p>
        </w:tc>
        <w:tc>
          <w:tcPr>
            <w:tcW w:w="417" w:type="pct"/>
            <w:tcBorders>
              <w:top w:val="single" w:sz="8" w:space="0" w:color="BFBFBF"/>
              <w:left w:val="single" w:sz="8" w:space="0" w:color="BFBFBF"/>
              <w:bottom w:val="single" w:sz="8" w:space="0" w:color="BFBFBF"/>
              <w:right w:val="single" w:sz="8" w:space="0" w:color="BFBFBF"/>
            </w:tcBorders>
            <w:vAlign w:val="center"/>
          </w:tcPr>
          <w:p w14:paraId="29107334" w14:textId="01D46419" w:rsidR="00DF371E" w:rsidRPr="00742B21"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bCs/>
                <w:noProof/>
                <w:color w:val="003399" w:themeColor="text2"/>
              </w:rPr>
            </w:pPr>
            <w:r w:rsidRPr="00742B21">
              <w:rPr>
                <w:b/>
                <w:bCs/>
                <w:noProof/>
                <w:color w:val="003399" w:themeColor="text2"/>
              </w:rPr>
              <w:t>188.8</w:t>
            </w:r>
          </w:p>
        </w:tc>
        <w:tc>
          <w:tcPr>
            <w:tcW w:w="418" w:type="pct"/>
            <w:tcBorders>
              <w:top w:val="single" w:sz="8" w:space="0" w:color="BFBFBF"/>
              <w:left w:val="nil"/>
              <w:bottom w:val="single" w:sz="8" w:space="0" w:color="BFBFBF"/>
              <w:right w:val="single" w:sz="8" w:space="0" w:color="BFBFBF"/>
            </w:tcBorders>
            <w:vAlign w:val="center"/>
          </w:tcPr>
          <w:p w14:paraId="77205E2A" w14:textId="4C10CF19" w:rsidR="00DF371E" w:rsidRPr="00742B21"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bCs/>
                <w:noProof/>
                <w:color w:val="003399" w:themeColor="text2"/>
              </w:rPr>
            </w:pPr>
            <w:r w:rsidRPr="00742B21">
              <w:rPr>
                <w:b/>
                <w:bCs/>
                <w:noProof/>
                <w:color w:val="003399" w:themeColor="text2"/>
              </w:rPr>
              <w:t>269.5</w:t>
            </w:r>
          </w:p>
        </w:tc>
        <w:tc>
          <w:tcPr>
            <w:tcW w:w="418" w:type="pct"/>
            <w:tcBorders>
              <w:top w:val="single" w:sz="8" w:space="0" w:color="BFBFBF"/>
              <w:left w:val="nil"/>
              <w:bottom w:val="single" w:sz="8" w:space="0" w:color="BFBFBF"/>
              <w:right w:val="single" w:sz="8" w:space="0" w:color="BFBFBF"/>
            </w:tcBorders>
            <w:vAlign w:val="center"/>
          </w:tcPr>
          <w:p w14:paraId="2FC96E04" w14:textId="3BE5DEE1" w:rsidR="00DF371E" w:rsidRPr="00742B21"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bCs/>
                <w:i/>
                <w:noProof/>
                <w:color w:val="003399" w:themeColor="text2"/>
              </w:rPr>
            </w:pPr>
            <w:r w:rsidRPr="00742B21">
              <w:rPr>
                <w:b/>
                <w:bCs/>
                <w:noProof/>
                <w:color w:val="003399" w:themeColor="text2"/>
              </w:rPr>
              <w:t>282.9</w:t>
            </w:r>
          </w:p>
        </w:tc>
        <w:tc>
          <w:tcPr>
            <w:tcW w:w="418" w:type="pct"/>
            <w:tcBorders>
              <w:top w:val="single" w:sz="8" w:space="0" w:color="BFBFBF"/>
              <w:left w:val="nil"/>
              <w:bottom w:val="single" w:sz="8" w:space="0" w:color="BFBFBF"/>
              <w:right w:val="single" w:sz="8" w:space="0" w:color="BFBFBF"/>
            </w:tcBorders>
            <w:vAlign w:val="center"/>
          </w:tcPr>
          <w:p w14:paraId="5D8E5390" w14:textId="7CA444B0" w:rsidR="00DF371E" w:rsidRPr="00742B21"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bCs/>
                <w:noProof/>
                <w:color w:val="003399" w:themeColor="text2"/>
              </w:rPr>
            </w:pPr>
            <w:r w:rsidRPr="00742B21">
              <w:rPr>
                <w:b/>
                <w:bCs/>
                <w:noProof/>
                <w:color w:val="003399" w:themeColor="text2"/>
              </w:rPr>
              <w:t>283.1</w:t>
            </w:r>
          </w:p>
        </w:tc>
        <w:tc>
          <w:tcPr>
            <w:tcW w:w="418" w:type="pct"/>
            <w:tcBorders>
              <w:top w:val="single" w:sz="8" w:space="0" w:color="BFBFBF"/>
              <w:left w:val="nil"/>
              <w:bottom w:val="single" w:sz="8" w:space="0" w:color="BFBFBF"/>
              <w:right w:val="single" w:sz="8" w:space="0" w:color="BFBFBF"/>
            </w:tcBorders>
            <w:vAlign w:val="center"/>
          </w:tcPr>
          <w:p w14:paraId="3828996C" w14:textId="44EC03CE" w:rsidR="00DF371E" w:rsidRPr="00742B21"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bCs/>
                <w:noProof/>
                <w:color w:val="003399" w:themeColor="text2"/>
              </w:rPr>
            </w:pPr>
            <w:r w:rsidRPr="00742B21">
              <w:rPr>
                <w:b/>
                <w:bCs/>
                <w:noProof/>
                <w:color w:val="003399" w:themeColor="text2"/>
              </w:rPr>
              <w:t>290.4</w:t>
            </w:r>
          </w:p>
        </w:tc>
        <w:tc>
          <w:tcPr>
            <w:tcW w:w="418" w:type="pct"/>
            <w:tcBorders>
              <w:top w:val="single" w:sz="8" w:space="0" w:color="BFBFBF"/>
              <w:left w:val="nil"/>
              <w:bottom w:val="single" w:sz="8" w:space="0" w:color="BFBFBF"/>
              <w:right w:val="single" w:sz="8" w:space="0" w:color="BFBFBF"/>
            </w:tcBorders>
            <w:vAlign w:val="center"/>
          </w:tcPr>
          <w:p w14:paraId="0892A379" w14:textId="2D5AD705" w:rsidR="00DF371E" w:rsidRPr="00742B21"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bCs/>
                <w:noProof/>
                <w:color w:val="003399" w:themeColor="text2"/>
              </w:rPr>
            </w:pPr>
            <w:r w:rsidRPr="00742B21">
              <w:rPr>
                <w:b/>
                <w:bCs/>
                <w:noProof/>
                <w:color w:val="003399" w:themeColor="text2"/>
              </w:rPr>
              <w:t>294.1</w:t>
            </w:r>
          </w:p>
        </w:tc>
        <w:tc>
          <w:tcPr>
            <w:tcW w:w="418" w:type="pct"/>
            <w:tcBorders>
              <w:top w:val="single" w:sz="8" w:space="0" w:color="BFBFBF"/>
              <w:left w:val="nil"/>
              <w:bottom w:val="single" w:sz="8" w:space="0" w:color="BFBFBF"/>
              <w:right w:val="single" w:sz="8" w:space="0" w:color="BFBFBF"/>
            </w:tcBorders>
            <w:vAlign w:val="center"/>
          </w:tcPr>
          <w:p w14:paraId="7C960742" w14:textId="10F7A4D9" w:rsidR="00DF371E" w:rsidRPr="00742B21"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bCs/>
                <w:noProof/>
                <w:color w:val="003399" w:themeColor="text2"/>
              </w:rPr>
            </w:pPr>
            <w:r w:rsidRPr="00742B21">
              <w:rPr>
                <w:b/>
                <w:bCs/>
                <w:noProof/>
                <w:color w:val="003399" w:themeColor="text2"/>
              </w:rPr>
              <w:t>285.4</w:t>
            </w:r>
          </w:p>
        </w:tc>
        <w:tc>
          <w:tcPr>
            <w:tcW w:w="418" w:type="pct"/>
            <w:tcBorders>
              <w:top w:val="single" w:sz="8" w:space="0" w:color="BFBFBF"/>
              <w:left w:val="nil"/>
              <w:right w:val="single" w:sz="8" w:space="0" w:color="BFBFBF"/>
            </w:tcBorders>
            <w:vAlign w:val="center"/>
          </w:tcPr>
          <w:p w14:paraId="0B80A834" w14:textId="077BDDFF" w:rsidR="00DF371E" w:rsidRPr="00742B21"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bCs/>
                <w:i/>
                <w:noProof/>
                <w:color w:val="003399" w:themeColor="text2"/>
              </w:rPr>
            </w:pPr>
            <w:r w:rsidRPr="00742B21">
              <w:rPr>
                <w:b/>
                <w:bCs/>
                <w:noProof/>
                <w:color w:val="003399" w:themeColor="text2"/>
              </w:rPr>
              <w:t>279.7</w:t>
            </w:r>
          </w:p>
        </w:tc>
        <w:tc>
          <w:tcPr>
            <w:tcW w:w="530" w:type="pct"/>
            <w:tcBorders>
              <w:top w:val="single" w:sz="8" w:space="0" w:color="BFBFBF"/>
              <w:left w:val="nil"/>
              <w:bottom w:val="single" w:sz="8" w:space="0" w:color="BFBFBF"/>
              <w:right w:val="single" w:sz="8" w:space="0" w:color="BFBFBF"/>
            </w:tcBorders>
            <w:vAlign w:val="center"/>
          </w:tcPr>
          <w:p w14:paraId="27A8B8A6" w14:textId="72EA2B8C" w:rsidR="00DF371E" w:rsidRPr="00282CDB" w:rsidRDefault="00DF371E"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sz w:val="22"/>
                <w:szCs w:val="22"/>
              </w:rPr>
            </w:pPr>
            <w:r w:rsidRPr="00282CDB">
              <w:rPr>
                <w:b/>
                <w:noProof/>
                <w:sz w:val="22"/>
                <w:szCs w:val="22"/>
              </w:rPr>
              <w:t>2 173.7</w:t>
            </w:r>
          </w:p>
        </w:tc>
      </w:tr>
      <w:tr w:rsidR="00302A13" w:rsidRPr="00F423B9" w14:paraId="5F681BD4" w14:textId="0E9E996B" w:rsidTr="00EA6749">
        <w:trPr>
          <w:trHeight w:val="313"/>
        </w:trPr>
        <w:tc>
          <w:tcPr>
            <w:cnfStyle w:val="001000000000" w:firstRow="0" w:lastRow="0" w:firstColumn="1" w:lastColumn="0" w:oddVBand="0" w:evenVBand="0" w:oddHBand="0" w:evenHBand="0" w:firstRowFirstColumn="0" w:firstRowLastColumn="0" w:lastRowFirstColumn="0" w:lastRowLastColumn="0"/>
            <w:tcW w:w="1129" w:type="pct"/>
            <w:shd w:val="clear" w:color="auto" w:fill="F3F7FF" w:themeFill="background2"/>
          </w:tcPr>
          <w:p w14:paraId="3178286A" w14:textId="77777777" w:rsidR="00DF371E" w:rsidRPr="00F423B9" w:rsidRDefault="00DF371E" w:rsidP="00DF371E">
            <w:pPr>
              <w:spacing w:after="120"/>
              <w:rPr>
                <w:rFonts w:asciiTheme="majorHAnsi" w:eastAsia="Calibri" w:hAnsiTheme="majorHAnsi"/>
                <w:bCs/>
                <w:noProof/>
                <w:color w:val="003399" w:themeColor="text2"/>
                <w:sz w:val="22"/>
                <w:szCs w:val="22"/>
              </w:rPr>
            </w:pPr>
            <w:r w:rsidRPr="00F423B9">
              <w:rPr>
                <w:rFonts w:asciiTheme="majorHAnsi" w:eastAsia="Calibri" w:hAnsiTheme="majorHAnsi"/>
                <w:bCs/>
                <w:noProof/>
                <w:color w:val="003399" w:themeColor="text2"/>
                <w:sz w:val="22"/>
                <w:szCs w:val="22"/>
              </w:rPr>
              <w:t>Payment Ceiling</w:t>
            </w:r>
          </w:p>
        </w:tc>
        <w:tc>
          <w:tcPr>
            <w:tcW w:w="417" w:type="pct"/>
            <w:tcBorders>
              <w:top w:val="nil"/>
              <w:left w:val="nil"/>
              <w:bottom w:val="single" w:sz="8" w:space="0" w:color="BFBFBF"/>
              <w:right w:val="single" w:sz="8" w:space="0" w:color="BFBFBF"/>
            </w:tcBorders>
            <w:shd w:val="clear" w:color="auto" w:fill="F3F7FF" w:themeFill="background2"/>
            <w:vAlign w:val="center"/>
          </w:tcPr>
          <w:p w14:paraId="6C9D0B33" w14:textId="360025DA" w:rsidR="00DF371E" w:rsidRPr="00742B21"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b/>
                <w:bCs/>
                <w:noProof/>
                <w:color w:val="003399" w:themeColor="text2"/>
              </w:rPr>
            </w:pPr>
            <w:r w:rsidRPr="00742B21">
              <w:rPr>
                <w:b/>
                <w:bCs/>
                <w:noProof/>
                <w:color w:val="003399" w:themeColor="text2"/>
              </w:rPr>
              <w:t>199.7</w:t>
            </w:r>
          </w:p>
        </w:tc>
        <w:tc>
          <w:tcPr>
            <w:tcW w:w="418" w:type="pct"/>
            <w:tcBorders>
              <w:top w:val="nil"/>
              <w:left w:val="nil"/>
              <w:bottom w:val="single" w:sz="8" w:space="0" w:color="BFBFBF"/>
              <w:right w:val="single" w:sz="8" w:space="0" w:color="BFBFBF"/>
            </w:tcBorders>
            <w:shd w:val="clear" w:color="auto" w:fill="F3F7FF" w:themeFill="background2"/>
            <w:vAlign w:val="center"/>
          </w:tcPr>
          <w:p w14:paraId="5FC39066" w14:textId="3EB8E819" w:rsidR="00DF371E" w:rsidRPr="00742B21"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b/>
                <w:bCs/>
                <w:noProof/>
                <w:color w:val="003399" w:themeColor="text2"/>
              </w:rPr>
            </w:pPr>
            <w:r w:rsidRPr="00742B21">
              <w:rPr>
                <w:b/>
                <w:bCs/>
                <w:noProof/>
                <w:color w:val="003399" w:themeColor="text2"/>
              </w:rPr>
              <w:t>270.0</w:t>
            </w:r>
          </w:p>
        </w:tc>
        <w:tc>
          <w:tcPr>
            <w:tcW w:w="418" w:type="pct"/>
            <w:tcBorders>
              <w:top w:val="nil"/>
              <w:left w:val="nil"/>
              <w:bottom w:val="single" w:sz="8" w:space="0" w:color="BFBFBF"/>
              <w:right w:val="single" w:sz="8" w:space="0" w:color="BFBFBF"/>
            </w:tcBorders>
            <w:shd w:val="clear" w:color="auto" w:fill="F3F7FF" w:themeFill="background2"/>
            <w:vAlign w:val="center"/>
          </w:tcPr>
          <w:p w14:paraId="15A56518" w14:textId="56ACE0FF" w:rsidR="00DF371E" w:rsidRPr="00742B21"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b/>
                <w:bCs/>
                <w:noProof/>
                <w:color w:val="003399" w:themeColor="text2"/>
              </w:rPr>
            </w:pPr>
            <w:r w:rsidRPr="00742B21">
              <w:rPr>
                <w:b/>
                <w:bCs/>
                <w:noProof/>
                <w:color w:val="003399" w:themeColor="text2"/>
              </w:rPr>
              <w:t>300.7</w:t>
            </w:r>
          </w:p>
        </w:tc>
        <w:tc>
          <w:tcPr>
            <w:tcW w:w="418" w:type="pct"/>
            <w:tcBorders>
              <w:top w:val="nil"/>
              <w:left w:val="nil"/>
              <w:bottom w:val="single" w:sz="8" w:space="0" w:color="BFBFBF"/>
              <w:right w:val="single" w:sz="8" w:space="0" w:color="BFBFBF"/>
            </w:tcBorders>
            <w:shd w:val="clear" w:color="auto" w:fill="F3F7FF" w:themeFill="background2"/>
            <w:vAlign w:val="center"/>
          </w:tcPr>
          <w:p w14:paraId="757053E4" w14:textId="41406F47" w:rsidR="00DF371E" w:rsidRPr="00742B21"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b/>
                <w:bCs/>
                <w:noProof/>
                <w:color w:val="003399" w:themeColor="text2"/>
              </w:rPr>
            </w:pPr>
            <w:r w:rsidRPr="00742B21">
              <w:rPr>
                <w:b/>
                <w:bCs/>
                <w:noProof/>
                <w:color w:val="003399" w:themeColor="text2"/>
              </w:rPr>
              <w:t>297.1</w:t>
            </w:r>
          </w:p>
        </w:tc>
        <w:tc>
          <w:tcPr>
            <w:tcW w:w="418" w:type="pct"/>
            <w:tcBorders>
              <w:top w:val="nil"/>
              <w:left w:val="nil"/>
              <w:bottom w:val="single" w:sz="8" w:space="0" w:color="BFBFBF"/>
              <w:right w:val="single" w:sz="8" w:space="0" w:color="BFBFBF"/>
            </w:tcBorders>
            <w:shd w:val="clear" w:color="auto" w:fill="F3F7FF" w:themeFill="background2"/>
            <w:vAlign w:val="center"/>
          </w:tcPr>
          <w:p w14:paraId="714F509B" w14:textId="5FF9CC0F" w:rsidR="00DF371E" w:rsidRPr="00742B21"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b/>
                <w:bCs/>
                <w:noProof/>
                <w:color w:val="003399" w:themeColor="text2"/>
              </w:rPr>
            </w:pPr>
            <w:r w:rsidRPr="00742B21">
              <w:rPr>
                <w:b/>
                <w:bCs/>
                <w:noProof/>
                <w:color w:val="003399" w:themeColor="text2"/>
              </w:rPr>
              <w:t>292.8</w:t>
            </w:r>
          </w:p>
        </w:tc>
        <w:tc>
          <w:tcPr>
            <w:tcW w:w="418" w:type="pct"/>
            <w:tcBorders>
              <w:top w:val="nil"/>
              <w:left w:val="nil"/>
              <w:bottom w:val="single" w:sz="8" w:space="0" w:color="BFBFBF"/>
              <w:right w:val="single" w:sz="8" w:space="0" w:color="BFBFBF"/>
            </w:tcBorders>
            <w:shd w:val="clear" w:color="auto" w:fill="F3F7FF" w:themeFill="background2"/>
            <w:vAlign w:val="center"/>
          </w:tcPr>
          <w:p w14:paraId="0AD4310A" w14:textId="0D16506A" w:rsidR="00DF371E" w:rsidRPr="00742B21"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b/>
                <w:bCs/>
                <w:noProof/>
                <w:color w:val="003399" w:themeColor="text2"/>
              </w:rPr>
            </w:pPr>
            <w:r w:rsidRPr="00742B21">
              <w:rPr>
                <w:b/>
                <w:bCs/>
                <w:noProof/>
                <w:color w:val="003399" w:themeColor="text2"/>
              </w:rPr>
              <w:t>277.4</w:t>
            </w:r>
          </w:p>
        </w:tc>
        <w:tc>
          <w:tcPr>
            <w:tcW w:w="418" w:type="pct"/>
            <w:tcBorders>
              <w:top w:val="nil"/>
              <w:left w:val="nil"/>
              <w:bottom w:val="single" w:sz="8" w:space="0" w:color="BFBFBF"/>
              <w:right w:val="single" w:sz="8" w:space="0" w:color="BFBFBF"/>
            </w:tcBorders>
            <w:shd w:val="clear" w:color="auto" w:fill="F3F7FF" w:themeFill="background2"/>
            <w:vAlign w:val="center"/>
          </w:tcPr>
          <w:p w14:paraId="096A0150" w14:textId="2C17BABD" w:rsidR="00DF371E" w:rsidRPr="00742B21"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b/>
                <w:bCs/>
                <w:noProof/>
                <w:color w:val="003399" w:themeColor="text2"/>
              </w:rPr>
            </w:pPr>
            <w:r w:rsidRPr="00742B21">
              <w:rPr>
                <w:b/>
                <w:bCs/>
                <w:noProof/>
                <w:color w:val="003399" w:themeColor="text2"/>
              </w:rPr>
              <w:t>274.7</w:t>
            </w:r>
          </w:p>
        </w:tc>
        <w:tc>
          <w:tcPr>
            <w:tcW w:w="418" w:type="pct"/>
            <w:tcBorders>
              <w:left w:val="nil"/>
              <w:right w:val="single" w:sz="8" w:space="0" w:color="BFBFBF"/>
            </w:tcBorders>
            <w:shd w:val="clear" w:color="auto" w:fill="F3F7FF" w:themeFill="background2"/>
            <w:vAlign w:val="center"/>
          </w:tcPr>
          <w:p w14:paraId="55BF4004" w14:textId="2563C266" w:rsidR="00DF371E" w:rsidRPr="00742B21" w:rsidRDefault="00DF371E"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b/>
                <w:bCs/>
                <w:noProof/>
                <w:color w:val="003399" w:themeColor="text2"/>
              </w:rPr>
            </w:pPr>
            <w:r w:rsidRPr="00742B21">
              <w:rPr>
                <w:b/>
                <w:bCs/>
                <w:noProof/>
                <w:color w:val="003399" w:themeColor="text2"/>
              </w:rPr>
              <w:t>267.5</w:t>
            </w:r>
          </w:p>
        </w:tc>
        <w:tc>
          <w:tcPr>
            <w:tcW w:w="530" w:type="pct"/>
            <w:tcBorders>
              <w:top w:val="nil"/>
              <w:left w:val="nil"/>
              <w:bottom w:val="single" w:sz="8" w:space="0" w:color="BFBFBF"/>
              <w:right w:val="single" w:sz="8" w:space="0" w:color="BFBFBF"/>
            </w:tcBorders>
            <w:shd w:val="clear" w:color="auto" w:fill="F3F7FF" w:themeFill="background2"/>
            <w:vAlign w:val="center"/>
          </w:tcPr>
          <w:p w14:paraId="712E1F63" w14:textId="7AD06CE9" w:rsidR="00DF371E" w:rsidRPr="00282CDB" w:rsidRDefault="00DF371E"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b/>
                <w:noProof/>
                <w:sz w:val="22"/>
                <w:szCs w:val="22"/>
              </w:rPr>
            </w:pPr>
            <w:r w:rsidRPr="00282CDB">
              <w:rPr>
                <w:b/>
                <w:noProof/>
                <w:sz w:val="22"/>
                <w:szCs w:val="22"/>
              </w:rPr>
              <w:t>2 179.8</w:t>
            </w:r>
          </w:p>
        </w:tc>
      </w:tr>
      <w:tr w:rsidR="00EE23F8" w:rsidRPr="00F423B9" w14:paraId="1862E808" w14:textId="399A6DFC" w:rsidTr="002B1A99">
        <w:trPr>
          <w:trHeight w:val="313"/>
        </w:trPr>
        <w:tc>
          <w:tcPr>
            <w:cnfStyle w:val="001000000000" w:firstRow="0" w:lastRow="0" w:firstColumn="1" w:lastColumn="0" w:oddVBand="0" w:evenVBand="0" w:oddHBand="0" w:evenHBand="0" w:firstRowFirstColumn="0" w:firstRowLastColumn="0" w:lastRowFirstColumn="0" w:lastRowLastColumn="0"/>
            <w:tcW w:w="1129" w:type="pct"/>
          </w:tcPr>
          <w:p w14:paraId="1DBD8B65" w14:textId="77777777" w:rsidR="00EE23F8" w:rsidRPr="009C7F46" w:rsidRDefault="00EE23F8" w:rsidP="00EE23F8">
            <w:pPr>
              <w:spacing w:after="120"/>
              <w:rPr>
                <w:rFonts w:asciiTheme="majorHAnsi" w:eastAsia="Calibri" w:hAnsiTheme="majorHAnsi"/>
                <w:b w:val="0"/>
                <w:bCs/>
                <w:noProof/>
                <w:color w:val="003399" w:themeColor="text2"/>
                <w:sz w:val="22"/>
                <w:szCs w:val="22"/>
              </w:rPr>
            </w:pPr>
            <w:r w:rsidRPr="009C7F46">
              <w:rPr>
                <w:rFonts w:asciiTheme="majorHAnsi" w:eastAsia="Calibri" w:hAnsiTheme="majorHAnsi"/>
                <w:b w:val="0"/>
                <w:bCs/>
                <w:noProof/>
                <w:color w:val="003399" w:themeColor="text2"/>
                <w:sz w:val="22"/>
                <w:szCs w:val="22"/>
              </w:rPr>
              <w:t>Commitments (programmed)*</w:t>
            </w:r>
          </w:p>
        </w:tc>
        <w:tc>
          <w:tcPr>
            <w:tcW w:w="417" w:type="pct"/>
            <w:tcBorders>
              <w:top w:val="nil"/>
              <w:left w:val="nil"/>
              <w:bottom w:val="single" w:sz="8" w:space="0" w:color="BFBFBF"/>
              <w:right w:val="single" w:sz="8" w:space="0" w:color="BFBFBF"/>
            </w:tcBorders>
            <w:vAlign w:val="center"/>
          </w:tcPr>
          <w:p w14:paraId="51A410FC" w14:textId="7F257F72" w:rsidR="00EE23F8" w:rsidRPr="001911F7"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1911F7">
              <w:rPr>
                <w:noProof/>
                <w:color w:val="003399" w:themeColor="text2"/>
              </w:rPr>
              <w:t>199.9</w:t>
            </w:r>
          </w:p>
        </w:tc>
        <w:tc>
          <w:tcPr>
            <w:tcW w:w="418" w:type="pct"/>
            <w:tcBorders>
              <w:top w:val="nil"/>
              <w:left w:val="nil"/>
              <w:bottom w:val="single" w:sz="8" w:space="0" w:color="BFBFBF"/>
              <w:right w:val="single" w:sz="8" w:space="0" w:color="BFBFBF"/>
            </w:tcBorders>
            <w:vAlign w:val="center"/>
          </w:tcPr>
          <w:p w14:paraId="1E2C8597" w14:textId="5C9721B0" w:rsidR="00EE23F8" w:rsidRPr="001911F7"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1911F7">
              <w:rPr>
                <w:noProof/>
                <w:color w:val="003399" w:themeColor="text2"/>
              </w:rPr>
              <w:t>269.5</w:t>
            </w:r>
          </w:p>
        </w:tc>
        <w:tc>
          <w:tcPr>
            <w:tcW w:w="418" w:type="pct"/>
            <w:tcBorders>
              <w:top w:val="nil"/>
              <w:left w:val="nil"/>
              <w:bottom w:val="single" w:sz="8" w:space="0" w:color="BFBFBF"/>
              <w:right w:val="single" w:sz="8" w:space="0" w:color="BFBFBF"/>
            </w:tcBorders>
            <w:vAlign w:val="center"/>
          </w:tcPr>
          <w:p w14:paraId="1EFBD65A" w14:textId="2CF43EB8" w:rsidR="00EE23F8" w:rsidRPr="001911F7"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1911F7">
              <w:rPr>
                <w:noProof/>
                <w:color w:val="003399" w:themeColor="text2"/>
              </w:rPr>
              <w:t>282.9</w:t>
            </w:r>
          </w:p>
        </w:tc>
        <w:tc>
          <w:tcPr>
            <w:tcW w:w="418" w:type="pct"/>
            <w:tcBorders>
              <w:top w:val="nil"/>
              <w:left w:val="nil"/>
              <w:bottom w:val="single" w:sz="8" w:space="0" w:color="BFBFBF"/>
              <w:right w:val="single" w:sz="8" w:space="0" w:color="BFBFBF"/>
            </w:tcBorders>
            <w:vAlign w:val="center"/>
          </w:tcPr>
          <w:p w14:paraId="747A38A2" w14:textId="3116F442" w:rsidR="00EE23F8" w:rsidRPr="001911F7"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1911F7">
              <w:rPr>
                <w:noProof/>
                <w:color w:val="003399" w:themeColor="text2"/>
              </w:rPr>
              <w:t>283.1</w:t>
            </w:r>
          </w:p>
        </w:tc>
        <w:tc>
          <w:tcPr>
            <w:tcW w:w="418" w:type="pct"/>
            <w:tcBorders>
              <w:top w:val="nil"/>
              <w:left w:val="nil"/>
              <w:bottom w:val="single" w:sz="8" w:space="0" w:color="BFBFBF"/>
              <w:right w:val="single" w:sz="8" w:space="0" w:color="BFBFBF"/>
            </w:tcBorders>
            <w:vAlign w:val="center"/>
          </w:tcPr>
          <w:p w14:paraId="0FDB81C3" w14:textId="58A55287" w:rsidR="00EE23F8" w:rsidRPr="001911F7"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1911F7">
              <w:rPr>
                <w:noProof/>
                <w:color w:val="003399" w:themeColor="text2"/>
              </w:rPr>
              <w:t>290.4</w:t>
            </w:r>
          </w:p>
        </w:tc>
        <w:tc>
          <w:tcPr>
            <w:tcW w:w="418" w:type="pct"/>
            <w:tcBorders>
              <w:top w:val="nil"/>
              <w:left w:val="nil"/>
              <w:bottom w:val="single" w:sz="8" w:space="0" w:color="BFBFBF"/>
              <w:right w:val="single" w:sz="8" w:space="0" w:color="BFBFBF"/>
            </w:tcBorders>
            <w:vAlign w:val="center"/>
          </w:tcPr>
          <w:p w14:paraId="730DC052" w14:textId="595BFAFB" w:rsidR="00EE23F8" w:rsidRPr="001911F7"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1911F7">
              <w:rPr>
                <w:noProof/>
                <w:color w:val="003399" w:themeColor="text2"/>
              </w:rPr>
              <w:t>294.1</w:t>
            </w:r>
          </w:p>
        </w:tc>
        <w:tc>
          <w:tcPr>
            <w:tcW w:w="418" w:type="pct"/>
            <w:tcBorders>
              <w:top w:val="nil"/>
              <w:left w:val="nil"/>
              <w:bottom w:val="single" w:sz="8" w:space="0" w:color="BFBFBF"/>
              <w:right w:val="single" w:sz="8" w:space="0" w:color="BFBFBF"/>
            </w:tcBorders>
            <w:vAlign w:val="center"/>
          </w:tcPr>
          <w:p w14:paraId="7198099D" w14:textId="38B84547" w:rsidR="00EE23F8" w:rsidRPr="001911F7"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1911F7">
              <w:rPr>
                <w:noProof/>
                <w:color w:val="003399" w:themeColor="text2"/>
              </w:rPr>
              <w:t>285.4</w:t>
            </w:r>
          </w:p>
        </w:tc>
        <w:tc>
          <w:tcPr>
            <w:tcW w:w="418" w:type="pct"/>
            <w:tcBorders>
              <w:left w:val="nil"/>
              <w:right w:val="single" w:sz="8" w:space="0" w:color="BFBFBF"/>
            </w:tcBorders>
            <w:vAlign w:val="center"/>
          </w:tcPr>
          <w:p w14:paraId="1378B33F" w14:textId="10468352" w:rsidR="00EE23F8" w:rsidRPr="001911F7"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1911F7">
              <w:rPr>
                <w:noProof/>
                <w:color w:val="003399" w:themeColor="text2"/>
              </w:rPr>
              <w:t>279.7</w:t>
            </w:r>
          </w:p>
        </w:tc>
        <w:tc>
          <w:tcPr>
            <w:tcW w:w="530" w:type="pct"/>
            <w:tcBorders>
              <w:top w:val="nil"/>
              <w:left w:val="nil"/>
              <w:bottom w:val="single" w:sz="8" w:space="0" w:color="BFBFBF"/>
              <w:right w:val="single" w:sz="8" w:space="0" w:color="BFBFBF"/>
            </w:tcBorders>
            <w:vAlign w:val="center"/>
          </w:tcPr>
          <w:p w14:paraId="46600046" w14:textId="46DBC396" w:rsidR="00EE23F8" w:rsidRPr="00282CDB" w:rsidRDefault="00EE23F8"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b/>
                <w:noProof/>
                <w:sz w:val="22"/>
                <w:szCs w:val="22"/>
              </w:rPr>
            </w:pPr>
            <w:r w:rsidRPr="00282CDB">
              <w:rPr>
                <w:b/>
                <w:noProof/>
                <w:sz w:val="22"/>
                <w:szCs w:val="22"/>
              </w:rPr>
              <w:t>2 184.8</w:t>
            </w:r>
          </w:p>
        </w:tc>
      </w:tr>
      <w:tr w:rsidR="00302A13" w:rsidRPr="00F423B9" w14:paraId="2775948F" w14:textId="18124EBE" w:rsidTr="00EA6749">
        <w:trPr>
          <w:trHeight w:val="313"/>
        </w:trPr>
        <w:tc>
          <w:tcPr>
            <w:cnfStyle w:val="001000000000" w:firstRow="0" w:lastRow="0" w:firstColumn="1" w:lastColumn="0" w:oddVBand="0" w:evenVBand="0" w:oddHBand="0" w:evenHBand="0" w:firstRowFirstColumn="0" w:firstRowLastColumn="0" w:lastRowFirstColumn="0" w:lastRowLastColumn="0"/>
            <w:tcW w:w="1129" w:type="pct"/>
            <w:tcBorders>
              <w:bottom w:val="single" w:sz="6" w:space="0" w:color="BFBFBF" w:themeColor="background1" w:themeShade="BF"/>
            </w:tcBorders>
            <w:shd w:val="clear" w:color="auto" w:fill="F3F7FF" w:themeFill="background2"/>
          </w:tcPr>
          <w:p w14:paraId="256C2DB6" w14:textId="1B373DC8" w:rsidR="00EE23F8" w:rsidRPr="009C7F46" w:rsidRDefault="00EE23F8" w:rsidP="00EE23F8">
            <w:pPr>
              <w:spacing w:after="120"/>
              <w:rPr>
                <w:rFonts w:asciiTheme="majorHAnsi" w:eastAsia="Calibri" w:hAnsiTheme="majorHAnsi"/>
                <w:b w:val="0"/>
                <w:bCs/>
                <w:noProof/>
                <w:color w:val="003399" w:themeColor="text2"/>
                <w:sz w:val="22"/>
                <w:szCs w:val="22"/>
              </w:rPr>
            </w:pPr>
            <w:r w:rsidRPr="009C7F46">
              <w:rPr>
                <w:rFonts w:asciiTheme="majorHAnsi" w:eastAsia="Calibri" w:hAnsiTheme="majorHAnsi"/>
                <w:b w:val="0"/>
                <w:bCs/>
                <w:noProof/>
                <w:color w:val="003399" w:themeColor="text2"/>
                <w:sz w:val="22"/>
                <w:szCs w:val="22"/>
              </w:rPr>
              <w:t>Forecast Payments</w:t>
            </w:r>
            <w:r w:rsidRPr="009C7F46">
              <w:rPr>
                <w:rFonts w:asciiTheme="majorHAnsi" w:eastAsia="Calibri" w:hAnsiTheme="majorHAnsi"/>
                <w:b w:val="0"/>
                <w:noProof/>
                <w:color w:val="003399" w:themeColor="text2"/>
                <w:sz w:val="22"/>
                <w:szCs w:val="22"/>
              </w:rPr>
              <w:t>**</w:t>
            </w:r>
          </w:p>
        </w:tc>
        <w:tc>
          <w:tcPr>
            <w:tcW w:w="417" w:type="pct"/>
            <w:tcBorders>
              <w:top w:val="nil"/>
              <w:left w:val="nil"/>
              <w:bottom w:val="single" w:sz="8" w:space="0" w:color="BFBFBF"/>
              <w:right w:val="single" w:sz="8" w:space="0" w:color="BFBFBF"/>
            </w:tcBorders>
            <w:shd w:val="clear" w:color="auto" w:fill="F3F7FF" w:themeFill="background2"/>
            <w:vAlign w:val="center"/>
          </w:tcPr>
          <w:p w14:paraId="090EDE20" w14:textId="7C28A20C" w:rsidR="00EE23F8" w:rsidRPr="001911F7"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1911F7">
              <w:rPr>
                <w:noProof/>
                <w:color w:val="003399" w:themeColor="text2"/>
              </w:rPr>
              <w:t>212.0</w:t>
            </w:r>
          </w:p>
        </w:tc>
        <w:tc>
          <w:tcPr>
            <w:tcW w:w="418" w:type="pct"/>
            <w:tcBorders>
              <w:top w:val="nil"/>
              <w:left w:val="nil"/>
              <w:bottom w:val="single" w:sz="8" w:space="0" w:color="BFBFBF"/>
              <w:right w:val="single" w:sz="8" w:space="0" w:color="BFBFBF"/>
            </w:tcBorders>
            <w:shd w:val="clear" w:color="auto" w:fill="F3F7FF" w:themeFill="background2"/>
            <w:vAlign w:val="center"/>
          </w:tcPr>
          <w:p w14:paraId="1A6C36A3" w14:textId="3DDDAE94" w:rsidR="00EE23F8" w:rsidRPr="001911F7"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1911F7">
              <w:rPr>
                <w:noProof/>
                <w:color w:val="003399" w:themeColor="text2"/>
              </w:rPr>
              <w:t>265.6</w:t>
            </w:r>
          </w:p>
        </w:tc>
        <w:tc>
          <w:tcPr>
            <w:tcW w:w="418" w:type="pct"/>
            <w:tcBorders>
              <w:top w:val="nil"/>
              <w:left w:val="nil"/>
              <w:bottom w:val="single" w:sz="8" w:space="0" w:color="BFBFBF"/>
              <w:right w:val="single" w:sz="8" w:space="0" w:color="BFBFBF"/>
            </w:tcBorders>
            <w:shd w:val="clear" w:color="auto" w:fill="F3F7FF" w:themeFill="background2"/>
            <w:vAlign w:val="center"/>
          </w:tcPr>
          <w:p w14:paraId="1C4723C1" w14:textId="7C7F464B" w:rsidR="00EE23F8" w:rsidRPr="001911F7"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1911F7">
              <w:rPr>
                <w:noProof/>
                <w:color w:val="003399" w:themeColor="text2"/>
              </w:rPr>
              <w:t>284.1</w:t>
            </w:r>
          </w:p>
        </w:tc>
        <w:tc>
          <w:tcPr>
            <w:tcW w:w="418" w:type="pct"/>
            <w:tcBorders>
              <w:top w:val="nil"/>
              <w:left w:val="nil"/>
              <w:bottom w:val="single" w:sz="8" w:space="0" w:color="BFBFBF"/>
              <w:right w:val="single" w:sz="8" w:space="0" w:color="BFBFBF"/>
            </w:tcBorders>
            <w:shd w:val="clear" w:color="auto" w:fill="F3F7FF" w:themeFill="background2"/>
            <w:vAlign w:val="center"/>
          </w:tcPr>
          <w:p w14:paraId="11637B16" w14:textId="39B8A5FB" w:rsidR="00EE23F8" w:rsidRPr="001911F7"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1911F7">
              <w:rPr>
                <w:noProof/>
                <w:color w:val="003399" w:themeColor="text2"/>
              </w:rPr>
              <w:t>310.7</w:t>
            </w:r>
          </w:p>
        </w:tc>
        <w:tc>
          <w:tcPr>
            <w:tcW w:w="418" w:type="pct"/>
            <w:tcBorders>
              <w:top w:val="nil"/>
              <w:left w:val="nil"/>
              <w:bottom w:val="single" w:sz="8" w:space="0" w:color="BFBFBF"/>
              <w:right w:val="single" w:sz="8" w:space="0" w:color="BFBFBF"/>
            </w:tcBorders>
            <w:shd w:val="clear" w:color="auto" w:fill="F3F7FF" w:themeFill="background2"/>
            <w:vAlign w:val="center"/>
          </w:tcPr>
          <w:p w14:paraId="3075A6FA" w14:textId="7BC45609" w:rsidR="00EE23F8" w:rsidRPr="001911F7"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1911F7">
              <w:rPr>
                <w:noProof/>
                <w:color w:val="003399" w:themeColor="text2"/>
              </w:rPr>
              <w:t>272.0</w:t>
            </w:r>
          </w:p>
        </w:tc>
        <w:tc>
          <w:tcPr>
            <w:tcW w:w="418" w:type="pct"/>
            <w:tcBorders>
              <w:top w:val="nil"/>
              <w:left w:val="nil"/>
              <w:bottom w:val="single" w:sz="8" w:space="0" w:color="BFBFBF"/>
              <w:right w:val="single" w:sz="8" w:space="0" w:color="BFBFBF"/>
            </w:tcBorders>
            <w:shd w:val="clear" w:color="auto" w:fill="F3F7FF" w:themeFill="background2"/>
            <w:vAlign w:val="center"/>
          </w:tcPr>
          <w:p w14:paraId="2C939033" w14:textId="36259EE4" w:rsidR="00EE23F8" w:rsidRPr="001911F7"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1911F7">
              <w:rPr>
                <w:noProof/>
                <w:color w:val="003399" w:themeColor="text2"/>
              </w:rPr>
              <w:t>283.4</w:t>
            </w:r>
          </w:p>
        </w:tc>
        <w:tc>
          <w:tcPr>
            <w:tcW w:w="418" w:type="pct"/>
            <w:tcBorders>
              <w:top w:val="nil"/>
              <w:left w:val="nil"/>
              <w:bottom w:val="single" w:sz="8" w:space="0" w:color="BFBFBF"/>
              <w:right w:val="single" w:sz="8" w:space="0" w:color="BFBFBF"/>
            </w:tcBorders>
            <w:shd w:val="clear" w:color="auto" w:fill="F3F7FF" w:themeFill="background2"/>
            <w:vAlign w:val="center"/>
          </w:tcPr>
          <w:p w14:paraId="340FC407" w14:textId="5C4D61F9" w:rsidR="00EE23F8" w:rsidRPr="001911F7"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1911F7">
              <w:rPr>
                <w:noProof/>
                <w:color w:val="003399" w:themeColor="text2"/>
              </w:rPr>
              <w:t>278.5</w:t>
            </w:r>
          </w:p>
        </w:tc>
        <w:tc>
          <w:tcPr>
            <w:tcW w:w="418" w:type="pct"/>
            <w:tcBorders>
              <w:left w:val="nil"/>
              <w:right w:val="single" w:sz="8" w:space="0" w:color="BFBFBF"/>
            </w:tcBorders>
            <w:shd w:val="clear" w:color="auto" w:fill="F3F7FF" w:themeFill="background2"/>
            <w:vAlign w:val="center"/>
          </w:tcPr>
          <w:p w14:paraId="45996A33" w14:textId="1FB482CC" w:rsidR="00EE23F8" w:rsidRPr="001911F7" w:rsidRDefault="00EE23F8" w:rsidP="00742B21">
            <w:pPr>
              <w:spacing w:after="120" w:line="22" w:lineRule="atLeast"/>
              <w:jc w:val="center"/>
              <w:cnfStyle w:val="000000000000" w:firstRow="0" w:lastRow="0" w:firstColumn="0" w:lastColumn="0" w:oddVBand="0" w:evenVBand="0" w:oddHBand="0" w:evenHBand="0" w:firstRowFirstColumn="0" w:firstRowLastColumn="0" w:lastRowFirstColumn="0" w:lastRowLastColumn="0"/>
              <w:rPr>
                <w:noProof/>
                <w:color w:val="003399" w:themeColor="text2"/>
              </w:rPr>
            </w:pPr>
            <w:r w:rsidRPr="001911F7">
              <w:rPr>
                <w:noProof/>
                <w:color w:val="003399" w:themeColor="text2"/>
              </w:rPr>
              <w:t>267.5</w:t>
            </w:r>
          </w:p>
        </w:tc>
        <w:tc>
          <w:tcPr>
            <w:tcW w:w="530" w:type="pct"/>
            <w:tcBorders>
              <w:top w:val="nil"/>
              <w:left w:val="nil"/>
              <w:bottom w:val="single" w:sz="8" w:space="0" w:color="BFBFBF"/>
              <w:right w:val="single" w:sz="8" w:space="0" w:color="BFBFBF"/>
            </w:tcBorders>
            <w:shd w:val="clear" w:color="auto" w:fill="F3F7FF" w:themeFill="background2"/>
            <w:vAlign w:val="center"/>
          </w:tcPr>
          <w:p w14:paraId="6C0C7774" w14:textId="5EE3C9B4" w:rsidR="00EE23F8" w:rsidRPr="00282CDB" w:rsidRDefault="00EE23F8"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b/>
                <w:noProof/>
                <w:sz w:val="22"/>
                <w:szCs w:val="22"/>
              </w:rPr>
            </w:pPr>
            <w:r w:rsidRPr="00282CDB">
              <w:rPr>
                <w:b/>
                <w:noProof/>
                <w:sz w:val="22"/>
                <w:szCs w:val="22"/>
              </w:rPr>
              <w:t>2 173.9</w:t>
            </w:r>
          </w:p>
        </w:tc>
      </w:tr>
      <w:tr w:rsidR="00EE23F8" w:rsidRPr="00F423B9" w14:paraId="2026525A" w14:textId="5EB3D9FB" w:rsidTr="002B1A99">
        <w:trPr>
          <w:trHeight w:val="313"/>
        </w:trPr>
        <w:tc>
          <w:tcPr>
            <w:cnfStyle w:val="001000000000" w:firstRow="0" w:lastRow="0" w:firstColumn="1" w:lastColumn="0" w:oddVBand="0" w:evenVBand="0" w:oddHBand="0" w:evenHBand="0" w:firstRowFirstColumn="0" w:firstRowLastColumn="0" w:lastRowFirstColumn="0" w:lastRowLastColumn="0"/>
            <w:tcW w:w="1129" w:type="pct"/>
            <w:tcBorders>
              <w:top w:val="single" w:sz="6" w:space="0" w:color="BFBFBF" w:themeColor="background1" w:themeShade="BF"/>
              <w:bottom w:val="nil"/>
            </w:tcBorders>
          </w:tcPr>
          <w:p w14:paraId="64D0EB44" w14:textId="5C3D7C25" w:rsidR="00EE23F8" w:rsidRPr="009C7F46" w:rsidRDefault="00EE23F8" w:rsidP="00EE23F8">
            <w:pPr>
              <w:spacing w:after="120"/>
              <w:rPr>
                <w:rFonts w:asciiTheme="majorHAnsi" w:eastAsia="Calibri" w:hAnsiTheme="majorHAnsi"/>
                <w:b w:val="0"/>
                <w:bCs/>
                <w:i/>
                <w:iCs/>
                <w:noProof/>
                <w:color w:val="003399" w:themeColor="text2"/>
                <w:sz w:val="22"/>
                <w:szCs w:val="22"/>
              </w:rPr>
            </w:pPr>
            <w:r w:rsidRPr="009C7F46">
              <w:rPr>
                <w:rFonts w:asciiTheme="majorHAnsi" w:hAnsiTheme="majorHAnsi"/>
                <w:b w:val="0"/>
                <w:i/>
                <w:iCs/>
                <w:noProof/>
                <w:color w:val="003399" w:themeColor="text2"/>
                <w:sz w:val="22"/>
                <w:szCs w:val="22"/>
              </w:rPr>
              <w:t>Of which Special Instruments</w:t>
            </w:r>
            <w:r w:rsidRPr="009C7F46">
              <w:rPr>
                <w:rFonts w:asciiTheme="majorHAnsi" w:hAnsiTheme="majorHAnsi"/>
                <w:b w:val="0"/>
                <w:i/>
                <w:noProof/>
                <w:color w:val="003399" w:themeColor="text2"/>
                <w:sz w:val="22"/>
                <w:szCs w:val="22"/>
              </w:rPr>
              <w:t>***</w:t>
            </w:r>
          </w:p>
        </w:tc>
        <w:tc>
          <w:tcPr>
            <w:tcW w:w="417" w:type="pct"/>
            <w:tcBorders>
              <w:top w:val="nil"/>
              <w:left w:val="nil"/>
              <w:bottom w:val="single" w:sz="8" w:space="0" w:color="BFBFBF"/>
              <w:right w:val="single" w:sz="8" w:space="0" w:color="BFBFBF"/>
            </w:tcBorders>
            <w:vAlign w:val="center"/>
          </w:tcPr>
          <w:p w14:paraId="37964E8C" w14:textId="6BD497A2" w:rsidR="00EE23F8" w:rsidRPr="00282CDB" w:rsidRDefault="00EE23F8"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i/>
                <w:noProof/>
                <w:color w:val="003399" w:themeColor="text2"/>
              </w:rPr>
            </w:pPr>
            <w:r w:rsidRPr="00282CDB">
              <w:rPr>
                <w:i/>
                <w:noProof/>
                <w:color w:val="003399" w:themeColor="text2"/>
              </w:rPr>
              <w:t>12.8</w:t>
            </w:r>
          </w:p>
        </w:tc>
        <w:tc>
          <w:tcPr>
            <w:tcW w:w="418" w:type="pct"/>
            <w:tcBorders>
              <w:top w:val="nil"/>
              <w:left w:val="nil"/>
              <w:bottom w:val="single" w:sz="8" w:space="0" w:color="BFBFBF"/>
              <w:right w:val="single" w:sz="8" w:space="0" w:color="BFBFBF"/>
            </w:tcBorders>
            <w:vAlign w:val="center"/>
          </w:tcPr>
          <w:p w14:paraId="1C501678" w14:textId="55CA0FC5" w:rsidR="00EE23F8" w:rsidRPr="00282CDB" w:rsidRDefault="00EE23F8"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i/>
                <w:noProof/>
                <w:color w:val="003399" w:themeColor="text2"/>
              </w:rPr>
            </w:pPr>
            <w:r w:rsidRPr="00282CDB">
              <w:rPr>
                <w:i/>
                <w:noProof/>
                <w:color w:val="003399" w:themeColor="text2"/>
              </w:rPr>
              <w:t>0.7</w:t>
            </w:r>
          </w:p>
        </w:tc>
        <w:tc>
          <w:tcPr>
            <w:tcW w:w="418" w:type="pct"/>
            <w:tcBorders>
              <w:top w:val="nil"/>
              <w:left w:val="nil"/>
              <w:bottom w:val="single" w:sz="8" w:space="0" w:color="BFBFBF"/>
              <w:right w:val="single" w:sz="8" w:space="0" w:color="BFBFBF"/>
            </w:tcBorders>
            <w:vAlign w:val="center"/>
          </w:tcPr>
          <w:p w14:paraId="129CCC55" w14:textId="43CBE463" w:rsidR="00EE23F8" w:rsidRPr="00282CDB" w:rsidRDefault="00EE23F8"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i/>
                <w:noProof/>
                <w:color w:val="003399" w:themeColor="text2"/>
              </w:rPr>
            </w:pPr>
            <w:r w:rsidRPr="00282CDB">
              <w:rPr>
                <w:i/>
                <w:noProof/>
                <w:color w:val="003399" w:themeColor="text2"/>
              </w:rPr>
              <w:t>0.3</w:t>
            </w:r>
          </w:p>
        </w:tc>
        <w:tc>
          <w:tcPr>
            <w:tcW w:w="418" w:type="pct"/>
            <w:tcBorders>
              <w:top w:val="nil"/>
              <w:left w:val="nil"/>
              <w:bottom w:val="single" w:sz="8" w:space="0" w:color="BFBFBF"/>
              <w:right w:val="single" w:sz="8" w:space="0" w:color="BFBFBF"/>
            </w:tcBorders>
            <w:vAlign w:val="center"/>
          </w:tcPr>
          <w:p w14:paraId="34BE4F9F" w14:textId="0005926B" w:rsidR="00EE23F8" w:rsidRPr="00282CDB" w:rsidRDefault="00EE23F8"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i/>
                <w:noProof/>
                <w:color w:val="003399" w:themeColor="text2"/>
              </w:rPr>
            </w:pPr>
            <w:r w:rsidRPr="00282CDB">
              <w:rPr>
                <w:i/>
                <w:noProof/>
                <w:color w:val="003399" w:themeColor="text2"/>
              </w:rPr>
              <w:t>0.0</w:t>
            </w:r>
          </w:p>
        </w:tc>
        <w:tc>
          <w:tcPr>
            <w:tcW w:w="418" w:type="pct"/>
            <w:tcBorders>
              <w:top w:val="nil"/>
              <w:left w:val="nil"/>
              <w:bottom w:val="single" w:sz="8" w:space="0" w:color="BFBFBF"/>
              <w:right w:val="single" w:sz="8" w:space="0" w:color="BFBFBF"/>
            </w:tcBorders>
            <w:vAlign w:val="center"/>
          </w:tcPr>
          <w:p w14:paraId="04014DA6" w14:textId="70CECE49" w:rsidR="00EE23F8" w:rsidRPr="00282CDB" w:rsidRDefault="00EE23F8"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i/>
                <w:noProof/>
                <w:color w:val="003399" w:themeColor="text2"/>
              </w:rPr>
            </w:pPr>
            <w:r w:rsidRPr="00282CDB">
              <w:rPr>
                <w:i/>
                <w:noProof/>
                <w:color w:val="003399" w:themeColor="text2"/>
              </w:rPr>
              <w:t>0.0</w:t>
            </w:r>
          </w:p>
        </w:tc>
        <w:tc>
          <w:tcPr>
            <w:tcW w:w="418" w:type="pct"/>
            <w:tcBorders>
              <w:top w:val="single" w:sz="8" w:space="0" w:color="BFBFBF"/>
              <w:left w:val="nil"/>
              <w:bottom w:val="single" w:sz="8" w:space="0" w:color="BFBFBF"/>
              <w:right w:val="single" w:sz="8" w:space="0" w:color="BFBFBF"/>
            </w:tcBorders>
            <w:vAlign w:val="center"/>
          </w:tcPr>
          <w:p w14:paraId="410C8656" w14:textId="48CCC84C" w:rsidR="00EE23F8" w:rsidRPr="00282CDB" w:rsidRDefault="00EE23F8"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i/>
                <w:noProof/>
                <w:color w:val="003399" w:themeColor="text2"/>
              </w:rPr>
            </w:pPr>
            <w:r w:rsidRPr="00282CDB">
              <w:rPr>
                <w:i/>
                <w:noProof/>
                <w:color w:val="003399" w:themeColor="text2"/>
              </w:rPr>
              <w:t>0.0</w:t>
            </w:r>
          </w:p>
        </w:tc>
        <w:tc>
          <w:tcPr>
            <w:tcW w:w="418" w:type="pct"/>
            <w:tcBorders>
              <w:top w:val="single" w:sz="8" w:space="0" w:color="BFBFBF"/>
              <w:left w:val="nil"/>
              <w:bottom w:val="single" w:sz="8" w:space="0" w:color="BFBFBF"/>
              <w:right w:val="single" w:sz="8" w:space="0" w:color="BFBFBF"/>
            </w:tcBorders>
            <w:vAlign w:val="center"/>
          </w:tcPr>
          <w:p w14:paraId="188A7174" w14:textId="732CE419" w:rsidR="00EE23F8" w:rsidRPr="00282CDB" w:rsidRDefault="00EE23F8"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i/>
                <w:noProof/>
                <w:color w:val="003399" w:themeColor="text2"/>
              </w:rPr>
            </w:pPr>
            <w:r w:rsidRPr="00282CDB">
              <w:rPr>
                <w:i/>
                <w:noProof/>
                <w:color w:val="003399" w:themeColor="text2"/>
              </w:rPr>
              <w:t>0.0</w:t>
            </w:r>
          </w:p>
        </w:tc>
        <w:tc>
          <w:tcPr>
            <w:tcW w:w="418" w:type="pct"/>
            <w:tcBorders>
              <w:left w:val="nil"/>
              <w:bottom w:val="single" w:sz="8" w:space="0" w:color="BFBFBF"/>
              <w:right w:val="single" w:sz="8" w:space="0" w:color="BFBFBF"/>
            </w:tcBorders>
            <w:vAlign w:val="center"/>
          </w:tcPr>
          <w:p w14:paraId="7A87B0D0" w14:textId="1C3780C8" w:rsidR="00EE23F8" w:rsidRPr="00282CDB" w:rsidRDefault="00EE23F8"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i/>
                <w:noProof/>
                <w:color w:val="003399" w:themeColor="text2"/>
              </w:rPr>
            </w:pPr>
            <w:r w:rsidRPr="00282CDB">
              <w:rPr>
                <w:i/>
                <w:noProof/>
                <w:color w:val="003399" w:themeColor="text2"/>
              </w:rPr>
              <w:t>0.0</w:t>
            </w:r>
          </w:p>
        </w:tc>
        <w:tc>
          <w:tcPr>
            <w:tcW w:w="530" w:type="pct"/>
            <w:tcBorders>
              <w:top w:val="nil"/>
              <w:left w:val="nil"/>
              <w:bottom w:val="single" w:sz="8" w:space="0" w:color="BFBFBF"/>
              <w:right w:val="single" w:sz="8" w:space="0" w:color="BFBFBF"/>
            </w:tcBorders>
            <w:vAlign w:val="center"/>
          </w:tcPr>
          <w:p w14:paraId="4B2F5C3F" w14:textId="56CDF79F" w:rsidR="00EE23F8" w:rsidRPr="00282CDB" w:rsidRDefault="00EE23F8"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b/>
                <w:i/>
                <w:noProof/>
                <w:sz w:val="22"/>
                <w:szCs w:val="22"/>
              </w:rPr>
            </w:pPr>
            <w:r w:rsidRPr="00282CDB">
              <w:rPr>
                <w:b/>
                <w:i/>
                <w:noProof/>
                <w:sz w:val="22"/>
                <w:szCs w:val="22"/>
              </w:rPr>
              <w:t>13.8</w:t>
            </w:r>
          </w:p>
        </w:tc>
      </w:tr>
    </w:tbl>
    <w:p w14:paraId="7DE43EE3" w14:textId="69EC2D2F" w:rsidR="00E50A59" w:rsidRPr="00F423B9" w:rsidRDefault="00E50A59" w:rsidP="00682537">
      <w:pPr>
        <w:rPr>
          <w:rFonts w:asciiTheme="majorHAnsi" w:hAnsiTheme="majorHAnsi"/>
          <w:i/>
          <w:noProof/>
          <w:sz w:val="16"/>
          <w:szCs w:val="16"/>
        </w:rPr>
      </w:pPr>
      <w:r w:rsidRPr="00F423B9">
        <w:rPr>
          <w:rFonts w:asciiTheme="majorHAnsi" w:hAnsiTheme="majorHAnsi"/>
          <w:i/>
          <w:noProof/>
          <w:sz w:val="16"/>
          <w:szCs w:val="16"/>
        </w:rPr>
        <w:t>*</w:t>
      </w:r>
      <w:r w:rsidR="00E44C08" w:rsidRPr="00F423B9">
        <w:rPr>
          <w:rFonts w:asciiTheme="majorHAnsi" w:hAnsiTheme="majorHAnsi"/>
          <w:i/>
          <w:noProof/>
          <w:sz w:val="16"/>
          <w:szCs w:val="16"/>
        </w:rPr>
        <w:t xml:space="preserve"> In line with the draft budget</w:t>
      </w:r>
      <w:r w:rsidR="0036110D" w:rsidRPr="00F423B9">
        <w:rPr>
          <w:rFonts w:asciiTheme="majorHAnsi" w:hAnsiTheme="majorHAnsi"/>
          <w:i/>
          <w:noProof/>
          <w:sz w:val="16"/>
          <w:szCs w:val="16"/>
        </w:rPr>
        <w:t xml:space="preserve"> for 202</w:t>
      </w:r>
      <w:r w:rsidR="00894B26">
        <w:rPr>
          <w:rFonts w:asciiTheme="majorHAnsi" w:hAnsiTheme="majorHAnsi"/>
          <w:i/>
          <w:noProof/>
          <w:sz w:val="16"/>
          <w:szCs w:val="16"/>
        </w:rPr>
        <w:t>7</w:t>
      </w:r>
      <w:r w:rsidR="008A0526">
        <w:rPr>
          <w:rFonts w:asciiTheme="majorHAnsi" w:hAnsiTheme="majorHAnsi"/>
          <w:i/>
          <w:noProof/>
          <w:sz w:val="16"/>
          <w:szCs w:val="16"/>
        </w:rPr>
        <w:t xml:space="preserve"> for year 2027</w:t>
      </w:r>
      <w:r w:rsidR="0036110D" w:rsidRPr="00F423B9">
        <w:rPr>
          <w:rFonts w:asciiTheme="majorHAnsi" w:hAnsiTheme="majorHAnsi"/>
          <w:i/>
          <w:noProof/>
          <w:sz w:val="16"/>
          <w:szCs w:val="16"/>
        </w:rPr>
        <w:t xml:space="preserve">, including the Ukraine Reserve allocation and </w:t>
      </w:r>
      <w:r w:rsidR="002C370A" w:rsidRPr="00F423B9">
        <w:rPr>
          <w:rFonts w:asciiTheme="majorHAnsi" w:hAnsiTheme="majorHAnsi"/>
          <w:i/>
          <w:noProof/>
          <w:sz w:val="16"/>
          <w:szCs w:val="16"/>
        </w:rPr>
        <w:t>appropriations stemming from</w:t>
      </w:r>
      <w:r w:rsidR="0036110D" w:rsidRPr="00F423B9">
        <w:rPr>
          <w:rFonts w:asciiTheme="majorHAnsi" w:hAnsiTheme="majorHAnsi"/>
          <w:i/>
          <w:noProof/>
          <w:sz w:val="16"/>
          <w:szCs w:val="16"/>
        </w:rPr>
        <w:t xml:space="preserve"> Article 5 </w:t>
      </w:r>
      <w:r w:rsidR="002C370A" w:rsidRPr="00F423B9">
        <w:rPr>
          <w:rFonts w:asciiTheme="majorHAnsi" w:hAnsiTheme="majorHAnsi"/>
          <w:i/>
          <w:noProof/>
          <w:sz w:val="16"/>
          <w:szCs w:val="16"/>
        </w:rPr>
        <w:t>of the MFF Regulation and Article 15(3) of the Financial Regulation and Article 15(3) of the Financial Regulation</w:t>
      </w:r>
      <w:r w:rsidR="0036110D" w:rsidRPr="00F423B9">
        <w:rPr>
          <w:rFonts w:asciiTheme="majorHAnsi" w:hAnsiTheme="majorHAnsi"/>
          <w:i/>
          <w:noProof/>
          <w:sz w:val="16"/>
          <w:szCs w:val="16"/>
        </w:rPr>
        <w:t>.</w:t>
      </w:r>
    </w:p>
    <w:p w14:paraId="1C8E939C" w14:textId="36EA2EE4" w:rsidR="0049492C" w:rsidRPr="00F423B9" w:rsidRDefault="0049492C" w:rsidP="00682537">
      <w:pPr>
        <w:rPr>
          <w:rFonts w:asciiTheme="majorHAnsi" w:hAnsiTheme="majorHAnsi"/>
          <w:i/>
          <w:noProof/>
          <w:sz w:val="16"/>
          <w:szCs w:val="16"/>
        </w:rPr>
      </w:pPr>
      <w:r w:rsidRPr="00F423B9">
        <w:rPr>
          <w:rFonts w:asciiTheme="majorHAnsi" w:hAnsiTheme="majorHAnsi"/>
          <w:i/>
          <w:noProof/>
          <w:sz w:val="16"/>
          <w:szCs w:val="16"/>
        </w:rPr>
        <w:t>**</w:t>
      </w:r>
      <w:r w:rsidR="001E4049" w:rsidRPr="00F423B9">
        <w:rPr>
          <w:rFonts w:asciiTheme="majorHAnsi" w:hAnsiTheme="majorHAnsi"/>
          <w:i/>
          <w:noProof/>
          <w:sz w:val="16"/>
          <w:szCs w:val="16"/>
        </w:rPr>
        <w:t xml:space="preserve"> The amounts for special instruments</w:t>
      </w:r>
      <w:r w:rsidR="00FA2C80">
        <w:rPr>
          <w:rFonts w:asciiTheme="majorHAnsi" w:hAnsiTheme="majorHAnsi"/>
          <w:i/>
          <w:noProof/>
          <w:sz w:val="16"/>
          <w:szCs w:val="16"/>
        </w:rPr>
        <w:t xml:space="preserve"> in 2027</w:t>
      </w:r>
      <w:r w:rsidR="001E4049" w:rsidRPr="00F423B9">
        <w:rPr>
          <w:rFonts w:asciiTheme="majorHAnsi" w:hAnsiTheme="majorHAnsi"/>
          <w:i/>
          <w:noProof/>
          <w:sz w:val="16"/>
          <w:szCs w:val="16"/>
        </w:rPr>
        <w:t xml:space="preserve"> cover the Solidarity and Emergency Aid Reserve, the European Globalisation Adjustment Fund, the Brexit Adjustment Reserve</w:t>
      </w:r>
      <w:r w:rsidR="001F011A" w:rsidRPr="00F423B9">
        <w:rPr>
          <w:rFonts w:asciiTheme="majorHAnsi" w:hAnsiTheme="majorHAnsi"/>
          <w:i/>
          <w:noProof/>
          <w:sz w:val="16"/>
          <w:szCs w:val="16"/>
        </w:rPr>
        <w:t>, the Ukraine Reserve,</w:t>
      </w:r>
      <w:r w:rsidR="00A824A7" w:rsidRPr="00F423B9">
        <w:rPr>
          <w:rFonts w:asciiTheme="majorHAnsi" w:hAnsiTheme="majorHAnsi"/>
          <w:i/>
          <w:noProof/>
          <w:sz w:val="16"/>
          <w:szCs w:val="16"/>
        </w:rPr>
        <w:t xml:space="preserve"> the EURI Instrument,</w:t>
      </w:r>
      <w:r w:rsidR="001E4049" w:rsidRPr="00F423B9">
        <w:rPr>
          <w:rFonts w:asciiTheme="majorHAnsi" w:hAnsiTheme="majorHAnsi"/>
          <w:i/>
          <w:noProof/>
          <w:sz w:val="16"/>
          <w:szCs w:val="16"/>
        </w:rPr>
        <w:t xml:space="preserve"> and the Flexibility Instrument. </w:t>
      </w:r>
      <w:r w:rsidR="00FA2C80">
        <w:rPr>
          <w:rFonts w:asciiTheme="majorHAnsi" w:hAnsiTheme="majorHAnsi"/>
          <w:i/>
          <w:noProof/>
          <w:sz w:val="16"/>
          <w:szCs w:val="16"/>
        </w:rPr>
        <w:t>For subsequent years, only the payments on outstanding commitments for the Flexibility Instrument and the Ukraine Reserve</w:t>
      </w:r>
      <w:r w:rsidR="00081986">
        <w:rPr>
          <w:rFonts w:asciiTheme="majorHAnsi" w:hAnsiTheme="majorHAnsi"/>
          <w:i/>
          <w:noProof/>
          <w:sz w:val="16"/>
          <w:szCs w:val="16"/>
        </w:rPr>
        <w:t xml:space="preserve">, including </w:t>
      </w:r>
      <w:r w:rsidR="002A0CC1">
        <w:rPr>
          <w:rFonts w:asciiTheme="majorHAnsi" w:hAnsiTheme="majorHAnsi"/>
          <w:i/>
          <w:noProof/>
          <w:sz w:val="16"/>
          <w:szCs w:val="16"/>
        </w:rPr>
        <w:t>for the Ukraine Support Loan debt service cost,</w:t>
      </w:r>
      <w:r w:rsidR="00FA2C80">
        <w:rPr>
          <w:rFonts w:asciiTheme="majorHAnsi" w:hAnsiTheme="majorHAnsi"/>
          <w:i/>
          <w:noProof/>
          <w:sz w:val="16"/>
          <w:szCs w:val="16"/>
        </w:rPr>
        <w:t xml:space="preserve"> are included. </w:t>
      </w:r>
      <w:r w:rsidR="001E4049" w:rsidRPr="00F423B9">
        <w:rPr>
          <w:rFonts w:asciiTheme="majorHAnsi" w:hAnsiTheme="majorHAnsi"/>
          <w:i/>
          <w:noProof/>
          <w:sz w:val="16"/>
          <w:szCs w:val="16"/>
        </w:rPr>
        <w:t xml:space="preserve">In the subsequent tables, the payments related to the mobilisations of </w:t>
      </w:r>
      <w:r w:rsidR="001C780C">
        <w:rPr>
          <w:rFonts w:asciiTheme="majorHAnsi" w:hAnsiTheme="majorHAnsi"/>
          <w:i/>
          <w:noProof/>
          <w:sz w:val="16"/>
          <w:szCs w:val="16"/>
        </w:rPr>
        <w:t>special instruments</w:t>
      </w:r>
      <w:r w:rsidR="001E4049" w:rsidRPr="00F423B9">
        <w:rPr>
          <w:rFonts w:asciiTheme="majorHAnsi" w:hAnsiTheme="majorHAnsi"/>
          <w:i/>
          <w:noProof/>
          <w:sz w:val="16"/>
          <w:szCs w:val="16"/>
        </w:rPr>
        <w:t xml:space="preserve"> are included within the respective headings</w:t>
      </w:r>
      <w:r w:rsidR="00A824A7" w:rsidRPr="00F423B9">
        <w:rPr>
          <w:rFonts w:asciiTheme="majorHAnsi" w:hAnsiTheme="majorHAnsi"/>
          <w:i/>
          <w:noProof/>
          <w:sz w:val="16"/>
          <w:szCs w:val="16"/>
        </w:rPr>
        <w:t>.</w:t>
      </w:r>
    </w:p>
    <w:p w14:paraId="79320A34" w14:textId="25530B46" w:rsidR="00861C1C" w:rsidRPr="00F423B9" w:rsidRDefault="003B6DC2" w:rsidP="00682537">
      <w:pPr>
        <w:rPr>
          <w:rFonts w:asciiTheme="majorHAnsi" w:hAnsiTheme="majorHAnsi"/>
          <w:noProof/>
        </w:rPr>
      </w:pPr>
      <w:r w:rsidRPr="00F423B9">
        <w:rPr>
          <w:rFonts w:asciiTheme="majorHAnsi" w:hAnsiTheme="majorHAnsi"/>
          <w:noProof/>
        </w:rPr>
        <w:br w:type="page"/>
      </w:r>
    </w:p>
    <w:p w14:paraId="0FBE5FFC" w14:textId="3DE49242" w:rsidR="00861C1C" w:rsidRPr="00F423B9" w:rsidRDefault="003B6DC2" w:rsidP="009C6708">
      <w:pPr>
        <w:pStyle w:val="Heading2"/>
        <w:rPr>
          <w:rFonts w:asciiTheme="majorHAnsi" w:hAnsiTheme="majorHAnsi"/>
          <w:noProof/>
        </w:rPr>
      </w:pPr>
      <w:bookmarkStart w:id="81" w:name="_Toc233958947"/>
      <w:r w:rsidRPr="00F423B9">
        <w:rPr>
          <w:rFonts w:asciiTheme="majorHAnsi" w:hAnsiTheme="majorHAnsi"/>
          <w:noProof/>
        </w:rPr>
        <w:t xml:space="preserve">Table </w:t>
      </w:r>
      <w:r w:rsidR="00334655" w:rsidRPr="00F423B9">
        <w:rPr>
          <w:rFonts w:asciiTheme="majorHAnsi" w:hAnsiTheme="majorHAnsi"/>
          <w:noProof/>
        </w:rPr>
        <w:t>1</w:t>
      </w:r>
      <w:r w:rsidRPr="00F423B9">
        <w:rPr>
          <w:rFonts w:asciiTheme="majorHAnsi" w:hAnsiTheme="majorHAnsi"/>
          <w:noProof/>
        </w:rPr>
        <w:t>.2 – Payments in relation to the commitments of the 20</w:t>
      </w:r>
      <w:r w:rsidR="007A66F5">
        <w:rPr>
          <w:rFonts w:asciiTheme="majorHAnsi" w:hAnsiTheme="majorHAnsi"/>
          <w:noProof/>
        </w:rPr>
        <w:t>21</w:t>
      </w:r>
      <w:r w:rsidRPr="00F423B9">
        <w:rPr>
          <w:rFonts w:asciiTheme="majorHAnsi" w:hAnsiTheme="majorHAnsi"/>
          <w:noProof/>
        </w:rPr>
        <w:t>-20</w:t>
      </w:r>
      <w:r w:rsidR="007A66F5">
        <w:rPr>
          <w:rFonts w:asciiTheme="majorHAnsi" w:hAnsiTheme="majorHAnsi"/>
          <w:noProof/>
        </w:rPr>
        <w:t>27</w:t>
      </w:r>
      <w:r w:rsidRPr="00F423B9">
        <w:rPr>
          <w:rFonts w:asciiTheme="majorHAnsi" w:hAnsiTheme="majorHAnsi"/>
          <w:noProof/>
        </w:rPr>
        <w:t xml:space="preserve"> MFF</w:t>
      </w:r>
      <w:bookmarkEnd w:id="81"/>
    </w:p>
    <w:tbl>
      <w:tblPr>
        <w:tblStyle w:val="AMPR2021"/>
        <w:tblW w:w="5000" w:type="pct"/>
        <w:tblBorders>
          <w:top w:val="none" w:sz="0" w:space="0" w:color="auto"/>
          <w:bottom w:val="none" w:sz="0" w:space="0" w:color="auto"/>
          <w:insideH w:val="single" w:sz="6" w:space="0" w:color="BFBFBF" w:themeColor="background1" w:themeShade="BF"/>
          <w:insideV w:val="single" w:sz="6" w:space="0" w:color="BFBFBF" w:themeColor="background1" w:themeShade="BF"/>
        </w:tblBorders>
        <w:tblCellMar>
          <w:left w:w="85" w:type="dxa"/>
        </w:tblCellMar>
        <w:tblLook w:val="06A0" w:firstRow="1" w:lastRow="0" w:firstColumn="1" w:lastColumn="0" w:noHBand="1" w:noVBand="1"/>
      </w:tblPr>
      <w:tblGrid>
        <w:gridCol w:w="2744"/>
        <w:gridCol w:w="881"/>
        <w:gridCol w:w="882"/>
        <w:gridCol w:w="882"/>
        <w:gridCol w:w="882"/>
        <w:gridCol w:w="882"/>
        <w:gridCol w:w="882"/>
        <w:gridCol w:w="882"/>
        <w:gridCol w:w="880"/>
      </w:tblGrid>
      <w:tr w:rsidR="00586721" w:rsidRPr="00F423B9" w14:paraId="1CF6F3CB" w14:textId="77777777" w:rsidTr="005C046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01" w:type="pct"/>
          </w:tcPr>
          <w:p w14:paraId="1574FA07" w14:textId="77777777" w:rsidR="007A66F5" w:rsidRPr="00F423B9" w:rsidRDefault="007A66F5" w:rsidP="00EC5FD9">
            <w:pPr>
              <w:spacing w:after="120"/>
              <w:rPr>
                <w:rFonts w:asciiTheme="majorHAnsi" w:eastAsia="Calibri" w:hAnsiTheme="majorHAnsi"/>
                <w:b w:val="0"/>
                <w:bCs/>
                <w:noProof/>
                <w:sz w:val="22"/>
                <w:szCs w:val="22"/>
              </w:rPr>
            </w:pPr>
            <w:r w:rsidRPr="00F423B9">
              <w:rPr>
                <w:rFonts w:asciiTheme="majorHAnsi" w:eastAsia="Calibri" w:hAnsiTheme="majorHAnsi"/>
                <w:noProof/>
                <w:sz w:val="22"/>
                <w:szCs w:val="22"/>
              </w:rPr>
              <w:t>MFF Heading</w:t>
            </w:r>
          </w:p>
        </w:tc>
        <w:tc>
          <w:tcPr>
            <w:tcW w:w="450" w:type="pct"/>
            <w:vAlign w:val="center"/>
          </w:tcPr>
          <w:p w14:paraId="7FBCCDB7" w14:textId="0243364A" w:rsidR="007A66F5" w:rsidRPr="00F423B9" w:rsidRDefault="007A66F5" w:rsidP="00EC5FD9">
            <w:pPr>
              <w:spacing w:after="120"/>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 w:val="0"/>
                <w:bCs/>
                <w:noProof/>
                <w:sz w:val="22"/>
                <w:szCs w:val="22"/>
              </w:rPr>
            </w:pPr>
            <w:r w:rsidRPr="00F423B9">
              <w:rPr>
                <w:rFonts w:asciiTheme="majorHAnsi" w:eastAsia="Calibri" w:hAnsiTheme="majorHAnsi"/>
                <w:noProof/>
                <w:sz w:val="22"/>
                <w:szCs w:val="22"/>
              </w:rPr>
              <w:t>202</w:t>
            </w:r>
            <w:r>
              <w:rPr>
                <w:rFonts w:asciiTheme="majorHAnsi" w:eastAsia="Calibri" w:hAnsiTheme="majorHAnsi"/>
                <w:noProof/>
                <w:sz w:val="22"/>
                <w:szCs w:val="22"/>
              </w:rPr>
              <w:t>7</w:t>
            </w:r>
          </w:p>
        </w:tc>
        <w:tc>
          <w:tcPr>
            <w:tcW w:w="450" w:type="pct"/>
            <w:vAlign w:val="center"/>
          </w:tcPr>
          <w:p w14:paraId="092CD79A" w14:textId="678653E7" w:rsidR="007A66F5" w:rsidRPr="00F423B9" w:rsidRDefault="007A66F5" w:rsidP="00EC5FD9">
            <w:pPr>
              <w:spacing w:after="120"/>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 w:val="0"/>
                <w:bCs/>
                <w:noProof/>
                <w:sz w:val="22"/>
                <w:szCs w:val="22"/>
              </w:rPr>
            </w:pPr>
            <w:r w:rsidRPr="00F423B9">
              <w:rPr>
                <w:rFonts w:asciiTheme="majorHAnsi" w:eastAsia="Calibri" w:hAnsiTheme="majorHAnsi"/>
                <w:noProof/>
                <w:sz w:val="22"/>
                <w:szCs w:val="22"/>
              </w:rPr>
              <w:t>202</w:t>
            </w:r>
            <w:r>
              <w:rPr>
                <w:rFonts w:asciiTheme="majorHAnsi" w:eastAsia="Calibri" w:hAnsiTheme="majorHAnsi"/>
                <w:noProof/>
                <w:sz w:val="22"/>
                <w:szCs w:val="22"/>
              </w:rPr>
              <w:t>8</w:t>
            </w:r>
          </w:p>
        </w:tc>
        <w:tc>
          <w:tcPr>
            <w:tcW w:w="450" w:type="pct"/>
            <w:vAlign w:val="center"/>
          </w:tcPr>
          <w:p w14:paraId="1857D4A3" w14:textId="274DA667" w:rsidR="007A66F5" w:rsidRPr="00F423B9" w:rsidRDefault="007A66F5" w:rsidP="00EC5FD9">
            <w:pPr>
              <w:spacing w:after="120"/>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 w:val="0"/>
                <w:bCs/>
                <w:noProof/>
                <w:sz w:val="22"/>
                <w:szCs w:val="22"/>
              </w:rPr>
            </w:pPr>
            <w:r w:rsidRPr="00F423B9">
              <w:rPr>
                <w:rFonts w:asciiTheme="majorHAnsi" w:eastAsia="Calibri" w:hAnsiTheme="majorHAnsi"/>
                <w:noProof/>
                <w:sz w:val="22"/>
                <w:szCs w:val="22"/>
              </w:rPr>
              <w:t>202</w:t>
            </w:r>
            <w:r>
              <w:rPr>
                <w:rFonts w:asciiTheme="majorHAnsi" w:eastAsia="Calibri" w:hAnsiTheme="majorHAnsi"/>
                <w:noProof/>
                <w:sz w:val="22"/>
                <w:szCs w:val="22"/>
              </w:rPr>
              <w:t>9</w:t>
            </w:r>
          </w:p>
        </w:tc>
        <w:tc>
          <w:tcPr>
            <w:tcW w:w="450" w:type="pct"/>
            <w:vAlign w:val="center"/>
          </w:tcPr>
          <w:p w14:paraId="156891D6" w14:textId="68F593F5" w:rsidR="007A66F5" w:rsidRPr="00F423B9" w:rsidRDefault="007A66F5" w:rsidP="00EC5FD9">
            <w:pPr>
              <w:spacing w:after="120"/>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noProof/>
                <w:sz w:val="22"/>
                <w:szCs w:val="22"/>
              </w:rPr>
            </w:pPr>
            <w:r w:rsidRPr="00F423B9">
              <w:rPr>
                <w:rFonts w:asciiTheme="majorHAnsi" w:eastAsia="Calibri" w:hAnsiTheme="majorHAnsi"/>
                <w:noProof/>
                <w:sz w:val="22"/>
                <w:szCs w:val="22"/>
              </w:rPr>
              <w:t>20</w:t>
            </w:r>
            <w:r>
              <w:rPr>
                <w:rFonts w:asciiTheme="majorHAnsi" w:eastAsia="Calibri" w:hAnsiTheme="majorHAnsi"/>
                <w:noProof/>
                <w:sz w:val="22"/>
                <w:szCs w:val="22"/>
              </w:rPr>
              <w:t>30</w:t>
            </w:r>
          </w:p>
        </w:tc>
        <w:tc>
          <w:tcPr>
            <w:tcW w:w="450" w:type="pct"/>
            <w:vAlign w:val="center"/>
          </w:tcPr>
          <w:p w14:paraId="0AA8455E" w14:textId="6A87CCF1" w:rsidR="007A66F5" w:rsidRPr="00F423B9" w:rsidRDefault="007A66F5" w:rsidP="00EC5FD9">
            <w:pPr>
              <w:spacing w:after="120"/>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noProof/>
                <w:sz w:val="22"/>
                <w:szCs w:val="22"/>
              </w:rPr>
            </w:pPr>
            <w:r>
              <w:rPr>
                <w:rFonts w:asciiTheme="majorHAnsi" w:eastAsia="Calibri" w:hAnsiTheme="majorHAnsi"/>
                <w:noProof/>
                <w:sz w:val="22"/>
                <w:szCs w:val="22"/>
              </w:rPr>
              <w:t>2031</w:t>
            </w:r>
          </w:p>
        </w:tc>
        <w:tc>
          <w:tcPr>
            <w:tcW w:w="450" w:type="pct"/>
            <w:vAlign w:val="center"/>
          </w:tcPr>
          <w:p w14:paraId="2AEEFDBF" w14:textId="4E9D3307" w:rsidR="007A66F5" w:rsidRPr="00F423B9" w:rsidRDefault="007A66F5" w:rsidP="00EC5FD9">
            <w:pPr>
              <w:spacing w:after="120"/>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noProof/>
                <w:sz w:val="22"/>
                <w:szCs w:val="22"/>
              </w:rPr>
            </w:pPr>
            <w:r>
              <w:rPr>
                <w:rFonts w:asciiTheme="majorHAnsi" w:eastAsia="Calibri" w:hAnsiTheme="majorHAnsi"/>
                <w:noProof/>
                <w:sz w:val="22"/>
                <w:szCs w:val="22"/>
              </w:rPr>
              <w:t>2032</w:t>
            </w:r>
          </w:p>
        </w:tc>
        <w:tc>
          <w:tcPr>
            <w:tcW w:w="450" w:type="pct"/>
            <w:vAlign w:val="center"/>
          </w:tcPr>
          <w:p w14:paraId="6F555AF4" w14:textId="10FCDE71" w:rsidR="007A66F5" w:rsidRPr="00F423B9" w:rsidRDefault="007A66F5" w:rsidP="00EC5FD9">
            <w:pPr>
              <w:spacing w:after="120"/>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noProof/>
                <w:sz w:val="22"/>
                <w:szCs w:val="22"/>
              </w:rPr>
            </w:pPr>
            <w:r>
              <w:rPr>
                <w:rFonts w:asciiTheme="majorHAnsi" w:eastAsia="Calibri" w:hAnsiTheme="majorHAnsi"/>
                <w:noProof/>
                <w:sz w:val="22"/>
                <w:szCs w:val="22"/>
              </w:rPr>
              <w:t>2033</w:t>
            </w:r>
          </w:p>
        </w:tc>
        <w:tc>
          <w:tcPr>
            <w:tcW w:w="449" w:type="pct"/>
            <w:vAlign w:val="center"/>
          </w:tcPr>
          <w:p w14:paraId="7C8532B3" w14:textId="3B48B505" w:rsidR="007A66F5" w:rsidRPr="00F423B9" w:rsidRDefault="007A66F5" w:rsidP="00EC5FD9">
            <w:pPr>
              <w:spacing w:after="120"/>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 w:val="0"/>
                <w:bCs/>
                <w:noProof/>
                <w:sz w:val="22"/>
                <w:szCs w:val="22"/>
              </w:rPr>
            </w:pPr>
            <w:r w:rsidRPr="00F423B9">
              <w:rPr>
                <w:rFonts w:asciiTheme="majorHAnsi" w:eastAsia="Calibri" w:hAnsiTheme="majorHAnsi"/>
                <w:noProof/>
                <w:sz w:val="22"/>
                <w:szCs w:val="22"/>
              </w:rPr>
              <w:t>Total</w:t>
            </w:r>
          </w:p>
        </w:tc>
      </w:tr>
      <w:tr w:rsidR="00871143" w:rsidRPr="00F423B9" w14:paraId="06E36101" w14:textId="77777777" w:rsidTr="009960E0">
        <w:trPr>
          <w:trHeight w:val="300"/>
        </w:trPr>
        <w:tc>
          <w:tcPr>
            <w:cnfStyle w:val="001000000000" w:firstRow="0" w:lastRow="0" w:firstColumn="1" w:lastColumn="0" w:oddVBand="0" w:evenVBand="0" w:oddHBand="0" w:evenHBand="0" w:firstRowFirstColumn="0" w:firstRowLastColumn="0" w:lastRowFirstColumn="0" w:lastRowLastColumn="0"/>
            <w:tcW w:w="1401" w:type="pct"/>
          </w:tcPr>
          <w:p w14:paraId="48F3627A" w14:textId="77777777" w:rsidR="007A66F5" w:rsidRPr="00F423B9" w:rsidRDefault="007A66F5" w:rsidP="00EE3626">
            <w:pPr>
              <w:spacing w:after="120"/>
              <w:rPr>
                <w:rFonts w:asciiTheme="majorHAnsi" w:eastAsia="Calibri" w:hAnsiTheme="majorHAnsi"/>
                <w:bCs/>
                <w:noProof/>
                <w:color w:val="003399" w:themeColor="text2"/>
                <w:sz w:val="22"/>
                <w:szCs w:val="22"/>
              </w:rPr>
            </w:pPr>
            <w:r w:rsidRPr="00F423B9">
              <w:rPr>
                <w:rFonts w:asciiTheme="majorHAnsi" w:eastAsia="Calibri" w:hAnsiTheme="majorHAnsi"/>
                <w:bCs/>
                <w:noProof/>
                <w:color w:val="003399" w:themeColor="text2"/>
                <w:sz w:val="22"/>
                <w:szCs w:val="22"/>
              </w:rPr>
              <w:t>1 Single Market, Innovation and Digital</w:t>
            </w:r>
          </w:p>
        </w:tc>
        <w:tc>
          <w:tcPr>
            <w:tcW w:w="450" w:type="pct"/>
            <w:tcBorders>
              <w:top w:val="single" w:sz="8" w:space="0" w:color="BFBFBF"/>
              <w:left w:val="nil"/>
              <w:bottom w:val="single" w:sz="8" w:space="0" w:color="BFBFBF"/>
              <w:right w:val="single" w:sz="8" w:space="0" w:color="BFBFBF"/>
            </w:tcBorders>
            <w:vAlign w:val="center"/>
          </w:tcPr>
          <w:p w14:paraId="32DE1894" w14:textId="0187C2B7"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b/>
                <w:noProof/>
                <w:color w:val="003399" w:themeColor="text2"/>
              </w:rPr>
              <w:t>22.1</w:t>
            </w:r>
          </w:p>
        </w:tc>
        <w:tc>
          <w:tcPr>
            <w:tcW w:w="450" w:type="pct"/>
            <w:tcBorders>
              <w:top w:val="single" w:sz="8" w:space="0" w:color="BFBFBF"/>
              <w:left w:val="nil"/>
              <w:bottom w:val="single" w:sz="8" w:space="0" w:color="BFBFBF"/>
              <w:right w:val="single" w:sz="8" w:space="0" w:color="BFBFBF"/>
            </w:tcBorders>
            <w:vAlign w:val="center"/>
          </w:tcPr>
          <w:p w14:paraId="0D61A1C9" w14:textId="6C97E0AC"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b/>
                <w:noProof/>
                <w:color w:val="003399" w:themeColor="text2"/>
              </w:rPr>
              <w:t>16.5</w:t>
            </w:r>
          </w:p>
        </w:tc>
        <w:tc>
          <w:tcPr>
            <w:tcW w:w="450" w:type="pct"/>
            <w:tcBorders>
              <w:top w:val="single" w:sz="8" w:space="0" w:color="BFBFBF"/>
              <w:left w:val="nil"/>
              <w:bottom w:val="single" w:sz="8" w:space="0" w:color="BFBFBF"/>
              <w:right w:val="single" w:sz="8" w:space="0" w:color="BFBFBF"/>
            </w:tcBorders>
            <w:vAlign w:val="center"/>
          </w:tcPr>
          <w:p w14:paraId="75886273" w14:textId="19931E99"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b/>
                <w:noProof/>
                <w:color w:val="003399" w:themeColor="text2"/>
              </w:rPr>
              <w:t>8.3</w:t>
            </w:r>
          </w:p>
        </w:tc>
        <w:tc>
          <w:tcPr>
            <w:tcW w:w="450" w:type="pct"/>
            <w:tcBorders>
              <w:top w:val="single" w:sz="8" w:space="0" w:color="BFBFBF"/>
              <w:left w:val="nil"/>
              <w:bottom w:val="single" w:sz="8" w:space="0" w:color="BFBFBF"/>
              <w:right w:val="single" w:sz="8" w:space="0" w:color="BFBFBF"/>
            </w:tcBorders>
            <w:vAlign w:val="center"/>
          </w:tcPr>
          <w:p w14:paraId="4848F78B" w14:textId="3C098DA7"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282CDB">
              <w:rPr>
                <w:rFonts w:asciiTheme="minorHAnsi" w:hAnsiTheme="minorHAnsi"/>
                <w:b/>
                <w:noProof/>
                <w:color w:val="003399" w:themeColor="text2"/>
              </w:rPr>
              <w:t>6.5</w:t>
            </w:r>
          </w:p>
        </w:tc>
        <w:tc>
          <w:tcPr>
            <w:tcW w:w="450" w:type="pct"/>
            <w:tcBorders>
              <w:top w:val="single" w:sz="8" w:space="0" w:color="BFBFBF"/>
              <w:left w:val="nil"/>
              <w:bottom w:val="single" w:sz="8" w:space="0" w:color="BFBFBF"/>
              <w:right w:val="single" w:sz="8" w:space="0" w:color="BFBFBF"/>
            </w:tcBorders>
            <w:vAlign w:val="center"/>
          </w:tcPr>
          <w:p w14:paraId="22679B3C" w14:textId="558C10BD"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b/>
                <w:noProof/>
                <w:color w:val="003399" w:themeColor="text2"/>
              </w:rPr>
              <w:t>3.1</w:t>
            </w:r>
          </w:p>
        </w:tc>
        <w:tc>
          <w:tcPr>
            <w:tcW w:w="450" w:type="pct"/>
            <w:tcBorders>
              <w:top w:val="single" w:sz="8" w:space="0" w:color="BFBFBF"/>
              <w:left w:val="nil"/>
              <w:bottom w:val="single" w:sz="8" w:space="0" w:color="BFBFBF"/>
              <w:right w:val="single" w:sz="8" w:space="0" w:color="BFBFBF"/>
            </w:tcBorders>
            <w:vAlign w:val="center"/>
          </w:tcPr>
          <w:p w14:paraId="3001A67F" w14:textId="796B1107"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b/>
                <w:noProof/>
                <w:color w:val="003399" w:themeColor="text2"/>
              </w:rPr>
              <w:t>3.5</w:t>
            </w:r>
          </w:p>
        </w:tc>
        <w:tc>
          <w:tcPr>
            <w:tcW w:w="450" w:type="pct"/>
            <w:tcBorders>
              <w:top w:val="single" w:sz="8" w:space="0" w:color="BFBFBF"/>
              <w:left w:val="nil"/>
              <w:bottom w:val="single" w:sz="8" w:space="0" w:color="BFBFBF"/>
              <w:right w:val="single" w:sz="8" w:space="0" w:color="BFBFBF"/>
            </w:tcBorders>
            <w:vAlign w:val="center"/>
          </w:tcPr>
          <w:p w14:paraId="3C8D1B1D" w14:textId="1B7928BD"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b/>
                <w:noProof/>
                <w:color w:val="003399" w:themeColor="text2"/>
              </w:rPr>
              <w:t>1.5</w:t>
            </w:r>
          </w:p>
        </w:tc>
        <w:tc>
          <w:tcPr>
            <w:tcW w:w="449" w:type="pct"/>
            <w:tcBorders>
              <w:top w:val="single" w:sz="8" w:space="0" w:color="BFBFBF"/>
              <w:left w:val="nil"/>
              <w:bottom w:val="single" w:sz="8" w:space="0" w:color="BFBFBF"/>
              <w:right w:val="nil"/>
            </w:tcBorders>
            <w:vAlign w:val="center"/>
          </w:tcPr>
          <w:p w14:paraId="0C35CC18" w14:textId="121CA36B" w:rsidR="007A66F5" w:rsidRPr="00EA5E58"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EA5E58">
              <w:rPr>
                <w:b/>
                <w:noProof/>
                <w:color w:val="000000" w:themeColor="text1"/>
                <w:sz w:val="22"/>
                <w:szCs w:val="22"/>
              </w:rPr>
              <w:t>61.5</w:t>
            </w:r>
          </w:p>
        </w:tc>
      </w:tr>
      <w:tr w:rsidR="00871143" w:rsidRPr="00F423B9" w14:paraId="47854F47" w14:textId="77777777" w:rsidTr="00DF4BE1">
        <w:trPr>
          <w:trHeight w:val="300"/>
        </w:trPr>
        <w:tc>
          <w:tcPr>
            <w:cnfStyle w:val="001000000000" w:firstRow="0" w:lastRow="0" w:firstColumn="1" w:lastColumn="0" w:oddVBand="0" w:evenVBand="0" w:oddHBand="0" w:evenHBand="0" w:firstRowFirstColumn="0" w:firstRowLastColumn="0" w:lastRowFirstColumn="0" w:lastRowLastColumn="0"/>
            <w:tcW w:w="1401" w:type="pct"/>
            <w:shd w:val="clear" w:color="auto" w:fill="F3F7FF" w:themeFill="background2"/>
          </w:tcPr>
          <w:p w14:paraId="5C0D2440" w14:textId="77777777" w:rsidR="007A66F5" w:rsidRPr="00F423B9" w:rsidRDefault="007A66F5" w:rsidP="00D212B3">
            <w:pPr>
              <w:spacing w:after="120"/>
              <w:rPr>
                <w:rFonts w:asciiTheme="majorHAnsi" w:eastAsia="Calibri" w:hAnsiTheme="majorHAnsi"/>
                <w:bCs/>
                <w:noProof/>
                <w:color w:val="003399" w:themeColor="text2"/>
                <w:sz w:val="22"/>
                <w:szCs w:val="22"/>
              </w:rPr>
            </w:pPr>
            <w:r w:rsidRPr="00F423B9">
              <w:rPr>
                <w:rFonts w:asciiTheme="majorHAnsi" w:eastAsia="Calibri" w:hAnsiTheme="majorHAnsi"/>
                <w:bCs/>
                <w:noProof/>
                <w:color w:val="003399" w:themeColor="text2"/>
                <w:sz w:val="22"/>
                <w:szCs w:val="22"/>
              </w:rPr>
              <w:t>2 Cohesion, Resilience and Values</w:t>
            </w:r>
          </w:p>
        </w:tc>
        <w:tc>
          <w:tcPr>
            <w:tcW w:w="450" w:type="pct"/>
            <w:tcBorders>
              <w:top w:val="nil"/>
              <w:left w:val="nil"/>
              <w:bottom w:val="single" w:sz="8" w:space="0" w:color="BFBFBF"/>
              <w:right w:val="single" w:sz="8" w:space="0" w:color="BFBFBF"/>
            </w:tcBorders>
            <w:shd w:val="clear" w:color="auto" w:fill="F3F7FF" w:themeFill="background2"/>
            <w:vAlign w:val="center"/>
          </w:tcPr>
          <w:p w14:paraId="11D7BA19" w14:textId="310F7C58"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b/>
                <w:noProof/>
                <w:color w:val="003399" w:themeColor="text2"/>
              </w:rPr>
              <w:t>81.8</w:t>
            </w:r>
          </w:p>
        </w:tc>
        <w:tc>
          <w:tcPr>
            <w:tcW w:w="450" w:type="pct"/>
            <w:tcBorders>
              <w:top w:val="nil"/>
              <w:left w:val="nil"/>
              <w:bottom w:val="single" w:sz="8" w:space="0" w:color="BFBFBF"/>
              <w:right w:val="single" w:sz="8" w:space="0" w:color="BFBFBF"/>
            </w:tcBorders>
            <w:shd w:val="clear" w:color="auto" w:fill="F3F7FF" w:themeFill="background2"/>
            <w:vAlign w:val="center"/>
          </w:tcPr>
          <w:p w14:paraId="1C0B0C47" w14:textId="6FB601A8"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b/>
                <w:noProof/>
                <w:color w:val="003399" w:themeColor="text2"/>
              </w:rPr>
              <w:t>69.0</w:t>
            </w:r>
          </w:p>
        </w:tc>
        <w:tc>
          <w:tcPr>
            <w:tcW w:w="450" w:type="pct"/>
            <w:tcBorders>
              <w:top w:val="nil"/>
              <w:left w:val="nil"/>
              <w:bottom w:val="single" w:sz="8" w:space="0" w:color="BFBFBF"/>
              <w:right w:val="single" w:sz="8" w:space="0" w:color="BFBFBF"/>
            </w:tcBorders>
            <w:shd w:val="clear" w:color="auto" w:fill="F3F7FF" w:themeFill="background2"/>
            <w:vAlign w:val="center"/>
          </w:tcPr>
          <w:p w14:paraId="6EE2C64C" w14:textId="346A764E"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b/>
                <w:noProof/>
                <w:color w:val="003399" w:themeColor="text2"/>
              </w:rPr>
              <w:t>57.9</w:t>
            </w:r>
          </w:p>
        </w:tc>
        <w:tc>
          <w:tcPr>
            <w:tcW w:w="450" w:type="pct"/>
            <w:tcBorders>
              <w:top w:val="nil"/>
              <w:left w:val="nil"/>
              <w:bottom w:val="single" w:sz="8" w:space="0" w:color="BFBFBF"/>
              <w:right w:val="single" w:sz="8" w:space="0" w:color="BFBFBF"/>
            </w:tcBorders>
            <w:shd w:val="clear" w:color="auto" w:fill="F3F7FF" w:themeFill="background2"/>
            <w:vAlign w:val="center"/>
          </w:tcPr>
          <w:p w14:paraId="137F418C" w14:textId="734953F1"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282CDB">
              <w:rPr>
                <w:rFonts w:asciiTheme="minorHAnsi" w:hAnsiTheme="minorHAnsi"/>
                <w:b/>
                <w:noProof/>
                <w:color w:val="003399" w:themeColor="text2"/>
              </w:rPr>
              <w:t>53.4</w:t>
            </w:r>
          </w:p>
        </w:tc>
        <w:tc>
          <w:tcPr>
            <w:tcW w:w="450" w:type="pct"/>
            <w:tcBorders>
              <w:top w:val="nil"/>
              <w:left w:val="nil"/>
              <w:bottom w:val="single" w:sz="8" w:space="0" w:color="BFBFBF"/>
              <w:right w:val="single" w:sz="8" w:space="0" w:color="BFBFBF"/>
            </w:tcBorders>
            <w:shd w:val="clear" w:color="auto" w:fill="F3F7FF" w:themeFill="background2"/>
            <w:vAlign w:val="center"/>
          </w:tcPr>
          <w:p w14:paraId="16926FBC" w14:textId="5F263AF0"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b/>
                <w:noProof/>
                <w:color w:val="003399" w:themeColor="text2"/>
              </w:rPr>
              <w:t>5.1</w:t>
            </w:r>
          </w:p>
        </w:tc>
        <w:tc>
          <w:tcPr>
            <w:tcW w:w="450" w:type="pct"/>
            <w:tcBorders>
              <w:top w:val="nil"/>
              <w:left w:val="nil"/>
              <w:bottom w:val="single" w:sz="8" w:space="0" w:color="BFBFBF"/>
              <w:right w:val="single" w:sz="8" w:space="0" w:color="BFBFBF"/>
            </w:tcBorders>
            <w:shd w:val="clear" w:color="auto" w:fill="F3F7FF" w:themeFill="background2"/>
            <w:vAlign w:val="center"/>
          </w:tcPr>
          <w:p w14:paraId="47150BAB" w14:textId="58AFE2BA"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b/>
                <w:noProof/>
                <w:color w:val="003399" w:themeColor="text2"/>
              </w:rPr>
              <w:t>0.9</w:t>
            </w:r>
          </w:p>
        </w:tc>
        <w:tc>
          <w:tcPr>
            <w:tcW w:w="450" w:type="pct"/>
            <w:tcBorders>
              <w:top w:val="nil"/>
              <w:left w:val="nil"/>
              <w:bottom w:val="single" w:sz="8" w:space="0" w:color="BFBFBF"/>
              <w:right w:val="single" w:sz="8" w:space="0" w:color="BFBFBF"/>
            </w:tcBorders>
            <w:shd w:val="clear" w:color="auto" w:fill="F3F7FF" w:themeFill="background2"/>
            <w:vAlign w:val="center"/>
          </w:tcPr>
          <w:p w14:paraId="2B3B9F95" w14:textId="6E99D5BB"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b/>
                <w:noProof/>
                <w:color w:val="003399" w:themeColor="text2"/>
              </w:rPr>
              <w:t>0.4</w:t>
            </w:r>
          </w:p>
        </w:tc>
        <w:tc>
          <w:tcPr>
            <w:tcW w:w="449" w:type="pct"/>
            <w:tcBorders>
              <w:top w:val="nil"/>
              <w:left w:val="nil"/>
              <w:bottom w:val="single" w:sz="8" w:space="0" w:color="BFBFBF"/>
              <w:right w:val="nil"/>
            </w:tcBorders>
            <w:shd w:val="clear" w:color="auto" w:fill="F3F7FF" w:themeFill="background2"/>
            <w:vAlign w:val="center"/>
          </w:tcPr>
          <w:p w14:paraId="0CDE4EE5" w14:textId="1EA950CF" w:rsidR="007A66F5" w:rsidRPr="00EA5E58"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EA5E58">
              <w:rPr>
                <w:b/>
                <w:noProof/>
                <w:color w:val="000000" w:themeColor="text1"/>
                <w:sz w:val="22"/>
                <w:szCs w:val="22"/>
              </w:rPr>
              <w:t>268.5</w:t>
            </w:r>
          </w:p>
        </w:tc>
      </w:tr>
      <w:tr w:rsidR="00871143" w:rsidRPr="00F423B9" w14:paraId="0D40747B" w14:textId="77777777" w:rsidTr="00DF4BE1">
        <w:trPr>
          <w:trHeight w:val="300"/>
        </w:trPr>
        <w:tc>
          <w:tcPr>
            <w:cnfStyle w:val="001000000000" w:firstRow="0" w:lastRow="0" w:firstColumn="1" w:lastColumn="0" w:oddVBand="0" w:evenVBand="0" w:oddHBand="0" w:evenHBand="0" w:firstRowFirstColumn="0" w:firstRowLastColumn="0" w:lastRowFirstColumn="0" w:lastRowLastColumn="0"/>
            <w:tcW w:w="1401" w:type="pct"/>
            <w:shd w:val="clear" w:color="auto" w:fill="F3F7FF" w:themeFill="background2"/>
          </w:tcPr>
          <w:p w14:paraId="603F3773" w14:textId="77777777" w:rsidR="007A66F5" w:rsidRPr="00F423B9" w:rsidRDefault="007A66F5" w:rsidP="00D16649">
            <w:pPr>
              <w:spacing w:after="120"/>
              <w:ind w:left="170"/>
              <w:rPr>
                <w:rFonts w:asciiTheme="majorHAnsi" w:eastAsia="Calibri" w:hAnsiTheme="majorHAnsi"/>
                <w:b w:val="0"/>
                <w:bCs/>
                <w:noProof/>
                <w:color w:val="003399" w:themeColor="text2"/>
                <w:sz w:val="22"/>
                <w:szCs w:val="22"/>
              </w:rPr>
            </w:pPr>
            <w:r w:rsidRPr="00F423B9">
              <w:rPr>
                <w:rFonts w:asciiTheme="majorHAnsi" w:eastAsia="Calibri" w:hAnsiTheme="majorHAnsi"/>
                <w:b w:val="0"/>
                <w:bCs/>
                <w:noProof/>
                <w:color w:val="003399" w:themeColor="text2"/>
                <w:sz w:val="22"/>
                <w:szCs w:val="22"/>
              </w:rPr>
              <w:t>2.1 Economic, Social and territorial cohesion</w:t>
            </w:r>
          </w:p>
        </w:tc>
        <w:tc>
          <w:tcPr>
            <w:tcW w:w="450" w:type="pct"/>
            <w:tcBorders>
              <w:top w:val="nil"/>
              <w:left w:val="nil"/>
              <w:bottom w:val="single" w:sz="8" w:space="0" w:color="BFBFBF"/>
              <w:right w:val="single" w:sz="8" w:space="0" w:color="BFBFBF"/>
            </w:tcBorders>
            <w:shd w:val="clear" w:color="auto" w:fill="F3F7FF" w:themeFill="background2"/>
            <w:vAlign w:val="center"/>
          </w:tcPr>
          <w:p w14:paraId="6F0E4137" w14:textId="231362B7"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noProof/>
                <w:color w:val="003399" w:themeColor="text2"/>
              </w:rPr>
              <w:t>64.7</w:t>
            </w:r>
          </w:p>
        </w:tc>
        <w:tc>
          <w:tcPr>
            <w:tcW w:w="450" w:type="pct"/>
            <w:tcBorders>
              <w:top w:val="nil"/>
              <w:left w:val="nil"/>
              <w:bottom w:val="single" w:sz="8" w:space="0" w:color="BFBFBF"/>
              <w:right w:val="single" w:sz="8" w:space="0" w:color="BFBFBF"/>
            </w:tcBorders>
            <w:shd w:val="clear" w:color="auto" w:fill="F3F7FF" w:themeFill="background2"/>
            <w:vAlign w:val="center"/>
          </w:tcPr>
          <w:p w14:paraId="10E8BF8A" w14:textId="608DE200"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noProof/>
                <w:color w:val="003399" w:themeColor="text2"/>
              </w:rPr>
              <w:t>66.5</w:t>
            </w:r>
          </w:p>
        </w:tc>
        <w:tc>
          <w:tcPr>
            <w:tcW w:w="450" w:type="pct"/>
            <w:tcBorders>
              <w:top w:val="nil"/>
              <w:left w:val="nil"/>
              <w:bottom w:val="single" w:sz="8" w:space="0" w:color="BFBFBF"/>
              <w:right w:val="single" w:sz="8" w:space="0" w:color="BFBFBF"/>
            </w:tcBorders>
            <w:shd w:val="clear" w:color="auto" w:fill="F3F7FF" w:themeFill="background2"/>
            <w:vAlign w:val="center"/>
          </w:tcPr>
          <w:p w14:paraId="4C08BB9E" w14:textId="3E23FACF"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noProof/>
                <w:color w:val="003399" w:themeColor="text2"/>
              </w:rPr>
              <w:t>56.6</w:t>
            </w:r>
          </w:p>
        </w:tc>
        <w:tc>
          <w:tcPr>
            <w:tcW w:w="450" w:type="pct"/>
            <w:tcBorders>
              <w:top w:val="nil"/>
              <w:left w:val="nil"/>
              <w:bottom w:val="single" w:sz="8" w:space="0" w:color="BFBFBF"/>
              <w:right w:val="single" w:sz="8" w:space="0" w:color="BFBFBF"/>
            </w:tcBorders>
            <w:shd w:val="clear" w:color="auto" w:fill="F3F7FF" w:themeFill="background2"/>
            <w:vAlign w:val="center"/>
          </w:tcPr>
          <w:p w14:paraId="0952F2D8" w14:textId="0559A4C1"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282CDB">
              <w:rPr>
                <w:rFonts w:asciiTheme="minorHAnsi" w:hAnsiTheme="minorHAnsi"/>
                <w:noProof/>
                <w:color w:val="003399" w:themeColor="text2"/>
              </w:rPr>
              <w:t>52.7</w:t>
            </w:r>
          </w:p>
        </w:tc>
        <w:tc>
          <w:tcPr>
            <w:tcW w:w="450" w:type="pct"/>
            <w:tcBorders>
              <w:top w:val="nil"/>
              <w:left w:val="nil"/>
              <w:bottom w:val="single" w:sz="8" w:space="0" w:color="BFBFBF"/>
              <w:right w:val="single" w:sz="8" w:space="0" w:color="BFBFBF"/>
            </w:tcBorders>
            <w:shd w:val="clear" w:color="auto" w:fill="F3F7FF" w:themeFill="background2"/>
            <w:vAlign w:val="center"/>
          </w:tcPr>
          <w:p w14:paraId="6F219BC0" w14:textId="5B123383"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noProof/>
                <w:color w:val="003399" w:themeColor="text2"/>
              </w:rPr>
              <w:t>5.0</w:t>
            </w:r>
          </w:p>
        </w:tc>
        <w:tc>
          <w:tcPr>
            <w:tcW w:w="450" w:type="pct"/>
            <w:tcBorders>
              <w:top w:val="nil"/>
              <w:left w:val="nil"/>
              <w:bottom w:val="single" w:sz="8" w:space="0" w:color="BFBFBF"/>
              <w:right w:val="single" w:sz="8" w:space="0" w:color="BFBFBF"/>
            </w:tcBorders>
            <w:shd w:val="clear" w:color="auto" w:fill="F3F7FF" w:themeFill="background2"/>
            <w:vAlign w:val="center"/>
          </w:tcPr>
          <w:p w14:paraId="403046C8" w14:textId="644F19A8"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noProof/>
                <w:color w:val="003399" w:themeColor="text2"/>
              </w:rPr>
              <w:t>0.7</w:t>
            </w:r>
          </w:p>
        </w:tc>
        <w:tc>
          <w:tcPr>
            <w:tcW w:w="450" w:type="pct"/>
            <w:tcBorders>
              <w:top w:val="nil"/>
              <w:left w:val="nil"/>
              <w:bottom w:val="single" w:sz="8" w:space="0" w:color="BFBFBF"/>
              <w:right w:val="single" w:sz="8" w:space="0" w:color="BFBFBF"/>
            </w:tcBorders>
            <w:shd w:val="clear" w:color="auto" w:fill="F3F7FF" w:themeFill="background2"/>
            <w:vAlign w:val="center"/>
          </w:tcPr>
          <w:p w14:paraId="5F0C5E95" w14:textId="49981F8B"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noProof/>
                <w:color w:val="003399" w:themeColor="text2"/>
              </w:rPr>
              <w:t>0.3</w:t>
            </w:r>
          </w:p>
        </w:tc>
        <w:tc>
          <w:tcPr>
            <w:tcW w:w="449" w:type="pct"/>
            <w:tcBorders>
              <w:top w:val="nil"/>
              <w:left w:val="nil"/>
              <w:bottom w:val="single" w:sz="8" w:space="0" w:color="BFBFBF"/>
              <w:right w:val="nil"/>
            </w:tcBorders>
            <w:shd w:val="clear" w:color="auto" w:fill="F3F7FF" w:themeFill="background2"/>
            <w:vAlign w:val="center"/>
          </w:tcPr>
          <w:p w14:paraId="061275DE" w14:textId="6BFEE558" w:rsidR="007A66F5" w:rsidRPr="00EA5E58"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EA5E58">
              <w:rPr>
                <w:b/>
                <w:noProof/>
                <w:color w:val="000000" w:themeColor="text1"/>
                <w:sz w:val="22"/>
                <w:szCs w:val="22"/>
              </w:rPr>
              <w:t>246.5</w:t>
            </w:r>
          </w:p>
        </w:tc>
      </w:tr>
      <w:tr w:rsidR="00871143" w:rsidRPr="00F423B9" w14:paraId="7CAF976F" w14:textId="77777777" w:rsidTr="00DF4BE1">
        <w:trPr>
          <w:trHeight w:val="300"/>
        </w:trPr>
        <w:tc>
          <w:tcPr>
            <w:cnfStyle w:val="001000000000" w:firstRow="0" w:lastRow="0" w:firstColumn="1" w:lastColumn="0" w:oddVBand="0" w:evenVBand="0" w:oddHBand="0" w:evenHBand="0" w:firstRowFirstColumn="0" w:firstRowLastColumn="0" w:lastRowFirstColumn="0" w:lastRowLastColumn="0"/>
            <w:tcW w:w="1401" w:type="pct"/>
            <w:shd w:val="clear" w:color="auto" w:fill="F3F7FF" w:themeFill="background2"/>
          </w:tcPr>
          <w:p w14:paraId="7CC15A50" w14:textId="77777777" w:rsidR="007A66F5" w:rsidRPr="00F423B9" w:rsidRDefault="007A66F5" w:rsidP="00D16649">
            <w:pPr>
              <w:spacing w:after="120"/>
              <w:ind w:left="170"/>
              <w:rPr>
                <w:rFonts w:asciiTheme="majorHAnsi" w:eastAsia="Calibri" w:hAnsiTheme="majorHAnsi"/>
                <w:b w:val="0"/>
                <w:bCs/>
                <w:noProof/>
                <w:color w:val="003399" w:themeColor="text2"/>
                <w:sz w:val="22"/>
                <w:szCs w:val="22"/>
              </w:rPr>
            </w:pPr>
            <w:r w:rsidRPr="00F423B9">
              <w:rPr>
                <w:rFonts w:asciiTheme="majorHAnsi" w:eastAsia="Calibri" w:hAnsiTheme="majorHAnsi"/>
                <w:b w:val="0"/>
                <w:bCs/>
                <w:noProof/>
                <w:color w:val="003399" w:themeColor="text2"/>
                <w:sz w:val="22"/>
                <w:szCs w:val="22"/>
              </w:rPr>
              <w:t>2.2 Resilience and Values</w:t>
            </w:r>
          </w:p>
        </w:tc>
        <w:tc>
          <w:tcPr>
            <w:tcW w:w="450" w:type="pct"/>
            <w:tcBorders>
              <w:top w:val="nil"/>
              <w:left w:val="nil"/>
              <w:bottom w:val="single" w:sz="8" w:space="0" w:color="BFBFBF"/>
              <w:right w:val="single" w:sz="8" w:space="0" w:color="BFBFBF"/>
            </w:tcBorders>
            <w:shd w:val="clear" w:color="auto" w:fill="F3F7FF" w:themeFill="background2"/>
            <w:vAlign w:val="center"/>
          </w:tcPr>
          <w:p w14:paraId="7BC1C8D0" w14:textId="10152FAB"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noProof/>
                <w:color w:val="003399" w:themeColor="text2"/>
              </w:rPr>
              <w:t>17.1</w:t>
            </w:r>
          </w:p>
        </w:tc>
        <w:tc>
          <w:tcPr>
            <w:tcW w:w="450" w:type="pct"/>
            <w:tcBorders>
              <w:top w:val="nil"/>
              <w:left w:val="nil"/>
              <w:bottom w:val="single" w:sz="8" w:space="0" w:color="BFBFBF"/>
              <w:right w:val="single" w:sz="8" w:space="0" w:color="BFBFBF"/>
            </w:tcBorders>
            <w:shd w:val="clear" w:color="auto" w:fill="F3F7FF" w:themeFill="background2"/>
            <w:vAlign w:val="center"/>
          </w:tcPr>
          <w:p w14:paraId="5441CD78" w14:textId="2CB1569C"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noProof/>
                <w:color w:val="003399" w:themeColor="text2"/>
              </w:rPr>
              <w:t>2.5</w:t>
            </w:r>
          </w:p>
        </w:tc>
        <w:tc>
          <w:tcPr>
            <w:tcW w:w="450" w:type="pct"/>
            <w:tcBorders>
              <w:top w:val="nil"/>
              <w:left w:val="nil"/>
              <w:bottom w:val="single" w:sz="8" w:space="0" w:color="BFBFBF"/>
              <w:right w:val="single" w:sz="8" w:space="0" w:color="BFBFBF"/>
            </w:tcBorders>
            <w:shd w:val="clear" w:color="auto" w:fill="F3F7FF" w:themeFill="background2"/>
            <w:vAlign w:val="center"/>
          </w:tcPr>
          <w:p w14:paraId="7B7462CF" w14:textId="2A54590B"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noProof/>
                <w:color w:val="003399" w:themeColor="text2"/>
              </w:rPr>
              <w:t>1.4</w:t>
            </w:r>
          </w:p>
        </w:tc>
        <w:tc>
          <w:tcPr>
            <w:tcW w:w="450" w:type="pct"/>
            <w:tcBorders>
              <w:top w:val="nil"/>
              <w:left w:val="nil"/>
              <w:bottom w:val="single" w:sz="8" w:space="0" w:color="BFBFBF"/>
              <w:right w:val="single" w:sz="8" w:space="0" w:color="BFBFBF"/>
            </w:tcBorders>
            <w:shd w:val="clear" w:color="auto" w:fill="F3F7FF" w:themeFill="background2"/>
            <w:vAlign w:val="center"/>
          </w:tcPr>
          <w:p w14:paraId="6D1BCE12" w14:textId="00E8C195"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282CDB">
              <w:rPr>
                <w:rFonts w:asciiTheme="minorHAnsi" w:hAnsiTheme="minorHAnsi"/>
                <w:noProof/>
                <w:color w:val="003399" w:themeColor="text2"/>
              </w:rPr>
              <w:t>0.7</w:t>
            </w:r>
          </w:p>
        </w:tc>
        <w:tc>
          <w:tcPr>
            <w:tcW w:w="450" w:type="pct"/>
            <w:tcBorders>
              <w:top w:val="nil"/>
              <w:left w:val="nil"/>
              <w:bottom w:val="single" w:sz="8" w:space="0" w:color="BFBFBF"/>
              <w:right w:val="single" w:sz="8" w:space="0" w:color="BFBFBF"/>
            </w:tcBorders>
            <w:shd w:val="clear" w:color="auto" w:fill="F3F7FF" w:themeFill="background2"/>
            <w:vAlign w:val="center"/>
          </w:tcPr>
          <w:p w14:paraId="46914057" w14:textId="7C5728A6"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noProof/>
                <w:color w:val="003399" w:themeColor="text2"/>
              </w:rPr>
              <w:t>0.1</w:t>
            </w:r>
          </w:p>
        </w:tc>
        <w:tc>
          <w:tcPr>
            <w:tcW w:w="450" w:type="pct"/>
            <w:tcBorders>
              <w:top w:val="nil"/>
              <w:left w:val="nil"/>
              <w:bottom w:val="single" w:sz="8" w:space="0" w:color="BFBFBF"/>
              <w:right w:val="single" w:sz="8" w:space="0" w:color="BFBFBF"/>
            </w:tcBorders>
            <w:shd w:val="clear" w:color="auto" w:fill="F3F7FF" w:themeFill="background2"/>
            <w:vAlign w:val="center"/>
          </w:tcPr>
          <w:p w14:paraId="44C19C33" w14:textId="36BF5900"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noProof/>
                <w:color w:val="003399" w:themeColor="text2"/>
              </w:rPr>
              <w:t>0.2</w:t>
            </w:r>
          </w:p>
        </w:tc>
        <w:tc>
          <w:tcPr>
            <w:tcW w:w="450" w:type="pct"/>
            <w:tcBorders>
              <w:top w:val="nil"/>
              <w:left w:val="nil"/>
              <w:bottom w:val="single" w:sz="8" w:space="0" w:color="BFBFBF"/>
              <w:right w:val="single" w:sz="8" w:space="0" w:color="BFBFBF"/>
            </w:tcBorders>
            <w:shd w:val="clear" w:color="auto" w:fill="F3F7FF" w:themeFill="background2"/>
            <w:vAlign w:val="center"/>
          </w:tcPr>
          <w:p w14:paraId="71728B76" w14:textId="65C61B35"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noProof/>
                <w:color w:val="003399" w:themeColor="text2"/>
              </w:rPr>
              <w:t>0.1</w:t>
            </w:r>
          </w:p>
        </w:tc>
        <w:tc>
          <w:tcPr>
            <w:tcW w:w="449" w:type="pct"/>
            <w:tcBorders>
              <w:top w:val="nil"/>
              <w:left w:val="nil"/>
              <w:bottom w:val="single" w:sz="8" w:space="0" w:color="BFBFBF"/>
              <w:right w:val="nil"/>
            </w:tcBorders>
            <w:shd w:val="clear" w:color="auto" w:fill="F3F7FF" w:themeFill="background2"/>
            <w:vAlign w:val="center"/>
          </w:tcPr>
          <w:p w14:paraId="3AFFA6D2" w14:textId="7C0EA1A8" w:rsidR="007A66F5" w:rsidRPr="00EA5E58"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EA5E58">
              <w:rPr>
                <w:b/>
                <w:noProof/>
                <w:color w:val="000000" w:themeColor="text1"/>
                <w:sz w:val="22"/>
                <w:szCs w:val="22"/>
              </w:rPr>
              <w:t>22.0</w:t>
            </w:r>
          </w:p>
        </w:tc>
      </w:tr>
      <w:tr w:rsidR="00871143" w:rsidRPr="00F423B9" w14:paraId="668AF3D8" w14:textId="77777777" w:rsidTr="009960E0">
        <w:trPr>
          <w:trHeight w:val="300"/>
        </w:trPr>
        <w:tc>
          <w:tcPr>
            <w:cnfStyle w:val="001000000000" w:firstRow="0" w:lastRow="0" w:firstColumn="1" w:lastColumn="0" w:oddVBand="0" w:evenVBand="0" w:oddHBand="0" w:evenHBand="0" w:firstRowFirstColumn="0" w:firstRowLastColumn="0" w:lastRowFirstColumn="0" w:lastRowLastColumn="0"/>
            <w:tcW w:w="1401" w:type="pct"/>
          </w:tcPr>
          <w:p w14:paraId="775172A9" w14:textId="77777777" w:rsidR="007A66F5" w:rsidRPr="00F423B9" w:rsidRDefault="007A66F5" w:rsidP="00D212B3">
            <w:pPr>
              <w:spacing w:after="120"/>
              <w:rPr>
                <w:rFonts w:asciiTheme="majorHAnsi" w:eastAsia="Calibri" w:hAnsiTheme="majorHAnsi"/>
                <w:bCs/>
                <w:noProof/>
                <w:color w:val="003399" w:themeColor="text2"/>
                <w:sz w:val="22"/>
                <w:szCs w:val="22"/>
              </w:rPr>
            </w:pPr>
            <w:r w:rsidRPr="00F423B9">
              <w:rPr>
                <w:rFonts w:asciiTheme="majorHAnsi" w:eastAsia="Calibri" w:hAnsiTheme="majorHAnsi"/>
                <w:bCs/>
                <w:noProof/>
                <w:color w:val="003399" w:themeColor="text2"/>
                <w:sz w:val="22"/>
                <w:szCs w:val="22"/>
              </w:rPr>
              <w:t>3 Natural Resources and Environment</w:t>
            </w:r>
          </w:p>
        </w:tc>
        <w:tc>
          <w:tcPr>
            <w:tcW w:w="450" w:type="pct"/>
            <w:tcBorders>
              <w:top w:val="nil"/>
              <w:left w:val="nil"/>
              <w:bottom w:val="single" w:sz="8" w:space="0" w:color="BFBFBF"/>
              <w:right w:val="single" w:sz="8" w:space="0" w:color="BFBFBF"/>
            </w:tcBorders>
            <w:vAlign w:val="center"/>
          </w:tcPr>
          <w:p w14:paraId="1D716D7D" w14:textId="3793D166"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b/>
                <w:noProof/>
                <w:color w:val="003399" w:themeColor="text2"/>
              </w:rPr>
              <w:t>61.4</w:t>
            </w:r>
          </w:p>
        </w:tc>
        <w:tc>
          <w:tcPr>
            <w:tcW w:w="450" w:type="pct"/>
            <w:tcBorders>
              <w:top w:val="nil"/>
              <w:left w:val="nil"/>
              <w:bottom w:val="single" w:sz="8" w:space="0" w:color="BFBFBF"/>
              <w:right w:val="single" w:sz="8" w:space="0" w:color="BFBFBF"/>
            </w:tcBorders>
            <w:vAlign w:val="center"/>
          </w:tcPr>
          <w:p w14:paraId="238228B5" w14:textId="585CAF54"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b/>
                <w:noProof/>
                <w:color w:val="003399" w:themeColor="text2"/>
              </w:rPr>
              <w:t>17.9</w:t>
            </w:r>
          </w:p>
        </w:tc>
        <w:tc>
          <w:tcPr>
            <w:tcW w:w="450" w:type="pct"/>
            <w:tcBorders>
              <w:top w:val="nil"/>
              <w:left w:val="nil"/>
              <w:bottom w:val="single" w:sz="8" w:space="0" w:color="BFBFBF"/>
              <w:right w:val="single" w:sz="8" w:space="0" w:color="BFBFBF"/>
            </w:tcBorders>
            <w:vAlign w:val="center"/>
          </w:tcPr>
          <w:p w14:paraId="5360687E" w14:textId="76BF08BF"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b/>
                <w:noProof/>
                <w:color w:val="003399" w:themeColor="text2"/>
              </w:rPr>
              <w:t>13.8</w:t>
            </w:r>
          </w:p>
        </w:tc>
        <w:tc>
          <w:tcPr>
            <w:tcW w:w="450" w:type="pct"/>
            <w:tcBorders>
              <w:top w:val="nil"/>
              <w:left w:val="nil"/>
              <w:bottom w:val="single" w:sz="8" w:space="0" w:color="BFBFBF"/>
              <w:right w:val="single" w:sz="8" w:space="0" w:color="BFBFBF"/>
            </w:tcBorders>
            <w:vAlign w:val="center"/>
          </w:tcPr>
          <w:p w14:paraId="4063E511" w14:textId="19BF826C"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282CDB">
              <w:rPr>
                <w:rFonts w:asciiTheme="minorHAnsi" w:hAnsiTheme="minorHAnsi"/>
                <w:b/>
                <w:noProof/>
                <w:color w:val="003399" w:themeColor="text2"/>
              </w:rPr>
              <w:t>2.4</w:t>
            </w:r>
          </w:p>
        </w:tc>
        <w:tc>
          <w:tcPr>
            <w:tcW w:w="450" w:type="pct"/>
            <w:tcBorders>
              <w:top w:val="nil"/>
              <w:left w:val="nil"/>
              <w:bottom w:val="single" w:sz="8" w:space="0" w:color="BFBFBF"/>
              <w:right w:val="single" w:sz="8" w:space="0" w:color="BFBFBF"/>
            </w:tcBorders>
            <w:vAlign w:val="center"/>
          </w:tcPr>
          <w:p w14:paraId="7BAF45B5" w14:textId="62FB2699"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b/>
                <w:noProof/>
                <w:color w:val="003399" w:themeColor="text2"/>
              </w:rPr>
              <w:t>2.4</w:t>
            </w:r>
          </w:p>
        </w:tc>
        <w:tc>
          <w:tcPr>
            <w:tcW w:w="450" w:type="pct"/>
            <w:tcBorders>
              <w:top w:val="nil"/>
              <w:left w:val="nil"/>
              <w:bottom w:val="single" w:sz="8" w:space="0" w:color="BFBFBF"/>
              <w:right w:val="single" w:sz="8" w:space="0" w:color="BFBFBF"/>
            </w:tcBorders>
            <w:vAlign w:val="center"/>
          </w:tcPr>
          <w:p w14:paraId="70D7A65D" w14:textId="5804B2B8"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b/>
                <w:noProof/>
                <w:color w:val="003399" w:themeColor="text2"/>
              </w:rPr>
              <w:t>0.4</w:t>
            </w:r>
          </w:p>
        </w:tc>
        <w:tc>
          <w:tcPr>
            <w:tcW w:w="450" w:type="pct"/>
            <w:tcBorders>
              <w:top w:val="nil"/>
              <w:left w:val="nil"/>
              <w:bottom w:val="single" w:sz="8" w:space="0" w:color="BFBFBF"/>
              <w:right w:val="single" w:sz="8" w:space="0" w:color="BFBFBF"/>
            </w:tcBorders>
            <w:vAlign w:val="center"/>
          </w:tcPr>
          <w:p w14:paraId="2B9C7002" w14:textId="47490F57"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b/>
                <w:noProof/>
                <w:color w:val="003399" w:themeColor="text2"/>
              </w:rPr>
              <w:t>0.2</w:t>
            </w:r>
          </w:p>
        </w:tc>
        <w:tc>
          <w:tcPr>
            <w:tcW w:w="449" w:type="pct"/>
            <w:tcBorders>
              <w:top w:val="nil"/>
              <w:left w:val="nil"/>
              <w:bottom w:val="single" w:sz="8" w:space="0" w:color="BFBFBF"/>
              <w:right w:val="nil"/>
            </w:tcBorders>
            <w:vAlign w:val="center"/>
          </w:tcPr>
          <w:p w14:paraId="34958137" w14:textId="58DE55EB" w:rsidR="007A66F5" w:rsidRPr="00EA5E58"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EA5E58">
              <w:rPr>
                <w:b/>
                <w:noProof/>
                <w:color w:val="000000" w:themeColor="text1"/>
                <w:sz w:val="22"/>
                <w:szCs w:val="22"/>
              </w:rPr>
              <w:t>98.5</w:t>
            </w:r>
          </w:p>
        </w:tc>
      </w:tr>
      <w:tr w:rsidR="00871143" w:rsidRPr="00F423B9" w14:paraId="784A411F" w14:textId="77777777" w:rsidTr="009960E0">
        <w:trPr>
          <w:trHeight w:val="300"/>
        </w:trPr>
        <w:tc>
          <w:tcPr>
            <w:cnfStyle w:val="001000000000" w:firstRow="0" w:lastRow="0" w:firstColumn="1" w:lastColumn="0" w:oddVBand="0" w:evenVBand="0" w:oddHBand="0" w:evenHBand="0" w:firstRowFirstColumn="0" w:firstRowLastColumn="0" w:lastRowFirstColumn="0" w:lastRowLastColumn="0"/>
            <w:tcW w:w="1401" w:type="pct"/>
          </w:tcPr>
          <w:p w14:paraId="7BB98FA4" w14:textId="77777777" w:rsidR="007A66F5" w:rsidRPr="00F423B9" w:rsidRDefault="007A66F5" w:rsidP="00D16649">
            <w:pPr>
              <w:spacing w:after="120"/>
              <w:ind w:left="170"/>
              <w:rPr>
                <w:rFonts w:asciiTheme="majorHAnsi" w:eastAsia="Calibri" w:hAnsiTheme="majorHAnsi"/>
                <w:b w:val="0"/>
                <w:bCs/>
                <w:noProof/>
                <w:color w:val="003399" w:themeColor="text2"/>
                <w:sz w:val="22"/>
                <w:szCs w:val="22"/>
              </w:rPr>
            </w:pPr>
            <w:r w:rsidRPr="00F423B9">
              <w:rPr>
                <w:rFonts w:asciiTheme="majorHAnsi" w:eastAsia="Calibri" w:hAnsiTheme="majorHAnsi"/>
                <w:b w:val="0"/>
                <w:bCs/>
                <w:noProof/>
                <w:color w:val="003399" w:themeColor="text2"/>
                <w:sz w:val="22"/>
                <w:szCs w:val="22"/>
              </w:rPr>
              <w:t>3.1 Market related expenditure and direct payments</w:t>
            </w:r>
          </w:p>
        </w:tc>
        <w:tc>
          <w:tcPr>
            <w:tcW w:w="450" w:type="pct"/>
            <w:tcBorders>
              <w:top w:val="nil"/>
              <w:left w:val="nil"/>
              <w:bottom w:val="single" w:sz="8" w:space="0" w:color="BFBFBF"/>
              <w:right w:val="single" w:sz="8" w:space="0" w:color="BFBFBF"/>
            </w:tcBorders>
            <w:vAlign w:val="center"/>
          </w:tcPr>
          <w:p w14:paraId="1D5BBC59" w14:textId="77A30630"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noProof/>
                <w:color w:val="003399" w:themeColor="text2"/>
              </w:rPr>
              <w:t>40.6</w:t>
            </w:r>
          </w:p>
        </w:tc>
        <w:tc>
          <w:tcPr>
            <w:tcW w:w="450" w:type="pct"/>
            <w:tcBorders>
              <w:top w:val="nil"/>
              <w:left w:val="nil"/>
              <w:bottom w:val="single" w:sz="8" w:space="0" w:color="BFBFBF"/>
              <w:right w:val="single" w:sz="8" w:space="0" w:color="BFBFBF"/>
            </w:tcBorders>
            <w:vAlign w:val="center"/>
          </w:tcPr>
          <w:p w14:paraId="63556DA2" w14:textId="649305FD"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noProof/>
                <w:color w:val="003399" w:themeColor="text2"/>
              </w:rPr>
              <w:t>0.2</w:t>
            </w:r>
          </w:p>
        </w:tc>
        <w:tc>
          <w:tcPr>
            <w:tcW w:w="450" w:type="pct"/>
            <w:tcBorders>
              <w:top w:val="nil"/>
              <w:left w:val="nil"/>
              <w:bottom w:val="single" w:sz="8" w:space="0" w:color="BFBFBF"/>
              <w:right w:val="single" w:sz="8" w:space="0" w:color="BFBFBF"/>
            </w:tcBorders>
            <w:vAlign w:val="center"/>
          </w:tcPr>
          <w:p w14:paraId="5F5BCEBE" w14:textId="7759B125"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noProof/>
                <w:color w:val="003399" w:themeColor="text2"/>
              </w:rPr>
              <w:t>0.1</w:t>
            </w:r>
          </w:p>
        </w:tc>
        <w:tc>
          <w:tcPr>
            <w:tcW w:w="450" w:type="pct"/>
            <w:tcBorders>
              <w:top w:val="nil"/>
              <w:left w:val="nil"/>
              <w:bottom w:val="single" w:sz="8" w:space="0" w:color="BFBFBF"/>
              <w:right w:val="single" w:sz="8" w:space="0" w:color="BFBFBF"/>
            </w:tcBorders>
            <w:vAlign w:val="center"/>
          </w:tcPr>
          <w:p w14:paraId="621F0361" w14:textId="46EDCA68"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282CDB">
              <w:rPr>
                <w:rFonts w:asciiTheme="minorHAnsi" w:hAnsiTheme="minorHAnsi"/>
                <w:noProof/>
                <w:color w:val="003399" w:themeColor="text2"/>
              </w:rPr>
              <w:t>0.0</w:t>
            </w:r>
          </w:p>
        </w:tc>
        <w:tc>
          <w:tcPr>
            <w:tcW w:w="450" w:type="pct"/>
            <w:tcBorders>
              <w:top w:val="nil"/>
              <w:left w:val="nil"/>
              <w:bottom w:val="single" w:sz="8" w:space="0" w:color="BFBFBF"/>
              <w:right w:val="single" w:sz="8" w:space="0" w:color="BFBFBF"/>
            </w:tcBorders>
            <w:vAlign w:val="center"/>
          </w:tcPr>
          <w:p w14:paraId="3BE4AC6A" w14:textId="2B7ADC43"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noProof/>
                <w:color w:val="003399" w:themeColor="text2"/>
              </w:rPr>
              <w:t>0.0</w:t>
            </w:r>
          </w:p>
        </w:tc>
        <w:tc>
          <w:tcPr>
            <w:tcW w:w="450" w:type="pct"/>
            <w:tcBorders>
              <w:top w:val="nil"/>
              <w:left w:val="nil"/>
              <w:bottom w:val="single" w:sz="8" w:space="0" w:color="BFBFBF"/>
              <w:right w:val="single" w:sz="8" w:space="0" w:color="BFBFBF"/>
            </w:tcBorders>
            <w:vAlign w:val="center"/>
          </w:tcPr>
          <w:p w14:paraId="3208C43F" w14:textId="2360C012"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noProof/>
                <w:color w:val="003399" w:themeColor="text2"/>
              </w:rPr>
              <w:t>0.0</w:t>
            </w:r>
          </w:p>
        </w:tc>
        <w:tc>
          <w:tcPr>
            <w:tcW w:w="450" w:type="pct"/>
            <w:tcBorders>
              <w:top w:val="nil"/>
              <w:left w:val="nil"/>
              <w:bottom w:val="single" w:sz="8" w:space="0" w:color="BFBFBF"/>
              <w:right w:val="single" w:sz="8" w:space="0" w:color="BFBFBF"/>
            </w:tcBorders>
            <w:vAlign w:val="center"/>
          </w:tcPr>
          <w:p w14:paraId="19FAA1CD" w14:textId="51B54230"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noProof/>
                <w:color w:val="003399" w:themeColor="text2"/>
              </w:rPr>
              <w:t>0.0</w:t>
            </w:r>
          </w:p>
        </w:tc>
        <w:tc>
          <w:tcPr>
            <w:tcW w:w="449" w:type="pct"/>
            <w:tcBorders>
              <w:top w:val="nil"/>
              <w:left w:val="nil"/>
              <w:bottom w:val="single" w:sz="8" w:space="0" w:color="BFBFBF"/>
              <w:right w:val="nil"/>
            </w:tcBorders>
            <w:vAlign w:val="center"/>
          </w:tcPr>
          <w:p w14:paraId="601748A1" w14:textId="31B90880" w:rsidR="007A66F5" w:rsidRPr="00EA5E58"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EA5E58">
              <w:rPr>
                <w:b/>
                <w:noProof/>
                <w:color w:val="000000" w:themeColor="text1"/>
                <w:sz w:val="22"/>
                <w:szCs w:val="22"/>
              </w:rPr>
              <w:t>40.9</w:t>
            </w:r>
          </w:p>
        </w:tc>
      </w:tr>
      <w:tr w:rsidR="00871143" w:rsidRPr="00F423B9" w14:paraId="550EEA50" w14:textId="77777777" w:rsidTr="009960E0">
        <w:trPr>
          <w:trHeight w:val="300"/>
        </w:trPr>
        <w:tc>
          <w:tcPr>
            <w:cnfStyle w:val="001000000000" w:firstRow="0" w:lastRow="0" w:firstColumn="1" w:lastColumn="0" w:oddVBand="0" w:evenVBand="0" w:oddHBand="0" w:evenHBand="0" w:firstRowFirstColumn="0" w:firstRowLastColumn="0" w:lastRowFirstColumn="0" w:lastRowLastColumn="0"/>
            <w:tcW w:w="1401" w:type="pct"/>
          </w:tcPr>
          <w:p w14:paraId="53B12D09" w14:textId="77777777" w:rsidR="007A66F5" w:rsidRPr="00F423B9" w:rsidRDefault="007A66F5" w:rsidP="00D16649">
            <w:pPr>
              <w:spacing w:after="120"/>
              <w:ind w:left="170"/>
              <w:rPr>
                <w:rFonts w:asciiTheme="majorHAnsi" w:eastAsia="Calibri" w:hAnsiTheme="majorHAnsi"/>
                <w:b w:val="0"/>
                <w:bCs/>
                <w:noProof/>
                <w:color w:val="003399" w:themeColor="text2"/>
                <w:sz w:val="22"/>
                <w:szCs w:val="22"/>
              </w:rPr>
            </w:pPr>
            <w:r w:rsidRPr="00F423B9">
              <w:rPr>
                <w:rFonts w:asciiTheme="majorHAnsi" w:eastAsia="Calibri" w:hAnsiTheme="majorHAnsi"/>
                <w:b w:val="0"/>
                <w:bCs/>
                <w:noProof/>
                <w:color w:val="003399" w:themeColor="text2"/>
                <w:sz w:val="22"/>
                <w:szCs w:val="22"/>
              </w:rPr>
              <w:t>3.2 Other programmes of Natural Resources and Environment</w:t>
            </w:r>
          </w:p>
        </w:tc>
        <w:tc>
          <w:tcPr>
            <w:tcW w:w="450" w:type="pct"/>
            <w:tcBorders>
              <w:top w:val="nil"/>
              <w:left w:val="nil"/>
              <w:bottom w:val="single" w:sz="8" w:space="0" w:color="BFBFBF"/>
              <w:right w:val="single" w:sz="8" w:space="0" w:color="BFBFBF"/>
            </w:tcBorders>
            <w:vAlign w:val="center"/>
          </w:tcPr>
          <w:p w14:paraId="0FAA4FD4" w14:textId="0D21F82A"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noProof/>
                <w:color w:val="003399" w:themeColor="text2"/>
              </w:rPr>
              <w:t>20.7</w:t>
            </w:r>
          </w:p>
        </w:tc>
        <w:tc>
          <w:tcPr>
            <w:tcW w:w="450" w:type="pct"/>
            <w:tcBorders>
              <w:top w:val="nil"/>
              <w:left w:val="nil"/>
              <w:bottom w:val="single" w:sz="8" w:space="0" w:color="BFBFBF"/>
              <w:right w:val="single" w:sz="8" w:space="0" w:color="BFBFBF"/>
            </w:tcBorders>
            <w:vAlign w:val="center"/>
          </w:tcPr>
          <w:p w14:paraId="13C52786" w14:textId="2287E0E8"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noProof/>
                <w:color w:val="003399" w:themeColor="text2"/>
              </w:rPr>
              <w:t>17.8</w:t>
            </w:r>
          </w:p>
        </w:tc>
        <w:tc>
          <w:tcPr>
            <w:tcW w:w="450" w:type="pct"/>
            <w:tcBorders>
              <w:top w:val="nil"/>
              <w:left w:val="nil"/>
              <w:bottom w:val="single" w:sz="8" w:space="0" w:color="BFBFBF"/>
              <w:right w:val="single" w:sz="8" w:space="0" w:color="BFBFBF"/>
            </w:tcBorders>
            <w:vAlign w:val="center"/>
          </w:tcPr>
          <w:p w14:paraId="0D89F94E" w14:textId="51CBE5EB"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noProof/>
                <w:color w:val="003399" w:themeColor="text2"/>
              </w:rPr>
              <w:t>13.7</w:t>
            </w:r>
          </w:p>
        </w:tc>
        <w:tc>
          <w:tcPr>
            <w:tcW w:w="450" w:type="pct"/>
            <w:tcBorders>
              <w:top w:val="nil"/>
              <w:left w:val="nil"/>
              <w:bottom w:val="single" w:sz="8" w:space="0" w:color="BFBFBF"/>
              <w:right w:val="single" w:sz="8" w:space="0" w:color="BFBFBF"/>
            </w:tcBorders>
            <w:vAlign w:val="center"/>
          </w:tcPr>
          <w:p w14:paraId="6FCF0FD0" w14:textId="164046B5"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282CDB">
              <w:rPr>
                <w:rFonts w:asciiTheme="minorHAnsi" w:hAnsiTheme="minorHAnsi"/>
                <w:noProof/>
                <w:color w:val="003399" w:themeColor="text2"/>
              </w:rPr>
              <w:t>2.4</w:t>
            </w:r>
          </w:p>
        </w:tc>
        <w:tc>
          <w:tcPr>
            <w:tcW w:w="450" w:type="pct"/>
            <w:tcBorders>
              <w:top w:val="nil"/>
              <w:left w:val="nil"/>
              <w:bottom w:val="single" w:sz="8" w:space="0" w:color="BFBFBF"/>
              <w:right w:val="single" w:sz="8" w:space="0" w:color="BFBFBF"/>
            </w:tcBorders>
            <w:vAlign w:val="center"/>
          </w:tcPr>
          <w:p w14:paraId="7A2E52CF" w14:textId="3AE55B88"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noProof/>
                <w:color w:val="003399" w:themeColor="text2"/>
              </w:rPr>
              <w:t>2.4</w:t>
            </w:r>
          </w:p>
        </w:tc>
        <w:tc>
          <w:tcPr>
            <w:tcW w:w="450" w:type="pct"/>
            <w:tcBorders>
              <w:top w:val="nil"/>
              <w:left w:val="nil"/>
              <w:bottom w:val="single" w:sz="8" w:space="0" w:color="BFBFBF"/>
              <w:right w:val="single" w:sz="8" w:space="0" w:color="BFBFBF"/>
            </w:tcBorders>
            <w:vAlign w:val="center"/>
          </w:tcPr>
          <w:p w14:paraId="2FB7CA02" w14:textId="0BF538B7"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noProof/>
                <w:color w:val="003399" w:themeColor="text2"/>
              </w:rPr>
              <w:t>0.4</w:t>
            </w:r>
          </w:p>
        </w:tc>
        <w:tc>
          <w:tcPr>
            <w:tcW w:w="450" w:type="pct"/>
            <w:tcBorders>
              <w:top w:val="nil"/>
              <w:left w:val="nil"/>
              <w:bottom w:val="single" w:sz="8" w:space="0" w:color="BFBFBF"/>
              <w:right w:val="single" w:sz="8" w:space="0" w:color="BFBFBF"/>
            </w:tcBorders>
            <w:vAlign w:val="center"/>
          </w:tcPr>
          <w:p w14:paraId="2E81BE4D" w14:textId="598D82D2"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noProof/>
                <w:color w:val="003399" w:themeColor="text2"/>
              </w:rPr>
              <w:t>0.2</w:t>
            </w:r>
          </w:p>
        </w:tc>
        <w:tc>
          <w:tcPr>
            <w:tcW w:w="449" w:type="pct"/>
            <w:tcBorders>
              <w:top w:val="nil"/>
              <w:left w:val="nil"/>
              <w:bottom w:val="single" w:sz="8" w:space="0" w:color="BFBFBF"/>
              <w:right w:val="nil"/>
            </w:tcBorders>
            <w:vAlign w:val="center"/>
          </w:tcPr>
          <w:p w14:paraId="012DCC9A" w14:textId="24E090ED" w:rsidR="007A66F5" w:rsidRPr="00EA5E58"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EA5E58">
              <w:rPr>
                <w:b/>
                <w:noProof/>
                <w:color w:val="000000" w:themeColor="text1"/>
                <w:sz w:val="22"/>
                <w:szCs w:val="22"/>
              </w:rPr>
              <w:t>57.5</w:t>
            </w:r>
          </w:p>
        </w:tc>
      </w:tr>
      <w:tr w:rsidR="00871143" w:rsidRPr="00F423B9" w14:paraId="71A05873" w14:textId="77777777" w:rsidTr="00DF4BE1">
        <w:trPr>
          <w:trHeight w:val="300"/>
        </w:trPr>
        <w:tc>
          <w:tcPr>
            <w:cnfStyle w:val="001000000000" w:firstRow="0" w:lastRow="0" w:firstColumn="1" w:lastColumn="0" w:oddVBand="0" w:evenVBand="0" w:oddHBand="0" w:evenHBand="0" w:firstRowFirstColumn="0" w:firstRowLastColumn="0" w:lastRowFirstColumn="0" w:lastRowLastColumn="0"/>
            <w:tcW w:w="1401" w:type="pct"/>
            <w:shd w:val="clear" w:color="auto" w:fill="F3F7FF" w:themeFill="background2"/>
          </w:tcPr>
          <w:p w14:paraId="383FEC03" w14:textId="77777777" w:rsidR="007A66F5" w:rsidRPr="00F423B9" w:rsidRDefault="007A66F5" w:rsidP="004C07C6">
            <w:pPr>
              <w:spacing w:after="120"/>
              <w:rPr>
                <w:rFonts w:asciiTheme="majorHAnsi" w:eastAsia="Calibri" w:hAnsiTheme="majorHAnsi"/>
                <w:bCs/>
                <w:noProof/>
                <w:color w:val="003399" w:themeColor="text2"/>
                <w:sz w:val="22"/>
                <w:szCs w:val="22"/>
              </w:rPr>
            </w:pPr>
            <w:r w:rsidRPr="00F423B9">
              <w:rPr>
                <w:rFonts w:asciiTheme="majorHAnsi" w:eastAsia="Calibri" w:hAnsiTheme="majorHAnsi"/>
                <w:bCs/>
                <w:noProof/>
                <w:color w:val="003399" w:themeColor="text2"/>
                <w:sz w:val="22"/>
                <w:szCs w:val="22"/>
              </w:rPr>
              <w:t>4 Migration and Border Management</w:t>
            </w:r>
          </w:p>
        </w:tc>
        <w:tc>
          <w:tcPr>
            <w:tcW w:w="450" w:type="pct"/>
            <w:tcBorders>
              <w:top w:val="nil"/>
              <w:left w:val="nil"/>
              <w:bottom w:val="single" w:sz="8" w:space="0" w:color="BFBFBF"/>
              <w:right w:val="single" w:sz="8" w:space="0" w:color="BFBFBF"/>
            </w:tcBorders>
            <w:shd w:val="clear" w:color="auto" w:fill="F3F7FF" w:themeFill="background2"/>
            <w:vAlign w:val="center"/>
          </w:tcPr>
          <w:p w14:paraId="1C5F1D17" w14:textId="7709A61E"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b/>
                <w:noProof/>
                <w:color w:val="003399" w:themeColor="text2"/>
              </w:rPr>
              <w:t>3.8</w:t>
            </w:r>
          </w:p>
        </w:tc>
        <w:tc>
          <w:tcPr>
            <w:tcW w:w="450" w:type="pct"/>
            <w:tcBorders>
              <w:top w:val="nil"/>
              <w:left w:val="nil"/>
              <w:bottom w:val="single" w:sz="8" w:space="0" w:color="BFBFBF"/>
              <w:right w:val="single" w:sz="8" w:space="0" w:color="BFBFBF"/>
            </w:tcBorders>
            <w:shd w:val="clear" w:color="auto" w:fill="F3F7FF" w:themeFill="background2"/>
            <w:vAlign w:val="center"/>
          </w:tcPr>
          <w:p w14:paraId="07EBCA69" w14:textId="56249762"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b/>
                <w:noProof/>
                <w:color w:val="003399" w:themeColor="text2"/>
              </w:rPr>
              <w:t>2.8</w:t>
            </w:r>
          </w:p>
        </w:tc>
        <w:tc>
          <w:tcPr>
            <w:tcW w:w="450" w:type="pct"/>
            <w:tcBorders>
              <w:top w:val="nil"/>
              <w:left w:val="nil"/>
              <w:bottom w:val="single" w:sz="8" w:space="0" w:color="BFBFBF"/>
              <w:right w:val="single" w:sz="8" w:space="0" w:color="BFBFBF"/>
            </w:tcBorders>
            <w:shd w:val="clear" w:color="auto" w:fill="F3F7FF" w:themeFill="background2"/>
            <w:vAlign w:val="center"/>
          </w:tcPr>
          <w:p w14:paraId="7BC0C375" w14:textId="54D068C9"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b/>
                <w:noProof/>
                <w:color w:val="003399" w:themeColor="text2"/>
              </w:rPr>
              <w:t>1.6</w:t>
            </w:r>
          </w:p>
        </w:tc>
        <w:tc>
          <w:tcPr>
            <w:tcW w:w="450" w:type="pct"/>
            <w:tcBorders>
              <w:top w:val="nil"/>
              <w:left w:val="nil"/>
              <w:bottom w:val="single" w:sz="8" w:space="0" w:color="BFBFBF"/>
              <w:right w:val="single" w:sz="8" w:space="0" w:color="BFBFBF"/>
            </w:tcBorders>
            <w:shd w:val="clear" w:color="auto" w:fill="F3F7FF" w:themeFill="background2"/>
            <w:vAlign w:val="center"/>
          </w:tcPr>
          <w:p w14:paraId="535B5139" w14:textId="5A50CD38"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282CDB">
              <w:rPr>
                <w:rFonts w:asciiTheme="minorHAnsi" w:hAnsiTheme="minorHAnsi"/>
                <w:b/>
                <w:noProof/>
                <w:color w:val="003399" w:themeColor="text2"/>
              </w:rPr>
              <w:t>1.0</w:t>
            </w:r>
          </w:p>
        </w:tc>
        <w:tc>
          <w:tcPr>
            <w:tcW w:w="450" w:type="pct"/>
            <w:tcBorders>
              <w:top w:val="nil"/>
              <w:left w:val="nil"/>
              <w:bottom w:val="single" w:sz="8" w:space="0" w:color="BFBFBF"/>
              <w:right w:val="single" w:sz="8" w:space="0" w:color="BFBFBF"/>
            </w:tcBorders>
            <w:shd w:val="clear" w:color="auto" w:fill="F3F7FF" w:themeFill="background2"/>
            <w:vAlign w:val="center"/>
          </w:tcPr>
          <w:p w14:paraId="0E0F546A" w14:textId="68DDD441"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b/>
                <w:noProof/>
                <w:color w:val="003399" w:themeColor="text2"/>
              </w:rPr>
              <w:t>0.7</w:t>
            </w:r>
          </w:p>
        </w:tc>
        <w:tc>
          <w:tcPr>
            <w:tcW w:w="450" w:type="pct"/>
            <w:tcBorders>
              <w:top w:val="nil"/>
              <w:left w:val="nil"/>
              <w:bottom w:val="single" w:sz="8" w:space="0" w:color="BFBFBF"/>
              <w:right w:val="single" w:sz="8" w:space="0" w:color="BFBFBF"/>
            </w:tcBorders>
            <w:shd w:val="clear" w:color="auto" w:fill="F3F7FF" w:themeFill="background2"/>
            <w:vAlign w:val="center"/>
          </w:tcPr>
          <w:p w14:paraId="73394C57" w14:textId="2124A592"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b/>
                <w:noProof/>
                <w:color w:val="003399" w:themeColor="text2"/>
              </w:rPr>
              <w:t>1.9</w:t>
            </w:r>
          </w:p>
        </w:tc>
        <w:tc>
          <w:tcPr>
            <w:tcW w:w="450" w:type="pct"/>
            <w:tcBorders>
              <w:top w:val="nil"/>
              <w:left w:val="nil"/>
              <w:bottom w:val="single" w:sz="8" w:space="0" w:color="BFBFBF"/>
              <w:right w:val="single" w:sz="8" w:space="0" w:color="BFBFBF"/>
            </w:tcBorders>
            <w:shd w:val="clear" w:color="auto" w:fill="F3F7FF" w:themeFill="background2"/>
            <w:vAlign w:val="center"/>
          </w:tcPr>
          <w:p w14:paraId="0E542830" w14:textId="15F0915B"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b/>
                <w:noProof/>
                <w:color w:val="003399" w:themeColor="text2"/>
              </w:rPr>
              <w:t>0.8</w:t>
            </w:r>
          </w:p>
        </w:tc>
        <w:tc>
          <w:tcPr>
            <w:tcW w:w="449" w:type="pct"/>
            <w:tcBorders>
              <w:top w:val="nil"/>
              <w:left w:val="nil"/>
              <w:bottom w:val="single" w:sz="8" w:space="0" w:color="BFBFBF"/>
              <w:right w:val="nil"/>
            </w:tcBorders>
            <w:shd w:val="clear" w:color="auto" w:fill="F3F7FF" w:themeFill="background2"/>
            <w:vAlign w:val="center"/>
          </w:tcPr>
          <w:p w14:paraId="2D174AE1" w14:textId="49051631" w:rsidR="007A66F5" w:rsidRPr="00EA5E58"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EA5E58">
              <w:rPr>
                <w:b/>
                <w:noProof/>
                <w:color w:val="000000" w:themeColor="text1"/>
                <w:sz w:val="22"/>
                <w:szCs w:val="22"/>
              </w:rPr>
              <w:t>12.6</w:t>
            </w:r>
          </w:p>
        </w:tc>
      </w:tr>
      <w:tr w:rsidR="00871143" w:rsidRPr="00F423B9" w14:paraId="6FDBB1E3" w14:textId="77777777" w:rsidTr="009960E0">
        <w:trPr>
          <w:trHeight w:val="300"/>
        </w:trPr>
        <w:tc>
          <w:tcPr>
            <w:cnfStyle w:val="001000000000" w:firstRow="0" w:lastRow="0" w:firstColumn="1" w:lastColumn="0" w:oddVBand="0" w:evenVBand="0" w:oddHBand="0" w:evenHBand="0" w:firstRowFirstColumn="0" w:firstRowLastColumn="0" w:lastRowFirstColumn="0" w:lastRowLastColumn="0"/>
            <w:tcW w:w="1401" w:type="pct"/>
          </w:tcPr>
          <w:p w14:paraId="2F6E3541" w14:textId="77777777" w:rsidR="007A66F5" w:rsidRPr="00F423B9" w:rsidRDefault="007A66F5" w:rsidP="004C07C6">
            <w:pPr>
              <w:spacing w:after="120"/>
              <w:rPr>
                <w:rFonts w:asciiTheme="majorHAnsi" w:eastAsia="Calibri" w:hAnsiTheme="majorHAnsi"/>
                <w:bCs/>
                <w:noProof/>
                <w:color w:val="003399" w:themeColor="text2"/>
                <w:sz w:val="22"/>
                <w:szCs w:val="22"/>
              </w:rPr>
            </w:pPr>
            <w:r w:rsidRPr="00F423B9">
              <w:rPr>
                <w:rFonts w:asciiTheme="majorHAnsi" w:eastAsia="Calibri" w:hAnsiTheme="majorHAnsi"/>
                <w:bCs/>
                <w:noProof/>
                <w:color w:val="003399" w:themeColor="text2"/>
                <w:sz w:val="22"/>
                <w:szCs w:val="22"/>
              </w:rPr>
              <w:t>5 Security and Defence</w:t>
            </w:r>
          </w:p>
        </w:tc>
        <w:tc>
          <w:tcPr>
            <w:tcW w:w="450" w:type="pct"/>
            <w:tcBorders>
              <w:top w:val="nil"/>
              <w:left w:val="nil"/>
              <w:bottom w:val="single" w:sz="8" w:space="0" w:color="BFBFBF"/>
              <w:right w:val="single" w:sz="8" w:space="0" w:color="BFBFBF"/>
            </w:tcBorders>
            <w:vAlign w:val="center"/>
          </w:tcPr>
          <w:p w14:paraId="2FE2AAF3" w14:textId="044EA633"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b/>
                <w:noProof/>
                <w:color w:val="003399" w:themeColor="text2"/>
              </w:rPr>
              <w:t>2.2</w:t>
            </w:r>
          </w:p>
        </w:tc>
        <w:tc>
          <w:tcPr>
            <w:tcW w:w="450" w:type="pct"/>
            <w:tcBorders>
              <w:top w:val="nil"/>
              <w:left w:val="nil"/>
              <w:bottom w:val="single" w:sz="8" w:space="0" w:color="BFBFBF"/>
              <w:right w:val="single" w:sz="8" w:space="0" w:color="BFBFBF"/>
            </w:tcBorders>
            <w:vAlign w:val="center"/>
          </w:tcPr>
          <w:p w14:paraId="25C508F7" w14:textId="6331303D"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b/>
                <w:noProof/>
                <w:color w:val="003399" w:themeColor="text2"/>
              </w:rPr>
              <w:t>2.1</w:t>
            </w:r>
          </w:p>
        </w:tc>
        <w:tc>
          <w:tcPr>
            <w:tcW w:w="450" w:type="pct"/>
            <w:tcBorders>
              <w:top w:val="nil"/>
              <w:left w:val="nil"/>
              <w:bottom w:val="single" w:sz="8" w:space="0" w:color="BFBFBF"/>
              <w:right w:val="single" w:sz="8" w:space="0" w:color="BFBFBF"/>
            </w:tcBorders>
            <w:vAlign w:val="center"/>
          </w:tcPr>
          <w:p w14:paraId="12F5B9A9" w14:textId="71147736"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b/>
                <w:noProof/>
                <w:color w:val="003399" w:themeColor="text2"/>
              </w:rPr>
              <w:t>1.6</w:t>
            </w:r>
          </w:p>
        </w:tc>
        <w:tc>
          <w:tcPr>
            <w:tcW w:w="450" w:type="pct"/>
            <w:tcBorders>
              <w:top w:val="nil"/>
              <w:left w:val="nil"/>
              <w:bottom w:val="single" w:sz="8" w:space="0" w:color="BFBFBF"/>
              <w:right w:val="single" w:sz="8" w:space="0" w:color="BFBFBF"/>
            </w:tcBorders>
            <w:vAlign w:val="center"/>
          </w:tcPr>
          <w:p w14:paraId="00E6733B" w14:textId="392E57C4"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282CDB">
              <w:rPr>
                <w:rFonts w:asciiTheme="minorHAnsi" w:hAnsiTheme="minorHAnsi"/>
                <w:b/>
                <w:noProof/>
                <w:color w:val="003399" w:themeColor="text2"/>
              </w:rPr>
              <w:t>1.3</w:t>
            </w:r>
          </w:p>
        </w:tc>
        <w:tc>
          <w:tcPr>
            <w:tcW w:w="450" w:type="pct"/>
            <w:tcBorders>
              <w:top w:val="nil"/>
              <w:left w:val="nil"/>
              <w:bottom w:val="single" w:sz="8" w:space="0" w:color="BFBFBF"/>
              <w:right w:val="single" w:sz="8" w:space="0" w:color="BFBFBF"/>
            </w:tcBorders>
            <w:vAlign w:val="center"/>
          </w:tcPr>
          <w:p w14:paraId="6B0BB6F5" w14:textId="41E9CB80"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b/>
                <w:noProof/>
                <w:color w:val="003399" w:themeColor="text2"/>
              </w:rPr>
              <w:t>0.9</w:t>
            </w:r>
          </w:p>
        </w:tc>
        <w:tc>
          <w:tcPr>
            <w:tcW w:w="450" w:type="pct"/>
            <w:tcBorders>
              <w:top w:val="nil"/>
              <w:left w:val="nil"/>
              <w:bottom w:val="single" w:sz="8" w:space="0" w:color="BFBFBF"/>
              <w:right w:val="single" w:sz="8" w:space="0" w:color="BFBFBF"/>
            </w:tcBorders>
            <w:vAlign w:val="center"/>
          </w:tcPr>
          <w:p w14:paraId="43DBF28F" w14:textId="4130CA69"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b/>
                <w:noProof/>
                <w:color w:val="003399" w:themeColor="text2"/>
              </w:rPr>
              <w:t>0.3</w:t>
            </w:r>
          </w:p>
        </w:tc>
        <w:tc>
          <w:tcPr>
            <w:tcW w:w="450" w:type="pct"/>
            <w:tcBorders>
              <w:top w:val="nil"/>
              <w:left w:val="nil"/>
              <w:bottom w:val="single" w:sz="8" w:space="0" w:color="BFBFBF"/>
              <w:right w:val="single" w:sz="8" w:space="0" w:color="BFBFBF"/>
            </w:tcBorders>
            <w:vAlign w:val="center"/>
          </w:tcPr>
          <w:p w14:paraId="38E7CEAB" w14:textId="07D200FB"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b/>
                <w:noProof/>
                <w:color w:val="003399" w:themeColor="text2"/>
              </w:rPr>
              <w:t>0.1</w:t>
            </w:r>
          </w:p>
        </w:tc>
        <w:tc>
          <w:tcPr>
            <w:tcW w:w="449" w:type="pct"/>
            <w:tcBorders>
              <w:top w:val="nil"/>
              <w:left w:val="nil"/>
              <w:bottom w:val="single" w:sz="8" w:space="0" w:color="BFBFBF"/>
              <w:right w:val="nil"/>
            </w:tcBorders>
            <w:vAlign w:val="center"/>
          </w:tcPr>
          <w:p w14:paraId="77E03845" w14:textId="1E7C40B4" w:rsidR="007A66F5" w:rsidRPr="00EA5E58"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EA5E58">
              <w:rPr>
                <w:b/>
                <w:noProof/>
                <w:color w:val="000000" w:themeColor="text1"/>
                <w:sz w:val="22"/>
                <w:szCs w:val="22"/>
              </w:rPr>
              <w:t>8.5</w:t>
            </w:r>
          </w:p>
        </w:tc>
      </w:tr>
      <w:tr w:rsidR="00871143" w:rsidRPr="00F423B9" w14:paraId="52FABBBE" w14:textId="77777777" w:rsidTr="00DF4BE1">
        <w:trPr>
          <w:trHeight w:val="300"/>
        </w:trPr>
        <w:tc>
          <w:tcPr>
            <w:cnfStyle w:val="001000000000" w:firstRow="0" w:lastRow="0" w:firstColumn="1" w:lastColumn="0" w:oddVBand="0" w:evenVBand="0" w:oddHBand="0" w:evenHBand="0" w:firstRowFirstColumn="0" w:firstRowLastColumn="0" w:lastRowFirstColumn="0" w:lastRowLastColumn="0"/>
            <w:tcW w:w="1401" w:type="pct"/>
            <w:shd w:val="clear" w:color="auto" w:fill="F3F7FF" w:themeFill="background2"/>
          </w:tcPr>
          <w:p w14:paraId="5A44575C" w14:textId="77777777" w:rsidR="007A66F5" w:rsidRPr="00F423B9" w:rsidRDefault="007A66F5" w:rsidP="004C07C6">
            <w:pPr>
              <w:spacing w:after="120"/>
              <w:rPr>
                <w:rFonts w:asciiTheme="majorHAnsi" w:eastAsia="Calibri" w:hAnsiTheme="majorHAnsi"/>
                <w:bCs/>
                <w:noProof/>
                <w:color w:val="003399" w:themeColor="text2"/>
                <w:sz w:val="22"/>
                <w:szCs w:val="22"/>
              </w:rPr>
            </w:pPr>
            <w:r w:rsidRPr="00F423B9">
              <w:rPr>
                <w:rFonts w:asciiTheme="majorHAnsi" w:eastAsia="Calibri" w:hAnsiTheme="majorHAnsi"/>
                <w:bCs/>
                <w:noProof/>
                <w:color w:val="003399" w:themeColor="text2"/>
                <w:sz w:val="22"/>
                <w:szCs w:val="22"/>
              </w:rPr>
              <w:t>6 Neighbourhood and the World</w:t>
            </w:r>
          </w:p>
        </w:tc>
        <w:tc>
          <w:tcPr>
            <w:tcW w:w="450" w:type="pct"/>
            <w:tcBorders>
              <w:top w:val="nil"/>
              <w:left w:val="nil"/>
              <w:bottom w:val="single" w:sz="8" w:space="0" w:color="BFBFBF"/>
              <w:right w:val="single" w:sz="8" w:space="0" w:color="BFBFBF"/>
            </w:tcBorders>
            <w:shd w:val="clear" w:color="auto" w:fill="F3F7FF" w:themeFill="background2"/>
            <w:vAlign w:val="center"/>
          </w:tcPr>
          <w:p w14:paraId="362FA53E" w14:textId="5B523007"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b/>
                <w:noProof/>
                <w:color w:val="003399" w:themeColor="text2"/>
              </w:rPr>
              <w:t>16.0</w:t>
            </w:r>
          </w:p>
        </w:tc>
        <w:tc>
          <w:tcPr>
            <w:tcW w:w="450" w:type="pct"/>
            <w:tcBorders>
              <w:top w:val="nil"/>
              <w:left w:val="nil"/>
              <w:bottom w:val="single" w:sz="8" w:space="0" w:color="BFBFBF"/>
              <w:right w:val="single" w:sz="8" w:space="0" w:color="BFBFBF"/>
            </w:tcBorders>
            <w:shd w:val="clear" w:color="auto" w:fill="F3F7FF" w:themeFill="background2"/>
            <w:vAlign w:val="center"/>
          </w:tcPr>
          <w:p w14:paraId="5CE3088C" w14:textId="1FCAF09D"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b/>
                <w:noProof/>
                <w:color w:val="003399" w:themeColor="text2"/>
              </w:rPr>
              <w:t>12.7</w:t>
            </w:r>
          </w:p>
        </w:tc>
        <w:tc>
          <w:tcPr>
            <w:tcW w:w="450" w:type="pct"/>
            <w:tcBorders>
              <w:top w:val="nil"/>
              <w:left w:val="nil"/>
              <w:bottom w:val="single" w:sz="8" w:space="0" w:color="BFBFBF"/>
              <w:right w:val="single" w:sz="8" w:space="0" w:color="BFBFBF"/>
            </w:tcBorders>
            <w:shd w:val="clear" w:color="auto" w:fill="F3F7FF" w:themeFill="background2"/>
            <w:vAlign w:val="center"/>
          </w:tcPr>
          <w:p w14:paraId="0CCBD893" w14:textId="477D8BDB"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b/>
                <w:noProof/>
                <w:color w:val="003399" w:themeColor="text2"/>
              </w:rPr>
              <w:t>11.1</w:t>
            </w:r>
          </w:p>
        </w:tc>
        <w:tc>
          <w:tcPr>
            <w:tcW w:w="450" w:type="pct"/>
            <w:tcBorders>
              <w:top w:val="nil"/>
              <w:left w:val="nil"/>
              <w:bottom w:val="single" w:sz="8" w:space="0" w:color="BFBFBF"/>
              <w:right w:val="single" w:sz="8" w:space="0" w:color="BFBFBF"/>
            </w:tcBorders>
            <w:shd w:val="clear" w:color="auto" w:fill="F3F7FF" w:themeFill="background2"/>
            <w:vAlign w:val="center"/>
          </w:tcPr>
          <w:p w14:paraId="444AEF29" w14:textId="366B1BB6"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282CDB">
              <w:rPr>
                <w:rFonts w:asciiTheme="minorHAnsi" w:hAnsiTheme="minorHAnsi"/>
                <w:b/>
                <w:noProof/>
                <w:color w:val="003399" w:themeColor="text2"/>
              </w:rPr>
              <w:t>6.3</w:t>
            </w:r>
          </w:p>
        </w:tc>
        <w:tc>
          <w:tcPr>
            <w:tcW w:w="450" w:type="pct"/>
            <w:tcBorders>
              <w:top w:val="nil"/>
              <w:left w:val="nil"/>
              <w:bottom w:val="single" w:sz="8" w:space="0" w:color="BFBFBF"/>
              <w:right w:val="single" w:sz="8" w:space="0" w:color="BFBFBF"/>
            </w:tcBorders>
            <w:shd w:val="clear" w:color="auto" w:fill="F3F7FF" w:themeFill="background2"/>
            <w:vAlign w:val="center"/>
          </w:tcPr>
          <w:p w14:paraId="0C4F391D" w14:textId="4612F613"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b/>
                <w:noProof/>
                <w:color w:val="003399" w:themeColor="text2"/>
              </w:rPr>
              <w:t>3.4</w:t>
            </w:r>
          </w:p>
        </w:tc>
        <w:tc>
          <w:tcPr>
            <w:tcW w:w="450" w:type="pct"/>
            <w:tcBorders>
              <w:top w:val="nil"/>
              <w:left w:val="nil"/>
              <w:bottom w:val="single" w:sz="8" w:space="0" w:color="BFBFBF"/>
              <w:right w:val="single" w:sz="8" w:space="0" w:color="BFBFBF"/>
            </w:tcBorders>
            <w:shd w:val="clear" w:color="auto" w:fill="F3F7FF" w:themeFill="background2"/>
            <w:vAlign w:val="center"/>
          </w:tcPr>
          <w:p w14:paraId="469C0973" w14:textId="60771263"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b/>
                <w:noProof/>
                <w:color w:val="003399" w:themeColor="text2"/>
              </w:rPr>
              <w:t>2.8</w:t>
            </w:r>
          </w:p>
        </w:tc>
        <w:tc>
          <w:tcPr>
            <w:tcW w:w="450" w:type="pct"/>
            <w:tcBorders>
              <w:top w:val="nil"/>
              <w:left w:val="nil"/>
              <w:bottom w:val="single" w:sz="8" w:space="0" w:color="BFBFBF"/>
              <w:right w:val="single" w:sz="8" w:space="0" w:color="BFBFBF"/>
            </w:tcBorders>
            <w:shd w:val="clear" w:color="auto" w:fill="F3F7FF" w:themeFill="background2"/>
            <w:vAlign w:val="center"/>
          </w:tcPr>
          <w:p w14:paraId="4DC5A8C9" w14:textId="530957D9"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b/>
                <w:noProof/>
                <w:color w:val="003399" w:themeColor="text2"/>
              </w:rPr>
              <w:t>1.2</w:t>
            </w:r>
          </w:p>
        </w:tc>
        <w:tc>
          <w:tcPr>
            <w:tcW w:w="449" w:type="pct"/>
            <w:tcBorders>
              <w:top w:val="nil"/>
              <w:left w:val="nil"/>
              <w:bottom w:val="single" w:sz="8" w:space="0" w:color="BFBFBF"/>
              <w:right w:val="nil"/>
            </w:tcBorders>
            <w:shd w:val="clear" w:color="auto" w:fill="F3F7FF" w:themeFill="background2"/>
            <w:vAlign w:val="center"/>
          </w:tcPr>
          <w:p w14:paraId="03404098" w14:textId="287C11A6" w:rsidR="007A66F5" w:rsidRPr="00EA5E58"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EA5E58">
              <w:rPr>
                <w:b/>
                <w:noProof/>
                <w:color w:val="000000" w:themeColor="text1"/>
                <w:sz w:val="22"/>
                <w:szCs w:val="22"/>
              </w:rPr>
              <w:t>53.4</w:t>
            </w:r>
          </w:p>
        </w:tc>
      </w:tr>
      <w:tr w:rsidR="006D268C" w:rsidRPr="00F423B9" w14:paraId="20E5E4C6" w14:textId="77777777" w:rsidTr="009960E0">
        <w:trPr>
          <w:trHeight w:val="300"/>
        </w:trPr>
        <w:tc>
          <w:tcPr>
            <w:cnfStyle w:val="001000000000" w:firstRow="0" w:lastRow="0" w:firstColumn="1" w:lastColumn="0" w:oddVBand="0" w:evenVBand="0" w:oddHBand="0" w:evenHBand="0" w:firstRowFirstColumn="0" w:firstRowLastColumn="0" w:lastRowFirstColumn="0" w:lastRowLastColumn="0"/>
            <w:tcW w:w="1401" w:type="pct"/>
          </w:tcPr>
          <w:p w14:paraId="78014E86" w14:textId="77777777" w:rsidR="007A66F5" w:rsidRPr="00F423B9" w:rsidRDefault="007A66F5" w:rsidP="00BC65B0">
            <w:pPr>
              <w:spacing w:after="120"/>
              <w:rPr>
                <w:rFonts w:asciiTheme="majorHAnsi" w:eastAsia="Calibri" w:hAnsiTheme="majorHAnsi"/>
                <w:bCs/>
                <w:noProof/>
                <w:color w:val="003399" w:themeColor="text2"/>
                <w:sz w:val="22"/>
                <w:szCs w:val="22"/>
              </w:rPr>
            </w:pPr>
            <w:r w:rsidRPr="00F423B9">
              <w:rPr>
                <w:rFonts w:asciiTheme="majorHAnsi" w:eastAsia="Calibri" w:hAnsiTheme="majorHAnsi"/>
                <w:bCs/>
                <w:noProof/>
                <w:color w:val="003399" w:themeColor="text2"/>
                <w:sz w:val="22"/>
                <w:szCs w:val="22"/>
              </w:rPr>
              <w:t>7 European Public Administration</w:t>
            </w:r>
          </w:p>
        </w:tc>
        <w:tc>
          <w:tcPr>
            <w:tcW w:w="450" w:type="pct"/>
            <w:tcBorders>
              <w:top w:val="nil"/>
              <w:left w:val="nil"/>
              <w:bottom w:val="single" w:sz="8" w:space="0" w:color="BFBFBF"/>
              <w:right w:val="single" w:sz="8" w:space="0" w:color="BFBFBF"/>
            </w:tcBorders>
            <w:vAlign w:val="center"/>
          </w:tcPr>
          <w:p w14:paraId="3AA6DB5C" w14:textId="519A14B7"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b/>
                <w:noProof/>
                <w:color w:val="003399" w:themeColor="text2"/>
              </w:rPr>
              <w:t>13.7</w:t>
            </w:r>
          </w:p>
        </w:tc>
        <w:tc>
          <w:tcPr>
            <w:tcW w:w="450" w:type="pct"/>
            <w:tcBorders>
              <w:top w:val="single" w:sz="8" w:space="0" w:color="BFBFBF"/>
              <w:left w:val="nil"/>
              <w:bottom w:val="single" w:sz="8" w:space="0" w:color="BFBFBF"/>
              <w:right w:val="single" w:sz="8" w:space="0" w:color="BFBFBF"/>
            </w:tcBorders>
            <w:vAlign w:val="center"/>
          </w:tcPr>
          <w:p w14:paraId="2E3A2E84" w14:textId="3ABDE3C6"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vAlign w:val="center"/>
          </w:tcPr>
          <w:p w14:paraId="09174C7B" w14:textId="21D7EDEF"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vAlign w:val="center"/>
          </w:tcPr>
          <w:p w14:paraId="6AEDD656" w14:textId="73CFBCD8"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282CDB">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vAlign w:val="center"/>
          </w:tcPr>
          <w:p w14:paraId="7DE07370" w14:textId="038C8E34"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vAlign w:val="center"/>
          </w:tcPr>
          <w:p w14:paraId="2E2DE921" w14:textId="42380B60"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vAlign w:val="center"/>
          </w:tcPr>
          <w:p w14:paraId="2C5E3B83" w14:textId="7B193B56"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b/>
                <w:noProof/>
                <w:color w:val="003399" w:themeColor="text2"/>
              </w:rPr>
              <w:t>0.0</w:t>
            </w:r>
          </w:p>
        </w:tc>
        <w:tc>
          <w:tcPr>
            <w:tcW w:w="449" w:type="pct"/>
            <w:tcBorders>
              <w:top w:val="nil"/>
              <w:left w:val="nil"/>
              <w:bottom w:val="single" w:sz="8" w:space="0" w:color="BFBFBF"/>
              <w:right w:val="nil"/>
            </w:tcBorders>
            <w:vAlign w:val="center"/>
          </w:tcPr>
          <w:p w14:paraId="5DDDCBF2" w14:textId="12064DCD" w:rsidR="007A66F5" w:rsidRPr="00EA5E58"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EA5E58">
              <w:rPr>
                <w:b/>
                <w:noProof/>
                <w:color w:val="000000" w:themeColor="text1"/>
                <w:sz w:val="22"/>
                <w:szCs w:val="22"/>
              </w:rPr>
              <w:t>13.7</w:t>
            </w:r>
          </w:p>
        </w:tc>
      </w:tr>
      <w:tr w:rsidR="006D268C" w:rsidRPr="00F423B9" w14:paraId="43FD8BC9" w14:textId="77777777" w:rsidTr="00DF4BE1">
        <w:trPr>
          <w:trHeight w:val="300"/>
        </w:trPr>
        <w:tc>
          <w:tcPr>
            <w:cnfStyle w:val="001000000000" w:firstRow="0" w:lastRow="0" w:firstColumn="1" w:lastColumn="0" w:oddVBand="0" w:evenVBand="0" w:oddHBand="0" w:evenHBand="0" w:firstRowFirstColumn="0" w:firstRowLastColumn="0" w:lastRowFirstColumn="0" w:lastRowLastColumn="0"/>
            <w:tcW w:w="1401" w:type="pct"/>
            <w:shd w:val="clear" w:color="auto" w:fill="F3F7FF" w:themeFill="background2"/>
          </w:tcPr>
          <w:p w14:paraId="380294AF" w14:textId="29D20839" w:rsidR="007A66F5" w:rsidRPr="00F423B9" w:rsidRDefault="009D35B3" w:rsidP="00BC65B0">
            <w:pPr>
              <w:spacing w:after="120"/>
              <w:rPr>
                <w:rFonts w:asciiTheme="majorHAnsi" w:eastAsia="Calibri" w:hAnsiTheme="majorHAnsi"/>
                <w:bCs/>
                <w:noProof/>
                <w:color w:val="003399" w:themeColor="text2"/>
                <w:sz w:val="22"/>
                <w:szCs w:val="22"/>
              </w:rPr>
            </w:pPr>
            <w:r w:rsidRPr="009D35B3">
              <w:rPr>
                <w:rFonts w:asciiTheme="majorHAnsi" w:eastAsia="Calibri" w:hAnsiTheme="majorHAnsi"/>
                <w:bCs/>
                <w:noProof/>
                <w:color w:val="003399" w:themeColor="text2"/>
                <w:sz w:val="22"/>
                <w:szCs w:val="22"/>
              </w:rPr>
              <w:t>O Outside the MFF ceilings</w:t>
            </w:r>
          </w:p>
        </w:tc>
        <w:tc>
          <w:tcPr>
            <w:tcW w:w="450" w:type="pct"/>
            <w:tcBorders>
              <w:top w:val="nil"/>
              <w:left w:val="nil"/>
              <w:bottom w:val="single" w:sz="8" w:space="0" w:color="BFBFBF"/>
              <w:right w:val="single" w:sz="8" w:space="0" w:color="BFBFBF"/>
            </w:tcBorders>
            <w:shd w:val="clear" w:color="auto" w:fill="F3F7FF" w:themeFill="background2"/>
            <w:vAlign w:val="center"/>
          </w:tcPr>
          <w:p w14:paraId="0FECABE5" w14:textId="2CF1890F"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b/>
                <w:noProof/>
                <w:color w:val="003399" w:themeColor="text2"/>
              </w:rPr>
              <w:t>7.6</w:t>
            </w:r>
          </w:p>
        </w:tc>
        <w:tc>
          <w:tcPr>
            <w:tcW w:w="450" w:type="pct"/>
            <w:tcBorders>
              <w:top w:val="nil"/>
              <w:left w:val="nil"/>
              <w:bottom w:val="single" w:sz="8" w:space="0" w:color="BFBFBF"/>
              <w:right w:val="single" w:sz="8" w:space="0" w:color="BFBFBF"/>
            </w:tcBorders>
            <w:shd w:val="clear" w:color="auto" w:fill="F3F7FF" w:themeFill="background2"/>
            <w:vAlign w:val="center"/>
          </w:tcPr>
          <w:p w14:paraId="058B1D61" w14:textId="16E3792F"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b/>
                <w:noProof/>
                <w:color w:val="003399" w:themeColor="text2"/>
              </w:rPr>
              <w:t>0.6</w:t>
            </w:r>
          </w:p>
        </w:tc>
        <w:tc>
          <w:tcPr>
            <w:tcW w:w="450" w:type="pct"/>
            <w:tcBorders>
              <w:top w:val="nil"/>
              <w:left w:val="nil"/>
              <w:bottom w:val="single" w:sz="8" w:space="0" w:color="BFBFBF"/>
              <w:right w:val="single" w:sz="8" w:space="0" w:color="BFBFBF"/>
            </w:tcBorders>
            <w:shd w:val="clear" w:color="auto" w:fill="F3F7FF" w:themeFill="background2"/>
            <w:vAlign w:val="center"/>
          </w:tcPr>
          <w:p w14:paraId="44F2B3A8" w14:textId="2FACAD08"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b/>
                <w:noProof/>
                <w:color w:val="003399" w:themeColor="text2"/>
              </w:rPr>
              <w:t>0.3</w:t>
            </w:r>
          </w:p>
        </w:tc>
        <w:tc>
          <w:tcPr>
            <w:tcW w:w="450" w:type="pct"/>
            <w:tcBorders>
              <w:top w:val="single" w:sz="8" w:space="0" w:color="BFBFBF"/>
              <w:left w:val="nil"/>
              <w:bottom w:val="single" w:sz="8" w:space="0" w:color="BFBFBF"/>
              <w:right w:val="single" w:sz="8" w:space="0" w:color="BFBFBF"/>
            </w:tcBorders>
            <w:shd w:val="clear" w:color="auto" w:fill="F3F7FF" w:themeFill="background2"/>
            <w:vAlign w:val="center"/>
          </w:tcPr>
          <w:p w14:paraId="2DE30E52" w14:textId="0E76E526"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282CDB">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shd w:val="clear" w:color="auto" w:fill="F3F7FF" w:themeFill="background2"/>
            <w:vAlign w:val="center"/>
          </w:tcPr>
          <w:p w14:paraId="7AA934E8" w14:textId="0241A319"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shd w:val="clear" w:color="auto" w:fill="F3F7FF" w:themeFill="background2"/>
            <w:vAlign w:val="center"/>
          </w:tcPr>
          <w:p w14:paraId="485F8F4F" w14:textId="2B1AA3B7"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shd w:val="clear" w:color="auto" w:fill="F3F7FF" w:themeFill="background2"/>
            <w:vAlign w:val="center"/>
          </w:tcPr>
          <w:p w14:paraId="15099A40" w14:textId="38076EB6"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b/>
                <w:noProof/>
                <w:color w:val="003399" w:themeColor="text2"/>
              </w:rPr>
              <w:t>0.0</w:t>
            </w:r>
          </w:p>
        </w:tc>
        <w:tc>
          <w:tcPr>
            <w:tcW w:w="449" w:type="pct"/>
            <w:tcBorders>
              <w:top w:val="nil"/>
              <w:left w:val="nil"/>
              <w:bottom w:val="single" w:sz="8" w:space="0" w:color="BFBFBF"/>
              <w:right w:val="nil"/>
            </w:tcBorders>
            <w:shd w:val="clear" w:color="auto" w:fill="F3F7FF" w:themeFill="background2"/>
            <w:vAlign w:val="center"/>
          </w:tcPr>
          <w:p w14:paraId="2C6F46D8" w14:textId="102F14B0" w:rsidR="007A66F5" w:rsidRPr="00EA5E58"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EA5E58">
              <w:rPr>
                <w:b/>
                <w:noProof/>
                <w:color w:val="000000" w:themeColor="text1"/>
                <w:sz w:val="22"/>
                <w:szCs w:val="22"/>
              </w:rPr>
              <w:t>8.4</w:t>
            </w:r>
          </w:p>
        </w:tc>
      </w:tr>
      <w:tr w:rsidR="006D268C" w:rsidRPr="00F423B9" w14:paraId="67BD657C" w14:textId="77777777" w:rsidTr="009960E0">
        <w:trPr>
          <w:trHeight w:val="300"/>
        </w:trPr>
        <w:tc>
          <w:tcPr>
            <w:cnfStyle w:val="001000000000" w:firstRow="0" w:lastRow="0" w:firstColumn="1" w:lastColumn="0" w:oddVBand="0" w:evenVBand="0" w:oddHBand="0" w:evenHBand="0" w:firstRowFirstColumn="0" w:firstRowLastColumn="0" w:lastRowFirstColumn="0" w:lastRowLastColumn="0"/>
            <w:tcW w:w="1401" w:type="pct"/>
          </w:tcPr>
          <w:p w14:paraId="2E863BF3" w14:textId="77777777" w:rsidR="007A66F5" w:rsidRPr="00F423B9" w:rsidRDefault="007A66F5" w:rsidP="00BC65B0">
            <w:pPr>
              <w:spacing w:after="120"/>
              <w:rPr>
                <w:rFonts w:asciiTheme="majorHAnsi" w:eastAsia="Calibri" w:hAnsiTheme="majorHAnsi"/>
                <w:bCs/>
                <w:noProof/>
                <w:color w:val="003399" w:themeColor="text2"/>
                <w:sz w:val="22"/>
                <w:szCs w:val="22"/>
              </w:rPr>
            </w:pPr>
            <w:r w:rsidRPr="00F423B9">
              <w:rPr>
                <w:rFonts w:asciiTheme="majorHAnsi" w:eastAsia="Calibri" w:hAnsiTheme="majorHAnsi"/>
                <w:bCs/>
                <w:noProof/>
                <w:color w:val="003399" w:themeColor="text2"/>
                <w:sz w:val="22"/>
                <w:szCs w:val="22"/>
              </w:rPr>
              <w:t>Special Instruments</w:t>
            </w:r>
          </w:p>
        </w:tc>
        <w:tc>
          <w:tcPr>
            <w:tcW w:w="450" w:type="pct"/>
            <w:tcBorders>
              <w:top w:val="nil"/>
              <w:left w:val="nil"/>
              <w:bottom w:val="single" w:sz="8" w:space="0" w:color="BFBFBF"/>
              <w:right w:val="single" w:sz="8" w:space="0" w:color="BFBFBF"/>
            </w:tcBorders>
            <w:vAlign w:val="center"/>
          </w:tcPr>
          <w:p w14:paraId="4DA933D2" w14:textId="1AE2546D"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b/>
                <w:noProof/>
                <w:color w:val="003399" w:themeColor="text2"/>
              </w:rPr>
              <w:t>1.9</w:t>
            </w:r>
          </w:p>
        </w:tc>
        <w:tc>
          <w:tcPr>
            <w:tcW w:w="450" w:type="pct"/>
            <w:tcBorders>
              <w:top w:val="single" w:sz="8" w:space="0" w:color="BFBFBF"/>
              <w:left w:val="nil"/>
              <w:bottom w:val="single" w:sz="8" w:space="0" w:color="BFBFBF"/>
              <w:right w:val="single" w:sz="8" w:space="0" w:color="BFBFBF"/>
            </w:tcBorders>
            <w:vAlign w:val="center"/>
          </w:tcPr>
          <w:p w14:paraId="6F35E69D" w14:textId="79394BDF"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vAlign w:val="center"/>
          </w:tcPr>
          <w:p w14:paraId="01DD0163" w14:textId="2620A319"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282CDB">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vAlign w:val="center"/>
          </w:tcPr>
          <w:p w14:paraId="5D734AF3" w14:textId="4D1DBDF0" w:rsidR="007A66F5" w:rsidRPr="00282CDB"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282CDB">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vAlign w:val="center"/>
          </w:tcPr>
          <w:p w14:paraId="72EE4A35" w14:textId="090C8173"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vAlign w:val="center"/>
          </w:tcPr>
          <w:p w14:paraId="2C6592F3" w14:textId="3FCEC369"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b/>
                <w:noProof/>
                <w:color w:val="003399" w:themeColor="text2"/>
              </w:rPr>
              <w:t>0.0</w:t>
            </w:r>
          </w:p>
        </w:tc>
        <w:tc>
          <w:tcPr>
            <w:tcW w:w="450" w:type="pct"/>
            <w:tcBorders>
              <w:top w:val="single" w:sz="8" w:space="0" w:color="BFBFBF"/>
              <w:left w:val="nil"/>
              <w:bottom w:val="single" w:sz="8" w:space="0" w:color="BFBFBF"/>
              <w:right w:val="single" w:sz="8" w:space="0" w:color="BFBFBF"/>
            </w:tcBorders>
            <w:vAlign w:val="center"/>
          </w:tcPr>
          <w:p w14:paraId="4C51BAD8" w14:textId="7A2B7A8B" w:rsidR="007A66F5" w:rsidRPr="00EC5FD9"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282CDB">
              <w:rPr>
                <w:rFonts w:asciiTheme="minorHAnsi" w:hAnsiTheme="minorHAnsi"/>
                <w:b/>
                <w:noProof/>
                <w:color w:val="003399" w:themeColor="text2"/>
              </w:rPr>
              <w:t>0.0</w:t>
            </w:r>
          </w:p>
        </w:tc>
        <w:tc>
          <w:tcPr>
            <w:tcW w:w="449" w:type="pct"/>
            <w:tcBorders>
              <w:top w:val="nil"/>
              <w:left w:val="nil"/>
              <w:bottom w:val="single" w:sz="8" w:space="0" w:color="BFBFBF"/>
              <w:right w:val="nil"/>
            </w:tcBorders>
            <w:vAlign w:val="center"/>
          </w:tcPr>
          <w:p w14:paraId="168AD942" w14:textId="710919CF" w:rsidR="007A66F5" w:rsidRPr="00EA5E58" w:rsidRDefault="00B3421B" w:rsidP="00282CD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rPr>
            </w:pPr>
            <w:r w:rsidRPr="00EA5E58">
              <w:rPr>
                <w:b/>
                <w:noProof/>
                <w:color w:val="000000" w:themeColor="text1"/>
                <w:sz w:val="22"/>
                <w:szCs w:val="22"/>
              </w:rPr>
              <w:t>1.9</w:t>
            </w:r>
          </w:p>
        </w:tc>
      </w:tr>
      <w:tr w:rsidR="00607FF2" w:rsidRPr="00F423B9" w14:paraId="6A0EBD92" w14:textId="77777777" w:rsidTr="0071020D">
        <w:trPr>
          <w:trHeight w:val="300"/>
        </w:trPr>
        <w:tc>
          <w:tcPr>
            <w:cnfStyle w:val="001000000000" w:firstRow="0" w:lastRow="0" w:firstColumn="1" w:lastColumn="0" w:oddVBand="0" w:evenVBand="0" w:oddHBand="0" w:evenHBand="0" w:firstRowFirstColumn="0" w:firstRowLastColumn="0" w:lastRowFirstColumn="0" w:lastRowLastColumn="0"/>
            <w:tcW w:w="0" w:type="pct"/>
            <w:shd w:val="clear" w:color="auto" w:fill="D9D9D9" w:themeFill="background1" w:themeFillShade="D9"/>
          </w:tcPr>
          <w:p w14:paraId="67EB32D7" w14:textId="77777777" w:rsidR="007A66F5" w:rsidRPr="00C5567C" w:rsidRDefault="007A66F5" w:rsidP="00B35585">
            <w:pPr>
              <w:spacing w:after="120"/>
              <w:rPr>
                <w:rFonts w:asciiTheme="majorHAnsi" w:hAnsiTheme="majorHAnsi"/>
                <w:noProof/>
                <w:color w:val="000000" w:themeColor="text1"/>
                <w:sz w:val="22"/>
                <w:szCs w:val="22"/>
              </w:rPr>
            </w:pPr>
            <w:r w:rsidRPr="00C5567C">
              <w:rPr>
                <w:rFonts w:asciiTheme="majorHAnsi" w:hAnsiTheme="majorHAnsi"/>
                <w:noProof/>
                <w:color w:val="000000" w:themeColor="text1"/>
                <w:sz w:val="22"/>
                <w:szCs w:val="22"/>
              </w:rPr>
              <w:t>Total</w:t>
            </w:r>
          </w:p>
        </w:tc>
        <w:tc>
          <w:tcPr>
            <w:tcW w:w="0" w:type="pct"/>
            <w:tcBorders>
              <w:top w:val="nil"/>
              <w:left w:val="nil"/>
              <w:bottom w:val="nil"/>
              <w:right w:val="single" w:sz="8" w:space="0" w:color="BFBFBF"/>
            </w:tcBorders>
            <w:shd w:val="clear" w:color="auto" w:fill="D9D9D9" w:themeFill="background1" w:themeFillShade="D9"/>
            <w:vAlign w:val="center"/>
          </w:tcPr>
          <w:p w14:paraId="3D327656" w14:textId="35EE2226" w:rsidR="007A66F5" w:rsidRPr="003B1D7B" w:rsidRDefault="00B3421B"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noProof/>
                <w:color w:val="000000" w:themeColor="text1"/>
                <w:sz w:val="22"/>
                <w:szCs w:val="22"/>
              </w:rPr>
            </w:pPr>
            <w:r w:rsidRPr="003B1D7B">
              <w:rPr>
                <w:rFonts w:asciiTheme="majorHAnsi" w:hAnsiTheme="majorHAnsi"/>
                <w:b/>
                <w:noProof/>
                <w:color w:val="000000" w:themeColor="text1"/>
                <w:sz w:val="22"/>
                <w:szCs w:val="22"/>
              </w:rPr>
              <w:t>210.3</w:t>
            </w:r>
          </w:p>
        </w:tc>
        <w:tc>
          <w:tcPr>
            <w:tcW w:w="0" w:type="pct"/>
            <w:tcBorders>
              <w:top w:val="nil"/>
              <w:left w:val="nil"/>
              <w:bottom w:val="nil"/>
              <w:right w:val="single" w:sz="8" w:space="0" w:color="BFBFBF"/>
            </w:tcBorders>
            <w:shd w:val="clear" w:color="auto" w:fill="D9D9D9" w:themeFill="background1" w:themeFillShade="D9"/>
            <w:vAlign w:val="center"/>
          </w:tcPr>
          <w:p w14:paraId="53F28461" w14:textId="0E31FDF4" w:rsidR="007A66F5" w:rsidRPr="003B1D7B" w:rsidRDefault="00B3421B"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noProof/>
                <w:color w:val="000000" w:themeColor="text1"/>
                <w:sz w:val="22"/>
                <w:szCs w:val="22"/>
              </w:rPr>
            </w:pPr>
            <w:r w:rsidRPr="003B1D7B">
              <w:rPr>
                <w:rFonts w:asciiTheme="majorHAnsi" w:hAnsiTheme="majorHAnsi"/>
                <w:b/>
                <w:noProof/>
                <w:color w:val="000000" w:themeColor="text1"/>
                <w:sz w:val="22"/>
                <w:szCs w:val="22"/>
              </w:rPr>
              <w:t>121.7</w:t>
            </w:r>
          </w:p>
        </w:tc>
        <w:tc>
          <w:tcPr>
            <w:tcW w:w="0" w:type="pct"/>
            <w:tcBorders>
              <w:top w:val="nil"/>
              <w:left w:val="nil"/>
              <w:bottom w:val="nil"/>
              <w:right w:val="single" w:sz="8" w:space="0" w:color="BFBFBF"/>
            </w:tcBorders>
            <w:shd w:val="clear" w:color="auto" w:fill="D9D9D9" w:themeFill="background1" w:themeFillShade="D9"/>
            <w:vAlign w:val="center"/>
          </w:tcPr>
          <w:p w14:paraId="19CD4D7D" w14:textId="2EE83CB4" w:rsidR="007A66F5" w:rsidRPr="003B1D7B" w:rsidRDefault="00B3421B"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noProof/>
                <w:color w:val="000000" w:themeColor="text1"/>
                <w:sz w:val="22"/>
                <w:szCs w:val="22"/>
              </w:rPr>
            </w:pPr>
            <w:r w:rsidRPr="003B1D7B">
              <w:rPr>
                <w:rFonts w:asciiTheme="majorHAnsi" w:hAnsiTheme="majorHAnsi"/>
                <w:b/>
                <w:noProof/>
                <w:color w:val="000000" w:themeColor="text1"/>
                <w:sz w:val="22"/>
                <w:szCs w:val="22"/>
              </w:rPr>
              <w:t>94.5</w:t>
            </w:r>
          </w:p>
        </w:tc>
        <w:tc>
          <w:tcPr>
            <w:tcW w:w="0" w:type="pct"/>
            <w:tcBorders>
              <w:top w:val="nil"/>
              <w:left w:val="nil"/>
              <w:bottom w:val="nil"/>
              <w:right w:val="single" w:sz="8" w:space="0" w:color="BFBFBF"/>
            </w:tcBorders>
            <w:shd w:val="clear" w:color="auto" w:fill="D9D9D9" w:themeFill="background1" w:themeFillShade="D9"/>
            <w:vAlign w:val="center"/>
          </w:tcPr>
          <w:p w14:paraId="70FD23B7" w14:textId="1E6D8EAC" w:rsidR="007A66F5" w:rsidRPr="003B1D7B" w:rsidRDefault="00B3421B"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noProof/>
                <w:color w:val="000000" w:themeColor="text1"/>
                <w:sz w:val="22"/>
                <w:szCs w:val="22"/>
              </w:rPr>
            </w:pPr>
            <w:r w:rsidRPr="003B1D7B">
              <w:rPr>
                <w:rFonts w:asciiTheme="majorHAnsi" w:hAnsiTheme="majorHAnsi"/>
                <w:b/>
                <w:noProof/>
                <w:color w:val="000000" w:themeColor="text1"/>
                <w:sz w:val="22"/>
                <w:szCs w:val="22"/>
              </w:rPr>
              <w:t>70.9</w:t>
            </w:r>
          </w:p>
        </w:tc>
        <w:tc>
          <w:tcPr>
            <w:tcW w:w="0" w:type="pct"/>
            <w:tcBorders>
              <w:top w:val="nil"/>
              <w:left w:val="nil"/>
              <w:bottom w:val="nil"/>
              <w:right w:val="single" w:sz="8" w:space="0" w:color="BFBFBF"/>
            </w:tcBorders>
            <w:shd w:val="clear" w:color="auto" w:fill="D9D9D9" w:themeFill="background1" w:themeFillShade="D9"/>
            <w:vAlign w:val="center"/>
          </w:tcPr>
          <w:p w14:paraId="4BFE0809" w14:textId="6C0728AF" w:rsidR="007A66F5" w:rsidRPr="003B1D7B" w:rsidRDefault="00B3421B"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noProof/>
                <w:color w:val="000000" w:themeColor="text1"/>
                <w:sz w:val="22"/>
                <w:szCs w:val="22"/>
              </w:rPr>
            </w:pPr>
            <w:r w:rsidRPr="003B1D7B">
              <w:rPr>
                <w:rFonts w:asciiTheme="majorHAnsi" w:hAnsiTheme="majorHAnsi"/>
                <w:b/>
                <w:noProof/>
                <w:color w:val="000000" w:themeColor="text1"/>
                <w:sz w:val="22"/>
                <w:szCs w:val="22"/>
              </w:rPr>
              <w:t>15.6</w:t>
            </w:r>
          </w:p>
        </w:tc>
        <w:tc>
          <w:tcPr>
            <w:tcW w:w="0" w:type="pct"/>
            <w:tcBorders>
              <w:top w:val="nil"/>
              <w:left w:val="nil"/>
              <w:bottom w:val="nil"/>
              <w:right w:val="single" w:sz="8" w:space="0" w:color="BFBFBF"/>
            </w:tcBorders>
            <w:shd w:val="clear" w:color="auto" w:fill="D9D9D9" w:themeFill="background1" w:themeFillShade="D9"/>
            <w:vAlign w:val="center"/>
          </w:tcPr>
          <w:p w14:paraId="1411EFB8" w14:textId="69B0B75C" w:rsidR="007A66F5" w:rsidRPr="003B1D7B" w:rsidRDefault="00B3421B"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noProof/>
                <w:color w:val="000000" w:themeColor="text1"/>
                <w:sz w:val="22"/>
                <w:szCs w:val="22"/>
              </w:rPr>
            </w:pPr>
            <w:r w:rsidRPr="003B1D7B">
              <w:rPr>
                <w:rFonts w:asciiTheme="majorHAnsi" w:hAnsiTheme="majorHAnsi"/>
                <w:b/>
                <w:noProof/>
                <w:color w:val="000000" w:themeColor="text1"/>
                <w:sz w:val="22"/>
                <w:szCs w:val="22"/>
              </w:rPr>
              <w:t>9.8</w:t>
            </w:r>
          </w:p>
        </w:tc>
        <w:tc>
          <w:tcPr>
            <w:tcW w:w="0" w:type="pct"/>
            <w:tcBorders>
              <w:top w:val="nil"/>
              <w:left w:val="nil"/>
              <w:bottom w:val="nil"/>
              <w:right w:val="single" w:sz="8" w:space="0" w:color="BFBFBF"/>
            </w:tcBorders>
            <w:shd w:val="clear" w:color="auto" w:fill="D9D9D9" w:themeFill="background1" w:themeFillShade="D9"/>
            <w:vAlign w:val="center"/>
          </w:tcPr>
          <w:p w14:paraId="7D976A6C" w14:textId="3B7732F1" w:rsidR="007A66F5" w:rsidRPr="003B1D7B" w:rsidRDefault="00B3421B"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noProof/>
                <w:color w:val="000000" w:themeColor="text1"/>
                <w:sz w:val="22"/>
                <w:szCs w:val="22"/>
              </w:rPr>
            </w:pPr>
            <w:r w:rsidRPr="003B1D7B">
              <w:rPr>
                <w:rFonts w:asciiTheme="majorHAnsi" w:hAnsiTheme="majorHAnsi"/>
                <w:b/>
                <w:noProof/>
                <w:color w:val="000000" w:themeColor="text1"/>
                <w:sz w:val="22"/>
                <w:szCs w:val="22"/>
              </w:rPr>
              <w:t>4.2</w:t>
            </w:r>
          </w:p>
        </w:tc>
        <w:tc>
          <w:tcPr>
            <w:tcW w:w="0" w:type="pct"/>
            <w:tcBorders>
              <w:top w:val="nil"/>
              <w:left w:val="nil"/>
              <w:bottom w:val="nil"/>
              <w:right w:val="nil"/>
            </w:tcBorders>
            <w:shd w:val="clear" w:color="auto" w:fill="D9D9D9" w:themeFill="background1" w:themeFillShade="D9"/>
            <w:vAlign w:val="center"/>
          </w:tcPr>
          <w:p w14:paraId="74227C7D" w14:textId="66EA1E51" w:rsidR="007A66F5" w:rsidRPr="00EA5E58" w:rsidRDefault="00B3421B"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noProof/>
                <w:color w:val="000000" w:themeColor="text1"/>
                <w:sz w:val="22"/>
                <w:szCs w:val="22"/>
              </w:rPr>
            </w:pPr>
            <w:r w:rsidRPr="00EA5E58">
              <w:rPr>
                <w:rFonts w:asciiTheme="majorHAnsi" w:hAnsiTheme="majorHAnsi"/>
                <w:b/>
                <w:noProof/>
                <w:color w:val="000000" w:themeColor="text1"/>
                <w:sz w:val="22"/>
                <w:szCs w:val="22"/>
              </w:rPr>
              <w:t>527.0</w:t>
            </w:r>
          </w:p>
        </w:tc>
      </w:tr>
    </w:tbl>
    <w:p w14:paraId="528B751C" w14:textId="77777777" w:rsidR="00861C1C" w:rsidRPr="00F423B9" w:rsidRDefault="003B6DC2" w:rsidP="00682537">
      <w:pPr>
        <w:rPr>
          <w:rFonts w:asciiTheme="majorHAnsi" w:hAnsiTheme="majorHAnsi"/>
          <w:noProof/>
        </w:rPr>
      </w:pPr>
      <w:r w:rsidRPr="00F423B9">
        <w:rPr>
          <w:rFonts w:asciiTheme="majorHAnsi" w:hAnsiTheme="majorHAnsi"/>
          <w:noProof/>
        </w:rPr>
        <w:br w:type="page"/>
      </w:r>
    </w:p>
    <w:p w14:paraId="4B18A2AA" w14:textId="78F382FA" w:rsidR="00861C1C" w:rsidRPr="00F423B9" w:rsidRDefault="003B6DC2" w:rsidP="009C6708">
      <w:pPr>
        <w:pStyle w:val="Heading2"/>
        <w:rPr>
          <w:rFonts w:asciiTheme="majorHAnsi" w:hAnsiTheme="majorHAnsi"/>
          <w:noProof/>
        </w:rPr>
      </w:pPr>
      <w:bookmarkStart w:id="82" w:name="_Toc233958948"/>
      <w:r w:rsidRPr="00F423B9">
        <w:rPr>
          <w:rFonts w:asciiTheme="majorHAnsi" w:hAnsiTheme="majorHAnsi"/>
          <w:noProof/>
        </w:rPr>
        <w:t xml:space="preserve">Table </w:t>
      </w:r>
      <w:r w:rsidR="00334655" w:rsidRPr="00F423B9">
        <w:rPr>
          <w:rFonts w:asciiTheme="majorHAnsi" w:hAnsiTheme="majorHAnsi"/>
          <w:noProof/>
        </w:rPr>
        <w:t>1</w:t>
      </w:r>
      <w:r w:rsidRPr="00F423B9">
        <w:rPr>
          <w:rFonts w:asciiTheme="majorHAnsi" w:hAnsiTheme="majorHAnsi"/>
          <w:noProof/>
        </w:rPr>
        <w:t>.3 – Payments for the completion of pre-2021 commitments</w:t>
      </w:r>
      <w:bookmarkEnd w:id="82"/>
    </w:p>
    <w:tbl>
      <w:tblPr>
        <w:tblStyle w:val="AMPR2021"/>
        <w:tblW w:w="4948" w:type="pct"/>
        <w:tblBorders>
          <w:top w:val="none" w:sz="0" w:space="0" w:color="auto"/>
          <w:bottom w:val="none" w:sz="0" w:space="0" w:color="auto"/>
          <w:insideH w:val="single" w:sz="6" w:space="0" w:color="BFBFBF" w:themeColor="background1" w:themeShade="BF"/>
          <w:insideV w:val="single" w:sz="6" w:space="0" w:color="BFBFBF" w:themeColor="background1" w:themeShade="BF"/>
        </w:tblBorders>
        <w:tblLayout w:type="fixed"/>
        <w:tblLook w:val="06A0" w:firstRow="1" w:lastRow="0" w:firstColumn="1" w:lastColumn="0" w:noHBand="1" w:noVBand="1"/>
      </w:tblPr>
      <w:tblGrid>
        <w:gridCol w:w="2839"/>
        <w:gridCol w:w="860"/>
        <w:gridCol w:w="860"/>
        <w:gridCol w:w="860"/>
        <w:gridCol w:w="861"/>
        <w:gridCol w:w="859"/>
        <w:gridCol w:w="859"/>
        <w:gridCol w:w="859"/>
        <w:gridCol w:w="861"/>
      </w:tblGrid>
      <w:tr w:rsidR="00586721" w:rsidRPr="00F423B9" w14:paraId="436066E2" w14:textId="77777777" w:rsidTr="005C1F2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59" w:type="pct"/>
          </w:tcPr>
          <w:p w14:paraId="0B253864" w14:textId="77777777" w:rsidR="007A66F5" w:rsidRPr="00D61004" w:rsidRDefault="007A66F5">
            <w:pPr>
              <w:rPr>
                <w:rFonts w:asciiTheme="minorHAnsi" w:eastAsia="Calibri" w:hAnsiTheme="minorHAnsi"/>
                <w:b w:val="0"/>
                <w:noProof/>
                <w:sz w:val="22"/>
                <w:szCs w:val="22"/>
              </w:rPr>
            </w:pPr>
            <w:r w:rsidRPr="00D61004">
              <w:rPr>
                <w:rFonts w:asciiTheme="minorHAnsi" w:eastAsia="Calibri" w:hAnsiTheme="minorHAnsi"/>
                <w:noProof/>
                <w:sz w:val="22"/>
                <w:szCs w:val="22"/>
              </w:rPr>
              <w:t>MFF Heading</w:t>
            </w:r>
          </w:p>
        </w:tc>
        <w:tc>
          <w:tcPr>
            <w:tcW w:w="442" w:type="pct"/>
          </w:tcPr>
          <w:p w14:paraId="340AB3BB" w14:textId="7D5B07DA" w:rsidR="007A66F5" w:rsidRPr="00D61004" w:rsidRDefault="007A66F5">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noProof/>
                <w:sz w:val="22"/>
                <w:szCs w:val="22"/>
              </w:rPr>
            </w:pPr>
            <w:r w:rsidRPr="00D61004">
              <w:rPr>
                <w:rFonts w:asciiTheme="minorHAnsi" w:eastAsia="Calibri" w:hAnsiTheme="minorHAnsi"/>
                <w:noProof/>
                <w:sz w:val="22"/>
                <w:szCs w:val="22"/>
              </w:rPr>
              <w:t>2027</w:t>
            </w:r>
          </w:p>
        </w:tc>
        <w:tc>
          <w:tcPr>
            <w:tcW w:w="442" w:type="pct"/>
          </w:tcPr>
          <w:p w14:paraId="5E593656" w14:textId="72C877A6" w:rsidR="007A66F5" w:rsidRPr="00D61004" w:rsidRDefault="007A66F5">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noProof/>
                <w:sz w:val="22"/>
                <w:szCs w:val="22"/>
              </w:rPr>
            </w:pPr>
            <w:r w:rsidRPr="00D61004">
              <w:rPr>
                <w:rFonts w:asciiTheme="minorHAnsi" w:eastAsia="Calibri" w:hAnsiTheme="minorHAnsi"/>
                <w:noProof/>
                <w:sz w:val="22"/>
                <w:szCs w:val="22"/>
              </w:rPr>
              <w:t>2028</w:t>
            </w:r>
          </w:p>
        </w:tc>
        <w:tc>
          <w:tcPr>
            <w:tcW w:w="442" w:type="pct"/>
          </w:tcPr>
          <w:p w14:paraId="346A8A9F" w14:textId="7CBAEA3B" w:rsidR="007A66F5" w:rsidRPr="00D61004" w:rsidRDefault="007A66F5">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noProof/>
                <w:sz w:val="22"/>
                <w:szCs w:val="22"/>
              </w:rPr>
            </w:pPr>
            <w:r w:rsidRPr="00D61004">
              <w:rPr>
                <w:rFonts w:asciiTheme="minorHAnsi" w:eastAsia="Calibri" w:hAnsiTheme="minorHAnsi"/>
                <w:noProof/>
                <w:sz w:val="22"/>
                <w:szCs w:val="22"/>
              </w:rPr>
              <w:t>2029</w:t>
            </w:r>
          </w:p>
        </w:tc>
        <w:tc>
          <w:tcPr>
            <w:tcW w:w="443" w:type="pct"/>
          </w:tcPr>
          <w:p w14:paraId="358EC4CA" w14:textId="3A86AD2E" w:rsidR="007A66F5" w:rsidRPr="00D61004" w:rsidRDefault="007A66F5">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b w:val="0"/>
                <w:noProof/>
                <w:sz w:val="22"/>
                <w:szCs w:val="22"/>
              </w:rPr>
            </w:pPr>
            <w:r w:rsidRPr="00D61004">
              <w:rPr>
                <w:rFonts w:asciiTheme="minorHAnsi" w:eastAsia="Calibri" w:hAnsiTheme="minorHAnsi"/>
                <w:noProof/>
                <w:sz w:val="22"/>
                <w:szCs w:val="22"/>
              </w:rPr>
              <w:t>2030</w:t>
            </w:r>
          </w:p>
        </w:tc>
        <w:tc>
          <w:tcPr>
            <w:tcW w:w="442" w:type="pct"/>
          </w:tcPr>
          <w:p w14:paraId="41203CBE" w14:textId="5BAEA243" w:rsidR="007A66F5" w:rsidRPr="00D61004" w:rsidRDefault="007A66F5">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b w:val="0"/>
                <w:noProof/>
                <w:sz w:val="22"/>
                <w:szCs w:val="22"/>
              </w:rPr>
            </w:pPr>
            <w:r w:rsidRPr="00D61004">
              <w:rPr>
                <w:rFonts w:asciiTheme="minorHAnsi" w:eastAsia="Calibri" w:hAnsiTheme="minorHAnsi"/>
                <w:noProof/>
                <w:sz w:val="22"/>
                <w:szCs w:val="22"/>
              </w:rPr>
              <w:t>2031</w:t>
            </w:r>
          </w:p>
        </w:tc>
        <w:tc>
          <w:tcPr>
            <w:tcW w:w="442" w:type="pct"/>
          </w:tcPr>
          <w:p w14:paraId="4096278C" w14:textId="3AFCF392" w:rsidR="00B7576C" w:rsidRPr="00D61004" w:rsidRDefault="00B7576C">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noProof/>
                <w:sz w:val="22"/>
                <w:szCs w:val="22"/>
              </w:rPr>
            </w:pPr>
            <w:r w:rsidRPr="00D61004">
              <w:rPr>
                <w:rFonts w:asciiTheme="minorHAnsi" w:eastAsia="Calibri" w:hAnsiTheme="minorHAnsi"/>
                <w:noProof/>
                <w:sz w:val="22"/>
                <w:szCs w:val="22"/>
              </w:rPr>
              <w:t>2032</w:t>
            </w:r>
          </w:p>
        </w:tc>
        <w:tc>
          <w:tcPr>
            <w:tcW w:w="442" w:type="pct"/>
          </w:tcPr>
          <w:p w14:paraId="41261363" w14:textId="34A91A0C" w:rsidR="00B7576C" w:rsidRPr="00D61004" w:rsidRDefault="00B7576C">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noProof/>
                <w:sz w:val="22"/>
                <w:szCs w:val="22"/>
              </w:rPr>
            </w:pPr>
            <w:r w:rsidRPr="00D61004">
              <w:rPr>
                <w:rFonts w:asciiTheme="minorHAnsi" w:eastAsia="Calibri" w:hAnsiTheme="minorHAnsi"/>
                <w:noProof/>
                <w:sz w:val="22"/>
                <w:szCs w:val="22"/>
              </w:rPr>
              <w:t>2033</w:t>
            </w:r>
          </w:p>
        </w:tc>
        <w:tc>
          <w:tcPr>
            <w:tcW w:w="443" w:type="pct"/>
          </w:tcPr>
          <w:p w14:paraId="4FA9E26E" w14:textId="449985F2" w:rsidR="007A66F5" w:rsidRPr="00D61004" w:rsidRDefault="007A66F5">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b w:val="0"/>
                <w:noProof/>
                <w:sz w:val="22"/>
                <w:szCs w:val="22"/>
              </w:rPr>
            </w:pPr>
            <w:r w:rsidRPr="00D61004">
              <w:rPr>
                <w:rFonts w:asciiTheme="minorHAnsi" w:eastAsia="Calibri" w:hAnsiTheme="minorHAnsi"/>
                <w:noProof/>
                <w:sz w:val="22"/>
                <w:szCs w:val="22"/>
              </w:rPr>
              <w:t>Total</w:t>
            </w:r>
          </w:p>
        </w:tc>
      </w:tr>
      <w:tr w:rsidR="000A2D2A" w:rsidRPr="00F423B9" w14:paraId="7865842B" w14:textId="77777777" w:rsidTr="00B426DE">
        <w:trPr>
          <w:trHeight w:val="300"/>
        </w:trPr>
        <w:tc>
          <w:tcPr>
            <w:cnfStyle w:val="001000000000" w:firstRow="0" w:lastRow="0" w:firstColumn="1" w:lastColumn="0" w:oddVBand="0" w:evenVBand="0" w:oddHBand="0" w:evenHBand="0" w:firstRowFirstColumn="0" w:firstRowLastColumn="0" w:lastRowFirstColumn="0" w:lastRowLastColumn="0"/>
            <w:tcW w:w="1459" w:type="pct"/>
          </w:tcPr>
          <w:p w14:paraId="6457CC88" w14:textId="77777777" w:rsidR="007A66F5" w:rsidRPr="003B1D7B" w:rsidRDefault="007A66F5">
            <w:pPr>
              <w:spacing w:after="120"/>
              <w:rPr>
                <w:rFonts w:asciiTheme="minorHAnsi" w:eastAsia="Calibri" w:hAnsiTheme="minorHAnsi"/>
                <w:noProof/>
                <w:color w:val="003399" w:themeColor="text2"/>
                <w:sz w:val="22"/>
                <w:szCs w:val="22"/>
              </w:rPr>
            </w:pPr>
            <w:r w:rsidRPr="003B1D7B">
              <w:rPr>
                <w:rFonts w:asciiTheme="minorHAnsi" w:eastAsia="Calibri" w:hAnsiTheme="minorHAnsi"/>
                <w:noProof/>
                <w:color w:val="003399" w:themeColor="text2"/>
                <w:sz w:val="22"/>
                <w:szCs w:val="22"/>
              </w:rPr>
              <w:t>1 Single Market, Innovation and Digital</w:t>
            </w:r>
          </w:p>
        </w:tc>
        <w:tc>
          <w:tcPr>
            <w:tcW w:w="442" w:type="pct"/>
            <w:tcBorders>
              <w:top w:val="single" w:sz="8" w:space="0" w:color="BFBFBF"/>
              <w:left w:val="nil"/>
              <w:bottom w:val="single" w:sz="8" w:space="0" w:color="BFBFBF"/>
              <w:right w:val="single" w:sz="8" w:space="0" w:color="BFBFBF"/>
            </w:tcBorders>
            <w:vAlign w:val="center"/>
          </w:tcPr>
          <w:p w14:paraId="5EB740E0" w14:textId="5AA33849"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b/>
                <w:noProof/>
                <w:color w:val="003399" w:themeColor="text2"/>
              </w:rPr>
              <w:t>0.</w:t>
            </w:r>
            <w:r w:rsidR="000A57B5" w:rsidRPr="00D167E1">
              <w:rPr>
                <w:rFonts w:asciiTheme="minorHAnsi" w:hAnsiTheme="minorHAnsi"/>
                <w:b/>
                <w:noProof/>
                <w:color w:val="003399" w:themeColor="text2"/>
              </w:rPr>
              <w:t>7</w:t>
            </w:r>
          </w:p>
        </w:tc>
        <w:tc>
          <w:tcPr>
            <w:tcW w:w="442" w:type="pct"/>
            <w:tcBorders>
              <w:top w:val="single" w:sz="8" w:space="0" w:color="BFBFBF"/>
              <w:left w:val="nil"/>
              <w:bottom w:val="single" w:sz="8" w:space="0" w:color="BFBFBF"/>
              <w:right w:val="single" w:sz="8" w:space="0" w:color="BFBFBF"/>
            </w:tcBorders>
            <w:vAlign w:val="center"/>
          </w:tcPr>
          <w:p w14:paraId="08CB52CB" w14:textId="42B33E88"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b/>
                <w:noProof/>
                <w:color w:val="003399" w:themeColor="text2"/>
              </w:rPr>
              <w:t>0.5</w:t>
            </w:r>
          </w:p>
        </w:tc>
        <w:tc>
          <w:tcPr>
            <w:tcW w:w="442" w:type="pct"/>
            <w:tcBorders>
              <w:top w:val="single" w:sz="8" w:space="0" w:color="BFBFBF"/>
              <w:left w:val="nil"/>
              <w:bottom w:val="single" w:sz="8" w:space="0" w:color="BFBFBF"/>
              <w:right w:val="single" w:sz="8" w:space="0" w:color="BFBFBF"/>
            </w:tcBorders>
            <w:vAlign w:val="center"/>
          </w:tcPr>
          <w:p w14:paraId="0550CE84" w14:textId="7172C477"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b/>
                <w:noProof/>
                <w:color w:val="003399" w:themeColor="text2"/>
              </w:rPr>
              <w:t>0.</w:t>
            </w:r>
            <w:r w:rsidR="000A57B5" w:rsidRPr="00D167E1">
              <w:rPr>
                <w:rFonts w:asciiTheme="minorHAnsi" w:hAnsiTheme="minorHAnsi"/>
                <w:b/>
                <w:noProof/>
                <w:color w:val="003399" w:themeColor="text2"/>
              </w:rPr>
              <w:t>2</w:t>
            </w:r>
          </w:p>
        </w:tc>
        <w:tc>
          <w:tcPr>
            <w:tcW w:w="443" w:type="pct"/>
            <w:tcBorders>
              <w:top w:val="single" w:sz="8" w:space="0" w:color="BFBFBF"/>
              <w:left w:val="nil"/>
              <w:bottom w:val="single" w:sz="8" w:space="0" w:color="BFBFBF"/>
              <w:right w:val="single" w:sz="8" w:space="0" w:color="BFBFBF"/>
            </w:tcBorders>
            <w:vAlign w:val="center"/>
          </w:tcPr>
          <w:p w14:paraId="7266F326" w14:textId="5AE7F9FF"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b/>
                <w:noProof/>
                <w:color w:val="003399" w:themeColor="text2"/>
              </w:rPr>
              <w:t>0.2</w:t>
            </w:r>
          </w:p>
        </w:tc>
        <w:tc>
          <w:tcPr>
            <w:tcW w:w="442" w:type="pct"/>
            <w:tcBorders>
              <w:top w:val="single" w:sz="8" w:space="0" w:color="BFBFBF"/>
              <w:left w:val="nil"/>
              <w:bottom w:val="single" w:sz="8" w:space="0" w:color="BFBFBF"/>
              <w:right w:val="single" w:sz="8" w:space="0" w:color="BFBFBF"/>
            </w:tcBorders>
            <w:vAlign w:val="center"/>
          </w:tcPr>
          <w:p w14:paraId="728AE7EC" w14:textId="106E93B7"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b/>
                <w:noProof/>
                <w:color w:val="003399" w:themeColor="text2"/>
              </w:rPr>
              <w:t>0.</w:t>
            </w:r>
            <w:r w:rsidR="000A57B5" w:rsidRPr="00D167E1">
              <w:rPr>
                <w:rFonts w:asciiTheme="minorHAnsi" w:hAnsiTheme="minorHAnsi"/>
                <w:b/>
                <w:noProof/>
                <w:color w:val="003399" w:themeColor="text2"/>
              </w:rPr>
              <w:t>1</w:t>
            </w:r>
          </w:p>
        </w:tc>
        <w:tc>
          <w:tcPr>
            <w:tcW w:w="442" w:type="pct"/>
            <w:tcBorders>
              <w:top w:val="single" w:sz="8" w:space="0" w:color="BFBFBF"/>
              <w:left w:val="nil"/>
              <w:bottom w:val="single" w:sz="8" w:space="0" w:color="BFBFBF"/>
              <w:right w:val="single" w:sz="8" w:space="0" w:color="BFBFBF"/>
            </w:tcBorders>
            <w:vAlign w:val="center"/>
          </w:tcPr>
          <w:p w14:paraId="62ABB767" w14:textId="7D25926B" w:rsidR="000A57B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D167E1">
              <w:rPr>
                <w:rFonts w:asciiTheme="minorHAnsi" w:hAnsiTheme="minorHAnsi"/>
                <w:b/>
                <w:noProof/>
                <w:color w:val="003399" w:themeColor="text2"/>
              </w:rPr>
              <w:t>0.2</w:t>
            </w:r>
          </w:p>
        </w:tc>
        <w:tc>
          <w:tcPr>
            <w:tcW w:w="442" w:type="pct"/>
            <w:tcBorders>
              <w:top w:val="single" w:sz="8" w:space="0" w:color="BFBFBF"/>
              <w:left w:val="nil"/>
              <w:bottom w:val="single" w:sz="8" w:space="0" w:color="BFBFBF"/>
              <w:right w:val="single" w:sz="8" w:space="0" w:color="BFBFBF"/>
            </w:tcBorders>
            <w:vAlign w:val="center"/>
          </w:tcPr>
          <w:p w14:paraId="245FE09D" w14:textId="256F02E4" w:rsidR="000A57B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D167E1">
              <w:rPr>
                <w:rFonts w:asciiTheme="minorHAnsi" w:hAnsiTheme="minorHAnsi"/>
                <w:b/>
                <w:noProof/>
                <w:color w:val="003399" w:themeColor="text2"/>
              </w:rPr>
              <w:t>0.1</w:t>
            </w:r>
          </w:p>
        </w:tc>
        <w:tc>
          <w:tcPr>
            <w:tcW w:w="443" w:type="pct"/>
            <w:tcBorders>
              <w:top w:val="single" w:sz="8" w:space="0" w:color="BFBFBF"/>
              <w:left w:val="nil"/>
              <w:bottom w:val="single" w:sz="8" w:space="0" w:color="BFBFBF"/>
              <w:right w:val="single" w:sz="8" w:space="0" w:color="BFBFBF"/>
            </w:tcBorders>
            <w:vAlign w:val="center"/>
          </w:tcPr>
          <w:p w14:paraId="7A931A51" w14:textId="168E466D" w:rsidR="007A66F5" w:rsidRPr="00723F2C" w:rsidRDefault="000A57B5" w:rsidP="00557419">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723F2C">
              <w:rPr>
                <w:rFonts w:asciiTheme="minorHAnsi" w:hAnsiTheme="minorHAnsi"/>
                <w:b/>
                <w:noProof/>
                <w:color w:val="000000" w:themeColor="text1"/>
                <w:sz w:val="22"/>
                <w:szCs w:val="22"/>
              </w:rPr>
              <w:t>2</w:t>
            </w:r>
            <w:r w:rsidR="007A66F5" w:rsidRPr="00723F2C">
              <w:rPr>
                <w:rFonts w:asciiTheme="minorHAnsi" w:hAnsiTheme="minorHAnsi"/>
                <w:b/>
                <w:noProof/>
                <w:color w:val="000000" w:themeColor="text1"/>
                <w:sz w:val="22"/>
                <w:szCs w:val="22"/>
              </w:rPr>
              <w:t>.1</w:t>
            </w:r>
          </w:p>
        </w:tc>
      </w:tr>
      <w:tr w:rsidR="00302A13" w:rsidRPr="00F423B9" w14:paraId="44CDA9C9" w14:textId="77777777" w:rsidTr="008B361B">
        <w:trPr>
          <w:trHeight w:val="300"/>
        </w:trPr>
        <w:tc>
          <w:tcPr>
            <w:cnfStyle w:val="001000000000" w:firstRow="0" w:lastRow="0" w:firstColumn="1" w:lastColumn="0" w:oddVBand="0" w:evenVBand="0" w:oddHBand="0" w:evenHBand="0" w:firstRowFirstColumn="0" w:firstRowLastColumn="0" w:lastRowFirstColumn="0" w:lastRowLastColumn="0"/>
            <w:tcW w:w="1459" w:type="pct"/>
            <w:shd w:val="clear" w:color="auto" w:fill="F3F7FF" w:themeFill="background2"/>
          </w:tcPr>
          <w:p w14:paraId="698C5171" w14:textId="77777777" w:rsidR="007A66F5" w:rsidRPr="003B1D7B" w:rsidRDefault="007A66F5">
            <w:pPr>
              <w:spacing w:after="120"/>
              <w:rPr>
                <w:rFonts w:asciiTheme="minorHAnsi" w:eastAsia="Calibri" w:hAnsiTheme="minorHAnsi"/>
                <w:noProof/>
                <w:color w:val="003399" w:themeColor="text2"/>
                <w:sz w:val="22"/>
                <w:szCs w:val="22"/>
              </w:rPr>
            </w:pPr>
            <w:r w:rsidRPr="003B1D7B">
              <w:rPr>
                <w:rFonts w:asciiTheme="minorHAnsi" w:eastAsia="Calibri" w:hAnsiTheme="minorHAnsi"/>
                <w:noProof/>
                <w:color w:val="003399" w:themeColor="text2"/>
                <w:sz w:val="22"/>
                <w:szCs w:val="22"/>
              </w:rPr>
              <w:t>2 Cohesion, Resilience and Values</w:t>
            </w:r>
          </w:p>
        </w:tc>
        <w:tc>
          <w:tcPr>
            <w:tcW w:w="442" w:type="pct"/>
            <w:tcBorders>
              <w:top w:val="nil"/>
              <w:left w:val="nil"/>
              <w:bottom w:val="single" w:sz="8" w:space="0" w:color="BFBFBF"/>
              <w:right w:val="single" w:sz="8" w:space="0" w:color="BFBFBF"/>
            </w:tcBorders>
            <w:shd w:val="clear" w:color="auto" w:fill="F3F7FF" w:themeFill="background2"/>
            <w:vAlign w:val="center"/>
          </w:tcPr>
          <w:p w14:paraId="6F78F77D" w14:textId="2ECEAD96"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b/>
                <w:noProof/>
                <w:color w:val="003399" w:themeColor="text2"/>
              </w:rPr>
              <w:t>0.</w:t>
            </w:r>
            <w:r w:rsidR="000A57B5" w:rsidRPr="00D167E1">
              <w:rPr>
                <w:rFonts w:asciiTheme="minorHAnsi" w:hAnsiTheme="minorHAnsi"/>
                <w:b/>
                <w:noProof/>
                <w:color w:val="003399" w:themeColor="text2"/>
              </w:rPr>
              <w:t>0</w:t>
            </w:r>
          </w:p>
        </w:tc>
        <w:tc>
          <w:tcPr>
            <w:tcW w:w="442" w:type="pct"/>
            <w:tcBorders>
              <w:top w:val="nil"/>
              <w:left w:val="nil"/>
              <w:bottom w:val="single" w:sz="8" w:space="0" w:color="BFBFBF"/>
              <w:right w:val="single" w:sz="8" w:space="0" w:color="BFBFBF"/>
            </w:tcBorders>
            <w:shd w:val="clear" w:color="auto" w:fill="F3F7FF" w:themeFill="background2"/>
            <w:vAlign w:val="center"/>
          </w:tcPr>
          <w:p w14:paraId="193E3FE9" w14:textId="49E61547"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b/>
                <w:noProof/>
                <w:color w:val="003399" w:themeColor="text2"/>
              </w:rPr>
              <w:t>0.0</w:t>
            </w:r>
          </w:p>
        </w:tc>
        <w:tc>
          <w:tcPr>
            <w:tcW w:w="442" w:type="pct"/>
            <w:tcBorders>
              <w:top w:val="nil"/>
              <w:left w:val="nil"/>
              <w:bottom w:val="single" w:sz="8" w:space="0" w:color="BFBFBF"/>
              <w:right w:val="single" w:sz="8" w:space="0" w:color="BFBFBF"/>
            </w:tcBorders>
            <w:shd w:val="clear" w:color="auto" w:fill="F3F7FF" w:themeFill="background2"/>
            <w:vAlign w:val="center"/>
          </w:tcPr>
          <w:p w14:paraId="7B37272B" w14:textId="1ACB3111"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b/>
                <w:noProof/>
                <w:color w:val="003399" w:themeColor="text2"/>
              </w:rPr>
              <w:t>0.0</w:t>
            </w:r>
          </w:p>
        </w:tc>
        <w:tc>
          <w:tcPr>
            <w:tcW w:w="443" w:type="pct"/>
            <w:tcBorders>
              <w:top w:val="nil"/>
              <w:left w:val="nil"/>
              <w:bottom w:val="single" w:sz="8" w:space="0" w:color="BFBFBF"/>
              <w:right w:val="single" w:sz="8" w:space="0" w:color="BFBFBF"/>
            </w:tcBorders>
            <w:shd w:val="clear" w:color="auto" w:fill="F3F7FF" w:themeFill="background2"/>
            <w:vAlign w:val="center"/>
          </w:tcPr>
          <w:p w14:paraId="53924375" w14:textId="00261EB7"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b/>
                <w:noProof/>
                <w:color w:val="003399" w:themeColor="text2"/>
              </w:rPr>
              <w:t>0.0</w:t>
            </w:r>
          </w:p>
        </w:tc>
        <w:tc>
          <w:tcPr>
            <w:tcW w:w="442" w:type="pct"/>
            <w:tcBorders>
              <w:top w:val="nil"/>
              <w:left w:val="nil"/>
              <w:bottom w:val="single" w:sz="8" w:space="0" w:color="BFBFBF"/>
              <w:right w:val="single" w:sz="8" w:space="0" w:color="BFBFBF"/>
            </w:tcBorders>
            <w:shd w:val="clear" w:color="auto" w:fill="F3F7FF" w:themeFill="background2"/>
            <w:vAlign w:val="center"/>
          </w:tcPr>
          <w:p w14:paraId="2D32D0CC" w14:textId="5174F52C"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b/>
                <w:noProof/>
                <w:color w:val="003399" w:themeColor="text2"/>
              </w:rPr>
              <w:t>0.0</w:t>
            </w:r>
          </w:p>
        </w:tc>
        <w:tc>
          <w:tcPr>
            <w:tcW w:w="442" w:type="pct"/>
            <w:tcBorders>
              <w:top w:val="single" w:sz="8" w:space="0" w:color="BFBFBF"/>
              <w:left w:val="nil"/>
              <w:bottom w:val="single" w:sz="8" w:space="0" w:color="BFBFBF"/>
              <w:right w:val="single" w:sz="8" w:space="0" w:color="BFBFBF"/>
            </w:tcBorders>
            <w:shd w:val="clear" w:color="auto" w:fill="F3F7FF" w:themeFill="background2"/>
            <w:vAlign w:val="center"/>
          </w:tcPr>
          <w:p w14:paraId="5A7A6DC1" w14:textId="0EEE76A6" w:rsidR="000A57B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D167E1">
              <w:rPr>
                <w:rFonts w:asciiTheme="minorHAnsi" w:hAnsiTheme="minorHAnsi"/>
                <w:b/>
                <w:noProof/>
                <w:color w:val="003399" w:themeColor="text2"/>
              </w:rPr>
              <w:t>0.0</w:t>
            </w:r>
          </w:p>
        </w:tc>
        <w:tc>
          <w:tcPr>
            <w:tcW w:w="442" w:type="pct"/>
            <w:tcBorders>
              <w:top w:val="single" w:sz="8" w:space="0" w:color="BFBFBF"/>
              <w:left w:val="nil"/>
              <w:bottom w:val="single" w:sz="8" w:space="0" w:color="BFBFBF"/>
              <w:right w:val="single" w:sz="8" w:space="0" w:color="BFBFBF"/>
            </w:tcBorders>
            <w:shd w:val="clear" w:color="auto" w:fill="F3F7FF" w:themeFill="background2"/>
            <w:vAlign w:val="center"/>
          </w:tcPr>
          <w:p w14:paraId="727399D1" w14:textId="6D4A821D" w:rsidR="000A57B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D167E1">
              <w:rPr>
                <w:rFonts w:asciiTheme="minorHAnsi" w:hAnsiTheme="minorHAnsi"/>
                <w:b/>
                <w:noProof/>
                <w:color w:val="003399" w:themeColor="text2"/>
              </w:rPr>
              <w:t>0.0</w:t>
            </w:r>
          </w:p>
        </w:tc>
        <w:tc>
          <w:tcPr>
            <w:tcW w:w="443" w:type="pct"/>
            <w:tcBorders>
              <w:top w:val="nil"/>
              <w:left w:val="nil"/>
              <w:bottom w:val="single" w:sz="8" w:space="0" w:color="BFBFBF"/>
              <w:right w:val="single" w:sz="8" w:space="0" w:color="BFBFBF"/>
            </w:tcBorders>
            <w:shd w:val="clear" w:color="auto" w:fill="F3F7FF" w:themeFill="background2"/>
            <w:vAlign w:val="center"/>
          </w:tcPr>
          <w:p w14:paraId="1A3D82BF" w14:textId="6B308E4D" w:rsidR="007A66F5" w:rsidRPr="00723F2C" w:rsidRDefault="000A57B5" w:rsidP="00557419">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723F2C">
              <w:rPr>
                <w:rFonts w:asciiTheme="minorHAnsi" w:hAnsiTheme="minorHAnsi"/>
                <w:b/>
                <w:noProof/>
                <w:color w:val="000000" w:themeColor="text1"/>
                <w:sz w:val="22"/>
                <w:szCs w:val="22"/>
              </w:rPr>
              <w:t>0.</w:t>
            </w:r>
            <w:r w:rsidR="007A66F5" w:rsidRPr="00723F2C">
              <w:rPr>
                <w:rFonts w:asciiTheme="minorHAnsi" w:hAnsiTheme="minorHAnsi"/>
                <w:b/>
                <w:noProof/>
                <w:color w:val="000000" w:themeColor="text1"/>
                <w:sz w:val="22"/>
                <w:szCs w:val="22"/>
              </w:rPr>
              <w:t>1</w:t>
            </w:r>
          </w:p>
        </w:tc>
      </w:tr>
      <w:tr w:rsidR="000A2D2A" w:rsidRPr="00F423B9" w14:paraId="1A125161" w14:textId="77777777" w:rsidTr="008B361B">
        <w:trPr>
          <w:trHeight w:val="300"/>
        </w:trPr>
        <w:tc>
          <w:tcPr>
            <w:cnfStyle w:val="001000000000" w:firstRow="0" w:lastRow="0" w:firstColumn="1" w:lastColumn="0" w:oddVBand="0" w:evenVBand="0" w:oddHBand="0" w:evenHBand="0" w:firstRowFirstColumn="0" w:firstRowLastColumn="0" w:lastRowFirstColumn="0" w:lastRowLastColumn="0"/>
            <w:tcW w:w="1459" w:type="pct"/>
            <w:shd w:val="clear" w:color="auto" w:fill="F3F7FF" w:themeFill="background2"/>
          </w:tcPr>
          <w:p w14:paraId="20F75A0A" w14:textId="77777777" w:rsidR="007A66F5" w:rsidRPr="003B1D7B" w:rsidRDefault="007A66F5" w:rsidP="00D16649">
            <w:pPr>
              <w:spacing w:after="120"/>
              <w:ind w:left="170"/>
              <w:rPr>
                <w:rFonts w:asciiTheme="minorHAnsi" w:eastAsia="Calibri" w:hAnsiTheme="minorHAnsi"/>
                <w:b w:val="0"/>
                <w:noProof/>
                <w:color w:val="003399" w:themeColor="text2"/>
                <w:sz w:val="22"/>
                <w:szCs w:val="22"/>
              </w:rPr>
            </w:pPr>
            <w:r w:rsidRPr="003B1D7B">
              <w:rPr>
                <w:rFonts w:asciiTheme="minorHAnsi" w:eastAsia="Calibri" w:hAnsiTheme="minorHAnsi"/>
                <w:noProof/>
                <w:color w:val="003399" w:themeColor="text2"/>
                <w:sz w:val="22"/>
                <w:szCs w:val="22"/>
              </w:rPr>
              <w:t>2.1 Economic, Social and territorial cohesion</w:t>
            </w:r>
          </w:p>
        </w:tc>
        <w:tc>
          <w:tcPr>
            <w:tcW w:w="442" w:type="pct"/>
            <w:tcBorders>
              <w:top w:val="nil"/>
              <w:left w:val="nil"/>
              <w:bottom w:val="single" w:sz="8" w:space="0" w:color="BFBFBF"/>
              <w:right w:val="single" w:sz="8" w:space="0" w:color="BFBFBF"/>
            </w:tcBorders>
            <w:shd w:val="clear" w:color="auto" w:fill="F3F7FF" w:themeFill="background2"/>
            <w:vAlign w:val="center"/>
          </w:tcPr>
          <w:p w14:paraId="1D314A04" w14:textId="5E6E7B22"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noProof/>
                <w:color w:val="003399" w:themeColor="text2"/>
              </w:rPr>
              <w:t>0.</w:t>
            </w:r>
            <w:r w:rsidR="000A57B5" w:rsidRPr="00D167E1">
              <w:rPr>
                <w:rFonts w:asciiTheme="minorHAnsi" w:hAnsiTheme="minorHAnsi"/>
                <w:noProof/>
                <w:color w:val="003399" w:themeColor="text2"/>
              </w:rPr>
              <w:t>0</w:t>
            </w:r>
          </w:p>
        </w:tc>
        <w:tc>
          <w:tcPr>
            <w:tcW w:w="442" w:type="pct"/>
            <w:tcBorders>
              <w:top w:val="nil"/>
              <w:left w:val="nil"/>
              <w:bottom w:val="single" w:sz="8" w:space="0" w:color="BFBFBF"/>
              <w:right w:val="single" w:sz="8" w:space="0" w:color="BFBFBF"/>
            </w:tcBorders>
            <w:shd w:val="clear" w:color="auto" w:fill="F3F7FF" w:themeFill="background2"/>
            <w:vAlign w:val="center"/>
          </w:tcPr>
          <w:p w14:paraId="3DF42EB3" w14:textId="4F76B712"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noProof/>
                <w:color w:val="003399" w:themeColor="text2"/>
              </w:rPr>
              <w:t>0.0</w:t>
            </w:r>
          </w:p>
        </w:tc>
        <w:tc>
          <w:tcPr>
            <w:tcW w:w="442" w:type="pct"/>
            <w:tcBorders>
              <w:top w:val="nil"/>
              <w:left w:val="nil"/>
              <w:bottom w:val="single" w:sz="8" w:space="0" w:color="BFBFBF"/>
              <w:right w:val="single" w:sz="8" w:space="0" w:color="BFBFBF"/>
            </w:tcBorders>
            <w:shd w:val="clear" w:color="auto" w:fill="F3F7FF" w:themeFill="background2"/>
            <w:vAlign w:val="center"/>
          </w:tcPr>
          <w:p w14:paraId="204559C8" w14:textId="185A00B6"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noProof/>
                <w:color w:val="003399" w:themeColor="text2"/>
              </w:rPr>
              <w:t>0.0</w:t>
            </w:r>
          </w:p>
        </w:tc>
        <w:tc>
          <w:tcPr>
            <w:tcW w:w="443" w:type="pct"/>
            <w:tcBorders>
              <w:top w:val="nil"/>
              <w:left w:val="nil"/>
              <w:bottom w:val="single" w:sz="8" w:space="0" w:color="BFBFBF"/>
              <w:right w:val="single" w:sz="8" w:space="0" w:color="BFBFBF"/>
            </w:tcBorders>
            <w:shd w:val="clear" w:color="auto" w:fill="F3F7FF" w:themeFill="background2"/>
            <w:vAlign w:val="center"/>
          </w:tcPr>
          <w:p w14:paraId="4075F68E" w14:textId="4FDA116B"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noProof/>
                <w:color w:val="003399" w:themeColor="text2"/>
              </w:rPr>
              <w:t>0.0</w:t>
            </w:r>
          </w:p>
        </w:tc>
        <w:tc>
          <w:tcPr>
            <w:tcW w:w="442" w:type="pct"/>
            <w:tcBorders>
              <w:top w:val="nil"/>
              <w:left w:val="nil"/>
              <w:bottom w:val="single" w:sz="8" w:space="0" w:color="BFBFBF"/>
              <w:right w:val="single" w:sz="8" w:space="0" w:color="BFBFBF"/>
            </w:tcBorders>
            <w:shd w:val="clear" w:color="auto" w:fill="F3F7FF" w:themeFill="background2"/>
            <w:vAlign w:val="center"/>
          </w:tcPr>
          <w:p w14:paraId="08808B7E" w14:textId="7BDB24C3"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noProof/>
                <w:color w:val="003399" w:themeColor="text2"/>
              </w:rPr>
              <w:t>0.0</w:t>
            </w:r>
          </w:p>
        </w:tc>
        <w:tc>
          <w:tcPr>
            <w:tcW w:w="442" w:type="pct"/>
            <w:tcBorders>
              <w:top w:val="nil"/>
              <w:left w:val="nil"/>
              <w:bottom w:val="single" w:sz="8" w:space="0" w:color="BFBFBF"/>
              <w:right w:val="single" w:sz="8" w:space="0" w:color="BFBFBF"/>
            </w:tcBorders>
            <w:shd w:val="clear" w:color="auto" w:fill="F3F7FF" w:themeFill="background2"/>
            <w:vAlign w:val="center"/>
          </w:tcPr>
          <w:p w14:paraId="12F5B0C9" w14:textId="211E4673" w:rsidR="000A57B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D167E1">
              <w:rPr>
                <w:rFonts w:asciiTheme="minorHAnsi" w:hAnsiTheme="minorHAnsi"/>
                <w:noProof/>
                <w:color w:val="003399" w:themeColor="text2"/>
              </w:rPr>
              <w:t>0.0</w:t>
            </w:r>
          </w:p>
        </w:tc>
        <w:tc>
          <w:tcPr>
            <w:tcW w:w="442" w:type="pct"/>
            <w:tcBorders>
              <w:top w:val="nil"/>
              <w:left w:val="nil"/>
              <w:bottom w:val="single" w:sz="8" w:space="0" w:color="BFBFBF"/>
              <w:right w:val="single" w:sz="8" w:space="0" w:color="BFBFBF"/>
            </w:tcBorders>
            <w:shd w:val="clear" w:color="auto" w:fill="F3F7FF" w:themeFill="background2"/>
            <w:vAlign w:val="center"/>
          </w:tcPr>
          <w:p w14:paraId="3E33D247" w14:textId="21817C20" w:rsidR="000A57B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D167E1">
              <w:rPr>
                <w:rFonts w:asciiTheme="minorHAnsi" w:hAnsiTheme="minorHAnsi"/>
                <w:noProof/>
                <w:color w:val="003399" w:themeColor="text2"/>
              </w:rPr>
              <w:t>0.0</w:t>
            </w:r>
          </w:p>
        </w:tc>
        <w:tc>
          <w:tcPr>
            <w:tcW w:w="443" w:type="pct"/>
            <w:tcBorders>
              <w:top w:val="nil"/>
              <w:left w:val="nil"/>
              <w:bottom w:val="single" w:sz="8" w:space="0" w:color="BFBFBF"/>
              <w:right w:val="single" w:sz="8" w:space="0" w:color="BFBFBF"/>
            </w:tcBorders>
            <w:shd w:val="clear" w:color="auto" w:fill="F3F7FF" w:themeFill="background2"/>
            <w:vAlign w:val="center"/>
          </w:tcPr>
          <w:p w14:paraId="6E67AADA" w14:textId="40CFFD7C" w:rsidR="007A66F5" w:rsidRPr="00723F2C" w:rsidRDefault="000A57B5" w:rsidP="00557419">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723F2C">
              <w:rPr>
                <w:rFonts w:asciiTheme="minorHAnsi" w:hAnsiTheme="minorHAnsi"/>
                <w:b/>
                <w:noProof/>
                <w:color w:val="000000" w:themeColor="text1"/>
                <w:sz w:val="22"/>
                <w:szCs w:val="22"/>
              </w:rPr>
              <w:t>0.0</w:t>
            </w:r>
          </w:p>
        </w:tc>
      </w:tr>
      <w:tr w:rsidR="000A2D2A" w:rsidRPr="00F423B9" w14:paraId="7C5E6D79" w14:textId="77777777" w:rsidTr="008B361B">
        <w:trPr>
          <w:trHeight w:val="300"/>
        </w:trPr>
        <w:tc>
          <w:tcPr>
            <w:cnfStyle w:val="001000000000" w:firstRow="0" w:lastRow="0" w:firstColumn="1" w:lastColumn="0" w:oddVBand="0" w:evenVBand="0" w:oddHBand="0" w:evenHBand="0" w:firstRowFirstColumn="0" w:firstRowLastColumn="0" w:lastRowFirstColumn="0" w:lastRowLastColumn="0"/>
            <w:tcW w:w="1459" w:type="pct"/>
            <w:shd w:val="clear" w:color="auto" w:fill="F3F7FF" w:themeFill="background2"/>
          </w:tcPr>
          <w:p w14:paraId="4BC8A42B" w14:textId="77777777" w:rsidR="007A66F5" w:rsidRPr="003B1D7B" w:rsidRDefault="007A66F5" w:rsidP="00D16649">
            <w:pPr>
              <w:spacing w:after="120"/>
              <w:ind w:left="170"/>
              <w:rPr>
                <w:rFonts w:asciiTheme="minorHAnsi" w:eastAsia="Calibri" w:hAnsiTheme="minorHAnsi"/>
                <w:b w:val="0"/>
                <w:noProof/>
                <w:color w:val="003399" w:themeColor="text2"/>
                <w:sz w:val="22"/>
                <w:szCs w:val="22"/>
              </w:rPr>
            </w:pPr>
            <w:r w:rsidRPr="003B1D7B">
              <w:rPr>
                <w:rFonts w:asciiTheme="minorHAnsi" w:eastAsia="Calibri" w:hAnsiTheme="minorHAnsi"/>
                <w:noProof/>
                <w:color w:val="003399" w:themeColor="text2"/>
                <w:sz w:val="22"/>
                <w:szCs w:val="22"/>
              </w:rPr>
              <w:t>2.2 Resilience and Values</w:t>
            </w:r>
          </w:p>
        </w:tc>
        <w:tc>
          <w:tcPr>
            <w:tcW w:w="442" w:type="pct"/>
            <w:tcBorders>
              <w:top w:val="nil"/>
              <w:left w:val="nil"/>
              <w:bottom w:val="single" w:sz="8" w:space="0" w:color="BFBFBF"/>
              <w:right w:val="single" w:sz="8" w:space="0" w:color="BFBFBF"/>
            </w:tcBorders>
            <w:shd w:val="clear" w:color="auto" w:fill="F3F7FF" w:themeFill="background2"/>
            <w:vAlign w:val="center"/>
          </w:tcPr>
          <w:p w14:paraId="2D8F2C5B" w14:textId="7F83A300"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noProof/>
                <w:color w:val="003399" w:themeColor="text2"/>
              </w:rPr>
              <w:t>0.0</w:t>
            </w:r>
          </w:p>
        </w:tc>
        <w:tc>
          <w:tcPr>
            <w:tcW w:w="442" w:type="pct"/>
            <w:tcBorders>
              <w:top w:val="nil"/>
              <w:left w:val="nil"/>
              <w:bottom w:val="single" w:sz="8" w:space="0" w:color="BFBFBF"/>
              <w:right w:val="single" w:sz="8" w:space="0" w:color="BFBFBF"/>
            </w:tcBorders>
            <w:shd w:val="clear" w:color="auto" w:fill="F3F7FF" w:themeFill="background2"/>
            <w:vAlign w:val="center"/>
          </w:tcPr>
          <w:p w14:paraId="2DEEEFCD" w14:textId="78112CDC"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noProof/>
                <w:color w:val="003399" w:themeColor="text2"/>
              </w:rPr>
              <w:t>0.0</w:t>
            </w:r>
          </w:p>
        </w:tc>
        <w:tc>
          <w:tcPr>
            <w:tcW w:w="442" w:type="pct"/>
            <w:tcBorders>
              <w:top w:val="nil"/>
              <w:left w:val="nil"/>
              <w:bottom w:val="single" w:sz="8" w:space="0" w:color="BFBFBF"/>
              <w:right w:val="single" w:sz="8" w:space="0" w:color="BFBFBF"/>
            </w:tcBorders>
            <w:shd w:val="clear" w:color="auto" w:fill="F3F7FF" w:themeFill="background2"/>
            <w:vAlign w:val="center"/>
          </w:tcPr>
          <w:p w14:paraId="72CDBF74" w14:textId="45F2E97C"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noProof/>
                <w:color w:val="003399" w:themeColor="text2"/>
              </w:rPr>
              <w:t>0.0</w:t>
            </w:r>
          </w:p>
        </w:tc>
        <w:tc>
          <w:tcPr>
            <w:tcW w:w="443" w:type="pct"/>
            <w:tcBorders>
              <w:top w:val="nil"/>
              <w:left w:val="nil"/>
              <w:bottom w:val="single" w:sz="8" w:space="0" w:color="BFBFBF"/>
              <w:right w:val="single" w:sz="8" w:space="0" w:color="BFBFBF"/>
            </w:tcBorders>
            <w:shd w:val="clear" w:color="auto" w:fill="F3F7FF" w:themeFill="background2"/>
            <w:vAlign w:val="center"/>
          </w:tcPr>
          <w:p w14:paraId="1775553F" w14:textId="12F413BD"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noProof/>
                <w:color w:val="003399" w:themeColor="text2"/>
              </w:rPr>
              <w:t>0.0</w:t>
            </w:r>
          </w:p>
        </w:tc>
        <w:tc>
          <w:tcPr>
            <w:tcW w:w="442" w:type="pct"/>
            <w:tcBorders>
              <w:top w:val="nil"/>
              <w:left w:val="nil"/>
              <w:bottom w:val="single" w:sz="8" w:space="0" w:color="BFBFBF"/>
              <w:right w:val="single" w:sz="8" w:space="0" w:color="BFBFBF"/>
            </w:tcBorders>
            <w:shd w:val="clear" w:color="auto" w:fill="F3F7FF" w:themeFill="background2"/>
            <w:vAlign w:val="center"/>
          </w:tcPr>
          <w:p w14:paraId="0B541CAB" w14:textId="38A5FD65"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noProof/>
                <w:color w:val="003399" w:themeColor="text2"/>
              </w:rPr>
              <w:t>0.0</w:t>
            </w:r>
          </w:p>
        </w:tc>
        <w:tc>
          <w:tcPr>
            <w:tcW w:w="442" w:type="pct"/>
            <w:tcBorders>
              <w:top w:val="nil"/>
              <w:left w:val="nil"/>
              <w:bottom w:val="single" w:sz="8" w:space="0" w:color="BFBFBF"/>
              <w:right w:val="single" w:sz="8" w:space="0" w:color="BFBFBF"/>
            </w:tcBorders>
            <w:shd w:val="clear" w:color="auto" w:fill="F3F7FF" w:themeFill="background2"/>
            <w:vAlign w:val="center"/>
          </w:tcPr>
          <w:p w14:paraId="39E60A12" w14:textId="52F6ED52" w:rsidR="000A57B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D167E1">
              <w:rPr>
                <w:rFonts w:asciiTheme="minorHAnsi" w:hAnsiTheme="minorHAnsi"/>
                <w:noProof/>
                <w:color w:val="003399" w:themeColor="text2"/>
              </w:rPr>
              <w:t>0.0</w:t>
            </w:r>
          </w:p>
        </w:tc>
        <w:tc>
          <w:tcPr>
            <w:tcW w:w="442" w:type="pct"/>
            <w:tcBorders>
              <w:top w:val="nil"/>
              <w:left w:val="nil"/>
              <w:bottom w:val="single" w:sz="8" w:space="0" w:color="BFBFBF"/>
              <w:right w:val="single" w:sz="8" w:space="0" w:color="BFBFBF"/>
            </w:tcBorders>
            <w:shd w:val="clear" w:color="auto" w:fill="F3F7FF" w:themeFill="background2"/>
            <w:vAlign w:val="center"/>
          </w:tcPr>
          <w:p w14:paraId="699BFC4E" w14:textId="65FB56A0" w:rsidR="000A57B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D167E1">
              <w:rPr>
                <w:rFonts w:asciiTheme="minorHAnsi" w:hAnsiTheme="minorHAnsi"/>
                <w:noProof/>
                <w:color w:val="003399" w:themeColor="text2"/>
              </w:rPr>
              <w:t>0.0</w:t>
            </w:r>
          </w:p>
        </w:tc>
        <w:tc>
          <w:tcPr>
            <w:tcW w:w="443" w:type="pct"/>
            <w:tcBorders>
              <w:top w:val="nil"/>
              <w:left w:val="nil"/>
              <w:bottom w:val="single" w:sz="8" w:space="0" w:color="BFBFBF"/>
              <w:right w:val="single" w:sz="8" w:space="0" w:color="BFBFBF"/>
            </w:tcBorders>
            <w:shd w:val="clear" w:color="auto" w:fill="F3F7FF" w:themeFill="background2"/>
            <w:vAlign w:val="center"/>
          </w:tcPr>
          <w:p w14:paraId="0BB00FE5" w14:textId="063C4BE7" w:rsidR="007A66F5" w:rsidRPr="00723F2C" w:rsidRDefault="007A66F5" w:rsidP="00557419">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723F2C">
              <w:rPr>
                <w:rFonts w:asciiTheme="minorHAnsi" w:hAnsiTheme="minorHAnsi"/>
                <w:b/>
                <w:noProof/>
                <w:color w:val="000000" w:themeColor="text1"/>
                <w:sz w:val="22"/>
                <w:szCs w:val="22"/>
              </w:rPr>
              <w:t>0.1</w:t>
            </w:r>
          </w:p>
        </w:tc>
      </w:tr>
      <w:tr w:rsidR="000A2D2A" w:rsidRPr="00F423B9" w14:paraId="31FB0AFA" w14:textId="77777777" w:rsidTr="00B426DE">
        <w:trPr>
          <w:trHeight w:val="300"/>
        </w:trPr>
        <w:tc>
          <w:tcPr>
            <w:cnfStyle w:val="001000000000" w:firstRow="0" w:lastRow="0" w:firstColumn="1" w:lastColumn="0" w:oddVBand="0" w:evenVBand="0" w:oddHBand="0" w:evenHBand="0" w:firstRowFirstColumn="0" w:firstRowLastColumn="0" w:lastRowFirstColumn="0" w:lastRowLastColumn="0"/>
            <w:tcW w:w="1459" w:type="pct"/>
          </w:tcPr>
          <w:p w14:paraId="4D9ABE61" w14:textId="77777777" w:rsidR="007A66F5" w:rsidRPr="003B1D7B" w:rsidRDefault="007A66F5" w:rsidP="00D56216">
            <w:pPr>
              <w:spacing w:after="120"/>
              <w:rPr>
                <w:rFonts w:asciiTheme="minorHAnsi" w:eastAsia="Calibri" w:hAnsiTheme="minorHAnsi"/>
                <w:noProof/>
                <w:color w:val="003399" w:themeColor="text2"/>
                <w:sz w:val="22"/>
                <w:szCs w:val="22"/>
              </w:rPr>
            </w:pPr>
            <w:r w:rsidRPr="003B1D7B">
              <w:rPr>
                <w:rFonts w:asciiTheme="minorHAnsi" w:eastAsia="Calibri" w:hAnsiTheme="minorHAnsi"/>
                <w:noProof/>
                <w:color w:val="003399" w:themeColor="text2"/>
                <w:sz w:val="22"/>
                <w:szCs w:val="22"/>
              </w:rPr>
              <w:t>3 Natural Resources and Environment</w:t>
            </w:r>
          </w:p>
        </w:tc>
        <w:tc>
          <w:tcPr>
            <w:tcW w:w="442" w:type="pct"/>
            <w:tcBorders>
              <w:top w:val="nil"/>
              <w:left w:val="nil"/>
              <w:bottom w:val="single" w:sz="8" w:space="0" w:color="BFBFBF"/>
              <w:right w:val="single" w:sz="8" w:space="0" w:color="BFBFBF"/>
            </w:tcBorders>
            <w:vAlign w:val="center"/>
          </w:tcPr>
          <w:p w14:paraId="23963224" w14:textId="76373148"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b/>
                <w:noProof/>
                <w:color w:val="003399" w:themeColor="text2"/>
              </w:rPr>
              <w:t>0.</w:t>
            </w:r>
            <w:r w:rsidR="007A66F5" w:rsidRPr="00D167E1">
              <w:rPr>
                <w:rFonts w:asciiTheme="minorHAnsi" w:hAnsiTheme="minorHAnsi"/>
                <w:b/>
                <w:noProof/>
                <w:color w:val="003399" w:themeColor="text2"/>
              </w:rPr>
              <w:t>1</w:t>
            </w:r>
          </w:p>
        </w:tc>
        <w:tc>
          <w:tcPr>
            <w:tcW w:w="442" w:type="pct"/>
            <w:tcBorders>
              <w:top w:val="nil"/>
              <w:left w:val="nil"/>
              <w:bottom w:val="single" w:sz="8" w:space="0" w:color="BFBFBF"/>
              <w:right w:val="single" w:sz="8" w:space="0" w:color="BFBFBF"/>
            </w:tcBorders>
            <w:vAlign w:val="center"/>
          </w:tcPr>
          <w:p w14:paraId="21DB0577" w14:textId="3E6A8C58"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b/>
                <w:noProof/>
                <w:color w:val="003399" w:themeColor="text2"/>
              </w:rPr>
              <w:t>0.1</w:t>
            </w:r>
          </w:p>
        </w:tc>
        <w:tc>
          <w:tcPr>
            <w:tcW w:w="442" w:type="pct"/>
            <w:tcBorders>
              <w:top w:val="nil"/>
              <w:left w:val="nil"/>
              <w:bottom w:val="single" w:sz="8" w:space="0" w:color="BFBFBF"/>
              <w:right w:val="single" w:sz="8" w:space="0" w:color="BFBFBF"/>
            </w:tcBorders>
            <w:vAlign w:val="center"/>
          </w:tcPr>
          <w:p w14:paraId="76D375B3" w14:textId="1896E91B"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b/>
                <w:noProof/>
                <w:color w:val="003399" w:themeColor="text2"/>
              </w:rPr>
              <w:t>0.1</w:t>
            </w:r>
          </w:p>
        </w:tc>
        <w:tc>
          <w:tcPr>
            <w:tcW w:w="443" w:type="pct"/>
            <w:tcBorders>
              <w:top w:val="nil"/>
              <w:left w:val="nil"/>
              <w:bottom w:val="single" w:sz="8" w:space="0" w:color="BFBFBF"/>
              <w:right w:val="single" w:sz="8" w:space="0" w:color="BFBFBF"/>
            </w:tcBorders>
            <w:vAlign w:val="center"/>
          </w:tcPr>
          <w:p w14:paraId="559437E6" w14:textId="7079822E"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b/>
                <w:noProof/>
                <w:color w:val="003399" w:themeColor="text2"/>
              </w:rPr>
              <w:t>0.</w:t>
            </w:r>
            <w:r w:rsidR="000A57B5" w:rsidRPr="00D167E1">
              <w:rPr>
                <w:rFonts w:asciiTheme="minorHAnsi" w:hAnsiTheme="minorHAnsi"/>
                <w:b/>
                <w:noProof/>
                <w:color w:val="003399" w:themeColor="text2"/>
              </w:rPr>
              <w:t>0</w:t>
            </w:r>
          </w:p>
        </w:tc>
        <w:tc>
          <w:tcPr>
            <w:tcW w:w="442" w:type="pct"/>
            <w:tcBorders>
              <w:top w:val="nil"/>
              <w:left w:val="nil"/>
              <w:bottom w:val="single" w:sz="8" w:space="0" w:color="BFBFBF"/>
              <w:right w:val="single" w:sz="8" w:space="0" w:color="BFBFBF"/>
            </w:tcBorders>
            <w:vAlign w:val="center"/>
          </w:tcPr>
          <w:p w14:paraId="32316785" w14:textId="00840298"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b/>
                <w:noProof/>
                <w:color w:val="003399" w:themeColor="text2"/>
              </w:rPr>
              <w:t>0.</w:t>
            </w:r>
            <w:r w:rsidR="000A57B5" w:rsidRPr="00D167E1">
              <w:rPr>
                <w:rFonts w:asciiTheme="minorHAnsi" w:hAnsiTheme="minorHAnsi"/>
                <w:b/>
                <w:noProof/>
                <w:color w:val="003399" w:themeColor="text2"/>
              </w:rPr>
              <w:t>0</w:t>
            </w:r>
          </w:p>
        </w:tc>
        <w:tc>
          <w:tcPr>
            <w:tcW w:w="442" w:type="pct"/>
            <w:tcBorders>
              <w:top w:val="nil"/>
              <w:left w:val="nil"/>
              <w:bottom w:val="single" w:sz="8" w:space="0" w:color="BFBFBF"/>
              <w:right w:val="single" w:sz="8" w:space="0" w:color="BFBFBF"/>
            </w:tcBorders>
            <w:vAlign w:val="center"/>
          </w:tcPr>
          <w:p w14:paraId="128BFEF7" w14:textId="636439A3" w:rsidR="000A57B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D167E1">
              <w:rPr>
                <w:rFonts w:asciiTheme="minorHAnsi" w:hAnsiTheme="minorHAnsi"/>
                <w:b/>
                <w:noProof/>
                <w:color w:val="003399" w:themeColor="text2"/>
              </w:rPr>
              <w:t>0.0</w:t>
            </w:r>
          </w:p>
        </w:tc>
        <w:tc>
          <w:tcPr>
            <w:tcW w:w="442" w:type="pct"/>
            <w:tcBorders>
              <w:top w:val="nil"/>
              <w:left w:val="nil"/>
              <w:bottom w:val="single" w:sz="8" w:space="0" w:color="BFBFBF"/>
              <w:right w:val="single" w:sz="8" w:space="0" w:color="BFBFBF"/>
            </w:tcBorders>
            <w:vAlign w:val="center"/>
          </w:tcPr>
          <w:p w14:paraId="2E98ABB3" w14:textId="170419CE" w:rsidR="000A57B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D167E1">
              <w:rPr>
                <w:rFonts w:asciiTheme="minorHAnsi" w:hAnsiTheme="minorHAnsi"/>
                <w:b/>
                <w:noProof/>
                <w:color w:val="003399" w:themeColor="text2"/>
              </w:rPr>
              <w:t>0.0</w:t>
            </w:r>
          </w:p>
        </w:tc>
        <w:tc>
          <w:tcPr>
            <w:tcW w:w="443" w:type="pct"/>
            <w:tcBorders>
              <w:top w:val="nil"/>
              <w:left w:val="nil"/>
              <w:bottom w:val="single" w:sz="8" w:space="0" w:color="BFBFBF"/>
              <w:right w:val="single" w:sz="8" w:space="0" w:color="BFBFBF"/>
            </w:tcBorders>
            <w:vAlign w:val="center"/>
          </w:tcPr>
          <w:p w14:paraId="0BDCD599" w14:textId="523885D4" w:rsidR="007A66F5" w:rsidRPr="00723F2C" w:rsidRDefault="000A57B5" w:rsidP="00557419">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723F2C">
              <w:rPr>
                <w:rFonts w:asciiTheme="minorHAnsi" w:hAnsiTheme="minorHAnsi"/>
                <w:b/>
                <w:noProof/>
                <w:color w:val="000000" w:themeColor="text1"/>
                <w:sz w:val="22"/>
                <w:szCs w:val="22"/>
              </w:rPr>
              <w:t>0</w:t>
            </w:r>
            <w:r w:rsidR="007A66F5" w:rsidRPr="00723F2C">
              <w:rPr>
                <w:rFonts w:asciiTheme="minorHAnsi" w:hAnsiTheme="minorHAnsi"/>
                <w:b/>
                <w:noProof/>
                <w:color w:val="000000" w:themeColor="text1"/>
                <w:sz w:val="22"/>
                <w:szCs w:val="22"/>
              </w:rPr>
              <w:t>.4</w:t>
            </w:r>
          </w:p>
        </w:tc>
      </w:tr>
      <w:tr w:rsidR="000A2D2A" w:rsidRPr="00F423B9" w14:paraId="08AA612C" w14:textId="77777777" w:rsidTr="00B426DE">
        <w:trPr>
          <w:trHeight w:val="300"/>
        </w:trPr>
        <w:tc>
          <w:tcPr>
            <w:cnfStyle w:val="001000000000" w:firstRow="0" w:lastRow="0" w:firstColumn="1" w:lastColumn="0" w:oddVBand="0" w:evenVBand="0" w:oddHBand="0" w:evenHBand="0" w:firstRowFirstColumn="0" w:firstRowLastColumn="0" w:lastRowFirstColumn="0" w:lastRowLastColumn="0"/>
            <w:tcW w:w="1459" w:type="pct"/>
          </w:tcPr>
          <w:p w14:paraId="06E0DBBC" w14:textId="1A53A219" w:rsidR="007A66F5" w:rsidRPr="003B1D7B" w:rsidRDefault="007A66F5" w:rsidP="00D16649">
            <w:pPr>
              <w:ind w:left="170"/>
              <w:rPr>
                <w:rFonts w:asciiTheme="minorHAnsi" w:eastAsia="Calibri" w:hAnsiTheme="minorHAnsi"/>
                <w:b w:val="0"/>
                <w:noProof/>
                <w:color w:val="003399" w:themeColor="text2"/>
                <w:sz w:val="22"/>
                <w:szCs w:val="22"/>
              </w:rPr>
            </w:pPr>
            <w:r w:rsidRPr="003B1D7B">
              <w:rPr>
                <w:rFonts w:asciiTheme="minorHAnsi" w:eastAsia="Calibri" w:hAnsiTheme="minorHAnsi"/>
                <w:noProof/>
                <w:color w:val="003399" w:themeColor="text2"/>
                <w:sz w:val="22"/>
                <w:szCs w:val="22"/>
              </w:rPr>
              <w:t>3.1 Market related expenditure and direct payments</w:t>
            </w:r>
          </w:p>
        </w:tc>
        <w:tc>
          <w:tcPr>
            <w:tcW w:w="442" w:type="pct"/>
            <w:tcBorders>
              <w:top w:val="nil"/>
              <w:left w:val="nil"/>
              <w:bottom w:val="single" w:sz="8" w:space="0" w:color="BFBFBF"/>
              <w:right w:val="single" w:sz="8" w:space="0" w:color="BFBFBF"/>
            </w:tcBorders>
            <w:vAlign w:val="center"/>
          </w:tcPr>
          <w:p w14:paraId="20B207CE" w14:textId="135EAEE2"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noProof/>
                <w:color w:val="003399" w:themeColor="text2"/>
              </w:rPr>
              <w:t>0.0</w:t>
            </w:r>
          </w:p>
        </w:tc>
        <w:tc>
          <w:tcPr>
            <w:tcW w:w="442" w:type="pct"/>
            <w:tcBorders>
              <w:top w:val="nil"/>
              <w:left w:val="nil"/>
              <w:bottom w:val="single" w:sz="8" w:space="0" w:color="BFBFBF"/>
              <w:right w:val="single" w:sz="8" w:space="0" w:color="BFBFBF"/>
            </w:tcBorders>
            <w:vAlign w:val="center"/>
          </w:tcPr>
          <w:p w14:paraId="60375593" w14:textId="3267CCAC"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noProof/>
                <w:color w:val="003399" w:themeColor="text2"/>
              </w:rPr>
              <w:t>0.0</w:t>
            </w:r>
          </w:p>
        </w:tc>
        <w:tc>
          <w:tcPr>
            <w:tcW w:w="442" w:type="pct"/>
            <w:tcBorders>
              <w:top w:val="nil"/>
              <w:left w:val="nil"/>
              <w:bottom w:val="single" w:sz="8" w:space="0" w:color="BFBFBF"/>
              <w:right w:val="single" w:sz="8" w:space="0" w:color="BFBFBF"/>
            </w:tcBorders>
            <w:vAlign w:val="center"/>
          </w:tcPr>
          <w:p w14:paraId="5773B369" w14:textId="5323C1A4"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noProof/>
                <w:color w:val="003399" w:themeColor="text2"/>
              </w:rPr>
              <w:t>0.0</w:t>
            </w:r>
          </w:p>
        </w:tc>
        <w:tc>
          <w:tcPr>
            <w:tcW w:w="443" w:type="pct"/>
            <w:tcBorders>
              <w:top w:val="nil"/>
              <w:left w:val="nil"/>
              <w:bottom w:val="single" w:sz="8" w:space="0" w:color="BFBFBF"/>
              <w:right w:val="single" w:sz="8" w:space="0" w:color="BFBFBF"/>
            </w:tcBorders>
            <w:vAlign w:val="center"/>
          </w:tcPr>
          <w:p w14:paraId="323922EE" w14:textId="1DC8A4A5"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noProof/>
                <w:color w:val="003399" w:themeColor="text2"/>
              </w:rPr>
              <w:t>0.0</w:t>
            </w:r>
          </w:p>
        </w:tc>
        <w:tc>
          <w:tcPr>
            <w:tcW w:w="442" w:type="pct"/>
            <w:tcBorders>
              <w:top w:val="nil"/>
              <w:left w:val="nil"/>
              <w:bottom w:val="single" w:sz="8" w:space="0" w:color="BFBFBF"/>
              <w:right w:val="single" w:sz="8" w:space="0" w:color="BFBFBF"/>
            </w:tcBorders>
            <w:vAlign w:val="center"/>
          </w:tcPr>
          <w:p w14:paraId="54FDDAA1" w14:textId="35610F48"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noProof/>
                <w:color w:val="003399" w:themeColor="text2"/>
              </w:rPr>
              <w:t>0.0</w:t>
            </w:r>
          </w:p>
        </w:tc>
        <w:tc>
          <w:tcPr>
            <w:tcW w:w="442" w:type="pct"/>
            <w:tcBorders>
              <w:top w:val="nil"/>
              <w:left w:val="nil"/>
              <w:bottom w:val="single" w:sz="8" w:space="0" w:color="BFBFBF"/>
              <w:right w:val="single" w:sz="8" w:space="0" w:color="BFBFBF"/>
            </w:tcBorders>
            <w:vAlign w:val="center"/>
          </w:tcPr>
          <w:p w14:paraId="7447DA24" w14:textId="6793FF9E" w:rsidR="000A57B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noProof/>
                <w:color w:val="003399" w:themeColor="text2"/>
              </w:rPr>
              <w:t>0.0</w:t>
            </w:r>
          </w:p>
        </w:tc>
        <w:tc>
          <w:tcPr>
            <w:tcW w:w="442" w:type="pct"/>
            <w:tcBorders>
              <w:top w:val="nil"/>
              <w:left w:val="nil"/>
              <w:bottom w:val="single" w:sz="8" w:space="0" w:color="BFBFBF"/>
              <w:right w:val="single" w:sz="8" w:space="0" w:color="BFBFBF"/>
            </w:tcBorders>
            <w:vAlign w:val="center"/>
          </w:tcPr>
          <w:p w14:paraId="17C21844" w14:textId="33C22EA9" w:rsidR="000A57B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noProof/>
                <w:color w:val="003399" w:themeColor="text2"/>
              </w:rPr>
              <w:t>0.0</w:t>
            </w:r>
          </w:p>
        </w:tc>
        <w:tc>
          <w:tcPr>
            <w:tcW w:w="443" w:type="pct"/>
            <w:tcBorders>
              <w:top w:val="nil"/>
              <w:left w:val="nil"/>
              <w:bottom w:val="single" w:sz="8" w:space="0" w:color="BFBFBF"/>
              <w:right w:val="single" w:sz="8" w:space="0" w:color="BFBFBF"/>
            </w:tcBorders>
            <w:vAlign w:val="center"/>
          </w:tcPr>
          <w:p w14:paraId="3F3FABB0" w14:textId="5D72F699" w:rsidR="007A66F5" w:rsidRPr="00723F2C" w:rsidRDefault="000A57B5" w:rsidP="00557419">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723F2C">
              <w:rPr>
                <w:rFonts w:asciiTheme="minorHAnsi" w:hAnsiTheme="minorHAnsi"/>
                <w:b/>
                <w:noProof/>
                <w:color w:val="000000" w:themeColor="text1"/>
                <w:sz w:val="22"/>
                <w:szCs w:val="22"/>
              </w:rPr>
              <w:t>0.0</w:t>
            </w:r>
          </w:p>
        </w:tc>
      </w:tr>
      <w:tr w:rsidR="000A2D2A" w:rsidRPr="008C77C4" w14:paraId="3AE80AEF" w14:textId="77777777" w:rsidTr="00B426DE">
        <w:trPr>
          <w:trHeight w:val="300"/>
        </w:trPr>
        <w:tc>
          <w:tcPr>
            <w:cnfStyle w:val="001000000000" w:firstRow="0" w:lastRow="0" w:firstColumn="1" w:lastColumn="0" w:oddVBand="0" w:evenVBand="0" w:oddHBand="0" w:evenHBand="0" w:firstRowFirstColumn="0" w:firstRowLastColumn="0" w:lastRowFirstColumn="0" w:lastRowLastColumn="0"/>
            <w:tcW w:w="1459" w:type="pct"/>
          </w:tcPr>
          <w:p w14:paraId="0B5E8D7C" w14:textId="2C203B08" w:rsidR="007A66F5" w:rsidRPr="003B1D7B" w:rsidRDefault="007A66F5" w:rsidP="00D16649">
            <w:pPr>
              <w:ind w:left="170"/>
              <w:rPr>
                <w:rFonts w:asciiTheme="minorHAnsi" w:eastAsia="Calibri" w:hAnsiTheme="minorHAnsi"/>
                <w:b w:val="0"/>
                <w:noProof/>
                <w:color w:val="003399" w:themeColor="text2"/>
                <w:sz w:val="22"/>
                <w:szCs w:val="22"/>
              </w:rPr>
            </w:pPr>
            <w:r w:rsidRPr="003B1D7B">
              <w:rPr>
                <w:rFonts w:asciiTheme="minorHAnsi" w:eastAsia="Calibri" w:hAnsiTheme="minorHAnsi"/>
                <w:noProof/>
                <w:color w:val="003399" w:themeColor="text2"/>
                <w:sz w:val="22"/>
                <w:szCs w:val="22"/>
              </w:rPr>
              <w:t>3.2 Other programmes of Natural Resources and Environment</w:t>
            </w:r>
          </w:p>
        </w:tc>
        <w:tc>
          <w:tcPr>
            <w:tcW w:w="442" w:type="pct"/>
            <w:tcBorders>
              <w:top w:val="nil"/>
              <w:left w:val="nil"/>
              <w:bottom w:val="single" w:sz="8" w:space="0" w:color="BFBFBF"/>
              <w:right w:val="single" w:sz="8" w:space="0" w:color="BFBFBF"/>
            </w:tcBorders>
            <w:vAlign w:val="center"/>
          </w:tcPr>
          <w:p w14:paraId="1D232823" w14:textId="3B84D034"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noProof/>
                <w:color w:val="003399" w:themeColor="text2"/>
              </w:rPr>
              <w:t>0.</w:t>
            </w:r>
            <w:r w:rsidR="007A66F5" w:rsidRPr="00D167E1">
              <w:rPr>
                <w:rFonts w:asciiTheme="minorHAnsi" w:hAnsiTheme="minorHAnsi"/>
                <w:noProof/>
                <w:color w:val="003399" w:themeColor="text2"/>
              </w:rPr>
              <w:t>1</w:t>
            </w:r>
          </w:p>
        </w:tc>
        <w:tc>
          <w:tcPr>
            <w:tcW w:w="442" w:type="pct"/>
            <w:tcBorders>
              <w:top w:val="nil"/>
              <w:left w:val="nil"/>
              <w:bottom w:val="single" w:sz="8" w:space="0" w:color="BFBFBF"/>
              <w:right w:val="single" w:sz="8" w:space="0" w:color="BFBFBF"/>
            </w:tcBorders>
            <w:vAlign w:val="center"/>
          </w:tcPr>
          <w:p w14:paraId="53C0C7C9" w14:textId="71342751"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noProof/>
                <w:color w:val="003399" w:themeColor="text2"/>
              </w:rPr>
              <w:t>0.1</w:t>
            </w:r>
          </w:p>
        </w:tc>
        <w:tc>
          <w:tcPr>
            <w:tcW w:w="442" w:type="pct"/>
            <w:tcBorders>
              <w:top w:val="nil"/>
              <w:left w:val="nil"/>
              <w:bottom w:val="single" w:sz="8" w:space="0" w:color="BFBFBF"/>
              <w:right w:val="single" w:sz="8" w:space="0" w:color="BFBFBF"/>
            </w:tcBorders>
            <w:vAlign w:val="center"/>
          </w:tcPr>
          <w:p w14:paraId="06006605" w14:textId="78D532C0"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noProof/>
                <w:color w:val="003399" w:themeColor="text2"/>
              </w:rPr>
              <w:t>0.1</w:t>
            </w:r>
          </w:p>
        </w:tc>
        <w:tc>
          <w:tcPr>
            <w:tcW w:w="443" w:type="pct"/>
            <w:tcBorders>
              <w:top w:val="nil"/>
              <w:left w:val="nil"/>
              <w:bottom w:val="single" w:sz="8" w:space="0" w:color="BFBFBF"/>
              <w:right w:val="single" w:sz="8" w:space="0" w:color="BFBFBF"/>
            </w:tcBorders>
            <w:vAlign w:val="center"/>
          </w:tcPr>
          <w:p w14:paraId="47DD137D" w14:textId="2608F859"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noProof/>
                <w:color w:val="003399" w:themeColor="text2"/>
              </w:rPr>
              <w:t>0.</w:t>
            </w:r>
            <w:r w:rsidR="000A57B5" w:rsidRPr="00D167E1">
              <w:rPr>
                <w:rFonts w:asciiTheme="minorHAnsi" w:hAnsiTheme="minorHAnsi"/>
                <w:noProof/>
                <w:color w:val="003399" w:themeColor="text2"/>
              </w:rPr>
              <w:t>0</w:t>
            </w:r>
          </w:p>
        </w:tc>
        <w:tc>
          <w:tcPr>
            <w:tcW w:w="442" w:type="pct"/>
            <w:tcBorders>
              <w:top w:val="nil"/>
              <w:left w:val="nil"/>
              <w:bottom w:val="single" w:sz="8" w:space="0" w:color="BFBFBF"/>
              <w:right w:val="single" w:sz="8" w:space="0" w:color="BFBFBF"/>
            </w:tcBorders>
            <w:vAlign w:val="center"/>
          </w:tcPr>
          <w:p w14:paraId="07418EC3" w14:textId="412C26E7"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noProof/>
                <w:color w:val="003399" w:themeColor="text2"/>
              </w:rPr>
              <w:t>0.</w:t>
            </w:r>
            <w:r w:rsidR="000A57B5" w:rsidRPr="00D167E1">
              <w:rPr>
                <w:rFonts w:asciiTheme="minorHAnsi" w:hAnsiTheme="minorHAnsi"/>
                <w:noProof/>
                <w:color w:val="003399" w:themeColor="text2"/>
              </w:rPr>
              <w:t>0</w:t>
            </w:r>
          </w:p>
        </w:tc>
        <w:tc>
          <w:tcPr>
            <w:tcW w:w="442" w:type="pct"/>
            <w:tcBorders>
              <w:top w:val="nil"/>
              <w:left w:val="nil"/>
              <w:bottom w:val="single" w:sz="8" w:space="0" w:color="BFBFBF"/>
              <w:right w:val="single" w:sz="8" w:space="0" w:color="BFBFBF"/>
            </w:tcBorders>
            <w:vAlign w:val="center"/>
          </w:tcPr>
          <w:p w14:paraId="54432E19" w14:textId="55DD4B13" w:rsidR="000A57B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D167E1">
              <w:rPr>
                <w:rFonts w:asciiTheme="minorHAnsi" w:hAnsiTheme="minorHAnsi"/>
                <w:noProof/>
                <w:color w:val="003399" w:themeColor="text2"/>
              </w:rPr>
              <w:t>0.0</w:t>
            </w:r>
          </w:p>
        </w:tc>
        <w:tc>
          <w:tcPr>
            <w:tcW w:w="442" w:type="pct"/>
            <w:tcBorders>
              <w:top w:val="nil"/>
              <w:left w:val="nil"/>
              <w:bottom w:val="single" w:sz="8" w:space="0" w:color="BFBFBF"/>
              <w:right w:val="single" w:sz="8" w:space="0" w:color="BFBFBF"/>
            </w:tcBorders>
            <w:vAlign w:val="center"/>
          </w:tcPr>
          <w:p w14:paraId="1D135275" w14:textId="25960BF8" w:rsidR="000A57B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D167E1">
              <w:rPr>
                <w:rFonts w:asciiTheme="minorHAnsi" w:hAnsiTheme="minorHAnsi"/>
                <w:noProof/>
                <w:color w:val="003399" w:themeColor="text2"/>
              </w:rPr>
              <w:t>0.0</w:t>
            </w:r>
          </w:p>
        </w:tc>
        <w:tc>
          <w:tcPr>
            <w:tcW w:w="443" w:type="pct"/>
            <w:tcBorders>
              <w:top w:val="nil"/>
              <w:left w:val="nil"/>
              <w:bottom w:val="single" w:sz="8" w:space="0" w:color="BFBFBF"/>
              <w:right w:val="single" w:sz="8" w:space="0" w:color="BFBFBF"/>
            </w:tcBorders>
            <w:vAlign w:val="center"/>
          </w:tcPr>
          <w:p w14:paraId="3AAA861E" w14:textId="1E6B2A98" w:rsidR="007A66F5" w:rsidRPr="00723F2C" w:rsidRDefault="000A57B5" w:rsidP="00557419">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723F2C">
              <w:rPr>
                <w:rFonts w:asciiTheme="minorHAnsi" w:hAnsiTheme="minorHAnsi"/>
                <w:b/>
                <w:noProof/>
                <w:color w:val="000000" w:themeColor="text1"/>
                <w:sz w:val="22"/>
                <w:szCs w:val="22"/>
              </w:rPr>
              <w:t>0</w:t>
            </w:r>
            <w:r w:rsidR="007A66F5" w:rsidRPr="00723F2C">
              <w:rPr>
                <w:rFonts w:asciiTheme="minorHAnsi" w:hAnsiTheme="minorHAnsi"/>
                <w:b/>
                <w:noProof/>
                <w:color w:val="000000" w:themeColor="text1"/>
                <w:sz w:val="22"/>
                <w:szCs w:val="22"/>
              </w:rPr>
              <w:t>.4</w:t>
            </w:r>
          </w:p>
        </w:tc>
      </w:tr>
      <w:tr w:rsidR="00302A13" w:rsidRPr="00F423B9" w14:paraId="055A6AEB" w14:textId="77777777" w:rsidTr="008B361B">
        <w:trPr>
          <w:trHeight w:val="300"/>
        </w:trPr>
        <w:tc>
          <w:tcPr>
            <w:cnfStyle w:val="001000000000" w:firstRow="0" w:lastRow="0" w:firstColumn="1" w:lastColumn="0" w:oddVBand="0" w:evenVBand="0" w:oddHBand="0" w:evenHBand="0" w:firstRowFirstColumn="0" w:firstRowLastColumn="0" w:lastRowFirstColumn="0" w:lastRowLastColumn="0"/>
            <w:tcW w:w="1459" w:type="pct"/>
            <w:shd w:val="clear" w:color="auto" w:fill="F3F7FF" w:themeFill="background2"/>
          </w:tcPr>
          <w:p w14:paraId="72F84B16" w14:textId="77777777" w:rsidR="007A66F5" w:rsidRPr="003B1D7B" w:rsidRDefault="007A66F5">
            <w:pPr>
              <w:spacing w:after="120"/>
              <w:rPr>
                <w:rFonts w:asciiTheme="minorHAnsi" w:eastAsia="Calibri" w:hAnsiTheme="minorHAnsi"/>
                <w:noProof/>
                <w:color w:val="003399" w:themeColor="text2"/>
                <w:sz w:val="22"/>
                <w:szCs w:val="22"/>
              </w:rPr>
            </w:pPr>
            <w:r w:rsidRPr="003B1D7B">
              <w:rPr>
                <w:rFonts w:asciiTheme="minorHAnsi" w:eastAsia="Calibri" w:hAnsiTheme="minorHAnsi"/>
                <w:noProof/>
                <w:color w:val="003399" w:themeColor="text2"/>
                <w:sz w:val="22"/>
                <w:szCs w:val="22"/>
              </w:rPr>
              <w:t>4 Migration and Border Management</w:t>
            </w:r>
          </w:p>
        </w:tc>
        <w:tc>
          <w:tcPr>
            <w:tcW w:w="442" w:type="pct"/>
            <w:tcBorders>
              <w:top w:val="nil"/>
              <w:left w:val="nil"/>
              <w:bottom w:val="single" w:sz="8" w:space="0" w:color="BFBFBF"/>
              <w:right w:val="single" w:sz="8" w:space="0" w:color="BFBFBF"/>
            </w:tcBorders>
            <w:shd w:val="clear" w:color="auto" w:fill="F3F7FF" w:themeFill="background2"/>
            <w:vAlign w:val="center"/>
          </w:tcPr>
          <w:p w14:paraId="6535180C" w14:textId="0855EA6F"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b/>
                <w:noProof/>
                <w:color w:val="003399" w:themeColor="text2"/>
              </w:rPr>
              <w:t>0.1</w:t>
            </w:r>
          </w:p>
        </w:tc>
        <w:tc>
          <w:tcPr>
            <w:tcW w:w="442" w:type="pct"/>
            <w:tcBorders>
              <w:top w:val="nil"/>
              <w:left w:val="nil"/>
              <w:bottom w:val="single" w:sz="8" w:space="0" w:color="BFBFBF"/>
              <w:right w:val="single" w:sz="8" w:space="0" w:color="BFBFBF"/>
            </w:tcBorders>
            <w:shd w:val="clear" w:color="auto" w:fill="F3F7FF" w:themeFill="background2"/>
            <w:vAlign w:val="center"/>
          </w:tcPr>
          <w:p w14:paraId="5FB021F0" w14:textId="630F66C9"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b/>
                <w:noProof/>
                <w:color w:val="003399" w:themeColor="text2"/>
              </w:rPr>
              <w:t>0.</w:t>
            </w:r>
            <w:r w:rsidR="000A57B5" w:rsidRPr="00D167E1">
              <w:rPr>
                <w:rFonts w:asciiTheme="minorHAnsi" w:hAnsiTheme="minorHAnsi"/>
                <w:b/>
                <w:noProof/>
                <w:color w:val="003399" w:themeColor="text2"/>
              </w:rPr>
              <w:t>0</w:t>
            </w:r>
          </w:p>
        </w:tc>
        <w:tc>
          <w:tcPr>
            <w:tcW w:w="442" w:type="pct"/>
            <w:tcBorders>
              <w:top w:val="single" w:sz="8" w:space="0" w:color="BFBFBF"/>
              <w:left w:val="nil"/>
              <w:bottom w:val="single" w:sz="8" w:space="0" w:color="BFBFBF"/>
              <w:right w:val="single" w:sz="8" w:space="0" w:color="BFBFBF"/>
            </w:tcBorders>
            <w:shd w:val="clear" w:color="auto" w:fill="F3F7FF" w:themeFill="background2"/>
            <w:vAlign w:val="center"/>
          </w:tcPr>
          <w:p w14:paraId="0D90D79E" w14:textId="60E70B47"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b/>
                <w:noProof/>
                <w:color w:val="003399" w:themeColor="text2"/>
              </w:rPr>
              <w:t>0.</w:t>
            </w:r>
            <w:r w:rsidR="000A57B5" w:rsidRPr="00D167E1">
              <w:rPr>
                <w:rFonts w:asciiTheme="minorHAnsi" w:hAnsiTheme="minorHAnsi"/>
                <w:b/>
                <w:noProof/>
                <w:color w:val="003399" w:themeColor="text2"/>
              </w:rPr>
              <w:t>0</w:t>
            </w:r>
          </w:p>
        </w:tc>
        <w:tc>
          <w:tcPr>
            <w:tcW w:w="443" w:type="pct"/>
            <w:tcBorders>
              <w:top w:val="single" w:sz="8" w:space="0" w:color="BFBFBF"/>
              <w:left w:val="nil"/>
              <w:bottom w:val="single" w:sz="8" w:space="0" w:color="BFBFBF"/>
              <w:right w:val="single" w:sz="8" w:space="0" w:color="BFBFBF"/>
            </w:tcBorders>
            <w:shd w:val="clear" w:color="auto" w:fill="F3F7FF" w:themeFill="background2"/>
            <w:vAlign w:val="center"/>
          </w:tcPr>
          <w:p w14:paraId="73C9D688" w14:textId="1AA88FF7"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b/>
                <w:noProof/>
                <w:color w:val="003399" w:themeColor="text2"/>
              </w:rPr>
              <w:t>0.0</w:t>
            </w:r>
          </w:p>
        </w:tc>
        <w:tc>
          <w:tcPr>
            <w:tcW w:w="442" w:type="pct"/>
            <w:tcBorders>
              <w:top w:val="single" w:sz="8" w:space="0" w:color="BFBFBF"/>
              <w:left w:val="nil"/>
              <w:bottom w:val="single" w:sz="8" w:space="0" w:color="BFBFBF"/>
              <w:right w:val="single" w:sz="8" w:space="0" w:color="BFBFBF"/>
            </w:tcBorders>
            <w:shd w:val="clear" w:color="auto" w:fill="F3F7FF" w:themeFill="background2"/>
            <w:vAlign w:val="center"/>
          </w:tcPr>
          <w:p w14:paraId="21380AA1" w14:textId="4FA7C328"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b/>
                <w:noProof/>
                <w:color w:val="003399" w:themeColor="text2"/>
              </w:rPr>
              <w:t>0.0</w:t>
            </w:r>
          </w:p>
        </w:tc>
        <w:tc>
          <w:tcPr>
            <w:tcW w:w="442" w:type="pct"/>
            <w:tcBorders>
              <w:top w:val="single" w:sz="8" w:space="0" w:color="BFBFBF"/>
              <w:left w:val="nil"/>
              <w:bottom w:val="single" w:sz="8" w:space="0" w:color="BFBFBF"/>
              <w:right w:val="single" w:sz="8" w:space="0" w:color="BFBFBF"/>
            </w:tcBorders>
            <w:shd w:val="clear" w:color="auto" w:fill="F3F7FF" w:themeFill="background2"/>
            <w:vAlign w:val="center"/>
          </w:tcPr>
          <w:p w14:paraId="1CAEA73B" w14:textId="71F6B9DC" w:rsidR="000A57B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D167E1">
              <w:rPr>
                <w:rFonts w:asciiTheme="minorHAnsi" w:hAnsiTheme="minorHAnsi"/>
                <w:b/>
                <w:noProof/>
                <w:color w:val="003399" w:themeColor="text2"/>
              </w:rPr>
              <w:t>0.0</w:t>
            </w:r>
          </w:p>
        </w:tc>
        <w:tc>
          <w:tcPr>
            <w:tcW w:w="442" w:type="pct"/>
            <w:tcBorders>
              <w:top w:val="single" w:sz="8" w:space="0" w:color="BFBFBF"/>
              <w:left w:val="nil"/>
              <w:bottom w:val="single" w:sz="8" w:space="0" w:color="BFBFBF"/>
              <w:right w:val="single" w:sz="8" w:space="0" w:color="BFBFBF"/>
            </w:tcBorders>
            <w:shd w:val="clear" w:color="auto" w:fill="F3F7FF" w:themeFill="background2"/>
            <w:vAlign w:val="center"/>
          </w:tcPr>
          <w:p w14:paraId="2D62A557" w14:textId="21450F15" w:rsidR="000A57B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D167E1">
              <w:rPr>
                <w:rFonts w:asciiTheme="minorHAnsi" w:hAnsiTheme="minorHAnsi"/>
                <w:b/>
                <w:noProof/>
                <w:color w:val="003399" w:themeColor="text2"/>
              </w:rPr>
              <w:t>0.0</w:t>
            </w:r>
          </w:p>
        </w:tc>
        <w:tc>
          <w:tcPr>
            <w:tcW w:w="443" w:type="pct"/>
            <w:tcBorders>
              <w:top w:val="nil"/>
              <w:left w:val="nil"/>
              <w:bottom w:val="single" w:sz="8" w:space="0" w:color="BFBFBF"/>
              <w:right w:val="single" w:sz="8" w:space="0" w:color="BFBFBF"/>
            </w:tcBorders>
            <w:shd w:val="clear" w:color="auto" w:fill="F3F7FF" w:themeFill="background2"/>
            <w:vAlign w:val="center"/>
          </w:tcPr>
          <w:p w14:paraId="5E9E98D7" w14:textId="104DC8FC" w:rsidR="007A66F5" w:rsidRPr="00723F2C" w:rsidRDefault="007A66F5" w:rsidP="00557419">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723F2C">
              <w:rPr>
                <w:rFonts w:asciiTheme="minorHAnsi" w:hAnsiTheme="minorHAnsi"/>
                <w:b/>
                <w:noProof/>
                <w:color w:val="000000" w:themeColor="text1"/>
                <w:sz w:val="22"/>
                <w:szCs w:val="22"/>
              </w:rPr>
              <w:t>0.</w:t>
            </w:r>
            <w:r w:rsidR="000A57B5" w:rsidRPr="00723F2C">
              <w:rPr>
                <w:rFonts w:asciiTheme="minorHAnsi" w:hAnsiTheme="minorHAnsi"/>
                <w:b/>
                <w:noProof/>
                <w:color w:val="000000" w:themeColor="text1"/>
                <w:sz w:val="22"/>
                <w:szCs w:val="22"/>
              </w:rPr>
              <w:t>1</w:t>
            </w:r>
          </w:p>
        </w:tc>
      </w:tr>
      <w:tr w:rsidR="000A2D2A" w:rsidRPr="00F423B9" w14:paraId="256AAF93" w14:textId="77777777" w:rsidTr="00B426DE">
        <w:trPr>
          <w:trHeight w:val="300"/>
        </w:trPr>
        <w:tc>
          <w:tcPr>
            <w:cnfStyle w:val="001000000000" w:firstRow="0" w:lastRow="0" w:firstColumn="1" w:lastColumn="0" w:oddVBand="0" w:evenVBand="0" w:oddHBand="0" w:evenHBand="0" w:firstRowFirstColumn="0" w:firstRowLastColumn="0" w:lastRowFirstColumn="0" w:lastRowLastColumn="0"/>
            <w:tcW w:w="1459" w:type="pct"/>
          </w:tcPr>
          <w:p w14:paraId="78C461AE" w14:textId="77777777" w:rsidR="007A66F5" w:rsidRPr="003B1D7B" w:rsidRDefault="007A66F5">
            <w:pPr>
              <w:spacing w:after="120"/>
              <w:rPr>
                <w:rFonts w:asciiTheme="minorHAnsi" w:eastAsia="Calibri" w:hAnsiTheme="minorHAnsi"/>
                <w:noProof/>
                <w:color w:val="003399" w:themeColor="text2"/>
                <w:sz w:val="22"/>
                <w:szCs w:val="22"/>
              </w:rPr>
            </w:pPr>
            <w:r w:rsidRPr="003B1D7B">
              <w:rPr>
                <w:rFonts w:asciiTheme="minorHAnsi" w:eastAsia="Calibri" w:hAnsiTheme="minorHAnsi"/>
                <w:noProof/>
                <w:color w:val="003399" w:themeColor="text2"/>
                <w:sz w:val="22"/>
                <w:szCs w:val="22"/>
              </w:rPr>
              <w:t>5 Security and Defence</w:t>
            </w:r>
          </w:p>
        </w:tc>
        <w:tc>
          <w:tcPr>
            <w:tcW w:w="442" w:type="pct"/>
            <w:tcBorders>
              <w:top w:val="nil"/>
              <w:left w:val="nil"/>
              <w:bottom w:val="single" w:sz="8" w:space="0" w:color="BFBFBF"/>
              <w:right w:val="single" w:sz="8" w:space="0" w:color="BFBFBF"/>
            </w:tcBorders>
            <w:vAlign w:val="center"/>
          </w:tcPr>
          <w:p w14:paraId="27498097" w14:textId="71604A4E"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b/>
                <w:noProof/>
                <w:color w:val="003399" w:themeColor="text2"/>
              </w:rPr>
              <w:t>0.</w:t>
            </w:r>
            <w:r w:rsidR="000A57B5" w:rsidRPr="00D167E1">
              <w:rPr>
                <w:rFonts w:asciiTheme="minorHAnsi" w:hAnsiTheme="minorHAnsi"/>
                <w:b/>
                <w:noProof/>
                <w:color w:val="003399" w:themeColor="text2"/>
              </w:rPr>
              <w:t>0</w:t>
            </w:r>
          </w:p>
        </w:tc>
        <w:tc>
          <w:tcPr>
            <w:tcW w:w="442" w:type="pct"/>
            <w:tcBorders>
              <w:top w:val="nil"/>
              <w:left w:val="nil"/>
              <w:bottom w:val="single" w:sz="8" w:space="0" w:color="BFBFBF"/>
              <w:right w:val="single" w:sz="8" w:space="0" w:color="BFBFBF"/>
            </w:tcBorders>
            <w:vAlign w:val="center"/>
          </w:tcPr>
          <w:p w14:paraId="6A52DB4A" w14:textId="160F7C96"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b/>
                <w:noProof/>
                <w:color w:val="003399" w:themeColor="text2"/>
              </w:rPr>
              <w:t>0.</w:t>
            </w:r>
            <w:r w:rsidR="000A57B5" w:rsidRPr="00D167E1">
              <w:rPr>
                <w:rFonts w:asciiTheme="minorHAnsi" w:hAnsiTheme="minorHAnsi"/>
                <w:b/>
                <w:noProof/>
                <w:color w:val="003399" w:themeColor="text2"/>
              </w:rPr>
              <w:t>1</w:t>
            </w:r>
          </w:p>
        </w:tc>
        <w:tc>
          <w:tcPr>
            <w:tcW w:w="442" w:type="pct"/>
            <w:tcBorders>
              <w:top w:val="nil"/>
              <w:left w:val="nil"/>
              <w:bottom w:val="single" w:sz="8" w:space="0" w:color="BFBFBF"/>
              <w:right w:val="single" w:sz="8" w:space="0" w:color="BFBFBF"/>
            </w:tcBorders>
            <w:vAlign w:val="center"/>
          </w:tcPr>
          <w:p w14:paraId="44DC758E" w14:textId="6B2B4FD8"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b/>
                <w:noProof/>
                <w:color w:val="003399" w:themeColor="text2"/>
              </w:rPr>
              <w:t>0.0</w:t>
            </w:r>
          </w:p>
        </w:tc>
        <w:tc>
          <w:tcPr>
            <w:tcW w:w="443" w:type="pct"/>
            <w:tcBorders>
              <w:top w:val="nil"/>
              <w:left w:val="nil"/>
              <w:bottom w:val="single" w:sz="8" w:space="0" w:color="BFBFBF"/>
              <w:right w:val="single" w:sz="8" w:space="0" w:color="BFBFBF"/>
            </w:tcBorders>
            <w:vAlign w:val="center"/>
          </w:tcPr>
          <w:p w14:paraId="1E801580" w14:textId="77A30B00"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b/>
                <w:noProof/>
                <w:color w:val="003399" w:themeColor="text2"/>
              </w:rPr>
              <w:t>0.0</w:t>
            </w:r>
          </w:p>
        </w:tc>
        <w:tc>
          <w:tcPr>
            <w:tcW w:w="442" w:type="pct"/>
            <w:tcBorders>
              <w:top w:val="nil"/>
              <w:left w:val="nil"/>
              <w:bottom w:val="single" w:sz="8" w:space="0" w:color="BFBFBF"/>
              <w:right w:val="single" w:sz="8" w:space="0" w:color="BFBFBF"/>
            </w:tcBorders>
            <w:vAlign w:val="center"/>
          </w:tcPr>
          <w:p w14:paraId="32C58AC5" w14:textId="44E9F0D1"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b/>
                <w:noProof/>
                <w:color w:val="003399" w:themeColor="text2"/>
              </w:rPr>
              <w:t>0.0</w:t>
            </w:r>
          </w:p>
        </w:tc>
        <w:tc>
          <w:tcPr>
            <w:tcW w:w="442" w:type="pct"/>
            <w:tcBorders>
              <w:top w:val="nil"/>
              <w:left w:val="nil"/>
              <w:bottom w:val="single" w:sz="8" w:space="0" w:color="BFBFBF"/>
              <w:right w:val="single" w:sz="8" w:space="0" w:color="BFBFBF"/>
            </w:tcBorders>
            <w:vAlign w:val="center"/>
          </w:tcPr>
          <w:p w14:paraId="5593D3D7" w14:textId="5DC85877" w:rsidR="000A57B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D167E1">
              <w:rPr>
                <w:rFonts w:asciiTheme="minorHAnsi" w:hAnsiTheme="minorHAnsi"/>
                <w:b/>
                <w:noProof/>
                <w:color w:val="003399" w:themeColor="text2"/>
              </w:rPr>
              <w:t>0.0</w:t>
            </w:r>
          </w:p>
        </w:tc>
        <w:tc>
          <w:tcPr>
            <w:tcW w:w="442" w:type="pct"/>
            <w:tcBorders>
              <w:top w:val="nil"/>
              <w:left w:val="nil"/>
              <w:bottom w:val="single" w:sz="8" w:space="0" w:color="BFBFBF"/>
              <w:right w:val="single" w:sz="8" w:space="0" w:color="BFBFBF"/>
            </w:tcBorders>
            <w:vAlign w:val="center"/>
          </w:tcPr>
          <w:p w14:paraId="384EA6E4" w14:textId="69F6C590" w:rsidR="000A57B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D167E1">
              <w:rPr>
                <w:rFonts w:asciiTheme="minorHAnsi" w:hAnsiTheme="minorHAnsi"/>
                <w:b/>
                <w:noProof/>
                <w:color w:val="003399" w:themeColor="text2"/>
              </w:rPr>
              <w:t>0.0</w:t>
            </w:r>
          </w:p>
        </w:tc>
        <w:tc>
          <w:tcPr>
            <w:tcW w:w="443" w:type="pct"/>
            <w:tcBorders>
              <w:top w:val="nil"/>
              <w:left w:val="nil"/>
              <w:bottom w:val="single" w:sz="8" w:space="0" w:color="BFBFBF"/>
              <w:right w:val="single" w:sz="8" w:space="0" w:color="BFBFBF"/>
            </w:tcBorders>
            <w:vAlign w:val="center"/>
          </w:tcPr>
          <w:p w14:paraId="6BBBF9CA" w14:textId="13243521" w:rsidR="007A66F5" w:rsidRPr="00723F2C" w:rsidRDefault="007A66F5" w:rsidP="00557419">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723F2C">
              <w:rPr>
                <w:rFonts w:asciiTheme="minorHAnsi" w:hAnsiTheme="minorHAnsi"/>
                <w:b/>
                <w:noProof/>
                <w:color w:val="000000" w:themeColor="text1"/>
                <w:sz w:val="22"/>
                <w:szCs w:val="22"/>
              </w:rPr>
              <w:t>0.</w:t>
            </w:r>
            <w:r w:rsidR="000A57B5" w:rsidRPr="00723F2C">
              <w:rPr>
                <w:rFonts w:asciiTheme="minorHAnsi" w:hAnsiTheme="minorHAnsi"/>
                <w:b/>
                <w:noProof/>
                <w:color w:val="000000" w:themeColor="text1"/>
                <w:sz w:val="22"/>
                <w:szCs w:val="22"/>
              </w:rPr>
              <w:t>1</w:t>
            </w:r>
          </w:p>
        </w:tc>
      </w:tr>
      <w:tr w:rsidR="000A2D2A" w:rsidRPr="00F423B9" w14:paraId="7CAD225E" w14:textId="77777777" w:rsidTr="008B361B">
        <w:trPr>
          <w:trHeight w:val="300"/>
        </w:trPr>
        <w:tc>
          <w:tcPr>
            <w:cnfStyle w:val="001000000000" w:firstRow="0" w:lastRow="0" w:firstColumn="1" w:lastColumn="0" w:oddVBand="0" w:evenVBand="0" w:oddHBand="0" w:evenHBand="0" w:firstRowFirstColumn="0" w:firstRowLastColumn="0" w:lastRowFirstColumn="0" w:lastRowLastColumn="0"/>
            <w:tcW w:w="1459" w:type="pct"/>
            <w:shd w:val="clear" w:color="auto" w:fill="F3F7FF" w:themeFill="background2"/>
          </w:tcPr>
          <w:p w14:paraId="08DE512E" w14:textId="77777777" w:rsidR="007A66F5" w:rsidRPr="003B1D7B" w:rsidRDefault="007A66F5">
            <w:pPr>
              <w:spacing w:after="120"/>
              <w:rPr>
                <w:rFonts w:asciiTheme="minorHAnsi" w:eastAsia="Calibri" w:hAnsiTheme="minorHAnsi"/>
                <w:noProof/>
                <w:color w:val="003399" w:themeColor="text2"/>
                <w:sz w:val="22"/>
                <w:szCs w:val="22"/>
              </w:rPr>
            </w:pPr>
            <w:r w:rsidRPr="003B1D7B">
              <w:rPr>
                <w:rFonts w:asciiTheme="minorHAnsi" w:eastAsia="Calibri" w:hAnsiTheme="minorHAnsi"/>
                <w:noProof/>
                <w:color w:val="003399" w:themeColor="text2"/>
                <w:sz w:val="22"/>
                <w:szCs w:val="22"/>
              </w:rPr>
              <w:t>6 Neighbourhood and the World</w:t>
            </w:r>
          </w:p>
        </w:tc>
        <w:tc>
          <w:tcPr>
            <w:tcW w:w="442" w:type="pct"/>
            <w:tcBorders>
              <w:top w:val="nil"/>
              <w:left w:val="nil"/>
              <w:bottom w:val="single" w:sz="8" w:space="0" w:color="BFBFBF"/>
              <w:right w:val="single" w:sz="8" w:space="0" w:color="BFBFBF"/>
            </w:tcBorders>
            <w:shd w:val="clear" w:color="auto" w:fill="F3F7FF" w:themeFill="background2"/>
            <w:vAlign w:val="center"/>
          </w:tcPr>
          <w:p w14:paraId="225E68EA" w14:textId="3B061A93"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b/>
                <w:noProof/>
                <w:color w:val="003399" w:themeColor="text2"/>
              </w:rPr>
              <w:t>0.7</w:t>
            </w:r>
          </w:p>
        </w:tc>
        <w:tc>
          <w:tcPr>
            <w:tcW w:w="442" w:type="pct"/>
            <w:tcBorders>
              <w:top w:val="nil"/>
              <w:left w:val="nil"/>
              <w:bottom w:val="single" w:sz="8" w:space="0" w:color="BFBFBF"/>
              <w:right w:val="single" w:sz="8" w:space="0" w:color="BFBFBF"/>
            </w:tcBorders>
            <w:shd w:val="clear" w:color="auto" w:fill="F3F7FF" w:themeFill="background2"/>
            <w:vAlign w:val="center"/>
          </w:tcPr>
          <w:p w14:paraId="14664732" w14:textId="74365D81" w:rsidR="007A66F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b/>
                <w:noProof/>
                <w:color w:val="003399" w:themeColor="text2"/>
              </w:rPr>
              <w:t>0.7</w:t>
            </w:r>
          </w:p>
        </w:tc>
        <w:tc>
          <w:tcPr>
            <w:tcW w:w="442" w:type="pct"/>
            <w:tcBorders>
              <w:top w:val="nil"/>
              <w:left w:val="nil"/>
              <w:bottom w:val="single" w:sz="8" w:space="0" w:color="BFBFBF"/>
              <w:right w:val="single" w:sz="8" w:space="0" w:color="BFBFBF"/>
            </w:tcBorders>
            <w:shd w:val="clear" w:color="auto" w:fill="F3F7FF" w:themeFill="background2"/>
            <w:vAlign w:val="center"/>
          </w:tcPr>
          <w:p w14:paraId="0CE2BC53" w14:textId="64AE117A"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b/>
                <w:noProof/>
                <w:color w:val="003399" w:themeColor="text2"/>
              </w:rPr>
              <w:t>0.</w:t>
            </w:r>
            <w:r w:rsidR="000A57B5" w:rsidRPr="00D167E1">
              <w:rPr>
                <w:rFonts w:asciiTheme="minorHAnsi" w:hAnsiTheme="minorHAnsi"/>
                <w:b/>
                <w:noProof/>
                <w:color w:val="003399" w:themeColor="text2"/>
              </w:rPr>
              <w:t>6</w:t>
            </w:r>
          </w:p>
        </w:tc>
        <w:tc>
          <w:tcPr>
            <w:tcW w:w="443" w:type="pct"/>
            <w:tcBorders>
              <w:top w:val="nil"/>
              <w:left w:val="nil"/>
              <w:bottom w:val="single" w:sz="8" w:space="0" w:color="BFBFBF"/>
              <w:right w:val="single" w:sz="8" w:space="0" w:color="BFBFBF"/>
            </w:tcBorders>
            <w:shd w:val="clear" w:color="auto" w:fill="F3F7FF" w:themeFill="background2"/>
            <w:vAlign w:val="center"/>
          </w:tcPr>
          <w:p w14:paraId="7CED51EA" w14:textId="04E159A7"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b/>
                <w:noProof/>
                <w:color w:val="003399" w:themeColor="text2"/>
              </w:rPr>
              <w:t>0.</w:t>
            </w:r>
            <w:r w:rsidR="000A57B5" w:rsidRPr="00D167E1">
              <w:rPr>
                <w:rFonts w:asciiTheme="minorHAnsi" w:hAnsiTheme="minorHAnsi"/>
                <w:b/>
                <w:noProof/>
                <w:color w:val="003399" w:themeColor="text2"/>
              </w:rPr>
              <w:t>5</w:t>
            </w:r>
          </w:p>
        </w:tc>
        <w:tc>
          <w:tcPr>
            <w:tcW w:w="442" w:type="pct"/>
            <w:tcBorders>
              <w:top w:val="nil"/>
              <w:left w:val="nil"/>
              <w:bottom w:val="single" w:sz="8" w:space="0" w:color="BFBFBF"/>
              <w:right w:val="single" w:sz="8" w:space="0" w:color="BFBFBF"/>
            </w:tcBorders>
            <w:shd w:val="clear" w:color="auto" w:fill="F3F7FF" w:themeFill="background2"/>
            <w:vAlign w:val="center"/>
          </w:tcPr>
          <w:p w14:paraId="376C6EA0" w14:textId="54391776" w:rsidR="007A66F5" w:rsidRPr="00D167E1"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D167E1">
              <w:rPr>
                <w:rFonts w:asciiTheme="minorHAnsi" w:hAnsiTheme="minorHAnsi"/>
                <w:b/>
                <w:noProof/>
                <w:color w:val="003399" w:themeColor="text2"/>
              </w:rPr>
              <w:t>0.</w:t>
            </w:r>
            <w:r w:rsidR="000A57B5" w:rsidRPr="00D167E1">
              <w:rPr>
                <w:rFonts w:asciiTheme="minorHAnsi" w:hAnsiTheme="minorHAnsi"/>
                <w:b/>
                <w:noProof/>
                <w:color w:val="003399" w:themeColor="text2"/>
              </w:rPr>
              <w:t>3</w:t>
            </w:r>
          </w:p>
        </w:tc>
        <w:tc>
          <w:tcPr>
            <w:tcW w:w="442" w:type="pct"/>
            <w:tcBorders>
              <w:top w:val="nil"/>
              <w:left w:val="nil"/>
              <w:bottom w:val="single" w:sz="8" w:space="0" w:color="BFBFBF"/>
              <w:right w:val="single" w:sz="8" w:space="0" w:color="BFBFBF"/>
            </w:tcBorders>
            <w:shd w:val="clear" w:color="auto" w:fill="F3F7FF" w:themeFill="background2"/>
            <w:vAlign w:val="center"/>
          </w:tcPr>
          <w:p w14:paraId="2D3CDB80" w14:textId="2D45E1C2" w:rsidR="000A57B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D167E1">
              <w:rPr>
                <w:rFonts w:asciiTheme="minorHAnsi" w:hAnsiTheme="minorHAnsi"/>
                <w:b/>
                <w:noProof/>
                <w:color w:val="003399" w:themeColor="text2"/>
              </w:rPr>
              <w:t>0.2</w:t>
            </w:r>
          </w:p>
        </w:tc>
        <w:tc>
          <w:tcPr>
            <w:tcW w:w="442" w:type="pct"/>
            <w:tcBorders>
              <w:top w:val="nil"/>
              <w:left w:val="nil"/>
              <w:bottom w:val="single" w:sz="8" w:space="0" w:color="BFBFBF"/>
              <w:right w:val="single" w:sz="8" w:space="0" w:color="BFBFBF"/>
            </w:tcBorders>
            <w:shd w:val="clear" w:color="auto" w:fill="F3F7FF" w:themeFill="background2"/>
            <w:vAlign w:val="center"/>
          </w:tcPr>
          <w:p w14:paraId="544EA8D9" w14:textId="6CF2ABC9" w:rsidR="000A57B5" w:rsidRPr="00D167E1"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D167E1">
              <w:rPr>
                <w:rFonts w:asciiTheme="minorHAnsi" w:hAnsiTheme="minorHAnsi"/>
                <w:b/>
                <w:noProof/>
                <w:color w:val="003399" w:themeColor="text2"/>
              </w:rPr>
              <w:t>0.1</w:t>
            </w:r>
          </w:p>
        </w:tc>
        <w:tc>
          <w:tcPr>
            <w:tcW w:w="443" w:type="pct"/>
            <w:tcBorders>
              <w:top w:val="nil"/>
              <w:left w:val="nil"/>
              <w:bottom w:val="single" w:sz="8" w:space="0" w:color="BFBFBF"/>
              <w:right w:val="single" w:sz="8" w:space="0" w:color="BFBFBF"/>
            </w:tcBorders>
            <w:shd w:val="clear" w:color="auto" w:fill="F3F7FF" w:themeFill="background2"/>
            <w:vAlign w:val="center"/>
          </w:tcPr>
          <w:p w14:paraId="124859E3" w14:textId="6F16F4B3" w:rsidR="007A66F5" w:rsidRPr="00723F2C" w:rsidRDefault="007A66F5" w:rsidP="00557419">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723F2C">
              <w:rPr>
                <w:rFonts w:asciiTheme="minorHAnsi" w:hAnsiTheme="minorHAnsi"/>
                <w:b/>
                <w:noProof/>
                <w:color w:val="000000" w:themeColor="text1"/>
                <w:sz w:val="22"/>
                <w:szCs w:val="22"/>
              </w:rPr>
              <w:t>3.</w:t>
            </w:r>
            <w:r w:rsidR="000A57B5" w:rsidRPr="00723F2C">
              <w:rPr>
                <w:rFonts w:asciiTheme="minorHAnsi" w:hAnsiTheme="minorHAnsi"/>
                <w:b/>
                <w:noProof/>
                <w:color w:val="000000" w:themeColor="text1"/>
                <w:sz w:val="22"/>
                <w:szCs w:val="22"/>
              </w:rPr>
              <w:t>1</w:t>
            </w:r>
          </w:p>
        </w:tc>
      </w:tr>
      <w:tr w:rsidR="00586721" w:rsidRPr="00F423B9" w14:paraId="405CFA2C" w14:textId="77777777" w:rsidTr="00610F45">
        <w:trPr>
          <w:trHeight w:val="465"/>
        </w:trPr>
        <w:tc>
          <w:tcPr>
            <w:cnfStyle w:val="001000000000" w:firstRow="0" w:lastRow="0" w:firstColumn="1" w:lastColumn="0" w:oddVBand="0" w:evenVBand="0" w:oddHBand="0" w:evenHBand="0" w:firstRowFirstColumn="0" w:firstRowLastColumn="0" w:lastRowFirstColumn="0" w:lastRowLastColumn="0"/>
            <w:tcW w:w="1459" w:type="pct"/>
            <w:shd w:val="clear" w:color="auto" w:fill="D9D9D9" w:themeFill="background1" w:themeFillShade="D9"/>
          </w:tcPr>
          <w:p w14:paraId="190C663D" w14:textId="77777777" w:rsidR="007A66F5" w:rsidRPr="00C5567C" w:rsidRDefault="007A66F5">
            <w:pPr>
              <w:spacing w:after="120"/>
              <w:rPr>
                <w:rFonts w:asciiTheme="minorHAnsi" w:eastAsia="Calibri" w:hAnsiTheme="minorHAnsi"/>
                <w:noProof/>
                <w:color w:val="000000" w:themeColor="text1"/>
                <w:sz w:val="22"/>
                <w:szCs w:val="22"/>
              </w:rPr>
            </w:pPr>
            <w:r w:rsidRPr="00C5567C">
              <w:rPr>
                <w:rFonts w:asciiTheme="minorHAnsi" w:eastAsia="Calibri" w:hAnsiTheme="minorHAnsi"/>
                <w:noProof/>
                <w:color w:val="000000" w:themeColor="text1"/>
                <w:sz w:val="22"/>
                <w:szCs w:val="22"/>
              </w:rPr>
              <w:t>Total</w:t>
            </w:r>
          </w:p>
        </w:tc>
        <w:tc>
          <w:tcPr>
            <w:tcW w:w="442" w:type="pct"/>
            <w:tcBorders>
              <w:top w:val="nil"/>
              <w:left w:val="nil"/>
              <w:bottom w:val="nil"/>
              <w:right w:val="single" w:sz="8" w:space="0" w:color="BFBFBF"/>
            </w:tcBorders>
            <w:shd w:val="clear" w:color="auto" w:fill="D9D9D9" w:themeFill="background1" w:themeFillShade="D9"/>
            <w:vAlign w:val="center"/>
          </w:tcPr>
          <w:p w14:paraId="62F9904E" w14:textId="51CE08BE" w:rsidR="007A66F5" w:rsidRPr="00B426DE"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B426DE">
              <w:rPr>
                <w:rFonts w:asciiTheme="minorHAnsi" w:hAnsiTheme="minorHAnsi"/>
                <w:b/>
                <w:noProof/>
                <w:color w:val="000000" w:themeColor="text1"/>
                <w:sz w:val="22"/>
                <w:szCs w:val="22"/>
              </w:rPr>
              <w:t>1</w:t>
            </w:r>
            <w:r w:rsidR="007A66F5" w:rsidRPr="00B426DE">
              <w:rPr>
                <w:rFonts w:asciiTheme="minorHAnsi" w:hAnsiTheme="minorHAnsi"/>
                <w:b/>
                <w:noProof/>
                <w:color w:val="000000" w:themeColor="text1"/>
                <w:sz w:val="22"/>
                <w:szCs w:val="22"/>
              </w:rPr>
              <w:t>.7</w:t>
            </w:r>
          </w:p>
        </w:tc>
        <w:tc>
          <w:tcPr>
            <w:tcW w:w="442" w:type="pct"/>
            <w:tcBorders>
              <w:top w:val="nil"/>
              <w:left w:val="nil"/>
              <w:bottom w:val="nil"/>
              <w:right w:val="single" w:sz="8" w:space="0" w:color="BFBFBF"/>
            </w:tcBorders>
            <w:shd w:val="clear" w:color="auto" w:fill="D9D9D9" w:themeFill="background1" w:themeFillShade="D9"/>
            <w:vAlign w:val="center"/>
          </w:tcPr>
          <w:p w14:paraId="6212225C" w14:textId="68324DE4" w:rsidR="007A66F5" w:rsidRPr="00B426DE"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B426DE">
              <w:rPr>
                <w:rFonts w:asciiTheme="minorHAnsi" w:hAnsiTheme="minorHAnsi"/>
                <w:b/>
                <w:noProof/>
                <w:color w:val="000000" w:themeColor="text1"/>
                <w:sz w:val="22"/>
                <w:szCs w:val="22"/>
              </w:rPr>
              <w:t>1.</w:t>
            </w:r>
            <w:r w:rsidR="000A57B5" w:rsidRPr="00B426DE">
              <w:rPr>
                <w:rFonts w:asciiTheme="minorHAnsi" w:hAnsiTheme="minorHAnsi"/>
                <w:b/>
                <w:noProof/>
                <w:color w:val="000000" w:themeColor="text1"/>
                <w:sz w:val="22"/>
                <w:szCs w:val="22"/>
              </w:rPr>
              <w:t>4</w:t>
            </w:r>
          </w:p>
        </w:tc>
        <w:tc>
          <w:tcPr>
            <w:tcW w:w="442" w:type="pct"/>
            <w:tcBorders>
              <w:top w:val="nil"/>
              <w:left w:val="nil"/>
              <w:bottom w:val="nil"/>
              <w:right w:val="single" w:sz="8" w:space="0" w:color="BFBFBF"/>
            </w:tcBorders>
            <w:shd w:val="clear" w:color="auto" w:fill="D9D9D9" w:themeFill="background1" w:themeFillShade="D9"/>
            <w:vAlign w:val="center"/>
          </w:tcPr>
          <w:p w14:paraId="1D904174" w14:textId="6CE3211B" w:rsidR="007A66F5" w:rsidRPr="00B426DE"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B426DE">
              <w:rPr>
                <w:rFonts w:asciiTheme="minorHAnsi" w:hAnsiTheme="minorHAnsi"/>
                <w:b/>
                <w:noProof/>
                <w:color w:val="000000" w:themeColor="text1"/>
                <w:sz w:val="22"/>
                <w:szCs w:val="22"/>
              </w:rPr>
              <w:t>0</w:t>
            </w:r>
            <w:r w:rsidR="000A57B5" w:rsidRPr="00B426DE">
              <w:rPr>
                <w:rFonts w:asciiTheme="minorHAnsi" w:hAnsiTheme="minorHAnsi"/>
                <w:b/>
                <w:noProof/>
                <w:color w:val="000000" w:themeColor="text1"/>
                <w:sz w:val="22"/>
                <w:szCs w:val="22"/>
              </w:rPr>
              <w:t>.9</w:t>
            </w:r>
          </w:p>
        </w:tc>
        <w:tc>
          <w:tcPr>
            <w:tcW w:w="443" w:type="pct"/>
            <w:tcBorders>
              <w:top w:val="nil"/>
              <w:left w:val="nil"/>
              <w:bottom w:val="nil"/>
              <w:right w:val="single" w:sz="8" w:space="0" w:color="BFBFBF"/>
            </w:tcBorders>
            <w:shd w:val="clear" w:color="auto" w:fill="D9D9D9" w:themeFill="background1" w:themeFillShade="D9"/>
            <w:vAlign w:val="center"/>
          </w:tcPr>
          <w:p w14:paraId="202171FD" w14:textId="6079FD9F" w:rsidR="007A66F5" w:rsidRPr="00B426DE"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B426DE">
              <w:rPr>
                <w:rFonts w:asciiTheme="minorHAnsi" w:hAnsiTheme="minorHAnsi"/>
                <w:b/>
                <w:noProof/>
                <w:color w:val="000000" w:themeColor="text1"/>
                <w:sz w:val="22"/>
                <w:szCs w:val="22"/>
              </w:rPr>
              <w:t>0.</w:t>
            </w:r>
            <w:r w:rsidR="000A57B5" w:rsidRPr="00B426DE">
              <w:rPr>
                <w:rFonts w:asciiTheme="minorHAnsi" w:hAnsiTheme="minorHAnsi"/>
                <w:b/>
                <w:noProof/>
                <w:color w:val="000000" w:themeColor="text1"/>
                <w:sz w:val="22"/>
                <w:szCs w:val="22"/>
              </w:rPr>
              <w:t>8</w:t>
            </w:r>
          </w:p>
        </w:tc>
        <w:tc>
          <w:tcPr>
            <w:tcW w:w="442" w:type="pct"/>
            <w:tcBorders>
              <w:top w:val="nil"/>
              <w:left w:val="nil"/>
              <w:bottom w:val="nil"/>
              <w:right w:val="single" w:sz="8" w:space="0" w:color="BFBFBF"/>
            </w:tcBorders>
            <w:shd w:val="clear" w:color="auto" w:fill="D9D9D9" w:themeFill="background1" w:themeFillShade="D9"/>
            <w:vAlign w:val="center"/>
          </w:tcPr>
          <w:p w14:paraId="3E1EAB5C" w14:textId="43039D7F" w:rsidR="007A66F5" w:rsidRPr="00B426DE" w:rsidRDefault="007A66F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B426DE">
              <w:rPr>
                <w:rFonts w:asciiTheme="minorHAnsi" w:hAnsiTheme="minorHAnsi"/>
                <w:b/>
                <w:noProof/>
                <w:color w:val="000000" w:themeColor="text1"/>
                <w:sz w:val="22"/>
                <w:szCs w:val="22"/>
              </w:rPr>
              <w:t>0.</w:t>
            </w:r>
            <w:r w:rsidR="000A57B5" w:rsidRPr="00B426DE">
              <w:rPr>
                <w:rFonts w:asciiTheme="minorHAnsi" w:hAnsiTheme="minorHAnsi"/>
                <w:b/>
                <w:noProof/>
                <w:color w:val="000000" w:themeColor="text1"/>
                <w:sz w:val="22"/>
                <w:szCs w:val="22"/>
              </w:rPr>
              <w:t>4</w:t>
            </w:r>
          </w:p>
        </w:tc>
        <w:tc>
          <w:tcPr>
            <w:tcW w:w="442" w:type="pct"/>
            <w:tcBorders>
              <w:top w:val="nil"/>
              <w:left w:val="nil"/>
              <w:bottom w:val="nil"/>
              <w:right w:val="single" w:sz="8" w:space="0" w:color="BFBFBF"/>
            </w:tcBorders>
            <w:shd w:val="clear" w:color="auto" w:fill="D9D9D9" w:themeFill="background1" w:themeFillShade="D9"/>
            <w:vAlign w:val="center"/>
          </w:tcPr>
          <w:p w14:paraId="093B1741" w14:textId="7CBDD7B7" w:rsidR="000A57B5" w:rsidRPr="00B426DE"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B426DE">
              <w:rPr>
                <w:rFonts w:asciiTheme="minorHAnsi" w:hAnsiTheme="minorHAnsi"/>
                <w:b/>
                <w:noProof/>
                <w:color w:val="000000" w:themeColor="text1"/>
                <w:sz w:val="22"/>
                <w:szCs w:val="22"/>
              </w:rPr>
              <w:t>0.5</w:t>
            </w:r>
          </w:p>
        </w:tc>
        <w:tc>
          <w:tcPr>
            <w:tcW w:w="442" w:type="pct"/>
            <w:tcBorders>
              <w:top w:val="nil"/>
              <w:left w:val="nil"/>
              <w:bottom w:val="nil"/>
              <w:right w:val="single" w:sz="8" w:space="0" w:color="BFBFBF"/>
            </w:tcBorders>
            <w:shd w:val="clear" w:color="auto" w:fill="D9D9D9" w:themeFill="background1" w:themeFillShade="D9"/>
            <w:vAlign w:val="center"/>
          </w:tcPr>
          <w:p w14:paraId="3AA6126F" w14:textId="1A098BBB" w:rsidR="000A57B5" w:rsidRPr="00B426DE"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B426DE">
              <w:rPr>
                <w:rFonts w:asciiTheme="minorHAnsi" w:hAnsiTheme="minorHAnsi"/>
                <w:b/>
                <w:noProof/>
                <w:color w:val="000000" w:themeColor="text1"/>
                <w:sz w:val="22"/>
                <w:szCs w:val="22"/>
              </w:rPr>
              <w:t>0.2</w:t>
            </w:r>
          </w:p>
        </w:tc>
        <w:tc>
          <w:tcPr>
            <w:tcW w:w="443" w:type="pct"/>
            <w:shd w:val="clear" w:color="auto" w:fill="D9D9D9" w:themeFill="background1" w:themeFillShade="D9"/>
            <w:vAlign w:val="center"/>
          </w:tcPr>
          <w:p w14:paraId="6823CC2E" w14:textId="3E09ED81" w:rsidR="007A66F5" w:rsidRPr="00723F2C" w:rsidRDefault="000A57B5" w:rsidP="00B426DE">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723F2C">
              <w:rPr>
                <w:rFonts w:asciiTheme="minorHAnsi" w:eastAsia="Calibri" w:hAnsiTheme="minorHAnsi"/>
                <w:b/>
                <w:noProof/>
                <w:color w:val="000000" w:themeColor="text1"/>
                <w:sz w:val="22"/>
                <w:szCs w:val="22"/>
              </w:rPr>
              <w:t>5.9</w:t>
            </w:r>
          </w:p>
        </w:tc>
      </w:tr>
    </w:tbl>
    <w:p w14:paraId="2A58B687" w14:textId="77777777" w:rsidR="00934FFF" w:rsidRPr="00F423B9" w:rsidRDefault="00934FFF" w:rsidP="00682537">
      <w:pPr>
        <w:rPr>
          <w:rFonts w:asciiTheme="majorHAnsi" w:hAnsiTheme="majorHAnsi"/>
          <w:noProof/>
        </w:rPr>
        <w:sectPr w:rsidR="00934FFF" w:rsidRPr="00F423B9">
          <w:headerReference w:type="even" r:id="rId28"/>
          <w:headerReference w:type="default" r:id="rId29"/>
          <w:footerReference w:type="even" r:id="rId30"/>
          <w:footerReference w:type="default" r:id="rId31"/>
          <w:headerReference w:type="first" r:id="rId32"/>
          <w:footerReference w:type="first" r:id="rId33"/>
          <w:pgSz w:w="11906" w:h="16838"/>
          <w:pgMar w:top="1321" w:right="1151" w:bottom="1440" w:left="1151" w:header="720" w:footer="720" w:gutter="0"/>
          <w:cols w:space="720"/>
          <w:docGrid w:linePitch="326"/>
        </w:sectPr>
      </w:pPr>
    </w:p>
    <w:p w14:paraId="285F1836" w14:textId="5B1AE7EF" w:rsidR="00934FFF" w:rsidRPr="00F423B9" w:rsidRDefault="00934FFF" w:rsidP="00934FFF">
      <w:pPr>
        <w:pStyle w:val="Heading2"/>
        <w:rPr>
          <w:rFonts w:asciiTheme="majorHAnsi" w:hAnsiTheme="majorHAnsi"/>
          <w:noProof/>
        </w:rPr>
      </w:pPr>
      <w:bookmarkStart w:id="83" w:name="_Toc233958949"/>
      <w:r w:rsidRPr="00F423B9">
        <w:rPr>
          <w:rFonts w:asciiTheme="majorHAnsi" w:hAnsiTheme="majorHAnsi"/>
          <w:noProof/>
        </w:rPr>
        <w:t xml:space="preserve">Table 1.4 – Payments for </w:t>
      </w:r>
      <w:r w:rsidR="002B067A">
        <w:rPr>
          <w:rFonts w:asciiTheme="majorHAnsi" w:hAnsiTheme="majorHAnsi"/>
          <w:noProof/>
        </w:rPr>
        <w:t>2028-2034</w:t>
      </w:r>
      <w:r w:rsidRPr="00F423B9">
        <w:rPr>
          <w:rFonts w:asciiTheme="majorHAnsi" w:hAnsiTheme="majorHAnsi"/>
          <w:noProof/>
        </w:rPr>
        <w:t xml:space="preserve"> commitments</w:t>
      </w:r>
      <w:bookmarkEnd w:id="83"/>
    </w:p>
    <w:tbl>
      <w:tblPr>
        <w:tblStyle w:val="AMPR2021"/>
        <w:tblW w:w="5252" w:type="pct"/>
        <w:tblBorders>
          <w:top w:val="none" w:sz="0" w:space="0" w:color="auto"/>
          <w:bottom w:val="none" w:sz="0" w:space="0" w:color="auto"/>
          <w:insideH w:val="single" w:sz="6" w:space="0" w:color="BFBFBF" w:themeColor="background1" w:themeShade="BF"/>
          <w:insideV w:val="single" w:sz="6" w:space="0" w:color="BFBFBF" w:themeColor="background1" w:themeShade="BF"/>
        </w:tblBorders>
        <w:tblLayout w:type="fixed"/>
        <w:tblLook w:val="06A0" w:firstRow="1" w:lastRow="0" w:firstColumn="1" w:lastColumn="0" w:noHBand="1" w:noVBand="1"/>
      </w:tblPr>
      <w:tblGrid>
        <w:gridCol w:w="2831"/>
        <w:gridCol w:w="918"/>
        <w:gridCol w:w="918"/>
        <w:gridCol w:w="918"/>
        <w:gridCol w:w="918"/>
        <w:gridCol w:w="918"/>
        <w:gridCol w:w="918"/>
        <w:gridCol w:w="918"/>
        <w:gridCol w:w="1058"/>
      </w:tblGrid>
      <w:tr w:rsidR="00607FF2" w:rsidRPr="00F423B9" w14:paraId="75BA2081" w14:textId="77777777" w:rsidTr="00BA6CD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72" w:type="pct"/>
          </w:tcPr>
          <w:p w14:paraId="7168AE7A" w14:textId="77777777" w:rsidR="007E1EE8" w:rsidRPr="00406E9B" w:rsidRDefault="007E1EE8" w:rsidP="007E1EE8">
            <w:pPr>
              <w:rPr>
                <w:rFonts w:asciiTheme="minorHAnsi" w:eastAsia="Calibri" w:hAnsiTheme="minorHAnsi"/>
                <w:b w:val="0"/>
                <w:noProof/>
                <w:sz w:val="22"/>
                <w:szCs w:val="22"/>
              </w:rPr>
            </w:pPr>
            <w:r w:rsidRPr="00406E9B">
              <w:rPr>
                <w:rFonts w:asciiTheme="minorHAnsi" w:eastAsia="Calibri" w:hAnsiTheme="minorHAnsi"/>
                <w:noProof/>
                <w:sz w:val="22"/>
                <w:szCs w:val="22"/>
              </w:rPr>
              <w:t>MFF Heading</w:t>
            </w:r>
          </w:p>
        </w:tc>
        <w:tc>
          <w:tcPr>
            <w:tcW w:w="445" w:type="pct"/>
          </w:tcPr>
          <w:p w14:paraId="407E44DF" w14:textId="77777777" w:rsidR="007E1EE8" w:rsidRPr="003B1D7B" w:rsidRDefault="007E1EE8" w:rsidP="007E1EE8">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noProof/>
                <w:sz w:val="22"/>
                <w:szCs w:val="22"/>
              </w:rPr>
            </w:pPr>
            <w:r w:rsidRPr="003B1D7B">
              <w:rPr>
                <w:rFonts w:asciiTheme="minorHAnsi" w:eastAsia="Calibri" w:hAnsiTheme="minorHAnsi"/>
                <w:noProof/>
                <w:sz w:val="22"/>
                <w:szCs w:val="22"/>
              </w:rPr>
              <w:t>2028</w:t>
            </w:r>
          </w:p>
        </w:tc>
        <w:tc>
          <w:tcPr>
            <w:tcW w:w="445" w:type="pct"/>
          </w:tcPr>
          <w:p w14:paraId="4724F960" w14:textId="77777777" w:rsidR="007E1EE8" w:rsidRPr="003B1D7B" w:rsidRDefault="007E1EE8" w:rsidP="007E1EE8">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noProof/>
                <w:sz w:val="22"/>
                <w:szCs w:val="22"/>
              </w:rPr>
            </w:pPr>
            <w:r w:rsidRPr="003B1D7B">
              <w:rPr>
                <w:rFonts w:asciiTheme="minorHAnsi" w:eastAsia="Calibri" w:hAnsiTheme="minorHAnsi"/>
                <w:noProof/>
                <w:sz w:val="22"/>
                <w:szCs w:val="22"/>
              </w:rPr>
              <w:t>2029</w:t>
            </w:r>
          </w:p>
        </w:tc>
        <w:tc>
          <w:tcPr>
            <w:tcW w:w="445" w:type="pct"/>
          </w:tcPr>
          <w:p w14:paraId="707FB3F6" w14:textId="77777777" w:rsidR="007E1EE8" w:rsidRPr="003B1D7B" w:rsidRDefault="007E1EE8" w:rsidP="007E1EE8">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b w:val="0"/>
                <w:noProof/>
                <w:sz w:val="22"/>
                <w:szCs w:val="22"/>
              </w:rPr>
            </w:pPr>
            <w:r w:rsidRPr="003B1D7B">
              <w:rPr>
                <w:rFonts w:asciiTheme="minorHAnsi" w:eastAsia="Calibri" w:hAnsiTheme="minorHAnsi"/>
                <w:noProof/>
                <w:sz w:val="22"/>
                <w:szCs w:val="22"/>
              </w:rPr>
              <w:t>2030</w:t>
            </w:r>
          </w:p>
        </w:tc>
        <w:tc>
          <w:tcPr>
            <w:tcW w:w="445" w:type="pct"/>
          </w:tcPr>
          <w:p w14:paraId="6E27C745" w14:textId="77777777" w:rsidR="007E1EE8" w:rsidRPr="003B1D7B" w:rsidRDefault="007E1EE8" w:rsidP="007E1EE8">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b w:val="0"/>
                <w:noProof/>
                <w:sz w:val="22"/>
                <w:szCs w:val="22"/>
              </w:rPr>
            </w:pPr>
            <w:r w:rsidRPr="003B1D7B">
              <w:rPr>
                <w:rFonts w:asciiTheme="minorHAnsi" w:eastAsia="Calibri" w:hAnsiTheme="minorHAnsi"/>
                <w:noProof/>
                <w:sz w:val="22"/>
                <w:szCs w:val="22"/>
              </w:rPr>
              <w:t>2031</w:t>
            </w:r>
          </w:p>
        </w:tc>
        <w:tc>
          <w:tcPr>
            <w:tcW w:w="445" w:type="pct"/>
          </w:tcPr>
          <w:p w14:paraId="07149948" w14:textId="77777777" w:rsidR="007E1EE8" w:rsidRPr="003B1D7B" w:rsidRDefault="007E1EE8" w:rsidP="007E1EE8">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noProof/>
                <w:sz w:val="22"/>
                <w:szCs w:val="22"/>
              </w:rPr>
            </w:pPr>
            <w:r w:rsidRPr="003B1D7B">
              <w:rPr>
                <w:rFonts w:asciiTheme="minorHAnsi" w:eastAsia="Calibri" w:hAnsiTheme="minorHAnsi"/>
                <w:noProof/>
                <w:sz w:val="22"/>
                <w:szCs w:val="22"/>
              </w:rPr>
              <w:t>2032</w:t>
            </w:r>
          </w:p>
        </w:tc>
        <w:tc>
          <w:tcPr>
            <w:tcW w:w="445" w:type="pct"/>
          </w:tcPr>
          <w:p w14:paraId="3C491255" w14:textId="77777777" w:rsidR="007E1EE8" w:rsidRPr="003B1D7B" w:rsidRDefault="007E1EE8" w:rsidP="007E1EE8">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noProof/>
                <w:sz w:val="22"/>
                <w:szCs w:val="22"/>
              </w:rPr>
            </w:pPr>
            <w:r w:rsidRPr="003B1D7B">
              <w:rPr>
                <w:rFonts w:asciiTheme="minorHAnsi" w:eastAsia="Calibri" w:hAnsiTheme="minorHAnsi"/>
                <w:noProof/>
                <w:sz w:val="22"/>
                <w:szCs w:val="22"/>
              </w:rPr>
              <w:t>2033</w:t>
            </w:r>
          </w:p>
        </w:tc>
        <w:tc>
          <w:tcPr>
            <w:tcW w:w="445" w:type="pct"/>
          </w:tcPr>
          <w:p w14:paraId="339F87FB" w14:textId="7975CBB4" w:rsidR="007E1EE8" w:rsidRPr="003B1D7B" w:rsidRDefault="007E1EE8" w:rsidP="007E1EE8">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noProof/>
                <w:sz w:val="22"/>
                <w:szCs w:val="22"/>
              </w:rPr>
            </w:pPr>
            <w:r w:rsidRPr="003B1D7B">
              <w:rPr>
                <w:rFonts w:asciiTheme="minorHAnsi" w:eastAsia="Calibri" w:hAnsiTheme="minorHAnsi"/>
                <w:noProof/>
                <w:sz w:val="22"/>
                <w:szCs w:val="22"/>
              </w:rPr>
              <w:t>2034</w:t>
            </w:r>
          </w:p>
        </w:tc>
        <w:tc>
          <w:tcPr>
            <w:tcW w:w="513" w:type="pct"/>
          </w:tcPr>
          <w:p w14:paraId="5A51230A" w14:textId="7A327493" w:rsidR="007E1EE8" w:rsidRPr="003B1D7B" w:rsidRDefault="007E1EE8" w:rsidP="007E1EE8">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b w:val="0"/>
                <w:noProof/>
                <w:sz w:val="22"/>
                <w:szCs w:val="22"/>
              </w:rPr>
            </w:pPr>
            <w:r w:rsidRPr="003B1D7B">
              <w:rPr>
                <w:rFonts w:asciiTheme="minorHAnsi" w:eastAsia="Calibri" w:hAnsiTheme="minorHAnsi"/>
                <w:noProof/>
                <w:sz w:val="22"/>
                <w:szCs w:val="22"/>
              </w:rPr>
              <w:t>Total</w:t>
            </w:r>
          </w:p>
        </w:tc>
      </w:tr>
      <w:tr w:rsidR="00AD7836" w:rsidRPr="00F423B9" w14:paraId="56903E6D" w14:textId="77777777" w:rsidTr="003B1D7B">
        <w:trPr>
          <w:trHeight w:val="300"/>
        </w:trPr>
        <w:tc>
          <w:tcPr>
            <w:cnfStyle w:val="001000000000" w:firstRow="0" w:lastRow="0" w:firstColumn="1" w:lastColumn="0" w:oddVBand="0" w:evenVBand="0" w:oddHBand="0" w:evenHBand="0" w:firstRowFirstColumn="0" w:firstRowLastColumn="0" w:lastRowFirstColumn="0" w:lastRowLastColumn="0"/>
            <w:tcW w:w="1372" w:type="pct"/>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vAlign w:val="center"/>
          </w:tcPr>
          <w:p w14:paraId="007DE7F5" w14:textId="4F3DACD1" w:rsidR="00AD7836" w:rsidRPr="00406E9B" w:rsidRDefault="00D70476" w:rsidP="00AD7836">
            <w:pPr>
              <w:spacing w:after="120"/>
              <w:rPr>
                <w:rFonts w:asciiTheme="minorHAnsi" w:eastAsia="Calibri" w:hAnsiTheme="minorHAnsi"/>
                <w:noProof/>
                <w:color w:val="003399" w:themeColor="text2"/>
                <w:sz w:val="22"/>
                <w:szCs w:val="18"/>
              </w:rPr>
            </w:pPr>
            <w:r w:rsidRPr="003B1D7B">
              <w:rPr>
                <w:rFonts w:asciiTheme="minorHAnsi" w:hAnsiTheme="minorHAnsi"/>
                <w:noProof/>
                <w:color w:val="003399" w:themeColor="text2"/>
                <w:sz w:val="22"/>
                <w:szCs w:val="22"/>
              </w:rPr>
              <w:t xml:space="preserve">1. </w:t>
            </w:r>
            <w:r w:rsidRPr="003B1D7B">
              <w:rPr>
                <w:rFonts w:asciiTheme="minorHAnsi" w:eastAsiaTheme="minorEastAsia" w:hAnsiTheme="minorHAnsi"/>
                <w:noProof/>
                <w:color w:val="003399" w:themeColor="text2"/>
                <w:sz w:val="22"/>
                <w:szCs w:val="22"/>
              </w:rPr>
              <w:t>Economic, social and territorial cohesion, agriculture, rural and maritime prosperity and security</w:t>
            </w:r>
          </w:p>
        </w:tc>
        <w:tc>
          <w:tcPr>
            <w:tcW w:w="445" w:type="pct"/>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vAlign w:val="center"/>
          </w:tcPr>
          <w:p w14:paraId="0134215C" w14:textId="164BCC98"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3B1D7B">
              <w:rPr>
                <w:rFonts w:asciiTheme="minorHAnsi" w:hAnsiTheme="minorHAnsi"/>
                <w:b/>
                <w:noProof/>
                <w:color w:val="003399" w:themeColor="text2"/>
              </w:rPr>
              <w:t>108.0</w:t>
            </w:r>
          </w:p>
        </w:tc>
        <w:tc>
          <w:tcPr>
            <w:tcW w:w="445" w:type="pct"/>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vAlign w:val="center"/>
          </w:tcPr>
          <w:p w14:paraId="47F084FD" w14:textId="74F4AF45"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3B1D7B">
              <w:rPr>
                <w:rFonts w:asciiTheme="minorHAnsi" w:hAnsiTheme="minorHAnsi"/>
                <w:b/>
                <w:noProof/>
                <w:color w:val="003399" w:themeColor="text2"/>
              </w:rPr>
              <w:t>122.6</w:t>
            </w:r>
          </w:p>
        </w:tc>
        <w:tc>
          <w:tcPr>
            <w:tcW w:w="445" w:type="pct"/>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vAlign w:val="center"/>
          </w:tcPr>
          <w:p w14:paraId="712AAB16" w14:textId="69F4D1EA"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3B1D7B">
              <w:rPr>
                <w:rFonts w:asciiTheme="minorHAnsi" w:hAnsiTheme="minorHAnsi"/>
                <w:b/>
                <w:noProof/>
                <w:color w:val="003399" w:themeColor="text2"/>
              </w:rPr>
              <w:t>150.8</w:t>
            </w:r>
          </w:p>
        </w:tc>
        <w:tc>
          <w:tcPr>
            <w:tcW w:w="445" w:type="pct"/>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vAlign w:val="center"/>
          </w:tcPr>
          <w:p w14:paraId="0CF253BF" w14:textId="7025F4EB"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3B1D7B">
              <w:rPr>
                <w:rFonts w:asciiTheme="minorHAnsi" w:hAnsiTheme="minorHAnsi"/>
                <w:b/>
                <w:noProof/>
                <w:color w:val="003399" w:themeColor="text2"/>
              </w:rPr>
              <w:t>150.7</w:t>
            </w:r>
          </w:p>
        </w:tc>
        <w:tc>
          <w:tcPr>
            <w:tcW w:w="445" w:type="pct"/>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vAlign w:val="center"/>
          </w:tcPr>
          <w:p w14:paraId="47837777" w14:textId="7B31BF52" w:rsidR="00AD7836" w:rsidRPr="00BA6CD0"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3B1D7B">
              <w:rPr>
                <w:rFonts w:asciiTheme="minorHAnsi" w:hAnsiTheme="minorHAnsi"/>
                <w:b/>
                <w:noProof/>
                <w:color w:val="003399" w:themeColor="text2"/>
              </w:rPr>
              <w:t>157.8</w:t>
            </w:r>
          </w:p>
        </w:tc>
        <w:tc>
          <w:tcPr>
            <w:tcW w:w="445" w:type="pct"/>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vAlign w:val="center"/>
          </w:tcPr>
          <w:p w14:paraId="198AE919" w14:textId="3E85B8FB" w:rsidR="00AD7836" w:rsidRPr="00BA6CD0"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3B1D7B">
              <w:rPr>
                <w:rFonts w:asciiTheme="minorHAnsi" w:hAnsiTheme="minorHAnsi"/>
                <w:b/>
                <w:noProof/>
                <w:color w:val="003399" w:themeColor="text2"/>
              </w:rPr>
              <w:t>144.3</w:t>
            </w:r>
          </w:p>
        </w:tc>
        <w:tc>
          <w:tcPr>
            <w:tcW w:w="445" w:type="pct"/>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vAlign w:val="center"/>
          </w:tcPr>
          <w:p w14:paraId="6A4AF682" w14:textId="2B164954"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3B1D7B">
              <w:rPr>
                <w:rFonts w:asciiTheme="minorHAnsi" w:hAnsiTheme="minorHAnsi"/>
                <w:b/>
                <w:noProof/>
                <w:color w:val="003399" w:themeColor="text2"/>
              </w:rPr>
              <w:t>130.3</w:t>
            </w:r>
          </w:p>
        </w:tc>
        <w:tc>
          <w:tcPr>
            <w:tcW w:w="513" w:type="pct"/>
            <w:tcBorders>
              <w:top w:val="single" w:sz="8" w:space="0" w:color="BFBFBF" w:themeColor="background1" w:themeShade="BF"/>
              <w:left w:val="nil"/>
              <w:bottom w:val="single" w:sz="8" w:space="0" w:color="BFBFBF" w:themeColor="background1" w:themeShade="BF"/>
              <w:right w:val="nil"/>
            </w:tcBorders>
            <w:vAlign w:val="center"/>
          </w:tcPr>
          <w:p w14:paraId="011D27E5" w14:textId="3303B47E" w:rsidR="00AD7836" w:rsidRPr="00EA6749"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sz w:val="22"/>
                <w:szCs w:val="22"/>
              </w:rPr>
            </w:pPr>
            <w:r w:rsidRPr="00EA6749">
              <w:rPr>
                <w:rFonts w:asciiTheme="minorHAnsi" w:hAnsiTheme="minorHAnsi"/>
                <w:b/>
                <w:noProof/>
                <w:color w:val="000000" w:themeColor="text1"/>
                <w:sz w:val="22"/>
                <w:szCs w:val="22"/>
              </w:rPr>
              <w:t>964.6</w:t>
            </w:r>
          </w:p>
        </w:tc>
      </w:tr>
      <w:tr w:rsidR="00EA6749" w:rsidRPr="00F423B9" w14:paraId="38ED1511" w14:textId="77777777" w:rsidTr="00EA6749">
        <w:trPr>
          <w:trHeight w:val="300"/>
        </w:trPr>
        <w:tc>
          <w:tcPr>
            <w:cnfStyle w:val="001000000000" w:firstRow="0" w:lastRow="0" w:firstColumn="1" w:lastColumn="0" w:oddVBand="0" w:evenVBand="0" w:oddHBand="0" w:evenHBand="0" w:firstRowFirstColumn="0" w:firstRowLastColumn="0" w:lastRowFirstColumn="0" w:lastRowLastColumn="0"/>
            <w:tcW w:w="1372"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76B7CB50" w14:textId="661C778A" w:rsidR="00AD7836" w:rsidRPr="00406E9B" w:rsidRDefault="00D70476" w:rsidP="00AD7836">
            <w:pPr>
              <w:spacing w:after="120"/>
              <w:rPr>
                <w:rFonts w:asciiTheme="minorHAnsi" w:eastAsia="Calibri" w:hAnsiTheme="minorHAnsi"/>
                <w:noProof/>
                <w:color w:val="003399" w:themeColor="text2"/>
                <w:sz w:val="22"/>
                <w:szCs w:val="18"/>
              </w:rPr>
            </w:pPr>
            <w:r w:rsidRPr="003B1D7B">
              <w:rPr>
                <w:rFonts w:asciiTheme="minorHAnsi" w:hAnsiTheme="minorHAnsi"/>
                <w:noProof/>
                <w:color w:val="003399" w:themeColor="text2"/>
                <w:sz w:val="22"/>
                <w:szCs w:val="22"/>
              </w:rPr>
              <w:t>2. Competitiveness, prosperity and security</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059E462D" w14:textId="1107F4AF"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3B1D7B">
              <w:rPr>
                <w:rFonts w:asciiTheme="minorHAnsi" w:hAnsiTheme="minorHAnsi"/>
                <w:b/>
                <w:noProof/>
                <w:color w:val="003399" w:themeColor="text2"/>
              </w:rPr>
              <w:t>14.8</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23F6EB24" w14:textId="794296E4"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3B1D7B">
              <w:rPr>
                <w:rFonts w:asciiTheme="minorHAnsi" w:hAnsiTheme="minorHAnsi"/>
                <w:b/>
                <w:noProof/>
                <w:color w:val="003399" w:themeColor="text2"/>
              </w:rPr>
              <w:t>40.6</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52A77FCC" w14:textId="0AA3A750"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3B1D7B">
              <w:rPr>
                <w:rFonts w:asciiTheme="minorHAnsi" w:hAnsiTheme="minorHAnsi"/>
                <w:b/>
                <w:noProof/>
                <w:color w:val="003399" w:themeColor="text2"/>
              </w:rPr>
              <w:t>57.4</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7EDE8607" w14:textId="43564C8D"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3B1D7B">
              <w:rPr>
                <w:rFonts w:asciiTheme="minorHAnsi" w:hAnsiTheme="minorHAnsi"/>
                <w:b/>
                <w:noProof/>
                <w:color w:val="003399" w:themeColor="text2"/>
              </w:rPr>
              <w:t>68.8</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39C8C157" w14:textId="60C3A8AB" w:rsidR="00AD7836" w:rsidRPr="00BA6CD0"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3B1D7B">
              <w:rPr>
                <w:rFonts w:asciiTheme="minorHAnsi" w:hAnsiTheme="minorHAnsi"/>
                <w:b/>
                <w:noProof/>
                <w:color w:val="003399" w:themeColor="text2"/>
              </w:rPr>
              <w:t>73.1</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65ADF7C0" w14:textId="4D2A9418" w:rsidR="00AD7836" w:rsidRPr="00BA6CD0"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3B1D7B">
              <w:rPr>
                <w:rFonts w:asciiTheme="minorHAnsi" w:hAnsiTheme="minorHAnsi"/>
                <w:b/>
                <w:noProof/>
                <w:color w:val="003399" w:themeColor="text2"/>
              </w:rPr>
              <w:t>82.9</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22A79819" w14:textId="75802CBD"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3B1D7B">
              <w:rPr>
                <w:rFonts w:asciiTheme="minorHAnsi" w:hAnsiTheme="minorHAnsi"/>
                <w:b/>
                <w:noProof/>
                <w:color w:val="003399" w:themeColor="text2"/>
              </w:rPr>
              <w:t>86.2</w:t>
            </w:r>
          </w:p>
        </w:tc>
        <w:tc>
          <w:tcPr>
            <w:tcW w:w="513" w:type="pct"/>
            <w:tcBorders>
              <w:top w:val="nil"/>
              <w:left w:val="nil"/>
              <w:bottom w:val="single" w:sz="8" w:space="0" w:color="BFBFBF" w:themeColor="background1" w:themeShade="BF"/>
              <w:right w:val="nil"/>
            </w:tcBorders>
            <w:shd w:val="clear" w:color="auto" w:fill="F3F7FF" w:themeFill="background2"/>
            <w:vAlign w:val="center"/>
          </w:tcPr>
          <w:p w14:paraId="5E067616" w14:textId="303018A5" w:rsidR="00AD7836" w:rsidRPr="00EA6749"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sz w:val="22"/>
                <w:szCs w:val="22"/>
              </w:rPr>
            </w:pPr>
            <w:r w:rsidRPr="00EA6749">
              <w:rPr>
                <w:rFonts w:asciiTheme="minorHAnsi" w:hAnsiTheme="minorHAnsi"/>
                <w:b/>
                <w:noProof/>
                <w:color w:val="000000" w:themeColor="text1"/>
                <w:sz w:val="22"/>
                <w:szCs w:val="22"/>
              </w:rPr>
              <w:t>423.7</w:t>
            </w:r>
          </w:p>
        </w:tc>
      </w:tr>
      <w:tr w:rsidR="006615F6" w:rsidRPr="00F423B9" w14:paraId="36FAE15F" w14:textId="77777777" w:rsidTr="00BA6CD0">
        <w:trPr>
          <w:trHeight w:val="300"/>
        </w:trPr>
        <w:tc>
          <w:tcPr>
            <w:cnfStyle w:val="001000000000" w:firstRow="0" w:lastRow="0" w:firstColumn="1" w:lastColumn="0" w:oddVBand="0" w:evenVBand="0" w:oddHBand="0" w:evenHBand="0" w:firstRowFirstColumn="0" w:firstRowLastColumn="0" w:lastRowFirstColumn="0" w:lastRowLastColumn="0"/>
            <w:tcW w:w="1372" w:type="pct"/>
            <w:tcBorders>
              <w:top w:val="nil"/>
              <w:left w:val="nil"/>
              <w:bottom w:val="single" w:sz="8" w:space="0" w:color="BFBFBF" w:themeColor="background1" w:themeShade="BF"/>
              <w:right w:val="single" w:sz="8" w:space="0" w:color="BFBFBF" w:themeColor="background1" w:themeShade="BF"/>
            </w:tcBorders>
            <w:vAlign w:val="center"/>
          </w:tcPr>
          <w:p w14:paraId="0FA9E0FB" w14:textId="1AD982A4" w:rsidR="00AD7836" w:rsidRPr="00406E9B" w:rsidRDefault="00D70476" w:rsidP="00AD7836">
            <w:pPr>
              <w:spacing w:after="120"/>
              <w:rPr>
                <w:rFonts w:asciiTheme="minorHAnsi" w:eastAsia="Calibri" w:hAnsiTheme="minorHAnsi"/>
                <w:noProof/>
                <w:color w:val="003399" w:themeColor="text2"/>
                <w:sz w:val="22"/>
                <w:szCs w:val="18"/>
              </w:rPr>
            </w:pPr>
            <w:r w:rsidRPr="003B1D7B">
              <w:rPr>
                <w:rFonts w:asciiTheme="minorHAnsi" w:hAnsiTheme="minorHAnsi"/>
                <w:noProof/>
                <w:color w:val="003399" w:themeColor="text2"/>
                <w:sz w:val="22"/>
                <w:szCs w:val="22"/>
              </w:rPr>
              <w:t>3. Global Europe</w:t>
            </w:r>
          </w:p>
        </w:tc>
        <w:tc>
          <w:tcPr>
            <w:tcW w:w="445" w:type="pct"/>
            <w:tcBorders>
              <w:top w:val="nil"/>
              <w:left w:val="nil"/>
              <w:bottom w:val="single" w:sz="8" w:space="0" w:color="BFBFBF" w:themeColor="background1" w:themeShade="BF"/>
              <w:right w:val="single" w:sz="8" w:space="0" w:color="BFBFBF" w:themeColor="background1" w:themeShade="BF"/>
            </w:tcBorders>
            <w:vAlign w:val="center"/>
          </w:tcPr>
          <w:p w14:paraId="4B251408" w14:textId="51414E90"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3B1D7B">
              <w:rPr>
                <w:rFonts w:asciiTheme="minorHAnsi" w:hAnsiTheme="minorHAnsi"/>
                <w:b/>
                <w:noProof/>
                <w:color w:val="003399" w:themeColor="text2"/>
              </w:rPr>
              <w:t>4.8</w:t>
            </w:r>
          </w:p>
        </w:tc>
        <w:tc>
          <w:tcPr>
            <w:tcW w:w="445" w:type="pct"/>
            <w:tcBorders>
              <w:top w:val="nil"/>
              <w:left w:val="nil"/>
              <w:bottom w:val="single" w:sz="8" w:space="0" w:color="BFBFBF" w:themeColor="background1" w:themeShade="BF"/>
              <w:right w:val="single" w:sz="8" w:space="0" w:color="BFBFBF" w:themeColor="background1" w:themeShade="BF"/>
            </w:tcBorders>
            <w:vAlign w:val="center"/>
          </w:tcPr>
          <w:p w14:paraId="687E55B1" w14:textId="516FC68C"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3B1D7B">
              <w:rPr>
                <w:rFonts w:asciiTheme="minorHAnsi" w:hAnsiTheme="minorHAnsi"/>
                <w:b/>
                <w:noProof/>
                <w:color w:val="003399" w:themeColor="text2"/>
              </w:rPr>
              <w:t>9.9</w:t>
            </w:r>
          </w:p>
        </w:tc>
        <w:tc>
          <w:tcPr>
            <w:tcW w:w="445" w:type="pct"/>
            <w:tcBorders>
              <w:top w:val="nil"/>
              <w:left w:val="nil"/>
              <w:bottom w:val="single" w:sz="8" w:space="0" w:color="BFBFBF" w:themeColor="background1" w:themeShade="BF"/>
              <w:right w:val="single" w:sz="8" w:space="0" w:color="BFBFBF" w:themeColor="background1" w:themeShade="BF"/>
            </w:tcBorders>
            <w:vAlign w:val="center"/>
          </w:tcPr>
          <w:p w14:paraId="51AA4F86" w14:textId="4820D9B4"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3B1D7B">
              <w:rPr>
                <w:rFonts w:asciiTheme="minorHAnsi" w:hAnsiTheme="minorHAnsi"/>
                <w:b/>
                <w:noProof/>
                <w:color w:val="003399" w:themeColor="text2"/>
              </w:rPr>
              <w:t>14.6</w:t>
            </w:r>
          </w:p>
        </w:tc>
        <w:tc>
          <w:tcPr>
            <w:tcW w:w="445" w:type="pct"/>
            <w:tcBorders>
              <w:top w:val="nil"/>
              <w:left w:val="nil"/>
              <w:bottom w:val="single" w:sz="8" w:space="0" w:color="BFBFBF" w:themeColor="background1" w:themeShade="BF"/>
              <w:right w:val="single" w:sz="8" w:space="0" w:color="BFBFBF" w:themeColor="background1" w:themeShade="BF"/>
            </w:tcBorders>
            <w:vAlign w:val="center"/>
          </w:tcPr>
          <w:p w14:paraId="0DB9BAEC" w14:textId="2F4C96FF"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3B1D7B">
              <w:rPr>
                <w:rFonts w:asciiTheme="minorHAnsi" w:hAnsiTheme="minorHAnsi"/>
                <w:b/>
                <w:noProof/>
                <w:color w:val="003399" w:themeColor="text2"/>
              </w:rPr>
              <w:t>19.6</w:t>
            </w:r>
          </w:p>
        </w:tc>
        <w:tc>
          <w:tcPr>
            <w:tcW w:w="445" w:type="pct"/>
            <w:tcBorders>
              <w:top w:val="nil"/>
              <w:left w:val="nil"/>
              <w:bottom w:val="single" w:sz="8" w:space="0" w:color="BFBFBF" w:themeColor="background1" w:themeShade="BF"/>
              <w:right w:val="single" w:sz="8" w:space="0" w:color="BFBFBF" w:themeColor="background1" w:themeShade="BF"/>
            </w:tcBorders>
            <w:vAlign w:val="center"/>
          </w:tcPr>
          <w:p w14:paraId="2944B126" w14:textId="28498EDA" w:rsidR="00AD7836" w:rsidRPr="00BA6CD0"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3B1D7B">
              <w:rPr>
                <w:rFonts w:asciiTheme="minorHAnsi" w:hAnsiTheme="minorHAnsi"/>
                <w:b/>
                <w:noProof/>
                <w:color w:val="003399" w:themeColor="text2"/>
              </w:rPr>
              <w:t>24.8</w:t>
            </w:r>
          </w:p>
        </w:tc>
        <w:tc>
          <w:tcPr>
            <w:tcW w:w="445" w:type="pct"/>
            <w:tcBorders>
              <w:top w:val="nil"/>
              <w:left w:val="nil"/>
              <w:bottom w:val="single" w:sz="8" w:space="0" w:color="BFBFBF" w:themeColor="background1" w:themeShade="BF"/>
              <w:right w:val="single" w:sz="8" w:space="0" w:color="BFBFBF" w:themeColor="background1" w:themeShade="BF"/>
            </w:tcBorders>
            <w:vAlign w:val="center"/>
          </w:tcPr>
          <w:p w14:paraId="4B4CC83C" w14:textId="28FA0F59" w:rsidR="00AD7836" w:rsidRPr="00BA6CD0"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3B1D7B">
              <w:rPr>
                <w:rFonts w:asciiTheme="minorHAnsi" w:hAnsiTheme="minorHAnsi"/>
                <w:b/>
                <w:noProof/>
                <w:color w:val="003399" w:themeColor="text2"/>
              </w:rPr>
              <w:t>28.9</w:t>
            </w:r>
          </w:p>
        </w:tc>
        <w:tc>
          <w:tcPr>
            <w:tcW w:w="445" w:type="pct"/>
            <w:tcBorders>
              <w:top w:val="nil"/>
              <w:left w:val="nil"/>
              <w:bottom w:val="single" w:sz="8" w:space="0" w:color="BFBFBF" w:themeColor="background1" w:themeShade="BF"/>
              <w:right w:val="single" w:sz="8" w:space="0" w:color="BFBFBF" w:themeColor="background1" w:themeShade="BF"/>
            </w:tcBorders>
            <w:vAlign w:val="center"/>
          </w:tcPr>
          <w:p w14:paraId="13C3D082" w14:textId="1C2B8E1E"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3B1D7B">
              <w:rPr>
                <w:rFonts w:asciiTheme="minorHAnsi" w:hAnsiTheme="minorHAnsi"/>
                <w:b/>
                <w:noProof/>
                <w:color w:val="003399" w:themeColor="text2"/>
              </w:rPr>
              <w:t>32.3</w:t>
            </w:r>
          </w:p>
        </w:tc>
        <w:tc>
          <w:tcPr>
            <w:tcW w:w="513" w:type="pct"/>
            <w:tcBorders>
              <w:top w:val="nil"/>
              <w:left w:val="nil"/>
              <w:bottom w:val="single" w:sz="8" w:space="0" w:color="BFBFBF" w:themeColor="background1" w:themeShade="BF"/>
              <w:right w:val="nil"/>
            </w:tcBorders>
            <w:vAlign w:val="center"/>
          </w:tcPr>
          <w:p w14:paraId="5BAA7FEF" w14:textId="402E47BC" w:rsidR="00AD7836" w:rsidRPr="00EA6749"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sz w:val="22"/>
                <w:szCs w:val="22"/>
              </w:rPr>
            </w:pPr>
            <w:r w:rsidRPr="00EA6749">
              <w:rPr>
                <w:rFonts w:asciiTheme="minorHAnsi" w:hAnsiTheme="minorHAnsi"/>
                <w:b/>
                <w:noProof/>
                <w:color w:val="000000" w:themeColor="text1"/>
                <w:sz w:val="22"/>
                <w:szCs w:val="22"/>
              </w:rPr>
              <w:t>134.8</w:t>
            </w:r>
          </w:p>
        </w:tc>
      </w:tr>
      <w:tr w:rsidR="00EA6749" w:rsidRPr="00F423B9" w14:paraId="29241786" w14:textId="77777777" w:rsidTr="00EA6749">
        <w:trPr>
          <w:trHeight w:val="300"/>
        </w:trPr>
        <w:tc>
          <w:tcPr>
            <w:cnfStyle w:val="001000000000" w:firstRow="0" w:lastRow="0" w:firstColumn="1" w:lastColumn="0" w:oddVBand="0" w:evenVBand="0" w:oddHBand="0" w:evenHBand="0" w:firstRowFirstColumn="0" w:firstRowLastColumn="0" w:lastRowFirstColumn="0" w:lastRowLastColumn="0"/>
            <w:tcW w:w="1372"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36E58E60" w14:textId="10DF6FF4" w:rsidR="00AD7836" w:rsidRPr="00406E9B" w:rsidRDefault="00D70476" w:rsidP="00AD7836">
            <w:pPr>
              <w:spacing w:after="120"/>
              <w:rPr>
                <w:rFonts w:asciiTheme="minorHAnsi" w:eastAsia="Calibri" w:hAnsiTheme="minorHAnsi"/>
                <w:noProof/>
                <w:color w:val="003399" w:themeColor="text2"/>
                <w:sz w:val="22"/>
                <w:szCs w:val="18"/>
              </w:rPr>
            </w:pPr>
            <w:r w:rsidRPr="003B1D7B">
              <w:rPr>
                <w:rFonts w:asciiTheme="minorHAnsi" w:hAnsiTheme="minorHAnsi"/>
                <w:noProof/>
                <w:color w:val="003399" w:themeColor="text2"/>
                <w:sz w:val="22"/>
                <w:szCs w:val="22"/>
              </w:rPr>
              <w:t>4. Administration</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020DCA6E" w14:textId="4DF7E4FF"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3B1D7B">
              <w:rPr>
                <w:rFonts w:asciiTheme="minorHAnsi" w:hAnsiTheme="minorHAnsi"/>
                <w:b/>
                <w:noProof/>
                <w:color w:val="003399" w:themeColor="text2"/>
              </w:rPr>
              <w:t>14.9</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661B7C88" w14:textId="3A18EB25"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3B1D7B">
              <w:rPr>
                <w:rFonts w:asciiTheme="minorHAnsi" w:hAnsiTheme="minorHAnsi"/>
                <w:b/>
                <w:noProof/>
                <w:color w:val="003399" w:themeColor="text2"/>
              </w:rPr>
              <w:t>15.6</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47854B72" w14:textId="6901C27B"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3B1D7B">
              <w:rPr>
                <w:rFonts w:asciiTheme="minorHAnsi" w:hAnsiTheme="minorHAnsi"/>
                <w:b/>
                <w:noProof/>
                <w:color w:val="003399" w:themeColor="text2"/>
              </w:rPr>
              <w:t>16.3</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5FAC1D51" w14:textId="038ED2F0"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3B1D7B">
              <w:rPr>
                <w:rFonts w:asciiTheme="minorHAnsi" w:hAnsiTheme="minorHAnsi"/>
                <w:b/>
                <w:noProof/>
                <w:color w:val="003399" w:themeColor="text2"/>
              </w:rPr>
              <w:t>16.9</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68EDA283" w14:textId="193EE408" w:rsidR="00AD7836" w:rsidRPr="00BA6CD0"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3B1D7B">
              <w:rPr>
                <w:rFonts w:asciiTheme="minorHAnsi" w:hAnsiTheme="minorHAnsi"/>
                <w:b/>
                <w:noProof/>
                <w:color w:val="003399" w:themeColor="text2"/>
              </w:rPr>
              <w:t>17.5</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7F805F9E" w14:textId="1CBECC24" w:rsidR="00AD7836" w:rsidRPr="00BA6CD0"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3B1D7B">
              <w:rPr>
                <w:rFonts w:asciiTheme="minorHAnsi" w:hAnsiTheme="minorHAnsi"/>
                <w:b/>
                <w:noProof/>
                <w:color w:val="003399" w:themeColor="text2"/>
              </w:rPr>
              <w:t>18.1</w:t>
            </w:r>
          </w:p>
        </w:tc>
        <w:tc>
          <w:tcPr>
            <w:tcW w:w="445" w:type="pct"/>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1A3D5111" w14:textId="5EAA549F"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3399" w:themeColor="text2"/>
              </w:rPr>
            </w:pPr>
            <w:r w:rsidRPr="003B1D7B">
              <w:rPr>
                <w:rFonts w:asciiTheme="minorHAnsi" w:hAnsiTheme="minorHAnsi"/>
                <w:b/>
                <w:noProof/>
                <w:color w:val="003399" w:themeColor="text2"/>
              </w:rPr>
              <w:t>18.7</w:t>
            </w:r>
          </w:p>
        </w:tc>
        <w:tc>
          <w:tcPr>
            <w:tcW w:w="513" w:type="pct"/>
            <w:tcBorders>
              <w:top w:val="nil"/>
              <w:left w:val="nil"/>
              <w:bottom w:val="single" w:sz="8" w:space="0" w:color="BFBFBF" w:themeColor="background1" w:themeShade="BF"/>
              <w:right w:val="nil"/>
            </w:tcBorders>
            <w:shd w:val="clear" w:color="auto" w:fill="F3F7FF" w:themeFill="background2"/>
            <w:vAlign w:val="center"/>
          </w:tcPr>
          <w:p w14:paraId="7AE11D0B" w14:textId="4A82D050" w:rsidR="00AD7836" w:rsidRPr="00EA6749"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sz w:val="22"/>
                <w:szCs w:val="22"/>
              </w:rPr>
            </w:pPr>
            <w:r w:rsidRPr="00EA6749">
              <w:rPr>
                <w:rFonts w:asciiTheme="minorHAnsi" w:hAnsiTheme="minorHAnsi"/>
                <w:b/>
                <w:noProof/>
                <w:color w:val="000000" w:themeColor="text1"/>
                <w:sz w:val="22"/>
                <w:szCs w:val="22"/>
              </w:rPr>
              <w:t>117.9</w:t>
            </w:r>
          </w:p>
        </w:tc>
      </w:tr>
      <w:tr w:rsidR="00BA6CD0" w:rsidRPr="00F423B9" w14:paraId="0CF4FFF7" w14:textId="77777777" w:rsidTr="00BA6CD0">
        <w:trPr>
          <w:trHeight w:val="465"/>
        </w:trPr>
        <w:tc>
          <w:tcPr>
            <w:cnfStyle w:val="001000000000" w:firstRow="0" w:lastRow="0" w:firstColumn="1" w:lastColumn="0" w:oddVBand="0" w:evenVBand="0" w:oddHBand="0" w:evenHBand="0" w:firstRowFirstColumn="0" w:firstRowLastColumn="0" w:lastRowFirstColumn="0" w:lastRowLastColumn="0"/>
            <w:tcW w:w="1372" w:type="pct"/>
            <w:shd w:val="clear" w:color="auto" w:fill="D9D9D9" w:themeFill="background1" w:themeFillShade="D9"/>
          </w:tcPr>
          <w:p w14:paraId="2F67CD7E" w14:textId="77777777" w:rsidR="00AD7836" w:rsidRPr="00C5567C" w:rsidRDefault="00AD7836" w:rsidP="00AD7836">
            <w:pPr>
              <w:spacing w:after="120"/>
              <w:rPr>
                <w:rFonts w:asciiTheme="minorHAnsi" w:eastAsia="Calibri" w:hAnsiTheme="minorHAnsi"/>
                <w:noProof/>
                <w:color w:val="000000" w:themeColor="text1"/>
                <w:sz w:val="22"/>
                <w:szCs w:val="18"/>
              </w:rPr>
            </w:pPr>
            <w:r w:rsidRPr="00C5567C">
              <w:rPr>
                <w:rFonts w:asciiTheme="minorHAnsi" w:eastAsia="Calibri" w:hAnsiTheme="minorHAnsi"/>
                <w:noProof/>
                <w:color w:val="000000" w:themeColor="text1"/>
                <w:sz w:val="22"/>
                <w:szCs w:val="18"/>
              </w:rPr>
              <w:t>Total</w:t>
            </w:r>
          </w:p>
        </w:tc>
        <w:tc>
          <w:tcPr>
            <w:tcW w:w="445" w:type="pct"/>
            <w:tcBorders>
              <w:top w:val="nil"/>
              <w:left w:val="nil"/>
              <w:bottom w:val="nil"/>
              <w:right w:val="single" w:sz="8" w:space="0" w:color="BFBFBF" w:themeColor="background1" w:themeShade="BF"/>
            </w:tcBorders>
            <w:shd w:val="clear" w:color="auto" w:fill="D9D9D9" w:themeFill="background1" w:themeFillShade="D9"/>
            <w:vAlign w:val="center"/>
          </w:tcPr>
          <w:p w14:paraId="79463CB4" w14:textId="12373A49"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3B1D7B">
              <w:rPr>
                <w:rFonts w:asciiTheme="minorHAnsi" w:hAnsiTheme="minorHAnsi"/>
                <w:b/>
                <w:noProof/>
                <w:color w:val="000000" w:themeColor="text1"/>
                <w:sz w:val="22"/>
                <w:szCs w:val="22"/>
              </w:rPr>
              <w:t>142.6</w:t>
            </w:r>
          </w:p>
        </w:tc>
        <w:tc>
          <w:tcPr>
            <w:tcW w:w="445" w:type="pct"/>
            <w:tcBorders>
              <w:top w:val="nil"/>
              <w:left w:val="nil"/>
              <w:bottom w:val="nil"/>
              <w:right w:val="single" w:sz="8" w:space="0" w:color="BFBFBF" w:themeColor="background1" w:themeShade="BF"/>
            </w:tcBorders>
            <w:shd w:val="clear" w:color="auto" w:fill="D9D9D9" w:themeFill="background1" w:themeFillShade="D9"/>
            <w:vAlign w:val="center"/>
          </w:tcPr>
          <w:p w14:paraId="1693C525" w14:textId="6BC3C667"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3B1D7B">
              <w:rPr>
                <w:rFonts w:asciiTheme="minorHAnsi" w:hAnsiTheme="minorHAnsi"/>
                <w:b/>
                <w:noProof/>
                <w:color w:val="000000" w:themeColor="text1"/>
                <w:sz w:val="22"/>
                <w:szCs w:val="22"/>
              </w:rPr>
              <w:t>188.7</w:t>
            </w:r>
          </w:p>
        </w:tc>
        <w:tc>
          <w:tcPr>
            <w:tcW w:w="445" w:type="pct"/>
            <w:tcBorders>
              <w:top w:val="nil"/>
              <w:left w:val="nil"/>
              <w:bottom w:val="nil"/>
              <w:right w:val="single" w:sz="8" w:space="0" w:color="BFBFBF" w:themeColor="background1" w:themeShade="BF"/>
            </w:tcBorders>
            <w:shd w:val="clear" w:color="auto" w:fill="D9D9D9" w:themeFill="background1" w:themeFillShade="D9"/>
            <w:vAlign w:val="center"/>
          </w:tcPr>
          <w:p w14:paraId="3DFEEABE" w14:textId="509F4CFC"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3B1D7B">
              <w:rPr>
                <w:rFonts w:asciiTheme="minorHAnsi" w:hAnsiTheme="minorHAnsi"/>
                <w:b/>
                <w:noProof/>
                <w:color w:val="000000" w:themeColor="text1"/>
                <w:sz w:val="22"/>
                <w:szCs w:val="22"/>
              </w:rPr>
              <w:t>239.0</w:t>
            </w:r>
          </w:p>
        </w:tc>
        <w:tc>
          <w:tcPr>
            <w:tcW w:w="445" w:type="pct"/>
            <w:tcBorders>
              <w:top w:val="nil"/>
              <w:left w:val="nil"/>
              <w:bottom w:val="nil"/>
              <w:right w:val="single" w:sz="8" w:space="0" w:color="BFBFBF" w:themeColor="background1" w:themeShade="BF"/>
            </w:tcBorders>
            <w:shd w:val="clear" w:color="auto" w:fill="D9D9D9" w:themeFill="background1" w:themeFillShade="D9"/>
            <w:vAlign w:val="center"/>
          </w:tcPr>
          <w:p w14:paraId="77804DBE" w14:textId="0A594B39"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3B1D7B">
              <w:rPr>
                <w:rFonts w:asciiTheme="minorHAnsi" w:hAnsiTheme="minorHAnsi"/>
                <w:b/>
                <w:noProof/>
                <w:color w:val="000000" w:themeColor="text1"/>
                <w:sz w:val="22"/>
                <w:szCs w:val="22"/>
              </w:rPr>
              <w:t>256.0</w:t>
            </w:r>
          </w:p>
        </w:tc>
        <w:tc>
          <w:tcPr>
            <w:tcW w:w="445" w:type="pct"/>
            <w:tcBorders>
              <w:top w:val="nil"/>
              <w:left w:val="nil"/>
              <w:bottom w:val="nil"/>
              <w:right w:val="single" w:sz="8" w:space="0" w:color="BFBFBF" w:themeColor="background1" w:themeShade="BF"/>
            </w:tcBorders>
            <w:shd w:val="clear" w:color="auto" w:fill="D9D9D9" w:themeFill="background1" w:themeFillShade="D9"/>
            <w:vAlign w:val="center"/>
          </w:tcPr>
          <w:p w14:paraId="1033603F" w14:textId="1EA77DDC"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3B1D7B">
              <w:rPr>
                <w:rFonts w:asciiTheme="minorHAnsi" w:hAnsiTheme="minorHAnsi"/>
                <w:b/>
                <w:noProof/>
                <w:color w:val="000000" w:themeColor="text1"/>
                <w:sz w:val="22"/>
                <w:szCs w:val="22"/>
              </w:rPr>
              <w:t>273.2</w:t>
            </w:r>
          </w:p>
        </w:tc>
        <w:tc>
          <w:tcPr>
            <w:tcW w:w="445" w:type="pct"/>
            <w:tcBorders>
              <w:top w:val="nil"/>
              <w:left w:val="nil"/>
              <w:bottom w:val="nil"/>
              <w:right w:val="single" w:sz="8" w:space="0" w:color="BFBFBF" w:themeColor="background1" w:themeShade="BF"/>
            </w:tcBorders>
            <w:shd w:val="clear" w:color="auto" w:fill="D9D9D9" w:themeFill="background1" w:themeFillShade="D9"/>
            <w:vAlign w:val="center"/>
          </w:tcPr>
          <w:p w14:paraId="1E000BDC" w14:textId="1A942496"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3B1D7B">
              <w:rPr>
                <w:rFonts w:asciiTheme="minorHAnsi" w:hAnsiTheme="minorHAnsi"/>
                <w:b/>
                <w:noProof/>
                <w:color w:val="000000" w:themeColor="text1"/>
                <w:sz w:val="22"/>
                <w:szCs w:val="22"/>
              </w:rPr>
              <w:t>274.1</w:t>
            </w:r>
          </w:p>
        </w:tc>
        <w:tc>
          <w:tcPr>
            <w:tcW w:w="445" w:type="pct"/>
            <w:tcBorders>
              <w:top w:val="nil"/>
              <w:left w:val="nil"/>
              <w:bottom w:val="nil"/>
              <w:right w:val="single" w:sz="8" w:space="0" w:color="BFBFBF" w:themeColor="background1" w:themeShade="BF"/>
            </w:tcBorders>
            <w:shd w:val="clear" w:color="auto" w:fill="D9D9D9" w:themeFill="background1" w:themeFillShade="D9"/>
            <w:vAlign w:val="center"/>
          </w:tcPr>
          <w:p w14:paraId="403A5A2A" w14:textId="404C42CB"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3B1D7B">
              <w:rPr>
                <w:rFonts w:asciiTheme="minorHAnsi" w:hAnsiTheme="minorHAnsi"/>
                <w:b/>
                <w:noProof/>
                <w:color w:val="000000" w:themeColor="text1"/>
                <w:sz w:val="22"/>
                <w:szCs w:val="22"/>
              </w:rPr>
              <w:t>267.5</w:t>
            </w:r>
          </w:p>
        </w:tc>
        <w:tc>
          <w:tcPr>
            <w:tcW w:w="513" w:type="pct"/>
            <w:tcBorders>
              <w:top w:val="nil"/>
              <w:left w:val="nil"/>
              <w:bottom w:val="nil"/>
              <w:right w:val="nil"/>
            </w:tcBorders>
            <w:shd w:val="clear" w:color="auto" w:fill="D9D9D9" w:themeFill="background1" w:themeFillShade="D9"/>
            <w:vAlign w:val="center"/>
          </w:tcPr>
          <w:p w14:paraId="02D3A887" w14:textId="2E1CFBE1" w:rsidR="00AD7836" w:rsidRPr="003B1D7B" w:rsidRDefault="00D70476"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sz w:val="22"/>
                <w:szCs w:val="22"/>
              </w:rPr>
            </w:pPr>
            <w:r w:rsidRPr="003B1D7B">
              <w:rPr>
                <w:rFonts w:asciiTheme="minorHAnsi" w:hAnsiTheme="minorHAnsi"/>
                <w:b/>
                <w:noProof/>
                <w:color w:val="000000" w:themeColor="text1"/>
                <w:sz w:val="22"/>
                <w:szCs w:val="22"/>
              </w:rPr>
              <w:t>1 641.0</w:t>
            </w:r>
          </w:p>
        </w:tc>
      </w:tr>
    </w:tbl>
    <w:p w14:paraId="623DAEEA" w14:textId="77777777" w:rsidR="00AD7836" w:rsidRDefault="00AD7836" w:rsidP="00682537">
      <w:pPr>
        <w:rPr>
          <w:rFonts w:asciiTheme="majorHAnsi" w:hAnsiTheme="majorHAnsi"/>
          <w:noProof/>
        </w:rPr>
        <w:sectPr w:rsidR="00AD7836">
          <w:headerReference w:type="default" r:id="rId34"/>
          <w:footerReference w:type="default" r:id="rId35"/>
          <w:pgSz w:w="11906" w:h="16838"/>
          <w:pgMar w:top="1321" w:right="1151" w:bottom="1440" w:left="1151" w:header="720" w:footer="720" w:gutter="0"/>
          <w:cols w:space="720"/>
          <w:docGrid w:linePitch="326"/>
        </w:sectPr>
      </w:pPr>
    </w:p>
    <w:p w14:paraId="45547C87" w14:textId="654860A7" w:rsidR="00861C1C" w:rsidRPr="00F423B9" w:rsidRDefault="2A67BF04" w:rsidP="009C6708">
      <w:pPr>
        <w:pStyle w:val="Heading2"/>
        <w:rPr>
          <w:rFonts w:asciiTheme="majorHAnsi" w:hAnsiTheme="majorHAnsi"/>
          <w:noProof/>
        </w:rPr>
      </w:pPr>
      <w:bookmarkStart w:id="84" w:name="_Toc233958950"/>
      <w:r w:rsidRPr="00F423B9">
        <w:rPr>
          <w:rFonts w:asciiTheme="majorHAnsi" w:hAnsiTheme="majorHAnsi"/>
          <w:noProof/>
        </w:rPr>
        <w:t xml:space="preserve">Table 2 – Forecast </w:t>
      </w:r>
      <w:r w:rsidR="00E104DE" w:rsidRPr="00F423B9">
        <w:rPr>
          <w:rFonts w:asciiTheme="majorHAnsi" w:hAnsiTheme="majorHAnsi"/>
          <w:noProof/>
        </w:rPr>
        <w:t>decommitments</w:t>
      </w:r>
      <w:r w:rsidR="61DE3F31" w:rsidRPr="00F423B9">
        <w:rPr>
          <w:rFonts w:asciiTheme="majorHAnsi" w:hAnsiTheme="majorHAnsi"/>
          <w:noProof/>
        </w:rPr>
        <w:t xml:space="preserve"> </w:t>
      </w:r>
      <w:r w:rsidR="00213380">
        <w:rPr>
          <w:rFonts w:asciiTheme="majorHAnsi" w:hAnsiTheme="majorHAnsi"/>
          <w:noProof/>
        </w:rPr>
        <w:t>2027-2034</w:t>
      </w:r>
      <w:bookmarkEnd w:id="84"/>
    </w:p>
    <w:tbl>
      <w:tblPr>
        <w:tblStyle w:val="AMPR2021"/>
        <w:tblW w:w="0" w:type="auto"/>
        <w:tblBorders>
          <w:top w:val="none" w:sz="0" w:space="0" w:color="auto"/>
          <w:insideH w:val="single" w:sz="6" w:space="0" w:color="BFBFBF" w:themeColor="background1" w:themeShade="BF"/>
          <w:insideV w:val="single" w:sz="6" w:space="0" w:color="BFBFBF" w:themeColor="background1" w:themeShade="BF"/>
        </w:tblBorders>
        <w:tblLayout w:type="fixed"/>
        <w:tblLook w:val="06A0" w:firstRow="1" w:lastRow="0" w:firstColumn="1" w:lastColumn="0" w:noHBand="1" w:noVBand="1"/>
      </w:tblPr>
      <w:tblGrid>
        <w:gridCol w:w="5102"/>
        <w:gridCol w:w="1549"/>
        <w:gridCol w:w="1549"/>
        <w:gridCol w:w="1549"/>
      </w:tblGrid>
      <w:tr w:rsidR="00861C1C" w:rsidRPr="00F423B9" w14:paraId="0C5AD426" w14:textId="77777777" w:rsidTr="008729D0">
        <w:trPr>
          <w:cnfStyle w:val="100000000000" w:firstRow="1" w:lastRow="0" w:firstColumn="0" w:lastColumn="0" w:oddVBand="0" w:evenVBand="0" w:oddHBand="0"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5102" w:type="dxa"/>
          </w:tcPr>
          <w:p w14:paraId="553A200F" w14:textId="77777777" w:rsidR="00861C1C" w:rsidRPr="003B1D7B" w:rsidRDefault="003B6DC2">
            <w:pPr>
              <w:rPr>
                <w:rFonts w:asciiTheme="minorHAnsi" w:eastAsia="Calibri" w:hAnsiTheme="minorHAnsi"/>
                <w:b w:val="0"/>
                <w:noProof/>
                <w:sz w:val="22"/>
                <w:szCs w:val="22"/>
              </w:rPr>
            </w:pPr>
            <w:r w:rsidRPr="003B1D7B">
              <w:rPr>
                <w:rFonts w:asciiTheme="minorHAnsi" w:eastAsia="Calibri" w:hAnsiTheme="minorHAnsi"/>
                <w:noProof/>
                <w:sz w:val="22"/>
                <w:szCs w:val="22"/>
              </w:rPr>
              <w:t>MFF Heading</w:t>
            </w:r>
          </w:p>
        </w:tc>
        <w:tc>
          <w:tcPr>
            <w:tcW w:w="1549" w:type="dxa"/>
          </w:tcPr>
          <w:p w14:paraId="31ECB132" w14:textId="77777777" w:rsidR="00861C1C" w:rsidRPr="003B1D7B" w:rsidRDefault="003B6DC2">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b w:val="0"/>
                <w:noProof/>
                <w:sz w:val="22"/>
                <w:szCs w:val="22"/>
              </w:rPr>
            </w:pPr>
            <w:r w:rsidRPr="003B1D7B">
              <w:rPr>
                <w:rFonts w:asciiTheme="minorHAnsi" w:eastAsia="Calibri" w:hAnsiTheme="minorHAnsi"/>
                <w:noProof/>
                <w:sz w:val="22"/>
                <w:szCs w:val="22"/>
              </w:rPr>
              <w:t>Completion</w:t>
            </w:r>
          </w:p>
        </w:tc>
        <w:tc>
          <w:tcPr>
            <w:tcW w:w="1549" w:type="dxa"/>
          </w:tcPr>
          <w:p w14:paraId="6056AB85" w14:textId="189A7005" w:rsidR="00861C1C" w:rsidRPr="003B1D7B" w:rsidRDefault="003B6DC2">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b w:val="0"/>
                <w:noProof/>
                <w:sz w:val="22"/>
                <w:szCs w:val="22"/>
              </w:rPr>
            </w:pPr>
            <w:r w:rsidRPr="003B1D7B">
              <w:rPr>
                <w:rFonts w:asciiTheme="minorHAnsi" w:eastAsia="Calibri" w:hAnsiTheme="minorHAnsi"/>
                <w:noProof/>
                <w:sz w:val="22"/>
                <w:szCs w:val="22"/>
              </w:rPr>
              <w:t>MFF</w:t>
            </w:r>
            <w:r w:rsidR="00186265">
              <w:rPr>
                <w:rFonts w:asciiTheme="minorHAnsi" w:eastAsia="Calibri" w:hAnsiTheme="minorHAnsi"/>
                <w:noProof/>
                <w:sz w:val="22"/>
                <w:szCs w:val="22"/>
              </w:rPr>
              <w:t xml:space="preserve"> 2021-2027</w:t>
            </w:r>
          </w:p>
        </w:tc>
        <w:tc>
          <w:tcPr>
            <w:tcW w:w="1549" w:type="dxa"/>
          </w:tcPr>
          <w:p w14:paraId="77FEFDC8" w14:textId="77777777" w:rsidR="00861C1C" w:rsidRPr="003B1D7B" w:rsidRDefault="003B6DC2">
            <w:pP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b w:val="0"/>
                <w:noProof/>
                <w:sz w:val="22"/>
                <w:szCs w:val="22"/>
              </w:rPr>
            </w:pPr>
            <w:r w:rsidRPr="003B1D7B">
              <w:rPr>
                <w:rFonts w:asciiTheme="minorHAnsi" w:eastAsia="Calibri" w:hAnsiTheme="minorHAnsi"/>
                <w:noProof/>
                <w:sz w:val="22"/>
                <w:szCs w:val="22"/>
              </w:rPr>
              <w:t>Total</w:t>
            </w:r>
          </w:p>
        </w:tc>
      </w:tr>
      <w:tr w:rsidR="00CD66D5" w:rsidRPr="00F423B9" w14:paraId="29CAC9CD" w14:textId="77777777" w:rsidTr="008729D0">
        <w:trPr>
          <w:trHeight w:val="300"/>
        </w:trPr>
        <w:tc>
          <w:tcPr>
            <w:cnfStyle w:val="001000000000" w:firstRow="0" w:lastRow="0" w:firstColumn="1" w:lastColumn="0" w:oddVBand="0" w:evenVBand="0" w:oddHBand="0" w:evenHBand="0" w:firstRowFirstColumn="0" w:firstRowLastColumn="0" w:lastRowFirstColumn="0" w:lastRowLastColumn="0"/>
            <w:tcW w:w="5102" w:type="dxa"/>
          </w:tcPr>
          <w:p w14:paraId="13897E43" w14:textId="77777777" w:rsidR="00861C1C" w:rsidRPr="003B1D7B" w:rsidRDefault="003B6DC2">
            <w:pPr>
              <w:spacing w:after="120"/>
              <w:rPr>
                <w:rFonts w:asciiTheme="minorHAnsi" w:eastAsia="Calibri" w:hAnsiTheme="minorHAnsi"/>
                <w:b w:val="0"/>
                <w:noProof/>
                <w:color w:val="003399" w:themeColor="text2"/>
                <w:sz w:val="22"/>
                <w:szCs w:val="22"/>
              </w:rPr>
            </w:pPr>
            <w:r w:rsidRPr="003B1D7B">
              <w:rPr>
                <w:rFonts w:asciiTheme="minorHAnsi" w:eastAsia="Calibri" w:hAnsiTheme="minorHAnsi"/>
                <w:noProof/>
                <w:color w:val="003399" w:themeColor="text2"/>
                <w:sz w:val="22"/>
                <w:szCs w:val="22"/>
              </w:rPr>
              <w:t>1 Single Market, Innovation and Digital</w:t>
            </w:r>
          </w:p>
        </w:tc>
        <w:tc>
          <w:tcPr>
            <w:tcW w:w="1549" w:type="dxa"/>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vAlign w:val="center"/>
          </w:tcPr>
          <w:p w14:paraId="1CBD9C9F" w14:textId="00034450" w:rsidR="00861C1C" w:rsidRPr="003B1D7B" w:rsidRDefault="00E5778B"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3B1D7B">
              <w:rPr>
                <w:rFonts w:asciiTheme="minorHAnsi" w:hAnsiTheme="minorHAnsi"/>
                <w:b/>
                <w:noProof/>
                <w:color w:val="003399" w:themeColor="text2"/>
              </w:rPr>
              <w:t>1.</w:t>
            </w:r>
            <w:r w:rsidR="00FC22F0" w:rsidRPr="003B1D7B">
              <w:rPr>
                <w:rFonts w:asciiTheme="minorHAnsi" w:hAnsiTheme="minorHAnsi"/>
                <w:b/>
                <w:noProof/>
                <w:color w:val="003399" w:themeColor="text2"/>
              </w:rPr>
              <w:t>1</w:t>
            </w:r>
          </w:p>
        </w:tc>
        <w:tc>
          <w:tcPr>
            <w:tcW w:w="1549" w:type="dxa"/>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vAlign w:val="center"/>
          </w:tcPr>
          <w:p w14:paraId="312E2FCB" w14:textId="082BF4E2" w:rsidR="00861C1C" w:rsidRPr="003B1D7B" w:rsidRDefault="00FC22F0"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3B1D7B">
              <w:rPr>
                <w:rFonts w:asciiTheme="minorHAnsi" w:hAnsiTheme="minorHAnsi"/>
                <w:b/>
                <w:noProof/>
                <w:color w:val="003399" w:themeColor="text2"/>
              </w:rPr>
              <w:t>1.</w:t>
            </w:r>
            <w:r w:rsidR="00836ED5">
              <w:rPr>
                <w:rFonts w:asciiTheme="minorHAnsi" w:hAnsiTheme="minorHAnsi"/>
                <w:b/>
                <w:noProof/>
                <w:color w:val="003399" w:themeColor="text2"/>
              </w:rPr>
              <w:t>3</w:t>
            </w:r>
          </w:p>
        </w:tc>
        <w:tc>
          <w:tcPr>
            <w:tcW w:w="1549" w:type="dxa"/>
            <w:tcBorders>
              <w:top w:val="single" w:sz="8" w:space="0" w:color="BFBFBF" w:themeColor="background1" w:themeShade="BF"/>
              <w:left w:val="nil"/>
              <w:bottom w:val="single" w:sz="8" w:space="0" w:color="BFBFBF" w:themeColor="background1" w:themeShade="BF"/>
              <w:right w:val="nil"/>
            </w:tcBorders>
            <w:vAlign w:val="center"/>
          </w:tcPr>
          <w:p w14:paraId="53EC42C8" w14:textId="7A5B08BB" w:rsidR="00861C1C" w:rsidRPr="002E6F73" w:rsidRDefault="00FC22F0"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E6F73">
              <w:rPr>
                <w:rFonts w:asciiTheme="minorHAnsi" w:hAnsiTheme="minorHAnsi"/>
                <w:b/>
                <w:noProof/>
                <w:color w:val="000000" w:themeColor="text1"/>
                <w:sz w:val="22"/>
                <w:szCs w:val="22"/>
              </w:rPr>
              <w:t>2.</w:t>
            </w:r>
            <w:r w:rsidR="00D628BC">
              <w:rPr>
                <w:rFonts w:asciiTheme="minorHAnsi" w:hAnsiTheme="minorHAnsi"/>
                <w:b/>
                <w:noProof/>
                <w:color w:val="000000" w:themeColor="text1"/>
                <w:sz w:val="22"/>
                <w:szCs w:val="22"/>
              </w:rPr>
              <w:t>4</w:t>
            </w:r>
          </w:p>
        </w:tc>
      </w:tr>
      <w:tr w:rsidR="00CD66D5" w:rsidRPr="00F423B9" w14:paraId="0B3921F3" w14:textId="77777777" w:rsidTr="008729D0">
        <w:trPr>
          <w:trHeight w:val="300"/>
        </w:trPr>
        <w:tc>
          <w:tcPr>
            <w:cnfStyle w:val="001000000000" w:firstRow="0" w:lastRow="0" w:firstColumn="1" w:lastColumn="0" w:oddVBand="0" w:evenVBand="0" w:oddHBand="0" w:evenHBand="0" w:firstRowFirstColumn="0" w:firstRowLastColumn="0" w:lastRowFirstColumn="0" w:lastRowLastColumn="0"/>
            <w:tcW w:w="5102" w:type="dxa"/>
            <w:shd w:val="clear" w:color="auto" w:fill="F3F7FF" w:themeFill="background2"/>
          </w:tcPr>
          <w:p w14:paraId="63AC7A76" w14:textId="77777777" w:rsidR="00861C1C" w:rsidRPr="003B1D7B" w:rsidRDefault="003B6DC2">
            <w:pPr>
              <w:spacing w:after="120"/>
              <w:rPr>
                <w:rFonts w:asciiTheme="minorHAnsi" w:eastAsia="Calibri" w:hAnsiTheme="minorHAnsi"/>
                <w:b w:val="0"/>
                <w:noProof/>
                <w:color w:val="003399" w:themeColor="text2"/>
                <w:sz w:val="22"/>
                <w:szCs w:val="22"/>
              </w:rPr>
            </w:pPr>
            <w:r w:rsidRPr="003B1D7B">
              <w:rPr>
                <w:rFonts w:asciiTheme="minorHAnsi" w:eastAsia="Calibri" w:hAnsiTheme="minorHAnsi"/>
                <w:noProof/>
                <w:color w:val="003399" w:themeColor="text2"/>
                <w:sz w:val="22"/>
                <w:szCs w:val="22"/>
              </w:rPr>
              <w:t>2 Cohesion, Resilience and Values</w:t>
            </w:r>
          </w:p>
        </w:tc>
        <w:tc>
          <w:tcPr>
            <w:tcW w:w="1549" w:type="dxa"/>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6AE2FB86" w14:textId="62741B95" w:rsidR="00861C1C" w:rsidRPr="003B1D7B" w:rsidRDefault="00C60750"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3B1D7B">
              <w:rPr>
                <w:rFonts w:asciiTheme="minorHAnsi" w:hAnsiTheme="minorHAnsi"/>
                <w:b/>
                <w:noProof/>
                <w:color w:val="003399" w:themeColor="text2"/>
              </w:rPr>
              <w:t>1</w:t>
            </w:r>
            <w:r w:rsidR="4309F860" w:rsidRPr="003B1D7B">
              <w:rPr>
                <w:rFonts w:asciiTheme="minorHAnsi" w:hAnsiTheme="minorHAnsi"/>
                <w:b/>
                <w:noProof/>
                <w:color w:val="003399" w:themeColor="text2"/>
              </w:rPr>
              <w:t>.</w:t>
            </w:r>
            <w:r w:rsidR="00FC22F0" w:rsidRPr="003B1D7B">
              <w:rPr>
                <w:rFonts w:asciiTheme="minorHAnsi" w:hAnsiTheme="minorHAnsi"/>
                <w:b/>
                <w:noProof/>
                <w:color w:val="003399" w:themeColor="text2"/>
              </w:rPr>
              <w:t>7</w:t>
            </w:r>
          </w:p>
        </w:tc>
        <w:tc>
          <w:tcPr>
            <w:tcW w:w="1549" w:type="dxa"/>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20D82AC9" w14:textId="7AE74167" w:rsidR="00861C1C" w:rsidRPr="003B1D7B" w:rsidRDefault="00185A87"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3B1D7B">
              <w:rPr>
                <w:rFonts w:asciiTheme="minorHAnsi" w:hAnsiTheme="minorHAnsi"/>
                <w:b/>
                <w:noProof/>
                <w:color w:val="003399" w:themeColor="text2"/>
              </w:rPr>
              <w:t>1.</w:t>
            </w:r>
            <w:r w:rsidR="00836ED5">
              <w:rPr>
                <w:rFonts w:asciiTheme="minorHAnsi" w:hAnsiTheme="minorHAnsi"/>
                <w:b/>
                <w:noProof/>
                <w:color w:val="003399" w:themeColor="text2"/>
              </w:rPr>
              <w:t>3</w:t>
            </w:r>
          </w:p>
        </w:tc>
        <w:tc>
          <w:tcPr>
            <w:tcW w:w="1549" w:type="dxa"/>
            <w:tcBorders>
              <w:top w:val="nil"/>
              <w:left w:val="nil"/>
              <w:bottom w:val="single" w:sz="8" w:space="0" w:color="BFBFBF" w:themeColor="background1" w:themeShade="BF"/>
              <w:right w:val="nil"/>
            </w:tcBorders>
            <w:shd w:val="clear" w:color="auto" w:fill="F3F7FF" w:themeFill="background2"/>
            <w:vAlign w:val="center"/>
          </w:tcPr>
          <w:p w14:paraId="1FEE121A" w14:textId="03CB6E77" w:rsidR="00861C1C" w:rsidRPr="002E6F73" w:rsidRDefault="00D628BC"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Pr>
                <w:rFonts w:asciiTheme="minorHAnsi" w:hAnsiTheme="minorHAnsi"/>
                <w:b/>
                <w:noProof/>
                <w:color w:val="000000" w:themeColor="text1"/>
                <w:sz w:val="22"/>
                <w:szCs w:val="22"/>
              </w:rPr>
              <w:t>2.9</w:t>
            </w:r>
          </w:p>
        </w:tc>
      </w:tr>
      <w:tr w:rsidR="00CD66D5" w:rsidRPr="00F423B9" w14:paraId="321D33B5" w14:textId="77777777" w:rsidTr="008729D0">
        <w:trPr>
          <w:trHeight w:val="300"/>
        </w:trPr>
        <w:tc>
          <w:tcPr>
            <w:cnfStyle w:val="001000000000" w:firstRow="0" w:lastRow="0" w:firstColumn="1" w:lastColumn="0" w:oddVBand="0" w:evenVBand="0" w:oddHBand="0" w:evenHBand="0" w:firstRowFirstColumn="0" w:firstRowLastColumn="0" w:lastRowFirstColumn="0" w:lastRowLastColumn="0"/>
            <w:tcW w:w="5102" w:type="dxa"/>
            <w:shd w:val="clear" w:color="auto" w:fill="F3F7FF" w:themeFill="background2"/>
          </w:tcPr>
          <w:p w14:paraId="29D82B17" w14:textId="77777777" w:rsidR="00861C1C" w:rsidRPr="002E6F73" w:rsidRDefault="2A67BF04" w:rsidP="00CD66D5">
            <w:pPr>
              <w:spacing w:after="120"/>
              <w:ind w:left="170"/>
              <w:rPr>
                <w:rFonts w:asciiTheme="minorHAnsi" w:eastAsia="Calibri" w:hAnsiTheme="minorHAnsi"/>
                <w:b w:val="0"/>
                <w:bCs/>
                <w:noProof/>
                <w:color w:val="003399" w:themeColor="text2"/>
                <w:sz w:val="22"/>
                <w:szCs w:val="22"/>
              </w:rPr>
            </w:pPr>
            <w:r w:rsidRPr="002E6F73">
              <w:rPr>
                <w:rFonts w:asciiTheme="minorHAnsi" w:eastAsia="Calibri" w:hAnsiTheme="minorHAnsi"/>
                <w:b w:val="0"/>
                <w:bCs/>
                <w:noProof/>
                <w:color w:val="003399" w:themeColor="text2"/>
                <w:sz w:val="22"/>
                <w:szCs w:val="22"/>
              </w:rPr>
              <w:t>2.1 Economic, Social and territorial cohesion</w:t>
            </w:r>
          </w:p>
        </w:tc>
        <w:tc>
          <w:tcPr>
            <w:tcW w:w="1549" w:type="dxa"/>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64F9D397" w14:textId="25900A8D" w:rsidR="00861C1C" w:rsidRPr="003B1D7B" w:rsidRDefault="00FC22F0"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3B1D7B" w:rsidDel="253CF990">
              <w:rPr>
                <w:rFonts w:asciiTheme="minorHAnsi" w:hAnsiTheme="minorHAnsi"/>
                <w:noProof/>
                <w:color w:val="003399" w:themeColor="text2"/>
              </w:rPr>
              <w:t>1</w:t>
            </w:r>
            <w:r w:rsidR="253CF990" w:rsidRPr="003B1D7B">
              <w:rPr>
                <w:rFonts w:asciiTheme="minorHAnsi" w:hAnsiTheme="minorHAnsi"/>
                <w:noProof/>
                <w:color w:val="003399" w:themeColor="text2"/>
              </w:rPr>
              <w:t>.6</w:t>
            </w:r>
          </w:p>
        </w:tc>
        <w:tc>
          <w:tcPr>
            <w:tcW w:w="1549" w:type="dxa"/>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5F373792" w14:textId="21F190ED" w:rsidR="00861C1C" w:rsidRPr="003B1D7B" w:rsidRDefault="00185A87"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3B1D7B">
              <w:rPr>
                <w:rFonts w:asciiTheme="minorHAnsi" w:hAnsiTheme="minorHAnsi"/>
                <w:noProof/>
                <w:color w:val="003399" w:themeColor="text2"/>
              </w:rPr>
              <w:t>0.</w:t>
            </w:r>
            <w:r w:rsidR="00FC22F0" w:rsidRPr="003B1D7B">
              <w:rPr>
                <w:rFonts w:asciiTheme="minorHAnsi" w:hAnsiTheme="minorHAnsi"/>
                <w:noProof/>
                <w:color w:val="003399" w:themeColor="text2"/>
              </w:rPr>
              <w:t>4</w:t>
            </w:r>
          </w:p>
        </w:tc>
        <w:tc>
          <w:tcPr>
            <w:tcW w:w="1549" w:type="dxa"/>
            <w:tcBorders>
              <w:top w:val="nil"/>
              <w:left w:val="nil"/>
              <w:bottom w:val="single" w:sz="8" w:space="0" w:color="BFBFBF" w:themeColor="background1" w:themeShade="BF"/>
              <w:right w:val="nil"/>
            </w:tcBorders>
            <w:shd w:val="clear" w:color="auto" w:fill="F3F7FF" w:themeFill="background2"/>
            <w:vAlign w:val="center"/>
          </w:tcPr>
          <w:p w14:paraId="645BD592" w14:textId="4B51956F" w:rsidR="00861C1C" w:rsidRPr="002E6F73" w:rsidRDefault="00FC22F0"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E6F73" w:rsidDel="253CF990">
              <w:rPr>
                <w:rFonts w:asciiTheme="minorHAnsi" w:hAnsiTheme="minorHAnsi"/>
                <w:b/>
                <w:noProof/>
                <w:color w:val="000000" w:themeColor="text1"/>
                <w:sz w:val="22"/>
                <w:szCs w:val="22"/>
              </w:rPr>
              <w:t>2.0</w:t>
            </w:r>
          </w:p>
        </w:tc>
      </w:tr>
      <w:tr w:rsidR="00CD66D5" w:rsidRPr="00F423B9" w14:paraId="25BD1C8E" w14:textId="77777777" w:rsidTr="008729D0">
        <w:trPr>
          <w:trHeight w:val="300"/>
        </w:trPr>
        <w:tc>
          <w:tcPr>
            <w:cnfStyle w:val="001000000000" w:firstRow="0" w:lastRow="0" w:firstColumn="1" w:lastColumn="0" w:oddVBand="0" w:evenVBand="0" w:oddHBand="0" w:evenHBand="0" w:firstRowFirstColumn="0" w:firstRowLastColumn="0" w:lastRowFirstColumn="0" w:lastRowLastColumn="0"/>
            <w:tcW w:w="5102" w:type="dxa"/>
            <w:shd w:val="clear" w:color="auto" w:fill="F3F7FF" w:themeFill="background2"/>
          </w:tcPr>
          <w:p w14:paraId="25556F49" w14:textId="77777777" w:rsidR="00861C1C" w:rsidRPr="002E6F73" w:rsidRDefault="003B6DC2" w:rsidP="00CD66D5">
            <w:pPr>
              <w:spacing w:after="120"/>
              <w:ind w:left="170"/>
              <w:rPr>
                <w:rFonts w:asciiTheme="minorHAnsi" w:eastAsia="Calibri" w:hAnsiTheme="minorHAnsi"/>
                <w:b w:val="0"/>
                <w:bCs/>
                <w:noProof/>
                <w:color w:val="003399" w:themeColor="text2"/>
                <w:sz w:val="22"/>
                <w:szCs w:val="22"/>
              </w:rPr>
            </w:pPr>
            <w:r w:rsidRPr="002E6F73">
              <w:rPr>
                <w:rFonts w:asciiTheme="minorHAnsi" w:eastAsia="Calibri" w:hAnsiTheme="minorHAnsi"/>
                <w:b w:val="0"/>
                <w:bCs/>
                <w:noProof/>
                <w:color w:val="003399" w:themeColor="text2"/>
                <w:sz w:val="22"/>
                <w:szCs w:val="22"/>
              </w:rPr>
              <w:t>2.2 Resilience and Values</w:t>
            </w:r>
          </w:p>
        </w:tc>
        <w:tc>
          <w:tcPr>
            <w:tcW w:w="1549" w:type="dxa"/>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599B16C3" w14:textId="13DEAC27" w:rsidR="00861C1C" w:rsidRPr="003B1D7B" w:rsidRDefault="66545B3C"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3B1D7B">
              <w:rPr>
                <w:rFonts w:asciiTheme="minorHAnsi" w:hAnsiTheme="minorHAnsi"/>
                <w:noProof/>
                <w:color w:val="003399" w:themeColor="text2"/>
              </w:rPr>
              <w:t>0.</w:t>
            </w:r>
            <w:r w:rsidR="00FC22F0" w:rsidRPr="003B1D7B">
              <w:rPr>
                <w:rFonts w:asciiTheme="minorHAnsi" w:hAnsiTheme="minorHAnsi"/>
                <w:noProof/>
                <w:color w:val="003399" w:themeColor="text2"/>
              </w:rPr>
              <w:t>1</w:t>
            </w:r>
          </w:p>
        </w:tc>
        <w:tc>
          <w:tcPr>
            <w:tcW w:w="1549" w:type="dxa"/>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2DC52F7A" w14:textId="607F0C10" w:rsidR="00861C1C" w:rsidRPr="003B1D7B" w:rsidRDefault="00FC22F0"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3B1D7B">
              <w:rPr>
                <w:rFonts w:asciiTheme="minorHAnsi" w:hAnsiTheme="minorHAnsi"/>
                <w:noProof/>
                <w:color w:val="003399" w:themeColor="text2"/>
              </w:rPr>
              <w:t>0.9</w:t>
            </w:r>
          </w:p>
        </w:tc>
        <w:tc>
          <w:tcPr>
            <w:tcW w:w="1549" w:type="dxa"/>
            <w:tcBorders>
              <w:top w:val="nil"/>
              <w:left w:val="nil"/>
              <w:bottom w:val="single" w:sz="8" w:space="0" w:color="BFBFBF" w:themeColor="background1" w:themeShade="BF"/>
              <w:right w:val="nil"/>
            </w:tcBorders>
            <w:shd w:val="clear" w:color="auto" w:fill="F3F7FF" w:themeFill="background2"/>
            <w:vAlign w:val="center"/>
          </w:tcPr>
          <w:p w14:paraId="00BB1FBC" w14:textId="70050186" w:rsidR="00861C1C" w:rsidRPr="002E6F73" w:rsidRDefault="00D628BC"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Pr>
                <w:rFonts w:asciiTheme="minorHAnsi" w:hAnsiTheme="minorHAnsi"/>
                <w:b/>
                <w:noProof/>
                <w:color w:val="000000" w:themeColor="text1"/>
                <w:sz w:val="22"/>
                <w:szCs w:val="22"/>
              </w:rPr>
              <w:t>0.9</w:t>
            </w:r>
          </w:p>
        </w:tc>
      </w:tr>
      <w:tr w:rsidR="00804C3F" w:rsidRPr="00F423B9" w14:paraId="2589BF42" w14:textId="77777777" w:rsidTr="00A81408">
        <w:trPr>
          <w:trHeight w:val="300"/>
        </w:trPr>
        <w:tc>
          <w:tcPr>
            <w:cnfStyle w:val="001000000000" w:firstRow="0" w:lastRow="0" w:firstColumn="1" w:lastColumn="0" w:oddVBand="0" w:evenVBand="0" w:oddHBand="0" w:evenHBand="0" w:firstRowFirstColumn="0" w:firstRowLastColumn="0" w:lastRowFirstColumn="0" w:lastRowLastColumn="0"/>
            <w:tcW w:w="5102" w:type="dxa"/>
          </w:tcPr>
          <w:p w14:paraId="62FD4256" w14:textId="05BD9379" w:rsidR="008729D0" w:rsidRPr="003B1D7B" w:rsidRDefault="008729D0" w:rsidP="008729D0">
            <w:pPr>
              <w:spacing w:after="120"/>
              <w:rPr>
                <w:rFonts w:asciiTheme="minorHAnsi" w:eastAsia="Calibri" w:hAnsiTheme="minorHAnsi"/>
                <w:b w:val="0"/>
                <w:noProof/>
                <w:color w:val="003399" w:themeColor="text2"/>
                <w:sz w:val="22"/>
                <w:szCs w:val="22"/>
              </w:rPr>
            </w:pPr>
            <w:r w:rsidRPr="003B1D7B">
              <w:rPr>
                <w:rFonts w:asciiTheme="minorHAnsi" w:eastAsia="Calibri" w:hAnsiTheme="minorHAnsi"/>
                <w:noProof/>
                <w:color w:val="003399" w:themeColor="text2"/>
                <w:sz w:val="22"/>
                <w:szCs w:val="22"/>
              </w:rPr>
              <w:t>3 Natural Resources and Environment</w:t>
            </w:r>
          </w:p>
        </w:tc>
        <w:tc>
          <w:tcPr>
            <w:tcW w:w="1549" w:type="dxa"/>
            <w:tcBorders>
              <w:top w:val="nil"/>
              <w:left w:val="nil"/>
              <w:bottom w:val="single" w:sz="8" w:space="0" w:color="BFBFBF" w:themeColor="background1" w:themeShade="BF"/>
              <w:right w:val="single" w:sz="8" w:space="0" w:color="BFBFBF" w:themeColor="background1" w:themeShade="BF"/>
            </w:tcBorders>
            <w:vAlign w:val="center"/>
          </w:tcPr>
          <w:p w14:paraId="28E6BEEA" w14:textId="14EF637D" w:rsidR="008729D0" w:rsidRPr="008729D0" w:rsidRDefault="008729D0" w:rsidP="008729D0">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bCs/>
                <w:noProof/>
                <w:color w:val="003399" w:themeColor="text2"/>
              </w:rPr>
            </w:pPr>
            <w:r w:rsidRPr="005A4CD5">
              <w:rPr>
                <w:b/>
                <w:noProof/>
                <w:color w:val="003399" w:themeColor="text2"/>
              </w:rPr>
              <w:t>2.3</w:t>
            </w:r>
          </w:p>
        </w:tc>
        <w:tc>
          <w:tcPr>
            <w:tcW w:w="1549" w:type="dxa"/>
            <w:tcBorders>
              <w:top w:val="nil"/>
              <w:left w:val="nil"/>
              <w:bottom w:val="single" w:sz="8" w:space="0" w:color="BFBFBF" w:themeColor="background1" w:themeShade="BF"/>
              <w:right w:val="single" w:sz="8" w:space="0" w:color="BFBFBF" w:themeColor="background1" w:themeShade="BF"/>
            </w:tcBorders>
            <w:vAlign w:val="center"/>
          </w:tcPr>
          <w:p w14:paraId="3736D4C0" w14:textId="57128976" w:rsidR="008729D0" w:rsidRPr="008729D0" w:rsidRDefault="008729D0" w:rsidP="008729D0">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bCs/>
                <w:noProof/>
                <w:color w:val="003399" w:themeColor="text2"/>
              </w:rPr>
            </w:pPr>
            <w:r w:rsidRPr="005A4CD5">
              <w:rPr>
                <w:b/>
                <w:noProof/>
                <w:color w:val="003399" w:themeColor="text2"/>
              </w:rPr>
              <w:t>1.2</w:t>
            </w:r>
          </w:p>
        </w:tc>
        <w:tc>
          <w:tcPr>
            <w:tcW w:w="1549" w:type="dxa"/>
            <w:tcBorders>
              <w:top w:val="nil"/>
              <w:left w:val="nil"/>
              <w:bottom w:val="single" w:sz="8" w:space="0" w:color="BFBFBF" w:themeColor="background1" w:themeShade="BF"/>
              <w:right w:val="nil"/>
            </w:tcBorders>
            <w:vAlign w:val="center"/>
          </w:tcPr>
          <w:p w14:paraId="4D8C9700" w14:textId="396E4E87" w:rsidR="008729D0" w:rsidRPr="008729D0" w:rsidRDefault="008729D0" w:rsidP="008729D0">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bCs/>
                <w:noProof/>
                <w:color w:val="000000" w:themeColor="text1"/>
                <w:sz w:val="22"/>
                <w:szCs w:val="22"/>
              </w:rPr>
            </w:pPr>
            <w:r w:rsidRPr="005A4CD5">
              <w:rPr>
                <w:b/>
                <w:bCs/>
                <w:noProof/>
              </w:rPr>
              <w:t>3.5</w:t>
            </w:r>
          </w:p>
        </w:tc>
      </w:tr>
      <w:tr w:rsidR="00804C3F" w:rsidRPr="00F423B9" w14:paraId="1B65F24B" w14:textId="77777777" w:rsidTr="00A81408">
        <w:trPr>
          <w:trHeight w:val="300"/>
        </w:trPr>
        <w:tc>
          <w:tcPr>
            <w:cnfStyle w:val="001000000000" w:firstRow="0" w:lastRow="0" w:firstColumn="1" w:lastColumn="0" w:oddVBand="0" w:evenVBand="0" w:oddHBand="0" w:evenHBand="0" w:firstRowFirstColumn="0" w:firstRowLastColumn="0" w:lastRowFirstColumn="0" w:lastRowLastColumn="0"/>
            <w:tcW w:w="5102" w:type="dxa"/>
            <w:tcBorders>
              <w:top w:val="nil"/>
              <w:left w:val="nil"/>
              <w:bottom w:val="single" w:sz="8" w:space="0" w:color="BFBFBF" w:themeColor="background1" w:themeShade="BF"/>
              <w:right w:val="single" w:sz="8" w:space="0" w:color="BFBFBF" w:themeColor="background1" w:themeShade="BF"/>
            </w:tcBorders>
            <w:vAlign w:val="center"/>
          </w:tcPr>
          <w:p w14:paraId="78C73CFF" w14:textId="4386C8C9" w:rsidR="008729D0" w:rsidRPr="002E6F73" w:rsidRDefault="008729D0" w:rsidP="008729D0">
            <w:pPr>
              <w:spacing w:after="120"/>
              <w:ind w:left="170"/>
              <w:rPr>
                <w:rFonts w:asciiTheme="minorHAnsi" w:eastAsia="Calibri" w:hAnsiTheme="minorHAnsi"/>
                <w:b w:val="0"/>
                <w:bCs/>
                <w:noProof/>
                <w:color w:val="003399" w:themeColor="text2"/>
                <w:sz w:val="22"/>
                <w:szCs w:val="22"/>
              </w:rPr>
            </w:pPr>
            <w:r w:rsidRPr="002E6F73">
              <w:rPr>
                <w:rFonts w:asciiTheme="minorHAnsi" w:eastAsia="Calibri" w:hAnsiTheme="minorHAnsi"/>
                <w:b w:val="0"/>
                <w:bCs/>
                <w:noProof/>
                <w:color w:val="003399" w:themeColor="text2"/>
                <w:sz w:val="22"/>
                <w:szCs w:val="22"/>
              </w:rPr>
              <w:t>3.1 Market related expenditure and direct payments</w:t>
            </w:r>
          </w:p>
        </w:tc>
        <w:tc>
          <w:tcPr>
            <w:tcW w:w="1549" w:type="dxa"/>
            <w:tcBorders>
              <w:top w:val="nil"/>
              <w:left w:val="nil"/>
              <w:bottom w:val="single" w:sz="8" w:space="0" w:color="BFBFBF" w:themeColor="background1" w:themeShade="BF"/>
              <w:right w:val="single" w:sz="8" w:space="0" w:color="BFBFBF" w:themeColor="background1" w:themeShade="BF"/>
            </w:tcBorders>
            <w:vAlign w:val="center"/>
          </w:tcPr>
          <w:p w14:paraId="0E7BFECC" w14:textId="7A53115F" w:rsidR="008729D0" w:rsidRPr="003B1D7B" w:rsidRDefault="008729D0" w:rsidP="008729D0">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5A4CD5">
              <w:rPr>
                <w:noProof/>
                <w:color w:val="003399" w:themeColor="text2"/>
              </w:rPr>
              <w:t>0.0</w:t>
            </w:r>
          </w:p>
        </w:tc>
        <w:tc>
          <w:tcPr>
            <w:tcW w:w="1549" w:type="dxa"/>
            <w:tcBorders>
              <w:top w:val="nil"/>
              <w:left w:val="nil"/>
              <w:bottom w:val="single" w:sz="8" w:space="0" w:color="BFBFBF" w:themeColor="background1" w:themeShade="BF"/>
              <w:right w:val="single" w:sz="8" w:space="0" w:color="BFBFBF" w:themeColor="background1" w:themeShade="BF"/>
            </w:tcBorders>
            <w:vAlign w:val="center"/>
          </w:tcPr>
          <w:p w14:paraId="45EA8AD6" w14:textId="1F48748C" w:rsidR="008729D0" w:rsidRPr="003B1D7B" w:rsidRDefault="008729D0" w:rsidP="008729D0">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noProof/>
                <w:color w:val="003399" w:themeColor="text2"/>
              </w:rPr>
            </w:pPr>
            <w:r w:rsidRPr="005A4CD5">
              <w:rPr>
                <w:noProof/>
                <w:color w:val="003399" w:themeColor="text2"/>
              </w:rPr>
              <w:t>0.0</w:t>
            </w:r>
          </w:p>
        </w:tc>
        <w:tc>
          <w:tcPr>
            <w:tcW w:w="1549" w:type="dxa"/>
            <w:tcBorders>
              <w:top w:val="nil"/>
              <w:left w:val="nil"/>
              <w:bottom w:val="single" w:sz="8" w:space="0" w:color="BFBFBF" w:themeColor="background1" w:themeShade="BF"/>
              <w:right w:val="nil"/>
            </w:tcBorders>
            <w:vAlign w:val="center"/>
          </w:tcPr>
          <w:p w14:paraId="51DD0C75" w14:textId="4572A6E5" w:rsidR="008729D0" w:rsidRPr="002E6F73" w:rsidRDefault="008729D0" w:rsidP="008729D0">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noProof/>
                <w:color w:val="000000" w:themeColor="text1"/>
                <w:sz w:val="22"/>
                <w:szCs w:val="22"/>
              </w:rPr>
            </w:pPr>
            <w:r w:rsidRPr="006A760E">
              <w:rPr>
                <w:noProof/>
              </w:rPr>
              <w:t>0.0</w:t>
            </w:r>
          </w:p>
        </w:tc>
      </w:tr>
      <w:tr w:rsidR="00804C3F" w:rsidRPr="00F423B9" w14:paraId="302FC164" w14:textId="77777777" w:rsidTr="00A81408">
        <w:trPr>
          <w:trHeight w:val="300"/>
        </w:trPr>
        <w:tc>
          <w:tcPr>
            <w:cnfStyle w:val="001000000000" w:firstRow="0" w:lastRow="0" w:firstColumn="1" w:lastColumn="0" w:oddVBand="0" w:evenVBand="0" w:oddHBand="0" w:evenHBand="0" w:firstRowFirstColumn="0" w:firstRowLastColumn="0" w:lastRowFirstColumn="0" w:lastRowLastColumn="0"/>
            <w:tcW w:w="5102" w:type="dxa"/>
            <w:tcBorders>
              <w:top w:val="nil"/>
              <w:left w:val="nil"/>
              <w:bottom w:val="single" w:sz="8" w:space="0" w:color="BFBFBF" w:themeColor="background1" w:themeShade="BF"/>
              <w:right w:val="single" w:sz="8" w:space="0" w:color="BFBFBF" w:themeColor="background1" w:themeShade="BF"/>
            </w:tcBorders>
            <w:vAlign w:val="center"/>
          </w:tcPr>
          <w:p w14:paraId="307AFBCD" w14:textId="67CC062B" w:rsidR="008729D0" w:rsidRPr="002E6F73" w:rsidRDefault="008729D0" w:rsidP="008729D0">
            <w:pPr>
              <w:spacing w:after="120"/>
              <w:ind w:left="170"/>
              <w:rPr>
                <w:rFonts w:asciiTheme="minorHAnsi" w:eastAsia="Calibri" w:hAnsiTheme="minorHAnsi"/>
                <w:b w:val="0"/>
                <w:bCs/>
                <w:noProof/>
                <w:color w:val="003399" w:themeColor="text2"/>
                <w:sz w:val="22"/>
                <w:szCs w:val="22"/>
              </w:rPr>
            </w:pPr>
            <w:r w:rsidRPr="002E6F73">
              <w:rPr>
                <w:rFonts w:asciiTheme="minorHAnsi" w:eastAsia="Calibri" w:hAnsiTheme="minorHAnsi"/>
                <w:b w:val="0"/>
                <w:bCs/>
                <w:noProof/>
                <w:color w:val="003399" w:themeColor="text2"/>
                <w:sz w:val="22"/>
                <w:szCs w:val="22"/>
              </w:rPr>
              <w:t>3.2 Other programmes of Natural Resources and Environment</w:t>
            </w:r>
          </w:p>
        </w:tc>
        <w:tc>
          <w:tcPr>
            <w:tcW w:w="1549" w:type="dxa"/>
            <w:tcBorders>
              <w:top w:val="nil"/>
              <w:left w:val="nil"/>
              <w:bottom w:val="single" w:sz="8" w:space="0" w:color="BFBFBF" w:themeColor="background1" w:themeShade="BF"/>
              <w:right w:val="single" w:sz="8" w:space="0" w:color="BFBFBF" w:themeColor="background1" w:themeShade="BF"/>
            </w:tcBorders>
            <w:vAlign w:val="center"/>
          </w:tcPr>
          <w:p w14:paraId="791AC37B" w14:textId="3B8C2C52" w:rsidR="008729D0" w:rsidRPr="003B1D7B" w:rsidRDefault="008729D0" w:rsidP="008729D0">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5A4CD5">
              <w:rPr>
                <w:noProof/>
                <w:color w:val="003399" w:themeColor="text2"/>
              </w:rPr>
              <w:t>2.3</w:t>
            </w:r>
          </w:p>
        </w:tc>
        <w:tc>
          <w:tcPr>
            <w:tcW w:w="1549" w:type="dxa"/>
            <w:tcBorders>
              <w:top w:val="nil"/>
              <w:left w:val="nil"/>
              <w:bottom w:val="single" w:sz="8" w:space="0" w:color="BFBFBF" w:themeColor="background1" w:themeShade="BF"/>
              <w:right w:val="single" w:sz="8" w:space="0" w:color="BFBFBF" w:themeColor="background1" w:themeShade="BF"/>
            </w:tcBorders>
            <w:vAlign w:val="center"/>
          </w:tcPr>
          <w:p w14:paraId="12CA47FD" w14:textId="12D4402F" w:rsidR="008729D0" w:rsidRPr="003B1D7B" w:rsidRDefault="008729D0" w:rsidP="008729D0">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noProof/>
                <w:color w:val="003399" w:themeColor="text2"/>
              </w:rPr>
            </w:pPr>
            <w:r w:rsidRPr="005A4CD5">
              <w:rPr>
                <w:noProof/>
                <w:color w:val="003399" w:themeColor="text2"/>
              </w:rPr>
              <w:t>1.2</w:t>
            </w:r>
          </w:p>
        </w:tc>
        <w:tc>
          <w:tcPr>
            <w:tcW w:w="1549" w:type="dxa"/>
            <w:tcBorders>
              <w:top w:val="nil"/>
              <w:left w:val="nil"/>
              <w:bottom w:val="single" w:sz="8" w:space="0" w:color="BFBFBF" w:themeColor="background1" w:themeShade="BF"/>
              <w:right w:val="nil"/>
            </w:tcBorders>
            <w:vAlign w:val="center"/>
          </w:tcPr>
          <w:p w14:paraId="75386396" w14:textId="0E73D772" w:rsidR="008729D0" w:rsidRPr="002E6F73" w:rsidRDefault="008729D0" w:rsidP="008729D0">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6A760E">
              <w:rPr>
                <w:noProof/>
              </w:rPr>
              <w:t>3.5</w:t>
            </w:r>
          </w:p>
        </w:tc>
      </w:tr>
      <w:tr w:rsidR="00CD66D5" w:rsidRPr="00F423B9" w14:paraId="5AA64EC4" w14:textId="77777777" w:rsidTr="008729D0">
        <w:trPr>
          <w:trHeight w:val="300"/>
        </w:trPr>
        <w:tc>
          <w:tcPr>
            <w:cnfStyle w:val="001000000000" w:firstRow="0" w:lastRow="0" w:firstColumn="1" w:lastColumn="0" w:oddVBand="0" w:evenVBand="0" w:oddHBand="0" w:evenHBand="0" w:firstRowFirstColumn="0" w:firstRowLastColumn="0" w:lastRowFirstColumn="0" w:lastRowLastColumn="0"/>
            <w:tcW w:w="5102" w:type="dxa"/>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437220C0" w14:textId="59282784" w:rsidR="00861C1C" w:rsidRPr="003B1D7B" w:rsidRDefault="003B6DC2">
            <w:pPr>
              <w:spacing w:after="120"/>
              <w:rPr>
                <w:rFonts w:asciiTheme="minorHAnsi" w:eastAsia="Calibri" w:hAnsiTheme="minorHAnsi"/>
                <w:b w:val="0"/>
                <w:noProof/>
                <w:color w:val="003399" w:themeColor="text2"/>
                <w:sz w:val="22"/>
                <w:szCs w:val="22"/>
              </w:rPr>
            </w:pPr>
            <w:r w:rsidRPr="003B1D7B">
              <w:rPr>
                <w:rFonts w:asciiTheme="minorHAnsi" w:hAnsiTheme="minorHAnsi"/>
                <w:noProof/>
                <w:color w:val="003399" w:themeColor="text2"/>
                <w:sz w:val="22"/>
                <w:szCs w:val="22"/>
              </w:rPr>
              <w:t>4 Migration and Border Management</w:t>
            </w:r>
          </w:p>
        </w:tc>
        <w:tc>
          <w:tcPr>
            <w:tcW w:w="1549" w:type="dxa"/>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0C5F504D" w14:textId="64B85AEA" w:rsidR="00861C1C" w:rsidRPr="003B1D7B" w:rsidRDefault="00C13B6D"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3B1D7B">
              <w:rPr>
                <w:rFonts w:asciiTheme="minorHAnsi" w:hAnsiTheme="minorHAnsi"/>
                <w:b/>
                <w:noProof/>
                <w:color w:val="003399" w:themeColor="text2"/>
              </w:rPr>
              <w:t>0.6</w:t>
            </w:r>
          </w:p>
        </w:tc>
        <w:tc>
          <w:tcPr>
            <w:tcW w:w="1549" w:type="dxa"/>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3F9858B0" w14:textId="0F84BB59" w:rsidR="00861C1C" w:rsidRPr="003B1D7B" w:rsidRDefault="00C13B6D"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3B1D7B">
              <w:rPr>
                <w:rFonts w:asciiTheme="minorHAnsi" w:hAnsiTheme="minorHAnsi"/>
                <w:b/>
                <w:noProof/>
                <w:color w:val="003399" w:themeColor="text2"/>
              </w:rPr>
              <w:t>0.0</w:t>
            </w:r>
          </w:p>
        </w:tc>
        <w:tc>
          <w:tcPr>
            <w:tcW w:w="1549" w:type="dxa"/>
            <w:tcBorders>
              <w:top w:val="nil"/>
              <w:left w:val="nil"/>
              <w:bottom w:val="single" w:sz="8" w:space="0" w:color="BFBFBF" w:themeColor="background1" w:themeShade="BF"/>
              <w:right w:val="nil"/>
            </w:tcBorders>
            <w:shd w:val="clear" w:color="auto" w:fill="F3F7FF" w:themeFill="background2"/>
            <w:vAlign w:val="center"/>
          </w:tcPr>
          <w:p w14:paraId="528F330D" w14:textId="7213EDDE" w:rsidR="00861C1C" w:rsidRPr="002E6F73" w:rsidRDefault="00C13B6D"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E6F73">
              <w:rPr>
                <w:rFonts w:asciiTheme="minorHAnsi" w:hAnsiTheme="minorHAnsi"/>
                <w:b/>
                <w:noProof/>
                <w:color w:val="000000" w:themeColor="text1"/>
                <w:sz w:val="22"/>
                <w:szCs w:val="22"/>
              </w:rPr>
              <w:t>0.6</w:t>
            </w:r>
          </w:p>
        </w:tc>
      </w:tr>
      <w:tr w:rsidR="00CD66D5" w:rsidRPr="00F423B9" w14:paraId="3104574E" w14:textId="77777777" w:rsidTr="008729D0">
        <w:trPr>
          <w:trHeight w:val="300"/>
        </w:trPr>
        <w:tc>
          <w:tcPr>
            <w:cnfStyle w:val="001000000000" w:firstRow="0" w:lastRow="0" w:firstColumn="1" w:lastColumn="0" w:oddVBand="0" w:evenVBand="0" w:oddHBand="0" w:evenHBand="0" w:firstRowFirstColumn="0" w:firstRowLastColumn="0" w:lastRowFirstColumn="0" w:lastRowLastColumn="0"/>
            <w:tcW w:w="5102" w:type="dxa"/>
            <w:tcBorders>
              <w:top w:val="nil"/>
              <w:left w:val="nil"/>
              <w:bottom w:val="single" w:sz="8" w:space="0" w:color="BFBFBF" w:themeColor="background1" w:themeShade="BF"/>
              <w:right w:val="single" w:sz="8" w:space="0" w:color="BFBFBF" w:themeColor="background1" w:themeShade="BF"/>
            </w:tcBorders>
            <w:vAlign w:val="center"/>
          </w:tcPr>
          <w:p w14:paraId="39289543" w14:textId="1FE4FCAE" w:rsidR="00861C1C" w:rsidRPr="003B1D7B" w:rsidRDefault="003B6DC2">
            <w:pPr>
              <w:spacing w:after="120"/>
              <w:rPr>
                <w:rFonts w:asciiTheme="minorHAnsi" w:eastAsia="Calibri" w:hAnsiTheme="minorHAnsi"/>
                <w:b w:val="0"/>
                <w:noProof/>
                <w:color w:val="003399" w:themeColor="text2"/>
                <w:sz w:val="22"/>
                <w:szCs w:val="22"/>
              </w:rPr>
            </w:pPr>
            <w:r w:rsidRPr="003B1D7B">
              <w:rPr>
                <w:rFonts w:asciiTheme="minorHAnsi" w:hAnsiTheme="minorHAnsi"/>
                <w:noProof/>
                <w:color w:val="003399" w:themeColor="text2"/>
                <w:sz w:val="22"/>
                <w:szCs w:val="22"/>
              </w:rPr>
              <w:t>5 Security and Defence</w:t>
            </w:r>
          </w:p>
        </w:tc>
        <w:tc>
          <w:tcPr>
            <w:tcW w:w="1549" w:type="dxa"/>
            <w:tcBorders>
              <w:top w:val="nil"/>
              <w:left w:val="nil"/>
              <w:bottom w:val="single" w:sz="8" w:space="0" w:color="BFBFBF" w:themeColor="background1" w:themeShade="BF"/>
              <w:right w:val="single" w:sz="8" w:space="0" w:color="BFBFBF" w:themeColor="background1" w:themeShade="BF"/>
            </w:tcBorders>
            <w:vAlign w:val="center"/>
          </w:tcPr>
          <w:p w14:paraId="64F2FFEF" w14:textId="019941C2" w:rsidR="00861C1C" w:rsidRPr="003B1D7B" w:rsidRDefault="00C13B6D"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3B1D7B">
              <w:rPr>
                <w:rFonts w:asciiTheme="minorHAnsi" w:hAnsiTheme="minorHAnsi"/>
                <w:b/>
                <w:noProof/>
                <w:color w:val="003399" w:themeColor="text2"/>
              </w:rPr>
              <w:t>0.1</w:t>
            </w:r>
          </w:p>
        </w:tc>
        <w:tc>
          <w:tcPr>
            <w:tcW w:w="1549" w:type="dxa"/>
            <w:tcBorders>
              <w:top w:val="nil"/>
              <w:left w:val="nil"/>
              <w:bottom w:val="single" w:sz="8" w:space="0" w:color="BFBFBF" w:themeColor="background1" w:themeShade="BF"/>
              <w:right w:val="single" w:sz="8" w:space="0" w:color="BFBFBF" w:themeColor="background1" w:themeShade="BF"/>
            </w:tcBorders>
            <w:vAlign w:val="center"/>
          </w:tcPr>
          <w:p w14:paraId="5951506F" w14:textId="6F7C565D" w:rsidR="00861C1C" w:rsidRPr="003B1D7B" w:rsidRDefault="0389906F"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3B1D7B">
              <w:rPr>
                <w:rFonts w:asciiTheme="minorHAnsi" w:hAnsiTheme="minorHAnsi"/>
                <w:b/>
                <w:noProof/>
                <w:color w:val="003399" w:themeColor="text2"/>
              </w:rPr>
              <w:t>0.</w:t>
            </w:r>
            <w:r w:rsidR="00FC22F0" w:rsidRPr="003B1D7B">
              <w:rPr>
                <w:rFonts w:asciiTheme="minorHAnsi" w:hAnsiTheme="minorHAnsi"/>
                <w:b/>
                <w:noProof/>
                <w:color w:val="003399" w:themeColor="text2"/>
              </w:rPr>
              <w:t>0</w:t>
            </w:r>
          </w:p>
        </w:tc>
        <w:tc>
          <w:tcPr>
            <w:tcW w:w="1549" w:type="dxa"/>
            <w:tcBorders>
              <w:top w:val="nil"/>
              <w:left w:val="nil"/>
              <w:bottom w:val="single" w:sz="8" w:space="0" w:color="BFBFBF" w:themeColor="background1" w:themeShade="BF"/>
              <w:right w:val="nil"/>
            </w:tcBorders>
            <w:vAlign w:val="center"/>
          </w:tcPr>
          <w:p w14:paraId="1F879FA6" w14:textId="100A120B" w:rsidR="00861C1C" w:rsidRPr="002E6F73" w:rsidRDefault="00C13B6D"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E6F73">
              <w:rPr>
                <w:rFonts w:asciiTheme="minorHAnsi" w:hAnsiTheme="minorHAnsi"/>
                <w:b/>
                <w:noProof/>
                <w:color w:val="000000" w:themeColor="text1"/>
                <w:sz w:val="22"/>
                <w:szCs w:val="22"/>
              </w:rPr>
              <w:t>0.1</w:t>
            </w:r>
          </w:p>
        </w:tc>
      </w:tr>
      <w:tr w:rsidR="00CD66D5" w:rsidRPr="00F423B9" w14:paraId="2CD70082" w14:textId="77777777" w:rsidTr="008729D0">
        <w:trPr>
          <w:trHeight w:val="300"/>
        </w:trPr>
        <w:tc>
          <w:tcPr>
            <w:cnfStyle w:val="001000000000" w:firstRow="0" w:lastRow="0" w:firstColumn="1" w:lastColumn="0" w:oddVBand="0" w:evenVBand="0" w:oddHBand="0" w:evenHBand="0" w:firstRowFirstColumn="0" w:firstRowLastColumn="0" w:lastRowFirstColumn="0" w:lastRowLastColumn="0"/>
            <w:tcW w:w="5102" w:type="dxa"/>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0E96276D" w14:textId="4FB22D31" w:rsidR="00861C1C" w:rsidRPr="003B1D7B" w:rsidRDefault="003B6DC2">
            <w:pPr>
              <w:spacing w:after="120"/>
              <w:rPr>
                <w:rFonts w:asciiTheme="minorHAnsi" w:eastAsia="Calibri" w:hAnsiTheme="minorHAnsi"/>
                <w:b w:val="0"/>
                <w:noProof/>
                <w:color w:val="003399" w:themeColor="text2"/>
                <w:sz w:val="22"/>
                <w:szCs w:val="22"/>
              </w:rPr>
            </w:pPr>
            <w:r w:rsidRPr="003B1D7B">
              <w:rPr>
                <w:rFonts w:asciiTheme="minorHAnsi" w:hAnsiTheme="minorHAnsi"/>
                <w:noProof/>
                <w:color w:val="003399" w:themeColor="text2"/>
                <w:sz w:val="22"/>
                <w:szCs w:val="22"/>
              </w:rPr>
              <w:t>6 Neighbourhood and the World</w:t>
            </w:r>
          </w:p>
        </w:tc>
        <w:tc>
          <w:tcPr>
            <w:tcW w:w="1549" w:type="dxa"/>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31733D24" w14:textId="6D62F05B" w:rsidR="00861C1C" w:rsidRPr="003B1D7B" w:rsidRDefault="00C13B6D"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3B1D7B">
              <w:rPr>
                <w:rFonts w:asciiTheme="minorHAnsi" w:hAnsiTheme="minorHAnsi"/>
                <w:b/>
                <w:noProof/>
                <w:color w:val="003399" w:themeColor="text2"/>
              </w:rPr>
              <w:t>0.3</w:t>
            </w:r>
          </w:p>
        </w:tc>
        <w:tc>
          <w:tcPr>
            <w:tcW w:w="1549" w:type="dxa"/>
            <w:tcBorders>
              <w:top w:val="nil"/>
              <w:left w:val="nil"/>
              <w:bottom w:val="single" w:sz="8" w:space="0" w:color="BFBFBF" w:themeColor="background1" w:themeShade="BF"/>
              <w:right w:val="single" w:sz="8" w:space="0" w:color="BFBFBF" w:themeColor="background1" w:themeShade="BF"/>
            </w:tcBorders>
            <w:shd w:val="clear" w:color="auto" w:fill="F3F7FF" w:themeFill="background2"/>
            <w:vAlign w:val="center"/>
          </w:tcPr>
          <w:p w14:paraId="2CFD5EED" w14:textId="267331DA" w:rsidR="00861C1C" w:rsidRPr="003B1D7B" w:rsidRDefault="00C13B6D"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3399" w:themeColor="text2"/>
              </w:rPr>
            </w:pPr>
            <w:r w:rsidRPr="003B1D7B">
              <w:rPr>
                <w:rFonts w:asciiTheme="minorHAnsi" w:hAnsiTheme="minorHAnsi"/>
                <w:b/>
                <w:noProof/>
                <w:color w:val="003399" w:themeColor="text2"/>
              </w:rPr>
              <w:t>1.</w:t>
            </w:r>
            <w:r w:rsidR="00836ED5">
              <w:rPr>
                <w:rFonts w:asciiTheme="minorHAnsi" w:hAnsiTheme="minorHAnsi"/>
                <w:b/>
                <w:noProof/>
                <w:color w:val="003399" w:themeColor="text2"/>
              </w:rPr>
              <w:t>0</w:t>
            </w:r>
          </w:p>
        </w:tc>
        <w:tc>
          <w:tcPr>
            <w:tcW w:w="1549" w:type="dxa"/>
            <w:tcBorders>
              <w:top w:val="nil"/>
              <w:left w:val="nil"/>
              <w:bottom w:val="single" w:sz="8" w:space="0" w:color="BFBFBF" w:themeColor="background1" w:themeShade="BF"/>
              <w:right w:val="nil"/>
            </w:tcBorders>
            <w:shd w:val="clear" w:color="auto" w:fill="F3F7FF" w:themeFill="background2"/>
            <w:vAlign w:val="center"/>
          </w:tcPr>
          <w:p w14:paraId="0F2F8391" w14:textId="4308E497" w:rsidR="00861C1C" w:rsidRPr="002E6F73" w:rsidRDefault="00C13B6D"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2E6F73">
              <w:rPr>
                <w:rFonts w:asciiTheme="minorHAnsi" w:hAnsiTheme="minorHAnsi"/>
                <w:b/>
                <w:noProof/>
                <w:color w:val="000000" w:themeColor="text1"/>
                <w:sz w:val="22"/>
                <w:szCs w:val="22"/>
              </w:rPr>
              <w:t>1.</w:t>
            </w:r>
            <w:r w:rsidR="00D628BC">
              <w:rPr>
                <w:rFonts w:asciiTheme="minorHAnsi" w:hAnsiTheme="minorHAnsi"/>
                <w:b/>
                <w:noProof/>
                <w:color w:val="000000" w:themeColor="text1"/>
                <w:sz w:val="22"/>
                <w:szCs w:val="22"/>
              </w:rPr>
              <w:t>3</w:t>
            </w:r>
          </w:p>
        </w:tc>
      </w:tr>
      <w:tr w:rsidR="00586721" w:rsidRPr="00F423B9" w14:paraId="26F229FD" w14:textId="77777777" w:rsidTr="003A6FA3">
        <w:trPr>
          <w:trHeight w:val="300"/>
        </w:trPr>
        <w:tc>
          <w:tcPr>
            <w:cnfStyle w:val="001000000000" w:firstRow="0" w:lastRow="0" w:firstColumn="1" w:lastColumn="0" w:oddVBand="0" w:evenVBand="0" w:oddHBand="0" w:evenHBand="0" w:firstRowFirstColumn="0" w:firstRowLastColumn="0" w:lastRowFirstColumn="0" w:lastRowLastColumn="0"/>
            <w:tcW w:w="5102" w:type="dxa"/>
            <w:tcBorders>
              <w:top w:val="single" w:sz="6" w:space="0" w:color="BFBFBF" w:themeColor="background1" w:themeShade="BF"/>
              <w:bottom w:val="nil"/>
            </w:tcBorders>
            <w:shd w:val="clear" w:color="auto" w:fill="D9D9D9" w:themeFill="background1" w:themeFillShade="D9"/>
          </w:tcPr>
          <w:p w14:paraId="4F3B42DB" w14:textId="77777777" w:rsidR="00861C1C" w:rsidRPr="003B1D7B" w:rsidRDefault="003B6DC2">
            <w:pPr>
              <w:spacing w:after="120"/>
              <w:rPr>
                <w:rFonts w:asciiTheme="minorHAnsi" w:hAnsiTheme="minorHAnsi"/>
                <w:noProof/>
                <w:color w:val="003399" w:themeColor="text2"/>
                <w:sz w:val="22"/>
                <w:szCs w:val="22"/>
              </w:rPr>
            </w:pPr>
            <w:r w:rsidRPr="003B1D7B">
              <w:rPr>
                <w:rFonts w:asciiTheme="minorHAnsi" w:eastAsia="Calibri" w:hAnsiTheme="minorHAnsi"/>
                <w:noProof/>
                <w:color w:val="003399" w:themeColor="text2"/>
                <w:sz w:val="22"/>
                <w:szCs w:val="22"/>
              </w:rPr>
              <w:t>Total</w:t>
            </w:r>
          </w:p>
        </w:tc>
        <w:tc>
          <w:tcPr>
            <w:tcW w:w="1549" w:type="dxa"/>
            <w:tcBorders>
              <w:top w:val="nil"/>
              <w:left w:val="nil"/>
              <w:bottom w:val="nil"/>
              <w:right w:val="single" w:sz="8" w:space="0" w:color="BFBFBF" w:themeColor="background1" w:themeShade="BF"/>
            </w:tcBorders>
            <w:shd w:val="clear" w:color="auto" w:fill="D9D9D9" w:themeFill="background1" w:themeFillShade="D9"/>
            <w:vAlign w:val="center"/>
          </w:tcPr>
          <w:p w14:paraId="2F80BE46" w14:textId="2376DA8B" w:rsidR="00861C1C" w:rsidRPr="003B1D7B" w:rsidRDefault="009A12B3"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Pr>
                <w:rFonts w:asciiTheme="minorHAnsi" w:hAnsiTheme="minorHAnsi"/>
                <w:b/>
                <w:noProof/>
                <w:color w:val="000000" w:themeColor="text1"/>
                <w:sz w:val="22"/>
                <w:szCs w:val="22"/>
              </w:rPr>
              <w:t>6</w:t>
            </w:r>
            <w:r w:rsidR="00FC22F0" w:rsidRPr="003B1D7B">
              <w:rPr>
                <w:rFonts w:asciiTheme="minorHAnsi" w:hAnsiTheme="minorHAnsi"/>
                <w:b/>
                <w:noProof/>
                <w:color w:val="000000" w:themeColor="text1"/>
                <w:sz w:val="22"/>
                <w:szCs w:val="22"/>
              </w:rPr>
              <w:t>.0</w:t>
            </w:r>
          </w:p>
        </w:tc>
        <w:tc>
          <w:tcPr>
            <w:tcW w:w="1549" w:type="dxa"/>
            <w:tcBorders>
              <w:top w:val="nil"/>
              <w:left w:val="nil"/>
              <w:bottom w:val="nil"/>
              <w:right w:val="single" w:sz="8" w:space="0" w:color="BFBFBF" w:themeColor="background1" w:themeShade="BF"/>
            </w:tcBorders>
            <w:shd w:val="clear" w:color="auto" w:fill="D9D9D9" w:themeFill="background1" w:themeFillShade="D9"/>
            <w:vAlign w:val="center"/>
          </w:tcPr>
          <w:p w14:paraId="791060CA" w14:textId="2E0609A4" w:rsidR="00861C1C" w:rsidRPr="003B1D7B" w:rsidRDefault="00D628BC"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Pr>
                <w:rFonts w:asciiTheme="minorHAnsi" w:hAnsiTheme="minorHAnsi"/>
                <w:b/>
                <w:noProof/>
                <w:color w:val="000000" w:themeColor="text1"/>
                <w:sz w:val="22"/>
                <w:szCs w:val="22"/>
              </w:rPr>
              <w:t>4</w:t>
            </w:r>
            <w:r w:rsidR="00567F97" w:rsidRPr="003B1D7B">
              <w:rPr>
                <w:rFonts w:asciiTheme="minorHAnsi" w:hAnsiTheme="minorHAnsi"/>
                <w:b/>
                <w:noProof/>
                <w:color w:val="000000" w:themeColor="text1"/>
                <w:sz w:val="22"/>
                <w:szCs w:val="22"/>
              </w:rPr>
              <w:t>.</w:t>
            </w:r>
            <w:r>
              <w:rPr>
                <w:rFonts w:asciiTheme="minorHAnsi" w:hAnsiTheme="minorHAnsi"/>
                <w:b/>
                <w:noProof/>
                <w:color w:val="000000" w:themeColor="text1"/>
                <w:sz w:val="22"/>
                <w:szCs w:val="22"/>
              </w:rPr>
              <w:t>9</w:t>
            </w:r>
          </w:p>
        </w:tc>
        <w:tc>
          <w:tcPr>
            <w:tcW w:w="1549" w:type="dxa"/>
            <w:tcBorders>
              <w:top w:val="nil"/>
              <w:left w:val="nil"/>
              <w:bottom w:val="nil"/>
              <w:right w:val="nil"/>
            </w:tcBorders>
            <w:shd w:val="clear" w:color="auto" w:fill="D9D9D9" w:themeFill="background1" w:themeFillShade="D9"/>
            <w:vAlign w:val="center"/>
          </w:tcPr>
          <w:p w14:paraId="045E0BAA" w14:textId="613278C6" w:rsidR="00861C1C" w:rsidRPr="003B1D7B" w:rsidRDefault="00FC22F0" w:rsidP="003B1D7B">
            <w:pPr>
              <w:spacing w:after="120" w:line="22" w:lineRule="atLeast"/>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noProof/>
                <w:color w:val="000000" w:themeColor="text1"/>
                <w:sz w:val="22"/>
                <w:szCs w:val="22"/>
              </w:rPr>
            </w:pPr>
            <w:r w:rsidRPr="003B1D7B">
              <w:rPr>
                <w:rFonts w:asciiTheme="minorHAnsi" w:hAnsiTheme="minorHAnsi"/>
                <w:b/>
                <w:noProof/>
                <w:color w:val="000000" w:themeColor="text1"/>
                <w:sz w:val="22"/>
                <w:szCs w:val="22"/>
              </w:rPr>
              <w:t>1</w:t>
            </w:r>
            <w:r w:rsidR="00D628BC">
              <w:rPr>
                <w:rFonts w:asciiTheme="minorHAnsi" w:hAnsiTheme="minorHAnsi"/>
                <w:b/>
                <w:noProof/>
                <w:color w:val="000000" w:themeColor="text1"/>
                <w:sz w:val="22"/>
                <w:szCs w:val="22"/>
              </w:rPr>
              <w:t>0</w:t>
            </w:r>
            <w:r w:rsidRPr="003B1D7B">
              <w:rPr>
                <w:rFonts w:asciiTheme="minorHAnsi" w:hAnsiTheme="minorHAnsi"/>
                <w:b/>
                <w:noProof/>
                <w:color w:val="000000" w:themeColor="text1"/>
                <w:sz w:val="22"/>
                <w:szCs w:val="22"/>
              </w:rPr>
              <w:t>.</w:t>
            </w:r>
            <w:r w:rsidR="00D628BC">
              <w:rPr>
                <w:rFonts w:asciiTheme="minorHAnsi" w:hAnsiTheme="minorHAnsi"/>
                <w:b/>
                <w:noProof/>
                <w:color w:val="000000" w:themeColor="text1"/>
                <w:sz w:val="22"/>
                <w:szCs w:val="22"/>
              </w:rPr>
              <w:t>9</w:t>
            </w:r>
          </w:p>
        </w:tc>
      </w:tr>
    </w:tbl>
    <w:p w14:paraId="6D8BA01E" w14:textId="0BC49801" w:rsidR="00E438BB" w:rsidRPr="00847548" w:rsidRDefault="00A50B3F">
      <w:pPr>
        <w:rPr>
          <w:rFonts w:asciiTheme="majorHAnsi" w:hAnsiTheme="majorHAnsi"/>
          <w:i/>
          <w:noProof/>
        </w:rPr>
      </w:pPr>
      <w:r>
        <w:rPr>
          <w:rFonts w:asciiTheme="majorHAnsi" w:hAnsiTheme="majorHAnsi"/>
          <w:i/>
          <w:iCs/>
          <w:noProof/>
        </w:rPr>
        <w:t xml:space="preserve">The forecast for decommitments does not distinguish between fund sources for </w:t>
      </w:r>
      <w:r w:rsidR="006933F8">
        <w:rPr>
          <w:rFonts w:asciiTheme="majorHAnsi" w:hAnsiTheme="majorHAnsi"/>
          <w:i/>
          <w:iCs/>
          <w:noProof/>
        </w:rPr>
        <w:t>decommitments.</w:t>
      </w:r>
    </w:p>
    <w:p w14:paraId="794886A6" w14:textId="77777777" w:rsidR="00A50B3F" w:rsidRDefault="00A50B3F">
      <w:pPr>
        <w:rPr>
          <w:rFonts w:asciiTheme="majorHAnsi" w:hAnsiTheme="majorHAnsi"/>
          <w:noProof/>
        </w:rPr>
      </w:pPr>
    </w:p>
    <w:p w14:paraId="51EBA2CC" w14:textId="77777777" w:rsidR="00213380" w:rsidRPr="00F423B9" w:rsidRDefault="00213380">
      <w:pPr>
        <w:rPr>
          <w:rFonts w:asciiTheme="majorHAnsi" w:hAnsiTheme="majorHAnsi"/>
          <w:noProof/>
        </w:rPr>
        <w:sectPr w:rsidR="00213380" w:rsidRPr="00F423B9">
          <w:pgSz w:w="11906" w:h="16838"/>
          <w:pgMar w:top="1321" w:right="1151" w:bottom="1440" w:left="1151" w:header="720" w:footer="720" w:gutter="0"/>
          <w:cols w:space="720"/>
          <w:docGrid w:linePitch="326"/>
        </w:sectPr>
      </w:pPr>
    </w:p>
    <w:p w14:paraId="210BBE1E" w14:textId="54CEC115" w:rsidR="008B2384" w:rsidRPr="007E0D6B" w:rsidRDefault="2A67BF04" w:rsidP="007E0D6B">
      <w:pPr>
        <w:pStyle w:val="Heading2"/>
        <w:rPr>
          <w:rFonts w:asciiTheme="majorHAnsi" w:hAnsiTheme="majorHAnsi"/>
          <w:noProof/>
        </w:rPr>
      </w:pPr>
      <w:bookmarkStart w:id="85" w:name="_Toc233958951"/>
      <w:r w:rsidRPr="00F423B9">
        <w:rPr>
          <w:rFonts w:asciiTheme="majorHAnsi" w:hAnsiTheme="majorHAnsi"/>
          <w:noProof/>
        </w:rPr>
        <w:t xml:space="preserve">Table </w:t>
      </w:r>
      <w:r w:rsidR="00213380">
        <w:rPr>
          <w:rFonts w:asciiTheme="majorHAnsi" w:hAnsiTheme="majorHAnsi"/>
          <w:noProof/>
        </w:rPr>
        <w:t>3</w:t>
      </w:r>
      <w:r w:rsidRPr="00F423B9">
        <w:rPr>
          <w:rFonts w:asciiTheme="majorHAnsi" w:hAnsiTheme="majorHAnsi"/>
          <w:noProof/>
        </w:rPr>
        <w:t xml:space="preserve"> – </w:t>
      </w:r>
      <w:r w:rsidR="008B2384">
        <w:rPr>
          <w:rFonts w:asciiTheme="majorHAnsi" w:hAnsiTheme="majorHAnsi"/>
          <w:noProof/>
        </w:rPr>
        <w:t>Outstanding commitments 2027-2034</w:t>
      </w:r>
      <w:bookmarkEnd w:id="85"/>
    </w:p>
    <w:tbl>
      <w:tblPr>
        <w:tblStyle w:val="AMPR2021"/>
        <w:tblpPr w:leftFromText="180" w:rightFromText="180" w:vertAnchor="text" w:horzAnchor="margin" w:tblpY="108"/>
        <w:tblW w:w="5000" w:type="pct"/>
        <w:tblBorders>
          <w:top w:val="none" w:sz="0" w:space="0" w:color="auto"/>
          <w:bottom w:val="none" w:sz="0" w:space="0" w:color="auto"/>
          <w:insideH w:val="single" w:sz="6" w:space="0" w:color="BFBFBF" w:themeColor="background1" w:themeShade="BF"/>
          <w:insideV w:val="single" w:sz="6" w:space="0" w:color="BFBFBF" w:themeColor="background1" w:themeShade="BF"/>
        </w:tblBorders>
        <w:tblLook w:val="06A0" w:firstRow="1" w:lastRow="0" w:firstColumn="1" w:lastColumn="0" w:noHBand="1" w:noVBand="1"/>
      </w:tblPr>
      <w:tblGrid>
        <w:gridCol w:w="1340"/>
        <w:gridCol w:w="2121"/>
        <w:gridCol w:w="2121"/>
        <w:gridCol w:w="2121"/>
        <w:gridCol w:w="2117"/>
      </w:tblGrid>
      <w:tr w:rsidR="008B2384" w:rsidRPr="00F423B9" w14:paraId="6783BF3D" w14:textId="77777777" w:rsidTr="003B1D7B">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682" w:type="pct"/>
            <w:vAlign w:val="center"/>
          </w:tcPr>
          <w:p w14:paraId="16EA6545" w14:textId="77777777" w:rsidR="008B2384" w:rsidRPr="00F423B9" w:rsidRDefault="008B2384" w:rsidP="00B877FC">
            <w:pPr>
              <w:rPr>
                <w:rFonts w:asciiTheme="majorHAnsi" w:eastAsia="Calibri" w:hAnsiTheme="majorHAnsi"/>
                <w:noProof/>
                <w:sz w:val="22"/>
                <w:szCs w:val="18"/>
              </w:rPr>
            </w:pPr>
            <w:r w:rsidRPr="00F423B9">
              <w:rPr>
                <w:rFonts w:asciiTheme="majorHAnsi" w:eastAsia="Calibri" w:hAnsiTheme="majorHAnsi"/>
                <w:noProof/>
                <w:sz w:val="22"/>
                <w:szCs w:val="18"/>
              </w:rPr>
              <w:t>Source</w:t>
            </w:r>
          </w:p>
        </w:tc>
        <w:tc>
          <w:tcPr>
            <w:tcW w:w="1080" w:type="pct"/>
            <w:vAlign w:val="center"/>
          </w:tcPr>
          <w:p w14:paraId="393BCFEC" w14:textId="1AD22E3B" w:rsidR="008B2384" w:rsidRPr="00F423B9" w:rsidRDefault="008B2384" w:rsidP="00B877FC">
            <w:pP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 w:val="0"/>
                <w:noProof/>
                <w:sz w:val="22"/>
                <w:szCs w:val="22"/>
              </w:rPr>
            </w:pPr>
            <w:r w:rsidRPr="00F423B9">
              <w:rPr>
                <w:rFonts w:asciiTheme="majorHAnsi" w:eastAsia="Calibri" w:hAnsiTheme="majorHAnsi"/>
                <w:noProof/>
                <w:sz w:val="22"/>
                <w:szCs w:val="22"/>
              </w:rPr>
              <w:t>RAL start-202</w:t>
            </w:r>
            <w:r w:rsidR="00A60630">
              <w:rPr>
                <w:rFonts w:asciiTheme="majorHAnsi" w:eastAsia="Calibri" w:hAnsiTheme="majorHAnsi"/>
                <w:noProof/>
                <w:sz w:val="22"/>
                <w:szCs w:val="22"/>
              </w:rPr>
              <w:t>8</w:t>
            </w:r>
            <w:r w:rsidR="00F7492D">
              <w:rPr>
                <w:rFonts w:asciiTheme="majorHAnsi" w:eastAsia="Calibri" w:hAnsiTheme="majorHAnsi"/>
                <w:noProof/>
                <w:sz w:val="22"/>
                <w:szCs w:val="22"/>
              </w:rPr>
              <w:t>*</w:t>
            </w:r>
          </w:p>
        </w:tc>
        <w:tc>
          <w:tcPr>
            <w:tcW w:w="1080" w:type="pct"/>
            <w:vAlign w:val="center"/>
          </w:tcPr>
          <w:p w14:paraId="46A471FE" w14:textId="3566235C" w:rsidR="008B2384" w:rsidRPr="00F423B9" w:rsidRDefault="008B2384" w:rsidP="00B877FC">
            <w:pP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noProof/>
                <w:sz w:val="22"/>
                <w:szCs w:val="22"/>
              </w:rPr>
            </w:pPr>
            <w:r w:rsidRPr="00F423B9">
              <w:rPr>
                <w:rFonts w:asciiTheme="majorHAnsi" w:eastAsia="Calibri" w:hAnsiTheme="majorHAnsi"/>
                <w:noProof/>
                <w:sz w:val="22"/>
                <w:szCs w:val="22"/>
              </w:rPr>
              <w:t>Commitments 202</w:t>
            </w:r>
            <w:r w:rsidR="00A60630">
              <w:rPr>
                <w:rFonts w:asciiTheme="majorHAnsi" w:eastAsia="Calibri" w:hAnsiTheme="majorHAnsi"/>
                <w:noProof/>
                <w:sz w:val="22"/>
                <w:szCs w:val="22"/>
              </w:rPr>
              <w:t>8-2034</w:t>
            </w:r>
          </w:p>
        </w:tc>
        <w:tc>
          <w:tcPr>
            <w:tcW w:w="1080" w:type="pct"/>
            <w:vAlign w:val="center"/>
          </w:tcPr>
          <w:p w14:paraId="2DB5EE46" w14:textId="7E662946" w:rsidR="008B2384" w:rsidRPr="00F423B9" w:rsidRDefault="008B2384" w:rsidP="00B877FC">
            <w:pP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 w:val="0"/>
                <w:bCs/>
                <w:noProof/>
                <w:sz w:val="22"/>
                <w:szCs w:val="18"/>
              </w:rPr>
            </w:pPr>
            <w:r w:rsidRPr="00213380">
              <w:rPr>
                <w:rFonts w:asciiTheme="majorHAnsi" w:eastAsia="Calibri" w:hAnsiTheme="majorHAnsi"/>
                <w:noProof/>
                <w:sz w:val="22"/>
                <w:szCs w:val="22"/>
              </w:rPr>
              <w:t>Payments 202</w:t>
            </w:r>
            <w:r w:rsidR="00A60630">
              <w:rPr>
                <w:rFonts w:asciiTheme="majorHAnsi" w:eastAsia="Calibri" w:hAnsiTheme="majorHAnsi"/>
                <w:noProof/>
                <w:sz w:val="22"/>
                <w:szCs w:val="22"/>
              </w:rPr>
              <w:t>8-2034</w:t>
            </w:r>
          </w:p>
        </w:tc>
        <w:tc>
          <w:tcPr>
            <w:tcW w:w="1078" w:type="pct"/>
            <w:vAlign w:val="center"/>
          </w:tcPr>
          <w:p w14:paraId="1312FE2E" w14:textId="0DC46A67" w:rsidR="00A60630" w:rsidRDefault="008B2384" w:rsidP="00B877FC">
            <w:pP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b w:val="0"/>
                <w:noProof/>
                <w:sz w:val="22"/>
                <w:szCs w:val="22"/>
              </w:rPr>
            </w:pPr>
            <w:r w:rsidRPr="00F423B9">
              <w:rPr>
                <w:rFonts w:asciiTheme="majorHAnsi" w:eastAsia="Calibri" w:hAnsiTheme="majorHAnsi"/>
                <w:noProof/>
                <w:sz w:val="22"/>
                <w:szCs w:val="22"/>
              </w:rPr>
              <w:t>RAL</w:t>
            </w:r>
          </w:p>
          <w:p w14:paraId="2C522C8C" w14:textId="64E07C72" w:rsidR="008B2384" w:rsidRPr="00F423B9" w:rsidRDefault="008B2384" w:rsidP="00B877FC">
            <w:pPr>
              <w:cnfStyle w:val="100000000000" w:firstRow="1" w:lastRow="0" w:firstColumn="0" w:lastColumn="0" w:oddVBand="0" w:evenVBand="0" w:oddHBand="0" w:evenHBand="0" w:firstRowFirstColumn="0" w:firstRowLastColumn="0" w:lastRowFirstColumn="0" w:lastRowLastColumn="0"/>
              <w:rPr>
                <w:rFonts w:asciiTheme="majorHAnsi" w:eastAsia="Calibri" w:hAnsiTheme="majorHAnsi"/>
                <w:noProof/>
                <w:sz w:val="22"/>
                <w:szCs w:val="22"/>
              </w:rPr>
            </w:pPr>
            <w:r w:rsidRPr="00F423B9">
              <w:rPr>
                <w:rFonts w:asciiTheme="majorHAnsi" w:eastAsia="Calibri" w:hAnsiTheme="majorHAnsi"/>
                <w:noProof/>
                <w:sz w:val="22"/>
                <w:szCs w:val="22"/>
              </w:rPr>
              <w:t>end-20</w:t>
            </w:r>
            <w:r w:rsidR="00A60630">
              <w:rPr>
                <w:rFonts w:asciiTheme="majorHAnsi" w:eastAsia="Calibri" w:hAnsiTheme="majorHAnsi"/>
                <w:noProof/>
                <w:sz w:val="22"/>
                <w:szCs w:val="22"/>
              </w:rPr>
              <w:t>34</w:t>
            </w:r>
          </w:p>
        </w:tc>
      </w:tr>
      <w:tr w:rsidR="00DE1047" w:rsidRPr="00F423B9" w14:paraId="7DFCF234" w14:textId="77777777" w:rsidTr="00DE1047">
        <w:trPr>
          <w:trHeight w:val="341"/>
        </w:trPr>
        <w:tc>
          <w:tcPr>
            <w:cnfStyle w:val="001000000000" w:firstRow="0" w:lastRow="0" w:firstColumn="1" w:lastColumn="0" w:oddVBand="0" w:evenVBand="0" w:oddHBand="0" w:evenHBand="0" w:firstRowFirstColumn="0" w:firstRowLastColumn="0" w:lastRowFirstColumn="0" w:lastRowLastColumn="0"/>
            <w:tcW w:w="682" w:type="pct"/>
            <w:vAlign w:val="center"/>
          </w:tcPr>
          <w:p w14:paraId="34F93038" w14:textId="26C20418" w:rsidR="00DE1047" w:rsidRPr="003B1D7B" w:rsidRDefault="00DE1047" w:rsidP="003B1D7B">
            <w:pPr>
              <w:jc w:val="center"/>
              <w:rPr>
                <w:rFonts w:asciiTheme="majorHAnsi" w:eastAsia="Calibri" w:hAnsiTheme="majorHAnsi"/>
                <w:noProof/>
                <w:color w:val="003399" w:themeColor="text2"/>
                <w:sz w:val="22"/>
                <w:szCs w:val="18"/>
              </w:rPr>
            </w:pPr>
            <w:r w:rsidRPr="003B1D7B">
              <w:rPr>
                <w:noProof/>
                <w:color w:val="003399" w:themeColor="text2"/>
              </w:rPr>
              <w:t>MFF</w:t>
            </w:r>
          </w:p>
        </w:tc>
        <w:tc>
          <w:tcPr>
            <w:tcW w:w="1080" w:type="pct"/>
            <w:vAlign w:val="center"/>
          </w:tcPr>
          <w:p w14:paraId="56BBA7BD" w14:textId="2C876A80" w:rsidR="00DE1047" w:rsidRPr="00FE2B00" w:rsidRDefault="00DE1047" w:rsidP="003B1D7B">
            <w:pPr>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b/>
                <w:bCs/>
                <w:noProof/>
                <w:color w:val="003399" w:themeColor="text2"/>
                <w:sz w:val="22"/>
                <w:szCs w:val="22"/>
              </w:rPr>
            </w:pPr>
            <w:r w:rsidRPr="00FE2B00">
              <w:rPr>
                <w:b/>
                <w:bCs/>
                <w:noProof/>
                <w:color w:val="003399" w:themeColor="text2"/>
              </w:rPr>
              <w:t>320.9</w:t>
            </w:r>
          </w:p>
        </w:tc>
        <w:tc>
          <w:tcPr>
            <w:tcW w:w="1080" w:type="pct"/>
            <w:vAlign w:val="center"/>
          </w:tcPr>
          <w:p w14:paraId="781EDDDD" w14:textId="620D894A" w:rsidR="00DE1047" w:rsidRPr="00FE2B00" w:rsidRDefault="00DE1047" w:rsidP="003B1D7B">
            <w:pPr>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b/>
                <w:bCs/>
                <w:noProof/>
                <w:color w:val="003399" w:themeColor="text2"/>
                <w:sz w:val="22"/>
                <w:szCs w:val="22"/>
              </w:rPr>
            </w:pPr>
            <w:r w:rsidRPr="00FE2B00">
              <w:rPr>
                <w:b/>
                <w:bCs/>
                <w:noProof/>
                <w:color w:val="003399" w:themeColor="text2"/>
              </w:rPr>
              <w:t>1984.9</w:t>
            </w:r>
          </w:p>
        </w:tc>
        <w:tc>
          <w:tcPr>
            <w:tcW w:w="1080" w:type="pct"/>
            <w:vAlign w:val="center"/>
          </w:tcPr>
          <w:p w14:paraId="5332702E" w14:textId="3C58BF17" w:rsidR="00DE1047" w:rsidRPr="00FE2B00" w:rsidRDefault="00DE1047" w:rsidP="003B1D7B">
            <w:pPr>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b/>
                <w:bCs/>
                <w:noProof/>
                <w:color w:val="003399" w:themeColor="text2"/>
                <w:sz w:val="22"/>
                <w:szCs w:val="22"/>
              </w:rPr>
            </w:pPr>
            <w:r w:rsidRPr="00FE2B00">
              <w:rPr>
                <w:b/>
                <w:bCs/>
                <w:noProof/>
                <w:color w:val="003399" w:themeColor="text2"/>
              </w:rPr>
              <w:t>1961.9</w:t>
            </w:r>
          </w:p>
        </w:tc>
        <w:tc>
          <w:tcPr>
            <w:tcW w:w="1078" w:type="pct"/>
            <w:vAlign w:val="center"/>
          </w:tcPr>
          <w:p w14:paraId="51066928" w14:textId="33A79BB7" w:rsidR="00DE1047" w:rsidRPr="00FE2B00" w:rsidRDefault="00DE1047" w:rsidP="003B1D7B">
            <w:pPr>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b/>
                <w:bCs/>
                <w:noProof/>
                <w:color w:val="003399" w:themeColor="text2"/>
                <w:sz w:val="22"/>
                <w:szCs w:val="22"/>
              </w:rPr>
            </w:pPr>
            <w:r w:rsidRPr="00FE2B00">
              <w:rPr>
                <w:b/>
                <w:bCs/>
                <w:noProof/>
                <w:color w:val="003399" w:themeColor="text2"/>
              </w:rPr>
              <w:t>343.9</w:t>
            </w:r>
          </w:p>
        </w:tc>
      </w:tr>
    </w:tbl>
    <w:p w14:paraId="1BEC179E" w14:textId="0C366A0F" w:rsidR="00682537" w:rsidRPr="00F423B9" w:rsidRDefault="00682537" w:rsidP="00682537">
      <w:pPr>
        <w:rPr>
          <w:rFonts w:asciiTheme="majorHAnsi" w:hAnsiTheme="majorHAnsi"/>
          <w:i/>
          <w:noProof/>
          <w:sz w:val="16"/>
          <w:szCs w:val="16"/>
        </w:rPr>
      </w:pPr>
      <w:r w:rsidRPr="00F423B9">
        <w:rPr>
          <w:rFonts w:asciiTheme="majorHAnsi" w:hAnsiTheme="majorHAnsi"/>
          <w:i/>
          <w:noProof/>
          <w:sz w:val="16"/>
          <w:szCs w:val="16"/>
        </w:rPr>
        <w:t xml:space="preserve">* </w:t>
      </w:r>
      <w:r w:rsidR="00A15A3E" w:rsidRPr="00A15A3E">
        <w:rPr>
          <w:rFonts w:asciiTheme="majorHAnsi" w:hAnsiTheme="majorHAnsi"/>
          <w:i/>
          <w:noProof/>
          <w:sz w:val="16"/>
          <w:szCs w:val="16"/>
        </w:rPr>
        <w:t xml:space="preserve">The RAL </w:t>
      </w:r>
      <w:r w:rsidR="00AB3D5D">
        <w:rPr>
          <w:rFonts w:asciiTheme="majorHAnsi" w:hAnsiTheme="majorHAnsi"/>
          <w:i/>
          <w:noProof/>
          <w:sz w:val="16"/>
          <w:szCs w:val="16"/>
        </w:rPr>
        <w:t>at the start of 2028</w:t>
      </w:r>
      <w:r w:rsidR="008B2384">
        <w:rPr>
          <w:rFonts w:asciiTheme="majorHAnsi" w:hAnsiTheme="majorHAnsi"/>
          <w:i/>
          <w:noProof/>
          <w:sz w:val="16"/>
          <w:szCs w:val="16"/>
        </w:rPr>
        <w:t xml:space="preserve"> </w:t>
      </w:r>
      <w:r w:rsidR="00A15A3E" w:rsidRPr="00A15A3E">
        <w:rPr>
          <w:rFonts w:asciiTheme="majorHAnsi" w:hAnsiTheme="majorHAnsi"/>
          <w:i/>
          <w:noProof/>
          <w:sz w:val="16"/>
          <w:szCs w:val="16"/>
        </w:rPr>
        <w:t xml:space="preserve">excludes amounts generated from other </w:t>
      </w:r>
      <w:r w:rsidR="00A15A3E">
        <w:rPr>
          <w:rFonts w:asciiTheme="majorHAnsi" w:hAnsiTheme="majorHAnsi"/>
          <w:i/>
          <w:noProof/>
          <w:sz w:val="16"/>
          <w:szCs w:val="16"/>
        </w:rPr>
        <w:t>fund sources</w:t>
      </w:r>
      <w:r w:rsidR="008B2384">
        <w:rPr>
          <w:rFonts w:asciiTheme="majorHAnsi" w:hAnsiTheme="majorHAnsi"/>
          <w:i/>
          <w:noProof/>
          <w:sz w:val="16"/>
          <w:szCs w:val="16"/>
        </w:rPr>
        <w:t xml:space="preserve"> or revenues</w:t>
      </w:r>
      <w:r w:rsidR="0021781F">
        <w:rPr>
          <w:rFonts w:asciiTheme="majorHAnsi" w:hAnsiTheme="majorHAnsi"/>
          <w:i/>
          <w:noProof/>
          <w:sz w:val="16"/>
          <w:szCs w:val="16"/>
        </w:rPr>
        <w:t xml:space="preserve"> and estimated decommitments</w:t>
      </w:r>
      <w:r w:rsidR="00A15A3E" w:rsidRPr="00A15A3E">
        <w:rPr>
          <w:rFonts w:asciiTheme="majorHAnsi" w:hAnsiTheme="majorHAnsi"/>
          <w:i/>
          <w:noProof/>
          <w:sz w:val="16"/>
          <w:szCs w:val="16"/>
        </w:rPr>
        <w:t>.</w:t>
      </w:r>
    </w:p>
    <w:p w14:paraId="4C0F8082" w14:textId="77777777" w:rsidR="00682537" w:rsidRPr="00F423B9" w:rsidRDefault="00682537" w:rsidP="00682537">
      <w:pPr>
        <w:rPr>
          <w:rFonts w:asciiTheme="majorHAnsi" w:hAnsiTheme="majorHAnsi"/>
          <w:noProof/>
        </w:rPr>
      </w:pPr>
      <w:bookmarkStart w:id="86" w:name="_Toc74236911"/>
      <w:bookmarkStart w:id="87" w:name="_Hlk134032462"/>
      <w:r w:rsidRPr="00F423B9">
        <w:rPr>
          <w:rFonts w:asciiTheme="majorHAnsi" w:hAnsiTheme="majorHAnsi"/>
          <w:noProof/>
        </w:rPr>
        <w:br w:type="page"/>
      </w:r>
    </w:p>
    <w:bookmarkEnd w:id="86"/>
    <w:bookmarkEnd w:id="87"/>
    <w:p w14:paraId="12AEAD13" w14:textId="77777777" w:rsidR="00D55589" w:rsidRDefault="00D55589" w:rsidP="0050317D">
      <w:pPr>
        <w:spacing w:before="0"/>
        <w:rPr>
          <w:rFonts w:asciiTheme="majorHAnsi" w:hAnsiTheme="majorHAnsi"/>
          <w:i/>
          <w:noProof/>
          <w:sz w:val="16"/>
          <w:szCs w:val="16"/>
        </w:rPr>
        <w:sectPr w:rsidR="00D55589">
          <w:headerReference w:type="even" r:id="rId36"/>
          <w:headerReference w:type="default" r:id="rId37"/>
          <w:footerReference w:type="even" r:id="rId38"/>
          <w:footerReference w:type="default" r:id="rId39"/>
          <w:headerReference w:type="first" r:id="rId40"/>
          <w:footerReference w:type="first" r:id="rId41"/>
          <w:pgSz w:w="11906" w:h="16838"/>
          <w:pgMar w:top="1321" w:right="1151" w:bottom="1440" w:left="1151" w:header="720" w:footer="720" w:gutter="0"/>
          <w:cols w:space="720"/>
          <w:docGrid w:linePitch="326"/>
        </w:sectPr>
      </w:pPr>
    </w:p>
    <w:p w14:paraId="1DBE7582" w14:textId="54AAC96C" w:rsidR="005A1B83" w:rsidRPr="00F423B9" w:rsidRDefault="005A1B83" w:rsidP="009A435C">
      <w:pPr>
        <w:pStyle w:val="Heading2"/>
        <w:spacing w:after="0"/>
        <w:rPr>
          <w:rFonts w:asciiTheme="majorHAnsi" w:hAnsiTheme="majorHAnsi"/>
          <w:noProof/>
        </w:rPr>
      </w:pPr>
      <w:bookmarkStart w:id="88" w:name="_Toc233958952"/>
      <w:r w:rsidRPr="00F423B9">
        <w:rPr>
          <w:rFonts w:asciiTheme="majorHAnsi" w:hAnsiTheme="majorHAnsi"/>
          <w:noProof/>
        </w:rPr>
        <w:t xml:space="preserve">Table </w:t>
      </w:r>
      <w:r w:rsidR="00322AD4">
        <w:rPr>
          <w:rFonts w:asciiTheme="majorHAnsi" w:hAnsiTheme="majorHAnsi"/>
          <w:noProof/>
        </w:rPr>
        <w:t>4</w:t>
      </w:r>
      <w:r w:rsidRPr="00F423B9">
        <w:rPr>
          <w:rFonts w:asciiTheme="majorHAnsi" w:hAnsiTheme="majorHAnsi"/>
          <w:noProof/>
        </w:rPr>
        <w:t xml:space="preserve"> – Long-term forecast of future inflows of the EU budget o</w:t>
      </w:r>
      <w:r w:rsidR="009F04DB">
        <w:rPr>
          <w:rFonts w:asciiTheme="majorHAnsi" w:hAnsiTheme="majorHAnsi"/>
          <w:noProof/>
        </w:rPr>
        <w:t>f</w:t>
      </w:r>
      <w:r w:rsidRPr="00F423B9">
        <w:rPr>
          <w:rFonts w:asciiTheme="majorHAnsi" w:hAnsiTheme="majorHAnsi"/>
          <w:noProof/>
        </w:rPr>
        <w:t xml:space="preserve"> </w:t>
      </w:r>
      <w:r w:rsidR="00736CA7">
        <w:rPr>
          <w:rFonts w:asciiTheme="majorHAnsi" w:hAnsiTheme="majorHAnsi"/>
          <w:noProof/>
        </w:rPr>
        <w:t xml:space="preserve">2027 and </w:t>
      </w:r>
      <w:r w:rsidRPr="00F423B9">
        <w:rPr>
          <w:rFonts w:asciiTheme="majorHAnsi" w:hAnsiTheme="majorHAnsi"/>
          <w:noProof/>
        </w:rPr>
        <w:t>202</w:t>
      </w:r>
      <w:r w:rsidR="00966152">
        <w:rPr>
          <w:rFonts w:asciiTheme="majorHAnsi" w:hAnsiTheme="majorHAnsi"/>
          <w:noProof/>
        </w:rPr>
        <w:t>8</w:t>
      </w:r>
      <w:r w:rsidRPr="00F423B9">
        <w:rPr>
          <w:rFonts w:asciiTheme="majorHAnsi" w:hAnsiTheme="majorHAnsi"/>
          <w:noProof/>
        </w:rPr>
        <w:t>-203</w:t>
      </w:r>
      <w:r w:rsidR="00966152">
        <w:rPr>
          <w:rFonts w:asciiTheme="majorHAnsi" w:hAnsiTheme="majorHAnsi"/>
          <w:noProof/>
        </w:rPr>
        <w:t>4</w:t>
      </w:r>
      <w:r w:rsidR="00AB5413">
        <w:rPr>
          <w:rFonts w:asciiTheme="majorHAnsi" w:hAnsiTheme="majorHAnsi"/>
          <w:noProof/>
        </w:rPr>
        <w:t xml:space="preserve"> MFF</w:t>
      </w:r>
      <w:bookmarkEnd w:id="88"/>
    </w:p>
    <w:tbl>
      <w:tblPr>
        <w:tblW w:w="4997" w:type="pct"/>
        <w:tblLayout w:type="fixed"/>
        <w:tblLook w:val="04A0" w:firstRow="1" w:lastRow="0" w:firstColumn="1" w:lastColumn="0" w:noHBand="0" w:noVBand="1"/>
      </w:tblPr>
      <w:tblGrid>
        <w:gridCol w:w="3225"/>
        <w:gridCol w:w="628"/>
        <w:gridCol w:w="1160"/>
        <w:gridCol w:w="1160"/>
        <w:gridCol w:w="1160"/>
        <w:gridCol w:w="1160"/>
        <w:gridCol w:w="1160"/>
        <w:gridCol w:w="1160"/>
        <w:gridCol w:w="1160"/>
        <w:gridCol w:w="1160"/>
        <w:gridCol w:w="1151"/>
      </w:tblGrid>
      <w:tr w:rsidR="00D74601" w:rsidRPr="00AB5413" w14:paraId="7E51666A" w14:textId="77777777" w:rsidTr="00F5067A">
        <w:trPr>
          <w:trHeight w:val="300"/>
          <w:tblHeader/>
        </w:trPr>
        <w:tc>
          <w:tcPr>
            <w:tcW w:w="1129" w:type="pct"/>
            <w:tcBorders>
              <w:bottom w:val="single" w:sz="6" w:space="0" w:color="BFBFBF" w:themeColor="background1" w:themeShade="BF"/>
              <w:right w:val="single" w:sz="6" w:space="0" w:color="BFBFBF" w:themeColor="background1" w:themeShade="BF"/>
            </w:tcBorders>
            <w:shd w:val="clear" w:color="auto" w:fill="003399" w:themeFill="text2"/>
            <w:vAlign w:val="center"/>
          </w:tcPr>
          <w:p w14:paraId="2EAEBDA4" w14:textId="77777777" w:rsidR="000D256C" w:rsidRPr="00F77DBE" w:rsidRDefault="000D256C" w:rsidP="00F77DBE">
            <w:pPr>
              <w:spacing w:before="100" w:after="100"/>
              <w:jc w:val="center"/>
              <w:rPr>
                <w:rFonts w:asciiTheme="majorHAnsi" w:hAnsiTheme="majorHAnsi"/>
                <w:b/>
                <w:iCs/>
                <w:noProof/>
                <w:color w:val="FFFFFF" w:themeColor="background1"/>
                <w:sz w:val="22"/>
                <w:szCs w:val="22"/>
              </w:rPr>
            </w:pPr>
            <w:r w:rsidRPr="00F77DBE">
              <w:rPr>
                <w:rFonts w:asciiTheme="majorHAnsi" w:hAnsiTheme="majorHAnsi"/>
                <w:b/>
                <w:iCs/>
                <w:noProof/>
                <w:color w:val="FFFFFF" w:themeColor="background1"/>
                <w:sz w:val="22"/>
                <w:szCs w:val="22"/>
              </w:rPr>
              <w:t>INFLOWS</w:t>
            </w:r>
          </w:p>
        </w:tc>
        <w:tc>
          <w:tcPr>
            <w:tcW w:w="220" w:type="pct"/>
            <w:tcBorders>
              <w:bottom w:val="single" w:sz="6" w:space="0" w:color="BFBFBF" w:themeColor="background1" w:themeShade="BF"/>
              <w:right w:val="single" w:sz="6" w:space="0" w:color="BFBFBF" w:themeColor="background1" w:themeShade="BF"/>
            </w:tcBorders>
            <w:shd w:val="clear" w:color="auto" w:fill="003399" w:themeFill="text2"/>
            <w:vAlign w:val="center"/>
          </w:tcPr>
          <w:p w14:paraId="00AE0603" w14:textId="77777777" w:rsidR="000D256C" w:rsidRPr="00F77DBE" w:rsidRDefault="000D256C" w:rsidP="00F77DBE">
            <w:pPr>
              <w:spacing w:before="100" w:after="100"/>
              <w:jc w:val="center"/>
              <w:rPr>
                <w:rFonts w:asciiTheme="majorHAnsi" w:hAnsiTheme="majorHAnsi"/>
                <w:b/>
                <w:iCs/>
                <w:noProof/>
                <w:color w:val="FFFFFF" w:themeColor="background1"/>
                <w:sz w:val="22"/>
                <w:szCs w:val="22"/>
              </w:rPr>
            </w:pPr>
          </w:p>
        </w:tc>
        <w:tc>
          <w:tcPr>
            <w:tcW w:w="406" w:type="pct"/>
            <w:tcBorders>
              <w:bottom w:val="single" w:sz="6" w:space="0" w:color="BFBFBF" w:themeColor="background1" w:themeShade="BF"/>
              <w:right w:val="single" w:sz="6" w:space="0" w:color="BFBFBF" w:themeColor="background1" w:themeShade="BF"/>
            </w:tcBorders>
            <w:shd w:val="clear" w:color="auto" w:fill="003399" w:themeFill="text2"/>
          </w:tcPr>
          <w:p w14:paraId="236F2545" w14:textId="2100CD56" w:rsidR="000D256C" w:rsidRPr="00F77DBE" w:rsidRDefault="000D256C" w:rsidP="00F77DBE">
            <w:pPr>
              <w:spacing w:before="100" w:after="100"/>
              <w:jc w:val="center"/>
              <w:rPr>
                <w:rFonts w:asciiTheme="majorHAnsi" w:hAnsiTheme="majorHAnsi"/>
                <w:b/>
                <w:iCs/>
                <w:noProof/>
                <w:color w:val="FFFFFF" w:themeColor="background1"/>
                <w:sz w:val="22"/>
                <w:szCs w:val="22"/>
              </w:rPr>
            </w:pPr>
            <w:r w:rsidRPr="00F77DBE">
              <w:rPr>
                <w:rFonts w:asciiTheme="majorHAnsi" w:hAnsiTheme="majorHAnsi"/>
                <w:b/>
                <w:iCs/>
                <w:noProof/>
                <w:color w:val="FFFFFF" w:themeColor="background1"/>
                <w:sz w:val="22"/>
                <w:szCs w:val="22"/>
              </w:rPr>
              <w:t>2027</w:t>
            </w:r>
            <w:r w:rsidR="000A2D2A" w:rsidRPr="00F77DBE">
              <w:rPr>
                <w:rFonts w:asciiTheme="majorHAnsi" w:hAnsiTheme="majorHAnsi"/>
                <w:b/>
                <w:iCs/>
                <w:noProof/>
                <w:color w:val="FFFFFF" w:themeColor="background1"/>
                <w:sz w:val="22"/>
                <w:szCs w:val="22"/>
              </w:rPr>
              <w:t>*</w:t>
            </w:r>
          </w:p>
        </w:tc>
        <w:tc>
          <w:tcPr>
            <w:tcW w:w="406" w:type="pct"/>
            <w:tcBorders>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003399" w:themeFill="text2"/>
            <w:vAlign w:val="center"/>
          </w:tcPr>
          <w:p w14:paraId="2F2954DE" w14:textId="6265D714" w:rsidR="000D256C" w:rsidRPr="00F77DBE" w:rsidRDefault="000D256C" w:rsidP="00F77DBE">
            <w:pPr>
              <w:spacing w:before="100" w:after="100"/>
              <w:jc w:val="center"/>
              <w:rPr>
                <w:rFonts w:asciiTheme="majorHAnsi" w:hAnsiTheme="majorHAnsi"/>
                <w:b/>
                <w:iCs/>
                <w:noProof/>
                <w:color w:val="FFFFFF" w:themeColor="background1"/>
                <w:sz w:val="22"/>
                <w:szCs w:val="22"/>
              </w:rPr>
            </w:pPr>
            <w:r w:rsidRPr="00F77DBE">
              <w:rPr>
                <w:rFonts w:asciiTheme="majorHAnsi" w:hAnsiTheme="majorHAnsi"/>
                <w:b/>
                <w:iCs/>
                <w:noProof/>
                <w:color w:val="FFFFFF" w:themeColor="background1"/>
                <w:sz w:val="22"/>
                <w:szCs w:val="22"/>
              </w:rPr>
              <w:t>2028</w:t>
            </w:r>
          </w:p>
        </w:tc>
        <w:tc>
          <w:tcPr>
            <w:tcW w:w="406" w:type="pct"/>
            <w:tcBorders>
              <w:bottom w:val="single" w:sz="6" w:space="0" w:color="BFBFBF" w:themeColor="background1" w:themeShade="BF"/>
              <w:right w:val="single" w:sz="6" w:space="0" w:color="BFBFBF" w:themeColor="background1" w:themeShade="BF"/>
            </w:tcBorders>
            <w:shd w:val="clear" w:color="auto" w:fill="003399" w:themeFill="text2"/>
            <w:vAlign w:val="center"/>
          </w:tcPr>
          <w:p w14:paraId="5FA98FD4" w14:textId="54C6C9CA" w:rsidR="000D256C" w:rsidRPr="00F77DBE" w:rsidRDefault="000D256C" w:rsidP="00F77DBE">
            <w:pPr>
              <w:spacing w:before="100" w:after="100"/>
              <w:jc w:val="center"/>
              <w:rPr>
                <w:rFonts w:asciiTheme="majorHAnsi" w:hAnsiTheme="majorHAnsi"/>
                <w:b/>
                <w:iCs/>
                <w:noProof/>
                <w:color w:val="FFFFFF" w:themeColor="background1"/>
                <w:sz w:val="22"/>
                <w:szCs w:val="22"/>
              </w:rPr>
            </w:pPr>
            <w:r w:rsidRPr="00F77DBE">
              <w:rPr>
                <w:rFonts w:asciiTheme="majorHAnsi" w:hAnsiTheme="majorHAnsi"/>
                <w:b/>
                <w:iCs/>
                <w:noProof/>
                <w:color w:val="FFFFFF" w:themeColor="background1"/>
                <w:sz w:val="22"/>
                <w:szCs w:val="22"/>
              </w:rPr>
              <w:t>2029</w:t>
            </w:r>
          </w:p>
        </w:tc>
        <w:tc>
          <w:tcPr>
            <w:tcW w:w="406" w:type="pct"/>
            <w:tcBorders>
              <w:bottom w:val="single" w:sz="6" w:space="0" w:color="BFBFBF" w:themeColor="background1" w:themeShade="BF"/>
              <w:right w:val="single" w:sz="6" w:space="0" w:color="BFBFBF" w:themeColor="background1" w:themeShade="BF"/>
            </w:tcBorders>
            <w:shd w:val="clear" w:color="auto" w:fill="003399" w:themeFill="text2"/>
            <w:vAlign w:val="center"/>
          </w:tcPr>
          <w:p w14:paraId="06FFB2CA" w14:textId="227E3253" w:rsidR="000D256C" w:rsidRPr="00F77DBE" w:rsidRDefault="000D256C" w:rsidP="00F77DBE">
            <w:pPr>
              <w:spacing w:before="100" w:after="100"/>
              <w:jc w:val="center"/>
              <w:rPr>
                <w:rFonts w:asciiTheme="majorHAnsi" w:hAnsiTheme="majorHAnsi"/>
                <w:b/>
                <w:iCs/>
                <w:noProof/>
                <w:color w:val="FFFFFF" w:themeColor="background1"/>
                <w:sz w:val="22"/>
                <w:szCs w:val="22"/>
              </w:rPr>
            </w:pPr>
            <w:r w:rsidRPr="00F77DBE">
              <w:rPr>
                <w:rFonts w:asciiTheme="majorHAnsi" w:hAnsiTheme="majorHAnsi"/>
                <w:b/>
                <w:iCs/>
                <w:noProof/>
                <w:color w:val="FFFFFF" w:themeColor="background1"/>
                <w:sz w:val="22"/>
                <w:szCs w:val="22"/>
              </w:rPr>
              <w:t>2030</w:t>
            </w:r>
          </w:p>
        </w:tc>
        <w:tc>
          <w:tcPr>
            <w:tcW w:w="406" w:type="pct"/>
            <w:tcBorders>
              <w:bottom w:val="single" w:sz="6" w:space="0" w:color="BFBFBF" w:themeColor="background1" w:themeShade="BF"/>
              <w:right w:val="single" w:sz="6" w:space="0" w:color="BFBFBF" w:themeColor="background1" w:themeShade="BF"/>
            </w:tcBorders>
            <w:shd w:val="clear" w:color="auto" w:fill="003399" w:themeFill="text2"/>
            <w:vAlign w:val="center"/>
          </w:tcPr>
          <w:p w14:paraId="1A7AA76F" w14:textId="201C1B1D" w:rsidR="000D256C" w:rsidRPr="00F77DBE" w:rsidRDefault="000D256C" w:rsidP="00F77DBE">
            <w:pPr>
              <w:spacing w:before="100" w:after="100"/>
              <w:jc w:val="center"/>
              <w:rPr>
                <w:rFonts w:asciiTheme="majorHAnsi" w:hAnsiTheme="majorHAnsi"/>
                <w:b/>
                <w:iCs/>
                <w:noProof/>
                <w:color w:val="FFFFFF" w:themeColor="background1"/>
                <w:sz w:val="22"/>
                <w:szCs w:val="22"/>
              </w:rPr>
            </w:pPr>
            <w:r w:rsidRPr="00F77DBE">
              <w:rPr>
                <w:rFonts w:asciiTheme="majorHAnsi" w:hAnsiTheme="majorHAnsi"/>
                <w:b/>
                <w:iCs/>
                <w:noProof/>
                <w:color w:val="FFFFFF" w:themeColor="background1"/>
                <w:sz w:val="22"/>
                <w:szCs w:val="22"/>
              </w:rPr>
              <w:t>2031</w:t>
            </w:r>
          </w:p>
        </w:tc>
        <w:tc>
          <w:tcPr>
            <w:tcW w:w="406" w:type="pct"/>
            <w:tcBorders>
              <w:bottom w:val="single" w:sz="6" w:space="0" w:color="BFBFBF" w:themeColor="background1" w:themeShade="BF"/>
              <w:right w:val="single" w:sz="6" w:space="0" w:color="BFBFBF" w:themeColor="background1" w:themeShade="BF"/>
            </w:tcBorders>
            <w:shd w:val="clear" w:color="auto" w:fill="003399" w:themeFill="text2"/>
          </w:tcPr>
          <w:p w14:paraId="6E75FBB4" w14:textId="6C324FB0" w:rsidR="000D256C" w:rsidRPr="00F77DBE" w:rsidRDefault="000D256C" w:rsidP="00F77DBE">
            <w:pPr>
              <w:spacing w:before="100" w:after="100"/>
              <w:jc w:val="center"/>
              <w:rPr>
                <w:rFonts w:asciiTheme="majorHAnsi" w:hAnsiTheme="majorHAnsi"/>
                <w:b/>
                <w:iCs/>
                <w:noProof/>
                <w:color w:val="FFFFFF" w:themeColor="background1"/>
                <w:sz w:val="22"/>
                <w:szCs w:val="22"/>
              </w:rPr>
            </w:pPr>
            <w:r w:rsidRPr="00F77DBE">
              <w:rPr>
                <w:rFonts w:asciiTheme="majorHAnsi" w:hAnsiTheme="majorHAnsi"/>
                <w:b/>
                <w:iCs/>
                <w:noProof/>
                <w:color w:val="FFFFFF" w:themeColor="background1"/>
                <w:sz w:val="22"/>
                <w:szCs w:val="22"/>
              </w:rPr>
              <w:t>2032</w:t>
            </w:r>
          </w:p>
        </w:tc>
        <w:tc>
          <w:tcPr>
            <w:tcW w:w="406" w:type="pct"/>
            <w:tcBorders>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003399" w:themeFill="text2"/>
          </w:tcPr>
          <w:p w14:paraId="35F55781" w14:textId="726EDC96" w:rsidR="000D256C" w:rsidRPr="00F77DBE" w:rsidRDefault="000D256C" w:rsidP="00F77DBE">
            <w:pPr>
              <w:spacing w:before="100" w:after="100"/>
              <w:jc w:val="center"/>
              <w:rPr>
                <w:rFonts w:asciiTheme="majorHAnsi" w:hAnsiTheme="majorHAnsi"/>
                <w:b/>
                <w:iCs/>
                <w:noProof/>
                <w:color w:val="FFFFFF" w:themeColor="background1"/>
                <w:sz w:val="22"/>
                <w:szCs w:val="22"/>
              </w:rPr>
            </w:pPr>
            <w:r w:rsidRPr="00F77DBE">
              <w:rPr>
                <w:rFonts w:asciiTheme="majorHAnsi" w:hAnsiTheme="majorHAnsi"/>
                <w:b/>
                <w:iCs/>
                <w:noProof/>
                <w:color w:val="FFFFFF" w:themeColor="background1"/>
                <w:sz w:val="22"/>
                <w:szCs w:val="22"/>
              </w:rPr>
              <w:t>2033</w:t>
            </w:r>
          </w:p>
        </w:tc>
        <w:tc>
          <w:tcPr>
            <w:tcW w:w="406" w:type="pct"/>
            <w:tcBorders>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003399" w:themeFill="text2"/>
          </w:tcPr>
          <w:p w14:paraId="3916FC76" w14:textId="06F8089A" w:rsidR="000D256C" w:rsidRPr="00F77DBE" w:rsidRDefault="000D256C" w:rsidP="00F77DBE">
            <w:pPr>
              <w:spacing w:before="100" w:after="100"/>
              <w:jc w:val="center"/>
              <w:rPr>
                <w:rFonts w:asciiTheme="majorHAnsi" w:hAnsiTheme="majorHAnsi"/>
                <w:b/>
                <w:iCs/>
                <w:noProof/>
                <w:color w:val="FFFFFF" w:themeColor="background1"/>
                <w:sz w:val="22"/>
                <w:szCs w:val="22"/>
              </w:rPr>
            </w:pPr>
            <w:r w:rsidRPr="00F77DBE">
              <w:rPr>
                <w:rFonts w:asciiTheme="majorHAnsi" w:hAnsiTheme="majorHAnsi"/>
                <w:b/>
                <w:iCs/>
                <w:noProof/>
                <w:color w:val="FFFFFF" w:themeColor="background1"/>
                <w:sz w:val="22"/>
                <w:szCs w:val="22"/>
              </w:rPr>
              <w:t>2034</w:t>
            </w:r>
          </w:p>
        </w:tc>
        <w:tc>
          <w:tcPr>
            <w:tcW w:w="403" w:type="pct"/>
            <w:tcBorders>
              <w:left w:val="single" w:sz="6" w:space="0" w:color="BFBFBF" w:themeColor="background1" w:themeShade="BF"/>
              <w:bottom w:val="single" w:sz="6" w:space="0" w:color="BFBFBF" w:themeColor="background1" w:themeShade="BF"/>
            </w:tcBorders>
            <w:shd w:val="clear" w:color="auto" w:fill="003399" w:themeFill="text2"/>
            <w:vAlign w:val="center"/>
          </w:tcPr>
          <w:p w14:paraId="3F4612F0" w14:textId="033E9385" w:rsidR="000D256C" w:rsidRPr="00F77DBE" w:rsidRDefault="000D256C" w:rsidP="00F77DBE">
            <w:pPr>
              <w:spacing w:before="100" w:after="100"/>
              <w:jc w:val="center"/>
              <w:rPr>
                <w:rFonts w:asciiTheme="majorHAnsi" w:hAnsiTheme="majorHAnsi"/>
                <w:b/>
                <w:iCs/>
                <w:noProof/>
                <w:color w:val="FFFFFF" w:themeColor="background1"/>
                <w:sz w:val="22"/>
                <w:szCs w:val="22"/>
              </w:rPr>
            </w:pPr>
            <w:r w:rsidRPr="00F77DBE">
              <w:rPr>
                <w:rFonts w:asciiTheme="majorHAnsi" w:hAnsiTheme="majorHAnsi"/>
                <w:b/>
                <w:iCs/>
                <w:noProof/>
                <w:color w:val="FFFFFF" w:themeColor="background1"/>
                <w:sz w:val="22"/>
                <w:szCs w:val="22"/>
              </w:rPr>
              <w:t>Total</w:t>
            </w:r>
          </w:p>
        </w:tc>
      </w:tr>
      <w:tr w:rsidR="00D967DE" w:rsidRPr="00AB5413" w14:paraId="4811B134" w14:textId="77777777" w:rsidTr="00D967DE">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3D2D98F" w14:textId="0E4C2E14" w:rsidR="00D967DE" w:rsidRPr="00186C27" w:rsidRDefault="00D967DE" w:rsidP="00D967DE">
            <w:pPr>
              <w:spacing w:before="100" w:after="100"/>
              <w:rPr>
                <w:rFonts w:asciiTheme="majorHAnsi" w:hAnsiTheme="majorHAnsi"/>
                <w:b/>
                <w:iCs/>
                <w:noProof/>
                <w:color w:val="003399" w:themeColor="text2"/>
                <w:sz w:val="22"/>
                <w:szCs w:val="22"/>
              </w:rPr>
            </w:pPr>
            <w:r w:rsidRPr="00186C27">
              <w:rPr>
                <w:rFonts w:asciiTheme="majorHAnsi" w:hAnsiTheme="majorHAnsi"/>
                <w:b/>
                <w:iCs/>
                <w:noProof/>
                <w:color w:val="003399" w:themeColor="text2"/>
                <w:sz w:val="22"/>
                <w:szCs w:val="22"/>
              </w:rPr>
              <w:t>Own Resources ceiling in % of EU Gross National Income**</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AF10FE7" w14:textId="77777777" w:rsidR="00D967DE" w:rsidRPr="00FE4AEE" w:rsidRDefault="00D967DE" w:rsidP="00FE4AEE">
            <w:pPr>
              <w:spacing w:before="100" w:after="100"/>
              <w:jc w:val="center"/>
              <w:rPr>
                <w:rFonts w:asciiTheme="majorHAnsi" w:hAnsiTheme="majorHAnsi"/>
                <w:b/>
                <w:iCs/>
                <w:noProof/>
                <w:color w:val="003399" w:themeColor="text2"/>
              </w:rPr>
            </w:pP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DB3145B" w14:textId="3FDA2C78" w:rsidR="00D967DE" w:rsidRPr="00FE4AEE" w:rsidRDefault="00D967DE" w:rsidP="00FE4AEE">
            <w:pPr>
              <w:spacing w:before="100" w:after="100"/>
              <w:jc w:val="center"/>
              <w:rPr>
                <w:rFonts w:asciiTheme="majorHAnsi" w:hAnsiTheme="majorHAnsi"/>
                <w:b/>
                <w:bCs/>
                <w:iCs/>
                <w:noProof/>
                <w:color w:val="003399" w:themeColor="text2"/>
              </w:rPr>
            </w:pPr>
            <w:r w:rsidRPr="00FE4AEE">
              <w:rPr>
                <w:rFonts w:asciiTheme="majorHAnsi" w:hAnsiTheme="majorHAnsi"/>
                <w:b/>
                <w:bCs/>
                <w:iCs/>
                <w:noProof/>
                <w:color w:val="003399" w:themeColor="text2"/>
              </w:rPr>
              <w:t>2.00%</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CFBD94D" w14:textId="5A7457B9" w:rsidR="00D967DE" w:rsidRPr="00FE4AEE" w:rsidRDefault="00D967DE" w:rsidP="00FE4AEE">
            <w:pPr>
              <w:spacing w:before="100" w:after="100"/>
              <w:jc w:val="center"/>
              <w:rPr>
                <w:rFonts w:asciiTheme="majorHAnsi" w:hAnsiTheme="majorHAnsi"/>
                <w:b/>
                <w:bCs/>
                <w:iCs/>
                <w:noProof/>
                <w:color w:val="003399" w:themeColor="text2"/>
              </w:rPr>
            </w:pPr>
            <w:r w:rsidRPr="00FE4AEE">
              <w:rPr>
                <w:rFonts w:asciiTheme="majorHAnsi" w:hAnsiTheme="majorHAnsi"/>
                <w:b/>
                <w:bCs/>
                <w:iCs/>
                <w:noProof/>
                <w:color w:val="003399" w:themeColor="text2"/>
              </w:rPr>
              <w:t>2.35%</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4CC2448" w14:textId="53DD7540" w:rsidR="00D967DE" w:rsidRPr="00FE4AEE" w:rsidRDefault="00D967DE" w:rsidP="00FE4AEE">
            <w:pPr>
              <w:spacing w:before="100" w:after="100"/>
              <w:jc w:val="center"/>
              <w:rPr>
                <w:rFonts w:asciiTheme="majorHAnsi" w:hAnsiTheme="majorHAnsi"/>
                <w:b/>
                <w:bCs/>
                <w:iCs/>
                <w:noProof/>
                <w:color w:val="003399" w:themeColor="text2"/>
              </w:rPr>
            </w:pPr>
            <w:r w:rsidRPr="00FE4AEE">
              <w:rPr>
                <w:rFonts w:asciiTheme="majorHAnsi" w:hAnsiTheme="majorHAnsi"/>
                <w:b/>
                <w:bCs/>
                <w:iCs/>
                <w:noProof/>
                <w:color w:val="003399" w:themeColor="text2"/>
              </w:rPr>
              <w:t>2.35%</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698B8AC" w14:textId="6CAC1217" w:rsidR="00D967DE" w:rsidRPr="00FE4AEE" w:rsidRDefault="00D967DE" w:rsidP="00FE4AEE">
            <w:pPr>
              <w:spacing w:before="100" w:after="100"/>
              <w:jc w:val="center"/>
              <w:rPr>
                <w:rFonts w:asciiTheme="majorHAnsi" w:hAnsiTheme="majorHAnsi"/>
                <w:b/>
                <w:bCs/>
                <w:iCs/>
                <w:noProof/>
                <w:color w:val="003399" w:themeColor="text2"/>
              </w:rPr>
            </w:pPr>
            <w:r w:rsidRPr="00FE4AEE">
              <w:rPr>
                <w:rFonts w:asciiTheme="majorHAnsi" w:hAnsiTheme="majorHAnsi"/>
                <w:b/>
                <w:bCs/>
                <w:iCs/>
                <w:noProof/>
                <w:color w:val="003399" w:themeColor="text2"/>
              </w:rPr>
              <w:t>2.35%</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BF16226" w14:textId="2A3559AA" w:rsidR="00D967DE" w:rsidRPr="00FE4AEE" w:rsidRDefault="00D967DE" w:rsidP="00FE4AEE">
            <w:pPr>
              <w:spacing w:before="100" w:after="100"/>
              <w:jc w:val="center"/>
              <w:rPr>
                <w:rFonts w:asciiTheme="majorHAnsi" w:hAnsiTheme="majorHAnsi"/>
                <w:b/>
                <w:bCs/>
                <w:iCs/>
                <w:noProof/>
                <w:color w:val="003399" w:themeColor="text2"/>
              </w:rPr>
            </w:pPr>
            <w:r w:rsidRPr="00FE4AEE">
              <w:rPr>
                <w:rFonts w:asciiTheme="majorHAnsi" w:hAnsiTheme="majorHAnsi"/>
                <w:b/>
                <w:bCs/>
                <w:iCs/>
                <w:noProof/>
                <w:color w:val="003399" w:themeColor="text2"/>
              </w:rPr>
              <w:t>2.35%</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64F001C" w14:textId="14A97663" w:rsidR="00D967DE" w:rsidRPr="00FE4AEE" w:rsidRDefault="00D967DE" w:rsidP="00FE4AEE">
            <w:pPr>
              <w:spacing w:before="100" w:after="100"/>
              <w:jc w:val="center"/>
              <w:rPr>
                <w:rFonts w:asciiTheme="majorHAnsi" w:hAnsiTheme="majorHAnsi"/>
                <w:b/>
                <w:bCs/>
                <w:iCs/>
                <w:noProof/>
                <w:color w:val="003399" w:themeColor="text2"/>
              </w:rPr>
            </w:pPr>
            <w:r w:rsidRPr="00FE4AEE">
              <w:rPr>
                <w:rFonts w:asciiTheme="majorHAnsi" w:hAnsiTheme="majorHAnsi"/>
                <w:b/>
                <w:bCs/>
                <w:iCs/>
                <w:noProof/>
                <w:color w:val="003399" w:themeColor="text2"/>
              </w:rPr>
              <w:t>2.35%</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4BF3CB1" w14:textId="6CD366DD" w:rsidR="00D967DE" w:rsidRPr="00FE4AEE" w:rsidRDefault="00D967DE" w:rsidP="00FE4AEE">
            <w:pPr>
              <w:spacing w:before="100" w:after="100"/>
              <w:jc w:val="center"/>
              <w:rPr>
                <w:rFonts w:asciiTheme="majorHAnsi" w:hAnsiTheme="majorHAnsi"/>
                <w:b/>
                <w:bCs/>
                <w:iCs/>
                <w:noProof/>
                <w:color w:val="003399" w:themeColor="text2"/>
              </w:rPr>
            </w:pPr>
            <w:r w:rsidRPr="00FE4AEE">
              <w:rPr>
                <w:rFonts w:asciiTheme="majorHAnsi" w:hAnsiTheme="majorHAnsi"/>
                <w:b/>
                <w:bCs/>
                <w:iCs/>
                <w:noProof/>
                <w:color w:val="003399" w:themeColor="text2"/>
              </w:rPr>
              <w:t>2.35%</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0A6E1CB" w14:textId="6E02D2BE" w:rsidR="00D967DE" w:rsidRPr="00FE4AEE" w:rsidRDefault="00D967DE" w:rsidP="00FE4AEE">
            <w:pPr>
              <w:spacing w:before="100" w:after="100"/>
              <w:jc w:val="center"/>
              <w:rPr>
                <w:rFonts w:asciiTheme="majorHAnsi" w:hAnsiTheme="majorHAnsi"/>
                <w:b/>
                <w:bCs/>
                <w:iCs/>
                <w:noProof/>
                <w:color w:val="003399" w:themeColor="text2"/>
              </w:rPr>
            </w:pPr>
            <w:r w:rsidRPr="00FE4AEE">
              <w:rPr>
                <w:rFonts w:asciiTheme="majorHAnsi" w:hAnsiTheme="majorHAnsi"/>
                <w:b/>
                <w:bCs/>
                <w:iCs/>
                <w:noProof/>
                <w:color w:val="003399" w:themeColor="text2"/>
              </w:rPr>
              <w:t>2.35%</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6FC3DD67" w14:textId="6D102BC9" w:rsidR="00D967DE" w:rsidRPr="00FE4AEE" w:rsidRDefault="00D967DE" w:rsidP="00FE4AEE">
            <w:pPr>
              <w:spacing w:before="100" w:after="100"/>
              <w:jc w:val="center"/>
              <w:rPr>
                <w:rFonts w:asciiTheme="majorHAnsi" w:hAnsiTheme="majorHAnsi"/>
                <w:b/>
                <w:bCs/>
                <w:iCs/>
                <w:noProof/>
                <w:sz w:val="22"/>
                <w:szCs w:val="22"/>
              </w:rPr>
            </w:pPr>
            <w:r w:rsidRPr="00FE4AEE">
              <w:rPr>
                <w:rFonts w:asciiTheme="majorHAnsi" w:hAnsiTheme="majorHAnsi"/>
                <w:b/>
                <w:bCs/>
                <w:iCs/>
                <w:noProof/>
                <w:sz w:val="22"/>
                <w:szCs w:val="22"/>
              </w:rPr>
              <w:t>n/a</w:t>
            </w:r>
          </w:p>
        </w:tc>
      </w:tr>
      <w:tr w:rsidR="00291794" w14:paraId="6AFCC232" w14:textId="77777777" w:rsidTr="00411000">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8789AF5" w14:textId="67E6D6B7" w:rsidR="2CD8512F" w:rsidRPr="00186C27" w:rsidRDefault="2CD8512F" w:rsidP="6856BD68">
            <w:pPr>
              <w:rPr>
                <w:rFonts w:asciiTheme="majorHAnsi" w:hAnsiTheme="majorHAnsi"/>
                <w:noProof/>
                <w:color w:val="003399" w:themeColor="text2"/>
                <w:sz w:val="22"/>
                <w:szCs w:val="22"/>
              </w:rPr>
            </w:pPr>
            <w:r w:rsidRPr="00186C27">
              <w:rPr>
                <w:rFonts w:asciiTheme="majorHAnsi" w:hAnsiTheme="majorHAnsi"/>
                <w:noProof/>
                <w:color w:val="003399" w:themeColor="text2"/>
                <w:sz w:val="22"/>
                <w:szCs w:val="22"/>
              </w:rPr>
              <w:t>Of which temporary increase for NGEU</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749C547" w14:textId="5356CFD0" w:rsidR="6856BD68" w:rsidRPr="00FE4AEE" w:rsidRDefault="6856BD68" w:rsidP="00FE4AEE">
            <w:pPr>
              <w:jc w:val="center"/>
              <w:rPr>
                <w:rFonts w:asciiTheme="majorHAnsi" w:hAnsiTheme="majorHAnsi"/>
                <w:b/>
                <w:bCs/>
                <w:noProof/>
                <w:color w:val="003399" w:themeColor="text2"/>
              </w:rPr>
            </w:pP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747292F" w14:textId="1DE01EF4" w:rsidR="2CD8512F" w:rsidRPr="00FE4AEE" w:rsidRDefault="2CD8512F" w:rsidP="00FE4AEE">
            <w:pPr>
              <w:jc w:val="center"/>
              <w:rPr>
                <w:rFonts w:asciiTheme="majorHAnsi" w:hAnsiTheme="majorHAnsi"/>
                <w:noProof/>
                <w:color w:val="003399" w:themeColor="text2"/>
              </w:rPr>
            </w:pPr>
            <w:r w:rsidRPr="00FE4AEE">
              <w:rPr>
                <w:rFonts w:asciiTheme="majorHAnsi" w:hAnsiTheme="majorHAnsi"/>
                <w:noProof/>
                <w:color w:val="003399" w:themeColor="text2"/>
              </w:rPr>
              <w:t>0.60%</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C727847" w14:textId="74FC8F76" w:rsidR="2CD8512F" w:rsidRPr="00FE4AEE" w:rsidRDefault="2CD8512F" w:rsidP="00FE4AEE">
            <w:pPr>
              <w:jc w:val="center"/>
              <w:rPr>
                <w:rFonts w:asciiTheme="majorHAnsi" w:hAnsiTheme="majorHAnsi"/>
                <w:noProof/>
                <w:color w:val="003399" w:themeColor="text2"/>
              </w:rPr>
            </w:pPr>
            <w:r w:rsidRPr="00FE4AEE">
              <w:rPr>
                <w:rFonts w:asciiTheme="majorHAnsi" w:hAnsiTheme="majorHAnsi"/>
                <w:noProof/>
                <w:color w:val="003399" w:themeColor="text2"/>
              </w:rPr>
              <w:t>0.60%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4D0A8F8" w14:textId="1440D14A" w:rsidR="2CD8512F" w:rsidRPr="00FE4AEE" w:rsidRDefault="2CD8512F" w:rsidP="00FE4AEE">
            <w:pPr>
              <w:jc w:val="center"/>
              <w:rPr>
                <w:rFonts w:asciiTheme="majorHAnsi" w:hAnsiTheme="majorHAnsi"/>
                <w:noProof/>
                <w:color w:val="003399" w:themeColor="text2"/>
              </w:rPr>
            </w:pPr>
            <w:r w:rsidRPr="00FE4AEE">
              <w:rPr>
                <w:rFonts w:asciiTheme="majorHAnsi" w:hAnsiTheme="majorHAnsi"/>
                <w:noProof/>
                <w:color w:val="003399" w:themeColor="text2"/>
              </w:rPr>
              <w:t>0.60%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883C80C" w14:textId="020DDDAA" w:rsidR="2CD8512F" w:rsidRPr="00FE4AEE" w:rsidRDefault="2CD8512F" w:rsidP="00FE4AEE">
            <w:pPr>
              <w:jc w:val="center"/>
              <w:rPr>
                <w:rFonts w:asciiTheme="majorHAnsi" w:hAnsiTheme="majorHAnsi"/>
                <w:noProof/>
                <w:color w:val="003399" w:themeColor="text2"/>
              </w:rPr>
            </w:pPr>
            <w:r w:rsidRPr="00FE4AEE">
              <w:rPr>
                <w:rFonts w:asciiTheme="majorHAnsi" w:hAnsiTheme="majorHAnsi"/>
                <w:noProof/>
                <w:color w:val="003399" w:themeColor="text2"/>
              </w:rPr>
              <w:t>0.60%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699B14A" w14:textId="050B5A9E" w:rsidR="2CD8512F" w:rsidRPr="00FE4AEE" w:rsidRDefault="2CD8512F" w:rsidP="00FE4AEE">
            <w:pPr>
              <w:jc w:val="center"/>
              <w:rPr>
                <w:rFonts w:asciiTheme="majorHAnsi" w:hAnsiTheme="majorHAnsi"/>
                <w:noProof/>
                <w:color w:val="003399" w:themeColor="text2"/>
              </w:rPr>
            </w:pPr>
            <w:r w:rsidRPr="00FE4AEE">
              <w:rPr>
                <w:rFonts w:asciiTheme="majorHAnsi" w:hAnsiTheme="majorHAnsi"/>
                <w:noProof/>
                <w:color w:val="003399" w:themeColor="text2"/>
              </w:rPr>
              <w:t>0.60%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EB0010E" w14:textId="25410F94" w:rsidR="2CD8512F" w:rsidRPr="00FE4AEE" w:rsidRDefault="2CD8512F" w:rsidP="00FE4AEE">
            <w:pPr>
              <w:jc w:val="center"/>
              <w:rPr>
                <w:rFonts w:asciiTheme="majorHAnsi" w:hAnsiTheme="majorHAnsi"/>
                <w:noProof/>
                <w:color w:val="003399" w:themeColor="text2"/>
              </w:rPr>
            </w:pPr>
            <w:r w:rsidRPr="00FE4AEE">
              <w:rPr>
                <w:rFonts w:asciiTheme="majorHAnsi" w:hAnsiTheme="majorHAnsi"/>
                <w:noProof/>
                <w:color w:val="003399" w:themeColor="text2"/>
              </w:rPr>
              <w:t>0.60%</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FF4BD1E" w14:textId="383DADDA" w:rsidR="2CD8512F" w:rsidRPr="00FE4AEE" w:rsidRDefault="2CD8512F" w:rsidP="00FE4AEE">
            <w:pPr>
              <w:jc w:val="center"/>
              <w:rPr>
                <w:rFonts w:asciiTheme="majorHAnsi" w:hAnsiTheme="majorHAnsi"/>
                <w:noProof/>
                <w:color w:val="003399" w:themeColor="text2"/>
              </w:rPr>
            </w:pPr>
            <w:r w:rsidRPr="00FE4AEE">
              <w:rPr>
                <w:rFonts w:asciiTheme="majorHAnsi" w:hAnsiTheme="majorHAnsi"/>
                <w:noProof/>
                <w:color w:val="003399" w:themeColor="text2"/>
              </w:rPr>
              <w:t>0.60%</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D28335A" w14:textId="4DEAEF28" w:rsidR="2CD8512F" w:rsidRPr="00FE4AEE" w:rsidRDefault="2CD8512F" w:rsidP="00FE4AEE">
            <w:pPr>
              <w:jc w:val="center"/>
              <w:rPr>
                <w:rFonts w:asciiTheme="majorHAnsi" w:hAnsiTheme="majorHAnsi"/>
                <w:noProof/>
                <w:color w:val="003399" w:themeColor="text2"/>
              </w:rPr>
            </w:pPr>
            <w:r w:rsidRPr="00FE4AEE">
              <w:rPr>
                <w:rFonts w:asciiTheme="majorHAnsi" w:hAnsiTheme="majorHAnsi"/>
                <w:noProof/>
                <w:color w:val="003399" w:themeColor="text2"/>
              </w:rPr>
              <w:t>0.60%</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4F8CCE5F" w14:textId="197DD68E" w:rsidR="2CD8512F" w:rsidRPr="00FE4AEE" w:rsidRDefault="2CD8512F" w:rsidP="00FE4AEE">
            <w:pPr>
              <w:jc w:val="center"/>
              <w:rPr>
                <w:rFonts w:asciiTheme="majorHAnsi" w:hAnsiTheme="majorHAnsi"/>
                <w:b/>
                <w:bCs/>
                <w:noProof/>
                <w:sz w:val="22"/>
                <w:szCs w:val="22"/>
              </w:rPr>
            </w:pPr>
            <w:r w:rsidRPr="00FE4AEE">
              <w:rPr>
                <w:rFonts w:asciiTheme="majorHAnsi" w:hAnsiTheme="majorHAnsi"/>
                <w:b/>
                <w:bCs/>
                <w:noProof/>
                <w:sz w:val="22"/>
                <w:szCs w:val="22"/>
              </w:rPr>
              <w:t>n/a</w:t>
            </w:r>
          </w:p>
        </w:tc>
      </w:tr>
      <w:tr w:rsidR="006B0EB7" w:rsidRPr="00AB5413" w14:paraId="377EF73D" w14:textId="77777777" w:rsidTr="00FE4AEE">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6351E597" w14:textId="191EA2C1" w:rsidR="006B0EB7" w:rsidRPr="00186C27" w:rsidRDefault="006B0EB7" w:rsidP="006B0EB7">
            <w:pPr>
              <w:spacing w:before="100" w:after="100"/>
              <w:rPr>
                <w:rFonts w:asciiTheme="majorHAnsi" w:hAnsiTheme="majorHAnsi"/>
                <w:b/>
                <w:iCs/>
                <w:noProof/>
                <w:color w:val="003399" w:themeColor="text2"/>
                <w:sz w:val="22"/>
                <w:szCs w:val="22"/>
              </w:rPr>
            </w:pPr>
            <w:r w:rsidRPr="00186C27">
              <w:rPr>
                <w:rFonts w:asciiTheme="majorHAnsi" w:hAnsiTheme="majorHAnsi"/>
                <w:b/>
                <w:iCs/>
                <w:noProof/>
                <w:color w:val="003399" w:themeColor="text2"/>
                <w:sz w:val="22"/>
                <w:szCs w:val="22"/>
              </w:rPr>
              <w:t>Own Resources ceiling expressed in EUR billion</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57E1AF71" w14:textId="5569B819" w:rsidR="006B0EB7" w:rsidRPr="00FE4AEE" w:rsidRDefault="3C2C0FA0" w:rsidP="00FE4AEE">
            <w:pPr>
              <w:spacing w:before="100" w:after="100"/>
              <w:jc w:val="center"/>
              <w:rPr>
                <w:rFonts w:asciiTheme="majorHAnsi" w:hAnsiTheme="majorHAnsi"/>
                <w:b/>
                <w:iCs/>
                <w:noProof/>
                <w:color w:val="003399" w:themeColor="text2"/>
              </w:rPr>
            </w:pPr>
            <w:r w:rsidRPr="00FE4AEE">
              <w:rPr>
                <w:rFonts w:asciiTheme="majorHAnsi" w:hAnsiTheme="majorHAnsi"/>
                <w:b/>
                <w:bCs/>
                <w:noProof/>
                <w:color w:val="003399" w:themeColor="text2"/>
              </w:rPr>
              <w:t>A</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57978FB9" w14:textId="61DFC6D6" w:rsidR="006B0EB7" w:rsidRPr="00FE4AEE" w:rsidRDefault="006B0EB7" w:rsidP="00FE4AEE">
            <w:pPr>
              <w:spacing w:before="100" w:after="100"/>
              <w:jc w:val="center"/>
              <w:rPr>
                <w:rFonts w:asciiTheme="majorHAnsi" w:hAnsiTheme="majorHAnsi"/>
                <w:b/>
                <w:bCs/>
                <w:iCs/>
                <w:noProof/>
                <w:color w:val="003399" w:themeColor="text2"/>
              </w:rPr>
            </w:pPr>
            <w:r w:rsidRPr="00FE4AEE">
              <w:rPr>
                <w:b/>
                <w:bCs/>
                <w:noProof/>
                <w:color w:val="003399" w:themeColor="text2"/>
              </w:rPr>
              <w:t>403.8</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081456E0" w14:textId="21BD5CB9" w:rsidR="006B0EB7" w:rsidRPr="00FE4AEE" w:rsidRDefault="006B0EB7" w:rsidP="00FE4AEE">
            <w:pPr>
              <w:spacing w:before="100" w:after="100"/>
              <w:jc w:val="center"/>
              <w:rPr>
                <w:rFonts w:asciiTheme="majorHAnsi" w:hAnsiTheme="majorHAnsi"/>
                <w:b/>
                <w:bCs/>
                <w:iCs/>
                <w:noProof/>
                <w:color w:val="003399" w:themeColor="text2"/>
              </w:rPr>
            </w:pPr>
            <w:r w:rsidRPr="54294266">
              <w:rPr>
                <w:b/>
                <w:bCs/>
                <w:noProof/>
                <w:color w:val="003399" w:themeColor="text2"/>
              </w:rPr>
              <w:t>493</w:t>
            </w:r>
            <w:r w:rsidRPr="00FE4AEE">
              <w:rPr>
                <w:b/>
                <w:bCs/>
                <w:noProof/>
                <w:color w:val="003399" w:themeColor="text2"/>
              </w:rPr>
              <w:t>.0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0F55742B" w14:textId="789ADE73" w:rsidR="006B0EB7" w:rsidRPr="00FE4AEE" w:rsidRDefault="006B0EB7" w:rsidP="00FE4AEE">
            <w:pPr>
              <w:spacing w:before="100" w:after="100"/>
              <w:jc w:val="center"/>
              <w:rPr>
                <w:rFonts w:asciiTheme="majorHAnsi" w:hAnsiTheme="majorHAnsi"/>
                <w:b/>
                <w:bCs/>
                <w:iCs/>
                <w:noProof/>
                <w:color w:val="003399" w:themeColor="text2"/>
              </w:rPr>
            </w:pPr>
            <w:r w:rsidRPr="63E1645B" w:rsidDel="006B0EB7">
              <w:rPr>
                <w:b/>
                <w:bCs/>
                <w:noProof/>
                <w:color w:val="003399" w:themeColor="text2"/>
              </w:rPr>
              <w:t>511.4</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5C565037" w14:textId="74CCEED6" w:rsidR="006B0EB7" w:rsidRPr="00FE4AEE" w:rsidRDefault="006B0EB7" w:rsidP="00FE4AEE">
            <w:pPr>
              <w:spacing w:before="100" w:after="100"/>
              <w:jc w:val="center"/>
              <w:rPr>
                <w:rFonts w:asciiTheme="majorHAnsi" w:hAnsiTheme="majorHAnsi"/>
                <w:b/>
                <w:bCs/>
                <w:iCs/>
                <w:noProof/>
                <w:color w:val="003399" w:themeColor="text2"/>
              </w:rPr>
            </w:pPr>
            <w:r w:rsidRPr="429828D9">
              <w:rPr>
                <w:b/>
                <w:bCs/>
                <w:noProof/>
                <w:color w:val="003399" w:themeColor="text2"/>
              </w:rPr>
              <w:t>530</w:t>
            </w:r>
            <w:r w:rsidRPr="00FE4AEE">
              <w:rPr>
                <w:b/>
                <w:bCs/>
                <w:noProof/>
                <w:color w:val="003399" w:themeColor="text2"/>
              </w:rPr>
              <w:t>.1</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76502977" w14:textId="3C06D402" w:rsidR="006B0EB7" w:rsidRPr="00FE4AEE" w:rsidRDefault="006B0EB7" w:rsidP="00FE4AEE">
            <w:pPr>
              <w:spacing w:before="100" w:after="100"/>
              <w:jc w:val="center"/>
              <w:rPr>
                <w:rFonts w:asciiTheme="majorHAnsi" w:hAnsiTheme="majorHAnsi"/>
                <w:b/>
                <w:bCs/>
                <w:iCs/>
                <w:noProof/>
                <w:color w:val="003399" w:themeColor="text2"/>
              </w:rPr>
            </w:pPr>
            <w:r w:rsidRPr="68F445CF">
              <w:rPr>
                <w:b/>
                <w:bCs/>
                <w:noProof/>
                <w:color w:val="003399" w:themeColor="text2"/>
              </w:rPr>
              <w:t>548.0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7C53B21D" w14:textId="6C4AA491" w:rsidR="006B0EB7" w:rsidRPr="00FE4AEE" w:rsidRDefault="006B0EB7" w:rsidP="00FE4AEE">
            <w:pPr>
              <w:spacing w:before="100" w:after="100"/>
              <w:jc w:val="center"/>
              <w:rPr>
                <w:rFonts w:asciiTheme="majorHAnsi" w:hAnsiTheme="majorHAnsi"/>
                <w:b/>
                <w:bCs/>
                <w:iCs/>
                <w:noProof/>
                <w:color w:val="003399" w:themeColor="text2"/>
              </w:rPr>
            </w:pPr>
            <w:r w:rsidRPr="4D0D8579">
              <w:rPr>
                <w:b/>
                <w:bCs/>
                <w:noProof/>
                <w:color w:val="003399" w:themeColor="text2"/>
              </w:rPr>
              <w:t>566.1</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56D0406D" w14:textId="1AD20E2D" w:rsidR="006B0EB7" w:rsidRPr="00FE4AEE" w:rsidRDefault="006B0EB7" w:rsidP="00FE4AEE">
            <w:pPr>
              <w:spacing w:before="100" w:after="100"/>
              <w:jc w:val="center"/>
              <w:rPr>
                <w:rFonts w:asciiTheme="majorHAnsi" w:hAnsiTheme="majorHAnsi"/>
                <w:b/>
                <w:bCs/>
                <w:iCs/>
                <w:noProof/>
                <w:color w:val="003399" w:themeColor="text2"/>
              </w:rPr>
            </w:pPr>
            <w:r w:rsidRPr="4D0D8579">
              <w:rPr>
                <w:b/>
                <w:bCs/>
                <w:noProof/>
                <w:color w:val="003399" w:themeColor="text2"/>
              </w:rPr>
              <w:t>584.2</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50C5FBDA" w14:textId="6C16FADC" w:rsidR="006B0EB7" w:rsidRPr="00FE4AEE" w:rsidRDefault="006B0EB7" w:rsidP="00FE4AEE">
            <w:pPr>
              <w:spacing w:before="100" w:after="100"/>
              <w:jc w:val="center"/>
              <w:rPr>
                <w:rFonts w:asciiTheme="majorHAnsi" w:hAnsiTheme="majorHAnsi"/>
                <w:b/>
                <w:bCs/>
                <w:iCs/>
                <w:noProof/>
                <w:color w:val="003399" w:themeColor="text2"/>
              </w:rPr>
            </w:pPr>
            <w:r w:rsidRPr="00FE4AEE">
              <w:rPr>
                <w:b/>
                <w:bCs/>
                <w:noProof/>
                <w:color w:val="003399" w:themeColor="text2"/>
              </w:rPr>
              <w:t>602.3</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shd w:val="clear" w:color="auto" w:fill="F3F7FF" w:themeFill="background2"/>
            <w:vAlign w:val="center"/>
          </w:tcPr>
          <w:p w14:paraId="31E4F45A" w14:textId="13039049" w:rsidR="006B0EB7" w:rsidRPr="00FE4AEE" w:rsidRDefault="6C959BBE" w:rsidP="00FE4AEE">
            <w:pPr>
              <w:spacing w:before="100" w:after="100"/>
              <w:jc w:val="center"/>
              <w:rPr>
                <w:rFonts w:asciiTheme="majorHAnsi" w:hAnsiTheme="majorHAnsi"/>
                <w:b/>
                <w:bCs/>
                <w:iCs/>
                <w:noProof/>
                <w:sz w:val="22"/>
                <w:szCs w:val="22"/>
              </w:rPr>
            </w:pPr>
            <w:r w:rsidRPr="00FE4AEE">
              <w:rPr>
                <w:b/>
                <w:bCs/>
                <w:noProof/>
                <w:sz w:val="22"/>
                <w:szCs w:val="22"/>
              </w:rPr>
              <w:t>n/a</w:t>
            </w:r>
          </w:p>
        </w:tc>
      </w:tr>
      <w:tr w:rsidR="00291794" w14:paraId="108AF2D6" w14:textId="77777777" w:rsidTr="00FE4AEE">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4BF3DCBF" w14:textId="422FC0CE" w:rsidR="5AEBA257" w:rsidRPr="00186C27" w:rsidRDefault="5AEBA257" w:rsidP="6856BD68">
            <w:pPr>
              <w:rPr>
                <w:rFonts w:asciiTheme="majorHAnsi" w:hAnsiTheme="majorHAnsi"/>
                <w:noProof/>
                <w:color w:val="003399" w:themeColor="text2"/>
                <w:sz w:val="22"/>
                <w:szCs w:val="22"/>
              </w:rPr>
            </w:pPr>
            <w:r w:rsidRPr="00186C27">
              <w:rPr>
                <w:rFonts w:asciiTheme="majorHAnsi" w:hAnsiTheme="majorHAnsi"/>
                <w:noProof/>
                <w:color w:val="003399" w:themeColor="text2"/>
                <w:sz w:val="22"/>
                <w:szCs w:val="22"/>
              </w:rPr>
              <w:t>Of which temporary increase for NGEU</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39D9B6B3" w14:textId="5E734DEF" w:rsidR="5AEBA257" w:rsidRPr="00FE4AEE" w:rsidRDefault="5AEBA257" w:rsidP="00FE4AEE">
            <w:pPr>
              <w:jc w:val="center"/>
              <w:rPr>
                <w:rFonts w:asciiTheme="majorHAnsi" w:hAnsiTheme="majorHAnsi"/>
                <w:noProof/>
                <w:color w:val="003399" w:themeColor="text2"/>
              </w:rPr>
            </w:pPr>
            <w:r w:rsidRPr="00FE4AEE">
              <w:rPr>
                <w:rFonts w:asciiTheme="majorHAnsi" w:hAnsiTheme="majorHAnsi"/>
                <w:noProof/>
                <w:color w:val="003399" w:themeColor="text2"/>
              </w:rPr>
              <w:t>A’</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51A0CB42" w14:textId="26778AFE" w:rsidR="561D5332" w:rsidRPr="00FE4AEE" w:rsidRDefault="561D5332" w:rsidP="00FE4AEE">
            <w:pPr>
              <w:jc w:val="center"/>
              <w:rPr>
                <w:noProof/>
                <w:color w:val="003399" w:themeColor="text2"/>
              </w:rPr>
            </w:pPr>
            <w:r w:rsidRPr="00FE4AEE">
              <w:rPr>
                <w:noProof/>
                <w:color w:val="003399" w:themeColor="text2"/>
              </w:rPr>
              <w:t>121.2</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4882E3FE" w14:textId="4F49A992" w:rsidR="561D5332" w:rsidRPr="00FE4AEE" w:rsidRDefault="561D5332" w:rsidP="00FE4AEE">
            <w:pPr>
              <w:jc w:val="center"/>
              <w:rPr>
                <w:noProof/>
                <w:color w:val="003399" w:themeColor="text2"/>
              </w:rPr>
            </w:pPr>
            <w:r w:rsidRPr="00FE4AEE">
              <w:rPr>
                <w:noProof/>
                <w:color w:val="003399" w:themeColor="text2"/>
              </w:rPr>
              <w:t>125.9</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2515F73A" w14:textId="5A19745B" w:rsidR="561D5332" w:rsidRPr="00FE4AEE" w:rsidRDefault="561D5332" w:rsidP="00FE4AEE">
            <w:pPr>
              <w:jc w:val="center"/>
              <w:rPr>
                <w:noProof/>
                <w:color w:val="003399" w:themeColor="text2"/>
              </w:rPr>
            </w:pPr>
            <w:r w:rsidRPr="27C78629">
              <w:rPr>
                <w:noProof/>
                <w:color w:val="003399" w:themeColor="text2"/>
              </w:rPr>
              <w:t>130.6</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6D701D4A" w14:textId="1D91A133" w:rsidR="561D5332" w:rsidRPr="00FE4AEE" w:rsidRDefault="561D5332" w:rsidP="00FE4AEE">
            <w:pPr>
              <w:jc w:val="center"/>
              <w:rPr>
                <w:noProof/>
                <w:color w:val="003399" w:themeColor="text2"/>
              </w:rPr>
            </w:pPr>
            <w:r w:rsidRPr="27C78629">
              <w:rPr>
                <w:noProof/>
                <w:color w:val="003399" w:themeColor="text2"/>
              </w:rPr>
              <w:t>135</w:t>
            </w:r>
            <w:r w:rsidRPr="00FE4AEE">
              <w:rPr>
                <w:noProof/>
                <w:color w:val="003399" w:themeColor="text2"/>
              </w:rPr>
              <w:t>.3</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6CCE5339" w14:textId="53A95706" w:rsidR="561D5332" w:rsidRPr="00FE4AEE" w:rsidRDefault="561D5332" w:rsidP="00FE4AEE">
            <w:pPr>
              <w:jc w:val="center"/>
              <w:rPr>
                <w:noProof/>
                <w:color w:val="003399" w:themeColor="text2"/>
              </w:rPr>
            </w:pPr>
            <w:r w:rsidRPr="27C78629">
              <w:rPr>
                <w:noProof/>
                <w:color w:val="003399" w:themeColor="text2"/>
              </w:rPr>
              <w:t>139.9</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3EDA0276" w14:textId="227C50FB" w:rsidR="561D5332" w:rsidRPr="00FE4AEE" w:rsidRDefault="561D5332" w:rsidP="00FE4AEE">
            <w:pPr>
              <w:jc w:val="center"/>
              <w:rPr>
                <w:noProof/>
                <w:color w:val="003399" w:themeColor="text2"/>
              </w:rPr>
            </w:pPr>
            <w:r w:rsidRPr="27C78629">
              <w:rPr>
                <w:noProof/>
                <w:color w:val="003399" w:themeColor="text2"/>
              </w:rPr>
              <w:t>144</w:t>
            </w:r>
            <w:r w:rsidRPr="00FE4AEE">
              <w:rPr>
                <w:noProof/>
                <w:color w:val="003399" w:themeColor="text2"/>
              </w:rPr>
              <w:t>.5</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2DED9729" w14:textId="018A4774" w:rsidR="561D5332" w:rsidRPr="00FE4AEE" w:rsidRDefault="561D5332" w:rsidP="00FE4AEE">
            <w:pPr>
              <w:jc w:val="center"/>
              <w:rPr>
                <w:noProof/>
                <w:color w:val="003399" w:themeColor="text2"/>
              </w:rPr>
            </w:pPr>
            <w:r w:rsidRPr="0B6859AD">
              <w:rPr>
                <w:noProof/>
                <w:color w:val="003399" w:themeColor="text2"/>
              </w:rPr>
              <w:t>149.1</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719A011C" w14:textId="0E805005" w:rsidR="561D5332" w:rsidRPr="00FE4AEE" w:rsidRDefault="561D5332" w:rsidP="00FE4AEE">
            <w:pPr>
              <w:jc w:val="center"/>
              <w:rPr>
                <w:noProof/>
                <w:color w:val="003399" w:themeColor="text2"/>
              </w:rPr>
            </w:pPr>
            <w:r w:rsidRPr="17CDE255">
              <w:rPr>
                <w:noProof/>
                <w:color w:val="003399" w:themeColor="text2"/>
              </w:rPr>
              <w:t>153.8</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shd w:val="clear" w:color="auto" w:fill="F3F7FF" w:themeFill="background2"/>
            <w:vAlign w:val="center"/>
          </w:tcPr>
          <w:p w14:paraId="6F5A379B" w14:textId="2B7D2AB4" w:rsidR="561D5332" w:rsidRPr="00FE4AEE" w:rsidRDefault="561D5332" w:rsidP="00FE4AEE">
            <w:pPr>
              <w:jc w:val="center"/>
              <w:rPr>
                <w:b/>
                <w:bCs/>
                <w:noProof/>
                <w:sz w:val="22"/>
                <w:szCs w:val="22"/>
              </w:rPr>
            </w:pPr>
            <w:r w:rsidRPr="00FE4AEE">
              <w:rPr>
                <w:b/>
                <w:bCs/>
                <w:noProof/>
                <w:sz w:val="22"/>
                <w:szCs w:val="22"/>
              </w:rPr>
              <w:t>n/a</w:t>
            </w:r>
          </w:p>
        </w:tc>
      </w:tr>
      <w:tr w:rsidR="003A2400" w:rsidRPr="00AB5413" w14:paraId="325027B8" w14:textId="77777777" w:rsidTr="005A4CD5">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810ACEE" w14:textId="1F799BF3" w:rsidR="003A2400" w:rsidRPr="00186C27" w:rsidRDefault="003A2400" w:rsidP="003A2400">
            <w:pPr>
              <w:spacing w:before="100" w:after="100"/>
              <w:rPr>
                <w:rFonts w:asciiTheme="majorHAnsi" w:hAnsiTheme="majorHAnsi"/>
                <w:b/>
                <w:bCs/>
                <w:iCs/>
                <w:noProof/>
                <w:color w:val="003399" w:themeColor="text2"/>
                <w:sz w:val="22"/>
                <w:szCs w:val="22"/>
              </w:rPr>
            </w:pPr>
            <w:r w:rsidRPr="00186C27">
              <w:rPr>
                <w:rFonts w:asciiTheme="majorHAnsi" w:hAnsiTheme="majorHAnsi"/>
                <w:b/>
                <w:bCs/>
                <w:iCs/>
                <w:noProof/>
                <w:color w:val="003399" w:themeColor="text2"/>
                <w:sz w:val="22"/>
                <w:szCs w:val="22"/>
              </w:rPr>
              <w:t>Total own resources</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2C71A60" w14:textId="013931CF" w:rsidR="003A2400" w:rsidRPr="00FE4AEE" w:rsidRDefault="003A2400" w:rsidP="003A2400">
            <w:pPr>
              <w:spacing w:before="100" w:after="100"/>
              <w:jc w:val="center"/>
              <w:rPr>
                <w:rFonts w:asciiTheme="majorHAnsi" w:hAnsiTheme="majorHAnsi"/>
                <w:b/>
                <w:bCs/>
                <w:iCs/>
                <w:noProof/>
                <w:color w:val="003399" w:themeColor="text2"/>
              </w:rPr>
            </w:pPr>
            <w:r w:rsidRPr="00FE4AEE">
              <w:rPr>
                <w:rFonts w:asciiTheme="majorHAnsi" w:hAnsiTheme="majorHAnsi"/>
                <w:b/>
                <w:bCs/>
                <w:noProof/>
                <w:color w:val="003399" w:themeColor="text2"/>
              </w:rPr>
              <w:t>B</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0BA1A05" w14:textId="0DBDF003" w:rsidR="003A2400" w:rsidRPr="00FE4AEE" w:rsidRDefault="003A2400" w:rsidP="003A2400">
            <w:pPr>
              <w:spacing w:before="100" w:after="100"/>
              <w:jc w:val="center"/>
              <w:rPr>
                <w:rFonts w:asciiTheme="majorHAnsi" w:hAnsiTheme="majorHAnsi"/>
                <w:b/>
                <w:bCs/>
                <w:iCs/>
                <w:noProof/>
                <w:color w:val="003399" w:themeColor="text2"/>
              </w:rPr>
            </w:pPr>
            <w:r w:rsidRPr="00FE4AEE">
              <w:rPr>
                <w:rFonts w:asciiTheme="majorHAnsi" w:hAnsiTheme="majorHAnsi"/>
                <w:b/>
                <w:bCs/>
                <w:iCs/>
                <w:noProof/>
                <w:color w:val="003399" w:themeColor="text2"/>
              </w:rPr>
              <w:t>208.9</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B4BAEA5" w14:textId="09B53082" w:rsidR="003A2400" w:rsidRPr="00FE4AEE" w:rsidRDefault="003A2400" w:rsidP="003A2400">
            <w:pPr>
              <w:spacing w:before="100" w:after="100"/>
              <w:jc w:val="center"/>
              <w:rPr>
                <w:rFonts w:asciiTheme="majorHAnsi" w:hAnsiTheme="majorHAnsi"/>
                <w:b/>
                <w:bCs/>
                <w:iCs/>
                <w:noProof/>
                <w:color w:val="003399" w:themeColor="text2"/>
              </w:rPr>
            </w:pPr>
            <w:r w:rsidRPr="005A4CD5">
              <w:rPr>
                <w:rFonts w:asciiTheme="majorHAnsi" w:hAnsiTheme="majorHAnsi"/>
                <w:b/>
                <w:noProof/>
                <w:color w:val="003399" w:themeColor="text2"/>
              </w:rPr>
              <w:t>262.2</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71779447" w14:textId="0712AC7E" w:rsidR="003A2400" w:rsidRPr="00FE4AEE" w:rsidRDefault="003A2400" w:rsidP="003A2400">
            <w:pPr>
              <w:spacing w:before="100" w:after="100"/>
              <w:jc w:val="center"/>
              <w:rPr>
                <w:rFonts w:asciiTheme="majorHAnsi" w:hAnsiTheme="majorHAnsi"/>
                <w:b/>
                <w:bCs/>
                <w:iCs/>
                <w:noProof/>
                <w:color w:val="003399" w:themeColor="text2"/>
              </w:rPr>
            </w:pPr>
            <w:r w:rsidRPr="005A4CD5">
              <w:rPr>
                <w:rFonts w:asciiTheme="majorHAnsi" w:hAnsiTheme="majorHAnsi"/>
                <w:b/>
                <w:noProof/>
                <w:color w:val="003399" w:themeColor="text2"/>
              </w:rPr>
              <w:t>281.0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3806BAB" w14:textId="72701944" w:rsidR="003A2400" w:rsidRPr="00FE4AEE" w:rsidRDefault="003A2400" w:rsidP="003A2400">
            <w:pPr>
              <w:spacing w:before="100" w:after="100"/>
              <w:jc w:val="center"/>
              <w:rPr>
                <w:rFonts w:asciiTheme="majorHAnsi" w:hAnsiTheme="majorHAnsi"/>
                <w:b/>
                <w:bCs/>
                <w:iCs/>
                <w:noProof/>
                <w:color w:val="003399" w:themeColor="text2"/>
              </w:rPr>
            </w:pPr>
            <w:r w:rsidRPr="005A4CD5">
              <w:rPr>
                <w:rFonts w:asciiTheme="majorHAnsi" w:hAnsiTheme="majorHAnsi"/>
                <w:b/>
                <w:noProof/>
                <w:color w:val="003399" w:themeColor="text2"/>
              </w:rPr>
              <w:t>307.6</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0AF4CF9" w14:textId="51862815" w:rsidR="003A2400" w:rsidRPr="00FE4AEE" w:rsidRDefault="003A2400" w:rsidP="003A2400">
            <w:pPr>
              <w:spacing w:before="100" w:after="100"/>
              <w:jc w:val="center"/>
              <w:rPr>
                <w:rFonts w:asciiTheme="majorHAnsi" w:hAnsiTheme="majorHAnsi"/>
                <w:b/>
                <w:bCs/>
                <w:iCs/>
                <w:noProof/>
                <w:color w:val="003399" w:themeColor="text2"/>
              </w:rPr>
            </w:pPr>
            <w:r w:rsidRPr="005A4CD5">
              <w:rPr>
                <w:rFonts w:asciiTheme="majorHAnsi" w:hAnsiTheme="majorHAnsi"/>
                <w:b/>
                <w:noProof/>
                <w:color w:val="003399" w:themeColor="text2"/>
              </w:rPr>
              <w:t>269.0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028BBBC" w14:textId="22BC9A80" w:rsidR="003A2400" w:rsidRPr="005A4CD5" w:rsidRDefault="003A2400" w:rsidP="003A2400">
            <w:pPr>
              <w:spacing w:before="100" w:after="100"/>
              <w:jc w:val="center"/>
              <w:rPr>
                <w:rFonts w:asciiTheme="majorHAnsi" w:hAnsiTheme="majorHAnsi"/>
                <w:b/>
                <w:noProof/>
                <w:color w:val="003399" w:themeColor="text2"/>
              </w:rPr>
            </w:pPr>
            <w:r w:rsidRPr="005A4CD5">
              <w:rPr>
                <w:rFonts w:asciiTheme="majorHAnsi" w:hAnsiTheme="majorHAnsi"/>
                <w:b/>
                <w:noProof/>
                <w:color w:val="003399" w:themeColor="text2"/>
              </w:rPr>
              <w:t>280.5</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5B6D584" w14:textId="387FF76B" w:rsidR="003A2400" w:rsidRPr="005A4CD5" w:rsidRDefault="003A2400" w:rsidP="003A2400">
            <w:pPr>
              <w:spacing w:before="100" w:after="100"/>
              <w:jc w:val="center"/>
              <w:rPr>
                <w:rFonts w:asciiTheme="majorHAnsi" w:hAnsiTheme="majorHAnsi"/>
                <w:b/>
                <w:noProof/>
                <w:color w:val="003399" w:themeColor="text2"/>
              </w:rPr>
            </w:pPr>
            <w:r w:rsidRPr="005A4CD5">
              <w:rPr>
                <w:rFonts w:asciiTheme="majorHAnsi" w:hAnsiTheme="majorHAnsi"/>
                <w:b/>
                <w:noProof/>
                <w:color w:val="003399" w:themeColor="text2"/>
              </w:rPr>
              <w:t>275.6</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22A07F6" w14:textId="20439253" w:rsidR="003A2400" w:rsidRPr="005A4CD5" w:rsidRDefault="003A2400" w:rsidP="003A2400">
            <w:pPr>
              <w:spacing w:before="100" w:after="100"/>
              <w:jc w:val="center"/>
              <w:rPr>
                <w:rFonts w:asciiTheme="majorHAnsi" w:hAnsiTheme="majorHAnsi"/>
                <w:b/>
                <w:noProof/>
                <w:color w:val="003399" w:themeColor="text2"/>
              </w:rPr>
            </w:pPr>
            <w:r w:rsidRPr="005A4CD5">
              <w:rPr>
                <w:rFonts w:asciiTheme="majorHAnsi" w:hAnsiTheme="majorHAnsi"/>
                <w:b/>
                <w:noProof/>
                <w:color w:val="003399" w:themeColor="text2"/>
              </w:rPr>
              <w:t>264.6</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01804E80" w14:textId="5B513472" w:rsidR="003A2400" w:rsidRPr="005A4CD5" w:rsidRDefault="003A2400" w:rsidP="003A2400">
            <w:pPr>
              <w:spacing w:before="100" w:after="100"/>
              <w:jc w:val="center"/>
              <w:rPr>
                <w:rFonts w:asciiTheme="majorHAnsi" w:hAnsiTheme="majorHAnsi"/>
                <w:b/>
                <w:noProof/>
                <w:color w:val="003399" w:themeColor="text2"/>
              </w:rPr>
            </w:pPr>
            <w:r w:rsidRPr="005A4CD5">
              <w:rPr>
                <w:rFonts w:asciiTheme="majorHAnsi" w:hAnsiTheme="majorHAnsi"/>
                <w:b/>
                <w:noProof/>
                <w:color w:val="003399" w:themeColor="text2"/>
              </w:rPr>
              <w:t>2149.4</w:t>
            </w:r>
          </w:p>
        </w:tc>
      </w:tr>
      <w:tr w:rsidR="00411000" w:rsidRPr="00AB5413" w14:paraId="75B6CAF0" w14:textId="77777777" w:rsidTr="6856BD68">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284EB16" w14:textId="6A4F69EF" w:rsidR="00411000" w:rsidRPr="00186C27" w:rsidRDefault="00411000">
            <w:pPr>
              <w:spacing w:before="100" w:after="100"/>
              <w:rPr>
                <w:rFonts w:asciiTheme="majorHAnsi" w:hAnsiTheme="majorHAnsi"/>
                <w:iCs/>
                <w:noProof/>
                <w:color w:val="003399" w:themeColor="text2"/>
                <w:sz w:val="22"/>
                <w:szCs w:val="22"/>
              </w:rPr>
            </w:pPr>
            <w:r w:rsidRPr="00186C27">
              <w:rPr>
                <w:rFonts w:asciiTheme="majorHAnsi" w:hAnsiTheme="majorHAnsi"/>
                <w:iCs/>
                <w:noProof/>
                <w:color w:val="003399" w:themeColor="text2"/>
                <w:sz w:val="22"/>
                <w:szCs w:val="22"/>
              </w:rPr>
              <w:t>Of which own resources to finance NGEU liabilities</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03B783F" w14:textId="71800AA9" w:rsidR="00411000" w:rsidRPr="00FE4AEE" w:rsidDel="000D256C" w:rsidRDefault="00A652C4" w:rsidP="00FE4AEE">
            <w:pPr>
              <w:spacing w:before="100" w:after="100"/>
              <w:jc w:val="center"/>
              <w:rPr>
                <w:rFonts w:asciiTheme="majorHAnsi" w:hAnsiTheme="majorHAnsi"/>
                <w:b/>
                <w:bCs/>
                <w:noProof/>
                <w:color w:val="003399" w:themeColor="text2"/>
              </w:rPr>
            </w:pPr>
            <w:r w:rsidRPr="00FE4AEE">
              <w:rPr>
                <w:rFonts w:asciiTheme="majorHAnsi" w:hAnsiTheme="majorHAnsi"/>
                <w:b/>
                <w:bCs/>
                <w:noProof/>
                <w:color w:val="003399" w:themeColor="text2"/>
              </w:rPr>
              <w:t>B’</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480C6C8" w14:textId="37DB0322" w:rsidR="00411000" w:rsidRPr="00FE4AEE" w:rsidRDefault="00A652C4" w:rsidP="00FE4AEE">
            <w:pPr>
              <w:spacing w:before="100" w:after="100"/>
              <w:jc w:val="center"/>
              <w:rPr>
                <w:rFonts w:asciiTheme="majorHAnsi" w:hAnsiTheme="majorHAnsi"/>
                <w:b/>
                <w:bCs/>
                <w:iCs/>
                <w:noProof/>
                <w:color w:val="003399" w:themeColor="text2"/>
              </w:rPr>
            </w:pPr>
            <w:r w:rsidRPr="00FE4AEE">
              <w:rPr>
                <w:rFonts w:asciiTheme="majorHAnsi" w:hAnsiTheme="majorHAnsi"/>
                <w:b/>
                <w:bCs/>
                <w:iCs/>
                <w:noProof/>
                <w:color w:val="003399" w:themeColor="text2"/>
              </w:rPr>
              <w:t>9.9</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B569B7B" w14:textId="2E768C33" w:rsidR="00A652C4" w:rsidRPr="00FE4AEE" w:rsidRDefault="00A652C4" w:rsidP="00FE4AEE">
            <w:pPr>
              <w:spacing w:before="100" w:after="100"/>
              <w:jc w:val="center"/>
              <w:rPr>
                <w:rFonts w:asciiTheme="majorHAnsi" w:hAnsiTheme="majorHAnsi"/>
                <w:b/>
                <w:bCs/>
                <w:iCs/>
                <w:noProof/>
                <w:color w:val="003399" w:themeColor="text2"/>
              </w:rPr>
            </w:pPr>
            <w:r w:rsidRPr="00FE4AEE">
              <w:rPr>
                <w:rFonts w:asciiTheme="majorHAnsi" w:hAnsiTheme="majorHAnsi"/>
                <w:b/>
                <w:bCs/>
                <w:iCs/>
                <w:noProof/>
                <w:color w:val="003399" w:themeColor="text2"/>
              </w:rPr>
              <w:t>24.0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497A812" w14:textId="0AADC768" w:rsidR="00411000" w:rsidRPr="00FE4AEE" w:rsidRDefault="00A652C4" w:rsidP="00FE4AEE">
            <w:pPr>
              <w:spacing w:before="100" w:after="100"/>
              <w:jc w:val="center"/>
              <w:rPr>
                <w:rFonts w:asciiTheme="majorHAnsi" w:hAnsiTheme="majorHAnsi"/>
                <w:b/>
                <w:bCs/>
                <w:iCs/>
                <w:noProof/>
                <w:color w:val="003399" w:themeColor="text2"/>
              </w:rPr>
            </w:pPr>
            <w:r w:rsidRPr="00FE4AEE">
              <w:rPr>
                <w:rFonts w:asciiTheme="majorHAnsi" w:hAnsiTheme="majorHAnsi"/>
                <w:b/>
                <w:bCs/>
                <w:iCs/>
                <w:noProof/>
                <w:color w:val="003399" w:themeColor="text2"/>
              </w:rPr>
              <w:t>24.0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9177AD3" w14:textId="7228639F" w:rsidR="00411000" w:rsidRPr="00FE4AEE" w:rsidRDefault="00A652C4" w:rsidP="00FE4AEE">
            <w:pPr>
              <w:spacing w:before="100" w:after="100"/>
              <w:jc w:val="center"/>
              <w:rPr>
                <w:rFonts w:asciiTheme="majorHAnsi" w:hAnsiTheme="majorHAnsi"/>
                <w:b/>
                <w:bCs/>
                <w:iCs/>
                <w:noProof/>
                <w:color w:val="003399" w:themeColor="text2"/>
              </w:rPr>
            </w:pPr>
            <w:r w:rsidRPr="00FE4AEE">
              <w:rPr>
                <w:rFonts w:asciiTheme="majorHAnsi" w:hAnsiTheme="majorHAnsi"/>
                <w:b/>
                <w:bCs/>
                <w:iCs/>
                <w:noProof/>
                <w:color w:val="003399" w:themeColor="text2"/>
              </w:rPr>
              <w:t>24.0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4CFEB03" w14:textId="1425E885" w:rsidR="00411000" w:rsidRPr="00FE4AEE" w:rsidRDefault="00A652C4" w:rsidP="00FE4AEE">
            <w:pPr>
              <w:spacing w:before="100" w:after="100"/>
              <w:jc w:val="center"/>
              <w:rPr>
                <w:rFonts w:asciiTheme="majorHAnsi" w:hAnsiTheme="majorHAnsi"/>
                <w:b/>
                <w:bCs/>
                <w:iCs/>
                <w:noProof/>
                <w:color w:val="003399" w:themeColor="text2"/>
              </w:rPr>
            </w:pPr>
            <w:r w:rsidRPr="00FE4AEE">
              <w:rPr>
                <w:rFonts w:asciiTheme="majorHAnsi" w:hAnsiTheme="majorHAnsi"/>
                <w:b/>
                <w:bCs/>
                <w:iCs/>
                <w:noProof/>
                <w:color w:val="003399" w:themeColor="text2"/>
              </w:rPr>
              <w:t>24.0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77779D51" w14:textId="2AFA9A03" w:rsidR="00411000" w:rsidRPr="00FE4AEE" w:rsidRDefault="00A652C4" w:rsidP="00FE4AEE">
            <w:pPr>
              <w:spacing w:before="100" w:after="100"/>
              <w:jc w:val="center"/>
              <w:rPr>
                <w:rFonts w:asciiTheme="majorHAnsi" w:eastAsia="Calibri" w:hAnsiTheme="majorHAnsi"/>
                <w:b/>
                <w:bCs/>
                <w:iCs/>
                <w:noProof/>
                <w:color w:val="003399" w:themeColor="text2"/>
              </w:rPr>
            </w:pPr>
            <w:r w:rsidRPr="00FE4AEE">
              <w:rPr>
                <w:rFonts w:asciiTheme="majorHAnsi" w:eastAsia="Calibri" w:hAnsiTheme="majorHAnsi"/>
                <w:b/>
                <w:bCs/>
                <w:iCs/>
                <w:noProof/>
                <w:color w:val="003399" w:themeColor="text2"/>
              </w:rPr>
              <w:t>24.0</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2DB145A" w14:textId="082A89AF" w:rsidR="00411000" w:rsidRPr="00FE4AEE" w:rsidRDefault="00A652C4" w:rsidP="00FE4AEE">
            <w:pPr>
              <w:spacing w:before="100" w:after="100"/>
              <w:jc w:val="center"/>
              <w:rPr>
                <w:rFonts w:asciiTheme="majorHAnsi" w:eastAsia="Calibri" w:hAnsiTheme="majorHAnsi"/>
                <w:b/>
                <w:bCs/>
                <w:iCs/>
                <w:noProof/>
                <w:color w:val="003399" w:themeColor="text2"/>
              </w:rPr>
            </w:pPr>
            <w:r w:rsidRPr="00FE4AEE">
              <w:rPr>
                <w:rFonts w:asciiTheme="majorHAnsi" w:eastAsia="Calibri" w:hAnsiTheme="majorHAnsi"/>
                <w:b/>
                <w:bCs/>
                <w:iCs/>
                <w:noProof/>
                <w:color w:val="003399" w:themeColor="text2"/>
              </w:rPr>
              <w:t>24.0</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9A89822" w14:textId="4DDE273D" w:rsidR="00411000" w:rsidRPr="00FE4AEE" w:rsidRDefault="00A652C4" w:rsidP="00FE4AEE">
            <w:pPr>
              <w:spacing w:before="100" w:after="100"/>
              <w:jc w:val="center"/>
              <w:rPr>
                <w:rFonts w:asciiTheme="majorHAnsi" w:eastAsia="Calibri" w:hAnsiTheme="majorHAnsi"/>
                <w:b/>
                <w:bCs/>
                <w:iCs/>
                <w:noProof/>
                <w:color w:val="003399" w:themeColor="text2"/>
              </w:rPr>
            </w:pPr>
            <w:r w:rsidRPr="00FE4AEE">
              <w:rPr>
                <w:rFonts w:asciiTheme="majorHAnsi" w:eastAsia="Calibri" w:hAnsiTheme="majorHAnsi"/>
                <w:b/>
                <w:bCs/>
                <w:iCs/>
                <w:noProof/>
                <w:color w:val="003399" w:themeColor="text2"/>
              </w:rPr>
              <w:t>24.0</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03E14F95" w14:textId="77777777" w:rsidR="00411000" w:rsidRPr="00FE4AEE" w:rsidRDefault="00411000" w:rsidP="00FE4AEE">
            <w:pPr>
              <w:spacing w:before="100" w:after="100"/>
              <w:jc w:val="center"/>
              <w:rPr>
                <w:rFonts w:asciiTheme="majorHAnsi" w:hAnsiTheme="majorHAnsi"/>
                <w:b/>
                <w:bCs/>
                <w:iCs/>
                <w:noProof/>
                <w:sz w:val="22"/>
                <w:szCs w:val="22"/>
              </w:rPr>
            </w:pPr>
          </w:p>
        </w:tc>
      </w:tr>
      <w:tr w:rsidR="00876141" w:rsidRPr="00AB5413" w14:paraId="36949093" w14:textId="77777777" w:rsidTr="005A4CD5">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1313F9D" w14:textId="77777777" w:rsidR="00876141" w:rsidRPr="00186C27" w:rsidRDefault="00876141" w:rsidP="00876141">
            <w:pPr>
              <w:spacing w:before="0" w:after="0"/>
              <w:ind w:left="170"/>
              <w:rPr>
                <w:rFonts w:asciiTheme="majorHAnsi" w:hAnsiTheme="majorHAnsi"/>
                <w:bCs/>
                <w:iCs/>
                <w:noProof/>
                <w:color w:val="003399" w:themeColor="text2"/>
                <w:sz w:val="22"/>
                <w:szCs w:val="22"/>
              </w:rPr>
            </w:pPr>
            <w:r w:rsidRPr="00186C27">
              <w:rPr>
                <w:rFonts w:asciiTheme="majorHAnsi" w:hAnsiTheme="majorHAnsi"/>
                <w:bCs/>
                <w:iCs/>
                <w:noProof/>
                <w:color w:val="003399" w:themeColor="text2"/>
                <w:sz w:val="22"/>
                <w:szCs w:val="22"/>
              </w:rPr>
              <w:t xml:space="preserve">of which </w:t>
            </w:r>
          </w:p>
          <w:p w14:paraId="50AEB591" w14:textId="42A7B7F9" w:rsidR="00876141" w:rsidRPr="00186C27" w:rsidRDefault="00876141" w:rsidP="00876141">
            <w:pPr>
              <w:spacing w:before="0" w:after="0"/>
              <w:ind w:left="142"/>
              <w:rPr>
                <w:rFonts w:asciiTheme="majorHAnsi" w:hAnsiTheme="majorHAnsi"/>
                <w:b/>
                <w:bCs/>
                <w:iCs/>
                <w:noProof/>
                <w:color w:val="003399" w:themeColor="text2"/>
                <w:sz w:val="22"/>
                <w:szCs w:val="22"/>
              </w:rPr>
            </w:pPr>
            <w:r w:rsidRPr="00186C27">
              <w:rPr>
                <w:rFonts w:asciiTheme="majorHAnsi" w:hAnsiTheme="majorHAnsi"/>
                <w:iCs/>
                <w:noProof/>
                <w:color w:val="003399" w:themeColor="text2"/>
                <w:sz w:val="22"/>
                <w:szCs w:val="22"/>
              </w:rPr>
              <w:t>Net amount of traditional own resources***</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9784D32" w14:textId="52C9A4CD" w:rsidR="00876141" w:rsidRPr="00FE4AEE" w:rsidRDefault="00876141" w:rsidP="00876141">
            <w:pPr>
              <w:spacing w:before="0" w:after="0"/>
              <w:jc w:val="center"/>
              <w:rPr>
                <w:rFonts w:asciiTheme="majorHAnsi" w:hAnsiTheme="majorHAnsi"/>
                <w:b/>
                <w:bCs/>
                <w:iCs/>
                <w:noProof/>
                <w:color w:val="003399" w:themeColor="text2"/>
              </w:rPr>
            </w:pP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ACF1A4E" w14:textId="139B37D5" w:rsidR="00876141" w:rsidRPr="005A4CD5" w:rsidRDefault="00C67A5A" w:rsidP="005A4CD5">
            <w:pPr>
              <w:spacing w:before="100" w:after="100" w:line="22" w:lineRule="atLeast"/>
              <w:jc w:val="center"/>
              <w:rPr>
                <w:rFonts w:asciiTheme="majorHAnsi" w:eastAsia="Calibri" w:hAnsiTheme="majorHAnsi"/>
                <w:noProof/>
                <w:color w:val="003399" w:themeColor="text2"/>
              </w:rPr>
            </w:pPr>
            <w:r>
              <w:rPr>
                <w:rFonts w:asciiTheme="majorHAnsi" w:eastAsia="Calibri" w:hAnsiTheme="majorHAnsi"/>
                <w:noProof/>
                <w:color w:val="003399" w:themeColor="text2"/>
              </w:rPr>
              <w:t xml:space="preserve"> </w:t>
            </w:r>
            <w:r w:rsidR="004118F7">
              <w:rPr>
                <w:rFonts w:asciiTheme="majorHAnsi" w:eastAsia="Calibri" w:hAnsiTheme="majorHAnsi"/>
                <w:noProof/>
                <w:color w:val="003399" w:themeColor="text2"/>
              </w:rPr>
              <w:t>25.0</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773668FA" w14:textId="5A67E155" w:rsidR="00876141" w:rsidRPr="005A4CD5" w:rsidRDefault="00876141" w:rsidP="005A4CD5">
            <w:pPr>
              <w:spacing w:before="100" w:after="100" w:line="22" w:lineRule="atLeast"/>
              <w:jc w:val="center"/>
              <w:rPr>
                <w:rFonts w:asciiTheme="majorHAnsi" w:eastAsia="Calibri" w:hAnsiTheme="majorHAnsi"/>
                <w:noProof/>
                <w:color w:val="003399" w:themeColor="text2"/>
              </w:rPr>
            </w:pPr>
            <w:r w:rsidRPr="005A4CD5">
              <w:rPr>
                <w:rFonts w:asciiTheme="majorHAnsi" w:eastAsia="Calibri" w:hAnsiTheme="majorHAnsi"/>
                <w:noProof/>
                <w:color w:val="003399" w:themeColor="text2"/>
              </w:rPr>
              <w:t>34.5</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7D663BA6" w14:textId="5E3C6A32" w:rsidR="00876141" w:rsidRPr="005A4CD5" w:rsidRDefault="00876141" w:rsidP="005A4CD5">
            <w:pPr>
              <w:spacing w:before="100" w:after="100" w:line="22" w:lineRule="atLeast"/>
              <w:jc w:val="center"/>
              <w:rPr>
                <w:rFonts w:asciiTheme="majorHAnsi" w:eastAsia="Calibri" w:hAnsiTheme="majorHAnsi"/>
                <w:noProof/>
                <w:color w:val="003399" w:themeColor="text2"/>
              </w:rPr>
            </w:pPr>
            <w:r w:rsidRPr="005A4CD5">
              <w:rPr>
                <w:rFonts w:asciiTheme="majorHAnsi" w:eastAsia="Calibri" w:hAnsiTheme="majorHAnsi"/>
                <w:noProof/>
                <w:color w:val="003399" w:themeColor="text2"/>
              </w:rPr>
              <w:t>35.7</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60B40D2" w14:textId="4EC2E4B8" w:rsidR="00876141" w:rsidRPr="005A4CD5" w:rsidRDefault="00876141" w:rsidP="005A4CD5">
            <w:pPr>
              <w:spacing w:before="100" w:after="100" w:line="22" w:lineRule="atLeast"/>
              <w:jc w:val="center"/>
              <w:rPr>
                <w:rFonts w:asciiTheme="majorHAnsi" w:eastAsia="Calibri" w:hAnsiTheme="majorHAnsi"/>
                <w:noProof/>
                <w:color w:val="003399" w:themeColor="text2"/>
              </w:rPr>
            </w:pPr>
            <w:r w:rsidRPr="005A4CD5">
              <w:rPr>
                <w:rFonts w:asciiTheme="majorHAnsi" w:eastAsia="Calibri" w:hAnsiTheme="majorHAnsi"/>
                <w:noProof/>
                <w:color w:val="003399" w:themeColor="text2"/>
              </w:rPr>
              <w:t>36.8</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8C29953" w14:textId="25CD378B" w:rsidR="00876141" w:rsidRPr="005A4CD5" w:rsidRDefault="00876141" w:rsidP="005A4CD5">
            <w:pPr>
              <w:spacing w:before="100" w:after="100" w:line="22" w:lineRule="atLeast"/>
              <w:jc w:val="center"/>
              <w:rPr>
                <w:rFonts w:asciiTheme="majorHAnsi" w:eastAsia="Calibri" w:hAnsiTheme="majorHAnsi"/>
                <w:noProof/>
                <w:color w:val="003399" w:themeColor="text2"/>
              </w:rPr>
            </w:pPr>
            <w:r w:rsidRPr="005A4CD5">
              <w:rPr>
                <w:rFonts w:asciiTheme="majorHAnsi" w:eastAsia="Calibri" w:hAnsiTheme="majorHAnsi"/>
                <w:noProof/>
                <w:color w:val="003399" w:themeColor="text2"/>
              </w:rPr>
              <w:t>38.0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C80C13F" w14:textId="4CD89B06" w:rsidR="00876141" w:rsidRPr="005A4CD5" w:rsidRDefault="00876141" w:rsidP="005A4CD5">
            <w:pPr>
              <w:spacing w:before="100" w:after="100" w:line="22" w:lineRule="atLeast"/>
              <w:jc w:val="center"/>
              <w:rPr>
                <w:rFonts w:asciiTheme="majorHAnsi" w:eastAsia="Calibri" w:hAnsiTheme="majorHAnsi"/>
                <w:noProof/>
                <w:color w:val="003399" w:themeColor="text2"/>
              </w:rPr>
            </w:pPr>
            <w:r w:rsidRPr="005A4CD5">
              <w:rPr>
                <w:rFonts w:asciiTheme="majorHAnsi" w:eastAsia="Calibri" w:hAnsiTheme="majorHAnsi"/>
                <w:noProof/>
                <w:color w:val="003399" w:themeColor="text2"/>
              </w:rPr>
              <w:t>39.2</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2825B49" w14:textId="2CC0129E" w:rsidR="00876141" w:rsidRPr="005A4CD5" w:rsidRDefault="00876141" w:rsidP="005A4CD5">
            <w:pPr>
              <w:spacing w:before="100" w:after="100" w:line="22" w:lineRule="atLeast"/>
              <w:jc w:val="center"/>
              <w:rPr>
                <w:rFonts w:asciiTheme="majorHAnsi" w:eastAsia="Calibri" w:hAnsiTheme="majorHAnsi"/>
                <w:noProof/>
                <w:color w:val="003399" w:themeColor="text2"/>
              </w:rPr>
            </w:pPr>
            <w:r w:rsidRPr="005A4CD5">
              <w:rPr>
                <w:rFonts w:asciiTheme="majorHAnsi" w:eastAsia="Calibri" w:hAnsiTheme="majorHAnsi"/>
                <w:noProof/>
                <w:color w:val="003399" w:themeColor="text2"/>
              </w:rPr>
              <w:t>40.4</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DF4F1B6" w14:textId="5F96FE47" w:rsidR="00876141" w:rsidRPr="005A4CD5" w:rsidRDefault="00876141" w:rsidP="005A4CD5">
            <w:pPr>
              <w:spacing w:before="100" w:after="100" w:line="22" w:lineRule="atLeast"/>
              <w:jc w:val="center"/>
              <w:rPr>
                <w:rFonts w:asciiTheme="majorHAnsi" w:eastAsia="Calibri" w:hAnsiTheme="majorHAnsi"/>
                <w:noProof/>
                <w:color w:val="003399" w:themeColor="text2"/>
              </w:rPr>
            </w:pPr>
            <w:r w:rsidRPr="005A4CD5">
              <w:rPr>
                <w:rFonts w:asciiTheme="majorHAnsi" w:eastAsia="Calibri" w:hAnsiTheme="majorHAnsi"/>
                <w:noProof/>
                <w:color w:val="003399" w:themeColor="text2"/>
              </w:rPr>
              <w:t>41.6</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78E9A60F" w14:textId="3EA5E38D" w:rsidR="00876141" w:rsidRPr="00A627A3" w:rsidRDefault="00876141" w:rsidP="005A4CD5">
            <w:pPr>
              <w:spacing w:before="100" w:after="100" w:line="22" w:lineRule="atLeast"/>
              <w:jc w:val="center"/>
              <w:rPr>
                <w:rFonts w:asciiTheme="majorHAnsi" w:eastAsia="Calibri" w:hAnsiTheme="majorHAnsi"/>
                <w:b/>
                <w:noProof/>
              </w:rPr>
            </w:pPr>
            <w:r w:rsidRPr="005A4CD5">
              <w:rPr>
                <w:rFonts w:asciiTheme="majorHAnsi" w:eastAsia="Calibri" w:hAnsiTheme="majorHAnsi"/>
                <w:b/>
                <w:noProof/>
              </w:rPr>
              <w:t>291.3</w:t>
            </w:r>
          </w:p>
        </w:tc>
      </w:tr>
      <w:tr w:rsidR="002568D0" w:rsidRPr="00AB5413" w14:paraId="12E9D7C1" w14:textId="77777777" w:rsidTr="005A4CD5">
        <w:trPr>
          <w:trHeight w:val="497"/>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79CE3151" w14:textId="77777777" w:rsidR="002568D0" w:rsidRPr="00186C27" w:rsidRDefault="002568D0" w:rsidP="002568D0">
            <w:pPr>
              <w:spacing w:before="100" w:after="100"/>
              <w:ind w:left="170"/>
              <w:rPr>
                <w:rFonts w:asciiTheme="majorHAnsi" w:hAnsiTheme="majorHAnsi"/>
                <w:bCs/>
                <w:iCs/>
                <w:noProof/>
                <w:color w:val="003399" w:themeColor="text2"/>
                <w:sz w:val="22"/>
                <w:szCs w:val="22"/>
              </w:rPr>
            </w:pPr>
            <w:r w:rsidRPr="00186C27">
              <w:rPr>
                <w:rFonts w:asciiTheme="majorHAnsi" w:hAnsiTheme="majorHAnsi"/>
                <w:noProof/>
                <w:color w:val="003399" w:themeColor="text2"/>
                <w:sz w:val="22"/>
                <w:szCs w:val="22"/>
              </w:rPr>
              <w:t>VAT-based own resource</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7646F56C" w14:textId="623AB704" w:rsidR="002568D0" w:rsidRPr="00FE4AEE" w:rsidRDefault="002568D0" w:rsidP="002568D0">
            <w:pPr>
              <w:spacing w:before="100" w:after="100"/>
              <w:jc w:val="center"/>
              <w:rPr>
                <w:rFonts w:asciiTheme="majorHAnsi" w:hAnsiTheme="majorHAnsi"/>
                <w:bCs/>
                <w:iCs/>
                <w:noProof/>
                <w:color w:val="003399" w:themeColor="text2"/>
              </w:rPr>
            </w:pP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51F1CA5" w14:textId="0AD7F61E" w:rsidR="002568D0" w:rsidRPr="00FE4AEE" w:rsidRDefault="002568D0" w:rsidP="002568D0">
            <w:pPr>
              <w:spacing w:before="100" w:after="100" w:line="22" w:lineRule="atLeast"/>
              <w:jc w:val="center"/>
              <w:rPr>
                <w:rFonts w:asciiTheme="majorHAnsi" w:eastAsia="Calibri" w:hAnsiTheme="majorHAnsi"/>
                <w:iCs/>
                <w:noProof/>
                <w:color w:val="003399" w:themeColor="text2"/>
              </w:rPr>
            </w:pPr>
            <w:r w:rsidRPr="00FE4AEE">
              <w:rPr>
                <w:rFonts w:asciiTheme="majorHAnsi" w:eastAsia="Calibri" w:hAnsiTheme="majorHAnsi"/>
                <w:iCs/>
                <w:noProof/>
                <w:color w:val="003399" w:themeColor="text2"/>
              </w:rPr>
              <w:t>26.0</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B4219F6" w14:textId="7D17786D" w:rsidR="002568D0" w:rsidRPr="00FE4AEE" w:rsidRDefault="002568D0" w:rsidP="002568D0">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26.6</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1EAB13B" w14:textId="0873F67F" w:rsidR="002568D0" w:rsidRPr="00FE4AEE" w:rsidRDefault="002568D0" w:rsidP="002568D0">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27.5</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39E0D7C" w14:textId="63C41437" w:rsidR="002568D0" w:rsidRPr="00FE4AEE" w:rsidRDefault="002568D0" w:rsidP="002568D0">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28.3</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1781AD9" w14:textId="74487704" w:rsidR="002568D0" w:rsidRPr="00FE4AEE" w:rsidRDefault="002568D0" w:rsidP="002568D0">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29.2</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7AAD7A5" w14:textId="1B0ACA05" w:rsidR="002568D0" w:rsidRPr="00FE4AEE" w:rsidRDefault="002568D0" w:rsidP="002568D0">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30.1</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795F8303" w14:textId="07F4D525" w:rsidR="002568D0" w:rsidRPr="00FE4AEE" w:rsidRDefault="002568D0" w:rsidP="002568D0">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31.0</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737A97D" w14:textId="56A1B02D" w:rsidR="002568D0" w:rsidRPr="00FE4AEE" w:rsidRDefault="002568D0" w:rsidP="002568D0">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31.9</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401F7C21" w14:textId="13F08FFB" w:rsidR="002568D0" w:rsidRPr="005A4CD5" w:rsidRDefault="002568D0" w:rsidP="002568D0">
            <w:pPr>
              <w:spacing w:before="100" w:after="100" w:line="22" w:lineRule="atLeast"/>
              <w:jc w:val="center"/>
              <w:rPr>
                <w:rFonts w:asciiTheme="majorHAnsi" w:eastAsia="Calibri" w:hAnsiTheme="majorHAnsi"/>
                <w:b/>
                <w:noProof/>
              </w:rPr>
            </w:pPr>
            <w:r w:rsidRPr="005A4CD5">
              <w:rPr>
                <w:rFonts w:asciiTheme="majorHAnsi" w:eastAsia="Calibri" w:hAnsiTheme="majorHAnsi"/>
                <w:b/>
                <w:noProof/>
              </w:rPr>
              <w:t>230.4</w:t>
            </w:r>
          </w:p>
        </w:tc>
      </w:tr>
      <w:tr w:rsidR="002568D0" w:rsidRPr="00AB5413" w14:paraId="77B2CAB7" w14:textId="77777777" w:rsidTr="005A4CD5">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006D1D1" w14:textId="77777777" w:rsidR="002568D0" w:rsidRPr="00186C27" w:rsidRDefault="002568D0" w:rsidP="002568D0">
            <w:pPr>
              <w:spacing w:before="100" w:after="100"/>
              <w:ind w:left="170"/>
              <w:rPr>
                <w:rFonts w:asciiTheme="majorHAnsi" w:hAnsiTheme="majorHAnsi"/>
                <w:bCs/>
                <w:iCs/>
                <w:noProof/>
                <w:color w:val="003399" w:themeColor="text2"/>
                <w:sz w:val="22"/>
                <w:szCs w:val="22"/>
              </w:rPr>
            </w:pPr>
            <w:r w:rsidRPr="00186C27">
              <w:rPr>
                <w:rFonts w:asciiTheme="majorHAnsi" w:hAnsiTheme="majorHAnsi"/>
                <w:bCs/>
                <w:iCs/>
                <w:noProof/>
                <w:color w:val="003399" w:themeColor="text2"/>
                <w:sz w:val="22"/>
                <w:szCs w:val="22"/>
              </w:rPr>
              <w:t>Plastic-based own resource</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0AC1C71" w14:textId="77777777" w:rsidR="002568D0" w:rsidRPr="00FE4AEE" w:rsidRDefault="002568D0" w:rsidP="002568D0">
            <w:pPr>
              <w:spacing w:before="100" w:after="100"/>
              <w:jc w:val="center"/>
              <w:rPr>
                <w:rFonts w:asciiTheme="majorHAnsi" w:hAnsiTheme="majorHAnsi"/>
                <w:iCs/>
                <w:noProof/>
                <w:color w:val="003399" w:themeColor="text2"/>
              </w:rPr>
            </w:pP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CF90739" w14:textId="7B9E395D" w:rsidR="002568D0" w:rsidRPr="00FE4AEE" w:rsidRDefault="002568D0" w:rsidP="002568D0">
            <w:pPr>
              <w:spacing w:before="100" w:after="100" w:line="22" w:lineRule="atLeast"/>
              <w:jc w:val="center"/>
              <w:rPr>
                <w:rFonts w:asciiTheme="majorHAnsi" w:eastAsia="Calibri" w:hAnsiTheme="majorHAnsi"/>
                <w:iCs/>
                <w:noProof/>
                <w:color w:val="003399" w:themeColor="text2"/>
              </w:rPr>
            </w:pPr>
            <w:r w:rsidRPr="00FE4AEE">
              <w:rPr>
                <w:rFonts w:asciiTheme="majorHAnsi" w:eastAsia="Calibri" w:hAnsiTheme="majorHAnsi"/>
                <w:iCs/>
                <w:noProof/>
                <w:color w:val="003399" w:themeColor="text2"/>
              </w:rPr>
              <w:t>6.5</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5CBC28A" w14:textId="0ED05DAA" w:rsidR="002568D0" w:rsidRPr="00FE4AEE" w:rsidRDefault="002568D0" w:rsidP="002568D0">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9.3</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4F2F768" w14:textId="6AA5EF30" w:rsidR="002568D0" w:rsidRPr="00FE4AEE" w:rsidRDefault="002568D0" w:rsidP="002568D0">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9.5</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80A315D" w14:textId="7AD5F99F" w:rsidR="002568D0" w:rsidRPr="00FE4AEE" w:rsidRDefault="002568D0" w:rsidP="002568D0">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9.7</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A149BCC" w14:textId="7DD64C42" w:rsidR="002568D0" w:rsidRPr="00FE4AEE" w:rsidRDefault="002568D0" w:rsidP="002568D0">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9.9</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3A9A0E0" w14:textId="213877CA" w:rsidR="002568D0" w:rsidRPr="00FE4AEE" w:rsidRDefault="002568D0" w:rsidP="002568D0">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10.1</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8250ACC" w14:textId="0E5844F2" w:rsidR="002568D0" w:rsidRPr="00FE4AEE" w:rsidRDefault="002568D0" w:rsidP="002568D0">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10.3</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6D38712" w14:textId="6B59B31B" w:rsidR="002568D0" w:rsidRPr="00FE4AEE" w:rsidRDefault="002568D0" w:rsidP="002568D0">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10.5</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3D8D7AF4" w14:textId="6B38FFAD" w:rsidR="002568D0" w:rsidRPr="005A4CD5" w:rsidRDefault="002568D0" w:rsidP="002568D0">
            <w:pPr>
              <w:spacing w:before="100" w:after="100" w:line="22" w:lineRule="atLeast"/>
              <w:jc w:val="center"/>
              <w:rPr>
                <w:rFonts w:asciiTheme="majorHAnsi" w:eastAsia="Calibri" w:hAnsiTheme="majorHAnsi"/>
                <w:b/>
                <w:noProof/>
              </w:rPr>
            </w:pPr>
            <w:r w:rsidRPr="005A4CD5">
              <w:rPr>
                <w:rFonts w:asciiTheme="majorHAnsi" w:eastAsia="Calibri" w:hAnsiTheme="majorHAnsi"/>
                <w:b/>
                <w:noProof/>
              </w:rPr>
              <w:t>75.6</w:t>
            </w:r>
          </w:p>
        </w:tc>
      </w:tr>
      <w:tr w:rsidR="000D256C" w:rsidRPr="00AB5413" w14:paraId="55ACB159" w14:textId="77777777" w:rsidTr="004D3FA0">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EECED4D" w14:textId="11590498" w:rsidR="000D256C" w:rsidRPr="00186C27" w:rsidRDefault="000D256C" w:rsidP="00F41B7B">
            <w:pPr>
              <w:spacing w:before="100" w:after="100"/>
              <w:ind w:left="170"/>
              <w:rPr>
                <w:rFonts w:asciiTheme="majorHAnsi" w:hAnsiTheme="majorHAnsi"/>
                <w:bCs/>
                <w:iCs/>
                <w:noProof/>
                <w:color w:val="003399" w:themeColor="text2"/>
                <w:sz w:val="22"/>
                <w:szCs w:val="22"/>
              </w:rPr>
            </w:pPr>
            <w:r w:rsidRPr="00186C27">
              <w:rPr>
                <w:rFonts w:asciiTheme="majorHAnsi" w:hAnsiTheme="majorHAnsi"/>
                <w:bCs/>
                <w:iCs/>
                <w:noProof/>
                <w:color w:val="003399" w:themeColor="text2"/>
                <w:sz w:val="22"/>
                <w:szCs w:val="22"/>
              </w:rPr>
              <w:t>European Emission Trading System</w:t>
            </w:r>
            <w:r w:rsidR="00BA5175" w:rsidRPr="00186C27">
              <w:rPr>
                <w:rFonts w:asciiTheme="majorHAnsi" w:hAnsiTheme="majorHAnsi"/>
                <w:bCs/>
                <w:iCs/>
                <w:noProof/>
                <w:color w:val="003399" w:themeColor="text2"/>
                <w:sz w:val="22"/>
                <w:szCs w:val="22"/>
              </w:rPr>
              <w:t>-</w:t>
            </w:r>
            <w:r w:rsidRPr="00186C27">
              <w:rPr>
                <w:rFonts w:asciiTheme="majorHAnsi" w:hAnsiTheme="majorHAnsi"/>
                <w:bCs/>
                <w:iCs/>
                <w:noProof/>
                <w:color w:val="003399" w:themeColor="text2"/>
                <w:sz w:val="22"/>
                <w:szCs w:val="22"/>
              </w:rPr>
              <w:t>based own resource (ETS1)</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2586450" w14:textId="77777777" w:rsidR="000D256C" w:rsidRPr="00FE4AEE" w:rsidRDefault="000D256C" w:rsidP="00FE4AEE">
            <w:pPr>
              <w:spacing w:before="100" w:after="100"/>
              <w:jc w:val="center"/>
              <w:rPr>
                <w:rFonts w:asciiTheme="majorHAnsi" w:hAnsiTheme="majorHAnsi"/>
                <w:iCs/>
                <w:noProof/>
                <w:color w:val="003399" w:themeColor="text2"/>
              </w:rPr>
            </w:pP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821021D" w14:textId="77777777" w:rsidR="000D256C" w:rsidRPr="00FE4AEE" w:rsidRDefault="000D256C" w:rsidP="00FE4AEE">
            <w:pPr>
              <w:spacing w:before="100" w:after="100" w:line="22" w:lineRule="atLeast"/>
              <w:jc w:val="center"/>
              <w:rPr>
                <w:rFonts w:asciiTheme="majorHAnsi" w:eastAsia="Calibri" w:hAnsiTheme="majorHAnsi"/>
                <w:iCs/>
                <w:noProof/>
                <w:color w:val="003399" w:themeColor="text2"/>
              </w:rPr>
            </w:pP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40D1387" w14:textId="272B29D2" w:rsidR="000D256C" w:rsidRPr="00FE4AEE" w:rsidRDefault="000D256C" w:rsidP="00FE4AEE">
            <w:pPr>
              <w:spacing w:before="100" w:after="100" w:line="22" w:lineRule="atLeast"/>
              <w:jc w:val="center"/>
              <w:rPr>
                <w:rFonts w:asciiTheme="majorHAnsi" w:eastAsia="Calibri" w:hAnsiTheme="majorHAnsi"/>
                <w:iCs/>
                <w:noProof/>
                <w:color w:val="003399" w:themeColor="text2"/>
              </w:rPr>
            </w:pPr>
            <w:r w:rsidRPr="00FE4AEE">
              <w:rPr>
                <w:rFonts w:asciiTheme="majorHAnsi" w:eastAsia="Calibri" w:hAnsiTheme="majorHAnsi"/>
                <w:iCs/>
                <w:noProof/>
                <w:color w:val="003399" w:themeColor="text2"/>
              </w:rPr>
              <w:t>8</w:t>
            </w:r>
            <w:r w:rsidR="00650704" w:rsidRPr="00FE4AEE">
              <w:rPr>
                <w:rFonts w:asciiTheme="majorHAnsi" w:eastAsia="Calibri" w:hAnsiTheme="majorHAnsi"/>
                <w:iCs/>
                <w:noProof/>
                <w:color w:val="003399" w:themeColor="text2"/>
              </w:rPr>
              <w:t>.</w:t>
            </w:r>
            <w:r w:rsidRPr="00FE4AEE">
              <w:rPr>
                <w:rFonts w:asciiTheme="majorHAnsi" w:eastAsia="Calibri" w:hAnsiTheme="majorHAnsi"/>
                <w:iCs/>
                <w:noProof/>
                <w:color w:val="003399" w:themeColor="text2"/>
              </w:rPr>
              <w:t>8</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4B2D9F1" w14:textId="3DF03747" w:rsidR="000D256C" w:rsidRPr="00FE4AEE" w:rsidRDefault="000D256C" w:rsidP="00FE4AEE">
            <w:pPr>
              <w:spacing w:before="100" w:after="100" w:line="22" w:lineRule="atLeast"/>
              <w:jc w:val="center"/>
              <w:rPr>
                <w:rFonts w:asciiTheme="majorHAnsi" w:eastAsia="Calibri" w:hAnsiTheme="majorHAnsi"/>
                <w:iCs/>
                <w:noProof/>
                <w:color w:val="003399" w:themeColor="text2"/>
              </w:rPr>
            </w:pPr>
            <w:r w:rsidRPr="00FE4AEE">
              <w:rPr>
                <w:rFonts w:asciiTheme="majorHAnsi" w:eastAsia="Calibri" w:hAnsiTheme="majorHAnsi"/>
                <w:iCs/>
                <w:noProof/>
                <w:color w:val="003399" w:themeColor="text2"/>
              </w:rPr>
              <w:t>11</w:t>
            </w:r>
            <w:r w:rsidR="00B877C3" w:rsidRPr="00FE4AEE">
              <w:rPr>
                <w:rFonts w:asciiTheme="majorHAnsi" w:eastAsia="Calibri" w:hAnsiTheme="majorHAnsi"/>
                <w:iCs/>
                <w:noProof/>
                <w:color w:val="003399" w:themeColor="text2"/>
              </w:rPr>
              <w:t>.</w:t>
            </w:r>
            <w:r w:rsidRPr="00FE4AEE">
              <w:rPr>
                <w:rFonts w:asciiTheme="majorHAnsi" w:eastAsia="Calibri" w:hAnsiTheme="majorHAnsi"/>
                <w:iCs/>
                <w:noProof/>
                <w:color w:val="003399" w:themeColor="text2"/>
              </w:rPr>
              <w:t>7</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C5FD05C" w14:textId="43857E67" w:rsidR="000D256C" w:rsidRPr="00FE4AEE" w:rsidRDefault="000D256C" w:rsidP="00FE4AEE">
            <w:pPr>
              <w:spacing w:before="100" w:after="100" w:line="22" w:lineRule="atLeast"/>
              <w:jc w:val="center"/>
              <w:rPr>
                <w:rFonts w:asciiTheme="majorHAnsi" w:eastAsia="Calibri" w:hAnsiTheme="majorHAnsi"/>
                <w:iCs/>
                <w:noProof/>
                <w:color w:val="003399" w:themeColor="text2"/>
              </w:rPr>
            </w:pPr>
            <w:r w:rsidRPr="00FE4AEE">
              <w:rPr>
                <w:rFonts w:asciiTheme="majorHAnsi" w:eastAsia="Calibri" w:hAnsiTheme="majorHAnsi"/>
                <w:iCs/>
                <w:noProof/>
                <w:color w:val="003399" w:themeColor="text2"/>
              </w:rPr>
              <w:t>11</w:t>
            </w:r>
            <w:r w:rsidR="00B877C3" w:rsidRPr="00FE4AEE">
              <w:rPr>
                <w:rFonts w:asciiTheme="majorHAnsi" w:eastAsia="Calibri" w:hAnsiTheme="majorHAnsi"/>
                <w:iCs/>
                <w:noProof/>
                <w:color w:val="003399" w:themeColor="text2"/>
              </w:rPr>
              <w:t>.</w:t>
            </w:r>
            <w:r w:rsidRPr="00FE4AEE">
              <w:rPr>
                <w:rFonts w:asciiTheme="majorHAnsi" w:eastAsia="Calibri" w:hAnsiTheme="majorHAnsi"/>
                <w:iCs/>
                <w:noProof/>
                <w:color w:val="003399" w:themeColor="text2"/>
              </w:rPr>
              <w:t>3</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2C94326" w14:textId="734F0690" w:rsidR="000D256C" w:rsidRPr="00FE4AEE" w:rsidRDefault="000D256C" w:rsidP="00FE4AEE">
            <w:pPr>
              <w:spacing w:before="100" w:after="100" w:line="22" w:lineRule="atLeast"/>
              <w:jc w:val="center"/>
              <w:rPr>
                <w:rFonts w:asciiTheme="majorHAnsi" w:eastAsia="Calibri" w:hAnsiTheme="majorHAnsi"/>
                <w:iCs/>
                <w:noProof/>
                <w:color w:val="003399" w:themeColor="text2"/>
              </w:rPr>
            </w:pPr>
            <w:r w:rsidRPr="00FE4AEE">
              <w:rPr>
                <w:rFonts w:asciiTheme="majorHAnsi" w:eastAsia="Calibri" w:hAnsiTheme="majorHAnsi"/>
                <w:iCs/>
                <w:noProof/>
                <w:color w:val="003399" w:themeColor="text2"/>
              </w:rPr>
              <w:t>13</w:t>
            </w:r>
            <w:r w:rsidR="00B877C3" w:rsidRPr="00FE4AEE">
              <w:rPr>
                <w:rFonts w:asciiTheme="majorHAnsi" w:eastAsia="Calibri" w:hAnsiTheme="majorHAnsi"/>
                <w:iCs/>
                <w:noProof/>
                <w:color w:val="003399" w:themeColor="text2"/>
              </w:rPr>
              <w:t>.</w:t>
            </w:r>
            <w:r w:rsidRPr="00FE4AEE">
              <w:rPr>
                <w:rFonts w:asciiTheme="majorHAnsi" w:eastAsia="Calibri" w:hAnsiTheme="majorHAnsi"/>
                <w:iCs/>
                <w:noProof/>
                <w:color w:val="003399" w:themeColor="text2"/>
              </w:rPr>
              <w:t>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E21C7AB" w14:textId="39BBB7A7" w:rsidR="000D256C" w:rsidRPr="00FE4AEE" w:rsidRDefault="000D256C" w:rsidP="00FE4AEE">
            <w:pPr>
              <w:spacing w:before="100" w:after="100" w:line="22" w:lineRule="atLeast"/>
              <w:jc w:val="center"/>
              <w:rPr>
                <w:rFonts w:asciiTheme="majorHAnsi" w:eastAsia="Calibri" w:hAnsiTheme="majorHAnsi"/>
                <w:iCs/>
                <w:noProof/>
                <w:color w:val="003399" w:themeColor="text2"/>
              </w:rPr>
            </w:pPr>
            <w:r w:rsidRPr="00FE4AEE">
              <w:rPr>
                <w:rFonts w:asciiTheme="majorHAnsi" w:eastAsia="Calibri" w:hAnsiTheme="majorHAnsi"/>
                <w:iCs/>
                <w:noProof/>
                <w:color w:val="003399" w:themeColor="text2"/>
              </w:rPr>
              <w:t>11</w:t>
            </w:r>
            <w:r w:rsidR="00B877C3" w:rsidRPr="00FE4AEE">
              <w:rPr>
                <w:rFonts w:asciiTheme="majorHAnsi" w:eastAsia="Calibri" w:hAnsiTheme="majorHAnsi"/>
                <w:iCs/>
                <w:noProof/>
                <w:color w:val="003399" w:themeColor="text2"/>
              </w:rPr>
              <w:t>.</w:t>
            </w:r>
            <w:r w:rsidRPr="00FE4AEE">
              <w:rPr>
                <w:rFonts w:asciiTheme="majorHAnsi" w:eastAsia="Calibri" w:hAnsiTheme="majorHAnsi"/>
                <w:iCs/>
                <w:noProof/>
                <w:color w:val="003399" w:themeColor="text2"/>
              </w:rPr>
              <w:t>7</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0F5D42C" w14:textId="71814686" w:rsidR="000D256C" w:rsidRPr="00FE4AEE" w:rsidRDefault="000D256C" w:rsidP="00FE4AEE">
            <w:pPr>
              <w:spacing w:before="100" w:after="100" w:line="22" w:lineRule="atLeast"/>
              <w:jc w:val="center"/>
              <w:rPr>
                <w:rFonts w:asciiTheme="majorHAnsi" w:eastAsia="Calibri" w:hAnsiTheme="majorHAnsi"/>
                <w:iCs/>
                <w:noProof/>
                <w:color w:val="003399" w:themeColor="text2"/>
              </w:rPr>
            </w:pPr>
            <w:r w:rsidRPr="00FE4AEE">
              <w:rPr>
                <w:rFonts w:asciiTheme="majorHAnsi" w:eastAsia="Calibri" w:hAnsiTheme="majorHAnsi"/>
                <w:iCs/>
                <w:noProof/>
                <w:color w:val="003399" w:themeColor="text2"/>
              </w:rPr>
              <w:t>10</w:t>
            </w:r>
            <w:r w:rsidR="00B877C3" w:rsidRPr="00FE4AEE">
              <w:rPr>
                <w:rFonts w:asciiTheme="majorHAnsi" w:eastAsia="Calibri" w:hAnsiTheme="majorHAnsi"/>
                <w:iCs/>
                <w:noProof/>
                <w:color w:val="003399" w:themeColor="text2"/>
              </w:rPr>
              <w:t>.</w:t>
            </w:r>
            <w:r w:rsidRPr="00FE4AEE">
              <w:rPr>
                <w:rFonts w:asciiTheme="majorHAnsi" w:eastAsia="Calibri" w:hAnsiTheme="majorHAnsi"/>
                <w:iCs/>
                <w:noProof/>
                <w:color w:val="003399" w:themeColor="text2"/>
              </w:rPr>
              <w:t>3</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1D968F0" w14:textId="077B801D" w:rsidR="000D256C" w:rsidRPr="00FE4AEE" w:rsidRDefault="000D256C" w:rsidP="00FE4AEE">
            <w:pPr>
              <w:spacing w:before="100" w:after="100" w:line="22" w:lineRule="atLeast"/>
              <w:jc w:val="center"/>
              <w:rPr>
                <w:rFonts w:asciiTheme="majorHAnsi" w:eastAsia="Calibri" w:hAnsiTheme="majorHAnsi"/>
                <w:iCs/>
                <w:noProof/>
                <w:color w:val="003399" w:themeColor="text2"/>
              </w:rPr>
            </w:pPr>
            <w:r w:rsidRPr="00FE4AEE">
              <w:rPr>
                <w:rFonts w:asciiTheme="majorHAnsi" w:eastAsia="Calibri" w:hAnsiTheme="majorHAnsi"/>
                <w:iCs/>
                <w:noProof/>
                <w:color w:val="003399" w:themeColor="text2"/>
              </w:rPr>
              <w:t>8</w:t>
            </w:r>
            <w:r w:rsidR="00B877C3" w:rsidRPr="00FE4AEE">
              <w:rPr>
                <w:rFonts w:asciiTheme="majorHAnsi" w:eastAsia="Calibri" w:hAnsiTheme="majorHAnsi"/>
                <w:iCs/>
                <w:noProof/>
                <w:color w:val="003399" w:themeColor="text2"/>
              </w:rPr>
              <w:t>.</w:t>
            </w:r>
            <w:r w:rsidRPr="00FE4AEE">
              <w:rPr>
                <w:rFonts w:asciiTheme="majorHAnsi" w:eastAsia="Calibri" w:hAnsiTheme="majorHAnsi"/>
                <w:iCs/>
                <w:noProof/>
                <w:color w:val="003399" w:themeColor="text2"/>
              </w:rPr>
              <w:t>8</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5C9B8791" w14:textId="27EE8EB6" w:rsidR="000D256C" w:rsidRPr="005A4CD5" w:rsidRDefault="00E9143B" w:rsidP="00FE4AEE">
            <w:pPr>
              <w:spacing w:before="100" w:after="100" w:line="22" w:lineRule="atLeast"/>
              <w:jc w:val="center"/>
              <w:rPr>
                <w:rFonts w:asciiTheme="majorHAnsi" w:eastAsia="Calibri" w:hAnsiTheme="majorHAnsi"/>
                <w:b/>
                <w:noProof/>
              </w:rPr>
            </w:pPr>
            <w:r w:rsidRPr="005A4CD5">
              <w:rPr>
                <w:rFonts w:asciiTheme="majorHAnsi" w:eastAsia="Calibri" w:hAnsiTheme="majorHAnsi"/>
                <w:b/>
                <w:noProof/>
              </w:rPr>
              <w:t>75</w:t>
            </w:r>
            <w:r w:rsidR="00B877C3" w:rsidRPr="005A4CD5">
              <w:rPr>
                <w:rFonts w:asciiTheme="majorHAnsi" w:eastAsia="Calibri" w:hAnsiTheme="majorHAnsi"/>
                <w:b/>
                <w:noProof/>
              </w:rPr>
              <w:t>.</w:t>
            </w:r>
            <w:r w:rsidRPr="005A4CD5">
              <w:rPr>
                <w:rFonts w:asciiTheme="majorHAnsi" w:eastAsia="Calibri" w:hAnsiTheme="majorHAnsi"/>
                <w:b/>
                <w:noProof/>
              </w:rPr>
              <w:t>6</w:t>
            </w:r>
          </w:p>
        </w:tc>
      </w:tr>
      <w:tr w:rsidR="002A3F2D" w:rsidRPr="00AB5413" w14:paraId="40576EE9" w14:textId="77777777" w:rsidTr="005A4CD5">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DFC84FB" w14:textId="1F11FB6F" w:rsidR="002A3F2D" w:rsidRPr="00186C27" w:rsidRDefault="002A3F2D" w:rsidP="002A3F2D">
            <w:pPr>
              <w:spacing w:before="100" w:after="100"/>
              <w:ind w:left="170"/>
              <w:rPr>
                <w:rFonts w:asciiTheme="majorHAnsi" w:hAnsiTheme="majorHAnsi"/>
                <w:bCs/>
                <w:iCs/>
                <w:noProof/>
                <w:color w:val="003399" w:themeColor="text2"/>
                <w:sz w:val="22"/>
                <w:szCs w:val="22"/>
              </w:rPr>
            </w:pPr>
            <w:r w:rsidRPr="00186C27">
              <w:rPr>
                <w:rFonts w:asciiTheme="majorHAnsi" w:hAnsiTheme="majorHAnsi"/>
                <w:bCs/>
                <w:iCs/>
                <w:noProof/>
                <w:color w:val="003399" w:themeColor="text2"/>
                <w:sz w:val="22"/>
                <w:szCs w:val="22"/>
              </w:rPr>
              <w:t>E-waste-based own resource</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B86773C" w14:textId="77777777" w:rsidR="002A3F2D" w:rsidRPr="00481B6B" w:rsidRDefault="002A3F2D" w:rsidP="002A3F2D">
            <w:pPr>
              <w:spacing w:before="100" w:after="100"/>
              <w:jc w:val="center"/>
              <w:rPr>
                <w:rFonts w:asciiTheme="majorHAnsi" w:hAnsiTheme="majorHAnsi"/>
                <w:iCs/>
                <w:noProof/>
                <w:color w:val="003399" w:themeColor="text2"/>
              </w:rPr>
            </w:pP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D68EA19" w14:textId="77777777" w:rsidR="002A3F2D" w:rsidRPr="00481B6B" w:rsidRDefault="002A3F2D" w:rsidP="002A3F2D">
            <w:pPr>
              <w:spacing w:before="100" w:after="100" w:line="22" w:lineRule="atLeast"/>
              <w:jc w:val="center"/>
              <w:rPr>
                <w:rFonts w:asciiTheme="majorHAnsi" w:eastAsia="Calibri" w:hAnsiTheme="majorHAnsi"/>
                <w:iCs/>
                <w:noProof/>
                <w:color w:val="003399" w:themeColor="text2"/>
              </w:rPr>
            </w:pP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09921C6" w14:textId="04B58D35" w:rsidR="002A3F2D" w:rsidRPr="00481B6B" w:rsidRDefault="002A3F2D" w:rsidP="002A3F2D">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16.2</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DB16ED7" w14:textId="43F6D962" w:rsidR="002A3F2D" w:rsidRPr="00481B6B" w:rsidRDefault="002A3F2D" w:rsidP="002A3F2D">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16.5</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AF5F3A4" w14:textId="6FFE681B" w:rsidR="002A3F2D" w:rsidRPr="00481B6B" w:rsidRDefault="002A3F2D" w:rsidP="002A3F2D">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16.7</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890A3A3" w14:textId="0DECB60B" w:rsidR="002A3F2D" w:rsidRPr="00481B6B" w:rsidRDefault="002A3F2D" w:rsidP="002A3F2D">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16.9</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7FE25B82" w14:textId="4D107C91" w:rsidR="002A3F2D" w:rsidRPr="00481B6B" w:rsidRDefault="002A3F2D" w:rsidP="002A3F2D">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17.1</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9DD8C61" w14:textId="0C87A5D7" w:rsidR="002A3F2D" w:rsidRPr="00481B6B" w:rsidRDefault="002A3F2D" w:rsidP="002A3F2D">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17.3</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35F2C59" w14:textId="4AF1D071" w:rsidR="002A3F2D" w:rsidRPr="00481B6B" w:rsidRDefault="002A3F2D" w:rsidP="002A3F2D">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17.4</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65351444" w14:textId="39D666C1" w:rsidR="002A3F2D" w:rsidRPr="005A4CD5" w:rsidRDefault="002A3F2D" w:rsidP="002A3F2D">
            <w:pPr>
              <w:spacing w:before="100" w:after="100" w:line="22" w:lineRule="atLeast"/>
              <w:jc w:val="center"/>
              <w:rPr>
                <w:rFonts w:asciiTheme="majorHAnsi" w:eastAsia="Calibri" w:hAnsiTheme="majorHAnsi"/>
                <w:b/>
                <w:noProof/>
              </w:rPr>
            </w:pPr>
            <w:r w:rsidRPr="005A4CD5">
              <w:rPr>
                <w:rFonts w:asciiTheme="majorHAnsi" w:eastAsia="Calibri" w:hAnsiTheme="majorHAnsi"/>
                <w:b/>
                <w:noProof/>
              </w:rPr>
              <w:t>118.0</w:t>
            </w:r>
          </w:p>
        </w:tc>
      </w:tr>
      <w:tr w:rsidR="00F84A50" w:rsidRPr="00AB5413" w14:paraId="3E9E6FB3" w14:textId="77777777" w:rsidTr="005A4CD5">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9276DD0" w14:textId="3965378C" w:rsidR="00F84A50" w:rsidRPr="00186C27" w:rsidRDefault="00F84A50" w:rsidP="00F84A50">
            <w:pPr>
              <w:spacing w:before="100" w:after="100"/>
              <w:ind w:left="170"/>
              <w:rPr>
                <w:rFonts w:asciiTheme="majorHAnsi" w:hAnsiTheme="majorHAnsi"/>
                <w:bCs/>
                <w:iCs/>
                <w:noProof/>
                <w:color w:val="003399" w:themeColor="text2"/>
                <w:sz w:val="22"/>
                <w:szCs w:val="22"/>
              </w:rPr>
            </w:pPr>
            <w:r w:rsidRPr="00186C27">
              <w:rPr>
                <w:rFonts w:asciiTheme="majorHAnsi" w:hAnsiTheme="majorHAnsi"/>
                <w:bCs/>
                <w:iCs/>
                <w:noProof/>
                <w:color w:val="003399" w:themeColor="text2"/>
                <w:sz w:val="22"/>
                <w:szCs w:val="22"/>
              </w:rPr>
              <w:t xml:space="preserve">Tobacco Excise Duty-based own resource </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8AC9329" w14:textId="77777777" w:rsidR="00F84A50" w:rsidRPr="00481B6B" w:rsidRDefault="00F84A50" w:rsidP="00F84A50">
            <w:pPr>
              <w:spacing w:before="100" w:after="100"/>
              <w:jc w:val="center"/>
              <w:rPr>
                <w:rFonts w:asciiTheme="majorHAnsi" w:hAnsiTheme="majorHAnsi"/>
                <w:iCs/>
                <w:noProof/>
                <w:color w:val="003399" w:themeColor="text2"/>
              </w:rPr>
            </w:pP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ADED6FE" w14:textId="77777777" w:rsidR="00F84A50" w:rsidRPr="00481B6B" w:rsidRDefault="00F84A50" w:rsidP="00F84A50">
            <w:pPr>
              <w:spacing w:before="100" w:after="100" w:line="22" w:lineRule="atLeast"/>
              <w:jc w:val="center"/>
              <w:rPr>
                <w:rFonts w:asciiTheme="majorHAnsi" w:eastAsia="Calibri" w:hAnsiTheme="majorHAnsi"/>
                <w:iCs/>
                <w:noProof/>
                <w:color w:val="003399" w:themeColor="text2"/>
              </w:rPr>
            </w:pP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F967A7D" w14:textId="7130BC92" w:rsidR="00F84A50" w:rsidRPr="00481B6B" w:rsidRDefault="00F84A50" w:rsidP="00F84A50">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13.0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AE5EB26" w14:textId="75BF31A9" w:rsidR="00F84A50" w:rsidRPr="00481B6B" w:rsidRDefault="00F84A50" w:rsidP="00F84A50">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12.7</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17ACD33" w14:textId="42E10DB7" w:rsidR="00F84A50" w:rsidRPr="00481B6B" w:rsidRDefault="00F84A50" w:rsidP="00F84A50">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12.4</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F1EE070" w14:textId="4ED7FFEB" w:rsidR="00F84A50" w:rsidRPr="00481B6B" w:rsidRDefault="00F84A50" w:rsidP="00F84A50">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12.8</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E950A64" w14:textId="4F81BD6D" w:rsidR="00F84A50" w:rsidRPr="00481B6B" w:rsidRDefault="00F84A50" w:rsidP="00F84A50">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12.5</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6BC9922" w14:textId="3F4CDD62" w:rsidR="00F84A50" w:rsidRPr="00481B6B" w:rsidRDefault="00F84A50" w:rsidP="00F84A50">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12.2</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C4BA276" w14:textId="02D5C9D4" w:rsidR="00F84A50" w:rsidRPr="00481B6B" w:rsidRDefault="00F84A50" w:rsidP="00F84A50">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12.7</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2CA48566" w14:textId="5EAC7998" w:rsidR="00F84A50" w:rsidRPr="005A4CD5" w:rsidRDefault="00F84A50" w:rsidP="00F84A50">
            <w:pPr>
              <w:spacing w:before="100" w:after="100" w:line="22" w:lineRule="atLeast"/>
              <w:jc w:val="center"/>
              <w:rPr>
                <w:rFonts w:asciiTheme="majorHAnsi" w:eastAsia="Calibri" w:hAnsiTheme="majorHAnsi"/>
                <w:b/>
                <w:noProof/>
              </w:rPr>
            </w:pPr>
            <w:r w:rsidRPr="005A4CD5">
              <w:rPr>
                <w:rFonts w:asciiTheme="majorHAnsi" w:eastAsia="Calibri" w:hAnsiTheme="majorHAnsi"/>
                <w:b/>
                <w:noProof/>
              </w:rPr>
              <w:t>88.3</w:t>
            </w:r>
          </w:p>
        </w:tc>
      </w:tr>
      <w:tr w:rsidR="000D256C" w:rsidRPr="00AB5413" w14:paraId="22ED2FD7" w14:textId="77777777" w:rsidTr="004D3FA0">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4A09501" w14:textId="3EB7B06A" w:rsidR="000D256C" w:rsidRPr="00186C27" w:rsidRDefault="000D256C">
            <w:pPr>
              <w:spacing w:before="100" w:after="100"/>
              <w:ind w:left="170"/>
              <w:rPr>
                <w:rFonts w:asciiTheme="majorHAnsi" w:hAnsiTheme="majorHAnsi"/>
                <w:bCs/>
                <w:iCs/>
                <w:noProof/>
                <w:color w:val="003399" w:themeColor="text2"/>
                <w:sz w:val="22"/>
                <w:szCs w:val="22"/>
              </w:rPr>
            </w:pPr>
            <w:r w:rsidRPr="00186C27">
              <w:rPr>
                <w:rFonts w:asciiTheme="majorHAnsi" w:hAnsiTheme="majorHAnsi"/>
                <w:bCs/>
                <w:iCs/>
                <w:noProof/>
                <w:color w:val="003399" w:themeColor="text2"/>
                <w:sz w:val="22"/>
                <w:szCs w:val="22"/>
              </w:rPr>
              <w:t>Carbon Border Adjustment Mechanism (CBAM)</w:t>
            </w:r>
            <w:r w:rsidR="00047E39" w:rsidRPr="00186C27">
              <w:rPr>
                <w:rFonts w:asciiTheme="majorHAnsi" w:hAnsiTheme="majorHAnsi"/>
                <w:bCs/>
                <w:iCs/>
                <w:noProof/>
                <w:color w:val="003399" w:themeColor="text2"/>
                <w:sz w:val="22"/>
                <w:szCs w:val="22"/>
              </w:rPr>
              <w:t>-based own resource</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F81173D" w14:textId="77777777" w:rsidR="000D256C" w:rsidRPr="00481B6B" w:rsidRDefault="000D256C">
            <w:pPr>
              <w:spacing w:before="100" w:after="100"/>
              <w:jc w:val="center"/>
              <w:rPr>
                <w:rFonts w:asciiTheme="majorHAnsi" w:hAnsiTheme="majorHAnsi"/>
                <w:iCs/>
                <w:noProof/>
                <w:color w:val="003399" w:themeColor="text2"/>
              </w:rPr>
            </w:pP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0522844" w14:textId="77777777" w:rsidR="000D256C" w:rsidRPr="00481B6B" w:rsidRDefault="000D256C" w:rsidP="00481B6B">
            <w:pPr>
              <w:spacing w:before="100" w:after="100" w:line="22" w:lineRule="atLeast"/>
              <w:jc w:val="center"/>
              <w:rPr>
                <w:rFonts w:asciiTheme="majorHAnsi" w:eastAsia="Calibri" w:hAnsiTheme="majorHAnsi"/>
                <w:iCs/>
                <w:noProof/>
                <w:color w:val="003399" w:themeColor="text2"/>
              </w:rPr>
            </w:pP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6654AC3" w14:textId="430AA24F" w:rsidR="000D256C" w:rsidRPr="00481B6B" w:rsidRDefault="000D256C" w:rsidP="00481B6B">
            <w:pPr>
              <w:spacing w:before="100" w:after="100" w:line="22" w:lineRule="atLeast"/>
              <w:jc w:val="center"/>
              <w:rPr>
                <w:rFonts w:asciiTheme="majorHAnsi" w:eastAsia="Calibri" w:hAnsiTheme="majorHAnsi"/>
                <w:iCs/>
                <w:noProof/>
                <w:color w:val="003399" w:themeColor="text2"/>
              </w:rPr>
            </w:pPr>
            <w:r w:rsidRPr="00481B6B">
              <w:rPr>
                <w:rFonts w:asciiTheme="majorHAnsi" w:eastAsia="Calibri" w:hAnsiTheme="majorHAnsi"/>
                <w:iCs/>
                <w:noProof/>
                <w:color w:val="003399" w:themeColor="text2"/>
              </w:rPr>
              <w:t>0</w:t>
            </w:r>
            <w:r w:rsidR="00650704" w:rsidRPr="00481B6B">
              <w:rPr>
                <w:rFonts w:asciiTheme="majorHAnsi" w:eastAsia="Calibri" w:hAnsiTheme="majorHAnsi"/>
                <w:iCs/>
                <w:noProof/>
                <w:color w:val="003399" w:themeColor="text2"/>
              </w:rPr>
              <w:t>.</w:t>
            </w:r>
            <w:r w:rsidRPr="00481B6B">
              <w:rPr>
                <w:rFonts w:asciiTheme="majorHAnsi" w:eastAsia="Calibri" w:hAnsiTheme="majorHAnsi"/>
                <w:iCs/>
                <w:noProof/>
                <w:color w:val="003399" w:themeColor="text2"/>
              </w:rPr>
              <w:t>9</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6F1FF3F" w14:textId="71C9C0B6" w:rsidR="000D256C" w:rsidRPr="00481B6B" w:rsidRDefault="000D256C" w:rsidP="00481B6B">
            <w:pPr>
              <w:spacing w:before="100" w:after="100" w:line="22" w:lineRule="atLeast"/>
              <w:jc w:val="center"/>
              <w:rPr>
                <w:rFonts w:asciiTheme="majorHAnsi" w:eastAsia="Calibri" w:hAnsiTheme="majorHAnsi"/>
                <w:iCs/>
                <w:noProof/>
                <w:color w:val="003399" w:themeColor="text2"/>
              </w:rPr>
            </w:pPr>
            <w:r w:rsidRPr="00481B6B">
              <w:rPr>
                <w:rFonts w:asciiTheme="majorHAnsi" w:eastAsia="Calibri" w:hAnsiTheme="majorHAnsi"/>
                <w:iCs/>
                <w:noProof/>
                <w:color w:val="003399" w:themeColor="text2"/>
              </w:rPr>
              <w:t>1</w:t>
            </w:r>
            <w:r w:rsidR="00B877C3" w:rsidRPr="00481B6B">
              <w:rPr>
                <w:rFonts w:asciiTheme="majorHAnsi" w:eastAsia="Calibri" w:hAnsiTheme="majorHAnsi"/>
                <w:iCs/>
                <w:noProof/>
                <w:color w:val="003399" w:themeColor="text2"/>
              </w:rPr>
              <w:t>.</w:t>
            </w:r>
            <w:r w:rsidRPr="00481B6B">
              <w:rPr>
                <w:rFonts w:asciiTheme="majorHAnsi" w:eastAsia="Calibri" w:hAnsiTheme="majorHAnsi"/>
                <w:iCs/>
                <w:noProof/>
                <w:color w:val="003399" w:themeColor="text2"/>
              </w:rPr>
              <w:t>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CD9D6A7" w14:textId="74770F3F" w:rsidR="000D256C" w:rsidRPr="00481B6B" w:rsidRDefault="000D256C" w:rsidP="00481B6B">
            <w:pPr>
              <w:spacing w:before="100" w:after="100" w:line="22" w:lineRule="atLeast"/>
              <w:jc w:val="center"/>
              <w:rPr>
                <w:rFonts w:asciiTheme="majorHAnsi" w:eastAsia="Calibri" w:hAnsiTheme="majorHAnsi"/>
                <w:iCs/>
                <w:noProof/>
                <w:color w:val="003399" w:themeColor="text2"/>
              </w:rPr>
            </w:pPr>
            <w:r w:rsidRPr="00481B6B">
              <w:rPr>
                <w:rFonts w:asciiTheme="majorHAnsi" w:eastAsia="Calibri" w:hAnsiTheme="majorHAnsi"/>
                <w:iCs/>
                <w:noProof/>
                <w:color w:val="003399" w:themeColor="text2"/>
              </w:rPr>
              <w:t>1</w:t>
            </w:r>
            <w:r w:rsidR="00B877C3" w:rsidRPr="00481B6B">
              <w:rPr>
                <w:rFonts w:asciiTheme="majorHAnsi" w:eastAsia="Calibri" w:hAnsiTheme="majorHAnsi"/>
                <w:iCs/>
                <w:noProof/>
                <w:color w:val="003399" w:themeColor="text2"/>
              </w:rPr>
              <w:t>.</w:t>
            </w:r>
            <w:r w:rsidRPr="00481B6B">
              <w:rPr>
                <w:rFonts w:asciiTheme="majorHAnsi" w:eastAsia="Calibri" w:hAnsiTheme="majorHAnsi"/>
                <w:iCs/>
                <w:noProof/>
                <w:color w:val="003399" w:themeColor="text2"/>
              </w:rPr>
              <w:t>3</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C0C7214" w14:textId="329B2FE7" w:rsidR="000D256C" w:rsidRPr="00481B6B" w:rsidRDefault="000D256C" w:rsidP="00481B6B">
            <w:pPr>
              <w:spacing w:before="100" w:after="100" w:line="22" w:lineRule="atLeast"/>
              <w:jc w:val="center"/>
              <w:rPr>
                <w:rFonts w:asciiTheme="majorHAnsi" w:eastAsia="Calibri" w:hAnsiTheme="majorHAnsi"/>
                <w:iCs/>
                <w:noProof/>
                <w:color w:val="003399" w:themeColor="text2"/>
              </w:rPr>
            </w:pPr>
            <w:r w:rsidRPr="00481B6B">
              <w:rPr>
                <w:rFonts w:asciiTheme="majorHAnsi" w:eastAsia="Calibri" w:hAnsiTheme="majorHAnsi"/>
                <w:iCs/>
                <w:noProof/>
                <w:color w:val="003399" w:themeColor="text2"/>
              </w:rPr>
              <w:t>1</w:t>
            </w:r>
            <w:r w:rsidR="00B877C3" w:rsidRPr="00481B6B">
              <w:rPr>
                <w:rFonts w:asciiTheme="majorHAnsi" w:eastAsia="Calibri" w:hAnsiTheme="majorHAnsi"/>
                <w:iCs/>
                <w:noProof/>
                <w:color w:val="003399" w:themeColor="text2"/>
              </w:rPr>
              <w:t>.</w:t>
            </w:r>
            <w:r w:rsidRPr="00481B6B">
              <w:rPr>
                <w:rFonts w:asciiTheme="majorHAnsi" w:eastAsia="Calibri" w:hAnsiTheme="majorHAnsi"/>
                <w:iCs/>
                <w:noProof/>
                <w:color w:val="003399" w:themeColor="text2"/>
              </w:rPr>
              <w:t>5</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4811F97" w14:textId="48804D95" w:rsidR="000D256C" w:rsidRPr="00481B6B" w:rsidRDefault="000D256C" w:rsidP="00481B6B">
            <w:pPr>
              <w:spacing w:before="100" w:after="100" w:line="22" w:lineRule="atLeast"/>
              <w:jc w:val="center"/>
              <w:rPr>
                <w:rFonts w:asciiTheme="majorHAnsi" w:eastAsia="Calibri" w:hAnsiTheme="majorHAnsi"/>
                <w:iCs/>
                <w:noProof/>
                <w:color w:val="003399" w:themeColor="text2"/>
              </w:rPr>
            </w:pPr>
            <w:r w:rsidRPr="00481B6B">
              <w:rPr>
                <w:rFonts w:asciiTheme="majorHAnsi" w:eastAsia="Calibri" w:hAnsiTheme="majorHAnsi"/>
                <w:iCs/>
                <w:noProof/>
                <w:color w:val="003399" w:themeColor="text2"/>
              </w:rPr>
              <w:t>1</w:t>
            </w:r>
            <w:r w:rsidR="00B877C3" w:rsidRPr="00481B6B">
              <w:rPr>
                <w:rFonts w:asciiTheme="majorHAnsi" w:eastAsia="Calibri" w:hAnsiTheme="majorHAnsi"/>
                <w:iCs/>
                <w:noProof/>
                <w:color w:val="003399" w:themeColor="text2"/>
              </w:rPr>
              <w:t>.</w:t>
            </w:r>
            <w:r w:rsidRPr="00481B6B">
              <w:rPr>
                <w:rFonts w:asciiTheme="majorHAnsi" w:eastAsia="Calibri" w:hAnsiTheme="majorHAnsi"/>
                <w:iCs/>
                <w:noProof/>
                <w:color w:val="003399" w:themeColor="text2"/>
              </w:rPr>
              <w:t>9</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8A5B1C9" w14:textId="544BD0EA" w:rsidR="000D256C" w:rsidRPr="00481B6B" w:rsidRDefault="000D256C" w:rsidP="00481B6B">
            <w:pPr>
              <w:spacing w:before="100" w:after="100" w:line="22" w:lineRule="atLeast"/>
              <w:jc w:val="center"/>
              <w:rPr>
                <w:rFonts w:asciiTheme="majorHAnsi" w:eastAsia="Calibri" w:hAnsiTheme="majorHAnsi"/>
                <w:iCs/>
                <w:noProof/>
                <w:color w:val="003399" w:themeColor="text2"/>
              </w:rPr>
            </w:pPr>
            <w:r w:rsidRPr="00481B6B">
              <w:rPr>
                <w:rFonts w:asciiTheme="majorHAnsi" w:eastAsia="Calibri" w:hAnsiTheme="majorHAnsi"/>
                <w:iCs/>
                <w:noProof/>
                <w:color w:val="003399" w:themeColor="text2"/>
              </w:rPr>
              <w:t>2</w:t>
            </w:r>
            <w:r w:rsidR="00B877C3" w:rsidRPr="00481B6B">
              <w:rPr>
                <w:rFonts w:asciiTheme="majorHAnsi" w:eastAsia="Calibri" w:hAnsiTheme="majorHAnsi"/>
                <w:iCs/>
                <w:noProof/>
                <w:color w:val="003399" w:themeColor="text2"/>
              </w:rPr>
              <w:t>.</w:t>
            </w:r>
            <w:r w:rsidRPr="00481B6B">
              <w:rPr>
                <w:rFonts w:asciiTheme="majorHAnsi" w:eastAsia="Calibri" w:hAnsiTheme="majorHAnsi"/>
                <w:iCs/>
                <w:noProof/>
                <w:color w:val="003399" w:themeColor="text2"/>
              </w:rPr>
              <w:t>0</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7A21BE6" w14:textId="68F47DF3" w:rsidR="000D256C" w:rsidRPr="00481B6B" w:rsidRDefault="000D256C" w:rsidP="00481B6B">
            <w:pPr>
              <w:spacing w:before="100" w:after="100" w:line="22" w:lineRule="atLeast"/>
              <w:jc w:val="center"/>
              <w:rPr>
                <w:rFonts w:asciiTheme="majorHAnsi" w:eastAsia="Calibri" w:hAnsiTheme="majorHAnsi"/>
                <w:iCs/>
                <w:noProof/>
                <w:color w:val="003399" w:themeColor="text2"/>
              </w:rPr>
            </w:pPr>
            <w:r w:rsidRPr="00481B6B">
              <w:rPr>
                <w:rFonts w:asciiTheme="majorHAnsi" w:eastAsia="Calibri" w:hAnsiTheme="majorHAnsi"/>
                <w:iCs/>
                <w:noProof/>
                <w:color w:val="003399" w:themeColor="text2"/>
              </w:rPr>
              <w:t>2</w:t>
            </w:r>
            <w:r w:rsidR="00B877C3" w:rsidRPr="00481B6B">
              <w:rPr>
                <w:rFonts w:asciiTheme="majorHAnsi" w:eastAsia="Calibri" w:hAnsiTheme="majorHAnsi"/>
                <w:iCs/>
                <w:noProof/>
                <w:color w:val="003399" w:themeColor="text2"/>
              </w:rPr>
              <w:t>.</w:t>
            </w:r>
            <w:r w:rsidRPr="00481B6B">
              <w:rPr>
                <w:rFonts w:asciiTheme="majorHAnsi" w:eastAsia="Calibri" w:hAnsiTheme="majorHAnsi"/>
                <w:iCs/>
                <w:noProof/>
                <w:color w:val="003399" w:themeColor="text2"/>
              </w:rPr>
              <w:t>2</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01152305" w14:textId="4B323E77" w:rsidR="000D256C" w:rsidRPr="005A4CD5" w:rsidRDefault="005B0C56" w:rsidP="00481B6B">
            <w:pPr>
              <w:spacing w:before="100" w:after="100" w:line="22" w:lineRule="atLeast"/>
              <w:jc w:val="center"/>
              <w:rPr>
                <w:rFonts w:asciiTheme="majorHAnsi" w:eastAsia="Calibri" w:hAnsiTheme="majorHAnsi"/>
                <w:b/>
                <w:noProof/>
              </w:rPr>
            </w:pPr>
            <w:r w:rsidRPr="005A4CD5">
              <w:rPr>
                <w:rFonts w:asciiTheme="majorHAnsi" w:eastAsia="Calibri" w:hAnsiTheme="majorHAnsi"/>
                <w:b/>
                <w:noProof/>
              </w:rPr>
              <w:t>10</w:t>
            </w:r>
            <w:r w:rsidR="00B877C3" w:rsidRPr="005A4CD5">
              <w:rPr>
                <w:rFonts w:asciiTheme="majorHAnsi" w:eastAsia="Calibri" w:hAnsiTheme="majorHAnsi"/>
                <w:b/>
                <w:noProof/>
              </w:rPr>
              <w:t>.</w:t>
            </w:r>
            <w:r w:rsidRPr="005A4CD5">
              <w:rPr>
                <w:rFonts w:asciiTheme="majorHAnsi" w:eastAsia="Calibri" w:hAnsiTheme="majorHAnsi"/>
                <w:b/>
                <w:noProof/>
              </w:rPr>
              <w:t>8</w:t>
            </w:r>
          </w:p>
        </w:tc>
      </w:tr>
      <w:tr w:rsidR="00F84A50" w:rsidRPr="00AB5413" w14:paraId="25BE7D4F" w14:textId="77777777" w:rsidTr="005A4CD5">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4B73B49" w14:textId="71DA1EF4" w:rsidR="00F84A50" w:rsidRPr="00186C27" w:rsidRDefault="00F84A50" w:rsidP="00F84A50">
            <w:pPr>
              <w:spacing w:before="100" w:after="100"/>
              <w:ind w:left="170"/>
              <w:rPr>
                <w:rFonts w:asciiTheme="majorHAnsi" w:hAnsiTheme="majorHAnsi"/>
                <w:bCs/>
                <w:iCs/>
                <w:noProof/>
                <w:color w:val="003399" w:themeColor="text2"/>
                <w:sz w:val="22"/>
                <w:szCs w:val="22"/>
              </w:rPr>
            </w:pPr>
            <w:r w:rsidRPr="00186C27">
              <w:rPr>
                <w:rFonts w:asciiTheme="majorHAnsi" w:hAnsiTheme="majorHAnsi"/>
                <w:bCs/>
                <w:iCs/>
                <w:noProof/>
                <w:color w:val="003399" w:themeColor="text2"/>
                <w:sz w:val="22"/>
                <w:szCs w:val="22"/>
              </w:rPr>
              <w:t>Corporate Resource for Europe (CORE)</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46A0F3F" w14:textId="77777777" w:rsidR="00F84A50" w:rsidRPr="00481B6B" w:rsidRDefault="00F84A50" w:rsidP="00F84A50">
            <w:pPr>
              <w:spacing w:before="100" w:after="100"/>
              <w:jc w:val="center"/>
              <w:rPr>
                <w:rFonts w:asciiTheme="majorHAnsi" w:hAnsiTheme="majorHAnsi"/>
                <w:iCs/>
                <w:noProof/>
                <w:color w:val="003399" w:themeColor="text2"/>
              </w:rPr>
            </w:pP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B6EEE96" w14:textId="77777777" w:rsidR="00F84A50" w:rsidRPr="00481B6B" w:rsidRDefault="00F84A50" w:rsidP="00F84A50">
            <w:pPr>
              <w:spacing w:before="100" w:after="100" w:line="22" w:lineRule="atLeast"/>
              <w:jc w:val="center"/>
              <w:rPr>
                <w:rFonts w:asciiTheme="majorHAnsi" w:eastAsia="Calibri" w:hAnsiTheme="majorHAnsi"/>
                <w:iCs/>
                <w:noProof/>
                <w:color w:val="003399" w:themeColor="text2"/>
              </w:rPr>
            </w:pP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3D7D8C7" w14:textId="19C1A32D" w:rsidR="00F84A50" w:rsidRPr="00481B6B" w:rsidRDefault="00F84A50" w:rsidP="00F84A50">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7.4</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AA40B8F" w14:textId="349DAF7E" w:rsidR="00F84A50" w:rsidRPr="00481B6B" w:rsidRDefault="00F84A50" w:rsidP="00F84A50">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7.5</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25C2871" w14:textId="20624CD1" w:rsidR="00F84A50" w:rsidRPr="00481B6B" w:rsidRDefault="00F84A50" w:rsidP="00F84A50">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7.5</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488596F" w14:textId="7629B1CF" w:rsidR="00F84A50" w:rsidRPr="00481B6B" w:rsidRDefault="00F84A50" w:rsidP="00F84A50">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7.6</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DDBBDC1" w14:textId="389741C5" w:rsidR="00F84A50" w:rsidRPr="00481B6B" w:rsidRDefault="00F84A50" w:rsidP="00F84A50">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7.7</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20B8B6D" w14:textId="1DC2E7E1" w:rsidR="00F84A50" w:rsidRPr="00481B6B" w:rsidRDefault="00F84A50" w:rsidP="00F84A50">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7.8</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FF0A73F" w14:textId="594656E3" w:rsidR="00F84A50" w:rsidRPr="00481B6B" w:rsidRDefault="00F84A50" w:rsidP="00F84A50">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7.9</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3E4CDCC6" w14:textId="7A802C7C" w:rsidR="00F84A50" w:rsidRPr="005A4CD5" w:rsidRDefault="00F84A50" w:rsidP="00F84A50">
            <w:pPr>
              <w:spacing w:before="100" w:after="100" w:line="22" w:lineRule="atLeast"/>
              <w:jc w:val="center"/>
              <w:rPr>
                <w:rFonts w:asciiTheme="majorHAnsi" w:eastAsia="Calibri" w:hAnsiTheme="majorHAnsi"/>
                <w:b/>
                <w:noProof/>
              </w:rPr>
            </w:pPr>
            <w:r w:rsidRPr="005A4CD5">
              <w:rPr>
                <w:rFonts w:asciiTheme="majorHAnsi" w:eastAsia="Calibri" w:hAnsiTheme="majorHAnsi"/>
                <w:b/>
                <w:noProof/>
              </w:rPr>
              <w:t>53.3</w:t>
            </w:r>
          </w:p>
        </w:tc>
      </w:tr>
      <w:tr w:rsidR="0073328F" w:rsidRPr="00AB5413" w14:paraId="396A9F5C" w14:textId="77777777" w:rsidTr="005A4CD5">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117B3C9" w14:textId="4637C016" w:rsidR="0073328F" w:rsidRPr="00186C27" w:rsidRDefault="0073328F" w:rsidP="0073328F">
            <w:pPr>
              <w:spacing w:before="100" w:after="100"/>
              <w:ind w:left="170"/>
              <w:rPr>
                <w:rFonts w:asciiTheme="majorHAnsi" w:hAnsiTheme="majorHAnsi"/>
                <w:bCs/>
                <w:iCs/>
                <w:noProof/>
                <w:color w:val="003399" w:themeColor="text2"/>
                <w:sz w:val="22"/>
                <w:szCs w:val="22"/>
              </w:rPr>
            </w:pPr>
            <w:r w:rsidRPr="00186C27">
              <w:rPr>
                <w:rFonts w:asciiTheme="majorHAnsi" w:hAnsiTheme="majorHAnsi"/>
                <w:bCs/>
                <w:iCs/>
                <w:noProof/>
                <w:color w:val="003399" w:themeColor="text2"/>
                <w:sz w:val="22"/>
                <w:szCs w:val="22"/>
              </w:rPr>
              <w:t>GNI-based own resource</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558EFAD" w14:textId="77777777" w:rsidR="0073328F" w:rsidRPr="00481B6B" w:rsidRDefault="0073328F" w:rsidP="0073328F">
            <w:pPr>
              <w:spacing w:before="100" w:after="100"/>
              <w:jc w:val="center"/>
              <w:rPr>
                <w:rFonts w:asciiTheme="majorHAnsi" w:hAnsiTheme="majorHAnsi"/>
                <w:iCs/>
                <w:noProof/>
                <w:color w:val="003399" w:themeColor="text2"/>
              </w:rPr>
            </w:pP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B49814E" w14:textId="5AD4894E" w:rsidR="0073328F" w:rsidRPr="00481B6B" w:rsidRDefault="0073328F" w:rsidP="0073328F">
            <w:pPr>
              <w:spacing w:before="100" w:after="100" w:line="22" w:lineRule="atLeast"/>
              <w:jc w:val="center"/>
              <w:rPr>
                <w:rFonts w:asciiTheme="majorHAnsi" w:eastAsia="Calibri" w:hAnsiTheme="majorHAnsi"/>
                <w:iCs/>
                <w:noProof/>
                <w:color w:val="003399" w:themeColor="text2"/>
              </w:rPr>
            </w:pPr>
            <w:r w:rsidRPr="00481B6B">
              <w:rPr>
                <w:rFonts w:asciiTheme="majorHAnsi" w:eastAsia="Calibri" w:hAnsiTheme="majorHAnsi"/>
                <w:iCs/>
                <w:noProof/>
                <w:color w:val="003399" w:themeColor="text2"/>
              </w:rPr>
              <w:t>151.4</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FEF8887" w14:textId="22379213" w:rsidR="0073328F" w:rsidRPr="00481B6B" w:rsidRDefault="0073328F" w:rsidP="0073328F">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145.5</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355843B" w14:textId="48EBB4A6" w:rsidR="0073328F" w:rsidRPr="00481B6B" w:rsidRDefault="0073328F" w:rsidP="0073328F">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159.1</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2BE6F1B" w14:textId="157E24AA" w:rsidR="0073328F" w:rsidRPr="00481B6B" w:rsidRDefault="0073328F" w:rsidP="0073328F">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183.7</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EB8FD9A" w14:textId="235157DD" w:rsidR="0073328F" w:rsidRPr="00481B6B" w:rsidRDefault="0073328F" w:rsidP="0073328F">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140.1</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79E5EFE2" w14:textId="02A4856B" w:rsidR="0073328F" w:rsidRPr="00481B6B" w:rsidRDefault="0073328F" w:rsidP="0073328F">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150.3</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F9D3351" w14:textId="7C9EFBF6" w:rsidR="0073328F" w:rsidRPr="00481B6B" w:rsidRDefault="0073328F" w:rsidP="0073328F">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144.4</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129030E" w14:textId="7A34FF02" w:rsidR="0073328F" w:rsidRPr="00481B6B" w:rsidRDefault="0073328F" w:rsidP="0073328F">
            <w:pPr>
              <w:spacing w:before="100" w:after="100" w:line="22" w:lineRule="atLeast"/>
              <w:jc w:val="center"/>
              <w:rPr>
                <w:rFonts w:asciiTheme="majorHAnsi" w:eastAsia="Calibri" w:hAnsiTheme="majorHAnsi"/>
                <w:iCs/>
                <w:noProof/>
                <w:color w:val="003399" w:themeColor="text2"/>
              </w:rPr>
            </w:pPr>
            <w:r w:rsidRPr="005A4CD5">
              <w:rPr>
                <w:rFonts w:asciiTheme="majorHAnsi" w:eastAsia="Calibri" w:hAnsiTheme="majorHAnsi"/>
                <w:noProof/>
                <w:color w:val="003399" w:themeColor="text2"/>
              </w:rPr>
              <w:t>131.6</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0530BA60" w14:textId="5E27DD32" w:rsidR="0073328F" w:rsidRPr="005A4CD5" w:rsidRDefault="0073328F" w:rsidP="0073328F">
            <w:pPr>
              <w:spacing w:before="100" w:after="100" w:line="22" w:lineRule="atLeast"/>
              <w:jc w:val="center"/>
              <w:rPr>
                <w:rFonts w:asciiTheme="majorHAnsi" w:eastAsia="Calibri" w:hAnsiTheme="majorHAnsi"/>
                <w:b/>
                <w:noProof/>
              </w:rPr>
            </w:pPr>
            <w:r w:rsidRPr="005A4CD5">
              <w:rPr>
                <w:rFonts w:asciiTheme="majorHAnsi" w:eastAsia="Calibri" w:hAnsiTheme="majorHAnsi"/>
                <w:b/>
                <w:bCs/>
                <w:iCs/>
                <w:noProof/>
              </w:rPr>
              <w:t>1</w:t>
            </w:r>
            <w:r w:rsidR="00161198" w:rsidRPr="005A4CD5">
              <w:rPr>
                <w:rFonts w:asciiTheme="majorHAnsi" w:eastAsia="Calibri" w:hAnsiTheme="majorHAnsi"/>
                <w:b/>
                <w:bCs/>
                <w:iCs/>
                <w:noProof/>
              </w:rPr>
              <w:t xml:space="preserve"> </w:t>
            </w:r>
            <w:r w:rsidRPr="005A4CD5">
              <w:rPr>
                <w:rFonts w:asciiTheme="majorHAnsi" w:eastAsia="Calibri" w:hAnsiTheme="majorHAnsi"/>
                <w:b/>
                <w:bCs/>
                <w:iCs/>
                <w:noProof/>
              </w:rPr>
              <w:t>205</w:t>
            </w:r>
            <w:r w:rsidRPr="005A4CD5">
              <w:rPr>
                <w:rFonts w:asciiTheme="majorHAnsi" w:eastAsia="Calibri" w:hAnsiTheme="majorHAnsi"/>
                <w:b/>
                <w:noProof/>
              </w:rPr>
              <w:t>.9</w:t>
            </w:r>
          </w:p>
        </w:tc>
      </w:tr>
      <w:tr w:rsidR="00D1758B" w:rsidRPr="00AB5413" w14:paraId="5A2FD315" w14:textId="77777777" w:rsidTr="6603F2C9">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28AA0255" w14:textId="53E50CDC" w:rsidR="00CA37D2" w:rsidRPr="00186C27" w:rsidRDefault="00CA37D2" w:rsidP="00CA37D2">
            <w:pPr>
              <w:spacing w:before="100" w:after="100"/>
              <w:rPr>
                <w:rFonts w:asciiTheme="majorHAnsi" w:hAnsiTheme="majorHAnsi"/>
                <w:b/>
                <w:bCs/>
                <w:iCs/>
                <w:noProof/>
                <w:color w:val="003399" w:themeColor="text2"/>
                <w:sz w:val="22"/>
                <w:szCs w:val="22"/>
              </w:rPr>
            </w:pPr>
            <w:r w:rsidRPr="00186C27">
              <w:rPr>
                <w:rFonts w:asciiTheme="majorHAnsi" w:hAnsiTheme="majorHAnsi"/>
                <w:b/>
                <w:bCs/>
                <w:iCs/>
                <w:noProof/>
                <w:color w:val="003399" w:themeColor="text2"/>
                <w:sz w:val="22"/>
                <w:szCs w:val="22"/>
              </w:rPr>
              <w:t>Other revenue (incl. fees and provisional UK contribution, European Travel Information and Authorisation System (ETIAS) fee)</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1D283AEB" w14:textId="5F0383CF" w:rsidR="00CA37D2" w:rsidRPr="00481B6B" w:rsidRDefault="00CA37D2" w:rsidP="00CA37D2">
            <w:pPr>
              <w:spacing w:before="100" w:after="100"/>
              <w:jc w:val="center"/>
              <w:rPr>
                <w:rFonts w:asciiTheme="majorHAnsi" w:hAnsiTheme="majorHAnsi"/>
                <w:b/>
                <w:bCs/>
                <w:iCs/>
                <w:noProof/>
                <w:color w:val="003399" w:themeColor="text2"/>
                <w:spacing w:val="-4"/>
              </w:rPr>
            </w:pPr>
            <w:r w:rsidRPr="00481B6B">
              <w:rPr>
                <w:rFonts w:asciiTheme="majorHAnsi" w:hAnsiTheme="majorHAnsi"/>
                <w:b/>
                <w:bCs/>
                <w:noProof/>
                <w:color w:val="003399" w:themeColor="text2"/>
                <w:spacing w:val="-4"/>
              </w:rPr>
              <w:t>C</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41CFF6E8" w14:textId="38667242" w:rsidR="00CA37D2" w:rsidRPr="00481B6B" w:rsidRDefault="00CA37D2" w:rsidP="00CA37D2">
            <w:pPr>
              <w:spacing w:before="100" w:after="100"/>
              <w:jc w:val="center"/>
              <w:rPr>
                <w:rFonts w:asciiTheme="majorHAnsi" w:hAnsiTheme="majorHAnsi"/>
                <w:b/>
                <w:bCs/>
                <w:iCs/>
                <w:noProof/>
                <w:color w:val="003399" w:themeColor="text2"/>
              </w:rPr>
            </w:pPr>
            <w:r w:rsidRPr="00481B6B">
              <w:rPr>
                <w:rFonts w:asciiTheme="majorHAnsi" w:hAnsiTheme="majorHAnsi"/>
                <w:b/>
                <w:bCs/>
                <w:iCs/>
                <w:noProof/>
                <w:color w:val="003399" w:themeColor="text2"/>
              </w:rPr>
              <w:t>3.1</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2B68FA27" w14:textId="3A5DAF8A" w:rsidR="00CA37D2" w:rsidRPr="00481B6B" w:rsidRDefault="00CA37D2" w:rsidP="00CA37D2">
            <w:pPr>
              <w:spacing w:before="100" w:after="100"/>
              <w:jc w:val="center"/>
              <w:rPr>
                <w:rFonts w:asciiTheme="majorHAnsi" w:hAnsiTheme="majorHAnsi"/>
                <w:b/>
                <w:bCs/>
                <w:iCs/>
                <w:noProof/>
                <w:color w:val="003399" w:themeColor="text2"/>
              </w:rPr>
            </w:pPr>
            <w:r w:rsidRPr="005A4CD5">
              <w:rPr>
                <w:rFonts w:asciiTheme="majorHAnsi" w:hAnsiTheme="majorHAnsi"/>
                <w:b/>
                <w:noProof/>
                <w:color w:val="003399" w:themeColor="text2"/>
              </w:rPr>
              <w:t>3.4</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75516728" w14:textId="37241BF2" w:rsidR="00CA37D2" w:rsidRPr="00481B6B" w:rsidRDefault="00CA37D2" w:rsidP="00CA37D2">
            <w:pPr>
              <w:spacing w:before="100" w:after="100"/>
              <w:jc w:val="center"/>
              <w:rPr>
                <w:rFonts w:asciiTheme="majorHAnsi" w:hAnsiTheme="majorHAnsi"/>
                <w:b/>
                <w:bCs/>
                <w:iCs/>
                <w:noProof/>
                <w:color w:val="003399" w:themeColor="text2"/>
              </w:rPr>
            </w:pPr>
            <w:r w:rsidRPr="005A4CD5">
              <w:rPr>
                <w:rFonts w:asciiTheme="majorHAnsi" w:hAnsiTheme="majorHAnsi"/>
                <w:b/>
                <w:noProof/>
                <w:color w:val="003399" w:themeColor="text2"/>
              </w:rPr>
              <w:t>3.2</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4EEF6430" w14:textId="7F50F272" w:rsidR="00CA37D2" w:rsidRPr="00481B6B" w:rsidRDefault="00CA37D2" w:rsidP="00CA37D2">
            <w:pPr>
              <w:spacing w:before="100" w:after="100"/>
              <w:jc w:val="center"/>
              <w:rPr>
                <w:rFonts w:asciiTheme="majorHAnsi" w:hAnsiTheme="majorHAnsi"/>
                <w:b/>
                <w:bCs/>
                <w:iCs/>
                <w:noProof/>
                <w:color w:val="003399" w:themeColor="text2"/>
              </w:rPr>
            </w:pPr>
            <w:r w:rsidRPr="005A4CD5">
              <w:rPr>
                <w:rFonts w:asciiTheme="majorHAnsi" w:hAnsiTheme="majorHAnsi"/>
                <w:b/>
                <w:noProof/>
                <w:color w:val="003399" w:themeColor="text2"/>
              </w:rPr>
              <w:t>3.1</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50E36C9D" w14:textId="5F71EFF4" w:rsidR="00CA37D2" w:rsidRPr="00481B6B" w:rsidRDefault="00CA37D2" w:rsidP="00CA37D2">
            <w:pPr>
              <w:spacing w:before="100" w:after="100"/>
              <w:jc w:val="center"/>
              <w:rPr>
                <w:rFonts w:asciiTheme="majorHAnsi" w:hAnsiTheme="majorHAnsi"/>
                <w:b/>
                <w:bCs/>
                <w:iCs/>
                <w:noProof/>
                <w:color w:val="003399" w:themeColor="text2"/>
              </w:rPr>
            </w:pPr>
            <w:r w:rsidRPr="005A4CD5">
              <w:rPr>
                <w:rFonts w:asciiTheme="majorHAnsi" w:hAnsiTheme="majorHAnsi"/>
                <w:b/>
                <w:noProof/>
                <w:color w:val="003399" w:themeColor="text2"/>
              </w:rPr>
              <w:t>3.0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3FCAA172" w14:textId="310F5D40" w:rsidR="00CA37D2" w:rsidRPr="005A4CD5" w:rsidRDefault="00CA37D2" w:rsidP="00CA37D2">
            <w:pPr>
              <w:spacing w:before="100" w:after="100"/>
              <w:jc w:val="center"/>
              <w:rPr>
                <w:rFonts w:asciiTheme="majorHAnsi" w:hAnsiTheme="majorHAnsi"/>
                <w:b/>
                <w:noProof/>
                <w:color w:val="003399" w:themeColor="text2"/>
              </w:rPr>
            </w:pPr>
            <w:r w:rsidRPr="005A4CD5">
              <w:rPr>
                <w:rFonts w:asciiTheme="majorHAnsi" w:hAnsiTheme="majorHAnsi"/>
                <w:b/>
                <w:noProof/>
                <w:color w:val="003399" w:themeColor="text2"/>
              </w:rPr>
              <w:t>2.9</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5BA06728" w14:textId="35793286" w:rsidR="00CA37D2" w:rsidRPr="005A4CD5" w:rsidRDefault="00CA37D2" w:rsidP="00CA37D2">
            <w:pPr>
              <w:spacing w:before="100" w:after="100"/>
              <w:jc w:val="center"/>
              <w:rPr>
                <w:rFonts w:asciiTheme="majorHAnsi" w:hAnsiTheme="majorHAnsi"/>
                <w:b/>
                <w:noProof/>
                <w:color w:val="003399" w:themeColor="text2"/>
              </w:rPr>
            </w:pPr>
            <w:r w:rsidRPr="005A4CD5">
              <w:rPr>
                <w:rFonts w:asciiTheme="majorHAnsi" w:hAnsiTheme="majorHAnsi"/>
                <w:b/>
                <w:noProof/>
                <w:color w:val="003399" w:themeColor="text2"/>
              </w:rPr>
              <w:t>2.9</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F3F7FF" w:themeFill="background2"/>
            <w:vAlign w:val="center"/>
          </w:tcPr>
          <w:p w14:paraId="33A25415" w14:textId="05940318" w:rsidR="00CA37D2" w:rsidRPr="005A4CD5" w:rsidRDefault="00CA37D2" w:rsidP="00CA37D2">
            <w:pPr>
              <w:spacing w:before="100" w:after="100"/>
              <w:jc w:val="center"/>
              <w:rPr>
                <w:rFonts w:asciiTheme="majorHAnsi" w:hAnsiTheme="majorHAnsi"/>
                <w:b/>
                <w:noProof/>
                <w:color w:val="003399" w:themeColor="text2"/>
              </w:rPr>
            </w:pPr>
            <w:r w:rsidRPr="005A4CD5">
              <w:rPr>
                <w:rFonts w:asciiTheme="majorHAnsi" w:hAnsiTheme="majorHAnsi"/>
                <w:b/>
                <w:noProof/>
                <w:color w:val="003399" w:themeColor="text2"/>
              </w:rPr>
              <w:t>2.9</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shd w:val="clear" w:color="auto" w:fill="F3F7FF" w:themeFill="background2"/>
            <w:vAlign w:val="center"/>
          </w:tcPr>
          <w:p w14:paraId="75806857" w14:textId="1A475CFA" w:rsidR="00CA37D2" w:rsidRPr="005A4CD5" w:rsidRDefault="00CA37D2" w:rsidP="00CA37D2">
            <w:pPr>
              <w:spacing w:before="100" w:after="100"/>
              <w:jc w:val="center"/>
              <w:rPr>
                <w:rFonts w:asciiTheme="majorHAnsi" w:hAnsiTheme="majorHAnsi"/>
                <w:b/>
                <w:noProof/>
                <w:color w:val="003399" w:themeColor="text2"/>
              </w:rPr>
            </w:pPr>
            <w:r w:rsidRPr="005A4CD5">
              <w:rPr>
                <w:rFonts w:asciiTheme="majorHAnsi" w:hAnsiTheme="majorHAnsi"/>
                <w:b/>
                <w:noProof/>
                <w:color w:val="003399" w:themeColor="text2"/>
              </w:rPr>
              <w:t>24.4</w:t>
            </w:r>
          </w:p>
        </w:tc>
      </w:tr>
      <w:tr w:rsidR="00D74601" w:rsidRPr="00AB5413" w14:paraId="4F4439A4" w14:textId="77777777" w:rsidTr="00186C27">
        <w:trPr>
          <w:trHeight w:val="533"/>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9D9D9" w:themeFill="background1" w:themeFillShade="D9"/>
            <w:vAlign w:val="center"/>
          </w:tcPr>
          <w:p w14:paraId="1FE861B0" w14:textId="77777777" w:rsidR="000D256C" w:rsidRPr="00186C27" w:rsidRDefault="000D256C">
            <w:pPr>
              <w:spacing w:before="100" w:after="100"/>
              <w:rPr>
                <w:rFonts w:asciiTheme="majorHAnsi" w:hAnsiTheme="majorHAnsi"/>
                <w:b/>
                <w:bCs/>
                <w:iCs/>
                <w:noProof/>
                <w:color w:val="003399" w:themeColor="text2"/>
                <w:sz w:val="22"/>
                <w:szCs w:val="22"/>
              </w:rPr>
            </w:pPr>
            <w:r w:rsidRPr="00186C27">
              <w:rPr>
                <w:rFonts w:asciiTheme="majorHAnsi" w:hAnsiTheme="majorHAnsi"/>
                <w:b/>
                <w:bCs/>
                <w:iCs/>
                <w:noProof/>
                <w:color w:val="003399" w:themeColor="text2"/>
                <w:sz w:val="22"/>
                <w:szCs w:val="22"/>
              </w:rPr>
              <w:t>TOTAL REVENUE</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9D9D9" w:themeFill="background1" w:themeFillShade="D9"/>
            <w:vAlign w:val="center"/>
          </w:tcPr>
          <w:p w14:paraId="30F856B5" w14:textId="39D1A39A" w:rsidR="000D256C" w:rsidRPr="00481B6B" w:rsidRDefault="28123C7F">
            <w:pPr>
              <w:spacing w:before="100" w:after="100"/>
              <w:jc w:val="center"/>
              <w:rPr>
                <w:rFonts w:asciiTheme="majorHAnsi" w:hAnsiTheme="majorHAnsi"/>
                <w:b/>
                <w:bCs/>
                <w:iCs/>
                <w:noProof/>
                <w:color w:val="003399" w:themeColor="text2"/>
              </w:rPr>
            </w:pPr>
            <w:r w:rsidRPr="00481B6B">
              <w:rPr>
                <w:rFonts w:asciiTheme="majorHAnsi" w:hAnsiTheme="majorHAnsi"/>
                <w:b/>
                <w:bCs/>
                <w:noProof/>
                <w:color w:val="003399" w:themeColor="text2"/>
              </w:rPr>
              <w:t>D</w:t>
            </w:r>
            <w:r w:rsidR="3A58952E" w:rsidRPr="00481B6B">
              <w:rPr>
                <w:rFonts w:asciiTheme="majorHAnsi" w:hAnsiTheme="majorHAnsi"/>
                <w:b/>
                <w:bCs/>
                <w:noProof/>
                <w:color w:val="003399" w:themeColor="text2"/>
              </w:rPr>
              <w:t>=</w:t>
            </w:r>
            <w:r w:rsidR="00867C33" w:rsidRPr="00481B6B">
              <w:rPr>
                <w:rFonts w:asciiTheme="majorHAnsi" w:hAnsiTheme="majorHAnsi"/>
                <w:b/>
                <w:bCs/>
                <w:noProof/>
                <w:color w:val="003399" w:themeColor="text2"/>
              </w:rPr>
              <w:t>B</w:t>
            </w:r>
            <w:r w:rsidR="3BC1B4C1" w:rsidRPr="00481B6B">
              <w:rPr>
                <w:rFonts w:asciiTheme="majorHAnsi" w:hAnsiTheme="majorHAnsi"/>
                <w:b/>
                <w:bCs/>
                <w:noProof/>
                <w:color w:val="003399" w:themeColor="text2"/>
              </w:rPr>
              <w:t>+</w:t>
            </w:r>
            <w:r w:rsidR="00867C33" w:rsidRPr="00481B6B">
              <w:rPr>
                <w:rFonts w:asciiTheme="majorHAnsi" w:hAnsiTheme="majorHAnsi"/>
                <w:b/>
                <w:bCs/>
                <w:noProof/>
                <w:color w:val="003399" w:themeColor="text2"/>
              </w:rPr>
              <w:t>C</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9D9D9" w:themeFill="background1" w:themeFillShade="D9"/>
            <w:vAlign w:val="center"/>
          </w:tcPr>
          <w:p w14:paraId="2DF38A62" w14:textId="46F412A8" w:rsidR="000D256C" w:rsidRPr="001C6BF4" w:rsidRDefault="00E444B3" w:rsidP="00186C27">
            <w:pPr>
              <w:spacing w:before="100" w:after="100"/>
              <w:jc w:val="center"/>
              <w:rPr>
                <w:rFonts w:asciiTheme="majorHAnsi" w:hAnsiTheme="majorHAnsi"/>
                <w:b/>
                <w:bCs/>
                <w:iCs/>
                <w:noProof/>
                <w:color w:val="000000" w:themeColor="text1"/>
                <w:sz w:val="22"/>
                <w:szCs w:val="22"/>
              </w:rPr>
            </w:pPr>
            <w:r w:rsidRPr="001C6BF4">
              <w:rPr>
                <w:rFonts w:asciiTheme="majorHAnsi" w:hAnsiTheme="majorHAnsi"/>
                <w:b/>
                <w:bCs/>
                <w:iCs/>
                <w:noProof/>
                <w:color w:val="000000" w:themeColor="text1"/>
                <w:sz w:val="22"/>
                <w:szCs w:val="22"/>
              </w:rPr>
              <w:t>21</w:t>
            </w:r>
            <w:r w:rsidR="0021536C" w:rsidRPr="001C6BF4">
              <w:rPr>
                <w:rFonts w:asciiTheme="majorHAnsi" w:hAnsiTheme="majorHAnsi"/>
                <w:b/>
                <w:bCs/>
                <w:iCs/>
                <w:noProof/>
                <w:color w:val="000000" w:themeColor="text1"/>
                <w:sz w:val="22"/>
                <w:szCs w:val="22"/>
              </w:rPr>
              <w:t>2</w:t>
            </w:r>
            <w:r w:rsidR="00650704" w:rsidRPr="001C6BF4">
              <w:rPr>
                <w:rFonts w:asciiTheme="majorHAnsi" w:hAnsiTheme="majorHAnsi"/>
                <w:b/>
                <w:bCs/>
                <w:iCs/>
                <w:noProof/>
                <w:color w:val="000000" w:themeColor="text1"/>
                <w:sz w:val="22"/>
                <w:szCs w:val="22"/>
              </w:rPr>
              <w:t>.</w:t>
            </w:r>
            <w:r w:rsidR="0021536C" w:rsidRPr="001C6BF4">
              <w:rPr>
                <w:rFonts w:asciiTheme="majorHAnsi" w:hAnsiTheme="majorHAnsi"/>
                <w:b/>
                <w:bCs/>
                <w:iCs/>
                <w:noProof/>
                <w:color w:val="000000" w:themeColor="text1"/>
                <w:sz w:val="22"/>
                <w:szCs w:val="22"/>
              </w:rPr>
              <w:t>0</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9D9D9" w:themeFill="background1" w:themeFillShade="D9"/>
            <w:vAlign w:val="center"/>
          </w:tcPr>
          <w:p w14:paraId="42233951" w14:textId="0F8967B5" w:rsidR="000D256C" w:rsidRPr="001C6BF4" w:rsidRDefault="000D256C" w:rsidP="00186C27">
            <w:pPr>
              <w:spacing w:before="100" w:after="100"/>
              <w:jc w:val="center"/>
              <w:rPr>
                <w:rFonts w:asciiTheme="majorHAnsi" w:hAnsiTheme="majorHAnsi"/>
                <w:b/>
                <w:bCs/>
                <w:iCs/>
                <w:noProof/>
                <w:color w:val="000000" w:themeColor="text1"/>
                <w:sz w:val="22"/>
                <w:szCs w:val="22"/>
              </w:rPr>
            </w:pPr>
            <w:r w:rsidRPr="001C6BF4">
              <w:rPr>
                <w:rFonts w:asciiTheme="majorHAnsi" w:hAnsiTheme="majorHAnsi"/>
                <w:b/>
                <w:bCs/>
                <w:iCs/>
                <w:noProof/>
                <w:color w:val="000000" w:themeColor="text1"/>
                <w:sz w:val="22"/>
                <w:szCs w:val="22"/>
              </w:rPr>
              <w:t>265</w:t>
            </w:r>
            <w:r w:rsidR="00B877C3" w:rsidRPr="001C6BF4">
              <w:rPr>
                <w:rFonts w:asciiTheme="majorHAnsi" w:hAnsiTheme="majorHAnsi"/>
                <w:b/>
                <w:bCs/>
                <w:iCs/>
                <w:noProof/>
                <w:color w:val="000000" w:themeColor="text1"/>
                <w:sz w:val="22"/>
                <w:szCs w:val="22"/>
              </w:rPr>
              <w:t>.</w:t>
            </w:r>
            <w:r w:rsidRPr="001C6BF4">
              <w:rPr>
                <w:rFonts w:asciiTheme="majorHAnsi" w:hAnsiTheme="majorHAnsi"/>
                <w:b/>
                <w:bCs/>
                <w:iCs/>
                <w:noProof/>
                <w:color w:val="000000" w:themeColor="text1"/>
                <w:sz w:val="22"/>
                <w:szCs w:val="22"/>
              </w:rPr>
              <w:t>6</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9D9D9" w:themeFill="background1" w:themeFillShade="D9"/>
            <w:vAlign w:val="center"/>
          </w:tcPr>
          <w:p w14:paraId="5C5AB0EA" w14:textId="446BF6F6" w:rsidR="000D256C" w:rsidRPr="001C6BF4" w:rsidRDefault="000D256C" w:rsidP="00186C27">
            <w:pPr>
              <w:spacing w:before="100" w:after="100"/>
              <w:jc w:val="center"/>
              <w:rPr>
                <w:rFonts w:asciiTheme="majorHAnsi" w:hAnsiTheme="majorHAnsi"/>
                <w:b/>
                <w:bCs/>
                <w:iCs/>
                <w:noProof/>
                <w:color w:val="000000" w:themeColor="text1"/>
                <w:sz w:val="22"/>
                <w:szCs w:val="22"/>
              </w:rPr>
            </w:pPr>
            <w:r w:rsidRPr="001C6BF4">
              <w:rPr>
                <w:rFonts w:asciiTheme="majorHAnsi" w:hAnsiTheme="majorHAnsi"/>
                <w:b/>
                <w:bCs/>
                <w:iCs/>
                <w:noProof/>
                <w:color w:val="000000" w:themeColor="text1"/>
                <w:sz w:val="22"/>
                <w:szCs w:val="22"/>
              </w:rPr>
              <w:t>284</w:t>
            </w:r>
            <w:r w:rsidR="00B877C3" w:rsidRPr="001C6BF4">
              <w:rPr>
                <w:rFonts w:asciiTheme="majorHAnsi" w:hAnsiTheme="majorHAnsi"/>
                <w:b/>
                <w:bCs/>
                <w:iCs/>
                <w:noProof/>
                <w:color w:val="000000" w:themeColor="text1"/>
                <w:sz w:val="22"/>
                <w:szCs w:val="22"/>
              </w:rPr>
              <w:t>.</w:t>
            </w:r>
            <w:r w:rsidRPr="001C6BF4">
              <w:rPr>
                <w:rFonts w:asciiTheme="majorHAnsi" w:hAnsiTheme="majorHAnsi"/>
                <w:b/>
                <w:bCs/>
                <w:iCs/>
                <w:noProof/>
                <w:color w:val="000000" w:themeColor="text1"/>
                <w:sz w:val="22"/>
                <w:szCs w:val="22"/>
              </w:rPr>
              <w:t>1</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9D9D9" w:themeFill="background1" w:themeFillShade="D9"/>
            <w:vAlign w:val="center"/>
          </w:tcPr>
          <w:p w14:paraId="1E41EEB5" w14:textId="318EA906" w:rsidR="000D256C" w:rsidRPr="001C6BF4" w:rsidRDefault="000D256C" w:rsidP="00186C27">
            <w:pPr>
              <w:spacing w:before="100" w:after="100"/>
              <w:jc w:val="center"/>
              <w:rPr>
                <w:rFonts w:asciiTheme="majorHAnsi" w:hAnsiTheme="majorHAnsi"/>
                <w:b/>
                <w:bCs/>
                <w:iCs/>
                <w:noProof/>
                <w:color w:val="000000" w:themeColor="text1"/>
                <w:sz w:val="22"/>
                <w:szCs w:val="22"/>
              </w:rPr>
            </w:pPr>
            <w:r w:rsidRPr="001C6BF4">
              <w:rPr>
                <w:rFonts w:asciiTheme="majorHAnsi" w:hAnsiTheme="majorHAnsi"/>
                <w:b/>
                <w:bCs/>
                <w:iCs/>
                <w:noProof/>
                <w:color w:val="000000" w:themeColor="text1"/>
                <w:sz w:val="22"/>
                <w:szCs w:val="22"/>
              </w:rPr>
              <w:t>310</w:t>
            </w:r>
            <w:r w:rsidR="00B877C3" w:rsidRPr="001C6BF4">
              <w:rPr>
                <w:rFonts w:asciiTheme="majorHAnsi" w:hAnsiTheme="majorHAnsi"/>
                <w:b/>
                <w:bCs/>
                <w:iCs/>
                <w:noProof/>
                <w:color w:val="000000" w:themeColor="text1"/>
                <w:sz w:val="22"/>
                <w:szCs w:val="22"/>
              </w:rPr>
              <w:t>.</w:t>
            </w:r>
            <w:r w:rsidRPr="001C6BF4">
              <w:rPr>
                <w:rFonts w:asciiTheme="majorHAnsi" w:hAnsiTheme="majorHAnsi"/>
                <w:b/>
                <w:bCs/>
                <w:iCs/>
                <w:noProof/>
                <w:color w:val="000000" w:themeColor="text1"/>
                <w:sz w:val="22"/>
                <w:szCs w:val="22"/>
              </w:rPr>
              <w:t>7</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9D9D9" w:themeFill="background1" w:themeFillShade="D9"/>
            <w:vAlign w:val="center"/>
          </w:tcPr>
          <w:p w14:paraId="626F463B" w14:textId="628F875A" w:rsidR="000D256C" w:rsidRPr="001C6BF4" w:rsidRDefault="000D256C" w:rsidP="00186C27">
            <w:pPr>
              <w:spacing w:before="100" w:after="100"/>
              <w:jc w:val="center"/>
              <w:rPr>
                <w:rFonts w:asciiTheme="majorHAnsi" w:hAnsiTheme="majorHAnsi"/>
                <w:b/>
                <w:bCs/>
                <w:iCs/>
                <w:noProof/>
                <w:color w:val="000000" w:themeColor="text1"/>
                <w:sz w:val="22"/>
                <w:szCs w:val="22"/>
              </w:rPr>
            </w:pPr>
            <w:r w:rsidRPr="001C6BF4">
              <w:rPr>
                <w:rFonts w:asciiTheme="majorHAnsi" w:hAnsiTheme="majorHAnsi"/>
                <w:b/>
                <w:bCs/>
                <w:iCs/>
                <w:noProof/>
                <w:color w:val="000000" w:themeColor="text1"/>
                <w:sz w:val="22"/>
                <w:szCs w:val="22"/>
              </w:rPr>
              <w:t>272</w:t>
            </w:r>
            <w:r w:rsidR="00B877C3" w:rsidRPr="001C6BF4">
              <w:rPr>
                <w:rFonts w:asciiTheme="majorHAnsi" w:hAnsiTheme="majorHAnsi"/>
                <w:b/>
                <w:bCs/>
                <w:iCs/>
                <w:noProof/>
                <w:color w:val="000000" w:themeColor="text1"/>
                <w:sz w:val="22"/>
                <w:szCs w:val="22"/>
              </w:rPr>
              <w:t>.</w:t>
            </w:r>
            <w:r w:rsidRPr="001C6BF4">
              <w:rPr>
                <w:rFonts w:asciiTheme="majorHAnsi" w:hAnsiTheme="majorHAnsi"/>
                <w:b/>
                <w:bCs/>
                <w:iCs/>
                <w:noProof/>
                <w:color w:val="000000" w:themeColor="text1"/>
                <w:sz w:val="22"/>
                <w:szCs w:val="22"/>
              </w:rPr>
              <w:t>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9D9D9" w:themeFill="background1" w:themeFillShade="D9"/>
            <w:vAlign w:val="center"/>
          </w:tcPr>
          <w:p w14:paraId="61E63347" w14:textId="731A696C" w:rsidR="000D256C" w:rsidRPr="001C6BF4" w:rsidRDefault="000D256C" w:rsidP="00186C27">
            <w:pPr>
              <w:spacing w:before="100" w:after="100"/>
              <w:jc w:val="center"/>
              <w:rPr>
                <w:rFonts w:asciiTheme="majorHAnsi" w:eastAsia="Calibri" w:hAnsiTheme="majorHAnsi"/>
                <w:b/>
                <w:bCs/>
                <w:iCs/>
                <w:noProof/>
                <w:color w:val="000000" w:themeColor="text1"/>
                <w:sz w:val="22"/>
                <w:szCs w:val="22"/>
              </w:rPr>
            </w:pPr>
            <w:r w:rsidRPr="001C6BF4">
              <w:rPr>
                <w:rFonts w:asciiTheme="majorHAnsi" w:eastAsia="Calibri" w:hAnsiTheme="majorHAnsi"/>
                <w:b/>
                <w:bCs/>
                <w:iCs/>
                <w:noProof/>
                <w:color w:val="000000" w:themeColor="text1"/>
                <w:sz w:val="22"/>
                <w:szCs w:val="22"/>
              </w:rPr>
              <w:t>283</w:t>
            </w:r>
            <w:r w:rsidR="00B877C3" w:rsidRPr="001C6BF4">
              <w:rPr>
                <w:rFonts w:asciiTheme="majorHAnsi" w:eastAsia="Calibri" w:hAnsiTheme="majorHAnsi"/>
                <w:b/>
                <w:bCs/>
                <w:iCs/>
                <w:noProof/>
                <w:color w:val="000000" w:themeColor="text1"/>
                <w:sz w:val="22"/>
                <w:szCs w:val="22"/>
              </w:rPr>
              <w:t>.</w:t>
            </w:r>
            <w:r w:rsidRPr="001C6BF4">
              <w:rPr>
                <w:rFonts w:asciiTheme="majorHAnsi" w:eastAsia="Calibri" w:hAnsiTheme="majorHAnsi"/>
                <w:b/>
                <w:bCs/>
                <w:iCs/>
                <w:noProof/>
                <w:color w:val="000000" w:themeColor="text1"/>
                <w:sz w:val="22"/>
                <w:szCs w:val="22"/>
              </w:rPr>
              <w:t>4</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9D9D9" w:themeFill="background1" w:themeFillShade="D9"/>
            <w:vAlign w:val="center"/>
          </w:tcPr>
          <w:p w14:paraId="78A79487" w14:textId="7EFB18A3" w:rsidR="000D256C" w:rsidRPr="001C6BF4" w:rsidRDefault="000D256C" w:rsidP="00186C27">
            <w:pPr>
              <w:spacing w:before="100" w:after="100"/>
              <w:jc w:val="center"/>
              <w:rPr>
                <w:rFonts w:asciiTheme="majorHAnsi" w:eastAsia="Calibri" w:hAnsiTheme="majorHAnsi"/>
                <w:b/>
                <w:bCs/>
                <w:iCs/>
                <w:noProof/>
                <w:color w:val="000000" w:themeColor="text1"/>
                <w:sz w:val="22"/>
                <w:szCs w:val="22"/>
              </w:rPr>
            </w:pPr>
            <w:r w:rsidRPr="001C6BF4">
              <w:rPr>
                <w:rFonts w:asciiTheme="majorHAnsi" w:eastAsia="Calibri" w:hAnsiTheme="majorHAnsi"/>
                <w:b/>
                <w:bCs/>
                <w:iCs/>
                <w:noProof/>
                <w:color w:val="000000" w:themeColor="text1"/>
                <w:sz w:val="22"/>
                <w:szCs w:val="22"/>
              </w:rPr>
              <w:t>278</w:t>
            </w:r>
            <w:r w:rsidR="00B877C3" w:rsidRPr="001C6BF4">
              <w:rPr>
                <w:rFonts w:asciiTheme="majorHAnsi" w:eastAsia="Calibri" w:hAnsiTheme="majorHAnsi"/>
                <w:b/>
                <w:bCs/>
                <w:iCs/>
                <w:noProof/>
                <w:color w:val="000000" w:themeColor="text1"/>
                <w:sz w:val="22"/>
                <w:szCs w:val="22"/>
              </w:rPr>
              <w:t>.</w:t>
            </w:r>
            <w:r w:rsidRPr="001C6BF4">
              <w:rPr>
                <w:rFonts w:asciiTheme="majorHAnsi" w:eastAsia="Calibri" w:hAnsiTheme="majorHAnsi"/>
                <w:b/>
                <w:bCs/>
                <w:iCs/>
                <w:noProof/>
                <w:color w:val="000000" w:themeColor="text1"/>
                <w:sz w:val="22"/>
                <w:szCs w:val="22"/>
              </w:rPr>
              <w:t>5</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D9D9D9" w:themeFill="background1" w:themeFillShade="D9"/>
            <w:vAlign w:val="center"/>
          </w:tcPr>
          <w:p w14:paraId="40536126" w14:textId="26C97881" w:rsidR="000D256C" w:rsidRPr="001C6BF4" w:rsidRDefault="000D256C" w:rsidP="00186C27">
            <w:pPr>
              <w:spacing w:before="100" w:after="100"/>
              <w:jc w:val="center"/>
              <w:rPr>
                <w:rFonts w:asciiTheme="majorHAnsi" w:eastAsia="Calibri" w:hAnsiTheme="majorHAnsi"/>
                <w:b/>
                <w:bCs/>
                <w:iCs/>
                <w:noProof/>
                <w:color w:val="000000" w:themeColor="text1"/>
                <w:sz w:val="22"/>
                <w:szCs w:val="22"/>
              </w:rPr>
            </w:pPr>
            <w:r w:rsidRPr="001C6BF4">
              <w:rPr>
                <w:rFonts w:asciiTheme="majorHAnsi" w:eastAsia="Calibri" w:hAnsiTheme="majorHAnsi"/>
                <w:b/>
                <w:bCs/>
                <w:iCs/>
                <w:noProof/>
                <w:color w:val="000000" w:themeColor="text1"/>
                <w:sz w:val="22"/>
                <w:szCs w:val="22"/>
              </w:rPr>
              <w:t>267</w:t>
            </w:r>
            <w:r w:rsidR="00B877C3" w:rsidRPr="001C6BF4">
              <w:rPr>
                <w:rFonts w:asciiTheme="majorHAnsi" w:eastAsia="Calibri" w:hAnsiTheme="majorHAnsi"/>
                <w:b/>
                <w:bCs/>
                <w:iCs/>
                <w:noProof/>
                <w:color w:val="000000" w:themeColor="text1"/>
                <w:sz w:val="22"/>
                <w:szCs w:val="22"/>
              </w:rPr>
              <w:t>.</w:t>
            </w:r>
            <w:r w:rsidRPr="001C6BF4">
              <w:rPr>
                <w:rFonts w:asciiTheme="majorHAnsi" w:eastAsia="Calibri" w:hAnsiTheme="majorHAnsi"/>
                <w:b/>
                <w:bCs/>
                <w:iCs/>
                <w:noProof/>
                <w:color w:val="000000" w:themeColor="text1"/>
                <w:sz w:val="22"/>
                <w:szCs w:val="22"/>
              </w:rPr>
              <w:t>5</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shd w:val="clear" w:color="auto" w:fill="D9D9D9" w:themeFill="background1" w:themeFillShade="D9"/>
            <w:vAlign w:val="center"/>
          </w:tcPr>
          <w:p w14:paraId="574A0F92" w14:textId="29BF05BE" w:rsidR="000D256C" w:rsidRPr="001C6BF4" w:rsidRDefault="009973DD" w:rsidP="00186C27">
            <w:pPr>
              <w:spacing w:before="100" w:after="100"/>
              <w:jc w:val="center"/>
              <w:rPr>
                <w:rFonts w:asciiTheme="majorHAnsi" w:hAnsiTheme="majorHAnsi"/>
                <w:b/>
                <w:bCs/>
                <w:iCs/>
                <w:noProof/>
                <w:color w:val="000000" w:themeColor="text1"/>
                <w:sz w:val="22"/>
                <w:szCs w:val="22"/>
              </w:rPr>
            </w:pPr>
            <w:r w:rsidRPr="001C6BF4">
              <w:rPr>
                <w:rFonts w:asciiTheme="majorHAnsi" w:hAnsiTheme="majorHAnsi"/>
                <w:b/>
                <w:bCs/>
                <w:iCs/>
                <w:noProof/>
                <w:color w:val="000000" w:themeColor="text1"/>
                <w:sz w:val="22"/>
                <w:szCs w:val="22"/>
              </w:rPr>
              <w:t>2 173</w:t>
            </w:r>
            <w:r w:rsidR="00B877C3" w:rsidRPr="001C6BF4">
              <w:rPr>
                <w:rFonts w:asciiTheme="majorHAnsi" w:hAnsiTheme="majorHAnsi"/>
                <w:b/>
                <w:bCs/>
                <w:iCs/>
                <w:noProof/>
                <w:color w:val="000000" w:themeColor="text1"/>
                <w:sz w:val="22"/>
                <w:szCs w:val="22"/>
              </w:rPr>
              <w:t>.</w:t>
            </w:r>
            <w:r w:rsidRPr="001C6BF4">
              <w:rPr>
                <w:rFonts w:asciiTheme="majorHAnsi" w:hAnsiTheme="majorHAnsi"/>
                <w:b/>
                <w:bCs/>
                <w:iCs/>
                <w:noProof/>
                <w:color w:val="000000" w:themeColor="text1"/>
                <w:sz w:val="22"/>
                <w:szCs w:val="22"/>
              </w:rPr>
              <w:t>9</w:t>
            </w:r>
          </w:p>
        </w:tc>
      </w:tr>
      <w:tr w:rsidR="000D256C" w:rsidRPr="00AB5413" w14:paraId="55E09A0C" w14:textId="77777777" w:rsidTr="004D3FA0">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7642E1C" w14:textId="77777777" w:rsidR="000D256C" w:rsidRPr="00186C27" w:rsidRDefault="000D256C">
            <w:pPr>
              <w:spacing w:before="100" w:after="100"/>
              <w:rPr>
                <w:rFonts w:asciiTheme="majorHAnsi" w:hAnsiTheme="majorHAnsi"/>
                <w:b/>
                <w:iCs/>
                <w:noProof/>
                <w:color w:val="003399" w:themeColor="text2"/>
                <w:sz w:val="22"/>
                <w:szCs w:val="22"/>
              </w:rPr>
            </w:pPr>
            <w:r w:rsidRPr="00186C27">
              <w:rPr>
                <w:rFonts w:asciiTheme="majorHAnsi" w:hAnsiTheme="majorHAnsi"/>
                <w:b/>
                <w:iCs/>
                <w:noProof/>
                <w:color w:val="003399" w:themeColor="text2"/>
                <w:sz w:val="22"/>
                <w:szCs w:val="22"/>
              </w:rPr>
              <w:t xml:space="preserve">Available margin under the </w:t>
            </w:r>
            <w:r w:rsidRPr="00186C27">
              <w:rPr>
                <w:rFonts w:asciiTheme="majorHAnsi" w:hAnsiTheme="majorHAnsi"/>
                <w:noProof/>
                <w:sz w:val="22"/>
                <w:szCs w:val="22"/>
              </w:rPr>
              <w:br/>
            </w:r>
            <w:r w:rsidRPr="00186C27">
              <w:rPr>
                <w:rFonts w:asciiTheme="majorHAnsi" w:hAnsiTheme="majorHAnsi"/>
                <w:b/>
                <w:iCs/>
                <w:noProof/>
                <w:color w:val="003399" w:themeColor="text2"/>
                <w:sz w:val="22"/>
                <w:szCs w:val="22"/>
              </w:rPr>
              <w:t xml:space="preserve">Own Resources ceiling </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949A05F" w14:textId="33E8A43E" w:rsidR="000D256C" w:rsidRPr="00481B6B" w:rsidRDefault="65917720">
            <w:pPr>
              <w:spacing w:before="100" w:after="100"/>
              <w:jc w:val="center"/>
              <w:rPr>
                <w:rFonts w:asciiTheme="majorHAnsi" w:hAnsiTheme="majorHAnsi"/>
                <w:b/>
                <w:iCs/>
                <w:noProof/>
                <w:color w:val="003399" w:themeColor="text2"/>
              </w:rPr>
            </w:pPr>
            <w:r w:rsidRPr="00481B6B">
              <w:rPr>
                <w:rFonts w:asciiTheme="majorHAnsi" w:hAnsiTheme="majorHAnsi"/>
                <w:b/>
                <w:bCs/>
                <w:noProof/>
                <w:color w:val="003399" w:themeColor="text2"/>
              </w:rPr>
              <w:t>A</w:t>
            </w:r>
            <w:r w:rsidR="0E6DAF7D" w:rsidRPr="00481B6B">
              <w:rPr>
                <w:rFonts w:asciiTheme="majorHAnsi" w:hAnsiTheme="majorHAnsi"/>
                <w:b/>
                <w:bCs/>
                <w:noProof/>
                <w:color w:val="003399" w:themeColor="text2"/>
              </w:rPr>
              <w:t>-</w:t>
            </w:r>
            <w:r w:rsidR="4B5F13AC" w:rsidRPr="00481B6B">
              <w:rPr>
                <w:rFonts w:asciiTheme="majorHAnsi" w:hAnsiTheme="majorHAnsi"/>
                <w:b/>
                <w:bCs/>
                <w:noProof/>
                <w:color w:val="003399" w:themeColor="text2"/>
              </w:rPr>
              <w:t>B</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B3FACB2" w14:textId="08AA3332" w:rsidR="000D256C" w:rsidRPr="001C6BF4" w:rsidRDefault="01C14EF4" w:rsidP="00D74601">
            <w:pPr>
              <w:spacing w:before="100" w:after="100"/>
              <w:jc w:val="right"/>
              <w:rPr>
                <w:rFonts w:asciiTheme="majorHAnsi" w:hAnsiTheme="majorHAnsi"/>
                <w:b/>
                <w:iCs/>
                <w:noProof/>
                <w:color w:val="003399" w:themeColor="text2"/>
              </w:rPr>
            </w:pPr>
            <w:r w:rsidRPr="001C6BF4">
              <w:rPr>
                <w:rFonts w:asciiTheme="majorHAnsi" w:hAnsiTheme="majorHAnsi"/>
                <w:b/>
                <w:bCs/>
                <w:noProof/>
                <w:color w:val="003399" w:themeColor="text2"/>
              </w:rPr>
              <w:t>194.9</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89A18D5" w14:textId="67970434" w:rsidR="000D256C" w:rsidRPr="001C6BF4" w:rsidRDefault="01C14EF4" w:rsidP="00D74601">
            <w:pPr>
              <w:spacing w:before="100" w:after="100"/>
              <w:jc w:val="right"/>
              <w:rPr>
                <w:rFonts w:asciiTheme="majorHAnsi" w:hAnsiTheme="majorHAnsi"/>
                <w:b/>
                <w:iCs/>
                <w:noProof/>
                <w:color w:val="003399" w:themeColor="text2"/>
              </w:rPr>
            </w:pPr>
            <w:r w:rsidRPr="001C6BF4">
              <w:rPr>
                <w:rFonts w:asciiTheme="majorHAnsi" w:hAnsiTheme="majorHAnsi"/>
                <w:b/>
                <w:bCs/>
                <w:noProof/>
                <w:color w:val="003399" w:themeColor="text2"/>
              </w:rPr>
              <w:t>23</w:t>
            </w:r>
            <w:r w:rsidR="005C520D">
              <w:rPr>
                <w:rFonts w:asciiTheme="majorHAnsi" w:hAnsiTheme="majorHAnsi"/>
                <w:b/>
                <w:bCs/>
                <w:noProof/>
                <w:color w:val="003399" w:themeColor="text2"/>
              </w:rPr>
              <w:t>0</w:t>
            </w:r>
            <w:r w:rsidRPr="58282A37">
              <w:rPr>
                <w:rFonts w:asciiTheme="majorHAnsi" w:hAnsiTheme="majorHAnsi"/>
                <w:b/>
                <w:bCs/>
                <w:noProof/>
                <w:color w:val="003399" w:themeColor="text2"/>
              </w:rPr>
              <w:t>.</w:t>
            </w:r>
            <w:r w:rsidR="005C520D">
              <w:rPr>
                <w:rFonts w:asciiTheme="majorHAnsi" w:hAnsiTheme="majorHAnsi"/>
                <w:b/>
                <w:bCs/>
                <w:noProof/>
                <w:color w:val="003399" w:themeColor="text2"/>
              </w:rPr>
              <w:t>7</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AB75F53" w14:textId="569F94E4" w:rsidR="000D256C" w:rsidRPr="001C6BF4" w:rsidRDefault="01C14EF4" w:rsidP="00D74601">
            <w:pPr>
              <w:spacing w:before="100" w:after="100"/>
              <w:jc w:val="right"/>
              <w:rPr>
                <w:rFonts w:asciiTheme="majorHAnsi" w:hAnsiTheme="majorHAnsi"/>
                <w:b/>
                <w:iCs/>
                <w:noProof/>
                <w:color w:val="003399" w:themeColor="text2"/>
              </w:rPr>
            </w:pPr>
            <w:r w:rsidRPr="77023AF4">
              <w:rPr>
                <w:rFonts w:asciiTheme="majorHAnsi" w:hAnsiTheme="majorHAnsi"/>
                <w:b/>
                <w:bCs/>
                <w:noProof/>
                <w:color w:val="003399" w:themeColor="text2"/>
              </w:rPr>
              <w:t>23</w:t>
            </w:r>
            <w:r w:rsidR="00E66523">
              <w:rPr>
                <w:rFonts w:asciiTheme="majorHAnsi" w:hAnsiTheme="majorHAnsi"/>
                <w:b/>
                <w:bCs/>
                <w:noProof/>
                <w:color w:val="003399" w:themeColor="text2"/>
              </w:rPr>
              <w:t>0</w:t>
            </w:r>
            <w:r w:rsidRPr="001C6BF4">
              <w:rPr>
                <w:rFonts w:asciiTheme="majorHAnsi" w:hAnsiTheme="majorHAnsi"/>
                <w:b/>
                <w:bCs/>
                <w:noProof/>
                <w:color w:val="003399" w:themeColor="text2"/>
              </w:rPr>
              <w:t>.</w:t>
            </w:r>
            <w:r w:rsidR="00D20D9A">
              <w:rPr>
                <w:rFonts w:asciiTheme="majorHAnsi" w:hAnsiTheme="majorHAnsi"/>
                <w:b/>
                <w:bCs/>
                <w:noProof/>
                <w:color w:val="003399" w:themeColor="text2"/>
              </w:rPr>
              <w:t>4</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7D0B29F" w14:textId="36A40B4F" w:rsidR="000D256C" w:rsidRPr="001C6BF4" w:rsidRDefault="01C14EF4" w:rsidP="00D74601">
            <w:pPr>
              <w:spacing w:before="100" w:after="100"/>
              <w:jc w:val="right"/>
              <w:rPr>
                <w:rFonts w:asciiTheme="majorHAnsi" w:hAnsiTheme="majorHAnsi"/>
                <w:b/>
                <w:iCs/>
                <w:noProof/>
                <w:color w:val="003399" w:themeColor="text2"/>
              </w:rPr>
            </w:pPr>
            <w:r w:rsidRPr="043DEB90">
              <w:rPr>
                <w:rFonts w:asciiTheme="majorHAnsi" w:hAnsiTheme="majorHAnsi"/>
                <w:b/>
                <w:bCs/>
                <w:noProof/>
                <w:color w:val="003399" w:themeColor="text2"/>
              </w:rPr>
              <w:t>22</w:t>
            </w:r>
            <w:r w:rsidR="00AD6F91">
              <w:rPr>
                <w:rFonts w:asciiTheme="majorHAnsi" w:hAnsiTheme="majorHAnsi"/>
                <w:b/>
                <w:bCs/>
                <w:noProof/>
                <w:color w:val="003399" w:themeColor="text2"/>
              </w:rPr>
              <w:t>2</w:t>
            </w:r>
            <w:r w:rsidRPr="001C6BF4">
              <w:rPr>
                <w:rFonts w:asciiTheme="majorHAnsi" w:hAnsiTheme="majorHAnsi"/>
                <w:b/>
                <w:bCs/>
                <w:noProof/>
                <w:color w:val="003399" w:themeColor="text2"/>
              </w:rPr>
              <w:t>.</w:t>
            </w:r>
            <w:r w:rsidR="00AD6F91">
              <w:rPr>
                <w:rFonts w:asciiTheme="majorHAnsi" w:hAnsiTheme="majorHAnsi"/>
                <w:b/>
                <w:bCs/>
                <w:noProof/>
                <w:color w:val="003399" w:themeColor="text2"/>
              </w:rPr>
              <w:t>5</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C612B77" w14:textId="4E52ADE4" w:rsidR="000D256C" w:rsidRPr="001C6BF4" w:rsidRDefault="01C14EF4" w:rsidP="00D74601">
            <w:pPr>
              <w:spacing w:before="100" w:after="100"/>
              <w:jc w:val="right"/>
              <w:rPr>
                <w:rFonts w:asciiTheme="majorHAnsi" w:hAnsiTheme="majorHAnsi"/>
                <w:b/>
                <w:iCs/>
                <w:noProof/>
                <w:color w:val="003399" w:themeColor="text2"/>
              </w:rPr>
            </w:pPr>
            <w:r w:rsidRPr="001C6BF4">
              <w:rPr>
                <w:rFonts w:asciiTheme="majorHAnsi" w:hAnsiTheme="majorHAnsi"/>
                <w:b/>
                <w:bCs/>
                <w:noProof/>
                <w:color w:val="003399" w:themeColor="text2"/>
              </w:rPr>
              <w:t>279.</w:t>
            </w:r>
            <w:r w:rsidR="00AD6F91">
              <w:rPr>
                <w:rFonts w:asciiTheme="majorHAnsi" w:hAnsiTheme="majorHAnsi"/>
                <w:b/>
                <w:bCs/>
                <w:noProof/>
                <w:color w:val="003399" w:themeColor="text2"/>
              </w:rPr>
              <w:t>0</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6CD6CCA" w14:textId="104228A2" w:rsidR="000D256C" w:rsidRPr="001C6BF4" w:rsidRDefault="01C14EF4" w:rsidP="00D74601">
            <w:pPr>
              <w:spacing w:before="100" w:after="100"/>
              <w:jc w:val="right"/>
              <w:rPr>
                <w:rFonts w:asciiTheme="majorHAnsi" w:hAnsiTheme="majorHAnsi"/>
                <w:b/>
                <w:iCs/>
                <w:noProof/>
                <w:color w:val="003399" w:themeColor="text2"/>
              </w:rPr>
            </w:pPr>
            <w:r w:rsidRPr="4F539E78">
              <w:rPr>
                <w:rFonts w:asciiTheme="majorHAnsi" w:hAnsiTheme="majorHAnsi"/>
                <w:b/>
                <w:bCs/>
                <w:noProof/>
                <w:color w:val="003399" w:themeColor="text2"/>
              </w:rPr>
              <w:t>28</w:t>
            </w:r>
            <w:r w:rsidR="00AD6F91">
              <w:rPr>
                <w:rFonts w:asciiTheme="majorHAnsi" w:hAnsiTheme="majorHAnsi"/>
                <w:b/>
                <w:bCs/>
                <w:noProof/>
                <w:color w:val="003399" w:themeColor="text2"/>
              </w:rPr>
              <w:t>5</w:t>
            </w:r>
            <w:r w:rsidRPr="4F539E78">
              <w:rPr>
                <w:rFonts w:asciiTheme="majorHAnsi" w:hAnsiTheme="majorHAnsi"/>
                <w:b/>
                <w:bCs/>
                <w:noProof/>
                <w:color w:val="003399" w:themeColor="text2"/>
              </w:rPr>
              <w:t>.</w:t>
            </w:r>
            <w:r w:rsidR="00AD6F91">
              <w:rPr>
                <w:rFonts w:asciiTheme="majorHAnsi" w:hAnsiTheme="majorHAnsi"/>
                <w:b/>
                <w:bCs/>
                <w:noProof/>
                <w:color w:val="003399" w:themeColor="text2"/>
              </w:rPr>
              <w:t>6</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4120F24" w14:textId="6AE3A23E" w:rsidR="000D256C" w:rsidRPr="001C6BF4" w:rsidRDefault="01C14EF4" w:rsidP="00D74601">
            <w:pPr>
              <w:spacing w:before="100" w:after="100"/>
              <w:jc w:val="right"/>
              <w:rPr>
                <w:rFonts w:asciiTheme="majorHAnsi" w:hAnsiTheme="majorHAnsi"/>
                <w:b/>
                <w:iCs/>
                <w:noProof/>
                <w:color w:val="003399" w:themeColor="text2"/>
              </w:rPr>
            </w:pPr>
            <w:r w:rsidRPr="26947985">
              <w:rPr>
                <w:rFonts w:asciiTheme="majorHAnsi" w:hAnsiTheme="majorHAnsi"/>
                <w:b/>
                <w:bCs/>
                <w:noProof/>
                <w:color w:val="003399" w:themeColor="text2"/>
              </w:rPr>
              <w:t>30</w:t>
            </w:r>
            <w:r w:rsidR="00AD6F91">
              <w:rPr>
                <w:rFonts w:asciiTheme="majorHAnsi" w:hAnsiTheme="majorHAnsi"/>
                <w:b/>
                <w:bCs/>
                <w:noProof/>
                <w:color w:val="003399" w:themeColor="text2"/>
              </w:rPr>
              <w:t>8</w:t>
            </w:r>
            <w:r w:rsidRPr="26947985">
              <w:rPr>
                <w:rFonts w:asciiTheme="majorHAnsi" w:hAnsiTheme="majorHAnsi"/>
                <w:b/>
                <w:bCs/>
                <w:noProof/>
                <w:color w:val="003399" w:themeColor="text2"/>
              </w:rPr>
              <w:t>.</w:t>
            </w:r>
            <w:r w:rsidR="00AD6F91">
              <w:rPr>
                <w:rFonts w:asciiTheme="majorHAnsi" w:hAnsiTheme="majorHAnsi"/>
                <w:b/>
                <w:bCs/>
                <w:noProof/>
                <w:color w:val="003399" w:themeColor="text2"/>
              </w:rPr>
              <w:t>5</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4181D63" w14:textId="176FC954" w:rsidR="000D256C" w:rsidRPr="001C6BF4" w:rsidRDefault="01C14EF4" w:rsidP="00D74601">
            <w:pPr>
              <w:spacing w:before="100" w:after="100"/>
              <w:jc w:val="right"/>
              <w:rPr>
                <w:rFonts w:asciiTheme="majorHAnsi" w:hAnsiTheme="majorHAnsi"/>
                <w:b/>
                <w:iCs/>
                <w:noProof/>
                <w:color w:val="003399" w:themeColor="text2"/>
              </w:rPr>
            </w:pPr>
            <w:r w:rsidRPr="7A227C17">
              <w:rPr>
                <w:rFonts w:asciiTheme="majorHAnsi" w:hAnsiTheme="majorHAnsi"/>
                <w:b/>
                <w:bCs/>
                <w:noProof/>
                <w:color w:val="003399" w:themeColor="text2"/>
              </w:rPr>
              <w:t>33</w:t>
            </w:r>
            <w:r w:rsidR="00AD6F91">
              <w:rPr>
                <w:rFonts w:asciiTheme="majorHAnsi" w:hAnsiTheme="majorHAnsi"/>
                <w:b/>
                <w:bCs/>
                <w:noProof/>
                <w:color w:val="003399" w:themeColor="text2"/>
              </w:rPr>
              <w:t>7</w:t>
            </w:r>
            <w:r w:rsidRPr="7A227C17">
              <w:rPr>
                <w:rFonts w:asciiTheme="majorHAnsi" w:hAnsiTheme="majorHAnsi"/>
                <w:b/>
                <w:bCs/>
                <w:noProof/>
                <w:color w:val="003399" w:themeColor="text2"/>
              </w:rPr>
              <w:t>.</w:t>
            </w:r>
            <w:r w:rsidR="00AD6F91">
              <w:rPr>
                <w:rFonts w:asciiTheme="majorHAnsi" w:hAnsiTheme="majorHAnsi"/>
                <w:b/>
                <w:bCs/>
                <w:noProof/>
                <w:color w:val="003399" w:themeColor="text2"/>
              </w:rPr>
              <w:t>8</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71D36542" w14:textId="72078EC4" w:rsidR="000D256C" w:rsidRPr="00481B6B" w:rsidRDefault="01C14EF4" w:rsidP="00481B6B">
            <w:pPr>
              <w:spacing w:before="100" w:after="100"/>
              <w:jc w:val="center"/>
              <w:rPr>
                <w:rFonts w:asciiTheme="majorHAnsi" w:hAnsiTheme="majorHAnsi"/>
                <w:b/>
                <w:bCs/>
                <w:iCs/>
                <w:noProof/>
                <w:color w:val="000000" w:themeColor="text1"/>
                <w:sz w:val="22"/>
                <w:szCs w:val="22"/>
              </w:rPr>
            </w:pPr>
            <w:r w:rsidRPr="00481B6B">
              <w:rPr>
                <w:rFonts w:asciiTheme="majorHAnsi" w:hAnsiTheme="majorHAnsi"/>
                <w:b/>
                <w:bCs/>
                <w:noProof/>
                <w:color w:val="000000" w:themeColor="text1"/>
                <w:sz w:val="22"/>
                <w:szCs w:val="22"/>
              </w:rPr>
              <w:t>n/a</w:t>
            </w:r>
          </w:p>
        </w:tc>
      </w:tr>
      <w:tr w:rsidR="000D256C" w:rsidRPr="00AB5413" w14:paraId="6DE56EBF" w14:textId="77777777" w:rsidTr="004D3FA0">
        <w:trPr>
          <w:trHeight w:val="300"/>
        </w:trPr>
        <w:tc>
          <w:tcPr>
            <w:tcW w:w="1129"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F3471B6" w14:textId="0EBEA30F" w:rsidR="000D256C" w:rsidRPr="00186C27" w:rsidRDefault="000D256C" w:rsidP="00AD6672">
            <w:pPr>
              <w:spacing w:before="100" w:after="100"/>
              <w:jc w:val="right"/>
              <w:rPr>
                <w:rFonts w:asciiTheme="majorHAnsi" w:hAnsiTheme="majorHAnsi"/>
                <w:b/>
                <w:iCs/>
                <w:noProof/>
                <w:color w:val="003399" w:themeColor="text2"/>
                <w:sz w:val="22"/>
                <w:szCs w:val="22"/>
              </w:rPr>
            </w:pPr>
            <w:r w:rsidRPr="00186C27">
              <w:rPr>
                <w:rFonts w:asciiTheme="majorHAnsi" w:hAnsiTheme="majorHAnsi"/>
                <w:bCs/>
                <w:iCs/>
                <w:noProof/>
                <w:color w:val="003399" w:themeColor="text2"/>
                <w:sz w:val="22"/>
                <w:szCs w:val="22"/>
              </w:rPr>
              <w:t>of which margin under the temporary increase for NGEU</w:t>
            </w:r>
          </w:p>
        </w:tc>
        <w:tc>
          <w:tcPr>
            <w:tcW w:w="220"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9FB4B9A" w14:textId="0278646C" w:rsidR="000D256C" w:rsidRPr="00914420" w:rsidRDefault="2030E1C6">
            <w:pPr>
              <w:spacing w:before="100" w:after="100"/>
              <w:jc w:val="center"/>
              <w:rPr>
                <w:rFonts w:asciiTheme="majorHAnsi" w:hAnsiTheme="majorHAnsi"/>
                <w:noProof/>
                <w:color w:val="003399" w:themeColor="text2"/>
              </w:rPr>
            </w:pPr>
            <w:r w:rsidRPr="00914420">
              <w:rPr>
                <w:rFonts w:asciiTheme="majorHAnsi" w:hAnsiTheme="majorHAnsi"/>
                <w:noProof/>
                <w:color w:val="003399" w:themeColor="text2"/>
              </w:rPr>
              <w:t>A'- B’</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25A7D90B" w14:textId="411AFB79" w:rsidR="000D256C" w:rsidRPr="001C6BF4" w:rsidRDefault="00BC618D" w:rsidP="00D74601">
            <w:pPr>
              <w:spacing w:before="100" w:after="100"/>
              <w:jc w:val="right"/>
              <w:rPr>
                <w:rFonts w:asciiTheme="majorHAnsi" w:hAnsiTheme="majorHAnsi"/>
                <w:noProof/>
                <w:color w:val="003399" w:themeColor="text2"/>
              </w:rPr>
            </w:pPr>
            <w:r w:rsidRPr="001C6BF4">
              <w:rPr>
                <w:rFonts w:asciiTheme="majorHAnsi" w:hAnsiTheme="majorHAnsi"/>
                <w:bCs/>
                <w:iCs/>
                <w:noProof/>
                <w:color w:val="003399" w:themeColor="text2"/>
              </w:rPr>
              <w:t>111.2</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48902FC8" w14:textId="3B3BA4EB" w:rsidR="000D256C" w:rsidRPr="001C6BF4" w:rsidRDefault="00BC618D" w:rsidP="00D74601">
            <w:pPr>
              <w:spacing w:before="100" w:after="100"/>
              <w:jc w:val="right"/>
              <w:rPr>
                <w:rFonts w:asciiTheme="majorHAnsi" w:hAnsiTheme="majorHAnsi"/>
                <w:noProof/>
                <w:color w:val="003399" w:themeColor="text2"/>
              </w:rPr>
            </w:pPr>
            <w:r w:rsidRPr="61AB9FEF">
              <w:rPr>
                <w:rFonts w:asciiTheme="majorHAnsi" w:hAnsiTheme="majorHAnsi"/>
                <w:noProof/>
                <w:color w:val="003399" w:themeColor="text2"/>
              </w:rPr>
              <w:t>101.9</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E85E784" w14:textId="04D63056" w:rsidR="000D256C" w:rsidRPr="001C6BF4" w:rsidRDefault="00BC618D" w:rsidP="00D74601">
            <w:pPr>
              <w:spacing w:before="100" w:after="100"/>
              <w:jc w:val="right"/>
              <w:rPr>
                <w:rFonts w:asciiTheme="majorHAnsi" w:hAnsiTheme="majorHAnsi"/>
                <w:noProof/>
                <w:color w:val="003399" w:themeColor="text2"/>
              </w:rPr>
            </w:pPr>
            <w:r w:rsidRPr="001C6BF4">
              <w:rPr>
                <w:rFonts w:asciiTheme="majorHAnsi" w:hAnsiTheme="majorHAnsi"/>
                <w:bCs/>
                <w:iCs/>
                <w:noProof/>
                <w:color w:val="003399" w:themeColor="text2"/>
              </w:rPr>
              <w:t>106</w:t>
            </w:r>
            <w:r w:rsidRPr="61AB9FEF">
              <w:rPr>
                <w:rFonts w:asciiTheme="majorHAnsi" w:hAnsiTheme="majorHAnsi"/>
                <w:noProof/>
                <w:color w:val="003399" w:themeColor="text2"/>
              </w:rPr>
              <w:t>.</w:t>
            </w:r>
            <w:r w:rsidRPr="001C6BF4">
              <w:rPr>
                <w:rFonts w:asciiTheme="majorHAnsi" w:hAnsiTheme="majorHAnsi"/>
                <w:bCs/>
                <w:iCs/>
                <w:noProof/>
                <w:color w:val="003399" w:themeColor="text2"/>
              </w:rPr>
              <w:t>6</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520FA751" w14:textId="2808FBEE" w:rsidR="000D256C" w:rsidRPr="001C6BF4" w:rsidRDefault="00BC618D" w:rsidP="00D74601">
            <w:pPr>
              <w:spacing w:before="100" w:after="100"/>
              <w:jc w:val="right"/>
              <w:rPr>
                <w:rFonts w:asciiTheme="majorHAnsi" w:hAnsiTheme="majorHAnsi"/>
                <w:noProof/>
                <w:color w:val="003399" w:themeColor="text2"/>
              </w:rPr>
            </w:pPr>
            <w:r w:rsidRPr="61AB9FEF">
              <w:rPr>
                <w:rFonts w:asciiTheme="majorHAnsi" w:hAnsiTheme="majorHAnsi"/>
                <w:noProof/>
                <w:color w:val="003399" w:themeColor="text2"/>
              </w:rPr>
              <w:t>111</w:t>
            </w:r>
            <w:r w:rsidRPr="001C6BF4">
              <w:rPr>
                <w:rFonts w:asciiTheme="majorHAnsi" w:hAnsiTheme="majorHAnsi"/>
                <w:bCs/>
                <w:iCs/>
                <w:noProof/>
                <w:color w:val="003399" w:themeColor="text2"/>
              </w:rPr>
              <w:t>.3</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D92ABA3" w14:textId="7BB5A523" w:rsidR="000D256C" w:rsidRPr="001C6BF4" w:rsidRDefault="00BC618D" w:rsidP="00D74601">
            <w:pPr>
              <w:spacing w:before="100" w:after="100"/>
              <w:jc w:val="right"/>
              <w:rPr>
                <w:rFonts w:asciiTheme="majorHAnsi" w:hAnsiTheme="majorHAnsi"/>
                <w:noProof/>
                <w:color w:val="003399" w:themeColor="text2"/>
              </w:rPr>
            </w:pPr>
            <w:r w:rsidRPr="2C9D72EB" w:rsidDel="00BC618D">
              <w:rPr>
                <w:rFonts w:asciiTheme="majorHAnsi" w:hAnsiTheme="majorHAnsi"/>
                <w:noProof/>
                <w:color w:val="003399" w:themeColor="text2"/>
              </w:rPr>
              <w:t>115.9</w:t>
            </w:r>
          </w:p>
        </w:tc>
        <w:tc>
          <w:tcPr>
            <w:tcW w:w="406" w:type="pct"/>
            <w:tcBorders>
              <w:top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ECF648E" w14:textId="028D1B17" w:rsidR="000D256C" w:rsidRPr="001C6BF4" w:rsidRDefault="00BC618D" w:rsidP="00D74601">
            <w:pPr>
              <w:spacing w:before="100" w:after="100"/>
              <w:jc w:val="right"/>
              <w:rPr>
                <w:rFonts w:asciiTheme="majorHAnsi" w:hAnsiTheme="majorHAnsi"/>
                <w:noProof/>
                <w:color w:val="003399" w:themeColor="text2"/>
              </w:rPr>
            </w:pPr>
            <w:r w:rsidRPr="1E2768D5">
              <w:rPr>
                <w:rFonts w:asciiTheme="majorHAnsi" w:hAnsiTheme="majorHAnsi"/>
                <w:noProof/>
                <w:color w:val="003399" w:themeColor="text2"/>
              </w:rPr>
              <w:t>120.5</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5517B58" w14:textId="7A550011" w:rsidR="000D256C" w:rsidRPr="001C6BF4" w:rsidRDefault="00BC618D" w:rsidP="00D74601">
            <w:pPr>
              <w:spacing w:before="100" w:after="100"/>
              <w:jc w:val="right"/>
              <w:rPr>
                <w:rFonts w:asciiTheme="majorHAnsi" w:hAnsiTheme="majorHAnsi"/>
                <w:noProof/>
                <w:color w:val="003399" w:themeColor="text2"/>
              </w:rPr>
            </w:pPr>
            <w:r w:rsidRPr="1E2768D5">
              <w:rPr>
                <w:rFonts w:asciiTheme="majorHAnsi" w:hAnsiTheme="majorHAnsi"/>
                <w:noProof/>
                <w:color w:val="003399" w:themeColor="text2"/>
              </w:rPr>
              <w:t>125.1</w:t>
            </w:r>
          </w:p>
        </w:tc>
        <w:tc>
          <w:tcPr>
            <w:tcW w:w="406" w:type="pct"/>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1F5BE0E" w14:textId="00C9C818" w:rsidR="000D256C" w:rsidRPr="001C6BF4" w:rsidRDefault="00BC618D" w:rsidP="00D74601">
            <w:pPr>
              <w:spacing w:before="100" w:after="100"/>
              <w:jc w:val="right"/>
              <w:rPr>
                <w:rFonts w:asciiTheme="majorHAnsi" w:hAnsiTheme="majorHAnsi"/>
                <w:noProof/>
                <w:color w:val="003399" w:themeColor="text2"/>
              </w:rPr>
            </w:pPr>
            <w:r w:rsidRPr="4086943B">
              <w:rPr>
                <w:rFonts w:asciiTheme="majorHAnsi" w:hAnsiTheme="majorHAnsi"/>
                <w:noProof/>
                <w:color w:val="003399" w:themeColor="text2"/>
              </w:rPr>
              <w:t>129.8</w:t>
            </w:r>
          </w:p>
        </w:tc>
        <w:tc>
          <w:tcPr>
            <w:tcW w:w="403" w:type="pct"/>
            <w:tcBorders>
              <w:top w:val="single" w:sz="6" w:space="0" w:color="BFBFBF" w:themeColor="background1" w:themeShade="BF"/>
              <w:left w:val="single" w:sz="6" w:space="0" w:color="BFBFBF" w:themeColor="background1" w:themeShade="BF"/>
              <w:bottom w:val="single" w:sz="6" w:space="0" w:color="BFBFBF" w:themeColor="background1" w:themeShade="BF"/>
            </w:tcBorders>
            <w:vAlign w:val="center"/>
          </w:tcPr>
          <w:p w14:paraId="1B88E5D2" w14:textId="23DF0BBF" w:rsidR="000D256C" w:rsidRPr="00481B6B" w:rsidRDefault="00BC618D" w:rsidP="00481B6B">
            <w:pPr>
              <w:spacing w:before="100" w:after="100"/>
              <w:jc w:val="center"/>
              <w:rPr>
                <w:rFonts w:asciiTheme="majorHAnsi" w:hAnsiTheme="majorHAnsi"/>
                <w:b/>
                <w:bCs/>
                <w:noProof/>
                <w:color w:val="000000" w:themeColor="text1"/>
                <w:sz w:val="22"/>
                <w:szCs w:val="22"/>
              </w:rPr>
            </w:pPr>
            <w:r w:rsidRPr="00481B6B">
              <w:rPr>
                <w:rFonts w:asciiTheme="majorHAnsi" w:hAnsiTheme="majorHAnsi"/>
                <w:b/>
                <w:bCs/>
                <w:iCs/>
                <w:noProof/>
                <w:color w:val="000000" w:themeColor="text1"/>
                <w:sz w:val="22"/>
                <w:szCs w:val="22"/>
              </w:rPr>
              <w:t>n/a</w:t>
            </w:r>
          </w:p>
        </w:tc>
      </w:tr>
    </w:tbl>
    <w:p w14:paraId="1919C0EF" w14:textId="1635A90B" w:rsidR="000A2D2A" w:rsidRDefault="000A2D2A" w:rsidP="009A435C">
      <w:pPr>
        <w:spacing w:before="0" w:after="0"/>
        <w:rPr>
          <w:rFonts w:asciiTheme="majorHAnsi" w:hAnsiTheme="majorHAnsi"/>
          <w:i/>
          <w:noProof/>
          <w:sz w:val="16"/>
          <w:szCs w:val="16"/>
        </w:rPr>
      </w:pPr>
      <w:r>
        <w:rPr>
          <w:rFonts w:asciiTheme="majorHAnsi" w:hAnsiTheme="majorHAnsi"/>
          <w:i/>
          <w:noProof/>
          <w:sz w:val="16"/>
          <w:szCs w:val="16"/>
        </w:rPr>
        <w:t xml:space="preserve">* </w:t>
      </w:r>
      <w:r w:rsidR="0066223C">
        <w:rPr>
          <w:rFonts w:asciiTheme="majorHAnsi" w:hAnsiTheme="majorHAnsi"/>
          <w:i/>
          <w:noProof/>
          <w:sz w:val="16"/>
          <w:szCs w:val="16"/>
        </w:rPr>
        <w:t xml:space="preserve"> Corresponds to DB2027</w:t>
      </w:r>
      <w:r w:rsidR="00411A8B">
        <w:rPr>
          <w:rFonts w:asciiTheme="majorHAnsi" w:hAnsiTheme="majorHAnsi"/>
          <w:i/>
          <w:noProof/>
          <w:sz w:val="16"/>
          <w:szCs w:val="16"/>
        </w:rPr>
        <w:t xml:space="preserve"> figures</w:t>
      </w:r>
      <w:r w:rsidR="00844F27">
        <w:rPr>
          <w:rFonts w:asciiTheme="majorHAnsi" w:hAnsiTheme="majorHAnsi"/>
          <w:i/>
          <w:noProof/>
          <w:sz w:val="16"/>
          <w:szCs w:val="16"/>
        </w:rPr>
        <w:t>, based on Own R</w:t>
      </w:r>
      <w:r w:rsidR="00FC264D">
        <w:rPr>
          <w:rFonts w:asciiTheme="majorHAnsi" w:hAnsiTheme="majorHAnsi"/>
          <w:i/>
          <w:noProof/>
          <w:sz w:val="16"/>
          <w:szCs w:val="16"/>
        </w:rPr>
        <w:t xml:space="preserve">esources </w:t>
      </w:r>
      <w:r w:rsidR="00844F27">
        <w:rPr>
          <w:rFonts w:asciiTheme="majorHAnsi" w:hAnsiTheme="majorHAnsi"/>
          <w:i/>
          <w:noProof/>
          <w:sz w:val="16"/>
          <w:szCs w:val="16"/>
        </w:rPr>
        <w:t>D</w:t>
      </w:r>
      <w:r w:rsidR="00FC264D">
        <w:rPr>
          <w:rFonts w:asciiTheme="majorHAnsi" w:hAnsiTheme="majorHAnsi"/>
          <w:i/>
          <w:noProof/>
          <w:sz w:val="16"/>
          <w:szCs w:val="16"/>
        </w:rPr>
        <w:t xml:space="preserve">ecision </w:t>
      </w:r>
      <w:r w:rsidR="00844F27">
        <w:rPr>
          <w:rFonts w:asciiTheme="majorHAnsi" w:hAnsiTheme="majorHAnsi"/>
          <w:i/>
          <w:noProof/>
          <w:sz w:val="16"/>
          <w:szCs w:val="16"/>
        </w:rPr>
        <w:t xml:space="preserve">2020. </w:t>
      </w:r>
    </w:p>
    <w:p w14:paraId="1AFB27FF" w14:textId="5BE98988" w:rsidR="005A1B83" w:rsidRPr="00F423B9" w:rsidRDefault="005A1B83" w:rsidP="009A435C">
      <w:pPr>
        <w:spacing w:before="0" w:after="0"/>
        <w:rPr>
          <w:rFonts w:asciiTheme="majorHAnsi" w:hAnsiTheme="majorHAnsi"/>
          <w:i/>
          <w:noProof/>
          <w:sz w:val="16"/>
          <w:szCs w:val="16"/>
        </w:rPr>
      </w:pPr>
      <w:r w:rsidRPr="00F423B9">
        <w:rPr>
          <w:rFonts w:asciiTheme="majorHAnsi" w:hAnsiTheme="majorHAnsi"/>
          <w:i/>
          <w:noProof/>
          <w:sz w:val="16"/>
          <w:szCs w:val="16"/>
        </w:rPr>
        <w:t>*</w:t>
      </w:r>
      <w:r w:rsidR="000A2D2A">
        <w:rPr>
          <w:rFonts w:asciiTheme="majorHAnsi" w:hAnsiTheme="majorHAnsi"/>
          <w:i/>
          <w:noProof/>
          <w:sz w:val="16"/>
          <w:szCs w:val="16"/>
        </w:rPr>
        <w:t>*</w:t>
      </w:r>
      <w:r w:rsidRPr="00F423B9">
        <w:rPr>
          <w:rFonts w:asciiTheme="majorHAnsi" w:hAnsiTheme="majorHAnsi"/>
          <w:i/>
          <w:noProof/>
          <w:sz w:val="16"/>
          <w:szCs w:val="16"/>
        </w:rPr>
        <w:t xml:space="preserve"> Own Resources ceiling – calculated based on the Spring </w:t>
      </w:r>
      <w:r w:rsidRPr="54294266">
        <w:rPr>
          <w:rFonts w:asciiTheme="majorHAnsi" w:hAnsiTheme="majorHAnsi"/>
          <w:i/>
          <w:iCs/>
          <w:noProof/>
          <w:sz w:val="16"/>
          <w:szCs w:val="16"/>
        </w:rPr>
        <w:t>202</w:t>
      </w:r>
      <w:r w:rsidR="007A5126" w:rsidRPr="54294266">
        <w:rPr>
          <w:rFonts w:asciiTheme="majorHAnsi" w:hAnsiTheme="majorHAnsi"/>
          <w:i/>
          <w:iCs/>
          <w:noProof/>
          <w:sz w:val="16"/>
          <w:szCs w:val="16"/>
        </w:rPr>
        <w:t>6</w:t>
      </w:r>
      <w:r w:rsidRPr="00F423B9">
        <w:rPr>
          <w:rFonts w:asciiTheme="majorHAnsi" w:hAnsiTheme="majorHAnsi"/>
          <w:i/>
          <w:noProof/>
          <w:sz w:val="16"/>
          <w:szCs w:val="16"/>
        </w:rPr>
        <w:t xml:space="preserve"> economic forecast for the </w:t>
      </w:r>
      <w:r w:rsidR="007A5126">
        <w:rPr>
          <w:rFonts w:asciiTheme="majorHAnsi" w:hAnsiTheme="majorHAnsi"/>
          <w:i/>
          <w:noProof/>
          <w:sz w:val="16"/>
          <w:szCs w:val="16"/>
        </w:rPr>
        <w:t>g</w:t>
      </w:r>
      <w:r w:rsidRPr="00F423B9">
        <w:rPr>
          <w:rFonts w:asciiTheme="majorHAnsi" w:hAnsiTheme="majorHAnsi"/>
          <w:i/>
          <w:noProof/>
          <w:sz w:val="16"/>
          <w:szCs w:val="16"/>
        </w:rPr>
        <w:t xml:space="preserve">ross </w:t>
      </w:r>
      <w:r w:rsidR="007A5126">
        <w:rPr>
          <w:rFonts w:asciiTheme="majorHAnsi" w:hAnsiTheme="majorHAnsi"/>
          <w:i/>
          <w:noProof/>
          <w:sz w:val="16"/>
          <w:szCs w:val="16"/>
        </w:rPr>
        <w:t>n</w:t>
      </w:r>
      <w:r w:rsidRPr="00F423B9">
        <w:rPr>
          <w:rFonts w:asciiTheme="majorHAnsi" w:hAnsiTheme="majorHAnsi"/>
          <w:i/>
          <w:noProof/>
          <w:sz w:val="16"/>
          <w:szCs w:val="16"/>
        </w:rPr>
        <w:t xml:space="preserve">ational </w:t>
      </w:r>
      <w:r w:rsidR="007A5126">
        <w:rPr>
          <w:rFonts w:asciiTheme="majorHAnsi" w:hAnsiTheme="majorHAnsi"/>
          <w:i/>
          <w:noProof/>
          <w:sz w:val="16"/>
          <w:szCs w:val="16"/>
        </w:rPr>
        <w:t>i</w:t>
      </w:r>
      <w:r w:rsidRPr="00F423B9">
        <w:rPr>
          <w:rFonts w:asciiTheme="majorHAnsi" w:hAnsiTheme="majorHAnsi"/>
          <w:i/>
          <w:noProof/>
          <w:sz w:val="16"/>
          <w:szCs w:val="16"/>
        </w:rPr>
        <w:t>ncome of the EU</w:t>
      </w:r>
      <w:r w:rsidR="007A5126">
        <w:rPr>
          <w:rFonts w:asciiTheme="majorHAnsi" w:hAnsiTheme="majorHAnsi"/>
          <w:i/>
          <w:noProof/>
          <w:sz w:val="16"/>
          <w:szCs w:val="16"/>
        </w:rPr>
        <w:t>-</w:t>
      </w:r>
      <w:r w:rsidRPr="00F423B9">
        <w:rPr>
          <w:rFonts w:asciiTheme="majorHAnsi" w:hAnsiTheme="majorHAnsi"/>
          <w:i/>
          <w:noProof/>
          <w:sz w:val="16"/>
          <w:szCs w:val="16"/>
        </w:rPr>
        <w:t xml:space="preserve">27 </w:t>
      </w:r>
    </w:p>
    <w:p w14:paraId="6410CAD5" w14:textId="714D98BD" w:rsidR="005A1B83" w:rsidRDefault="005A1B83" w:rsidP="009A435C">
      <w:pPr>
        <w:spacing w:before="0" w:after="0"/>
        <w:rPr>
          <w:rFonts w:asciiTheme="majorHAnsi" w:hAnsiTheme="majorHAnsi"/>
          <w:i/>
          <w:noProof/>
          <w:sz w:val="16"/>
          <w:szCs w:val="16"/>
        </w:rPr>
      </w:pPr>
      <w:r w:rsidRPr="00F423B9">
        <w:rPr>
          <w:rFonts w:asciiTheme="majorHAnsi" w:hAnsiTheme="majorHAnsi"/>
          <w:i/>
          <w:noProof/>
          <w:sz w:val="16"/>
          <w:szCs w:val="16"/>
        </w:rPr>
        <w:t>**</w:t>
      </w:r>
      <w:r w:rsidR="001D01DF">
        <w:rPr>
          <w:rFonts w:asciiTheme="majorHAnsi" w:hAnsiTheme="majorHAnsi"/>
          <w:i/>
          <w:noProof/>
          <w:sz w:val="16"/>
          <w:szCs w:val="16"/>
        </w:rPr>
        <w:t>*</w:t>
      </w:r>
      <w:r w:rsidRPr="00F423B9">
        <w:rPr>
          <w:rFonts w:asciiTheme="majorHAnsi" w:hAnsiTheme="majorHAnsi"/>
          <w:i/>
          <w:noProof/>
          <w:sz w:val="16"/>
          <w:szCs w:val="16"/>
        </w:rPr>
        <w:t xml:space="preserve"> Traditional own resources are estimated on the basis of</w:t>
      </w:r>
      <w:r w:rsidR="007A5126">
        <w:rPr>
          <w:rFonts w:asciiTheme="majorHAnsi" w:hAnsiTheme="majorHAnsi"/>
          <w:i/>
          <w:noProof/>
          <w:sz w:val="16"/>
          <w:szCs w:val="16"/>
        </w:rPr>
        <w:t xml:space="preserve"> a</w:t>
      </w:r>
      <w:r w:rsidRPr="00F423B9">
        <w:rPr>
          <w:rFonts w:asciiTheme="majorHAnsi" w:hAnsiTheme="majorHAnsi"/>
          <w:i/>
          <w:noProof/>
          <w:sz w:val="16"/>
          <w:szCs w:val="16"/>
        </w:rPr>
        <w:t xml:space="preserve"> </w:t>
      </w:r>
      <w:r w:rsidR="007A5126">
        <w:rPr>
          <w:rFonts w:asciiTheme="majorHAnsi" w:hAnsiTheme="majorHAnsi"/>
          <w:i/>
          <w:noProof/>
          <w:sz w:val="16"/>
          <w:szCs w:val="16"/>
        </w:rPr>
        <w:t>10</w:t>
      </w:r>
      <w:r w:rsidRPr="00F423B9">
        <w:rPr>
          <w:rFonts w:asciiTheme="majorHAnsi" w:hAnsiTheme="majorHAnsi"/>
          <w:i/>
          <w:noProof/>
          <w:sz w:val="16"/>
          <w:szCs w:val="16"/>
        </w:rPr>
        <w:t>% retention rate for collection costs</w:t>
      </w:r>
      <w:r w:rsidR="000A2D2A">
        <w:rPr>
          <w:rFonts w:asciiTheme="majorHAnsi" w:hAnsiTheme="majorHAnsi"/>
          <w:i/>
          <w:noProof/>
          <w:sz w:val="16"/>
          <w:szCs w:val="16"/>
        </w:rPr>
        <w:t xml:space="preserve"> for 2028-2034</w:t>
      </w:r>
      <w:r w:rsidRPr="00F423B9">
        <w:rPr>
          <w:rFonts w:asciiTheme="majorHAnsi" w:hAnsiTheme="majorHAnsi"/>
          <w:i/>
          <w:noProof/>
          <w:sz w:val="16"/>
          <w:szCs w:val="16"/>
        </w:rPr>
        <w:t xml:space="preserve">. </w:t>
      </w:r>
    </w:p>
    <w:p w14:paraId="225C27A0" w14:textId="56BA39B0" w:rsidR="005A1B83" w:rsidRDefault="005A1B83" w:rsidP="0050317D">
      <w:pPr>
        <w:spacing w:before="0"/>
        <w:rPr>
          <w:rFonts w:asciiTheme="majorHAnsi" w:hAnsiTheme="majorHAnsi"/>
          <w:i/>
          <w:noProof/>
          <w:sz w:val="16"/>
          <w:szCs w:val="16"/>
        </w:rPr>
        <w:sectPr w:rsidR="005A1B83" w:rsidSect="009A435C">
          <w:headerReference w:type="default" r:id="rId42"/>
          <w:footerReference w:type="default" r:id="rId43"/>
          <w:pgSz w:w="16838" w:h="11906" w:orient="landscape"/>
          <w:pgMar w:top="1151" w:right="1321" w:bottom="1151" w:left="1440" w:header="720" w:footer="720" w:gutter="0"/>
          <w:cols w:space="720"/>
          <w:docGrid w:linePitch="326"/>
        </w:sectPr>
      </w:pPr>
    </w:p>
    <w:p w14:paraId="3D48B530" w14:textId="77777777" w:rsidR="008C5A43" w:rsidRPr="00F423B9" w:rsidRDefault="008C5A43" w:rsidP="0050317D">
      <w:pPr>
        <w:spacing w:before="0"/>
        <w:rPr>
          <w:rFonts w:asciiTheme="majorHAnsi" w:hAnsiTheme="majorHAnsi"/>
          <w:i/>
          <w:noProof/>
          <w:sz w:val="16"/>
        </w:rPr>
      </w:pPr>
    </w:p>
    <w:sectPr w:rsidR="008C5A43" w:rsidRPr="00F423B9">
      <w:headerReference w:type="default" r:id="rId44"/>
      <w:footerReference w:type="default" r:id="rId45"/>
      <w:pgSz w:w="11906" w:h="16838"/>
      <w:pgMar w:top="1321" w:right="1151" w:bottom="1440" w:left="115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BB10C0" w14:textId="77777777" w:rsidR="006151FF" w:rsidRDefault="006151FF">
      <w:r>
        <w:separator/>
      </w:r>
    </w:p>
    <w:p w14:paraId="527E99C6" w14:textId="77777777" w:rsidR="006151FF" w:rsidRDefault="006151FF"/>
    <w:p w14:paraId="5DDE1CDD" w14:textId="77777777" w:rsidR="006151FF" w:rsidRDefault="006151FF"/>
  </w:endnote>
  <w:endnote w:type="continuationSeparator" w:id="0">
    <w:p w14:paraId="64A9977C" w14:textId="77777777" w:rsidR="006151FF" w:rsidRDefault="006151FF">
      <w:r>
        <w:continuationSeparator/>
      </w:r>
    </w:p>
    <w:p w14:paraId="59256F20" w14:textId="77777777" w:rsidR="006151FF" w:rsidRDefault="006151FF"/>
    <w:p w14:paraId="0C24FADD" w14:textId="77777777" w:rsidR="006151FF" w:rsidRDefault="006151FF"/>
  </w:endnote>
  <w:endnote w:type="continuationNotice" w:id="1">
    <w:p w14:paraId="26E1B9CF" w14:textId="77777777" w:rsidR="006151FF" w:rsidRDefault="006151FF"/>
    <w:p w14:paraId="3CA2146A" w14:textId="77777777" w:rsidR="006151FF" w:rsidRDefault="006151FF"/>
    <w:p w14:paraId="30F60BAA" w14:textId="77777777" w:rsidR="006151FF" w:rsidRDefault="006151FF"/>
  </w:endnote>
  <w:endnote w:id="2">
    <w:p w14:paraId="3A08614C" w14:textId="354B6B88" w:rsidR="00861C1C" w:rsidRDefault="003B6DC2" w:rsidP="004E7898">
      <w:pPr>
        <w:pStyle w:val="EndnoteText"/>
        <w:spacing w:before="0" w:line="276" w:lineRule="auto"/>
        <w:jc w:val="both"/>
      </w:pPr>
      <w:r>
        <w:rPr>
          <w:rStyle w:val="EndnoteReference"/>
        </w:rPr>
        <w:endnoteRef/>
      </w:r>
      <w:r>
        <w:t xml:space="preserve"> </w:t>
      </w:r>
      <w:r w:rsidR="004E7898" w:rsidRPr="004E7898">
        <w:t>Regulation (EU, Euratom) 2024/2509 of the European Parliament and of the Council of 23 September 2024 on the financial rules applicable to the general budget of the Union (recast), OJ L 2024/2559, 26.9.2024.</w:t>
      </w:r>
    </w:p>
  </w:endnote>
  <w:endnote w:id="3">
    <w:p w14:paraId="60FC9FB8" w14:textId="0168F392" w:rsidR="00C3162D" w:rsidRDefault="00C3162D" w:rsidP="00D26971">
      <w:pPr>
        <w:pStyle w:val="EndnoteText"/>
        <w:spacing w:line="276" w:lineRule="auto"/>
        <w:jc w:val="both"/>
      </w:pPr>
      <w:r>
        <w:rPr>
          <w:rStyle w:val="EndnoteReference"/>
        </w:rPr>
        <w:endnoteRef/>
      </w:r>
      <w:r>
        <w:t xml:space="preserve"> COM(2021)343, 30.6.2021.</w:t>
      </w:r>
      <w:r w:rsidR="00894044">
        <w:t xml:space="preserve"> This is the first edition of this report for the 2021-27 MFF period.</w:t>
      </w:r>
    </w:p>
  </w:endnote>
  <w:endnote w:id="4">
    <w:p w14:paraId="1B241D6C" w14:textId="4D95B6E2" w:rsidR="00894044" w:rsidRDefault="00894044" w:rsidP="00894044">
      <w:pPr>
        <w:pStyle w:val="EndnoteText"/>
        <w:spacing w:line="276" w:lineRule="auto"/>
        <w:jc w:val="both"/>
        <w:rPr>
          <w:highlight w:val="yellow"/>
        </w:rPr>
      </w:pPr>
      <w:r>
        <w:rPr>
          <w:rStyle w:val="EndnoteReference"/>
        </w:rPr>
        <w:endnoteRef/>
      </w:r>
      <w:r>
        <w:t xml:space="preserve"> </w:t>
      </w:r>
      <w:r w:rsidR="00B56097" w:rsidRPr="00B56097">
        <w:t>Council Regulation (EU, Euratom) 2024/765 of 29 February 2024 amending Regulation (EU, Euratom) 2020/2093 laying down the multiannual financial framework for the years 2021 to 2027, OJ L, 2024/765, 29.02.2024.</w:t>
      </w:r>
    </w:p>
  </w:endnote>
  <w:endnote w:id="5">
    <w:p w14:paraId="0BB846F1" w14:textId="179391B5" w:rsidR="00861C1C" w:rsidRDefault="003B6DC2" w:rsidP="00D26971">
      <w:pPr>
        <w:pStyle w:val="EndnoteText"/>
        <w:spacing w:line="276" w:lineRule="auto"/>
        <w:jc w:val="both"/>
      </w:pPr>
      <w:r>
        <w:rPr>
          <w:rStyle w:val="EndnoteReference"/>
        </w:rPr>
        <w:endnoteRef/>
      </w:r>
      <w:r>
        <w:t xml:space="preserve"> </w:t>
      </w:r>
      <w:r w:rsidR="00EC7873" w:rsidRPr="00EC7873">
        <w:t xml:space="preserve">Proposal for a </w:t>
      </w:r>
      <w:r w:rsidR="00EC7873">
        <w:t>Council Regulation</w:t>
      </w:r>
      <w:r w:rsidR="00EC7873" w:rsidRPr="00EC7873">
        <w:t xml:space="preserve"> laying down the multiannual financial framework for the years 2028 to 2034</w:t>
      </w:r>
      <w:r>
        <w:t>.</w:t>
      </w:r>
      <w:r w:rsidR="00403B7B">
        <w:t xml:space="preserve"> </w:t>
      </w:r>
      <w:r w:rsidR="00403B7B" w:rsidRPr="00403B7B">
        <w:t>COM/2025/571 final</w:t>
      </w:r>
      <w:r w:rsidR="00403B7B">
        <w:t>.</w:t>
      </w:r>
      <w:r w:rsidR="002B65C9">
        <w:t xml:space="preserve"> 16.07.2025.</w:t>
      </w:r>
      <w:r w:rsidR="00403B7B">
        <w:tab/>
      </w:r>
    </w:p>
  </w:endnote>
  <w:endnote w:id="6">
    <w:p w14:paraId="17876C9B" w14:textId="7424AC9C" w:rsidR="0088021B" w:rsidRDefault="0088021B">
      <w:pPr>
        <w:pStyle w:val="EndnoteText"/>
      </w:pPr>
      <w:r>
        <w:rPr>
          <w:rStyle w:val="EndnoteReference"/>
        </w:rPr>
        <w:endnoteRef/>
      </w:r>
      <w:r>
        <w:t xml:space="preserve"> </w:t>
      </w:r>
      <w:r w:rsidR="00B14A23" w:rsidRPr="00B14A23">
        <w:t>Proposal for a COUNCIL DECISION on the system of own resources of the European Union and repealing Decision (EU, Euratom) 2020/2053</w:t>
      </w:r>
      <w:r w:rsidR="00B14A23">
        <w:t xml:space="preserve">. </w:t>
      </w:r>
      <w:r w:rsidR="00B14A23" w:rsidRPr="00B14A23">
        <w:t>COM(2025) 574 final</w:t>
      </w:r>
      <w:r w:rsidR="00B14A23">
        <w:t>. 16.07</w:t>
      </w:r>
      <w:r w:rsidR="00E874B3">
        <w:t>.2025.</w:t>
      </w:r>
    </w:p>
  </w:endnote>
  <w:endnote w:id="7">
    <w:p w14:paraId="2C4CAABB" w14:textId="278ED47D" w:rsidR="00766033" w:rsidRDefault="00766033">
      <w:pPr>
        <w:pStyle w:val="EndnoteText"/>
      </w:pPr>
      <w:r>
        <w:rPr>
          <w:rStyle w:val="EndnoteReference"/>
        </w:rPr>
        <w:endnoteRef/>
      </w:r>
      <w:r>
        <w:t xml:space="preserve"> </w:t>
      </w:r>
      <w:r w:rsidRPr="00766033">
        <w:t>OJ C66 I, 19.2.2019, p.1</w:t>
      </w:r>
      <w:r>
        <w:t>.</w:t>
      </w:r>
    </w:p>
  </w:endnote>
  <w:endnote w:id="8">
    <w:p w14:paraId="09C8D251" w14:textId="59A78FA3" w:rsidR="00C62FD6" w:rsidRDefault="00C62FD6">
      <w:pPr>
        <w:pStyle w:val="EndnoteText"/>
      </w:pPr>
      <w:r>
        <w:rPr>
          <w:rStyle w:val="EndnoteReference"/>
        </w:rPr>
        <w:endnoteRef/>
      </w:r>
      <w:r>
        <w:t xml:space="preserve"> </w:t>
      </w:r>
      <w:r w:rsidR="00EF1C9D" w:rsidRPr="001226D8">
        <w:t>C</w:t>
      </w:r>
      <w:r w:rsidR="00EF1C9D">
        <w:t>ommunication</w:t>
      </w:r>
      <w:r w:rsidR="00EF1C9D" w:rsidRPr="001226D8">
        <w:t xml:space="preserve"> </w:t>
      </w:r>
      <w:r w:rsidR="00EF1C9D">
        <w:t>from</w:t>
      </w:r>
      <w:r w:rsidR="00EF1C9D" w:rsidRPr="001226D8">
        <w:t xml:space="preserve"> </w:t>
      </w:r>
      <w:r w:rsidR="00EF1C9D">
        <w:t>the</w:t>
      </w:r>
      <w:r w:rsidR="00EF1C9D" w:rsidRPr="001226D8">
        <w:t xml:space="preserve"> C</w:t>
      </w:r>
      <w:r w:rsidR="00EF1C9D">
        <w:t>ommission</w:t>
      </w:r>
      <w:r w:rsidR="00EF1C9D" w:rsidRPr="001226D8">
        <w:t xml:space="preserve"> </w:t>
      </w:r>
      <w:r w:rsidR="00EF1C9D">
        <w:t>to the</w:t>
      </w:r>
      <w:r w:rsidR="00EF1C9D" w:rsidRPr="001226D8">
        <w:t xml:space="preserve"> E</w:t>
      </w:r>
      <w:r w:rsidR="00EF1C9D">
        <w:t>uropean</w:t>
      </w:r>
      <w:r w:rsidR="00EF1C9D" w:rsidRPr="001226D8">
        <w:t xml:space="preserve"> P</w:t>
      </w:r>
      <w:r w:rsidR="00EF1C9D">
        <w:t>arliament</w:t>
      </w:r>
      <w:r w:rsidR="00EF1C9D" w:rsidRPr="001226D8">
        <w:t xml:space="preserve"> </w:t>
      </w:r>
      <w:r w:rsidR="00EF1C9D">
        <w:t>and the</w:t>
      </w:r>
      <w:r w:rsidR="00EF1C9D" w:rsidRPr="001226D8">
        <w:t xml:space="preserve"> C</w:t>
      </w:r>
      <w:r w:rsidR="00EF1C9D">
        <w:t>ouncil</w:t>
      </w:r>
      <w:r w:rsidR="001226D8" w:rsidRPr="001226D8">
        <w:t xml:space="preserve"> – Technical adjustment of the multiannual financial framework for 2027 in accordance with Article 4 of Council Regulation (EU, Euratom) 2020/2093 laying down the multiannual financial framework for the years 2021 to </w:t>
      </w:r>
      <w:r w:rsidR="00B742B7" w:rsidRPr="001226D8">
        <w:t>2027</w:t>
      </w:r>
      <w:r w:rsidR="00E52689" w:rsidRPr="004B1515">
        <w:t xml:space="preserve">. </w:t>
      </w:r>
      <w:r w:rsidR="005032FA" w:rsidRPr="005032FA">
        <w:t xml:space="preserve">COM(2026) 299 </w:t>
      </w:r>
    </w:p>
  </w:endnote>
  <w:endnote w:id="9">
    <w:p w14:paraId="429B897C" w14:textId="72A73BB2" w:rsidR="00861C1C" w:rsidRPr="0050317D" w:rsidRDefault="003B6DC2" w:rsidP="00D26971">
      <w:pPr>
        <w:pStyle w:val="EndnoteText"/>
        <w:spacing w:line="276" w:lineRule="auto"/>
        <w:jc w:val="both"/>
        <w:rPr>
          <w:lang w:val="en-US"/>
        </w:rPr>
      </w:pPr>
      <w:r>
        <w:rPr>
          <w:rStyle w:val="EndnoteReference"/>
        </w:rPr>
        <w:endnoteRef/>
      </w:r>
      <w:r w:rsidRPr="0050317D">
        <w:rPr>
          <w:lang w:val="en-US"/>
        </w:rPr>
        <w:t xml:space="preserve"> </w:t>
      </w:r>
      <w:r w:rsidR="008031C7" w:rsidRPr="00A8313D">
        <w:rPr>
          <w:lang w:val="en-US"/>
        </w:rPr>
        <w:t>Statement of estimates</w:t>
      </w:r>
      <w:r w:rsidR="00B741F7" w:rsidRPr="00A8313D">
        <w:rPr>
          <w:lang w:val="en-US"/>
        </w:rPr>
        <w:t xml:space="preserve"> of the European Commission for the financial year 202</w:t>
      </w:r>
      <w:r w:rsidR="008679DE" w:rsidRPr="00A8313D">
        <w:rPr>
          <w:lang w:val="en-US"/>
        </w:rPr>
        <w:t>7</w:t>
      </w:r>
      <w:r w:rsidR="00B741F7" w:rsidRPr="00A8313D">
        <w:rPr>
          <w:lang w:val="en-US"/>
        </w:rPr>
        <w:t>.</w:t>
      </w:r>
      <w:r w:rsidR="00B3267C" w:rsidRPr="00A8313D">
        <w:rPr>
          <w:lang w:val="en-US"/>
        </w:rPr>
        <w:t xml:space="preserve"> </w:t>
      </w:r>
      <w:r w:rsidR="00B741F7" w:rsidRPr="00A8313D">
        <w:rPr>
          <w:lang w:val="en-US"/>
        </w:rPr>
        <w:t>SEC(202</w:t>
      </w:r>
      <w:r w:rsidR="00A8313D" w:rsidRPr="00A8313D">
        <w:rPr>
          <w:lang w:val="en-US"/>
        </w:rPr>
        <w:t>6</w:t>
      </w:r>
      <w:r w:rsidR="00B741F7" w:rsidRPr="00A8313D">
        <w:rPr>
          <w:lang w:val="en-US"/>
        </w:rPr>
        <w:t>) 250.</w:t>
      </w:r>
    </w:p>
  </w:endnote>
  <w:endnote w:id="10">
    <w:p w14:paraId="0E0D9CF1" w14:textId="5CBAB4A6" w:rsidR="00894044" w:rsidRDefault="00894044">
      <w:pPr>
        <w:pStyle w:val="EndnoteText"/>
      </w:pPr>
      <w:r>
        <w:rPr>
          <w:rStyle w:val="EndnoteReference"/>
        </w:rPr>
        <w:endnoteRef/>
      </w:r>
      <w:r>
        <w:t xml:space="preserve"> </w:t>
      </w:r>
      <w:r w:rsidRPr="00894044">
        <w:t>Council Regulation (EU, Euratom) 2024/765 of 29 February 2024 amending Regulation (EU, Euratom) 2020/2093 laying down the multiannual financial framework for the years 2021 to 2027, OJ L, 2024/765, 29.02.2024</w:t>
      </w:r>
      <w:r>
        <w:t>.</w:t>
      </w:r>
    </w:p>
  </w:endnote>
  <w:endnote w:id="11">
    <w:p w14:paraId="63F62AF8" w14:textId="77777777" w:rsidR="00861C1C" w:rsidRDefault="003B6DC2" w:rsidP="00D26971">
      <w:pPr>
        <w:pStyle w:val="EndnoteText"/>
        <w:spacing w:line="276" w:lineRule="auto"/>
        <w:jc w:val="both"/>
      </w:pPr>
      <w:r>
        <w:rPr>
          <w:rStyle w:val="EndnoteReference"/>
        </w:rPr>
        <w:endnoteRef/>
      </w:r>
      <w:r>
        <w:t xml:space="preserve"> Article 5 of the MFF Regulation provides for the additional allocation in commitment and payment appropriations for a pre-defined list of programmes, for an amount equivalent to certain types of fines.</w:t>
      </w:r>
    </w:p>
  </w:endnote>
  <w:endnote w:id="12">
    <w:p w14:paraId="75DB4C86" w14:textId="77777777" w:rsidR="00861C1C" w:rsidRDefault="003B6DC2" w:rsidP="00D26971">
      <w:pPr>
        <w:pStyle w:val="EndnoteText"/>
        <w:spacing w:line="276" w:lineRule="auto"/>
        <w:jc w:val="both"/>
      </w:pPr>
      <w:r>
        <w:rPr>
          <w:vertAlign w:val="superscript"/>
        </w:rPr>
        <w:endnoteRef/>
      </w:r>
      <w:r>
        <w:t xml:space="preserve"> Article 15(3) of the Financial Regulation provides that commitment appropriations corresponding to the amount of de-commitments made in relation to research projects may be made available again.</w:t>
      </w:r>
    </w:p>
  </w:endnote>
  <w:endnote w:id="13">
    <w:p w14:paraId="65F7F954" w14:textId="12C2DB43" w:rsidR="003B668E" w:rsidRDefault="003B668E">
      <w:pPr>
        <w:pStyle w:val="EndnoteText"/>
      </w:pPr>
      <w:r>
        <w:rPr>
          <w:rStyle w:val="EndnoteReference"/>
        </w:rPr>
        <w:endnoteRef/>
      </w:r>
      <w:r>
        <w:t xml:space="preserve"> </w:t>
      </w:r>
      <w:r w:rsidR="00112CEC" w:rsidRPr="00112CEC">
        <w:t>Unless otherwise specified, all amounts in the report are expressed in current prices.</w:t>
      </w:r>
    </w:p>
  </w:endnote>
  <w:endnote w:id="14">
    <w:p w14:paraId="683642AE" w14:textId="77777777" w:rsidR="00C640CE" w:rsidRDefault="00C640CE" w:rsidP="00C640CE">
      <w:pPr>
        <w:pStyle w:val="EndnoteText"/>
      </w:pPr>
      <w:r>
        <w:rPr>
          <w:rStyle w:val="EndnoteReference"/>
        </w:rPr>
        <w:endnoteRef/>
      </w:r>
      <w:r>
        <w:t xml:space="preserve"> Report from the Commission to the European Parliament and the Council. Long-term forecast of future inflows and outflows of the EU budget (2026-2034). COM(2025) 573 final. 16.07.2025.</w:t>
      </w:r>
    </w:p>
  </w:endnote>
  <w:endnote w:id="15">
    <w:p w14:paraId="0504AB29" w14:textId="0F97E662" w:rsidR="00331806" w:rsidRDefault="00331806">
      <w:pPr>
        <w:pStyle w:val="EndnoteText"/>
      </w:pPr>
      <w:r>
        <w:rPr>
          <w:rStyle w:val="EndnoteReference"/>
        </w:rPr>
        <w:endnoteRef/>
      </w:r>
      <w:r>
        <w:t xml:space="preserve"> Draft amending budget no. 2 to the general budget 2026. Update of revenue (own resources) and adjustments to expenditure. </w:t>
      </w:r>
      <w:r w:rsidR="00EC4ECF" w:rsidRPr="00EC4ECF">
        <w:t>COM(2026) 460 final</w:t>
      </w:r>
      <w:r w:rsidR="00EC4ECF">
        <w:t>. 09.06.2026.</w:t>
      </w:r>
    </w:p>
  </w:endnote>
  <w:endnote w:id="16">
    <w:p w14:paraId="02214641" w14:textId="218C5580" w:rsidR="00A15A2B" w:rsidRDefault="00A15A2B" w:rsidP="00A15A2B">
      <w:pPr>
        <w:pStyle w:val="EndnoteText"/>
      </w:pPr>
      <w:r>
        <w:rPr>
          <w:rStyle w:val="EndnoteReference"/>
        </w:rPr>
        <w:endnoteRef/>
      </w:r>
      <w:r>
        <w:t xml:space="preserve"> </w:t>
      </w:r>
      <w:r w:rsidRPr="00E05B8D">
        <w:t xml:space="preserve">Member States decided to transfer funds between direct payments and rural development. </w:t>
      </w:r>
      <w:r w:rsidR="00283716" w:rsidRPr="00E05B8D">
        <w:t>The result was set out in Commission Delegated Regulation</w:t>
      </w:r>
      <w:r w:rsidR="00283716">
        <w:t xml:space="preserve"> (EU)</w:t>
      </w:r>
      <w:r w:rsidR="00283716" w:rsidRPr="00E05B8D">
        <w:t xml:space="preserve"> 2026/1</w:t>
      </w:r>
      <w:r w:rsidR="00283716">
        <w:t xml:space="preserve"> of 1 December 2025 amending Regulation (EU) 2021/2115.</w:t>
      </w:r>
    </w:p>
  </w:endnote>
  <w:endnote w:id="17">
    <w:p w14:paraId="6134C08E" w14:textId="77777777" w:rsidR="009E4500" w:rsidRDefault="009E4500" w:rsidP="009E4500">
      <w:pPr>
        <w:pStyle w:val="EndnoteText"/>
      </w:pPr>
      <w:r>
        <w:rPr>
          <w:rStyle w:val="EndnoteReference"/>
        </w:rPr>
        <w:endnoteRef/>
      </w:r>
      <w:r>
        <w:t xml:space="preserve"> </w:t>
      </w:r>
      <w:r w:rsidRPr="00F1730A">
        <w:t>Regulation (EU) 2026/467 of the European Parliament and of the Council of 24 February 2026 implementing enhanced cooperation on the establishment of the Ukraine Support Loan for 2026 and 2027</w:t>
      </w:r>
      <w:r>
        <w:t>.</w:t>
      </w:r>
    </w:p>
  </w:endnote>
  <w:endnote w:id="18">
    <w:p w14:paraId="2DD8BA5C" w14:textId="4C9C4CFA" w:rsidR="00DB1237" w:rsidRDefault="00DB1237">
      <w:pPr>
        <w:pStyle w:val="EndnoteText"/>
      </w:pPr>
      <w:r>
        <w:rPr>
          <w:rStyle w:val="EndnoteReference"/>
        </w:rPr>
        <w:endnoteRef/>
      </w:r>
      <w:r>
        <w:t xml:space="preserve"> </w:t>
      </w:r>
      <w:r w:rsidRPr="00DB1237">
        <w:t>This amount does not include decommitments and payments from other fund sources, such as assigned revenues.</w:t>
      </w:r>
    </w:p>
  </w:endnote>
  <w:endnote w:id="19">
    <w:p w14:paraId="120F446E" w14:textId="45B85CF0" w:rsidR="00131BC4" w:rsidRDefault="00131BC4" w:rsidP="002D17E8">
      <w:pPr>
        <w:pStyle w:val="EndnoteText"/>
      </w:pPr>
      <w:r>
        <w:rPr>
          <w:rStyle w:val="EndnoteReference"/>
        </w:rPr>
        <w:endnoteRef/>
      </w:r>
      <w:r>
        <w:t xml:space="preserve"> </w:t>
      </w:r>
      <w:r w:rsidR="002D17E8">
        <w:t>Directive 2003/87/EC of the European Parliament and of the Council of 13 October 2003 establishing a scheme for greenhouse gas emission allowance trading within the Community and amending Council Directive 96/61/EC</w:t>
      </w:r>
    </w:p>
  </w:endnote>
  <w:endnote w:id="20">
    <w:p w14:paraId="69F8B3E5" w14:textId="5306B91D" w:rsidR="00614181" w:rsidRDefault="00614181" w:rsidP="00614181">
      <w:pPr>
        <w:pStyle w:val="EndnoteText"/>
      </w:pPr>
      <w:r>
        <w:rPr>
          <w:rStyle w:val="EndnoteReference"/>
        </w:rPr>
        <w:endnoteRef/>
      </w:r>
      <w:r>
        <w:t xml:space="preserve"> All components of the United Kingdom contribution are laid down in Article 148 of the Withdrawal Agreement. The forecast only includes components which are quantifiable at this stage, namely the provisional United Kingdom contribution to the financing of payments resulting from outstanding commitments prior to 2021 for which the United Kingdom is liable under Article 140 and pension liabilities specified under Article 142.5 of the Withdrawal Agreement as well as the amounts the Union owes to the United Kingdom under Article 145 (European Coal and Steel Community) and Article 146 (Union investment in the EIF).</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C Square Sans Pro">
    <w:altName w:val="Bahnschrift Light"/>
    <w:charset w:val="00"/>
    <w:family w:val="swiss"/>
    <w:pitch w:val="variable"/>
    <w:sig w:usb0="00000001" w:usb1="00000001" w:usb2="00000000" w:usb3="00000000" w:csb0="0000019F" w:csb1="00000000"/>
  </w:font>
  <w:font w:name="Tunga">
    <w:altName w:val="Courier New"/>
    <w:panose1 w:val="00000400000000000000"/>
    <w:charset w:val="00"/>
    <w:family w:val="swiss"/>
    <w:pitch w:val="variable"/>
    <w:sig w:usb0="00000003" w:usb1="00000000" w:usb2="00000000" w:usb3="00000000" w:csb0="00000001" w:csb1="00000000"/>
  </w:font>
  <w:font w:name="Proxima Nova">
    <w:altName w:val="EC Square Sans Pro Medium"/>
    <w:panose1 w:val="00000000000000000000"/>
    <w:charset w:val="00"/>
    <w:family w:val="modern"/>
    <w:notTrueType/>
    <w:pitch w:val="variable"/>
    <w:sig w:usb0="00000001" w:usb1="5000E0FB"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SimHei">
    <w:altName w:val="黑体"/>
    <w:panose1 w:val="0201060003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EC Square Sans Cond Pro Medium">
    <w:altName w:val="Calibri"/>
    <w:charset w:val="00"/>
    <w:family w:val="swiss"/>
    <w:pitch w:val="variable"/>
    <w:sig w:usb0="20000287" w:usb1="00000001" w:usb2="00000000" w:usb3="00000000" w:csb0="0000019F" w:csb1="00000000"/>
  </w:font>
  <w:font w:name="EC Square Sans Pro Light">
    <w:charset w:val="00"/>
    <w:family w:val="swiss"/>
    <w:pitch w:val="variable"/>
    <w:sig w:usb0="20000287" w:usb1="00000001" w:usb2="00000000" w:usb3="00000000" w:csb0="0000019F" w:csb1="00000000"/>
  </w:font>
  <w:font w:name="EUAlbertina">
    <w:altName w:val="Calibri"/>
    <w:charset w:val="00"/>
    <w:family w:val="auto"/>
    <w:pitch w:val="variable"/>
    <w:sig w:usb0="00000001" w:usb1="1000E0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A872E" w14:textId="3D7B0FAF" w:rsidR="006C787C" w:rsidRPr="006C787C" w:rsidRDefault="006C787C" w:rsidP="006C787C">
    <w:pPr>
      <w:pStyle w:val="FooterCoverPage"/>
      <w:rPr>
        <w:rFonts w:ascii="Arial" w:hAnsi="Arial" w:cs="Arial"/>
        <w:b/>
        <w:sz w:val="48"/>
      </w:rPr>
    </w:pPr>
    <w:r w:rsidRPr="006C787C">
      <w:rPr>
        <w:rFonts w:ascii="Arial" w:hAnsi="Arial" w:cs="Arial"/>
        <w:b/>
        <w:sz w:val="48"/>
      </w:rPr>
      <w:t>EN</w:t>
    </w:r>
    <w:r w:rsidRPr="006C787C">
      <w:rPr>
        <w:rFonts w:ascii="Arial" w:hAnsi="Arial" w:cs="Arial"/>
        <w:b/>
        <w:sz w:val="48"/>
      </w:rPr>
      <w:tab/>
    </w:r>
    <w:r w:rsidRPr="006C787C">
      <w:rPr>
        <w:rFonts w:ascii="Arial" w:hAnsi="Arial" w:cs="Arial"/>
        <w:b/>
        <w:sz w:val="48"/>
      </w:rPr>
      <w:tab/>
    </w:r>
    <w:r w:rsidRPr="006C787C">
      <w:tab/>
    </w:r>
    <w:r w:rsidRPr="006C787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E8A00" w14:textId="2CD64034" w:rsidR="006C787C" w:rsidRPr="006C787C" w:rsidRDefault="006C787C" w:rsidP="006C787C">
    <w:pPr>
      <w:pStyle w:val="FooterCoverPage"/>
      <w:rPr>
        <w:rFonts w:ascii="Arial" w:hAnsi="Arial" w:cs="Arial"/>
        <w:b/>
        <w:sz w:val="48"/>
      </w:rPr>
    </w:pPr>
    <w:r w:rsidRPr="006C787C">
      <w:rPr>
        <w:rFonts w:ascii="Arial" w:hAnsi="Arial" w:cs="Arial"/>
        <w:b/>
        <w:sz w:val="48"/>
      </w:rPr>
      <w:t>EN</w:t>
    </w:r>
    <w:r w:rsidRPr="006C787C">
      <w:rPr>
        <w:rFonts w:ascii="Arial" w:hAnsi="Arial" w:cs="Arial"/>
        <w:b/>
        <w:sz w:val="48"/>
      </w:rPr>
      <w:tab/>
    </w:r>
    <w:r w:rsidRPr="006C787C">
      <w:rPr>
        <w:rFonts w:ascii="Arial" w:hAnsi="Arial" w:cs="Arial"/>
        <w:b/>
        <w:sz w:val="48"/>
      </w:rPr>
      <w:tab/>
    </w:r>
    <w:r w:rsidRPr="006C787C">
      <w:tab/>
    </w:r>
    <w:r w:rsidRPr="006C787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381A4" w14:textId="77777777" w:rsidR="006C787C" w:rsidRPr="006C787C" w:rsidRDefault="006C787C" w:rsidP="006C787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F7275" w14:textId="77777777" w:rsidR="00861C1C" w:rsidRDefault="003B6DC2">
    <w:pPr>
      <w:pStyle w:val="Footer"/>
    </w:pPr>
    <w:r>
      <w:rPr>
        <w:noProof w:val="0"/>
        <w:color w:val="2B579A"/>
        <w:shd w:val="clear" w:color="auto" w:fill="E6E6E6"/>
      </w:rPr>
      <w:fldChar w:fldCharType="begin"/>
    </w:r>
    <w:r>
      <w:instrText xml:space="preserve"> PAGE   \* MERGEFORMAT </w:instrText>
    </w:r>
    <w:r>
      <w:rPr>
        <w:noProof w:val="0"/>
        <w:color w:val="2B579A"/>
        <w:shd w:val="clear" w:color="auto" w:fill="E6E6E6"/>
      </w:rPr>
      <w:fldChar w:fldCharType="separate"/>
    </w:r>
    <w:r>
      <w:t>1</w:t>
    </w:r>
    <w:r>
      <w:rPr>
        <w:color w:val="2B579A"/>
        <w:shd w:val="clear" w:color="auto" w:fill="E6E6E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6709605"/>
      <w:docPartObj>
        <w:docPartGallery w:val="Page Numbers (Bottom of Page)"/>
        <w:docPartUnique/>
      </w:docPartObj>
    </w:sdtPr>
    <w:sdtEndPr/>
    <w:sdtContent>
      <w:p w14:paraId="719339A1" w14:textId="2240A7BD" w:rsidR="00861C1C" w:rsidRDefault="003B6DC2">
        <w:pPr>
          <w:pStyle w:val="Footer"/>
        </w:pPr>
        <w:r>
          <w:fldChar w:fldCharType="begin"/>
        </w:r>
        <w:r>
          <w:instrText xml:space="preserve"> PAGE   \* MERGEFORMAT </w:instrText>
        </w:r>
        <w:r>
          <w:fldChar w:fldCharType="separate"/>
        </w:r>
        <w:r w:rsidR="006C787C">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9DC92" w14:textId="77777777" w:rsidR="00861C1C" w:rsidRDefault="00861C1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9285544"/>
      <w:docPartObj>
        <w:docPartGallery w:val="Page Numbers (Bottom of Page)"/>
        <w:docPartUnique/>
      </w:docPartObj>
    </w:sdtPr>
    <w:sdtEndPr/>
    <w:sdtContent>
      <w:p w14:paraId="56CCFE44" w14:textId="2A999EE5" w:rsidR="00597877" w:rsidRDefault="00597877">
        <w:pPr>
          <w:pStyle w:val="Footer"/>
        </w:pPr>
        <w:r>
          <w:fldChar w:fldCharType="begin"/>
        </w:r>
        <w:r>
          <w:instrText xml:space="preserve"> PAGE   \* MERGEFORMAT </w:instrText>
        </w:r>
        <w:r>
          <w:fldChar w:fldCharType="separate"/>
        </w:r>
        <w:r w:rsidR="006C787C">
          <w:t>10</w:t>
        </w:r>
        <w: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74124" w14:textId="77777777" w:rsidR="00861C1C" w:rsidRDefault="003B6DC2">
    <w:pPr>
      <w:pStyle w:val="Footer"/>
    </w:pPr>
    <w:r>
      <w:rPr>
        <w:noProof w:val="0"/>
        <w:color w:val="2B579A"/>
        <w:shd w:val="clear" w:color="auto" w:fill="E6E6E6"/>
      </w:rPr>
      <w:fldChar w:fldCharType="begin"/>
    </w:r>
    <w:r>
      <w:instrText xml:space="preserve"> PAGE   \* MERGEFORMAT </w:instrText>
    </w:r>
    <w:r>
      <w:rPr>
        <w:noProof w:val="0"/>
        <w:color w:val="2B579A"/>
        <w:shd w:val="clear" w:color="auto" w:fill="E6E6E6"/>
      </w:rPr>
      <w:fldChar w:fldCharType="separate"/>
    </w:r>
    <w:r>
      <w:t>20</w:t>
    </w:r>
    <w:r>
      <w:rPr>
        <w:color w:val="2B579A"/>
        <w:shd w:val="clear" w:color="auto" w:fill="E6E6E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6384086"/>
      <w:docPartObj>
        <w:docPartGallery w:val="Page Numbers (Bottom of Page)"/>
        <w:docPartUnique/>
      </w:docPartObj>
    </w:sdtPr>
    <w:sdtEndPr/>
    <w:sdtContent>
      <w:p w14:paraId="6E2222E7" w14:textId="77777777" w:rsidR="00861C1C" w:rsidRDefault="003B6DC2" w:rsidP="00967E56">
        <w:pPr>
          <w:pStyle w:val="Footer"/>
        </w:pPr>
        <w:r w:rsidRPr="00F47142">
          <w:rPr>
            <w:noProof w:val="0"/>
            <w:shd w:val="clear" w:color="auto" w:fill="FFFFFF" w:themeFill="background1"/>
          </w:rPr>
          <w:fldChar w:fldCharType="begin"/>
        </w:r>
        <w:r w:rsidRPr="002C358C">
          <w:rPr>
            <w:shd w:val="clear" w:color="auto" w:fill="FFFFFF" w:themeFill="background1"/>
          </w:rPr>
          <w:instrText xml:space="preserve"> PAGE   \* MERGEFORMAT </w:instrText>
        </w:r>
        <w:r w:rsidRPr="00F47142">
          <w:rPr>
            <w:noProof w:val="0"/>
            <w:shd w:val="clear" w:color="auto" w:fill="FFFFFF" w:themeFill="background1"/>
          </w:rPr>
          <w:fldChar w:fldCharType="separate"/>
        </w:r>
        <w:r w:rsidRPr="002C358C">
          <w:rPr>
            <w:shd w:val="clear" w:color="auto" w:fill="FFFFFF" w:themeFill="background1"/>
          </w:rPr>
          <w:t>20</w:t>
        </w:r>
        <w:r w:rsidRPr="00F47142">
          <w:rPr>
            <w:shd w:val="clear" w:color="auto" w:fill="FFFFFF" w:themeFill="background1"/>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C9750" w14:textId="77777777" w:rsidR="00861C1C" w:rsidRDefault="00861C1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7874707"/>
      <w:docPartObj>
        <w:docPartGallery w:val="Page Numbers (Bottom of Page)"/>
        <w:docPartUnique/>
      </w:docPartObj>
    </w:sdtPr>
    <w:sdtEndPr/>
    <w:sdtContent>
      <w:p w14:paraId="735B4392" w14:textId="77777777" w:rsidR="00597877" w:rsidRDefault="00597877" w:rsidP="00967E56">
        <w:pPr>
          <w:pStyle w:val="Footer"/>
        </w:pPr>
        <w:r w:rsidRPr="00F47142">
          <w:rPr>
            <w:noProof w:val="0"/>
            <w:shd w:val="clear" w:color="auto" w:fill="FFFFFF" w:themeFill="background1"/>
          </w:rPr>
          <w:fldChar w:fldCharType="begin"/>
        </w:r>
        <w:r w:rsidRPr="002C358C">
          <w:rPr>
            <w:shd w:val="clear" w:color="auto" w:fill="FFFFFF" w:themeFill="background1"/>
          </w:rPr>
          <w:instrText xml:space="preserve"> PAGE   \* MERGEFORMAT </w:instrText>
        </w:r>
        <w:r w:rsidRPr="00F47142">
          <w:rPr>
            <w:noProof w:val="0"/>
            <w:shd w:val="clear" w:color="auto" w:fill="FFFFFF" w:themeFill="background1"/>
          </w:rPr>
          <w:fldChar w:fldCharType="separate"/>
        </w:r>
        <w:r w:rsidRPr="002C358C">
          <w:rPr>
            <w:shd w:val="clear" w:color="auto" w:fill="FFFFFF" w:themeFill="background1"/>
          </w:rPr>
          <w:t>20</w:t>
        </w:r>
        <w:r w:rsidRPr="00F47142">
          <w:rPr>
            <w:shd w:val="clear" w:color="auto" w:fill="FFFFFF" w:themeFill="background1"/>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C79F4" w14:textId="77777777" w:rsidR="00861C1C" w:rsidRDefault="00861C1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2317603"/>
      <w:docPartObj>
        <w:docPartGallery w:val="Page Numbers (Bottom of Page)"/>
        <w:docPartUnique/>
      </w:docPartObj>
    </w:sdtPr>
    <w:sdtEndPr/>
    <w:sdtContent>
      <w:p w14:paraId="0077EFE7" w14:textId="77777777" w:rsidR="00861C1C" w:rsidRDefault="003B6DC2" w:rsidP="00F35BB7">
        <w:pPr>
          <w:pStyle w:val="Footer"/>
        </w:pPr>
        <w:r w:rsidRPr="00F47142">
          <w:rPr>
            <w:noProof w:val="0"/>
            <w:shd w:val="clear" w:color="auto" w:fill="FFFFFF" w:themeFill="background1"/>
          </w:rPr>
          <w:fldChar w:fldCharType="begin"/>
        </w:r>
        <w:r w:rsidRPr="002C358C">
          <w:rPr>
            <w:shd w:val="clear" w:color="auto" w:fill="FFFFFF" w:themeFill="background1"/>
          </w:rPr>
          <w:instrText xml:space="preserve"> PAGE   \* MERGEFORMAT </w:instrText>
        </w:r>
        <w:r w:rsidRPr="00F47142">
          <w:rPr>
            <w:noProof w:val="0"/>
            <w:shd w:val="clear" w:color="auto" w:fill="FFFFFF" w:themeFill="background1"/>
          </w:rPr>
          <w:fldChar w:fldCharType="separate"/>
        </w:r>
        <w:r w:rsidRPr="002C358C">
          <w:rPr>
            <w:shd w:val="clear" w:color="auto" w:fill="FFFFFF" w:themeFill="background1"/>
          </w:rPr>
          <w:t>24</w:t>
        </w:r>
        <w:r w:rsidRPr="00F47142">
          <w:rPr>
            <w:shd w:val="clear" w:color="auto" w:fill="FFFFFF" w:themeFill="background1"/>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5E057" w14:textId="77777777" w:rsidR="00861C1C" w:rsidRDefault="00861C1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0043228"/>
      <w:docPartObj>
        <w:docPartGallery w:val="Page Numbers (Bottom of Page)"/>
        <w:docPartUnique/>
      </w:docPartObj>
    </w:sdtPr>
    <w:sdtEndPr/>
    <w:sdtContent>
      <w:p w14:paraId="0ED8587F" w14:textId="77777777" w:rsidR="00597877" w:rsidRDefault="00597877" w:rsidP="00F35BB7">
        <w:pPr>
          <w:pStyle w:val="Footer"/>
        </w:pPr>
        <w:r w:rsidRPr="00F47142">
          <w:rPr>
            <w:noProof w:val="0"/>
            <w:shd w:val="clear" w:color="auto" w:fill="FFFFFF" w:themeFill="background1"/>
          </w:rPr>
          <w:fldChar w:fldCharType="begin"/>
        </w:r>
        <w:r w:rsidRPr="002C358C">
          <w:rPr>
            <w:shd w:val="clear" w:color="auto" w:fill="FFFFFF" w:themeFill="background1"/>
          </w:rPr>
          <w:instrText xml:space="preserve"> PAGE   \* MERGEFORMAT </w:instrText>
        </w:r>
        <w:r w:rsidRPr="00F47142">
          <w:rPr>
            <w:noProof w:val="0"/>
            <w:shd w:val="clear" w:color="auto" w:fill="FFFFFF" w:themeFill="background1"/>
          </w:rPr>
          <w:fldChar w:fldCharType="separate"/>
        </w:r>
        <w:r w:rsidRPr="002C358C">
          <w:rPr>
            <w:shd w:val="clear" w:color="auto" w:fill="FFFFFF" w:themeFill="background1"/>
          </w:rPr>
          <w:t>24</w:t>
        </w:r>
        <w:r w:rsidRPr="00F47142">
          <w:rPr>
            <w:shd w:val="clear" w:color="auto" w:fill="FFFFFF" w:themeFill="background1"/>
          </w:rP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5849638"/>
      <w:docPartObj>
        <w:docPartGallery w:val="Page Numbers (Bottom of Page)"/>
        <w:docPartUnique/>
      </w:docPartObj>
    </w:sdtPr>
    <w:sdtEndPr/>
    <w:sdtContent>
      <w:p w14:paraId="7CC75897" w14:textId="77777777" w:rsidR="00597877" w:rsidRDefault="00597877" w:rsidP="00F35BB7">
        <w:pPr>
          <w:pStyle w:val="Footer"/>
        </w:pPr>
        <w:r w:rsidRPr="00F47142">
          <w:rPr>
            <w:noProof w:val="0"/>
            <w:shd w:val="clear" w:color="auto" w:fill="FFFFFF" w:themeFill="background1"/>
          </w:rPr>
          <w:fldChar w:fldCharType="begin"/>
        </w:r>
        <w:r w:rsidRPr="002C358C">
          <w:rPr>
            <w:shd w:val="clear" w:color="auto" w:fill="FFFFFF" w:themeFill="background1"/>
          </w:rPr>
          <w:instrText xml:space="preserve"> PAGE   \* MERGEFORMAT </w:instrText>
        </w:r>
        <w:r w:rsidRPr="00F47142">
          <w:rPr>
            <w:noProof w:val="0"/>
            <w:shd w:val="clear" w:color="auto" w:fill="FFFFFF" w:themeFill="background1"/>
          </w:rPr>
          <w:fldChar w:fldCharType="separate"/>
        </w:r>
        <w:r w:rsidRPr="002C358C">
          <w:rPr>
            <w:shd w:val="clear" w:color="auto" w:fill="FFFFFF" w:themeFill="background1"/>
          </w:rPr>
          <w:t>24</w:t>
        </w:r>
        <w:r w:rsidRPr="00F47142">
          <w:rPr>
            <w:shd w:val="clear" w:color="auto" w:fill="FFFFFF" w:themeFill="background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41FAB7" w14:textId="77777777" w:rsidR="006151FF" w:rsidRDefault="006151FF">
      <w:r>
        <w:separator/>
      </w:r>
    </w:p>
  </w:footnote>
  <w:footnote w:type="continuationSeparator" w:id="0">
    <w:p w14:paraId="31672B84" w14:textId="77777777" w:rsidR="006151FF" w:rsidRDefault="006151FF">
      <w:r>
        <w:continuationSeparator/>
      </w:r>
    </w:p>
  </w:footnote>
  <w:footnote w:type="continuationNotice" w:id="1">
    <w:p w14:paraId="577D967D" w14:textId="77777777" w:rsidR="006151FF" w:rsidRDefault="006151FF">
      <w:pPr>
        <w:pStyle w:val="Footer"/>
        <w:jc w:val="lef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681DD" w14:textId="77777777" w:rsidR="006C787C" w:rsidRPr="006C787C" w:rsidRDefault="006C787C" w:rsidP="006C787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2D65DF" w14:textId="77777777" w:rsidR="006C787C" w:rsidRPr="006C787C" w:rsidRDefault="006C787C" w:rsidP="006C787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276F7" w14:textId="77777777" w:rsidR="006C787C" w:rsidRPr="006C787C" w:rsidRDefault="006C787C" w:rsidP="006C787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5A063" w14:textId="77777777" w:rsidR="00861C1C" w:rsidRDefault="00861C1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2A754" w14:textId="0BD29C78" w:rsidR="00861C1C" w:rsidRDefault="00861C1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9AF9A" w14:textId="77777777" w:rsidR="00861C1C" w:rsidRDefault="00861C1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037C3" w14:textId="77777777" w:rsidR="00D22273" w:rsidRDefault="00891AFF">
    <w:pPr>
      <w:pStyle w:val="Header"/>
    </w:pPr>
    <w:r w:rsidRPr="00D61A2C">
      <w:rPr>
        <w:noProof/>
        <w:color w:val="2B579A"/>
        <w:shd w:val="clear" w:color="auto" w:fill="E6E6E6"/>
        <w:lang w:eastAsia="en-GB"/>
      </w:rPr>
      <mc:AlternateContent>
        <mc:Choice Requires="wps">
          <w:drawing>
            <wp:anchor distT="0" distB="0" distL="114300" distR="114300" simplePos="0" relativeHeight="251658241" behindDoc="0" locked="1" layoutInCell="1" allowOverlap="1" wp14:anchorId="3A27F900" wp14:editId="04C1AE4D">
              <wp:simplePos x="0" y="0"/>
              <wp:positionH relativeFrom="page">
                <wp:posOffset>-31115</wp:posOffset>
              </wp:positionH>
              <wp:positionV relativeFrom="page">
                <wp:posOffset>0</wp:posOffset>
              </wp:positionV>
              <wp:extent cx="7620635" cy="212090"/>
              <wp:effectExtent l="0" t="0" r="0" b="0"/>
              <wp:wrapNone/>
              <wp:docPr id="4"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20635" cy="212090"/>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4" style="position:absolute;margin-left:-2.45pt;margin-top:0;width:600.05pt;height:16.7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fdab07 [3207]" stroked="f"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" w14:anchorId="4CE85EA9">
              <o:lock v:ext="edit" aspectratio="t"/>
              <w10:wrap anchorx="page" anchory="page"/>
              <w10:anchorlock/>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C5024" w14:textId="77777777" w:rsidR="00861C1C" w:rsidRDefault="00861C1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A1FEF" w14:textId="29C96470" w:rsidR="00861C1C" w:rsidRDefault="00697C8D">
    <w:pPr>
      <w:pStyle w:val="Header"/>
    </w:pPr>
    <w:r w:rsidRPr="00D61A2C">
      <w:rPr>
        <w:noProof/>
        <w:color w:val="2B579A"/>
        <w:shd w:val="clear" w:color="auto" w:fill="E6E6E6"/>
        <w:lang w:eastAsia="en-GB"/>
      </w:rPr>
      <mc:AlternateContent>
        <mc:Choice Requires="wps">
          <w:drawing>
            <wp:anchor distT="0" distB="0" distL="114300" distR="114300" simplePos="0" relativeHeight="251658240" behindDoc="0" locked="1" layoutInCell="1" allowOverlap="1" wp14:anchorId="7652CC88" wp14:editId="055F3679">
              <wp:simplePos x="0" y="0"/>
              <wp:positionH relativeFrom="page">
                <wp:posOffset>-52705</wp:posOffset>
              </wp:positionH>
              <wp:positionV relativeFrom="page">
                <wp:posOffset>-635</wp:posOffset>
              </wp:positionV>
              <wp:extent cx="7620635" cy="212090"/>
              <wp:effectExtent l="0" t="0" r="0" b="0"/>
              <wp:wrapNone/>
              <wp:docPr id="1825826825" name="Rectangle 18258268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20635" cy="212090"/>
                      </a:xfrm>
                      <a:prstGeom prst="rect">
                        <a:avLst/>
                      </a:prstGeom>
                      <a:solidFill>
                        <a:srgbClr val="FDB93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1825826825" style="position:absolute;margin-left:-4.15pt;margin-top:-.05pt;width:600.05pt;height:1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fdb933" stroked="f"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" w14:anchorId="24592FDB">
              <o:lock v:ext="edit" aspectratio="t"/>
              <w10:wrap anchorx="page" anchory="page"/>
              <w10:anchorlock/>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9CE3C" w14:textId="77777777" w:rsidR="00861C1C" w:rsidRDefault="00861C1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9570F" w14:textId="77777777" w:rsidR="00597877" w:rsidRDefault="00597877">
    <w:pPr>
      <w:pStyle w:val="Header"/>
    </w:pPr>
    <w:r w:rsidRPr="00D61A2C">
      <w:rPr>
        <w:noProof/>
        <w:color w:val="2B579A"/>
        <w:shd w:val="clear" w:color="auto" w:fill="E6E6E6"/>
        <w:lang w:eastAsia="en-GB"/>
      </w:rPr>
      <mc:AlternateContent>
        <mc:Choice Requires="wps">
          <w:drawing>
            <wp:anchor distT="0" distB="0" distL="114300" distR="114300" simplePos="0" relativeHeight="251658242" behindDoc="0" locked="1" layoutInCell="1" allowOverlap="1" wp14:anchorId="23ADD363" wp14:editId="5E9336E2">
              <wp:simplePos x="0" y="0"/>
              <wp:positionH relativeFrom="page">
                <wp:posOffset>-52705</wp:posOffset>
              </wp:positionH>
              <wp:positionV relativeFrom="page">
                <wp:posOffset>-635</wp:posOffset>
              </wp:positionV>
              <wp:extent cx="7620635" cy="212090"/>
              <wp:effectExtent l="0" t="0" r="0" b="0"/>
              <wp:wrapNone/>
              <wp:docPr id="116051710" name="Rectangle 1160517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20635" cy="212090"/>
                      </a:xfrm>
                      <a:prstGeom prst="rect">
                        <a:avLst/>
                      </a:prstGeom>
                      <a:solidFill>
                        <a:srgbClr val="FDB93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http://schemas.openxmlformats.org/drawingml/2006/main">
          <w:pict>
            <v:rect id="Rectangle 116051710" style="position:absolute;margin-left:-4.15pt;margin-top:-.05pt;width:600.05pt;height:16.7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fdb933" stroked="f" strokeweigh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" w14:anchorId="41AC38CF">
              <o:lock v:ext="edit" aspectratio="t"/>
              <w10:wrap anchorx="page" anchory="page"/>
              <w10:anchorlock/>
            </v:rect>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3ED37" w14:textId="77777777" w:rsidR="00861C1C" w:rsidRDefault="00861C1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0E674" w14:textId="77777777" w:rsidR="00861C1C" w:rsidRDefault="00861C1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BAD35" w14:textId="77777777" w:rsidR="00861C1C" w:rsidRDefault="00861C1C">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08248" w14:textId="77777777" w:rsidR="00597877" w:rsidRDefault="005978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9180D" w14:textId="77777777" w:rsidR="00597877" w:rsidRDefault="00597877">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9DA011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B8B6D3F8"/>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249579D"/>
    <w:multiLevelType w:val="multilevel"/>
    <w:tmpl w:val="A08C8E34"/>
    <w:styleLink w:val="amprLIST-Ordered"/>
    <w:lvl w:ilvl="0">
      <w:start w:val="1"/>
      <w:numFmt w:val="decimal"/>
      <w:pStyle w:val="amprLISTOrdered-L1"/>
      <w:lvlText w:val="%1."/>
      <w:lvlJc w:val="left"/>
      <w:pPr>
        <w:ind w:left="714" w:hanging="357"/>
      </w:pPr>
      <w:rPr>
        <w:rFonts w:hint="default"/>
      </w:rPr>
    </w:lvl>
    <w:lvl w:ilvl="1">
      <w:start w:val="1"/>
      <w:numFmt w:val="decimal"/>
      <w:pStyle w:val="amprLISTOrdered-L2"/>
      <w:lvlText w:val="%1.%2."/>
      <w:lvlJc w:val="left"/>
      <w:pPr>
        <w:ind w:left="1185" w:hanging="471"/>
      </w:pPr>
      <w:rPr>
        <w:rFonts w:hint="default"/>
      </w:rPr>
    </w:lvl>
    <w:lvl w:ilvl="2">
      <w:start w:val="1"/>
      <w:numFmt w:val="decimal"/>
      <w:pStyle w:val="amprLISTOrdered-L3"/>
      <w:lvlText w:val="%1.%2.%3."/>
      <w:lvlJc w:val="left"/>
      <w:pPr>
        <w:ind w:left="1769" w:hanging="584"/>
      </w:pPr>
      <w:rPr>
        <w:rFonts w:hint="default"/>
      </w:rPr>
    </w:lvl>
    <w:lvl w:ilvl="3">
      <w:start w:val="1"/>
      <w:numFmt w:val="decimal"/>
      <w:pStyle w:val="amprLISTOrdered-L4"/>
      <w:lvlText w:val="%1.%2.%3.%4."/>
      <w:lvlJc w:val="left"/>
      <w:pPr>
        <w:ind w:left="2466" w:hanging="69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E1B48C7"/>
    <w:multiLevelType w:val="hybridMultilevel"/>
    <w:tmpl w:val="D6D43D2A"/>
    <w:lvl w:ilvl="0" w:tplc="24482FE6">
      <w:start w:val="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F61258B"/>
    <w:multiLevelType w:val="hybridMultilevel"/>
    <w:tmpl w:val="1DCC9992"/>
    <w:lvl w:ilvl="0" w:tplc="EE84F68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AF0196"/>
    <w:multiLevelType w:val="multilevel"/>
    <w:tmpl w:val="D6C29086"/>
    <w:styleLink w:val="amprHLISTNumberedheadings"/>
    <w:lvl w:ilvl="0">
      <w:start w:val="1"/>
      <w:numFmt w:val="decimal"/>
      <w:pStyle w:val="amprH2TITLE1-Numbered-1"/>
      <w:lvlText w:val="%1."/>
      <w:lvlJc w:val="left"/>
      <w:pPr>
        <w:ind w:left="578" w:hanging="578"/>
      </w:pPr>
      <w:rPr>
        <w:rFonts w:hint="default"/>
      </w:rPr>
    </w:lvl>
    <w:lvl w:ilvl="1">
      <w:start w:val="1"/>
      <w:numFmt w:val="decimal"/>
      <w:pStyle w:val="amprH3Title2-Numbered-11"/>
      <w:lvlText w:val="%1.%2."/>
      <w:lvlJc w:val="left"/>
      <w:pPr>
        <w:ind w:left="1928" w:hanging="578"/>
      </w:pPr>
      <w:rPr>
        <w:rFonts w:hint="default"/>
      </w:rPr>
    </w:lvl>
    <w:lvl w:ilvl="2">
      <w:start w:val="1"/>
      <w:numFmt w:val="decimal"/>
      <w:pStyle w:val="amprH4Subhead1-Numbered-111"/>
      <w:lvlText w:val="%1.%2.%3."/>
      <w:lvlJc w:val="left"/>
      <w:pPr>
        <w:ind w:left="578" w:hanging="578"/>
      </w:pPr>
      <w:rPr>
        <w:rFonts w:hint="default"/>
      </w:rPr>
    </w:lvl>
    <w:lvl w:ilvl="3">
      <w:start w:val="1"/>
      <w:numFmt w:val="decimal"/>
      <w:pStyle w:val="amprH5Subhead2-Numbered-1111"/>
      <w:lvlText w:val="%1.%2.%3.%4."/>
      <w:lvlJc w:val="left"/>
      <w:pPr>
        <w:ind w:left="578" w:hanging="578"/>
      </w:pPr>
      <w:rPr>
        <w:rFonts w:hint="default"/>
      </w:rPr>
    </w:lvl>
    <w:lvl w:ilvl="4">
      <w:start w:val="1"/>
      <w:numFmt w:val="lowerLetter"/>
      <w:lvlText w:val="(%5)"/>
      <w:lvlJc w:val="left"/>
      <w:pPr>
        <w:ind w:left="578" w:hanging="578"/>
      </w:pPr>
      <w:rPr>
        <w:rFonts w:hint="default"/>
      </w:rPr>
    </w:lvl>
    <w:lvl w:ilvl="5">
      <w:start w:val="1"/>
      <w:numFmt w:val="lowerRoman"/>
      <w:lvlText w:val="(%6)"/>
      <w:lvlJc w:val="left"/>
      <w:pPr>
        <w:ind w:left="578" w:hanging="578"/>
      </w:pPr>
      <w:rPr>
        <w:rFonts w:hint="default"/>
      </w:rPr>
    </w:lvl>
    <w:lvl w:ilvl="6">
      <w:start w:val="1"/>
      <w:numFmt w:val="decimal"/>
      <w:lvlText w:val="%7."/>
      <w:lvlJc w:val="left"/>
      <w:pPr>
        <w:ind w:left="578" w:hanging="578"/>
      </w:pPr>
      <w:rPr>
        <w:rFonts w:hint="default"/>
      </w:rPr>
    </w:lvl>
    <w:lvl w:ilvl="7">
      <w:start w:val="1"/>
      <w:numFmt w:val="lowerLetter"/>
      <w:lvlText w:val="%8."/>
      <w:lvlJc w:val="left"/>
      <w:pPr>
        <w:ind w:left="578" w:hanging="578"/>
      </w:pPr>
      <w:rPr>
        <w:rFonts w:hint="default"/>
      </w:rPr>
    </w:lvl>
    <w:lvl w:ilvl="8">
      <w:start w:val="1"/>
      <w:numFmt w:val="lowerRoman"/>
      <w:lvlText w:val="%9."/>
      <w:lvlJc w:val="left"/>
      <w:pPr>
        <w:ind w:left="578" w:hanging="578"/>
      </w:pPr>
      <w:rPr>
        <w:rFonts w:hint="default"/>
      </w:rPr>
    </w:lvl>
  </w:abstractNum>
  <w:abstractNum w:abstractNumId="6" w15:restartNumberingAfterBreak="0">
    <w:nsid w:val="1515780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91327C8"/>
    <w:multiLevelType w:val="hybridMultilevel"/>
    <w:tmpl w:val="B8AAD2A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1B3C78B8"/>
    <w:multiLevelType w:val="multilevel"/>
    <w:tmpl w:val="2ED4F4D0"/>
    <w:name w:val="Point"/>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9" w15:restartNumberingAfterBreak="0">
    <w:nsid w:val="1C47181D"/>
    <w:multiLevelType w:val="multilevel"/>
    <w:tmpl w:val="2A9AD0EE"/>
    <w:styleLink w:val="amprLISTblackbullets"/>
    <w:lvl w:ilvl="0">
      <w:start w:val="1"/>
      <w:numFmt w:val="bullet"/>
      <w:pStyle w:val="amprLISTblackbullets-L1"/>
      <w:lvlText w:val=""/>
      <w:lvlJc w:val="left"/>
      <w:pPr>
        <w:ind w:left="714" w:hanging="357"/>
      </w:pPr>
      <w:rPr>
        <w:rFonts w:ascii="Symbol" w:hAnsi="Symbol" w:hint="default"/>
      </w:rPr>
    </w:lvl>
    <w:lvl w:ilvl="1">
      <w:start w:val="1"/>
      <w:numFmt w:val="bullet"/>
      <w:pStyle w:val="amprLISTblackbullets-L2"/>
      <w:lvlText w:val="—"/>
      <w:lvlJc w:val="left"/>
      <w:pPr>
        <w:ind w:left="1435" w:hanging="358"/>
      </w:pPr>
      <w:rPr>
        <w:rFonts w:ascii="EC Square Sans Pro" w:hAnsi="EC Square Sans Pro" w:hint="default"/>
      </w:rPr>
    </w:lvl>
    <w:lvl w:ilvl="2">
      <w:start w:val="1"/>
      <w:numFmt w:val="bullet"/>
      <w:lvlText w:val=""/>
      <w:lvlJc w:val="left"/>
      <w:pPr>
        <w:ind w:left="2155" w:hanging="355"/>
      </w:pPr>
      <w:rPr>
        <w:rFonts w:ascii="Wingdings" w:hAnsi="Wingdings" w:hint="default"/>
      </w:rPr>
    </w:lvl>
    <w:lvl w:ilvl="3">
      <w:start w:val="1"/>
      <w:numFmt w:val="bullet"/>
      <w:lvlText w:val=""/>
      <w:lvlJc w:val="left"/>
      <w:pPr>
        <w:ind w:left="2875" w:hanging="355"/>
      </w:pPr>
      <w:rPr>
        <w:rFonts w:ascii="Symbol" w:hAnsi="Symbol" w:hint="default"/>
      </w:rPr>
    </w:lvl>
    <w:lvl w:ilvl="4">
      <w:start w:val="1"/>
      <w:numFmt w:val="bullet"/>
      <w:lvlText w:val="o"/>
      <w:lvlJc w:val="left"/>
      <w:pPr>
        <w:ind w:left="3595" w:hanging="355"/>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4C25113"/>
    <w:multiLevelType w:val="hybridMultilevel"/>
    <w:tmpl w:val="8D1E1EAC"/>
    <w:lvl w:ilvl="0" w:tplc="9BC6A976">
      <w:numFmt w:val="bullet"/>
      <w:lvlText w:val="-"/>
      <w:lvlJc w:val="left"/>
      <w:pPr>
        <w:ind w:left="720" w:hanging="360"/>
      </w:pPr>
      <w:rPr>
        <w:rFonts w:ascii="EC Square Sans Pro" w:eastAsiaTheme="minorHAnsi" w:hAnsi="EC Square Sans Pro"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AB22A4D"/>
    <w:multiLevelType w:val="multilevel"/>
    <w:tmpl w:val="78248A56"/>
    <w:numStyleLink w:val="amprLISTgreenbullets"/>
  </w:abstractNum>
  <w:abstractNum w:abstractNumId="13" w15:restartNumberingAfterBreak="0">
    <w:nsid w:val="2CB72C6E"/>
    <w:multiLevelType w:val="singleLevel"/>
    <w:tmpl w:val="10ACD464"/>
    <w:name w:val="Bullet 3"/>
    <w:lvl w:ilvl="0">
      <w:start w:val="1"/>
      <w:numFmt w:val="bullet"/>
      <w:lvlRestart w:val="0"/>
      <w:lvlText w:val=""/>
      <w:lvlJc w:val="left"/>
      <w:pPr>
        <w:tabs>
          <w:tab w:val="num" w:pos="2551"/>
        </w:tabs>
        <w:ind w:left="2551" w:hanging="567"/>
      </w:pPr>
      <w:rPr>
        <w:rFonts w:ascii="Symbol" w:hAnsi="Symbol" w:hint="default"/>
      </w:rPr>
    </w:lvl>
  </w:abstractNum>
  <w:abstractNum w:abstractNumId="14" w15:restartNumberingAfterBreak="0">
    <w:nsid w:val="2CE9221F"/>
    <w:multiLevelType w:val="singleLevel"/>
    <w:tmpl w:val="9B4AFB48"/>
    <w:name w:val="Tiret 3"/>
    <w:lvl w:ilvl="0">
      <w:start w:val="1"/>
      <w:numFmt w:val="bullet"/>
      <w:lvlRestart w:val="0"/>
      <w:lvlText w:val="–"/>
      <w:lvlJc w:val="left"/>
      <w:pPr>
        <w:tabs>
          <w:tab w:val="num" w:pos="2551"/>
        </w:tabs>
        <w:ind w:left="2551" w:hanging="567"/>
      </w:pPr>
    </w:lvl>
  </w:abstractNum>
  <w:abstractNum w:abstractNumId="15" w15:restartNumberingAfterBreak="0">
    <w:nsid w:val="309C18B6"/>
    <w:multiLevelType w:val="multilevel"/>
    <w:tmpl w:val="6110FEBA"/>
    <w:name w:val="ListNumberNonindentedNumbering65"/>
    <w:styleLink w:val="amprLIST-Mixed"/>
    <w:lvl w:ilvl="0">
      <w:start w:val="1"/>
      <w:numFmt w:val="decimal"/>
      <w:pStyle w:val="amprLISTMixed-L1"/>
      <w:lvlText w:val="%1."/>
      <w:lvlJc w:val="left"/>
      <w:pPr>
        <w:ind w:left="714" w:hanging="357"/>
      </w:pPr>
      <w:rPr>
        <w:rFonts w:hint="default"/>
      </w:rPr>
    </w:lvl>
    <w:lvl w:ilvl="1">
      <w:start w:val="1"/>
      <w:numFmt w:val="lowerLetter"/>
      <w:pStyle w:val="amprLISTMixed-L2"/>
      <w:lvlText w:val="(%2)"/>
      <w:lvlJc w:val="left"/>
      <w:pPr>
        <w:ind w:left="1071" w:hanging="357"/>
      </w:pPr>
      <w:rPr>
        <w:rFonts w:hint="default"/>
      </w:rPr>
    </w:lvl>
    <w:lvl w:ilvl="2">
      <w:start w:val="1"/>
      <w:numFmt w:val="bullet"/>
      <w:pStyle w:val="amprLISTMixed-L3"/>
      <w:lvlText w:val="—"/>
      <w:lvlJc w:val="left"/>
      <w:pPr>
        <w:ind w:left="1428" w:hanging="357"/>
      </w:pPr>
      <w:rPr>
        <w:rFonts w:ascii="Proxima Nova" w:hAnsi="Proxima Nova" w:hint="default"/>
        <w:color w:val="auto"/>
      </w:rPr>
    </w:lvl>
    <w:lvl w:ilvl="3">
      <w:start w:val="1"/>
      <w:numFmt w:val="decimal"/>
      <w:lvlText w:val="(%4)"/>
      <w:lvlJc w:val="left"/>
      <w:pPr>
        <w:ind w:left="1785" w:hanging="357"/>
      </w:pPr>
      <w:rPr>
        <w:rFonts w:hint="default"/>
      </w:rPr>
    </w:lvl>
    <w:lvl w:ilvl="4">
      <w:start w:val="1"/>
      <w:numFmt w:val="lowerLetter"/>
      <w:lvlText w:val="(%5)"/>
      <w:lvlJc w:val="left"/>
      <w:pPr>
        <w:ind w:left="2142" w:hanging="357"/>
      </w:pPr>
      <w:rPr>
        <w:rFonts w:hint="default"/>
      </w:rPr>
    </w:lvl>
    <w:lvl w:ilvl="5">
      <w:start w:val="1"/>
      <w:numFmt w:val="lowerRoman"/>
      <w:lvlText w:val="(%6)"/>
      <w:lvlJc w:val="left"/>
      <w:pPr>
        <w:ind w:left="2499" w:hanging="357"/>
      </w:pPr>
      <w:rPr>
        <w:rFonts w:hint="default"/>
      </w:rPr>
    </w:lvl>
    <w:lvl w:ilvl="6">
      <w:start w:val="1"/>
      <w:numFmt w:val="decimal"/>
      <w:lvlText w:val="%7."/>
      <w:lvlJc w:val="left"/>
      <w:pPr>
        <w:ind w:left="2856" w:hanging="357"/>
      </w:pPr>
      <w:rPr>
        <w:rFonts w:hint="default"/>
      </w:rPr>
    </w:lvl>
    <w:lvl w:ilvl="7">
      <w:start w:val="1"/>
      <w:numFmt w:val="lowerLetter"/>
      <w:lvlText w:val="%8."/>
      <w:lvlJc w:val="left"/>
      <w:pPr>
        <w:ind w:left="3213" w:hanging="357"/>
      </w:pPr>
      <w:rPr>
        <w:rFonts w:hint="default"/>
      </w:rPr>
    </w:lvl>
    <w:lvl w:ilvl="8">
      <w:start w:val="1"/>
      <w:numFmt w:val="lowerRoman"/>
      <w:lvlText w:val="%9."/>
      <w:lvlJc w:val="left"/>
      <w:pPr>
        <w:ind w:left="3570" w:hanging="357"/>
      </w:pPr>
      <w:rPr>
        <w:rFonts w:hint="default"/>
      </w:rPr>
    </w:lvl>
  </w:abstractNum>
  <w:abstractNum w:abstractNumId="16" w15:restartNumberingAfterBreak="0">
    <w:nsid w:val="32CE3C72"/>
    <w:multiLevelType w:val="hybridMultilevel"/>
    <w:tmpl w:val="39E0BB52"/>
    <w:lvl w:ilvl="0" w:tplc="CA606920">
      <w:start w:val="1"/>
      <w:numFmt w:val="bullet"/>
      <w:pStyle w:val="amprboxBLUEdashedbullet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881849"/>
    <w:multiLevelType w:val="hybridMultilevel"/>
    <w:tmpl w:val="84682B56"/>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351779EF"/>
    <w:multiLevelType w:val="hybridMultilevel"/>
    <w:tmpl w:val="AA90E94E"/>
    <w:lvl w:ilvl="0" w:tplc="41A60B74">
      <w:start w:val="1"/>
      <w:numFmt w:val="bullet"/>
      <w:lvlText w:val="-"/>
      <w:lvlJc w:val="left"/>
      <w:pPr>
        <w:ind w:left="720" w:hanging="360"/>
      </w:pPr>
      <w:rPr>
        <w:rFonts w:ascii="EC Square Sans Pro" w:eastAsiaTheme="minorHAnsi" w:hAnsi="EC Square Sans Pro"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771255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8AF61F8"/>
    <w:multiLevelType w:val="multilevel"/>
    <w:tmpl w:val="60A07854"/>
    <w:styleLink w:val="Style1"/>
    <w:lvl w:ilvl="0">
      <w:start w:val="1"/>
      <w:numFmt w:val="decimal"/>
      <w:lvlText w:val="%1"/>
      <w:lvlJc w:val="left"/>
      <w:pPr>
        <w:ind w:left="432" w:hanging="432"/>
      </w:pPr>
      <w:rPr>
        <w:rFonts w:hint="default"/>
        <w:caps/>
        <w:strike w:val="0"/>
        <w:dstrike w:val="0"/>
        <w:vanish/>
        <w:vertAlign w:val="baseline"/>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3B1A17B2"/>
    <w:multiLevelType w:val="multilevel"/>
    <w:tmpl w:val="6110FEBA"/>
    <w:numStyleLink w:val="amprLIST-Mixed"/>
  </w:abstractNum>
  <w:abstractNum w:abstractNumId="22" w15:restartNumberingAfterBreak="0">
    <w:nsid w:val="3BE45363"/>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F457F5F"/>
    <w:multiLevelType w:val="hybridMultilevel"/>
    <w:tmpl w:val="50B6E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0D57A2B"/>
    <w:multiLevelType w:val="hybridMultilevel"/>
    <w:tmpl w:val="BD16A592"/>
    <w:lvl w:ilvl="0" w:tplc="AE2A3438">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26" w15:restartNumberingAfterBreak="0">
    <w:nsid w:val="42FC0772"/>
    <w:multiLevelType w:val="singleLevel"/>
    <w:tmpl w:val="4128FCF8"/>
    <w:name w:val="Tiret 4"/>
    <w:lvl w:ilvl="0">
      <w:start w:val="1"/>
      <w:numFmt w:val="bullet"/>
      <w:lvlRestart w:val="0"/>
      <w:lvlText w:val="–"/>
      <w:lvlJc w:val="left"/>
      <w:pPr>
        <w:tabs>
          <w:tab w:val="num" w:pos="3118"/>
        </w:tabs>
        <w:ind w:left="3118" w:hanging="567"/>
      </w:pPr>
    </w:lvl>
  </w:abstractNum>
  <w:abstractNum w:abstractNumId="27" w15:restartNumberingAfterBreak="0">
    <w:nsid w:val="4552127F"/>
    <w:multiLevelType w:val="singleLevel"/>
    <w:tmpl w:val="057A5296"/>
    <w:name w:val="Bullet 0"/>
    <w:lvl w:ilvl="0">
      <w:start w:val="1"/>
      <w:numFmt w:val="bullet"/>
      <w:lvlRestart w:val="0"/>
      <w:lvlText w:val=""/>
      <w:lvlJc w:val="left"/>
      <w:pPr>
        <w:tabs>
          <w:tab w:val="num" w:pos="850"/>
        </w:tabs>
        <w:ind w:left="850" w:hanging="850"/>
      </w:pPr>
      <w:rPr>
        <w:rFonts w:ascii="Symbol" w:hAnsi="Symbol" w:hint="default"/>
      </w:rPr>
    </w:lvl>
  </w:abstractNum>
  <w:abstractNum w:abstractNumId="28" w15:restartNumberingAfterBreak="0">
    <w:nsid w:val="469C0FD1"/>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47CC1762"/>
    <w:multiLevelType w:val="hybridMultilevel"/>
    <w:tmpl w:val="62A833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489956A0"/>
    <w:multiLevelType w:val="singleLevel"/>
    <w:tmpl w:val="6520E3F6"/>
    <w:lvl w:ilvl="0">
      <w:start w:val="1"/>
      <w:numFmt w:val="bullet"/>
      <w:lvlRestart w:val="0"/>
      <w:pStyle w:val="Tiret0"/>
      <w:lvlText w:val="–"/>
      <w:lvlJc w:val="left"/>
      <w:pPr>
        <w:tabs>
          <w:tab w:val="num" w:pos="850"/>
        </w:tabs>
        <w:ind w:left="850" w:hanging="850"/>
      </w:pPr>
    </w:lvl>
  </w:abstractNum>
  <w:abstractNum w:abstractNumId="31" w15:restartNumberingAfterBreak="0">
    <w:nsid w:val="52B23671"/>
    <w:multiLevelType w:val="multilevel"/>
    <w:tmpl w:val="3E4EA4C8"/>
    <w:lvl w:ilvl="0">
      <w:start w:val="1"/>
      <w:numFmt w:val="bullet"/>
      <w:pStyle w:val="amprboxGREENdashedbulletlis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56E1D63"/>
    <w:multiLevelType w:val="singleLevel"/>
    <w:tmpl w:val="493AAFF0"/>
    <w:name w:val="Bullet 4"/>
    <w:lvl w:ilvl="0">
      <w:start w:val="1"/>
      <w:numFmt w:val="bullet"/>
      <w:lvlRestart w:val="0"/>
      <w:lvlText w:val=""/>
      <w:lvlJc w:val="left"/>
      <w:pPr>
        <w:tabs>
          <w:tab w:val="num" w:pos="3118"/>
        </w:tabs>
        <w:ind w:left="3118" w:hanging="567"/>
      </w:pPr>
      <w:rPr>
        <w:rFonts w:ascii="Symbol" w:hAnsi="Symbol" w:hint="default"/>
      </w:rPr>
    </w:lvl>
  </w:abstractNum>
  <w:abstractNum w:abstractNumId="33" w15:restartNumberingAfterBreak="0">
    <w:nsid w:val="59BB2205"/>
    <w:multiLevelType w:val="multilevel"/>
    <w:tmpl w:val="78248A56"/>
    <w:styleLink w:val="amprLISTgreenbullets"/>
    <w:lvl w:ilvl="0">
      <w:start w:val="1"/>
      <w:numFmt w:val="bullet"/>
      <w:pStyle w:val="amprLISTgreenbullets-L1"/>
      <w:lvlText w:val=""/>
      <w:lvlJc w:val="left"/>
      <w:pPr>
        <w:ind w:left="714" w:hanging="357"/>
      </w:pPr>
      <w:rPr>
        <w:rFonts w:ascii="Symbol" w:hAnsi="Symbol" w:hint="default"/>
        <w:color w:val="008139" w:themeColor="accent1"/>
      </w:rPr>
    </w:lvl>
    <w:lvl w:ilvl="1">
      <w:start w:val="1"/>
      <w:numFmt w:val="bullet"/>
      <w:pStyle w:val="amprLISTgreenbullets-L2"/>
      <w:lvlText w:val="—"/>
      <w:lvlJc w:val="left"/>
      <w:pPr>
        <w:ind w:left="1435" w:hanging="358"/>
      </w:pPr>
      <w:rPr>
        <w:rFonts w:ascii="EC Square Sans Pro" w:hAnsi="EC Square Sans Pro" w:hint="default"/>
        <w:color w:val="008139" w:themeColor="accent1"/>
      </w:rPr>
    </w:lvl>
    <w:lvl w:ilvl="2">
      <w:start w:val="1"/>
      <w:numFmt w:val="bullet"/>
      <w:lvlText w:val=""/>
      <w:lvlJc w:val="left"/>
      <w:pPr>
        <w:ind w:left="2155" w:hanging="358"/>
      </w:pPr>
      <w:rPr>
        <w:rFonts w:ascii="Wingdings" w:hAnsi="Wingdings" w:hint="default"/>
      </w:rPr>
    </w:lvl>
    <w:lvl w:ilvl="3">
      <w:start w:val="1"/>
      <w:numFmt w:val="bullet"/>
      <w:lvlText w:val=""/>
      <w:lvlJc w:val="left"/>
      <w:pPr>
        <w:ind w:left="2875" w:hanging="358"/>
      </w:pPr>
      <w:rPr>
        <w:rFonts w:ascii="Symbol" w:hAnsi="Symbol" w:hint="default"/>
      </w:rPr>
    </w:lvl>
    <w:lvl w:ilvl="4">
      <w:start w:val="1"/>
      <w:numFmt w:val="bullet"/>
      <w:lvlText w:val="o"/>
      <w:lvlJc w:val="left"/>
      <w:pPr>
        <w:ind w:left="3595" w:hanging="357"/>
      </w:pPr>
      <w:rPr>
        <w:rFonts w:ascii="Courier New" w:hAnsi="Courier New" w:hint="default"/>
      </w:rPr>
    </w:lvl>
    <w:lvl w:ilvl="5">
      <w:start w:val="1"/>
      <w:numFmt w:val="bullet"/>
      <w:lvlText w:val=""/>
      <w:lvlJc w:val="left"/>
      <w:pPr>
        <w:ind w:left="4093" w:hanging="360"/>
      </w:pPr>
      <w:rPr>
        <w:rFonts w:ascii="Wingdings" w:hAnsi="Wingdings" w:hint="default"/>
      </w:rPr>
    </w:lvl>
    <w:lvl w:ilvl="6">
      <w:start w:val="1"/>
      <w:numFmt w:val="bullet"/>
      <w:lvlText w:val=""/>
      <w:lvlJc w:val="left"/>
      <w:pPr>
        <w:ind w:left="4813" w:hanging="360"/>
      </w:pPr>
      <w:rPr>
        <w:rFonts w:ascii="Symbol" w:hAnsi="Symbol" w:hint="default"/>
      </w:rPr>
    </w:lvl>
    <w:lvl w:ilvl="7">
      <w:start w:val="1"/>
      <w:numFmt w:val="bullet"/>
      <w:lvlText w:val="o"/>
      <w:lvlJc w:val="left"/>
      <w:pPr>
        <w:ind w:left="5533" w:hanging="360"/>
      </w:pPr>
      <w:rPr>
        <w:rFonts w:ascii="Courier New" w:hAnsi="Courier New" w:cs="Courier New" w:hint="default"/>
      </w:rPr>
    </w:lvl>
    <w:lvl w:ilvl="8">
      <w:start w:val="1"/>
      <w:numFmt w:val="bullet"/>
      <w:lvlText w:val=""/>
      <w:lvlJc w:val="left"/>
      <w:pPr>
        <w:ind w:left="6253" w:hanging="360"/>
      </w:pPr>
      <w:rPr>
        <w:rFonts w:ascii="Wingdings" w:hAnsi="Wingdings" w:hint="default"/>
      </w:rPr>
    </w:lvl>
  </w:abstractNum>
  <w:abstractNum w:abstractNumId="34" w15:restartNumberingAfterBreak="0">
    <w:nsid w:val="5B395AAA"/>
    <w:multiLevelType w:val="singleLevel"/>
    <w:tmpl w:val="96D02E8A"/>
    <w:name w:val="Bullet 1"/>
    <w:lvl w:ilvl="0">
      <w:start w:val="1"/>
      <w:numFmt w:val="bullet"/>
      <w:lvlRestart w:val="0"/>
      <w:lvlText w:val=""/>
      <w:lvlJc w:val="left"/>
      <w:pPr>
        <w:tabs>
          <w:tab w:val="num" w:pos="1417"/>
        </w:tabs>
        <w:ind w:left="1417" w:hanging="567"/>
      </w:pPr>
      <w:rPr>
        <w:rFonts w:ascii="Symbol" w:hAnsi="Symbol" w:hint="default"/>
      </w:rPr>
    </w:lvl>
  </w:abstractNum>
  <w:abstractNum w:abstractNumId="35" w15:restartNumberingAfterBreak="0">
    <w:nsid w:val="5C056EE5"/>
    <w:multiLevelType w:val="singleLevel"/>
    <w:tmpl w:val="3378D27C"/>
    <w:name w:val="Bullet 2"/>
    <w:lvl w:ilvl="0">
      <w:start w:val="1"/>
      <w:numFmt w:val="bullet"/>
      <w:lvlRestart w:val="0"/>
      <w:lvlText w:val=""/>
      <w:lvlJc w:val="left"/>
      <w:pPr>
        <w:tabs>
          <w:tab w:val="num" w:pos="1984"/>
        </w:tabs>
        <w:ind w:left="1984" w:hanging="567"/>
      </w:pPr>
      <w:rPr>
        <w:rFonts w:ascii="Symbol" w:hAnsi="Symbol" w:hint="default"/>
      </w:rPr>
    </w:lvl>
  </w:abstractNum>
  <w:abstractNum w:abstractNumId="36"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37" w15:restartNumberingAfterBreak="0">
    <w:nsid w:val="5EA810B0"/>
    <w:multiLevelType w:val="multilevel"/>
    <w:tmpl w:val="D6C29086"/>
    <w:numStyleLink w:val="amprHLISTNumberedheadings"/>
  </w:abstractNum>
  <w:abstractNum w:abstractNumId="38" w15:restartNumberingAfterBreak="0">
    <w:nsid w:val="6227387F"/>
    <w:multiLevelType w:val="multilevel"/>
    <w:tmpl w:val="2A9AD0EE"/>
    <w:numStyleLink w:val="amprLISTblackbullets"/>
  </w:abstractNum>
  <w:abstractNum w:abstractNumId="39"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7B856F6"/>
    <w:multiLevelType w:val="singleLevel"/>
    <w:tmpl w:val="0AB28E9C"/>
    <w:name w:val="Tiret 2"/>
    <w:lvl w:ilvl="0">
      <w:start w:val="1"/>
      <w:numFmt w:val="bullet"/>
      <w:lvlRestart w:val="0"/>
      <w:lvlText w:val="–"/>
      <w:lvlJc w:val="left"/>
      <w:pPr>
        <w:tabs>
          <w:tab w:val="num" w:pos="1984"/>
        </w:tabs>
        <w:ind w:left="1984" w:hanging="567"/>
      </w:pPr>
    </w:lvl>
  </w:abstractNum>
  <w:abstractNum w:abstractNumId="41" w15:restartNumberingAfterBreak="0">
    <w:nsid w:val="6D786367"/>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2" w15:restartNumberingAfterBreak="0">
    <w:nsid w:val="78AD56D9"/>
    <w:multiLevelType w:val="hybridMultilevel"/>
    <w:tmpl w:val="3C247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abstractNum w:abstractNumId="44" w15:restartNumberingAfterBreak="0">
    <w:nsid w:val="7ECE6A82"/>
    <w:multiLevelType w:val="multilevel"/>
    <w:tmpl w:val="C7520AF0"/>
    <w:lvl w:ilvl="0">
      <w:start w:val="2"/>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0"/>
  </w:num>
  <w:num w:numId="3">
    <w:abstractNumId w:val="20"/>
  </w:num>
  <w:num w:numId="4">
    <w:abstractNumId w:val="9"/>
  </w:num>
  <w:num w:numId="5">
    <w:abstractNumId w:val="38"/>
  </w:num>
  <w:num w:numId="6">
    <w:abstractNumId w:val="33"/>
  </w:num>
  <w:num w:numId="7">
    <w:abstractNumId w:val="31"/>
  </w:num>
  <w:num w:numId="8">
    <w:abstractNumId w:val="22"/>
  </w:num>
  <w:num w:numId="9">
    <w:abstractNumId w:val="28"/>
  </w:num>
  <w:num w:numId="10">
    <w:abstractNumId w:val="41"/>
  </w:num>
  <w:num w:numId="11">
    <w:abstractNumId w:val="12"/>
  </w:num>
  <w:num w:numId="12">
    <w:abstractNumId w:val="5"/>
  </w:num>
  <w:num w:numId="13">
    <w:abstractNumId w:val="37"/>
    <w:lvlOverride w:ilvl="0">
      <w:lvl w:ilvl="0">
        <w:start w:val="1"/>
        <w:numFmt w:val="decimal"/>
        <w:pStyle w:val="amprH2TITLE1-Numbered-1"/>
        <w:lvlText w:val="%1."/>
        <w:lvlJc w:val="left"/>
        <w:pPr>
          <w:ind w:left="578" w:hanging="578"/>
        </w:pPr>
        <w:rPr>
          <w:rFonts w:hint="default"/>
        </w:rPr>
      </w:lvl>
    </w:lvlOverride>
    <w:lvlOverride w:ilvl="1">
      <w:lvl w:ilvl="1">
        <w:start w:val="1"/>
        <w:numFmt w:val="decimal"/>
        <w:pStyle w:val="amprH3Title2-Numbered-11"/>
        <w:lvlText w:val="%1.%2."/>
        <w:lvlJc w:val="left"/>
        <w:pPr>
          <w:ind w:left="3129" w:hanging="578"/>
        </w:pPr>
        <w:rPr>
          <w:rFonts w:hint="default"/>
        </w:rPr>
      </w:lvl>
    </w:lvlOverride>
    <w:lvlOverride w:ilvl="2">
      <w:lvl w:ilvl="2">
        <w:start w:val="1"/>
        <w:numFmt w:val="decimal"/>
        <w:pStyle w:val="amprH4Subhead1-Numbered-111"/>
        <w:lvlText w:val="%1.%2.%3."/>
        <w:lvlJc w:val="left"/>
        <w:pPr>
          <w:ind w:left="578" w:hanging="578"/>
        </w:pPr>
        <w:rPr>
          <w:rFonts w:hint="default"/>
        </w:rPr>
      </w:lvl>
    </w:lvlOverride>
    <w:lvlOverride w:ilvl="3">
      <w:lvl w:ilvl="3">
        <w:start w:val="1"/>
        <w:numFmt w:val="decimal"/>
        <w:pStyle w:val="amprH5Subhead2-Numbered-1111"/>
        <w:lvlText w:val="%1.%2.%3.%4."/>
        <w:lvlJc w:val="left"/>
        <w:pPr>
          <w:ind w:left="578" w:hanging="578"/>
        </w:pPr>
        <w:rPr>
          <w:rFonts w:hint="default"/>
        </w:rPr>
      </w:lvl>
    </w:lvlOverride>
    <w:lvlOverride w:ilvl="4">
      <w:lvl w:ilvl="4">
        <w:start w:val="1"/>
        <w:numFmt w:val="lowerLetter"/>
        <w:lvlText w:val="(%5)"/>
        <w:lvlJc w:val="left"/>
        <w:pPr>
          <w:ind w:left="578" w:hanging="578"/>
        </w:pPr>
        <w:rPr>
          <w:rFonts w:hint="default"/>
        </w:rPr>
      </w:lvl>
    </w:lvlOverride>
    <w:lvlOverride w:ilvl="5">
      <w:lvl w:ilvl="5">
        <w:start w:val="1"/>
        <w:numFmt w:val="lowerRoman"/>
        <w:lvlText w:val="(%6)"/>
        <w:lvlJc w:val="left"/>
        <w:pPr>
          <w:ind w:left="578" w:hanging="578"/>
        </w:pPr>
        <w:rPr>
          <w:rFonts w:hint="default"/>
        </w:rPr>
      </w:lvl>
    </w:lvlOverride>
    <w:lvlOverride w:ilvl="6">
      <w:lvl w:ilvl="6">
        <w:start w:val="1"/>
        <w:numFmt w:val="decimal"/>
        <w:lvlText w:val="%7."/>
        <w:lvlJc w:val="left"/>
        <w:pPr>
          <w:ind w:left="578" w:hanging="578"/>
        </w:pPr>
        <w:rPr>
          <w:rFonts w:hint="default"/>
        </w:rPr>
      </w:lvl>
    </w:lvlOverride>
    <w:lvlOverride w:ilvl="7">
      <w:lvl w:ilvl="7">
        <w:start w:val="1"/>
        <w:numFmt w:val="lowerLetter"/>
        <w:lvlText w:val="%8."/>
        <w:lvlJc w:val="left"/>
        <w:pPr>
          <w:ind w:left="578" w:hanging="578"/>
        </w:pPr>
        <w:rPr>
          <w:rFonts w:hint="default"/>
        </w:rPr>
      </w:lvl>
    </w:lvlOverride>
    <w:lvlOverride w:ilvl="8">
      <w:lvl w:ilvl="8">
        <w:start w:val="1"/>
        <w:numFmt w:val="lowerRoman"/>
        <w:lvlText w:val="%9."/>
        <w:lvlJc w:val="left"/>
        <w:pPr>
          <w:ind w:left="578" w:hanging="578"/>
        </w:pPr>
        <w:rPr>
          <w:rFonts w:hint="default"/>
        </w:rPr>
      </w:lvl>
    </w:lvlOverride>
  </w:num>
  <w:num w:numId="14">
    <w:abstractNumId w:val="16"/>
  </w:num>
  <w:num w:numId="15">
    <w:abstractNumId w:val="2"/>
  </w:num>
  <w:num w:numId="16">
    <w:abstractNumId w:val="15"/>
  </w:num>
  <w:num w:numId="17">
    <w:abstractNumId w:val="21"/>
  </w:num>
  <w:num w:numId="18">
    <w:abstractNumId w:val="30"/>
  </w:num>
  <w:num w:numId="19">
    <w:abstractNumId w:val="6"/>
  </w:num>
  <w:num w:numId="20">
    <w:abstractNumId w:val="19"/>
  </w:num>
  <w:num w:numId="21">
    <w:abstractNumId w:val="24"/>
  </w:num>
  <w:num w:numId="22">
    <w:abstractNumId w:val="44"/>
  </w:num>
  <w:num w:numId="23">
    <w:abstractNumId w:val="3"/>
  </w:num>
  <w:num w:numId="24">
    <w:abstractNumId w:val="37"/>
    <w:lvlOverride w:ilvl="0">
      <w:startOverride w:val="1"/>
      <w:lvl w:ilvl="0">
        <w:start w:val="1"/>
        <w:numFmt w:val="decimal"/>
        <w:pStyle w:val="amprH2TITLE1-Numbered-1"/>
        <w:lvlText w:val="%1."/>
        <w:lvlJc w:val="left"/>
        <w:pPr>
          <w:ind w:left="578" w:hanging="578"/>
        </w:pPr>
        <w:rPr>
          <w:rFonts w:hint="default"/>
        </w:rPr>
      </w:lvl>
    </w:lvlOverride>
    <w:lvlOverride w:ilvl="1">
      <w:startOverride w:val="1"/>
      <w:lvl w:ilvl="1">
        <w:start w:val="1"/>
        <w:numFmt w:val="decimal"/>
        <w:pStyle w:val="amprH3Title2-Numbered-11"/>
        <w:lvlText w:val="%1.%2."/>
        <w:lvlJc w:val="left"/>
        <w:pPr>
          <w:ind w:left="1928" w:hanging="578"/>
        </w:pPr>
        <w:rPr>
          <w:rFonts w:hint="default"/>
        </w:rPr>
      </w:lvl>
    </w:lvlOverride>
    <w:lvlOverride w:ilvl="2">
      <w:startOverride w:val="1"/>
      <w:lvl w:ilvl="2">
        <w:start w:val="1"/>
        <w:numFmt w:val="decimal"/>
        <w:pStyle w:val="amprH4Subhead1-Numbered-111"/>
        <w:lvlText w:val="%1.%2.%3."/>
        <w:lvlJc w:val="left"/>
        <w:pPr>
          <w:ind w:left="578" w:hanging="578"/>
        </w:pPr>
        <w:rPr>
          <w:rFonts w:hint="default"/>
        </w:rPr>
      </w:lvl>
    </w:lvlOverride>
    <w:lvlOverride w:ilvl="3">
      <w:startOverride w:val="1"/>
      <w:lvl w:ilvl="3">
        <w:start w:val="1"/>
        <w:numFmt w:val="decimal"/>
        <w:pStyle w:val="amprH5Subhead2-Numbered-1111"/>
        <w:lvlText w:val="%1.%2.%3.%4."/>
        <w:lvlJc w:val="left"/>
        <w:pPr>
          <w:ind w:left="578" w:hanging="578"/>
        </w:pPr>
        <w:rPr>
          <w:rFonts w:hint="default"/>
        </w:rPr>
      </w:lvl>
    </w:lvlOverride>
    <w:lvlOverride w:ilvl="4">
      <w:startOverride w:val="1"/>
      <w:lvl w:ilvl="4">
        <w:start w:val="1"/>
        <w:numFmt w:val="lowerLetter"/>
        <w:lvlText w:val="(%5)"/>
        <w:lvlJc w:val="left"/>
        <w:pPr>
          <w:ind w:left="578" w:hanging="578"/>
        </w:pPr>
        <w:rPr>
          <w:rFonts w:hint="default"/>
        </w:rPr>
      </w:lvl>
    </w:lvlOverride>
    <w:lvlOverride w:ilvl="5">
      <w:startOverride w:val="1"/>
      <w:lvl w:ilvl="5">
        <w:start w:val="1"/>
        <w:numFmt w:val="lowerRoman"/>
        <w:lvlText w:val="(%6)"/>
        <w:lvlJc w:val="left"/>
        <w:pPr>
          <w:ind w:left="578" w:hanging="578"/>
        </w:pPr>
        <w:rPr>
          <w:rFonts w:hint="default"/>
        </w:rPr>
      </w:lvl>
    </w:lvlOverride>
    <w:lvlOverride w:ilvl="6">
      <w:startOverride w:val="1"/>
      <w:lvl w:ilvl="6">
        <w:start w:val="1"/>
        <w:numFmt w:val="decimal"/>
        <w:lvlText w:val="%7."/>
        <w:lvlJc w:val="left"/>
        <w:pPr>
          <w:ind w:left="578" w:hanging="578"/>
        </w:pPr>
        <w:rPr>
          <w:rFonts w:hint="default"/>
        </w:rPr>
      </w:lvl>
    </w:lvlOverride>
    <w:lvlOverride w:ilvl="7">
      <w:startOverride w:val="1"/>
      <w:lvl w:ilvl="7">
        <w:start w:val="1"/>
        <w:numFmt w:val="lowerLetter"/>
        <w:lvlText w:val="%8."/>
        <w:lvlJc w:val="left"/>
        <w:pPr>
          <w:ind w:left="578" w:hanging="578"/>
        </w:pPr>
        <w:rPr>
          <w:rFonts w:hint="default"/>
        </w:rPr>
      </w:lvl>
    </w:lvlOverride>
    <w:lvlOverride w:ilvl="8">
      <w:startOverride w:val="1"/>
      <w:lvl w:ilvl="8">
        <w:start w:val="1"/>
        <w:numFmt w:val="lowerRoman"/>
        <w:lvlText w:val="%9."/>
        <w:lvlJc w:val="left"/>
        <w:pPr>
          <w:ind w:left="578" w:hanging="578"/>
        </w:pPr>
        <w:rPr>
          <w:rFonts w:hint="default"/>
        </w:rPr>
      </w:lvl>
    </w:lvlOverride>
  </w:num>
  <w:num w:numId="25">
    <w:abstractNumId w:val="17"/>
  </w:num>
  <w:num w:numId="26">
    <w:abstractNumId w:val="29"/>
  </w:num>
  <w:num w:numId="27">
    <w:abstractNumId w:val="7"/>
  </w:num>
  <w:num w:numId="28">
    <w:abstractNumId w:val="11"/>
  </w:num>
  <w:num w:numId="29">
    <w:abstractNumId w:val="37"/>
    <w:lvlOverride w:ilvl="0">
      <w:lvl w:ilvl="0">
        <w:start w:val="1"/>
        <w:numFmt w:val="decimal"/>
        <w:pStyle w:val="amprH2TITLE1-Numbered-1"/>
        <w:lvlText w:val="%1."/>
        <w:lvlJc w:val="left"/>
        <w:pPr>
          <w:ind w:left="578" w:hanging="578"/>
        </w:pPr>
        <w:rPr>
          <w:rFonts w:hint="default"/>
        </w:rPr>
      </w:lvl>
    </w:lvlOverride>
    <w:lvlOverride w:ilvl="1">
      <w:lvl w:ilvl="1">
        <w:start w:val="1"/>
        <w:numFmt w:val="decimal"/>
        <w:pStyle w:val="amprH3Title2-Numbered-11"/>
        <w:lvlText w:val="%1.%2."/>
        <w:lvlJc w:val="left"/>
        <w:pPr>
          <w:ind w:left="3129" w:hanging="578"/>
        </w:pPr>
        <w:rPr>
          <w:rFonts w:hint="default"/>
        </w:rPr>
      </w:lvl>
    </w:lvlOverride>
    <w:lvlOverride w:ilvl="2">
      <w:lvl w:ilvl="2">
        <w:start w:val="1"/>
        <w:numFmt w:val="decimal"/>
        <w:pStyle w:val="amprH4Subhead1-Numbered-111"/>
        <w:lvlText w:val="%1.%2.%3."/>
        <w:lvlJc w:val="left"/>
        <w:pPr>
          <w:ind w:left="578" w:hanging="578"/>
        </w:pPr>
        <w:rPr>
          <w:rFonts w:hint="default"/>
        </w:rPr>
      </w:lvl>
    </w:lvlOverride>
    <w:lvlOverride w:ilvl="3">
      <w:lvl w:ilvl="3">
        <w:start w:val="1"/>
        <w:numFmt w:val="decimal"/>
        <w:pStyle w:val="amprH5Subhead2-Numbered-1111"/>
        <w:lvlText w:val="%1.%2.%3.%4."/>
        <w:lvlJc w:val="left"/>
        <w:pPr>
          <w:ind w:left="578" w:hanging="578"/>
        </w:pPr>
        <w:rPr>
          <w:rFonts w:hint="default"/>
        </w:rPr>
      </w:lvl>
    </w:lvlOverride>
    <w:lvlOverride w:ilvl="4">
      <w:lvl w:ilvl="4">
        <w:start w:val="1"/>
        <w:numFmt w:val="lowerLetter"/>
        <w:lvlText w:val="(%5)"/>
        <w:lvlJc w:val="left"/>
        <w:pPr>
          <w:ind w:left="578" w:hanging="578"/>
        </w:pPr>
        <w:rPr>
          <w:rFonts w:hint="default"/>
        </w:rPr>
      </w:lvl>
    </w:lvlOverride>
    <w:lvlOverride w:ilvl="5">
      <w:lvl w:ilvl="5">
        <w:start w:val="1"/>
        <w:numFmt w:val="lowerRoman"/>
        <w:lvlText w:val="(%6)"/>
        <w:lvlJc w:val="left"/>
        <w:pPr>
          <w:ind w:left="578" w:hanging="578"/>
        </w:pPr>
        <w:rPr>
          <w:rFonts w:hint="default"/>
        </w:rPr>
      </w:lvl>
    </w:lvlOverride>
    <w:lvlOverride w:ilvl="6">
      <w:lvl w:ilvl="6">
        <w:start w:val="1"/>
        <w:numFmt w:val="decimal"/>
        <w:lvlText w:val="%7."/>
        <w:lvlJc w:val="left"/>
        <w:pPr>
          <w:ind w:left="578" w:hanging="578"/>
        </w:pPr>
        <w:rPr>
          <w:rFonts w:hint="default"/>
        </w:rPr>
      </w:lvl>
    </w:lvlOverride>
    <w:lvlOverride w:ilvl="7">
      <w:lvl w:ilvl="7">
        <w:start w:val="1"/>
        <w:numFmt w:val="lowerLetter"/>
        <w:lvlText w:val="%8."/>
        <w:lvlJc w:val="left"/>
        <w:pPr>
          <w:ind w:left="578" w:hanging="578"/>
        </w:pPr>
        <w:rPr>
          <w:rFonts w:hint="default"/>
        </w:rPr>
      </w:lvl>
    </w:lvlOverride>
    <w:lvlOverride w:ilvl="8">
      <w:lvl w:ilvl="8">
        <w:start w:val="1"/>
        <w:numFmt w:val="lowerRoman"/>
        <w:lvlText w:val="%9."/>
        <w:lvlJc w:val="left"/>
        <w:pPr>
          <w:ind w:left="578" w:hanging="578"/>
        </w:pPr>
        <w:rPr>
          <w:rFonts w:hint="default"/>
        </w:rPr>
      </w:lvl>
    </w:lvlOverride>
  </w:num>
  <w:num w:numId="30">
    <w:abstractNumId w:val="23"/>
  </w:num>
  <w:num w:numId="31">
    <w:abstractNumId w:val="42"/>
  </w:num>
  <w:num w:numId="32">
    <w:abstractNumId w:val="4"/>
  </w:num>
  <w:num w:numId="33">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US" w:vendorID="64" w:dllVersion="0" w:nlCheck="1" w:checkStyle="0"/>
  <w:revisionView w:markup="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IP_META_DOC_TBL00001" w:val="&lt;OBJECT&gt;&lt;META&gt;&lt;ID&gt;&lt;/ID&gt;&lt;NAME&gt;DOC_TBL00001&lt;/NAME&gt;&lt;TYPE&gt;&lt;ID&gt;19&lt;/ID&gt;&lt;FRIENDLYNAME&gt;Table&lt;/FRIENDLYNAME&gt;&lt;LABEL&gt;&lt;/LABEL&gt;&lt;/TYPE&gt;&lt;STATUS&gt;NEW&lt;/STATUS&gt;&lt;INFO&gt;&lt;/INFO&gt;&lt;/META&gt;&lt;UPDATE&gt;&lt;DATE&gt;&lt;/DATE&gt;&lt;/UPDATE&gt;&lt;QUERIES&gt;&lt;META&gt;&lt;DATAPROVIDER&gt;&lt;/DATAPROVIDER&gt;&lt;/META&gt;&lt;QUERY reftype=&quot;&quot; elmntsel=&quot;&quot;&gt;&lt;META&gt;&lt;REFERENCE&gt;&lt;/REFERENCE&gt;&lt;/META&gt;&lt;SELECT&gt;&lt;/SELECT&gt;&lt;FILTERS&gt;&lt;FILTER&gt;&lt;/FILTER&gt;&lt;/FILTERS&gt;&lt;/QUERY&gt;&lt;/QUERIES&gt;&lt;/OBJECT&gt;"/>
    <w:docVar w:name="BIP_NAME_DOC_TBL00001" w:val="DOC_TBL00001"/>
    <w:docVar w:name="DocStatus" w:val="Green"/>
    <w:docVar w:name="EPKit_DocumentHasBeenSaved" w:val="true"/>
    <w:docVar w:name="LW_CORRIGENDUM" w:val="&lt;UNUSED&gt;"/>
    <w:docVar w:name="LW_COVERPAGE_EXISTS" w:val="True"/>
    <w:docVar w:name="LW_COVERPAGE_GUID" w:val="56F18202-DF34-4C6A-9A1F-5038686A90FE"/>
    <w:docVar w:name="LW_COVERPAGE_TYPE" w:val="1"/>
    <w:docVar w:name="LW_CROSSREFERENCE" w:val="&lt;UNUSED&gt;"/>
    <w:docVar w:name="LW_DocType" w:val="NORMAL"/>
    <w:docVar w:name="LW_EMISSION" w:val="3.7.2026"/>
    <w:docVar w:name="LW_EMISSION_ISODATE" w:val="2026-07-03"/>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36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ong-term forecast of future inflows and outflows of the EU budget (2027-2034)"/>
    <w:docVar w:name="LW_TYPE.DOC.CP" w:val="REPORT FROM THE COMMISSION TO THE EUROPEAN PARLIAMENT AND THE COUNCIL"/>
    <w:docVar w:name="LwApiVersions" w:val="LW4CoDe 1.24.5.0; LW 9.2, Build 20251112"/>
  </w:docVars>
  <w:rsids>
    <w:rsidRoot w:val="00861C1C"/>
    <w:rsid w:val="00000084"/>
    <w:rsid w:val="0000049C"/>
    <w:rsid w:val="000006C8"/>
    <w:rsid w:val="00000A29"/>
    <w:rsid w:val="00000ABA"/>
    <w:rsid w:val="00000CC3"/>
    <w:rsid w:val="00001111"/>
    <w:rsid w:val="00001628"/>
    <w:rsid w:val="000016BA"/>
    <w:rsid w:val="0000173A"/>
    <w:rsid w:val="00001CB8"/>
    <w:rsid w:val="00002920"/>
    <w:rsid w:val="000031C6"/>
    <w:rsid w:val="000038B9"/>
    <w:rsid w:val="00003A3A"/>
    <w:rsid w:val="0000427E"/>
    <w:rsid w:val="000044B9"/>
    <w:rsid w:val="00004740"/>
    <w:rsid w:val="000049EE"/>
    <w:rsid w:val="00005289"/>
    <w:rsid w:val="00005B30"/>
    <w:rsid w:val="00005C72"/>
    <w:rsid w:val="000060EE"/>
    <w:rsid w:val="00006591"/>
    <w:rsid w:val="000065E5"/>
    <w:rsid w:val="000076D6"/>
    <w:rsid w:val="000078DA"/>
    <w:rsid w:val="00007927"/>
    <w:rsid w:val="00007AC4"/>
    <w:rsid w:val="00007BC5"/>
    <w:rsid w:val="00010499"/>
    <w:rsid w:val="0001064A"/>
    <w:rsid w:val="00010DF7"/>
    <w:rsid w:val="00010E4A"/>
    <w:rsid w:val="000116FD"/>
    <w:rsid w:val="00011B9A"/>
    <w:rsid w:val="000120AC"/>
    <w:rsid w:val="000121F6"/>
    <w:rsid w:val="00012859"/>
    <w:rsid w:val="000129A3"/>
    <w:rsid w:val="000129D9"/>
    <w:rsid w:val="00012A2F"/>
    <w:rsid w:val="00012A69"/>
    <w:rsid w:val="00012CFE"/>
    <w:rsid w:val="0001311A"/>
    <w:rsid w:val="0001333B"/>
    <w:rsid w:val="000133DA"/>
    <w:rsid w:val="00013455"/>
    <w:rsid w:val="000136FA"/>
    <w:rsid w:val="000138D0"/>
    <w:rsid w:val="00013B09"/>
    <w:rsid w:val="00013E11"/>
    <w:rsid w:val="000141FC"/>
    <w:rsid w:val="00014562"/>
    <w:rsid w:val="000149E8"/>
    <w:rsid w:val="00014AD4"/>
    <w:rsid w:val="0001532D"/>
    <w:rsid w:val="000154A5"/>
    <w:rsid w:val="000160AA"/>
    <w:rsid w:val="000166DB"/>
    <w:rsid w:val="00016A9C"/>
    <w:rsid w:val="00016CDF"/>
    <w:rsid w:val="00017155"/>
    <w:rsid w:val="000171F4"/>
    <w:rsid w:val="00017485"/>
    <w:rsid w:val="00017A93"/>
    <w:rsid w:val="000204A7"/>
    <w:rsid w:val="00020765"/>
    <w:rsid w:val="0002130B"/>
    <w:rsid w:val="000218A0"/>
    <w:rsid w:val="00021A1E"/>
    <w:rsid w:val="00021B76"/>
    <w:rsid w:val="00021BF4"/>
    <w:rsid w:val="00021C39"/>
    <w:rsid w:val="0002208B"/>
    <w:rsid w:val="000222C6"/>
    <w:rsid w:val="0002240C"/>
    <w:rsid w:val="00022828"/>
    <w:rsid w:val="00022929"/>
    <w:rsid w:val="00022B2C"/>
    <w:rsid w:val="00022C6A"/>
    <w:rsid w:val="00022CC8"/>
    <w:rsid w:val="000234DE"/>
    <w:rsid w:val="0002356E"/>
    <w:rsid w:val="00023846"/>
    <w:rsid w:val="00023933"/>
    <w:rsid w:val="0002421A"/>
    <w:rsid w:val="00024998"/>
    <w:rsid w:val="00024F5B"/>
    <w:rsid w:val="0002504F"/>
    <w:rsid w:val="000250D9"/>
    <w:rsid w:val="0002515B"/>
    <w:rsid w:val="000251AC"/>
    <w:rsid w:val="00025304"/>
    <w:rsid w:val="00025D24"/>
    <w:rsid w:val="00025E40"/>
    <w:rsid w:val="00026125"/>
    <w:rsid w:val="00026238"/>
    <w:rsid w:val="00026389"/>
    <w:rsid w:val="000264DA"/>
    <w:rsid w:val="000269EA"/>
    <w:rsid w:val="000275AB"/>
    <w:rsid w:val="00027D7F"/>
    <w:rsid w:val="00030372"/>
    <w:rsid w:val="00030492"/>
    <w:rsid w:val="00030655"/>
    <w:rsid w:val="000307A6"/>
    <w:rsid w:val="000308B5"/>
    <w:rsid w:val="0003120C"/>
    <w:rsid w:val="000312DE"/>
    <w:rsid w:val="0003131C"/>
    <w:rsid w:val="0003141A"/>
    <w:rsid w:val="000317A0"/>
    <w:rsid w:val="00031960"/>
    <w:rsid w:val="00031DEF"/>
    <w:rsid w:val="00032124"/>
    <w:rsid w:val="000323B5"/>
    <w:rsid w:val="00032437"/>
    <w:rsid w:val="00032FDA"/>
    <w:rsid w:val="00033473"/>
    <w:rsid w:val="00033614"/>
    <w:rsid w:val="00033691"/>
    <w:rsid w:val="0003394A"/>
    <w:rsid w:val="00033ED2"/>
    <w:rsid w:val="00033FA1"/>
    <w:rsid w:val="0003416D"/>
    <w:rsid w:val="00034699"/>
    <w:rsid w:val="000347AC"/>
    <w:rsid w:val="000347D7"/>
    <w:rsid w:val="000348CD"/>
    <w:rsid w:val="000349AC"/>
    <w:rsid w:val="00034BBD"/>
    <w:rsid w:val="00034DE6"/>
    <w:rsid w:val="00034DED"/>
    <w:rsid w:val="00034E69"/>
    <w:rsid w:val="00035027"/>
    <w:rsid w:val="0003512E"/>
    <w:rsid w:val="0003526F"/>
    <w:rsid w:val="00035687"/>
    <w:rsid w:val="00035780"/>
    <w:rsid w:val="0003581B"/>
    <w:rsid w:val="000359A2"/>
    <w:rsid w:val="00035A48"/>
    <w:rsid w:val="00035C52"/>
    <w:rsid w:val="000368CE"/>
    <w:rsid w:val="00036927"/>
    <w:rsid w:val="000369CD"/>
    <w:rsid w:val="00037063"/>
    <w:rsid w:val="00037080"/>
    <w:rsid w:val="000372D4"/>
    <w:rsid w:val="0003754E"/>
    <w:rsid w:val="000401E3"/>
    <w:rsid w:val="000404F5"/>
    <w:rsid w:val="0004056F"/>
    <w:rsid w:val="00040958"/>
    <w:rsid w:val="00040C10"/>
    <w:rsid w:val="00041326"/>
    <w:rsid w:val="00041435"/>
    <w:rsid w:val="000415FD"/>
    <w:rsid w:val="000416EA"/>
    <w:rsid w:val="00041CFB"/>
    <w:rsid w:val="00041D38"/>
    <w:rsid w:val="00042043"/>
    <w:rsid w:val="000420CA"/>
    <w:rsid w:val="00042328"/>
    <w:rsid w:val="0004237E"/>
    <w:rsid w:val="00042F93"/>
    <w:rsid w:val="00043ADE"/>
    <w:rsid w:val="000445AF"/>
    <w:rsid w:val="000450B9"/>
    <w:rsid w:val="0004515C"/>
    <w:rsid w:val="00045447"/>
    <w:rsid w:val="000455FA"/>
    <w:rsid w:val="0004577E"/>
    <w:rsid w:val="00045874"/>
    <w:rsid w:val="00045929"/>
    <w:rsid w:val="00046222"/>
    <w:rsid w:val="00046419"/>
    <w:rsid w:val="000465DC"/>
    <w:rsid w:val="00046678"/>
    <w:rsid w:val="00046765"/>
    <w:rsid w:val="00046A82"/>
    <w:rsid w:val="00046C5B"/>
    <w:rsid w:val="00046DD1"/>
    <w:rsid w:val="00046F0D"/>
    <w:rsid w:val="0004739D"/>
    <w:rsid w:val="00047698"/>
    <w:rsid w:val="000479B8"/>
    <w:rsid w:val="00047AA3"/>
    <w:rsid w:val="00047B85"/>
    <w:rsid w:val="00047D98"/>
    <w:rsid w:val="00047DC6"/>
    <w:rsid w:val="00047E39"/>
    <w:rsid w:val="00047F43"/>
    <w:rsid w:val="00050030"/>
    <w:rsid w:val="000504A1"/>
    <w:rsid w:val="00050F88"/>
    <w:rsid w:val="00051114"/>
    <w:rsid w:val="0005137F"/>
    <w:rsid w:val="000518C1"/>
    <w:rsid w:val="00051947"/>
    <w:rsid w:val="00051EC2"/>
    <w:rsid w:val="00051FEE"/>
    <w:rsid w:val="000524D3"/>
    <w:rsid w:val="00052918"/>
    <w:rsid w:val="0005329A"/>
    <w:rsid w:val="00053368"/>
    <w:rsid w:val="0005372A"/>
    <w:rsid w:val="00053911"/>
    <w:rsid w:val="000545C8"/>
    <w:rsid w:val="00054867"/>
    <w:rsid w:val="00054A4B"/>
    <w:rsid w:val="00055193"/>
    <w:rsid w:val="0005527E"/>
    <w:rsid w:val="000554B6"/>
    <w:rsid w:val="000555E8"/>
    <w:rsid w:val="00055606"/>
    <w:rsid w:val="00055626"/>
    <w:rsid w:val="00055777"/>
    <w:rsid w:val="00056482"/>
    <w:rsid w:val="000564D5"/>
    <w:rsid w:val="000568FA"/>
    <w:rsid w:val="00056B8F"/>
    <w:rsid w:val="00056C3C"/>
    <w:rsid w:val="000572D1"/>
    <w:rsid w:val="0005737A"/>
    <w:rsid w:val="000574A3"/>
    <w:rsid w:val="00057816"/>
    <w:rsid w:val="00057D47"/>
    <w:rsid w:val="00057D8B"/>
    <w:rsid w:val="00057FC1"/>
    <w:rsid w:val="000602FA"/>
    <w:rsid w:val="00060671"/>
    <w:rsid w:val="000606B3"/>
    <w:rsid w:val="00060745"/>
    <w:rsid w:val="0006097B"/>
    <w:rsid w:val="000610C7"/>
    <w:rsid w:val="00061293"/>
    <w:rsid w:val="000618A9"/>
    <w:rsid w:val="00061A1D"/>
    <w:rsid w:val="00061A38"/>
    <w:rsid w:val="00061E61"/>
    <w:rsid w:val="00061E74"/>
    <w:rsid w:val="00062399"/>
    <w:rsid w:val="0006292D"/>
    <w:rsid w:val="00062A09"/>
    <w:rsid w:val="00062ECB"/>
    <w:rsid w:val="00062FF7"/>
    <w:rsid w:val="000638F9"/>
    <w:rsid w:val="00064624"/>
    <w:rsid w:val="00064732"/>
    <w:rsid w:val="00064987"/>
    <w:rsid w:val="00064E2B"/>
    <w:rsid w:val="00064E5D"/>
    <w:rsid w:val="00065814"/>
    <w:rsid w:val="00065B6B"/>
    <w:rsid w:val="00066052"/>
    <w:rsid w:val="000662F1"/>
    <w:rsid w:val="00066549"/>
    <w:rsid w:val="000665D4"/>
    <w:rsid w:val="00066699"/>
    <w:rsid w:val="000668DD"/>
    <w:rsid w:val="00066964"/>
    <w:rsid w:val="00066994"/>
    <w:rsid w:val="00066CA9"/>
    <w:rsid w:val="00066D7C"/>
    <w:rsid w:val="00066F44"/>
    <w:rsid w:val="00067075"/>
    <w:rsid w:val="0006716E"/>
    <w:rsid w:val="00067470"/>
    <w:rsid w:val="00067D7E"/>
    <w:rsid w:val="00067EAC"/>
    <w:rsid w:val="00067F0D"/>
    <w:rsid w:val="00070083"/>
    <w:rsid w:val="000701AA"/>
    <w:rsid w:val="000708A2"/>
    <w:rsid w:val="000709C9"/>
    <w:rsid w:val="00070A1F"/>
    <w:rsid w:val="00070A92"/>
    <w:rsid w:val="00070AB2"/>
    <w:rsid w:val="00070B44"/>
    <w:rsid w:val="00070B9D"/>
    <w:rsid w:val="00070ED5"/>
    <w:rsid w:val="00071098"/>
    <w:rsid w:val="0007179C"/>
    <w:rsid w:val="00071890"/>
    <w:rsid w:val="00071C29"/>
    <w:rsid w:val="000720E1"/>
    <w:rsid w:val="000730B3"/>
    <w:rsid w:val="00073220"/>
    <w:rsid w:val="0007330F"/>
    <w:rsid w:val="000734B5"/>
    <w:rsid w:val="00073D47"/>
    <w:rsid w:val="000742E1"/>
    <w:rsid w:val="00074316"/>
    <w:rsid w:val="000743C1"/>
    <w:rsid w:val="000744DC"/>
    <w:rsid w:val="0007454A"/>
    <w:rsid w:val="00074599"/>
    <w:rsid w:val="000745D3"/>
    <w:rsid w:val="000745FE"/>
    <w:rsid w:val="00074948"/>
    <w:rsid w:val="000749D8"/>
    <w:rsid w:val="00074BB5"/>
    <w:rsid w:val="00074BC0"/>
    <w:rsid w:val="00074C13"/>
    <w:rsid w:val="00074CAE"/>
    <w:rsid w:val="00074F20"/>
    <w:rsid w:val="0007529A"/>
    <w:rsid w:val="000758D3"/>
    <w:rsid w:val="00075C07"/>
    <w:rsid w:val="00075C95"/>
    <w:rsid w:val="00075CC3"/>
    <w:rsid w:val="00076BF1"/>
    <w:rsid w:val="00076F21"/>
    <w:rsid w:val="00077191"/>
    <w:rsid w:val="0007743B"/>
    <w:rsid w:val="00077A8D"/>
    <w:rsid w:val="00077BC2"/>
    <w:rsid w:val="000800DE"/>
    <w:rsid w:val="00080427"/>
    <w:rsid w:val="0008086D"/>
    <w:rsid w:val="000808B7"/>
    <w:rsid w:val="000808C7"/>
    <w:rsid w:val="00080BDF"/>
    <w:rsid w:val="00080D1F"/>
    <w:rsid w:val="00080E68"/>
    <w:rsid w:val="0008152E"/>
    <w:rsid w:val="00081986"/>
    <w:rsid w:val="00081991"/>
    <w:rsid w:val="00081A23"/>
    <w:rsid w:val="00081AF3"/>
    <w:rsid w:val="00081D8B"/>
    <w:rsid w:val="00081EA0"/>
    <w:rsid w:val="00082240"/>
    <w:rsid w:val="000823CB"/>
    <w:rsid w:val="00082D5D"/>
    <w:rsid w:val="00082EA6"/>
    <w:rsid w:val="0008328F"/>
    <w:rsid w:val="00083738"/>
    <w:rsid w:val="00083825"/>
    <w:rsid w:val="00083D3B"/>
    <w:rsid w:val="00084648"/>
    <w:rsid w:val="0008481E"/>
    <w:rsid w:val="00084C5A"/>
    <w:rsid w:val="00084E4F"/>
    <w:rsid w:val="00084FDF"/>
    <w:rsid w:val="00085497"/>
    <w:rsid w:val="00085A68"/>
    <w:rsid w:val="00085BAD"/>
    <w:rsid w:val="00085BBB"/>
    <w:rsid w:val="00086654"/>
    <w:rsid w:val="000869E8"/>
    <w:rsid w:val="00087161"/>
    <w:rsid w:val="00087931"/>
    <w:rsid w:val="00087B75"/>
    <w:rsid w:val="00087CC4"/>
    <w:rsid w:val="00087D9E"/>
    <w:rsid w:val="00087DB3"/>
    <w:rsid w:val="00087E64"/>
    <w:rsid w:val="00090774"/>
    <w:rsid w:val="00090941"/>
    <w:rsid w:val="00090942"/>
    <w:rsid w:val="00090B24"/>
    <w:rsid w:val="00090BBD"/>
    <w:rsid w:val="000910BD"/>
    <w:rsid w:val="000913AB"/>
    <w:rsid w:val="0009143F"/>
    <w:rsid w:val="000915EB"/>
    <w:rsid w:val="00091DEE"/>
    <w:rsid w:val="00091E21"/>
    <w:rsid w:val="00091E6C"/>
    <w:rsid w:val="000922B4"/>
    <w:rsid w:val="00092371"/>
    <w:rsid w:val="0009281B"/>
    <w:rsid w:val="000929A2"/>
    <w:rsid w:val="00092C16"/>
    <w:rsid w:val="00092CEE"/>
    <w:rsid w:val="00093323"/>
    <w:rsid w:val="000935DC"/>
    <w:rsid w:val="00093736"/>
    <w:rsid w:val="000938FC"/>
    <w:rsid w:val="00093A93"/>
    <w:rsid w:val="00093CB9"/>
    <w:rsid w:val="00093D75"/>
    <w:rsid w:val="00093FB0"/>
    <w:rsid w:val="0009415B"/>
    <w:rsid w:val="000943D1"/>
    <w:rsid w:val="000948AE"/>
    <w:rsid w:val="00094C0E"/>
    <w:rsid w:val="00094C1B"/>
    <w:rsid w:val="00094F80"/>
    <w:rsid w:val="00095E62"/>
    <w:rsid w:val="00096193"/>
    <w:rsid w:val="00096199"/>
    <w:rsid w:val="0009640A"/>
    <w:rsid w:val="000965ED"/>
    <w:rsid w:val="00096E57"/>
    <w:rsid w:val="000974A7"/>
    <w:rsid w:val="000975BF"/>
    <w:rsid w:val="000978A9"/>
    <w:rsid w:val="000978AC"/>
    <w:rsid w:val="00097BCE"/>
    <w:rsid w:val="000A00D5"/>
    <w:rsid w:val="000A0266"/>
    <w:rsid w:val="000A0959"/>
    <w:rsid w:val="000A0C93"/>
    <w:rsid w:val="000A0EDD"/>
    <w:rsid w:val="000A0FBF"/>
    <w:rsid w:val="000A1D7E"/>
    <w:rsid w:val="000A1F9F"/>
    <w:rsid w:val="000A1FB6"/>
    <w:rsid w:val="000A2830"/>
    <w:rsid w:val="000A2BF8"/>
    <w:rsid w:val="000A2D2A"/>
    <w:rsid w:val="000A327D"/>
    <w:rsid w:val="000A3407"/>
    <w:rsid w:val="000A353D"/>
    <w:rsid w:val="000A36C4"/>
    <w:rsid w:val="000A370D"/>
    <w:rsid w:val="000A3909"/>
    <w:rsid w:val="000A3928"/>
    <w:rsid w:val="000A3C77"/>
    <w:rsid w:val="000A3D27"/>
    <w:rsid w:val="000A429A"/>
    <w:rsid w:val="000A43A6"/>
    <w:rsid w:val="000A447A"/>
    <w:rsid w:val="000A4481"/>
    <w:rsid w:val="000A44D1"/>
    <w:rsid w:val="000A492F"/>
    <w:rsid w:val="000A4EE2"/>
    <w:rsid w:val="000A508B"/>
    <w:rsid w:val="000A537B"/>
    <w:rsid w:val="000A541F"/>
    <w:rsid w:val="000A55BB"/>
    <w:rsid w:val="000A55CE"/>
    <w:rsid w:val="000A57B5"/>
    <w:rsid w:val="000A5E1F"/>
    <w:rsid w:val="000A612F"/>
    <w:rsid w:val="000A6162"/>
    <w:rsid w:val="000A618C"/>
    <w:rsid w:val="000A6B20"/>
    <w:rsid w:val="000A6C44"/>
    <w:rsid w:val="000A6E7C"/>
    <w:rsid w:val="000A747D"/>
    <w:rsid w:val="000A7546"/>
    <w:rsid w:val="000A774A"/>
    <w:rsid w:val="000A7761"/>
    <w:rsid w:val="000B0645"/>
    <w:rsid w:val="000B081F"/>
    <w:rsid w:val="000B0C18"/>
    <w:rsid w:val="000B0DE2"/>
    <w:rsid w:val="000B0E7B"/>
    <w:rsid w:val="000B119F"/>
    <w:rsid w:val="000B1704"/>
    <w:rsid w:val="000B19D8"/>
    <w:rsid w:val="000B1D39"/>
    <w:rsid w:val="000B21E8"/>
    <w:rsid w:val="000B22F4"/>
    <w:rsid w:val="000B26C8"/>
    <w:rsid w:val="000B2A7A"/>
    <w:rsid w:val="000B32D8"/>
    <w:rsid w:val="000B37BC"/>
    <w:rsid w:val="000B455D"/>
    <w:rsid w:val="000B4DE2"/>
    <w:rsid w:val="000B557F"/>
    <w:rsid w:val="000B587F"/>
    <w:rsid w:val="000B590E"/>
    <w:rsid w:val="000B5B5B"/>
    <w:rsid w:val="000B5D89"/>
    <w:rsid w:val="000B5D95"/>
    <w:rsid w:val="000B6738"/>
    <w:rsid w:val="000B6B5A"/>
    <w:rsid w:val="000B713E"/>
    <w:rsid w:val="000B716E"/>
    <w:rsid w:val="000B74AC"/>
    <w:rsid w:val="000B7556"/>
    <w:rsid w:val="000B7800"/>
    <w:rsid w:val="000B7BB2"/>
    <w:rsid w:val="000B7BC0"/>
    <w:rsid w:val="000C0170"/>
    <w:rsid w:val="000C01C5"/>
    <w:rsid w:val="000C0236"/>
    <w:rsid w:val="000C028A"/>
    <w:rsid w:val="000C0A0B"/>
    <w:rsid w:val="000C0B70"/>
    <w:rsid w:val="000C0E5F"/>
    <w:rsid w:val="000C12C9"/>
    <w:rsid w:val="000C16B7"/>
    <w:rsid w:val="000C1AFD"/>
    <w:rsid w:val="000C216A"/>
    <w:rsid w:val="000C2486"/>
    <w:rsid w:val="000C255E"/>
    <w:rsid w:val="000C29EF"/>
    <w:rsid w:val="000C2BF2"/>
    <w:rsid w:val="000C2E30"/>
    <w:rsid w:val="000C3008"/>
    <w:rsid w:val="000C304E"/>
    <w:rsid w:val="000C3509"/>
    <w:rsid w:val="000C3988"/>
    <w:rsid w:val="000C3D54"/>
    <w:rsid w:val="000C3D97"/>
    <w:rsid w:val="000C3F19"/>
    <w:rsid w:val="000C3FEB"/>
    <w:rsid w:val="000C4144"/>
    <w:rsid w:val="000C4176"/>
    <w:rsid w:val="000C45E0"/>
    <w:rsid w:val="000C4AED"/>
    <w:rsid w:val="000C5260"/>
    <w:rsid w:val="000C5746"/>
    <w:rsid w:val="000C59D1"/>
    <w:rsid w:val="000C5D10"/>
    <w:rsid w:val="000C5EC9"/>
    <w:rsid w:val="000C60E2"/>
    <w:rsid w:val="000C6795"/>
    <w:rsid w:val="000C6BDD"/>
    <w:rsid w:val="000C710C"/>
    <w:rsid w:val="000C719C"/>
    <w:rsid w:val="000C745D"/>
    <w:rsid w:val="000C790B"/>
    <w:rsid w:val="000C7984"/>
    <w:rsid w:val="000D0543"/>
    <w:rsid w:val="000D0C52"/>
    <w:rsid w:val="000D0CAC"/>
    <w:rsid w:val="000D0CC4"/>
    <w:rsid w:val="000D0D5F"/>
    <w:rsid w:val="000D0DD8"/>
    <w:rsid w:val="000D11F5"/>
    <w:rsid w:val="000D12F6"/>
    <w:rsid w:val="000D2268"/>
    <w:rsid w:val="000D24A0"/>
    <w:rsid w:val="000D256C"/>
    <w:rsid w:val="000D29CE"/>
    <w:rsid w:val="000D2DB2"/>
    <w:rsid w:val="000D30AF"/>
    <w:rsid w:val="000D33A2"/>
    <w:rsid w:val="000D33AA"/>
    <w:rsid w:val="000D3804"/>
    <w:rsid w:val="000D3854"/>
    <w:rsid w:val="000D3B83"/>
    <w:rsid w:val="000D3BA2"/>
    <w:rsid w:val="000D414F"/>
    <w:rsid w:val="000D4241"/>
    <w:rsid w:val="000D4675"/>
    <w:rsid w:val="000D49E4"/>
    <w:rsid w:val="000D4F3B"/>
    <w:rsid w:val="000D5073"/>
    <w:rsid w:val="000D5D71"/>
    <w:rsid w:val="000D69C5"/>
    <w:rsid w:val="000D6B02"/>
    <w:rsid w:val="000D70ED"/>
    <w:rsid w:val="000D730A"/>
    <w:rsid w:val="000D761E"/>
    <w:rsid w:val="000D7C39"/>
    <w:rsid w:val="000E0051"/>
    <w:rsid w:val="000E043B"/>
    <w:rsid w:val="000E049E"/>
    <w:rsid w:val="000E0738"/>
    <w:rsid w:val="000E08AC"/>
    <w:rsid w:val="000E094F"/>
    <w:rsid w:val="000E09A9"/>
    <w:rsid w:val="000E0A97"/>
    <w:rsid w:val="000E0B29"/>
    <w:rsid w:val="000E0B7C"/>
    <w:rsid w:val="000E0E21"/>
    <w:rsid w:val="000E1883"/>
    <w:rsid w:val="000E1C22"/>
    <w:rsid w:val="000E1CFD"/>
    <w:rsid w:val="000E1D7F"/>
    <w:rsid w:val="000E1FA5"/>
    <w:rsid w:val="000E2508"/>
    <w:rsid w:val="000E282C"/>
    <w:rsid w:val="000E333B"/>
    <w:rsid w:val="000E3677"/>
    <w:rsid w:val="000E3863"/>
    <w:rsid w:val="000E3BCE"/>
    <w:rsid w:val="000E3C1A"/>
    <w:rsid w:val="000E3D37"/>
    <w:rsid w:val="000E4004"/>
    <w:rsid w:val="000E4651"/>
    <w:rsid w:val="000E4EE5"/>
    <w:rsid w:val="000E4F78"/>
    <w:rsid w:val="000E505C"/>
    <w:rsid w:val="000E5608"/>
    <w:rsid w:val="000E5642"/>
    <w:rsid w:val="000E5A46"/>
    <w:rsid w:val="000E661D"/>
    <w:rsid w:val="000E6CBD"/>
    <w:rsid w:val="000E6D78"/>
    <w:rsid w:val="000E6E2D"/>
    <w:rsid w:val="000E704D"/>
    <w:rsid w:val="000E7070"/>
    <w:rsid w:val="000E7211"/>
    <w:rsid w:val="000E76F7"/>
    <w:rsid w:val="000E7768"/>
    <w:rsid w:val="000E78EC"/>
    <w:rsid w:val="000E7C8E"/>
    <w:rsid w:val="000E7CF4"/>
    <w:rsid w:val="000F0036"/>
    <w:rsid w:val="000F03F6"/>
    <w:rsid w:val="000F079D"/>
    <w:rsid w:val="000F0AC0"/>
    <w:rsid w:val="000F0C6F"/>
    <w:rsid w:val="000F0D09"/>
    <w:rsid w:val="000F0EC4"/>
    <w:rsid w:val="000F0ED7"/>
    <w:rsid w:val="000F0F55"/>
    <w:rsid w:val="000F0FD4"/>
    <w:rsid w:val="000F1252"/>
    <w:rsid w:val="000F16BF"/>
    <w:rsid w:val="000F19BC"/>
    <w:rsid w:val="000F1B6B"/>
    <w:rsid w:val="000F1B8E"/>
    <w:rsid w:val="000F1C4D"/>
    <w:rsid w:val="000F2B22"/>
    <w:rsid w:val="000F2C66"/>
    <w:rsid w:val="000F3399"/>
    <w:rsid w:val="000F3405"/>
    <w:rsid w:val="000F3B85"/>
    <w:rsid w:val="000F4076"/>
    <w:rsid w:val="000F47C5"/>
    <w:rsid w:val="000F483E"/>
    <w:rsid w:val="000F533A"/>
    <w:rsid w:val="000F5600"/>
    <w:rsid w:val="000F57E0"/>
    <w:rsid w:val="000F589D"/>
    <w:rsid w:val="000F5B3B"/>
    <w:rsid w:val="000F5E7C"/>
    <w:rsid w:val="000F6403"/>
    <w:rsid w:val="000F73DF"/>
    <w:rsid w:val="000F7C27"/>
    <w:rsid w:val="000F7FC2"/>
    <w:rsid w:val="000F7FE0"/>
    <w:rsid w:val="000FF74C"/>
    <w:rsid w:val="001003B0"/>
    <w:rsid w:val="001004DB"/>
    <w:rsid w:val="00100819"/>
    <w:rsid w:val="00100F4A"/>
    <w:rsid w:val="001015FB"/>
    <w:rsid w:val="0010199A"/>
    <w:rsid w:val="00101A15"/>
    <w:rsid w:val="00101BDF"/>
    <w:rsid w:val="00101C7E"/>
    <w:rsid w:val="00101D97"/>
    <w:rsid w:val="00101F0F"/>
    <w:rsid w:val="00102AE9"/>
    <w:rsid w:val="00102BA0"/>
    <w:rsid w:val="00102EA5"/>
    <w:rsid w:val="0010345E"/>
    <w:rsid w:val="00103527"/>
    <w:rsid w:val="00103668"/>
    <w:rsid w:val="0010393C"/>
    <w:rsid w:val="00103AB5"/>
    <w:rsid w:val="00103D4F"/>
    <w:rsid w:val="00103E2B"/>
    <w:rsid w:val="00103EBF"/>
    <w:rsid w:val="00104CCB"/>
    <w:rsid w:val="00105276"/>
    <w:rsid w:val="00105396"/>
    <w:rsid w:val="001058B3"/>
    <w:rsid w:val="0010648A"/>
    <w:rsid w:val="0010689B"/>
    <w:rsid w:val="00106D51"/>
    <w:rsid w:val="00106E8F"/>
    <w:rsid w:val="00107274"/>
    <w:rsid w:val="00107282"/>
    <w:rsid w:val="0010744F"/>
    <w:rsid w:val="001079FD"/>
    <w:rsid w:val="001079FF"/>
    <w:rsid w:val="00107B6A"/>
    <w:rsid w:val="00107B7A"/>
    <w:rsid w:val="00107D30"/>
    <w:rsid w:val="00107DE5"/>
    <w:rsid w:val="001104DC"/>
    <w:rsid w:val="001104FB"/>
    <w:rsid w:val="0011054B"/>
    <w:rsid w:val="00110615"/>
    <w:rsid w:val="00110887"/>
    <w:rsid w:val="001109BE"/>
    <w:rsid w:val="00110D03"/>
    <w:rsid w:val="00110DAD"/>
    <w:rsid w:val="0011112E"/>
    <w:rsid w:val="001113C8"/>
    <w:rsid w:val="001118B7"/>
    <w:rsid w:val="00111A24"/>
    <w:rsid w:val="00111C38"/>
    <w:rsid w:val="00111E6F"/>
    <w:rsid w:val="00112098"/>
    <w:rsid w:val="00112997"/>
    <w:rsid w:val="00112A92"/>
    <w:rsid w:val="00112B10"/>
    <w:rsid w:val="00112CEC"/>
    <w:rsid w:val="00113401"/>
    <w:rsid w:val="00113604"/>
    <w:rsid w:val="00113F07"/>
    <w:rsid w:val="0011452D"/>
    <w:rsid w:val="00114742"/>
    <w:rsid w:val="00114BE9"/>
    <w:rsid w:val="00114C36"/>
    <w:rsid w:val="001151CE"/>
    <w:rsid w:val="001152A0"/>
    <w:rsid w:val="0011536A"/>
    <w:rsid w:val="001158D7"/>
    <w:rsid w:val="00115C0B"/>
    <w:rsid w:val="0011621C"/>
    <w:rsid w:val="00116234"/>
    <w:rsid w:val="001163D7"/>
    <w:rsid w:val="00116543"/>
    <w:rsid w:val="00116765"/>
    <w:rsid w:val="0011721E"/>
    <w:rsid w:val="00117494"/>
    <w:rsid w:val="0011764A"/>
    <w:rsid w:val="001178BE"/>
    <w:rsid w:val="00117CCE"/>
    <w:rsid w:val="00117E8C"/>
    <w:rsid w:val="0012084A"/>
    <w:rsid w:val="00120992"/>
    <w:rsid w:val="00120A35"/>
    <w:rsid w:val="00121371"/>
    <w:rsid w:val="00121624"/>
    <w:rsid w:val="00121825"/>
    <w:rsid w:val="00121872"/>
    <w:rsid w:val="00121C4E"/>
    <w:rsid w:val="00121E96"/>
    <w:rsid w:val="00121F08"/>
    <w:rsid w:val="00122108"/>
    <w:rsid w:val="00122173"/>
    <w:rsid w:val="001226D8"/>
    <w:rsid w:val="0012270B"/>
    <w:rsid w:val="001229C2"/>
    <w:rsid w:val="00123619"/>
    <w:rsid w:val="0012367F"/>
    <w:rsid w:val="00123B55"/>
    <w:rsid w:val="00123CCC"/>
    <w:rsid w:val="00123DED"/>
    <w:rsid w:val="00123E35"/>
    <w:rsid w:val="0012444D"/>
    <w:rsid w:val="0012451B"/>
    <w:rsid w:val="00124B49"/>
    <w:rsid w:val="00125185"/>
    <w:rsid w:val="00125196"/>
    <w:rsid w:val="00125427"/>
    <w:rsid w:val="0012555E"/>
    <w:rsid w:val="001256CF"/>
    <w:rsid w:val="001259FC"/>
    <w:rsid w:val="00125F6C"/>
    <w:rsid w:val="00126030"/>
    <w:rsid w:val="001265D5"/>
    <w:rsid w:val="001268F8"/>
    <w:rsid w:val="00126EBC"/>
    <w:rsid w:val="0012728A"/>
    <w:rsid w:val="001272C6"/>
    <w:rsid w:val="001277EF"/>
    <w:rsid w:val="001278BA"/>
    <w:rsid w:val="00127E20"/>
    <w:rsid w:val="00130297"/>
    <w:rsid w:val="001302AB"/>
    <w:rsid w:val="0013033B"/>
    <w:rsid w:val="00130570"/>
    <w:rsid w:val="001305D4"/>
    <w:rsid w:val="0013061F"/>
    <w:rsid w:val="0013080F"/>
    <w:rsid w:val="00130C93"/>
    <w:rsid w:val="00130E13"/>
    <w:rsid w:val="00130F58"/>
    <w:rsid w:val="001312A1"/>
    <w:rsid w:val="001312CB"/>
    <w:rsid w:val="00131691"/>
    <w:rsid w:val="00131A1A"/>
    <w:rsid w:val="00131BAA"/>
    <w:rsid w:val="00131BC4"/>
    <w:rsid w:val="00131C3D"/>
    <w:rsid w:val="001324A5"/>
    <w:rsid w:val="001330B6"/>
    <w:rsid w:val="001333DB"/>
    <w:rsid w:val="0013387B"/>
    <w:rsid w:val="00133888"/>
    <w:rsid w:val="001338BC"/>
    <w:rsid w:val="00133919"/>
    <w:rsid w:val="00133C0C"/>
    <w:rsid w:val="00133D6B"/>
    <w:rsid w:val="001341AF"/>
    <w:rsid w:val="00134393"/>
    <w:rsid w:val="00134495"/>
    <w:rsid w:val="00134526"/>
    <w:rsid w:val="001346F7"/>
    <w:rsid w:val="00134AB5"/>
    <w:rsid w:val="00134B85"/>
    <w:rsid w:val="001354E7"/>
    <w:rsid w:val="00135507"/>
    <w:rsid w:val="00135A8C"/>
    <w:rsid w:val="001362B9"/>
    <w:rsid w:val="001363EF"/>
    <w:rsid w:val="001366AA"/>
    <w:rsid w:val="001367DD"/>
    <w:rsid w:val="00136A7A"/>
    <w:rsid w:val="0013760E"/>
    <w:rsid w:val="0013789C"/>
    <w:rsid w:val="001406A5"/>
    <w:rsid w:val="001408C7"/>
    <w:rsid w:val="001409CB"/>
    <w:rsid w:val="00140A5B"/>
    <w:rsid w:val="00140C66"/>
    <w:rsid w:val="00140F3D"/>
    <w:rsid w:val="00141993"/>
    <w:rsid w:val="001419CC"/>
    <w:rsid w:val="00141D62"/>
    <w:rsid w:val="00141EFF"/>
    <w:rsid w:val="0014232A"/>
    <w:rsid w:val="001425F5"/>
    <w:rsid w:val="0014289A"/>
    <w:rsid w:val="00143176"/>
    <w:rsid w:val="001435D9"/>
    <w:rsid w:val="001435E2"/>
    <w:rsid w:val="00143809"/>
    <w:rsid w:val="001442CD"/>
    <w:rsid w:val="001442E5"/>
    <w:rsid w:val="001444AB"/>
    <w:rsid w:val="00144D2D"/>
    <w:rsid w:val="00145414"/>
    <w:rsid w:val="001458C2"/>
    <w:rsid w:val="00145DC3"/>
    <w:rsid w:val="00145E04"/>
    <w:rsid w:val="0014672C"/>
    <w:rsid w:val="00146FB5"/>
    <w:rsid w:val="00147153"/>
    <w:rsid w:val="00147C2D"/>
    <w:rsid w:val="00147C53"/>
    <w:rsid w:val="00147D5C"/>
    <w:rsid w:val="00147DC3"/>
    <w:rsid w:val="001500D7"/>
    <w:rsid w:val="00150326"/>
    <w:rsid w:val="001506F3"/>
    <w:rsid w:val="00150CDA"/>
    <w:rsid w:val="00150D53"/>
    <w:rsid w:val="0015139C"/>
    <w:rsid w:val="001513FC"/>
    <w:rsid w:val="0015140C"/>
    <w:rsid w:val="001514C1"/>
    <w:rsid w:val="001522E0"/>
    <w:rsid w:val="0015255E"/>
    <w:rsid w:val="0015276F"/>
    <w:rsid w:val="00152ABF"/>
    <w:rsid w:val="00153186"/>
    <w:rsid w:val="0015329B"/>
    <w:rsid w:val="001532A0"/>
    <w:rsid w:val="00153364"/>
    <w:rsid w:val="0015341B"/>
    <w:rsid w:val="00153799"/>
    <w:rsid w:val="00153ACE"/>
    <w:rsid w:val="00153C23"/>
    <w:rsid w:val="00154046"/>
    <w:rsid w:val="00154784"/>
    <w:rsid w:val="0015499C"/>
    <w:rsid w:val="00154AA0"/>
    <w:rsid w:val="00154B38"/>
    <w:rsid w:val="00154BB1"/>
    <w:rsid w:val="00154D0B"/>
    <w:rsid w:val="00155004"/>
    <w:rsid w:val="00155439"/>
    <w:rsid w:val="00155894"/>
    <w:rsid w:val="00155F33"/>
    <w:rsid w:val="00155F90"/>
    <w:rsid w:val="0015627B"/>
    <w:rsid w:val="001564C3"/>
    <w:rsid w:val="00156A07"/>
    <w:rsid w:val="00156A43"/>
    <w:rsid w:val="00156A98"/>
    <w:rsid w:val="00156ACF"/>
    <w:rsid w:val="00156DB7"/>
    <w:rsid w:val="00157914"/>
    <w:rsid w:val="00157E6F"/>
    <w:rsid w:val="00157EB7"/>
    <w:rsid w:val="001600D5"/>
    <w:rsid w:val="0016015A"/>
    <w:rsid w:val="00160213"/>
    <w:rsid w:val="001604B0"/>
    <w:rsid w:val="001606E3"/>
    <w:rsid w:val="00160AC8"/>
    <w:rsid w:val="00160CE3"/>
    <w:rsid w:val="00161198"/>
    <w:rsid w:val="001614C1"/>
    <w:rsid w:val="001616DD"/>
    <w:rsid w:val="00161995"/>
    <w:rsid w:val="00161E51"/>
    <w:rsid w:val="0016215F"/>
    <w:rsid w:val="001623E1"/>
    <w:rsid w:val="00162462"/>
    <w:rsid w:val="00162AB2"/>
    <w:rsid w:val="00162B6B"/>
    <w:rsid w:val="00162B95"/>
    <w:rsid w:val="0016305F"/>
    <w:rsid w:val="00163375"/>
    <w:rsid w:val="00163427"/>
    <w:rsid w:val="00163FBD"/>
    <w:rsid w:val="00164013"/>
    <w:rsid w:val="0016421D"/>
    <w:rsid w:val="00164270"/>
    <w:rsid w:val="001643B2"/>
    <w:rsid w:val="001645FF"/>
    <w:rsid w:val="00164A6B"/>
    <w:rsid w:val="00164E0D"/>
    <w:rsid w:val="00164EE1"/>
    <w:rsid w:val="00165115"/>
    <w:rsid w:val="001653C9"/>
    <w:rsid w:val="00165480"/>
    <w:rsid w:val="00165893"/>
    <w:rsid w:val="00165902"/>
    <w:rsid w:val="00165BC1"/>
    <w:rsid w:val="00165CB5"/>
    <w:rsid w:val="00165DDF"/>
    <w:rsid w:val="00166293"/>
    <w:rsid w:val="0016683D"/>
    <w:rsid w:val="0016692E"/>
    <w:rsid w:val="00166ED4"/>
    <w:rsid w:val="0016722E"/>
    <w:rsid w:val="001679D7"/>
    <w:rsid w:val="00167F53"/>
    <w:rsid w:val="001701AE"/>
    <w:rsid w:val="00170270"/>
    <w:rsid w:val="001708F3"/>
    <w:rsid w:val="00170AAC"/>
    <w:rsid w:val="00170CAA"/>
    <w:rsid w:val="00170D10"/>
    <w:rsid w:val="001713D8"/>
    <w:rsid w:val="00171592"/>
    <w:rsid w:val="001716B2"/>
    <w:rsid w:val="001717DD"/>
    <w:rsid w:val="001717F5"/>
    <w:rsid w:val="00171A60"/>
    <w:rsid w:val="00171BCE"/>
    <w:rsid w:val="00171DFF"/>
    <w:rsid w:val="00172067"/>
    <w:rsid w:val="00172090"/>
    <w:rsid w:val="001726EF"/>
    <w:rsid w:val="00172A1B"/>
    <w:rsid w:val="00172ED6"/>
    <w:rsid w:val="001730D3"/>
    <w:rsid w:val="00173367"/>
    <w:rsid w:val="0017361E"/>
    <w:rsid w:val="00173B1C"/>
    <w:rsid w:val="00173CD6"/>
    <w:rsid w:val="00173D35"/>
    <w:rsid w:val="00173F37"/>
    <w:rsid w:val="001744ED"/>
    <w:rsid w:val="0017463B"/>
    <w:rsid w:val="0017527D"/>
    <w:rsid w:val="00175676"/>
    <w:rsid w:val="001756CA"/>
    <w:rsid w:val="001758D9"/>
    <w:rsid w:val="00175F35"/>
    <w:rsid w:val="00176093"/>
    <w:rsid w:val="00176191"/>
    <w:rsid w:val="001762C0"/>
    <w:rsid w:val="001764DA"/>
    <w:rsid w:val="001769DE"/>
    <w:rsid w:val="00176A64"/>
    <w:rsid w:val="00176A6E"/>
    <w:rsid w:val="00176D3B"/>
    <w:rsid w:val="00176EBE"/>
    <w:rsid w:val="00176F2D"/>
    <w:rsid w:val="001773C0"/>
    <w:rsid w:val="00177400"/>
    <w:rsid w:val="00177476"/>
    <w:rsid w:val="00177514"/>
    <w:rsid w:val="0017791E"/>
    <w:rsid w:val="00177B4A"/>
    <w:rsid w:val="00177B64"/>
    <w:rsid w:val="00177D53"/>
    <w:rsid w:val="00177EBF"/>
    <w:rsid w:val="00177F4C"/>
    <w:rsid w:val="001801AA"/>
    <w:rsid w:val="00180251"/>
    <w:rsid w:val="00180259"/>
    <w:rsid w:val="0018062F"/>
    <w:rsid w:val="00180738"/>
    <w:rsid w:val="0018074F"/>
    <w:rsid w:val="00180A68"/>
    <w:rsid w:val="00180CA0"/>
    <w:rsid w:val="00180D73"/>
    <w:rsid w:val="00180E63"/>
    <w:rsid w:val="001812BC"/>
    <w:rsid w:val="0018135B"/>
    <w:rsid w:val="00181366"/>
    <w:rsid w:val="00181891"/>
    <w:rsid w:val="00181A0E"/>
    <w:rsid w:val="00181E45"/>
    <w:rsid w:val="00182197"/>
    <w:rsid w:val="001827CB"/>
    <w:rsid w:val="001828C1"/>
    <w:rsid w:val="00182A74"/>
    <w:rsid w:val="001831F5"/>
    <w:rsid w:val="00183246"/>
    <w:rsid w:val="0018346B"/>
    <w:rsid w:val="0018366C"/>
    <w:rsid w:val="0018368F"/>
    <w:rsid w:val="00183731"/>
    <w:rsid w:val="00183C34"/>
    <w:rsid w:val="00184729"/>
    <w:rsid w:val="00184813"/>
    <w:rsid w:val="00185389"/>
    <w:rsid w:val="0018553D"/>
    <w:rsid w:val="00185A87"/>
    <w:rsid w:val="00185B30"/>
    <w:rsid w:val="0018623E"/>
    <w:rsid w:val="00186265"/>
    <w:rsid w:val="001862E3"/>
    <w:rsid w:val="001862EB"/>
    <w:rsid w:val="001868BE"/>
    <w:rsid w:val="00186966"/>
    <w:rsid w:val="00186C27"/>
    <w:rsid w:val="00186E7A"/>
    <w:rsid w:val="001870CF"/>
    <w:rsid w:val="0018730D"/>
    <w:rsid w:val="0018731E"/>
    <w:rsid w:val="001873BE"/>
    <w:rsid w:val="0018778F"/>
    <w:rsid w:val="00187A20"/>
    <w:rsid w:val="00187D4D"/>
    <w:rsid w:val="00190138"/>
    <w:rsid w:val="001902C2"/>
    <w:rsid w:val="001903EA"/>
    <w:rsid w:val="0019049D"/>
    <w:rsid w:val="001906FE"/>
    <w:rsid w:val="00190EB6"/>
    <w:rsid w:val="00190F57"/>
    <w:rsid w:val="00190F9A"/>
    <w:rsid w:val="001911F7"/>
    <w:rsid w:val="00191599"/>
    <w:rsid w:val="00191683"/>
    <w:rsid w:val="00191B06"/>
    <w:rsid w:val="00191B0A"/>
    <w:rsid w:val="0019205C"/>
    <w:rsid w:val="001920B0"/>
    <w:rsid w:val="0019219A"/>
    <w:rsid w:val="00192409"/>
    <w:rsid w:val="00192978"/>
    <w:rsid w:val="00193017"/>
    <w:rsid w:val="00193112"/>
    <w:rsid w:val="0019388B"/>
    <w:rsid w:val="00193E5C"/>
    <w:rsid w:val="00193E7A"/>
    <w:rsid w:val="0019402C"/>
    <w:rsid w:val="001943E6"/>
    <w:rsid w:val="00194512"/>
    <w:rsid w:val="001949AB"/>
    <w:rsid w:val="0019504D"/>
    <w:rsid w:val="001952C0"/>
    <w:rsid w:val="001959CF"/>
    <w:rsid w:val="00195AF2"/>
    <w:rsid w:val="00195B3F"/>
    <w:rsid w:val="00195FBD"/>
    <w:rsid w:val="00196144"/>
    <w:rsid w:val="001963F1"/>
    <w:rsid w:val="00196564"/>
    <w:rsid w:val="00196FCA"/>
    <w:rsid w:val="00197209"/>
    <w:rsid w:val="0019724B"/>
    <w:rsid w:val="00197287"/>
    <w:rsid w:val="00197ACC"/>
    <w:rsid w:val="00197DC9"/>
    <w:rsid w:val="001A032F"/>
    <w:rsid w:val="001A0549"/>
    <w:rsid w:val="001A0594"/>
    <w:rsid w:val="001A08B9"/>
    <w:rsid w:val="001A0F11"/>
    <w:rsid w:val="001A1000"/>
    <w:rsid w:val="001A1333"/>
    <w:rsid w:val="001A151C"/>
    <w:rsid w:val="001A161E"/>
    <w:rsid w:val="001A1889"/>
    <w:rsid w:val="001A24F3"/>
    <w:rsid w:val="001A2637"/>
    <w:rsid w:val="001A27AE"/>
    <w:rsid w:val="001A27DB"/>
    <w:rsid w:val="001A2A18"/>
    <w:rsid w:val="001A2A58"/>
    <w:rsid w:val="001A2B8B"/>
    <w:rsid w:val="001A2C4E"/>
    <w:rsid w:val="001A2D7A"/>
    <w:rsid w:val="001A2E65"/>
    <w:rsid w:val="001A2FB5"/>
    <w:rsid w:val="001A30F4"/>
    <w:rsid w:val="001A3179"/>
    <w:rsid w:val="001A342B"/>
    <w:rsid w:val="001A3816"/>
    <w:rsid w:val="001A395D"/>
    <w:rsid w:val="001A3F43"/>
    <w:rsid w:val="001A406A"/>
    <w:rsid w:val="001A4258"/>
    <w:rsid w:val="001A4437"/>
    <w:rsid w:val="001A496C"/>
    <w:rsid w:val="001A5AD5"/>
    <w:rsid w:val="001A5B47"/>
    <w:rsid w:val="001A5D5E"/>
    <w:rsid w:val="001A6167"/>
    <w:rsid w:val="001A638E"/>
    <w:rsid w:val="001A68D8"/>
    <w:rsid w:val="001A6A99"/>
    <w:rsid w:val="001A6B08"/>
    <w:rsid w:val="001A6FCE"/>
    <w:rsid w:val="001A75DA"/>
    <w:rsid w:val="001A77A7"/>
    <w:rsid w:val="001A7849"/>
    <w:rsid w:val="001A7CC1"/>
    <w:rsid w:val="001B002E"/>
    <w:rsid w:val="001B05AC"/>
    <w:rsid w:val="001B063A"/>
    <w:rsid w:val="001B0BC8"/>
    <w:rsid w:val="001B0F48"/>
    <w:rsid w:val="001B1031"/>
    <w:rsid w:val="001B14F2"/>
    <w:rsid w:val="001B1575"/>
    <w:rsid w:val="001B1A8A"/>
    <w:rsid w:val="001B1B60"/>
    <w:rsid w:val="001B1BCF"/>
    <w:rsid w:val="001B1D0A"/>
    <w:rsid w:val="001B20E1"/>
    <w:rsid w:val="001B24C4"/>
    <w:rsid w:val="001B3605"/>
    <w:rsid w:val="001B3859"/>
    <w:rsid w:val="001B3CFE"/>
    <w:rsid w:val="001B3D40"/>
    <w:rsid w:val="001B404D"/>
    <w:rsid w:val="001B4092"/>
    <w:rsid w:val="001B42E9"/>
    <w:rsid w:val="001B45AF"/>
    <w:rsid w:val="001B4850"/>
    <w:rsid w:val="001B4D41"/>
    <w:rsid w:val="001B4E5E"/>
    <w:rsid w:val="001B4FDD"/>
    <w:rsid w:val="001B548A"/>
    <w:rsid w:val="001B57A4"/>
    <w:rsid w:val="001B57A5"/>
    <w:rsid w:val="001B59C1"/>
    <w:rsid w:val="001B5AC4"/>
    <w:rsid w:val="001B5CD3"/>
    <w:rsid w:val="001B5D6D"/>
    <w:rsid w:val="001B5EF4"/>
    <w:rsid w:val="001B65A8"/>
    <w:rsid w:val="001B65F3"/>
    <w:rsid w:val="001B6DE2"/>
    <w:rsid w:val="001B6F59"/>
    <w:rsid w:val="001B7013"/>
    <w:rsid w:val="001B7220"/>
    <w:rsid w:val="001B7596"/>
    <w:rsid w:val="001B788D"/>
    <w:rsid w:val="001C0052"/>
    <w:rsid w:val="001C00C6"/>
    <w:rsid w:val="001C044B"/>
    <w:rsid w:val="001C07A5"/>
    <w:rsid w:val="001C123B"/>
    <w:rsid w:val="001C1283"/>
    <w:rsid w:val="001C1415"/>
    <w:rsid w:val="001C1D8D"/>
    <w:rsid w:val="001C1DA8"/>
    <w:rsid w:val="001C2108"/>
    <w:rsid w:val="001C2347"/>
    <w:rsid w:val="001C23EA"/>
    <w:rsid w:val="001C25F4"/>
    <w:rsid w:val="001C2BAE"/>
    <w:rsid w:val="001C2EED"/>
    <w:rsid w:val="001C3113"/>
    <w:rsid w:val="001C3222"/>
    <w:rsid w:val="001C3264"/>
    <w:rsid w:val="001C3733"/>
    <w:rsid w:val="001C37A9"/>
    <w:rsid w:val="001C3D86"/>
    <w:rsid w:val="001C428D"/>
    <w:rsid w:val="001C45CC"/>
    <w:rsid w:val="001C4983"/>
    <w:rsid w:val="001C4AB3"/>
    <w:rsid w:val="001C4ABC"/>
    <w:rsid w:val="001C4CCD"/>
    <w:rsid w:val="001C4EBD"/>
    <w:rsid w:val="001C504A"/>
    <w:rsid w:val="001C5059"/>
    <w:rsid w:val="001C57F4"/>
    <w:rsid w:val="001C585F"/>
    <w:rsid w:val="001C5BBE"/>
    <w:rsid w:val="001C617C"/>
    <w:rsid w:val="001C61E0"/>
    <w:rsid w:val="001C64E3"/>
    <w:rsid w:val="001C66D4"/>
    <w:rsid w:val="001C6BF4"/>
    <w:rsid w:val="001C75A7"/>
    <w:rsid w:val="001C77EB"/>
    <w:rsid w:val="001C780C"/>
    <w:rsid w:val="001C7AB4"/>
    <w:rsid w:val="001C7ABA"/>
    <w:rsid w:val="001C7CD9"/>
    <w:rsid w:val="001C7E93"/>
    <w:rsid w:val="001C7F6E"/>
    <w:rsid w:val="001D01DF"/>
    <w:rsid w:val="001D0213"/>
    <w:rsid w:val="001D120D"/>
    <w:rsid w:val="001D1322"/>
    <w:rsid w:val="001D1F9A"/>
    <w:rsid w:val="001D2728"/>
    <w:rsid w:val="001D2879"/>
    <w:rsid w:val="001D29C8"/>
    <w:rsid w:val="001D2A50"/>
    <w:rsid w:val="001D2C2A"/>
    <w:rsid w:val="001D2F5A"/>
    <w:rsid w:val="001D3247"/>
    <w:rsid w:val="001D3313"/>
    <w:rsid w:val="001D36B1"/>
    <w:rsid w:val="001D3B83"/>
    <w:rsid w:val="001D3C4E"/>
    <w:rsid w:val="001D3CFB"/>
    <w:rsid w:val="001D3ED2"/>
    <w:rsid w:val="001D4056"/>
    <w:rsid w:val="001D4261"/>
    <w:rsid w:val="001D45B5"/>
    <w:rsid w:val="001D45D2"/>
    <w:rsid w:val="001D491D"/>
    <w:rsid w:val="001D4BDD"/>
    <w:rsid w:val="001D4ED9"/>
    <w:rsid w:val="001D542F"/>
    <w:rsid w:val="001D5890"/>
    <w:rsid w:val="001D59B9"/>
    <w:rsid w:val="001D5C45"/>
    <w:rsid w:val="001D5C6D"/>
    <w:rsid w:val="001D5D43"/>
    <w:rsid w:val="001D5E98"/>
    <w:rsid w:val="001D7473"/>
    <w:rsid w:val="001D7713"/>
    <w:rsid w:val="001D79E5"/>
    <w:rsid w:val="001D7A14"/>
    <w:rsid w:val="001D7AEF"/>
    <w:rsid w:val="001D7B9D"/>
    <w:rsid w:val="001D7D9A"/>
    <w:rsid w:val="001E0075"/>
    <w:rsid w:val="001E076C"/>
    <w:rsid w:val="001E0937"/>
    <w:rsid w:val="001E09A5"/>
    <w:rsid w:val="001E0B63"/>
    <w:rsid w:val="001E0E41"/>
    <w:rsid w:val="001E1007"/>
    <w:rsid w:val="001E1627"/>
    <w:rsid w:val="001E1A8F"/>
    <w:rsid w:val="001E1B11"/>
    <w:rsid w:val="001E2136"/>
    <w:rsid w:val="001E22C3"/>
    <w:rsid w:val="001E232B"/>
    <w:rsid w:val="001E29FD"/>
    <w:rsid w:val="001E2A52"/>
    <w:rsid w:val="001E3216"/>
    <w:rsid w:val="001E33B1"/>
    <w:rsid w:val="001E3410"/>
    <w:rsid w:val="001E3632"/>
    <w:rsid w:val="001E38E9"/>
    <w:rsid w:val="001E393C"/>
    <w:rsid w:val="001E3A85"/>
    <w:rsid w:val="001E3CBC"/>
    <w:rsid w:val="001E3F6A"/>
    <w:rsid w:val="001E4049"/>
    <w:rsid w:val="001E4616"/>
    <w:rsid w:val="001E4D06"/>
    <w:rsid w:val="001E5762"/>
    <w:rsid w:val="001E5955"/>
    <w:rsid w:val="001E5A27"/>
    <w:rsid w:val="001E5A8B"/>
    <w:rsid w:val="001E64E9"/>
    <w:rsid w:val="001E661C"/>
    <w:rsid w:val="001E6B84"/>
    <w:rsid w:val="001E6C5E"/>
    <w:rsid w:val="001E6FB1"/>
    <w:rsid w:val="001E7499"/>
    <w:rsid w:val="001E77CF"/>
    <w:rsid w:val="001E77D4"/>
    <w:rsid w:val="001E77D9"/>
    <w:rsid w:val="001F011A"/>
    <w:rsid w:val="001F0551"/>
    <w:rsid w:val="001F057F"/>
    <w:rsid w:val="001F0B4E"/>
    <w:rsid w:val="001F121B"/>
    <w:rsid w:val="001F1646"/>
    <w:rsid w:val="001F1740"/>
    <w:rsid w:val="001F282D"/>
    <w:rsid w:val="001F2D7E"/>
    <w:rsid w:val="001F2F43"/>
    <w:rsid w:val="001F2F99"/>
    <w:rsid w:val="001F305F"/>
    <w:rsid w:val="001F3308"/>
    <w:rsid w:val="001F35E1"/>
    <w:rsid w:val="001F39B3"/>
    <w:rsid w:val="001F3AF9"/>
    <w:rsid w:val="001F3D07"/>
    <w:rsid w:val="001F3D6F"/>
    <w:rsid w:val="001F4217"/>
    <w:rsid w:val="001F473C"/>
    <w:rsid w:val="001F48EA"/>
    <w:rsid w:val="001F494E"/>
    <w:rsid w:val="001F4BA9"/>
    <w:rsid w:val="001F4EEC"/>
    <w:rsid w:val="001F5221"/>
    <w:rsid w:val="001F5DDA"/>
    <w:rsid w:val="001F62A9"/>
    <w:rsid w:val="001F6487"/>
    <w:rsid w:val="001F6499"/>
    <w:rsid w:val="001F6718"/>
    <w:rsid w:val="001F6B41"/>
    <w:rsid w:val="001F6D58"/>
    <w:rsid w:val="001F6DA8"/>
    <w:rsid w:val="001F79EF"/>
    <w:rsid w:val="001F7BB2"/>
    <w:rsid w:val="001F7F9F"/>
    <w:rsid w:val="00200056"/>
    <w:rsid w:val="0020008E"/>
    <w:rsid w:val="002000DB"/>
    <w:rsid w:val="00200323"/>
    <w:rsid w:val="00200C24"/>
    <w:rsid w:val="0020101F"/>
    <w:rsid w:val="002011EB"/>
    <w:rsid w:val="00201247"/>
    <w:rsid w:val="002012D1"/>
    <w:rsid w:val="00201CF2"/>
    <w:rsid w:val="00201FB1"/>
    <w:rsid w:val="002024DB"/>
    <w:rsid w:val="00202632"/>
    <w:rsid w:val="00202891"/>
    <w:rsid w:val="00202D65"/>
    <w:rsid w:val="00203057"/>
    <w:rsid w:val="002031AF"/>
    <w:rsid w:val="002039DA"/>
    <w:rsid w:val="00203C9E"/>
    <w:rsid w:val="00203EE6"/>
    <w:rsid w:val="00203F98"/>
    <w:rsid w:val="002050BC"/>
    <w:rsid w:val="0020566E"/>
    <w:rsid w:val="0020575C"/>
    <w:rsid w:val="00205761"/>
    <w:rsid w:val="00205ABD"/>
    <w:rsid w:val="00205CE6"/>
    <w:rsid w:val="00205E0E"/>
    <w:rsid w:val="0020638D"/>
    <w:rsid w:val="0020676E"/>
    <w:rsid w:val="00206E3E"/>
    <w:rsid w:val="00206E8F"/>
    <w:rsid w:val="00206F75"/>
    <w:rsid w:val="002070C4"/>
    <w:rsid w:val="00207364"/>
    <w:rsid w:val="0020749D"/>
    <w:rsid w:val="00207BD6"/>
    <w:rsid w:val="00207EF3"/>
    <w:rsid w:val="00207F6B"/>
    <w:rsid w:val="002102DF"/>
    <w:rsid w:val="0021057B"/>
    <w:rsid w:val="002106E0"/>
    <w:rsid w:val="002109CB"/>
    <w:rsid w:val="00210E55"/>
    <w:rsid w:val="002114A7"/>
    <w:rsid w:val="00211515"/>
    <w:rsid w:val="00211A91"/>
    <w:rsid w:val="00211CBB"/>
    <w:rsid w:val="00211E6F"/>
    <w:rsid w:val="002120BF"/>
    <w:rsid w:val="0021222E"/>
    <w:rsid w:val="00212D5E"/>
    <w:rsid w:val="00212E31"/>
    <w:rsid w:val="00213380"/>
    <w:rsid w:val="002133A8"/>
    <w:rsid w:val="002133DF"/>
    <w:rsid w:val="0021416C"/>
    <w:rsid w:val="00214894"/>
    <w:rsid w:val="00214916"/>
    <w:rsid w:val="00214C19"/>
    <w:rsid w:val="002152B5"/>
    <w:rsid w:val="0021536C"/>
    <w:rsid w:val="002153F8"/>
    <w:rsid w:val="0021555D"/>
    <w:rsid w:val="00215AFE"/>
    <w:rsid w:val="00215BCE"/>
    <w:rsid w:val="00216545"/>
    <w:rsid w:val="00216A09"/>
    <w:rsid w:val="00216B8F"/>
    <w:rsid w:val="00216C7C"/>
    <w:rsid w:val="00217376"/>
    <w:rsid w:val="0021781F"/>
    <w:rsid w:val="00217DF9"/>
    <w:rsid w:val="0021F446"/>
    <w:rsid w:val="00220364"/>
    <w:rsid w:val="00220824"/>
    <w:rsid w:val="002208F0"/>
    <w:rsid w:val="0022090B"/>
    <w:rsid w:val="00220C89"/>
    <w:rsid w:val="00220DEF"/>
    <w:rsid w:val="00221485"/>
    <w:rsid w:val="002216A4"/>
    <w:rsid w:val="002218E0"/>
    <w:rsid w:val="00221937"/>
    <w:rsid w:val="00221A9D"/>
    <w:rsid w:val="0022216C"/>
    <w:rsid w:val="002221CA"/>
    <w:rsid w:val="00222465"/>
    <w:rsid w:val="002228FE"/>
    <w:rsid w:val="00222DC8"/>
    <w:rsid w:val="00223093"/>
    <w:rsid w:val="00223CDC"/>
    <w:rsid w:val="00223D65"/>
    <w:rsid w:val="00223D8C"/>
    <w:rsid w:val="00223F15"/>
    <w:rsid w:val="00224769"/>
    <w:rsid w:val="0022492A"/>
    <w:rsid w:val="0022546A"/>
    <w:rsid w:val="002254C3"/>
    <w:rsid w:val="0022556F"/>
    <w:rsid w:val="0022566E"/>
    <w:rsid w:val="00225717"/>
    <w:rsid w:val="00225A45"/>
    <w:rsid w:val="00225CDB"/>
    <w:rsid w:val="00225F5D"/>
    <w:rsid w:val="002261E8"/>
    <w:rsid w:val="00226289"/>
    <w:rsid w:val="00226400"/>
    <w:rsid w:val="00226572"/>
    <w:rsid w:val="0022696B"/>
    <w:rsid w:val="00226D67"/>
    <w:rsid w:val="00226E7B"/>
    <w:rsid w:val="0022705E"/>
    <w:rsid w:val="00227061"/>
    <w:rsid w:val="002271A7"/>
    <w:rsid w:val="002272F7"/>
    <w:rsid w:val="00227900"/>
    <w:rsid w:val="002304BC"/>
    <w:rsid w:val="002309AC"/>
    <w:rsid w:val="00230BFD"/>
    <w:rsid w:val="00230C1F"/>
    <w:rsid w:val="00230D6A"/>
    <w:rsid w:val="0023129E"/>
    <w:rsid w:val="0023138B"/>
    <w:rsid w:val="002317A0"/>
    <w:rsid w:val="00231871"/>
    <w:rsid w:val="00231AF7"/>
    <w:rsid w:val="002323B5"/>
    <w:rsid w:val="00232C08"/>
    <w:rsid w:val="00232EE8"/>
    <w:rsid w:val="002337D5"/>
    <w:rsid w:val="00234086"/>
    <w:rsid w:val="0023439E"/>
    <w:rsid w:val="002343E0"/>
    <w:rsid w:val="002349C4"/>
    <w:rsid w:val="00234F6B"/>
    <w:rsid w:val="002350B8"/>
    <w:rsid w:val="002358D3"/>
    <w:rsid w:val="00235C8C"/>
    <w:rsid w:val="00235D23"/>
    <w:rsid w:val="00235DF4"/>
    <w:rsid w:val="002361B4"/>
    <w:rsid w:val="0023643E"/>
    <w:rsid w:val="00236727"/>
    <w:rsid w:val="002367B3"/>
    <w:rsid w:val="00236C5D"/>
    <w:rsid w:val="00236C6D"/>
    <w:rsid w:val="00236DE1"/>
    <w:rsid w:val="002370C3"/>
    <w:rsid w:val="002373D4"/>
    <w:rsid w:val="0023750C"/>
    <w:rsid w:val="002375B0"/>
    <w:rsid w:val="00237DC3"/>
    <w:rsid w:val="00237DE7"/>
    <w:rsid w:val="0024000C"/>
    <w:rsid w:val="002401D0"/>
    <w:rsid w:val="00240209"/>
    <w:rsid w:val="00240275"/>
    <w:rsid w:val="002403E9"/>
    <w:rsid w:val="00240654"/>
    <w:rsid w:val="002406D9"/>
    <w:rsid w:val="002408BE"/>
    <w:rsid w:val="00240908"/>
    <w:rsid w:val="00240E83"/>
    <w:rsid w:val="00240EB9"/>
    <w:rsid w:val="00240F1B"/>
    <w:rsid w:val="002410AB"/>
    <w:rsid w:val="00241140"/>
    <w:rsid w:val="0024154C"/>
    <w:rsid w:val="00241859"/>
    <w:rsid w:val="00241D1D"/>
    <w:rsid w:val="00241E42"/>
    <w:rsid w:val="00241EA7"/>
    <w:rsid w:val="00242505"/>
    <w:rsid w:val="00242529"/>
    <w:rsid w:val="00242845"/>
    <w:rsid w:val="00242967"/>
    <w:rsid w:val="00242EBC"/>
    <w:rsid w:val="00242F38"/>
    <w:rsid w:val="002432C3"/>
    <w:rsid w:val="00243791"/>
    <w:rsid w:val="002438A5"/>
    <w:rsid w:val="002439A2"/>
    <w:rsid w:val="00243B69"/>
    <w:rsid w:val="00244261"/>
    <w:rsid w:val="0024457E"/>
    <w:rsid w:val="0024458E"/>
    <w:rsid w:val="00244764"/>
    <w:rsid w:val="002448D7"/>
    <w:rsid w:val="00244AC1"/>
    <w:rsid w:val="00244CC0"/>
    <w:rsid w:val="002455EF"/>
    <w:rsid w:val="002456C6"/>
    <w:rsid w:val="00245943"/>
    <w:rsid w:val="002466D6"/>
    <w:rsid w:val="002467E9"/>
    <w:rsid w:val="002468AF"/>
    <w:rsid w:val="00246B69"/>
    <w:rsid w:val="00247143"/>
    <w:rsid w:val="00247387"/>
    <w:rsid w:val="002477E0"/>
    <w:rsid w:val="00250614"/>
    <w:rsid w:val="00250A7F"/>
    <w:rsid w:val="00250DC4"/>
    <w:rsid w:val="00250DE1"/>
    <w:rsid w:val="002510FF"/>
    <w:rsid w:val="00251657"/>
    <w:rsid w:val="0025166A"/>
    <w:rsid w:val="002516B8"/>
    <w:rsid w:val="002516C2"/>
    <w:rsid w:val="00251729"/>
    <w:rsid w:val="00251F02"/>
    <w:rsid w:val="00251FA1"/>
    <w:rsid w:val="002520D7"/>
    <w:rsid w:val="00252651"/>
    <w:rsid w:val="002526A4"/>
    <w:rsid w:val="00252746"/>
    <w:rsid w:val="002528CE"/>
    <w:rsid w:val="00252C9F"/>
    <w:rsid w:val="0025322E"/>
    <w:rsid w:val="002536A7"/>
    <w:rsid w:val="002537FE"/>
    <w:rsid w:val="00253F61"/>
    <w:rsid w:val="00254043"/>
    <w:rsid w:val="0025410E"/>
    <w:rsid w:val="002542C1"/>
    <w:rsid w:val="00254442"/>
    <w:rsid w:val="002547EF"/>
    <w:rsid w:val="0025581F"/>
    <w:rsid w:val="00255C91"/>
    <w:rsid w:val="00255EE9"/>
    <w:rsid w:val="002565FB"/>
    <w:rsid w:val="002568D0"/>
    <w:rsid w:val="00256C0A"/>
    <w:rsid w:val="00256CCC"/>
    <w:rsid w:val="00256D83"/>
    <w:rsid w:val="00256FD5"/>
    <w:rsid w:val="00257055"/>
    <w:rsid w:val="002570A4"/>
    <w:rsid w:val="0025715C"/>
    <w:rsid w:val="002573A2"/>
    <w:rsid w:val="00257439"/>
    <w:rsid w:val="0025745E"/>
    <w:rsid w:val="0025753C"/>
    <w:rsid w:val="002575BD"/>
    <w:rsid w:val="00257B2D"/>
    <w:rsid w:val="00257C25"/>
    <w:rsid w:val="00257F99"/>
    <w:rsid w:val="0025B48C"/>
    <w:rsid w:val="00260189"/>
    <w:rsid w:val="0026049A"/>
    <w:rsid w:val="0026067E"/>
    <w:rsid w:val="0026070E"/>
    <w:rsid w:val="00260841"/>
    <w:rsid w:val="00260C35"/>
    <w:rsid w:val="00260D39"/>
    <w:rsid w:val="002617F5"/>
    <w:rsid w:val="00261990"/>
    <w:rsid w:val="0026210A"/>
    <w:rsid w:val="002623F6"/>
    <w:rsid w:val="00262468"/>
    <w:rsid w:val="002624B8"/>
    <w:rsid w:val="002624D9"/>
    <w:rsid w:val="00262508"/>
    <w:rsid w:val="002625BF"/>
    <w:rsid w:val="002626DF"/>
    <w:rsid w:val="002629F0"/>
    <w:rsid w:val="00262DB1"/>
    <w:rsid w:val="00263280"/>
    <w:rsid w:val="00263543"/>
    <w:rsid w:val="002639B1"/>
    <w:rsid w:val="00263E25"/>
    <w:rsid w:val="002641FB"/>
    <w:rsid w:val="002644A1"/>
    <w:rsid w:val="00264575"/>
    <w:rsid w:val="002648D0"/>
    <w:rsid w:val="00264BB6"/>
    <w:rsid w:val="00264FD1"/>
    <w:rsid w:val="002650C5"/>
    <w:rsid w:val="0026552C"/>
    <w:rsid w:val="0026562A"/>
    <w:rsid w:val="002657C4"/>
    <w:rsid w:val="0026584D"/>
    <w:rsid w:val="00265996"/>
    <w:rsid w:val="00265AA2"/>
    <w:rsid w:val="00265CBF"/>
    <w:rsid w:val="00265E0E"/>
    <w:rsid w:val="00266578"/>
    <w:rsid w:val="0026659C"/>
    <w:rsid w:val="00266664"/>
    <w:rsid w:val="00266B17"/>
    <w:rsid w:val="00266DC9"/>
    <w:rsid w:val="00266E8D"/>
    <w:rsid w:val="002675A9"/>
    <w:rsid w:val="00267874"/>
    <w:rsid w:val="00267B1B"/>
    <w:rsid w:val="00270299"/>
    <w:rsid w:val="00270349"/>
    <w:rsid w:val="002705BC"/>
    <w:rsid w:val="00270998"/>
    <w:rsid w:val="00270F1E"/>
    <w:rsid w:val="0027196F"/>
    <w:rsid w:val="00271AD1"/>
    <w:rsid w:val="00271F23"/>
    <w:rsid w:val="00272023"/>
    <w:rsid w:val="002725D4"/>
    <w:rsid w:val="002727B2"/>
    <w:rsid w:val="00272B91"/>
    <w:rsid w:val="00272ED2"/>
    <w:rsid w:val="002730F0"/>
    <w:rsid w:val="002731E2"/>
    <w:rsid w:val="0027372E"/>
    <w:rsid w:val="00273E51"/>
    <w:rsid w:val="002741C2"/>
    <w:rsid w:val="002741C5"/>
    <w:rsid w:val="002747A3"/>
    <w:rsid w:val="00274ADB"/>
    <w:rsid w:val="00274D9C"/>
    <w:rsid w:val="00274DEA"/>
    <w:rsid w:val="002757B8"/>
    <w:rsid w:val="00275EC5"/>
    <w:rsid w:val="00275EF5"/>
    <w:rsid w:val="00276052"/>
    <w:rsid w:val="002761AA"/>
    <w:rsid w:val="0027660C"/>
    <w:rsid w:val="00276A88"/>
    <w:rsid w:val="00276B24"/>
    <w:rsid w:val="00276B4C"/>
    <w:rsid w:val="002770A3"/>
    <w:rsid w:val="0027752B"/>
    <w:rsid w:val="00277D1C"/>
    <w:rsid w:val="00280071"/>
    <w:rsid w:val="00280644"/>
    <w:rsid w:val="002820C8"/>
    <w:rsid w:val="002820CC"/>
    <w:rsid w:val="00282710"/>
    <w:rsid w:val="00282A98"/>
    <w:rsid w:val="00282AE2"/>
    <w:rsid w:val="00282BEF"/>
    <w:rsid w:val="00282CC5"/>
    <w:rsid w:val="00282CDB"/>
    <w:rsid w:val="00282DB1"/>
    <w:rsid w:val="00282ECB"/>
    <w:rsid w:val="00282FB5"/>
    <w:rsid w:val="002834FD"/>
    <w:rsid w:val="00283716"/>
    <w:rsid w:val="00283723"/>
    <w:rsid w:val="00283A78"/>
    <w:rsid w:val="00283BC5"/>
    <w:rsid w:val="00283C52"/>
    <w:rsid w:val="00283F43"/>
    <w:rsid w:val="00284193"/>
    <w:rsid w:val="002843FC"/>
    <w:rsid w:val="0028461F"/>
    <w:rsid w:val="002846CA"/>
    <w:rsid w:val="00284E16"/>
    <w:rsid w:val="00284E5D"/>
    <w:rsid w:val="002850A9"/>
    <w:rsid w:val="00285268"/>
    <w:rsid w:val="00285343"/>
    <w:rsid w:val="002857D1"/>
    <w:rsid w:val="00285A71"/>
    <w:rsid w:val="002864EF"/>
    <w:rsid w:val="002866CF"/>
    <w:rsid w:val="00286BBF"/>
    <w:rsid w:val="00287037"/>
    <w:rsid w:val="002873D1"/>
    <w:rsid w:val="002873F2"/>
    <w:rsid w:val="002877F4"/>
    <w:rsid w:val="00287833"/>
    <w:rsid w:val="00287AD0"/>
    <w:rsid w:val="00287EF3"/>
    <w:rsid w:val="00287F94"/>
    <w:rsid w:val="002903C6"/>
    <w:rsid w:val="00290421"/>
    <w:rsid w:val="00290583"/>
    <w:rsid w:val="002905BF"/>
    <w:rsid w:val="00290A27"/>
    <w:rsid w:val="00290FF6"/>
    <w:rsid w:val="002911F7"/>
    <w:rsid w:val="002912EC"/>
    <w:rsid w:val="002913B3"/>
    <w:rsid w:val="0029146A"/>
    <w:rsid w:val="002914F4"/>
    <w:rsid w:val="002916EB"/>
    <w:rsid w:val="00291794"/>
    <w:rsid w:val="002922B1"/>
    <w:rsid w:val="00292699"/>
    <w:rsid w:val="00292BE4"/>
    <w:rsid w:val="00292C0F"/>
    <w:rsid w:val="0029302D"/>
    <w:rsid w:val="002931D1"/>
    <w:rsid w:val="0029321D"/>
    <w:rsid w:val="0029352F"/>
    <w:rsid w:val="00293532"/>
    <w:rsid w:val="00293ADF"/>
    <w:rsid w:val="00294167"/>
    <w:rsid w:val="002948AC"/>
    <w:rsid w:val="00294D95"/>
    <w:rsid w:val="002953BA"/>
    <w:rsid w:val="00295755"/>
    <w:rsid w:val="0029577A"/>
    <w:rsid w:val="00295CD7"/>
    <w:rsid w:val="00295E0C"/>
    <w:rsid w:val="00295E20"/>
    <w:rsid w:val="002964B0"/>
    <w:rsid w:val="0029707E"/>
    <w:rsid w:val="00297203"/>
    <w:rsid w:val="00297250"/>
    <w:rsid w:val="002979C5"/>
    <w:rsid w:val="00297D87"/>
    <w:rsid w:val="00297DCC"/>
    <w:rsid w:val="002A00F5"/>
    <w:rsid w:val="002A011A"/>
    <w:rsid w:val="002A0145"/>
    <w:rsid w:val="002A016C"/>
    <w:rsid w:val="002A0628"/>
    <w:rsid w:val="002A0A96"/>
    <w:rsid w:val="002A0CC1"/>
    <w:rsid w:val="002A1067"/>
    <w:rsid w:val="002A125B"/>
    <w:rsid w:val="002A1BDB"/>
    <w:rsid w:val="002A1EF4"/>
    <w:rsid w:val="002A1FF3"/>
    <w:rsid w:val="002A21B8"/>
    <w:rsid w:val="002A2240"/>
    <w:rsid w:val="002A239A"/>
    <w:rsid w:val="002A245E"/>
    <w:rsid w:val="002A283B"/>
    <w:rsid w:val="002A289D"/>
    <w:rsid w:val="002A2A2E"/>
    <w:rsid w:val="002A2BE1"/>
    <w:rsid w:val="002A2C39"/>
    <w:rsid w:val="002A35B4"/>
    <w:rsid w:val="002A35D9"/>
    <w:rsid w:val="002A3703"/>
    <w:rsid w:val="002A378C"/>
    <w:rsid w:val="002A391A"/>
    <w:rsid w:val="002A3CAE"/>
    <w:rsid w:val="002A3F2D"/>
    <w:rsid w:val="002A41DF"/>
    <w:rsid w:val="002A438B"/>
    <w:rsid w:val="002A475F"/>
    <w:rsid w:val="002A4EDC"/>
    <w:rsid w:val="002A4F81"/>
    <w:rsid w:val="002A5003"/>
    <w:rsid w:val="002A57FA"/>
    <w:rsid w:val="002A5871"/>
    <w:rsid w:val="002A5AF7"/>
    <w:rsid w:val="002A5D53"/>
    <w:rsid w:val="002A5EA1"/>
    <w:rsid w:val="002A656D"/>
    <w:rsid w:val="002A6822"/>
    <w:rsid w:val="002A689F"/>
    <w:rsid w:val="002A6C02"/>
    <w:rsid w:val="002A6D43"/>
    <w:rsid w:val="002A70A4"/>
    <w:rsid w:val="002A70AD"/>
    <w:rsid w:val="002A7280"/>
    <w:rsid w:val="002A72BA"/>
    <w:rsid w:val="002A7514"/>
    <w:rsid w:val="002A79C4"/>
    <w:rsid w:val="002A7C3B"/>
    <w:rsid w:val="002A7EB3"/>
    <w:rsid w:val="002B067A"/>
    <w:rsid w:val="002B06DD"/>
    <w:rsid w:val="002B07FC"/>
    <w:rsid w:val="002B0A67"/>
    <w:rsid w:val="002B0E05"/>
    <w:rsid w:val="002B0EE2"/>
    <w:rsid w:val="002B106E"/>
    <w:rsid w:val="002B1381"/>
    <w:rsid w:val="002B1385"/>
    <w:rsid w:val="002B13C0"/>
    <w:rsid w:val="002B1A86"/>
    <w:rsid w:val="002B1A99"/>
    <w:rsid w:val="002B1BFC"/>
    <w:rsid w:val="002B1C68"/>
    <w:rsid w:val="002B1EBF"/>
    <w:rsid w:val="002B1F16"/>
    <w:rsid w:val="002B238D"/>
    <w:rsid w:val="002B2AC2"/>
    <w:rsid w:val="002B2B78"/>
    <w:rsid w:val="002B2E24"/>
    <w:rsid w:val="002B30E8"/>
    <w:rsid w:val="002B3102"/>
    <w:rsid w:val="002B32D8"/>
    <w:rsid w:val="002B3816"/>
    <w:rsid w:val="002B3ABA"/>
    <w:rsid w:val="002B3C4F"/>
    <w:rsid w:val="002B3DE2"/>
    <w:rsid w:val="002B4123"/>
    <w:rsid w:val="002B436E"/>
    <w:rsid w:val="002B52A2"/>
    <w:rsid w:val="002B52D7"/>
    <w:rsid w:val="002B5782"/>
    <w:rsid w:val="002B585C"/>
    <w:rsid w:val="002B5FB2"/>
    <w:rsid w:val="002B60DA"/>
    <w:rsid w:val="002B65C9"/>
    <w:rsid w:val="002B67B5"/>
    <w:rsid w:val="002B696B"/>
    <w:rsid w:val="002B6B18"/>
    <w:rsid w:val="002B6CBC"/>
    <w:rsid w:val="002B6D38"/>
    <w:rsid w:val="002B70AC"/>
    <w:rsid w:val="002B731C"/>
    <w:rsid w:val="002B7329"/>
    <w:rsid w:val="002B7410"/>
    <w:rsid w:val="002B7672"/>
    <w:rsid w:val="002B7695"/>
    <w:rsid w:val="002B7EFE"/>
    <w:rsid w:val="002C00C4"/>
    <w:rsid w:val="002C042B"/>
    <w:rsid w:val="002C0482"/>
    <w:rsid w:val="002C0A11"/>
    <w:rsid w:val="002C0B69"/>
    <w:rsid w:val="002C100A"/>
    <w:rsid w:val="002C1231"/>
    <w:rsid w:val="002C1268"/>
    <w:rsid w:val="002C1284"/>
    <w:rsid w:val="002C13EF"/>
    <w:rsid w:val="002C16C3"/>
    <w:rsid w:val="002C1B3D"/>
    <w:rsid w:val="002C1B82"/>
    <w:rsid w:val="002C1BA1"/>
    <w:rsid w:val="002C1E58"/>
    <w:rsid w:val="002C22A7"/>
    <w:rsid w:val="002C22C2"/>
    <w:rsid w:val="002C23F4"/>
    <w:rsid w:val="002C2427"/>
    <w:rsid w:val="002C2786"/>
    <w:rsid w:val="002C2A93"/>
    <w:rsid w:val="002C2ADF"/>
    <w:rsid w:val="002C2D3E"/>
    <w:rsid w:val="002C3024"/>
    <w:rsid w:val="002C315B"/>
    <w:rsid w:val="002C31C6"/>
    <w:rsid w:val="002C3349"/>
    <w:rsid w:val="002C33FD"/>
    <w:rsid w:val="002C358C"/>
    <w:rsid w:val="002C3682"/>
    <w:rsid w:val="002C370A"/>
    <w:rsid w:val="002C39C7"/>
    <w:rsid w:val="002C4043"/>
    <w:rsid w:val="002C414A"/>
    <w:rsid w:val="002C4ABC"/>
    <w:rsid w:val="002C4D9F"/>
    <w:rsid w:val="002C4EE1"/>
    <w:rsid w:val="002C5015"/>
    <w:rsid w:val="002C56A0"/>
    <w:rsid w:val="002C5FA5"/>
    <w:rsid w:val="002C6170"/>
    <w:rsid w:val="002C6336"/>
    <w:rsid w:val="002C6452"/>
    <w:rsid w:val="002C6BBE"/>
    <w:rsid w:val="002C7485"/>
    <w:rsid w:val="002C74BE"/>
    <w:rsid w:val="002C74DE"/>
    <w:rsid w:val="002C767A"/>
    <w:rsid w:val="002C783E"/>
    <w:rsid w:val="002C7BA8"/>
    <w:rsid w:val="002C7BFD"/>
    <w:rsid w:val="002D0907"/>
    <w:rsid w:val="002D0AD3"/>
    <w:rsid w:val="002D0B50"/>
    <w:rsid w:val="002D0B99"/>
    <w:rsid w:val="002D0B9A"/>
    <w:rsid w:val="002D0BD9"/>
    <w:rsid w:val="002D0CFE"/>
    <w:rsid w:val="002D1745"/>
    <w:rsid w:val="002D17E8"/>
    <w:rsid w:val="002D1804"/>
    <w:rsid w:val="002D1CCF"/>
    <w:rsid w:val="002D223B"/>
    <w:rsid w:val="002D28E4"/>
    <w:rsid w:val="002D28F0"/>
    <w:rsid w:val="002D2917"/>
    <w:rsid w:val="002D2D93"/>
    <w:rsid w:val="002D318A"/>
    <w:rsid w:val="002D33BC"/>
    <w:rsid w:val="002D35A3"/>
    <w:rsid w:val="002D3B55"/>
    <w:rsid w:val="002D3EFC"/>
    <w:rsid w:val="002D47C8"/>
    <w:rsid w:val="002D4816"/>
    <w:rsid w:val="002D4917"/>
    <w:rsid w:val="002D4B64"/>
    <w:rsid w:val="002D52EF"/>
    <w:rsid w:val="002D5380"/>
    <w:rsid w:val="002D5575"/>
    <w:rsid w:val="002D5585"/>
    <w:rsid w:val="002D55C0"/>
    <w:rsid w:val="002D5C7C"/>
    <w:rsid w:val="002D5CCB"/>
    <w:rsid w:val="002D5DED"/>
    <w:rsid w:val="002D6005"/>
    <w:rsid w:val="002D6C0B"/>
    <w:rsid w:val="002D6C1C"/>
    <w:rsid w:val="002D730A"/>
    <w:rsid w:val="002D74DD"/>
    <w:rsid w:val="002D7514"/>
    <w:rsid w:val="002D764E"/>
    <w:rsid w:val="002D7B4C"/>
    <w:rsid w:val="002D7DE5"/>
    <w:rsid w:val="002D7F35"/>
    <w:rsid w:val="002DE30F"/>
    <w:rsid w:val="002E015A"/>
    <w:rsid w:val="002E02C9"/>
    <w:rsid w:val="002E0368"/>
    <w:rsid w:val="002E0449"/>
    <w:rsid w:val="002E061E"/>
    <w:rsid w:val="002E0AF7"/>
    <w:rsid w:val="002E0BC1"/>
    <w:rsid w:val="002E0EDA"/>
    <w:rsid w:val="002E0FB4"/>
    <w:rsid w:val="002E0FE3"/>
    <w:rsid w:val="002E1196"/>
    <w:rsid w:val="002E1549"/>
    <w:rsid w:val="002E1706"/>
    <w:rsid w:val="002E18B3"/>
    <w:rsid w:val="002E1EBE"/>
    <w:rsid w:val="002E1EDE"/>
    <w:rsid w:val="002E1F3B"/>
    <w:rsid w:val="002E1FD6"/>
    <w:rsid w:val="002E20C8"/>
    <w:rsid w:val="002E20E3"/>
    <w:rsid w:val="002E271C"/>
    <w:rsid w:val="002E28BA"/>
    <w:rsid w:val="002E30D8"/>
    <w:rsid w:val="002E3BC3"/>
    <w:rsid w:val="002E42FE"/>
    <w:rsid w:val="002E4C9F"/>
    <w:rsid w:val="002E51FC"/>
    <w:rsid w:val="002E5409"/>
    <w:rsid w:val="002E5442"/>
    <w:rsid w:val="002E57C0"/>
    <w:rsid w:val="002E5AB4"/>
    <w:rsid w:val="002E5ABE"/>
    <w:rsid w:val="002E5C52"/>
    <w:rsid w:val="002E5CDB"/>
    <w:rsid w:val="002E6592"/>
    <w:rsid w:val="002E6A99"/>
    <w:rsid w:val="002E6F73"/>
    <w:rsid w:val="002E6FD5"/>
    <w:rsid w:val="002E6FF0"/>
    <w:rsid w:val="002E6FF3"/>
    <w:rsid w:val="002E71AE"/>
    <w:rsid w:val="002E79B0"/>
    <w:rsid w:val="002E7F27"/>
    <w:rsid w:val="002E7F90"/>
    <w:rsid w:val="002F042A"/>
    <w:rsid w:val="002F0713"/>
    <w:rsid w:val="002F0BFF"/>
    <w:rsid w:val="002F0D5C"/>
    <w:rsid w:val="002F11A0"/>
    <w:rsid w:val="002F19B8"/>
    <w:rsid w:val="002F19BC"/>
    <w:rsid w:val="002F19F8"/>
    <w:rsid w:val="002F1D5C"/>
    <w:rsid w:val="002F1F82"/>
    <w:rsid w:val="002F211D"/>
    <w:rsid w:val="002F2285"/>
    <w:rsid w:val="002F27B5"/>
    <w:rsid w:val="002F28B7"/>
    <w:rsid w:val="002F307B"/>
    <w:rsid w:val="002F30CB"/>
    <w:rsid w:val="002F30FA"/>
    <w:rsid w:val="002F357F"/>
    <w:rsid w:val="002F3675"/>
    <w:rsid w:val="002F3D39"/>
    <w:rsid w:val="002F3DA1"/>
    <w:rsid w:val="002F3E07"/>
    <w:rsid w:val="002F4112"/>
    <w:rsid w:val="002F4458"/>
    <w:rsid w:val="002F47C6"/>
    <w:rsid w:val="002F47EA"/>
    <w:rsid w:val="002F5622"/>
    <w:rsid w:val="002F57A3"/>
    <w:rsid w:val="002F5949"/>
    <w:rsid w:val="002F5B99"/>
    <w:rsid w:val="002F5C2C"/>
    <w:rsid w:val="002F5E63"/>
    <w:rsid w:val="002F606A"/>
    <w:rsid w:val="002F6620"/>
    <w:rsid w:val="002F72CB"/>
    <w:rsid w:val="002F7930"/>
    <w:rsid w:val="002F7C96"/>
    <w:rsid w:val="002F7EF0"/>
    <w:rsid w:val="00300093"/>
    <w:rsid w:val="003002C2"/>
    <w:rsid w:val="003006C1"/>
    <w:rsid w:val="0030205B"/>
    <w:rsid w:val="0030251E"/>
    <w:rsid w:val="003028CF"/>
    <w:rsid w:val="00302A13"/>
    <w:rsid w:val="00302B5B"/>
    <w:rsid w:val="00302E5E"/>
    <w:rsid w:val="00302F64"/>
    <w:rsid w:val="00303361"/>
    <w:rsid w:val="00303536"/>
    <w:rsid w:val="0030355A"/>
    <w:rsid w:val="00303E88"/>
    <w:rsid w:val="0030409C"/>
    <w:rsid w:val="0030445D"/>
    <w:rsid w:val="00304673"/>
    <w:rsid w:val="00304870"/>
    <w:rsid w:val="003049C1"/>
    <w:rsid w:val="003049E0"/>
    <w:rsid w:val="00304F5B"/>
    <w:rsid w:val="00305C32"/>
    <w:rsid w:val="00305CC0"/>
    <w:rsid w:val="00305FB3"/>
    <w:rsid w:val="00306022"/>
    <w:rsid w:val="00306323"/>
    <w:rsid w:val="003063F8"/>
    <w:rsid w:val="003064E2"/>
    <w:rsid w:val="00306792"/>
    <w:rsid w:val="00306C26"/>
    <w:rsid w:val="00306CCB"/>
    <w:rsid w:val="00306D32"/>
    <w:rsid w:val="00306F49"/>
    <w:rsid w:val="00306FE7"/>
    <w:rsid w:val="0030725C"/>
    <w:rsid w:val="00307490"/>
    <w:rsid w:val="00307533"/>
    <w:rsid w:val="0030778D"/>
    <w:rsid w:val="00307ABD"/>
    <w:rsid w:val="00307FDB"/>
    <w:rsid w:val="00310071"/>
    <w:rsid w:val="0031021F"/>
    <w:rsid w:val="00310994"/>
    <w:rsid w:val="00310DF2"/>
    <w:rsid w:val="00311817"/>
    <w:rsid w:val="00311B9E"/>
    <w:rsid w:val="00311E49"/>
    <w:rsid w:val="003126E6"/>
    <w:rsid w:val="00312988"/>
    <w:rsid w:val="00312C98"/>
    <w:rsid w:val="00312F51"/>
    <w:rsid w:val="00313320"/>
    <w:rsid w:val="00313440"/>
    <w:rsid w:val="003136B0"/>
    <w:rsid w:val="003137E4"/>
    <w:rsid w:val="00313BC1"/>
    <w:rsid w:val="00313C9A"/>
    <w:rsid w:val="003140D9"/>
    <w:rsid w:val="00314647"/>
    <w:rsid w:val="00314658"/>
    <w:rsid w:val="00314B2F"/>
    <w:rsid w:val="003151E0"/>
    <w:rsid w:val="0031528F"/>
    <w:rsid w:val="00315359"/>
    <w:rsid w:val="00315522"/>
    <w:rsid w:val="003157B9"/>
    <w:rsid w:val="00315D6C"/>
    <w:rsid w:val="00315DD0"/>
    <w:rsid w:val="00316240"/>
    <w:rsid w:val="0031659A"/>
    <w:rsid w:val="00316708"/>
    <w:rsid w:val="003168DF"/>
    <w:rsid w:val="00317521"/>
    <w:rsid w:val="00320160"/>
    <w:rsid w:val="00320B45"/>
    <w:rsid w:val="00320D5E"/>
    <w:rsid w:val="00320E02"/>
    <w:rsid w:val="00321052"/>
    <w:rsid w:val="003217CE"/>
    <w:rsid w:val="0032193E"/>
    <w:rsid w:val="0032196C"/>
    <w:rsid w:val="00321A34"/>
    <w:rsid w:val="00321D0D"/>
    <w:rsid w:val="00321F2E"/>
    <w:rsid w:val="003220A7"/>
    <w:rsid w:val="00322880"/>
    <w:rsid w:val="00322AD4"/>
    <w:rsid w:val="00322CE5"/>
    <w:rsid w:val="00322D0B"/>
    <w:rsid w:val="003231EC"/>
    <w:rsid w:val="0032340F"/>
    <w:rsid w:val="003234C1"/>
    <w:rsid w:val="00323F61"/>
    <w:rsid w:val="00324078"/>
    <w:rsid w:val="0032407C"/>
    <w:rsid w:val="003240DE"/>
    <w:rsid w:val="003241F0"/>
    <w:rsid w:val="00324308"/>
    <w:rsid w:val="00324461"/>
    <w:rsid w:val="00324B08"/>
    <w:rsid w:val="00325138"/>
    <w:rsid w:val="003252E8"/>
    <w:rsid w:val="003254EA"/>
    <w:rsid w:val="0032591B"/>
    <w:rsid w:val="00325C40"/>
    <w:rsid w:val="00325CAC"/>
    <w:rsid w:val="00325FC5"/>
    <w:rsid w:val="003265D6"/>
    <w:rsid w:val="00326C3D"/>
    <w:rsid w:val="00326E2D"/>
    <w:rsid w:val="0032708A"/>
    <w:rsid w:val="003270B7"/>
    <w:rsid w:val="00327406"/>
    <w:rsid w:val="00327BDF"/>
    <w:rsid w:val="00327EB8"/>
    <w:rsid w:val="0033004F"/>
    <w:rsid w:val="0033008E"/>
    <w:rsid w:val="003309C8"/>
    <w:rsid w:val="00330A50"/>
    <w:rsid w:val="003314B4"/>
    <w:rsid w:val="00331792"/>
    <w:rsid w:val="00331806"/>
    <w:rsid w:val="00331D08"/>
    <w:rsid w:val="00332772"/>
    <w:rsid w:val="00332B8E"/>
    <w:rsid w:val="00332FDC"/>
    <w:rsid w:val="003332DB"/>
    <w:rsid w:val="003334FE"/>
    <w:rsid w:val="003339B9"/>
    <w:rsid w:val="00333AF0"/>
    <w:rsid w:val="0033419D"/>
    <w:rsid w:val="00334244"/>
    <w:rsid w:val="00334655"/>
    <w:rsid w:val="003348CD"/>
    <w:rsid w:val="00334C60"/>
    <w:rsid w:val="0033502C"/>
    <w:rsid w:val="003350E1"/>
    <w:rsid w:val="00335140"/>
    <w:rsid w:val="003353AF"/>
    <w:rsid w:val="00335415"/>
    <w:rsid w:val="00335840"/>
    <w:rsid w:val="00335852"/>
    <w:rsid w:val="00335896"/>
    <w:rsid w:val="0033612E"/>
    <w:rsid w:val="003363E8"/>
    <w:rsid w:val="00336538"/>
    <w:rsid w:val="003365EA"/>
    <w:rsid w:val="00336717"/>
    <w:rsid w:val="00336B84"/>
    <w:rsid w:val="0033737E"/>
    <w:rsid w:val="00337648"/>
    <w:rsid w:val="00337744"/>
    <w:rsid w:val="00337891"/>
    <w:rsid w:val="00337BA5"/>
    <w:rsid w:val="00337C39"/>
    <w:rsid w:val="00337C41"/>
    <w:rsid w:val="00337FD0"/>
    <w:rsid w:val="00340043"/>
    <w:rsid w:val="003402B9"/>
    <w:rsid w:val="0034041A"/>
    <w:rsid w:val="00340465"/>
    <w:rsid w:val="00340506"/>
    <w:rsid w:val="003406A1"/>
    <w:rsid w:val="00340D1A"/>
    <w:rsid w:val="003412DF"/>
    <w:rsid w:val="003415DE"/>
    <w:rsid w:val="003417F2"/>
    <w:rsid w:val="00342C33"/>
    <w:rsid w:val="00342D95"/>
    <w:rsid w:val="00342F28"/>
    <w:rsid w:val="003436F0"/>
    <w:rsid w:val="00343856"/>
    <w:rsid w:val="00343EBF"/>
    <w:rsid w:val="00343FC8"/>
    <w:rsid w:val="003442F1"/>
    <w:rsid w:val="0034434A"/>
    <w:rsid w:val="00344521"/>
    <w:rsid w:val="003447A4"/>
    <w:rsid w:val="0034488E"/>
    <w:rsid w:val="00344B2B"/>
    <w:rsid w:val="00344F06"/>
    <w:rsid w:val="003451A3"/>
    <w:rsid w:val="00345527"/>
    <w:rsid w:val="00345666"/>
    <w:rsid w:val="003461A1"/>
    <w:rsid w:val="00346853"/>
    <w:rsid w:val="00346F78"/>
    <w:rsid w:val="00347225"/>
    <w:rsid w:val="00347795"/>
    <w:rsid w:val="00347B8A"/>
    <w:rsid w:val="00347D03"/>
    <w:rsid w:val="003501FF"/>
    <w:rsid w:val="00350552"/>
    <w:rsid w:val="00350822"/>
    <w:rsid w:val="00351040"/>
    <w:rsid w:val="003511E3"/>
    <w:rsid w:val="0035166A"/>
    <w:rsid w:val="003516CF"/>
    <w:rsid w:val="00351711"/>
    <w:rsid w:val="003519FD"/>
    <w:rsid w:val="00351DAF"/>
    <w:rsid w:val="00351DCD"/>
    <w:rsid w:val="00352554"/>
    <w:rsid w:val="0035272F"/>
    <w:rsid w:val="00352A62"/>
    <w:rsid w:val="00352EC4"/>
    <w:rsid w:val="00352F58"/>
    <w:rsid w:val="00353344"/>
    <w:rsid w:val="00353936"/>
    <w:rsid w:val="003539BF"/>
    <w:rsid w:val="00353E0B"/>
    <w:rsid w:val="00353E34"/>
    <w:rsid w:val="00353F9D"/>
    <w:rsid w:val="003540A7"/>
    <w:rsid w:val="0035412D"/>
    <w:rsid w:val="00354211"/>
    <w:rsid w:val="003542C2"/>
    <w:rsid w:val="00354420"/>
    <w:rsid w:val="00354503"/>
    <w:rsid w:val="003548F1"/>
    <w:rsid w:val="00354A7B"/>
    <w:rsid w:val="00355964"/>
    <w:rsid w:val="00355DD6"/>
    <w:rsid w:val="00355F3B"/>
    <w:rsid w:val="0035674C"/>
    <w:rsid w:val="003567E9"/>
    <w:rsid w:val="003569B0"/>
    <w:rsid w:val="00356E74"/>
    <w:rsid w:val="00357150"/>
    <w:rsid w:val="003574D2"/>
    <w:rsid w:val="0035753E"/>
    <w:rsid w:val="00357658"/>
    <w:rsid w:val="003576D1"/>
    <w:rsid w:val="003578B3"/>
    <w:rsid w:val="003582F1"/>
    <w:rsid w:val="00360079"/>
    <w:rsid w:val="003604AF"/>
    <w:rsid w:val="003606A4"/>
    <w:rsid w:val="003609FB"/>
    <w:rsid w:val="00360A6A"/>
    <w:rsid w:val="00360D67"/>
    <w:rsid w:val="0036110D"/>
    <w:rsid w:val="00361111"/>
    <w:rsid w:val="00361426"/>
    <w:rsid w:val="0036145F"/>
    <w:rsid w:val="003615CA"/>
    <w:rsid w:val="003617EF"/>
    <w:rsid w:val="00361A74"/>
    <w:rsid w:val="00361D0B"/>
    <w:rsid w:val="00361EC2"/>
    <w:rsid w:val="00362118"/>
    <w:rsid w:val="0036239A"/>
    <w:rsid w:val="0036259D"/>
    <w:rsid w:val="0036289B"/>
    <w:rsid w:val="00362C6D"/>
    <w:rsid w:val="00362CD5"/>
    <w:rsid w:val="00363212"/>
    <w:rsid w:val="0036321F"/>
    <w:rsid w:val="0036347B"/>
    <w:rsid w:val="003638CB"/>
    <w:rsid w:val="00363B95"/>
    <w:rsid w:val="00363EBE"/>
    <w:rsid w:val="00364606"/>
    <w:rsid w:val="00364AEC"/>
    <w:rsid w:val="00364B24"/>
    <w:rsid w:val="00364B45"/>
    <w:rsid w:val="00364EB2"/>
    <w:rsid w:val="00364F4C"/>
    <w:rsid w:val="0036506C"/>
    <w:rsid w:val="003658F3"/>
    <w:rsid w:val="00365A4C"/>
    <w:rsid w:val="00365C8F"/>
    <w:rsid w:val="00365D6E"/>
    <w:rsid w:val="00365DFF"/>
    <w:rsid w:val="00365E8C"/>
    <w:rsid w:val="00366008"/>
    <w:rsid w:val="003660F9"/>
    <w:rsid w:val="0036616D"/>
    <w:rsid w:val="003664F1"/>
    <w:rsid w:val="0036653F"/>
    <w:rsid w:val="00366742"/>
    <w:rsid w:val="00366749"/>
    <w:rsid w:val="00366784"/>
    <w:rsid w:val="00366BCA"/>
    <w:rsid w:val="00366BD6"/>
    <w:rsid w:val="00366BE8"/>
    <w:rsid w:val="00366C46"/>
    <w:rsid w:val="00367351"/>
    <w:rsid w:val="0036735C"/>
    <w:rsid w:val="00367725"/>
    <w:rsid w:val="00367D2A"/>
    <w:rsid w:val="0037077D"/>
    <w:rsid w:val="00370A01"/>
    <w:rsid w:val="003711F2"/>
    <w:rsid w:val="003711F5"/>
    <w:rsid w:val="0037126A"/>
    <w:rsid w:val="00371385"/>
    <w:rsid w:val="00371B71"/>
    <w:rsid w:val="0037241C"/>
    <w:rsid w:val="00372E2E"/>
    <w:rsid w:val="00372E5E"/>
    <w:rsid w:val="00372E80"/>
    <w:rsid w:val="00373045"/>
    <w:rsid w:val="00373866"/>
    <w:rsid w:val="00373881"/>
    <w:rsid w:val="00373E31"/>
    <w:rsid w:val="00373FC4"/>
    <w:rsid w:val="00374117"/>
    <w:rsid w:val="0037471D"/>
    <w:rsid w:val="00374E24"/>
    <w:rsid w:val="0037503E"/>
    <w:rsid w:val="003755E1"/>
    <w:rsid w:val="00375690"/>
    <w:rsid w:val="00375B58"/>
    <w:rsid w:val="00375C6F"/>
    <w:rsid w:val="00375FBE"/>
    <w:rsid w:val="00376123"/>
    <w:rsid w:val="003763C3"/>
    <w:rsid w:val="003765C8"/>
    <w:rsid w:val="0037668E"/>
    <w:rsid w:val="003766F6"/>
    <w:rsid w:val="00376DDB"/>
    <w:rsid w:val="00376FDE"/>
    <w:rsid w:val="003770D6"/>
    <w:rsid w:val="003774CB"/>
    <w:rsid w:val="00377B30"/>
    <w:rsid w:val="00380139"/>
    <w:rsid w:val="00380250"/>
    <w:rsid w:val="00380401"/>
    <w:rsid w:val="003805F3"/>
    <w:rsid w:val="00380687"/>
    <w:rsid w:val="0038083E"/>
    <w:rsid w:val="00380CF9"/>
    <w:rsid w:val="00380DCD"/>
    <w:rsid w:val="00380E04"/>
    <w:rsid w:val="00380F1C"/>
    <w:rsid w:val="00381178"/>
    <w:rsid w:val="00381255"/>
    <w:rsid w:val="00381584"/>
    <w:rsid w:val="003817E3"/>
    <w:rsid w:val="003818A8"/>
    <w:rsid w:val="003818D6"/>
    <w:rsid w:val="00382129"/>
    <w:rsid w:val="0038255C"/>
    <w:rsid w:val="003825BF"/>
    <w:rsid w:val="0038280F"/>
    <w:rsid w:val="0038299E"/>
    <w:rsid w:val="0038301C"/>
    <w:rsid w:val="0038303B"/>
    <w:rsid w:val="00383380"/>
    <w:rsid w:val="0038361C"/>
    <w:rsid w:val="0038367E"/>
    <w:rsid w:val="00383D6C"/>
    <w:rsid w:val="00383DB4"/>
    <w:rsid w:val="00383F74"/>
    <w:rsid w:val="0038406F"/>
    <w:rsid w:val="00384397"/>
    <w:rsid w:val="00384713"/>
    <w:rsid w:val="00384741"/>
    <w:rsid w:val="003847D5"/>
    <w:rsid w:val="00384D02"/>
    <w:rsid w:val="00384D50"/>
    <w:rsid w:val="00385099"/>
    <w:rsid w:val="00385229"/>
    <w:rsid w:val="00385312"/>
    <w:rsid w:val="00385675"/>
    <w:rsid w:val="00385682"/>
    <w:rsid w:val="00385904"/>
    <w:rsid w:val="00385975"/>
    <w:rsid w:val="00385DC7"/>
    <w:rsid w:val="0038628F"/>
    <w:rsid w:val="0038652B"/>
    <w:rsid w:val="00386824"/>
    <w:rsid w:val="003875C6"/>
    <w:rsid w:val="00387C5F"/>
    <w:rsid w:val="00390735"/>
    <w:rsid w:val="003907BE"/>
    <w:rsid w:val="0039098E"/>
    <w:rsid w:val="00390C2C"/>
    <w:rsid w:val="00390EB1"/>
    <w:rsid w:val="003911AF"/>
    <w:rsid w:val="003916BA"/>
    <w:rsid w:val="00391CCB"/>
    <w:rsid w:val="00391E49"/>
    <w:rsid w:val="00391EE0"/>
    <w:rsid w:val="0039236A"/>
    <w:rsid w:val="00392C42"/>
    <w:rsid w:val="00392EF7"/>
    <w:rsid w:val="00393474"/>
    <w:rsid w:val="00393851"/>
    <w:rsid w:val="0039448A"/>
    <w:rsid w:val="00394802"/>
    <w:rsid w:val="003948C5"/>
    <w:rsid w:val="00394920"/>
    <w:rsid w:val="00394A30"/>
    <w:rsid w:val="00395809"/>
    <w:rsid w:val="0039580C"/>
    <w:rsid w:val="0039614F"/>
    <w:rsid w:val="003968E6"/>
    <w:rsid w:val="00396ABB"/>
    <w:rsid w:val="00396B3A"/>
    <w:rsid w:val="00396B5A"/>
    <w:rsid w:val="00396BEC"/>
    <w:rsid w:val="00396C78"/>
    <w:rsid w:val="00396E0D"/>
    <w:rsid w:val="0039736A"/>
    <w:rsid w:val="003973C7"/>
    <w:rsid w:val="00397440"/>
    <w:rsid w:val="00397603"/>
    <w:rsid w:val="00397859"/>
    <w:rsid w:val="003978CD"/>
    <w:rsid w:val="00397B49"/>
    <w:rsid w:val="00397B72"/>
    <w:rsid w:val="00397BC7"/>
    <w:rsid w:val="00397FA1"/>
    <w:rsid w:val="003A02A4"/>
    <w:rsid w:val="003A05B9"/>
    <w:rsid w:val="003A09E7"/>
    <w:rsid w:val="003A11F8"/>
    <w:rsid w:val="003A1C53"/>
    <w:rsid w:val="003A1F50"/>
    <w:rsid w:val="003A203D"/>
    <w:rsid w:val="003A232B"/>
    <w:rsid w:val="003A235F"/>
    <w:rsid w:val="003A2400"/>
    <w:rsid w:val="003A2446"/>
    <w:rsid w:val="003A25F2"/>
    <w:rsid w:val="003A26E8"/>
    <w:rsid w:val="003A29B4"/>
    <w:rsid w:val="003A2AC0"/>
    <w:rsid w:val="003A2BC0"/>
    <w:rsid w:val="003A2BC6"/>
    <w:rsid w:val="003A2F31"/>
    <w:rsid w:val="003A2F9D"/>
    <w:rsid w:val="003A2FCD"/>
    <w:rsid w:val="003A358D"/>
    <w:rsid w:val="003A374D"/>
    <w:rsid w:val="003A3C3C"/>
    <w:rsid w:val="003A3FAB"/>
    <w:rsid w:val="003A40C5"/>
    <w:rsid w:val="003A413B"/>
    <w:rsid w:val="003A422C"/>
    <w:rsid w:val="003A4487"/>
    <w:rsid w:val="003A4702"/>
    <w:rsid w:val="003A496A"/>
    <w:rsid w:val="003A55D8"/>
    <w:rsid w:val="003A563E"/>
    <w:rsid w:val="003A5B0C"/>
    <w:rsid w:val="003A5C49"/>
    <w:rsid w:val="003A5D1A"/>
    <w:rsid w:val="003A5DEE"/>
    <w:rsid w:val="003A62EA"/>
    <w:rsid w:val="003A6532"/>
    <w:rsid w:val="003A6FA3"/>
    <w:rsid w:val="003A7255"/>
    <w:rsid w:val="003A7846"/>
    <w:rsid w:val="003A7AE2"/>
    <w:rsid w:val="003A7B70"/>
    <w:rsid w:val="003A7D37"/>
    <w:rsid w:val="003A7D6D"/>
    <w:rsid w:val="003A7F85"/>
    <w:rsid w:val="003B03CE"/>
    <w:rsid w:val="003B0473"/>
    <w:rsid w:val="003B04DD"/>
    <w:rsid w:val="003B0B44"/>
    <w:rsid w:val="003B0D88"/>
    <w:rsid w:val="003B11D5"/>
    <w:rsid w:val="003B1416"/>
    <w:rsid w:val="003B14B2"/>
    <w:rsid w:val="003B167C"/>
    <w:rsid w:val="003B1932"/>
    <w:rsid w:val="003B1D7B"/>
    <w:rsid w:val="003B26AB"/>
    <w:rsid w:val="003B2C49"/>
    <w:rsid w:val="003B2F8E"/>
    <w:rsid w:val="003B3850"/>
    <w:rsid w:val="003B3994"/>
    <w:rsid w:val="003B39CA"/>
    <w:rsid w:val="003B3E47"/>
    <w:rsid w:val="003B3EE8"/>
    <w:rsid w:val="003B41D6"/>
    <w:rsid w:val="003B4261"/>
    <w:rsid w:val="003B4325"/>
    <w:rsid w:val="003B4368"/>
    <w:rsid w:val="003B4523"/>
    <w:rsid w:val="003B49F7"/>
    <w:rsid w:val="003B4A95"/>
    <w:rsid w:val="003B4AC7"/>
    <w:rsid w:val="003B4E74"/>
    <w:rsid w:val="003B5768"/>
    <w:rsid w:val="003B58C3"/>
    <w:rsid w:val="003B62B5"/>
    <w:rsid w:val="003B6565"/>
    <w:rsid w:val="003B668E"/>
    <w:rsid w:val="003B6786"/>
    <w:rsid w:val="003B67BF"/>
    <w:rsid w:val="003B6DC2"/>
    <w:rsid w:val="003B6F07"/>
    <w:rsid w:val="003B7363"/>
    <w:rsid w:val="003B756D"/>
    <w:rsid w:val="003B794D"/>
    <w:rsid w:val="003B7C1B"/>
    <w:rsid w:val="003B7EAD"/>
    <w:rsid w:val="003C0136"/>
    <w:rsid w:val="003C02A9"/>
    <w:rsid w:val="003C03EB"/>
    <w:rsid w:val="003C0421"/>
    <w:rsid w:val="003C04B0"/>
    <w:rsid w:val="003C0792"/>
    <w:rsid w:val="003C08A3"/>
    <w:rsid w:val="003C1277"/>
    <w:rsid w:val="003C138B"/>
    <w:rsid w:val="003C1456"/>
    <w:rsid w:val="003C176A"/>
    <w:rsid w:val="003C18D7"/>
    <w:rsid w:val="003C1B8F"/>
    <w:rsid w:val="003C1CA5"/>
    <w:rsid w:val="003C1D19"/>
    <w:rsid w:val="003C2059"/>
    <w:rsid w:val="003C2474"/>
    <w:rsid w:val="003C248C"/>
    <w:rsid w:val="003C25A3"/>
    <w:rsid w:val="003C25B1"/>
    <w:rsid w:val="003C2B1A"/>
    <w:rsid w:val="003C3D15"/>
    <w:rsid w:val="003C3FDB"/>
    <w:rsid w:val="003C4829"/>
    <w:rsid w:val="003C48C1"/>
    <w:rsid w:val="003C4A4B"/>
    <w:rsid w:val="003C4B0A"/>
    <w:rsid w:val="003C52B4"/>
    <w:rsid w:val="003C52B9"/>
    <w:rsid w:val="003C55EB"/>
    <w:rsid w:val="003C5859"/>
    <w:rsid w:val="003C5C52"/>
    <w:rsid w:val="003C5E24"/>
    <w:rsid w:val="003C6153"/>
    <w:rsid w:val="003C6A81"/>
    <w:rsid w:val="003C6FD6"/>
    <w:rsid w:val="003C7593"/>
    <w:rsid w:val="003C7F0C"/>
    <w:rsid w:val="003D018B"/>
    <w:rsid w:val="003D034C"/>
    <w:rsid w:val="003D0713"/>
    <w:rsid w:val="003D0A1B"/>
    <w:rsid w:val="003D0A64"/>
    <w:rsid w:val="003D0DBF"/>
    <w:rsid w:val="003D0EBD"/>
    <w:rsid w:val="003D1127"/>
    <w:rsid w:val="003D15CF"/>
    <w:rsid w:val="003D1DE3"/>
    <w:rsid w:val="003D1EAB"/>
    <w:rsid w:val="003D249E"/>
    <w:rsid w:val="003D25E2"/>
    <w:rsid w:val="003D2731"/>
    <w:rsid w:val="003D2A34"/>
    <w:rsid w:val="003D2CC7"/>
    <w:rsid w:val="003D2CE8"/>
    <w:rsid w:val="003D31A0"/>
    <w:rsid w:val="003D32AA"/>
    <w:rsid w:val="003D34D2"/>
    <w:rsid w:val="003D3BAB"/>
    <w:rsid w:val="003D3C42"/>
    <w:rsid w:val="003D3C99"/>
    <w:rsid w:val="003D3D3F"/>
    <w:rsid w:val="003D3E4F"/>
    <w:rsid w:val="003D3FAA"/>
    <w:rsid w:val="003D404C"/>
    <w:rsid w:val="003D40E7"/>
    <w:rsid w:val="003D41C5"/>
    <w:rsid w:val="003D443A"/>
    <w:rsid w:val="003D4A96"/>
    <w:rsid w:val="003D4C86"/>
    <w:rsid w:val="003D5C9F"/>
    <w:rsid w:val="003D5E93"/>
    <w:rsid w:val="003D5F7D"/>
    <w:rsid w:val="003D6043"/>
    <w:rsid w:val="003D61DA"/>
    <w:rsid w:val="003D624E"/>
    <w:rsid w:val="003D643E"/>
    <w:rsid w:val="003D6BBD"/>
    <w:rsid w:val="003D6DFF"/>
    <w:rsid w:val="003D6ED1"/>
    <w:rsid w:val="003D75AC"/>
    <w:rsid w:val="003D7C83"/>
    <w:rsid w:val="003D7D7A"/>
    <w:rsid w:val="003E0072"/>
    <w:rsid w:val="003E031C"/>
    <w:rsid w:val="003E04CF"/>
    <w:rsid w:val="003E0E76"/>
    <w:rsid w:val="003E0E99"/>
    <w:rsid w:val="003E11BE"/>
    <w:rsid w:val="003E122B"/>
    <w:rsid w:val="003E1545"/>
    <w:rsid w:val="003E174D"/>
    <w:rsid w:val="003E17C3"/>
    <w:rsid w:val="003E18A7"/>
    <w:rsid w:val="003E1AD8"/>
    <w:rsid w:val="003E1BB5"/>
    <w:rsid w:val="003E1CF5"/>
    <w:rsid w:val="003E2739"/>
    <w:rsid w:val="003E3242"/>
    <w:rsid w:val="003E332F"/>
    <w:rsid w:val="003E342F"/>
    <w:rsid w:val="003E344F"/>
    <w:rsid w:val="003E35AA"/>
    <w:rsid w:val="003E3624"/>
    <w:rsid w:val="003E36B2"/>
    <w:rsid w:val="003E3F13"/>
    <w:rsid w:val="003E40E0"/>
    <w:rsid w:val="003E419A"/>
    <w:rsid w:val="003E4362"/>
    <w:rsid w:val="003E476E"/>
    <w:rsid w:val="003E4AEF"/>
    <w:rsid w:val="003E4DBE"/>
    <w:rsid w:val="003E51A1"/>
    <w:rsid w:val="003E543B"/>
    <w:rsid w:val="003E5BE7"/>
    <w:rsid w:val="003E5CCD"/>
    <w:rsid w:val="003E6447"/>
    <w:rsid w:val="003E648A"/>
    <w:rsid w:val="003E648F"/>
    <w:rsid w:val="003E6549"/>
    <w:rsid w:val="003E6C8F"/>
    <w:rsid w:val="003E71B4"/>
    <w:rsid w:val="003E7376"/>
    <w:rsid w:val="003E76EA"/>
    <w:rsid w:val="003E7814"/>
    <w:rsid w:val="003E782F"/>
    <w:rsid w:val="003E7D34"/>
    <w:rsid w:val="003E7F70"/>
    <w:rsid w:val="003F0005"/>
    <w:rsid w:val="003F06A5"/>
    <w:rsid w:val="003F0AAB"/>
    <w:rsid w:val="003F11EC"/>
    <w:rsid w:val="003F1910"/>
    <w:rsid w:val="003F1DDA"/>
    <w:rsid w:val="003F1E7A"/>
    <w:rsid w:val="003F1ECE"/>
    <w:rsid w:val="003F1F39"/>
    <w:rsid w:val="003F2204"/>
    <w:rsid w:val="003F2A8D"/>
    <w:rsid w:val="003F2AE2"/>
    <w:rsid w:val="003F2B72"/>
    <w:rsid w:val="003F3219"/>
    <w:rsid w:val="003F323A"/>
    <w:rsid w:val="003F32FB"/>
    <w:rsid w:val="003F3311"/>
    <w:rsid w:val="003F360F"/>
    <w:rsid w:val="003F362C"/>
    <w:rsid w:val="003F38C1"/>
    <w:rsid w:val="003F3A9A"/>
    <w:rsid w:val="003F3CC3"/>
    <w:rsid w:val="003F3DC4"/>
    <w:rsid w:val="003F4545"/>
    <w:rsid w:val="003F5376"/>
    <w:rsid w:val="003F5586"/>
    <w:rsid w:val="003F564D"/>
    <w:rsid w:val="003F5936"/>
    <w:rsid w:val="003F5B46"/>
    <w:rsid w:val="003F5C4A"/>
    <w:rsid w:val="003F5E38"/>
    <w:rsid w:val="003F6474"/>
    <w:rsid w:val="003F647C"/>
    <w:rsid w:val="003F670F"/>
    <w:rsid w:val="003F687A"/>
    <w:rsid w:val="003F6BD7"/>
    <w:rsid w:val="0040015A"/>
    <w:rsid w:val="004001E4"/>
    <w:rsid w:val="004002F0"/>
    <w:rsid w:val="00400814"/>
    <w:rsid w:val="00400B47"/>
    <w:rsid w:val="00400DB7"/>
    <w:rsid w:val="00401086"/>
    <w:rsid w:val="00401202"/>
    <w:rsid w:val="00401A27"/>
    <w:rsid w:val="00401A75"/>
    <w:rsid w:val="00401CCA"/>
    <w:rsid w:val="00401D64"/>
    <w:rsid w:val="00401F60"/>
    <w:rsid w:val="004021E0"/>
    <w:rsid w:val="004027BA"/>
    <w:rsid w:val="00402833"/>
    <w:rsid w:val="00402978"/>
    <w:rsid w:val="00402B08"/>
    <w:rsid w:val="00402C0B"/>
    <w:rsid w:val="00402D7D"/>
    <w:rsid w:val="00402FF5"/>
    <w:rsid w:val="0040310C"/>
    <w:rsid w:val="004038B6"/>
    <w:rsid w:val="004038C6"/>
    <w:rsid w:val="00403AFA"/>
    <w:rsid w:val="00403B7B"/>
    <w:rsid w:val="00403FBA"/>
    <w:rsid w:val="00403FE4"/>
    <w:rsid w:val="00404737"/>
    <w:rsid w:val="004047D0"/>
    <w:rsid w:val="004048EE"/>
    <w:rsid w:val="00404B5E"/>
    <w:rsid w:val="00404D0A"/>
    <w:rsid w:val="00404EA5"/>
    <w:rsid w:val="00405576"/>
    <w:rsid w:val="00405728"/>
    <w:rsid w:val="00405737"/>
    <w:rsid w:val="00405DBC"/>
    <w:rsid w:val="004060D1"/>
    <w:rsid w:val="0040684C"/>
    <w:rsid w:val="00406A7A"/>
    <w:rsid w:val="00406E9B"/>
    <w:rsid w:val="0040716D"/>
    <w:rsid w:val="00407A19"/>
    <w:rsid w:val="00407AB1"/>
    <w:rsid w:val="00407C5F"/>
    <w:rsid w:val="00407CCD"/>
    <w:rsid w:val="00407D9D"/>
    <w:rsid w:val="00407E62"/>
    <w:rsid w:val="00407F97"/>
    <w:rsid w:val="00410170"/>
    <w:rsid w:val="00410496"/>
    <w:rsid w:val="00410760"/>
    <w:rsid w:val="00410A05"/>
    <w:rsid w:val="00410A72"/>
    <w:rsid w:val="00410A89"/>
    <w:rsid w:val="00410AA8"/>
    <w:rsid w:val="00410DE3"/>
    <w:rsid w:val="00410DE4"/>
    <w:rsid w:val="00410E0E"/>
    <w:rsid w:val="00410EC3"/>
    <w:rsid w:val="00410F1B"/>
    <w:rsid w:val="00411000"/>
    <w:rsid w:val="00411338"/>
    <w:rsid w:val="0041144A"/>
    <w:rsid w:val="004118F7"/>
    <w:rsid w:val="00411A8B"/>
    <w:rsid w:val="00411C4C"/>
    <w:rsid w:val="00411E1C"/>
    <w:rsid w:val="00411E43"/>
    <w:rsid w:val="0041218B"/>
    <w:rsid w:val="0041237A"/>
    <w:rsid w:val="004128B7"/>
    <w:rsid w:val="00413414"/>
    <w:rsid w:val="00413457"/>
    <w:rsid w:val="004135D4"/>
    <w:rsid w:val="004135F4"/>
    <w:rsid w:val="00413B4C"/>
    <w:rsid w:val="00413BD7"/>
    <w:rsid w:val="00413BE5"/>
    <w:rsid w:val="0041419B"/>
    <w:rsid w:val="004142E2"/>
    <w:rsid w:val="00414AE8"/>
    <w:rsid w:val="0041505D"/>
    <w:rsid w:val="004151A6"/>
    <w:rsid w:val="00415260"/>
    <w:rsid w:val="0041532A"/>
    <w:rsid w:val="0041590F"/>
    <w:rsid w:val="00415F0D"/>
    <w:rsid w:val="0041603F"/>
    <w:rsid w:val="0041651C"/>
    <w:rsid w:val="00416845"/>
    <w:rsid w:val="004168F3"/>
    <w:rsid w:val="00416BCA"/>
    <w:rsid w:val="00416F50"/>
    <w:rsid w:val="00417655"/>
    <w:rsid w:val="004177D6"/>
    <w:rsid w:val="00417803"/>
    <w:rsid w:val="00417A32"/>
    <w:rsid w:val="00417AB1"/>
    <w:rsid w:val="00420319"/>
    <w:rsid w:val="00420559"/>
    <w:rsid w:val="004206EA"/>
    <w:rsid w:val="00420971"/>
    <w:rsid w:val="00420A13"/>
    <w:rsid w:val="00420E1B"/>
    <w:rsid w:val="00421118"/>
    <w:rsid w:val="004211E4"/>
    <w:rsid w:val="0042128A"/>
    <w:rsid w:val="004212FC"/>
    <w:rsid w:val="0042193C"/>
    <w:rsid w:val="00421A19"/>
    <w:rsid w:val="00422018"/>
    <w:rsid w:val="0042202B"/>
    <w:rsid w:val="00422739"/>
    <w:rsid w:val="00422ECC"/>
    <w:rsid w:val="004232AD"/>
    <w:rsid w:val="0042338B"/>
    <w:rsid w:val="00423439"/>
    <w:rsid w:val="00423790"/>
    <w:rsid w:val="00424856"/>
    <w:rsid w:val="00424BCB"/>
    <w:rsid w:val="0042504B"/>
    <w:rsid w:val="00425241"/>
    <w:rsid w:val="004254CF"/>
    <w:rsid w:val="004257A9"/>
    <w:rsid w:val="00425A52"/>
    <w:rsid w:val="00425AF4"/>
    <w:rsid w:val="00425CA1"/>
    <w:rsid w:val="00425CC2"/>
    <w:rsid w:val="00425D75"/>
    <w:rsid w:val="00426486"/>
    <w:rsid w:val="00426681"/>
    <w:rsid w:val="0042683B"/>
    <w:rsid w:val="00426E08"/>
    <w:rsid w:val="0042701A"/>
    <w:rsid w:val="004270D0"/>
    <w:rsid w:val="0042788A"/>
    <w:rsid w:val="00427A71"/>
    <w:rsid w:val="004300D7"/>
    <w:rsid w:val="00430153"/>
    <w:rsid w:val="004301B0"/>
    <w:rsid w:val="004304F0"/>
    <w:rsid w:val="00430620"/>
    <w:rsid w:val="00430643"/>
    <w:rsid w:val="004308DD"/>
    <w:rsid w:val="004309C1"/>
    <w:rsid w:val="00430AE3"/>
    <w:rsid w:val="0043102E"/>
    <w:rsid w:val="004311BD"/>
    <w:rsid w:val="004313CE"/>
    <w:rsid w:val="004317D6"/>
    <w:rsid w:val="0043195C"/>
    <w:rsid w:val="00431D7B"/>
    <w:rsid w:val="00432212"/>
    <w:rsid w:val="004323D0"/>
    <w:rsid w:val="0043286F"/>
    <w:rsid w:val="004334A3"/>
    <w:rsid w:val="004335C0"/>
    <w:rsid w:val="00434401"/>
    <w:rsid w:val="00434468"/>
    <w:rsid w:val="004344AD"/>
    <w:rsid w:val="004346EE"/>
    <w:rsid w:val="00434986"/>
    <w:rsid w:val="004355E2"/>
    <w:rsid w:val="00436DE5"/>
    <w:rsid w:val="0043753E"/>
    <w:rsid w:val="004378F3"/>
    <w:rsid w:val="0044024F"/>
    <w:rsid w:val="00440630"/>
    <w:rsid w:val="00440689"/>
    <w:rsid w:val="00440772"/>
    <w:rsid w:val="00440A5E"/>
    <w:rsid w:val="00440BC1"/>
    <w:rsid w:val="00440BD7"/>
    <w:rsid w:val="00440D9B"/>
    <w:rsid w:val="00440DA8"/>
    <w:rsid w:val="00440E81"/>
    <w:rsid w:val="00441537"/>
    <w:rsid w:val="0044156F"/>
    <w:rsid w:val="004416CB"/>
    <w:rsid w:val="00441EC1"/>
    <w:rsid w:val="00442F94"/>
    <w:rsid w:val="004431FC"/>
    <w:rsid w:val="004437AB"/>
    <w:rsid w:val="00443EF7"/>
    <w:rsid w:val="004440FE"/>
    <w:rsid w:val="00444559"/>
    <w:rsid w:val="004447AD"/>
    <w:rsid w:val="00444CE7"/>
    <w:rsid w:val="00444D1A"/>
    <w:rsid w:val="00444FF2"/>
    <w:rsid w:val="00445124"/>
    <w:rsid w:val="004452BC"/>
    <w:rsid w:val="004454FF"/>
    <w:rsid w:val="00445809"/>
    <w:rsid w:val="00445BC5"/>
    <w:rsid w:val="004464FD"/>
    <w:rsid w:val="00446AAC"/>
    <w:rsid w:val="00446C60"/>
    <w:rsid w:val="00446DEA"/>
    <w:rsid w:val="00446E16"/>
    <w:rsid w:val="00446E45"/>
    <w:rsid w:val="0044700C"/>
    <w:rsid w:val="00447188"/>
    <w:rsid w:val="00447539"/>
    <w:rsid w:val="00447595"/>
    <w:rsid w:val="00447786"/>
    <w:rsid w:val="004478D7"/>
    <w:rsid w:val="0044795D"/>
    <w:rsid w:val="00447FD3"/>
    <w:rsid w:val="004505C6"/>
    <w:rsid w:val="004507C4"/>
    <w:rsid w:val="00450A11"/>
    <w:rsid w:val="004512F8"/>
    <w:rsid w:val="00451846"/>
    <w:rsid w:val="00451DFF"/>
    <w:rsid w:val="00451E53"/>
    <w:rsid w:val="00451EB0"/>
    <w:rsid w:val="004523F0"/>
    <w:rsid w:val="00452751"/>
    <w:rsid w:val="00452E21"/>
    <w:rsid w:val="004530CC"/>
    <w:rsid w:val="00453365"/>
    <w:rsid w:val="004539A9"/>
    <w:rsid w:val="00454333"/>
    <w:rsid w:val="00454439"/>
    <w:rsid w:val="00454E3A"/>
    <w:rsid w:val="004553DF"/>
    <w:rsid w:val="00455410"/>
    <w:rsid w:val="004556BB"/>
    <w:rsid w:val="00455813"/>
    <w:rsid w:val="00455945"/>
    <w:rsid w:val="00456B6C"/>
    <w:rsid w:val="00456DB3"/>
    <w:rsid w:val="00456E01"/>
    <w:rsid w:val="00456F6C"/>
    <w:rsid w:val="0045734F"/>
    <w:rsid w:val="004576F0"/>
    <w:rsid w:val="0045777F"/>
    <w:rsid w:val="00457F2F"/>
    <w:rsid w:val="00460190"/>
    <w:rsid w:val="004602EC"/>
    <w:rsid w:val="0046032F"/>
    <w:rsid w:val="004603BB"/>
    <w:rsid w:val="0046043D"/>
    <w:rsid w:val="0046044A"/>
    <w:rsid w:val="00460510"/>
    <w:rsid w:val="00460584"/>
    <w:rsid w:val="004605A2"/>
    <w:rsid w:val="00460A61"/>
    <w:rsid w:val="00460AEE"/>
    <w:rsid w:val="00460B5D"/>
    <w:rsid w:val="00460F1A"/>
    <w:rsid w:val="00460F67"/>
    <w:rsid w:val="00461755"/>
    <w:rsid w:val="00461B3B"/>
    <w:rsid w:val="00462143"/>
    <w:rsid w:val="004622E0"/>
    <w:rsid w:val="00462657"/>
    <w:rsid w:val="0046292B"/>
    <w:rsid w:val="0046319C"/>
    <w:rsid w:val="004632B2"/>
    <w:rsid w:val="00463847"/>
    <w:rsid w:val="004639A5"/>
    <w:rsid w:val="00463A4D"/>
    <w:rsid w:val="00463B69"/>
    <w:rsid w:val="00463DFE"/>
    <w:rsid w:val="00463F86"/>
    <w:rsid w:val="00463FA6"/>
    <w:rsid w:val="00464003"/>
    <w:rsid w:val="004642B1"/>
    <w:rsid w:val="004642BD"/>
    <w:rsid w:val="00464387"/>
    <w:rsid w:val="004644C0"/>
    <w:rsid w:val="004645B2"/>
    <w:rsid w:val="004645BE"/>
    <w:rsid w:val="00464617"/>
    <w:rsid w:val="004648C8"/>
    <w:rsid w:val="00465650"/>
    <w:rsid w:val="00465931"/>
    <w:rsid w:val="00465C09"/>
    <w:rsid w:val="00465DFB"/>
    <w:rsid w:val="0046605B"/>
    <w:rsid w:val="004663B8"/>
    <w:rsid w:val="004667B8"/>
    <w:rsid w:val="004669A0"/>
    <w:rsid w:val="00466B85"/>
    <w:rsid w:val="00466DAA"/>
    <w:rsid w:val="004670C7"/>
    <w:rsid w:val="00467194"/>
    <w:rsid w:val="004677B1"/>
    <w:rsid w:val="004679C7"/>
    <w:rsid w:val="00467AB0"/>
    <w:rsid w:val="00467E32"/>
    <w:rsid w:val="004701F6"/>
    <w:rsid w:val="00470450"/>
    <w:rsid w:val="004704DE"/>
    <w:rsid w:val="00470665"/>
    <w:rsid w:val="004706E7"/>
    <w:rsid w:val="0047080E"/>
    <w:rsid w:val="00471CFF"/>
    <w:rsid w:val="00471E26"/>
    <w:rsid w:val="00471FFE"/>
    <w:rsid w:val="004725A0"/>
    <w:rsid w:val="004725AB"/>
    <w:rsid w:val="004726A7"/>
    <w:rsid w:val="00472FAC"/>
    <w:rsid w:val="004730C5"/>
    <w:rsid w:val="004734DC"/>
    <w:rsid w:val="00473AD9"/>
    <w:rsid w:val="00473D17"/>
    <w:rsid w:val="00473D40"/>
    <w:rsid w:val="00473D52"/>
    <w:rsid w:val="00473E77"/>
    <w:rsid w:val="00473EFC"/>
    <w:rsid w:val="004745A5"/>
    <w:rsid w:val="00474DEA"/>
    <w:rsid w:val="00474E03"/>
    <w:rsid w:val="00475011"/>
    <w:rsid w:val="004751BB"/>
    <w:rsid w:val="00475376"/>
    <w:rsid w:val="00475449"/>
    <w:rsid w:val="004754E4"/>
    <w:rsid w:val="00475E72"/>
    <w:rsid w:val="0047601C"/>
    <w:rsid w:val="00476B76"/>
    <w:rsid w:val="00476BC5"/>
    <w:rsid w:val="00476E2D"/>
    <w:rsid w:val="00477157"/>
    <w:rsid w:val="0047717F"/>
    <w:rsid w:val="004777D8"/>
    <w:rsid w:val="00477F75"/>
    <w:rsid w:val="0047A202"/>
    <w:rsid w:val="0047AAE4"/>
    <w:rsid w:val="004809E5"/>
    <w:rsid w:val="0048132A"/>
    <w:rsid w:val="004814F6"/>
    <w:rsid w:val="00481609"/>
    <w:rsid w:val="0048180B"/>
    <w:rsid w:val="00481B6B"/>
    <w:rsid w:val="004823BC"/>
    <w:rsid w:val="00482509"/>
    <w:rsid w:val="0048267D"/>
    <w:rsid w:val="00482E51"/>
    <w:rsid w:val="00482EBD"/>
    <w:rsid w:val="0048322A"/>
    <w:rsid w:val="0048329C"/>
    <w:rsid w:val="00483CA3"/>
    <w:rsid w:val="00484240"/>
    <w:rsid w:val="004847BB"/>
    <w:rsid w:val="00484AE3"/>
    <w:rsid w:val="00484DAE"/>
    <w:rsid w:val="004850DE"/>
    <w:rsid w:val="00485126"/>
    <w:rsid w:val="00485291"/>
    <w:rsid w:val="004852C7"/>
    <w:rsid w:val="004854CD"/>
    <w:rsid w:val="00485701"/>
    <w:rsid w:val="004857A9"/>
    <w:rsid w:val="004858BA"/>
    <w:rsid w:val="004859D5"/>
    <w:rsid w:val="00485EF7"/>
    <w:rsid w:val="0048610F"/>
    <w:rsid w:val="00486928"/>
    <w:rsid w:val="00486B32"/>
    <w:rsid w:val="00486D2E"/>
    <w:rsid w:val="0048704D"/>
    <w:rsid w:val="00487246"/>
    <w:rsid w:val="0048765A"/>
    <w:rsid w:val="00491512"/>
    <w:rsid w:val="00491571"/>
    <w:rsid w:val="004915B2"/>
    <w:rsid w:val="00491640"/>
    <w:rsid w:val="00491B16"/>
    <w:rsid w:val="00491DEF"/>
    <w:rsid w:val="00492252"/>
    <w:rsid w:val="004926B3"/>
    <w:rsid w:val="004927C1"/>
    <w:rsid w:val="00492B92"/>
    <w:rsid w:val="00492C4D"/>
    <w:rsid w:val="00492D1E"/>
    <w:rsid w:val="00492FAD"/>
    <w:rsid w:val="00492FDE"/>
    <w:rsid w:val="004932B1"/>
    <w:rsid w:val="0049380A"/>
    <w:rsid w:val="0049380F"/>
    <w:rsid w:val="00493A2E"/>
    <w:rsid w:val="00493A30"/>
    <w:rsid w:val="00493E67"/>
    <w:rsid w:val="00493EF3"/>
    <w:rsid w:val="004943AF"/>
    <w:rsid w:val="00494527"/>
    <w:rsid w:val="0049466F"/>
    <w:rsid w:val="004947B2"/>
    <w:rsid w:val="0049489C"/>
    <w:rsid w:val="0049492C"/>
    <w:rsid w:val="00495251"/>
    <w:rsid w:val="004954FF"/>
    <w:rsid w:val="00495B60"/>
    <w:rsid w:val="00495BB4"/>
    <w:rsid w:val="00495D4A"/>
    <w:rsid w:val="00496399"/>
    <w:rsid w:val="00496632"/>
    <w:rsid w:val="00496A5D"/>
    <w:rsid w:val="0049720E"/>
    <w:rsid w:val="004972A8"/>
    <w:rsid w:val="00497510"/>
    <w:rsid w:val="0049763D"/>
    <w:rsid w:val="00497816"/>
    <w:rsid w:val="00497D7D"/>
    <w:rsid w:val="00497D7E"/>
    <w:rsid w:val="00497EEF"/>
    <w:rsid w:val="004A01DE"/>
    <w:rsid w:val="004A0364"/>
    <w:rsid w:val="004A0545"/>
    <w:rsid w:val="004A07A6"/>
    <w:rsid w:val="004A0A1F"/>
    <w:rsid w:val="004A0A56"/>
    <w:rsid w:val="004A0C81"/>
    <w:rsid w:val="004A1388"/>
    <w:rsid w:val="004A1692"/>
    <w:rsid w:val="004A1752"/>
    <w:rsid w:val="004A1764"/>
    <w:rsid w:val="004A185F"/>
    <w:rsid w:val="004A1BB8"/>
    <w:rsid w:val="004A1BC3"/>
    <w:rsid w:val="004A209F"/>
    <w:rsid w:val="004A21B0"/>
    <w:rsid w:val="004A2251"/>
    <w:rsid w:val="004A246A"/>
    <w:rsid w:val="004A277C"/>
    <w:rsid w:val="004A292A"/>
    <w:rsid w:val="004A2C51"/>
    <w:rsid w:val="004A3281"/>
    <w:rsid w:val="004A3418"/>
    <w:rsid w:val="004A3679"/>
    <w:rsid w:val="004A38A8"/>
    <w:rsid w:val="004A3C85"/>
    <w:rsid w:val="004A3CA7"/>
    <w:rsid w:val="004A3CAD"/>
    <w:rsid w:val="004A4007"/>
    <w:rsid w:val="004A4389"/>
    <w:rsid w:val="004A4955"/>
    <w:rsid w:val="004A4F45"/>
    <w:rsid w:val="004A54FB"/>
    <w:rsid w:val="004A56BF"/>
    <w:rsid w:val="004A5C85"/>
    <w:rsid w:val="004A5D0E"/>
    <w:rsid w:val="004A62A8"/>
    <w:rsid w:val="004A62C4"/>
    <w:rsid w:val="004A62ED"/>
    <w:rsid w:val="004A63A0"/>
    <w:rsid w:val="004A6591"/>
    <w:rsid w:val="004A6A5D"/>
    <w:rsid w:val="004A6D1C"/>
    <w:rsid w:val="004A6D74"/>
    <w:rsid w:val="004A77DB"/>
    <w:rsid w:val="004A7A63"/>
    <w:rsid w:val="004A7B95"/>
    <w:rsid w:val="004A7F17"/>
    <w:rsid w:val="004A7F4A"/>
    <w:rsid w:val="004A7F8B"/>
    <w:rsid w:val="004B040A"/>
    <w:rsid w:val="004B0557"/>
    <w:rsid w:val="004B059D"/>
    <w:rsid w:val="004B066C"/>
    <w:rsid w:val="004B0814"/>
    <w:rsid w:val="004B107C"/>
    <w:rsid w:val="004B14E2"/>
    <w:rsid w:val="004B1515"/>
    <w:rsid w:val="004B1522"/>
    <w:rsid w:val="004B21D9"/>
    <w:rsid w:val="004B2297"/>
    <w:rsid w:val="004B2520"/>
    <w:rsid w:val="004B2A10"/>
    <w:rsid w:val="004B2BCA"/>
    <w:rsid w:val="004B2E31"/>
    <w:rsid w:val="004B322A"/>
    <w:rsid w:val="004B3744"/>
    <w:rsid w:val="004B3EFD"/>
    <w:rsid w:val="004B3F9A"/>
    <w:rsid w:val="004B4074"/>
    <w:rsid w:val="004B40E7"/>
    <w:rsid w:val="004B4161"/>
    <w:rsid w:val="004B4280"/>
    <w:rsid w:val="004B44B5"/>
    <w:rsid w:val="004B51B5"/>
    <w:rsid w:val="004B5433"/>
    <w:rsid w:val="004B5AD5"/>
    <w:rsid w:val="004B5F3F"/>
    <w:rsid w:val="004B5FF0"/>
    <w:rsid w:val="004B60D4"/>
    <w:rsid w:val="004B62C7"/>
    <w:rsid w:val="004B68D6"/>
    <w:rsid w:val="004B6A38"/>
    <w:rsid w:val="004B6E70"/>
    <w:rsid w:val="004B6F5F"/>
    <w:rsid w:val="004B6F7F"/>
    <w:rsid w:val="004B6FAF"/>
    <w:rsid w:val="004B737F"/>
    <w:rsid w:val="004B756F"/>
    <w:rsid w:val="004B798B"/>
    <w:rsid w:val="004C0073"/>
    <w:rsid w:val="004C0745"/>
    <w:rsid w:val="004C07A9"/>
    <w:rsid w:val="004C07C6"/>
    <w:rsid w:val="004C08AD"/>
    <w:rsid w:val="004C0DA9"/>
    <w:rsid w:val="004C131C"/>
    <w:rsid w:val="004C1671"/>
    <w:rsid w:val="004C1B7A"/>
    <w:rsid w:val="004C1D68"/>
    <w:rsid w:val="004C2679"/>
    <w:rsid w:val="004C2BA4"/>
    <w:rsid w:val="004C2D03"/>
    <w:rsid w:val="004C30C3"/>
    <w:rsid w:val="004C3300"/>
    <w:rsid w:val="004C3B89"/>
    <w:rsid w:val="004C3BD1"/>
    <w:rsid w:val="004C3D60"/>
    <w:rsid w:val="004C4122"/>
    <w:rsid w:val="004C41AE"/>
    <w:rsid w:val="004C44A2"/>
    <w:rsid w:val="004C480C"/>
    <w:rsid w:val="004C4953"/>
    <w:rsid w:val="004C4D5C"/>
    <w:rsid w:val="004C510E"/>
    <w:rsid w:val="004C5223"/>
    <w:rsid w:val="004C5350"/>
    <w:rsid w:val="004C680A"/>
    <w:rsid w:val="004C6F21"/>
    <w:rsid w:val="004C739D"/>
    <w:rsid w:val="004C7584"/>
    <w:rsid w:val="004C75BE"/>
    <w:rsid w:val="004C7DAE"/>
    <w:rsid w:val="004D01B2"/>
    <w:rsid w:val="004D057F"/>
    <w:rsid w:val="004D0E5E"/>
    <w:rsid w:val="004D104E"/>
    <w:rsid w:val="004D1397"/>
    <w:rsid w:val="004D1D86"/>
    <w:rsid w:val="004D2143"/>
    <w:rsid w:val="004D2699"/>
    <w:rsid w:val="004D29FB"/>
    <w:rsid w:val="004D2FBB"/>
    <w:rsid w:val="004D30A4"/>
    <w:rsid w:val="004D31B8"/>
    <w:rsid w:val="004D34B9"/>
    <w:rsid w:val="004D370D"/>
    <w:rsid w:val="004D3879"/>
    <w:rsid w:val="004D3DEE"/>
    <w:rsid w:val="004D3FA0"/>
    <w:rsid w:val="004D4220"/>
    <w:rsid w:val="004D465B"/>
    <w:rsid w:val="004D474A"/>
    <w:rsid w:val="004D4849"/>
    <w:rsid w:val="004D48C6"/>
    <w:rsid w:val="004D4C3C"/>
    <w:rsid w:val="004D4F2D"/>
    <w:rsid w:val="004D5632"/>
    <w:rsid w:val="004D56EC"/>
    <w:rsid w:val="004D57BB"/>
    <w:rsid w:val="004D5C13"/>
    <w:rsid w:val="004D5C14"/>
    <w:rsid w:val="004D5C3F"/>
    <w:rsid w:val="004D5D61"/>
    <w:rsid w:val="004D5E2C"/>
    <w:rsid w:val="004D6256"/>
    <w:rsid w:val="004D63C2"/>
    <w:rsid w:val="004D6500"/>
    <w:rsid w:val="004D6B04"/>
    <w:rsid w:val="004D6BD1"/>
    <w:rsid w:val="004D6D36"/>
    <w:rsid w:val="004D6FCF"/>
    <w:rsid w:val="004D74A2"/>
    <w:rsid w:val="004D7863"/>
    <w:rsid w:val="004D79C7"/>
    <w:rsid w:val="004D7C32"/>
    <w:rsid w:val="004D7CAA"/>
    <w:rsid w:val="004D7FEE"/>
    <w:rsid w:val="004E0044"/>
    <w:rsid w:val="004E01FF"/>
    <w:rsid w:val="004E0211"/>
    <w:rsid w:val="004E0484"/>
    <w:rsid w:val="004E058A"/>
    <w:rsid w:val="004E0768"/>
    <w:rsid w:val="004E0824"/>
    <w:rsid w:val="004E0949"/>
    <w:rsid w:val="004E0F3F"/>
    <w:rsid w:val="004E0F7F"/>
    <w:rsid w:val="004E100C"/>
    <w:rsid w:val="004E190A"/>
    <w:rsid w:val="004E1B5D"/>
    <w:rsid w:val="004E1DBA"/>
    <w:rsid w:val="004E20DA"/>
    <w:rsid w:val="004E30CB"/>
    <w:rsid w:val="004E3762"/>
    <w:rsid w:val="004E3A55"/>
    <w:rsid w:val="004E3C00"/>
    <w:rsid w:val="004E437A"/>
    <w:rsid w:val="004E4A61"/>
    <w:rsid w:val="004E560A"/>
    <w:rsid w:val="004E57B5"/>
    <w:rsid w:val="004E5EF3"/>
    <w:rsid w:val="004E5F37"/>
    <w:rsid w:val="004E5F5A"/>
    <w:rsid w:val="004E5FC7"/>
    <w:rsid w:val="004E61EA"/>
    <w:rsid w:val="004E6650"/>
    <w:rsid w:val="004E6AA0"/>
    <w:rsid w:val="004E6B55"/>
    <w:rsid w:val="004E6DB4"/>
    <w:rsid w:val="004E6E67"/>
    <w:rsid w:val="004E6FF0"/>
    <w:rsid w:val="004E70BA"/>
    <w:rsid w:val="004E77D0"/>
    <w:rsid w:val="004E7898"/>
    <w:rsid w:val="004E79FA"/>
    <w:rsid w:val="004E7B99"/>
    <w:rsid w:val="004E7BE3"/>
    <w:rsid w:val="004F0264"/>
    <w:rsid w:val="004F0970"/>
    <w:rsid w:val="004F11C5"/>
    <w:rsid w:val="004F1427"/>
    <w:rsid w:val="004F16FD"/>
    <w:rsid w:val="004F18CD"/>
    <w:rsid w:val="004F1BE5"/>
    <w:rsid w:val="004F1C83"/>
    <w:rsid w:val="004F2028"/>
    <w:rsid w:val="004F236E"/>
    <w:rsid w:val="004F26BF"/>
    <w:rsid w:val="004F29BC"/>
    <w:rsid w:val="004F3242"/>
    <w:rsid w:val="004F3477"/>
    <w:rsid w:val="004F377A"/>
    <w:rsid w:val="004F38B8"/>
    <w:rsid w:val="004F398E"/>
    <w:rsid w:val="004F3C74"/>
    <w:rsid w:val="004F4041"/>
    <w:rsid w:val="004F4697"/>
    <w:rsid w:val="004F4737"/>
    <w:rsid w:val="004F4E02"/>
    <w:rsid w:val="004F55D0"/>
    <w:rsid w:val="004F57E9"/>
    <w:rsid w:val="004F5ADB"/>
    <w:rsid w:val="004F5CEC"/>
    <w:rsid w:val="004F6157"/>
    <w:rsid w:val="004F6324"/>
    <w:rsid w:val="004F6761"/>
    <w:rsid w:val="004F6A78"/>
    <w:rsid w:val="004F71A3"/>
    <w:rsid w:val="004F76E8"/>
    <w:rsid w:val="004F7B2A"/>
    <w:rsid w:val="00500065"/>
    <w:rsid w:val="005003B5"/>
    <w:rsid w:val="00500618"/>
    <w:rsid w:val="005006D5"/>
    <w:rsid w:val="00500C7B"/>
    <w:rsid w:val="00500D61"/>
    <w:rsid w:val="00500E33"/>
    <w:rsid w:val="00501322"/>
    <w:rsid w:val="0050140E"/>
    <w:rsid w:val="00501968"/>
    <w:rsid w:val="00501AA9"/>
    <w:rsid w:val="00501CED"/>
    <w:rsid w:val="00501FA4"/>
    <w:rsid w:val="00501FD4"/>
    <w:rsid w:val="00502127"/>
    <w:rsid w:val="0050225F"/>
    <w:rsid w:val="0050287C"/>
    <w:rsid w:val="00502C4E"/>
    <w:rsid w:val="00502CA3"/>
    <w:rsid w:val="00502EED"/>
    <w:rsid w:val="00502F19"/>
    <w:rsid w:val="00502F62"/>
    <w:rsid w:val="0050317D"/>
    <w:rsid w:val="005032FA"/>
    <w:rsid w:val="0050336D"/>
    <w:rsid w:val="005035D0"/>
    <w:rsid w:val="00503750"/>
    <w:rsid w:val="00503AFF"/>
    <w:rsid w:val="005042E1"/>
    <w:rsid w:val="00504735"/>
    <w:rsid w:val="00504850"/>
    <w:rsid w:val="00504B2C"/>
    <w:rsid w:val="00504F9C"/>
    <w:rsid w:val="0050516C"/>
    <w:rsid w:val="00505576"/>
    <w:rsid w:val="005058B5"/>
    <w:rsid w:val="00505A8D"/>
    <w:rsid w:val="00505AE2"/>
    <w:rsid w:val="00505CC8"/>
    <w:rsid w:val="005062CD"/>
    <w:rsid w:val="005068C4"/>
    <w:rsid w:val="00506A5E"/>
    <w:rsid w:val="00507255"/>
    <w:rsid w:val="0050745A"/>
    <w:rsid w:val="00507670"/>
    <w:rsid w:val="0050789C"/>
    <w:rsid w:val="00507A08"/>
    <w:rsid w:val="00507A67"/>
    <w:rsid w:val="00510198"/>
    <w:rsid w:val="005103C5"/>
    <w:rsid w:val="0051045E"/>
    <w:rsid w:val="00510715"/>
    <w:rsid w:val="0051079F"/>
    <w:rsid w:val="00510AF5"/>
    <w:rsid w:val="00510FC0"/>
    <w:rsid w:val="005111BC"/>
    <w:rsid w:val="00511292"/>
    <w:rsid w:val="005112EF"/>
    <w:rsid w:val="005112FB"/>
    <w:rsid w:val="00511E80"/>
    <w:rsid w:val="005120AE"/>
    <w:rsid w:val="0051245F"/>
    <w:rsid w:val="00512490"/>
    <w:rsid w:val="00512795"/>
    <w:rsid w:val="00512979"/>
    <w:rsid w:val="00512F9C"/>
    <w:rsid w:val="0051342C"/>
    <w:rsid w:val="005135CF"/>
    <w:rsid w:val="00513642"/>
    <w:rsid w:val="0051379B"/>
    <w:rsid w:val="00513B86"/>
    <w:rsid w:val="00513B98"/>
    <w:rsid w:val="00513D19"/>
    <w:rsid w:val="00513E04"/>
    <w:rsid w:val="0051423B"/>
    <w:rsid w:val="00514647"/>
    <w:rsid w:val="005147D7"/>
    <w:rsid w:val="00514864"/>
    <w:rsid w:val="00514E03"/>
    <w:rsid w:val="00515052"/>
    <w:rsid w:val="005153CC"/>
    <w:rsid w:val="0051544A"/>
    <w:rsid w:val="00515462"/>
    <w:rsid w:val="005157A9"/>
    <w:rsid w:val="00515A1C"/>
    <w:rsid w:val="00515C8E"/>
    <w:rsid w:val="005167C5"/>
    <w:rsid w:val="00516B32"/>
    <w:rsid w:val="00516BBF"/>
    <w:rsid w:val="00516D08"/>
    <w:rsid w:val="00516DF9"/>
    <w:rsid w:val="00516DFB"/>
    <w:rsid w:val="00516F48"/>
    <w:rsid w:val="00517071"/>
    <w:rsid w:val="005170DF"/>
    <w:rsid w:val="005174F1"/>
    <w:rsid w:val="005179EA"/>
    <w:rsid w:val="00517BB5"/>
    <w:rsid w:val="00517C7C"/>
    <w:rsid w:val="00517FEF"/>
    <w:rsid w:val="005209B1"/>
    <w:rsid w:val="00520C59"/>
    <w:rsid w:val="00520F13"/>
    <w:rsid w:val="00521704"/>
    <w:rsid w:val="00521D13"/>
    <w:rsid w:val="00521DAE"/>
    <w:rsid w:val="005220F7"/>
    <w:rsid w:val="005231FA"/>
    <w:rsid w:val="005231FF"/>
    <w:rsid w:val="00523334"/>
    <w:rsid w:val="0052362A"/>
    <w:rsid w:val="00523694"/>
    <w:rsid w:val="00523696"/>
    <w:rsid w:val="00523744"/>
    <w:rsid w:val="00523C63"/>
    <w:rsid w:val="00523EB1"/>
    <w:rsid w:val="0052440D"/>
    <w:rsid w:val="00524577"/>
    <w:rsid w:val="00524FD6"/>
    <w:rsid w:val="00525005"/>
    <w:rsid w:val="00525300"/>
    <w:rsid w:val="00525AB4"/>
    <w:rsid w:val="00525C27"/>
    <w:rsid w:val="00526065"/>
    <w:rsid w:val="00526421"/>
    <w:rsid w:val="00526589"/>
    <w:rsid w:val="0052677A"/>
    <w:rsid w:val="00527080"/>
    <w:rsid w:val="0052727B"/>
    <w:rsid w:val="00527288"/>
    <w:rsid w:val="00527298"/>
    <w:rsid w:val="005273D7"/>
    <w:rsid w:val="00527524"/>
    <w:rsid w:val="00527667"/>
    <w:rsid w:val="005277A5"/>
    <w:rsid w:val="00527828"/>
    <w:rsid w:val="00527A55"/>
    <w:rsid w:val="005301DF"/>
    <w:rsid w:val="0053060F"/>
    <w:rsid w:val="0053095C"/>
    <w:rsid w:val="00530B00"/>
    <w:rsid w:val="005313B8"/>
    <w:rsid w:val="0053186B"/>
    <w:rsid w:val="00531BCA"/>
    <w:rsid w:val="00531BEB"/>
    <w:rsid w:val="00531DC4"/>
    <w:rsid w:val="0053221B"/>
    <w:rsid w:val="005328FF"/>
    <w:rsid w:val="00532E2F"/>
    <w:rsid w:val="00532F70"/>
    <w:rsid w:val="005331FF"/>
    <w:rsid w:val="00533534"/>
    <w:rsid w:val="005336BA"/>
    <w:rsid w:val="005336E5"/>
    <w:rsid w:val="00533E5D"/>
    <w:rsid w:val="00533F1E"/>
    <w:rsid w:val="0053432D"/>
    <w:rsid w:val="00534373"/>
    <w:rsid w:val="005346AF"/>
    <w:rsid w:val="005347D3"/>
    <w:rsid w:val="00534A90"/>
    <w:rsid w:val="00535450"/>
    <w:rsid w:val="00535CE2"/>
    <w:rsid w:val="00535D9F"/>
    <w:rsid w:val="00535F9E"/>
    <w:rsid w:val="005363BC"/>
    <w:rsid w:val="0053650F"/>
    <w:rsid w:val="00536530"/>
    <w:rsid w:val="00536C55"/>
    <w:rsid w:val="00536EA6"/>
    <w:rsid w:val="00536F49"/>
    <w:rsid w:val="005370BF"/>
    <w:rsid w:val="005374C5"/>
    <w:rsid w:val="005400EA"/>
    <w:rsid w:val="0054019A"/>
    <w:rsid w:val="005405E1"/>
    <w:rsid w:val="00540D3C"/>
    <w:rsid w:val="00540DDB"/>
    <w:rsid w:val="00540E19"/>
    <w:rsid w:val="00540F21"/>
    <w:rsid w:val="00540FED"/>
    <w:rsid w:val="00541142"/>
    <w:rsid w:val="005413B8"/>
    <w:rsid w:val="00542017"/>
    <w:rsid w:val="0054213C"/>
    <w:rsid w:val="00542163"/>
    <w:rsid w:val="0054224F"/>
    <w:rsid w:val="00542709"/>
    <w:rsid w:val="005427D2"/>
    <w:rsid w:val="005427DF"/>
    <w:rsid w:val="0054298E"/>
    <w:rsid w:val="00542BBB"/>
    <w:rsid w:val="00542D5F"/>
    <w:rsid w:val="00542D6B"/>
    <w:rsid w:val="00542D6E"/>
    <w:rsid w:val="005433D9"/>
    <w:rsid w:val="005434A7"/>
    <w:rsid w:val="005434E9"/>
    <w:rsid w:val="005437FF"/>
    <w:rsid w:val="00543915"/>
    <w:rsid w:val="005439B6"/>
    <w:rsid w:val="00543C23"/>
    <w:rsid w:val="00543CB3"/>
    <w:rsid w:val="00544044"/>
    <w:rsid w:val="00544057"/>
    <w:rsid w:val="005440CC"/>
    <w:rsid w:val="00544517"/>
    <w:rsid w:val="005445D2"/>
    <w:rsid w:val="005446F0"/>
    <w:rsid w:val="00544EF0"/>
    <w:rsid w:val="0054581D"/>
    <w:rsid w:val="00545EDA"/>
    <w:rsid w:val="005462DC"/>
    <w:rsid w:val="0054634E"/>
    <w:rsid w:val="0054637B"/>
    <w:rsid w:val="00546912"/>
    <w:rsid w:val="00546BDF"/>
    <w:rsid w:val="00546C47"/>
    <w:rsid w:val="00546C72"/>
    <w:rsid w:val="00546E50"/>
    <w:rsid w:val="0054774F"/>
    <w:rsid w:val="0054780F"/>
    <w:rsid w:val="0054787B"/>
    <w:rsid w:val="005478FE"/>
    <w:rsid w:val="00547B59"/>
    <w:rsid w:val="00547BAD"/>
    <w:rsid w:val="00547CF9"/>
    <w:rsid w:val="00547EC6"/>
    <w:rsid w:val="00547F31"/>
    <w:rsid w:val="00550498"/>
    <w:rsid w:val="00550971"/>
    <w:rsid w:val="00550EDA"/>
    <w:rsid w:val="00551137"/>
    <w:rsid w:val="005513D5"/>
    <w:rsid w:val="0055155D"/>
    <w:rsid w:val="00551B29"/>
    <w:rsid w:val="00551B33"/>
    <w:rsid w:val="00551EEC"/>
    <w:rsid w:val="00552097"/>
    <w:rsid w:val="005524F8"/>
    <w:rsid w:val="0055262C"/>
    <w:rsid w:val="005528F6"/>
    <w:rsid w:val="00552910"/>
    <w:rsid w:val="005529E6"/>
    <w:rsid w:val="00552DE3"/>
    <w:rsid w:val="00553467"/>
    <w:rsid w:val="00553837"/>
    <w:rsid w:val="005538FC"/>
    <w:rsid w:val="00553913"/>
    <w:rsid w:val="00553A8F"/>
    <w:rsid w:val="00553FC0"/>
    <w:rsid w:val="00554103"/>
    <w:rsid w:val="00554271"/>
    <w:rsid w:val="0055477B"/>
    <w:rsid w:val="005549BE"/>
    <w:rsid w:val="00554D4D"/>
    <w:rsid w:val="00554EB0"/>
    <w:rsid w:val="005551A5"/>
    <w:rsid w:val="00555330"/>
    <w:rsid w:val="00555924"/>
    <w:rsid w:val="00555CF9"/>
    <w:rsid w:val="00555FCB"/>
    <w:rsid w:val="0055640C"/>
    <w:rsid w:val="00556476"/>
    <w:rsid w:val="005564B8"/>
    <w:rsid w:val="005568E6"/>
    <w:rsid w:val="00556B95"/>
    <w:rsid w:val="00556C5E"/>
    <w:rsid w:val="00556C76"/>
    <w:rsid w:val="00556D52"/>
    <w:rsid w:val="005570BC"/>
    <w:rsid w:val="00557419"/>
    <w:rsid w:val="0055748B"/>
    <w:rsid w:val="005578CF"/>
    <w:rsid w:val="005608E5"/>
    <w:rsid w:val="00560AFC"/>
    <w:rsid w:val="00560B99"/>
    <w:rsid w:val="00560C63"/>
    <w:rsid w:val="00560C8E"/>
    <w:rsid w:val="00560CA4"/>
    <w:rsid w:val="00560DEE"/>
    <w:rsid w:val="005612DB"/>
    <w:rsid w:val="00561609"/>
    <w:rsid w:val="0056166E"/>
    <w:rsid w:val="0056171C"/>
    <w:rsid w:val="00561CF3"/>
    <w:rsid w:val="00561EB7"/>
    <w:rsid w:val="005620A7"/>
    <w:rsid w:val="00562194"/>
    <w:rsid w:val="00562433"/>
    <w:rsid w:val="00562718"/>
    <w:rsid w:val="00563100"/>
    <w:rsid w:val="005634EF"/>
    <w:rsid w:val="00563523"/>
    <w:rsid w:val="005636B2"/>
    <w:rsid w:val="005638B3"/>
    <w:rsid w:val="00563B74"/>
    <w:rsid w:val="00564939"/>
    <w:rsid w:val="00564CBE"/>
    <w:rsid w:val="00565039"/>
    <w:rsid w:val="00565111"/>
    <w:rsid w:val="005653D2"/>
    <w:rsid w:val="005653FE"/>
    <w:rsid w:val="005654A5"/>
    <w:rsid w:val="005656C2"/>
    <w:rsid w:val="00566184"/>
    <w:rsid w:val="005663F7"/>
    <w:rsid w:val="0056648E"/>
    <w:rsid w:val="00566BE2"/>
    <w:rsid w:val="00566DFC"/>
    <w:rsid w:val="005673DE"/>
    <w:rsid w:val="00567733"/>
    <w:rsid w:val="00567F0C"/>
    <w:rsid w:val="00567F97"/>
    <w:rsid w:val="00570447"/>
    <w:rsid w:val="00570625"/>
    <w:rsid w:val="005709B8"/>
    <w:rsid w:val="00570F68"/>
    <w:rsid w:val="0057178D"/>
    <w:rsid w:val="00571ADB"/>
    <w:rsid w:val="00572171"/>
    <w:rsid w:val="00572432"/>
    <w:rsid w:val="005725DC"/>
    <w:rsid w:val="005726A5"/>
    <w:rsid w:val="00572992"/>
    <w:rsid w:val="005729FB"/>
    <w:rsid w:val="00572D78"/>
    <w:rsid w:val="005730CF"/>
    <w:rsid w:val="0057311A"/>
    <w:rsid w:val="0057349B"/>
    <w:rsid w:val="0057375C"/>
    <w:rsid w:val="005737F5"/>
    <w:rsid w:val="00573CC4"/>
    <w:rsid w:val="00573DDC"/>
    <w:rsid w:val="00573F7B"/>
    <w:rsid w:val="00574250"/>
    <w:rsid w:val="005744B5"/>
    <w:rsid w:val="005745AA"/>
    <w:rsid w:val="00574A62"/>
    <w:rsid w:val="00574B4D"/>
    <w:rsid w:val="00574C18"/>
    <w:rsid w:val="00575094"/>
    <w:rsid w:val="005750FE"/>
    <w:rsid w:val="0057534C"/>
    <w:rsid w:val="00575C4B"/>
    <w:rsid w:val="00575FFE"/>
    <w:rsid w:val="0057619D"/>
    <w:rsid w:val="00576A08"/>
    <w:rsid w:val="00576A6D"/>
    <w:rsid w:val="00576C3D"/>
    <w:rsid w:val="00577069"/>
    <w:rsid w:val="0057709B"/>
    <w:rsid w:val="00577149"/>
    <w:rsid w:val="005772BC"/>
    <w:rsid w:val="00577E20"/>
    <w:rsid w:val="00577F89"/>
    <w:rsid w:val="0058019F"/>
    <w:rsid w:val="00580612"/>
    <w:rsid w:val="00580D66"/>
    <w:rsid w:val="00580D6A"/>
    <w:rsid w:val="00580F6E"/>
    <w:rsid w:val="00580F7D"/>
    <w:rsid w:val="005811DB"/>
    <w:rsid w:val="0058180B"/>
    <w:rsid w:val="005819EC"/>
    <w:rsid w:val="00581C15"/>
    <w:rsid w:val="00581C1C"/>
    <w:rsid w:val="00581C25"/>
    <w:rsid w:val="00581D6B"/>
    <w:rsid w:val="00582308"/>
    <w:rsid w:val="0058249F"/>
    <w:rsid w:val="00582864"/>
    <w:rsid w:val="00582E36"/>
    <w:rsid w:val="00582F70"/>
    <w:rsid w:val="00582FB0"/>
    <w:rsid w:val="0058362F"/>
    <w:rsid w:val="005837E2"/>
    <w:rsid w:val="0058380B"/>
    <w:rsid w:val="00584438"/>
    <w:rsid w:val="0058447F"/>
    <w:rsid w:val="005845A7"/>
    <w:rsid w:val="005847A0"/>
    <w:rsid w:val="0058490E"/>
    <w:rsid w:val="005849B9"/>
    <w:rsid w:val="00584A2E"/>
    <w:rsid w:val="00584C85"/>
    <w:rsid w:val="005852D2"/>
    <w:rsid w:val="00585C0E"/>
    <w:rsid w:val="00586078"/>
    <w:rsid w:val="0058651A"/>
    <w:rsid w:val="00586558"/>
    <w:rsid w:val="00586589"/>
    <w:rsid w:val="0058665E"/>
    <w:rsid w:val="0058670D"/>
    <w:rsid w:val="00586721"/>
    <w:rsid w:val="0058684B"/>
    <w:rsid w:val="00586BF0"/>
    <w:rsid w:val="00586D17"/>
    <w:rsid w:val="00586D51"/>
    <w:rsid w:val="0058731B"/>
    <w:rsid w:val="0058751E"/>
    <w:rsid w:val="00587725"/>
    <w:rsid w:val="00587A78"/>
    <w:rsid w:val="00587E37"/>
    <w:rsid w:val="00590468"/>
    <w:rsid w:val="005904C9"/>
    <w:rsid w:val="005904CF"/>
    <w:rsid w:val="005907DB"/>
    <w:rsid w:val="00590817"/>
    <w:rsid w:val="00590CDC"/>
    <w:rsid w:val="005914FB"/>
    <w:rsid w:val="00591C89"/>
    <w:rsid w:val="00591E9B"/>
    <w:rsid w:val="00591ED3"/>
    <w:rsid w:val="00591FA3"/>
    <w:rsid w:val="0059208D"/>
    <w:rsid w:val="0059231D"/>
    <w:rsid w:val="005923D2"/>
    <w:rsid w:val="0059253B"/>
    <w:rsid w:val="00593420"/>
    <w:rsid w:val="005934B2"/>
    <w:rsid w:val="0059372C"/>
    <w:rsid w:val="0059387E"/>
    <w:rsid w:val="00593C2B"/>
    <w:rsid w:val="0059401F"/>
    <w:rsid w:val="005940FC"/>
    <w:rsid w:val="005942EE"/>
    <w:rsid w:val="00594A19"/>
    <w:rsid w:val="005950DA"/>
    <w:rsid w:val="00595319"/>
    <w:rsid w:val="005958E5"/>
    <w:rsid w:val="0059592A"/>
    <w:rsid w:val="00595AB2"/>
    <w:rsid w:val="00596287"/>
    <w:rsid w:val="00596537"/>
    <w:rsid w:val="0059659A"/>
    <w:rsid w:val="005966AA"/>
    <w:rsid w:val="005974E8"/>
    <w:rsid w:val="00597620"/>
    <w:rsid w:val="005976D8"/>
    <w:rsid w:val="005977C0"/>
    <w:rsid w:val="00597877"/>
    <w:rsid w:val="005978CD"/>
    <w:rsid w:val="00597A5D"/>
    <w:rsid w:val="00597ABF"/>
    <w:rsid w:val="00597B49"/>
    <w:rsid w:val="00597BDF"/>
    <w:rsid w:val="00597C2A"/>
    <w:rsid w:val="005A01E6"/>
    <w:rsid w:val="005A04CC"/>
    <w:rsid w:val="005A1508"/>
    <w:rsid w:val="005A1B83"/>
    <w:rsid w:val="005A1CC6"/>
    <w:rsid w:val="005A1E0E"/>
    <w:rsid w:val="005A22DA"/>
    <w:rsid w:val="005A2501"/>
    <w:rsid w:val="005A2701"/>
    <w:rsid w:val="005A2E41"/>
    <w:rsid w:val="005A2E54"/>
    <w:rsid w:val="005A3117"/>
    <w:rsid w:val="005A403F"/>
    <w:rsid w:val="005A429E"/>
    <w:rsid w:val="005A4970"/>
    <w:rsid w:val="005A497C"/>
    <w:rsid w:val="005A4B2F"/>
    <w:rsid w:val="005A4CD5"/>
    <w:rsid w:val="005A4DC3"/>
    <w:rsid w:val="005A504B"/>
    <w:rsid w:val="005A54A2"/>
    <w:rsid w:val="005A5586"/>
    <w:rsid w:val="005A585F"/>
    <w:rsid w:val="005A5EDE"/>
    <w:rsid w:val="005A65D5"/>
    <w:rsid w:val="005A66CB"/>
    <w:rsid w:val="005A6791"/>
    <w:rsid w:val="005A67FF"/>
    <w:rsid w:val="005A6814"/>
    <w:rsid w:val="005A68F4"/>
    <w:rsid w:val="005A6970"/>
    <w:rsid w:val="005A6E81"/>
    <w:rsid w:val="005A713B"/>
    <w:rsid w:val="005A784A"/>
    <w:rsid w:val="005B0449"/>
    <w:rsid w:val="005B06C0"/>
    <w:rsid w:val="005B07EA"/>
    <w:rsid w:val="005B080B"/>
    <w:rsid w:val="005B089A"/>
    <w:rsid w:val="005B0BC2"/>
    <w:rsid w:val="005B0C50"/>
    <w:rsid w:val="005B0C56"/>
    <w:rsid w:val="005B1182"/>
    <w:rsid w:val="005B1563"/>
    <w:rsid w:val="005B17E1"/>
    <w:rsid w:val="005B18FA"/>
    <w:rsid w:val="005B1DD6"/>
    <w:rsid w:val="005B2270"/>
    <w:rsid w:val="005B22E3"/>
    <w:rsid w:val="005B2957"/>
    <w:rsid w:val="005B29C6"/>
    <w:rsid w:val="005B29E6"/>
    <w:rsid w:val="005B2F28"/>
    <w:rsid w:val="005B3226"/>
    <w:rsid w:val="005B3DB8"/>
    <w:rsid w:val="005B3E3B"/>
    <w:rsid w:val="005B3FF0"/>
    <w:rsid w:val="005B4145"/>
    <w:rsid w:val="005B4164"/>
    <w:rsid w:val="005B416A"/>
    <w:rsid w:val="005B41B4"/>
    <w:rsid w:val="005B4371"/>
    <w:rsid w:val="005B450D"/>
    <w:rsid w:val="005B47E0"/>
    <w:rsid w:val="005B4B80"/>
    <w:rsid w:val="005B4E38"/>
    <w:rsid w:val="005B504F"/>
    <w:rsid w:val="005B521F"/>
    <w:rsid w:val="005B59DC"/>
    <w:rsid w:val="005B6037"/>
    <w:rsid w:val="005B675F"/>
    <w:rsid w:val="005B678B"/>
    <w:rsid w:val="005B6C03"/>
    <w:rsid w:val="005B7040"/>
    <w:rsid w:val="005B7816"/>
    <w:rsid w:val="005B7ACA"/>
    <w:rsid w:val="005B7BF5"/>
    <w:rsid w:val="005B7DDF"/>
    <w:rsid w:val="005C01CE"/>
    <w:rsid w:val="005C0316"/>
    <w:rsid w:val="005C046C"/>
    <w:rsid w:val="005C0C79"/>
    <w:rsid w:val="005C10D0"/>
    <w:rsid w:val="005C1354"/>
    <w:rsid w:val="005C1537"/>
    <w:rsid w:val="005C1636"/>
    <w:rsid w:val="005C1B9B"/>
    <w:rsid w:val="005C1CC6"/>
    <w:rsid w:val="005C1F2A"/>
    <w:rsid w:val="005C259B"/>
    <w:rsid w:val="005C2619"/>
    <w:rsid w:val="005C2734"/>
    <w:rsid w:val="005C2CAD"/>
    <w:rsid w:val="005C30BB"/>
    <w:rsid w:val="005C3649"/>
    <w:rsid w:val="005C39A4"/>
    <w:rsid w:val="005C3BE1"/>
    <w:rsid w:val="005C3C96"/>
    <w:rsid w:val="005C4BE1"/>
    <w:rsid w:val="005C4BEC"/>
    <w:rsid w:val="005C4DB0"/>
    <w:rsid w:val="005C4E25"/>
    <w:rsid w:val="005C4FB0"/>
    <w:rsid w:val="005C520D"/>
    <w:rsid w:val="005C5B1A"/>
    <w:rsid w:val="005C5E97"/>
    <w:rsid w:val="005C5EFD"/>
    <w:rsid w:val="005C6005"/>
    <w:rsid w:val="005C6713"/>
    <w:rsid w:val="005C688E"/>
    <w:rsid w:val="005C6ECD"/>
    <w:rsid w:val="005C7012"/>
    <w:rsid w:val="005C76CC"/>
    <w:rsid w:val="005C7748"/>
    <w:rsid w:val="005C7C62"/>
    <w:rsid w:val="005C7D6D"/>
    <w:rsid w:val="005C7F5D"/>
    <w:rsid w:val="005D01E1"/>
    <w:rsid w:val="005D050C"/>
    <w:rsid w:val="005D0985"/>
    <w:rsid w:val="005D09D2"/>
    <w:rsid w:val="005D0A5A"/>
    <w:rsid w:val="005D0F4A"/>
    <w:rsid w:val="005D0F59"/>
    <w:rsid w:val="005D0FD3"/>
    <w:rsid w:val="005D10A6"/>
    <w:rsid w:val="005D116B"/>
    <w:rsid w:val="005D144D"/>
    <w:rsid w:val="005D1B9C"/>
    <w:rsid w:val="005D1BCF"/>
    <w:rsid w:val="005D250D"/>
    <w:rsid w:val="005D2536"/>
    <w:rsid w:val="005D26DF"/>
    <w:rsid w:val="005D2BB0"/>
    <w:rsid w:val="005D2D12"/>
    <w:rsid w:val="005D2F67"/>
    <w:rsid w:val="005D2F8D"/>
    <w:rsid w:val="005D32D6"/>
    <w:rsid w:val="005D352E"/>
    <w:rsid w:val="005D3DE3"/>
    <w:rsid w:val="005D4173"/>
    <w:rsid w:val="005D4419"/>
    <w:rsid w:val="005D4810"/>
    <w:rsid w:val="005D4817"/>
    <w:rsid w:val="005D56F2"/>
    <w:rsid w:val="005D5987"/>
    <w:rsid w:val="005D5E94"/>
    <w:rsid w:val="005D6258"/>
    <w:rsid w:val="005D68D8"/>
    <w:rsid w:val="005D68F4"/>
    <w:rsid w:val="005D7BB0"/>
    <w:rsid w:val="005D7FFA"/>
    <w:rsid w:val="005E048C"/>
    <w:rsid w:val="005E05AF"/>
    <w:rsid w:val="005E0790"/>
    <w:rsid w:val="005E0EAB"/>
    <w:rsid w:val="005E0ED5"/>
    <w:rsid w:val="005E1173"/>
    <w:rsid w:val="005E142A"/>
    <w:rsid w:val="005E1734"/>
    <w:rsid w:val="005E17D2"/>
    <w:rsid w:val="005E2338"/>
    <w:rsid w:val="005E24AE"/>
    <w:rsid w:val="005E25B8"/>
    <w:rsid w:val="005E265F"/>
    <w:rsid w:val="005E29D7"/>
    <w:rsid w:val="005E2C5E"/>
    <w:rsid w:val="005E2DAC"/>
    <w:rsid w:val="005E369A"/>
    <w:rsid w:val="005E3A85"/>
    <w:rsid w:val="005E3B03"/>
    <w:rsid w:val="005E3E70"/>
    <w:rsid w:val="005E4193"/>
    <w:rsid w:val="005E42DE"/>
    <w:rsid w:val="005E43C5"/>
    <w:rsid w:val="005E4CD4"/>
    <w:rsid w:val="005E4DA3"/>
    <w:rsid w:val="005E50C2"/>
    <w:rsid w:val="005E5AA3"/>
    <w:rsid w:val="005E5AB5"/>
    <w:rsid w:val="005E5C76"/>
    <w:rsid w:val="005E6240"/>
    <w:rsid w:val="005E6331"/>
    <w:rsid w:val="005E6464"/>
    <w:rsid w:val="005E68AA"/>
    <w:rsid w:val="005E68CE"/>
    <w:rsid w:val="005E6EC9"/>
    <w:rsid w:val="005E6F5A"/>
    <w:rsid w:val="005E727A"/>
    <w:rsid w:val="005E788F"/>
    <w:rsid w:val="005E793D"/>
    <w:rsid w:val="005E7AF5"/>
    <w:rsid w:val="005F006C"/>
    <w:rsid w:val="005F0076"/>
    <w:rsid w:val="005F0116"/>
    <w:rsid w:val="005F07D7"/>
    <w:rsid w:val="005F08A0"/>
    <w:rsid w:val="005F0E91"/>
    <w:rsid w:val="005F104B"/>
    <w:rsid w:val="005F16B0"/>
    <w:rsid w:val="005F1AD4"/>
    <w:rsid w:val="005F1CDE"/>
    <w:rsid w:val="005F22D3"/>
    <w:rsid w:val="005F2863"/>
    <w:rsid w:val="005F28EA"/>
    <w:rsid w:val="005F2925"/>
    <w:rsid w:val="005F2BA6"/>
    <w:rsid w:val="005F2DB9"/>
    <w:rsid w:val="005F31CE"/>
    <w:rsid w:val="005F3450"/>
    <w:rsid w:val="005F3557"/>
    <w:rsid w:val="005F3671"/>
    <w:rsid w:val="005F382A"/>
    <w:rsid w:val="005F44CA"/>
    <w:rsid w:val="005F48D5"/>
    <w:rsid w:val="005F4A03"/>
    <w:rsid w:val="005F4A53"/>
    <w:rsid w:val="005F4E92"/>
    <w:rsid w:val="005F5014"/>
    <w:rsid w:val="005F502B"/>
    <w:rsid w:val="005F5143"/>
    <w:rsid w:val="005F51C6"/>
    <w:rsid w:val="005F51F2"/>
    <w:rsid w:val="005F5239"/>
    <w:rsid w:val="005F5E86"/>
    <w:rsid w:val="005F5EF4"/>
    <w:rsid w:val="005F635C"/>
    <w:rsid w:val="005F6410"/>
    <w:rsid w:val="005F65D9"/>
    <w:rsid w:val="005F6752"/>
    <w:rsid w:val="005F6E81"/>
    <w:rsid w:val="005F705E"/>
    <w:rsid w:val="005F765F"/>
    <w:rsid w:val="005F77D8"/>
    <w:rsid w:val="005F7C1B"/>
    <w:rsid w:val="006001A6"/>
    <w:rsid w:val="006004BF"/>
    <w:rsid w:val="006007CC"/>
    <w:rsid w:val="00600ACD"/>
    <w:rsid w:val="00600B52"/>
    <w:rsid w:val="00600BA0"/>
    <w:rsid w:val="00600C67"/>
    <w:rsid w:val="00600F00"/>
    <w:rsid w:val="00601334"/>
    <w:rsid w:val="00601473"/>
    <w:rsid w:val="00601851"/>
    <w:rsid w:val="00601A72"/>
    <w:rsid w:val="00601BC0"/>
    <w:rsid w:val="00601CDD"/>
    <w:rsid w:val="00601E99"/>
    <w:rsid w:val="00602689"/>
    <w:rsid w:val="00602B11"/>
    <w:rsid w:val="00602C12"/>
    <w:rsid w:val="00602DD4"/>
    <w:rsid w:val="00602F05"/>
    <w:rsid w:val="00603248"/>
    <w:rsid w:val="006035CD"/>
    <w:rsid w:val="006037FF"/>
    <w:rsid w:val="00603BA0"/>
    <w:rsid w:val="00603E0E"/>
    <w:rsid w:val="0060430C"/>
    <w:rsid w:val="00604770"/>
    <w:rsid w:val="00604DAB"/>
    <w:rsid w:val="00604FBC"/>
    <w:rsid w:val="00605040"/>
    <w:rsid w:val="00605223"/>
    <w:rsid w:val="0060586D"/>
    <w:rsid w:val="00605B59"/>
    <w:rsid w:val="00605BFF"/>
    <w:rsid w:val="00605C53"/>
    <w:rsid w:val="006060BA"/>
    <w:rsid w:val="0060621C"/>
    <w:rsid w:val="006063A7"/>
    <w:rsid w:val="006066B4"/>
    <w:rsid w:val="0060676A"/>
    <w:rsid w:val="00606813"/>
    <w:rsid w:val="0060735E"/>
    <w:rsid w:val="0060739E"/>
    <w:rsid w:val="00607B18"/>
    <w:rsid w:val="00607D65"/>
    <w:rsid w:val="00607FF2"/>
    <w:rsid w:val="00610249"/>
    <w:rsid w:val="00610B71"/>
    <w:rsid w:val="00610F45"/>
    <w:rsid w:val="00610FE6"/>
    <w:rsid w:val="00610FFB"/>
    <w:rsid w:val="00611069"/>
    <w:rsid w:val="00611230"/>
    <w:rsid w:val="006113B7"/>
    <w:rsid w:val="0061153A"/>
    <w:rsid w:val="00611953"/>
    <w:rsid w:val="00611DE7"/>
    <w:rsid w:val="0061201F"/>
    <w:rsid w:val="00612113"/>
    <w:rsid w:val="006121BF"/>
    <w:rsid w:val="006122EA"/>
    <w:rsid w:val="00612B2F"/>
    <w:rsid w:val="00613154"/>
    <w:rsid w:val="006132CB"/>
    <w:rsid w:val="00613448"/>
    <w:rsid w:val="00613A2E"/>
    <w:rsid w:val="00613AFE"/>
    <w:rsid w:val="00613E05"/>
    <w:rsid w:val="00614181"/>
    <w:rsid w:val="00614473"/>
    <w:rsid w:val="006145E2"/>
    <w:rsid w:val="00614792"/>
    <w:rsid w:val="00614813"/>
    <w:rsid w:val="00614D63"/>
    <w:rsid w:val="00614E6B"/>
    <w:rsid w:val="00614FD4"/>
    <w:rsid w:val="006151FF"/>
    <w:rsid w:val="00615669"/>
    <w:rsid w:val="006156EE"/>
    <w:rsid w:val="0061578C"/>
    <w:rsid w:val="006157F5"/>
    <w:rsid w:val="006158A2"/>
    <w:rsid w:val="00615B58"/>
    <w:rsid w:val="00615D4A"/>
    <w:rsid w:val="00616689"/>
    <w:rsid w:val="00616795"/>
    <w:rsid w:val="006168D0"/>
    <w:rsid w:val="00616B4B"/>
    <w:rsid w:val="00616B71"/>
    <w:rsid w:val="00616C48"/>
    <w:rsid w:val="0061751E"/>
    <w:rsid w:val="00617746"/>
    <w:rsid w:val="00617885"/>
    <w:rsid w:val="006178D0"/>
    <w:rsid w:val="00617B73"/>
    <w:rsid w:val="00617D63"/>
    <w:rsid w:val="006202B7"/>
    <w:rsid w:val="006205C8"/>
    <w:rsid w:val="0062078F"/>
    <w:rsid w:val="00620A1A"/>
    <w:rsid w:val="00620EE2"/>
    <w:rsid w:val="00620F21"/>
    <w:rsid w:val="00620FF4"/>
    <w:rsid w:val="006215C5"/>
    <w:rsid w:val="00621A35"/>
    <w:rsid w:val="00621E7E"/>
    <w:rsid w:val="00622765"/>
    <w:rsid w:val="00622D28"/>
    <w:rsid w:val="00622D69"/>
    <w:rsid w:val="006232D1"/>
    <w:rsid w:val="006233CF"/>
    <w:rsid w:val="00623C53"/>
    <w:rsid w:val="00623DDE"/>
    <w:rsid w:val="00624230"/>
    <w:rsid w:val="006249A0"/>
    <w:rsid w:val="00624BD2"/>
    <w:rsid w:val="006250C9"/>
    <w:rsid w:val="00625362"/>
    <w:rsid w:val="006253FB"/>
    <w:rsid w:val="00625998"/>
    <w:rsid w:val="00625B75"/>
    <w:rsid w:val="00625DD2"/>
    <w:rsid w:val="006260F0"/>
    <w:rsid w:val="006261C6"/>
    <w:rsid w:val="006262F0"/>
    <w:rsid w:val="0062735E"/>
    <w:rsid w:val="00627413"/>
    <w:rsid w:val="0062741D"/>
    <w:rsid w:val="00627747"/>
    <w:rsid w:val="006277E5"/>
    <w:rsid w:val="00630371"/>
    <w:rsid w:val="00630489"/>
    <w:rsid w:val="006304DD"/>
    <w:rsid w:val="00630563"/>
    <w:rsid w:val="0063058B"/>
    <w:rsid w:val="00630643"/>
    <w:rsid w:val="006306C5"/>
    <w:rsid w:val="006310F4"/>
    <w:rsid w:val="00631A73"/>
    <w:rsid w:val="00631A95"/>
    <w:rsid w:val="00631AD0"/>
    <w:rsid w:val="00631B22"/>
    <w:rsid w:val="00631DAA"/>
    <w:rsid w:val="00631F32"/>
    <w:rsid w:val="0063210A"/>
    <w:rsid w:val="006322EB"/>
    <w:rsid w:val="0063262D"/>
    <w:rsid w:val="006326D6"/>
    <w:rsid w:val="00632DCC"/>
    <w:rsid w:val="006332CB"/>
    <w:rsid w:val="0063339C"/>
    <w:rsid w:val="00633449"/>
    <w:rsid w:val="0063349F"/>
    <w:rsid w:val="00633959"/>
    <w:rsid w:val="00633A0C"/>
    <w:rsid w:val="00633A63"/>
    <w:rsid w:val="00633AE4"/>
    <w:rsid w:val="00633B13"/>
    <w:rsid w:val="00634304"/>
    <w:rsid w:val="006346E4"/>
    <w:rsid w:val="00634B55"/>
    <w:rsid w:val="00634DA5"/>
    <w:rsid w:val="006359B2"/>
    <w:rsid w:val="00635C39"/>
    <w:rsid w:val="0063602A"/>
    <w:rsid w:val="00636237"/>
    <w:rsid w:val="006367F8"/>
    <w:rsid w:val="00636ACA"/>
    <w:rsid w:val="0063725E"/>
    <w:rsid w:val="00637CC7"/>
    <w:rsid w:val="00637F22"/>
    <w:rsid w:val="0063EECE"/>
    <w:rsid w:val="0064014C"/>
    <w:rsid w:val="0064042E"/>
    <w:rsid w:val="00640738"/>
    <w:rsid w:val="00640915"/>
    <w:rsid w:val="00640B81"/>
    <w:rsid w:val="00640D1F"/>
    <w:rsid w:val="00640FD1"/>
    <w:rsid w:val="006410F8"/>
    <w:rsid w:val="006415F6"/>
    <w:rsid w:val="00641888"/>
    <w:rsid w:val="00641B31"/>
    <w:rsid w:val="006421F1"/>
    <w:rsid w:val="00642295"/>
    <w:rsid w:val="00642501"/>
    <w:rsid w:val="006425DE"/>
    <w:rsid w:val="006426FF"/>
    <w:rsid w:val="006428C2"/>
    <w:rsid w:val="006429F6"/>
    <w:rsid w:val="00642DD3"/>
    <w:rsid w:val="00642F28"/>
    <w:rsid w:val="00642FF8"/>
    <w:rsid w:val="0064318E"/>
    <w:rsid w:val="00643653"/>
    <w:rsid w:val="006437CF"/>
    <w:rsid w:val="0064394E"/>
    <w:rsid w:val="0064415F"/>
    <w:rsid w:val="00644376"/>
    <w:rsid w:val="006447FD"/>
    <w:rsid w:val="00644A96"/>
    <w:rsid w:val="00644B31"/>
    <w:rsid w:val="00645292"/>
    <w:rsid w:val="00645810"/>
    <w:rsid w:val="006464CD"/>
    <w:rsid w:val="006466CA"/>
    <w:rsid w:val="00646760"/>
    <w:rsid w:val="006469AE"/>
    <w:rsid w:val="00646C49"/>
    <w:rsid w:val="00646E3B"/>
    <w:rsid w:val="00647AF0"/>
    <w:rsid w:val="00647EFA"/>
    <w:rsid w:val="0065008C"/>
    <w:rsid w:val="00650704"/>
    <w:rsid w:val="00650AF0"/>
    <w:rsid w:val="00650DD0"/>
    <w:rsid w:val="006512FB"/>
    <w:rsid w:val="00651565"/>
    <w:rsid w:val="00651998"/>
    <w:rsid w:val="0065200A"/>
    <w:rsid w:val="006521C8"/>
    <w:rsid w:val="00652245"/>
    <w:rsid w:val="00652B6F"/>
    <w:rsid w:val="00652EE4"/>
    <w:rsid w:val="00652F69"/>
    <w:rsid w:val="00653208"/>
    <w:rsid w:val="00653710"/>
    <w:rsid w:val="00653CC7"/>
    <w:rsid w:val="00653FE8"/>
    <w:rsid w:val="006543A1"/>
    <w:rsid w:val="00654421"/>
    <w:rsid w:val="00654C08"/>
    <w:rsid w:val="00654E23"/>
    <w:rsid w:val="00654FDD"/>
    <w:rsid w:val="0065525A"/>
    <w:rsid w:val="0065535D"/>
    <w:rsid w:val="006555CE"/>
    <w:rsid w:val="0065567A"/>
    <w:rsid w:val="00655757"/>
    <w:rsid w:val="006557FE"/>
    <w:rsid w:val="006559E1"/>
    <w:rsid w:val="00655A36"/>
    <w:rsid w:val="00655B0E"/>
    <w:rsid w:val="00656453"/>
    <w:rsid w:val="006564D8"/>
    <w:rsid w:val="006567EE"/>
    <w:rsid w:val="006569E8"/>
    <w:rsid w:val="00656C64"/>
    <w:rsid w:val="00656EDF"/>
    <w:rsid w:val="0065721C"/>
    <w:rsid w:val="0065725C"/>
    <w:rsid w:val="006573FC"/>
    <w:rsid w:val="00657AB4"/>
    <w:rsid w:val="00657BE4"/>
    <w:rsid w:val="00657C07"/>
    <w:rsid w:val="00657F43"/>
    <w:rsid w:val="00660100"/>
    <w:rsid w:val="00660170"/>
    <w:rsid w:val="00660305"/>
    <w:rsid w:val="00660730"/>
    <w:rsid w:val="00660A85"/>
    <w:rsid w:val="00660BC7"/>
    <w:rsid w:val="00660C6B"/>
    <w:rsid w:val="00660E1D"/>
    <w:rsid w:val="00660EB8"/>
    <w:rsid w:val="00660FA3"/>
    <w:rsid w:val="00660FC8"/>
    <w:rsid w:val="00661157"/>
    <w:rsid w:val="006613AF"/>
    <w:rsid w:val="0066142A"/>
    <w:rsid w:val="006615F6"/>
    <w:rsid w:val="00661A5C"/>
    <w:rsid w:val="00661C8D"/>
    <w:rsid w:val="00661DC7"/>
    <w:rsid w:val="0066223C"/>
    <w:rsid w:val="00662288"/>
    <w:rsid w:val="006624D9"/>
    <w:rsid w:val="00662BB1"/>
    <w:rsid w:val="00662D6B"/>
    <w:rsid w:val="00663629"/>
    <w:rsid w:val="00663D09"/>
    <w:rsid w:val="00663F1C"/>
    <w:rsid w:val="00664038"/>
    <w:rsid w:val="006642CC"/>
    <w:rsid w:val="00664367"/>
    <w:rsid w:val="006643AB"/>
    <w:rsid w:val="006646C9"/>
    <w:rsid w:val="0066480C"/>
    <w:rsid w:val="0066499D"/>
    <w:rsid w:val="006649D1"/>
    <w:rsid w:val="00664EEC"/>
    <w:rsid w:val="00665294"/>
    <w:rsid w:val="00665D80"/>
    <w:rsid w:val="00665F18"/>
    <w:rsid w:val="00665F80"/>
    <w:rsid w:val="00666291"/>
    <w:rsid w:val="006662D8"/>
    <w:rsid w:val="006665CC"/>
    <w:rsid w:val="0066696E"/>
    <w:rsid w:val="00666A34"/>
    <w:rsid w:val="00666ADC"/>
    <w:rsid w:val="00666CA9"/>
    <w:rsid w:val="0066755D"/>
    <w:rsid w:val="00667759"/>
    <w:rsid w:val="006678DD"/>
    <w:rsid w:val="00667D14"/>
    <w:rsid w:val="00667E83"/>
    <w:rsid w:val="00667FA4"/>
    <w:rsid w:val="006702A6"/>
    <w:rsid w:val="00670932"/>
    <w:rsid w:val="0067101F"/>
    <w:rsid w:val="00671059"/>
    <w:rsid w:val="0067154F"/>
    <w:rsid w:val="006716B2"/>
    <w:rsid w:val="00671AE1"/>
    <w:rsid w:val="00671E06"/>
    <w:rsid w:val="00671E14"/>
    <w:rsid w:val="006723C2"/>
    <w:rsid w:val="006726BE"/>
    <w:rsid w:val="00672BFF"/>
    <w:rsid w:val="00672C49"/>
    <w:rsid w:val="00672CF2"/>
    <w:rsid w:val="00672EE0"/>
    <w:rsid w:val="00673108"/>
    <w:rsid w:val="00673128"/>
    <w:rsid w:val="006731B1"/>
    <w:rsid w:val="00673663"/>
    <w:rsid w:val="006736E8"/>
    <w:rsid w:val="00673DD7"/>
    <w:rsid w:val="00673F33"/>
    <w:rsid w:val="0067440D"/>
    <w:rsid w:val="006748A6"/>
    <w:rsid w:val="00674BD2"/>
    <w:rsid w:val="0067503D"/>
    <w:rsid w:val="0067513E"/>
    <w:rsid w:val="00675463"/>
    <w:rsid w:val="006758F6"/>
    <w:rsid w:val="00675D59"/>
    <w:rsid w:val="00675F4E"/>
    <w:rsid w:val="0067622E"/>
    <w:rsid w:val="00676525"/>
    <w:rsid w:val="00676CF6"/>
    <w:rsid w:val="00676EF7"/>
    <w:rsid w:val="00677056"/>
    <w:rsid w:val="00677B98"/>
    <w:rsid w:val="00677E48"/>
    <w:rsid w:val="0068019F"/>
    <w:rsid w:val="006804C0"/>
    <w:rsid w:val="0068082B"/>
    <w:rsid w:val="006808C7"/>
    <w:rsid w:val="006808D5"/>
    <w:rsid w:val="00680920"/>
    <w:rsid w:val="00680A15"/>
    <w:rsid w:val="00680B51"/>
    <w:rsid w:val="00680D54"/>
    <w:rsid w:val="00680EBA"/>
    <w:rsid w:val="006811D8"/>
    <w:rsid w:val="00681294"/>
    <w:rsid w:val="006815A2"/>
    <w:rsid w:val="00681627"/>
    <w:rsid w:val="0068172F"/>
    <w:rsid w:val="006817CE"/>
    <w:rsid w:val="00681876"/>
    <w:rsid w:val="00681A69"/>
    <w:rsid w:val="00681AE1"/>
    <w:rsid w:val="00681B8A"/>
    <w:rsid w:val="00681DE5"/>
    <w:rsid w:val="00682165"/>
    <w:rsid w:val="006823C1"/>
    <w:rsid w:val="006824E1"/>
    <w:rsid w:val="00682537"/>
    <w:rsid w:val="00682679"/>
    <w:rsid w:val="0068280D"/>
    <w:rsid w:val="00682C33"/>
    <w:rsid w:val="00682EFB"/>
    <w:rsid w:val="00682F0E"/>
    <w:rsid w:val="00682F86"/>
    <w:rsid w:val="0068336D"/>
    <w:rsid w:val="0068355C"/>
    <w:rsid w:val="00683BB8"/>
    <w:rsid w:val="00683DFF"/>
    <w:rsid w:val="00684775"/>
    <w:rsid w:val="0068488B"/>
    <w:rsid w:val="00684AA0"/>
    <w:rsid w:val="00684B8D"/>
    <w:rsid w:val="00684FBC"/>
    <w:rsid w:val="00685469"/>
    <w:rsid w:val="00685D6B"/>
    <w:rsid w:val="00685EB5"/>
    <w:rsid w:val="00685ECB"/>
    <w:rsid w:val="00685EED"/>
    <w:rsid w:val="006861F6"/>
    <w:rsid w:val="00686281"/>
    <w:rsid w:val="00686416"/>
    <w:rsid w:val="0068643B"/>
    <w:rsid w:val="0068695E"/>
    <w:rsid w:val="00686CF4"/>
    <w:rsid w:val="00686F07"/>
    <w:rsid w:val="00687275"/>
    <w:rsid w:val="006873AA"/>
    <w:rsid w:val="0068783F"/>
    <w:rsid w:val="00687A57"/>
    <w:rsid w:val="00687D74"/>
    <w:rsid w:val="00687D75"/>
    <w:rsid w:val="006901D5"/>
    <w:rsid w:val="006908D6"/>
    <w:rsid w:val="00690D1A"/>
    <w:rsid w:val="00690DBC"/>
    <w:rsid w:val="00690F17"/>
    <w:rsid w:val="00690FD3"/>
    <w:rsid w:val="006912FA"/>
    <w:rsid w:val="00691517"/>
    <w:rsid w:val="006918B7"/>
    <w:rsid w:val="0069234D"/>
    <w:rsid w:val="006923C4"/>
    <w:rsid w:val="006924FB"/>
    <w:rsid w:val="00692A6F"/>
    <w:rsid w:val="00692BDF"/>
    <w:rsid w:val="00692D3A"/>
    <w:rsid w:val="00692E5C"/>
    <w:rsid w:val="0069304A"/>
    <w:rsid w:val="006933F8"/>
    <w:rsid w:val="00693BAE"/>
    <w:rsid w:val="00694171"/>
    <w:rsid w:val="0069429D"/>
    <w:rsid w:val="00694BB8"/>
    <w:rsid w:val="00694CAE"/>
    <w:rsid w:val="00695115"/>
    <w:rsid w:val="0069559D"/>
    <w:rsid w:val="0069598E"/>
    <w:rsid w:val="00695AAF"/>
    <w:rsid w:val="00695BDF"/>
    <w:rsid w:val="00695CA7"/>
    <w:rsid w:val="00695D9C"/>
    <w:rsid w:val="00695EC4"/>
    <w:rsid w:val="00695FD9"/>
    <w:rsid w:val="006962A1"/>
    <w:rsid w:val="00696E4C"/>
    <w:rsid w:val="0069714E"/>
    <w:rsid w:val="0069717B"/>
    <w:rsid w:val="00697191"/>
    <w:rsid w:val="00697269"/>
    <w:rsid w:val="0069779E"/>
    <w:rsid w:val="006979A2"/>
    <w:rsid w:val="00697C13"/>
    <w:rsid w:val="00697C8D"/>
    <w:rsid w:val="00697F63"/>
    <w:rsid w:val="006A01B7"/>
    <w:rsid w:val="006A0872"/>
    <w:rsid w:val="006A0ACA"/>
    <w:rsid w:val="006A0F89"/>
    <w:rsid w:val="006A1172"/>
    <w:rsid w:val="006A11E3"/>
    <w:rsid w:val="006A17CD"/>
    <w:rsid w:val="006A18B1"/>
    <w:rsid w:val="006A1BBE"/>
    <w:rsid w:val="006A22E0"/>
    <w:rsid w:val="006A232D"/>
    <w:rsid w:val="006A2523"/>
    <w:rsid w:val="006A3361"/>
    <w:rsid w:val="006A387F"/>
    <w:rsid w:val="006A3ACF"/>
    <w:rsid w:val="006A3AED"/>
    <w:rsid w:val="006A3C4B"/>
    <w:rsid w:val="006A4DCF"/>
    <w:rsid w:val="006A4E57"/>
    <w:rsid w:val="006A4EFE"/>
    <w:rsid w:val="006A4FC1"/>
    <w:rsid w:val="006A5099"/>
    <w:rsid w:val="006A5222"/>
    <w:rsid w:val="006A523C"/>
    <w:rsid w:val="006A53FF"/>
    <w:rsid w:val="006A5454"/>
    <w:rsid w:val="006A54A6"/>
    <w:rsid w:val="006A54F6"/>
    <w:rsid w:val="006A5560"/>
    <w:rsid w:val="006A585E"/>
    <w:rsid w:val="006A5873"/>
    <w:rsid w:val="006A5A68"/>
    <w:rsid w:val="006A5C40"/>
    <w:rsid w:val="006A5E52"/>
    <w:rsid w:val="006A6485"/>
    <w:rsid w:val="006A6AAF"/>
    <w:rsid w:val="006A7154"/>
    <w:rsid w:val="006A733D"/>
    <w:rsid w:val="006A7B51"/>
    <w:rsid w:val="006A7B5E"/>
    <w:rsid w:val="006B03D1"/>
    <w:rsid w:val="006B0574"/>
    <w:rsid w:val="006B072F"/>
    <w:rsid w:val="006B085A"/>
    <w:rsid w:val="006B0EB7"/>
    <w:rsid w:val="006B18F1"/>
    <w:rsid w:val="006B1AC2"/>
    <w:rsid w:val="006B1DEC"/>
    <w:rsid w:val="006B1FD5"/>
    <w:rsid w:val="006B21C0"/>
    <w:rsid w:val="006B23B9"/>
    <w:rsid w:val="006B2758"/>
    <w:rsid w:val="006B2830"/>
    <w:rsid w:val="006B29C6"/>
    <w:rsid w:val="006B2BEB"/>
    <w:rsid w:val="006B2CEB"/>
    <w:rsid w:val="006B2F21"/>
    <w:rsid w:val="006B3294"/>
    <w:rsid w:val="006B395F"/>
    <w:rsid w:val="006B3B26"/>
    <w:rsid w:val="006B3D98"/>
    <w:rsid w:val="006B3E7F"/>
    <w:rsid w:val="006B4103"/>
    <w:rsid w:val="006B431C"/>
    <w:rsid w:val="006B4E03"/>
    <w:rsid w:val="006B51EC"/>
    <w:rsid w:val="006B5601"/>
    <w:rsid w:val="006B597C"/>
    <w:rsid w:val="006B5B1C"/>
    <w:rsid w:val="006B63CC"/>
    <w:rsid w:val="006B64F5"/>
    <w:rsid w:val="006B65F0"/>
    <w:rsid w:val="006B6B80"/>
    <w:rsid w:val="006B6C59"/>
    <w:rsid w:val="006B6F1E"/>
    <w:rsid w:val="006B70C4"/>
    <w:rsid w:val="006B71F3"/>
    <w:rsid w:val="006B726F"/>
    <w:rsid w:val="006B72CA"/>
    <w:rsid w:val="006B7433"/>
    <w:rsid w:val="006B76D2"/>
    <w:rsid w:val="006C019C"/>
    <w:rsid w:val="006C02FE"/>
    <w:rsid w:val="006C049E"/>
    <w:rsid w:val="006C06F6"/>
    <w:rsid w:val="006C0729"/>
    <w:rsid w:val="006C08DB"/>
    <w:rsid w:val="006C20ED"/>
    <w:rsid w:val="006C2127"/>
    <w:rsid w:val="006C21DE"/>
    <w:rsid w:val="006C267A"/>
    <w:rsid w:val="006C2939"/>
    <w:rsid w:val="006C2BD3"/>
    <w:rsid w:val="006C327A"/>
    <w:rsid w:val="006C33DB"/>
    <w:rsid w:val="006C346A"/>
    <w:rsid w:val="006C3869"/>
    <w:rsid w:val="006C3A0C"/>
    <w:rsid w:val="006C3A7F"/>
    <w:rsid w:val="006C3BF3"/>
    <w:rsid w:val="006C3FC4"/>
    <w:rsid w:val="006C42C9"/>
    <w:rsid w:val="006C45AF"/>
    <w:rsid w:val="006C48AD"/>
    <w:rsid w:val="006C496E"/>
    <w:rsid w:val="006C4972"/>
    <w:rsid w:val="006C569C"/>
    <w:rsid w:val="006C5E4C"/>
    <w:rsid w:val="006C5E65"/>
    <w:rsid w:val="006C5E69"/>
    <w:rsid w:val="006C61D0"/>
    <w:rsid w:val="006C62C5"/>
    <w:rsid w:val="006C6670"/>
    <w:rsid w:val="006C68CA"/>
    <w:rsid w:val="006C6B27"/>
    <w:rsid w:val="006C73BB"/>
    <w:rsid w:val="006C76F4"/>
    <w:rsid w:val="006C787C"/>
    <w:rsid w:val="006C7AF7"/>
    <w:rsid w:val="006C7D10"/>
    <w:rsid w:val="006D0066"/>
    <w:rsid w:val="006D0174"/>
    <w:rsid w:val="006D0207"/>
    <w:rsid w:val="006D026F"/>
    <w:rsid w:val="006D04B5"/>
    <w:rsid w:val="006D0557"/>
    <w:rsid w:val="006D0A73"/>
    <w:rsid w:val="006D0B01"/>
    <w:rsid w:val="006D0BD1"/>
    <w:rsid w:val="006D0CD9"/>
    <w:rsid w:val="006D15D3"/>
    <w:rsid w:val="006D1CA6"/>
    <w:rsid w:val="006D1ED4"/>
    <w:rsid w:val="006D2067"/>
    <w:rsid w:val="006D2351"/>
    <w:rsid w:val="006D268C"/>
    <w:rsid w:val="006D2B89"/>
    <w:rsid w:val="006D2DF1"/>
    <w:rsid w:val="006D341A"/>
    <w:rsid w:val="006D3743"/>
    <w:rsid w:val="006D39FC"/>
    <w:rsid w:val="006D3AE4"/>
    <w:rsid w:val="006D3EC2"/>
    <w:rsid w:val="006D3F82"/>
    <w:rsid w:val="006D401E"/>
    <w:rsid w:val="006D4D7F"/>
    <w:rsid w:val="006D4FAD"/>
    <w:rsid w:val="006D54A9"/>
    <w:rsid w:val="006D5A33"/>
    <w:rsid w:val="006D623F"/>
    <w:rsid w:val="006D663A"/>
    <w:rsid w:val="006D69D7"/>
    <w:rsid w:val="006D74D3"/>
    <w:rsid w:val="006D7E7E"/>
    <w:rsid w:val="006D7EF5"/>
    <w:rsid w:val="006E0396"/>
    <w:rsid w:val="006E0699"/>
    <w:rsid w:val="006E0937"/>
    <w:rsid w:val="006E09F0"/>
    <w:rsid w:val="006E0F9F"/>
    <w:rsid w:val="006E1476"/>
    <w:rsid w:val="006E14F5"/>
    <w:rsid w:val="006E1923"/>
    <w:rsid w:val="006E1A32"/>
    <w:rsid w:val="006E1BF9"/>
    <w:rsid w:val="006E1DF2"/>
    <w:rsid w:val="006E26DC"/>
    <w:rsid w:val="006E2C1E"/>
    <w:rsid w:val="006E3003"/>
    <w:rsid w:val="006E3359"/>
    <w:rsid w:val="006E3522"/>
    <w:rsid w:val="006E36A5"/>
    <w:rsid w:val="006E381E"/>
    <w:rsid w:val="006E3906"/>
    <w:rsid w:val="006E3C82"/>
    <w:rsid w:val="006E4511"/>
    <w:rsid w:val="006E49B1"/>
    <w:rsid w:val="006E50ED"/>
    <w:rsid w:val="006E5A10"/>
    <w:rsid w:val="006E6A59"/>
    <w:rsid w:val="006E6AF2"/>
    <w:rsid w:val="006E6B32"/>
    <w:rsid w:val="006E6C3E"/>
    <w:rsid w:val="006E6FE4"/>
    <w:rsid w:val="006E73BF"/>
    <w:rsid w:val="006E7434"/>
    <w:rsid w:val="006E7898"/>
    <w:rsid w:val="006E7B87"/>
    <w:rsid w:val="006F0282"/>
    <w:rsid w:val="006F06DE"/>
    <w:rsid w:val="006F07F2"/>
    <w:rsid w:val="006F0869"/>
    <w:rsid w:val="006F097B"/>
    <w:rsid w:val="006F0B4C"/>
    <w:rsid w:val="006F0DA7"/>
    <w:rsid w:val="006F1698"/>
    <w:rsid w:val="006F16CC"/>
    <w:rsid w:val="006F1A5B"/>
    <w:rsid w:val="006F1A62"/>
    <w:rsid w:val="006F1B45"/>
    <w:rsid w:val="006F2169"/>
    <w:rsid w:val="006F217E"/>
    <w:rsid w:val="006F2788"/>
    <w:rsid w:val="006F28AE"/>
    <w:rsid w:val="006F2A69"/>
    <w:rsid w:val="006F2BDE"/>
    <w:rsid w:val="006F3039"/>
    <w:rsid w:val="006F331E"/>
    <w:rsid w:val="006F335D"/>
    <w:rsid w:val="006F34DC"/>
    <w:rsid w:val="006F3685"/>
    <w:rsid w:val="006F37A6"/>
    <w:rsid w:val="006F37EE"/>
    <w:rsid w:val="006F385D"/>
    <w:rsid w:val="006F3C03"/>
    <w:rsid w:val="006F3F99"/>
    <w:rsid w:val="006F3FB6"/>
    <w:rsid w:val="006F4008"/>
    <w:rsid w:val="006F402A"/>
    <w:rsid w:val="006F4591"/>
    <w:rsid w:val="006F47C0"/>
    <w:rsid w:val="006F4865"/>
    <w:rsid w:val="006F4DA5"/>
    <w:rsid w:val="006F4FD8"/>
    <w:rsid w:val="006F5574"/>
    <w:rsid w:val="006F55DE"/>
    <w:rsid w:val="006F56E5"/>
    <w:rsid w:val="006F5ADB"/>
    <w:rsid w:val="006F5BCB"/>
    <w:rsid w:val="006F5BDD"/>
    <w:rsid w:val="006F5F64"/>
    <w:rsid w:val="006F603F"/>
    <w:rsid w:val="006F64D7"/>
    <w:rsid w:val="006F650E"/>
    <w:rsid w:val="006F6836"/>
    <w:rsid w:val="006F6DA0"/>
    <w:rsid w:val="006F703E"/>
    <w:rsid w:val="006F705B"/>
    <w:rsid w:val="006F7786"/>
    <w:rsid w:val="006F7FD7"/>
    <w:rsid w:val="00700373"/>
    <w:rsid w:val="00700402"/>
    <w:rsid w:val="007005D8"/>
    <w:rsid w:val="00700617"/>
    <w:rsid w:val="0070097E"/>
    <w:rsid w:val="00700CA9"/>
    <w:rsid w:val="00701189"/>
    <w:rsid w:val="0070196E"/>
    <w:rsid w:val="00701C3F"/>
    <w:rsid w:val="0070208D"/>
    <w:rsid w:val="007028F5"/>
    <w:rsid w:val="007029E7"/>
    <w:rsid w:val="00702C81"/>
    <w:rsid w:val="00702FF6"/>
    <w:rsid w:val="00703128"/>
    <w:rsid w:val="00703434"/>
    <w:rsid w:val="007038EF"/>
    <w:rsid w:val="007039F7"/>
    <w:rsid w:val="00703E08"/>
    <w:rsid w:val="00703F4E"/>
    <w:rsid w:val="007043C9"/>
    <w:rsid w:val="00704752"/>
    <w:rsid w:val="007049EF"/>
    <w:rsid w:val="00704A3C"/>
    <w:rsid w:val="00704CA6"/>
    <w:rsid w:val="00705890"/>
    <w:rsid w:val="00705A61"/>
    <w:rsid w:val="00705FCF"/>
    <w:rsid w:val="007063E5"/>
    <w:rsid w:val="00706701"/>
    <w:rsid w:val="007068FD"/>
    <w:rsid w:val="00706C06"/>
    <w:rsid w:val="00706C52"/>
    <w:rsid w:val="00706F49"/>
    <w:rsid w:val="00707174"/>
    <w:rsid w:val="007072F2"/>
    <w:rsid w:val="0070739E"/>
    <w:rsid w:val="00707739"/>
    <w:rsid w:val="0071020D"/>
    <w:rsid w:val="0071022D"/>
    <w:rsid w:val="0071028B"/>
    <w:rsid w:val="007103C4"/>
    <w:rsid w:val="00710879"/>
    <w:rsid w:val="00710DA8"/>
    <w:rsid w:val="00710DCB"/>
    <w:rsid w:val="007110F9"/>
    <w:rsid w:val="00711359"/>
    <w:rsid w:val="00711560"/>
    <w:rsid w:val="007118A2"/>
    <w:rsid w:val="0071195E"/>
    <w:rsid w:val="00711AB5"/>
    <w:rsid w:val="00711AE0"/>
    <w:rsid w:val="007125C2"/>
    <w:rsid w:val="00712792"/>
    <w:rsid w:val="00712D87"/>
    <w:rsid w:val="007130AF"/>
    <w:rsid w:val="00713102"/>
    <w:rsid w:val="0071310E"/>
    <w:rsid w:val="007131EF"/>
    <w:rsid w:val="007139AA"/>
    <w:rsid w:val="00713A5B"/>
    <w:rsid w:val="00713AB2"/>
    <w:rsid w:val="00713B0A"/>
    <w:rsid w:val="00713D30"/>
    <w:rsid w:val="00713EAE"/>
    <w:rsid w:val="00714E2C"/>
    <w:rsid w:val="00714E5C"/>
    <w:rsid w:val="007153ED"/>
    <w:rsid w:val="0071559B"/>
    <w:rsid w:val="0071585F"/>
    <w:rsid w:val="007158EF"/>
    <w:rsid w:val="00715E3F"/>
    <w:rsid w:val="00716049"/>
    <w:rsid w:val="00716062"/>
    <w:rsid w:val="007160BE"/>
    <w:rsid w:val="007165D1"/>
    <w:rsid w:val="00716706"/>
    <w:rsid w:val="00716DC4"/>
    <w:rsid w:val="00717009"/>
    <w:rsid w:val="007170DD"/>
    <w:rsid w:val="007171D7"/>
    <w:rsid w:val="00717683"/>
    <w:rsid w:val="00717958"/>
    <w:rsid w:val="007179DE"/>
    <w:rsid w:val="0071BA43"/>
    <w:rsid w:val="0072002D"/>
    <w:rsid w:val="0072015E"/>
    <w:rsid w:val="00720771"/>
    <w:rsid w:val="007207E7"/>
    <w:rsid w:val="00721BE9"/>
    <w:rsid w:val="00721D42"/>
    <w:rsid w:val="00721D8C"/>
    <w:rsid w:val="00721EF2"/>
    <w:rsid w:val="0072204C"/>
    <w:rsid w:val="0072225F"/>
    <w:rsid w:val="0072258E"/>
    <w:rsid w:val="007226A9"/>
    <w:rsid w:val="0072279C"/>
    <w:rsid w:val="00723294"/>
    <w:rsid w:val="00723D3A"/>
    <w:rsid w:val="00723F2C"/>
    <w:rsid w:val="007242B4"/>
    <w:rsid w:val="007242BA"/>
    <w:rsid w:val="007243ED"/>
    <w:rsid w:val="00724437"/>
    <w:rsid w:val="00724447"/>
    <w:rsid w:val="007245DD"/>
    <w:rsid w:val="007246B6"/>
    <w:rsid w:val="007249A8"/>
    <w:rsid w:val="00724E53"/>
    <w:rsid w:val="0072568B"/>
    <w:rsid w:val="007257EF"/>
    <w:rsid w:val="007258F4"/>
    <w:rsid w:val="00725946"/>
    <w:rsid w:val="0072598E"/>
    <w:rsid w:val="00725A0D"/>
    <w:rsid w:val="00725C2E"/>
    <w:rsid w:val="00725DCB"/>
    <w:rsid w:val="0072600B"/>
    <w:rsid w:val="00726237"/>
    <w:rsid w:val="007262E8"/>
    <w:rsid w:val="0072651B"/>
    <w:rsid w:val="007265B3"/>
    <w:rsid w:val="0072687C"/>
    <w:rsid w:val="00726F09"/>
    <w:rsid w:val="00727130"/>
    <w:rsid w:val="007278AE"/>
    <w:rsid w:val="00727924"/>
    <w:rsid w:val="00727BB3"/>
    <w:rsid w:val="00727C2E"/>
    <w:rsid w:val="007300DA"/>
    <w:rsid w:val="0073052E"/>
    <w:rsid w:val="007306ED"/>
    <w:rsid w:val="007309A5"/>
    <w:rsid w:val="00730B2F"/>
    <w:rsid w:val="00730B5A"/>
    <w:rsid w:val="00730BD9"/>
    <w:rsid w:val="00730C86"/>
    <w:rsid w:val="007312BB"/>
    <w:rsid w:val="0073184A"/>
    <w:rsid w:val="007318CE"/>
    <w:rsid w:val="007319CF"/>
    <w:rsid w:val="00731BA8"/>
    <w:rsid w:val="007323F2"/>
    <w:rsid w:val="00732652"/>
    <w:rsid w:val="0073265E"/>
    <w:rsid w:val="007327B7"/>
    <w:rsid w:val="007327CD"/>
    <w:rsid w:val="00732E8F"/>
    <w:rsid w:val="00732EEC"/>
    <w:rsid w:val="00732FD9"/>
    <w:rsid w:val="0073328F"/>
    <w:rsid w:val="00733563"/>
    <w:rsid w:val="007335BC"/>
    <w:rsid w:val="007338C7"/>
    <w:rsid w:val="00733A9A"/>
    <w:rsid w:val="00733DD2"/>
    <w:rsid w:val="00734571"/>
    <w:rsid w:val="00734853"/>
    <w:rsid w:val="00734915"/>
    <w:rsid w:val="00734D87"/>
    <w:rsid w:val="0073507C"/>
    <w:rsid w:val="00735A6D"/>
    <w:rsid w:val="007362D0"/>
    <w:rsid w:val="007365BB"/>
    <w:rsid w:val="00736918"/>
    <w:rsid w:val="00736B85"/>
    <w:rsid w:val="00736CA7"/>
    <w:rsid w:val="00736EDF"/>
    <w:rsid w:val="00737120"/>
    <w:rsid w:val="0073736E"/>
    <w:rsid w:val="00737454"/>
    <w:rsid w:val="007378E5"/>
    <w:rsid w:val="00737A31"/>
    <w:rsid w:val="00737B3F"/>
    <w:rsid w:val="00737CF9"/>
    <w:rsid w:val="0074002F"/>
    <w:rsid w:val="0074023E"/>
    <w:rsid w:val="007402E8"/>
    <w:rsid w:val="00740348"/>
    <w:rsid w:val="00740D3D"/>
    <w:rsid w:val="00740F3F"/>
    <w:rsid w:val="00741023"/>
    <w:rsid w:val="007417C1"/>
    <w:rsid w:val="00741BDD"/>
    <w:rsid w:val="00742316"/>
    <w:rsid w:val="007424C6"/>
    <w:rsid w:val="0074260A"/>
    <w:rsid w:val="00742675"/>
    <w:rsid w:val="00742684"/>
    <w:rsid w:val="00742714"/>
    <w:rsid w:val="00742A08"/>
    <w:rsid w:val="00742B21"/>
    <w:rsid w:val="00742DFB"/>
    <w:rsid w:val="0074351E"/>
    <w:rsid w:val="0074369A"/>
    <w:rsid w:val="0074410D"/>
    <w:rsid w:val="00744464"/>
    <w:rsid w:val="00744DB3"/>
    <w:rsid w:val="00744FFD"/>
    <w:rsid w:val="007450AA"/>
    <w:rsid w:val="00745666"/>
    <w:rsid w:val="007456F1"/>
    <w:rsid w:val="00745743"/>
    <w:rsid w:val="00746019"/>
    <w:rsid w:val="00746030"/>
    <w:rsid w:val="007460BF"/>
    <w:rsid w:val="00746189"/>
    <w:rsid w:val="007464B7"/>
    <w:rsid w:val="00746977"/>
    <w:rsid w:val="00746A29"/>
    <w:rsid w:val="00746AFB"/>
    <w:rsid w:val="00747518"/>
    <w:rsid w:val="007479E9"/>
    <w:rsid w:val="00747A6B"/>
    <w:rsid w:val="00747D1B"/>
    <w:rsid w:val="00750307"/>
    <w:rsid w:val="00750675"/>
    <w:rsid w:val="00750759"/>
    <w:rsid w:val="00750821"/>
    <w:rsid w:val="00750A82"/>
    <w:rsid w:val="00750AA6"/>
    <w:rsid w:val="00750AF0"/>
    <w:rsid w:val="00750D08"/>
    <w:rsid w:val="007514C4"/>
    <w:rsid w:val="00751899"/>
    <w:rsid w:val="00751BF1"/>
    <w:rsid w:val="00751C6D"/>
    <w:rsid w:val="00751D64"/>
    <w:rsid w:val="00751D7D"/>
    <w:rsid w:val="00751DDD"/>
    <w:rsid w:val="00751E0C"/>
    <w:rsid w:val="00752078"/>
    <w:rsid w:val="00752655"/>
    <w:rsid w:val="007528BC"/>
    <w:rsid w:val="00752D54"/>
    <w:rsid w:val="00752D75"/>
    <w:rsid w:val="00753345"/>
    <w:rsid w:val="00753445"/>
    <w:rsid w:val="0075355F"/>
    <w:rsid w:val="00753745"/>
    <w:rsid w:val="007538DA"/>
    <w:rsid w:val="00753964"/>
    <w:rsid w:val="00753B18"/>
    <w:rsid w:val="00753D75"/>
    <w:rsid w:val="0075457F"/>
    <w:rsid w:val="00754777"/>
    <w:rsid w:val="00754E82"/>
    <w:rsid w:val="0075515A"/>
    <w:rsid w:val="00755838"/>
    <w:rsid w:val="00755E7D"/>
    <w:rsid w:val="00755E9B"/>
    <w:rsid w:val="007566AF"/>
    <w:rsid w:val="007566CC"/>
    <w:rsid w:val="00756F09"/>
    <w:rsid w:val="00756F5A"/>
    <w:rsid w:val="00757061"/>
    <w:rsid w:val="00757214"/>
    <w:rsid w:val="007578A2"/>
    <w:rsid w:val="007579D2"/>
    <w:rsid w:val="00757BC7"/>
    <w:rsid w:val="00757C8F"/>
    <w:rsid w:val="00757C93"/>
    <w:rsid w:val="0075CDBB"/>
    <w:rsid w:val="00760CCA"/>
    <w:rsid w:val="007612CB"/>
    <w:rsid w:val="0076132F"/>
    <w:rsid w:val="0076167F"/>
    <w:rsid w:val="0076173B"/>
    <w:rsid w:val="00761812"/>
    <w:rsid w:val="00761AE3"/>
    <w:rsid w:val="00761C5A"/>
    <w:rsid w:val="00762032"/>
    <w:rsid w:val="00762606"/>
    <w:rsid w:val="00762692"/>
    <w:rsid w:val="00762696"/>
    <w:rsid w:val="0076310B"/>
    <w:rsid w:val="00763259"/>
    <w:rsid w:val="0076330E"/>
    <w:rsid w:val="00763536"/>
    <w:rsid w:val="007635E6"/>
    <w:rsid w:val="00763863"/>
    <w:rsid w:val="00763AC1"/>
    <w:rsid w:val="00763C6D"/>
    <w:rsid w:val="00764394"/>
    <w:rsid w:val="0076444D"/>
    <w:rsid w:val="00764812"/>
    <w:rsid w:val="007649E2"/>
    <w:rsid w:val="00764AC3"/>
    <w:rsid w:val="00765168"/>
    <w:rsid w:val="007659A1"/>
    <w:rsid w:val="00765A3B"/>
    <w:rsid w:val="00765BE3"/>
    <w:rsid w:val="00765F38"/>
    <w:rsid w:val="00766033"/>
    <w:rsid w:val="007662D8"/>
    <w:rsid w:val="00766994"/>
    <w:rsid w:val="00766C97"/>
    <w:rsid w:val="00766E79"/>
    <w:rsid w:val="00767218"/>
    <w:rsid w:val="007673EA"/>
    <w:rsid w:val="00767B62"/>
    <w:rsid w:val="00767B77"/>
    <w:rsid w:val="00767C23"/>
    <w:rsid w:val="00767CA1"/>
    <w:rsid w:val="0076A8A0"/>
    <w:rsid w:val="007702C0"/>
    <w:rsid w:val="0077060A"/>
    <w:rsid w:val="007707F8"/>
    <w:rsid w:val="00770832"/>
    <w:rsid w:val="00770958"/>
    <w:rsid w:val="00770C3D"/>
    <w:rsid w:val="00770C68"/>
    <w:rsid w:val="00770F33"/>
    <w:rsid w:val="00771226"/>
    <w:rsid w:val="0077152E"/>
    <w:rsid w:val="007715BF"/>
    <w:rsid w:val="0077172A"/>
    <w:rsid w:val="00771868"/>
    <w:rsid w:val="00771886"/>
    <w:rsid w:val="007720FC"/>
    <w:rsid w:val="007721EE"/>
    <w:rsid w:val="007722BA"/>
    <w:rsid w:val="007722E3"/>
    <w:rsid w:val="00772368"/>
    <w:rsid w:val="00772479"/>
    <w:rsid w:val="007724F5"/>
    <w:rsid w:val="007726E1"/>
    <w:rsid w:val="00772747"/>
    <w:rsid w:val="007728F3"/>
    <w:rsid w:val="00772DA5"/>
    <w:rsid w:val="00772E67"/>
    <w:rsid w:val="00772EC0"/>
    <w:rsid w:val="00773A5A"/>
    <w:rsid w:val="00773B35"/>
    <w:rsid w:val="00773ED0"/>
    <w:rsid w:val="00773F52"/>
    <w:rsid w:val="00773F89"/>
    <w:rsid w:val="00774967"/>
    <w:rsid w:val="00774B16"/>
    <w:rsid w:val="00774C8F"/>
    <w:rsid w:val="00774CC6"/>
    <w:rsid w:val="00774FE6"/>
    <w:rsid w:val="00775783"/>
    <w:rsid w:val="00775809"/>
    <w:rsid w:val="007759E4"/>
    <w:rsid w:val="007759E9"/>
    <w:rsid w:val="0077617E"/>
    <w:rsid w:val="007766F4"/>
    <w:rsid w:val="0077685A"/>
    <w:rsid w:val="00776893"/>
    <w:rsid w:val="00776FDB"/>
    <w:rsid w:val="007770D6"/>
    <w:rsid w:val="00777A1C"/>
    <w:rsid w:val="00777C81"/>
    <w:rsid w:val="00777F73"/>
    <w:rsid w:val="00779D7B"/>
    <w:rsid w:val="0078036F"/>
    <w:rsid w:val="00780467"/>
    <w:rsid w:val="00780B9A"/>
    <w:rsid w:val="00780D27"/>
    <w:rsid w:val="00781625"/>
    <w:rsid w:val="00781662"/>
    <w:rsid w:val="00781AFA"/>
    <w:rsid w:val="00781D2A"/>
    <w:rsid w:val="00781DBD"/>
    <w:rsid w:val="00782381"/>
    <w:rsid w:val="00782B17"/>
    <w:rsid w:val="00782BA4"/>
    <w:rsid w:val="00782F03"/>
    <w:rsid w:val="007832DF"/>
    <w:rsid w:val="00783716"/>
    <w:rsid w:val="00783BDD"/>
    <w:rsid w:val="00783F51"/>
    <w:rsid w:val="0078450C"/>
    <w:rsid w:val="00784556"/>
    <w:rsid w:val="007851BF"/>
    <w:rsid w:val="00785463"/>
    <w:rsid w:val="00786338"/>
    <w:rsid w:val="007869EE"/>
    <w:rsid w:val="00787148"/>
    <w:rsid w:val="007876CE"/>
    <w:rsid w:val="007879C2"/>
    <w:rsid w:val="00787DA8"/>
    <w:rsid w:val="00787EE1"/>
    <w:rsid w:val="00787FE6"/>
    <w:rsid w:val="00790557"/>
    <w:rsid w:val="00790C10"/>
    <w:rsid w:val="00790DAD"/>
    <w:rsid w:val="0079127E"/>
    <w:rsid w:val="007912FE"/>
    <w:rsid w:val="0079155E"/>
    <w:rsid w:val="0079181B"/>
    <w:rsid w:val="00791ACC"/>
    <w:rsid w:val="00791B16"/>
    <w:rsid w:val="00792276"/>
    <w:rsid w:val="00792306"/>
    <w:rsid w:val="007927C2"/>
    <w:rsid w:val="00792B66"/>
    <w:rsid w:val="00792DFE"/>
    <w:rsid w:val="007931C1"/>
    <w:rsid w:val="00793550"/>
    <w:rsid w:val="007935E5"/>
    <w:rsid w:val="00793678"/>
    <w:rsid w:val="0079373A"/>
    <w:rsid w:val="0079378E"/>
    <w:rsid w:val="00793B06"/>
    <w:rsid w:val="00793CAF"/>
    <w:rsid w:val="00793D45"/>
    <w:rsid w:val="00793D58"/>
    <w:rsid w:val="0079401D"/>
    <w:rsid w:val="00794039"/>
    <w:rsid w:val="00794168"/>
    <w:rsid w:val="00794183"/>
    <w:rsid w:val="0079474A"/>
    <w:rsid w:val="007947C9"/>
    <w:rsid w:val="00794B94"/>
    <w:rsid w:val="00794F7A"/>
    <w:rsid w:val="00794FB4"/>
    <w:rsid w:val="00794FF6"/>
    <w:rsid w:val="0079515A"/>
    <w:rsid w:val="00795223"/>
    <w:rsid w:val="00795237"/>
    <w:rsid w:val="00795266"/>
    <w:rsid w:val="0079565B"/>
    <w:rsid w:val="00795B8C"/>
    <w:rsid w:val="00795E77"/>
    <w:rsid w:val="00796C7E"/>
    <w:rsid w:val="00796EBA"/>
    <w:rsid w:val="00797239"/>
    <w:rsid w:val="0079756D"/>
    <w:rsid w:val="00797591"/>
    <w:rsid w:val="00797C30"/>
    <w:rsid w:val="00797CC1"/>
    <w:rsid w:val="00797F24"/>
    <w:rsid w:val="00797FB2"/>
    <w:rsid w:val="007A0945"/>
    <w:rsid w:val="007A099A"/>
    <w:rsid w:val="007A0C45"/>
    <w:rsid w:val="007A126D"/>
    <w:rsid w:val="007A1826"/>
    <w:rsid w:val="007A19CF"/>
    <w:rsid w:val="007A1A96"/>
    <w:rsid w:val="007A1DB0"/>
    <w:rsid w:val="007A1E3C"/>
    <w:rsid w:val="007A26DD"/>
    <w:rsid w:val="007A2BCB"/>
    <w:rsid w:val="007A2CE2"/>
    <w:rsid w:val="007A3158"/>
    <w:rsid w:val="007A31A8"/>
    <w:rsid w:val="007A3374"/>
    <w:rsid w:val="007A33BE"/>
    <w:rsid w:val="007A346F"/>
    <w:rsid w:val="007A3497"/>
    <w:rsid w:val="007A35B5"/>
    <w:rsid w:val="007A3AA6"/>
    <w:rsid w:val="007A3DCB"/>
    <w:rsid w:val="007A3EA2"/>
    <w:rsid w:val="007A3ED2"/>
    <w:rsid w:val="007A3FFA"/>
    <w:rsid w:val="007A440F"/>
    <w:rsid w:val="007A4836"/>
    <w:rsid w:val="007A4976"/>
    <w:rsid w:val="007A4F44"/>
    <w:rsid w:val="007A5126"/>
    <w:rsid w:val="007A529B"/>
    <w:rsid w:val="007A534D"/>
    <w:rsid w:val="007A58AC"/>
    <w:rsid w:val="007A58D0"/>
    <w:rsid w:val="007A594D"/>
    <w:rsid w:val="007A5A98"/>
    <w:rsid w:val="007A5AB9"/>
    <w:rsid w:val="007A5B66"/>
    <w:rsid w:val="007A5B85"/>
    <w:rsid w:val="007A5BB8"/>
    <w:rsid w:val="007A5C32"/>
    <w:rsid w:val="007A6245"/>
    <w:rsid w:val="007A644B"/>
    <w:rsid w:val="007A65CD"/>
    <w:rsid w:val="007A66F5"/>
    <w:rsid w:val="007A6942"/>
    <w:rsid w:val="007A69FA"/>
    <w:rsid w:val="007A6D29"/>
    <w:rsid w:val="007A6FE4"/>
    <w:rsid w:val="007A7386"/>
    <w:rsid w:val="007A747B"/>
    <w:rsid w:val="007A75A7"/>
    <w:rsid w:val="007A7609"/>
    <w:rsid w:val="007A770E"/>
    <w:rsid w:val="007B00E3"/>
    <w:rsid w:val="007B012A"/>
    <w:rsid w:val="007B06AC"/>
    <w:rsid w:val="007B0791"/>
    <w:rsid w:val="007B0AE7"/>
    <w:rsid w:val="007B0BE9"/>
    <w:rsid w:val="007B0E66"/>
    <w:rsid w:val="007B0ECB"/>
    <w:rsid w:val="007B113E"/>
    <w:rsid w:val="007B11AA"/>
    <w:rsid w:val="007B130A"/>
    <w:rsid w:val="007B14E8"/>
    <w:rsid w:val="007B1AEB"/>
    <w:rsid w:val="007B1D29"/>
    <w:rsid w:val="007B202C"/>
    <w:rsid w:val="007B2142"/>
    <w:rsid w:val="007B21EB"/>
    <w:rsid w:val="007B229C"/>
    <w:rsid w:val="007B2374"/>
    <w:rsid w:val="007B2819"/>
    <w:rsid w:val="007B3B63"/>
    <w:rsid w:val="007B3C0F"/>
    <w:rsid w:val="007B426D"/>
    <w:rsid w:val="007B45E0"/>
    <w:rsid w:val="007B4856"/>
    <w:rsid w:val="007B49D9"/>
    <w:rsid w:val="007B4D07"/>
    <w:rsid w:val="007B4DE7"/>
    <w:rsid w:val="007B509E"/>
    <w:rsid w:val="007B5164"/>
    <w:rsid w:val="007B527B"/>
    <w:rsid w:val="007B576D"/>
    <w:rsid w:val="007B5988"/>
    <w:rsid w:val="007B5A1A"/>
    <w:rsid w:val="007B6485"/>
    <w:rsid w:val="007B6B39"/>
    <w:rsid w:val="007B6DB9"/>
    <w:rsid w:val="007B6DCF"/>
    <w:rsid w:val="007B6E3E"/>
    <w:rsid w:val="007B7045"/>
    <w:rsid w:val="007B70F3"/>
    <w:rsid w:val="007B7160"/>
    <w:rsid w:val="007B7398"/>
    <w:rsid w:val="007B73FD"/>
    <w:rsid w:val="007B7432"/>
    <w:rsid w:val="007B774C"/>
    <w:rsid w:val="007B7BBD"/>
    <w:rsid w:val="007B7CFD"/>
    <w:rsid w:val="007C02F6"/>
    <w:rsid w:val="007C0316"/>
    <w:rsid w:val="007C05A6"/>
    <w:rsid w:val="007C05EC"/>
    <w:rsid w:val="007C0867"/>
    <w:rsid w:val="007C0923"/>
    <w:rsid w:val="007C0C20"/>
    <w:rsid w:val="007C10B9"/>
    <w:rsid w:val="007C121E"/>
    <w:rsid w:val="007C1613"/>
    <w:rsid w:val="007C186F"/>
    <w:rsid w:val="007C197E"/>
    <w:rsid w:val="007C1B40"/>
    <w:rsid w:val="007C2462"/>
    <w:rsid w:val="007C2649"/>
    <w:rsid w:val="007C27D1"/>
    <w:rsid w:val="007C2808"/>
    <w:rsid w:val="007C289F"/>
    <w:rsid w:val="007C2F31"/>
    <w:rsid w:val="007C3102"/>
    <w:rsid w:val="007C320F"/>
    <w:rsid w:val="007C3363"/>
    <w:rsid w:val="007C398D"/>
    <w:rsid w:val="007C3CA0"/>
    <w:rsid w:val="007C3D3E"/>
    <w:rsid w:val="007C3F56"/>
    <w:rsid w:val="007C435C"/>
    <w:rsid w:val="007C43F2"/>
    <w:rsid w:val="007C4850"/>
    <w:rsid w:val="007C48BE"/>
    <w:rsid w:val="007C49DB"/>
    <w:rsid w:val="007C49F7"/>
    <w:rsid w:val="007C4B46"/>
    <w:rsid w:val="007C4C05"/>
    <w:rsid w:val="007C4C15"/>
    <w:rsid w:val="007C4C2C"/>
    <w:rsid w:val="007C4F76"/>
    <w:rsid w:val="007C517A"/>
    <w:rsid w:val="007C56C9"/>
    <w:rsid w:val="007C5824"/>
    <w:rsid w:val="007C599C"/>
    <w:rsid w:val="007C5B4B"/>
    <w:rsid w:val="007C5D7E"/>
    <w:rsid w:val="007C6038"/>
    <w:rsid w:val="007C64C8"/>
    <w:rsid w:val="007C6597"/>
    <w:rsid w:val="007C68E0"/>
    <w:rsid w:val="007C6932"/>
    <w:rsid w:val="007C6A50"/>
    <w:rsid w:val="007C6E40"/>
    <w:rsid w:val="007C6EAF"/>
    <w:rsid w:val="007C6F68"/>
    <w:rsid w:val="007C7272"/>
    <w:rsid w:val="007C7412"/>
    <w:rsid w:val="007C7D74"/>
    <w:rsid w:val="007D0317"/>
    <w:rsid w:val="007D095B"/>
    <w:rsid w:val="007D0FEC"/>
    <w:rsid w:val="007D1254"/>
    <w:rsid w:val="007D128E"/>
    <w:rsid w:val="007D1292"/>
    <w:rsid w:val="007D192C"/>
    <w:rsid w:val="007D238F"/>
    <w:rsid w:val="007D26EC"/>
    <w:rsid w:val="007D2801"/>
    <w:rsid w:val="007D2D4F"/>
    <w:rsid w:val="007D3613"/>
    <w:rsid w:val="007D3DA1"/>
    <w:rsid w:val="007D413E"/>
    <w:rsid w:val="007D416E"/>
    <w:rsid w:val="007D4534"/>
    <w:rsid w:val="007D45F8"/>
    <w:rsid w:val="007D46DD"/>
    <w:rsid w:val="007D485A"/>
    <w:rsid w:val="007D495C"/>
    <w:rsid w:val="007D4CA3"/>
    <w:rsid w:val="007D52E6"/>
    <w:rsid w:val="007D5407"/>
    <w:rsid w:val="007D5596"/>
    <w:rsid w:val="007D5908"/>
    <w:rsid w:val="007D5AC3"/>
    <w:rsid w:val="007D6759"/>
    <w:rsid w:val="007D6A05"/>
    <w:rsid w:val="007D6A5B"/>
    <w:rsid w:val="007D6B28"/>
    <w:rsid w:val="007D704C"/>
    <w:rsid w:val="007D70FB"/>
    <w:rsid w:val="007D71DA"/>
    <w:rsid w:val="007D722E"/>
    <w:rsid w:val="007D734B"/>
    <w:rsid w:val="007D7D28"/>
    <w:rsid w:val="007D7EB8"/>
    <w:rsid w:val="007D7F8A"/>
    <w:rsid w:val="007E009B"/>
    <w:rsid w:val="007E089B"/>
    <w:rsid w:val="007E0A3D"/>
    <w:rsid w:val="007E0BE8"/>
    <w:rsid w:val="007E0D6B"/>
    <w:rsid w:val="007E1096"/>
    <w:rsid w:val="007E153B"/>
    <w:rsid w:val="007E15DB"/>
    <w:rsid w:val="007E1621"/>
    <w:rsid w:val="007E1BB1"/>
    <w:rsid w:val="007E1CB8"/>
    <w:rsid w:val="007E1EE8"/>
    <w:rsid w:val="007E1FF8"/>
    <w:rsid w:val="007E2620"/>
    <w:rsid w:val="007E2AAA"/>
    <w:rsid w:val="007E3DF2"/>
    <w:rsid w:val="007E423B"/>
    <w:rsid w:val="007E5153"/>
    <w:rsid w:val="007E54D9"/>
    <w:rsid w:val="007E5575"/>
    <w:rsid w:val="007E57AA"/>
    <w:rsid w:val="007E57B3"/>
    <w:rsid w:val="007E5998"/>
    <w:rsid w:val="007E5AB8"/>
    <w:rsid w:val="007E5BDB"/>
    <w:rsid w:val="007E6368"/>
    <w:rsid w:val="007E6389"/>
    <w:rsid w:val="007E65F8"/>
    <w:rsid w:val="007E66F2"/>
    <w:rsid w:val="007E6B2F"/>
    <w:rsid w:val="007E6C1A"/>
    <w:rsid w:val="007E6F7A"/>
    <w:rsid w:val="007E6F9D"/>
    <w:rsid w:val="007E70E2"/>
    <w:rsid w:val="007E757E"/>
    <w:rsid w:val="007E759E"/>
    <w:rsid w:val="007E7A7C"/>
    <w:rsid w:val="007E7AFC"/>
    <w:rsid w:val="007E7B08"/>
    <w:rsid w:val="007E7D84"/>
    <w:rsid w:val="007F0567"/>
    <w:rsid w:val="007F083E"/>
    <w:rsid w:val="007F0E8A"/>
    <w:rsid w:val="007F14B1"/>
    <w:rsid w:val="007F168C"/>
    <w:rsid w:val="007F1F7A"/>
    <w:rsid w:val="007F26B7"/>
    <w:rsid w:val="007F2B1E"/>
    <w:rsid w:val="007F3611"/>
    <w:rsid w:val="007F3948"/>
    <w:rsid w:val="007F447B"/>
    <w:rsid w:val="007F49B3"/>
    <w:rsid w:val="007F4CD0"/>
    <w:rsid w:val="007F556E"/>
    <w:rsid w:val="007F5583"/>
    <w:rsid w:val="007F66B0"/>
    <w:rsid w:val="007F68D5"/>
    <w:rsid w:val="007F74D1"/>
    <w:rsid w:val="007F7667"/>
    <w:rsid w:val="007F76EE"/>
    <w:rsid w:val="007F787A"/>
    <w:rsid w:val="008000E2"/>
    <w:rsid w:val="008000E9"/>
    <w:rsid w:val="00800179"/>
    <w:rsid w:val="008002ED"/>
    <w:rsid w:val="008003C4"/>
    <w:rsid w:val="00800688"/>
    <w:rsid w:val="00800721"/>
    <w:rsid w:val="00800E51"/>
    <w:rsid w:val="0080121A"/>
    <w:rsid w:val="0080130B"/>
    <w:rsid w:val="00801325"/>
    <w:rsid w:val="0080136B"/>
    <w:rsid w:val="008017D5"/>
    <w:rsid w:val="00801A21"/>
    <w:rsid w:val="00802385"/>
    <w:rsid w:val="0080250E"/>
    <w:rsid w:val="00802671"/>
    <w:rsid w:val="008027A4"/>
    <w:rsid w:val="0080291E"/>
    <w:rsid w:val="00802CE5"/>
    <w:rsid w:val="00802E53"/>
    <w:rsid w:val="008030AA"/>
    <w:rsid w:val="0080315C"/>
    <w:rsid w:val="008031C7"/>
    <w:rsid w:val="0080342F"/>
    <w:rsid w:val="00803810"/>
    <w:rsid w:val="00803E7F"/>
    <w:rsid w:val="00804B20"/>
    <w:rsid w:val="00804C3F"/>
    <w:rsid w:val="00804F95"/>
    <w:rsid w:val="00805721"/>
    <w:rsid w:val="00805827"/>
    <w:rsid w:val="0080588E"/>
    <w:rsid w:val="008058C7"/>
    <w:rsid w:val="00805C5E"/>
    <w:rsid w:val="00805D77"/>
    <w:rsid w:val="00805F0E"/>
    <w:rsid w:val="008065B0"/>
    <w:rsid w:val="00806A49"/>
    <w:rsid w:val="00806C9E"/>
    <w:rsid w:val="00806F4B"/>
    <w:rsid w:val="008070B1"/>
    <w:rsid w:val="008071ED"/>
    <w:rsid w:val="00807418"/>
    <w:rsid w:val="00807756"/>
    <w:rsid w:val="0080790F"/>
    <w:rsid w:val="00807970"/>
    <w:rsid w:val="00807D49"/>
    <w:rsid w:val="00807EC7"/>
    <w:rsid w:val="00807F95"/>
    <w:rsid w:val="0081044E"/>
    <w:rsid w:val="0081048B"/>
    <w:rsid w:val="008106E0"/>
    <w:rsid w:val="00810932"/>
    <w:rsid w:val="00810A01"/>
    <w:rsid w:val="00810F69"/>
    <w:rsid w:val="0081123C"/>
    <w:rsid w:val="008114E5"/>
    <w:rsid w:val="00811616"/>
    <w:rsid w:val="00811667"/>
    <w:rsid w:val="008119D8"/>
    <w:rsid w:val="00811B17"/>
    <w:rsid w:val="00811BE6"/>
    <w:rsid w:val="008121ED"/>
    <w:rsid w:val="008125A0"/>
    <w:rsid w:val="00812786"/>
    <w:rsid w:val="00812A62"/>
    <w:rsid w:val="00812ED4"/>
    <w:rsid w:val="008136EC"/>
    <w:rsid w:val="008137B6"/>
    <w:rsid w:val="008139E5"/>
    <w:rsid w:val="008139E9"/>
    <w:rsid w:val="00813E23"/>
    <w:rsid w:val="008140EF"/>
    <w:rsid w:val="0081450B"/>
    <w:rsid w:val="008147B8"/>
    <w:rsid w:val="00814977"/>
    <w:rsid w:val="00814F66"/>
    <w:rsid w:val="0081501A"/>
    <w:rsid w:val="00815050"/>
    <w:rsid w:val="00815068"/>
    <w:rsid w:val="00815244"/>
    <w:rsid w:val="00815AFF"/>
    <w:rsid w:val="008160C5"/>
    <w:rsid w:val="0081642F"/>
    <w:rsid w:val="00816801"/>
    <w:rsid w:val="00816818"/>
    <w:rsid w:val="008168A3"/>
    <w:rsid w:val="00816CD8"/>
    <w:rsid w:val="00816E22"/>
    <w:rsid w:val="008171C3"/>
    <w:rsid w:val="00817502"/>
    <w:rsid w:val="008177FA"/>
    <w:rsid w:val="00817987"/>
    <w:rsid w:val="00817D7E"/>
    <w:rsid w:val="00820899"/>
    <w:rsid w:val="008219DB"/>
    <w:rsid w:val="00821EE1"/>
    <w:rsid w:val="00822177"/>
    <w:rsid w:val="008223B4"/>
    <w:rsid w:val="0082296E"/>
    <w:rsid w:val="008229F7"/>
    <w:rsid w:val="00822D88"/>
    <w:rsid w:val="00823175"/>
    <w:rsid w:val="008231A5"/>
    <w:rsid w:val="00823693"/>
    <w:rsid w:val="008238C2"/>
    <w:rsid w:val="00823903"/>
    <w:rsid w:val="00823C77"/>
    <w:rsid w:val="00823F13"/>
    <w:rsid w:val="00824216"/>
    <w:rsid w:val="0082424D"/>
    <w:rsid w:val="008244AE"/>
    <w:rsid w:val="008245C7"/>
    <w:rsid w:val="00824AAB"/>
    <w:rsid w:val="00824BF6"/>
    <w:rsid w:val="00824C63"/>
    <w:rsid w:val="0082505F"/>
    <w:rsid w:val="00825C9C"/>
    <w:rsid w:val="00825F8E"/>
    <w:rsid w:val="00826407"/>
    <w:rsid w:val="00826640"/>
    <w:rsid w:val="00826A91"/>
    <w:rsid w:val="00826BCA"/>
    <w:rsid w:val="0082730A"/>
    <w:rsid w:val="00827500"/>
    <w:rsid w:val="00827691"/>
    <w:rsid w:val="00827A67"/>
    <w:rsid w:val="00827BAB"/>
    <w:rsid w:val="00827C0F"/>
    <w:rsid w:val="00831031"/>
    <w:rsid w:val="00831260"/>
    <w:rsid w:val="008315F4"/>
    <w:rsid w:val="00831872"/>
    <w:rsid w:val="00831B71"/>
    <w:rsid w:val="00831F61"/>
    <w:rsid w:val="00832251"/>
    <w:rsid w:val="00832568"/>
    <w:rsid w:val="0083282C"/>
    <w:rsid w:val="00832BD1"/>
    <w:rsid w:val="00832C07"/>
    <w:rsid w:val="008330EA"/>
    <w:rsid w:val="0083327B"/>
    <w:rsid w:val="00833BA3"/>
    <w:rsid w:val="0083440B"/>
    <w:rsid w:val="008345DA"/>
    <w:rsid w:val="00834AF4"/>
    <w:rsid w:val="00835070"/>
    <w:rsid w:val="0083551C"/>
    <w:rsid w:val="00835A7A"/>
    <w:rsid w:val="00835CB7"/>
    <w:rsid w:val="00835F19"/>
    <w:rsid w:val="00835F1F"/>
    <w:rsid w:val="00835F2C"/>
    <w:rsid w:val="00836349"/>
    <w:rsid w:val="0083681C"/>
    <w:rsid w:val="00836ED5"/>
    <w:rsid w:val="008371A8"/>
    <w:rsid w:val="00837258"/>
    <w:rsid w:val="008372B4"/>
    <w:rsid w:val="00837668"/>
    <w:rsid w:val="008376B5"/>
    <w:rsid w:val="00837747"/>
    <w:rsid w:val="00837D64"/>
    <w:rsid w:val="00837DFC"/>
    <w:rsid w:val="008402A6"/>
    <w:rsid w:val="00840A66"/>
    <w:rsid w:val="00840C62"/>
    <w:rsid w:val="008418B0"/>
    <w:rsid w:val="00841BFB"/>
    <w:rsid w:val="00841E94"/>
    <w:rsid w:val="008426A4"/>
    <w:rsid w:val="008428B8"/>
    <w:rsid w:val="00842A11"/>
    <w:rsid w:val="00842B9A"/>
    <w:rsid w:val="008430E7"/>
    <w:rsid w:val="0084311F"/>
    <w:rsid w:val="0084313E"/>
    <w:rsid w:val="008431DE"/>
    <w:rsid w:val="00843309"/>
    <w:rsid w:val="00843556"/>
    <w:rsid w:val="00843583"/>
    <w:rsid w:val="00843E22"/>
    <w:rsid w:val="0084453E"/>
    <w:rsid w:val="00844F27"/>
    <w:rsid w:val="008451B4"/>
    <w:rsid w:val="0084584C"/>
    <w:rsid w:val="008459DD"/>
    <w:rsid w:val="00845ACD"/>
    <w:rsid w:val="00845B82"/>
    <w:rsid w:val="00845FDC"/>
    <w:rsid w:val="00846363"/>
    <w:rsid w:val="0084672B"/>
    <w:rsid w:val="008468B5"/>
    <w:rsid w:val="00846B72"/>
    <w:rsid w:val="00846CD6"/>
    <w:rsid w:val="00846F91"/>
    <w:rsid w:val="00846FEF"/>
    <w:rsid w:val="008472C0"/>
    <w:rsid w:val="008472CD"/>
    <w:rsid w:val="00847341"/>
    <w:rsid w:val="008474AC"/>
    <w:rsid w:val="00847548"/>
    <w:rsid w:val="0084759A"/>
    <w:rsid w:val="008475BF"/>
    <w:rsid w:val="008477AC"/>
    <w:rsid w:val="008479EF"/>
    <w:rsid w:val="00847B18"/>
    <w:rsid w:val="00847D65"/>
    <w:rsid w:val="0084FFF5"/>
    <w:rsid w:val="00850148"/>
    <w:rsid w:val="008501FF"/>
    <w:rsid w:val="00850250"/>
    <w:rsid w:val="008509B1"/>
    <w:rsid w:val="00850A30"/>
    <w:rsid w:val="00850A58"/>
    <w:rsid w:val="00850AF5"/>
    <w:rsid w:val="00850C3E"/>
    <w:rsid w:val="00850E21"/>
    <w:rsid w:val="00850EB6"/>
    <w:rsid w:val="00851260"/>
    <w:rsid w:val="00851338"/>
    <w:rsid w:val="008513A5"/>
    <w:rsid w:val="00851437"/>
    <w:rsid w:val="008514EB"/>
    <w:rsid w:val="008518CC"/>
    <w:rsid w:val="00851B76"/>
    <w:rsid w:val="00851C7C"/>
    <w:rsid w:val="00851EC0"/>
    <w:rsid w:val="0085232E"/>
    <w:rsid w:val="00852504"/>
    <w:rsid w:val="00852587"/>
    <w:rsid w:val="008528FF"/>
    <w:rsid w:val="0085291F"/>
    <w:rsid w:val="008529F7"/>
    <w:rsid w:val="00852A32"/>
    <w:rsid w:val="00852AE2"/>
    <w:rsid w:val="008532F6"/>
    <w:rsid w:val="00853AC0"/>
    <w:rsid w:val="00853CD8"/>
    <w:rsid w:val="0085455D"/>
    <w:rsid w:val="0085458B"/>
    <w:rsid w:val="008547D2"/>
    <w:rsid w:val="00854962"/>
    <w:rsid w:val="008549E3"/>
    <w:rsid w:val="00854FCD"/>
    <w:rsid w:val="008550E1"/>
    <w:rsid w:val="00855157"/>
    <w:rsid w:val="00855271"/>
    <w:rsid w:val="008552BE"/>
    <w:rsid w:val="00855550"/>
    <w:rsid w:val="00855727"/>
    <w:rsid w:val="00855866"/>
    <w:rsid w:val="00855877"/>
    <w:rsid w:val="00855A55"/>
    <w:rsid w:val="00855F0F"/>
    <w:rsid w:val="0085634E"/>
    <w:rsid w:val="00856C18"/>
    <w:rsid w:val="00856F5E"/>
    <w:rsid w:val="00857410"/>
    <w:rsid w:val="00857744"/>
    <w:rsid w:val="00857785"/>
    <w:rsid w:val="00857909"/>
    <w:rsid w:val="00857B54"/>
    <w:rsid w:val="00857D80"/>
    <w:rsid w:val="00857DB8"/>
    <w:rsid w:val="00860126"/>
    <w:rsid w:val="008602FC"/>
    <w:rsid w:val="00860359"/>
    <w:rsid w:val="008603E5"/>
    <w:rsid w:val="00860A66"/>
    <w:rsid w:val="00860E47"/>
    <w:rsid w:val="00861758"/>
    <w:rsid w:val="00861889"/>
    <w:rsid w:val="00861999"/>
    <w:rsid w:val="00861C1C"/>
    <w:rsid w:val="00861C20"/>
    <w:rsid w:val="00862795"/>
    <w:rsid w:val="00862831"/>
    <w:rsid w:val="00862B0E"/>
    <w:rsid w:val="00862F7B"/>
    <w:rsid w:val="00862F9D"/>
    <w:rsid w:val="0086327E"/>
    <w:rsid w:val="008633BF"/>
    <w:rsid w:val="00863B24"/>
    <w:rsid w:val="00863BCA"/>
    <w:rsid w:val="00863D3C"/>
    <w:rsid w:val="00863E69"/>
    <w:rsid w:val="00864FA7"/>
    <w:rsid w:val="00865196"/>
    <w:rsid w:val="008654F2"/>
    <w:rsid w:val="0086569F"/>
    <w:rsid w:val="00865807"/>
    <w:rsid w:val="0086582E"/>
    <w:rsid w:val="00865F36"/>
    <w:rsid w:val="0086642D"/>
    <w:rsid w:val="008665B2"/>
    <w:rsid w:val="008666B0"/>
    <w:rsid w:val="008671E8"/>
    <w:rsid w:val="0086721A"/>
    <w:rsid w:val="008679DE"/>
    <w:rsid w:val="00867B89"/>
    <w:rsid w:val="00867C2C"/>
    <w:rsid w:val="00867C33"/>
    <w:rsid w:val="00867F63"/>
    <w:rsid w:val="0086AAB2"/>
    <w:rsid w:val="00870538"/>
    <w:rsid w:val="00870A26"/>
    <w:rsid w:val="00870A3D"/>
    <w:rsid w:val="00870B8D"/>
    <w:rsid w:val="00870B93"/>
    <w:rsid w:val="00870E3A"/>
    <w:rsid w:val="00870EE4"/>
    <w:rsid w:val="00871143"/>
    <w:rsid w:val="0087125D"/>
    <w:rsid w:val="00871954"/>
    <w:rsid w:val="00871B21"/>
    <w:rsid w:val="00872148"/>
    <w:rsid w:val="00872368"/>
    <w:rsid w:val="0087265A"/>
    <w:rsid w:val="00872790"/>
    <w:rsid w:val="008727E7"/>
    <w:rsid w:val="00872966"/>
    <w:rsid w:val="008729D0"/>
    <w:rsid w:val="00872C07"/>
    <w:rsid w:val="00872CF2"/>
    <w:rsid w:val="00873249"/>
    <w:rsid w:val="00873438"/>
    <w:rsid w:val="008737D3"/>
    <w:rsid w:val="00873899"/>
    <w:rsid w:val="00873AE9"/>
    <w:rsid w:val="00874945"/>
    <w:rsid w:val="00874C5C"/>
    <w:rsid w:val="00874D3E"/>
    <w:rsid w:val="00874ED8"/>
    <w:rsid w:val="00875383"/>
    <w:rsid w:val="00875AED"/>
    <w:rsid w:val="00875DE4"/>
    <w:rsid w:val="00875EBD"/>
    <w:rsid w:val="00876022"/>
    <w:rsid w:val="00876141"/>
    <w:rsid w:val="008763FE"/>
    <w:rsid w:val="00876440"/>
    <w:rsid w:val="008764B2"/>
    <w:rsid w:val="0087675F"/>
    <w:rsid w:val="00876760"/>
    <w:rsid w:val="00876D5D"/>
    <w:rsid w:val="00877746"/>
    <w:rsid w:val="008777BD"/>
    <w:rsid w:val="00877870"/>
    <w:rsid w:val="00877F66"/>
    <w:rsid w:val="0088004C"/>
    <w:rsid w:val="0088021B"/>
    <w:rsid w:val="00880373"/>
    <w:rsid w:val="00880488"/>
    <w:rsid w:val="0088073B"/>
    <w:rsid w:val="00880F28"/>
    <w:rsid w:val="00881476"/>
    <w:rsid w:val="008815EE"/>
    <w:rsid w:val="00881694"/>
    <w:rsid w:val="00881F0B"/>
    <w:rsid w:val="0088208C"/>
    <w:rsid w:val="00882BF4"/>
    <w:rsid w:val="00882DD3"/>
    <w:rsid w:val="008830A0"/>
    <w:rsid w:val="0088324F"/>
    <w:rsid w:val="0088335A"/>
    <w:rsid w:val="00883692"/>
    <w:rsid w:val="00883799"/>
    <w:rsid w:val="00883A84"/>
    <w:rsid w:val="00883C26"/>
    <w:rsid w:val="00883D7C"/>
    <w:rsid w:val="00884011"/>
    <w:rsid w:val="008843D4"/>
    <w:rsid w:val="00884FD0"/>
    <w:rsid w:val="00885311"/>
    <w:rsid w:val="0088598D"/>
    <w:rsid w:val="00885FDB"/>
    <w:rsid w:val="00886068"/>
    <w:rsid w:val="00886176"/>
    <w:rsid w:val="00886484"/>
    <w:rsid w:val="00886524"/>
    <w:rsid w:val="008869BF"/>
    <w:rsid w:val="00886C56"/>
    <w:rsid w:val="00887152"/>
    <w:rsid w:val="00887711"/>
    <w:rsid w:val="00887C00"/>
    <w:rsid w:val="00890164"/>
    <w:rsid w:val="00890442"/>
    <w:rsid w:val="0089057B"/>
    <w:rsid w:val="00890606"/>
    <w:rsid w:val="00890A8A"/>
    <w:rsid w:val="00890C90"/>
    <w:rsid w:val="00890E8E"/>
    <w:rsid w:val="0089135E"/>
    <w:rsid w:val="00891705"/>
    <w:rsid w:val="00891907"/>
    <w:rsid w:val="00891AFF"/>
    <w:rsid w:val="00892223"/>
    <w:rsid w:val="00892470"/>
    <w:rsid w:val="00892584"/>
    <w:rsid w:val="00892D37"/>
    <w:rsid w:val="00892E8A"/>
    <w:rsid w:val="00893A70"/>
    <w:rsid w:val="00893EF3"/>
    <w:rsid w:val="00894044"/>
    <w:rsid w:val="0089409F"/>
    <w:rsid w:val="0089428F"/>
    <w:rsid w:val="008943B2"/>
    <w:rsid w:val="008943CC"/>
    <w:rsid w:val="008945A1"/>
    <w:rsid w:val="0089471E"/>
    <w:rsid w:val="00894984"/>
    <w:rsid w:val="008949A4"/>
    <w:rsid w:val="00894B26"/>
    <w:rsid w:val="00894CCF"/>
    <w:rsid w:val="00894E22"/>
    <w:rsid w:val="00895394"/>
    <w:rsid w:val="00895D50"/>
    <w:rsid w:val="00895DAE"/>
    <w:rsid w:val="00896833"/>
    <w:rsid w:val="008968DF"/>
    <w:rsid w:val="00897229"/>
    <w:rsid w:val="008973DB"/>
    <w:rsid w:val="008975BA"/>
    <w:rsid w:val="00897DF3"/>
    <w:rsid w:val="008A0526"/>
    <w:rsid w:val="008A0B16"/>
    <w:rsid w:val="008A0B92"/>
    <w:rsid w:val="008A13E1"/>
    <w:rsid w:val="008A1639"/>
    <w:rsid w:val="008A1826"/>
    <w:rsid w:val="008A19F7"/>
    <w:rsid w:val="008A1C65"/>
    <w:rsid w:val="008A2276"/>
    <w:rsid w:val="008A23B1"/>
    <w:rsid w:val="008A2767"/>
    <w:rsid w:val="008A3322"/>
    <w:rsid w:val="008A36FF"/>
    <w:rsid w:val="008A37D3"/>
    <w:rsid w:val="008A3901"/>
    <w:rsid w:val="008A3E4A"/>
    <w:rsid w:val="008A414C"/>
    <w:rsid w:val="008A427A"/>
    <w:rsid w:val="008A462A"/>
    <w:rsid w:val="008A4681"/>
    <w:rsid w:val="008A4F45"/>
    <w:rsid w:val="008A50BF"/>
    <w:rsid w:val="008A5180"/>
    <w:rsid w:val="008A54C0"/>
    <w:rsid w:val="008A5620"/>
    <w:rsid w:val="008A5B87"/>
    <w:rsid w:val="008A5C01"/>
    <w:rsid w:val="008A6335"/>
    <w:rsid w:val="008A64EE"/>
    <w:rsid w:val="008A68B2"/>
    <w:rsid w:val="008A6D87"/>
    <w:rsid w:val="008A755A"/>
    <w:rsid w:val="008A7A0E"/>
    <w:rsid w:val="008A7E3A"/>
    <w:rsid w:val="008B0255"/>
    <w:rsid w:val="008B04F8"/>
    <w:rsid w:val="008B0762"/>
    <w:rsid w:val="008B0892"/>
    <w:rsid w:val="008B0A13"/>
    <w:rsid w:val="008B0C0A"/>
    <w:rsid w:val="008B0D14"/>
    <w:rsid w:val="008B15A6"/>
    <w:rsid w:val="008B1906"/>
    <w:rsid w:val="008B1972"/>
    <w:rsid w:val="008B1CDF"/>
    <w:rsid w:val="008B1D98"/>
    <w:rsid w:val="008B1F8B"/>
    <w:rsid w:val="008B1F95"/>
    <w:rsid w:val="008B2101"/>
    <w:rsid w:val="008B2384"/>
    <w:rsid w:val="008B26B9"/>
    <w:rsid w:val="008B2AD1"/>
    <w:rsid w:val="008B2BA4"/>
    <w:rsid w:val="008B3340"/>
    <w:rsid w:val="008B361B"/>
    <w:rsid w:val="008B3B8B"/>
    <w:rsid w:val="008B4433"/>
    <w:rsid w:val="008B48D6"/>
    <w:rsid w:val="008B4ACA"/>
    <w:rsid w:val="008B4F08"/>
    <w:rsid w:val="008B4F89"/>
    <w:rsid w:val="008B514E"/>
    <w:rsid w:val="008B56D5"/>
    <w:rsid w:val="008B5F27"/>
    <w:rsid w:val="008B62C7"/>
    <w:rsid w:val="008B6622"/>
    <w:rsid w:val="008B6688"/>
    <w:rsid w:val="008B6AEF"/>
    <w:rsid w:val="008B6B79"/>
    <w:rsid w:val="008B702D"/>
    <w:rsid w:val="008B755D"/>
    <w:rsid w:val="008B786C"/>
    <w:rsid w:val="008B7930"/>
    <w:rsid w:val="008B7CB7"/>
    <w:rsid w:val="008C0C01"/>
    <w:rsid w:val="008C0E1A"/>
    <w:rsid w:val="008C0F84"/>
    <w:rsid w:val="008C1262"/>
    <w:rsid w:val="008C13EE"/>
    <w:rsid w:val="008C15A2"/>
    <w:rsid w:val="008C18BC"/>
    <w:rsid w:val="008C19EB"/>
    <w:rsid w:val="008C1C0A"/>
    <w:rsid w:val="008C1C1B"/>
    <w:rsid w:val="008C1FB2"/>
    <w:rsid w:val="008C1FFA"/>
    <w:rsid w:val="008C265A"/>
    <w:rsid w:val="008C29FC"/>
    <w:rsid w:val="008C2BA4"/>
    <w:rsid w:val="008C2F97"/>
    <w:rsid w:val="008C2FAC"/>
    <w:rsid w:val="008C2FDF"/>
    <w:rsid w:val="008C338F"/>
    <w:rsid w:val="008C34B2"/>
    <w:rsid w:val="008C36A2"/>
    <w:rsid w:val="008C3A86"/>
    <w:rsid w:val="008C3EFE"/>
    <w:rsid w:val="008C4220"/>
    <w:rsid w:val="008C42D2"/>
    <w:rsid w:val="008C445C"/>
    <w:rsid w:val="008C46DA"/>
    <w:rsid w:val="008C4964"/>
    <w:rsid w:val="008C4C11"/>
    <w:rsid w:val="008C4D76"/>
    <w:rsid w:val="008C4DB0"/>
    <w:rsid w:val="008C4DC9"/>
    <w:rsid w:val="008C50DD"/>
    <w:rsid w:val="008C547F"/>
    <w:rsid w:val="008C592F"/>
    <w:rsid w:val="008C5989"/>
    <w:rsid w:val="008C5A43"/>
    <w:rsid w:val="008C5D20"/>
    <w:rsid w:val="008C5EDB"/>
    <w:rsid w:val="008C6001"/>
    <w:rsid w:val="008C6B5C"/>
    <w:rsid w:val="008C6D94"/>
    <w:rsid w:val="008C6DE8"/>
    <w:rsid w:val="008C6E09"/>
    <w:rsid w:val="008C6ED4"/>
    <w:rsid w:val="008C6FF8"/>
    <w:rsid w:val="008C7208"/>
    <w:rsid w:val="008C73C1"/>
    <w:rsid w:val="008C75DA"/>
    <w:rsid w:val="008C77C4"/>
    <w:rsid w:val="008C78BD"/>
    <w:rsid w:val="008C7D70"/>
    <w:rsid w:val="008D0097"/>
    <w:rsid w:val="008D00B0"/>
    <w:rsid w:val="008D058F"/>
    <w:rsid w:val="008D0701"/>
    <w:rsid w:val="008D07C0"/>
    <w:rsid w:val="008D0802"/>
    <w:rsid w:val="008D0F3C"/>
    <w:rsid w:val="008D112A"/>
    <w:rsid w:val="008D153A"/>
    <w:rsid w:val="008D1918"/>
    <w:rsid w:val="008D1AFF"/>
    <w:rsid w:val="008D1D6A"/>
    <w:rsid w:val="008D20D9"/>
    <w:rsid w:val="008D218D"/>
    <w:rsid w:val="008D232C"/>
    <w:rsid w:val="008D2546"/>
    <w:rsid w:val="008D27C4"/>
    <w:rsid w:val="008D2D01"/>
    <w:rsid w:val="008D2EA5"/>
    <w:rsid w:val="008D2EFE"/>
    <w:rsid w:val="008D37EE"/>
    <w:rsid w:val="008D3970"/>
    <w:rsid w:val="008D4665"/>
    <w:rsid w:val="008D4E11"/>
    <w:rsid w:val="008D4FE8"/>
    <w:rsid w:val="008D5210"/>
    <w:rsid w:val="008D5289"/>
    <w:rsid w:val="008D5406"/>
    <w:rsid w:val="008D6839"/>
    <w:rsid w:val="008D6E55"/>
    <w:rsid w:val="008D6EDE"/>
    <w:rsid w:val="008D6F96"/>
    <w:rsid w:val="008D6FCD"/>
    <w:rsid w:val="008D6FD5"/>
    <w:rsid w:val="008D70D9"/>
    <w:rsid w:val="008D7699"/>
    <w:rsid w:val="008D7723"/>
    <w:rsid w:val="008D77BA"/>
    <w:rsid w:val="008D783A"/>
    <w:rsid w:val="008D7976"/>
    <w:rsid w:val="008D7D69"/>
    <w:rsid w:val="008D7FD4"/>
    <w:rsid w:val="008E034D"/>
    <w:rsid w:val="008E0412"/>
    <w:rsid w:val="008E0466"/>
    <w:rsid w:val="008E058B"/>
    <w:rsid w:val="008E076F"/>
    <w:rsid w:val="008E0C6C"/>
    <w:rsid w:val="008E0E3D"/>
    <w:rsid w:val="008E0F33"/>
    <w:rsid w:val="008E0F5B"/>
    <w:rsid w:val="008E11D3"/>
    <w:rsid w:val="008E12FC"/>
    <w:rsid w:val="008E1E42"/>
    <w:rsid w:val="008E20A8"/>
    <w:rsid w:val="008E23D2"/>
    <w:rsid w:val="008E2AA2"/>
    <w:rsid w:val="008E2F54"/>
    <w:rsid w:val="008E2F91"/>
    <w:rsid w:val="008E3098"/>
    <w:rsid w:val="008E356B"/>
    <w:rsid w:val="008E367E"/>
    <w:rsid w:val="008E3702"/>
    <w:rsid w:val="008E3A89"/>
    <w:rsid w:val="008E41DF"/>
    <w:rsid w:val="008E43F9"/>
    <w:rsid w:val="008E4BE2"/>
    <w:rsid w:val="008E4BFE"/>
    <w:rsid w:val="008E4E6C"/>
    <w:rsid w:val="008E50F5"/>
    <w:rsid w:val="008E5187"/>
    <w:rsid w:val="008E54A6"/>
    <w:rsid w:val="008E5711"/>
    <w:rsid w:val="008E6106"/>
    <w:rsid w:val="008E631E"/>
    <w:rsid w:val="008E6F0D"/>
    <w:rsid w:val="008E73FC"/>
    <w:rsid w:val="008E7465"/>
    <w:rsid w:val="008E7B28"/>
    <w:rsid w:val="008E7F93"/>
    <w:rsid w:val="008E7FF3"/>
    <w:rsid w:val="008F00AE"/>
    <w:rsid w:val="008F00B3"/>
    <w:rsid w:val="008F01BA"/>
    <w:rsid w:val="008F0319"/>
    <w:rsid w:val="008F05E4"/>
    <w:rsid w:val="008F081D"/>
    <w:rsid w:val="008F0ED1"/>
    <w:rsid w:val="008F128B"/>
    <w:rsid w:val="008F12DC"/>
    <w:rsid w:val="008F18DE"/>
    <w:rsid w:val="008F1B04"/>
    <w:rsid w:val="008F1EB5"/>
    <w:rsid w:val="008F2046"/>
    <w:rsid w:val="008F2431"/>
    <w:rsid w:val="008F24DA"/>
    <w:rsid w:val="008F274F"/>
    <w:rsid w:val="008F3039"/>
    <w:rsid w:val="008F33A6"/>
    <w:rsid w:val="008F34F9"/>
    <w:rsid w:val="008F351B"/>
    <w:rsid w:val="008F3777"/>
    <w:rsid w:val="008F4885"/>
    <w:rsid w:val="008F4F6C"/>
    <w:rsid w:val="008F5295"/>
    <w:rsid w:val="008F5F35"/>
    <w:rsid w:val="008F60B5"/>
    <w:rsid w:val="008F64FA"/>
    <w:rsid w:val="008F67D3"/>
    <w:rsid w:val="008F7A3E"/>
    <w:rsid w:val="008F7C16"/>
    <w:rsid w:val="008F7F61"/>
    <w:rsid w:val="00900461"/>
    <w:rsid w:val="009008AB"/>
    <w:rsid w:val="00900BAD"/>
    <w:rsid w:val="00900C69"/>
    <w:rsid w:val="00900CD9"/>
    <w:rsid w:val="00900F06"/>
    <w:rsid w:val="00901173"/>
    <w:rsid w:val="00901AD8"/>
    <w:rsid w:val="00901D74"/>
    <w:rsid w:val="0090232A"/>
    <w:rsid w:val="009029E8"/>
    <w:rsid w:val="00902F30"/>
    <w:rsid w:val="00902FD1"/>
    <w:rsid w:val="00903057"/>
    <w:rsid w:val="0090319C"/>
    <w:rsid w:val="0090335A"/>
    <w:rsid w:val="00903840"/>
    <w:rsid w:val="00903E71"/>
    <w:rsid w:val="00903F68"/>
    <w:rsid w:val="0090426D"/>
    <w:rsid w:val="009042D9"/>
    <w:rsid w:val="00904654"/>
    <w:rsid w:val="009046E5"/>
    <w:rsid w:val="009049BC"/>
    <w:rsid w:val="00904CE5"/>
    <w:rsid w:val="00904FCD"/>
    <w:rsid w:val="009050C4"/>
    <w:rsid w:val="00905239"/>
    <w:rsid w:val="0090534F"/>
    <w:rsid w:val="009058CF"/>
    <w:rsid w:val="00905DA6"/>
    <w:rsid w:val="00905E33"/>
    <w:rsid w:val="0090663D"/>
    <w:rsid w:val="0090676A"/>
    <w:rsid w:val="00907127"/>
    <w:rsid w:val="009074AE"/>
    <w:rsid w:val="00907551"/>
    <w:rsid w:val="0090756D"/>
    <w:rsid w:val="0090765B"/>
    <w:rsid w:val="00910076"/>
    <w:rsid w:val="009100E9"/>
    <w:rsid w:val="00910441"/>
    <w:rsid w:val="00910495"/>
    <w:rsid w:val="00910632"/>
    <w:rsid w:val="00910969"/>
    <w:rsid w:val="00910E86"/>
    <w:rsid w:val="009114BE"/>
    <w:rsid w:val="009114CC"/>
    <w:rsid w:val="00911665"/>
    <w:rsid w:val="009116EA"/>
    <w:rsid w:val="00911A43"/>
    <w:rsid w:val="009124F4"/>
    <w:rsid w:val="00912975"/>
    <w:rsid w:val="00912B52"/>
    <w:rsid w:val="00912B64"/>
    <w:rsid w:val="00913102"/>
    <w:rsid w:val="0091342E"/>
    <w:rsid w:val="009136F3"/>
    <w:rsid w:val="009137EA"/>
    <w:rsid w:val="00913B8D"/>
    <w:rsid w:val="00913F65"/>
    <w:rsid w:val="00914363"/>
    <w:rsid w:val="009143DC"/>
    <w:rsid w:val="00914420"/>
    <w:rsid w:val="00914527"/>
    <w:rsid w:val="0091463F"/>
    <w:rsid w:val="009147E8"/>
    <w:rsid w:val="009147FB"/>
    <w:rsid w:val="0091495C"/>
    <w:rsid w:val="00914987"/>
    <w:rsid w:val="009155D1"/>
    <w:rsid w:val="00915C01"/>
    <w:rsid w:val="00915F71"/>
    <w:rsid w:val="00916592"/>
    <w:rsid w:val="00916CD3"/>
    <w:rsid w:val="009170A9"/>
    <w:rsid w:val="009172BA"/>
    <w:rsid w:val="009176CB"/>
    <w:rsid w:val="009177B2"/>
    <w:rsid w:val="0091783B"/>
    <w:rsid w:val="009178DD"/>
    <w:rsid w:val="009178DF"/>
    <w:rsid w:val="00917996"/>
    <w:rsid w:val="00917C0E"/>
    <w:rsid w:val="00917F22"/>
    <w:rsid w:val="0091DCF3"/>
    <w:rsid w:val="00920043"/>
    <w:rsid w:val="00920BB1"/>
    <w:rsid w:val="00920DD0"/>
    <w:rsid w:val="009212A3"/>
    <w:rsid w:val="009216D2"/>
    <w:rsid w:val="009219C4"/>
    <w:rsid w:val="00921B0B"/>
    <w:rsid w:val="00921BE1"/>
    <w:rsid w:val="00921E15"/>
    <w:rsid w:val="00921E2C"/>
    <w:rsid w:val="00921EC7"/>
    <w:rsid w:val="009220AB"/>
    <w:rsid w:val="0092223C"/>
    <w:rsid w:val="00922726"/>
    <w:rsid w:val="00922842"/>
    <w:rsid w:val="009235A6"/>
    <w:rsid w:val="00923645"/>
    <w:rsid w:val="0092367F"/>
    <w:rsid w:val="00923693"/>
    <w:rsid w:val="00923AD7"/>
    <w:rsid w:val="00923ADD"/>
    <w:rsid w:val="00923B52"/>
    <w:rsid w:val="00923FCD"/>
    <w:rsid w:val="009242D5"/>
    <w:rsid w:val="00924D2B"/>
    <w:rsid w:val="00924DF0"/>
    <w:rsid w:val="00925037"/>
    <w:rsid w:val="0092534A"/>
    <w:rsid w:val="00925450"/>
    <w:rsid w:val="0092553E"/>
    <w:rsid w:val="009256F3"/>
    <w:rsid w:val="009259BD"/>
    <w:rsid w:val="00925A87"/>
    <w:rsid w:val="00925C6E"/>
    <w:rsid w:val="00925F7C"/>
    <w:rsid w:val="00925F87"/>
    <w:rsid w:val="00926142"/>
    <w:rsid w:val="00926416"/>
    <w:rsid w:val="009269C8"/>
    <w:rsid w:val="009269F9"/>
    <w:rsid w:val="00926F5E"/>
    <w:rsid w:val="0092713D"/>
    <w:rsid w:val="00927279"/>
    <w:rsid w:val="00927C3F"/>
    <w:rsid w:val="0093005A"/>
    <w:rsid w:val="009300C1"/>
    <w:rsid w:val="00930789"/>
    <w:rsid w:val="00931135"/>
    <w:rsid w:val="009315C5"/>
    <w:rsid w:val="00931732"/>
    <w:rsid w:val="00931BC6"/>
    <w:rsid w:val="00931BDB"/>
    <w:rsid w:val="00931C71"/>
    <w:rsid w:val="00931D82"/>
    <w:rsid w:val="00931F20"/>
    <w:rsid w:val="00932437"/>
    <w:rsid w:val="00932894"/>
    <w:rsid w:val="00932B2A"/>
    <w:rsid w:val="00932BF9"/>
    <w:rsid w:val="00932E6E"/>
    <w:rsid w:val="00933112"/>
    <w:rsid w:val="00933299"/>
    <w:rsid w:val="009339AB"/>
    <w:rsid w:val="00934501"/>
    <w:rsid w:val="009346BD"/>
    <w:rsid w:val="00934F39"/>
    <w:rsid w:val="00934FB2"/>
    <w:rsid w:val="00934FFF"/>
    <w:rsid w:val="00935215"/>
    <w:rsid w:val="00935DE0"/>
    <w:rsid w:val="00936668"/>
    <w:rsid w:val="00936D30"/>
    <w:rsid w:val="00937159"/>
    <w:rsid w:val="009371F2"/>
    <w:rsid w:val="00937411"/>
    <w:rsid w:val="00937EAD"/>
    <w:rsid w:val="00937EC1"/>
    <w:rsid w:val="00940304"/>
    <w:rsid w:val="00940506"/>
    <w:rsid w:val="0094067B"/>
    <w:rsid w:val="009407C6"/>
    <w:rsid w:val="00940BB1"/>
    <w:rsid w:val="00941397"/>
    <w:rsid w:val="009415AB"/>
    <w:rsid w:val="009415BA"/>
    <w:rsid w:val="0094174B"/>
    <w:rsid w:val="009419DF"/>
    <w:rsid w:val="00942826"/>
    <w:rsid w:val="009428CE"/>
    <w:rsid w:val="00942B86"/>
    <w:rsid w:val="00942C38"/>
    <w:rsid w:val="00942D3E"/>
    <w:rsid w:val="00943205"/>
    <w:rsid w:val="00943288"/>
    <w:rsid w:val="0094344D"/>
    <w:rsid w:val="009439AF"/>
    <w:rsid w:val="00943B86"/>
    <w:rsid w:val="00943BE6"/>
    <w:rsid w:val="00943E7F"/>
    <w:rsid w:val="00943F2A"/>
    <w:rsid w:val="0094408E"/>
    <w:rsid w:val="00944180"/>
    <w:rsid w:val="0094425C"/>
    <w:rsid w:val="009442B5"/>
    <w:rsid w:val="009448C6"/>
    <w:rsid w:val="00944AF3"/>
    <w:rsid w:val="00944CBC"/>
    <w:rsid w:val="00944CEB"/>
    <w:rsid w:val="00944E64"/>
    <w:rsid w:val="00944FC6"/>
    <w:rsid w:val="00945346"/>
    <w:rsid w:val="00945390"/>
    <w:rsid w:val="00945B44"/>
    <w:rsid w:val="00945C6B"/>
    <w:rsid w:val="00945F8E"/>
    <w:rsid w:val="00946162"/>
    <w:rsid w:val="00946701"/>
    <w:rsid w:val="00946AC5"/>
    <w:rsid w:val="00946CF1"/>
    <w:rsid w:val="00947274"/>
    <w:rsid w:val="00947357"/>
    <w:rsid w:val="00947882"/>
    <w:rsid w:val="00947969"/>
    <w:rsid w:val="00947C02"/>
    <w:rsid w:val="00947D20"/>
    <w:rsid w:val="0095054D"/>
    <w:rsid w:val="0095057D"/>
    <w:rsid w:val="00950AF8"/>
    <w:rsid w:val="00950E29"/>
    <w:rsid w:val="00950E48"/>
    <w:rsid w:val="009511B9"/>
    <w:rsid w:val="00951304"/>
    <w:rsid w:val="0095172E"/>
    <w:rsid w:val="0095175C"/>
    <w:rsid w:val="00951B9B"/>
    <w:rsid w:val="00951BA4"/>
    <w:rsid w:val="00951EF9"/>
    <w:rsid w:val="00951F45"/>
    <w:rsid w:val="009520F6"/>
    <w:rsid w:val="00952289"/>
    <w:rsid w:val="00952448"/>
    <w:rsid w:val="009527BC"/>
    <w:rsid w:val="00952997"/>
    <w:rsid w:val="00952DFC"/>
    <w:rsid w:val="00953615"/>
    <w:rsid w:val="0095378E"/>
    <w:rsid w:val="009539F9"/>
    <w:rsid w:val="00953F72"/>
    <w:rsid w:val="009541A3"/>
    <w:rsid w:val="00954603"/>
    <w:rsid w:val="009547C8"/>
    <w:rsid w:val="009547D6"/>
    <w:rsid w:val="00954CD1"/>
    <w:rsid w:val="0095507E"/>
    <w:rsid w:val="00955199"/>
    <w:rsid w:val="009554F2"/>
    <w:rsid w:val="009558BD"/>
    <w:rsid w:val="00955930"/>
    <w:rsid w:val="00955A9F"/>
    <w:rsid w:val="00955CC9"/>
    <w:rsid w:val="00955D65"/>
    <w:rsid w:val="00956180"/>
    <w:rsid w:val="0095669D"/>
    <w:rsid w:val="009567A8"/>
    <w:rsid w:val="00956B4D"/>
    <w:rsid w:val="00956CAB"/>
    <w:rsid w:val="00956E9F"/>
    <w:rsid w:val="0095766E"/>
    <w:rsid w:val="00957719"/>
    <w:rsid w:val="00960306"/>
    <w:rsid w:val="0096061C"/>
    <w:rsid w:val="00960A83"/>
    <w:rsid w:val="00960AB1"/>
    <w:rsid w:val="00960C35"/>
    <w:rsid w:val="00960FEE"/>
    <w:rsid w:val="0096111A"/>
    <w:rsid w:val="0096145E"/>
    <w:rsid w:val="00961897"/>
    <w:rsid w:val="00961A15"/>
    <w:rsid w:val="00961D2D"/>
    <w:rsid w:val="00961F3C"/>
    <w:rsid w:val="00961F81"/>
    <w:rsid w:val="009621B2"/>
    <w:rsid w:val="009624DF"/>
    <w:rsid w:val="00962790"/>
    <w:rsid w:val="0096297D"/>
    <w:rsid w:val="009629E4"/>
    <w:rsid w:val="00962E8D"/>
    <w:rsid w:val="00962E99"/>
    <w:rsid w:val="0096328B"/>
    <w:rsid w:val="009632DA"/>
    <w:rsid w:val="009635D1"/>
    <w:rsid w:val="00963AC9"/>
    <w:rsid w:val="00964197"/>
    <w:rsid w:val="0096423F"/>
    <w:rsid w:val="009643D6"/>
    <w:rsid w:val="0096474C"/>
    <w:rsid w:val="0096479F"/>
    <w:rsid w:val="009649DE"/>
    <w:rsid w:val="00964A2E"/>
    <w:rsid w:val="00964BB3"/>
    <w:rsid w:val="009652F0"/>
    <w:rsid w:val="00965492"/>
    <w:rsid w:val="00965567"/>
    <w:rsid w:val="00965618"/>
    <w:rsid w:val="00965DF8"/>
    <w:rsid w:val="00966152"/>
    <w:rsid w:val="00966344"/>
    <w:rsid w:val="00966346"/>
    <w:rsid w:val="00966511"/>
    <w:rsid w:val="0096660C"/>
    <w:rsid w:val="009667A9"/>
    <w:rsid w:val="009667AB"/>
    <w:rsid w:val="0096685A"/>
    <w:rsid w:val="00966BEF"/>
    <w:rsid w:val="00967B7C"/>
    <w:rsid w:val="00967E56"/>
    <w:rsid w:val="00970010"/>
    <w:rsid w:val="00970778"/>
    <w:rsid w:val="00971308"/>
    <w:rsid w:val="00972003"/>
    <w:rsid w:val="00972014"/>
    <w:rsid w:val="0097217D"/>
    <w:rsid w:val="009728F6"/>
    <w:rsid w:val="00972912"/>
    <w:rsid w:val="00972B49"/>
    <w:rsid w:val="00972E5A"/>
    <w:rsid w:val="00972F24"/>
    <w:rsid w:val="00973011"/>
    <w:rsid w:val="009741FB"/>
    <w:rsid w:val="0097439A"/>
    <w:rsid w:val="009744E7"/>
    <w:rsid w:val="00974517"/>
    <w:rsid w:val="00974838"/>
    <w:rsid w:val="00974CD9"/>
    <w:rsid w:val="009750A6"/>
    <w:rsid w:val="0097517E"/>
    <w:rsid w:val="0097555D"/>
    <w:rsid w:val="00975912"/>
    <w:rsid w:val="00975B9C"/>
    <w:rsid w:val="00976205"/>
    <w:rsid w:val="00976326"/>
    <w:rsid w:val="00976B2D"/>
    <w:rsid w:val="00976D9F"/>
    <w:rsid w:val="00976E5E"/>
    <w:rsid w:val="009772C2"/>
    <w:rsid w:val="00977C7C"/>
    <w:rsid w:val="00977CD8"/>
    <w:rsid w:val="00977CFA"/>
    <w:rsid w:val="00977E96"/>
    <w:rsid w:val="00980604"/>
    <w:rsid w:val="00980B35"/>
    <w:rsid w:val="00980C3B"/>
    <w:rsid w:val="00981217"/>
    <w:rsid w:val="00981257"/>
    <w:rsid w:val="009815F0"/>
    <w:rsid w:val="00981B75"/>
    <w:rsid w:val="00981CC8"/>
    <w:rsid w:val="00981D88"/>
    <w:rsid w:val="00981EC0"/>
    <w:rsid w:val="00982DC7"/>
    <w:rsid w:val="00982FE8"/>
    <w:rsid w:val="009830A1"/>
    <w:rsid w:val="009830CC"/>
    <w:rsid w:val="009835EB"/>
    <w:rsid w:val="009838C1"/>
    <w:rsid w:val="00983CC2"/>
    <w:rsid w:val="00984281"/>
    <w:rsid w:val="0098434A"/>
    <w:rsid w:val="0098455F"/>
    <w:rsid w:val="009847AE"/>
    <w:rsid w:val="00984C68"/>
    <w:rsid w:val="00984C6E"/>
    <w:rsid w:val="00984D41"/>
    <w:rsid w:val="00985117"/>
    <w:rsid w:val="00985215"/>
    <w:rsid w:val="009854C8"/>
    <w:rsid w:val="009858AF"/>
    <w:rsid w:val="00985904"/>
    <w:rsid w:val="009859DF"/>
    <w:rsid w:val="00985AE9"/>
    <w:rsid w:val="00985EE3"/>
    <w:rsid w:val="0098617D"/>
    <w:rsid w:val="009861B9"/>
    <w:rsid w:val="00986200"/>
    <w:rsid w:val="00986219"/>
    <w:rsid w:val="009862C7"/>
    <w:rsid w:val="00986494"/>
    <w:rsid w:val="009864BE"/>
    <w:rsid w:val="0098699F"/>
    <w:rsid w:val="00986C86"/>
    <w:rsid w:val="00987500"/>
    <w:rsid w:val="00987518"/>
    <w:rsid w:val="00987530"/>
    <w:rsid w:val="0098779B"/>
    <w:rsid w:val="00987849"/>
    <w:rsid w:val="00987CE7"/>
    <w:rsid w:val="009901A4"/>
    <w:rsid w:val="00990219"/>
    <w:rsid w:val="0099023E"/>
    <w:rsid w:val="009903C8"/>
    <w:rsid w:val="00990632"/>
    <w:rsid w:val="009908B6"/>
    <w:rsid w:val="00990905"/>
    <w:rsid w:val="00990E39"/>
    <w:rsid w:val="009917D1"/>
    <w:rsid w:val="00991B0A"/>
    <w:rsid w:val="00991E76"/>
    <w:rsid w:val="009920DD"/>
    <w:rsid w:val="0099221B"/>
    <w:rsid w:val="00992716"/>
    <w:rsid w:val="00992810"/>
    <w:rsid w:val="00992AF7"/>
    <w:rsid w:val="00993600"/>
    <w:rsid w:val="009937BC"/>
    <w:rsid w:val="00993879"/>
    <w:rsid w:val="00993E95"/>
    <w:rsid w:val="0099462F"/>
    <w:rsid w:val="00995018"/>
    <w:rsid w:val="009955E4"/>
    <w:rsid w:val="00995667"/>
    <w:rsid w:val="009956F0"/>
    <w:rsid w:val="00995D10"/>
    <w:rsid w:val="00995FA8"/>
    <w:rsid w:val="009960E0"/>
    <w:rsid w:val="0099613D"/>
    <w:rsid w:val="0099644A"/>
    <w:rsid w:val="00996498"/>
    <w:rsid w:val="0099651B"/>
    <w:rsid w:val="00996697"/>
    <w:rsid w:val="009967AF"/>
    <w:rsid w:val="00996971"/>
    <w:rsid w:val="00996CFE"/>
    <w:rsid w:val="00996E3D"/>
    <w:rsid w:val="00996EFA"/>
    <w:rsid w:val="00997079"/>
    <w:rsid w:val="009970BF"/>
    <w:rsid w:val="0099737D"/>
    <w:rsid w:val="009973DD"/>
    <w:rsid w:val="00997796"/>
    <w:rsid w:val="00997C40"/>
    <w:rsid w:val="00997CB1"/>
    <w:rsid w:val="009A01F9"/>
    <w:rsid w:val="009A025B"/>
    <w:rsid w:val="009A0617"/>
    <w:rsid w:val="009A0651"/>
    <w:rsid w:val="009A0846"/>
    <w:rsid w:val="009A09BE"/>
    <w:rsid w:val="009A0DAD"/>
    <w:rsid w:val="009A10C4"/>
    <w:rsid w:val="009A12B3"/>
    <w:rsid w:val="009A14E4"/>
    <w:rsid w:val="009A1630"/>
    <w:rsid w:val="009A1AFF"/>
    <w:rsid w:val="009A1B4B"/>
    <w:rsid w:val="009A1E43"/>
    <w:rsid w:val="009A29E3"/>
    <w:rsid w:val="009A2C1B"/>
    <w:rsid w:val="009A2EE2"/>
    <w:rsid w:val="009A322D"/>
    <w:rsid w:val="009A3252"/>
    <w:rsid w:val="009A35BC"/>
    <w:rsid w:val="009A38DA"/>
    <w:rsid w:val="009A3C82"/>
    <w:rsid w:val="009A3E89"/>
    <w:rsid w:val="009A4090"/>
    <w:rsid w:val="009A423E"/>
    <w:rsid w:val="009A4273"/>
    <w:rsid w:val="009A435C"/>
    <w:rsid w:val="009A4B20"/>
    <w:rsid w:val="009A4B97"/>
    <w:rsid w:val="009A4E9A"/>
    <w:rsid w:val="009A4FD3"/>
    <w:rsid w:val="009A5024"/>
    <w:rsid w:val="009A6178"/>
    <w:rsid w:val="009A623F"/>
    <w:rsid w:val="009A6791"/>
    <w:rsid w:val="009A6ADA"/>
    <w:rsid w:val="009A6B09"/>
    <w:rsid w:val="009A6D40"/>
    <w:rsid w:val="009A6F01"/>
    <w:rsid w:val="009A71A3"/>
    <w:rsid w:val="009A760C"/>
    <w:rsid w:val="009A7990"/>
    <w:rsid w:val="009A7ACF"/>
    <w:rsid w:val="009B001F"/>
    <w:rsid w:val="009B0595"/>
    <w:rsid w:val="009B09BA"/>
    <w:rsid w:val="009B0BA6"/>
    <w:rsid w:val="009B0F92"/>
    <w:rsid w:val="009B1071"/>
    <w:rsid w:val="009B1234"/>
    <w:rsid w:val="009B15C5"/>
    <w:rsid w:val="009B1BD3"/>
    <w:rsid w:val="009B1C2E"/>
    <w:rsid w:val="009B23A9"/>
    <w:rsid w:val="009B27D8"/>
    <w:rsid w:val="009B2AFA"/>
    <w:rsid w:val="009B2D98"/>
    <w:rsid w:val="009B3274"/>
    <w:rsid w:val="009B3320"/>
    <w:rsid w:val="009B33FC"/>
    <w:rsid w:val="009B34DE"/>
    <w:rsid w:val="009B4058"/>
    <w:rsid w:val="009B450E"/>
    <w:rsid w:val="009B47F3"/>
    <w:rsid w:val="009B4901"/>
    <w:rsid w:val="009B4AFA"/>
    <w:rsid w:val="009B4FFD"/>
    <w:rsid w:val="009B5080"/>
    <w:rsid w:val="009B5176"/>
    <w:rsid w:val="009B521A"/>
    <w:rsid w:val="009B53B5"/>
    <w:rsid w:val="009B562D"/>
    <w:rsid w:val="009B5891"/>
    <w:rsid w:val="009B5D64"/>
    <w:rsid w:val="009B61C7"/>
    <w:rsid w:val="009B62BA"/>
    <w:rsid w:val="009B63CA"/>
    <w:rsid w:val="009B645D"/>
    <w:rsid w:val="009B658A"/>
    <w:rsid w:val="009B6762"/>
    <w:rsid w:val="009B68F9"/>
    <w:rsid w:val="009B69BC"/>
    <w:rsid w:val="009B6A1F"/>
    <w:rsid w:val="009B6D41"/>
    <w:rsid w:val="009B7350"/>
    <w:rsid w:val="009B7852"/>
    <w:rsid w:val="009B798C"/>
    <w:rsid w:val="009B7A85"/>
    <w:rsid w:val="009B7F51"/>
    <w:rsid w:val="009C0113"/>
    <w:rsid w:val="009C0132"/>
    <w:rsid w:val="009C03FB"/>
    <w:rsid w:val="009C06F1"/>
    <w:rsid w:val="009C0808"/>
    <w:rsid w:val="009C0923"/>
    <w:rsid w:val="009C117D"/>
    <w:rsid w:val="009C1183"/>
    <w:rsid w:val="009C128F"/>
    <w:rsid w:val="009C1309"/>
    <w:rsid w:val="009C166E"/>
    <w:rsid w:val="009C194A"/>
    <w:rsid w:val="009C19BF"/>
    <w:rsid w:val="009C1E02"/>
    <w:rsid w:val="009C1FD6"/>
    <w:rsid w:val="009C2183"/>
    <w:rsid w:val="009C2217"/>
    <w:rsid w:val="009C270C"/>
    <w:rsid w:val="009C2CA5"/>
    <w:rsid w:val="009C2E10"/>
    <w:rsid w:val="009C30FF"/>
    <w:rsid w:val="009C3620"/>
    <w:rsid w:val="009C37ED"/>
    <w:rsid w:val="009C3B21"/>
    <w:rsid w:val="009C3BFF"/>
    <w:rsid w:val="009C3C6B"/>
    <w:rsid w:val="009C41E5"/>
    <w:rsid w:val="009C45E3"/>
    <w:rsid w:val="009C4742"/>
    <w:rsid w:val="009C477D"/>
    <w:rsid w:val="009C499F"/>
    <w:rsid w:val="009C4A5E"/>
    <w:rsid w:val="009C50C3"/>
    <w:rsid w:val="009C56DF"/>
    <w:rsid w:val="009C5BC0"/>
    <w:rsid w:val="009C5D86"/>
    <w:rsid w:val="009C5EA9"/>
    <w:rsid w:val="009C6612"/>
    <w:rsid w:val="009C6624"/>
    <w:rsid w:val="009C6708"/>
    <w:rsid w:val="009C67BA"/>
    <w:rsid w:val="009C6853"/>
    <w:rsid w:val="009C6B1E"/>
    <w:rsid w:val="009C74AF"/>
    <w:rsid w:val="009C76B1"/>
    <w:rsid w:val="009C7970"/>
    <w:rsid w:val="009C79ED"/>
    <w:rsid w:val="009C7F46"/>
    <w:rsid w:val="009D02DF"/>
    <w:rsid w:val="009D0A41"/>
    <w:rsid w:val="009D0C6E"/>
    <w:rsid w:val="009D0CB0"/>
    <w:rsid w:val="009D0E27"/>
    <w:rsid w:val="009D0EDA"/>
    <w:rsid w:val="009D10CB"/>
    <w:rsid w:val="009D163B"/>
    <w:rsid w:val="009D16E8"/>
    <w:rsid w:val="009D17E9"/>
    <w:rsid w:val="009D1BA5"/>
    <w:rsid w:val="009D1F27"/>
    <w:rsid w:val="009D1FCF"/>
    <w:rsid w:val="009D209E"/>
    <w:rsid w:val="009D21E8"/>
    <w:rsid w:val="009D27E4"/>
    <w:rsid w:val="009D2966"/>
    <w:rsid w:val="009D2A88"/>
    <w:rsid w:val="009D2CA4"/>
    <w:rsid w:val="009D2EF7"/>
    <w:rsid w:val="009D3580"/>
    <w:rsid w:val="009D35B3"/>
    <w:rsid w:val="009D3724"/>
    <w:rsid w:val="009D3739"/>
    <w:rsid w:val="009D39DA"/>
    <w:rsid w:val="009D3E9F"/>
    <w:rsid w:val="009D3F3B"/>
    <w:rsid w:val="009D4172"/>
    <w:rsid w:val="009D462D"/>
    <w:rsid w:val="009D4A18"/>
    <w:rsid w:val="009D4B26"/>
    <w:rsid w:val="009D4BA7"/>
    <w:rsid w:val="009D4DA6"/>
    <w:rsid w:val="009D4ECC"/>
    <w:rsid w:val="009D501A"/>
    <w:rsid w:val="009D5320"/>
    <w:rsid w:val="009D539A"/>
    <w:rsid w:val="009D54FC"/>
    <w:rsid w:val="009D5506"/>
    <w:rsid w:val="009D56F1"/>
    <w:rsid w:val="009D58FE"/>
    <w:rsid w:val="009D5C33"/>
    <w:rsid w:val="009D60A0"/>
    <w:rsid w:val="009D669D"/>
    <w:rsid w:val="009D66DA"/>
    <w:rsid w:val="009D6FE2"/>
    <w:rsid w:val="009D705C"/>
    <w:rsid w:val="009D78A9"/>
    <w:rsid w:val="009D7AC4"/>
    <w:rsid w:val="009D7DE6"/>
    <w:rsid w:val="009D7FE6"/>
    <w:rsid w:val="009DCC97"/>
    <w:rsid w:val="009E04F6"/>
    <w:rsid w:val="009E0F22"/>
    <w:rsid w:val="009E106B"/>
    <w:rsid w:val="009E12A8"/>
    <w:rsid w:val="009E17E4"/>
    <w:rsid w:val="009E197C"/>
    <w:rsid w:val="009E1B06"/>
    <w:rsid w:val="009E1EFF"/>
    <w:rsid w:val="009E1F46"/>
    <w:rsid w:val="009E2026"/>
    <w:rsid w:val="009E205F"/>
    <w:rsid w:val="009E252A"/>
    <w:rsid w:val="009E276F"/>
    <w:rsid w:val="009E2981"/>
    <w:rsid w:val="009E2A72"/>
    <w:rsid w:val="009E2C22"/>
    <w:rsid w:val="009E2C9F"/>
    <w:rsid w:val="009E2DBB"/>
    <w:rsid w:val="009E2EB7"/>
    <w:rsid w:val="009E303C"/>
    <w:rsid w:val="009E352B"/>
    <w:rsid w:val="009E3546"/>
    <w:rsid w:val="009E36C8"/>
    <w:rsid w:val="009E36D9"/>
    <w:rsid w:val="009E3746"/>
    <w:rsid w:val="009E3A86"/>
    <w:rsid w:val="009E3C82"/>
    <w:rsid w:val="009E40C5"/>
    <w:rsid w:val="009E4158"/>
    <w:rsid w:val="009E41F2"/>
    <w:rsid w:val="009E4500"/>
    <w:rsid w:val="009E46CA"/>
    <w:rsid w:val="009E4A40"/>
    <w:rsid w:val="009E4F5E"/>
    <w:rsid w:val="009E50B5"/>
    <w:rsid w:val="009E511F"/>
    <w:rsid w:val="009E5748"/>
    <w:rsid w:val="009E5A28"/>
    <w:rsid w:val="009E65B9"/>
    <w:rsid w:val="009E6787"/>
    <w:rsid w:val="009E6A4A"/>
    <w:rsid w:val="009E6F2F"/>
    <w:rsid w:val="009E6F35"/>
    <w:rsid w:val="009E6FA2"/>
    <w:rsid w:val="009E78E4"/>
    <w:rsid w:val="009E7A0E"/>
    <w:rsid w:val="009F035C"/>
    <w:rsid w:val="009F04DB"/>
    <w:rsid w:val="009F08AB"/>
    <w:rsid w:val="009F0E6E"/>
    <w:rsid w:val="009F104C"/>
    <w:rsid w:val="009F1106"/>
    <w:rsid w:val="009F132F"/>
    <w:rsid w:val="009F1598"/>
    <w:rsid w:val="009F178A"/>
    <w:rsid w:val="009F17F6"/>
    <w:rsid w:val="009F1898"/>
    <w:rsid w:val="009F191D"/>
    <w:rsid w:val="009F1AFB"/>
    <w:rsid w:val="009F1B32"/>
    <w:rsid w:val="009F1DF5"/>
    <w:rsid w:val="009F22E0"/>
    <w:rsid w:val="009F29D7"/>
    <w:rsid w:val="009F2A49"/>
    <w:rsid w:val="009F2BC7"/>
    <w:rsid w:val="009F2DE0"/>
    <w:rsid w:val="009F2DEE"/>
    <w:rsid w:val="009F2F6E"/>
    <w:rsid w:val="009F31AA"/>
    <w:rsid w:val="009F3751"/>
    <w:rsid w:val="009F3D3E"/>
    <w:rsid w:val="009F3E18"/>
    <w:rsid w:val="009F4499"/>
    <w:rsid w:val="009F45E5"/>
    <w:rsid w:val="009F467B"/>
    <w:rsid w:val="009F47F6"/>
    <w:rsid w:val="009F4862"/>
    <w:rsid w:val="009F4969"/>
    <w:rsid w:val="009F5195"/>
    <w:rsid w:val="009F53F0"/>
    <w:rsid w:val="009F5558"/>
    <w:rsid w:val="009F57C3"/>
    <w:rsid w:val="009F5DD9"/>
    <w:rsid w:val="009F5EE1"/>
    <w:rsid w:val="009F63B9"/>
    <w:rsid w:val="009F66B6"/>
    <w:rsid w:val="009F66BC"/>
    <w:rsid w:val="009F6926"/>
    <w:rsid w:val="009F6FC0"/>
    <w:rsid w:val="009F7327"/>
    <w:rsid w:val="009F744D"/>
    <w:rsid w:val="009F7E23"/>
    <w:rsid w:val="009FB94D"/>
    <w:rsid w:val="00A0003D"/>
    <w:rsid w:val="00A00212"/>
    <w:rsid w:val="00A00336"/>
    <w:rsid w:val="00A006B3"/>
    <w:rsid w:val="00A00741"/>
    <w:rsid w:val="00A00A14"/>
    <w:rsid w:val="00A01062"/>
    <w:rsid w:val="00A01153"/>
    <w:rsid w:val="00A0146F"/>
    <w:rsid w:val="00A0192B"/>
    <w:rsid w:val="00A01A00"/>
    <w:rsid w:val="00A01E3A"/>
    <w:rsid w:val="00A02285"/>
    <w:rsid w:val="00A0235C"/>
    <w:rsid w:val="00A02BAF"/>
    <w:rsid w:val="00A02DAE"/>
    <w:rsid w:val="00A0365D"/>
    <w:rsid w:val="00A04647"/>
    <w:rsid w:val="00A04AC3"/>
    <w:rsid w:val="00A04CDB"/>
    <w:rsid w:val="00A04D88"/>
    <w:rsid w:val="00A050CA"/>
    <w:rsid w:val="00A0568A"/>
    <w:rsid w:val="00A056FA"/>
    <w:rsid w:val="00A05DE0"/>
    <w:rsid w:val="00A061E6"/>
    <w:rsid w:val="00A064E3"/>
    <w:rsid w:val="00A06664"/>
    <w:rsid w:val="00A06834"/>
    <w:rsid w:val="00A06BB3"/>
    <w:rsid w:val="00A06D05"/>
    <w:rsid w:val="00A06DCB"/>
    <w:rsid w:val="00A07164"/>
    <w:rsid w:val="00A07336"/>
    <w:rsid w:val="00A074D9"/>
    <w:rsid w:val="00A077FD"/>
    <w:rsid w:val="00A07B25"/>
    <w:rsid w:val="00A07F0D"/>
    <w:rsid w:val="00A10234"/>
    <w:rsid w:val="00A104A3"/>
    <w:rsid w:val="00A1058F"/>
    <w:rsid w:val="00A106C1"/>
    <w:rsid w:val="00A10B5A"/>
    <w:rsid w:val="00A10FD6"/>
    <w:rsid w:val="00A11240"/>
    <w:rsid w:val="00A112F1"/>
    <w:rsid w:val="00A113A4"/>
    <w:rsid w:val="00A11410"/>
    <w:rsid w:val="00A11889"/>
    <w:rsid w:val="00A11E94"/>
    <w:rsid w:val="00A12675"/>
    <w:rsid w:val="00A128E6"/>
    <w:rsid w:val="00A12DB6"/>
    <w:rsid w:val="00A12DFB"/>
    <w:rsid w:val="00A12E7C"/>
    <w:rsid w:val="00A12EDB"/>
    <w:rsid w:val="00A12F3C"/>
    <w:rsid w:val="00A13898"/>
    <w:rsid w:val="00A13CD4"/>
    <w:rsid w:val="00A13FF1"/>
    <w:rsid w:val="00A14026"/>
    <w:rsid w:val="00A140BA"/>
    <w:rsid w:val="00A141F3"/>
    <w:rsid w:val="00A1420F"/>
    <w:rsid w:val="00A14684"/>
    <w:rsid w:val="00A14803"/>
    <w:rsid w:val="00A149DF"/>
    <w:rsid w:val="00A14AE6"/>
    <w:rsid w:val="00A14D4C"/>
    <w:rsid w:val="00A14D81"/>
    <w:rsid w:val="00A157D7"/>
    <w:rsid w:val="00A15A2B"/>
    <w:rsid w:val="00A15A3E"/>
    <w:rsid w:val="00A15E81"/>
    <w:rsid w:val="00A163E1"/>
    <w:rsid w:val="00A165F1"/>
    <w:rsid w:val="00A16895"/>
    <w:rsid w:val="00A16924"/>
    <w:rsid w:val="00A16C16"/>
    <w:rsid w:val="00A16F02"/>
    <w:rsid w:val="00A16F12"/>
    <w:rsid w:val="00A17177"/>
    <w:rsid w:val="00A1727B"/>
    <w:rsid w:val="00A17730"/>
    <w:rsid w:val="00A179AC"/>
    <w:rsid w:val="00A2016B"/>
    <w:rsid w:val="00A20295"/>
    <w:rsid w:val="00A20C91"/>
    <w:rsid w:val="00A21070"/>
    <w:rsid w:val="00A21165"/>
    <w:rsid w:val="00A2153A"/>
    <w:rsid w:val="00A21564"/>
    <w:rsid w:val="00A2170A"/>
    <w:rsid w:val="00A217BC"/>
    <w:rsid w:val="00A218A1"/>
    <w:rsid w:val="00A21B6B"/>
    <w:rsid w:val="00A21C38"/>
    <w:rsid w:val="00A21CAB"/>
    <w:rsid w:val="00A21D8F"/>
    <w:rsid w:val="00A223D8"/>
    <w:rsid w:val="00A22584"/>
    <w:rsid w:val="00A226DC"/>
    <w:rsid w:val="00A22ACC"/>
    <w:rsid w:val="00A22E6A"/>
    <w:rsid w:val="00A2301D"/>
    <w:rsid w:val="00A23051"/>
    <w:rsid w:val="00A23188"/>
    <w:rsid w:val="00A2319D"/>
    <w:rsid w:val="00A23754"/>
    <w:rsid w:val="00A238DF"/>
    <w:rsid w:val="00A2398B"/>
    <w:rsid w:val="00A23E2F"/>
    <w:rsid w:val="00A240A9"/>
    <w:rsid w:val="00A2440C"/>
    <w:rsid w:val="00A24545"/>
    <w:rsid w:val="00A2454E"/>
    <w:rsid w:val="00A24688"/>
    <w:rsid w:val="00A249AC"/>
    <w:rsid w:val="00A24CC7"/>
    <w:rsid w:val="00A24EB5"/>
    <w:rsid w:val="00A250B5"/>
    <w:rsid w:val="00A25286"/>
    <w:rsid w:val="00A25564"/>
    <w:rsid w:val="00A25618"/>
    <w:rsid w:val="00A2576C"/>
    <w:rsid w:val="00A25980"/>
    <w:rsid w:val="00A25C5F"/>
    <w:rsid w:val="00A25DA5"/>
    <w:rsid w:val="00A25E33"/>
    <w:rsid w:val="00A25FBF"/>
    <w:rsid w:val="00A260AE"/>
    <w:rsid w:val="00A26DDE"/>
    <w:rsid w:val="00A26FCB"/>
    <w:rsid w:val="00A26FD0"/>
    <w:rsid w:val="00A270CC"/>
    <w:rsid w:val="00A27322"/>
    <w:rsid w:val="00A273F0"/>
    <w:rsid w:val="00A2749E"/>
    <w:rsid w:val="00A276ED"/>
    <w:rsid w:val="00A277C0"/>
    <w:rsid w:val="00A27B3D"/>
    <w:rsid w:val="00A27BDE"/>
    <w:rsid w:val="00A27DF6"/>
    <w:rsid w:val="00A27E4A"/>
    <w:rsid w:val="00A3060D"/>
    <w:rsid w:val="00A309EC"/>
    <w:rsid w:val="00A30BA6"/>
    <w:rsid w:val="00A31A9B"/>
    <w:rsid w:val="00A31C39"/>
    <w:rsid w:val="00A3255E"/>
    <w:rsid w:val="00A326FD"/>
    <w:rsid w:val="00A3291B"/>
    <w:rsid w:val="00A330BA"/>
    <w:rsid w:val="00A3369E"/>
    <w:rsid w:val="00A33861"/>
    <w:rsid w:val="00A33C6C"/>
    <w:rsid w:val="00A33F5E"/>
    <w:rsid w:val="00A34230"/>
    <w:rsid w:val="00A346A8"/>
    <w:rsid w:val="00A34BED"/>
    <w:rsid w:val="00A34D98"/>
    <w:rsid w:val="00A34EA8"/>
    <w:rsid w:val="00A34F9B"/>
    <w:rsid w:val="00A35243"/>
    <w:rsid w:val="00A35414"/>
    <w:rsid w:val="00A3543E"/>
    <w:rsid w:val="00A354C9"/>
    <w:rsid w:val="00A35720"/>
    <w:rsid w:val="00A3604E"/>
    <w:rsid w:val="00A36094"/>
    <w:rsid w:val="00A36292"/>
    <w:rsid w:val="00A3719E"/>
    <w:rsid w:val="00A376A7"/>
    <w:rsid w:val="00A37C78"/>
    <w:rsid w:val="00A37E94"/>
    <w:rsid w:val="00A40560"/>
    <w:rsid w:val="00A405AF"/>
    <w:rsid w:val="00A40703"/>
    <w:rsid w:val="00A40E3B"/>
    <w:rsid w:val="00A40EF8"/>
    <w:rsid w:val="00A41004"/>
    <w:rsid w:val="00A41066"/>
    <w:rsid w:val="00A41085"/>
    <w:rsid w:val="00A41303"/>
    <w:rsid w:val="00A4153D"/>
    <w:rsid w:val="00A415F2"/>
    <w:rsid w:val="00A417BB"/>
    <w:rsid w:val="00A41E65"/>
    <w:rsid w:val="00A421B3"/>
    <w:rsid w:val="00A427A4"/>
    <w:rsid w:val="00A42BF9"/>
    <w:rsid w:val="00A42D7E"/>
    <w:rsid w:val="00A42F84"/>
    <w:rsid w:val="00A434B1"/>
    <w:rsid w:val="00A435FE"/>
    <w:rsid w:val="00A4376E"/>
    <w:rsid w:val="00A43EEF"/>
    <w:rsid w:val="00A44152"/>
    <w:rsid w:val="00A441B2"/>
    <w:rsid w:val="00A454B5"/>
    <w:rsid w:val="00A45BEB"/>
    <w:rsid w:val="00A45D72"/>
    <w:rsid w:val="00A46154"/>
    <w:rsid w:val="00A465B6"/>
    <w:rsid w:val="00A466EE"/>
    <w:rsid w:val="00A46D5B"/>
    <w:rsid w:val="00A46E57"/>
    <w:rsid w:val="00A47083"/>
    <w:rsid w:val="00A47401"/>
    <w:rsid w:val="00A474E9"/>
    <w:rsid w:val="00A47C4A"/>
    <w:rsid w:val="00A47F07"/>
    <w:rsid w:val="00A47F93"/>
    <w:rsid w:val="00A5031D"/>
    <w:rsid w:val="00A50610"/>
    <w:rsid w:val="00A508F8"/>
    <w:rsid w:val="00A50B3F"/>
    <w:rsid w:val="00A511B2"/>
    <w:rsid w:val="00A515EF"/>
    <w:rsid w:val="00A516B0"/>
    <w:rsid w:val="00A51861"/>
    <w:rsid w:val="00A5188B"/>
    <w:rsid w:val="00A519D4"/>
    <w:rsid w:val="00A51B64"/>
    <w:rsid w:val="00A51C1D"/>
    <w:rsid w:val="00A523CF"/>
    <w:rsid w:val="00A5244D"/>
    <w:rsid w:val="00A52505"/>
    <w:rsid w:val="00A52E16"/>
    <w:rsid w:val="00A531E6"/>
    <w:rsid w:val="00A53464"/>
    <w:rsid w:val="00A537D1"/>
    <w:rsid w:val="00A53B70"/>
    <w:rsid w:val="00A54399"/>
    <w:rsid w:val="00A543C1"/>
    <w:rsid w:val="00A548A6"/>
    <w:rsid w:val="00A54B8D"/>
    <w:rsid w:val="00A55225"/>
    <w:rsid w:val="00A556F0"/>
    <w:rsid w:val="00A5581E"/>
    <w:rsid w:val="00A55A17"/>
    <w:rsid w:val="00A55B02"/>
    <w:rsid w:val="00A55B8E"/>
    <w:rsid w:val="00A55D7F"/>
    <w:rsid w:val="00A55FC0"/>
    <w:rsid w:val="00A5600C"/>
    <w:rsid w:val="00A56A14"/>
    <w:rsid w:val="00A56BC1"/>
    <w:rsid w:val="00A56C73"/>
    <w:rsid w:val="00A56D5F"/>
    <w:rsid w:val="00A56E7F"/>
    <w:rsid w:val="00A570CB"/>
    <w:rsid w:val="00A5731C"/>
    <w:rsid w:val="00A57B98"/>
    <w:rsid w:val="00A57CFD"/>
    <w:rsid w:val="00A57DFF"/>
    <w:rsid w:val="00A58CAE"/>
    <w:rsid w:val="00A60037"/>
    <w:rsid w:val="00A60065"/>
    <w:rsid w:val="00A605AC"/>
    <w:rsid w:val="00A60630"/>
    <w:rsid w:val="00A60DBE"/>
    <w:rsid w:val="00A60DFC"/>
    <w:rsid w:val="00A614A2"/>
    <w:rsid w:val="00A6168A"/>
    <w:rsid w:val="00A61858"/>
    <w:rsid w:val="00A61E70"/>
    <w:rsid w:val="00A61FB9"/>
    <w:rsid w:val="00A61FEB"/>
    <w:rsid w:val="00A626A7"/>
    <w:rsid w:val="00A627A3"/>
    <w:rsid w:val="00A62973"/>
    <w:rsid w:val="00A62E7C"/>
    <w:rsid w:val="00A6303C"/>
    <w:rsid w:val="00A631FC"/>
    <w:rsid w:val="00A6320E"/>
    <w:rsid w:val="00A6371F"/>
    <w:rsid w:val="00A63D24"/>
    <w:rsid w:val="00A6403E"/>
    <w:rsid w:val="00A6411D"/>
    <w:rsid w:val="00A64448"/>
    <w:rsid w:val="00A645EE"/>
    <w:rsid w:val="00A6475D"/>
    <w:rsid w:val="00A64BD4"/>
    <w:rsid w:val="00A64DFD"/>
    <w:rsid w:val="00A64F64"/>
    <w:rsid w:val="00A65048"/>
    <w:rsid w:val="00A652C4"/>
    <w:rsid w:val="00A6554B"/>
    <w:rsid w:val="00A6570F"/>
    <w:rsid w:val="00A65A90"/>
    <w:rsid w:val="00A65B3C"/>
    <w:rsid w:val="00A66214"/>
    <w:rsid w:val="00A664FB"/>
    <w:rsid w:val="00A6659F"/>
    <w:rsid w:val="00A66733"/>
    <w:rsid w:val="00A66C3D"/>
    <w:rsid w:val="00A67192"/>
    <w:rsid w:val="00A671BC"/>
    <w:rsid w:val="00A67448"/>
    <w:rsid w:val="00A67591"/>
    <w:rsid w:val="00A676C7"/>
    <w:rsid w:val="00A677C6"/>
    <w:rsid w:val="00A67900"/>
    <w:rsid w:val="00A7026B"/>
    <w:rsid w:val="00A7028C"/>
    <w:rsid w:val="00A702BD"/>
    <w:rsid w:val="00A702F9"/>
    <w:rsid w:val="00A71062"/>
    <w:rsid w:val="00A71929"/>
    <w:rsid w:val="00A71A02"/>
    <w:rsid w:val="00A71ABC"/>
    <w:rsid w:val="00A71E03"/>
    <w:rsid w:val="00A71F8E"/>
    <w:rsid w:val="00A724A7"/>
    <w:rsid w:val="00A725FF"/>
    <w:rsid w:val="00A72627"/>
    <w:rsid w:val="00A7280C"/>
    <w:rsid w:val="00A728C7"/>
    <w:rsid w:val="00A72A50"/>
    <w:rsid w:val="00A72A67"/>
    <w:rsid w:val="00A72CCB"/>
    <w:rsid w:val="00A72D9E"/>
    <w:rsid w:val="00A72F73"/>
    <w:rsid w:val="00A73021"/>
    <w:rsid w:val="00A736B6"/>
    <w:rsid w:val="00A737AC"/>
    <w:rsid w:val="00A73AC4"/>
    <w:rsid w:val="00A73D5A"/>
    <w:rsid w:val="00A74031"/>
    <w:rsid w:val="00A7424A"/>
    <w:rsid w:val="00A744E5"/>
    <w:rsid w:val="00A74AFE"/>
    <w:rsid w:val="00A74C95"/>
    <w:rsid w:val="00A752CD"/>
    <w:rsid w:val="00A755EE"/>
    <w:rsid w:val="00A757B7"/>
    <w:rsid w:val="00A758EF"/>
    <w:rsid w:val="00A75B2B"/>
    <w:rsid w:val="00A75B8C"/>
    <w:rsid w:val="00A75FFB"/>
    <w:rsid w:val="00A76279"/>
    <w:rsid w:val="00A76547"/>
    <w:rsid w:val="00A7691E"/>
    <w:rsid w:val="00A76AB5"/>
    <w:rsid w:val="00A76B8B"/>
    <w:rsid w:val="00A76EB2"/>
    <w:rsid w:val="00A76FBF"/>
    <w:rsid w:val="00A7706B"/>
    <w:rsid w:val="00A77141"/>
    <w:rsid w:val="00A771EC"/>
    <w:rsid w:val="00A77231"/>
    <w:rsid w:val="00A772B5"/>
    <w:rsid w:val="00A77333"/>
    <w:rsid w:val="00A7764F"/>
    <w:rsid w:val="00A777E2"/>
    <w:rsid w:val="00A77A62"/>
    <w:rsid w:val="00A77E8A"/>
    <w:rsid w:val="00A80309"/>
    <w:rsid w:val="00A80317"/>
    <w:rsid w:val="00A803DB"/>
    <w:rsid w:val="00A8044F"/>
    <w:rsid w:val="00A80E61"/>
    <w:rsid w:val="00A81397"/>
    <w:rsid w:val="00A81408"/>
    <w:rsid w:val="00A815D9"/>
    <w:rsid w:val="00A818C9"/>
    <w:rsid w:val="00A8193E"/>
    <w:rsid w:val="00A81A24"/>
    <w:rsid w:val="00A81F1D"/>
    <w:rsid w:val="00A824A7"/>
    <w:rsid w:val="00A82C10"/>
    <w:rsid w:val="00A82CA6"/>
    <w:rsid w:val="00A82E0E"/>
    <w:rsid w:val="00A8313D"/>
    <w:rsid w:val="00A838D1"/>
    <w:rsid w:val="00A8391C"/>
    <w:rsid w:val="00A839E4"/>
    <w:rsid w:val="00A83E33"/>
    <w:rsid w:val="00A83EDD"/>
    <w:rsid w:val="00A848EF"/>
    <w:rsid w:val="00A856CD"/>
    <w:rsid w:val="00A86135"/>
    <w:rsid w:val="00A863E1"/>
    <w:rsid w:val="00A864CC"/>
    <w:rsid w:val="00A8657C"/>
    <w:rsid w:val="00A86A91"/>
    <w:rsid w:val="00A86F3C"/>
    <w:rsid w:val="00A872A0"/>
    <w:rsid w:val="00A872B2"/>
    <w:rsid w:val="00A90683"/>
    <w:rsid w:val="00A90E90"/>
    <w:rsid w:val="00A90E9A"/>
    <w:rsid w:val="00A9154A"/>
    <w:rsid w:val="00A915AA"/>
    <w:rsid w:val="00A91635"/>
    <w:rsid w:val="00A919FE"/>
    <w:rsid w:val="00A92E6E"/>
    <w:rsid w:val="00A92F5A"/>
    <w:rsid w:val="00A93478"/>
    <w:rsid w:val="00A9354F"/>
    <w:rsid w:val="00A9392C"/>
    <w:rsid w:val="00A93E55"/>
    <w:rsid w:val="00A942BB"/>
    <w:rsid w:val="00A9443D"/>
    <w:rsid w:val="00A9481B"/>
    <w:rsid w:val="00A94BB6"/>
    <w:rsid w:val="00A94CCB"/>
    <w:rsid w:val="00A94D5D"/>
    <w:rsid w:val="00A950DC"/>
    <w:rsid w:val="00A955DF"/>
    <w:rsid w:val="00A9560B"/>
    <w:rsid w:val="00A956B2"/>
    <w:rsid w:val="00A95A94"/>
    <w:rsid w:val="00A95AFE"/>
    <w:rsid w:val="00A95CBF"/>
    <w:rsid w:val="00A95FAD"/>
    <w:rsid w:val="00A96335"/>
    <w:rsid w:val="00A96AEB"/>
    <w:rsid w:val="00A96C70"/>
    <w:rsid w:val="00A96CD9"/>
    <w:rsid w:val="00A9739A"/>
    <w:rsid w:val="00A97689"/>
    <w:rsid w:val="00A978FB"/>
    <w:rsid w:val="00A97B21"/>
    <w:rsid w:val="00A97D89"/>
    <w:rsid w:val="00AA0466"/>
    <w:rsid w:val="00AA057D"/>
    <w:rsid w:val="00AA05EE"/>
    <w:rsid w:val="00AA07D9"/>
    <w:rsid w:val="00AA098C"/>
    <w:rsid w:val="00AA0A36"/>
    <w:rsid w:val="00AA0C61"/>
    <w:rsid w:val="00AA0DF7"/>
    <w:rsid w:val="00AA108A"/>
    <w:rsid w:val="00AA18DC"/>
    <w:rsid w:val="00AA199C"/>
    <w:rsid w:val="00AA1CFC"/>
    <w:rsid w:val="00AA1D49"/>
    <w:rsid w:val="00AA204F"/>
    <w:rsid w:val="00AA2279"/>
    <w:rsid w:val="00AA22E2"/>
    <w:rsid w:val="00AA27BE"/>
    <w:rsid w:val="00AA3058"/>
    <w:rsid w:val="00AA30B3"/>
    <w:rsid w:val="00AA3348"/>
    <w:rsid w:val="00AA3515"/>
    <w:rsid w:val="00AA36BB"/>
    <w:rsid w:val="00AA3932"/>
    <w:rsid w:val="00AA3A45"/>
    <w:rsid w:val="00AA3A96"/>
    <w:rsid w:val="00AA3B44"/>
    <w:rsid w:val="00AA3CB6"/>
    <w:rsid w:val="00AA3FAD"/>
    <w:rsid w:val="00AA43DA"/>
    <w:rsid w:val="00AA46D3"/>
    <w:rsid w:val="00AA46D7"/>
    <w:rsid w:val="00AA475A"/>
    <w:rsid w:val="00AA4E83"/>
    <w:rsid w:val="00AA4F00"/>
    <w:rsid w:val="00AA54D1"/>
    <w:rsid w:val="00AA5566"/>
    <w:rsid w:val="00AA566B"/>
    <w:rsid w:val="00AA5B7E"/>
    <w:rsid w:val="00AA5D25"/>
    <w:rsid w:val="00AA5DA3"/>
    <w:rsid w:val="00AA6078"/>
    <w:rsid w:val="00AA613F"/>
    <w:rsid w:val="00AA6266"/>
    <w:rsid w:val="00AA62A3"/>
    <w:rsid w:val="00AA63C5"/>
    <w:rsid w:val="00AA63FB"/>
    <w:rsid w:val="00AA6466"/>
    <w:rsid w:val="00AA6FFF"/>
    <w:rsid w:val="00AA7155"/>
    <w:rsid w:val="00AA7426"/>
    <w:rsid w:val="00AA79EB"/>
    <w:rsid w:val="00AA7C80"/>
    <w:rsid w:val="00AA7D32"/>
    <w:rsid w:val="00AA7D7A"/>
    <w:rsid w:val="00AA7F14"/>
    <w:rsid w:val="00AA7F23"/>
    <w:rsid w:val="00AA7FD2"/>
    <w:rsid w:val="00AB009E"/>
    <w:rsid w:val="00AB0899"/>
    <w:rsid w:val="00AB08A4"/>
    <w:rsid w:val="00AB0D0D"/>
    <w:rsid w:val="00AB1292"/>
    <w:rsid w:val="00AB1A8F"/>
    <w:rsid w:val="00AB1BBF"/>
    <w:rsid w:val="00AB1D64"/>
    <w:rsid w:val="00AB2183"/>
    <w:rsid w:val="00AB21AC"/>
    <w:rsid w:val="00AB21DE"/>
    <w:rsid w:val="00AB238E"/>
    <w:rsid w:val="00AB2627"/>
    <w:rsid w:val="00AB274F"/>
    <w:rsid w:val="00AB2750"/>
    <w:rsid w:val="00AB2847"/>
    <w:rsid w:val="00AB2B1F"/>
    <w:rsid w:val="00AB2F2E"/>
    <w:rsid w:val="00AB3024"/>
    <w:rsid w:val="00AB31EA"/>
    <w:rsid w:val="00AB36A2"/>
    <w:rsid w:val="00AB37AC"/>
    <w:rsid w:val="00AB3933"/>
    <w:rsid w:val="00AB3D5D"/>
    <w:rsid w:val="00AB4117"/>
    <w:rsid w:val="00AB44AD"/>
    <w:rsid w:val="00AB49C1"/>
    <w:rsid w:val="00AB4A8A"/>
    <w:rsid w:val="00AB4BE9"/>
    <w:rsid w:val="00AB4CAB"/>
    <w:rsid w:val="00AB4CE0"/>
    <w:rsid w:val="00AB4E78"/>
    <w:rsid w:val="00AB4EF4"/>
    <w:rsid w:val="00AB50AF"/>
    <w:rsid w:val="00AB519A"/>
    <w:rsid w:val="00AB5357"/>
    <w:rsid w:val="00AB5413"/>
    <w:rsid w:val="00AB549E"/>
    <w:rsid w:val="00AB5764"/>
    <w:rsid w:val="00AB58B5"/>
    <w:rsid w:val="00AB6078"/>
    <w:rsid w:val="00AB66A9"/>
    <w:rsid w:val="00AB6BEC"/>
    <w:rsid w:val="00AB6C14"/>
    <w:rsid w:val="00AB6DE5"/>
    <w:rsid w:val="00AB6EEB"/>
    <w:rsid w:val="00AB6F4A"/>
    <w:rsid w:val="00AB75A1"/>
    <w:rsid w:val="00AB7719"/>
    <w:rsid w:val="00AB7D8C"/>
    <w:rsid w:val="00AC0119"/>
    <w:rsid w:val="00AC0435"/>
    <w:rsid w:val="00AC0A96"/>
    <w:rsid w:val="00AC0E5F"/>
    <w:rsid w:val="00AC13DD"/>
    <w:rsid w:val="00AC1420"/>
    <w:rsid w:val="00AC18C6"/>
    <w:rsid w:val="00AC19A5"/>
    <w:rsid w:val="00AC1AE6"/>
    <w:rsid w:val="00AC2724"/>
    <w:rsid w:val="00AC2DCE"/>
    <w:rsid w:val="00AC3266"/>
    <w:rsid w:val="00AC32F6"/>
    <w:rsid w:val="00AC34B7"/>
    <w:rsid w:val="00AC35EF"/>
    <w:rsid w:val="00AC3901"/>
    <w:rsid w:val="00AC3968"/>
    <w:rsid w:val="00AC3A2D"/>
    <w:rsid w:val="00AC3BF9"/>
    <w:rsid w:val="00AC49AE"/>
    <w:rsid w:val="00AC4AEC"/>
    <w:rsid w:val="00AC4C70"/>
    <w:rsid w:val="00AC4E7C"/>
    <w:rsid w:val="00AC510A"/>
    <w:rsid w:val="00AC5467"/>
    <w:rsid w:val="00AC54A4"/>
    <w:rsid w:val="00AC556F"/>
    <w:rsid w:val="00AC6BEF"/>
    <w:rsid w:val="00AC6F34"/>
    <w:rsid w:val="00AC751B"/>
    <w:rsid w:val="00AC7AC9"/>
    <w:rsid w:val="00AC7B33"/>
    <w:rsid w:val="00AC7E9A"/>
    <w:rsid w:val="00AC7F47"/>
    <w:rsid w:val="00AC7F7E"/>
    <w:rsid w:val="00AD0530"/>
    <w:rsid w:val="00AD0679"/>
    <w:rsid w:val="00AD075B"/>
    <w:rsid w:val="00AD08D9"/>
    <w:rsid w:val="00AD0956"/>
    <w:rsid w:val="00AD167D"/>
    <w:rsid w:val="00AD22B9"/>
    <w:rsid w:val="00AD259D"/>
    <w:rsid w:val="00AD28A1"/>
    <w:rsid w:val="00AD2C57"/>
    <w:rsid w:val="00AD3582"/>
    <w:rsid w:val="00AD39E9"/>
    <w:rsid w:val="00AD3AE9"/>
    <w:rsid w:val="00AD3B50"/>
    <w:rsid w:val="00AD3DBF"/>
    <w:rsid w:val="00AD3E51"/>
    <w:rsid w:val="00AD401A"/>
    <w:rsid w:val="00AD4107"/>
    <w:rsid w:val="00AD43E8"/>
    <w:rsid w:val="00AD4A8F"/>
    <w:rsid w:val="00AD4BE8"/>
    <w:rsid w:val="00AD4E2F"/>
    <w:rsid w:val="00AD4FC1"/>
    <w:rsid w:val="00AD4FF4"/>
    <w:rsid w:val="00AD512C"/>
    <w:rsid w:val="00AD5400"/>
    <w:rsid w:val="00AD5508"/>
    <w:rsid w:val="00AD55F0"/>
    <w:rsid w:val="00AD5915"/>
    <w:rsid w:val="00AD5A26"/>
    <w:rsid w:val="00AD5BCA"/>
    <w:rsid w:val="00AD5CD3"/>
    <w:rsid w:val="00AD5E9F"/>
    <w:rsid w:val="00AD6672"/>
    <w:rsid w:val="00AD6857"/>
    <w:rsid w:val="00AD68BC"/>
    <w:rsid w:val="00AD6D70"/>
    <w:rsid w:val="00AD6E06"/>
    <w:rsid w:val="00AD6F90"/>
    <w:rsid w:val="00AD6F91"/>
    <w:rsid w:val="00AD7467"/>
    <w:rsid w:val="00AD76AF"/>
    <w:rsid w:val="00AD7836"/>
    <w:rsid w:val="00AD7F58"/>
    <w:rsid w:val="00AE02C5"/>
    <w:rsid w:val="00AE054B"/>
    <w:rsid w:val="00AE061B"/>
    <w:rsid w:val="00AE0C43"/>
    <w:rsid w:val="00AE1340"/>
    <w:rsid w:val="00AE17A4"/>
    <w:rsid w:val="00AE1DA4"/>
    <w:rsid w:val="00AE20D3"/>
    <w:rsid w:val="00AE248C"/>
    <w:rsid w:val="00AE258C"/>
    <w:rsid w:val="00AE2C09"/>
    <w:rsid w:val="00AE2C3C"/>
    <w:rsid w:val="00AE2F7A"/>
    <w:rsid w:val="00AE3249"/>
    <w:rsid w:val="00AE3276"/>
    <w:rsid w:val="00AE3484"/>
    <w:rsid w:val="00AE3658"/>
    <w:rsid w:val="00AE3804"/>
    <w:rsid w:val="00AE3841"/>
    <w:rsid w:val="00AE3A10"/>
    <w:rsid w:val="00AE3AEB"/>
    <w:rsid w:val="00AE3BC0"/>
    <w:rsid w:val="00AE3C48"/>
    <w:rsid w:val="00AE3EF8"/>
    <w:rsid w:val="00AE4079"/>
    <w:rsid w:val="00AE4413"/>
    <w:rsid w:val="00AE4820"/>
    <w:rsid w:val="00AE4B04"/>
    <w:rsid w:val="00AE4C45"/>
    <w:rsid w:val="00AE4E41"/>
    <w:rsid w:val="00AE5747"/>
    <w:rsid w:val="00AE5CA3"/>
    <w:rsid w:val="00AE5F33"/>
    <w:rsid w:val="00AE66E9"/>
    <w:rsid w:val="00AE6937"/>
    <w:rsid w:val="00AE694D"/>
    <w:rsid w:val="00AE69BB"/>
    <w:rsid w:val="00AE6C49"/>
    <w:rsid w:val="00AE702A"/>
    <w:rsid w:val="00AE7511"/>
    <w:rsid w:val="00AE78BD"/>
    <w:rsid w:val="00AE7BD5"/>
    <w:rsid w:val="00AE7C70"/>
    <w:rsid w:val="00AE7CA9"/>
    <w:rsid w:val="00AF0501"/>
    <w:rsid w:val="00AF0540"/>
    <w:rsid w:val="00AF0D68"/>
    <w:rsid w:val="00AF124E"/>
    <w:rsid w:val="00AF1668"/>
    <w:rsid w:val="00AF18C8"/>
    <w:rsid w:val="00AF19F7"/>
    <w:rsid w:val="00AF1DCB"/>
    <w:rsid w:val="00AF1F82"/>
    <w:rsid w:val="00AF1FD0"/>
    <w:rsid w:val="00AF21D2"/>
    <w:rsid w:val="00AF27E0"/>
    <w:rsid w:val="00AF2CD4"/>
    <w:rsid w:val="00AF2DAB"/>
    <w:rsid w:val="00AF30F9"/>
    <w:rsid w:val="00AF332C"/>
    <w:rsid w:val="00AF3424"/>
    <w:rsid w:val="00AF362F"/>
    <w:rsid w:val="00AF3674"/>
    <w:rsid w:val="00AF36B4"/>
    <w:rsid w:val="00AF37F9"/>
    <w:rsid w:val="00AF3A3F"/>
    <w:rsid w:val="00AF4036"/>
    <w:rsid w:val="00AF4167"/>
    <w:rsid w:val="00AF41CE"/>
    <w:rsid w:val="00AF47A4"/>
    <w:rsid w:val="00AF4A18"/>
    <w:rsid w:val="00AF4E6C"/>
    <w:rsid w:val="00AF4FCC"/>
    <w:rsid w:val="00AF51B8"/>
    <w:rsid w:val="00AF558E"/>
    <w:rsid w:val="00AF5BE5"/>
    <w:rsid w:val="00AF5D28"/>
    <w:rsid w:val="00AF61A4"/>
    <w:rsid w:val="00AF63AE"/>
    <w:rsid w:val="00AF659A"/>
    <w:rsid w:val="00AF6B8C"/>
    <w:rsid w:val="00AF6D6F"/>
    <w:rsid w:val="00AF6DE5"/>
    <w:rsid w:val="00AF6F94"/>
    <w:rsid w:val="00AF71F2"/>
    <w:rsid w:val="00AF7583"/>
    <w:rsid w:val="00AF77A8"/>
    <w:rsid w:val="00AF7B69"/>
    <w:rsid w:val="00AF7BB9"/>
    <w:rsid w:val="00AF7EE5"/>
    <w:rsid w:val="00AF7F0E"/>
    <w:rsid w:val="00AF7FA8"/>
    <w:rsid w:val="00B00125"/>
    <w:rsid w:val="00B001D9"/>
    <w:rsid w:val="00B009B3"/>
    <w:rsid w:val="00B00A23"/>
    <w:rsid w:val="00B010B5"/>
    <w:rsid w:val="00B01A92"/>
    <w:rsid w:val="00B01E24"/>
    <w:rsid w:val="00B02045"/>
    <w:rsid w:val="00B02122"/>
    <w:rsid w:val="00B022A1"/>
    <w:rsid w:val="00B029A1"/>
    <w:rsid w:val="00B02ED9"/>
    <w:rsid w:val="00B03090"/>
    <w:rsid w:val="00B033CB"/>
    <w:rsid w:val="00B034E4"/>
    <w:rsid w:val="00B03B35"/>
    <w:rsid w:val="00B0437D"/>
    <w:rsid w:val="00B043DB"/>
    <w:rsid w:val="00B047FF"/>
    <w:rsid w:val="00B04AC5"/>
    <w:rsid w:val="00B0502C"/>
    <w:rsid w:val="00B056B6"/>
    <w:rsid w:val="00B05718"/>
    <w:rsid w:val="00B059E4"/>
    <w:rsid w:val="00B06061"/>
    <w:rsid w:val="00B0617E"/>
    <w:rsid w:val="00B0679C"/>
    <w:rsid w:val="00B0698F"/>
    <w:rsid w:val="00B06B03"/>
    <w:rsid w:val="00B07345"/>
    <w:rsid w:val="00B073A4"/>
    <w:rsid w:val="00B07C2A"/>
    <w:rsid w:val="00B1003F"/>
    <w:rsid w:val="00B10274"/>
    <w:rsid w:val="00B1035A"/>
    <w:rsid w:val="00B10370"/>
    <w:rsid w:val="00B10378"/>
    <w:rsid w:val="00B107DA"/>
    <w:rsid w:val="00B108FF"/>
    <w:rsid w:val="00B10D64"/>
    <w:rsid w:val="00B10F12"/>
    <w:rsid w:val="00B11210"/>
    <w:rsid w:val="00B1131B"/>
    <w:rsid w:val="00B11BE4"/>
    <w:rsid w:val="00B11BE8"/>
    <w:rsid w:val="00B11C62"/>
    <w:rsid w:val="00B11C86"/>
    <w:rsid w:val="00B1206B"/>
    <w:rsid w:val="00B1234E"/>
    <w:rsid w:val="00B127FD"/>
    <w:rsid w:val="00B1280E"/>
    <w:rsid w:val="00B129F8"/>
    <w:rsid w:val="00B12AE6"/>
    <w:rsid w:val="00B12BF4"/>
    <w:rsid w:val="00B12E1B"/>
    <w:rsid w:val="00B12E47"/>
    <w:rsid w:val="00B12EE8"/>
    <w:rsid w:val="00B12FA3"/>
    <w:rsid w:val="00B13272"/>
    <w:rsid w:val="00B13359"/>
    <w:rsid w:val="00B13C21"/>
    <w:rsid w:val="00B13C24"/>
    <w:rsid w:val="00B13E4F"/>
    <w:rsid w:val="00B13F86"/>
    <w:rsid w:val="00B148A3"/>
    <w:rsid w:val="00B14A23"/>
    <w:rsid w:val="00B14C31"/>
    <w:rsid w:val="00B14D3D"/>
    <w:rsid w:val="00B14E15"/>
    <w:rsid w:val="00B1515C"/>
    <w:rsid w:val="00B15B7D"/>
    <w:rsid w:val="00B16111"/>
    <w:rsid w:val="00B16189"/>
    <w:rsid w:val="00B16D2D"/>
    <w:rsid w:val="00B16F53"/>
    <w:rsid w:val="00B170A6"/>
    <w:rsid w:val="00B1721F"/>
    <w:rsid w:val="00B17717"/>
    <w:rsid w:val="00B178E9"/>
    <w:rsid w:val="00B17CA1"/>
    <w:rsid w:val="00B17E56"/>
    <w:rsid w:val="00B2001B"/>
    <w:rsid w:val="00B2007F"/>
    <w:rsid w:val="00B201E6"/>
    <w:rsid w:val="00B20691"/>
    <w:rsid w:val="00B208C0"/>
    <w:rsid w:val="00B21152"/>
    <w:rsid w:val="00B21809"/>
    <w:rsid w:val="00B219CA"/>
    <w:rsid w:val="00B21ADB"/>
    <w:rsid w:val="00B21AE8"/>
    <w:rsid w:val="00B21C65"/>
    <w:rsid w:val="00B21CF9"/>
    <w:rsid w:val="00B21F9E"/>
    <w:rsid w:val="00B22BBC"/>
    <w:rsid w:val="00B22CE2"/>
    <w:rsid w:val="00B2317B"/>
    <w:rsid w:val="00B23626"/>
    <w:rsid w:val="00B23BD3"/>
    <w:rsid w:val="00B23F30"/>
    <w:rsid w:val="00B24410"/>
    <w:rsid w:val="00B24444"/>
    <w:rsid w:val="00B24AA4"/>
    <w:rsid w:val="00B24DF6"/>
    <w:rsid w:val="00B24E33"/>
    <w:rsid w:val="00B25088"/>
    <w:rsid w:val="00B2514F"/>
    <w:rsid w:val="00B2525E"/>
    <w:rsid w:val="00B25453"/>
    <w:rsid w:val="00B25596"/>
    <w:rsid w:val="00B25C6B"/>
    <w:rsid w:val="00B26021"/>
    <w:rsid w:val="00B2644A"/>
    <w:rsid w:val="00B26846"/>
    <w:rsid w:val="00B26B64"/>
    <w:rsid w:val="00B26C60"/>
    <w:rsid w:val="00B2718A"/>
    <w:rsid w:val="00B276B4"/>
    <w:rsid w:val="00B279B0"/>
    <w:rsid w:val="00B30811"/>
    <w:rsid w:val="00B309F4"/>
    <w:rsid w:val="00B30C29"/>
    <w:rsid w:val="00B30E32"/>
    <w:rsid w:val="00B3115E"/>
    <w:rsid w:val="00B311D9"/>
    <w:rsid w:val="00B31814"/>
    <w:rsid w:val="00B318F5"/>
    <w:rsid w:val="00B31A17"/>
    <w:rsid w:val="00B31E65"/>
    <w:rsid w:val="00B31F2E"/>
    <w:rsid w:val="00B32159"/>
    <w:rsid w:val="00B32343"/>
    <w:rsid w:val="00B3267C"/>
    <w:rsid w:val="00B326C4"/>
    <w:rsid w:val="00B32A4D"/>
    <w:rsid w:val="00B32AE0"/>
    <w:rsid w:val="00B32BF1"/>
    <w:rsid w:val="00B330F1"/>
    <w:rsid w:val="00B33346"/>
    <w:rsid w:val="00B33404"/>
    <w:rsid w:val="00B33938"/>
    <w:rsid w:val="00B33984"/>
    <w:rsid w:val="00B3421B"/>
    <w:rsid w:val="00B34491"/>
    <w:rsid w:val="00B34C7D"/>
    <w:rsid w:val="00B34F3A"/>
    <w:rsid w:val="00B3512D"/>
    <w:rsid w:val="00B351A5"/>
    <w:rsid w:val="00B35585"/>
    <w:rsid w:val="00B35750"/>
    <w:rsid w:val="00B35A26"/>
    <w:rsid w:val="00B36060"/>
    <w:rsid w:val="00B36190"/>
    <w:rsid w:val="00B365DC"/>
    <w:rsid w:val="00B3667B"/>
    <w:rsid w:val="00B36760"/>
    <w:rsid w:val="00B36DAF"/>
    <w:rsid w:val="00B37871"/>
    <w:rsid w:val="00B37991"/>
    <w:rsid w:val="00B37DCB"/>
    <w:rsid w:val="00B40107"/>
    <w:rsid w:val="00B40263"/>
    <w:rsid w:val="00B407C8"/>
    <w:rsid w:val="00B40939"/>
    <w:rsid w:val="00B4094A"/>
    <w:rsid w:val="00B40DAA"/>
    <w:rsid w:val="00B40F99"/>
    <w:rsid w:val="00B414FB"/>
    <w:rsid w:val="00B41585"/>
    <w:rsid w:val="00B41C5F"/>
    <w:rsid w:val="00B42043"/>
    <w:rsid w:val="00B421B9"/>
    <w:rsid w:val="00B423B0"/>
    <w:rsid w:val="00B42424"/>
    <w:rsid w:val="00B426DE"/>
    <w:rsid w:val="00B42A03"/>
    <w:rsid w:val="00B42C86"/>
    <w:rsid w:val="00B43043"/>
    <w:rsid w:val="00B431DF"/>
    <w:rsid w:val="00B432D7"/>
    <w:rsid w:val="00B43408"/>
    <w:rsid w:val="00B435CC"/>
    <w:rsid w:val="00B43B5A"/>
    <w:rsid w:val="00B44661"/>
    <w:rsid w:val="00B446AD"/>
    <w:rsid w:val="00B44FFA"/>
    <w:rsid w:val="00B450E8"/>
    <w:rsid w:val="00B457B3"/>
    <w:rsid w:val="00B45852"/>
    <w:rsid w:val="00B458ED"/>
    <w:rsid w:val="00B45C89"/>
    <w:rsid w:val="00B46639"/>
    <w:rsid w:val="00B46ADC"/>
    <w:rsid w:val="00B46DE7"/>
    <w:rsid w:val="00B47137"/>
    <w:rsid w:val="00B471D6"/>
    <w:rsid w:val="00B4758F"/>
    <w:rsid w:val="00B47951"/>
    <w:rsid w:val="00B47C74"/>
    <w:rsid w:val="00B47D1A"/>
    <w:rsid w:val="00B47E93"/>
    <w:rsid w:val="00B509EC"/>
    <w:rsid w:val="00B50B08"/>
    <w:rsid w:val="00B51065"/>
    <w:rsid w:val="00B5109B"/>
    <w:rsid w:val="00B510FD"/>
    <w:rsid w:val="00B51128"/>
    <w:rsid w:val="00B512F7"/>
    <w:rsid w:val="00B515A8"/>
    <w:rsid w:val="00B519F2"/>
    <w:rsid w:val="00B51BD8"/>
    <w:rsid w:val="00B51C57"/>
    <w:rsid w:val="00B51D53"/>
    <w:rsid w:val="00B51EEB"/>
    <w:rsid w:val="00B51F27"/>
    <w:rsid w:val="00B52136"/>
    <w:rsid w:val="00B523C9"/>
    <w:rsid w:val="00B52948"/>
    <w:rsid w:val="00B52A0E"/>
    <w:rsid w:val="00B52F00"/>
    <w:rsid w:val="00B5301D"/>
    <w:rsid w:val="00B53191"/>
    <w:rsid w:val="00B532B5"/>
    <w:rsid w:val="00B53705"/>
    <w:rsid w:val="00B53BAD"/>
    <w:rsid w:val="00B53F94"/>
    <w:rsid w:val="00B541A8"/>
    <w:rsid w:val="00B541D9"/>
    <w:rsid w:val="00B5436B"/>
    <w:rsid w:val="00B544BD"/>
    <w:rsid w:val="00B5459D"/>
    <w:rsid w:val="00B549D0"/>
    <w:rsid w:val="00B54C29"/>
    <w:rsid w:val="00B550CF"/>
    <w:rsid w:val="00B552A9"/>
    <w:rsid w:val="00B5585C"/>
    <w:rsid w:val="00B55D7B"/>
    <w:rsid w:val="00B55FDA"/>
    <w:rsid w:val="00B56097"/>
    <w:rsid w:val="00B560BF"/>
    <w:rsid w:val="00B56507"/>
    <w:rsid w:val="00B56BE7"/>
    <w:rsid w:val="00B57B98"/>
    <w:rsid w:val="00B57ED7"/>
    <w:rsid w:val="00B57FD9"/>
    <w:rsid w:val="00B57FEC"/>
    <w:rsid w:val="00B60CA4"/>
    <w:rsid w:val="00B60D8C"/>
    <w:rsid w:val="00B610BB"/>
    <w:rsid w:val="00B6125D"/>
    <w:rsid w:val="00B617BE"/>
    <w:rsid w:val="00B619FC"/>
    <w:rsid w:val="00B62563"/>
    <w:rsid w:val="00B62B13"/>
    <w:rsid w:val="00B62F7B"/>
    <w:rsid w:val="00B63007"/>
    <w:rsid w:val="00B63128"/>
    <w:rsid w:val="00B63484"/>
    <w:rsid w:val="00B634D8"/>
    <w:rsid w:val="00B636FF"/>
    <w:rsid w:val="00B637CD"/>
    <w:rsid w:val="00B64098"/>
    <w:rsid w:val="00B642CF"/>
    <w:rsid w:val="00B642EA"/>
    <w:rsid w:val="00B645F5"/>
    <w:rsid w:val="00B64781"/>
    <w:rsid w:val="00B648BE"/>
    <w:rsid w:val="00B64934"/>
    <w:rsid w:val="00B657B4"/>
    <w:rsid w:val="00B65964"/>
    <w:rsid w:val="00B65B5A"/>
    <w:rsid w:val="00B6630E"/>
    <w:rsid w:val="00B664BC"/>
    <w:rsid w:val="00B66C17"/>
    <w:rsid w:val="00B66EC5"/>
    <w:rsid w:val="00B672C3"/>
    <w:rsid w:val="00B6780E"/>
    <w:rsid w:val="00B67B1F"/>
    <w:rsid w:val="00B703F4"/>
    <w:rsid w:val="00B704FE"/>
    <w:rsid w:val="00B7093E"/>
    <w:rsid w:val="00B70A78"/>
    <w:rsid w:val="00B70E47"/>
    <w:rsid w:val="00B71047"/>
    <w:rsid w:val="00B713DB"/>
    <w:rsid w:val="00B7146C"/>
    <w:rsid w:val="00B71667"/>
    <w:rsid w:val="00B7166D"/>
    <w:rsid w:val="00B717A4"/>
    <w:rsid w:val="00B71841"/>
    <w:rsid w:val="00B71BA7"/>
    <w:rsid w:val="00B71C42"/>
    <w:rsid w:val="00B71E6A"/>
    <w:rsid w:val="00B72122"/>
    <w:rsid w:val="00B7217B"/>
    <w:rsid w:val="00B72734"/>
    <w:rsid w:val="00B72992"/>
    <w:rsid w:val="00B72A36"/>
    <w:rsid w:val="00B72AAC"/>
    <w:rsid w:val="00B73040"/>
    <w:rsid w:val="00B73712"/>
    <w:rsid w:val="00B73B4C"/>
    <w:rsid w:val="00B73EFB"/>
    <w:rsid w:val="00B7403C"/>
    <w:rsid w:val="00B741F7"/>
    <w:rsid w:val="00B742B7"/>
    <w:rsid w:val="00B7434B"/>
    <w:rsid w:val="00B74588"/>
    <w:rsid w:val="00B74ACC"/>
    <w:rsid w:val="00B7576C"/>
    <w:rsid w:val="00B75D00"/>
    <w:rsid w:val="00B75E4F"/>
    <w:rsid w:val="00B7631B"/>
    <w:rsid w:val="00B76480"/>
    <w:rsid w:val="00B765B7"/>
    <w:rsid w:val="00B7686B"/>
    <w:rsid w:val="00B768E1"/>
    <w:rsid w:val="00B76C16"/>
    <w:rsid w:val="00B774A5"/>
    <w:rsid w:val="00B77B1B"/>
    <w:rsid w:val="00B77BB9"/>
    <w:rsid w:val="00B77DA6"/>
    <w:rsid w:val="00B77F4F"/>
    <w:rsid w:val="00B800C8"/>
    <w:rsid w:val="00B80F96"/>
    <w:rsid w:val="00B8130C"/>
    <w:rsid w:val="00B8183F"/>
    <w:rsid w:val="00B81CBF"/>
    <w:rsid w:val="00B81E17"/>
    <w:rsid w:val="00B82379"/>
    <w:rsid w:val="00B8282C"/>
    <w:rsid w:val="00B82A8E"/>
    <w:rsid w:val="00B833EC"/>
    <w:rsid w:val="00B8349B"/>
    <w:rsid w:val="00B8360E"/>
    <w:rsid w:val="00B8374C"/>
    <w:rsid w:val="00B8395C"/>
    <w:rsid w:val="00B83CEF"/>
    <w:rsid w:val="00B83D92"/>
    <w:rsid w:val="00B84453"/>
    <w:rsid w:val="00B84864"/>
    <w:rsid w:val="00B84993"/>
    <w:rsid w:val="00B84C93"/>
    <w:rsid w:val="00B84CD5"/>
    <w:rsid w:val="00B85072"/>
    <w:rsid w:val="00B85279"/>
    <w:rsid w:val="00B853CD"/>
    <w:rsid w:val="00B85970"/>
    <w:rsid w:val="00B85EA6"/>
    <w:rsid w:val="00B860BB"/>
    <w:rsid w:val="00B86272"/>
    <w:rsid w:val="00B864A1"/>
    <w:rsid w:val="00B864CC"/>
    <w:rsid w:val="00B86572"/>
    <w:rsid w:val="00B86604"/>
    <w:rsid w:val="00B86618"/>
    <w:rsid w:val="00B8677B"/>
    <w:rsid w:val="00B86A44"/>
    <w:rsid w:val="00B86AE0"/>
    <w:rsid w:val="00B86EC1"/>
    <w:rsid w:val="00B86F43"/>
    <w:rsid w:val="00B8702D"/>
    <w:rsid w:val="00B8724C"/>
    <w:rsid w:val="00B877C3"/>
    <w:rsid w:val="00B877FC"/>
    <w:rsid w:val="00B9025F"/>
    <w:rsid w:val="00B9030F"/>
    <w:rsid w:val="00B9069E"/>
    <w:rsid w:val="00B90728"/>
    <w:rsid w:val="00B9094E"/>
    <w:rsid w:val="00B90A56"/>
    <w:rsid w:val="00B90D67"/>
    <w:rsid w:val="00B9102F"/>
    <w:rsid w:val="00B910CE"/>
    <w:rsid w:val="00B91105"/>
    <w:rsid w:val="00B916D3"/>
    <w:rsid w:val="00B9179C"/>
    <w:rsid w:val="00B91DE8"/>
    <w:rsid w:val="00B91E21"/>
    <w:rsid w:val="00B91EDA"/>
    <w:rsid w:val="00B91FD7"/>
    <w:rsid w:val="00B92314"/>
    <w:rsid w:val="00B9253C"/>
    <w:rsid w:val="00B92620"/>
    <w:rsid w:val="00B9285D"/>
    <w:rsid w:val="00B92E39"/>
    <w:rsid w:val="00B93595"/>
    <w:rsid w:val="00B93B76"/>
    <w:rsid w:val="00B93D9E"/>
    <w:rsid w:val="00B93E39"/>
    <w:rsid w:val="00B944AC"/>
    <w:rsid w:val="00B94A26"/>
    <w:rsid w:val="00B94B33"/>
    <w:rsid w:val="00B94DCF"/>
    <w:rsid w:val="00B94E6C"/>
    <w:rsid w:val="00B950CE"/>
    <w:rsid w:val="00B951F0"/>
    <w:rsid w:val="00B95218"/>
    <w:rsid w:val="00B953A9"/>
    <w:rsid w:val="00B953FB"/>
    <w:rsid w:val="00B9580E"/>
    <w:rsid w:val="00B95A8A"/>
    <w:rsid w:val="00B95A9E"/>
    <w:rsid w:val="00B95ADF"/>
    <w:rsid w:val="00B962B3"/>
    <w:rsid w:val="00B96303"/>
    <w:rsid w:val="00B96390"/>
    <w:rsid w:val="00B9651D"/>
    <w:rsid w:val="00B96E08"/>
    <w:rsid w:val="00B96F39"/>
    <w:rsid w:val="00B975A3"/>
    <w:rsid w:val="00B976A1"/>
    <w:rsid w:val="00B97736"/>
    <w:rsid w:val="00B97884"/>
    <w:rsid w:val="00B97DAE"/>
    <w:rsid w:val="00BA011A"/>
    <w:rsid w:val="00BA0243"/>
    <w:rsid w:val="00BA0403"/>
    <w:rsid w:val="00BA0E09"/>
    <w:rsid w:val="00BA0E0C"/>
    <w:rsid w:val="00BA0F5B"/>
    <w:rsid w:val="00BA12AE"/>
    <w:rsid w:val="00BA13E8"/>
    <w:rsid w:val="00BA15A8"/>
    <w:rsid w:val="00BA160F"/>
    <w:rsid w:val="00BA1F24"/>
    <w:rsid w:val="00BA23B6"/>
    <w:rsid w:val="00BA2481"/>
    <w:rsid w:val="00BA26D3"/>
    <w:rsid w:val="00BA2851"/>
    <w:rsid w:val="00BA293D"/>
    <w:rsid w:val="00BA302E"/>
    <w:rsid w:val="00BA30B6"/>
    <w:rsid w:val="00BA3141"/>
    <w:rsid w:val="00BA3149"/>
    <w:rsid w:val="00BA3D96"/>
    <w:rsid w:val="00BA3E5D"/>
    <w:rsid w:val="00BA45A1"/>
    <w:rsid w:val="00BA46DA"/>
    <w:rsid w:val="00BA4963"/>
    <w:rsid w:val="00BA4C4F"/>
    <w:rsid w:val="00BA501B"/>
    <w:rsid w:val="00BA5175"/>
    <w:rsid w:val="00BA5226"/>
    <w:rsid w:val="00BA5249"/>
    <w:rsid w:val="00BA5598"/>
    <w:rsid w:val="00BA56C0"/>
    <w:rsid w:val="00BA596C"/>
    <w:rsid w:val="00BA5DA4"/>
    <w:rsid w:val="00BA62BA"/>
    <w:rsid w:val="00BA64F5"/>
    <w:rsid w:val="00BA6686"/>
    <w:rsid w:val="00BA6A59"/>
    <w:rsid w:val="00BA6CD0"/>
    <w:rsid w:val="00BA6E8D"/>
    <w:rsid w:val="00BA6F8A"/>
    <w:rsid w:val="00BA72CF"/>
    <w:rsid w:val="00BA7593"/>
    <w:rsid w:val="00BA7943"/>
    <w:rsid w:val="00BA7BF9"/>
    <w:rsid w:val="00BA7CAE"/>
    <w:rsid w:val="00BA7F19"/>
    <w:rsid w:val="00BA7FFE"/>
    <w:rsid w:val="00BB023C"/>
    <w:rsid w:val="00BB048C"/>
    <w:rsid w:val="00BB05CE"/>
    <w:rsid w:val="00BB110B"/>
    <w:rsid w:val="00BB1E95"/>
    <w:rsid w:val="00BB2034"/>
    <w:rsid w:val="00BB2373"/>
    <w:rsid w:val="00BB2678"/>
    <w:rsid w:val="00BB26C0"/>
    <w:rsid w:val="00BB29E7"/>
    <w:rsid w:val="00BB3049"/>
    <w:rsid w:val="00BB3D82"/>
    <w:rsid w:val="00BB3E05"/>
    <w:rsid w:val="00BB3F08"/>
    <w:rsid w:val="00BB4039"/>
    <w:rsid w:val="00BB407A"/>
    <w:rsid w:val="00BB4272"/>
    <w:rsid w:val="00BB4355"/>
    <w:rsid w:val="00BB4770"/>
    <w:rsid w:val="00BB5265"/>
    <w:rsid w:val="00BB545D"/>
    <w:rsid w:val="00BB5C30"/>
    <w:rsid w:val="00BB65BC"/>
    <w:rsid w:val="00BB6907"/>
    <w:rsid w:val="00BB6B8D"/>
    <w:rsid w:val="00BB6B98"/>
    <w:rsid w:val="00BB6C06"/>
    <w:rsid w:val="00BB6CBF"/>
    <w:rsid w:val="00BB6ECB"/>
    <w:rsid w:val="00BB703C"/>
    <w:rsid w:val="00BB7183"/>
    <w:rsid w:val="00BB7244"/>
    <w:rsid w:val="00BB7279"/>
    <w:rsid w:val="00BB75C7"/>
    <w:rsid w:val="00BB767A"/>
    <w:rsid w:val="00BB787F"/>
    <w:rsid w:val="00BB78ED"/>
    <w:rsid w:val="00BB79A4"/>
    <w:rsid w:val="00BB79F5"/>
    <w:rsid w:val="00BB7F55"/>
    <w:rsid w:val="00BC0090"/>
    <w:rsid w:val="00BC00B6"/>
    <w:rsid w:val="00BC0546"/>
    <w:rsid w:val="00BC0A57"/>
    <w:rsid w:val="00BC0BA0"/>
    <w:rsid w:val="00BC116A"/>
    <w:rsid w:val="00BC12F5"/>
    <w:rsid w:val="00BC135B"/>
    <w:rsid w:val="00BC1B99"/>
    <w:rsid w:val="00BC1BAC"/>
    <w:rsid w:val="00BC1DDF"/>
    <w:rsid w:val="00BC1FFD"/>
    <w:rsid w:val="00BC241E"/>
    <w:rsid w:val="00BC25FF"/>
    <w:rsid w:val="00BC2765"/>
    <w:rsid w:val="00BC2A0C"/>
    <w:rsid w:val="00BC2AF8"/>
    <w:rsid w:val="00BC2E96"/>
    <w:rsid w:val="00BC2F6F"/>
    <w:rsid w:val="00BC3037"/>
    <w:rsid w:val="00BC35BC"/>
    <w:rsid w:val="00BC360F"/>
    <w:rsid w:val="00BC3A36"/>
    <w:rsid w:val="00BC3A54"/>
    <w:rsid w:val="00BC3A60"/>
    <w:rsid w:val="00BC3DE6"/>
    <w:rsid w:val="00BC3F5D"/>
    <w:rsid w:val="00BC430F"/>
    <w:rsid w:val="00BC4ADA"/>
    <w:rsid w:val="00BC4C2E"/>
    <w:rsid w:val="00BC53E1"/>
    <w:rsid w:val="00BC5484"/>
    <w:rsid w:val="00BC55BB"/>
    <w:rsid w:val="00BC5765"/>
    <w:rsid w:val="00BC58AB"/>
    <w:rsid w:val="00BC5EB8"/>
    <w:rsid w:val="00BC618D"/>
    <w:rsid w:val="00BC63EE"/>
    <w:rsid w:val="00BC65B0"/>
    <w:rsid w:val="00BC6BA7"/>
    <w:rsid w:val="00BC6F7A"/>
    <w:rsid w:val="00BC74C9"/>
    <w:rsid w:val="00BC78E7"/>
    <w:rsid w:val="00BC7B6D"/>
    <w:rsid w:val="00BC7DEA"/>
    <w:rsid w:val="00BC7EB7"/>
    <w:rsid w:val="00BD003B"/>
    <w:rsid w:val="00BD00CE"/>
    <w:rsid w:val="00BD01F1"/>
    <w:rsid w:val="00BD036A"/>
    <w:rsid w:val="00BD0472"/>
    <w:rsid w:val="00BD04CA"/>
    <w:rsid w:val="00BD087C"/>
    <w:rsid w:val="00BD0A33"/>
    <w:rsid w:val="00BD0AF5"/>
    <w:rsid w:val="00BD0D48"/>
    <w:rsid w:val="00BD0DA7"/>
    <w:rsid w:val="00BD0E1F"/>
    <w:rsid w:val="00BD1AEC"/>
    <w:rsid w:val="00BD1C55"/>
    <w:rsid w:val="00BD2734"/>
    <w:rsid w:val="00BD27EA"/>
    <w:rsid w:val="00BD2968"/>
    <w:rsid w:val="00BD305F"/>
    <w:rsid w:val="00BD3836"/>
    <w:rsid w:val="00BD3BF0"/>
    <w:rsid w:val="00BD3D37"/>
    <w:rsid w:val="00BD3DAC"/>
    <w:rsid w:val="00BD4B31"/>
    <w:rsid w:val="00BD4B95"/>
    <w:rsid w:val="00BD4E49"/>
    <w:rsid w:val="00BD58D5"/>
    <w:rsid w:val="00BD59BA"/>
    <w:rsid w:val="00BD5A38"/>
    <w:rsid w:val="00BD5E2C"/>
    <w:rsid w:val="00BD6437"/>
    <w:rsid w:val="00BD68E3"/>
    <w:rsid w:val="00BD6D8C"/>
    <w:rsid w:val="00BD6F18"/>
    <w:rsid w:val="00BD6FA5"/>
    <w:rsid w:val="00BD6FD7"/>
    <w:rsid w:val="00BD7282"/>
    <w:rsid w:val="00BD74A7"/>
    <w:rsid w:val="00BD76A8"/>
    <w:rsid w:val="00BD7E49"/>
    <w:rsid w:val="00BE046E"/>
    <w:rsid w:val="00BE0491"/>
    <w:rsid w:val="00BE04CB"/>
    <w:rsid w:val="00BE0E02"/>
    <w:rsid w:val="00BE0EA6"/>
    <w:rsid w:val="00BE11D2"/>
    <w:rsid w:val="00BE1F9F"/>
    <w:rsid w:val="00BE21A9"/>
    <w:rsid w:val="00BE23A8"/>
    <w:rsid w:val="00BE2603"/>
    <w:rsid w:val="00BE283E"/>
    <w:rsid w:val="00BE2EE8"/>
    <w:rsid w:val="00BE3281"/>
    <w:rsid w:val="00BE3338"/>
    <w:rsid w:val="00BE35EA"/>
    <w:rsid w:val="00BE3D53"/>
    <w:rsid w:val="00BE3E09"/>
    <w:rsid w:val="00BE3F0C"/>
    <w:rsid w:val="00BE4481"/>
    <w:rsid w:val="00BE4794"/>
    <w:rsid w:val="00BE48FE"/>
    <w:rsid w:val="00BE4948"/>
    <w:rsid w:val="00BE5294"/>
    <w:rsid w:val="00BE5820"/>
    <w:rsid w:val="00BE6005"/>
    <w:rsid w:val="00BE64BD"/>
    <w:rsid w:val="00BE6599"/>
    <w:rsid w:val="00BE6878"/>
    <w:rsid w:val="00BE6945"/>
    <w:rsid w:val="00BE6B7F"/>
    <w:rsid w:val="00BE6BB1"/>
    <w:rsid w:val="00BE6C63"/>
    <w:rsid w:val="00BE7AE0"/>
    <w:rsid w:val="00BE7D36"/>
    <w:rsid w:val="00BF008C"/>
    <w:rsid w:val="00BF0206"/>
    <w:rsid w:val="00BF0D4B"/>
    <w:rsid w:val="00BF102C"/>
    <w:rsid w:val="00BF1813"/>
    <w:rsid w:val="00BF18E0"/>
    <w:rsid w:val="00BF1B87"/>
    <w:rsid w:val="00BF21F5"/>
    <w:rsid w:val="00BF250D"/>
    <w:rsid w:val="00BF280A"/>
    <w:rsid w:val="00BF2CDA"/>
    <w:rsid w:val="00BF2E7F"/>
    <w:rsid w:val="00BF3B08"/>
    <w:rsid w:val="00BF3B0D"/>
    <w:rsid w:val="00BF4251"/>
    <w:rsid w:val="00BF444B"/>
    <w:rsid w:val="00BF456B"/>
    <w:rsid w:val="00BF496E"/>
    <w:rsid w:val="00BF4AA9"/>
    <w:rsid w:val="00BF4C2C"/>
    <w:rsid w:val="00BF4EBB"/>
    <w:rsid w:val="00BF4FDE"/>
    <w:rsid w:val="00BF53BF"/>
    <w:rsid w:val="00BF5C73"/>
    <w:rsid w:val="00BF63C3"/>
    <w:rsid w:val="00BF63CD"/>
    <w:rsid w:val="00BF65FF"/>
    <w:rsid w:val="00BF678D"/>
    <w:rsid w:val="00BF6828"/>
    <w:rsid w:val="00BF6BFF"/>
    <w:rsid w:val="00BF6C5C"/>
    <w:rsid w:val="00BF7537"/>
    <w:rsid w:val="00BF7569"/>
    <w:rsid w:val="00BF76ED"/>
    <w:rsid w:val="00BF7973"/>
    <w:rsid w:val="00BF7C03"/>
    <w:rsid w:val="00BF7C07"/>
    <w:rsid w:val="00BFB0AF"/>
    <w:rsid w:val="00C00285"/>
    <w:rsid w:val="00C0039A"/>
    <w:rsid w:val="00C00546"/>
    <w:rsid w:val="00C0085D"/>
    <w:rsid w:val="00C008BB"/>
    <w:rsid w:val="00C012B9"/>
    <w:rsid w:val="00C0135A"/>
    <w:rsid w:val="00C01542"/>
    <w:rsid w:val="00C019B2"/>
    <w:rsid w:val="00C01BF7"/>
    <w:rsid w:val="00C0217F"/>
    <w:rsid w:val="00C022C3"/>
    <w:rsid w:val="00C026FF"/>
    <w:rsid w:val="00C02997"/>
    <w:rsid w:val="00C02C2A"/>
    <w:rsid w:val="00C030C4"/>
    <w:rsid w:val="00C0332A"/>
    <w:rsid w:val="00C0342B"/>
    <w:rsid w:val="00C03632"/>
    <w:rsid w:val="00C03AE0"/>
    <w:rsid w:val="00C03B43"/>
    <w:rsid w:val="00C03ECD"/>
    <w:rsid w:val="00C0453B"/>
    <w:rsid w:val="00C048F8"/>
    <w:rsid w:val="00C049E3"/>
    <w:rsid w:val="00C04A9D"/>
    <w:rsid w:val="00C04CFB"/>
    <w:rsid w:val="00C04DC9"/>
    <w:rsid w:val="00C0506E"/>
    <w:rsid w:val="00C0527C"/>
    <w:rsid w:val="00C052EE"/>
    <w:rsid w:val="00C05305"/>
    <w:rsid w:val="00C05A00"/>
    <w:rsid w:val="00C05B33"/>
    <w:rsid w:val="00C05F6A"/>
    <w:rsid w:val="00C063DA"/>
    <w:rsid w:val="00C0645C"/>
    <w:rsid w:val="00C0683E"/>
    <w:rsid w:val="00C07010"/>
    <w:rsid w:val="00C07375"/>
    <w:rsid w:val="00C0740B"/>
    <w:rsid w:val="00C07846"/>
    <w:rsid w:val="00C07FF0"/>
    <w:rsid w:val="00C101DF"/>
    <w:rsid w:val="00C106DA"/>
    <w:rsid w:val="00C109AE"/>
    <w:rsid w:val="00C10AA3"/>
    <w:rsid w:val="00C112AF"/>
    <w:rsid w:val="00C117C5"/>
    <w:rsid w:val="00C11CCE"/>
    <w:rsid w:val="00C11D8D"/>
    <w:rsid w:val="00C12779"/>
    <w:rsid w:val="00C1279A"/>
    <w:rsid w:val="00C12B9E"/>
    <w:rsid w:val="00C12C7F"/>
    <w:rsid w:val="00C12E00"/>
    <w:rsid w:val="00C12EBE"/>
    <w:rsid w:val="00C13789"/>
    <w:rsid w:val="00C137D9"/>
    <w:rsid w:val="00C138A0"/>
    <w:rsid w:val="00C139EB"/>
    <w:rsid w:val="00C13A40"/>
    <w:rsid w:val="00C13B6D"/>
    <w:rsid w:val="00C13CF5"/>
    <w:rsid w:val="00C14D3F"/>
    <w:rsid w:val="00C15457"/>
    <w:rsid w:val="00C158D9"/>
    <w:rsid w:val="00C15E6E"/>
    <w:rsid w:val="00C16250"/>
    <w:rsid w:val="00C16324"/>
    <w:rsid w:val="00C167D9"/>
    <w:rsid w:val="00C1680A"/>
    <w:rsid w:val="00C17714"/>
    <w:rsid w:val="00C1784B"/>
    <w:rsid w:val="00C17855"/>
    <w:rsid w:val="00C17889"/>
    <w:rsid w:val="00C17C78"/>
    <w:rsid w:val="00C1FB5A"/>
    <w:rsid w:val="00C200A0"/>
    <w:rsid w:val="00C20304"/>
    <w:rsid w:val="00C2077C"/>
    <w:rsid w:val="00C209D5"/>
    <w:rsid w:val="00C20B96"/>
    <w:rsid w:val="00C20C86"/>
    <w:rsid w:val="00C212F7"/>
    <w:rsid w:val="00C214C5"/>
    <w:rsid w:val="00C219F3"/>
    <w:rsid w:val="00C21A17"/>
    <w:rsid w:val="00C22005"/>
    <w:rsid w:val="00C221AB"/>
    <w:rsid w:val="00C222AE"/>
    <w:rsid w:val="00C2255E"/>
    <w:rsid w:val="00C227B9"/>
    <w:rsid w:val="00C2329C"/>
    <w:rsid w:val="00C2355F"/>
    <w:rsid w:val="00C23A52"/>
    <w:rsid w:val="00C24A2B"/>
    <w:rsid w:val="00C24CE7"/>
    <w:rsid w:val="00C24D48"/>
    <w:rsid w:val="00C24D77"/>
    <w:rsid w:val="00C24EEB"/>
    <w:rsid w:val="00C25054"/>
    <w:rsid w:val="00C25182"/>
    <w:rsid w:val="00C25527"/>
    <w:rsid w:val="00C2593F"/>
    <w:rsid w:val="00C2597F"/>
    <w:rsid w:val="00C259FA"/>
    <w:rsid w:val="00C25A51"/>
    <w:rsid w:val="00C25C21"/>
    <w:rsid w:val="00C25D96"/>
    <w:rsid w:val="00C25F2F"/>
    <w:rsid w:val="00C26C82"/>
    <w:rsid w:val="00C26DD2"/>
    <w:rsid w:val="00C26E9C"/>
    <w:rsid w:val="00C26F4A"/>
    <w:rsid w:val="00C26F6D"/>
    <w:rsid w:val="00C270D9"/>
    <w:rsid w:val="00C271B1"/>
    <w:rsid w:val="00C27223"/>
    <w:rsid w:val="00C2765B"/>
    <w:rsid w:val="00C27838"/>
    <w:rsid w:val="00C2794B"/>
    <w:rsid w:val="00C27BA7"/>
    <w:rsid w:val="00C27C29"/>
    <w:rsid w:val="00C27C48"/>
    <w:rsid w:val="00C3069B"/>
    <w:rsid w:val="00C309C3"/>
    <w:rsid w:val="00C30A0F"/>
    <w:rsid w:val="00C30C89"/>
    <w:rsid w:val="00C31044"/>
    <w:rsid w:val="00C3105F"/>
    <w:rsid w:val="00C311C5"/>
    <w:rsid w:val="00C3162D"/>
    <w:rsid w:val="00C319FE"/>
    <w:rsid w:val="00C323DF"/>
    <w:rsid w:val="00C3250E"/>
    <w:rsid w:val="00C325E0"/>
    <w:rsid w:val="00C326FF"/>
    <w:rsid w:val="00C32833"/>
    <w:rsid w:val="00C33368"/>
    <w:rsid w:val="00C333FB"/>
    <w:rsid w:val="00C336FF"/>
    <w:rsid w:val="00C33926"/>
    <w:rsid w:val="00C33AFE"/>
    <w:rsid w:val="00C33F6B"/>
    <w:rsid w:val="00C342A6"/>
    <w:rsid w:val="00C3466F"/>
    <w:rsid w:val="00C34681"/>
    <w:rsid w:val="00C34D03"/>
    <w:rsid w:val="00C34D5D"/>
    <w:rsid w:val="00C34D79"/>
    <w:rsid w:val="00C34D9D"/>
    <w:rsid w:val="00C34E72"/>
    <w:rsid w:val="00C352A5"/>
    <w:rsid w:val="00C353E8"/>
    <w:rsid w:val="00C354CF"/>
    <w:rsid w:val="00C35A31"/>
    <w:rsid w:val="00C35DFC"/>
    <w:rsid w:val="00C361E7"/>
    <w:rsid w:val="00C366FE"/>
    <w:rsid w:val="00C36947"/>
    <w:rsid w:val="00C36A93"/>
    <w:rsid w:val="00C36D5B"/>
    <w:rsid w:val="00C37530"/>
    <w:rsid w:val="00C37778"/>
    <w:rsid w:val="00C377F1"/>
    <w:rsid w:val="00C37B6E"/>
    <w:rsid w:val="00C37C89"/>
    <w:rsid w:val="00C37D95"/>
    <w:rsid w:val="00C40201"/>
    <w:rsid w:val="00C40D57"/>
    <w:rsid w:val="00C412F0"/>
    <w:rsid w:val="00C4133C"/>
    <w:rsid w:val="00C41512"/>
    <w:rsid w:val="00C41A25"/>
    <w:rsid w:val="00C422E9"/>
    <w:rsid w:val="00C424C9"/>
    <w:rsid w:val="00C42544"/>
    <w:rsid w:val="00C428BB"/>
    <w:rsid w:val="00C42D2A"/>
    <w:rsid w:val="00C43682"/>
    <w:rsid w:val="00C437AC"/>
    <w:rsid w:val="00C44006"/>
    <w:rsid w:val="00C441E6"/>
    <w:rsid w:val="00C4459C"/>
    <w:rsid w:val="00C44B9E"/>
    <w:rsid w:val="00C44F35"/>
    <w:rsid w:val="00C46724"/>
    <w:rsid w:val="00C46B98"/>
    <w:rsid w:val="00C46C98"/>
    <w:rsid w:val="00C46FBB"/>
    <w:rsid w:val="00C471BA"/>
    <w:rsid w:val="00C475C3"/>
    <w:rsid w:val="00C47BFD"/>
    <w:rsid w:val="00C47DAD"/>
    <w:rsid w:val="00C47DFA"/>
    <w:rsid w:val="00C47F34"/>
    <w:rsid w:val="00C509B0"/>
    <w:rsid w:val="00C509C5"/>
    <w:rsid w:val="00C50B04"/>
    <w:rsid w:val="00C50B73"/>
    <w:rsid w:val="00C50CF2"/>
    <w:rsid w:val="00C50F10"/>
    <w:rsid w:val="00C51051"/>
    <w:rsid w:val="00C512C7"/>
    <w:rsid w:val="00C51629"/>
    <w:rsid w:val="00C5176C"/>
    <w:rsid w:val="00C518E6"/>
    <w:rsid w:val="00C51B8E"/>
    <w:rsid w:val="00C51BDD"/>
    <w:rsid w:val="00C51BF9"/>
    <w:rsid w:val="00C51D4B"/>
    <w:rsid w:val="00C51E1A"/>
    <w:rsid w:val="00C51F65"/>
    <w:rsid w:val="00C52487"/>
    <w:rsid w:val="00C5255F"/>
    <w:rsid w:val="00C529F5"/>
    <w:rsid w:val="00C52FA1"/>
    <w:rsid w:val="00C53198"/>
    <w:rsid w:val="00C5350E"/>
    <w:rsid w:val="00C53536"/>
    <w:rsid w:val="00C53771"/>
    <w:rsid w:val="00C53961"/>
    <w:rsid w:val="00C53B4A"/>
    <w:rsid w:val="00C53DC7"/>
    <w:rsid w:val="00C542C5"/>
    <w:rsid w:val="00C548BF"/>
    <w:rsid w:val="00C54AE1"/>
    <w:rsid w:val="00C54BA7"/>
    <w:rsid w:val="00C54D7F"/>
    <w:rsid w:val="00C54D80"/>
    <w:rsid w:val="00C54DFC"/>
    <w:rsid w:val="00C55159"/>
    <w:rsid w:val="00C55338"/>
    <w:rsid w:val="00C5567C"/>
    <w:rsid w:val="00C5588F"/>
    <w:rsid w:val="00C55D12"/>
    <w:rsid w:val="00C55DF2"/>
    <w:rsid w:val="00C55EB5"/>
    <w:rsid w:val="00C5607C"/>
    <w:rsid w:val="00C563B2"/>
    <w:rsid w:val="00C56600"/>
    <w:rsid w:val="00C566E8"/>
    <w:rsid w:val="00C56E21"/>
    <w:rsid w:val="00C57192"/>
    <w:rsid w:val="00C576A2"/>
    <w:rsid w:val="00C57724"/>
    <w:rsid w:val="00C578A3"/>
    <w:rsid w:val="00C57909"/>
    <w:rsid w:val="00C57B1D"/>
    <w:rsid w:val="00C57B37"/>
    <w:rsid w:val="00C5E46F"/>
    <w:rsid w:val="00C6043F"/>
    <w:rsid w:val="00C604E2"/>
    <w:rsid w:val="00C605EE"/>
    <w:rsid w:val="00C60750"/>
    <w:rsid w:val="00C60C37"/>
    <w:rsid w:val="00C60D15"/>
    <w:rsid w:val="00C60D42"/>
    <w:rsid w:val="00C613EF"/>
    <w:rsid w:val="00C61A85"/>
    <w:rsid w:val="00C61B37"/>
    <w:rsid w:val="00C61CED"/>
    <w:rsid w:val="00C61E49"/>
    <w:rsid w:val="00C620DA"/>
    <w:rsid w:val="00C6219E"/>
    <w:rsid w:val="00C62323"/>
    <w:rsid w:val="00C62691"/>
    <w:rsid w:val="00C6273E"/>
    <w:rsid w:val="00C62838"/>
    <w:rsid w:val="00C6288D"/>
    <w:rsid w:val="00C62FC6"/>
    <w:rsid w:val="00C62FD6"/>
    <w:rsid w:val="00C630E1"/>
    <w:rsid w:val="00C632CA"/>
    <w:rsid w:val="00C63368"/>
    <w:rsid w:val="00C6340A"/>
    <w:rsid w:val="00C637D3"/>
    <w:rsid w:val="00C63CA6"/>
    <w:rsid w:val="00C63EC9"/>
    <w:rsid w:val="00C6406E"/>
    <w:rsid w:val="00C640BD"/>
    <w:rsid w:val="00C640CE"/>
    <w:rsid w:val="00C642ED"/>
    <w:rsid w:val="00C6461B"/>
    <w:rsid w:val="00C64671"/>
    <w:rsid w:val="00C647B5"/>
    <w:rsid w:val="00C64BEF"/>
    <w:rsid w:val="00C656A7"/>
    <w:rsid w:val="00C65797"/>
    <w:rsid w:val="00C65F3B"/>
    <w:rsid w:val="00C6645A"/>
    <w:rsid w:val="00C66624"/>
    <w:rsid w:val="00C669DC"/>
    <w:rsid w:val="00C66B92"/>
    <w:rsid w:val="00C66E65"/>
    <w:rsid w:val="00C67949"/>
    <w:rsid w:val="00C67A5A"/>
    <w:rsid w:val="00C67F92"/>
    <w:rsid w:val="00C70474"/>
    <w:rsid w:val="00C70861"/>
    <w:rsid w:val="00C7095D"/>
    <w:rsid w:val="00C70A65"/>
    <w:rsid w:val="00C70B9B"/>
    <w:rsid w:val="00C70BA8"/>
    <w:rsid w:val="00C70E34"/>
    <w:rsid w:val="00C710C6"/>
    <w:rsid w:val="00C71140"/>
    <w:rsid w:val="00C713BF"/>
    <w:rsid w:val="00C71CCC"/>
    <w:rsid w:val="00C71CE2"/>
    <w:rsid w:val="00C721C4"/>
    <w:rsid w:val="00C722B0"/>
    <w:rsid w:val="00C7234C"/>
    <w:rsid w:val="00C72757"/>
    <w:rsid w:val="00C72785"/>
    <w:rsid w:val="00C72A35"/>
    <w:rsid w:val="00C72FA7"/>
    <w:rsid w:val="00C7324F"/>
    <w:rsid w:val="00C735B6"/>
    <w:rsid w:val="00C737BE"/>
    <w:rsid w:val="00C73A26"/>
    <w:rsid w:val="00C73B36"/>
    <w:rsid w:val="00C73DB9"/>
    <w:rsid w:val="00C7432A"/>
    <w:rsid w:val="00C7434D"/>
    <w:rsid w:val="00C7438C"/>
    <w:rsid w:val="00C745AC"/>
    <w:rsid w:val="00C74AE7"/>
    <w:rsid w:val="00C74C5D"/>
    <w:rsid w:val="00C74E27"/>
    <w:rsid w:val="00C751E7"/>
    <w:rsid w:val="00C752BA"/>
    <w:rsid w:val="00C7564B"/>
    <w:rsid w:val="00C75D9D"/>
    <w:rsid w:val="00C76A76"/>
    <w:rsid w:val="00C772BC"/>
    <w:rsid w:val="00C773E9"/>
    <w:rsid w:val="00C7749E"/>
    <w:rsid w:val="00C774DB"/>
    <w:rsid w:val="00C7764F"/>
    <w:rsid w:val="00C77836"/>
    <w:rsid w:val="00C77B5B"/>
    <w:rsid w:val="00C77DD6"/>
    <w:rsid w:val="00C77ED5"/>
    <w:rsid w:val="00C8044F"/>
    <w:rsid w:val="00C807B6"/>
    <w:rsid w:val="00C81213"/>
    <w:rsid w:val="00C81289"/>
    <w:rsid w:val="00C812EB"/>
    <w:rsid w:val="00C81644"/>
    <w:rsid w:val="00C81C3A"/>
    <w:rsid w:val="00C81E60"/>
    <w:rsid w:val="00C824AE"/>
    <w:rsid w:val="00C826EB"/>
    <w:rsid w:val="00C82769"/>
    <w:rsid w:val="00C827E3"/>
    <w:rsid w:val="00C831F3"/>
    <w:rsid w:val="00C83686"/>
    <w:rsid w:val="00C83772"/>
    <w:rsid w:val="00C83807"/>
    <w:rsid w:val="00C83A28"/>
    <w:rsid w:val="00C83A69"/>
    <w:rsid w:val="00C83B3A"/>
    <w:rsid w:val="00C842C9"/>
    <w:rsid w:val="00C84739"/>
    <w:rsid w:val="00C84AF6"/>
    <w:rsid w:val="00C84B21"/>
    <w:rsid w:val="00C8508F"/>
    <w:rsid w:val="00C855A1"/>
    <w:rsid w:val="00C85752"/>
    <w:rsid w:val="00C85C02"/>
    <w:rsid w:val="00C85D1E"/>
    <w:rsid w:val="00C85F86"/>
    <w:rsid w:val="00C86198"/>
    <w:rsid w:val="00C8620A"/>
    <w:rsid w:val="00C8666C"/>
    <w:rsid w:val="00C86FD7"/>
    <w:rsid w:val="00C870F3"/>
    <w:rsid w:val="00C8717D"/>
    <w:rsid w:val="00C8718F"/>
    <w:rsid w:val="00C875CA"/>
    <w:rsid w:val="00C87925"/>
    <w:rsid w:val="00C879E3"/>
    <w:rsid w:val="00C87C6E"/>
    <w:rsid w:val="00C900C0"/>
    <w:rsid w:val="00C9019F"/>
    <w:rsid w:val="00C90444"/>
    <w:rsid w:val="00C90F3E"/>
    <w:rsid w:val="00C9106F"/>
    <w:rsid w:val="00C9121D"/>
    <w:rsid w:val="00C91E0D"/>
    <w:rsid w:val="00C91F8D"/>
    <w:rsid w:val="00C92562"/>
    <w:rsid w:val="00C928F6"/>
    <w:rsid w:val="00C92AFD"/>
    <w:rsid w:val="00C93091"/>
    <w:rsid w:val="00C9356D"/>
    <w:rsid w:val="00C93BF6"/>
    <w:rsid w:val="00C93E2A"/>
    <w:rsid w:val="00C93EF4"/>
    <w:rsid w:val="00C941A2"/>
    <w:rsid w:val="00C9486F"/>
    <w:rsid w:val="00C94942"/>
    <w:rsid w:val="00C94C11"/>
    <w:rsid w:val="00C94D8C"/>
    <w:rsid w:val="00C94E54"/>
    <w:rsid w:val="00C95043"/>
    <w:rsid w:val="00C950C4"/>
    <w:rsid w:val="00C952E8"/>
    <w:rsid w:val="00C954E7"/>
    <w:rsid w:val="00C956B2"/>
    <w:rsid w:val="00C956C6"/>
    <w:rsid w:val="00C957ED"/>
    <w:rsid w:val="00C959E7"/>
    <w:rsid w:val="00C96034"/>
    <w:rsid w:val="00C96082"/>
    <w:rsid w:val="00C9617B"/>
    <w:rsid w:val="00C962E2"/>
    <w:rsid w:val="00C96581"/>
    <w:rsid w:val="00C97326"/>
    <w:rsid w:val="00C975C2"/>
    <w:rsid w:val="00C9771A"/>
    <w:rsid w:val="00C97EAE"/>
    <w:rsid w:val="00CA03EE"/>
    <w:rsid w:val="00CA057F"/>
    <w:rsid w:val="00CA05F1"/>
    <w:rsid w:val="00CA0AFE"/>
    <w:rsid w:val="00CA0CF2"/>
    <w:rsid w:val="00CA1202"/>
    <w:rsid w:val="00CA16A8"/>
    <w:rsid w:val="00CA1C0E"/>
    <w:rsid w:val="00CA2647"/>
    <w:rsid w:val="00CA2909"/>
    <w:rsid w:val="00CA2BB6"/>
    <w:rsid w:val="00CA2F6C"/>
    <w:rsid w:val="00CA37D2"/>
    <w:rsid w:val="00CA3B9B"/>
    <w:rsid w:val="00CA3D1B"/>
    <w:rsid w:val="00CA422F"/>
    <w:rsid w:val="00CA44E7"/>
    <w:rsid w:val="00CA45EC"/>
    <w:rsid w:val="00CA4AB6"/>
    <w:rsid w:val="00CA5275"/>
    <w:rsid w:val="00CA5465"/>
    <w:rsid w:val="00CA5678"/>
    <w:rsid w:val="00CA56CA"/>
    <w:rsid w:val="00CA57A5"/>
    <w:rsid w:val="00CA5BFC"/>
    <w:rsid w:val="00CA5CAD"/>
    <w:rsid w:val="00CA664E"/>
    <w:rsid w:val="00CA72A6"/>
    <w:rsid w:val="00CA7433"/>
    <w:rsid w:val="00CA74DB"/>
    <w:rsid w:val="00CA7682"/>
    <w:rsid w:val="00CA78F1"/>
    <w:rsid w:val="00CA7BD9"/>
    <w:rsid w:val="00CA7BDC"/>
    <w:rsid w:val="00CA7D5B"/>
    <w:rsid w:val="00CA7DC6"/>
    <w:rsid w:val="00CB0965"/>
    <w:rsid w:val="00CB098F"/>
    <w:rsid w:val="00CB125F"/>
    <w:rsid w:val="00CB133C"/>
    <w:rsid w:val="00CB1985"/>
    <w:rsid w:val="00CB1A4F"/>
    <w:rsid w:val="00CB1E0E"/>
    <w:rsid w:val="00CB260D"/>
    <w:rsid w:val="00CB269D"/>
    <w:rsid w:val="00CB2965"/>
    <w:rsid w:val="00CB3154"/>
    <w:rsid w:val="00CB316C"/>
    <w:rsid w:val="00CB3171"/>
    <w:rsid w:val="00CB3313"/>
    <w:rsid w:val="00CB337D"/>
    <w:rsid w:val="00CB344A"/>
    <w:rsid w:val="00CB3746"/>
    <w:rsid w:val="00CB399C"/>
    <w:rsid w:val="00CB3D15"/>
    <w:rsid w:val="00CB4338"/>
    <w:rsid w:val="00CB4428"/>
    <w:rsid w:val="00CB4B17"/>
    <w:rsid w:val="00CB5123"/>
    <w:rsid w:val="00CB5336"/>
    <w:rsid w:val="00CB533D"/>
    <w:rsid w:val="00CB5543"/>
    <w:rsid w:val="00CB561A"/>
    <w:rsid w:val="00CB5BE3"/>
    <w:rsid w:val="00CB5E9E"/>
    <w:rsid w:val="00CB6203"/>
    <w:rsid w:val="00CB632B"/>
    <w:rsid w:val="00CB6399"/>
    <w:rsid w:val="00CB6A36"/>
    <w:rsid w:val="00CB6AD4"/>
    <w:rsid w:val="00CB6C2E"/>
    <w:rsid w:val="00CB729E"/>
    <w:rsid w:val="00CB731E"/>
    <w:rsid w:val="00CC0704"/>
    <w:rsid w:val="00CC0937"/>
    <w:rsid w:val="00CC0AE9"/>
    <w:rsid w:val="00CC16A2"/>
    <w:rsid w:val="00CC1759"/>
    <w:rsid w:val="00CC189F"/>
    <w:rsid w:val="00CC1B2B"/>
    <w:rsid w:val="00CC1CC7"/>
    <w:rsid w:val="00CC2055"/>
    <w:rsid w:val="00CC2693"/>
    <w:rsid w:val="00CC2A9F"/>
    <w:rsid w:val="00CC2DB9"/>
    <w:rsid w:val="00CC348C"/>
    <w:rsid w:val="00CC392A"/>
    <w:rsid w:val="00CC3BBA"/>
    <w:rsid w:val="00CC3CA3"/>
    <w:rsid w:val="00CC3CAC"/>
    <w:rsid w:val="00CC425C"/>
    <w:rsid w:val="00CC4440"/>
    <w:rsid w:val="00CC4779"/>
    <w:rsid w:val="00CC4ABC"/>
    <w:rsid w:val="00CC4E9B"/>
    <w:rsid w:val="00CC50D8"/>
    <w:rsid w:val="00CC5725"/>
    <w:rsid w:val="00CC572E"/>
    <w:rsid w:val="00CC5DF4"/>
    <w:rsid w:val="00CC644C"/>
    <w:rsid w:val="00CC6A9C"/>
    <w:rsid w:val="00CC6B5D"/>
    <w:rsid w:val="00CC6C4A"/>
    <w:rsid w:val="00CC6C75"/>
    <w:rsid w:val="00CC6D84"/>
    <w:rsid w:val="00CC6E4B"/>
    <w:rsid w:val="00CC6EB4"/>
    <w:rsid w:val="00CC744B"/>
    <w:rsid w:val="00CC77DD"/>
    <w:rsid w:val="00CD00A5"/>
    <w:rsid w:val="00CD19F9"/>
    <w:rsid w:val="00CD19FF"/>
    <w:rsid w:val="00CD1D91"/>
    <w:rsid w:val="00CD1F87"/>
    <w:rsid w:val="00CD2AC4"/>
    <w:rsid w:val="00CD2B6C"/>
    <w:rsid w:val="00CD2DB3"/>
    <w:rsid w:val="00CD2F5C"/>
    <w:rsid w:val="00CD30B4"/>
    <w:rsid w:val="00CD3C3F"/>
    <w:rsid w:val="00CD4027"/>
    <w:rsid w:val="00CD46AB"/>
    <w:rsid w:val="00CD4701"/>
    <w:rsid w:val="00CD4880"/>
    <w:rsid w:val="00CD48E6"/>
    <w:rsid w:val="00CD4AFD"/>
    <w:rsid w:val="00CD5653"/>
    <w:rsid w:val="00CD5839"/>
    <w:rsid w:val="00CD5976"/>
    <w:rsid w:val="00CD6111"/>
    <w:rsid w:val="00CD61A8"/>
    <w:rsid w:val="00CD6382"/>
    <w:rsid w:val="00CD640E"/>
    <w:rsid w:val="00CD66D5"/>
    <w:rsid w:val="00CD69CB"/>
    <w:rsid w:val="00CD6C77"/>
    <w:rsid w:val="00CD6E6F"/>
    <w:rsid w:val="00CD6F22"/>
    <w:rsid w:val="00CD70E8"/>
    <w:rsid w:val="00CD74BC"/>
    <w:rsid w:val="00CD7AE7"/>
    <w:rsid w:val="00CD7C08"/>
    <w:rsid w:val="00CD7DDD"/>
    <w:rsid w:val="00CD89DE"/>
    <w:rsid w:val="00CE068E"/>
    <w:rsid w:val="00CE11E1"/>
    <w:rsid w:val="00CE13A6"/>
    <w:rsid w:val="00CE1470"/>
    <w:rsid w:val="00CE15DA"/>
    <w:rsid w:val="00CE170F"/>
    <w:rsid w:val="00CE19EE"/>
    <w:rsid w:val="00CE1EAF"/>
    <w:rsid w:val="00CE1FEF"/>
    <w:rsid w:val="00CE2109"/>
    <w:rsid w:val="00CE21C6"/>
    <w:rsid w:val="00CE2CC0"/>
    <w:rsid w:val="00CE2D5B"/>
    <w:rsid w:val="00CE2D81"/>
    <w:rsid w:val="00CE316B"/>
    <w:rsid w:val="00CE323E"/>
    <w:rsid w:val="00CE32FD"/>
    <w:rsid w:val="00CE3353"/>
    <w:rsid w:val="00CE3BB5"/>
    <w:rsid w:val="00CE3D20"/>
    <w:rsid w:val="00CE3EDC"/>
    <w:rsid w:val="00CE3FD6"/>
    <w:rsid w:val="00CE403E"/>
    <w:rsid w:val="00CE46ED"/>
    <w:rsid w:val="00CE4B83"/>
    <w:rsid w:val="00CE4B8D"/>
    <w:rsid w:val="00CE57A7"/>
    <w:rsid w:val="00CE58F0"/>
    <w:rsid w:val="00CE60A3"/>
    <w:rsid w:val="00CE6324"/>
    <w:rsid w:val="00CE6957"/>
    <w:rsid w:val="00CE6BD4"/>
    <w:rsid w:val="00CE6D2B"/>
    <w:rsid w:val="00CE6EC9"/>
    <w:rsid w:val="00CE7139"/>
    <w:rsid w:val="00CE7275"/>
    <w:rsid w:val="00CE7409"/>
    <w:rsid w:val="00CE740B"/>
    <w:rsid w:val="00CE79AC"/>
    <w:rsid w:val="00CE7B1A"/>
    <w:rsid w:val="00CE7B7B"/>
    <w:rsid w:val="00CE7C86"/>
    <w:rsid w:val="00CF0070"/>
    <w:rsid w:val="00CF015E"/>
    <w:rsid w:val="00CF08E3"/>
    <w:rsid w:val="00CF0926"/>
    <w:rsid w:val="00CF0C79"/>
    <w:rsid w:val="00CF0CA7"/>
    <w:rsid w:val="00CF0D57"/>
    <w:rsid w:val="00CF0F1D"/>
    <w:rsid w:val="00CF1055"/>
    <w:rsid w:val="00CF1137"/>
    <w:rsid w:val="00CF163E"/>
    <w:rsid w:val="00CF179E"/>
    <w:rsid w:val="00CF1913"/>
    <w:rsid w:val="00CF1A1C"/>
    <w:rsid w:val="00CF1B95"/>
    <w:rsid w:val="00CF1D4D"/>
    <w:rsid w:val="00CF219B"/>
    <w:rsid w:val="00CF2204"/>
    <w:rsid w:val="00CF22B1"/>
    <w:rsid w:val="00CF230F"/>
    <w:rsid w:val="00CF28A9"/>
    <w:rsid w:val="00CF29D5"/>
    <w:rsid w:val="00CF2DD1"/>
    <w:rsid w:val="00CF32B0"/>
    <w:rsid w:val="00CF3572"/>
    <w:rsid w:val="00CF3A68"/>
    <w:rsid w:val="00CF3C30"/>
    <w:rsid w:val="00CF473C"/>
    <w:rsid w:val="00CF4A9C"/>
    <w:rsid w:val="00CF4CAD"/>
    <w:rsid w:val="00CF4FB3"/>
    <w:rsid w:val="00CF513A"/>
    <w:rsid w:val="00CF52FF"/>
    <w:rsid w:val="00CF544E"/>
    <w:rsid w:val="00CF59FC"/>
    <w:rsid w:val="00CF5B39"/>
    <w:rsid w:val="00CF5EC9"/>
    <w:rsid w:val="00CF620B"/>
    <w:rsid w:val="00CF6E04"/>
    <w:rsid w:val="00CF6FE5"/>
    <w:rsid w:val="00CF7059"/>
    <w:rsid w:val="00CF708F"/>
    <w:rsid w:val="00CF709A"/>
    <w:rsid w:val="00CF71CF"/>
    <w:rsid w:val="00CF725C"/>
    <w:rsid w:val="00CF7468"/>
    <w:rsid w:val="00CF74A2"/>
    <w:rsid w:val="00CF756A"/>
    <w:rsid w:val="00CF7949"/>
    <w:rsid w:val="00CF7B04"/>
    <w:rsid w:val="00CF7CD7"/>
    <w:rsid w:val="00CF7E22"/>
    <w:rsid w:val="00D00CEC"/>
    <w:rsid w:val="00D0100B"/>
    <w:rsid w:val="00D01018"/>
    <w:rsid w:val="00D0124D"/>
    <w:rsid w:val="00D01285"/>
    <w:rsid w:val="00D014F9"/>
    <w:rsid w:val="00D0160B"/>
    <w:rsid w:val="00D01A1C"/>
    <w:rsid w:val="00D01B29"/>
    <w:rsid w:val="00D01C58"/>
    <w:rsid w:val="00D02135"/>
    <w:rsid w:val="00D021D0"/>
    <w:rsid w:val="00D02403"/>
    <w:rsid w:val="00D026D3"/>
    <w:rsid w:val="00D02961"/>
    <w:rsid w:val="00D030D8"/>
    <w:rsid w:val="00D0313B"/>
    <w:rsid w:val="00D03159"/>
    <w:rsid w:val="00D03253"/>
    <w:rsid w:val="00D03327"/>
    <w:rsid w:val="00D034B2"/>
    <w:rsid w:val="00D034B7"/>
    <w:rsid w:val="00D035C8"/>
    <w:rsid w:val="00D03A92"/>
    <w:rsid w:val="00D03B59"/>
    <w:rsid w:val="00D03C05"/>
    <w:rsid w:val="00D045B0"/>
    <w:rsid w:val="00D046E5"/>
    <w:rsid w:val="00D047CF"/>
    <w:rsid w:val="00D04A48"/>
    <w:rsid w:val="00D04ECC"/>
    <w:rsid w:val="00D04F0D"/>
    <w:rsid w:val="00D051EB"/>
    <w:rsid w:val="00D052D3"/>
    <w:rsid w:val="00D053B7"/>
    <w:rsid w:val="00D05462"/>
    <w:rsid w:val="00D056A9"/>
    <w:rsid w:val="00D05B62"/>
    <w:rsid w:val="00D05D40"/>
    <w:rsid w:val="00D0621E"/>
    <w:rsid w:val="00D06E8E"/>
    <w:rsid w:val="00D06EB0"/>
    <w:rsid w:val="00D07149"/>
    <w:rsid w:val="00D07268"/>
    <w:rsid w:val="00D072E0"/>
    <w:rsid w:val="00D073B8"/>
    <w:rsid w:val="00D07E16"/>
    <w:rsid w:val="00D10212"/>
    <w:rsid w:val="00D10502"/>
    <w:rsid w:val="00D10832"/>
    <w:rsid w:val="00D10973"/>
    <w:rsid w:val="00D10A43"/>
    <w:rsid w:val="00D10B4B"/>
    <w:rsid w:val="00D1105A"/>
    <w:rsid w:val="00D1137A"/>
    <w:rsid w:val="00D11453"/>
    <w:rsid w:val="00D11758"/>
    <w:rsid w:val="00D11F31"/>
    <w:rsid w:val="00D12384"/>
    <w:rsid w:val="00D123C4"/>
    <w:rsid w:val="00D1259E"/>
    <w:rsid w:val="00D1260D"/>
    <w:rsid w:val="00D12690"/>
    <w:rsid w:val="00D127F3"/>
    <w:rsid w:val="00D12A0D"/>
    <w:rsid w:val="00D13216"/>
    <w:rsid w:val="00D133C8"/>
    <w:rsid w:val="00D13454"/>
    <w:rsid w:val="00D13635"/>
    <w:rsid w:val="00D13AC0"/>
    <w:rsid w:val="00D13C7F"/>
    <w:rsid w:val="00D13D01"/>
    <w:rsid w:val="00D1404F"/>
    <w:rsid w:val="00D14293"/>
    <w:rsid w:val="00D14451"/>
    <w:rsid w:val="00D144C5"/>
    <w:rsid w:val="00D14906"/>
    <w:rsid w:val="00D14F58"/>
    <w:rsid w:val="00D14F76"/>
    <w:rsid w:val="00D153D1"/>
    <w:rsid w:val="00D1549A"/>
    <w:rsid w:val="00D15694"/>
    <w:rsid w:val="00D156B7"/>
    <w:rsid w:val="00D15F6E"/>
    <w:rsid w:val="00D16276"/>
    <w:rsid w:val="00D1629F"/>
    <w:rsid w:val="00D16649"/>
    <w:rsid w:val="00D167E1"/>
    <w:rsid w:val="00D16BF8"/>
    <w:rsid w:val="00D16C95"/>
    <w:rsid w:val="00D16F82"/>
    <w:rsid w:val="00D172DB"/>
    <w:rsid w:val="00D1749E"/>
    <w:rsid w:val="00D1758B"/>
    <w:rsid w:val="00D175C1"/>
    <w:rsid w:val="00D2008F"/>
    <w:rsid w:val="00D203B6"/>
    <w:rsid w:val="00D20532"/>
    <w:rsid w:val="00D20C34"/>
    <w:rsid w:val="00D20D9A"/>
    <w:rsid w:val="00D21293"/>
    <w:rsid w:val="00D212B3"/>
    <w:rsid w:val="00D21A2E"/>
    <w:rsid w:val="00D21DC2"/>
    <w:rsid w:val="00D21FD0"/>
    <w:rsid w:val="00D22123"/>
    <w:rsid w:val="00D22273"/>
    <w:rsid w:val="00D22309"/>
    <w:rsid w:val="00D224DC"/>
    <w:rsid w:val="00D224F8"/>
    <w:rsid w:val="00D2287E"/>
    <w:rsid w:val="00D228F3"/>
    <w:rsid w:val="00D22946"/>
    <w:rsid w:val="00D229A3"/>
    <w:rsid w:val="00D231F5"/>
    <w:rsid w:val="00D23233"/>
    <w:rsid w:val="00D23950"/>
    <w:rsid w:val="00D239A7"/>
    <w:rsid w:val="00D23E39"/>
    <w:rsid w:val="00D244DA"/>
    <w:rsid w:val="00D2504D"/>
    <w:rsid w:val="00D25132"/>
    <w:rsid w:val="00D2529C"/>
    <w:rsid w:val="00D256CF"/>
    <w:rsid w:val="00D26039"/>
    <w:rsid w:val="00D2625E"/>
    <w:rsid w:val="00D262FF"/>
    <w:rsid w:val="00D26394"/>
    <w:rsid w:val="00D264E1"/>
    <w:rsid w:val="00D2671D"/>
    <w:rsid w:val="00D26906"/>
    <w:rsid w:val="00D2694D"/>
    <w:rsid w:val="00D26971"/>
    <w:rsid w:val="00D26A68"/>
    <w:rsid w:val="00D26BE0"/>
    <w:rsid w:val="00D26D1A"/>
    <w:rsid w:val="00D271B4"/>
    <w:rsid w:val="00D27510"/>
    <w:rsid w:val="00D2756D"/>
    <w:rsid w:val="00D27AFA"/>
    <w:rsid w:val="00D27FA9"/>
    <w:rsid w:val="00D30383"/>
    <w:rsid w:val="00D304F6"/>
    <w:rsid w:val="00D30582"/>
    <w:rsid w:val="00D3059E"/>
    <w:rsid w:val="00D30D22"/>
    <w:rsid w:val="00D30D7F"/>
    <w:rsid w:val="00D30E41"/>
    <w:rsid w:val="00D3126F"/>
    <w:rsid w:val="00D317CD"/>
    <w:rsid w:val="00D31D01"/>
    <w:rsid w:val="00D31DBA"/>
    <w:rsid w:val="00D3241A"/>
    <w:rsid w:val="00D3257E"/>
    <w:rsid w:val="00D325EF"/>
    <w:rsid w:val="00D32B17"/>
    <w:rsid w:val="00D32C67"/>
    <w:rsid w:val="00D32C74"/>
    <w:rsid w:val="00D330D7"/>
    <w:rsid w:val="00D33378"/>
    <w:rsid w:val="00D338FA"/>
    <w:rsid w:val="00D33ADE"/>
    <w:rsid w:val="00D33B11"/>
    <w:rsid w:val="00D33F73"/>
    <w:rsid w:val="00D34209"/>
    <w:rsid w:val="00D3460F"/>
    <w:rsid w:val="00D3464E"/>
    <w:rsid w:val="00D3477A"/>
    <w:rsid w:val="00D347E9"/>
    <w:rsid w:val="00D34CAF"/>
    <w:rsid w:val="00D34DDB"/>
    <w:rsid w:val="00D352B3"/>
    <w:rsid w:val="00D35325"/>
    <w:rsid w:val="00D357C0"/>
    <w:rsid w:val="00D3651C"/>
    <w:rsid w:val="00D36F79"/>
    <w:rsid w:val="00D3767E"/>
    <w:rsid w:val="00D3770F"/>
    <w:rsid w:val="00D37B07"/>
    <w:rsid w:val="00D37E3B"/>
    <w:rsid w:val="00D37E4E"/>
    <w:rsid w:val="00D402EA"/>
    <w:rsid w:val="00D40708"/>
    <w:rsid w:val="00D409A7"/>
    <w:rsid w:val="00D40CF3"/>
    <w:rsid w:val="00D40F68"/>
    <w:rsid w:val="00D40FB7"/>
    <w:rsid w:val="00D41591"/>
    <w:rsid w:val="00D41865"/>
    <w:rsid w:val="00D421E5"/>
    <w:rsid w:val="00D42398"/>
    <w:rsid w:val="00D42431"/>
    <w:rsid w:val="00D428AB"/>
    <w:rsid w:val="00D430B4"/>
    <w:rsid w:val="00D430D7"/>
    <w:rsid w:val="00D4356A"/>
    <w:rsid w:val="00D438D3"/>
    <w:rsid w:val="00D43C48"/>
    <w:rsid w:val="00D43E39"/>
    <w:rsid w:val="00D43ECC"/>
    <w:rsid w:val="00D44013"/>
    <w:rsid w:val="00D44044"/>
    <w:rsid w:val="00D44078"/>
    <w:rsid w:val="00D441D5"/>
    <w:rsid w:val="00D44482"/>
    <w:rsid w:val="00D44542"/>
    <w:rsid w:val="00D44BCC"/>
    <w:rsid w:val="00D453CF"/>
    <w:rsid w:val="00D45C3E"/>
    <w:rsid w:val="00D45C53"/>
    <w:rsid w:val="00D45CA2"/>
    <w:rsid w:val="00D45DE9"/>
    <w:rsid w:val="00D460AF"/>
    <w:rsid w:val="00D46168"/>
    <w:rsid w:val="00D46423"/>
    <w:rsid w:val="00D4649D"/>
    <w:rsid w:val="00D466CA"/>
    <w:rsid w:val="00D475E5"/>
    <w:rsid w:val="00D477A0"/>
    <w:rsid w:val="00D47A7B"/>
    <w:rsid w:val="00D47D67"/>
    <w:rsid w:val="00D47F02"/>
    <w:rsid w:val="00D507F2"/>
    <w:rsid w:val="00D50B4C"/>
    <w:rsid w:val="00D511BE"/>
    <w:rsid w:val="00D5149A"/>
    <w:rsid w:val="00D514AF"/>
    <w:rsid w:val="00D51559"/>
    <w:rsid w:val="00D51CCB"/>
    <w:rsid w:val="00D51DD0"/>
    <w:rsid w:val="00D52428"/>
    <w:rsid w:val="00D52521"/>
    <w:rsid w:val="00D525FB"/>
    <w:rsid w:val="00D5297F"/>
    <w:rsid w:val="00D52AE3"/>
    <w:rsid w:val="00D52DC2"/>
    <w:rsid w:val="00D53953"/>
    <w:rsid w:val="00D539C4"/>
    <w:rsid w:val="00D53D24"/>
    <w:rsid w:val="00D53F9A"/>
    <w:rsid w:val="00D54406"/>
    <w:rsid w:val="00D54F95"/>
    <w:rsid w:val="00D553E4"/>
    <w:rsid w:val="00D55561"/>
    <w:rsid w:val="00D55589"/>
    <w:rsid w:val="00D55FCB"/>
    <w:rsid w:val="00D56216"/>
    <w:rsid w:val="00D5654D"/>
    <w:rsid w:val="00D568E9"/>
    <w:rsid w:val="00D56AC6"/>
    <w:rsid w:val="00D56D26"/>
    <w:rsid w:val="00D56E26"/>
    <w:rsid w:val="00D5702A"/>
    <w:rsid w:val="00D570AA"/>
    <w:rsid w:val="00D57175"/>
    <w:rsid w:val="00D57210"/>
    <w:rsid w:val="00D576B6"/>
    <w:rsid w:val="00D57D8E"/>
    <w:rsid w:val="00D601CF"/>
    <w:rsid w:val="00D60249"/>
    <w:rsid w:val="00D602A4"/>
    <w:rsid w:val="00D602BA"/>
    <w:rsid w:val="00D60BE2"/>
    <w:rsid w:val="00D60F42"/>
    <w:rsid w:val="00D61004"/>
    <w:rsid w:val="00D610C7"/>
    <w:rsid w:val="00D61190"/>
    <w:rsid w:val="00D61385"/>
    <w:rsid w:val="00D61580"/>
    <w:rsid w:val="00D616CB"/>
    <w:rsid w:val="00D61A9E"/>
    <w:rsid w:val="00D61C53"/>
    <w:rsid w:val="00D61DA2"/>
    <w:rsid w:val="00D620E3"/>
    <w:rsid w:val="00D623B3"/>
    <w:rsid w:val="00D62606"/>
    <w:rsid w:val="00D62803"/>
    <w:rsid w:val="00D628BC"/>
    <w:rsid w:val="00D628C1"/>
    <w:rsid w:val="00D62DB1"/>
    <w:rsid w:val="00D6329E"/>
    <w:rsid w:val="00D6374E"/>
    <w:rsid w:val="00D640A5"/>
    <w:rsid w:val="00D64172"/>
    <w:rsid w:val="00D64337"/>
    <w:rsid w:val="00D6464A"/>
    <w:rsid w:val="00D64A30"/>
    <w:rsid w:val="00D64DDC"/>
    <w:rsid w:val="00D64FB3"/>
    <w:rsid w:val="00D650C8"/>
    <w:rsid w:val="00D651B3"/>
    <w:rsid w:val="00D65301"/>
    <w:rsid w:val="00D65322"/>
    <w:rsid w:val="00D654BD"/>
    <w:rsid w:val="00D6564E"/>
    <w:rsid w:val="00D65EC6"/>
    <w:rsid w:val="00D665BA"/>
    <w:rsid w:val="00D66929"/>
    <w:rsid w:val="00D66B0D"/>
    <w:rsid w:val="00D66FEC"/>
    <w:rsid w:val="00D675D8"/>
    <w:rsid w:val="00D6764E"/>
    <w:rsid w:val="00D67B2E"/>
    <w:rsid w:val="00D70161"/>
    <w:rsid w:val="00D70476"/>
    <w:rsid w:val="00D708E9"/>
    <w:rsid w:val="00D70950"/>
    <w:rsid w:val="00D70A6A"/>
    <w:rsid w:val="00D70B86"/>
    <w:rsid w:val="00D7127E"/>
    <w:rsid w:val="00D714D9"/>
    <w:rsid w:val="00D718E6"/>
    <w:rsid w:val="00D71A97"/>
    <w:rsid w:val="00D72175"/>
    <w:rsid w:val="00D721AB"/>
    <w:rsid w:val="00D72370"/>
    <w:rsid w:val="00D723F1"/>
    <w:rsid w:val="00D7242D"/>
    <w:rsid w:val="00D726CC"/>
    <w:rsid w:val="00D72C23"/>
    <w:rsid w:val="00D72CFE"/>
    <w:rsid w:val="00D72FCF"/>
    <w:rsid w:val="00D73274"/>
    <w:rsid w:val="00D73363"/>
    <w:rsid w:val="00D734C5"/>
    <w:rsid w:val="00D73FBE"/>
    <w:rsid w:val="00D74001"/>
    <w:rsid w:val="00D7442D"/>
    <w:rsid w:val="00D74601"/>
    <w:rsid w:val="00D74686"/>
    <w:rsid w:val="00D7476B"/>
    <w:rsid w:val="00D74877"/>
    <w:rsid w:val="00D74C40"/>
    <w:rsid w:val="00D74C74"/>
    <w:rsid w:val="00D74CD3"/>
    <w:rsid w:val="00D74EA5"/>
    <w:rsid w:val="00D751A9"/>
    <w:rsid w:val="00D758FE"/>
    <w:rsid w:val="00D75D35"/>
    <w:rsid w:val="00D75E3B"/>
    <w:rsid w:val="00D7619B"/>
    <w:rsid w:val="00D8020E"/>
    <w:rsid w:val="00D802C0"/>
    <w:rsid w:val="00D8054F"/>
    <w:rsid w:val="00D81120"/>
    <w:rsid w:val="00D8142E"/>
    <w:rsid w:val="00D81651"/>
    <w:rsid w:val="00D817C3"/>
    <w:rsid w:val="00D819B7"/>
    <w:rsid w:val="00D81B37"/>
    <w:rsid w:val="00D81C0E"/>
    <w:rsid w:val="00D82348"/>
    <w:rsid w:val="00D82440"/>
    <w:rsid w:val="00D82BAC"/>
    <w:rsid w:val="00D83008"/>
    <w:rsid w:val="00D8340F"/>
    <w:rsid w:val="00D836C1"/>
    <w:rsid w:val="00D83AFA"/>
    <w:rsid w:val="00D83B8E"/>
    <w:rsid w:val="00D84407"/>
    <w:rsid w:val="00D84E20"/>
    <w:rsid w:val="00D852FC"/>
    <w:rsid w:val="00D85404"/>
    <w:rsid w:val="00D8547D"/>
    <w:rsid w:val="00D85541"/>
    <w:rsid w:val="00D85690"/>
    <w:rsid w:val="00D85693"/>
    <w:rsid w:val="00D85821"/>
    <w:rsid w:val="00D85A1E"/>
    <w:rsid w:val="00D85AA3"/>
    <w:rsid w:val="00D85E2B"/>
    <w:rsid w:val="00D8643F"/>
    <w:rsid w:val="00D86CE6"/>
    <w:rsid w:val="00D86D29"/>
    <w:rsid w:val="00D86DAD"/>
    <w:rsid w:val="00D86F75"/>
    <w:rsid w:val="00D8702F"/>
    <w:rsid w:val="00D870B2"/>
    <w:rsid w:val="00D87614"/>
    <w:rsid w:val="00D87AA1"/>
    <w:rsid w:val="00D9036F"/>
    <w:rsid w:val="00D903F6"/>
    <w:rsid w:val="00D90442"/>
    <w:rsid w:val="00D906BD"/>
    <w:rsid w:val="00D90B75"/>
    <w:rsid w:val="00D90E6D"/>
    <w:rsid w:val="00D910C4"/>
    <w:rsid w:val="00D913E6"/>
    <w:rsid w:val="00D91729"/>
    <w:rsid w:val="00D91A98"/>
    <w:rsid w:val="00D91AFB"/>
    <w:rsid w:val="00D91FD3"/>
    <w:rsid w:val="00D923C6"/>
    <w:rsid w:val="00D92490"/>
    <w:rsid w:val="00D925FB"/>
    <w:rsid w:val="00D9273D"/>
    <w:rsid w:val="00D92AED"/>
    <w:rsid w:val="00D93092"/>
    <w:rsid w:val="00D93093"/>
    <w:rsid w:val="00D93278"/>
    <w:rsid w:val="00D9327C"/>
    <w:rsid w:val="00D93310"/>
    <w:rsid w:val="00D9339F"/>
    <w:rsid w:val="00D9451E"/>
    <w:rsid w:val="00D94C0A"/>
    <w:rsid w:val="00D94D74"/>
    <w:rsid w:val="00D94F39"/>
    <w:rsid w:val="00D95293"/>
    <w:rsid w:val="00D9534D"/>
    <w:rsid w:val="00D9540E"/>
    <w:rsid w:val="00D954E7"/>
    <w:rsid w:val="00D9568A"/>
    <w:rsid w:val="00D956C7"/>
    <w:rsid w:val="00D956EA"/>
    <w:rsid w:val="00D95AB7"/>
    <w:rsid w:val="00D95C0B"/>
    <w:rsid w:val="00D95E89"/>
    <w:rsid w:val="00D95EB6"/>
    <w:rsid w:val="00D967DE"/>
    <w:rsid w:val="00D96C4D"/>
    <w:rsid w:val="00D96D66"/>
    <w:rsid w:val="00D96E9C"/>
    <w:rsid w:val="00D972E8"/>
    <w:rsid w:val="00D97617"/>
    <w:rsid w:val="00D97A98"/>
    <w:rsid w:val="00D97F89"/>
    <w:rsid w:val="00DA0258"/>
    <w:rsid w:val="00DA0D9B"/>
    <w:rsid w:val="00DA15F5"/>
    <w:rsid w:val="00DA174D"/>
    <w:rsid w:val="00DA19E1"/>
    <w:rsid w:val="00DA1C4B"/>
    <w:rsid w:val="00DA1CD6"/>
    <w:rsid w:val="00DA1D8A"/>
    <w:rsid w:val="00DA1DE5"/>
    <w:rsid w:val="00DA2785"/>
    <w:rsid w:val="00DA2F77"/>
    <w:rsid w:val="00DA33CF"/>
    <w:rsid w:val="00DA3495"/>
    <w:rsid w:val="00DA38B9"/>
    <w:rsid w:val="00DA39AC"/>
    <w:rsid w:val="00DA3A92"/>
    <w:rsid w:val="00DA3B9F"/>
    <w:rsid w:val="00DA3C4E"/>
    <w:rsid w:val="00DA3C8D"/>
    <w:rsid w:val="00DA3D9A"/>
    <w:rsid w:val="00DA3EEA"/>
    <w:rsid w:val="00DA4474"/>
    <w:rsid w:val="00DA45B0"/>
    <w:rsid w:val="00DA498E"/>
    <w:rsid w:val="00DA4CDB"/>
    <w:rsid w:val="00DA55A8"/>
    <w:rsid w:val="00DA567C"/>
    <w:rsid w:val="00DA57A5"/>
    <w:rsid w:val="00DA602D"/>
    <w:rsid w:val="00DA63D8"/>
    <w:rsid w:val="00DA66DB"/>
    <w:rsid w:val="00DA6C6E"/>
    <w:rsid w:val="00DA703F"/>
    <w:rsid w:val="00DA7160"/>
    <w:rsid w:val="00DA7232"/>
    <w:rsid w:val="00DA7BEC"/>
    <w:rsid w:val="00DB004D"/>
    <w:rsid w:val="00DB00DF"/>
    <w:rsid w:val="00DB029C"/>
    <w:rsid w:val="00DB02ED"/>
    <w:rsid w:val="00DB0BA1"/>
    <w:rsid w:val="00DB11EF"/>
    <w:rsid w:val="00DB1237"/>
    <w:rsid w:val="00DB172F"/>
    <w:rsid w:val="00DB1C4E"/>
    <w:rsid w:val="00DB1CB3"/>
    <w:rsid w:val="00DB1D66"/>
    <w:rsid w:val="00DB1DB3"/>
    <w:rsid w:val="00DB1DE1"/>
    <w:rsid w:val="00DB1F09"/>
    <w:rsid w:val="00DB2439"/>
    <w:rsid w:val="00DB2704"/>
    <w:rsid w:val="00DB2B03"/>
    <w:rsid w:val="00DB3360"/>
    <w:rsid w:val="00DB36CF"/>
    <w:rsid w:val="00DB3A3D"/>
    <w:rsid w:val="00DB3B16"/>
    <w:rsid w:val="00DB3BD0"/>
    <w:rsid w:val="00DB453E"/>
    <w:rsid w:val="00DB4977"/>
    <w:rsid w:val="00DB4CC9"/>
    <w:rsid w:val="00DB505C"/>
    <w:rsid w:val="00DB56AC"/>
    <w:rsid w:val="00DB5AC6"/>
    <w:rsid w:val="00DB608E"/>
    <w:rsid w:val="00DB6298"/>
    <w:rsid w:val="00DB668A"/>
    <w:rsid w:val="00DB6794"/>
    <w:rsid w:val="00DB6A44"/>
    <w:rsid w:val="00DB6C08"/>
    <w:rsid w:val="00DB6C3A"/>
    <w:rsid w:val="00DB6E33"/>
    <w:rsid w:val="00DB73A0"/>
    <w:rsid w:val="00DB73F3"/>
    <w:rsid w:val="00DB77F8"/>
    <w:rsid w:val="00DB7AB5"/>
    <w:rsid w:val="00DB7B95"/>
    <w:rsid w:val="00DB7F84"/>
    <w:rsid w:val="00DB7FB4"/>
    <w:rsid w:val="00DC0381"/>
    <w:rsid w:val="00DC043D"/>
    <w:rsid w:val="00DC046D"/>
    <w:rsid w:val="00DC0596"/>
    <w:rsid w:val="00DC09EF"/>
    <w:rsid w:val="00DC0A4E"/>
    <w:rsid w:val="00DC0A63"/>
    <w:rsid w:val="00DC0B6F"/>
    <w:rsid w:val="00DC1576"/>
    <w:rsid w:val="00DC15E6"/>
    <w:rsid w:val="00DC1C97"/>
    <w:rsid w:val="00DC258A"/>
    <w:rsid w:val="00DC25E6"/>
    <w:rsid w:val="00DC2BFB"/>
    <w:rsid w:val="00DC2C3B"/>
    <w:rsid w:val="00DC2E26"/>
    <w:rsid w:val="00DC309C"/>
    <w:rsid w:val="00DC4073"/>
    <w:rsid w:val="00DC42E6"/>
    <w:rsid w:val="00DC4429"/>
    <w:rsid w:val="00DC4832"/>
    <w:rsid w:val="00DC4E09"/>
    <w:rsid w:val="00DC4E56"/>
    <w:rsid w:val="00DC5279"/>
    <w:rsid w:val="00DC5B60"/>
    <w:rsid w:val="00DC664F"/>
    <w:rsid w:val="00DC6BA5"/>
    <w:rsid w:val="00DC71E1"/>
    <w:rsid w:val="00DC7273"/>
    <w:rsid w:val="00DC7E02"/>
    <w:rsid w:val="00DD0046"/>
    <w:rsid w:val="00DD06D1"/>
    <w:rsid w:val="00DD1006"/>
    <w:rsid w:val="00DD11C8"/>
    <w:rsid w:val="00DD1252"/>
    <w:rsid w:val="00DD12CB"/>
    <w:rsid w:val="00DD18D9"/>
    <w:rsid w:val="00DD1AEB"/>
    <w:rsid w:val="00DD2099"/>
    <w:rsid w:val="00DD2476"/>
    <w:rsid w:val="00DD2584"/>
    <w:rsid w:val="00DD2A01"/>
    <w:rsid w:val="00DD2A72"/>
    <w:rsid w:val="00DD2BB8"/>
    <w:rsid w:val="00DD3471"/>
    <w:rsid w:val="00DD3512"/>
    <w:rsid w:val="00DD38A7"/>
    <w:rsid w:val="00DD3FF9"/>
    <w:rsid w:val="00DD470D"/>
    <w:rsid w:val="00DD4B0E"/>
    <w:rsid w:val="00DD4C33"/>
    <w:rsid w:val="00DD4CE8"/>
    <w:rsid w:val="00DD4D9E"/>
    <w:rsid w:val="00DD4F9F"/>
    <w:rsid w:val="00DD534D"/>
    <w:rsid w:val="00DD53EE"/>
    <w:rsid w:val="00DD5558"/>
    <w:rsid w:val="00DD55B6"/>
    <w:rsid w:val="00DD56BC"/>
    <w:rsid w:val="00DD5AB5"/>
    <w:rsid w:val="00DD5B11"/>
    <w:rsid w:val="00DD5B79"/>
    <w:rsid w:val="00DD5BE7"/>
    <w:rsid w:val="00DD62F4"/>
    <w:rsid w:val="00DD63EF"/>
    <w:rsid w:val="00DD648C"/>
    <w:rsid w:val="00DD65FF"/>
    <w:rsid w:val="00DD69F1"/>
    <w:rsid w:val="00DD6A1A"/>
    <w:rsid w:val="00DD6D6D"/>
    <w:rsid w:val="00DD7372"/>
    <w:rsid w:val="00DD74F3"/>
    <w:rsid w:val="00DD78E1"/>
    <w:rsid w:val="00DE0036"/>
    <w:rsid w:val="00DE00E3"/>
    <w:rsid w:val="00DE024D"/>
    <w:rsid w:val="00DE075D"/>
    <w:rsid w:val="00DE08A3"/>
    <w:rsid w:val="00DE09C0"/>
    <w:rsid w:val="00DE0ADB"/>
    <w:rsid w:val="00DE0D74"/>
    <w:rsid w:val="00DE0E73"/>
    <w:rsid w:val="00DE1047"/>
    <w:rsid w:val="00DE12BF"/>
    <w:rsid w:val="00DE1449"/>
    <w:rsid w:val="00DE15AA"/>
    <w:rsid w:val="00DE22A1"/>
    <w:rsid w:val="00DE25A9"/>
    <w:rsid w:val="00DE2F5E"/>
    <w:rsid w:val="00DE3535"/>
    <w:rsid w:val="00DE37C4"/>
    <w:rsid w:val="00DE3BF7"/>
    <w:rsid w:val="00DE4035"/>
    <w:rsid w:val="00DE44F1"/>
    <w:rsid w:val="00DE4757"/>
    <w:rsid w:val="00DE48B7"/>
    <w:rsid w:val="00DE4A9F"/>
    <w:rsid w:val="00DE4D0F"/>
    <w:rsid w:val="00DE4E4E"/>
    <w:rsid w:val="00DE50BC"/>
    <w:rsid w:val="00DE564D"/>
    <w:rsid w:val="00DE5877"/>
    <w:rsid w:val="00DE5FCB"/>
    <w:rsid w:val="00DE61E4"/>
    <w:rsid w:val="00DE6253"/>
    <w:rsid w:val="00DE65A1"/>
    <w:rsid w:val="00DE6759"/>
    <w:rsid w:val="00DE6906"/>
    <w:rsid w:val="00DE6BF5"/>
    <w:rsid w:val="00DE6CCB"/>
    <w:rsid w:val="00DE77F6"/>
    <w:rsid w:val="00DE7823"/>
    <w:rsid w:val="00DF0261"/>
    <w:rsid w:val="00DF0635"/>
    <w:rsid w:val="00DF0AE8"/>
    <w:rsid w:val="00DF0B96"/>
    <w:rsid w:val="00DF0CD4"/>
    <w:rsid w:val="00DF0CE5"/>
    <w:rsid w:val="00DF0E5C"/>
    <w:rsid w:val="00DF10F9"/>
    <w:rsid w:val="00DF1188"/>
    <w:rsid w:val="00DF1300"/>
    <w:rsid w:val="00DF178B"/>
    <w:rsid w:val="00DF19DC"/>
    <w:rsid w:val="00DF1ADB"/>
    <w:rsid w:val="00DF1F21"/>
    <w:rsid w:val="00DF2561"/>
    <w:rsid w:val="00DF2607"/>
    <w:rsid w:val="00DF2662"/>
    <w:rsid w:val="00DF276D"/>
    <w:rsid w:val="00DF2C14"/>
    <w:rsid w:val="00DF2DFC"/>
    <w:rsid w:val="00DF2F6C"/>
    <w:rsid w:val="00DF3625"/>
    <w:rsid w:val="00DF371E"/>
    <w:rsid w:val="00DF372E"/>
    <w:rsid w:val="00DF3945"/>
    <w:rsid w:val="00DF3E10"/>
    <w:rsid w:val="00DF3EF6"/>
    <w:rsid w:val="00DF4063"/>
    <w:rsid w:val="00DF41FB"/>
    <w:rsid w:val="00DF472F"/>
    <w:rsid w:val="00DF4764"/>
    <w:rsid w:val="00DF4BE1"/>
    <w:rsid w:val="00DF5014"/>
    <w:rsid w:val="00DF5785"/>
    <w:rsid w:val="00DF581E"/>
    <w:rsid w:val="00DF5E2E"/>
    <w:rsid w:val="00DF6000"/>
    <w:rsid w:val="00DF63A5"/>
    <w:rsid w:val="00DF6CFA"/>
    <w:rsid w:val="00DF78CA"/>
    <w:rsid w:val="00DF7E07"/>
    <w:rsid w:val="00E00285"/>
    <w:rsid w:val="00E00AA8"/>
    <w:rsid w:val="00E00BF5"/>
    <w:rsid w:val="00E00D90"/>
    <w:rsid w:val="00E00FD0"/>
    <w:rsid w:val="00E01036"/>
    <w:rsid w:val="00E014CA"/>
    <w:rsid w:val="00E0178D"/>
    <w:rsid w:val="00E018E3"/>
    <w:rsid w:val="00E01900"/>
    <w:rsid w:val="00E01CBB"/>
    <w:rsid w:val="00E01D3D"/>
    <w:rsid w:val="00E01D4E"/>
    <w:rsid w:val="00E0251F"/>
    <w:rsid w:val="00E02881"/>
    <w:rsid w:val="00E02E3F"/>
    <w:rsid w:val="00E0323D"/>
    <w:rsid w:val="00E032F8"/>
    <w:rsid w:val="00E034F0"/>
    <w:rsid w:val="00E03548"/>
    <w:rsid w:val="00E0418C"/>
    <w:rsid w:val="00E042A9"/>
    <w:rsid w:val="00E045F9"/>
    <w:rsid w:val="00E04938"/>
    <w:rsid w:val="00E04E63"/>
    <w:rsid w:val="00E0514D"/>
    <w:rsid w:val="00E052F4"/>
    <w:rsid w:val="00E0566D"/>
    <w:rsid w:val="00E05849"/>
    <w:rsid w:val="00E05B3B"/>
    <w:rsid w:val="00E05B76"/>
    <w:rsid w:val="00E05B8D"/>
    <w:rsid w:val="00E05F20"/>
    <w:rsid w:val="00E05FF8"/>
    <w:rsid w:val="00E06226"/>
    <w:rsid w:val="00E0643D"/>
    <w:rsid w:val="00E06B8A"/>
    <w:rsid w:val="00E06E59"/>
    <w:rsid w:val="00E070C0"/>
    <w:rsid w:val="00E071DA"/>
    <w:rsid w:val="00E07A92"/>
    <w:rsid w:val="00E07B57"/>
    <w:rsid w:val="00E07BA1"/>
    <w:rsid w:val="00E07C33"/>
    <w:rsid w:val="00E07C77"/>
    <w:rsid w:val="00E07CCB"/>
    <w:rsid w:val="00E07FD1"/>
    <w:rsid w:val="00E100E5"/>
    <w:rsid w:val="00E104DE"/>
    <w:rsid w:val="00E1051E"/>
    <w:rsid w:val="00E106ED"/>
    <w:rsid w:val="00E107CA"/>
    <w:rsid w:val="00E107D0"/>
    <w:rsid w:val="00E10D0B"/>
    <w:rsid w:val="00E10F89"/>
    <w:rsid w:val="00E111F1"/>
    <w:rsid w:val="00E1180C"/>
    <w:rsid w:val="00E11811"/>
    <w:rsid w:val="00E11872"/>
    <w:rsid w:val="00E11AC4"/>
    <w:rsid w:val="00E11D0F"/>
    <w:rsid w:val="00E11FA9"/>
    <w:rsid w:val="00E12081"/>
    <w:rsid w:val="00E1227F"/>
    <w:rsid w:val="00E12437"/>
    <w:rsid w:val="00E132E2"/>
    <w:rsid w:val="00E13325"/>
    <w:rsid w:val="00E13493"/>
    <w:rsid w:val="00E13624"/>
    <w:rsid w:val="00E1369A"/>
    <w:rsid w:val="00E1370A"/>
    <w:rsid w:val="00E13D1F"/>
    <w:rsid w:val="00E13D90"/>
    <w:rsid w:val="00E13F34"/>
    <w:rsid w:val="00E143ED"/>
    <w:rsid w:val="00E14A9A"/>
    <w:rsid w:val="00E14F70"/>
    <w:rsid w:val="00E15216"/>
    <w:rsid w:val="00E15268"/>
    <w:rsid w:val="00E1539C"/>
    <w:rsid w:val="00E154E6"/>
    <w:rsid w:val="00E1589A"/>
    <w:rsid w:val="00E15984"/>
    <w:rsid w:val="00E15CF8"/>
    <w:rsid w:val="00E165E9"/>
    <w:rsid w:val="00E171FF"/>
    <w:rsid w:val="00E1729A"/>
    <w:rsid w:val="00E1756B"/>
    <w:rsid w:val="00E176D5"/>
    <w:rsid w:val="00E177F1"/>
    <w:rsid w:val="00E17938"/>
    <w:rsid w:val="00E17975"/>
    <w:rsid w:val="00E17D76"/>
    <w:rsid w:val="00E17EDE"/>
    <w:rsid w:val="00E17F9F"/>
    <w:rsid w:val="00E202D4"/>
    <w:rsid w:val="00E20458"/>
    <w:rsid w:val="00E206B0"/>
    <w:rsid w:val="00E208BE"/>
    <w:rsid w:val="00E20926"/>
    <w:rsid w:val="00E20AF4"/>
    <w:rsid w:val="00E20C73"/>
    <w:rsid w:val="00E20D3D"/>
    <w:rsid w:val="00E20DD3"/>
    <w:rsid w:val="00E20FAD"/>
    <w:rsid w:val="00E2105E"/>
    <w:rsid w:val="00E212EC"/>
    <w:rsid w:val="00E2147A"/>
    <w:rsid w:val="00E2159A"/>
    <w:rsid w:val="00E21651"/>
    <w:rsid w:val="00E217C4"/>
    <w:rsid w:val="00E217F0"/>
    <w:rsid w:val="00E21B27"/>
    <w:rsid w:val="00E220DC"/>
    <w:rsid w:val="00E22113"/>
    <w:rsid w:val="00E221F3"/>
    <w:rsid w:val="00E222A0"/>
    <w:rsid w:val="00E22911"/>
    <w:rsid w:val="00E22C8A"/>
    <w:rsid w:val="00E231EB"/>
    <w:rsid w:val="00E23574"/>
    <w:rsid w:val="00E23888"/>
    <w:rsid w:val="00E23BE0"/>
    <w:rsid w:val="00E23C6E"/>
    <w:rsid w:val="00E23E27"/>
    <w:rsid w:val="00E24361"/>
    <w:rsid w:val="00E2448A"/>
    <w:rsid w:val="00E24600"/>
    <w:rsid w:val="00E2473A"/>
    <w:rsid w:val="00E247E5"/>
    <w:rsid w:val="00E25BA0"/>
    <w:rsid w:val="00E25D72"/>
    <w:rsid w:val="00E26016"/>
    <w:rsid w:val="00E2606F"/>
    <w:rsid w:val="00E2659E"/>
    <w:rsid w:val="00E269FC"/>
    <w:rsid w:val="00E26E54"/>
    <w:rsid w:val="00E27569"/>
    <w:rsid w:val="00E27D07"/>
    <w:rsid w:val="00E30220"/>
    <w:rsid w:val="00E3026C"/>
    <w:rsid w:val="00E305BF"/>
    <w:rsid w:val="00E3076F"/>
    <w:rsid w:val="00E3083A"/>
    <w:rsid w:val="00E308AE"/>
    <w:rsid w:val="00E30AA3"/>
    <w:rsid w:val="00E30D58"/>
    <w:rsid w:val="00E30E2C"/>
    <w:rsid w:val="00E31129"/>
    <w:rsid w:val="00E3112D"/>
    <w:rsid w:val="00E3146C"/>
    <w:rsid w:val="00E315E4"/>
    <w:rsid w:val="00E316EA"/>
    <w:rsid w:val="00E318E0"/>
    <w:rsid w:val="00E31E8A"/>
    <w:rsid w:val="00E322A8"/>
    <w:rsid w:val="00E32576"/>
    <w:rsid w:val="00E3388E"/>
    <w:rsid w:val="00E33E6A"/>
    <w:rsid w:val="00E34196"/>
    <w:rsid w:val="00E34303"/>
    <w:rsid w:val="00E34707"/>
    <w:rsid w:val="00E348E2"/>
    <w:rsid w:val="00E34914"/>
    <w:rsid w:val="00E3495F"/>
    <w:rsid w:val="00E34ED6"/>
    <w:rsid w:val="00E363FA"/>
    <w:rsid w:val="00E366B9"/>
    <w:rsid w:val="00E367EE"/>
    <w:rsid w:val="00E36991"/>
    <w:rsid w:val="00E36ACC"/>
    <w:rsid w:val="00E36C6F"/>
    <w:rsid w:val="00E36CE4"/>
    <w:rsid w:val="00E36EB0"/>
    <w:rsid w:val="00E36FB0"/>
    <w:rsid w:val="00E37108"/>
    <w:rsid w:val="00E3732F"/>
    <w:rsid w:val="00E3784F"/>
    <w:rsid w:val="00E403EC"/>
    <w:rsid w:val="00E40594"/>
    <w:rsid w:val="00E40747"/>
    <w:rsid w:val="00E4075E"/>
    <w:rsid w:val="00E408E1"/>
    <w:rsid w:val="00E40A83"/>
    <w:rsid w:val="00E40EAC"/>
    <w:rsid w:val="00E412D1"/>
    <w:rsid w:val="00E41575"/>
    <w:rsid w:val="00E41816"/>
    <w:rsid w:val="00E419C4"/>
    <w:rsid w:val="00E41A20"/>
    <w:rsid w:val="00E41AA9"/>
    <w:rsid w:val="00E41DF5"/>
    <w:rsid w:val="00E42831"/>
    <w:rsid w:val="00E42DC6"/>
    <w:rsid w:val="00E42E87"/>
    <w:rsid w:val="00E43197"/>
    <w:rsid w:val="00E432CB"/>
    <w:rsid w:val="00E43629"/>
    <w:rsid w:val="00E43717"/>
    <w:rsid w:val="00E438BB"/>
    <w:rsid w:val="00E43ADF"/>
    <w:rsid w:val="00E44280"/>
    <w:rsid w:val="00E444B3"/>
    <w:rsid w:val="00E44738"/>
    <w:rsid w:val="00E448E5"/>
    <w:rsid w:val="00E449E8"/>
    <w:rsid w:val="00E44C08"/>
    <w:rsid w:val="00E44CE4"/>
    <w:rsid w:val="00E44D35"/>
    <w:rsid w:val="00E44D8C"/>
    <w:rsid w:val="00E453FC"/>
    <w:rsid w:val="00E45E91"/>
    <w:rsid w:val="00E45F7B"/>
    <w:rsid w:val="00E463AD"/>
    <w:rsid w:val="00E466D7"/>
    <w:rsid w:val="00E46775"/>
    <w:rsid w:val="00E46C4F"/>
    <w:rsid w:val="00E46C6E"/>
    <w:rsid w:val="00E46F39"/>
    <w:rsid w:val="00E471A6"/>
    <w:rsid w:val="00E47250"/>
    <w:rsid w:val="00E47269"/>
    <w:rsid w:val="00E4758D"/>
    <w:rsid w:val="00E47939"/>
    <w:rsid w:val="00E5015B"/>
    <w:rsid w:val="00E50739"/>
    <w:rsid w:val="00E5089F"/>
    <w:rsid w:val="00E50A59"/>
    <w:rsid w:val="00E50B1B"/>
    <w:rsid w:val="00E50D5D"/>
    <w:rsid w:val="00E51488"/>
    <w:rsid w:val="00E51975"/>
    <w:rsid w:val="00E51EC8"/>
    <w:rsid w:val="00E5233A"/>
    <w:rsid w:val="00E52689"/>
    <w:rsid w:val="00E52715"/>
    <w:rsid w:val="00E52950"/>
    <w:rsid w:val="00E52968"/>
    <w:rsid w:val="00E529A3"/>
    <w:rsid w:val="00E52A9E"/>
    <w:rsid w:val="00E52D05"/>
    <w:rsid w:val="00E52E9A"/>
    <w:rsid w:val="00E5341D"/>
    <w:rsid w:val="00E53720"/>
    <w:rsid w:val="00E53E58"/>
    <w:rsid w:val="00E53F4D"/>
    <w:rsid w:val="00E53F61"/>
    <w:rsid w:val="00E53FFB"/>
    <w:rsid w:val="00E54137"/>
    <w:rsid w:val="00E54284"/>
    <w:rsid w:val="00E54307"/>
    <w:rsid w:val="00E5443D"/>
    <w:rsid w:val="00E544AA"/>
    <w:rsid w:val="00E545F6"/>
    <w:rsid w:val="00E54C3E"/>
    <w:rsid w:val="00E54D58"/>
    <w:rsid w:val="00E55143"/>
    <w:rsid w:val="00E554A7"/>
    <w:rsid w:val="00E55A22"/>
    <w:rsid w:val="00E55B1C"/>
    <w:rsid w:val="00E55D11"/>
    <w:rsid w:val="00E563C0"/>
    <w:rsid w:val="00E566C6"/>
    <w:rsid w:val="00E566DF"/>
    <w:rsid w:val="00E5676A"/>
    <w:rsid w:val="00E567CB"/>
    <w:rsid w:val="00E5684A"/>
    <w:rsid w:val="00E56936"/>
    <w:rsid w:val="00E56B33"/>
    <w:rsid w:val="00E57041"/>
    <w:rsid w:val="00E576B2"/>
    <w:rsid w:val="00E5778B"/>
    <w:rsid w:val="00E577E8"/>
    <w:rsid w:val="00E578E0"/>
    <w:rsid w:val="00E57E9E"/>
    <w:rsid w:val="00E60061"/>
    <w:rsid w:val="00E60194"/>
    <w:rsid w:val="00E601A9"/>
    <w:rsid w:val="00E6074E"/>
    <w:rsid w:val="00E6086D"/>
    <w:rsid w:val="00E60A93"/>
    <w:rsid w:val="00E6103A"/>
    <w:rsid w:val="00E61370"/>
    <w:rsid w:val="00E614BB"/>
    <w:rsid w:val="00E614EA"/>
    <w:rsid w:val="00E61898"/>
    <w:rsid w:val="00E61B34"/>
    <w:rsid w:val="00E622B9"/>
    <w:rsid w:val="00E62620"/>
    <w:rsid w:val="00E62BB4"/>
    <w:rsid w:val="00E62DB5"/>
    <w:rsid w:val="00E632D8"/>
    <w:rsid w:val="00E632EA"/>
    <w:rsid w:val="00E6395E"/>
    <w:rsid w:val="00E63C98"/>
    <w:rsid w:val="00E63F14"/>
    <w:rsid w:val="00E64582"/>
    <w:rsid w:val="00E6478C"/>
    <w:rsid w:val="00E64C3A"/>
    <w:rsid w:val="00E64E4C"/>
    <w:rsid w:val="00E6538A"/>
    <w:rsid w:val="00E6553F"/>
    <w:rsid w:val="00E6573D"/>
    <w:rsid w:val="00E65D70"/>
    <w:rsid w:val="00E66514"/>
    <w:rsid w:val="00E66523"/>
    <w:rsid w:val="00E665A4"/>
    <w:rsid w:val="00E668D6"/>
    <w:rsid w:val="00E67076"/>
    <w:rsid w:val="00E67430"/>
    <w:rsid w:val="00E674DD"/>
    <w:rsid w:val="00E6750D"/>
    <w:rsid w:val="00E67DD2"/>
    <w:rsid w:val="00E67F82"/>
    <w:rsid w:val="00E700EB"/>
    <w:rsid w:val="00E703F5"/>
    <w:rsid w:val="00E707D8"/>
    <w:rsid w:val="00E70F56"/>
    <w:rsid w:val="00E71623"/>
    <w:rsid w:val="00E71D6D"/>
    <w:rsid w:val="00E71E39"/>
    <w:rsid w:val="00E71FB5"/>
    <w:rsid w:val="00E728AA"/>
    <w:rsid w:val="00E72E26"/>
    <w:rsid w:val="00E72F7F"/>
    <w:rsid w:val="00E7333A"/>
    <w:rsid w:val="00E7342D"/>
    <w:rsid w:val="00E7350F"/>
    <w:rsid w:val="00E7382E"/>
    <w:rsid w:val="00E73C52"/>
    <w:rsid w:val="00E73CFF"/>
    <w:rsid w:val="00E7400E"/>
    <w:rsid w:val="00E7402D"/>
    <w:rsid w:val="00E74107"/>
    <w:rsid w:val="00E7446F"/>
    <w:rsid w:val="00E74C5C"/>
    <w:rsid w:val="00E75466"/>
    <w:rsid w:val="00E75780"/>
    <w:rsid w:val="00E7593C"/>
    <w:rsid w:val="00E75B5D"/>
    <w:rsid w:val="00E75DF5"/>
    <w:rsid w:val="00E75FC9"/>
    <w:rsid w:val="00E760EE"/>
    <w:rsid w:val="00E76219"/>
    <w:rsid w:val="00E76D47"/>
    <w:rsid w:val="00E76D72"/>
    <w:rsid w:val="00E770C3"/>
    <w:rsid w:val="00E77270"/>
    <w:rsid w:val="00E772AA"/>
    <w:rsid w:val="00E77383"/>
    <w:rsid w:val="00E77670"/>
    <w:rsid w:val="00E779F9"/>
    <w:rsid w:val="00E77CCF"/>
    <w:rsid w:val="00E7CDDF"/>
    <w:rsid w:val="00E800DA"/>
    <w:rsid w:val="00E80556"/>
    <w:rsid w:val="00E80663"/>
    <w:rsid w:val="00E80A77"/>
    <w:rsid w:val="00E80CC0"/>
    <w:rsid w:val="00E80D42"/>
    <w:rsid w:val="00E823DA"/>
    <w:rsid w:val="00E823FA"/>
    <w:rsid w:val="00E8293B"/>
    <w:rsid w:val="00E82BC7"/>
    <w:rsid w:val="00E82CDD"/>
    <w:rsid w:val="00E838B1"/>
    <w:rsid w:val="00E83C86"/>
    <w:rsid w:val="00E83CB5"/>
    <w:rsid w:val="00E83DD6"/>
    <w:rsid w:val="00E83E34"/>
    <w:rsid w:val="00E84194"/>
    <w:rsid w:val="00E84A3E"/>
    <w:rsid w:val="00E84B33"/>
    <w:rsid w:val="00E84C20"/>
    <w:rsid w:val="00E856C1"/>
    <w:rsid w:val="00E8577D"/>
    <w:rsid w:val="00E85DAF"/>
    <w:rsid w:val="00E85DB2"/>
    <w:rsid w:val="00E85E2C"/>
    <w:rsid w:val="00E8604F"/>
    <w:rsid w:val="00E860DA"/>
    <w:rsid w:val="00E862A1"/>
    <w:rsid w:val="00E862D4"/>
    <w:rsid w:val="00E86593"/>
    <w:rsid w:val="00E86691"/>
    <w:rsid w:val="00E86748"/>
    <w:rsid w:val="00E86777"/>
    <w:rsid w:val="00E8678C"/>
    <w:rsid w:val="00E86CE5"/>
    <w:rsid w:val="00E86DC8"/>
    <w:rsid w:val="00E86E80"/>
    <w:rsid w:val="00E86E81"/>
    <w:rsid w:val="00E86F88"/>
    <w:rsid w:val="00E87236"/>
    <w:rsid w:val="00E87250"/>
    <w:rsid w:val="00E8743F"/>
    <w:rsid w:val="00E874B3"/>
    <w:rsid w:val="00E87898"/>
    <w:rsid w:val="00E87E0D"/>
    <w:rsid w:val="00E8EE02"/>
    <w:rsid w:val="00E90444"/>
    <w:rsid w:val="00E9059B"/>
    <w:rsid w:val="00E9083B"/>
    <w:rsid w:val="00E90DA1"/>
    <w:rsid w:val="00E90DC3"/>
    <w:rsid w:val="00E9107D"/>
    <w:rsid w:val="00E91125"/>
    <w:rsid w:val="00E91346"/>
    <w:rsid w:val="00E9143B"/>
    <w:rsid w:val="00E9192E"/>
    <w:rsid w:val="00E91CF2"/>
    <w:rsid w:val="00E91EAD"/>
    <w:rsid w:val="00E91F49"/>
    <w:rsid w:val="00E921D3"/>
    <w:rsid w:val="00E922ED"/>
    <w:rsid w:val="00E9302D"/>
    <w:rsid w:val="00E9346E"/>
    <w:rsid w:val="00E9355E"/>
    <w:rsid w:val="00E93B8E"/>
    <w:rsid w:val="00E943E1"/>
    <w:rsid w:val="00E94596"/>
    <w:rsid w:val="00E94B33"/>
    <w:rsid w:val="00E95458"/>
    <w:rsid w:val="00E956FE"/>
    <w:rsid w:val="00E95EF4"/>
    <w:rsid w:val="00E960AF"/>
    <w:rsid w:val="00E96E61"/>
    <w:rsid w:val="00E96F24"/>
    <w:rsid w:val="00E96F38"/>
    <w:rsid w:val="00E970B3"/>
    <w:rsid w:val="00E97327"/>
    <w:rsid w:val="00E974F2"/>
    <w:rsid w:val="00E9758B"/>
    <w:rsid w:val="00E97DC0"/>
    <w:rsid w:val="00E97F22"/>
    <w:rsid w:val="00E97F49"/>
    <w:rsid w:val="00E985A2"/>
    <w:rsid w:val="00EA030A"/>
    <w:rsid w:val="00EA058C"/>
    <w:rsid w:val="00EA0604"/>
    <w:rsid w:val="00EA0794"/>
    <w:rsid w:val="00EA0877"/>
    <w:rsid w:val="00EA0BB2"/>
    <w:rsid w:val="00EA0CDD"/>
    <w:rsid w:val="00EA180E"/>
    <w:rsid w:val="00EA1825"/>
    <w:rsid w:val="00EA1A20"/>
    <w:rsid w:val="00EA1F4F"/>
    <w:rsid w:val="00EA2928"/>
    <w:rsid w:val="00EA2CF6"/>
    <w:rsid w:val="00EA2ED7"/>
    <w:rsid w:val="00EA32AA"/>
    <w:rsid w:val="00EA36E6"/>
    <w:rsid w:val="00EA386E"/>
    <w:rsid w:val="00EA3A25"/>
    <w:rsid w:val="00EA3CF2"/>
    <w:rsid w:val="00EA3DF3"/>
    <w:rsid w:val="00EA40CA"/>
    <w:rsid w:val="00EA412E"/>
    <w:rsid w:val="00EA43C0"/>
    <w:rsid w:val="00EA4446"/>
    <w:rsid w:val="00EA49FB"/>
    <w:rsid w:val="00EA4D8F"/>
    <w:rsid w:val="00EA5228"/>
    <w:rsid w:val="00EA5478"/>
    <w:rsid w:val="00EA5A16"/>
    <w:rsid w:val="00EA5B59"/>
    <w:rsid w:val="00EA5BA5"/>
    <w:rsid w:val="00EA5E58"/>
    <w:rsid w:val="00EA5E89"/>
    <w:rsid w:val="00EA5E93"/>
    <w:rsid w:val="00EA6142"/>
    <w:rsid w:val="00EA6749"/>
    <w:rsid w:val="00EA67EB"/>
    <w:rsid w:val="00EA67FB"/>
    <w:rsid w:val="00EA68FF"/>
    <w:rsid w:val="00EA6D02"/>
    <w:rsid w:val="00EA7187"/>
    <w:rsid w:val="00EA71BB"/>
    <w:rsid w:val="00EA740D"/>
    <w:rsid w:val="00EA7620"/>
    <w:rsid w:val="00EA76C0"/>
    <w:rsid w:val="00EA79FF"/>
    <w:rsid w:val="00EA7D7A"/>
    <w:rsid w:val="00EA7FC8"/>
    <w:rsid w:val="00EB016C"/>
    <w:rsid w:val="00EB022B"/>
    <w:rsid w:val="00EB03A1"/>
    <w:rsid w:val="00EB0625"/>
    <w:rsid w:val="00EB0716"/>
    <w:rsid w:val="00EB0A1E"/>
    <w:rsid w:val="00EB0B19"/>
    <w:rsid w:val="00EB0DCE"/>
    <w:rsid w:val="00EB0E9F"/>
    <w:rsid w:val="00EB0FDE"/>
    <w:rsid w:val="00EB116E"/>
    <w:rsid w:val="00EB1367"/>
    <w:rsid w:val="00EB139B"/>
    <w:rsid w:val="00EB1483"/>
    <w:rsid w:val="00EB14F6"/>
    <w:rsid w:val="00EB1585"/>
    <w:rsid w:val="00EB1EE0"/>
    <w:rsid w:val="00EB20CF"/>
    <w:rsid w:val="00EB22DE"/>
    <w:rsid w:val="00EB250E"/>
    <w:rsid w:val="00EB26D9"/>
    <w:rsid w:val="00EB2D4E"/>
    <w:rsid w:val="00EB3080"/>
    <w:rsid w:val="00EB30CA"/>
    <w:rsid w:val="00EB3386"/>
    <w:rsid w:val="00EB3567"/>
    <w:rsid w:val="00EB35AC"/>
    <w:rsid w:val="00EB375E"/>
    <w:rsid w:val="00EB3BDB"/>
    <w:rsid w:val="00EB3CFF"/>
    <w:rsid w:val="00EB3FD5"/>
    <w:rsid w:val="00EB4218"/>
    <w:rsid w:val="00EB43C2"/>
    <w:rsid w:val="00EB43E2"/>
    <w:rsid w:val="00EB467D"/>
    <w:rsid w:val="00EB49C7"/>
    <w:rsid w:val="00EB4DA3"/>
    <w:rsid w:val="00EB4E60"/>
    <w:rsid w:val="00EB50D1"/>
    <w:rsid w:val="00EB532A"/>
    <w:rsid w:val="00EB575A"/>
    <w:rsid w:val="00EB58A8"/>
    <w:rsid w:val="00EB5901"/>
    <w:rsid w:val="00EB5D2D"/>
    <w:rsid w:val="00EB6154"/>
    <w:rsid w:val="00EB63CA"/>
    <w:rsid w:val="00EB6695"/>
    <w:rsid w:val="00EB69E8"/>
    <w:rsid w:val="00EB6C0E"/>
    <w:rsid w:val="00EB6EB2"/>
    <w:rsid w:val="00EB6F04"/>
    <w:rsid w:val="00EB7A9B"/>
    <w:rsid w:val="00EC00A6"/>
    <w:rsid w:val="00EC01BF"/>
    <w:rsid w:val="00EC049E"/>
    <w:rsid w:val="00EC08F2"/>
    <w:rsid w:val="00EC098D"/>
    <w:rsid w:val="00EC0BD6"/>
    <w:rsid w:val="00EC1158"/>
    <w:rsid w:val="00EC156E"/>
    <w:rsid w:val="00EC1A7B"/>
    <w:rsid w:val="00EC1B04"/>
    <w:rsid w:val="00EC1C20"/>
    <w:rsid w:val="00EC1CFF"/>
    <w:rsid w:val="00EC2007"/>
    <w:rsid w:val="00EC205B"/>
    <w:rsid w:val="00EC223C"/>
    <w:rsid w:val="00EC2413"/>
    <w:rsid w:val="00EC2A1B"/>
    <w:rsid w:val="00EC2A60"/>
    <w:rsid w:val="00EC2F80"/>
    <w:rsid w:val="00EC3595"/>
    <w:rsid w:val="00EC365E"/>
    <w:rsid w:val="00EC391C"/>
    <w:rsid w:val="00EC3ACF"/>
    <w:rsid w:val="00EC3C3F"/>
    <w:rsid w:val="00EC3CC1"/>
    <w:rsid w:val="00EC3EEA"/>
    <w:rsid w:val="00EC4024"/>
    <w:rsid w:val="00EC431D"/>
    <w:rsid w:val="00EC4442"/>
    <w:rsid w:val="00EC462B"/>
    <w:rsid w:val="00EC488B"/>
    <w:rsid w:val="00EC4B4E"/>
    <w:rsid w:val="00EC4D8E"/>
    <w:rsid w:val="00EC4ECF"/>
    <w:rsid w:val="00EC504A"/>
    <w:rsid w:val="00EC5363"/>
    <w:rsid w:val="00EC5696"/>
    <w:rsid w:val="00EC5827"/>
    <w:rsid w:val="00EC59CE"/>
    <w:rsid w:val="00EC59D6"/>
    <w:rsid w:val="00EC5A0B"/>
    <w:rsid w:val="00EC5FAA"/>
    <w:rsid w:val="00EC5FD9"/>
    <w:rsid w:val="00EC6571"/>
    <w:rsid w:val="00EC69D1"/>
    <w:rsid w:val="00EC6A0E"/>
    <w:rsid w:val="00EC6D18"/>
    <w:rsid w:val="00EC7259"/>
    <w:rsid w:val="00EC757C"/>
    <w:rsid w:val="00EC75D2"/>
    <w:rsid w:val="00EC77E9"/>
    <w:rsid w:val="00EC7873"/>
    <w:rsid w:val="00EC7A91"/>
    <w:rsid w:val="00EC7B3A"/>
    <w:rsid w:val="00EC7EC3"/>
    <w:rsid w:val="00ED0769"/>
    <w:rsid w:val="00ED0869"/>
    <w:rsid w:val="00ED0AB7"/>
    <w:rsid w:val="00ED1261"/>
    <w:rsid w:val="00ED16D2"/>
    <w:rsid w:val="00ED1BB1"/>
    <w:rsid w:val="00ED1E96"/>
    <w:rsid w:val="00ED2279"/>
    <w:rsid w:val="00ED237F"/>
    <w:rsid w:val="00ED2405"/>
    <w:rsid w:val="00ED2B77"/>
    <w:rsid w:val="00ED2EB9"/>
    <w:rsid w:val="00ED2F9C"/>
    <w:rsid w:val="00ED387E"/>
    <w:rsid w:val="00ED3AFD"/>
    <w:rsid w:val="00ED3C7F"/>
    <w:rsid w:val="00ED3CA1"/>
    <w:rsid w:val="00ED3E96"/>
    <w:rsid w:val="00ED3FC7"/>
    <w:rsid w:val="00ED4631"/>
    <w:rsid w:val="00ED4A20"/>
    <w:rsid w:val="00ED4FEC"/>
    <w:rsid w:val="00ED4FF6"/>
    <w:rsid w:val="00ED50CD"/>
    <w:rsid w:val="00ED519A"/>
    <w:rsid w:val="00ED5369"/>
    <w:rsid w:val="00ED5392"/>
    <w:rsid w:val="00ED571B"/>
    <w:rsid w:val="00ED58A6"/>
    <w:rsid w:val="00ED5BD7"/>
    <w:rsid w:val="00ED5D1E"/>
    <w:rsid w:val="00ED6342"/>
    <w:rsid w:val="00ED65BF"/>
    <w:rsid w:val="00ED6B28"/>
    <w:rsid w:val="00ED6EFB"/>
    <w:rsid w:val="00ED6FE5"/>
    <w:rsid w:val="00ED7102"/>
    <w:rsid w:val="00ED713C"/>
    <w:rsid w:val="00ED73A8"/>
    <w:rsid w:val="00ED7547"/>
    <w:rsid w:val="00ED797C"/>
    <w:rsid w:val="00ED79EE"/>
    <w:rsid w:val="00ED7F83"/>
    <w:rsid w:val="00EE05E2"/>
    <w:rsid w:val="00EE06FF"/>
    <w:rsid w:val="00EE0818"/>
    <w:rsid w:val="00EE0AF7"/>
    <w:rsid w:val="00EE0F5C"/>
    <w:rsid w:val="00EE11A7"/>
    <w:rsid w:val="00EE12AB"/>
    <w:rsid w:val="00EE15C9"/>
    <w:rsid w:val="00EE18B4"/>
    <w:rsid w:val="00EE18EC"/>
    <w:rsid w:val="00EE1BE1"/>
    <w:rsid w:val="00EE1F04"/>
    <w:rsid w:val="00EE23F8"/>
    <w:rsid w:val="00EE2A88"/>
    <w:rsid w:val="00EE3231"/>
    <w:rsid w:val="00EE3461"/>
    <w:rsid w:val="00EE3626"/>
    <w:rsid w:val="00EE3AFD"/>
    <w:rsid w:val="00EE3B5F"/>
    <w:rsid w:val="00EE3EDB"/>
    <w:rsid w:val="00EE42E5"/>
    <w:rsid w:val="00EE44BC"/>
    <w:rsid w:val="00EE472C"/>
    <w:rsid w:val="00EE48EC"/>
    <w:rsid w:val="00EE4B30"/>
    <w:rsid w:val="00EE4EA7"/>
    <w:rsid w:val="00EE511C"/>
    <w:rsid w:val="00EE516A"/>
    <w:rsid w:val="00EE563C"/>
    <w:rsid w:val="00EE567C"/>
    <w:rsid w:val="00EE5939"/>
    <w:rsid w:val="00EE5A8C"/>
    <w:rsid w:val="00EE602F"/>
    <w:rsid w:val="00EE6271"/>
    <w:rsid w:val="00EE6CBF"/>
    <w:rsid w:val="00EE7256"/>
    <w:rsid w:val="00EE760B"/>
    <w:rsid w:val="00EE7AC9"/>
    <w:rsid w:val="00EE7D15"/>
    <w:rsid w:val="00EF01DB"/>
    <w:rsid w:val="00EF0519"/>
    <w:rsid w:val="00EF0831"/>
    <w:rsid w:val="00EF08B6"/>
    <w:rsid w:val="00EF0D9F"/>
    <w:rsid w:val="00EF0F76"/>
    <w:rsid w:val="00EF0F7E"/>
    <w:rsid w:val="00EF0FCE"/>
    <w:rsid w:val="00EF15B9"/>
    <w:rsid w:val="00EF18BE"/>
    <w:rsid w:val="00EF18C1"/>
    <w:rsid w:val="00EF1A6F"/>
    <w:rsid w:val="00EF1C9D"/>
    <w:rsid w:val="00EF1DEE"/>
    <w:rsid w:val="00EF1E3D"/>
    <w:rsid w:val="00EF1FCF"/>
    <w:rsid w:val="00EF231D"/>
    <w:rsid w:val="00EF2F5E"/>
    <w:rsid w:val="00EF39FA"/>
    <w:rsid w:val="00EF3DE5"/>
    <w:rsid w:val="00EF3E92"/>
    <w:rsid w:val="00EF3EF6"/>
    <w:rsid w:val="00EF47D6"/>
    <w:rsid w:val="00EF4DC6"/>
    <w:rsid w:val="00EF4DDA"/>
    <w:rsid w:val="00EF53B8"/>
    <w:rsid w:val="00EF540B"/>
    <w:rsid w:val="00EF5449"/>
    <w:rsid w:val="00EF5764"/>
    <w:rsid w:val="00EF65B9"/>
    <w:rsid w:val="00EF6741"/>
    <w:rsid w:val="00EF67AB"/>
    <w:rsid w:val="00EF6987"/>
    <w:rsid w:val="00EF6C17"/>
    <w:rsid w:val="00EF6C49"/>
    <w:rsid w:val="00EF7094"/>
    <w:rsid w:val="00EF70C3"/>
    <w:rsid w:val="00EF7248"/>
    <w:rsid w:val="00EF72B4"/>
    <w:rsid w:val="00EF7525"/>
    <w:rsid w:val="00EF7527"/>
    <w:rsid w:val="00EF7BBE"/>
    <w:rsid w:val="00EF7BCE"/>
    <w:rsid w:val="00EF7C39"/>
    <w:rsid w:val="00EF7F00"/>
    <w:rsid w:val="00F007F8"/>
    <w:rsid w:val="00F00984"/>
    <w:rsid w:val="00F011ED"/>
    <w:rsid w:val="00F014A5"/>
    <w:rsid w:val="00F014B8"/>
    <w:rsid w:val="00F01596"/>
    <w:rsid w:val="00F0173B"/>
    <w:rsid w:val="00F0195C"/>
    <w:rsid w:val="00F01CC9"/>
    <w:rsid w:val="00F02305"/>
    <w:rsid w:val="00F02495"/>
    <w:rsid w:val="00F026C7"/>
    <w:rsid w:val="00F02ACC"/>
    <w:rsid w:val="00F02AD3"/>
    <w:rsid w:val="00F02E8A"/>
    <w:rsid w:val="00F02F56"/>
    <w:rsid w:val="00F031B9"/>
    <w:rsid w:val="00F03310"/>
    <w:rsid w:val="00F03674"/>
    <w:rsid w:val="00F03724"/>
    <w:rsid w:val="00F0382C"/>
    <w:rsid w:val="00F03847"/>
    <w:rsid w:val="00F03ECA"/>
    <w:rsid w:val="00F03EFB"/>
    <w:rsid w:val="00F0416D"/>
    <w:rsid w:val="00F047CA"/>
    <w:rsid w:val="00F049B8"/>
    <w:rsid w:val="00F04D15"/>
    <w:rsid w:val="00F04D3B"/>
    <w:rsid w:val="00F05428"/>
    <w:rsid w:val="00F0543B"/>
    <w:rsid w:val="00F059CB"/>
    <w:rsid w:val="00F05CFA"/>
    <w:rsid w:val="00F06653"/>
    <w:rsid w:val="00F0667A"/>
    <w:rsid w:val="00F077C3"/>
    <w:rsid w:val="00F07922"/>
    <w:rsid w:val="00F07B5D"/>
    <w:rsid w:val="00F10192"/>
    <w:rsid w:val="00F102F1"/>
    <w:rsid w:val="00F10357"/>
    <w:rsid w:val="00F10583"/>
    <w:rsid w:val="00F105A0"/>
    <w:rsid w:val="00F10989"/>
    <w:rsid w:val="00F10A65"/>
    <w:rsid w:val="00F10D30"/>
    <w:rsid w:val="00F1107D"/>
    <w:rsid w:val="00F11110"/>
    <w:rsid w:val="00F1121F"/>
    <w:rsid w:val="00F11724"/>
    <w:rsid w:val="00F118A2"/>
    <w:rsid w:val="00F119EB"/>
    <w:rsid w:val="00F11E67"/>
    <w:rsid w:val="00F120E5"/>
    <w:rsid w:val="00F12254"/>
    <w:rsid w:val="00F123A4"/>
    <w:rsid w:val="00F124B6"/>
    <w:rsid w:val="00F124F2"/>
    <w:rsid w:val="00F129B1"/>
    <w:rsid w:val="00F12C82"/>
    <w:rsid w:val="00F12D24"/>
    <w:rsid w:val="00F12EC8"/>
    <w:rsid w:val="00F12F07"/>
    <w:rsid w:val="00F13680"/>
    <w:rsid w:val="00F13979"/>
    <w:rsid w:val="00F1436C"/>
    <w:rsid w:val="00F145CB"/>
    <w:rsid w:val="00F149D6"/>
    <w:rsid w:val="00F14A65"/>
    <w:rsid w:val="00F14BF2"/>
    <w:rsid w:val="00F14FB6"/>
    <w:rsid w:val="00F153B6"/>
    <w:rsid w:val="00F15453"/>
    <w:rsid w:val="00F155CA"/>
    <w:rsid w:val="00F15A3D"/>
    <w:rsid w:val="00F15E68"/>
    <w:rsid w:val="00F15F40"/>
    <w:rsid w:val="00F16376"/>
    <w:rsid w:val="00F163FC"/>
    <w:rsid w:val="00F1676E"/>
    <w:rsid w:val="00F16774"/>
    <w:rsid w:val="00F16C09"/>
    <w:rsid w:val="00F16C54"/>
    <w:rsid w:val="00F17212"/>
    <w:rsid w:val="00F1730A"/>
    <w:rsid w:val="00F17610"/>
    <w:rsid w:val="00F17E38"/>
    <w:rsid w:val="00F20B4B"/>
    <w:rsid w:val="00F20EFE"/>
    <w:rsid w:val="00F216A7"/>
    <w:rsid w:val="00F216F4"/>
    <w:rsid w:val="00F21E84"/>
    <w:rsid w:val="00F22621"/>
    <w:rsid w:val="00F22AB0"/>
    <w:rsid w:val="00F22EB4"/>
    <w:rsid w:val="00F2320F"/>
    <w:rsid w:val="00F2333B"/>
    <w:rsid w:val="00F23536"/>
    <w:rsid w:val="00F238E9"/>
    <w:rsid w:val="00F239D1"/>
    <w:rsid w:val="00F23B0A"/>
    <w:rsid w:val="00F2443B"/>
    <w:rsid w:val="00F24659"/>
    <w:rsid w:val="00F247F7"/>
    <w:rsid w:val="00F2480F"/>
    <w:rsid w:val="00F249F5"/>
    <w:rsid w:val="00F24A2C"/>
    <w:rsid w:val="00F24B1F"/>
    <w:rsid w:val="00F24C6D"/>
    <w:rsid w:val="00F24D28"/>
    <w:rsid w:val="00F24EC6"/>
    <w:rsid w:val="00F252F5"/>
    <w:rsid w:val="00F25720"/>
    <w:rsid w:val="00F25B11"/>
    <w:rsid w:val="00F25CDA"/>
    <w:rsid w:val="00F25FD4"/>
    <w:rsid w:val="00F2608C"/>
    <w:rsid w:val="00F26B1C"/>
    <w:rsid w:val="00F26B9A"/>
    <w:rsid w:val="00F27703"/>
    <w:rsid w:val="00F27AA3"/>
    <w:rsid w:val="00F30158"/>
    <w:rsid w:val="00F30205"/>
    <w:rsid w:val="00F30AF4"/>
    <w:rsid w:val="00F30BAB"/>
    <w:rsid w:val="00F30F77"/>
    <w:rsid w:val="00F31184"/>
    <w:rsid w:val="00F3141C"/>
    <w:rsid w:val="00F31A9D"/>
    <w:rsid w:val="00F3260F"/>
    <w:rsid w:val="00F3274E"/>
    <w:rsid w:val="00F3289F"/>
    <w:rsid w:val="00F329A6"/>
    <w:rsid w:val="00F32A86"/>
    <w:rsid w:val="00F32B44"/>
    <w:rsid w:val="00F32B94"/>
    <w:rsid w:val="00F32BF7"/>
    <w:rsid w:val="00F32C93"/>
    <w:rsid w:val="00F32D8A"/>
    <w:rsid w:val="00F33D67"/>
    <w:rsid w:val="00F340E6"/>
    <w:rsid w:val="00F34170"/>
    <w:rsid w:val="00F342A1"/>
    <w:rsid w:val="00F34797"/>
    <w:rsid w:val="00F3490E"/>
    <w:rsid w:val="00F34F0F"/>
    <w:rsid w:val="00F34FE9"/>
    <w:rsid w:val="00F3504C"/>
    <w:rsid w:val="00F35505"/>
    <w:rsid w:val="00F35BB7"/>
    <w:rsid w:val="00F35D50"/>
    <w:rsid w:val="00F361EC"/>
    <w:rsid w:val="00F3671D"/>
    <w:rsid w:val="00F36888"/>
    <w:rsid w:val="00F36A1C"/>
    <w:rsid w:val="00F36E07"/>
    <w:rsid w:val="00F3717A"/>
    <w:rsid w:val="00F372B9"/>
    <w:rsid w:val="00F372C6"/>
    <w:rsid w:val="00F375F5"/>
    <w:rsid w:val="00F3783C"/>
    <w:rsid w:val="00F37C43"/>
    <w:rsid w:val="00F37E75"/>
    <w:rsid w:val="00F4002A"/>
    <w:rsid w:val="00F402B5"/>
    <w:rsid w:val="00F40ABD"/>
    <w:rsid w:val="00F40C87"/>
    <w:rsid w:val="00F40FF1"/>
    <w:rsid w:val="00F411DA"/>
    <w:rsid w:val="00F41412"/>
    <w:rsid w:val="00F41634"/>
    <w:rsid w:val="00F41843"/>
    <w:rsid w:val="00F418B7"/>
    <w:rsid w:val="00F41B7B"/>
    <w:rsid w:val="00F41C29"/>
    <w:rsid w:val="00F41F9D"/>
    <w:rsid w:val="00F42042"/>
    <w:rsid w:val="00F421E7"/>
    <w:rsid w:val="00F423B9"/>
    <w:rsid w:val="00F42BE0"/>
    <w:rsid w:val="00F42C5C"/>
    <w:rsid w:val="00F42D92"/>
    <w:rsid w:val="00F42DC4"/>
    <w:rsid w:val="00F42ED1"/>
    <w:rsid w:val="00F437F4"/>
    <w:rsid w:val="00F43892"/>
    <w:rsid w:val="00F438DB"/>
    <w:rsid w:val="00F43BD5"/>
    <w:rsid w:val="00F43DE6"/>
    <w:rsid w:val="00F4418E"/>
    <w:rsid w:val="00F44300"/>
    <w:rsid w:val="00F4433B"/>
    <w:rsid w:val="00F44579"/>
    <w:rsid w:val="00F445FC"/>
    <w:rsid w:val="00F44BAB"/>
    <w:rsid w:val="00F44D6E"/>
    <w:rsid w:val="00F45046"/>
    <w:rsid w:val="00F450AF"/>
    <w:rsid w:val="00F45654"/>
    <w:rsid w:val="00F45883"/>
    <w:rsid w:val="00F45CD7"/>
    <w:rsid w:val="00F45E06"/>
    <w:rsid w:val="00F460EA"/>
    <w:rsid w:val="00F461A6"/>
    <w:rsid w:val="00F461D8"/>
    <w:rsid w:val="00F464EB"/>
    <w:rsid w:val="00F466D5"/>
    <w:rsid w:val="00F46C2F"/>
    <w:rsid w:val="00F46C3C"/>
    <w:rsid w:val="00F46C5D"/>
    <w:rsid w:val="00F46FD4"/>
    <w:rsid w:val="00F4713F"/>
    <w:rsid w:val="00F47142"/>
    <w:rsid w:val="00F471BA"/>
    <w:rsid w:val="00F47235"/>
    <w:rsid w:val="00F47383"/>
    <w:rsid w:val="00F478B4"/>
    <w:rsid w:val="00F47A4E"/>
    <w:rsid w:val="00F47AD3"/>
    <w:rsid w:val="00F47F92"/>
    <w:rsid w:val="00F47FBD"/>
    <w:rsid w:val="00F50134"/>
    <w:rsid w:val="00F504AB"/>
    <w:rsid w:val="00F5067A"/>
    <w:rsid w:val="00F507B1"/>
    <w:rsid w:val="00F50A96"/>
    <w:rsid w:val="00F50F36"/>
    <w:rsid w:val="00F51357"/>
    <w:rsid w:val="00F5171D"/>
    <w:rsid w:val="00F51798"/>
    <w:rsid w:val="00F51D28"/>
    <w:rsid w:val="00F51E33"/>
    <w:rsid w:val="00F51F1E"/>
    <w:rsid w:val="00F524CD"/>
    <w:rsid w:val="00F5272F"/>
    <w:rsid w:val="00F527BC"/>
    <w:rsid w:val="00F52D9B"/>
    <w:rsid w:val="00F52F32"/>
    <w:rsid w:val="00F52F36"/>
    <w:rsid w:val="00F530A9"/>
    <w:rsid w:val="00F5327A"/>
    <w:rsid w:val="00F54016"/>
    <w:rsid w:val="00F54218"/>
    <w:rsid w:val="00F544F6"/>
    <w:rsid w:val="00F5454B"/>
    <w:rsid w:val="00F54624"/>
    <w:rsid w:val="00F5479A"/>
    <w:rsid w:val="00F54894"/>
    <w:rsid w:val="00F548D1"/>
    <w:rsid w:val="00F54D6D"/>
    <w:rsid w:val="00F5530E"/>
    <w:rsid w:val="00F553EA"/>
    <w:rsid w:val="00F55A99"/>
    <w:rsid w:val="00F55C56"/>
    <w:rsid w:val="00F55E26"/>
    <w:rsid w:val="00F56083"/>
    <w:rsid w:val="00F5627D"/>
    <w:rsid w:val="00F56738"/>
    <w:rsid w:val="00F56775"/>
    <w:rsid w:val="00F569A7"/>
    <w:rsid w:val="00F569E5"/>
    <w:rsid w:val="00F56A06"/>
    <w:rsid w:val="00F574AC"/>
    <w:rsid w:val="00F579AB"/>
    <w:rsid w:val="00F57B39"/>
    <w:rsid w:val="00F57BFB"/>
    <w:rsid w:val="00F57DDD"/>
    <w:rsid w:val="00F57DE4"/>
    <w:rsid w:val="00F601F6"/>
    <w:rsid w:val="00F60547"/>
    <w:rsid w:val="00F60648"/>
    <w:rsid w:val="00F60780"/>
    <w:rsid w:val="00F608C1"/>
    <w:rsid w:val="00F60EA6"/>
    <w:rsid w:val="00F61053"/>
    <w:rsid w:val="00F614EB"/>
    <w:rsid w:val="00F61893"/>
    <w:rsid w:val="00F61B04"/>
    <w:rsid w:val="00F61BCE"/>
    <w:rsid w:val="00F61C88"/>
    <w:rsid w:val="00F624FA"/>
    <w:rsid w:val="00F6273E"/>
    <w:rsid w:val="00F6283A"/>
    <w:rsid w:val="00F62890"/>
    <w:rsid w:val="00F62EA6"/>
    <w:rsid w:val="00F632DB"/>
    <w:rsid w:val="00F63513"/>
    <w:rsid w:val="00F6367A"/>
    <w:rsid w:val="00F637E7"/>
    <w:rsid w:val="00F638CC"/>
    <w:rsid w:val="00F63A8E"/>
    <w:rsid w:val="00F63F1A"/>
    <w:rsid w:val="00F64289"/>
    <w:rsid w:val="00F64A8C"/>
    <w:rsid w:val="00F64AEC"/>
    <w:rsid w:val="00F64C94"/>
    <w:rsid w:val="00F64D7F"/>
    <w:rsid w:val="00F650B0"/>
    <w:rsid w:val="00F65186"/>
    <w:rsid w:val="00F65916"/>
    <w:rsid w:val="00F65DE5"/>
    <w:rsid w:val="00F65E8C"/>
    <w:rsid w:val="00F65F81"/>
    <w:rsid w:val="00F6635C"/>
    <w:rsid w:val="00F667BD"/>
    <w:rsid w:val="00F67266"/>
    <w:rsid w:val="00F672D8"/>
    <w:rsid w:val="00F673DC"/>
    <w:rsid w:val="00F67578"/>
    <w:rsid w:val="00F67B0F"/>
    <w:rsid w:val="00F67F75"/>
    <w:rsid w:val="00F7076A"/>
    <w:rsid w:val="00F70843"/>
    <w:rsid w:val="00F70B78"/>
    <w:rsid w:val="00F70CA4"/>
    <w:rsid w:val="00F70FAF"/>
    <w:rsid w:val="00F70FBD"/>
    <w:rsid w:val="00F71044"/>
    <w:rsid w:val="00F713AD"/>
    <w:rsid w:val="00F71A9F"/>
    <w:rsid w:val="00F71C66"/>
    <w:rsid w:val="00F7231A"/>
    <w:rsid w:val="00F7273F"/>
    <w:rsid w:val="00F728D7"/>
    <w:rsid w:val="00F72A7F"/>
    <w:rsid w:val="00F737BD"/>
    <w:rsid w:val="00F73B1B"/>
    <w:rsid w:val="00F74135"/>
    <w:rsid w:val="00F74275"/>
    <w:rsid w:val="00F74539"/>
    <w:rsid w:val="00F74595"/>
    <w:rsid w:val="00F745F7"/>
    <w:rsid w:val="00F7492D"/>
    <w:rsid w:val="00F7552B"/>
    <w:rsid w:val="00F758D8"/>
    <w:rsid w:val="00F75A16"/>
    <w:rsid w:val="00F75B38"/>
    <w:rsid w:val="00F75F5D"/>
    <w:rsid w:val="00F760E8"/>
    <w:rsid w:val="00F76110"/>
    <w:rsid w:val="00F763B3"/>
    <w:rsid w:val="00F763FD"/>
    <w:rsid w:val="00F7653F"/>
    <w:rsid w:val="00F768B9"/>
    <w:rsid w:val="00F76BE7"/>
    <w:rsid w:val="00F773C1"/>
    <w:rsid w:val="00F77BC9"/>
    <w:rsid w:val="00F77DBE"/>
    <w:rsid w:val="00F800C9"/>
    <w:rsid w:val="00F80727"/>
    <w:rsid w:val="00F81179"/>
    <w:rsid w:val="00F81200"/>
    <w:rsid w:val="00F81A17"/>
    <w:rsid w:val="00F826B7"/>
    <w:rsid w:val="00F8271C"/>
    <w:rsid w:val="00F8275D"/>
    <w:rsid w:val="00F82A35"/>
    <w:rsid w:val="00F82E4C"/>
    <w:rsid w:val="00F82F1D"/>
    <w:rsid w:val="00F82F51"/>
    <w:rsid w:val="00F8369F"/>
    <w:rsid w:val="00F83761"/>
    <w:rsid w:val="00F83F7A"/>
    <w:rsid w:val="00F8420C"/>
    <w:rsid w:val="00F843BE"/>
    <w:rsid w:val="00F84691"/>
    <w:rsid w:val="00F8490F"/>
    <w:rsid w:val="00F84941"/>
    <w:rsid w:val="00F84A50"/>
    <w:rsid w:val="00F84CEC"/>
    <w:rsid w:val="00F84D1D"/>
    <w:rsid w:val="00F84D46"/>
    <w:rsid w:val="00F85235"/>
    <w:rsid w:val="00F8584B"/>
    <w:rsid w:val="00F85B28"/>
    <w:rsid w:val="00F85DCA"/>
    <w:rsid w:val="00F860F0"/>
    <w:rsid w:val="00F86292"/>
    <w:rsid w:val="00F86BA3"/>
    <w:rsid w:val="00F86FE0"/>
    <w:rsid w:val="00F87246"/>
    <w:rsid w:val="00F87AF5"/>
    <w:rsid w:val="00F87E9C"/>
    <w:rsid w:val="00F902DF"/>
    <w:rsid w:val="00F90587"/>
    <w:rsid w:val="00F905A3"/>
    <w:rsid w:val="00F90694"/>
    <w:rsid w:val="00F909B0"/>
    <w:rsid w:val="00F912DF"/>
    <w:rsid w:val="00F915C1"/>
    <w:rsid w:val="00F9175E"/>
    <w:rsid w:val="00F91C8E"/>
    <w:rsid w:val="00F91F08"/>
    <w:rsid w:val="00F920BE"/>
    <w:rsid w:val="00F9225C"/>
    <w:rsid w:val="00F9279D"/>
    <w:rsid w:val="00F927A1"/>
    <w:rsid w:val="00F92A16"/>
    <w:rsid w:val="00F9310F"/>
    <w:rsid w:val="00F93299"/>
    <w:rsid w:val="00F93397"/>
    <w:rsid w:val="00F935C0"/>
    <w:rsid w:val="00F938B0"/>
    <w:rsid w:val="00F93BB0"/>
    <w:rsid w:val="00F93D94"/>
    <w:rsid w:val="00F93F11"/>
    <w:rsid w:val="00F9420E"/>
    <w:rsid w:val="00F944AB"/>
    <w:rsid w:val="00F94588"/>
    <w:rsid w:val="00F94719"/>
    <w:rsid w:val="00F9476C"/>
    <w:rsid w:val="00F9485D"/>
    <w:rsid w:val="00F948E0"/>
    <w:rsid w:val="00F94989"/>
    <w:rsid w:val="00F94B53"/>
    <w:rsid w:val="00F94C9C"/>
    <w:rsid w:val="00F94E51"/>
    <w:rsid w:val="00F94E94"/>
    <w:rsid w:val="00F94EB9"/>
    <w:rsid w:val="00F9526F"/>
    <w:rsid w:val="00F955E1"/>
    <w:rsid w:val="00F95631"/>
    <w:rsid w:val="00F958FF"/>
    <w:rsid w:val="00F9592C"/>
    <w:rsid w:val="00F95CC5"/>
    <w:rsid w:val="00F95D77"/>
    <w:rsid w:val="00F95FD5"/>
    <w:rsid w:val="00F96030"/>
    <w:rsid w:val="00F967AB"/>
    <w:rsid w:val="00F96C65"/>
    <w:rsid w:val="00F96FE9"/>
    <w:rsid w:val="00F977FB"/>
    <w:rsid w:val="00F97935"/>
    <w:rsid w:val="00F97C7D"/>
    <w:rsid w:val="00F97D56"/>
    <w:rsid w:val="00F97E7F"/>
    <w:rsid w:val="00F97E87"/>
    <w:rsid w:val="00F97E88"/>
    <w:rsid w:val="00FA008C"/>
    <w:rsid w:val="00FA01EE"/>
    <w:rsid w:val="00FA0209"/>
    <w:rsid w:val="00FA05A5"/>
    <w:rsid w:val="00FA0773"/>
    <w:rsid w:val="00FA11ED"/>
    <w:rsid w:val="00FA123F"/>
    <w:rsid w:val="00FA1671"/>
    <w:rsid w:val="00FA1743"/>
    <w:rsid w:val="00FA17DF"/>
    <w:rsid w:val="00FA1814"/>
    <w:rsid w:val="00FA1A49"/>
    <w:rsid w:val="00FA1A52"/>
    <w:rsid w:val="00FA1B13"/>
    <w:rsid w:val="00FA1DCB"/>
    <w:rsid w:val="00FA1E7C"/>
    <w:rsid w:val="00FA1E95"/>
    <w:rsid w:val="00FA1EB2"/>
    <w:rsid w:val="00FA2658"/>
    <w:rsid w:val="00FA2C54"/>
    <w:rsid w:val="00FA2C80"/>
    <w:rsid w:val="00FA324E"/>
    <w:rsid w:val="00FA34B7"/>
    <w:rsid w:val="00FA3835"/>
    <w:rsid w:val="00FA3BDD"/>
    <w:rsid w:val="00FA3EFF"/>
    <w:rsid w:val="00FA4C57"/>
    <w:rsid w:val="00FA545F"/>
    <w:rsid w:val="00FA5503"/>
    <w:rsid w:val="00FA5770"/>
    <w:rsid w:val="00FA59D9"/>
    <w:rsid w:val="00FA5B3E"/>
    <w:rsid w:val="00FA5E68"/>
    <w:rsid w:val="00FA6105"/>
    <w:rsid w:val="00FA641D"/>
    <w:rsid w:val="00FA6A9A"/>
    <w:rsid w:val="00FA701E"/>
    <w:rsid w:val="00FA72A9"/>
    <w:rsid w:val="00FA737A"/>
    <w:rsid w:val="00FA74CD"/>
    <w:rsid w:val="00FA7AC2"/>
    <w:rsid w:val="00FB03A7"/>
    <w:rsid w:val="00FB04D1"/>
    <w:rsid w:val="00FB098D"/>
    <w:rsid w:val="00FB09AB"/>
    <w:rsid w:val="00FB0E6F"/>
    <w:rsid w:val="00FB0EF6"/>
    <w:rsid w:val="00FB0F9A"/>
    <w:rsid w:val="00FB0FD4"/>
    <w:rsid w:val="00FB12D8"/>
    <w:rsid w:val="00FB12FB"/>
    <w:rsid w:val="00FB1699"/>
    <w:rsid w:val="00FB16F9"/>
    <w:rsid w:val="00FB1AED"/>
    <w:rsid w:val="00FB1BB9"/>
    <w:rsid w:val="00FB1E58"/>
    <w:rsid w:val="00FB1F2A"/>
    <w:rsid w:val="00FB2740"/>
    <w:rsid w:val="00FB2A86"/>
    <w:rsid w:val="00FB2C90"/>
    <w:rsid w:val="00FB2DFA"/>
    <w:rsid w:val="00FB35BE"/>
    <w:rsid w:val="00FB3794"/>
    <w:rsid w:val="00FB37A1"/>
    <w:rsid w:val="00FB3920"/>
    <w:rsid w:val="00FB4444"/>
    <w:rsid w:val="00FB4489"/>
    <w:rsid w:val="00FB4789"/>
    <w:rsid w:val="00FB4C13"/>
    <w:rsid w:val="00FB4DAD"/>
    <w:rsid w:val="00FB4E99"/>
    <w:rsid w:val="00FB4F96"/>
    <w:rsid w:val="00FB5149"/>
    <w:rsid w:val="00FB52D9"/>
    <w:rsid w:val="00FB5543"/>
    <w:rsid w:val="00FB565F"/>
    <w:rsid w:val="00FB60B3"/>
    <w:rsid w:val="00FB63B1"/>
    <w:rsid w:val="00FB6476"/>
    <w:rsid w:val="00FB6A53"/>
    <w:rsid w:val="00FB6BC0"/>
    <w:rsid w:val="00FB6C6F"/>
    <w:rsid w:val="00FB6D96"/>
    <w:rsid w:val="00FB728C"/>
    <w:rsid w:val="00FB743C"/>
    <w:rsid w:val="00FB7510"/>
    <w:rsid w:val="00FB7547"/>
    <w:rsid w:val="00FB77D8"/>
    <w:rsid w:val="00FB7A2A"/>
    <w:rsid w:val="00FB7E87"/>
    <w:rsid w:val="00FC00AF"/>
    <w:rsid w:val="00FC04BE"/>
    <w:rsid w:val="00FC04E8"/>
    <w:rsid w:val="00FC078F"/>
    <w:rsid w:val="00FC09FC"/>
    <w:rsid w:val="00FC0A8F"/>
    <w:rsid w:val="00FC1349"/>
    <w:rsid w:val="00FC155D"/>
    <w:rsid w:val="00FC1722"/>
    <w:rsid w:val="00FC18C5"/>
    <w:rsid w:val="00FC1C5B"/>
    <w:rsid w:val="00FC1C76"/>
    <w:rsid w:val="00FC1FA0"/>
    <w:rsid w:val="00FC22F0"/>
    <w:rsid w:val="00FC264D"/>
    <w:rsid w:val="00FC28AE"/>
    <w:rsid w:val="00FC2AA4"/>
    <w:rsid w:val="00FC2C9C"/>
    <w:rsid w:val="00FC3143"/>
    <w:rsid w:val="00FC330A"/>
    <w:rsid w:val="00FC390B"/>
    <w:rsid w:val="00FC3DC9"/>
    <w:rsid w:val="00FC3E8C"/>
    <w:rsid w:val="00FC3FA9"/>
    <w:rsid w:val="00FC4293"/>
    <w:rsid w:val="00FC42A7"/>
    <w:rsid w:val="00FC4B49"/>
    <w:rsid w:val="00FC5063"/>
    <w:rsid w:val="00FC521A"/>
    <w:rsid w:val="00FC530C"/>
    <w:rsid w:val="00FC54E1"/>
    <w:rsid w:val="00FC59C6"/>
    <w:rsid w:val="00FC5A35"/>
    <w:rsid w:val="00FC5C1D"/>
    <w:rsid w:val="00FC610A"/>
    <w:rsid w:val="00FC64D3"/>
    <w:rsid w:val="00FC6948"/>
    <w:rsid w:val="00FC69D5"/>
    <w:rsid w:val="00FC6B58"/>
    <w:rsid w:val="00FC6E61"/>
    <w:rsid w:val="00FC701E"/>
    <w:rsid w:val="00FC733E"/>
    <w:rsid w:val="00FC7385"/>
    <w:rsid w:val="00FC75B1"/>
    <w:rsid w:val="00FC7B09"/>
    <w:rsid w:val="00FC7BA1"/>
    <w:rsid w:val="00FC7DE9"/>
    <w:rsid w:val="00FD0395"/>
    <w:rsid w:val="00FD082A"/>
    <w:rsid w:val="00FD0958"/>
    <w:rsid w:val="00FD0B11"/>
    <w:rsid w:val="00FD0F72"/>
    <w:rsid w:val="00FD1A26"/>
    <w:rsid w:val="00FD1FF5"/>
    <w:rsid w:val="00FD2095"/>
    <w:rsid w:val="00FD2241"/>
    <w:rsid w:val="00FD2C67"/>
    <w:rsid w:val="00FD3475"/>
    <w:rsid w:val="00FD3623"/>
    <w:rsid w:val="00FD367E"/>
    <w:rsid w:val="00FD3A65"/>
    <w:rsid w:val="00FD3ABE"/>
    <w:rsid w:val="00FD3E53"/>
    <w:rsid w:val="00FD3EDC"/>
    <w:rsid w:val="00FD402B"/>
    <w:rsid w:val="00FD457D"/>
    <w:rsid w:val="00FD4B41"/>
    <w:rsid w:val="00FD5091"/>
    <w:rsid w:val="00FD5151"/>
    <w:rsid w:val="00FD545A"/>
    <w:rsid w:val="00FD56F4"/>
    <w:rsid w:val="00FD5D18"/>
    <w:rsid w:val="00FD610E"/>
    <w:rsid w:val="00FD6481"/>
    <w:rsid w:val="00FD666E"/>
    <w:rsid w:val="00FD6D07"/>
    <w:rsid w:val="00FD70A5"/>
    <w:rsid w:val="00FD7353"/>
    <w:rsid w:val="00FD74DC"/>
    <w:rsid w:val="00FD76FB"/>
    <w:rsid w:val="00FD7A30"/>
    <w:rsid w:val="00FD7B02"/>
    <w:rsid w:val="00FD7D73"/>
    <w:rsid w:val="00FD7DEA"/>
    <w:rsid w:val="00FE0160"/>
    <w:rsid w:val="00FE0224"/>
    <w:rsid w:val="00FE0E44"/>
    <w:rsid w:val="00FE12F6"/>
    <w:rsid w:val="00FE162F"/>
    <w:rsid w:val="00FE176B"/>
    <w:rsid w:val="00FE184A"/>
    <w:rsid w:val="00FE1D24"/>
    <w:rsid w:val="00FE2115"/>
    <w:rsid w:val="00FE22DD"/>
    <w:rsid w:val="00FE24FB"/>
    <w:rsid w:val="00FE2B00"/>
    <w:rsid w:val="00FE2E31"/>
    <w:rsid w:val="00FE34A7"/>
    <w:rsid w:val="00FE353E"/>
    <w:rsid w:val="00FE3AD6"/>
    <w:rsid w:val="00FE3B82"/>
    <w:rsid w:val="00FE3BD9"/>
    <w:rsid w:val="00FE451D"/>
    <w:rsid w:val="00FE4AEE"/>
    <w:rsid w:val="00FE4C2F"/>
    <w:rsid w:val="00FE4EAC"/>
    <w:rsid w:val="00FE4F39"/>
    <w:rsid w:val="00FE4F6A"/>
    <w:rsid w:val="00FE525C"/>
    <w:rsid w:val="00FE5280"/>
    <w:rsid w:val="00FE52E7"/>
    <w:rsid w:val="00FE582F"/>
    <w:rsid w:val="00FE5CA3"/>
    <w:rsid w:val="00FE5EBA"/>
    <w:rsid w:val="00FE5F46"/>
    <w:rsid w:val="00FE603B"/>
    <w:rsid w:val="00FE6306"/>
    <w:rsid w:val="00FE6356"/>
    <w:rsid w:val="00FE6710"/>
    <w:rsid w:val="00FE675A"/>
    <w:rsid w:val="00FE6AC0"/>
    <w:rsid w:val="00FE6ECD"/>
    <w:rsid w:val="00FE72F8"/>
    <w:rsid w:val="00FE79C7"/>
    <w:rsid w:val="00FE7B87"/>
    <w:rsid w:val="00FF00BC"/>
    <w:rsid w:val="00FF0141"/>
    <w:rsid w:val="00FF03AC"/>
    <w:rsid w:val="00FF0D06"/>
    <w:rsid w:val="00FF138A"/>
    <w:rsid w:val="00FF13AB"/>
    <w:rsid w:val="00FF15E4"/>
    <w:rsid w:val="00FF1683"/>
    <w:rsid w:val="00FF1A07"/>
    <w:rsid w:val="00FF1A6B"/>
    <w:rsid w:val="00FF2176"/>
    <w:rsid w:val="00FF2602"/>
    <w:rsid w:val="00FF267E"/>
    <w:rsid w:val="00FF293F"/>
    <w:rsid w:val="00FF3087"/>
    <w:rsid w:val="00FF37C5"/>
    <w:rsid w:val="00FF386E"/>
    <w:rsid w:val="00FF39A4"/>
    <w:rsid w:val="00FF3BA9"/>
    <w:rsid w:val="00FF4425"/>
    <w:rsid w:val="00FF475A"/>
    <w:rsid w:val="00FF47D3"/>
    <w:rsid w:val="00FF492C"/>
    <w:rsid w:val="00FF4BF5"/>
    <w:rsid w:val="00FF4F24"/>
    <w:rsid w:val="00FF4F9D"/>
    <w:rsid w:val="00FF5584"/>
    <w:rsid w:val="00FF582F"/>
    <w:rsid w:val="00FF693E"/>
    <w:rsid w:val="00FF69E4"/>
    <w:rsid w:val="00FF6C88"/>
    <w:rsid w:val="00FF6D05"/>
    <w:rsid w:val="00FF740F"/>
    <w:rsid w:val="00FF78B1"/>
    <w:rsid w:val="00FF7C7B"/>
    <w:rsid w:val="00FF7E9D"/>
    <w:rsid w:val="01022A96"/>
    <w:rsid w:val="0102EEB8"/>
    <w:rsid w:val="01032B21"/>
    <w:rsid w:val="0104FBC1"/>
    <w:rsid w:val="010A8FF7"/>
    <w:rsid w:val="010D7501"/>
    <w:rsid w:val="010E2153"/>
    <w:rsid w:val="0113D941"/>
    <w:rsid w:val="0118D508"/>
    <w:rsid w:val="01203E3D"/>
    <w:rsid w:val="0121A449"/>
    <w:rsid w:val="0129319F"/>
    <w:rsid w:val="012E65CC"/>
    <w:rsid w:val="0130D79A"/>
    <w:rsid w:val="013728CE"/>
    <w:rsid w:val="013DDA60"/>
    <w:rsid w:val="013FC72A"/>
    <w:rsid w:val="0147370C"/>
    <w:rsid w:val="014A8D27"/>
    <w:rsid w:val="015950B6"/>
    <w:rsid w:val="015CA653"/>
    <w:rsid w:val="01628FCB"/>
    <w:rsid w:val="0164ED9C"/>
    <w:rsid w:val="01678C23"/>
    <w:rsid w:val="016BAFD6"/>
    <w:rsid w:val="017A5A34"/>
    <w:rsid w:val="017B0A71"/>
    <w:rsid w:val="017CD800"/>
    <w:rsid w:val="017E14F2"/>
    <w:rsid w:val="017E4FC8"/>
    <w:rsid w:val="017FD33B"/>
    <w:rsid w:val="018AEA91"/>
    <w:rsid w:val="01900689"/>
    <w:rsid w:val="0192D38C"/>
    <w:rsid w:val="019E1EA0"/>
    <w:rsid w:val="019FA248"/>
    <w:rsid w:val="01A133AF"/>
    <w:rsid w:val="01A45478"/>
    <w:rsid w:val="01A72E83"/>
    <w:rsid w:val="01A95339"/>
    <w:rsid w:val="01AE977C"/>
    <w:rsid w:val="01B90EF8"/>
    <w:rsid w:val="01C14EF4"/>
    <w:rsid w:val="01C1E4B6"/>
    <w:rsid w:val="01C5F32D"/>
    <w:rsid w:val="01CA6350"/>
    <w:rsid w:val="01CB5274"/>
    <w:rsid w:val="01CB7478"/>
    <w:rsid w:val="01CBFAB4"/>
    <w:rsid w:val="01D57F0A"/>
    <w:rsid w:val="01D8C657"/>
    <w:rsid w:val="01DE02AC"/>
    <w:rsid w:val="01DF4257"/>
    <w:rsid w:val="01E24B00"/>
    <w:rsid w:val="01E82C54"/>
    <w:rsid w:val="01E85360"/>
    <w:rsid w:val="01F0BA82"/>
    <w:rsid w:val="01F48484"/>
    <w:rsid w:val="01F50841"/>
    <w:rsid w:val="01F859E5"/>
    <w:rsid w:val="01FA14A6"/>
    <w:rsid w:val="0204FDE4"/>
    <w:rsid w:val="020956F6"/>
    <w:rsid w:val="020DB369"/>
    <w:rsid w:val="02103F44"/>
    <w:rsid w:val="02144E7A"/>
    <w:rsid w:val="0218980F"/>
    <w:rsid w:val="021CB012"/>
    <w:rsid w:val="02222F52"/>
    <w:rsid w:val="02252F6C"/>
    <w:rsid w:val="0228ABA5"/>
    <w:rsid w:val="022C92CF"/>
    <w:rsid w:val="0230F720"/>
    <w:rsid w:val="02384CEB"/>
    <w:rsid w:val="023CB22A"/>
    <w:rsid w:val="023FDC39"/>
    <w:rsid w:val="0244EF90"/>
    <w:rsid w:val="0245FA91"/>
    <w:rsid w:val="024CF403"/>
    <w:rsid w:val="024E33EB"/>
    <w:rsid w:val="025388DD"/>
    <w:rsid w:val="025998B5"/>
    <w:rsid w:val="0262BAAE"/>
    <w:rsid w:val="02723B3E"/>
    <w:rsid w:val="027562B2"/>
    <w:rsid w:val="027562DF"/>
    <w:rsid w:val="0278054D"/>
    <w:rsid w:val="027FDD3F"/>
    <w:rsid w:val="02810D54"/>
    <w:rsid w:val="02885DEE"/>
    <w:rsid w:val="0288E832"/>
    <w:rsid w:val="02897B0B"/>
    <w:rsid w:val="02919408"/>
    <w:rsid w:val="0292877A"/>
    <w:rsid w:val="029B2671"/>
    <w:rsid w:val="02A0E640"/>
    <w:rsid w:val="02A9830C"/>
    <w:rsid w:val="02B581FF"/>
    <w:rsid w:val="02B58BFC"/>
    <w:rsid w:val="02B7EF12"/>
    <w:rsid w:val="02BC5ED1"/>
    <w:rsid w:val="02C427B0"/>
    <w:rsid w:val="02C78CBC"/>
    <w:rsid w:val="02CD44B3"/>
    <w:rsid w:val="02D0C68B"/>
    <w:rsid w:val="02D483AD"/>
    <w:rsid w:val="02D5E85A"/>
    <w:rsid w:val="02DE4F51"/>
    <w:rsid w:val="02DF3051"/>
    <w:rsid w:val="02E1EA5B"/>
    <w:rsid w:val="02E1F0A1"/>
    <w:rsid w:val="02E69365"/>
    <w:rsid w:val="02EC4D9D"/>
    <w:rsid w:val="02EF2137"/>
    <w:rsid w:val="03005CF8"/>
    <w:rsid w:val="030068E2"/>
    <w:rsid w:val="0305E1CA"/>
    <w:rsid w:val="0307D792"/>
    <w:rsid w:val="0308835B"/>
    <w:rsid w:val="0308C39E"/>
    <w:rsid w:val="03122EA7"/>
    <w:rsid w:val="031F4A99"/>
    <w:rsid w:val="0321AE5F"/>
    <w:rsid w:val="0328CBDC"/>
    <w:rsid w:val="032D20FC"/>
    <w:rsid w:val="032F0BE1"/>
    <w:rsid w:val="0336AD88"/>
    <w:rsid w:val="0337EBE4"/>
    <w:rsid w:val="0344193D"/>
    <w:rsid w:val="03472458"/>
    <w:rsid w:val="034B2819"/>
    <w:rsid w:val="034FF86E"/>
    <w:rsid w:val="035062F2"/>
    <w:rsid w:val="03554FBB"/>
    <w:rsid w:val="035B8D46"/>
    <w:rsid w:val="0364D8C4"/>
    <w:rsid w:val="036A451A"/>
    <w:rsid w:val="036B432A"/>
    <w:rsid w:val="036F5A35"/>
    <w:rsid w:val="0373E1B8"/>
    <w:rsid w:val="037C703E"/>
    <w:rsid w:val="03802745"/>
    <w:rsid w:val="0387A94D"/>
    <w:rsid w:val="0389906F"/>
    <w:rsid w:val="0389AEE8"/>
    <w:rsid w:val="038BC653"/>
    <w:rsid w:val="0398DEF7"/>
    <w:rsid w:val="039B144B"/>
    <w:rsid w:val="039E6F6F"/>
    <w:rsid w:val="039EA6C5"/>
    <w:rsid w:val="039FE4DF"/>
    <w:rsid w:val="03A5793C"/>
    <w:rsid w:val="03A92393"/>
    <w:rsid w:val="03AA657B"/>
    <w:rsid w:val="03AA760B"/>
    <w:rsid w:val="03ABD333"/>
    <w:rsid w:val="03ACB210"/>
    <w:rsid w:val="03B75FDE"/>
    <w:rsid w:val="03BE41FB"/>
    <w:rsid w:val="03C2E1B6"/>
    <w:rsid w:val="03C72FD6"/>
    <w:rsid w:val="03C93BA5"/>
    <w:rsid w:val="03CAFBF5"/>
    <w:rsid w:val="03CD785A"/>
    <w:rsid w:val="03D05E16"/>
    <w:rsid w:val="03DA0CC1"/>
    <w:rsid w:val="03DDF019"/>
    <w:rsid w:val="03E28B7E"/>
    <w:rsid w:val="03E2AC46"/>
    <w:rsid w:val="03E64459"/>
    <w:rsid w:val="03E7099C"/>
    <w:rsid w:val="03EC0190"/>
    <w:rsid w:val="03EC23A8"/>
    <w:rsid w:val="03EF6938"/>
    <w:rsid w:val="03FC4C2F"/>
    <w:rsid w:val="03FCE225"/>
    <w:rsid w:val="04077D0C"/>
    <w:rsid w:val="0413B489"/>
    <w:rsid w:val="041A0657"/>
    <w:rsid w:val="04239B50"/>
    <w:rsid w:val="0425D889"/>
    <w:rsid w:val="0428222A"/>
    <w:rsid w:val="0432AA5E"/>
    <w:rsid w:val="04336C90"/>
    <w:rsid w:val="043BC57A"/>
    <w:rsid w:val="043C83D0"/>
    <w:rsid w:val="043DAAF6"/>
    <w:rsid w:val="043DEB90"/>
    <w:rsid w:val="043E6DB2"/>
    <w:rsid w:val="04438849"/>
    <w:rsid w:val="04494A96"/>
    <w:rsid w:val="0464F933"/>
    <w:rsid w:val="047673E4"/>
    <w:rsid w:val="04776973"/>
    <w:rsid w:val="04819C8E"/>
    <w:rsid w:val="04898A14"/>
    <w:rsid w:val="0489A837"/>
    <w:rsid w:val="0492F789"/>
    <w:rsid w:val="0496EB07"/>
    <w:rsid w:val="04B04F1D"/>
    <w:rsid w:val="04B2DF1B"/>
    <w:rsid w:val="04C31106"/>
    <w:rsid w:val="04DAE967"/>
    <w:rsid w:val="04DDEB47"/>
    <w:rsid w:val="04E9B000"/>
    <w:rsid w:val="04EB040B"/>
    <w:rsid w:val="04EC14BF"/>
    <w:rsid w:val="04EE3DEB"/>
    <w:rsid w:val="04EF6A5E"/>
    <w:rsid w:val="04F7AAF1"/>
    <w:rsid w:val="050917C9"/>
    <w:rsid w:val="0516B25D"/>
    <w:rsid w:val="0526A72E"/>
    <w:rsid w:val="052B537A"/>
    <w:rsid w:val="052EF30D"/>
    <w:rsid w:val="05319782"/>
    <w:rsid w:val="05351755"/>
    <w:rsid w:val="0536154B"/>
    <w:rsid w:val="053AA8D2"/>
    <w:rsid w:val="053B8246"/>
    <w:rsid w:val="053FD2AA"/>
    <w:rsid w:val="0543383B"/>
    <w:rsid w:val="054485C0"/>
    <w:rsid w:val="05473AA3"/>
    <w:rsid w:val="05495A6B"/>
    <w:rsid w:val="054C2CC0"/>
    <w:rsid w:val="054E4B02"/>
    <w:rsid w:val="054F78E2"/>
    <w:rsid w:val="0550F553"/>
    <w:rsid w:val="055AAB70"/>
    <w:rsid w:val="05615133"/>
    <w:rsid w:val="056B8E94"/>
    <w:rsid w:val="056D53F3"/>
    <w:rsid w:val="0572AB76"/>
    <w:rsid w:val="0572FBFA"/>
    <w:rsid w:val="057E6080"/>
    <w:rsid w:val="0588499A"/>
    <w:rsid w:val="0588BB74"/>
    <w:rsid w:val="058B9544"/>
    <w:rsid w:val="058C00C8"/>
    <w:rsid w:val="058CB2C0"/>
    <w:rsid w:val="0591494A"/>
    <w:rsid w:val="05951E7E"/>
    <w:rsid w:val="05A2ABF3"/>
    <w:rsid w:val="05A690A6"/>
    <w:rsid w:val="05ABD9C8"/>
    <w:rsid w:val="05AC7A7E"/>
    <w:rsid w:val="05ADF5F9"/>
    <w:rsid w:val="05B3099E"/>
    <w:rsid w:val="05B73CE9"/>
    <w:rsid w:val="05BE37B1"/>
    <w:rsid w:val="05BE52E5"/>
    <w:rsid w:val="05BFF8BA"/>
    <w:rsid w:val="05C61615"/>
    <w:rsid w:val="05C87B09"/>
    <w:rsid w:val="05C8B186"/>
    <w:rsid w:val="05CEAFB2"/>
    <w:rsid w:val="05D6B100"/>
    <w:rsid w:val="05D90976"/>
    <w:rsid w:val="05E048B3"/>
    <w:rsid w:val="05EDCB10"/>
    <w:rsid w:val="05F03AEE"/>
    <w:rsid w:val="05F31C0C"/>
    <w:rsid w:val="05F42C90"/>
    <w:rsid w:val="05F9751C"/>
    <w:rsid w:val="05FB3C8D"/>
    <w:rsid w:val="060456E3"/>
    <w:rsid w:val="0606BD07"/>
    <w:rsid w:val="0608D511"/>
    <w:rsid w:val="0609D9B4"/>
    <w:rsid w:val="061038C6"/>
    <w:rsid w:val="06139937"/>
    <w:rsid w:val="06165DA6"/>
    <w:rsid w:val="0628B41C"/>
    <w:rsid w:val="062E9FB3"/>
    <w:rsid w:val="063155A2"/>
    <w:rsid w:val="06371DB2"/>
    <w:rsid w:val="0639FDB2"/>
    <w:rsid w:val="0644D348"/>
    <w:rsid w:val="0647D99C"/>
    <w:rsid w:val="0652B6F7"/>
    <w:rsid w:val="065AA119"/>
    <w:rsid w:val="065E50FD"/>
    <w:rsid w:val="066269A3"/>
    <w:rsid w:val="0662A04F"/>
    <w:rsid w:val="0664E7F8"/>
    <w:rsid w:val="06692F56"/>
    <w:rsid w:val="067162BD"/>
    <w:rsid w:val="06718FC3"/>
    <w:rsid w:val="0679F53A"/>
    <w:rsid w:val="067A00AC"/>
    <w:rsid w:val="067A47EA"/>
    <w:rsid w:val="068DC521"/>
    <w:rsid w:val="06900560"/>
    <w:rsid w:val="069C6D1C"/>
    <w:rsid w:val="06AA11D9"/>
    <w:rsid w:val="06AD1A72"/>
    <w:rsid w:val="06AD4805"/>
    <w:rsid w:val="06AFCEF9"/>
    <w:rsid w:val="06B33928"/>
    <w:rsid w:val="06B349EA"/>
    <w:rsid w:val="06B52787"/>
    <w:rsid w:val="06B62ACA"/>
    <w:rsid w:val="06C23399"/>
    <w:rsid w:val="06D17D15"/>
    <w:rsid w:val="06D907C8"/>
    <w:rsid w:val="06E0BA29"/>
    <w:rsid w:val="06E19894"/>
    <w:rsid w:val="06EC7873"/>
    <w:rsid w:val="06ED6581"/>
    <w:rsid w:val="06F762E2"/>
    <w:rsid w:val="06FC7C58"/>
    <w:rsid w:val="06FE60F3"/>
    <w:rsid w:val="06FFBF11"/>
    <w:rsid w:val="07072C47"/>
    <w:rsid w:val="070D5070"/>
    <w:rsid w:val="070EAE73"/>
    <w:rsid w:val="070EE57F"/>
    <w:rsid w:val="071A58A4"/>
    <w:rsid w:val="071DFCFF"/>
    <w:rsid w:val="071E3A14"/>
    <w:rsid w:val="072174F6"/>
    <w:rsid w:val="0723FAFC"/>
    <w:rsid w:val="0739E997"/>
    <w:rsid w:val="073AB314"/>
    <w:rsid w:val="074723C5"/>
    <w:rsid w:val="07472984"/>
    <w:rsid w:val="074DA2B4"/>
    <w:rsid w:val="0751E935"/>
    <w:rsid w:val="0755675C"/>
    <w:rsid w:val="0758E0C3"/>
    <w:rsid w:val="075DF401"/>
    <w:rsid w:val="075E3EF1"/>
    <w:rsid w:val="076658BB"/>
    <w:rsid w:val="077CF42F"/>
    <w:rsid w:val="0782126F"/>
    <w:rsid w:val="0782666D"/>
    <w:rsid w:val="078A450A"/>
    <w:rsid w:val="078EA9F3"/>
    <w:rsid w:val="0792D1B3"/>
    <w:rsid w:val="07A55E00"/>
    <w:rsid w:val="07A568E0"/>
    <w:rsid w:val="07AE9553"/>
    <w:rsid w:val="07AFD326"/>
    <w:rsid w:val="07B2A2CE"/>
    <w:rsid w:val="07BA29ED"/>
    <w:rsid w:val="07BCC5D1"/>
    <w:rsid w:val="07C2ABA8"/>
    <w:rsid w:val="07C31839"/>
    <w:rsid w:val="07C607E4"/>
    <w:rsid w:val="07C9671B"/>
    <w:rsid w:val="07CA9C76"/>
    <w:rsid w:val="07CFAACC"/>
    <w:rsid w:val="07D25BA4"/>
    <w:rsid w:val="07D4FA21"/>
    <w:rsid w:val="07D5F719"/>
    <w:rsid w:val="07DAEAC9"/>
    <w:rsid w:val="07E1347B"/>
    <w:rsid w:val="07E1DA15"/>
    <w:rsid w:val="07E1F59B"/>
    <w:rsid w:val="07F0EB18"/>
    <w:rsid w:val="07F3FB77"/>
    <w:rsid w:val="07F66B63"/>
    <w:rsid w:val="07FFB8CD"/>
    <w:rsid w:val="080219BB"/>
    <w:rsid w:val="080468B6"/>
    <w:rsid w:val="0805AB3A"/>
    <w:rsid w:val="08075F42"/>
    <w:rsid w:val="0810AE92"/>
    <w:rsid w:val="08137CB5"/>
    <w:rsid w:val="081E72D3"/>
    <w:rsid w:val="0824102F"/>
    <w:rsid w:val="08242145"/>
    <w:rsid w:val="0826DA3A"/>
    <w:rsid w:val="082EABE0"/>
    <w:rsid w:val="0831D0F4"/>
    <w:rsid w:val="0832C05C"/>
    <w:rsid w:val="0832DC6F"/>
    <w:rsid w:val="08404985"/>
    <w:rsid w:val="08461AE5"/>
    <w:rsid w:val="085154A6"/>
    <w:rsid w:val="0856CE7D"/>
    <w:rsid w:val="08601599"/>
    <w:rsid w:val="0868C4B4"/>
    <w:rsid w:val="086D2694"/>
    <w:rsid w:val="087117FC"/>
    <w:rsid w:val="08782814"/>
    <w:rsid w:val="087A0AAE"/>
    <w:rsid w:val="08845DBE"/>
    <w:rsid w:val="08954574"/>
    <w:rsid w:val="08B50F45"/>
    <w:rsid w:val="08B8D882"/>
    <w:rsid w:val="08DEA5E2"/>
    <w:rsid w:val="08E36D17"/>
    <w:rsid w:val="08E76B06"/>
    <w:rsid w:val="08EEC97C"/>
    <w:rsid w:val="08F2C2CC"/>
    <w:rsid w:val="08F7D4A5"/>
    <w:rsid w:val="08FBC787"/>
    <w:rsid w:val="08FE9E9E"/>
    <w:rsid w:val="09015669"/>
    <w:rsid w:val="09024CA1"/>
    <w:rsid w:val="0903F9CF"/>
    <w:rsid w:val="090D8DCA"/>
    <w:rsid w:val="09118FFE"/>
    <w:rsid w:val="09286E41"/>
    <w:rsid w:val="092B7CA9"/>
    <w:rsid w:val="09403B79"/>
    <w:rsid w:val="0942A3EA"/>
    <w:rsid w:val="0943D2DA"/>
    <w:rsid w:val="09464E2B"/>
    <w:rsid w:val="094A1BC7"/>
    <w:rsid w:val="095A735B"/>
    <w:rsid w:val="095E89D0"/>
    <w:rsid w:val="095E8B3F"/>
    <w:rsid w:val="095F1BC7"/>
    <w:rsid w:val="096CFF82"/>
    <w:rsid w:val="096D0EB2"/>
    <w:rsid w:val="097284F9"/>
    <w:rsid w:val="0978AA3F"/>
    <w:rsid w:val="097D69ED"/>
    <w:rsid w:val="0982D787"/>
    <w:rsid w:val="0987869E"/>
    <w:rsid w:val="09896300"/>
    <w:rsid w:val="098ADEC9"/>
    <w:rsid w:val="098D4873"/>
    <w:rsid w:val="098F32DC"/>
    <w:rsid w:val="099A9317"/>
    <w:rsid w:val="099F964E"/>
    <w:rsid w:val="09A073F1"/>
    <w:rsid w:val="09AC12C3"/>
    <w:rsid w:val="09BE526C"/>
    <w:rsid w:val="09CCC023"/>
    <w:rsid w:val="09CD3B91"/>
    <w:rsid w:val="09D1544B"/>
    <w:rsid w:val="09D4218F"/>
    <w:rsid w:val="09D6B7C3"/>
    <w:rsid w:val="09D8A308"/>
    <w:rsid w:val="09DB9EA2"/>
    <w:rsid w:val="09E515E6"/>
    <w:rsid w:val="09EF986C"/>
    <w:rsid w:val="0A0101A7"/>
    <w:rsid w:val="0A0508A5"/>
    <w:rsid w:val="0A0B7A8A"/>
    <w:rsid w:val="0A0F7A6D"/>
    <w:rsid w:val="0A0FEA14"/>
    <w:rsid w:val="0A1CD73E"/>
    <w:rsid w:val="0A20BC7B"/>
    <w:rsid w:val="0A2B443D"/>
    <w:rsid w:val="0A2F4F04"/>
    <w:rsid w:val="0A3324F1"/>
    <w:rsid w:val="0A37EEA8"/>
    <w:rsid w:val="0A38C2C1"/>
    <w:rsid w:val="0A4096B2"/>
    <w:rsid w:val="0A41039E"/>
    <w:rsid w:val="0A52152E"/>
    <w:rsid w:val="0A58EB15"/>
    <w:rsid w:val="0A5B270D"/>
    <w:rsid w:val="0A5E05C7"/>
    <w:rsid w:val="0A5F7B46"/>
    <w:rsid w:val="0A65ED7D"/>
    <w:rsid w:val="0A6CF5C3"/>
    <w:rsid w:val="0A7522B8"/>
    <w:rsid w:val="0A8206A4"/>
    <w:rsid w:val="0A853C7C"/>
    <w:rsid w:val="0A8634E7"/>
    <w:rsid w:val="0A8AF6FD"/>
    <w:rsid w:val="0A8F776C"/>
    <w:rsid w:val="0A98E713"/>
    <w:rsid w:val="0AA3E3F0"/>
    <w:rsid w:val="0AA42E19"/>
    <w:rsid w:val="0AB9E06F"/>
    <w:rsid w:val="0ABD1188"/>
    <w:rsid w:val="0AC1FBC5"/>
    <w:rsid w:val="0ACB63BE"/>
    <w:rsid w:val="0ACD6F6C"/>
    <w:rsid w:val="0ACF0BFD"/>
    <w:rsid w:val="0AD0C881"/>
    <w:rsid w:val="0AD26F26"/>
    <w:rsid w:val="0AD8FD05"/>
    <w:rsid w:val="0ADDDE11"/>
    <w:rsid w:val="0AE1220F"/>
    <w:rsid w:val="0AFA331C"/>
    <w:rsid w:val="0AFA57EC"/>
    <w:rsid w:val="0AFCCA02"/>
    <w:rsid w:val="0B0295A8"/>
    <w:rsid w:val="0B1DD235"/>
    <w:rsid w:val="0B213D17"/>
    <w:rsid w:val="0B243B6F"/>
    <w:rsid w:val="0B24B3A6"/>
    <w:rsid w:val="0B250C9D"/>
    <w:rsid w:val="0B2866EF"/>
    <w:rsid w:val="0B2D03C9"/>
    <w:rsid w:val="0B2D94BF"/>
    <w:rsid w:val="0B3A7A8D"/>
    <w:rsid w:val="0B4FAD96"/>
    <w:rsid w:val="0B528229"/>
    <w:rsid w:val="0B54C085"/>
    <w:rsid w:val="0B55D2B8"/>
    <w:rsid w:val="0B5A27AB"/>
    <w:rsid w:val="0B5BF7E2"/>
    <w:rsid w:val="0B6305C1"/>
    <w:rsid w:val="0B654513"/>
    <w:rsid w:val="0B6859AD"/>
    <w:rsid w:val="0B7FFFCF"/>
    <w:rsid w:val="0B80743D"/>
    <w:rsid w:val="0B80B70D"/>
    <w:rsid w:val="0B816E4D"/>
    <w:rsid w:val="0B8522DB"/>
    <w:rsid w:val="0B874A6D"/>
    <w:rsid w:val="0B8DA82F"/>
    <w:rsid w:val="0B93D4EC"/>
    <w:rsid w:val="0B968F29"/>
    <w:rsid w:val="0B98EE7F"/>
    <w:rsid w:val="0B9E397F"/>
    <w:rsid w:val="0BA0BAE8"/>
    <w:rsid w:val="0BAC6EEB"/>
    <w:rsid w:val="0BB29097"/>
    <w:rsid w:val="0BC9599C"/>
    <w:rsid w:val="0BC9A0A3"/>
    <w:rsid w:val="0BCCBCE8"/>
    <w:rsid w:val="0BD49573"/>
    <w:rsid w:val="0BD5BFC6"/>
    <w:rsid w:val="0BD7A5A9"/>
    <w:rsid w:val="0BDC10FA"/>
    <w:rsid w:val="0BDC397D"/>
    <w:rsid w:val="0BDCBB38"/>
    <w:rsid w:val="0BDE375D"/>
    <w:rsid w:val="0BDFAA3F"/>
    <w:rsid w:val="0BE7D3E8"/>
    <w:rsid w:val="0BF39CFB"/>
    <w:rsid w:val="0BF59DB0"/>
    <w:rsid w:val="0BF672A3"/>
    <w:rsid w:val="0BFAA766"/>
    <w:rsid w:val="0C06C758"/>
    <w:rsid w:val="0C07A928"/>
    <w:rsid w:val="0C07BA65"/>
    <w:rsid w:val="0C0F1FA2"/>
    <w:rsid w:val="0C110CCB"/>
    <w:rsid w:val="0C2209AA"/>
    <w:rsid w:val="0C22D318"/>
    <w:rsid w:val="0C28A6B4"/>
    <w:rsid w:val="0C293080"/>
    <w:rsid w:val="0C298C82"/>
    <w:rsid w:val="0C319711"/>
    <w:rsid w:val="0C31B398"/>
    <w:rsid w:val="0C3262A2"/>
    <w:rsid w:val="0C355109"/>
    <w:rsid w:val="0C37C733"/>
    <w:rsid w:val="0C3F1F7C"/>
    <w:rsid w:val="0C43B864"/>
    <w:rsid w:val="0C45BAF0"/>
    <w:rsid w:val="0C4724AA"/>
    <w:rsid w:val="0C55D2D8"/>
    <w:rsid w:val="0C59188A"/>
    <w:rsid w:val="0C5F9085"/>
    <w:rsid w:val="0C643B9D"/>
    <w:rsid w:val="0C659BE7"/>
    <w:rsid w:val="0C6ADC0F"/>
    <w:rsid w:val="0C8E4580"/>
    <w:rsid w:val="0C8E54E0"/>
    <w:rsid w:val="0C9564B8"/>
    <w:rsid w:val="0CA43EDC"/>
    <w:rsid w:val="0CA4F7C4"/>
    <w:rsid w:val="0CA54EC9"/>
    <w:rsid w:val="0CA864B7"/>
    <w:rsid w:val="0CA9EEC2"/>
    <w:rsid w:val="0CADD78D"/>
    <w:rsid w:val="0CAEA221"/>
    <w:rsid w:val="0CB13410"/>
    <w:rsid w:val="0CB56828"/>
    <w:rsid w:val="0CB5FDF8"/>
    <w:rsid w:val="0CBAB75D"/>
    <w:rsid w:val="0CC304C0"/>
    <w:rsid w:val="0CC93249"/>
    <w:rsid w:val="0CD05673"/>
    <w:rsid w:val="0CD5F155"/>
    <w:rsid w:val="0CD7915A"/>
    <w:rsid w:val="0CD91F9D"/>
    <w:rsid w:val="0CDAC0A3"/>
    <w:rsid w:val="0CDF4B0C"/>
    <w:rsid w:val="0CE19D19"/>
    <w:rsid w:val="0CED557B"/>
    <w:rsid w:val="0CF2122C"/>
    <w:rsid w:val="0CF8E3A0"/>
    <w:rsid w:val="0CFAE57E"/>
    <w:rsid w:val="0D04DAF9"/>
    <w:rsid w:val="0D15AC91"/>
    <w:rsid w:val="0D161D23"/>
    <w:rsid w:val="0D1A1D69"/>
    <w:rsid w:val="0D1E3AC1"/>
    <w:rsid w:val="0D209D93"/>
    <w:rsid w:val="0D275A66"/>
    <w:rsid w:val="0D2EE97C"/>
    <w:rsid w:val="0D308645"/>
    <w:rsid w:val="0D33E888"/>
    <w:rsid w:val="0D36A057"/>
    <w:rsid w:val="0D36D70E"/>
    <w:rsid w:val="0D392C05"/>
    <w:rsid w:val="0D3CA967"/>
    <w:rsid w:val="0D43B7E1"/>
    <w:rsid w:val="0D4B7B70"/>
    <w:rsid w:val="0D50051B"/>
    <w:rsid w:val="0D50BD33"/>
    <w:rsid w:val="0D512BD0"/>
    <w:rsid w:val="0D516C16"/>
    <w:rsid w:val="0D540AA3"/>
    <w:rsid w:val="0D5CB71C"/>
    <w:rsid w:val="0D7016BE"/>
    <w:rsid w:val="0D819FCB"/>
    <w:rsid w:val="0D81C322"/>
    <w:rsid w:val="0D860328"/>
    <w:rsid w:val="0D8C2B81"/>
    <w:rsid w:val="0D9044B4"/>
    <w:rsid w:val="0D93675F"/>
    <w:rsid w:val="0D966B62"/>
    <w:rsid w:val="0D9B4F30"/>
    <w:rsid w:val="0DA26217"/>
    <w:rsid w:val="0DA6E9C9"/>
    <w:rsid w:val="0DAAF514"/>
    <w:rsid w:val="0DAB890A"/>
    <w:rsid w:val="0DABE5D9"/>
    <w:rsid w:val="0DB3ED9E"/>
    <w:rsid w:val="0DB4B40D"/>
    <w:rsid w:val="0DBA5226"/>
    <w:rsid w:val="0DBEF0EC"/>
    <w:rsid w:val="0DC5C6B4"/>
    <w:rsid w:val="0DC9BB03"/>
    <w:rsid w:val="0DCA7D6C"/>
    <w:rsid w:val="0DCEB646"/>
    <w:rsid w:val="0DD2F694"/>
    <w:rsid w:val="0DD46546"/>
    <w:rsid w:val="0DD6C302"/>
    <w:rsid w:val="0DD853C8"/>
    <w:rsid w:val="0DDA7254"/>
    <w:rsid w:val="0DDD4FF7"/>
    <w:rsid w:val="0DDF88C5"/>
    <w:rsid w:val="0DF5D6F7"/>
    <w:rsid w:val="0DF7C8FA"/>
    <w:rsid w:val="0DFC359D"/>
    <w:rsid w:val="0DFE76AF"/>
    <w:rsid w:val="0DFF0EF3"/>
    <w:rsid w:val="0E070EE8"/>
    <w:rsid w:val="0E0BE040"/>
    <w:rsid w:val="0E0D8477"/>
    <w:rsid w:val="0E0DB267"/>
    <w:rsid w:val="0E0E86F1"/>
    <w:rsid w:val="0E11D6D9"/>
    <w:rsid w:val="0E1291C9"/>
    <w:rsid w:val="0E1499FA"/>
    <w:rsid w:val="0E162901"/>
    <w:rsid w:val="0E199F6B"/>
    <w:rsid w:val="0E1CA26F"/>
    <w:rsid w:val="0E1EF729"/>
    <w:rsid w:val="0E2A99D2"/>
    <w:rsid w:val="0E2E2C88"/>
    <w:rsid w:val="0E353A05"/>
    <w:rsid w:val="0E3A6F31"/>
    <w:rsid w:val="0E409A8C"/>
    <w:rsid w:val="0E40FA09"/>
    <w:rsid w:val="0E4828CB"/>
    <w:rsid w:val="0E492EE9"/>
    <w:rsid w:val="0E493EF3"/>
    <w:rsid w:val="0E6737D0"/>
    <w:rsid w:val="0E6B213E"/>
    <w:rsid w:val="0E6DAF7D"/>
    <w:rsid w:val="0E7016EC"/>
    <w:rsid w:val="0E70A629"/>
    <w:rsid w:val="0E711957"/>
    <w:rsid w:val="0E7192DB"/>
    <w:rsid w:val="0E72A9C3"/>
    <w:rsid w:val="0E794423"/>
    <w:rsid w:val="0E79BF42"/>
    <w:rsid w:val="0E7B4DD8"/>
    <w:rsid w:val="0E7CA85B"/>
    <w:rsid w:val="0E837C36"/>
    <w:rsid w:val="0E8B0E95"/>
    <w:rsid w:val="0EA2E442"/>
    <w:rsid w:val="0EA70B65"/>
    <w:rsid w:val="0EAD9A06"/>
    <w:rsid w:val="0EADB944"/>
    <w:rsid w:val="0EAF920C"/>
    <w:rsid w:val="0EB032B8"/>
    <w:rsid w:val="0EB070C1"/>
    <w:rsid w:val="0EB493BC"/>
    <w:rsid w:val="0EB9133E"/>
    <w:rsid w:val="0EBDC7EF"/>
    <w:rsid w:val="0EC1CD3D"/>
    <w:rsid w:val="0EC21B4F"/>
    <w:rsid w:val="0ED7446D"/>
    <w:rsid w:val="0EDF2AF8"/>
    <w:rsid w:val="0EE59202"/>
    <w:rsid w:val="0EE5C748"/>
    <w:rsid w:val="0EF70E64"/>
    <w:rsid w:val="0EFA4F81"/>
    <w:rsid w:val="0F036D6D"/>
    <w:rsid w:val="0F0856FD"/>
    <w:rsid w:val="0F0FB4F8"/>
    <w:rsid w:val="0F10F270"/>
    <w:rsid w:val="0F124EF0"/>
    <w:rsid w:val="0F1AF978"/>
    <w:rsid w:val="0F1F1B5D"/>
    <w:rsid w:val="0F218248"/>
    <w:rsid w:val="0F25FC0B"/>
    <w:rsid w:val="0F267CBC"/>
    <w:rsid w:val="0F290463"/>
    <w:rsid w:val="0F296E41"/>
    <w:rsid w:val="0F2EE5CC"/>
    <w:rsid w:val="0F30F7CD"/>
    <w:rsid w:val="0F3210D5"/>
    <w:rsid w:val="0F322219"/>
    <w:rsid w:val="0F3D1261"/>
    <w:rsid w:val="0F3E9447"/>
    <w:rsid w:val="0F423121"/>
    <w:rsid w:val="0F4B6299"/>
    <w:rsid w:val="0F4DFA92"/>
    <w:rsid w:val="0F5004DB"/>
    <w:rsid w:val="0F529B39"/>
    <w:rsid w:val="0F5C08A6"/>
    <w:rsid w:val="0F5E6047"/>
    <w:rsid w:val="0F5F5DCD"/>
    <w:rsid w:val="0F65495B"/>
    <w:rsid w:val="0F6EE89E"/>
    <w:rsid w:val="0F7347C7"/>
    <w:rsid w:val="0F7A2659"/>
    <w:rsid w:val="0F7B5926"/>
    <w:rsid w:val="0F81C033"/>
    <w:rsid w:val="0F87CEA0"/>
    <w:rsid w:val="0F8E03EC"/>
    <w:rsid w:val="0F98FB9B"/>
    <w:rsid w:val="0FA262A8"/>
    <w:rsid w:val="0FA44630"/>
    <w:rsid w:val="0FAC5647"/>
    <w:rsid w:val="0FAEA95D"/>
    <w:rsid w:val="0FB0FE15"/>
    <w:rsid w:val="0FB274F1"/>
    <w:rsid w:val="0FB52985"/>
    <w:rsid w:val="0FBD834A"/>
    <w:rsid w:val="0FCED9DC"/>
    <w:rsid w:val="0FD591C5"/>
    <w:rsid w:val="0FD5FB0E"/>
    <w:rsid w:val="0FD88569"/>
    <w:rsid w:val="0FE690FB"/>
    <w:rsid w:val="0FEC8D13"/>
    <w:rsid w:val="0FECEF38"/>
    <w:rsid w:val="0FED08EA"/>
    <w:rsid w:val="0FF2D6AF"/>
    <w:rsid w:val="0FF43EFE"/>
    <w:rsid w:val="0FF84C82"/>
    <w:rsid w:val="0FFD42D7"/>
    <w:rsid w:val="0FFEC7BC"/>
    <w:rsid w:val="1005DAAE"/>
    <w:rsid w:val="1006DE73"/>
    <w:rsid w:val="10161B5A"/>
    <w:rsid w:val="101AF9AD"/>
    <w:rsid w:val="1024FB3C"/>
    <w:rsid w:val="10251A2B"/>
    <w:rsid w:val="102A4C05"/>
    <w:rsid w:val="102B7F18"/>
    <w:rsid w:val="102EA6B1"/>
    <w:rsid w:val="102F0BA6"/>
    <w:rsid w:val="1034011A"/>
    <w:rsid w:val="103D1BA9"/>
    <w:rsid w:val="1048BB22"/>
    <w:rsid w:val="104CB3B2"/>
    <w:rsid w:val="105A370D"/>
    <w:rsid w:val="105CABC5"/>
    <w:rsid w:val="105E416E"/>
    <w:rsid w:val="105F552C"/>
    <w:rsid w:val="1061EF92"/>
    <w:rsid w:val="1063E552"/>
    <w:rsid w:val="106A71AC"/>
    <w:rsid w:val="106B2CCC"/>
    <w:rsid w:val="106C9862"/>
    <w:rsid w:val="106E867E"/>
    <w:rsid w:val="106F42FE"/>
    <w:rsid w:val="106FF900"/>
    <w:rsid w:val="10742933"/>
    <w:rsid w:val="107A65D0"/>
    <w:rsid w:val="10860BD2"/>
    <w:rsid w:val="10901C9F"/>
    <w:rsid w:val="10969CBF"/>
    <w:rsid w:val="109F8188"/>
    <w:rsid w:val="10A1970B"/>
    <w:rsid w:val="10A5B857"/>
    <w:rsid w:val="10A5E409"/>
    <w:rsid w:val="10A65A4F"/>
    <w:rsid w:val="10AFAF12"/>
    <w:rsid w:val="10B34D08"/>
    <w:rsid w:val="10B425DA"/>
    <w:rsid w:val="10BA5D36"/>
    <w:rsid w:val="10BC4089"/>
    <w:rsid w:val="10BE804A"/>
    <w:rsid w:val="10C32A8E"/>
    <w:rsid w:val="10D4D845"/>
    <w:rsid w:val="10D963EC"/>
    <w:rsid w:val="10E123CA"/>
    <w:rsid w:val="10F2F9FD"/>
    <w:rsid w:val="10FBD009"/>
    <w:rsid w:val="10FDBF37"/>
    <w:rsid w:val="11059581"/>
    <w:rsid w:val="11095679"/>
    <w:rsid w:val="110E2A97"/>
    <w:rsid w:val="111387C8"/>
    <w:rsid w:val="111923E9"/>
    <w:rsid w:val="11198F5E"/>
    <w:rsid w:val="111A3AD1"/>
    <w:rsid w:val="111CB82C"/>
    <w:rsid w:val="11232431"/>
    <w:rsid w:val="11249861"/>
    <w:rsid w:val="112EEE8A"/>
    <w:rsid w:val="11328C47"/>
    <w:rsid w:val="113C2406"/>
    <w:rsid w:val="113D02D0"/>
    <w:rsid w:val="113E02E1"/>
    <w:rsid w:val="1142B8AE"/>
    <w:rsid w:val="1146305E"/>
    <w:rsid w:val="1149900D"/>
    <w:rsid w:val="114E105C"/>
    <w:rsid w:val="114F2296"/>
    <w:rsid w:val="1150D2C0"/>
    <w:rsid w:val="1153C49E"/>
    <w:rsid w:val="115A4926"/>
    <w:rsid w:val="115A6EF0"/>
    <w:rsid w:val="115B973A"/>
    <w:rsid w:val="11606BFC"/>
    <w:rsid w:val="1168AA00"/>
    <w:rsid w:val="1169D10D"/>
    <w:rsid w:val="1174786B"/>
    <w:rsid w:val="1175331B"/>
    <w:rsid w:val="11763A75"/>
    <w:rsid w:val="117F096F"/>
    <w:rsid w:val="117F7814"/>
    <w:rsid w:val="118053FC"/>
    <w:rsid w:val="11834EBB"/>
    <w:rsid w:val="1187C8AE"/>
    <w:rsid w:val="1188F9CB"/>
    <w:rsid w:val="11924EA4"/>
    <w:rsid w:val="1196CCAC"/>
    <w:rsid w:val="119D9C58"/>
    <w:rsid w:val="11AAE689"/>
    <w:rsid w:val="11AD89E2"/>
    <w:rsid w:val="11B085A7"/>
    <w:rsid w:val="11BF4C57"/>
    <w:rsid w:val="11C00F5A"/>
    <w:rsid w:val="11C92C0D"/>
    <w:rsid w:val="11DAC596"/>
    <w:rsid w:val="11DCE56A"/>
    <w:rsid w:val="11EE5BDB"/>
    <w:rsid w:val="11EFE422"/>
    <w:rsid w:val="11F14C3A"/>
    <w:rsid w:val="11F2E630"/>
    <w:rsid w:val="11F55DFC"/>
    <w:rsid w:val="11FC3E8D"/>
    <w:rsid w:val="120478EF"/>
    <w:rsid w:val="12062190"/>
    <w:rsid w:val="120E1F92"/>
    <w:rsid w:val="1213A30B"/>
    <w:rsid w:val="121F2F84"/>
    <w:rsid w:val="121F7E53"/>
    <w:rsid w:val="1227E17C"/>
    <w:rsid w:val="123C3DD5"/>
    <w:rsid w:val="124BFCBC"/>
    <w:rsid w:val="12576B0A"/>
    <w:rsid w:val="12614252"/>
    <w:rsid w:val="126EDA5D"/>
    <w:rsid w:val="127159D1"/>
    <w:rsid w:val="127C6B4D"/>
    <w:rsid w:val="127F2FB0"/>
    <w:rsid w:val="1286215F"/>
    <w:rsid w:val="1286CA03"/>
    <w:rsid w:val="128943AD"/>
    <w:rsid w:val="128FC4C3"/>
    <w:rsid w:val="1298B0C1"/>
    <w:rsid w:val="129A99E7"/>
    <w:rsid w:val="12A0A4F6"/>
    <w:rsid w:val="12A392C9"/>
    <w:rsid w:val="12A7932B"/>
    <w:rsid w:val="12AA4DE5"/>
    <w:rsid w:val="12AA75A2"/>
    <w:rsid w:val="12AB275D"/>
    <w:rsid w:val="12B0060B"/>
    <w:rsid w:val="12B1C92C"/>
    <w:rsid w:val="12BD9DB6"/>
    <w:rsid w:val="12C254B8"/>
    <w:rsid w:val="12C6F92D"/>
    <w:rsid w:val="12CE175C"/>
    <w:rsid w:val="12D07952"/>
    <w:rsid w:val="12D1D6E4"/>
    <w:rsid w:val="12D5740F"/>
    <w:rsid w:val="12E3C9EB"/>
    <w:rsid w:val="12EA65F6"/>
    <w:rsid w:val="12EB87ED"/>
    <w:rsid w:val="12F2BDC7"/>
    <w:rsid w:val="12F6B614"/>
    <w:rsid w:val="12FDAEDE"/>
    <w:rsid w:val="130062EE"/>
    <w:rsid w:val="1303FA90"/>
    <w:rsid w:val="13053C5E"/>
    <w:rsid w:val="13069176"/>
    <w:rsid w:val="1307A728"/>
    <w:rsid w:val="1308660E"/>
    <w:rsid w:val="131E055F"/>
    <w:rsid w:val="13231AA0"/>
    <w:rsid w:val="132AF4D3"/>
    <w:rsid w:val="132D6633"/>
    <w:rsid w:val="132F28E6"/>
    <w:rsid w:val="132FCDBA"/>
    <w:rsid w:val="13309246"/>
    <w:rsid w:val="133195A9"/>
    <w:rsid w:val="133C9686"/>
    <w:rsid w:val="133FCA47"/>
    <w:rsid w:val="13447E3F"/>
    <w:rsid w:val="134C6B3D"/>
    <w:rsid w:val="134FFA31"/>
    <w:rsid w:val="13523438"/>
    <w:rsid w:val="135BDBDA"/>
    <w:rsid w:val="13695395"/>
    <w:rsid w:val="1373E2FC"/>
    <w:rsid w:val="1375D25B"/>
    <w:rsid w:val="137BB178"/>
    <w:rsid w:val="138553E6"/>
    <w:rsid w:val="13861670"/>
    <w:rsid w:val="13947433"/>
    <w:rsid w:val="139DCB46"/>
    <w:rsid w:val="13A70670"/>
    <w:rsid w:val="13C80940"/>
    <w:rsid w:val="13CC3199"/>
    <w:rsid w:val="13DA823E"/>
    <w:rsid w:val="13DC1E47"/>
    <w:rsid w:val="13E0333F"/>
    <w:rsid w:val="13EB1538"/>
    <w:rsid w:val="13F4FA8F"/>
    <w:rsid w:val="13F82A0B"/>
    <w:rsid w:val="1403D64F"/>
    <w:rsid w:val="140B7E32"/>
    <w:rsid w:val="140E30D3"/>
    <w:rsid w:val="141A0404"/>
    <w:rsid w:val="1421E505"/>
    <w:rsid w:val="14282FF8"/>
    <w:rsid w:val="142D2B69"/>
    <w:rsid w:val="142FB740"/>
    <w:rsid w:val="14330E42"/>
    <w:rsid w:val="143B5FB8"/>
    <w:rsid w:val="1446F424"/>
    <w:rsid w:val="144B773C"/>
    <w:rsid w:val="144D1A68"/>
    <w:rsid w:val="145DA467"/>
    <w:rsid w:val="14601E41"/>
    <w:rsid w:val="146259E5"/>
    <w:rsid w:val="146F97F4"/>
    <w:rsid w:val="1479DBCE"/>
    <w:rsid w:val="14821E93"/>
    <w:rsid w:val="14846CED"/>
    <w:rsid w:val="1484CB49"/>
    <w:rsid w:val="14880181"/>
    <w:rsid w:val="1497E240"/>
    <w:rsid w:val="1499E21B"/>
    <w:rsid w:val="149E4B4B"/>
    <w:rsid w:val="14A902E8"/>
    <w:rsid w:val="14ADBECD"/>
    <w:rsid w:val="14AF6EC0"/>
    <w:rsid w:val="14B0D2CE"/>
    <w:rsid w:val="14B44028"/>
    <w:rsid w:val="14BBB9C1"/>
    <w:rsid w:val="14BED922"/>
    <w:rsid w:val="14C1E6BC"/>
    <w:rsid w:val="14C4349D"/>
    <w:rsid w:val="14C6ACBD"/>
    <w:rsid w:val="14D98BAB"/>
    <w:rsid w:val="14DDE47E"/>
    <w:rsid w:val="14F12808"/>
    <w:rsid w:val="14F5BF4E"/>
    <w:rsid w:val="14F8825A"/>
    <w:rsid w:val="14FC34BB"/>
    <w:rsid w:val="150359E4"/>
    <w:rsid w:val="150A79F9"/>
    <w:rsid w:val="150AD041"/>
    <w:rsid w:val="15115FD2"/>
    <w:rsid w:val="1512025F"/>
    <w:rsid w:val="152433C1"/>
    <w:rsid w:val="152F7B0C"/>
    <w:rsid w:val="1531E552"/>
    <w:rsid w:val="15328D69"/>
    <w:rsid w:val="153362FB"/>
    <w:rsid w:val="15394772"/>
    <w:rsid w:val="154495C8"/>
    <w:rsid w:val="1544A045"/>
    <w:rsid w:val="1546B9CB"/>
    <w:rsid w:val="154B1D9E"/>
    <w:rsid w:val="154CE2B6"/>
    <w:rsid w:val="15593A07"/>
    <w:rsid w:val="15593E07"/>
    <w:rsid w:val="155CF880"/>
    <w:rsid w:val="155FBBF0"/>
    <w:rsid w:val="15615357"/>
    <w:rsid w:val="1563D4F5"/>
    <w:rsid w:val="1567E690"/>
    <w:rsid w:val="156892A3"/>
    <w:rsid w:val="156E6982"/>
    <w:rsid w:val="15729598"/>
    <w:rsid w:val="157889EF"/>
    <w:rsid w:val="15878B6A"/>
    <w:rsid w:val="159A5D31"/>
    <w:rsid w:val="159B14A3"/>
    <w:rsid w:val="159D886B"/>
    <w:rsid w:val="15A317CB"/>
    <w:rsid w:val="15A7A58C"/>
    <w:rsid w:val="15B3C789"/>
    <w:rsid w:val="15B6132D"/>
    <w:rsid w:val="15C6428B"/>
    <w:rsid w:val="15D81916"/>
    <w:rsid w:val="15E80C96"/>
    <w:rsid w:val="15E85CF3"/>
    <w:rsid w:val="15F10655"/>
    <w:rsid w:val="15F5620A"/>
    <w:rsid w:val="15FAAA9D"/>
    <w:rsid w:val="15FB9B65"/>
    <w:rsid w:val="16002EF3"/>
    <w:rsid w:val="1600478B"/>
    <w:rsid w:val="16027EDC"/>
    <w:rsid w:val="160EDCD0"/>
    <w:rsid w:val="1620014D"/>
    <w:rsid w:val="162152FC"/>
    <w:rsid w:val="162319F3"/>
    <w:rsid w:val="1623889E"/>
    <w:rsid w:val="1628CF68"/>
    <w:rsid w:val="162E2E95"/>
    <w:rsid w:val="163329DB"/>
    <w:rsid w:val="16347BEF"/>
    <w:rsid w:val="163D2A37"/>
    <w:rsid w:val="163EC5A7"/>
    <w:rsid w:val="164514C8"/>
    <w:rsid w:val="164B2043"/>
    <w:rsid w:val="164C0148"/>
    <w:rsid w:val="164C9468"/>
    <w:rsid w:val="1653F446"/>
    <w:rsid w:val="165BFDEB"/>
    <w:rsid w:val="165D16FC"/>
    <w:rsid w:val="1662802B"/>
    <w:rsid w:val="16744DA7"/>
    <w:rsid w:val="16761546"/>
    <w:rsid w:val="1676276C"/>
    <w:rsid w:val="1684C733"/>
    <w:rsid w:val="16885213"/>
    <w:rsid w:val="168914FE"/>
    <w:rsid w:val="168B0021"/>
    <w:rsid w:val="168FC6E1"/>
    <w:rsid w:val="1696DB3A"/>
    <w:rsid w:val="1698479D"/>
    <w:rsid w:val="169A71DE"/>
    <w:rsid w:val="16A1F32A"/>
    <w:rsid w:val="16A9C51D"/>
    <w:rsid w:val="16AEF0A2"/>
    <w:rsid w:val="16B58E48"/>
    <w:rsid w:val="16B7684C"/>
    <w:rsid w:val="16B7C8D2"/>
    <w:rsid w:val="16BDDAE4"/>
    <w:rsid w:val="16C1FD5B"/>
    <w:rsid w:val="16C23215"/>
    <w:rsid w:val="16D3431A"/>
    <w:rsid w:val="16D7113A"/>
    <w:rsid w:val="16DA2C91"/>
    <w:rsid w:val="16DCCAA7"/>
    <w:rsid w:val="16E5287D"/>
    <w:rsid w:val="16F07E9C"/>
    <w:rsid w:val="16F625CE"/>
    <w:rsid w:val="16FF0731"/>
    <w:rsid w:val="17137EF4"/>
    <w:rsid w:val="1714805A"/>
    <w:rsid w:val="171F6DDF"/>
    <w:rsid w:val="17200F04"/>
    <w:rsid w:val="1725335C"/>
    <w:rsid w:val="172AAD01"/>
    <w:rsid w:val="172C6852"/>
    <w:rsid w:val="172EA896"/>
    <w:rsid w:val="17325E88"/>
    <w:rsid w:val="173A7176"/>
    <w:rsid w:val="173CECAC"/>
    <w:rsid w:val="173DCBFD"/>
    <w:rsid w:val="17405DFF"/>
    <w:rsid w:val="1741A21B"/>
    <w:rsid w:val="174A2734"/>
    <w:rsid w:val="174A7785"/>
    <w:rsid w:val="174B0E90"/>
    <w:rsid w:val="174FB4F4"/>
    <w:rsid w:val="1752A8D4"/>
    <w:rsid w:val="17548F6A"/>
    <w:rsid w:val="175A6E5C"/>
    <w:rsid w:val="175AA6CE"/>
    <w:rsid w:val="175B45D1"/>
    <w:rsid w:val="17626A60"/>
    <w:rsid w:val="1765AF78"/>
    <w:rsid w:val="1772BDCD"/>
    <w:rsid w:val="17733C6F"/>
    <w:rsid w:val="1776DDB2"/>
    <w:rsid w:val="17779A0B"/>
    <w:rsid w:val="1777A1AE"/>
    <w:rsid w:val="1779EF9C"/>
    <w:rsid w:val="177D0CB1"/>
    <w:rsid w:val="1798D107"/>
    <w:rsid w:val="1799AFF3"/>
    <w:rsid w:val="179CCA9C"/>
    <w:rsid w:val="17A9CCA4"/>
    <w:rsid w:val="17AA49F1"/>
    <w:rsid w:val="17AD4685"/>
    <w:rsid w:val="17B7CE16"/>
    <w:rsid w:val="17BC3F5B"/>
    <w:rsid w:val="17BCF211"/>
    <w:rsid w:val="17C7C37D"/>
    <w:rsid w:val="17CCD35A"/>
    <w:rsid w:val="17CDE255"/>
    <w:rsid w:val="17D0DA01"/>
    <w:rsid w:val="17D42053"/>
    <w:rsid w:val="17DD766E"/>
    <w:rsid w:val="17DEB604"/>
    <w:rsid w:val="17EA8C5A"/>
    <w:rsid w:val="17FA2A90"/>
    <w:rsid w:val="18040334"/>
    <w:rsid w:val="180B5A3F"/>
    <w:rsid w:val="1816EB25"/>
    <w:rsid w:val="181A2FE5"/>
    <w:rsid w:val="181D8922"/>
    <w:rsid w:val="182C6DA1"/>
    <w:rsid w:val="183299A6"/>
    <w:rsid w:val="18378DD5"/>
    <w:rsid w:val="1845E50B"/>
    <w:rsid w:val="18468953"/>
    <w:rsid w:val="1849BFF5"/>
    <w:rsid w:val="1867BDF0"/>
    <w:rsid w:val="186BF509"/>
    <w:rsid w:val="186F573A"/>
    <w:rsid w:val="186F803E"/>
    <w:rsid w:val="187A7B90"/>
    <w:rsid w:val="187D5DE2"/>
    <w:rsid w:val="18809B07"/>
    <w:rsid w:val="18813F6F"/>
    <w:rsid w:val="188661A9"/>
    <w:rsid w:val="188A659C"/>
    <w:rsid w:val="188EB15E"/>
    <w:rsid w:val="188FF992"/>
    <w:rsid w:val="1892BB06"/>
    <w:rsid w:val="189A0FE4"/>
    <w:rsid w:val="18A70379"/>
    <w:rsid w:val="18AB03A5"/>
    <w:rsid w:val="18AE1585"/>
    <w:rsid w:val="18B25203"/>
    <w:rsid w:val="18B28240"/>
    <w:rsid w:val="18B3276B"/>
    <w:rsid w:val="18B88699"/>
    <w:rsid w:val="18BE9E2F"/>
    <w:rsid w:val="18C07401"/>
    <w:rsid w:val="18CBF066"/>
    <w:rsid w:val="18CCAA6F"/>
    <w:rsid w:val="18D86E91"/>
    <w:rsid w:val="18D8AFD1"/>
    <w:rsid w:val="18FB36B0"/>
    <w:rsid w:val="18FF52D1"/>
    <w:rsid w:val="1901B6F4"/>
    <w:rsid w:val="190654DF"/>
    <w:rsid w:val="190BD8B1"/>
    <w:rsid w:val="190DC5A3"/>
    <w:rsid w:val="19139B41"/>
    <w:rsid w:val="19230244"/>
    <w:rsid w:val="19274A43"/>
    <w:rsid w:val="1927CCA7"/>
    <w:rsid w:val="192850F1"/>
    <w:rsid w:val="19295B38"/>
    <w:rsid w:val="193A538C"/>
    <w:rsid w:val="193A8840"/>
    <w:rsid w:val="193B3F6A"/>
    <w:rsid w:val="194330E8"/>
    <w:rsid w:val="1947BF48"/>
    <w:rsid w:val="194969B3"/>
    <w:rsid w:val="194C475F"/>
    <w:rsid w:val="195070B1"/>
    <w:rsid w:val="19507E86"/>
    <w:rsid w:val="195F6B63"/>
    <w:rsid w:val="1961E4DA"/>
    <w:rsid w:val="19636203"/>
    <w:rsid w:val="197874F8"/>
    <w:rsid w:val="197A3262"/>
    <w:rsid w:val="197D49AA"/>
    <w:rsid w:val="197F5C64"/>
    <w:rsid w:val="1985C214"/>
    <w:rsid w:val="198805AD"/>
    <w:rsid w:val="1988A000"/>
    <w:rsid w:val="198E6FCC"/>
    <w:rsid w:val="1994146E"/>
    <w:rsid w:val="1995EF2B"/>
    <w:rsid w:val="19A33924"/>
    <w:rsid w:val="19A77341"/>
    <w:rsid w:val="19BA7E35"/>
    <w:rsid w:val="19BBEEFA"/>
    <w:rsid w:val="19BE0FCC"/>
    <w:rsid w:val="19BF93A9"/>
    <w:rsid w:val="19C52153"/>
    <w:rsid w:val="19CC1F78"/>
    <w:rsid w:val="19CEE30C"/>
    <w:rsid w:val="19D276DF"/>
    <w:rsid w:val="19D29254"/>
    <w:rsid w:val="19D54D58"/>
    <w:rsid w:val="19EAE245"/>
    <w:rsid w:val="19F09965"/>
    <w:rsid w:val="19F4D3CC"/>
    <w:rsid w:val="19F895FE"/>
    <w:rsid w:val="19FE30D0"/>
    <w:rsid w:val="1A13986E"/>
    <w:rsid w:val="1A1425A7"/>
    <w:rsid w:val="1A15276E"/>
    <w:rsid w:val="1A1D2775"/>
    <w:rsid w:val="1A2F67E6"/>
    <w:rsid w:val="1A40C9CF"/>
    <w:rsid w:val="1A42004B"/>
    <w:rsid w:val="1A456616"/>
    <w:rsid w:val="1A4A800F"/>
    <w:rsid w:val="1A55F5DC"/>
    <w:rsid w:val="1A5A38A5"/>
    <w:rsid w:val="1A5A3997"/>
    <w:rsid w:val="1A5C22C6"/>
    <w:rsid w:val="1A5F2493"/>
    <w:rsid w:val="1A6566A4"/>
    <w:rsid w:val="1A94D4BB"/>
    <w:rsid w:val="1A969DE7"/>
    <w:rsid w:val="1A999DB4"/>
    <w:rsid w:val="1A99BDDB"/>
    <w:rsid w:val="1A9FBF49"/>
    <w:rsid w:val="1AA05607"/>
    <w:rsid w:val="1ABDF773"/>
    <w:rsid w:val="1AC14FC5"/>
    <w:rsid w:val="1AC4210F"/>
    <w:rsid w:val="1AD73C69"/>
    <w:rsid w:val="1ADC3DF5"/>
    <w:rsid w:val="1AE1104D"/>
    <w:rsid w:val="1AE7D0AF"/>
    <w:rsid w:val="1AE89819"/>
    <w:rsid w:val="1AEAFCB5"/>
    <w:rsid w:val="1AEBAA47"/>
    <w:rsid w:val="1AEBB017"/>
    <w:rsid w:val="1AEF84A9"/>
    <w:rsid w:val="1AF40938"/>
    <w:rsid w:val="1AFB9FD1"/>
    <w:rsid w:val="1AFC10BA"/>
    <w:rsid w:val="1B023CEC"/>
    <w:rsid w:val="1B0516FB"/>
    <w:rsid w:val="1B124419"/>
    <w:rsid w:val="1B14582E"/>
    <w:rsid w:val="1B18446C"/>
    <w:rsid w:val="1B26496E"/>
    <w:rsid w:val="1B280895"/>
    <w:rsid w:val="1B2891C5"/>
    <w:rsid w:val="1B28D06E"/>
    <w:rsid w:val="1B2B4077"/>
    <w:rsid w:val="1B2BC757"/>
    <w:rsid w:val="1B2F3626"/>
    <w:rsid w:val="1B349FF0"/>
    <w:rsid w:val="1B364921"/>
    <w:rsid w:val="1B36ADAB"/>
    <w:rsid w:val="1B3BAFA2"/>
    <w:rsid w:val="1B43211B"/>
    <w:rsid w:val="1B4AD194"/>
    <w:rsid w:val="1B57CD69"/>
    <w:rsid w:val="1B696F43"/>
    <w:rsid w:val="1B6F76DB"/>
    <w:rsid w:val="1B7D88FE"/>
    <w:rsid w:val="1B833E67"/>
    <w:rsid w:val="1B8523DA"/>
    <w:rsid w:val="1B852A8A"/>
    <w:rsid w:val="1B8DACB9"/>
    <w:rsid w:val="1B97D7B7"/>
    <w:rsid w:val="1B9CD1F9"/>
    <w:rsid w:val="1BA2B120"/>
    <w:rsid w:val="1BAEAB81"/>
    <w:rsid w:val="1BAF832C"/>
    <w:rsid w:val="1BB2FF42"/>
    <w:rsid w:val="1BB75858"/>
    <w:rsid w:val="1BBE195D"/>
    <w:rsid w:val="1BCE204C"/>
    <w:rsid w:val="1BD11ED8"/>
    <w:rsid w:val="1BD40C0D"/>
    <w:rsid w:val="1BD6FB37"/>
    <w:rsid w:val="1BDA367C"/>
    <w:rsid w:val="1BDBC877"/>
    <w:rsid w:val="1BE6EA31"/>
    <w:rsid w:val="1BE71755"/>
    <w:rsid w:val="1BEAC126"/>
    <w:rsid w:val="1BEB9F1F"/>
    <w:rsid w:val="1BEDA32D"/>
    <w:rsid w:val="1BF2DF02"/>
    <w:rsid w:val="1BF3781C"/>
    <w:rsid w:val="1BF49A43"/>
    <w:rsid w:val="1C095D27"/>
    <w:rsid w:val="1C0B9647"/>
    <w:rsid w:val="1C0D8FE9"/>
    <w:rsid w:val="1C0DBAEF"/>
    <w:rsid w:val="1C1387B0"/>
    <w:rsid w:val="1C13DB3E"/>
    <w:rsid w:val="1C14D38D"/>
    <w:rsid w:val="1C1ACE09"/>
    <w:rsid w:val="1C26F9B3"/>
    <w:rsid w:val="1C2AEACD"/>
    <w:rsid w:val="1C2C01DC"/>
    <w:rsid w:val="1C323D20"/>
    <w:rsid w:val="1C33B0DE"/>
    <w:rsid w:val="1C34F8CE"/>
    <w:rsid w:val="1C39D564"/>
    <w:rsid w:val="1C3B4480"/>
    <w:rsid w:val="1C40FD29"/>
    <w:rsid w:val="1C54E010"/>
    <w:rsid w:val="1C55E88F"/>
    <w:rsid w:val="1C5B187F"/>
    <w:rsid w:val="1C633FDC"/>
    <w:rsid w:val="1C762282"/>
    <w:rsid w:val="1C76459F"/>
    <w:rsid w:val="1C7E5939"/>
    <w:rsid w:val="1C7F6142"/>
    <w:rsid w:val="1C866EEA"/>
    <w:rsid w:val="1C8A7C16"/>
    <w:rsid w:val="1C909AE0"/>
    <w:rsid w:val="1C955A61"/>
    <w:rsid w:val="1C9567C6"/>
    <w:rsid w:val="1C9D16E4"/>
    <w:rsid w:val="1CA15581"/>
    <w:rsid w:val="1CABB16B"/>
    <w:rsid w:val="1CADDCC6"/>
    <w:rsid w:val="1CB038B5"/>
    <w:rsid w:val="1CB10DDB"/>
    <w:rsid w:val="1CB95C30"/>
    <w:rsid w:val="1CBEECAD"/>
    <w:rsid w:val="1CC9F95E"/>
    <w:rsid w:val="1CCA5BDD"/>
    <w:rsid w:val="1CD069FD"/>
    <w:rsid w:val="1CD84A92"/>
    <w:rsid w:val="1CDA9221"/>
    <w:rsid w:val="1CDC3076"/>
    <w:rsid w:val="1CDE1E7D"/>
    <w:rsid w:val="1CF0191C"/>
    <w:rsid w:val="1CF308AA"/>
    <w:rsid w:val="1CF3CC14"/>
    <w:rsid w:val="1CF9167E"/>
    <w:rsid w:val="1CFCCEEC"/>
    <w:rsid w:val="1D0B38F5"/>
    <w:rsid w:val="1D118CD8"/>
    <w:rsid w:val="1D14380F"/>
    <w:rsid w:val="1D170438"/>
    <w:rsid w:val="1D1C6625"/>
    <w:rsid w:val="1D1E610E"/>
    <w:rsid w:val="1D30FC91"/>
    <w:rsid w:val="1D319FC0"/>
    <w:rsid w:val="1D31EBCA"/>
    <w:rsid w:val="1D338F78"/>
    <w:rsid w:val="1D355E76"/>
    <w:rsid w:val="1D36EE59"/>
    <w:rsid w:val="1D37BEE7"/>
    <w:rsid w:val="1D3FFAC1"/>
    <w:rsid w:val="1D441759"/>
    <w:rsid w:val="1D4D3E1B"/>
    <w:rsid w:val="1D50ED3E"/>
    <w:rsid w:val="1D514D80"/>
    <w:rsid w:val="1D519CE0"/>
    <w:rsid w:val="1D5318D0"/>
    <w:rsid w:val="1D542208"/>
    <w:rsid w:val="1D5893B8"/>
    <w:rsid w:val="1D5DD5AE"/>
    <w:rsid w:val="1D608D44"/>
    <w:rsid w:val="1D73F663"/>
    <w:rsid w:val="1D7AB0CF"/>
    <w:rsid w:val="1D83B1FF"/>
    <w:rsid w:val="1D875692"/>
    <w:rsid w:val="1D88838F"/>
    <w:rsid w:val="1D8DB1D9"/>
    <w:rsid w:val="1DA05DB9"/>
    <w:rsid w:val="1DA19CB1"/>
    <w:rsid w:val="1DAAAC35"/>
    <w:rsid w:val="1DB0753A"/>
    <w:rsid w:val="1DB38AD0"/>
    <w:rsid w:val="1DB7CA32"/>
    <w:rsid w:val="1DC023C6"/>
    <w:rsid w:val="1DC900C4"/>
    <w:rsid w:val="1DC9E1F7"/>
    <w:rsid w:val="1DCC79E0"/>
    <w:rsid w:val="1DD46553"/>
    <w:rsid w:val="1DD51D86"/>
    <w:rsid w:val="1DDDC4D3"/>
    <w:rsid w:val="1DE18E66"/>
    <w:rsid w:val="1DE22969"/>
    <w:rsid w:val="1DE2CA69"/>
    <w:rsid w:val="1DEAB913"/>
    <w:rsid w:val="1DF1FA88"/>
    <w:rsid w:val="1DFE5A69"/>
    <w:rsid w:val="1E001A27"/>
    <w:rsid w:val="1E0299FF"/>
    <w:rsid w:val="1E059192"/>
    <w:rsid w:val="1E0A6D1C"/>
    <w:rsid w:val="1E1925A3"/>
    <w:rsid w:val="1E2378C9"/>
    <w:rsid w:val="1E274708"/>
    <w:rsid w:val="1E2768D5"/>
    <w:rsid w:val="1E30F048"/>
    <w:rsid w:val="1E3AD33F"/>
    <w:rsid w:val="1E3B0421"/>
    <w:rsid w:val="1E3EF1CE"/>
    <w:rsid w:val="1E4AF85C"/>
    <w:rsid w:val="1E63B1D6"/>
    <w:rsid w:val="1E66B67B"/>
    <w:rsid w:val="1E671D10"/>
    <w:rsid w:val="1E6A91CA"/>
    <w:rsid w:val="1E6F4C07"/>
    <w:rsid w:val="1E79EF7B"/>
    <w:rsid w:val="1E7A35F5"/>
    <w:rsid w:val="1E84D890"/>
    <w:rsid w:val="1E92ABED"/>
    <w:rsid w:val="1E945D15"/>
    <w:rsid w:val="1E9CA486"/>
    <w:rsid w:val="1E9F4567"/>
    <w:rsid w:val="1EA1481C"/>
    <w:rsid w:val="1EA8926F"/>
    <w:rsid w:val="1EAD5D39"/>
    <w:rsid w:val="1EADEBD1"/>
    <w:rsid w:val="1EB979E2"/>
    <w:rsid w:val="1EBB255E"/>
    <w:rsid w:val="1EBC6DDD"/>
    <w:rsid w:val="1EC1AFF4"/>
    <w:rsid w:val="1EC2243E"/>
    <w:rsid w:val="1EC75E79"/>
    <w:rsid w:val="1ED3EF68"/>
    <w:rsid w:val="1ED8CF74"/>
    <w:rsid w:val="1EDDD406"/>
    <w:rsid w:val="1EE1BCC4"/>
    <w:rsid w:val="1EE26C24"/>
    <w:rsid w:val="1EF03DAC"/>
    <w:rsid w:val="1EF41A92"/>
    <w:rsid w:val="1EF4BB91"/>
    <w:rsid w:val="1EFE4F6A"/>
    <w:rsid w:val="1F021E5B"/>
    <w:rsid w:val="1F024155"/>
    <w:rsid w:val="1F04647D"/>
    <w:rsid w:val="1F0842E0"/>
    <w:rsid w:val="1F0CD8FE"/>
    <w:rsid w:val="1F15FAF5"/>
    <w:rsid w:val="1F21FA84"/>
    <w:rsid w:val="1F2391E6"/>
    <w:rsid w:val="1F2725F4"/>
    <w:rsid w:val="1F2E0845"/>
    <w:rsid w:val="1F31351D"/>
    <w:rsid w:val="1F4136CA"/>
    <w:rsid w:val="1F4514A4"/>
    <w:rsid w:val="1F48CE89"/>
    <w:rsid w:val="1F4BF015"/>
    <w:rsid w:val="1F4D701D"/>
    <w:rsid w:val="1F5CA639"/>
    <w:rsid w:val="1F609203"/>
    <w:rsid w:val="1F618B30"/>
    <w:rsid w:val="1F67A0E3"/>
    <w:rsid w:val="1F6C4AD4"/>
    <w:rsid w:val="1F77A37E"/>
    <w:rsid w:val="1F7CEC46"/>
    <w:rsid w:val="1F916B14"/>
    <w:rsid w:val="1F9AE09E"/>
    <w:rsid w:val="1F9DA605"/>
    <w:rsid w:val="1F9E38D3"/>
    <w:rsid w:val="1FA0C11D"/>
    <w:rsid w:val="1FA8AD0F"/>
    <w:rsid w:val="1FADB427"/>
    <w:rsid w:val="1FAEF5CB"/>
    <w:rsid w:val="1FB3EF25"/>
    <w:rsid w:val="1FB60E39"/>
    <w:rsid w:val="1FB6B9D6"/>
    <w:rsid w:val="1FB822C6"/>
    <w:rsid w:val="1FC57E8E"/>
    <w:rsid w:val="1FCAE158"/>
    <w:rsid w:val="1FD671E4"/>
    <w:rsid w:val="1FD6C5EB"/>
    <w:rsid w:val="1FE2C405"/>
    <w:rsid w:val="1FE57B77"/>
    <w:rsid w:val="1FEFA6AF"/>
    <w:rsid w:val="1FF69BBC"/>
    <w:rsid w:val="1FFD84FF"/>
    <w:rsid w:val="2000FFE2"/>
    <w:rsid w:val="20032CB4"/>
    <w:rsid w:val="20051832"/>
    <w:rsid w:val="2005FD13"/>
    <w:rsid w:val="200BA744"/>
    <w:rsid w:val="200E5D03"/>
    <w:rsid w:val="200EF7DA"/>
    <w:rsid w:val="20119671"/>
    <w:rsid w:val="20159F9B"/>
    <w:rsid w:val="2017D9FA"/>
    <w:rsid w:val="2030E1C6"/>
    <w:rsid w:val="2034AC48"/>
    <w:rsid w:val="2038F39E"/>
    <w:rsid w:val="203C0AE0"/>
    <w:rsid w:val="203D84CC"/>
    <w:rsid w:val="204182E5"/>
    <w:rsid w:val="2043FCD2"/>
    <w:rsid w:val="20492D9A"/>
    <w:rsid w:val="2050E634"/>
    <w:rsid w:val="20518141"/>
    <w:rsid w:val="2052A1B2"/>
    <w:rsid w:val="20574018"/>
    <w:rsid w:val="20650E60"/>
    <w:rsid w:val="206594C5"/>
    <w:rsid w:val="20668234"/>
    <w:rsid w:val="2067E67A"/>
    <w:rsid w:val="20684232"/>
    <w:rsid w:val="206E86D7"/>
    <w:rsid w:val="207B56D6"/>
    <w:rsid w:val="2081D432"/>
    <w:rsid w:val="20824280"/>
    <w:rsid w:val="2083DE63"/>
    <w:rsid w:val="208577F0"/>
    <w:rsid w:val="20858840"/>
    <w:rsid w:val="2085CA63"/>
    <w:rsid w:val="208EF8D3"/>
    <w:rsid w:val="20914ACA"/>
    <w:rsid w:val="2097C7F5"/>
    <w:rsid w:val="209D9142"/>
    <w:rsid w:val="209FC8DB"/>
    <w:rsid w:val="20B031D0"/>
    <w:rsid w:val="20BCE79D"/>
    <w:rsid w:val="20BE629F"/>
    <w:rsid w:val="20BEC681"/>
    <w:rsid w:val="20C76BC3"/>
    <w:rsid w:val="20C824AA"/>
    <w:rsid w:val="20CB3816"/>
    <w:rsid w:val="20D5405F"/>
    <w:rsid w:val="20D604CF"/>
    <w:rsid w:val="20D82AF7"/>
    <w:rsid w:val="20DA1DCC"/>
    <w:rsid w:val="20E8032A"/>
    <w:rsid w:val="20EA39AC"/>
    <w:rsid w:val="20F0B67F"/>
    <w:rsid w:val="20F55938"/>
    <w:rsid w:val="20F72084"/>
    <w:rsid w:val="20FAB24D"/>
    <w:rsid w:val="20FC86EB"/>
    <w:rsid w:val="20FFDBFF"/>
    <w:rsid w:val="21007905"/>
    <w:rsid w:val="21033A8C"/>
    <w:rsid w:val="210A98CA"/>
    <w:rsid w:val="210C8614"/>
    <w:rsid w:val="210F30BC"/>
    <w:rsid w:val="2112EACB"/>
    <w:rsid w:val="2113040E"/>
    <w:rsid w:val="21131E99"/>
    <w:rsid w:val="2116873E"/>
    <w:rsid w:val="212077EC"/>
    <w:rsid w:val="2128BF68"/>
    <w:rsid w:val="212D3B75"/>
    <w:rsid w:val="212E5B9E"/>
    <w:rsid w:val="213227A4"/>
    <w:rsid w:val="2134A3EA"/>
    <w:rsid w:val="21358633"/>
    <w:rsid w:val="213B3235"/>
    <w:rsid w:val="213B4917"/>
    <w:rsid w:val="213FC924"/>
    <w:rsid w:val="2142F5F2"/>
    <w:rsid w:val="2145A93F"/>
    <w:rsid w:val="21474EF8"/>
    <w:rsid w:val="214BF9A1"/>
    <w:rsid w:val="214D7F6B"/>
    <w:rsid w:val="215477A5"/>
    <w:rsid w:val="215ABE18"/>
    <w:rsid w:val="215F3CE2"/>
    <w:rsid w:val="21609D76"/>
    <w:rsid w:val="216128D9"/>
    <w:rsid w:val="2164392C"/>
    <w:rsid w:val="21650889"/>
    <w:rsid w:val="216BE541"/>
    <w:rsid w:val="216CEB5B"/>
    <w:rsid w:val="2172181B"/>
    <w:rsid w:val="217C0A8B"/>
    <w:rsid w:val="217CB37C"/>
    <w:rsid w:val="217EDCC6"/>
    <w:rsid w:val="218DB2F2"/>
    <w:rsid w:val="218EE178"/>
    <w:rsid w:val="219411BF"/>
    <w:rsid w:val="2194962E"/>
    <w:rsid w:val="219FEC41"/>
    <w:rsid w:val="21A63F3D"/>
    <w:rsid w:val="21ACE1D6"/>
    <w:rsid w:val="21B75B66"/>
    <w:rsid w:val="21BB62F5"/>
    <w:rsid w:val="21C79369"/>
    <w:rsid w:val="21C7DDB9"/>
    <w:rsid w:val="21C8D5F1"/>
    <w:rsid w:val="21CA31DD"/>
    <w:rsid w:val="21CE8439"/>
    <w:rsid w:val="21D36A6B"/>
    <w:rsid w:val="21DF936A"/>
    <w:rsid w:val="21E74200"/>
    <w:rsid w:val="21E8667E"/>
    <w:rsid w:val="21EB1C83"/>
    <w:rsid w:val="21F23CC2"/>
    <w:rsid w:val="21F37430"/>
    <w:rsid w:val="21F4E05F"/>
    <w:rsid w:val="220874E8"/>
    <w:rsid w:val="220B4A52"/>
    <w:rsid w:val="220E86A7"/>
    <w:rsid w:val="221A0CFC"/>
    <w:rsid w:val="221AECF5"/>
    <w:rsid w:val="221B3E36"/>
    <w:rsid w:val="221C1EEF"/>
    <w:rsid w:val="222D85BE"/>
    <w:rsid w:val="2230435C"/>
    <w:rsid w:val="2230AB52"/>
    <w:rsid w:val="22365849"/>
    <w:rsid w:val="223661CA"/>
    <w:rsid w:val="22376045"/>
    <w:rsid w:val="223DF2C7"/>
    <w:rsid w:val="223F465B"/>
    <w:rsid w:val="224A342E"/>
    <w:rsid w:val="2250F047"/>
    <w:rsid w:val="225B1BB0"/>
    <w:rsid w:val="225FFD08"/>
    <w:rsid w:val="22684B3C"/>
    <w:rsid w:val="22691BD1"/>
    <w:rsid w:val="2272832D"/>
    <w:rsid w:val="22768E12"/>
    <w:rsid w:val="2277967C"/>
    <w:rsid w:val="228226BA"/>
    <w:rsid w:val="228CCFBE"/>
    <w:rsid w:val="2292C008"/>
    <w:rsid w:val="229B897E"/>
    <w:rsid w:val="229F18D0"/>
    <w:rsid w:val="22A3F294"/>
    <w:rsid w:val="22A3FEB7"/>
    <w:rsid w:val="22AB65E1"/>
    <w:rsid w:val="22B16324"/>
    <w:rsid w:val="22B47E28"/>
    <w:rsid w:val="22BBDD47"/>
    <w:rsid w:val="22BD51BE"/>
    <w:rsid w:val="22C1B50A"/>
    <w:rsid w:val="22CA479E"/>
    <w:rsid w:val="22D1B5F4"/>
    <w:rsid w:val="22D31524"/>
    <w:rsid w:val="22D70296"/>
    <w:rsid w:val="22D9174D"/>
    <w:rsid w:val="22DF1F50"/>
    <w:rsid w:val="22E8309A"/>
    <w:rsid w:val="22EBEAAF"/>
    <w:rsid w:val="22EE5E53"/>
    <w:rsid w:val="22F31525"/>
    <w:rsid w:val="22F99E62"/>
    <w:rsid w:val="22FABDC9"/>
    <w:rsid w:val="2302A02F"/>
    <w:rsid w:val="2304DB3B"/>
    <w:rsid w:val="230B1B0B"/>
    <w:rsid w:val="231005DE"/>
    <w:rsid w:val="23101B51"/>
    <w:rsid w:val="2316883A"/>
    <w:rsid w:val="231A1C50"/>
    <w:rsid w:val="231C6F6B"/>
    <w:rsid w:val="231FEABD"/>
    <w:rsid w:val="232CCAC0"/>
    <w:rsid w:val="2338E3DC"/>
    <w:rsid w:val="233D9DD5"/>
    <w:rsid w:val="233E2ADA"/>
    <w:rsid w:val="234DF88D"/>
    <w:rsid w:val="235270F1"/>
    <w:rsid w:val="23679858"/>
    <w:rsid w:val="2369F3D7"/>
    <w:rsid w:val="237D094E"/>
    <w:rsid w:val="237D8ACB"/>
    <w:rsid w:val="23924F58"/>
    <w:rsid w:val="2398C5E1"/>
    <w:rsid w:val="23A15449"/>
    <w:rsid w:val="23A747D1"/>
    <w:rsid w:val="23A9C64A"/>
    <w:rsid w:val="23ACCE57"/>
    <w:rsid w:val="23ADEA5F"/>
    <w:rsid w:val="23B06DA2"/>
    <w:rsid w:val="23B1E826"/>
    <w:rsid w:val="23B31BED"/>
    <w:rsid w:val="23B65EE5"/>
    <w:rsid w:val="23B94A32"/>
    <w:rsid w:val="23C39986"/>
    <w:rsid w:val="23D7CAC0"/>
    <w:rsid w:val="23D96E49"/>
    <w:rsid w:val="23DD61FF"/>
    <w:rsid w:val="23E43897"/>
    <w:rsid w:val="23EEDC7D"/>
    <w:rsid w:val="23F47206"/>
    <w:rsid w:val="23F65942"/>
    <w:rsid w:val="23FDF0E7"/>
    <w:rsid w:val="240877F8"/>
    <w:rsid w:val="240E12F9"/>
    <w:rsid w:val="24123C34"/>
    <w:rsid w:val="241F7062"/>
    <w:rsid w:val="24209C13"/>
    <w:rsid w:val="242224D6"/>
    <w:rsid w:val="24294326"/>
    <w:rsid w:val="2429AE37"/>
    <w:rsid w:val="24317A5B"/>
    <w:rsid w:val="24384F19"/>
    <w:rsid w:val="243B3DA5"/>
    <w:rsid w:val="243BB3C1"/>
    <w:rsid w:val="24431171"/>
    <w:rsid w:val="24431D99"/>
    <w:rsid w:val="244B9797"/>
    <w:rsid w:val="244CBBB6"/>
    <w:rsid w:val="244DBFDD"/>
    <w:rsid w:val="244DEEE5"/>
    <w:rsid w:val="2451EEA6"/>
    <w:rsid w:val="245256D0"/>
    <w:rsid w:val="2453ED7E"/>
    <w:rsid w:val="2456D4E3"/>
    <w:rsid w:val="24597749"/>
    <w:rsid w:val="245C9162"/>
    <w:rsid w:val="2462856E"/>
    <w:rsid w:val="24662215"/>
    <w:rsid w:val="2467A489"/>
    <w:rsid w:val="247129CC"/>
    <w:rsid w:val="2471C7C1"/>
    <w:rsid w:val="2473A484"/>
    <w:rsid w:val="24788D89"/>
    <w:rsid w:val="247BE071"/>
    <w:rsid w:val="247F6584"/>
    <w:rsid w:val="2485DD41"/>
    <w:rsid w:val="248B9B94"/>
    <w:rsid w:val="2490B8EA"/>
    <w:rsid w:val="2493F9E4"/>
    <w:rsid w:val="2495ACEF"/>
    <w:rsid w:val="24A5CBA2"/>
    <w:rsid w:val="24A78A9C"/>
    <w:rsid w:val="24AC4D3B"/>
    <w:rsid w:val="24AC659B"/>
    <w:rsid w:val="24AD2C2A"/>
    <w:rsid w:val="24AED63C"/>
    <w:rsid w:val="24AF039A"/>
    <w:rsid w:val="24B2FCA9"/>
    <w:rsid w:val="24C99A47"/>
    <w:rsid w:val="24DA7007"/>
    <w:rsid w:val="24E5FEBA"/>
    <w:rsid w:val="24F09B15"/>
    <w:rsid w:val="24F94EF5"/>
    <w:rsid w:val="24FF9AF6"/>
    <w:rsid w:val="2505CE29"/>
    <w:rsid w:val="250B8B27"/>
    <w:rsid w:val="250BCA4C"/>
    <w:rsid w:val="250D71EB"/>
    <w:rsid w:val="250EE3A3"/>
    <w:rsid w:val="2514BDDA"/>
    <w:rsid w:val="2515C55F"/>
    <w:rsid w:val="25162C9A"/>
    <w:rsid w:val="25184F85"/>
    <w:rsid w:val="251A10DD"/>
    <w:rsid w:val="251EDE1F"/>
    <w:rsid w:val="2521E315"/>
    <w:rsid w:val="25283C26"/>
    <w:rsid w:val="253C8E8B"/>
    <w:rsid w:val="253CF990"/>
    <w:rsid w:val="253E3E8F"/>
    <w:rsid w:val="2544104B"/>
    <w:rsid w:val="25478CCE"/>
    <w:rsid w:val="25496CF2"/>
    <w:rsid w:val="255727CB"/>
    <w:rsid w:val="255DEDF7"/>
    <w:rsid w:val="25744559"/>
    <w:rsid w:val="25760E01"/>
    <w:rsid w:val="25762B56"/>
    <w:rsid w:val="25775632"/>
    <w:rsid w:val="257891F7"/>
    <w:rsid w:val="2578AD2C"/>
    <w:rsid w:val="25816069"/>
    <w:rsid w:val="258A475D"/>
    <w:rsid w:val="258D7E9F"/>
    <w:rsid w:val="258DC761"/>
    <w:rsid w:val="2592C15D"/>
    <w:rsid w:val="2597A1CB"/>
    <w:rsid w:val="2599C148"/>
    <w:rsid w:val="259D8302"/>
    <w:rsid w:val="25AE8294"/>
    <w:rsid w:val="25AF7511"/>
    <w:rsid w:val="25B86E81"/>
    <w:rsid w:val="25B9113C"/>
    <w:rsid w:val="25BCD58C"/>
    <w:rsid w:val="25BE1E4B"/>
    <w:rsid w:val="25CF6E8C"/>
    <w:rsid w:val="25CF8792"/>
    <w:rsid w:val="25D23510"/>
    <w:rsid w:val="25D4713D"/>
    <w:rsid w:val="25DAC76E"/>
    <w:rsid w:val="25DEB9F0"/>
    <w:rsid w:val="25E70EF5"/>
    <w:rsid w:val="25F532FF"/>
    <w:rsid w:val="25F5AA9E"/>
    <w:rsid w:val="25F64CAA"/>
    <w:rsid w:val="25F6F6F4"/>
    <w:rsid w:val="25FC308B"/>
    <w:rsid w:val="260113B2"/>
    <w:rsid w:val="260366CC"/>
    <w:rsid w:val="260F9BB2"/>
    <w:rsid w:val="2610DE8B"/>
    <w:rsid w:val="26147BFA"/>
    <w:rsid w:val="2617F81C"/>
    <w:rsid w:val="261AEF23"/>
    <w:rsid w:val="261BF1D5"/>
    <w:rsid w:val="261EA6DD"/>
    <w:rsid w:val="26238D61"/>
    <w:rsid w:val="26247BD1"/>
    <w:rsid w:val="26260FE5"/>
    <w:rsid w:val="26460C9F"/>
    <w:rsid w:val="26558E09"/>
    <w:rsid w:val="2656B998"/>
    <w:rsid w:val="265ACF6C"/>
    <w:rsid w:val="265D279B"/>
    <w:rsid w:val="266B9609"/>
    <w:rsid w:val="26786DFA"/>
    <w:rsid w:val="267CCD9C"/>
    <w:rsid w:val="267CFE2F"/>
    <w:rsid w:val="267D6028"/>
    <w:rsid w:val="2689429F"/>
    <w:rsid w:val="268FDC0F"/>
    <w:rsid w:val="26925958"/>
    <w:rsid w:val="26947985"/>
    <w:rsid w:val="26955354"/>
    <w:rsid w:val="2697462D"/>
    <w:rsid w:val="26990105"/>
    <w:rsid w:val="26AEA3E5"/>
    <w:rsid w:val="26B3A5AA"/>
    <w:rsid w:val="26B4990E"/>
    <w:rsid w:val="26B859B4"/>
    <w:rsid w:val="26CCCD6A"/>
    <w:rsid w:val="26DAEF16"/>
    <w:rsid w:val="26DC9083"/>
    <w:rsid w:val="26DF93E6"/>
    <w:rsid w:val="26E2F74E"/>
    <w:rsid w:val="26E31FF2"/>
    <w:rsid w:val="26E9A9F8"/>
    <w:rsid w:val="26F16291"/>
    <w:rsid w:val="26F22817"/>
    <w:rsid w:val="26F3D611"/>
    <w:rsid w:val="26F54F0D"/>
    <w:rsid w:val="26F56C4D"/>
    <w:rsid w:val="26FEDFC9"/>
    <w:rsid w:val="2702EA17"/>
    <w:rsid w:val="27055161"/>
    <w:rsid w:val="27061142"/>
    <w:rsid w:val="270F9EDB"/>
    <w:rsid w:val="27183C0B"/>
    <w:rsid w:val="271CAA03"/>
    <w:rsid w:val="2722C2FF"/>
    <w:rsid w:val="27234D88"/>
    <w:rsid w:val="272DB504"/>
    <w:rsid w:val="273D52CD"/>
    <w:rsid w:val="274D14B7"/>
    <w:rsid w:val="275B2834"/>
    <w:rsid w:val="275D8B1E"/>
    <w:rsid w:val="276325D2"/>
    <w:rsid w:val="27666EBE"/>
    <w:rsid w:val="27667ABE"/>
    <w:rsid w:val="276A48F9"/>
    <w:rsid w:val="276D4445"/>
    <w:rsid w:val="27853B49"/>
    <w:rsid w:val="2789E66B"/>
    <w:rsid w:val="278C91F3"/>
    <w:rsid w:val="278EBD0E"/>
    <w:rsid w:val="27964A9D"/>
    <w:rsid w:val="279AB7B3"/>
    <w:rsid w:val="27AB7B8A"/>
    <w:rsid w:val="27AFFF7C"/>
    <w:rsid w:val="27B20E18"/>
    <w:rsid w:val="27B6DCA5"/>
    <w:rsid w:val="27BC6463"/>
    <w:rsid w:val="27C44FC3"/>
    <w:rsid w:val="27C78629"/>
    <w:rsid w:val="27CE8F96"/>
    <w:rsid w:val="27D037E4"/>
    <w:rsid w:val="27D24FA5"/>
    <w:rsid w:val="27D3B65B"/>
    <w:rsid w:val="27D9553C"/>
    <w:rsid w:val="27E11815"/>
    <w:rsid w:val="27FC5122"/>
    <w:rsid w:val="27FC857F"/>
    <w:rsid w:val="2805120B"/>
    <w:rsid w:val="28066C72"/>
    <w:rsid w:val="28081967"/>
    <w:rsid w:val="280CDFFF"/>
    <w:rsid w:val="280D938A"/>
    <w:rsid w:val="28123C7F"/>
    <w:rsid w:val="28153AC2"/>
    <w:rsid w:val="281E5EC2"/>
    <w:rsid w:val="281F0C09"/>
    <w:rsid w:val="282F98C0"/>
    <w:rsid w:val="2848DA99"/>
    <w:rsid w:val="284A07EA"/>
    <w:rsid w:val="284AB43B"/>
    <w:rsid w:val="28510B24"/>
    <w:rsid w:val="2853DE2E"/>
    <w:rsid w:val="285581B8"/>
    <w:rsid w:val="285A9658"/>
    <w:rsid w:val="2870F83C"/>
    <w:rsid w:val="287180BF"/>
    <w:rsid w:val="28774CE2"/>
    <w:rsid w:val="2878F8BD"/>
    <w:rsid w:val="28819866"/>
    <w:rsid w:val="2884895E"/>
    <w:rsid w:val="288D013A"/>
    <w:rsid w:val="289DF986"/>
    <w:rsid w:val="28A735AD"/>
    <w:rsid w:val="28AD3AF2"/>
    <w:rsid w:val="28B41927"/>
    <w:rsid w:val="28BC15C2"/>
    <w:rsid w:val="28BFACC9"/>
    <w:rsid w:val="28C21D23"/>
    <w:rsid w:val="28D78B9D"/>
    <w:rsid w:val="28DF512F"/>
    <w:rsid w:val="28E33D42"/>
    <w:rsid w:val="28EA3082"/>
    <w:rsid w:val="28EA31F7"/>
    <w:rsid w:val="28EBE0EF"/>
    <w:rsid w:val="28F2E756"/>
    <w:rsid w:val="28F603EC"/>
    <w:rsid w:val="28F922C1"/>
    <w:rsid w:val="29058551"/>
    <w:rsid w:val="290679AB"/>
    <w:rsid w:val="29070C14"/>
    <w:rsid w:val="2912A14B"/>
    <w:rsid w:val="2917BE90"/>
    <w:rsid w:val="291A6AB3"/>
    <w:rsid w:val="291B7942"/>
    <w:rsid w:val="2920D00E"/>
    <w:rsid w:val="292CDFB9"/>
    <w:rsid w:val="29363E68"/>
    <w:rsid w:val="293671C5"/>
    <w:rsid w:val="29473B7D"/>
    <w:rsid w:val="294C50BA"/>
    <w:rsid w:val="294C70DB"/>
    <w:rsid w:val="2960E15B"/>
    <w:rsid w:val="2968ED06"/>
    <w:rsid w:val="296A5115"/>
    <w:rsid w:val="296A9F58"/>
    <w:rsid w:val="2972957A"/>
    <w:rsid w:val="2975FFAA"/>
    <w:rsid w:val="297859FE"/>
    <w:rsid w:val="29861E68"/>
    <w:rsid w:val="298C8C05"/>
    <w:rsid w:val="299C7A40"/>
    <w:rsid w:val="299DABBE"/>
    <w:rsid w:val="29A2AF79"/>
    <w:rsid w:val="29ACFBDC"/>
    <w:rsid w:val="29B4B2DB"/>
    <w:rsid w:val="29B7F845"/>
    <w:rsid w:val="29B8D906"/>
    <w:rsid w:val="29CB57E4"/>
    <w:rsid w:val="29D08555"/>
    <w:rsid w:val="29D223E5"/>
    <w:rsid w:val="29DBB374"/>
    <w:rsid w:val="29DD0903"/>
    <w:rsid w:val="29DF6D3E"/>
    <w:rsid w:val="29E2A215"/>
    <w:rsid w:val="29E2D8C3"/>
    <w:rsid w:val="29E579C4"/>
    <w:rsid w:val="29E73650"/>
    <w:rsid w:val="29EE4D8F"/>
    <w:rsid w:val="29F11F97"/>
    <w:rsid w:val="29F29700"/>
    <w:rsid w:val="29FC0EE8"/>
    <w:rsid w:val="2A04C358"/>
    <w:rsid w:val="2A0B5181"/>
    <w:rsid w:val="2A154BB0"/>
    <w:rsid w:val="2A183035"/>
    <w:rsid w:val="2A23F360"/>
    <w:rsid w:val="2A2E1740"/>
    <w:rsid w:val="2A33ECA9"/>
    <w:rsid w:val="2A3B55B9"/>
    <w:rsid w:val="2A3E6A8E"/>
    <w:rsid w:val="2A40F4F9"/>
    <w:rsid w:val="2A43FA09"/>
    <w:rsid w:val="2A497544"/>
    <w:rsid w:val="2A530350"/>
    <w:rsid w:val="2A545D6F"/>
    <w:rsid w:val="2A5DE5E0"/>
    <w:rsid w:val="2A5E8886"/>
    <w:rsid w:val="2A61E2BA"/>
    <w:rsid w:val="2A61F6A0"/>
    <w:rsid w:val="2A625404"/>
    <w:rsid w:val="2A67BF04"/>
    <w:rsid w:val="2A687208"/>
    <w:rsid w:val="2A6D326B"/>
    <w:rsid w:val="2A77D603"/>
    <w:rsid w:val="2A7821E7"/>
    <w:rsid w:val="2A7A5C31"/>
    <w:rsid w:val="2A821326"/>
    <w:rsid w:val="2A871F97"/>
    <w:rsid w:val="2A87D837"/>
    <w:rsid w:val="2A88D0FF"/>
    <w:rsid w:val="2A89F186"/>
    <w:rsid w:val="2A8B4531"/>
    <w:rsid w:val="2A8B58B5"/>
    <w:rsid w:val="2A8C59D7"/>
    <w:rsid w:val="2A8F3289"/>
    <w:rsid w:val="2A95E0DD"/>
    <w:rsid w:val="2A97D2AF"/>
    <w:rsid w:val="2A9A7D06"/>
    <w:rsid w:val="2A9D40A6"/>
    <w:rsid w:val="2AA43429"/>
    <w:rsid w:val="2AA71758"/>
    <w:rsid w:val="2AAD563F"/>
    <w:rsid w:val="2AB08504"/>
    <w:rsid w:val="2AB40544"/>
    <w:rsid w:val="2AC3E5BF"/>
    <w:rsid w:val="2ACCAC2C"/>
    <w:rsid w:val="2AD04D24"/>
    <w:rsid w:val="2AD14E69"/>
    <w:rsid w:val="2AD726E3"/>
    <w:rsid w:val="2AD85B37"/>
    <w:rsid w:val="2AECF96E"/>
    <w:rsid w:val="2AEE8FDF"/>
    <w:rsid w:val="2AEE93AE"/>
    <w:rsid w:val="2AF02B72"/>
    <w:rsid w:val="2AF73A91"/>
    <w:rsid w:val="2AFC6CCE"/>
    <w:rsid w:val="2AFF66E3"/>
    <w:rsid w:val="2AFF8FFB"/>
    <w:rsid w:val="2B007DD9"/>
    <w:rsid w:val="2B008213"/>
    <w:rsid w:val="2B034511"/>
    <w:rsid w:val="2B12A0D8"/>
    <w:rsid w:val="2B17D39D"/>
    <w:rsid w:val="2B2BD22F"/>
    <w:rsid w:val="2B38234C"/>
    <w:rsid w:val="2B3831E9"/>
    <w:rsid w:val="2B457659"/>
    <w:rsid w:val="2B45DF5B"/>
    <w:rsid w:val="2B45FECC"/>
    <w:rsid w:val="2B461FF3"/>
    <w:rsid w:val="2B4AE7FD"/>
    <w:rsid w:val="2B4CE803"/>
    <w:rsid w:val="2B4DB6B5"/>
    <w:rsid w:val="2B4FDE16"/>
    <w:rsid w:val="2B513091"/>
    <w:rsid w:val="2B587549"/>
    <w:rsid w:val="2B5D8354"/>
    <w:rsid w:val="2B5ECFD5"/>
    <w:rsid w:val="2B60B1A4"/>
    <w:rsid w:val="2B62FB06"/>
    <w:rsid w:val="2B6E5E6D"/>
    <w:rsid w:val="2B77312A"/>
    <w:rsid w:val="2B8337D1"/>
    <w:rsid w:val="2B88D40C"/>
    <w:rsid w:val="2B98BA62"/>
    <w:rsid w:val="2B9B7750"/>
    <w:rsid w:val="2BA446F0"/>
    <w:rsid w:val="2BA4D6C6"/>
    <w:rsid w:val="2BB21289"/>
    <w:rsid w:val="2BB3455D"/>
    <w:rsid w:val="2BB8D4B0"/>
    <w:rsid w:val="2BC1BC1B"/>
    <w:rsid w:val="2BCB56AF"/>
    <w:rsid w:val="2BCD4D65"/>
    <w:rsid w:val="2BCDEEB1"/>
    <w:rsid w:val="2BCDF55E"/>
    <w:rsid w:val="2BD61BAC"/>
    <w:rsid w:val="2BDB9FA8"/>
    <w:rsid w:val="2BDBD5C7"/>
    <w:rsid w:val="2BE41862"/>
    <w:rsid w:val="2BEB86DB"/>
    <w:rsid w:val="2BEC7E06"/>
    <w:rsid w:val="2BF2DCFC"/>
    <w:rsid w:val="2C0002D6"/>
    <w:rsid w:val="2C01E76D"/>
    <w:rsid w:val="2C0902CC"/>
    <w:rsid w:val="2C0D3310"/>
    <w:rsid w:val="2C0FFC87"/>
    <w:rsid w:val="2C155026"/>
    <w:rsid w:val="2C289088"/>
    <w:rsid w:val="2C2D6DC3"/>
    <w:rsid w:val="2C4129C6"/>
    <w:rsid w:val="2C49D2BF"/>
    <w:rsid w:val="2C4CE120"/>
    <w:rsid w:val="2C4D2B0C"/>
    <w:rsid w:val="2C535C6F"/>
    <w:rsid w:val="2C545252"/>
    <w:rsid w:val="2C5F910C"/>
    <w:rsid w:val="2C68BA20"/>
    <w:rsid w:val="2C6E3D19"/>
    <w:rsid w:val="2C7D54E3"/>
    <w:rsid w:val="2C8573C4"/>
    <w:rsid w:val="2C862007"/>
    <w:rsid w:val="2C869747"/>
    <w:rsid w:val="2C8BDAB8"/>
    <w:rsid w:val="2C8D447B"/>
    <w:rsid w:val="2C8F5215"/>
    <w:rsid w:val="2C930AF2"/>
    <w:rsid w:val="2C94408A"/>
    <w:rsid w:val="2C9BE511"/>
    <w:rsid w:val="2C9D72EB"/>
    <w:rsid w:val="2CA137E8"/>
    <w:rsid w:val="2CA228CF"/>
    <w:rsid w:val="2CA23BD5"/>
    <w:rsid w:val="2CA5A9AA"/>
    <w:rsid w:val="2CA82339"/>
    <w:rsid w:val="2CCB6F48"/>
    <w:rsid w:val="2CD22C6D"/>
    <w:rsid w:val="2CD48423"/>
    <w:rsid w:val="2CD6885F"/>
    <w:rsid w:val="2CD8512F"/>
    <w:rsid w:val="2CD98E71"/>
    <w:rsid w:val="2CDAA3CF"/>
    <w:rsid w:val="2CE39D62"/>
    <w:rsid w:val="2CE58915"/>
    <w:rsid w:val="2CEDE084"/>
    <w:rsid w:val="2CF20601"/>
    <w:rsid w:val="2CF89082"/>
    <w:rsid w:val="2CFA333F"/>
    <w:rsid w:val="2CFB16E8"/>
    <w:rsid w:val="2D035864"/>
    <w:rsid w:val="2D095583"/>
    <w:rsid w:val="2D098EF7"/>
    <w:rsid w:val="2D0D11E6"/>
    <w:rsid w:val="2D0EB29E"/>
    <w:rsid w:val="2D1B9874"/>
    <w:rsid w:val="2D2AB90F"/>
    <w:rsid w:val="2D2B1DB6"/>
    <w:rsid w:val="2D2BD178"/>
    <w:rsid w:val="2D2C347C"/>
    <w:rsid w:val="2D3FC2D7"/>
    <w:rsid w:val="2D4A06D4"/>
    <w:rsid w:val="2D4B186D"/>
    <w:rsid w:val="2D55B99C"/>
    <w:rsid w:val="2D60226B"/>
    <w:rsid w:val="2D6B6B8C"/>
    <w:rsid w:val="2D6BF8BE"/>
    <w:rsid w:val="2D748D48"/>
    <w:rsid w:val="2D76C4BD"/>
    <w:rsid w:val="2D811606"/>
    <w:rsid w:val="2D8320BF"/>
    <w:rsid w:val="2D83FD4B"/>
    <w:rsid w:val="2DA38D95"/>
    <w:rsid w:val="2DA44C1C"/>
    <w:rsid w:val="2DABE519"/>
    <w:rsid w:val="2DADCC32"/>
    <w:rsid w:val="2DB17AAB"/>
    <w:rsid w:val="2DB8FABA"/>
    <w:rsid w:val="2DBF8F48"/>
    <w:rsid w:val="2DC1E467"/>
    <w:rsid w:val="2DCA6E05"/>
    <w:rsid w:val="2DCCB6CD"/>
    <w:rsid w:val="2DCE7CC9"/>
    <w:rsid w:val="2DD2AF6D"/>
    <w:rsid w:val="2DDEA436"/>
    <w:rsid w:val="2DEA285E"/>
    <w:rsid w:val="2DF70BED"/>
    <w:rsid w:val="2DFE75EA"/>
    <w:rsid w:val="2E0FD66B"/>
    <w:rsid w:val="2E12055B"/>
    <w:rsid w:val="2E12B0DA"/>
    <w:rsid w:val="2E13ED34"/>
    <w:rsid w:val="2E1A86CA"/>
    <w:rsid w:val="2E1E4C8A"/>
    <w:rsid w:val="2E1EAA17"/>
    <w:rsid w:val="2E1F1C21"/>
    <w:rsid w:val="2E21DE21"/>
    <w:rsid w:val="2E233ED4"/>
    <w:rsid w:val="2E296F4C"/>
    <w:rsid w:val="2E2E04FB"/>
    <w:rsid w:val="2E2F7B8B"/>
    <w:rsid w:val="2E310D07"/>
    <w:rsid w:val="2E3316F2"/>
    <w:rsid w:val="2E33FC51"/>
    <w:rsid w:val="2E37B02F"/>
    <w:rsid w:val="2E3DEAEE"/>
    <w:rsid w:val="2E404BB8"/>
    <w:rsid w:val="2E4198C4"/>
    <w:rsid w:val="2E44765E"/>
    <w:rsid w:val="2E4B6482"/>
    <w:rsid w:val="2E4F8B7B"/>
    <w:rsid w:val="2E50D422"/>
    <w:rsid w:val="2E50DDEB"/>
    <w:rsid w:val="2E5F16A9"/>
    <w:rsid w:val="2E5F943E"/>
    <w:rsid w:val="2E60FFE1"/>
    <w:rsid w:val="2E643702"/>
    <w:rsid w:val="2E6E08E1"/>
    <w:rsid w:val="2E733AF4"/>
    <w:rsid w:val="2E78F74F"/>
    <w:rsid w:val="2E7A2B60"/>
    <w:rsid w:val="2E800759"/>
    <w:rsid w:val="2E85F2B9"/>
    <w:rsid w:val="2E8C9B35"/>
    <w:rsid w:val="2E8DF4AC"/>
    <w:rsid w:val="2E8E94DB"/>
    <w:rsid w:val="2E91E526"/>
    <w:rsid w:val="2E94596F"/>
    <w:rsid w:val="2E959AAF"/>
    <w:rsid w:val="2E975F60"/>
    <w:rsid w:val="2E99850D"/>
    <w:rsid w:val="2E9B58A4"/>
    <w:rsid w:val="2EA538E0"/>
    <w:rsid w:val="2EA96C6E"/>
    <w:rsid w:val="2EACB878"/>
    <w:rsid w:val="2EADDCE0"/>
    <w:rsid w:val="2EBBD5FD"/>
    <w:rsid w:val="2EBD8856"/>
    <w:rsid w:val="2EC2170A"/>
    <w:rsid w:val="2EC4FD02"/>
    <w:rsid w:val="2EC5F7C0"/>
    <w:rsid w:val="2EC81309"/>
    <w:rsid w:val="2EC92225"/>
    <w:rsid w:val="2ECE658A"/>
    <w:rsid w:val="2ED52081"/>
    <w:rsid w:val="2ED58180"/>
    <w:rsid w:val="2EDAB6FD"/>
    <w:rsid w:val="2EE64D72"/>
    <w:rsid w:val="2EE8DA35"/>
    <w:rsid w:val="2EF90CC7"/>
    <w:rsid w:val="2EFDE98B"/>
    <w:rsid w:val="2F00AC14"/>
    <w:rsid w:val="2F02B835"/>
    <w:rsid w:val="2F046A18"/>
    <w:rsid w:val="2F0A5F04"/>
    <w:rsid w:val="2F0CFCE0"/>
    <w:rsid w:val="2F0ECFC1"/>
    <w:rsid w:val="2F0FBB56"/>
    <w:rsid w:val="2F144846"/>
    <w:rsid w:val="2F1A2BFE"/>
    <w:rsid w:val="2F40A38E"/>
    <w:rsid w:val="2F44BFBD"/>
    <w:rsid w:val="2F4B7BD9"/>
    <w:rsid w:val="2F4DF9D4"/>
    <w:rsid w:val="2F4F1636"/>
    <w:rsid w:val="2F541EBB"/>
    <w:rsid w:val="2F54DC59"/>
    <w:rsid w:val="2F577600"/>
    <w:rsid w:val="2F5AB626"/>
    <w:rsid w:val="2F68E5DB"/>
    <w:rsid w:val="2F6DB88F"/>
    <w:rsid w:val="2F7139B2"/>
    <w:rsid w:val="2F75F2D9"/>
    <w:rsid w:val="2F7A43BF"/>
    <w:rsid w:val="2F82D95D"/>
    <w:rsid w:val="2F831461"/>
    <w:rsid w:val="2F86CBAB"/>
    <w:rsid w:val="2F875728"/>
    <w:rsid w:val="2F973877"/>
    <w:rsid w:val="2F983A8E"/>
    <w:rsid w:val="2F9C8E3D"/>
    <w:rsid w:val="2FABC407"/>
    <w:rsid w:val="2FB71AC7"/>
    <w:rsid w:val="2FB7607E"/>
    <w:rsid w:val="2FBAD18A"/>
    <w:rsid w:val="2FC27AB4"/>
    <w:rsid w:val="2FC9E6AA"/>
    <w:rsid w:val="2FCCB505"/>
    <w:rsid w:val="2FD7A266"/>
    <w:rsid w:val="2FD89EC4"/>
    <w:rsid w:val="2FEB1AC4"/>
    <w:rsid w:val="2FEDB61E"/>
    <w:rsid w:val="2FEE243F"/>
    <w:rsid w:val="2FF25875"/>
    <w:rsid w:val="2FF4525E"/>
    <w:rsid w:val="2FF52AD4"/>
    <w:rsid w:val="2FF72CE4"/>
    <w:rsid w:val="30044066"/>
    <w:rsid w:val="3011425B"/>
    <w:rsid w:val="3019507E"/>
    <w:rsid w:val="3024264E"/>
    <w:rsid w:val="302E30BB"/>
    <w:rsid w:val="302FC211"/>
    <w:rsid w:val="30356102"/>
    <w:rsid w:val="3035BA51"/>
    <w:rsid w:val="303B8097"/>
    <w:rsid w:val="303D8932"/>
    <w:rsid w:val="30445C63"/>
    <w:rsid w:val="304A0F9B"/>
    <w:rsid w:val="305DED5E"/>
    <w:rsid w:val="305EB1F5"/>
    <w:rsid w:val="30604EAD"/>
    <w:rsid w:val="306789CF"/>
    <w:rsid w:val="306A78C0"/>
    <w:rsid w:val="306C6FB9"/>
    <w:rsid w:val="30718D05"/>
    <w:rsid w:val="30778191"/>
    <w:rsid w:val="30836955"/>
    <w:rsid w:val="3086A670"/>
    <w:rsid w:val="3088C4E9"/>
    <w:rsid w:val="308C7E28"/>
    <w:rsid w:val="3098CCDD"/>
    <w:rsid w:val="30996455"/>
    <w:rsid w:val="309F0901"/>
    <w:rsid w:val="30B19C06"/>
    <w:rsid w:val="30B9BB8B"/>
    <w:rsid w:val="30BA83A7"/>
    <w:rsid w:val="30C50F72"/>
    <w:rsid w:val="30C67E7D"/>
    <w:rsid w:val="30C9643D"/>
    <w:rsid w:val="30D60A4F"/>
    <w:rsid w:val="30D7498B"/>
    <w:rsid w:val="30EB7D66"/>
    <w:rsid w:val="30EF19EE"/>
    <w:rsid w:val="30F196AC"/>
    <w:rsid w:val="30F5D514"/>
    <w:rsid w:val="30F6A211"/>
    <w:rsid w:val="30FB3AAE"/>
    <w:rsid w:val="3102DA65"/>
    <w:rsid w:val="3103CE14"/>
    <w:rsid w:val="3103EDF9"/>
    <w:rsid w:val="3107E7B6"/>
    <w:rsid w:val="310877AD"/>
    <w:rsid w:val="31162C11"/>
    <w:rsid w:val="31181CB3"/>
    <w:rsid w:val="31197828"/>
    <w:rsid w:val="3119A96E"/>
    <w:rsid w:val="311AD258"/>
    <w:rsid w:val="311CC3C3"/>
    <w:rsid w:val="311FD8AA"/>
    <w:rsid w:val="3122B944"/>
    <w:rsid w:val="31273EF5"/>
    <w:rsid w:val="312A9403"/>
    <w:rsid w:val="313E8D8E"/>
    <w:rsid w:val="3149DA84"/>
    <w:rsid w:val="314A9C39"/>
    <w:rsid w:val="314BC103"/>
    <w:rsid w:val="31569492"/>
    <w:rsid w:val="3156B554"/>
    <w:rsid w:val="3163BF42"/>
    <w:rsid w:val="31743996"/>
    <w:rsid w:val="317D8BFC"/>
    <w:rsid w:val="318319D9"/>
    <w:rsid w:val="31855F86"/>
    <w:rsid w:val="31875ACA"/>
    <w:rsid w:val="319D393A"/>
    <w:rsid w:val="319D4DE7"/>
    <w:rsid w:val="31A33E98"/>
    <w:rsid w:val="31A86C0A"/>
    <w:rsid w:val="31A8A270"/>
    <w:rsid w:val="31B04916"/>
    <w:rsid w:val="31B2A97B"/>
    <w:rsid w:val="31B3684F"/>
    <w:rsid w:val="31B4EDB7"/>
    <w:rsid w:val="31B80D8E"/>
    <w:rsid w:val="31B9AE73"/>
    <w:rsid w:val="31C4586F"/>
    <w:rsid w:val="31C65D1F"/>
    <w:rsid w:val="31C69F40"/>
    <w:rsid w:val="31C8A3F1"/>
    <w:rsid w:val="31CEE33C"/>
    <w:rsid w:val="31DC6B9A"/>
    <w:rsid w:val="31DD168C"/>
    <w:rsid w:val="31E987A2"/>
    <w:rsid w:val="31ED6F95"/>
    <w:rsid w:val="31EE9975"/>
    <w:rsid w:val="31FE1923"/>
    <w:rsid w:val="31FF1942"/>
    <w:rsid w:val="31FF1BC3"/>
    <w:rsid w:val="320480FA"/>
    <w:rsid w:val="320A3469"/>
    <w:rsid w:val="320B2217"/>
    <w:rsid w:val="32144430"/>
    <w:rsid w:val="32169023"/>
    <w:rsid w:val="321C0197"/>
    <w:rsid w:val="32258884"/>
    <w:rsid w:val="3225B7A5"/>
    <w:rsid w:val="3227A8D2"/>
    <w:rsid w:val="32322CB1"/>
    <w:rsid w:val="3238D0C6"/>
    <w:rsid w:val="32412B41"/>
    <w:rsid w:val="324268E6"/>
    <w:rsid w:val="32465089"/>
    <w:rsid w:val="324B9C5C"/>
    <w:rsid w:val="3251136D"/>
    <w:rsid w:val="325807E8"/>
    <w:rsid w:val="32623F53"/>
    <w:rsid w:val="326455C9"/>
    <w:rsid w:val="326CBCE6"/>
    <w:rsid w:val="327656AA"/>
    <w:rsid w:val="327BFFBA"/>
    <w:rsid w:val="327C56B4"/>
    <w:rsid w:val="3281BF97"/>
    <w:rsid w:val="32892E5D"/>
    <w:rsid w:val="32893AB7"/>
    <w:rsid w:val="328A4D20"/>
    <w:rsid w:val="328ACC74"/>
    <w:rsid w:val="328BDEC7"/>
    <w:rsid w:val="32909588"/>
    <w:rsid w:val="3295FF4C"/>
    <w:rsid w:val="329E56B9"/>
    <w:rsid w:val="32A1F371"/>
    <w:rsid w:val="32A4F3B4"/>
    <w:rsid w:val="32A51ABE"/>
    <w:rsid w:val="32A5C2F9"/>
    <w:rsid w:val="32AC2370"/>
    <w:rsid w:val="32B81D92"/>
    <w:rsid w:val="32B87352"/>
    <w:rsid w:val="32B9A817"/>
    <w:rsid w:val="32BDAD0F"/>
    <w:rsid w:val="32BFF86C"/>
    <w:rsid w:val="32D0854A"/>
    <w:rsid w:val="32DD0990"/>
    <w:rsid w:val="32E17D79"/>
    <w:rsid w:val="32E71C93"/>
    <w:rsid w:val="32E81DBC"/>
    <w:rsid w:val="32F5EA9B"/>
    <w:rsid w:val="32F938BF"/>
    <w:rsid w:val="32FAF790"/>
    <w:rsid w:val="33059AA5"/>
    <w:rsid w:val="330FB68F"/>
    <w:rsid w:val="3316DEA5"/>
    <w:rsid w:val="331DFE81"/>
    <w:rsid w:val="3322B787"/>
    <w:rsid w:val="3323E844"/>
    <w:rsid w:val="3328E5E4"/>
    <w:rsid w:val="33328916"/>
    <w:rsid w:val="333648B8"/>
    <w:rsid w:val="333A2D64"/>
    <w:rsid w:val="3344621D"/>
    <w:rsid w:val="3348C261"/>
    <w:rsid w:val="334DE64F"/>
    <w:rsid w:val="33536DDA"/>
    <w:rsid w:val="335E745C"/>
    <w:rsid w:val="336B95DF"/>
    <w:rsid w:val="338336C6"/>
    <w:rsid w:val="3384EE22"/>
    <w:rsid w:val="338557B0"/>
    <w:rsid w:val="3387A9CE"/>
    <w:rsid w:val="33888D16"/>
    <w:rsid w:val="33957CF0"/>
    <w:rsid w:val="339CCEE3"/>
    <w:rsid w:val="339CD7A2"/>
    <w:rsid w:val="339FA4AC"/>
    <w:rsid w:val="33A45D21"/>
    <w:rsid w:val="33A53092"/>
    <w:rsid w:val="33AF1771"/>
    <w:rsid w:val="33AF5D85"/>
    <w:rsid w:val="33B1764E"/>
    <w:rsid w:val="33BC7B46"/>
    <w:rsid w:val="33BCC719"/>
    <w:rsid w:val="33BDFC0B"/>
    <w:rsid w:val="33C20744"/>
    <w:rsid w:val="33C33FC0"/>
    <w:rsid w:val="33D17547"/>
    <w:rsid w:val="33D3DDC9"/>
    <w:rsid w:val="33DB40CD"/>
    <w:rsid w:val="33DD2082"/>
    <w:rsid w:val="33E983EE"/>
    <w:rsid w:val="34026B3A"/>
    <w:rsid w:val="340B0E66"/>
    <w:rsid w:val="340D9E08"/>
    <w:rsid w:val="342EEB05"/>
    <w:rsid w:val="34308A38"/>
    <w:rsid w:val="3437F6EA"/>
    <w:rsid w:val="343A59A3"/>
    <w:rsid w:val="343CF808"/>
    <w:rsid w:val="343E1A3F"/>
    <w:rsid w:val="34458914"/>
    <w:rsid w:val="34574149"/>
    <w:rsid w:val="3457FD4B"/>
    <w:rsid w:val="345E12F9"/>
    <w:rsid w:val="34656025"/>
    <w:rsid w:val="346D37E5"/>
    <w:rsid w:val="346F569E"/>
    <w:rsid w:val="34765718"/>
    <w:rsid w:val="347769BE"/>
    <w:rsid w:val="347EE82A"/>
    <w:rsid w:val="34817467"/>
    <w:rsid w:val="34878D84"/>
    <w:rsid w:val="348A84CE"/>
    <w:rsid w:val="348C326C"/>
    <w:rsid w:val="3493CF5D"/>
    <w:rsid w:val="34960271"/>
    <w:rsid w:val="34990343"/>
    <w:rsid w:val="34A3095F"/>
    <w:rsid w:val="34A4E65A"/>
    <w:rsid w:val="34A67BD6"/>
    <w:rsid w:val="34A861F0"/>
    <w:rsid w:val="34AC3725"/>
    <w:rsid w:val="34B4E51F"/>
    <w:rsid w:val="34B5E0D1"/>
    <w:rsid w:val="34B660E7"/>
    <w:rsid w:val="34BD71CF"/>
    <w:rsid w:val="34C4A04F"/>
    <w:rsid w:val="34C53844"/>
    <w:rsid w:val="34CDB7F8"/>
    <w:rsid w:val="34D3A416"/>
    <w:rsid w:val="34DA9536"/>
    <w:rsid w:val="34E2FC79"/>
    <w:rsid w:val="34E75C10"/>
    <w:rsid w:val="34E8E675"/>
    <w:rsid w:val="34F1DC19"/>
    <w:rsid w:val="34F5243E"/>
    <w:rsid w:val="34F6E17A"/>
    <w:rsid w:val="35004999"/>
    <w:rsid w:val="3511F9D6"/>
    <w:rsid w:val="351449B1"/>
    <w:rsid w:val="3525989F"/>
    <w:rsid w:val="3528A8D2"/>
    <w:rsid w:val="3529F532"/>
    <w:rsid w:val="352BF777"/>
    <w:rsid w:val="3540238D"/>
    <w:rsid w:val="354140B2"/>
    <w:rsid w:val="35438C5F"/>
    <w:rsid w:val="3546C570"/>
    <w:rsid w:val="354956BA"/>
    <w:rsid w:val="3556E374"/>
    <w:rsid w:val="3558CF4B"/>
    <w:rsid w:val="355C9795"/>
    <w:rsid w:val="355CB28C"/>
    <w:rsid w:val="3564C695"/>
    <w:rsid w:val="356A3FBB"/>
    <w:rsid w:val="356A809D"/>
    <w:rsid w:val="356E62D1"/>
    <w:rsid w:val="3570FDEC"/>
    <w:rsid w:val="35766BC5"/>
    <w:rsid w:val="357963F0"/>
    <w:rsid w:val="35875B04"/>
    <w:rsid w:val="35880C81"/>
    <w:rsid w:val="35918F6C"/>
    <w:rsid w:val="3593A0A8"/>
    <w:rsid w:val="359CD050"/>
    <w:rsid w:val="359D3B73"/>
    <w:rsid w:val="35AAE2E6"/>
    <w:rsid w:val="35AC56AC"/>
    <w:rsid w:val="35AE17CE"/>
    <w:rsid w:val="35AE50FC"/>
    <w:rsid w:val="35B5EDB4"/>
    <w:rsid w:val="35B931D2"/>
    <w:rsid w:val="35C1F365"/>
    <w:rsid w:val="35C37E5E"/>
    <w:rsid w:val="35C7B603"/>
    <w:rsid w:val="35D45A9E"/>
    <w:rsid w:val="35DC8336"/>
    <w:rsid w:val="35E2854D"/>
    <w:rsid w:val="35E32E26"/>
    <w:rsid w:val="35E5E2D9"/>
    <w:rsid w:val="35E6DEAD"/>
    <w:rsid w:val="35E8AE88"/>
    <w:rsid w:val="35E9C648"/>
    <w:rsid w:val="35EDC0EA"/>
    <w:rsid w:val="35F45ADE"/>
    <w:rsid w:val="35F46573"/>
    <w:rsid w:val="35F55317"/>
    <w:rsid w:val="35F5BA25"/>
    <w:rsid w:val="3616ECE8"/>
    <w:rsid w:val="361ADA73"/>
    <w:rsid w:val="361D9E6B"/>
    <w:rsid w:val="3622D04E"/>
    <w:rsid w:val="36275B20"/>
    <w:rsid w:val="36293670"/>
    <w:rsid w:val="362BA2CB"/>
    <w:rsid w:val="362F927A"/>
    <w:rsid w:val="3637E957"/>
    <w:rsid w:val="363F1544"/>
    <w:rsid w:val="36416A7E"/>
    <w:rsid w:val="36435ECF"/>
    <w:rsid w:val="364C6653"/>
    <w:rsid w:val="364FF34B"/>
    <w:rsid w:val="3654469B"/>
    <w:rsid w:val="3657412C"/>
    <w:rsid w:val="365A45D9"/>
    <w:rsid w:val="36605CD7"/>
    <w:rsid w:val="3665D77F"/>
    <w:rsid w:val="3666770A"/>
    <w:rsid w:val="366F3C2C"/>
    <w:rsid w:val="36727F2E"/>
    <w:rsid w:val="3672C2F3"/>
    <w:rsid w:val="3676C7B6"/>
    <w:rsid w:val="367A30A9"/>
    <w:rsid w:val="3690E13D"/>
    <w:rsid w:val="3692B1DB"/>
    <w:rsid w:val="36979A76"/>
    <w:rsid w:val="3698CC85"/>
    <w:rsid w:val="36998F8B"/>
    <w:rsid w:val="36A3329F"/>
    <w:rsid w:val="36A4B19F"/>
    <w:rsid w:val="36B8BEA0"/>
    <w:rsid w:val="36B961E9"/>
    <w:rsid w:val="36B9691A"/>
    <w:rsid w:val="36C4457C"/>
    <w:rsid w:val="36C590D9"/>
    <w:rsid w:val="36C64375"/>
    <w:rsid w:val="36D397C0"/>
    <w:rsid w:val="36E0812C"/>
    <w:rsid w:val="36E4B17E"/>
    <w:rsid w:val="36EC7DE2"/>
    <w:rsid w:val="36F8229E"/>
    <w:rsid w:val="3707938F"/>
    <w:rsid w:val="3722F5B0"/>
    <w:rsid w:val="372415D7"/>
    <w:rsid w:val="37269362"/>
    <w:rsid w:val="372A379A"/>
    <w:rsid w:val="372DF7D9"/>
    <w:rsid w:val="372E2584"/>
    <w:rsid w:val="372F0974"/>
    <w:rsid w:val="374972BD"/>
    <w:rsid w:val="37546589"/>
    <w:rsid w:val="3754E990"/>
    <w:rsid w:val="37624010"/>
    <w:rsid w:val="376C3EA0"/>
    <w:rsid w:val="376D7A2C"/>
    <w:rsid w:val="3770A309"/>
    <w:rsid w:val="3771C990"/>
    <w:rsid w:val="3774383C"/>
    <w:rsid w:val="3774A174"/>
    <w:rsid w:val="37774979"/>
    <w:rsid w:val="37845D81"/>
    <w:rsid w:val="378D1C42"/>
    <w:rsid w:val="378E0D2B"/>
    <w:rsid w:val="3790247E"/>
    <w:rsid w:val="379C1912"/>
    <w:rsid w:val="37A806A0"/>
    <w:rsid w:val="37ABD800"/>
    <w:rsid w:val="37AC7BDE"/>
    <w:rsid w:val="37ACE6D3"/>
    <w:rsid w:val="37AD08DB"/>
    <w:rsid w:val="37AFE707"/>
    <w:rsid w:val="37B91EF2"/>
    <w:rsid w:val="37BECE7B"/>
    <w:rsid w:val="37C74ECA"/>
    <w:rsid w:val="37C8DD13"/>
    <w:rsid w:val="37D284D6"/>
    <w:rsid w:val="37D972A0"/>
    <w:rsid w:val="37E0E731"/>
    <w:rsid w:val="37FB0926"/>
    <w:rsid w:val="37FD5422"/>
    <w:rsid w:val="38023657"/>
    <w:rsid w:val="380C59E8"/>
    <w:rsid w:val="380E3083"/>
    <w:rsid w:val="380ED05F"/>
    <w:rsid w:val="38109138"/>
    <w:rsid w:val="38121542"/>
    <w:rsid w:val="3821A966"/>
    <w:rsid w:val="382BF947"/>
    <w:rsid w:val="382E5302"/>
    <w:rsid w:val="3837B5E5"/>
    <w:rsid w:val="3839977E"/>
    <w:rsid w:val="383F196A"/>
    <w:rsid w:val="3845B4B4"/>
    <w:rsid w:val="3846333B"/>
    <w:rsid w:val="3846650C"/>
    <w:rsid w:val="3859B260"/>
    <w:rsid w:val="385BF4AC"/>
    <w:rsid w:val="385E11C5"/>
    <w:rsid w:val="386401BF"/>
    <w:rsid w:val="386581C4"/>
    <w:rsid w:val="38675F7E"/>
    <w:rsid w:val="386A359B"/>
    <w:rsid w:val="386B1D0A"/>
    <w:rsid w:val="386DA949"/>
    <w:rsid w:val="38703510"/>
    <w:rsid w:val="3870BD53"/>
    <w:rsid w:val="3871A966"/>
    <w:rsid w:val="38763044"/>
    <w:rsid w:val="38791883"/>
    <w:rsid w:val="38798B5A"/>
    <w:rsid w:val="387DD731"/>
    <w:rsid w:val="387F6CCD"/>
    <w:rsid w:val="387FFFF4"/>
    <w:rsid w:val="3892BB3C"/>
    <w:rsid w:val="38953ABB"/>
    <w:rsid w:val="38983B09"/>
    <w:rsid w:val="38A1868F"/>
    <w:rsid w:val="38A9656A"/>
    <w:rsid w:val="38ABCE5E"/>
    <w:rsid w:val="38AC5A48"/>
    <w:rsid w:val="38B11C22"/>
    <w:rsid w:val="38B19C1D"/>
    <w:rsid w:val="38B281A6"/>
    <w:rsid w:val="38BDAC2C"/>
    <w:rsid w:val="38C30515"/>
    <w:rsid w:val="38C34E72"/>
    <w:rsid w:val="38CB4C74"/>
    <w:rsid w:val="38CBFF48"/>
    <w:rsid w:val="38CC751A"/>
    <w:rsid w:val="38D07122"/>
    <w:rsid w:val="38D26042"/>
    <w:rsid w:val="38D98010"/>
    <w:rsid w:val="38DA7437"/>
    <w:rsid w:val="38DE1EC7"/>
    <w:rsid w:val="38E6C210"/>
    <w:rsid w:val="38EC710C"/>
    <w:rsid w:val="38EFA4B4"/>
    <w:rsid w:val="38F344AA"/>
    <w:rsid w:val="38F61B93"/>
    <w:rsid w:val="38FB65C1"/>
    <w:rsid w:val="38FC8391"/>
    <w:rsid w:val="3903EEF5"/>
    <w:rsid w:val="3907A1EA"/>
    <w:rsid w:val="390B7DAD"/>
    <w:rsid w:val="39127D82"/>
    <w:rsid w:val="391386D0"/>
    <w:rsid w:val="391C2FF8"/>
    <w:rsid w:val="3927AB2B"/>
    <w:rsid w:val="392817DB"/>
    <w:rsid w:val="39281C8F"/>
    <w:rsid w:val="392C09E5"/>
    <w:rsid w:val="392CA00B"/>
    <w:rsid w:val="3931EB2B"/>
    <w:rsid w:val="3933376E"/>
    <w:rsid w:val="3934C8ED"/>
    <w:rsid w:val="393ECCD1"/>
    <w:rsid w:val="394EFE97"/>
    <w:rsid w:val="394F89B2"/>
    <w:rsid w:val="3952D204"/>
    <w:rsid w:val="3956D7EB"/>
    <w:rsid w:val="3956E481"/>
    <w:rsid w:val="395E3110"/>
    <w:rsid w:val="39727A69"/>
    <w:rsid w:val="3975EE40"/>
    <w:rsid w:val="397A6111"/>
    <w:rsid w:val="397C091A"/>
    <w:rsid w:val="3984A124"/>
    <w:rsid w:val="398A4CC2"/>
    <w:rsid w:val="398F1D77"/>
    <w:rsid w:val="398F9B1C"/>
    <w:rsid w:val="39901A99"/>
    <w:rsid w:val="3994DF32"/>
    <w:rsid w:val="3995AB69"/>
    <w:rsid w:val="3996D987"/>
    <w:rsid w:val="39A2E1C4"/>
    <w:rsid w:val="39A5DFC3"/>
    <w:rsid w:val="39AE88D8"/>
    <w:rsid w:val="39B176FD"/>
    <w:rsid w:val="39B2F5E9"/>
    <w:rsid w:val="39B5BACA"/>
    <w:rsid w:val="39B865FD"/>
    <w:rsid w:val="39BC7960"/>
    <w:rsid w:val="39D000B7"/>
    <w:rsid w:val="39D35526"/>
    <w:rsid w:val="39D3947E"/>
    <w:rsid w:val="39D66E05"/>
    <w:rsid w:val="39DB2D48"/>
    <w:rsid w:val="39E25B0A"/>
    <w:rsid w:val="39E7A0AF"/>
    <w:rsid w:val="39F0FE83"/>
    <w:rsid w:val="39F20F0A"/>
    <w:rsid w:val="39F447CC"/>
    <w:rsid w:val="39F618DC"/>
    <w:rsid w:val="39F6CD2A"/>
    <w:rsid w:val="3A03A4AD"/>
    <w:rsid w:val="3A05259A"/>
    <w:rsid w:val="3A07B651"/>
    <w:rsid w:val="3A0F6BE2"/>
    <w:rsid w:val="3A1174D3"/>
    <w:rsid w:val="3A119372"/>
    <w:rsid w:val="3A27A086"/>
    <w:rsid w:val="3A3094FC"/>
    <w:rsid w:val="3A372088"/>
    <w:rsid w:val="3A37979F"/>
    <w:rsid w:val="3A3980A8"/>
    <w:rsid w:val="3A3D88B1"/>
    <w:rsid w:val="3A40A37A"/>
    <w:rsid w:val="3A40E01A"/>
    <w:rsid w:val="3A40FD4A"/>
    <w:rsid w:val="3A494B51"/>
    <w:rsid w:val="3A580893"/>
    <w:rsid w:val="3A58952E"/>
    <w:rsid w:val="3A5E07FD"/>
    <w:rsid w:val="3A629E3B"/>
    <w:rsid w:val="3A646FB9"/>
    <w:rsid w:val="3A65BE46"/>
    <w:rsid w:val="3A6F3C67"/>
    <w:rsid w:val="3A71E702"/>
    <w:rsid w:val="3A775D2F"/>
    <w:rsid w:val="3A83B5B0"/>
    <w:rsid w:val="3A86D8CA"/>
    <w:rsid w:val="3A941A7C"/>
    <w:rsid w:val="3A961AD4"/>
    <w:rsid w:val="3A977873"/>
    <w:rsid w:val="3A9FCC8D"/>
    <w:rsid w:val="3AA42616"/>
    <w:rsid w:val="3AB4922E"/>
    <w:rsid w:val="3ABA5D94"/>
    <w:rsid w:val="3ABEB478"/>
    <w:rsid w:val="3AC20E5F"/>
    <w:rsid w:val="3AC81144"/>
    <w:rsid w:val="3AD0838D"/>
    <w:rsid w:val="3ADA5D09"/>
    <w:rsid w:val="3ADB4072"/>
    <w:rsid w:val="3AF6E700"/>
    <w:rsid w:val="3AF8DEA3"/>
    <w:rsid w:val="3AFB8880"/>
    <w:rsid w:val="3AFDCA16"/>
    <w:rsid w:val="3B0AC9E7"/>
    <w:rsid w:val="3B0E91ED"/>
    <w:rsid w:val="3B11F1C9"/>
    <w:rsid w:val="3B174642"/>
    <w:rsid w:val="3B1F2180"/>
    <w:rsid w:val="3B202540"/>
    <w:rsid w:val="3B3A2EB6"/>
    <w:rsid w:val="3B3A5BC4"/>
    <w:rsid w:val="3B50F7A6"/>
    <w:rsid w:val="3B596FCF"/>
    <w:rsid w:val="3B5CA46F"/>
    <w:rsid w:val="3B6766DB"/>
    <w:rsid w:val="3B6A4FBF"/>
    <w:rsid w:val="3B70D6AE"/>
    <w:rsid w:val="3B7154C3"/>
    <w:rsid w:val="3B72DC70"/>
    <w:rsid w:val="3B741CBB"/>
    <w:rsid w:val="3B773681"/>
    <w:rsid w:val="3B78A1B2"/>
    <w:rsid w:val="3B7F5D3B"/>
    <w:rsid w:val="3B812042"/>
    <w:rsid w:val="3B98480E"/>
    <w:rsid w:val="3B994308"/>
    <w:rsid w:val="3B99B372"/>
    <w:rsid w:val="3BAC4B29"/>
    <w:rsid w:val="3BAF94AB"/>
    <w:rsid w:val="3BB6EBBD"/>
    <w:rsid w:val="3BC1B4C1"/>
    <w:rsid w:val="3BC22787"/>
    <w:rsid w:val="3BC5E055"/>
    <w:rsid w:val="3BC5FC3B"/>
    <w:rsid w:val="3BC898AF"/>
    <w:rsid w:val="3BD048CA"/>
    <w:rsid w:val="3BD182FB"/>
    <w:rsid w:val="3BD1BA74"/>
    <w:rsid w:val="3BDF97CC"/>
    <w:rsid w:val="3BE3B422"/>
    <w:rsid w:val="3BE72862"/>
    <w:rsid w:val="3BEA0CE4"/>
    <w:rsid w:val="3BEAC848"/>
    <w:rsid w:val="3BF457A9"/>
    <w:rsid w:val="3BFDA6F9"/>
    <w:rsid w:val="3C023C2B"/>
    <w:rsid w:val="3C032031"/>
    <w:rsid w:val="3C10547A"/>
    <w:rsid w:val="3C196BDC"/>
    <w:rsid w:val="3C203826"/>
    <w:rsid w:val="3C2836FE"/>
    <w:rsid w:val="3C2BEE58"/>
    <w:rsid w:val="3C2C0FA0"/>
    <w:rsid w:val="3C308284"/>
    <w:rsid w:val="3C364C90"/>
    <w:rsid w:val="3C3B7F50"/>
    <w:rsid w:val="3C3C0EB0"/>
    <w:rsid w:val="3C3C92E2"/>
    <w:rsid w:val="3C3FC150"/>
    <w:rsid w:val="3C54EC17"/>
    <w:rsid w:val="3C59C631"/>
    <w:rsid w:val="3C5BED47"/>
    <w:rsid w:val="3C637FBC"/>
    <w:rsid w:val="3C64262F"/>
    <w:rsid w:val="3C6A2811"/>
    <w:rsid w:val="3C6B8B66"/>
    <w:rsid w:val="3C74BACC"/>
    <w:rsid w:val="3C7740C1"/>
    <w:rsid w:val="3C79D4AA"/>
    <w:rsid w:val="3C7A0562"/>
    <w:rsid w:val="3C7E5237"/>
    <w:rsid w:val="3C849336"/>
    <w:rsid w:val="3C8538F8"/>
    <w:rsid w:val="3C89A853"/>
    <w:rsid w:val="3C8B9DA4"/>
    <w:rsid w:val="3C8C0F65"/>
    <w:rsid w:val="3C923A9E"/>
    <w:rsid w:val="3C93C17B"/>
    <w:rsid w:val="3C99E78F"/>
    <w:rsid w:val="3CABD0D4"/>
    <w:rsid w:val="3CB0E2D5"/>
    <w:rsid w:val="3CB20187"/>
    <w:rsid w:val="3CB21EED"/>
    <w:rsid w:val="3CB362B9"/>
    <w:rsid w:val="3CBB3D8C"/>
    <w:rsid w:val="3CC154F0"/>
    <w:rsid w:val="3CC36F3E"/>
    <w:rsid w:val="3CCFD60F"/>
    <w:rsid w:val="3CD29C76"/>
    <w:rsid w:val="3CD7CD93"/>
    <w:rsid w:val="3CD9A48A"/>
    <w:rsid w:val="3CE846A8"/>
    <w:rsid w:val="3CEA747C"/>
    <w:rsid w:val="3CF3EE42"/>
    <w:rsid w:val="3D02E860"/>
    <w:rsid w:val="3D0FC7C1"/>
    <w:rsid w:val="3D122AFD"/>
    <w:rsid w:val="3D1620EB"/>
    <w:rsid w:val="3D19469A"/>
    <w:rsid w:val="3D2BCA0C"/>
    <w:rsid w:val="3D318FA8"/>
    <w:rsid w:val="3D5273A9"/>
    <w:rsid w:val="3D56C88E"/>
    <w:rsid w:val="3D574DA9"/>
    <w:rsid w:val="3D5971D9"/>
    <w:rsid w:val="3D59F9A3"/>
    <w:rsid w:val="3D6E0294"/>
    <w:rsid w:val="3D714258"/>
    <w:rsid w:val="3D758EF7"/>
    <w:rsid w:val="3D8013E1"/>
    <w:rsid w:val="3D81C76C"/>
    <w:rsid w:val="3D85FEF9"/>
    <w:rsid w:val="3DAF4206"/>
    <w:rsid w:val="3DB83126"/>
    <w:rsid w:val="3DB84EC0"/>
    <w:rsid w:val="3DBADCF3"/>
    <w:rsid w:val="3DBB8895"/>
    <w:rsid w:val="3DC0792E"/>
    <w:rsid w:val="3DC1E5C7"/>
    <w:rsid w:val="3DC50821"/>
    <w:rsid w:val="3DCD4FD5"/>
    <w:rsid w:val="3DCEF89C"/>
    <w:rsid w:val="3DDA8C7F"/>
    <w:rsid w:val="3DDC0607"/>
    <w:rsid w:val="3DE6B7A2"/>
    <w:rsid w:val="3DE989A4"/>
    <w:rsid w:val="3DF3C06D"/>
    <w:rsid w:val="3DFC47A3"/>
    <w:rsid w:val="3E038A48"/>
    <w:rsid w:val="3E067A31"/>
    <w:rsid w:val="3E08A6FF"/>
    <w:rsid w:val="3E0A889B"/>
    <w:rsid w:val="3E190D7B"/>
    <w:rsid w:val="3E1C8CE0"/>
    <w:rsid w:val="3E2020AD"/>
    <w:rsid w:val="3E2B4E6D"/>
    <w:rsid w:val="3E2DEE13"/>
    <w:rsid w:val="3E32F9E4"/>
    <w:rsid w:val="3E360ABD"/>
    <w:rsid w:val="3E3B3C8B"/>
    <w:rsid w:val="3E3F1374"/>
    <w:rsid w:val="3E4A646E"/>
    <w:rsid w:val="3E5606D7"/>
    <w:rsid w:val="3E6492D3"/>
    <w:rsid w:val="3E68BFA1"/>
    <w:rsid w:val="3E6D4724"/>
    <w:rsid w:val="3E706076"/>
    <w:rsid w:val="3E70D847"/>
    <w:rsid w:val="3E785D33"/>
    <w:rsid w:val="3E7B13FD"/>
    <w:rsid w:val="3E7FCD90"/>
    <w:rsid w:val="3E833C7D"/>
    <w:rsid w:val="3E847D41"/>
    <w:rsid w:val="3E8E8EA1"/>
    <w:rsid w:val="3E91478B"/>
    <w:rsid w:val="3E915813"/>
    <w:rsid w:val="3E937D4F"/>
    <w:rsid w:val="3EA4E541"/>
    <w:rsid w:val="3EA9C0DA"/>
    <w:rsid w:val="3EB1010C"/>
    <w:rsid w:val="3EBA2161"/>
    <w:rsid w:val="3EC15D27"/>
    <w:rsid w:val="3EC26EF1"/>
    <w:rsid w:val="3EC49BFF"/>
    <w:rsid w:val="3EC9846A"/>
    <w:rsid w:val="3ECEB498"/>
    <w:rsid w:val="3ECF03A7"/>
    <w:rsid w:val="3ED3F75C"/>
    <w:rsid w:val="3ED628E7"/>
    <w:rsid w:val="3EDA073D"/>
    <w:rsid w:val="3EDBE1FF"/>
    <w:rsid w:val="3EDC5872"/>
    <w:rsid w:val="3EE0EB4A"/>
    <w:rsid w:val="3EE125A1"/>
    <w:rsid w:val="3EE22725"/>
    <w:rsid w:val="3EE73C4C"/>
    <w:rsid w:val="3EEA53C8"/>
    <w:rsid w:val="3EEAF5F5"/>
    <w:rsid w:val="3EED5C56"/>
    <w:rsid w:val="3EF3B8E3"/>
    <w:rsid w:val="3EF45729"/>
    <w:rsid w:val="3EF7E22C"/>
    <w:rsid w:val="3F0540C7"/>
    <w:rsid w:val="3F06B66E"/>
    <w:rsid w:val="3F0FF696"/>
    <w:rsid w:val="3F13AF30"/>
    <w:rsid w:val="3F142A83"/>
    <w:rsid w:val="3F186EA5"/>
    <w:rsid w:val="3F1AA82A"/>
    <w:rsid w:val="3F1C8001"/>
    <w:rsid w:val="3F1CBC74"/>
    <w:rsid w:val="3F39ED4B"/>
    <w:rsid w:val="3F3E71CC"/>
    <w:rsid w:val="3F4169EB"/>
    <w:rsid w:val="3F44EBDD"/>
    <w:rsid w:val="3F457BB6"/>
    <w:rsid w:val="3F470AB7"/>
    <w:rsid w:val="3F4AC363"/>
    <w:rsid w:val="3F54A223"/>
    <w:rsid w:val="3F5BEBFE"/>
    <w:rsid w:val="3F6257CE"/>
    <w:rsid w:val="3F64BF80"/>
    <w:rsid w:val="3F67BAEB"/>
    <w:rsid w:val="3F6A6CB1"/>
    <w:rsid w:val="3F722F93"/>
    <w:rsid w:val="3F72C92F"/>
    <w:rsid w:val="3F73B500"/>
    <w:rsid w:val="3F7BBBD3"/>
    <w:rsid w:val="3F7DB8E6"/>
    <w:rsid w:val="3F87FB44"/>
    <w:rsid w:val="3F8832BC"/>
    <w:rsid w:val="3F8A11BA"/>
    <w:rsid w:val="3F979B2A"/>
    <w:rsid w:val="3FA36069"/>
    <w:rsid w:val="3FAF257F"/>
    <w:rsid w:val="3FB0FBD2"/>
    <w:rsid w:val="3FBBC52C"/>
    <w:rsid w:val="3FC2C3EF"/>
    <w:rsid w:val="3FCA25C7"/>
    <w:rsid w:val="3FCFCAD2"/>
    <w:rsid w:val="3FD147C0"/>
    <w:rsid w:val="3FD1BB3F"/>
    <w:rsid w:val="3FD53CD8"/>
    <w:rsid w:val="3FD94E93"/>
    <w:rsid w:val="3FDAFA3F"/>
    <w:rsid w:val="3FE48BEF"/>
    <w:rsid w:val="3FE9948C"/>
    <w:rsid w:val="3FEE4930"/>
    <w:rsid w:val="3FF025F9"/>
    <w:rsid w:val="3FF987A0"/>
    <w:rsid w:val="3FFC7586"/>
    <w:rsid w:val="40016898"/>
    <w:rsid w:val="40094C6D"/>
    <w:rsid w:val="400D43F7"/>
    <w:rsid w:val="4014006E"/>
    <w:rsid w:val="4016084E"/>
    <w:rsid w:val="401683BB"/>
    <w:rsid w:val="4018FF1B"/>
    <w:rsid w:val="40194CE9"/>
    <w:rsid w:val="402031AF"/>
    <w:rsid w:val="40271161"/>
    <w:rsid w:val="402D787F"/>
    <w:rsid w:val="402FBAE6"/>
    <w:rsid w:val="4036B623"/>
    <w:rsid w:val="403DA25B"/>
    <w:rsid w:val="404E8A77"/>
    <w:rsid w:val="40517D07"/>
    <w:rsid w:val="4052E25A"/>
    <w:rsid w:val="40589AB6"/>
    <w:rsid w:val="406177E9"/>
    <w:rsid w:val="406A492F"/>
    <w:rsid w:val="406A4F38"/>
    <w:rsid w:val="406D0F82"/>
    <w:rsid w:val="406E6E02"/>
    <w:rsid w:val="4071FDAB"/>
    <w:rsid w:val="407385F7"/>
    <w:rsid w:val="407467AC"/>
    <w:rsid w:val="407B1370"/>
    <w:rsid w:val="4083CAC4"/>
    <w:rsid w:val="4086943B"/>
    <w:rsid w:val="40900632"/>
    <w:rsid w:val="4092F029"/>
    <w:rsid w:val="409769E1"/>
    <w:rsid w:val="40A383D7"/>
    <w:rsid w:val="40B5482A"/>
    <w:rsid w:val="40B5AAC4"/>
    <w:rsid w:val="40B744CD"/>
    <w:rsid w:val="40B7F70B"/>
    <w:rsid w:val="40B8E513"/>
    <w:rsid w:val="40C5181E"/>
    <w:rsid w:val="40CB8958"/>
    <w:rsid w:val="40CFE92C"/>
    <w:rsid w:val="40D89A0D"/>
    <w:rsid w:val="40DC792F"/>
    <w:rsid w:val="40E17533"/>
    <w:rsid w:val="40EE00C7"/>
    <w:rsid w:val="40EE372D"/>
    <w:rsid w:val="40F2D12F"/>
    <w:rsid w:val="40F31D7C"/>
    <w:rsid w:val="40FE1520"/>
    <w:rsid w:val="40FEC176"/>
    <w:rsid w:val="40FFA77C"/>
    <w:rsid w:val="410F8561"/>
    <w:rsid w:val="4110EA1A"/>
    <w:rsid w:val="4113C161"/>
    <w:rsid w:val="411AE633"/>
    <w:rsid w:val="412704BD"/>
    <w:rsid w:val="41396A6B"/>
    <w:rsid w:val="414652F0"/>
    <w:rsid w:val="41470076"/>
    <w:rsid w:val="414B071C"/>
    <w:rsid w:val="414BBE21"/>
    <w:rsid w:val="415841CD"/>
    <w:rsid w:val="415EB880"/>
    <w:rsid w:val="41646B38"/>
    <w:rsid w:val="41674EB1"/>
    <w:rsid w:val="416F3BE9"/>
    <w:rsid w:val="4189F6D7"/>
    <w:rsid w:val="418AE1D6"/>
    <w:rsid w:val="418C2818"/>
    <w:rsid w:val="418F1AE3"/>
    <w:rsid w:val="419278D5"/>
    <w:rsid w:val="419A77CE"/>
    <w:rsid w:val="419EC39F"/>
    <w:rsid w:val="41A5623E"/>
    <w:rsid w:val="41AA3106"/>
    <w:rsid w:val="41B16400"/>
    <w:rsid w:val="41B641A7"/>
    <w:rsid w:val="41BD613B"/>
    <w:rsid w:val="41C476BA"/>
    <w:rsid w:val="41C9DECF"/>
    <w:rsid w:val="41CA8994"/>
    <w:rsid w:val="41CE3B4C"/>
    <w:rsid w:val="41CFA774"/>
    <w:rsid w:val="41DA1530"/>
    <w:rsid w:val="41DCEA8F"/>
    <w:rsid w:val="41DFC998"/>
    <w:rsid w:val="41E10DB0"/>
    <w:rsid w:val="41E48E40"/>
    <w:rsid w:val="41E7A980"/>
    <w:rsid w:val="41E8798A"/>
    <w:rsid w:val="41EA8EBB"/>
    <w:rsid w:val="420371C7"/>
    <w:rsid w:val="42063B77"/>
    <w:rsid w:val="420BFEEC"/>
    <w:rsid w:val="420CE5B9"/>
    <w:rsid w:val="421CA029"/>
    <w:rsid w:val="4221C646"/>
    <w:rsid w:val="4228EF8B"/>
    <w:rsid w:val="422A85D3"/>
    <w:rsid w:val="422AD293"/>
    <w:rsid w:val="422B5E4E"/>
    <w:rsid w:val="4234A96F"/>
    <w:rsid w:val="42360619"/>
    <w:rsid w:val="423B45DB"/>
    <w:rsid w:val="42408C9E"/>
    <w:rsid w:val="424701A1"/>
    <w:rsid w:val="4248D487"/>
    <w:rsid w:val="424AD5E4"/>
    <w:rsid w:val="42530D6E"/>
    <w:rsid w:val="4260E87F"/>
    <w:rsid w:val="426476DC"/>
    <w:rsid w:val="426B4A0B"/>
    <w:rsid w:val="426D43B5"/>
    <w:rsid w:val="4270A010"/>
    <w:rsid w:val="42759A52"/>
    <w:rsid w:val="4278A84D"/>
    <w:rsid w:val="427B5896"/>
    <w:rsid w:val="427D2D43"/>
    <w:rsid w:val="42826CF4"/>
    <w:rsid w:val="42845B18"/>
    <w:rsid w:val="428498C4"/>
    <w:rsid w:val="429828D9"/>
    <w:rsid w:val="42993914"/>
    <w:rsid w:val="429E3B3F"/>
    <w:rsid w:val="42A18221"/>
    <w:rsid w:val="42A3C94B"/>
    <w:rsid w:val="42AACFFE"/>
    <w:rsid w:val="42B09FE6"/>
    <w:rsid w:val="42BCA416"/>
    <w:rsid w:val="42CF60E9"/>
    <w:rsid w:val="42D505BD"/>
    <w:rsid w:val="42D86E4C"/>
    <w:rsid w:val="42D89436"/>
    <w:rsid w:val="42D898D2"/>
    <w:rsid w:val="42D9E47D"/>
    <w:rsid w:val="42E8276C"/>
    <w:rsid w:val="42EE63A8"/>
    <w:rsid w:val="42EFAEC6"/>
    <w:rsid w:val="42F41FCB"/>
    <w:rsid w:val="42F65073"/>
    <w:rsid w:val="42FDDA25"/>
    <w:rsid w:val="43017619"/>
    <w:rsid w:val="4309F860"/>
    <w:rsid w:val="4310839C"/>
    <w:rsid w:val="431D6559"/>
    <w:rsid w:val="4323A8C0"/>
    <w:rsid w:val="432792C8"/>
    <w:rsid w:val="432A683E"/>
    <w:rsid w:val="432C2346"/>
    <w:rsid w:val="4336F494"/>
    <w:rsid w:val="4337996F"/>
    <w:rsid w:val="4338AF80"/>
    <w:rsid w:val="433D0DBF"/>
    <w:rsid w:val="433E5EC7"/>
    <w:rsid w:val="4340D6AA"/>
    <w:rsid w:val="43418D30"/>
    <w:rsid w:val="4342F087"/>
    <w:rsid w:val="4345CDA9"/>
    <w:rsid w:val="4355C90B"/>
    <w:rsid w:val="4357F9F6"/>
    <w:rsid w:val="43664DB5"/>
    <w:rsid w:val="4369A454"/>
    <w:rsid w:val="436A464D"/>
    <w:rsid w:val="4373D54E"/>
    <w:rsid w:val="43829915"/>
    <w:rsid w:val="43854F11"/>
    <w:rsid w:val="4387455B"/>
    <w:rsid w:val="439B6580"/>
    <w:rsid w:val="439DC4F3"/>
    <w:rsid w:val="43A14FBF"/>
    <w:rsid w:val="43B41EDA"/>
    <w:rsid w:val="43B7F343"/>
    <w:rsid w:val="43B8C1B4"/>
    <w:rsid w:val="43CB71F3"/>
    <w:rsid w:val="43D0D134"/>
    <w:rsid w:val="43D3D83D"/>
    <w:rsid w:val="43D52C60"/>
    <w:rsid w:val="43E3FC0E"/>
    <w:rsid w:val="43E5E217"/>
    <w:rsid w:val="43E67542"/>
    <w:rsid w:val="43E8156A"/>
    <w:rsid w:val="43E91B74"/>
    <w:rsid w:val="43F06C2E"/>
    <w:rsid w:val="43F206D3"/>
    <w:rsid w:val="43F3DE9E"/>
    <w:rsid w:val="43F7F8DE"/>
    <w:rsid w:val="43FCB8E0"/>
    <w:rsid w:val="4407D1AD"/>
    <w:rsid w:val="4408B1B8"/>
    <w:rsid w:val="44094905"/>
    <w:rsid w:val="4409B9A0"/>
    <w:rsid w:val="4410F531"/>
    <w:rsid w:val="442A37E3"/>
    <w:rsid w:val="442AAD14"/>
    <w:rsid w:val="443FFB65"/>
    <w:rsid w:val="4446D7D5"/>
    <w:rsid w:val="4451C2D6"/>
    <w:rsid w:val="445CDF4B"/>
    <w:rsid w:val="4460A56D"/>
    <w:rsid w:val="4462EDD3"/>
    <w:rsid w:val="44630114"/>
    <w:rsid w:val="4463A4BF"/>
    <w:rsid w:val="447611E5"/>
    <w:rsid w:val="447C6AC6"/>
    <w:rsid w:val="448C8FD4"/>
    <w:rsid w:val="44905ED6"/>
    <w:rsid w:val="4490EBAA"/>
    <w:rsid w:val="44944715"/>
    <w:rsid w:val="449671AE"/>
    <w:rsid w:val="449EBE84"/>
    <w:rsid w:val="449FA51B"/>
    <w:rsid w:val="44A70F70"/>
    <w:rsid w:val="44A728EC"/>
    <w:rsid w:val="44AE3DC6"/>
    <w:rsid w:val="44B13E04"/>
    <w:rsid w:val="44B815C4"/>
    <w:rsid w:val="44B862CA"/>
    <w:rsid w:val="44BCACA1"/>
    <w:rsid w:val="44BF304C"/>
    <w:rsid w:val="44C22C11"/>
    <w:rsid w:val="44CA17CA"/>
    <w:rsid w:val="44CAF280"/>
    <w:rsid w:val="44CE4F60"/>
    <w:rsid w:val="44D36C82"/>
    <w:rsid w:val="44DB7F8E"/>
    <w:rsid w:val="44E115EA"/>
    <w:rsid w:val="44E27F72"/>
    <w:rsid w:val="44E71FF5"/>
    <w:rsid w:val="44E9B14C"/>
    <w:rsid w:val="44EA514B"/>
    <w:rsid w:val="44EA942E"/>
    <w:rsid w:val="44EFE418"/>
    <w:rsid w:val="44F1F871"/>
    <w:rsid w:val="44F9064A"/>
    <w:rsid w:val="45000B03"/>
    <w:rsid w:val="45001C55"/>
    <w:rsid w:val="4502690C"/>
    <w:rsid w:val="45027057"/>
    <w:rsid w:val="4509D1F1"/>
    <w:rsid w:val="450A32B7"/>
    <w:rsid w:val="450F2DEE"/>
    <w:rsid w:val="45146B72"/>
    <w:rsid w:val="4514A664"/>
    <w:rsid w:val="4514C38E"/>
    <w:rsid w:val="451EA45E"/>
    <w:rsid w:val="452B7720"/>
    <w:rsid w:val="452C40D4"/>
    <w:rsid w:val="45310D83"/>
    <w:rsid w:val="45422132"/>
    <w:rsid w:val="4542B7EC"/>
    <w:rsid w:val="4553DE75"/>
    <w:rsid w:val="455441A8"/>
    <w:rsid w:val="4555DBF7"/>
    <w:rsid w:val="45600FDC"/>
    <w:rsid w:val="4562CCC4"/>
    <w:rsid w:val="45679170"/>
    <w:rsid w:val="456EB64D"/>
    <w:rsid w:val="45707012"/>
    <w:rsid w:val="457755A8"/>
    <w:rsid w:val="457E4A10"/>
    <w:rsid w:val="458467B6"/>
    <w:rsid w:val="45863450"/>
    <w:rsid w:val="4587126B"/>
    <w:rsid w:val="458A0D50"/>
    <w:rsid w:val="458A8727"/>
    <w:rsid w:val="458AC7F7"/>
    <w:rsid w:val="4591474E"/>
    <w:rsid w:val="459374FA"/>
    <w:rsid w:val="459E6DD5"/>
    <w:rsid w:val="45A074B9"/>
    <w:rsid w:val="45A9D1D8"/>
    <w:rsid w:val="45B5D3FB"/>
    <w:rsid w:val="45B95055"/>
    <w:rsid w:val="45BB7F82"/>
    <w:rsid w:val="45BDB801"/>
    <w:rsid w:val="45BE1341"/>
    <w:rsid w:val="45C28C57"/>
    <w:rsid w:val="45CA0869"/>
    <w:rsid w:val="45CEF102"/>
    <w:rsid w:val="45DB88E8"/>
    <w:rsid w:val="45DB932F"/>
    <w:rsid w:val="45E758C3"/>
    <w:rsid w:val="45EAE044"/>
    <w:rsid w:val="45EE126F"/>
    <w:rsid w:val="45F0BE32"/>
    <w:rsid w:val="45F2FAD5"/>
    <w:rsid w:val="45F7E6E6"/>
    <w:rsid w:val="45FB29A9"/>
    <w:rsid w:val="45FD70C0"/>
    <w:rsid w:val="4606659A"/>
    <w:rsid w:val="460C3961"/>
    <w:rsid w:val="460D8BCE"/>
    <w:rsid w:val="46106483"/>
    <w:rsid w:val="461087B8"/>
    <w:rsid w:val="4612609B"/>
    <w:rsid w:val="461512A5"/>
    <w:rsid w:val="4615A069"/>
    <w:rsid w:val="46182517"/>
    <w:rsid w:val="461EC139"/>
    <w:rsid w:val="462A81A2"/>
    <w:rsid w:val="4636083C"/>
    <w:rsid w:val="463F0387"/>
    <w:rsid w:val="46427A3C"/>
    <w:rsid w:val="464621DC"/>
    <w:rsid w:val="4647D3E8"/>
    <w:rsid w:val="4671FFBD"/>
    <w:rsid w:val="4672F295"/>
    <w:rsid w:val="46741A1A"/>
    <w:rsid w:val="467AD8D5"/>
    <w:rsid w:val="46A3ABD3"/>
    <w:rsid w:val="46C09B0E"/>
    <w:rsid w:val="46C76E63"/>
    <w:rsid w:val="46D00DC2"/>
    <w:rsid w:val="46D049C3"/>
    <w:rsid w:val="46E96A1C"/>
    <w:rsid w:val="46ECDA96"/>
    <w:rsid w:val="46F66545"/>
    <w:rsid w:val="46F9B554"/>
    <w:rsid w:val="46FB1948"/>
    <w:rsid w:val="4704B5E4"/>
    <w:rsid w:val="470E77DC"/>
    <w:rsid w:val="471090F3"/>
    <w:rsid w:val="47176F53"/>
    <w:rsid w:val="4721C3E1"/>
    <w:rsid w:val="472AA3F9"/>
    <w:rsid w:val="472CB7D3"/>
    <w:rsid w:val="472E20FF"/>
    <w:rsid w:val="47309F6A"/>
    <w:rsid w:val="47320747"/>
    <w:rsid w:val="473A685C"/>
    <w:rsid w:val="474188FF"/>
    <w:rsid w:val="4746B066"/>
    <w:rsid w:val="474749C9"/>
    <w:rsid w:val="47476D96"/>
    <w:rsid w:val="47493B16"/>
    <w:rsid w:val="475CD4BF"/>
    <w:rsid w:val="475E017C"/>
    <w:rsid w:val="475E95AC"/>
    <w:rsid w:val="476C7893"/>
    <w:rsid w:val="477329B9"/>
    <w:rsid w:val="477465AB"/>
    <w:rsid w:val="477CD9C5"/>
    <w:rsid w:val="477E3857"/>
    <w:rsid w:val="478AD8E0"/>
    <w:rsid w:val="478BC39F"/>
    <w:rsid w:val="4795EEEF"/>
    <w:rsid w:val="47A105DB"/>
    <w:rsid w:val="47A38683"/>
    <w:rsid w:val="47A7B4A4"/>
    <w:rsid w:val="47AEEA84"/>
    <w:rsid w:val="47BE2C9C"/>
    <w:rsid w:val="47C238F2"/>
    <w:rsid w:val="47C29990"/>
    <w:rsid w:val="47C93957"/>
    <w:rsid w:val="47CB60DB"/>
    <w:rsid w:val="47CDD961"/>
    <w:rsid w:val="47D78CDA"/>
    <w:rsid w:val="47E12FDF"/>
    <w:rsid w:val="47E1D194"/>
    <w:rsid w:val="47ED2E68"/>
    <w:rsid w:val="47FF1C0C"/>
    <w:rsid w:val="4800AB5B"/>
    <w:rsid w:val="48087924"/>
    <w:rsid w:val="4808BC57"/>
    <w:rsid w:val="481A70A4"/>
    <w:rsid w:val="481D5982"/>
    <w:rsid w:val="482DB7C9"/>
    <w:rsid w:val="482E7801"/>
    <w:rsid w:val="483199D1"/>
    <w:rsid w:val="4835AA51"/>
    <w:rsid w:val="4835DD8A"/>
    <w:rsid w:val="48382972"/>
    <w:rsid w:val="48391DD5"/>
    <w:rsid w:val="4848C3ED"/>
    <w:rsid w:val="4849B262"/>
    <w:rsid w:val="4849CE11"/>
    <w:rsid w:val="48525340"/>
    <w:rsid w:val="4852A677"/>
    <w:rsid w:val="48543920"/>
    <w:rsid w:val="485D9C06"/>
    <w:rsid w:val="4866607C"/>
    <w:rsid w:val="48670BA3"/>
    <w:rsid w:val="486B785B"/>
    <w:rsid w:val="4870BEFA"/>
    <w:rsid w:val="487C5FB6"/>
    <w:rsid w:val="487D6631"/>
    <w:rsid w:val="48802AE9"/>
    <w:rsid w:val="488191B3"/>
    <w:rsid w:val="4885D6BB"/>
    <w:rsid w:val="48894664"/>
    <w:rsid w:val="488F8FE5"/>
    <w:rsid w:val="4896A5C5"/>
    <w:rsid w:val="489BE487"/>
    <w:rsid w:val="489EC7FC"/>
    <w:rsid w:val="489ED9D3"/>
    <w:rsid w:val="48A3D714"/>
    <w:rsid w:val="48AEB45F"/>
    <w:rsid w:val="48B36B3C"/>
    <w:rsid w:val="48B39DCC"/>
    <w:rsid w:val="48BF605C"/>
    <w:rsid w:val="48CA4F6B"/>
    <w:rsid w:val="48E42972"/>
    <w:rsid w:val="48E76C06"/>
    <w:rsid w:val="48E8C13A"/>
    <w:rsid w:val="48EE6CBA"/>
    <w:rsid w:val="48EE8142"/>
    <w:rsid w:val="48EEA123"/>
    <w:rsid w:val="48F1D4D2"/>
    <w:rsid w:val="48FB5C2B"/>
    <w:rsid w:val="48FC113D"/>
    <w:rsid w:val="48FC8432"/>
    <w:rsid w:val="48FEF97B"/>
    <w:rsid w:val="4901D22D"/>
    <w:rsid w:val="490236ED"/>
    <w:rsid w:val="490246A6"/>
    <w:rsid w:val="490C68F1"/>
    <w:rsid w:val="490EE61B"/>
    <w:rsid w:val="4913922B"/>
    <w:rsid w:val="4916C7A3"/>
    <w:rsid w:val="4918B2B9"/>
    <w:rsid w:val="4918E181"/>
    <w:rsid w:val="49244444"/>
    <w:rsid w:val="492FC160"/>
    <w:rsid w:val="49311B3E"/>
    <w:rsid w:val="493DFCE5"/>
    <w:rsid w:val="49402FCC"/>
    <w:rsid w:val="494258D7"/>
    <w:rsid w:val="49430F0C"/>
    <w:rsid w:val="4948287A"/>
    <w:rsid w:val="49495911"/>
    <w:rsid w:val="494E87CD"/>
    <w:rsid w:val="49535049"/>
    <w:rsid w:val="4955206B"/>
    <w:rsid w:val="49558C55"/>
    <w:rsid w:val="495D35E1"/>
    <w:rsid w:val="49613DE0"/>
    <w:rsid w:val="49647AEB"/>
    <w:rsid w:val="496F81DE"/>
    <w:rsid w:val="497133EC"/>
    <w:rsid w:val="4972855D"/>
    <w:rsid w:val="49738516"/>
    <w:rsid w:val="497C761C"/>
    <w:rsid w:val="497DBA9B"/>
    <w:rsid w:val="497FC245"/>
    <w:rsid w:val="498A9379"/>
    <w:rsid w:val="4990F7A6"/>
    <w:rsid w:val="49970815"/>
    <w:rsid w:val="49A72F69"/>
    <w:rsid w:val="49A7410B"/>
    <w:rsid w:val="49ACB734"/>
    <w:rsid w:val="49AFA19E"/>
    <w:rsid w:val="49BA6237"/>
    <w:rsid w:val="49C017FA"/>
    <w:rsid w:val="49CC9322"/>
    <w:rsid w:val="49CE7C07"/>
    <w:rsid w:val="49DDB66E"/>
    <w:rsid w:val="49E96B7E"/>
    <w:rsid w:val="49EF63ED"/>
    <w:rsid w:val="49F77C90"/>
    <w:rsid w:val="4A0129BF"/>
    <w:rsid w:val="4A020ADE"/>
    <w:rsid w:val="4A02E6A5"/>
    <w:rsid w:val="4A09768B"/>
    <w:rsid w:val="4A16B08C"/>
    <w:rsid w:val="4A1C4A88"/>
    <w:rsid w:val="4A1E4935"/>
    <w:rsid w:val="4A2311FE"/>
    <w:rsid w:val="4A251481"/>
    <w:rsid w:val="4A31BCC2"/>
    <w:rsid w:val="4A327626"/>
    <w:rsid w:val="4A37B40B"/>
    <w:rsid w:val="4A3FF881"/>
    <w:rsid w:val="4A4478CB"/>
    <w:rsid w:val="4A459828"/>
    <w:rsid w:val="4A47479C"/>
    <w:rsid w:val="4A4F0E94"/>
    <w:rsid w:val="4A515989"/>
    <w:rsid w:val="4A51D9C4"/>
    <w:rsid w:val="4A5C7137"/>
    <w:rsid w:val="4A60D6E5"/>
    <w:rsid w:val="4A6D90AA"/>
    <w:rsid w:val="4A78A7C2"/>
    <w:rsid w:val="4A7C8ADA"/>
    <w:rsid w:val="4A7E3D5B"/>
    <w:rsid w:val="4A8A84A9"/>
    <w:rsid w:val="4A8CD6B7"/>
    <w:rsid w:val="4A927562"/>
    <w:rsid w:val="4A9B78FD"/>
    <w:rsid w:val="4A9E0D49"/>
    <w:rsid w:val="4AA174DD"/>
    <w:rsid w:val="4AA4B1F7"/>
    <w:rsid w:val="4AAE2805"/>
    <w:rsid w:val="4AB7E17C"/>
    <w:rsid w:val="4ABA66E1"/>
    <w:rsid w:val="4ABAF6CA"/>
    <w:rsid w:val="4ABC8CA2"/>
    <w:rsid w:val="4ABED5BC"/>
    <w:rsid w:val="4AD5C127"/>
    <w:rsid w:val="4AD815FD"/>
    <w:rsid w:val="4AD82CBA"/>
    <w:rsid w:val="4AE3F8DB"/>
    <w:rsid w:val="4AEC70C8"/>
    <w:rsid w:val="4AF1FF33"/>
    <w:rsid w:val="4AFDF2C5"/>
    <w:rsid w:val="4AFF0A37"/>
    <w:rsid w:val="4B054B83"/>
    <w:rsid w:val="4B06A192"/>
    <w:rsid w:val="4B1574E9"/>
    <w:rsid w:val="4B23AC43"/>
    <w:rsid w:val="4B2BB61E"/>
    <w:rsid w:val="4B345BB0"/>
    <w:rsid w:val="4B39BBDC"/>
    <w:rsid w:val="4B41204A"/>
    <w:rsid w:val="4B431135"/>
    <w:rsid w:val="4B43F285"/>
    <w:rsid w:val="4B450722"/>
    <w:rsid w:val="4B4B1D4A"/>
    <w:rsid w:val="4B4C83C3"/>
    <w:rsid w:val="4B50CE96"/>
    <w:rsid w:val="4B5F13AC"/>
    <w:rsid w:val="4B5F2445"/>
    <w:rsid w:val="4B6424CF"/>
    <w:rsid w:val="4B66CA67"/>
    <w:rsid w:val="4B70B1E6"/>
    <w:rsid w:val="4B8C242D"/>
    <w:rsid w:val="4B9D2887"/>
    <w:rsid w:val="4B9E2096"/>
    <w:rsid w:val="4BA021B5"/>
    <w:rsid w:val="4BAB24EB"/>
    <w:rsid w:val="4BB0F2B8"/>
    <w:rsid w:val="4BB640D3"/>
    <w:rsid w:val="4BB6E96B"/>
    <w:rsid w:val="4BB7C4ED"/>
    <w:rsid w:val="4BB9DA34"/>
    <w:rsid w:val="4BC193AB"/>
    <w:rsid w:val="4BC9FE40"/>
    <w:rsid w:val="4BD68E70"/>
    <w:rsid w:val="4BD711C5"/>
    <w:rsid w:val="4BD8A36D"/>
    <w:rsid w:val="4BEAAD59"/>
    <w:rsid w:val="4BEB062E"/>
    <w:rsid w:val="4BEB929E"/>
    <w:rsid w:val="4BF2C11D"/>
    <w:rsid w:val="4BFC4353"/>
    <w:rsid w:val="4BFDC56D"/>
    <w:rsid w:val="4BFDF62F"/>
    <w:rsid w:val="4BFFE654"/>
    <w:rsid w:val="4C00161E"/>
    <w:rsid w:val="4C046C93"/>
    <w:rsid w:val="4C083D06"/>
    <w:rsid w:val="4C14CD74"/>
    <w:rsid w:val="4C1CDB63"/>
    <w:rsid w:val="4C21258F"/>
    <w:rsid w:val="4C2AA33C"/>
    <w:rsid w:val="4C2EE459"/>
    <w:rsid w:val="4C36D02E"/>
    <w:rsid w:val="4C45C648"/>
    <w:rsid w:val="4C4B055A"/>
    <w:rsid w:val="4C519692"/>
    <w:rsid w:val="4C560ED7"/>
    <w:rsid w:val="4C61A738"/>
    <w:rsid w:val="4C676222"/>
    <w:rsid w:val="4C6B28C9"/>
    <w:rsid w:val="4C6B7EAA"/>
    <w:rsid w:val="4C71BC2B"/>
    <w:rsid w:val="4C759EFA"/>
    <w:rsid w:val="4C75AFE3"/>
    <w:rsid w:val="4C787F5D"/>
    <w:rsid w:val="4C7A4E9C"/>
    <w:rsid w:val="4C7DF51B"/>
    <w:rsid w:val="4C802288"/>
    <w:rsid w:val="4C805E45"/>
    <w:rsid w:val="4C8D6E13"/>
    <w:rsid w:val="4C98857D"/>
    <w:rsid w:val="4C99C326"/>
    <w:rsid w:val="4CA08DC4"/>
    <w:rsid w:val="4CAF3FA6"/>
    <w:rsid w:val="4CB9FD52"/>
    <w:rsid w:val="4CBC1E3A"/>
    <w:rsid w:val="4CBFCC8C"/>
    <w:rsid w:val="4CD2C2E5"/>
    <w:rsid w:val="4CD80521"/>
    <w:rsid w:val="4CDBF7B6"/>
    <w:rsid w:val="4CE83835"/>
    <w:rsid w:val="4CF1B93E"/>
    <w:rsid w:val="4CF40F66"/>
    <w:rsid w:val="4CF41555"/>
    <w:rsid w:val="4CFCA931"/>
    <w:rsid w:val="4CFE12F3"/>
    <w:rsid w:val="4D005798"/>
    <w:rsid w:val="4D054406"/>
    <w:rsid w:val="4D0B8AA9"/>
    <w:rsid w:val="4D0BD862"/>
    <w:rsid w:val="4D0CB7BA"/>
    <w:rsid w:val="4D0D8579"/>
    <w:rsid w:val="4D11B9A3"/>
    <w:rsid w:val="4D1827FB"/>
    <w:rsid w:val="4D1A11C2"/>
    <w:rsid w:val="4D1AE99D"/>
    <w:rsid w:val="4D203E57"/>
    <w:rsid w:val="4D34126A"/>
    <w:rsid w:val="4D34CB77"/>
    <w:rsid w:val="4D394AAC"/>
    <w:rsid w:val="4D482A27"/>
    <w:rsid w:val="4D497F49"/>
    <w:rsid w:val="4D4B8DCB"/>
    <w:rsid w:val="4D505A32"/>
    <w:rsid w:val="4D5428C0"/>
    <w:rsid w:val="4D54DE2A"/>
    <w:rsid w:val="4D65C049"/>
    <w:rsid w:val="4D71EB56"/>
    <w:rsid w:val="4D890648"/>
    <w:rsid w:val="4D8CE9D8"/>
    <w:rsid w:val="4D91FF70"/>
    <w:rsid w:val="4D949AC2"/>
    <w:rsid w:val="4D9D6283"/>
    <w:rsid w:val="4D9DCE91"/>
    <w:rsid w:val="4DA0239E"/>
    <w:rsid w:val="4DA966A7"/>
    <w:rsid w:val="4DB1CDB6"/>
    <w:rsid w:val="4DB7B022"/>
    <w:rsid w:val="4DBAC0A8"/>
    <w:rsid w:val="4DC21425"/>
    <w:rsid w:val="4DC3ECD2"/>
    <w:rsid w:val="4DD08C3B"/>
    <w:rsid w:val="4DD2F77E"/>
    <w:rsid w:val="4DD644C5"/>
    <w:rsid w:val="4DDE9323"/>
    <w:rsid w:val="4DE83729"/>
    <w:rsid w:val="4DE9D5A4"/>
    <w:rsid w:val="4DF2A7A8"/>
    <w:rsid w:val="4DFF4B7A"/>
    <w:rsid w:val="4E0A340D"/>
    <w:rsid w:val="4E0FA593"/>
    <w:rsid w:val="4E14AA99"/>
    <w:rsid w:val="4E15DA9C"/>
    <w:rsid w:val="4E1B73C2"/>
    <w:rsid w:val="4E240DB2"/>
    <w:rsid w:val="4E251913"/>
    <w:rsid w:val="4E2BBE11"/>
    <w:rsid w:val="4E30FDB4"/>
    <w:rsid w:val="4E315770"/>
    <w:rsid w:val="4E3A6FE3"/>
    <w:rsid w:val="4E4070DD"/>
    <w:rsid w:val="4E419705"/>
    <w:rsid w:val="4E44AD6C"/>
    <w:rsid w:val="4E473C5F"/>
    <w:rsid w:val="4E4CC9DB"/>
    <w:rsid w:val="4E68FA9F"/>
    <w:rsid w:val="4E6D6448"/>
    <w:rsid w:val="4E720928"/>
    <w:rsid w:val="4E861082"/>
    <w:rsid w:val="4E882E87"/>
    <w:rsid w:val="4E8B9D33"/>
    <w:rsid w:val="4E8C8D78"/>
    <w:rsid w:val="4E8F4615"/>
    <w:rsid w:val="4E923FA3"/>
    <w:rsid w:val="4E9A8633"/>
    <w:rsid w:val="4EA2604D"/>
    <w:rsid w:val="4EA28E6E"/>
    <w:rsid w:val="4EAA399C"/>
    <w:rsid w:val="4EAB9A8A"/>
    <w:rsid w:val="4EAC444C"/>
    <w:rsid w:val="4EB4A3D9"/>
    <w:rsid w:val="4EBD63D2"/>
    <w:rsid w:val="4EC2B482"/>
    <w:rsid w:val="4EC3C4EF"/>
    <w:rsid w:val="4ECB1A02"/>
    <w:rsid w:val="4ECB4821"/>
    <w:rsid w:val="4ED47377"/>
    <w:rsid w:val="4EE3B34C"/>
    <w:rsid w:val="4EF3BFB4"/>
    <w:rsid w:val="4EFB79A9"/>
    <w:rsid w:val="4EFCD7D4"/>
    <w:rsid w:val="4F03AAFB"/>
    <w:rsid w:val="4F043A5D"/>
    <w:rsid w:val="4F04D3A9"/>
    <w:rsid w:val="4F08A39B"/>
    <w:rsid w:val="4F12BF0D"/>
    <w:rsid w:val="4F18338C"/>
    <w:rsid w:val="4F1870F4"/>
    <w:rsid w:val="4F19004E"/>
    <w:rsid w:val="4F1D0539"/>
    <w:rsid w:val="4F30F138"/>
    <w:rsid w:val="4F47E0A6"/>
    <w:rsid w:val="4F4E128F"/>
    <w:rsid w:val="4F539E78"/>
    <w:rsid w:val="4F55E3C2"/>
    <w:rsid w:val="4F573EAC"/>
    <w:rsid w:val="4F5820A5"/>
    <w:rsid w:val="4F59A350"/>
    <w:rsid w:val="4F5E7DFD"/>
    <w:rsid w:val="4F600AF3"/>
    <w:rsid w:val="4F629688"/>
    <w:rsid w:val="4F6824CE"/>
    <w:rsid w:val="4F68E667"/>
    <w:rsid w:val="4F6D2EC7"/>
    <w:rsid w:val="4F722696"/>
    <w:rsid w:val="4F78DF16"/>
    <w:rsid w:val="4F7F2CBB"/>
    <w:rsid w:val="4F846247"/>
    <w:rsid w:val="4F910ABC"/>
    <w:rsid w:val="4F97E289"/>
    <w:rsid w:val="4F99C958"/>
    <w:rsid w:val="4F9ED441"/>
    <w:rsid w:val="4FA3015D"/>
    <w:rsid w:val="4FABAA70"/>
    <w:rsid w:val="4FB9767F"/>
    <w:rsid w:val="4FC9D5E3"/>
    <w:rsid w:val="4FCFEE44"/>
    <w:rsid w:val="4FD21F2C"/>
    <w:rsid w:val="4FD5E410"/>
    <w:rsid w:val="4FD841C0"/>
    <w:rsid w:val="4FE10F2C"/>
    <w:rsid w:val="4FE2B30D"/>
    <w:rsid w:val="4FE38251"/>
    <w:rsid w:val="4FF56A08"/>
    <w:rsid w:val="4FF6094C"/>
    <w:rsid w:val="4FFBB8CF"/>
    <w:rsid w:val="500E3FB8"/>
    <w:rsid w:val="500FA5E3"/>
    <w:rsid w:val="5011E78D"/>
    <w:rsid w:val="5019ED06"/>
    <w:rsid w:val="502E52E2"/>
    <w:rsid w:val="50328EE0"/>
    <w:rsid w:val="503677A4"/>
    <w:rsid w:val="503FDED3"/>
    <w:rsid w:val="50412420"/>
    <w:rsid w:val="505156F9"/>
    <w:rsid w:val="5051D1BF"/>
    <w:rsid w:val="505DA2DF"/>
    <w:rsid w:val="50641DC9"/>
    <w:rsid w:val="50679399"/>
    <w:rsid w:val="506B69F5"/>
    <w:rsid w:val="506C09CC"/>
    <w:rsid w:val="5076D9D6"/>
    <w:rsid w:val="507B7D04"/>
    <w:rsid w:val="5080439D"/>
    <w:rsid w:val="50820AFE"/>
    <w:rsid w:val="5083E0FD"/>
    <w:rsid w:val="5097E519"/>
    <w:rsid w:val="509A7704"/>
    <w:rsid w:val="50A00F88"/>
    <w:rsid w:val="50A12F24"/>
    <w:rsid w:val="50A27D3F"/>
    <w:rsid w:val="50A54C1A"/>
    <w:rsid w:val="50ACBCDA"/>
    <w:rsid w:val="50AEB28E"/>
    <w:rsid w:val="50AEDDEA"/>
    <w:rsid w:val="50C660E6"/>
    <w:rsid w:val="50CB0041"/>
    <w:rsid w:val="50CBCC12"/>
    <w:rsid w:val="50D49D09"/>
    <w:rsid w:val="50D8B145"/>
    <w:rsid w:val="50DA329F"/>
    <w:rsid w:val="50E1AA1A"/>
    <w:rsid w:val="50EA3CB7"/>
    <w:rsid w:val="50ED553A"/>
    <w:rsid w:val="50FD6C3F"/>
    <w:rsid w:val="5105AA80"/>
    <w:rsid w:val="5113FBBC"/>
    <w:rsid w:val="5117CEE9"/>
    <w:rsid w:val="511E4556"/>
    <w:rsid w:val="5126A18F"/>
    <w:rsid w:val="512EE834"/>
    <w:rsid w:val="512F4B6A"/>
    <w:rsid w:val="51318366"/>
    <w:rsid w:val="513262CD"/>
    <w:rsid w:val="5134AFE5"/>
    <w:rsid w:val="51363EB2"/>
    <w:rsid w:val="513894A4"/>
    <w:rsid w:val="513DEE62"/>
    <w:rsid w:val="5143EE96"/>
    <w:rsid w:val="5148C4A2"/>
    <w:rsid w:val="514AD4B0"/>
    <w:rsid w:val="5153227B"/>
    <w:rsid w:val="51585B33"/>
    <w:rsid w:val="515CCF6F"/>
    <w:rsid w:val="51677890"/>
    <w:rsid w:val="516CE451"/>
    <w:rsid w:val="51711A9A"/>
    <w:rsid w:val="5175E1B8"/>
    <w:rsid w:val="517F7DB3"/>
    <w:rsid w:val="518034F9"/>
    <w:rsid w:val="519215AF"/>
    <w:rsid w:val="51A40CB1"/>
    <w:rsid w:val="51A80CF1"/>
    <w:rsid w:val="51ABCCBC"/>
    <w:rsid w:val="51AFBA67"/>
    <w:rsid w:val="51B23029"/>
    <w:rsid w:val="51B5A50C"/>
    <w:rsid w:val="51C2C094"/>
    <w:rsid w:val="51CC8735"/>
    <w:rsid w:val="51CD58A6"/>
    <w:rsid w:val="51CDBAA2"/>
    <w:rsid w:val="51D1D1BE"/>
    <w:rsid w:val="51D2FF18"/>
    <w:rsid w:val="51F2067F"/>
    <w:rsid w:val="51F9620A"/>
    <w:rsid w:val="51FDACB4"/>
    <w:rsid w:val="5202100C"/>
    <w:rsid w:val="520EAC99"/>
    <w:rsid w:val="52131DEE"/>
    <w:rsid w:val="521C32F3"/>
    <w:rsid w:val="5224B5B9"/>
    <w:rsid w:val="52253B79"/>
    <w:rsid w:val="52265CF1"/>
    <w:rsid w:val="522A5E92"/>
    <w:rsid w:val="5233535F"/>
    <w:rsid w:val="524177BE"/>
    <w:rsid w:val="5246F8A4"/>
    <w:rsid w:val="524A14FE"/>
    <w:rsid w:val="5250D584"/>
    <w:rsid w:val="525281B6"/>
    <w:rsid w:val="525343FF"/>
    <w:rsid w:val="52609370"/>
    <w:rsid w:val="52622C47"/>
    <w:rsid w:val="52659522"/>
    <w:rsid w:val="526BBEAA"/>
    <w:rsid w:val="52715D29"/>
    <w:rsid w:val="5272D0A2"/>
    <w:rsid w:val="52773DF8"/>
    <w:rsid w:val="528819D1"/>
    <w:rsid w:val="528BB2A3"/>
    <w:rsid w:val="528F74F5"/>
    <w:rsid w:val="52957173"/>
    <w:rsid w:val="5298EDEF"/>
    <w:rsid w:val="52A16BE7"/>
    <w:rsid w:val="52A62368"/>
    <w:rsid w:val="52A91545"/>
    <w:rsid w:val="52BA06A4"/>
    <w:rsid w:val="52C4A0E4"/>
    <w:rsid w:val="52CCEFAB"/>
    <w:rsid w:val="52E0C726"/>
    <w:rsid w:val="52E0D4EC"/>
    <w:rsid w:val="52E334C1"/>
    <w:rsid w:val="52EF6512"/>
    <w:rsid w:val="52F05C6D"/>
    <w:rsid w:val="53009796"/>
    <w:rsid w:val="53021CDF"/>
    <w:rsid w:val="5305ED87"/>
    <w:rsid w:val="53069668"/>
    <w:rsid w:val="5307BE07"/>
    <w:rsid w:val="530C3E59"/>
    <w:rsid w:val="5311446D"/>
    <w:rsid w:val="5312D059"/>
    <w:rsid w:val="53162724"/>
    <w:rsid w:val="531B90A4"/>
    <w:rsid w:val="531D0E26"/>
    <w:rsid w:val="531F0E65"/>
    <w:rsid w:val="53219DBE"/>
    <w:rsid w:val="5329F14B"/>
    <w:rsid w:val="532CA661"/>
    <w:rsid w:val="532EBB53"/>
    <w:rsid w:val="532FC659"/>
    <w:rsid w:val="53320C23"/>
    <w:rsid w:val="53333235"/>
    <w:rsid w:val="5333C7DB"/>
    <w:rsid w:val="53343BC7"/>
    <w:rsid w:val="53363625"/>
    <w:rsid w:val="533B2BAA"/>
    <w:rsid w:val="5343B67A"/>
    <w:rsid w:val="5349A216"/>
    <w:rsid w:val="53506220"/>
    <w:rsid w:val="535119F4"/>
    <w:rsid w:val="5353E794"/>
    <w:rsid w:val="53561654"/>
    <w:rsid w:val="535B4F9E"/>
    <w:rsid w:val="535D62D7"/>
    <w:rsid w:val="535DE57A"/>
    <w:rsid w:val="5361BC4C"/>
    <w:rsid w:val="53673D1A"/>
    <w:rsid w:val="5367B39C"/>
    <w:rsid w:val="536AC6CD"/>
    <w:rsid w:val="53754328"/>
    <w:rsid w:val="53863282"/>
    <w:rsid w:val="539671EE"/>
    <w:rsid w:val="5399D2A5"/>
    <w:rsid w:val="539F0CD0"/>
    <w:rsid w:val="53B30F55"/>
    <w:rsid w:val="53BC9A98"/>
    <w:rsid w:val="53C04B57"/>
    <w:rsid w:val="53CC2101"/>
    <w:rsid w:val="53CCD682"/>
    <w:rsid w:val="53D52019"/>
    <w:rsid w:val="53D887EB"/>
    <w:rsid w:val="53E3AAC7"/>
    <w:rsid w:val="53E9923E"/>
    <w:rsid w:val="53FA73E9"/>
    <w:rsid w:val="53FB831B"/>
    <w:rsid w:val="5404326F"/>
    <w:rsid w:val="54057BCE"/>
    <w:rsid w:val="5405C890"/>
    <w:rsid w:val="540718A0"/>
    <w:rsid w:val="54127D07"/>
    <w:rsid w:val="5414005E"/>
    <w:rsid w:val="5414F335"/>
    <w:rsid w:val="541C2629"/>
    <w:rsid w:val="5427EC85"/>
    <w:rsid w:val="54294266"/>
    <w:rsid w:val="542A81D6"/>
    <w:rsid w:val="542E0AA2"/>
    <w:rsid w:val="543143BC"/>
    <w:rsid w:val="543707A8"/>
    <w:rsid w:val="54383A84"/>
    <w:rsid w:val="543AE4DE"/>
    <w:rsid w:val="54416C54"/>
    <w:rsid w:val="544BE281"/>
    <w:rsid w:val="54503751"/>
    <w:rsid w:val="545396FA"/>
    <w:rsid w:val="5453DE24"/>
    <w:rsid w:val="5454466F"/>
    <w:rsid w:val="54545D79"/>
    <w:rsid w:val="54560A97"/>
    <w:rsid w:val="545C9C2B"/>
    <w:rsid w:val="54658A62"/>
    <w:rsid w:val="546C1171"/>
    <w:rsid w:val="5470059C"/>
    <w:rsid w:val="54707293"/>
    <w:rsid w:val="5475BDBA"/>
    <w:rsid w:val="5478E554"/>
    <w:rsid w:val="547BBD3A"/>
    <w:rsid w:val="547C517A"/>
    <w:rsid w:val="547EFB71"/>
    <w:rsid w:val="54826CFC"/>
    <w:rsid w:val="54851164"/>
    <w:rsid w:val="5485DD6C"/>
    <w:rsid w:val="548A3252"/>
    <w:rsid w:val="54938E36"/>
    <w:rsid w:val="549603FE"/>
    <w:rsid w:val="5496041A"/>
    <w:rsid w:val="549772C6"/>
    <w:rsid w:val="549A5BF2"/>
    <w:rsid w:val="549DCED6"/>
    <w:rsid w:val="54A0EDCA"/>
    <w:rsid w:val="54A70CDB"/>
    <w:rsid w:val="54AC987C"/>
    <w:rsid w:val="54AFF3DF"/>
    <w:rsid w:val="54B1C0DE"/>
    <w:rsid w:val="54B91567"/>
    <w:rsid w:val="54B9CD14"/>
    <w:rsid w:val="54B9E69A"/>
    <w:rsid w:val="54BF0BFF"/>
    <w:rsid w:val="54C15BC6"/>
    <w:rsid w:val="54C9B066"/>
    <w:rsid w:val="54CC5991"/>
    <w:rsid w:val="54D638F3"/>
    <w:rsid w:val="54D65EF9"/>
    <w:rsid w:val="54D8D72A"/>
    <w:rsid w:val="54DC2FF7"/>
    <w:rsid w:val="54DDE5A4"/>
    <w:rsid w:val="54E09D29"/>
    <w:rsid w:val="54E57973"/>
    <w:rsid w:val="54E93404"/>
    <w:rsid w:val="54E9FD63"/>
    <w:rsid w:val="54EA686E"/>
    <w:rsid w:val="54ED276D"/>
    <w:rsid w:val="54F8E872"/>
    <w:rsid w:val="54FF5B87"/>
    <w:rsid w:val="5501F693"/>
    <w:rsid w:val="5511EC18"/>
    <w:rsid w:val="55163D62"/>
    <w:rsid w:val="55178296"/>
    <w:rsid w:val="551B3903"/>
    <w:rsid w:val="5522681B"/>
    <w:rsid w:val="55292216"/>
    <w:rsid w:val="55382B21"/>
    <w:rsid w:val="553A3D21"/>
    <w:rsid w:val="5540D99C"/>
    <w:rsid w:val="5546FF88"/>
    <w:rsid w:val="554D6ACE"/>
    <w:rsid w:val="5552E37F"/>
    <w:rsid w:val="5559E0EE"/>
    <w:rsid w:val="555B429F"/>
    <w:rsid w:val="555C562A"/>
    <w:rsid w:val="555FA3EA"/>
    <w:rsid w:val="55622540"/>
    <w:rsid w:val="55632DD3"/>
    <w:rsid w:val="557CABF2"/>
    <w:rsid w:val="557F15CA"/>
    <w:rsid w:val="557FA609"/>
    <w:rsid w:val="5586DCED"/>
    <w:rsid w:val="558D34A4"/>
    <w:rsid w:val="5591C0A0"/>
    <w:rsid w:val="5591C8F5"/>
    <w:rsid w:val="55975D8B"/>
    <w:rsid w:val="55A09E58"/>
    <w:rsid w:val="55ADB5DF"/>
    <w:rsid w:val="55ADF6A7"/>
    <w:rsid w:val="55B061EE"/>
    <w:rsid w:val="55BE72E2"/>
    <w:rsid w:val="55BF3B80"/>
    <w:rsid w:val="55C0052E"/>
    <w:rsid w:val="55C4D4D0"/>
    <w:rsid w:val="55C52816"/>
    <w:rsid w:val="55CC868D"/>
    <w:rsid w:val="55CC929D"/>
    <w:rsid w:val="55D754C5"/>
    <w:rsid w:val="55E23BC0"/>
    <w:rsid w:val="55E43B5C"/>
    <w:rsid w:val="55EC4B04"/>
    <w:rsid w:val="55ECC21D"/>
    <w:rsid w:val="55EE7308"/>
    <w:rsid w:val="55F3884A"/>
    <w:rsid w:val="55F92490"/>
    <w:rsid w:val="55F9DEF0"/>
    <w:rsid w:val="55FDDD3C"/>
    <w:rsid w:val="56011987"/>
    <w:rsid w:val="560715B0"/>
    <w:rsid w:val="56078324"/>
    <w:rsid w:val="56083CC8"/>
    <w:rsid w:val="56084838"/>
    <w:rsid w:val="56114A69"/>
    <w:rsid w:val="56119684"/>
    <w:rsid w:val="5615BF99"/>
    <w:rsid w:val="56164238"/>
    <w:rsid w:val="561D5332"/>
    <w:rsid w:val="56320695"/>
    <w:rsid w:val="56324AC2"/>
    <w:rsid w:val="56366870"/>
    <w:rsid w:val="56398320"/>
    <w:rsid w:val="563BBDA0"/>
    <w:rsid w:val="564DCE37"/>
    <w:rsid w:val="565A4F3C"/>
    <w:rsid w:val="56621F79"/>
    <w:rsid w:val="56637B1B"/>
    <w:rsid w:val="56781DA1"/>
    <w:rsid w:val="56796A76"/>
    <w:rsid w:val="567B24BA"/>
    <w:rsid w:val="567C32E7"/>
    <w:rsid w:val="567CBC58"/>
    <w:rsid w:val="5681923B"/>
    <w:rsid w:val="56846D6B"/>
    <w:rsid w:val="5686ED59"/>
    <w:rsid w:val="56876E60"/>
    <w:rsid w:val="5688F589"/>
    <w:rsid w:val="568D3164"/>
    <w:rsid w:val="5697CCD1"/>
    <w:rsid w:val="569B7FBD"/>
    <w:rsid w:val="569D0927"/>
    <w:rsid w:val="56A13149"/>
    <w:rsid w:val="56A95619"/>
    <w:rsid w:val="56B530CC"/>
    <w:rsid w:val="56BA78D6"/>
    <w:rsid w:val="56CE5178"/>
    <w:rsid w:val="56D54F18"/>
    <w:rsid w:val="56EA3337"/>
    <w:rsid w:val="56EAC0E7"/>
    <w:rsid w:val="56EE60B6"/>
    <w:rsid w:val="56FA7436"/>
    <w:rsid w:val="56FFAA6F"/>
    <w:rsid w:val="57027F16"/>
    <w:rsid w:val="57048911"/>
    <w:rsid w:val="570E351D"/>
    <w:rsid w:val="570F020E"/>
    <w:rsid w:val="5716F386"/>
    <w:rsid w:val="571D518D"/>
    <w:rsid w:val="571D7C32"/>
    <w:rsid w:val="572031C3"/>
    <w:rsid w:val="57206666"/>
    <w:rsid w:val="5720F318"/>
    <w:rsid w:val="57243B71"/>
    <w:rsid w:val="57259842"/>
    <w:rsid w:val="573073B2"/>
    <w:rsid w:val="5733452D"/>
    <w:rsid w:val="573502BA"/>
    <w:rsid w:val="5739B367"/>
    <w:rsid w:val="573BC2A6"/>
    <w:rsid w:val="57518FBF"/>
    <w:rsid w:val="575ABC06"/>
    <w:rsid w:val="576152C6"/>
    <w:rsid w:val="5762FD7C"/>
    <w:rsid w:val="5764D48A"/>
    <w:rsid w:val="576F2E62"/>
    <w:rsid w:val="5789E129"/>
    <w:rsid w:val="579B60AB"/>
    <w:rsid w:val="57A6571F"/>
    <w:rsid w:val="57A6BD56"/>
    <w:rsid w:val="57AAD9D6"/>
    <w:rsid w:val="57B180E2"/>
    <w:rsid w:val="57C35E9F"/>
    <w:rsid w:val="57C851D1"/>
    <w:rsid w:val="57CC8949"/>
    <w:rsid w:val="57E44611"/>
    <w:rsid w:val="57F2E301"/>
    <w:rsid w:val="57FAFE53"/>
    <w:rsid w:val="581029DE"/>
    <w:rsid w:val="581094AB"/>
    <w:rsid w:val="581160B6"/>
    <w:rsid w:val="5811E702"/>
    <w:rsid w:val="5823E47D"/>
    <w:rsid w:val="58282A37"/>
    <w:rsid w:val="5829A986"/>
    <w:rsid w:val="582A03B6"/>
    <w:rsid w:val="582E6EE6"/>
    <w:rsid w:val="583AA47B"/>
    <w:rsid w:val="583F8E9B"/>
    <w:rsid w:val="58408ECD"/>
    <w:rsid w:val="5840EB85"/>
    <w:rsid w:val="5859306B"/>
    <w:rsid w:val="585C0DAD"/>
    <w:rsid w:val="585CC58E"/>
    <w:rsid w:val="585E7FC7"/>
    <w:rsid w:val="585E955A"/>
    <w:rsid w:val="585F06B2"/>
    <w:rsid w:val="58692866"/>
    <w:rsid w:val="586B58D9"/>
    <w:rsid w:val="586D581B"/>
    <w:rsid w:val="58719EBF"/>
    <w:rsid w:val="5873F065"/>
    <w:rsid w:val="5881B795"/>
    <w:rsid w:val="58841B9E"/>
    <w:rsid w:val="588AFD91"/>
    <w:rsid w:val="588DF74F"/>
    <w:rsid w:val="58957E96"/>
    <w:rsid w:val="58A047A5"/>
    <w:rsid w:val="58A1B16D"/>
    <w:rsid w:val="58A437FE"/>
    <w:rsid w:val="58A784EB"/>
    <w:rsid w:val="58A7E9B8"/>
    <w:rsid w:val="58A90463"/>
    <w:rsid w:val="58A9F327"/>
    <w:rsid w:val="58AFB50B"/>
    <w:rsid w:val="58B22C01"/>
    <w:rsid w:val="58B393E2"/>
    <w:rsid w:val="58B45142"/>
    <w:rsid w:val="58B886F8"/>
    <w:rsid w:val="58BB1FBA"/>
    <w:rsid w:val="58C1FFE7"/>
    <w:rsid w:val="58C76E55"/>
    <w:rsid w:val="58CDB133"/>
    <w:rsid w:val="58CF5970"/>
    <w:rsid w:val="58D0526C"/>
    <w:rsid w:val="58D14219"/>
    <w:rsid w:val="58D7CF13"/>
    <w:rsid w:val="58E0152A"/>
    <w:rsid w:val="58E52D81"/>
    <w:rsid w:val="58E9AC85"/>
    <w:rsid w:val="58F2D0FD"/>
    <w:rsid w:val="58F42D7C"/>
    <w:rsid w:val="58FF7ED3"/>
    <w:rsid w:val="59015059"/>
    <w:rsid w:val="5906CFEB"/>
    <w:rsid w:val="59117050"/>
    <w:rsid w:val="59136945"/>
    <w:rsid w:val="5917A123"/>
    <w:rsid w:val="5917A56E"/>
    <w:rsid w:val="5918070A"/>
    <w:rsid w:val="591E6883"/>
    <w:rsid w:val="59200345"/>
    <w:rsid w:val="5922788E"/>
    <w:rsid w:val="59239690"/>
    <w:rsid w:val="5924287B"/>
    <w:rsid w:val="592CA234"/>
    <w:rsid w:val="59335321"/>
    <w:rsid w:val="593D947D"/>
    <w:rsid w:val="5941F840"/>
    <w:rsid w:val="59443503"/>
    <w:rsid w:val="5948BD6D"/>
    <w:rsid w:val="59523D1C"/>
    <w:rsid w:val="595A1980"/>
    <w:rsid w:val="59603A5F"/>
    <w:rsid w:val="59629023"/>
    <w:rsid w:val="5963BCFB"/>
    <w:rsid w:val="59647942"/>
    <w:rsid w:val="59697946"/>
    <w:rsid w:val="5977DDCE"/>
    <w:rsid w:val="597E8921"/>
    <w:rsid w:val="59807994"/>
    <w:rsid w:val="59821C87"/>
    <w:rsid w:val="59822395"/>
    <w:rsid w:val="598CA0B0"/>
    <w:rsid w:val="59909F26"/>
    <w:rsid w:val="59955777"/>
    <w:rsid w:val="599AE57B"/>
    <w:rsid w:val="599DF3DF"/>
    <w:rsid w:val="59A08C82"/>
    <w:rsid w:val="59A4F9BA"/>
    <w:rsid w:val="59B0C50F"/>
    <w:rsid w:val="59BD3F3D"/>
    <w:rsid w:val="59BDAC37"/>
    <w:rsid w:val="59C5436D"/>
    <w:rsid w:val="59CDD1D5"/>
    <w:rsid w:val="59CEEDE1"/>
    <w:rsid w:val="59D33891"/>
    <w:rsid w:val="59D4A9A0"/>
    <w:rsid w:val="59D55589"/>
    <w:rsid w:val="59D733EB"/>
    <w:rsid w:val="59D8728C"/>
    <w:rsid w:val="59DC04B6"/>
    <w:rsid w:val="59E32E69"/>
    <w:rsid w:val="59F2E4B0"/>
    <w:rsid w:val="59F56A78"/>
    <w:rsid w:val="59F5F1EB"/>
    <w:rsid w:val="59F763F6"/>
    <w:rsid w:val="59F8872D"/>
    <w:rsid w:val="5A0AE3A8"/>
    <w:rsid w:val="5A0E5474"/>
    <w:rsid w:val="5A0E9D4B"/>
    <w:rsid w:val="5A1F8FB2"/>
    <w:rsid w:val="5A2221C4"/>
    <w:rsid w:val="5A2871A0"/>
    <w:rsid w:val="5A2F1EFA"/>
    <w:rsid w:val="5A3308A0"/>
    <w:rsid w:val="5A3C9C4E"/>
    <w:rsid w:val="5A46E93C"/>
    <w:rsid w:val="5A4D868A"/>
    <w:rsid w:val="5A4D8E01"/>
    <w:rsid w:val="5A4D8E31"/>
    <w:rsid w:val="5A529FB5"/>
    <w:rsid w:val="5A59A996"/>
    <w:rsid w:val="5A5B4355"/>
    <w:rsid w:val="5A60ED96"/>
    <w:rsid w:val="5A618AFB"/>
    <w:rsid w:val="5A619C7D"/>
    <w:rsid w:val="5A769F7C"/>
    <w:rsid w:val="5A8F7967"/>
    <w:rsid w:val="5A9147D5"/>
    <w:rsid w:val="5A9CEC31"/>
    <w:rsid w:val="5A9E84AB"/>
    <w:rsid w:val="5A9FF6A9"/>
    <w:rsid w:val="5AA3480A"/>
    <w:rsid w:val="5AAB3956"/>
    <w:rsid w:val="5AACAD89"/>
    <w:rsid w:val="5AB4C842"/>
    <w:rsid w:val="5AB57AB2"/>
    <w:rsid w:val="5ABE54A7"/>
    <w:rsid w:val="5AC05710"/>
    <w:rsid w:val="5AC77216"/>
    <w:rsid w:val="5ACACE8E"/>
    <w:rsid w:val="5ACBCA47"/>
    <w:rsid w:val="5ACC63C2"/>
    <w:rsid w:val="5AE013BE"/>
    <w:rsid w:val="5AEBA257"/>
    <w:rsid w:val="5AF426DC"/>
    <w:rsid w:val="5AF6F709"/>
    <w:rsid w:val="5B07719B"/>
    <w:rsid w:val="5B0BC385"/>
    <w:rsid w:val="5B0F90D8"/>
    <w:rsid w:val="5B177086"/>
    <w:rsid w:val="5B1818F7"/>
    <w:rsid w:val="5B22864D"/>
    <w:rsid w:val="5B2EF707"/>
    <w:rsid w:val="5B36F021"/>
    <w:rsid w:val="5B38F682"/>
    <w:rsid w:val="5B3B007A"/>
    <w:rsid w:val="5B3E53C9"/>
    <w:rsid w:val="5B42087D"/>
    <w:rsid w:val="5B45F2CB"/>
    <w:rsid w:val="5B46AB39"/>
    <w:rsid w:val="5B49B976"/>
    <w:rsid w:val="5B4BA441"/>
    <w:rsid w:val="5B580345"/>
    <w:rsid w:val="5B5877ED"/>
    <w:rsid w:val="5B5AF89B"/>
    <w:rsid w:val="5B61587C"/>
    <w:rsid w:val="5B6286B3"/>
    <w:rsid w:val="5B68BAF7"/>
    <w:rsid w:val="5B6B9E09"/>
    <w:rsid w:val="5B766714"/>
    <w:rsid w:val="5B77A768"/>
    <w:rsid w:val="5B78035E"/>
    <w:rsid w:val="5B7AFAD0"/>
    <w:rsid w:val="5B85940C"/>
    <w:rsid w:val="5B863F90"/>
    <w:rsid w:val="5B88F10B"/>
    <w:rsid w:val="5B8ACD55"/>
    <w:rsid w:val="5B8C8FCB"/>
    <w:rsid w:val="5B9537B1"/>
    <w:rsid w:val="5B9B59CA"/>
    <w:rsid w:val="5BA1531C"/>
    <w:rsid w:val="5BA77D0E"/>
    <w:rsid w:val="5BAA3DE9"/>
    <w:rsid w:val="5BB18A7D"/>
    <w:rsid w:val="5BB1A326"/>
    <w:rsid w:val="5BB5C228"/>
    <w:rsid w:val="5BC20756"/>
    <w:rsid w:val="5BCA4E96"/>
    <w:rsid w:val="5BD17AF8"/>
    <w:rsid w:val="5BE1033C"/>
    <w:rsid w:val="5BE4ECC3"/>
    <w:rsid w:val="5BE645F2"/>
    <w:rsid w:val="5BEB846B"/>
    <w:rsid w:val="5BEEA2B6"/>
    <w:rsid w:val="5BEEB125"/>
    <w:rsid w:val="5BEFAEEF"/>
    <w:rsid w:val="5BFAB7A0"/>
    <w:rsid w:val="5BFB09EA"/>
    <w:rsid w:val="5C09ACF9"/>
    <w:rsid w:val="5C0E56DF"/>
    <w:rsid w:val="5C1AEFDB"/>
    <w:rsid w:val="5C1C1D5F"/>
    <w:rsid w:val="5C1DE252"/>
    <w:rsid w:val="5C1E87BC"/>
    <w:rsid w:val="5C1EC2D1"/>
    <w:rsid w:val="5C33FEB2"/>
    <w:rsid w:val="5C3466CA"/>
    <w:rsid w:val="5C3517CE"/>
    <w:rsid w:val="5C38466C"/>
    <w:rsid w:val="5C38F46E"/>
    <w:rsid w:val="5C3EDF33"/>
    <w:rsid w:val="5C44DDFB"/>
    <w:rsid w:val="5C487DEA"/>
    <w:rsid w:val="5C4A481C"/>
    <w:rsid w:val="5C4B2C33"/>
    <w:rsid w:val="5C4C4549"/>
    <w:rsid w:val="5C4FF607"/>
    <w:rsid w:val="5C53C48D"/>
    <w:rsid w:val="5C58ECA0"/>
    <w:rsid w:val="5C648453"/>
    <w:rsid w:val="5C69C002"/>
    <w:rsid w:val="5C7FD511"/>
    <w:rsid w:val="5C8D238A"/>
    <w:rsid w:val="5C9A6FE1"/>
    <w:rsid w:val="5C9F583B"/>
    <w:rsid w:val="5C9FE2EE"/>
    <w:rsid w:val="5CA03175"/>
    <w:rsid w:val="5CA2D7EC"/>
    <w:rsid w:val="5CA4B399"/>
    <w:rsid w:val="5CA5EC4E"/>
    <w:rsid w:val="5CA7E9C2"/>
    <w:rsid w:val="5CAAD443"/>
    <w:rsid w:val="5CABA227"/>
    <w:rsid w:val="5CC7D48A"/>
    <w:rsid w:val="5CD4B3A7"/>
    <w:rsid w:val="5CD80895"/>
    <w:rsid w:val="5CDBA0FF"/>
    <w:rsid w:val="5CDD2A8E"/>
    <w:rsid w:val="5CE4A3B0"/>
    <w:rsid w:val="5CE5F733"/>
    <w:rsid w:val="5CF54F5A"/>
    <w:rsid w:val="5CF8897E"/>
    <w:rsid w:val="5CFD2BC3"/>
    <w:rsid w:val="5D039DAA"/>
    <w:rsid w:val="5D0C20C1"/>
    <w:rsid w:val="5D0D70DA"/>
    <w:rsid w:val="5D15DBF6"/>
    <w:rsid w:val="5D244E15"/>
    <w:rsid w:val="5D2F5907"/>
    <w:rsid w:val="5D316917"/>
    <w:rsid w:val="5D3A8CAC"/>
    <w:rsid w:val="5D3FFE03"/>
    <w:rsid w:val="5D404EF1"/>
    <w:rsid w:val="5D4316D5"/>
    <w:rsid w:val="5D4A95D9"/>
    <w:rsid w:val="5D519A07"/>
    <w:rsid w:val="5D556194"/>
    <w:rsid w:val="5D64E5F8"/>
    <w:rsid w:val="5D6AE594"/>
    <w:rsid w:val="5D745F01"/>
    <w:rsid w:val="5D74B856"/>
    <w:rsid w:val="5D775A31"/>
    <w:rsid w:val="5D78289C"/>
    <w:rsid w:val="5D7ADDF9"/>
    <w:rsid w:val="5D7C6F65"/>
    <w:rsid w:val="5D7D0193"/>
    <w:rsid w:val="5D8555B6"/>
    <w:rsid w:val="5D885A97"/>
    <w:rsid w:val="5D8C4BB0"/>
    <w:rsid w:val="5D9485FC"/>
    <w:rsid w:val="5D987803"/>
    <w:rsid w:val="5D9F5F83"/>
    <w:rsid w:val="5DA964B7"/>
    <w:rsid w:val="5DC11E49"/>
    <w:rsid w:val="5DC89F4F"/>
    <w:rsid w:val="5DCD3964"/>
    <w:rsid w:val="5DCF873F"/>
    <w:rsid w:val="5DD340C4"/>
    <w:rsid w:val="5DD4315D"/>
    <w:rsid w:val="5DE436DE"/>
    <w:rsid w:val="5DE44E4B"/>
    <w:rsid w:val="5DED7AD9"/>
    <w:rsid w:val="5DF7609D"/>
    <w:rsid w:val="5E021E42"/>
    <w:rsid w:val="5E0D6CCF"/>
    <w:rsid w:val="5E11508C"/>
    <w:rsid w:val="5E18F12F"/>
    <w:rsid w:val="5E264FA6"/>
    <w:rsid w:val="5E265A0D"/>
    <w:rsid w:val="5E287E23"/>
    <w:rsid w:val="5E2942E1"/>
    <w:rsid w:val="5E2FB281"/>
    <w:rsid w:val="5E39E12F"/>
    <w:rsid w:val="5E3ED0E1"/>
    <w:rsid w:val="5E496B32"/>
    <w:rsid w:val="5E4E42B0"/>
    <w:rsid w:val="5E57D8A8"/>
    <w:rsid w:val="5E5B5BFE"/>
    <w:rsid w:val="5E5FB425"/>
    <w:rsid w:val="5E7186F2"/>
    <w:rsid w:val="5E7415DA"/>
    <w:rsid w:val="5E7A52FC"/>
    <w:rsid w:val="5E82D466"/>
    <w:rsid w:val="5E836B52"/>
    <w:rsid w:val="5E839863"/>
    <w:rsid w:val="5E8B4BB4"/>
    <w:rsid w:val="5E8D8D31"/>
    <w:rsid w:val="5E8E3176"/>
    <w:rsid w:val="5E9501DA"/>
    <w:rsid w:val="5E9ADDB6"/>
    <w:rsid w:val="5E9BD315"/>
    <w:rsid w:val="5EA6B47A"/>
    <w:rsid w:val="5EB08065"/>
    <w:rsid w:val="5EB3169C"/>
    <w:rsid w:val="5EB4F5B7"/>
    <w:rsid w:val="5EC224F7"/>
    <w:rsid w:val="5ECF7314"/>
    <w:rsid w:val="5ED7468B"/>
    <w:rsid w:val="5EE588EC"/>
    <w:rsid w:val="5EF4924B"/>
    <w:rsid w:val="5EF56D3D"/>
    <w:rsid w:val="5EF757E6"/>
    <w:rsid w:val="5EFB8314"/>
    <w:rsid w:val="5EFD3C69"/>
    <w:rsid w:val="5F00BE93"/>
    <w:rsid w:val="5F0CD06F"/>
    <w:rsid w:val="5F0F9AC7"/>
    <w:rsid w:val="5F12DD58"/>
    <w:rsid w:val="5F1432DB"/>
    <w:rsid w:val="5F15FB02"/>
    <w:rsid w:val="5F1A9457"/>
    <w:rsid w:val="5F1E9C31"/>
    <w:rsid w:val="5F22004D"/>
    <w:rsid w:val="5F26F3EC"/>
    <w:rsid w:val="5F271199"/>
    <w:rsid w:val="5F27755F"/>
    <w:rsid w:val="5F27C7FD"/>
    <w:rsid w:val="5F280578"/>
    <w:rsid w:val="5F381F6D"/>
    <w:rsid w:val="5F461F3F"/>
    <w:rsid w:val="5F4AB200"/>
    <w:rsid w:val="5F5206FF"/>
    <w:rsid w:val="5F5E8BD2"/>
    <w:rsid w:val="5F5F03E8"/>
    <w:rsid w:val="5F62EB05"/>
    <w:rsid w:val="5F6C0C60"/>
    <w:rsid w:val="5F73BC12"/>
    <w:rsid w:val="5F79A228"/>
    <w:rsid w:val="5F7A145E"/>
    <w:rsid w:val="5F8445D7"/>
    <w:rsid w:val="5F87F439"/>
    <w:rsid w:val="5F9A3537"/>
    <w:rsid w:val="5F9E9A8B"/>
    <w:rsid w:val="5FAEC61A"/>
    <w:rsid w:val="5FB06099"/>
    <w:rsid w:val="5FB5B466"/>
    <w:rsid w:val="5FBD945C"/>
    <w:rsid w:val="5FCC57EC"/>
    <w:rsid w:val="5FD56C2C"/>
    <w:rsid w:val="5FD67602"/>
    <w:rsid w:val="5FD6A66B"/>
    <w:rsid w:val="5FDCC391"/>
    <w:rsid w:val="5FDE34A3"/>
    <w:rsid w:val="5FDF21AA"/>
    <w:rsid w:val="5FE03E4C"/>
    <w:rsid w:val="5FE16B90"/>
    <w:rsid w:val="5FE3B79D"/>
    <w:rsid w:val="5FE57957"/>
    <w:rsid w:val="5FFB9BE8"/>
    <w:rsid w:val="6007CFA4"/>
    <w:rsid w:val="601118F0"/>
    <w:rsid w:val="6011AD6A"/>
    <w:rsid w:val="6016291F"/>
    <w:rsid w:val="60210047"/>
    <w:rsid w:val="6032A9A4"/>
    <w:rsid w:val="6036BE86"/>
    <w:rsid w:val="603B0E23"/>
    <w:rsid w:val="60402669"/>
    <w:rsid w:val="60429CF4"/>
    <w:rsid w:val="6043CA14"/>
    <w:rsid w:val="60459F2C"/>
    <w:rsid w:val="6053406C"/>
    <w:rsid w:val="6055EADE"/>
    <w:rsid w:val="605811A6"/>
    <w:rsid w:val="606981B9"/>
    <w:rsid w:val="606B1BE4"/>
    <w:rsid w:val="606ED38B"/>
    <w:rsid w:val="606EE2C1"/>
    <w:rsid w:val="6071A5BB"/>
    <w:rsid w:val="60756A38"/>
    <w:rsid w:val="6076BC64"/>
    <w:rsid w:val="60776D16"/>
    <w:rsid w:val="607CE719"/>
    <w:rsid w:val="608A58B2"/>
    <w:rsid w:val="608C8E59"/>
    <w:rsid w:val="608FDC0D"/>
    <w:rsid w:val="609337D8"/>
    <w:rsid w:val="609858BF"/>
    <w:rsid w:val="609E1388"/>
    <w:rsid w:val="609E3A0D"/>
    <w:rsid w:val="609EF1F5"/>
    <w:rsid w:val="60A02810"/>
    <w:rsid w:val="60A0D1CC"/>
    <w:rsid w:val="60A445AE"/>
    <w:rsid w:val="60B064D2"/>
    <w:rsid w:val="60CC656B"/>
    <w:rsid w:val="60D6E318"/>
    <w:rsid w:val="60E4F416"/>
    <w:rsid w:val="60E6D5A2"/>
    <w:rsid w:val="60E9319C"/>
    <w:rsid w:val="60EEC65A"/>
    <w:rsid w:val="60F1FF46"/>
    <w:rsid w:val="60F482D2"/>
    <w:rsid w:val="60F708AA"/>
    <w:rsid w:val="60FDE6E0"/>
    <w:rsid w:val="61044557"/>
    <w:rsid w:val="61129AE4"/>
    <w:rsid w:val="61177344"/>
    <w:rsid w:val="611D906E"/>
    <w:rsid w:val="6123A7EA"/>
    <w:rsid w:val="61251B9B"/>
    <w:rsid w:val="6125E477"/>
    <w:rsid w:val="61288937"/>
    <w:rsid w:val="612C5DC3"/>
    <w:rsid w:val="61330527"/>
    <w:rsid w:val="6133583D"/>
    <w:rsid w:val="613420A3"/>
    <w:rsid w:val="613B2776"/>
    <w:rsid w:val="6140319E"/>
    <w:rsid w:val="6141AB52"/>
    <w:rsid w:val="6141BA28"/>
    <w:rsid w:val="614CAF62"/>
    <w:rsid w:val="61579AD7"/>
    <w:rsid w:val="6157A8C3"/>
    <w:rsid w:val="615A9DDF"/>
    <w:rsid w:val="615ADF88"/>
    <w:rsid w:val="615B046D"/>
    <w:rsid w:val="615B07C1"/>
    <w:rsid w:val="61609F63"/>
    <w:rsid w:val="616A0C8A"/>
    <w:rsid w:val="616FE256"/>
    <w:rsid w:val="61722E92"/>
    <w:rsid w:val="617937EF"/>
    <w:rsid w:val="617EA96A"/>
    <w:rsid w:val="6185E86D"/>
    <w:rsid w:val="618AA924"/>
    <w:rsid w:val="6193FBEC"/>
    <w:rsid w:val="6195AA05"/>
    <w:rsid w:val="619821A8"/>
    <w:rsid w:val="6199F63A"/>
    <w:rsid w:val="61A38DA8"/>
    <w:rsid w:val="61A54A83"/>
    <w:rsid w:val="61AB41DB"/>
    <w:rsid w:val="61AB9FEF"/>
    <w:rsid w:val="61B441A2"/>
    <w:rsid w:val="61B4E971"/>
    <w:rsid w:val="61B56C05"/>
    <w:rsid w:val="61BBB7EA"/>
    <w:rsid w:val="61C4DD19"/>
    <w:rsid w:val="61C7DDB6"/>
    <w:rsid w:val="61C85E8C"/>
    <w:rsid w:val="61CA40C3"/>
    <w:rsid w:val="61D26A5D"/>
    <w:rsid w:val="61D56743"/>
    <w:rsid w:val="61DE3F31"/>
    <w:rsid w:val="61E0BC5F"/>
    <w:rsid w:val="61E2E19B"/>
    <w:rsid w:val="61EF6CE1"/>
    <w:rsid w:val="61F62F1C"/>
    <w:rsid w:val="61FB4329"/>
    <w:rsid w:val="61FB8BD0"/>
    <w:rsid w:val="6205310A"/>
    <w:rsid w:val="62077862"/>
    <w:rsid w:val="620DDF4C"/>
    <w:rsid w:val="6214307E"/>
    <w:rsid w:val="622064A4"/>
    <w:rsid w:val="62220754"/>
    <w:rsid w:val="62223BFD"/>
    <w:rsid w:val="6228498A"/>
    <w:rsid w:val="6230E1C7"/>
    <w:rsid w:val="62352FBB"/>
    <w:rsid w:val="62390DF8"/>
    <w:rsid w:val="62493826"/>
    <w:rsid w:val="624B6531"/>
    <w:rsid w:val="624B9182"/>
    <w:rsid w:val="624BAA84"/>
    <w:rsid w:val="6250F436"/>
    <w:rsid w:val="62512E57"/>
    <w:rsid w:val="62596D46"/>
    <w:rsid w:val="625B9427"/>
    <w:rsid w:val="62613E5E"/>
    <w:rsid w:val="62656260"/>
    <w:rsid w:val="627000E4"/>
    <w:rsid w:val="62704A1F"/>
    <w:rsid w:val="62724732"/>
    <w:rsid w:val="627E8D00"/>
    <w:rsid w:val="628C919A"/>
    <w:rsid w:val="62928AFA"/>
    <w:rsid w:val="62997EA3"/>
    <w:rsid w:val="62A4167D"/>
    <w:rsid w:val="62A9FBF0"/>
    <w:rsid w:val="62B44BE6"/>
    <w:rsid w:val="62B53A17"/>
    <w:rsid w:val="62B797CE"/>
    <w:rsid w:val="62BC6A75"/>
    <w:rsid w:val="62C428C4"/>
    <w:rsid w:val="62C6627F"/>
    <w:rsid w:val="62CA8222"/>
    <w:rsid w:val="62D4048F"/>
    <w:rsid w:val="62D5BE25"/>
    <w:rsid w:val="62D81E0D"/>
    <w:rsid w:val="62D90A5C"/>
    <w:rsid w:val="62DF46D0"/>
    <w:rsid w:val="62E261A1"/>
    <w:rsid w:val="62E5FF8C"/>
    <w:rsid w:val="62E646F4"/>
    <w:rsid w:val="62E886B9"/>
    <w:rsid w:val="62E93510"/>
    <w:rsid w:val="62E9A02A"/>
    <w:rsid w:val="62EB68F3"/>
    <w:rsid w:val="62EB75A4"/>
    <w:rsid w:val="62FA16E3"/>
    <w:rsid w:val="62FCCCB2"/>
    <w:rsid w:val="62FE5465"/>
    <w:rsid w:val="62FEDDED"/>
    <w:rsid w:val="630485C2"/>
    <w:rsid w:val="630B9AF4"/>
    <w:rsid w:val="630C6CC2"/>
    <w:rsid w:val="63156D50"/>
    <w:rsid w:val="6344160D"/>
    <w:rsid w:val="6347B95B"/>
    <w:rsid w:val="63488CE9"/>
    <w:rsid w:val="634F8777"/>
    <w:rsid w:val="63501183"/>
    <w:rsid w:val="63572B36"/>
    <w:rsid w:val="635BE538"/>
    <w:rsid w:val="635F8E8C"/>
    <w:rsid w:val="6374B153"/>
    <w:rsid w:val="6375D7F3"/>
    <w:rsid w:val="637DB439"/>
    <w:rsid w:val="63847397"/>
    <w:rsid w:val="639565AD"/>
    <w:rsid w:val="6398712B"/>
    <w:rsid w:val="639F1F1F"/>
    <w:rsid w:val="63A37310"/>
    <w:rsid w:val="63AEB727"/>
    <w:rsid w:val="63AF7641"/>
    <w:rsid w:val="63B29FDF"/>
    <w:rsid w:val="63B2B931"/>
    <w:rsid w:val="63B67257"/>
    <w:rsid w:val="63B770AB"/>
    <w:rsid w:val="63B8385C"/>
    <w:rsid w:val="63BA40B4"/>
    <w:rsid w:val="63C605F3"/>
    <w:rsid w:val="63CB66FD"/>
    <w:rsid w:val="63CEB688"/>
    <w:rsid w:val="63D096BF"/>
    <w:rsid w:val="63D0F696"/>
    <w:rsid w:val="63E1645B"/>
    <w:rsid w:val="63E1ADBD"/>
    <w:rsid w:val="63E1D8A4"/>
    <w:rsid w:val="63FE4E10"/>
    <w:rsid w:val="64099D9B"/>
    <w:rsid w:val="640A01CD"/>
    <w:rsid w:val="64174142"/>
    <w:rsid w:val="6422C644"/>
    <w:rsid w:val="6422C7D1"/>
    <w:rsid w:val="6426F915"/>
    <w:rsid w:val="642AB557"/>
    <w:rsid w:val="64322CD3"/>
    <w:rsid w:val="64366883"/>
    <w:rsid w:val="643693B4"/>
    <w:rsid w:val="64380505"/>
    <w:rsid w:val="6438FC14"/>
    <w:rsid w:val="643A6772"/>
    <w:rsid w:val="643CA646"/>
    <w:rsid w:val="643CAF51"/>
    <w:rsid w:val="643D55C5"/>
    <w:rsid w:val="64489228"/>
    <w:rsid w:val="644D9BA6"/>
    <w:rsid w:val="645B496A"/>
    <w:rsid w:val="64639799"/>
    <w:rsid w:val="6467427B"/>
    <w:rsid w:val="6477D260"/>
    <w:rsid w:val="647D28E4"/>
    <w:rsid w:val="64826F21"/>
    <w:rsid w:val="6482BDF9"/>
    <w:rsid w:val="6496085E"/>
    <w:rsid w:val="649A8232"/>
    <w:rsid w:val="649F18E9"/>
    <w:rsid w:val="64A159AB"/>
    <w:rsid w:val="64A4C836"/>
    <w:rsid w:val="64A841C4"/>
    <w:rsid w:val="64AB839D"/>
    <w:rsid w:val="64C49A01"/>
    <w:rsid w:val="64C6A5BC"/>
    <w:rsid w:val="64C8309F"/>
    <w:rsid w:val="64CC0E2A"/>
    <w:rsid w:val="64CC5FA6"/>
    <w:rsid w:val="64CC8B01"/>
    <w:rsid w:val="64D1FA27"/>
    <w:rsid w:val="64D44500"/>
    <w:rsid w:val="64D4908C"/>
    <w:rsid w:val="64D6D858"/>
    <w:rsid w:val="64DF5866"/>
    <w:rsid w:val="64E8EE2E"/>
    <w:rsid w:val="64ED029C"/>
    <w:rsid w:val="64ED9B16"/>
    <w:rsid w:val="64EEEE63"/>
    <w:rsid w:val="64F198F5"/>
    <w:rsid w:val="64FD74B8"/>
    <w:rsid w:val="64FE5FEE"/>
    <w:rsid w:val="6508113C"/>
    <w:rsid w:val="6512A80E"/>
    <w:rsid w:val="651721DB"/>
    <w:rsid w:val="65177317"/>
    <w:rsid w:val="65198B64"/>
    <w:rsid w:val="651B241E"/>
    <w:rsid w:val="651D2BD6"/>
    <w:rsid w:val="6529AEF1"/>
    <w:rsid w:val="652A482F"/>
    <w:rsid w:val="652DC09F"/>
    <w:rsid w:val="653334CB"/>
    <w:rsid w:val="65382381"/>
    <w:rsid w:val="653F28F8"/>
    <w:rsid w:val="65449C9B"/>
    <w:rsid w:val="654BE0D1"/>
    <w:rsid w:val="654D67C9"/>
    <w:rsid w:val="6550B24B"/>
    <w:rsid w:val="6555104E"/>
    <w:rsid w:val="65564E34"/>
    <w:rsid w:val="65576A41"/>
    <w:rsid w:val="655C0C4C"/>
    <w:rsid w:val="65659D7F"/>
    <w:rsid w:val="656FFE2E"/>
    <w:rsid w:val="6575182E"/>
    <w:rsid w:val="658584A0"/>
    <w:rsid w:val="65866637"/>
    <w:rsid w:val="658CA9A1"/>
    <w:rsid w:val="65917720"/>
    <w:rsid w:val="659677CE"/>
    <w:rsid w:val="659CBFA0"/>
    <w:rsid w:val="65A2613E"/>
    <w:rsid w:val="65B3F31F"/>
    <w:rsid w:val="65B57339"/>
    <w:rsid w:val="65B8B4EE"/>
    <w:rsid w:val="65BB458A"/>
    <w:rsid w:val="65C1EACD"/>
    <w:rsid w:val="65C3F301"/>
    <w:rsid w:val="65C73E5D"/>
    <w:rsid w:val="65D2EE99"/>
    <w:rsid w:val="65D375BF"/>
    <w:rsid w:val="65D9B71D"/>
    <w:rsid w:val="65E13AB4"/>
    <w:rsid w:val="65E41CF7"/>
    <w:rsid w:val="65E5D696"/>
    <w:rsid w:val="65FC2791"/>
    <w:rsid w:val="6602263E"/>
    <w:rsid w:val="6603F2C9"/>
    <w:rsid w:val="6605BC82"/>
    <w:rsid w:val="6605F33A"/>
    <w:rsid w:val="660BF4C9"/>
    <w:rsid w:val="66112545"/>
    <w:rsid w:val="66192049"/>
    <w:rsid w:val="661A44DB"/>
    <w:rsid w:val="6620A99A"/>
    <w:rsid w:val="662C24AC"/>
    <w:rsid w:val="663129E4"/>
    <w:rsid w:val="663E8E6B"/>
    <w:rsid w:val="664A8CAC"/>
    <w:rsid w:val="664BBA82"/>
    <w:rsid w:val="664FCE16"/>
    <w:rsid w:val="6651809A"/>
    <w:rsid w:val="66545B3C"/>
    <w:rsid w:val="6654ECE6"/>
    <w:rsid w:val="665ADEEE"/>
    <w:rsid w:val="66608D21"/>
    <w:rsid w:val="666F4F27"/>
    <w:rsid w:val="66798635"/>
    <w:rsid w:val="667B3678"/>
    <w:rsid w:val="667FC5A1"/>
    <w:rsid w:val="66817C47"/>
    <w:rsid w:val="668B5361"/>
    <w:rsid w:val="669240B9"/>
    <w:rsid w:val="6692F000"/>
    <w:rsid w:val="66997DB7"/>
    <w:rsid w:val="669D743C"/>
    <w:rsid w:val="66A59F23"/>
    <w:rsid w:val="66A6409E"/>
    <w:rsid w:val="66A8A0FF"/>
    <w:rsid w:val="66B273A0"/>
    <w:rsid w:val="66B289DA"/>
    <w:rsid w:val="66BC4BEE"/>
    <w:rsid w:val="66C104DE"/>
    <w:rsid w:val="66C4AD77"/>
    <w:rsid w:val="66E4FB2D"/>
    <w:rsid w:val="66EB2744"/>
    <w:rsid w:val="66EE45BE"/>
    <w:rsid w:val="66F9AB6A"/>
    <w:rsid w:val="6701453A"/>
    <w:rsid w:val="6704F5A3"/>
    <w:rsid w:val="670DB25B"/>
    <w:rsid w:val="67148E92"/>
    <w:rsid w:val="67228894"/>
    <w:rsid w:val="6725D5A3"/>
    <w:rsid w:val="6726212B"/>
    <w:rsid w:val="6728BE4E"/>
    <w:rsid w:val="672B0762"/>
    <w:rsid w:val="6735412B"/>
    <w:rsid w:val="674FB162"/>
    <w:rsid w:val="674FEC52"/>
    <w:rsid w:val="6751ACA8"/>
    <w:rsid w:val="6757BF61"/>
    <w:rsid w:val="675D7ED8"/>
    <w:rsid w:val="675F8967"/>
    <w:rsid w:val="6769D952"/>
    <w:rsid w:val="676C4829"/>
    <w:rsid w:val="676D3970"/>
    <w:rsid w:val="6781E4C5"/>
    <w:rsid w:val="679417A2"/>
    <w:rsid w:val="6796145F"/>
    <w:rsid w:val="67A86858"/>
    <w:rsid w:val="67A8A4C9"/>
    <w:rsid w:val="67AA8DB2"/>
    <w:rsid w:val="67AC7B17"/>
    <w:rsid w:val="67ADE755"/>
    <w:rsid w:val="67B43CAA"/>
    <w:rsid w:val="67C0430D"/>
    <w:rsid w:val="67C6DC5B"/>
    <w:rsid w:val="67DADA53"/>
    <w:rsid w:val="67DD59BF"/>
    <w:rsid w:val="67DDDD27"/>
    <w:rsid w:val="67E09499"/>
    <w:rsid w:val="67E58561"/>
    <w:rsid w:val="67E9E617"/>
    <w:rsid w:val="67ECCDCA"/>
    <w:rsid w:val="67F9F1CF"/>
    <w:rsid w:val="67FEEC3F"/>
    <w:rsid w:val="67FF24E0"/>
    <w:rsid w:val="680E65F2"/>
    <w:rsid w:val="6817A3B7"/>
    <w:rsid w:val="681ED452"/>
    <w:rsid w:val="682557E7"/>
    <w:rsid w:val="6834E989"/>
    <w:rsid w:val="6834F413"/>
    <w:rsid w:val="68492CF9"/>
    <w:rsid w:val="684E3DD7"/>
    <w:rsid w:val="68510F3D"/>
    <w:rsid w:val="6855CE9F"/>
    <w:rsid w:val="6856BD68"/>
    <w:rsid w:val="68584655"/>
    <w:rsid w:val="685BC7E0"/>
    <w:rsid w:val="685D63CA"/>
    <w:rsid w:val="685F4C8B"/>
    <w:rsid w:val="6862F39A"/>
    <w:rsid w:val="6869526F"/>
    <w:rsid w:val="686BDC81"/>
    <w:rsid w:val="6870A5D6"/>
    <w:rsid w:val="688AF071"/>
    <w:rsid w:val="688C3683"/>
    <w:rsid w:val="68957C06"/>
    <w:rsid w:val="68978B0E"/>
    <w:rsid w:val="689C2167"/>
    <w:rsid w:val="68A00A43"/>
    <w:rsid w:val="68A0B486"/>
    <w:rsid w:val="68A109E1"/>
    <w:rsid w:val="68A9E4B7"/>
    <w:rsid w:val="68AE7B5A"/>
    <w:rsid w:val="68C01616"/>
    <w:rsid w:val="68C53010"/>
    <w:rsid w:val="68C9F42B"/>
    <w:rsid w:val="68D5BEB4"/>
    <w:rsid w:val="68D6710A"/>
    <w:rsid w:val="68DC4111"/>
    <w:rsid w:val="68E6BE02"/>
    <w:rsid w:val="68EA557D"/>
    <w:rsid w:val="68EBBCB3"/>
    <w:rsid w:val="68F0FED9"/>
    <w:rsid w:val="68F39F5E"/>
    <w:rsid w:val="68F41FFE"/>
    <w:rsid w:val="68F445CF"/>
    <w:rsid w:val="68F4B067"/>
    <w:rsid w:val="68FB8DDA"/>
    <w:rsid w:val="690A864C"/>
    <w:rsid w:val="690E3959"/>
    <w:rsid w:val="6913DF1A"/>
    <w:rsid w:val="69159172"/>
    <w:rsid w:val="691AF52F"/>
    <w:rsid w:val="691E3A2F"/>
    <w:rsid w:val="6921E08B"/>
    <w:rsid w:val="6925BFE8"/>
    <w:rsid w:val="6928326A"/>
    <w:rsid w:val="692AB36D"/>
    <w:rsid w:val="692EB955"/>
    <w:rsid w:val="69409F33"/>
    <w:rsid w:val="69436BE5"/>
    <w:rsid w:val="6948765B"/>
    <w:rsid w:val="694F9A59"/>
    <w:rsid w:val="6950F72A"/>
    <w:rsid w:val="69551CD2"/>
    <w:rsid w:val="696097DA"/>
    <w:rsid w:val="6964D65F"/>
    <w:rsid w:val="6968E566"/>
    <w:rsid w:val="696E3E99"/>
    <w:rsid w:val="6970D148"/>
    <w:rsid w:val="6975E325"/>
    <w:rsid w:val="6979AB3D"/>
    <w:rsid w:val="6980DD1D"/>
    <w:rsid w:val="698E04A9"/>
    <w:rsid w:val="698F2127"/>
    <w:rsid w:val="698FAEEE"/>
    <w:rsid w:val="69922E31"/>
    <w:rsid w:val="699886B2"/>
    <w:rsid w:val="699A1587"/>
    <w:rsid w:val="699A9438"/>
    <w:rsid w:val="699B411C"/>
    <w:rsid w:val="699B4BAE"/>
    <w:rsid w:val="69B71526"/>
    <w:rsid w:val="69B85A4F"/>
    <w:rsid w:val="69B95A4A"/>
    <w:rsid w:val="69BC7E39"/>
    <w:rsid w:val="69C184DD"/>
    <w:rsid w:val="69C9326A"/>
    <w:rsid w:val="69D3FC20"/>
    <w:rsid w:val="69DE6FE4"/>
    <w:rsid w:val="69E7EF10"/>
    <w:rsid w:val="69EC37F5"/>
    <w:rsid w:val="69ED879B"/>
    <w:rsid w:val="69F127DB"/>
    <w:rsid w:val="69F398AA"/>
    <w:rsid w:val="6A067CB7"/>
    <w:rsid w:val="6A085ECA"/>
    <w:rsid w:val="6A2BFE79"/>
    <w:rsid w:val="6A2D4FAC"/>
    <w:rsid w:val="6A44F236"/>
    <w:rsid w:val="6A48CA82"/>
    <w:rsid w:val="6A4A8809"/>
    <w:rsid w:val="6A4E6B7E"/>
    <w:rsid w:val="6A5875D9"/>
    <w:rsid w:val="6A5B24EA"/>
    <w:rsid w:val="6A63D58D"/>
    <w:rsid w:val="6A6AA864"/>
    <w:rsid w:val="6A6E2043"/>
    <w:rsid w:val="6A702087"/>
    <w:rsid w:val="6A70A5C4"/>
    <w:rsid w:val="6A73F89B"/>
    <w:rsid w:val="6A791FFB"/>
    <w:rsid w:val="6A7F9104"/>
    <w:rsid w:val="6A84F4BF"/>
    <w:rsid w:val="6A878D14"/>
    <w:rsid w:val="6A88C695"/>
    <w:rsid w:val="6A8D1E8D"/>
    <w:rsid w:val="6A8FC9C5"/>
    <w:rsid w:val="6AA0EF67"/>
    <w:rsid w:val="6AA4E807"/>
    <w:rsid w:val="6AA50775"/>
    <w:rsid w:val="6AA6D750"/>
    <w:rsid w:val="6AA8C970"/>
    <w:rsid w:val="6AA93EB5"/>
    <w:rsid w:val="6AAFE16C"/>
    <w:rsid w:val="6AB0335B"/>
    <w:rsid w:val="6ABE8BD6"/>
    <w:rsid w:val="6AC31A79"/>
    <w:rsid w:val="6ACDEB87"/>
    <w:rsid w:val="6ACFE355"/>
    <w:rsid w:val="6AD79967"/>
    <w:rsid w:val="6AD7AA37"/>
    <w:rsid w:val="6AE2A9A4"/>
    <w:rsid w:val="6AE6FFFE"/>
    <w:rsid w:val="6AEBF543"/>
    <w:rsid w:val="6AED5032"/>
    <w:rsid w:val="6AF38DA5"/>
    <w:rsid w:val="6AFB4331"/>
    <w:rsid w:val="6AFBE707"/>
    <w:rsid w:val="6B009D47"/>
    <w:rsid w:val="6B02F73A"/>
    <w:rsid w:val="6B05D8AA"/>
    <w:rsid w:val="6B10A56C"/>
    <w:rsid w:val="6B1222F5"/>
    <w:rsid w:val="6B135D8B"/>
    <w:rsid w:val="6B212AFA"/>
    <w:rsid w:val="6B2C7F84"/>
    <w:rsid w:val="6B33E675"/>
    <w:rsid w:val="6B384108"/>
    <w:rsid w:val="6B3C532A"/>
    <w:rsid w:val="6B40C91C"/>
    <w:rsid w:val="6B449704"/>
    <w:rsid w:val="6B44B3E7"/>
    <w:rsid w:val="6B4D9537"/>
    <w:rsid w:val="6B4E917E"/>
    <w:rsid w:val="6B53CDF5"/>
    <w:rsid w:val="6B53FC27"/>
    <w:rsid w:val="6B5FB1B6"/>
    <w:rsid w:val="6B605955"/>
    <w:rsid w:val="6B6404AA"/>
    <w:rsid w:val="6B64CEC7"/>
    <w:rsid w:val="6B66E463"/>
    <w:rsid w:val="6B6BC7F5"/>
    <w:rsid w:val="6B70E39E"/>
    <w:rsid w:val="6B715212"/>
    <w:rsid w:val="6B7193AA"/>
    <w:rsid w:val="6B745EA5"/>
    <w:rsid w:val="6B86A75B"/>
    <w:rsid w:val="6B8F2152"/>
    <w:rsid w:val="6BBA30AA"/>
    <w:rsid w:val="6BC29701"/>
    <w:rsid w:val="6BC7CEDA"/>
    <w:rsid w:val="6BCA4835"/>
    <w:rsid w:val="6BCAB5E0"/>
    <w:rsid w:val="6BCB770A"/>
    <w:rsid w:val="6BCF91FD"/>
    <w:rsid w:val="6BD244F6"/>
    <w:rsid w:val="6BD53AD3"/>
    <w:rsid w:val="6BDBC3C2"/>
    <w:rsid w:val="6BDE9BDA"/>
    <w:rsid w:val="6BE6CE7F"/>
    <w:rsid w:val="6BE9BEBA"/>
    <w:rsid w:val="6BEB6E9C"/>
    <w:rsid w:val="6BEE348E"/>
    <w:rsid w:val="6BF510AD"/>
    <w:rsid w:val="6C02E7F9"/>
    <w:rsid w:val="6C07AD45"/>
    <w:rsid w:val="6C10E36A"/>
    <w:rsid w:val="6C13D58B"/>
    <w:rsid w:val="6C188615"/>
    <w:rsid w:val="6C18F2B4"/>
    <w:rsid w:val="6C213F61"/>
    <w:rsid w:val="6C26C7C2"/>
    <w:rsid w:val="6C2E99D4"/>
    <w:rsid w:val="6C2EEBA6"/>
    <w:rsid w:val="6C38B824"/>
    <w:rsid w:val="6C40ABC2"/>
    <w:rsid w:val="6C4218C7"/>
    <w:rsid w:val="6C4FA7FE"/>
    <w:rsid w:val="6C50F2BF"/>
    <w:rsid w:val="6C510F82"/>
    <w:rsid w:val="6C59F678"/>
    <w:rsid w:val="6C5EAA27"/>
    <w:rsid w:val="6C63353B"/>
    <w:rsid w:val="6C638FB7"/>
    <w:rsid w:val="6C7D17BC"/>
    <w:rsid w:val="6C80F69F"/>
    <w:rsid w:val="6C8B7F32"/>
    <w:rsid w:val="6C8EC5AA"/>
    <w:rsid w:val="6C937810"/>
    <w:rsid w:val="6C959BBE"/>
    <w:rsid w:val="6C9EBC63"/>
    <w:rsid w:val="6CA4C15B"/>
    <w:rsid w:val="6CA95847"/>
    <w:rsid w:val="6CB35724"/>
    <w:rsid w:val="6CB8E7E0"/>
    <w:rsid w:val="6CB8F258"/>
    <w:rsid w:val="6CBBADBB"/>
    <w:rsid w:val="6CDAB14D"/>
    <w:rsid w:val="6CE46A92"/>
    <w:rsid w:val="6CEAB84B"/>
    <w:rsid w:val="6CEC3448"/>
    <w:rsid w:val="6CEF5365"/>
    <w:rsid w:val="6CF0922F"/>
    <w:rsid w:val="6CF1CEF7"/>
    <w:rsid w:val="6CF1F3E3"/>
    <w:rsid w:val="6CF8E7CD"/>
    <w:rsid w:val="6CFCC499"/>
    <w:rsid w:val="6D0733D7"/>
    <w:rsid w:val="6D0B132A"/>
    <w:rsid w:val="6D1C72E8"/>
    <w:rsid w:val="6D2C3D31"/>
    <w:rsid w:val="6D4A6E16"/>
    <w:rsid w:val="6D4AC0DB"/>
    <w:rsid w:val="6D57DA5E"/>
    <w:rsid w:val="6D5B2A5E"/>
    <w:rsid w:val="6D745B4E"/>
    <w:rsid w:val="6D7901D6"/>
    <w:rsid w:val="6D855429"/>
    <w:rsid w:val="6D8733C1"/>
    <w:rsid w:val="6D8C4021"/>
    <w:rsid w:val="6D8DE9BF"/>
    <w:rsid w:val="6D921011"/>
    <w:rsid w:val="6D975CD1"/>
    <w:rsid w:val="6D97624E"/>
    <w:rsid w:val="6D9C9447"/>
    <w:rsid w:val="6DA4B002"/>
    <w:rsid w:val="6DA56F02"/>
    <w:rsid w:val="6DA77E7A"/>
    <w:rsid w:val="6DAAD84B"/>
    <w:rsid w:val="6DAD68D1"/>
    <w:rsid w:val="6DB35F3B"/>
    <w:rsid w:val="6DB59382"/>
    <w:rsid w:val="6DB689FA"/>
    <w:rsid w:val="6DB7F5D6"/>
    <w:rsid w:val="6DB93351"/>
    <w:rsid w:val="6DC1BB01"/>
    <w:rsid w:val="6DC3E937"/>
    <w:rsid w:val="6DC3FB16"/>
    <w:rsid w:val="6DCCFF27"/>
    <w:rsid w:val="6DCD57D4"/>
    <w:rsid w:val="6DCF8C3E"/>
    <w:rsid w:val="6DD9B5FD"/>
    <w:rsid w:val="6DDC168A"/>
    <w:rsid w:val="6DE0FD0A"/>
    <w:rsid w:val="6DE4769F"/>
    <w:rsid w:val="6DE9E998"/>
    <w:rsid w:val="6DF15896"/>
    <w:rsid w:val="6DF6B2DA"/>
    <w:rsid w:val="6DFCE421"/>
    <w:rsid w:val="6DFD5C85"/>
    <w:rsid w:val="6DFE7DAF"/>
    <w:rsid w:val="6DFF01AB"/>
    <w:rsid w:val="6E063908"/>
    <w:rsid w:val="6E07BB0F"/>
    <w:rsid w:val="6E0878A8"/>
    <w:rsid w:val="6E121B85"/>
    <w:rsid w:val="6E1AE842"/>
    <w:rsid w:val="6E1C69C6"/>
    <w:rsid w:val="6E1F437D"/>
    <w:rsid w:val="6E2558CD"/>
    <w:rsid w:val="6E2B0E65"/>
    <w:rsid w:val="6E306B53"/>
    <w:rsid w:val="6E344ACE"/>
    <w:rsid w:val="6E38DEAA"/>
    <w:rsid w:val="6E38E8A9"/>
    <w:rsid w:val="6E38E8FB"/>
    <w:rsid w:val="6E3A2329"/>
    <w:rsid w:val="6E3C5CC6"/>
    <w:rsid w:val="6E3CCF23"/>
    <w:rsid w:val="6E3CDABC"/>
    <w:rsid w:val="6E44A3AC"/>
    <w:rsid w:val="6E4F8505"/>
    <w:rsid w:val="6E4FB9BD"/>
    <w:rsid w:val="6E5CD068"/>
    <w:rsid w:val="6E6DC945"/>
    <w:rsid w:val="6E6E30BB"/>
    <w:rsid w:val="6E74D204"/>
    <w:rsid w:val="6E80A720"/>
    <w:rsid w:val="6E80BCE5"/>
    <w:rsid w:val="6E81EF28"/>
    <w:rsid w:val="6E8C9A2E"/>
    <w:rsid w:val="6E8D9F58"/>
    <w:rsid w:val="6E8F5051"/>
    <w:rsid w:val="6E9073C2"/>
    <w:rsid w:val="6E946821"/>
    <w:rsid w:val="6E97D7DE"/>
    <w:rsid w:val="6E9BA181"/>
    <w:rsid w:val="6EA9BF90"/>
    <w:rsid w:val="6EAE3707"/>
    <w:rsid w:val="6EAE8262"/>
    <w:rsid w:val="6EAEFF4C"/>
    <w:rsid w:val="6EB72AD0"/>
    <w:rsid w:val="6EB7D300"/>
    <w:rsid w:val="6EB9E74F"/>
    <w:rsid w:val="6EBC4ABC"/>
    <w:rsid w:val="6EBC9F71"/>
    <w:rsid w:val="6EBE8A76"/>
    <w:rsid w:val="6EC957F2"/>
    <w:rsid w:val="6ED0CC7A"/>
    <w:rsid w:val="6ED36EA6"/>
    <w:rsid w:val="6EDD205D"/>
    <w:rsid w:val="6EDDE6CE"/>
    <w:rsid w:val="6EE4E31C"/>
    <w:rsid w:val="6EE56528"/>
    <w:rsid w:val="6EEE1849"/>
    <w:rsid w:val="6F014D5C"/>
    <w:rsid w:val="6F03E2D1"/>
    <w:rsid w:val="6F04160F"/>
    <w:rsid w:val="6F20C7BA"/>
    <w:rsid w:val="6F2DFEDB"/>
    <w:rsid w:val="6F2FCFD8"/>
    <w:rsid w:val="6F3003AD"/>
    <w:rsid w:val="6F3427FC"/>
    <w:rsid w:val="6F35C228"/>
    <w:rsid w:val="6F3BC38C"/>
    <w:rsid w:val="6F3D3923"/>
    <w:rsid w:val="6F3D6689"/>
    <w:rsid w:val="6F4884C8"/>
    <w:rsid w:val="6F498CD6"/>
    <w:rsid w:val="6F4D7F78"/>
    <w:rsid w:val="6F613962"/>
    <w:rsid w:val="6F65EE45"/>
    <w:rsid w:val="6F69BDA2"/>
    <w:rsid w:val="6F6CB59C"/>
    <w:rsid w:val="6F726E0E"/>
    <w:rsid w:val="6F7272C2"/>
    <w:rsid w:val="6F754EFF"/>
    <w:rsid w:val="6F7D7AB9"/>
    <w:rsid w:val="6F7EB4D9"/>
    <w:rsid w:val="6F860DBA"/>
    <w:rsid w:val="6F89973D"/>
    <w:rsid w:val="6F8B0984"/>
    <w:rsid w:val="6F8D69FD"/>
    <w:rsid w:val="6F9187B1"/>
    <w:rsid w:val="6F9E203F"/>
    <w:rsid w:val="6F9E80D2"/>
    <w:rsid w:val="6FA3E528"/>
    <w:rsid w:val="6FAB3060"/>
    <w:rsid w:val="6FB22507"/>
    <w:rsid w:val="6FB3CD16"/>
    <w:rsid w:val="6FB77476"/>
    <w:rsid w:val="6FB7D42F"/>
    <w:rsid w:val="6FC028CF"/>
    <w:rsid w:val="6FC23CE9"/>
    <w:rsid w:val="6FC50EBD"/>
    <w:rsid w:val="6FC82B36"/>
    <w:rsid w:val="6FD3285F"/>
    <w:rsid w:val="6FD468B9"/>
    <w:rsid w:val="6FD64912"/>
    <w:rsid w:val="6FDB4244"/>
    <w:rsid w:val="6FDCAC63"/>
    <w:rsid w:val="6FDF6FFC"/>
    <w:rsid w:val="6FECECA5"/>
    <w:rsid w:val="6FEE6C1F"/>
    <w:rsid w:val="6FFEA7B6"/>
    <w:rsid w:val="700631E0"/>
    <w:rsid w:val="701CF44A"/>
    <w:rsid w:val="701DD37A"/>
    <w:rsid w:val="70216DF7"/>
    <w:rsid w:val="7027C8B0"/>
    <w:rsid w:val="702907D2"/>
    <w:rsid w:val="702AB581"/>
    <w:rsid w:val="702B1463"/>
    <w:rsid w:val="702B4AB1"/>
    <w:rsid w:val="702E593B"/>
    <w:rsid w:val="703F3918"/>
    <w:rsid w:val="704120A8"/>
    <w:rsid w:val="7041464E"/>
    <w:rsid w:val="704426C0"/>
    <w:rsid w:val="704D4940"/>
    <w:rsid w:val="70536CFD"/>
    <w:rsid w:val="705D0B3F"/>
    <w:rsid w:val="70651538"/>
    <w:rsid w:val="7065315A"/>
    <w:rsid w:val="706A2B83"/>
    <w:rsid w:val="70733AF9"/>
    <w:rsid w:val="7078BAA9"/>
    <w:rsid w:val="70984C0E"/>
    <w:rsid w:val="7099E16B"/>
    <w:rsid w:val="709AAD81"/>
    <w:rsid w:val="709D6CB5"/>
    <w:rsid w:val="709EAF9A"/>
    <w:rsid w:val="70A510CC"/>
    <w:rsid w:val="70ABEF49"/>
    <w:rsid w:val="70AD603F"/>
    <w:rsid w:val="70AEECD0"/>
    <w:rsid w:val="70AFE876"/>
    <w:rsid w:val="70B05E56"/>
    <w:rsid w:val="70B38AF8"/>
    <w:rsid w:val="70C7D6BE"/>
    <w:rsid w:val="70CDA437"/>
    <w:rsid w:val="70CF116E"/>
    <w:rsid w:val="70D8B0C7"/>
    <w:rsid w:val="70D8D3EB"/>
    <w:rsid w:val="70DA82EB"/>
    <w:rsid w:val="70DD3769"/>
    <w:rsid w:val="70E66B14"/>
    <w:rsid w:val="70F73746"/>
    <w:rsid w:val="70F92902"/>
    <w:rsid w:val="70FF0B03"/>
    <w:rsid w:val="71166066"/>
    <w:rsid w:val="7118EA7A"/>
    <w:rsid w:val="711B9BE4"/>
    <w:rsid w:val="711E0BF3"/>
    <w:rsid w:val="7128E832"/>
    <w:rsid w:val="713316F1"/>
    <w:rsid w:val="7133F570"/>
    <w:rsid w:val="7136029C"/>
    <w:rsid w:val="71385FFA"/>
    <w:rsid w:val="713BABE1"/>
    <w:rsid w:val="713D2D0B"/>
    <w:rsid w:val="71480E37"/>
    <w:rsid w:val="71486785"/>
    <w:rsid w:val="714CF9B0"/>
    <w:rsid w:val="71565368"/>
    <w:rsid w:val="715BFCA0"/>
    <w:rsid w:val="71637D15"/>
    <w:rsid w:val="71645320"/>
    <w:rsid w:val="717FD3F2"/>
    <w:rsid w:val="7183F594"/>
    <w:rsid w:val="7188B340"/>
    <w:rsid w:val="718A6CE6"/>
    <w:rsid w:val="718EEC80"/>
    <w:rsid w:val="719234C9"/>
    <w:rsid w:val="71A4E2CE"/>
    <w:rsid w:val="71A73D24"/>
    <w:rsid w:val="71ACB4FE"/>
    <w:rsid w:val="71B4727E"/>
    <w:rsid w:val="71B58291"/>
    <w:rsid w:val="71BB7F4F"/>
    <w:rsid w:val="71BDAB21"/>
    <w:rsid w:val="71C0EFC1"/>
    <w:rsid w:val="71C65E17"/>
    <w:rsid w:val="71C922C7"/>
    <w:rsid w:val="71DD59AB"/>
    <w:rsid w:val="71E3D2F5"/>
    <w:rsid w:val="71E455AA"/>
    <w:rsid w:val="71E54990"/>
    <w:rsid w:val="71E6BDD7"/>
    <w:rsid w:val="71EB3F7D"/>
    <w:rsid w:val="71F6B30B"/>
    <w:rsid w:val="71FA7C33"/>
    <w:rsid w:val="7200144F"/>
    <w:rsid w:val="72004A9E"/>
    <w:rsid w:val="72035E77"/>
    <w:rsid w:val="720BB5D3"/>
    <w:rsid w:val="721BCBB6"/>
    <w:rsid w:val="72216D9E"/>
    <w:rsid w:val="72226B70"/>
    <w:rsid w:val="72248E07"/>
    <w:rsid w:val="7224B679"/>
    <w:rsid w:val="722EF43D"/>
    <w:rsid w:val="723285C8"/>
    <w:rsid w:val="72332E8C"/>
    <w:rsid w:val="72375322"/>
    <w:rsid w:val="723B7F1A"/>
    <w:rsid w:val="723C50B7"/>
    <w:rsid w:val="723F1F31"/>
    <w:rsid w:val="723F4D62"/>
    <w:rsid w:val="72457F17"/>
    <w:rsid w:val="72466D9A"/>
    <w:rsid w:val="7246B77B"/>
    <w:rsid w:val="724B3CC8"/>
    <w:rsid w:val="72518554"/>
    <w:rsid w:val="725483B3"/>
    <w:rsid w:val="725CCE6A"/>
    <w:rsid w:val="7264CFDD"/>
    <w:rsid w:val="72675374"/>
    <w:rsid w:val="7272BF7C"/>
    <w:rsid w:val="727A9F5B"/>
    <w:rsid w:val="728670E6"/>
    <w:rsid w:val="728B13B0"/>
    <w:rsid w:val="728DEEE3"/>
    <w:rsid w:val="72929EF9"/>
    <w:rsid w:val="729766EF"/>
    <w:rsid w:val="729C0DBC"/>
    <w:rsid w:val="729E9A0E"/>
    <w:rsid w:val="72A1FD7E"/>
    <w:rsid w:val="72A5B1D1"/>
    <w:rsid w:val="72A65E07"/>
    <w:rsid w:val="72B1947B"/>
    <w:rsid w:val="72B220FA"/>
    <w:rsid w:val="72B4BADB"/>
    <w:rsid w:val="72BBA4A6"/>
    <w:rsid w:val="72BC028D"/>
    <w:rsid w:val="72C12C9C"/>
    <w:rsid w:val="72C2AD8C"/>
    <w:rsid w:val="72C4B893"/>
    <w:rsid w:val="72CE3D04"/>
    <w:rsid w:val="72D7442B"/>
    <w:rsid w:val="72D8FD6C"/>
    <w:rsid w:val="72D98660"/>
    <w:rsid w:val="72D98A71"/>
    <w:rsid w:val="72D99B88"/>
    <w:rsid w:val="72DF9984"/>
    <w:rsid w:val="72E63F74"/>
    <w:rsid w:val="72EA92E9"/>
    <w:rsid w:val="72EC9908"/>
    <w:rsid w:val="72ED04A6"/>
    <w:rsid w:val="72F0FABE"/>
    <w:rsid w:val="72F592FB"/>
    <w:rsid w:val="72FCB946"/>
    <w:rsid w:val="730165F5"/>
    <w:rsid w:val="73027DBC"/>
    <w:rsid w:val="73044228"/>
    <w:rsid w:val="7307A2B0"/>
    <w:rsid w:val="7309B144"/>
    <w:rsid w:val="730E8366"/>
    <w:rsid w:val="7310D302"/>
    <w:rsid w:val="7314BB26"/>
    <w:rsid w:val="731926EF"/>
    <w:rsid w:val="731E5E4E"/>
    <w:rsid w:val="7324470E"/>
    <w:rsid w:val="73282185"/>
    <w:rsid w:val="73295479"/>
    <w:rsid w:val="732A7A7D"/>
    <w:rsid w:val="732C8E74"/>
    <w:rsid w:val="733D8EA0"/>
    <w:rsid w:val="733E2360"/>
    <w:rsid w:val="7343B7C7"/>
    <w:rsid w:val="734514D4"/>
    <w:rsid w:val="7348F032"/>
    <w:rsid w:val="734AE898"/>
    <w:rsid w:val="73507CD2"/>
    <w:rsid w:val="7358F76F"/>
    <w:rsid w:val="735EEA0F"/>
    <w:rsid w:val="735F16E4"/>
    <w:rsid w:val="7362802F"/>
    <w:rsid w:val="736553EC"/>
    <w:rsid w:val="73665967"/>
    <w:rsid w:val="7368D5C8"/>
    <w:rsid w:val="736B6A63"/>
    <w:rsid w:val="7376F465"/>
    <w:rsid w:val="738598E8"/>
    <w:rsid w:val="7385F88F"/>
    <w:rsid w:val="738B49FA"/>
    <w:rsid w:val="73909885"/>
    <w:rsid w:val="7396FC40"/>
    <w:rsid w:val="739A1ECD"/>
    <w:rsid w:val="73AE271B"/>
    <w:rsid w:val="73B6B236"/>
    <w:rsid w:val="73B81B9F"/>
    <w:rsid w:val="73C37920"/>
    <w:rsid w:val="73C3E7F9"/>
    <w:rsid w:val="73C86146"/>
    <w:rsid w:val="73D4B87D"/>
    <w:rsid w:val="73DAEA5D"/>
    <w:rsid w:val="73F277A8"/>
    <w:rsid w:val="73F2CFE0"/>
    <w:rsid w:val="73FE18E2"/>
    <w:rsid w:val="73FF30A6"/>
    <w:rsid w:val="7402C1B5"/>
    <w:rsid w:val="74036A92"/>
    <w:rsid w:val="740AC54C"/>
    <w:rsid w:val="740C1C55"/>
    <w:rsid w:val="7413653B"/>
    <w:rsid w:val="7414B52C"/>
    <w:rsid w:val="7415AD30"/>
    <w:rsid w:val="7415EE98"/>
    <w:rsid w:val="74168091"/>
    <w:rsid w:val="7418770A"/>
    <w:rsid w:val="741D6D3E"/>
    <w:rsid w:val="74274A88"/>
    <w:rsid w:val="742BECB9"/>
    <w:rsid w:val="743284A7"/>
    <w:rsid w:val="743B571A"/>
    <w:rsid w:val="744760B6"/>
    <w:rsid w:val="744A3E96"/>
    <w:rsid w:val="744D061E"/>
    <w:rsid w:val="744D20A5"/>
    <w:rsid w:val="744D6F3F"/>
    <w:rsid w:val="744E3C0C"/>
    <w:rsid w:val="74508B3C"/>
    <w:rsid w:val="74565F09"/>
    <w:rsid w:val="74591D16"/>
    <w:rsid w:val="745C662E"/>
    <w:rsid w:val="745E8321"/>
    <w:rsid w:val="74604989"/>
    <w:rsid w:val="7461A77A"/>
    <w:rsid w:val="7464A5BD"/>
    <w:rsid w:val="746604FA"/>
    <w:rsid w:val="7467CBA2"/>
    <w:rsid w:val="746A20A5"/>
    <w:rsid w:val="7481F876"/>
    <w:rsid w:val="74829213"/>
    <w:rsid w:val="7484EECB"/>
    <w:rsid w:val="7486A1B3"/>
    <w:rsid w:val="748976C4"/>
    <w:rsid w:val="748A9C0D"/>
    <w:rsid w:val="748AB909"/>
    <w:rsid w:val="74961FE9"/>
    <w:rsid w:val="749CEA71"/>
    <w:rsid w:val="749D8CD8"/>
    <w:rsid w:val="749E44BB"/>
    <w:rsid w:val="74A3C5EC"/>
    <w:rsid w:val="74A57291"/>
    <w:rsid w:val="74A639DD"/>
    <w:rsid w:val="74AAB508"/>
    <w:rsid w:val="74B1AAE8"/>
    <w:rsid w:val="74BEF4E5"/>
    <w:rsid w:val="74C4F965"/>
    <w:rsid w:val="74C6E30F"/>
    <w:rsid w:val="74C8B7DE"/>
    <w:rsid w:val="74CB52E5"/>
    <w:rsid w:val="74CF7565"/>
    <w:rsid w:val="74D3338A"/>
    <w:rsid w:val="74D3908E"/>
    <w:rsid w:val="74DA4C73"/>
    <w:rsid w:val="74DE759D"/>
    <w:rsid w:val="74E8281C"/>
    <w:rsid w:val="74EB03FB"/>
    <w:rsid w:val="74EE47E8"/>
    <w:rsid w:val="74EFF509"/>
    <w:rsid w:val="74F46E4C"/>
    <w:rsid w:val="74F6D9E2"/>
    <w:rsid w:val="7500ACF7"/>
    <w:rsid w:val="7500C80F"/>
    <w:rsid w:val="7503271A"/>
    <w:rsid w:val="7505101E"/>
    <w:rsid w:val="7506F2B8"/>
    <w:rsid w:val="75074931"/>
    <w:rsid w:val="750D5F62"/>
    <w:rsid w:val="75126F32"/>
    <w:rsid w:val="7519BCB7"/>
    <w:rsid w:val="753C1BF8"/>
    <w:rsid w:val="75404ED7"/>
    <w:rsid w:val="754404D5"/>
    <w:rsid w:val="7546DA58"/>
    <w:rsid w:val="754784D6"/>
    <w:rsid w:val="75591593"/>
    <w:rsid w:val="7563884C"/>
    <w:rsid w:val="7569AD5D"/>
    <w:rsid w:val="7579BDDE"/>
    <w:rsid w:val="757A9925"/>
    <w:rsid w:val="75809EB9"/>
    <w:rsid w:val="75836A2F"/>
    <w:rsid w:val="758693D9"/>
    <w:rsid w:val="758A2C37"/>
    <w:rsid w:val="758E6F25"/>
    <w:rsid w:val="759F605C"/>
    <w:rsid w:val="75A35E07"/>
    <w:rsid w:val="75A96CF8"/>
    <w:rsid w:val="75A9743C"/>
    <w:rsid w:val="75AC7A38"/>
    <w:rsid w:val="75AE8100"/>
    <w:rsid w:val="75C309ED"/>
    <w:rsid w:val="75CE2038"/>
    <w:rsid w:val="75D02DD0"/>
    <w:rsid w:val="75D0CBED"/>
    <w:rsid w:val="75D448AF"/>
    <w:rsid w:val="75DC5CAC"/>
    <w:rsid w:val="75DE0438"/>
    <w:rsid w:val="75E0732D"/>
    <w:rsid w:val="75E3DF5D"/>
    <w:rsid w:val="75E8C452"/>
    <w:rsid w:val="75EB17C0"/>
    <w:rsid w:val="75ED0AE2"/>
    <w:rsid w:val="75EFF9AA"/>
    <w:rsid w:val="75F35185"/>
    <w:rsid w:val="75F60DE7"/>
    <w:rsid w:val="75F65FDE"/>
    <w:rsid w:val="75FBAC53"/>
    <w:rsid w:val="75FFA804"/>
    <w:rsid w:val="7611F895"/>
    <w:rsid w:val="76127B04"/>
    <w:rsid w:val="761323CC"/>
    <w:rsid w:val="761A4D0C"/>
    <w:rsid w:val="761DABC7"/>
    <w:rsid w:val="76255614"/>
    <w:rsid w:val="7625DBA8"/>
    <w:rsid w:val="762BE583"/>
    <w:rsid w:val="762E7D36"/>
    <w:rsid w:val="76311EC8"/>
    <w:rsid w:val="763AD476"/>
    <w:rsid w:val="764375A5"/>
    <w:rsid w:val="764379EB"/>
    <w:rsid w:val="7662A492"/>
    <w:rsid w:val="76670E82"/>
    <w:rsid w:val="76695B51"/>
    <w:rsid w:val="766AAB6D"/>
    <w:rsid w:val="766AE6F9"/>
    <w:rsid w:val="76740947"/>
    <w:rsid w:val="76780E6B"/>
    <w:rsid w:val="7682DD6A"/>
    <w:rsid w:val="768A786C"/>
    <w:rsid w:val="768B420C"/>
    <w:rsid w:val="769231D1"/>
    <w:rsid w:val="7692B69D"/>
    <w:rsid w:val="76966178"/>
    <w:rsid w:val="7697BD33"/>
    <w:rsid w:val="7698F0A3"/>
    <w:rsid w:val="76A0C8D6"/>
    <w:rsid w:val="76B9FB66"/>
    <w:rsid w:val="76C59B6B"/>
    <w:rsid w:val="76C65099"/>
    <w:rsid w:val="76CDBEF5"/>
    <w:rsid w:val="76CED3EB"/>
    <w:rsid w:val="76D12100"/>
    <w:rsid w:val="76D2985A"/>
    <w:rsid w:val="76D791CE"/>
    <w:rsid w:val="76DD51DE"/>
    <w:rsid w:val="76F0BAE0"/>
    <w:rsid w:val="76F38275"/>
    <w:rsid w:val="77007B9C"/>
    <w:rsid w:val="77023AF4"/>
    <w:rsid w:val="77028464"/>
    <w:rsid w:val="77110882"/>
    <w:rsid w:val="77181A03"/>
    <w:rsid w:val="77196E28"/>
    <w:rsid w:val="772827A7"/>
    <w:rsid w:val="772DB9E6"/>
    <w:rsid w:val="77390F1A"/>
    <w:rsid w:val="77494A24"/>
    <w:rsid w:val="774CCC05"/>
    <w:rsid w:val="7755D42F"/>
    <w:rsid w:val="7757F7CD"/>
    <w:rsid w:val="775BEC10"/>
    <w:rsid w:val="775C09CF"/>
    <w:rsid w:val="775C4056"/>
    <w:rsid w:val="775F5E40"/>
    <w:rsid w:val="77604F0D"/>
    <w:rsid w:val="77639E7A"/>
    <w:rsid w:val="776B00AC"/>
    <w:rsid w:val="77785161"/>
    <w:rsid w:val="77787A4C"/>
    <w:rsid w:val="777A3B24"/>
    <w:rsid w:val="777BF703"/>
    <w:rsid w:val="778B675E"/>
    <w:rsid w:val="7794E84C"/>
    <w:rsid w:val="77952D89"/>
    <w:rsid w:val="779B4E5B"/>
    <w:rsid w:val="77A6C2A3"/>
    <w:rsid w:val="77B4188E"/>
    <w:rsid w:val="77BD7785"/>
    <w:rsid w:val="77BDBF16"/>
    <w:rsid w:val="77C70D9A"/>
    <w:rsid w:val="77D04624"/>
    <w:rsid w:val="77D211CF"/>
    <w:rsid w:val="77D57463"/>
    <w:rsid w:val="77D7C5A6"/>
    <w:rsid w:val="77D9B92A"/>
    <w:rsid w:val="77E46FDC"/>
    <w:rsid w:val="77E50758"/>
    <w:rsid w:val="77EA2045"/>
    <w:rsid w:val="77EE361C"/>
    <w:rsid w:val="77F5D01C"/>
    <w:rsid w:val="77F6CD77"/>
    <w:rsid w:val="77FB772E"/>
    <w:rsid w:val="77FC2B37"/>
    <w:rsid w:val="78023150"/>
    <w:rsid w:val="7804F7DB"/>
    <w:rsid w:val="78066468"/>
    <w:rsid w:val="780DBCE7"/>
    <w:rsid w:val="780E9DDC"/>
    <w:rsid w:val="7810134D"/>
    <w:rsid w:val="781280EC"/>
    <w:rsid w:val="781338F2"/>
    <w:rsid w:val="7813B2C0"/>
    <w:rsid w:val="7814EAA7"/>
    <w:rsid w:val="7816A44E"/>
    <w:rsid w:val="781D44F6"/>
    <w:rsid w:val="781DCF8E"/>
    <w:rsid w:val="781E2D8B"/>
    <w:rsid w:val="78220C42"/>
    <w:rsid w:val="7826679F"/>
    <w:rsid w:val="78329D57"/>
    <w:rsid w:val="78332825"/>
    <w:rsid w:val="7833526B"/>
    <w:rsid w:val="784B0843"/>
    <w:rsid w:val="784FF567"/>
    <w:rsid w:val="7851A863"/>
    <w:rsid w:val="78531479"/>
    <w:rsid w:val="7861BE3C"/>
    <w:rsid w:val="786B9141"/>
    <w:rsid w:val="78707F15"/>
    <w:rsid w:val="78794FB2"/>
    <w:rsid w:val="7886270E"/>
    <w:rsid w:val="78864DF7"/>
    <w:rsid w:val="788A86A8"/>
    <w:rsid w:val="7890C191"/>
    <w:rsid w:val="7891B5EE"/>
    <w:rsid w:val="78A09358"/>
    <w:rsid w:val="78A0EFD2"/>
    <w:rsid w:val="78A293BE"/>
    <w:rsid w:val="78A636AE"/>
    <w:rsid w:val="78A9B38E"/>
    <w:rsid w:val="78B119CF"/>
    <w:rsid w:val="78B1B41E"/>
    <w:rsid w:val="78BAE269"/>
    <w:rsid w:val="78C1D686"/>
    <w:rsid w:val="78C86B10"/>
    <w:rsid w:val="78CB8B94"/>
    <w:rsid w:val="78D2FE96"/>
    <w:rsid w:val="78D4E3FB"/>
    <w:rsid w:val="78D502D3"/>
    <w:rsid w:val="78D6F93A"/>
    <w:rsid w:val="78D7FC83"/>
    <w:rsid w:val="78DFEB3D"/>
    <w:rsid w:val="78E0BF29"/>
    <w:rsid w:val="78F176D7"/>
    <w:rsid w:val="78F4305E"/>
    <w:rsid w:val="78F44FCE"/>
    <w:rsid w:val="79001273"/>
    <w:rsid w:val="7905F649"/>
    <w:rsid w:val="790AF1CD"/>
    <w:rsid w:val="790B962F"/>
    <w:rsid w:val="790F0778"/>
    <w:rsid w:val="791BD9C9"/>
    <w:rsid w:val="791C7855"/>
    <w:rsid w:val="792874D9"/>
    <w:rsid w:val="7929D540"/>
    <w:rsid w:val="7932F2A8"/>
    <w:rsid w:val="79359E9F"/>
    <w:rsid w:val="793DA5B8"/>
    <w:rsid w:val="79430BFD"/>
    <w:rsid w:val="79452161"/>
    <w:rsid w:val="79463173"/>
    <w:rsid w:val="79483EF0"/>
    <w:rsid w:val="794ADA63"/>
    <w:rsid w:val="794CD95A"/>
    <w:rsid w:val="794F95E6"/>
    <w:rsid w:val="7954A381"/>
    <w:rsid w:val="7957656C"/>
    <w:rsid w:val="795E67D6"/>
    <w:rsid w:val="796A0D38"/>
    <w:rsid w:val="796E3A65"/>
    <w:rsid w:val="79708F85"/>
    <w:rsid w:val="797E512F"/>
    <w:rsid w:val="7986348A"/>
    <w:rsid w:val="7989CF91"/>
    <w:rsid w:val="79910AB1"/>
    <w:rsid w:val="7992C2BA"/>
    <w:rsid w:val="7996C6D6"/>
    <w:rsid w:val="799D4E2F"/>
    <w:rsid w:val="79A3A899"/>
    <w:rsid w:val="79A8B0E1"/>
    <w:rsid w:val="79B349F7"/>
    <w:rsid w:val="79B4EBEB"/>
    <w:rsid w:val="79B50639"/>
    <w:rsid w:val="79BAAD17"/>
    <w:rsid w:val="79BEA1D6"/>
    <w:rsid w:val="79BFBD41"/>
    <w:rsid w:val="79C287D3"/>
    <w:rsid w:val="79DBF645"/>
    <w:rsid w:val="79E076D9"/>
    <w:rsid w:val="79E35B6D"/>
    <w:rsid w:val="79E407B9"/>
    <w:rsid w:val="79E56BED"/>
    <w:rsid w:val="79E77A04"/>
    <w:rsid w:val="79ED78C4"/>
    <w:rsid w:val="79F1F77E"/>
    <w:rsid w:val="79FBF805"/>
    <w:rsid w:val="79FEC130"/>
    <w:rsid w:val="7A086F39"/>
    <w:rsid w:val="7A0DEA92"/>
    <w:rsid w:val="7A10ECDB"/>
    <w:rsid w:val="7A1D7092"/>
    <w:rsid w:val="7A2059E5"/>
    <w:rsid w:val="7A227C17"/>
    <w:rsid w:val="7A22D986"/>
    <w:rsid w:val="7A23EA87"/>
    <w:rsid w:val="7A272737"/>
    <w:rsid w:val="7A29B43C"/>
    <w:rsid w:val="7A2D3A5F"/>
    <w:rsid w:val="7A2DDEA5"/>
    <w:rsid w:val="7A319385"/>
    <w:rsid w:val="7A31D93F"/>
    <w:rsid w:val="7A37808F"/>
    <w:rsid w:val="7A3EF9DD"/>
    <w:rsid w:val="7A3EFCEB"/>
    <w:rsid w:val="7A4E4496"/>
    <w:rsid w:val="7A66D57B"/>
    <w:rsid w:val="7A6DED81"/>
    <w:rsid w:val="7A7CDE42"/>
    <w:rsid w:val="7A95213E"/>
    <w:rsid w:val="7A9771F0"/>
    <w:rsid w:val="7A97738B"/>
    <w:rsid w:val="7A982903"/>
    <w:rsid w:val="7A99E0A1"/>
    <w:rsid w:val="7AA468B9"/>
    <w:rsid w:val="7AAD5D95"/>
    <w:rsid w:val="7AB39C82"/>
    <w:rsid w:val="7AB93620"/>
    <w:rsid w:val="7AD0F150"/>
    <w:rsid w:val="7AD7A02A"/>
    <w:rsid w:val="7AD97316"/>
    <w:rsid w:val="7ADA2C8A"/>
    <w:rsid w:val="7ADABA47"/>
    <w:rsid w:val="7ADBFE11"/>
    <w:rsid w:val="7ADC01AB"/>
    <w:rsid w:val="7AEC21D7"/>
    <w:rsid w:val="7AF05B82"/>
    <w:rsid w:val="7AF30BD7"/>
    <w:rsid w:val="7AF52EFF"/>
    <w:rsid w:val="7B062B04"/>
    <w:rsid w:val="7B225F3F"/>
    <w:rsid w:val="7B232C65"/>
    <w:rsid w:val="7B254202"/>
    <w:rsid w:val="7B25E207"/>
    <w:rsid w:val="7B280E2A"/>
    <w:rsid w:val="7B28909E"/>
    <w:rsid w:val="7B292330"/>
    <w:rsid w:val="7B2D49C8"/>
    <w:rsid w:val="7B35F593"/>
    <w:rsid w:val="7B37DCA6"/>
    <w:rsid w:val="7B3B5742"/>
    <w:rsid w:val="7B4D5867"/>
    <w:rsid w:val="7B4D9F5E"/>
    <w:rsid w:val="7B561639"/>
    <w:rsid w:val="7B579FB9"/>
    <w:rsid w:val="7B5B79E1"/>
    <w:rsid w:val="7B661C5F"/>
    <w:rsid w:val="7B6A7030"/>
    <w:rsid w:val="7B6AF756"/>
    <w:rsid w:val="7B70159B"/>
    <w:rsid w:val="7B72B42F"/>
    <w:rsid w:val="7B73E781"/>
    <w:rsid w:val="7B7440F0"/>
    <w:rsid w:val="7B7BFB2B"/>
    <w:rsid w:val="7B7F2788"/>
    <w:rsid w:val="7B827692"/>
    <w:rsid w:val="7B83E678"/>
    <w:rsid w:val="7B86FC79"/>
    <w:rsid w:val="7B8B9143"/>
    <w:rsid w:val="7B92AF5E"/>
    <w:rsid w:val="7B97D11E"/>
    <w:rsid w:val="7B987A8C"/>
    <w:rsid w:val="7B9BA38B"/>
    <w:rsid w:val="7BA3C73C"/>
    <w:rsid w:val="7BA6024D"/>
    <w:rsid w:val="7BAB4B6C"/>
    <w:rsid w:val="7BB08C6F"/>
    <w:rsid w:val="7BB1E713"/>
    <w:rsid w:val="7BB5F80D"/>
    <w:rsid w:val="7BBBBCFF"/>
    <w:rsid w:val="7BBE7EE3"/>
    <w:rsid w:val="7BBE9554"/>
    <w:rsid w:val="7BC1EF32"/>
    <w:rsid w:val="7BD04F14"/>
    <w:rsid w:val="7BD1353F"/>
    <w:rsid w:val="7BD1DF45"/>
    <w:rsid w:val="7BD2B302"/>
    <w:rsid w:val="7BD2F33B"/>
    <w:rsid w:val="7BD6A1AD"/>
    <w:rsid w:val="7BDC819D"/>
    <w:rsid w:val="7BE11B68"/>
    <w:rsid w:val="7BEAE2FD"/>
    <w:rsid w:val="7BEB9D65"/>
    <w:rsid w:val="7BEF2743"/>
    <w:rsid w:val="7BF0853B"/>
    <w:rsid w:val="7C0B9C19"/>
    <w:rsid w:val="7C0DBDC9"/>
    <w:rsid w:val="7C123C32"/>
    <w:rsid w:val="7C16F2A0"/>
    <w:rsid w:val="7C218AE8"/>
    <w:rsid w:val="7C30E279"/>
    <w:rsid w:val="7C32E603"/>
    <w:rsid w:val="7C383577"/>
    <w:rsid w:val="7C3BAB5B"/>
    <w:rsid w:val="7C3CFB3D"/>
    <w:rsid w:val="7C3DD55F"/>
    <w:rsid w:val="7C3FF487"/>
    <w:rsid w:val="7C4441F3"/>
    <w:rsid w:val="7C485D12"/>
    <w:rsid w:val="7C493E89"/>
    <w:rsid w:val="7C4CE5E3"/>
    <w:rsid w:val="7C4EE422"/>
    <w:rsid w:val="7C4F7833"/>
    <w:rsid w:val="7C567BBE"/>
    <w:rsid w:val="7C57D96F"/>
    <w:rsid w:val="7C5A8D96"/>
    <w:rsid w:val="7C5AA33D"/>
    <w:rsid w:val="7C627B06"/>
    <w:rsid w:val="7C6444DB"/>
    <w:rsid w:val="7C6F3AA2"/>
    <w:rsid w:val="7C759EC5"/>
    <w:rsid w:val="7C7D73BC"/>
    <w:rsid w:val="7C7EA182"/>
    <w:rsid w:val="7C7EC5F7"/>
    <w:rsid w:val="7C80859C"/>
    <w:rsid w:val="7C81DB30"/>
    <w:rsid w:val="7C83535E"/>
    <w:rsid w:val="7C85EA2D"/>
    <w:rsid w:val="7C9BD023"/>
    <w:rsid w:val="7CA5B6FF"/>
    <w:rsid w:val="7CB7A07F"/>
    <w:rsid w:val="7CBC9B13"/>
    <w:rsid w:val="7CC53A02"/>
    <w:rsid w:val="7CC92D66"/>
    <w:rsid w:val="7CCB49FB"/>
    <w:rsid w:val="7CD0EB55"/>
    <w:rsid w:val="7CD87565"/>
    <w:rsid w:val="7CD9C7FA"/>
    <w:rsid w:val="7CDD983E"/>
    <w:rsid w:val="7CE23FBA"/>
    <w:rsid w:val="7CE9EB29"/>
    <w:rsid w:val="7CEEB67C"/>
    <w:rsid w:val="7CFD1ECD"/>
    <w:rsid w:val="7CFEBBFE"/>
    <w:rsid w:val="7D0034E5"/>
    <w:rsid w:val="7D008D1C"/>
    <w:rsid w:val="7D034B81"/>
    <w:rsid w:val="7D050746"/>
    <w:rsid w:val="7D069FA7"/>
    <w:rsid w:val="7D119A92"/>
    <w:rsid w:val="7D18486C"/>
    <w:rsid w:val="7D1A071C"/>
    <w:rsid w:val="7D25F66F"/>
    <w:rsid w:val="7D3874A0"/>
    <w:rsid w:val="7D39E503"/>
    <w:rsid w:val="7D467B26"/>
    <w:rsid w:val="7D49659A"/>
    <w:rsid w:val="7D4D03E3"/>
    <w:rsid w:val="7D4EB842"/>
    <w:rsid w:val="7D550C8A"/>
    <w:rsid w:val="7D6A5FEC"/>
    <w:rsid w:val="7D6A96AF"/>
    <w:rsid w:val="7D707908"/>
    <w:rsid w:val="7D767E04"/>
    <w:rsid w:val="7D77C5A3"/>
    <w:rsid w:val="7D78B128"/>
    <w:rsid w:val="7D833491"/>
    <w:rsid w:val="7D83C4E8"/>
    <w:rsid w:val="7D8CA9CF"/>
    <w:rsid w:val="7D9249E9"/>
    <w:rsid w:val="7DAF259C"/>
    <w:rsid w:val="7DB15652"/>
    <w:rsid w:val="7DB19393"/>
    <w:rsid w:val="7DB6C91A"/>
    <w:rsid w:val="7DBB4E7C"/>
    <w:rsid w:val="7DC00515"/>
    <w:rsid w:val="7DC95E92"/>
    <w:rsid w:val="7DCA0F27"/>
    <w:rsid w:val="7DCA2784"/>
    <w:rsid w:val="7DD7322A"/>
    <w:rsid w:val="7DD74963"/>
    <w:rsid w:val="7DE64E80"/>
    <w:rsid w:val="7DEB5BAA"/>
    <w:rsid w:val="7DEF91BA"/>
    <w:rsid w:val="7E0790B9"/>
    <w:rsid w:val="7E0B74E2"/>
    <w:rsid w:val="7E13B692"/>
    <w:rsid w:val="7E1B1FDE"/>
    <w:rsid w:val="7E1E1C87"/>
    <w:rsid w:val="7E1E5712"/>
    <w:rsid w:val="7E25714E"/>
    <w:rsid w:val="7E289A1E"/>
    <w:rsid w:val="7E292BE8"/>
    <w:rsid w:val="7E2BD225"/>
    <w:rsid w:val="7E34D870"/>
    <w:rsid w:val="7E3513FC"/>
    <w:rsid w:val="7E37E27C"/>
    <w:rsid w:val="7E497D59"/>
    <w:rsid w:val="7E4BCBB6"/>
    <w:rsid w:val="7E572C8B"/>
    <w:rsid w:val="7E5DB389"/>
    <w:rsid w:val="7E62BAAD"/>
    <w:rsid w:val="7E70741B"/>
    <w:rsid w:val="7E73653F"/>
    <w:rsid w:val="7E76BD06"/>
    <w:rsid w:val="7E7A6693"/>
    <w:rsid w:val="7E805522"/>
    <w:rsid w:val="7E8CF18B"/>
    <w:rsid w:val="7E92C28D"/>
    <w:rsid w:val="7E94FCC2"/>
    <w:rsid w:val="7E9EB89A"/>
    <w:rsid w:val="7E9FF376"/>
    <w:rsid w:val="7EA00FA4"/>
    <w:rsid w:val="7EA3B3F9"/>
    <w:rsid w:val="7EA58CA9"/>
    <w:rsid w:val="7EA776B0"/>
    <w:rsid w:val="7EABA745"/>
    <w:rsid w:val="7EB68BCB"/>
    <w:rsid w:val="7EB7CBF9"/>
    <w:rsid w:val="7EBB372F"/>
    <w:rsid w:val="7EBBC0BD"/>
    <w:rsid w:val="7EC1C889"/>
    <w:rsid w:val="7EC20544"/>
    <w:rsid w:val="7EC255FD"/>
    <w:rsid w:val="7ECAAA99"/>
    <w:rsid w:val="7ED53193"/>
    <w:rsid w:val="7EDACBF8"/>
    <w:rsid w:val="7EDAD83E"/>
    <w:rsid w:val="7EE18D75"/>
    <w:rsid w:val="7EE78FFC"/>
    <w:rsid w:val="7EE87437"/>
    <w:rsid w:val="7EEC150C"/>
    <w:rsid w:val="7EF09F82"/>
    <w:rsid w:val="7F06A125"/>
    <w:rsid w:val="7F08317A"/>
    <w:rsid w:val="7F1CF8D7"/>
    <w:rsid w:val="7F1F9CDD"/>
    <w:rsid w:val="7F2482D8"/>
    <w:rsid w:val="7F3453BC"/>
    <w:rsid w:val="7F347ED1"/>
    <w:rsid w:val="7F3647E8"/>
    <w:rsid w:val="7F3B92DA"/>
    <w:rsid w:val="7F3C9F66"/>
    <w:rsid w:val="7F42518F"/>
    <w:rsid w:val="7F48E602"/>
    <w:rsid w:val="7F491D50"/>
    <w:rsid w:val="7F49C538"/>
    <w:rsid w:val="7F54C61F"/>
    <w:rsid w:val="7F5E9954"/>
    <w:rsid w:val="7F621B21"/>
    <w:rsid w:val="7F688A3E"/>
    <w:rsid w:val="7F6C960D"/>
    <w:rsid w:val="7F6F4BA0"/>
    <w:rsid w:val="7F6F7640"/>
    <w:rsid w:val="7F75DBA3"/>
    <w:rsid w:val="7F7A105E"/>
    <w:rsid w:val="7F7B84D0"/>
    <w:rsid w:val="7F7BF7F1"/>
    <w:rsid w:val="7F7C2AA0"/>
    <w:rsid w:val="7F894ED3"/>
    <w:rsid w:val="7F8D3A6D"/>
    <w:rsid w:val="7F8DF47A"/>
    <w:rsid w:val="7F8F32F1"/>
    <w:rsid w:val="7F993A72"/>
    <w:rsid w:val="7FA8225A"/>
    <w:rsid w:val="7FBBC586"/>
    <w:rsid w:val="7FBBDB08"/>
    <w:rsid w:val="7FC9715F"/>
    <w:rsid w:val="7FCF6A90"/>
    <w:rsid w:val="7FD695AA"/>
    <w:rsid w:val="7FD84AE4"/>
    <w:rsid w:val="7FD89759"/>
    <w:rsid w:val="7FDB73C8"/>
    <w:rsid w:val="7FE004AF"/>
    <w:rsid w:val="7FE7DDDA"/>
    <w:rsid w:val="7FEACC6A"/>
    <w:rsid w:val="7FEB56ED"/>
    <w:rsid w:val="7FEB5886"/>
    <w:rsid w:val="7FEBC690"/>
    <w:rsid w:val="7FF50ADC"/>
    <w:rsid w:val="7FF90A7F"/>
    <w:rsid w:val="7FFB30DB"/>
  </w:rsids>
  <m:mathPr>
    <m:mathFont m:val="Cambria Math"/>
    <m:brkBin m:val="before"/>
    <m:brkBinSub m:val="--"/>
    <m:smallFrac m:val="0"/>
    <m:dispDef/>
    <m:lMargin m:val="0"/>
    <m:rMargin m:val="0"/>
    <m:defJc m:val="centerGroup"/>
    <m:wrapIndent m:val="1440"/>
    <m:intLim m:val="subSup"/>
    <m:naryLim m:val="undOvr"/>
  </m:mathPr>
  <w:themeFontLang w:val="en-GB" w:eastAsia="zh-CN" w:bidi="k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7F53CF"/>
  <w14:defaultImageDpi w14:val="330"/>
  <w15:docId w15:val="{1796973E-5ED8-4A34-AF98-D40AFC45A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EC Square Sans Pro" w:eastAsia="MS Mincho" w:hAnsi="EC Square Sans Pro" w:cstheme="minorBidi"/>
        <w:lang w:val="fr-BE" w:eastAsia="en-US" w:bidi="ar-SA"/>
      </w:rPr>
    </w:rPrDefault>
    <w:pPrDefault>
      <w:pPr>
        <w:spacing w:before="240" w:after="240" w:line="264" w:lineRule="auto"/>
      </w:pPr>
    </w:pPrDefault>
  </w:docDefaults>
  <w:latentStyles w:defLockedState="0" w:defUIPriority="99" w:defSemiHidden="0" w:defUnhideWhenUsed="0" w:defQFormat="0" w:count="371">
    <w:lsdException w:name="Normal" w:uiPriority="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8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89" w:unhideWhenUsed="1"/>
    <w:lsdException w:name="Body Text 3" w:semiHidden="1" w:uiPriority="8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rPr>
      <w:lang w:val="en-GB"/>
    </w:rPr>
  </w:style>
  <w:style w:type="paragraph" w:styleId="Heading1">
    <w:name w:val="heading 1"/>
    <w:next w:val="Normal"/>
    <w:link w:val="Heading1Char"/>
    <w:qFormat/>
    <w:pPr>
      <w:keepNext/>
      <w:keepLines/>
      <w:pageBreakBefore/>
      <w:suppressAutoHyphens/>
      <w:spacing w:before="0" w:after="480"/>
      <w:outlineLvl w:val="0"/>
    </w:pPr>
    <w:rPr>
      <w:rFonts w:eastAsia="EC Square Sans Pro" w:cs="Times New Roman"/>
      <w:color w:val="003399" w:themeColor="text2"/>
      <w:sz w:val="48"/>
      <w:szCs w:val="21"/>
      <w:lang w:val="en-GB" w:eastAsia="zh-CN"/>
    </w:rPr>
  </w:style>
  <w:style w:type="paragraph" w:styleId="Heading2">
    <w:name w:val="heading 2"/>
    <w:basedOn w:val="Normal"/>
    <w:next w:val="Normal"/>
    <w:link w:val="Heading2Char"/>
    <w:unhideWhenUsed/>
    <w:qFormat/>
    <w:rsid w:val="00B56BE7"/>
    <w:pPr>
      <w:keepNext/>
      <w:keepLines/>
      <w:pBdr>
        <w:bottom w:val="single" w:sz="6" w:space="1" w:color="DE6002" w:themeColor="accent2"/>
      </w:pBdr>
      <w:tabs>
        <w:tab w:val="num" w:pos="0"/>
      </w:tabs>
      <w:suppressAutoHyphens/>
      <w:spacing w:after="360"/>
      <w:outlineLvl w:val="1"/>
    </w:pPr>
    <w:rPr>
      <w:rFonts w:eastAsia="EC Square Sans Pro"/>
      <w:b/>
      <w:color w:val="003399" w:themeColor="text2"/>
      <w:spacing w:val="-10"/>
      <w:sz w:val="28"/>
      <w:szCs w:val="21"/>
      <w:lang w:eastAsia="zh-CN"/>
    </w:rPr>
  </w:style>
  <w:style w:type="paragraph" w:styleId="Heading3">
    <w:name w:val="heading 3"/>
    <w:basedOn w:val="Normal"/>
    <w:next w:val="Normal"/>
    <w:link w:val="Heading3Char"/>
    <w:unhideWhenUsed/>
    <w:qFormat/>
    <w:pPr>
      <w:keepNext/>
      <w:keepLines/>
      <w:suppressAutoHyphens/>
      <w:spacing w:before="480"/>
      <w:outlineLvl w:val="2"/>
    </w:pPr>
    <w:rPr>
      <w:rFonts w:eastAsiaTheme="majorEastAsia" w:cstheme="majorBidi"/>
      <w:b/>
      <w:color w:val="003399" w:themeColor="text2"/>
      <w:sz w:val="28"/>
      <w:szCs w:val="24"/>
    </w:rPr>
  </w:style>
  <w:style w:type="paragraph" w:styleId="Heading4">
    <w:name w:val="heading 4"/>
    <w:basedOn w:val="Normal"/>
    <w:next w:val="Normal"/>
    <w:link w:val="Heading4Char"/>
    <w:unhideWhenUsed/>
    <w:qFormat/>
    <w:pPr>
      <w:keepNext/>
      <w:keepLines/>
      <w:suppressAutoHyphens/>
      <w:spacing w:before="480"/>
      <w:outlineLvl w:val="3"/>
    </w:pPr>
    <w:rPr>
      <w:rFonts w:cs="Times New Roman"/>
      <w:color w:val="003399" w:themeColor="text2"/>
      <w:sz w:val="24"/>
      <w:szCs w:val="22"/>
      <w:lang w:eastAsia="zh-CN"/>
    </w:rPr>
  </w:style>
  <w:style w:type="paragraph" w:styleId="Heading5">
    <w:name w:val="heading 5"/>
    <w:basedOn w:val="Normal"/>
    <w:next w:val="Normal"/>
    <w:link w:val="Heading5Char"/>
    <w:uiPriority w:val="99"/>
    <w:unhideWhenUsed/>
    <w:qFormat/>
    <w:pPr>
      <w:keepNext/>
      <w:keepLines/>
      <w:suppressAutoHyphens/>
      <w:ind w:left="340"/>
      <w:outlineLvl w:val="4"/>
    </w:pPr>
    <w:rPr>
      <w:rFonts w:cs="Times New Roman"/>
      <w:b/>
      <w:color w:val="008139" w:themeColor="accent1"/>
      <w:sz w:val="24"/>
      <w:szCs w:val="22"/>
      <w:lang w:eastAsia="zh-CN"/>
      <w14:textOutline w14:w="9525" w14:cap="rnd" w14:cmpd="sng" w14:algn="ctr">
        <w14:noFill/>
        <w14:prstDash w14:val="solid"/>
        <w14:bevel/>
      </w14:textOutline>
    </w:rPr>
  </w:style>
  <w:style w:type="paragraph" w:styleId="Heading6">
    <w:name w:val="heading 6"/>
    <w:basedOn w:val="Normal"/>
    <w:next w:val="Normal"/>
    <w:link w:val="Heading6Char"/>
    <w:uiPriority w:val="99"/>
    <w:unhideWhenUsed/>
    <w:qFormat/>
    <w:pPr>
      <w:keepNext/>
      <w:keepLines/>
      <w:spacing w:before="200"/>
      <w:outlineLvl w:val="5"/>
    </w:pPr>
    <w:rPr>
      <w:rFonts w:eastAsiaTheme="majorEastAsia" w:cstheme="majorBidi"/>
      <w:i/>
      <w:iCs/>
      <w:color w:val="00401C" w:themeColor="accent1" w:themeShade="7F"/>
    </w:rPr>
  </w:style>
  <w:style w:type="paragraph" w:styleId="Heading7">
    <w:name w:val="heading 7"/>
    <w:basedOn w:val="Normal"/>
    <w:next w:val="Normal"/>
    <w:link w:val="Heading7Char"/>
    <w:uiPriority w:val="99"/>
    <w:unhideWhenUsed/>
    <w:qFormat/>
    <w:pPr>
      <w:keepNext/>
      <w:keepLines/>
      <w:spacing w:before="200"/>
      <w:outlineLvl w:val="6"/>
    </w:pPr>
    <w:rPr>
      <w:rFonts w:eastAsiaTheme="majorEastAsia" w:cstheme="majorBidi"/>
      <w:i/>
      <w:iCs/>
      <w:color w:val="404040" w:themeColor="text1" w:themeTint="BF"/>
    </w:rPr>
  </w:style>
  <w:style w:type="paragraph" w:styleId="Heading8">
    <w:name w:val="heading 8"/>
    <w:basedOn w:val="Normal"/>
    <w:next w:val="Normal"/>
    <w:link w:val="Heading8Char"/>
    <w:uiPriority w:val="99"/>
    <w:unhideWhenUsed/>
    <w:qFormat/>
    <w:pPr>
      <w:keepNext/>
      <w:keepLines/>
      <w:spacing w:before="200"/>
      <w:outlineLvl w:val="7"/>
    </w:pPr>
    <w:rPr>
      <w:rFonts w:eastAsiaTheme="majorEastAsia" w:cstheme="majorBidi"/>
      <w:color w:val="404040" w:themeColor="text1" w:themeTint="BF"/>
    </w:rPr>
  </w:style>
  <w:style w:type="paragraph" w:styleId="Heading9">
    <w:name w:val="heading 9"/>
    <w:basedOn w:val="Normal"/>
    <w:next w:val="Normal"/>
    <w:link w:val="Heading9Char"/>
    <w:uiPriority w:val="99"/>
    <w:unhideWhenUsed/>
    <w:qFormat/>
    <w:pPr>
      <w:keepNext/>
      <w:keepLines/>
      <w:spacing w:before="200"/>
      <w:outlineLvl w:val="8"/>
    </w:pPr>
    <w:rPr>
      <w:rFonts w:eastAsiaTheme="majorEastAsia"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eastAsia="EC Square Sans Pro" w:cs="Times New Roman"/>
      <w:color w:val="003399" w:themeColor="text2"/>
      <w:sz w:val="48"/>
      <w:szCs w:val="21"/>
      <w:lang w:val="en-GB" w:eastAsia="zh-CN"/>
    </w:rPr>
  </w:style>
  <w:style w:type="character" w:customStyle="1" w:styleId="Heading2Char">
    <w:name w:val="Heading 2 Char"/>
    <w:basedOn w:val="DefaultParagraphFont"/>
    <w:link w:val="Heading2"/>
    <w:rsid w:val="00B56BE7"/>
    <w:rPr>
      <w:rFonts w:eastAsia="EC Square Sans Pro"/>
      <w:b/>
      <w:color w:val="003399" w:themeColor="text2"/>
      <w:spacing w:val="-10"/>
      <w:sz w:val="28"/>
      <w:szCs w:val="21"/>
      <w:lang w:val="en-GB" w:eastAsia="zh-CN"/>
    </w:rPr>
  </w:style>
  <w:style w:type="character" w:customStyle="1" w:styleId="Heading3Char">
    <w:name w:val="Heading 3 Char"/>
    <w:basedOn w:val="DefaultParagraphFont"/>
    <w:link w:val="Heading3"/>
    <w:rPr>
      <w:rFonts w:eastAsiaTheme="majorEastAsia" w:cstheme="majorBidi"/>
      <w:b/>
      <w:color w:val="003399" w:themeColor="text2"/>
      <w:sz w:val="28"/>
      <w:szCs w:val="24"/>
      <w:lang w:val="en-GB"/>
    </w:rPr>
  </w:style>
  <w:style w:type="character" w:customStyle="1" w:styleId="Heading4Char">
    <w:name w:val="Heading 4 Char"/>
    <w:basedOn w:val="DefaultParagraphFont"/>
    <w:link w:val="Heading4"/>
    <w:rPr>
      <w:rFonts w:cs="Times New Roman"/>
      <w:color w:val="003399" w:themeColor="text2"/>
      <w:sz w:val="24"/>
      <w:szCs w:val="22"/>
      <w:lang w:val="en-GB" w:eastAsia="zh-CN"/>
    </w:rPr>
  </w:style>
  <w:style w:type="character" w:customStyle="1" w:styleId="Heading5Char">
    <w:name w:val="Heading 5 Char"/>
    <w:basedOn w:val="DefaultParagraphFont"/>
    <w:link w:val="Heading5"/>
    <w:uiPriority w:val="99"/>
    <w:rPr>
      <w:rFonts w:cs="Times New Roman"/>
      <w:b/>
      <w:color w:val="008139" w:themeColor="accent1"/>
      <w:sz w:val="24"/>
      <w:szCs w:val="22"/>
      <w:lang w:val="en-GB" w:eastAsia="zh-CN"/>
      <w14:textOutline w14:w="9525" w14:cap="rnd" w14:cmpd="sng" w14:algn="ctr">
        <w14:noFill/>
        <w14:prstDash w14:val="solid"/>
        <w14:bevel/>
      </w14:textOutline>
    </w:rPr>
  </w:style>
  <w:style w:type="character" w:customStyle="1" w:styleId="Heading6Char">
    <w:name w:val="Heading 6 Char"/>
    <w:basedOn w:val="DefaultParagraphFont"/>
    <w:link w:val="Heading6"/>
    <w:uiPriority w:val="99"/>
    <w:rPr>
      <w:rFonts w:eastAsiaTheme="majorEastAsia" w:cstheme="majorBidi"/>
      <w:i/>
      <w:iCs/>
      <w:color w:val="00401C" w:themeColor="accent1" w:themeShade="7F"/>
      <w:lang w:val="en-GB"/>
    </w:rPr>
  </w:style>
  <w:style w:type="character" w:customStyle="1" w:styleId="Heading7Char">
    <w:name w:val="Heading 7 Char"/>
    <w:basedOn w:val="DefaultParagraphFont"/>
    <w:link w:val="Heading7"/>
    <w:uiPriority w:val="99"/>
    <w:rPr>
      <w:rFonts w:eastAsiaTheme="majorEastAsia" w:cstheme="majorBidi"/>
      <w:i/>
      <w:iCs/>
      <w:color w:val="404040" w:themeColor="text1" w:themeTint="BF"/>
      <w:lang w:val="en-GB"/>
    </w:rPr>
  </w:style>
  <w:style w:type="character" w:customStyle="1" w:styleId="Heading8Char">
    <w:name w:val="Heading 8 Char"/>
    <w:basedOn w:val="DefaultParagraphFont"/>
    <w:link w:val="Heading8"/>
    <w:uiPriority w:val="99"/>
    <w:rPr>
      <w:rFonts w:eastAsiaTheme="majorEastAsia" w:cstheme="majorBidi"/>
      <w:color w:val="404040" w:themeColor="text1" w:themeTint="BF"/>
      <w:lang w:val="en-GB"/>
    </w:rPr>
  </w:style>
  <w:style w:type="character" w:customStyle="1" w:styleId="Heading9Char">
    <w:name w:val="Heading 9 Char"/>
    <w:basedOn w:val="DefaultParagraphFont"/>
    <w:link w:val="Heading9"/>
    <w:uiPriority w:val="99"/>
    <w:rPr>
      <w:rFonts w:eastAsiaTheme="majorEastAsia" w:cstheme="majorBidi"/>
      <w:i/>
      <w:iCs/>
      <w:color w:val="404040" w:themeColor="text1" w:themeTint="BF"/>
      <w:lang w:val="en-GB"/>
    </w:rPr>
  </w:style>
  <w:style w:type="paragraph" w:styleId="ListParagraph">
    <w:name w:val="List Paragraph"/>
    <w:basedOn w:val="Normal"/>
    <w:uiPriority w:val="34"/>
    <w:qFormat/>
    <w:pPr>
      <w:ind w:left="720"/>
      <w:contextualSpacing/>
    </w:pPr>
  </w:style>
  <w:style w:type="table" w:styleId="GridTable2-Accent2">
    <w:name w:val="Grid Table 2 Accent 2"/>
    <w:basedOn w:val="TableNormal"/>
    <w:uiPriority w:val="47"/>
    <w:pPr>
      <w:spacing w:after="0" w:line="240" w:lineRule="auto"/>
    </w:pPr>
    <w:tblPr>
      <w:tblStyleRowBandSize w:val="1"/>
      <w:tblStyleColBandSize w:val="1"/>
      <w:tblBorders>
        <w:top w:val="single" w:sz="2" w:space="0" w:color="FD9C54" w:themeColor="accent2" w:themeTint="99"/>
        <w:bottom w:val="single" w:sz="2" w:space="0" w:color="FD9C54" w:themeColor="accent2" w:themeTint="99"/>
        <w:insideH w:val="single" w:sz="2" w:space="0" w:color="FD9C54" w:themeColor="accent2" w:themeTint="99"/>
        <w:insideV w:val="single" w:sz="2" w:space="0" w:color="FD9C54" w:themeColor="accent2" w:themeTint="99"/>
      </w:tblBorders>
    </w:tblPr>
    <w:tblStylePr w:type="firstRow">
      <w:rPr>
        <w:b/>
        <w:bCs/>
      </w:rPr>
      <w:tblPr/>
      <w:tcPr>
        <w:tcBorders>
          <w:top w:val="nil"/>
          <w:bottom w:val="single" w:sz="12" w:space="0" w:color="FD9C54" w:themeColor="accent2" w:themeTint="99"/>
          <w:insideH w:val="nil"/>
          <w:insideV w:val="nil"/>
        </w:tcBorders>
        <w:shd w:val="clear" w:color="auto" w:fill="FFFFFF" w:themeFill="background1"/>
      </w:tcPr>
    </w:tblStylePr>
    <w:tblStylePr w:type="lastRow">
      <w:rPr>
        <w:b/>
        <w:bCs/>
      </w:rPr>
      <w:tblPr/>
      <w:tcPr>
        <w:tcBorders>
          <w:top w:val="double" w:sz="2" w:space="0" w:color="FD9C5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GridTable4-Accent2">
    <w:name w:val="Grid Table 4 Accent 2"/>
    <w:basedOn w:val="TableNormal"/>
    <w:uiPriority w:val="49"/>
    <w:pPr>
      <w:spacing w:after="0" w:line="240" w:lineRule="auto"/>
    </w:p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color w:val="FFFFFF" w:themeColor="background1"/>
      </w:rPr>
      <w:tblPr/>
      <w:tcPr>
        <w:tcBorders>
          <w:top w:val="single" w:sz="4" w:space="0" w:color="DE6002" w:themeColor="accent2"/>
          <w:left w:val="single" w:sz="4" w:space="0" w:color="DE6002" w:themeColor="accent2"/>
          <w:bottom w:val="single" w:sz="4" w:space="0" w:color="DE6002" w:themeColor="accent2"/>
          <w:right w:val="single" w:sz="4" w:space="0" w:color="DE6002" w:themeColor="accent2"/>
          <w:insideH w:val="nil"/>
          <w:insideV w:val="nil"/>
        </w:tcBorders>
        <w:shd w:val="clear" w:color="auto" w:fill="DE6002" w:themeFill="accent2"/>
      </w:tcPr>
    </w:tblStylePr>
    <w:tblStylePr w:type="lastRow">
      <w:rPr>
        <w:b/>
        <w:bCs/>
      </w:rPr>
      <w:tblPr/>
      <w:tcPr>
        <w:tcBorders>
          <w:top w:val="double" w:sz="4" w:space="0" w:color="DE6002" w:themeColor="accent2"/>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TableGrid">
    <w:name w:val="Table Grid"/>
    <w:aliases w:val="Document Table,CV1,Standard table format,Simple table"/>
    <w:basedOn w:val="TableNormal"/>
    <w:uiPriority w:val="59"/>
    <w:rPr>
      <w:rFonts w:ascii="Calibri" w:eastAsia="Calibri"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ootnote,Footnote number,Footnote symbol,Footnote Reference Number,Footnote reference number,Times 10 Point,Exposant 3 Point,Voetnootverwijzing,fr,o,Footnotemark,FR,Footnotemark1,Footnotemark2,FR1,Footnotemark3,FR2,Footnotemark4,FR3"/>
    <w:basedOn w:val="DefaultParagraphFont"/>
    <w:uiPriority w:val="99"/>
    <w:qFormat/>
    <w:rPr>
      <w:vertAlign w:val="superscript"/>
    </w:rPr>
  </w:style>
  <w:style w:type="paragraph" w:styleId="BalloonText">
    <w:name w:val="Balloon Text"/>
    <w:basedOn w:val="Normal"/>
    <w:link w:val="BalloonTextChar"/>
    <w:semiHidden/>
    <w:unhideWhenUsed/>
    <w:rPr>
      <w:rFonts w:cs="Segoe UI"/>
      <w:sz w:val="18"/>
      <w:szCs w:val="18"/>
    </w:rPr>
  </w:style>
  <w:style w:type="character" w:customStyle="1" w:styleId="BalloonTextChar">
    <w:name w:val="Balloon Text Char"/>
    <w:basedOn w:val="DefaultParagraphFont"/>
    <w:link w:val="BalloonText"/>
    <w:semiHidden/>
    <w:rPr>
      <w:rFonts w:cs="Segoe UI"/>
      <w:sz w:val="18"/>
      <w:szCs w:val="18"/>
      <w:lang w:val="en-GB"/>
    </w:rPr>
  </w:style>
  <w:style w:type="paragraph" w:styleId="Footer">
    <w:name w:val="footer"/>
    <w:basedOn w:val="amprFooter-Left"/>
    <w:link w:val="FooterChar"/>
    <w:uiPriority w:val="99"/>
    <w:unhideWhenUsed/>
    <w:pPr>
      <w:jc w:val="center"/>
    </w:pPr>
    <w:rPr>
      <w:noProof/>
    </w:rPr>
  </w:style>
  <w:style w:type="character" w:customStyle="1" w:styleId="FooterChar">
    <w:name w:val="Footer Char"/>
    <w:basedOn w:val="DefaultParagraphFont"/>
    <w:link w:val="Footer"/>
    <w:uiPriority w:val="99"/>
    <w:rPr>
      <w:rFonts w:eastAsia="EC Square Sans Pro" w:cs="Times New Roman"/>
      <w:noProof/>
      <w:szCs w:val="21"/>
      <w:lang w:val="en-GB" w:eastAsia="zh-CN"/>
    </w:rPr>
  </w:style>
  <w:style w:type="paragraph" w:styleId="CommentSubject">
    <w:name w:val="annotation subject"/>
    <w:basedOn w:val="Normal"/>
    <w:next w:val="Normal"/>
    <w:link w:val="CommentSubjectChar"/>
    <w:unhideWhenUsed/>
    <w:pPr>
      <w:spacing w:after="200"/>
    </w:pPr>
    <w:rPr>
      <w:b/>
      <w:bCs/>
    </w:rPr>
  </w:style>
  <w:style w:type="character" w:customStyle="1" w:styleId="CommentSubjectChar">
    <w:name w:val="Comment Subject Char"/>
    <w:basedOn w:val="DefaultParagraphFont"/>
    <w:link w:val="CommentSubject"/>
    <w:rPr>
      <w:b/>
      <w:bCs/>
      <w:lang w:val="en-GB"/>
    </w:rPr>
  </w:style>
  <w:style w:type="paragraph" w:styleId="Revision">
    <w:name w:val="Revision"/>
    <w:hidden/>
    <w:uiPriority w:val="99"/>
    <w:semiHidden/>
  </w:style>
  <w:style w:type="character" w:styleId="Hyperlink">
    <w:name w:val="Hyperlink"/>
    <w:basedOn w:val="DefaultParagraphFont"/>
    <w:uiPriority w:val="99"/>
    <w:unhideWhenUsed/>
    <w:rPr>
      <w:rFonts w:ascii="EC Square Sans Pro" w:hAnsi="EC Square Sans Pro"/>
      <w:strike w:val="0"/>
      <w:dstrike w:val="0"/>
      <w:color w:val="007ACC"/>
      <w:u w:val="single" w:color="65BBC8"/>
      <w:effect w:val="none"/>
      <w:shd w:val="clear" w:color="auto" w:fill="auto"/>
      <w:lang w:val="en-GB"/>
    </w:rPr>
  </w:style>
  <w:style w:type="table" w:styleId="LightShading-Accent6">
    <w:name w:val="Light Shading Accent 6"/>
    <w:basedOn w:val="TableNormal"/>
    <w:uiPriority w:val="60"/>
    <w:rPr>
      <w:color w:val="532477" w:themeColor="accent6" w:themeShade="BF"/>
      <w:lang w:eastAsia="en-GB"/>
    </w:rPr>
    <w:tblPr>
      <w:tblStyleRowBandSize w:val="1"/>
      <w:tblStyleColBandSize w:val="1"/>
      <w:tblBorders>
        <w:top w:val="single" w:sz="8" w:space="0" w:color="7030A0" w:themeColor="accent6"/>
        <w:bottom w:val="single" w:sz="8" w:space="0" w:color="7030A0" w:themeColor="accent6"/>
      </w:tblBorders>
    </w:tblPr>
    <w:tblStylePr w:type="firstRow">
      <w:pPr>
        <w:spacing w:before="0" w:after="0" w:line="240" w:lineRule="auto"/>
      </w:pPr>
      <w:rPr>
        <w:b/>
        <w:bCs/>
      </w:rPr>
      <w:tblPr/>
      <w:tcPr>
        <w:tcBorders>
          <w:top w:val="single" w:sz="8" w:space="0" w:color="7030A0" w:themeColor="accent6"/>
          <w:left w:val="nil"/>
          <w:bottom w:val="single" w:sz="8" w:space="0" w:color="7030A0" w:themeColor="accent6"/>
          <w:right w:val="nil"/>
          <w:insideH w:val="nil"/>
          <w:insideV w:val="nil"/>
        </w:tcBorders>
      </w:tcPr>
    </w:tblStylePr>
    <w:tblStylePr w:type="lastRow">
      <w:pPr>
        <w:spacing w:before="0" w:after="0" w:line="240" w:lineRule="auto"/>
      </w:pPr>
      <w:rPr>
        <w:b/>
        <w:bCs/>
      </w:rPr>
      <w:tblPr/>
      <w:tcPr>
        <w:tcBorders>
          <w:top w:val="single" w:sz="8" w:space="0" w:color="7030A0" w:themeColor="accent6"/>
          <w:left w:val="nil"/>
          <w:bottom w:val="single" w:sz="8" w:space="0" w:color="7030A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C5ED" w:themeFill="accent6" w:themeFillTint="3F"/>
      </w:tcPr>
    </w:tblStylePr>
    <w:tblStylePr w:type="band1Horz">
      <w:tblPr/>
      <w:tcPr>
        <w:tcBorders>
          <w:left w:val="nil"/>
          <w:right w:val="nil"/>
          <w:insideH w:val="nil"/>
          <w:insideV w:val="nil"/>
        </w:tcBorders>
        <w:shd w:val="clear" w:color="auto" w:fill="DCC5ED" w:themeFill="accent6" w:themeFillTint="3F"/>
      </w:tcPr>
    </w:tblStylePr>
  </w:style>
  <w:style w:type="paragraph" w:styleId="EndnoteText">
    <w:name w:val="endnote text"/>
    <w:basedOn w:val="Normal"/>
    <w:link w:val="EndnoteTextChar"/>
    <w:uiPriority w:val="99"/>
    <w:semiHidden/>
    <w:unhideWhenUsed/>
    <w:rPr>
      <w:rFonts w:eastAsia="Calibri"/>
    </w:rPr>
  </w:style>
  <w:style w:type="character" w:customStyle="1" w:styleId="EndnoteTextChar">
    <w:name w:val="Endnote Text Char"/>
    <w:basedOn w:val="DefaultParagraphFont"/>
    <w:link w:val="EndnoteText"/>
    <w:uiPriority w:val="99"/>
    <w:semiHidden/>
    <w:rPr>
      <w:rFonts w:eastAsia="Calibri"/>
      <w:lang w:val="en-GB"/>
    </w:rPr>
  </w:style>
  <w:style w:type="character" w:styleId="EndnoteReference">
    <w:name w:val="endnote reference"/>
    <w:basedOn w:val="DefaultParagraphFont"/>
    <w:semiHidden/>
    <w:unhideWhenUsed/>
    <w:rPr>
      <w:rFonts w:ascii="EC Square Sans Pro" w:hAnsi="EC Square Sans Pro"/>
      <w:vertAlign w:val="superscript"/>
      <w:lang w:val="en-GB"/>
    </w:rPr>
  </w:style>
  <w:style w:type="paragraph" w:styleId="ListBullet">
    <w:name w:val="List Bullet"/>
    <w:basedOn w:val="Normal"/>
    <w:uiPriority w:val="99"/>
    <w:semiHidden/>
    <w:unhideWhenUsed/>
    <w:pPr>
      <w:tabs>
        <w:tab w:val="num" w:pos="360"/>
      </w:tabs>
      <w:spacing w:before="120" w:after="120"/>
      <w:ind w:left="360" w:hanging="360"/>
      <w:contextualSpacing/>
      <w:jc w:val="both"/>
    </w:pPr>
    <w:rPr>
      <w:sz w:val="24"/>
    </w:rPr>
  </w:style>
  <w:style w:type="paragraph" w:styleId="ListBullet2">
    <w:name w:val="List Bullet 2"/>
    <w:basedOn w:val="Normal"/>
    <w:unhideWhenUsed/>
    <w:pPr>
      <w:tabs>
        <w:tab w:val="num" w:pos="643"/>
      </w:tabs>
      <w:spacing w:before="120" w:after="120"/>
      <w:ind w:left="643" w:hanging="360"/>
      <w:contextualSpacing/>
      <w:jc w:val="both"/>
    </w:pPr>
    <w:rPr>
      <w:sz w:val="24"/>
    </w:rPr>
  </w:style>
  <w:style w:type="paragraph" w:styleId="ListBullet3">
    <w:name w:val="List Bullet 3"/>
    <w:basedOn w:val="Normal"/>
    <w:uiPriority w:val="99"/>
    <w:semiHidden/>
    <w:unhideWhenUsed/>
    <w:pPr>
      <w:tabs>
        <w:tab w:val="num" w:pos="926"/>
      </w:tabs>
      <w:spacing w:before="120" w:after="120"/>
      <w:ind w:left="926" w:hanging="360"/>
      <w:contextualSpacing/>
      <w:jc w:val="both"/>
    </w:pPr>
    <w:rPr>
      <w:sz w:val="24"/>
    </w:rPr>
  </w:style>
  <w:style w:type="paragraph" w:styleId="ListBullet4">
    <w:name w:val="List Bullet 4"/>
    <w:basedOn w:val="Normal"/>
    <w:uiPriority w:val="99"/>
    <w:semiHidden/>
    <w:unhideWhenUsed/>
    <w:pPr>
      <w:tabs>
        <w:tab w:val="num" w:pos="1209"/>
      </w:tabs>
      <w:spacing w:before="120" w:after="120"/>
      <w:ind w:left="1209" w:hanging="360"/>
      <w:contextualSpacing/>
      <w:jc w:val="both"/>
    </w:pPr>
    <w:rPr>
      <w:sz w:val="24"/>
    </w:rPr>
  </w:style>
  <w:style w:type="table" w:styleId="LightShading-Accent5">
    <w:name w:val="Light Shading Accent 5"/>
    <w:basedOn w:val="TableNormal"/>
    <w:uiPriority w:val="60"/>
    <w:rPr>
      <w:color w:val="A41045" w:themeColor="accent5" w:themeShade="BF"/>
      <w:lang w:eastAsia="en-GB"/>
    </w:rPr>
    <w:tblPr>
      <w:tblStyleRowBandSize w:val="1"/>
      <w:tblStyleColBandSize w:val="1"/>
      <w:tblBorders>
        <w:top w:val="single" w:sz="8" w:space="0" w:color="DC165D" w:themeColor="accent5"/>
        <w:bottom w:val="single" w:sz="8" w:space="0" w:color="DC165D" w:themeColor="accent5"/>
      </w:tblBorders>
    </w:tblPr>
    <w:tblStylePr w:type="firstRow">
      <w:pPr>
        <w:spacing w:before="0" w:after="0" w:line="240" w:lineRule="auto"/>
      </w:pPr>
      <w:rPr>
        <w:b/>
        <w:bCs/>
      </w:rPr>
      <w:tblPr/>
      <w:tcPr>
        <w:tcBorders>
          <w:top w:val="single" w:sz="8" w:space="0" w:color="DC165D" w:themeColor="accent5"/>
          <w:left w:val="nil"/>
          <w:bottom w:val="single" w:sz="8" w:space="0" w:color="DC165D" w:themeColor="accent5"/>
          <w:right w:val="nil"/>
          <w:insideH w:val="nil"/>
          <w:insideV w:val="nil"/>
        </w:tcBorders>
      </w:tcPr>
    </w:tblStylePr>
    <w:tblStylePr w:type="lastRow">
      <w:pPr>
        <w:spacing w:before="0" w:after="0" w:line="240" w:lineRule="auto"/>
      </w:pPr>
      <w:rPr>
        <w:b/>
        <w:bCs/>
      </w:rPr>
      <w:tblPr/>
      <w:tcPr>
        <w:tcBorders>
          <w:top w:val="single" w:sz="8" w:space="0" w:color="DC165D" w:themeColor="accent5"/>
          <w:left w:val="nil"/>
          <w:bottom w:val="single" w:sz="8" w:space="0" w:color="DC165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C2D6" w:themeFill="accent5" w:themeFillTint="3F"/>
      </w:tcPr>
    </w:tblStylePr>
    <w:tblStylePr w:type="band1Horz">
      <w:tblPr/>
      <w:tcPr>
        <w:tcBorders>
          <w:left w:val="nil"/>
          <w:right w:val="nil"/>
          <w:insideH w:val="nil"/>
          <w:insideV w:val="nil"/>
        </w:tcBorders>
        <w:shd w:val="clear" w:color="auto" w:fill="F9C2D6" w:themeFill="accent5" w:themeFillTint="3F"/>
      </w:tcPr>
    </w:tblStylePr>
  </w:style>
  <w:style w:type="paragraph" w:styleId="TableofFigures">
    <w:name w:val="table of figures"/>
    <w:basedOn w:val="Normal"/>
    <w:next w:val="Normal"/>
    <w:uiPriority w:val="99"/>
    <w:semiHidden/>
    <w:unhideWhenUsed/>
    <w:pPr>
      <w:spacing w:before="120"/>
      <w:jc w:val="both"/>
    </w:pPr>
    <w:rPr>
      <w:sz w:val="24"/>
    </w:rPr>
  </w:style>
  <w:style w:type="paragraph" w:styleId="ListNumber">
    <w:name w:val="List Number"/>
    <w:basedOn w:val="Normal"/>
    <w:uiPriority w:val="99"/>
    <w:semiHidden/>
    <w:unhideWhenUsed/>
    <w:pPr>
      <w:tabs>
        <w:tab w:val="num" w:pos="360"/>
      </w:tabs>
      <w:spacing w:before="120" w:after="120"/>
      <w:ind w:left="360" w:hanging="360"/>
      <w:contextualSpacing/>
      <w:jc w:val="both"/>
    </w:pPr>
    <w:rPr>
      <w:sz w:val="24"/>
    </w:rPr>
  </w:style>
  <w:style w:type="paragraph" w:styleId="ListNumber2">
    <w:name w:val="List Number 2"/>
    <w:basedOn w:val="Normal"/>
    <w:uiPriority w:val="99"/>
    <w:semiHidden/>
    <w:unhideWhenUsed/>
    <w:pPr>
      <w:tabs>
        <w:tab w:val="num" w:pos="643"/>
      </w:tabs>
      <w:spacing w:before="120" w:after="120"/>
      <w:ind w:left="643" w:hanging="360"/>
      <w:contextualSpacing/>
      <w:jc w:val="both"/>
    </w:pPr>
    <w:rPr>
      <w:sz w:val="24"/>
    </w:rPr>
  </w:style>
  <w:style w:type="paragraph" w:styleId="ListNumber3">
    <w:name w:val="List Number 3"/>
    <w:basedOn w:val="Normal"/>
    <w:uiPriority w:val="99"/>
    <w:semiHidden/>
    <w:unhideWhenUsed/>
    <w:pPr>
      <w:tabs>
        <w:tab w:val="num" w:pos="926"/>
      </w:tabs>
      <w:spacing w:before="120" w:after="120"/>
      <w:ind w:left="926" w:hanging="360"/>
      <w:contextualSpacing/>
      <w:jc w:val="both"/>
    </w:pPr>
    <w:rPr>
      <w:sz w:val="24"/>
    </w:rPr>
  </w:style>
  <w:style w:type="paragraph" w:styleId="ListNumber4">
    <w:name w:val="List Number 4"/>
    <w:basedOn w:val="Normal"/>
    <w:uiPriority w:val="99"/>
    <w:semiHidden/>
    <w:unhideWhenUsed/>
    <w:pPr>
      <w:tabs>
        <w:tab w:val="num" w:pos="1209"/>
      </w:tabs>
      <w:spacing w:before="120" w:after="120"/>
      <w:ind w:left="1209" w:hanging="360"/>
      <w:contextualSpacing/>
      <w:jc w:val="both"/>
    </w:pPr>
    <w:rPr>
      <w:sz w:val="24"/>
    </w:rPr>
  </w:style>
  <w:style w:type="table" w:styleId="LightShading">
    <w:name w:val="Light Shading"/>
    <w:basedOn w:val="TableNormal"/>
    <w:uiPriority w:val="6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odyText">
    <w:name w:val="Body Text"/>
    <w:basedOn w:val="amprBodyText"/>
    <w:next w:val="Normal"/>
    <w:link w:val="BodyTextChar"/>
    <w:uiPriority w:val="89"/>
    <w:semiHidden/>
    <w:qFormat/>
  </w:style>
  <w:style w:type="character" w:customStyle="1" w:styleId="BodyTextChar">
    <w:name w:val="Body Text Char"/>
    <w:basedOn w:val="DefaultParagraphFont"/>
    <w:link w:val="BodyText"/>
    <w:uiPriority w:val="89"/>
    <w:semiHidden/>
    <w:rPr>
      <w:rFonts w:eastAsia="EC Square Sans Pro" w:cs="Times New Roman"/>
      <w:szCs w:val="21"/>
      <w:lang w:val="en-GB" w:eastAsia="zh-CN"/>
    </w:rPr>
  </w:style>
  <w:style w:type="paragraph" w:customStyle="1" w:styleId="Quotes">
    <w:name w:val="Quotes"/>
    <w:basedOn w:val="Normal"/>
    <w:link w:val="QuotesChar"/>
    <w:qFormat/>
    <w:pPr>
      <w:ind w:left="851" w:right="851"/>
      <w:jc w:val="center"/>
    </w:pPr>
    <w:rPr>
      <w:rFonts w:eastAsia="Calibri"/>
      <w:i/>
      <w:color w:val="003399" w:themeColor="text2"/>
      <w:sz w:val="28"/>
      <w:lang w:eastAsia="zh-CN"/>
    </w:rPr>
  </w:style>
  <w:style w:type="character" w:customStyle="1" w:styleId="QuotesChar">
    <w:name w:val="Quotes Char"/>
    <w:basedOn w:val="DefaultParagraphFont"/>
    <w:link w:val="Quotes"/>
    <w:rPr>
      <w:rFonts w:eastAsia="Calibri"/>
      <w:i/>
      <w:color w:val="003399" w:themeColor="text2"/>
      <w:sz w:val="28"/>
      <w:lang w:val="en-GB" w:eastAsia="zh-CN"/>
    </w:rPr>
  </w:style>
  <w:style w:type="paragraph" w:styleId="TOC1">
    <w:name w:val="toc 1"/>
    <w:basedOn w:val="Normal"/>
    <w:next w:val="Normal"/>
    <w:autoRedefine/>
    <w:uiPriority w:val="39"/>
    <w:unhideWhenUsed/>
    <w:qFormat/>
    <w:rsid w:val="006B431C"/>
    <w:pPr>
      <w:tabs>
        <w:tab w:val="right" w:leader="dot" w:pos="9072"/>
      </w:tabs>
      <w:spacing w:before="120" w:after="120"/>
      <w:jc w:val="both"/>
    </w:pPr>
    <w:rPr>
      <w:b/>
      <w:caps/>
    </w:rPr>
  </w:style>
  <w:style w:type="character" w:styleId="FollowedHyperlink">
    <w:name w:val="FollowedHyperlink"/>
    <w:basedOn w:val="DefaultParagraphFont"/>
    <w:uiPriority w:val="99"/>
    <w:semiHidden/>
    <w:unhideWhenUsed/>
    <w:rPr>
      <w:rFonts w:ascii="EC Square Sans Pro" w:hAnsi="EC Square Sans Pro"/>
      <w:color w:val="003399" w:themeColor="followedHyperlink"/>
      <w:u w:val="single"/>
      <w:lang w:val="en-GB"/>
    </w:rPr>
  </w:style>
  <w:style w:type="table" w:styleId="MediumShading2-Accent1">
    <w:name w:val="Medium Shading 2 Accent 1"/>
    <w:basedOn w:val="TableNormal"/>
    <w:uiPriority w:val="64"/>
    <w:rPr>
      <w:rFonts w:ascii="Calibri" w:eastAsia="Calibri" w:hAnsi="Calibri" w:cs="Times New Roman"/>
      <w:lang w:val="en-GB"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13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139" w:themeFill="accent1"/>
      </w:tcPr>
    </w:tblStylePr>
    <w:tblStylePr w:type="lastCol">
      <w:rPr>
        <w:b/>
        <w:bCs/>
        <w:color w:val="FFFFFF" w:themeColor="background1"/>
      </w:rPr>
      <w:tblPr/>
      <w:tcPr>
        <w:tcBorders>
          <w:left w:val="nil"/>
          <w:right w:val="nil"/>
          <w:insideH w:val="nil"/>
          <w:insideV w:val="nil"/>
        </w:tcBorders>
        <w:shd w:val="clear" w:color="auto" w:fill="00813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ibliography">
    <w:name w:val="Bibliography"/>
    <w:basedOn w:val="Normal"/>
    <w:next w:val="Normal"/>
    <w:uiPriority w:val="37"/>
    <w:semiHidden/>
    <w:unhideWhenUsed/>
  </w:style>
  <w:style w:type="paragraph" w:styleId="BlockText">
    <w:name w:val="Block Text"/>
    <w:basedOn w:val="Normal"/>
    <w:uiPriority w:val="99"/>
    <w:semiHidden/>
    <w:unhideWhenUsed/>
    <w:pPr>
      <w:pBdr>
        <w:top w:val="single" w:sz="2" w:space="10" w:color="008139" w:themeColor="accent1" w:shadow="1" w:frame="1"/>
        <w:left w:val="single" w:sz="2" w:space="10" w:color="008139" w:themeColor="accent1" w:shadow="1" w:frame="1"/>
        <w:bottom w:val="single" w:sz="2" w:space="10" w:color="008139" w:themeColor="accent1" w:shadow="1" w:frame="1"/>
        <w:right w:val="single" w:sz="2" w:space="10" w:color="008139" w:themeColor="accent1" w:shadow="1" w:frame="1"/>
      </w:pBdr>
      <w:ind w:left="1152" w:right="1152"/>
    </w:pPr>
    <w:rPr>
      <w:rFonts w:eastAsiaTheme="minorEastAsia"/>
      <w:i/>
      <w:iCs/>
      <w:color w:val="008139" w:themeColor="accent1"/>
    </w:rPr>
  </w:style>
  <w:style w:type="paragraph" w:styleId="BodyText2">
    <w:name w:val="Body Text 2"/>
    <w:basedOn w:val="amprBodyText"/>
    <w:link w:val="BodyText2Char"/>
    <w:uiPriority w:val="89"/>
    <w:semiHidden/>
  </w:style>
  <w:style w:type="character" w:customStyle="1" w:styleId="BodyText2Char">
    <w:name w:val="Body Text 2 Char"/>
    <w:basedOn w:val="DefaultParagraphFont"/>
    <w:link w:val="BodyText2"/>
    <w:uiPriority w:val="89"/>
    <w:semiHidden/>
    <w:rPr>
      <w:rFonts w:eastAsia="EC Square Sans Pro" w:cs="Times New Roman"/>
      <w:szCs w:val="21"/>
      <w:lang w:val="en-GB" w:eastAsia="zh-CN"/>
    </w:rPr>
  </w:style>
  <w:style w:type="paragraph" w:styleId="BodyText3">
    <w:name w:val="Body Text 3"/>
    <w:basedOn w:val="amprBodyText"/>
    <w:link w:val="BodyText3Char"/>
    <w:uiPriority w:val="89"/>
    <w:semiHidden/>
  </w:style>
  <w:style w:type="character" w:customStyle="1" w:styleId="BodyText3Char">
    <w:name w:val="Body Text 3 Char"/>
    <w:basedOn w:val="DefaultParagraphFont"/>
    <w:link w:val="BodyText3"/>
    <w:uiPriority w:val="89"/>
    <w:semiHidden/>
    <w:rPr>
      <w:rFonts w:eastAsia="EC Square Sans Pro" w:cs="Times New Roman"/>
      <w:szCs w:val="21"/>
      <w:lang w:val="en-GB" w:eastAsia="zh-CN"/>
    </w:rPr>
  </w:style>
  <w:style w:type="paragraph" w:styleId="BodyTextFirstIndent">
    <w:name w:val="Body Text First Indent"/>
    <w:basedOn w:val="BodyText"/>
    <w:link w:val="BodyTextFirstIndentChar"/>
    <w:uiPriority w:val="99"/>
    <w:semiHidden/>
    <w:unhideWhenUsed/>
    <w:pPr>
      <w:ind w:firstLine="360"/>
    </w:pPr>
  </w:style>
  <w:style w:type="character" w:customStyle="1" w:styleId="BodyTextFirstIndentChar">
    <w:name w:val="Body Text First Indent Char"/>
    <w:basedOn w:val="BodyTextChar"/>
    <w:link w:val="BodyTextFirstIndent"/>
    <w:uiPriority w:val="99"/>
    <w:semiHidden/>
    <w:rPr>
      <w:rFonts w:eastAsia="EC Square Sans Pro" w:cs="Times New Roman"/>
      <w:color w:val="000000" w:themeColor="text1"/>
      <w:szCs w:val="21"/>
      <w:lang w:val="en-GB" w:eastAsia="zh-CN"/>
    </w:rPr>
  </w:style>
  <w:style w:type="paragraph" w:styleId="BodyTextIndent">
    <w:name w:val="Body Text Indent"/>
    <w:basedOn w:val="Normal"/>
    <w:link w:val="BodyTextIndentChar"/>
    <w:uiPriority w:val="99"/>
    <w:semiHidden/>
    <w:unhideWhenUsed/>
    <w:pPr>
      <w:spacing w:after="120"/>
      <w:ind w:left="283"/>
    </w:pPr>
  </w:style>
  <w:style w:type="character" w:customStyle="1" w:styleId="BodyTextIndentChar">
    <w:name w:val="Body Text Indent Char"/>
    <w:basedOn w:val="DefaultParagraphFont"/>
    <w:link w:val="BodyTextIndent"/>
    <w:uiPriority w:val="99"/>
    <w:semiHidden/>
    <w:rPr>
      <w:lang w:val="en-GB"/>
    </w:rPr>
  </w:style>
  <w:style w:type="paragraph" w:styleId="BodyTextFirstIndent2">
    <w:name w:val="Body Text First Indent 2"/>
    <w:basedOn w:val="BodyTextIndent"/>
    <w:link w:val="BodyTextFirstIndent2Char"/>
    <w:uiPriority w:val="99"/>
    <w:semiHidden/>
    <w:unhideWhenUsed/>
    <w:pPr>
      <w:spacing w:after="0"/>
      <w:ind w:left="360" w:firstLine="360"/>
    </w:pPr>
  </w:style>
  <w:style w:type="character" w:customStyle="1" w:styleId="BodyTextFirstIndent2Char">
    <w:name w:val="Body Text First Indent 2 Char"/>
    <w:basedOn w:val="BodyTextIndentChar"/>
    <w:link w:val="BodyTextFirstIndent2"/>
    <w:uiPriority w:val="99"/>
    <w:semiHidden/>
    <w:rPr>
      <w:lang w:val="en-GB"/>
    </w:rPr>
  </w:style>
  <w:style w:type="paragraph" w:styleId="BodyTextIndent2">
    <w:name w:val="Body Text Indent 2"/>
    <w:basedOn w:val="Normal"/>
    <w:link w:val="BodyTextIndent2Char"/>
    <w:uiPriority w:val="99"/>
    <w:semiHidden/>
    <w:unhideWhenUsed/>
    <w:pPr>
      <w:spacing w:after="120" w:line="480" w:lineRule="auto"/>
      <w:ind w:left="283"/>
    </w:pPr>
  </w:style>
  <w:style w:type="character" w:customStyle="1" w:styleId="BodyTextIndent2Char">
    <w:name w:val="Body Text Indent 2 Char"/>
    <w:basedOn w:val="DefaultParagraphFont"/>
    <w:link w:val="BodyTextIndent2"/>
    <w:uiPriority w:val="99"/>
    <w:semiHidden/>
    <w:rPr>
      <w:lang w:val="en-GB"/>
    </w:rPr>
  </w:style>
  <w:style w:type="paragraph" w:styleId="BodyTextIndent3">
    <w:name w:val="Body Text Indent 3"/>
    <w:basedOn w:val="Normal"/>
    <w:link w:val="BodyTextIndent3Char"/>
    <w:uiPriority w:val="99"/>
    <w:semiHidden/>
    <w:unhideWhenUsed/>
    <w:pPr>
      <w:spacing w:after="120"/>
      <w:ind w:left="283"/>
    </w:pPr>
    <w:rPr>
      <w:sz w:val="16"/>
      <w:szCs w:val="16"/>
    </w:rPr>
  </w:style>
  <w:style w:type="character" w:customStyle="1" w:styleId="BodyTextIndent3Char">
    <w:name w:val="Body Text Indent 3 Char"/>
    <w:basedOn w:val="DefaultParagraphFont"/>
    <w:link w:val="BodyTextIndent3"/>
    <w:uiPriority w:val="99"/>
    <w:semiHidden/>
    <w:rPr>
      <w:sz w:val="16"/>
      <w:szCs w:val="16"/>
      <w:lang w:val="en-GB"/>
    </w:rPr>
  </w:style>
  <w:style w:type="paragraph" w:styleId="Closing">
    <w:name w:val="Closing"/>
    <w:basedOn w:val="Normal"/>
    <w:link w:val="ClosingChar"/>
    <w:uiPriority w:val="99"/>
    <w:semiHidden/>
    <w:unhideWhenUsed/>
    <w:pPr>
      <w:ind w:left="4252"/>
    </w:pPr>
  </w:style>
  <w:style w:type="character" w:customStyle="1" w:styleId="ClosingChar">
    <w:name w:val="Closing Char"/>
    <w:basedOn w:val="DefaultParagraphFont"/>
    <w:link w:val="Closing"/>
    <w:uiPriority w:val="99"/>
    <w:semiHidden/>
    <w:rPr>
      <w:lang w:val="en-GB"/>
    </w:r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rPr>
      <w:lang w:val="en-GB"/>
    </w:rPr>
  </w:style>
  <w:style w:type="paragraph" w:styleId="DocumentMap">
    <w:name w:val="Document Map"/>
    <w:basedOn w:val="Normal"/>
    <w:link w:val="DocumentMapChar"/>
    <w:semiHidden/>
    <w:unhideWhenUsed/>
    <w:rPr>
      <w:rFonts w:cs="Tahoma"/>
      <w:sz w:val="16"/>
      <w:szCs w:val="16"/>
    </w:rPr>
  </w:style>
  <w:style w:type="character" w:customStyle="1" w:styleId="DocumentMapChar">
    <w:name w:val="Document Map Char"/>
    <w:basedOn w:val="DefaultParagraphFont"/>
    <w:link w:val="DocumentMap"/>
    <w:semiHidden/>
    <w:rPr>
      <w:rFonts w:cs="Tahoma"/>
      <w:sz w:val="16"/>
      <w:szCs w:val="16"/>
      <w:lang w:val="en-GB"/>
    </w:rPr>
  </w:style>
  <w:style w:type="paragraph" w:styleId="E-mailSignature">
    <w:name w:val="E-mail Signature"/>
    <w:basedOn w:val="Normal"/>
    <w:link w:val="E-mailSignatureChar"/>
    <w:uiPriority w:val="99"/>
    <w:semiHidden/>
    <w:unhideWhenUsed/>
  </w:style>
  <w:style w:type="character" w:customStyle="1" w:styleId="E-mailSignatureChar">
    <w:name w:val="E-mail Signature Char"/>
    <w:basedOn w:val="DefaultParagraphFont"/>
    <w:link w:val="E-mailSignature"/>
    <w:uiPriority w:val="99"/>
    <w:semiHidden/>
    <w:rPr>
      <w:lang w:val="en-GB"/>
    </w:rPr>
  </w:style>
  <w:style w:type="paragraph" w:styleId="EnvelopeAddress">
    <w:name w:val="envelope address"/>
    <w:basedOn w:val="Normal"/>
    <w:uiPriority w:val="99"/>
    <w:semiHidden/>
    <w:unhideWhenUsed/>
    <w:pPr>
      <w:framePr w:w="7920" w:h="1980" w:hRule="exact" w:hSpace="180" w:wrap="auto" w:hAnchor="page" w:xAlign="center" w:yAlign="bottom"/>
      <w:ind w:left="2880"/>
    </w:pPr>
    <w:rPr>
      <w:rFonts w:eastAsiaTheme="majorEastAsia" w:cstheme="majorBidi"/>
      <w:sz w:val="24"/>
      <w:szCs w:val="24"/>
    </w:rPr>
  </w:style>
  <w:style w:type="paragraph" w:styleId="EnvelopeReturn">
    <w:name w:val="envelope return"/>
    <w:basedOn w:val="Normal"/>
    <w:uiPriority w:val="99"/>
    <w:semiHidden/>
    <w:unhideWhenUsed/>
    <w:rPr>
      <w:rFonts w:eastAsiaTheme="majorEastAsia" w:cstheme="majorBidi"/>
    </w:rPr>
  </w:style>
  <w:style w:type="character" w:styleId="HTMLAcronym">
    <w:name w:val="HTML Acronym"/>
    <w:basedOn w:val="DefaultParagraphFont"/>
    <w:uiPriority w:val="99"/>
    <w:semiHidden/>
    <w:unhideWhenUsed/>
    <w:rPr>
      <w:rFonts w:ascii="EC Square Sans Pro" w:hAnsi="EC Square Sans Pro"/>
      <w:lang w:val="en-GB"/>
    </w:rPr>
  </w:style>
  <w:style w:type="paragraph" w:styleId="HTMLAddress">
    <w:name w:val="HTML Address"/>
    <w:basedOn w:val="Normal"/>
    <w:link w:val="HTMLAddressChar"/>
    <w:uiPriority w:val="99"/>
    <w:semiHidden/>
    <w:unhideWhenUsed/>
    <w:rPr>
      <w:i/>
      <w:iCs/>
    </w:rPr>
  </w:style>
  <w:style w:type="character" w:customStyle="1" w:styleId="HTMLAddressChar">
    <w:name w:val="HTML Address Char"/>
    <w:basedOn w:val="DefaultParagraphFont"/>
    <w:link w:val="HTMLAddress"/>
    <w:uiPriority w:val="99"/>
    <w:semiHidden/>
    <w:rPr>
      <w:i/>
      <w:iCs/>
      <w:lang w:val="en-GB"/>
    </w:rPr>
  </w:style>
  <w:style w:type="character" w:styleId="HTMLCite">
    <w:name w:val="HTML Cite"/>
    <w:basedOn w:val="DefaultParagraphFont"/>
    <w:uiPriority w:val="99"/>
    <w:semiHidden/>
    <w:unhideWhenUsed/>
    <w:rPr>
      <w:rFonts w:ascii="EC Square Sans Pro" w:hAnsi="EC Square Sans Pro"/>
      <w:i/>
      <w:iCs/>
      <w:lang w:val="en-GB"/>
    </w:rPr>
  </w:style>
  <w:style w:type="character" w:styleId="HTMLCode">
    <w:name w:val="HTML Code"/>
    <w:basedOn w:val="DefaultParagraphFont"/>
    <w:uiPriority w:val="99"/>
    <w:semiHidden/>
    <w:unhideWhenUsed/>
    <w:rPr>
      <w:rFonts w:ascii="EC Square Sans Pro" w:hAnsi="EC Square Sans Pro" w:cs="Consolas"/>
      <w:sz w:val="20"/>
      <w:szCs w:val="20"/>
      <w:lang w:val="en-GB"/>
    </w:rPr>
  </w:style>
  <w:style w:type="character" w:styleId="HTMLDefinition">
    <w:name w:val="HTML Definition"/>
    <w:basedOn w:val="DefaultParagraphFont"/>
    <w:uiPriority w:val="99"/>
    <w:semiHidden/>
    <w:unhideWhenUsed/>
    <w:rPr>
      <w:rFonts w:ascii="EC Square Sans Pro" w:hAnsi="EC Square Sans Pro"/>
      <w:i/>
      <w:iCs/>
      <w:lang w:val="en-GB"/>
    </w:rPr>
  </w:style>
  <w:style w:type="character" w:styleId="HTMLKeyboard">
    <w:name w:val="HTML Keyboard"/>
    <w:basedOn w:val="DefaultParagraphFont"/>
    <w:uiPriority w:val="99"/>
    <w:semiHidden/>
    <w:unhideWhenUsed/>
    <w:rPr>
      <w:rFonts w:ascii="EC Square Sans Pro" w:hAnsi="EC Square Sans Pro" w:cs="Consolas"/>
      <w:sz w:val="20"/>
      <w:szCs w:val="20"/>
      <w:lang w:val="en-GB"/>
    </w:rPr>
  </w:style>
  <w:style w:type="paragraph" w:styleId="HTMLPreformatted">
    <w:name w:val="HTML Preformatted"/>
    <w:basedOn w:val="Normal"/>
    <w:link w:val="HTMLPreformattedChar"/>
    <w:uiPriority w:val="99"/>
    <w:semiHidden/>
    <w:unhideWhenUsed/>
    <w:rPr>
      <w:rFonts w:cs="Consolas"/>
    </w:rPr>
  </w:style>
  <w:style w:type="character" w:customStyle="1" w:styleId="HTMLPreformattedChar">
    <w:name w:val="HTML Preformatted Char"/>
    <w:basedOn w:val="DefaultParagraphFont"/>
    <w:link w:val="HTMLPreformatted"/>
    <w:uiPriority w:val="99"/>
    <w:semiHidden/>
    <w:rPr>
      <w:rFonts w:cs="Consolas"/>
      <w:lang w:val="en-GB"/>
    </w:rPr>
  </w:style>
  <w:style w:type="character" w:styleId="HTMLSample">
    <w:name w:val="HTML Sample"/>
    <w:basedOn w:val="DefaultParagraphFont"/>
    <w:uiPriority w:val="99"/>
    <w:semiHidden/>
    <w:unhideWhenUsed/>
    <w:rPr>
      <w:rFonts w:ascii="EC Square Sans Pro" w:hAnsi="EC Square Sans Pro" w:cs="Consolas"/>
      <w:sz w:val="24"/>
      <w:szCs w:val="24"/>
      <w:lang w:val="en-GB"/>
    </w:rPr>
  </w:style>
  <w:style w:type="character" w:styleId="HTMLTypewriter">
    <w:name w:val="HTML Typewriter"/>
    <w:basedOn w:val="DefaultParagraphFont"/>
    <w:uiPriority w:val="99"/>
    <w:semiHidden/>
    <w:unhideWhenUsed/>
    <w:rPr>
      <w:rFonts w:ascii="EC Square Sans Pro" w:hAnsi="EC Square Sans Pro" w:cs="Consolas"/>
      <w:sz w:val="20"/>
      <w:szCs w:val="20"/>
      <w:lang w:val="en-GB"/>
    </w:rPr>
  </w:style>
  <w:style w:type="character" w:styleId="HTMLVariable">
    <w:name w:val="HTML Variable"/>
    <w:basedOn w:val="DefaultParagraphFont"/>
    <w:uiPriority w:val="99"/>
    <w:semiHidden/>
    <w:unhideWhenUsed/>
    <w:rPr>
      <w:rFonts w:ascii="EC Square Sans Pro" w:hAnsi="EC Square Sans Pro"/>
      <w:i/>
      <w:iCs/>
      <w:lang w:val="en-GB"/>
    </w:rPr>
  </w:style>
  <w:style w:type="paragraph" w:styleId="Index1">
    <w:name w:val="index 1"/>
    <w:basedOn w:val="Normal"/>
    <w:next w:val="Normal"/>
    <w:autoRedefine/>
    <w:uiPriority w:val="99"/>
    <w:semiHidden/>
    <w:unhideWhenUsed/>
    <w:pPr>
      <w:ind w:left="200" w:hanging="200"/>
    </w:pPr>
  </w:style>
  <w:style w:type="paragraph" w:styleId="Index2">
    <w:name w:val="index 2"/>
    <w:basedOn w:val="Normal"/>
    <w:next w:val="Normal"/>
    <w:autoRedefine/>
    <w:uiPriority w:val="99"/>
    <w:semiHidden/>
    <w:unhideWhenUsed/>
    <w:pPr>
      <w:ind w:left="400" w:hanging="200"/>
    </w:pPr>
  </w:style>
  <w:style w:type="paragraph" w:styleId="Index3">
    <w:name w:val="index 3"/>
    <w:basedOn w:val="Normal"/>
    <w:next w:val="Normal"/>
    <w:autoRedefine/>
    <w:uiPriority w:val="99"/>
    <w:semiHidden/>
    <w:unhideWhenUsed/>
    <w:pPr>
      <w:ind w:left="600" w:hanging="200"/>
    </w:pPr>
  </w:style>
  <w:style w:type="paragraph" w:styleId="Index4">
    <w:name w:val="index 4"/>
    <w:basedOn w:val="Normal"/>
    <w:next w:val="Normal"/>
    <w:autoRedefine/>
    <w:uiPriority w:val="99"/>
    <w:semiHidden/>
    <w:unhideWhenUsed/>
    <w:pPr>
      <w:ind w:left="800" w:hanging="200"/>
    </w:pPr>
  </w:style>
  <w:style w:type="paragraph" w:styleId="Index5">
    <w:name w:val="index 5"/>
    <w:basedOn w:val="Normal"/>
    <w:next w:val="Normal"/>
    <w:autoRedefine/>
    <w:uiPriority w:val="99"/>
    <w:semiHidden/>
    <w:unhideWhenUsed/>
    <w:pPr>
      <w:ind w:left="1000" w:hanging="200"/>
    </w:pPr>
  </w:style>
  <w:style w:type="paragraph" w:styleId="Index6">
    <w:name w:val="index 6"/>
    <w:basedOn w:val="Normal"/>
    <w:next w:val="Normal"/>
    <w:autoRedefine/>
    <w:uiPriority w:val="99"/>
    <w:semiHidden/>
    <w:unhideWhenUsed/>
    <w:pPr>
      <w:ind w:left="1200" w:hanging="200"/>
    </w:pPr>
  </w:style>
  <w:style w:type="paragraph" w:styleId="Index7">
    <w:name w:val="index 7"/>
    <w:basedOn w:val="Normal"/>
    <w:next w:val="Normal"/>
    <w:autoRedefine/>
    <w:uiPriority w:val="99"/>
    <w:semiHidden/>
    <w:unhideWhenUsed/>
    <w:pPr>
      <w:ind w:left="1400" w:hanging="200"/>
    </w:pPr>
  </w:style>
  <w:style w:type="paragraph" w:styleId="Index8">
    <w:name w:val="index 8"/>
    <w:basedOn w:val="Normal"/>
    <w:next w:val="Normal"/>
    <w:autoRedefine/>
    <w:uiPriority w:val="99"/>
    <w:semiHidden/>
    <w:unhideWhenUsed/>
    <w:pPr>
      <w:ind w:left="1600" w:hanging="200"/>
    </w:pPr>
  </w:style>
  <w:style w:type="paragraph" w:styleId="Index9">
    <w:name w:val="index 9"/>
    <w:basedOn w:val="Normal"/>
    <w:next w:val="Normal"/>
    <w:autoRedefine/>
    <w:uiPriority w:val="99"/>
    <w:semiHidden/>
    <w:unhideWhenUsed/>
    <w:pPr>
      <w:ind w:left="1800" w:hanging="200"/>
    </w:pPr>
  </w:style>
  <w:style w:type="paragraph" w:styleId="IndexHeading">
    <w:name w:val="index heading"/>
    <w:basedOn w:val="Normal"/>
    <w:next w:val="Index1"/>
    <w:uiPriority w:val="99"/>
    <w:semiHidden/>
    <w:unhideWhenUsed/>
    <w:rPr>
      <w:rFonts w:eastAsiaTheme="majorEastAsia" w:cstheme="majorBidi"/>
      <w:b/>
      <w:bCs/>
    </w:rPr>
  </w:style>
  <w:style w:type="character" w:styleId="LineNumber">
    <w:name w:val="line number"/>
    <w:basedOn w:val="DefaultParagraphFont"/>
    <w:uiPriority w:val="99"/>
    <w:semiHidden/>
    <w:unhideWhenUsed/>
    <w:rPr>
      <w:rFonts w:ascii="EC Square Sans Pro" w:hAnsi="EC Square Sans Pro"/>
      <w:lang w:val="en-GB"/>
    </w:rPr>
  </w:style>
  <w:style w:type="paragraph" w:styleId="List">
    <w:name w:val="List"/>
    <w:basedOn w:val="Normal"/>
    <w:uiPriority w:val="99"/>
    <w:semiHidden/>
    <w:unhideWhenUsed/>
    <w:pPr>
      <w:ind w:left="283" w:hanging="283"/>
      <w:contextualSpacing/>
    </w:pPr>
  </w:style>
  <w:style w:type="paragraph" w:styleId="List2">
    <w:name w:val="List 2"/>
    <w:basedOn w:val="Normal"/>
    <w:uiPriority w:val="99"/>
    <w:semiHidden/>
    <w:unhideWhenUsed/>
    <w:pPr>
      <w:ind w:left="566" w:hanging="283"/>
      <w:contextualSpacing/>
    </w:pPr>
  </w:style>
  <w:style w:type="paragraph" w:styleId="List3">
    <w:name w:val="List 3"/>
    <w:basedOn w:val="Normal"/>
    <w:uiPriority w:val="99"/>
    <w:semiHidden/>
    <w:unhideWhenUsed/>
    <w:pPr>
      <w:ind w:left="849" w:hanging="283"/>
      <w:contextualSpacing/>
    </w:pPr>
  </w:style>
  <w:style w:type="paragraph" w:styleId="List4">
    <w:name w:val="List 4"/>
    <w:basedOn w:val="Normal"/>
    <w:uiPriority w:val="99"/>
    <w:semiHidden/>
    <w:unhideWhenUsed/>
    <w:pPr>
      <w:ind w:left="1132" w:hanging="283"/>
      <w:contextualSpacing/>
    </w:pPr>
  </w:style>
  <w:style w:type="paragraph" w:styleId="List5">
    <w:name w:val="List 5"/>
    <w:basedOn w:val="Normal"/>
    <w:uiPriority w:val="99"/>
    <w:semiHidden/>
    <w:unhideWhenUsed/>
    <w:pPr>
      <w:ind w:left="1415" w:hanging="283"/>
      <w:contextualSpacing/>
    </w:pPr>
  </w:style>
  <w:style w:type="paragraph" w:styleId="ListBullet5">
    <w:name w:val="List Bullet 5"/>
    <w:basedOn w:val="Normal"/>
    <w:uiPriority w:val="99"/>
    <w:semiHidden/>
    <w:unhideWhenUsed/>
    <w:pPr>
      <w:numPr>
        <w:numId w:val="1"/>
      </w:numPr>
      <w:contextualSpacing/>
    </w:pPr>
  </w:style>
  <w:style w:type="paragraph" w:styleId="ListContinue">
    <w:name w:val="List Continue"/>
    <w:basedOn w:val="Normal"/>
    <w:uiPriority w:val="99"/>
    <w:semiHidden/>
    <w:unhideWhenUsed/>
    <w:pPr>
      <w:spacing w:after="120"/>
      <w:ind w:left="283"/>
      <w:contextualSpacing/>
    </w:pPr>
  </w:style>
  <w:style w:type="paragraph" w:styleId="ListContinue2">
    <w:name w:val="List Continue 2"/>
    <w:basedOn w:val="Normal"/>
    <w:uiPriority w:val="99"/>
    <w:semiHidden/>
    <w:unhideWhenUsed/>
    <w:pPr>
      <w:spacing w:after="120"/>
      <w:ind w:left="566"/>
      <w:contextualSpacing/>
    </w:pPr>
  </w:style>
  <w:style w:type="paragraph" w:styleId="ListContinue3">
    <w:name w:val="List Continue 3"/>
    <w:basedOn w:val="Normal"/>
    <w:uiPriority w:val="99"/>
    <w:semiHidden/>
    <w:unhideWhenUsed/>
    <w:pPr>
      <w:spacing w:after="120"/>
      <w:ind w:left="849"/>
      <w:contextualSpacing/>
    </w:pPr>
  </w:style>
  <w:style w:type="paragraph" w:styleId="ListContinue4">
    <w:name w:val="List Continue 4"/>
    <w:basedOn w:val="Normal"/>
    <w:uiPriority w:val="99"/>
    <w:semiHidden/>
    <w:unhideWhenUsed/>
    <w:pPr>
      <w:spacing w:after="120"/>
      <w:ind w:left="1132"/>
      <w:contextualSpacing/>
    </w:pPr>
  </w:style>
  <w:style w:type="paragraph" w:styleId="ListContinue5">
    <w:name w:val="List Continue 5"/>
    <w:basedOn w:val="Normal"/>
    <w:uiPriority w:val="99"/>
    <w:semiHidden/>
    <w:unhideWhenUsed/>
    <w:pPr>
      <w:spacing w:after="120"/>
      <w:ind w:left="1415"/>
      <w:contextualSpacing/>
    </w:pPr>
  </w:style>
  <w:style w:type="paragraph" w:styleId="ListNumber5">
    <w:name w:val="List Number 5"/>
    <w:basedOn w:val="Normal"/>
    <w:uiPriority w:val="99"/>
    <w:semiHidden/>
    <w:unhideWhenUsed/>
    <w:pPr>
      <w:numPr>
        <w:numId w:val="2"/>
      </w:numPr>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pPr>
    <w:rPr>
      <w:rFonts w:cs="Consolas"/>
      <w:lang w:val="en-GB"/>
    </w:rPr>
  </w:style>
  <w:style w:type="character" w:customStyle="1" w:styleId="MacroTextChar">
    <w:name w:val="Macro Text Char"/>
    <w:basedOn w:val="DefaultParagraphFont"/>
    <w:link w:val="MacroText"/>
    <w:uiPriority w:val="99"/>
    <w:semiHidden/>
    <w:rPr>
      <w:rFonts w:cs="Consolas"/>
      <w:lang w:val="en-GB"/>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9"/>
    <w:semiHidden/>
    <w:rPr>
      <w:rFonts w:eastAsiaTheme="majorEastAsia" w:cstheme="majorBidi"/>
      <w:sz w:val="24"/>
      <w:szCs w:val="24"/>
      <w:shd w:val="pct20" w:color="auto" w:fill="auto"/>
      <w:lang w:val="en-GB"/>
    </w:rPr>
  </w:style>
  <w:style w:type="paragraph" w:styleId="NormalIndent">
    <w:name w:val="Normal Indent"/>
    <w:basedOn w:val="Normal"/>
    <w:uiPriority w:val="99"/>
    <w:semiHidden/>
    <w:unhideWhenUsed/>
    <w:pPr>
      <w:ind w:left="720"/>
    </w:pPr>
  </w:style>
  <w:style w:type="paragraph" w:styleId="NoteHeading">
    <w:name w:val="Note Heading"/>
    <w:basedOn w:val="Normal"/>
    <w:next w:val="Normal"/>
    <w:link w:val="NoteHeadingChar"/>
    <w:uiPriority w:val="99"/>
    <w:semiHidden/>
    <w:unhideWhenUsed/>
  </w:style>
  <w:style w:type="character" w:customStyle="1" w:styleId="NoteHeadingChar">
    <w:name w:val="Note Heading Char"/>
    <w:basedOn w:val="DefaultParagraphFont"/>
    <w:link w:val="NoteHeading"/>
    <w:uiPriority w:val="99"/>
    <w:semiHidden/>
    <w:rPr>
      <w:lang w:val="en-GB"/>
    </w:rPr>
  </w:style>
  <w:style w:type="character" w:styleId="PageNumber">
    <w:name w:val="page number"/>
    <w:basedOn w:val="DefaultParagraphFont"/>
    <w:unhideWhenUsed/>
    <w:rPr>
      <w:rFonts w:ascii="EC Square Sans Pro" w:hAnsi="EC Square Sans Pro"/>
      <w:lang w:val="en-GB"/>
    </w:rPr>
  </w:style>
  <w:style w:type="character" w:styleId="PlaceholderText">
    <w:name w:val="Placeholder Text"/>
    <w:basedOn w:val="DefaultParagraphFont"/>
    <w:uiPriority w:val="99"/>
    <w:semiHidden/>
    <w:rPr>
      <w:rFonts w:ascii="EC Square Sans Pro" w:hAnsi="EC Square Sans Pro"/>
      <w:color w:val="808080"/>
      <w:lang w:val="en-GB"/>
    </w:rPr>
  </w:style>
  <w:style w:type="paragraph" w:styleId="PlainText">
    <w:name w:val="Plain Text"/>
    <w:basedOn w:val="Normal"/>
    <w:link w:val="PlainTextChar"/>
    <w:uiPriority w:val="99"/>
    <w:semiHidden/>
    <w:unhideWhenUsed/>
    <w:rPr>
      <w:rFonts w:cs="Consolas"/>
      <w:sz w:val="21"/>
      <w:szCs w:val="21"/>
    </w:rPr>
  </w:style>
  <w:style w:type="character" w:customStyle="1" w:styleId="PlainTextChar">
    <w:name w:val="Plain Text Char"/>
    <w:basedOn w:val="DefaultParagraphFont"/>
    <w:link w:val="PlainText"/>
    <w:uiPriority w:val="99"/>
    <w:semiHidden/>
    <w:rPr>
      <w:rFonts w:cs="Consolas"/>
      <w:sz w:val="21"/>
      <w:szCs w:val="21"/>
      <w:lang w:val="en-GB"/>
    </w:rPr>
  </w:style>
  <w:style w:type="paragraph" w:styleId="Salutation">
    <w:name w:val="Salutation"/>
    <w:basedOn w:val="Normal"/>
    <w:next w:val="Normal"/>
    <w:link w:val="SalutationChar"/>
    <w:uiPriority w:val="99"/>
    <w:semiHidden/>
    <w:unhideWhenUsed/>
  </w:style>
  <w:style w:type="character" w:customStyle="1" w:styleId="SalutationChar">
    <w:name w:val="Salutation Char"/>
    <w:basedOn w:val="DefaultParagraphFont"/>
    <w:link w:val="Salutation"/>
    <w:uiPriority w:val="99"/>
    <w:semiHidden/>
    <w:rPr>
      <w:lang w:val="en-GB"/>
    </w:rPr>
  </w:style>
  <w:style w:type="paragraph" w:styleId="Signature">
    <w:name w:val="Signature"/>
    <w:link w:val="SignatureChar"/>
    <w:uiPriority w:val="99"/>
    <w:pPr>
      <w:spacing w:before="400"/>
      <w:contextualSpacing/>
    </w:pPr>
    <w:rPr>
      <w:sz w:val="22"/>
      <w:szCs w:val="22"/>
      <w:lang w:val="en-GB"/>
    </w:rPr>
  </w:style>
  <w:style w:type="character" w:customStyle="1" w:styleId="SignatureChar">
    <w:name w:val="Signature Char"/>
    <w:basedOn w:val="DefaultParagraphFont"/>
    <w:link w:val="Signature"/>
    <w:uiPriority w:val="99"/>
    <w:rPr>
      <w:sz w:val="22"/>
      <w:szCs w:val="22"/>
      <w:lang w:val="en-GB"/>
    </w:rPr>
  </w:style>
  <w:style w:type="paragraph" w:styleId="TableofAuthorities">
    <w:name w:val="table of authorities"/>
    <w:basedOn w:val="Normal"/>
    <w:next w:val="Normal"/>
    <w:uiPriority w:val="99"/>
    <w:semiHidden/>
    <w:unhideWhenUsed/>
    <w:pPr>
      <w:ind w:left="200" w:hanging="200"/>
    </w:pPr>
  </w:style>
  <w:style w:type="paragraph" w:styleId="TOAHeading">
    <w:name w:val="toa heading"/>
    <w:basedOn w:val="amprH1TITLE-noTOC"/>
    <w:next w:val="Normal"/>
    <w:uiPriority w:val="99"/>
    <w:semiHidden/>
    <w:unhideWhenUsed/>
  </w:style>
  <w:style w:type="character" w:customStyle="1" w:styleId="BOLDBLUE">
    <w:name w:val="BOLD BLUE"/>
    <w:basedOn w:val="BodyTextChar"/>
    <w:uiPriority w:val="40"/>
    <w:semiHidden/>
    <w:qFormat/>
    <w:rPr>
      <w:rFonts w:eastAsia="EC Square Sans Pro" w:cs="Times New Roman"/>
      <w:b/>
      <w:color w:val="003399" w:themeColor="text2"/>
      <w:szCs w:val="21"/>
      <w:lang w:val="en-GB" w:eastAsia="fr-BE"/>
    </w:rPr>
  </w:style>
  <w:style w:type="table" w:styleId="ListTable2-Accent2">
    <w:name w:val="List Table 2 Accent 2"/>
    <w:basedOn w:val="TableNormal"/>
    <w:uiPriority w:val="47"/>
    <w:pPr>
      <w:spacing w:after="0" w:line="240" w:lineRule="auto"/>
    </w:pPr>
    <w:tblPr>
      <w:tblStyleRowBandSize w:val="1"/>
      <w:tblStyleColBandSize w:val="1"/>
      <w:tblBorders>
        <w:top w:val="single" w:sz="4" w:space="0" w:color="FD9C54" w:themeColor="accent2" w:themeTint="99"/>
        <w:bottom w:val="single" w:sz="4" w:space="0" w:color="FD9C54" w:themeColor="accent2" w:themeTint="99"/>
        <w:insideH w:val="single" w:sz="4" w:space="0" w:color="FD9C5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paragraph" w:styleId="Header">
    <w:name w:val="header"/>
    <w:basedOn w:val="amprHeader-Right"/>
    <w:link w:val="HeaderChar"/>
    <w:unhideWhenUsed/>
  </w:style>
  <w:style w:type="character" w:customStyle="1" w:styleId="HeaderChar">
    <w:name w:val="Header Char"/>
    <w:basedOn w:val="DefaultParagraphFont"/>
    <w:link w:val="Header"/>
    <w:rPr>
      <w:rFonts w:eastAsia="EC Square Sans Pro" w:cs="Times New Roman"/>
      <w:color w:val="767676"/>
      <w:szCs w:val="21"/>
      <w:lang w:val="en-GB" w:eastAsia="zh-CN"/>
    </w:rPr>
  </w:style>
  <w:style w:type="paragraph" w:styleId="NormalWeb">
    <w:name w:val="Normal (Web)"/>
    <w:basedOn w:val="Normal"/>
    <w:uiPriority w:val="99"/>
    <w:unhideWhenUsed/>
    <w:pPr>
      <w:spacing w:before="100" w:beforeAutospacing="1" w:after="100" w:afterAutospacing="1"/>
    </w:pPr>
    <w:rPr>
      <w:rFonts w:ascii="Times New Roman" w:eastAsia="Times New Roman" w:hAnsi="Times New Roman"/>
      <w:sz w:val="24"/>
      <w:szCs w:val="24"/>
      <w:lang w:eastAsia="en-GB"/>
    </w:rPr>
  </w:style>
  <w:style w:type="paragraph" w:styleId="FootnoteText">
    <w:name w:val="footnote text"/>
    <w:aliases w:val="fn,footnote text,footnote text Char Char,Car,Footnote Text Char2 Char,Footnote Text Char Char Char1,Footnote Text Char1 Char Char Char,Footnote Text Char2 Char Char Char Char,Footnote Text Char1 Char1 Char Char Char Char,Car Car Ca"/>
    <w:basedOn w:val="BASE-STYLE-TEXT"/>
    <w:link w:val="FootnoteTextChar"/>
    <w:uiPriority w:val="99"/>
    <w:unhideWhenUsed/>
    <w:qFormat/>
    <w:pPr>
      <w:spacing w:after="0" w:line="240" w:lineRule="auto"/>
      <w:ind w:left="357" w:hanging="357"/>
      <w:jc w:val="left"/>
    </w:pPr>
    <w:rPr>
      <w:sz w:val="20"/>
      <w:szCs w:val="20"/>
    </w:rPr>
  </w:style>
  <w:style w:type="character" w:customStyle="1" w:styleId="FootnoteTextChar">
    <w:name w:val="Footnote Text Char"/>
    <w:aliases w:val="fn Char,footnote text Char,footnote text Char Char Char,Car Char,Footnote Text Char2 Char Char,Footnote Text Char Char Char1 Char,Footnote Text Char1 Char Char Char Char,Footnote Text Char2 Char Char Char Char Char,Car Car Ca Char"/>
    <w:basedOn w:val="DefaultParagraphFont"/>
    <w:link w:val="FootnoteText"/>
    <w:uiPriority w:val="99"/>
    <w:qFormat/>
    <w:rPr>
      <w:rFonts w:eastAsia="EC Square Sans Pro" w:cs="Times New Roman"/>
      <w:color w:val="000000" w:themeColor="text1"/>
      <w:lang w:val="en-GB" w:eastAsia="zh-CN"/>
    </w:rPr>
  </w:style>
  <w:style w:type="paragraph" w:customStyle="1" w:styleId="amprTable-ChartSOURCEandPhotoCAPTION">
    <w:name w:val="[ampr] Table-Chart SOURCE and Photo CAPTION"/>
    <w:next w:val="amprBodyText"/>
    <w:uiPriority w:val="2"/>
    <w:qFormat/>
    <w:pPr>
      <w:spacing w:before="40"/>
      <w:contextualSpacing/>
    </w:pPr>
    <w:rPr>
      <w:rFonts w:eastAsia="Calibri"/>
      <w:iCs/>
      <w:noProof/>
      <w:sz w:val="16"/>
      <w:szCs w:val="16"/>
      <w:lang w:val="en-GB" w:eastAsia="fr-BE"/>
    </w:rPr>
  </w:style>
  <w:style w:type="table" w:customStyle="1" w:styleId="AMPR2021">
    <w:name w:val="AMPR_2021"/>
    <w:basedOn w:val="TableNormal"/>
    <w:uiPriority w:val="99"/>
    <w:pPr>
      <w:spacing w:before="100" w:after="100"/>
    </w:pPr>
    <w:rPr>
      <w:lang w:val="en-GB"/>
    </w:rPr>
    <w:tblPr>
      <w:tblStyleRowBandSize w:val="1"/>
      <w:tblStyleColBandSize w:val="1"/>
      <w:tblBorders>
        <w:top w:val="single" w:sz="4" w:space="0" w:color="8C8C8C"/>
        <w:bottom w:val="single" w:sz="4" w:space="0" w:color="8C8C8C"/>
        <w:insideH w:val="single" w:sz="4" w:space="0" w:color="8C8C8C"/>
      </w:tblBorders>
    </w:tblPr>
    <w:trPr>
      <w:cantSplit/>
    </w:trPr>
    <w:tblStylePr w:type="firstRow">
      <w:pPr>
        <w:wordWrap/>
        <w:jc w:val="center"/>
      </w:pPr>
      <w:rPr>
        <w:b/>
        <w:color w:val="FFFFFF" w:themeColor="background1"/>
      </w:rPr>
      <w:tblPr/>
      <w:tcPr>
        <w:tcBorders>
          <w:top w:val="nil"/>
          <w:left w:val="nil"/>
          <w:bottom w:val="nil"/>
          <w:right w:val="nil"/>
          <w:insideH w:val="nil"/>
          <w:insideV w:val="nil"/>
          <w:tl2br w:val="nil"/>
          <w:tr2bl w:val="nil"/>
        </w:tcBorders>
        <w:shd w:val="clear" w:color="auto" w:fill="003399" w:themeFill="text2"/>
      </w:tcPr>
    </w:tblStylePr>
    <w:tblStylePr w:type="lastRow">
      <w:rPr>
        <w:b/>
        <w:color w:val="003399" w:themeColor="text2"/>
      </w:rPr>
      <w:tblPr/>
      <w:tcPr>
        <w:tcBorders>
          <w:bottom w:val="nil"/>
        </w:tcBorders>
        <w:shd w:val="clear" w:color="auto" w:fill="FFFFFF" w:themeFill="background1"/>
      </w:tcPr>
    </w:tblStylePr>
    <w:tblStylePr w:type="firstCol">
      <w:pPr>
        <w:wordWrap/>
        <w:spacing w:beforeLines="0" w:before="100" w:beforeAutospacing="0" w:afterLines="0" w:after="100" w:afterAutospacing="0" w:line="22" w:lineRule="atLeast"/>
        <w:contextualSpacing w:val="0"/>
        <w:jc w:val="left"/>
      </w:pPr>
      <w:rPr>
        <w:b/>
        <w:i w:val="0"/>
        <w:color w:val="008139" w:themeColor="accent1"/>
      </w:rPr>
    </w:tblStylePr>
    <w:tblStylePr w:type="lastCol">
      <w:rPr>
        <w:b/>
      </w:rPr>
    </w:tblStylePr>
    <w:tblStylePr w:type="band2Vert">
      <w:rPr>
        <w:b w:val="0"/>
      </w:rPr>
      <w:tblPr/>
      <w:tcPr>
        <w:tcBorders>
          <w:top w:val="single" w:sz="4" w:space="0" w:color="8C8C8C"/>
          <w:left w:val="nil"/>
          <w:bottom w:val="single" w:sz="4" w:space="0" w:color="8C8C8C"/>
          <w:right w:val="nil"/>
          <w:insideH w:val="single" w:sz="4" w:space="0" w:color="8C8C8C"/>
          <w:insideV w:val="nil"/>
          <w:tl2br w:val="nil"/>
          <w:tr2bl w:val="nil"/>
        </w:tcBorders>
        <w:shd w:val="clear" w:color="auto" w:fill="F2F2F2" w:themeFill="background1" w:themeFillShade="F2"/>
      </w:tcPr>
    </w:tblStylePr>
    <w:tblStylePr w:type="band1Horz">
      <w:rPr>
        <w:b w:val="0"/>
      </w:rPr>
      <w:tblPr/>
      <w:tcPr>
        <w:tcBorders>
          <w:top w:val="single" w:sz="4" w:space="0" w:color="8C8C8C"/>
          <w:left w:val="nil"/>
          <w:bottom w:val="single" w:sz="4" w:space="0" w:color="8C8C8C"/>
          <w:right w:val="nil"/>
          <w:insideH w:val="nil"/>
          <w:insideV w:val="nil"/>
          <w:tl2br w:val="nil"/>
          <w:tr2bl w:val="nil"/>
        </w:tcBorders>
      </w:tcPr>
    </w:tblStylePr>
    <w:tblStylePr w:type="band2Horz">
      <w:rPr>
        <w:b w:val="0"/>
      </w:rPr>
      <w:tblPr/>
      <w:tcPr>
        <w:tcBorders>
          <w:top w:val="single" w:sz="4" w:space="0" w:color="8C8C8C"/>
          <w:left w:val="nil"/>
          <w:bottom w:val="single" w:sz="4" w:space="0" w:color="8C8C8C"/>
          <w:right w:val="nil"/>
          <w:insideH w:val="nil"/>
          <w:insideV w:val="nil"/>
          <w:tl2br w:val="nil"/>
          <w:tr2bl w:val="nil"/>
        </w:tcBorders>
        <w:shd w:val="clear" w:color="auto" w:fill="F2F2F2" w:themeFill="background1" w:themeFillShade="F2"/>
      </w:tcPr>
    </w:tblStylePr>
  </w:style>
  <w:style w:type="numbering" w:customStyle="1" w:styleId="Style1">
    <w:name w:val="Style1"/>
    <w:uiPriority w:val="99"/>
    <w:pPr>
      <w:numPr>
        <w:numId w:val="3"/>
      </w:numPr>
    </w:pPr>
  </w:style>
  <w:style w:type="paragraph" w:styleId="Caption">
    <w:name w:val="caption"/>
    <w:basedOn w:val="Normal"/>
    <w:next w:val="Normal"/>
    <w:link w:val="CaptionChar"/>
    <w:unhideWhenUsed/>
    <w:qFormat/>
    <w:pPr>
      <w:spacing w:before="0" w:after="200"/>
    </w:pPr>
    <w:rPr>
      <w:i/>
      <w:iCs/>
      <w:color w:val="003399" w:themeColor="text2"/>
      <w:sz w:val="18"/>
      <w:szCs w:val="18"/>
    </w:rPr>
  </w:style>
  <w:style w:type="paragraph" w:styleId="CommentText">
    <w:name w:val="annotation text"/>
    <w:basedOn w:val="Normal"/>
    <w:link w:val="CommentTextChar"/>
    <w:uiPriority w:val="99"/>
    <w:unhideWhenUsed/>
    <w:qFormat/>
  </w:style>
  <w:style w:type="character" w:customStyle="1" w:styleId="CommentTextChar">
    <w:name w:val="Comment Text Char"/>
    <w:basedOn w:val="DefaultParagraphFont"/>
    <w:link w:val="CommentText"/>
    <w:uiPriority w:val="99"/>
    <w:rPr>
      <w:lang w:val="en-GB"/>
    </w:rPr>
  </w:style>
  <w:style w:type="paragraph" w:styleId="IntenseQuote">
    <w:name w:val="Intense Quote"/>
    <w:basedOn w:val="Normal"/>
    <w:next w:val="Normal"/>
    <w:link w:val="IntenseQuoteChar"/>
    <w:uiPriority w:val="30"/>
    <w:semiHidden/>
    <w:pPr>
      <w:keepLines/>
      <w:pBdr>
        <w:top w:val="single" w:sz="4" w:space="10" w:color="008139" w:themeColor="accent1"/>
        <w:bottom w:val="single" w:sz="4" w:space="10" w:color="008139" w:themeColor="accent1"/>
      </w:pBdr>
      <w:spacing w:before="360" w:after="360"/>
      <w:ind w:left="851" w:right="851"/>
      <w:jc w:val="center"/>
    </w:pPr>
    <w:rPr>
      <w:i/>
      <w:iCs/>
      <w:color w:val="003399" w:themeColor="text2"/>
    </w:rPr>
  </w:style>
  <w:style w:type="character" w:customStyle="1" w:styleId="IntenseQuoteChar">
    <w:name w:val="Intense Quote Char"/>
    <w:basedOn w:val="DefaultParagraphFont"/>
    <w:link w:val="IntenseQuote"/>
    <w:uiPriority w:val="30"/>
    <w:rPr>
      <w:i/>
      <w:iCs/>
      <w:color w:val="003399" w:themeColor="text2"/>
      <w:lang w:val="en-GB"/>
    </w:rPr>
  </w:style>
  <w:style w:type="paragraph" w:styleId="NoSpacing">
    <w:name w:val="No Spacing"/>
    <w:uiPriority w:val="1"/>
    <w:pPr>
      <w:spacing w:before="0" w:after="0"/>
    </w:pPr>
    <w:rPr>
      <w:lang w:val="en-GB"/>
    </w:rPr>
  </w:style>
  <w:style w:type="paragraph" w:customStyle="1" w:styleId="BASE-STYLE-TEXT">
    <w:name w:val="_BASE-STYLE-TEXT"/>
    <w:next w:val="Normal"/>
    <w:uiPriority w:val="40"/>
    <w:semiHidden/>
    <w:pPr>
      <w:spacing w:before="0" w:after="200"/>
      <w:jc w:val="both"/>
    </w:pPr>
    <w:rPr>
      <w:rFonts w:eastAsia="EC Square Sans Pro" w:cs="Times New Roman"/>
      <w:color w:val="000000" w:themeColor="text1"/>
      <w:sz w:val="18"/>
      <w:szCs w:val="21"/>
      <w:lang w:val="en-GB" w:eastAsia="zh-CN"/>
    </w:rPr>
  </w:style>
  <w:style w:type="paragraph" w:customStyle="1" w:styleId="BASE-STYLE-HEADINGS">
    <w:name w:val="_BASE-STYLE-HEADINGS"/>
    <w:basedOn w:val="BASE-STYLE-TEXT"/>
    <w:next w:val="Normal"/>
    <w:uiPriority w:val="40"/>
    <w:semiHidden/>
  </w:style>
  <w:style w:type="paragraph" w:customStyle="1" w:styleId="amprboxBLUEtext">
    <w:name w:val="[ampr box BLUE] text"/>
    <w:basedOn w:val="BASE-STYLE-TEXT"/>
    <w:uiPriority w:val="5"/>
    <w:qFormat/>
    <w:pPr>
      <w:pBdr>
        <w:top w:val="single" w:sz="12" w:space="8" w:color="003399" w:themeColor="text2"/>
        <w:left w:val="single" w:sz="12" w:space="8" w:color="003399" w:themeColor="text2"/>
        <w:bottom w:val="single" w:sz="12" w:space="8" w:color="003399" w:themeColor="text2"/>
        <w:right w:val="single" w:sz="12" w:space="8" w:color="003399" w:themeColor="text2"/>
      </w:pBdr>
      <w:shd w:val="clear" w:color="auto" w:fill="003399" w:themeFill="text2"/>
      <w:spacing w:before="240" w:after="240"/>
    </w:pPr>
    <w:rPr>
      <w:color w:val="FFFFFF" w:themeColor="background1"/>
      <w:sz w:val="20"/>
      <w:lang w:eastAsia="fr-BE"/>
    </w:rPr>
  </w:style>
  <w:style w:type="paragraph" w:customStyle="1" w:styleId="amprboxGREENdashedbulletlist">
    <w:name w:val="[ampr box GREEN dashed] bullet list"/>
    <w:basedOn w:val="amprboxGREENdashedtext"/>
    <w:uiPriority w:val="5"/>
    <w:qFormat/>
    <w:pPr>
      <w:numPr>
        <w:numId w:val="7"/>
      </w:numPr>
      <w:spacing w:before="60" w:after="60"/>
      <w:ind w:left="357" w:hanging="357"/>
    </w:pPr>
  </w:style>
  <w:style w:type="paragraph" w:customStyle="1" w:styleId="amprboxGREENdashedheading">
    <w:name w:val="[ampr box GREEN dashed] heading"/>
    <w:basedOn w:val="amprboxGREENdashedtext"/>
    <w:next w:val="Normal"/>
    <w:uiPriority w:val="5"/>
    <w:qFormat/>
    <w:pPr>
      <w:keepNext/>
    </w:pPr>
    <w:rPr>
      <w:b/>
      <w:color w:val="008139" w:themeColor="accent1"/>
    </w:rPr>
  </w:style>
  <w:style w:type="paragraph" w:customStyle="1" w:styleId="amprboxGREENdashedtext">
    <w:name w:val="[ampr box GREEN dashed] text"/>
    <w:basedOn w:val="BASE-STYLE-TEXT"/>
    <w:uiPriority w:val="5"/>
    <w:qFormat/>
    <w:pPr>
      <w:keepLines/>
      <w:pBdr>
        <w:top w:val="dashSmallGap" w:sz="12" w:space="8" w:color="008139" w:themeColor="accent1"/>
        <w:left w:val="dashSmallGap" w:sz="12" w:space="8" w:color="008139" w:themeColor="accent1"/>
        <w:bottom w:val="dashSmallGap" w:sz="12" w:space="8" w:color="008139" w:themeColor="accent1"/>
        <w:right w:val="dashSmallGap" w:sz="12" w:space="8" w:color="008139" w:themeColor="accent1"/>
      </w:pBdr>
      <w:spacing w:before="240" w:after="240"/>
    </w:pPr>
    <w:rPr>
      <w:sz w:val="20"/>
      <w:lang w:eastAsia="fr-BE"/>
    </w:rPr>
  </w:style>
  <w:style w:type="character" w:customStyle="1" w:styleId="amprcharCharttitle">
    <w:name w:val="[ampr char] Chart title"/>
    <w:qFormat/>
    <w:rsid w:val="00B56BE7"/>
    <w:rPr>
      <w:b/>
      <w:color w:val="DE6002" w:themeColor="accent2"/>
      <w:spacing w:val="1"/>
      <w:bdr w:val="none" w:sz="0" w:space="0" w:color="auto"/>
      <w:shd w:val="clear" w:color="auto" w:fill="auto"/>
      <w:lang w:val="en-GB"/>
    </w:rPr>
  </w:style>
  <w:style w:type="numbering" w:customStyle="1" w:styleId="amprLISTblackbullets">
    <w:name w:val="[ampr LIST black]  bullets"/>
    <w:uiPriority w:val="99"/>
    <w:pPr>
      <w:numPr>
        <w:numId w:val="4"/>
      </w:numPr>
    </w:pPr>
  </w:style>
  <w:style w:type="paragraph" w:customStyle="1" w:styleId="amprLISTblackbullets-L1">
    <w:name w:val="[ampr LIST black] bullets - L1"/>
    <w:basedOn w:val="BASE-STYLE-TEXT"/>
    <w:uiPriority w:val="5"/>
    <w:qFormat/>
    <w:pPr>
      <w:numPr>
        <w:numId w:val="5"/>
      </w:numPr>
      <w:spacing w:before="60" w:after="60"/>
    </w:pPr>
    <w:rPr>
      <w:sz w:val="20"/>
      <w:lang w:eastAsia="fr-BE"/>
    </w:rPr>
  </w:style>
  <w:style w:type="paragraph" w:customStyle="1" w:styleId="amprLISTblackbullets-L2">
    <w:name w:val="[ampr LIST black] bullets - L2"/>
    <w:basedOn w:val="BASE-STYLE-TEXT"/>
    <w:uiPriority w:val="5"/>
    <w:qFormat/>
    <w:pPr>
      <w:numPr>
        <w:ilvl w:val="1"/>
        <w:numId w:val="5"/>
      </w:numPr>
      <w:spacing w:before="60" w:after="60"/>
      <w:ind w:left="1434" w:hanging="357"/>
    </w:pPr>
    <w:rPr>
      <w:sz w:val="20"/>
      <w:lang w:eastAsia="fr-BE"/>
    </w:rPr>
  </w:style>
  <w:style w:type="numbering" w:customStyle="1" w:styleId="amprLISTgreenbullets">
    <w:name w:val="[ampr LIST green] bullets"/>
    <w:uiPriority w:val="99"/>
    <w:pPr>
      <w:numPr>
        <w:numId w:val="6"/>
      </w:numPr>
    </w:pPr>
  </w:style>
  <w:style w:type="paragraph" w:customStyle="1" w:styleId="amprLISTgreenbullets-L1">
    <w:name w:val="[ampr LIST green] bullets - L1"/>
    <w:basedOn w:val="BASE-STYLE-TEXT"/>
    <w:uiPriority w:val="5"/>
    <w:qFormat/>
    <w:pPr>
      <w:numPr>
        <w:numId w:val="11"/>
      </w:numPr>
      <w:spacing w:before="60" w:after="60"/>
    </w:pPr>
    <w:rPr>
      <w:sz w:val="20"/>
      <w:lang w:eastAsia="fr-BE"/>
    </w:rPr>
  </w:style>
  <w:style w:type="paragraph" w:customStyle="1" w:styleId="amprLISTgreenbullets-L1consecutiveparagraph">
    <w:name w:val="[ampr LIST green] bullets - L1 (consecutive paragraph)"/>
    <w:basedOn w:val="amprLISTgreenbullets-L1"/>
    <w:uiPriority w:val="5"/>
    <w:qFormat/>
    <w:pPr>
      <w:numPr>
        <w:numId w:val="0"/>
      </w:numPr>
      <w:ind w:left="720"/>
    </w:pPr>
  </w:style>
  <w:style w:type="paragraph" w:customStyle="1" w:styleId="amprLISTgreenbullets-L2">
    <w:name w:val="[ampr LIST green] bullets - L2"/>
    <w:basedOn w:val="BASE-STYLE-TEXT"/>
    <w:uiPriority w:val="5"/>
    <w:qFormat/>
    <w:pPr>
      <w:numPr>
        <w:ilvl w:val="1"/>
        <w:numId w:val="11"/>
      </w:numPr>
      <w:spacing w:before="60" w:after="60"/>
      <w:ind w:left="1434" w:hanging="357"/>
    </w:pPr>
    <w:rPr>
      <w:sz w:val="20"/>
      <w:lang w:eastAsia="fr-BE"/>
    </w:rPr>
  </w:style>
  <w:style w:type="paragraph" w:customStyle="1" w:styleId="OPcomment">
    <w:name w:val="OP comment"/>
    <w:uiPriority w:val="89"/>
    <w:semiHidden/>
    <w:qFormat/>
    <w:pPr>
      <w:pBdr>
        <w:top w:val="single" w:sz="48" w:space="31" w:color="595959" w:themeColor="text1" w:themeTint="A6"/>
        <w:left w:val="single" w:sz="48" w:space="31" w:color="595959" w:themeColor="text1" w:themeTint="A6"/>
        <w:bottom w:val="single" w:sz="48" w:space="31" w:color="595959" w:themeColor="text1" w:themeTint="A6"/>
        <w:right w:val="single" w:sz="48" w:space="31" w:color="595959" w:themeColor="text1" w:themeTint="A6"/>
      </w:pBdr>
      <w:shd w:val="clear" w:color="auto" w:fill="595959" w:themeFill="text1" w:themeFillTint="A6"/>
      <w:spacing w:before="0" w:line="288" w:lineRule="auto"/>
      <w:ind w:left="-660" w:right="-680"/>
    </w:pPr>
    <w:rPr>
      <w:rFonts w:cs="Arial"/>
      <w:color w:val="FFFFFF"/>
      <w:sz w:val="24"/>
      <w:lang w:val="en-GB"/>
    </w:rPr>
  </w:style>
  <w:style w:type="paragraph" w:customStyle="1" w:styleId="amprBodyText">
    <w:name w:val="[ampr] Body Text"/>
    <w:basedOn w:val="BASE-STYLE-TEXT"/>
    <w:uiPriority w:val="1"/>
    <w:qFormat/>
    <w:pPr>
      <w:spacing w:before="240" w:after="240"/>
      <w:jc w:val="left"/>
    </w:pPr>
    <w:rPr>
      <w:color w:val="auto"/>
      <w:sz w:val="20"/>
    </w:rPr>
  </w:style>
  <w:style w:type="paragraph" w:customStyle="1" w:styleId="amprTable-ChartTITLE">
    <w:name w:val="[ampr] Table-Chart TITLE"/>
    <w:basedOn w:val="BASE-STYLE-TEXT"/>
    <w:next w:val="amprTable-ChartSOURCEandPhotoCAPTION"/>
    <w:uiPriority w:val="2"/>
    <w:qFormat/>
    <w:pPr>
      <w:spacing w:before="40" w:after="0" w:line="240" w:lineRule="auto"/>
      <w:jc w:val="left"/>
    </w:pPr>
    <w:rPr>
      <w:rFonts w:ascii="EC Square Sans Cond Pro Medium" w:eastAsia="Calibri" w:hAnsi="EC Square Sans Cond Pro Medium"/>
      <w:color w:val="auto"/>
      <w:sz w:val="16"/>
      <w:szCs w:val="16"/>
      <w:lang w:eastAsia="fr-BE"/>
    </w:rPr>
  </w:style>
  <w:style w:type="paragraph" w:customStyle="1" w:styleId="amprFooter-Left">
    <w:name w:val="[ampr] Footer - Left"/>
    <w:basedOn w:val="BASE-STYLE-TEXT"/>
    <w:next w:val="amprBodyText"/>
    <w:uiPriority w:val="10"/>
    <w:qFormat/>
    <w:pPr>
      <w:spacing w:after="0" w:line="240" w:lineRule="auto"/>
      <w:jc w:val="left"/>
    </w:pPr>
    <w:rPr>
      <w:color w:val="auto"/>
      <w:sz w:val="20"/>
    </w:rPr>
  </w:style>
  <w:style w:type="paragraph" w:customStyle="1" w:styleId="amprFooter-Right">
    <w:name w:val="[ampr] Footer - Right"/>
    <w:basedOn w:val="BASE-STYLE-TEXT"/>
    <w:next w:val="amprBodyText"/>
    <w:uiPriority w:val="10"/>
    <w:qFormat/>
    <w:pPr>
      <w:spacing w:after="0" w:line="240" w:lineRule="auto"/>
      <w:jc w:val="right"/>
    </w:pPr>
    <w:rPr>
      <w:color w:val="auto"/>
      <w:sz w:val="20"/>
    </w:rPr>
  </w:style>
  <w:style w:type="paragraph" w:customStyle="1" w:styleId="amprHeader-Left">
    <w:name w:val="[ampr] Header - Left"/>
    <w:basedOn w:val="BASE-STYLE-TEXT"/>
    <w:next w:val="amprBodyText"/>
    <w:uiPriority w:val="10"/>
    <w:qFormat/>
    <w:pPr>
      <w:spacing w:after="0" w:line="240" w:lineRule="auto"/>
      <w:jc w:val="left"/>
    </w:pPr>
    <w:rPr>
      <w:color w:val="767676"/>
      <w:sz w:val="20"/>
    </w:rPr>
  </w:style>
  <w:style w:type="paragraph" w:customStyle="1" w:styleId="amprHeader-Right">
    <w:name w:val="[ampr] Header - Right"/>
    <w:basedOn w:val="BASE-STYLE-TEXT"/>
    <w:next w:val="amprBodyText"/>
    <w:uiPriority w:val="10"/>
    <w:qFormat/>
    <w:pPr>
      <w:spacing w:after="0" w:line="240" w:lineRule="auto"/>
      <w:jc w:val="right"/>
    </w:pPr>
    <w:rPr>
      <w:color w:val="767676"/>
      <w:sz w:val="20"/>
    </w:rPr>
  </w:style>
  <w:style w:type="paragraph" w:customStyle="1" w:styleId="amprImageplaceholder">
    <w:name w:val="[ampr] Image placeholder"/>
    <w:next w:val="amprBodyText"/>
    <w:uiPriority w:val="2"/>
    <w:qFormat/>
    <w:pPr>
      <w:spacing w:after="40" w:line="240" w:lineRule="auto"/>
      <w:jc w:val="center"/>
    </w:pPr>
    <w:rPr>
      <w:rFonts w:eastAsia="EC Square Sans Pro" w:cs="Times New Roman"/>
      <w:szCs w:val="21"/>
      <w:lang w:val="en-GB" w:eastAsia="zh-CN"/>
    </w:rPr>
  </w:style>
  <w:style w:type="paragraph" w:customStyle="1" w:styleId="amprH4Subhead1">
    <w:name w:val="[ampr H4] Subhead 1"/>
    <w:basedOn w:val="BASE-STYLE-HEADINGS"/>
    <w:next w:val="amprBodyText"/>
    <w:uiPriority w:val="9"/>
    <w:qFormat/>
    <w:pPr>
      <w:keepNext/>
      <w:keepLines/>
      <w:suppressAutoHyphens/>
      <w:spacing w:before="480" w:after="240"/>
      <w:jc w:val="left"/>
      <w:outlineLvl w:val="3"/>
    </w:pPr>
    <w:rPr>
      <w:color w:val="003399" w:themeColor="text2"/>
      <w:sz w:val="28"/>
    </w:rPr>
  </w:style>
  <w:style w:type="paragraph" w:customStyle="1" w:styleId="amprH5Subhead2">
    <w:name w:val="[ampr H5] Subhead 2"/>
    <w:basedOn w:val="BASE-STYLE-HEADINGS"/>
    <w:next w:val="amprBodyText"/>
    <w:uiPriority w:val="9"/>
    <w:qFormat/>
    <w:pPr>
      <w:keepNext/>
      <w:keepLines/>
      <w:suppressAutoHyphens/>
      <w:spacing w:before="480" w:after="240"/>
      <w:jc w:val="left"/>
      <w:outlineLvl w:val="4"/>
    </w:pPr>
    <w:rPr>
      <w:b/>
      <w:color w:val="003399" w:themeColor="text2"/>
      <w:sz w:val="24"/>
    </w:rPr>
  </w:style>
  <w:style w:type="paragraph" w:customStyle="1" w:styleId="amprH6Subhead3">
    <w:name w:val="[ampr H6] Subhead 3"/>
    <w:basedOn w:val="BASE-STYLE-HEADINGS"/>
    <w:next w:val="amprBodyText"/>
    <w:uiPriority w:val="9"/>
    <w:qFormat/>
    <w:pPr>
      <w:keepNext/>
      <w:keepLines/>
      <w:suppressAutoHyphens/>
      <w:spacing w:before="240" w:after="240"/>
      <w:ind w:left="340"/>
      <w:jc w:val="left"/>
      <w:outlineLvl w:val="5"/>
    </w:pPr>
    <w:rPr>
      <w:b/>
      <w:color w:val="008139" w:themeColor="accent1"/>
      <w:sz w:val="24"/>
      <w14:textOutline w14:w="9525" w14:cap="rnd" w14:cmpd="sng" w14:algn="ctr">
        <w14:noFill/>
        <w14:prstDash w14:val="solid"/>
        <w14:bevel/>
      </w14:textOutline>
    </w:rPr>
  </w:style>
  <w:style w:type="paragraph" w:customStyle="1" w:styleId="amprH2TITLE1">
    <w:name w:val="[ampr H2] TITLE 1"/>
    <w:basedOn w:val="BASE-STYLE-HEADINGS"/>
    <w:next w:val="amprBodyText"/>
    <w:uiPriority w:val="9"/>
    <w:qFormat/>
    <w:pPr>
      <w:keepNext/>
      <w:keepLines/>
      <w:pageBreakBefore/>
      <w:suppressAutoHyphens/>
      <w:spacing w:after="720"/>
      <w:jc w:val="left"/>
      <w:outlineLvl w:val="1"/>
    </w:pPr>
    <w:rPr>
      <w:color w:val="003399" w:themeColor="text2"/>
      <w:sz w:val="48"/>
    </w:rPr>
  </w:style>
  <w:style w:type="paragraph" w:customStyle="1" w:styleId="amprH1TITLE-noTOC">
    <w:name w:val="[ampr H1] TITLE - noTOC"/>
    <w:basedOn w:val="amprH2TITLE1"/>
    <w:next w:val="amprBodyText"/>
    <w:uiPriority w:val="9"/>
    <w:qFormat/>
    <w:pPr>
      <w:spacing w:after="480"/>
      <w:outlineLvl w:val="0"/>
    </w:pPr>
  </w:style>
  <w:style w:type="paragraph" w:customStyle="1" w:styleId="amprH3Title2">
    <w:name w:val="[ampr H3] Title 2"/>
    <w:basedOn w:val="BASE-STYLE-HEADINGS"/>
    <w:next w:val="amprBodyText"/>
    <w:uiPriority w:val="9"/>
    <w:qFormat/>
    <w:rsid w:val="00FB4DAD"/>
    <w:pPr>
      <w:keepNext/>
      <w:keepLines/>
      <w:pBdr>
        <w:bottom w:val="single" w:sz="6" w:space="1" w:color="DE6002" w:themeColor="accent2"/>
      </w:pBdr>
      <w:suppressAutoHyphens/>
      <w:spacing w:before="480" w:after="240"/>
      <w:jc w:val="left"/>
      <w:outlineLvl w:val="2"/>
    </w:pPr>
    <w:rPr>
      <w:b/>
      <w:color w:val="003399" w:themeColor="text2"/>
      <w:sz w:val="28"/>
    </w:rPr>
  </w:style>
  <w:style w:type="paragraph" w:customStyle="1" w:styleId="amprH4Subhead1-Numbered-111">
    <w:name w:val="[ampr H4] Subhead 1 - Numbered - 1.1.1."/>
    <w:basedOn w:val="amprH4Subhead1"/>
    <w:next w:val="amprBodyText"/>
    <w:uiPriority w:val="9"/>
    <w:qFormat/>
    <w:pPr>
      <w:numPr>
        <w:ilvl w:val="2"/>
        <w:numId w:val="13"/>
      </w:numPr>
    </w:pPr>
  </w:style>
  <w:style w:type="paragraph" w:customStyle="1" w:styleId="Hidelastparagraphafterthetable">
    <w:name w:val="_Hide last paragraph after the table"/>
    <w:next w:val="Normal"/>
    <w:uiPriority w:val="11"/>
    <w:pPr>
      <w:widowControl w:val="0"/>
      <w:spacing w:before="0" w:after="0" w:line="20" w:lineRule="exact"/>
    </w:pPr>
    <w:rPr>
      <w:rFonts w:asciiTheme="minorHAnsi" w:eastAsiaTheme="minorEastAsia" w:hAnsiTheme="minorHAnsi"/>
      <w:vanish/>
      <w:sz w:val="2"/>
      <w:szCs w:val="2"/>
      <w:lang w:val="en-GB"/>
    </w:rPr>
  </w:style>
  <w:style w:type="numbering" w:styleId="111111">
    <w:name w:val="Outline List 2"/>
    <w:basedOn w:val="NoList"/>
    <w:uiPriority w:val="99"/>
    <w:semiHidden/>
    <w:unhideWhenUsed/>
    <w:pPr>
      <w:numPr>
        <w:numId w:val="8"/>
      </w:numPr>
    </w:pPr>
  </w:style>
  <w:style w:type="numbering" w:styleId="1ai">
    <w:name w:val="Outline List 1"/>
    <w:basedOn w:val="NoList"/>
    <w:uiPriority w:val="99"/>
    <w:semiHidden/>
    <w:unhideWhenUsed/>
    <w:pPr>
      <w:numPr>
        <w:numId w:val="9"/>
      </w:numPr>
    </w:pPr>
  </w:style>
  <w:style w:type="numbering" w:styleId="ArticleSection">
    <w:name w:val="Outline List 3"/>
    <w:basedOn w:val="NoList"/>
    <w:uiPriority w:val="99"/>
    <w:semiHidden/>
    <w:unhideWhenUsed/>
    <w:pPr>
      <w:numPr>
        <w:numId w:val="10"/>
      </w:numPr>
    </w:pPr>
  </w:style>
  <w:style w:type="character" w:styleId="BookTitle">
    <w:name w:val="Book Title"/>
    <w:basedOn w:val="DefaultParagraphFont"/>
    <w:uiPriority w:val="33"/>
    <w:semiHidden/>
    <w:rPr>
      <w:b/>
      <w:bCs/>
      <w:i/>
      <w:iCs/>
      <w:spacing w:val="5"/>
      <w:lang w:val="en-GB"/>
    </w:rPr>
  </w:style>
  <w:style w:type="table" w:styleId="ColorfulGrid">
    <w:name w:val="Colorful Grid"/>
    <w:basedOn w:val="TableNormal"/>
    <w:uiPriority w:val="73"/>
    <w:semiHidden/>
    <w:unhideWhenUsed/>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B2FFD4" w:themeFill="accent1" w:themeFillTint="33"/>
    </w:tcPr>
    <w:tblStylePr w:type="firstRow">
      <w:rPr>
        <w:b/>
        <w:bCs/>
      </w:rPr>
      <w:tblPr/>
      <w:tcPr>
        <w:shd w:val="clear" w:color="auto" w:fill="66FFA9" w:themeFill="accent1" w:themeFillTint="66"/>
      </w:tcPr>
    </w:tblStylePr>
    <w:tblStylePr w:type="lastRow">
      <w:rPr>
        <w:b/>
        <w:bCs/>
        <w:color w:val="000000" w:themeColor="text1"/>
      </w:rPr>
      <w:tblPr/>
      <w:tcPr>
        <w:shd w:val="clear" w:color="auto" w:fill="66FFA9" w:themeFill="accent1" w:themeFillTint="66"/>
      </w:tcPr>
    </w:tblStylePr>
    <w:tblStylePr w:type="firstCol">
      <w:rPr>
        <w:color w:val="FFFFFF" w:themeColor="background1"/>
      </w:rPr>
      <w:tblPr/>
      <w:tcPr>
        <w:shd w:val="clear" w:color="auto" w:fill="00602A" w:themeFill="accent1" w:themeFillShade="BF"/>
      </w:tcPr>
    </w:tblStylePr>
    <w:tblStylePr w:type="lastCol">
      <w:rPr>
        <w:color w:val="FFFFFF" w:themeColor="background1"/>
      </w:rPr>
      <w:tblPr/>
      <w:tcPr>
        <w:shd w:val="clear" w:color="auto" w:fill="00602A" w:themeFill="accent1" w:themeFillShade="BF"/>
      </w:tcPr>
    </w:tblStylePr>
    <w:tblStylePr w:type="band1Vert">
      <w:tblPr/>
      <w:tcPr>
        <w:shd w:val="clear" w:color="auto" w:fill="41FF94" w:themeFill="accent1" w:themeFillTint="7F"/>
      </w:tcPr>
    </w:tblStylePr>
    <w:tblStylePr w:type="band1Horz">
      <w:tblPr/>
      <w:tcPr>
        <w:shd w:val="clear" w:color="auto" w:fill="41FF94" w:themeFill="accent1" w:themeFillTint="7F"/>
      </w:tcPr>
    </w:tblStylePr>
  </w:style>
  <w:style w:type="table" w:styleId="ColorfulGrid-Accent2">
    <w:name w:val="Colorful Grid Accent 2"/>
    <w:basedOn w:val="TableNormal"/>
    <w:uiPriority w:val="73"/>
    <w:semiHidden/>
    <w:unhideWhenUsed/>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EDEC6" w:themeFill="accent2" w:themeFillTint="33"/>
    </w:tcPr>
    <w:tblStylePr w:type="firstRow">
      <w:rPr>
        <w:b/>
        <w:bCs/>
      </w:rPr>
      <w:tblPr/>
      <w:tcPr>
        <w:shd w:val="clear" w:color="auto" w:fill="FEBD8D" w:themeFill="accent2" w:themeFillTint="66"/>
      </w:tcPr>
    </w:tblStylePr>
    <w:tblStylePr w:type="lastRow">
      <w:rPr>
        <w:b/>
        <w:bCs/>
        <w:color w:val="000000" w:themeColor="text1"/>
      </w:rPr>
      <w:tblPr/>
      <w:tcPr>
        <w:shd w:val="clear" w:color="auto" w:fill="FEBD8D" w:themeFill="accent2" w:themeFillTint="66"/>
      </w:tcPr>
    </w:tblStylePr>
    <w:tblStylePr w:type="firstCol">
      <w:rPr>
        <w:color w:val="FFFFFF" w:themeColor="background1"/>
      </w:rPr>
      <w:tblPr/>
      <w:tcPr>
        <w:shd w:val="clear" w:color="auto" w:fill="A64701" w:themeFill="accent2" w:themeFillShade="BF"/>
      </w:tcPr>
    </w:tblStylePr>
    <w:tblStylePr w:type="lastCol">
      <w:rPr>
        <w:color w:val="FFFFFF" w:themeColor="background1"/>
      </w:rPr>
      <w:tblPr/>
      <w:tcPr>
        <w:shd w:val="clear" w:color="auto" w:fill="A64701" w:themeFill="accent2" w:themeFillShade="BF"/>
      </w:tcPr>
    </w:tblStylePr>
    <w:tblStylePr w:type="band1Vert">
      <w:tblPr/>
      <w:tcPr>
        <w:shd w:val="clear" w:color="auto" w:fill="FDAC71" w:themeFill="accent2" w:themeFillTint="7F"/>
      </w:tcPr>
    </w:tblStylePr>
    <w:tblStylePr w:type="band1Horz">
      <w:tblPr/>
      <w:tcPr>
        <w:shd w:val="clear" w:color="auto" w:fill="FDAC71" w:themeFill="accent2" w:themeFillTint="7F"/>
      </w:tcPr>
    </w:tblStylePr>
  </w:style>
  <w:style w:type="table" w:styleId="ColorfulGrid-Accent3">
    <w:name w:val="Colorful Grid Accent 3"/>
    <w:basedOn w:val="TableNormal"/>
    <w:uiPriority w:val="73"/>
    <w:semiHidden/>
    <w:unhideWhenUsed/>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D3E7FE" w:themeFill="accent3" w:themeFillTint="33"/>
    </w:tcPr>
    <w:tblStylePr w:type="firstRow">
      <w:rPr>
        <w:b/>
        <w:bCs/>
      </w:rPr>
      <w:tblPr/>
      <w:tcPr>
        <w:shd w:val="clear" w:color="auto" w:fill="A8CFFE" w:themeFill="accent3" w:themeFillTint="66"/>
      </w:tcPr>
    </w:tblStylePr>
    <w:tblStylePr w:type="lastRow">
      <w:rPr>
        <w:b/>
        <w:bCs/>
        <w:color w:val="000000" w:themeColor="text1"/>
      </w:rPr>
      <w:tblPr/>
      <w:tcPr>
        <w:shd w:val="clear" w:color="auto" w:fill="A8CFFE" w:themeFill="accent3" w:themeFillTint="66"/>
      </w:tcPr>
    </w:tblStylePr>
    <w:tblStylePr w:type="firstCol">
      <w:rPr>
        <w:color w:val="FFFFFF" w:themeColor="background1"/>
      </w:rPr>
      <w:tblPr/>
      <w:tcPr>
        <w:shd w:val="clear" w:color="auto" w:fill="0162D9" w:themeFill="accent3" w:themeFillShade="BF"/>
      </w:tcPr>
    </w:tblStylePr>
    <w:tblStylePr w:type="lastCol">
      <w:rPr>
        <w:color w:val="FFFFFF" w:themeColor="background1"/>
      </w:rPr>
      <w:tblPr/>
      <w:tcPr>
        <w:shd w:val="clear" w:color="auto" w:fill="0162D9" w:themeFill="accent3" w:themeFillShade="BF"/>
      </w:tcPr>
    </w:tblStylePr>
    <w:tblStylePr w:type="band1Vert">
      <w:tblPr/>
      <w:tcPr>
        <w:shd w:val="clear" w:color="auto" w:fill="92C3FE" w:themeFill="accent3" w:themeFillTint="7F"/>
      </w:tcPr>
    </w:tblStylePr>
    <w:tblStylePr w:type="band1Horz">
      <w:tblPr/>
      <w:tcPr>
        <w:shd w:val="clear" w:color="auto" w:fill="92C3FE" w:themeFill="accent3" w:themeFillTint="7F"/>
      </w:tcPr>
    </w:tblStylePr>
  </w:style>
  <w:style w:type="table" w:styleId="ColorfulGrid-Accent4">
    <w:name w:val="Colorful Grid Accent 4"/>
    <w:basedOn w:val="TableNormal"/>
    <w:uiPriority w:val="73"/>
    <w:semiHidden/>
    <w:unhideWhenUsed/>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EEECD" w:themeFill="accent4" w:themeFillTint="33"/>
    </w:tcPr>
    <w:tblStylePr w:type="firstRow">
      <w:rPr>
        <w:b/>
        <w:bCs/>
      </w:rPr>
      <w:tblPr/>
      <w:tcPr>
        <w:shd w:val="clear" w:color="auto" w:fill="FEDD9B" w:themeFill="accent4" w:themeFillTint="66"/>
      </w:tcPr>
    </w:tblStylePr>
    <w:tblStylePr w:type="lastRow">
      <w:rPr>
        <w:b/>
        <w:bCs/>
        <w:color w:val="000000" w:themeColor="text1"/>
      </w:rPr>
      <w:tblPr/>
      <w:tcPr>
        <w:shd w:val="clear" w:color="auto" w:fill="FEDD9B" w:themeFill="accent4" w:themeFillTint="66"/>
      </w:tcPr>
    </w:tblStylePr>
    <w:tblStylePr w:type="firstCol">
      <w:rPr>
        <w:color w:val="FFFFFF" w:themeColor="background1"/>
      </w:rPr>
      <w:tblPr/>
      <w:tcPr>
        <w:shd w:val="clear" w:color="auto" w:fill="C18101" w:themeFill="accent4" w:themeFillShade="BF"/>
      </w:tcPr>
    </w:tblStylePr>
    <w:tblStylePr w:type="lastCol">
      <w:rPr>
        <w:color w:val="FFFFFF" w:themeColor="background1"/>
      </w:rPr>
      <w:tblPr/>
      <w:tcPr>
        <w:shd w:val="clear" w:color="auto" w:fill="C18101" w:themeFill="accent4" w:themeFillShade="BF"/>
      </w:tcPr>
    </w:tblStylePr>
    <w:tblStylePr w:type="band1Vert">
      <w:tblPr/>
      <w:tcPr>
        <w:shd w:val="clear" w:color="auto" w:fill="FED583" w:themeFill="accent4" w:themeFillTint="7F"/>
      </w:tcPr>
    </w:tblStylePr>
    <w:tblStylePr w:type="band1Horz">
      <w:tblPr/>
      <w:tcPr>
        <w:shd w:val="clear" w:color="auto" w:fill="FED583" w:themeFill="accent4" w:themeFillTint="7F"/>
      </w:tcPr>
    </w:tblStylePr>
  </w:style>
  <w:style w:type="table" w:styleId="ColorfulGrid-Accent5">
    <w:name w:val="Colorful Grid Accent 5"/>
    <w:basedOn w:val="TableNormal"/>
    <w:uiPriority w:val="73"/>
    <w:semiHidden/>
    <w:unhideWhenUsed/>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ACEDD" w:themeFill="accent5" w:themeFillTint="33"/>
    </w:tcPr>
    <w:tblStylePr w:type="firstRow">
      <w:rPr>
        <w:b/>
        <w:bCs/>
      </w:rPr>
      <w:tblPr/>
      <w:tcPr>
        <w:shd w:val="clear" w:color="auto" w:fill="F59DBC" w:themeFill="accent5" w:themeFillTint="66"/>
      </w:tcPr>
    </w:tblStylePr>
    <w:tblStylePr w:type="lastRow">
      <w:rPr>
        <w:b/>
        <w:bCs/>
        <w:color w:val="000000" w:themeColor="text1"/>
      </w:rPr>
      <w:tblPr/>
      <w:tcPr>
        <w:shd w:val="clear" w:color="auto" w:fill="F59DBC" w:themeFill="accent5" w:themeFillTint="66"/>
      </w:tcPr>
    </w:tblStylePr>
    <w:tblStylePr w:type="firstCol">
      <w:rPr>
        <w:color w:val="FFFFFF" w:themeColor="background1"/>
      </w:rPr>
      <w:tblPr/>
      <w:tcPr>
        <w:shd w:val="clear" w:color="auto" w:fill="A41045" w:themeFill="accent5" w:themeFillShade="BF"/>
      </w:tcPr>
    </w:tblStylePr>
    <w:tblStylePr w:type="lastCol">
      <w:rPr>
        <w:color w:val="FFFFFF" w:themeColor="background1"/>
      </w:rPr>
      <w:tblPr/>
      <w:tcPr>
        <w:shd w:val="clear" w:color="auto" w:fill="A41045" w:themeFill="accent5" w:themeFillShade="BF"/>
      </w:tcPr>
    </w:tblStylePr>
    <w:tblStylePr w:type="band1Vert">
      <w:tblPr/>
      <w:tcPr>
        <w:shd w:val="clear" w:color="auto" w:fill="F285AC" w:themeFill="accent5" w:themeFillTint="7F"/>
      </w:tcPr>
    </w:tblStylePr>
    <w:tblStylePr w:type="band1Horz">
      <w:tblPr/>
      <w:tcPr>
        <w:shd w:val="clear" w:color="auto" w:fill="F285AC" w:themeFill="accent5" w:themeFillTint="7F"/>
      </w:tcPr>
    </w:tblStylePr>
  </w:style>
  <w:style w:type="table" w:styleId="ColorfulGrid-Accent6">
    <w:name w:val="Colorful Grid Accent 6"/>
    <w:basedOn w:val="TableNormal"/>
    <w:uiPriority w:val="73"/>
    <w:semiHidden/>
    <w:unhideWhenUsed/>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2D0F1" w:themeFill="accent6" w:themeFillTint="33"/>
    </w:tcPr>
    <w:tblStylePr w:type="firstRow">
      <w:rPr>
        <w:b/>
        <w:bCs/>
      </w:rPr>
      <w:tblPr/>
      <w:tcPr>
        <w:shd w:val="clear" w:color="auto" w:fill="C6A1E3" w:themeFill="accent6" w:themeFillTint="66"/>
      </w:tcPr>
    </w:tblStylePr>
    <w:tblStylePr w:type="lastRow">
      <w:rPr>
        <w:b/>
        <w:bCs/>
        <w:color w:val="000000" w:themeColor="text1"/>
      </w:rPr>
      <w:tblPr/>
      <w:tcPr>
        <w:shd w:val="clear" w:color="auto" w:fill="C6A1E3" w:themeFill="accent6" w:themeFillTint="66"/>
      </w:tcPr>
    </w:tblStylePr>
    <w:tblStylePr w:type="firstCol">
      <w:rPr>
        <w:color w:val="FFFFFF" w:themeColor="background1"/>
      </w:rPr>
      <w:tblPr/>
      <w:tcPr>
        <w:shd w:val="clear" w:color="auto" w:fill="532477" w:themeFill="accent6" w:themeFillShade="BF"/>
      </w:tcPr>
    </w:tblStylePr>
    <w:tblStylePr w:type="lastCol">
      <w:rPr>
        <w:color w:val="FFFFFF" w:themeColor="background1"/>
      </w:rPr>
      <w:tblPr/>
      <w:tcPr>
        <w:shd w:val="clear" w:color="auto" w:fill="532477" w:themeFill="accent6" w:themeFillShade="BF"/>
      </w:tcPr>
    </w:tblStylePr>
    <w:tblStylePr w:type="band1Vert">
      <w:tblPr/>
      <w:tcPr>
        <w:shd w:val="clear" w:color="auto" w:fill="B98BDC" w:themeFill="accent6" w:themeFillTint="7F"/>
      </w:tcPr>
    </w:tblStylePr>
    <w:tblStylePr w:type="band1Horz">
      <w:tblPr/>
      <w:tcPr>
        <w:shd w:val="clear" w:color="auto" w:fill="B98BDC" w:themeFill="accent6" w:themeFillTint="7F"/>
      </w:tcPr>
    </w:tblStylePr>
  </w:style>
  <w:style w:type="table" w:styleId="ColorfulList">
    <w:name w:val="Colorful List"/>
    <w:basedOn w:val="TableNormal"/>
    <w:uiPriority w:val="72"/>
    <w:semiHidden/>
    <w:unhideWhenUsed/>
    <w:pPr>
      <w:spacing w:before="0"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14C01" w:themeFill="accent2" w:themeFillShade="CC"/>
      </w:tcPr>
    </w:tblStylePr>
    <w:tblStylePr w:type="lastRow">
      <w:rPr>
        <w:b/>
        <w:bCs/>
        <w:color w:val="B14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pPr>
      <w:spacing w:before="0" w:after="0"/>
    </w:pPr>
    <w:rPr>
      <w:color w:val="000000" w:themeColor="text1"/>
    </w:rPr>
    <w:tblPr>
      <w:tblStyleRowBandSize w:val="1"/>
      <w:tblStyleColBandSize w:val="1"/>
    </w:tblPr>
    <w:tcPr>
      <w:shd w:val="clear" w:color="auto" w:fill="D9FFE9" w:themeFill="accent1" w:themeFillTint="19"/>
    </w:tcPr>
    <w:tblStylePr w:type="firstRow">
      <w:rPr>
        <w:b/>
        <w:bCs/>
        <w:color w:val="FFFFFF" w:themeColor="background1"/>
      </w:rPr>
      <w:tblPr/>
      <w:tcPr>
        <w:tcBorders>
          <w:bottom w:val="single" w:sz="12" w:space="0" w:color="FFFFFF" w:themeColor="background1"/>
        </w:tcBorders>
        <w:shd w:val="clear" w:color="auto" w:fill="B14C01" w:themeFill="accent2" w:themeFillShade="CC"/>
      </w:tcPr>
    </w:tblStylePr>
    <w:tblStylePr w:type="lastRow">
      <w:rPr>
        <w:b/>
        <w:bCs/>
        <w:color w:val="B14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FFCA" w:themeFill="accent1" w:themeFillTint="3F"/>
      </w:tcPr>
    </w:tblStylePr>
    <w:tblStylePr w:type="band1Horz">
      <w:tblPr/>
      <w:tcPr>
        <w:shd w:val="clear" w:color="auto" w:fill="B2FFD4" w:themeFill="accent1" w:themeFillTint="33"/>
      </w:tcPr>
    </w:tblStylePr>
  </w:style>
  <w:style w:type="table" w:styleId="ColorfulList-Accent2">
    <w:name w:val="Colorful List Accent 2"/>
    <w:basedOn w:val="TableNormal"/>
    <w:uiPriority w:val="72"/>
    <w:semiHidden/>
    <w:unhideWhenUsed/>
    <w:pPr>
      <w:spacing w:before="0" w:after="0"/>
    </w:pPr>
    <w:rPr>
      <w:color w:val="000000" w:themeColor="text1"/>
    </w:rPr>
    <w:tblPr>
      <w:tblStyleRowBandSize w:val="1"/>
      <w:tblStyleColBandSize w:val="1"/>
    </w:tblPr>
    <w:tcPr>
      <w:shd w:val="clear" w:color="auto" w:fill="FEEEE2" w:themeFill="accent2" w:themeFillTint="19"/>
    </w:tcPr>
    <w:tblStylePr w:type="firstRow">
      <w:rPr>
        <w:b/>
        <w:bCs/>
        <w:color w:val="FFFFFF" w:themeColor="background1"/>
      </w:rPr>
      <w:tblPr/>
      <w:tcPr>
        <w:tcBorders>
          <w:bottom w:val="single" w:sz="12" w:space="0" w:color="FFFFFF" w:themeColor="background1"/>
        </w:tcBorders>
        <w:shd w:val="clear" w:color="auto" w:fill="B14C01" w:themeFill="accent2" w:themeFillShade="CC"/>
      </w:tcPr>
    </w:tblStylePr>
    <w:tblStylePr w:type="lastRow">
      <w:rPr>
        <w:b/>
        <w:bCs/>
        <w:color w:val="B14C0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D6B8" w:themeFill="accent2" w:themeFillTint="3F"/>
      </w:tcPr>
    </w:tblStylePr>
    <w:tblStylePr w:type="band1Horz">
      <w:tblPr/>
      <w:tcPr>
        <w:shd w:val="clear" w:color="auto" w:fill="FEDEC6" w:themeFill="accent2" w:themeFillTint="33"/>
      </w:tcPr>
    </w:tblStylePr>
  </w:style>
  <w:style w:type="table" w:styleId="ColorfulList-Accent3">
    <w:name w:val="Colorful List Accent 3"/>
    <w:basedOn w:val="TableNormal"/>
    <w:uiPriority w:val="72"/>
    <w:semiHidden/>
    <w:unhideWhenUsed/>
    <w:pPr>
      <w:spacing w:before="0" w:after="0"/>
    </w:pPr>
    <w:rPr>
      <w:color w:val="000000" w:themeColor="text1"/>
    </w:rPr>
    <w:tblPr>
      <w:tblStyleRowBandSize w:val="1"/>
      <w:tblStyleColBandSize w:val="1"/>
    </w:tblPr>
    <w:tcPr>
      <w:shd w:val="clear" w:color="auto" w:fill="E9F3FF" w:themeFill="accent3" w:themeFillTint="19"/>
    </w:tcPr>
    <w:tblStylePr w:type="firstRow">
      <w:rPr>
        <w:b/>
        <w:bCs/>
        <w:color w:val="FFFFFF" w:themeColor="background1"/>
      </w:rPr>
      <w:tblPr/>
      <w:tcPr>
        <w:tcBorders>
          <w:bottom w:val="single" w:sz="12" w:space="0" w:color="FFFFFF" w:themeColor="background1"/>
        </w:tcBorders>
        <w:shd w:val="clear" w:color="auto" w:fill="CE8A01" w:themeFill="accent4" w:themeFillShade="CC"/>
      </w:tcPr>
    </w:tblStylePr>
    <w:tblStylePr w:type="lastRow">
      <w:rPr>
        <w:b/>
        <w:bCs/>
        <w:color w:val="CE8A01"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E1FE" w:themeFill="accent3" w:themeFillTint="3F"/>
      </w:tcPr>
    </w:tblStylePr>
    <w:tblStylePr w:type="band1Horz">
      <w:tblPr/>
      <w:tcPr>
        <w:shd w:val="clear" w:color="auto" w:fill="D3E7FE" w:themeFill="accent3" w:themeFillTint="33"/>
      </w:tcPr>
    </w:tblStylePr>
  </w:style>
  <w:style w:type="table" w:styleId="ColorfulList-Accent4">
    <w:name w:val="Colorful List Accent 4"/>
    <w:basedOn w:val="TableNormal"/>
    <w:uiPriority w:val="72"/>
    <w:semiHidden/>
    <w:unhideWhenUsed/>
    <w:pPr>
      <w:spacing w:before="0" w:after="0"/>
    </w:pPr>
    <w:rPr>
      <w:color w:val="000000" w:themeColor="text1"/>
    </w:rPr>
    <w:tblPr>
      <w:tblStyleRowBandSize w:val="1"/>
      <w:tblStyleColBandSize w:val="1"/>
    </w:tblPr>
    <w:tcPr>
      <w:shd w:val="clear" w:color="auto" w:fill="FEF6E6" w:themeFill="accent4" w:themeFillTint="19"/>
    </w:tcPr>
    <w:tblStylePr w:type="firstRow">
      <w:rPr>
        <w:b/>
        <w:bCs/>
        <w:color w:val="FFFFFF" w:themeColor="background1"/>
      </w:rPr>
      <w:tblPr/>
      <w:tcPr>
        <w:tcBorders>
          <w:bottom w:val="single" w:sz="12" w:space="0" w:color="FFFFFF" w:themeColor="background1"/>
        </w:tcBorders>
        <w:shd w:val="clear" w:color="auto" w:fill="0169E8" w:themeFill="accent3" w:themeFillShade="CC"/>
      </w:tcPr>
    </w:tblStylePr>
    <w:tblStylePr w:type="lastRow">
      <w:rPr>
        <w:b/>
        <w:bCs/>
        <w:color w:val="0169E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AC1" w:themeFill="accent4" w:themeFillTint="3F"/>
      </w:tcPr>
    </w:tblStylePr>
    <w:tblStylePr w:type="band1Horz">
      <w:tblPr/>
      <w:tcPr>
        <w:shd w:val="clear" w:color="auto" w:fill="FEEECD" w:themeFill="accent4" w:themeFillTint="33"/>
      </w:tcPr>
    </w:tblStylePr>
  </w:style>
  <w:style w:type="table" w:styleId="ColorfulList-Accent5">
    <w:name w:val="Colorful List Accent 5"/>
    <w:basedOn w:val="TableNormal"/>
    <w:uiPriority w:val="72"/>
    <w:semiHidden/>
    <w:unhideWhenUsed/>
    <w:pPr>
      <w:spacing w:before="0" w:after="0"/>
    </w:pPr>
    <w:rPr>
      <w:color w:val="000000" w:themeColor="text1"/>
    </w:rPr>
    <w:tblPr>
      <w:tblStyleRowBandSize w:val="1"/>
      <w:tblStyleColBandSize w:val="1"/>
    </w:tblPr>
    <w:tcPr>
      <w:shd w:val="clear" w:color="auto" w:fill="FCE7EE" w:themeFill="accent5" w:themeFillTint="19"/>
    </w:tcPr>
    <w:tblStylePr w:type="firstRow">
      <w:rPr>
        <w:b/>
        <w:bCs/>
        <w:color w:val="FFFFFF" w:themeColor="background1"/>
      </w:rPr>
      <w:tblPr/>
      <w:tcPr>
        <w:tcBorders>
          <w:bottom w:val="single" w:sz="12" w:space="0" w:color="FFFFFF" w:themeColor="background1"/>
        </w:tcBorders>
        <w:shd w:val="clear" w:color="auto" w:fill="59267F" w:themeFill="accent6" w:themeFillShade="CC"/>
      </w:tcPr>
    </w:tblStylePr>
    <w:tblStylePr w:type="lastRow">
      <w:rPr>
        <w:b/>
        <w:bCs/>
        <w:color w:val="59267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2D6" w:themeFill="accent5" w:themeFillTint="3F"/>
      </w:tcPr>
    </w:tblStylePr>
    <w:tblStylePr w:type="band1Horz">
      <w:tblPr/>
      <w:tcPr>
        <w:shd w:val="clear" w:color="auto" w:fill="FACEDD" w:themeFill="accent5" w:themeFillTint="33"/>
      </w:tcPr>
    </w:tblStylePr>
  </w:style>
  <w:style w:type="table" w:styleId="ColorfulList-Accent6">
    <w:name w:val="Colorful List Accent 6"/>
    <w:basedOn w:val="TableNormal"/>
    <w:uiPriority w:val="72"/>
    <w:semiHidden/>
    <w:unhideWhenUsed/>
    <w:pPr>
      <w:spacing w:before="0" w:after="0"/>
    </w:pPr>
    <w:rPr>
      <w:color w:val="000000" w:themeColor="text1"/>
    </w:rPr>
    <w:tblPr>
      <w:tblStyleRowBandSize w:val="1"/>
      <w:tblStyleColBandSize w:val="1"/>
    </w:tblPr>
    <w:tcPr>
      <w:shd w:val="clear" w:color="auto" w:fill="F1E8F8" w:themeFill="accent6" w:themeFillTint="19"/>
    </w:tcPr>
    <w:tblStylePr w:type="firstRow">
      <w:rPr>
        <w:b/>
        <w:bCs/>
        <w:color w:val="FFFFFF" w:themeColor="background1"/>
      </w:rPr>
      <w:tblPr/>
      <w:tcPr>
        <w:tcBorders>
          <w:bottom w:val="single" w:sz="12" w:space="0" w:color="FFFFFF" w:themeColor="background1"/>
        </w:tcBorders>
        <w:shd w:val="clear" w:color="auto" w:fill="AF114A" w:themeFill="accent5" w:themeFillShade="CC"/>
      </w:tcPr>
    </w:tblStylePr>
    <w:tblStylePr w:type="lastRow">
      <w:rPr>
        <w:b/>
        <w:bCs/>
        <w:color w:val="AF114A"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C5ED" w:themeFill="accent6" w:themeFillTint="3F"/>
      </w:tcPr>
    </w:tblStylePr>
    <w:tblStylePr w:type="band1Horz">
      <w:tblPr/>
      <w:tcPr>
        <w:shd w:val="clear" w:color="auto" w:fill="E2D0F1" w:themeFill="accent6" w:themeFillTint="33"/>
      </w:tcPr>
    </w:tblStylePr>
  </w:style>
  <w:style w:type="table" w:styleId="ColorfulShading">
    <w:name w:val="Colorful Shading"/>
    <w:basedOn w:val="TableNormal"/>
    <w:uiPriority w:val="71"/>
    <w:semiHidden/>
    <w:unhideWhenUsed/>
    <w:pPr>
      <w:spacing w:before="0" w:after="0"/>
    </w:pPr>
    <w:rPr>
      <w:color w:val="000000" w:themeColor="text1"/>
    </w:rPr>
    <w:tblPr>
      <w:tblStyleRowBandSize w:val="1"/>
      <w:tblStyleColBandSize w:val="1"/>
      <w:tblBorders>
        <w:top w:val="single" w:sz="24" w:space="0" w:color="DE600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pPr>
      <w:spacing w:before="0" w:after="0"/>
    </w:pPr>
    <w:rPr>
      <w:color w:val="000000" w:themeColor="text1"/>
    </w:rPr>
    <w:tblPr>
      <w:tblStyleRowBandSize w:val="1"/>
      <w:tblStyleColBandSize w:val="1"/>
      <w:tblBorders>
        <w:top w:val="single" w:sz="24" w:space="0" w:color="DE6002" w:themeColor="accent2"/>
        <w:left w:val="single" w:sz="4" w:space="0" w:color="008139" w:themeColor="accent1"/>
        <w:bottom w:val="single" w:sz="4" w:space="0" w:color="008139" w:themeColor="accent1"/>
        <w:right w:val="single" w:sz="4" w:space="0" w:color="008139" w:themeColor="accent1"/>
        <w:insideH w:val="single" w:sz="4" w:space="0" w:color="FFFFFF" w:themeColor="background1"/>
        <w:insideV w:val="single" w:sz="4" w:space="0" w:color="FFFFFF" w:themeColor="background1"/>
      </w:tblBorders>
    </w:tblPr>
    <w:tcPr>
      <w:shd w:val="clear" w:color="auto" w:fill="D9FFE9" w:themeFill="accent1" w:themeFillTint="19"/>
    </w:tcPr>
    <w:tblStylePr w:type="firstRow">
      <w:rPr>
        <w:b/>
        <w:bCs/>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D21" w:themeFill="accent1" w:themeFillShade="99"/>
      </w:tcPr>
    </w:tblStylePr>
    <w:tblStylePr w:type="firstCol">
      <w:rPr>
        <w:color w:val="FFFFFF" w:themeColor="background1"/>
      </w:rPr>
      <w:tblPr/>
      <w:tcPr>
        <w:tcBorders>
          <w:top w:val="nil"/>
          <w:left w:val="nil"/>
          <w:bottom w:val="nil"/>
          <w:right w:val="nil"/>
          <w:insideH w:val="single" w:sz="4" w:space="0" w:color="004D21" w:themeColor="accent1" w:themeShade="99"/>
          <w:insideV w:val="nil"/>
        </w:tcBorders>
        <w:shd w:val="clear" w:color="auto" w:fill="004D2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D21" w:themeFill="accent1" w:themeFillShade="99"/>
      </w:tcPr>
    </w:tblStylePr>
    <w:tblStylePr w:type="band1Vert">
      <w:tblPr/>
      <w:tcPr>
        <w:shd w:val="clear" w:color="auto" w:fill="66FFA9" w:themeFill="accent1" w:themeFillTint="66"/>
      </w:tcPr>
    </w:tblStylePr>
    <w:tblStylePr w:type="band1Horz">
      <w:tblPr/>
      <w:tcPr>
        <w:shd w:val="clear" w:color="auto" w:fill="41FF94"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pPr>
      <w:spacing w:before="0" w:after="0"/>
    </w:pPr>
    <w:rPr>
      <w:color w:val="000000" w:themeColor="text1"/>
    </w:rPr>
    <w:tblPr>
      <w:tblStyleRowBandSize w:val="1"/>
      <w:tblStyleColBandSize w:val="1"/>
      <w:tblBorders>
        <w:top w:val="single" w:sz="24" w:space="0" w:color="DE6002" w:themeColor="accent2"/>
        <w:left w:val="single" w:sz="4" w:space="0" w:color="DE6002" w:themeColor="accent2"/>
        <w:bottom w:val="single" w:sz="4" w:space="0" w:color="DE6002" w:themeColor="accent2"/>
        <w:right w:val="single" w:sz="4" w:space="0" w:color="DE6002" w:themeColor="accent2"/>
        <w:insideH w:val="single" w:sz="4" w:space="0" w:color="FFFFFF" w:themeColor="background1"/>
        <w:insideV w:val="single" w:sz="4" w:space="0" w:color="FFFFFF" w:themeColor="background1"/>
      </w:tblBorders>
    </w:tblPr>
    <w:tcPr>
      <w:shd w:val="clear" w:color="auto" w:fill="FEEEE2" w:themeFill="accent2" w:themeFillTint="19"/>
    </w:tcPr>
    <w:tblStylePr w:type="firstRow">
      <w:rPr>
        <w:b/>
        <w:bCs/>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3901" w:themeFill="accent2" w:themeFillShade="99"/>
      </w:tcPr>
    </w:tblStylePr>
    <w:tblStylePr w:type="firstCol">
      <w:rPr>
        <w:color w:val="FFFFFF" w:themeColor="background1"/>
      </w:rPr>
      <w:tblPr/>
      <w:tcPr>
        <w:tcBorders>
          <w:top w:val="nil"/>
          <w:left w:val="nil"/>
          <w:bottom w:val="nil"/>
          <w:right w:val="nil"/>
          <w:insideH w:val="single" w:sz="4" w:space="0" w:color="853901" w:themeColor="accent2" w:themeShade="99"/>
          <w:insideV w:val="nil"/>
        </w:tcBorders>
        <w:shd w:val="clear" w:color="auto" w:fill="85390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53901" w:themeFill="accent2" w:themeFillShade="99"/>
      </w:tcPr>
    </w:tblStylePr>
    <w:tblStylePr w:type="band1Vert">
      <w:tblPr/>
      <w:tcPr>
        <w:shd w:val="clear" w:color="auto" w:fill="FEBD8D" w:themeFill="accent2" w:themeFillTint="66"/>
      </w:tcPr>
    </w:tblStylePr>
    <w:tblStylePr w:type="band1Horz">
      <w:tblPr/>
      <w:tcPr>
        <w:shd w:val="clear" w:color="auto" w:fill="FDAC71"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pPr>
      <w:spacing w:before="0" w:after="0"/>
    </w:pPr>
    <w:rPr>
      <w:color w:val="000000" w:themeColor="text1"/>
    </w:rPr>
    <w:tblPr>
      <w:tblStyleRowBandSize w:val="1"/>
      <w:tblStyleColBandSize w:val="1"/>
      <w:tblBorders>
        <w:top w:val="single" w:sz="24" w:space="0" w:color="FDAB07" w:themeColor="accent4"/>
        <w:left w:val="single" w:sz="4" w:space="0" w:color="2688FE" w:themeColor="accent3"/>
        <w:bottom w:val="single" w:sz="4" w:space="0" w:color="2688FE" w:themeColor="accent3"/>
        <w:right w:val="single" w:sz="4" w:space="0" w:color="2688FE" w:themeColor="accent3"/>
        <w:insideH w:val="single" w:sz="4" w:space="0" w:color="FFFFFF" w:themeColor="background1"/>
        <w:insideV w:val="single" w:sz="4" w:space="0" w:color="FFFFFF" w:themeColor="background1"/>
      </w:tblBorders>
    </w:tblPr>
    <w:tcPr>
      <w:shd w:val="clear" w:color="auto" w:fill="E9F3FF" w:themeFill="accent3" w:themeFillTint="19"/>
    </w:tcPr>
    <w:tblStylePr w:type="firstRow">
      <w:rPr>
        <w:b/>
        <w:bCs/>
      </w:rPr>
      <w:tblPr/>
      <w:tcPr>
        <w:tcBorders>
          <w:top w:val="nil"/>
          <w:left w:val="nil"/>
          <w:bottom w:val="single" w:sz="24" w:space="0" w:color="FDAB0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14FAE" w:themeFill="accent3" w:themeFillShade="99"/>
      </w:tcPr>
    </w:tblStylePr>
    <w:tblStylePr w:type="firstCol">
      <w:rPr>
        <w:color w:val="FFFFFF" w:themeColor="background1"/>
      </w:rPr>
      <w:tblPr/>
      <w:tcPr>
        <w:tcBorders>
          <w:top w:val="nil"/>
          <w:left w:val="nil"/>
          <w:bottom w:val="nil"/>
          <w:right w:val="nil"/>
          <w:insideH w:val="single" w:sz="4" w:space="0" w:color="014FAE" w:themeColor="accent3" w:themeShade="99"/>
          <w:insideV w:val="nil"/>
        </w:tcBorders>
        <w:shd w:val="clear" w:color="auto" w:fill="014FA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14FAE" w:themeFill="accent3" w:themeFillShade="99"/>
      </w:tcPr>
    </w:tblStylePr>
    <w:tblStylePr w:type="band1Vert">
      <w:tblPr/>
      <w:tcPr>
        <w:shd w:val="clear" w:color="auto" w:fill="A8CFFE" w:themeFill="accent3" w:themeFillTint="66"/>
      </w:tcPr>
    </w:tblStylePr>
    <w:tblStylePr w:type="band1Horz">
      <w:tblPr/>
      <w:tcPr>
        <w:shd w:val="clear" w:color="auto" w:fill="92C3FE" w:themeFill="accent3" w:themeFillTint="7F"/>
      </w:tcPr>
    </w:tblStylePr>
  </w:style>
  <w:style w:type="table" w:styleId="ColorfulShading-Accent4">
    <w:name w:val="Colorful Shading Accent 4"/>
    <w:basedOn w:val="TableNormal"/>
    <w:uiPriority w:val="71"/>
    <w:semiHidden/>
    <w:unhideWhenUsed/>
    <w:pPr>
      <w:spacing w:before="0" w:after="0"/>
    </w:pPr>
    <w:rPr>
      <w:color w:val="000000" w:themeColor="text1"/>
    </w:rPr>
    <w:tblPr>
      <w:tblStyleRowBandSize w:val="1"/>
      <w:tblStyleColBandSize w:val="1"/>
      <w:tblBorders>
        <w:top w:val="single" w:sz="24" w:space="0" w:color="2688FE" w:themeColor="accent3"/>
        <w:left w:val="single" w:sz="4" w:space="0" w:color="FDAB07" w:themeColor="accent4"/>
        <w:bottom w:val="single" w:sz="4" w:space="0" w:color="FDAB07" w:themeColor="accent4"/>
        <w:right w:val="single" w:sz="4" w:space="0" w:color="FDAB07" w:themeColor="accent4"/>
        <w:insideH w:val="single" w:sz="4" w:space="0" w:color="FFFFFF" w:themeColor="background1"/>
        <w:insideV w:val="single" w:sz="4" w:space="0" w:color="FFFFFF" w:themeColor="background1"/>
      </w:tblBorders>
    </w:tblPr>
    <w:tcPr>
      <w:shd w:val="clear" w:color="auto" w:fill="FEF6E6" w:themeFill="accent4" w:themeFillTint="19"/>
    </w:tcPr>
    <w:tblStylePr w:type="firstRow">
      <w:rPr>
        <w:b/>
        <w:bCs/>
      </w:rPr>
      <w:tblPr/>
      <w:tcPr>
        <w:tcBorders>
          <w:top w:val="nil"/>
          <w:left w:val="nil"/>
          <w:bottom w:val="single" w:sz="24" w:space="0" w:color="2688F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A6701" w:themeFill="accent4" w:themeFillShade="99"/>
      </w:tcPr>
    </w:tblStylePr>
    <w:tblStylePr w:type="firstCol">
      <w:rPr>
        <w:color w:val="FFFFFF" w:themeColor="background1"/>
      </w:rPr>
      <w:tblPr/>
      <w:tcPr>
        <w:tcBorders>
          <w:top w:val="nil"/>
          <w:left w:val="nil"/>
          <w:bottom w:val="nil"/>
          <w:right w:val="nil"/>
          <w:insideH w:val="single" w:sz="4" w:space="0" w:color="9A6701" w:themeColor="accent4" w:themeShade="99"/>
          <w:insideV w:val="nil"/>
        </w:tcBorders>
        <w:shd w:val="clear" w:color="auto" w:fill="9A670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A6701" w:themeFill="accent4" w:themeFillShade="99"/>
      </w:tcPr>
    </w:tblStylePr>
    <w:tblStylePr w:type="band1Vert">
      <w:tblPr/>
      <w:tcPr>
        <w:shd w:val="clear" w:color="auto" w:fill="FEDD9B" w:themeFill="accent4" w:themeFillTint="66"/>
      </w:tcPr>
    </w:tblStylePr>
    <w:tblStylePr w:type="band1Horz">
      <w:tblPr/>
      <w:tcPr>
        <w:shd w:val="clear" w:color="auto" w:fill="FED583"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pPr>
      <w:spacing w:before="0" w:after="0"/>
    </w:pPr>
    <w:rPr>
      <w:color w:val="000000" w:themeColor="text1"/>
    </w:rPr>
    <w:tblPr>
      <w:tblStyleRowBandSize w:val="1"/>
      <w:tblStyleColBandSize w:val="1"/>
      <w:tblBorders>
        <w:top w:val="single" w:sz="24" w:space="0" w:color="7030A0" w:themeColor="accent6"/>
        <w:left w:val="single" w:sz="4" w:space="0" w:color="DC165D" w:themeColor="accent5"/>
        <w:bottom w:val="single" w:sz="4" w:space="0" w:color="DC165D" w:themeColor="accent5"/>
        <w:right w:val="single" w:sz="4" w:space="0" w:color="DC165D" w:themeColor="accent5"/>
        <w:insideH w:val="single" w:sz="4" w:space="0" w:color="FFFFFF" w:themeColor="background1"/>
        <w:insideV w:val="single" w:sz="4" w:space="0" w:color="FFFFFF" w:themeColor="background1"/>
      </w:tblBorders>
    </w:tblPr>
    <w:tcPr>
      <w:shd w:val="clear" w:color="auto" w:fill="FCE7EE" w:themeFill="accent5" w:themeFillTint="19"/>
    </w:tcPr>
    <w:tblStylePr w:type="firstRow">
      <w:rPr>
        <w:b/>
        <w:bCs/>
      </w:rPr>
      <w:tblPr/>
      <w:tcPr>
        <w:tcBorders>
          <w:top w:val="nil"/>
          <w:left w:val="nil"/>
          <w:bottom w:val="single" w:sz="24" w:space="0" w:color="7030A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30D37" w:themeFill="accent5" w:themeFillShade="99"/>
      </w:tcPr>
    </w:tblStylePr>
    <w:tblStylePr w:type="firstCol">
      <w:rPr>
        <w:color w:val="FFFFFF" w:themeColor="background1"/>
      </w:rPr>
      <w:tblPr/>
      <w:tcPr>
        <w:tcBorders>
          <w:top w:val="nil"/>
          <w:left w:val="nil"/>
          <w:bottom w:val="nil"/>
          <w:right w:val="nil"/>
          <w:insideH w:val="single" w:sz="4" w:space="0" w:color="830D37" w:themeColor="accent5" w:themeShade="99"/>
          <w:insideV w:val="nil"/>
        </w:tcBorders>
        <w:shd w:val="clear" w:color="auto" w:fill="830D3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30D37" w:themeFill="accent5" w:themeFillShade="99"/>
      </w:tcPr>
    </w:tblStylePr>
    <w:tblStylePr w:type="band1Vert">
      <w:tblPr/>
      <w:tcPr>
        <w:shd w:val="clear" w:color="auto" w:fill="F59DBC" w:themeFill="accent5" w:themeFillTint="66"/>
      </w:tcPr>
    </w:tblStylePr>
    <w:tblStylePr w:type="band1Horz">
      <w:tblPr/>
      <w:tcPr>
        <w:shd w:val="clear" w:color="auto" w:fill="F285A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pPr>
      <w:spacing w:before="0" w:after="0"/>
    </w:pPr>
    <w:rPr>
      <w:color w:val="000000" w:themeColor="text1"/>
    </w:rPr>
    <w:tblPr>
      <w:tblStyleRowBandSize w:val="1"/>
      <w:tblStyleColBandSize w:val="1"/>
      <w:tblBorders>
        <w:top w:val="single" w:sz="24" w:space="0" w:color="DC165D" w:themeColor="accent5"/>
        <w:left w:val="single" w:sz="4" w:space="0" w:color="7030A0" w:themeColor="accent6"/>
        <w:bottom w:val="single" w:sz="4" w:space="0" w:color="7030A0" w:themeColor="accent6"/>
        <w:right w:val="single" w:sz="4" w:space="0" w:color="7030A0" w:themeColor="accent6"/>
        <w:insideH w:val="single" w:sz="4" w:space="0" w:color="FFFFFF" w:themeColor="background1"/>
        <w:insideV w:val="single" w:sz="4" w:space="0" w:color="FFFFFF" w:themeColor="background1"/>
      </w:tblBorders>
    </w:tblPr>
    <w:tcPr>
      <w:shd w:val="clear" w:color="auto" w:fill="F1E8F8" w:themeFill="accent6" w:themeFillTint="19"/>
    </w:tcPr>
    <w:tblStylePr w:type="firstRow">
      <w:rPr>
        <w:b/>
        <w:bCs/>
      </w:rPr>
      <w:tblPr/>
      <w:tcPr>
        <w:tcBorders>
          <w:top w:val="nil"/>
          <w:left w:val="nil"/>
          <w:bottom w:val="single" w:sz="24" w:space="0" w:color="DC165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1C5F" w:themeFill="accent6" w:themeFillShade="99"/>
      </w:tcPr>
    </w:tblStylePr>
    <w:tblStylePr w:type="firstCol">
      <w:rPr>
        <w:color w:val="FFFFFF" w:themeColor="background1"/>
      </w:rPr>
      <w:tblPr/>
      <w:tcPr>
        <w:tcBorders>
          <w:top w:val="nil"/>
          <w:left w:val="nil"/>
          <w:bottom w:val="nil"/>
          <w:right w:val="nil"/>
          <w:insideH w:val="single" w:sz="4" w:space="0" w:color="421C5F" w:themeColor="accent6" w:themeShade="99"/>
          <w:insideV w:val="nil"/>
        </w:tcBorders>
        <w:shd w:val="clear" w:color="auto" w:fill="421C5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21C5F" w:themeFill="accent6" w:themeFillShade="99"/>
      </w:tcPr>
    </w:tblStylePr>
    <w:tblStylePr w:type="band1Vert">
      <w:tblPr/>
      <w:tcPr>
        <w:shd w:val="clear" w:color="auto" w:fill="C6A1E3" w:themeFill="accent6" w:themeFillTint="66"/>
      </w:tcPr>
    </w:tblStylePr>
    <w:tblStylePr w:type="band1Horz">
      <w:tblPr/>
      <w:tcPr>
        <w:shd w:val="clear" w:color="auto" w:fill="B98BDC"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unhideWhenUsed/>
    <w:qFormat/>
    <w:rPr>
      <w:sz w:val="16"/>
      <w:szCs w:val="16"/>
      <w:lang w:val="en-GB"/>
    </w:rPr>
  </w:style>
  <w:style w:type="table" w:styleId="DarkList">
    <w:name w:val="Dark List"/>
    <w:basedOn w:val="TableNormal"/>
    <w:uiPriority w:val="70"/>
    <w:semiHidden/>
    <w:unhideWhenUsed/>
    <w:pPr>
      <w:spacing w:before="0"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pPr>
      <w:spacing w:before="0" w:after="0"/>
    </w:pPr>
    <w:rPr>
      <w:color w:val="FFFFFF" w:themeColor="background1"/>
    </w:rPr>
    <w:tblPr>
      <w:tblStyleRowBandSize w:val="1"/>
      <w:tblStyleColBandSize w:val="1"/>
    </w:tblPr>
    <w:tcPr>
      <w:shd w:val="clear" w:color="auto" w:fill="00813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01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02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02A" w:themeFill="accent1" w:themeFillShade="BF"/>
      </w:tcPr>
    </w:tblStylePr>
    <w:tblStylePr w:type="band1Vert">
      <w:tblPr/>
      <w:tcPr>
        <w:tcBorders>
          <w:top w:val="nil"/>
          <w:left w:val="nil"/>
          <w:bottom w:val="nil"/>
          <w:right w:val="nil"/>
          <w:insideH w:val="nil"/>
          <w:insideV w:val="nil"/>
        </w:tcBorders>
        <w:shd w:val="clear" w:color="auto" w:fill="00602A" w:themeFill="accent1" w:themeFillShade="BF"/>
      </w:tcPr>
    </w:tblStylePr>
    <w:tblStylePr w:type="band1Horz">
      <w:tblPr/>
      <w:tcPr>
        <w:tcBorders>
          <w:top w:val="nil"/>
          <w:left w:val="nil"/>
          <w:bottom w:val="nil"/>
          <w:right w:val="nil"/>
          <w:insideH w:val="nil"/>
          <w:insideV w:val="nil"/>
        </w:tcBorders>
        <w:shd w:val="clear" w:color="auto" w:fill="00602A" w:themeFill="accent1" w:themeFillShade="BF"/>
      </w:tcPr>
    </w:tblStylePr>
  </w:style>
  <w:style w:type="table" w:styleId="DarkList-Accent2">
    <w:name w:val="Dark List Accent 2"/>
    <w:basedOn w:val="TableNormal"/>
    <w:uiPriority w:val="70"/>
    <w:semiHidden/>
    <w:unhideWhenUsed/>
    <w:pPr>
      <w:spacing w:before="0" w:after="0"/>
    </w:pPr>
    <w:rPr>
      <w:color w:val="FFFFFF" w:themeColor="background1"/>
    </w:rPr>
    <w:tblPr>
      <w:tblStyleRowBandSize w:val="1"/>
      <w:tblStyleColBandSize w:val="1"/>
    </w:tblPr>
    <w:tcPr>
      <w:shd w:val="clear" w:color="auto" w:fill="DE600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2F0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6470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64701" w:themeFill="accent2" w:themeFillShade="BF"/>
      </w:tcPr>
    </w:tblStylePr>
    <w:tblStylePr w:type="band1Vert">
      <w:tblPr/>
      <w:tcPr>
        <w:tcBorders>
          <w:top w:val="nil"/>
          <w:left w:val="nil"/>
          <w:bottom w:val="nil"/>
          <w:right w:val="nil"/>
          <w:insideH w:val="nil"/>
          <w:insideV w:val="nil"/>
        </w:tcBorders>
        <w:shd w:val="clear" w:color="auto" w:fill="A64701" w:themeFill="accent2" w:themeFillShade="BF"/>
      </w:tcPr>
    </w:tblStylePr>
    <w:tblStylePr w:type="band1Horz">
      <w:tblPr/>
      <w:tcPr>
        <w:tcBorders>
          <w:top w:val="nil"/>
          <w:left w:val="nil"/>
          <w:bottom w:val="nil"/>
          <w:right w:val="nil"/>
          <w:insideH w:val="nil"/>
          <w:insideV w:val="nil"/>
        </w:tcBorders>
        <w:shd w:val="clear" w:color="auto" w:fill="A64701" w:themeFill="accent2" w:themeFillShade="BF"/>
      </w:tcPr>
    </w:tblStylePr>
  </w:style>
  <w:style w:type="table" w:styleId="DarkList-Accent3">
    <w:name w:val="Dark List Accent 3"/>
    <w:basedOn w:val="TableNormal"/>
    <w:uiPriority w:val="70"/>
    <w:semiHidden/>
    <w:unhideWhenUsed/>
    <w:pPr>
      <w:spacing w:before="0" w:after="0"/>
    </w:pPr>
    <w:rPr>
      <w:color w:val="FFFFFF" w:themeColor="background1"/>
    </w:rPr>
    <w:tblPr>
      <w:tblStyleRowBandSize w:val="1"/>
      <w:tblStyleColBandSize w:val="1"/>
    </w:tblPr>
    <w:tcPr>
      <w:shd w:val="clear" w:color="auto" w:fill="2688F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19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162D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162D9" w:themeFill="accent3" w:themeFillShade="BF"/>
      </w:tcPr>
    </w:tblStylePr>
    <w:tblStylePr w:type="band1Vert">
      <w:tblPr/>
      <w:tcPr>
        <w:tcBorders>
          <w:top w:val="nil"/>
          <w:left w:val="nil"/>
          <w:bottom w:val="nil"/>
          <w:right w:val="nil"/>
          <w:insideH w:val="nil"/>
          <w:insideV w:val="nil"/>
        </w:tcBorders>
        <w:shd w:val="clear" w:color="auto" w:fill="0162D9" w:themeFill="accent3" w:themeFillShade="BF"/>
      </w:tcPr>
    </w:tblStylePr>
    <w:tblStylePr w:type="band1Horz">
      <w:tblPr/>
      <w:tcPr>
        <w:tcBorders>
          <w:top w:val="nil"/>
          <w:left w:val="nil"/>
          <w:bottom w:val="nil"/>
          <w:right w:val="nil"/>
          <w:insideH w:val="nil"/>
          <w:insideV w:val="nil"/>
        </w:tcBorders>
        <w:shd w:val="clear" w:color="auto" w:fill="0162D9" w:themeFill="accent3" w:themeFillShade="BF"/>
      </w:tcPr>
    </w:tblStylePr>
  </w:style>
  <w:style w:type="table" w:styleId="DarkList-Accent4">
    <w:name w:val="Dark List Accent 4"/>
    <w:basedOn w:val="TableNormal"/>
    <w:uiPriority w:val="70"/>
    <w:semiHidden/>
    <w:unhideWhenUsed/>
    <w:pPr>
      <w:spacing w:before="0" w:after="0"/>
    </w:pPr>
    <w:rPr>
      <w:color w:val="FFFFFF" w:themeColor="background1"/>
    </w:rPr>
    <w:tblPr>
      <w:tblStyleRowBandSize w:val="1"/>
      <w:tblStyleColBandSize w:val="1"/>
    </w:tblPr>
    <w:tcPr>
      <w:shd w:val="clear" w:color="auto" w:fill="FDAB0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0550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C1810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C18101" w:themeFill="accent4" w:themeFillShade="BF"/>
      </w:tcPr>
    </w:tblStylePr>
    <w:tblStylePr w:type="band1Vert">
      <w:tblPr/>
      <w:tcPr>
        <w:tcBorders>
          <w:top w:val="nil"/>
          <w:left w:val="nil"/>
          <w:bottom w:val="nil"/>
          <w:right w:val="nil"/>
          <w:insideH w:val="nil"/>
          <w:insideV w:val="nil"/>
        </w:tcBorders>
        <w:shd w:val="clear" w:color="auto" w:fill="C18101" w:themeFill="accent4" w:themeFillShade="BF"/>
      </w:tcPr>
    </w:tblStylePr>
    <w:tblStylePr w:type="band1Horz">
      <w:tblPr/>
      <w:tcPr>
        <w:tcBorders>
          <w:top w:val="nil"/>
          <w:left w:val="nil"/>
          <w:bottom w:val="nil"/>
          <w:right w:val="nil"/>
          <w:insideH w:val="nil"/>
          <w:insideV w:val="nil"/>
        </w:tcBorders>
        <w:shd w:val="clear" w:color="auto" w:fill="C18101" w:themeFill="accent4" w:themeFillShade="BF"/>
      </w:tcPr>
    </w:tblStylePr>
  </w:style>
  <w:style w:type="table" w:styleId="DarkList-Accent5">
    <w:name w:val="Dark List Accent 5"/>
    <w:basedOn w:val="TableNormal"/>
    <w:uiPriority w:val="70"/>
    <w:semiHidden/>
    <w:unhideWhenUsed/>
    <w:pPr>
      <w:spacing w:before="0" w:after="0"/>
    </w:pPr>
    <w:rPr>
      <w:color w:val="FFFFFF" w:themeColor="background1"/>
    </w:rPr>
    <w:tblPr>
      <w:tblStyleRowBandSize w:val="1"/>
      <w:tblStyleColBandSize w:val="1"/>
    </w:tblPr>
    <w:tcPr>
      <w:shd w:val="clear" w:color="auto" w:fill="DC165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D0B2E"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4104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41045" w:themeFill="accent5" w:themeFillShade="BF"/>
      </w:tcPr>
    </w:tblStylePr>
    <w:tblStylePr w:type="band1Vert">
      <w:tblPr/>
      <w:tcPr>
        <w:tcBorders>
          <w:top w:val="nil"/>
          <w:left w:val="nil"/>
          <w:bottom w:val="nil"/>
          <w:right w:val="nil"/>
          <w:insideH w:val="nil"/>
          <w:insideV w:val="nil"/>
        </w:tcBorders>
        <w:shd w:val="clear" w:color="auto" w:fill="A41045" w:themeFill="accent5" w:themeFillShade="BF"/>
      </w:tcPr>
    </w:tblStylePr>
    <w:tblStylePr w:type="band1Horz">
      <w:tblPr/>
      <w:tcPr>
        <w:tcBorders>
          <w:top w:val="nil"/>
          <w:left w:val="nil"/>
          <w:bottom w:val="nil"/>
          <w:right w:val="nil"/>
          <w:insideH w:val="nil"/>
          <w:insideV w:val="nil"/>
        </w:tcBorders>
        <w:shd w:val="clear" w:color="auto" w:fill="A41045" w:themeFill="accent5" w:themeFillShade="BF"/>
      </w:tcPr>
    </w:tblStylePr>
  </w:style>
  <w:style w:type="table" w:styleId="DarkList-Accent6">
    <w:name w:val="Dark List Accent 6"/>
    <w:basedOn w:val="TableNormal"/>
    <w:uiPriority w:val="70"/>
    <w:semiHidden/>
    <w:unhideWhenUsed/>
    <w:pPr>
      <w:spacing w:before="0" w:after="0"/>
    </w:pPr>
    <w:rPr>
      <w:color w:val="FFFFFF" w:themeColor="background1"/>
    </w:rPr>
    <w:tblPr>
      <w:tblStyleRowBandSize w:val="1"/>
      <w:tblStyleColBandSize w:val="1"/>
    </w:tblPr>
    <w:tcPr>
      <w:shd w:val="clear" w:color="auto" w:fill="7030A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184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247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2477" w:themeFill="accent6" w:themeFillShade="BF"/>
      </w:tcPr>
    </w:tblStylePr>
    <w:tblStylePr w:type="band1Vert">
      <w:tblPr/>
      <w:tcPr>
        <w:tcBorders>
          <w:top w:val="nil"/>
          <w:left w:val="nil"/>
          <w:bottom w:val="nil"/>
          <w:right w:val="nil"/>
          <w:insideH w:val="nil"/>
          <w:insideV w:val="nil"/>
        </w:tcBorders>
        <w:shd w:val="clear" w:color="auto" w:fill="532477" w:themeFill="accent6" w:themeFillShade="BF"/>
      </w:tcPr>
    </w:tblStylePr>
    <w:tblStylePr w:type="band1Horz">
      <w:tblPr/>
      <w:tcPr>
        <w:tcBorders>
          <w:top w:val="nil"/>
          <w:left w:val="nil"/>
          <w:bottom w:val="nil"/>
          <w:right w:val="nil"/>
          <w:insideH w:val="nil"/>
          <w:insideV w:val="nil"/>
        </w:tcBorders>
        <w:shd w:val="clear" w:color="auto" w:fill="532477" w:themeFill="accent6" w:themeFillShade="BF"/>
      </w:tcPr>
    </w:tblStylePr>
  </w:style>
  <w:style w:type="character" w:styleId="Emphasis">
    <w:name w:val="Emphasis"/>
    <w:basedOn w:val="DefaultParagraphFont"/>
    <w:uiPriority w:val="20"/>
    <w:qFormat/>
    <w:rPr>
      <w:i/>
      <w:iCs/>
      <w:lang w:val="en-GB"/>
    </w:rPr>
  </w:style>
  <w:style w:type="table" w:styleId="GridTable1Light">
    <w:name w:val="Grid Table 1 Light"/>
    <w:basedOn w:val="TableNormal"/>
    <w:uiPriority w:val="46"/>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pPr>
      <w:spacing w:after="0"/>
    </w:pPr>
    <w:tblPr>
      <w:tblStyleRowBandSize w:val="1"/>
      <w:tblStyleColBandSize w:val="1"/>
      <w:tblBorders>
        <w:top w:val="single" w:sz="4" w:space="0" w:color="66FFA9" w:themeColor="accent1" w:themeTint="66"/>
        <w:left w:val="single" w:sz="4" w:space="0" w:color="66FFA9" w:themeColor="accent1" w:themeTint="66"/>
        <w:bottom w:val="single" w:sz="4" w:space="0" w:color="66FFA9" w:themeColor="accent1" w:themeTint="66"/>
        <w:right w:val="single" w:sz="4" w:space="0" w:color="66FFA9" w:themeColor="accent1" w:themeTint="66"/>
        <w:insideH w:val="single" w:sz="4" w:space="0" w:color="66FFA9" w:themeColor="accent1" w:themeTint="66"/>
        <w:insideV w:val="single" w:sz="4" w:space="0" w:color="66FFA9" w:themeColor="accent1" w:themeTint="66"/>
      </w:tblBorders>
    </w:tblPr>
    <w:tblStylePr w:type="firstRow">
      <w:rPr>
        <w:b/>
        <w:bCs/>
      </w:rPr>
      <w:tblPr/>
      <w:tcPr>
        <w:tcBorders>
          <w:bottom w:val="single" w:sz="12" w:space="0" w:color="1AFF7E" w:themeColor="accent1" w:themeTint="99"/>
        </w:tcBorders>
      </w:tcPr>
    </w:tblStylePr>
    <w:tblStylePr w:type="lastRow">
      <w:rPr>
        <w:b/>
        <w:bCs/>
      </w:rPr>
      <w:tblPr/>
      <w:tcPr>
        <w:tcBorders>
          <w:top w:val="double" w:sz="2" w:space="0" w:color="1AFF7E"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pPr>
      <w:spacing w:after="0"/>
    </w:pPr>
    <w:tblPr>
      <w:tblStyleRowBandSize w:val="1"/>
      <w:tblStyleColBandSize w:val="1"/>
      <w:tblBorders>
        <w:top w:val="single" w:sz="4" w:space="0" w:color="FEBD8D" w:themeColor="accent2" w:themeTint="66"/>
        <w:left w:val="single" w:sz="4" w:space="0" w:color="FEBD8D" w:themeColor="accent2" w:themeTint="66"/>
        <w:bottom w:val="single" w:sz="4" w:space="0" w:color="FEBD8D" w:themeColor="accent2" w:themeTint="66"/>
        <w:right w:val="single" w:sz="4" w:space="0" w:color="FEBD8D" w:themeColor="accent2" w:themeTint="66"/>
        <w:insideH w:val="single" w:sz="4" w:space="0" w:color="FEBD8D" w:themeColor="accent2" w:themeTint="66"/>
        <w:insideV w:val="single" w:sz="4" w:space="0" w:color="FEBD8D" w:themeColor="accent2" w:themeTint="66"/>
      </w:tblBorders>
    </w:tblPr>
    <w:tblStylePr w:type="firstRow">
      <w:rPr>
        <w:b/>
        <w:bCs/>
      </w:rPr>
      <w:tblPr/>
      <w:tcPr>
        <w:tcBorders>
          <w:bottom w:val="single" w:sz="12" w:space="0" w:color="FD9C54" w:themeColor="accent2" w:themeTint="99"/>
        </w:tcBorders>
      </w:tcPr>
    </w:tblStylePr>
    <w:tblStylePr w:type="lastRow">
      <w:rPr>
        <w:b/>
        <w:bCs/>
      </w:rPr>
      <w:tblPr/>
      <w:tcPr>
        <w:tcBorders>
          <w:top w:val="double" w:sz="2" w:space="0" w:color="FD9C5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pPr>
      <w:spacing w:after="0"/>
    </w:pPr>
    <w:tblPr>
      <w:tblStyleRowBandSize w:val="1"/>
      <w:tblStyleColBandSize w:val="1"/>
      <w:tblBorders>
        <w:top w:val="single" w:sz="4" w:space="0" w:color="A8CFFE" w:themeColor="accent3" w:themeTint="66"/>
        <w:left w:val="single" w:sz="4" w:space="0" w:color="A8CFFE" w:themeColor="accent3" w:themeTint="66"/>
        <w:bottom w:val="single" w:sz="4" w:space="0" w:color="A8CFFE" w:themeColor="accent3" w:themeTint="66"/>
        <w:right w:val="single" w:sz="4" w:space="0" w:color="A8CFFE" w:themeColor="accent3" w:themeTint="66"/>
        <w:insideH w:val="single" w:sz="4" w:space="0" w:color="A8CFFE" w:themeColor="accent3" w:themeTint="66"/>
        <w:insideV w:val="single" w:sz="4" w:space="0" w:color="A8CFFE" w:themeColor="accent3" w:themeTint="66"/>
      </w:tblBorders>
    </w:tblPr>
    <w:tblStylePr w:type="firstRow">
      <w:rPr>
        <w:b/>
        <w:bCs/>
      </w:rPr>
      <w:tblPr/>
      <w:tcPr>
        <w:tcBorders>
          <w:bottom w:val="single" w:sz="12" w:space="0" w:color="7CB7FE" w:themeColor="accent3" w:themeTint="99"/>
        </w:tcBorders>
      </w:tcPr>
    </w:tblStylePr>
    <w:tblStylePr w:type="lastRow">
      <w:rPr>
        <w:b/>
        <w:bCs/>
      </w:rPr>
      <w:tblPr/>
      <w:tcPr>
        <w:tcBorders>
          <w:top w:val="double" w:sz="2" w:space="0" w:color="7CB7FE"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pPr>
      <w:spacing w:after="0"/>
    </w:pPr>
    <w:tblPr>
      <w:tblStyleRowBandSize w:val="1"/>
      <w:tblStyleColBandSize w:val="1"/>
      <w:tblBorders>
        <w:top w:val="single" w:sz="4" w:space="0" w:color="FEDD9B" w:themeColor="accent4" w:themeTint="66"/>
        <w:left w:val="single" w:sz="4" w:space="0" w:color="FEDD9B" w:themeColor="accent4" w:themeTint="66"/>
        <w:bottom w:val="single" w:sz="4" w:space="0" w:color="FEDD9B" w:themeColor="accent4" w:themeTint="66"/>
        <w:right w:val="single" w:sz="4" w:space="0" w:color="FEDD9B" w:themeColor="accent4" w:themeTint="66"/>
        <w:insideH w:val="single" w:sz="4" w:space="0" w:color="FEDD9B" w:themeColor="accent4" w:themeTint="66"/>
        <w:insideV w:val="single" w:sz="4" w:space="0" w:color="FEDD9B" w:themeColor="accent4" w:themeTint="66"/>
      </w:tblBorders>
    </w:tblPr>
    <w:tblStylePr w:type="firstRow">
      <w:rPr>
        <w:b/>
        <w:bCs/>
      </w:rPr>
      <w:tblPr/>
      <w:tcPr>
        <w:tcBorders>
          <w:bottom w:val="single" w:sz="12" w:space="0" w:color="FDCC6A" w:themeColor="accent4" w:themeTint="99"/>
        </w:tcBorders>
      </w:tcPr>
    </w:tblStylePr>
    <w:tblStylePr w:type="lastRow">
      <w:rPr>
        <w:b/>
        <w:bCs/>
      </w:rPr>
      <w:tblPr/>
      <w:tcPr>
        <w:tcBorders>
          <w:top w:val="double" w:sz="2" w:space="0" w:color="FDCC6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pPr>
      <w:spacing w:after="0"/>
    </w:pPr>
    <w:tblPr>
      <w:tblStyleRowBandSize w:val="1"/>
      <w:tblStyleColBandSize w:val="1"/>
      <w:tblBorders>
        <w:top w:val="single" w:sz="4" w:space="0" w:color="F59DBC" w:themeColor="accent5" w:themeTint="66"/>
        <w:left w:val="single" w:sz="4" w:space="0" w:color="F59DBC" w:themeColor="accent5" w:themeTint="66"/>
        <w:bottom w:val="single" w:sz="4" w:space="0" w:color="F59DBC" w:themeColor="accent5" w:themeTint="66"/>
        <w:right w:val="single" w:sz="4" w:space="0" w:color="F59DBC" w:themeColor="accent5" w:themeTint="66"/>
        <w:insideH w:val="single" w:sz="4" w:space="0" w:color="F59DBC" w:themeColor="accent5" w:themeTint="66"/>
        <w:insideV w:val="single" w:sz="4" w:space="0" w:color="F59DBC" w:themeColor="accent5" w:themeTint="66"/>
      </w:tblBorders>
    </w:tblPr>
    <w:tblStylePr w:type="firstRow">
      <w:rPr>
        <w:b/>
        <w:bCs/>
      </w:rPr>
      <w:tblPr/>
      <w:tcPr>
        <w:tcBorders>
          <w:bottom w:val="single" w:sz="12" w:space="0" w:color="F06C9B" w:themeColor="accent5" w:themeTint="99"/>
        </w:tcBorders>
      </w:tcPr>
    </w:tblStylePr>
    <w:tblStylePr w:type="lastRow">
      <w:rPr>
        <w:b/>
        <w:bCs/>
      </w:rPr>
      <w:tblPr/>
      <w:tcPr>
        <w:tcBorders>
          <w:top w:val="double" w:sz="2" w:space="0" w:color="F06C9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pPr>
      <w:spacing w:after="0"/>
    </w:pPr>
    <w:tblPr>
      <w:tblStyleRowBandSize w:val="1"/>
      <w:tblStyleColBandSize w:val="1"/>
      <w:tblBorders>
        <w:top w:val="single" w:sz="4" w:space="0" w:color="C6A1E3" w:themeColor="accent6" w:themeTint="66"/>
        <w:left w:val="single" w:sz="4" w:space="0" w:color="C6A1E3" w:themeColor="accent6" w:themeTint="66"/>
        <w:bottom w:val="single" w:sz="4" w:space="0" w:color="C6A1E3" w:themeColor="accent6" w:themeTint="66"/>
        <w:right w:val="single" w:sz="4" w:space="0" w:color="C6A1E3" w:themeColor="accent6" w:themeTint="66"/>
        <w:insideH w:val="single" w:sz="4" w:space="0" w:color="C6A1E3" w:themeColor="accent6" w:themeTint="66"/>
        <w:insideV w:val="single" w:sz="4" w:space="0" w:color="C6A1E3" w:themeColor="accent6" w:themeTint="66"/>
      </w:tblBorders>
    </w:tblPr>
    <w:tblStylePr w:type="firstRow">
      <w:rPr>
        <w:b/>
        <w:bCs/>
      </w:rPr>
      <w:tblPr/>
      <w:tcPr>
        <w:tcBorders>
          <w:bottom w:val="single" w:sz="12" w:space="0" w:color="AB73D5" w:themeColor="accent6" w:themeTint="99"/>
        </w:tcBorders>
      </w:tcPr>
    </w:tblStylePr>
    <w:tblStylePr w:type="lastRow">
      <w:rPr>
        <w:b/>
        <w:bCs/>
      </w:rPr>
      <w:tblPr/>
      <w:tcPr>
        <w:tcBorders>
          <w:top w:val="double" w:sz="2" w:space="0" w:color="AB73D5"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pPr>
      <w:spacing w:after="0"/>
    </w:pPr>
    <w:tblPr>
      <w:tblStyleRowBandSize w:val="1"/>
      <w:tblStyleColBandSize w:val="1"/>
      <w:tblBorders>
        <w:top w:val="single" w:sz="2" w:space="0" w:color="1AFF7E" w:themeColor="accent1" w:themeTint="99"/>
        <w:bottom w:val="single" w:sz="2" w:space="0" w:color="1AFF7E" w:themeColor="accent1" w:themeTint="99"/>
        <w:insideH w:val="single" w:sz="2" w:space="0" w:color="1AFF7E" w:themeColor="accent1" w:themeTint="99"/>
        <w:insideV w:val="single" w:sz="2" w:space="0" w:color="1AFF7E" w:themeColor="accent1" w:themeTint="99"/>
      </w:tblBorders>
    </w:tblPr>
    <w:tblStylePr w:type="firstRow">
      <w:rPr>
        <w:b/>
        <w:bCs/>
      </w:rPr>
      <w:tblPr/>
      <w:tcPr>
        <w:tcBorders>
          <w:top w:val="nil"/>
          <w:bottom w:val="single" w:sz="12" w:space="0" w:color="1AFF7E" w:themeColor="accent1" w:themeTint="99"/>
          <w:insideH w:val="nil"/>
          <w:insideV w:val="nil"/>
        </w:tcBorders>
        <w:shd w:val="clear" w:color="auto" w:fill="FFFFFF" w:themeFill="background1"/>
      </w:tcPr>
    </w:tblStylePr>
    <w:tblStylePr w:type="lastRow">
      <w:rPr>
        <w:b/>
        <w:bCs/>
      </w:rPr>
      <w:tblPr/>
      <w:tcPr>
        <w:tcBorders>
          <w:top w:val="double" w:sz="2" w:space="0" w:color="1AFF7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2-Accent3">
    <w:name w:val="Grid Table 2 Accent 3"/>
    <w:basedOn w:val="TableNormal"/>
    <w:uiPriority w:val="47"/>
    <w:pPr>
      <w:spacing w:after="0"/>
    </w:pPr>
    <w:tblPr>
      <w:tblStyleRowBandSize w:val="1"/>
      <w:tblStyleColBandSize w:val="1"/>
      <w:tblBorders>
        <w:top w:val="single" w:sz="2" w:space="0" w:color="7CB7FE" w:themeColor="accent3" w:themeTint="99"/>
        <w:bottom w:val="single" w:sz="2" w:space="0" w:color="7CB7FE" w:themeColor="accent3" w:themeTint="99"/>
        <w:insideH w:val="single" w:sz="2" w:space="0" w:color="7CB7FE" w:themeColor="accent3" w:themeTint="99"/>
        <w:insideV w:val="single" w:sz="2" w:space="0" w:color="7CB7FE" w:themeColor="accent3" w:themeTint="99"/>
      </w:tblBorders>
    </w:tblPr>
    <w:tblStylePr w:type="firstRow">
      <w:rPr>
        <w:b/>
        <w:bCs/>
      </w:rPr>
      <w:tblPr/>
      <w:tcPr>
        <w:tcBorders>
          <w:top w:val="nil"/>
          <w:bottom w:val="single" w:sz="12" w:space="0" w:color="7CB7FE" w:themeColor="accent3" w:themeTint="99"/>
          <w:insideH w:val="nil"/>
          <w:insideV w:val="nil"/>
        </w:tcBorders>
        <w:shd w:val="clear" w:color="auto" w:fill="FFFFFF" w:themeFill="background1"/>
      </w:tcPr>
    </w:tblStylePr>
    <w:tblStylePr w:type="lastRow">
      <w:rPr>
        <w:b/>
        <w:bCs/>
      </w:rPr>
      <w:tblPr/>
      <w:tcPr>
        <w:tcBorders>
          <w:top w:val="double" w:sz="2" w:space="0" w:color="7CB7F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2-Accent4">
    <w:name w:val="Grid Table 2 Accent 4"/>
    <w:basedOn w:val="TableNormal"/>
    <w:uiPriority w:val="47"/>
    <w:pPr>
      <w:spacing w:after="0"/>
    </w:pPr>
    <w:tblPr>
      <w:tblStyleRowBandSize w:val="1"/>
      <w:tblStyleColBandSize w:val="1"/>
      <w:tblBorders>
        <w:top w:val="single" w:sz="2" w:space="0" w:color="FDCC6A" w:themeColor="accent4" w:themeTint="99"/>
        <w:bottom w:val="single" w:sz="2" w:space="0" w:color="FDCC6A" w:themeColor="accent4" w:themeTint="99"/>
        <w:insideH w:val="single" w:sz="2" w:space="0" w:color="FDCC6A" w:themeColor="accent4" w:themeTint="99"/>
        <w:insideV w:val="single" w:sz="2" w:space="0" w:color="FDCC6A" w:themeColor="accent4" w:themeTint="99"/>
      </w:tblBorders>
    </w:tblPr>
    <w:tblStylePr w:type="firstRow">
      <w:rPr>
        <w:b/>
        <w:bCs/>
      </w:rPr>
      <w:tblPr/>
      <w:tcPr>
        <w:tcBorders>
          <w:top w:val="nil"/>
          <w:bottom w:val="single" w:sz="12" w:space="0" w:color="FDCC6A" w:themeColor="accent4" w:themeTint="99"/>
          <w:insideH w:val="nil"/>
          <w:insideV w:val="nil"/>
        </w:tcBorders>
        <w:shd w:val="clear" w:color="auto" w:fill="FFFFFF" w:themeFill="background1"/>
      </w:tcPr>
    </w:tblStylePr>
    <w:tblStylePr w:type="lastRow">
      <w:rPr>
        <w:b/>
        <w:bCs/>
      </w:rPr>
      <w:tblPr/>
      <w:tcPr>
        <w:tcBorders>
          <w:top w:val="double" w:sz="2" w:space="0" w:color="FDCC6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2-Accent5">
    <w:name w:val="Grid Table 2 Accent 5"/>
    <w:basedOn w:val="TableNormal"/>
    <w:uiPriority w:val="47"/>
    <w:pPr>
      <w:spacing w:after="0"/>
    </w:pPr>
    <w:tblPr>
      <w:tblStyleRowBandSize w:val="1"/>
      <w:tblStyleColBandSize w:val="1"/>
      <w:tblBorders>
        <w:top w:val="single" w:sz="2" w:space="0" w:color="F06C9B" w:themeColor="accent5" w:themeTint="99"/>
        <w:bottom w:val="single" w:sz="2" w:space="0" w:color="F06C9B" w:themeColor="accent5" w:themeTint="99"/>
        <w:insideH w:val="single" w:sz="2" w:space="0" w:color="F06C9B" w:themeColor="accent5" w:themeTint="99"/>
        <w:insideV w:val="single" w:sz="2" w:space="0" w:color="F06C9B" w:themeColor="accent5" w:themeTint="99"/>
      </w:tblBorders>
    </w:tblPr>
    <w:tblStylePr w:type="firstRow">
      <w:rPr>
        <w:b/>
        <w:bCs/>
      </w:rPr>
      <w:tblPr/>
      <w:tcPr>
        <w:tcBorders>
          <w:top w:val="nil"/>
          <w:bottom w:val="single" w:sz="12" w:space="0" w:color="F06C9B" w:themeColor="accent5" w:themeTint="99"/>
          <w:insideH w:val="nil"/>
          <w:insideV w:val="nil"/>
        </w:tcBorders>
        <w:shd w:val="clear" w:color="auto" w:fill="FFFFFF" w:themeFill="background1"/>
      </w:tcPr>
    </w:tblStylePr>
    <w:tblStylePr w:type="lastRow">
      <w:rPr>
        <w:b/>
        <w:bCs/>
      </w:rPr>
      <w:tblPr/>
      <w:tcPr>
        <w:tcBorders>
          <w:top w:val="double" w:sz="2" w:space="0" w:color="F06C9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2-Accent6">
    <w:name w:val="Grid Table 2 Accent 6"/>
    <w:basedOn w:val="TableNormal"/>
    <w:uiPriority w:val="47"/>
    <w:pPr>
      <w:spacing w:after="0"/>
    </w:pPr>
    <w:tblPr>
      <w:tblStyleRowBandSize w:val="1"/>
      <w:tblStyleColBandSize w:val="1"/>
      <w:tblBorders>
        <w:top w:val="single" w:sz="2" w:space="0" w:color="AB73D5" w:themeColor="accent6" w:themeTint="99"/>
        <w:bottom w:val="single" w:sz="2" w:space="0" w:color="AB73D5" w:themeColor="accent6" w:themeTint="99"/>
        <w:insideH w:val="single" w:sz="2" w:space="0" w:color="AB73D5" w:themeColor="accent6" w:themeTint="99"/>
        <w:insideV w:val="single" w:sz="2" w:space="0" w:color="AB73D5" w:themeColor="accent6" w:themeTint="99"/>
      </w:tblBorders>
    </w:tblPr>
    <w:tblStylePr w:type="firstRow">
      <w:rPr>
        <w:b/>
        <w:bCs/>
      </w:rPr>
      <w:tblPr/>
      <w:tcPr>
        <w:tcBorders>
          <w:top w:val="nil"/>
          <w:bottom w:val="single" w:sz="12" w:space="0" w:color="AB73D5" w:themeColor="accent6" w:themeTint="99"/>
          <w:insideH w:val="nil"/>
          <w:insideV w:val="nil"/>
        </w:tcBorders>
        <w:shd w:val="clear" w:color="auto" w:fill="FFFFFF" w:themeFill="background1"/>
      </w:tcPr>
    </w:tblStylePr>
    <w:tblStylePr w:type="lastRow">
      <w:rPr>
        <w:b/>
        <w:bCs/>
      </w:rPr>
      <w:tblPr/>
      <w:tcPr>
        <w:tcBorders>
          <w:top w:val="double" w:sz="2" w:space="0" w:color="AB73D5"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3">
    <w:name w:val="Grid Table 3"/>
    <w:basedOn w:val="TableNormal"/>
    <w:uiPriority w:val="48"/>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pPr>
      <w:spacing w:after="0"/>
    </w:p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bottom w:val="single" w:sz="4" w:space="0" w:color="1AFF7E" w:themeColor="accent1" w:themeTint="99"/>
        </w:tcBorders>
      </w:tcPr>
    </w:tblStylePr>
    <w:tblStylePr w:type="nwCell">
      <w:tblPr/>
      <w:tcPr>
        <w:tcBorders>
          <w:bottom w:val="single" w:sz="4" w:space="0" w:color="1AFF7E" w:themeColor="accent1" w:themeTint="99"/>
        </w:tcBorders>
      </w:tcPr>
    </w:tblStylePr>
    <w:tblStylePr w:type="seCell">
      <w:tblPr/>
      <w:tcPr>
        <w:tcBorders>
          <w:top w:val="single" w:sz="4" w:space="0" w:color="1AFF7E" w:themeColor="accent1" w:themeTint="99"/>
        </w:tcBorders>
      </w:tcPr>
    </w:tblStylePr>
    <w:tblStylePr w:type="swCell">
      <w:tblPr/>
      <w:tcPr>
        <w:tcBorders>
          <w:top w:val="single" w:sz="4" w:space="0" w:color="1AFF7E" w:themeColor="accent1" w:themeTint="99"/>
        </w:tcBorders>
      </w:tcPr>
    </w:tblStylePr>
  </w:style>
  <w:style w:type="table" w:styleId="GridTable3-Accent2">
    <w:name w:val="Grid Table 3 Accent 2"/>
    <w:basedOn w:val="TableNormal"/>
    <w:uiPriority w:val="48"/>
    <w:pPr>
      <w:spacing w:after="0"/>
    </w:p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6" w:themeFill="accent2" w:themeFillTint="33"/>
      </w:tcPr>
    </w:tblStylePr>
    <w:tblStylePr w:type="band1Horz">
      <w:tblPr/>
      <w:tcPr>
        <w:shd w:val="clear" w:color="auto" w:fill="FEDEC6" w:themeFill="accent2" w:themeFillTint="33"/>
      </w:tcPr>
    </w:tblStylePr>
    <w:tblStylePr w:type="neCell">
      <w:tblPr/>
      <w:tcPr>
        <w:tcBorders>
          <w:bottom w:val="single" w:sz="4" w:space="0" w:color="FD9C54" w:themeColor="accent2" w:themeTint="99"/>
        </w:tcBorders>
      </w:tcPr>
    </w:tblStylePr>
    <w:tblStylePr w:type="nwCell">
      <w:tblPr/>
      <w:tcPr>
        <w:tcBorders>
          <w:bottom w:val="single" w:sz="4" w:space="0" w:color="FD9C54" w:themeColor="accent2" w:themeTint="99"/>
        </w:tcBorders>
      </w:tcPr>
    </w:tblStylePr>
    <w:tblStylePr w:type="seCell">
      <w:tblPr/>
      <w:tcPr>
        <w:tcBorders>
          <w:top w:val="single" w:sz="4" w:space="0" w:color="FD9C54" w:themeColor="accent2" w:themeTint="99"/>
        </w:tcBorders>
      </w:tcPr>
    </w:tblStylePr>
    <w:tblStylePr w:type="swCell">
      <w:tblPr/>
      <w:tcPr>
        <w:tcBorders>
          <w:top w:val="single" w:sz="4" w:space="0" w:color="FD9C54" w:themeColor="accent2" w:themeTint="99"/>
        </w:tcBorders>
      </w:tcPr>
    </w:tblStylePr>
  </w:style>
  <w:style w:type="table" w:styleId="GridTable3-Accent3">
    <w:name w:val="Grid Table 3 Accent 3"/>
    <w:basedOn w:val="TableNormal"/>
    <w:uiPriority w:val="48"/>
    <w:pPr>
      <w:spacing w:after="0"/>
    </w:p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bottom w:val="single" w:sz="4" w:space="0" w:color="7CB7FE" w:themeColor="accent3" w:themeTint="99"/>
        </w:tcBorders>
      </w:tcPr>
    </w:tblStylePr>
    <w:tblStylePr w:type="nwCell">
      <w:tblPr/>
      <w:tcPr>
        <w:tcBorders>
          <w:bottom w:val="single" w:sz="4" w:space="0" w:color="7CB7FE" w:themeColor="accent3" w:themeTint="99"/>
        </w:tcBorders>
      </w:tcPr>
    </w:tblStylePr>
    <w:tblStylePr w:type="seCell">
      <w:tblPr/>
      <w:tcPr>
        <w:tcBorders>
          <w:top w:val="single" w:sz="4" w:space="0" w:color="7CB7FE" w:themeColor="accent3" w:themeTint="99"/>
        </w:tcBorders>
      </w:tcPr>
    </w:tblStylePr>
    <w:tblStylePr w:type="swCell">
      <w:tblPr/>
      <w:tcPr>
        <w:tcBorders>
          <w:top w:val="single" w:sz="4" w:space="0" w:color="7CB7FE" w:themeColor="accent3" w:themeTint="99"/>
        </w:tcBorders>
      </w:tcPr>
    </w:tblStylePr>
  </w:style>
  <w:style w:type="table" w:styleId="GridTable3-Accent4">
    <w:name w:val="Grid Table 3 Accent 4"/>
    <w:basedOn w:val="TableNormal"/>
    <w:uiPriority w:val="48"/>
    <w:pPr>
      <w:spacing w:after="0"/>
    </w:p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bottom w:val="single" w:sz="4" w:space="0" w:color="FDCC6A" w:themeColor="accent4" w:themeTint="99"/>
        </w:tcBorders>
      </w:tcPr>
    </w:tblStylePr>
    <w:tblStylePr w:type="nwCell">
      <w:tblPr/>
      <w:tcPr>
        <w:tcBorders>
          <w:bottom w:val="single" w:sz="4" w:space="0" w:color="FDCC6A" w:themeColor="accent4" w:themeTint="99"/>
        </w:tcBorders>
      </w:tcPr>
    </w:tblStylePr>
    <w:tblStylePr w:type="seCell">
      <w:tblPr/>
      <w:tcPr>
        <w:tcBorders>
          <w:top w:val="single" w:sz="4" w:space="0" w:color="FDCC6A" w:themeColor="accent4" w:themeTint="99"/>
        </w:tcBorders>
      </w:tcPr>
    </w:tblStylePr>
    <w:tblStylePr w:type="swCell">
      <w:tblPr/>
      <w:tcPr>
        <w:tcBorders>
          <w:top w:val="single" w:sz="4" w:space="0" w:color="FDCC6A" w:themeColor="accent4" w:themeTint="99"/>
        </w:tcBorders>
      </w:tcPr>
    </w:tblStylePr>
  </w:style>
  <w:style w:type="table" w:styleId="GridTable3-Accent5">
    <w:name w:val="Grid Table 3 Accent 5"/>
    <w:basedOn w:val="TableNormal"/>
    <w:uiPriority w:val="48"/>
    <w:pPr>
      <w:spacing w:after="0"/>
    </w:p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bottom w:val="single" w:sz="4" w:space="0" w:color="F06C9B" w:themeColor="accent5" w:themeTint="99"/>
        </w:tcBorders>
      </w:tcPr>
    </w:tblStylePr>
    <w:tblStylePr w:type="nwCell">
      <w:tblPr/>
      <w:tcPr>
        <w:tcBorders>
          <w:bottom w:val="single" w:sz="4" w:space="0" w:color="F06C9B" w:themeColor="accent5" w:themeTint="99"/>
        </w:tcBorders>
      </w:tcPr>
    </w:tblStylePr>
    <w:tblStylePr w:type="seCell">
      <w:tblPr/>
      <w:tcPr>
        <w:tcBorders>
          <w:top w:val="single" w:sz="4" w:space="0" w:color="F06C9B" w:themeColor="accent5" w:themeTint="99"/>
        </w:tcBorders>
      </w:tcPr>
    </w:tblStylePr>
    <w:tblStylePr w:type="swCell">
      <w:tblPr/>
      <w:tcPr>
        <w:tcBorders>
          <w:top w:val="single" w:sz="4" w:space="0" w:color="F06C9B" w:themeColor="accent5" w:themeTint="99"/>
        </w:tcBorders>
      </w:tcPr>
    </w:tblStylePr>
  </w:style>
  <w:style w:type="table" w:styleId="GridTable3-Accent6">
    <w:name w:val="Grid Table 3 Accent 6"/>
    <w:basedOn w:val="TableNormal"/>
    <w:uiPriority w:val="48"/>
    <w:pPr>
      <w:spacing w:after="0"/>
    </w:p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bottom w:val="single" w:sz="4" w:space="0" w:color="AB73D5" w:themeColor="accent6" w:themeTint="99"/>
        </w:tcBorders>
      </w:tcPr>
    </w:tblStylePr>
    <w:tblStylePr w:type="nwCell">
      <w:tblPr/>
      <w:tcPr>
        <w:tcBorders>
          <w:bottom w:val="single" w:sz="4" w:space="0" w:color="AB73D5" w:themeColor="accent6" w:themeTint="99"/>
        </w:tcBorders>
      </w:tcPr>
    </w:tblStylePr>
    <w:tblStylePr w:type="seCell">
      <w:tblPr/>
      <w:tcPr>
        <w:tcBorders>
          <w:top w:val="single" w:sz="4" w:space="0" w:color="AB73D5" w:themeColor="accent6" w:themeTint="99"/>
        </w:tcBorders>
      </w:tcPr>
    </w:tblStylePr>
    <w:tblStylePr w:type="swCell">
      <w:tblPr/>
      <w:tcPr>
        <w:tcBorders>
          <w:top w:val="single" w:sz="4" w:space="0" w:color="AB73D5" w:themeColor="accent6" w:themeTint="99"/>
        </w:tcBorders>
      </w:tcPr>
    </w:tblStylePr>
  </w:style>
  <w:style w:type="table" w:styleId="GridTable4">
    <w:name w:val="Grid Table 4"/>
    <w:basedOn w:val="TableNormal"/>
    <w:uiPriority w:val="49"/>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pPr>
      <w:spacing w:after="0"/>
    </w:p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color w:val="FFFFFF" w:themeColor="background1"/>
      </w:rPr>
      <w:tblPr/>
      <w:tcPr>
        <w:tcBorders>
          <w:top w:val="single" w:sz="4" w:space="0" w:color="008139" w:themeColor="accent1"/>
          <w:left w:val="single" w:sz="4" w:space="0" w:color="008139" w:themeColor="accent1"/>
          <w:bottom w:val="single" w:sz="4" w:space="0" w:color="008139" w:themeColor="accent1"/>
          <w:right w:val="single" w:sz="4" w:space="0" w:color="008139" w:themeColor="accent1"/>
          <w:insideH w:val="nil"/>
          <w:insideV w:val="nil"/>
        </w:tcBorders>
        <w:shd w:val="clear" w:color="auto" w:fill="008139" w:themeFill="accent1"/>
      </w:tcPr>
    </w:tblStylePr>
    <w:tblStylePr w:type="lastRow">
      <w:rPr>
        <w:b/>
        <w:bCs/>
      </w:rPr>
      <w:tblPr/>
      <w:tcPr>
        <w:tcBorders>
          <w:top w:val="double" w:sz="4" w:space="0" w:color="008139" w:themeColor="accent1"/>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4-Accent3">
    <w:name w:val="Grid Table 4 Accent 3"/>
    <w:basedOn w:val="TableNormal"/>
    <w:uiPriority w:val="49"/>
    <w:pPr>
      <w:spacing w:after="0"/>
    </w:p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color w:val="FFFFFF" w:themeColor="background1"/>
      </w:rPr>
      <w:tblPr/>
      <w:tcPr>
        <w:tcBorders>
          <w:top w:val="single" w:sz="4" w:space="0" w:color="2688FE" w:themeColor="accent3"/>
          <w:left w:val="single" w:sz="4" w:space="0" w:color="2688FE" w:themeColor="accent3"/>
          <w:bottom w:val="single" w:sz="4" w:space="0" w:color="2688FE" w:themeColor="accent3"/>
          <w:right w:val="single" w:sz="4" w:space="0" w:color="2688FE" w:themeColor="accent3"/>
          <w:insideH w:val="nil"/>
          <w:insideV w:val="nil"/>
        </w:tcBorders>
        <w:shd w:val="clear" w:color="auto" w:fill="2688FE" w:themeFill="accent3"/>
      </w:tcPr>
    </w:tblStylePr>
    <w:tblStylePr w:type="lastRow">
      <w:rPr>
        <w:b/>
        <w:bCs/>
      </w:rPr>
      <w:tblPr/>
      <w:tcPr>
        <w:tcBorders>
          <w:top w:val="double" w:sz="4" w:space="0" w:color="2688FE" w:themeColor="accent3"/>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4-Accent4">
    <w:name w:val="Grid Table 4 Accent 4"/>
    <w:basedOn w:val="TableNormal"/>
    <w:uiPriority w:val="49"/>
    <w:pPr>
      <w:spacing w:after="0"/>
    </w:p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color w:val="FFFFFF" w:themeColor="background1"/>
      </w:rPr>
      <w:tblPr/>
      <w:tcPr>
        <w:tcBorders>
          <w:top w:val="single" w:sz="4" w:space="0" w:color="FDAB07" w:themeColor="accent4"/>
          <w:left w:val="single" w:sz="4" w:space="0" w:color="FDAB07" w:themeColor="accent4"/>
          <w:bottom w:val="single" w:sz="4" w:space="0" w:color="FDAB07" w:themeColor="accent4"/>
          <w:right w:val="single" w:sz="4" w:space="0" w:color="FDAB07" w:themeColor="accent4"/>
          <w:insideH w:val="nil"/>
          <w:insideV w:val="nil"/>
        </w:tcBorders>
        <w:shd w:val="clear" w:color="auto" w:fill="FDAB07" w:themeFill="accent4"/>
      </w:tcPr>
    </w:tblStylePr>
    <w:tblStylePr w:type="lastRow">
      <w:rPr>
        <w:b/>
        <w:bCs/>
      </w:rPr>
      <w:tblPr/>
      <w:tcPr>
        <w:tcBorders>
          <w:top w:val="double" w:sz="4" w:space="0" w:color="FDAB07" w:themeColor="accent4"/>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4-Accent5">
    <w:name w:val="Grid Table 4 Accent 5"/>
    <w:basedOn w:val="TableNormal"/>
    <w:uiPriority w:val="49"/>
    <w:pPr>
      <w:spacing w:after="0"/>
    </w:p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color w:val="FFFFFF" w:themeColor="background1"/>
      </w:rPr>
      <w:tblPr/>
      <w:tcPr>
        <w:tcBorders>
          <w:top w:val="single" w:sz="4" w:space="0" w:color="DC165D" w:themeColor="accent5"/>
          <w:left w:val="single" w:sz="4" w:space="0" w:color="DC165D" w:themeColor="accent5"/>
          <w:bottom w:val="single" w:sz="4" w:space="0" w:color="DC165D" w:themeColor="accent5"/>
          <w:right w:val="single" w:sz="4" w:space="0" w:color="DC165D" w:themeColor="accent5"/>
          <w:insideH w:val="nil"/>
          <w:insideV w:val="nil"/>
        </w:tcBorders>
        <w:shd w:val="clear" w:color="auto" w:fill="DC165D" w:themeFill="accent5"/>
      </w:tcPr>
    </w:tblStylePr>
    <w:tblStylePr w:type="lastRow">
      <w:rPr>
        <w:b/>
        <w:bCs/>
      </w:rPr>
      <w:tblPr/>
      <w:tcPr>
        <w:tcBorders>
          <w:top w:val="double" w:sz="4" w:space="0" w:color="DC165D" w:themeColor="accent5"/>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4-Accent6">
    <w:name w:val="Grid Table 4 Accent 6"/>
    <w:basedOn w:val="TableNormal"/>
    <w:uiPriority w:val="49"/>
    <w:pPr>
      <w:spacing w:after="0"/>
    </w:p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color w:val="FFFFFF"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insideV w:val="nil"/>
        </w:tcBorders>
        <w:shd w:val="clear" w:color="auto" w:fill="7030A0" w:themeFill="accent6"/>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5Dark">
    <w:name w:val="Grid Table 5 Dark"/>
    <w:basedOn w:val="TableNormal"/>
    <w:uiPriority w:val="50"/>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FFD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13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13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13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139" w:themeFill="accent1"/>
      </w:tcPr>
    </w:tblStylePr>
    <w:tblStylePr w:type="band1Vert">
      <w:tblPr/>
      <w:tcPr>
        <w:shd w:val="clear" w:color="auto" w:fill="66FFA9" w:themeFill="accent1" w:themeFillTint="66"/>
      </w:tcPr>
    </w:tblStylePr>
    <w:tblStylePr w:type="band1Horz">
      <w:tblPr/>
      <w:tcPr>
        <w:shd w:val="clear" w:color="auto" w:fill="66FFA9" w:themeFill="accent1" w:themeFillTint="66"/>
      </w:tcPr>
    </w:tblStylePr>
  </w:style>
  <w:style w:type="table" w:styleId="GridTable5Dark-Accent2">
    <w:name w:val="Grid Table 5 Dark Accent 2"/>
    <w:basedOn w:val="TableNormal"/>
    <w:uiPriority w:val="50"/>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DEC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600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600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600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6002" w:themeFill="accent2"/>
      </w:tcPr>
    </w:tblStylePr>
    <w:tblStylePr w:type="band1Vert">
      <w:tblPr/>
      <w:tcPr>
        <w:shd w:val="clear" w:color="auto" w:fill="FEBD8D" w:themeFill="accent2" w:themeFillTint="66"/>
      </w:tcPr>
    </w:tblStylePr>
    <w:tblStylePr w:type="band1Horz">
      <w:tblPr/>
      <w:tcPr>
        <w:shd w:val="clear" w:color="auto" w:fill="FEBD8D" w:themeFill="accent2" w:themeFillTint="66"/>
      </w:tcPr>
    </w:tblStylePr>
  </w:style>
  <w:style w:type="table" w:styleId="GridTable5Dark-Accent3">
    <w:name w:val="Grid Table 5 Dark Accent 3"/>
    <w:basedOn w:val="TableNormal"/>
    <w:uiPriority w:val="50"/>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E7F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688F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688F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688F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688FE" w:themeFill="accent3"/>
      </w:tcPr>
    </w:tblStylePr>
    <w:tblStylePr w:type="band1Vert">
      <w:tblPr/>
      <w:tcPr>
        <w:shd w:val="clear" w:color="auto" w:fill="A8CFFE" w:themeFill="accent3" w:themeFillTint="66"/>
      </w:tcPr>
    </w:tblStylePr>
    <w:tblStylePr w:type="band1Horz">
      <w:tblPr/>
      <w:tcPr>
        <w:shd w:val="clear" w:color="auto" w:fill="A8CFFE" w:themeFill="accent3" w:themeFillTint="66"/>
      </w:tcPr>
    </w:tblStylePr>
  </w:style>
  <w:style w:type="table" w:styleId="GridTable5Dark-Accent4">
    <w:name w:val="Grid Table 5 Dark Accent 4"/>
    <w:basedOn w:val="TableNormal"/>
    <w:uiPriority w:val="50"/>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EEC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DAB0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DAB0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DAB0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DAB07" w:themeFill="accent4"/>
      </w:tcPr>
    </w:tblStylePr>
    <w:tblStylePr w:type="band1Vert">
      <w:tblPr/>
      <w:tcPr>
        <w:shd w:val="clear" w:color="auto" w:fill="FEDD9B" w:themeFill="accent4" w:themeFillTint="66"/>
      </w:tcPr>
    </w:tblStylePr>
    <w:tblStylePr w:type="band1Horz">
      <w:tblPr/>
      <w:tcPr>
        <w:shd w:val="clear" w:color="auto" w:fill="FEDD9B" w:themeFill="accent4" w:themeFillTint="66"/>
      </w:tcPr>
    </w:tblStylePr>
  </w:style>
  <w:style w:type="table" w:styleId="GridTable5Dark-Accent5">
    <w:name w:val="Grid Table 5 Dark Accent 5"/>
    <w:basedOn w:val="TableNormal"/>
    <w:uiPriority w:val="50"/>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CED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C165D"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C165D"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C165D"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C165D" w:themeFill="accent5"/>
      </w:tcPr>
    </w:tblStylePr>
    <w:tblStylePr w:type="band1Vert">
      <w:tblPr/>
      <w:tcPr>
        <w:shd w:val="clear" w:color="auto" w:fill="F59DBC" w:themeFill="accent5" w:themeFillTint="66"/>
      </w:tcPr>
    </w:tblStylePr>
    <w:tblStylePr w:type="band1Horz">
      <w:tblPr/>
      <w:tcPr>
        <w:shd w:val="clear" w:color="auto" w:fill="F59DBC" w:themeFill="accent5" w:themeFillTint="66"/>
      </w:tcPr>
    </w:tblStylePr>
  </w:style>
  <w:style w:type="table" w:styleId="GridTable5Dark-Accent6">
    <w:name w:val="Grid Table 5 Dark Accent 6"/>
    <w:basedOn w:val="TableNormal"/>
    <w:uiPriority w:val="50"/>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D0F1"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30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30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30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30A0" w:themeFill="accent6"/>
      </w:tcPr>
    </w:tblStylePr>
    <w:tblStylePr w:type="band1Vert">
      <w:tblPr/>
      <w:tcPr>
        <w:shd w:val="clear" w:color="auto" w:fill="C6A1E3" w:themeFill="accent6" w:themeFillTint="66"/>
      </w:tcPr>
    </w:tblStylePr>
    <w:tblStylePr w:type="band1Horz">
      <w:tblPr/>
      <w:tcPr>
        <w:shd w:val="clear" w:color="auto" w:fill="C6A1E3" w:themeFill="accent6" w:themeFillTint="66"/>
      </w:tcPr>
    </w:tblStylePr>
  </w:style>
  <w:style w:type="table" w:styleId="GridTable6Colorful">
    <w:name w:val="Grid Table 6 Colorful"/>
    <w:basedOn w:val="TableNormal"/>
    <w:uiPriority w:val="51"/>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pPr>
      <w:spacing w:after="0"/>
    </w:pPr>
    <w:rPr>
      <w:color w:val="00602A" w:themeColor="accent1" w:themeShade="BF"/>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bottom w:val="single" w:sz="12" w:space="0" w:color="1AFF7E" w:themeColor="accent1" w:themeTint="99"/>
        </w:tcBorders>
      </w:tcPr>
    </w:tblStylePr>
    <w:tblStylePr w:type="lastRow">
      <w:rPr>
        <w:b/>
        <w:bCs/>
      </w:rPr>
      <w:tblPr/>
      <w:tcPr>
        <w:tcBorders>
          <w:top w:val="doub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6Colorful-Accent2">
    <w:name w:val="Grid Table 6 Colorful Accent 2"/>
    <w:basedOn w:val="TableNormal"/>
    <w:uiPriority w:val="51"/>
    <w:pPr>
      <w:spacing w:after="0"/>
    </w:pPr>
    <w:rPr>
      <w:color w:val="A64701" w:themeColor="accent2" w:themeShade="BF"/>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rPr>
      <w:tblPr/>
      <w:tcPr>
        <w:tcBorders>
          <w:bottom w:val="single" w:sz="12" w:space="0" w:color="FD9C54" w:themeColor="accent2" w:themeTint="99"/>
        </w:tcBorders>
      </w:tcPr>
    </w:tblStylePr>
    <w:tblStylePr w:type="lastRow">
      <w:rPr>
        <w:b/>
        <w:bCs/>
      </w:rPr>
      <w:tblPr/>
      <w:tcPr>
        <w:tcBorders>
          <w:top w:val="double" w:sz="4" w:space="0" w:color="FD9C54" w:themeColor="accent2" w:themeTint="99"/>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GridTable6Colorful-Accent3">
    <w:name w:val="Grid Table 6 Colorful Accent 3"/>
    <w:basedOn w:val="TableNormal"/>
    <w:uiPriority w:val="51"/>
    <w:pPr>
      <w:spacing w:after="0"/>
    </w:pPr>
    <w:rPr>
      <w:color w:val="0162D9" w:themeColor="accent3" w:themeShade="BF"/>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bottom w:val="single" w:sz="12" w:space="0" w:color="7CB7FE" w:themeColor="accent3" w:themeTint="99"/>
        </w:tcBorders>
      </w:tcPr>
    </w:tblStylePr>
    <w:tblStylePr w:type="lastRow">
      <w:rPr>
        <w:b/>
        <w:bCs/>
      </w:rPr>
      <w:tblPr/>
      <w:tcPr>
        <w:tcBorders>
          <w:top w:val="doub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6Colorful-Accent4">
    <w:name w:val="Grid Table 6 Colorful Accent 4"/>
    <w:basedOn w:val="TableNormal"/>
    <w:uiPriority w:val="51"/>
    <w:pPr>
      <w:spacing w:after="0"/>
    </w:pPr>
    <w:rPr>
      <w:color w:val="C18101" w:themeColor="accent4" w:themeShade="BF"/>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bottom w:val="single" w:sz="12" w:space="0" w:color="FDCC6A" w:themeColor="accent4" w:themeTint="99"/>
        </w:tcBorders>
      </w:tcPr>
    </w:tblStylePr>
    <w:tblStylePr w:type="lastRow">
      <w:rPr>
        <w:b/>
        <w:bCs/>
      </w:rPr>
      <w:tblPr/>
      <w:tcPr>
        <w:tcBorders>
          <w:top w:val="doub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6Colorful-Accent5">
    <w:name w:val="Grid Table 6 Colorful Accent 5"/>
    <w:basedOn w:val="TableNormal"/>
    <w:uiPriority w:val="51"/>
    <w:pPr>
      <w:spacing w:after="0"/>
    </w:pPr>
    <w:rPr>
      <w:color w:val="A41045" w:themeColor="accent5" w:themeShade="BF"/>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bottom w:val="single" w:sz="12" w:space="0" w:color="F06C9B" w:themeColor="accent5" w:themeTint="99"/>
        </w:tcBorders>
      </w:tcPr>
    </w:tblStylePr>
    <w:tblStylePr w:type="lastRow">
      <w:rPr>
        <w:b/>
        <w:bCs/>
      </w:rPr>
      <w:tblPr/>
      <w:tcPr>
        <w:tcBorders>
          <w:top w:val="doub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6Colorful-Accent6">
    <w:name w:val="Grid Table 6 Colorful Accent 6"/>
    <w:basedOn w:val="TableNormal"/>
    <w:uiPriority w:val="51"/>
    <w:pPr>
      <w:spacing w:after="0"/>
    </w:pPr>
    <w:rPr>
      <w:color w:val="532477" w:themeColor="accent6" w:themeShade="BF"/>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bottom w:val="single" w:sz="12" w:space="0" w:color="AB73D5" w:themeColor="accent6" w:themeTint="99"/>
        </w:tcBorders>
      </w:tcPr>
    </w:tblStylePr>
    <w:tblStylePr w:type="lastRow">
      <w:rPr>
        <w:b/>
        <w:bCs/>
      </w:rPr>
      <w:tblPr/>
      <w:tcPr>
        <w:tcBorders>
          <w:top w:val="doub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7Colorful">
    <w:name w:val="Grid Table 7 Colorful"/>
    <w:basedOn w:val="TableNormal"/>
    <w:uiPriority w:val="52"/>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pPr>
      <w:spacing w:after="0"/>
    </w:pPr>
    <w:rPr>
      <w:color w:val="00602A" w:themeColor="accent1" w:themeShade="BF"/>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bottom w:val="single" w:sz="4" w:space="0" w:color="1AFF7E" w:themeColor="accent1" w:themeTint="99"/>
        </w:tcBorders>
      </w:tcPr>
    </w:tblStylePr>
    <w:tblStylePr w:type="nwCell">
      <w:tblPr/>
      <w:tcPr>
        <w:tcBorders>
          <w:bottom w:val="single" w:sz="4" w:space="0" w:color="1AFF7E" w:themeColor="accent1" w:themeTint="99"/>
        </w:tcBorders>
      </w:tcPr>
    </w:tblStylePr>
    <w:tblStylePr w:type="seCell">
      <w:tblPr/>
      <w:tcPr>
        <w:tcBorders>
          <w:top w:val="single" w:sz="4" w:space="0" w:color="1AFF7E" w:themeColor="accent1" w:themeTint="99"/>
        </w:tcBorders>
      </w:tcPr>
    </w:tblStylePr>
    <w:tblStylePr w:type="swCell">
      <w:tblPr/>
      <w:tcPr>
        <w:tcBorders>
          <w:top w:val="single" w:sz="4" w:space="0" w:color="1AFF7E" w:themeColor="accent1" w:themeTint="99"/>
        </w:tcBorders>
      </w:tcPr>
    </w:tblStylePr>
  </w:style>
  <w:style w:type="table" w:styleId="GridTable7Colorful-Accent2">
    <w:name w:val="Grid Table 7 Colorful Accent 2"/>
    <w:basedOn w:val="TableNormal"/>
    <w:uiPriority w:val="52"/>
    <w:pPr>
      <w:spacing w:after="0"/>
    </w:pPr>
    <w:rPr>
      <w:color w:val="A64701" w:themeColor="accent2" w:themeShade="BF"/>
    </w:r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insideV w:val="single" w:sz="4" w:space="0" w:color="FD9C5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6" w:themeFill="accent2" w:themeFillTint="33"/>
      </w:tcPr>
    </w:tblStylePr>
    <w:tblStylePr w:type="band1Horz">
      <w:tblPr/>
      <w:tcPr>
        <w:shd w:val="clear" w:color="auto" w:fill="FEDEC6" w:themeFill="accent2" w:themeFillTint="33"/>
      </w:tcPr>
    </w:tblStylePr>
    <w:tblStylePr w:type="neCell">
      <w:tblPr/>
      <w:tcPr>
        <w:tcBorders>
          <w:bottom w:val="single" w:sz="4" w:space="0" w:color="FD9C54" w:themeColor="accent2" w:themeTint="99"/>
        </w:tcBorders>
      </w:tcPr>
    </w:tblStylePr>
    <w:tblStylePr w:type="nwCell">
      <w:tblPr/>
      <w:tcPr>
        <w:tcBorders>
          <w:bottom w:val="single" w:sz="4" w:space="0" w:color="FD9C54" w:themeColor="accent2" w:themeTint="99"/>
        </w:tcBorders>
      </w:tcPr>
    </w:tblStylePr>
    <w:tblStylePr w:type="seCell">
      <w:tblPr/>
      <w:tcPr>
        <w:tcBorders>
          <w:top w:val="single" w:sz="4" w:space="0" w:color="FD9C54" w:themeColor="accent2" w:themeTint="99"/>
        </w:tcBorders>
      </w:tcPr>
    </w:tblStylePr>
    <w:tblStylePr w:type="swCell">
      <w:tblPr/>
      <w:tcPr>
        <w:tcBorders>
          <w:top w:val="single" w:sz="4" w:space="0" w:color="FD9C54" w:themeColor="accent2" w:themeTint="99"/>
        </w:tcBorders>
      </w:tcPr>
    </w:tblStylePr>
  </w:style>
  <w:style w:type="table" w:styleId="GridTable7Colorful-Accent3">
    <w:name w:val="Grid Table 7 Colorful Accent 3"/>
    <w:basedOn w:val="TableNormal"/>
    <w:uiPriority w:val="52"/>
    <w:pPr>
      <w:spacing w:after="0"/>
    </w:pPr>
    <w:rPr>
      <w:color w:val="0162D9" w:themeColor="accent3" w:themeShade="BF"/>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bottom w:val="single" w:sz="4" w:space="0" w:color="7CB7FE" w:themeColor="accent3" w:themeTint="99"/>
        </w:tcBorders>
      </w:tcPr>
    </w:tblStylePr>
    <w:tblStylePr w:type="nwCell">
      <w:tblPr/>
      <w:tcPr>
        <w:tcBorders>
          <w:bottom w:val="single" w:sz="4" w:space="0" w:color="7CB7FE" w:themeColor="accent3" w:themeTint="99"/>
        </w:tcBorders>
      </w:tcPr>
    </w:tblStylePr>
    <w:tblStylePr w:type="seCell">
      <w:tblPr/>
      <w:tcPr>
        <w:tcBorders>
          <w:top w:val="single" w:sz="4" w:space="0" w:color="7CB7FE" w:themeColor="accent3" w:themeTint="99"/>
        </w:tcBorders>
      </w:tcPr>
    </w:tblStylePr>
    <w:tblStylePr w:type="swCell">
      <w:tblPr/>
      <w:tcPr>
        <w:tcBorders>
          <w:top w:val="single" w:sz="4" w:space="0" w:color="7CB7FE" w:themeColor="accent3" w:themeTint="99"/>
        </w:tcBorders>
      </w:tcPr>
    </w:tblStylePr>
  </w:style>
  <w:style w:type="table" w:styleId="GridTable7Colorful-Accent4">
    <w:name w:val="Grid Table 7 Colorful Accent 4"/>
    <w:basedOn w:val="TableNormal"/>
    <w:uiPriority w:val="52"/>
    <w:pPr>
      <w:spacing w:after="0"/>
    </w:pPr>
    <w:rPr>
      <w:color w:val="C18101" w:themeColor="accent4" w:themeShade="BF"/>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bottom w:val="single" w:sz="4" w:space="0" w:color="FDCC6A" w:themeColor="accent4" w:themeTint="99"/>
        </w:tcBorders>
      </w:tcPr>
    </w:tblStylePr>
    <w:tblStylePr w:type="nwCell">
      <w:tblPr/>
      <w:tcPr>
        <w:tcBorders>
          <w:bottom w:val="single" w:sz="4" w:space="0" w:color="FDCC6A" w:themeColor="accent4" w:themeTint="99"/>
        </w:tcBorders>
      </w:tcPr>
    </w:tblStylePr>
    <w:tblStylePr w:type="seCell">
      <w:tblPr/>
      <w:tcPr>
        <w:tcBorders>
          <w:top w:val="single" w:sz="4" w:space="0" w:color="FDCC6A" w:themeColor="accent4" w:themeTint="99"/>
        </w:tcBorders>
      </w:tcPr>
    </w:tblStylePr>
    <w:tblStylePr w:type="swCell">
      <w:tblPr/>
      <w:tcPr>
        <w:tcBorders>
          <w:top w:val="single" w:sz="4" w:space="0" w:color="FDCC6A" w:themeColor="accent4" w:themeTint="99"/>
        </w:tcBorders>
      </w:tcPr>
    </w:tblStylePr>
  </w:style>
  <w:style w:type="table" w:styleId="GridTable7Colorful-Accent5">
    <w:name w:val="Grid Table 7 Colorful Accent 5"/>
    <w:basedOn w:val="TableNormal"/>
    <w:uiPriority w:val="52"/>
    <w:pPr>
      <w:spacing w:after="0"/>
    </w:pPr>
    <w:rPr>
      <w:color w:val="A41045" w:themeColor="accent5" w:themeShade="BF"/>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bottom w:val="single" w:sz="4" w:space="0" w:color="F06C9B" w:themeColor="accent5" w:themeTint="99"/>
        </w:tcBorders>
      </w:tcPr>
    </w:tblStylePr>
    <w:tblStylePr w:type="nwCell">
      <w:tblPr/>
      <w:tcPr>
        <w:tcBorders>
          <w:bottom w:val="single" w:sz="4" w:space="0" w:color="F06C9B" w:themeColor="accent5" w:themeTint="99"/>
        </w:tcBorders>
      </w:tcPr>
    </w:tblStylePr>
    <w:tblStylePr w:type="seCell">
      <w:tblPr/>
      <w:tcPr>
        <w:tcBorders>
          <w:top w:val="single" w:sz="4" w:space="0" w:color="F06C9B" w:themeColor="accent5" w:themeTint="99"/>
        </w:tcBorders>
      </w:tcPr>
    </w:tblStylePr>
    <w:tblStylePr w:type="swCell">
      <w:tblPr/>
      <w:tcPr>
        <w:tcBorders>
          <w:top w:val="single" w:sz="4" w:space="0" w:color="F06C9B" w:themeColor="accent5" w:themeTint="99"/>
        </w:tcBorders>
      </w:tcPr>
    </w:tblStylePr>
  </w:style>
  <w:style w:type="table" w:styleId="GridTable7Colorful-Accent6">
    <w:name w:val="Grid Table 7 Colorful Accent 6"/>
    <w:basedOn w:val="TableNormal"/>
    <w:uiPriority w:val="52"/>
    <w:pPr>
      <w:spacing w:after="0"/>
    </w:pPr>
    <w:rPr>
      <w:color w:val="532477" w:themeColor="accent6" w:themeShade="BF"/>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bottom w:val="single" w:sz="4" w:space="0" w:color="AB73D5" w:themeColor="accent6" w:themeTint="99"/>
        </w:tcBorders>
      </w:tcPr>
    </w:tblStylePr>
    <w:tblStylePr w:type="nwCell">
      <w:tblPr/>
      <w:tcPr>
        <w:tcBorders>
          <w:bottom w:val="single" w:sz="4" w:space="0" w:color="AB73D5" w:themeColor="accent6" w:themeTint="99"/>
        </w:tcBorders>
      </w:tcPr>
    </w:tblStylePr>
    <w:tblStylePr w:type="seCell">
      <w:tblPr/>
      <w:tcPr>
        <w:tcBorders>
          <w:top w:val="single" w:sz="4" w:space="0" w:color="AB73D5" w:themeColor="accent6" w:themeTint="99"/>
        </w:tcBorders>
      </w:tcPr>
    </w:tblStylePr>
    <w:tblStylePr w:type="swCell">
      <w:tblPr/>
      <w:tcPr>
        <w:tcBorders>
          <w:top w:val="single" w:sz="4" w:space="0" w:color="AB73D5" w:themeColor="accent6" w:themeTint="99"/>
        </w:tcBorders>
      </w:tcPr>
    </w:tblStylePr>
  </w:style>
  <w:style w:type="character" w:styleId="IntenseEmphasis">
    <w:name w:val="Intense Emphasis"/>
    <w:basedOn w:val="DefaultParagraphFont"/>
    <w:uiPriority w:val="21"/>
    <w:semiHidden/>
    <w:rPr>
      <w:i/>
      <w:iCs/>
      <w:color w:val="003399" w:themeColor="text2"/>
      <w:lang w:val="en-GB"/>
    </w:rPr>
  </w:style>
  <w:style w:type="character" w:styleId="IntenseReference">
    <w:name w:val="Intense Reference"/>
    <w:basedOn w:val="DefaultParagraphFont"/>
    <w:uiPriority w:val="32"/>
    <w:semiHidden/>
    <w:rPr>
      <w:b/>
      <w:bCs/>
      <w:smallCaps/>
      <w:color w:val="003399" w:themeColor="text2"/>
      <w:spacing w:val="5"/>
      <w:lang w:val="en-GB"/>
    </w:rPr>
  </w:style>
  <w:style w:type="table" w:styleId="LightGrid">
    <w:name w:val="Light Grid"/>
    <w:basedOn w:val="TableNormal"/>
    <w:uiPriority w:val="62"/>
    <w:semiHidden/>
    <w:unhideWhenUsed/>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pPr>
      <w:spacing w:before="0" w:after="0"/>
    </w:p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insideH w:val="single" w:sz="8" w:space="0" w:color="008139" w:themeColor="accent1"/>
        <w:insideV w:val="single" w:sz="8" w:space="0" w:color="00813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139" w:themeColor="accent1"/>
          <w:left w:val="single" w:sz="8" w:space="0" w:color="008139" w:themeColor="accent1"/>
          <w:bottom w:val="single" w:sz="18" w:space="0" w:color="008139" w:themeColor="accent1"/>
          <w:right w:val="single" w:sz="8" w:space="0" w:color="008139" w:themeColor="accent1"/>
          <w:insideH w:val="nil"/>
          <w:insideV w:val="single" w:sz="8" w:space="0" w:color="00813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139" w:themeColor="accent1"/>
          <w:left w:val="single" w:sz="8" w:space="0" w:color="008139" w:themeColor="accent1"/>
          <w:bottom w:val="single" w:sz="8" w:space="0" w:color="008139" w:themeColor="accent1"/>
          <w:right w:val="single" w:sz="8" w:space="0" w:color="008139" w:themeColor="accent1"/>
          <w:insideH w:val="nil"/>
          <w:insideV w:val="single" w:sz="8" w:space="0" w:color="00813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tblStylePr w:type="band1Vert">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shd w:val="clear" w:color="auto" w:fill="A0FFCA" w:themeFill="accent1" w:themeFillTint="3F"/>
      </w:tcPr>
    </w:tblStylePr>
    <w:tblStylePr w:type="band1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insideV w:val="single" w:sz="8" w:space="0" w:color="008139" w:themeColor="accent1"/>
        </w:tcBorders>
        <w:shd w:val="clear" w:color="auto" w:fill="A0FFCA" w:themeFill="accent1" w:themeFillTint="3F"/>
      </w:tcPr>
    </w:tblStylePr>
    <w:tblStylePr w:type="band2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insideV w:val="single" w:sz="8" w:space="0" w:color="008139" w:themeColor="accent1"/>
        </w:tcBorders>
      </w:tcPr>
    </w:tblStylePr>
  </w:style>
  <w:style w:type="table" w:styleId="LightGrid-Accent2">
    <w:name w:val="Light Grid Accent 2"/>
    <w:basedOn w:val="TableNormal"/>
    <w:uiPriority w:val="62"/>
    <w:semiHidden/>
    <w:unhideWhenUsed/>
    <w:pPr>
      <w:spacing w:before="0" w:after="0"/>
    </w:p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insideH w:val="single" w:sz="8" w:space="0" w:color="DE6002" w:themeColor="accent2"/>
        <w:insideV w:val="single" w:sz="8" w:space="0" w:color="DE600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6002" w:themeColor="accent2"/>
          <w:left w:val="single" w:sz="8" w:space="0" w:color="DE6002" w:themeColor="accent2"/>
          <w:bottom w:val="single" w:sz="18" w:space="0" w:color="DE6002" w:themeColor="accent2"/>
          <w:right w:val="single" w:sz="8" w:space="0" w:color="DE6002" w:themeColor="accent2"/>
          <w:insideH w:val="nil"/>
          <w:insideV w:val="single" w:sz="8" w:space="0" w:color="DE600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6002" w:themeColor="accent2"/>
          <w:left w:val="single" w:sz="8" w:space="0" w:color="DE6002" w:themeColor="accent2"/>
          <w:bottom w:val="single" w:sz="8" w:space="0" w:color="DE6002" w:themeColor="accent2"/>
          <w:right w:val="single" w:sz="8" w:space="0" w:color="DE6002" w:themeColor="accent2"/>
          <w:insideH w:val="nil"/>
          <w:insideV w:val="single" w:sz="8" w:space="0" w:color="DE600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tcPr>
    </w:tblStylePr>
    <w:tblStylePr w:type="band1Vert">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shd w:val="clear" w:color="auto" w:fill="FED6B8" w:themeFill="accent2" w:themeFillTint="3F"/>
      </w:tcPr>
    </w:tblStylePr>
    <w:tblStylePr w:type="band1Horz">
      <w:tblPr/>
      <w:tcPr>
        <w:tcBorders>
          <w:top w:val="single" w:sz="8" w:space="0" w:color="DE6002" w:themeColor="accent2"/>
          <w:left w:val="single" w:sz="8" w:space="0" w:color="DE6002" w:themeColor="accent2"/>
          <w:bottom w:val="single" w:sz="8" w:space="0" w:color="DE6002" w:themeColor="accent2"/>
          <w:right w:val="single" w:sz="8" w:space="0" w:color="DE6002" w:themeColor="accent2"/>
          <w:insideV w:val="single" w:sz="8" w:space="0" w:color="DE6002" w:themeColor="accent2"/>
        </w:tcBorders>
        <w:shd w:val="clear" w:color="auto" w:fill="FED6B8" w:themeFill="accent2" w:themeFillTint="3F"/>
      </w:tcPr>
    </w:tblStylePr>
    <w:tblStylePr w:type="band2Horz">
      <w:tblPr/>
      <w:tcPr>
        <w:tcBorders>
          <w:top w:val="single" w:sz="8" w:space="0" w:color="DE6002" w:themeColor="accent2"/>
          <w:left w:val="single" w:sz="8" w:space="0" w:color="DE6002" w:themeColor="accent2"/>
          <w:bottom w:val="single" w:sz="8" w:space="0" w:color="DE6002" w:themeColor="accent2"/>
          <w:right w:val="single" w:sz="8" w:space="0" w:color="DE6002" w:themeColor="accent2"/>
          <w:insideV w:val="single" w:sz="8" w:space="0" w:color="DE6002" w:themeColor="accent2"/>
        </w:tcBorders>
      </w:tcPr>
    </w:tblStylePr>
  </w:style>
  <w:style w:type="table" w:styleId="LightGrid-Accent3">
    <w:name w:val="Light Grid Accent 3"/>
    <w:basedOn w:val="TableNormal"/>
    <w:uiPriority w:val="62"/>
    <w:semiHidden/>
    <w:unhideWhenUsed/>
    <w:pPr>
      <w:spacing w:before="0" w:after="0"/>
    </w:p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insideH w:val="single" w:sz="8" w:space="0" w:color="2688FE" w:themeColor="accent3"/>
        <w:insideV w:val="single" w:sz="8" w:space="0" w:color="2688F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688FE" w:themeColor="accent3"/>
          <w:left w:val="single" w:sz="8" w:space="0" w:color="2688FE" w:themeColor="accent3"/>
          <w:bottom w:val="single" w:sz="18" w:space="0" w:color="2688FE" w:themeColor="accent3"/>
          <w:right w:val="single" w:sz="8" w:space="0" w:color="2688FE" w:themeColor="accent3"/>
          <w:insideH w:val="nil"/>
          <w:insideV w:val="single" w:sz="8" w:space="0" w:color="2688F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688FE" w:themeColor="accent3"/>
          <w:left w:val="single" w:sz="8" w:space="0" w:color="2688FE" w:themeColor="accent3"/>
          <w:bottom w:val="single" w:sz="8" w:space="0" w:color="2688FE" w:themeColor="accent3"/>
          <w:right w:val="single" w:sz="8" w:space="0" w:color="2688FE" w:themeColor="accent3"/>
          <w:insideH w:val="nil"/>
          <w:insideV w:val="single" w:sz="8" w:space="0" w:color="2688F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tblStylePr w:type="band1Vert">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shd w:val="clear" w:color="auto" w:fill="C9E1FE" w:themeFill="accent3" w:themeFillTint="3F"/>
      </w:tcPr>
    </w:tblStylePr>
    <w:tblStylePr w:type="band1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insideV w:val="single" w:sz="8" w:space="0" w:color="2688FE" w:themeColor="accent3"/>
        </w:tcBorders>
        <w:shd w:val="clear" w:color="auto" w:fill="C9E1FE" w:themeFill="accent3" w:themeFillTint="3F"/>
      </w:tcPr>
    </w:tblStylePr>
    <w:tblStylePr w:type="band2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insideV w:val="single" w:sz="8" w:space="0" w:color="2688FE" w:themeColor="accent3"/>
        </w:tcBorders>
      </w:tcPr>
    </w:tblStylePr>
  </w:style>
  <w:style w:type="table" w:styleId="LightGrid-Accent4">
    <w:name w:val="Light Grid Accent 4"/>
    <w:basedOn w:val="TableNormal"/>
    <w:uiPriority w:val="62"/>
    <w:semiHidden/>
    <w:unhideWhenUsed/>
    <w:pPr>
      <w:spacing w:before="0" w:after="0"/>
    </w:p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insideH w:val="single" w:sz="8" w:space="0" w:color="FDAB07" w:themeColor="accent4"/>
        <w:insideV w:val="single" w:sz="8" w:space="0" w:color="FDAB0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DAB07" w:themeColor="accent4"/>
          <w:left w:val="single" w:sz="8" w:space="0" w:color="FDAB07" w:themeColor="accent4"/>
          <w:bottom w:val="single" w:sz="18" w:space="0" w:color="FDAB07" w:themeColor="accent4"/>
          <w:right w:val="single" w:sz="8" w:space="0" w:color="FDAB07" w:themeColor="accent4"/>
          <w:insideH w:val="nil"/>
          <w:insideV w:val="single" w:sz="8" w:space="0" w:color="FDAB0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DAB07" w:themeColor="accent4"/>
          <w:left w:val="single" w:sz="8" w:space="0" w:color="FDAB07" w:themeColor="accent4"/>
          <w:bottom w:val="single" w:sz="8" w:space="0" w:color="FDAB07" w:themeColor="accent4"/>
          <w:right w:val="single" w:sz="8" w:space="0" w:color="FDAB07" w:themeColor="accent4"/>
          <w:insideH w:val="nil"/>
          <w:insideV w:val="single" w:sz="8" w:space="0" w:color="FDAB0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tblStylePr w:type="band1Vert">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shd w:val="clear" w:color="auto" w:fill="FEEAC1" w:themeFill="accent4" w:themeFillTint="3F"/>
      </w:tcPr>
    </w:tblStylePr>
    <w:tblStylePr w:type="band1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insideV w:val="single" w:sz="8" w:space="0" w:color="FDAB07" w:themeColor="accent4"/>
        </w:tcBorders>
        <w:shd w:val="clear" w:color="auto" w:fill="FEEAC1" w:themeFill="accent4" w:themeFillTint="3F"/>
      </w:tcPr>
    </w:tblStylePr>
    <w:tblStylePr w:type="band2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insideV w:val="single" w:sz="8" w:space="0" w:color="FDAB07" w:themeColor="accent4"/>
        </w:tcBorders>
      </w:tcPr>
    </w:tblStylePr>
  </w:style>
  <w:style w:type="table" w:styleId="LightGrid-Accent5">
    <w:name w:val="Light Grid Accent 5"/>
    <w:basedOn w:val="TableNormal"/>
    <w:uiPriority w:val="62"/>
    <w:semiHidden/>
    <w:unhideWhenUsed/>
    <w:pPr>
      <w:spacing w:before="0" w:after="0"/>
    </w:p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insideH w:val="single" w:sz="8" w:space="0" w:color="DC165D" w:themeColor="accent5"/>
        <w:insideV w:val="single" w:sz="8" w:space="0" w:color="DC165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C165D" w:themeColor="accent5"/>
          <w:left w:val="single" w:sz="8" w:space="0" w:color="DC165D" w:themeColor="accent5"/>
          <w:bottom w:val="single" w:sz="18" w:space="0" w:color="DC165D" w:themeColor="accent5"/>
          <w:right w:val="single" w:sz="8" w:space="0" w:color="DC165D" w:themeColor="accent5"/>
          <w:insideH w:val="nil"/>
          <w:insideV w:val="single" w:sz="8" w:space="0" w:color="DC165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C165D" w:themeColor="accent5"/>
          <w:left w:val="single" w:sz="8" w:space="0" w:color="DC165D" w:themeColor="accent5"/>
          <w:bottom w:val="single" w:sz="8" w:space="0" w:color="DC165D" w:themeColor="accent5"/>
          <w:right w:val="single" w:sz="8" w:space="0" w:color="DC165D" w:themeColor="accent5"/>
          <w:insideH w:val="nil"/>
          <w:insideV w:val="single" w:sz="8" w:space="0" w:color="DC165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tblStylePr w:type="band1Vert">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shd w:val="clear" w:color="auto" w:fill="F9C2D6" w:themeFill="accent5" w:themeFillTint="3F"/>
      </w:tcPr>
    </w:tblStylePr>
    <w:tblStylePr w:type="band1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insideV w:val="single" w:sz="8" w:space="0" w:color="DC165D" w:themeColor="accent5"/>
        </w:tcBorders>
        <w:shd w:val="clear" w:color="auto" w:fill="F9C2D6" w:themeFill="accent5" w:themeFillTint="3F"/>
      </w:tcPr>
    </w:tblStylePr>
    <w:tblStylePr w:type="band2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insideV w:val="single" w:sz="8" w:space="0" w:color="DC165D" w:themeColor="accent5"/>
        </w:tcBorders>
      </w:tcPr>
    </w:tblStylePr>
  </w:style>
  <w:style w:type="table" w:styleId="LightGrid-Accent6">
    <w:name w:val="Light Grid Accent 6"/>
    <w:basedOn w:val="TableNormal"/>
    <w:uiPriority w:val="62"/>
    <w:semiHidden/>
    <w:unhideWhenUsed/>
    <w:pPr>
      <w:spacing w:before="0" w:after="0"/>
    </w:p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insideH w:val="single" w:sz="8" w:space="0" w:color="7030A0" w:themeColor="accent6"/>
        <w:insideV w:val="single" w:sz="8" w:space="0" w:color="7030A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30A0" w:themeColor="accent6"/>
          <w:left w:val="single" w:sz="8" w:space="0" w:color="7030A0" w:themeColor="accent6"/>
          <w:bottom w:val="single" w:sz="18" w:space="0" w:color="7030A0" w:themeColor="accent6"/>
          <w:right w:val="single" w:sz="8" w:space="0" w:color="7030A0" w:themeColor="accent6"/>
          <w:insideH w:val="nil"/>
          <w:insideV w:val="single" w:sz="8" w:space="0" w:color="7030A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30A0" w:themeColor="accent6"/>
          <w:left w:val="single" w:sz="8" w:space="0" w:color="7030A0" w:themeColor="accent6"/>
          <w:bottom w:val="single" w:sz="8" w:space="0" w:color="7030A0" w:themeColor="accent6"/>
          <w:right w:val="single" w:sz="8" w:space="0" w:color="7030A0" w:themeColor="accent6"/>
          <w:insideH w:val="nil"/>
          <w:insideV w:val="single" w:sz="8" w:space="0" w:color="7030A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tblStylePr w:type="band1Vert">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shd w:val="clear" w:color="auto" w:fill="DCC5ED" w:themeFill="accent6" w:themeFillTint="3F"/>
      </w:tcPr>
    </w:tblStylePr>
    <w:tblStylePr w:type="band1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insideV w:val="single" w:sz="8" w:space="0" w:color="7030A0" w:themeColor="accent6"/>
        </w:tcBorders>
        <w:shd w:val="clear" w:color="auto" w:fill="DCC5ED" w:themeFill="accent6" w:themeFillTint="3F"/>
      </w:tcPr>
    </w:tblStylePr>
    <w:tblStylePr w:type="band2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insideV w:val="single" w:sz="8" w:space="0" w:color="7030A0" w:themeColor="accent6"/>
        </w:tcBorders>
      </w:tcPr>
    </w:tblStylePr>
  </w:style>
  <w:style w:type="table" w:styleId="LightList">
    <w:name w:val="Light List"/>
    <w:basedOn w:val="TableNormal"/>
    <w:uiPriority w:val="61"/>
    <w:semiHidden/>
    <w:unhideWhenUsed/>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pPr>
      <w:spacing w:before="0" w:after="0"/>
    </w:p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tblBorders>
    </w:tblPr>
    <w:tblStylePr w:type="firstRow">
      <w:pPr>
        <w:spacing w:before="0" w:after="0" w:line="240" w:lineRule="auto"/>
      </w:pPr>
      <w:rPr>
        <w:b/>
        <w:bCs/>
        <w:color w:val="FFFFFF" w:themeColor="background1"/>
      </w:rPr>
      <w:tblPr/>
      <w:tcPr>
        <w:shd w:val="clear" w:color="auto" w:fill="008139" w:themeFill="accent1"/>
      </w:tcPr>
    </w:tblStylePr>
    <w:tblStylePr w:type="lastRow">
      <w:pPr>
        <w:spacing w:before="0" w:after="0" w:line="240" w:lineRule="auto"/>
      </w:pPr>
      <w:rPr>
        <w:b/>
        <w:bCs/>
      </w:rPr>
      <w:tblPr/>
      <w:tcPr>
        <w:tcBorders>
          <w:top w:val="double" w:sz="6" w:space="0" w:color="008139" w:themeColor="accent1"/>
          <w:left w:val="single" w:sz="8" w:space="0" w:color="008139" w:themeColor="accent1"/>
          <w:bottom w:val="single" w:sz="8" w:space="0" w:color="008139" w:themeColor="accent1"/>
          <w:right w:val="single" w:sz="8" w:space="0" w:color="008139" w:themeColor="accent1"/>
        </w:tcBorders>
      </w:tcPr>
    </w:tblStylePr>
    <w:tblStylePr w:type="firstCol">
      <w:rPr>
        <w:b/>
        <w:bCs/>
      </w:rPr>
    </w:tblStylePr>
    <w:tblStylePr w:type="lastCol">
      <w:rPr>
        <w:b/>
        <w:bCs/>
      </w:rPr>
    </w:tblStylePr>
    <w:tblStylePr w:type="band1Vert">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tblStylePr w:type="band1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style>
  <w:style w:type="table" w:styleId="LightList-Accent2">
    <w:name w:val="Light List Accent 2"/>
    <w:basedOn w:val="TableNormal"/>
    <w:uiPriority w:val="61"/>
    <w:semiHidden/>
    <w:unhideWhenUsed/>
    <w:pPr>
      <w:spacing w:before="0" w:after="0"/>
    </w:p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tblBorders>
    </w:tblPr>
    <w:tblStylePr w:type="firstRow">
      <w:pPr>
        <w:spacing w:before="0" w:after="0" w:line="240" w:lineRule="auto"/>
      </w:pPr>
      <w:rPr>
        <w:b/>
        <w:bCs/>
        <w:color w:val="FFFFFF" w:themeColor="background1"/>
      </w:rPr>
      <w:tblPr/>
      <w:tcPr>
        <w:shd w:val="clear" w:color="auto" w:fill="DE6002" w:themeFill="accent2"/>
      </w:tcPr>
    </w:tblStylePr>
    <w:tblStylePr w:type="lastRow">
      <w:pPr>
        <w:spacing w:before="0" w:after="0" w:line="240" w:lineRule="auto"/>
      </w:pPr>
      <w:rPr>
        <w:b/>
        <w:bCs/>
      </w:rPr>
      <w:tblPr/>
      <w:tcPr>
        <w:tcBorders>
          <w:top w:val="double" w:sz="6" w:space="0" w:color="DE6002" w:themeColor="accent2"/>
          <w:left w:val="single" w:sz="8" w:space="0" w:color="DE6002" w:themeColor="accent2"/>
          <w:bottom w:val="single" w:sz="8" w:space="0" w:color="DE6002" w:themeColor="accent2"/>
          <w:right w:val="single" w:sz="8" w:space="0" w:color="DE6002" w:themeColor="accent2"/>
        </w:tcBorders>
      </w:tcPr>
    </w:tblStylePr>
    <w:tblStylePr w:type="firstCol">
      <w:rPr>
        <w:b/>
        <w:bCs/>
      </w:rPr>
    </w:tblStylePr>
    <w:tblStylePr w:type="lastCol">
      <w:rPr>
        <w:b/>
        <w:bCs/>
      </w:rPr>
    </w:tblStylePr>
    <w:tblStylePr w:type="band1Vert">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tcPr>
    </w:tblStylePr>
    <w:tblStylePr w:type="band1Horz">
      <w:tblPr/>
      <w:tcPr>
        <w:tcBorders>
          <w:top w:val="single" w:sz="8" w:space="0" w:color="DE6002" w:themeColor="accent2"/>
          <w:left w:val="single" w:sz="8" w:space="0" w:color="DE6002" w:themeColor="accent2"/>
          <w:bottom w:val="single" w:sz="8" w:space="0" w:color="DE6002" w:themeColor="accent2"/>
          <w:right w:val="single" w:sz="8" w:space="0" w:color="DE6002" w:themeColor="accent2"/>
        </w:tcBorders>
      </w:tcPr>
    </w:tblStylePr>
  </w:style>
  <w:style w:type="table" w:styleId="LightList-Accent3">
    <w:name w:val="Light List Accent 3"/>
    <w:basedOn w:val="TableNormal"/>
    <w:uiPriority w:val="61"/>
    <w:semiHidden/>
    <w:unhideWhenUsed/>
    <w:pPr>
      <w:spacing w:before="0" w:after="0"/>
    </w:p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tblBorders>
    </w:tblPr>
    <w:tblStylePr w:type="firstRow">
      <w:pPr>
        <w:spacing w:before="0" w:after="0" w:line="240" w:lineRule="auto"/>
      </w:pPr>
      <w:rPr>
        <w:b/>
        <w:bCs/>
        <w:color w:val="FFFFFF" w:themeColor="background1"/>
      </w:rPr>
      <w:tblPr/>
      <w:tcPr>
        <w:shd w:val="clear" w:color="auto" w:fill="2688FE" w:themeFill="accent3"/>
      </w:tcPr>
    </w:tblStylePr>
    <w:tblStylePr w:type="lastRow">
      <w:pPr>
        <w:spacing w:before="0" w:after="0" w:line="240" w:lineRule="auto"/>
      </w:pPr>
      <w:rPr>
        <w:b/>
        <w:bCs/>
      </w:rPr>
      <w:tblPr/>
      <w:tcPr>
        <w:tcBorders>
          <w:top w:val="double" w:sz="6" w:space="0" w:color="2688FE" w:themeColor="accent3"/>
          <w:left w:val="single" w:sz="8" w:space="0" w:color="2688FE" w:themeColor="accent3"/>
          <w:bottom w:val="single" w:sz="8" w:space="0" w:color="2688FE" w:themeColor="accent3"/>
          <w:right w:val="single" w:sz="8" w:space="0" w:color="2688FE" w:themeColor="accent3"/>
        </w:tcBorders>
      </w:tcPr>
    </w:tblStylePr>
    <w:tblStylePr w:type="firstCol">
      <w:rPr>
        <w:b/>
        <w:bCs/>
      </w:rPr>
    </w:tblStylePr>
    <w:tblStylePr w:type="lastCol">
      <w:rPr>
        <w:b/>
        <w:bCs/>
      </w:rPr>
    </w:tblStylePr>
    <w:tblStylePr w:type="band1Vert">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tblStylePr w:type="band1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style>
  <w:style w:type="table" w:styleId="LightList-Accent4">
    <w:name w:val="Light List Accent 4"/>
    <w:basedOn w:val="TableNormal"/>
    <w:uiPriority w:val="61"/>
    <w:semiHidden/>
    <w:unhideWhenUsed/>
    <w:pPr>
      <w:spacing w:before="0" w:after="0"/>
    </w:p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tblBorders>
    </w:tblPr>
    <w:tblStylePr w:type="firstRow">
      <w:pPr>
        <w:spacing w:before="0" w:after="0" w:line="240" w:lineRule="auto"/>
      </w:pPr>
      <w:rPr>
        <w:b/>
        <w:bCs/>
        <w:color w:val="FFFFFF" w:themeColor="background1"/>
      </w:rPr>
      <w:tblPr/>
      <w:tcPr>
        <w:shd w:val="clear" w:color="auto" w:fill="FDAB07" w:themeFill="accent4"/>
      </w:tcPr>
    </w:tblStylePr>
    <w:tblStylePr w:type="lastRow">
      <w:pPr>
        <w:spacing w:before="0" w:after="0" w:line="240" w:lineRule="auto"/>
      </w:pPr>
      <w:rPr>
        <w:b/>
        <w:bCs/>
      </w:rPr>
      <w:tblPr/>
      <w:tcPr>
        <w:tcBorders>
          <w:top w:val="double" w:sz="6" w:space="0" w:color="FDAB07" w:themeColor="accent4"/>
          <w:left w:val="single" w:sz="8" w:space="0" w:color="FDAB07" w:themeColor="accent4"/>
          <w:bottom w:val="single" w:sz="8" w:space="0" w:color="FDAB07" w:themeColor="accent4"/>
          <w:right w:val="single" w:sz="8" w:space="0" w:color="FDAB07" w:themeColor="accent4"/>
        </w:tcBorders>
      </w:tcPr>
    </w:tblStylePr>
    <w:tblStylePr w:type="firstCol">
      <w:rPr>
        <w:b/>
        <w:bCs/>
      </w:rPr>
    </w:tblStylePr>
    <w:tblStylePr w:type="lastCol">
      <w:rPr>
        <w:b/>
        <w:bCs/>
      </w:rPr>
    </w:tblStylePr>
    <w:tblStylePr w:type="band1Vert">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tblStylePr w:type="band1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style>
  <w:style w:type="table" w:styleId="LightList-Accent5">
    <w:name w:val="Light List Accent 5"/>
    <w:basedOn w:val="TableNormal"/>
    <w:uiPriority w:val="61"/>
    <w:semiHidden/>
    <w:unhideWhenUsed/>
    <w:pPr>
      <w:spacing w:before="0" w:after="0"/>
    </w:p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tblBorders>
    </w:tblPr>
    <w:tblStylePr w:type="firstRow">
      <w:pPr>
        <w:spacing w:before="0" w:after="0" w:line="240" w:lineRule="auto"/>
      </w:pPr>
      <w:rPr>
        <w:b/>
        <w:bCs/>
        <w:color w:val="FFFFFF" w:themeColor="background1"/>
      </w:rPr>
      <w:tblPr/>
      <w:tcPr>
        <w:shd w:val="clear" w:color="auto" w:fill="DC165D" w:themeFill="accent5"/>
      </w:tcPr>
    </w:tblStylePr>
    <w:tblStylePr w:type="lastRow">
      <w:pPr>
        <w:spacing w:before="0" w:after="0" w:line="240" w:lineRule="auto"/>
      </w:pPr>
      <w:rPr>
        <w:b/>
        <w:bCs/>
      </w:rPr>
      <w:tblPr/>
      <w:tcPr>
        <w:tcBorders>
          <w:top w:val="double" w:sz="6" w:space="0" w:color="DC165D" w:themeColor="accent5"/>
          <w:left w:val="single" w:sz="8" w:space="0" w:color="DC165D" w:themeColor="accent5"/>
          <w:bottom w:val="single" w:sz="8" w:space="0" w:color="DC165D" w:themeColor="accent5"/>
          <w:right w:val="single" w:sz="8" w:space="0" w:color="DC165D" w:themeColor="accent5"/>
        </w:tcBorders>
      </w:tcPr>
    </w:tblStylePr>
    <w:tblStylePr w:type="firstCol">
      <w:rPr>
        <w:b/>
        <w:bCs/>
      </w:rPr>
    </w:tblStylePr>
    <w:tblStylePr w:type="lastCol">
      <w:rPr>
        <w:b/>
        <w:bCs/>
      </w:rPr>
    </w:tblStylePr>
    <w:tblStylePr w:type="band1Vert">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tblStylePr w:type="band1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style>
  <w:style w:type="table" w:styleId="LightList-Accent6">
    <w:name w:val="Light List Accent 6"/>
    <w:basedOn w:val="TableNormal"/>
    <w:uiPriority w:val="61"/>
    <w:semiHidden/>
    <w:unhideWhenUsed/>
    <w:pPr>
      <w:spacing w:before="0" w:after="0"/>
    </w:p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tblBorders>
    </w:tblPr>
    <w:tblStylePr w:type="firstRow">
      <w:pPr>
        <w:spacing w:before="0" w:after="0" w:line="240" w:lineRule="auto"/>
      </w:pPr>
      <w:rPr>
        <w:b/>
        <w:bCs/>
        <w:color w:val="FFFFFF" w:themeColor="background1"/>
      </w:rPr>
      <w:tblPr/>
      <w:tcPr>
        <w:shd w:val="clear" w:color="auto" w:fill="7030A0" w:themeFill="accent6"/>
      </w:tcPr>
    </w:tblStylePr>
    <w:tblStylePr w:type="lastRow">
      <w:pPr>
        <w:spacing w:before="0" w:after="0" w:line="240" w:lineRule="auto"/>
      </w:pPr>
      <w:rPr>
        <w:b/>
        <w:bCs/>
      </w:rPr>
      <w:tblPr/>
      <w:tcPr>
        <w:tcBorders>
          <w:top w:val="double" w:sz="6" w:space="0" w:color="7030A0" w:themeColor="accent6"/>
          <w:left w:val="single" w:sz="8" w:space="0" w:color="7030A0" w:themeColor="accent6"/>
          <w:bottom w:val="single" w:sz="8" w:space="0" w:color="7030A0" w:themeColor="accent6"/>
          <w:right w:val="single" w:sz="8" w:space="0" w:color="7030A0" w:themeColor="accent6"/>
        </w:tcBorders>
      </w:tcPr>
    </w:tblStylePr>
    <w:tblStylePr w:type="firstCol">
      <w:rPr>
        <w:b/>
        <w:bCs/>
      </w:rPr>
    </w:tblStylePr>
    <w:tblStylePr w:type="lastCol">
      <w:rPr>
        <w:b/>
        <w:bCs/>
      </w:rPr>
    </w:tblStylePr>
    <w:tblStylePr w:type="band1Vert">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tblStylePr w:type="band1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style>
  <w:style w:type="table" w:styleId="LightShading-Accent1">
    <w:name w:val="Light Shading Accent 1"/>
    <w:basedOn w:val="TableNormal"/>
    <w:uiPriority w:val="60"/>
    <w:semiHidden/>
    <w:unhideWhenUsed/>
    <w:pPr>
      <w:spacing w:before="0" w:after="0"/>
    </w:pPr>
    <w:rPr>
      <w:color w:val="00602A" w:themeColor="accent1" w:themeShade="BF"/>
    </w:rPr>
    <w:tblPr>
      <w:tblStyleRowBandSize w:val="1"/>
      <w:tblStyleColBandSize w:val="1"/>
      <w:tblBorders>
        <w:top w:val="single" w:sz="8" w:space="0" w:color="008139" w:themeColor="accent1"/>
        <w:bottom w:val="single" w:sz="8" w:space="0" w:color="008139" w:themeColor="accent1"/>
      </w:tblBorders>
    </w:tblPr>
    <w:tblStylePr w:type="firstRow">
      <w:pPr>
        <w:spacing w:before="0" w:after="0" w:line="240" w:lineRule="auto"/>
      </w:pPr>
      <w:rPr>
        <w:b/>
        <w:bCs/>
      </w:rPr>
      <w:tblPr/>
      <w:tcPr>
        <w:tcBorders>
          <w:top w:val="single" w:sz="8" w:space="0" w:color="008139" w:themeColor="accent1"/>
          <w:left w:val="nil"/>
          <w:bottom w:val="single" w:sz="8" w:space="0" w:color="008139" w:themeColor="accent1"/>
          <w:right w:val="nil"/>
          <w:insideH w:val="nil"/>
          <w:insideV w:val="nil"/>
        </w:tcBorders>
      </w:tcPr>
    </w:tblStylePr>
    <w:tblStylePr w:type="lastRow">
      <w:pPr>
        <w:spacing w:before="0" w:after="0" w:line="240" w:lineRule="auto"/>
      </w:pPr>
      <w:rPr>
        <w:b/>
        <w:bCs/>
      </w:rPr>
      <w:tblPr/>
      <w:tcPr>
        <w:tcBorders>
          <w:top w:val="single" w:sz="8" w:space="0" w:color="008139" w:themeColor="accent1"/>
          <w:left w:val="nil"/>
          <w:bottom w:val="single" w:sz="8" w:space="0" w:color="00813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FFCA" w:themeFill="accent1" w:themeFillTint="3F"/>
      </w:tcPr>
    </w:tblStylePr>
    <w:tblStylePr w:type="band1Horz">
      <w:tblPr/>
      <w:tcPr>
        <w:tcBorders>
          <w:left w:val="nil"/>
          <w:right w:val="nil"/>
          <w:insideH w:val="nil"/>
          <w:insideV w:val="nil"/>
        </w:tcBorders>
        <w:shd w:val="clear" w:color="auto" w:fill="A0FFCA" w:themeFill="accent1" w:themeFillTint="3F"/>
      </w:tcPr>
    </w:tblStylePr>
  </w:style>
  <w:style w:type="table" w:styleId="LightShading-Accent2">
    <w:name w:val="Light Shading Accent 2"/>
    <w:basedOn w:val="TableNormal"/>
    <w:uiPriority w:val="60"/>
    <w:semiHidden/>
    <w:unhideWhenUsed/>
    <w:pPr>
      <w:spacing w:before="0" w:after="0"/>
    </w:pPr>
    <w:rPr>
      <w:color w:val="A64701" w:themeColor="accent2" w:themeShade="BF"/>
    </w:rPr>
    <w:tblPr>
      <w:tblStyleRowBandSize w:val="1"/>
      <w:tblStyleColBandSize w:val="1"/>
      <w:tblBorders>
        <w:top w:val="single" w:sz="8" w:space="0" w:color="DE6002" w:themeColor="accent2"/>
        <w:bottom w:val="single" w:sz="8" w:space="0" w:color="DE6002" w:themeColor="accent2"/>
      </w:tblBorders>
    </w:tblPr>
    <w:tblStylePr w:type="firstRow">
      <w:pPr>
        <w:spacing w:before="0" w:after="0" w:line="240" w:lineRule="auto"/>
      </w:pPr>
      <w:rPr>
        <w:b/>
        <w:bCs/>
      </w:rPr>
      <w:tblPr/>
      <w:tcPr>
        <w:tcBorders>
          <w:top w:val="single" w:sz="8" w:space="0" w:color="DE6002" w:themeColor="accent2"/>
          <w:left w:val="nil"/>
          <w:bottom w:val="single" w:sz="8" w:space="0" w:color="DE6002" w:themeColor="accent2"/>
          <w:right w:val="nil"/>
          <w:insideH w:val="nil"/>
          <w:insideV w:val="nil"/>
        </w:tcBorders>
      </w:tcPr>
    </w:tblStylePr>
    <w:tblStylePr w:type="lastRow">
      <w:pPr>
        <w:spacing w:before="0" w:after="0" w:line="240" w:lineRule="auto"/>
      </w:pPr>
      <w:rPr>
        <w:b/>
        <w:bCs/>
      </w:rPr>
      <w:tblPr/>
      <w:tcPr>
        <w:tcBorders>
          <w:top w:val="single" w:sz="8" w:space="0" w:color="DE6002" w:themeColor="accent2"/>
          <w:left w:val="nil"/>
          <w:bottom w:val="single" w:sz="8" w:space="0" w:color="DE600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D6B8" w:themeFill="accent2" w:themeFillTint="3F"/>
      </w:tcPr>
    </w:tblStylePr>
    <w:tblStylePr w:type="band1Horz">
      <w:tblPr/>
      <w:tcPr>
        <w:tcBorders>
          <w:left w:val="nil"/>
          <w:right w:val="nil"/>
          <w:insideH w:val="nil"/>
          <w:insideV w:val="nil"/>
        </w:tcBorders>
        <w:shd w:val="clear" w:color="auto" w:fill="FED6B8" w:themeFill="accent2" w:themeFillTint="3F"/>
      </w:tcPr>
    </w:tblStylePr>
  </w:style>
  <w:style w:type="table" w:styleId="LightShading-Accent3">
    <w:name w:val="Light Shading Accent 3"/>
    <w:basedOn w:val="TableNormal"/>
    <w:uiPriority w:val="60"/>
    <w:semiHidden/>
    <w:unhideWhenUsed/>
    <w:pPr>
      <w:spacing w:before="0" w:after="0"/>
    </w:pPr>
    <w:rPr>
      <w:color w:val="0162D9" w:themeColor="accent3" w:themeShade="BF"/>
    </w:rPr>
    <w:tblPr>
      <w:tblStyleRowBandSize w:val="1"/>
      <w:tblStyleColBandSize w:val="1"/>
      <w:tblBorders>
        <w:top w:val="single" w:sz="8" w:space="0" w:color="2688FE" w:themeColor="accent3"/>
        <w:bottom w:val="single" w:sz="8" w:space="0" w:color="2688FE" w:themeColor="accent3"/>
      </w:tblBorders>
    </w:tblPr>
    <w:tblStylePr w:type="firstRow">
      <w:pPr>
        <w:spacing w:before="0" w:after="0" w:line="240" w:lineRule="auto"/>
      </w:pPr>
      <w:rPr>
        <w:b/>
        <w:bCs/>
      </w:rPr>
      <w:tblPr/>
      <w:tcPr>
        <w:tcBorders>
          <w:top w:val="single" w:sz="8" w:space="0" w:color="2688FE" w:themeColor="accent3"/>
          <w:left w:val="nil"/>
          <w:bottom w:val="single" w:sz="8" w:space="0" w:color="2688FE" w:themeColor="accent3"/>
          <w:right w:val="nil"/>
          <w:insideH w:val="nil"/>
          <w:insideV w:val="nil"/>
        </w:tcBorders>
      </w:tcPr>
    </w:tblStylePr>
    <w:tblStylePr w:type="lastRow">
      <w:pPr>
        <w:spacing w:before="0" w:after="0" w:line="240" w:lineRule="auto"/>
      </w:pPr>
      <w:rPr>
        <w:b/>
        <w:bCs/>
      </w:rPr>
      <w:tblPr/>
      <w:tcPr>
        <w:tcBorders>
          <w:top w:val="single" w:sz="8" w:space="0" w:color="2688FE" w:themeColor="accent3"/>
          <w:left w:val="nil"/>
          <w:bottom w:val="single" w:sz="8" w:space="0" w:color="2688F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E1FE" w:themeFill="accent3" w:themeFillTint="3F"/>
      </w:tcPr>
    </w:tblStylePr>
    <w:tblStylePr w:type="band1Horz">
      <w:tblPr/>
      <w:tcPr>
        <w:tcBorders>
          <w:left w:val="nil"/>
          <w:right w:val="nil"/>
          <w:insideH w:val="nil"/>
          <w:insideV w:val="nil"/>
        </w:tcBorders>
        <w:shd w:val="clear" w:color="auto" w:fill="C9E1FE" w:themeFill="accent3" w:themeFillTint="3F"/>
      </w:tcPr>
    </w:tblStylePr>
  </w:style>
  <w:style w:type="table" w:styleId="LightShading-Accent4">
    <w:name w:val="Light Shading Accent 4"/>
    <w:basedOn w:val="TableNormal"/>
    <w:uiPriority w:val="60"/>
    <w:semiHidden/>
    <w:unhideWhenUsed/>
    <w:pPr>
      <w:spacing w:before="0" w:after="0"/>
    </w:pPr>
    <w:rPr>
      <w:color w:val="C18101" w:themeColor="accent4" w:themeShade="BF"/>
    </w:rPr>
    <w:tblPr>
      <w:tblStyleRowBandSize w:val="1"/>
      <w:tblStyleColBandSize w:val="1"/>
      <w:tblBorders>
        <w:top w:val="single" w:sz="8" w:space="0" w:color="FDAB07" w:themeColor="accent4"/>
        <w:bottom w:val="single" w:sz="8" w:space="0" w:color="FDAB07" w:themeColor="accent4"/>
      </w:tblBorders>
    </w:tblPr>
    <w:tblStylePr w:type="firstRow">
      <w:pPr>
        <w:spacing w:before="0" w:after="0" w:line="240" w:lineRule="auto"/>
      </w:pPr>
      <w:rPr>
        <w:b/>
        <w:bCs/>
      </w:rPr>
      <w:tblPr/>
      <w:tcPr>
        <w:tcBorders>
          <w:top w:val="single" w:sz="8" w:space="0" w:color="FDAB07" w:themeColor="accent4"/>
          <w:left w:val="nil"/>
          <w:bottom w:val="single" w:sz="8" w:space="0" w:color="FDAB07" w:themeColor="accent4"/>
          <w:right w:val="nil"/>
          <w:insideH w:val="nil"/>
          <w:insideV w:val="nil"/>
        </w:tcBorders>
      </w:tcPr>
    </w:tblStylePr>
    <w:tblStylePr w:type="lastRow">
      <w:pPr>
        <w:spacing w:before="0" w:after="0" w:line="240" w:lineRule="auto"/>
      </w:pPr>
      <w:rPr>
        <w:b/>
        <w:bCs/>
      </w:rPr>
      <w:tblPr/>
      <w:tcPr>
        <w:tcBorders>
          <w:top w:val="single" w:sz="8" w:space="0" w:color="FDAB07" w:themeColor="accent4"/>
          <w:left w:val="nil"/>
          <w:bottom w:val="single" w:sz="8" w:space="0" w:color="FDAB0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AC1" w:themeFill="accent4" w:themeFillTint="3F"/>
      </w:tcPr>
    </w:tblStylePr>
    <w:tblStylePr w:type="band1Horz">
      <w:tblPr/>
      <w:tcPr>
        <w:tcBorders>
          <w:left w:val="nil"/>
          <w:right w:val="nil"/>
          <w:insideH w:val="nil"/>
          <w:insideV w:val="nil"/>
        </w:tcBorders>
        <w:shd w:val="clear" w:color="auto" w:fill="FEEAC1" w:themeFill="accent4" w:themeFillTint="3F"/>
      </w:tcPr>
    </w:tblStylePr>
  </w:style>
  <w:style w:type="table" w:styleId="ListTable1Light">
    <w:name w:val="List Table 1 Light"/>
    <w:basedOn w:val="TableNormal"/>
    <w:uiPriority w:val="46"/>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pPr>
      <w:spacing w:after="0"/>
    </w:pPr>
    <w:tblPr>
      <w:tblStyleRowBandSize w:val="1"/>
      <w:tblStyleColBandSize w:val="1"/>
    </w:tblPr>
    <w:tblStylePr w:type="firstRow">
      <w:rPr>
        <w:b/>
        <w:bCs/>
      </w:rPr>
      <w:tblPr/>
      <w:tcPr>
        <w:tcBorders>
          <w:bottom w:val="single" w:sz="4" w:space="0" w:color="1AFF7E" w:themeColor="accent1" w:themeTint="99"/>
        </w:tcBorders>
      </w:tcPr>
    </w:tblStylePr>
    <w:tblStylePr w:type="lastRow">
      <w:rPr>
        <w:b/>
        <w:bCs/>
      </w:rPr>
      <w:tblPr/>
      <w:tcPr>
        <w:tcBorders>
          <w:top w:val="sing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1Light-Accent2">
    <w:name w:val="List Table 1 Light Accent 2"/>
    <w:basedOn w:val="TableNormal"/>
    <w:uiPriority w:val="46"/>
    <w:pPr>
      <w:spacing w:after="0"/>
    </w:pPr>
    <w:tblPr>
      <w:tblStyleRowBandSize w:val="1"/>
      <w:tblStyleColBandSize w:val="1"/>
    </w:tblPr>
    <w:tblStylePr w:type="firstRow">
      <w:rPr>
        <w:b/>
        <w:bCs/>
      </w:rPr>
      <w:tblPr/>
      <w:tcPr>
        <w:tcBorders>
          <w:bottom w:val="single" w:sz="4" w:space="0" w:color="FD9C54" w:themeColor="accent2" w:themeTint="99"/>
        </w:tcBorders>
      </w:tcPr>
    </w:tblStylePr>
    <w:tblStylePr w:type="lastRow">
      <w:rPr>
        <w:b/>
        <w:bCs/>
      </w:rPr>
      <w:tblPr/>
      <w:tcPr>
        <w:tcBorders>
          <w:top w:val="single" w:sz="4" w:space="0" w:color="FD9C54" w:themeColor="accent2" w:themeTint="99"/>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1Light-Accent3">
    <w:name w:val="List Table 1 Light Accent 3"/>
    <w:basedOn w:val="TableNormal"/>
    <w:uiPriority w:val="46"/>
    <w:pPr>
      <w:spacing w:after="0"/>
    </w:pPr>
    <w:tblPr>
      <w:tblStyleRowBandSize w:val="1"/>
      <w:tblStyleColBandSize w:val="1"/>
    </w:tblPr>
    <w:tblStylePr w:type="firstRow">
      <w:rPr>
        <w:b/>
        <w:bCs/>
      </w:rPr>
      <w:tblPr/>
      <w:tcPr>
        <w:tcBorders>
          <w:bottom w:val="single" w:sz="4" w:space="0" w:color="7CB7FE" w:themeColor="accent3" w:themeTint="99"/>
        </w:tcBorders>
      </w:tcPr>
    </w:tblStylePr>
    <w:tblStylePr w:type="lastRow">
      <w:rPr>
        <w:b/>
        <w:bCs/>
      </w:rPr>
      <w:tblPr/>
      <w:tcPr>
        <w:tcBorders>
          <w:top w:val="sing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1Light-Accent4">
    <w:name w:val="List Table 1 Light Accent 4"/>
    <w:basedOn w:val="TableNormal"/>
    <w:uiPriority w:val="46"/>
    <w:pPr>
      <w:spacing w:after="0"/>
    </w:pPr>
    <w:tblPr>
      <w:tblStyleRowBandSize w:val="1"/>
      <w:tblStyleColBandSize w:val="1"/>
    </w:tblPr>
    <w:tblStylePr w:type="firstRow">
      <w:rPr>
        <w:b/>
        <w:bCs/>
      </w:rPr>
      <w:tblPr/>
      <w:tcPr>
        <w:tcBorders>
          <w:bottom w:val="single" w:sz="4" w:space="0" w:color="FDCC6A" w:themeColor="accent4" w:themeTint="99"/>
        </w:tcBorders>
      </w:tcPr>
    </w:tblStylePr>
    <w:tblStylePr w:type="lastRow">
      <w:rPr>
        <w:b/>
        <w:bCs/>
      </w:rPr>
      <w:tblPr/>
      <w:tcPr>
        <w:tcBorders>
          <w:top w:val="sing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1Light-Accent5">
    <w:name w:val="List Table 1 Light Accent 5"/>
    <w:basedOn w:val="TableNormal"/>
    <w:uiPriority w:val="46"/>
    <w:pPr>
      <w:spacing w:after="0"/>
    </w:pPr>
    <w:tblPr>
      <w:tblStyleRowBandSize w:val="1"/>
      <w:tblStyleColBandSize w:val="1"/>
    </w:tblPr>
    <w:tblStylePr w:type="firstRow">
      <w:rPr>
        <w:b/>
        <w:bCs/>
      </w:rPr>
      <w:tblPr/>
      <w:tcPr>
        <w:tcBorders>
          <w:bottom w:val="single" w:sz="4" w:space="0" w:color="F06C9B" w:themeColor="accent5" w:themeTint="99"/>
        </w:tcBorders>
      </w:tcPr>
    </w:tblStylePr>
    <w:tblStylePr w:type="lastRow">
      <w:rPr>
        <w:b/>
        <w:bCs/>
      </w:rPr>
      <w:tblPr/>
      <w:tcPr>
        <w:tcBorders>
          <w:top w:val="sing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1Light-Accent6">
    <w:name w:val="List Table 1 Light Accent 6"/>
    <w:basedOn w:val="TableNormal"/>
    <w:uiPriority w:val="46"/>
    <w:pPr>
      <w:spacing w:after="0"/>
    </w:pPr>
    <w:tblPr>
      <w:tblStyleRowBandSize w:val="1"/>
      <w:tblStyleColBandSize w:val="1"/>
    </w:tblPr>
    <w:tblStylePr w:type="firstRow">
      <w:rPr>
        <w:b/>
        <w:bCs/>
      </w:rPr>
      <w:tblPr/>
      <w:tcPr>
        <w:tcBorders>
          <w:bottom w:val="single" w:sz="4" w:space="0" w:color="AB73D5" w:themeColor="accent6" w:themeTint="99"/>
        </w:tcBorders>
      </w:tcPr>
    </w:tblStylePr>
    <w:tblStylePr w:type="lastRow">
      <w:rPr>
        <w:b/>
        <w:bCs/>
      </w:rPr>
      <w:tblPr/>
      <w:tcPr>
        <w:tcBorders>
          <w:top w:val="sing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2">
    <w:name w:val="List Table 2"/>
    <w:basedOn w:val="TableNormal"/>
    <w:uiPriority w:val="47"/>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pPr>
      <w:spacing w:after="0"/>
    </w:pPr>
    <w:tblPr>
      <w:tblStyleRowBandSize w:val="1"/>
      <w:tblStyleColBandSize w:val="1"/>
      <w:tblBorders>
        <w:top w:val="single" w:sz="4" w:space="0" w:color="1AFF7E" w:themeColor="accent1" w:themeTint="99"/>
        <w:bottom w:val="single" w:sz="4" w:space="0" w:color="1AFF7E" w:themeColor="accent1" w:themeTint="99"/>
        <w:insideH w:val="single" w:sz="4" w:space="0" w:color="1AFF7E"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2-Accent3">
    <w:name w:val="List Table 2 Accent 3"/>
    <w:basedOn w:val="TableNormal"/>
    <w:uiPriority w:val="47"/>
    <w:pPr>
      <w:spacing w:after="0"/>
    </w:pPr>
    <w:tblPr>
      <w:tblStyleRowBandSize w:val="1"/>
      <w:tblStyleColBandSize w:val="1"/>
      <w:tblBorders>
        <w:top w:val="single" w:sz="4" w:space="0" w:color="7CB7FE" w:themeColor="accent3" w:themeTint="99"/>
        <w:bottom w:val="single" w:sz="4" w:space="0" w:color="7CB7FE" w:themeColor="accent3" w:themeTint="99"/>
        <w:insideH w:val="single" w:sz="4" w:space="0" w:color="7CB7FE"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2-Accent4">
    <w:name w:val="List Table 2 Accent 4"/>
    <w:basedOn w:val="TableNormal"/>
    <w:uiPriority w:val="47"/>
    <w:pPr>
      <w:spacing w:after="0"/>
    </w:pPr>
    <w:tblPr>
      <w:tblStyleRowBandSize w:val="1"/>
      <w:tblStyleColBandSize w:val="1"/>
      <w:tblBorders>
        <w:top w:val="single" w:sz="4" w:space="0" w:color="FDCC6A" w:themeColor="accent4" w:themeTint="99"/>
        <w:bottom w:val="single" w:sz="4" w:space="0" w:color="FDCC6A" w:themeColor="accent4" w:themeTint="99"/>
        <w:insideH w:val="single" w:sz="4" w:space="0" w:color="FDCC6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2-Accent5">
    <w:name w:val="List Table 2 Accent 5"/>
    <w:basedOn w:val="TableNormal"/>
    <w:uiPriority w:val="47"/>
    <w:pPr>
      <w:spacing w:after="0"/>
    </w:pPr>
    <w:tblPr>
      <w:tblStyleRowBandSize w:val="1"/>
      <w:tblStyleColBandSize w:val="1"/>
      <w:tblBorders>
        <w:top w:val="single" w:sz="4" w:space="0" w:color="F06C9B" w:themeColor="accent5" w:themeTint="99"/>
        <w:bottom w:val="single" w:sz="4" w:space="0" w:color="F06C9B" w:themeColor="accent5" w:themeTint="99"/>
        <w:insideH w:val="single" w:sz="4" w:space="0" w:color="F06C9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2-Accent6">
    <w:name w:val="List Table 2 Accent 6"/>
    <w:basedOn w:val="TableNormal"/>
    <w:uiPriority w:val="47"/>
    <w:pPr>
      <w:spacing w:after="0"/>
    </w:pPr>
    <w:tblPr>
      <w:tblStyleRowBandSize w:val="1"/>
      <w:tblStyleColBandSize w:val="1"/>
      <w:tblBorders>
        <w:top w:val="single" w:sz="4" w:space="0" w:color="AB73D5" w:themeColor="accent6" w:themeTint="99"/>
        <w:bottom w:val="single" w:sz="4" w:space="0" w:color="AB73D5" w:themeColor="accent6" w:themeTint="99"/>
        <w:insideH w:val="single" w:sz="4" w:space="0" w:color="AB73D5"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3">
    <w:name w:val="List Table 3"/>
    <w:basedOn w:val="TableNormal"/>
    <w:uiPriority w:val="48"/>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pPr>
      <w:spacing w:after="0"/>
    </w:pPr>
    <w:tblPr>
      <w:tblStyleRowBandSize w:val="1"/>
      <w:tblStyleColBandSize w:val="1"/>
      <w:tblBorders>
        <w:top w:val="single" w:sz="4" w:space="0" w:color="008139" w:themeColor="accent1"/>
        <w:left w:val="single" w:sz="4" w:space="0" w:color="008139" w:themeColor="accent1"/>
        <w:bottom w:val="single" w:sz="4" w:space="0" w:color="008139" w:themeColor="accent1"/>
        <w:right w:val="single" w:sz="4" w:space="0" w:color="008139" w:themeColor="accent1"/>
      </w:tblBorders>
    </w:tblPr>
    <w:tblStylePr w:type="firstRow">
      <w:rPr>
        <w:b/>
        <w:bCs/>
        <w:color w:val="FFFFFF" w:themeColor="background1"/>
      </w:rPr>
      <w:tblPr/>
      <w:tcPr>
        <w:shd w:val="clear" w:color="auto" w:fill="008139" w:themeFill="accent1"/>
      </w:tcPr>
    </w:tblStylePr>
    <w:tblStylePr w:type="lastRow">
      <w:rPr>
        <w:b/>
        <w:bCs/>
      </w:rPr>
      <w:tblPr/>
      <w:tcPr>
        <w:tcBorders>
          <w:top w:val="double" w:sz="4" w:space="0" w:color="00813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139" w:themeColor="accent1"/>
          <w:right w:val="single" w:sz="4" w:space="0" w:color="008139" w:themeColor="accent1"/>
        </w:tcBorders>
      </w:tcPr>
    </w:tblStylePr>
    <w:tblStylePr w:type="band1Horz">
      <w:tblPr/>
      <w:tcPr>
        <w:tcBorders>
          <w:top w:val="single" w:sz="4" w:space="0" w:color="008139" w:themeColor="accent1"/>
          <w:bottom w:val="single" w:sz="4" w:space="0" w:color="00813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139" w:themeColor="accent1"/>
          <w:left w:val="nil"/>
        </w:tcBorders>
      </w:tcPr>
    </w:tblStylePr>
    <w:tblStylePr w:type="swCell">
      <w:tblPr/>
      <w:tcPr>
        <w:tcBorders>
          <w:top w:val="double" w:sz="4" w:space="0" w:color="008139" w:themeColor="accent1"/>
          <w:right w:val="nil"/>
        </w:tcBorders>
      </w:tcPr>
    </w:tblStylePr>
  </w:style>
  <w:style w:type="table" w:styleId="ListTable3-Accent2">
    <w:name w:val="List Table 3 Accent 2"/>
    <w:basedOn w:val="TableNormal"/>
    <w:uiPriority w:val="48"/>
    <w:pPr>
      <w:spacing w:after="0"/>
    </w:pPr>
    <w:tblPr>
      <w:tblStyleRowBandSize w:val="1"/>
      <w:tblStyleColBandSize w:val="1"/>
      <w:tblBorders>
        <w:top w:val="single" w:sz="4" w:space="0" w:color="DE6002" w:themeColor="accent2"/>
        <w:left w:val="single" w:sz="4" w:space="0" w:color="DE6002" w:themeColor="accent2"/>
        <w:bottom w:val="single" w:sz="4" w:space="0" w:color="DE6002" w:themeColor="accent2"/>
        <w:right w:val="single" w:sz="4" w:space="0" w:color="DE6002" w:themeColor="accent2"/>
      </w:tblBorders>
    </w:tblPr>
    <w:tblStylePr w:type="firstRow">
      <w:rPr>
        <w:b/>
        <w:bCs/>
        <w:color w:val="FFFFFF" w:themeColor="background1"/>
      </w:rPr>
      <w:tblPr/>
      <w:tcPr>
        <w:shd w:val="clear" w:color="auto" w:fill="DE6002" w:themeFill="accent2"/>
      </w:tcPr>
    </w:tblStylePr>
    <w:tblStylePr w:type="lastRow">
      <w:rPr>
        <w:b/>
        <w:bCs/>
      </w:rPr>
      <w:tblPr/>
      <w:tcPr>
        <w:tcBorders>
          <w:top w:val="double" w:sz="4" w:space="0" w:color="DE600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6002" w:themeColor="accent2"/>
          <w:right w:val="single" w:sz="4" w:space="0" w:color="DE6002" w:themeColor="accent2"/>
        </w:tcBorders>
      </w:tcPr>
    </w:tblStylePr>
    <w:tblStylePr w:type="band1Horz">
      <w:tblPr/>
      <w:tcPr>
        <w:tcBorders>
          <w:top w:val="single" w:sz="4" w:space="0" w:color="DE6002" w:themeColor="accent2"/>
          <w:bottom w:val="single" w:sz="4" w:space="0" w:color="DE600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6002" w:themeColor="accent2"/>
          <w:left w:val="nil"/>
        </w:tcBorders>
      </w:tcPr>
    </w:tblStylePr>
    <w:tblStylePr w:type="swCell">
      <w:tblPr/>
      <w:tcPr>
        <w:tcBorders>
          <w:top w:val="double" w:sz="4" w:space="0" w:color="DE6002" w:themeColor="accent2"/>
          <w:right w:val="nil"/>
        </w:tcBorders>
      </w:tcPr>
    </w:tblStylePr>
  </w:style>
  <w:style w:type="table" w:styleId="ListTable3-Accent3">
    <w:name w:val="List Table 3 Accent 3"/>
    <w:basedOn w:val="TableNormal"/>
    <w:uiPriority w:val="48"/>
    <w:pPr>
      <w:spacing w:after="0"/>
    </w:pPr>
    <w:tblPr>
      <w:tblStyleRowBandSize w:val="1"/>
      <w:tblStyleColBandSize w:val="1"/>
      <w:tblBorders>
        <w:top w:val="single" w:sz="4" w:space="0" w:color="2688FE" w:themeColor="accent3"/>
        <w:left w:val="single" w:sz="4" w:space="0" w:color="2688FE" w:themeColor="accent3"/>
        <w:bottom w:val="single" w:sz="4" w:space="0" w:color="2688FE" w:themeColor="accent3"/>
        <w:right w:val="single" w:sz="4" w:space="0" w:color="2688FE" w:themeColor="accent3"/>
      </w:tblBorders>
    </w:tblPr>
    <w:tblStylePr w:type="firstRow">
      <w:rPr>
        <w:b/>
        <w:bCs/>
        <w:color w:val="FFFFFF" w:themeColor="background1"/>
      </w:rPr>
      <w:tblPr/>
      <w:tcPr>
        <w:shd w:val="clear" w:color="auto" w:fill="2688FE" w:themeFill="accent3"/>
      </w:tcPr>
    </w:tblStylePr>
    <w:tblStylePr w:type="lastRow">
      <w:rPr>
        <w:b/>
        <w:bCs/>
      </w:rPr>
      <w:tblPr/>
      <w:tcPr>
        <w:tcBorders>
          <w:top w:val="double" w:sz="4" w:space="0" w:color="2688F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688FE" w:themeColor="accent3"/>
          <w:right w:val="single" w:sz="4" w:space="0" w:color="2688FE" w:themeColor="accent3"/>
        </w:tcBorders>
      </w:tcPr>
    </w:tblStylePr>
    <w:tblStylePr w:type="band1Horz">
      <w:tblPr/>
      <w:tcPr>
        <w:tcBorders>
          <w:top w:val="single" w:sz="4" w:space="0" w:color="2688FE" w:themeColor="accent3"/>
          <w:bottom w:val="single" w:sz="4" w:space="0" w:color="2688F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688FE" w:themeColor="accent3"/>
          <w:left w:val="nil"/>
        </w:tcBorders>
      </w:tcPr>
    </w:tblStylePr>
    <w:tblStylePr w:type="swCell">
      <w:tblPr/>
      <w:tcPr>
        <w:tcBorders>
          <w:top w:val="double" w:sz="4" w:space="0" w:color="2688FE" w:themeColor="accent3"/>
          <w:right w:val="nil"/>
        </w:tcBorders>
      </w:tcPr>
    </w:tblStylePr>
  </w:style>
  <w:style w:type="table" w:styleId="ListTable3-Accent4">
    <w:name w:val="List Table 3 Accent 4"/>
    <w:basedOn w:val="TableNormal"/>
    <w:uiPriority w:val="48"/>
    <w:pPr>
      <w:spacing w:after="0"/>
    </w:pPr>
    <w:tblPr>
      <w:tblStyleRowBandSize w:val="1"/>
      <w:tblStyleColBandSize w:val="1"/>
      <w:tblBorders>
        <w:top w:val="single" w:sz="4" w:space="0" w:color="FDAB07" w:themeColor="accent4"/>
        <w:left w:val="single" w:sz="4" w:space="0" w:color="FDAB07" w:themeColor="accent4"/>
        <w:bottom w:val="single" w:sz="4" w:space="0" w:color="FDAB07" w:themeColor="accent4"/>
        <w:right w:val="single" w:sz="4" w:space="0" w:color="FDAB07" w:themeColor="accent4"/>
      </w:tblBorders>
    </w:tblPr>
    <w:tblStylePr w:type="firstRow">
      <w:rPr>
        <w:b/>
        <w:bCs/>
        <w:color w:val="FFFFFF" w:themeColor="background1"/>
      </w:rPr>
      <w:tblPr/>
      <w:tcPr>
        <w:shd w:val="clear" w:color="auto" w:fill="FDAB07" w:themeFill="accent4"/>
      </w:tcPr>
    </w:tblStylePr>
    <w:tblStylePr w:type="lastRow">
      <w:rPr>
        <w:b/>
        <w:bCs/>
      </w:rPr>
      <w:tblPr/>
      <w:tcPr>
        <w:tcBorders>
          <w:top w:val="double" w:sz="4" w:space="0" w:color="FDAB0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DAB07" w:themeColor="accent4"/>
          <w:right w:val="single" w:sz="4" w:space="0" w:color="FDAB07" w:themeColor="accent4"/>
        </w:tcBorders>
      </w:tcPr>
    </w:tblStylePr>
    <w:tblStylePr w:type="band1Horz">
      <w:tblPr/>
      <w:tcPr>
        <w:tcBorders>
          <w:top w:val="single" w:sz="4" w:space="0" w:color="FDAB07" w:themeColor="accent4"/>
          <w:bottom w:val="single" w:sz="4" w:space="0" w:color="FDAB0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DAB07" w:themeColor="accent4"/>
          <w:left w:val="nil"/>
        </w:tcBorders>
      </w:tcPr>
    </w:tblStylePr>
    <w:tblStylePr w:type="swCell">
      <w:tblPr/>
      <w:tcPr>
        <w:tcBorders>
          <w:top w:val="double" w:sz="4" w:space="0" w:color="FDAB07" w:themeColor="accent4"/>
          <w:right w:val="nil"/>
        </w:tcBorders>
      </w:tcPr>
    </w:tblStylePr>
  </w:style>
  <w:style w:type="table" w:styleId="ListTable3-Accent5">
    <w:name w:val="List Table 3 Accent 5"/>
    <w:basedOn w:val="TableNormal"/>
    <w:uiPriority w:val="48"/>
    <w:pPr>
      <w:spacing w:after="0"/>
    </w:pPr>
    <w:tblPr>
      <w:tblStyleRowBandSize w:val="1"/>
      <w:tblStyleColBandSize w:val="1"/>
      <w:tblBorders>
        <w:top w:val="single" w:sz="4" w:space="0" w:color="DC165D" w:themeColor="accent5"/>
        <w:left w:val="single" w:sz="4" w:space="0" w:color="DC165D" w:themeColor="accent5"/>
        <w:bottom w:val="single" w:sz="4" w:space="0" w:color="DC165D" w:themeColor="accent5"/>
        <w:right w:val="single" w:sz="4" w:space="0" w:color="DC165D" w:themeColor="accent5"/>
      </w:tblBorders>
    </w:tblPr>
    <w:tblStylePr w:type="firstRow">
      <w:rPr>
        <w:b/>
        <w:bCs/>
        <w:color w:val="FFFFFF" w:themeColor="background1"/>
      </w:rPr>
      <w:tblPr/>
      <w:tcPr>
        <w:shd w:val="clear" w:color="auto" w:fill="DC165D" w:themeFill="accent5"/>
      </w:tcPr>
    </w:tblStylePr>
    <w:tblStylePr w:type="lastRow">
      <w:rPr>
        <w:b/>
        <w:bCs/>
      </w:rPr>
      <w:tblPr/>
      <w:tcPr>
        <w:tcBorders>
          <w:top w:val="double" w:sz="4" w:space="0" w:color="DC165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C165D" w:themeColor="accent5"/>
          <w:right w:val="single" w:sz="4" w:space="0" w:color="DC165D" w:themeColor="accent5"/>
        </w:tcBorders>
      </w:tcPr>
    </w:tblStylePr>
    <w:tblStylePr w:type="band1Horz">
      <w:tblPr/>
      <w:tcPr>
        <w:tcBorders>
          <w:top w:val="single" w:sz="4" w:space="0" w:color="DC165D" w:themeColor="accent5"/>
          <w:bottom w:val="single" w:sz="4" w:space="0" w:color="DC165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C165D" w:themeColor="accent5"/>
          <w:left w:val="nil"/>
        </w:tcBorders>
      </w:tcPr>
    </w:tblStylePr>
    <w:tblStylePr w:type="swCell">
      <w:tblPr/>
      <w:tcPr>
        <w:tcBorders>
          <w:top w:val="double" w:sz="4" w:space="0" w:color="DC165D" w:themeColor="accent5"/>
          <w:right w:val="nil"/>
        </w:tcBorders>
      </w:tcPr>
    </w:tblStylePr>
  </w:style>
  <w:style w:type="table" w:styleId="ListTable3-Accent6">
    <w:name w:val="List Table 3 Accent 6"/>
    <w:basedOn w:val="TableNormal"/>
    <w:uiPriority w:val="48"/>
    <w:pPr>
      <w:spacing w:after="0"/>
    </w:pPr>
    <w:tblPr>
      <w:tblStyleRowBandSize w:val="1"/>
      <w:tblStyleColBandSize w:val="1"/>
      <w:tblBorders>
        <w:top w:val="single" w:sz="4" w:space="0" w:color="7030A0" w:themeColor="accent6"/>
        <w:left w:val="single" w:sz="4" w:space="0" w:color="7030A0" w:themeColor="accent6"/>
        <w:bottom w:val="single" w:sz="4" w:space="0" w:color="7030A0" w:themeColor="accent6"/>
        <w:right w:val="single" w:sz="4" w:space="0" w:color="7030A0" w:themeColor="accent6"/>
      </w:tblBorders>
    </w:tblPr>
    <w:tblStylePr w:type="firstRow">
      <w:rPr>
        <w:b/>
        <w:bCs/>
        <w:color w:val="FFFFFF" w:themeColor="background1"/>
      </w:rPr>
      <w:tblPr/>
      <w:tcPr>
        <w:shd w:val="clear" w:color="auto" w:fill="7030A0" w:themeFill="accent6"/>
      </w:tcPr>
    </w:tblStylePr>
    <w:tblStylePr w:type="lastRow">
      <w:rPr>
        <w:b/>
        <w:bCs/>
      </w:rPr>
      <w:tblPr/>
      <w:tcPr>
        <w:tcBorders>
          <w:top w:val="double" w:sz="4" w:space="0" w:color="7030A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30A0" w:themeColor="accent6"/>
          <w:right w:val="single" w:sz="4" w:space="0" w:color="7030A0" w:themeColor="accent6"/>
        </w:tcBorders>
      </w:tcPr>
    </w:tblStylePr>
    <w:tblStylePr w:type="band1Horz">
      <w:tblPr/>
      <w:tcPr>
        <w:tcBorders>
          <w:top w:val="single" w:sz="4" w:space="0" w:color="7030A0" w:themeColor="accent6"/>
          <w:bottom w:val="single" w:sz="4" w:space="0" w:color="7030A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30A0" w:themeColor="accent6"/>
          <w:left w:val="nil"/>
        </w:tcBorders>
      </w:tcPr>
    </w:tblStylePr>
    <w:tblStylePr w:type="swCell">
      <w:tblPr/>
      <w:tcPr>
        <w:tcBorders>
          <w:top w:val="double" w:sz="4" w:space="0" w:color="7030A0" w:themeColor="accent6"/>
          <w:right w:val="nil"/>
        </w:tcBorders>
      </w:tcPr>
    </w:tblStylePr>
  </w:style>
  <w:style w:type="table" w:styleId="ListTable4">
    <w:name w:val="List Table 4"/>
    <w:basedOn w:val="TableNormal"/>
    <w:uiPriority w:val="49"/>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pPr>
      <w:spacing w:after="0"/>
    </w:p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tblBorders>
    </w:tblPr>
    <w:tblStylePr w:type="firstRow">
      <w:rPr>
        <w:b/>
        <w:bCs/>
        <w:color w:val="FFFFFF" w:themeColor="background1"/>
      </w:rPr>
      <w:tblPr/>
      <w:tcPr>
        <w:tcBorders>
          <w:top w:val="single" w:sz="4" w:space="0" w:color="008139" w:themeColor="accent1"/>
          <w:left w:val="single" w:sz="4" w:space="0" w:color="008139" w:themeColor="accent1"/>
          <w:bottom w:val="single" w:sz="4" w:space="0" w:color="008139" w:themeColor="accent1"/>
          <w:right w:val="single" w:sz="4" w:space="0" w:color="008139" w:themeColor="accent1"/>
          <w:insideH w:val="nil"/>
        </w:tcBorders>
        <w:shd w:val="clear" w:color="auto" w:fill="008139" w:themeFill="accent1"/>
      </w:tcPr>
    </w:tblStylePr>
    <w:tblStylePr w:type="lastRow">
      <w:rPr>
        <w:b/>
        <w:bCs/>
      </w:rPr>
      <w:tblPr/>
      <w:tcPr>
        <w:tcBorders>
          <w:top w:val="doub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4-Accent2">
    <w:name w:val="List Table 4 Accent 2"/>
    <w:basedOn w:val="TableNormal"/>
    <w:uiPriority w:val="49"/>
    <w:pPr>
      <w:spacing w:after="0"/>
    </w:pPr>
    <w:tblPr>
      <w:tblStyleRowBandSize w:val="1"/>
      <w:tblStyleColBandSize w:val="1"/>
      <w:tblBorders>
        <w:top w:val="single" w:sz="4" w:space="0" w:color="FD9C54" w:themeColor="accent2" w:themeTint="99"/>
        <w:left w:val="single" w:sz="4" w:space="0" w:color="FD9C54" w:themeColor="accent2" w:themeTint="99"/>
        <w:bottom w:val="single" w:sz="4" w:space="0" w:color="FD9C54" w:themeColor="accent2" w:themeTint="99"/>
        <w:right w:val="single" w:sz="4" w:space="0" w:color="FD9C54" w:themeColor="accent2" w:themeTint="99"/>
        <w:insideH w:val="single" w:sz="4" w:space="0" w:color="FD9C54" w:themeColor="accent2" w:themeTint="99"/>
      </w:tblBorders>
    </w:tblPr>
    <w:tblStylePr w:type="firstRow">
      <w:rPr>
        <w:b/>
        <w:bCs/>
        <w:color w:val="FFFFFF" w:themeColor="background1"/>
      </w:rPr>
      <w:tblPr/>
      <w:tcPr>
        <w:tcBorders>
          <w:top w:val="single" w:sz="4" w:space="0" w:color="DE6002" w:themeColor="accent2"/>
          <w:left w:val="single" w:sz="4" w:space="0" w:color="DE6002" w:themeColor="accent2"/>
          <w:bottom w:val="single" w:sz="4" w:space="0" w:color="DE6002" w:themeColor="accent2"/>
          <w:right w:val="single" w:sz="4" w:space="0" w:color="DE6002" w:themeColor="accent2"/>
          <w:insideH w:val="nil"/>
        </w:tcBorders>
        <w:shd w:val="clear" w:color="auto" w:fill="DE6002" w:themeFill="accent2"/>
      </w:tcPr>
    </w:tblStylePr>
    <w:tblStylePr w:type="lastRow">
      <w:rPr>
        <w:b/>
        <w:bCs/>
      </w:rPr>
      <w:tblPr/>
      <w:tcPr>
        <w:tcBorders>
          <w:top w:val="double" w:sz="4" w:space="0" w:color="FD9C54" w:themeColor="accent2" w:themeTint="99"/>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4-Accent3">
    <w:name w:val="List Table 4 Accent 3"/>
    <w:basedOn w:val="TableNormal"/>
    <w:uiPriority w:val="49"/>
    <w:pPr>
      <w:spacing w:after="0"/>
    </w:p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tblBorders>
    </w:tblPr>
    <w:tblStylePr w:type="firstRow">
      <w:rPr>
        <w:b/>
        <w:bCs/>
        <w:color w:val="FFFFFF" w:themeColor="background1"/>
      </w:rPr>
      <w:tblPr/>
      <w:tcPr>
        <w:tcBorders>
          <w:top w:val="single" w:sz="4" w:space="0" w:color="2688FE" w:themeColor="accent3"/>
          <w:left w:val="single" w:sz="4" w:space="0" w:color="2688FE" w:themeColor="accent3"/>
          <w:bottom w:val="single" w:sz="4" w:space="0" w:color="2688FE" w:themeColor="accent3"/>
          <w:right w:val="single" w:sz="4" w:space="0" w:color="2688FE" w:themeColor="accent3"/>
          <w:insideH w:val="nil"/>
        </w:tcBorders>
        <w:shd w:val="clear" w:color="auto" w:fill="2688FE" w:themeFill="accent3"/>
      </w:tcPr>
    </w:tblStylePr>
    <w:tblStylePr w:type="lastRow">
      <w:rPr>
        <w:b/>
        <w:bCs/>
      </w:rPr>
      <w:tblPr/>
      <w:tcPr>
        <w:tcBorders>
          <w:top w:val="doub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4-Accent4">
    <w:name w:val="List Table 4 Accent 4"/>
    <w:basedOn w:val="TableNormal"/>
    <w:uiPriority w:val="49"/>
    <w:pPr>
      <w:spacing w:after="0"/>
    </w:p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tblBorders>
    </w:tblPr>
    <w:tblStylePr w:type="firstRow">
      <w:rPr>
        <w:b/>
        <w:bCs/>
        <w:color w:val="FFFFFF" w:themeColor="background1"/>
      </w:rPr>
      <w:tblPr/>
      <w:tcPr>
        <w:tcBorders>
          <w:top w:val="single" w:sz="4" w:space="0" w:color="FDAB07" w:themeColor="accent4"/>
          <w:left w:val="single" w:sz="4" w:space="0" w:color="FDAB07" w:themeColor="accent4"/>
          <w:bottom w:val="single" w:sz="4" w:space="0" w:color="FDAB07" w:themeColor="accent4"/>
          <w:right w:val="single" w:sz="4" w:space="0" w:color="FDAB07" w:themeColor="accent4"/>
          <w:insideH w:val="nil"/>
        </w:tcBorders>
        <w:shd w:val="clear" w:color="auto" w:fill="FDAB07" w:themeFill="accent4"/>
      </w:tcPr>
    </w:tblStylePr>
    <w:tblStylePr w:type="lastRow">
      <w:rPr>
        <w:b/>
        <w:bCs/>
      </w:rPr>
      <w:tblPr/>
      <w:tcPr>
        <w:tcBorders>
          <w:top w:val="doub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4-Accent5">
    <w:name w:val="List Table 4 Accent 5"/>
    <w:basedOn w:val="TableNormal"/>
    <w:uiPriority w:val="49"/>
    <w:pPr>
      <w:spacing w:after="0"/>
    </w:p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tblBorders>
    </w:tblPr>
    <w:tblStylePr w:type="firstRow">
      <w:rPr>
        <w:b/>
        <w:bCs/>
        <w:color w:val="FFFFFF" w:themeColor="background1"/>
      </w:rPr>
      <w:tblPr/>
      <w:tcPr>
        <w:tcBorders>
          <w:top w:val="single" w:sz="4" w:space="0" w:color="DC165D" w:themeColor="accent5"/>
          <w:left w:val="single" w:sz="4" w:space="0" w:color="DC165D" w:themeColor="accent5"/>
          <w:bottom w:val="single" w:sz="4" w:space="0" w:color="DC165D" w:themeColor="accent5"/>
          <w:right w:val="single" w:sz="4" w:space="0" w:color="DC165D" w:themeColor="accent5"/>
          <w:insideH w:val="nil"/>
        </w:tcBorders>
        <w:shd w:val="clear" w:color="auto" w:fill="DC165D" w:themeFill="accent5"/>
      </w:tcPr>
    </w:tblStylePr>
    <w:tblStylePr w:type="lastRow">
      <w:rPr>
        <w:b/>
        <w:bCs/>
      </w:rPr>
      <w:tblPr/>
      <w:tcPr>
        <w:tcBorders>
          <w:top w:val="doub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4-Accent6">
    <w:name w:val="List Table 4 Accent 6"/>
    <w:basedOn w:val="TableNormal"/>
    <w:uiPriority w:val="49"/>
    <w:pPr>
      <w:spacing w:after="0"/>
    </w:p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tblBorders>
    </w:tblPr>
    <w:tblStylePr w:type="firstRow">
      <w:rPr>
        <w:b/>
        <w:bCs/>
        <w:color w:val="FFFFFF"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tcBorders>
        <w:shd w:val="clear" w:color="auto" w:fill="7030A0" w:themeFill="accent6"/>
      </w:tcPr>
    </w:tblStylePr>
    <w:tblStylePr w:type="lastRow">
      <w:rPr>
        <w:b/>
        <w:bCs/>
      </w:rPr>
      <w:tblPr/>
      <w:tcPr>
        <w:tcBorders>
          <w:top w:val="doub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5Dark">
    <w:name w:val="List Table 5 Dark"/>
    <w:basedOn w:val="TableNormal"/>
    <w:uiPriority w:val="50"/>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pPr>
      <w:spacing w:after="0"/>
    </w:pPr>
    <w:rPr>
      <w:color w:val="FFFFFF" w:themeColor="background1"/>
    </w:rPr>
    <w:tblPr>
      <w:tblStyleRowBandSize w:val="1"/>
      <w:tblStyleColBandSize w:val="1"/>
      <w:tblBorders>
        <w:top w:val="single" w:sz="24" w:space="0" w:color="008139" w:themeColor="accent1"/>
        <w:left w:val="single" w:sz="24" w:space="0" w:color="008139" w:themeColor="accent1"/>
        <w:bottom w:val="single" w:sz="24" w:space="0" w:color="008139" w:themeColor="accent1"/>
        <w:right w:val="single" w:sz="24" w:space="0" w:color="008139" w:themeColor="accent1"/>
      </w:tblBorders>
    </w:tblPr>
    <w:tcPr>
      <w:shd w:val="clear" w:color="auto" w:fill="00813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pPr>
      <w:spacing w:after="0"/>
    </w:pPr>
    <w:rPr>
      <w:color w:val="FFFFFF" w:themeColor="background1"/>
    </w:rPr>
    <w:tblPr>
      <w:tblStyleRowBandSize w:val="1"/>
      <w:tblStyleColBandSize w:val="1"/>
      <w:tblBorders>
        <w:top w:val="single" w:sz="24" w:space="0" w:color="DE6002" w:themeColor="accent2"/>
        <w:left w:val="single" w:sz="24" w:space="0" w:color="DE6002" w:themeColor="accent2"/>
        <w:bottom w:val="single" w:sz="24" w:space="0" w:color="DE6002" w:themeColor="accent2"/>
        <w:right w:val="single" w:sz="24" w:space="0" w:color="DE6002" w:themeColor="accent2"/>
      </w:tblBorders>
    </w:tblPr>
    <w:tcPr>
      <w:shd w:val="clear" w:color="auto" w:fill="DE600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pPr>
      <w:spacing w:after="0"/>
    </w:pPr>
    <w:rPr>
      <w:color w:val="FFFFFF" w:themeColor="background1"/>
    </w:rPr>
    <w:tblPr>
      <w:tblStyleRowBandSize w:val="1"/>
      <w:tblStyleColBandSize w:val="1"/>
      <w:tblBorders>
        <w:top w:val="single" w:sz="24" w:space="0" w:color="2688FE" w:themeColor="accent3"/>
        <w:left w:val="single" w:sz="24" w:space="0" w:color="2688FE" w:themeColor="accent3"/>
        <w:bottom w:val="single" w:sz="24" w:space="0" w:color="2688FE" w:themeColor="accent3"/>
        <w:right w:val="single" w:sz="24" w:space="0" w:color="2688FE" w:themeColor="accent3"/>
      </w:tblBorders>
    </w:tblPr>
    <w:tcPr>
      <w:shd w:val="clear" w:color="auto" w:fill="2688F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pPr>
      <w:spacing w:after="0"/>
    </w:pPr>
    <w:rPr>
      <w:color w:val="FFFFFF" w:themeColor="background1"/>
    </w:rPr>
    <w:tblPr>
      <w:tblStyleRowBandSize w:val="1"/>
      <w:tblStyleColBandSize w:val="1"/>
      <w:tblBorders>
        <w:top w:val="single" w:sz="24" w:space="0" w:color="FDAB07" w:themeColor="accent4"/>
        <w:left w:val="single" w:sz="24" w:space="0" w:color="FDAB07" w:themeColor="accent4"/>
        <w:bottom w:val="single" w:sz="24" w:space="0" w:color="FDAB07" w:themeColor="accent4"/>
        <w:right w:val="single" w:sz="24" w:space="0" w:color="FDAB07" w:themeColor="accent4"/>
      </w:tblBorders>
    </w:tblPr>
    <w:tcPr>
      <w:shd w:val="clear" w:color="auto" w:fill="FDAB0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pPr>
      <w:spacing w:after="0"/>
    </w:pPr>
    <w:rPr>
      <w:color w:val="FFFFFF" w:themeColor="background1"/>
    </w:rPr>
    <w:tblPr>
      <w:tblStyleRowBandSize w:val="1"/>
      <w:tblStyleColBandSize w:val="1"/>
      <w:tblBorders>
        <w:top w:val="single" w:sz="24" w:space="0" w:color="DC165D" w:themeColor="accent5"/>
        <w:left w:val="single" w:sz="24" w:space="0" w:color="DC165D" w:themeColor="accent5"/>
        <w:bottom w:val="single" w:sz="24" w:space="0" w:color="DC165D" w:themeColor="accent5"/>
        <w:right w:val="single" w:sz="24" w:space="0" w:color="DC165D" w:themeColor="accent5"/>
      </w:tblBorders>
    </w:tblPr>
    <w:tcPr>
      <w:shd w:val="clear" w:color="auto" w:fill="DC165D"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pPr>
      <w:spacing w:after="0"/>
    </w:pPr>
    <w:rPr>
      <w:color w:val="FFFFFF" w:themeColor="background1"/>
    </w:rPr>
    <w:tblPr>
      <w:tblStyleRowBandSize w:val="1"/>
      <w:tblStyleColBandSize w:val="1"/>
      <w:tblBorders>
        <w:top w:val="single" w:sz="24" w:space="0" w:color="7030A0" w:themeColor="accent6"/>
        <w:left w:val="single" w:sz="24" w:space="0" w:color="7030A0" w:themeColor="accent6"/>
        <w:bottom w:val="single" w:sz="24" w:space="0" w:color="7030A0" w:themeColor="accent6"/>
        <w:right w:val="single" w:sz="24" w:space="0" w:color="7030A0" w:themeColor="accent6"/>
      </w:tblBorders>
    </w:tblPr>
    <w:tcPr>
      <w:shd w:val="clear" w:color="auto" w:fill="7030A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pPr>
      <w:spacing w:after="0"/>
    </w:pPr>
    <w:rPr>
      <w:color w:val="00602A" w:themeColor="accent1" w:themeShade="BF"/>
    </w:rPr>
    <w:tblPr>
      <w:tblStyleRowBandSize w:val="1"/>
      <w:tblStyleColBandSize w:val="1"/>
      <w:tblBorders>
        <w:top w:val="single" w:sz="4" w:space="0" w:color="008139" w:themeColor="accent1"/>
        <w:bottom w:val="single" w:sz="4" w:space="0" w:color="008139" w:themeColor="accent1"/>
      </w:tblBorders>
    </w:tblPr>
    <w:tblStylePr w:type="firstRow">
      <w:rPr>
        <w:b/>
        <w:bCs/>
      </w:rPr>
      <w:tblPr/>
      <w:tcPr>
        <w:tcBorders>
          <w:bottom w:val="single" w:sz="4" w:space="0" w:color="008139" w:themeColor="accent1"/>
        </w:tcBorders>
      </w:tcPr>
    </w:tblStylePr>
    <w:tblStylePr w:type="lastRow">
      <w:rPr>
        <w:b/>
        <w:bCs/>
      </w:rPr>
      <w:tblPr/>
      <w:tcPr>
        <w:tcBorders>
          <w:top w:val="double" w:sz="4" w:space="0" w:color="008139" w:themeColor="accent1"/>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6Colorful-Accent2">
    <w:name w:val="List Table 6 Colorful Accent 2"/>
    <w:basedOn w:val="TableNormal"/>
    <w:uiPriority w:val="51"/>
    <w:pPr>
      <w:spacing w:after="0"/>
    </w:pPr>
    <w:rPr>
      <w:color w:val="A64701" w:themeColor="accent2" w:themeShade="BF"/>
    </w:rPr>
    <w:tblPr>
      <w:tblStyleRowBandSize w:val="1"/>
      <w:tblStyleColBandSize w:val="1"/>
      <w:tblBorders>
        <w:top w:val="single" w:sz="4" w:space="0" w:color="DE6002" w:themeColor="accent2"/>
        <w:bottom w:val="single" w:sz="4" w:space="0" w:color="DE6002" w:themeColor="accent2"/>
      </w:tblBorders>
    </w:tblPr>
    <w:tblStylePr w:type="firstRow">
      <w:rPr>
        <w:b/>
        <w:bCs/>
      </w:rPr>
      <w:tblPr/>
      <w:tcPr>
        <w:tcBorders>
          <w:bottom w:val="single" w:sz="4" w:space="0" w:color="DE6002" w:themeColor="accent2"/>
        </w:tcBorders>
      </w:tcPr>
    </w:tblStylePr>
    <w:tblStylePr w:type="lastRow">
      <w:rPr>
        <w:b/>
        <w:bCs/>
      </w:rPr>
      <w:tblPr/>
      <w:tcPr>
        <w:tcBorders>
          <w:top w:val="double" w:sz="4" w:space="0" w:color="DE6002" w:themeColor="accent2"/>
        </w:tcBorders>
      </w:tcPr>
    </w:tblStylePr>
    <w:tblStylePr w:type="firstCol">
      <w:rPr>
        <w:b/>
        <w:bCs/>
      </w:rPr>
    </w:tblStylePr>
    <w:tblStylePr w:type="lastCol">
      <w:rPr>
        <w:b/>
        <w:bCs/>
      </w:rPr>
    </w:tblStylePr>
    <w:tblStylePr w:type="band1Vert">
      <w:tblPr/>
      <w:tcPr>
        <w:shd w:val="clear" w:color="auto" w:fill="FEDEC6" w:themeFill="accent2" w:themeFillTint="33"/>
      </w:tcPr>
    </w:tblStylePr>
    <w:tblStylePr w:type="band1Horz">
      <w:tblPr/>
      <w:tcPr>
        <w:shd w:val="clear" w:color="auto" w:fill="FEDEC6" w:themeFill="accent2" w:themeFillTint="33"/>
      </w:tcPr>
    </w:tblStylePr>
  </w:style>
  <w:style w:type="table" w:styleId="ListTable6Colorful-Accent3">
    <w:name w:val="List Table 6 Colorful Accent 3"/>
    <w:basedOn w:val="TableNormal"/>
    <w:uiPriority w:val="51"/>
    <w:pPr>
      <w:spacing w:after="0"/>
    </w:pPr>
    <w:rPr>
      <w:color w:val="0162D9" w:themeColor="accent3" w:themeShade="BF"/>
    </w:rPr>
    <w:tblPr>
      <w:tblStyleRowBandSize w:val="1"/>
      <w:tblStyleColBandSize w:val="1"/>
      <w:tblBorders>
        <w:top w:val="single" w:sz="4" w:space="0" w:color="2688FE" w:themeColor="accent3"/>
        <w:bottom w:val="single" w:sz="4" w:space="0" w:color="2688FE" w:themeColor="accent3"/>
      </w:tblBorders>
    </w:tblPr>
    <w:tblStylePr w:type="firstRow">
      <w:rPr>
        <w:b/>
        <w:bCs/>
      </w:rPr>
      <w:tblPr/>
      <w:tcPr>
        <w:tcBorders>
          <w:bottom w:val="single" w:sz="4" w:space="0" w:color="2688FE" w:themeColor="accent3"/>
        </w:tcBorders>
      </w:tcPr>
    </w:tblStylePr>
    <w:tblStylePr w:type="lastRow">
      <w:rPr>
        <w:b/>
        <w:bCs/>
      </w:rPr>
      <w:tblPr/>
      <w:tcPr>
        <w:tcBorders>
          <w:top w:val="double" w:sz="4" w:space="0" w:color="2688FE" w:themeColor="accent3"/>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6Colorful-Accent4">
    <w:name w:val="List Table 6 Colorful Accent 4"/>
    <w:basedOn w:val="TableNormal"/>
    <w:uiPriority w:val="51"/>
    <w:pPr>
      <w:spacing w:after="0"/>
    </w:pPr>
    <w:rPr>
      <w:color w:val="C18101" w:themeColor="accent4" w:themeShade="BF"/>
    </w:rPr>
    <w:tblPr>
      <w:tblStyleRowBandSize w:val="1"/>
      <w:tblStyleColBandSize w:val="1"/>
      <w:tblBorders>
        <w:top w:val="single" w:sz="4" w:space="0" w:color="FDAB07" w:themeColor="accent4"/>
        <w:bottom w:val="single" w:sz="4" w:space="0" w:color="FDAB07" w:themeColor="accent4"/>
      </w:tblBorders>
    </w:tblPr>
    <w:tblStylePr w:type="firstRow">
      <w:rPr>
        <w:b/>
        <w:bCs/>
      </w:rPr>
      <w:tblPr/>
      <w:tcPr>
        <w:tcBorders>
          <w:bottom w:val="single" w:sz="4" w:space="0" w:color="FDAB07" w:themeColor="accent4"/>
        </w:tcBorders>
      </w:tcPr>
    </w:tblStylePr>
    <w:tblStylePr w:type="lastRow">
      <w:rPr>
        <w:b/>
        <w:bCs/>
      </w:rPr>
      <w:tblPr/>
      <w:tcPr>
        <w:tcBorders>
          <w:top w:val="double" w:sz="4" w:space="0" w:color="FDAB07" w:themeColor="accent4"/>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6Colorful-Accent5">
    <w:name w:val="List Table 6 Colorful Accent 5"/>
    <w:basedOn w:val="TableNormal"/>
    <w:uiPriority w:val="51"/>
    <w:pPr>
      <w:spacing w:after="0"/>
    </w:pPr>
    <w:rPr>
      <w:color w:val="A41045" w:themeColor="accent5" w:themeShade="BF"/>
    </w:rPr>
    <w:tblPr>
      <w:tblStyleRowBandSize w:val="1"/>
      <w:tblStyleColBandSize w:val="1"/>
      <w:tblBorders>
        <w:top w:val="single" w:sz="4" w:space="0" w:color="DC165D" w:themeColor="accent5"/>
        <w:bottom w:val="single" w:sz="4" w:space="0" w:color="DC165D" w:themeColor="accent5"/>
      </w:tblBorders>
    </w:tblPr>
    <w:tblStylePr w:type="firstRow">
      <w:rPr>
        <w:b/>
        <w:bCs/>
      </w:rPr>
      <w:tblPr/>
      <w:tcPr>
        <w:tcBorders>
          <w:bottom w:val="single" w:sz="4" w:space="0" w:color="DC165D" w:themeColor="accent5"/>
        </w:tcBorders>
      </w:tcPr>
    </w:tblStylePr>
    <w:tblStylePr w:type="lastRow">
      <w:rPr>
        <w:b/>
        <w:bCs/>
      </w:rPr>
      <w:tblPr/>
      <w:tcPr>
        <w:tcBorders>
          <w:top w:val="double" w:sz="4" w:space="0" w:color="DC165D" w:themeColor="accent5"/>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6Colorful-Accent6">
    <w:name w:val="List Table 6 Colorful Accent 6"/>
    <w:basedOn w:val="TableNormal"/>
    <w:uiPriority w:val="51"/>
    <w:pPr>
      <w:spacing w:after="0"/>
    </w:pPr>
    <w:rPr>
      <w:color w:val="532477" w:themeColor="accent6" w:themeShade="BF"/>
    </w:rPr>
    <w:tblPr>
      <w:tblStyleRowBandSize w:val="1"/>
      <w:tblStyleColBandSize w:val="1"/>
      <w:tblBorders>
        <w:top w:val="single" w:sz="4" w:space="0" w:color="7030A0" w:themeColor="accent6"/>
        <w:bottom w:val="single" w:sz="4" w:space="0" w:color="7030A0" w:themeColor="accent6"/>
      </w:tblBorders>
    </w:tblPr>
    <w:tblStylePr w:type="firstRow">
      <w:rPr>
        <w:b/>
        <w:bCs/>
      </w:rPr>
      <w:tblPr/>
      <w:tcPr>
        <w:tcBorders>
          <w:bottom w:val="single" w:sz="4" w:space="0" w:color="7030A0" w:themeColor="accent6"/>
        </w:tcBorders>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7Colorful">
    <w:name w:val="List Table 7 Colorful"/>
    <w:basedOn w:val="TableNormal"/>
    <w:uiPriority w:val="52"/>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pPr>
      <w:spacing w:after="0"/>
    </w:pPr>
    <w:rPr>
      <w:color w:val="00602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13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13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13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139" w:themeColor="accent1"/>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pPr>
      <w:spacing w:after="0"/>
    </w:pPr>
    <w:rPr>
      <w:color w:val="A6470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600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600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600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6002" w:themeColor="accent2"/>
        </w:tcBorders>
        <w:shd w:val="clear" w:color="auto" w:fill="FFFFFF" w:themeFill="background1"/>
      </w:tcPr>
    </w:tblStylePr>
    <w:tblStylePr w:type="band1Vert">
      <w:tblPr/>
      <w:tcPr>
        <w:shd w:val="clear" w:color="auto" w:fill="FEDEC6" w:themeFill="accent2" w:themeFillTint="33"/>
      </w:tcPr>
    </w:tblStylePr>
    <w:tblStylePr w:type="band1Horz">
      <w:tblPr/>
      <w:tcPr>
        <w:shd w:val="clear" w:color="auto" w:fill="FEDEC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pPr>
      <w:spacing w:after="0"/>
    </w:pPr>
    <w:rPr>
      <w:color w:val="0162D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688F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688F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688F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688FE" w:themeColor="accent3"/>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pPr>
      <w:spacing w:after="0"/>
    </w:pPr>
    <w:rPr>
      <w:color w:val="C18101"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DAB0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DAB0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DAB0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DAB07" w:themeColor="accent4"/>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pPr>
      <w:spacing w:after="0"/>
    </w:pPr>
    <w:rPr>
      <w:color w:val="A4104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C165D"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C165D"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C165D"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C165D" w:themeColor="accent5"/>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pPr>
      <w:spacing w:after="0"/>
    </w:pPr>
    <w:rPr>
      <w:color w:val="532477"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30A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30A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30A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30A0" w:themeColor="accent6"/>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pPr>
      <w:spacing w:before="0" w:after="0"/>
    </w:pPr>
    <w:tblPr>
      <w:tblStyleRowBandSize w:val="1"/>
      <w:tblStyleColBandSize w:val="1"/>
      <w:tbl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single" w:sz="8" w:space="0" w:color="00E062" w:themeColor="accent1" w:themeTint="BF"/>
        <w:insideV w:val="single" w:sz="8" w:space="0" w:color="00E062" w:themeColor="accent1" w:themeTint="BF"/>
      </w:tblBorders>
    </w:tblPr>
    <w:tcPr>
      <w:shd w:val="clear" w:color="auto" w:fill="A0FFCA" w:themeFill="accent1" w:themeFillTint="3F"/>
    </w:tcPr>
    <w:tblStylePr w:type="firstRow">
      <w:rPr>
        <w:b/>
        <w:bCs/>
      </w:rPr>
    </w:tblStylePr>
    <w:tblStylePr w:type="lastRow">
      <w:rPr>
        <w:b/>
        <w:bCs/>
      </w:rPr>
      <w:tblPr/>
      <w:tcPr>
        <w:tcBorders>
          <w:top w:val="single" w:sz="18" w:space="0" w:color="00E062" w:themeColor="accent1" w:themeTint="BF"/>
        </w:tcBorders>
      </w:tcPr>
    </w:tblStylePr>
    <w:tblStylePr w:type="firstCol">
      <w:rPr>
        <w:b/>
        <w:bCs/>
      </w:rPr>
    </w:tblStylePr>
    <w:tblStylePr w:type="lastCol">
      <w:rPr>
        <w:b/>
        <w:bCs/>
      </w:rPr>
    </w:tblStylePr>
    <w:tblStylePr w:type="band1Vert">
      <w:tblPr/>
      <w:tcPr>
        <w:shd w:val="clear" w:color="auto" w:fill="41FF94" w:themeFill="accent1" w:themeFillTint="7F"/>
      </w:tcPr>
    </w:tblStylePr>
    <w:tblStylePr w:type="band1Horz">
      <w:tblPr/>
      <w:tcPr>
        <w:shd w:val="clear" w:color="auto" w:fill="41FF94" w:themeFill="accent1" w:themeFillTint="7F"/>
      </w:tcPr>
    </w:tblStylePr>
  </w:style>
  <w:style w:type="table" w:styleId="MediumGrid1-Accent2">
    <w:name w:val="Medium Grid 1 Accent 2"/>
    <w:basedOn w:val="TableNormal"/>
    <w:uiPriority w:val="67"/>
    <w:semiHidden/>
    <w:unhideWhenUsed/>
    <w:pPr>
      <w:spacing w:before="0" w:after="0"/>
    </w:pPr>
    <w:tblPr>
      <w:tblStyleRowBandSize w:val="1"/>
      <w:tblStyleColBandSize w:val="1"/>
      <w:tblBorders>
        <w:top w:val="single" w:sz="8"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single" w:sz="8" w:space="0" w:color="FD832A" w:themeColor="accent2" w:themeTint="BF"/>
        <w:insideV w:val="single" w:sz="8" w:space="0" w:color="FD832A" w:themeColor="accent2" w:themeTint="BF"/>
      </w:tblBorders>
    </w:tblPr>
    <w:tcPr>
      <w:shd w:val="clear" w:color="auto" w:fill="FED6B8" w:themeFill="accent2" w:themeFillTint="3F"/>
    </w:tcPr>
    <w:tblStylePr w:type="firstRow">
      <w:rPr>
        <w:b/>
        <w:bCs/>
      </w:rPr>
    </w:tblStylePr>
    <w:tblStylePr w:type="lastRow">
      <w:rPr>
        <w:b/>
        <w:bCs/>
      </w:rPr>
      <w:tblPr/>
      <w:tcPr>
        <w:tcBorders>
          <w:top w:val="single" w:sz="18" w:space="0" w:color="FD832A" w:themeColor="accent2" w:themeTint="BF"/>
        </w:tcBorders>
      </w:tcPr>
    </w:tblStylePr>
    <w:tblStylePr w:type="firstCol">
      <w:rPr>
        <w:b/>
        <w:bCs/>
      </w:rPr>
    </w:tblStylePr>
    <w:tblStylePr w:type="lastCol">
      <w:rPr>
        <w:b/>
        <w:bCs/>
      </w:rPr>
    </w:tblStylePr>
    <w:tblStylePr w:type="band1Vert">
      <w:tblPr/>
      <w:tcPr>
        <w:shd w:val="clear" w:color="auto" w:fill="FDAC71" w:themeFill="accent2" w:themeFillTint="7F"/>
      </w:tcPr>
    </w:tblStylePr>
    <w:tblStylePr w:type="band1Horz">
      <w:tblPr/>
      <w:tcPr>
        <w:shd w:val="clear" w:color="auto" w:fill="FDAC71" w:themeFill="accent2" w:themeFillTint="7F"/>
      </w:tcPr>
    </w:tblStylePr>
  </w:style>
  <w:style w:type="table" w:styleId="MediumGrid1-Accent3">
    <w:name w:val="Medium Grid 1 Accent 3"/>
    <w:basedOn w:val="TableNormal"/>
    <w:uiPriority w:val="67"/>
    <w:semiHidden/>
    <w:unhideWhenUsed/>
    <w:pPr>
      <w:spacing w:before="0" w:after="0"/>
    </w:pPr>
    <w:tblPr>
      <w:tblStyleRowBandSize w:val="1"/>
      <w:tblStyleColBandSize w:val="1"/>
      <w:tbl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single" w:sz="8" w:space="0" w:color="5CA5FE" w:themeColor="accent3" w:themeTint="BF"/>
        <w:insideV w:val="single" w:sz="8" w:space="0" w:color="5CA5FE" w:themeColor="accent3" w:themeTint="BF"/>
      </w:tblBorders>
    </w:tblPr>
    <w:tcPr>
      <w:shd w:val="clear" w:color="auto" w:fill="C9E1FE" w:themeFill="accent3" w:themeFillTint="3F"/>
    </w:tcPr>
    <w:tblStylePr w:type="firstRow">
      <w:rPr>
        <w:b/>
        <w:bCs/>
      </w:rPr>
    </w:tblStylePr>
    <w:tblStylePr w:type="lastRow">
      <w:rPr>
        <w:b/>
        <w:bCs/>
      </w:rPr>
      <w:tblPr/>
      <w:tcPr>
        <w:tcBorders>
          <w:top w:val="single" w:sz="18" w:space="0" w:color="5CA5FE" w:themeColor="accent3" w:themeTint="BF"/>
        </w:tcBorders>
      </w:tcPr>
    </w:tblStylePr>
    <w:tblStylePr w:type="firstCol">
      <w:rPr>
        <w:b/>
        <w:bCs/>
      </w:rPr>
    </w:tblStylePr>
    <w:tblStylePr w:type="lastCol">
      <w:rPr>
        <w:b/>
        <w:bCs/>
      </w:rPr>
    </w:tblStylePr>
    <w:tblStylePr w:type="band1Vert">
      <w:tblPr/>
      <w:tcPr>
        <w:shd w:val="clear" w:color="auto" w:fill="92C3FE" w:themeFill="accent3" w:themeFillTint="7F"/>
      </w:tcPr>
    </w:tblStylePr>
    <w:tblStylePr w:type="band1Horz">
      <w:tblPr/>
      <w:tcPr>
        <w:shd w:val="clear" w:color="auto" w:fill="92C3FE" w:themeFill="accent3" w:themeFillTint="7F"/>
      </w:tcPr>
    </w:tblStylePr>
  </w:style>
  <w:style w:type="table" w:styleId="MediumGrid1-Accent4">
    <w:name w:val="Medium Grid 1 Accent 4"/>
    <w:basedOn w:val="TableNormal"/>
    <w:uiPriority w:val="67"/>
    <w:semiHidden/>
    <w:unhideWhenUsed/>
    <w:pPr>
      <w:spacing w:before="0" w:after="0"/>
    </w:pPr>
    <w:tblPr>
      <w:tblStyleRowBandSize w:val="1"/>
      <w:tblStyleColBandSize w:val="1"/>
      <w:tbl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single" w:sz="8" w:space="0" w:color="FDC045" w:themeColor="accent4" w:themeTint="BF"/>
        <w:insideV w:val="single" w:sz="8" w:space="0" w:color="FDC045" w:themeColor="accent4" w:themeTint="BF"/>
      </w:tblBorders>
    </w:tblPr>
    <w:tcPr>
      <w:shd w:val="clear" w:color="auto" w:fill="FEEAC1" w:themeFill="accent4" w:themeFillTint="3F"/>
    </w:tcPr>
    <w:tblStylePr w:type="firstRow">
      <w:rPr>
        <w:b/>
        <w:bCs/>
      </w:rPr>
    </w:tblStylePr>
    <w:tblStylePr w:type="lastRow">
      <w:rPr>
        <w:b/>
        <w:bCs/>
      </w:rPr>
      <w:tblPr/>
      <w:tcPr>
        <w:tcBorders>
          <w:top w:val="single" w:sz="18" w:space="0" w:color="FDC045" w:themeColor="accent4" w:themeTint="BF"/>
        </w:tcBorders>
      </w:tcPr>
    </w:tblStylePr>
    <w:tblStylePr w:type="firstCol">
      <w:rPr>
        <w:b/>
        <w:bCs/>
      </w:rPr>
    </w:tblStylePr>
    <w:tblStylePr w:type="lastCol">
      <w:rPr>
        <w:b/>
        <w:bCs/>
      </w:rPr>
    </w:tblStylePr>
    <w:tblStylePr w:type="band1Vert">
      <w:tblPr/>
      <w:tcPr>
        <w:shd w:val="clear" w:color="auto" w:fill="FED583" w:themeFill="accent4" w:themeFillTint="7F"/>
      </w:tcPr>
    </w:tblStylePr>
    <w:tblStylePr w:type="band1Horz">
      <w:tblPr/>
      <w:tcPr>
        <w:shd w:val="clear" w:color="auto" w:fill="FED583" w:themeFill="accent4" w:themeFillTint="7F"/>
      </w:tcPr>
    </w:tblStylePr>
  </w:style>
  <w:style w:type="table" w:styleId="MediumGrid1-Accent5">
    <w:name w:val="Medium Grid 1 Accent 5"/>
    <w:basedOn w:val="TableNormal"/>
    <w:uiPriority w:val="67"/>
    <w:semiHidden/>
    <w:unhideWhenUsed/>
    <w:pPr>
      <w:spacing w:before="0" w:after="0"/>
    </w:pPr>
    <w:tblPr>
      <w:tblStyleRowBandSize w:val="1"/>
      <w:tblStyleColBandSize w:val="1"/>
      <w:tbl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single" w:sz="8" w:space="0" w:color="EC4882" w:themeColor="accent5" w:themeTint="BF"/>
        <w:insideV w:val="single" w:sz="8" w:space="0" w:color="EC4882" w:themeColor="accent5" w:themeTint="BF"/>
      </w:tblBorders>
    </w:tblPr>
    <w:tcPr>
      <w:shd w:val="clear" w:color="auto" w:fill="F9C2D6" w:themeFill="accent5" w:themeFillTint="3F"/>
    </w:tcPr>
    <w:tblStylePr w:type="firstRow">
      <w:rPr>
        <w:b/>
        <w:bCs/>
      </w:rPr>
    </w:tblStylePr>
    <w:tblStylePr w:type="lastRow">
      <w:rPr>
        <w:b/>
        <w:bCs/>
      </w:rPr>
      <w:tblPr/>
      <w:tcPr>
        <w:tcBorders>
          <w:top w:val="single" w:sz="18" w:space="0" w:color="EC4882" w:themeColor="accent5" w:themeTint="BF"/>
        </w:tcBorders>
      </w:tcPr>
    </w:tblStylePr>
    <w:tblStylePr w:type="firstCol">
      <w:rPr>
        <w:b/>
        <w:bCs/>
      </w:rPr>
    </w:tblStylePr>
    <w:tblStylePr w:type="lastCol">
      <w:rPr>
        <w:b/>
        <w:bCs/>
      </w:rPr>
    </w:tblStylePr>
    <w:tblStylePr w:type="band1Vert">
      <w:tblPr/>
      <w:tcPr>
        <w:shd w:val="clear" w:color="auto" w:fill="F285AC" w:themeFill="accent5" w:themeFillTint="7F"/>
      </w:tcPr>
    </w:tblStylePr>
    <w:tblStylePr w:type="band1Horz">
      <w:tblPr/>
      <w:tcPr>
        <w:shd w:val="clear" w:color="auto" w:fill="F285AC" w:themeFill="accent5" w:themeFillTint="7F"/>
      </w:tcPr>
    </w:tblStylePr>
  </w:style>
  <w:style w:type="table" w:styleId="MediumGrid1-Accent6">
    <w:name w:val="Medium Grid 1 Accent 6"/>
    <w:basedOn w:val="TableNormal"/>
    <w:uiPriority w:val="67"/>
    <w:semiHidden/>
    <w:unhideWhenUsed/>
    <w:pPr>
      <w:spacing w:before="0" w:after="0"/>
    </w:pPr>
    <w:tblPr>
      <w:tblStyleRowBandSize w:val="1"/>
      <w:tblStyleColBandSize w:val="1"/>
      <w:tbl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single" w:sz="8" w:space="0" w:color="9650CA" w:themeColor="accent6" w:themeTint="BF"/>
        <w:insideV w:val="single" w:sz="8" w:space="0" w:color="9650CA" w:themeColor="accent6" w:themeTint="BF"/>
      </w:tblBorders>
    </w:tblPr>
    <w:tcPr>
      <w:shd w:val="clear" w:color="auto" w:fill="DCC5ED" w:themeFill="accent6" w:themeFillTint="3F"/>
    </w:tcPr>
    <w:tblStylePr w:type="firstRow">
      <w:rPr>
        <w:b/>
        <w:bCs/>
      </w:rPr>
    </w:tblStylePr>
    <w:tblStylePr w:type="lastRow">
      <w:rPr>
        <w:b/>
        <w:bCs/>
      </w:rPr>
      <w:tblPr/>
      <w:tcPr>
        <w:tcBorders>
          <w:top w:val="single" w:sz="18" w:space="0" w:color="9650CA" w:themeColor="accent6" w:themeTint="BF"/>
        </w:tcBorders>
      </w:tcPr>
    </w:tblStylePr>
    <w:tblStylePr w:type="firstCol">
      <w:rPr>
        <w:b/>
        <w:bCs/>
      </w:rPr>
    </w:tblStylePr>
    <w:tblStylePr w:type="lastCol">
      <w:rPr>
        <w:b/>
        <w:bCs/>
      </w:rPr>
    </w:tblStylePr>
    <w:tblStylePr w:type="band1Vert">
      <w:tblPr/>
      <w:tcPr>
        <w:shd w:val="clear" w:color="auto" w:fill="B98BDC" w:themeFill="accent6" w:themeFillTint="7F"/>
      </w:tcPr>
    </w:tblStylePr>
    <w:tblStylePr w:type="band1Horz">
      <w:tblPr/>
      <w:tcPr>
        <w:shd w:val="clear" w:color="auto" w:fill="B98BDC" w:themeFill="accent6" w:themeFillTint="7F"/>
      </w:tcPr>
    </w:tblStylePr>
  </w:style>
  <w:style w:type="table" w:styleId="MediumGrid2">
    <w:name w:val="Medium Grid 2"/>
    <w:basedOn w:val="TableNormal"/>
    <w:uiPriority w:val="68"/>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insideH w:val="single" w:sz="8" w:space="0" w:color="008139" w:themeColor="accent1"/>
        <w:insideV w:val="single" w:sz="8" w:space="0" w:color="008139" w:themeColor="accent1"/>
      </w:tblBorders>
    </w:tblPr>
    <w:tcPr>
      <w:shd w:val="clear" w:color="auto" w:fill="A0FFCA" w:themeFill="accent1" w:themeFillTint="3F"/>
    </w:tcPr>
    <w:tblStylePr w:type="firstRow">
      <w:rPr>
        <w:b/>
        <w:bCs/>
        <w:color w:val="000000" w:themeColor="text1"/>
      </w:rPr>
      <w:tblPr/>
      <w:tcPr>
        <w:shd w:val="clear" w:color="auto" w:fill="D9FF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2FFD4" w:themeFill="accent1" w:themeFillTint="33"/>
      </w:tcPr>
    </w:tblStylePr>
    <w:tblStylePr w:type="band1Vert">
      <w:tblPr/>
      <w:tcPr>
        <w:shd w:val="clear" w:color="auto" w:fill="41FF94" w:themeFill="accent1" w:themeFillTint="7F"/>
      </w:tcPr>
    </w:tblStylePr>
    <w:tblStylePr w:type="band1Horz">
      <w:tblPr/>
      <w:tcPr>
        <w:tcBorders>
          <w:insideH w:val="single" w:sz="6" w:space="0" w:color="008139" w:themeColor="accent1"/>
          <w:insideV w:val="single" w:sz="6" w:space="0" w:color="008139" w:themeColor="accent1"/>
        </w:tcBorders>
        <w:shd w:val="clear" w:color="auto" w:fill="41FF9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insideH w:val="single" w:sz="8" w:space="0" w:color="DE6002" w:themeColor="accent2"/>
        <w:insideV w:val="single" w:sz="8" w:space="0" w:color="DE6002" w:themeColor="accent2"/>
      </w:tblBorders>
    </w:tblPr>
    <w:tcPr>
      <w:shd w:val="clear" w:color="auto" w:fill="FED6B8" w:themeFill="accent2" w:themeFillTint="3F"/>
    </w:tcPr>
    <w:tblStylePr w:type="firstRow">
      <w:rPr>
        <w:b/>
        <w:bCs/>
        <w:color w:val="000000" w:themeColor="text1"/>
      </w:rPr>
      <w:tblPr/>
      <w:tcPr>
        <w:shd w:val="clear" w:color="auto" w:fill="FEEEE2"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DEC6" w:themeFill="accent2" w:themeFillTint="33"/>
      </w:tcPr>
    </w:tblStylePr>
    <w:tblStylePr w:type="band1Vert">
      <w:tblPr/>
      <w:tcPr>
        <w:shd w:val="clear" w:color="auto" w:fill="FDAC71" w:themeFill="accent2" w:themeFillTint="7F"/>
      </w:tcPr>
    </w:tblStylePr>
    <w:tblStylePr w:type="band1Horz">
      <w:tblPr/>
      <w:tcPr>
        <w:tcBorders>
          <w:insideH w:val="single" w:sz="6" w:space="0" w:color="DE6002" w:themeColor="accent2"/>
          <w:insideV w:val="single" w:sz="6" w:space="0" w:color="DE6002" w:themeColor="accent2"/>
        </w:tcBorders>
        <w:shd w:val="clear" w:color="auto" w:fill="FDAC71"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insideH w:val="single" w:sz="8" w:space="0" w:color="2688FE" w:themeColor="accent3"/>
        <w:insideV w:val="single" w:sz="8" w:space="0" w:color="2688FE" w:themeColor="accent3"/>
      </w:tblBorders>
    </w:tblPr>
    <w:tcPr>
      <w:shd w:val="clear" w:color="auto" w:fill="C9E1FE" w:themeFill="accent3" w:themeFillTint="3F"/>
    </w:tcPr>
    <w:tblStylePr w:type="firstRow">
      <w:rPr>
        <w:b/>
        <w:bCs/>
        <w:color w:val="000000" w:themeColor="text1"/>
      </w:rPr>
      <w:tblPr/>
      <w:tcPr>
        <w:shd w:val="clear" w:color="auto" w:fill="E9F3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7FE" w:themeFill="accent3" w:themeFillTint="33"/>
      </w:tcPr>
    </w:tblStylePr>
    <w:tblStylePr w:type="band1Vert">
      <w:tblPr/>
      <w:tcPr>
        <w:shd w:val="clear" w:color="auto" w:fill="92C3FE" w:themeFill="accent3" w:themeFillTint="7F"/>
      </w:tcPr>
    </w:tblStylePr>
    <w:tblStylePr w:type="band1Horz">
      <w:tblPr/>
      <w:tcPr>
        <w:tcBorders>
          <w:insideH w:val="single" w:sz="6" w:space="0" w:color="2688FE" w:themeColor="accent3"/>
          <w:insideV w:val="single" w:sz="6" w:space="0" w:color="2688FE" w:themeColor="accent3"/>
        </w:tcBorders>
        <w:shd w:val="clear" w:color="auto" w:fill="92C3F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insideH w:val="single" w:sz="8" w:space="0" w:color="FDAB07" w:themeColor="accent4"/>
        <w:insideV w:val="single" w:sz="8" w:space="0" w:color="FDAB07" w:themeColor="accent4"/>
      </w:tblBorders>
    </w:tblPr>
    <w:tcPr>
      <w:shd w:val="clear" w:color="auto" w:fill="FEEAC1" w:themeFill="accent4" w:themeFillTint="3F"/>
    </w:tcPr>
    <w:tblStylePr w:type="firstRow">
      <w:rPr>
        <w:b/>
        <w:bCs/>
        <w:color w:val="000000" w:themeColor="text1"/>
      </w:rPr>
      <w:tblPr/>
      <w:tcPr>
        <w:shd w:val="clear" w:color="auto" w:fill="FEF6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EECD" w:themeFill="accent4" w:themeFillTint="33"/>
      </w:tcPr>
    </w:tblStylePr>
    <w:tblStylePr w:type="band1Vert">
      <w:tblPr/>
      <w:tcPr>
        <w:shd w:val="clear" w:color="auto" w:fill="FED583" w:themeFill="accent4" w:themeFillTint="7F"/>
      </w:tcPr>
    </w:tblStylePr>
    <w:tblStylePr w:type="band1Horz">
      <w:tblPr/>
      <w:tcPr>
        <w:tcBorders>
          <w:insideH w:val="single" w:sz="6" w:space="0" w:color="FDAB07" w:themeColor="accent4"/>
          <w:insideV w:val="single" w:sz="6" w:space="0" w:color="FDAB07" w:themeColor="accent4"/>
        </w:tcBorders>
        <w:shd w:val="clear" w:color="auto" w:fill="FED583"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insideH w:val="single" w:sz="8" w:space="0" w:color="DC165D" w:themeColor="accent5"/>
        <w:insideV w:val="single" w:sz="8" w:space="0" w:color="DC165D" w:themeColor="accent5"/>
      </w:tblBorders>
    </w:tblPr>
    <w:tcPr>
      <w:shd w:val="clear" w:color="auto" w:fill="F9C2D6" w:themeFill="accent5" w:themeFillTint="3F"/>
    </w:tcPr>
    <w:tblStylePr w:type="firstRow">
      <w:rPr>
        <w:b/>
        <w:bCs/>
        <w:color w:val="000000" w:themeColor="text1"/>
      </w:rPr>
      <w:tblPr/>
      <w:tcPr>
        <w:shd w:val="clear" w:color="auto" w:fill="FCE7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CEDD" w:themeFill="accent5" w:themeFillTint="33"/>
      </w:tcPr>
    </w:tblStylePr>
    <w:tblStylePr w:type="band1Vert">
      <w:tblPr/>
      <w:tcPr>
        <w:shd w:val="clear" w:color="auto" w:fill="F285AC" w:themeFill="accent5" w:themeFillTint="7F"/>
      </w:tcPr>
    </w:tblStylePr>
    <w:tblStylePr w:type="band1Horz">
      <w:tblPr/>
      <w:tcPr>
        <w:tcBorders>
          <w:insideH w:val="single" w:sz="6" w:space="0" w:color="DC165D" w:themeColor="accent5"/>
          <w:insideV w:val="single" w:sz="6" w:space="0" w:color="DC165D" w:themeColor="accent5"/>
        </w:tcBorders>
        <w:shd w:val="clear" w:color="auto" w:fill="F285A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insideH w:val="single" w:sz="8" w:space="0" w:color="7030A0" w:themeColor="accent6"/>
        <w:insideV w:val="single" w:sz="8" w:space="0" w:color="7030A0" w:themeColor="accent6"/>
      </w:tblBorders>
    </w:tblPr>
    <w:tcPr>
      <w:shd w:val="clear" w:color="auto" w:fill="DCC5ED" w:themeFill="accent6" w:themeFillTint="3F"/>
    </w:tcPr>
    <w:tblStylePr w:type="firstRow">
      <w:rPr>
        <w:b/>
        <w:bCs/>
        <w:color w:val="000000" w:themeColor="text1"/>
      </w:rPr>
      <w:tblPr/>
      <w:tcPr>
        <w:shd w:val="clear" w:color="auto" w:fill="F1E8F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D0F1" w:themeFill="accent6" w:themeFillTint="33"/>
      </w:tcPr>
    </w:tblStylePr>
    <w:tblStylePr w:type="band1Vert">
      <w:tblPr/>
      <w:tcPr>
        <w:shd w:val="clear" w:color="auto" w:fill="B98BDC" w:themeFill="accent6" w:themeFillTint="7F"/>
      </w:tcPr>
    </w:tblStylePr>
    <w:tblStylePr w:type="band1Horz">
      <w:tblPr/>
      <w:tcPr>
        <w:tcBorders>
          <w:insideH w:val="single" w:sz="6" w:space="0" w:color="7030A0" w:themeColor="accent6"/>
          <w:insideV w:val="single" w:sz="6" w:space="0" w:color="7030A0" w:themeColor="accent6"/>
        </w:tcBorders>
        <w:shd w:val="clear" w:color="auto" w:fill="B98BDC"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FFC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13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13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13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13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1FF9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1FF94" w:themeFill="accent1" w:themeFillTint="7F"/>
      </w:tcPr>
    </w:tblStylePr>
  </w:style>
  <w:style w:type="table" w:styleId="MediumGrid3-Accent2">
    <w:name w:val="Medium Grid 3 Accent 2"/>
    <w:basedOn w:val="TableNormal"/>
    <w:uiPriority w:val="69"/>
    <w:semiHidden/>
    <w:unhideWhenUsed/>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D6B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600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600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600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600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DAC71"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DAC71" w:themeFill="accent2" w:themeFillTint="7F"/>
      </w:tcPr>
    </w:tblStylePr>
  </w:style>
  <w:style w:type="table" w:styleId="MediumGrid3-Accent3">
    <w:name w:val="Medium Grid 3 Accent 3"/>
    <w:basedOn w:val="TableNormal"/>
    <w:uiPriority w:val="69"/>
    <w:semiHidden/>
    <w:unhideWhenUsed/>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E1FE"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688F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688F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688F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688F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C3F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C3FE" w:themeFill="accent3" w:themeFillTint="7F"/>
      </w:tcPr>
    </w:tblStylePr>
  </w:style>
  <w:style w:type="table" w:styleId="MediumGrid3-Accent4">
    <w:name w:val="Medium Grid 3 Accent 4"/>
    <w:basedOn w:val="TableNormal"/>
    <w:uiPriority w:val="69"/>
    <w:semiHidden/>
    <w:unhideWhenUsed/>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AC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DAB0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DAB0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DAB0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DAB0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D583"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D583" w:themeFill="accent4" w:themeFillTint="7F"/>
      </w:tcPr>
    </w:tblStylePr>
  </w:style>
  <w:style w:type="table" w:styleId="MediumGrid3-Accent5">
    <w:name w:val="Medium Grid 3 Accent 5"/>
    <w:basedOn w:val="TableNormal"/>
    <w:uiPriority w:val="69"/>
    <w:semiHidden/>
    <w:unhideWhenUsed/>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C2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C165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C165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C165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C165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85A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85AC" w:themeFill="accent5" w:themeFillTint="7F"/>
      </w:tcPr>
    </w:tblStylePr>
  </w:style>
  <w:style w:type="table" w:styleId="MediumGrid3-Accent6">
    <w:name w:val="Medium Grid 3 Accent 6"/>
    <w:basedOn w:val="TableNormal"/>
    <w:uiPriority w:val="69"/>
    <w:semiHidden/>
    <w:unhideWhenUsed/>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C5E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30A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30A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30A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30A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98BD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98BDC" w:themeFill="accent6" w:themeFillTint="7F"/>
      </w:tcPr>
    </w:tblStylePr>
  </w:style>
  <w:style w:type="table" w:styleId="MediumList1">
    <w:name w:val="Medium List 1"/>
    <w:basedOn w:val="TableNormal"/>
    <w:uiPriority w:val="65"/>
    <w:semiHidden/>
    <w:unhideWhenUsed/>
    <w:pPr>
      <w:spacing w:before="0"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3399"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pPr>
      <w:spacing w:before="0" w:after="0"/>
    </w:pPr>
    <w:rPr>
      <w:color w:val="000000" w:themeColor="text1"/>
    </w:rPr>
    <w:tblPr>
      <w:tblStyleRowBandSize w:val="1"/>
      <w:tblStyleColBandSize w:val="1"/>
      <w:tblBorders>
        <w:top w:val="single" w:sz="8" w:space="0" w:color="008139" w:themeColor="accent1"/>
        <w:bottom w:val="single" w:sz="8" w:space="0" w:color="008139" w:themeColor="accent1"/>
      </w:tblBorders>
    </w:tblPr>
    <w:tblStylePr w:type="firstRow">
      <w:rPr>
        <w:rFonts w:asciiTheme="majorHAnsi" w:eastAsiaTheme="majorEastAsia" w:hAnsiTheme="majorHAnsi" w:cstheme="majorBidi"/>
      </w:rPr>
      <w:tblPr/>
      <w:tcPr>
        <w:tcBorders>
          <w:top w:val="nil"/>
          <w:bottom w:val="single" w:sz="8" w:space="0" w:color="008139" w:themeColor="accent1"/>
        </w:tcBorders>
      </w:tcPr>
    </w:tblStylePr>
    <w:tblStylePr w:type="lastRow">
      <w:rPr>
        <w:b/>
        <w:bCs/>
        <w:color w:val="003399" w:themeColor="text2"/>
      </w:rPr>
      <w:tblPr/>
      <w:tcPr>
        <w:tcBorders>
          <w:top w:val="single" w:sz="8" w:space="0" w:color="008139" w:themeColor="accent1"/>
          <w:bottom w:val="single" w:sz="8" w:space="0" w:color="008139" w:themeColor="accent1"/>
        </w:tcBorders>
      </w:tcPr>
    </w:tblStylePr>
    <w:tblStylePr w:type="firstCol">
      <w:rPr>
        <w:b/>
        <w:bCs/>
      </w:rPr>
    </w:tblStylePr>
    <w:tblStylePr w:type="lastCol">
      <w:rPr>
        <w:b/>
        <w:bCs/>
      </w:rPr>
      <w:tblPr/>
      <w:tcPr>
        <w:tcBorders>
          <w:top w:val="single" w:sz="8" w:space="0" w:color="008139" w:themeColor="accent1"/>
          <w:bottom w:val="single" w:sz="8" w:space="0" w:color="008139" w:themeColor="accent1"/>
        </w:tcBorders>
      </w:tcPr>
    </w:tblStylePr>
    <w:tblStylePr w:type="band1Vert">
      <w:tblPr/>
      <w:tcPr>
        <w:shd w:val="clear" w:color="auto" w:fill="A0FFCA" w:themeFill="accent1" w:themeFillTint="3F"/>
      </w:tcPr>
    </w:tblStylePr>
    <w:tblStylePr w:type="band1Horz">
      <w:tblPr/>
      <w:tcPr>
        <w:shd w:val="clear" w:color="auto" w:fill="A0FFCA" w:themeFill="accent1" w:themeFillTint="3F"/>
      </w:tcPr>
    </w:tblStylePr>
  </w:style>
  <w:style w:type="table" w:styleId="MediumList1-Accent2">
    <w:name w:val="Medium List 1 Accent 2"/>
    <w:basedOn w:val="TableNormal"/>
    <w:uiPriority w:val="65"/>
    <w:semiHidden/>
    <w:unhideWhenUsed/>
    <w:pPr>
      <w:spacing w:before="0" w:after="0"/>
    </w:pPr>
    <w:rPr>
      <w:color w:val="000000" w:themeColor="text1"/>
    </w:rPr>
    <w:tblPr>
      <w:tblStyleRowBandSize w:val="1"/>
      <w:tblStyleColBandSize w:val="1"/>
      <w:tblBorders>
        <w:top w:val="single" w:sz="8" w:space="0" w:color="DE6002" w:themeColor="accent2"/>
        <w:bottom w:val="single" w:sz="8" w:space="0" w:color="DE6002" w:themeColor="accent2"/>
      </w:tblBorders>
    </w:tblPr>
    <w:tblStylePr w:type="firstRow">
      <w:rPr>
        <w:rFonts w:asciiTheme="majorHAnsi" w:eastAsiaTheme="majorEastAsia" w:hAnsiTheme="majorHAnsi" w:cstheme="majorBidi"/>
      </w:rPr>
      <w:tblPr/>
      <w:tcPr>
        <w:tcBorders>
          <w:top w:val="nil"/>
          <w:bottom w:val="single" w:sz="8" w:space="0" w:color="DE6002" w:themeColor="accent2"/>
        </w:tcBorders>
      </w:tcPr>
    </w:tblStylePr>
    <w:tblStylePr w:type="lastRow">
      <w:rPr>
        <w:b/>
        <w:bCs/>
        <w:color w:val="003399" w:themeColor="text2"/>
      </w:rPr>
      <w:tblPr/>
      <w:tcPr>
        <w:tcBorders>
          <w:top w:val="single" w:sz="8" w:space="0" w:color="DE6002" w:themeColor="accent2"/>
          <w:bottom w:val="single" w:sz="8" w:space="0" w:color="DE6002" w:themeColor="accent2"/>
        </w:tcBorders>
      </w:tcPr>
    </w:tblStylePr>
    <w:tblStylePr w:type="firstCol">
      <w:rPr>
        <w:b/>
        <w:bCs/>
      </w:rPr>
    </w:tblStylePr>
    <w:tblStylePr w:type="lastCol">
      <w:rPr>
        <w:b/>
        <w:bCs/>
      </w:rPr>
      <w:tblPr/>
      <w:tcPr>
        <w:tcBorders>
          <w:top w:val="single" w:sz="8" w:space="0" w:color="DE6002" w:themeColor="accent2"/>
          <w:bottom w:val="single" w:sz="8" w:space="0" w:color="DE6002" w:themeColor="accent2"/>
        </w:tcBorders>
      </w:tcPr>
    </w:tblStylePr>
    <w:tblStylePr w:type="band1Vert">
      <w:tblPr/>
      <w:tcPr>
        <w:shd w:val="clear" w:color="auto" w:fill="FED6B8" w:themeFill="accent2" w:themeFillTint="3F"/>
      </w:tcPr>
    </w:tblStylePr>
    <w:tblStylePr w:type="band1Horz">
      <w:tblPr/>
      <w:tcPr>
        <w:shd w:val="clear" w:color="auto" w:fill="FED6B8" w:themeFill="accent2" w:themeFillTint="3F"/>
      </w:tcPr>
    </w:tblStylePr>
  </w:style>
  <w:style w:type="table" w:styleId="MediumList1-Accent3">
    <w:name w:val="Medium List 1 Accent 3"/>
    <w:basedOn w:val="TableNormal"/>
    <w:uiPriority w:val="65"/>
    <w:semiHidden/>
    <w:unhideWhenUsed/>
    <w:pPr>
      <w:spacing w:before="0" w:after="0"/>
    </w:pPr>
    <w:rPr>
      <w:color w:val="000000" w:themeColor="text1"/>
    </w:rPr>
    <w:tblPr>
      <w:tblStyleRowBandSize w:val="1"/>
      <w:tblStyleColBandSize w:val="1"/>
      <w:tblBorders>
        <w:top w:val="single" w:sz="8" w:space="0" w:color="2688FE" w:themeColor="accent3"/>
        <w:bottom w:val="single" w:sz="8" w:space="0" w:color="2688FE" w:themeColor="accent3"/>
      </w:tblBorders>
    </w:tblPr>
    <w:tblStylePr w:type="firstRow">
      <w:rPr>
        <w:rFonts w:asciiTheme="majorHAnsi" w:eastAsiaTheme="majorEastAsia" w:hAnsiTheme="majorHAnsi" w:cstheme="majorBidi"/>
      </w:rPr>
      <w:tblPr/>
      <w:tcPr>
        <w:tcBorders>
          <w:top w:val="nil"/>
          <w:bottom w:val="single" w:sz="8" w:space="0" w:color="2688FE" w:themeColor="accent3"/>
        </w:tcBorders>
      </w:tcPr>
    </w:tblStylePr>
    <w:tblStylePr w:type="lastRow">
      <w:rPr>
        <w:b/>
        <w:bCs/>
        <w:color w:val="003399" w:themeColor="text2"/>
      </w:rPr>
      <w:tblPr/>
      <w:tcPr>
        <w:tcBorders>
          <w:top w:val="single" w:sz="8" w:space="0" w:color="2688FE" w:themeColor="accent3"/>
          <w:bottom w:val="single" w:sz="8" w:space="0" w:color="2688FE" w:themeColor="accent3"/>
        </w:tcBorders>
      </w:tcPr>
    </w:tblStylePr>
    <w:tblStylePr w:type="firstCol">
      <w:rPr>
        <w:b/>
        <w:bCs/>
      </w:rPr>
    </w:tblStylePr>
    <w:tblStylePr w:type="lastCol">
      <w:rPr>
        <w:b/>
        <w:bCs/>
      </w:rPr>
      <w:tblPr/>
      <w:tcPr>
        <w:tcBorders>
          <w:top w:val="single" w:sz="8" w:space="0" w:color="2688FE" w:themeColor="accent3"/>
          <w:bottom w:val="single" w:sz="8" w:space="0" w:color="2688FE" w:themeColor="accent3"/>
        </w:tcBorders>
      </w:tcPr>
    </w:tblStylePr>
    <w:tblStylePr w:type="band1Vert">
      <w:tblPr/>
      <w:tcPr>
        <w:shd w:val="clear" w:color="auto" w:fill="C9E1FE" w:themeFill="accent3" w:themeFillTint="3F"/>
      </w:tcPr>
    </w:tblStylePr>
    <w:tblStylePr w:type="band1Horz">
      <w:tblPr/>
      <w:tcPr>
        <w:shd w:val="clear" w:color="auto" w:fill="C9E1FE" w:themeFill="accent3" w:themeFillTint="3F"/>
      </w:tcPr>
    </w:tblStylePr>
  </w:style>
  <w:style w:type="table" w:styleId="MediumList1-Accent4">
    <w:name w:val="Medium List 1 Accent 4"/>
    <w:basedOn w:val="TableNormal"/>
    <w:uiPriority w:val="65"/>
    <w:semiHidden/>
    <w:unhideWhenUsed/>
    <w:pPr>
      <w:spacing w:before="0" w:after="0"/>
    </w:pPr>
    <w:rPr>
      <w:color w:val="000000" w:themeColor="text1"/>
    </w:rPr>
    <w:tblPr>
      <w:tblStyleRowBandSize w:val="1"/>
      <w:tblStyleColBandSize w:val="1"/>
      <w:tblBorders>
        <w:top w:val="single" w:sz="8" w:space="0" w:color="FDAB07" w:themeColor="accent4"/>
        <w:bottom w:val="single" w:sz="8" w:space="0" w:color="FDAB07" w:themeColor="accent4"/>
      </w:tblBorders>
    </w:tblPr>
    <w:tblStylePr w:type="firstRow">
      <w:rPr>
        <w:rFonts w:asciiTheme="majorHAnsi" w:eastAsiaTheme="majorEastAsia" w:hAnsiTheme="majorHAnsi" w:cstheme="majorBidi"/>
      </w:rPr>
      <w:tblPr/>
      <w:tcPr>
        <w:tcBorders>
          <w:top w:val="nil"/>
          <w:bottom w:val="single" w:sz="8" w:space="0" w:color="FDAB07" w:themeColor="accent4"/>
        </w:tcBorders>
      </w:tcPr>
    </w:tblStylePr>
    <w:tblStylePr w:type="lastRow">
      <w:rPr>
        <w:b/>
        <w:bCs/>
        <w:color w:val="003399" w:themeColor="text2"/>
      </w:rPr>
      <w:tblPr/>
      <w:tcPr>
        <w:tcBorders>
          <w:top w:val="single" w:sz="8" w:space="0" w:color="FDAB07" w:themeColor="accent4"/>
          <w:bottom w:val="single" w:sz="8" w:space="0" w:color="FDAB07" w:themeColor="accent4"/>
        </w:tcBorders>
      </w:tcPr>
    </w:tblStylePr>
    <w:tblStylePr w:type="firstCol">
      <w:rPr>
        <w:b/>
        <w:bCs/>
      </w:rPr>
    </w:tblStylePr>
    <w:tblStylePr w:type="lastCol">
      <w:rPr>
        <w:b/>
        <w:bCs/>
      </w:rPr>
      <w:tblPr/>
      <w:tcPr>
        <w:tcBorders>
          <w:top w:val="single" w:sz="8" w:space="0" w:color="FDAB07" w:themeColor="accent4"/>
          <w:bottom w:val="single" w:sz="8" w:space="0" w:color="FDAB07" w:themeColor="accent4"/>
        </w:tcBorders>
      </w:tcPr>
    </w:tblStylePr>
    <w:tblStylePr w:type="band1Vert">
      <w:tblPr/>
      <w:tcPr>
        <w:shd w:val="clear" w:color="auto" w:fill="FEEAC1" w:themeFill="accent4" w:themeFillTint="3F"/>
      </w:tcPr>
    </w:tblStylePr>
    <w:tblStylePr w:type="band1Horz">
      <w:tblPr/>
      <w:tcPr>
        <w:shd w:val="clear" w:color="auto" w:fill="FEEAC1" w:themeFill="accent4" w:themeFillTint="3F"/>
      </w:tcPr>
    </w:tblStylePr>
  </w:style>
  <w:style w:type="table" w:styleId="MediumList1-Accent5">
    <w:name w:val="Medium List 1 Accent 5"/>
    <w:basedOn w:val="TableNormal"/>
    <w:uiPriority w:val="65"/>
    <w:semiHidden/>
    <w:unhideWhenUsed/>
    <w:pPr>
      <w:spacing w:before="0" w:after="0"/>
    </w:pPr>
    <w:rPr>
      <w:color w:val="000000" w:themeColor="text1"/>
    </w:rPr>
    <w:tblPr>
      <w:tblStyleRowBandSize w:val="1"/>
      <w:tblStyleColBandSize w:val="1"/>
      <w:tblBorders>
        <w:top w:val="single" w:sz="8" w:space="0" w:color="DC165D" w:themeColor="accent5"/>
        <w:bottom w:val="single" w:sz="8" w:space="0" w:color="DC165D" w:themeColor="accent5"/>
      </w:tblBorders>
    </w:tblPr>
    <w:tblStylePr w:type="firstRow">
      <w:rPr>
        <w:rFonts w:asciiTheme="majorHAnsi" w:eastAsiaTheme="majorEastAsia" w:hAnsiTheme="majorHAnsi" w:cstheme="majorBidi"/>
      </w:rPr>
      <w:tblPr/>
      <w:tcPr>
        <w:tcBorders>
          <w:top w:val="nil"/>
          <w:bottom w:val="single" w:sz="8" w:space="0" w:color="DC165D" w:themeColor="accent5"/>
        </w:tcBorders>
      </w:tcPr>
    </w:tblStylePr>
    <w:tblStylePr w:type="lastRow">
      <w:rPr>
        <w:b/>
        <w:bCs/>
        <w:color w:val="003399" w:themeColor="text2"/>
      </w:rPr>
      <w:tblPr/>
      <w:tcPr>
        <w:tcBorders>
          <w:top w:val="single" w:sz="8" w:space="0" w:color="DC165D" w:themeColor="accent5"/>
          <w:bottom w:val="single" w:sz="8" w:space="0" w:color="DC165D" w:themeColor="accent5"/>
        </w:tcBorders>
      </w:tcPr>
    </w:tblStylePr>
    <w:tblStylePr w:type="firstCol">
      <w:rPr>
        <w:b/>
        <w:bCs/>
      </w:rPr>
    </w:tblStylePr>
    <w:tblStylePr w:type="lastCol">
      <w:rPr>
        <w:b/>
        <w:bCs/>
      </w:rPr>
      <w:tblPr/>
      <w:tcPr>
        <w:tcBorders>
          <w:top w:val="single" w:sz="8" w:space="0" w:color="DC165D" w:themeColor="accent5"/>
          <w:bottom w:val="single" w:sz="8" w:space="0" w:color="DC165D" w:themeColor="accent5"/>
        </w:tcBorders>
      </w:tcPr>
    </w:tblStylePr>
    <w:tblStylePr w:type="band1Vert">
      <w:tblPr/>
      <w:tcPr>
        <w:shd w:val="clear" w:color="auto" w:fill="F9C2D6" w:themeFill="accent5" w:themeFillTint="3F"/>
      </w:tcPr>
    </w:tblStylePr>
    <w:tblStylePr w:type="band1Horz">
      <w:tblPr/>
      <w:tcPr>
        <w:shd w:val="clear" w:color="auto" w:fill="F9C2D6" w:themeFill="accent5" w:themeFillTint="3F"/>
      </w:tcPr>
    </w:tblStylePr>
  </w:style>
  <w:style w:type="table" w:styleId="MediumList1-Accent6">
    <w:name w:val="Medium List 1 Accent 6"/>
    <w:basedOn w:val="TableNormal"/>
    <w:uiPriority w:val="65"/>
    <w:semiHidden/>
    <w:unhideWhenUsed/>
    <w:pPr>
      <w:spacing w:before="0" w:after="0"/>
    </w:pPr>
    <w:rPr>
      <w:color w:val="000000" w:themeColor="text1"/>
    </w:rPr>
    <w:tblPr>
      <w:tblStyleRowBandSize w:val="1"/>
      <w:tblStyleColBandSize w:val="1"/>
      <w:tblBorders>
        <w:top w:val="single" w:sz="8" w:space="0" w:color="7030A0" w:themeColor="accent6"/>
        <w:bottom w:val="single" w:sz="8" w:space="0" w:color="7030A0" w:themeColor="accent6"/>
      </w:tblBorders>
    </w:tblPr>
    <w:tblStylePr w:type="firstRow">
      <w:rPr>
        <w:rFonts w:asciiTheme="majorHAnsi" w:eastAsiaTheme="majorEastAsia" w:hAnsiTheme="majorHAnsi" w:cstheme="majorBidi"/>
      </w:rPr>
      <w:tblPr/>
      <w:tcPr>
        <w:tcBorders>
          <w:top w:val="nil"/>
          <w:bottom w:val="single" w:sz="8" w:space="0" w:color="7030A0" w:themeColor="accent6"/>
        </w:tcBorders>
      </w:tcPr>
    </w:tblStylePr>
    <w:tblStylePr w:type="lastRow">
      <w:rPr>
        <w:b/>
        <w:bCs/>
        <w:color w:val="003399" w:themeColor="text2"/>
      </w:rPr>
      <w:tblPr/>
      <w:tcPr>
        <w:tcBorders>
          <w:top w:val="single" w:sz="8" w:space="0" w:color="7030A0" w:themeColor="accent6"/>
          <w:bottom w:val="single" w:sz="8" w:space="0" w:color="7030A0" w:themeColor="accent6"/>
        </w:tcBorders>
      </w:tcPr>
    </w:tblStylePr>
    <w:tblStylePr w:type="firstCol">
      <w:rPr>
        <w:b/>
        <w:bCs/>
      </w:rPr>
    </w:tblStylePr>
    <w:tblStylePr w:type="lastCol">
      <w:rPr>
        <w:b/>
        <w:bCs/>
      </w:rPr>
      <w:tblPr/>
      <w:tcPr>
        <w:tcBorders>
          <w:top w:val="single" w:sz="8" w:space="0" w:color="7030A0" w:themeColor="accent6"/>
          <w:bottom w:val="single" w:sz="8" w:space="0" w:color="7030A0" w:themeColor="accent6"/>
        </w:tcBorders>
      </w:tcPr>
    </w:tblStylePr>
    <w:tblStylePr w:type="band1Vert">
      <w:tblPr/>
      <w:tcPr>
        <w:shd w:val="clear" w:color="auto" w:fill="DCC5ED" w:themeFill="accent6" w:themeFillTint="3F"/>
      </w:tcPr>
    </w:tblStylePr>
    <w:tblStylePr w:type="band1Horz">
      <w:tblPr/>
      <w:tcPr>
        <w:shd w:val="clear" w:color="auto" w:fill="DCC5ED" w:themeFill="accent6" w:themeFillTint="3F"/>
      </w:tcPr>
    </w:tblStylePr>
  </w:style>
  <w:style w:type="table" w:styleId="MediumList2">
    <w:name w:val="Medium List 2"/>
    <w:basedOn w:val="TableNormal"/>
    <w:uiPriority w:val="66"/>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tblBorders>
    </w:tblPr>
    <w:tblStylePr w:type="firstRow">
      <w:rPr>
        <w:sz w:val="24"/>
        <w:szCs w:val="24"/>
      </w:rPr>
      <w:tblPr/>
      <w:tcPr>
        <w:tcBorders>
          <w:top w:val="nil"/>
          <w:left w:val="nil"/>
          <w:bottom w:val="single" w:sz="24" w:space="0" w:color="008139"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139" w:themeColor="accent1"/>
          <w:insideH w:val="nil"/>
          <w:insideV w:val="nil"/>
        </w:tcBorders>
        <w:shd w:val="clear" w:color="auto" w:fill="FFFFFF" w:themeFill="background1"/>
      </w:tcPr>
    </w:tblStylePr>
    <w:tblStylePr w:type="lastCol">
      <w:tblPr/>
      <w:tcPr>
        <w:tcBorders>
          <w:top w:val="nil"/>
          <w:left w:val="single" w:sz="8" w:space="0" w:color="00813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FFCA" w:themeFill="accent1" w:themeFillTint="3F"/>
      </w:tcPr>
    </w:tblStylePr>
    <w:tblStylePr w:type="band1Horz">
      <w:tblPr/>
      <w:tcPr>
        <w:tcBorders>
          <w:top w:val="nil"/>
          <w:bottom w:val="nil"/>
          <w:insideH w:val="nil"/>
          <w:insideV w:val="nil"/>
        </w:tcBorders>
        <w:shd w:val="clear" w:color="auto" w:fill="A0FFC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DE6002" w:themeColor="accent2"/>
        <w:left w:val="single" w:sz="8" w:space="0" w:color="DE6002" w:themeColor="accent2"/>
        <w:bottom w:val="single" w:sz="8" w:space="0" w:color="DE6002" w:themeColor="accent2"/>
        <w:right w:val="single" w:sz="8" w:space="0" w:color="DE6002" w:themeColor="accent2"/>
      </w:tblBorders>
    </w:tblPr>
    <w:tblStylePr w:type="firstRow">
      <w:rPr>
        <w:sz w:val="24"/>
        <w:szCs w:val="24"/>
      </w:rPr>
      <w:tblPr/>
      <w:tcPr>
        <w:tcBorders>
          <w:top w:val="nil"/>
          <w:left w:val="nil"/>
          <w:bottom w:val="single" w:sz="24" w:space="0" w:color="DE6002"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6002" w:themeColor="accent2"/>
          <w:insideH w:val="nil"/>
          <w:insideV w:val="nil"/>
        </w:tcBorders>
        <w:shd w:val="clear" w:color="auto" w:fill="FFFFFF" w:themeFill="background1"/>
      </w:tcPr>
    </w:tblStylePr>
    <w:tblStylePr w:type="lastCol">
      <w:tblPr/>
      <w:tcPr>
        <w:tcBorders>
          <w:top w:val="nil"/>
          <w:left w:val="single" w:sz="8" w:space="0" w:color="DE600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D6B8" w:themeFill="accent2" w:themeFillTint="3F"/>
      </w:tcPr>
    </w:tblStylePr>
    <w:tblStylePr w:type="band1Horz">
      <w:tblPr/>
      <w:tcPr>
        <w:tcBorders>
          <w:top w:val="nil"/>
          <w:bottom w:val="nil"/>
          <w:insideH w:val="nil"/>
          <w:insideV w:val="nil"/>
        </w:tcBorders>
        <w:shd w:val="clear" w:color="auto" w:fill="FED6B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tblBorders>
    </w:tblPr>
    <w:tblStylePr w:type="firstRow">
      <w:rPr>
        <w:sz w:val="24"/>
        <w:szCs w:val="24"/>
      </w:rPr>
      <w:tblPr/>
      <w:tcPr>
        <w:tcBorders>
          <w:top w:val="nil"/>
          <w:left w:val="nil"/>
          <w:bottom w:val="single" w:sz="24" w:space="0" w:color="2688FE"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688FE" w:themeColor="accent3"/>
          <w:insideH w:val="nil"/>
          <w:insideV w:val="nil"/>
        </w:tcBorders>
        <w:shd w:val="clear" w:color="auto" w:fill="FFFFFF" w:themeFill="background1"/>
      </w:tcPr>
    </w:tblStylePr>
    <w:tblStylePr w:type="lastCol">
      <w:tblPr/>
      <w:tcPr>
        <w:tcBorders>
          <w:top w:val="nil"/>
          <w:left w:val="single" w:sz="8" w:space="0" w:color="2688F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E1FE" w:themeFill="accent3" w:themeFillTint="3F"/>
      </w:tcPr>
    </w:tblStylePr>
    <w:tblStylePr w:type="band1Horz">
      <w:tblPr/>
      <w:tcPr>
        <w:tcBorders>
          <w:top w:val="nil"/>
          <w:bottom w:val="nil"/>
          <w:insideH w:val="nil"/>
          <w:insideV w:val="nil"/>
        </w:tcBorders>
        <w:shd w:val="clear" w:color="auto" w:fill="C9E1FE"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tblBorders>
    </w:tblPr>
    <w:tblStylePr w:type="firstRow">
      <w:rPr>
        <w:sz w:val="24"/>
        <w:szCs w:val="24"/>
      </w:rPr>
      <w:tblPr/>
      <w:tcPr>
        <w:tcBorders>
          <w:top w:val="nil"/>
          <w:left w:val="nil"/>
          <w:bottom w:val="single" w:sz="24" w:space="0" w:color="FDAB07"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DAB07" w:themeColor="accent4"/>
          <w:insideH w:val="nil"/>
          <w:insideV w:val="nil"/>
        </w:tcBorders>
        <w:shd w:val="clear" w:color="auto" w:fill="FFFFFF" w:themeFill="background1"/>
      </w:tcPr>
    </w:tblStylePr>
    <w:tblStylePr w:type="lastCol">
      <w:tblPr/>
      <w:tcPr>
        <w:tcBorders>
          <w:top w:val="nil"/>
          <w:left w:val="single" w:sz="8" w:space="0" w:color="FDAB0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AC1" w:themeFill="accent4" w:themeFillTint="3F"/>
      </w:tcPr>
    </w:tblStylePr>
    <w:tblStylePr w:type="band1Horz">
      <w:tblPr/>
      <w:tcPr>
        <w:tcBorders>
          <w:top w:val="nil"/>
          <w:bottom w:val="nil"/>
          <w:insideH w:val="nil"/>
          <w:insideV w:val="nil"/>
        </w:tcBorders>
        <w:shd w:val="clear" w:color="auto" w:fill="FEEAC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tblBorders>
    </w:tblPr>
    <w:tblStylePr w:type="firstRow">
      <w:rPr>
        <w:sz w:val="24"/>
        <w:szCs w:val="24"/>
      </w:rPr>
      <w:tblPr/>
      <w:tcPr>
        <w:tcBorders>
          <w:top w:val="nil"/>
          <w:left w:val="nil"/>
          <w:bottom w:val="single" w:sz="24" w:space="0" w:color="DC165D"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C165D" w:themeColor="accent5"/>
          <w:insideH w:val="nil"/>
          <w:insideV w:val="nil"/>
        </w:tcBorders>
        <w:shd w:val="clear" w:color="auto" w:fill="FFFFFF" w:themeFill="background1"/>
      </w:tcPr>
    </w:tblStylePr>
    <w:tblStylePr w:type="lastCol">
      <w:tblPr/>
      <w:tcPr>
        <w:tcBorders>
          <w:top w:val="nil"/>
          <w:left w:val="single" w:sz="8" w:space="0" w:color="DC165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C2D6" w:themeFill="accent5" w:themeFillTint="3F"/>
      </w:tcPr>
    </w:tblStylePr>
    <w:tblStylePr w:type="band1Horz">
      <w:tblPr/>
      <w:tcPr>
        <w:tcBorders>
          <w:top w:val="nil"/>
          <w:bottom w:val="nil"/>
          <w:insideH w:val="nil"/>
          <w:insideV w:val="nil"/>
        </w:tcBorders>
        <w:shd w:val="clear" w:color="auto" w:fill="F9C2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tblBorders>
    </w:tblPr>
    <w:tblStylePr w:type="firstRow">
      <w:rPr>
        <w:sz w:val="24"/>
        <w:szCs w:val="24"/>
      </w:rPr>
      <w:tblPr/>
      <w:tcPr>
        <w:tcBorders>
          <w:top w:val="nil"/>
          <w:left w:val="nil"/>
          <w:bottom w:val="single" w:sz="24" w:space="0" w:color="7030A0"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30A0" w:themeColor="accent6"/>
          <w:insideH w:val="nil"/>
          <w:insideV w:val="nil"/>
        </w:tcBorders>
        <w:shd w:val="clear" w:color="auto" w:fill="FFFFFF" w:themeFill="background1"/>
      </w:tcPr>
    </w:tblStylePr>
    <w:tblStylePr w:type="lastCol">
      <w:tblPr/>
      <w:tcPr>
        <w:tcBorders>
          <w:top w:val="nil"/>
          <w:left w:val="single" w:sz="8" w:space="0" w:color="7030A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C5ED" w:themeFill="accent6" w:themeFillTint="3F"/>
      </w:tcPr>
    </w:tblStylePr>
    <w:tblStylePr w:type="band1Horz">
      <w:tblPr/>
      <w:tcPr>
        <w:tcBorders>
          <w:top w:val="nil"/>
          <w:bottom w:val="nil"/>
          <w:insideH w:val="nil"/>
          <w:insideV w:val="nil"/>
        </w:tcBorders>
        <w:shd w:val="clear" w:color="auto" w:fill="DCC5E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pPr>
      <w:spacing w:before="0" w:after="0"/>
    </w:pPr>
    <w:tblPr>
      <w:tblStyleRowBandSize w:val="1"/>
      <w:tblStyleColBandSize w:val="1"/>
      <w:tbl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single" w:sz="8" w:space="0" w:color="00E062" w:themeColor="accent1" w:themeTint="BF"/>
      </w:tblBorders>
    </w:tblPr>
    <w:tblStylePr w:type="firstRow">
      <w:pPr>
        <w:spacing w:before="0" w:after="0" w:line="240" w:lineRule="auto"/>
      </w:pPr>
      <w:rPr>
        <w:b/>
        <w:bCs/>
        <w:color w:val="FFFFFF" w:themeColor="background1"/>
      </w:rPr>
      <w:tblPr/>
      <w:tcPr>
        <w:tc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nil"/>
          <w:insideV w:val="nil"/>
        </w:tcBorders>
        <w:shd w:val="clear" w:color="auto" w:fill="008139" w:themeFill="accent1"/>
      </w:tcPr>
    </w:tblStylePr>
    <w:tblStylePr w:type="lastRow">
      <w:pPr>
        <w:spacing w:before="0" w:after="0" w:line="240" w:lineRule="auto"/>
      </w:pPr>
      <w:rPr>
        <w:b/>
        <w:bCs/>
      </w:rPr>
      <w:tblPr/>
      <w:tcPr>
        <w:tcBorders>
          <w:top w:val="double" w:sz="6"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nil"/>
          <w:insideV w:val="nil"/>
        </w:tcBorders>
      </w:tcPr>
    </w:tblStylePr>
    <w:tblStylePr w:type="firstCol">
      <w:rPr>
        <w:b/>
        <w:bCs/>
      </w:rPr>
    </w:tblStylePr>
    <w:tblStylePr w:type="lastCol">
      <w:rPr>
        <w:b/>
        <w:bCs/>
      </w:rPr>
    </w:tblStylePr>
    <w:tblStylePr w:type="band1Vert">
      <w:tblPr/>
      <w:tcPr>
        <w:shd w:val="clear" w:color="auto" w:fill="A0FFCA" w:themeFill="accent1" w:themeFillTint="3F"/>
      </w:tcPr>
    </w:tblStylePr>
    <w:tblStylePr w:type="band1Horz">
      <w:tblPr/>
      <w:tcPr>
        <w:tcBorders>
          <w:insideH w:val="nil"/>
          <w:insideV w:val="nil"/>
        </w:tcBorders>
        <w:shd w:val="clear" w:color="auto" w:fill="A0FFC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pPr>
      <w:spacing w:before="0" w:after="0"/>
    </w:pPr>
    <w:tblPr>
      <w:tblStyleRowBandSize w:val="1"/>
      <w:tblStyleColBandSize w:val="1"/>
      <w:tblBorders>
        <w:top w:val="single" w:sz="8"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single" w:sz="8" w:space="0" w:color="FD832A" w:themeColor="accent2" w:themeTint="BF"/>
      </w:tblBorders>
    </w:tblPr>
    <w:tblStylePr w:type="firstRow">
      <w:pPr>
        <w:spacing w:before="0" w:after="0" w:line="240" w:lineRule="auto"/>
      </w:pPr>
      <w:rPr>
        <w:b/>
        <w:bCs/>
        <w:color w:val="FFFFFF" w:themeColor="background1"/>
      </w:rPr>
      <w:tblPr/>
      <w:tcPr>
        <w:tcBorders>
          <w:top w:val="single" w:sz="8"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nil"/>
          <w:insideV w:val="nil"/>
        </w:tcBorders>
        <w:shd w:val="clear" w:color="auto" w:fill="DE6002" w:themeFill="accent2"/>
      </w:tcPr>
    </w:tblStylePr>
    <w:tblStylePr w:type="lastRow">
      <w:pPr>
        <w:spacing w:before="0" w:after="0" w:line="240" w:lineRule="auto"/>
      </w:pPr>
      <w:rPr>
        <w:b/>
        <w:bCs/>
      </w:rPr>
      <w:tblPr/>
      <w:tcPr>
        <w:tcBorders>
          <w:top w:val="double" w:sz="6" w:space="0" w:color="FD832A" w:themeColor="accent2" w:themeTint="BF"/>
          <w:left w:val="single" w:sz="8" w:space="0" w:color="FD832A" w:themeColor="accent2" w:themeTint="BF"/>
          <w:bottom w:val="single" w:sz="8" w:space="0" w:color="FD832A" w:themeColor="accent2" w:themeTint="BF"/>
          <w:right w:val="single" w:sz="8" w:space="0" w:color="FD832A" w:themeColor="accent2" w:themeTint="BF"/>
          <w:insideH w:val="nil"/>
          <w:insideV w:val="nil"/>
        </w:tcBorders>
      </w:tcPr>
    </w:tblStylePr>
    <w:tblStylePr w:type="firstCol">
      <w:rPr>
        <w:b/>
        <w:bCs/>
      </w:rPr>
    </w:tblStylePr>
    <w:tblStylePr w:type="lastCol">
      <w:rPr>
        <w:b/>
        <w:bCs/>
      </w:rPr>
    </w:tblStylePr>
    <w:tblStylePr w:type="band1Vert">
      <w:tblPr/>
      <w:tcPr>
        <w:shd w:val="clear" w:color="auto" w:fill="FED6B8" w:themeFill="accent2" w:themeFillTint="3F"/>
      </w:tcPr>
    </w:tblStylePr>
    <w:tblStylePr w:type="band1Horz">
      <w:tblPr/>
      <w:tcPr>
        <w:tcBorders>
          <w:insideH w:val="nil"/>
          <w:insideV w:val="nil"/>
        </w:tcBorders>
        <w:shd w:val="clear" w:color="auto" w:fill="FED6B8"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pPr>
      <w:spacing w:before="0" w:after="0"/>
    </w:pPr>
    <w:tblPr>
      <w:tblStyleRowBandSize w:val="1"/>
      <w:tblStyleColBandSize w:val="1"/>
      <w:tbl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single" w:sz="8" w:space="0" w:color="5CA5FE" w:themeColor="accent3" w:themeTint="BF"/>
      </w:tblBorders>
    </w:tblPr>
    <w:tblStylePr w:type="firstRow">
      <w:pPr>
        <w:spacing w:before="0" w:after="0" w:line="240" w:lineRule="auto"/>
      </w:pPr>
      <w:rPr>
        <w:b/>
        <w:bCs/>
        <w:color w:val="FFFFFF" w:themeColor="background1"/>
      </w:rPr>
      <w:tblPr/>
      <w:tcPr>
        <w:tc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nil"/>
          <w:insideV w:val="nil"/>
        </w:tcBorders>
        <w:shd w:val="clear" w:color="auto" w:fill="2688FE" w:themeFill="accent3"/>
      </w:tcPr>
    </w:tblStylePr>
    <w:tblStylePr w:type="lastRow">
      <w:pPr>
        <w:spacing w:before="0" w:after="0" w:line="240" w:lineRule="auto"/>
      </w:pPr>
      <w:rPr>
        <w:b/>
        <w:bCs/>
      </w:rPr>
      <w:tblPr/>
      <w:tcPr>
        <w:tcBorders>
          <w:top w:val="double" w:sz="6"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E1FE" w:themeFill="accent3" w:themeFillTint="3F"/>
      </w:tcPr>
    </w:tblStylePr>
    <w:tblStylePr w:type="band1Horz">
      <w:tblPr/>
      <w:tcPr>
        <w:tcBorders>
          <w:insideH w:val="nil"/>
          <w:insideV w:val="nil"/>
        </w:tcBorders>
        <w:shd w:val="clear" w:color="auto" w:fill="C9E1FE"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pPr>
      <w:spacing w:before="0" w:after="0"/>
    </w:pPr>
    <w:tblPr>
      <w:tblStyleRowBandSize w:val="1"/>
      <w:tblStyleColBandSize w:val="1"/>
      <w:tbl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single" w:sz="8" w:space="0" w:color="FDC045" w:themeColor="accent4" w:themeTint="BF"/>
      </w:tblBorders>
    </w:tblPr>
    <w:tblStylePr w:type="firstRow">
      <w:pPr>
        <w:spacing w:before="0" w:after="0" w:line="240" w:lineRule="auto"/>
      </w:pPr>
      <w:rPr>
        <w:b/>
        <w:bCs/>
        <w:color w:val="FFFFFF" w:themeColor="background1"/>
      </w:rPr>
      <w:tblPr/>
      <w:tcPr>
        <w:tc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nil"/>
          <w:insideV w:val="nil"/>
        </w:tcBorders>
        <w:shd w:val="clear" w:color="auto" w:fill="FDAB07" w:themeFill="accent4"/>
      </w:tcPr>
    </w:tblStylePr>
    <w:tblStylePr w:type="lastRow">
      <w:pPr>
        <w:spacing w:before="0" w:after="0" w:line="240" w:lineRule="auto"/>
      </w:pPr>
      <w:rPr>
        <w:b/>
        <w:bCs/>
      </w:rPr>
      <w:tblPr/>
      <w:tcPr>
        <w:tcBorders>
          <w:top w:val="double" w:sz="6"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nil"/>
          <w:insideV w:val="nil"/>
        </w:tcBorders>
      </w:tcPr>
    </w:tblStylePr>
    <w:tblStylePr w:type="firstCol">
      <w:rPr>
        <w:b/>
        <w:bCs/>
      </w:rPr>
    </w:tblStylePr>
    <w:tblStylePr w:type="lastCol">
      <w:rPr>
        <w:b/>
        <w:bCs/>
      </w:rPr>
    </w:tblStylePr>
    <w:tblStylePr w:type="band1Vert">
      <w:tblPr/>
      <w:tcPr>
        <w:shd w:val="clear" w:color="auto" w:fill="FEEAC1" w:themeFill="accent4" w:themeFillTint="3F"/>
      </w:tcPr>
    </w:tblStylePr>
    <w:tblStylePr w:type="band1Horz">
      <w:tblPr/>
      <w:tcPr>
        <w:tcBorders>
          <w:insideH w:val="nil"/>
          <w:insideV w:val="nil"/>
        </w:tcBorders>
        <w:shd w:val="clear" w:color="auto" w:fill="FEEAC1"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pPr>
      <w:spacing w:before="0" w:after="0"/>
    </w:pPr>
    <w:tblPr>
      <w:tblStyleRowBandSize w:val="1"/>
      <w:tblStyleColBandSize w:val="1"/>
      <w:tbl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single" w:sz="8" w:space="0" w:color="EC4882" w:themeColor="accent5" w:themeTint="BF"/>
      </w:tblBorders>
    </w:tblPr>
    <w:tblStylePr w:type="firstRow">
      <w:pPr>
        <w:spacing w:before="0" w:after="0" w:line="240" w:lineRule="auto"/>
      </w:pPr>
      <w:rPr>
        <w:b/>
        <w:bCs/>
        <w:color w:val="FFFFFF" w:themeColor="background1"/>
      </w:rPr>
      <w:tblPr/>
      <w:tcPr>
        <w:tc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nil"/>
          <w:insideV w:val="nil"/>
        </w:tcBorders>
        <w:shd w:val="clear" w:color="auto" w:fill="DC165D" w:themeFill="accent5"/>
      </w:tcPr>
    </w:tblStylePr>
    <w:tblStylePr w:type="lastRow">
      <w:pPr>
        <w:spacing w:before="0" w:after="0" w:line="240" w:lineRule="auto"/>
      </w:pPr>
      <w:rPr>
        <w:b/>
        <w:bCs/>
      </w:rPr>
      <w:tblPr/>
      <w:tcPr>
        <w:tcBorders>
          <w:top w:val="double" w:sz="6"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nil"/>
          <w:insideV w:val="nil"/>
        </w:tcBorders>
      </w:tcPr>
    </w:tblStylePr>
    <w:tblStylePr w:type="firstCol">
      <w:rPr>
        <w:b/>
        <w:bCs/>
      </w:rPr>
    </w:tblStylePr>
    <w:tblStylePr w:type="lastCol">
      <w:rPr>
        <w:b/>
        <w:bCs/>
      </w:rPr>
    </w:tblStylePr>
    <w:tblStylePr w:type="band1Vert">
      <w:tblPr/>
      <w:tcPr>
        <w:shd w:val="clear" w:color="auto" w:fill="F9C2D6" w:themeFill="accent5" w:themeFillTint="3F"/>
      </w:tcPr>
    </w:tblStylePr>
    <w:tblStylePr w:type="band1Horz">
      <w:tblPr/>
      <w:tcPr>
        <w:tcBorders>
          <w:insideH w:val="nil"/>
          <w:insideV w:val="nil"/>
        </w:tcBorders>
        <w:shd w:val="clear" w:color="auto" w:fill="F9C2D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pPr>
      <w:spacing w:before="0" w:after="0"/>
    </w:pPr>
    <w:tblPr>
      <w:tblStyleRowBandSize w:val="1"/>
      <w:tblStyleColBandSize w:val="1"/>
      <w:tbl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single" w:sz="8" w:space="0" w:color="9650CA" w:themeColor="accent6" w:themeTint="BF"/>
      </w:tblBorders>
    </w:tblPr>
    <w:tblStylePr w:type="firstRow">
      <w:pPr>
        <w:spacing w:before="0" w:after="0" w:line="240" w:lineRule="auto"/>
      </w:pPr>
      <w:rPr>
        <w:b/>
        <w:bCs/>
        <w:color w:val="FFFFFF" w:themeColor="background1"/>
      </w:rPr>
      <w:tblPr/>
      <w:tcPr>
        <w:tc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nil"/>
          <w:insideV w:val="nil"/>
        </w:tcBorders>
        <w:shd w:val="clear" w:color="auto" w:fill="7030A0" w:themeFill="accent6"/>
      </w:tcPr>
    </w:tblStylePr>
    <w:tblStylePr w:type="lastRow">
      <w:pPr>
        <w:spacing w:before="0" w:after="0" w:line="240" w:lineRule="auto"/>
      </w:pPr>
      <w:rPr>
        <w:b/>
        <w:bCs/>
      </w:rPr>
      <w:tblPr/>
      <w:tcPr>
        <w:tcBorders>
          <w:top w:val="double" w:sz="6"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nil"/>
          <w:insideV w:val="nil"/>
        </w:tcBorders>
      </w:tcPr>
    </w:tblStylePr>
    <w:tblStylePr w:type="firstCol">
      <w:rPr>
        <w:b/>
        <w:bCs/>
      </w:rPr>
    </w:tblStylePr>
    <w:tblStylePr w:type="lastCol">
      <w:rPr>
        <w:b/>
        <w:bCs/>
      </w:rPr>
    </w:tblStylePr>
    <w:tblStylePr w:type="band1Vert">
      <w:tblPr/>
      <w:tcPr>
        <w:shd w:val="clear" w:color="auto" w:fill="DCC5ED" w:themeFill="accent6" w:themeFillTint="3F"/>
      </w:tcPr>
    </w:tblStylePr>
    <w:tblStylePr w:type="band1Horz">
      <w:tblPr/>
      <w:tcPr>
        <w:tcBorders>
          <w:insideH w:val="nil"/>
          <w:insideV w:val="nil"/>
        </w:tcBorders>
        <w:shd w:val="clear" w:color="auto" w:fill="DCC5ED"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600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E6002" w:themeFill="accent2"/>
      </w:tcPr>
    </w:tblStylePr>
    <w:tblStylePr w:type="lastCol">
      <w:rPr>
        <w:b/>
        <w:bCs/>
        <w:color w:val="FFFFFF" w:themeColor="background1"/>
      </w:rPr>
      <w:tblPr/>
      <w:tcPr>
        <w:tcBorders>
          <w:left w:val="nil"/>
          <w:right w:val="nil"/>
          <w:insideH w:val="nil"/>
          <w:insideV w:val="nil"/>
        </w:tcBorders>
        <w:shd w:val="clear" w:color="auto" w:fill="DE600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688F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688FE" w:themeFill="accent3"/>
      </w:tcPr>
    </w:tblStylePr>
    <w:tblStylePr w:type="lastCol">
      <w:rPr>
        <w:b/>
        <w:bCs/>
        <w:color w:val="FFFFFF" w:themeColor="background1"/>
      </w:rPr>
      <w:tblPr/>
      <w:tcPr>
        <w:tcBorders>
          <w:left w:val="nil"/>
          <w:right w:val="nil"/>
          <w:insideH w:val="nil"/>
          <w:insideV w:val="nil"/>
        </w:tcBorders>
        <w:shd w:val="clear" w:color="auto" w:fill="2688F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DAB0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DAB07" w:themeFill="accent4"/>
      </w:tcPr>
    </w:tblStylePr>
    <w:tblStylePr w:type="lastCol">
      <w:rPr>
        <w:b/>
        <w:bCs/>
        <w:color w:val="FFFFFF" w:themeColor="background1"/>
      </w:rPr>
      <w:tblPr/>
      <w:tcPr>
        <w:tcBorders>
          <w:left w:val="nil"/>
          <w:right w:val="nil"/>
          <w:insideH w:val="nil"/>
          <w:insideV w:val="nil"/>
        </w:tcBorders>
        <w:shd w:val="clear" w:color="auto" w:fill="FDAB0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C165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C165D" w:themeFill="accent5"/>
      </w:tcPr>
    </w:tblStylePr>
    <w:tblStylePr w:type="lastCol">
      <w:rPr>
        <w:b/>
        <w:bCs/>
        <w:color w:val="FFFFFF" w:themeColor="background1"/>
      </w:rPr>
      <w:tblPr/>
      <w:tcPr>
        <w:tcBorders>
          <w:left w:val="nil"/>
          <w:right w:val="nil"/>
          <w:insideH w:val="nil"/>
          <w:insideV w:val="nil"/>
        </w:tcBorders>
        <w:shd w:val="clear" w:color="auto" w:fill="DC165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30A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30A0" w:themeFill="accent6"/>
      </w:tcPr>
    </w:tblStylePr>
    <w:tblStylePr w:type="lastCol">
      <w:rPr>
        <w:b/>
        <w:bCs/>
        <w:color w:val="FFFFFF" w:themeColor="background1"/>
      </w:rPr>
      <w:tblPr/>
      <w:tcPr>
        <w:tcBorders>
          <w:left w:val="nil"/>
          <w:right w:val="nil"/>
          <w:insideH w:val="nil"/>
          <w:insideV w:val="nil"/>
        </w:tcBorders>
        <w:shd w:val="clear" w:color="auto" w:fill="7030A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PlainTable1">
    <w:name w:val="Plain Table 1"/>
    <w:basedOn w:val="TableNormal"/>
    <w:uiPriority w:val="4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lang w:val="en-GB"/>
    </w:rPr>
  </w:style>
  <w:style w:type="character" w:styleId="Strong">
    <w:name w:val="Strong"/>
    <w:basedOn w:val="DefaultParagraphFont"/>
    <w:uiPriority w:val="22"/>
    <w:qFormat/>
    <w:rPr>
      <w:b/>
      <w:bCs/>
      <w:lang w:val="en-GB"/>
    </w:rPr>
  </w:style>
  <w:style w:type="paragraph" w:styleId="Subtitle">
    <w:name w:val="Subtitle"/>
    <w:basedOn w:val="Normal"/>
    <w:next w:val="Normal"/>
    <w:link w:val="SubtitleChar"/>
    <w:uiPriority w:val="11"/>
    <w:pPr>
      <w:numPr>
        <w:ilvl w:val="1"/>
      </w:numPr>
    </w:pPr>
    <w:rPr>
      <w:rFonts w:asciiTheme="minorHAnsi" w:eastAsiaTheme="minorEastAsia" w:hAnsiTheme="minorHAnsi"/>
      <w:color w:val="000000" w:themeColor="text1"/>
      <w:spacing w:val="15"/>
      <w:sz w:val="22"/>
      <w:szCs w:val="22"/>
    </w:rPr>
  </w:style>
  <w:style w:type="character" w:customStyle="1" w:styleId="SubtitleChar">
    <w:name w:val="Subtitle Char"/>
    <w:basedOn w:val="DefaultParagraphFont"/>
    <w:link w:val="Subtitle"/>
    <w:uiPriority w:val="11"/>
    <w:rPr>
      <w:rFonts w:asciiTheme="minorHAnsi" w:eastAsiaTheme="minorEastAsia" w:hAnsiTheme="minorHAnsi"/>
      <w:color w:val="000000" w:themeColor="text1"/>
      <w:spacing w:val="15"/>
      <w:sz w:val="22"/>
      <w:szCs w:val="22"/>
      <w:lang w:val="en-GB"/>
    </w:rPr>
  </w:style>
  <w:style w:type="character" w:styleId="SubtleEmphasis">
    <w:name w:val="Subtle Emphasis"/>
    <w:basedOn w:val="DefaultParagraphFont"/>
    <w:uiPriority w:val="19"/>
    <w:semiHidden/>
    <w:rPr>
      <w:i/>
      <w:iCs/>
      <w:color w:val="404040" w:themeColor="text1" w:themeTint="BF"/>
      <w:lang w:val="en-GB"/>
    </w:rPr>
  </w:style>
  <w:style w:type="character" w:styleId="SubtleReference">
    <w:name w:val="Subtle Reference"/>
    <w:basedOn w:val="DefaultParagraphFont"/>
    <w:uiPriority w:val="31"/>
    <w:semiHidden/>
    <w:qFormat/>
    <w:rPr>
      <w:smallCaps/>
      <w:color w:val="5A5A5A" w:themeColor="text1" w:themeTint="A5"/>
      <w:lang w:val="en-GB"/>
    </w:rPr>
  </w:style>
  <w:style w:type="table" w:styleId="Table3Deffects1">
    <w:name w:val="Table 3D effects 1"/>
    <w:basedOn w:val="TableNormal"/>
    <w:uiPriority w:val="99"/>
    <w:semiHidden/>
    <w:unhideWhenUse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en-GB"/>
    </w:rPr>
  </w:style>
  <w:style w:type="paragraph" w:styleId="TOC2">
    <w:name w:val="toc 2"/>
    <w:basedOn w:val="Normal"/>
    <w:next w:val="Normal"/>
    <w:autoRedefine/>
    <w:uiPriority w:val="39"/>
    <w:unhideWhenUsed/>
    <w:qFormat/>
    <w:rsid w:val="000F0FD4"/>
    <w:pPr>
      <w:tabs>
        <w:tab w:val="left" w:pos="880"/>
        <w:tab w:val="right" w:leader="dot" w:pos="9072"/>
        <w:tab w:val="right" w:leader="dot" w:pos="9594"/>
      </w:tabs>
      <w:spacing w:before="0" w:after="120" w:line="240" w:lineRule="auto"/>
    </w:pPr>
    <w:rPr>
      <w:noProof/>
    </w:rPr>
  </w:style>
  <w:style w:type="paragraph" w:styleId="TOC3">
    <w:name w:val="toc 3"/>
    <w:basedOn w:val="Normal"/>
    <w:next w:val="Normal"/>
    <w:autoRedefine/>
    <w:uiPriority w:val="39"/>
    <w:unhideWhenUsed/>
    <w:qFormat/>
    <w:rsid w:val="000E4F78"/>
    <w:pPr>
      <w:tabs>
        <w:tab w:val="left" w:pos="1400"/>
        <w:tab w:val="right" w:leader="dot" w:pos="9072"/>
      </w:tabs>
      <w:ind w:left="284"/>
    </w:pPr>
  </w:style>
  <w:style w:type="paragraph" w:styleId="TOC4">
    <w:name w:val="toc 4"/>
    <w:basedOn w:val="Normal"/>
    <w:next w:val="Normal"/>
    <w:autoRedefine/>
    <w:uiPriority w:val="39"/>
    <w:semiHidden/>
    <w:unhideWhenUsed/>
    <w:pPr>
      <w:spacing w:after="100"/>
      <w:ind w:left="600"/>
    </w:pPr>
  </w:style>
  <w:style w:type="paragraph" w:styleId="TOC5">
    <w:name w:val="toc 5"/>
    <w:basedOn w:val="Normal"/>
    <w:next w:val="Normal"/>
    <w:autoRedefine/>
    <w:uiPriority w:val="39"/>
    <w:semiHidden/>
    <w:unhideWhenUsed/>
    <w:pPr>
      <w:spacing w:after="100"/>
      <w:ind w:left="800"/>
    </w:pPr>
  </w:style>
  <w:style w:type="paragraph" w:styleId="TOC6">
    <w:name w:val="toc 6"/>
    <w:basedOn w:val="Normal"/>
    <w:next w:val="Normal"/>
    <w:autoRedefine/>
    <w:uiPriority w:val="39"/>
    <w:semiHidden/>
    <w:unhideWhenUsed/>
    <w:pPr>
      <w:spacing w:after="100"/>
      <w:ind w:left="1000"/>
    </w:pPr>
  </w:style>
  <w:style w:type="paragraph" w:styleId="TOC7">
    <w:name w:val="toc 7"/>
    <w:basedOn w:val="Normal"/>
    <w:next w:val="Normal"/>
    <w:autoRedefine/>
    <w:uiPriority w:val="39"/>
    <w:semiHidden/>
    <w:unhideWhenUsed/>
    <w:pPr>
      <w:spacing w:after="100"/>
      <w:ind w:left="1200"/>
    </w:pPr>
  </w:style>
  <w:style w:type="paragraph" w:styleId="TOC8">
    <w:name w:val="toc 8"/>
    <w:basedOn w:val="Normal"/>
    <w:next w:val="Normal"/>
    <w:autoRedefine/>
    <w:uiPriority w:val="39"/>
    <w:semiHidden/>
    <w:unhideWhenUsed/>
    <w:pPr>
      <w:spacing w:after="100"/>
      <w:ind w:left="1400"/>
    </w:pPr>
  </w:style>
  <w:style w:type="paragraph" w:styleId="TOC9">
    <w:name w:val="toc 9"/>
    <w:basedOn w:val="Normal"/>
    <w:next w:val="Normal"/>
    <w:autoRedefine/>
    <w:uiPriority w:val="39"/>
    <w:semiHidden/>
    <w:unhideWhenUsed/>
    <w:pPr>
      <w:spacing w:after="100"/>
      <w:ind w:left="1600"/>
    </w:pPr>
  </w:style>
  <w:style w:type="paragraph" w:styleId="TOCHeading">
    <w:name w:val="TOC Heading"/>
    <w:basedOn w:val="amprH1TITLE-noTOC"/>
    <w:next w:val="Normal"/>
    <w:uiPriority w:val="39"/>
    <w:unhideWhenUsed/>
    <w:qFormat/>
  </w:style>
  <w:style w:type="paragraph" w:customStyle="1" w:styleId="amprH2TITLE1-Numbered-1">
    <w:name w:val="[ampr H2] TITLE 1 - Numbered - 1."/>
    <w:basedOn w:val="amprH2TITLE1"/>
    <w:next w:val="amprBodyText"/>
    <w:uiPriority w:val="9"/>
    <w:qFormat/>
    <w:rsid w:val="007E57AA"/>
    <w:pPr>
      <w:pageBreakBefore w:val="0"/>
      <w:numPr>
        <w:numId w:val="13"/>
      </w:numPr>
      <w:spacing w:before="360" w:after="480"/>
    </w:pPr>
  </w:style>
  <w:style w:type="paragraph" w:customStyle="1" w:styleId="amprH3Title2-Numbered-11">
    <w:name w:val="[ampr H3] Title 2 - Numbered - 1.1."/>
    <w:basedOn w:val="amprH3Title2"/>
    <w:next w:val="amprBodyText"/>
    <w:uiPriority w:val="9"/>
    <w:qFormat/>
    <w:rsid w:val="00FB4DAD"/>
    <w:pPr>
      <w:numPr>
        <w:ilvl w:val="1"/>
        <w:numId w:val="13"/>
      </w:numPr>
      <w:ind w:left="576" w:hanging="576"/>
    </w:pPr>
  </w:style>
  <w:style w:type="paragraph" w:customStyle="1" w:styleId="amprH5Subhead2-Numbered-1111">
    <w:name w:val="[ampr H5] Subhead 2 - Numbered - 1.1.1.1."/>
    <w:basedOn w:val="amprH5Subhead2"/>
    <w:next w:val="amprBodyText"/>
    <w:uiPriority w:val="9"/>
    <w:qFormat/>
    <w:pPr>
      <w:numPr>
        <w:ilvl w:val="3"/>
        <w:numId w:val="13"/>
      </w:numPr>
    </w:pPr>
  </w:style>
  <w:style w:type="table" w:customStyle="1" w:styleId="amprbox1">
    <w:name w:val="[ampr] box 1"/>
    <w:basedOn w:val="TableNormal"/>
    <w:uiPriority w:val="99"/>
    <w:pPr>
      <w:keepLines/>
    </w:pPr>
    <w:tblPr>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blBorders>
      <w:tblCellMar>
        <w:left w:w="198" w:type="dxa"/>
        <w:right w:w="198" w:type="dxa"/>
      </w:tblCellMar>
    </w:tblPr>
    <w:trPr>
      <w:jc w:val="center"/>
    </w:trPr>
    <w:tcPr>
      <w:shd w:val="clear" w:color="auto" w:fill="F2F2F2" w:themeFill="background1" w:themeFillShade="F2"/>
    </w:tcPr>
  </w:style>
  <w:style w:type="paragraph" w:customStyle="1" w:styleId="amprboxGREYtext">
    <w:name w:val="[ampr box GREY] text"/>
    <w:basedOn w:val="BASE-STYLE-TEXT"/>
    <w:uiPriority w:val="5"/>
    <w:qFormat/>
    <w:pPr>
      <w:pBdr>
        <w:top w:val="single" w:sz="12" w:space="8" w:color="F2F2F2" w:themeColor="background1" w:themeShade="F2"/>
        <w:left w:val="single" w:sz="12" w:space="8" w:color="F2F2F2" w:themeColor="background1" w:themeShade="F2"/>
        <w:bottom w:val="single" w:sz="12" w:space="8" w:color="F2F2F2" w:themeColor="background1" w:themeShade="F2"/>
        <w:right w:val="single" w:sz="12" w:space="8" w:color="F2F2F2" w:themeColor="background1" w:themeShade="F2"/>
      </w:pBdr>
      <w:shd w:val="clear" w:color="auto" w:fill="F2F2F2" w:themeFill="background1" w:themeFillShade="F2"/>
      <w:spacing w:before="240" w:after="240"/>
    </w:pPr>
    <w:rPr>
      <w:color w:val="auto"/>
      <w:sz w:val="20"/>
      <w:lang w:eastAsia="fr-BE"/>
    </w:rPr>
  </w:style>
  <w:style w:type="paragraph" w:customStyle="1" w:styleId="amprLISTblackbullets-L1consecutiveparagraph">
    <w:name w:val="[ampr LIST black] bullets - L1 (consecutive paragraph)"/>
    <w:basedOn w:val="amprLISTblackbullets-L1"/>
    <w:uiPriority w:val="5"/>
    <w:qFormat/>
    <w:pPr>
      <w:numPr>
        <w:numId w:val="0"/>
      </w:numPr>
      <w:ind w:left="720"/>
    </w:pPr>
  </w:style>
  <w:style w:type="paragraph" w:customStyle="1" w:styleId="amprLISTblackbullets-L2consecutiveparagraph">
    <w:name w:val="[ampr LIST black] bullets - L2 (consecutive paragraph)"/>
    <w:basedOn w:val="amprLISTblackbullets-L2"/>
    <w:uiPriority w:val="5"/>
    <w:qFormat/>
    <w:pPr>
      <w:numPr>
        <w:ilvl w:val="0"/>
        <w:numId w:val="0"/>
      </w:numPr>
      <w:ind w:left="1435"/>
    </w:pPr>
  </w:style>
  <w:style w:type="paragraph" w:customStyle="1" w:styleId="amprLISTgreenbullets-L2consecutiveparagraph">
    <w:name w:val="[ampr LIST green] bullets - L2 (consecutive paragraph)"/>
    <w:basedOn w:val="amprLISTgreenbullets-L2"/>
    <w:uiPriority w:val="5"/>
    <w:qFormat/>
    <w:pPr>
      <w:numPr>
        <w:ilvl w:val="0"/>
        <w:numId w:val="0"/>
      </w:numPr>
      <w:ind w:left="1435"/>
    </w:pPr>
  </w:style>
  <w:style w:type="paragraph" w:customStyle="1" w:styleId="amprH1Sectiontitle">
    <w:name w:val="[ampr H1] Section title"/>
    <w:basedOn w:val="BASE-STYLE-HEADINGS"/>
    <w:next w:val="amprBodyText"/>
    <w:uiPriority w:val="9"/>
    <w:qFormat/>
    <w:pPr>
      <w:spacing w:before="8000" w:after="240"/>
      <w:ind w:left="4321"/>
      <w:jc w:val="left"/>
      <w:outlineLvl w:val="0"/>
    </w:pPr>
    <w:rPr>
      <w:rFonts w:ascii="EC Square Sans Pro Light" w:eastAsiaTheme="minorHAnsi" w:hAnsi="EC Square Sans Pro Light" w:cstheme="minorBidi"/>
      <w:color w:val="FFFFFF" w:themeColor="background1"/>
      <w:sz w:val="96"/>
      <w:szCs w:val="96"/>
    </w:rPr>
  </w:style>
  <w:style w:type="numbering" w:customStyle="1" w:styleId="amprHLISTNumberedheadings">
    <w:name w:val="[ampr H LIST] Numbered headings"/>
    <w:uiPriority w:val="99"/>
    <w:pPr>
      <w:numPr>
        <w:numId w:val="12"/>
      </w:numPr>
    </w:pPr>
  </w:style>
  <w:style w:type="table" w:customStyle="1" w:styleId="amprbox2">
    <w:name w:val="[ampr] box 2"/>
    <w:basedOn w:val="TableNormal"/>
    <w:uiPriority w:val="99"/>
    <w:pPr>
      <w:keepLines/>
    </w:pPr>
    <w:rPr>
      <w:color w:val="FFFFFF" w:themeColor="background1"/>
    </w:rPr>
    <w:tblPr>
      <w:jc w:val="center"/>
      <w:tblBorders>
        <w:top w:val="single" w:sz="12" w:space="0" w:color="003399" w:themeColor="text2"/>
        <w:left w:val="single" w:sz="12" w:space="0" w:color="003399" w:themeColor="text2"/>
        <w:bottom w:val="single" w:sz="12" w:space="0" w:color="003399" w:themeColor="text2"/>
        <w:right w:val="single" w:sz="12" w:space="0" w:color="003399" w:themeColor="text2"/>
        <w:insideH w:val="single" w:sz="12" w:space="0" w:color="003399" w:themeColor="text2"/>
        <w:insideV w:val="single" w:sz="12" w:space="0" w:color="003399" w:themeColor="text2"/>
      </w:tblBorders>
      <w:tblCellMar>
        <w:left w:w="198" w:type="dxa"/>
        <w:right w:w="198" w:type="dxa"/>
      </w:tblCellMar>
    </w:tblPr>
    <w:trPr>
      <w:jc w:val="center"/>
    </w:trPr>
    <w:tcPr>
      <w:shd w:val="clear" w:color="auto" w:fill="003399" w:themeFill="text2"/>
    </w:tcPr>
  </w:style>
  <w:style w:type="table" w:customStyle="1" w:styleId="amprbox3">
    <w:name w:val="[ampr] box 3"/>
    <w:basedOn w:val="TableNormal"/>
    <w:uiPriority w:val="99"/>
    <w:pPr>
      <w:keepLines/>
    </w:pPr>
    <w:tblPr>
      <w:jc w:val="center"/>
      <w:tblBorders>
        <w:top w:val="dashSmallGap" w:sz="12" w:space="0" w:color="008139" w:themeColor="accent1"/>
        <w:left w:val="dashSmallGap" w:sz="12" w:space="0" w:color="008139" w:themeColor="accent1"/>
        <w:bottom w:val="dashSmallGap" w:sz="12" w:space="0" w:color="008139" w:themeColor="accent1"/>
        <w:right w:val="dashSmallGap" w:sz="12" w:space="0" w:color="008139" w:themeColor="accent1"/>
      </w:tblBorders>
      <w:tblCellMar>
        <w:left w:w="198" w:type="dxa"/>
        <w:right w:w="198" w:type="dxa"/>
      </w:tblCellMar>
    </w:tblPr>
    <w:trPr>
      <w:jc w:val="center"/>
    </w:trPr>
    <w:tcPr>
      <w:shd w:val="clear" w:color="auto" w:fill="auto"/>
    </w:tcPr>
  </w:style>
  <w:style w:type="paragraph" w:customStyle="1" w:styleId="amprboxBLUEdashedtext">
    <w:name w:val="[ampr box BLUE dashed] text"/>
    <w:basedOn w:val="BASE-STYLE-TEXT"/>
    <w:uiPriority w:val="5"/>
    <w:qFormat/>
    <w:pPr>
      <w:keepLines/>
      <w:pBdr>
        <w:top w:val="dashSmallGap" w:sz="12" w:space="8" w:color="003399" w:themeColor="text2"/>
        <w:left w:val="dashSmallGap" w:sz="12" w:space="8" w:color="003399" w:themeColor="text2"/>
        <w:bottom w:val="dashSmallGap" w:sz="12" w:space="8" w:color="003399" w:themeColor="text2"/>
        <w:right w:val="dashSmallGap" w:sz="12" w:space="8" w:color="003399" w:themeColor="text2"/>
      </w:pBdr>
      <w:spacing w:before="240" w:after="240"/>
    </w:pPr>
    <w:rPr>
      <w:sz w:val="20"/>
      <w:lang w:eastAsia="fr-BE"/>
    </w:rPr>
  </w:style>
  <w:style w:type="paragraph" w:customStyle="1" w:styleId="amprboxBLUEdashedheading">
    <w:name w:val="[ampr box BLUE dashed] heading"/>
    <w:basedOn w:val="amprboxBLUEdashedtext"/>
    <w:next w:val="amprboxBLUEdashedtext"/>
    <w:uiPriority w:val="5"/>
    <w:qFormat/>
    <w:pPr>
      <w:keepNext/>
    </w:pPr>
    <w:rPr>
      <w:b/>
      <w:color w:val="003399" w:themeColor="text2"/>
    </w:rPr>
  </w:style>
  <w:style w:type="paragraph" w:customStyle="1" w:styleId="amprboxBLUEdashedbulletlist">
    <w:name w:val="[ampr box BLUE dashed] bullet list"/>
    <w:basedOn w:val="amprboxBLUEdashedtext"/>
    <w:next w:val="amprboxBLUEdashedtext"/>
    <w:uiPriority w:val="5"/>
    <w:qFormat/>
    <w:pPr>
      <w:numPr>
        <w:numId w:val="14"/>
      </w:numPr>
      <w:spacing w:before="60" w:after="60"/>
      <w:ind w:left="357" w:hanging="357"/>
    </w:pPr>
  </w:style>
  <w:style w:type="paragraph" w:customStyle="1" w:styleId="amprLISTOrdered-L1">
    <w:name w:val="[ampr LIST Ordered] - L1"/>
    <w:basedOn w:val="BASE-STYLE-TEXT"/>
    <w:uiPriority w:val="5"/>
    <w:qFormat/>
    <w:pPr>
      <w:numPr>
        <w:numId w:val="15"/>
      </w:numPr>
      <w:spacing w:before="80" w:after="80"/>
    </w:pPr>
    <w:rPr>
      <w:rFonts w:ascii="Proxima Nova" w:hAnsi="Proxima Nova"/>
      <w:szCs w:val="22"/>
    </w:rPr>
  </w:style>
  <w:style w:type="paragraph" w:customStyle="1" w:styleId="amprLISTOrdered-L2">
    <w:name w:val="[ampr LIST Ordered] - L2"/>
    <w:basedOn w:val="amprLISTOrdered-L1"/>
    <w:uiPriority w:val="5"/>
    <w:qFormat/>
    <w:pPr>
      <w:numPr>
        <w:ilvl w:val="1"/>
      </w:numPr>
    </w:pPr>
  </w:style>
  <w:style w:type="paragraph" w:customStyle="1" w:styleId="amprLISTOrdered-L3">
    <w:name w:val="[ampr LIST Ordered] - L3"/>
    <w:basedOn w:val="amprLISTOrdered-L2"/>
    <w:uiPriority w:val="5"/>
    <w:qFormat/>
    <w:pPr>
      <w:numPr>
        <w:ilvl w:val="2"/>
      </w:numPr>
    </w:pPr>
  </w:style>
  <w:style w:type="paragraph" w:customStyle="1" w:styleId="amprLISTOrdered-L1consecutiveparagraph">
    <w:name w:val="[ampr LIST Ordered] - L1 (consecutive paragraph)"/>
    <w:basedOn w:val="amprLISTOrdered-L1"/>
    <w:uiPriority w:val="5"/>
    <w:qFormat/>
    <w:pPr>
      <w:numPr>
        <w:numId w:val="0"/>
      </w:numPr>
      <w:ind w:left="714"/>
    </w:pPr>
  </w:style>
  <w:style w:type="paragraph" w:customStyle="1" w:styleId="amprLISTOrdered-L2consecutiveparagraph">
    <w:name w:val="[ampr LIST Ordered] - L2 (consecutive paragraph)"/>
    <w:basedOn w:val="amprLISTOrdered-L2"/>
    <w:uiPriority w:val="5"/>
    <w:qFormat/>
    <w:pPr>
      <w:numPr>
        <w:ilvl w:val="0"/>
        <w:numId w:val="0"/>
      </w:numPr>
      <w:ind w:left="1185"/>
    </w:pPr>
  </w:style>
  <w:style w:type="paragraph" w:customStyle="1" w:styleId="amprLISTOrdered-L3consecutiveparagraph">
    <w:name w:val="[ampr LIST Ordered] - L3 (consecutive paragraph)"/>
    <w:basedOn w:val="amprLISTOrdered-L3"/>
    <w:uiPriority w:val="5"/>
    <w:qFormat/>
    <w:pPr>
      <w:numPr>
        <w:ilvl w:val="0"/>
        <w:numId w:val="0"/>
      </w:numPr>
      <w:ind w:left="1769"/>
    </w:pPr>
  </w:style>
  <w:style w:type="numbering" w:customStyle="1" w:styleId="amprLIST-Ordered">
    <w:name w:val="[ampr LIST]-Ordered"/>
    <w:uiPriority w:val="99"/>
    <w:pPr>
      <w:numPr>
        <w:numId w:val="15"/>
      </w:numPr>
    </w:pPr>
  </w:style>
  <w:style w:type="paragraph" w:customStyle="1" w:styleId="amprLISTOrdered-L4">
    <w:name w:val="[ampr LIST Ordered] - L4"/>
    <w:basedOn w:val="amprLISTOrdered-L3"/>
    <w:uiPriority w:val="5"/>
    <w:qFormat/>
    <w:pPr>
      <w:numPr>
        <w:ilvl w:val="3"/>
      </w:numPr>
    </w:pPr>
  </w:style>
  <w:style w:type="paragraph" w:customStyle="1" w:styleId="amprLISTOrdered-L4consecutiveparagraph">
    <w:name w:val="[ampr LIST Ordered] - L4 (consecutive paragraph)"/>
    <w:basedOn w:val="amprLISTOrdered-L4"/>
    <w:uiPriority w:val="5"/>
    <w:qFormat/>
    <w:pPr>
      <w:numPr>
        <w:ilvl w:val="0"/>
        <w:numId w:val="0"/>
      </w:numPr>
      <w:ind w:left="2466"/>
    </w:pPr>
  </w:style>
  <w:style w:type="paragraph" w:customStyle="1" w:styleId="amprLISTMixed-L1">
    <w:name w:val="[ampr LIST Mixed] - L1"/>
    <w:basedOn w:val="BASE-STYLE-TEXT"/>
    <w:uiPriority w:val="5"/>
    <w:qFormat/>
    <w:pPr>
      <w:numPr>
        <w:numId w:val="17"/>
      </w:numPr>
      <w:spacing w:before="80" w:after="80"/>
    </w:pPr>
    <w:rPr>
      <w:szCs w:val="22"/>
    </w:rPr>
  </w:style>
  <w:style w:type="paragraph" w:customStyle="1" w:styleId="amprLISTMixed-L2">
    <w:name w:val="[ampr LIST Mixed] - L2"/>
    <w:basedOn w:val="amprLISTMixed-L1"/>
    <w:uiPriority w:val="5"/>
    <w:qFormat/>
    <w:pPr>
      <w:numPr>
        <w:ilvl w:val="1"/>
      </w:numPr>
    </w:pPr>
  </w:style>
  <w:style w:type="paragraph" w:customStyle="1" w:styleId="amprLISTMixed-L3">
    <w:name w:val="[ampr LIST Mixed] - L3"/>
    <w:basedOn w:val="amprLISTMixed-L2"/>
    <w:uiPriority w:val="5"/>
    <w:qFormat/>
    <w:pPr>
      <w:numPr>
        <w:ilvl w:val="2"/>
      </w:numPr>
    </w:pPr>
  </w:style>
  <w:style w:type="paragraph" w:customStyle="1" w:styleId="amprLISTMixed-L1consecutiveparagraph">
    <w:name w:val="[ampr LIST Mixed] - L1 (consecutive paragraph)"/>
    <w:basedOn w:val="amprLISTMixed-L1"/>
    <w:uiPriority w:val="5"/>
    <w:qFormat/>
    <w:pPr>
      <w:numPr>
        <w:numId w:val="0"/>
      </w:numPr>
      <w:ind w:left="714"/>
    </w:pPr>
  </w:style>
  <w:style w:type="paragraph" w:customStyle="1" w:styleId="amprLISTMixed-L2consecutiveparagraph">
    <w:name w:val="[ampr LIST Mixed] - L2 (consecutive paragraph)"/>
    <w:basedOn w:val="amprLISTMixed-L2"/>
    <w:uiPriority w:val="5"/>
    <w:qFormat/>
    <w:pPr>
      <w:numPr>
        <w:ilvl w:val="0"/>
        <w:numId w:val="0"/>
      </w:numPr>
      <w:ind w:left="1072"/>
    </w:pPr>
  </w:style>
  <w:style w:type="paragraph" w:customStyle="1" w:styleId="amprLISTMixed-L3consecutiveparagraph">
    <w:name w:val="[ampr LIST Mixed] - L3 (consecutive paragraph)"/>
    <w:basedOn w:val="amprLISTMixed-L3"/>
    <w:uiPriority w:val="5"/>
    <w:qFormat/>
    <w:pPr>
      <w:numPr>
        <w:ilvl w:val="0"/>
        <w:numId w:val="0"/>
      </w:numPr>
      <w:ind w:left="1429"/>
    </w:pPr>
  </w:style>
  <w:style w:type="numbering" w:customStyle="1" w:styleId="amprLIST-Mixed">
    <w:name w:val="[ampr LIST]-Mixed"/>
    <w:uiPriority w:val="99"/>
    <w:pPr>
      <w:numPr>
        <w:numId w:val="16"/>
      </w:numPr>
    </w:pPr>
  </w:style>
  <w:style w:type="table" w:customStyle="1" w:styleId="AMPR20212">
    <w:name w:val="AMPR_2021_2"/>
    <w:basedOn w:val="TableNormal"/>
    <w:uiPriority w:val="99"/>
    <w:pPr>
      <w:spacing w:before="60" w:after="60" w:line="240" w:lineRule="auto"/>
    </w:pPr>
    <w:tblPr>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Pr>
    <w:trPr>
      <w:jc w:val="center"/>
    </w:trPr>
    <w:tcPr>
      <w:shd w:val="clear" w:color="auto" w:fill="F2F2F2" w:themeFill="background1" w:themeFillShade="F2"/>
    </w:tcPr>
    <w:tblStylePr w:type="firstRow">
      <w:pPr>
        <w:wordWrap/>
        <w:spacing w:beforeLines="0" w:before="100" w:beforeAutospacing="0" w:afterLines="0" w:after="100" w:afterAutospacing="0" w:line="240" w:lineRule="auto"/>
        <w:contextualSpacing w:val="0"/>
      </w:pPr>
      <w:rPr>
        <w:b/>
        <w:color w:val="FFFFFF" w:themeColor="background1"/>
      </w:rPr>
      <w:tblPr/>
      <w:tcPr>
        <w:tcBorders>
          <w:top w:val="single" w:sz="4" w:space="0" w:color="003399" w:themeColor="text2"/>
          <w:left w:val="single" w:sz="4" w:space="0" w:color="003399" w:themeColor="text2"/>
          <w:bottom w:val="single" w:sz="4" w:space="0" w:color="003399" w:themeColor="text2"/>
          <w:right w:val="single" w:sz="4" w:space="0" w:color="003399" w:themeColor="text2"/>
          <w:insideH w:val="nil"/>
          <w:insideV w:val="single" w:sz="4" w:space="0" w:color="FFFFFF" w:themeColor="background1"/>
          <w:tl2br w:val="nil"/>
          <w:tr2bl w:val="nil"/>
        </w:tcBorders>
        <w:shd w:val="clear" w:color="auto" w:fill="003399" w:themeFill="text2"/>
      </w:tcPr>
    </w:tblStylePr>
    <w:tblStylePr w:type="firstCol">
      <w:rPr>
        <w:b/>
        <w:i w:val="0"/>
        <w:color w:val="008139" w:themeColor="accent1"/>
      </w:rPr>
    </w:tblStylePr>
  </w:style>
  <w:style w:type="paragraph" w:customStyle="1" w:styleId="ZCom">
    <w:name w:val="Z_Com"/>
    <w:basedOn w:val="Normal"/>
    <w:next w:val="ZDGName"/>
    <w:pPr>
      <w:widowControl w:val="0"/>
      <w:autoSpaceDE w:val="0"/>
      <w:autoSpaceDN w:val="0"/>
      <w:spacing w:before="0" w:after="0" w:line="240" w:lineRule="auto"/>
      <w:ind w:right="85"/>
      <w:jc w:val="both"/>
    </w:pPr>
    <w:rPr>
      <w:rFonts w:ascii="Arial" w:eastAsia="Times New Roman" w:hAnsi="Arial" w:cs="Arial"/>
      <w:sz w:val="24"/>
      <w:szCs w:val="24"/>
      <w:lang w:val="fr-FR" w:eastAsia="ko-KR"/>
    </w:rPr>
  </w:style>
  <w:style w:type="paragraph" w:customStyle="1" w:styleId="ZDGName">
    <w:name w:val="Z_DGName"/>
    <w:basedOn w:val="Normal"/>
    <w:pPr>
      <w:widowControl w:val="0"/>
      <w:autoSpaceDE w:val="0"/>
      <w:autoSpaceDN w:val="0"/>
      <w:spacing w:before="0" w:after="0" w:line="240" w:lineRule="auto"/>
      <w:ind w:right="85"/>
    </w:pPr>
    <w:rPr>
      <w:rFonts w:ascii="Arial" w:eastAsia="Times New Roman" w:hAnsi="Arial" w:cs="Arial"/>
      <w:sz w:val="16"/>
      <w:szCs w:val="16"/>
      <w:lang w:val="fr-FR" w:eastAsia="ko-KR"/>
    </w:rPr>
  </w:style>
  <w:style w:type="paragraph" w:customStyle="1" w:styleId="NoteHead">
    <w:name w:val="NoteHead"/>
    <w:basedOn w:val="Normal"/>
    <w:next w:val="Normal"/>
    <w:pPr>
      <w:spacing w:before="720" w:after="720" w:line="240" w:lineRule="auto"/>
      <w:jc w:val="center"/>
    </w:pPr>
    <w:rPr>
      <w:rFonts w:ascii="Times New Roman" w:eastAsia="Times New Roman" w:hAnsi="Times New Roman" w:cs="Times New Roman"/>
      <w:b/>
      <w:smallCaps/>
      <w:sz w:val="24"/>
      <w:lang w:val="en-IE"/>
    </w:rPr>
  </w:style>
  <w:style w:type="paragraph" w:customStyle="1" w:styleId="Text3">
    <w:name w:val="Text 3"/>
    <w:basedOn w:val="Normal"/>
    <w:pPr>
      <w:spacing w:before="120" w:after="120" w:line="240" w:lineRule="auto"/>
      <w:ind w:left="851"/>
      <w:jc w:val="both"/>
    </w:pPr>
    <w:rPr>
      <w:rFonts w:ascii="Times New Roman" w:eastAsia="Times New Roman" w:hAnsi="Times New Roman" w:cs="Times New Roman"/>
      <w:sz w:val="24"/>
      <w:lang w:val="en-IE" w:eastAsia="fr-BE"/>
    </w:rPr>
  </w:style>
  <w:style w:type="paragraph" w:customStyle="1" w:styleId="Tiret0">
    <w:name w:val="Tiret 0"/>
    <w:basedOn w:val="Normal"/>
    <w:link w:val="Tiret0Char"/>
    <w:uiPriority w:val="99"/>
    <w:pPr>
      <w:numPr>
        <w:numId w:val="18"/>
      </w:numPr>
      <w:spacing w:before="120" w:after="120" w:line="240" w:lineRule="auto"/>
      <w:jc w:val="both"/>
    </w:pPr>
    <w:rPr>
      <w:rFonts w:ascii="Times New Roman" w:eastAsia="Times New Roman" w:hAnsi="Times New Roman" w:cs="Times New Roman"/>
      <w:sz w:val="24"/>
      <w:szCs w:val="24"/>
      <w:lang w:val="en-IE" w:eastAsia="en-GB"/>
    </w:rPr>
  </w:style>
  <w:style w:type="character" w:customStyle="1" w:styleId="Tiret0Char">
    <w:name w:val="Tiret 0 Char"/>
    <w:basedOn w:val="DefaultParagraphFont"/>
    <w:link w:val="Tiret0"/>
    <w:uiPriority w:val="99"/>
    <w:rPr>
      <w:rFonts w:ascii="Times New Roman" w:eastAsia="Times New Roman" w:hAnsi="Times New Roman" w:cs="Times New Roman"/>
      <w:sz w:val="24"/>
      <w:szCs w:val="24"/>
      <w:lang w:val="en-IE" w:eastAsia="en-GB"/>
    </w:rPr>
  </w:style>
  <w:style w:type="paragraph" w:customStyle="1" w:styleId="Text1">
    <w:name w:val="Text 1"/>
    <w:basedOn w:val="Normal"/>
    <w:link w:val="Text1Char"/>
    <w:pPr>
      <w:spacing w:before="0" w:line="240" w:lineRule="auto"/>
      <w:ind w:left="482"/>
      <w:jc w:val="both"/>
    </w:pPr>
    <w:rPr>
      <w:rFonts w:ascii="Times New Roman" w:eastAsia="Times New Roman" w:hAnsi="Times New Roman" w:cs="Times New Roman"/>
      <w:sz w:val="24"/>
      <w:lang w:val="en-IE"/>
    </w:rPr>
  </w:style>
  <w:style w:type="paragraph" w:customStyle="1" w:styleId="Text2">
    <w:name w:val="Text 2"/>
    <w:basedOn w:val="Normal"/>
    <w:pPr>
      <w:tabs>
        <w:tab w:val="left" w:pos="2160"/>
      </w:tabs>
      <w:spacing w:before="0" w:line="240" w:lineRule="auto"/>
      <w:ind w:left="1077"/>
      <w:jc w:val="both"/>
    </w:pPr>
    <w:rPr>
      <w:rFonts w:ascii="Times New Roman" w:eastAsia="Times New Roman" w:hAnsi="Times New Roman" w:cs="Times New Roman"/>
      <w:sz w:val="24"/>
      <w:lang w:val="en-IE"/>
    </w:rPr>
  </w:style>
  <w:style w:type="paragraph" w:customStyle="1" w:styleId="Subject">
    <w:name w:val="Subject"/>
    <w:basedOn w:val="Normal"/>
    <w:next w:val="Normal"/>
    <w:pPr>
      <w:spacing w:before="0" w:after="480" w:line="240" w:lineRule="auto"/>
      <w:ind w:left="1191" w:hanging="1191"/>
    </w:pPr>
    <w:rPr>
      <w:rFonts w:ascii="Times New Roman" w:eastAsia="Times New Roman" w:hAnsi="Times New Roman" w:cs="Times New Roman"/>
      <w:b/>
      <w:sz w:val="24"/>
      <w:lang w:val="en-IE"/>
    </w:rPr>
  </w:style>
  <w:style w:type="character" w:customStyle="1" w:styleId="Text1Char">
    <w:name w:val="Text 1 Char"/>
    <w:basedOn w:val="DefaultParagraphFont"/>
    <w:link w:val="Text1"/>
    <w:rPr>
      <w:rFonts w:ascii="Times New Roman" w:eastAsia="Times New Roman" w:hAnsi="Times New Roman" w:cs="Times New Roman"/>
      <w:sz w:val="24"/>
      <w:lang w:val="en-IE"/>
    </w:rPr>
  </w:style>
  <w:style w:type="paragraph" w:customStyle="1" w:styleId="Default">
    <w:name w:val="Default"/>
    <w:pPr>
      <w:autoSpaceDE w:val="0"/>
      <w:autoSpaceDN w:val="0"/>
      <w:adjustRightInd w:val="0"/>
      <w:spacing w:before="0" w:after="0" w:line="240" w:lineRule="auto"/>
    </w:pPr>
    <w:rPr>
      <w:rFonts w:ascii="EUAlbertina" w:eastAsia="Times New Roman" w:hAnsi="EUAlbertina" w:cs="EUAlbertina"/>
      <w:color w:val="000000"/>
      <w:sz w:val="24"/>
      <w:szCs w:val="24"/>
      <w:lang w:val="en-GB" w:eastAsia="en-GB"/>
    </w:rPr>
  </w:style>
  <w:style w:type="paragraph" w:customStyle="1" w:styleId="CM1">
    <w:name w:val="CM1"/>
    <w:basedOn w:val="Default"/>
    <w:next w:val="Default"/>
    <w:uiPriority w:val="99"/>
    <w:rPr>
      <w:rFonts w:cs="Times New Roman"/>
      <w:color w:val="auto"/>
    </w:rPr>
  </w:style>
  <w:style w:type="paragraph" w:customStyle="1" w:styleId="CM3">
    <w:name w:val="CM3"/>
    <w:basedOn w:val="Default"/>
    <w:next w:val="Default"/>
    <w:uiPriority w:val="99"/>
    <w:rPr>
      <w:rFonts w:cs="Times New Roman"/>
      <w:color w:val="auto"/>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before="0" w:after="0" w:line="240" w:lineRule="auto"/>
      <w:jc w:val="both"/>
    </w:pPr>
    <w:rPr>
      <w:rFonts w:ascii="Times New Roman" w:hAnsi="Times New Roman" w:cs="Times New Roman"/>
      <w:sz w:val="24"/>
      <w:szCs w:val="22"/>
      <w:lang w:val="en-I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CaptionChar">
    <w:name w:val="Caption Char"/>
    <w:basedOn w:val="DefaultParagraphFont"/>
    <w:link w:val="Caption"/>
    <w:rPr>
      <w:i/>
      <w:iCs/>
      <w:color w:val="003399" w:themeColor="text2"/>
      <w:sz w:val="18"/>
      <w:szCs w:val="18"/>
      <w:lang w:val="en-GB"/>
    </w:rPr>
  </w:style>
  <w:style w:type="character" w:customStyle="1" w:styleId="FooterCoverPageChar">
    <w:name w:val="Footer Cover Page Char"/>
    <w:basedOn w:val="CaptionChar"/>
    <w:link w:val="FooterCoverPage"/>
    <w:rPr>
      <w:rFonts w:ascii="Times New Roman" w:hAnsi="Times New Roman" w:cs="Times New Roman"/>
      <w:i w:val="0"/>
      <w:iCs w:val="0"/>
      <w:color w:val="003399" w:themeColor="text2"/>
      <w:sz w:val="24"/>
      <w:szCs w:val="18"/>
      <w:lang w:val="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CaptionChar"/>
    <w:link w:val="FooterSensitivity"/>
    <w:rPr>
      <w:rFonts w:ascii="Times New Roman" w:hAnsi="Times New Roman" w:cs="Times New Roman"/>
      <w:b/>
      <w:i w:val="0"/>
      <w:iCs w:val="0"/>
      <w:color w:val="003399" w:themeColor="text2"/>
      <w:sz w:val="32"/>
      <w:szCs w:val="18"/>
      <w:lang w:val="en-GB"/>
    </w:rPr>
  </w:style>
  <w:style w:type="paragraph" w:customStyle="1" w:styleId="HeaderCoverPage">
    <w:name w:val="Header Cover Page"/>
    <w:basedOn w:val="Normal"/>
    <w:link w:val="HeaderCoverPageChar"/>
    <w:pPr>
      <w:tabs>
        <w:tab w:val="center" w:pos="4535"/>
        <w:tab w:val="right" w:pos="9071"/>
      </w:tabs>
      <w:spacing w:before="0" w:after="120" w:line="240" w:lineRule="auto"/>
      <w:jc w:val="both"/>
    </w:pPr>
    <w:rPr>
      <w:rFonts w:ascii="Times New Roman" w:hAnsi="Times New Roman" w:cs="Times New Roman"/>
      <w:sz w:val="24"/>
    </w:rPr>
  </w:style>
  <w:style w:type="character" w:customStyle="1" w:styleId="HeaderCoverPageChar">
    <w:name w:val="Header Cover Page Char"/>
    <w:basedOn w:val="CaptionChar"/>
    <w:link w:val="HeaderCoverPage"/>
    <w:rPr>
      <w:rFonts w:ascii="Times New Roman" w:hAnsi="Times New Roman" w:cs="Times New Roman"/>
      <w:i w:val="0"/>
      <w:iCs w:val="0"/>
      <w:color w:val="003399" w:themeColor="text2"/>
      <w:sz w:val="24"/>
      <w:szCs w:val="18"/>
      <w:lang w:val="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before="0"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CaptionChar"/>
    <w:link w:val="HeaderSensitivity"/>
    <w:rPr>
      <w:rFonts w:ascii="Times New Roman" w:hAnsi="Times New Roman" w:cs="Times New Roman"/>
      <w:b/>
      <w:i w:val="0"/>
      <w:iCs w:val="0"/>
      <w:color w:val="003399" w:themeColor="text2"/>
      <w:sz w:val="32"/>
      <w:szCs w:val="18"/>
      <w:lang w:val="en-GB"/>
    </w:rPr>
  </w:style>
  <w:style w:type="character" w:customStyle="1" w:styleId="WW8Num4z1">
    <w:name w:val="WW8Num4z1"/>
    <w:rPr>
      <w:rFonts w:ascii="Wingdings" w:hAnsi="Wingdings" w:cs="Symbol" w:hint="default"/>
    </w:rPr>
  </w:style>
  <w:style w:type="character" w:customStyle="1" w:styleId="footnotereference0">
    <w:name w:val="footnotereference"/>
    <w:basedOn w:val="DefaultParagraphFont"/>
    <w:rPr>
      <w:rFonts w:ascii="Times New Roman" w:hAnsi="Times New Roman" w:cs="Times New Roman" w:hint="default"/>
    </w:rPr>
  </w:style>
  <w:style w:type="paragraph" w:customStyle="1" w:styleId="SecurityMarking">
    <w:name w:val="SecurityMarking"/>
    <w:basedOn w:val="Normal"/>
    <w:pPr>
      <w:spacing w:before="0" w:after="0" w:line="276" w:lineRule="auto"/>
      <w:ind w:left="5103"/>
    </w:pPr>
    <w:rPr>
      <w:rFonts w:ascii="Times New Roman" w:hAnsi="Times New Roman" w:cs="Times New Roman"/>
      <w:sz w:val="28"/>
      <w:szCs w:val="22"/>
      <w:lang w:val="en-IE"/>
    </w:rPr>
  </w:style>
  <w:style w:type="paragraph" w:customStyle="1" w:styleId="DateMarking">
    <w:name w:val="DateMarking"/>
    <w:basedOn w:val="Normal"/>
    <w:pPr>
      <w:spacing w:before="0" w:after="0" w:line="276" w:lineRule="auto"/>
      <w:ind w:left="5103"/>
    </w:pPr>
    <w:rPr>
      <w:rFonts w:ascii="Times New Roman" w:hAnsi="Times New Roman" w:cs="Times New Roman"/>
      <w:i/>
      <w:sz w:val="28"/>
      <w:szCs w:val="22"/>
      <w:lang w:val="en-IE"/>
    </w:rPr>
  </w:style>
  <w:style w:type="paragraph" w:customStyle="1" w:styleId="ReleasableTo">
    <w:name w:val="ReleasableTo"/>
    <w:basedOn w:val="Normal"/>
    <w:pPr>
      <w:spacing w:before="0" w:after="0" w:line="276" w:lineRule="auto"/>
      <w:ind w:left="5103"/>
    </w:pPr>
    <w:rPr>
      <w:rFonts w:ascii="Times New Roman" w:hAnsi="Times New Roman" w:cs="Times New Roman"/>
      <w:i/>
      <w:sz w:val="28"/>
      <w:szCs w:val="22"/>
      <w:lang w:val="en-IE"/>
    </w:rPr>
  </w:style>
  <w:style w:type="paragraph" w:customStyle="1" w:styleId="HeaderSensitivityRight">
    <w:name w:val="Header Sensitivity Right"/>
    <w:basedOn w:val="Normal"/>
    <w:pPr>
      <w:spacing w:before="0" w:after="120" w:line="240" w:lineRule="auto"/>
      <w:jc w:val="right"/>
    </w:pPr>
    <w:rPr>
      <w:rFonts w:ascii="Times New Roman" w:hAnsi="Times New Roman" w:cs="Times New Roman"/>
      <w:sz w:val="28"/>
    </w:rPr>
  </w:style>
  <w:style w:type="paragraph" w:customStyle="1" w:styleId="Point0">
    <w:name w:val="Point 0"/>
    <w:basedOn w:val="Normal"/>
    <w:uiPriority w:val="99"/>
    <w:pPr>
      <w:spacing w:before="120" w:after="120" w:line="240" w:lineRule="auto"/>
      <w:ind w:left="850" w:hanging="850"/>
      <w:jc w:val="both"/>
    </w:pPr>
    <w:rPr>
      <w:rFonts w:ascii="Times New Roman" w:eastAsiaTheme="minorEastAsia" w:hAnsi="Times New Roman" w:cs="Times New Roman"/>
      <w:sz w:val="24"/>
      <w:szCs w:val="24"/>
      <w:lang w:val="en-IE" w:eastAsia="en-GB"/>
    </w:rPr>
  </w:style>
  <w:style w:type="character" w:customStyle="1" w:styleId="markedcontent">
    <w:name w:val="markedcontent"/>
    <w:basedOn w:val="DefaultParagraphFont"/>
  </w:style>
  <w:style w:type="paragraph" w:customStyle="1" w:styleId="title-bold">
    <w:name w:val="title-bold"/>
    <w:basedOn w:val="Normal"/>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Mention1">
    <w:name w:val="Mention1"/>
    <w:basedOn w:val="DefaultParagraphFont"/>
    <w:uiPriority w:val="99"/>
    <w:unhideWhenUsed/>
    <w:rPr>
      <w:color w:val="2B579A"/>
      <w:shd w:val="clear" w:color="auto" w:fill="E6E6E6"/>
    </w:rPr>
  </w:style>
  <w:style w:type="character" w:customStyle="1" w:styleId="normaltextrun">
    <w:name w:val="normaltextrun"/>
    <w:basedOn w:val="DefaultParagraphFont"/>
  </w:style>
  <w:style w:type="character" w:customStyle="1" w:styleId="UnresolvedMention">
    <w:name w:val="Unresolved Mention"/>
    <w:basedOn w:val="DefaultParagraphFont"/>
    <w:uiPriority w:val="99"/>
    <w:semiHidden/>
    <w:unhideWhenUsed/>
    <w:rPr>
      <w:color w:val="605E5C"/>
      <w:shd w:val="clear" w:color="auto" w:fill="E1DFDD"/>
    </w:rPr>
  </w:style>
  <w:style w:type="paragraph" w:customStyle="1" w:styleId="NormalRight">
    <w:name w:val="Normal Right"/>
    <w:basedOn w:val="Normal"/>
    <w:uiPriority w:val="99"/>
    <w:rsid w:val="0027372E"/>
    <w:pPr>
      <w:spacing w:before="120" w:after="120" w:line="240" w:lineRule="auto"/>
      <w:jc w:val="right"/>
    </w:pPr>
    <w:rPr>
      <w:rFonts w:ascii="Times New Roman" w:eastAsiaTheme="minorEastAsia" w:hAnsi="Times New Roman" w:cs="Times New Roman"/>
      <w:sz w:val="24"/>
      <w:szCs w:val="24"/>
      <w:lang w:eastAsia="en-IE"/>
    </w:rPr>
  </w:style>
  <w:style w:type="character" w:customStyle="1" w:styleId="Mention">
    <w:name w:val="Mention"/>
    <w:basedOn w:val="DefaultParagraphFont"/>
    <w:uiPriority w:val="99"/>
    <w:unhideWhenUsed/>
    <w:rsid w:val="007E65F8"/>
    <w:rPr>
      <w:color w:val="2B579A"/>
      <w:shd w:val="clear" w:color="auto" w:fill="E1DFDD"/>
    </w:rPr>
  </w:style>
  <w:style w:type="paragraph" w:customStyle="1" w:styleId="isselectedend">
    <w:name w:val="isselectedend"/>
    <w:basedOn w:val="Normal"/>
    <w:rsid w:val="001A24F3"/>
    <w:pPr>
      <w:spacing w:before="100" w:beforeAutospacing="1" w:after="100" w:afterAutospacing="1" w:line="240" w:lineRule="auto"/>
    </w:pPr>
    <w:rPr>
      <w:rFonts w:ascii="Times New Roman" w:eastAsia="Times New Roman" w:hAnsi="Times New Roman" w:cs="Times New Roman"/>
      <w:sz w:val="24"/>
      <w:szCs w:val="24"/>
      <w:lang w:val="en-I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21340">
      <w:bodyDiv w:val="1"/>
      <w:marLeft w:val="0"/>
      <w:marRight w:val="0"/>
      <w:marTop w:val="0"/>
      <w:marBottom w:val="0"/>
      <w:divBdr>
        <w:top w:val="none" w:sz="0" w:space="0" w:color="auto"/>
        <w:left w:val="none" w:sz="0" w:space="0" w:color="auto"/>
        <w:bottom w:val="none" w:sz="0" w:space="0" w:color="auto"/>
        <w:right w:val="none" w:sz="0" w:space="0" w:color="auto"/>
      </w:divBdr>
    </w:div>
    <w:div w:id="17318377">
      <w:bodyDiv w:val="1"/>
      <w:marLeft w:val="0"/>
      <w:marRight w:val="0"/>
      <w:marTop w:val="0"/>
      <w:marBottom w:val="0"/>
      <w:divBdr>
        <w:top w:val="none" w:sz="0" w:space="0" w:color="auto"/>
        <w:left w:val="none" w:sz="0" w:space="0" w:color="auto"/>
        <w:bottom w:val="none" w:sz="0" w:space="0" w:color="auto"/>
        <w:right w:val="none" w:sz="0" w:space="0" w:color="auto"/>
      </w:divBdr>
    </w:div>
    <w:div w:id="24672186">
      <w:bodyDiv w:val="1"/>
      <w:marLeft w:val="0"/>
      <w:marRight w:val="0"/>
      <w:marTop w:val="0"/>
      <w:marBottom w:val="0"/>
      <w:divBdr>
        <w:top w:val="none" w:sz="0" w:space="0" w:color="auto"/>
        <w:left w:val="none" w:sz="0" w:space="0" w:color="auto"/>
        <w:bottom w:val="none" w:sz="0" w:space="0" w:color="auto"/>
        <w:right w:val="none" w:sz="0" w:space="0" w:color="auto"/>
      </w:divBdr>
    </w:div>
    <w:div w:id="56518824">
      <w:bodyDiv w:val="1"/>
      <w:marLeft w:val="0"/>
      <w:marRight w:val="0"/>
      <w:marTop w:val="0"/>
      <w:marBottom w:val="0"/>
      <w:divBdr>
        <w:top w:val="none" w:sz="0" w:space="0" w:color="auto"/>
        <w:left w:val="none" w:sz="0" w:space="0" w:color="auto"/>
        <w:bottom w:val="none" w:sz="0" w:space="0" w:color="auto"/>
        <w:right w:val="none" w:sz="0" w:space="0" w:color="auto"/>
      </w:divBdr>
    </w:div>
    <w:div w:id="63913620">
      <w:bodyDiv w:val="1"/>
      <w:marLeft w:val="0"/>
      <w:marRight w:val="0"/>
      <w:marTop w:val="0"/>
      <w:marBottom w:val="0"/>
      <w:divBdr>
        <w:top w:val="none" w:sz="0" w:space="0" w:color="auto"/>
        <w:left w:val="none" w:sz="0" w:space="0" w:color="auto"/>
        <w:bottom w:val="none" w:sz="0" w:space="0" w:color="auto"/>
        <w:right w:val="none" w:sz="0" w:space="0" w:color="auto"/>
      </w:divBdr>
    </w:div>
    <w:div w:id="106512562">
      <w:bodyDiv w:val="1"/>
      <w:marLeft w:val="0"/>
      <w:marRight w:val="0"/>
      <w:marTop w:val="0"/>
      <w:marBottom w:val="0"/>
      <w:divBdr>
        <w:top w:val="none" w:sz="0" w:space="0" w:color="auto"/>
        <w:left w:val="none" w:sz="0" w:space="0" w:color="auto"/>
        <w:bottom w:val="none" w:sz="0" w:space="0" w:color="auto"/>
        <w:right w:val="none" w:sz="0" w:space="0" w:color="auto"/>
      </w:divBdr>
    </w:div>
    <w:div w:id="124474031">
      <w:bodyDiv w:val="1"/>
      <w:marLeft w:val="0"/>
      <w:marRight w:val="0"/>
      <w:marTop w:val="0"/>
      <w:marBottom w:val="0"/>
      <w:divBdr>
        <w:top w:val="none" w:sz="0" w:space="0" w:color="auto"/>
        <w:left w:val="none" w:sz="0" w:space="0" w:color="auto"/>
        <w:bottom w:val="none" w:sz="0" w:space="0" w:color="auto"/>
        <w:right w:val="none" w:sz="0" w:space="0" w:color="auto"/>
      </w:divBdr>
    </w:div>
    <w:div w:id="133062814">
      <w:bodyDiv w:val="1"/>
      <w:marLeft w:val="0"/>
      <w:marRight w:val="0"/>
      <w:marTop w:val="0"/>
      <w:marBottom w:val="0"/>
      <w:divBdr>
        <w:top w:val="none" w:sz="0" w:space="0" w:color="auto"/>
        <w:left w:val="none" w:sz="0" w:space="0" w:color="auto"/>
        <w:bottom w:val="none" w:sz="0" w:space="0" w:color="auto"/>
        <w:right w:val="none" w:sz="0" w:space="0" w:color="auto"/>
      </w:divBdr>
    </w:div>
    <w:div w:id="154498362">
      <w:bodyDiv w:val="1"/>
      <w:marLeft w:val="0"/>
      <w:marRight w:val="0"/>
      <w:marTop w:val="0"/>
      <w:marBottom w:val="0"/>
      <w:divBdr>
        <w:top w:val="none" w:sz="0" w:space="0" w:color="auto"/>
        <w:left w:val="none" w:sz="0" w:space="0" w:color="auto"/>
        <w:bottom w:val="none" w:sz="0" w:space="0" w:color="auto"/>
        <w:right w:val="none" w:sz="0" w:space="0" w:color="auto"/>
      </w:divBdr>
    </w:div>
    <w:div w:id="163471648">
      <w:bodyDiv w:val="1"/>
      <w:marLeft w:val="0"/>
      <w:marRight w:val="0"/>
      <w:marTop w:val="0"/>
      <w:marBottom w:val="0"/>
      <w:divBdr>
        <w:top w:val="none" w:sz="0" w:space="0" w:color="auto"/>
        <w:left w:val="none" w:sz="0" w:space="0" w:color="auto"/>
        <w:bottom w:val="none" w:sz="0" w:space="0" w:color="auto"/>
        <w:right w:val="none" w:sz="0" w:space="0" w:color="auto"/>
      </w:divBdr>
      <w:divsChild>
        <w:div w:id="1545603797">
          <w:marLeft w:val="0"/>
          <w:marRight w:val="0"/>
          <w:marTop w:val="0"/>
          <w:marBottom w:val="0"/>
          <w:divBdr>
            <w:top w:val="none" w:sz="0" w:space="0" w:color="auto"/>
            <w:left w:val="none" w:sz="0" w:space="0" w:color="auto"/>
            <w:bottom w:val="none" w:sz="0" w:space="0" w:color="auto"/>
            <w:right w:val="none" w:sz="0" w:space="0" w:color="auto"/>
          </w:divBdr>
          <w:divsChild>
            <w:div w:id="2087412605">
              <w:marLeft w:val="0"/>
              <w:marRight w:val="0"/>
              <w:marTop w:val="0"/>
              <w:marBottom w:val="0"/>
              <w:divBdr>
                <w:top w:val="none" w:sz="0" w:space="0" w:color="auto"/>
                <w:left w:val="none" w:sz="0" w:space="0" w:color="auto"/>
                <w:bottom w:val="none" w:sz="0" w:space="0" w:color="auto"/>
                <w:right w:val="none" w:sz="0" w:space="0" w:color="auto"/>
              </w:divBdr>
              <w:divsChild>
                <w:div w:id="414977839">
                  <w:marLeft w:val="0"/>
                  <w:marRight w:val="0"/>
                  <w:marTop w:val="0"/>
                  <w:marBottom w:val="0"/>
                  <w:divBdr>
                    <w:top w:val="none" w:sz="0" w:space="0" w:color="auto"/>
                    <w:left w:val="none" w:sz="0" w:space="0" w:color="auto"/>
                    <w:bottom w:val="none" w:sz="0" w:space="0" w:color="auto"/>
                    <w:right w:val="none" w:sz="0" w:space="0" w:color="auto"/>
                  </w:divBdr>
                  <w:divsChild>
                    <w:div w:id="1951547590">
                      <w:marLeft w:val="0"/>
                      <w:marRight w:val="0"/>
                      <w:marTop w:val="0"/>
                      <w:marBottom w:val="0"/>
                      <w:divBdr>
                        <w:top w:val="none" w:sz="0" w:space="0" w:color="auto"/>
                        <w:left w:val="none" w:sz="0" w:space="0" w:color="auto"/>
                        <w:bottom w:val="none" w:sz="0" w:space="0" w:color="auto"/>
                        <w:right w:val="none" w:sz="0" w:space="0" w:color="auto"/>
                      </w:divBdr>
                      <w:divsChild>
                        <w:div w:id="1997223519">
                          <w:marLeft w:val="0"/>
                          <w:marRight w:val="0"/>
                          <w:marTop w:val="0"/>
                          <w:marBottom w:val="0"/>
                          <w:divBdr>
                            <w:top w:val="none" w:sz="0" w:space="0" w:color="auto"/>
                            <w:left w:val="none" w:sz="0" w:space="0" w:color="auto"/>
                            <w:bottom w:val="none" w:sz="0" w:space="0" w:color="auto"/>
                            <w:right w:val="none" w:sz="0" w:space="0" w:color="auto"/>
                          </w:divBdr>
                          <w:divsChild>
                            <w:div w:id="665859235">
                              <w:marLeft w:val="-225"/>
                              <w:marRight w:val="-225"/>
                              <w:marTop w:val="0"/>
                              <w:marBottom w:val="0"/>
                              <w:divBdr>
                                <w:top w:val="none" w:sz="0" w:space="0" w:color="auto"/>
                                <w:left w:val="none" w:sz="0" w:space="0" w:color="auto"/>
                                <w:bottom w:val="none" w:sz="0" w:space="0" w:color="auto"/>
                                <w:right w:val="none" w:sz="0" w:space="0" w:color="auto"/>
                              </w:divBdr>
                              <w:divsChild>
                                <w:div w:id="1634603584">
                                  <w:marLeft w:val="0"/>
                                  <w:marRight w:val="0"/>
                                  <w:marTop w:val="0"/>
                                  <w:marBottom w:val="133"/>
                                  <w:divBdr>
                                    <w:top w:val="none" w:sz="0" w:space="0" w:color="auto"/>
                                    <w:left w:val="none" w:sz="0" w:space="0" w:color="auto"/>
                                    <w:bottom w:val="none" w:sz="0" w:space="0" w:color="auto"/>
                                    <w:right w:val="none" w:sz="0" w:space="0" w:color="auto"/>
                                  </w:divBdr>
                                  <w:divsChild>
                                    <w:div w:id="858348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984693">
      <w:bodyDiv w:val="1"/>
      <w:marLeft w:val="0"/>
      <w:marRight w:val="0"/>
      <w:marTop w:val="0"/>
      <w:marBottom w:val="0"/>
      <w:divBdr>
        <w:top w:val="none" w:sz="0" w:space="0" w:color="auto"/>
        <w:left w:val="none" w:sz="0" w:space="0" w:color="auto"/>
        <w:bottom w:val="none" w:sz="0" w:space="0" w:color="auto"/>
        <w:right w:val="none" w:sz="0" w:space="0" w:color="auto"/>
      </w:divBdr>
    </w:div>
    <w:div w:id="207642439">
      <w:bodyDiv w:val="1"/>
      <w:marLeft w:val="0"/>
      <w:marRight w:val="0"/>
      <w:marTop w:val="0"/>
      <w:marBottom w:val="0"/>
      <w:divBdr>
        <w:top w:val="none" w:sz="0" w:space="0" w:color="auto"/>
        <w:left w:val="none" w:sz="0" w:space="0" w:color="auto"/>
        <w:bottom w:val="none" w:sz="0" w:space="0" w:color="auto"/>
        <w:right w:val="none" w:sz="0" w:space="0" w:color="auto"/>
      </w:divBdr>
    </w:div>
    <w:div w:id="229850510">
      <w:bodyDiv w:val="1"/>
      <w:marLeft w:val="0"/>
      <w:marRight w:val="0"/>
      <w:marTop w:val="0"/>
      <w:marBottom w:val="0"/>
      <w:divBdr>
        <w:top w:val="none" w:sz="0" w:space="0" w:color="auto"/>
        <w:left w:val="none" w:sz="0" w:space="0" w:color="auto"/>
        <w:bottom w:val="none" w:sz="0" w:space="0" w:color="auto"/>
        <w:right w:val="none" w:sz="0" w:space="0" w:color="auto"/>
      </w:divBdr>
    </w:div>
    <w:div w:id="233854571">
      <w:bodyDiv w:val="1"/>
      <w:marLeft w:val="0"/>
      <w:marRight w:val="0"/>
      <w:marTop w:val="0"/>
      <w:marBottom w:val="0"/>
      <w:divBdr>
        <w:top w:val="none" w:sz="0" w:space="0" w:color="auto"/>
        <w:left w:val="none" w:sz="0" w:space="0" w:color="auto"/>
        <w:bottom w:val="none" w:sz="0" w:space="0" w:color="auto"/>
        <w:right w:val="none" w:sz="0" w:space="0" w:color="auto"/>
      </w:divBdr>
    </w:div>
    <w:div w:id="251816919">
      <w:bodyDiv w:val="1"/>
      <w:marLeft w:val="0"/>
      <w:marRight w:val="0"/>
      <w:marTop w:val="0"/>
      <w:marBottom w:val="0"/>
      <w:divBdr>
        <w:top w:val="none" w:sz="0" w:space="0" w:color="auto"/>
        <w:left w:val="none" w:sz="0" w:space="0" w:color="auto"/>
        <w:bottom w:val="none" w:sz="0" w:space="0" w:color="auto"/>
        <w:right w:val="none" w:sz="0" w:space="0" w:color="auto"/>
      </w:divBdr>
    </w:div>
    <w:div w:id="256796035">
      <w:bodyDiv w:val="1"/>
      <w:marLeft w:val="0"/>
      <w:marRight w:val="0"/>
      <w:marTop w:val="0"/>
      <w:marBottom w:val="0"/>
      <w:divBdr>
        <w:top w:val="none" w:sz="0" w:space="0" w:color="auto"/>
        <w:left w:val="none" w:sz="0" w:space="0" w:color="auto"/>
        <w:bottom w:val="none" w:sz="0" w:space="0" w:color="auto"/>
        <w:right w:val="none" w:sz="0" w:space="0" w:color="auto"/>
      </w:divBdr>
    </w:div>
    <w:div w:id="306596134">
      <w:bodyDiv w:val="1"/>
      <w:marLeft w:val="0"/>
      <w:marRight w:val="0"/>
      <w:marTop w:val="0"/>
      <w:marBottom w:val="0"/>
      <w:divBdr>
        <w:top w:val="none" w:sz="0" w:space="0" w:color="auto"/>
        <w:left w:val="none" w:sz="0" w:space="0" w:color="auto"/>
        <w:bottom w:val="none" w:sz="0" w:space="0" w:color="auto"/>
        <w:right w:val="none" w:sz="0" w:space="0" w:color="auto"/>
      </w:divBdr>
    </w:div>
    <w:div w:id="308438651">
      <w:bodyDiv w:val="1"/>
      <w:marLeft w:val="0"/>
      <w:marRight w:val="0"/>
      <w:marTop w:val="0"/>
      <w:marBottom w:val="0"/>
      <w:divBdr>
        <w:top w:val="none" w:sz="0" w:space="0" w:color="auto"/>
        <w:left w:val="none" w:sz="0" w:space="0" w:color="auto"/>
        <w:bottom w:val="none" w:sz="0" w:space="0" w:color="auto"/>
        <w:right w:val="none" w:sz="0" w:space="0" w:color="auto"/>
      </w:divBdr>
    </w:div>
    <w:div w:id="354618136">
      <w:bodyDiv w:val="1"/>
      <w:marLeft w:val="0"/>
      <w:marRight w:val="0"/>
      <w:marTop w:val="0"/>
      <w:marBottom w:val="0"/>
      <w:divBdr>
        <w:top w:val="none" w:sz="0" w:space="0" w:color="auto"/>
        <w:left w:val="none" w:sz="0" w:space="0" w:color="auto"/>
        <w:bottom w:val="none" w:sz="0" w:space="0" w:color="auto"/>
        <w:right w:val="none" w:sz="0" w:space="0" w:color="auto"/>
      </w:divBdr>
    </w:div>
    <w:div w:id="362098488">
      <w:bodyDiv w:val="1"/>
      <w:marLeft w:val="0"/>
      <w:marRight w:val="0"/>
      <w:marTop w:val="0"/>
      <w:marBottom w:val="0"/>
      <w:divBdr>
        <w:top w:val="none" w:sz="0" w:space="0" w:color="auto"/>
        <w:left w:val="none" w:sz="0" w:space="0" w:color="auto"/>
        <w:bottom w:val="none" w:sz="0" w:space="0" w:color="auto"/>
        <w:right w:val="none" w:sz="0" w:space="0" w:color="auto"/>
      </w:divBdr>
    </w:div>
    <w:div w:id="378669119">
      <w:bodyDiv w:val="1"/>
      <w:marLeft w:val="0"/>
      <w:marRight w:val="0"/>
      <w:marTop w:val="0"/>
      <w:marBottom w:val="0"/>
      <w:divBdr>
        <w:top w:val="none" w:sz="0" w:space="0" w:color="auto"/>
        <w:left w:val="none" w:sz="0" w:space="0" w:color="auto"/>
        <w:bottom w:val="none" w:sz="0" w:space="0" w:color="auto"/>
        <w:right w:val="none" w:sz="0" w:space="0" w:color="auto"/>
      </w:divBdr>
    </w:div>
    <w:div w:id="379524759">
      <w:bodyDiv w:val="1"/>
      <w:marLeft w:val="0"/>
      <w:marRight w:val="0"/>
      <w:marTop w:val="0"/>
      <w:marBottom w:val="0"/>
      <w:divBdr>
        <w:top w:val="none" w:sz="0" w:space="0" w:color="auto"/>
        <w:left w:val="none" w:sz="0" w:space="0" w:color="auto"/>
        <w:bottom w:val="none" w:sz="0" w:space="0" w:color="auto"/>
        <w:right w:val="none" w:sz="0" w:space="0" w:color="auto"/>
      </w:divBdr>
    </w:div>
    <w:div w:id="382218318">
      <w:bodyDiv w:val="1"/>
      <w:marLeft w:val="0"/>
      <w:marRight w:val="0"/>
      <w:marTop w:val="0"/>
      <w:marBottom w:val="0"/>
      <w:divBdr>
        <w:top w:val="none" w:sz="0" w:space="0" w:color="auto"/>
        <w:left w:val="none" w:sz="0" w:space="0" w:color="auto"/>
        <w:bottom w:val="none" w:sz="0" w:space="0" w:color="auto"/>
        <w:right w:val="none" w:sz="0" w:space="0" w:color="auto"/>
      </w:divBdr>
      <w:divsChild>
        <w:div w:id="13771394">
          <w:marLeft w:val="0"/>
          <w:marRight w:val="0"/>
          <w:marTop w:val="0"/>
          <w:marBottom w:val="0"/>
          <w:divBdr>
            <w:top w:val="none" w:sz="0" w:space="0" w:color="auto"/>
            <w:left w:val="none" w:sz="0" w:space="0" w:color="auto"/>
            <w:bottom w:val="none" w:sz="0" w:space="0" w:color="auto"/>
            <w:right w:val="none" w:sz="0" w:space="0" w:color="auto"/>
          </w:divBdr>
        </w:div>
        <w:div w:id="351037791">
          <w:marLeft w:val="0"/>
          <w:marRight w:val="0"/>
          <w:marTop w:val="0"/>
          <w:marBottom w:val="0"/>
          <w:divBdr>
            <w:top w:val="none" w:sz="0" w:space="0" w:color="auto"/>
            <w:left w:val="none" w:sz="0" w:space="0" w:color="auto"/>
            <w:bottom w:val="none" w:sz="0" w:space="0" w:color="auto"/>
            <w:right w:val="none" w:sz="0" w:space="0" w:color="auto"/>
          </w:divBdr>
        </w:div>
        <w:div w:id="1160927742">
          <w:marLeft w:val="0"/>
          <w:marRight w:val="0"/>
          <w:marTop w:val="0"/>
          <w:marBottom w:val="0"/>
          <w:divBdr>
            <w:top w:val="none" w:sz="0" w:space="0" w:color="auto"/>
            <w:left w:val="none" w:sz="0" w:space="0" w:color="auto"/>
            <w:bottom w:val="none" w:sz="0" w:space="0" w:color="auto"/>
            <w:right w:val="none" w:sz="0" w:space="0" w:color="auto"/>
          </w:divBdr>
        </w:div>
        <w:div w:id="1696610093">
          <w:marLeft w:val="0"/>
          <w:marRight w:val="0"/>
          <w:marTop w:val="0"/>
          <w:marBottom w:val="0"/>
          <w:divBdr>
            <w:top w:val="none" w:sz="0" w:space="0" w:color="auto"/>
            <w:left w:val="none" w:sz="0" w:space="0" w:color="auto"/>
            <w:bottom w:val="none" w:sz="0" w:space="0" w:color="auto"/>
            <w:right w:val="none" w:sz="0" w:space="0" w:color="auto"/>
          </w:divBdr>
        </w:div>
        <w:div w:id="1951353634">
          <w:marLeft w:val="0"/>
          <w:marRight w:val="0"/>
          <w:marTop w:val="0"/>
          <w:marBottom w:val="0"/>
          <w:divBdr>
            <w:top w:val="none" w:sz="0" w:space="0" w:color="auto"/>
            <w:left w:val="none" w:sz="0" w:space="0" w:color="auto"/>
            <w:bottom w:val="none" w:sz="0" w:space="0" w:color="auto"/>
            <w:right w:val="none" w:sz="0" w:space="0" w:color="auto"/>
          </w:divBdr>
        </w:div>
      </w:divsChild>
    </w:div>
    <w:div w:id="441609357">
      <w:bodyDiv w:val="1"/>
      <w:marLeft w:val="0"/>
      <w:marRight w:val="0"/>
      <w:marTop w:val="0"/>
      <w:marBottom w:val="0"/>
      <w:divBdr>
        <w:top w:val="none" w:sz="0" w:space="0" w:color="auto"/>
        <w:left w:val="none" w:sz="0" w:space="0" w:color="auto"/>
        <w:bottom w:val="none" w:sz="0" w:space="0" w:color="auto"/>
        <w:right w:val="none" w:sz="0" w:space="0" w:color="auto"/>
      </w:divBdr>
      <w:divsChild>
        <w:div w:id="583799303">
          <w:marLeft w:val="0"/>
          <w:marRight w:val="0"/>
          <w:marTop w:val="0"/>
          <w:marBottom w:val="0"/>
          <w:divBdr>
            <w:top w:val="none" w:sz="0" w:space="0" w:color="auto"/>
            <w:left w:val="none" w:sz="0" w:space="0" w:color="auto"/>
            <w:bottom w:val="none" w:sz="0" w:space="0" w:color="auto"/>
            <w:right w:val="none" w:sz="0" w:space="0" w:color="auto"/>
          </w:divBdr>
          <w:divsChild>
            <w:div w:id="208156326">
              <w:marLeft w:val="0"/>
              <w:marRight w:val="0"/>
              <w:marTop w:val="0"/>
              <w:marBottom w:val="0"/>
              <w:divBdr>
                <w:top w:val="none" w:sz="0" w:space="0" w:color="auto"/>
                <w:left w:val="none" w:sz="0" w:space="0" w:color="auto"/>
                <w:bottom w:val="none" w:sz="0" w:space="0" w:color="auto"/>
                <w:right w:val="none" w:sz="0" w:space="0" w:color="auto"/>
              </w:divBdr>
              <w:divsChild>
                <w:div w:id="702243767">
                  <w:marLeft w:val="0"/>
                  <w:marRight w:val="0"/>
                  <w:marTop w:val="0"/>
                  <w:marBottom w:val="0"/>
                  <w:divBdr>
                    <w:top w:val="none" w:sz="0" w:space="0" w:color="auto"/>
                    <w:left w:val="none" w:sz="0" w:space="0" w:color="auto"/>
                    <w:bottom w:val="none" w:sz="0" w:space="0" w:color="auto"/>
                    <w:right w:val="none" w:sz="0" w:space="0" w:color="auto"/>
                  </w:divBdr>
                  <w:divsChild>
                    <w:div w:id="64422346">
                      <w:marLeft w:val="0"/>
                      <w:marRight w:val="0"/>
                      <w:marTop w:val="0"/>
                      <w:marBottom w:val="0"/>
                      <w:divBdr>
                        <w:top w:val="none" w:sz="0" w:space="0" w:color="auto"/>
                        <w:left w:val="none" w:sz="0" w:space="0" w:color="auto"/>
                        <w:bottom w:val="none" w:sz="0" w:space="0" w:color="auto"/>
                        <w:right w:val="none" w:sz="0" w:space="0" w:color="auto"/>
                      </w:divBdr>
                      <w:divsChild>
                        <w:div w:id="1014117586">
                          <w:marLeft w:val="0"/>
                          <w:marRight w:val="0"/>
                          <w:marTop w:val="0"/>
                          <w:marBottom w:val="0"/>
                          <w:divBdr>
                            <w:top w:val="none" w:sz="0" w:space="0" w:color="auto"/>
                            <w:left w:val="none" w:sz="0" w:space="0" w:color="auto"/>
                            <w:bottom w:val="none" w:sz="0" w:space="0" w:color="auto"/>
                            <w:right w:val="none" w:sz="0" w:space="0" w:color="auto"/>
                          </w:divBdr>
                          <w:divsChild>
                            <w:div w:id="1535147112">
                              <w:marLeft w:val="-225"/>
                              <w:marRight w:val="-225"/>
                              <w:marTop w:val="0"/>
                              <w:marBottom w:val="0"/>
                              <w:divBdr>
                                <w:top w:val="none" w:sz="0" w:space="0" w:color="auto"/>
                                <w:left w:val="none" w:sz="0" w:space="0" w:color="auto"/>
                                <w:bottom w:val="none" w:sz="0" w:space="0" w:color="auto"/>
                                <w:right w:val="none" w:sz="0" w:space="0" w:color="auto"/>
                              </w:divBdr>
                              <w:divsChild>
                                <w:div w:id="759565836">
                                  <w:marLeft w:val="0"/>
                                  <w:marRight w:val="0"/>
                                  <w:marTop w:val="0"/>
                                  <w:marBottom w:val="133"/>
                                  <w:divBdr>
                                    <w:top w:val="none" w:sz="0" w:space="0" w:color="auto"/>
                                    <w:left w:val="none" w:sz="0" w:space="0" w:color="auto"/>
                                    <w:bottom w:val="none" w:sz="0" w:space="0" w:color="auto"/>
                                    <w:right w:val="none" w:sz="0" w:space="0" w:color="auto"/>
                                  </w:divBdr>
                                  <w:divsChild>
                                    <w:div w:id="209770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6045589">
      <w:bodyDiv w:val="1"/>
      <w:marLeft w:val="0"/>
      <w:marRight w:val="0"/>
      <w:marTop w:val="0"/>
      <w:marBottom w:val="0"/>
      <w:divBdr>
        <w:top w:val="none" w:sz="0" w:space="0" w:color="auto"/>
        <w:left w:val="none" w:sz="0" w:space="0" w:color="auto"/>
        <w:bottom w:val="none" w:sz="0" w:space="0" w:color="auto"/>
        <w:right w:val="none" w:sz="0" w:space="0" w:color="auto"/>
      </w:divBdr>
    </w:div>
    <w:div w:id="485367911">
      <w:bodyDiv w:val="1"/>
      <w:marLeft w:val="0"/>
      <w:marRight w:val="0"/>
      <w:marTop w:val="0"/>
      <w:marBottom w:val="0"/>
      <w:divBdr>
        <w:top w:val="none" w:sz="0" w:space="0" w:color="auto"/>
        <w:left w:val="none" w:sz="0" w:space="0" w:color="auto"/>
        <w:bottom w:val="none" w:sz="0" w:space="0" w:color="auto"/>
        <w:right w:val="none" w:sz="0" w:space="0" w:color="auto"/>
      </w:divBdr>
    </w:div>
    <w:div w:id="500703562">
      <w:bodyDiv w:val="1"/>
      <w:marLeft w:val="0"/>
      <w:marRight w:val="0"/>
      <w:marTop w:val="0"/>
      <w:marBottom w:val="0"/>
      <w:divBdr>
        <w:top w:val="none" w:sz="0" w:space="0" w:color="auto"/>
        <w:left w:val="none" w:sz="0" w:space="0" w:color="auto"/>
        <w:bottom w:val="none" w:sz="0" w:space="0" w:color="auto"/>
        <w:right w:val="none" w:sz="0" w:space="0" w:color="auto"/>
      </w:divBdr>
    </w:div>
    <w:div w:id="502821650">
      <w:bodyDiv w:val="1"/>
      <w:marLeft w:val="0"/>
      <w:marRight w:val="0"/>
      <w:marTop w:val="0"/>
      <w:marBottom w:val="0"/>
      <w:divBdr>
        <w:top w:val="none" w:sz="0" w:space="0" w:color="auto"/>
        <w:left w:val="none" w:sz="0" w:space="0" w:color="auto"/>
        <w:bottom w:val="none" w:sz="0" w:space="0" w:color="auto"/>
        <w:right w:val="none" w:sz="0" w:space="0" w:color="auto"/>
      </w:divBdr>
    </w:div>
    <w:div w:id="511606774">
      <w:bodyDiv w:val="1"/>
      <w:marLeft w:val="0"/>
      <w:marRight w:val="0"/>
      <w:marTop w:val="0"/>
      <w:marBottom w:val="0"/>
      <w:divBdr>
        <w:top w:val="none" w:sz="0" w:space="0" w:color="auto"/>
        <w:left w:val="none" w:sz="0" w:space="0" w:color="auto"/>
        <w:bottom w:val="none" w:sz="0" w:space="0" w:color="auto"/>
        <w:right w:val="none" w:sz="0" w:space="0" w:color="auto"/>
      </w:divBdr>
    </w:div>
    <w:div w:id="520163498">
      <w:bodyDiv w:val="1"/>
      <w:marLeft w:val="0"/>
      <w:marRight w:val="0"/>
      <w:marTop w:val="0"/>
      <w:marBottom w:val="0"/>
      <w:divBdr>
        <w:top w:val="none" w:sz="0" w:space="0" w:color="auto"/>
        <w:left w:val="none" w:sz="0" w:space="0" w:color="auto"/>
        <w:bottom w:val="none" w:sz="0" w:space="0" w:color="auto"/>
        <w:right w:val="none" w:sz="0" w:space="0" w:color="auto"/>
      </w:divBdr>
    </w:div>
    <w:div w:id="525022587">
      <w:bodyDiv w:val="1"/>
      <w:marLeft w:val="0"/>
      <w:marRight w:val="0"/>
      <w:marTop w:val="0"/>
      <w:marBottom w:val="0"/>
      <w:divBdr>
        <w:top w:val="none" w:sz="0" w:space="0" w:color="auto"/>
        <w:left w:val="none" w:sz="0" w:space="0" w:color="auto"/>
        <w:bottom w:val="none" w:sz="0" w:space="0" w:color="auto"/>
        <w:right w:val="none" w:sz="0" w:space="0" w:color="auto"/>
      </w:divBdr>
    </w:div>
    <w:div w:id="536430408">
      <w:bodyDiv w:val="1"/>
      <w:marLeft w:val="0"/>
      <w:marRight w:val="0"/>
      <w:marTop w:val="0"/>
      <w:marBottom w:val="0"/>
      <w:divBdr>
        <w:top w:val="none" w:sz="0" w:space="0" w:color="auto"/>
        <w:left w:val="none" w:sz="0" w:space="0" w:color="auto"/>
        <w:bottom w:val="none" w:sz="0" w:space="0" w:color="auto"/>
        <w:right w:val="none" w:sz="0" w:space="0" w:color="auto"/>
      </w:divBdr>
    </w:div>
    <w:div w:id="542403621">
      <w:bodyDiv w:val="1"/>
      <w:marLeft w:val="0"/>
      <w:marRight w:val="0"/>
      <w:marTop w:val="0"/>
      <w:marBottom w:val="0"/>
      <w:divBdr>
        <w:top w:val="none" w:sz="0" w:space="0" w:color="auto"/>
        <w:left w:val="none" w:sz="0" w:space="0" w:color="auto"/>
        <w:bottom w:val="none" w:sz="0" w:space="0" w:color="auto"/>
        <w:right w:val="none" w:sz="0" w:space="0" w:color="auto"/>
      </w:divBdr>
    </w:div>
    <w:div w:id="571740146">
      <w:bodyDiv w:val="1"/>
      <w:marLeft w:val="0"/>
      <w:marRight w:val="0"/>
      <w:marTop w:val="0"/>
      <w:marBottom w:val="0"/>
      <w:divBdr>
        <w:top w:val="none" w:sz="0" w:space="0" w:color="auto"/>
        <w:left w:val="none" w:sz="0" w:space="0" w:color="auto"/>
        <w:bottom w:val="none" w:sz="0" w:space="0" w:color="auto"/>
        <w:right w:val="none" w:sz="0" w:space="0" w:color="auto"/>
      </w:divBdr>
      <w:divsChild>
        <w:div w:id="717586248">
          <w:marLeft w:val="0"/>
          <w:marRight w:val="0"/>
          <w:marTop w:val="0"/>
          <w:marBottom w:val="0"/>
          <w:divBdr>
            <w:top w:val="none" w:sz="0" w:space="0" w:color="auto"/>
            <w:left w:val="none" w:sz="0" w:space="0" w:color="auto"/>
            <w:bottom w:val="none" w:sz="0" w:space="0" w:color="auto"/>
            <w:right w:val="none" w:sz="0" w:space="0" w:color="auto"/>
          </w:divBdr>
          <w:divsChild>
            <w:div w:id="152752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685153">
      <w:bodyDiv w:val="1"/>
      <w:marLeft w:val="0"/>
      <w:marRight w:val="0"/>
      <w:marTop w:val="0"/>
      <w:marBottom w:val="0"/>
      <w:divBdr>
        <w:top w:val="none" w:sz="0" w:space="0" w:color="auto"/>
        <w:left w:val="none" w:sz="0" w:space="0" w:color="auto"/>
        <w:bottom w:val="none" w:sz="0" w:space="0" w:color="auto"/>
        <w:right w:val="none" w:sz="0" w:space="0" w:color="auto"/>
      </w:divBdr>
      <w:divsChild>
        <w:div w:id="6139029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7810853">
      <w:bodyDiv w:val="1"/>
      <w:marLeft w:val="0"/>
      <w:marRight w:val="0"/>
      <w:marTop w:val="0"/>
      <w:marBottom w:val="0"/>
      <w:divBdr>
        <w:top w:val="none" w:sz="0" w:space="0" w:color="auto"/>
        <w:left w:val="none" w:sz="0" w:space="0" w:color="auto"/>
        <w:bottom w:val="none" w:sz="0" w:space="0" w:color="auto"/>
        <w:right w:val="none" w:sz="0" w:space="0" w:color="auto"/>
      </w:divBdr>
    </w:div>
    <w:div w:id="619846104">
      <w:bodyDiv w:val="1"/>
      <w:marLeft w:val="0"/>
      <w:marRight w:val="0"/>
      <w:marTop w:val="0"/>
      <w:marBottom w:val="0"/>
      <w:divBdr>
        <w:top w:val="none" w:sz="0" w:space="0" w:color="auto"/>
        <w:left w:val="none" w:sz="0" w:space="0" w:color="auto"/>
        <w:bottom w:val="none" w:sz="0" w:space="0" w:color="auto"/>
        <w:right w:val="none" w:sz="0" w:space="0" w:color="auto"/>
      </w:divBdr>
      <w:divsChild>
        <w:div w:id="11142553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3456627">
      <w:bodyDiv w:val="1"/>
      <w:marLeft w:val="0"/>
      <w:marRight w:val="0"/>
      <w:marTop w:val="0"/>
      <w:marBottom w:val="0"/>
      <w:divBdr>
        <w:top w:val="none" w:sz="0" w:space="0" w:color="auto"/>
        <w:left w:val="none" w:sz="0" w:space="0" w:color="auto"/>
        <w:bottom w:val="none" w:sz="0" w:space="0" w:color="auto"/>
        <w:right w:val="none" w:sz="0" w:space="0" w:color="auto"/>
      </w:divBdr>
    </w:div>
    <w:div w:id="707343200">
      <w:bodyDiv w:val="1"/>
      <w:marLeft w:val="0"/>
      <w:marRight w:val="0"/>
      <w:marTop w:val="0"/>
      <w:marBottom w:val="0"/>
      <w:divBdr>
        <w:top w:val="none" w:sz="0" w:space="0" w:color="auto"/>
        <w:left w:val="none" w:sz="0" w:space="0" w:color="auto"/>
        <w:bottom w:val="none" w:sz="0" w:space="0" w:color="auto"/>
        <w:right w:val="none" w:sz="0" w:space="0" w:color="auto"/>
      </w:divBdr>
    </w:div>
    <w:div w:id="714701984">
      <w:bodyDiv w:val="1"/>
      <w:marLeft w:val="0"/>
      <w:marRight w:val="0"/>
      <w:marTop w:val="0"/>
      <w:marBottom w:val="0"/>
      <w:divBdr>
        <w:top w:val="none" w:sz="0" w:space="0" w:color="auto"/>
        <w:left w:val="none" w:sz="0" w:space="0" w:color="auto"/>
        <w:bottom w:val="none" w:sz="0" w:space="0" w:color="auto"/>
        <w:right w:val="none" w:sz="0" w:space="0" w:color="auto"/>
      </w:divBdr>
    </w:div>
    <w:div w:id="732387652">
      <w:bodyDiv w:val="1"/>
      <w:marLeft w:val="0"/>
      <w:marRight w:val="0"/>
      <w:marTop w:val="0"/>
      <w:marBottom w:val="0"/>
      <w:divBdr>
        <w:top w:val="none" w:sz="0" w:space="0" w:color="auto"/>
        <w:left w:val="none" w:sz="0" w:space="0" w:color="auto"/>
        <w:bottom w:val="none" w:sz="0" w:space="0" w:color="auto"/>
        <w:right w:val="none" w:sz="0" w:space="0" w:color="auto"/>
      </w:divBdr>
    </w:div>
    <w:div w:id="773287929">
      <w:bodyDiv w:val="1"/>
      <w:marLeft w:val="0"/>
      <w:marRight w:val="0"/>
      <w:marTop w:val="0"/>
      <w:marBottom w:val="0"/>
      <w:divBdr>
        <w:top w:val="none" w:sz="0" w:space="0" w:color="auto"/>
        <w:left w:val="none" w:sz="0" w:space="0" w:color="auto"/>
        <w:bottom w:val="none" w:sz="0" w:space="0" w:color="auto"/>
        <w:right w:val="none" w:sz="0" w:space="0" w:color="auto"/>
      </w:divBdr>
    </w:div>
    <w:div w:id="805004994">
      <w:bodyDiv w:val="1"/>
      <w:marLeft w:val="0"/>
      <w:marRight w:val="0"/>
      <w:marTop w:val="0"/>
      <w:marBottom w:val="0"/>
      <w:divBdr>
        <w:top w:val="none" w:sz="0" w:space="0" w:color="auto"/>
        <w:left w:val="none" w:sz="0" w:space="0" w:color="auto"/>
        <w:bottom w:val="none" w:sz="0" w:space="0" w:color="auto"/>
        <w:right w:val="none" w:sz="0" w:space="0" w:color="auto"/>
      </w:divBdr>
    </w:div>
    <w:div w:id="836118116">
      <w:bodyDiv w:val="1"/>
      <w:marLeft w:val="0"/>
      <w:marRight w:val="0"/>
      <w:marTop w:val="0"/>
      <w:marBottom w:val="0"/>
      <w:divBdr>
        <w:top w:val="none" w:sz="0" w:space="0" w:color="auto"/>
        <w:left w:val="none" w:sz="0" w:space="0" w:color="auto"/>
        <w:bottom w:val="none" w:sz="0" w:space="0" w:color="auto"/>
        <w:right w:val="none" w:sz="0" w:space="0" w:color="auto"/>
      </w:divBdr>
      <w:divsChild>
        <w:div w:id="1816333134">
          <w:marLeft w:val="0"/>
          <w:marRight w:val="0"/>
          <w:marTop w:val="0"/>
          <w:marBottom w:val="0"/>
          <w:divBdr>
            <w:top w:val="single" w:sz="2" w:space="0" w:color="CCCCCC"/>
            <w:left w:val="single" w:sz="6" w:space="0" w:color="CCCCCC"/>
            <w:bottom w:val="single" w:sz="6" w:space="0" w:color="CCCCCC"/>
            <w:right w:val="single" w:sz="6" w:space="0" w:color="CCCCCC"/>
          </w:divBdr>
          <w:divsChild>
            <w:div w:id="243033381">
              <w:marLeft w:val="0"/>
              <w:marRight w:val="0"/>
              <w:marTop w:val="0"/>
              <w:marBottom w:val="0"/>
              <w:divBdr>
                <w:top w:val="none" w:sz="0" w:space="0" w:color="auto"/>
                <w:left w:val="none" w:sz="0" w:space="0" w:color="auto"/>
                <w:bottom w:val="none" w:sz="0" w:space="0" w:color="auto"/>
                <w:right w:val="none" w:sz="0" w:space="0" w:color="auto"/>
              </w:divBdr>
              <w:divsChild>
                <w:div w:id="693309435">
                  <w:marLeft w:val="-180"/>
                  <w:marRight w:val="-180"/>
                  <w:marTop w:val="0"/>
                  <w:marBottom w:val="0"/>
                  <w:divBdr>
                    <w:top w:val="none" w:sz="0" w:space="0" w:color="auto"/>
                    <w:left w:val="none" w:sz="0" w:space="0" w:color="auto"/>
                    <w:bottom w:val="none" w:sz="0" w:space="0" w:color="auto"/>
                    <w:right w:val="none" w:sz="0" w:space="0" w:color="auto"/>
                  </w:divBdr>
                  <w:divsChild>
                    <w:div w:id="826286987">
                      <w:marLeft w:val="0"/>
                      <w:marRight w:val="0"/>
                      <w:marTop w:val="0"/>
                      <w:marBottom w:val="0"/>
                      <w:divBdr>
                        <w:top w:val="none" w:sz="0" w:space="0" w:color="auto"/>
                        <w:left w:val="none" w:sz="0" w:space="0" w:color="auto"/>
                        <w:bottom w:val="none" w:sz="0" w:space="0" w:color="auto"/>
                        <w:right w:val="none" w:sz="0" w:space="0" w:color="auto"/>
                      </w:divBdr>
                      <w:divsChild>
                        <w:div w:id="699743034">
                          <w:marLeft w:val="-180"/>
                          <w:marRight w:val="-180"/>
                          <w:marTop w:val="0"/>
                          <w:marBottom w:val="0"/>
                          <w:divBdr>
                            <w:top w:val="none" w:sz="0" w:space="0" w:color="auto"/>
                            <w:left w:val="none" w:sz="0" w:space="0" w:color="auto"/>
                            <w:bottom w:val="none" w:sz="0" w:space="0" w:color="auto"/>
                            <w:right w:val="none" w:sz="0" w:space="0" w:color="auto"/>
                          </w:divBdr>
                          <w:divsChild>
                            <w:div w:id="230701301">
                              <w:marLeft w:val="0"/>
                              <w:marRight w:val="0"/>
                              <w:marTop w:val="0"/>
                              <w:marBottom w:val="0"/>
                              <w:divBdr>
                                <w:top w:val="none" w:sz="0" w:space="0" w:color="auto"/>
                                <w:left w:val="none" w:sz="0" w:space="0" w:color="auto"/>
                                <w:bottom w:val="none" w:sz="0" w:space="0" w:color="auto"/>
                                <w:right w:val="none" w:sz="0" w:space="0" w:color="auto"/>
                              </w:divBdr>
                              <w:divsChild>
                                <w:div w:id="921640175">
                                  <w:marLeft w:val="0"/>
                                  <w:marRight w:val="0"/>
                                  <w:marTop w:val="0"/>
                                  <w:marBottom w:val="0"/>
                                  <w:divBdr>
                                    <w:top w:val="none" w:sz="0" w:space="0" w:color="auto"/>
                                    <w:left w:val="none" w:sz="0" w:space="0" w:color="auto"/>
                                    <w:bottom w:val="none" w:sz="0" w:space="0" w:color="auto"/>
                                    <w:right w:val="none" w:sz="0" w:space="0" w:color="auto"/>
                                  </w:divBdr>
                                  <w:divsChild>
                                    <w:div w:id="382753246">
                                      <w:marLeft w:val="0"/>
                                      <w:marRight w:val="0"/>
                                      <w:marTop w:val="0"/>
                                      <w:marBottom w:val="0"/>
                                      <w:divBdr>
                                        <w:top w:val="none" w:sz="0" w:space="0" w:color="auto"/>
                                        <w:left w:val="none" w:sz="0" w:space="0" w:color="auto"/>
                                        <w:bottom w:val="none" w:sz="0" w:space="0" w:color="auto"/>
                                        <w:right w:val="none" w:sz="0" w:space="0" w:color="auto"/>
                                      </w:divBdr>
                                      <w:divsChild>
                                        <w:div w:id="383716176">
                                          <w:marLeft w:val="0"/>
                                          <w:marRight w:val="0"/>
                                          <w:marTop w:val="0"/>
                                          <w:marBottom w:val="0"/>
                                          <w:divBdr>
                                            <w:top w:val="none" w:sz="0" w:space="0" w:color="auto"/>
                                            <w:left w:val="none" w:sz="0" w:space="0" w:color="auto"/>
                                            <w:bottom w:val="none" w:sz="0" w:space="0" w:color="auto"/>
                                            <w:right w:val="none" w:sz="0" w:space="0" w:color="auto"/>
                                          </w:divBdr>
                                          <w:divsChild>
                                            <w:div w:id="1240797192">
                                              <w:marLeft w:val="0"/>
                                              <w:marRight w:val="0"/>
                                              <w:marTop w:val="0"/>
                                              <w:marBottom w:val="0"/>
                                              <w:divBdr>
                                                <w:top w:val="none" w:sz="0" w:space="0" w:color="auto"/>
                                                <w:left w:val="none" w:sz="0" w:space="0" w:color="auto"/>
                                                <w:bottom w:val="none" w:sz="0" w:space="0" w:color="auto"/>
                                                <w:right w:val="none" w:sz="0" w:space="0" w:color="auto"/>
                                              </w:divBdr>
                                              <w:divsChild>
                                                <w:div w:id="1932661072">
                                                  <w:marLeft w:val="0"/>
                                                  <w:marRight w:val="0"/>
                                                  <w:marTop w:val="0"/>
                                                  <w:marBottom w:val="0"/>
                                                  <w:divBdr>
                                                    <w:top w:val="none" w:sz="0" w:space="0" w:color="auto"/>
                                                    <w:left w:val="none" w:sz="0" w:space="0" w:color="auto"/>
                                                    <w:bottom w:val="none" w:sz="0" w:space="0" w:color="auto"/>
                                                    <w:right w:val="none" w:sz="0" w:space="0" w:color="auto"/>
                                                  </w:divBdr>
                                                  <w:divsChild>
                                                    <w:div w:id="1928880898">
                                                      <w:marLeft w:val="0"/>
                                                      <w:marRight w:val="0"/>
                                                      <w:marTop w:val="0"/>
                                                      <w:marBottom w:val="0"/>
                                                      <w:divBdr>
                                                        <w:top w:val="none" w:sz="0" w:space="0" w:color="auto"/>
                                                        <w:left w:val="none" w:sz="0" w:space="0" w:color="auto"/>
                                                        <w:bottom w:val="none" w:sz="0" w:space="0" w:color="auto"/>
                                                        <w:right w:val="none" w:sz="0" w:space="0" w:color="auto"/>
                                                      </w:divBdr>
                                                      <w:divsChild>
                                                        <w:div w:id="623077403">
                                                          <w:marLeft w:val="-180"/>
                                                          <w:marRight w:val="-180"/>
                                                          <w:marTop w:val="0"/>
                                                          <w:marBottom w:val="0"/>
                                                          <w:divBdr>
                                                            <w:top w:val="none" w:sz="0" w:space="0" w:color="auto"/>
                                                            <w:left w:val="none" w:sz="0" w:space="0" w:color="auto"/>
                                                            <w:bottom w:val="none" w:sz="0" w:space="0" w:color="auto"/>
                                                            <w:right w:val="none" w:sz="0" w:space="0" w:color="auto"/>
                                                          </w:divBdr>
                                                          <w:divsChild>
                                                            <w:div w:id="442504384">
                                                              <w:marLeft w:val="0"/>
                                                              <w:marRight w:val="0"/>
                                                              <w:marTop w:val="0"/>
                                                              <w:marBottom w:val="0"/>
                                                              <w:divBdr>
                                                                <w:top w:val="none" w:sz="0" w:space="0" w:color="auto"/>
                                                                <w:left w:val="none" w:sz="0" w:space="0" w:color="auto"/>
                                                                <w:bottom w:val="none" w:sz="0" w:space="0" w:color="auto"/>
                                                                <w:right w:val="none" w:sz="0" w:space="0" w:color="auto"/>
                                                              </w:divBdr>
                                                              <w:divsChild>
                                                                <w:div w:id="14696957">
                                                                  <w:marLeft w:val="0"/>
                                                                  <w:marRight w:val="0"/>
                                                                  <w:marTop w:val="0"/>
                                                                  <w:marBottom w:val="0"/>
                                                                  <w:divBdr>
                                                                    <w:top w:val="none" w:sz="0" w:space="0" w:color="auto"/>
                                                                    <w:left w:val="none" w:sz="0" w:space="0" w:color="auto"/>
                                                                    <w:bottom w:val="none" w:sz="0" w:space="0" w:color="auto"/>
                                                                    <w:right w:val="none" w:sz="0" w:space="0" w:color="auto"/>
                                                                  </w:divBdr>
                                                                  <w:divsChild>
                                                                    <w:div w:id="1590653096">
                                                                      <w:marLeft w:val="0"/>
                                                                      <w:marRight w:val="0"/>
                                                                      <w:marTop w:val="0"/>
                                                                      <w:marBottom w:val="0"/>
                                                                      <w:divBdr>
                                                                        <w:top w:val="none" w:sz="0" w:space="0" w:color="auto"/>
                                                                        <w:left w:val="none" w:sz="0" w:space="0" w:color="auto"/>
                                                                        <w:bottom w:val="none" w:sz="0" w:space="0" w:color="auto"/>
                                                                        <w:right w:val="none" w:sz="0" w:space="0" w:color="auto"/>
                                                                      </w:divBdr>
                                                                      <w:divsChild>
                                                                        <w:div w:id="106325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2576547">
      <w:bodyDiv w:val="1"/>
      <w:marLeft w:val="0"/>
      <w:marRight w:val="0"/>
      <w:marTop w:val="0"/>
      <w:marBottom w:val="0"/>
      <w:divBdr>
        <w:top w:val="none" w:sz="0" w:space="0" w:color="auto"/>
        <w:left w:val="none" w:sz="0" w:space="0" w:color="auto"/>
        <w:bottom w:val="none" w:sz="0" w:space="0" w:color="auto"/>
        <w:right w:val="none" w:sz="0" w:space="0" w:color="auto"/>
      </w:divBdr>
    </w:div>
    <w:div w:id="857163708">
      <w:bodyDiv w:val="1"/>
      <w:marLeft w:val="0"/>
      <w:marRight w:val="0"/>
      <w:marTop w:val="0"/>
      <w:marBottom w:val="0"/>
      <w:divBdr>
        <w:top w:val="none" w:sz="0" w:space="0" w:color="auto"/>
        <w:left w:val="none" w:sz="0" w:space="0" w:color="auto"/>
        <w:bottom w:val="none" w:sz="0" w:space="0" w:color="auto"/>
        <w:right w:val="none" w:sz="0" w:space="0" w:color="auto"/>
      </w:divBdr>
      <w:divsChild>
        <w:div w:id="384569576">
          <w:marLeft w:val="0"/>
          <w:marRight w:val="0"/>
          <w:marTop w:val="0"/>
          <w:marBottom w:val="0"/>
          <w:divBdr>
            <w:top w:val="none" w:sz="0" w:space="0" w:color="auto"/>
            <w:left w:val="none" w:sz="0" w:space="0" w:color="auto"/>
            <w:bottom w:val="none" w:sz="0" w:space="0" w:color="auto"/>
            <w:right w:val="none" w:sz="0" w:space="0" w:color="auto"/>
          </w:divBdr>
          <w:divsChild>
            <w:div w:id="1145314700">
              <w:marLeft w:val="0"/>
              <w:marRight w:val="0"/>
              <w:marTop w:val="0"/>
              <w:marBottom w:val="0"/>
              <w:divBdr>
                <w:top w:val="none" w:sz="0" w:space="0" w:color="auto"/>
                <w:left w:val="none" w:sz="0" w:space="0" w:color="auto"/>
                <w:bottom w:val="none" w:sz="0" w:space="0" w:color="auto"/>
                <w:right w:val="none" w:sz="0" w:space="0" w:color="auto"/>
              </w:divBdr>
              <w:divsChild>
                <w:div w:id="603004632">
                  <w:marLeft w:val="0"/>
                  <w:marRight w:val="0"/>
                  <w:marTop w:val="0"/>
                  <w:marBottom w:val="0"/>
                  <w:divBdr>
                    <w:top w:val="none" w:sz="0" w:space="0" w:color="auto"/>
                    <w:left w:val="none" w:sz="0" w:space="0" w:color="auto"/>
                    <w:bottom w:val="none" w:sz="0" w:space="0" w:color="auto"/>
                    <w:right w:val="none" w:sz="0" w:space="0" w:color="auto"/>
                  </w:divBdr>
                  <w:divsChild>
                    <w:div w:id="1084837614">
                      <w:marLeft w:val="0"/>
                      <w:marRight w:val="0"/>
                      <w:marTop w:val="0"/>
                      <w:marBottom w:val="0"/>
                      <w:divBdr>
                        <w:top w:val="none" w:sz="0" w:space="0" w:color="auto"/>
                        <w:left w:val="none" w:sz="0" w:space="0" w:color="auto"/>
                        <w:bottom w:val="none" w:sz="0" w:space="0" w:color="auto"/>
                        <w:right w:val="none" w:sz="0" w:space="0" w:color="auto"/>
                      </w:divBdr>
                      <w:divsChild>
                        <w:div w:id="1277252659">
                          <w:marLeft w:val="0"/>
                          <w:marRight w:val="0"/>
                          <w:marTop w:val="0"/>
                          <w:marBottom w:val="0"/>
                          <w:divBdr>
                            <w:top w:val="none" w:sz="0" w:space="0" w:color="auto"/>
                            <w:left w:val="none" w:sz="0" w:space="0" w:color="auto"/>
                            <w:bottom w:val="none" w:sz="0" w:space="0" w:color="auto"/>
                            <w:right w:val="none" w:sz="0" w:space="0" w:color="auto"/>
                          </w:divBdr>
                          <w:divsChild>
                            <w:div w:id="1596985510">
                              <w:marLeft w:val="-225"/>
                              <w:marRight w:val="-225"/>
                              <w:marTop w:val="0"/>
                              <w:marBottom w:val="0"/>
                              <w:divBdr>
                                <w:top w:val="none" w:sz="0" w:space="0" w:color="auto"/>
                                <w:left w:val="none" w:sz="0" w:space="0" w:color="auto"/>
                                <w:bottom w:val="none" w:sz="0" w:space="0" w:color="auto"/>
                                <w:right w:val="none" w:sz="0" w:space="0" w:color="auto"/>
                              </w:divBdr>
                              <w:divsChild>
                                <w:div w:id="267006942">
                                  <w:marLeft w:val="0"/>
                                  <w:marRight w:val="0"/>
                                  <w:marTop w:val="0"/>
                                  <w:marBottom w:val="133"/>
                                  <w:divBdr>
                                    <w:top w:val="none" w:sz="0" w:space="0" w:color="auto"/>
                                    <w:left w:val="none" w:sz="0" w:space="0" w:color="auto"/>
                                    <w:bottom w:val="none" w:sz="0" w:space="0" w:color="auto"/>
                                    <w:right w:val="none" w:sz="0" w:space="0" w:color="auto"/>
                                  </w:divBdr>
                                  <w:divsChild>
                                    <w:div w:id="30232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3175261">
      <w:bodyDiv w:val="1"/>
      <w:marLeft w:val="0"/>
      <w:marRight w:val="0"/>
      <w:marTop w:val="0"/>
      <w:marBottom w:val="0"/>
      <w:divBdr>
        <w:top w:val="none" w:sz="0" w:space="0" w:color="auto"/>
        <w:left w:val="none" w:sz="0" w:space="0" w:color="auto"/>
        <w:bottom w:val="none" w:sz="0" w:space="0" w:color="auto"/>
        <w:right w:val="none" w:sz="0" w:space="0" w:color="auto"/>
      </w:divBdr>
      <w:divsChild>
        <w:div w:id="303899439">
          <w:marLeft w:val="0"/>
          <w:marRight w:val="0"/>
          <w:marTop w:val="0"/>
          <w:marBottom w:val="0"/>
          <w:divBdr>
            <w:top w:val="none" w:sz="0" w:space="0" w:color="auto"/>
            <w:left w:val="none" w:sz="0" w:space="0" w:color="auto"/>
            <w:bottom w:val="none" w:sz="0" w:space="0" w:color="auto"/>
            <w:right w:val="none" w:sz="0" w:space="0" w:color="auto"/>
          </w:divBdr>
        </w:div>
        <w:div w:id="701439095">
          <w:marLeft w:val="0"/>
          <w:marRight w:val="0"/>
          <w:marTop w:val="0"/>
          <w:marBottom w:val="0"/>
          <w:divBdr>
            <w:top w:val="none" w:sz="0" w:space="0" w:color="auto"/>
            <w:left w:val="none" w:sz="0" w:space="0" w:color="auto"/>
            <w:bottom w:val="none" w:sz="0" w:space="0" w:color="auto"/>
            <w:right w:val="none" w:sz="0" w:space="0" w:color="auto"/>
          </w:divBdr>
        </w:div>
        <w:div w:id="1441416683">
          <w:marLeft w:val="0"/>
          <w:marRight w:val="0"/>
          <w:marTop w:val="0"/>
          <w:marBottom w:val="0"/>
          <w:divBdr>
            <w:top w:val="none" w:sz="0" w:space="0" w:color="auto"/>
            <w:left w:val="none" w:sz="0" w:space="0" w:color="auto"/>
            <w:bottom w:val="none" w:sz="0" w:space="0" w:color="auto"/>
            <w:right w:val="none" w:sz="0" w:space="0" w:color="auto"/>
          </w:divBdr>
        </w:div>
        <w:div w:id="1603300060">
          <w:marLeft w:val="0"/>
          <w:marRight w:val="0"/>
          <w:marTop w:val="0"/>
          <w:marBottom w:val="0"/>
          <w:divBdr>
            <w:top w:val="none" w:sz="0" w:space="0" w:color="auto"/>
            <w:left w:val="none" w:sz="0" w:space="0" w:color="auto"/>
            <w:bottom w:val="none" w:sz="0" w:space="0" w:color="auto"/>
            <w:right w:val="none" w:sz="0" w:space="0" w:color="auto"/>
          </w:divBdr>
        </w:div>
        <w:div w:id="1743327301">
          <w:marLeft w:val="0"/>
          <w:marRight w:val="0"/>
          <w:marTop w:val="0"/>
          <w:marBottom w:val="0"/>
          <w:divBdr>
            <w:top w:val="none" w:sz="0" w:space="0" w:color="auto"/>
            <w:left w:val="none" w:sz="0" w:space="0" w:color="auto"/>
            <w:bottom w:val="none" w:sz="0" w:space="0" w:color="auto"/>
            <w:right w:val="none" w:sz="0" w:space="0" w:color="auto"/>
          </w:divBdr>
        </w:div>
      </w:divsChild>
    </w:div>
    <w:div w:id="922907523">
      <w:bodyDiv w:val="1"/>
      <w:marLeft w:val="0"/>
      <w:marRight w:val="0"/>
      <w:marTop w:val="0"/>
      <w:marBottom w:val="0"/>
      <w:divBdr>
        <w:top w:val="none" w:sz="0" w:space="0" w:color="auto"/>
        <w:left w:val="none" w:sz="0" w:space="0" w:color="auto"/>
        <w:bottom w:val="none" w:sz="0" w:space="0" w:color="auto"/>
        <w:right w:val="none" w:sz="0" w:space="0" w:color="auto"/>
      </w:divBdr>
    </w:div>
    <w:div w:id="928268341">
      <w:bodyDiv w:val="1"/>
      <w:marLeft w:val="0"/>
      <w:marRight w:val="0"/>
      <w:marTop w:val="0"/>
      <w:marBottom w:val="0"/>
      <w:divBdr>
        <w:top w:val="none" w:sz="0" w:space="0" w:color="auto"/>
        <w:left w:val="none" w:sz="0" w:space="0" w:color="auto"/>
        <w:bottom w:val="none" w:sz="0" w:space="0" w:color="auto"/>
        <w:right w:val="none" w:sz="0" w:space="0" w:color="auto"/>
      </w:divBdr>
    </w:div>
    <w:div w:id="944770525">
      <w:bodyDiv w:val="1"/>
      <w:marLeft w:val="0"/>
      <w:marRight w:val="0"/>
      <w:marTop w:val="0"/>
      <w:marBottom w:val="0"/>
      <w:divBdr>
        <w:top w:val="none" w:sz="0" w:space="0" w:color="auto"/>
        <w:left w:val="none" w:sz="0" w:space="0" w:color="auto"/>
        <w:bottom w:val="none" w:sz="0" w:space="0" w:color="auto"/>
        <w:right w:val="none" w:sz="0" w:space="0" w:color="auto"/>
      </w:divBdr>
    </w:div>
    <w:div w:id="946235517">
      <w:bodyDiv w:val="1"/>
      <w:marLeft w:val="0"/>
      <w:marRight w:val="0"/>
      <w:marTop w:val="0"/>
      <w:marBottom w:val="0"/>
      <w:divBdr>
        <w:top w:val="none" w:sz="0" w:space="0" w:color="auto"/>
        <w:left w:val="none" w:sz="0" w:space="0" w:color="auto"/>
        <w:bottom w:val="none" w:sz="0" w:space="0" w:color="auto"/>
        <w:right w:val="none" w:sz="0" w:space="0" w:color="auto"/>
      </w:divBdr>
    </w:div>
    <w:div w:id="956374190">
      <w:bodyDiv w:val="1"/>
      <w:marLeft w:val="0"/>
      <w:marRight w:val="0"/>
      <w:marTop w:val="0"/>
      <w:marBottom w:val="0"/>
      <w:divBdr>
        <w:top w:val="none" w:sz="0" w:space="0" w:color="auto"/>
        <w:left w:val="none" w:sz="0" w:space="0" w:color="auto"/>
        <w:bottom w:val="none" w:sz="0" w:space="0" w:color="auto"/>
        <w:right w:val="none" w:sz="0" w:space="0" w:color="auto"/>
      </w:divBdr>
    </w:div>
    <w:div w:id="956910310">
      <w:bodyDiv w:val="1"/>
      <w:marLeft w:val="0"/>
      <w:marRight w:val="0"/>
      <w:marTop w:val="0"/>
      <w:marBottom w:val="0"/>
      <w:divBdr>
        <w:top w:val="none" w:sz="0" w:space="0" w:color="auto"/>
        <w:left w:val="none" w:sz="0" w:space="0" w:color="auto"/>
        <w:bottom w:val="none" w:sz="0" w:space="0" w:color="auto"/>
        <w:right w:val="none" w:sz="0" w:space="0" w:color="auto"/>
      </w:divBdr>
    </w:div>
    <w:div w:id="963928851">
      <w:bodyDiv w:val="1"/>
      <w:marLeft w:val="0"/>
      <w:marRight w:val="0"/>
      <w:marTop w:val="0"/>
      <w:marBottom w:val="0"/>
      <w:divBdr>
        <w:top w:val="none" w:sz="0" w:space="0" w:color="auto"/>
        <w:left w:val="none" w:sz="0" w:space="0" w:color="auto"/>
        <w:bottom w:val="none" w:sz="0" w:space="0" w:color="auto"/>
        <w:right w:val="none" w:sz="0" w:space="0" w:color="auto"/>
      </w:divBdr>
    </w:div>
    <w:div w:id="968630805">
      <w:bodyDiv w:val="1"/>
      <w:marLeft w:val="0"/>
      <w:marRight w:val="0"/>
      <w:marTop w:val="0"/>
      <w:marBottom w:val="0"/>
      <w:divBdr>
        <w:top w:val="none" w:sz="0" w:space="0" w:color="auto"/>
        <w:left w:val="none" w:sz="0" w:space="0" w:color="auto"/>
        <w:bottom w:val="none" w:sz="0" w:space="0" w:color="auto"/>
        <w:right w:val="none" w:sz="0" w:space="0" w:color="auto"/>
      </w:divBdr>
    </w:div>
    <w:div w:id="986012970">
      <w:bodyDiv w:val="1"/>
      <w:marLeft w:val="0"/>
      <w:marRight w:val="0"/>
      <w:marTop w:val="0"/>
      <w:marBottom w:val="0"/>
      <w:divBdr>
        <w:top w:val="none" w:sz="0" w:space="0" w:color="auto"/>
        <w:left w:val="none" w:sz="0" w:space="0" w:color="auto"/>
        <w:bottom w:val="none" w:sz="0" w:space="0" w:color="auto"/>
        <w:right w:val="none" w:sz="0" w:space="0" w:color="auto"/>
      </w:divBdr>
    </w:div>
    <w:div w:id="1034117773">
      <w:bodyDiv w:val="1"/>
      <w:marLeft w:val="0"/>
      <w:marRight w:val="0"/>
      <w:marTop w:val="0"/>
      <w:marBottom w:val="0"/>
      <w:divBdr>
        <w:top w:val="none" w:sz="0" w:space="0" w:color="auto"/>
        <w:left w:val="none" w:sz="0" w:space="0" w:color="auto"/>
        <w:bottom w:val="none" w:sz="0" w:space="0" w:color="auto"/>
        <w:right w:val="none" w:sz="0" w:space="0" w:color="auto"/>
      </w:divBdr>
    </w:div>
    <w:div w:id="1035354747">
      <w:bodyDiv w:val="1"/>
      <w:marLeft w:val="0"/>
      <w:marRight w:val="0"/>
      <w:marTop w:val="0"/>
      <w:marBottom w:val="0"/>
      <w:divBdr>
        <w:top w:val="none" w:sz="0" w:space="0" w:color="auto"/>
        <w:left w:val="none" w:sz="0" w:space="0" w:color="auto"/>
        <w:bottom w:val="none" w:sz="0" w:space="0" w:color="auto"/>
        <w:right w:val="none" w:sz="0" w:space="0" w:color="auto"/>
      </w:divBdr>
    </w:div>
    <w:div w:id="1037707069">
      <w:bodyDiv w:val="1"/>
      <w:marLeft w:val="0"/>
      <w:marRight w:val="0"/>
      <w:marTop w:val="0"/>
      <w:marBottom w:val="0"/>
      <w:divBdr>
        <w:top w:val="none" w:sz="0" w:space="0" w:color="auto"/>
        <w:left w:val="none" w:sz="0" w:space="0" w:color="auto"/>
        <w:bottom w:val="none" w:sz="0" w:space="0" w:color="auto"/>
        <w:right w:val="none" w:sz="0" w:space="0" w:color="auto"/>
      </w:divBdr>
    </w:div>
    <w:div w:id="1053848113">
      <w:bodyDiv w:val="1"/>
      <w:marLeft w:val="0"/>
      <w:marRight w:val="0"/>
      <w:marTop w:val="0"/>
      <w:marBottom w:val="0"/>
      <w:divBdr>
        <w:top w:val="none" w:sz="0" w:space="0" w:color="auto"/>
        <w:left w:val="none" w:sz="0" w:space="0" w:color="auto"/>
        <w:bottom w:val="none" w:sz="0" w:space="0" w:color="auto"/>
        <w:right w:val="none" w:sz="0" w:space="0" w:color="auto"/>
      </w:divBdr>
    </w:div>
    <w:div w:id="1062874348">
      <w:bodyDiv w:val="1"/>
      <w:marLeft w:val="0"/>
      <w:marRight w:val="0"/>
      <w:marTop w:val="0"/>
      <w:marBottom w:val="0"/>
      <w:divBdr>
        <w:top w:val="none" w:sz="0" w:space="0" w:color="auto"/>
        <w:left w:val="none" w:sz="0" w:space="0" w:color="auto"/>
        <w:bottom w:val="none" w:sz="0" w:space="0" w:color="auto"/>
        <w:right w:val="none" w:sz="0" w:space="0" w:color="auto"/>
      </w:divBdr>
    </w:div>
    <w:div w:id="1089471907">
      <w:bodyDiv w:val="1"/>
      <w:marLeft w:val="0"/>
      <w:marRight w:val="0"/>
      <w:marTop w:val="0"/>
      <w:marBottom w:val="0"/>
      <w:divBdr>
        <w:top w:val="none" w:sz="0" w:space="0" w:color="auto"/>
        <w:left w:val="none" w:sz="0" w:space="0" w:color="auto"/>
        <w:bottom w:val="none" w:sz="0" w:space="0" w:color="auto"/>
        <w:right w:val="none" w:sz="0" w:space="0" w:color="auto"/>
      </w:divBdr>
    </w:div>
    <w:div w:id="1115906899">
      <w:bodyDiv w:val="1"/>
      <w:marLeft w:val="0"/>
      <w:marRight w:val="0"/>
      <w:marTop w:val="0"/>
      <w:marBottom w:val="0"/>
      <w:divBdr>
        <w:top w:val="none" w:sz="0" w:space="0" w:color="auto"/>
        <w:left w:val="none" w:sz="0" w:space="0" w:color="auto"/>
        <w:bottom w:val="none" w:sz="0" w:space="0" w:color="auto"/>
        <w:right w:val="none" w:sz="0" w:space="0" w:color="auto"/>
      </w:divBdr>
    </w:div>
    <w:div w:id="1143228947">
      <w:bodyDiv w:val="1"/>
      <w:marLeft w:val="0"/>
      <w:marRight w:val="0"/>
      <w:marTop w:val="0"/>
      <w:marBottom w:val="0"/>
      <w:divBdr>
        <w:top w:val="none" w:sz="0" w:space="0" w:color="auto"/>
        <w:left w:val="none" w:sz="0" w:space="0" w:color="auto"/>
        <w:bottom w:val="none" w:sz="0" w:space="0" w:color="auto"/>
        <w:right w:val="none" w:sz="0" w:space="0" w:color="auto"/>
      </w:divBdr>
    </w:div>
    <w:div w:id="1152714501">
      <w:bodyDiv w:val="1"/>
      <w:marLeft w:val="0"/>
      <w:marRight w:val="0"/>
      <w:marTop w:val="0"/>
      <w:marBottom w:val="0"/>
      <w:divBdr>
        <w:top w:val="none" w:sz="0" w:space="0" w:color="auto"/>
        <w:left w:val="none" w:sz="0" w:space="0" w:color="auto"/>
        <w:bottom w:val="none" w:sz="0" w:space="0" w:color="auto"/>
        <w:right w:val="none" w:sz="0" w:space="0" w:color="auto"/>
      </w:divBdr>
    </w:div>
    <w:div w:id="1165128996">
      <w:bodyDiv w:val="1"/>
      <w:marLeft w:val="0"/>
      <w:marRight w:val="0"/>
      <w:marTop w:val="0"/>
      <w:marBottom w:val="0"/>
      <w:divBdr>
        <w:top w:val="none" w:sz="0" w:space="0" w:color="auto"/>
        <w:left w:val="none" w:sz="0" w:space="0" w:color="auto"/>
        <w:bottom w:val="none" w:sz="0" w:space="0" w:color="auto"/>
        <w:right w:val="none" w:sz="0" w:space="0" w:color="auto"/>
      </w:divBdr>
      <w:divsChild>
        <w:div w:id="747119650">
          <w:marLeft w:val="0"/>
          <w:marRight w:val="0"/>
          <w:marTop w:val="0"/>
          <w:marBottom w:val="0"/>
          <w:divBdr>
            <w:top w:val="none" w:sz="0" w:space="0" w:color="auto"/>
            <w:left w:val="none" w:sz="0" w:space="0" w:color="auto"/>
            <w:bottom w:val="none" w:sz="0" w:space="0" w:color="auto"/>
            <w:right w:val="none" w:sz="0" w:space="0" w:color="auto"/>
          </w:divBdr>
          <w:divsChild>
            <w:div w:id="29321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027898">
      <w:bodyDiv w:val="1"/>
      <w:marLeft w:val="0"/>
      <w:marRight w:val="0"/>
      <w:marTop w:val="0"/>
      <w:marBottom w:val="0"/>
      <w:divBdr>
        <w:top w:val="none" w:sz="0" w:space="0" w:color="auto"/>
        <w:left w:val="none" w:sz="0" w:space="0" w:color="auto"/>
        <w:bottom w:val="none" w:sz="0" w:space="0" w:color="auto"/>
        <w:right w:val="none" w:sz="0" w:space="0" w:color="auto"/>
      </w:divBdr>
    </w:div>
    <w:div w:id="1174496443">
      <w:bodyDiv w:val="1"/>
      <w:marLeft w:val="0"/>
      <w:marRight w:val="0"/>
      <w:marTop w:val="0"/>
      <w:marBottom w:val="0"/>
      <w:divBdr>
        <w:top w:val="none" w:sz="0" w:space="0" w:color="auto"/>
        <w:left w:val="none" w:sz="0" w:space="0" w:color="auto"/>
        <w:bottom w:val="none" w:sz="0" w:space="0" w:color="auto"/>
        <w:right w:val="none" w:sz="0" w:space="0" w:color="auto"/>
      </w:divBdr>
    </w:div>
    <w:div w:id="1175148365">
      <w:bodyDiv w:val="1"/>
      <w:marLeft w:val="0"/>
      <w:marRight w:val="0"/>
      <w:marTop w:val="0"/>
      <w:marBottom w:val="0"/>
      <w:divBdr>
        <w:top w:val="none" w:sz="0" w:space="0" w:color="auto"/>
        <w:left w:val="none" w:sz="0" w:space="0" w:color="auto"/>
        <w:bottom w:val="none" w:sz="0" w:space="0" w:color="auto"/>
        <w:right w:val="none" w:sz="0" w:space="0" w:color="auto"/>
      </w:divBdr>
    </w:div>
    <w:div w:id="1202474947">
      <w:bodyDiv w:val="1"/>
      <w:marLeft w:val="0"/>
      <w:marRight w:val="0"/>
      <w:marTop w:val="0"/>
      <w:marBottom w:val="0"/>
      <w:divBdr>
        <w:top w:val="none" w:sz="0" w:space="0" w:color="auto"/>
        <w:left w:val="none" w:sz="0" w:space="0" w:color="auto"/>
        <w:bottom w:val="none" w:sz="0" w:space="0" w:color="auto"/>
        <w:right w:val="none" w:sz="0" w:space="0" w:color="auto"/>
      </w:divBdr>
    </w:div>
    <w:div w:id="1236555188">
      <w:bodyDiv w:val="1"/>
      <w:marLeft w:val="0"/>
      <w:marRight w:val="0"/>
      <w:marTop w:val="0"/>
      <w:marBottom w:val="0"/>
      <w:divBdr>
        <w:top w:val="none" w:sz="0" w:space="0" w:color="auto"/>
        <w:left w:val="none" w:sz="0" w:space="0" w:color="auto"/>
        <w:bottom w:val="none" w:sz="0" w:space="0" w:color="auto"/>
        <w:right w:val="none" w:sz="0" w:space="0" w:color="auto"/>
      </w:divBdr>
    </w:div>
    <w:div w:id="1288123358">
      <w:bodyDiv w:val="1"/>
      <w:marLeft w:val="0"/>
      <w:marRight w:val="0"/>
      <w:marTop w:val="0"/>
      <w:marBottom w:val="0"/>
      <w:divBdr>
        <w:top w:val="none" w:sz="0" w:space="0" w:color="auto"/>
        <w:left w:val="none" w:sz="0" w:space="0" w:color="auto"/>
        <w:bottom w:val="none" w:sz="0" w:space="0" w:color="auto"/>
        <w:right w:val="none" w:sz="0" w:space="0" w:color="auto"/>
      </w:divBdr>
    </w:div>
    <w:div w:id="1297103018">
      <w:bodyDiv w:val="1"/>
      <w:marLeft w:val="0"/>
      <w:marRight w:val="0"/>
      <w:marTop w:val="0"/>
      <w:marBottom w:val="0"/>
      <w:divBdr>
        <w:top w:val="none" w:sz="0" w:space="0" w:color="auto"/>
        <w:left w:val="none" w:sz="0" w:space="0" w:color="auto"/>
        <w:bottom w:val="none" w:sz="0" w:space="0" w:color="auto"/>
        <w:right w:val="none" w:sz="0" w:space="0" w:color="auto"/>
      </w:divBdr>
    </w:div>
    <w:div w:id="1304235338">
      <w:bodyDiv w:val="1"/>
      <w:marLeft w:val="0"/>
      <w:marRight w:val="0"/>
      <w:marTop w:val="0"/>
      <w:marBottom w:val="0"/>
      <w:divBdr>
        <w:top w:val="none" w:sz="0" w:space="0" w:color="auto"/>
        <w:left w:val="none" w:sz="0" w:space="0" w:color="auto"/>
        <w:bottom w:val="none" w:sz="0" w:space="0" w:color="auto"/>
        <w:right w:val="none" w:sz="0" w:space="0" w:color="auto"/>
      </w:divBdr>
    </w:div>
    <w:div w:id="1339819049">
      <w:bodyDiv w:val="1"/>
      <w:marLeft w:val="0"/>
      <w:marRight w:val="0"/>
      <w:marTop w:val="0"/>
      <w:marBottom w:val="0"/>
      <w:divBdr>
        <w:top w:val="none" w:sz="0" w:space="0" w:color="auto"/>
        <w:left w:val="none" w:sz="0" w:space="0" w:color="auto"/>
        <w:bottom w:val="none" w:sz="0" w:space="0" w:color="auto"/>
        <w:right w:val="none" w:sz="0" w:space="0" w:color="auto"/>
      </w:divBdr>
    </w:div>
    <w:div w:id="1357733554">
      <w:bodyDiv w:val="1"/>
      <w:marLeft w:val="0"/>
      <w:marRight w:val="0"/>
      <w:marTop w:val="0"/>
      <w:marBottom w:val="0"/>
      <w:divBdr>
        <w:top w:val="none" w:sz="0" w:space="0" w:color="auto"/>
        <w:left w:val="none" w:sz="0" w:space="0" w:color="auto"/>
        <w:bottom w:val="none" w:sz="0" w:space="0" w:color="auto"/>
        <w:right w:val="none" w:sz="0" w:space="0" w:color="auto"/>
      </w:divBdr>
    </w:div>
    <w:div w:id="1362894796">
      <w:bodyDiv w:val="1"/>
      <w:marLeft w:val="0"/>
      <w:marRight w:val="0"/>
      <w:marTop w:val="0"/>
      <w:marBottom w:val="0"/>
      <w:divBdr>
        <w:top w:val="none" w:sz="0" w:space="0" w:color="auto"/>
        <w:left w:val="none" w:sz="0" w:space="0" w:color="auto"/>
        <w:bottom w:val="none" w:sz="0" w:space="0" w:color="auto"/>
        <w:right w:val="none" w:sz="0" w:space="0" w:color="auto"/>
      </w:divBdr>
    </w:div>
    <w:div w:id="1368946028">
      <w:bodyDiv w:val="1"/>
      <w:marLeft w:val="0"/>
      <w:marRight w:val="0"/>
      <w:marTop w:val="0"/>
      <w:marBottom w:val="0"/>
      <w:divBdr>
        <w:top w:val="none" w:sz="0" w:space="0" w:color="auto"/>
        <w:left w:val="none" w:sz="0" w:space="0" w:color="auto"/>
        <w:bottom w:val="none" w:sz="0" w:space="0" w:color="auto"/>
        <w:right w:val="none" w:sz="0" w:space="0" w:color="auto"/>
      </w:divBdr>
    </w:div>
    <w:div w:id="1422096702">
      <w:bodyDiv w:val="1"/>
      <w:marLeft w:val="0"/>
      <w:marRight w:val="0"/>
      <w:marTop w:val="0"/>
      <w:marBottom w:val="0"/>
      <w:divBdr>
        <w:top w:val="none" w:sz="0" w:space="0" w:color="auto"/>
        <w:left w:val="none" w:sz="0" w:space="0" w:color="auto"/>
        <w:bottom w:val="none" w:sz="0" w:space="0" w:color="auto"/>
        <w:right w:val="none" w:sz="0" w:space="0" w:color="auto"/>
      </w:divBdr>
    </w:div>
    <w:div w:id="1490950157">
      <w:bodyDiv w:val="1"/>
      <w:marLeft w:val="0"/>
      <w:marRight w:val="0"/>
      <w:marTop w:val="0"/>
      <w:marBottom w:val="0"/>
      <w:divBdr>
        <w:top w:val="none" w:sz="0" w:space="0" w:color="auto"/>
        <w:left w:val="none" w:sz="0" w:space="0" w:color="auto"/>
        <w:bottom w:val="none" w:sz="0" w:space="0" w:color="auto"/>
        <w:right w:val="none" w:sz="0" w:space="0" w:color="auto"/>
      </w:divBdr>
    </w:div>
    <w:div w:id="1539122319">
      <w:bodyDiv w:val="1"/>
      <w:marLeft w:val="0"/>
      <w:marRight w:val="0"/>
      <w:marTop w:val="0"/>
      <w:marBottom w:val="0"/>
      <w:divBdr>
        <w:top w:val="none" w:sz="0" w:space="0" w:color="auto"/>
        <w:left w:val="none" w:sz="0" w:space="0" w:color="auto"/>
        <w:bottom w:val="none" w:sz="0" w:space="0" w:color="auto"/>
        <w:right w:val="none" w:sz="0" w:space="0" w:color="auto"/>
      </w:divBdr>
    </w:div>
    <w:div w:id="1554191890">
      <w:bodyDiv w:val="1"/>
      <w:marLeft w:val="0"/>
      <w:marRight w:val="0"/>
      <w:marTop w:val="0"/>
      <w:marBottom w:val="0"/>
      <w:divBdr>
        <w:top w:val="none" w:sz="0" w:space="0" w:color="auto"/>
        <w:left w:val="none" w:sz="0" w:space="0" w:color="auto"/>
        <w:bottom w:val="none" w:sz="0" w:space="0" w:color="auto"/>
        <w:right w:val="none" w:sz="0" w:space="0" w:color="auto"/>
      </w:divBdr>
    </w:div>
    <w:div w:id="1558858962">
      <w:bodyDiv w:val="1"/>
      <w:marLeft w:val="0"/>
      <w:marRight w:val="0"/>
      <w:marTop w:val="0"/>
      <w:marBottom w:val="0"/>
      <w:divBdr>
        <w:top w:val="none" w:sz="0" w:space="0" w:color="auto"/>
        <w:left w:val="none" w:sz="0" w:space="0" w:color="auto"/>
        <w:bottom w:val="none" w:sz="0" w:space="0" w:color="auto"/>
        <w:right w:val="none" w:sz="0" w:space="0" w:color="auto"/>
      </w:divBdr>
    </w:div>
    <w:div w:id="1559977806">
      <w:bodyDiv w:val="1"/>
      <w:marLeft w:val="0"/>
      <w:marRight w:val="0"/>
      <w:marTop w:val="0"/>
      <w:marBottom w:val="0"/>
      <w:divBdr>
        <w:top w:val="none" w:sz="0" w:space="0" w:color="auto"/>
        <w:left w:val="none" w:sz="0" w:space="0" w:color="auto"/>
        <w:bottom w:val="none" w:sz="0" w:space="0" w:color="auto"/>
        <w:right w:val="none" w:sz="0" w:space="0" w:color="auto"/>
      </w:divBdr>
    </w:div>
    <w:div w:id="1562906534">
      <w:bodyDiv w:val="1"/>
      <w:marLeft w:val="0"/>
      <w:marRight w:val="0"/>
      <w:marTop w:val="0"/>
      <w:marBottom w:val="0"/>
      <w:divBdr>
        <w:top w:val="none" w:sz="0" w:space="0" w:color="auto"/>
        <w:left w:val="none" w:sz="0" w:space="0" w:color="auto"/>
        <w:bottom w:val="none" w:sz="0" w:space="0" w:color="auto"/>
        <w:right w:val="none" w:sz="0" w:space="0" w:color="auto"/>
      </w:divBdr>
    </w:div>
    <w:div w:id="1579050749">
      <w:bodyDiv w:val="1"/>
      <w:marLeft w:val="0"/>
      <w:marRight w:val="0"/>
      <w:marTop w:val="0"/>
      <w:marBottom w:val="0"/>
      <w:divBdr>
        <w:top w:val="none" w:sz="0" w:space="0" w:color="auto"/>
        <w:left w:val="none" w:sz="0" w:space="0" w:color="auto"/>
        <w:bottom w:val="none" w:sz="0" w:space="0" w:color="auto"/>
        <w:right w:val="none" w:sz="0" w:space="0" w:color="auto"/>
      </w:divBdr>
    </w:div>
    <w:div w:id="1620839400">
      <w:bodyDiv w:val="1"/>
      <w:marLeft w:val="0"/>
      <w:marRight w:val="0"/>
      <w:marTop w:val="0"/>
      <w:marBottom w:val="0"/>
      <w:divBdr>
        <w:top w:val="none" w:sz="0" w:space="0" w:color="auto"/>
        <w:left w:val="none" w:sz="0" w:space="0" w:color="auto"/>
        <w:bottom w:val="none" w:sz="0" w:space="0" w:color="auto"/>
        <w:right w:val="none" w:sz="0" w:space="0" w:color="auto"/>
      </w:divBdr>
    </w:div>
    <w:div w:id="1648780793">
      <w:bodyDiv w:val="1"/>
      <w:marLeft w:val="0"/>
      <w:marRight w:val="0"/>
      <w:marTop w:val="0"/>
      <w:marBottom w:val="0"/>
      <w:divBdr>
        <w:top w:val="none" w:sz="0" w:space="0" w:color="auto"/>
        <w:left w:val="none" w:sz="0" w:space="0" w:color="auto"/>
        <w:bottom w:val="none" w:sz="0" w:space="0" w:color="auto"/>
        <w:right w:val="none" w:sz="0" w:space="0" w:color="auto"/>
      </w:divBdr>
    </w:div>
    <w:div w:id="1666124783">
      <w:bodyDiv w:val="1"/>
      <w:marLeft w:val="0"/>
      <w:marRight w:val="0"/>
      <w:marTop w:val="0"/>
      <w:marBottom w:val="0"/>
      <w:divBdr>
        <w:top w:val="none" w:sz="0" w:space="0" w:color="auto"/>
        <w:left w:val="none" w:sz="0" w:space="0" w:color="auto"/>
        <w:bottom w:val="none" w:sz="0" w:space="0" w:color="auto"/>
        <w:right w:val="none" w:sz="0" w:space="0" w:color="auto"/>
      </w:divBdr>
    </w:div>
    <w:div w:id="1674410561">
      <w:bodyDiv w:val="1"/>
      <w:marLeft w:val="0"/>
      <w:marRight w:val="0"/>
      <w:marTop w:val="0"/>
      <w:marBottom w:val="0"/>
      <w:divBdr>
        <w:top w:val="none" w:sz="0" w:space="0" w:color="auto"/>
        <w:left w:val="none" w:sz="0" w:space="0" w:color="auto"/>
        <w:bottom w:val="none" w:sz="0" w:space="0" w:color="auto"/>
        <w:right w:val="none" w:sz="0" w:space="0" w:color="auto"/>
      </w:divBdr>
    </w:div>
    <w:div w:id="1710452589">
      <w:bodyDiv w:val="1"/>
      <w:marLeft w:val="0"/>
      <w:marRight w:val="0"/>
      <w:marTop w:val="0"/>
      <w:marBottom w:val="0"/>
      <w:divBdr>
        <w:top w:val="none" w:sz="0" w:space="0" w:color="auto"/>
        <w:left w:val="none" w:sz="0" w:space="0" w:color="auto"/>
        <w:bottom w:val="none" w:sz="0" w:space="0" w:color="auto"/>
        <w:right w:val="none" w:sz="0" w:space="0" w:color="auto"/>
      </w:divBdr>
    </w:div>
    <w:div w:id="1724908724">
      <w:bodyDiv w:val="1"/>
      <w:marLeft w:val="0"/>
      <w:marRight w:val="0"/>
      <w:marTop w:val="0"/>
      <w:marBottom w:val="0"/>
      <w:divBdr>
        <w:top w:val="none" w:sz="0" w:space="0" w:color="auto"/>
        <w:left w:val="none" w:sz="0" w:space="0" w:color="auto"/>
        <w:bottom w:val="none" w:sz="0" w:space="0" w:color="auto"/>
        <w:right w:val="none" w:sz="0" w:space="0" w:color="auto"/>
      </w:divBdr>
    </w:div>
    <w:div w:id="1752777900">
      <w:bodyDiv w:val="1"/>
      <w:marLeft w:val="0"/>
      <w:marRight w:val="0"/>
      <w:marTop w:val="0"/>
      <w:marBottom w:val="0"/>
      <w:divBdr>
        <w:top w:val="none" w:sz="0" w:space="0" w:color="auto"/>
        <w:left w:val="none" w:sz="0" w:space="0" w:color="auto"/>
        <w:bottom w:val="none" w:sz="0" w:space="0" w:color="auto"/>
        <w:right w:val="none" w:sz="0" w:space="0" w:color="auto"/>
      </w:divBdr>
    </w:div>
    <w:div w:id="1762994582">
      <w:bodyDiv w:val="1"/>
      <w:marLeft w:val="0"/>
      <w:marRight w:val="0"/>
      <w:marTop w:val="0"/>
      <w:marBottom w:val="0"/>
      <w:divBdr>
        <w:top w:val="none" w:sz="0" w:space="0" w:color="auto"/>
        <w:left w:val="none" w:sz="0" w:space="0" w:color="auto"/>
        <w:bottom w:val="none" w:sz="0" w:space="0" w:color="auto"/>
        <w:right w:val="none" w:sz="0" w:space="0" w:color="auto"/>
      </w:divBdr>
    </w:div>
    <w:div w:id="1817066552">
      <w:bodyDiv w:val="1"/>
      <w:marLeft w:val="0"/>
      <w:marRight w:val="0"/>
      <w:marTop w:val="0"/>
      <w:marBottom w:val="0"/>
      <w:divBdr>
        <w:top w:val="none" w:sz="0" w:space="0" w:color="auto"/>
        <w:left w:val="none" w:sz="0" w:space="0" w:color="auto"/>
        <w:bottom w:val="none" w:sz="0" w:space="0" w:color="auto"/>
        <w:right w:val="none" w:sz="0" w:space="0" w:color="auto"/>
      </w:divBdr>
    </w:div>
    <w:div w:id="1820879658">
      <w:bodyDiv w:val="1"/>
      <w:marLeft w:val="0"/>
      <w:marRight w:val="0"/>
      <w:marTop w:val="0"/>
      <w:marBottom w:val="0"/>
      <w:divBdr>
        <w:top w:val="none" w:sz="0" w:space="0" w:color="auto"/>
        <w:left w:val="none" w:sz="0" w:space="0" w:color="auto"/>
        <w:bottom w:val="none" w:sz="0" w:space="0" w:color="auto"/>
        <w:right w:val="none" w:sz="0" w:space="0" w:color="auto"/>
      </w:divBdr>
    </w:div>
    <w:div w:id="1829976105">
      <w:bodyDiv w:val="1"/>
      <w:marLeft w:val="0"/>
      <w:marRight w:val="0"/>
      <w:marTop w:val="0"/>
      <w:marBottom w:val="0"/>
      <w:divBdr>
        <w:top w:val="none" w:sz="0" w:space="0" w:color="auto"/>
        <w:left w:val="none" w:sz="0" w:space="0" w:color="auto"/>
        <w:bottom w:val="none" w:sz="0" w:space="0" w:color="auto"/>
        <w:right w:val="none" w:sz="0" w:space="0" w:color="auto"/>
      </w:divBdr>
    </w:div>
    <w:div w:id="1835802284">
      <w:bodyDiv w:val="1"/>
      <w:marLeft w:val="0"/>
      <w:marRight w:val="0"/>
      <w:marTop w:val="0"/>
      <w:marBottom w:val="0"/>
      <w:divBdr>
        <w:top w:val="none" w:sz="0" w:space="0" w:color="auto"/>
        <w:left w:val="none" w:sz="0" w:space="0" w:color="auto"/>
        <w:bottom w:val="none" w:sz="0" w:space="0" w:color="auto"/>
        <w:right w:val="none" w:sz="0" w:space="0" w:color="auto"/>
      </w:divBdr>
    </w:div>
    <w:div w:id="1846168020">
      <w:bodyDiv w:val="1"/>
      <w:marLeft w:val="0"/>
      <w:marRight w:val="0"/>
      <w:marTop w:val="0"/>
      <w:marBottom w:val="0"/>
      <w:divBdr>
        <w:top w:val="none" w:sz="0" w:space="0" w:color="auto"/>
        <w:left w:val="none" w:sz="0" w:space="0" w:color="auto"/>
        <w:bottom w:val="none" w:sz="0" w:space="0" w:color="auto"/>
        <w:right w:val="none" w:sz="0" w:space="0" w:color="auto"/>
      </w:divBdr>
    </w:div>
    <w:div w:id="1848014453">
      <w:bodyDiv w:val="1"/>
      <w:marLeft w:val="0"/>
      <w:marRight w:val="0"/>
      <w:marTop w:val="0"/>
      <w:marBottom w:val="0"/>
      <w:divBdr>
        <w:top w:val="none" w:sz="0" w:space="0" w:color="auto"/>
        <w:left w:val="none" w:sz="0" w:space="0" w:color="auto"/>
        <w:bottom w:val="none" w:sz="0" w:space="0" w:color="auto"/>
        <w:right w:val="none" w:sz="0" w:space="0" w:color="auto"/>
      </w:divBdr>
    </w:div>
    <w:div w:id="1857621644">
      <w:bodyDiv w:val="1"/>
      <w:marLeft w:val="0"/>
      <w:marRight w:val="0"/>
      <w:marTop w:val="0"/>
      <w:marBottom w:val="0"/>
      <w:divBdr>
        <w:top w:val="none" w:sz="0" w:space="0" w:color="auto"/>
        <w:left w:val="none" w:sz="0" w:space="0" w:color="auto"/>
        <w:bottom w:val="none" w:sz="0" w:space="0" w:color="auto"/>
        <w:right w:val="none" w:sz="0" w:space="0" w:color="auto"/>
      </w:divBdr>
    </w:div>
    <w:div w:id="1870487796">
      <w:bodyDiv w:val="1"/>
      <w:marLeft w:val="0"/>
      <w:marRight w:val="0"/>
      <w:marTop w:val="0"/>
      <w:marBottom w:val="0"/>
      <w:divBdr>
        <w:top w:val="none" w:sz="0" w:space="0" w:color="auto"/>
        <w:left w:val="none" w:sz="0" w:space="0" w:color="auto"/>
        <w:bottom w:val="none" w:sz="0" w:space="0" w:color="auto"/>
        <w:right w:val="none" w:sz="0" w:space="0" w:color="auto"/>
      </w:divBdr>
    </w:div>
    <w:div w:id="1874463715">
      <w:bodyDiv w:val="1"/>
      <w:marLeft w:val="0"/>
      <w:marRight w:val="0"/>
      <w:marTop w:val="0"/>
      <w:marBottom w:val="0"/>
      <w:divBdr>
        <w:top w:val="none" w:sz="0" w:space="0" w:color="auto"/>
        <w:left w:val="none" w:sz="0" w:space="0" w:color="auto"/>
        <w:bottom w:val="none" w:sz="0" w:space="0" w:color="auto"/>
        <w:right w:val="none" w:sz="0" w:space="0" w:color="auto"/>
      </w:divBdr>
    </w:div>
    <w:div w:id="1938515457">
      <w:bodyDiv w:val="1"/>
      <w:marLeft w:val="0"/>
      <w:marRight w:val="0"/>
      <w:marTop w:val="0"/>
      <w:marBottom w:val="0"/>
      <w:divBdr>
        <w:top w:val="none" w:sz="0" w:space="0" w:color="auto"/>
        <w:left w:val="none" w:sz="0" w:space="0" w:color="auto"/>
        <w:bottom w:val="none" w:sz="0" w:space="0" w:color="auto"/>
        <w:right w:val="none" w:sz="0" w:space="0" w:color="auto"/>
      </w:divBdr>
    </w:div>
    <w:div w:id="1975064939">
      <w:bodyDiv w:val="1"/>
      <w:marLeft w:val="0"/>
      <w:marRight w:val="0"/>
      <w:marTop w:val="0"/>
      <w:marBottom w:val="0"/>
      <w:divBdr>
        <w:top w:val="none" w:sz="0" w:space="0" w:color="auto"/>
        <w:left w:val="none" w:sz="0" w:space="0" w:color="auto"/>
        <w:bottom w:val="none" w:sz="0" w:space="0" w:color="auto"/>
        <w:right w:val="none" w:sz="0" w:space="0" w:color="auto"/>
      </w:divBdr>
    </w:div>
    <w:div w:id="2030639721">
      <w:bodyDiv w:val="1"/>
      <w:marLeft w:val="0"/>
      <w:marRight w:val="0"/>
      <w:marTop w:val="0"/>
      <w:marBottom w:val="0"/>
      <w:divBdr>
        <w:top w:val="none" w:sz="0" w:space="0" w:color="auto"/>
        <w:left w:val="none" w:sz="0" w:space="0" w:color="auto"/>
        <w:bottom w:val="none" w:sz="0" w:space="0" w:color="auto"/>
        <w:right w:val="none" w:sz="0" w:space="0" w:color="auto"/>
      </w:divBdr>
    </w:div>
    <w:div w:id="2036493993">
      <w:bodyDiv w:val="1"/>
      <w:marLeft w:val="0"/>
      <w:marRight w:val="0"/>
      <w:marTop w:val="0"/>
      <w:marBottom w:val="0"/>
      <w:divBdr>
        <w:top w:val="none" w:sz="0" w:space="0" w:color="auto"/>
        <w:left w:val="none" w:sz="0" w:space="0" w:color="auto"/>
        <w:bottom w:val="none" w:sz="0" w:space="0" w:color="auto"/>
        <w:right w:val="none" w:sz="0" w:space="0" w:color="auto"/>
      </w:divBdr>
    </w:div>
    <w:div w:id="2047292501">
      <w:bodyDiv w:val="1"/>
      <w:marLeft w:val="0"/>
      <w:marRight w:val="0"/>
      <w:marTop w:val="0"/>
      <w:marBottom w:val="0"/>
      <w:divBdr>
        <w:top w:val="none" w:sz="0" w:space="0" w:color="auto"/>
        <w:left w:val="none" w:sz="0" w:space="0" w:color="auto"/>
        <w:bottom w:val="none" w:sz="0" w:space="0" w:color="auto"/>
        <w:right w:val="none" w:sz="0" w:space="0" w:color="auto"/>
      </w:divBdr>
    </w:div>
    <w:div w:id="2067218424">
      <w:bodyDiv w:val="1"/>
      <w:marLeft w:val="0"/>
      <w:marRight w:val="0"/>
      <w:marTop w:val="0"/>
      <w:marBottom w:val="0"/>
      <w:divBdr>
        <w:top w:val="none" w:sz="0" w:space="0" w:color="auto"/>
        <w:left w:val="none" w:sz="0" w:space="0" w:color="auto"/>
        <w:bottom w:val="none" w:sz="0" w:space="0" w:color="auto"/>
        <w:right w:val="none" w:sz="0" w:space="0" w:color="auto"/>
      </w:divBdr>
    </w:div>
    <w:div w:id="2087726406">
      <w:bodyDiv w:val="1"/>
      <w:marLeft w:val="0"/>
      <w:marRight w:val="0"/>
      <w:marTop w:val="0"/>
      <w:marBottom w:val="0"/>
      <w:divBdr>
        <w:top w:val="none" w:sz="0" w:space="0" w:color="auto"/>
        <w:left w:val="none" w:sz="0" w:space="0" w:color="auto"/>
        <w:bottom w:val="none" w:sz="0" w:space="0" w:color="auto"/>
        <w:right w:val="none" w:sz="0" w:space="0" w:color="auto"/>
      </w:divBdr>
    </w:div>
    <w:div w:id="2147239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7.xml"/><Relationship Id="rId39" Type="http://schemas.openxmlformats.org/officeDocument/2006/relationships/footer" Target="footer13.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header" Target="header11.xml"/><Relationship Id="rId42" Type="http://schemas.openxmlformats.org/officeDocument/2006/relationships/header" Target="header15.xml"/><Relationship Id="rId47"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chart" Target="charts/chart2.xml"/><Relationship Id="rId33" Type="http://schemas.openxmlformats.org/officeDocument/2006/relationships/footer" Target="footer10.xml"/><Relationship Id="rId38" Type="http://schemas.openxmlformats.org/officeDocument/2006/relationships/footer" Target="footer12.xml"/><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chart" Target="charts/chart1.xml"/><Relationship Id="rId32" Type="http://schemas.openxmlformats.org/officeDocument/2006/relationships/header" Target="header10.xml"/><Relationship Id="rId37" Type="http://schemas.openxmlformats.org/officeDocument/2006/relationships/header" Target="header13.xml"/><Relationship Id="rId40" Type="http://schemas.openxmlformats.org/officeDocument/2006/relationships/header" Target="header14.xml"/><Relationship Id="rId45" Type="http://schemas.openxmlformats.org/officeDocument/2006/relationships/footer" Target="footer1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8.xml"/><Relationship Id="rId36" Type="http://schemas.openxmlformats.org/officeDocument/2006/relationships/header" Target="header12.xml"/><Relationship Id="rId49"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oter" Target="footer9.xml"/><Relationship Id="rId44" Type="http://schemas.openxmlformats.org/officeDocument/2006/relationships/header" Target="header1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footer" Target="footer11.xml"/><Relationship Id="rId43" Type="http://schemas.openxmlformats.org/officeDocument/2006/relationships/footer" Target="footer15.xml"/><Relationship Id="rId48" Type="http://schemas.microsoft.com/office/2019/05/relationships/documenttasks" Target="documenttasks/documenttasks1.xml"/><Relationship Id="rId8"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oleObject" Target="https://eceuropaeu.sharepoint.com/sites/budg-b1/COM_MFF/2026-XX-XX-COM_2026_XXX_LTPF_Tabl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eceuropaeu.sharepoint.com/sites/budg-b1/COM_MFF/2026-XX-XX-COM_2026_XXX_LTPF_Table.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graph_1_data!$B$4</c:f>
              <c:strCache>
                <c:ptCount val="1"/>
                <c:pt idx="0">
                  <c:v>Pre-2021 commitments</c:v>
                </c:pt>
              </c:strCache>
            </c:strRef>
          </c:tx>
          <c:spPr>
            <a:solidFill>
              <a:schemeClr val="accent4"/>
            </a:solidFill>
            <a:ln>
              <a:noFill/>
            </a:ln>
            <a:effectLst/>
          </c:spPr>
          <c:invertIfNegative val="0"/>
          <c:cat>
            <c:numRef>
              <c:f>graph_1_data!$C$3:$J$3</c:f>
              <c:numCache>
                <c:formatCode>General</c:formatCode>
                <c:ptCount val="8"/>
                <c:pt idx="0">
                  <c:v>2027</c:v>
                </c:pt>
                <c:pt idx="1">
                  <c:v>2028</c:v>
                </c:pt>
                <c:pt idx="2">
                  <c:v>2029</c:v>
                </c:pt>
                <c:pt idx="3">
                  <c:v>2030</c:v>
                </c:pt>
                <c:pt idx="4">
                  <c:v>2031</c:v>
                </c:pt>
                <c:pt idx="5">
                  <c:v>2032</c:v>
                </c:pt>
                <c:pt idx="6">
                  <c:v>2033</c:v>
                </c:pt>
                <c:pt idx="7">
                  <c:v>2034</c:v>
                </c:pt>
              </c:numCache>
            </c:numRef>
          </c:cat>
          <c:val>
            <c:numRef>
              <c:f>graph_1_data!$C$4:$J$4</c:f>
              <c:numCache>
                <c:formatCode>##\ ##0.0</c:formatCode>
                <c:ptCount val="8"/>
                <c:pt idx="0">
                  <c:v>1.705251012</c:v>
                </c:pt>
                <c:pt idx="1">
                  <c:v>1.373878221</c:v>
                </c:pt>
                <c:pt idx="2">
                  <c:v>0.93206007200000007</c:v>
                </c:pt>
                <c:pt idx="3">
                  <c:v>0.75217986299999995</c:v>
                </c:pt>
                <c:pt idx="4">
                  <c:v>0.44765226599999997</c:v>
                </c:pt>
                <c:pt idx="5">
                  <c:v>0.45744308119999999</c:v>
                </c:pt>
                <c:pt idx="6">
                  <c:v>0.19604703479999996</c:v>
                </c:pt>
                <c:pt idx="7">
                  <c:v>0</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A140-40E6-B2FA-A24156541BE7}"/>
            </c:ext>
          </c:extLst>
        </c:ser>
        <c:ser>
          <c:idx val="1"/>
          <c:order val="1"/>
          <c:tx>
            <c:strRef>
              <c:f>graph_1_data!$B$5</c:f>
              <c:strCache>
                <c:ptCount val="1"/>
                <c:pt idx="0">
                  <c:v>2021-2027 commitments</c:v>
                </c:pt>
              </c:strCache>
            </c:strRef>
          </c:tx>
          <c:spPr>
            <a:solidFill>
              <a:schemeClr val="accent2"/>
            </a:solidFill>
            <a:ln>
              <a:noFill/>
            </a:ln>
            <a:effectLst/>
          </c:spPr>
          <c:invertIfNegative val="0"/>
          <c:cat>
            <c:numRef>
              <c:f>graph_1_data!$C$3:$J$3</c:f>
              <c:numCache>
                <c:formatCode>General</c:formatCode>
                <c:ptCount val="8"/>
                <c:pt idx="0">
                  <c:v>2027</c:v>
                </c:pt>
                <c:pt idx="1">
                  <c:v>2028</c:v>
                </c:pt>
                <c:pt idx="2">
                  <c:v>2029</c:v>
                </c:pt>
                <c:pt idx="3">
                  <c:v>2030</c:v>
                </c:pt>
                <c:pt idx="4">
                  <c:v>2031</c:v>
                </c:pt>
                <c:pt idx="5">
                  <c:v>2032</c:v>
                </c:pt>
                <c:pt idx="6">
                  <c:v>2033</c:v>
                </c:pt>
                <c:pt idx="7">
                  <c:v>2034</c:v>
                </c:pt>
              </c:numCache>
            </c:numRef>
          </c:cat>
          <c:val>
            <c:numRef>
              <c:f>graph_1_data!$C$5:$J$5</c:f>
              <c:numCache>
                <c:formatCode>##\ ##0.0</c:formatCode>
                <c:ptCount val="8"/>
                <c:pt idx="0">
                  <c:v>210.26946739300001</c:v>
                </c:pt>
                <c:pt idx="1">
                  <c:v>121.65687238420448</c:v>
                </c:pt>
                <c:pt idx="2">
                  <c:v>94.520925276584563</c:v>
                </c:pt>
                <c:pt idx="3">
                  <c:v>70.887295686072591</c:v>
                </c:pt>
                <c:pt idx="4">
                  <c:v>15.61249525516274</c:v>
                </c:pt>
                <c:pt idx="5">
                  <c:v>9.8164097260113685</c:v>
                </c:pt>
                <c:pt idx="6">
                  <c:v>4.207032739719156</c:v>
                </c:pt>
                <c:pt idx="7">
                  <c:v>0</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A140-40E6-B2FA-A24156541BE7}"/>
            </c:ext>
          </c:extLst>
        </c:ser>
        <c:ser>
          <c:idx val="2"/>
          <c:order val="2"/>
          <c:tx>
            <c:strRef>
              <c:f>graph_1_data!$B$6</c:f>
              <c:strCache>
                <c:ptCount val="1"/>
                <c:pt idx="0">
                  <c:v>2028-2034 commitments</c:v>
                </c:pt>
              </c:strCache>
            </c:strRef>
          </c:tx>
          <c:spPr>
            <a:solidFill>
              <a:srgbClr val="0033CC"/>
            </a:solidFill>
            <a:ln>
              <a:noFill/>
            </a:ln>
            <a:effectLst/>
          </c:spPr>
          <c:invertIfNegative val="0"/>
          <c:cat>
            <c:numRef>
              <c:f>graph_1_data!$C$3:$J$3</c:f>
              <c:numCache>
                <c:formatCode>General</c:formatCode>
                <c:ptCount val="8"/>
                <c:pt idx="0">
                  <c:v>2027</c:v>
                </c:pt>
                <c:pt idx="1">
                  <c:v>2028</c:v>
                </c:pt>
                <c:pt idx="2">
                  <c:v>2029</c:v>
                </c:pt>
                <c:pt idx="3">
                  <c:v>2030</c:v>
                </c:pt>
                <c:pt idx="4">
                  <c:v>2031</c:v>
                </c:pt>
                <c:pt idx="5">
                  <c:v>2032</c:v>
                </c:pt>
                <c:pt idx="6">
                  <c:v>2033</c:v>
                </c:pt>
                <c:pt idx="7">
                  <c:v>2034</c:v>
                </c:pt>
              </c:numCache>
            </c:numRef>
          </c:cat>
          <c:val>
            <c:numRef>
              <c:f>graph_1_data!$C$6:$J$6</c:f>
              <c:numCache>
                <c:formatCode>##\ ##0.0</c:formatCode>
                <c:ptCount val="8"/>
                <c:pt idx="1">
                  <c:v>142.5517374577887</c:v>
                </c:pt>
                <c:pt idx="2">
                  <c:v>188.68021361409671</c:v>
                </c:pt>
                <c:pt idx="3">
                  <c:v>239.04363022326126</c:v>
                </c:pt>
                <c:pt idx="4">
                  <c:v>255.95897587431202</c:v>
                </c:pt>
                <c:pt idx="5">
                  <c:v>273.16723447011651</c:v>
                </c:pt>
                <c:pt idx="6">
                  <c:v>274.13513092759752</c:v>
                </c:pt>
                <c:pt idx="7">
                  <c:v>267.48207743282728</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A140-40E6-B2FA-A24156541BE7}"/>
            </c:ext>
          </c:extLst>
        </c:ser>
        <c:dLbls>
          <c:showLegendKey val="0"/>
          <c:showVal val="0"/>
          <c:showCatName val="0"/>
          <c:showSerName val="0"/>
          <c:showPercent val="0"/>
          <c:showBubbleSize val="0"/>
        </c:dLbls>
        <c:gapWidth val="150"/>
        <c:overlap val="100"/>
        <c:axId val="703899503"/>
        <c:axId val="703901423"/>
      </c:barChart>
      <c:catAx>
        <c:axId val="7038995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03901423"/>
        <c:crosses val="autoZero"/>
        <c:auto val="1"/>
        <c:lblAlgn val="ctr"/>
        <c:lblOffset val="100"/>
        <c:noMultiLvlLbl val="0"/>
      </c:catAx>
      <c:valAx>
        <c:axId val="703901423"/>
        <c:scaling>
          <c:orientation val="minMax"/>
          <c:max val="350"/>
        </c:scaling>
        <c:delete val="0"/>
        <c:axPos val="l"/>
        <c:numFmt formatCode="#\ ##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038995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1"/>
          <c:tx>
            <c:strRef>
              <c:f>graph_2_data!$B$7</c:f>
              <c:strCache>
                <c:ptCount val="1"/>
                <c:pt idx="0">
                  <c:v>Payment needs</c:v>
                </c:pt>
              </c:strCache>
            </c:strRef>
          </c:tx>
          <c:spPr>
            <a:solidFill>
              <a:srgbClr val="0033CC"/>
            </a:solidFill>
            <a:ln w="25400">
              <a:noFill/>
            </a:ln>
            <a:effectLst/>
          </c:spPr>
          <c:invertIfNegative val="0"/>
          <c:cat>
            <c:numRef>
              <c:f>graph_2_data!$C$3:$J$3</c:f>
              <c:numCache>
                <c:formatCode>General</c:formatCode>
                <c:ptCount val="8"/>
                <c:pt idx="0">
                  <c:v>2027</c:v>
                </c:pt>
                <c:pt idx="1">
                  <c:v>2028</c:v>
                </c:pt>
                <c:pt idx="2">
                  <c:v>2029</c:v>
                </c:pt>
                <c:pt idx="3">
                  <c:v>2030</c:v>
                </c:pt>
                <c:pt idx="4">
                  <c:v>2031</c:v>
                </c:pt>
                <c:pt idx="5">
                  <c:v>2032</c:v>
                </c:pt>
                <c:pt idx="6">
                  <c:v>2033</c:v>
                </c:pt>
                <c:pt idx="7">
                  <c:v>2034</c:v>
                </c:pt>
              </c:numCache>
            </c:numRef>
          </c:cat>
          <c:val>
            <c:numRef>
              <c:f>graph_2_data!$C$7:$J$7</c:f>
              <c:numCache>
                <c:formatCode>##\ ##0.0</c:formatCode>
                <c:ptCount val="8"/>
                <c:pt idx="0">
                  <c:v>211.97471840499998</c:v>
                </c:pt>
                <c:pt idx="1">
                  <c:v>265.58981350900001</c:v>
                </c:pt>
                <c:pt idx="2">
                  <c:v>284.13306500000004</c:v>
                </c:pt>
                <c:pt idx="3">
                  <c:v>310.68299999999999</c:v>
                </c:pt>
                <c:pt idx="4">
                  <c:v>272.01900000000001</c:v>
                </c:pt>
                <c:pt idx="5">
                  <c:v>283.44099999999997</c:v>
                </c:pt>
                <c:pt idx="6">
                  <c:v>278.53800000000001</c:v>
                </c:pt>
                <c:pt idx="7">
                  <c:v>267.48200000000003</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3BA4-49BE-8A05-B41A3CE92BD8}"/>
            </c:ext>
          </c:extLst>
        </c:ser>
        <c:dLbls>
          <c:showLegendKey val="0"/>
          <c:showVal val="0"/>
          <c:showCatName val="0"/>
          <c:showSerName val="0"/>
          <c:showPercent val="0"/>
          <c:showBubbleSize val="0"/>
        </c:dLbls>
        <c:gapWidth val="150"/>
        <c:overlap val="100"/>
        <c:axId val="1992239903"/>
        <c:axId val="1992244223"/>
      </c:barChart>
      <c:lineChart>
        <c:grouping val="standard"/>
        <c:varyColors val="0"/>
        <c:ser>
          <c:idx val="2"/>
          <c:order val="0"/>
          <c:tx>
            <c:strRef>
              <c:f>graph_2_data!$B$6</c:f>
              <c:strCache>
                <c:ptCount val="1"/>
                <c:pt idx="0">
                  <c:v>Payment ceiling incl. special instruments</c:v>
                </c:pt>
              </c:strCache>
            </c:strRef>
          </c:tx>
          <c:spPr>
            <a:ln w="28575" cap="rnd">
              <a:noFill/>
              <a:round/>
            </a:ln>
            <a:effectLst/>
          </c:spPr>
          <c:marker>
            <c:symbol val="dash"/>
            <c:size val="10"/>
            <c:spPr>
              <a:solidFill>
                <a:schemeClr val="accent2"/>
              </a:solidFill>
              <a:ln w="9525">
                <a:noFill/>
              </a:ln>
              <a:effectLst/>
            </c:spPr>
          </c:marker>
          <c:val>
            <c:numRef>
              <c:f>graph_2_data!$C$6:$J$6</c:f>
              <c:numCache>
                <c:formatCode>##\ ##0.0</c:formatCode>
                <c:ptCount val="8"/>
                <c:pt idx="0">
                  <c:v>212.47550220800002</c:v>
                </c:pt>
                <c:pt idx="1">
                  <c:v>270.67081350900003</c:v>
                </c:pt>
                <c:pt idx="2">
                  <c:v>301.01306500000004</c:v>
                </c:pt>
                <c:pt idx="3">
                  <c:v>297.08799999999997</c:v>
                </c:pt>
                <c:pt idx="4">
                  <c:v>292.79199999999997</c:v>
                </c:pt>
                <c:pt idx="5">
                  <c:v>277.40600000000001</c:v>
                </c:pt>
                <c:pt idx="6">
                  <c:v>274.66199999999998</c:v>
                </c:pt>
                <c:pt idx="7">
                  <c:v>267.48</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3BA4-49BE-8A05-B41A3CE92BD8}"/>
            </c:ext>
          </c:extLst>
        </c:ser>
        <c:dLbls>
          <c:showLegendKey val="0"/>
          <c:showVal val="0"/>
          <c:showCatName val="0"/>
          <c:showSerName val="0"/>
          <c:showPercent val="0"/>
          <c:showBubbleSize val="0"/>
        </c:dLbls>
        <c:marker val="1"/>
        <c:smooth val="0"/>
        <c:axId val="1992239903"/>
        <c:axId val="1992244223"/>
      </c:lineChart>
      <c:catAx>
        <c:axId val="19922399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92244223"/>
        <c:crosses val="autoZero"/>
        <c:auto val="1"/>
        <c:lblAlgn val="ctr"/>
        <c:lblOffset val="100"/>
        <c:noMultiLvlLbl val="0"/>
      </c:catAx>
      <c:valAx>
        <c:axId val="1992244223"/>
        <c:scaling>
          <c:orientation val="minMax"/>
          <c:min val="150"/>
        </c:scaling>
        <c:delete val="0"/>
        <c:axPos val="l"/>
        <c:numFmt formatCode="#\ ##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9922399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ocumenttasks/documenttasks1.xml><?xml version="1.0" encoding="utf-8"?>
<t:Tasks xmlns:t="http://schemas.microsoft.com/office/tasks/2019/documenttasks" xmlns:oel="http://schemas.microsoft.com/office/2019/extlst">
  <t:Task id="{8DFCC1C1-DC7F-4239-B05C-15C1EE3053B9}">
    <t:Anchor>
      <t:Comment id="1229335686"/>
    </t:Anchor>
    <t:History>
      <t:Event time="2025-05-27T12:50:46.268Z" id="{102B51A1-4137-41DC-AFE0-4B3C46288920}">
        <t:Attribution userId="S::louk.hoffmans@ec.europa.eu::88d42cfc-6f4d-4a58-be4a-0e9321e56e81" userName="HOFFMANS Louk (BUDG)" userProvider="AD"/>
        <t:Anchor>
          <t:Comment id="1229335686"/>
        </t:Anchor>
        <t:Create/>
      </t:Event>
      <t:Event time="2025-05-27T12:50:46.268Z" id="{B075C9F2-B974-4D53-8AC8-FCBB0C976D3C}">
        <t:Attribution userId="S::louk.hoffmans@ec.europa.eu::88d42cfc-6f4d-4a58-be4a-0e9321e56e81" userName="HOFFMANS Louk (BUDG)" userProvider="AD"/>
        <t:Anchor>
          <t:Comment id="1229335686"/>
        </t:Anchor>
        <t:Assign userId="S::Andrei.MORARU@ec.europa.eu::5acbf149-e8cc-427b-a727-98c39b40d6a4" userName="MORARU Andrei (BUDG)" userProvider="AD"/>
      </t:Event>
      <t:Event time="2025-05-27T12:50:46.268Z" id="{F2E828D3-6C4C-4E0C-9923-0C615D662E9E}">
        <t:Attribution userId="S::louk.hoffmans@ec.europa.eu::88d42cfc-6f4d-4a58-be4a-0e9321e56e81" userName="HOFFMANS Louk (BUDG)" userProvider="AD"/>
        <t:Anchor>
          <t:Comment id="1229335686"/>
        </t:Anchor>
        <t:SetTitle title="@MORARU Andrei (BUDG) what exactly do we use as cut-off date?"/>
      </t:Event>
    </t:History>
  </t:Task>
</t:Tasks>
</file>

<file path=word/theme/theme1.xml><?xml version="1.0" encoding="utf-8"?>
<a:theme xmlns:a="http://schemas.openxmlformats.org/drawingml/2006/main" name="Office Theme">
  <a:themeElements>
    <a:clrScheme name="Custom 1">
      <a:dk1>
        <a:srgbClr val="000000"/>
      </a:dk1>
      <a:lt1>
        <a:sysClr val="window" lastClr="FFFFFF"/>
      </a:lt1>
      <a:dk2>
        <a:srgbClr val="003399"/>
      </a:dk2>
      <a:lt2>
        <a:srgbClr val="F3F7FF"/>
      </a:lt2>
      <a:accent1>
        <a:srgbClr val="008139"/>
      </a:accent1>
      <a:accent2>
        <a:srgbClr val="DE6002"/>
      </a:accent2>
      <a:accent3>
        <a:srgbClr val="2688FE"/>
      </a:accent3>
      <a:accent4>
        <a:srgbClr val="FDAB07"/>
      </a:accent4>
      <a:accent5>
        <a:srgbClr val="DC165D"/>
      </a:accent5>
      <a:accent6>
        <a:srgbClr val="7030A0"/>
      </a:accent6>
      <a:hlink>
        <a:srgbClr val="003399"/>
      </a:hlink>
      <a:folHlink>
        <a:srgbClr val="003399"/>
      </a:folHlink>
    </a:clrScheme>
    <a:fontScheme name="FONT EC Square">
      <a:majorFont>
        <a:latin typeface="EC Square Sans Pro"/>
        <a:ea typeface=""/>
        <a:cs typeface=""/>
      </a:majorFont>
      <a:minorFont>
        <a:latin typeface="EC Square Sans Pr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BD0826AAE22F4CB9B703218939610D" ma:contentTypeVersion="23" ma:contentTypeDescription="Create a new document." ma:contentTypeScope="" ma:versionID="0e4bc2abd81eb83ce38ac982e3c03f2b">
  <xsd:schema xmlns:xsd="http://www.w3.org/2001/XMLSchema" xmlns:xs="http://www.w3.org/2001/XMLSchema" xmlns:p="http://schemas.microsoft.com/office/2006/metadata/properties" xmlns:ns2="8e58f9bf-af8e-457a-8b79-61fccd4d6d5f" xmlns:ns3="b6d4cde7-209b-4353-8904-a6d145be66ae" targetNamespace="http://schemas.microsoft.com/office/2006/metadata/properties" ma:root="true" ma:fieldsID="aa1c0422f854eb23b042c5cec2109e69" ns2:_="" ns3:_="">
    <xsd:import namespace="8e58f9bf-af8e-457a-8b79-61fccd4d6d5f"/>
    <xsd:import namespace="b6d4cde7-209b-4353-8904-a6d145be66ae"/>
    <xsd:element name="properties">
      <xsd:complexType>
        <xsd:sequence>
          <xsd:element name="documentManagement">
            <xsd:complexType>
              <xsd:all>
                <xsd:element ref="ns2:_x0054_ag1" minOccurs="0"/>
                <xsd:element ref="ns2:_x0054_ag2" minOccurs="0"/>
                <xsd:element ref="ns2:Tag_03" minOccurs="0"/>
                <xsd:element ref="ns2:Tag_04" minOccurs="0"/>
                <xsd:element ref="ns2:Tag_05" minOccurs="0"/>
                <xsd:element ref="ns2:Tag_06" minOccurs="0"/>
                <xsd:element ref="ns2:Tag_07" minOccurs="0"/>
                <xsd:element ref="ns2:_x0054_ag8" minOccurs="0"/>
                <xsd:element ref="ns2:Year" minOccurs="0"/>
                <xsd:element ref="ns2:ApprovalStep" minOccurs="0"/>
                <xsd:element ref="ns2:MediaServiceMetadata" minOccurs="0"/>
                <xsd:element ref="ns2:MediaServiceFastMetadata" minOccurs="0"/>
                <xsd:element ref="ns2:MediaServiceSearchProperties" minOccurs="0"/>
                <xsd:element ref="ns2:MediaServiceObjectDetectorVersions" minOccurs="0"/>
                <xsd:element ref="ns2:MemberStates" minOccurs="0"/>
                <xsd:element ref="ns2:Sensitive"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58f9bf-af8e-457a-8b79-61fccd4d6d5f" elementFormDefault="qualified">
    <xsd:import namespace="http://schemas.microsoft.com/office/2006/documentManagement/types"/>
    <xsd:import namespace="http://schemas.microsoft.com/office/infopath/2007/PartnerControls"/>
    <xsd:element name="_x0054_ag1" ma:index="8" nillable="true" ma:displayName="Document Type" ma:format="Dropdown" ma:internalName="_x0054_ag1">
      <xsd:simpleType>
        <xsd:union memberTypes="dms:Text">
          <xsd:simpleType>
            <xsd:restriction base="dms:Choice">
              <xsd:enumeration value="Attendance Report"/>
              <xsd:enumeration value="Technical Paper"/>
              <xsd:enumeration value="Presentation"/>
              <xsd:enumeration value="Briefing"/>
              <xsd:enumeration value="Issues Note"/>
              <xsd:enumeration value="Note"/>
              <xsd:enumeration value="Meeting Report"/>
              <xsd:enumeration value="Spreadsheet"/>
              <xsd:enumeration value="Calendar"/>
              <xsd:enumeration value="Non-paper"/>
              <xsd:enumeration value="Working document"/>
              <xsd:enumeration value="Official reply"/>
              <xsd:enumeration value="LTT / Defensive"/>
              <xsd:enumeration value="MFF Country Fiche"/>
              <xsd:enumeration value="Resolution"/>
              <xsd:enumeration value="Negotiating box"/>
              <xsd:enumeration value="Procedure"/>
              <xsd:enumeration value="Vademecum"/>
              <xsd:enumeration value="Regulation"/>
              <xsd:enumeration value="Directive"/>
              <xsd:enumeration value="Council Implementing Decision"/>
              <xsd:enumeration value="Work Programme"/>
              <xsd:enumeration value="Communication"/>
              <xsd:enumeration value="Agenda"/>
              <xsd:enumeration value="IIA"/>
              <xsd:enumeration value="Request for contribution"/>
            </xsd:restriction>
          </xsd:simpleType>
        </xsd:union>
      </xsd:simpleType>
    </xsd:element>
    <xsd:element name="_x0054_ag2" ma:index="9" nillable="true" ma:displayName="Document Description" ma:format="Dropdown" ma:internalName="_x0054_ag2">
      <xsd:simpleType>
        <xsd:restriction base="dms:Text">
          <xsd:maxLength value="255"/>
        </xsd:restriction>
      </xsd:simpleType>
    </xsd:element>
    <xsd:element name="Tag_03" ma:index="10" nillable="true" ma:displayName="MFF" ma:format="Dropdown" ma:internalName="Tag_03">
      <xsd:simpleType>
        <xsd:restriction base="dms:Choice">
          <xsd:enumeration value="2014-2020"/>
          <xsd:enumeration value="2021-2027"/>
          <xsd:enumeration value="2028-2034"/>
          <xsd:enumeration value="2007-2013"/>
          <xsd:enumeration value="2000-2006"/>
          <xsd:enumeration value="1993-1999"/>
          <xsd:enumeration value="1988-1992"/>
        </xsd:restriction>
      </xsd:simpleType>
    </xsd:element>
    <xsd:element name="Tag_04" ma:index="11" nillable="true" ma:displayName="Secondary Topic" ma:format="Dropdown" ma:internalName="Tag_04">
      <xsd:simpleType>
        <xsd:restriction base="dms:Choice">
          <xsd:enumeration value="Fiscal frameworks"/>
          <xsd:enumeration value="Horizon Europe"/>
          <xsd:enumeration value="Euratom Research and Training Programme"/>
          <xsd:enumeration value="International Thermonuclear Experience"/>
          <xsd:enumeration value="Other actions"/>
          <xsd:enumeration value="Pilot projects and preparatory action"/>
          <xsd:enumeration value="InvetsEU Fund"/>
          <xsd:enumeration value="CAP"/>
          <xsd:enumeration value="Cohesion"/>
          <xsd:enumeration value="Connecting Europe Facility (CEF)"/>
          <xsd:enumeration value="Connecting Europe Facility (CEF)- Transport"/>
          <xsd:enumeration value="Connecting Europe Facility (CEF) - Energy"/>
          <xsd:enumeration value="Connecting Europe Facility (CEF) - Digital"/>
          <xsd:enumeration value="Digital Europe Programme"/>
          <xsd:enumeration value="Decentralised agencies"/>
          <xsd:enumeration value="Actions financed under the prerogatives of the Commission and specific competences conferred to the Commission"/>
          <xsd:enumeration value="Single Market Programme (incl. SMEs)"/>
          <xsd:enumeration value="EU Anti-Fraud Programme"/>
          <xsd:enumeration value="Cooperation in the field of taxation (Fiscalis)"/>
          <xsd:enumeration value="Cooperation in the field of customs (Customs)"/>
          <xsd:enumeration value="European Space Programme"/>
          <xsd:enumeration value="Union Secure Connectivity"/>
          <xsd:enumeration value="European Regional Development Fund"/>
          <xsd:enumeration value="Cohesion Fund (CF)"/>
          <xsd:enumeration value="European Social Fund Plus (ESF+)"/>
          <xsd:enumeration value="European Recovery and Resilience Facility (incl. Technical Support Instrument)"/>
          <xsd:enumeration value="Protection of the euro against counterfeiting (the ‘Pericles IV programme')"/>
          <xsd:enumeration value="Financing cost of the European Union Recovery Instrument (EURI)"/>
          <xsd:enumeration value="Union Civil Protection Mechanism (RescEU)"/>
          <xsd:enumeration value="EU4Health"/>
          <xsd:enumeration value="Instrument for emergency support within the Union (ESI)"/>
          <xsd:enumeration value="Employment and Social Innovation"/>
          <xsd:enumeration value="Erasmus+"/>
          <xsd:enumeration value="European Solidarity Corps (ESC)"/>
          <xsd:enumeration value="Creative Europe"/>
          <xsd:enumeration value="Justice"/>
          <xsd:enumeration value="Right and Values"/>
          <xsd:enumeration value="European Agricultural Guarantee Fund (EAGF)"/>
          <xsd:enumeration value="European Agricultural Fund for Rural Development (EAFRD)"/>
          <xsd:enumeration value="European Maritime, Fisheries and Aquaculture Fund (EMFAF)"/>
          <xsd:enumeration value="Sustainable Fisheries Partnership Agreements (SFPA) and Regional Fisheries Management Organisations (RFMO)"/>
          <xsd:enumeration value="Programme for Environment and Climate Action (LIFE)"/>
          <xsd:enumeration value="Just Transition Fund"/>
          <xsd:enumeration value="Public sector loan facility under the Just Transition Mechanism (JTM)"/>
          <xsd:enumeration value="Integrated Border Management Fund (IBMF) - Instrument for border management and visa (BMVI)"/>
          <xsd:enumeration value="Integrated Border Management Fund (IBMF) - Instrument for financial support for customs control equipment (CCEi)"/>
          <xsd:enumeration value="Internal Security Fund (ISF)"/>
          <xsd:enumeration value="Nuclear decommissioning (Lithuania)"/>
          <xsd:enumeration value="Nuclear Safety and decommissioning (incl. For Bulgaria and Slovakia)"/>
          <xsd:enumeration value="European Defence Fund (Research)"/>
          <xsd:enumeration value="European Defence Fund (Non Research)"/>
          <xsd:enumeration value="Military Mobility"/>
          <xsd:enumeration value="Short-term Defence instrument on common procurement"/>
          <xsd:enumeration value="Defence Industrial Reiforcement Instrument"/>
          <xsd:enumeration value="European Defence Industrial Programme"/>
          <xsd:enumeration value="Union Secure Connectivity"/>
          <xsd:enumeration value="Neighbourhood, Development and International Cooperation Instrument - Global Europe ( NDICI - Global Europe )"/>
          <xsd:enumeration value="European Instrument for International Nuclear Safety Cooperation (INSC)"/>
          <xsd:enumeration value="Humanitarian Aid (HUMA)"/>
          <xsd:enumeration value="Common Foreign and Security Policy (CFSP)"/>
          <xsd:enumeration value="Overseas Countries and Territories (OCT) (including Greenland)"/>
          <xsd:enumeration value="MFA+"/>
          <xsd:enumeration value="Ukraine Support Instrument"/>
          <xsd:enumeration value="Union Secure Connectivity Programme"/>
          <xsd:enumeration value="Pre-Accession Assistance (IPA III)"/>
          <xsd:enumeration value="Reform and Growth Facility for Western Balkans"/>
          <xsd:enumeration value="Special instruments"/>
          <xsd:enumeration value="Heading 7"/>
          <xsd:enumeration value="Innovation Fund"/>
          <xsd:enumeration value="Modernisation Fund"/>
          <xsd:enumeration value="Ukraine Facility"/>
          <xsd:enumeration value="Solidarity and Emergency Aid Reserve"/>
          <xsd:enumeration value="Flexibility Instrument"/>
          <xsd:enumeration value="Brexit Adjustment Reserve"/>
          <xsd:enumeration value="European Globalisation Adjustment Fund for Displaced Workers"/>
          <xsd:enumeration value="Single Margin Instrument"/>
          <xsd:enumeration value="European Competitiveness Fund"/>
          <xsd:enumeration value="Single Plan"/>
          <xsd:enumeration value="Citizens' dialogue"/>
          <xsd:enumeration value="Access to documents"/>
          <xsd:enumeration value="Citizens' question"/>
          <xsd:enumeration value="Cohesion Fund (CF), contribution to the Connecting Europe Facility"/>
          <xsd:enumeration value="Support to the Turkish-Cypriot Community"/>
          <xsd:enumeration value="Asylum, Migration and Integration Fund"/>
          <xsd:enumeration value="Allocated Expenditure"/>
          <xsd:enumeration value="Economic and Budgetary Analysis"/>
          <xsd:enumeration value="Economic and Fiscal Governance"/>
          <xsd:enumeration value="Rating Agencies"/>
          <xsd:enumeration value="Working group 1"/>
          <xsd:enumeration value="Sectoral Programmes / Initiatives"/>
          <xsd:enumeration value="Technical Adjustments"/>
          <xsd:enumeration value="Discharge"/>
          <xsd:enumeration value="Financial Regulation"/>
          <xsd:enumeration value="Annual Budget Conference"/>
          <xsd:enumeration value="Flexibility / Special Instruments"/>
          <xsd:enumeration value="MFF Regulation and IIA"/>
          <xsd:enumeration value="Annual budget"/>
          <xsd:enumeration value="Allocated expenditure"/>
          <xsd:enumeration value="Annual accounts"/>
          <xsd:enumeration value="Long-term payment forecast"/>
          <xsd:enumeration value="Art. 250 report"/>
          <xsd:enumeration value="Discharge"/>
          <xsd:enumeration value="MFF preparation"/>
          <xsd:enumeration value="MFF negotiation"/>
          <xsd:enumeration value="Revenue"/>
          <xsd:enumeration value="Headroom"/>
          <xsd:enumeration value="Communication"/>
          <xsd:enumeration value="Other states"/>
          <xsd:enumeration value="Enlargement"/>
          <xsd:enumeration value="Third Country"/>
          <xsd:enumeration value="Art. 140 UK Report"/>
          <xsd:enumeration value="UK invoice"/>
          <xsd:enumeration value="UK SCFP - Special Committee on Financial Provisions"/>
          <xsd:enumeration value="Country knowledge"/>
          <xsd:enumeration value="BUDG Administrative"/>
          <xsd:enumeration value="MFF Achitecture"/>
          <xsd:enumeration value="Cross-cutting horizontal elements"/>
          <xsd:enumeration value="Competitiveness and single market"/>
          <xsd:enumeration value="PRE ALLOCATED Cohesion and Resilience"/>
          <xsd:enumeration value="Skills and values: Education, skills, values, justice"/>
          <xsd:enumeration value="Crisis response: Crisis response and macroeconomic stabilization"/>
          <xsd:enumeration value="External action"/>
          <xsd:enumeration value="MFF financial calibration"/>
          <xsd:enumeration value="New Commission"/>
        </xsd:restriction>
      </xsd:simpleType>
    </xsd:element>
    <xsd:element name="Tag_05" ma:index="12" nillable="true" ma:displayName="Main Topic" ma:format="Dropdown" ma:internalName="Tag_05">
      <xsd:simpleType>
        <xsd:restriction base="dms:Choice">
          <xsd:enumeration value="Economic and Budgetary Analysis"/>
          <xsd:enumeration value="Rating Agencies"/>
          <xsd:enumeration value="Working Group 1"/>
          <xsd:enumeration value="Sectoral Programmes / Initiatives"/>
          <xsd:enumeration value="Technical Adjustments"/>
          <xsd:enumeration value="Discharge"/>
          <xsd:enumeration value="Financial Regulation"/>
          <xsd:enumeration value="Annual Budget Conference"/>
          <xsd:enumeration value="Flexibility / Special Instruments"/>
          <xsd:enumeration value="MFF Regulation and IIA"/>
          <xsd:enumeration value="TAJU"/>
          <xsd:enumeration value="Annual budget"/>
          <xsd:enumeration value="Allocated expenditure"/>
          <xsd:enumeration value="Annual accounts"/>
          <xsd:enumeration value="Long-term payment forecast"/>
          <xsd:enumeration value="Art. 250 report"/>
          <xsd:enumeration value="Discharge"/>
          <xsd:enumeration value="MFF Preparation"/>
          <xsd:enumeration value="MFF negotiation"/>
          <xsd:enumeration value="ORD"/>
          <xsd:enumeration value="Headroom"/>
          <xsd:enumeration value="Communication"/>
          <xsd:enumeration value="Other States"/>
          <xsd:enumeration value="Enlargement"/>
          <xsd:enumeration value="Proportionality factor"/>
          <xsd:enumeration value="Art. 140 UK Report"/>
          <xsd:enumeration value="UK invoice"/>
          <xsd:enumeration value="BUDG Administrative"/>
          <xsd:enumeration value="MFF Architecture"/>
          <xsd:enumeration value="Cross-cutting horizontal elements"/>
          <xsd:enumeration value="Competitiveness and single market"/>
          <xsd:enumeration value="Cohesion and Resilience"/>
          <xsd:enumeration value="Skills and values: Education, skills, values, justice"/>
          <xsd:enumeration value="Crisis response: Crisis response and macroeconomic stabilization"/>
          <xsd:enumeration value="External action"/>
          <xsd:enumeration value="MFF financial calibration"/>
        </xsd:restriction>
      </xsd:simpleType>
    </xsd:element>
    <xsd:element name="Tag_06" ma:index="13" nillable="true" ma:displayName="Document Target" ma:format="Dropdown" ma:internalName="Tag_06">
      <xsd:simpleType>
        <xsd:restriction base="dms:Choice">
          <xsd:enumeration value="Internal Meeting"/>
          <xsd:enumeration value="Internal B1"/>
          <xsd:enumeration value="Internal BUDG"/>
          <xsd:enumeration value="Internal COM"/>
          <xsd:enumeration value="Council / EUCO"/>
          <xsd:enumeration value="Council"/>
          <xsd:enumeration value="EUCO"/>
          <xsd:enumeration value="MFF AHWP"/>
          <xsd:enumeration value="EP plenary"/>
          <xsd:enumeration value="EP BUDG"/>
          <xsd:enumeration value="EP other"/>
          <xsd:enumeration value="Parliament"/>
          <xsd:enumeration value="ECA"/>
          <xsd:enumeration value="EESC and CoR"/>
          <xsd:enumeration value="External stakeholders"/>
          <xsd:enumeration value="Jour fixe"/>
          <xsd:enumeration value="ISG meeting"/>
        </xsd:restriction>
      </xsd:simpleType>
    </xsd:element>
    <xsd:element name="Tag_07" ma:index="14" nillable="true" ma:displayName="Free text" ma:format="Dropdown" ma:internalName="Tag_07">
      <xsd:simpleType>
        <xsd:restriction base="dms:Text">
          <xsd:maxLength value="255"/>
        </xsd:restriction>
      </xsd:simpleType>
    </xsd:element>
    <xsd:element name="_x0054_ag8" ma:index="15" nillable="true" ma:displayName="Meeting Date" ma:format="DateOnly" ma:internalName="_x0054_ag8">
      <xsd:simpleType>
        <xsd:restriction base="dms:DateTime"/>
      </xsd:simpleType>
    </xsd:element>
    <xsd:element name="Year" ma:index="16" nillable="true" ma:displayName="Year" ma:format="Dropdown" ma:internalName="Year">
      <xsd:simpleType>
        <xsd:restriction base="dms:Text">
          <xsd:maxLength value="255"/>
        </xsd:restriction>
      </xsd:simpleType>
    </xsd:element>
    <xsd:element name="ApprovalStep" ma:index="17" nillable="true" ma:displayName="Approval Step" ma:format="Dropdown" ma:internalName="ApprovalStep">
      <xsd:simpleType>
        <xsd:restriction base="dms:Choice">
          <xsd:enumeration value="B1 Technical"/>
          <xsd:enumeration value="BUDG Technical"/>
          <xsd:enumeration value="COM Technical"/>
          <xsd:enumeration value="DHoU"/>
          <xsd:enumeration value="HoU"/>
          <xsd:enumeration value="Director"/>
          <xsd:enumeration value="Assistants"/>
          <xsd:enumeration value="DG"/>
          <xsd:enumeration value="CAB"/>
          <xsd:enumeration value="Commissioner"/>
          <xsd:enumeration value="In Progress"/>
        </xsd:restriction>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mberStates" ma:index="22" nillable="true" ma:displayName="Member States" ma:format="Dropdown" ma:internalName="MemberStates">
      <xsd:complexType>
        <xsd:complexContent>
          <xsd:extension base="dms:MultiChoice">
            <xsd:sequence>
              <xsd:element name="Value" maxOccurs="unbounded" minOccurs="0" nillable="true">
                <xsd:simpleType>
                  <xsd:restriction base="dms:Choice">
                    <xsd:enumeration value="EU-27"/>
                    <xsd:enumeration value="BE"/>
                    <xsd:enumeration value="BG"/>
                    <xsd:enumeration value="CZ"/>
                    <xsd:enumeration value="DK"/>
                    <xsd:enumeration value="DE"/>
                    <xsd:enumeration value="EE"/>
                    <xsd:enumeration value="IE"/>
                    <xsd:enumeration value="EL"/>
                    <xsd:enumeration value="ES"/>
                    <xsd:enumeration value="FR"/>
                    <xsd:enumeration value="HR"/>
                    <xsd:enumeration value="IT"/>
                    <xsd:enumeration value="CY"/>
                    <xsd:enumeration value="LV"/>
                    <xsd:enumeration value="LT"/>
                    <xsd:enumeration value="LU"/>
                    <xsd:enumeration value="HU"/>
                    <xsd:enumeration value="MT"/>
                    <xsd:enumeration value="NL"/>
                    <xsd:enumeration value="AT"/>
                    <xsd:enumeration value="PL"/>
                    <xsd:enumeration value="PT"/>
                    <xsd:enumeration value="RO"/>
                    <xsd:enumeration value="FI"/>
                    <xsd:enumeration value="SE"/>
                    <xsd:enumeration value="UK"/>
                    <xsd:enumeration value="SI"/>
                    <xsd:enumeration value="SK"/>
                    <xsd:enumeration value="CH"/>
                    <xsd:enumeration value="NO"/>
                    <xsd:enumeration value="TR (Turkiye)"/>
                    <xsd:enumeration value="EU-10"/>
                    <xsd:enumeration value="EU-12"/>
                    <xsd:enumeration value="EU-13"/>
                    <xsd:enumeration value="EU-15"/>
                    <xsd:enumeration value="EU-28"/>
                    <xsd:enumeration value="EFTA"/>
                    <xsd:enumeration value="BA (Bosnia and Herzegovina)"/>
                    <xsd:enumeration value="ME (Montenegro)"/>
                    <xsd:enumeration value="MD (Moldova)"/>
                    <xsd:enumeration value="MK (North Macedonia)"/>
                    <xsd:enumeration value="GE (Georgia)"/>
                    <xsd:enumeration value="AL (Albania)"/>
                    <xsd:enumeration value="RS (Serbia)"/>
                    <xsd:enumeration value="UA (Ukraine)"/>
                    <xsd:enumeration value="XK (Kosovo)"/>
                  </xsd:restriction>
                </xsd:simpleType>
              </xsd:element>
            </xsd:sequence>
          </xsd:extension>
        </xsd:complexContent>
      </xsd:complexType>
    </xsd:element>
    <xsd:element name="Sensitive" ma:index="23" nillable="true" ma:displayName="Sensitive" ma:format="Dropdown" ma:internalName="Sensitive">
      <xsd:simpleType>
        <xsd:restriction base="dms:Choice">
          <xsd:enumeration value="YES"/>
          <xsd:enumeration value="NO"/>
        </xsd:restrictio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d4cde7-209b-4353-8904-a6d145be66ae"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ed32c070-1309-46aa-9390-a4831651057c}" ma:internalName="TaxCatchAll" ma:showField="CatchAllData" ma:web="b6d4cde7-209b-4353-8904-a6d145be6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6d4cde7-209b-4353-8904-a6d145be66ae" xsi:nil="true"/>
    <lcf76f155ced4ddcb4097134ff3c332f xmlns="8e58f9bf-af8e-457a-8b79-61fccd4d6d5f">
      <Terms xmlns="http://schemas.microsoft.com/office/infopath/2007/PartnerControls"/>
    </lcf76f155ced4ddcb4097134ff3c332f>
    <ApprovalStep xmlns="8e58f9bf-af8e-457a-8b79-61fccd4d6d5f">In Progress</ApprovalStep>
    <_x0054_ag2 xmlns="8e58f9bf-af8e-457a-8b79-61fccd4d6d5f">Report communication</_x0054_ag2>
    <MemberStates xmlns="8e58f9bf-af8e-457a-8b79-61fccd4d6d5f" xsi:nil="true"/>
    <Tag_06 xmlns="8e58f9bf-af8e-457a-8b79-61fccd4d6d5f">External stakeholders</Tag_06>
    <Sensitive xmlns="8e58f9bf-af8e-457a-8b79-61fccd4d6d5f" xsi:nil="true"/>
    <Tag_05 xmlns="8e58f9bf-af8e-457a-8b79-61fccd4d6d5f">MFF Preparation</Tag_05>
    <Year xmlns="8e58f9bf-af8e-457a-8b79-61fccd4d6d5f">2026</Year>
    <_x0054_ag1 xmlns="8e58f9bf-af8e-457a-8b79-61fccd4d6d5f">Communication</_x0054_ag1>
    <Tag_03 xmlns="8e58f9bf-af8e-457a-8b79-61fccd4d6d5f">2028-2034</Tag_03>
    <Tag_04 xmlns="8e58f9bf-af8e-457a-8b79-61fccd4d6d5f">Long-term payment forecast</Tag_04>
    <_x0054_ag8 xmlns="8e58f9bf-af8e-457a-8b79-61fccd4d6d5f" xsi:nil="true"/>
    <Tag_07 xmlns="8e58f9bf-af8e-457a-8b79-61fccd4d6d5f">LTPF 2027-2034</Tag_07>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D6DBCA19-2C24-48D2-AF00-90FD78C172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58f9bf-af8e-457a-8b79-61fccd4d6d5f"/>
    <ds:schemaRef ds:uri="b6d4cde7-209b-4353-8904-a6d145be6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E44A12-B6EA-431B-98C8-8D35772715DB}">
  <ds:schemaRefs>
    <ds:schemaRef ds:uri="http://schemas.microsoft.com/sharepoint/v3/contenttype/forms"/>
  </ds:schemaRefs>
</ds:datastoreItem>
</file>

<file path=customXml/itemProps3.xml><?xml version="1.0" encoding="utf-8"?>
<ds:datastoreItem xmlns:ds="http://schemas.openxmlformats.org/officeDocument/2006/customXml" ds:itemID="{4D32D953-E476-477A-9BB5-CC6C9245F445}">
  <ds:schemaRefs>
    <ds:schemaRef ds:uri="b6d4cde7-209b-4353-8904-a6d145be66ae"/>
    <ds:schemaRef ds:uri="http://purl.org/dc/elements/1.1/"/>
    <ds:schemaRef ds:uri="http://schemas.microsoft.com/office/2006/documentManagement/types"/>
    <ds:schemaRef ds:uri="http://schemas.microsoft.com/office/2006/metadata/properties"/>
    <ds:schemaRef ds:uri="http://purl.org/dc/dcmitype/"/>
    <ds:schemaRef ds:uri="http://www.w3.org/XML/1998/namespace"/>
    <ds:schemaRef ds:uri="http://schemas.microsoft.com/office/infopath/2007/PartnerControls"/>
    <ds:schemaRef ds:uri="http://schemas.openxmlformats.org/package/2006/metadata/core-properties"/>
    <ds:schemaRef ds:uri="8e58f9bf-af8e-457a-8b79-61fccd4d6d5f"/>
    <ds:schemaRef ds:uri="http://purl.org/dc/terms/"/>
  </ds:schemaRefs>
</ds:datastoreItem>
</file>

<file path=customXml/itemProps4.xml><?xml version="1.0" encoding="utf-8"?>
<ds:datastoreItem xmlns:ds="http://schemas.openxmlformats.org/officeDocument/2006/customXml" ds:itemID="{53181D54-1D1C-4812-A1A8-987D09E29DD6}">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13</Pages>
  <Words>5433</Words>
  <Characters>30969</Characters>
  <Application>Microsoft Office Word</Application>
  <DocSecurity>0</DocSecurity>
  <Lines>258</Lines>
  <Paragraphs>72</Paragraphs>
  <ScaleCrop>false</ScaleCrop>
  <Manager/>
  <Company/>
  <LinksUpToDate>false</LinksUpToDate>
  <CharactersWithSpaces>36330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cp:lastPrinted>2023-05-28T12:21:00Z</cp:lastPrinted>
  <dcterms:created xsi:type="dcterms:W3CDTF">2026-07-03T07:49:00Z</dcterms:created>
  <dcterms:modified xsi:type="dcterms:W3CDTF">2026-07-03T15:40:00Z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Last edited using">
    <vt:lpwstr>LW 9.2, Build 20250828</vt:lpwstr>
  </property>
  <property fmtid="{D5CDD505-2E9C-101B-9397-08002B2CF9AE}" pid="6" name="Created using">
    <vt:lpwstr>LW 6.0.1, Build 20180503</vt:lpwstr>
  </property>
  <property fmtid="{D5CDD505-2E9C-101B-9397-08002B2CF9AE}" pid="7" name="synchronize">
    <vt:lpwstr>on</vt:lpwstr>
  </property>
  <property fmtid="{D5CDD505-2E9C-101B-9397-08002B2CF9AE}" pid="8" name="CPTemplateID">
    <vt:lpwstr>CP-006</vt:lpwstr>
  </property>
  <property fmtid="{D5CDD505-2E9C-101B-9397-08002B2CF9AE}" pid="9" name="_LW_INVALIDATED__LW_INVALIDATED_ContentTypeId">
    <vt:lpwstr>0x010100258AA79CEB83498886A3A0868112325000189CB87B1E53E74D8E56C76F27A51955</vt:lpwstr>
  </property>
  <property fmtid="{D5CDD505-2E9C-101B-9397-08002B2CF9AE}" pid="10" name="ContentTypeId">
    <vt:lpwstr>0x010100B5BD0826AAE22F4CB9B703218939610D</vt:lpwstr>
  </property>
  <property fmtid="{D5CDD505-2E9C-101B-9397-08002B2CF9AE}" pid="11" name="_dlc_DocIdItemGuid">
    <vt:lpwstr>612815d5-7b94-4e92-b123-ce86cafd4f18</vt:lpwstr>
  </property>
  <property fmtid="{D5CDD505-2E9C-101B-9397-08002B2CF9AE}" pid="12" name="MSIP_Label_6bd9ddd1-4d20-43f6-abfa-fc3c07406f94_Enabled">
    <vt:lpwstr>true</vt:lpwstr>
  </property>
  <property fmtid="{D5CDD505-2E9C-101B-9397-08002B2CF9AE}" pid="13" name="MSIP_Label_6bd9ddd1-4d20-43f6-abfa-fc3c07406f94_SetDate">
    <vt:lpwstr>2022-05-17T07:30:17Z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5bd134ee-e9e5-4153-9fea-730183349a8b</vt:lpwstr>
  </property>
  <property fmtid="{D5CDD505-2E9C-101B-9397-08002B2CF9AE}" pid="18" name="MSIP_Label_6bd9ddd1-4d20-43f6-abfa-fc3c07406f94_ContentBits">
    <vt:lpwstr>0</vt:lpwstr>
  </property>
  <property fmtid="{D5CDD505-2E9C-101B-9397-08002B2CF9AE}" pid="19" name="MediaServiceImageTags">
    <vt:lpwstr/>
  </property>
  <property fmtid="{D5CDD505-2E9C-101B-9397-08002B2CF9AE}" pid="20" name="SharedWithUsers">
    <vt:lpwstr>20;#MORARU Andrei (BUDG)</vt:lpwstr>
  </property>
  <property fmtid="{D5CDD505-2E9C-101B-9397-08002B2CF9AE}" pid="21" name="Tag_05">
    <vt:lpwstr>MFF Preparation</vt:lpwstr>
  </property>
  <property fmtid="{D5CDD505-2E9C-101B-9397-08002B2CF9AE}" pid="22" name="ApprovalStep">
    <vt:lpwstr>In Progress</vt:lpwstr>
  </property>
  <property fmtid="{D5CDD505-2E9C-101B-9397-08002B2CF9AE}" pid="23" name="Tag2">
    <vt:lpwstr>Report communication</vt:lpwstr>
  </property>
  <property fmtid="{D5CDD505-2E9C-101B-9397-08002B2CF9AE}" pid="24" name="Tag_06">
    <vt:lpwstr>External stakeholders</vt:lpwstr>
  </property>
  <property fmtid="{D5CDD505-2E9C-101B-9397-08002B2CF9AE}" pid="25" name="Tag_07">
    <vt:lpwstr>LTPF 2027-2034</vt:lpwstr>
  </property>
  <property fmtid="{D5CDD505-2E9C-101B-9397-08002B2CF9AE}" pid="26" name="Tag1">
    <vt:lpwstr>Communication</vt:lpwstr>
  </property>
  <property fmtid="{D5CDD505-2E9C-101B-9397-08002B2CF9AE}" pid="27" name="Tag_03">
    <vt:lpwstr>2028-2034</vt:lpwstr>
  </property>
  <property fmtid="{D5CDD505-2E9C-101B-9397-08002B2CF9AE}" pid="28" name="Year">
    <vt:lpwstr>2026</vt:lpwstr>
  </property>
  <property fmtid="{D5CDD505-2E9C-101B-9397-08002B2CF9AE}" pid="29" name="Tag_04">
    <vt:lpwstr>Long-term payment forecast</vt:lpwstr>
  </property>
  <property fmtid="{D5CDD505-2E9C-101B-9397-08002B2CF9AE}" pid="30" name="DocStatus">
    <vt:lpwstr>Green</vt:lpwstr>
  </property>
</Properties>
</file>