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2D012" w14:textId="57F5A423" w:rsidR="008E336A" w:rsidRDefault="00D75AB3" w:rsidP="00D75AB3">
      <w:pPr>
        <w:pStyle w:val="Pagedecouverture"/>
        <w:rPr>
          <w:noProof/>
        </w:rPr>
      </w:pPr>
      <w:bookmarkStart w:id="0" w:name="LW_BM_COVERPAGE"/>
      <w:r>
        <w:rPr>
          <w:noProof/>
        </w:rPr>
        <w:pict w14:anchorId="195B8C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80C65EA-1F5E-432B-BFA7-2D220AABC9A3" style="width:455.25pt;height:342pt">
            <v:imagedata r:id="rId14" o:title=""/>
          </v:shape>
        </w:pict>
      </w:r>
    </w:p>
    <w:bookmarkEnd w:id="0"/>
    <w:p w14:paraId="71B82096" w14:textId="77777777" w:rsidR="008E336A" w:rsidRDefault="008E336A" w:rsidP="008E336A">
      <w:pPr>
        <w:rPr>
          <w:noProof/>
        </w:rPr>
        <w:sectPr w:rsidR="008E336A" w:rsidSect="00D75AB3">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01F8DCE8" w14:textId="77777777" w:rsidR="00790BC5" w:rsidRPr="008E336A" w:rsidRDefault="00790BC5" w:rsidP="00790BC5">
      <w:pPr>
        <w:pStyle w:val="Heading1"/>
        <w:rPr>
          <w:noProof/>
        </w:rPr>
      </w:pPr>
      <w:bookmarkStart w:id="1" w:name="_Toc228901691"/>
      <w:bookmarkStart w:id="2" w:name="_GoBack"/>
      <w:bookmarkEnd w:id="2"/>
      <w:r w:rsidRPr="008E336A">
        <w:rPr>
          <w:noProof/>
        </w:rPr>
        <w:lastRenderedPageBreak/>
        <w:t>INTRODUCTION</w:t>
      </w:r>
      <w:bookmarkEnd w:id="1"/>
    </w:p>
    <w:p w14:paraId="48049E50" w14:textId="621FC196" w:rsidR="008C35C0" w:rsidRDefault="008C35C0" w:rsidP="004A1922">
      <w:pPr>
        <w:rPr>
          <w:noProof/>
        </w:rPr>
      </w:pPr>
      <w:r>
        <w:rPr>
          <w:noProof/>
        </w:rPr>
        <w:t xml:space="preserve">Regulation (EU) 2022/2560 </w:t>
      </w:r>
      <w:r w:rsidR="0086160A" w:rsidRPr="0086160A">
        <w:rPr>
          <w:noProof/>
        </w:rPr>
        <w:t>of the European Parliament and of the Council of 14</w:t>
      </w:r>
      <w:r w:rsidR="00B26EE7">
        <w:rPr>
          <w:noProof/>
        </w:rPr>
        <w:t> </w:t>
      </w:r>
      <w:r w:rsidR="0086160A" w:rsidRPr="0086160A">
        <w:rPr>
          <w:noProof/>
        </w:rPr>
        <w:t>December 2022</w:t>
      </w:r>
      <w:r w:rsidR="0086160A">
        <w:rPr>
          <w:noProof/>
        </w:rPr>
        <w:t xml:space="preserve"> </w:t>
      </w:r>
      <w:r>
        <w:rPr>
          <w:noProof/>
        </w:rPr>
        <w:t>on foreign subsidies distorting the internal market</w:t>
      </w:r>
      <w:r w:rsidR="00A16B12" w:rsidRPr="00A16B12">
        <w:rPr>
          <w:noProof/>
        </w:rPr>
        <w:t> (</w:t>
      </w:r>
      <w:r w:rsidR="00A16B12">
        <w:rPr>
          <w:rStyle w:val="FootnoteReference"/>
          <w:noProof/>
        </w:rPr>
        <w:footnoteReference w:id="1"/>
      </w:r>
      <w:r w:rsidR="00A16B12">
        <w:rPr>
          <w:noProof/>
        </w:rPr>
        <w:t>)</w:t>
      </w:r>
      <w:r>
        <w:rPr>
          <w:noProof/>
        </w:rPr>
        <w:t xml:space="preserve"> (the </w:t>
      </w:r>
      <w:r w:rsidR="00565F94">
        <w:rPr>
          <w:noProof/>
        </w:rPr>
        <w:t>‘</w:t>
      </w:r>
      <w:r>
        <w:rPr>
          <w:noProof/>
        </w:rPr>
        <w:t>FSR</w:t>
      </w:r>
      <w:r w:rsidR="00B0030F">
        <w:rPr>
          <w:noProof/>
        </w:rPr>
        <w:t>’</w:t>
      </w:r>
      <w:r>
        <w:rPr>
          <w:noProof/>
        </w:rPr>
        <w:t xml:space="preserve">) was adopted to address distortions </w:t>
      </w:r>
      <w:r w:rsidR="008364AC">
        <w:rPr>
          <w:noProof/>
        </w:rPr>
        <w:t xml:space="preserve">to the internal market </w:t>
      </w:r>
      <w:r>
        <w:rPr>
          <w:noProof/>
        </w:rPr>
        <w:t xml:space="preserve">caused by subsidies granted by </w:t>
      </w:r>
      <w:r w:rsidR="004F6195">
        <w:rPr>
          <w:noProof/>
        </w:rPr>
        <w:t xml:space="preserve">third </w:t>
      </w:r>
      <w:r>
        <w:rPr>
          <w:noProof/>
        </w:rPr>
        <w:t>countries</w:t>
      </w:r>
      <w:r w:rsidR="007A63D3">
        <w:rPr>
          <w:noProof/>
        </w:rPr>
        <w:t xml:space="preserve"> to undertakings engaging in economic activities in the</w:t>
      </w:r>
      <w:r w:rsidR="008364AC">
        <w:rPr>
          <w:noProof/>
        </w:rPr>
        <w:t xml:space="preserve"> European Union (the </w:t>
      </w:r>
      <w:r w:rsidR="00B0030F">
        <w:rPr>
          <w:noProof/>
        </w:rPr>
        <w:t>‘</w:t>
      </w:r>
      <w:r w:rsidR="008364AC">
        <w:rPr>
          <w:noProof/>
        </w:rPr>
        <w:t>Union</w:t>
      </w:r>
      <w:r w:rsidR="00B0030F">
        <w:rPr>
          <w:noProof/>
        </w:rPr>
        <w:t>’</w:t>
      </w:r>
      <w:r w:rsidR="008364AC">
        <w:rPr>
          <w:noProof/>
        </w:rPr>
        <w:t>)</w:t>
      </w:r>
      <w:r>
        <w:rPr>
          <w:noProof/>
        </w:rPr>
        <w:t xml:space="preserve">. The </w:t>
      </w:r>
      <w:r w:rsidR="008364AC">
        <w:rPr>
          <w:noProof/>
        </w:rPr>
        <w:t xml:space="preserve">FSR </w:t>
      </w:r>
      <w:r>
        <w:rPr>
          <w:noProof/>
        </w:rPr>
        <w:t xml:space="preserve">seeks to ensure a level playing field </w:t>
      </w:r>
      <w:r w:rsidR="007F54EB">
        <w:rPr>
          <w:noProof/>
        </w:rPr>
        <w:t>in the internal market</w:t>
      </w:r>
      <w:r>
        <w:rPr>
          <w:noProof/>
        </w:rPr>
        <w:t xml:space="preserve"> </w:t>
      </w:r>
      <w:r w:rsidR="008364AC">
        <w:rPr>
          <w:noProof/>
        </w:rPr>
        <w:t>by</w:t>
      </w:r>
      <w:r>
        <w:rPr>
          <w:noProof/>
        </w:rPr>
        <w:t xml:space="preserve"> enabling </w:t>
      </w:r>
      <w:r w:rsidR="008364AC">
        <w:rPr>
          <w:noProof/>
        </w:rPr>
        <w:t xml:space="preserve">the European Commission (the </w:t>
      </w:r>
      <w:r w:rsidR="00B0030F">
        <w:rPr>
          <w:noProof/>
        </w:rPr>
        <w:t>‘</w:t>
      </w:r>
      <w:r w:rsidR="008364AC">
        <w:rPr>
          <w:noProof/>
        </w:rPr>
        <w:t>Commission</w:t>
      </w:r>
      <w:r w:rsidR="00B0030F">
        <w:rPr>
          <w:noProof/>
        </w:rPr>
        <w:t>’</w:t>
      </w:r>
      <w:r w:rsidR="008364AC">
        <w:rPr>
          <w:noProof/>
        </w:rPr>
        <w:t xml:space="preserve">) to </w:t>
      </w:r>
      <w:r>
        <w:rPr>
          <w:noProof/>
        </w:rPr>
        <w:t>identif</w:t>
      </w:r>
      <w:r w:rsidR="008364AC">
        <w:rPr>
          <w:noProof/>
        </w:rPr>
        <w:t>y</w:t>
      </w:r>
      <w:r>
        <w:rPr>
          <w:noProof/>
        </w:rPr>
        <w:t xml:space="preserve">, assess, and, where necessary, redress distortive foreign subsidies. </w:t>
      </w:r>
    </w:p>
    <w:p w14:paraId="18169153" w14:textId="4FD504FD" w:rsidR="001E3372" w:rsidRPr="00FF7E28" w:rsidRDefault="00B0030F" w:rsidP="001E3372">
      <w:pPr>
        <w:rPr>
          <w:noProof/>
          <w:szCs w:val="24"/>
        </w:rPr>
      </w:pPr>
      <w:r>
        <w:rPr>
          <w:noProof/>
        </w:rPr>
        <w:t xml:space="preserve">Before </w:t>
      </w:r>
      <w:r w:rsidR="001E3372">
        <w:rPr>
          <w:noProof/>
        </w:rPr>
        <w:t xml:space="preserve">the adoption of the FSR, </w:t>
      </w:r>
      <w:r w:rsidR="00790BC5" w:rsidRPr="0072166A">
        <w:rPr>
          <w:noProof/>
        </w:rPr>
        <w:t xml:space="preserve">undertakings </w:t>
      </w:r>
      <w:r w:rsidR="00790BC5">
        <w:rPr>
          <w:noProof/>
        </w:rPr>
        <w:t xml:space="preserve">active in the Union were able </w:t>
      </w:r>
      <w:r w:rsidR="00D50818">
        <w:rPr>
          <w:noProof/>
        </w:rPr>
        <w:t xml:space="preserve">to </w:t>
      </w:r>
      <w:r w:rsidR="00790BC5" w:rsidRPr="0072166A">
        <w:rPr>
          <w:noProof/>
        </w:rPr>
        <w:t xml:space="preserve">finance economic activities in the internal market </w:t>
      </w:r>
      <w:r w:rsidR="00790BC5">
        <w:rPr>
          <w:noProof/>
        </w:rPr>
        <w:t>with subsidies granted by</w:t>
      </w:r>
      <w:r w:rsidR="00044ECB">
        <w:rPr>
          <w:noProof/>
        </w:rPr>
        <w:t xml:space="preserve"> third countries</w:t>
      </w:r>
      <w:r w:rsidR="00AC011B">
        <w:rPr>
          <w:noProof/>
        </w:rPr>
        <w:t>. This concerned</w:t>
      </w:r>
      <w:r w:rsidR="00790BC5" w:rsidRPr="0072166A">
        <w:rPr>
          <w:noProof/>
        </w:rPr>
        <w:t xml:space="preserve"> any sector of the economy </w:t>
      </w:r>
      <w:r w:rsidR="00AC011B">
        <w:rPr>
          <w:noProof/>
        </w:rPr>
        <w:t>and include</w:t>
      </w:r>
      <w:r w:rsidR="00565F94">
        <w:rPr>
          <w:noProof/>
        </w:rPr>
        <w:t>d</w:t>
      </w:r>
      <w:r w:rsidR="00790BC5">
        <w:rPr>
          <w:noProof/>
        </w:rPr>
        <w:t xml:space="preserve">, </w:t>
      </w:r>
      <w:r w:rsidR="004B4C4B">
        <w:rPr>
          <w:noProof/>
        </w:rPr>
        <w:t>inter alia</w:t>
      </w:r>
      <w:r w:rsidR="00790BC5">
        <w:rPr>
          <w:noProof/>
        </w:rPr>
        <w:t>,</w:t>
      </w:r>
      <w:r w:rsidR="00790BC5" w:rsidRPr="0072166A">
        <w:rPr>
          <w:noProof/>
        </w:rPr>
        <w:t xml:space="preserve"> participation in public procurement procedures</w:t>
      </w:r>
      <w:r w:rsidR="00AC011B">
        <w:rPr>
          <w:noProof/>
        </w:rPr>
        <w:t>,</w:t>
      </w:r>
      <w:r w:rsidR="00790BC5" w:rsidRPr="0072166A">
        <w:rPr>
          <w:noProof/>
        </w:rPr>
        <w:t xml:space="preserve"> acquisition of undertakings</w:t>
      </w:r>
      <w:r w:rsidR="00AC011B">
        <w:rPr>
          <w:noProof/>
        </w:rPr>
        <w:t>,</w:t>
      </w:r>
      <w:r w:rsidR="00D50818">
        <w:rPr>
          <w:noProof/>
        </w:rPr>
        <w:t xml:space="preserve"> or engag</w:t>
      </w:r>
      <w:r w:rsidR="004B4C4B">
        <w:rPr>
          <w:noProof/>
        </w:rPr>
        <w:t>ing</w:t>
      </w:r>
      <w:r w:rsidR="00653E1E">
        <w:rPr>
          <w:noProof/>
        </w:rPr>
        <w:t xml:space="preserve"> </w:t>
      </w:r>
      <w:r w:rsidR="00D50818">
        <w:rPr>
          <w:noProof/>
        </w:rPr>
        <w:t>in any other economic activities in the Union</w:t>
      </w:r>
      <w:r w:rsidR="00790BC5" w:rsidRPr="0072166A">
        <w:rPr>
          <w:noProof/>
        </w:rPr>
        <w:t xml:space="preserve">. Such foreign subsidies </w:t>
      </w:r>
      <w:r w:rsidR="00790BC5">
        <w:rPr>
          <w:noProof/>
        </w:rPr>
        <w:t>were</w:t>
      </w:r>
      <w:r w:rsidR="00790BC5" w:rsidRPr="0072166A">
        <w:rPr>
          <w:noProof/>
        </w:rPr>
        <w:t xml:space="preserve"> not subject to Union State aid rules</w:t>
      </w:r>
      <w:r w:rsidR="00AC011B">
        <w:rPr>
          <w:noProof/>
        </w:rPr>
        <w:t>.</w:t>
      </w:r>
      <w:r w:rsidR="00790BC5">
        <w:rPr>
          <w:noProof/>
        </w:rPr>
        <w:t xml:space="preserve"> </w:t>
      </w:r>
      <w:r w:rsidR="00AC011B">
        <w:rPr>
          <w:noProof/>
        </w:rPr>
        <w:t>T</w:t>
      </w:r>
      <w:r w:rsidR="001E3372">
        <w:rPr>
          <w:noProof/>
        </w:rPr>
        <w:t xml:space="preserve">he </w:t>
      </w:r>
      <w:r w:rsidR="004F6195">
        <w:rPr>
          <w:noProof/>
        </w:rPr>
        <w:t xml:space="preserve">Union </w:t>
      </w:r>
      <w:r w:rsidR="001E3372">
        <w:rPr>
          <w:noProof/>
        </w:rPr>
        <w:t xml:space="preserve">legal framework contained </w:t>
      </w:r>
      <w:r w:rsidR="00790BC5">
        <w:rPr>
          <w:noProof/>
        </w:rPr>
        <w:t>no</w:t>
      </w:r>
      <w:r w:rsidR="001E3372">
        <w:rPr>
          <w:noProof/>
        </w:rPr>
        <w:t xml:space="preserve"> </w:t>
      </w:r>
      <w:r w:rsidR="00B22470">
        <w:rPr>
          <w:noProof/>
        </w:rPr>
        <w:t>mechanism</w:t>
      </w:r>
      <w:r w:rsidR="001E3372">
        <w:rPr>
          <w:noProof/>
        </w:rPr>
        <w:t xml:space="preserve"> </w:t>
      </w:r>
      <w:r w:rsidR="00790BC5">
        <w:rPr>
          <w:noProof/>
        </w:rPr>
        <w:t>to tackle distortions caused by these foreign subsidies to the internal market</w:t>
      </w:r>
      <w:r w:rsidR="00FF7E28">
        <w:rPr>
          <w:noProof/>
        </w:rPr>
        <w:t>,</w:t>
      </w:r>
      <w:r w:rsidR="00FF7E28" w:rsidRPr="00CF7152">
        <w:rPr>
          <w:noProof/>
        </w:rPr>
        <w:t xml:space="preserve"> </w:t>
      </w:r>
      <w:r w:rsidR="00AC011B" w:rsidRPr="00CF7152">
        <w:rPr>
          <w:noProof/>
        </w:rPr>
        <w:t>as</w:t>
      </w:r>
      <w:r w:rsidR="00FF7E28" w:rsidRPr="00CF7152">
        <w:rPr>
          <w:noProof/>
        </w:rPr>
        <w:t xml:space="preserve"> the traditional trade defence mechanisms apply only to imports of traded goods</w:t>
      </w:r>
      <w:r w:rsidR="001E3372">
        <w:rPr>
          <w:noProof/>
        </w:rPr>
        <w:t xml:space="preserve">. </w:t>
      </w:r>
      <w:bookmarkStart w:id="3" w:name="_Hlk229135565"/>
      <w:r w:rsidR="001E3372">
        <w:rPr>
          <w:noProof/>
        </w:rPr>
        <w:t xml:space="preserve">The FSR was conceived as a horizontal instrument complementing existing </w:t>
      </w:r>
      <w:r w:rsidR="004F6195">
        <w:rPr>
          <w:noProof/>
        </w:rPr>
        <w:t xml:space="preserve">Union </w:t>
      </w:r>
      <w:r w:rsidR="001E3372">
        <w:rPr>
          <w:noProof/>
        </w:rPr>
        <w:t xml:space="preserve">merger, antitrust, </w:t>
      </w:r>
      <w:r w:rsidR="00044ECB">
        <w:rPr>
          <w:noProof/>
        </w:rPr>
        <w:t>State aid, public procurement</w:t>
      </w:r>
      <w:r w:rsidR="001E3372">
        <w:rPr>
          <w:noProof/>
        </w:rPr>
        <w:t xml:space="preserve"> and trade policy rules, with the objective of preserving fair competition and the integrity of the internal market. </w:t>
      </w:r>
    </w:p>
    <w:bookmarkEnd w:id="3"/>
    <w:p w14:paraId="05DE8E2B" w14:textId="54BC129A" w:rsidR="000C2908" w:rsidRDefault="000C2908" w:rsidP="001E3372">
      <w:pPr>
        <w:rPr>
          <w:noProof/>
        </w:rPr>
      </w:pPr>
      <w:r>
        <w:rPr>
          <w:noProof/>
        </w:rPr>
        <w:t>The FSR is based on non-discriminatory principles and objective criteria. It</w:t>
      </w:r>
      <w:r w:rsidR="00C171BA">
        <w:rPr>
          <w:noProof/>
        </w:rPr>
        <w:t xml:space="preserve"> covers all</w:t>
      </w:r>
      <w:r w:rsidR="001E3372">
        <w:rPr>
          <w:noProof/>
        </w:rPr>
        <w:t xml:space="preserve"> sectors and economic activities </w:t>
      </w:r>
      <w:r w:rsidR="00AC011B">
        <w:rPr>
          <w:noProof/>
        </w:rPr>
        <w:t xml:space="preserve">and targets distortions caused by any foreign subsidy </w:t>
      </w:r>
      <w:r w:rsidR="001E3372">
        <w:rPr>
          <w:noProof/>
        </w:rPr>
        <w:t>in the internal market.</w:t>
      </w:r>
      <w:r w:rsidR="00366497" w:rsidRPr="00366497">
        <w:rPr>
          <w:noProof/>
          <w:lang w:val="en-IE"/>
        </w:rPr>
        <w:t xml:space="preserve"> </w:t>
      </w:r>
      <w:r w:rsidR="00366497" w:rsidRPr="00ED567E">
        <w:rPr>
          <w:noProof/>
          <w:lang w:val="en-IE"/>
        </w:rPr>
        <w:t>The FSR applie</w:t>
      </w:r>
      <w:r w:rsidR="00EC5F84">
        <w:rPr>
          <w:noProof/>
          <w:lang w:val="en-IE"/>
        </w:rPr>
        <w:t>s</w:t>
      </w:r>
      <w:r w:rsidR="00366497" w:rsidRPr="00ED567E">
        <w:rPr>
          <w:noProof/>
          <w:lang w:val="en-IE"/>
        </w:rPr>
        <w:t xml:space="preserve"> in full respect of international obligations. While the Commission remains committed to constructive dialogue and cooperation with third</w:t>
      </w:r>
      <w:r w:rsidR="00F455E5">
        <w:rPr>
          <w:noProof/>
          <w:lang w:val="en-IE"/>
        </w:rPr>
        <w:t xml:space="preserve"> </w:t>
      </w:r>
      <w:r w:rsidR="00366497" w:rsidRPr="00ED567E">
        <w:rPr>
          <w:noProof/>
          <w:lang w:val="en-IE"/>
        </w:rPr>
        <w:t xml:space="preserve">country authorities and economic operators, </w:t>
      </w:r>
      <w:r w:rsidR="00366497">
        <w:rPr>
          <w:noProof/>
          <w:lang w:val="en-IE"/>
        </w:rPr>
        <w:t>it</w:t>
      </w:r>
      <w:r w:rsidR="00366497" w:rsidRPr="00ED567E">
        <w:rPr>
          <w:noProof/>
          <w:lang w:val="en-IE"/>
        </w:rPr>
        <w:t xml:space="preserve"> will continue to use all investigative and procedural tools available under the FSR to ensure </w:t>
      </w:r>
      <w:r w:rsidR="00C13F57">
        <w:rPr>
          <w:noProof/>
          <w:lang w:val="en-IE"/>
        </w:rPr>
        <w:t>its</w:t>
      </w:r>
      <w:r w:rsidR="00366497" w:rsidRPr="00ED567E">
        <w:rPr>
          <w:noProof/>
          <w:lang w:val="en-IE"/>
        </w:rPr>
        <w:t xml:space="preserve"> effective application </w:t>
      </w:r>
      <w:r w:rsidR="00C13F57">
        <w:rPr>
          <w:noProof/>
          <w:lang w:val="en-IE"/>
        </w:rPr>
        <w:t>and</w:t>
      </w:r>
      <w:r w:rsidR="00366497" w:rsidRPr="00ED567E">
        <w:rPr>
          <w:noProof/>
          <w:lang w:val="en-IE"/>
        </w:rPr>
        <w:t xml:space="preserve"> safeguard </w:t>
      </w:r>
      <w:r w:rsidR="00C13F57">
        <w:rPr>
          <w:noProof/>
          <w:lang w:val="en-IE"/>
        </w:rPr>
        <w:t>the</w:t>
      </w:r>
      <w:r w:rsidR="00366497" w:rsidRPr="00ED567E">
        <w:rPr>
          <w:noProof/>
          <w:lang w:val="en-IE"/>
        </w:rPr>
        <w:t xml:space="preserve"> level playing field in the internal market.</w:t>
      </w:r>
    </w:p>
    <w:p w14:paraId="5C519C81" w14:textId="77777777" w:rsidR="002150EA" w:rsidRDefault="008A65F1" w:rsidP="008A65F1">
      <w:pPr>
        <w:rPr>
          <w:noProof/>
        </w:rPr>
      </w:pPr>
      <w:r w:rsidRPr="008A65F1">
        <w:rPr>
          <w:noProof/>
        </w:rPr>
        <w:t xml:space="preserve">The purpose of this </w:t>
      </w:r>
      <w:r>
        <w:rPr>
          <w:noProof/>
        </w:rPr>
        <w:t>R</w:t>
      </w:r>
      <w:r w:rsidRPr="008A65F1">
        <w:rPr>
          <w:noProof/>
        </w:rPr>
        <w:t xml:space="preserve">eport is to present the findings of the first review of the </w:t>
      </w:r>
      <w:r>
        <w:rPr>
          <w:noProof/>
        </w:rPr>
        <w:t>FSR</w:t>
      </w:r>
      <w:r w:rsidR="002D40D4">
        <w:rPr>
          <w:noProof/>
        </w:rPr>
        <w:t xml:space="preserve"> to the European Parliament and the Council</w:t>
      </w:r>
      <w:r w:rsidRPr="008A65F1">
        <w:rPr>
          <w:noProof/>
        </w:rPr>
        <w:t>.</w:t>
      </w:r>
      <w:r w:rsidR="002150EA">
        <w:rPr>
          <w:noProof/>
        </w:rPr>
        <w:t xml:space="preserve"> </w:t>
      </w:r>
    </w:p>
    <w:p w14:paraId="664B9FF8" w14:textId="5C8D0109" w:rsidR="008A65F1" w:rsidRDefault="008A65F1" w:rsidP="008A65F1">
      <w:pPr>
        <w:rPr>
          <w:noProof/>
        </w:rPr>
      </w:pPr>
      <w:r>
        <w:rPr>
          <w:noProof/>
        </w:rPr>
        <w:t xml:space="preserve">This Report is </w:t>
      </w:r>
      <w:r w:rsidR="00386F10">
        <w:rPr>
          <w:noProof/>
        </w:rPr>
        <w:t xml:space="preserve">prepared </w:t>
      </w:r>
      <w:r w:rsidR="004B4C4B">
        <w:rPr>
          <w:noProof/>
        </w:rPr>
        <w:t>pursuant to</w:t>
      </w:r>
      <w:r>
        <w:rPr>
          <w:noProof/>
        </w:rPr>
        <w:t xml:space="preserve"> Article</w:t>
      </w:r>
      <w:r w:rsidR="00CD6DE4">
        <w:rPr>
          <w:noProof/>
        </w:rPr>
        <w:t> </w:t>
      </w:r>
      <w:r>
        <w:rPr>
          <w:noProof/>
        </w:rPr>
        <w:t>52(2</w:t>
      </w:r>
      <w:r w:rsidR="00CD6DE4">
        <w:rPr>
          <w:noProof/>
        </w:rPr>
        <w:t>) </w:t>
      </w:r>
      <w:r>
        <w:rPr>
          <w:noProof/>
        </w:rPr>
        <w:t>FSR, which requires the</w:t>
      </w:r>
      <w:r w:rsidR="008364AC">
        <w:rPr>
          <w:noProof/>
        </w:rPr>
        <w:t xml:space="preserve"> </w:t>
      </w:r>
      <w:r w:rsidRPr="008A65F1">
        <w:rPr>
          <w:noProof/>
        </w:rPr>
        <w:t xml:space="preserve">Commission </w:t>
      </w:r>
      <w:r>
        <w:rPr>
          <w:noProof/>
        </w:rPr>
        <w:t xml:space="preserve">to review </w:t>
      </w:r>
      <w:r w:rsidR="004D0D6A">
        <w:rPr>
          <w:noProof/>
        </w:rPr>
        <w:t xml:space="preserve">how it </w:t>
      </w:r>
      <w:r>
        <w:rPr>
          <w:noProof/>
        </w:rPr>
        <w:t>implement</w:t>
      </w:r>
      <w:r w:rsidR="004D0D6A">
        <w:rPr>
          <w:noProof/>
        </w:rPr>
        <w:t>s</w:t>
      </w:r>
      <w:r>
        <w:rPr>
          <w:noProof/>
        </w:rPr>
        <w:t xml:space="preserve"> and enforc</w:t>
      </w:r>
      <w:r w:rsidR="004D0D6A">
        <w:rPr>
          <w:noProof/>
        </w:rPr>
        <w:t>es</w:t>
      </w:r>
      <w:r>
        <w:rPr>
          <w:noProof/>
        </w:rPr>
        <w:t xml:space="preserve"> the FSR, </w:t>
      </w:r>
      <w:r w:rsidR="004D0D6A">
        <w:rPr>
          <w:noProof/>
        </w:rPr>
        <w:t xml:space="preserve">especially </w:t>
      </w:r>
      <w:r w:rsidRPr="00393AD5">
        <w:rPr>
          <w:noProof/>
        </w:rPr>
        <w:t>the application of Articles</w:t>
      </w:r>
      <w:r w:rsidR="00CD6DE4">
        <w:rPr>
          <w:noProof/>
        </w:rPr>
        <w:t> </w:t>
      </w:r>
      <w:r w:rsidRPr="00393AD5">
        <w:rPr>
          <w:noProof/>
        </w:rPr>
        <w:t xml:space="preserve">4, 5, 6 and 9, and the notification thresholds set out in </w:t>
      </w:r>
      <w:r w:rsidR="00CD6DE4" w:rsidRPr="00393AD5">
        <w:rPr>
          <w:noProof/>
        </w:rPr>
        <w:t>Article</w:t>
      </w:r>
      <w:r w:rsidR="00CD6DE4">
        <w:rPr>
          <w:noProof/>
        </w:rPr>
        <w:t> </w:t>
      </w:r>
      <w:r w:rsidR="00964CA2">
        <w:rPr>
          <w:noProof/>
        </w:rPr>
        <w:t>2</w:t>
      </w:r>
      <w:r w:rsidRPr="00393AD5">
        <w:rPr>
          <w:noProof/>
        </w:rPr>
        <w:t xml:space="preserve">0(3), </w:t>
      </w:r>
      <w:r w:rsidR="00964CA2">
        <w:rPr>
          <w:noProof/>
        </w:rPr>
        <w:t xml:space="preserve">and </w:t>
      </w:r>
      <w:r w:rsidR="00CD6DE4" w:rsidRPr="00393AD5">
        <w:rPr>
          <w:noProof/>
        </w:rPr>
        <w:t>Article</w:t>
      </w:r>
      <w:r w:rsidR="00CD6DE4">
        <w:rPr>
          <w:noProof/>
        </w:rPr>
        <w:t> </w:t>
      </w:r>
      <w:r w:rsidRPr="00393AD5">
        <w:rPr>
          <w:noProof/>
        </w:rPr>
        <w:t>28(1) and (2</w:t>
      </w:r>
      <w:r w:rsidR="00CD6DE4" w:rsidRPr="00393AD5">
        <w:rPr>
          <w:noProof/>
        </w:rPr>
        <w:t>)</w:t>
      </w:r>
      <w:r w:rsidR="00CD6DE4">
        <w:rPr>
          <w:noProof/>
        </w:rPr>
        <w:t> </w:t>
      </w:r>
      <w:r>
        <w:rPr>
          <w:noProof/>
        </w:rPr>
        <w:t xml:space="preserve">FSR. </w:t>
      </w:r>
      <w:r w:rsidRPr="001B6F97">
        <w:rPr>
          <w:noProof/>
        </w:rPr>
        <w:t xml:space="preserve">In the context of </w:t>
      </w:r>
      <w:r w:rsidR="00880A72">
        <w:rPr>
          <w:noProof/>
        </w:rPr>
        <w:t>its</w:t>
      </w:r>
      <w:r w:rsidRPr="001B6F97">
        <w:rPr>
          <w:noProof/>
        </w:rPr>
        <w:t xml:space="preserve"> review, the Commission sh</w:t>
      </w:r>
      <w:r w:rsidR="00386F10">
        <w:rPr>
          <w:noProof/>
        </w:rPr>
        <w:t>ould</w:t>
      </w:r>
      <w:r w:rsidRPr="001B6F97">
        <w:rPr>
          <w:noProof/>
        </w:rPr>
        <w:t xml:space="preserve"> </w:t>
      </w:r>
      <w:r w:rsidR="00386F10">
        <w:rPr>
          <w:noProof/>
        </w:rPr>
        <w:t xml:space="preserve">also </w:t>
      </w:r>
      <w:r w:rsidRPr="001B6F97">
        <w:rPr>
          <w:noProof/>
        </w:rPr>
        <w:t xml:space="preserve">report on developments in international relations </w:t>
      </w:r>
      <w:r w:rsidR="004D0D6A">
        <w:rPr>
          <w:noProof/>
        </w:rPr>
        <w:t>involving</w:t>
      </w:r>
      <w:r w:rsidR="004D0D6A" w:rsidRPr="001B6F97">
        <w:rPr>
          <w:noProof/>
        </w:rPr>
        <w:t xml:space="preserve"> </w:t>
      </w:r>
      <w:r w:rsidRPr="001B6F97">
        <w:rPr>
          <w:noProof/>
        </w:rPr>
        <w:t>third countries’ subsidy control systems</w:t>
      </w:r>
      <w:r>
        <w:rPr>
          <w:noProof/>
        </w:rPr>
        <w:t>.</w:t>
      </w:r>
    </w:p>
    <w:p w14:paraId="0701DBA2" w14:textId="06844052" w:rsidR="002150EA" w:rsidRDefault="002150EA" w:rsidP="002150EA">
      <w:pPr>
        <w:rPr>
          <w:noProof/>
        </w:rPr>
      </w:pPr>
      <w:r w:rsidRPr="00B82A62">
        <w:rPr>
          <w:noProof/>
        </w:rPr>
        <w:t xml:space="preserve">The </w:t>
      </w:r>
      <w:r>
        <w:rPr>
          <w:noProof/>
        </w:rPr>
        <w:t xml:space="preserve">FSR </w:t>
      </w:r>
      <w:r w:rsidRPr="00B82A62">
        <w:rPr>
          <w:noProof/>
        </w:rPr>
        <w:t>entered into force on 1</w:t>
      </w:r>
      <w:r w:rsidR="0091220D">
        <w:rPr>
          <w:noProof/>
        </w:rPr>
        <w:t>3</w:t>
      </w:r>
      <w:r w:rsidR="00AC011B">
        <w:rPr>
          <w:noProof/>
        </w:rPr>
        <w:t> </w:t>
      </w:r>
      <w:r>
        <w:rPr>
          <w:noProof/>
        </w:rPr>
        <w:t xml:space="preserve">January 2023 and </w:t>
      </w:r>
      <w:r w:rsidRPr="00B82A62">
        <w:rPr>
          <w:noProof/>
        </w:rPr>
        <w:t>became applicable</w:t>
      </w:r>
      <w:r>
        <w:rPr>
          <w:noProof/>
        </w:rPr>
        <w:t xml:space="preserve"> from </w:t>
      </w:r>
      <w:r w:rsidR="00AC011B">
        <w:rPr>
          <w:noProof/>
        </w:rPr>
        <w:t>13</w:t>
      </w:r>
      <w:r w:rsidR="00B26EE7">
        <w:rPr>
          <w:noProof/>
        </w:rPr>
        <w:t> </w:t>
      </w:r>
      <w:r>
        <w:rPr>
          <w:noProof/>
        </w:rPr>
        <w:t xml:space="preserve">July </w:t>
      </w:r>
      <w:r w:rsidRPr="00B82A62">
        <w:rPr>
          <w:noProof/>
        </w:rPr>
        <w:t xml:space="preserve">2023. </w:t>
      </w:r>
      <w:r>
        <w:rPr>
          <w:noProof/>
        </w:rPr>
        <w:t>The ex</w:t>
      </w:r>
      <w:r w:rsidR="004D0D6A">
        <w:rPr>
          <w:noProof/>
        </w:rPr>
        <w:t xml:space="preserve"> </w:t>
      </w:r>
      <w:r>
        <w:rPr>
          <w:noProof/>
        </w:rPr>
        <w:t xml:space="preserve">ante notification obligation </w:t>
      </w:r>
      <w:r w:rsidR="00386F10">
        <w:rPr>
          <w:noProof/>
        </w:rPr>
        <w:t>for</w:t>
      </w:r>
      <w:r>
        <w:rPr>
          <w:noProof/>
        </w:rPr>
        <w:t xml:space="preserve"> concentrations, pursuant to </w:t>
      </w:r>
      <w:r w:rsidR="00CD6DE4">
        <w:rPr>
          <w:noProof/>
        </w:rPr>
        <w:t>Article</w:t>
      </w:r>
      <w:r w:rsidR="00F455E5">
        <w:rPr>
          <w:noProof/>
        </w:rPr>
        <w:t xml:space="preserve"> </w:t>
      </w:r>
      <w:r w:rsidR="00CD6DE4">
        <w:rPr>
          <w:noProof/>
        </w:rPr>
        <w:t>21 </w:t>
      </w:r>
      <w:r>
        <w:rPr>
          <w:noProof/>
        </w:rPr>
        <w:t>FSR and public procurement procedure</w:t>
      </w:r>
      <w:r w:rsidR="00B41773">
        <w:rPr>
          <w:noProof/>
        </w:rPr>
        <w:t>s</w:t>
      </w:r>
      <w:r>
        <w:rPr>
          <w:noProof/>
        </w:rPr>
        <w:t xml:space="preserve">, pursuant to </w:t>
      </w:r>
      <w:r w:rsidR="00CD6DE4">
        <w:rPr>
          <w:noProof/>
        </w:rPr>
        <w:t>Article 28 </w:t>
      </w:r>
      <w:r w:rsidR="00386F10">
        <w:rPr>
          <w:noProof/>
        </w:rPr>
        <w:t>FSR</w:t>
      </w:r>
      <w:r>
        <w:rPr>
          <w:noProof/>
        </w:rPr>
        <w:t>, became applicable from 1</w:t>
      </w:r>
      <w:r w:rsidR="0091220D">
        <w:rPr>
          <w:noProof/>
        </w:rPr>
        <w:t>3</w:t>
      </w:r>
      <w:r w:rsidR="00AC011B">
        <w:rPr>
          <w:noProof/>
        </w:rPr>
        <w:t> </w:t>
      </w:r>
      <w:r>
        <w:rPr>
          <w:noProof/>
        </w:rPr>
        <w:t xml:space="preserve">October 2023. This Report, therefore, covers the initial </w:t>
      </w:r>
      <w:r w:rsidR="000F0B57">
        <w:rPr>
          <w:noProof/>
        </w:rPr>
        <w:t>three</w:t>
      </w:r>
      <w:r>
        <w:rPr>
          <w:noProof/>
        </w:rPr>
        <w:t>-year period in the FSR implementation</w:t>
      </w:r>
      <w:r w:rsidR="00386F10">
        <w:rPr>
          <w:noProof/>
        </w:rPr>
        <w:t xml:space="preserve"> and enforcement</w:t>
      </w:r>
      <w:r>
        <w:rPr>
          <w:noProof/>
        </w:rPr>
        <w:t>.</w:t>
      </w:r>
    </w:p>
    <w:p w14:paraId="5B4A5BD0" w14:textId="6197E94D" w:rsidR="002150EA" w:rsidRDefault="002150EA" w:rsidP="002150EA">
      <w:pPr>
        <w:rPr>
          <w:noProof/>
        </w:rPr>
      </w:pPr>
      <w:r w:rsidRPr="009B5E11">
        <w:rPr>
          <w:noProof/>
        </w:rPr>
        <w:t>The</w:t>
      </w:r>
      <w:r>
        <w:rPr>
          <w:noProof/>
        </w:rPr>
        <w:t xml:space="preserve"> FSR is enforced </w:t>
      </w:r>
      <w:r w:rsidR="00E769A0">
        <w:rPr>
          <w:noProof/>
        </w:rPr>
        <w:t xml:space="preserve">exclusively </w:t>
      </w:r>
      <w:r>
        <w:rPr>
          <w:noProof/>
        </w:rPr>
        <w:t>by the Commission</w:t>
      </w:r>
      <w:r w:rsidRPr="009B5E11">
        <w:rPr>
          <w:noProof/>
        </w:rPr>
        <w:t>.</w:t>
      </w:r>
      <w:bookmarkStart w:id="4" w:name="_Hlk229135718"/>
      <w:r w:rsidR="00587DD4">
        <w:rPr>
          <w:noProof/>
        </w:rPr>
        <w:t xml:space="preserve"> </w:t>
      </w:r>
      <w:r w:rsidRPr="009B5E11">
        <w:rPr>
          <w:noProof/>
        </w:rPr>
        <w:t xml:space="preserve">DG Competition (DG COMP) is responsible for </w:t>
      </w:r>
      <w:r w:rsidR="00632A90">
        <w:rPr>
          <w:noProof/>
        </w:rPr>
        <w:t>applying</w:t>
      </w:r>
      <w:r w:rsidRPr="009B5E11">
        <w:rPr>
          <w:noProof/>
        </w:rPr>
        <w:t xml:space="preserve"> the FSR in relation to concentrations and for the general use of the ex officio </w:t>
      </w:r>
      <w:r w:rsidR="00D001A8">
        <w:rPr>
          <w:noProof/>
        </w:rPr>
        <w:t xml:space="preserve">investigative </w:t>
      </w:r>
      <w:r w:rsidRPr="009B5E11">
        <w:rPr>
          <w:noProof/>
        </w:rPr>
        <w:t xml:space="preserve">mechanism. </w:t>
      </w:r>
      <w:bookmarkEnd w:id="4"/>
      <w:r w:rsidRPr="009B5E11">
        <w:rPr>
          <w:noProof/>
        </w:rPr>
        <w:t xml:space="preserve">DG Internal Market, Industry, Entrepreneurship and SMEs (DG GROW) is responsible for </w:t>
      </w:r>
      <w:r w:rsidR="00E769A0">
        <w:rPr>
          <w:noProof/>
        </w:rPr>
        <w:t>applying</w:t>
      </w:r>
      <w:r w:rsidRPr="009B5E11">
        <w:rPr>
          <w:noProof/>
        </w:rPr>
        <w:t xml:space="preserve"> the </w:t>
      </w:r>
      <w:r>
        <w:rPr>
          <w:noProof/>
        </w:rPr>
        <w:t>FSR</w:t>
      </w:r>
      <w:r w:rsidRPr="009B5E11">
        <w:rPr>
          <w:noProof/>
        </w:rPr>
        <w:t xml:space="preserve"> in </w:t>
      </w:r>
      <w:r w:rsidR="00DC1795">
        <w:rPr>
          <w:noProof/>
        </w:rPr>
        <w:t xml:space="preserve">relation </w:t>
      </w:r>
      <w:r w:rsidR="00E769A0">
        <w:rPr>
          <w:noProof/>
        </w:rPr>
        <w:t>to</w:t>
      </w:r>
      <w:r w:rsidRPr="009B5E11">
        <w:rPr>
          <w:noProof/>
        </w:rPr>
        <w:t xml:space="preserve"> public procurement procedures</w:t>
      </w:r>
      <w:r w:rsidR="00712104">
        <w:rPr>
          <w:noProof/>
        </w:rPr>
        <w:t xml:space="preserve"> and for the use of </w:t>
      </w:r>
      <w:r w:rsidRPr="009B5E11">
        <w:rPr>
          <w:noProof/>
        </w:rPr>
        <w:t xml:space="preserve">ex officio </w:t>
      </w:r>
      <w:r w:rsidR="00D736CE">
        <w:rPr>
          <w:noProof/>
        </w:rPr>
        <w:t>investiga</w:t>
      </w:r>
      <w:r w:rsidR="00712104">
        <w:rPr>
          <w:noProof/>
        </w:rPr>
        <w:t>tive mechanism</w:t>
      </w:r>
      <w:r w:rsidR="00D736CE" w:rsidRPr="009B5E11">
        <w:rPr>
          <w:noProof/>
        </w:rPr>
        <w:t xml:space="preserve"> </w:t>
      </w:r>
      <w:r w:rsidRPr="009B5E11">
        <w:rPr>
          <w:noProof/>
        </w:rPr>
        <w:t>linked to public procurement</w:t>
      </w:r>
      <w:r>
        <w:rPr>
          <w:noProof/>
        </w:rPr>
        <w:t xml:space="preserve"> procedures</w:t>
      </w:r>
      <w:r w:rsidR="00EB3308">
        <w:rPr>
          <w:noProof/>
        </w:rPr>
        <w:t xml:space="preserve"> and </w:t>
      </w:r>
      <w:r w:rsidR="008B4E3D">
        <w:rPr>
          <w:noProof/>
        </w:rPr>
        <w:t>similar</w:t>
      </w:r>
      <w:r w:rsidR="00EB3308">
        <w:rPr>
          <w:noProof/>
        </w:rPr>
        <w:t xml:space="preserve"> forms of public spending</w:t>
      </w:r>
      <w:r w:rsidRPr="009B5E11">
        <w:rPr>
          <w:noProof/>
        </w:rPr>
        <w:t>.</w:t>
      </w:r>
      <w:r>
        <w:rPr>
          <w:noProof/>
        </w:rPr>
        <w:t xml:space="preserve"> </w:t>
      </w:r>
      <w:r w:rsidRPr="009B5E11">
        <w:rPr>
          <w:noProof/>
        </w:rPr>
        <w:t>This division of responsibilities reflects the respective experience</w:t>
      </w:r>
      <w:r w:rsidR="00CD6DE4">
        <w:rPr>
          <w:noProof/>
        </w:rPr>
        <w:t>s</w:t>
      </w:r>
      <w:r w:rsidRPr="009B5E11">
        <w:rPr>
          <w:noProof/>
        </w:rPr>
        <w:t xml:space="preserve"> of the services in competition enforcement and public procurement and supports the coherent application of the FSR.</w:t>
      </w:r>
      <w:r>
        <w:rPr>
          <w:noProof/>
        </w:rPr>
        <w:t xml:space="preserve"> </w:t>
      </w:r>
    </w:p>
    <w:p w14:paraId="1F1C4D9E" w14:textId="08284602" w:rsidR="008629AE" w:rsidRDefault="008629AE" w:rsidP="008629AE">
      <w:pPr>
        <w:rPr>
          <w:noProof/>
        </w:rPr>
      </w:pPr>
      <w:r w:rsidRPr="008629AE">
        <w:rPr>
          <w:noProof/>
        </w:rPr>
        <w:t xml:space="preserve">The Commission’s </w:t>
      </w:r>
      <w:r>
        <w:rPr>
          <w:noProof/>
        </w:rPr>
        <w:t>review</w:t>
      </w:r>
      <w:r w:rsidRPr="008629AE">
        <w:rPr>
          <w:noProof/>
        </w:rPr>
        <w:t xml:space="preserve"> </w:t>
      </w:r>
      <w:r w:rsidR="00194E8D">
        <w:rPr>
          <w:noProof/>
        </w:rPr>
        <w:t xml:space="preserve">of the early days of FSR implementation and enforcement </w:t>
      </w:r>
      <w:r w:rsidRPr="008629AE">
        <w:rPr>
          <w:noProof/>
        </w:rPr>
        <w:t>is based on a combination of qualitative and quantitative evidence, including information obtained through</w:t>
      </w:r>
      <w:r>
        <w:rPr>
          <w:noProof/>
        </w:rPr>
        <w:t xml:space="preserve"> </w:t>
      </w:r>
      <w:r w:rsidR="00B82A62">
        <w:rPr>
          <w:noProof/>
        </w:rPr>
        <w:t xml:space="preserve">the </w:t>
      </w:r>
      <w:r>
        <w:rPr>
          <w:noProof/>
        </w:rPr>
        <w:t>FSR Review Study</w:t>
      </w:r>
      <w:r w:rsidR="00B82A62">
        <w:rPr>
          <w:noProof/>
        </w:rPr>
        <w:t xml:space="preserve">, conducted by an external </w:t>
      </w:r>
      <w:r w:rsidR="00140999" w:rsidRPr="006419E4">
        <w:rPr>
          <w:noProof/>
        </w:rPr>
        <w:t>contractor</w:t>
      </w:r>
      <w:r w:rsidR="00140999">
        <w:rPr>
          <w:noProof/>
        </w:rPr>
        <w:t> </w:t>
      </w:r>
      <w:r w:rsidR="00140999" w:rsidRPr="006419E4">
        <w:rPr>
          <w:noProof/>
        </w:rPr>
        <w:t>(</w:t>
      </w:r>
      <w:r w:rsidR="00140999" w:rsidRPr="006419E4">
        <w:rPr>
          <w:rStyle w:val="FootnoteReference"/>
          <w:noProof/>
        </w:rPr>
        <w:footnoteReference w:id="2"/>
      </w:r>
      <w:r w:rsidR="00140999" w:rsidRPr="006419E4">
        <w:rPr>
          <w:noProof/>
        </w:rPr>
        <w:t>)</w:t>
      </w:r>
      <w:r w:rsidR="00140999">
        <w:rPr>
          <w:noProof/>
        </w:rPr>
        <w:t>.</w:t>
      </w:r>
      <w:r w:rsidR="00140999" w:rsidRPr="006419E4">
        <w:rPr>
          <w:noProof/>
        </w:rPr>
        <w:t xml:space="preserve"> </w:t>
      </w:r>
      <w:r w:rsidR="00B82A62">
        <w:rPr>
          <w:noProof/>
        </w:rPr>
        <w:t xml:space="preserve">The review also takes into account the </w:t>
      </w:r>
      <w:r w:rsidR="00FC0AFD">
        <w:rPr>
          <w:noProof/>
        </w:rPr>
        <w:t xml:space="preserve">submissions </w:t>
      </w:r>
      <w:r w:rsidR="00B82A62" w:rsidRPr="00B82A62">
        <w:rPr>
          <w:noProof/>
        </w:rPr>
        <w:t xml:space="preserve">to the </w:t>
      </w:r>
      <w:r w:rsidR="00B82A62">
        <w:rPr>
          <w:noProof/>
        </w:rPr>
        <w:t xml:space="preserve">public </w:t>
      </w:r>
      <w:r w:rsidR="00B82A62" w:rsidRPr="00B82A62">
        <w:rPr>
          <w:noProof/>
        </w:rPr>
        <w:t xml:space="preserve">consultation exercise </w:t>
      </w:r>
      <w:r w:rsidR="00587DD4" w:rsidRPr="00B82A62">
        <w:rPr>
          <w:noProof/>
        </w:rPr>
        <w:t xml:space="preserve">conducted </w:t>
      </w:r>
      <w:r w:rsidR="00587DD4">
        <w:rPr>
          <w:noProof/>
        </w:rPr>
        <w:t>by</w:t>
      </w:r>
      <w:r w:rsidR="00B82A62" w:rsidRPr="00B82A62">
        <w:rPr>
          <w:noProof/>
        </w:rPr>
        <w:t xml:space="preserve"> the Commission (a targeted public consultation, a public questionnaire seeking specific feedback in relation to the </w:t>
      </w:r>
      <w:r w:rsidR="00B82A62">
        <w:rPr>
          <w:noProof/>
        </w:rPr>
        <w:t>FSR implementation</w:t>
      </w:r>
      <w:r w:rsidR="00B82A62" w:rsidRPr="00B82A62">
        <w:rPr>
          <w:noProof/>
        </w:rPr>
        <w:t>, and a call for evidence)</w:t>
      </w:r>
      <w:r w:rsidRPr="00C24FC1">
        <w:rPr>
          <w:noProof/>
        </w:rPr>
        <w:t> (</w:t>
      </w:r>
      <w:r>
        <w:rPr>
          <w:rStyle w:val="FootnoteReference"/>
          <w:noProof/>
        </w:rPr>
        <w:footnoteReference w:id="3"/>
      </w:r>
      <w:r>
        <w:rPr>
          <w:noProof/>
        </w:rPr>
        <w:t xml:space="preserve">) </w:t>
      </w:r>
      <w:r w:rsidR="00B82A62">
        <w:rPr>
          <w:noProof/>
        </w:rPr>
        <w:t>as well as the Commission’s i</w:t>
      </w:r>
      <w:r>
        <w:rPr>
          <w:noProof/>
        </w:rPr>
        <w:t>nternal review of its practice.</w:t>
      </w:r>
    </w:p>
    <w:p w14:paraId="372B0FCF" w14:textId="47CAFD29" w:rsidR="00AF4A15" w:rsidRPr="008A64CB" w:rsidRDefault="00366497" w:rsidP="00AF4A15">
      <w:pPr>
        <w:rPr>
          <w:noProof/>
          <w:lang w:val="en-IE"/>
        </w:rPr>
      </w:pPr>
      <w:r w:rsidRPr="00366497">
        <w:rPr>
          <w:noProof/>
        </w:rPr>
        <w:t>Overall, the early days of FSR implementation and enforcement show that the instrument is fit for purpose and contributes to its objective of preserving the level playing field in the internal market.</w:t>
      </w:r>
      <w:r>
        <w:rPr>
          <w:noProof/>
        </w:rPr>
        <w:t xml:space="preserve"> </w:t>
      </w:r>
      <w:r w:rsidR="00EC5021">
        <w:rPr>
          <w:noProof/>
        </w:rPr>
        <w:t xml:space="preserve">On the </w:t>
      </w:r>
      <w:r w:rsidR="009B5B3C">
        <w:rPr>
          <w:noProof/>
        </w:rPr>
        <w:t xml:space="preserve">side of ex ante notifications for </w:t>
      </w:r>
      <w:r w:rsidR="00EC5021">
        <w:rPr>
          <w:noProof/>
        </w:rPr>
        <w:t>concentration</w:t>
      </w:r>
      <w:r w:rsidR="009B5B3C">
        <w:rPr>
          <w:noProof/>
        </w:rPr>
        <w:t>s</w:t>
      </w:r>
      <w:r w:rsidR="00EC5021">
        <w:rPr>
          <w:noProof/>
        </w:rPr>
        <w:t xml:space="preserve"> and the public procurement</w:t>
      </w:r>
      <w:r w:rsidR="009B5B3C">
        <w:rPr>
          <w:noProof/>
        </w:rPr>
        <w:t>s</w:t>
      </w:r>
      <w:r w:rsidR="00EC5021">
        <w:rPr>
          <w:noProof/>
        </w:rPr>
        <w:t xml:space="preserve">, the Commission has already </w:t>
      </w:r>
      <w:r w:rsidR="009B5B3C">
        <w:rPr>
          <w:noProof/>
        </w:rPr>
        <w:t>launched</w:t>
      </w:r>
      <w:r w:rsidR="00EC5021">
        <w:rPr>
          <w:noProof/>
        </w:rPr>
        <w:t xml:space="preserve"> several in-depth FSR investigations, some of which were concluded with commitments offered by the parties to address the identified distortions to the internal market caused by foreign subsidies. On the ex officio side, the Commission has </w:t>
      </w:r>
      <w:r w:rsidR="009B5B3C">
        <w:rPr>
          <w:noProof/>
        </w:rPr>
        <w:t>launched</w:t>
      </w:r>
      <w:r w:rsidR="00EC5021">
        <w:rPr>
          <w:noProof/>
        </w:rPr>
        <w:t xml:space="preserve"> several in-depth investigations, which are ongoing</w:t>
      </w:r>
      <w:r w:rsidR="00AC011B">
        <w:rPr>
          <w:noProof/>
        </w:rPr>
        <w:t xml:space="preserve"> at time of publication</w:t>
      </w:r>
      <w:r w:rsidR="00835335">
        <w:rPr>
          <w:noProof/>
        </w:rPr>
        <w:t>,</w:t>
      </w:r>
      <w:r w:rsidR="00A346CE">
        <w:rPr>
          <w:noProof/>
        </w:rPr>
        <w:t xml:space="preserve"> and </w:t>
      </w:r>
      <w:r w:rsidR="003D1BCE">
        <w:rPr>
          <w:noProof/>
        </w:rPr>
        <w:t xml:space="preserve">it </w:t>
      </w:r>
      <w:r w:rsidR="00A346CE">
        <w:rPr>
          <w:noProof/>
        </w:rPr>
        <w:t xml:space="preserve">has also used its inspection </w:t>
      </w:r>
      <w:r w:rsidR="003D1BCE">
        <w:rPr>
          <w:noProof/>
        </w:rPr>
        <w:t xml:space="preserve">as well as call-in </w:t>
      </w:r>
      <w:r w:rsidR="00A346CE">
        <w:rPr>
          <w:noProof/>
        </w:rPr>
        <w:t xml:space="preserve">powers. </w:t>
      </w:r>
      <w:r w:rsidR="00AA3892">
        <w:rPr>
          <w:noProof/>
        </w:rPr>
        <w:t>T</w:t>
      </w:r>
      <w:r w:rsidR="00835335">
        <w:rPr>
          <w:noProof/>
        </w:rPr>
        <w:t>he objectives of the FSR are widely acknowledged and supported in the feedback from stakeholders</w:t>
      </w:r>
      <w:r w:rsidR="00AA3892">
        <w:rPr>
          <w:noProof/>
        </w:rPr>
        <w:t>.</w:t>
      </w:r>
      <w:r w:rsidR="00EC5021">
        <w:rPr>
          <w:noProof/>
        </w:rPr>
        <w:t xml:space="preserve"> </w:t>
      </w:r>
      <w:r w:rsidR="00A07280">
        <w:rPr>
          <w:noProof/>
          <w:lang w:val="en-IE"/>
        </w:rPr>
        <w:t xml:space="preserve">Stakeholders also claimed </w:t>
      </w:r>
      <w:r w:rsidR="00AF02E0">
        <w:rPr>
          <w:noProof/>
          <w:lang w:val="en-IE"/>
        </w:rPr>
        <w:t>that the</w:t>
      </w:r>
      <w:r w:rsidR="00AF4A15">
        <w:rPr>
          <w:noProof/>
          <w:lang w:val="en-IE"/>
        </w:rPr>
        <w:t xml:space="preserve"> FSR</w:t>
      </w:r>
      <w:r w:rsidR="00AF4A15" w:rsidRPr="007A4137">
        <w:rPr>
          <w:noProof/>
          <w:lang w:val="en-IE"/>
        </w:rPr>
        <w:t xml:space="preserve"> </w:t>
      </w:r>
      <w:r w:rsidR="00194E8D">
        <w:rPr>
          <w:noProof/>
          <w:lang w:val="en-IE"/>
        </w:rPr>
        <w:t>creates</w:t>
      </w:r>
      <w:r w:rsidR="009B5B3C">
        <w:rPr>
          <w:noProof/>
          <w:lang w:val="en-IE"/>
        </w:rPr>
        <w:t xml:space="preserve"> </w:t>
      </w:r>
      <w:r w:rsidR="00A07280">
        <w:rPr>
          <w:noProof/>
          <w:lang w:val="en-IE"/>
        </w:rPr>
        <w:t>disproportionate</w:t>
      </w:r>
      <w:r w:rsidR="00AF02E0">
        <w:rPr>
          <w:noProof/>
          <w:lang w:val="en-IE"/>
        </w:rPr>
        <w:t xml:space="preserve"> </w:t>
      </w:r>
      <w:r w:rsidR="00AF4A15" w:rsidRPr="007A4137">
        <w:rPr>
          <w:noProof/>
          <w:lang w:val="en-IE"/>
        </w:rPr>
        <w:t>costs</w:t>
      </w:r>
      <w:r w:rsidR="00386F10">
        <w:rPr>
          <w:noProof/>
          <w:lang w:val="en-IE"/>
        </w:rPr>
        <w:t>, especially in the context of the ex</w:t>
      </w:r>
      <w:r w:rsidR="009B5B3C">
        <w:rPr>
          <w:noProof/>
          <w:lang w:val="en-IE"/>
        </w:rPr>
        <w:t xml:space="preserve"> </w:t>
      </w:r>
      <w:r w:rsidR="00386F10">
        <w:rPr>
          <w:noProof/>
          <w:lang w:val="en-IE"/>
        </w:rPr>
        <w:t>ante notification</w:t>
      </w:r>
      <w:r w:rsidR="000074DD">
        <w:rPr>
          <w:noProof/>
          <w:lang w:val="en-IE"/>
        </w:rPr>
        <w:t xml:space="preserve">s </w:t>
      </w:r>
      <w:r w:rsidR="00AA3892">
        <w:rPr>
          <w:noProof/>
          <w:lang w:val="en-IE"/>
        </w:rPr>
        <w:t>procedures.</w:t>
      </w:r>
      <w:r w:rsidR="000F77D3" w:rsidRPr="000F77D3">
        <w:rPr>
          <w:noProof/>
          <w:lang w:val="en-IE"/>
        </w:rPr>
        <w:t xml:space="preserve"> </w:t>
      </w:r>
      <w:r w:rsidR="00A07280">
        <w:rPr>
          <w:noProof/>
          <w:lang w:val="en-IE"/>
        </w:rPr>
        <w:t>They</w:t>
      </w:r>
      <w:r w:rsidR="000F77D3">
        <w:rPr>
          <w:noProof/>
          <w:lang w:val="en-IE"/>
        </w:rPr>
        <w:t xml:space="preserve"> </w:t>
      </w:r>
      <w:r w:rsidR="00AF02E0">
        <w:rPr>
          <w:noProof/>
          <w:lang w:val="en-IE"/>
        </w:rPr>
        <w:t xml:space="preserve">have </w:t>
      </w:r>
      <w:r w:rsidR="00A07280">
        <w:rPr>
          <w:noProof/>
          <w:lang w:val="en-IE"/>
        </w:rPr>
        <w:t>called</w:t>
      </w:r>
      <w:r w:rsidR="00AF02E0">
        <w:rPr>
          <w:noProof/>
          <w:lang w:val="en-IE"/>
        </w:rPr>
        <w:t xml:space="preserve"> </w:t>
      </w:r>
      <w:r w:rsidR="00A07280">
        <w:rPr>
          <w:noProof/>
          <w:lang w:val="en-IE"/>
        </w:rPr>
        <w:t xml:space="preserve">for </w:t>
      </w:r>
      <w:r w:rsidR="000F77D3">
        <w:rPr>
          <w:noProof/>
          <w:lang w:val="en-IE"/>
        </w:rPr>
        <w:t>simplification</w:t>
      </w:r>
      <w:r w:rsidR="00AF02E0">
        <w:rPr>
          <w:noProof/>
          <w:lang w:val="en-IE"/>
        </w:rPr>
        <w:t xml:space="preserve"> of the rules and higher legal certainty concerning </w:t>
      </w:r>
      <w:r w:rsidR="00FD3E73">
        <w:rPr>
          <w:noProof/>
          <w:lang w:val="en-IE"/>
        </w:rPr>
        <w:t>certain</w:t>
      </w:r>
      <w:r w:rsidR="00AF02E0">
        <w:rPr>
          <w:noProof/>
          <w:lang w:val="en-IE"/>
        </w:rPr>
        <w:t xml:space="preserve"> FSR concepts</w:t>
      </w:r>
      <w:r w:rsidR="00386F10">
        <w:rPr>
          <w:noProof/>
          <w:lang w:val="en-IE"/>
        </w:rPr>
        <w:t>.</w:t>
      </w:r>
      <w:r w:rsidR="00AF4A15" w:rsidRPr="007A4137">
        <w:rPr>
          <w:noProof/>
          <w:lang w:val="en-IE"/>
        </w:rPr>
        <w:t xml:space="preserve"> </w:t>
      </w:r>
    </w:p>
    <w:p w14:paraId="47787F78" w14:textId="0A46C0B8" w:rsidR="00AF4A15" w:rsidRDefault="00AF4A15" w:rsidP="008A65F1">
      <w:pPr>
        <w:rPr>
          <w:noProof/>
        </w:rPr>
      </w:pPr>
      <w:r w:rsidRPr="0034486D">
        <w:rPr>
          <w:noProof/>
        </w:rPr>
        <w:t xml:space="preserve">The accompanying Staff Working Document contains </w:t>
      </w:r>
      <w:r w:rsidR="004B4C4B">
        <w:rPr>
          <w:noProof/>
        </w:rPr>
        <w:t>further</w:t>
      </w:r>
      <w:r w:rsidRPr="0034486D">
        <w:rPr>
          <w:noProof/>
        </w:rPr>
        <w:t xml:space="preserve"> </w:t>
      </w:r>
      <w:r w:rsidR="000074DD">
        <w:rPr>
          <w:noProof/>
        </w:rPr>
        <w:t>details from the review.</w:t>
      </w:r>
    </w:p>
    <w:p w14:paraId="309AEA69" w14:textId="0A755A13" w:rsidR="00D60C3C" w:rsidRPr="006F098B" w:rsidRDefault="00E01558" w:rsidP="00216FD2">
      <w:pPr>
        <w:pStyle w:val="Heading1"/>
        <w:rPr>
          <w:b w:val="0"/>
          <w:bCs/>
          <w:noProof/>
        </w:rPr>
      </w:pPr>
      <w:r w:rsidRPr="00822E4E">
        <w:rPr>
          <w:noProof/>
        </w:rPr>
        <w:t>FINDINGS OF THE REVIEW</w:t>
      </w:r>
      <w:r w:rsidRPr="006F098B" w:rsidDel="00B73559">
        <w:rPr>
          <w:b w:val="0"/>
          <w:bCs/>
          <w:noProof/>
        </w:rPr>
        <w:t xml:space="preserve"> </w:t>
      </w:r>
    </w:p>
    <w:p w14:paraId="42C54EB7" w14:textId="793E1086" w:rsidR="007B48BD" w:rsidRDefault="00751FFD" w:rsidP="00D475BC">
      <w:pPr>
        <w:pStyle w:val="Heading2"/>
        <w:rPr>
          <w:noProof/>
        </w:rPr>
      </w:pPr>
      <w:bookmarkStart w:id="5" w:name="_Toc228901724"/>
      <w:r>
        <w:rPr>
          <w:noProof/>
        </w:rPr>
        <w:t xml:space="preserve">Early </w:t>
      </w:r>
      <w:r w:rsidR="00D475BC">
        <w:rPr>
          <w:noProof/>
        </w:rPr>
        <w:t xml:space="preserve">FSR </w:t>
      </w:r>
      <w:r>
        <w:rPr>
          <w:noProof/>
        </w:rPr>
        <w:t>i</w:t>
      </w:r>
      <w:r w:rsidR="00D475BC">
        <w:rPr>
          <w:noProof/>
        </w:rPr>
        <w:t xml:space="preserve">mplementation and actions </w:t>
      </w:r>
      <w:r>
        <w:rPr>
          <w:noProof/>
        </w:rPr>
        <w:t>of the Commission</w:t>
      </w:r>
      <w:r w:rsidR="00D475BC">
        <w:rPr>
          <w:noProof/>
        </w:rPr>
        <w:t xml:space="preserve"> to provide </w:t>
      </w:r>
      <w:r w:rsidR="00764796">
        <w:rPr>
          <w:noProof/>
        </w:rPr>
        <w:t>guidance to</w:t>
      </w:r>
      <w:r w:rsidR="003848A4">
        <w:rPr>
          <w:noProof/>
        </w:rPr>
        <w:t xml:space="preserve"> </w:t>
      </w:r>
      <w:r w:rsidR="00764796">
        <w:rPr>
          <w:noProof/>
        </w:rPr>
        <w:t xml:space="preserve">stakeholders </w:t>
      </w:r>
      <w:bookmarkEnd w:id="5"/>
    </w:p>
    <w:p w14:paraId="0736E4A3" w14:textId="19ACCB6C" w:rsidR="00877140" w:rsidRPr="00052FCB" w:rsidRDefault="00877140" w:rsidP="00DF75D3">
      <w:pPr>
        <w:pStyle w:val="Heading3"/>
        <w:ind w:left="851" w:hanging="851"/>
        <w:rPr>
          <w:bCs/>
          <w:noProof/>
        </w:rPr>
      </w:pPr>
      <w:r w:rsidRPr="00052FCB">
        <w:rPr>
          <w:bCs/>
          <w:noProof/>
        </w:rPr>
        <w:t>Actions of the Commission</w:t>
      </w:r>
    </w:p>
    <w:p w14:paraId="22B7BDDC" w14:textId="4D388F14" w:rsidR="00D04C8F" w:rsidRDefault="00B942A3" w:rsidP="00DB29B7">
      <w:pPr>
        <w:rPr>
          <w:noProof/>
        </w:rPr>
      </w:pPr>
      <w:r w:rsidRPr="00503098">
        <w:rPr>
          <w:noProof/>
        </w:rPr>
        <w:t>On 10</w:t>
      </w:r>
      <w:r w:rsidR="00B26EE7">
        <w:rPr>
          <w:noProof/>
        </w:rPr>
        <w:t> </w:t>
      </w:r>
      <w:r w:rsidRPr="00503098">
        <w:rPr>
          <w:noProof/>
        </w:rPr>
        <w:t xml:space="preserve">July 2023, the Commission adopted </w:t>
      </w:r>
      <w:r w:rsidR="00721235" w:rsidRPr="00216FD2">
        <w:rPr>
          <w:noProof/>
        </w:rPr>
        <w:t>Implementing Regulation (EU) 2023/1441 on detailed arrangements for the conduct of proceedings by the Commission pursuant</w:t>
      </w:r>
      <w:r w:rsidR="00721235">
        <w:rPr>
          <w:noProof/>
        </w:rPr>
        <w:t xml:space="preserve"> </w:t>
      </w:r>
      <w:r w:rsidR="00813C68">
        <w:rPr>
          <w:noProof/>
        </w:rPr>
        <w:t xml:space="preserve">to </w:t>
      </w:r>
      <w:r w:rsidR="00721235">
        <w:rPr>
          <w:noProof/>
        </w:rPr>
        <w:t>the</w:t>
      </w:r>
      <w:r w:rsidR="00721235" w:rsidRPr="00216FD2">
        <w:rPr>
          <w:noProof/>
        </w:rPr>
        <w:t> </w:t>
      </w:r>
      <w:r w:rsidR="00D2586B">
        <w:rPr>
          <w:noProof/>
        </w:rPr>
        <w:t>FSR</w:t>
      </w:r>
      <w:r w:rsidR="00721235">
        <w:rPr>
          <w:noProof/>
        </w:rPr>
        <w:t xml:space="preserve"> </w:t>
      </w:r>
      <w:r>
        <w:rPr>
          <w:noProof/>
        </w:rPr>
        <w:t>(</w:t>
      </w:r>
      <w:r w:rsidR="00FC0AFD">
        <w:rPr>
          <w:noProof/>
        </w:rPr>
        <w:t>‘</w:t>
      </w:r>
      <w:r>
        <w:rPr>
          <w:noProof/>
        </w:rPr>
        <w:t>FSIR</w:t>
      </w:r>
      <w:r w:rsidR="00FC0AFD">
        <w:rPr>
          <w:noProof/>
        </w:rPr>
        <w:t>’</w:t>
      </w:r>
      <w:r>
        <w:rPr>
          <w:noProof/>
        </w:rPr>
        <w:t>)</w:t>
      </w:r>
      <w:r w:rsidR="00AB31F0">
        <w:rPr>
          <w:noProof/>
        </w:rPr>
        <w:t>. The FSIR</w:t>
      </w:r>
      <w:r w:rsidRPr="00503098">
        <w:rPr>
          <w:noProof/>
        </w:rPr>
        <w:t xml:space="preserve"> </w:t>
      </w:r>
      <w:r w:rsidR="00A74834">
        <w:rPr>
          <w:noProof/>
        </w:rPr>
        <w:t xml:space="preserve">also </w:t>
      </w:r>
      <w:r w:rsidR="00AB31F0">
        <w:rPr>
          <w:noProof/>
        </w:rPr>
        <w:t>set</w:t>
      </w:r>
      <w:r w:rsidR="00E825AC">
        <w:rPr>
          <w:noProof/>
        </w:rPr>
        <w:t>s</w:t>
      </w:r>
      <w:r w:rsidR="00AB31F0">
        <w:rPr>
          <w:noProof/>
        </w:rPr>
        <w:t xml:space="preserve"> out</w:t>
      </w:r>
      <w:r w:rsidR="00721235">
        <w:rPr>
          <w:noProof/>
        </w:rPr>
        <w:t xml:space="preserve"> accompanying forms for the FSR </w:t>
      </w:r>
      <w:r w:rsidR="00D2586B">
        <w:rPr>
          <w:noProof/>
        </w:rPr>
        <w:t xml:space="preserve">ex ante </w:t>
      </w:r>
      <w:r w:rsidRPr="00503098">
        <w:rPr>
          <w:noProof/>
        </w:rPr>
        <w:t>notifications</w:t>
      </w:r>
      <w:r w:rsidR="00721235">
        <w:rPr>
          <w:noProof/>
        </w:rPr>
        <w:t xml:space="preserve"> to the Commission</w:t>
      </w:r>
      <w:r w:rsidR="00AA3892">
        <w:rPr>
          <w:noProof/>
        </w:rPr>
        <w:t> </w:t>
      </w:r>
      <w:r w:rsidRPr="00BD1033">
        <w:rPr>
          <w:noProof/>
        </w:rPr>
        <w:t>(</w:t>
      </w:r>
      <w:r w:rsidRPr="00A47B29">
        <w:rPr>
          <w:rStyle w:val="FootnoteReference"/>
          <w:noProof/>
        </w:rPr>
        <w:footnoteReference w:id="4"/>
      </w:r>
      <w:r>
        <w:rPr>
          <w:noProof/>
        </w:rPr>
        <w:t>)</w:t>
      </w:r>
      <w:r w:rsidR="009A52D0">
        <w:rPr>
          <w:noProof/>
        </w:rPr>
        <w:t>.</w:t>
      </w:r>
      <w:r>
        <w:rPr>
          <w:noProof/>
        </w:rPr>
        <w:t xml:space="preserve"> </w:t>
      </w:r>
      <w:r w:rsidR="00A74834">
        <w:rPr>
          <w:noProof/>
        </w:rPr>
        <w:t xml:space="preserve">The FSIR and the accompanying forms </w:t>
      </w:r>
      <w:r w:rsidR="00E91864">
        <w:rPr>
          <w:noProof/>
        </w:rPr>
        <w:t>made it possible to put</w:t>
      </w:r>
      <w:r w:rsidR="00A74834">
        <w:rPr>
          <w:noProof/>
        </w:rPr>
        <w:t xml:space="preserve"> </w:t>
      </w:r>
      <w:r w:rsidR="00E2035C">
        <w:rPr>
          <w:noProof/>
        </w:rPr>
        <w:t xml:space="preserve">the notification-based enforcement </w:t>
      </w:r>
      <w:r w:rsidR="008A6947">
        <w:rPr>
          <w:noProof/>
        </w:rPr>
        <w:t>procedures</w:t>
      </w:r>
      <w:r w:rsidR="00E91864" w:rsidRPr="00E91864">
        <w:rPr>
          <w:noProof/>
        </w:rPr>
        <w:t xml:space="preserve"> </w:t>
      </w:r>
      <w:r w:rsidR="00E91864">
        <w:rPr>
          <w:noProof/>
        </w:rPr>
        <w:t>into practice quickly</w:t>
      </w:r>
      <w:r w:rsidR="00E2035C">
        <w:rPr>
          <w:noProof/>
        </w:rPr>
        <w:t xml:space="preserve">. </w:t>
      </w:r>
    </w:p>
    <w:p w14:paraId="07843674" w14:textId="1D70D9D4" w:rsidR="003848A4" w:rsidRPr="00FB2F78" w:rsidRDefault="00A268AB" w:rsidP="003848A4">
      <w:pPr>
        <w:rPr>
          <w:noProof/>
        </w:rPr>
      </w:pPr>
      <w:r>
        <w:rPr>
          <w:noProof/>
        </w:rPr>
        <w:t>S</w:t>
      </w:r>
      <w:r w:rsidR="003848A4">
        <w:rPr>
          <w:noProof/>
        </w:rPr>
        <w:t xml:space="preserve">ince the </w:t>
      </w:r>
      <w:r w:rsidR="003848A4" w:rsidRPr="00FB2F78">
        <w:rPr>
          <w:noProof/>
        </w:rPr>
        <w:t>entry into force of the FSR,</w:t>
      </w:r>
      <w:r w:rsidR="003848A4">
        <w:rPr>
          <w:noProof/>
        </w:rPr>
        <w:t xml:space="preserve"> </w:t>
      </w:r>
      <w:r w:rsidR="003848A4" w:rsidRPr="00FB2F78">
        <w:rPr>
          <w:noProof/>
        </w:rPr>
        <w:t xml:space="preserve">the Commission has </w:t>
      </w:r>
      <w:r w:rsidR="00694B30">
        <w:rPr>
          <w:noProof/>
        </w:rPr>
        <w:t xml:space="preserve">taken multiple steps to </w:t>
      </w:r>
      <w:r w:rsidR="0091220D">
        <w:rPr>
          <w:noProof/>
        </w:rPr>
        <w:t>provide more transparency and guidance to</w:t>
      </w:r>
      <w:r w:rsidR="00694B30">
        <w:rPr>
          <w:noProof/>
        </w:rPr>
        <w:t xml:space="preserve"> stakeholders</w:t>
      </w:r>
      <w:r w:rsidR="00813C68">
        <w:rPr>
          <w:noProof/>
        </w:rPr>
        <w:t>, as set out in specific terms below</w:t>
      </w:r>
      <w:r w:rsidR="00694B30">
        <w:rPr>
          <w:noProof/>
        </w:rPr>
        <w:t>.</w:t>
      </w:r>
      <w:r w:rsidR="003848A4">
        <w:rPr>
          <w:noProof/>
        </w:rPr>
        <w:t xml:space="preserve"> </w:t>
      </w:r>
    </w:p>
    <w:p w14:paraId="22FB80B8" w14:textId="060DE93A" w:rsidR="003D5FF1" w:rsidRPr="00FB2F78" w:rsidRDefault="003848A4" w:rsidP="003D5FF1">
      <w:pPr>
        <w:rPr>
          <w:noProof/>
        </w:rPr>
      </w:pPr>
      <w:r>
        <w:rPr>
          <w:noProof/>
        </w:rPr>
        <w:t>I</w:t>
      </w:r>
      <w:r w:rsidR="00D475BC">
        <w:rPr>
          <w:noProof/>
        </w:rPr>
        <w:t xml:space="preserve">n </w:t>
      </w:r>
      <w:r w:rsidR="003D5FF1" w:rsidRPr="00FB2F78">
        <w:rPr>
          <w:noProof/>
        </w:rPr>
        <w:t xml:space="preserve">July 2024, </w:t>
      </w:r>
      <w:r>
        <w:rPr>
          <w:noProof/>
        </w:rPr>
        <w:t>a year after the FSR started applying</w:t>
      </w:r>
      <w:r w:rsidR="003D5FF1" w:rsidRPr="00FB2F78">
        <w:rPr>
          <w:noProof/>
        </w:rPr>
        <w:t xml:space="preserve">, </w:t>
      </w:r>
      <w:r w:rsidR="003D5FF1" w:rsidRPr="00FB2F78" w:rsidDel="000F77D3">
        <w:rPr>
          <w:noProof/>
        </w:rPr>
        <w:t xml:space="preserve">a Staff Working Document offering </w:t>
      </w:r>
      <w:r w:rsidR="003D5FF1" w:rsidRPr="00FB2F78">
        <w:rPr>
          <w:noProof/>
        </w:rPr>
        <w:t xml:space="preserve">initial clarifications on key </w:t>
      </w:r>
      <w:r w:rsidR="00557E08" w:rsidRPr="006419E4">
        <w:rPr>
          <w:noProof/>
        </w:rPr>
        <w:t>concept</w:t>
      </w:r>
      <w:r w:rsidR="00557E08">
        <w:rPr>
          <w:noProof/>
        </w:rPr>
        <w:t>s</w:t>
      </w:r>
      <w:r w:rsidR="00557E08" w:rsidRPr="006419E4">
        <w:rPr>
          <w:noProof/>
        </w:rPr>
        <w:t xml:space="preserve"> under the FSR</w:t>
      </w:r>
      <w:r w:rsidR="00A07280">
        <w:rPr>
          <w:noProof/>
        </w:rPr>
        <w:t xml:space="preserve"> was published</w:t>
      </w:r>
      <w:r w:rsidR="00557E08">
        <w:rPr>
          <w:noProof/>
        </w:rPr>
        <w:t> </w:t>
      </w:r>
      <w:r w:rsidR="00557E08" w:rsidRPr="006419E4">
        <w:rPr>
          <w:noProof/>
        </w:rPr>
        <w:t>(</w:t>
      </w:r>
      <w:r w:rsidR="00557E08" w:rsidRPr="006419E4">
        <w:rPr>
          <w:rStyle w:val="FootnoteReference"/>
          <w:noProof/>
        </w:rPr>
        <w:footnoteReference w:id="5"/>
      </w:r>
      <w:r w:rsidR="00557E08" w:rsidRPr="006419E4">
        <w:rPr>
          <w:noProof/>
        </w:rPr>
        <w:t>)</w:t>
      </w:r>
      <w:r w:rsidR="00557E08">
        <w:rPr>
          <w:noProof/>
        </w:rPr>
        <w:t>.</w:t>
      </w:r>
      <w:r w:rsidR="00557E08" w:rsidRPr="006419E4">
        <w:rPr>
          <w:noProof/>
        </w:rPr>
        <w:t xml:space="preserve"> </w:t>
      </w:r>
      <w:r w:rsidR="00557E08">
        <w:rPr>
          <w:noProof/>
        </w:rPr>
        <w:t>Features of the document included i</w:t>
      </w:r>
      <w:r w:rsidR="003D5FF1" w:rsidRPr="00FB2F78">
        <w:rPr>
          <w:noProof/>
        </w:rPr>
        <w:t xml:space="preserve">nitial </w:t>
      </w:r>
      <w:r w:rsidR="00557E08">
        <w:rPr>
          <w:noProof/>
        </w:rPr>
        <w:t>indications on the interpret</w:t>
      </w:r>
      <w:r w:rsidR="00A07280">
        <w:rPr>
          <w:noProof/>
        </w:rPr>
        <w:t>ation of</w:t>
      </w:r>
      <w:r w:rsidR="00557E08">
        <w:rPr>
          <w:noProof/>
        </w:rPr>
        <w:t xml:space="preserve"> substantive FSR</w:t>
      </w:r>
      <w:r w:rsidR="00557E08" w:rsidRPr="00FB2F78">
        <w:rPr>
          <w:noProof/>
        </w:rPr>
        <w:t xml:space="preserve"> concepts</w:t>
      </w:r>
      <w:r w:rsidR="00D475BC">
        <w:rPr>
          <w:noProof/>
        </w:rPr>
        <w:t xml:space="preserve"> </w:t>
      </w:r>
      <w:r>
        <w:rPr>
          <w:noProof/>
        </w:rPr>
        <w:t xml:space="preserve">and, in particular, </w:t>
      </w:r>
      <w:r w:rsidR="003D5FF1" w:rsidRPr="00FB2F78">
        <w:rPr>
          <w:noProof/>
        </w:rPr>
        <w:t xml:space="preserve">factors </w:t>
      </w:r>
      <w:r w:rsidR="00557E08">
        <w:rPr>
          <w:noProof/>
        </w:rPr>
        <w:t xml:space="preserve">to be </w:t>
      </w:r>
      <w:r w:rsidR="003D5FF1" w:rsidRPr="00FB2F78">
        <w:rPr>
          <w:noProof/>
        </w:rPr>
        <w:t xml:space="preserve">considered in </w:t>
      </w:r>
      <w:r w:rsidR="003D5FF1" w:rsidRPr="00FB2F78" w:rsidDel="00CD569A">
        <w:rPr>
          <w:noProof/>
        </w:rPr>
        <w:t xml:space="preserve">assessing </w:t>
      </w:r>
      <w:r w:rsidR="00557E08">
        <w:rPr>
          <w:noProof/>
        </w:rPr>
        <w:t xml:space="preserve">whether </w:t>
      </w:r>
      <w:r>
        <w:rPr>
          <w:noProof/>
        </w:rPr>
        <w:t xml:space="preserve">a </w:t>
      </w:r>
      <w:r w:rsidR="003D5FF1" w:rsidRPr="00FB2F78">
        <w:rPr>
          <w:noProof/>
        </w:rPr>
        <w:t xml:space="preserve">distortion </w:t>
      </w:r>
      <w:r w:rsidR="00557E08">
        <w:rPr>
          <w:noProof/>
        </w:rPr>
        <w:t>exists</w:t>
      </w:r>
      <w:r w:rsidR="00942ACE">
        <w:rPr>
          <w:noProof/>
        </w:rPr>
        <w:t>,</w:t>
      </w:r>
      <w:r w:rsidR="00557E08">
        <w:rPr>
          <w:noProof/>
        </w:rPr>
        <w:t xml:space="preserve"> </w:t>
      </w:r>
      <w:r w:rsidR="003D5FF1" w:rsidRPr="00FB2F78">
        <w:rPr>
          <w:noProof/>
        </w:rPr>
        <w:t xml:space="preserve">and the methodology </w:t>
      </w:r>
      <w:r w:rsidR="00557E08" w:rsidRPr="00FB2F78">
        <w:rPr>
          <w:noProof/>
        </w:rPr>
        <w:t>appl</w:t>
      </w:r>
      <w:r w:rsidR="00A07280">
        <w:rPr>
          <w:noProof/>
        </w:rPr>
        <w:t>ied</w:t>
      </w:r>
      <w:r w:rsidR="00557E08" w:rsidRPr="00FB2F78">
        <w:rPr>
          <w:noProof/>
        </w:rPr>
        <w:t xml:space="preserve"> </w:t>
      </w:r>
      <w:r w:rsidR="003D5FF1" w:rsidRPr="00FB2F78">
        <w:rPr>
          <w:noProof/>
        </w:rPr>
        <w:t>in the balancing test.</w:t>
      </w:r>
    </w:p>
    <w:p w14:paraId="17E24BCB" w14:textId="594A7ECC" w:rsidR="003D5FF1" w:rsidRDefault="00694B30" w:rsidP="003D5FF1">
      <w:pPr>
        <w:rPr>
          <w:noProof/>
        </w:rPr>
      </w:pPr>
      <w:r>
        <w:rPr>
          <w:noProof/>
        </w:rPr>
        <w:t>T</w:t>
      </w:r>
      <w:r w:rsidR="003D5FF1" w:rsidRPr="00FB2F78">
        <w:rPr>
          <w:noProof/>
        </w:rPr>
        <w:t xml:space="preserve">he Commission </w:t>
      </w:r>
      <w:r w:rsidR="007C7E0E">
        <w:rPr>
          <w:noProof/>
        </w:rPr>
        <w:t xml:space="preserve">services </w:t>
      </w:r>
      <w:r w:rsidR="003D5FF1" w:rsidRPr="00FB2F78">
        <w:rPr>
          <w:noProof/>
        </w:rPr>
        <w:t>regularly update a set of</w:t>
      </w:r>
      <w:r w:rsidR="00EC5021">
        <w:rPr>
          <w:noProof/>
        </w:rPr>
        <w:t xml:space="preserve"> dedicated FSR</w:t>
      </w:r>
      <w:r w:rsidR="003D5FF1" w:rsidRPr="00FB2F78">
        <w:rPr>
          <w:noProof/>
        </w:rPr>
        <w:t xml:space="preserve"> </w:t>
      </w:r>
      <w:r w:rsidR="00366497">
        <w:rPr>
          <w:noProof/>
        </w:rPr>
        <w:t>q</w:t>
      </w:r>
      <w:r w:rsidR="003D5FF1" w:rsidRPr="00FB2F78">
        <w:rPr>
          <w:noProof/>
        </w:rPr>
        <w:t xml:space="preserve">uestions </w:t>
      </w:r>
      <w:r w:rsidR="003D5FF1">
        <w:rPr>
          <w:noProof/>
        </w:rPr>
        <w:t xml:space="preserve">and </w:t>
      </w:r>
      <w:r w:rsidR="00366497">
        <w:rPr>
          <w:noProof/>
        </w:rPr>
        <w:t xml:space="preserve">answers </w:t>
      </w:r>
      <w:r w:rsidR="003D5FF1" w:rsidRPr="00FB2F78">
        <w:rPr>
          <w:noProof/>
        </w:rPr>
        <w:t>(</w:t>
      </w:r>
      <w:r w:rsidR="005D117E">
        <w:rPr>
          <w:noProof/>
        </w:rPr>
        <w:t>‘</w:t>
      </w:r>
      <w:r w:rsidR="00CD569A">
        <w:rPr>
          <w:noProof/>
        </w:rPr>
        <w:t xml:space="preserve">FSR </w:t>
      </w:r>
      <w:r w:rsidR="003D5FF1">
        <w:rPr>
          <w:noProof/>
        </w:rPr>
        <w:t>Q&amp;A</w:t>
      </w:r>
      <w:r w:rsidR="003D5FF1" w:rsidRPr="00E52037">
        <w:rPr>
          <w:noProof/>
        </w:rPr>
        <w:t>s</w:t>
      </w:r>
      <w:r w:rsidR="005D117E">
        <w:rPr>
          <w:noProof/>
        </w:rPr>
        <w:t>’</w:t>
      </w:r>
      <w:r w:rsidR="003D5FF1" w:rsidRPr="00E52037">
        <w:rPr>
          <w:noProof/>
        </w:rPr>
        <w:t xml:space="preserve">) on </w:t>
      </w:r>
      <w:r w:rsidR="00AA3892">
        <w:rPr>
          <w:noProof/>
        </w:rPr>
        <w:t>the Commission</w:t>
      </w:r>
      <w:r w:rsidR="00AA3892" w:rsidRPr="00E52037">
        <w:rPr>
          <w:noProof/>
        </w:rPr>
        <w:t xml:space="preserve"> </w:t>
      </w:r>
      <w:r w:rsidR="003D5FF1" w:rsidRPr="00E52037">
        <w:rPr>
          <w:noProof/>
        </w:rPr>
        <w:t>website</w:t>
      </w:r>
      <w:r w:rsidR="003D5FF1" w:rsidRPr="00B729AE">
        <w:rPr>
          <w:noProof/>
        </w:rPr>
        <w:t> (</w:t>
      </w:r>
      <w:r w:rsidR="003D5FF1">
        <w:rPr>
          <w:rStyle w:val="FootnoteReference"/>
          <w:noProof/>
        </w:rPr>
        <w:footnoteReference w:id="6"/>
      </w:r>
      <w:r w:rsidR="003D5FF1">
        <w:rPr>
          <w:noProof/>
        </w:rPr>
        <w:t>)</w:t>
      </w:r>
      <w:r w:rsidR="00865416">
        <w:rPr>
          <w:noProof/>
        </w:rPr>
        <w:t>.</w:t>
      </w:r>
      <w:r w:rsidR="003D5FF1" w:rsidRPr="00FB2F78">
        <w:rPr>
          <w:noProof/>
        </w:rPr>
        <w:t xml:space="preserve"> These updates address recurring issues arising in practice</w:t>
      </w:r>
      <w:r w:rsidR="009D5080">
        <w:rPr>
          <w:noProof/>
        </w:rPr>
        <w:t>.</w:t>
      </w:r>
      <w:r w:rsidR="003D5FF1" w:rsidRPr="00FB2F78">
        <w:rPr>
          <w:noProof/>
        </w:rPr>
        <w:t xml:space="preserve"> </w:t>
      </w:r>
      <w:r w:rsidR="009D5080">
        <w:rPr>
          <w:noProof/>
        </w:rPr>
        <w:t>They</w:t>
      </w:r>
      <w:r w:rsidR="003D5FF1" w:rsidRPr="00FB2F78">
        <w:rPr>
          <w:noProof/>
        </w:rPr>
        <w:t xml:space="preserve"> provide additional guidance on a range of topics, including procedural and jurisdictional aspects (such as notification obligations, </w:t>
      </w:r>
      <w:r w:rsidR="003848A4">
        <w:rPr>
          <w:noProof/>
        </w:rPr>
        <w:t xml:space="preserve">exceptions under the FSIR, </w:t>
      </w:r>
      <w:r w:rsidR="003D5FF1" w:rsidRPr="00FB2F78">
        <w:rPr>
          <w:noProof/>
        </w:rPr>
        <w:t>threshold calculations, and foreign financial contributions)</w:t>
      </w:r>
      <w:r w:rsidR="003848A4" w:rsidRPr="00FB2F78">
        <w:rPr>
          <w:noProof/>
        </w:rPr>
        <w:t>.</w:t>
      </w:r>
    </w:p>
    <w:p w14:paraId="26F2878E" w14:textId="4C3977DE" w:rsidR="003D5FF1" w:rsidRDefault="00694B30" w:rsidP="003D5FF1">
      <w:pPr>
        <w:rPr>
          <w:noProof/>
        </w:rPr>
      </w:pPr>
      <w:r>
        <w:rPr>
          <w:noProof/>
        </w:rPr>
        <w:t>In</w:t>
      </w:r>
      <w:r w:rsidR="003D5FF1" w:rsidRPr="00B76B79">
        <w:rPr>
          <w:noProof/>
        </w:rPr>
        <w:t xml:space="preserve"> January 2026, the Commission published </w:t>
      </w:r>
      <w:r w:rsidR="003D5FF1">
        <w:rPr>
          <w:noProof/>
        </w:rPr>
        <w:t>the FSR Guidelines</w:t>
      </w:r>
      <w:r w:rsidR="00D80022">
        <w:rPr>
          <w:noProof/>
        </w:rPr>
        <w:t>,</w:t>
      </w:r>
      <w:r w:rsidR="003D5FF1">
        <w:rPr>
          <w:noProof/>
        </w:rPr>
        <w:t xml:space="preserve"> </w:t>
      </w:r>
      <w:r w:rsidR="00D80022">
        <w:rPr>
          <w:noProof/>
        </w:rPr>
        <w:t>marking</w:t>
      </w:r>
      <w:r w:rsidR="003D5FF1" w:rsidRPr="00B76B79">
        <w:rPr>
          <w:noProof/>
        </w:rPr>
        <w:t xml:space="preserve"> a key milestone in enhancing predictability and transparency for </w:t>
      </w:r>
      <w:r w:rsidR="00640555">
        <w:rPr>
          <w:noProof/>
        </w:rPr>
        <w:t>stakeholders</w:t>
      </w:r>
      <w:r w:rsidR="00AA3892">
        <w:rPr>
          <w:noProof/>
        </w:rPr>
        <w:t> </w:t>
      </w:r>
      <w:r w:rsidR="00640555" w:rsidRPr="003D5FF1">
        <w:rPr>
          <w:noProof/>
        </w:rPr>
        <w:t>(</w:t>
      </w:r>
      <w:r w:rsidR="00640555">
        <w:rPr>
          <w:rStyle w:val="FootnoteReference"/>
          <w:noProof/>
        </w:rPr>
        <w:footnoteReference w:id="7"/>
      </w:r>
      <w:r w:rsidR="00640555">
        <w:rPr>
          <w:noProof/>
        </w:rPr>
        <w:t>)</w:t>
      </w:r>
      <w:r w:rsidR="009A52D0">
        <w:rPr>
          <w:noProof/>
        </w:rPr>
        <w:t>.</w:t>
      </w:r>
      <w:r w:rsidR="003D5FF1" w:rsidRPr="00B76B79">
        <w:rPr>
          <w:noProof/>
        </w:rPr>
        <w:t xml:space="preserve"> </w:t>
      </w:r>
      <w:r w:rsidR="003D5FF1">
        <w:rPr>
          <w:noProof/>
        </w:rPr>
        <w:t>The</w:t>
      </w:r>
      <w:r w:rsidR="00640555">
        <w:rPr>
          <w:noProof/>
        </w:rPr>
        <w:t xml:space="preserve"> FSR Guidelines </w:t>
      </w:r>
      <w:r w:rsidR="001E4812">
        <w:rPr>
          <w:noProof/>
        </w:rPr>
        <w:t>include</w:t>
      </w:r>
      <w:r w:rsidR="003D5FF1" w:rsidRPr="00B76B79">
        <w:rPr>
          <w:noProof/>
        </w:rPr>
        <w:t xml:space="preserve"> </w:t>
      </w:r>
      <w:r w:rsidR="00640555">
        <w:rPr>
          <w:noProof/>
        </w:rPr>
        <w:t xml:space="preserve">guidance to stakeholders on </w:t>
      </w:r>
      <w:r w:rsidR="0093774F">
        <w:rPr>
          <w:noProof/>
        </w:rPr>
        <w:t xml:space="preserve">the assessment of </w:t>
      </w:r>
      <w:r w:rsidR="00640555">
        <w:rPr>
          <w:noProof/>
        </w:rPr>
        <w:t xml:space="preserve">distortion to the internal market </w:t>
      </w:r>
      <w:r w:rsidR="00AA3892">
        <w:rPr>
          <w:noProof/>
        </w:rPr>
        <w:t xml:space="preserve">caused </w:t>
      </w:r>
      <w:r w:rsidR="00640555">
        <w:rPr>
          <w:noProof/>
        </w:rPr>
        <w:t>by foreign subsidies</w:t>
      </w:r>
      <w:r w:rsidR="003D5FF1" w:rsidRPr="00B76B79">
        <w:rPr>
          <w:noProof/>
        </w:rPr>
        <w:t xml:space="preserve">, </w:t>
      </w:r>
      <w:r w:rsidR="00640555">
        <w:rPr>
          <w:noProof/>
        </w:rPr>
        <w:t>the balancing test</w:t>
      </w:r>
      <w:r w:rsidR="001E4812">
        <w:rPr>
          <w:noProof/>
        </w:rPr>
        <w:t>,</w:t>
      </w:r>
      <w:r w:rsidR="00640555">
        <w:rPr>
          <w:noProof/>
        </w:rPr>
        <w:t xml:space="preserve"> and the call-in powers of the Commission</w:t>
      </w:r>
      <w:r w:rsidR="003D5FF1" w:rsidRPr="00B76B79">
        <w:rPr>
          <w:noProof/>
        </w:rPr>
        <w:t xml:space="preserve"> </w:t>
      </w:r>
      <w:r w:rsidR="00640555">
        <w:rPr>
          <w:noProof/>
        </w:rPr>
        <w:t>for</w:t>
      </w:r>
      <w:r w:rsidR="003D5FF1" w:rsidRPr="00B76B79">
        <w:rPr>
          <w:noProof/>
        </w:rPr>
        <w:t xml:space="preserve"> concentrations</w:t>
      </w:r>
      <w:r w:rsidR="003D5FF1">
        <w:rPr>
          <w:noProof/>
        </w:rPr>
        <w:t xml:space="preserve"> or public procurement procedures</w:t>
      </w:r>
      <w:r w:rsidR="003D5FF1" w:rsidRPr="00B76B79">
        <w:rPr>
          <w:noProof/>
        </w:rPr>
        <w:t xml:space="preserve"> falling below the established thresholds.</w:t>
      </w:r>
    </w:p>
    <w:p w14:paraId="50049255" w14:textId="5EB911F0" w:rsidR="00694B30" w:rsidRDefault="00694B30" w:rsidP="00E70D14">
      <w:pPr>
        <w:rPr>
          <w:noProof/>
        </w:rPr>
      </w:pPr>
      <w:r>
        <w:rPr>
          <w:noProof/>
        </w:rPr>
        <w:t>Finally, t</w:t>
      </w:r>
      <w:r w:rsidR="00E70D14" w:rsidRPr="00127675">
        <w:rPr>
          <w:noProof/>
        </w:rPr>
        <w:t>he Commission</w:t>
      </w:r>
      <w:r w:rsidR="00E70D14">
        <w:rPr>
          <w:noProof/>
        </w:rPr>
        <w:t xml:space="preserve"> regularly</w:t>
      </w:r>
      <w:r w:rsidR="00E70D14" w:rsidRPr="00127675">
        <w:rPr>
          <w:noProof/>
        </w:rPr>
        <w:t xml:space="preserve"> publishes </w:t>
      </w:r>
      <w:r w:rsidR="00E70D14">
        <w:rPr>
          <w:noProof/>
        </w:rPr>
        <w:t>information on cases, non-confidential versions of its decisions concluding in-depth FSR investigations</w:t>
      </w:r>
      <w:r>
        <w:rPr>
          <w:noProof/>
        </w:rPr>
        <w:t xml:space="preserve"> (as well as summary of the </w:t>
      </w:r>
      <w:r w:rsidR="00565F94">
        <w:rPr>
          <w:noProof/>
        </w:rPr>
        <w:t>decisions to open in-depth investigations</w:t>
      </w:r>
      <w:r>
        <w:rPr>
          <w:noProof/>
        </w:rPr>
        <w:t>)</w:t>
      </w:r>
      <w:r w:rsidR="00E70D14">
        <w:rPr>
          <w:noProof/>
        </w:rPr>
        <w:t xml:space="preserve"> and </w:t>
      </w:r>
      <w:r w:rsidR="00E70D14" w:rsidRPr="00127675">
        <w:rPr>
          <w:noProof/>
        </w:rPr>
        <w:t xml:space="preserve">dedicated FSR briefs on specific policy developments (such as the first 100 days of </w:t>
      </w:r>
      <w:r w:rsidR="00E70D14">
        <w:rPr>
          <w:noProof/>
        </w:rPr>
        <w:t xml:space="preserve">FSR </w:t>
      </w:r>
      <w:r w:rsidR="00447161" w:rsidRPr="00127675">
        <w:rPr>
          <w:noProof/>
        </w:rPr>
        <w:t>enforcement</w:t>
      </w:r>
      <w:r w:rsidR="00447161">
        <w:rPr>
          <w:noProof/>
        </w:rPr>
        <w:t> </w:t>
      </w:r>
      <w:r w:rsidR="00E70D14" w:rsidRPr="00127675">
        <w:rPr>
          <w:noProof/>
        </w:rPr>
        <w:t>(</w:t>
      </w:r>
      <w:r w:rsidR="00E70D14">
        <w:rPr>
          <w:rStyle w:val="FootnoteReference"/>
          <w:noProof/>
        </w:rPr>
        <w:footnoteReference w:id="8"/>
      </w:r>
      <w:r w:rsidR="00E70D14">
        <w:rPr>
          <w:noProof/>
        </w:rPr>
        <w:t xml:space="preserve">), </w:t>
      </w:r>
      <w:r w:rsidR="00E70D14" w:rsidRPr="00127675">
        <w:rPr>
          <w:noProof/>
        </w:rPr>
        <w:t>the FSR Guidelines (</w:t>
      </w:r>
      <w:r w:rsidR="00E70D14">
        <w:rPr>
          <w:rStyle w:val="FootnoteReference"/>
          <w:noProof/>
        </w:rPr>
        <w:footnoteReference w:id="9"/>
      </w:r>
      <w:r w:rsidR="00E70D14">
        <w:rPr>
          <w:noProof/>
        </w:rPr>
        <w:t>)</w:t>
      </w:r>
      <w:r w:rsidR="00E70D14" w:rsidRPr="00127675">
        <w:rPr>
          <w:noProof/>
        </w:rPr>
        <w:t xml:space="preserve">) and </w:t>
      </w:r>
      <w:r w:rsidR="00E70D14">
        <w:rPr>
          <w:noProof/>
        </w:rPr>
        <w:t xml:space="preserve">its </w:t>
      </w:r>
      <w:r w:rsidR="00E70D14" w:rsidRPr="00127675">
        <w:rPr>
          <w:noProof/>
        </w:rPr>
        <w:t xml:space="preserve">case practice (such as the brief on the first final decision with commitments adopted </w:t>
      </w:r>
      <w:r w:rsidR="00447161">
        <w:rPr>
          <w:noProof/>
        </w:rPr>
        <w:t xml:space="preserve">under the concentration chapter of the FSR </w:t>
      </w:r>
      <w:r w:rsidR="00E70D14" w:rsidRPr="00127675">
        <w:rPr>
          <w:noProof/>
        </w:rPr>
        <w:t>in case FS.100011)</w:t>
      </w:r>
      <w:r w:rsidR="00447161">
        <w:rPr>
          <w:noProof/>
        </w:rPr>
        <w:t> </w:t>
      </w:r>
      <w:r w:rsidR="00E70D14" w:rsidRPr="00127675">
        <w:rPr>
          <w:noProof/>
        </w:rPr>
        <w:t>(</w:t>
      </w:r>
      <w:r w:rsidR="00E70D14">
        <w:rPr>
          <w:rStyle w:val="FootnoteReference"/>
          <w:noProof/>
        </w:rPr>
        <w:footnoteReference w:id="10"/>
      </w:r>
      <w:r w:rsidR="00E70D14">
        <w:rPr>
          <w:noProof/>
        </w:rPr>
        <w:t>)</w:t>
      </w:r>
      <w:r w:rsidR="00EE5869">
        <w:rPr>
          <w:noProof/>
        </w:rPr>
        <w:t>.</w:t>
      </w:r>
      <w:r>
        <w:rPr>
          <w:noProof/>
        </w:rPr>
        <w:t xml:space="preserve"> </w:t>
      </w:r>
      <w:r w:rsidR="00447161">
        <w:rPr>
          <w:noProof/>
        </w:rPr>
        <w:t>In addition, for</w:t>
      </w:r>
      <w:r>
        <w:rPr>
          <w:noProof/>
        </w:rPr>
        <w:t xml:space="preserve"> concentration</w:t>
      </w:r>
      <w:r w:rsidR="001E4812">
        <w:rPr>
          <w:noProof/>
        </w:rPr>
        <w:t xml:space="preserve"> proceedings</w:t>
      </w:r>
      <w:r>
        <w:rPr>
          <w:noProof/>
        </w:rPr>
        <w:t xml:space="preserve">, </w:t>
      </w:r>
      <w:r w:rsidR="003C092B">
        <w:rPr>
          <w:noProof/>
        </w:rPr>
        <w:t>DG COMP</w:t>
      </w:r>
      <w:r>
        <w:rPr>
          <w:noProof/>
        </w:rPr>
        <w:t xml:space="preserve"> has a dedicated FSR Registry, which </w:t>
      </w:r>
      <w:r w:rsidR="008814F3">
        <w:rPr>
          <w:noProof/>
        </w:rPr>
        <w:t xml:space="preserve">enhances </w:t>
      </w:r>
      <w:r>
        <w:rPr>
          <w:noProof/>
        </w:rPr>
        <w:t xml:space="preserve">transparency, and informs the public </w:t>
      </w:r>
      <w:r w:rsidR="00C044DE">
        <w:rPr>
          <w:noProof/>
        </w:rPr>
        <w:t xml:space="preserve">about </w:t>
      </w:r>
      <w:r>
        <w:rPr>
          <w:noProof/>
        </w:rPr>
        <w:t xml:space="preserve">ongoing FSR concentration cases, following their formal </w:t>
      </w:r>
      <w:r w:rsidR="0091220D">
        <w:rPr>
          <w:noProof/>
        </w:rPr>
        <w:t>notification</w:t>
      </w:r>
      <w:r w:rsidR="00D76BCD" w:rsidRPr="00D76BCD">
        <w:rPr>
          <w:noProof/>
        </w:rPr>
        <w:t> (</w:t>
      </w:r>
      <w:r w:rsidR="00D76BCD">
        <w:rPr>
          <w:rStyle w:val="FootnoteReference"/>
          <w:noProof/>
        </w:rPr>
        <w:footnoteReference w:id="11"/>
      </w:r>
      <w:r w:rsidR="00D76BCD">
        <w:rPr>
          <w:noProof/>
        </w:rPr>
        <w:t>)</w:t>
      </w:r>
      <w:r>
        <w:rPr>
          <w:noProof/>
        </w:rPr>
        <w:t>.</w:t>
      </w:r>
      <w:r w:rsidR="00E70D14" w:rsidRPr="00127675" w:rsidDel="00127675">
        <w:rPr>
          <w:noProof/>
        </w:rPr>
        <w:t xml:space="preserve"> </w:t>
      </w:r>
    </w:p>
    <w:p w14:paraId="3835F854" w14:textId="6EB89A66" w:rsidR="00E70D14" w:rsidRPr="00B76B79" w:rsidRDefault="00E70D14" w:rsidP="00E70D14">
      <w:pPr>
        <w:rPr>
          <w:noProof/>
        </w:rPr>
      </w:pPr>
      <w:r w:rsidRPr="00017585">
        <w:rPr>
          <w:noProof/>
        </w:rPr>
        <w:t xml:space="preserve">The Commission </w:t>
      </w:r>
      <w:r>
        <w:rPr>
          <w:noProof/>
        </w:rPr>
        <w:t xml:space="preserve">services </w:t>
      </w:r>
      <w:r w:rsidRPr="00017585">
        <w:rPr>
          <w:noProof/>
        </w:rPr>
        <w:t xml:space="preserve">also </w:t>
      </w:r>
      <w:r>
        <w:rPr>
          <w:noProof/>
        </w:rPr>
        <w:t xml:space="preserve">engage with Member States through a dedicated network of national contact points and Commission expert groups, as well as </w:t>
      </w:r>
      <w:r w:rsidRPr="00017585">
        <w:rPr>
          <w:noProof/>
        </w:rPr>
        <w:t>with</w:t>
      </w:r>
      <w:r w:rsidR="00942ACE">
        <w:rPr>
          <w:noProof/>
        </w:rPr>
        <w:t xml:space="preserve"> stakeholders such as</w:t>
      </w:r>
      <w:r w:rsidRPr="00017585">
        <w:rPr>
          <w:noProof/>
        </w:rPr>
        <w:t xml:space="preserve"> legal practitioners</w:t>
      </w:r>
      <w:r>
        <w:rPr>
          <w:noProof/>
        </w:rPr>
        <w:t xml:space="preserve"> and business associations</w:t>
      </w:r>
      <w:r w:rsidRPr="00017585">
        <w:rPr>
          <w:noProof/>
        </w:rPr>
        <w:t xml:space="preserve"> </w:t>
      </w:r>
      <w:r>
        <w:rPr>
          <w:noProof/>
        </w:rPr>
        <w:t>through</w:t>
      </w:r>
      <w:r w:rsidRPr="00017585">
        <w:rPr>
          <w:noProof/>
        </w:rPr>
        <w:t xml:space="preserve"> conferences on various </w:t>
      </w:r>
      <w:r w:rsidR="001E4812">
        <w:rPr>
          <w:noProof/>
        </w:rPr>
        <w:t xml:space="preserve">FSR-related </w:t>
      </w:r>
      <w:r w:rsidRPr="00017585">
        <w:rPr>
          <w:noProof/>
        </w:rPr>
        <w:t xml:space="preserve">issues, </w:t>
      </w:r>
      <w:r>
        <w:rPr>
          <w:noProof/>
        </w:rPr>
        <w:t>bringing</w:t>
      </w:r>
      <w:r w:rsidRPr="00017585">
        <w:rPr>
          <w:noProof/>
        </w:rPr>
        <w:t xml:space="preserve"> </w:t>
      </w:r>
      <w:r>
        <w:rPr>
          <w:noProof/>
        </w:rPr>
        <w:t>further</w:t>
      </w:r>
      <w:r w:rsidRPr="00017585">
        <w:rPr>
          <w:noProof/>
        </w:rPr>
        <w:t xml:space="preserve"> clarity </w:t>
      </w:r>
      <w:r>
        <w:rPr>
          <w:noProof/>
        </w:rPr>
        <w:t xml:space="preserve">on its </w:t>
      </w:r>
      <w:r w:rsidRPr="00017585">
        <w:rPr>
          <w:noProof/>
        </w:rPr>
        <w:t>practice</w:t>
      </w:r>
      <w:r>
        <w:rPr>
          <w:noProof/>
        </w:rPr>
        <w:t>.</w:t>
      </w:r>
    </w:p>
    <w:p w14:paraId="32DB2DD8" w14:textId="77777777" w:rsidR="00061396" w:rsidRPr="00AA34DB" w:rsidRDefault="00061396" w:rsidP="00DF75D3">
      <w:pPr>
        <w:pStyle w:val="Heading3"/>
        <w:tabs>
          <w:tab w:val="clear" w:pos="850"/>
          <w:tab w:val="left" w:pos="851"/>
        </w:tabs>
        <w:ind w:left="851" w:hanging="851"/>
        <w:rPr>
          <w:noProof/>
          <w:lang w:val="en-IE"/>
        </w:rPr>
      </w:pPr>
      <w:r>
        <w:rPr>
          <w:noProof/>
          <w:lang w:val="en-IE"/>
        </w:rPr>
        <w:t>Results of the review</w:t>
      </w:r>
    </w:p>
    <w:p w14:paraId="6CCDFC4B" w14:textId="7CF2030B" w:rsidR="001E4812" w:rsidRPr="006419E4" w:rsidRDefault="00061396" w:rsidP="001E4812">
      <w:pPr>
        <w:rPr>
          <w:noProof/>
        </w:rPr>
      </w:pPr>
      <w:r>
        <w:rPr>
          <w:noProof/>
        </w:rPr>
        <w:t>T</w:t>
      </w:r>
      <w:r w:rsidR="002A6C59">
        <w:rPr>
          <w:noProof/>
        </w:rPr>
        <w:t>he</w:t>
      </w:r>
      <w:r w:rsidR="00C26FF0">
        <w:rPr>
          <w:noProof/>
        </w:rPr>
        <w:t xml:space="preserve"> </w:t>
      </w:r>
      <w:r w:rsidR="002A6C59">
        <w:rPr>
          <w:noProof/>
        </w:rPr>
        <w:t xml:space="preserve">actions of the Commission </w:t>
      </w:r>
      <w:r w:rsidR="007C7E0E">
        <w:rPr>
          <w:noProof/>
        </w:rPr>
        <w:t xml:space="preserve">to provide further guidance on the </w:t>
      </w:r>
      <w:r w:rsidR="00942ACE">
        <w:rPr>
          <w:noProof/>
        </w:rPr>
        <w:t>FSR</w:t>
      </w:r>
      <w:r w:rsidR="007C7E0E">
        <w:rPr>
          <w:noProof/>
        </w:rPr>
        <w:t xml:space="preserve"> </w:t>
      </w:r>
      <w:r w:rsidR="002A6C59">
        <w:rPr>
          <w:noProof/>
        </w:rPr>
        <w:t xml:space="preserve">were welcomed and seen </w:t>
      </w:r>
      <w:r w:rsidR="001E4812">
        <w:rPr>
          <w:noProof/>
        </w:rPr>
        <w:t xml:space="preserve">as </w:t>
      </w:r>
      <w:r w:rsidR="002A6C59">
        <w:rPr>
          <w:noProof/>
        </w:rPr>
        <w:t>positiv</w:t>
      </w:r>
      <w:r w:rsidR="00277BDE">
        <w:rPr>
          <w:noProof/>
        </w:rPr>
        <w:t>e</w:t>
      </w:r>
      <w:r w:rsidR="002A6C59">
        <w:rPr>
          <w:noProof/>
        </w:rPr>
        <w:t>. The review</w:t>
      </w:r>
      <w:r w:rsidR="00C26FF0">
        <w:rPr>
          <w:noProof/>
        </w:rPr>
        <w:t>, however,</w:t>
      </w:r>
      <w:r w:rsidR="002A6C59">
        <w:rPr>
          <w:noProof/>
        </w:rPr>
        <w:t xml:space="preserve"> highlights areas </w:t>
      </w:r>
      <w:r w:rsidR="00C26FF0">
        <w:rPr>
          <w:noProof/>
        </w:rPr>
        <w:t>in which stakeholders</w:t>
      </w:r>
      <w:r w:rsidR="001169CA">
        <w:rPr>
          <w:noProof/>
        </w:rPr>
        <w:t xml:space="preserve"> consider that </w:t>
      </w:r>
      <w:r w:rsidR="00C26FF0">
        <w:rPr>
          <w:noProof/>
        </w:rPr>
        <w:t xml:space="preserve">higher </w:t>
      </w:r>
      <w:r w:rsidR="002A6C59">
        <w:rPr>
          <w:noProof/>
        </w:rPr>
        <w:t>legal certainty</w:t>
      </w:r>
      <w:r w:rsidR="001169CA">
        <w:rPr>
          <w:noProof/>
        </w:rPr>
        <w:t xml:space="preserve"> is needed</w:t>
      </w:r>
      <w:r w:rsidR="002A6C59">
        <w:rPr>
          <w:noProof/>
        </w:rPr>
        <w:t xml:space="preserve">, in particular </w:t>
      </w:r>
      <w:r w:rsidR="001E4812">
        <w:rPr>
          <w:noProof/>
        </w:rPr>
        <w:t>for a number of</w:t>
      </w:r>
      <w:r w:rsidR="002A6C59">
        <w:rPr>
          <w:noProof/>
        </w:rPr>
        <w:t xml:space="preserve"> substantive FSR </w:t>
      </w:r>
      <w:r w:rsidR="001E4812">
        <w:rPr>
          <w:noProof/>
        </w:rPr>
        <w:t xml:space="preserve">concepts </w:t>
      </w:r>
      <w:r w:rsidR="002A6C59">
        <w:rPr>
          <w:noProof/>
        </w:rPr>
        <w:t xml:space="preserve">and the application of the analytical framework in individual cases. </w:t>
      </w:r>
      <w:r w:rsidR="001E4812">
        <w:rPr>
          <w:noProof/>
        </w:rPr>
        <w:t>Below are some specific examples.</w:t>
      </w:r>
      <w:r w:rsidR="001E4812" w:rsidRPr="006419E4">
        <w:rPr>
          <w:noProof/>
        </w:rPr>
        <w:t xml:space="preserve"> </w:t>
      </w:r>
    </w:p>
    <w:p w14:paraId="21546C4A" w14:textId="4BF9BA9C" w:rsidR="002A6C59" w:rsidRDefault="002A6C59" w:rsidP="002A6C59">
      <w:pPr>
        <w:rPr>
          <w:noProof/>
        </w:rPr>
      </w:pPr>
      <w:r>
        <w:rPr>
          <w:noProof/>
        </w:rPr>
        <w:t>Regarding the concept of foreign financial contributions</w:t>
      </w:r>
      <w:r w:rsidR="00366497">
        <w:rPr>
          <w:noProof/>
        </w:rPr>
        <w:t xml:space="preserve"> (</w:t>
      </w:r>
      <w:r w:rsidR="001E4812">
        <w:rPr>
          <w:noProof/>
        </w:rPr>
        <w:t>‘</w:t>
      </w:r>
      <w:r w:rsidR="00366497">
        <w:rPr>
          <w:noProof/>
        </w:rPr>
        <w:t>FFCs</w:t>
      </w:r>
      <w:r w:rsidR="001E4812">
        <w:rPr>
          <w:noProof/>
        </w:rPr>
        <w:t>’</w:t>
      </w:r>
      <w:r w:rsidR="00366497">
        <w:rPr>
          <w:noProof/>
        </w:rPr>
        <w:t xml:space="preserve">) </w:t>
      </w:r>
      <w:r>
        <w:rPr>
          <w:noProof/>
        </w:rPr>
        <w:t xml:space="preserve">from </w:t>
      </w:r>
      <w:r w:rsidR="00D736CE">
        <w:rPr>
          <w:noProof/>
        </w:rPr>
        <w:t>third country</w:t>
      </w:r>
      <w:r>
        <w:rPr>
          <w:noProof/>
        </w:rPr>
        <w:t xml:space="preserve"> authorities under </w:t>
      </w:r>
      <w:r w:rsidRPr="00B65535">
        <w:rPr>
          <w:noProof/>
        </w:rPr>
        <w:t>Article</w:t>
      </w:r>
      <w:r w:rsidR="00942ACE">
        <w:rPr>
          <w:noProof/>
        </w:rPr>
        <w:t> </w:t>
      </w:r>
      <w:r w:rsidRPr="00B65535">
        <w:rPr>
          <w:noProof/>
        </w:rPr>
        <w:t>3 FSR</w:t>
      </w:r>
      <w:r>
        <w:rPr>
          <w:noProof/>
        </w:rPr>
        <w:t>, stakeholders acknowledge the need for a broad definition of FFCs, which could encompass a wide range of measures to detect potentially distortive subsidies</w:t>
      </w:r>
      <w:r w:rsidR="000C5CA9">
        <w:rPr>
          <w:noProof/>
        </w:rPr>
        <w:t xml:space="preserve">. The feedback, </w:t>
      </w:r>
      <w:r>
        <w:rPr>
          <w:noProof/>
        </w:rPr>
        <w:t xml:space="preserve">however, </w:t>
      </w:r>
      <w:r w:rsidR="000C5CA9">
        <w:rPr>
          <w:noProof/>
        </w:rPr>
        <w:t>also</w:t>
      </w:r>
      <w:r>
        <w:rPr>
          <w:noProof/>
        </w:rPr>
        <w:t xml:space="preserve"> indicates that the broad FFC concept poses a challenge when </w:t>
      </w:r>
      <w:r w:rsidR="00C26FF0">
        <w:rPr>
          <w:noProof/>
        </w:rPr>
        <w:t xml:space="preserve">undertakings need to </w:t>
      </w:r>
      <w:r>
        <w:rPr>
          <w:noProof/>
        </w:rPr>
        <w:t>collect the relevant</w:t>
      </w:r>
      <w:r w:rsidR="00C26FF0">
        <w:rPr>
          <w:noProof/>
        </w:rPr>
        <w:t xml:space="preserve"> FFC</w:t>
      </w:r>
      <w:r>
        <w:rPr>
          <w:noProof/>
        </w:rPr>
        <w:t xml:space="preserve"> information </w:t>
      </w:r>
      <w:r w:rsidR="00C26FF0">
        <w:rPr>
          <w:noProof/>
        </w:rPr>
        <w:t xml:space="preserve">across multiple jurisdictions </w:t>
      </w:r>
      <w:r>
        <w:rPr>
          <w:noProof/>
        </w:rPr>
        <w:t xml:space="preserve">and </w:t>
      </w:r>
      <w:r w:rsidR="00C26FF0">
        <w:rPr>
          <w:noProof/>
        </w:rPr>
        <w:t>determine</w:t>
      </w:r>
      <w:r>
        <w:rPr>
          <w:noProof/>
        </w:rPr>
        <w:t xml:space="preserve"> the scope of their reportability</w:t>
      </w:r>
      <w:r w:rsidR="00C26FF0">
        <w:rPr>
          <w:noProof/>
        </w:rPr>
        <w:t xml:space="preserve"> </w:t>
      </w:r>
      <w:r>
        <w:rPr>
          <w:noProof/>
        </w:rPr>
        <w:t xml:space="preserve">for the purpose of </w:t>
      </w:r>
      <w:r w:rsidR="00C26FF0">
        <w:rPr>
          <w:noProof/>
        </w:rPr>
        <w:t xml:space="preserve">their </w:t>
      </w:r>
      <w:r w:rsidR="00C044DE">
        <w:rPr>
          <w:noProof/>
        </w:rPr>
        <w:t>ex</w:t>
      </w:r>
      <w:r w:rsidR="00FC0AFD">
        <w:rPr>
          <w:noProof/>
        </w:rPr>
        <w:t xml:space="preserve"> </w:t>
      </w:r>
      <w:r w:rsidR="00C044DE">
        <w:rPr>
          <w:noProof/>
        </w:rPr>
        <w:t>ante</w:t>
      </w:r>
      <w:r w:rsidR="00C26FF0">
        <w:rPr>
          <w:noProof/>
        </w:rPr>
        <w:t xml:space="preserve"> </w:t>
      </w:r>
      <w:r>
        <w:rPr>
          <w:noProof/>
        </w:rPr>
        <w:t>notification</w:t>
      </w:r>
      <w:r w:rsidR="00C26FF0">
        <w:rPr>
          <w:noProof/>
        </w:rPr>
        <w:t xml:space="preserve">s </w:t>
      </w:r>
      <w:r>
        <w:rPr>
          <w:noProof/>
        </w:rPr>
        <w:t>under the FSR.</w:t>
      </w:r>
    </w:p>
    <w:p w14:paraId="3ECB1BB7" w14:textId="4FF8A91B" w:rsidR="002A6C59" w:rsidRDefault="002A6C59" w:rsidP="002A6C59">
      <w:pPr>
        <w:rPr>
          <w:noProof/>
        </w:rPr>
      </w:pPr>
      <w:r>
        <w:rPr>
          <w:noProof/>
        </w:rPr>
        <w:t xml:space="preserve">Regarding the assessment of distortion under </w:t>
      </w:r>
      <w:r w:rsidR="00942ACE" w:rsidRPr="00E3736D">
        <w:rPr>
          <w:noProof/>
        </w:rPr>
        <w:t>Article</w:t>
      </w:r>
      <w:r w:rsidR="00942ACE">
        <w:rPr>
          <w:noProof/>
        </w:rPr>
        <w:t> </w:t>
      </w:r>
      <w:r w:rsidRPr="00E3736D">
        <w:rPr>
          <w:noProof/>
        </w:rPr>
        <w:t>4 FSR</w:t>
      </w:r>
      <w:r>
        <w:rPr>
          <w:noProof/>
        </w:rPr>
        <w:t>, stakeholders report difficulties in predicting how the concept is applied in individual cases. The limited body of Commission decisional practice at the time of the consultation activities in preparation of the Report is cited as a factor contributing to this uncertainty.</w:t>
      </w:r>
    </w:p>
    <w:p w14:paraId="10F3043D" w14:textId="6B890A63" w:rsidR="002A6C59" w:rsidRDefault="002A6C59" w:rsidP="002A6C59">
      <w:pPr>
        <w:rPr>
          <w:noProof/>
        </w:rPr>
      </w:pPr>
      <w:r>
        <w:rPr>
          <w:noProof/>
        </w:rPr>
        <w:t>Regarding t</w:t>
      </w:r>
      <w:r w:rsidRPr="00625A5D">
        <w:rPr>
          <w:noProof/>
        </w:rPr>
        <w:t>he foreign subsidies most likely to distort the internal market</w:t>
      </w:r>
      <w:r w:rsidR="007F1370">
        <w:rPr>
          <w:noProof/>
        </w:rPr>
        <w:t>,</w:t>
      </w:r>
      <w:r w:rsidRPr="00625A5D">
        <w:rPr>
          <w:noProof/>
        </w:rPr>
        <w:t xml:space="preserve"> </w:t>
      </w:r>
      <w:r>
        <w:rPr>
          <w:noProof/>
        </w:rPr>
        <w:t>under</w:t>
      </w:r>
      <w:r>
        <w:rPr>
          <w:b/>
          <w:bCs/>
          <w:noProof/>
        </w:rPr>
        <w:t xml:space="preserve"> </w:t>
      </w:r>
      <w:r w:rsidR="002A026E" w:rsidRPr="00E3736D">
        <w:rPr>
          <w:noProof/>
        </w:rPr>
        <w:t>Article</w:t>
      </w:r>
      <w:r w:rsidR="002A026E">
        <w:rPr>
          <w:noProof/>
        </w:rPr>
        <w:t> </w:t>
      </w:r>
      <w:r w:rsidRPr="00E3736D">
        <w:rPr>
          <w:noProof/>
        </w:rPr>
        <w:t>5</w:t>
      </w:r>
      <w:r>
        <w:rPr>
          <w:b/>
          <w:bCs/>
          <w:noProof/>
        </w:rPr>
        <w:t xml:space="preserve"> </w:t>
      </w:r>
      <w:r w:rsidRPr="00E3736D">
        <w:rPr>
          <w:noProof/>
        </w:rPr>
        <w:t>FSR</w:t>
      </w:r>
      <w:r w:rsidRPr="007E7209">
        <w:rPr>
          <w:noProof/>
        </w:rPr>
        <w:t xml:space="preserve">, </w:t>
      </w:r>
      <w:r>
        <w:rPr>
          <w:noProof/>
        </w:rPr>
        <w:t xml:space="preserve">stakeholders note that </w:t>
      </w:r>
      <w:r w:rsidRPr="007E7209">
        <w:rPr>
          <w:noProof/>
        </w:rPr>
        <w:t xml:space="preserve">although these are seen as </w:t>
      </w:r>
      <w:r w:rsidR="00920BBF">
        <w:rPr>
          <w:noProof/>
        </w:rPr>
        <w:t xml:space="preserve">a </w:t>
      </w:r>
      <w:r w:rsidRPr="00417A05">
        <w:rPr>
          <w:noProof/>
        </w:rPr>
        <w:t>useful indicator,</w:t>
      </w:r>
      <w:r>
        <w:rPr>
          <w:noProof/>
        </w:rPr>
        <w:t xml:space="preserve"> there remains some uncertainty </w:t>
      </w:r>
      <w:r w:rsidR="00277BDE">
        <w:rPr>
          <w:noProof/>
        </w:rPr>
        <w:t xml:space="preserve">about </w:t>
      </w:r>
      <w:r>
        <w:rPr>
          <w:noProof/>
        </w:rPr>
        <w:t xml:space="preserve">the subsidies that </w:t>
      </w:r>
      <w:r w:rsidR="00277BDE">
        <w:rPr>
          <w:noProof/>
        </w:rPr>
        <w:t>‘</w:t>
      </w:r>
      <w:r w:rsidRPr="00AA0B88">
        <w:rPr>
          <w:i/>
          <w:noProof/>
        </w:rPr>
        <w:t>directly facilitate a concentration</w:t>
      </w:r>
      <w:r w:rsidR="00277BDE">
        <w:rPr>
          <w:noProof/>
        </w:rPr>
        <w:t xml:space="preserve">’ </w:t>
      </w:r>
      <w:r>
        <w:rPr>
          <w:noProof/>
        </w:rPr>
        <w:t xml:space="preserve">or enable the submission of </w:t>
      </w:r>
      <w:r w:rsidR="00277BDE">
        <w:rPr>
          <w:noProof/>
        </w:rPr>
        <w:t>‘</w:t>
      </w:r>
      <w:r w:rsidRPr="00AA0B88">
        <w:rPr>
          <w:i/>
          <w:noProof/>
        </w:rPr>
        <w:t>unduly advantageous tenders</w:t>
      </w:r>
      <w:r w:rsidR="00277BDE">
        <w:rPr>
          <w:noProof/>
        </w:rPr>
        <w:t>’</w:t>
      </w:r>
      <w:r>
        <w:rPr>
          <w:noProof/>
        </w:rPr>
        <w:t>.</w:t>
      </w:r>
    </w:p>
    <w:p w14:paraId="55F659F2" w14:textId="5D618947" w:rsidR="002A6C59" w:rsidRDefault="002A6C59" w:rsidP="002A6C59">
      <w:pPr>
        <w:rPr>
          <w:noProof/>
        </w:rPr>
      </w:pPr>
      <w:r>
        <w:rPr>
          <w:noProof/>
        </w:rPr>
        <w:t xml:space="preserve">Regarding the balancing test under </w:t>
      </w:r>
      <w:r w:rsidR="007F1370" w:rsidRPr="00E3736D">
        <w:rPr>
          <w:noProof/>
        </w:rPr>
        <w:t>Article</w:t>
      </w:r>
      <w:r w:rsidR="007F1370">
        <w:rPr>
          <w:noProof/>
        </w:rPr>
        <w:t> </w:t>
      </w:r>
      <w:r w:rsidRPr="00E3736D">
        <w:rPr>
          <w:noProof/>
        </w:rPr>
        <w:t>6 FSR</w:t>
      </w:r>
      <w:r>
        <w:rPr>
          <w:noProof/>
        </w:rPr>
        <w:t>, the stakeholders welcome the possibility to have this exercise under the FSR</w:t>
      </w:r>
      <w:r w:rsidR="007F1370">
        <w:rPr>
          <w:noProof/>
        </w:rPr>
        <w:t>.</w:t>
      </w:r>
      <w:r>
        <w:rPr>
          <w:noProof/>
        </w:rPr>
        <w:t xml:space="preserve"> </w:t>
      </w:r>
      <w:r w:rsidR="007F1370">
        <w:rPr>
          <w:noProof/>
        </w:rPr>
        <w:t>However</w:t>
      </w:r>
      <w:r>
        <w:rPr>
          <w:noProof/>
        </w:rPr>
        <w:t xml:space="preserve">, its practical relevance is deemed limited </w:t>
      </w:r>
      <w:r w:rsidR="00844DF3">
        <w:rPr>
          <w:noProof/>
        </w:rPr>
        <w:t xml:space="preserve">since </w:t>
      </w:r>
      <w:r>
        <w:rPr>
          <w:noProof/>
        </w:rPr>
        <w:t xml:space="preserve">there are not yet examples </w:t>
      </w:r>
      <w:r w:rsidR="00C044DE">
        <w:rPr>
          <w:noProof/>
        </w:rPr>
        <w:t xml:space="preserve">of </w:t>
      </w:r>
      <w:r>
        <w:rPr>
          <w:noProof/>
        </w:rPr>
        <w:t>how the Commission would apply the test in practice.</w:t>
      </w:r>
    </w:p>
    <w:p w14:paraId="6FABE390" w14:textId="29D1BCA9" w:rsidR="007C7E0E" w:rsidRDefault="007C7E0E" w:rsidP="007C7E0E">
      <w:pPr>
        <w:rPr>
          <w:noProof/>
        </w:rPr>
      </w:pPr>
      <w:bookmarkStart w:id="6" w:name="_Toc228901725"/>
    </w:p>
    <w:p w14:paraId="7EE1BA6D" w14:textId="40934EB6" w:rsidR="00B76652" w:rsidRDefault="00B76652" w:rsidP="00B76652">
      <w:pPr>
        <w:pStyle w:val="Heading2"/>
        <w:rPr>
          <w:noProof/>
        </w:rPr>
      </w:pPr>
      <w:r>
        <w:rPr>
          <w:noProof/>
        </w:rPr>
        <w:t xml:space="preserve">Early FSR </w:t>
      </w:r>
      <w:r w:rsidRPr="00807C9E">
        <w:rPr>
          <w:noProof/>
        </w:rPr>
        <w:t>enforcement</w:t>
      </w:r>
      <w:r>
        <w:rPr>
          <w:noProof/>
        </w:rPr>
        <w:t xml:space="preserve"> shows that the instrument is fit for purpose </w:t>
      </w:r>
    </w:p>
    <w:bookmarkEnd w:id="6"/>
    <w:p w14:paraId="10640C14" w14:textId="3793DDBF" w:rsidR="00612B69" w:rsidRDefault="00612B69" w:rsidP="00612B69">
      <w:pPr>
        <w:rPr>
          <w:noProof/>
        </w:rPr>
      </w:pPr>
      <w:r>
        <w:rPr>
          <w:noProof/>
        </w:rPr>
        <w:t xml:space="preserve">The Commission enforces the FSR through three main procedures: </w:t>
      </w:r>
    </w:p>
    <w:p w14:paraId="3ED220F8" w14:textId="6C4D0D75" w:rsidR="00612B69" w:rsidRPr="00C044DE" w:rsidRDefault="00612B69" w:rsidP="002E0A1D">
      <w:pPr>
        <w:pStyle w:val="ListParagraph"/>
        <w:numPr>
          <w:ilvl w:val="0"/>
          <w:numId w:val="40"/>
        </w:numPr>
        <w:rPr>
          <w:noProof/>
          <w:lang w:val="en-IE"/>
        </w:rPr>
      </w:pPr>
      <w:r>
        <w:rPr>
          <w:noProof/>
        </w:rPr>
        <w:t xml:space="preserve">A </w:t>
      </w:r>
      <w:r w:rsidRPr="00C044DE">
        <w:rPr>
          <w:b/>
          <w:bCs/>
          <w:noProof/>
        </w:rPr>
        <w:t>suspensory ex ante notification for concentrations</w:t>
      </w:r>
      <w:r>
        <w:rPr>
          <w:noProof/>
        </w:rPr>
        <w:t xml:space="preserve"> in which </w:t>
      </w:r>
      <w:r w:rsidRPr="00612B69">
        <w:rPr>
          <w:noProof/>
        </w:rPr>
        <w:t>at least one of the merging undertakings, the acquired undertaking or the joint venture is established in the Union and generates an aggregate turnover in the Union of at least EUR 500 million</w:t>
      </w:r>
      <w:r>
        <w:rPr>
          <w:noProof/>
        </w:rPr>
        <w:t xml:space="preserve"> and </w:t>
      </w:r>
      <w:r w:rsidRPr="00612B69">
        <w:rPr>
          <w:noProof/>
          <w:lang w:val="en-IE"/>
        </w:rPr>
        <w:t xml:space="preserve">the </w:t>
      </w:r>
      <w:r w:rsidRPr="00612B69">
        <w:rPr>
          <w:noProof/>
        </w:rPr>
        <w:t xml:space="preserve">aggregate </w:t>
      </w:r>
      <w:r>
        <w:rPr>
          <w:noProof/>
        </w:rPr>
        <w:t xml:space="preserve">FFCs </w:t>
      </w:r>
      <w:r w:rsidR="00D736CE">
        <w:rPr>
          <w:noProof/>
        </w:rPr>
        <w:t xml:space="preserve">received by </w:t>
      </w:r>
      <w:r>
        <w:rPr>
          <w:noProof/>
        </w:rPr>
        <w:t xml:space="preserve">the parties to the concentration </w:t>
      </w:r>
      <w:r w:rsidR="00277BDE">
        <w:rPr>
          <w:noProof/>
        </w:rPr>
        <w:t>was</w:t>
      </w:r>
      <w:r>
        <w:rPr>
          <w:noProof/>
        </w:rPr>
        <w:t xml:space="preserve"> </w:t>
      </w:r>
      <w:r w:rsidRPr="00612B69">
        <w:rPr>
          <w:noProof/>
        </w:rPr>
        <w:t>more than EUR 50 million in the three years preceding the conclusion of the agreement, the announcement of the public bid, or the acquisition of a controlling interest</w:t>
      </w:r>
      <w:r>
        <w:rPr>
          <w:noProof/>
        </w:rPr>
        <w:t xml:space="preserve">; </w:t>
      </w:r>
    </w:p>
    <w:p w14:paraId="18A1DD95" w14:textId="77777777" w:rsidR="00612B69" w:rsidRPr="00612B69" w:rsidRDefault="00612B69" w:rsidP="00C044DE">
      <w:pPr>
        <w:pStyle w:val="ListParagraph"/>
        <w:rPr>
          <w:noProof/>
          <w:lang w:val="en-IE"/>
        </w:rPr>
      </w:pPr>
    </w:p>
    <w:p w14:paraId="1F9C2918" w14:textId="275CAC53" w:rsidR="00612B69" w:rsidRDefault="00612B69" w:rsidP="009D2CBA">
      <w:pPr>
        <w:pStyle w:val="ListParagraph"/>
        <w:numPr>
          <w:ilvl w:val="0"/>
          <w:numId w:val="40"/>
        </w:numPr>
        <w:rPr>
          <w:noProof/>
          <w:lang w:val="en-IE"/>
        </w:rPr>
      </w:pPr>
      <w:r w:rsidRPr="00612B69">
        <w:rPr>
          <w:noProof/>
          <w:lang w:val="en-IE"/>
        </w:rPr>
        <w:t xml:space="preserve">A </w:t>
      </w:r>
      <w:r w:rsidRPr="00C044DE">
        <w:rPr>
          <w:b/>
          <w:bCs/>
          <w:noProof/>
          <w:lang w:val="en-IE"/>
        </w:rPr>
        <w:t xml:space="preserve">suspensory ex ante </w:t>
      </w:r>
      <w:r w:rsidRPr="00C044DE">
        <w:rPr>
          <w:b/>
          <w:bCs/>
          <w:noProof/>
        </w:rPr>
        <w:t>notification</w:t>
      </w:r>
      <w:r>
        <w:rPr>
          <w:b/>
          <w:bCs/>
          <w:noProof/>
        </w:rPr>
        <w:t xml:space="preserve"> </w:t>
      </w:r>
      <w:r w:rsidRPr="00C044DE">
        <w:rPr>
          <w:b/>
          <w:bCs/>
          <w:noProof/>
          <w:lang w:val="en-IE"/>
        </w:rPr>
        <w:t xml:space="preserve">for </w:t>
      </w:r>
      <w:r w:rsidRPr="00612B69">
        <w:rPr>
          <w:b/>
          <w:bCs/>
          <w:noProof/>
          <w:lang w:val="en-IE"/>
        </w:rPr>
        <w:t>public procurement procedures</w:t>
      </w:r>
      <w:r w:rsidR="002A026E">
        <w:rPr>
          <w:noProof/>
          <w:lang w:val="en-IE"/>
        </w:rPr>
        <w:t xml:space="preserve"> </w:t>
      </w:r>
      <w:r w:rsidRPr="00612B69">
        <w:rPr>
          <w:noProof/>
          <w:lang w:val="en-IE"/>
        </w:rPr>
        <w:t>i</w:t>
      </w:r>
      <w:r w:rsidRPr="00AA0B88">
        <w:rPr>
          <w:noProof/>
        </w:rPr>
        <w:t xml:space="preserve">n which the estimated contract value is at least </w:t>
      </w:r>
      <w:r w:rsidRPr="006419E4">
        <w:rPr>
          <w:noProof/>
        </w:rPr>
        <w:t>EUR</w:t>
      </w:r>
      <w:r w:rsidR="002A026E">
        <w:rPr>
          <w:noProof/>
        </w:rPr>
        <w:t> </w:t>
      </w:r>
      <w:r w:rsidRPr="006419E4">
        <w:rPr>
          <w:noProof/>
        </w:rPr>
        <w:t>250 million</w:t>
      </w:r>
      <w:r w:rsidR="007F1370">
        <w:rPr>
          <w:noProof/>
        </w:rPr>
        <w:t xml:space="preserve"> </w:t>
      </w:r>
      <w:r w:rsidR="00277BDE">
        <w:rPr>
          <w:noProof/>
        </w:rPr>
        <w:t>–</w:t>
      </w:r>
      <w:r w:rsidR="007F1370">
        <w:rPr>
          <w:noProof/>
        </w:rPr>
        <w:t xml:space="preserve"> </w:t>
      </w:r>
      <w:r w:rsidR="00277BDE" w:rsidRPr="006419E4">
        <w:rPr>
          <w:noProof/>
        </w:rPr>
        <w:t>or EUR</w:t>
      </w:r>
      <w:r w:rsidR="00277BDE">
        <w:rPr>
          <w:noProof/>
        </w:rPr>
        <w:t> </w:t>
      </w:r>
      <w:r w:rsidR="00277BDE" w:rsidRPr="006419E4">
        <w:rPr>
          <w:noProof/>
        </w:rPr>
        <w:t>125</w:t>
      </w:r>
      <w:r w:rsidR="00277BDE">
        <w:rPr>
          <w:noProof/>
        </w:rPr>
        <w:t xml:space="preserve"> </w:t>
      </w:r>
      <w:r w:rsidR="00277BDE" w:rsidRPr="006419E4">
        <w:rPr>
          <w:noProof/>
        </w:rPr>
        <w:t xml:space="preserve">million </w:t>
      </w:r>
      <w:r w:rsidRPr="00612B69">
        <w:rPr>
          <w:noProof/>
        </w:rPr>
        <w:t xml:space="preserve">for lot-based </w:t>
      </w:r>
      <w:r>
        <w:rPr>
          <w:noProof/>
        </w:rPr>
        <w:t>public procurements, a</w:t>
      </w:r>
      <w:r w:rsidRPr="00612B69">
        <w:rPr>
          <w:noProof/>
        </w:rPr>
        <w:t>nd the combined FFCs of the bidding party and its main subcontractors or suppliers</w:t>
      </w:r>
      <w:r>
        <w:rPr>
          <w:noProof/>
        </w:rPr>
        <w:t xml:space="preserve"> </w:t>
      </w:r>
      <w:r w:rsidR="00277BDE">
        <w:rPr>
          <w:noProof/>
        </w:rPr>
        <w:t>we</w:t>
      </w:r>
      <w:r w:rsidR="00277BDE" w:rsidRPr="00612B69">
        <w:rPr>
          <w:noProof/>
        </w:rPr>
        <w:t xml:space="preserve">re </w:t>
      </w:r>
      <w:r w:rsidRPr="00612B69">
        <w:rPr>
          <w:noProof/>
        </w:rPr>
        <w:t xml:space="preserve">at least </w:t>
      </w:r>
      <w:r w:rsidR="002A026E">
        <w:rPr>
          <w:noProof/>
        </w:rPr>
        <w:t>EUR </w:t>
      </w:r>
      <w:r w:rsidRPr="00612B69">
        <w:rPr>
          <w:noProof/>
        </w:rPr>
        <w:t>4</w:t>
      </w:r>
      <w:r w:rsidR="00277BDE">
        <w:rPr>
          <w:noProof/>
        </w:rPr>
        <w:t xml:space="preserve"> </w:t>
      </w:r>
      <w:r w:rsidRPr="00612B69">
        <w:rPr>
          <w:noProof/>
        </w:rPr>
        <w:t xml:space="preserve">million in the three years </w:t>
      </w:r>
      <w:r w:rsidR="00EA1223">
        <w:rPr>
          <w:noProof/>
        </w:rPr>
        <w:t>before</w:t>
      </w:r>
      <w:r w:rsidRPr="00612B69">
        <w:rPr>
          <w:noProof/>
        </w:rPr>
        <w:t xml:space="preserve"> the </w:t>
      </w:r>
      <w:r>
        <w:rPr>
          <w:noProof/>
        </w:rPr>
        <w:t>notification</w:t>
      </w:r>
      <w:r w:rsidRPr="00612B69">
        <w:rPr>
          <w:noProof/>
        </w:rPr>
        <w:t>.</w:t>
      </w:r>
      <w:r w:rsidRPr="00612B69">
        <w:rPr>
          <w:noProof/>
          <w:lang w:val="en-IE"/>
        </w:rPr>
        <w:t xml:space="preserve"> </w:t>
      </w:r>
      <w:r>
        <w:rPr>
          <w:noProof/>
          <w:lang w:val="en-IE"/>
        </w:rPr>
        <w:t>In cases in which the parties to the public procurement are below the EUR</w:t>
      </w:r>
      <w:r w:rsidR="002A026E">
        <w:rPr>
          <w:noProof/>
          <w:lang w:val="en-IE"/>
        </w:rPr>
        <w:t> </w:t>
      </w:r>
      <w:r>
        <w:rPr>
          <w:noProof/>
          <w:lang w:val="en-IE"/>
        </w:rPr>
        <w:t xml:space="preserve">4 million FFC threshold, the parties </w:t>
      </w:r>
      <w:r w:rsidR="00EA1223">
        <w:rPr>
          <w:noProof/>
          <w:lang w:val="en-IE"/>
        </w:rPr>
        <w:t xml:space="preserve">must still </w:t>
      </w:r>
      <w:r>
        <w:rPr>
          <w:noProof/>
          <w:lang w:val="en-IE"/>
        </w:rPr>
        <w:t xml:space="preserve">file a declaration. </w:t>
      </w:r>
    </w:p>
    <w:p w14:paraId="07DED506" w14:textId="77777777" w:rsidR="00844DF3" w:rsidRPr="00844DF3" w:rsidRDefault="00844DF3" w:rsidP="00844DF3">
      <w:pPr>
        <w:pStyle w:val="ListParagraph"/>
        <w:rPr>
          <w:noProof/>
          <w:lang w:val="en-IE"/>
        </w:rPr>
      </w:pPr>
    </w:p>
    <w:p w14:paraId="3BAE2D6A" w14:textId="58B2CD11" w:rsidR="00612B69" w:rsidRPr="00612B69" w:rsidRDefault="00612B69" w:rsidP="00C044DE">
      <w:pPr>
        <w:pStyle w:val="ListParagraph"/>
        <w:numPr>
          <w:ilvl w:val="0"/>
          <w:numId w:val="40"/>
        </w:numPr>
        <w:rPr>
          <w:noProof/>
          <w:lang w:val="en-IE"/>
        </w:rPr>
      </w:pPr>
      <w:r w:rsidRPr="00612B69">
        <w:rPr>
          <w:noProof/>
          <w:lang w:val="en-IE"/>
        </w:rPr>
        <w:t xml:space="preserve">An </w:t>
      </w:r>
      <w:r w:rsidRPr="00C044DE">
        <w:rPr>
          <w:b/>
          <w:bCs/>
          <w:noProof/>
          <w:lang w:val="en-IE"/>
        </w:rPr>
        <w:t>ex officio procedure</w:t>
      </w:r>
      <w:r w:rsidRPr="00612B69">
        <w:rPr>
          <w:noProof/>
          <w:lang w:val="en-IE"/>
        </w:rPr>
        <w:t xml:space="preserve"> to investigate</w:t>
      </w:r>
      <w:r w:rsidR="00844DF3">
        <w:rPr>
          <w:noProof/>
          <w:lang w:val="en-IE"/>
        </w:rPr>
        <w:t xml:space="preserve"> </w:t>
      </w:r>
      <w:r w:rsidRPr="00C044DE">
        <w:rPr>
          <w:noProof/>
          <w:lang w:val="en-IE"/>
        </w:rPr>
        <w:t>all other market situations</w:t>
      </w:r>
      <w:r w:rsidRPr="00612B69">
        <w:rPr>
          <w:noProof/>
          <w:lang w:val="en-IE"/>
        </w:rPr>
        <w:t>, where the Commission can start a</w:t>
      </w:r>
      <w:r w:rsidR="00D736CE">
        <w:rPr>
          <w:noProof/>
          <w:lang w:val="en-IE"/>
        </w:rPr>
        <w:t xml:space="preserve">n </w:t>
      </w:r>
      <w:r w:rsidR="00277BDE">
        <w:rPr>
          <w:noProof/>
          <w:lang w:val="en-IE"/>
        </w:rPr>
        <w:t>investigation on</w:t>
      </w:r>
      <w:r w:rsidRPr="00612B69">
        <w:rPr>
          <w:noProof/>
          <w:lang w:val="en-IE"/>
        </w:rPr>
        <w:t xml:space="preserve"> its own initiative.</w:t>
      </w:r>
    </w:p>
    <w:p w14:paraId="6FE8BC64" w14:textId="2DDBFE0E" w:rsidR="007C343C" w:rsidRDefault="00612B69" w:rsidP="003D5FF1">
      <w:pPr>
        <w:rPr>
          <w:noProof/>
        </w:rPr>
      </w:pPr>
      <w:r>
        <w:rPr>
          <w:noProof/>
        </w:rPr>
        <w:t xml:space="preserve">Overall, the review of early FSR enforcement shows that the instrument is fit for purpose and is working well in practice. </w:t>
      </w:r>
      <w:r w:rsidR="00D50818">
        <w:rPr>
          <w:noProof/>
        </w:rPr>
        <w:t xml:space="preserve">The Regulation is recognised as an effective tool </w:t>
      </w:r>
      <w:r w:rsidR="00E61764">
        <w:rPr>
          <w:noProof/>
        </w:rPr>
        <w:t xml:space="preserve">that </w:t>
      </w:r>
      <w:r w:rsidR="00D50818">
        <w:rPr>
          <w:noProof/>
        </w:rPr>
        <w:t xml:space="preserve">addresses the regulatory gap that existed </w:t>
      </w:r>
      <w:r w:rsidR="00E61764">
        <w:rPr>
          <w:noProof/>
        </w:rPr>
        <w:t>before</w:t>
      </w:r>
      <w:r w:rsidR="00D50818">
        <w:rPr>
          <w:noProof/>
        </w:rPr>
        <w:t xml:space="preserve"> its adoption. In addition, the </w:t>
      </w:r>
      <w:r w:rsidR="00D50818" w:rsidRPr="00D73DBB">
        <w:rPr>
          <w:noProof/>
        </w:rPr>
        <w:t xml:space="preserve">objective of ensuring a level playing field in the internal market </w:t>
      </w:r>
      <w:r w:rsidR="00D50818">
        <w:rPr>
          <w:noProof/>
        </w:rPr>
        <w:t xml:space="preserve">is considered </w:t>
      </w:r>
      <w:r w:rsidR="00D50818" w:rsidRPr="00D73DBB">
        <w:rPr>
          <w:noProof/>
        </w:rPr>
        <w:t xml:space="preserve">legitimate and </w:t>
      </w:r>
      <w:r w:rsidR="00D50818">
        <w:rPr>
          <w:noProof/>
        </w:rPr>
        <w:t>proportionate</w:t>
      </w:r>
      <w:r w:rsidR="00D50818" w:rsidRPr="00D73DBB">
        <w:rPr>
          <w:noProof/>
        </w:rPr>
        <w:t xml:space="preserve">. </w:t>
      </w:r>
      <w:r w:rsidR="003D5FF1" w:rsidRPr="003D5FF1">
        <w:rPr>
          <w:noProof/>
        </w:rPr>
        <w:t xml:space="preserve">The </w:t>
      </w:r>
      <w:r>
        <w:rPr>
          <w:noProof/>
        </w:rPr>
        <w:t xml:space="preserve">FSR </w:t>
      </w:r>
      <w:r w:rsidR="003D5FF1" w:rsidRPr="003D5FF1">
        <w:rPr>
          <w:noProof/>
        </w:rPr>
        <w:t xml:space="preserve">enforcement has progressed steadily since </w:t>
      </w:r>
      <w:r w:rsidR="003D5FF1">
        <w:rPr>
          <w:noProof/>
        </w:rPr>
        <w:t>the start</w:t>
      </w:r>
      <w:r w:rsidR="003D5FF1" w:rsidRPr="003D5FF1">
        <w:rPr>
          <w:noProof/>
        </w:rPr>
        <w:t xml:space="preserve"> </w:t>
      </w:r>
      <w:r w:rsidR="003D5FF1">
        <w:rPr>
          <w:noProof/>
        </w:rPr>
        <w:t>of</w:t>
      </w:r>
      <w:r w:rsidR="003D5FF1" w:rsidRPr="003D5FF1">
        <w:rPr>
          <w:noProof/>
        </w:rPr>
        <w:t xml:space="preserve"> </w:t>
      </w:r>
      <w:r>
        <w:rPr>
          <w:noProof/>
        </w:rPr>
        <w:t xml:space="preserve">its </w:t>
      </w:r>
      <w:r w:rsidR="003D5FF1" w:rsidRPr="003D5FF1">
        <w:rPr>
          <w:noProof/>
        </w:rPr>
        <w:t xml:space="preserve">application, with the Commission gaining valuable experience in applying </w:t>
      </w:r>
      <w:r w:rsidR="00127675">
        <w:rPr>
          <w:noProof/>
        </w:rPr>
        <w:t>its</w:t>
      </w:r>
      <w:r w:rsidR="003D5FF1" w:rsidRPr="003D5FF1">
        <w:rPr>
          <w:noProof/>
        </w:rPr>
        <w:t xml:space="preserve"> substantive and procedural provisions. </w:t>
      </w:r>
    </w:p>
    <w:p w14:paraId="1EC77DB5" w14:textId="6249C2EB" w:rsidR="00AA34DB" w:rsidRDefault="001E7AE9" w:rsidP="00DF75D3">
      <w:pPr>
        <w:pStyle w:val="Heading3"/>
        <w:ind w:left="851" w:hanging="851"/>
        <w:rPr>
          <w:noProof/>
        </w:rPr>
      </w:pPr>
      <w:r>
        <w:rPr>
          <w:noProof/>
        </w:rPr>
        <w:t>FSR e</w:t>
      </w:r>
      <w:r w:rsidR="001C4FB7">
        <w:rPr>
          <w:noProof/>
        </w:rPr>
        <w:t xml:space="preserve">x officio </w:t>
      </w:r>
      <w:r w:rsidR="00EF08F1">
        <w:rPr>
          <w:noProof/>
        </w:rPr>
        <w:t>investigations</w:t>
      </w:r>
    </w:p>
    <w:p w14:paraId="5A9D4BF0" w14:textId="35FCFB94" w:rsidR="00AA34DB" w:rsidRPr="00AA34DB" w:rsidRDefault="00AA34DB" w:rsidP="00AA34DB">
      <w:pPr>
        <w:pStyle w:val="Heading4"/>
        <w:rPr>
          <w:noProof/>
          <w:lang w:val="en-IE"/>
        </w:rPr>
      </w:pPr>
      <w:r>
        <w:rPr>
          <w:noProof/>
          <w:lang w:val="en-IE"/>
        </w:rPr>
        <w:t>Information on cases</w:t>
      </w:r>
    </w:p>
    <w:p w14:paraId="0DEDCD3A" w14:textId="11E25AC7" w:rsidR="002E0EA9" w:rsidRDefault="001F27EB" w:rsidP="002E0EA9">
      <w:pPr>
        <w:rPr>
          <w:noProof/>
        </w:rPr>
      </w:pPr>
      <w:r>
        <w:rPr>
          <w:noProof/>
          <w:lang w:val="en-IE"/>
        </w:rPr>
        <w:t>T</w:t>
      </w:r>
      <w:r w:rsidR="002E0EA9" w:rsidRPr="00A16B12">
        <w:rPr>
          <w:noProof/>
        </w:rPr>
        <w:t xml:space="preserve">he Commission continuously assesses whether there is sufficient evidence to merit the launch of ex officio investigation, based on its own analysis, information received </w:t>
      </w:r>
      <w:r w:rsidR="005168D3">
        <w:rPr>
          <w:noProof/>
        </w:rPr>
        <w:t>from</w:t>
      </w:r>
      <w:r w:rsidR="002E0EA9" w:rsidRPr="00A16B12">
        <w:rPr>
          <w:noProof/>
        </w:rPr>
        <w:t xml:space="preserve"> stakeholders and investigations of market information, as applicable.</w:t>
      </w:r>
    </w:p>
    <w:p w14:paraId="60508C54" w14:textId="6A44A060" w:rsidR="00271974" w:rsidRDefault="00271974" w:rsidP="004A1922">
      <w:pPr>
        <w:rPr>
          <w:noProof/>
          <w:lang w:val="en-IE"/>
        </w:rPr>
      </w:pPr>
      <w:r>
        <w:rPr>
          <w:noProof/>
          <w:lang w:val="en-IE"/>
        </w:rPr>
        <w:t xml:space="preserve">In </w:t>
      </w:r>
      <w:r w:rsidR="00AC49E2">
        <w:rPr>
          <w:noProof/>
          <w:lang w:val="en-IE"/>
        </w:rPr>
        <w:t>two</w:t>
      </w:r>
      <w:r>
        <w:rPr>
          <w:noProof/>
          <w:lang w:val="en-IE"/>
        </w:rPr>
        <w:t xml:space="preserve"> cases,</w:t>
      </w:r>
      <w:r w:rsidR="008814F3">
        <w:rPr>
          <w:noProof/>
          <w:lang w:val="en-IE"/>
        </w:rPr>
        <w:t xml:space="preserve"> </w:t>
      </w:r>
      <w:r w:rsidR="00532361">
        <w:rPr>
          <w:noProof/>
          <w:lang w:val="en-IE"/>
        </w:rPr>
        <w:t>at time of publication</w:t>
      </w:r>
      <w:r w:rsidR="008814F3">
        <w:rPr>
          <w:noProof/>
          <w:lang w:val="en-IE"/>
        </w:rPr>
        <w:t xml:space="preserve">, </w:t>
      </w:r>
      <w:r>
        <w:rPr>
          <w:noProof/>
          <w:lang w:val="en-IE"/>
        </w:rPr>
        <w:t>the Commission opened in-depth investigations</w:t>
      </w:r>
      <w:r w:rsidR="00D8507D">
        <w:rPr>
          <w:noProof/>
          <w:lang w:val="en-IE"/>
        </w:rPr>
        <w:t xml:space="preserve">, pursuant to </w:t>
      </w:r>
      <w:r w:rsidR="002A026E" w:rsidRPr="00D8507D">
        <w:rPr>
          <w:noProof/>
        </w:rPr>
        <w:t>Article</w:t>
      </w:r>
      <w:r w:rsidR="002A026E">
        <w:rPr>
          <w:noProof/>
        </w:rPr>
        <w:t> </w:t>
      </w:r>
      <w:r w:rsidR="00D8507D" w:rsidRPr="00D8507D">
        <w:rPr>
          <w:noProof/>
        </w:rPr>
        <w:t>10(3)</w:t>
      </w:r>
      <w:r w:rsidR="00D8507D">
        <w:rPr>
          <w:noProof/>
        </w:rPr>
        <w:t xml:space="preserve"> FSR</w:t>
      </w:r>
      <w:r w:rsidR="00EF08F1">
        <w:rPr>
          <w:noProof/>
          <w:lang w:val="en-IE"/>
        </w:rPr>
        <w:t>:</w:t>
      </w:r>
    </w:p>
    <w:p w14:paraId="0D458B51" w14:textId="3281C827" w:rsidR="001418A3" w:rsidRDefault="00271974" w:rsidP="009B6EE9">
      <w:pPr>
        <w:pStyle w:val="ListParagraph"/>
        <w:numPr>
          <w:ilvl w:val="0"/>
          <w:numId w:val="58"/>
        </w:numPr>
        <w:rPr>
          <w:noProof/>
        </w:rPr>
      </w:pPr>
      <w:bookmarkStart w:id="7" w:name="_Ref227151708"/>
      <w:r w:rsidRPr="00ED2CE0">
        <w:rPr>
          <w:b/>
          <w:bCs/>
          <w:noProof/>
          <w:lang w:val="en-IE"/>
        </w:rPr>
        <w:t xml:space="preserve">Case FS.100068 </w:t>
      </w:r>
      <w:r w:rsidR="00EF08F1" w:rsidRPr="00812A40">
        <w:rPr>
          <w:noProof/>
          <w:lang w:val="en-IE"/>
        </w:rPr>
        <w:t>–</w:t>
      </w:r>
      <w:r w:rsidRPr="00ED2CE0">
        <w:rPr>
          <w:b/>
          <w:bCs/>
          <w:noProof/>
          <w:lang w:val="en-IE"/>
        </w:rPr>
        <w:t xml:space="preserve"> N</w:t>
      </w:r>
      <w:bookmarkEnd w:id="7"/>
      <w:r w:rsidR="00AA34DB" w:rsidRPr="00ED2CE0">
        <w:rPr>
          <w:b/>
          <w:bCs/>
          <w:noProof/>
          <w:lang w:val="en-IE"/>
        </w:rPr>
        <w:t>uctech</w:t>
      </w:r>
      <w:r w:rsidR="00EF08F1" w:rsidRPr="00ED2CE0">
        <w:rPr>
          <w:noProof/>
          <w:lang w:val="en-IE"/>
        </w:rPr>
        <w:t xml:space="preserve"> </w:t>
      </w:r>
      <w:r w:rsidR="003B64E8" w:rsidRPr="00812A40">
        <w:rPr>
          <w:noProof/>
          <w:lang w:val="en-IE"/>
        </w:rPr>
        <w:t>–</w:t>
      </w:r>
      <w:r w:rsidR="00EF08F1" w:rsidRPr="00ED2CE0">
        <w:rPr>
          <w:noProof/>
          <w:lang w:val="en-IE"/>
        </w:rPr>
        <w:t xml:space="preserve"> </w:t>
      </w:r>
      <w:r w:rsidR="009F2711" w:rsidRPr="00D73DBB">
        <w:rPr>
          <w:noProof/>
        </w:rPr>
        <w:t>on 11</w:t>
      </w:r>
      <w:r w:rsidR="00B26EE7">
        <w:rPr>
          <w:noProof/>
        </w:rPr>
        <w:t> </w:t>
      </w:r>
      <w:r w:rsidR="009F2711" w:rsidRPr="00D73DBB">
        <w:rPr>
          <w:noProof/>
        </w:rPr>
        <w:t>December 2025</w:t>
      </w:r>
      <w:r w:rsidR="009F2711">
        <w:rPr>
          <w:noProof/>
        </w:rPr>
        <w:t>,</w:t>
      </w:r>
      <w:r w:rsidR="009F2711" w:rsidRPr="00D73DBB">
        <w:rPr>
          <w:noProof/>
        </w:rPr>
        <w:t xml:space="preserve"> </w:t>
      </w:r>
      <w:r w:rsidR="006D4FC3" w:rsidRPr="00D73DBB">
        <w:rPr>
          <w:noProof/>
        </w:rPr>
        <w:t xml:space="preserve">the </w:t>
      </w:r>
      <w:r w:rsidR="006D4FC3" w:rsidRPr="006D4FC3">
        <w:rPr>
          <w:noProof/>
        </w:rPr>
        <w:t>Commission opened</w:t>
      </w:r>
      <w:r w:rsidR="006D4FC3" w:rsidRPr="00D73DBB">
        <w:rPr>
          <w:noProof/>
        </w:rPr>
        <w:t xml:space="preserve"> an in-depth investigation</w:t>
      </w:r>
      <w:r w:rsidR="009F2711">
        <w:rPr>
          <w:noProof/>
        </w:rPr>
        <w:t xml:space="preserve">, </w:t>
      </w:r>
      <w:r w:rsidR="00DF72A1">
        <w:rPr>
          <w:noProof/>
        </w:rPr>
        <w:t>to assess</w:t>
      </w:r>
      <w:r w:rsidR="00C97710">
        <w:rPr>
          <w:noProof/>
        </w:rPr>
        <w:t xml:space="preserve"> whether</w:t>
      </w:r>
      <w:r w:rsidR="00DF72A1">
        <w:rPr>
          <w:noProof/>
        </w:rPr>
        <w:t xml:space="preserve"> </w:t>
      </w:r>
      <w:r w:rsidR="009F2711">
        <w:rPr>
          <w:noProof/>
        </w:rPr>
        <w:t xml:space="preserve">the activities of </w:t>
      </w:r>
      <w:r w:rsidR="000A29D1" w:rsidRPr="000A29D1">
        <w:rPr>
          <w:noProof/>
        </w:rPr>
        <w:t xml:space="preserve">Nuctech </w:t>
      </w:r>
      <w:r w:rsidR="009F2711">
        <w:rPr>
          <w:noProof/>
        </w:rPr>
        <w:t xml:space="preserve">in the production and sale of </w:t>
      </w:r>
      <w:r w:rsidR="000A29D1" w:rsidRPr="000A29D1">
        <w:rPr>
          <w:noProof/>
        </w:rPr>
        <w:t>threat detection systems</w:t>
      </w:r>
      <w:r w:rsidR="009F2711">
        <w:rPr>
          <w:noProof/>
        </w:rPr>
        <w:t xml:space="preserve"> and the provision of related services in the Union</w:t>
      </w:r>
      <w:r w:rsidR="00C97710">
        <w:rPr>
          <w:noProof/>
        </w:rPr>
        <w:t xml:space="preserve"> benefitted from foreign subsidies </w:t>
      </w:r>
      <w:r w:rsidR="009F2711" w:rsidRPr="009F2711">
        <w:rPr>
          <w:noProof/>
        </w:rPr>
        <w:t xml:space="preserve">that could distort </w:t>
      </w:r>
      <w:r w:rsidR="009D2CBA">
        <w:rPr>
          <w:noProof/>
        </w:rPr>
        <w:t xml:space="preserve">the </w:t>
      </w:r>
      <w:r w:rsidR="009F2711" w:rsidRPr="009F2711">
        <w:rPr>
          <w:noProof/>
        </w:rPr>
        <w:t>internal market.</w:t>
      </w:r>
      <w:r w:rsidR="009F2711">
        <w:rPr>
          <w:noProof/>
        </w:rPr>
        <w:t xml:space="preserve"> The possible </w:t>
      </w:r>
      <w:r w:rsidR="000A29D1" w:rsidRPr="000A29D1">
        <w:rPr>
          <w:noProof/>
        </w:rPr>
        <w:t xml:space="preserve">foreign subsidies </w:t>
      </w:r>
      <w:r w:rsidR="009F2711">
        <w:rPr>
          <w:noProof/>
        </w:rPr>
        <w:t xml:space="preserve">take </w:t>
      </w:r>
      <w:r w:rsidR="00E61764">
        <w:rPr>
          <w:noProof/>
        </w:rPr>
        <w:t>the</w:t>
      </w:r>
      <w:r w:rsidR="009F2711">
        <w:rPr>
          <w:noProof/>
        </w:rPr>
        <w:t xml:space="preserve"> form of</w:t>
      </w:r>
      <w:r w:rsidR="000A29D1" w:rsidRPr="000A29D1">
        <w:rPr>
          <w:noProof/>
        </w:rPr>
        <w:t xml:space="preserve"> grants</w:t>
      </w:r>
      <w:r w:rsidR="009F2711">
        <w:rPr>
          <w:noProof/>
        </w:rPr>
        <w:t xml:space="preserve"> and preferential </w:t>
      </w:r>
      <w:r w:rsidR="000A29D1" w:rsidRPr="000A29D1">
        <w:rPr>
          <w:noProof/>
        </w:rPr>
        <w:t>tax measures</w:t>
      </w:r>
      <w:r w:rsidR="009F2711">
        <w:rPr>
          <w:noProof/>
        </w:rPr>
        <w:t xml:space="preserve"> and financing, which may have</w:t>
      </w:r>
      <w:r w:rsidR="009F2711" w:rsidRPr="009F2711">
        <w:rPr>
          <w:noProof/>
        </w:rPr>
        <w:t xml:space="preserve"> improved Nuctech</w:t>
      </w:r>
      <w:r w:rsidR="00E61764">
        <w:rPr>
          <w:noProof/>
        </w:rPr>
        <w:t>’</w:t>
      </w:r>
      <w:r w:rsidR="009F2711" w:rsidRPr="009F2711">
        <w:rPr>
          <w:noProof/>
        </w:rPr>
        <w:t>s competitive position in the internal market and may have negatively affected competition</w:t>
      </w:r>
      <w:r w:rsidR="00E56A3A" w:rsidRPr="00E56A3A">
        <w:rPr>
          <w:noProof/>
        </w:rPr>
        <w:t> (</w:t>
      </w:r>
      <w:r w:rsidR="00E56A3A">
        <w:rPr>
          <w:rStyle w:val="FootnoteReference"/>
          <w:noProof/>
        </w:rPr>
        <w:footnoteReference w:id="12"/>
      </w:r>
      <w:r w:rsidR="00E56A3A">
        <w:rPr>
          <w:noProof/>
        </w:rPr>
        <w:t>)</w:t>
      </w:r>
      <w:r w:rsidR="00E61764">
        <w:rPr>
          <w:noProof/>
        </w:rPr>
        <w:t xml:space="preserve">. </w:t>
      </w:r>
      <w:r w:rsidR="00FA4B8B" w:rsidRPr="00FA4B8B">
        <w:rPr>
          <w:noProof/>
        </w:rPr>
        <w:t xml:space="preserve">The case was initiated in April 2024 with the adoption of a decision requiring </w:t>
      </w:r>
      <w:r w:rsidR="00FA4B8B">
        <w:rPr>
          <w:noProof/>
        </w:rPr>
        <w:t>Nuctech</w:t>
      </w:r>
      <w:r w:rsidR="00FA4B8B" w:rsidRPr="00FA4B8B">
        <w:rPr>
          <w:noProof/>
        </w:rPr>
        <w:t xml:space="preserve"> to submit to inspections pursuant to Article</w:t>
      </w:r>
      <w:r w:rsidR="00532361">
        <w:rPr>
          <w:noProof/>
        </w:rPr>
        <w:t> </w:t>
      </w:r>
      <w:r w:rsidR="00FA4B8B" w:rsidRPr="00FA4B8B">
        <w:rPr>
          <w:noProof/>
        </w:rPr>
        <w:t xml:space="preserve">14(3) FSR (the </w:t>
      </w:r>
      <w:r w:rsidR="00D303C0">
        <w:rPr>
          <w:noProof/>
        </w:rPr>
        <w:t>‘</w:t>
      </w:r>
      <w:r w:rsidR="00FA4B8B" w:rsidRPr="00FA4B8B">
        <w:rPr>
          <w:noProof/>
        </w:rPr>
        <w:t>Inspection Decision</w:t>
      </w:r>
      <w:r w:rsidR="00D303C0">
        <w:rPr>
          <w:noProof/>
        </w:rPr>
        <w:t>’</w:t>
      </w:r>
      <w:r w:rsidR="00FA4B8B" w:rsidRPr="00FA4B8B">
        <w:rPr>
          <w:noProof/>
        </w:rPr>
        <w:t>).</w:t>
      </w:r>
    </w:p>
    <w:p w14:paraId="3398DD5C" w14:textId="77777777" w:rsidR="00ED2CE0" w:rsidRPr="00750DE1" w:rsidRDefault="00ED2CE0" w:rsidP="00ED2CE0">
      <w:pPr>
        <w:pStyle w:val="ListParagraph"/>
        <w:rPr>
          <w:noProof/>
        </w:rPr>
      </w:pPr>
    </w:p>
    <w:p w14:paraId="432ACDDE" w14:textId="32371731" w:rsidR="00EF08F1" w:rsidRDefault="003B30D6" w:rsidP="009B6EE9">
      <w:pPr>
        <w:pStyle w:val="ListParagraph"/>
        <w:numPr>
          <w:ilvl w:val="0"/>
          <w:numId w:val="58"/>
        </w:numPr>
        <w:rPr>
          <w:noProof/>
        </w:rPr>
      </w:pPr>
      <w:bookmarkStart w:id="8" w:name="_Ref227151711"/>
      <w:r w:rsidRPr="000A29D1">
        <w:rPr>
          <w:b/>
          <w:bCs/>
          <w:noProof/>
        </w:rPr>
        <w:t xml:space="preserve">Case FS.100143 </w:t>
      </w:r>
      <w:r w:rsidR="00EF08F1" w:rsidRPr="00812A40">
        <w:rPr>
          <w:noProof/>
        </w:rPr>
        <w:t>–</w:t>
      </w:r>
      <w:r w:rsidRPr="000A29D1">
        <w:rPr>
          <w:b/>
          <w:bCs/>
          <w:noProof/>
        </w:rPr>
        <w:t xml:space="preserve"> G</w:t>
      </w:r>
      <w:bookmarkEnd w:id="8"/>
      <w:r w:rsidR="00AA34DB">
        <w:rPr>
          <w:b/>
          <w:bCs/>
          <w:noProof/>
        </w:rPr>
        <w:t>oldwind</w:t>
      </w:r>
      <w:r w:rsidR="00EF08F1">
        <w:rPr>
          <w:noProof/>
        </w:rPr>
        <w:t xml:space="preserve"> </w:t>
      </w:r>
      <w:r w:rsidR="003B64E8" w:rsidRPr="00812A40">
        <w:rPr>
          <w:noProof/>
          <w:lang w:val="en-IE"/>
        </w:rPr>
        <w:t>–</w:t>
      </w:r>
      <w:r w:rsidR="00DF72A1">
        <w:rPr>
          <w:noProof/>
        </w:rPr>
        <w:t xml:space="preserve"> on</w:t>
      </w:r>
      <w:r w:rsidR="00EF08F1">
        <w:rPr>
          <w:noProof/>
        </w:rPr>
        <w:t xml:space="preserve"> </w:t>
      </w:r>
      <w:r w:rsidR="00DF72A1" w:rsidRPr="006D4FC3">
        <w:rPr>
          <w:noProof/>
        </w:rPr>
        <w:t>3</w:t>
      </w:r>
      <w:r w:rsidR="00B26EE7">
        <w:rPr>
          <w:noProof/>
        </w:rPr>
        <w:t> </w:t>
      </w:r>
      <w:r w:rsidR="00DF72A1" w:rsidRPr="006D4FC3">
        <w:rPr>
          <w:noProof/>
        </w:rPr>
        <w:t>February 2026</w:t>
      </w:r>
      <w:r w:rsidR="00522BBB">
        <w:rPr>
          <w:noProof/>
        </w:rPr>
        <w:t xml:space="preserve">, </w:t>
      </w:r>
      <w:r w:rsidR="006D4FC3" w:rsidDel="00B82EBB">
        <w:rPr>
          <w:noProof/>
        </w:rPr>
        <w:t>t</w:t>
      </w:r>
      <w:r w:rsidR="006D4FC3">
        <w:rPr>
          <w:noProof/>
        </w:rPr>
        <w:t xml:space="preserve">he </w:t>
      </w:r>
      <w:r w:rsidR="006D4FC3" w:rsidRPr="006D4FC3">
        <w:rPr>
          <w:noProof/>
        </w:rPr>
        <w:t xml:space="preserve">Commission opened an in-depth investigation </w:t>
      </w:r>
      <w:r w:rsidR="00522BBB">
        <w:rPr>
          <w:noProof/>
        </w:rPr>
        <w:t>to assess the activities of</w:t>
      </w:r>
      <w:r w:rsidR="000A29D1">
        <w:rPr>
          <w:noProof/>
        </w:rPr>
        <w:t xml:space="preserve"> </w:t>
      </w:r>
      <w:r w:rsidR="006D4FC3" w:rsidRPr="006D4FC3">
        <w:rPr>
          <w:noProof/>
        </w:rPr>
        <w:t>Goldwin</w:t>
      </w:r>
      <w:r w:rsidR="000A29D1">
        <w:rPr>
          <w:noProof/>
        </w:rPr>
        <w:t xml:space="preserve">d </w:t>
      </w:r>
      <w:r w:rsidR="00522BBB" w:rsidRPr="00522BBB">
        <w:rPr>
          <w:noProof/>
        </w:rPr>
        <w:t xml:space="preserve">in the production and sale of wind turbines and the provision of related services within the EU. The possible foreign subsidies include grants, preferential tax measures, and preferential financing in the form of loans. The Commission has preliminary concerns that these foreign subsidies may </w:t>
      </w:r>
      <w:r w:rsidR="00920BBF">
        <w:rPr>
          <w:noProof/>
        </w:rPr>
        <w:t xml:space="preserve">have </w:t>
      </w:r>
      <w:r w:rsidR="00522BBB" w:rsidRPr="00522BBB">
        <w:rPr>
          <w:noProof/>
        </w:rPr>
        <w:t>improve</w:t>
      </w:r>
      <w:r w:rsidR="00920BBF">
        <w:rPr>
          <w:noProof/>
        </w:rPr>
        <w:t>d</w:t>
      </w:r>
      <w:r w:rsidR="00522BBB" w:rsidRPr="00522BBB">
        <w:rPr>
          <w:noProof/>
        </w:rPr>
        <w:t xml:space="preserve"> Goldwind</w:t>
      </w:r>
      <w:r w:rsidR="00522BBB">
        <w:rPr>
          <w:noProof/>
        </w:rPr>
        <w:t>’</w:t>
      </w:r>
      <w:r w:rsidR="00522BBB" w:rsidRPr="00522BBB">
        <w:rPr>
          <w:noProof/>
        </w:rPr>
        <w:t>s competitive position in the internal market and may negatively affect competitio</w:t>
      </w:r>
      <w:r w:rsidR="009D2CBA">
        <w:rPr>
          <w:noProof/>
        </w:rPr>
        <w:t>n</w:t>
      </w:r>
      <w:r w:rsidR="00532361">
        <w:rPr>
          <w:noProof/>
        </w:rPr>
        <w:t> </w:t>
      </w:r>
      <w:r w:rsidR="00EA7ECD" w:rsidRPr="00EA7ECD">
        <w:rPr>
          <w:noProof/>
        </w:rPr>
        <w:t>(</w:t>
      </w:r>
      <w:r w:rsidR="00EA7ECD">
        <w:rPr>
          <w:rStyle w:val="FootnoteReference"/>
          <w:noProof/>
        </w:rPr>
        <w:footnoteReference w:id="13"/>
      </w:r>
      <w:r w:rsidR="00EA7ECD">
        <w:rPr>
          <w:noProof/>
        </w:rPr>
        <w:t>)</w:t>
      </w:r>
      <w:r w:rsidR="00E61764">
        <w:rPr>
          <w:noProof/>
        </w:rPr>
        <w:t>.</w:t>
      </w:r>
    </w:p>
    <w:p w14:paraId="743371B2" w14:textId="7727059A" w:rsidR="00765FC1" w:rsidRPr="00812A40" w:rsidRDefault="00D736CE" w:rsidP="00812A40">
      <w:pPr>
        <w:pStyle w:val="Heading4"/>
        <w:rPr>
          <w:i/>
          <w:noProof/>
          <w:lang w:val="en-IE"/>
        </w:rPr>
      </w:pPr>
      <w:r>
        <w:rPr>
          <w:i/>
          <w:iCs/>
          <w:noProof/>
          <w:lang w:val="en-IE"/>
        </w:rPr>
        <w:t xml:space="preserve">Review by the </w:t>
      </w:r>
      <w:r w:rsidR="00714570">
        <w:rPr>
          <w:i/>
          <w:iCs/>
          <w:noProof/>
          <w:lang w:val="en-IE"/>
        </w:rPr>
        <w:t>Union</w:t>
      </w:r>
      <w:r>
        <w:rPr>
          <w:i/>
          <w:iCs/>
          <w:noProof/>
          <w:lang w:val="en-IE"/>
        </w:rPr>
        <w:t xml:space="preserve"> Courts</w:t>
      </w:r>
    </w:p>
    <w:p w14:paraId="4F8CA537" w14:textId="0667F048" w:rsidR="00765FC1" w:rsidRDefault="00765FC1" w:rsidP="00765FC1">
      <w:pPr>
        <w:rPr>
          <w:noProof/>
        </w:rPr>
      </w:pPr>
      <w:r w:rsidRPr="00765FC1">
        <w:rPr>
          <w:noProof/>
        </w:rPr>
        <w:t xml:space="preserve">In the context of ex officio investigations, </w:t>
      </w:r>
      <w:r w:rsidR="002A026E">
        <w:rPr>
          <w:noProof/>
        </w:rPr>
        <w:t>some</w:t>
      </w:r>
      <w:r w:rsidR="00D736CE">
        <w:rPr>
          <w:noProof/>
        </w:rPr>
        <w:t xml:space="preserve"> </w:t>
      </w:r>
      <w:r w:rsidR="002A026E">
        <w:rPr>
          <w:noProof/>
        </w:rPr>
        <w:t>investigative acts</w:t>
      </w:r>
      <w:r w:rsidR="00D736CE">
        <w:rPr>
          <w:noProof/>
        </w:rPr>
        <w:t xml:space="preserve"> </w:t>
      </w:r>
      <w:r w:rsidR="003B7B52">
        <w:rPr>
          <w:noProof/>
        </w:rPr>
        <w:t xml:space="preserve">of </w:t>
      </w:r>
      <w:r w:rsidR="003B7B52" w:rsidRPr="00765FC1">
        <w:rPr>
          <w:noProof/>
        </w:rPr>
        <w:t xml:space="preserve">the Commission </w:t>
      </w:r>
      <w:r w:rsidR="00D736CE">
        <w:rPr>
          <w:noProof/>
        </w:rPr>
        <w:t>ha</w:t>
      </w:r>
      <w:r w:rsidR="002A026E">
        <w:rPr>
          <w:noProof/>
        </w:rPr>
        <w:t>ve</w:t>
      </w:r>
      <w:r w:rsidR="00D736CE">
        <w:rPr>
          <w:noProof/>
        </w:rPr>
        <w:t xml:space="preserve"> been subject to review by the </w:t>
      </w:r>
      <w:r w:rsidR="00714570">
        <w:rPr>
          <w:noProof/>
        </w:rPr>
        <w:t>Union</w:t>
      </w:r>
      <w:r w:rsidR="00D736CE">
        <w:rPr>
          <w:noProof/>
        </w:rPr>
        <w:t xml:space="preserve"> Courts</w:t>
      </w:r>
      <w:r w:rsidRPr="00765FC1">
        <w:rPr>
          <w:noProof/>
        </w:rPr>
        <w:t>:</w:t>
      </w:r>
    </w:p>
    <w:p w14:paraId="0D42897E" w14:textId="3177BBF0" w:rsidR="00765FC1" w:rsidRDefault="004F0850" w:rsidP="00765FC1">
      <w:pPr>
        <w:pStyle w:val="ListParagraph"/>
        <w:numPr>
          <w:ilvl w:val="0"/>
          <w:numId w:val="59"/>
        </w:numPr>
        <w:rPr>
          <w:noProof/>
          <w:lang w:val="en-IE"/>
        </w:rPr>
      </w:pPr>
      <w:r w:rsidRPr="00AA0B88">
        <w:rPr>
          <w:b/>
          <w:bCs/>
          <w:noProof/>
        </w:rPr>
        <w:t>Case T-284/24</w:t>
      </w:r>
      <w:r>
        <w:rPr>
          <w:noProof/>
        </w:rPr>
        <w:t xml:space="preserve"> </w:t>
      </w:r>
      <w:r w:rsidRPr="00812A40">
        <w:rPr>
          <w:noProof/>
        </w:rPr>
        <w:t>–</w:t>
      </w:r>
      <w:r>
        <w:rPr>
          <w:noProof/>
        </w:rPr>
        <w:t xml:space="preserve"> </w:t>
      </w:r>
      <w:r w:rsidR="00765FC1" w:rsidRPr="00812A40">
        <w:rPr>
          <w:b/>
          <w:noProof/>
        </w:rPr>
        <w:t>Nuctech</w:t>
      </w:r>
      <w:r>
        <w:rPr>
          <w:noProof/>
        </w:rPr>
        <w:t xml:space="preserve"> </w:t>
      </w:r>
      <w:r w:rsidRPr="00812A40">
        <w:rPr>
          <w:noProof/>
        </w:rPr>
        <w:t>–</w:t>
      </w:r>
      <w:r w:rsidR="00765FC1">
        <w:rPr>
          <w:noProof/>
        </w:rPr>
        <w:t xml:space="preserve"> </w:t>
      </w:r>
      <w:r w:rsidR="00F115B8">
        <w:rPr>
          <w:noProof/>
          <w:lang w:val="en-IE"/>
        </w:rPr>
        <w:t>i</w:t>
      </w:r>
      <w:r w:rsidR="00765FC1" w:rsidRPr="00765FC1">
        <w:rPr>
          <w:noProof/>
          <w:lang w:val="en-IE"/>
        </w:rPr>
        <w:t xml:space="preserve">n May 2024, Nuctech brought an action for annulment before the General Court challenging the Commission’s </w:t>
      </w:r>
      <w:r w:rsidR="00FA4B8B">
        <w:rPr>
          <w:noProof/>
          <w:lang w:val="en-IE"/>
        </w:rPr>
        <w:t>I</w:t>
      </w:r>
      <w:r w:rsidR="00765FC1" w:rsidRPr="00765FC1">
        <w:rPr>
          <w:noProof/>
          <w:lang w:val="en-IE"/>
        </w:rPr>
        <w:t xml:space="preserve">nspection </w:t>
      </w:r>
      <w:r w:rsidR="00FA4B8B">
        <w:rPr>
          <w:noProof/>
          <w:lang w:val="en-IE"/>
        </w:rPr>
        <w:t>D</w:t>
      </w:r>
      <w:r w:rsidR="00765FC1" w:rsidRPr="00765FC1">
        <w:rPr>
          <w:noProof/>
          <w:lang w:val="en-IE"/>
        </w:rPr>
        <w:t>ecision (</w:t>
      </w:r>
      <w:r w:rsidR="00765FC1">
        <w:rPr>
          <w:rStyle w:val="FootnoteReference"/>
          <w:noProof/>
          <w:lang w:val="en-IE"/>
        </w:rPr>
        <w:footnoteReference w:id="14"/>
      </w:r>
      <w:r w:rsidR="00765FC1" w:rsidRPr="00765FC1">
        <w:rPr>
          <w:noProof/>
          <w:lang w:val="en-IE"/>
        </w:rPr>
        <w:t>)</w:t>
      </w:r>
      <w:r w:rsidR="00995EB0">
        <w:rPr>
          <w:noProof/>
          <w:lang w:val="en-IE"/>
        </w:rPr>
        <w:t>.</w:t>
      </w:r>
      <w:r w:rsidR="00765FC1" w:rsidRPr="00765FC1">
        <w:rPr>
          <w:noProof/>
          <w:lang w:val="en-IE"/>
        </w:rPr>
        <w:t xml:space="preserve"> </w:t>
      </w:r>
      <w:r w:rsidR="00D736CE">
        <w:rPr>
          <w:noProof/>
          <w:lang w:val="en-IE"/>
        </w:rPr>
        <w:t>At the same time</w:t>
      </w:r>
      <w:r w:rsidR="00765FC1" w:rsidRPr="00765FC1">
        <w:rPr>
          <w:noProof/>
          <w:lang w:val="en-IE"/>
        </w:rPr>
        <w:t>, Nuctech</w:t>
      </w:r>
      <w:r>
        <w:rPr>
          <w:noProof/>
          <w:lang w:val="en-IE"/>
        </w:rPr>
        <w:t xml:space="preserve"> also</w:t>
      </w:r>
      <w:r w:rsidR="00765FC1" w:rsidRPr="00765FC1">
        <w:rPr>
          <w:noProof/>
          <w:lang w:val="en-IE"/>
        </w:rPr>
        <w:t xml:space="preserve"> </w:t>
      </w:r>
      <w:r w:rsidR="007F612C">
        <w:rPr>
          <w:noProof/>
          <w:lang w:val="en-IE"/>
        </w:rPr>
        <w:t>applied for interim measures, seeking</w:t>
      </w:r>
      <w:r w:rsidR="00765FC1" w:rsidRPr="00765FC1">
        <w:rPr>
          <w:noProof/>
          <w:lang w:val="en-IE"/>
        </w:rPr>
        <w:t xml:space="preserve"> suspension of the Commission’s </w:t>
      </w:r>
      <w:r>
        <w:rPr>
          <w:noProof/>
          <w:lang w:val="en-IE"/>
        </w:rPr>
        <w:t>I</w:t>
      </w:r>
      <w:r w:rsidR="00765FC1" w:rsidRPr="00765FC1">
        <w:rPr>
          <w:noProof/>
          <w:lang w:val="en-IE"/>
        </w:rPr>
        <w:t xml:space="preserve">nspection </w:t>
      </w:r>
      <w:r>
        <w:rPr>
          <w:noProof/>
          <w:lang w:val="en-IE"/>
        </w:rPr>
        <w:t>D</w:t>
      </w:r>
      <w:r w:rsidR="00765FC1" w:rsidRPr="00765FC1">
        <w:rPr>
          <w:noProof/>
          <w:lang w:val="en-IE"/>
        </w:rPr>
        <w:t>ecision pending the outcome of the main proceedings (</w:t>
      </w:r>
      <w:r w:rsidR="00765FC1">
        <w:rPr>
          <w:rStyle w:val="FootnoteReference"/>
          <w:noProof/>
          <w:lang w:val="en-IE"/>
        </w:rPr>
        <w:footnoteReference w:id="15"/>
      </w:r>
      <w:r w:rsidR="00765FC1" w:rsidRPr="00765FC1">
        <w:rPr>
          <w:noProof/>
          <w:lang w:val="en-IE"/>
        </w:rPr>
        <w:t>)</w:t>
      </w:r>
      <w:r w:rsidR="00995EB0">
        <w:rPr>
          <w:noProof/>
          <w:lang w:val="en-IE"/>
        </w:rPr>
        <w:t>.</w:t>
      </w:r>
      <w:r w:rsidR="00765FC1" w:rsidRPr="00765FC1">
        <w:rPr>
          <w:noProof/>
          <w:lang w:val="en-IE"/>
        </w:rPr>
        <w:t xml:space="preserve"> </w:t>
      </w:r>
      <w:r>
        <w:rPr>
          <w:noProof/>
          <w:lang w:val="en-IE"/>
        </w:rPr>
        <w:t>I</w:t>
      </w:r>
      <w:r w:rsidRPr="00765FC1">
        <w:rPr>
          <w:noProof/>
          <w:lang w:val="en-IE"/>
        </w:rPr>
        <w:t>n August 2024</w:t>
      </w:r>
      <w:r>
        <w:rPr>
          <w:noProof/>
          <w:lang w:val="en-IE"/>
        </w:rPr>
        <w:t>, t</w:t>
      </w:r>
      <w:r w:rsidR="00C358B6">
        <w:rPr>
          <w:noProof/>
          <w:lang w:val="en-IE"/>
        </w:rPr>
        <w:t xml:space="preserve">he President of the General Court </w:t>
      </w:r>
      <w:r w:rsidR="00995EB0">
        <w:rPr>
          <w:noProof/>
          <w:lang w:val="en-IE"/>
        </w:rPr>
        <w:t xml:space="preserve">rejected the application for interim measures </w:t>
      </w:r>
      <w:r w:rsidR="00765FC1" w:rsidRPr="00765FC1">
        <w:rPr>
          <w:noProof/>
          <w:lang w:val="en-IE"/>
        </w:rPr>
        <w:t>(</w:t>
      </w:r>
      <w:r w:rsidR="00765FC1">
        <w:rPr>
          <w:rStyle w:val="FootnoteReference"/>
          <w:noProof/>
          <w:lang w:val="en-IE"/>
        </w:rPr>
        <w:footnoteReference w:id="16"/>
      </w:r>
      <w:r w:rsidR="00765FC1" w:rsidRPr="00765FC1">
        <w:rPr>
          <w:noProof/>
          <w:lang w:val="en-IE"/>
        </w:rPr>
        <w:t>)</w:t>
      </w:r>
      <w:r>
        <w:rPr>
          <w:noProof/>
          <w:lang w:val="en-IE"/>
        </w:rPr>
        <w:t xml:space="preserve">, consequently </w:t>
      </w:r>
      <w:r w:rsidR="00995EB0">
        <w:rPr>
          <w:noProof/>
          <w:lang w:val="en-IE"/>
        </w:rPr>
        <w:t>confirmed</w:t>
      </w:r>
      <w:r w:rsidR="00C358B6">
        <w:rPr>
          <w:noProof/>
          <w:lang w:val="en-IE"/>
        </w:rPr>
        <w:t xml:space="preserve"> </w:t>
      </w:r>
      <w:r>
        <w:rPr>
          <w:noProof/>
          <w:lang w:val="en-IE"/>
        </w:rPr>
        <w:t xml:space="preserve">on appeal </w:t>
      </w:r>
      <w:r w:rsidR="00C358B6">
        <w:rPr>
          <w:noProof/>
          <w:lang w:val="en-IE"/>
        </w:rPr>
        <w:t>by the Vice-President of the Court of Justice in March 2025</w:t>
      </w:r>
      <w:r w:rsidR="001111A8">
        <w:rPr>
          <w:noProof/>
          <w:lang w:val="en-IE"/>
        </w:rPr>
        <w:t xml:space="preserve"> </w:t>
      </w:r>
      <w:r w:rsidR="00765FC1" w:rsidRPr="00765FC1">
        <w:rPr>
          <w:noProof/>
          <w:lang w:val="en-IE"/>
        </w:rPr>
        <w:t>(</w:t>
      </w:r>
      <w:r w:rsidR="00765FC1">
        <w:rPr>
          <w:rStyle w:val="FootnoteReference"/>
          <w:noProof/>
          <w:lang w:val="en-IE"/>
        </w:rPr>
        <w:footnoteReference w:id="17"/>
      </w:r>
      <w:r w:rsidR="00765FC1" w:rsidRPr="00765FC1">
        <w:rPr>
          <w:noProof/>
          <w:lang w:val="en-IE"/>
        </w:rPr>
        <w:t>)</w:t>
      </w:r>
      <w:r w:rsidR="00995EB0">
        <w:rPr>
          <w:noProof/>
          <w:lang w:val="en-IE"/>
        </w:rPr>
        <w:t>.</w:t>
      </w:r>
      <w:r w:rsidR="00C358B6">
        <w:rPr>
          <w:noProof/>
          <w:lang w:val="en-IE"/>
        </w:rPr>
        <w:t xml:space="preserve"> </w:t>
      </w:r>
      <w:r w:rsidR="00995EB0">
        <w:rPr>
          <w:noProof/>
          <w:lang w:val="en-IE"/>
        </w:rPr>
        <w:t>At time of publication</w:t>
      </w:r>
      <w:r w:rsidR="00E90B9A">
        <w:rPr>
          <w:noProof/>
          <w:lang w:val="en-IE"/>
        </w:rPr>
        <w:t xml:space="preserve"> of this Report</w:t>
      </w:r>
      <w:r w:rsidR="00995EB0">
        <w:rPr>
          <w:noProof/>
          <w:lang w:val="en-IE"/>
        </w:rPr>
        <w:t>, t</w:t>
      </w:r>
      <w:r w:rsidR="00C358B6" w:rsidRPr="00765FC1">
        <w:rPr>
          <w:noProof/>
          <w:lang w:val="en-IE"/>
        </w:rPr>
        <w:t xml:space="preserve">he proceedings </w:t>
      </w:r>
      <w:r w:rsidR="00C358B6">
        <w:rPr>
          <w:noProof/>
          <w:lang w:val="en-IE"/>
        </w:rPr>
        <w:t xml:space="preserve">related to the action for annulment of the </w:t>
      </w:r>
      <w:r w:rsidR="00E90B9A">
        <w:rPr>
          <w:noProof/>
          <w:lang w:val="en-IE"/>
        </w:rPr>
        <w:t>I</w:t>
      </w:r>
      <w:r w:rsidR="00C358B6">
        <w:rPr>
          <w:noProof/>
          <w:lang w:val="en-IE"/>
        </w:rPr>
        <w:t xml:space="preserve">nspection </w:t>
      </w:r>
      <w:r w:rsidR="00E90B9A">
        <w:rPr>
          <w:noProof/>
          <w:lang w:val="en-IE"/>
        </w:rPr>
        <w:t>D</w:t>
      </w:r>
      <w:r w:rsidR="00C358B6">
        <w:rPr>
          <w:noProof/>
          <w:lang w:val="en-IE"/>
        </w:rPr>
        <w:t xml:space="preserve">ecision </w:t>
      </w:r>
      <w:r w:rsidR="00C358B6" w:rsidRPr="00765FC1">
        <w:rPr>
          <w:noProof/>
          <w:lang w:val="en-IE"/>
        </w:rPr>
        <w:t>remain pending before the General Court</w:t>
      </w:r>
      <w:r w:rsidR="00C358B6">
        <w:rPr>
          <w:noProof/>
          <w:lang w:val="en-IE"/>
        </w:rPr>
        <w:t>.</w:t>
      </w:r>
    </w:p>
    <w:p w14:paraId="2D093582" w14:textId="77777777" w:rsidR="00765FC1" w:rsidRPr="00765FC1" w:rsidRDefault="00765FC1" w:rsidP="00812A40">
      <w:pPr>
        <w:pStyle w:val="ListParagraph"/>
        <w:rPr>
          <w:noProof/>
          <w:lang w:val="en-IE"/>
        </w:rPr>
      </w:pPr>
    </w:p>
    <w:p w14:paraId="11AD55A6" w14:textId="42AD1F94" w:rsidR="00765FC1" w:rsidRPr="006E3E54" w:rsidRDefault="00F115B8" w:rsidP="00812A40">
      <w:pPr>
        <w:pStyle w:val="ListParagraph"/>
        <w:numPr>
          <w:ilvl w:val="0"/>
          <w:numId w:val="59"/>
        </w:numPr>
        <w:rPr>
          <w:noProof/>
          <w:lang w:val="en-IE"/>
        </w:rPr>
      </w:pPr>
      <w:r w:rsidRPr="00AA0B88">
        <w:rPr>
          <w:b/>
          <w:bCs/>
          <w:noProof/>
        </w:rPr>
        <w:t>Case T-335/26</w:t>
      </w:r>
      <w:r>
        <w:rPr>
          <w:noProof/>
        </w:rPr>
        <w:t xml:space="preserve"> </w:t>
      </w:r>
      <w:r w:rsidRPr="00812A40">
        <w:rPr>
          <w:noProof/>
        </w:rPr>
        <w:t>–</w:t>
      </w:r>
      <w:r>
        <w:rPr>
          <w:noProof/>
        </w:rPr>
        <w:t xml:space="preserve"> </w:t>
      </w:r>
      <w:r w:rsidR="00765FC1" w:rsidRPr="00812A40">
        <w:rPr>
          <w:b/>
          <w:noProof/>
          <w:lang w:val="en-IE"/>
        </w:rPr>
        <w:t>Goldwind</w:t>
      </w:r>
      <w:r>
        <w:rPr>
          <w:noProof/>
          <w:lang w:val="en-IE"/>
        </w:rPr>
        <w:t xml:space="preserve"> </w:t>
      </w:r>
      <w:r w:rsidRPr="00812A40">
        <w:rPr>
          <w:noProof/>
        </w:rPr>
        <w:t>–</w:t>
      </w:r>
      <w:r w:rsidR="00765FC1">
        <w:rPr>
          <w:noProof/>
          <w:lang w:val="en-IE"/>
        </w:rPr>
        <w:t xml:space="preserve"> </w:t>
      </w:r>
      <w:r>
        <w:rPr>
          <w:noProof/>
          <w:lang w:val="en-IE"/>
        </w:rPr>
        <w:t>i</w:t>
      </w:r>
      <w:r w:rsidR="007E0E16">
        <w:rPr>
          <w:noProof/>
          <w:lang w:val="en-IE"/>
        </w:rPr>
        <w:t>n</w:t>
      </w:r>
      <w:r w:rsidR="007E0E16" w:rsidRPr="007E0E16">
        <w:rPr>
          <w:noProof/>
          <w:lang w:val="en-IE"/>
        </w:rPr>
        <w:t xml:space="preserve"> May 2026</w:t>
      </w:r>
      <w:r w:rsidR="007E0E16">
        <w:rPr>
          <w:noProof/>
          <w:lang w:val="en-IE"/>
        </w:rPr>
        <w:t>,</w:t>
      </w:r>
      <w:r w:rsidR="007E0E16" w:rsidRPr="007E0E16">
        <w:rPr>
          <w:noProof/>
          <w:lang w:val="en-IE"/>
        </w:rPr>
        <w:t xml:space="preserve"> Goldwind </w:t>
      </w:r>
      <w:r w:rsidR="00283E74" w:rsidRPr="00765FC1">
        <w:rPr>
          <w:noProof/>
          <w:lang w:val="en-IE"/>
        </w:rPr>
        <w:t>brought an action for annulment before the General Court</w:t>
      </w:r>
      <w:r w:rsidR="00283E74">
        <w:rPr>
          <w:noProof/>
          <w:lang w:val="en-IE"/>
        </w:rPr>
        <w:t xml:space="preserve"> challenging </w:t>
      </w:r>
      <w:r>
        <w:rPr>
          <w:noProof/>
          <w:lang w:val="en-IE"/>
        </w:rPr>
        <w:t xml:space="preserve">the Commission’s </w:t>
      </w:r>
      <w:r w:rsidR="007E0E16" w:rsidRPr="007E0E16">
        <w:rPr>
          <w:noProof/>
          <w:lang w:val="en-IE"/>
        </w:rPr>
        <w:t>request for information</w:t>
      </w:r>
      <w:r w:rsidR="00283E74" w:rsidRPr="00283E74">
        <w:rPr>
          <w:noProof/>
          <w:lang w:val="en-IE"/>
        </w:rPr>
        <w:t> (</w:t>
      </w:r>
      <w:r w:rsidR="00283E74">
        <w:rPr>
          <w:rStyle w:val="FootnoteReference"/>
          <w:noProof/>
          <w:lang w:val="en-IE"/>
        </w:rPr>
        <w:footnoteReference w:id="18"/>
      </w:r>
      <w:r w:rsidR="00283E74">
        <w:rPr>
          <w:noProof/>
          <w:lang w:val="en-IE"/>
        </w:rPr>
        <w:t xml:space="preserve">) and requested interim measures </w:t>
      </w:r>
      <w:r w:rsidR="00283E74" w:rsidRPr="006E3E54">
        <w:rPr>
          <w:noProof/>
          <w:lang w:val="en-IE"/>
        </w:rPr>
        <w:t>for its suspension (</w:t>
      </w:r>
      <w:r w:rsidR="00283E74" w:rsidRPr="006E3E54">
        <w:rPr>
          <w:rStyle w:val="FootnoteReference"/>
          <w:noProof/>
          <w:lang w:val="en-IE"/>
        </w:rPr>
        <w:footnoteReference w:id="19"/>
      </w:r>
      <w:r w:rsidR="00283E74" w:rsidRPr="006E3E54">
        <w:rPr>
          <w:noProof/>
          <w:lang w:val="en-IE"/>
        </w:rPr>
        <w:t>)</w:t>
      </w:r>
      <w:r w:rsidR="0039196C" w:rsidRPr="006E3E54">
        <w:rPr>
          <w:noProof/>
          <w:lang w:val="en-IE"/>
        </w:rPr>
        <w:t>.</w:t>
      </w:r>
      <w:r w:rsidRPr="006E3E54">
        <w:rPr>
          <w:noProof/>
          <w:lang w:val="en-IE"/>
        </w:rPr>
        <w:t xml:space="preserve"> The request for information was</w:t>
      </w:r>
      <w:r w:rsidR="007E0E16" w:rsidRPr="006E3E54">
        <w:rPr>
          <w:noProof/>
          <w:lang w:val="en-IE"/>
        </w:rPr>
        <w:t xml:space="preserve"> sent as part of the in-depth investigation into Goldwind’s activities in the EU wind sector</w:t>
      </w:r>
      <w:r w:rsidRPr="006E3E54">
        <w:rPr>
          <w:noProof/>
          <w:lang w:val="en-IE"/>
        </w:rPr>
        <w:t xml:space="preserve"> in</w:t>
      </w:r>
      <w:r w:rsidRPr="006E3E54">
        <w:rPr>
          <w:noProof/>
        </w:rPr>
        <w:t xml:space="preserve"> Case FS.100143</w:t>
      </w:r>
      <w:r w:rsidR="00995EB0" w:rsidRPr="006E3E54">
        <w:rPr>
          <w:noProof/>
          <w:lang w:val="en-IE"/>
        </w:rPr>
        <w:t>.</w:t>
      </w:r>
      <w:r w:rsidR="001111A8" w:rsidRPr="006E3E54">
        <w:rPr>
          <w:noProof/>
          <w:lang w:val="en-IE"/>
        </w:rPr>
        <w:t xml:space="preserve"> At time of publication, the proceedings related to both applications remain pending before the General Court.</w:t>
      </w:r>
    </w:p>
    <w:p w14:paraId="328D17AC" w14:textId="2B69A9B7" w:rsidR="00AA34DB" w:rsidRPr="006E3E54" w:rsidRDefault="00AA34DB" w:rsidP="00AA34DB">
      <w:pPr>
        <w:pStyle w:val="Heading4"/>
        <w:rPr>
          <w:noProof/>
          <w:lang w:val="en-IE"/>
        </w:rPr>
      </w:pPr>
      <w:r w:rsidRPr="006E3E54">
        <w:rPr>
          <w:noProof/>
          <w:lang w:val="en-IE"/>
        </w:rPr>
        <w:t>Results of the review</w:t>
      </w:r>
    </w:p>
    <w:p w14:paraId="25626DD9" w14:textId="77792B39" w:rsidR="00E01558" w:rsidRPr="006E3E54" w:rsidRDefault="001F06E9" w:rsidP="004A1922">
      <w:pPr>
        <w:rPr>
          <w:noProof/>
          <w:lang w:val="en-IE"/>
        </w:rPr>
      </w:pPr>
      <w:r w:rsidRPr="006E3E54">
        <w:rPr>
          <w:noProof/>
          <w:lang w:val="en-IE"/>
        </w:rPr>
        <w:t xml:space="preserve">The ex officio </w:t>
      </w:r>
      <w:r w:rsidR="00844DF3" w:rsidRPr="006E3E54">
        <w:rPr>
          <w:noProof/>
          <w:lang w:val="en-IE"/>
        </w:rPr>
        <w:t>procedure</w:t>
      </w:r>
      <w:r w:rsidRPr="006E3E54">
        <w:rPr>
          <w:noProof/>
          <w:lang w:val="en-IE"/>
        </w:rPr>
        <w:t xml:space="preserve"> </w:t>
      </w:r>
      <w:r w:rsidR="00A11F11" w:rsidRPr="006E3E54">
        <w:rPr>
          <w:noProof/>
          <w:lang w:val="en-IE"/>
        </w:rPr>
        <w:t xml:space="preserve">allows </w:t>
      </w:r>
      <w:r w:rsidRPr="006E3E54">
        <w:rPr>
          <w:noProof/>
          <w:lang w:val="en-IE"/>
        </w:rPr>
        <w:t xml:space="preserve">the Commission to </w:t>
      </w:r>
      <w:r w:rsidR="005512C3" w:rsidRPr="006E3E54">
        <w:rPr>
          <w:noProof/>
          <w:lang w:val="en-IE"/>
        </w:rPr>
        <w:t xml:space="preserve">assess and </w:t>
      </w:r>
      <w:r w:rsidRPr="006E3E54">
        <w:rPr>
          <w:noProof/>
          <w:lang w:val="en-IE"/>
        </w:rPr>
        <w:t xml:space="preserve">address potentially distortive foreign subsidies </w:t>
      </w:r>
      <w:r w:rsidR="005512C3" w:rsidRPr="006E3E54">
        <w:rPr>
          <w:noProof/>
          <w:lang w:val="en-IE"/>
        </w:rPr>
        <w:t>affecting any market situation and</w:t>
      </w:r>
      <w:r w:rsidRPr="006E3E54">
        <w:rPr>
          <w:noProof/>
          <w:lang w:val="en-IE"/>
        </w:rPr>
        <w:t xml:space="preserve"> economic activity</w:t>
      </w:r>
      <w:r w:rsidR="005512C3" w:rsidRPr="006E3E54">
        <w:rPr>
          <w:noProof/>
          <w:lang w:val="en-IE"/>
        </w:rPr>
        <w:t xml:space="preserve"> in the internal market</w:t>
      </w:r>
      <w:r w:rsidRPr="006E3E54">
        <w:rPr>
          <w:noProof/>
          <w:lang w:val="en-IE"/>
        </w:rPr>
        <w:t>.</w:t>
      </w:r>
      <w:r w:rsidRPr="006E3E54">
        <w:rPr>
          <w:noProof/>
        </w:rPr>
        <w:t xml:space="preserve"> </w:t>
      </w:r>
      <w:r w:rsidR="00594B11" w:rsidRPr="006E3E54">
        <w:rPr>
          <w:noProof/>
        </w:rPr>
        <w:t xml:space="preserve">The results of the review indicate that </w:t>
      </w:r>
      <w:r w:rsidR="00361467" w:rsidRPr="006E3E54">
        <w:rPr>
          <w:noProof/>
          <w:lang w:val="en-IE"/>
        </w:rPr>
        <w:t>the ex</w:t>
      </w:r>
      <w:r w:rsidR="00252A5B" w:rsidRPr="006E3E54">
        <w:rPr>
          <w:noProof/>
          <w:lang w:val="en-IE"/>
        </w:rPr>
        <w:t xml:space="preserve"> </w:t>
      </w:r>
      <w:r w:rsidR="00361467" w:rsidRPr="006E3E54">
        <w:rPr>
          <w:noProof/>
          <w:lang w:val="en-IE"/>
        </w:rPr>
        <w:t xml:space="preserve">officio investigation mechanism functions as intended and that the relevant provisions provide an effective framework to pursue the </w:t>
      </w:r>
      <w:r w:rsidR="00E92A4C" w:rsidRPr="006E3E54">
        <w:rPr>
          <w:noProof/>
          <w:lang w:val="en-IE"/>
        </w:rPr>
        <w:t xml:space="preserve">FSR’s </w:t>
      </w:r>
      <w:r w:rsidR="00361467" w:rsidRPr="006E3E54">
        <w:rPr>
          <w:noProof/>
          <w:lang w:val="en-IE"/>
        </w:rPr>
        <w:t>objective of ensuring a level playing field in the internal market.</w:t>
      </w:r>
    </w:p>
    <w:p w14:paraId="22790CAB" w14:textId="614B0BA8" w:rsidR="00F9750E" w:rsidRPr="006E3E54" w:rsidRDefault="001F06E9">
      <w:pPr>
        <w:rPr>
          <w:noProof/>
          <w:lang w:val="en-IE"/>
        </w:rPr>
      </w:pPr>
      <w:r w:rsidRPr="006E3E54">
        <w:rPr>
          <w:noProof/>
          <w:lang w:val="en-IE"/>
        </w:rPr>
        <w:t>While the ongoing investigations do not prejudge their outcomes, the</w:t>
      </w:r>
      <w:r w:rsidR="00A51175" w:rsidRPr="006E3E54">
        <w:rPr>
          <w:noProof/>
          <w:lang w:val="en-IE"/>
        </w:rPr>
        <w:t xml:space="preserve"> FSR has </w:t>
      </w:r>
      <w:r w:rsidR="00252A5B" w:rsidRPr="006E3E54">
        <w:rPr>
          <w:noProof/>
          <w:lang w:val="en-IE"/>
        </w:rPr>
        <w:t xml:space="preserve">allowed </w:t>
      </w:r>
      <w:r w:rsidRPr="006E3E54">
        <w:rPr>
          <w:noProof/>
          <w:lang w:val="en-IE"/>
        </w:rPr>
        <w:t>the Commission to act on the basis of sufficient indications of foreign subsid</w:t>
      </w:r>
      <w:r w:rsidR="00C358B6" w:rsidRPr="006E3E54">
        <w:rPr>
          <w:noProof/>
          <w:lang w:val="en-IE"/>
        </w:rPr>
        <w:t>ies</w:t>
      </w:r>
      <w:r w:rsidRPr="006E3E54">
        <w:rPr>
          <w:noProof/>
          <w:lang w:val="en-IE"/>
        </w:rPr>
        <w:t xml:space="preserve"> distorting the internal market.</w:t>
      </w:r>
      <w:r w:rsidR="00A51175" w:rsidRPr="006E3E54">
        <w:rPr>
          <w:noProof/>
          <w:lang w:val="en-IE"/>
        </w:rPr>
        <w:t xml:space="preserve"> In the absence of </w:t>
      </w:r>
      <w:r w:rsidR="00D44933" w:rsidRPr="006E3E54">
        <w:rPr>
          <w:noProof/>
          <w:lang w:val="en-IE"/>
        </w:rPr>
        <w:t>the</w:t>
      </w:r>
      <w:r w:rsidR="00A51175" w:rsidRPr="006E3E54">
        <w:rPr>
          <w:noProof/>
          <w:lang w:val="en-IE"/>
        </w:rPr>
        <w:t xml:space="preserve"> FSR, the Commission would not have been able to conduct these investigations and assess </w:t>
      </w:r>
      <w:r w:rsidR="007F3563" w:rsidRPr="006E3E54">
        <w:rPr>
          <w:noProof/>
          <w:lang w:val="en-IE"/>
        </w:rPr>
        <w:t xml:space="preserve">whether </w:t>
      </w:r>
      <w:r w:rsidR="00A51175" w:rsidRPr="006E3E54">
        <w:rPr>
          <w:noProof/>
          <w:lang w:val="en-IE"/>
        </w:rPr>
        <w:t xml:space="preserve">distortions on the internal market </w:t>
      </w:r>
      <w:r w:rsidR="007F3563" w:rsidRPr="006E3E54">
        <w:rPr>
          <w:noProof/>
          <w:lang w:val="en-IE"/>
        </w:rPr>
        <w:t>were</w:t>
      </w:r>
      <w:r w:rsidR="00A51175" w:rsidRPr="006E3E54">
        <w:rPr>
          <w:noProof/>
          <w:lang w:val="en-IE"/>
        </w:rPr>
        <w:t xml:space="preserve"> caused by foreign subsidies. </w:t>
      </w:r>
      <w:r w:rsidR="00276C4F" w:rsidRPr="006E3E54">
        <w:rPr>
          <w:noProof/>
          <w:lang w:val="en-IE"/>
        </w:rPr>
        <w:t xml:space="preserve">The feedback from stakeholders indicates uncertainty when it comes to the duration of ex officio investigations. </w:t>
      </w:r>
      <w:r w:rsidR="00725296" w:rsidRPr="006E3E54">
        <w:rPr>
          <w:noProof/>
          <w:lang w:val="en-IE"/>
        </w:rPr>
        <w:t>The initial FSR enforcement experience</w:t>
      </w:r>
      <w:r w:rsidR="00276C4F" w:rsidRPr="006E3E54">
        <w:rPr>
          <w:noProof/>
          <w:lang w:val="en-IE"/>
        </w:rPr>
        <w:t xml:space="preserve">, </w:t>
      </w:r>
      <w:r w:rsidR="00A51175" w:rsidRPr="006E3E54">
        <w:rPr>
          <w:noProof/>
          <w:lang w:val="en-IE"/>
        </w:rPr>
        <w:t xml:space="preserve">however, </w:t>
      </w:r>
      <w:r w:rsidR="00276C4F" w:rsidRPr="006E3E54">
        <w:rPr>
          <w:noProof/>
          <w:lang w:val="en-IE"/>
        </w:rPr>
        <w:t xml:space="preserve">indicates </w:t>
      </w:r>
      <w:r w:rsidR="00725296" w:rsidRPr="006E3E54">
        <w:rPr>
          <w:noProof/>
          <w:lang w:val="en-IE"/>
        </w:rPr>
        <w:t>that</w:t>
      </w:r>
      <w:r w:rsidR="00276C4F" w:rsidRPr="006E3E54">
        <w:rPr>
          <w:noProof/>
          <w:lang w:val="en-IE"/>
        </w:rPr>
        <w:t xml:space="preserve"> the duration varies</w:t>
      </w:r>
      <w:r w:rsidR="00A51175" w:rsidRPr="006E3E54">
        <w:rPr>
          <w:noProof/>
          <w:lang w:val="en-IE"/>
        </w:rPr>
        <w:t>,</w:t>
      </w:r>
      <w:r w:rsidR="00C641F2" w:rsidRPr="006E3E54">
        <w:rPr>
          <w:noProof/>
          <w:lang w:val="en-IE"/>
        </w:rPr>
        <w:t xml:space="preserve"> and takes longer,</w:t>
      </w:r>
      <w:r w:rsidR="00A51175" w:rsidRPr="006E3E54">
        <w:rPr>
          <w:noProof/>
          <w:lang w:val="en-IE"/>
        </w:rPr>
        <w:t xml:space="preserve"> in particular</w:t>
      </w:r>
      <w:r w:rsidR="00276C4F" w:rsidRPr="006E3E54">
        <w:rPr>
          <w:noProof/>
          <w:lang w:val="en-IE"/>
        </w:rPr>
        <w:t xml:space="preserve"> </w:t>
      </w:r>
      <w:r w:rsidR="00C641F2" w:rsidRPr="006E3E54">
        <w:rPr>
          <w:noProof/>
          <w:lang w:val="en-IE"/>
        </w:rPr>
        <w:t xml:space="preserve">in </w:t>
      </w:r>
      <w:r w:rsidR="00EF08F1" w:rsidRPr="006E3E54">
        <w:rPr>
          <w:noProof/>
          <w:lang w:val="en-IE"/>
        </w:rPr>
        <w:t xml:space="preserve">cases where </w:t>
      </w:r>
      <w:r w:rsidR="00C641F2" w:rsidRPr="006E3E54">
        <w:rPr>
          <w:noProof/>
          <w:lang w:val="en-IE"/>
        </w:rPr>
        <w:t xml:space="preserve">the </w:t>
      </w:r>
      <w:r w:rsidR="00EF08F1" w:rsidRPr="006E3E54">
        <w:rPr>
          <w:noProof/>
          <w:lang w:val="en-IE"/>
        </w:rPr>
        <w:t>undertakings</w:t>
      </w:r>
      <w:r w:rsidR="00C641F2" w:rsidRPr="006E3E54">
        <w:rPr>
          <w:noProof/>
          <w:lang w:val="en-IE"/>
        </w:rPr>
        <w:t xml:space="preserve"> under investigation</w:t>
      </w:r>
      <w:r w:rsidR="00EF08F1" w:rsidRPr="006E3E54">
        <w:rPr>
          <w:noProof/>
          <w:lang w:val="en-IE"/>
        </w:rPr>
        <w:t xml:space="preserve"> </w:t>
      </w:r>
      <w:r w:rsidR="00A51175" w:rsidRPr="006E3E54">
        <w:rPr>
          <w:noProof/>
          <w:lang w:val="en-IE"/>
        </w:rPr>
        <w:t>take longer to provide the</w:t>
      </w:r>
      <w:r w:rsidR="00276C4F" w:rsidRPr="006E3E54">
        <w:rPr>
          <w:noProof/>
          <w:lang w:val="en-IE"/>
        </w:rPr>
        <w:t xml:space="preserve"> </w:t>
      </w:r>
      <w:r w:rsidR="00EF08F1" w:rsidRPr="006E3E54">
        <w:rPr>
          <w:noProof/>
          <w:lang w:val="en-IE"/>
        </w:rPr>
        <w:t>requested information</w:t>
      </w:r>
      <w:r w:rsidR="00C641F2" w:rsidRPr="006E3E54">
        <w:rPr>
          <w:noProof/>
          <w:lang w:val="en-IE"/>
        </w:rPr>
        <w:t xml:space="preserve">. In some cases, </w:t>
      </w:r>
      <w:r w:rsidR="00C358B6" w:rsidRPr="006E3E54">
        <w:rPr>
          <w:noProof/>
          <w:lang w:val="en-IE"/>
        </w:rPr>
        <w:t xml:space="preserve">the timeline </w:t>
      </w:r>
      <w:r w:rsidR="00294F2C" w:rsidRPr="006E3E54">
        <w:rPr>
          <w:noProof/>
          <w:lang w:val="en-IE"/>
        </w:rPr>
        <w:t>is</w:t>
      </w:r>
      <w:r w:rsidR="00C358B6" w:rsidRPr="006E3E54">
        <w:rPr>
          <w:noProof/>
          <w:lang w:val="en-IE"/>
        </w:rPr>
        <w:t xml:space="preserve"> also </w:t>
      </w:r>
      <w:r w:rsidR="00AA0B8E" w:rsidRPr="006E3E54">
        <w:rPr>
          <w:noProof/>
          <w:lang w:val="en-IE"/>
        </w:rPr>
        <w:t>impacted by</w:t>
      </w:r>
      <w:r w:rsidR="00C358B6" w:rsidRPr="006E3E54">
        <w:rPr>
          <w:noProof/>
          <w:lang w:val="en-IE"/>
        </w:rPr>
        <w:t xml:space="preserve"> the</w:t>
      </w:r>
      <w:r w:rsidR="00C641F2" w:rsidRPr="006E3E54">
        <w:rPr>
          <w:noProof/>
          <w:lang w:val="en-IE"/>
        </w:rPr>
        <w:t xml:space="preserve"> </w:t>
      </w:r>
      <w:r w:rsidR="00C358B6" w:rsidRPr="006E3E54">
        <w:rPr>
          <w:noProof/>
          <w:lang w:val="en-IE"/>
        </w:rPr>
        <w:t>actions</w:t>
      </w:r>
      <w:r w:rsidR="00C641F2" w:rsidRPr="006E3E54">
        <w:rPr>
          <w:noProof/>
          <w:lang w:val="en-IE"/>
        </w:rPr>
        <w:t xml:space="preserve"> </w:t>
      </w:r>
      <w:r w:rsidR="00C358B6" w:rsidRPr="006E3E54">
        <w:rPr>
          <w:noProof/>
          <w:lang w:val="en-IE"/>
        </w:rPr>
        <w:t>brought</w:t>
      </w:r>
      <w:r w:rsidR="00C641F2" w:rsidRPr="006E3E54">
        <w:rPr>
          <w:noProof/>
          <w:lang w:val="en-IE"/>
        </w:rPr>
        <w:t xml:space="preserve"> before the </w:t>
      </w:r>
      <w:r w:rsidR="00C358B6" w:rsidRPr="006E3E54">
        <w:rPr>
          <w:noProof/>
          <w:lang w:val="en-IE"/>
        </w:rPr>
        <w:t>EU C</w:t>
      </w:r>
      <w:r w:rsidR="00C641F2" w:rsidRPr="006E3E54">
        <w:rPr>
          <w:noProof/>
          <w:lang w:val="en-IE"/>
        </w:rPr>
        <w:t>ourt</w:t>
      </w:r>
      <w:r w:rsidR="00C358B6" w:rsidRPr="006E3E54">
        <w:rPr>
          <w:noProof/>
          <w:lang w:val="en-IE"/>
        </w:rPr>
        <w:t>s</w:t>
      </w:r>
      <w:r w:rsidR="00C641F2" w:rsidRPr="006E3E54">
        <w:rPr>
          <w:noProof/>
          <w:lang w:val="en-IE"/>
        </w:rPr>
        <w:t xml:space="preserve">. </w:t>
      </w:r>
    </w:p>
    <w:p w14:paraId="617F85A4" w14:textId="1B7D7271" w:rsidR="00CC58D4" w:rsidRPr="006E3E54" w:rsidRDefault="001E7AE9" w:rsidP="00812A40">
      <w:pPr>
        <w:pStyle w:val="Heading3"/>
        <w:ind w:left="851" w:hanging="851"/>
        <w:rPr>
          <w:noProof/>
        </w:rPr>
      </w:pPr>
      <w:bookmarkStart w:id="9" w:name="_Ref227930622"/>
      <w:bookmarkStart w:id="10" w:name="_Toc228901733"/>
      <w:r w:rsidRPr="006E3E54">
        <w:rPr>
          <w:noProof/>
          <w:lang w:val="en-IE"/>
        </w:rPr>
        <w:t xml:space="preserve">FSR </w:t>
      </w:r>
      <w:r w:rsidRPr="006E3E54">
        <w:rPr>
          <w:noProof/>
        </w:rPr>
        <w:t>n</w:t>
      </w:r>
      <w:r w:rsidR="00232F27" w:rsidRPr="006E3E54">
        <w:rPr>
          <w:noProof/>
        </w:rPr>
        <w:t>otification</w:t>
      </w:r>
      <w:r w:rsidR="00232F27" w:rsidRPr="006E3E54">
        <w:rPr>
          <w:noProof/>
          <w:lang w:val="en-IE"/>
        </w:rPr>
        <w:t xml:space="preserve"> </w:t>
      </w:r>
      <w:r w:rsidR="00CE3A79" w:rsidRPr="006E3E54">
        <w:rPr>
          <w:noProof/>
          <w:lang w:val="en-IE"/>
        </w:rPr>
        <w:t xml:space="preserve">of </w:t>
      </w:r>
      <w:r w:rsidR="00232F27" w:rsidRPr="006E3E54">
        <w:rPr>
          <w:noProof/>
        </w:rPr>
        <w:t>concentrations</w:t>
      </w:r>
      <w:bookmarkEnd w:id="9"/>
      <w:bookmarkEnd w:id="10"/>
    </w:p>
    <w:p w14:paraId="62284340" w14:textId="77777777" w:rsidR="00AA34DB" w:rsidRPr="006E3E54" w:rsidRDefault="00AA34DB" w:rsidP="00AA34DB">
      <w:pPr>
        <w:pStyle w:val="Heading4"/>
        <w:rPr>
          <w:noProof/>
          <w:lang w:val="en-IE"/>
        </w:rPr>
      </w:pPr>
      <w:r w:rsidRPr="006E3E54">
        <w:rPr>
          <w:noProof/>
          <w:lang w:val="en-IE"/>
        </w:rPr>
        <w:t>Information on cases</w:t>
      </w:r>
    </w:p>
    <w:p w14:paraId="671F3F0A" w14:textId="12D30665" w:rsidR="00DB55C7" w:rsidRPr="006E3E54" w:rsidRDefault="00DB55C7" w:rsidP="00DB55C7">
      <w:pPr>
        <w:rPr>
          <w:noProof/>
        </w:rPr>
      </w:pPr>
      <w:bookmarkStart w:id="11" w:name="_Hlk229046427"/>
      <w:r w:rsidRPr="006E3E54">
        <w:rPr>
          <w:noProof/>
        </w:rPr>
        <w:t>The obligation for ex ante notification of concentrations began on 13 October 2023 and by 3</w:t>
      </w:r>
      <w:r w:rsidR="00232F5F" w:rsidRPr="006E3E54">
        <w:rPr>
          <w:noProof/>
        </w:rPr>
        <w:t>1</w:t>
      </w:r>
      <w:r w:rsidRPr="006E3E54">
        <w:rPr>
          <w:noProof/>
        </w:rPr>
        <w:t> </w:t>
      </w:r>
      <w:r w:rsidR="00232F5F" w:rsidRPr="006E3E54">
        <w:rPr>
          <w:noProof/>
        </w:rPr>
        <w:t>May</w:t>
      </w:r>
      <w:r w:rsidRPr="006E3E54">
        <w:rPr>
          <w:noProof/>
        </w:rPr>
        <w:t xml:space="preserve"> 2026, the Commission had received </w:t>
      </w:r>
      <w:r w:rsidR="00232F5F" w:rsidRPr="006E3E54">
        <w:rPr>
          <w:noProof/>
        </w:rPr>
        <w:t xml:space="preserve">273 </w:t>
      </w:r>
      <w:r w:rsidRPr="006E3E54">
        <w:rPr>
          <w:noProof/>
        </w:rPr>
        <w:t>formal notifications</w:t>
      </w:r>
      <w:bookmarkEnd w:id="11"/>
      <w:r w:rsidRPr="006E3E54">
        <w:rPr>
          <w:noProof/>
        </w:rPr>
        <w:t>. Of those cases, 24</w:t>
      </w:r>
      <w:r w:rsidR="00232F5F" w:rsidRPr="006E3E54">
        <w:rPr>
          <w:noProof/>
        </w:rPr>
        <w:t>7</w:t>
      </w:r>
      <w:r w:rsidRPr="006E3E54">
        <w:rPr>
          <w:noProof/>
        </w:rPr>
        <w:t xml:space="preserve"> were closed after the preliminary review, four cases were withdrawn during the preliminary review phase, and </w:t>
      </w:r>
      <w:r w:rsidR="00232F5F" w:rsidRPr="006E3E54">
        <w:rPr>
          <w:noProof/>
        </w:rPr>
        <w:t xml:space="preserve">for </w:t>
      </w:r>
      <w:r w:rsidRPr="006E3E54">
        <w:rPr>
          <w:noProof/>
        </w:rPr>
        <w:t>1</w:t>
      </w:r>
      <w:r w:rsidR="00232F5F" w:rsidRPr="006E3E54">
        <w:rPr>
          <w:noProof/>
        </w:rPr>
        <w:t>9</w:t>
      </w:r>
      <w:r w:rsidRPr="006E3E54">
        <w:rPr>
          <w:noProof/>
        </w:rPr>
        <w:t xml:space="preserve"> cases</w:t>
      </w:r>
      <w:r w:rsidR="00232F5F" w:rsidRPr="006E3E54">
        <w:rPr>
          <w:noProof/>
        </w:rPr>
        <w:t>, the preliminary review was</w:t>
      </w:r>
      <w:r w:rsidRPr="006E3E54">
        <w:rPr>
          <w:noProof/>
        </w:rPr>
        <w:t xml:space="preserve"> still ongoing.</w:t>
      </w:r>
    </w:p>
    <w:p w14:paraId="39BD4149" w14:textId="2249B209" w:rsidR="00BF5829" w:rsidRPr="006E3E54" w:rsidRDefault="001135DE" w:rsidP="004A1922">
      <w:pPr>
        <w:rPr>
          <w:noProof/>
          <w:lang w:val="en-IE"/>
        </w:rPr>
      </w:pPr>
      <w:r w:rsidRPr="006E3E54">
        <w:rPr>
          <w:noProof/>
          <w:lang w:val="en-IE"/>
        </w:rPr>
        <w:t xml:space="preserve">In </w:t>
      </w:r>
      <w:r w:rsidR="00B7733F" w:rsidRPr="006E3E54">
        <w:rPr>
          <w:noProof/>
          <w:lang w:val="en-IE"/>
        </w:rPr>
        <w:t xml:space="preserve">three </w:t>
      </w:r>
      <w:r w:rsidRPr="006E3E54">
        <w:rPr>
          <w:noProof/>
          <w:lang w:val="en-IE"/>
        </w:rPr>
        <w:t>cases, the Commission initiated in-depth-investigations</w:t>
      </w:r>
      <w:r w:rsidR="00B7733F" w:rsidRPr="006E3E54">
        <w:rPr>
          <w:noProof/>
          <w:lang w:val="en-IE"/>
        </w:rPr>
        <w:t>:</w:t>
      </w:r>
      <w:r w:rsidRPr="006E3E54">
        <w:rPr>
          <w:noProof/>
          <w:lang w:val="en-IE"/>
        </w:rPr>
        <w:t xml:space="preserve"> </w:t>
      </w:r>
    </w:p>
    <w:p w14:paraId="481EE63E" w14:textId="2C6E7438" w:rsidR="00280A2D" w:rsidRPr="006E3E54" w:rsidRDefault="000810BD" w:rsidP="00260174">
      <w:pPr>
        <w:pStyle w:val="ListParagraph"/>
        <w:numPr>
          <w:ilvl w:val="0"/>
          <w:numId w:val="45"/>
        </w:numPr>
        <w:rPr>
          <w:noProof/>
          <w:lang w:val="en-IE"/>
        </w:rPr>
      </w:pPr>
      <w:r w:rsidRPr="006E3E54">
        <w:rPr>
          <w:b/>
          <w:bCs/>
          <w:noProof/>
          <w:lang w:val="en-IE"/>
        </w:rPr>
        <w:t xml:space="preserve">Case FS.100011 </w:t>
      </w:r>
      <w:r w:rsidR="001E7AE9" w:rsidRPr="006E3E54">
        <w:rPr>
          <w:noProof/>
        </w:rPr>
        <w:t>–</w:t>
      </w:r>
      <w:r w:rsidR="001E7AE9" w:rsidRPr="006E3E54">
        <w:rPr>
          <w:b/>
          <w:bCs/>
          <w:noProof/>
        </w:rPr>
        <w:t xml:space="preserve"> </w:t>
      </w:r>
      <w:r w:rsidR="002D2FF4" w:rsidRPr="006E3E54">
        <w:rPr>
          <w:b/>
          <w:bCs/>
          <w:noProof/>
          <w:lang w:val="en-IE"/>
        </w:rPr>
        <w:t>e&amp;</w:t>
      </w:r>
      <w:r w:rsidR="00C641F2" w:rsidRPr="006E3E54">
        <w:rPr>
          <w:b/>
          <w:bCs/>
          <w:noProof/>
          <w:lang w:val="en-IE"/>
        </w:rPr>
        <w:t xml:space="preserve"> </w:t>
      </w:r>
      <w:r w:rsidR="002D2FF4" w:rsidRPr="006E3E54">
        <w:rPr>
          <w:b/>
          <w:bCs/>
          <w:noProof/>
          <w:lang w:val="en-IE"/>
        </w:rPr>
        <w:t>/</w:t>
      </w:r>
      <w:r w:rsidR="00C641F2" w:rsidRPr="006E3E54">
        <w:rPr>
          <w:b/>
          <w:bCs/>
          <w:noProof/>
          <w:lang w:val="en-IE"/>
        </w:rPr>
        <w:t xml:space="preserve"> </w:t>
      </w:r>
      <w:r w:rsidR="002D2FF4" w:rsidRPr="006E3E54">
        <w:rPr>
          <w:b/>
          <w:bCs/>
          <w:noProof/>
          <w:lang w:val="en-IE"/>
        </w:rPr>
        <w:t>PPF Telecom</w:t>
      </w:r>
      <w:r w:rsidR="002D2FF4" w:rsidRPr="006E3E54">
        <w:rPr>
          <w:noProof/>
          <w:lang w:val="en-IE"/>
        </w:rPr>
        <w:t xml:space="preserve">: This case involved the acquisition of PPF Telecom Group </w:t>
      </w:r>
      <w:r w:rsidR="00AC57D4" w:rsidRPr="006E3E54">
        <w:rPr>
          <w:noProof/>
          <w:lang w:val="en-IE"/>
        </w:rPr>
        <w:t>(excl</w:t>
      </w:r>
      <w:r w:rsidR="00233519" w:rsidRPr="006E3E54">
        <w:rPr>
          <w:noProof/>
          <w:lang w:val="en-IE"/>
        </w:rPr>
        <w:t>uding</w:t>
      </w:r>
      <w:r w:rsidR="00AC57D4" w:rsidRPr="006E3E54">
        <w:rPr>
          <w:noProof/>
          <w:lang w:val="en-IE"/>
        </w:rPr>
        <w:t xml:space="preserve"> its Cz</w:t>
      </w:r>
      <w:r w:rsidR="001E7AE9" w:rsidRPr="006E3E54">
        <w:rPr>
          <w:noProof/>
          <w:lang w:val="en-IE"/>
        </w:rPr>
        <w:t>e</w:t>
      </w:r>
      <w:r w:rsidR="00AC57D4" w:rsidRPr="006E3E54">
        <w:rPr>
          <w:noProof/>
          <w:lang w:val="en-IE"/>
        </w:rPr>
        <w:t>ch business)</w:t>
      </w:r>
      <w:r w:rsidR="001E7AE9" w:rsidRPr="006E3E54">
        <w:rPr>
          <w:noProof/>
          <w:lang w:val="en-IE"/>
        </w:rPr>
        <w:t xml:space="preserve">, a </w:t>
      </w:r>
      <w:r w:rsidR="001E7AE9" w:rsidRPr="006E3E54">
        <w:rPr>
          <w:noProof/>
        </w:rPr>
        <w:t>telecommunication operator in Czechia, Bulgaria, Hungary, Serbia and Slovakia,</w:t>
      </w:r>
      <w:r w:rsidR="001E7AE9" w:rsidRPr="006E3E54">
        <w:rPr>
          <w:noProof/>
          <w:lang w:val="en-IE"/>
        </w:rPr>
        <w:t xml:space="preserve"> </w:t>
      </w:r>
      <w:r w:rsidR="002D2FF4" w:rsidRPr="006E3E54">
        <w:rPr>
          <w:noProof/>
          <w:lang w:val="en-IE"/>
        </w:rPr>
        <w:t xml:space="preserve">by Emirates Telecommunications Group (e&amp;), a United Arab Emirates-based operator. The Commission identified foreign subsidies in the form of an unlimited state guarantee, grants, and loans, which were found </w:t>
      </w:r>
      <w:bookmarkStart w:id="12" w:name="_Hlk229051190"/>
      <w:r w:rsidR="001E7AE9" w:rsidRPr="006E3E54">
        <w:rPr>
          <w:noProof/>
          <w:lang w:val="en-IE"/>
        </w:rPr>
        <w:t xml:space="preserve">be </w:t>
      </w:r>
      <w:r w:rsidR="00C044DE" w:rsidRPr="006E3E54">
        <w:rPr>
          <w:noProof/>
          <w:lang w:val="en-IE"/>
        </w:rPr>
        <w:t>able to</w:t>
      </w:r>
      <w:r w:rsidR="002D2FF4" w:rsidRPr="006E3E54">
        <w:rPr>
          <w:noProof/>
          <w:lang w:val="en-IE"/>
        </w:rPr>
        <w:t xml:space="preserve"> distort competition </w:t>
      </w:r>
      <w:r w:rsidR="00133123" w:rsidRPr="006E3E54">
        <w:rPr>
          <w:noProof/>
          <w:lang w:val="en-IE"/>
        </w:rPr>
        <w:t xml:space="preserve">at the level of </w:t>
      </w:r>
      <w:r w:rsidR="002D2FF4" w:rsidRPr="006E3E54">
        <w:rPr>
          <w:noProof/>
          <w:lang w:val="en-IE"/>
        </w:rPr>
        <w:t>the merged entity</w:t>
      </w:r>
      <w:r w:rsidR="00133123" w:rsidRPr="006E3E54">
        <w:rPr>
          <w:noProof/>
          <w:lang w:val="en-IE"/>
        </w:rPr>
        <w:t>, post-transaction</w:t>
      </w:r>
      <w:r w:rsidR="002D2FF4" w:rsidRPr="006E3E54">
        <w:rPr>
          <w:noProof/>
          <w:lang w:val="en-IE"/>
        </w:rPr>
        <w:t>. To address these concerns, the parties committed to removing the state guarantee and implementing hold-separate obligations between e&amp; and the target’s EU activities</w:t>
      </w:r>
      <w:bookmarkEnd w:id="12"/>
      <w:r w:rsidR="002D2FF4" w:rsidRPr="006E3E54">
        <w:rPr>
          <w:noProof/>
          <w:lang w:val="en-IE"/>
        </w:rPr>
        <w:t xml:space="preserve">. </w:t>
      </w:r>
      <w:r w:rsidR="00280A2D" w:rsidRPr="006E3E54">
        <w:rPr>
          <w:noProof/>
          <w:lang w:val="en-IE"/>
        </w:rPr>
        <w:t>The final non-confidential version of the decision with commitments</w:t>
      </w:r>
      <w:r w:rsidR="001E7AE9" w:rsidRPr="006E3E54">
        <w:rPr>
          <w:noProof/>
          <w:lang w:val="en-IE"/>
        </w:rPr>
        <w:t xml:space="preserve"> </w:t>
      </w:r>
      <w:r w:rsidR="00280A2D" w:rsidRPr="006E3E54">
        <w:rPr>
          <w:noProof/>
          <w:lang w:val="en-IE"/>
        </w:rPr>
        <w:t>is published on DG COMP website</w:t>
      </w:r>
      <w:r w:rsidR="00787161" w:rsidRPr="006E3E54">
        <w:rPr>
          <w:noProof/>
          <w:lang w:val="en-IE"/>
        </w:rPr>
        <w:t> (</w:t>
      </w:r>
      <w:r w:rsidR="00787161" w:rsidRPr="006E3E54">
        <w:rPr>
          <w:rStyle w:val="FootnoteReference"/>
          <w:noProof/>
          <w:lang w:val="en-IE"/>
        </w:rPr>
        <w:footnoteReference w:id="20"/>
      </w:r>
      <w:r w:rsidR="00787161" w:rsidRPr="006E3E54">
        <w:rPr>
          <w:noProof/>
          <w:lang w:val="en-IE"/>
        </w:rPr>
        <w:t>)</w:t>
      </w:r>
      <w:r w:rsidR="00233519" w:rsidRPr="006E3E54">
        <w:rPr>
          <w:noProof/>
          <w:lang w:val="en-IE"/>
        </w:rPr>
        <w:t>.</w:t>
      </w:r>
    </w:p>
    <w:p w14:paraId="2AF83A31" w14:textId="77777777" w:rsidR="00ED2CE0" w:rsidRPr="006E3E54" w:rsidRDefault="00ED2CE0" w:rsidP="00ED2CE0">
      <w:pPr>
        <w:pStyle w:val="ListParagraph"/>
        <w:rPr>
          <w:noProof/>
          <w:lang w:val="en-IE"/>
        </w:rPr>
      </w:pPr>
    </w:p>
    <w:p w14:paraId="6489B80E" w14:textId="246D4018" w:rsidR="00FF144E" w:rsidRPr="006E3E54" w:rsidRDefault="002D2FF4" w:rsidP="00260174">
      <w:pPr>
        <w:pStyle w:val="ListParagraph"/>
        <w:numPr>
          <w:ilvl w:val="0"/>
          <w:numId w:val="45"/>
        </w:numPr>
        <w:rPr>
          <w:noProof/>
          <w:lang w:val="en-IE"/>
        </w:rPr>
      </w:pPr>
      <w:r w:rsidRPr="006E3E54">
        <w:rPr>
          <w:b/>
          <w:bCs/>
          <w:noProof/>
          <w:lang w:val="en-IE"/>
        </w:rPr>
        <w:t xml:space="preserve">Case FS.100156 </w:t>
      </w:r>
      <w:r w:rsidRPr="006E3E54">
        <w:rPr>
          <w:noProof/>
          <w:lang w:val="en-IE"/>
        </w:rPr>
        <w:t>–</w:t>
      </w:r>
      <w:r w:rsidRPr="006E3E54">
        <w:rPr>
          <w:b/>
          <w:bCs/>
          <w:noProof/>
          <w:lang w:val="en-IE"/>
        </w:rPr>
        <w:t xml:space="preserve"> ADNOC</w:t>
      </w:r>
      <w:r w:rsidR="00C641F2" w:rsidRPr="006E3E54">
        <w:rPr>
          <w:b/>
          <w:bCs/>
          <w:noProof/>
          <w:lang w:val="en-IE"/>
        </w:rPr>
        <w:t xml:space="preserve"> </w:t>
      </w:r>
      <w:r w:rsidRPr="006E3E54">
        <w:rPr>
          <w:b/>
          <w:bCs/>
          <w:noProof/>
          <w:lang w:val="en-IE"/>
        </w:rPr>
        <w:t>/</w:t>
      </w:r>
      <w:r w:rsidR="00C641F2" w:rsidRPr="006E3E54">
        <w:rPr>
          <w:b/>
          <w:bCs/>
          <w:noProof/>
          <w:lang w:val="en-IE"/>
        </w:rPr>
        <w:t xml:space="preserve"> </w:t>
      </w:r>
      <w:r w:rsidRPr="006E3E54">
        <w:rPr>
          <w:b/>
          <w:bCs/>
          <w:noProof/>
          <w:lang w:val="en-IE"/>
        </w:rPr>
        <w:t>Covestro</w:t>
      </w:r>
      <w:r w:rsidRPr="006E3E54">
        <w:rPr>
          <w:noProof/>
          <w:lang w:val="en-IE"/>
        </w:rPr>
        <w:t xml:space="preserve">: This </w:t>
      </w:r>
      <w:r w:rsidR="00C641F2" w:rsidRPr="006E3E54">
        <w:rPr>
          <w:noProof/>
          <w:lang w:val="en-IE"/>
        </w:rPr>
        <w:t xml:space="preserve">case </w:t>
      </w:r>
      <w:r w:rsidRPr="006E3E54">
        <w:rPr>
          <w:noProof/>
          <w:lang w:val="en-IE"/>
        </w:rPr>
        <w:t>involved the acquisition of Covestro, a German chemicals producer, by the Abu Dhabi National Oil Company</w:t>
      </w:r>
      <w:r w:rsidR="00DE50B3" w:rsidRPr="006E3E54">
        <w:rPr>
          <w:noProof/>
          <w:lang w:val="en-IE"/>
        </w:rPr>
        <w:t xml:space="preserve"> (ADNOC)</w:t>
      </w:r>
      <w:r w:rsidRPr="006E3E54">
        <w:rPr>
          <w:noProof/>
          <w:lang w:val="en-IE"/>
        </w:rPr>
        <w:t xml:space="preserve">. The Commission found that foreign subsidies, including an unlimited state guarantee to ADNOC and a capital increase to Covestro, created distortions both in the acquisition process and the post-acquisition activities. The parties committed to amending ADNOC’s articles of association to remove the state guarantee and to license certain Covestro patents to market participants. </w:t>
      </w:r>
      <w:r w:rsidR="00FF144E" w:rsidRPr="006E3E54">
        <w:rPr>
          <w:noProof/>
          <w:lang w:val="en-IE"/>
        </w:rPr>
        <w:t>A provisional non-confidential version of the decision with commitments</w:t>
      </w:r>
      <w:r w:rsidR="001E7AE9" w:rsidRPr="006E3E54">
        <w:rPr>
          <w:noProof/>
          <w:lang w:val="en-IE"/>
        </w:rPr>
        <w:t xml:space="preserve"> </w:t>
      </w:r>
      <w:r w:rsidR="00FF144E" w:rsidRPr="006E3E54">
        <w:rPr>
          <w:noProof/>
          <w:lang w:val="en-IE"/>
        </w:rPr>
        <w:t>is published on DG COMP website</w:t>
      </w:r>
      <w:r w:rsidR="001241C4" w:rsidRPr="006E3E54">
        <w:rPr>
          <w:noProof/>
          <w:lang w:val="en-IE"/>
        </w:rPr>
        <w:t> (</w:t>
      </w:r>
      <w:r w:rsidR="001241C4" w:rsidRPr="006E3E54">
        <w:rPr>
          <w:rStyle w:val="FootnoteReference"/>
          <w:noProof/>
          <w:lang w:val="en-IE"/>
        </w:rPr>
        <w:footnoteReference w:id="21"/>
      </w:r>
      <w:r w:rsidR="001241C4" w:rsidRPr="006E3E54">
        <w:rPr>
          <w:noProof/>
          <w:lang w:val="en-IE"/>
        </w:rPr>
        <w:t>)</w:t>
      </w:r>
      <w:r w:rsidR="00DE50B3" w:rsidRPr="006E3E54">
        <w:rPr>
          <w:noProof/>
          <w:lang w:val="en-IE"/>
        </w:rPr>
        <w:t>.</w:t>
      </w:r>
    </w:p>
    <w:p w14:paraId="0DC97E47" w14:textId="77777777" w:rsidR="00C641F2" w:rsidRPr="006E3E54" w:rsidRDefault="00C641F2" w:rsidP="00812A40">
      <w:pPr>
        <w:pStyle w:val="ListParagraph"/>
        <w:rPr>
          <w:noProof/>
          <w:lang w:val="en-IE"/>
        </w:rPr>
      </w:pPr>
    </w:p>
    <w:p w14:paraId="4570A728" w14:textId="3D0424AB" w:rsidR="00C641F2" w:rsidRPr="002D2FF4" w:rsidRDefault="00B7733F" w:rsidP="00B7733F">
      <w:pPr>
        <w:pStyle w:val="ListParagraph"/>
        <w:numPr>
          <w:ilvl w:val="0"/>
          <w:numId w:val="45"/>
        </w:numPr>
        <w:rPr>
          <w:noProof/>
          <w:lang w:val="en-IE"/>
        </w:rPr>
      </w:pPr>
      <w:r w:rsidRPr="006E3E54">
        <w:rPr>
          <w:b/>
          <w:bCs/>
          <w:noProof/>
          <w:lang w:val="en-IE"/>
        </w:rPr>
        <w:t>FS.100253</w:t>
      </w:r>
      <w:r w:rsidR="00DE50B3" w:rsidRPr="006E3E54">
        <w:rPr>
          <w:b/>
          <w:bCs/>
          <w:noProof/>
          <w:lang w:val="en-IE"/>
        </w:rPr>
        <w:t xml:space="preserve"> </w:t>
      </w:r>
      <w:r w:rsidR="00DE50B3" w:rsidRPr="006E3E54">
        <w:rPr>
          <w:noProof/>
          <w:lang w:val="en-IE"/>
        </w:rPr>
        <w:t>–</w:t>
      </w:r>
      <w:r w:rsidRPr="006E3E54">
        <w:rPr>
          <w:noProof/>
          <w:lang w:val="en-IE"/>
        </w:rPr>
        <w:t xml:space="preserve"> </w:t>
      </w:r>
      <w:r w:rsidRPr="006E3E54">
        <w:rPr>
          <w:b/>
          <w:bCs/>
          <w:noProof/>
          <w:lang w:val="en-IE"/>
        </w:rPr>
        <w:t>JD.COM</w:t>
      </w:r>
      <w:r w:rsidRPr="00B7733F">
        <w:rPr>
          <w:b/>
          <w:bCs/>
          <w:noProof/>
          <w:lang w:val="en-IE"/>
        </w:rPr>
        <w:t xml:space="preserve"> / CECONOMY</w:t>
      </w:r>
      <w:r w:rsidRPr="00B7733F">
        <w:rPr>
          <w:noProof/>
          <w:lang w:val="en-IE"/>
        </w:rPr>
        <w:t xml:space="preserve">: </w:t>
      </w:r>
      <w:r w:rsidR="00596EFF">
        <w:rPr>
          <w:noProof/>
          <w:lang w:val="en-IE"/>
        </w:rPr>
        <w:t xml:space="preserve">This case involves the acquisition of CECONOMY AG, a German retailer specialised in the field of consumer electronics and home appliances, by JD.com, a company that belongs to a China-based group operating a retail business and an online e-commerce marketplace in China. </w:t>
      </w:r>
      <w:r w:rsidR="00252A5B">
        <w:rPr>
          <w:noProof/>
          <w:lang w:val="en-IE"/>
        </w:rPr>
        <w:t>During</w:t>
      </w:r>
      <w:r w:rsidR="00596EFF">
        <w:rPr>
          <w:noProof/>
          <w:lang w:val="en-IE"/>
        </w:rPr>
        <w:t xml:space="preserve"> the preliminary investigation</w:t>
      </w:r>
      <w:r w:rsidR="001111A8">
        <w:rPr>
          <w:noProof/>
          <w:lang w:val="en-IE"/>
        </w:rPr>
        <w:t>,</w:t>
      </w:r>
      <w:r w:rsidR="00596EFF">
        <w:rPr>
          <w:noProof/>
          <w:lang w:val="en-IE"/>
        </w:rPr>
        <w:t xml:space="preserve"> the Commission found </w:t>
      </w:r>
      <w:r w:rsidR="00252A5B">
        <w:rPr>
          <w:noProof/>
          <w:lang w:val="en-IE"/>
        </w:rPr>
        <w:t xml:space="preserve">sufficient </w:t>
      </w:r>
      <w:r w:rsidR="00596EFF">
        <w:rPr>
          <w:noProof/>
          <w:lang w:val="en-IE"/>
        </w:rPr>
        <w:t>indications of foreign subsidies distorting the EU internal market</w:t>
      </w:r>
      <w:r w:rsidR="00252A5B">
        <w:rPr>
          <w:noProof/>
          <w:lang w:val="en-IE"/>
        </w:rPr>
        <w:t xml:space="preserve"> and on 28</w:t>
      </w:r>
      <w:r w:rsidR="00B26EE7">
        <w:rPr>
          <w:noProof/>
          <w:lang w:val="en-IE"/>
        </w:rPr>
        <w:t> </w:t>
      </w:r>
      <w:r w:rsidR="00252A5B">
        <w:rPr>
          <w:noProof/>
          <w:lang w:val="en-IE"/>
        </w:rPr>
        <w:t>May 2026, it opened an in-depth investigation</w:t>
      </w:r>
      <w:r w:rsidR="00596EFF">
        <w:rPr>
          <w:noProof/>
          <w:lang w:val="en-IE"/>
        </w:rPr>
        <w:t>.</w:t>
      </w:r>
      <w:r w:rsidR="00596EFF" w:rsidRPr="00596EFF">
        <w:rPr>
          <w:noProof/>
          <w:lang w:val="en-IE"/>
        </w:rPr>
        <w:t xml:space="preserve"> </w:t>
      </w:r>
      <w:r w:rsidR="00233519">
        <w:rPr>
          <w:noProof/>
          <w:lang w:val="en-IE"/>
        </w:rPr>
        <w:t>At time of publication t</w:t>
      </w:r>
      <w:r w:rsidR="00596EFF">
        <w:rPr>
          <w:noProof/>
          <w:lang w:val="en-IE"/>
        </w:rPr>
        <w:t xml:space="preserve">he in-depth investigation </w:t>
      </w:r>
      <w:r w:rsidR="00233519">
        <w:rPr>
          <w:noProof/>
          <w:lang w:val="en-IE"/>
        </w:rPr>
        <w:t>wa</w:t>
      </w:r>
      <w:r w:rsidR="00596EFF">
        <w:rPr>
          <w:noProof/>
          <w:lang w:val="en-IE"/>
        </w:rPr>
        <w:t>s ongoing.</w:t>
      </w:r>
      <w:r w:rsidR="00252A5B" w:rsidRPr="00252A5B">
        <w:rPr>
          <w:noProof/>
        </w:rPr>
        <w:t xml:space="preserve"> </w:t>
      </w:r>
    </w:p>
    <w:p w14:paraId="7D60C8CE" w14:textId="62D6EAD6" w:rsidR="002D2FF4" w:rsidRDefault="00AA34DB" w:rsidP="002D2FF4">
      <w:pPr>
        <w:pStyle w:val="ContNumLevel2"/>
        <w:numPr>
          <w:ilvl w:val="1"/>
          <w:numId w:val="0"/>
        </w:numPr>
        <w:rPr>
          <w:noProof/>
          <w:lang w:val="en-IE"/>
        </w:rPr>
      </w:pPr>
      <w:r>
        <w:rPr>
          <w:noProof/>
          <w:lang w:val="en-IE"/>
        </w:rPr>
        <w:t>During the review period, t</w:t>
      </w:r>
      <w:r w:rsidR="002D2FF4" w:rsidRPr="002D2FF4">
        <w:rPr>
          <w:noProof/>
          <w:lang w:val="en-IE"/>
        </w:rPr>
        <w:t>he Commission</w:t>
      </w:r>
      <w:r w:rsidR="00AC57D4">
        <w:rPr>
          <w:noProof/>
          <w:lang w:val="en-IE"/>
        </w:rPr>
        <w:t xml:space="preserve"> has not </w:t>
      </w:r>
      <w:r w:rsidR="002D2FF4" w:rsidRPr="002D2FF4">
        <w:rPr>
          <w:noProof/>
          <w:lang w:val="en-IE"/>
        </w:rPr>
        <w:t>exercise</w:t>
      </w:r>
      <w:r w:rsidR="00AC57D4">
        <w:rPr>
          <w:noProof/>
          <w:lang w:val="en-IE"/>
        </w:rPr>
        <w:t>d</w:t>
      </w:r>
      <w:r w:rsidR="002D2FF4" w:rsidRPr="002D2FF4">
        <w:rPr>
          <w:noProof/>
          <w:lang w:val="en-IE"/>
        </w:rPr>
        <w:t xml:space="preserve"> its powers under </w:t>
      </w:r>
      <w:r w:rsidR="00233519" w:rsidRPr="002D2FF4">
        <w:rPr>
          <w:noProof/>
          <w:lang w:val="en-IE"/>
        </w:rPr>
        <w:t>Article</w:t>
      </w:r>
      <w:r w:rsidR="00233519">
        <w:rPr>
          <w:noProof/>
          <w:lang w:val="en-IE"/>
        </w:rPr>
        <w:t> </w:t>
      </w:r>
      <w:r w:rsidR="002D2FF4" w:rsidRPr="002D2FF4">
        <w:rPr>
          <w:noProof/>
          <w:lang w:val="en-IE"/>
        </w:rPr>
        <w:t>21(5) FSR</w:t>
      </w:r>
      <w:r w:rsidR="00DE50B3">
        <w:rPr>
          <w:noProof/>
          <w:lang w:val="en-IE"/>
        </w:rPr>
        <w:t xml:space="preserve"> </w:t>
      </w:r>
      <w:r w:rsidR="002D2FF4" w:rsidRPr="002D2FF4">
        <w:rPr>
          <w:noProof/>
          <w:lang w:val="en-IE"/>
        </w:rPr>
        <w:t xml:space="preserve">to </w:t>
      </w:r>
      <w:r w:rsidR="00AC57D4">
        <w:rPr>
          <w:noProof/>
          <w:lang w:val="en-IE"/>
        </w:rPr>
        <w:t xml:space="preserve">call-in </w:t>
      </w:r>
      <w:r w:rsidR="002D2FF4" w:rsidRPr="002D2FF4">
        <w:rPr>
          <w:noProof/>
          <w:lang w:val="en-IE"/>
        </w:rPr>
        <w:t>concentrations below the jurisdictional thresholds</w:t>
      </w:r>
      <w:r w:rsidR="00BD2821">
        <w:rPr>
          <w:noProof/>
          <w:lang w:val="en-IE"/>
        </w:rPr>
        <w:t>.</w:t>
      </w:r>
    </w:p>
    <w:p w14:paraId="106F9C41" w14:textId="29ADF08C" w:rsidR="00AA34DB" w:rsidRDefault="00AA34DB" w:rsidP="00CA4F33">
      <w:pPr>
        <w:pStyle w:val="Heading4"/>
        <w:rPr>
          <w:noProof/>
        </w:rPr>
      </w:pPr>
      <w:r w:rsidRPr="00AA34DB">
        <w:rPr>
          <w:noProof/>
          <w:lang w:val="en-IE"/>
        </w:rPr>
        <w:t>Results of the review</w:t>
      </w:r>
    </w:p>
    <w:p w14:paraId="0B7504BE" w14:textId="53FFB415" w:rsidR="00FE7E4B" w:rsidRDefault="001E7AE9" w:rsidP="001E7AE9">
      <w:pPr>
        <w:rPr>
          <w:noProof/>
          <w:lang w:val="en-IE"/>
        </w:rPr>
      </w:pPr>
      <w:bookmarkStart w:id="13" w:name="_Toc228901739"/>
      <w:bookmarkStart w:id="14" w:name="_Ref227930633"/>
      <w:r w:rsidRPr="00C751C1">
        <w:rPr>
          <w:noProof/>
          <w:lang w:val="en-IE"/>
        </w:rPr>
        <w:t xml:space="preserve">The early experience with </w:t>
      </w:r>
      <w:r w:rsidR="00A210FC">
        <w:rPr>
          <w:noProof/>
          <w:lang w:val="en-IE"/>
        </w:rPr>
        <w:t>the</w:t>
      </w:r>
      <w:r w:rsidRPr="00C751C1">
        <w:rPr>
          <w:noProof/>
          <w:lang w:val="en-IE"/>
        </w:rPr>
        <w:t xml:space="preserve"> </w:t>
      </w:r>
      <w:r>
        <w:rPr>
          <w:noProof/>
          <w:lang w:val="en-IE"/>
        </w:rPr>
        <w:t xml:space="preserve">FSR </w:t>
      </w:r>
      <w:r w:rsidRPr="00C751C1">
        <w:rPr>
          <w:noProof/>
          <w:lang w:val="en-IE"/>
        </w:rPr>
        <w:t>notification</w:t>
      </w:r>
      <w:r w:rsidR="00A210FC">
        <w:rPr>
          <w:noProof/>
          <w:lang w:val="en-IE"/>
        </w:rPr>
        <w:t xml:space="preserve"> procedure</w:t>
      </w:r>
      <w:r w:rsidRPr="00C751C1">
        <w:rPr>
          <w:noProof/>
          <w:lang w:val="en-IE"/>
        </w:rPr>
        <w:t xml:space="preserve"> </w:t>
      </w:r>
      <w:r w:rsidR="00957483">
        <w:rPr>
          <w:noProof/>
          <w:lang w:val="en-IE"/>
        </w:rPr>
        <w:t xml:space="preserve">for concentrations </w:t>
      </w:r>
      <w:r w:rsidRPr="00C751C1">
        <w:rPr>
          <w:noProof/>
          <w:lang w:val="en-IE"/>
        </w:rPr>
        <w:t>reveals that</w:t>
      </w:r>
      <w:r w:rsidR="00957483">
        <w:rPr>
          <w:noProof/>
          <w:lang w:val="en-IE"/>
        </w:rPr>
        <w:t xml:space="preserve"> the instrument is fit for purpose. </w:t>
      </w:r>
      <w:r w:rsidR="00FE7E4B">
        <w:rPr>
          <w:noProof/>
          <w:lang w:val="en-IE"/>
        </w:rPr>
        <w:t>The main takeaways from the review</w:t>
      </w:r>
      <w:r w:rsidR="00FE7E4B" w:rsidRPr="00D73DCA">
        <w:rPr>
          <w:noProof/>
        </w:rPr>
        <w:t xml:space="preserve"> </w:t>
      </w:r>
      <w:r w:rsidR="00FE7E4B">
        <w:rPr>
          <w:noProof/>
        </w:rPr>
        <w:t>are</w:t>
      </w:r>
      <w:r w:rsidR="00D73DCA">
        <w:rPr>
          <w:noProof/>
        </w:rPr>
        <w:t xml:space="preserve"> set out below.</w:t>
      </w:r>
    </w:p>
    <w:p w14:paraId="484A02B2" w14:textId="0FA019EC" w:rsidR="00C45C70" w:rsidRDefault="001A1AD9" w:rsidP="0098583A">
      <w:pPr>
        <w:rPr>
          <w:noProof/>
        </w:rPr>
      </w:pPr>
      <w:r w:rsidRPr="0098583A">
        <w:rPr>
          <w:noProof/>
          <w:lang w:val="en-IE"/>
        </w:rPr>
        <w:t>Th</w:t>
      </w:r>
      <w:r w:rsidR="001E7AE9" w:rsidRPr="0098583A">
        <w:rPr>
          <w:noProof/>
          <w:lang w:val="en-IE"/>
        </w:rPr>
        <w:t>e number of notifications</w:t>
      </w:r>
      <w:r w:rsidR="00FE7E4B" w:rsidRPr="0098583A">
        <w:rPr>
          <w:noProof/>
          <w:lang w:val="en-IE"/>
        </w:rPr>
        <w:t xml:space="preserve"> (</w:t>
      </w:r>
      <w:r w:rsidR="00D44933">
        <w:rPr>
          <w:noProof/>
        </w:rPr>
        <w:t>around 100</w:t>
      </w:r>
      <w:r w:rsidR="00FE7E4B" w:rsidRPr="00FE7E4B">
        <w:rPr>
          <w:noProof/>
        </w:rPr>
        <w:t xml:space="preserve"> per year</w:t>
      </w:r>
      <w:r w:rsidR="00FE7E4B">
        <w:rPr>
          <w:noProof/>
        </w:rPr>
        <w:t>)</w:t>
      </w:r>
      <w:r w:rsidR="001E7AE9" w:rsidRPr="0098583A">
        <w:rPr>
          <w:noProof/>
          <w:lang w:val="en-IE"/>
        </w:rPr>
        <w:t xml:space="preserve"> has exceeded the Commission’s initial projections</w:t>
      </w:r>
      <w:r w:rsidR="00FE7E4B" w:rsidRPr="0098583A">
        <w:rPr>
          <w:noProof/>
          <w:lang w:val="en-IE"/>
        </w:rPr>
        <w:t xml:space="preserve"> (</w:t>
      </w:r>
      <w:r w:rsidR="00D44933">
        <w:rPr>
          <w:noProof/>
          <w:lang w:val="en-IE"/>
        </w:rPr>
        <w:t>30-40</w:t>
      </w:r>
      <w:r w:rsidR="00FE7E4B" w:rsidRPr="0098583A">
        <w:rPr>
          <w:noProof/>
          <w:lang w:val="en-IE"/>
        </w:rPr>
        <w:t xml:space="preserve"> per year</w:t>
      </w:r>
      <w:r w:rsidR="00D44933">
        <w:rPr>
          <w:noProof/>
          <w:lang w:val="en-IE"/>
        </w:rPr>
        <w:t xml:space="preserve">, as estimated in the </w:t>
      </w:r>
      <w:r w:rsidR="00D73DCA">
        <w:rPr>
          <w:noProof/>
          <w:lang w:val="en-IE"/>
        </w:rPr>
        <w:t>i</w:t>
      </w:r>
      <w:r w:rsidR="00D44933">
        <w:rPr>
          <w:noProof/>
          <w:lang w:val="en-IE"/>
        </w:rPr>
        <w:t xml:space="preserve">mpact </w:t>
      </w:r>
      <w:r w:rsidR="00D73DCA">
        <w:rPr>
          <w:noProof/>
          <w:lang w:val="en-IE"/>
        </w:rPr>
        <w:t>assessment that a</w:t>
      </w:r>
      <w:r w:rsidR="00D44933">
        <w:rPr>
          <w:noProof/>
          <w:lang w:val="en-IE"/>
        </w:rPr>
        <w:t xml:space="preserve">ccompanied the proposal for the </w:t>
      </w:r>
      <w:r w:rsidR="00815E64">
        <w:rPr>
          <w:noProof/>
          <w:lang w:val="en-IE"/>
        </w:rPr>
        <w:t>FSR</w:t>
      </w:r>
      <w:r w:rsidR="001111A8" w:rsidRPr="001111A8">
        <w:rPr>
          <w:noProof/>
          <w:lang w:val="en-IE"/>
        </w:rPr>
        <w:t> (</w:t>
      </w:r>
      <w:r w:rsidR="001111A8">
        <w:rPr>
          <w:rStyle w:val="FootnoteReference"/>
          <w:noProof/>
          <w:lang w:val="en-IE"/>
        </w:rPr>
        <w:footnoteReference w:id="22"/>
      </w:r>
      <w:r w:rsidR="001111A8">
        <w:rPr>
          <w:noProof/>
          <w:lang w:val="en-IE"/>
        </w:rPr>
        <w:t>)</w:t>
      </w:r>
      <w:r w:rsidR="00D44933">
        <w:rPr>
          <w:noProof/>
          <w:lang w:val="en-IE"/>
        </w:rPr>
        <w:t>)</w:t>
      </w:r>
      <w:r w:rsidR="00FE7E4B" w:rsidRPr="0098583A">
        <w:rPr>
          <w:noProof/>
          <w:lang w:val="en-IE"/>
        </w:rPr>
        <w:t xml:space="preserve">. </w:t>
      </w:r>
      <w:r w:rsidR="00D73DCA">
        <w:rPr>
          <w:noProof/>
          <w:lang w:val="en-IE"/>
        </w:rPr>
        <w:t>T</w:t>
      </w:r>
      <w:r w:rsidR="0098583A">
        <w:rPr>
          <w:noProof/>
          <w:lang w:val="en-IE"/>
        </w:rPr>
        <w:t xml:space="preserve">he Commission closed around </w:t>
      </w:r>
      <w:r w:rsidR="0098583A" w:rsidRPr="00071EBA">
        <w:rPr>
          <w:noProof/>
        </w:rPr>
        <w:t>9</w:t>
      </w:r>
      <w:r w:rsidR="00A210FC">
        <w:rPr>
          <w:noProof/>
        </w:rPr>
        <w:t>7</w:t>
      </w:r>
      <w:r w:rsidR="0098583A" w:rsidRPr="00071EBA">
        <w:rPr>
          <w:noProof/>
        </w:rPr>
        <w:t>% of notified concentration</w:t>
      </w:r>
      <w:r w:rsidR="00A210FC">
        <w:rPr>
          <w:noProof/>
        </w:rPr>
        <w:t>s</w:t>
      </w:r>
      <w:r w:rsidR="0098583A">
        <w:rPr>
          <w:noProof/>
        </w:rPr>
        <w:t xml:space="preserve"> after preliminary review, without opening an in-depth investigation. </w:t>
      </w:r>
      <w:r w:rsidR="00C45C70" w:rsidRPr="00C45C70">
        <w:rPr>
          <w:noProof/>
        </w:rPr>
        <w:t xml:space="preserve">This share is consistent with the outcome of cases reviewed and cleared in Phase I under </w:t>
      </w:r>
      <w:r w:rsidR="00DC744E">
        <w:rPr>
          <w:noProof/>
        </w:rPr>
        <w:t xml:space="preserve">Regulation (EC) 139/2004 </w:t>
      </w:r>
      <w:r w:rsidR="00DC744E" w:rsidRPr="00812A40">
        <w:rPr>
          <w:noProof/>
        </w:rPr>
        <w:t>of 20</w:t>
      </w:r>
      <w:r w:rsidR="00B26EE7">
        <w:rPr>
          <w:noProof/>
        </w:rPr>
        <w:t> </w:t>
      </w:r>
      <w:r w:rsidR="00DC744E" w:rsidRPr="00812A40">
        <w:rPr>
          <w:noProof/>
        </w:rPr>
        <w:t>January 2004 on the control of concentrations between undertakings</w:t>
      </w:r>
      <w:r w:rsidR="00DC744E" w:rsidRPr="00DC744E">
        <w:rPr>
          <w:noProof/>
        </w:rPr>
        <w:t xml:space="preserve"> </w:t>
      </w:r>
      <w:r w:rsidR="00DC744E">
        <w:rPr>
          <w:noProof/>
        </w:rPr>
        <w:t>(</w:t>
      </w:r>
      <w:r w:rsidR="004A30F4">
        <w:rPr>
          <w:noProof/>
        </w:rPr>
        <w:t xml:space="preserve">the </w:t>
      </w:r>
      <w:r w:rsidR="00D73DCA">
        <w:rPr>
          <w:noProof/>
        </w:rPr>
        <w:t>‘</w:t>
      </w:r>
      <w:r w:rsidR="00C45C70" w:rsidRPr="00C45C70">
        <w:rPr>
          <w:noProof/>
        </w:rPr>
        <w:t>EUMR</w:t>
      </w:r>
      <w:r w:rsidR="00D73DCA">
        <w:rPr>
          <w:noProof/>
        </w:rPr>
        <w:t>’</w:t>
      </w:r>
      <w:r w:rsidR="00DC744E">
        <w:rPr>
          <w:noProof/>
        </w:rPr>
        <w:t>)</w:t>
      </w:r>
      <w:r w:rsidR="00C45C70" w:rsidRPr="00C45C70">
        <w:rPr>
          <w:noProof/>
        </w:rPr>
        <w:t> (</w:t>
      </w:r>
      <w:r w:rsidR="00C45C70" w:rsidRPr="00C45C70">
        <w:rPr>
          <w:rStyle w:val="FootnoteReference"/>
          <w:noProof/>
        </w:rPr>
        <w:footnoteReference w:id="23"/>
      </w:r>
      <w:r w:rsidR="00C45C70" w:rsidRPr="00C45C70">
        <w:rPr>
          <w:noProof/>
        </w:rPr>
        <w:t>)</w:t>
      </w:r>
      <w:r w:rsidR="00931F81">
        <w:rPr>
          <w:noProof/>
        </w:rPr>
        <w:t>.</w:t>
      </w:r>
    </w:p>
    <w:p w14:paraId="6862698A" w14:textId="7226465B" w:rsidR="00804FA8" w:rsidRDefault="00233519" w:rsidP="0098583A">
      <w:pPr>
        <w:rPr>
          <w:noProof/>
          <w:lang w:val="en-IE"/>
        </w:rPr>
      </w:pPr>
      <w:r>
        <w:rPr>
          <w:noProof/>
          <w:lang w:val="en-IE"/>
        </w:rPr>
        <w:t>At the time of publication</w:t>
      </w:r>
      <w:r w:rsidR="0098583A" w:rsidRPr="00C751C1">
        <w:rPr>
          <w:noProof/>
          <w:lang w:val="en-IE"/>
        </w:rPr>
        <w:t xml:space="preserve">, the Commission </w:t>
      </w:r>
      <w:r>
        <w:rPr>
          <w:noProof/>
          <w:lang w:val="en-IE"/>
        </w:rPr>
        <w:t>had</w:t>
      </w:r>
      <w:r w:rsidR="0098583A" w:rsidRPr="00C751C1">
        <w:rPr>
          <w:noProof/>
          <w:lang w:val="en-IE"/>
        </w:rPr>
        <w:t xml:space="preserve"> </w:t>
      </w:r>
      <w:r w:rsidR="00815E64">
        <w:rPr>
          <w:noProof/>
          <w:lang w:val="en-IE"/>
        </w:rPr>
        <w:t>launched</w:t>
      </w:r>
      <w:r w:rsidR="00815E64" w:rsidRPr="00C751C1">
        <w:rPr>
          <w:noProof/>
          <w:lang w:val="en-IE"/>
        </w:rPr>
        <w:t xml:space="preserve"> </w:t>
      </w:r>
      <w:r w:rsidR="00EC5F84">
        <w:rPr>
          <w:noProof/>
          <w:lang w:val="en-IE"/>
        </w:rPr>
        <w:t>three</w:t>
      </w:r>
      <w:r w:rsidR="0098583A" w:rsidRPr="00C751C1">
        <w:rPr>
          <w:noProof/>
          <w:lang w:val="en-IE"/>
        </w:rPr>
        <w:t xml:space="preserve"> in-depth</w:t>
      </w:r>
      <w:r w:rsidR="00815E64">
        <w:rPr>
          <w:noProof/>
          <w:lang w:val="en-IE"/>
        </w:rPr>
        <w:t xml:space="preserve"> </w:t>
      </w:r>
      <w:r w:rsidR="0098583A" w:rsidRPr="00C751C1">
        <w:rPr>
          <w:noProof/>
          <w:lang w:val="en-IE"/>
        </w:rPr>
        <w:t>investigations</w:t>
      </w:r>
      <w:r w:rsidR="0098583A">
        <w:rPr>
          <w:noProof/>
          <w:lang w:val="en-IE"/>
        </w:rPr>
        <w:t xml:space="preserve"> into concentrations</w:t>
      </w:r>
      <w:r w:rsidR="0098583A" w:rsidRPr="00C751C1">
        <w:rPr>
          <w:noProof/>
          <w:lang w:val="en-IE"/>
        </w:rPr>
        <w:t xml:space="preserve">, </w:t>
      </w:r>
      <w:r w:rsidR="00EC5F84">
        <w:rPr>
          <w:noProof/>
          <w:lang w:val="en-IE"/>
        </w:rPr>
        <w:t>two of which were</w:t>
      </w:r>
      <w:r w:rsidR="0098583A" w:rsidRPr="00C751C1">
        <w:rPr>
          <w:noProof/>
          <w:lang w:val="en-IE"/>
        </w:rPr>
        <w:t xml:space="preserve"> conditionally </w:t>
      </w:r>
      <w:r w:rsidR="00EC5F84">
        <w:rPr>
          <w:noProof/>
          <w:lang w:val="en-IE"/>
        </w:rPr>
        <w:t>approved</w:t>
      </w:r>
      <w:r w:rsidR="0098583A" w:rsidRPr="00C751C1">
        <w:rPr>
          <w:noProof/>
          <w:lang w:val="en-IE"/>
        </w:rPr>
        <w:t xml:space="preserve"> after </w:t>
      </w:r>
      <w:r w:rsidR="0098583A">
        <w:rPr>
          <w:noProof/>
          <w:lang w:val="en-IE"/>
        </w:rPr>
        <w:t>accepting</w:t>
      </w:r>
      <w:r w:rsidR="0098583A" w:rsidRPr="00C751C1">
        <w:rPr>
          <w:noProof/>
          <w:lang w:val="en-IE"/>
        </w:rPr>
        <w:t xml:space="preserve"> commitments</w:t>
      </w:r>
      <w:r w:rsidR="0098583A">
        <w:rPr>
          <w:noProof/>
          <w:lang w:val="en-IE"/>
        </w:rPr>
        <w:t xml:space="preserve"> from the notifying parties</w:t>
      </w:r>
      <w:r w:rsidR="0098583A" w:rsidRPr="00C751C1">
        <w:rPr>
          <w:noProof/>
          <w:lang w:val="en-IE"/>
        </w:rPr>
        <w:t xml:space="preserve"> to address potential market distortions</w:t>
      </w:r>
      <w:r w:rsidR="00815E64">
        <w:rPr>
          <w:noProof/>
          <w:lang w:val="en-IE"/>
        </w:rPr>
        <w:t xml:space="preserve"> caused by foreign subsidies. </w:t>
      </w:r>
      <w:r>
        <w:rPr>
          <w:noProof/>
          <w:lang w:val="en-IE"/>
        </w:rPr>
        <w:t>The</w:t>
      </w:r>
      <w:r w:rsidR="00815E64">
        <w:rPr>
          <w:noProof/>
          <w:lang w:val="en-IE"/>
        </w:rPr>
        <w:t xml:space="preserve"> in-depth investigation in one concentration </w:t>
      </w:r>
      <w:r>
        <w:rPr>
          <w:noProof/>
          <w:lang w:val="en-IE"/>
        </w:rPr>
        <w:t>wa</w:t>
      </w:r>
      <w:r w:rsidR="00815E64">
        <w:rPr>
          <w:noProof/>
          <w:lang w:val="en-IE"/>
        </w:rPr>
        <w:t xml:space="preserve">s </w:t>
      </w:r>
      <w:r w:rsidR="00EC5F84">
        <w:rPr>
          <w:noProof/>
          <w:lang w:val="en-IE"/>
        </w:rPr>
        <w:t>still ongoing</w:t>
      </w:r>
      <w:r w:rsidR="0098583A">
        <w:rPr>
          <w:noProof/>
          <w:lang w:val="en-IE"/>
        </w:rPr>
        <w:t xml:space="preserve">. </w:t>
      </w:r>
    </w:p>
    <w:p w14:paraId="4E1C8770" w14:textId="2328BCE7" w:rsidR="0098583A" w:rsidRPr="00E309BF" w:rsidRDefault="00EC5F84" w:rsidP="0098583A">
      <w:pPr>
        <w:rPr>
          <w:noProof/>
          <w:lang w:val="en-IE"/>
        </w:rPr>
      </w:pPr>
      <w:r>
        <w:rPr>
          <w:noProof/>
          <w:lang w:val="en-IE"/>
        </w:rPr>
        <w:t xml:space="preserve">The FSR has </w:t>
      </w:r>
      <w:r w:rsidR="001A0970">
        <w:rPr>
          <w:noProof/>
          <w:lang w:val="en-IE"/>
        </w:rPr>
        <w:t>allowed</w:t>
      </w:r>
      <w:r>
        <w:rPr>
          <w:noProof/>
          <w:lang w:val="en-IE"/>
        </w:rPr>
        <w:t xml:space="preserve"> the Commission to</w:t>
      </w:r>
      <w:r w:rsidR="001A0970">
        <w:rPr>
          <w:noProof/>
          <w:lang w:val="en-IE"/>
        </w:rPr>
        <w:t xml:space="preserve"> scrutinise</w:t>
      </w:r>
      <w:r>
        <w:rPr>
          <w:noProof/>
          <w:lang w:val="en-IE"/>
        </w:rPr>
        <w:t xml:space="preserve"> concentrations, identify </w:t>
      </w:r>
      <w:r w:rsidR="00815E64">
        <w:rPr>
          <w:noProof/>
          <w:lang w:val="en-IE"/>
        </w:rPr>
        <w:t xml:space="preserve">if there are foreign subsidies in the concentrations which could actually or potentially cause </w:t>
      </w:r>
      <w:r>
        <w:rPr>
          <w:noProof/>
          <w:lang w:val="en-IE"/>
        </w:rPr>
        <w:t xml:space="preserve">distortions </w:t>
      </w:r>
      <w:r w:rsidR="00815E64">
        <w:rPr>
          <w:noProof/>
          <w:lang w:val="en-IE"/>
        </w:rPr>
        <w:t>in</w:t>
      </w:r>
      <w:r w:rsidR="001A0970">
        <w:rPr>
          <w:noProof/>
          <w:lang w:val="en-IE"/>
        </w:rPr>
        <w:t xml:space="preserve"> </w:t>
      </w:r>
      <w:r>
        <w:rPr>
          <w:noProof/>
          <w:lang w:val="en-IE"/>
        </w:rPr>
        <w:t xml:space="preserve">the internal market and address them </w:t>
      </w:r>
      <w:r w:rsidR="001A0970">
        <w:rPr>
          <w:noProof/>
          <w:lang w:val="en-IE"/>
        </w:rPr>
        <w:t>through</w:t>
      </w:r>
      <w:r>
        <w:rPr>
          <w:noProof/>
          <w:lang w:val="en-IE"/>
        </w:rPr>
        <w:t xml:space="preserve"> </w:t>
      </w:r>
      <w:r w:rsidR="001A0970">
        <w:rPr>
          <w:noProof/>
          <w:lang w:val="en-IE"/>
        </w:rPr>
        <w:t xml:space="preserve">the </w:t>
      </w:r>
      <w:r>
        <w:rPr>
          <w:noProof/>
          <w:lang w:val="en-IE"/>
        </w:rPr>
        <w:t xml:space="preserve">regulatory </w:t>
      </w:r>
      <w:r w:rsidR="00815E64">
        <w:rPr>
          <w:noProof/>
          <w:lang w:val="en-IE"/>
        </w:rPr>
        <w:t>FSR</w:t>
      </w:r>
      <w:r>
        <w:rPr>
          <w:noProof/>
          <w:lang w:val="en-IE"/>
        </w:rPr>
        <w:t xml:space="preserve"> </w:t>
      </w:r>
      <w:r w:rsidR="001A0970">
        <w:rPr>
          <w:noProof/>
          <w:lang w:val="en-IE"/>
        </w:rPr>
        <w:t>process</w:t>
      </w:r>
      <w:r>
        <w:rPr>
          <w:noProof/>
          <w:lang w:val="en-IE"/>
        </w:rPr>
        <w:t>.</w:t>
      </w:r>
      <w:r w:rsidR="0098583A">
        <w:rPr>
          <w:noProof/>
          <w:lang w:val="en-IE"/>
        </w:rPr>
        <w:t xml:space="preserve"> </w:t>
      </w:r>
      <w:r w:rsidR="00DB272F">
        <w:rPr>
          <w:noProof/>
          <w:lang w:val="en-IE"/>
        </w:rPr>
        <w:t>The two finalised cases with commitments illustrate the importance of the FSR in maintaining the level playing field and signal to acquirers that while the Union remains open to investment, such investments</w:t>
      </w:r>
      <w:r w:rsidR="00DB272F">
        <w:rPr>
          <w:rStyle w:val="CommentReference"/>
          <w:noProof/>
        </w:rPr>
        <w:t xml:space="preserve"> </w:t>
      </w:r>
      <w:r w:rsidR="00DB272F">
        <w:rPr>
          <w:noProof/>
          <w:lang w:val="en-IE"/>
        </w:rPr>
        <w:t>will be scrutinised for the presence of foreign subsidies to ensure they are not distorting the internal market.</w:t>
      </w:r>
    </w:p>
    <w:p w14:paraId="1A3DE47F" w14:textId="73345127" w:rsidR="001E7AE9" w:rsidRPr="0098583A" w:rsidRDefault="001E7AE9" w:rsidP="0098583A">
      <w:pPr>
        <w:rPr>
          <w:noProof/>
          <w:lang w:val="en-IE"/>
        </w:rPr>
      </w:pPr>
      <w:r w:rsidRPr="0098583A">
        <w:rPr>
          <w:noProof/>
          <w:lang w:val="en-IE"/>
        </w:rPr>
        <w:t>Stakeholders</w:t>
      </w:r>
      <w:r w:rsidR="0098583A" w:rsidRPr="0098583A">
        <w:rPr>
          <w:noProof/>
          <w:lang w:val="en-IE"/>
        </w:rPr>
        <w:t xml:space="preserve"> consider </w:t>
      </w:r>
      <w:r w:rsidRPr="0098583A">
        <w:rPr>
          <w:noProof/>
          <w:lang w:val="en-IE"/>
        </w:rPr>
        <w:t>the EU-wide turnover threshold as a clear and appropriate measure for identifying the relevant transactions. They also welcomed the FSR’s approach to joint ventures, where turnover is calculated based on the turnover of the joint venture itself rather than those of its parent companies</w:t>
      </w:r>
      <w:r w:rsidR="00AD63A7" w:rsidRPr="00AD63A7">
        <w:rPr>
          <w:noProof/>
          <w:lang w:val="en-IE"/>
        </w:rPr>
        <w:t> (</w:t>
      </w:r>
      <w:r w:rsidR="00AD63A7">
        <w:rPr>
          <w:rStyle w:val="FootnoteReference"/>
          <w:noProof/>
          <w:lang w:val="en-IE"/>
        </w:rPr>
        <w:footnoteReference w:id="24"/>
      </w:r>
      <w:r w:rsidR="00AD63A7">
        <w:rPr>
          <w:noProof/>
          <w:lang w:val="en-IE"/>
        </w:rPr>
        <w:t>)</w:t>
      </w:r>
      <w:r w:rsidRPr="0098583A">
        <w:rPr>
          <w:noProof/>
          <w:lang w:val="en-IE"/>
        </w:rPr>
        <w:t xml:space="preserve">, </w:t>
      </w:r>
      <w:r w:rsidR="00F14ECF" w:rsidRPr="0098583A">
        <w:rPr>
          <w:noProof/>
          <w:lang w:val="en-IE"/>
        </w:rPr>
        <w:t xml:space="preserve">which has led to </w:t>
      </w:r>
      <w:r w:rsidR="00931F81">
        <w:rPr>
          <w:noProof/>
          <w:lang w:val="en-IE"/>
        </w:rPr>
        <w:t xml:space="preserve">a reduction </w:t>
      </w:r>
      <w:r w:rsidR="00A210FC">
        <w:rPr>
          <w:noProof/>
          <w:lang w:val="en-IE"/>
        </w:rPr>
        <w:t>of notifiable transactions</w:t>
      </w:r>
      <w:r w:rsidR="00F14ECF" w:rsidRPr="0098583A">
        <w:rPr>
          <w:noProof/>
          <w:lang w:val="en-IE"/>
        </w:rPr>
        <w:t xml:space="preserve"> compared </w:t>
      </w:r>
      <w:r w:rsidR="00931F81">
        <w:rPr>
          <w:noProof/>
          <w:lang w:val="en-IE"/>
        </w:rPr>
        <w:t>with</w:t>
      </w:r>
      <w:r w:rsidR="00931F81" w:rsidRPr="0098583A">
        <w:rPr>
          <w:noProof/>
          <w:lang w:val="en-IE"/>
        </w:rPr>
        <w:t xml:space="preserve"> </w:t>
      </w:r>
      <w:r w:rsidR="00F14ECF" w:rsidRPr="0098583A">
        <w:rPr>
          <w:noProof/>
          <w:lang w:val="en-IE"/>
        </w:rPr>
        <w:t>the EUMR.</w:t>
      </w:r>
    </w:p>
    <w:p w14:paraId="15505514" w14:textId="06AF4A2F" w:rsidR="001E7AE9" w:rsidRPr="00D1183D" w:rsidRDefault="001E7AE9" w:rsidP="001E7AE9">
      <w:pPr>
        <w:rPr>
          <w:noProof/>
        </w:rPr>
      </w:pPr>
      <w:r w:rsidRPr="00FB4F58">
        <w:rPr>
          <w:noProof/>
          <w:lang w:val="en-IE"/>
        </w:rPr>
        <w:t>Early enforcement</w:t>
      </w:r>
      <w:r>
        <w:rPr>
          <w:noProof/>
          <w:lang w:val="en-IE"/>
        </w:rPr>
        <w:t xml:space="preserve"> </w:t>
      </w:r>
      <w:r w:rsidRPr="00FB4F58">
        <w:rPr>
          <w:noProof/>
          <w:lang w:val="en-IE"/>
        </w:rPr>
        <w:t>highlights the value of pre-notification engagement</w:t>
      </w:r>
      <w:r>
        <w:rPr>
          <w:noProof/>
          <w:lang w:val="en-IE"/>
        </w:rPr>
        <w:t>s</w:t>
      </w:r>
      <w:r w:rsidRPr="00FB4F58">
        <w:rPr>
          <w:noProof/>
          <w:lang w:val="en-IE"/>
        </w:rPr>
        <w:t xml:space="preserve"> with the Commission</w:t>
      </w:r>
      <w:r w:rsidR="00C83E7E">
        <w:rPr>
          <w:noProof/>
          <w:lang w:val="en-IE"/>
        </w:rPr>
        <w:t xml:space="preserve"> case teams</w:t>
      </w:r>
      <w:r w:rsidRPr="00FB4F58">
        <w:rPr>
          <w:noProof/>
          <w:lang w:val="en-IE"/>
        </w:rPr>
        <w:t>, which notifying parties widely use and support. Stakeholders have commended case teams for their responsiveness, improving clarity and efficiency</w:t>
      </w:r>
      <w:r>
        <w:rPr>
          <w:noProof/>
          <w:lang w:val="en-IE"/>
        </w:rPr>
        <w:t xml:space="preserve"> in the notification process. </w:t>
      </w:r>
      <w:r w:rsidRPr="00FB4F58">
        <w:rPr>
          <w:noProof/>
          <w:lang w:val="en-IE"/>
        </w:rPr>
        <w:t xml:space="preserve">Stakeholders also welcomed </w:t>
      </w:r>
      <w:r>
        <w:rPr>
          <w:noProof/>
          <w:lang w:val="en-IE"/>
        </w:rPr>
        <w:t xml:space="preserve">the </w:t>
      </w:r>
      <w:r w:rsidRPr="00FB4F58">
        <w:rPr>
          <w:noProof/>
          <w:lang w:val="en-IE"/>
        </w:rPr>
        <w:t>exceptions</w:t>
      </w:r>
      <w:r>
        <w:rPr>
          <w:noProof/>
          <w:lang w:val="en-IE"/>
        </w:rPr>
        <w:t xml:space="preserve"> </w:t>
      </w:r>
      <w:r w:rsidR="00DC72BB">
        <w:rPr>
          <w:noProof/>
          <w:lang w:val="en-IE"/>
        </w:rPr>
        <w:t xml:space="preserve">available </w:t>
      </w:r>
      <w:r>
        <w:rPr>
          <w:noProof/>
          <w:lang w:val="en-IE"/>
        </w:rPr>
        <w:t>from the reporting obligations</w:t>
      </w:r>
      <w:r w:rsidRPr="00FB4F58">
        <w:rPr>
          <w:noProof/>
          <w:lang w:val="en-IE"/>
        </w:rPr>
        <w:t xml:space="preserve"> </w:t>
      </w:r>
      <w:r>
        <w:rPr>
          <w:noProof/>
          <w:lang w:val="en-IE"/>
        </w:rPr>
        <w:t xml:space="preserve">under the </w:t>
      </w:r>
      <w:r w:rsidR="00970060">
        <w:rPr>
          <w:noProof/>
          <w:lang w:val="en-IE"/>
        </w:rPr>
        <w:t xml:space="preserve">FSIR </w:t>
      </w:r>
      <w:r w:rsidRPr="00FB4F58">
        <w:rPr>
          <w:noProof/>
          <w:lang w:val="en-IE"/>
        </w:rPr>
        <w:t xml:space="preserve">and </w:t>
      </w:r>
      <w:r>
        <w:rPr>
          <w:noProof/>
          <w:lang w:val="en-IE"/>
        </w:rPr>
        <w:t xml:space="preserve">the possibility </w:t>
      </w:r>
      <w:r w:rsidR="00DC72BB">
        <w:rPr>
          <w:noProof/>
          <w:lang w:val="en-IE"/>
        </w:rPr>
        <w:t xml:space="preserve">of </w:t>
      </w:r>
      <w:r>
        <w:rPr>
          <w:noProof/>
          <w:lang w:val="en-IE"/>
        </w:rPr>
        <w:t>request</w:t>
      </w:r>
      <w:r w:rsidR="00DC72BB">
        <w:rPr>
          <w:noProof/>
          <w:lang w:val="en-IE"/>
        </w:rPr>
        <w:t>ing</w:t>
      </w:r>
      <w:r>
        <w:rPr>
          <w:noProof/>
          <w:lang w:val="en-IE"/>
        </w:rPr>
        <w:t xml:space="preserve"> </w:t>
      </w:r>
      <w:r w:rsidRPr="00FB4F58">
        <w:rPr>
          <w:noProof/>
          <w:lang w:val="en-IE"/>
        </w:rPr>
        <w:t xml:space="preserve">waivers </w:t>
      </w:r>
      <w:r>
        <w:rPr>
          <w:noProof/>
          <w:lang w:val="en-IE"/>
        </w:rPr>
        <w:t>for certain information</w:t>
      </w:r>
      <w:r w:rsidR="00970060">
        <w:rPr>
          <w:noProof/>
          <w:lang w:val="en-IE"/>
        </w:rPr>
        <w:t xml:space="preserve"> </w:t>
      </w:r>
      <w:r w:rsidR="000D04D7">
        <w:rPr>
          <w:noProof/>
          <w:lang w:val="en-IE"/>
        </w:rPr>
        <w:t xml:space="preserve">from </w:t>
      </w:r>
      <w:r w:rsidR="00970060">
        <w:rPr>
          <w:noProof/>
          <w:lang w:val="en-IE"/>
        </w:rPr>
        <w:t>the Commission</w:t>
      </w:r>
      <w:r w:rsidRPr="00FB4F58">
        <w:rPr>
          <w:noProof/>
          <w:lang w:val="en-IE"/>
        </w:rPr>
        <w:t xml:space="preserve">. </w:t>
      </w:r>
    </w:p>
    <w:p w14:paraId="45DC9B02" w14:textId="7F1506AA" w:rsidR="001E7AE9" w:rsidRDefault="001E7AE9" w:rsidP="001E7AE9">
      <w:pPr>
        <w:rPr>
          <w:noProof/>
        </w:rPr>
      </w:pPr>
      <w:r>
        <w:rPr>
          <w:noProof/>
          <w:lang w:val="en-IE"/>
        </w:rPr>
        <w:t>The results of the review also highlight two</w:t>
      </w:r>
      <w:r w:rsidRPr="00D1183D">
        <w:rPr>
          <w:noProof/>
        </w:rPr>
        <w:t xml:space="preserve"> main </w:t>
      </w:r>
      <w:r>
        <w:rPr>
          <w:noProof/>
        </w:rPr>
        <w:t>concerns</w:t>
      </w:r>
      <w:r w:rsidR="00970060">
        <w:rPr>
          <w:noProof/>
        </w:rPr>
        <w:t xml:space="preserve"> for stakeholders</w:t>
      </w:r>
      <w:r>
        <w:rPr>
          <w:noProof/>
        </w:rPr>
        <w:t xml:space="preserve">. The first </w:t>
      </w:r>
      <w:r w:rsidR="00970060">
        <w:rPr>
          <w:noProof/>
        </w:rPr>
        <w:t xml:space="preserve">relates to FFC data collection that undertakings need to undertake </w:t>
      </w:r>
      <w:r w:rsidR="00DC72BB">
        <w:rPr>
          <w:noProof/>
        </w:rPr>
        <w:t>before a</w:t>
      </w:r>
      <w:r w:rsidR="00970060">
        <w:rPr>
          <w:noProof/>
        </w:rPr>
        <w:t xml:space="preserve"> notification, </w:t>
      </w:r>
      <w:r>
        <w:rPr>
          <w:noProof/>
        </w:rPr>
        <w:t xml:space="preserve">which is seen as </w:t>
      </w:r>
      <w:r w:rsidRPr="00D1183D">
        <w:rPr>
          <w:noProof/>
        </w:rPr>
        <w:t>resource intensive</w:t>
      </w:r>
      <w:r>
        <w:rPr>
          <w:noProof/>
        </w:rPr>
        <w:t xml:space="preserve"> by stakeholders and capturing information that</w:t>
      </w:r>
      <w:r w:rsidR="00F14ECF">
        <w:rPr>
          <w:noProof/>
        </w:rPr>
        <w:t xml:space="preserve">, in their view, </w:t>
      </w:r>
      <w:r>
        <w:rPr>
          <w:noProof/>
        </w:rPr>
        <w:t xml:space="preserve">may not be relevant to identifying a risk of distortion. The second concern relates to </w:t>
      </w:r>
      <w:r w:rsidR="00C83E7E">
        <w:rPr>
          <w:noProof/>
        </w:rPr>
        <w:t>a</w:t>
      </w:r>
      <w:r>
        <w:rPr>
          <w:noProof/>
        </w:rPr>
        <w:t xml:space="preserve"> perceived </w:t>
      </w:r>
      <w:r w:rsidRPr="00D1183D">
        <w:rPr>
          <w:noProof/>
        </w:rPr>
        <w:t xml:space="preserve">uncertainty </w:t>
      </w:r>
      <w:r w:rsidR="007B4115">
        <w:rPr>
          <w:noProof/>
        </w:rPr>
        <w:t xml:space="preserve">about </w:t>
      </w:r>
      <w:r>
        <w:rPr>
          <w:noProof/>
        </w:rPr>
        <w:t xml:space="preserve">the Commission’s call-in powers, which is seen as potentially </w:t>
      </w:r>
      <w:r w:rsidRPr="005106EB">
        <w:rPr>
          <w:noProof/>
          <w:lang w:val="en-IE"/>
        </w:rPr>
        <w:t>disrupt</w:t>
      </w:r>
      <w:r>
        <w:rPr>
          <w:noProof/>
          <w:lang w:val="en-IE"/>
        </w:rPr>
        <w:t>ive for</w:t>
      </w:r>
      <w:r w:rsidRPr="005106EB">
        <w:rPr>
          <w:noProof/>
          <w:lang w:val="en-IE"/>
        </w:rPr>
        <w:t xml:space="preserve"> transaction planning and risk assessments, </w:t>
      </w:r>
      <w:r>
        <w:rPr>
          <w:noProof/>
          <w:lang w:val="en-IE"/>
        </w:rPr>
        <w:t xml:space="preserve">notwithstanding the legitimate goal of the call-in power to capture below-threshold concentrations </w:t>
      </w:r>
      <w:r w:rsidR="00186005">
        <w:rPr>
          <w:noProof/>
          <w:lang w:val="en-IE"/>
        </w:rPr>
        <w:t>that could involve</w:t>
      </w:r>
      <w:r>
        <w:rPr>
          <w:noProof/>
          <w:lang w:val="en-IE"/>
        </w:rPr>
        <w:t xml:space="preserve"> distortive foreign subsidies</w:t>
      </w:r>
      <w:r w:rsidRPr="005106EB">
        <w:rPr>
          <w:noProof/>
          <w:lang w:val="en-IE"/>
        </w:rPr>
        <w:t>.</w:t>
      </w:r>
    </w:p>
    <w:p w14:paraId="57234A57" w14:textId="10E67889" w:rsidR="003B1B95" w:rsidRDefault="001E7AE9" w:rsidP="00C31F8E">
      <w:pPr>
        <w:pStyle w:val="Heading3"/>
        <w:rPr>
          <w:noProof/>
        </w:rPr>
      </w:pPr>
      <w:r>
        <w:rPr>
          <w:noProof/>
        </w:rPr>
        <w:t>FSR s</w:t>
      </w:r>
      <w:r w:rsidR="00E3106A" w:rsidRPr="00EE757A">
        <w:rPr>
          <w:noProof/>
        </w:rPr>
        <w:t xml:space="preserve">ubmissions in </w:t>
      </w:r>
      <w:r w:rsidR="007B3463" w:rsidRPr="00EE757A">
        <w:rPr>
          <w:noProof/>
        </w:rPr>
        <w:t>public procurement procedures</w:t>
      </w:r>
      <w:bookmarkEnd w:id="13"/>
      <w:r w:rsidR="007B3463" w:rsidRPr="00EE757A">
        <w:rPr>
          <w:noProof/>
        </w:rPr>
        <w:t xml:space="preserve"> </w:t>
      </w:r>
      <w:bookmarkEnd w:id="14"/>
    </w:p>
    <w:p w14:paraId="3D8F50FC" w14:textId="77777777" w:rsidR="00AA34DB" w:rsidRPr="00AA34DB" w:rsidRDefault="00AA34DB" w:rsidP="00AA34DB">
      <w:pPr>
        <w:pStyle w:val="Heading4"/>
        <w:rPr>
          <w:noProof/>
          <w:lang w:val="en-IE"/>
        </w:rPr>
      </w:pPr>
      <w:r>
        <w:rPr>
          <w:noProof/>
          <w:lang w:val="en-IE"/>
        </w:rPr>
        <w:t>Information on cases</w:t>
      </w:r>
    </w:p>
    <w:p w14:paraId="70EE3ED2" w14:textId="394177E1" w:rsidR="002D2FF4" w:rsidRPr="002D2FF4" w:rsidRDefault="002D2FF4" w:rsidP="002D2FF4">
      <w:pPr>
        <w:rPr>
          <w:noProof/>
        </w:rPr>
      </w:pPr>
      <w:r>
        <w:rPr>
          <w:noProof/>
        </w:rPr>
        <w:t xml:space="preserve">Under Chapter 4 FSR, economic operators are required </w:t>
      </w:r>
      <w:r w:rsidRPr="002D2FF4">
        <w:rPr>
          <w:noProof/>
        </w:rPr>
        <w:t xml:space="preserve">to notify or declare FFCs when participating in large public tenders, specifically where the estimated contract value exceeds </w:t>
      </w:r>
      <w:r w:rsidR="000D04D7" w:rsidRPr="002D2FF4">
        <w:rPr>
          <w:noProof/>
        </w:rPr>
        <w:t>EUR</w:t>
      </w:r>
      <w:r w:rsidR="000D04D7">
        <w:rPr>
          <w:noProof/>
        </w:rPr>
        <w:t> </w:t>
      </w:r>
      <w:r w:rsidRPr="002D2FF4">
        <w:rPr>
          <w:noProof/>
        </w:rPr>
        <w:t xml:space="preserve">250 million </w:t>
      </w:r>
      <w:r w:rsidR="00C36A47">
        <w:rPr>
          <w:noProof/>
        </w:rPr>
        <w:t xml:space="preserve">or 125 million for lot-based public procurements </w:t>
      </w:r>
      <w:r w:rsidRPr="002D2FF4">
        <w:rPr>
          <w:noProof/>
        </w:rPr>
        <w:t xml:space="preserve">and the economic operator has received aggregate FFCs of at least </w:t>
      </w:r>
      <w:r w:rsidR="000D04D7" w:rsidRPr="002D2FF4">
        <w:rPr>
          <w:noProof/>
        </w:rPr>
        <w:t>EUR</w:t>
      </w:r>
      <w:r w:rsidR="000D04D7">
        <w:rPr>
          <w:noProof/>
        </w:rPr>
        <w:t> </w:t>
      </w:r>
      <w:r w:rsidRPr="002D2FF4">
        <w:rPr>
          <w:noProof/>
        </w:rPr>
        <w:t>4 million per third country in the preceding three years.</w:t>
      </w:r>
    </w:p>
    <w:p w14:paraId="3F00D601" w14:textId="2CA6150A" w:rsidR="00A14B88" w:rsidRPr="004A7774" w:rsidRDefault="002D2FF4" w:rsidP="00C31F8E">
      <w:pPr>
        <w:spacing w:after="240"/>
        <w:rPr>
          <w:noProof/>
          <w:color w:val="000000"/>
          <w:lang w:val="en-US" w:eastAsia="en-IE"/>
        </w:rPr>
      </w:pPr>
      <w:r>
        <w:rPr>
          <w:noProof/>
          <w:color w:val="000000"/>
          <w:lang w:eastAsia="en-IE"/>
        </w:rPr>
        <w:t>Since the start of the notification obligation on</w:t>
      </w:r>
      <w:r w:rsidR="00C31F8E" w:rsidRPr="00B37B09">
        <w:rPr>
          <w:noProof/>
          <w:color w:val="000000"/>
          <w:lang w:eastAsia="en-IE"/>
        </w:rPr>
        <w:t xml:space="preserve"> 13</w:t>
      </w:r>
      <w:r w:rsidR="00B26EE7">
        <w:rPr>
          <w:noProof/>
          <w:color w:val="000000"/>
          <w:lang w:eastAsia="en-IE"/>
        </w:rPr>
        <w:t> </w:t>
      </w:r>
      <w:r w:rsidR="00C31F8E" w:rsidRPr="00B37B09">
        <w:rPr>
          <w:noProof/>
          <w:color w:val="000000"/>
          <w:lang w:eastAsia="en-IE"/>
        </w:rPr>
        <w:t>October 2023</w:t>
      </w:r>
      <w:r>
        <w:rPr>
          <w:noProof/>
          <w:color w:val="000000"/>
          <w:lang w:eastAsia="en-IE"/>
        </w:rPr>
        <w:t xml:space="preserve"> </w:t>
      </w:r>
      <w:r w:rsidR="000D04D7">
        <w:rPr>
          <w:noProof/>
          <w:color w:val="000000"/>
          <w:lang w:eastAsia="en-IE"/>
        </w:rPr>
        <w:t xml:space="preserve">and </w:t>
      </w:r>
      <w:r w:rsidR="00A30C9B">
        <w:rPr>
          <w:noProof/>
          <w:color w:val="000000"/>
          <w:lang w:eastAsia="en-IE"/>
        </w:rPr>
        <w:t>until</w:t>
      </w:r>
      <w:r>
        <w:rPr>
          <w:noProof/>
          <w:color w:val="000000"/>
          <w:lang w:eastAsia="en-IE"/>
        </w:rPr>
        <w:t xml:space="preserve"> </w:t>
      </w:r>
      <w:r w:rsidR="00C36A47">
        <w:rPr>
          <w:noProof/>
          <w:color w:val="000000"/>
          <w:lang w:eastAsia="en-IE"/>
        </w:rPr>
        <w:t>31</w:t>
      </w:r>
      <w:r w:rsidR="00B26EE7">
        <w:rPr>
          <w:noProof/>
          <w:color w:val="000000"/>
          <w:lang w:eastAsia="en-IE"/>
        </w:rPr>
        <w:t> </w:t>
      </w:r>
      <w:r w:rsidR="00C36A47">
        <w:rPr>
          <w:noProof/>
          <w:color w:val="000000"/>
          <w:lang w:eastAsia="en-IE"/>
        </w:rPr>
        <w:t>May</w:t>
      </w:r>
      <w:r w:rsidR="00C31F8E" w:rsidRPr="004A7774">
        <w:rPr>
          <w:noProof/>
          <w:color w:val="000000"/>
          <w:lang w:eastAsia="en-IE"/>
        </w:rPr>
        <w:t xml:space="preserve"> 2026</w:t>
      </w:r>
      <w:r w:rsidR="00C31F8E" w:rsidRPr="00B37B09">
        <w:rPr>
          <w:noProof/>
          <w:color w:val="000000"/>
          <w:lang w:eastAsia="en-IE"/>
        </w:rPr>
        <w:t xml:space="preserve">, the Commission received </w:t>
      </w:r>
      <w:r w:rsidR="00DD20D9">
        <w:rPr>
          <w:noProof/>
          <w:color w:val="000000"/>
          <w:lang w:eastAsia="en-IE"/>
        </w:rPr>
        <w:t xml:space="preserve">5 150 </w:t>
      </w:r>
      <w:r w:rsidR="00A14B88" w:rsidRPr="00A14B88">
        <w:rPr>
          <w:noProof/>
          <w:color w:val="000000"/>
          <w:lang w:eastAsia="en-IE"/>
        </w:rPr>
        <w:t>submissions from economic operators</w:t>
      </w:r>
      <w:r w:rsidR="000D04D7">
        <w:rPr>
          <w:noProof/>
          <w:color w:val="000000"/>
          <w:lang w:eastAsia="en-IE"/>
        </w:rPr>
        <w:t xml:space="preserve"> </w:t>
      </w:r>
      <w:r w:rsidR="00A14B88" w:rsidRPr="00A14B88">
        <w:rPr>
          <w:noProof/>
          <w:color w:val="000000"/>
          <w:lang w:eastAsia="en-IE"/>
        </w:rPr>
        <w:t>across</w:t>
      </w:r>
      <w:r w:rsidR="000D04D7">
        <w:rPr>
          <w:noProof/>
          <w:color w:val="000000"/>
          <w:lang w:eastAsia="en-IE"/>
        </w:rPr>
        <w:t xml:space="preserve"> </w:t>
      </w:r>
      <w:r w:rsidR="00DD20D9">
        <w:rPr>
          <w:noProof/>
          <w:color w:val="000000"/>
          <w:lang w:eastAsia="en-IE"/>
        </w:rPr>
        <w:t>863</w:t>
      </w:r>
      <w:r w:rsidR="00A14B88" w:rsidRPr="00A14B88">
        <w:rPr>
          <w:noProof/>
          <w:color w:val="000000"/>
          <w:lang w:eastAsia="en-IE"/>
        </w:rPr>
        <w:t xml:space="preserve"> public procurement procedures</w:t>
      </w:r>
      <w:r w:rsidR="00C61F79">
        <w:rPr>
          <w:noProof/>
          <w:color w:val="000000"/>
          <w:lang w:eastAsia="en-IE"/>
        </w:rPr>
        <w:t xml:space="preserve">, including </w:t>
      </w:r>
      <w:r w:rsidR="00DD20D9">
        <w:rPr>
          <w:noProof/>
          <w:color w:val="000000"/>
          <w:lang w:eastAsia="en-IE"/>
        </w:rPr>
        <w:t xml:space="preserve">4 293 </w:t>
      </w:r>
      <w:r w:rsidR="00C61F79">
        <w:rPr>
          <w:noProof/>
          <w:color w:val="000000"/>
          <w:lang w:eastAsia="en-IE"/>
        </w:rPr>
        <w:t xml:space="preserve">declarations, </w:t>
      </w:r>
      <w:r w:rsidR="00DD20D9">
        <w:rPr>
          <w:noProof/>
          <w:color w:val="000000"/>
          <w:lang w:eastAsia="en-IE"/>
        </w:rPr>
        <w:t xml:space="preserve">733 </w:t>
      </w:r>
      <w:r w:rsidR="00C61F79">
        <w:rPr>
          <w:noProof/>
          <w:color w:val="000000"/>
          <w:lang w:eastAsia="en-IE"/>
        </w:rPr>
        <w:t xml:space="preserve">notifications </w:t>
      </w:r>
      <w:r w:rsidR="00C61F79" w:rsidRPr="0062113D">
        <w:rPr>
          <w:noProof/>
          <w:color w:val="000000"/>
          <w:lang w:eastAsia="en-IE"/>
        </w:rPr>
        <w:t xml:space="preserve">and </w:t>
      </w:r>
      <w:r w:rsidR="009D5BBA" w:rsidRPr="0062113D">
        <w:rPr>
          <w:noProof/>
          <w:color w:val="000000"/>
          <w:lang w:eastAsia="en-IE"/>
        </w:rPr>
        <w:t>1</w:t>
      </w:r>
      <w:r w:rsidR="00DD20D9" w:rsidRPr="0062113D">
        <w:rPr>
          <w:noProof/>
          <w:color w:val="000000"/>
          <w:lang w:eastAsia="en-IE"/>
        </w:rPr>
        <w:t>24</w:t>
      </w:r>
      <w:r w:rsidR="009D5BBA">
        <w:rPr>
          <w:noProof/>
          <w:color w:val="000000"/>
          <w:lang w:eastAsia="en-IE"/>
        </w:rPr>
        <w:t xml:space="preserve"> </w:t>
      </w:r>
      <w:r w:rsidR="00C61F79">
        <w:rPr>
          <w:noProof/>
          <w:color w:val="000000"/>
          <w:lang w:eastAsia="en-IE"/>
        </w:rPr>
        <w:t>pre-notifications</w:t>
      </w:r>
      <w:r w:rsidR="0022619F">
        <w:rPr>
          <w:noProof/>
          <w:color w:val="000000"/>
          <w:lang w:eastAsia="en-IE"/>
        </w:rPr>
        <w:t>.</w:t>
      </w:r>
      <w:r w:rsidR="00052FCB">
        <w:rPr>
          <w:noProof/>
          <w:color w:val="000000"/>
          <w:lang w:eastAsia="en-IE"/>
        </w:rPr>
        <w:t xml:space="preserve"> </w:t>
      </w:r>
      <w:r w:rsidR="0022619F">
        <w:rPr>
          <w:noProof/>
          <w:color w:val="000000"/>
          <w:lang w:eastAsia="en-IE"/>
        </w:rPr>
        <w:t>Of these cases, the Commission</w:t>
      </w:r>
      <w:r w:rsidR="00A14B88" w:rsidRPr="00A14B88">
        <w:rPr>
          <w:noProof/>
          <w:color w:val="000000"/>
          <w:lang w:eastAsia="en-IE"/>
        </w:rPr>
        <w:t xml:space="preserve"> opened four in-depth investigations, one of which </w:t>
      </w:r>
      <w:r w:rsidR="0022619F">
        <w:rPr>
          <w:noProof/>
          <w:color w:val="000000"/>
          <w:lang w:eastAsia="en-IE"/>
        </w:rPr>
        <w:t>resulted</w:t>
      </w:r>
      <w:r w:rsidR="00A14B88" w:rsidRPr="00A14B88">
        <w:rPr>
          <w:noProof/>
          <w:color w:val="000000"/>
          <w:lang w:eastAsia="en-IE"/>
        </w:rPr>
        <w:t xml:space="preserve"> to a final decision with commitments, while three </w:t>
      </w:r>
      <w:r w:rsidR="007B4BCF">
        <w:rPr>
          <w:noProof/>
          <w:color w:val="000000"/>
          <w:lang w:eastAsia="en-IE"/>
        </w:rPr>
        <w:t xml:space="preserve">cases were </w:t>
      </w:r>
      <w:r w:rsidR="00A14B88" w:rsidRPr="00A14B88">
        <w:rPr>
          <w:noProof/>
          <w:color w:val="000000"/>
          <w:lang w:eastAsia="en-IE"/>
        </w:rPr>
        <w:t>closed following the withdrawal of the economic</w:t>
      </w:r>
      <w:r w:rsidR="000D04D7">
        <w:rPr>
          <w:noProof/>
          <w:color w:val="000000"/>
          <w:lang w:eastAsia="en-IE"/>
        </w:rPr>
        <w:t xml:space="preserve"> </w:t>
      </w:r>
      <w:r w:rsidR="00A14B88" w:rsidRPr="00A14B88">
        <w:rPr>
          <w:noProof/>
          <w:color w:val="000000"/>
          <w:lang w:eastAsia="en-IE"/>
        </w:rPr>
        <w:t xml:space="preserve">operators from the public procurement </w:t>
      </w:r>
      <w:r w:rsidR="00875732" w:rsidRPr="00A14B88">
        <w:rPr>
          <w:noProof/>
          <w:color w:val="000000"/>
          <w:lang w:eastAsia="en-IE"/>
        </w:rPr>
        <w:t>procedure</w:t>
      </w:r>
      <w:r w:rsidR="00875732">
        <w:rPr>
          <w:noProof/>
          <w:color w:val="000000"/>
          <w:lang w:eastAsia="en-IE"/>
        </w:rPr>
        <w:t>s.</w:t>
      </w:r>
      <w:r w:rsidR="00A14B88" w:rsidRPr="00A14B88">
        <w:rPr>
          <w:noProof/>
          <w:color w:val="000000"/>
          <w:lang w:eastAsia="en-IE"/>
        </w:rPr>
        <w:t xml:space="preserve"> </w:t>
      </w:r>
    </w:p>
    <w:p w14:paraId="42C17C1B" w14:textId="1F182138" w:rsidR="002D2FF4" w:rsidRPr="002D2FF4" w:rsidRDefault="00C31F8E" w:rsidP="00260174">
      <w:pPr>
        <w:pStyle w:val="ListParagraph"/>
        <w:numPr>
          <w:ilvl w:val="0"/>
          <w:numId w:val="46"/>
        </w:numPr>
        <w:rPr>
          <w:rFonts w:eastAsiaTheme="minorEastAsia"/>
          <w:noProof/>
          <w:szCs w:val="24"/>
          <w:lang w:eastAsia="en-IE"/>
        </w:rPr>
      </w:pPr>
      <w:bookmarkStart w:id="15" w:name="_Toc228286485"/>
      <w:r w:rsidRPr="002D2FF4">
        <w:rPr>
          <w:b/>
          <w:bCs/>
          <w:noProof/>
        </w:rPr>
        <w:t>Case FSP.100147 – Supply of railway rolling stock in Bulgaria</w:t>
      </w:r>
      <w:bookmarkEnd w:id="15"/>
      <w:r w:rsidR="002D2FF4">
        <w:rPr>
          <w:noProof/>
        </w:rPr>
        <w:t xml:space="preserve"> </w:t>
      </w:r>
      <w:r w:rsidR="007B4BCF">
        <w:rPr>
          <w:noProof/>
        </w:rPr>
        <w:t>–</w:t>
      </w:r>
      <w:r w:rsidR="002D2FF4">
        <w:rPr>
          <w:noProof/>
        </w:rPr>
        <w:t xml:space="preserve"> </w:t>
      </w:r>
      <w:r w:rsidR="00000C63" w:rsidRPr="002D2FF4">
        <w:rPr>
          <w:rFonts w:eastAsiaTheme="minorEastAsia"/>
          <w:noProof/>
          <w:lang w:eastAsia="en-IE"/>
        </w:rPr>
        <w:t>T</w:t>
      </w:r>
      <w:r w:rsidRPr="002D2FF4">
        <w:rPr>
          <w:rFonts w:eastAsiaTheme="minorEastAsia"/>
          <w:noProof/>
          <w:lang w:eastAsia="en-IE"/>
        </w:rPr>
        <w:t>he Commission opened an in-depth investigation on 16</w:t>
      </w:r>
      <w:r w:rsidR="00B26EE7">
        <w:rPr>
          <w:rFonts w:eastAsiaTheme="minorEastAsia"/>
          <w:noProof/>
          <w:lang w:eastAsia="en-IE"/>
        </w:rPr>
        <w:t> </w:t>
      </w:r>
      <w:r w:rsidRPr="002D2FF4">
        <w:rPr>
          <w:rFonts w:eastAsiaTheme="minorEastAsia"/>
          <w:noProof/>
          <w:lang w:eastAsia="en-IE"/>
        </w:rPr>
        <w:t xml:space="preserve">February 2024 to </w:t>
      </w:r>
      <w:r w:rsidR="002D2FF4" w:rsidRPr="002D2FF4">
        <w:rPr>
          <w:rFonts w:eastAsiaTheme="minorEastAsia"/>
          <w:noProof/>
          <w:lang w:eastAsia="en-IE"/>
        </w:rPr>
        <w:t>assess if CRRC Qingdao Sifang</w:t>
      </w:r>
      <w:r w:rsidR="007A4576">
        <w:rPr>
          <w:rFonts w:eastAsiaTheme="minorEastAsia"/>
          <w:noProof/>
          <w:lang w:eastAsia="en-IE"/>
        </w:rPr>
        <w:t xml:space="preserve"> part of the CRRC group</w:t>
      </w:r>
      <w:r w:rsidR="002D2FF4" w:rsidRPr="002D2FF4">
        <w:rPr>
          <w:rFonts w:eastAsiaTheme="minorEastAsia"/>
          <w:noProof/>
          <w:lang w:eastAsia="en-IE"/>
        </w:rPr>
        <w:t xml:space="preserve">, a Chinese state-owned enterprise, received foreign subsidies that enabled it to submit an unduly advantageous tender for a Bulgarian railway project. </w:t>
      </w:r>
      <w:r w:rsidR="007B4BCF">
        <w:rPr>
          <w:rFonts w:eastAsiaTheme="minorEastAsia"/>
          <w:noProof/>
          <w:lang w:eastAsia="en-IE"/>
        </w:rPr>
        <w:t>O</w:t>
      </w:r>
      <w:r w:rsidR="007B4BCF" w:rsidRPr="002D2FF4">
        <w:rPr>
          <w:rFonts w:eastAsiaTheme="minorEastAsia"/>
          <w:noProof/>
          <w:szCs w:val="24"/>
          <w:lang w:eastAsia="en-IE"/>
        </w:rPr>
        <w:t>n 26</w:t>
      </w:r>
      <w:r w:rsidR="00B26EE7">
        <w:rPr>
          <w:rFonts w:eastAsiaTheme="minorEastAsia"/>
          <w:noProof/>
          <w:szCs w:val="24"/>
          <w:lang w:eastAsia="en-IE"/>
        </w:rPr>
        <w:t> </w:t>
      </w:r>
      <w:r w:rsidR="007B4BCF" w:rsidRPr="002D2FF4">
        <w:rPr>
          <w:rFonts w:eastAsiaTheme="minorEastAsia"/>
          <w:noProof/>
          <w:szCs w:val="24"/>
          <w:lang w:eastAsia="en-IE"/>
        </w:rPr>
        <w:t>March 2024</w:t>
      </w:r>
      <w:r w:rsidR="007B4BCF">
        <w:rPr>
          <w:rFonts w:eastAsiaTheme="minorEastAsia"/>
          <w:noProof/>
          <w:szCs w:val="24"/>
          <w:lang w:eastAsia="en-IE"/>
        </w:rPr>
        <w:t>,</w:t>
      </w:r>
      <w:r w:rsidR="007B4BCF" w:rsidRPr="002D2FF4">
        <w:rPr>
          <w:rFonts w:eastAsiaTheme="minorEastAsia"/>
          <w:noProof/>
          <w:lang w:eastAsia="en-IE"/>
        </w:rPr>
        <w:t xml:space="preserve"> </w:t>
      </w:r>
      <w:r w:rsidR="007B4BCF">
        <w:rPr>
          <w:rFonts w:eastAsiaTheme="minorEastAsia"/>
          <w:noProof/>
          <w:lang w:eastAsia="en-IE"/>
        </w:rPr>
        <w:t>t</w:t>
      </w:r>
      <w:r w:rsidR="002D2FF4" w:rsidRPr="002D2FF4">
        <w:rPr>
          <w:rFonts w:eastAsiaTheme="minorEastAsia"/>
          <w:noProof/>
          <w:lang w:eastAsia="en-IE"/>
        </w:rPr>
        <w:t xml:space="preserve">he case was closed </w:t>
      </w:r>
      <w:r w:rsidR="002D2FF4" w:rsidRPr="002D2FF4">
        <w:rPr>
          <w:rFonts w:eastAsiaTheme="minorEastAsia"/>
          <w:noProof/>
          <w:szCs w:val="24"/>
          <w:lang w:eastAsia="en-IE"/>
        </w:rPr>
        <w:t xml:space="preserve">without adopting a final decision pursuant to </w:t>
      </w:r>
      <w:r w:rsidR="000449AA" w:rsidRPr="002D2FF4">
        <w:rPr>
          <w:rFonts w:eastAsiaTheme="minorEastAsia"/>
          <w:noProof/>
          <w:szCs w:val="24"/>
          <w:lang w:eastAsia="en-IE"/>
        </w:rPr>
        <w:t>Article</w:t>
      </w:r>
      <w:r w:rsidR="000449AA">
        <w:rPr>
          <w:rFonts w:eastAsiaTheme="minorEastAsia"/>
          <w:noProof/>
          <w:szCs w:val="24"/>
          <w:lang w:eastAsia="en-IE"/>
        </w:rPr>
        <w:t> </w:t>
      </w:r>
      <w:r w:rsidR="002D2FF4" w:rsidRPr="002D2FF4">
        <w:rPr>
          <w:rFonts w:eastAsiaTheme="minorEastAsia"/>
          <w:noProof/>
          <w:szCs w:val="24"/>
          <w:lang w:eastAsia="en-IE"/>
        </w:rPr>
        <w:t xml:space="preserve">31 FSR </w:t>
      </w:r>
      <w:r w:rsidR="002D2FF4" w:rsidRPr="002D2FF4">
        <w:rPr>
          <w:rFonts w:eastAsiaTheme="minorEastAsia"/>
          <w:noProof/>
          <w:lang w:eastAsia="en-IE"/>
        </w:rPr>
        <w:t>after the economic operator withdrew from the procurement procedure.</w:t>
      </w:r>
    </w:p>
    <w:p w14:paraId="7F6F869D" w14:textId="13C2E98F" w:rsidR="002D2FF4" w:rsidRPr="002D2FF4" w:rsidRDefault="002D2FF4" w:rsidP="002D2FF4">
      <w:pPr>
        <w:pStyle w:val="ListParagraph"/>
        <w:rPr>
          <w:rFonts w:eastAsiaTheme="minorEastAsia"/>
          <w:noProof/>
          <w:lang w:eastAsia="en-IE"/>
        </w:rPr>
      </w:pPr>
    </w:p>
    <w:p w14:paraId="36AECFEF" w14:textId="2D993C84" w:rsidR="00C31F8E" w:rsidRPr="00576CBB" w:rsidRDefault="00C31F8E" w:rsidP="00260174">
      <w:pPr>
        <w:pStyle w:val="ListParagraph"/>
        <w:numPr>
          <w:ilvl w:val="0"/>
          <w:numId w:val="46"/>
        </w:numPr>
        <w:rPr>
          <w:rFonts w:eastAsiaTheme="minorEastAsia"/>
          <w:noProof/>
          <w:szCs w:val="24"/>
          <w:lang w:eastAsia="en-IE"/>
        </w:rPr>
      </w:pPr>
      <w:bookmarkStart w:id="16" w:name="_Ref227310450"/>
      <w:bookmarkStart w:id="17" w:name="_Toc228286486"/>
      <w:r w:rsidRPr="002D2FF4">
        <w:rPr>
          <w:b/>
          <w:bCs/>
          <w:noProof/>
        </w:rPr>
        <w:t>Cases FSP.100151 and FSP.100154</w:t>
      </w:r>
      <w:r w:rsidRPr="00EB7BFC">
        <w:rPr>
          <w:noProof/>
        </w:rPr>
        <w:t xml:space="preserve"> – </w:t>
      </w:r>
      <w:bookmarkEnd w:id="16"/>
      <w:r w:rsidRPr="002D2FF4">
        <w:rPr>
          <w:b/>
          <w:bCs/>
          <w:noProof/>
        </w:rPr>
        <w:t>Design, construction and operation of a photovoltaic park in Romania</w:t>
      </w:r>
      <w:bookmarkEnd w:id="17"/>
      <w:r w:rsidR="002D2FF4">
        <w:rPr>
          <w:noProof/>
        </w:rPr>
        <w:t xml:space="preserve"> </w:t>
      </w:r>
      <w:r w:rsidR="007B4BCF">
        <w:rPr>
          <w:noProof/>
        </w:rPr>
        <w:t>–</w:t>
      </w:r>
      <w:r w:rsidR="002D2FF4">
        <w:rPr>
          <w:noProof/>
        </w:rPr>
        <w:t xml:space="preserve"> </w:t>
      </w:r>
      <w:r w:rsidR="00000C63" w:rsidRPr="002D2FF4">
        <w:rPr>
          <w:rFonts w:eastAsiaTheme="minorEastAsia"/>
          <w:noProof/>
          <w:lang w:eastAsia="en-IE"/>
        </w:rPr>
        <w:t>T</w:t>
      </w:r>
      <w:r w:rsidRPr="002D2FF4">
        <w:rPr>
          <w:rFonts w:eastAsiaTheme="minorEastAsia"/>
          <w:noProof/>
          <w:lang w:eastAsia="en-IE"/>
        </w:rPr>
        <w:t>he Commission opened two in-depth investigations on 3</w:t>
      </w:r>
      <w:r w:rsidR="00B26EE7">
        <w:rPr>
          <w:rFonts w:eastAsiaTheme="minorEastAsia"/>
          <w:noProof/>
          <w:lang w:eastAsia="en-IE"/>
        </w:rPr>
        <w:t> </w:t>
      </w:r>
      <w:r w:rsidRPr="002D2FF4">
        <w:rPr>
          <w:rFonts w:eastAsiaTheme="minorEastAsia"/>
          <w:noProof/>
          <w:lang w:eastAsia="en-IE"/>
        </w:rPr>
        <w:t xml:space="preserve">April 2025 to assess </w:t>
      </w:r>
      <w:r w:rsidR="00375593">
        <w:rPr>
          <w:rFonts w:eastAsiaTheme="minorEastAsia"/>
          <w:noProof/>
          <w:lang w:eastAsia="en-IE"/>
        </w:rPr>
        <w:t xml:space="preserve">if </w:t>
      </w:r>
      <w:r w:rsidR="00375593" w:rsidRPr="00375593">
        <w:rPr>
          <w:rFonts w:eastAsiaTheme="minorEastAsia"/>
          <w:noProof/>
          <w:lang w:eastAsia="en-IE"/>
        </w:rPr>
        <w:t>(i</w:t>
      </w:r>
      <w:r w:rsidR="000D04D7" w:rsidRPr="00375593">
        <w:rPr>
          <w:rFonts w:eastAsiaTheme="minorEastAsia"/>
          <w:noProof/>
          <w:lang w:eastAsia="en-IE"/>
        </w:rPr>
        <w:t>)</w:t>
      </w:r>
      <w:r w:rsidR="000D04D7">
        <w:rPr>
          <w:rFonts w:eastAsiaTheme="minorEastAsia"/>
          <w:noProof/>
          <w:lang w:eastAsia="en-IE"/>
        </w:rPr>
        <w:t> </w:t>
      </w:r>
      <w:r w:rsidR="00375593" w:rsidRPr="00375593">
        <w:rPr>
          <w:rFonts w:eastAsiaTheme="minorEastAsia"/>
          <w:noProof/>
          <w:lang w:eastAsia="en-IE"/>
        </w:rPr>
        <w:t>Shanghai Electric UK Ltd. and Shanghai Electric Hong Kong International Engineering Company, and (ii</w:t>
      </w:r>
      <w:r w:rsidR="000449AA" w:rsidRPr="00375593">
        <w:rPr>
          <w:rFonts w:eastAsiaTheme="minorEastAsia"/>
          <w:noProof/>
          <w:lang w:eastAsia="en-IE"/>
        </w:rPr>
        <w:t>)</w:t>
      </w:r>
      <w:r w:rsidR="000449AA">
        <w:rPr>
          <w:rFonts w:eastAsiaTheme="minorEastAsia"/>
          <w:noProof/>
          <w:lang w:eastAsia="en-IE"/>
        </w:rPr>
        <w:t> </w:t>
      </w:r>
      <w:r w:rsidR="00375593" w:rsidRPr="00375593">
        <w:rPr>
          <w:rFonts w:eastAsiaTheme="minorEastAsia"/>
          <w:noProof/>
          <w:lang w:eastAsia="en-IE"/>
        </w:rPr>
        <w:t xml:space="preserve">ENEVO Group – LONGi Solar Technologie Consortium </w:t>
      </w:r>
      <w:r w:rsidR="00375593">
        <w:rPr>
          <w:rFonts w:eastAsiaTheme="minorEastAsia"/>
          <w:noProof/>
          <w:lang w:eastAsia="en-IE"/>
        </w:rPr>
        <w:t xml:space="preserve">had received </w:t>
      </w:r>
      <w:r w:rsidRPr="002D2FF4">
        <w:rPr>
          <w:rFonts w:eastAsiaTheme="minorEastAsia"/>
          <w:noProof/>
          <w:lang w:eastAsia="en-IE"/>
        </w:rPr>
        <w:t>potentially distortive subsidies in the open public procurement procedure for the design, construction and operation of a photovoltaic park in Romania</w:t>
      </w:r>
      <w:r w:rsidR="007B4BCF">
        <w:rPr>
          <w:rFonts w:eastAsiaTheme="minorEastAsia"/>
          <w:noProof/>
          <w:lang w:eastAsia="en-IE"/>
        </w:rPr>
        <w:t>.</w:t>
      </w:r>
      <w:r w:rsidRPr="002D2FF4">
        <w:rPr>
          <w:rFonts w:eastAsiaTheme="minorEastAsia"/>
          <w:noProof/>
          <w:lang w:eastAsia="en-IE"/>
        </w:rPr>
        <w:t xml:space="preserve"> </w:t>
      </w:r>
      <w:r w:rsidR="007B4BCF">
        <w:rPr>
          <w:rFonts w:eastAsiaTheme="minorEastAsia"/>
          <w:noProof/>
          <w:lang w:eastAsia="en-IE"/>
        </w:rPr>
        <w:t xml:space="preserve">On </w:t>
      </w:r>
      <w:r w:rsidR="000D04D7">
        <w:rPr>
          <w:rFonts w:eastAsiaTheme="minorEastAsia"/>
          <w:noProof/>
          <w:lang w:eastAsia="en-IE"/>
        </w:rPr>
        <w:t>7 </w:t>
      </w:r>
      <w:r w:rsidR="007B4BCF">
        <w:rPr>
          <w:rFonts w:eastAsiaTheme="minorEastAsia"/>
          <w:noProof/>
          <w:lang w:eastAsia="en-IE"/>
        </w:rPr>
        <w:t>June 2024, b</w:t>
      </w:r>
      <w:r w:rsidR="002D2FF4" w:rsidRPr="002D2FF4">
        <w:rPr>
          <w:rFonts w:eastAsiaTheme="minorEastAsia"/>
          <w:noProof/>
          <w:lang w:eastAsia="en-IE"/>
        </w:rPr>
        <w:t xml:space="preserve">oth cases were closed </w:t>
      </w:r>
      <w:r w:rsidR="002D2FF4" w:rsidRPr="1C7DF2B3">
        <w:rPr>
          <w:rFonts w:eastAsiaTheme="minorEastAsia"/>
          <w:noProof/>
          <w:szCs w:val="24"/>
          <w:lang w:eastAsia="en-IE"/>
        </w:rPr>
        <w:t xml:space="preserve">without adopting a final decision pursuant to </w:t>
      </w:r>
      <w:r w:rsidR="000449AA" w:rsidRPr="1C7DF2B3">
        <w:rPr>
          <w:rFonts w:eastAsiaTheme="minorEastAsia"/>
          <w:noProof/>
          <w:szCs w:val="24"/>
          <w:lang w:eastAsia="en-IE"/>
        </w:rPr>
        <w:t>Article</w:t>
      </w:r>
      <w:r w:rsidR="000449AA">
        <w:rPr>
          <w:rFonts w:eastAsiaTheme="minorEastAsia"/>
          <w:noProof/>
          <w:szCs w:val="24"/>
          <w:lang w:eastAsia="en-IE"/>
        </w:rPr>
        <w:t> </w:t>
      </w:r>
      <w:r w:rsidR="002D2FF4" w:rsidRPr="1C7DF2B3">
        <w:rPr>
          <w:rFonts w:eastAsiaTheme="minorEastAsia"/>
          <w:noProof/>
          <w:szCs w:val="24"/>
          <w:lang w:eastAsia="en-IE"/>
        </w:rPr>
        <w:t>31 FSR</w:t>
      </w:r>
      <w:r w:rsidR="002D2FF4">
        <w:rPr>
          <w:rFonts w:eastAsiaTheme="minorEastAsia"/>
          <w:noProof/>
          <w:lang w:eastAsia="en-IE"/>
        </w:rPr>
        <w:t xml:space="preserve"> </w:t>
      </w:r>
      <w:r w:rsidR="002D2FF4" w:rsidRPr="002D2FF4">
        <w:rPr>
          <w:rFonts w:eastAsiaTheme="minorEastAsia"/>
          <w:noProof/>
          <w:lang w:eastAsia="en-IE"/>
        </w:rPr>
        <w:t>following the withdrawal of the economic operators</w:t>
      </w:r>
      <w:r w:rsidR="002D2FF4">
        <w:rPr>
          <w:rFonts w:eastAsiaTheme="minorEastAsia"/>
          <w:noProof/>
          <w:lang w:eastAsia="en-IE"/>
        </w:rPr>
        <w:t xml:space="preserve"> </w:t>
      </w:r>
      <w:r w:rsidRPr="1C7DF2B3">
        <w:rPr>
          <w:rFonts w:eastAsiaTheme="minorEastAsia"/>
          <w:noProof/>
          <w:szCs w:val="24"/>
          <w:lang w:eastAsia="en-IE"/>
        </w:rPr>
        <w:t xml:space="preserve">from the public procurement procedure. </w:t>
      </w:r>
    </w:p>
    <w:p w14:paraId="7F3DBCEF" w14:textId="7DF59408" w:rsidR="00C31F8E" w:rsidRPr="006E3E54" w:rsidRDefault="00C31F8E" w:rsidP="00260174">
      <w:pPr>
        <w:pStyle w:val="Text1"/>
        <w:numPr>
          <w:ilvl w:val="0"/>
          <w:numId w:val="46"/>
        </w:numPr>
        <w:rPr>
          <w:rFonts w:eastAsiaTheme="minorEastAsia"/>
          <w:noProof/>
          <w:szCs w:val="24"/>
          <w:lang w:eastAsia="en-IE"/>
        </w:rPr>
      </w:pPr>
      <w:bookmarkStart w:id="18" w:name="_Toc228286487"/>
      <w:r w:rsidRPr="002D2FF4">
        <w:rPr>
          <w:b/>
          <w:bCs/>
          <w:noProof/>
        </w:rPr>
        <w:t>Case FSP.103117 – Design and construction, acquisition of vehicles and maintenance services of the Violet Line of the Lisbon Metro in Portugal</w:t>
      </w:r>
      <w:bookmarkEnd w:id="18"/>
      <w:r w:rsidR="002D2FF4" w:rsidRPr="002D2FF4">
        <w:rPr>
          <w:b/>
          <w:bCs/>
          <w:noProof/>
        </w:rPr>
        <w:t xml:space="preserve"> </w:t>
      </w:r>
      <w:r w:rsidR="004A7774">
        <w:rPr>
          <w:b/>
          <w:bCs/>
          <w:noProof/>
        </w:rPr>
        <w:t xml:space="preserve">- </w:t>
      </w:r>
      <w:r w:rsidRPr="002D2FF4">
        <w:rPr>
          <w:rFonts w:eastAsiaTheme="minorEastAsia"/>
          <w:noProof/>
          <w:szCs w:val="24"/>
          <w:lang w:eastAsia="en-IE"/>
        </w:rPr>
        <w:t>The tender of the consortium led by Mota-Engil Engenharia e Construção, S.A. (‘Mota-Engil’) was conditionally cleared on 21</w:t>
      </w:r>
      <w:r w:rsidR="00B26EE7">
        <w:rPr>
          <w:rFonts w:eastAsiaTheme="minorEastAsia"/>
          <w:noProof/>
          <w:szCs w:val="24"/>
          <w:lang w:eastAsia="en-IE"/>
        </w:rPr>
        <w:t> </w:t>
      </w:r>
      <w:r w:rsidRPr="002D2FF4">
        <w:rPr>
          <w:rFonts w:eastAsiaTheme="minorEastAsia"/>
          <w:noProof/>
          <w:szCs w:val="24"/>
          <w:lang w:eastAsia="en-IE"/>
        </w:rPr>
        <w:t xml:space="preserve">April 2026. The procedure concerned the open public procurement procedure for the ‘Design and Construction, Acquisition of Vehicles, and Maintenance Services for the Violet Line of the Lisbon Metro’, to be awarded by Metropolitano de Lisboa, E.P.E. The tender submitted by Mota-Engil relied on </w:t>
      </w:r>
      <w:r w:rsidR="000D04D7" w:rsidRPr="00DF2E0A">
        <w:rPr>
          <w:rFonts w:eastAsiaTheme="minorEastAsia"/>
          <w:noProof/>
          <w:szCs w:val="24"/>
          <w:lang w:eastAsia="en-IE"/>
        </w:rPr>
        <w:t>Portugal CRRC, an undertaking belonging to the CRRC group,</w:t>
      </w:r>
      <w:r w:rsidR="000D04D7" w:rsidRPr="002D2FF4">
        <w:rPr>
          <w:rFonts w:eastAsiaTheme="minorEastAsia"/>
          <w:noProof/>
          <w:szCs w:val="24"/>
          <w:lang w:eastAsia="en-IE"/>
        </w:rPr>
        <w:t xml:space="preserve"> </w:t>
      </w:r>
      <w:r w:rsidR="000D04D7">
        <w:rPr>
          <w:rFonts w:eastAsiaTheme="minorEastAsia"/>
          <w:noProof/>
          <w:szCs w:val="24"/>
          <w:lang w:eastAsia="en-IE"/>
        </w:rPr>
        <w:t xml:space="preserve">as </w:t>
      </w:r>
      <w:r w:rsidRPr="002D2FF4">
        <w:rPr>
          <w:rFonts w:eastAsiaTheme="minorEastAsia"/>
          <w:noProof/>
          <w:szCs w:val="24"/>
          <w:lang w:eastAsia="en-IE"/>
        </w:rPr>
        <w:t>a main subcontractor for the supply of rolling stock and related services.</w:t>
      </w:r>
      <w:r w:rsidR="002D2FF4" w:rsidRPr="002D2FF4">
        <w:rPr>
          <w:rFonts w:eastAsiaTheme="minorEastAsia"/>
          <w:noProof/>
          <w:szCs w:val="24"/>
          <w:lang w:eastAsia="en-IE"/>
        </w:rPr>
        <w:t xml:space="preserve"> </w:t>
      </w:r>
      <w:r w:rsidRPr="002D2FF4">
        <w:rPr>
          <w:rFonts w:eastAsiaTheme="minorEastAsia"/>
          <w:noProof/>
          <w:szCs w:val="24"/>
          <w:lang w:eastAsia="en-IE"/>
        </w:rPr>
        <w:t xml:space="preserve">The Commission found evidence of the presence of foreign subsidies in the form of government grants, tax measures and </w:t>
      </w:r>
      <w:r w:rsidR="00DD73AF">
        <w:rPr>
          <w:rFonts w:eastAsiaTheme="minorEastAsia"/>
          <w:noProof/>
          <w:szCs w:val="24"/>
          <w:lang w:eastAsia="en-IE"/>
        </w:rPr>
        <w:t>compensation</w:t>
      </w:r>
      <w:r w:rsidRPr="002D2FF4">
        <w:rPr>
          <w:rFonts w:eastAsiaTheme="minorEastAsia"/>
          <w:noProof/>
          <w:szCs w:val="24"/>
          <w:lang w:eastAsia="en-IE"/>
        </w:rPr>
        <w:t xml:space="preserve"> from public contracts which exceeds the turnover which would have been achieved in a competitive, transparent and non-discriminatory procedure, which enabled Portugal CRRC to submit an advantageous offer to the consortium led by Mota-Engil and subsequently, enabled the consortium to submit an unduly advantageous tender, thus distorting competition </w:t>
      </w:r>
      <w:r w:rsidRPr="006E3E54">
        <w:rPr>
          <w:rFonts w:eastAsiaTheme="minorEastAsia"/>
          <w:noProof/>
          <w:szCs w:val="24"/>
          <w:lang w:eastAsia="en-IE"/>
        </w:rPr>
        <w:t>in the public procurement procedure.</w:t>
      </w:r>
      <w:r w:rsidR="002D2FF4" w:rsidRPr="006E3E54">
        <w:rPr>
          <w:rFonts w:eastAsiaTheme="minorEastAsia"/>
          <w:noProof/>
          <w:szCs w:val="24"/>
          <w:lang w:eastAsia="en-IE"/>
        </w:rPr>
        <w:t xml:space="preserve"> To address these concerns, Mota-Engil committed to replace Portugal CRRC by the Polish Pojazdy Szynowe PESA Bydgoszcz Spółka Akcyjna (</w:t>
      </w:r>
      <w:r w:rsidR="00C076E2" w:rsidRPr="006E3E54">
        <w:rPr>
          <w:rFonts w:eastAsiaTheme="minorEastAsia"/>
          <w:noProof/>
          <w:szCs w:val="24"/>
          <w:lang w:eastAsia="en-IE"/>
        </w:rPr>
        <w:t>‘</w:t>
      </w:r>
      <w:r w:rsidR="002D2FF4" w:rsidRPr="006E3E54">
        <w:rPr>
          <w:rFonts w:eastAsiaTheme="minorEastAsia"/>
          <w:noProof/>
          <w:szCs w:val="24"/>
          <w:lang w:eastAsia="en-IE"/>
        </w:rPr>
        <w:t>PESA</w:t>
      </w:r>
      <w:r w:rsidR="00C076E2" w:rsidRPr="006E3E54">
        <w:rPr>
          <w:rFonts w:eastAsiaTheme="minorEastAsia"/>
          <w:noProof/>
          <w:szCs w:val="24"/>
          <w:lang w:eastAsia="en-IE"/>
        </w:rPr>
        <w:t>’</w:t>
      </w:r>
      <w:r w:rsidR="002D2FF4" w:rsidRPr="006E3E54">
        <w:rPr>
          <w:rFonts w:eastAsiaTheme="minorEastAsia"/>
          <w:noProof/>
          <w:szCs w:val="24"/>
          <w:lang w:eastAsia="en-IE"/>
        </w:rPr>
        <w:t xml:space="preserve">) for the entire duration of the contract performance period. </w:t>
      </w:r>
      <w:r w:rsidR="00875732" w:rsidRPr="006E3E54">
        <w:rPr>
          <w:rFonts w:eastAsiaTheme="minorEastAsia"/>
          <w:noProof/>
          <w:szCs w:val="24"/>
          <w:lang w:eastAsia="en-IE"/>
        </w:rPr>
        <w:t>At time of publication t</w:t>
      </w:r>
      <w:r w:rsidRPr="006E3E54">
        <w:rPr>
          <w:rFonts w:eastAsiaTheme="minorEastAsia"/>
          <w:noProof/>
          <w:szCs w:val="24"/>
          <w:lang w:eastAsia="en-IE"/>
        </w:rPr>
        <w:t>he final non-confidential version of the decision with commitments w</w:t>
      </w:r>
      <w:r w:rsidR="00875732" w:rsidRPr="006E3E54">
        <w:rPr>
          <w:rFonts w:eastAsiaTheme="minorEastAsia"/>
          <w:noProof/>
          <w:szCs w:val="24"/>
          <w:lang w:eastAsia="en-IE"/>
        </w:rPr>
        <w:t>as not yet</w:t>
      </w:r>
      <w:r w:rsidRPr="006E3E54">
        <w:rPr>
          <w:rFonts w:eastAsiaTheme="minorEastAsia"/>
          <w:noProof/>
          <w:szCs w:val="24"/>
          <w:lang w:eastAsia="en-IE"/>
        </w:rPr>
        <w:t xml:space="preserve"> published.</w:t>
      </w:r>
    </w:p>
    <w:p w14:paraId="0EFB1A4E" w14:textId="5AFBF495" w:rsidR="002D2FF4" w:rsidRPr="006E3E54" w:rsidRDefault="002D2FF4" w:rsidP="002D2FF4">
      <w:pPr>
        <w:spacing w:after="160" w:line="259" w:lineRule="auto"/>
        <w:rPr>
          <w:rFonts w:eastAsiaTheme="minorEastAsia"/>
          <w:noProof/>
          <w:szCs w:val="24"/>
          <w:lang w:eastAsia="en-IE"/>
        </w:rPr>
      </w:pPr>
      <w:r w:rsidRPr="006E3E54">
        <w:rPr>
          <w:rFonts w:eastAsiaTheme="minorEastAsia"/>
          <w:noProof/>
          <w:szCs w:val="24"/>
          <w:lang w:eastAsia="en-IE"/>
        </w:rPr>
        <w:t>In addition to these in-depth investigations, the Commission declared two tenders irregular due to incomplete submissions.</w:t>
      </w:r>
    </w:p>
    <w:p w14:paraId="78D55591" w14:textId="031298EE" w:rsidR="00C31F8E" w:rsidRDefault="00C31F8E" w:rsidP="00260174">
      <w:pPr>
        <w:pStyle w:val="Text1"/>
        <w:numPr>
          <w:ilvl w:val="0"/>
          <w:numId w:val="47"/>
        </w:numPr>
        <w:rPr>
          <w:rFonts w:eastAsiaTheme="minorEastAsia"/>
          <w:noProof/>
          <w:szCs w:val="24"/>
          <w:lang w:eastAsia="en-IE"/>
        </w:rPr>
      </w:pPr>
      <w:bookmarkStart w:id="19" w:name="_Toc228286488"/>
      <w:r w:rsidRPr="006E3E54">
        <w:rPr>
          <w:b/>
          <w:bCs/>
          <w:noProof/>
        </w:rPr>
        <w:t>Cases FSP.101606 and FSP</w:t>
      </w:r>
      <w:r w:rsidRPr="002D2FF4">
        <w:rPr>
          <w:b/>
          <w:bCs/>
          <w:noProof/>
        </w:rPr>
        <w:t>.101626 – Decisions declaring a tender irregular</w:t>
      </w:r>
      <w:r w:rsidRPr="00EB7BFC">
        <w:rPr>
          <w:noProof/>
        </w:rPr>
        <w:t xml:space="preserve"> –</w:t>
      </w:r>
      <w:bookmarkEnd w:id="19"/>
      <w:r w:rsidR="002D2FF4">
        <w:rPr>
          <w:rFonts w:eastAsiaTheme="minorEastAsia"/>
          <w:noProof/>
          <w:szCs w:val="24"/>
          <w:lang w:eastAsia="en-IE"/>
        </w:rPr>
        <w:t>The decisions concerned</w:t>
      </w:r>
      <w:r w:rsidRPr="1EA22347">
        <w:rPr>
          <w:rFonts w:eastAsiaTheme="minorEastAsia"/>
          <w:noProof/>
          <w:szCs w:val="24"/>
          <w:lang w:eastAsia="en-IE"/>
        </w:rPr>
        <w:t xml:space="preserve"> Case FSP.101606</w:t>
      </w:r>
      <w:r w:rsidR="002D2FF4">
        <w:rPr>
          <w:rFonts w:eastAsiaTheme="minorEastAsia"/>
          <w:noProof/>
          <w:szCs w:val="24"/>
          <w:lang w:eastAsia="en-IE"/>
        </w:rPr>
        <w:t xml:space="preserve">, which involved an </w:t>
      </w:r>
      <w:r w:rsidRPr="1EA22347">
        <w:rPr>
          <w:rFonts w:eastAsiaTheme="minorEastAsia"/>
          <w:noProof/>
          <w:szCs w:val="24"/>
          <w:lang w:eastAsia="en-IE"/>
        </w:rPr>
        <w:t>offer for the construction of a long-distance tunnel in a tender in Poland</w:t>
      </w:r>
      <w:r w:rsidR="002D2FF4">
        <w:rPr>
          <w:rFonts w:eastAsiaTheme="minorEastAsia"/>
          <w:noProof/>
          <w:szCs w:val="24"/>
          <w:lang w:eastAsia="en-IE"/>
        </w:rPr>
        <w:t>, and c</w:t>
      </w:r>
      <w:r w:rsidRPr="1EA22347">
        <w:rPr>
          <w:rFonts w:eastAsiaTheme="minorEastAsia"/>
          <w:noProof/>
          <w:szCs w:val="24"/>
          <w:lang w:eastAsia="en-IE"/>
        </w:rPr>
        <w:t>ase FSP.101626</w:t>
      </w:r>
      <w:r w:rsidR="002D2FF4">
        <w:rPr>
          <w:rFonts w:eastAsiaTheme="minorEastAsia"/>
          <w:noProof/>
          <w:szCs w:val="24"/>
          <w:lang w:eastAsia="en-IE"/>
        </w:rPr>
        <w:t>, which involved</w:t>
      </w:r>
      <w:r w:rsidRPr="1EA22347">
        <w:rPr>
          <w:rFonts w:eastAsiaTheme="minorEastAsia"/>
          <w:noProof/>
          <w:szCs w:val="24"/>
          <w:lang w:eastAsia="en-IE"/>
        </w:rPr>
        <w:t xml:space="preserve"> an offer for the supply of computers and workstations in a tender in France. In both cases,</w:t>
      </w:r>
      <w:r w:rsidRPr="1EA22347" w:rsidDel="00D97925">
        <w:rPr>
          <w:rFonts w:eastAsiaTheme="minorEastAsia"/>
          <w:noProof/>
          <w:szCs w:val="24"/>
          <w:lang w:eastAsia="en-IE"/>
        </w:rPr>
        <w:t xml:space="preserve"> </w:t>
      </w:r>
      <w:r w:rsidR="000D04D7" w:rsidRPr="000E0955">
        <w:rPr>
          <w:rFonts w:eastAsiaTheme="minorEastAsia"/>
          <w:noProof/>
          <w:szCs w:val="24"/>
          <w:lang w:eastAsia="en-IE"/>
        </w:rPr>
        <w:t>the Commission issued</w:t>
      </w:r>
      <w:r w:rsidR="000D04D7">
        <w:rPr>
          <w:rFonts w:eastAsiaTheme="minorEastAsia"/>
          <w:noProof/>
          <w:szCs w:val="24"/>
          <w:lang w:eastAsia="en-IE"/>
        </w:rPr>
        <w:t xml:space="preserve"> </w:t>
      </w:r>
      <w:r w:rsidRPr="1EA22347">
        <w:rPr>
          <w:rFonts w:eastAsiaTheme="minorEastAsia"/>
          <w:noProof/>
          <w:szCs w:val="24"/>
          <w:lang w:eastAsia="en-IE"/>
        </w:rPr>
        <w:t xml:space="preserve">a </w:t>
      </w:r>
      <w:r w:rsidRPr="4AE0D78F">
        <w:rPr>
          <w:rFonts w:eastAsiaTheme="minorEastAsia"/>
          <w:noProof/>
          <w:szCs w:val="24"/>
          <w:lang w:eastAsia="en-IE"/>
        </w:rPr>
        <w:t>decision</w:t>
      </w:r>
      <w:r w:rsidRPr="1EA22347">
        <w:rPr>
          <w:rFonts w:eastAsiaTheme="minorEastAsia"/>
          <w:noProof/>
          <w:szCs w:val="24"/>
          <w:lang w:eastAsia="en-IE"/>
        </w:rPr>
        <w:t xml:space="preserve"> declaring the submissions of the respective economic operators incomplete and requiring them to submit a complete notification within 10 working days. As the notifications in both cases were not completed within the </w:t>
      </w:r>
      <w:r w:rsidRPr="4AE0D78F">
        <w:rPr>
          <w:rFonts w:eastAsiaTheme="minorEastAsia"/>
          <w:noProof/>
          <w:szCs w:val="24"/>
          <w:lang w:eastAsia="en-IE"/>
        </w:rPr>
        <w:t>deadline</w:t>
      </w:r>
      <w:r w:rsidRPr="1EA22347">
        <w:rPr>
          <w:rFonts w:eastAsiaTheme="minorEastAsia"/>
          <w:noProof/>
          <w:szCs w:val="24"/>
          <w:lang w:eastAsia="en-IE"/>
        </w:rPr>
        <w:t xml:space="preserve">, </w:t>
      </w:r>
      <w:r>
        <w:rPr>
          <w:rFonts w:eastAsiaTheme="minorEastAsia"/>
          <w:noProof/>
          <w:szCs w:val="24"/>
          <w:lang w:eastAsia="en-IE"/>
        </w:rPr>
        <w:t xml:space="preserve">in March 2025 </w:t>
      </w:r>
      <w:r w:rsidRPr="1EA22347">
        <w:rPr>
          <w:rFonts w:eastAsiaTheme="minorEastAsia"/>
          <w:noProof/>
          <w:szCs w:val="24"/>
          <w:lang w:eastAsia="en-IE"/>
        </w:rPr>
        <w:t xml:space="preserve">the Commission issued decisions declaring both tenders irregular. </w:t>
      </w:r>
      <w:r w:rsidRPr="4AE0D78F">
        <w:rPr>
          <w:rFonts w:eastAsiaTheme="minorEastAsia"/>
          <w:noProof/>
          <w:szCs w:val="24"/>
          <w:lang w:eastAsia="en-IE"/>
        </w:rPr>
        <w:t>Ultimately</w:t>
      </w:r>
      <w:r w:rsidRPr="1EA22347">
        <w:rPr>
          <w:rFonts w:eastAsiaTheme="minorEastAsia"/>
          <w:noProof/>
          <w:szCs w:val="24"/>
          <w:lang w:eastAsia="en-IE"/>
        </w:rPr>
        <w:t>, the contracting authorities rejected the irregular tenders and both economic operators were excluded from the public procurement procedures.</w:t>
      </w:r>
    </w:p>
    <w:p w14:paraId="21B76DB1" w14:textId="345F3581" w:rsidR="00DA3D26" w:rsidRPr="00CF7152" w:rsidRDefault="00DA3D26" w:rsidP="00A044B0">
      <w:pPr>
        <w:spacing w:after="160" w:line="259" w:lineRule="auto"/>
        <w:rPr>
          <w:rFonts w:eastAsia="Yu Gothic"/>
          <w:noProof/>
          <w:lang w:eastAsia="en-IE"/>
        </w:rPr>
      </w:pPr>
      <w:r w:rsidRPr="00CF7152">
        <w:rPr>
          <w:rFonts w:eastAsia="Yu Gothic"/>
          <w:noProof/>
          <w:lang w:eastAsia="en-IE"/>
        </w:rPr>
        <w:t>The Commission also has the power to request the prior notification of FFCs in a public procurement procedure</w:t>
      </w:r>
      <w:r w:rsidR="00C04728" w:rsidRPr="00CF7152">
        <w:rPr>
          <w:rFonts w:eastAsia="Yu Gothic"/>
          <w:noProof/>
          <w:lang w:eastAsia="en-IE"/>
        </w:rPr>
        <w:t xml:space="preserve"> that do</w:t>
      </w:r>
      <w:r w:rsidR="00812A40">
        <w:rPr>
          <w:rFonts w:eastAsia="Yu Gothic"/>
          <w:noProof/>
          <w:lang w:eastAsia="en-IE"/>
        </w:rPr>
        <w:t>es</w:t>
      </w:r>
      <w:r w:rsidR="00C04728" w:rsidRPr="00CF7152">
        <w:rPr>
          <w:rFonts w:eastAsia="Yu Gothic"/>
          <w:noProof/>
          <w:lang w:eastAsia="en-IE"/>
        </w:rPr>
        <w:t xml:space="preserve"> not </w:t>
      </w:r>
      <w:r w:rsidR="000449AA" w:rsidRPr="00CF7152">
        <w:rPr>
          <w:rFonts w:eastAsia="Yu Gothic"/>
          <w:noProof/>
          <w:lang w:eastAsia="en-IE"/>
        </w:rPr>
        <w:t>meet</w:t>
      </w:r>
      <w:r w:rsidR="00C04728" w:rsidRPr="00CF7152">
        <w:rPr>
          <w:rFonts w:eastAsia="Yu Gothic"/>
          <w:noProof/>
          <w:lang w:eastAsia="en-IE"/>
        </w:rPr>
        <w:t xml:space="preserve"> the relevant thresholds</w:t>
      </w:r>
      <w:r w:rsidRPr="00CF7152">
        <w:rPr>
          <w:rFonts w:eastAsia="Yu Gothic"/>
          <w:noProof/>
          <w:lang w:eastAsia="en-IE"/>
        </w:rPr>
        <w:t xml:space="preserve">, pursuant to </w:t>
      </w:r>
      <w:r w:rsidR="000449AA" w:rsidRPr="00CF7152">
        <w:rPr>
          <w:rFonts w:eastAsia="Yu Gothic"/>
          <w:noProof/>
          <w:lang w:eastAsia="en-IE"/>
        </w:rPr>
        <w:t>Article </w:t>
      </w:r>
      <w:r w:rsidRPr="00CF7152">
        <w:rPr>
          <w:rFonts w:eastAsia="Yu Gothic"/>
          <w:noProof/>
          <w:lang w:eastAsia="en-IE"/>
        </w:rPr>
        <w:t>29(8) FSR. During the review period, the Commission has, for the first time, exercised</w:t>
      </w:r>
      <w:r w:rsidRPr="00CF7152" w:rsidDel="006D58B5">
        <w:rPr>
          <w:rFonts w:eastAsia="Yu Gothic"/>
          <w:noProof/>
          <w:lang w:eastAsia="en-IE"/>
        </w:rPr>
        <w:t xml:space="preserve"> </w:t>
      </w:r>
      <w:r w:rsidRPr="00CF7152">
        <w:rPr>
          <w:rFonts w:eastAsia="Yu Gothic"/>
          <w:noProof/>
          <w:lang w:eastAsia="en-IE"/>
        </w:rPr>
        <w:t>its power.</w:t>
      </w:r>
    </w:p>
    <w:p w14:paraId="2EF7128B" w14:textId="4394533B" w:rsidR="00C31F8E" w:rsidRPr="00CF7152" w:rsidRDefault="00C31F8E" w:rsidP="00260174">
      <w:pPr>
        <w:pStyle w:val="Text1"/>
        <w:numPr>
          <w:ilvl w:val="0"/>
          <w:numId w:val="48"/>
        </w:numPr>
        <w:rPr>
          <w:rFonts w:eastAsiaTheme="minorEastAsia"/>
          <w:noProof/>
          <w:lang w:eastAsia="en-IE"/>
        </w:rPr>
      </w:pPr>
      <w:bookmarkStart w:id="20" w:name="_Toc228286489"/>
      <w:r w:rsidRPr="002D2FF4">
        <w:rPr>
          <w:b/>
          <w:bCs/>
          <w:noProof/>
        </w:rPr>
        <w:t>Case FSP.103175 – Request for prior notification</w:t>
      </w:r>
      <w:r w:rsidRPr="00EB7BFC">
        <w:rPr>
          <w:noProof/>
        </w:rPr>
        <w:t xml:space="preserve"> </w:t>
      </w:r>
      <w:bookmarkEnd w:id="20"/>
      <w:r w:rsidR="00AF4A15" w:rsidRPr="002D2FF4">
        <w:rPr>
          <w:b/>
          <w:bCs/>
          <w:noProof/>
        </w:rPr>
        <w:t>–</w:t>
      </w:r>
      <w:r>
        <w:rPr>
          <w:rFonts w:eastAsiaTheme="minorEastAsia"/>
          <w:b/>
          <w:noProof/>
        </w:rPr>
        <w:t xml:space="preserve"> </w:t>
      </w:r>
      <w:r w:rsidRPr="00CF7152">
        <w:rPr>
          <w:rFonts w:eastAsiaTheme="minorEastAsia"/>
          <w:noProof/>
          <w:lang w:eastAsia="en-IE"/>
        </w:rPr>
        <w:t xml:space="preserve">This request was issued in November 2025 and covered two public procurement procedures launched for the construction of various sections of a motorway in Croatia. As the economic operator that was required to submit a prior notification did not comply with the reporting obligation, the relevant contracting authority issued a request to the economic operator concerned to submit a missing notification pursuant to </w:t>
      </w:r>
      <w:r w:rsidR="000449AA" w:rsidRPr="00CF7152">
        <w:rPr>
          <w:rFonts w:eastAsiaTheme="minorEastAsia"/>
          <w:noProof/>
          <w:lang w:eastAsia="en-IE"/>
        </w:rPr>
        <w:t>Article </w:t>
      </w:r>
      <w:r w:rsidRPr="00CF7152">
        <w:rPr>
          <w:rFonts w:eastAsiaTheme="minorEastAsia"/>
          <w:noProof/>
          <w:lang w:eastAsia="en-IE"/>
        </w:rPr>
        <w:t xml:space="preserve">29(3) FSR. Ultimately, the contracting authority considered the tender </w:t>
      </w:r>
      <w:r w:rsidR="002F2FF2">
        <w:rPr>
          <w:rFonts w:eastAsiaTheme="minorEastAsia"/>
          <w:noProof/>
          <w:lang w:eastAsia="en-IE"/>
        </w:rPr>
        <w:t>“</w:t>
      </w:r>
      <w:r w:rsidRPr="00812A40">
        <w:rPr>
          <w:rFonts w:eastAsiaTheme="minorEastAsia"/>
          <w:i/>
          <w:noProof/>
          <w:lang w:eastAsia="en-IE"/>
        </w:rPr>
        <w:t>inadmissible, inappropriate, and technically unacceptable</w:t>
      </w:r>
      <w:r w:rsidR="002F2FF2">
        <w:rPr>
          <w:rFonts w:eastAsiaTheme="minorEastAsia"/>
          <w:i/>
          <w:iCs/>
          <w:noProof/>
          <w:lang w:eastAsia="en-IE"/>
        </w:rPr>
        <w:t>”</w:t>
      </w:r>
      <w:r w:rsidRPr="00CF7152">
        <w:rPr>
          <w:rFonts w:eastAsiaTheme="minorEastAsia"/>
          <w:noProof/>
          <w:lang w:eastAsia="en-IE"/>
        </w:rPr>
        <w:t xml:space="preserve">, and excluded the economic operator from the procedure. </w:t>
      </w:r>
    </w:p>
    <w:p w14:paraId="07E98BA0" w14:textId="4F31ADFB" w:rsidR="00AA34DB" w:rsidRDefault="00AA34DB" w:rsidP="00AA34DB">
      <w:pPr>
        <w:pStyle w:val="Heading4"/>
        <w:rPr>
          <w:noProof/>
        </w:rPr>
      </w:pPr>
      <w:r w:rsidRPr="00AA34DB">
        <w:rPr>
          <w:noProof/>
          <w:lang w:val="en-IE"/>
        </w:rPr>
        <w:t>Results of the review</w:t>
      </w:r>
    </w:p>
    <w:p w14:paraId="578F34E3" w14:textId="52486D25" w:rsidR="00C31F8E" w:rsidRDefault="00972FB9" w:rsidP="00C31F8E">
      <w:pPr>
        <w:spacing w:after="240"/>
        <w:rPr>
          <w:noProof/>
          <w:szCs w:val="24"/>
        </w:rPr>
      </w:pPr>
      <w:r>
        <w:rPr>
          <w:noProof/>
          <w:szCs w:val="24"/>
        </w:rPr>
        <w:t>T</w:t>
      </w:r>
      <w:r w:rsidR="00C31F8E" w:rsidRPr="00CD7906">
        <w:rPr>
          <w:noProof/>
          <w:szCs w:val="24"/>
        </w:rPr>
        <w:t xml:space="preserve">he Commission’s early enforcement of </w:t>
      </w:r>
      <w:r w:rsidR="00000576">
        <w:rPr>
          <w:noProof/>
          <w:szCs w:val="24"/>
        </w:rPr>
        <w:t xml:space="preserve">the </w:t>
      </w:r>
      <w:r>
        <w:rPr>
          <w:noProof/>
          <w:szCs w:val="24"/>
        </w:rPr>
        <w:t>FSR demonstrates</w:t>
      </w:r>
      <w:r w:rsidR="00C31F8E" w:rsidRPr="006D3EE8">
        <w:rPr>
          <w:noProof/>
          <w:szCs w:val="24"/>
        </w:rPr>
        <w:t xml:space="preserve"> that the framework is </w:t>
      </w:r>
      <w:r w:rsidR="00DA3D26">
        <w:rPr>
          <w:noProof/>
          <w:szCs w:val="24"/>
        </w:rPr>
        <w:t>fit for purpose</w:t>
      </w:r>
      <w:r w:rsidR="00DA3D26" w:rsidRPr="006D3EE8">
        <w:rPr>
          <w:noProof/>
          <w:szCs w:val="24"/>
        </w:rPr>
        <w:t xml:space="preserve"> </w:t>
      </w:r>
      <w:r w:rsidR="00C31F8E" w:rsidRPr="006D3EE8">
        <w:rPr>
          <w:noProof/>
          <w:szCs w:val="24"/>
        </w:rPr>
        <w:t xml:space="preserve">and </w:t>
      </w:r>
      <w:r>
        <w:rPr>
          <w:noProof/>
          <w:szCs w:val="24"/>
        </w:rPr>
        <w:t>fulfil</w:t>
      </w:r>
      <w:r w:rsidR="00DA3D26">
        <w:rPr>
          <w:noProof/>
          <w:szCs w:val="24"/>
        </w:rPr>
        <w:t>s</w:t>
      </w:r>
      <w:r w:rsidR="00C31F8E" w:rsidRPr="006D3EE8">
        <w:rPr>
          <w:noProof/>
          <w:szCs w:val="24"/>
        </w:rPr>
        <w:t xml:space="preserve"> its objectives, </w:t>
      </w:r>
      <w:r w:rsidR="00C31F8E" w:rsidRPr="00761737">
        <w:rPr>
          <w:noProof/>
          <w:szCs w:val="24"/>
        </w:rPr>
        <w:t xml:space="preserve">while further refinement </w:t>
      </w:r>
      <w:r w:rsidR="00DA3D26">
        <w:rPr>
          <w:noProof/>
          <w:szCs w:val="24"/>
        </w:rPr>
        <w:t>would be useful</w:t>
      </w:r>
      <w:r w:rsidR="00C31F8E" w:rsidRPr="00761737">
        <w:rPr>
          <w:noProof/>
          <w:szCs w:val="24"/>
        </w:rPr>
        <w:t>.</w:t>
      </w:r>
    </w:p>
    <w:p w14:paraId="52CD5814" w14:textId="269EF6C0" w:rsidR="009F5773" w:rsidRPr="00AA0B88" w:rsidRDefault="009F5773" w:rsidP="009F5773">
      <w:pPr>
        <w:spacing w:after="240"/>
        <w:rPr>
          <w:noProof/>
          <w:szCs w:val="24"/>
          <w:lang w:val="en-IE"/>
        </w:rPr>
      </w:pPr>
      <w:r w:rsidRPr="006B435B">
        <w:rPr>
          <w:noProof/>
          <w:szCs w:val="24"/>
          <w:lang w:val="en-IE"/>
        </w:rPr>
        <w:t xml:space="preserve">The system has proven efficient, handling more submissions than anticipated while </w:t>
      </w:r>
      <w:r w:rsidR="0083627A">
        <w:rPr>
          <w:noProof/>
          <w:szCs w:val="24"/>
          <w:lang w:val="en-IE"/>
        </w:rPr>
        <w:t>pursuing</w:t>
      </w:r>
      <w:r w:rsidR="0083627A" w:rsidRPr="006B435B">
        <w:rPr>
          <w:noProof/>
          <w:szCs w:val="24"/>
          <w:lang w:val="en-IE"/>
        </w:rPr>
        <w:t xml:space="preserve"> </w:t>
      </w:r>
      <w:r w:rsidRPr="006B435B">
        <w:rPr>
          <w:noProof/>
          <w:szCs w:val="24"/>
          <w:lang w:val="en-IE"/>
        </w:rPr>
        <w:t xml:space="preserve">in-depth review in only a limited number of cases. </w:t>
      </w:r>
      <w:r w:rsidR="00FE5B7F">
        <w:rPr>
          <w:noProof/>
          <w:szCs w:val="24"/>
        </w:rPr>
        <w:t xml:space="preserve">In addition to in-depth investigations, irregularity cases and one request for prior notification, the FSR’s deterrent effect is demonstrated </w:t>
      </w:r>
      <w:r w:rsidR="00DD1574" w:rsidRPr="00DD1574">
        <w:rPr>
          <w:noProof/>
          <w:szCs w:val="24"/>
        </w:rPr>
        <w:t>in cases where</w:t>
      </w:r>
      <w:r w:rsidR="00FE5B7F">
        <w:rPr>
          <w:noProof/>
          <w:szCs w:val="24"/>
        </w:rPr>
        <w:t xml:space="preserve"> economic operators</w:t>
      </w:r>
      <w:r w:rsidR="00DD1574" w:rsidRPr="00DD1574">
        <w:rPr>
          <w:noProof/>
          <w:szCs w:val="24"/>
        </w:rPr>
        <w:t>,</w:t>
      </w:r>
      <w:r w:rsidR="00FE5B7F" w:rsidRPr="006B435B">
        <w:rPr>
          <w:noProof/>
          <w:szCs w:val="24"/>
        </w:rPr>
        <w:t xml:space="preserve"> </w:t>
      </w:r>
      <w:r w:rsidR="00FE5B7F">
        <w:rPr>
          <w:noProof/>
          <w:szCs w:val="24"/>
        </w:rPr>
        <w:t>reluctant to share information on FFCs received</w:t>
      </w:r>
      <w:r w:rsidR="00FE5B7F" w:rsidRPr="006B435B">
        <w:rPr>
          <w:noProof/>
          <w:szCs w:val="24"/>
        </w:rPr>
        <w:t xml:space="preserve">, </w:t>
      </w:r>
      <w:r w:rsidR="00DD1574" w:rsidRPr="00DD1574">
        <w:rPr>
          <w:noProof/>
          <w:szCs w:val="24"/>
        </w:rPr>
        <w:t>withdr</w:t>
      </w:r>
      <w:r w:rsidR="00000576">
        <w:rPr>
          <w:noProof/>
          <w:szCs w:val="24"/>
        </w:rPr>
        <w:t>e</w:t>
      </w:r>
      <w:r w:rsidR="00DD1574" w:rsidRPr="00DD1574">
        <w:rPr>
          <w:noProof/>
          <w:szCs w:val="24"/>
        </w:rPr>
        <w:t xml:space="preserve">w from </w:t>
      </w:r>
      <w:r w:rsidR="00DD1574">
        <w:rPr>
          <w:noProof/>
          <w:szCs w:val="24"/>
        </w:rPr>
        <w:t xml:space="preserve">public </w:t>
      </w:r>
      <w:r w:rsidR="00DD1574" w:rsidRPr="00DD1574">
        <w:rPr>
          <w:noProof/>
          <w:szCs w:val="24"/>
        </w:rPr>
        <w:t xml:space="preserve">procurement procedures, </w:t>
      </w:r>
      <w:r w:rsidR="00FE5B7F" w:rsidRPr="006B435B">
        <w:rPr>
          <w:noProof/>
          <w:szCs w:val="24"/>
        </w:rPr>
        <w:t>thereby fostering fairer competition</w:t>
      </w:r>
      <w:r w:rsidR="00FE5B7F">
        <w:rPr>
          <w:noProof/>
          <w:szCs w:val="24"/>
        </w:rPr>
        <w:t>.</w:t>
      </w:r>
    </w:p>
    <w:p w14:paraId="2AB8DD8B" w14:textId="4937B934" w:rsidR="009F5773" w:rsidRPr="006B435B" w:rsidRDefault="008D006E" w:rsidP="009F5773">
      <w:pPr>
        <w:spacing w:after="240"/>
        <w:rPr>
          <w:noProof/>
          <w:szCs w:val="24"/>
          <w:lang w:val="en-IE"/>
        </w:rPr>
      </w:pPr>
      <w:r>
        <w:rPr>
          <w:noProof/>
          <w:szCs w:val="24"/>
          <w:lang w:val="en-IE"/>
        </w:rPr>
        <w:t>T</w:t>
      </w:r>
      <w:r w:rsidR="009F5773" w:rsidRPr="006B435B">
        <w:rPr>
          <w:noProof/>
          <w:szCs w:val="24"/>
          <w:lang w:val="en-IE"/>
        </w:rPr>
        <w:t>he Commission has met tight deadlines</w:t>
      </w:r>
      <w:r w:rsidR="00074CEE">
        <w:rPr>
          <w:noProof/>
          <w:szCs w:val="24"/>
          <w:lang w:val="en-IE"/>
        </w:rPr>
        <w:t xml:space="preserve"> and</w:t>
      </w:r>
      <w:r w:rsidR="009F5773" w:rsidRPr="006B435B">
        <w:rPr>
          <w:noProof/>
          <w:szCs w:val="24"/>
          <w:lang w:val="en-IE"/>
        </w:rPr>
        <w:t xml:space="preserve"> complet</w:t>
      </w:r>
      <w:r w:rsidR="00074CEE">
        <w:rPr>
          <w:noProof/>
          <w:szCs w:val="24"/>
          <w:lang w:val="en-IE"/>
        </w:rPr>
        <w:t>ed</w:t>
      </w:r>
      <w:r w:rsidR="009F5773" w:rsidRPr="006B435B">
        <w:rPr>
          <w:noProof/>
          <w:szCs w:val="24"/>
          <w:lang w:val="en-IE"/>
        </w:rPr>
        <w:t xml:space="preserve"> preliminary reviews within 20 working days despite the </w:t>
      </w:r>
      <w:r w:rsidR="009F5773">
        <w:rPr>
          <w:noProof/>
          <w:szCs w:val="24"/>
          <w:lang w:val="en-IE"/>
        </w:rPr>
        <w:t xml:space="preserve">complexity of the </w:t>
      </w:r>
      <w:r>
        <w:rPr>
          <w:noProof/>
          <w:szCs w:val="24"/>
          <w:lang w:val="en-IE"/>
        </w:rPr>
        <w:t xml:space="preserve">procedural </w:t>
      </w:r>
      <w:r w:rsidR="009F5773" w:rsidRPr="006B435B">
        <w:rPr>
          <w:noProof/>
          <w:szCs w:val="24"/>
          <w:lang w:val="en-IE"/>
        </w:rPr>
        <w:t>framework. This has</w:t>
      </w:r>
      <w:r w:rsidR="009F5773">
        <w:rPr>
          <w:noProof/>
          <w:szCs w:val="24"/>
          <w:lang w:val="en-IE"/>
        </w:rPr>
        <w:t xml:space="preserve"> been positively received by stakeholders, as it has strengthened</w:t>
      </w:r>
      <w:r w:rsidR="009F5773" w:rsidRPr="006B435B">
        <w:rPr>
          <w:noProof/>
          <w:szCs w:val="24"/>
          <w:lang w:val="en-IE"/>
        </w:rPr>
        <w:t xml:space="preserve"> legal certainty for businesses and </w:t>
      </w:r>
      <w:r w:rsidR="009F5773">
        <w:rPr>
          <w:noProof/>
          <w:szCs w:val="24"/>
          <w:lang w:val="en-IE"/>
        </w:rPr>
        <w:t>supported the</w:t>
      </w:r>
      <w:r w:rsidR="009F5773" w:rsidRPr="006B435B">
        <w:rPr>
          <w:noProof/>
          <w:szCs w:val="24"/>
          <w:lang w:val="en-IE"/>
        </w:rPr>
        <w:t xml:space="preserve"> smooth </w:t>
      </w:r>
      <w:r w:rsidR="009F5773">
        <w:rPr>
          <w:noProof/>
          <w:szCs w:val="24"/>
          <w:lang w:val="en-IE"/>
        </w:rPr>
        <w:t xml:space="preserve">conduct of </w:t>
      </w:r>
      <w:r w:rsidR="009F5773" w:rsidRPr="006B435B">
        <w:rPr>
          <w:noProof/>
          <w:szCs w:val="24"/>
          <w:lang w:val="en-IE"/>
        </w:rPr>
        <w:t xml:space="preserve">procurement </w:t>
      </w:r>
      <w:r w:rsidR="009F5773">
        <w:rPr>
          <w:noProof/>
          <w:szCs w:val="24"/>
          <w:lang w:val="en-IE"/>
        </w:rPr>
        <w:t>procedures</w:t>
      </w:r>
      <w:r w:rsidR="009F5773" w:rsidRPr="006B435B">
        <w:rPr>
          <w:noProof/>
          <w:szCs w:val="24"/>
          <w:lang w:val="en-IE"/>
        </w:rPr>
        <w:t>.</w:t>
      </w:r>
      <w:r w:rsidR="009F5773">
        <w:rPr>
          <w:noProof/>
          <w:szCs w:val="24"/>
          <w:lang w:val="en-IE"/>
        </w:rPr>
        <w:t xml:space="preserve"> Furthermore, the Commission’s consistent guidance to</w:t>
      </w:r>
      <w:r w:rsidR="009F5773" w:rsidRPr="006B435B">
        <w:rPr>
          <w:noProof/>
          <w:szCs w:val="24"/>
          <w:lang w:val="en-IE"/>
        </w:rPr>
        <w:t xml:space="preserve"> Member State</w:t>
      </w:r>
      <w:r w:rsidR="009F5773">
        <w:rPr>
          <w:noProof/>
          <w:szCs w:val="24"/>
          <w:lang w:val="en-IE"/>
        </w:rPr>
        <w:t>s and regular and constructive</w:t>
      </w:r>
      <w:r w:rsidR="009F5773" w:rsidRPr="006B435B">
        <w:rPr>
          <w:noProof/>
          <w:szCs w:val="24"/>
          <w:lang w:val="en-IE"/>
        </w:rPr>
        <w:t xml:space="preserve"> engagement</w:t>
      </w:r>
      <w:r w:rsidR="009F5773">
        <w:rPr>
          <w:noProof/>
          <w:szCs w:val="24"/>
          <w:lang w:val="en-IE"/>
        </w:rPr>
        <w:t xml:space="preserve"> with stakeholders have been widely welcomed, fostering greater</w:t>
      </w:r>
      <w:r w:rsidR="009F5773" w:rsidRPr="006B435B">
        <w:rPr>
          <w:noProof/>
          <w:szCs w:val="24"/>
          <w:lang w:val="en-IE"/>
        </w:rPr>
        <w:t xml:space="preserve"> clarity and cooperation</w:t>
      </w:r>
      <w:r w:rsidR="009F5773">
        <w:rPr>
          <w:noProof/>
          <w:szCs w:val="24"/>
          <w:lang w:val="en-IE"/>
        </w:rPr>
        <w:t xml:space="preserve"> in the implementation of the framework</w:t>
      </w:r>
      <w:r w:rsidR="009F5773" w:rsidRPr="006B435B">
        <w:rPr>
          <w:noProof/>
          <w:szCs w:val="24"/>
          <w:lang w:val="en-IE"/>
        </w:rPr>
        <w:t>.</w:t>
      </w:r>
    </w:p>
    <w:p w14:paraId="2DF479C0" w14:textId="6A64A8A7" w:rsidR="006B435B" w:rsidRPr="006B435B" w:rsidRDefault="00DF75D3" w:rsidP="006B435B">
      <w:pPr>
        <w:spacing w:after="240"/>
        <w:rPr>
          <w:noProof/>
          <w:szCs w:val="24"/>
          <w:lang w:val="en-IE"/>
        </w:rPr>
      </w:pPr>
      <w:r w:rsidRPr="00DF75D3">
        <w:rPr>
          <w:noProof/>
          <w:szCs w:val="24"/>
          <w:lang w:val="en-IE"/>
        </w:rPr>
        <w:t>However, challenges remain, particularly around awareness gaps among contracting authorities and non-notification by economic operators.</w:t>
      </w:r>
      <w:r>
        <w:rPr>
          <w:noProof/>
          <w:szCs w:val="24"/>
          <w:lang w:val="en-IE"/>
        </w:rPr>
        <w:t xml:space="preserve"> </w:t>
      </w:r>
      <w:r w:rsidR="00FF6BCB">
        <w:rPr>
          <w:noProof/>
          <w:szCs w:val="24"/>
          <w:lang w:val="en-IE"/>
        </w:rPr>
        <w:t>The comparison between large procurement procedures published in T</w:t>
      </w:r>
      <w:r w:rsidR="00777D31">
        <w:rPr>
          <w:noProof/>
          <w:szCs w:val="24"/>
          <w:lang w:val="en-IE"/>
        </w:rPr>
        <w:t>enders Electronic Daily (T</w:t>
      </w:r>
      <w:r w:rsidR="00797026">
        <w:rPr>
          <w:noProof/>
          <w:szCs w:val="24"/>
          <w:lang w:val="en-IE"/>
        </w:rPr>
        <w:t>ED</w:t>
      </w:r>
      <w:r w:rsidR="00777D31">
        <w:rPr>
          <w:noProof/>
          <w:szCs w:val="24"/>
          <w:lang w:val="en-IE"/>
        </w:rPr>
        <w:t>)</w:t>
      </w:r>
      <w:r w:rsidR="00797026" w:rsidRPr="00797026">
        <w:rPr>
          <w:noProof/>
          <w:szCs w:val="24"/>
          <w:lang w:val="en-IE"/>
        </w:rPr>
        <w:t> (</w:t>
      </w:r>
      <w:r w:rsidR="00797026">
        <w:rPr>
          <w:rStyle w:val="FootnoteReference"/>
          <w:noProof/>
          <w:szCs w:val="24"/>
          <w:lang w:val="en-IE"/>
        </w:rPr>
        <w:footnoteReference w:id="25"/>
      </w:r>
      <w:r w:rsidR="00797026">
        <w:rPr>
          <w:noProof/>
          <w:szCs w:val="24"/>
          <w:lang w:val="en-IE"/>
        </w:rPr>
        <w:t>)</w:t>
      </w:r>
      <w:r w:rsidR="00FF6BCB">
        <w:rPr>
          <w:noProof/>
          <w:szCs w:val="24"/>
          <w:lang w:val="en-IE"/>
        </w:rPr>
        <w:t xml:space="preserve"> and those with at least one FSR submission suggests a </w:t>
      </w:r>
      <w:r w:rsidR="00797026">
        <w:rPr>
          <w:noProof/>
          <w:szCs w:val="24"/>
          <w:lang w:val="en-IE"/>
        </w:rPr>
        <w:t>decreasing</w:t>
      </w:r>
      <w:r w:rsidR="00FF6BCB">
        <w:rPr>
          <w:noProof/>
          <w:szCs w:val="24"/>
          <w:lang w:val="en-IE"/>
        </w:rPr>
        <w:t xml:space="preserve"> compliance trend over time. </w:t>
      </w:r>
      <w:r w:rsidR="000E79A0" w:rsidRPr="000E79A0">
        <w:rPr>
          <w:noProof/>
          <w:szCs w:val="24"/>
          <w:lang w:val="en-IE"/>
        </w:rPr>
        <w:t>Following a significant rise in FSR notifications from 40% to 70% during the first two years of enforcement, compliance fell to 45% in late 2025.</w:t>
      </w:r>
    </w:p>
    <w:p w14:paraId="1FB8C9A9" w14:textId="11130337" w:rsidR="002671EF" w:rsidRPr="002671EF" w:rsidRDefault="00797026" w:rsidP="002671EF">
      <w:pPr>
        <w:spacing w:after="240"/>
        <w:rPr>
          <w:noProof/>
          <w:szCs w:val="24"/>
          <w:lang w:val="en-IE"/>
        </w:rPr>
      </w:pPr>
      <w:r>
        <w:rPr>
          <w:noProof/>
          <w:szCs w:val="24"/>
          <w:lang w:val="en-IE"/>
        </w:rPr>
        <w:t>Furthermore, k</w:t>
      </w:r>
      <w:r w:rsidR="002671EF" w:rsidRPr="002671EF">
        <w:rPr>
          <w:noProof/>
          <w:szCs w:val="24"/>
          <w:lang w:val="en-IE"/>
        </w:rPr>
        <w:t xml:space="preserve">ey concerns </w:t>
      </w:r>
      <w:r>
        <w:rPr>
          <w:noProof/>
          <w:szCs w:val="24"/>
          <w:lang w:val="en-IE"/>
        </w:rPr>
        <w:t>raised by stakeholders</w:t>
      </w:r>
      <w:r w:rsidR="002671EF" w:rsidRPr="002671EF">
        <w:rPr>
          <w:noProof/>
          <w:szCs w:val="24"/>
          <w:lang w:val="en-IE"/>
        </w:rPr>
        <w:t xml:space="preserve"> include the administrative burden on </w:t>
      </w:r>
      <w:r w:rsidR="002671EF">
        <w:rPr>
          <w:noProof/>
          <w:szCs w:val="24"/>
          <w:lang w:val="en-IE"/>
        </w:rPr>
        <w:t>economic operators</w:t>
      </w:r>
      <w:r w:rsidR="002671EF" w:rsidRPr="002671EF">
        <w:rPr>
          <w:noProof/>
          <w:szCs w:val="24"/>
          <w:lang w:val="en-IE"/>
        </w:rPr>
        <w:t>, driven by</w:t>
      </w:r>
      <w:r w:rsidR="00581894">
        <w:rPr>
          <w:noProof/>
          <w:szCs w:val="24"/>
          <w:lang w:val="en-IE"/>
        </w:rPr>
        <w:t>, in their views,</w:t>
      </w:r>
      <w:r w:rsidR="002671EF" w:rsidRPr="002671EF">
        <w:rPr>
          <w:noProof/>
          <w:szCs w:val="24"/>
          <w:lang w:val="en-IE"/>
        </w:rPr>
        <w:t xml:space="preserve"> broad reporting obligations, </w:t>
      </w:r>
      <w:r w:rsidR="002671EF">
        <w:rPr>
          <w:noProof/>
          <w:szCs w:val="24"/>
          <w:lang w:val="en-IE"/>
        </w:rPr>
        <w:t xml:space="preserve">complex reporting </w:t>
      </w:r>
      <w:r w:rsidR="002671EF" w:rsidRPr="002671EF">
        <w:rPr>
          <w:noProof/>
          <w:szCs w:val="24"/>
          <w:lang w:val="en-IE"/>
        </w:rPr>
        <w:t xml:space="preserve">thresholds and submission forms. Difficulties in identifying and reporting </w:t>
      </w:r>
      <w:r w:rsidR="00C96FB6">
        <w:rPr>
          <w:noProof/>
          <w:szCs w:val="24"/>
          <w:lang w:val="en-IE"/>
        </w:rPr>
        <w:t xml:space="preserve">FFCs </w:t>
      </w:r>
      <w:r w:rsidR="002671EF" w:rsidRPr="002671EF">
        <w:rPr>
          <w:noProof/>
          <w:szCs w:val="24"/>
          <w:lang w:val="en-IE"/>
        </w:rPr>
        <w:t xml:space="preserve">often lead to incomplete filings, </w:t>
      </w:r>
      <w:r w:rsidR="002671EF">
        <w:rPr>
          <w:noProof/>
          <w:szCs w:val="24"/>
          <w:lang w:val="en-IE"/>
        </w:rPr>
        <w:t xml:space="preserve">requiring the </w:t>
      </w:r>
      <w:r w:rsidR="002671EF" w:rsidRPr="002671EF">
        <w:rPr>
          <w:noProof/>
          <w:szCs w:val="24"/>
          <w:lang w:val="en-IE"/>
        </w:rPr>
        <w:t xml:space="preserve">Commission to </w:t>
      </w:r>
      <w:r w:rsidR="002671EF">
        <w:rPr>
          <w:noProof/>
          <w:szCs w:val="24"/>
          <w:lang w:val="en-IE"/>
        </w:rPr>
        <w:t>gather</w:t>
      </w:r>
      <w:r w:rsidR="002671EF" w:rsidRPr="002671EF">
        <w:rPr>
          <w:noProof/>
          <w:szCs w:val="24"/>
          <w:lang w:val="en-IE"/>
        </w:rPr>
        <w:t xml:space="preserve"> missing data</w:t>
      </w:r>
      <w:r w:rsidR="002671EF">
        <w:rPr>
          <w:noProof/>
          <w:szCs w:val="24"/>
          <w:lang w:val="en-IE"/>
        </w:rPr>
        <w:t xml:space="preserve"> during the preliminary review</w:t>
      </w:r>
      <w:r w:rsidR="002671EF" w:rsidRPr="002671EF">
        <w:rPr>
          <w:noProof/>
          <w:szCs w:val="24"/>
          <w:lang w:val="en-IE"/>
        </w:rPr>
        <w:t>. Tight deadlines</w:t>
      </w:r>
      <w:r w:rsidR="002671EF">
        <w:rPr>
          <w:noProof/>
          <w:szCs w:val="24"/>
          <w:lang w:val="en-IE"/>
        </w:rPr>
        <w:t xml:space="preserve"> </w:t>
      </w:r>
      <w:r w:rsidR="002671EF" w:rsidRPr="002671EF">
        <w:rPr>
          <w:noProof/>
          <w:szCs w:val="24"/>
          <w:lang w:val="en-IE"/>
        </w:rPr>
        <w:t>compounded by the lack of a ‘stop-the-clock’ mechanism</w:t>
      </w:r>
      <w:r w:rsidR="002671EF">
        <w:rPr>
          <w:noProof/>
          <w:szCs w:val="24"/>
          <w:lang w:val="en-IE"/>
        </w:rPr>
        <w:t xml:space="preserve"> </w:t>
      </w:r>
      <w:r w:rsidR="002671EF" w:rsidRPr="002671EF">
        <w:rPr>
          <w:noProof/>
          <w:szCs w:val="24"/>
          <w:lang w:val="en-IE"/>
        </w:rPr>
        <w:t>strain assessments, especially in complex cases.</w:t>
      </w:r>
    </w:p>
    <w:p w14:paraId="651E90BB" w14:textId="38241208" w:rsidR="002671EF" w:rsidRPr="00CF7152" w:rsidRDefault="002671EF" w:rsidP="002671EF">
      <w:pPr>
        <w:spacing w:after="240"/>
        <w:rPr>
          <w:noProof/>
          <w:lang w:val="en-IE"/>
        </w:rPr>
      </w:pPr>
      <w:r w:rsidRPr="00CF7152">
        <w:rPr>
          <w:noProof/>
          <w:lang w:val="en-IE"/>
        </w:rPr>
        <w:t xml:space="preserve">While progress has been made in </w:t>
      </w:r>
      <w:r w:rsidR="000449AA" w:rsidRPr="00CF7152">
        <w:rPr>
          <w:noProof/>
          <w:lang w:val="en-IE"/>
        </w:rPr>
        <w:t xml:space="preserve">providing </w:t>
      </w:r>
      <w:r w:rsidR="009605F6" w:rsidRPr="00CF7152">
        <w:rPr>
          <w:noProof/>
          <w:lang w:val="en-IE"/>
        </w:rPr>
        <w:t xml:space="preserve">guidance and </w:t>
      </w:r>
      <w:r w:rsidR="0071381A">
        <w:rPr>
          <w:noProof/>
          <w:lang w:val="en-IE"/>
        </w:rPr>
        <w:t xml:space="preserve">improving </w:t>
      </w:r>
      <w:r w:rsidRPr="00CF7152">
        <w:rPr>
          <w:noProof/>
          <w:lang w:val="en-IE"/>
        </w:rPr>
        <w:t xml:space="preserve">transparency, stakeholders </w:t>
      </w:r>
      <w:r w:rsidR="009605F6" w:rsidRPr="00CF7152">
        <w:rPr>
          <w:noProof/>
          <w:lang w:val="en-IE"/>
        </w:rPr>
        <w:t xml:space="preserve">continue to </w:t>
      </w:r>
      <w:r w:rsidR="00581894">
        <w:rPr>
          <w:noProof/>
          <w:lang w:val="en-IE"/>
        </w:rPr>
        <w:t xml:space="preserve">explain that </w:t>
      </w:r>
      <w:r w:rsidR="009605F6" w:rsidRPr="00CF7152">
        <w:rPr>
          <w:noProof/>
          <w:lang w:val="en-IE"/>
        </w:rPr>
        <w:t xml:space="preserve">targeted improvement and </w:t>
      </w:r>
      <w:r w:rsidR="001804A1" w:rsidRPr="00CF7152">
        <w:rPr>
          <w:noProof/>
          <w:lang w:val="en-IE"/>
        </w:rPr>
        <w:t>simplification of the current framework</w:t>
      </w:r>
      <w:r w:rsidR="00581894">
        <w:rPr>
          <w:noProof/>
          <w:lang w:val="en-IE"/>
        </w:rPr>
        <w:t xml:space="preserve"> is needed</w:t>
      </w:r>
      <w:r w:rsidR="001804A1" w:rsidRPr="00CF7152">
        <w:rPr>
          <w:noProof/>
          <w:lang w:val="en-IE"/>
        </w:rPr>
        <w:t xml:space="preserve">, </w:t>
      </w:r>
      <w:r w:rsidR="009605F6" w:rsidRPr="00CF7152">
        <w:rPr>
          <w:noProof/>
          <w:lang w:val="en-IE"/>
        </w:rPr>
        <w:t xml:space="preserve">as well as </w:t>
      </w:r>
      <w:r w:rsidR="0071381A">
        <w:rPr>
          <w:noProof/>
          <w:lang w:val="en-IE"/>
        </w:rPr>
        <w:t>enhanced</w:t>
      </w:r>
      <w:r w:rsidR="0071381A" w:rsidRPr="00CF7152">
        <w:rPr>
          <w:noProof/>
          <w:lang w:val="en-IE"/>
        </w:rPr>
        <w:t xml:space="preserve"> </w:t>
      </w:r>
      <w:r w:rsidR="001804A1" w:rsidRPr="00CF7152">
        <w:rPr>
          <w:noProof/>
          <w:lang w:val="en-IE"/>
        </w:rPr>
        <w:t>transparency</w:t>
      </w:r>
      <w:r w:rsidRPr="00CF7152">
        <w:rPr>
          <w:noProof/>
          <w:lang w:val="en-IE"/>
        </w:rPr>
        <w:t xml:space="preserve"> </w:t>
      </w:r>
      <w:r w:rsidR="001804A1" w:rsidRPr="00CF7152">
        <w:rPr>
          <w:noProof/>
          <w:lang w:val="en-IE"/>
        </w:rPr>
        <w:t>to</w:t>
      </w:r>
      <w:r w:rsidRPr="00CF7152">
        <w:rPr>
          <w:noProof/>
          <w:lang w:val="en-IE"/>
        </w:rPr>
        <w:t xml:space="preserve"> support </w:t>
      </w:r>
      <w:r w:rsidR="001804A1" w:rsidRPr="00CF7152">
        <w:rPr>
          <w:noProof/>
          <w:lang w:val="en-IE"/>
        </w:rPr>
        <w:t>a more</w:t>
      </w:r>
      <w:r w:rsidRPr="00CF7152">
        <w:rPr>
          <w:noProof/>
          <w:lang w:val="en-IE"/>
        </w:rPr>
        <w:t xml:space="preserve"> consistent </w:t>
      </w:r>
      <w:r w:rsidR="009605F6" w:rsidRPr="00CF7152">
        <w:rPr>
          <w:noProof/>
          <w:lang w:val="en-IE"/>
        </w:rPr>
        <w:t>enforcement</w:t>
      </w:r>
      <w:r w:rsidRPr="00CF7152">
        <w:rPr>
          <w:noProof/>
          <w:lang w:val="en-IE"/>
        </w:rPr>
        <w:t xml:space="preserve"> and greater predictability.</w:t>
      </w:r>
    </w:p>
    <w:p w14:paraId="0ECDE324" w14:textId="26EE8848" w:rsidR="00C96FB6" w:rsidRDefault="00C96FB6" w:rsidP="00C96FB6">
      <w:pPr>
        <w:pStyle w:val="Heading2"/>
        <w:rPr>
          <w:noProof/>
        </w:rPr>
      </w:pPr>
      <w:bookmarkStart w:id="21" w:name="_Toc228901747"/>
      <w:bookmarkStart w:id="22" w:name="_Hlk229157802"/>
      <w:r w:rsidRPr="00D1183D">
        <w:rPr>
          <w:noProof/>
        </w:rPr>
        <w:t xml:space="preserve">Developments </w:t>
      </w:r>
      <w:r w:rsidR="00A13E56">
        <w:rPr>
          <w:noProof/>
        </w:rPr>
        <w:t xml:space="preserve">in </w:t>
      </w:r>
      <w:r w:rsidRPr="00D1183D">
        <w:rPr>
          <w:noProof/>
        </w:rPr>
        <w:t>third countries’ subsidy control systems</w:t>
      </w:r>
      <w:bookmarkEnd w:id="21"/>
    </w:p>
    <w:p w14:paraId="68575D84" w14:textId="00269A75" w:rsidR="00A46D6D" w:rsidRDefault="00C96FB6" w:rsidP="00C96FB6">
      <w:pPr>
        <w:rPr>
          <w:noProof/>
        </w:rPr>
      </w:pPr>
      <w:r>
        <w:rPr>
          <w:noProof/>
          <w:lang w:val="en-IE"/>
        </w:rPr>
        <w:t xml:space="preserve">Pursuant to </w:t>
      </w:r>
      <w:r w:rsidR="00D74856">
        <w:rPr>
          <w:noProof/>
          <w:lang w:val="en-IE"/>
        </w:rPr>
        <w:t>Article </w:t>
      </w:r>
      <w:r>
        <w:rPr>
          <w:noProof/>
          <w:lang w:val="en-IE"/>
        </w:rPr>
        <w:t>52(2) FSR, i</w:t>
      </w:r>
      <w:r w:rsidRPr="001B6F97">
        <w:rPr>
          <w:noProof/>
        </w:rPr>
        <w:t xml:space="preserve">n the context of </w:t>
      </w:r>
      <w:r>
        <w:rPr>
          <w:noProof/>
        </w:rPr>
        <w:t>its</w:t>
      </w:r>
      <w:r w:rsidRPr="001B6F97">
        <w:rPr>
          <w:noProof/>
        </w:rPr>
        <w:t xml:space="preserve"> review, the Commission</w:t>
      </w:r>
      <w:r w:rsidR="00A46D6D">
        <w:rPr>
          <w:noProof/>
        </w:rPr>
        <w:t xml:space="preserve"> is bound to</w:t>
      </w:r>
      <w:r w:rsidRPr="001B6F97">
        <w:rPr>
          <w:noProof/>
        </w:rPr>
        <w:t xml:space="preserve"> report on developments in international relations </w:t>
      </w:r>
      <w:r w:rsidR="00A13E56">
        <w:rPr>
          <w:noProof/>
        </w:rPr>
        <w:t xml:space="preserve">involving </w:t>
      </w:r>
      <w:r w:rsidRPr="001B6F97">
        <w:rPr>
          <w:noProof/>
        </w:rPr>
        <w:t>third countries’ subsidy control systems</w:t>
      </w:r>
      <w:r>
        <w:rPr>
          <w:noProof/>
        </w:rPr>
        <w:t xml:space="preserve">. </w:t>
      </w:r>
    </w:p>
    <w:p w14:paraId="2BB3D9A5" w14:textId="3A2EBDDC" w:rsidR="00C96FB6" w:rsidRDefault="00C32994" w:rsidP="00C96FB6">
      <w:pPr>
        <w:rPr>
          <w:noProof/>
        </w:rPr>
      </w:pPr>
      <w:r>
        <w:rPr>
          <w:noProof/>
        </w:rPr>
        <w:t xml:space="preserve">The </w:t>
      </w:r>
      <w:r w:rsidR="00C96FB6">
        <w:rPr>
          <w:noProof/>
        </w:rPr>
        <w:t>FSR Review Study</w:t>
      </w:r>
      <w:r w:rsidR="00285C54">
        <w:rPr>
          <w:noProof/>
        </w:rPr>
        <w:t xml:space="preserve"> therefore also</w:t>
      </w:r>
      <w:r w:rsidR="00C96FB6">
        <w:rPr>
          <w:noProof/>
        </w:rPr>
        <w:t xml:space="preserve"> </w:t>
      </w:r>
      <w:r w:rsidR="00A46D6D">
        <w:rPr>
          <w:noProof/>
        </w:rPr>
        <w:t>assesse</w:t>
      </w:r>
      <w:r>
        <w:rPr>
          <w:noProof/>
        </w:rPr>
        <w:t>d</w:t>
      </w:r>
      <w:r w:rsidR="00A46D6D">
        <w:rPr>
          <w:noProof/>
        </w:rPr>
        <w:t xml:space="preserve"> the</w:t>
      </w:r>
      <w:r w:rsidR="00C96FB6">
        <w:rPr>
          <w:noProof/>
        </w:rPr>
        <w:t xml:space="preserve"> developments</w:t>
      </w:r>
      <w:r w:rsidR="00A46D6D">
        <w:rPr>
          <w:noProof/>
        </w:rPr>
        <w:t xml:space="preserve"> </w:t>
      </w:r>
      <w:r w:rsidR="00A46D6D" w:rsidRPr="001B6F97">
        <w:rPr>
          <w:noProof/>
        </w:rPr>
        <w:t>in international relations regarding third countries’ subsidy control systems</w:t>
      </w:r>
      <w:r w:rsidR="00A46D6D">
        <w:rPr>
          <w:noProof/>
        </w:rPr>
        <w:t xml:space="preserve">. The </w:t>
      </w:r>
      <w:r>
        <w:rPr>
          <w:noProof/>
        </w:rPr>
        <w:t xml:space="preserve">findings </w:t>
      </w:r>
      <w:r w:rsidR="00A46D6D">
        <w:rPr>
          <w:noProof/>
        </w:rPr>
        <w:t>on th</w:t>
      </w:r>
      <w:r>
        <w:rPr>
          <w:noProof/>
        </w:rPr>
        <w:t>e</w:t>
      </w:r>
      <w:r w:rsidR="00A46D6D">
        <w:rPr>
          <w:noProof/>
        </w:rPr>
        <w:t xml:space="preserve"> issue are presented in </w:t>
      </w:r>
      <w:r>
        <w:rPr>
          <w:noProof/>
        </w:rPr>
        <w:t>more detail in the accompanying Staff Working Document.</w:t>
      </w:r>
      <w:r w:rsidR="00A46D6D">
        <w:rPr>
          <w:noProof/>
        </w:rPr>
        <w:t xml:space="preserve"> </w:t>
      </w:r>
    </w:p>
    <w:p w14:paraId="236EFDB4" w14:textId="1F06E21F" w:rsidR="00C45C70" w:rsidRDefault="00285C54" w:rsidP="00C96FB6">
      <w:pPr>
        <w:rPr>
          <w:noProof/>
          <w:lang w:val="en-IE"/>
        </w:rPr>
      </w:pPr>
      <w:r>
        <w:rPr>
          <w:noProof/>
        </w:rPr>
        <w:t>In sum, t</w:t>
      </w:r>
      <w:r w:rsidR="00C96FB6">
        <w:rPr>
          <w:noProof/>
          <w:lang w:val="en-IE"/>
        </w:rPr>
        <w:t xml:space="preserve">he </w:t>
      </w:r>
      <w:r w:rsidR="00A46D6D">
        <w:rPr>
          <w:noProof/>
          <w:lang w:val="en-IE"/>
        </w:rPr>
        <w:t>review of these developments</w:t>
      </w:r>
      <w:r w:rsidR="00C96FB6" w:rsidRPr="005764B4">
        <w:rPr>
          <w:noProof/>
          <w:lang w:val="en-IE"/>
        </w:rPr>
        <w:t xml:space="preserve"> </w:t>
      </w:r>
      <w:r w:rsidR="00C96FB6" w:rsidRPr="0048237F">
        <w:rPr>
          <w:noProof/>
          <w:lang w:val="en-IE"/>
        </w:rPr>
        <w:t>in</w:t>
      </w:r>
      <w:r w:rsidR="00C96FB6">
        <w:rPr>
          <w:noProof/>
          <w:lang w:val="en-IE"/>
        </w:rPr>
        <w:t>dicates</w:t>
      </w:r>
      <w:r w:rsidR="00C96FB6" w:rsidRPr="00F8266A">
        <w:rPr>
          <w:noProof/>
          <w:lang w:val="en-IE"/>
        </w:rPr>
        <w:t xml:space="preserve"> that there </w:t>
      </w:r>
      <w:r w:rsidR="00707E85" w:rsidRPr="00F8266A">
        <w:rPr>
          <w:noProof/>
          <w:lang w:val="en-IE"/>
        </w:rPr>
        <w:t>have</w:t>
      </w:r>
      <w:r w:rsidR="00C96FB6" w:rsidRPr="00F8266A">
        <w:rPr>
          <w:noProof/>
          <w:lang w:val="en-IE"/>
        </w:rPr>
        <w:t xml:space="preserve"> been no </w:t>
      </w:r>
      <w:r w:rsidR="00A46D6D">
        <w:rPr>
          <w:noProof/>
          <w:lang w:val="en-IE"/>
        </w:rPr>
        <w:t>material developments</w:t>
      </w:r>
      <w:r w:rsidR="00C96FB6" w:rsidRPr="00F8266A">
        <w:rPr>
          <w:noProof/>
          <w:lang w:val="en-IE"/>
        </w:rPr>
        <w:t xml:space="preserve"> in third countries’ subsidy control systems since the adoption of the FSR</w:t>
      </w:r>
      <w:r w:rsidR="00D74856">
        <w:rPr>
          <w:noProof/>
          <w:lang w:val="en-IE"/>
        </w:rPr>
        <w:t>.</w:t>
      </w:r>
      <w:r>
        <w:rPr>
          <w:noProof/>
          <w:lang w:val="en-IE"/>
        </w:rPr>
        <w:t xml:space="preserve"> </w:t>
      </w:r>
      <w:r w:rsidR="00D74856">
        <w:rPr>
          <w:noProof/>
          <w:lang w:val="en-IE"/>
        </w:rPr>
        <w:t>A</w:t>
      </w:r>
      <w:r>
        <w:rPr>
          <w:noProof/>
          <w:lang w:val="en-IE"/>
        </w:rPr>
        <w:t>s a result</w:t>
      </w:r>
      <w:r w:rsidR="00804FA8">
        <w:rPr>
          <w:noProof/>
          <w:lang w:val="en-IE"/>
        </w:rPr>
        <w:t>,</w:t>
      </w:r>
      <w:r>
        <w:rPr>
          <w:noProof/>
          <w:lang w:val="en-IE"/>
        </w:rPr>
        <w:t xml:space="preserve"> </w:t>
      </w:r>
      <w:r w:rsidR="00C45C70" w:rsidRPr="00AA0B88">
        <w:rPr>
          <w:noProof/>
          <w:lang w:val="en-IE"/>
        </w:rPr>
        <w:t>the FSR remain</w:t>
      </w:r>
      <w:r w:rsidRPr="00AA0B88">
        <w:rPr>
          <w:noProof/>
          <w:lang w:val="en-IE"/>
        </w:rPr>
        <w:t>s</w:t>
      </w:r>
      <w:r w:rsidR="00C45C70" w:rsidRPr="00AA0B88">
        <w:rPr>
          <w:noProof/>
          <w:lang w:val="en-IE"/>
        </w:rPr>
        <w:t xml:space="preserve"> </w:t>
      </w:r>
      <w:r w:rsidR="00581894">
        <w:rPr>
          <w:noProof/>
          <w:lang w:val="en-IE"/>
        </w:rPr>
        <w:t>relevant</w:t>
      </w:r>
      <w:r w:rsidR="00C45C70" w:rsidRPr="00AA0B88">
        <w:rPr>
          <w:noProof/>
          <w:lang w:val="en-IE"/>
        </w:rPr>
        <w:t xml:space="preserve"> to address the distortions </w:t>
      </w:r>
      <w:r w:rsidR="00000576" w:rsidRPr="00AA0B88">
        <w:rPr>
          <w:noProof/>
          <w:lang w:val="en-IE"/>
        </w:rPr>
        <w:t>i</w:t>
      </w:r>
      <w:r w:rsidR="00C45C70" w:rsidRPr="00AA0B88">
        <w:rPr>
          <w:noProof/>
          <w:lang w:val="en-IE"/>
        </w:rPr>
        <w:t xml:space="preserve">n the </w:t>
      </w:r>
      <w:r w:rsidR="00000576" w:rsidRPr="00AA0B88">
        <w:rPr>
          <w:noProof/>
          <w:lang w:val="en-IE"/>
        </w:rPr>
        <w:t>internal</w:t>
      </w:r>
      <w:r w:rsidR="00C45C70" w:rsidRPr="00AA0B88">
        <w:rPr>
          <w:noProof/>
          <w:lang w:val="en-IE"/>
        </w:rPr>
        <w:t xml:space="preserve"> market caused by foreign subsidies, which are not caught by the traditional trade defence mechanisms of the </w:t>
      </w:r>
      <w:r w:rsidR="00D74856" w:rsidRPr="00AA0B88">
        <w:rPr>
          <w:noProof/>
          <w:lang w:val="en-IE"/>
        </w:rPr>
        <w:t>Union</w:t>
      </w:r>
      <w:r w:rsidR="00C45C70" w:rsidRPr="00AA0B88">
        <w:rPr>
          <w:noProof/>
          <w:lang w:val="en-IE"/>
        </w:rPr>
        <w:t>.</w:t>
      </w:r>
      <w:r w:rsidR="00C45C70" w:rsidRPr="00F8266A">
        <w:rPr>
          <w:noProof/>
          <w:lang w:val="en-IE"/>
        </w:rPr>
        <w:t xml:space="preserve"> </w:t>
      </w:r>
    </w:p>
    <w:p w14:paraId="2051ABEE" w14:textId="508BEF7A" w:rsidR="00C96FB6" w:rsidRDefault="00C96FB6" w:rsidP="00C96FB6">
      <w:pPr>
        <w:rPr>
          <w:noProof/>
          <w:lang w:val="en-IE"/>
        </w:rPr>
      </w:pPr>
      <w:r>
        <w:rPr>
          <w:noProof/>
          <w:lang w:val="en-IE"/>
        </w:rPr>
        <w:t>C</w:t>
      </w:r>
      <w:r w:rsidRPr="00F8266A">
        <w:rPr>
          <w:noProof/>
          <w:lang w:val="en-IE"/>
        </w:rPr>
        <w:t>ontinued monitoring</w:t>
      </w:r>
      <w:r>
        <w:rPr>
          <w:noProof/>
          <w:lang w:val="en-IE"/>
        </w:rPr>
        <w:t xml:space="preserve"> of these developments</w:t>
      </w:r>
      <w:r w:rsidR="00A46D6D">
        <w:rPr>
          <w:noProof/>
          <w:lang w:val="en-IE"/>
        </w:rPr>
        <w:t xml:space="preserve">, however, </w:t>
      </w:r>
      <w:r w:rsidRPr="00F8266A">
        <w:rPr>
          <w:noProof/>
          <w:lang w:val="en-IE"/>
        </w:rPr>
        <w:t>remain</w:t>
      </w:r>
      <w:r w:rsidR="000F7827">
        <w:rPr>
          <w:noProof/>
          <w:lang w:val="en-IE"/>
        </w:rPr>
        <w:t>s</w:t>
      </w:r>
      <w:r w:rsidR="00A46D6D">
        <w:rPr>
          <w:noProof/>
          <w:lang w:val="en-IE"/>
        </w:rPr>
        <w:t xml:space="preserve"> </w:t>
      </w:r>
      <w:r w:rsidRPr="00F8266A">
        <w:rPr>
          <w:noProof/>
          <w:lang w:val="en-IE"/>
        </w:rPr>
        <w:t xml:space="preserve">important, especially in light of evolving industrial policies </w:t>
      </w:r>
      <w:r>
        <w:rPr>
          <w:noProof/>
          <w:lang w:val="en-IE"/>
        </w:rPr>
        <w:t xml:space="preserve">of third countries </w:t>
      </w:r>
      <w:r w:rsidRPr="00F8266A">
        <w:rPr>
          <w:noProof/>
          <w:lang w:val="en-IE"/>
        </w:rPr>
        <w:t>and potential future reforms</w:t>
      </w:r>
      <w:r>
        <w:rPr>
          <w:noProof/>
          <w:lang w:val="en-IE"/>
        </w:rPr>
        <w:t xml:space="preserve"> </w:t>
      </w:r>
      <w:r w:rsidR="00096AC4">
        <w:rPr>
          <w:noProof/>
          <w:lang w:val="en-IE"/>
        </w:rPr>
        <w:t>at international level</w:t>
      </w:r>
      <w:r w:rsidRPr="00F8266A">
        <w:rPr>
          <w:noProof/>
          <w:lang w:val="en-IE"/>
        </w:rPr>
        <w:t xml:space="preserve">. </w:t>
      </w:r>
    </w:p>
    <w:bookmarkEnd w:id="22"/>
    <w:p w14:paraId="68BA6BEE" w14:textId="17B12EAB" w:rsidR="00F14ECF" w:rsidRPr="00D8507D" w:rsidRDefault="00D864F7" w:rsidP="00F14ECF">
      <w:pPr>
        <w:pStyle w:val="Heading1"/>
        <w:rPr>
          <w:noProof/>
          <w:lang w:val="en-IE"/>
        </w:rPr>
      </w:pPr>
      <w:r>
        <w:rPr>
          <w:noProof/>
        </w:rPr>
        <w:t xml:space="preserve">ASSESSMENT OF </w:t>
      </w:r>
      <w:r w:rsidR="00F14ECF">
        <w:rPr>
          <w:noProof/>
        </w:rPr>
        <w:t>THE EFFECTIVENESS OF THE FSR</w:t>
      </w:r>
      <w:r>
        <w:rPr>
          <w:noProof/>
        </w:rPr>
        <w:t xml:space="preserve"> </w:t>
      </w:r>
    </w:p>
    <w:p w14:paraId="63B5D84D" w14:textId="05968E36" w:rsidR="00C9223D" w:rsidRPr="000E65E9" w:rsidRDefault="00A46D6D" w:rsidP="000E65E9">
      <w:pPr>
        <w:rPr>
          <w:noProof/>
          <w:szCs w:val="24"/>
        </w:rPr>
      </w:pPr>
      <w:r w:rsidRPr="00CF7152">
        <w:rPr>
          <w:noProof/>
        </w:rPr>
        <w:t xml:space="preserve">Based on the review’s findings, the overall objective of the FSR remains valid and </w:t>
      </w:r>
      <w:r w:rsidR="00DF5E66">
        <w:rPr>
          <w:noProof/>
        </w:rPr>
        <w:t xml:space="preserve">it is widely acknowledged that the FSR </w:t>
      </w:r>
      <w:r w:rsidRPr="00CF7152">
        <w:rPr>
          <w:noProof/>
        </w:rPr>
        <w:t xml:space="preserve">contributes positively to the preservation of the level playing field in the internal market. </w:t>
      </w:r>
    </w:p>
    <w:p w14:paraId="551A9469" w14:textId="5B196280" w:rsidR="000C4B4D" w:rsidRPr="00D1183D" w:rsidRDefault="00A46D6D" w:rsidP="000C4B4D">
      <w:pPr>
        <w:rPr>
          <w:noProof/>
        </w:rPr>
      </w:pPr>
      <w:r w:rsidRPr="00D1183D">
        <w:rPr>
          <w:noProof/>
        </w:rPr>
        <w:t xml:space="preserve">In terms of substantive </w:t>
      </w:r>
      <w:r w:rsidR="00403134">
        <w:rPr>
          <w:noProof/>
        </w:rPr>
        <w:t xml:space="preserve">FSR </w:t>
      </w:r>
      <w:r w:rsidR="00A13E56">
        <w:rPr>
          <w:noProof/>
        </w:rPr>
        <w:t>concepts</w:t>
      </w:r>
      <w:r w:rsidRPr="00D1183D">
        <w:rPr>
          <w:noProof/>
        </w:rPr>
        <w:t xml:space="preserve">, </w:t>
      </w:r>
      <w:r w:rsidR="00F37CA2">
        <w:rPr>
          <w:noProof/>
        </w:rPr>
        <w:t xml:space="preserve">stakeholders </w:t>
      </w:r>
      <w:r w:rsidR="000C4B4D">
        <w:rPr>
          <w:noProof/>
        </w:rPr>
        <w:t xml:space="preserve">reported </w:t>
      </w:r>
      <w:r w:rsidR="000E5D38">
        <w:rPr>
          <w:noProof/>
        </w:rPr>
        <w:t>a</w:t>
      </w:r>
      <w:r w:rsidR="000C4B4D">
        <w:rPr>
          <w:noProof/>
        </w:rPr>
        <w:t xml:space="preserve"> need for </w:t>
      </w:r>
      <w:r w:rsidR="00B0742B">
        <w:rPr>
          <w:noProof/>
        </w:rPr>
        <w:t xml:space="preserve">higher legal certainty and </w:t>
      </w:r>
      <w:r w:rsidR="000C4B4D">
        <w:rPr>
          <w:noProof/>
        </w:rPr>
        <w:t>clarity</w:t>
      </w:r>
      <w:r w:rsidRPr="00D1183D">
        <w:rPr>
          <w:noProof/>
        </w:rPr>
        <w:t xml:space="preserve">, which </w:t>
      </w:r>
      <w:r w:rsidR="00B0742B">
        <w:rPr>
          <w:noProof/>
        </w:rPr>
        <w:t xml:space="preserve">is typically </w:t>
      </w:r>
      <w:r w:rsidRPr="00D1183D">
        <w:rPr>
          <w:noProof/>
        </w:rPr>
        <w:t xml:space="preserve">associated with the </w:t>
      </w:r>
      <w:r w:rsidR="00B0742B">
        <w:rPr>
          <w:noProof/>
        </w:rPr>
        <w:t>implementation</w:t>
      </w:r>
      <w:r w:rsidRPr="00D1183D">
        <w:rPr>
          <w:noProof/>
        </w:rPr>
        <w:t xml:space="preserve"> of a new legal framework. </w:t>
      </w:r>
      <w:r w:rsidR="00B0742B">
        <w:rPr>
          <w:noProof/>
        </w:rPr>
        <w:t>In this regard, t</w:t>
      </w:r>
      <w:r w:rsidR="000C4B4D">
        <w:rPr>
          <w:noProof/>
        </w:rPr>
        <w:t xml:space="preserve">he Commission </w:t>
      </w:r>
      <w:r w:rsidR="00E24AC2">
        <w:rPr>
          <w:noProof/>
        </w:rPr>
        <w:t>undertakes</w:t>
      </w:r>
      <w:r w:rsidR="000C4B4D">
        <w:rPr>
          <w:noProof/>
        </w:rPr>
        <w:t xml:space="preserve"> a number of initiatives to clarify the FSR </w:t>
      </w:r>
      <w:r w:rsidR="00A13E56">
        <w:rPr>
          <w:noProof/>
        </w:rPr>
        <w:t>concepts</w:t>
      </w:r>
      <w:r w:rsidR="000C4B4D">
        <w:rPr>
          <w:noProof/>
        </w:rPr>
        <w:t>, including</w:t>
      </w:r>
      <w:r w:rsidR="00A13E56">
        <w:rPr>
          <w:noProof/>
        </w:rPr>
        <w:t xml:space="preserve"> </w:t>
      </w:r>
      <w:r w:rsidR="000C4B4D">
        <w:rPr>
          <w:noProof/>
        </w:rPr>
        <w:t>the</w:t>
      </w:r>
      <w:r w:rsidRPr="00D1183D">
        <w:rPr>
          <w:noProof/>
        </w:rPr>
        <w:t xml:space="preserve"> recent </w:t>
      </w:r>
      <w:r>
        <w:rPr>
          <w:noProof/>
        </w:rPr>
        <w:t>publication</w:t>
      </w:r>
      <w:r w:rsidRPr="00D1183D">
        <w:rPr>
          <w:noProof/>
        </w:rPr>
        <w:t xml:space="preserve"> of the FSR Guidelines</w:t>
      </w:r>
      <w:r>
        <w:rPr>
          <w:noProof/>
        </w:rPr>
        <w:t xml:space="preserve">, </w:t>
      </w:r>
      <w:r w:rsidRPr="00D1183D">
        <w:rPr>
          <w:noProof/>
        </w:rPr>
        <w:t xml:space="preserve">the </w:t>
      </w:r>
      <w:r>
        <w:rPr>
          <w:noProof/>
        </w:rPr>
        <w:t xml:space="preserve">publication of the non-confidential versions of the adopted final decisions </w:t>
      </w:r>
      <w:r w:rsidRPr="008B4E3D">
        <w:rPr>
          <w:noProof/>
        </w:rPr>
        <w:t xml:space="preserve">concluding </w:t>
      </w:r>
      <w:r>
        <w:rPr>
          <w:noProof/>
        </w:rPr>
        <w:t>its</w:t>
      </w:r>
      <w:r w:rsidRPr="008B4E3D">
        <w:rPr>
          <w:noProof/>
        </w:rPr>
        <w:t xml:space="preserve"> in-depth investigations</w:t>
      </w:r>
      <w:r>
        <w:rPr>
          <w:noProof/>
        </w:rPr>
        <w:t xml:space="preserve">, </w:t>
      </w:r>
      <w:r w:rsidRPr="00D1183D">
        <w:rPr>
          <w:noProof/>
        </w:rPr>
        <w:t xml:space="preserve">regular updates to the </w:t>
      </w:r>
      <w:r>
        <w:rPr>
          <w:noProof/>
        </w:rPr>
        <w:t>FSR Q&amp;A</w:t>
      </w:r>
      <w:r w:rsidR="00E73BFF">
        <w:rPr>
          <w:noProof/>
        </w:rPr>
        <w:t>s</w:t>
      </w:r>
      <w:r w:rsidRPr="00D1183D">
        <w:rPr>
          <w:noProof/>
        </w:rPr>
        <w:t xml:space="preserve"> and the publication of FSR briefs</w:t>
      </w:r>
      <w:r w:rsidR="000C4B4D">
        <w:rPr>
          <w:noProof/>
        </w:rPr>
        <w:t xml:space="preserve">. The Commission </w:t>
      </w:r>
      <w:r w:rsidR="00B0742B">
        <w:rPr>
          <w:noProof/>
        </w:rPr>
        <w:t xml:space="preserve">will remain committed to these </w:t>
      </w:r>
      <w:r w:rsidR="000C4B4D">
        <w:rPr>
          <w:noProof/>
        </w:rPr>
        <w:t>practices</w:t>
      </w:r>
      <w:r w:rsidR="00B0742B">
        <w:rPr>
          <w:noProof/>
        </w:rPr>
        <w:t xml:space="preserve"> going forward. The Commission also expects that t</w:t>
      </w:r>
      <w:r w:rsidRPr="00D1183D">
        <w:rPr>
          <w:noProof/>
        </w:rPr>
        <w:t>he accumulation of</w:t>
      </w:r>
      <w:r w:rsidR="000C4B4D">
        <w:rPr>
          <w:noProof/>
        </w:rPr>
        <w:t xml:space="preserve"> FSR </w:t>
      </w:r>
      <w:r w:rsidRPr="00D1183D">
        <w:rPr>
          <w:noProof/>
        </w:rPr>
        <w:t>case practice</w:t>
      </w:r>
      <w:r w:rsidR="00B0742B">
        <w:rPr>
          <w:noProof/>
        </w:rPr>
        <w:t xml:space="preserve"> </w:t>
      </w:r>
      <w:r>
        <w:rPr>
          <w:noProof/>
        </w:rPr>
        <w:t xml:space="preserve">will </w:t>
      </w:r>
      <w:r w:rsidR="00B0742B">
        <w:rPr>
          <w:noProof/>
        </w:rPr>
        <w:t xml:space="preserve">bring more clarity to stakeholders </w:t>
      </w:r>
      <w:r w:rsidR="000C4B4D">
        <w:rPr>
          <w:noProof/>
        </w:rPr>
        <w:t xml:space="preserve">and contribute </w:t>
      </w:r>
      <w:r>
        <w:rPr>
          <w:noProof/>
        </w:rPr>
        <w:t>to</w:t>
      </w:r>
      <w:r w:rsidRPr="00D1183D">
        <w:rPr>
          <w:noProof/>
        </w:rPr>
        <w:t xml:space="preserve"> </w:t>
      </w:r>
      <w:r w:rsidR="002D0024">
        <w:rPr>
          <w:noProof/>
        </w:rPr>
        <w:t xml:space="preserve">a </w:t>
      </w:r>
      <w:r w:rsidRPr="00D1183D">
        <w:rPr>
          <w:noProof/>
        </w:rPr>
        <w:t>better understanding of</w:t>
      </w:r>
      <w:r>
        <w:rPr>
          <w:noProof/>
        </w:rPr>
        <w:t xml:space="preserve"> </w:t>
      </w:r>
      <w:r w:rsidR="002D0024">
        <w:rPr>
          <w:noProof/>
        </w:rPr>
        <w:t xml:space="preserve">the </w:t>
      </w:r>
      <w:r w:rsidR="000C4B4D">
        <w:rPr>
          <w:noProof/>
        </w:rPr>
        <w:t xml:space="preserve">specific </w:t>
      </w:r>
      <w:r w:rsidRPr="00D1183D">
        <w:rPr>
          <w:noProof/>
        </w:rPr>
        <w:t>FSR</w:t>
      </w:r>
      <w:r w:rsidRPr="005764B4">
        <w:rPr>
          <w:noProof/>
        </w:rPr>
        <w:t xml:space="preserve"> </w:t>
      </w:r>
      <w:r w:rsidR="00875732">
        <w:rPr>
          <w:noProof/>
        </w:rPr>
        <w:t>concepts</w:t>
      </w:r>
      <w:r w:rsidR="00875732" w:rsidRPr="00D1183D">
        <w:rPr>
          <w:noProof/>
        </w:rPr>
        <w:t>.</w:t>
      </w:r>
      <w:r w:rsidR="00B0742B">
        <w:rPr>
          <w:noProof/>
        </w:rPr>
        <w:t xml:space="preserve"> </w:t>
      </w:r>
    </w:p>
    <w:p w14:paraId="7B2A1862" w14:textId="5AFB834D" w:rsidR="00DB2AB2" w:rsidRDefault="000C4B4D" w:rsidP="000C4B4D">
      <w:pPr>
        <w:rPr>
          <w:noProof/>
          <w:lang w:val="en-IE"/>
        </w:rPr>
      </w:pPr>
      <w:r>
        <w:rPr>
          <w:noProof/>
        </w:rPr>
        <w:t>The</w:t>
      </w:r>
      <w:r w:rsidRPr="00D1183D">
        <w:rPr>
          <w:noProof/>
        </w:rPr>
        <w:t xml:space="preserve"> Commission </w:t>
      </w:r>
      <w:r>
        <w:rPr>
          <w:noProof/>
        </w:rPr>
        <w:t xml:space="preserve">will also </w:t>
      </w:r>
      <w:r w:rsidRPr="00D1183D">
        <w:rPr>
          <w:noProof/>
        </w:rPr>
        <w:t xml:space="preserve">continue </w:t>
      </w:r>
      <w:r w:rsidR="00B0742B">
        <w:rPr>
          <w:noProof/>
        </w:rPr>
        <w:t xml:space="preserve">to </w:t>
      </w:r>
      <w:r w:rsidR="00B0742B" w:rsidRPr="00D1183D">
        <w:rPr>
          <w:noProof/>
        </w:rPr>
        <w:t>engag</w:t>
      </w:r>
      <w:r w:rsidR="00B0742B">
        <w:rPr>
          <w:noProof/>
        </w:rPr>
        <w:t>e</w:t>
      </w:r>
      <w:r w:rsidR="00B0742B" w:rsidRPr="00D1183D">
        <w:rPr>
          <w:noProof/>
        </w:rPr>
        <w:t xml:space="preserve"> </w:t>
      </w:r>
      <w:r w:rsidRPr="00D1183D">
        <w:rPr>
          <w:noProof/>
        </w:rPr>
        <w:t xml:space="preserve">with stakeholders and </w:t>
      </w:r>
      <w:r w:rsidRPr="00CF7152">
        <w:rPr>
          <w:noProof/>
        </w:rPr>
        <w:t>Member States authorities</w:t>
      </w:r>
      <w:r w:rsidR="00B0742B">
        <w:rPr>
          <w:noProof/>
        </w:rPr>
        <w:t xml:space="preserve"> on the FSR</w:t>
      </w:r>
      <w:r w:rsidRPr="00D1183D">
        <w:rPr>
          <w:noProof/>
        </w:rPr>
        <w:t>.</w:t>
      </w:r>
      <w:r>
        <w:rPr>
          <w:noProof/>
        </w:rPr>
        <w:t xml:space="preserve"> </w:t>
      </w:r>
    </w:p>
    <w:p w14:paraId="7A8DB6C5" w14:textId="77777777" w:rsidR="00475E9B" w:rsidRDefault="00B0742B" w:rsidP="00532BD9">
      <w:pPr>
        <w:rPr>
          <w:noProof/>
        </w:rPr>
      </w:pPr>
      <w:r>
        <w:rPr>
          <w:noProof/>
        </w:rPr>
        <w:t xml:space="preserve">Based on the review’s findings, the FSR does not merit structural changes. </w:t>
      </w:r>
    </w:p>
    <w:p w14:paraId="65B54694" w14:textId="09DF2016" w:rsidR="001B7D6A" w:rsidRPr="00D1183D" w:rsidRDefault="00475E9B" w:rsidP="00532BD9">
      <w:pPr>
        <w:rPr>
          <w:noProof/>
        </w:rPr>
      </w:pPr>
      <w:r>
        <w:rPr>
          <w:noProof/>
        </w:rPr>
        <w:t xml:space="preserve">In line with the Commission’s 2024–2029 priorities, the review also looked at administrative burdens on businesses, including small and medium-sized enterprises, in the implementation process. </w:t>
      </w:r>
    </w:p>
    <w:p w14:paraId="1664BCBB" w14:textId="604DA209" w:rsidR="0023635D" w:rsidRPr="00C278E9" w:rsidRDefault="00FB4F58" w:rsidP="00EA4DDE">
      <w:pPr>
        <w:pStyle w:val="Heading2"/>
        <w:rPr>
          <w:noProof/>
        </w:rPr>
      </w:pPr>
      <w:bookmarkStart w:id="23" w:name="_Toc228901753"/>
      <w:r>
        <w:rPr>
          <w:noProof/>
        </w:rPr>
        <w:t xml:space="preserve">In relation to the </w:t>
      </w:r>
      <w:r w:rsidR="00B30402">
        <w:rPr>
          <w:noProof/>
        </w:rPr>
        <w:t xml:space="preserve">FSR </w:t>
      </w:r>
      <w:r>
        <w:rPr>
          <w:noProof/>
        </w:rPr>
        <w:t>e</w:t>
      </w:r>
      <w:r w:rsidR="0023635D">
        <w:rPr>
          <w:noProof/>
        </w:rPr>
        <w:t>x officio procedure</w:t>
      </w:r>
      <w:bookmarkEnd w:id="23"/>
    </w:p>
    <w:p w14:paraId="16E07404" w14:textId="2E9B663C" w:rsidR="00BF66C9" w:rsidRPr="00732B6E" w:rsidRDefault="00BF66C9" w:rsidP="004A1922">
      <w:pPr>
        <w:rPr>
          <w:noProof/>
        </w:rPr>
      </w:pPr>
      <w:r w:rsidRPr="00D1183D">
        <w:rPr>
          <w:noProof/>
        </w:rPr>
        <w:t xml:space="preserve">Based on the </w:t>
      </w:r>
      <w:r w:rsidR="00532BD9">
        <w:rPr>
          <w:noProof/>
        </w:rPr>
        <w:t>review</w:t>
      </w:r>
      <w:r w:rsidRPr="00D1183D">
        <w:rPr>
          <w:noProof/>
        </w:rPr>
        <w:t xml:space="preserve">, the role and objective of the ex officio </w:t>
      </w:r>
      <w:r w:rsidR="008A6947">
        <w:rPr>
          <w:noProof/>
        </w:rPr>
        <w:t>procedure</w:t>
      </w:r>
      <w:r w:rsidRPr="00732B6E">
        <w:rPr>
          <w:noProof/>
        </w:rPr>
        <w:t xml:space="preserve"> </w:t>
      </w:r>
      <w:r w:rsidR="00FB4F58">
        <w:rPr>
          <w:noProof/>
        </w:rPr>
        <w:t xml:space="preserve">under </w:t>
      </w:r>
      <w:r w:rsidRPr="00732B6E">
        <w:rPr>
          <w:noProof/>
        </w:rPr>
        <w:t>the FSR is widely acknowledged.</w:t>
      </w:r>
    </w:p>
    <w:p w14:paraId="222135A9" w14:textId="1AADC558" w:rsidR="00BF66C9" w:rsidRPr="00732B6E" w:rsidRDefault="00BF66C9" w:rsidP="004A1922">
      <w:pPr>
        <w:rPr>
          <w:noProof/>
        </w:rPr>
      </w:pPr>
      <w:r w:rsidRPr="00732B6E">
        <w:rPr>
          <w:noProof/>
        </w:rPr>
        <w:t xml:space="preserve">The recent advancement of two ex officio cases to in-depth </w:t>
      </w:r>
      <w:r w:rsidR="00D8507D">
        <w:rPr>
          <w:noProof/>
        </w:rPr>
        <w:t xml:space="preserve">review, pursuant to </w:t>
      </w:r>
      <w:r w:rsidR="00E24AC2" w:rsidRPr="00D8507D">
        <w:rPr>
          <w:noProof/>
        </w:rPr>
        <w:t>Article</w:t>
      </w:r>
      <w:r w:rsidR="00E24AC2">
        <w:rPr>
          <w:noProof/>
        </w:rPr>
        <w:t> </w:t>
      </w:r>
      <w:r w:rsidR="00D8507D" w:rsidRPr="00D8507D">
        <w:rPr>
          <w:noProof/>
        </w:rPr>
        <w:t>10(3)</w:t>
      </w:r>
      <w:r w:rsidR="00D8507D">
        <w:rPr>
          <w:noProof/>
        </w:rPr>
        <w:t xml:space="preserve"> FSR,</w:t>
      </w:r>
      <w:r w:rsidR="00D8507D" w:rsidRPr="00732B6E">
        <w:rPr>
          <w:noProof/>
        </w:rPr>
        <w:t xml:space="preserve"> </w:t>
      </w:r>
      <w:r w:rsidR="006B5009">
        <w:rPr>
          <w:noProof/>
        </w:rPr>
        <w:t xml:space="preserve">offers further insight into the Commission’s </w:t>
      </w:r>
      <w:r w:rsidR="006B5009" w:rsidRPr="00732B6E">
        <w:rPr>
          <w:noProof/>
        </w:rPr>
        <w:t xml:space="preserve">approach </w:t>
      </w:r>
      <w:r w:rsidR="006B5009">
        <w:rPr>
          <w:noProof/>
        </w:rPr>
        <w:t>when assessing potentially distortive foreign subsidies</w:t>
      </w:r>
      <w:r w:rsidRPr="00732B6E">
        <w:rPr>
          <w:noProof/>
        </w:rPr>
        <w:t xml:space="preserve">. </w:t>
      </w:r>
    </w:p>
    <w:p w14:paraId="10BB27D9" w14:textId="60D4A358" w:rsidR="00030521" w:rsidRPr="00D1183D" w:rsidRDefault="00030521" w:rsidP="004A1922">
      <w:pPr>
        <w:rPr>
          <w:noProof/>
        </w:rPr>
      </w:pPr>
      <w:r w:rsidRPr="00732B6E">
        <w:rPr>
          <w:noProof/>
        </w:rPr>
        <w:t xml:space="preserve">In terms of the concerns expressed </w:t>
      </w:r>
      <w:r w:rsidR="00BB7069">
        <w:rPr>
          <w:noProof/>
        </w:rPr>
        <w:t xml:space="preserve">by stakeholders </w:t>
      </w:r>
      <w:r w:rsidRPr="00732B6E">
        <w:rPr>
          <w:noProof/>
        </w:rPr>
        <w:t xml:space="preserve">with respect to the length of </w:t>
      </w:r>
      <w:r w:rsidR="006B5009">
        <w:rPr>
          <w:noProof/>
        </w:rPr>
        <w:t xml:space="preserve">ex officio </w:t>
      </w:r>
      <w:r w:rsidR="00D1183D">
        <w:rPr>
          <w:noProof/>
        </w:rPr>
        <w:t>investigations</w:t>
      </w:r>
      <w:r w:rsidRPr="00D1183D">
        <w:rPr>
          <w:noProof/>
        </w:rPr>
        <w:t xml:space="preserve">, </w:t>
      </w:r>
      <w:r w:rsidR="006B5009">
        <w:rPr>
          <w:noProof/>
        </w:rPr>
        <w:t xml:space="preserve">the Commission notes that this can </w:t>
      </w:r>
      <w:r w:rsidR="00DB2AB2">
        <w:rPr>
          <w:noProof/>
        </w:rPr>
        <w:t xml:space="preserve">largely </w:t>
      </w:r>
      <w:r w:rsidR="006B5009">
        <w:rPr>
          <w:noProof/>
        </w:rPr>
        <w:t xml:space="preserve">be </w:t>
      </w:r>
      <w:r w:rsidR="007315D1">
        <w:rPr>
          <w:noProof/>
        </w:rPr>
        <w:t>explained by the level of complexity in individual cases</w:t>
      </w:r>
      <w:r w:rsidR="00C83E7E">
        <w:rPr>
          <w:noProof/>
        </w:rPr>
        <w:t xml:space="preserve">, additional challenges brought before the </w:t>
      </w:r>
      <w:r w:rsidR="00714570">
        <w:rPr>
          <w:noProof/>
        </w:rPr>
        <w:t xml:space="preserve">Union </w:t>
      </w:r>
      <w:r w:rsidR="00C83E7E">
        <w:rPr>
          <w:noProof/>
        </w:rPr>
        <w:t>Courts</w:t>
      </w:r>
      <w:r w:rsidR="00064EDD">
        <w:rPr>
          <w:noProof/>
        </w:rPr>
        <w:t xml:space="preserve"> as well as </w:t>
      </w:r>
      <w:r w:rsidR="00064EDD" w:rsidRPr="00064EDD">
        <w:rPr>
          <w:noProof/>
        </w:rPr>
        <w:t xml:space="preserve">the </w:t>
      </w:r>
      <w:r w:rsidR="00E24AC2">
        <w:rPr>
          <w:noProof/>
        </w:rPr>
        <w:t>degree</w:t>
      </w:r>
      <w:r w:rsidR="00E24AC2" w:rsidRPr="00064EDD">
        <w:rPr>
          <w:noProof/>
        </w:rPr>
        <w:t xml:space="preserve"> </w:t>
      </w:r>
      <w:r w:rsidR="00064EDD" w:rsidRPr="00064EDD">
        <w:rPr>
          <w:noProof/>
        </w:rPr>
        <w:t>of cooperation of the undertakings</w:t>
      </w:r>
      <w:r w:rsidR="00B57A14">
        <w:rPr>
          <w:noProof/>
        </w:rPr>
        <w:t xml:space="preserve"> under investigation</w:t>
      </w:r>
      <w:r w:rsidR="006B5009">
        <w:rPr>
          <w:noProof/>
        </w:rPr>
        <w:t xml:space="preserve">. </w:t>
      </w:r>
    </w:p>
    <w:p w14:paraId="52B98A32" w14:textId="52C91FD4" w:rsidR="00C21775" w:rsidRPr="00D1183D" w:rsidRDefault="00030521" w:rsidP="004A1922">
      <w:pPr>
        <w:rPr>
          <w:noProof/>
        </w:rPr>
      </w:pPr>
      <w:r w:rsidRPr="00D1183D">
        <w:rPr>
          <w:noProof/>
        </w:rPr>
        <w:t>In</w:t>
      </w:r>
      <w:r w:rsidR="00064EDD">
        <w:rPr>
          <w:noProof/>
        </w:rPr>
        <w:t xml:space="preserve"> light of the above</w:t>
      </w:r>
      <w:r w:rsidRPr="00D1183D">
        <w:rPr>
          <w:noProof/>
        </w:rPr>
        <w:t xml:space="preserve">, </w:t>
      </w:r>
      <w:r w:rsidR="00B458E5">
        <w:rPr>
          <w:noProof/>
        </w:rPr>
        <w:t>the Commission</w:t>
      </w:r>
      <w:r w:rsidRPr="00D1183D">
        <w:rPr>
          <w:noProof/>
        </w:rPr>
        <w:t xml:space="preserve"> consider</w:t>
      </w:r>
      <w:r w:rsidR="00B458E5">
        <w:rPr>
          <w:noProof/>
        </w:rPr>
        <w:t>s</w:t>
      </w:r>
      <w:r w:rsidRPr="00D1183D">
        <w:rPr>
          <w:noProof/>
        </w:rPr>
        <w:t xml:space="preserve"> that no immediate steps</w:t>
      </w:r>
      <w:r w:rsidR="00C21775">
        <w:rPr>
          <w:noProof/>
        </w:rPr>
        <w:t xml:space="preserve"> </w:t>
      </w:r>
      <w:r w:rsidR="00DB2AB2">
        <w:rPr>
          <w:noProof/>
        </w:rPr>
        <w:t>concerning</w:t>
      </w:r>
      <w:r w:rsidR="00C21775">
        <w:rPr>
          <w:noProof/>
        </w:rPr>
        <w:t xml:space="preserve"> the ex officio </w:t>
      </w:r>
      <w:r w:rsidR="00BF0765">
        <w:rPr>
          <w:noProof/>
        </w:rPr>
        <w:t>procedure</w:t>
      </w:r>
      <w:r w:rsidRPr="00D1183D">
        <w:rPr>
          <w:noProof/>
        </w:rPr>
        <w:t xml:space="preserve"> are </w:t>
      </w:r>
      <w:r w:rsidR="00C21775">
        <w:rPr>
          <w:noProof/>
        </w:rPr>
        <w:t>needed.</w:t>
      </w:r>
      <w:r w:rsidR="00531FEB" w:rsidRPr="00531FEB">
        <w:rPr>
          <w:noProof/>
        </w:rPr>
        <w:t xml:space="preserve"> </w:t>
      </w:r>
      <w:r w:rsidR="00C83E7E">
        <w:rPr>
          <w:noProof/>
        </w:rPr>
        <w:t>T</w:t>
      </w:r>
      <w:r w:rsidR="00531FEB">
        <w:rPr>
          <w:noProof/>
        </w:rPr>
        <w:t xml:space="preserve">he Commission </w:t>
      </w:r>
      <w:r w:rsidR="00C83E7E">
        <w:rPr>
          <w:noProof/>
        </w:rPr>
        <w:t>remains</w:t>
      </w:r>
      <w:r w:rsidR="00531FEB">
        <w:rPr>
          <w:noProof/>
        </w:rPr>
        <w:t xml:space="preserve"> committed to </w:t>
      </w:r>
      <w:r w:rsidR="00C83E7E">
        <w:rPr>
          <w:noProof/>
        </w:rPr>
        <w:t>make full</w:t>
      </w:r>
      <w:r w:rsidR="00531FEB">
        <w:rPr>
          <w:noProof/>
        </w:rPr>
        <w:t xml:space="preserve"> use of such procedures whenever necessary to ensure that the internal market, EU competitiveness and economic security are not undermined by </w:t>
      </w:r>
      <w:r w:rsidR="00C83E7E">
        <w:rPr>
          <w:noProof/>
        </w:rPr>
        <w:t xml:space="preserve">distortive </w:t>
      </w:r>
      <w:r w:rsidR="00531FEB">
        <w:rPr>
          <w:noProof/>
        </w:rPr>
        <w:t>foreign subsidies</w:t>
      </w:r>
      <w:r w:rsidRPr="00D1183D">
        <w:rPr>
          <w:noProof/>
        </w:rPr>
        <w:t xml:space="preserve">. </w:t>
      </w:r>
      <w:r w:rsidR="00EE3935">
        <w:rPr>
          <w:noProof/>
        </w:rPr>
        <w:t>T</w:t>
      </w:r>
      <w:r w:rsidRPr="00D1183D">
        <w:rPr>
          <w:noProof/>
        </w:rPr>
        <w:t xml:space="preserve">he Commission will continue with its efforts to increase transparency and provide </w:t>
      </w:r>
      <w:r w:rsidR="00AE1004">
        <w:rPr>
          <w:noProof/>
        </w:rPr>
        <w:t>further</w:t>
      </w:r>
      <w:r w:rsidRPr="00D1183D">
        <w:rPr>
          <w:noProof/>
        </w:rPr>
        <w:t xml:space="preserve"> insight</w:t>
      </w:r>
      <w:r w:rsidR="00AE1004">
        <w:rPr>
          <w:noProof/>
        </w:rPr>
        <w:t>s</w:t>
      </w:r>
      <w:r w:rsidRPr="00D1183D">
        <w:rPr>
          <w:noProof/>
        </w:rPr>
        <w:t xml:space="preserve"> in its approach </w:t>
      </w:r>
      <w:r w:rsidR="00AE1004">
        <w:rPr>
          <w:noProof/>
        </w:rPr>
        <w:t>for</w:t>
      </w:r>
      <w:r w:rsidRPr="00D1183D">
        <w:rPr>
          <w:noProof/>
        </w:rPr>
        <w:t xml:space="preserve"> ex officio cases</w:t>
      </w:r>
      <w:r w:rsidR="0025033D">
        <w:rPr>
          <w:noProof/>
        </w:rPr>
        <w:t>,</w:t>
      </w:r>
      <w:r w:rsidRPr="00D1183D">
        <w:rPr>
          <w:noProof/>
        </w:rPr>
        <w:t xml:space="preserve"> in line with the practices outlined </w:t>
      </w:r>
      <w:r w:rsidR="00D1183D">
        <w:rPr>
          <w:noProof/>
        </w:rPr>
        <w:t xml:space="preserve">in </w:t>
      </w:r>
      <w:r w:rsidR="002D2FF4">
        <w:rPr>
          <w:noProof/>
        </w:rPr>
        <w:t>th</w:t>
      </w:r>
      <w:r w:rsidR="00B458E5">
        <w:rPr>
          <w:noProof/>
        </w:rPr>
        <w:t>is</w:t>
      </w:r>
      <w:r w:rsidR="002D2FF4">
        <w:rPr>
          <w:noProof/>
        </w:rPr>
        <w:t xml:space="preserve"> Report and the accompanying Staff Working Document</w:t>
      </w:r>
      <w:r w:rsidRPr="00D1183D">
        <w:rPr>
          <w:noProof/>
        </w:rPr>
        <w:t>.</w:t>
      </w:r>
      <w:r w:rsidR="00732B6E">
        <w:rPr>
          <w:noProof/>
        </w:rPr>
        <w:t xml:space="preserve"> </w:t>
      </w:r>
    </w:p>
    <w:p w14:paraId="3FBA3AD6" w14:textId="08D6FACF" w:rsidR="314EE93A" w:rsidRPr="002D2FF4" w:rsidRDefault="001B05DA" w:rsidP="002D2FF4">
      <w:pPr>
        <w:pStyle w:val="Heading2"/>
        <w:rPr>
          <w:noProof/>
        </w:rPr>
      </w:pPr>
      <w:bookmarkStart w:id="24" w:name="_Toc228901754"/>
      <w:r>
        <w:rPr>
          <w:noProof/>
        </w:rPr>
        <w:t xml:space="preserve">In relation to the </w:t>
      </w:r>
      <w:r w:rsidR="00B30402">
        <w:rPr>
          <w:noProof/>
        </w:rPr>
        <w:t xml:space="preserve">FSR </w:t>
      </w:r>
      <w:r>
        <w:rPr>
          <w:noProof/>
        </w:rPr>
        <w:t>n</w:t>
      </w:r>
      <w:r w:rsidR="0088027C">
        <w:rPr>
          <w:noProof/>
        </w:rPr>
        <w:t>otification</w:t>
      </w:r>
      <w:r w:rsidR="00B30402">
        <w:rPr>
          <w:noProof/>
        </w:rPr>
        <w:t>s</w:t>
      </w:r>
      <w:r w:rsidR="00A50602" w:rsidRPr="00C278E9">
        <w:rPr>
          <w:noProof/>
        </w:rPr>
        <w:t xml:space="preserve"> for concentrations</w:t>
      </w:r>
      <w:bookmarkEnd w:id="24"/>
    </w:p>
    <w:p w14:paraId="741AC8CC" w14:textId="15B69EED" w:rsidR="002B7BF8" w:rsidRDefault="00ED10EC" w:rsidP="00713981">
      <w:pPr>
        <w:rPr>
          <w:noProof/>
        </w:rPr>
      </w:pPr>
      <w:bookmarkStart w:id="25" w:name="_Hlk229131622"/>
      <w:r w:rsidRPr="00AA0B88">
        <w:rPr>
          <w:noProof/>
        </w:rPr>
        <w:t>As</w:t>
      </w:r>
      <w:r w:rsidRPr="00AA0B88" w:rsidDel="0025033D">
        <w:rPr>
          <w:noProof/>
        </w:rPr>
        <w:t xml:space="preserve"> confirmed by</w:t>
      </w:r>
      <w:r w:rsidR="00713981" w:rsidRPr="002F2D27" w:rsidDel="0025033D">
        <w:rPr>
          <w:noProof/>
        </w:rPr>
        <w:t xml:space="preserve"> the review</w:t>
      </w:r>
      <w:r w:rsidR="00713981" w:rsidDel="002B7BF8">
        <w:rPr>
          <w:noProof/>
        </w:rPr>
        <w:t>,</w:t>
      </w:r>
      <w:r w:rsidR="00713981">
        <w:rPr>
          <w:noProof/>
        </w:rPr>
        <w:t xml:space="preserve"> the </w:t>
      </w:r>
      <w:r w:rsidR="008817F7" w:rsidRPr="003175E8">
        <w:rPr>
          <w:iCs/>
          <w:noProof/>
        </w:rPr>
        <w:t>ex ante</w:t>
      </w:r>
      <w:r w:rsidR="008817F7">
        <w:rPr>
          <w:noProof/>
        </w:rPr>
        <w:t xml:space="preserve"> notification procedure for concentrations remains an important </w:t>
      </w:r>
      <w:r w:rsidR="002B7BF8">
        <w:rPr>
          <w:noProof/>
        </w:rPr>
        <w:t>enforcement tool of the FSR</w:t>
      </w:r>
      <w:r w:rsidR="008817F7">
        <w:rPr>
          <w:noProof/>
        </w:rPr>
        <w:t xml:space="preserve">, </w:t>
      </w:r>
      <w:r w:rsidR="002B7BF8">
        <w:rPr>
          <w:noProof/>
        </w:rPr>
        <w:t xml:space="preserve">which allows </w:t>
      </w:r>
      <w:r w:rsidR="008817F7">
        <w:rPr>
          <w:noProof/>
        </w:rPr>
        <w:t xml:space="preserve">the Commission to identify and address distortive foreign subsidies in the context of </w:t>
      </w:r>
      <w:r w:rsidR="002B7BF8">
        <w:rPr>
          <w:noProof/>
        </w:rPr>
        <w:t>concentrations and prior to their implementation</w:t>
      </w:r>
      <w:r w:rsidR="008817F7">
        <w:rPr>
          <w:noProof/>
        </w:rPr>
        <w:t xml:space="preserve">. </w:t>
      </w:r>
    </w:p>
    <w:p w14:paraId="1B88A934" w14:textId="515EE14A" w:rsidR="00F729AD" w:rsidRDefault="008817F7" w:rsidP="00BB7069">
      <w:pPr>
        <w:rPr>
          <w:noProof/>
        </w:rPr>
      </w:pPr>
      <w:r>
        <w:rPr>
          <w:noProof/>
        </w:rPr>
        <w:t xml:space="preserve">At the same time, </w:t>
      </w:r>
      <w:r w:rsidR="00A2170D">
        <w:rPr>
          <w:noProof/>
        </w:rPr>
        <w:t xml:space="preserve">the Commission takes note of </w:t>
      </w:r>
      <w:r w:rsidR="00AB663F">
        <w:rPr>
          <w:noProof/>
        </w:rPr>
        <w:t>the</w:t>
      </w:r>
      <w:r w:rsidR="00713981" w:rsidDel="00532BD9">
        <w:rPr>
          <w:noProof/>
        </w:rPr>
        <w:t xml:space="preserve"> </w:t>
      </w:r>
      <w:r w:rsidR="00713981">
        <w:rPr>
          <w:noProof/>
        </w:rPr>
        <w:t>stakeholders</w:t>
      </w:r>
      <w:r w:rsidR="00532BD9">
        <w:rPr>
          <w:noProof/>
        </w:rPr>
        <w:t>’ feedback</w:t>
      </w:r>
      <w:r w:rsidR="00713981" w:rsidDel="00532BD9">
        <w:rPr>
          <w:noProof/>
        </w:rPr>
        <w:t xml:space="preserve"> </w:t>
      </w:r>
      <w:r w:rsidR="00A2170D">
        <w:rPr>
          <w:noProof/>
        </w:rPr>
        <w:t xml:space="preserve">concerning </w:t>
      </w:r>
      <w:r w:rsidR="00713981">
        <w:rPr>
          <w:noProof/>
        </w:rPr>
        <w:t xml:space="preserve">the </w:t>
      </w:r>
      <w:r w:rsidR="00713981" w:rsidRPr="00732B6E">
        <w:rPr>
          <w:noProof/>
          <w:lang w:val="en-IE"/>
        </w:rPr>
        <w:t xml:space="preserve">administrative burden associated with </w:t>
      </w:r>
      <w:r w:rsidR="00713981">
        <w:rPr>
          <w:noProof/>
          <w:lang w:val="en-IE"/>
        </w:rPr>
        <w:t xml:space="preserve">FFC data collection for the purpose of </w:t>
      </w:r>
      <w:r w:rsidR="00713981" w:rsidRPr="00732B6E">
        <w:rPr>
          <w:noProof/>
          <w:lang w:val="en-IE"/>
        </w:rPr>
        <w:t>notification</w:t>
      </w:r>
      <w:r>
        <w:rPr>
          <w:noProof/>
          <w:lang w:val="en-IE"/>
        </w:rPr>
        <w:t>s</w:t>
      </w:r>
      <w:r w:rsidR="00713981" w:rsidRPr="00732B6E">
        <w:rPr>
          <w:noProof/>
          <w:lang w:val="en-IE"/>
        </w:rPr>
        <w:t xml:space="preserve"> </w:t>
      </w:r>
      <w:r w:rsidR="00DB2AB2">
        <w:rPr>
          <w:noProof/>
          <w:lang w:val="en-IE"/>
        </w:rPr>
        <w:t>of</w:t>
      </w:r>
      <w:r w:rsidR="00713981" w:rsidRPr="00732B6E">
        <w:rPr>
          <w:noProof/>
          <w:lang w:val="en-IE"/>
        </w:rPr>
        <w:t xml:space="preserve"> concentration</w:t>
      </w:r>
      <w:r w:rsidR="00713981">
        <w:rPr>
          <w:noProof/>
          <w:lang w:val="en-IE"/>
        </w:rPr>
        <w:t>s</w:t>
      </w:r>
      <w:r w:rsidR="002B7BF8">
        <w:rPr>
          <w:noProof/>
          <w:lang w:val="en-IE"/>
        </w:rPr>
        <w:t xml:space="preserve"> under the FSR</w:t>
      </w:r>
      <w:r w:rsidR="00553189">
        <w:rPr>
          <w:noProof/>
          <w:lang w:val="en-IE"/>
        </w:rPr>
        <w:t>.</w:t>
      </w:r>
      <w:r w:rsidR="00BB7069">
        <w:rPr>
          <w:noProof/>
          <w:lang w:val="en-IE"/>
        </w:rPr>
        <w:t xml:space="preserve"> </w:t>
      </w:r>
      <w:r w:rsidR="003C092B" w:rsidRPr="00F4452D">
        <w:rPr>
          <w:noProof/>
        </w:rPr>
        <w:t xml:space="preserve">In order to address this </w:t>
      </w:r>
      <w:r w:rsidR="008E4184" w:rsidRPr="00F4452D">
        <w:rPr>
          <w:noProof/>
        </w:rPr>
        <w:t>feedback,</w:t>
      </w:r>
      <w:r w:rsidR="00AD19EA" w:rsidRPr="00F4452D">
        <w:rPr>
          <w:noProof/>
        </w:rPr>
        <w:t xml:space="preserve"> the Commission </w:t>
      </w:r>
      <w:r w:rsidR="00127467" w:rsidRPr="00F4452D">
        <w:rPr>
          <w:noProof/>
        </w:rPr>
        <w:t>may consider</w:t>
      </w:r>
      <w:r w:rsidR="00390DAD">
        <w:rPr>
          <w:noProof/>
        </w:rPr>
        <w:t xml:space="preserve"> possible</w:t>
      </w:r>
      <w:r w:rsidR="00127467" w:rsidRPr="00F4452D">
        <w:rPr>
          <w:noProof/>
        </w:rPr>
        <w:t xml:space="preserve"> </w:t>
      </w:r>
      <w:r w:rsidR="006A511B" w:rsidRPr="00F4452D">
        <w:rPr>
          <w:noProof/>
        </w:rPr>
        <w:t>adjustments</w:t>
      </w:r>
      <w:r w:rsidR="00127467" w:rsidRPr="00F4452D">
        <w:rPr>
          <w:noProof/>
        </w:rPr>
        <w:t xml:space="preserve"> to the procedural set up</w:t>
      </w:r>
      <w:r w:rsidR="008E4184" w:rsidRPr="00F4452D">
        <w:rPr>
          <w:noProof/>
        </w:rPr>
        <w:t xml:space="preserve"> to</w:t>
      </w:r>
      <w:r w:rsidR="009E3875">
        <w:rPr>
          <w:noProof/>
        </w:rPr>
        <w:t xml:space="preserve"> </w:t>
      </w:r>
      <w:r w:rsidR="00553189" w:rsidRPr="00F4452D">
        <w:rPr>
          <w:noProof/>
          <w:lang w:val="en-IE"/>
        </w:rPr>
        <w:t>reduce administrative burden and facilitate compliance, while maintaining the FSR’s effectiveness</w:t>
      </w:r>
      <w:r w:rsidR="002F0A72" w:rsidRPr="00F4452D">
        <w:rPr>
          <w:noProof/>
          <w:lang w:val="en-IE"/>
        </w:rPr>
        <w:t>.</w:t>
      </w:r>
      <w:r w:rsidR="00553189" w:rsidRPr="00F4452D" w:rsidDel="003C092B">
        <w:rPr>
          <w:noProof/>
        </w:rPr>
        <w:t xml:space="preserve"> </w:t>
      </w:r>
    </w:p>
    <w:p w14:paraId="0DF18EE8" w14:textId="16AA9AB0" w:rsidR="00127467" w:rsidRPr="00222200" w:rsidRDefault="00127467" w:rsidP="00AA0B88">
      <w:pPr>
        <w:pStyle w:val="NormalWeb"/>
        <w:jc w:val="both"/>
        <w:rPr>
          <w:b/>
          <w:noProof/>
          <w:lang w:eastAsia="en-IE"/>
        </w:rPr>
      </w:pPr>
      <w:r>
        <w:rPr>
          <w:noProof/>
        </w:rPr>
        <w:t xml:space="preserve">In addition, </w:t>
      </w:r>
      <w:r>
        <w:rPr>
          <w:rStyle w:val="Strong"/>
          <w:b w:val="0"/>
          <w:bCs w:val="0"/>
          <w:noProof/>
        </w:rPr>
        <w:t>t</w:t>
      </w:r>
      <w:r w:rsidRPr="00222200">
        <w:rPr>
          <w:rStyle w:val="Strong"/>
          <w:b w:val="0"/>
          <w:bCs w:val="0"/>
          <w:noProof/>
        </w:rPr>
        <w:t xml:space="preserve">he Commission </w:t>
      </w:r>
      <w:r w:rsidR="000E5D38">
        <w:rPr>
          <w:rStyle w:val="Strong"/>
          <w:b w:val="0"/>
          <w:bCs w:val="0"/>
          <w:noProof/>
        </w:rPr>
        <w:t xml:space="preserve">will </w:t>
      </w:r>
      <w:r w:rsidR="00AD19EA">
        <w:rPr>
          <w:rStyle w:val="Strong"/>
          <w:b w:val="0"/>
          <w:bCs w:val="0"/>
          <w:noProof/>
        </w:rPr>
        <w:t xml:space="preserve">remain committed to ensure </w:t>
      </w:r>
      <w:r w:rsidRPr="00222200">
        <w:rPr>
          <w:rStyle w:val="Strong"/>
          <w:b w:val="0"/>
          <w:bCs w:val="0"/>
          <w:noProof/>
        </w:rPr>
        <w:t xml:space="preserve">transparency </w:t>
      </w:r>
      <w:r w:rsidR="00AD19EA">
        <w:rPr>
          <w:rStyle w:val="Strong"/>
          <w:b w:val="0"/>
          <w:bCs w:val="0"/>
          <w:noProof/>
        </w:rPr>
        <w:t xml:space="preserve">concerning the FSR </w:t>
      </w:r>
      <w:r w:rsidR="006A511B">
        <w:rPr>
          <w:rStyle w:val="Strong"/>
          <w:b w:val="0"/>
          <w:bCs w:val="0"/>
          <w:noProof/>
        </w:rPr>
        <w:t>enforcement</w:t>
      </w:r>
      <w:r w:rsidRPr="00B30402">
        <w:rPr>
          <w:bCs/>
          <w:noProof/>
        </w:rPr>
        <w:t xml:space="preserve">, including updates to the Q&amp;As, </w:t>
      </w:r>
      <w:r w:rsidRPr="00222200">
        <w:rPr>
          <w:rStyle w:val="Strong"/>
          <w:b w:val="0"/>
          <w:noProof/>
        </w:rPr>
        <w:t>additional</w:t>
      </w:r>
      <w:r w:rsidRPr="00B30402">
        <w:rPr>
          <w:bCs/>
          <w:noProof/>
        </w:rPr>
        <w:t xml:space="preserve"> FSR briefs on key topics, </w:t>
      </w:r>
      <w:r>
        <w:rPr>
          <w:bCs/>
          <w:noProof/>
        </w:rPr>
        <w:t xml:space="preserve">and the </w:t>
      </w:r>
      <w:r w:rsidR="00125FD4">
        <w:rPr>
          <w:bCs/>
          <w:noProof/>
        </w:rPr>
        <w:t xml:space="preserve">timely </w:t>
      </w:r>
      <w:r>
        <w:rPr>
          <w:bCs/>
          <w:noProof/>
        </w:rPr>
        <w:t>publication of</w:t>
      </w:r>
      <w:r w:rsidRPr="00B30402">
        <w:rPr>
          <w:bCs/>
          <w:noProof/>
        </w:rPr>
        <w:t xml:space="preserve"> case-related information.</w:t>
      </w:r>
    </w:p>
    <w:p w14:paraId="6026F4FA" w14:textId="610F5962" w:rsidR="00CB098E" w:rsidRDefault="00972FB9" w:rsidP="0088345F">
      <w:pPr>
        <w:pStyle w:val="Heading2"/>
        <w:rPr>
          <w:noProof/>
        </w:rPr>
      </w:pPr>
      <w:bookmarkStart w:id="26" w:name="_Toc228901760"/>
      <w:bookmarkEnd w:id="25"/>
      <w:r>
        <w:rPr>
          <w:noProof/>
        </w:rPr>
        <w:t xml:space="preserve">In relation to notifications in </w:t>
      </w:r>
      <w:bookmarkEnd w:id="26"/>
      <w:r>
        <w:rPr>
          <w:noProof/>
        </w:rPr>
        <w:t>p</w:t>
      </w:r>
      <w:r w:rsidR="00804401">
        <w:rPr>
          <w:noProof/>
        </w:rPr>
        <w:t xml:space="preserve">ublic </w:t>
      </w:r>
      <w:r>
        <w:rPr>
          <w:noProof/>
        </w:rPr>
        <w:t>p</w:t>
      </w:r>
      <w:r w:rsidR="00804401">
        <w:rPr>
          <w:noProof/>
        </w:rPr>
        <w:t xml:space="preserve">rocurement </w:t>
      </w:r>
      <w:r>
        <w:rPr>
          <w:noProof/>
        </w:rPr>
        <w:t>p</w:t>
      </w:r>
      <w:r w:rsidR="00804401">
        <w:rPr>
          <w:noProof/>
        </w:rPr>
        <w:t>rocedures</w:t>
      </w:r>
    </w:p>
    <w:p w14:paraId="4DC8B3B6" w14:textId="094D47BC" w:rsidR="007D7F0C" w:rsidRPr="00AA0B88" w:rsidRDefault="534D1113" w:rsidP="00804401">
      <w:pPr>
        <w:pStyle w:val="Text2"/>
        <w:ind w:left="0"/>
        <w:rPr>
          <w:noProof/>
          <w:lang w:val="en-US"/>
        </w:rPr>
      </w:pPr>
      <w:r w:rsidRPr="00AA0B88" w:rsidDel="00167F6A">
        <w:rPr>
          <w:noProof/>
          <w:lang w:val="en-US"/>
        </w:rPr>
        <w:t>As confirmed by</w:t>
      </w:r>
      <w:r w:rsidRPr="00AA0B88">
        <w:rPr>
          <w:noProof/>
          <w:lang w:val="en-US"/>
        </w:rPr>
        <w:t xml:space="preserve"> </w:t>
      </w:r>
      <w:r w:rsidR="007D7F0C" w:rsidRPr="00AA0B88">
        <w:rPr>
          <w:noProof/>
          <w:lang w:val="en-US"/>
        </w:rPr>
        <w:t>the review</w:t>
      </w:r>
      <w:r w:rsidR="007D7F0C">
        <w:rPr>
          <w:noProof/>
          <w:lang w:val="en-US"/>
        </w:rPr>
        <w:t xml:space="preserve">, the ex ante notification procedure for public procurement </w:t>
      </w:r>
      <w:r w:rsidR="00FE0947">
        <w:rPr>
          <w:noProof/>
          <w:lang w:val="en-US"/>
        </w:rPr>
        <w:t>is</w:t>
      </w:r>
      <w:r w:rsidR="007D7F0C">
        <w:rPr>
          <w:noProof/>
          <w:lang w:val="en-US"/>
        </w:rPr>
        <w:t xml:space="preserve"> a</w:t>
      </w:r>
      <w:r w:rsidR="00FE0947">
        <w:rPr>
          <w:noProof/>
          <w:lang w:val="en-US"/>
        </w:rPr>
        <w:t>n</w:t>
      </w:r>
      <w:r w:rsidR="007712BE">
        <w:rPr>
          <w:noProof/>
          <w:lang w:val="en-US"/>
        </w:rPr>
        <w:t xml:space="preserve"> </w:t>
      </w:r>
      <w:r w:rsidR="00FE0947">
        <w:rPr>
          <w:noProof/>
          <w:lang w:val="en-US"/>
        </w:rPr>
        <w:t>important</w:t>
      </w:r>
      <w:r w:rsidR="007712BE">
        <w:rPr>
          <w:noProof/>
          <w:lang w:val="en-US"/>
        </w:rPr>
        <w:t xml:space="preserve"> component</w:t>
      </w:r>
      <w:r w:rsidR="007D7F0C">
        <w:rPr>
          <w:noProof/>
          <w:lang w:val="en-US"/>
        </w:rPr>
        <w:t xml:space="preserve"> </w:t>
      </w:r>
      <w:r w:rsidR="007712BE">
        <w:rPr>
          <w:noProof/>
          <w:lang w:val="en-US"/>
        </w:rPr>
        <w:t>of</w:t>
      </w:r>
      <w:r w:rsidR="007D7F0C">
        <w:rPr>
          <w:noProof/>
          <w:lang w:val="en-US"/>
        </w:rPr>
        <w:t xml:space="preserve"> the FSR framework, enabling the Commission to identify and address potentially distortive foreign subsidies </w:t>
      </w:r>
      <w:r w:rsidR="00FE0947">
        <w:rPr>
          <w:noProof/>
          <w:lang w:val="en-US"/>
        </w:rPr>
        <w:t xml:space="preserve">also </w:t>
      </w:r>
      <w:r w:rsidR="007D7F0C">
        <w:rPr>
          <w:noProof/>
          <w:lang w:val="en-US"/>
        </w:rPr>
        <w:t xml:space="preserve">in high-value </w:t>
      </w:r>
      <w:r w:rsidR="008C567D">
        <w:rPr>
          <w:noProof/>
          <w:lang w:val="en-US"/>
        </w:rPr>
        <w:t xml:space="preserve">public </w:t>
      </w:r>
      <w:r w:rsidR="007D7F0C">
        <w:rPr>
          <w:noProof/>
          <w:lang w:val="en-US"/>
        </w:rPr>
        <w:t>procuremen</w:t>
      </w:r>
      <w:r w:rsidR="008C567D">
        <w:rPr>
          <w:noProof/>
          <w:lang w:val="en-US"/>
        </w:rPr>
        <w:t>t</w:t>
      </w:r>
      <w:r w:rsidR="42AA80E1">
        <w:rPr>
          <w:noProof/>
          <w:lang w:val="en-US"/>
        </w:rPr>
        <w:t xml:space="preserve"> procedure</w:t>
      </w:r>
      <w:r w:rsidR="008C567D">
        <w:rPr>
          <w:noProof/>
          <w:lang w:val="en-US"/>
        </w:rPr>
        <w:t>s</w:t>
      </w:r>
      <w:r w:rsidR="007D7F0C">
        <w:rPr>
          <w:noProof/>
          <w:lang w:val="en-US"/>
        </w:rPr>
        <w:t xml:space="preserve">. At the same time, </w:t>
      </w:r>
      <w:r w:rsidR="007712BE">
        <w:rPr>
          <w:noProof/>
          <w:lang w:val="en-US"/>
        </w:rPr>
        <w:t xml:space="preserve">early </w:t>
      </w:r>
      <w:r w:rsidR="00C8601F">
        <w:rPr>
          <w:noProof/>
          <w:lang w:val="en-US"/>
        </w:rPr>
        <w:t>enforcement</w:t>
      </w:r>
      <w:r w:rsidR="007D7F0C">
        <w:rPr>
          <w:noProof/>
          <w:lang w:val="en-US"/>
        </w:rPr>
        <w:t xml:space="preserve"> experience together with stakeholders’ </w:t>
      </w:r>
      <w:r w:rsidR="00167F6A" w:rsidRPr="00AA0B88">
        <w:rPr>
          <w:noProof/>
          <w:lang w:val="en-US"/>
        </w:rPr>
        <w:t>feedback</w:t>
      </w:r>
      <w:r w:rsidR="00BB7069">
        <w:rPr>
          <w:noProof/>
          <w:lang w:val="en-US"/>
        </w:rPr>
        <w:t xml:space="preserve"> seem to</w:t>
      </w:r>
      <w:r w:rsidR="007D7F0C" w:rsidRPr="00AA0B88">
        <w:rPr>
          <w:noProof/>
          <w:lang w:val="en-US"/>
        </w:rPr>
        <w:t xml:space="preserve"> indicate that the filing requirements related to the reporting of FFCs, in particular the preparation of Form FS-PP and the underlying </w:t>
      </w:r>
      <w:r w:rsidR="24C3133B" w:rsidRPr="00AA0B88">
        <w:rPr>
          <w:noProof/>
          <w:lang w:val="en-US"/>
        </w:rPr>
        <w:t xml:space="preserve">process of gathering </w:t>
      </w:r>
      <w:r w:rsidR="007D7F0C" w:rsidRPr="00AA0B88">
        <w:rPr>
          <w:noProof/>
          <w:lang w:val="en-US"/>
        </w:rPr>
        <w:t xml:space="preserve">information, may generate a </w:t>
      </w:r>
      <w:r w:rsidR="00BB7069">
        <w:rPr>
          <w:noProof/>
          <w:lang w:val="en-US"/>
        </w:rPr>
        <w:t>disproportionate</w:t>
      </w:r>
      <w:r w:rsidR="007D7F0C" w:rsidRPr="00AA0B88">
        <w:rPr>
          <w:noProof/>
          <w:lang w:val="en-US"/>
        </w:rPr>
        <w:t xml:space="preserve"> burden for economic operators. </w:t>
      </w:r>
    </w:p>
    <w:p w14:paraId="7DD4EB7C" w14:textId="4C707B5B" w:rsidR="007D7F0C" w:rsidRDefault="0049005C" w:rsidP="00804401">
      <w:pPr>
        <w:pStyle w:val="Text2"/>
        <w:ind w:left="0"/>
        <w:rPr>
          <w:noProof/>
          <w:lang w:val="en-US"/>
        </w:rPr>
      </w:pPr>
      <w:r w:rsidRPr="00F4452D">
        <w:rPr>
          <w:noProof/>
          <w:lang w:val="en-US"/>
        </w:rPr>
        <w:t>T</w:t>
      </w:r>
      <w:r w:rsidR="007D7F0C" w:rsidRPr="00F4452D">
        <w:rPr>
          <w:noProof/>
          <w:lang w:val="en-US"/>
        </w:rPr>
        <w:t xml:space="preserve">o address these concerns, while preserving the effectiveness of the FSR, the Commission </w:t>
      </w:r>
      <w:r w:rsidR="00167F6A" w:rsidRPr="00F4452D">
        <w:rPr>
          <w:noProof/>
          <w:lang w:val="en-US"/>
        </w:rPr>
        <w:t>may</w:t>
      </w:r>
      <w:r w:rsidR="007D7F0C" w:rsidRPr="00F4452D">
        <w:rPr>
          <w:noProof/>
          <w:lang w:val="en-US"/>
        </w:rPr>
        <w:t xml:space="preserve"> consider possible adjustments </w:t>
      </w:r>
      <w:r w:rsidR="009E3875">
        <w:rPr>
          <w:noProof/>
          <w:lang w:val="en-US"/>
        </w:rPr>
        <w:t xml:space="preserve">to the procedural set-up </w:t>
      </w:r>
      <w:r w:rsidR="007D7F0C" w:rsidRPr="00F4452D">
        <w:rPr>
          <w:noProof/>
          <w:lang w:val="en-US"/>
        </w:rPr>
        <w:t xml:space="preserve">to </w:t>
      </w:r>
      <w:r w:rsidRPr="00F4452D">
        <w:rPr>
          <w:noProof/>
          <w:lang w:val="en-IE"/>
        </w:rPr>
        <w:t>reduce the administrative burden on businesses and facilitate compliance.</w:t>
      </w:r>
      <w:r>
        <w:rPr>
          <w:noProof/>
          <w:lang w:val="en-IE"/>
        </w:rPr>
        <w:t xml:space="preserve"> </w:t>
      </w:r>
    </w:p>
    <w:p w14:paraId="4D10C9BB" w14:textId="21FC498B" w:rsidR="007D7F0C" w:rsidRDefault="007D7F0C" w:rsidP="00804401">
      <w:pPr>
        <w:pStyle w:val="Text2"/>
        <w:ind w:left="0"/>
        <w:rPr>
          <w:noProof/>
          <w:lang w:val="en-US"/>
        </w:rPr>
      </w:pPr>
      <w:r>
        <w:rPr>
          <w:noProof/>
          <w:lang w:val="en-US"/>
        </w:rPr>
        <w:t xml:space="preserve">In parallel, the Commission will continue its efforts to strengthen </w:t>
      </w:r>
      <w:r w:rsidR="00BD698E">
        <w:rPr>
          <w:noProof/>
          <w:lang w:val="en-US"/>
        </w:rPr>
        <w:t>awareness and compliance</w:t>
      </w:r>
      <w:r w:rsidR="007712BE">
        <w:rPr>
          <w:noProof/>
          <w:lang w:val="en-US"/>
        </w:rPr>
        <w:t xml:space="preserve"> </w:t>
      </w:r>
      <w:r w:rsidR="00BD698E">
        <w:rPr>
          <w:noProof/>
          <w:lang w:val="en-US"/>
        </w:rPr>
        <w:t>and to</w:t>
      </w:r>
      <w:r w:rsidR="007712BE">
        <w:rPr>
          <w:noProof/>
          <w:lang w:val="en-US"/>
        </w:rPr>
        <w:t xml:space="preserve"> </w:t>
      </w:r>
      <w:r w:rsidR="00BD698E">
        <w:rPr>
          <w:noProof/>
          <w:lang w:val="en-US"/>
        </w:rPr>
        <w:t xml:space="preserve">enhance the </w:t>
      </w:r>
      <w:r w:rsidR="007712BE">
        <w:rPr>
          <w:noProof/>
          <w:lang w:val="en-US"/>
        </w:rPr>
        <w:t>transparency</w:t>
      </w:r>
      <w:r>
        <w:rPr>
          <w:noProof/>
          <w:lang w:val="en-US"/>
        </w:rPr>
        <w:t xml:space="preserve"> </w:t>
      </w:r>
      <w:r w:rsidR="00BD698E">
        <w:rPr>
          <w:noProof/>
          <w:lang w:val="en-US"/>
        </w:rPr>
        <w:t>of its enforcement practice</w:t>
      </w:r>
      <w:r w:rsidR="00BB7069">
        <w:rPr>
          <w:noProof/>
          <w:lang w:val="en-US"/>
        </w:rPr>
        <w:t xml:space="preserve">, including </w:t>
      </w:r>
      <w:r>
        <w:rPr>
          <w:noProof/>
          <w:lang w:val="en-US"/>
        </w:rPr>
        <w:t>outreach activities for contracting authorities, economic operators and practitioners. It will also further deepen its dialogue with Member States through regular exchanges with the national contact points and the dedicated FSR Public Procurement Expert Group with the aim of ensuring a consistent understanding of FSR obligations across the Union.</w:t>
      </w:r>
    </w:p>
    <w:p w14:paraId="7EDD76A4" w14:textId="52D99E62" w:rsidR="008C7584" w:rsidRPr="003476BC" w:rsidRDefault="008C7584" w:rsidP="0088345F">
      <w:pPr>
        <w:pStyle w:val="Heading1"/>
        <w:rPr>
          <w:noProof/>
        </w:rPr>
      </w:pPr>
      <w:bookmarkStart w:id="27" w:name="_Toc228901765"/>
      <w:r w:rsidRPr="008D7722">
        <w:rPr>
          <w:noProof/>
        </w:rPr>
        <w:t>CONCLUSION</w:t>
      </w:r>
      <w:bookmarkEnd w:id="27"/>
      <w:r w:rsidR="001E2B38" w:rsidRPr="008D7722">
        <w:rPr>
          <w:noProof/>
        </w:rPr>
        <w:t xml:space="preserve"> </w:t>
      </w:r>
    </w:p>
    <w:p w14:paraId="36092B5B" w14:textId="6B0E642F" w:rsidR="0033096F" w:rsidRDefault="00DD2471" w:rsidP="0033096F">
      <w:pPr>
        <w:rPr>
          <w:noProof/>
          <w:lang w:val="en-IE"/>
        </w:rPr>
      </w:pPr>
      <w:r>
        <w:rPr>
          <w:noProof/>
        </w:rPr>
        <w:t>The FSR</w:t>
      </w:r>
      <w:r w:rsidR="00531FEB" w:rsidRPr="00531FEB">
        <w:rPr>
          <w:noProof/>
        </w:rPr>
        <w:t xml:space="preserve"> </w:t>
      </w:r>
      <w:r w:rsidR="00531FEB">
        <w:rPr>
          <w:noProof/>
        </w:rPr>
        <w:t xml:space="preserve">plays a fundamental and </w:t>
      </w:r>
      <w:r w:rsidR="00E24AC2">
        <w:rPr>
          <w:noProof/>
        </w:rPr>
        <w:t>key</w:t>
      </w:r>
      <w:r w:rsidR="00531FEB">
        <w:rPr>
          <w:noProof/>
        </w:rPr>
        <w:t xml:space="preserve"> role in</w:t>
      </w:r>
      <w:r>
        <w:rPr>
          <w:noProof/>
        </w:rPr>
        <w:t xml:space="preserve"> the Union’s efforts to address distortions in the internal market caused by foreign subsidies. T</w:t>
      </w:r>
      <w:r w:rsidRPr="009B4357">
        <w:rPr>
          <w:noProof/>
        </w:rPr>
        <w:t>he overall objective of the FSR</w:t>
      </w:r>
      <w:r w:rsidR="0033096F">
        <w:rPr>
          <w:noProof/>
        </w:rPr>
        <w:t xml:space="preserve">, which is </w:t>
      </w:r>
      <w:r w:rsidRPr="009B4357">
        <w:rPr>
          <w:noProof/>
        </w:rPr>
        <w:t>to prevent distortions in the internal market caused by foreign subsidies</w:t>
      </w:r>
      <w:r w:rsidR="0033096F">
        <w:rPr>
          <w:noProof/>
        </w:rPr>
        <w:t xml:space="preserve">, </w:t>
      </w:r>
      <w:r w:rsidR="00167F6A">
        <w:rPr>
          <w:noProof/>
        </w:rPr>
        <w:t>is</w:t>
      </w:r>
      <w:r w:rsidR="00167F6A" w:rsidRPr="009B4357">
        <w:rPr>
          <w:noProof/>
        </w:rPr>
        <w:t xml:space="preserve"> </w:t>
      </w:r>
      <w:r w:rsidRPr="009B4357">
        <w:rPr>
          <w:noProof/>
        </w:rPr>
        <w:t>widely acknowledged and</w:t>
      </w:r>
      <w:r w:rsidR="00531FEB">
        <w:rPr>
          <w:noProof/>
        </w:rPr>
        <w:t xml:space="preserve"> </w:t>
      </w:r>
      <w:r w:rsidR="00167F6A">
        <w:rPr>
          <w:noProof/>
        </w:rPr>
        <w:t xml:space="preserve">remains </w:t>
      </w:r>
      <w:r w:rsidR="00531FEB">
        <w:rPr>
          <w:noProof/>
        </w:rPr>
        <w:t>very</w:t>
      </w:r>
      <w:r w:rsidRPr="009B4357">
        <w:rPr>
          <w:noProof/>
        </w:rPr>
        <w:t xml:space="preserve"> relevant. The </w:t>
      </w:r>
      <w:r>
        <w:rPr>
          <w:noProof/>
        </w:rPr>
        <w:t xml:space="preserve">findings </w:t>
      </w:r>
      <w:r w:rsidR="0033096F">
        <w:rPr>
          <w:noProof/>
        </w:rPr>
        <w:t>of</w:t>
      </w:r>
      <w:r>
        <w:rPr>
          <w:noProof/>
        </w:rPr>
        <w:t xml:space="preserve"> the </w:t>
      </w:r>
      <w:r w:rsidR="0033096F">
        <w:rPr>
          <w:noProof/>
        </w:rPr>
        <w:t>review h</w:t>
      </w:r>
      <w:r w:rsidRPr="009B4357">
        <w:rPr>
          <w:noProof/>
        </w:rPr>
        <w:t xml:space="preserve">ighlight the importance of </w:t>
      </w:r>
      <w:r>
        <w:rPr>
          <w:noProof/>
        </w:rPr>
        <w:t>the FSR</w:t>
      </w:r>
      <w:r w:rsidR="0033096F">
        <w:rPr>
          <w:noProof/>
          <w:lang w:val="en-IE"/>
        </w:rPr>
        <w:t xml:space="preserve"> and confirm that the </w:t>
      </w:r>
      <w:r w:rsidR="00167F6A">
        <w:rPr>
          <w:noProof/>
          <w:lang w:val="en-IE"/>
        </w:rPr>
        <w:t xml:space="preserve">Regulation </w:t>
      </w:r>
      <w:r w:rsidR="0033096F">
        <w:rPr>
          <w:noProof/>
          <w:lang w:val="en-IE"/>
        </w:rPr>
        <w:t xml:space="preserve">has been successful in </w:t>
      </w:r>
      <w:r w:rsidR="0033096F" w:rsidRPr="00E6306E">
        <w:rPr>
          <w:noProof/>
          <w:lang w:val="en-IE"/>
        </w:rPr>
        <w:t>captur</w:t>
      </w:r>
      <w:r w:rsidR="0033096F">
        <w:rPr>
          <w:noProof/>
          <w:lang w:val="en-IE"/>
        </w:rPr>
        <w:t>ing</w:t>
      </w:r>
      <w:r w:rsidR="0033096F" w:rsidRPr="00E6306E">
        <w:rPr>
          <w:noProof/>
          <w:lang w:val="en-IE"/>
        </w:rPr>
        <w:t xml:space="preserve"> high-risk </w:t>
      </w:r>
      <w:r w:rsidR="0033096F">
        <w:rPr>
          <w:noProof/>
          <w:lang w:val="en-IE"/>
        </w:rPr>
        <w:t>concentrations and public procurements</w:t>
      </w:r>
      <w:r w:rsidR="0033096F" w:rsidRPr="009B4357">
        <w:rPr>
          <w:noProof/>
          <w:lang w:val="en-IE"/>
        </w:rPr>
        <w:t xml:space="preserve">, as demonstrated by </w:t>
      </w:r>
      <w:r w:rsidR="001D1332">
        <w:rPr>
          <w:noProof/>
          <w:lang w:val="en-IE"/>
        </w:rPr>
        <w:t>the</w:t>
      </w:r>
      <w:r w:rsidR="0033096F" w:rsidRPr="009B4357">
        <w:rPr>
          <w:noProof/>
          <w:lang w:val="en-IE"/>
        </w:rPr>
        <w:t xml:space="preserve"> Commission’s case practice and the adopted final decisions with commitments under </w:t>
      </w:r>
      <w:r w:rsidR="00167F6A" w:rsidRPr="009B4357">
        <w:rPr>
          <w:noProof/>
          <w:lang w:val="en-IE"/>
        </w:rPr>
        <w:t>Chapter</w:t>
      </w:r>
      <w:r w:rsidR="00167F6A">
        <w:rPr>
          <w:noProof/>
          <w:lang w:val="en-IE"/>
        </w:rPr>
        <w:t>s </w:t>
      </w:r>
      <w:r w:rsidR="0033096F" w:rsidRPr="009B4357">
        <w:rPr>
          <w:noProof/>
          <w:lang w:val="en-IE"/>
        </w:rPr>
        <w:t xml:space="preserve">3 </w:t>
      </w:r>
      <w:r w:rsidR="0033096F" w:rsidRPr="003476BC">
        <w:rPr>
          <w:noProof/>
          <w:lang w:val="en-IE"/>
        </w:rPr>
        <w:t>and 4</w:t>
      </w:r>
      <w:r w:rsidR="0033096F" w:rsidRPr="009B4357">
        <w:rPr>
          <w:noProof/>
          <w:lang w:val="en-IE"/>
        </w:rPr>
        <w:t xml:space="preserve"> FSR</w:t>
      </w:r>
      <w:r w:rsidR="0033096F">
        <w:rPr>
          <w:noProof/>
          <w:lang w:val="en-IE"/>
        </w:rPr>
        <w:t xml:space="preserve"> as well as its </w:t>
      </w:r>
      <w:r w:rsidR="0033096F" w:rsidRPr="009B4357">
        <w:rPr>
          <w:noProof/>
          <w:lang w:val="en-IE"/>
        </w:rPr>
        <w:t>on</w:t>
      </w:r>
      <w:r w:rsidR="004A30F4">
        <w:rPr>
          <w:noProof/>
          <w:lang w:val="en-IE"/>
        </w:rPr>
        <w:t>going</w:t>
      </w:r>
      <w:r w:rsidR="00167F6A">
        <w:rPr>
          <w:noProof/>
          <w:lang w:val="en-IE"/>
        </w:rPr>
        <w:t>, at time of publication,</w:t>
      </w:r>
      <w:r w:rsidR="0033096F" w:rsidRPr="009B4357">
        <w:rPr>
          <w:noProof/>
          <w:lang w:val="en-IE"/>
        </w:rPr>
        <w:t xml:space="preserve"> investigations under the ex officio procedure.</w:t>
      </w:r>
      <w:r w:rsidR="0033096F">
        <w:rPr>
          <w:noProof/>
          <w:lang w:val="en-IE"/>
        </w:rPr>
        <w:t xml:space="preserve"> </w:t>
      </w:r>
    </w:p>
    <w:p w14:paraId="7C520B72" w14:textId="04559C5E" w:rsidR="00DD2471" w:rsidRPr="009B4357" w:rsidRDefault="00EB6A93" w:rsidP="00EB6A93">
      <w:pPr>
        <w:rPr>
          <w:noProof/>
          <w:lang w:val="en-IE"/>
        </w:rPr>
      </w:pPr>
      <w:r w:rsidRPr="00F4452D">
        <w:rPr>
          <w:noProof/>
        </w:rPr>
        <w:t xml:space="preserve">In light of the stakeholders’ feedback, the </w:t>
      </w:r>
      <w:r w:rsidR="00875732" w:rsidRPr="00F4452D">
        <w:rPr>
          <w:noProof/>
        </w:rPr>
        <w:t>Commission may</w:t>
      </w:r>
      <w:r w:rsidR="005B79AE" w:rsidRPr="00F4452D">
        <w:rPr>
          <w:noProof/>
        </w:rPr>
        <w:t xml:space="preserve"> consider </w:t>
      </w:r>
      <w:r w:rsidR="00390DAD">
        <w:rPr>
          <w:noProof/>
        </w:rPr>
        <w:t xml:space="preserve">possible </w:t>
      </w:r>
      <w:r w:rsidR="005B79AE" w:rsidRPr="00F4452D">
        <w:rPr>
          <w:noProof/>
        </w:rPr>
        <w:t xml:space="preserve">adjustments to the FSR </w:t>
      </w:r>
      <w:r w:rsidR="002F0A72" w:rsidRPr="00F4452D">
        <w:rPr>
          <w:noProof/>
        </w:rPr>
        <w:t>procedural set up</w:t>
      </w:r>
      <w:r w:rsidR="003C092B" w:rsidRPr="00F4452D">
        <w:rPr>
          <w:noProof/>
        </w:rPr>
        <w:t xml:space="preserve"> </w:t>
      </w:r>
      <w:bookmarkStart w:id="28" w:name="_Hlk232513662"/>
      <w:r w:rsidR="008E4184" w:rsidRPr="00F4452D">
        <w:rPr>
          <w:noProof/>
        </w:rPr>
        <w:t xml:space="preserve">to </w:t>
      </w:r>
      <w:r w:rsidR="00DD2471" w:rsidRPr="00F4452D">
        <w:rPr>
          <w:noProof/>
          <w:lang w:val="en-IE"/>
        </w:rPr>
        <w:t xml:space="preserve">reduce </w:t>
      </w:r>
      <w:r w:rsidR="00325490" w:rsidRPr="00F4452D">
        <w:rPr>
          <w:noProof/>
          <w:lang w:val="en-IE"/>
        </w:rPr>
        <w:t xml:space="preserve">the </w:t>
      </w:r>
      <w:r w:rsidR="00DD2471" w:rsidRPr="00F4452D">
        <w:rPr>
          <w:noProof/>
          <w:lang w:val="en-IE"/>
        </w:rPr>
        <w:t xml:space="preserve">administrative burden </w:t>
      </w:r>
      <w:r w:rsidR="00325490" w:rsidRPr="00F4452D">
        <w:rPr>
          <w:noProof/>
          <w:lang w:val="en-IE"/>
        </w:rPr>
        <w:t>on</w:t>
      </w:r>
      <w:r w:rsidR="00DD2471" w:rsidRPr="00F4452D">
        <w:rPr>
          <w:noProof/>
          <w:lang w:val="en-IE"/>
        </w:rPr>
        <w:t xml:space="preserve"> businesses</w:t>
      </w:r>
      <w:r w:rsidR="00EE4F58" w:rsidRPr="00F4452D">
        <w:rPr>
          <w:noProof/>
          <w:lang w:val="en-IE"/>
        </w:rPr>
        <w:t xml:space="preserve"> and </w:t>
      </w:r>
      <w:r w:rsidR="00DD2471" w:rsidRPr="00F4452D">
        <w:rPr>
          <w:noProof/>
          <w:lang w:val="en-IE"/>
        </w:rPr>
        <w:t>facilitate compliance, while maintaining the FSR’s effectiveness</w:t>
      </w:r>
      <w:bookmarkEnd w:id="28"/>
      <w:r w:rsidR="00DD2471" w:rsidRPr="009B4357">
        <w:rPr>
          <w:noProof/>
          <w:lang w:val="en-IE"/>
        </w:rPr>
        <w:t>.</w:t>
      </w:r>
    </w:p>
    <w:p w14:paraId="5644FE9B" w14:textId="2FB5B64B" w:rsidR="00A140A7" w:rsidRPr="00AA0B88" w:rsidRDefault="00CE4D15" w:rsidP="00DD2471">
      <w:pPr>
        <w:rPr>
          <w:noProof/>
          <w:lang w:val="en-IE"/>
        </w:rPr>
      </w:pPr>
      <w:r>
        <w:rPr>
          <w:noProof/>
          <w:lang w:val="en-IE"/>
        </w:rPr>
        <w:t>T</w:t>
      </w:r>
      <w:r w:rsidRPr="002825BD">
        <w:rPr>
          <w:noProof/>
          <w:lang w:val="en-IE"/>
        </w:rPr>
        <w:t xml:space="preserve">he Commission </w:t>
      </w:r>
      <w:r>
        <w:rPr>
          <w:noProof/>
          <w:lang w:val="en-IE"/>
        </w:rPr>
        <w:t>remains committed</w:t>
      </w:r>
      <w:r w:rsidRPr="002825BD">
        <w:rPr>
          <w:noProof/>
          <w:lang w:val="en-IE"/>
        </w:rPr>
        <w:t xml:space="preserve"> </w:t>
      </w:r>
      <w:r>
        <w:rPr>
          <w:noProof/>
          <w:lang w:val="en-IE"/>
        </w:rPr>
        <w:t>to enforce the FSR</w:t>
      </w:r>
      <w:r w:rsidRPr="002825BD">
        <w:rPr>
          <w:noProof/>
          <w:lang w:val="en-IE"/>
        </w:rPr>
        <w:t xml:space="preserve"> whenever necessary to ensure </w:t>
      </w:r>
      <w:r>
        <w:rPr>
          <w:noProof/>
          <w:lang w:val="en-IE"/>
        </w:rPr>
        <w:t>a</w:t>
      </w:r>
      <w:r w:rsidRPr="002825BD">
        <w:rPr>
          <w:noProof/>
          <w:lang w:val="en-IE"/>
        </w:rPr>
        <w:t xml:space="preserve"> </w:t>
      </w:r>
      <w:r>
        <w:rPr>
          <w:noProof/>
          <w:lang w:val="en-IE"/>
        </w:rPr>
        <w:t>level playing field and protect the internal market from distortive</w:t>
      </w:r>
      <w:r w:rsidRPr="002825BD">
        <w:rPr>
          <w:noProof/>
          <w:lang w:val="en-IE"/>
        </w:rPr>
        <w:t xml:space="preserve"> foreign subsidies</w:t>
      </w:r>
      <w:r>
        <w:rPr>
          <w:noProof/>
          <w:lang w:val="en-IE"/>
        </w:rPr>
        <w:t>.</w:t>
      </w:r>
    </w:p>
    <w:sectPr w:rsidR="00A140A7" w:rsidRPr="00AA0B88" w:rsidSect="009A6162">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4089F2" w14:textId="77777777" w:rsidR="00C977C1" w:rsidRDefault="00C977C1">
      <w:pPr>
        <w:spacing w:after="0"/>
      </w:pPr>
      <w:r>
        <w:separator/>
      </w:r>
    </w:p>
  </w:endnote>
  <w:endnote w:type="continuationSeparator" w:id="0">
    <w:p w14:paraId="743CED82" w14:textId="77777777" w:rsidR="00C977C1" w:rsidRDefault="00C977C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Apto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DengXian Light">
    <w:altName w:val="等线 Light"/>
    <w:charset w:val="86"/>
    <w:family w:val="auto"/>
    <w:pitch w:val="variable"/>
    <w:sig w:usb0="A00002BF" w:usb1="38CF7CFA" w:usb2="00000016" w:usb3="00000000" w:csb0="0004000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61340" w14:textId="7805A215" w:rsidR="00D75AB3" w:rsidRPr="00D75AB3" w:rsidRDefault="00D75AB3" w:rsidP="00D75AB3">
    <w:pPr>
      <w:pStyle w:val="FooterCoverPage"/>
      <w:rPr>
        <w:rFonts w:ascii="Arial" w:hAnsi="Arial" w:cs="Arial"/>
        <w:b/>
        <w:sz w:val="48"/>
      </w:rPr>
    </w:pPr>
    <w:r w:rsidRPr="00D75AB3">
      <w:rPr>
        <w:rFonts w:ascii="Arial" w:hAnsi="Arial" w:cs="Arial"/>
        <w:b/>
        <w:sz w:val="48"/>
      </w:rPr>
      <w:t>EN</w:t>
    </w:r>
    <w:r w:rsidRPr="00D75AB3">
      <w:rPr>
        <w:rFonts w:ascii="Arial" w:hAnsi="Arial" w:cs="Arial"/>
        <w:b/>
        <w:sz w:val="48"/>
      </w:rPr>
      <w:tab/>
    </w:r>
    <w:r w:rsidRPr="00D75AB3">
      <w:rPr>
        <w:rFonts w:ascii="Arial" w:hAnsi="Arial" w:cs="Arial"/>
        <w:b/>
        <w:sz w:val="48"/>
      </w:rPr>
      <w:tab/>
    </w:r>
    <w:r w:rsidRPr="00D75AB3">
      <w:tab/>
    </w:r>
    <w:r w:rsidRPr="00D75AB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070E8" w14:textId="3A1227CD" w:rsidR="00D75AB3" w:rsidRPr="00D75AB3" w:rsidRDefault="00D75AB3" w:rsidP="00D75AB3">
    <w:pPr>
      <w:pStyle w:val="FooterCoverPage"/>
      <w:rPr>
        <w:rFonts w:ascii="Arial" w:hAnsi="Arial" w:cs="Arial"/>
        <w:b/>
        <w:sz w:val="48"/>
      </w:rPr>
    </w:pPr>
    <w:r w:rsidRPr="00D75AB3">
      <w:rPr>
        <w:rFonts w:ascii="Arial" w:hAnsi="Arial" w:cs="Arial"/>
        <w:b/>
        <w:sz w:val="48"/>
      </w:rPr>
      <w:t>EN</w:t>
    </w:r>
    <w:r w:rsidRPr="00D75AB3">
      <w:rPr>
        <w:rFonts w:ascii="Arial" w:hAnsi="Arial" w:cs="Arial"/>
        <w:b/>
        <w:sz w:val="48"/>
      </w:rPr>
      <w:tab/>
    </w:r>
    <w:r w:rsidRPr="00D75AB3">
      <w:rPr>
        <w:rFonts w:ascii="Arial" w:hAnsi="Arial" w:cs="Arial"/>
        <w:b/>
        <w:sz w:val="48"/>
      </w:rPr>
      <w:tab/>
    </w:r>
    <w:r w:rsidRPr="00D75AB3">
      <w:tab/>
    </w:r>
    <w:r w:rsidRPr="00D75AB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3E041" w14:textId="77777777" w:rsidR="00D75AB3" w:rsidRPr="00D75AB3" w:rsidRDefault="00D75AB3" w:rsidP="00D75AB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2C305" w14:textId="77777777" w:rsidR="008E336A" w:rsidRDefault="008E336A">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8236" w14:textId="4DF975FE" w:rsidR="008E336A" w:rsidRDefault="008E336A">
    <w:pPr>
      <w:pStyle w:val="FooterLine"/>
      <w:jc w:val="center"/>
    </w:pPr>
    <w:r>
      <w:fldChar w:fldCharType="begin"/>
    </w:r>
    <w:r>
      <w:instrText>PAGE   \* MERGEFORMAT</w:instrText>
    </w:r>
    <w:r>
      <w:fldChar w:fldCharType="separate"/>
    </w:r>
    <w:r w:rsidR="00D75AB3">
      <w:rPr>
        <w:noProof/>
      </w:rPr>
      <w:t>9</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91F7D" w14:textId="32DAF27E" w:rsidR="008E336A" w:rsidRPr="00B26EE7" w:rsidRDefault="00B26EE7" w:rsidP="00B26EE7">
    <w:pPr>
      <w:pStyle w:val="Footer"/>
      <w:spacing w:before="120"/>
      <w:jc w:val="center"/>
      <w:rPr>
        <w:lang w:val="en-IE"/>
      </w:rPr>
    </w:pPr>
    <w:r>
      <w:rPr>
        <w:lang w:val="en-IE"/>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3BE242" w14:textId="77777777" w:rsidR="00C977C1" w:rsidRDefault="00C977C1">
      <w:pPr>
        <w:spacing w:after="0"/>
      </w:pPr>
      <w:r>
        <w:separator/>
      </w:r>
    </w:p>
  </w:footnote>
  <w:footnote w:type="continuationSeparator" w:id="0">
    <w:p w14:paraId="601D0680" w14:textId="77777777" w:rsidR="00C977C1" w:rsidRDefault="00C977C1">
      <w:pPr>
        <w:spacing w:after="0"/>
      </w:pPr>
      <w:r>
        <w:continuationSeparator/>
      </w:r>
    </w:p>
  </w:footnote>
  <w:footnote w:id="1">
    <w:p w14:paraId="3B4383FD" w14:textId="257FFE1E" w:rsidR="00A16B12" w:rsidRPr="00A16B12" w:rsidRDefault="00A16B12">
      <w:pPr>
        <w:pStyle w:val="FootnoteText"/>
        <w:rPr>
          <w:lang w:val="en-IE"/>
        </w:rPr>
      </w:pPr>
      <w:r>
        <w:t>(</w:t>
      </w:r>
      <w:r>
        <w:rPr>
          <w:rStyle w:val="FootnoteReference"/>
        </w:rPr>
        <w:footnoteRef/>
      </w:r>
      <w:r>
        <w:t>)</w:t>
      </w:r>
      <w:r>
        <w:tab/>
      </w:r>
      <w:r w:rsidRPr="00A16B12">
        <w:t>Regulation (EU) 2022/2560 of the European Parliament and of the Council of 14</w:t>
      </w:r>
      <w:r w:rsidR="00B26EE7">
        <w:t> </w:t>
      </w:r>
      <w:r w:rsidRPr="00A16B12">
        <w:t>December 2022 on foreign subsidies distorting the internal market</w:t>
      </w:r>
      <w:r>
        <w:t xml:space="preserve">, </w:t>
      </w:r>
      <w:r w:rsidRPr="00A16B12">
        <w:t>OJ L</w:t>
      </w:r>
      <w:r w:rsidR="00B26EE7">
        <w:t> </w:t>
      </w:r>
      <w:r w:rsidRPr="00A16B12">
        <w:t>330, 23.12.2022, pp.</w:t>
      </w:r>
      <w:r w:rsidR="00B26EE7">
        <w:t> </w:t>
      </w:r>
      <w:r w:rsidRPr="00A16B12">
        <w:t>1–</w:t>
      </w:r>
      <w:r w:rsidRPr="00F35D5D">
        <w:t>45</w:t>
      </w:r>
      <w:r w:rsidR="00ED491C" w:rsidRPr="00F35D5D">
        <w:t>, ELI: </w:t>
      </w:r>
      <w:hyperlink r:id="rId1" w:tooltip="Gives access to this document through its ELI URI." w:history="1">
        <w:r w:rsidR="00ED491C" w:rsidRPr="00F35D5D">
          <w:rPr>
            <w:rStyle w:val="Hyperlink"/>
          </w:rPr>
          <w:t>http://data.europa.eu/eli/reg/2022/2560/oj</w:t>
        </w:r>
      </w:hyperlink>
    </w:p>
  </w:footnote>
  <w:footnote w:id="2">
    <w:p w14:paraId="10B1D516" w14:textId="31E666AC" w:rsidR="00140999" w:rsidRPr="006419E4" w:rsidRDefault="00140999" w:rsidP="00140999">
      <w:pPr>
        <w:pStyle w:val="FootnoteText"/>
      </w:pPr>
      <w:r w:rsidRPr="006419E4">
        <w:t>(</w:t>
      </w:r>
      <w:r w:rsidRPr="006419E4">
        <w:rPr>
          <w:rStyle w:val="FootnoteReference"/>
        </w:rPr>
        <w:footnoteRef/>
      </w:r>
      <w:r w:rsidRPr="006419E4">
        <w:t>)</w:t>
      </w:r>
      <w:r w:rsidRPr="006419E4">
        <w:tab/>
      </w:r>
      <w:hyperlink r:id="rId2" w:history="1">
        <w:r w:rsidR="00F83CAE" w:rsidRPr="00AF650D">
          <w:rPr>
            <w:rStyle w:val="Hyperlink"/>
          </w:rPr>
          <w:t>Multiple Mixed Framework Contract for the Provision of Expert Consultancy Services and Studies in the Context of Investigations and Enforcement Related to Foreign Subsidies</w:t>
        </w:r>
      </w:hyperlink>
      <w:r w:rsidRPr="006419E4">
        <w:t xml:space="preserve"> (COMP/2023/OP/0017</w:t>
      </w:r>
      <w:r w:rsidR="00F83CAE">
        <w:t>)</w:t>
      </w:r>
      <w:r w:rsidRPr="006419E4">
        <w:t>.</w:t>
      </w:r>
    </w:p>
  </w:footnote>
  <w:footnote w:id="3">
    <w:p w14:paraId="236BCFE7" w14:textId="715941E3" w:rsidR="008629AE" w:rsidRPr="00B65535" w:rsidRDefault="008629AE" w:rsidP="008629AE">
      <w:pPr>
        <w:pStyle w:val="FootnoteText"/>
        <w:rPr>
          <w:lang w:val="en-IE"/>
        </w:rPr>
      </w:pPr>
      <w:r>
        <w:t>(</w:t>
      </w:r>
      <w:r>
        <w:rPr>
          <w:rStyle w:val="FootnoteReference"/>
        </w:rPr>
        <w:footnoteRef/>
      </w:r>
      <w:r>
        <w:t>)</w:t>
      </w:r>
      <w:r>
        <w:tab/>
      </w:r>
      <w:r w:rsidRPr="00C24FC1">
        <w:t xml:space="preserve">Summary report on the Public Consultation on the FSR Review Report, available </w:t>
      </w:r>
      <w:r w:rsidR="00F11276">
        <w:t xml:space="preserve">at Have your say porta at </w:t>
      </w:r>
      <w:hyperlink r:id="rId3" w:history="1">
        <w:r w:rsidR="00F11276">
          <w:rPr>
            <w:rStyle w:val="Hyperlink"/>
          </w:rPr>
          <w:t xml:space="preserve">Foreign Subsidies Review Report - public consultation </w:t>
        </w:r>
      </w:hyperlink>
      <w:r w:rsidR="00F83CAE">
        <w:t>.</w:t>
      </w:r>
    </w:p>
  </w:footnote>
  <w:footnote w:id="4">
    <w:p w14:paraId="3AA9BBDE" w14:textId="321B62C2" w:rsidR="00B942A3" w:rsidRPr="00621E93" w:rsidRDefault="00B942A3" w:rsidP="00B942A3">
      <w:pPr>
        <w:pStyle w:val="FootnoteText"/>
      </w:pPr>
      <w:r>
        <w:t>(</w:t>
      </w:r>
      <w:r>
        <w:rPr>
          <w:rStyle w:val="FootnoteReference"/>
        </w:rPr>
        <w:footnoteRef/>
      </w:r>
      <w:r>
        <w:t>)</w:t>
      </w:r>
      <w:r>
        <w:tab/>
      </w:r>
      <w:r w:rsidRPr="00EE1259">
        <w:t>Annex I to the FSIR concerns the Form FS-CO relating to the notification of a concentration pursuant to the FSR and Annex II to the FSIR concerns the Form FS-PP relating to the notification in the context of public procurement procedures pursuant to the FSR.</w:t>
      </w:r>
      <w:r w:rsidR="00721235" w:rsidRPr="00721235">
        <w:t xml:space="preserve"> </w:t>
      </w:r>
      <w:r w:rsidR="00721235">
        <w:t xml:space="preserve">The FSIR also concerned the </w:t>
      </w:r>
      <w:r w:rsidR="00721235" w:rsidRPr="00503098">
        <w:t xml:space="preserve">rules </w:t>
      </w:r>
      <w:r w:rsidR="00721235">
        <w:t xml:space="preserve">on access to file and treatment of confidential information, transparency requirements, </w:t>
      </w:r>
      <w:r w:rsidR="00721235" w:rsidRPr="00503098">
        <w:t xml:space="preserve">rules for calculating time limits, and </w:t>
      </w:r>
      <w:r w:rsidR="00721235">
        <w:t xml:space="preserve">the Commission’s investigation process, including </w:t>
      </w:r>
      <w:r w:rsidR="00721235" w:rsidRPr="00503098">
        <w:t xml:space="preserve">procedural </w:t>
      </w:r>
      <w:r w:rsidR="00721235">
        <w:t>details for proposing commitments by the undertaking under investigation.</w:t>
      </w:r>
    </w:p>
  </w:footnote>
  <w:footnote w:id="5">
    <w:p w14:paraId="318F15A7" w14:textId="4AE4B946" w:rsidR="00557E08" w:rsidRPr="006419E4" w:rsidRDefault="00557E08" w:rsidP="00557E08">
      <w:pPr>
        <w:pStyle w:val="FootnoteText"/>
      </w:pPr>
      <w:r w:rsidRPr="006419E4">
        <w:t>(</w:t>
      </w:r>
      <w:r w:rsidRPr="006419E4">
        <w:rPr>
          <w:rStyle w:val="FootnoteReference"/>
        </w:rPr>
        <w:footnoteRef/>
      </w:r>
      <w:r w:rsidRPr="006419E4">
        <w:t>)</w:t>
      </w:r>
      <w:r w:rsidRPr="006419E4">
        <w:tab/>
      </w:r>
      <w:r w:rsidR="00F83CAE">
        <w:t xml:space="preserve">Commission Staff Working Document – </w:t>
      </w:r>
      <w:hyperlink r:id="rId4" w:history="1">
        <w:r w:rsidR="00F83CAE" w:rsidRPr="00DF44DD">
          <w:rPr>
            <w:rStyle w:val="Hyperlink"/>
          </w:rPr>
          <w:t>Initial clarifications on the application of Article 4(1), Article 6 and Article 27(1) of Regulation (EU) 2022/2560 on foreign subsidies distorting the internal market</w:t>
        </w:r>
      </w:hyperlink>
      <w:r w:rsidR="00F83CAE">
        <w:t xml:space="preserve">, </w:t>
      </w:r>
      <w:r w:rsidR="00F83CAE" w:rsidRPr="00B729AE">
        <w:t>SWD(2024) 201 final</w:t>
      </w:r>
      <w:r w:rsidRPr="006419E4">
        <w:t>.</w:t>
      </w:r>
    </w:p>
  </w:footnote>
  <w:footnote w:id="6">
    <w:p w14:paraId="0BB3FE3F" w14:textId="77777777" w:rsidR="00F83CAE" w:rsidRDefault="003D5FF1" w:rsidP="00F83CAE">
      <w:pPr>
        <w:pStyle w:val="FootnoteText"/>
      </w:pPr>
      <w:r>
        <w:t>(</w:t>
      </w:r>
      <w:r>
        <w:rPr>
          <w:rStyle w:val="FootnoteReference"/>
        </w:rPr>
        <w:footnoteRef/>
      </w:r>
      <w:r>
        <w:t>)</w:t>
      </w:r>
      <w:r>
        <w:tab/>
      </w:r>
      <w:r w:rsidR="00F83CAE">
        <w:t xml:space="preserve">DG COMP website – </w:t>
      </w:r>
      <w:hyperlink r:id="rId5" w:history="1">
        <w:r w:rsidR="00F83CAE" w:rsidRPr="00CC799E">
          <w:rPr>
            <w:rStyle w:val="Hyperlink"/>
          </w:rPr>
          <w:t>FSR Q&amp;As</w:t>
        </w:r>
      </w:hyperlink>
      <w:r w:rsidR="00F83CAE">
        <w:t>.</w:t>
      </w:r>
    </w:p>
    <w:p w14:paraId="5E64129A" w14:textId="50C22F48" w:rsidR="003D5FF1" w:rsidRPr="00B729AE" w:rsidRDefault="00F83CAE" w:rsidP="00AA0B88">
      <w:pPr>
        <w:pStyle w:val="FootnoteText"/>
        <w:ind w:firstLine="0"/>
      </w:pPr>
      <w:r>
        <w:t xml:space="preserve">DG GROW website – </w:t>
      </w:r>
      <w:hyperlink r:id="rId6" w:history="1">
        <w:r w:rsidRPr="00CC799E">
          <w:rPr>
            <w:rStyle w:val="Hyperlink"/>
          </w:rPr>
          <w:t>FSR Q&amp;As</w:t>
        </w:r>
      </w:hyperlink>
      <w:r>
        <w:t xml:space="preserve">. </w:t>
      </w:r>
    </w:p>
  </w:footnote>
  <w:footnote w:id="7">
    <w:p w14:paraId="5A87A207" w14:textId="64610694" w:rsidR="00640555" w:rsidRPr="003D5FF1" w:rsidRDefault="00640555" w:rsidP="00640555">
      <w:pPr>
        <w:pStyle w:val="FootnoteText"/>
        <w:rPr>
          <w:lang w:val="en-IE"/>
        </w:rPr>
      </w:pPr>
      <w:r>
        <w:t>(</w:t>
      </w:r>
      <w:r>
        <w:rPr>
          <w:rStyle w:val="FootnoteReference"/>
        </w:rPr>
        <w:footnoteRef/>
      </w:r>
      <w:r>
        <w:t>)</w:t>
      </w:r>
      <w:r>
        <w:tab/>
      </w:r>
      <w:r w:rsidR="008402FE">
        <w:t>Communication from</w:t>
      </w:r>
      <w:r w:rsidRPr="003D5FF1">
        <w:t xml:space="preserve"> the </w:t>
      </w:r>
      <w:r w:rsidR="008402FE">
        <w:t xml:space="preserve">Commission – </w:t>
      </w:r>
      <w:hyperlink r:id="rId7" w:anchor="foreign-subsidies-regulation-guidelines-fsr-guidelines" w:history="1">
        <w:r w:rsidRPr="008402FE">
          <w:rPr>
            <w:rStyle w:val="Hyperlink"/>
          </w:rPr>
          <w:t>Guidelines</w:t>
        </w:r>
        <w:r w:rsidR="008402FE" w:rsidRPr="008402FE">
          <w:rPr>
            <w:rStyle w:val="Hyperlink"/>
          </w:rPr>
          <w:t xml:space="preserve"> </w:t>
        </w:r>
        <w:r w:rsidRPr="008402FE">
          <w:rPr>
            <w:rStyle w:val="Hyperlink"/>
          </w:rPr>
          <w:t>on the application of certain provisions of Regulation (EU) 2022/2560 of the European Parliament and of the Council on foreign subsidies distorting the internal market</w:t>
        </w:r>
      </w:hyperlink>
      <w:r>
        <w:t xml:space="preserve">, </w:t>
      </w:r>
      <w:r w:rsidRPr="003D5FF1">
        <w:t>C(2026) 42 final</w:t>
      </w:r>
      <w:r w:rsidR="008402FE">
        <w:t>.</w:t>
      </w:r>
      <w:r>
        <w:t xml:space="preserve"> </w:t>
      </w:r>
    </w:p>
  </w:footnote>
  <w:footnote w:id="8">
    <w:p w14:paraId="09849000" w14:textId="7A4B174B" w:rsidR="00E70D14" w:rsidRPr="00222200" w:rsidRDefault="00E70D14" w:rsidP="00E70D14">
      <w:pPr>
        <w:pStyle w:val="FootnoteText"/>
        <w:rPr>
          <w:lang w:val="en-IE"/>
        </w:rPr>
      </w:pPr>
      <w:r>
        <w:t>(</w:t>
      </w:r>
      <w:r>
        <w:rPr>
          <w:rStyle w:val="FootnoteReference"/>
        </w:rPr>
        <w:footnoteRef/>
      </w:r>
      <w:r>
        <w:t>)</w:t>
      </w:r>
      <w:r>
        <w:tab/>
      </w:r>
      <w:r w:rsidR="008402FE">
        <w:t xml:space="preserve">Competition FSR brief (Issue 1, February 2024) – </w:t>
      </w:r>
      <w:hyperlink r:id="rId8" w:history="1">
        <w:r w:rsidR="008402FE" w:rsidRPr="00BB2878">
          <w:rPr>
            <w:rStyle w:val="Hyperlink"/>
          </w:rPr>
          <w:t>The Foreign Subsidies Regulation – 100 days since the start of the notification obligation for concentrations</w:t>
        </w:r>
      </w:hyperlink>
      <w:r>
        <w:t xml:space="preserve">. </w:t>
      </w:r>
    </w:p>
  </w:footnote>
  <w:footnote w:id="9">
    <w:p w14:paraId="3D950F8A" w14:textId="1CD4E8F3" w:rsidR="00E70D14" w:rsidRPr="00222200" w:rsidRDefault="00E70D14" w:rsidP="00E70D14">
      <w:pPr>
        <w:pStyle w:val="FootnoteText"/>
        <w:rPr>
          <w:lang w:val="en-IE"/>
        </w:rPr>
      </w:pPr>
      <w:r>
        <w:t>(</w:t>
      </w:r>
      <w:r>
        <w:rPr>
          <w:rStyle w:val="FootnoteReference"/>
        </w:rPr>
        <w:footnoteRef/>
      </w:r>
      <w:r>
        <w:t>)</w:t>
      </w:r>
      <w:r>
        <w:tab/>
      </w:r>
      <w:r w:rsidR="008402FE">
        <w:t xml:space="preserve">Competition FSR brief (Issue 1, March 2026) – </w:t>
      </w:r>
      <w:hyperlink r:id="rId9" w:history="1">
        <w:r w:rsidR="008402FE" w:rsidRPr="00BB2878">
          <w:rPr>
            <w:rStyle w:val="Hyperlink"/>
          </w:rPr>
          <w:t>Guidelines on the implementation of the Foreign Subsidies Regulation (‘FSR Guidelines') – Shedding light on key concepts</w:t>
        </w:r>
      </w:hyperlink>
      <w:r>
        <w:t xml:space="preserve">. </w:t>
      </w:r>
    </w:p>
  </w:footnote>
  <w:footnote w:id="10">
    <w:p w14:paraId="3AB30FBE" w14:textId="233E330E" w:rsidR="00E70D14" w:rsidRPr="00222200" w:rsidRDefault="00E70D14" w:rsidP="00E70D14">
      <w:pPr>
        <w:pStyle w:val="FootnoteText"/>
        <w:rPr>
          <w:lang w:val="en-IE"/>
        </w:rPr>
      </w:pPr>
      <w:r>
        <w:t>(</w:t>
      </w:r>
      <w:r>
        <w:rPr>
          <w:rStyle w:val="FootnoteReference"/>
        </w:rPr>
        <w:footnoteRef/>
      </w:r>
      <w:r>
        <w:t>)</w:t>
      </w:r>
      <w:r>
        <w:tab/>
      </w:r>
      <w:r w:rsidR="008402FE">
        <w:t xml:space="preserve">Competition FSR brief (Issue 1, December 2025) – </w:t>
      </w:r>
      <w:hyperlink r:id="rId10" w:history="1">
        <w:r w:rsidR="008402FE" w:rsidRPr="00BB2878">
          <w:rPr>
            <w:rStyle w:val="Hyperlink"/>
          </w:rPr>
          <w:t>The e&amp;/PPF Telecom case – Interference on the foreign subsidies line to the EU</w:t>
        </w:r>
      </w:hyperlink>
      <w:r w:rsidR="00B0030F">
        <w:t>.</w:t>
      </w:r>
      <w:r>
        <w:t xml:space="preserve"> </w:t>
      </w:r>
    </w:p>
  </w:footnote>
  <w:footnote w:id="11">
    <w:p w14:paraId="2A46487F" w14:textId="06B9B31A" w:rsidR="00D76BCD" w:rsidRPr="00812A40" w:rsidRDefault="00D76BCD">
      <w:pPr>
        <w:pStyle w:val="FootnoteText"/>
        <w:rPr>
          <w:lang w:val="pl-PL"/>
        </w:rPr>
      </w:pPr>
      <w:r>
        <w:t>(</w:t>
      </w:r>
      <w:r>
        <w:rPr>
          <w:rStyle w:val="FootnoteReference"/>
        </w:rPr>
        <w:footnoteRef/>
      </w:r>
      <w:r>
        <w:t>)</w:t>
      </w:r>
      <w:r>
        <w:tab/>
        <w:t xml:space="preserve">DG GROW is </w:t>
      </w:r>
      <w:r w:rsidR="0069118C">
        <w:t xml:space="preserve">currently exploring possibilities </w:t>
      </w:r>
      <w:r>
        <w:t xml:space="preserve">to increase transparency of proceedings </w:t>
      </w:r>
      <w:r w:rsidR="00624792">
        <w:t>for</w:t>
      </w:r>
      <w:r>
        <w:t xml:space="preserve"> public procurement </w:t>
      </w:r>
      <w:r w:rsidR="0069118C">
        <w:t>while ensuring the confidentiality of national public procurement procedures</w:t>
      </w:r>
      <w:r>
        <w:t>.</w:t>
      </w:r>
    </w:p>
  </w:footnote>
  <w:footnote w:id="12">
    <w:p w14:paraId="2660FDD3" w14:textId="3EF0434C" w:rsidR="00E56A3A" w:rsidRPr="00EA7ECD" w:rsidRDefault="00E56A3A" w:rsidP="00EA7ECD">
      <w:pPr>
        <w:pStyle w:val="FootnoteText"/>
      </w:pPr>
      <w:r>
        <w:t>(</w:t>
      </w:r>
      <w:r>
        <w:rPr>
          <w:rStyle w:val="FootnoteReference"/>
        </w:rPr>
        <w:footnoteRef/>
      </w:r>
      <w:r>
        <w:t>)</w:t>
      </w:r>
      <w:r>
        <w:tab/>
      </w:r>
      <w:hyperlink r:id="rId11" w:history="1">
        <w:r w:rsidR="0008262F" w:rsidRPr="009262A4">
          <w:rPr>
            <w:rStyle w:val="Hyperlink"/>
          </w:rPr>
          <w:t xml:space="preserve">Summary Notice concerning the initiation of an in-depth investigation in </w:t>
        </w:r>
        <w:r w:rsidR="00F115B8">
          <w:rPr>
            <w:rStyle w:val="Hyperlink"/>
          </w:rPr>
          <w:t>C</w:t>
        </w:r>
        <w:r w:rsidR="0008262F" w:rsidRPr="009262A4">
          <w:rPr>
            <w:rStyle w:val="Hyperlink"/>
          </w:rPr>
          <w:t>ase FS.100068 – NUCTECH pursuant to Article 10(3)(d) of Regulation (EU) 2022/2560</w:t>
        </w:r>
      </w:hyperlink>
      <w:r w:rsidR="0008262F">
        <w:t>, OJEU C/2026/545.</w:t>
      </w:r>
      <w:r w:rsidR="00EA7ECD">
        <w:t xml:space="preserve"> </w:t>
      </w:r>
    </w:p>
  </w:footnote>
  <w:footnote w:id="13">
    <w:p w14:paraId="0B435334" w14:textId="78058B73" w:rsidR="00EA7ECD" w:rsidRPr="00EA7ECD" w:rsidRDefault="00EA7ECD" w:rsidP="00EA7ECD">
      <w:pPr>
        <w:pStyle w:val="FootnoteText"/>
      </w:pPr>
      <w:r>
        <w:t>(</w:t>
      </w:r>
      <w:r>
        <w:rPr>
          <w:rStyle w:val="FootnoteReference"/>
        </w:rPr>
        <w:footnoteRef/>
      </w:r>
      <w:r>
        <w:t>)</w:t>
      </w:r>
      <w:r>
        <w:tab/>
      </w:r>
      <w:hyperlink r:id="rId12" w:history="1">
        <w:r w:rsidR="0008262F" w:rsidRPr="009262A4">
          <w:rPr>
            <w:rStyle w:val="Hyperlink"/>
          </w:rPr>
          <w:t xml:space="preserve">Summary Notice concerning the initiation of an in-depth investigation in </w:t>
        </w:r>
        <w:r w:rsidR="00F115B8">
          <w:rPr>
            <w:rStyle w:val="Hyperlink"/>
          </w:rPr>
          <w:t>C</w:t>
        </w:r>
        <w:r w:rsidR="0008262F" w:rsidRPr="009262A4">
          <w:rPr>
            <w:rStyle w:val="Hyperlink"/>
          </w:rPr>
          <w:t>ase FS.100143 – Goldwind, pursuant to Article 10(3)(d) of Regulation (EU) 2022/2560</w:t>
        </w:r>
      </w:hyperlink>
      <w:r w:rsidR="0008262F">
        <w:t>, OJEU C/2026/1120.</w:t>
      </w:r>
      <w:r>
        <w:t xml:space="preserve"> </w:t>
      </w:r>
    </w:p>
  </w:footnote>
  <w:footnote w:id="14">
    <w:p w14:paraId="16CC58B3" w14:textId="501EB6BF" w:rsidR="00765FC1" w:rsidRPr="00F35D5D" w:rsidRDefault="00765FC1">
      <w:pPr>
        <w:pStyle w:val="FootnoteText"/>
        <w:rPr>
          <w:lang w:val="en-IE"/>
        </w:rPr>
      </w:pPr>
      <w:r>
        <w:t>(</w:t>
      </w:r>
      <w:r>
        <w:rPr>
          <w:rStyle w:val="FootnoteReference"/>
        </w:rPr>
        <w:footnoteRef/>
      </w:r>
      <w:r>
        <w:t>)</w:t>
      </w:r>
      <w:r>
        <w:tab/>
      </w:r>
      <w:r w:rsidRPr="00765FC1">
        <w:t>Case T-284/24</w:t>
      </w:r>
      <w:r w:rsidR="00E90B9A">
        <w:t xml:space="preserve">, </w:t>
      </w:r>
      <w:r w:rsidRPr="00AA0B88">
        <w:rPr>
          <w:i/>
          <w:iCs/>
        </w:rPr>
        <w:t xml:space="preserve">Nuctech Warsaw and Nuctech Netherlands </w:t>
      </w:r>
      <w:r w:rsidRPr="00F35D5D">
        <w:rPr>
          <w:i/>
          <w:iCs/>
        </w:rPr>
        <w:t>v Commission</w:t>
      </w:r>
      <w:r w:rsidRPr="00F35D5D">
        <w:t>, OJ C, C/2024/4107</w:t>
      </w:r>
      <w:r w:rsidR="00ED491C" w:rsidRPr="00F35D5D">
        <w:t>, ELI: </w:t>
      </w:r>
      <w:hyperlink r:id="rId13" w:tooltip="Gives access to this document through its ELI URI." w:history="1">
        <w:r w:rsidR="00ED491C" w:rsidRPr="00F35D5D">
          <w:rPr>
            <w:rStyle w:val="Hyperlink"/>
          </w:rPr>
          <w:t>http://data.europa.eu/eli/C/2024/4107/oj</w:t>
        </w:r>
      </w:hyperlink>
      <w:r w:rsidR="00F35D5D" w:rsidRPr="00F35D5D">
        <w:t>.</w:t>
      </w:r>
    </w:p>
  </w:footnote>
  <w:footnote w:id="15">
    <w:p w14:paraId="5D11ACD2" w14:textId="3A448A95" w:rsidR="00765FC1" w:rsidRPr="00812A40" w:rsidRDefault="00765FC1">
      <w:pPr>
        <w:pStyle w:val="FootnoteText"/>
        <w:rPr>
          <w:lang w:val="en-IE"/>
        </w:rPr>
      </w:pPr>
      <w:r w:rsidRPr="00F35D5D">
        <w:t>(</w:t>
      </w:r>
      <w:r w:rsidRPr="00F35D5D">
        <w:rPr>
          <w:rStyle w:val="FootnoteReference"/>
        </w:rPr>
        <w:footnoteRef/>
      </w:r>
      <w:r w:rsidRPr="00F35D5D">
        <w:t>)</w:t>
      </w:r>
      <w:r w:rsidRPr="00F35D5D">
        <w:tab/>
        <w:t xml:space="preserve">Case T-284/24 R, </w:t>
      </w:r>
      <w:r w:rsidRPr="00F35D5D">
        <w:rPr>
          <w:i/>
          <w:iCs/>
        </w:rPr>
        <w:t>Nuctech Warsaw Company Limited Sp. z o.o. and Nuctech Netherlands BV v Commission</w:t>
      </w:r>
      <w:r w:rsidRPr="00F35D5D">
        <w:t xml:space="preserve">, </w:t>
      </w:r>
      <w:r w:rsidR="00ED491C" w:rsidRPr="00F35D5D">
        <w:t>ECLI:EU:T:2024:564.</w:t>
      </w:r>
    </w:p>
  </w:footnote>
  <w:footnote w:id="16">
    <w:p w14:paraId="5E5D2887" w14:textId="4B29990B" w:rsidR="00765FC1" w:rsidRPr="00812A40" w:rsidRDefault="00765FC1">
      <w:pPr>
        <w:pStyle w:val="FootnoteText"/>
        <w:rPr>
          <w:lang w:val="en-IE"/>
        </w:rPr>
      </w:pPr>
      <w:r>
        <w:t>(</w:t>
      </w:r>
      <w:r>
        <w:rPr>
          <w:rStyle w:val="FootnoteReference"/>
        </w:rPr>
        <w:footnoteRef/>
      </w:r>
      <w:r>
        <w:t>)</w:t>
      </w:r>
      <w:r>
        <w:tab/>
      </w:r>
      <w:r w:rsidRPr="00765FC1">
        <w:t>Case T-284/24 R, Order of the President of the General Court of 12</w:t>
      </w:r>
      <w:r w:rsidR="00B26EE7">
        <w:t> </w:t>
      </w:r>
      <w:r w:rsidRPr="00765FC1">
        <w:t>August 2024, OJ C, C/2024/</w:t>
      </w:r>
      <w:r w:rsidRPr="00F35D5D">
        <w:t>5824</w:t>
      </w:r>
      <w:r w:rsidR="00ED491C" w:rsidRPr="00F35D5D">
        <w:t>, ELI: </w:t>
      </w:r>
      <w:hyperlink r:id="rId14" w:tooltip="Gives access to this document through its ELI URI." w:history="1">
        <w:r w:rsidR="00ED491C" w:rsidRPr="00F35D5D">
          <w:rPr>
            <w:rStyle w:val="Hyperlink"/>
          </w:rPr>
          <w:t>http://data.europa.eu/eli/C/2024/5824/oj</w:t>
        </w:r>
      </w:hyperlink>
      <w:r w:rsidR="00F35D5D" w:rsidRPr="00F35D5D">
        <w:t>.</w:t>
      </w:r>
    </w:p>
  </w:footnote>
  <w:footnote w:id="17">
    <w:p w14:paraId="6234EFA6" w14:textId="70995F67" w:rsidR="00765FC1" w:rsidRPr="00812A40" w:rsidRDefault="00765FC1">
      <w:pPr>
        <w:pStyle w:val="FootnoteText"/>
        <w:rPr>
          <w:lang w:val="en-IE"/>
        </w:rPr>
      </w:pPr>
      <w:r>
        <w:t>(</w:t>
      </w:r>
      <w:r>
        <w:rPr>
          <w:rStyle w:val="FootnoteReference"/>
        </w:rPr>
        <w:footnoteRef/>
      </w:r>
      <w:r>
        <w:t>)</w:t>
      </w:r>
      <w:r>
        <w:tab/>
      </w:r>
      <w:r w:rsidRPr="00765FC1">
        <w:t>Case C-720/24 P(R), Order of the Vice-President of the Court of 21</w:t>
      </w:r>
      <w:r w:rsidR="00B26EE7">
        <w:t> </w:t>
      </w:r>
      <w:r w:rsidRPr="00765FC1">
        <w:t>March 2025, ECLI:EU:C:2025:205</w:t>
      </w:r>
      <w:r>
        <w:t>.</w:t>
      </w:r>
    </w:p>
  </w:footnote>
  <w:footnote w:id="18">
    <w:p w14:paraId="463D2153" w14:textId="28823A22" w:rsidR="00283E74" w:rsidRPr="00AA0B88" w:rsidRDefault="00283E74">
      <w:pPr>
        <w:pStyle w:val="FootnoteText"/>
        <w:rPr>
          <w:lang w:val="en-IE"/>
        </w:rPr>
      </w:pPr>
      <w:r>
        <w:t>(</w:t>
      </w:r>
      <w:r>
        <w:rPr>
          <w:rStyle w:val="FootnoteReference"/>
        </w:rPr>
        <w:footnoteRef/>
      </w:r>
      <w:r>
        <w:t>)</w:t>
      </w:r>
      <w:r>
        <w:tab/>
      </w:r>
      <w:r w:rsidR="00B4139D" w:rsidRPr="004E4CE3">
        <w:t xml:space="preserve">Case T-335/26, </w:t>
      </w:r>
      <w:r w:rsidR="00B4139D" w:rsidRPr="00AA0B88">
        <w:rPr>
          <w:i/>
          <w:iCs/>
        </w:rPr>
        <w:t>Goldwind Science &amp; Technology v Commission</w:t>
      </w:r>
      <w:r w:rsidR="00B4139D" w:rsidRPr="004E4CE3">
        <w:t>, main proceedings, application lodged on 29</w:t>
      </w:r>
      <w:r w:rsidR="00B26EE7">
        <w:t> </w:t>
      </w:r>
      <w:r w:rsidR="00B4139D" w:rsidRPr="004E4CE3">
        <w:t>May 2026</w:t>
      </w:r>
      <w:r w:rsidR="00F47BEC">
        <w:t>.</w:t>
      </w:r>
    </w:p>
  </w:footnote>
  <w:footnote w:id="19">
    <w:p w14:paraId="7D170C13" w14:textId="5199D45D" w:rsidR="00283E74" w:rsidRPr="00AA0B88" w:rsidRDefault="00283E74">
      <w:pPr>
        <w:pStyle w:val="FootnoteText"/>
        <w:rPr>
          <w:lang w:val="en-IE"/>
        </w:rPr>
      </w:pPr>
      <w:r>
        <w:t>(</w:t>
      </w:r>
      <w:r>
        <w:rPr>
          <w:rStyle w:val="FootnoteReference"/>
        </w:rPr>
        <w:footnoteRef/>
      </w:r>
      <w:r>
        <w:t>)</w:t>
      </w:r>
      <w:r>
        <w:tab/>
      </w:r>
      <w:r w:rsidR="00B4139D" w:rsidRPr="004E4CE3">
        <w:t xml:space="preserve">Case T-335/26 R, </w:t>
      </w:r>
      <w:r w:rsidR="00B4139D" w:rsidRPr="00AA0B88">
        <w:rPr>
          <w:i/>
          <w:iCs/>
        </w:rPr>
        <w:t>Goldwind Science &amp; Technology v Commission</w:t>
      </w:r>
      <w:r w:rsidR="00B4139D" w:rsidRPr="004E4CE3">
        <w:t>, application for interim relief, lodged on 29</w:t>
      </w:r>
      <w:r w:rsidR="00B26EE7">
        <w:t> </w:t>
      </w:r>
      <w:r w:rsidR="00B4139D" w:rsidRPr="004E4CE3">
        <w:t>May 2026.</w:t>
      </w:r>
    </w:p>
  </w:footnote>
  <w:footnote w:id="20">
    <w:p w14:paraId="48A4118B" w14:textId="0DA46A74" w:rsidR="00787161" w:rsidRPr="0033402F" w:rsidRDefault="00787161">
      <w:pPr>
        <w:pStyle w:val="FootnoteText"/>
        <w:rPr>
          <w:lang w:val="en-IE"/>
        </w:rPr>
      </w:pPr>
      <w:r>
        <w:t>(</w:t>
      </w:r>
      <w:r>
        <w:rPr>
          <w:rStyle w:val="FootnoteReference"/>
        </w:rPr>
        <w:footnoteRef/>
      </w:r>
      <w:r>
        <w:t>)</w:t>
      </w:r>
      <w:r>
        <w:tab/>
      </w:r>
      <w:hyperlink r:id="rId15" w:history="1">
        <w:r w:rsidR="00D55086" w:rsidRPr="00245117">
          <w:rPr>
            <w:rStyle w:val="Hyperlink"/>
          </w:rPr>
          <w:t>Commission decision of 24.9.2024 finding that, with the binding commitments, the foreign subsidies in the concentration do not distort the internal market (Case FS.100011 – e&amp;/PPF Telecom Group)</w:t>
        </w:r>
      </w:hyperlink>
      <w:r w:rsidR="00D55086">
        <w:t>, C(2024) 6745 final</w:t>
      </w:r>
      <w:r w:rsidR="00AA0B8E">
        <w:t>.</w:t>
      </w:r>
    </w:p>
  </w:footnote>
  <w:footnote w:id="21">
    <w:p w14:paraId="32FAF679" w14:textId="1C4F85A4" w:rsidR="001241C4" w:rsidRPr="00E6306E" w:rsidRDefault="001241C4">
      <w:pPr>
        <w:pStyle w:val="FootnoteText"/>
        <w:rPr>
          <w:lang w:val="en-IE"/>
        </w:rPr>
      </w:pPr>
      <w:r>
        <w:t>(</w:t>
      </w:r>
      <w:r>
        <w:rPr>
          <w:rStyle w:val="FootnoteReference"/>
        </w:rPr>
        <w:footnoteRef/>
      </w:r>
      <w:r>
        <w:t>)</w:t>
      </w:r>
      <w:r>
        <w:tab/>
      </w:r>
      <w:hyperlink r:id="rId16" w:history="1">
        <w:r w:rsidR="00D55086" w:rsidRPr="00245117">
          <w:rPr>
            <w:rStyle w:val="Hyperlink"/>
          </w:rPr>
          <w:t>Provisional non-confidential version of Commission decision of 14.11.2025 on finding that, with the binding commitments the foreign subsidies in the concentration do not distort the internal market (Case FS.100156 – ADNOC/COVESTRO)</w:t>
        </w:r>
      </w:hyperlink>
      <w:r w:rsidR="00D55086">
        <w:t>, C(2025) 7800 final/2</w:t>
      </w:r>
      <w:r w:rsidR="00AA0B8E">
        <w:t>.</w:t>
      </w:r>
    </w:p>
  </w:footnote>
  <w:footnote w:id="22">
    <w:p w14:paraId="4C651879" w14:textId="36C26FC4" w:rsidR="001111A8" w:rsidRPr="00AA0B88" w:rsidRDefault="001111A8">
      <w:pPr>
        <w:pStyle w:val="FootnoteText"/>
        <w:rPr>
          <w:lang w:val="en-IE"/>
        </w:rPr>
      </w:pPr>
      <w:r>
        <w:t>(</w:t>
      </w:r>
      <w:r>
        <w:rPr>
          <w:rStyle w:val="FootnoteReference"/>
        </w:rPr>
        <w:footnoteRef/>
      </w:r>
      <w:r>
        <w:t>)</w:t>
      </w:r>
      <w:r>
        <w:tab/>
      </w:r>
      <w:hyperlink r:id="rId17" w:history="1">
        <w:r w:rsidRPr="009914DD">
          <w:rPr>
            <w:rStyle w:val="Hyperlink"/>
          </w:rPr>
          <w:t>Commission Staff Working Document Impact Assessment Accompanying the Proposal for a Regulation of the European Parliament and of the Council on foreign subsidies distorting the internal market</w:t>
        </w:r>
      </w:hyperlink>
    </w:p>
  </w:footnote>
  <w:footnote w:id="23">
    <w:p w14:paraId="4CA3390D" w14:textId="007F688F" w:rsidR="00C45C70" w:rsidRPr="00F21A0D" w:rsidRDefault="00C45C70" w:rsidP="00C45C70">
      <w:pPr>
        <w:pStyle w:val="FootnoteText"/>
        <w:rPr>
          <w:lang w:val="en-IE"/>
        </w:rPr>
      </w:pPr>
      <w:r>
        <w:t>(</w:t>
      </w:r>
      <w:r>
        <w:rPr>
          <w:rStyle w:val="FootnoteReference"/>
        </w:rPr>
        <w:footnoteRef/>
      </w:r>
      <w:r>
        <w:t>)</w:t>
      </w:r>
      <w:r>
        <w:tab/>
        <w:t>The proportion of cases found compatible in accordance with Article</w:t>
      </w:r>
      <w:r w:rsidR="00B26EE7">
        <w:t> </w:t>
      </w:r>
      <w:r>
        <w:t xml:space="preserve">6(1)(b) EUMR without commitments in the first phase of the EUMR investigation </w:t>
      </w:r>
      <w:r w:rsidRPr="006D7A8C">
        <w:t xml:space="preserve">in the last 5 years </w:t>
      </w:r>
      <w:r>
        <w:t>ranges between 93% to 99% on an annual basis according to official statistics published on the Commission’s website.</w:t>
      </w:r>
    </w:p>
  </w:footnote>
  <w:footnote w:id="24">
    <w:p w14:paraId="491FA5B3" w14:textId="06BBC191" w:rsidR="00AD63A7" w:rsidRPr="00C044DE" w:rsidRDefault="00AD63A7">
      <w:pPr>
        <w:pStyle w:val="FootnoteText"/>
        <w:rPr>
          <w:lang w:val="en-IE"/>
        </w:rPr>
      </w:pPr>
      <w:r>
        <w:t>(</w:t>
      </w:r>
      <w:r>
        <w:rPr>
          <w:rStyle w:val="FootnoteReference"/>
        </w:rPr>
        <w:footnoteRef/>
      </w:r>
      <w:r>
        <w:t>)</w:t>
      </w:r>
      <w:r>
        <w:tab/>
        <w:t xml:space="preserve">The turnover of the </w:t>
      </w:r>
      <w:r w:rsidR="00E13886">
        <w:t>j</w:t>
      </w:r>
      <w:r>
        <w:t xml:space="preserve">oint venture itself is considered as better proxy for self-standing economic activity, and not just auxiliary </w:t>
      </w:r>
      <w:r w:rsidR="00C32994">
        <w:t>operations.</w:t>
      </w:r>
    </w:p>
  </w:footnote>
  <w:footnote w:id="25">
    <w:p w14:paraId="0E45EAD3" w14:textId="586C8A8E" w:rsidR="00797026" w:rsidRPr="00C044DE" w:rsidRDefault="00797026">
      <w:pPr>
        <w:pStyle w:val="FootnoteText"/>
        <w:rPr>
          <w:lang w:val="en-US"/>
        </w:rPr>
      </w:pPr>
      <w:r>
        <w:t>(</w:t>
      </w:r>
      <w:r>
        <w:rPr>
          <w:rStyle w:val="FootnoteReference"/>
        </w:rPr>
        <w:footnoteRef/>
      </w:r>
      <w:r>
        <w:t>)</w:t>
      </w:r>
      <w:r>
        <w:tab/>
      </w:r>
      <w:hyperlink r:id="rId18" w:history="1">
        <w:r w:rsidRPr="00797026">
          <w:rPr>
            <w:rStyle w:val="Hyperlink"/>
          </w:rPr>
          <w:t>TED - EU Tenders, the Supplement to the Official Journal - TED</w:t>
        </w:r>
      </w:hyperlink>
      <w:r w:rsidR="00AA0B8E">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77D76" w14:textId="77777777" w:rsidR="00D75AB3" w:rsidRPr="00D75AB3" w:rsidRDefault="00D75AB3" w:rsidP="00D75AB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12FAE" w14:textId="77777777" w:rsidR="00D75AB3" w:rsidRPr="00D75AB3" w:rsidRDefault="00D75AB3" w:rsidP="00D75AB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DD7D" w14:textId="77777777" w:rsidR="00D75AB3" w:rsidRPr="00D75AB3" w:rsidRDefault="00D75AB3" w:rsidP="00D75AB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8B041" w14:textId="77777777" w:rsidR="008E336A" w:rsidRDefault="008E33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AD1DA" w14:textId="77777777" w:rsidR="008E336A" w:rsidRDefault="008E33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649AA" w14:textId="77777777" w:rsidR="008E336A" w:rsidRDefault="008E33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C5CF3"/>
    <w:multiLevelType w:val="hybridMultilevel"/>
    <w:tmpl w:val="2EE8ED04"/>
    <w:lvl w:ilvl="0" w:tplc="32A44022">
      <w:start w:val="1"/>
      <w:numFmt w:val="decimal"/>
      <w:lvlText w:val="%1)"/>
      <w:lvlJc w:val="left"/>
      <w:pPr>
        <w:ind w:left="1020" w:hanging="360"/>
      </w:pPr>
    </w:lvl>
    <w:lvl w:ilvl="1" w:tplc="AD843C9E">
      <w:start w:val="1"/>
      <w:numFmt w:val="decimal"/>
      <w:lvlText w:val="%2)"/>
      <w:lvlJc w:val="left"/>
      <w:pPr>
        <w:ind w:left="1020" w:hanging="360"/>
      </w:pPr>
    </w:lvl>
    <w:lvl w:ilvl="2" w:tplc="CDDADFD8">
      <w:start w:val="1"/>
      <w:numFmt w:val="decimal"/>
      <w:lvlText w:val="%3)"/>
      <w:lvlJc w:val="left"/>
      <w:pPr>
        <w:ind w:left="1020" w:hanging="360"/>
      </w:pPr>
    </w:lvl>
    <w:lvl w:ilvl="3" w:tplc="0A048E46">
      <w:start w:val="1"/>
      <w:numFmt w:val="decimal"/>
      <w:lvlText w:val="%4)"/>
      <w:lvlJc w:val="left"/>
      <w:pPr>
        <w:ind w:left="1020" w:hanging="360"/>
      </w:pPr>
    </w:lvl>
    <w:lvl w:ilvl="4" w:tplc="953EF9E8">
      <w:start w:val="1"/>
      <w:numFmt w:val="decimal"/>
      <w:lvlText w:val="%5)"/>
      <w:lvlJc w:val="left"/>
      <w:pPr>
        <w:ind w:left="1020" w:hanging="360"/>
      </w:pPr>
    </w:lvl>
    <w:lvl w:ilvl="5" w:tplc="EC844434">
      <w:start w:val="1"/>
      <w:numFmt w:val="decimal"/>
      <w:lvlText w:val="%6)"/>
      <w:lvlJc w:val="left"/>
      <w:pPr>
        <w:ind w:left="1020" w:hanging="360"/>
      </w:pPr>
    </w:lvl>
    <w:lvl w:ilvl="6" w:tplc="E4065278">
      <w:start w:val="1"/>
      <w:numFmt w:val="decimal"/>
      <w:lvlText w:val="%7)"/>
      <w:lvlJc w:val="left"/>
      <w:pPr>
        <w:ind w:left="1020" w:hanging="360"/>
      </w:pPr>
    </w:lvl>
    <w:lvl w:ilvl="7" w:tplc="41AE018C">
      <w:start w:val="1"/>
      <w:numFmt w:val="decimal"/>
      <w:lvlText w:val="%8)"/>
      <w:lvlJc w:val="left"/>
      <w:pPr>
        <w:ind w:left="1020" w:hanging="360"/>
      </w:pPr>
    </w:lvl>
    <w:lvl w:ilvl="8" w:tplc="9094F5C8">
      <w:start w:val="1"/>
      <w:numFmt w:val="decimal"/>
      <w:lvlText w:val="%9)"/>
      <w:lvlJc w:val="left"/>
      <w:pPr>
        <w:ind w:left="1020" w:hanging="360"/>
      </w:pPr>
    </w:lvl>
  </w:abstractNum>
  <w:abstractNum w:abstractNumId="1" w15:restartNumberingAfterBreak="0">
    <w:nsid w:val="01280939"/>
    <w:multiLevelType w:val="hybridMultilevel"/>
    <w:tmpl w:val="E70E96BE"/>
    <w:lvl w:ilvl="0" w:tplc="A77479B0">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983703"/>
    <w:multiLevelType w:val="hybridMultilevel"/>
    <w:tmpl w:val="70EC7246"/>
    <w:name w:val="Heading2"/>
    <w:lvl w:ilvl="0" w:tplc="4EBCEDE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8490207"/>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2900F7"/>
    <w:multiLevelType w:val="multilevel"/>
    <w:tmpl w:val="9696A77E"/>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0E9518D3"/>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FB7115"/>
    <w:multiLevelType w:val="multilevel"/>
    <w:tmpl w:val="83443D76"/>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0B7201"/>
    <w:multiLevelType w:val="multilevel"/>
    <w:tmpl w:val="95DA557A"/>
    <w:lvl w:ilvl="0">
      <w:start w:val="1"/>
      <w:numFmt w:val="decimal"/>
      <w:pStyle w:val="ListNumber"/>
      <w:lvlText w:val="(%1)"/>
      <w:lvlJc w:val="left"/>
      <w:pPr>
        <w:tabs>
          <w:tab w:val="num" w:pos="709"/>
        </w:tabs>
        <w:ind w:left="709" w:hanging="709"/>
      </w:pPr>
      <w:rPr>
        <w:rFonts w:hint="default"/>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8" w15:restartNumberingAfterBreak="0">
    <w:nsid w:val="120B8345"/>
    <w:multiLevelType w:val="multilevel"/>
    <w:tmpl w:val="071C31C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262685D"/>
    <w:multiLevelType w:val="multilevel"/>
    <w:tmpl w:val="EEF6FA8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43D0A16"/>
    <w:multiLevelType w:val="multilevel"/>
    <w:tmpl w:val="C4FA59BC"/>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72F0AC5"/>
    <w:multiLevelType w:val="multilevel"/>
    <w:tmpl w:val="A43C017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pStyle w:val="Point1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13" w15:restartNumberingAfterBreak="0">
    <w:nsid w:val="1C7B624F"/>
    <w:multiLevelType w:val="multilevel"/>
    <w:tmpl w:val="DF88E340"/>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C8003B0"/>
    <w:multiLevelType w:val="hybridMultilevel"/>
    <w:tmpl w:val="6B0062D0"/>
    <w:lvl w:ilvl="0" w:tplc="18090001">
      <w:start w:val="1"/>
      <w:numFmt w:val="bullet"/>
      <w:lvlText w:val=""/>
      <w:lvlJc w:val="left"/>
      <w:pPr>
        <w:ind w:left="778" w:hanging="360"/>
      </w:pPr>
      <w:rPr>
        <w:rFonts w:ascii="Symbol" w:hAnsi="Symbol" w:hint="default"/>
      </w:rPr>
    </w:lvl>
    <w:lvl w:ilvl="1" w:tplc="18090003" w:tentative="1">
      <w:start w:val="1"/>
      <w:numFmt w:val="bullet"/>
      <w:lvlText w:val="o"/>
      <w:lvlJc w:val="left"/>
      <w:pPr>
        <w:ind w:left="1498" w:hanging="360"/>
      </w:pPr>
      <w:rPr>
        <w:rFonts w:ascii="Courier New" w:hAnsi="Courier New" w:cs="Courier New" w:hint="default"/>
      </w:rPr>
    </w:lvl>
    <w:lvl w:ilvl="2" w:tplc="18090005" w:tentative="1">
      <w:start w:val="1"/>
      <w:numFmt w:val="bullet"/>
      <w:lvlText w:val=""/>
      <w:lvlJc w:val="left"/>
      <w:pPr>
        <w:ind w:left="2218" w:hanging="360"/>
      </w:pPr>
      <w:rPr>
        <w:rFonts w:ascii="Wingdings" w:hAnsi="Wingdings" w:hint="default"/>
      </w:rPr>
    </w:lvl>
    <w:lvl w:ilvl="3" w:tplc="18090001" w:tentative="1">
      <w:start w:val="1"/>
      <w:numFmt w:val="bullet"/>
      <w:lvlText w:val=""/>
      <w:lvlJc w:val="left"/>
      <w:pPr>
        <w:ind w:left="2938" w:hanging="360"/>
      </w:pPr>
      <w:rPr>
        <w:rFonts w:ascii="Symbol" w:hAnsi="Symbol" w:hint="default"/>
      </w:rPr>
    </w:lvl>
    <w:lvl w:ilvl="4" w:tplc="18090003" w:tentative="1">
      <w:start w:val="1"/>
      <w:numFmt w:val="bullet"/>
      <w:lvlText w:val="o"/>
      <w:lvlJc w:val="left"/>
      <w:pPr>
        <w:ind w:left="3658" w:hanging="360"/>
      </w:pPr>
      <w:rPr>
        <w:rFonts w:ascii="Courier New" w:hAnsi="Courier New" w:cs="Courier New" w:hint="default"/>
      </w:rPr>
    </w:lvl>
    <w:lvl w:ilvl="5" w:tplc="18090005" w:tentative="1">
      <w:start w:val="1"/>
      <w:numFmt w:val="bullet"/>
      <w:lvlText w:val=""/>
      <w:lvlJc w:val="left"/>
      <w:pPr>
        <w:ind w:left="4378" w:hanging="360"/>
      </w:pPr>
      <w:rPr>
        <w:rFonts w:ascii="Wingdings" w:hAnsi="Wingdings" w:hint="default"/>
      </w:rPr>
    </w:lvl>
    <w:lvl w:ilvl="6" w:tplc="18090001" w:tentative="1">
      <w:start w:val="1"/>
      <w:numFmt w:val="bullet"/>
      <w:lvlText w:val=""/>
      <w:lvlJc w:val="left"/>
      <w:pPr>
        <w:ind w:left="5098" w:hanging="360"/>
      </w:pPr>
      <w:rPr>
        <w:rFonts w:ascii="Symbol" w:hAnsi="Symbol" w:hint="default"/>
      </w:rPr>
    </w:lvl>
    <w:lvl w:ilvl="7" w:tplc="18090003" w:tentative="1">
      <w:start w:val="1"/>
      <w:numFmt w:val="bullet"/>
      <w:lvlText w:val="o"/>
      <w:lvlJc w:val="left"/>
      <w:pPr>
        <w:ind w:left="5818" w:hanging="360"/>
      </w:pPr>
      <w:rPr>
        <w:rFonts w:ascii="Courier New" w:hAnsi="Courier New" w:cs="Courier New" w:hint="default"/>
      </w:rPr>
    </w:lvl>
    <w:lvl w:ilvl="8" w:tplc="18090005" w:tentative="1">
      <w:start w:val="1"/>
      <w:numFmt w:val="bullet"/>
      <w:lvlText w:val=""/>
      <w:lvlJc w:val="left"/>
      <w:pPr>
        <w:ind w:left="6538" w:hanging="360"/>
      </w:pPr>
      <w:rPr>
        <w:rFonts w:ascii="Wingdings" w:hAnsi="Wingdings" w:hint="default"/>
      </w:rPr>
    </w:lvl>
  </w:abstractNum>
  <w:abstractNum w:abstractNumId="15" w15:restartNumberingAfterBreak="0">
    <w:nsid w:val="1EF8459F"/>
    <w:multiLevelType w:val="hybridMultilevel"/>
    <w:tmpl w:val="4CFE2C60"/>
    <w:lvl w:ilvl="0" w:tplc="6F5A5056">
      <w:start w:val="27"/>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F147327"/>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1CD0038"/>
    <w:multiLevelType w:val="hybridMultilevel"/>
    <w:tmpl w:val="AB705262"/>
    <w:name w:val="EurolookHeading2"/>
    <w:lvl w:ilvl="0" w:tplc="F6525A74">
      <w:start w:val="1"/>
      <w:numFmt w:val="lowerLetter"/>
      <w:lvlText w:val="%1."/>
      <w:lvlJc w:val="left"/>
      <w:pPr>
        <w:ind w:left="228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8DFDF8"/>
    <w:multiLevelType w:val="multilevel"/>
    <w:tmpl w:val="975E6EB4"/>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2CB72C6E"/>
    <w:multiLevelType w:val="singleLevel"/>
    <w:tmpl w:val="10ACD464"/>
    <w:name w:val="Bullet 3"/>
    <w:lvl w:ilvl="0">
      <w:numFmt w:val="bullet"/>
      <w:pStyle w:val="Bullet3"/>
      <w:lvlText w:val=""/>
      <w:lvlJc w:val="left"/>
      <w:pPr>
        <w:tabs>
          <w:tab w:val="num" w:pos="2551"/>
        </w:tabs>
        <w:ind w:left="2551" w:hanging="567"/>
      </w:pPr>
      <w:rPr>
        <w:rFonts w:ascii="Symbol" w:hAnsi="Symbol"/>
      </w:rPr>
    </w:lvl>
  </w:abstractNum>
  <w:abstractNum w:abstractNumId="20" w15:restartNumberingAfterBreak="0">
    <w:nsid w:val="2CE9221F"/>
    <w:multiLevelType w:val="singleLevel"/>
    <w:tmpl w:val="9B4AFB48"/>
    <w:name w:val="Tiret 3"/>
    <w:lvl w:ilvl="0">
      <w:numFmt w:val="bullet"/>
      <w:pStyle w:val="Tiret3"/>
      <w:lvlText w:val="–"/>
      <w:lvlJc w:val="left"/>
      <w:pPr>
        <w:tabs>
          <w:tab w:val="num" w:pos="2551"/>
        </w:tabs>
        <w:ind w:left="2551" w:hanging="567"/>
      </w:pPr>
    </w:lvl>
  </w:abstractNum>
  <w:abstractNum w:abstractNumId="21" w15:restartNumberingAfterBreak="0">
    <w:nsid w:val="2D293CE3"/>
    <w:multiLevelType w:val="multilevel"/>
    <w:tmpl w:val="1B12EAE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2D293CF4"/>
    <w:multiLevelType w:val="multilevel"/>
    <w:tmpl w:val="17EAC17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pPr>
        <w:ind w:left="0" w:firstLine="0"/>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3" w15:restartNumberingAfterBreak="0">
    <w:nsid w:val="343C27CE"/>
    <w:multiLevelType w:val="hybridMultilevel"/>
    <w:tmpl w:val="40FC5134"/>
    <w:lvl w:ilvl="0" w:tplc="CC94FF4A">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47E10AB"/>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5861FA3"/>
    <w:multiLevelType w:val="multilevel"/>
    <w:tmpl w:val="F3DE5430"/>
    <w:styleLink w:val="NumblistFigures"/>
    <w:lvl w:ilvl="0">
      <w:start w:val="1"/>
      <w:numFmt w:val="decimal"/>
      <w:lvlText w:val="Figure %1"/>
      <w:lvlJc w:val="left"/>
      <w:pPr>
        <w:tabs>
          <w:tab w:val="num" w:pos="1134"/>
        </w:tabs>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6324F1E"/>
    <w:multiLevelType w:val="multilevel"/>
    <w:tmpl w:val="3E98B494"/>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37A443E2"/>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7CB1E1C"/>
    <w:multiLevelType w:val="multilevel"/>
    <w:tmpl w:val="79DC777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3A7730C4"/>
    <w:multiLevelType w:val="multilevel"/>
    <w:tmpl w:val="1EE818D2"/>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3BA32AFA"/>
    <w:multiLevelType w:val="hybridMultilevel"/>
    <w:tmpl w:val="441C5E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BD050AC"/>
    <w:multiLevelType w:val="multilevel"/>
    <w:tmpl w:val="4B3E0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CFB24D2"/>
    <w:multiLevelType w:val="multilevel"/>
    <w:tmpl w:val="7436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74476C"/>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2713452"/>
    <w:multiLevelType w:val="singleLevel"/>
    <w:tmpl w:val="3B8CC7EA"/>
    <w:name w:val="Tiret 1"/>
    <w:lvl w:ilvl="0">
      <w:numFmt w:val="bullet"/>
      <w:pStyle w:val="Tiret1"/>
      <w:lvlText w:val="–"/>
      <w:lvlJc w:val="left"/>
      <w:pPr>
        <w:tabs>
          <w:tab w:val="num" w:pos="1417"/>
        </w:tabs>
        <w:ind w:left="1417" w:hanging="567"/>
      </w:pPr>
    </w:lvl>
  </w:abstractNum>
  <w:abstractNum w:abstractNumId="35" w15:restartNumberingAfterBreak="0">
    <w:nsid w:val="429E662A"/>
    <w:multiLevelType w:val="multilevel"/>
    <w:tmpl w:val="98740E9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42FC0772"/>
    <w:multiLevelType w:val="singleLevel"/>
    <w:tmpl w:val="4128FCF8"/>
    <w:name w:val="Tiret 4"/>
    <w:lvl w:ilvl="0">
      <w:numFmt w:val="bullet"/>
      <w:pStyle w:val="Tiret4"/>
      <w:lvlText w:val="–"/>
      <w:lvlJc w:val="left"/>
      <w:pPr>
        <w:tabs>
          <w:tab w:val="num" w:pos="3118"/>
        </w:tabs>
        <w:ind w:left="3118" w:hanging="567"/>
      </w:pPr>
    </w:lvl>
  </w:abstractNum>
  <w:abstractNum w:abstractNumId="37" w15:restartNumberingAfterBreak="0">
    <w:nsid w:val="42FC077D"/>
    <w:multiLevelType w:val="singleLevel"/>
    <w:tmpl w:val="4128FD03"/>
    <w:name w:val="Tiret 5"/>
    <w:lvl w:ilvl="0">
      <w:numFmt w:val="bullet"/>
      <w:pStyle w:val="Tiret5"/>
      <w:lvlText w:val="–"/>
      <w:lvlJc w:val="left"/>
      <w:pPr>
        <w:tabs>
          <w:tab w:val="num" w:pos="3118"/>
        </w:tabs>
        <w:ind w:left="3118" w:hanging="567"/>
      </w:pPr>
    </w:lvl>
  </w:abstractNum>
  <w:abstractNum w:abstractNumId="38" w15:restartNumberingAfterBreak="0">
    <w:nsid w:val="4552127F"/>
    <w:multiLevelType w:val="singleLevel"/>
    <w:tmpl w:val="057A5296"/>
    <w:name w:val="Bullet 0"/>
    <w:lvl w:ilvl="0">
      <w:numFmt w:val="bullet"/>
      <w:pStyle w:val="Bullet0"/>
      <w:lvlText w:val=""/>
      <w:lvlJc w:val="left"/>
      <w:pPr>
        <w:tabs>
          <w:tab w:val="num" w:pos="850"/>
        </w:tabs>
        <w:ind w:left="850" w:hanging="850"/>
      </w:pPr>
      <w:rPr>
        <w:rFonts w:ascii="Symbol" w:hAnsi="Symbol"/>
      </w:rPr>
    </w:lvl>
  </w:abstractNum>
  <w:abstractNum w:abstractNumId="39" w15:restartNumberingAfterBreak="0">
    <w:nsid w:val="4E1A63DF"/>
    <w:multiLevelType w:val="multilevel"/>
    <w:tmpl w:val="888C076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0" w15:restartNumberingAfterBreak="0">
    <w:nsid w:val="4E1A982C"/>
    <w:multiLevelType w:val="multilevel"/>
    <w:tmpl w:val="D8E0A4C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5072619B"/>
    <w:multiLevelType w:val="multilevel"/>
    <w:tmpl w:val="12F0FC8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2" w15:restartNumberingAfterBreak="0">
    <w:nsid w:val="50729B52"/>
    <w:multiLevelType w:val="multilevel"/>
    <w:tmpl w:val="535C5E8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3" w15:restartNumberingAfterBreak="0">
    <w:nsid w:val="556E1D63"/>
    <w:multiLevelType w:val="singleLevel"/>
    <w:tmpl w:val="493AAFF0"/>
    <w:name w:val="Bullet 4"/>
    <w:lvl w:ilvl="0">
      <w:numFmt w:val="bullet"/>
      <w:pStyle w:val="Bullet4"/>
      <w:lvlText w:val=""/>
      <w:lvlJc w:val="left"/>
      <w:pPr>
        <w:tabs>
          <w:tab w:val="num" w:pos="3118"/>
        </w:tabs>
        <w:ind w:left="3118" w:hanging="567"/>
      </w:pPr>
      <w:rPr>
        <w:rFonts w:ascii="Symbol" w:hAnsi="Symbol"/>
      </w:rPr>
    </w:lvl>
  </w:abstractNum>
  <w:abstractNum w:abstractNumId="44" w15:restartNumberingAfterBreak="0">
    <w:nsid w:val="58E51C22"/>
    <w:multiLevelType w:val="hybridMultilevel"/>
    <w:tmpl w:val="AF34CA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B395AAA"/>
    <w:multiLevelType w:val="singleLevel"/>
    <w:tmpl w:val="96D02E8A"/>
    <w:name w:val="Bullet 1"/>
    <w:lvl w:ilvl="0">
      <w:numFmt w:val="bullet"/>
      <w:pStyle w:val="Bullet1"/>
      <w:lvlText w:val=""/>
      <w:lvlJc w:val="left"/>
      <w:pPr>
        <w:tabs>
          <w:tab w:val="num" w:pos="1417"/>
        </w:tabs>
        <w:ind w:left="1417" w:hanging="567"/>
      </w:pPr>
      <w:rPr>
        <w:rFonts w:ascii="Symbol" w:hAnsi="Symbol"/>
      </w:rPr>
    </w:lvl>
  </w:abstractNum>
  <w:abstractNum w:abstractNumId="46" w15:restartNumberingAfterBreak="0">
    <w:nsid w:val="5C056EE5"/>
    <w:multiLevelType w:val="singleLevel"/>
    <w:tmpl w:val="3378D27C"/>
    <w:lvl w:ilvl="0">
      <w:numFmt w:val="bullet"/>
      <w:pStyle w:val="Bullet2"/>
      <w:lvlText w:val=""/>
      <w:lvlJc w:val="left"/>
      <w:pPr>
        <w:tabs>
          <w:tab w:val="num" w:pos="1984"/>
        </w:tabs>
        <w:ind w:left="1984" w:hanging="567"/>
      </w:pPr>
      <w:rPr>
        <w:rFonts w:ascii="Symbol" w:hAnsi="Symbol"/>
      </w:rPr>
    </w:lvl>
  </w:abstractNum>
  <w:abstractNum w:abstractNumId="47" w15:restartNumberingAfterBreak="0">
    <w:nsid w:val="5CA31A15"/>
    <w:multiLevelType w:val="singleLevel"/>
    <w:tmpl w:val="CB981644"/>
    <w:name w:val="Tiret 0"/>
    <w:lvl w:ilvl="0">
      <w:numFmt w:val="bullet"/>
      <w:pStyle w:val="Tiret0"/>
      <w:lvlText w:val="–"/>
      <w:lvlJc w:val="left"/>
      <w:pPr>
        <w:tabs>
          <w:tab w:val="num" w:pos="850"/>
        </w:tabs>
        <w:ind w:left="850" w:hanging="850"/>
      </w:pPr>
    </w:lvl>
  </w:abstractNum>
  <w:abstractNum w:abstractNumId="48" w15:restartNumberingAfterBreak="0">
    <w:nsid w:val="6056133D"/>
    <w:multiLevelType w:val="multilevel"/>
    <w:tmpl w:val="68A633E4"/>
    <w:styleLink w:val="NumbListMinorBullet"/>
    <w:lvl w:ilvl="0">
      <w:start w:val="1"/>
      <w:numFmt w:val="bullet"/>
      <w:pStyle w:val="MinorBullet1"/>
      <w:lvlText w:val=""/>
      <w:lvlJc w:val="left"/>
      <w:pPr>
        <w:tabs>
          <w:tab w:val="num" w:pos="794"/>
        </w:tabs>
        <w:ind w:left="794" w:hanging="363"/>
      </w:pPr>
      <w:rPr>
        <w:rFonts w:ascii="Wingdings 2" w:hAnsi="Wingdings 2" w:hint="default"/>
        <w:color w:val="0E2841" w:themeColor="text2"/>
        <w:sz w:val="12"/>
      </w:rPr>
    </w:lvl>
    <w:lvl w:ilvl="1">
      <w:start w:val="1"/>
      <w:numFmt w:val="bullet"/>
      <w:pStyle w:val="MinorBullet2"/>
      <w:lvlText w:val=""/>
      <w:lvlJc w:val="left"/>
      <w:pPr>
        <w:tabs>
          <w:tab w:val="num" w:pos="1157"/>
        </w:tabs>
        <w:ind w:left="1157" w:hanging="363"/>
      </w:pPr>
      <w:rPr>
        <w:rFonts w:ascii="Wingdings 2" w:hAnsi="Wingdings 2" w:hint="default"/>
        <w:color w:val="0E2841" w:themeColor="text2"/>
        <w:sz w:val="12"/>
      </w:rPr>
    </w:lvl>
    <w:lvl w:ilvl="2">
      <w:start w:val="1"/>
      <w:numFmt w:val="bullet"/>
      <w:pStyle w:val="MinorBullet3"/>
      <w:lvlText w:val="̶"/>
      <w:lvlJc w:val="left"/>
      <w:pPr>
        <w:tabs>
          <w:tab w:val="num" w:pos="1520"/>
        </w:tabs>
        <w:ind w:left="1520" w:hanging="363"/>
      </w:pPr>
      <w:rPr>
        <w:rFonts w:ascii="Calibri" w:hAnsi="Calibri" w:hint="default"/>
        <w:color w:val="0E2841" w:themeColor="text2"/>
        <w:sz w:val="12"/>
      </w:rPr>
    </w:lvl>
    <w:lvl w:ilvl="3">
      <w:start w:val="1"/>
      <w:numFmt w:val="none"/>
      <w:lvlText w:val=""/>
      <w:lvlJc w:val="left"/>
      <w:pPr>
        <w:tabs>
          <w:tab w:val="num" w:pos="1520"/>
        </w:tabs>
        <w:ind w:left="1520" w:firstLine="0"/>
      </w:pPr>
      <w:rPr>
        <w:rFonts w:hint="default"/>
      </w:rPr>
    </w:lvl>
    <w:lvl w:ilvl="4">
      <w:start w:val="1"/>
      <w:numFmt w:val="none"/>
      <w:lvlText w:val=""/>
      <w:lvlJc w:val="left"/>
      <w:pPr>
        <w:tabs>
          <w:tab w:val="num" w:pos="1520"/>
        </w:tabs>
        <w:ind w:left="1520" w:firstLine="0"/>
      </w:pPr>
      <w:rPr>
        <w:rFonts w:hint="default"/>
      </w:rPr>
    </w:lvl>
    <w:lvl w:ilvl="5">
      <w:start w:val="1"/>
      <w:numFmt w:val="none"/>
      <w:lvlText w:val=""/>
      <w:lvlJc w:val="left"/>
      <w:pPr>
        <w:tabs>
          <w:tab w:val="num" w:pos="1520"/>
        </w:tabs>
        <w:ind w:left="1520" w:firstLine="0"/>
      </w:pPr>
      <w:rPr>
        <w:rFonts w:hint="default"/>
      </w:rPr>
    </w:lvl>
    <w:lvl w:ilvl="6">
      <w:start w:val="1"/>
      <w:numFmt w:val="none"/>
      <w:lvlText w:val=""/>
      <w:lvlJc w:val="left"/>
      <w:pPr>
        <w:tabs>
          <w:tab w:val="num" w:pos="1520"/>
        </w:tabs>
        <w:ind w:left="1520" w:firstLine="0"/>
      </w:pPr>
      <w:rPr>
        <w:rFonts w:hint="default"/>
      </w:rPr>
    </w:lvl>
    <w:lvl w:ilvl="7">
      <w:start w:val="1"/>
      <w:numFmt w:val="none"/>
      <w:lvlText w:val=""/>
      <w:lvlJc w:val="left"/>
      <w:pPr>
        <w:tabs>
          <w:tab w:val="num" w:pos="1520"/>
        </w:tabs>
        <w:ind w:left="1520" w:firstLine="0"/>
      </w:pPr>
      <w:rPr>
        <w:rFonts w:hint="default"/>
      </w:rPr>
    </w:lvl>
    <w:lvl w:ilvl="8">
      <w:start w:val="1"/>
      <w:numFmt w:val="none"/>
      <w:lvlText w:val=""/>
      <w:lvlJc w:val="left"/>
      <w:pPr>
        <w:tabs>
          <w:tab w:val="num" w:pos="1520"/>
        </w:tabs>
        <w:ind w:left="1520" w:firstLine="0"/>
      </w:pPr>
      <w:rPr>
        <w:rFonts w:hint="default"/>
      </w:rPr>
    </w:lvl>
  </w:abstractNum>
  <w:abstractNum w:abstractNumId="49" w15:restartNumberingAfterBreak="0">
    <w:nsid w:val="64A12FA4"/>
    <w:multiLevelType w:val="multilevel"/>
    <w:tmpl w:val="428ECF3E"/>
    <w:name w:val="Heading"/>
    <w:lvl w:ilvl="0">
      <w:start w:val="1"/>
      <w:numFmt w:val="decimal"/>
      <w:pStyle w:val="Heading1"/>
      <w:lvlText w:val="%1."/>
      <w:lvlJc w:val="left"/>
      <w:pPr>
        <w:tabs>
          <w:tab w:val="num" w:pos="850"/>
        </w:tabs>
        <w:ind w:left="850" w:hanging="850"/>
      </w:pPr>
      <w:rPr>
        <w:rFonts w:hint="default"/>
      </w:rPr>
    </w:lvl>
    <w:lvl w:ilvl="1">
      <w:start w:val="1"/>
      <w:numFmt w:val="decimal"/>
      <w:pStyle w:val="Heading2"/>
      <w:lvlText w:val="%1.%2."/>
      <w:lvlJc w:val="left"/>
      <w:pPr>
        <w:tabs>
          <w:tab w:val="num" w:pos="850"/>
        </w:tabs>
        <w:ind w:left="850" w:hanging="850"/>
      </w:pPr>
      <w:rPr>
        <w:rFonts w:hint="default"/>
      </w:rPr>
    </w:lvl>
    <w:lvl w:ilvl="2">
      <w:start w:val="1"/>
      <w:numFmt w:val="decimal"/>
      <w:pStyle w:val="Heading3"/>
      <w:lvlText w:val="%1.%2.%3."/>
      <w:lvlJc w:val="left"/>
      <w:pPr>
        <w:tabs>
          <w:tab w:val="num" w:pos="850"/>
        </w:tabs>
        <w:ind w:left="850" w:hanging="850"/>
      </w:pPr>
      <w:rPr>
        <w:rFonts w:hint="default"/>
      </w:rPr>
    </w:lvl>
    <w:lvl w:ilvl="3">
      <w:start w:val="1"/>
      <w:numFmt w:val="decimal"/>
      <w:pStyle w:val="Heading4"/>
      <w:lvlText w:val="%1.%2.%3.%4."/>
      <w:lvlJc w:val="left"/>
      <w:pPr>
        <w:tabs>
          <w:tab w:val="num" w:pos="850"/>
        </w:tabs>
        <w:ind w:left="850" w:hanging="850"/>
      </w:pPr>
      <w:rPr>
        <w:rFonts w:hint="default"/>
      </w:rPr>
    </w:lvl>
    <w:lvl w:ilvl="4">
      <w:start w:val="1"/>
      <w:numFmt w:val="decimal"/>
      <w:pStyle w:val="Heading5"/>
      <w:lvlText w:val="%1.%2.%3.%4.%5."/>
      <w:lvlJc w:val="left"/>
      <w:pPr>
        <w:tabs>
          <w:tab w:val="num" w:pos="1417"/>
        </w:tabs>
        <w:ind w:left="1417" w:hanging="1417"/>
      </w:pPr>
      <w:rPr>
        <w:rFonts w:hint="default"/>
      </w:rPr>
    </w:lvl>
    <w:lvl w:ilvl="5">
      <w:start w:val="1"/>
      <w:numFmt w:val="decimal"/>
      <w:pStyle w:val="Heading6"/>
      <w:lvlText w:val="%1.%2.%3.%4.%5.%6."/>
      <w:lvlJc w:val="left"/>
      <w:pPr>
        <w:tabs>
          <w:tab w:val="num" w:pos="1417"/>
        </w:tabs>
        <w:ind w:left="1417" w:hanging="1417"/>
      </w:pPr>
      <w:rPr>
        <w:rFonts w:hint="default"/>
      </w:rPr>
    </w:lvl>
    <w:lvl w:ilvl="6">
      <w:start w:val="1"/>
      <w:numFmt w:val="decimal"/>
      <w:pStyle w:val="Heading7"/>
      <w:lvlText w:val="%1.%2.%3.%4.%5.%6.%7."/>
      <w:lvlJc w:val="left"/>
      <w:pPr>
        <w:tabs>
          <w:tab w:val="num" w:pos="1417"/>
        </w:tabs>
        <w:ind w:left="1417" w:hanging="1417"/>
      </w:pPr>
      <w:rPr>
        <w:rFonts w:hint="default"/>
      </w:rPr>
    </w:lvl>
    <w:lvl w:ilvl="7">
      <w:start w:val="1"/>
      <w:numFmt w:val="decimal"/>
      <w:pStyle w:val="Heading8"/>
      <w:lvlText w:val="%1.%2.%3.%4.%5.%6.%7."/>
      <w:lvlJc w:val="left"/>
      <w:pPr>
        <w:tabs>
          <w:tab w:val="num" w:pos="1417"/>
        </w:tabs>
        <w:ind w:left="1417" w:hanging="1417"/>
      </w:pPr>
      <w:rPr>
        <w:rFonts w:hint="default"/>
      </w:rPr>
    </w:lvl>
    <w:lvl w:ilvl="8">
      <w:start w:val="1"/>
      <w:numFmt w:val="decimal"/>
      <w:pStyle w:val="Heading9"/>
      <w:lvlText w:val="%1.%2.%3.%4.%5.%6.%7."/>
      <w:lvlJc w:val="left"/>
      <w:pPr>
        <w:tabs>
          <w:tab w:val="num" w:pos="1417"/>
        </w:tabs>
        <w:ind w:left="1417" w:hanging="1417"/>
      </w:pPr>
      <w:rPr>
        <w:rFonts w:hint="default"/>
      </w:rPr>
    </w:lvl>
  </w:abstractNum>
  <w:abstractNum w:abstractNumId="50" w15:restartNumberingAfterBreak="0">
    <w:nsid w:val="67B856F6"/>
    <w:multiLevelType w:val="singleLevel"/>
    <w:tmpl w:val="0AB28E9C"/>
    <w:name w:val="Tiret 2"/>
    <w:lvl w:ilvl="0">
      <w:numFmt w:val="bullet"/>
      <w:pStyle w:val="Tiret2"/>
      <w:lvlText w:val="–"/>
      <w:lvlJc w:val="left"/>
      <w:pPr>
        <w:tabs>
          <w:tab w:val="num" w:pos="1984"/>
        </w:tabs>
        <w:ind w:left="1984" w:hanging="567"/>
      </w:pPr>
    </w:lvl>
  </w:abstractNum>
  <w:abstractNum w:abstractNumId="51" w15:restartNumberingAfterBreak="0">
    <w:nsid w:val="686715FF"/>
    <w:multiLevelType w:val="hybridMultilevel"/>
    <w:tmpl w:val="441C5ED6"/>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8961D1B"/>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8B4118B"/>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977472E"/>
    <w:multiLevelType w:val="multilevel"/>
    <w:tmpl w:val="F1B8DCA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5" w15:restartNumberingAfterBreak="0">
    <w:nsid w:val="6DB517B7"/>
    <w:multiLevelType w:val="hybridMultilevel"/>
    <w:tmpl w:val="90ACA98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74885590"/>
    <w:multiLevelType w:val="multilevel"/>
    <w:tmpl w:val="211ECDC0"/>
    <w:styleLink w:val="NumbListTable"/>
    <w:lvl w:ilvl="0">
      <w:start w:val="1"/>
      <w:numFmt w:val="decimal"/>
      <w:lvlText w:val="Table %1"/>
      <w:lvlJc w:val="left"/>
      <w:pPr>
        <w:tabs>
          <w:tab w:val="num" w:pos="3827"/>
        </w:tabs>
        <w:ind w:left="2693" w:firstLine="0"/>
      </w:pPr>
      <w:rPr>
        <w:rFonts w:hint="default"/>
      </w:rPr>
    </w:lvl>
    <w:lvl w:ilvl="1">
      <w:start w:val="1"/>
      <w:numFmt w:val="none"/>
      <w:lvlRestart w:val="0"/>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7" w15:restartNumberingAfterBreak="0">
    <w:nsid w:val="79E925AB"/>
    <w:multiLevelType w:val="hybridMultilevel"/>
    <w:tmpl w:val="70B08C10"/>
    <w:lvl w:ilvl="0" w:tplc="4EBCED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C65145E"/>
    <w:multiLevelType w:val="multilevel"/>
    <w:tmpl w:val="ED6855FE"/>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202"/>
        </w:tabs>
        <w:ind w:left="1202" w:hanging="720"/>
      </w:pPr>
    </w:lvl>
    <w:lvl w:ilvl="2">
      <w:start w:val="1"/>
      <w:numFmt w:val="decimal"/>
      <w:lvlText w:val="%1.%2.%3."/>
      <w:lvlJc w:val="left"/>
      <w:pPr>
        <w:tabs>
          <w:tab w:val="num" w:pos="4213"/>
        </w:tabs>
        <w:ind w:left="3986" w:hanging="1009"/>
      </w:pPr>
    </w:lvl>
    <w:lvl w:ilvl="3">
      <w:start w:val="1"/>
      <w:numFmt w:val="decimal"/>
      <w:lvlText w:val="%1.%2.%3.%4."/>
      <w:lvlJc w:val="left"/>
      <w:pPr>
        <w:tabs>
          <w:tab w:val="num" w:pos="2438"/>
        </w:tabs>
        <w:ind w:left="2211" w:hanging="1009"/>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5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60" w15:restartNumberingAfterBreak="0">
    <w:nsid w:val="7CBE4780"/>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
  </w:num>
  <w:num w:numId="2">
    <w:abstractNumId w:val="26"/>
  </w:num>
  <w:num w:numId="3">
    <w:abstractNumId w:val="13"/>
  </w:num>
  <w:num w:numId="4">
    <w:abstractNumId w:val="28"/>
  </w:num>
  <w:num w:numId="5">
    <w:abstractNumId w:val="41"/>
  </w:num>
  <w:num w:numId="6">
    <w:abstractNumId w:val="54"/>
  </w:num>
  <w:num w:numId="7">
    <w:abstractNumId w:val="6"/>
  </w:num>
  <w:num w:numId="8">
    <w:abstractNumId w:val="11"/>
  </w:num>
  <w:num w:numId="9">
    <w:abstractNumId w:val="35"/>
  </w:num>
  <w:num w:numId="10">
    <w:abstractNumId w:val="7"/>
  </w:num>
  <w:num w:numId="11">
    <w:abstractNumId w:val="9"/>
  </w:num>
  <w:num w:numId="12">
    <w:abstractNumId w:val="10"/>
  </w:num>
  <w:num w:numId="13">
    <w:abstractNumId w:val="18"/>
  </w:num>
  <w:num w:numId="14">
    <w:abstractNumId w:val="29"/>
  </w:num>
  <w:num w:numId="15">
    <w:abstractNumId w:val="40"/>
  </w:num>
  <w:num w:numId="16">
    <w:abstractNumId w:val="21"/>
  </w:num>
  <w:num w:numId="17">
    <w:abstractNumId w:val="22"/>
  </w:num>
  <w:num w:numId="18">
    <w:abstractNumId w:val="59"/>
  </w:num>
  <w:num w:numId="19">
    <w:abstractNumId w:val="56"/>
  </w:num>
  <w:num w:numId="20">
    <w:abstractNumId w:val="25"/>
  </w:num>
  <w:num w:numId="21">
    <w:abstractNumId w:val="48"/>
  </w:num>
  <w:num w:numId="22">
    <w:abstractNumId w:val="38"/>
  </w:num>
  <w:num w:numId="23">
    <w:abstractNumId w:val="45"/>
  </w:num>
  <w:num w:numId="24">
    <w:abstractNumId w:val="46"/>
  </w:num>
  <w:num w:numId="25">
    <w:abstractNumId w:val="19"/>
  </w:num>
  <w:num w:numId="26">
    <w:abstractNumId w:val="43"/>
  </w:num>
  <w:num w:numId="27">
    <w:abstractNumId w:val="49"/>
  </w:num>
  <w:num w:numId="28">
    <w:abstractNumId w:val="12"/>
  </w:num>
  <w:num w:numId="29">
    <w:abstractNumId w:val="39"/>
  </w:num>
  <w:num w:numId="30">
    <w:abstractNumId w:val="42"/>
  </w:num>
  <w:num w:numId="31">
    <w:abstractNumId w:val="8"/>
  </w:num>
  <w:num w:numId="32">
    <w:abstractNumId w:val="47"/>
  </w:num>
  <w:num w:numId="33">
    <w:abstractNumId w:val="34"/>
  </w:num>
  <w:num w:numId="34">
    <w:abstractNumId w:val="50"/>
  </w:num>
  <w:num w:numId="35">
    <w:abstractNumId w:val="20"/>
  </w:num>
  <w:num w:numId="36">
    <w:abstractNumId w:val="36"/>
  </w:num>
  <w:num w:numId="37">
    <w:abstractNumId w:val="37"/>
  </w:num>
  <w:num w:numId="38">
    <w:abstractNumId w:val="14"/>
  </w:num>
  <w:num w:numId="39">
    <w:abstractNumId w:val="15"/>
  </w:num>
  <w:num w:numId="40">
    <w:abstractNumId w:val="30"/>
  </w:num>
  <w:num w:numId="41">
    <w:abstractNumId w:val="57"/>
  </w:num>
  <w:num w:numId="42">
    <w:abstractNumId w:val="51"/>
  </w:num>
  <w:num w:numId="43">
    <w:abstractNumId w:val="33"/>
  </w:num>
  <w:num w:numId="44">
    <w:abstractNumId w:val="5"/>
  </w:num>
  <w:num w:numId="45">
    <w:abstractNumId w:val="16"/>
  </w:num>
  <w:num w:numId="46">
    <w:abstractNumId w:val="3"/>
  </w:num>
  <w:num w:numId="47">
    <w:abstractNumId w:val="53"/>
  </w:num>
  <w:num w:numId="48">
    <w:abstractNumId w:val="24"/>
  </w:num>
  <w:num w:numId="49">
    <w:abstractNumId w:val="2"/>
  </w:num>
  <w:num w:numId="50">
    <w:abstractNumId w:val="60"/>
  </w:num>
  <w:num w:numId="51">
    <w:abstractNumId w:val="1"/>
  </w:num>
  <w:num w:numId="52">
    <w:abstractNumId w:val="44"/>
  </w:num>
  <w:num w:numId="53">
    <w:abstractNumId w:val="52"/>
  </w:num>
  <w:num w:numId="54">
    <w:abstractNumId w:val="32"/>
  </w:num>
  <w:num w:numId="55">
    <w:abstractNumId w:val="31"/>
  </w:num>
  <w:num w:numId="56">
    <w:abstractNumId w:val="23"/>
  </w:num>
  <w:num w:numId="57">
    <w:abstractNumId w:val="17"/>
  </w:num>
  <w:num w:numId="58">
    <w:abstractNumId w:val="27"/>
  </w:num>
  <w:num w:numId="59">
    <w:abstractNumId w:val="55"/>
  </w:num>
  <w:num w:numId="60">
    <w:abstractNumId w:val="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49"/>
  </w:hdrShapeDefaults>
  <w:footnotePr>
    <w:footnote w:id="-1"/>
    <w:footnote w:id="0"/>
  </w:footnotePr>
  <w:endnotePr>
    <w:numFmt w:val="lowerLette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80C65EA-1F5E-432B-BFA7-2D220AABC9A3"/>
    <w:docVar w:name="LW_COVERPAGE_TYPE" w:val="1"/>
    <w:docVar w:name="LW_CROSSREFERENCE" w:val="{SWD(2026) 183 final}"/>
    <w:docVar w:name="LW_DocType" w:val="EUROLOOK"/>
    <w:docVar w:name="LW_EMISSION" w:val="14.7.2026"/>
    <w:docVar w:name="LW_EMISSION_ISODATE" w:val="2026-07-14"/>
    <w:docVar w:name="LW_EMISSION_LOCATION" w:val="BRX"/>
    <w:docVar w:name="LW_EMISSION_PREFIX" w:val="Brussels, "/>
    <w:docVar w:name="LW_EMISSION_SUFFIX" w:val=" "/>
    <w:docVar w:name="LW_ID_DOCTYPE_NONLW" w:val="CP-006"/>
    <w:docVar w:name="LW_INSERT_TITRE.ACTE_NOSECTION"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implementation and enforcement of Regulation (EU) 2022/2560 of 14 December 2022 on foreign subsidies distorting the internal market, in accordance with Article 52(2) thereof_x000d__x000d__x000b_"/>
    <w:docVar w:name="LW_TYPE.DOC.CP" w:val="REPORT FROM THE COMMISSION TO THE EUROPEAN PARLIAMENT AND THE COUNCIL"/>
    <w:docVar w:name="LwApiVersions" w:val="LW4CoDe 1.24.5.0; LW 9.2, Build 20251112"/>
  </w:docVars>
  <w:rsids>
    <w:rsidRoot w:val="00B11396"/>
    <w:rsid w:val="00000576"/>
    <w:rsid w:val="00000C63"/>
    <w:rsid w:val="00001211"/>
    <w:rsid w:val="00001995"/>
    <w:rsid w:val="0000272B"/>
    <w:rsid w:val="000029DC"/>
    <w:rsid w:val="000040ED"/>
    <w:rsid w:val="0000675A"/>
    <w:rsid w:val="000074DD"/>
    <w:rsid w:val="000077F0"/>
    <w:rsid w:val="00010A20"/>
    <w:rsid w:val="000118D7"/>
    <w:rsid w:val="000119C7"/>
    <w:rsid w:val="00011E99"/>
    <w:rsid w:val="00012446"/>
    <w:rsid w:val="000124F6"/>
    <w:rsid w:val="00013B98"/>
    <w:rsid w:val="00014340"/>
    <w:rsid w:val="00015087"/>
    <w:rsid w:val="0001665A"/>
    <w:rsid w:val="0001681E"/>
    <w:rsid w:val="00016B87"/>
    <w:rsid w:val="00016CDD"/>
    <w:rsid w:val="00017423"/>
    <w:rsid w:val="00017585"/>
    <w:rsid w:val="00017A3B"/>
    <w:rsid w:val="00020F56"/>
    <w:rsid w:val="00022791"/>
    <w:rsid w:val="00022C44"/>
    <w:rsid w:val="00022E2E"/>
    <w:rsid w:val="00023260"/>
    <w:rsid w:val="00023F2A"/>
    <w:rsid w:val="00024E4C"/>
    <w:rsid w:val="000263BA"/>
    <w:rsid w:val="000268D5"/>
    <w:rsid w:val="00026EF7"/>
    <w:rsid w:val="000276BB"/>
    <w:rsid w:val="00027D13"/>
    <w:rsid w:val="00030521"/>
    <w:rsid w:val="0003054D"/>
    <w:rsid w:val="00031D5F"/>
    <w:rsid w:val="000331DB"/>
    <w:rsid w:val="000336F3"/>
    <w:rsid w:val="00034E38"/>
    <w:rsid w:val="00035039"/>
    <w:rsid w:val="00040495"/>
    <w:rsid w:val="000404DF"/>
    <w:rsid w:val="0004089C"/>
    <w:rsid w:val="00040D83"/>
    <w:rsid w:val="00040D99"/>
    <w:rsid w:val="0004251B"/>
    <w:rsid w:val="00043BFC"/>
    <w:rsid w:val="000440C3"/>
    <w:rsid w:val="000441DE"/>
    <w:rsid w:val="0004424B"/>
    <w:rsid w:val="00044370"/>
    <w:rsid w:val="0004489D"/>
    <w:rsid w:val="000449AA"/>
    <w:rsid w:val="00044A7A"/>
    <w:rsid w:val="00044ECB"/>
    <w:rsid w:val="000458A0"/>
    <w:rsid w:val="00046109"/>
    <w:rsid w:val="0005032B"/>
    <w:rsid w:val="00050DBC"/>
    <w:rsid w:val="00051B09"/>
    <w:rsid w:val="00051DE2"/>
    <w:rsid w:val="00052090"/>
    <w:rsid w:val="0005277B"/>
    <w:rsid w:val="00052FCB"/>
    <w:rsid w:val="00054C58"/>
    <w:rsid w:val="00054CAC"/>
    <w:rsid w:val="00054E7C"/>
    <w:rsid w:val="000558E3"/>
    <w:rsid w:val="000560DF"/>
    <w:rsid w:val="0005617B"/>
    <w:rsid w:val="000569D4"/>
    <w:rsid w:val="00060DE5"/>
    <w:rsid w:val="00061091"/>
    <w:rsid w:val="00061396"/>
    <w:rsid w:val="00061738"/>
    <w:rsid w:val="00062685"/>
    <w:rsid w:val="00062960"/>
    <w:rsid w:val="00062B44"/>
    <w:rsid w:val="00062FFC"/>
    <w:rsid w:val="0006323B"/>
    <w:rsid w:val="00064101"/>
    <w:rsid w:val="00064EDD"/>
    <w:rsid w:val="000656E4"/>
    <w:rsid w:val="000656FD"/>
    <w:rsid w:val="00067331"/>
    <w:rsid w:val="00067571"/>
    <w:rsid w:val="00067959"/>
    <w:rsid w:val="00067BAF"/>
    <w:rsid w:val="00071688"/>
    <w:rsid w:val="00071EBA"/>
    <w:rsid w:val="00072C68"/>
    <w:rsid w:val="0007400C"/>
    <w:rsid w:val="00074CEE"/>
    <w:rsid w:val="00074F84"/>
    <w:rsid w:val="00075A58"/>
    <w:rsid w:val="00075CFD"/>
    <w:rsid w:val="0008046E"/>
    <w:rsid w:val="000808DB"/>
    <w:rsid w:val="000810BD"/>
    <w:rsid w:val="00081917"/>
    <w:rsid w:val="0008262F"/>
    <w:rsid w:val="00082CF7"/>
    <w:rsid w:val="00082DF5"/>
    <w:rsid w:val="0008614F"/>
    <w:rsid w:val="0008625D"/>
    <w:rsid w:val="000864DA"/>
    <w:rsid w:val="00087367"/>
    <w:rsid w:val="00087B59"/>
    <w:rsid w:val="00090FB1"/>
    <w:rsid w:val="00091292"/>
    <w:rsid w:val="00091F2F"/>
    <w:rsid w:val="00093BF9"/>
    <w:rsid w:val="000942EB"/>
    <w:rsid w:val="00096AC4"/>
    <w:rsid w:val="00096C07"/>
    <w:rsid w:val="000A0544"/>
    <w:rsid w:val="000A0B02"/>
    <w:rsid w:val="000A1422"/>
    <w:rsid w:val="000A17F1"/>
    <w:rsid w:val="000A222E"/>
    <w:rsid w:val="000A25A0"/>
    <w:rsid w:val="000A29D1"/>
    <w:rsid w:val="000A2C14"/>
    <w:rsid w:val="000A303B"/>
    <w:rsid w:val="000A37B5"/>
    <w:rsid w:val="000A6842"/>
    <w:rsid w:val="000A7324"/>
    <w:rsid w:val="000A74FC"/>
    <w:rsid w:val="000A76EA"/>
    <w:rsid w:val="000B0DB3"/>
    <w:rsid w:val="000B1152"/>
    <w:rsid w:val="000B25F3"/>
    <w:rsid w:val="000B31A1"/>
    <w:rsid w:val="000B3501"/>
    <w:rsid w:val="000B35A8"/>
    <w:rsid w:val="000B3676"/>
    <w:rsid w:val="000B4DEF"/>
    <w:rsid w:val="000B67B5"/>
    <w:rsid w:val="000B6C41"/>
    <w:rsid w:val="000B6F9B"/>
    <w:rsid w:val="000B73A5"/>
    <w:rsid w:val="000B792E"/>
    <w:rsid w:val="000C094F"/>
    <w:rsid w:val="000C1953"/>
    <w:rsid w:val="000C24F4"/>
    <w:rsid w:val="000C25F9"/>
    <w:rsid w:val="000C26DA"/>
    <w:rsid w:val="000C27D4"/>
    <w:rsid w:val="000C2908"/>
    <w:rsid w:val="000C31E2"/>
    <w:rsid w:val="000C4566"/>
    <w:rsid w:val="000C4A4D"/>
    <w:rsid w:val="000C4B4D"/>
    <w:rsid w:val="000C50E1"/>
    <w:rsid w:val="000C53AD"/>
    <w:rsid w:val="000C5B3C"/>
    <w:rsid w:val="000C5CA9"/>
    <w:rsid w:val="000C619A"/>
    <w:rsid w:val="000C68B8"/>
    <w:rsid w:val="000C70F9"/>
    <w:rsid w:val="000C74E5"/>
    <w:rsid w:val="000D010E"/>
    <w:rsid w:val="000D04CF"/>
    <w:rsid w:val="000D04D7"/>
    <w:rsid w:val="000D0D4B"/>
    <w:rsid w:val="000D0EE3"/>
    <w:rsid w:val="000D0EFC"/>
    <w:rsid w:val="000D1271"/>
    <w:rsid w:val="000D13DC"/>
    <w:rsid w:val="000D1D81"/>
    <w:rsid w:val="000D2011"/>
    <w:rsid w:val="000D323B"/>
    <w:rsid w:val="000D4EF7"/>
    <w:rsid w:val="000D5433"/>
    <w:rsid w:val="000D73FA"/>
    <w:rsid w:val="000E06A5"/>
    <w:rsid w:val="000E0955"/>
    <w:rsid w:val="000E0ECD"/>
    <w:rsid w:val="000E2371"/>
    <w:rsid w:val="000E38BE"/>
    <w:rsid w:val="000E39D9"/>
    <w:rsid w:val="000E4A41"/>
    <w:rsid w:val="000E4F5A"/>
    <w:rsid w:val="000E5D38"/>
    <w:rsid w:val="000E5EAE"/>
    <w:rsid w:val="000E65E9"/>
    <w:rsid w:val="000E6A76"/>
    <w:rsid w:val="000E7232"/>
    <w:rsid w:val="000E768A"/>
    <w:rsid w:val="000E79A0"/>
    <w:rsid w:val="000E7F5C"/>
    <w:rsid w:val="000F0312"/>
    <w:rsid w:val="000F0B57"/>
    <w:rsid w:val="000F2AEC"/>
    <w:rsid w:val="000F332A"/>
    <w:rsid w:val="000F3ADF"/>
    <w:rsid w:val="000F400D"/>
    <w:rsid w:val="000F45AB"/>
    <w:rsid w:val="000F5386"/>
    <w:rsid w:val="000F55A9"/>
    <w:rsid w:val="000F5869"/>
    <w:rsid w:val="000F764F"/>
    <w:rsid w:val="000F77D3"/>
    <w:rsid w:val="000F7827"/>
    <w:rsid w:val="00100454"/>
    <w:rsid w:val="00100AA6"/>
    <w:rsid w:val="00101FB0"/>
    <w:rsid w:val="00102046"/>
    <w:rsid w:val="0010461B"/>
    <w:rsid w:val="0010546C"/>
    <w:rsid w:val="0010567E"/>
    <w:rsid w:val="00105EC4"/>
    <w:rsid w:val="00105FD5"/>
    <w:rsid w:val="0010710F"/>
    <w:rsid w:val="00107BB7"/>
    <w:rsid w:val="00111010"/>
    <w:rsid w:val="001111A8"/>
    <w:rsid w:val="001115A0"/>
    <w:rsid w:val="00111DA3"/>
    <w:rsid w:val="00112338"/>
    <w:rsid w:val="00112A0C"/>
    <w:rsid w:val="001135DE"/>
    <w:rsid w:val="00114750"/>
    <w:rsid w:val="001150D4"/>
    <w:rsid w:val="00115B07"/>
    <w:rsid w:val="001169CA"/>
    <w:rsid w:val="001171F5"/>
    <w:rsid w:val="0011797E"/>
    <w:rsid w:val="00117A07"/>
    <w:rsid w:val="00120F65"/>
    <w:rsid w:val="00120F77"/>
    <w:rsid w:val="00121E2E"/>
    <w:rsid w:val="001224FB"/>
    <w:rsid w:val="001229A0"/>
    <w:rsid w:val="001237CF"/>
    <w:rsid w:val="00123ECD"/>
    <w:rsid w:val="001241C4"/>
    <w:rsid w:val="0012434A"/>
    <w:rsid w:val="00124BCB"/>
    <w:rsid w:val="00124C2A"/>
    <w:rsid w:val="001250CA"/>
    <w:rsid w:val="00125FD4"/>
    <w:rsid w:val="001265EF"/>
    <w:rsid w:val="001273BB"/>
    <w:rsid w:val="00127467"/>
    <w:rsid w:val="00127675"/>
    <w:rsid w:val="00127A8C"/>
    <w:rsid w:val="00127D0B"/>
    <w:rsid w:val="00130714"/>
    <w:rsid w:val="00130F4A"/>
    <w:rsid w:val="001316EA"/>
    <w:rsid w:val="0013224D"/>
    <w:rsid w:val="00132938"/>
    <w:rsid w:val="00133123"/>
    <w:rsid w:val="00133975"/>
    <w:rsid w:val="00136861"/>
    <w:rsid w:val="0013726D"/>
    <w:rsid w:val="00137966"/>
    <w:rsid w:val="001401CC"/>
    <w:rsid w:val="00140999"/>
    <w:rsid w:val="001418A3"/>
    <w:rsid w:val="001418BB"/>
    <w:rsid w:val="00142057"/>
    <w:rsid w:val="0014217A"/>
    <w:rsid w:val="00142709"/>
    <w:rsid w:val="0014348A"/>
    <w:rsid w:val="001439DE"/>
    <w:rsid w:val="001453B2"/>
    <w:rsid w:val="00145FE1"/>
    <w:rsid w:val="00146202"/>
    <w:rsid w:val="00146AC3"/>
    <w:rsid w:val="00147712"/>
    <w:rsid w:val="00150A0D"/>
    <w:rsid w:val="00150DDC"/>
    <w:rsid w:val="001515D8"/>
    <w:rsid w:val="00151DCB"/>
    <w:rsid w:val="00151FF0"/>
    <w:rsid w:val="00152820"/>
    <w:rsid w:val="001531C5"/>
    <w:rsid w:val="00153606"/>
    <w:rsid w:val="001553A8"/>
    <w:rsid w:val="00155B8C"/>
    <w:rsid w:val="00155D15"/>
    <w:rsid w:val="00157422"/>
    <w:rsid w:val="001602D8"/>
    <w:rsid w:val="00160788"/>
    <w:rsid w:val="00163B2F"/>
    <w:rsid w:val="00163B5F"/>
    <w:rsid w:val="00165412"/>
    <w:rsid w:val="00166364"/>
    <w:rsid w:val="00166E14"/>
    <w:rsid w:val="00167906"/>
    <w:rsid w:val="00167F6A"/>
    <w:rsid w:val="00167F77"/>
    <w:rsid w:val="00170547"/>
    <w:rsid w:val="00170D15"/>
    <w:rsid w:val="00171F4C"/>
    <w:rsid w:val="0017245F"/>
    <w:rsid w:val="0017355A"/>
    <w:rsid w:val="00173C0A"/>
    <w:rsid w:val="00173EF4"/>
    <w:rsid w:val="001742DA"/>
    <w:rsid w:val="00174763"/>
    <w:rsid w:val="00176E0D"/>
    <w:rsid w:val="001777CE"/>
    <w:rsid w:val="001779D7"/>
    <w:rsid w:val="00177DFD"/>
    <w:rsid w:val="001804A1"/>
    <w:rsid w:val="001809D4"/>
    <w:rsid w:val="001815F1"/>
    <w:rsid w:val="00182871"/>
    <w:rsid w:val="001834D1"/>
    <w:rsid w:val="0018391E"/>
    <w:rsid w:val="00183C75"/>
    <w:rsid w:val="00184ADA"/>
    <w:rsid w:val="001858DE"/>
    <w:rsid w:val="00185B56"/>
    <w:rsid w:val="00185F59"/>
    <w:rsid w:val="00185FB5"/>
    <w:rsid w:val="00186005"/>
    <w:rsid w:val="00187D7A"/>
    <w:rsid w:val="00190F4D"/>
    <w:rsid w:val="00191C9F"/>
    <w:rsid w:val="00191EB7"/>
    <w:rsid w:val="001941A1"/>
    <w:rsid w:val="00194D8A"/>
    <w:rsid w:val="00194E8D"/>
    <w:rsid w:val="00195692"/>
    <w:rsid w:val="001957AD"/>
    <w:rsid w:val="0019585F"/>
    <w:rsid w:val="0019641A"/>
    <w:rsid w:val="00197736"/>
    <w:rsid w:val="00197903"/>
    <w:rsid w:val="00197C33"/>
    <w:rsid w:val="001A0970"/>
    <w:rsid w:val="001A1AD9"/>
    <w:rsid w:val="001A2625"/>
    <w:rsid w:val="001A2F51"/>
    <w:rsid w:val="001A42F8"/>
    <w:rsid w:val="001A54C8"/>
    <w:rsid w:val="001A574E"/>
    <w:rsid w:val="001A6FF1"/>
    <w:rsid w:val="001B042D"/>
    <w:rsid w:val="001B05DA"/>
    <w:rsid w:val="001B0743"/>
    <w:rsid w:val="001B08A8"/>
    <w:rsid w:val="001B14DB"/>
    <w:rsid w:val="001B1C06"/>
    <w:rsid w:val="001B38D2"/>
    <w:rsid w:val="001B3AAB"/>
    <w:rsid w:val="001B5000"/>
    <w:rsid w:val="001B5BD5"/>
    <w:rsid w:val="001B5EDA"/>
    <w:rsid w:val="001B68AD"/>
    <w:rsid w:val="001B6F97"/>
    <w:rsid w:val="001B7D6A"/>
    <w:rsid w:val="001B7EBC"/>
    <w:rsid w:val="001C0829"/>
    <w:rsid w:val="001C11E9"/>
    <w:rsid w:val="001C12E1"/>
    <w:rsid w:val="001C1472"/>
    <w:rsid w:val="001C17F6"/>
    <w:rsid w:val="001C22E6"/>
    <w:rsid w:val="001C2714"/>
    <w:rsid w:val="001C2EFA"/>
    <w:rsid w:val="001C30CA"/>
    <w:rsid w:val="001C348C"/>
    <w:rsid w:val="001C3549"/>
    <w:rsid w:val="001C3808"/>
    <w:rsid w:val="001C3B02"/>
    <w:rsid w:val="001C3B1E"/>
    <w:rsid w:val="001C3B98"/>
    <w:rsid w:val="001C4576"/>
    <w:rsid w:val="001C4FB7"/>
    <w:rsid w:val="001C52FC"/>
    <w:rsid w:val="001C57BB"/>
    <w:rsid w:val="001C5D0D"/>
    <w:rsid w:val="001D0540"/>
    <w:rsid w:val="001D1332"/>
    <w:rsid w:val="001D19E6"/>
    <w:rsid w:val="001D228F"/>
    <w:rsid w:val="001D2B3A"/>
    <w:rsid w:val="001D3D73"/>
    <w:rsid w:val="001D3E7D"/>
    <w:rsid w:val="001D454C"/>
    <w:rsid w:val="001D45B7"/>
    <w:rsid w:val="001D4B49"/>
    <w:rsid w:val="001D6600"/>
    <w:rsid w:val="001D6A54"/>
    <w:rsid w:val="001D7076"/>
    <w:rsid w:val="001D7D2D"/>
    <w:rsid w:val="001E0281"/>
    <w:rsid w:val="001E088C"/>
    <w:rsid w:val="001E1DE2"/>
    <w:rsid w:val="001E2B38"/>
    <w:rsid w:val="001E3372"/>
    <w:rsid w:val="001E33A9"/>
    <w:rsid w:val="001E3DD4"/>
    <w:rsid w:val="001E3F04"/>
    <w:rsid w:val="001E4812"/>
    <w:rsid w:val="001E5545"/>
    <w:rsid w:val="001E572D"/>
    <w:rsid w:val="001E59B1"/>
    <w:rsid w:val="001E5B09"/>
    <w:rsid w:val="001E6715"/>
    <w:rsid w:val="001E7046"/>
    <w:rsid w:val="001E7AE9"/>
    <w:rsid w:val="001F06E9"/>
    <w:rsid w:val="001F0B28"/>
    <w:rsid w:val="001F0E48"/>
    <w:rsid w:val="001F12AE"/>
    <w:rsid w:val="001F1948"/>
    <w:rsid w:val="001F1D33"/>
    <w:rsid w:val="001F27EB"/>
    <w:rsid w:val="001F3221"/>
    <w:rsid w:val="001F4FD3"/>
    <w:rsid w:val="001F60E4"/>
    <w:rsid w:val="001F624F"/>
    <w:rsid w:val="001F6642"/>
    <w:rsid w:val="001F6EEA"/>
    <w:rsid w:val="001F73AF"/>
    <w:rsid w:val="001F74D5"/>
    <w:rsid w:val="001F7A65"/>
    <w:rsid w:val="00202394"/>
    <w:rsid w:val="00202441"/>
    <w:rsid w:val="00202A43"/>
    <w:rsid w:val="00204CCC"/>
    <w:rsid w:val="002060CE"/>
    <w:rsid w:val="002115E8"/>
    <w:rsid w:val="002127B0"/>
    <w:rsid w:val="002139CD"/>
    <w:rsid w:val="0021480C"/>
    <w:rsid w:val="00214FF3"/>
    <w:rsid w:val="002150EA"/>
    <w:rsid w:val="00215E6F"/>
    <w:rsid w:val="00216FD2"/>
    <w:rsid w:val="002200F0"/>
    <w:rsid w:val="0022021C"/>
    <w:rsid w:val="002203BC"/>
    <w:rsid w:val="00220A6A"/>
    <w:rsid w:val="002219E8"/>
    <w:rsid w:val="00222955"/>
    <w:rsid w:val="00223838"/>
    <w:rsid w:val="00223A06"/>
    <w:rsid w:val="00223BD3"/>
    <w:rsid w:val="002245CF"/>
    <w:rsid w:val="0022526A"/>
    <w:rsid w:val="00225537"/>
    <w:rsid w:val="002260D4"/>
    <w:rsid w:val="0022619F"/>
    <w:rsid w:val="00227189"/>
    <w:rsid w:val="00227F92"/>
    <w:rsid w:val="00230AD6"/>
    <w:rsid w:val="00231902"/>
    <w:rsid w:val="00232F27"/>
    <w:rsid w:val="00232F5F"/>
    <w:rsid w:val="00233519"/>
    <w:rsid w:val="002336AC"/>
    <w:rsid w:val="00235122"/>
    <w:rsid w:val="002361DE"/>
    <w:rsid w:val="0023635D"/>
    <w:rsid w:val="00236926"/>
    <w:rsid w:val="0023745B"/>
    <w:rsid w:val="00237949"/>
    <w:rsid w:val="0024014B"/>
    <w:rsid w:val="0024042E"/>
    <w:rsid w:val="002418B6"/>
    <w:rsid w:val="00242109"/>
    <w:rsid w:val="00242478"/>
    <w:rsid w:val="002434A2"/>
    <w:rsid w:val="002438B5"/>
    <w:rsid w:val="0024450C"/>
    <w:rsid w:val="00245160"/>
    <w:rsid w:val="00246059"/>
    <w:rsid w:val="00246095"/>
    <w:rsid w:val="0024668D"/>
    <w:rsid w:val="00246D25"/>
    <w:rsid w:val="00247A50"/>
    <w:rsid w:val="00250047"/>
    <w:rsid w:val="0025033D"/>
    <w:rsid w:val="002504AF"/>
    <w:rsid w:val="0025055D"/>
    <w:rsid w:val="0025110D"/>
    <w:rsid w:val="002513D7"/>
    <w:rsid w:val="00252A5B"/>
    <w:rsid w:val="00253486"/>
    <w:rsid w:val="0025557E"/>
    <w:rsid w:val="002564E6"/>
    <w:rsid w:val="00257101"/>
    <w:rsid w:val="00257BC8"/>
    <w:rsid w:val="00260174"/>
    <w:rsid w:val="002609F1"/>
    <w:rsid w:val="0026124A"/>
    <w:rsid w:val="002614A4"/>
    <w:rsid w:val="002627F1"/>
    <w:rsid w:val="00265067"/>
    <w:rsid w:val="00265330"/>
    <w:rsid w:val="0026553B"/>
    <w:rsid w:val="00265C06"/>
    <w:rsid w:val="00265C57"/>
    <w:rsid w:val="00266358"/>
    <w:rsid w:val="00266675"/>
    <w:rsid w:val="00266E78"/>
    <w:rsid w:val="002671EF"/>
    <w:rsid w:val="00267236"/>
    <w:rsid w:val="002673C3"/>
    <w:rsid w:val="00267BAD"/>
    <w:rsid w:val="00267E72"/>
    <w:rsid w:val="002703F9"/>
    <w:rsid w:val="002710BB"/>
    <w:rsid w:val="00271974"/>
    <w:rsid w:val="0027212F"/>
    <w:rsid w:val="00272903"/>
    <w:rsid w:val="002737D4"/>
    <w:rsid w:val="00273B0C"/>
    <w:rsid w:val="00273E59"/>
    <w:rsid w:val="002741A2"/>
    <w:rsid w:val="002751C1"/>
    <w:rsid w:val="00275422"/>
    <w:rsid w:val="002754C7"/>
    <w:rsid w:val="00276C4F"/>
    <w:rsid w:val="00276D1E"/>
    <w:rsid w:val="002774FB"/>
    <w:rsid w:val="00277BDE"/>
    <w:rsid w:val="002806B4"/>
    <w:rsid w:val="00280A2D"/>
    <w:rsid w:val="00280B2C"/>
    <w:rsid w:val="00280E1E"/>
    <w:rsid w:val="00281C71"/>
    <w:rsid w:val="0028330E"/>
    <w:rsid w:val="0028334F"/>
    <w:rsid w:val="0028377D"/>
    <w:rsid w:val="00283E5E"/>
    <w:rsid w:val="00283E74"/>
    <w:rsid w:val="00284479"/>
    <w:rsid w:val="002849E8"/>
    <w:rsid w:val="002850F3"/>
    <w:rsid w:val="002855DF"/>
    <w:rsid w:val="00285C54"/>
    <w:rsid w:val="00286D8C"/>
    <w:rsid w:val="002871F6"/>
    <w:rsid w:val="00287ABA"/>
    <w:rsid w:val="0029229E"/>
    <w:rsid w:val="00292819"/>
    <w:rsid w:val="002931C3"/>
    <w:rsid w:val="0029358B"/>
    <w:rsid w:val="00294038"/>
    <w:rsid w:val="00294BD8"/>
    <w:rsid w:val="00294F2C"/>
    <w:rsid w:val="00297E57"/>
    <w:rsid w:val="002A026E"/>
    <w:rsid w:val="002A2B11"/>
    <w:rsid w:val="002A5A42"/>
    <w:rsid w:val="002A6C59"/>
    <w:rsid w:val="002A71F4"/>
    <w:rsid w:val="002A759D"/>
    <w:rsid w:val="002A7BC0"/>
    <w:rsid w:val="002B58E3"/>
    <w:rsid w:val="002B64AF"/>
    <w:rsid w:val="002B6EF6"/>
    <w:rsid w:val="002B70F9"/>
    <w:rsid w:val="002B7BF8"/>
    <w:rsid w:val="002C016B"/>
    <w:rsid w:val="002C0290"/>
    <w:rsid w:val="002C0316"/>
    <w:rsid w:val="002C2FE8"/>
    <w:rsid w:val="002C3275"/>
    <w:rsid w:val="002C32AE"/>
    <w:rsid w:val="002C39AB"/>
    <w:rsid w:val="002C3BC3"/>
    <w:rsid w:val="002C3F5C"/>
    <w:rsid w:val="002C6F3C"/>
    <w:rsid w:val="002C7BA6"/>
    <w:rsid w:val="002D0024"/>
    <w:rsid w:val="002D00C9"/>
    <w:rsid w:val="002D05C9"/>
    <w:rsid w:val="002D2D07"/>
    <w:rsid w:val="002D2FF4"/>
    <w:rsid w:val="002D34D2"/>
    <w:rsid w:val="002D37B1"/>
    <w:rsid w:val="002D3B6F"/>
    <w:rsid w:val="002D40D4"/>
    <w:rsid w:val="002D4170"/>
    <w:rsid w:val="002D5C61"/>
    <w:rsid w:val="002D64F5"/>
    <w:rsid w:val="002D6AE0"/>
    <w:rsid w:val="002D6AF2"/>
    <w:rsid w:val="002D71D9"/>
    <w:rsid w:val="002E0244"/>
    <w:rsid w:val="002E0EA9"/>
    <w:rsid w:val="002E362C"/>
    <w:rsid w:val="002E513D"/>
    <w:rsid w:val="002E5190"/>
    <w:rsid w:val="002E5E52"/>
    <w:rsid w:val="002E6FF7"/>
    <w:rsid w:val="002F078C"/>
    <w:rsid w:val="002F0A37"/>
    <w:rsid w:val="002F0A72"/>
    <w:rsid w:val="002F0FF7"/>
    <w:rsid w:val="002F16AF"/>
    <w:rsid w:val="002F1A2C"/>
    <w:rsid w:val="002F1BB5"/>
    <w:rsid w:val="002F2D27"/>
    <w:rsid w:val="002F2FF2"/>
    <w:rsid w:val="002F3BC8"/>
    <w:rsid w:val="002F3D08"/>
    <w:rsid w:val="002F3D25"/>
    <w:rsid w:val="002F4133"/>
    <w:rsid w:val="002F50C6"/>
    <w:rsid w:val="002F7B24"/>
    <w:rsid w:val="003005DD"/>
    <w:rsid w:val="00300CF5"/>
    <w:rsid w:val="00300EEA"/>
    <w:rsid w:val="003024B6"/>
    <w:rsid w:val="00303160"/>
    <w:rsid w:val="00303F8F"/>
    <w:rsid w:val="0030489A"/>
    <w:rsid w:val="00305B9E"/>
    <w:rsid w:val="00306467"/>
    <w:rsid w:val="00306804"/>
    <w:rsid w:val="00306E53"/>
    <w:rsid w:val="003103C2"/>
    <w:rsid w:val="00311350"/>
    <w:rsid w:val="003122B3"/>
    <w:rsid w:val="003138C4"/>
    <w:rsid w:val="003141F5"/>
    <w:rsid w:val="00314B22"/>
    <w:rsid w:val="00316856"/>
    <w:rsid w:val="00316DD4"/>
    <w:rsid w:val="003172EE"/>
    <w:rsid w:val="003175E8"/>
    <w:rsid w:val="0032024A"/>
    <w:rsid w:val="003215AD"/>
    <w:rsid w:val="00321B84"/>
    <w:rsid w:val="003226E9"/>
    <w:rsid w:val="00323097"/>
    <w:rsid w:val="0032328F"/>
    <w:rsid w:val="00324324"/>
    <w:rsid w:val="00324914"/>
    <w:rsid w:val="00325490"/>
    <w:rsid w:val="00325746"/>
    <w:rsid w:val="003259D3"/>
    <w:rsid w:val="003261F2"/>
    <w:rsid w:val="00327964"/>
    <w:rsid w:val="0033096F"/>
    <w:rsid w:val="0033228D"/>
    <w:rsid w:val="0033402F"/>
    <w:rsid w:val="003348B3"/>
    <w:rsid w:val="003352C0"/>
    <w:rsid w:val="003369C2"/>
    <w:rsid w:val="00336D4E"/>
    <w:rsid w:val="003372CF"/>
    <w:rsid w:val="003404BA"/>
    <w:rsid w:val="00341485"/>
    <w:rsid w:val="003417B1"/>
    <w:rsid w:val="00341E2C"/>
    <w:rsid w:val="00341F6C"/>
    <w:rsid w:val="0034228E"/>
    <w:rsid w:val="00342A24"/>
    <w:rsid w:val="00343855"/>
    <w:rsid w:val="003438BF"/>
    <w:rsid w:val="00343AE8"/>
    <w:rsid w:val="00343E3A"/>
    <w:rsid w:val="0034465D"/>
    <w:rsid w:val="0034486D"/>
    <w:rsid w:val="00344880"/>
    <w:rsid w:val="00344A21"/>
    <w:rsid w:val="00344C5C"/>
    <w:rsid w:val="00345561"/>
    <w:rsid w:val="003476BC"/>
    <w:rsid w:val="00347D13"/>
    <w:rsid w:val="003506B9"/>
    <w:rsid w:val="00351E96"/>
    <w:rsid w:val="00351F0D"/>
    <w:rsid w:val="00352125"/>
    <w:rsid w:val="00353BC5"/>
    <w:rsid w:val="00353C1A"/>
    <w:rsid w:val="00353FAB"/>
    <w:rsid w:val="0035466D"/>
    <w:rsid w:val="003552BB"/>
    <w:rsid w:val="00356C1B"/>
    <w:rsid w:val="00356CED"/>
    <w:rsid w:val="00356D3A"/>
    <w:rsid w:val="00361374"/>
    <w:rsid w:val="00361467"/>
    <w:rsid w:val="00361B7B"/>
    <w:rsid w:val="003626AF"/>
    <w:rsid w:val="00362E40"/>
    <w:rsid w:val="00363869"/>
    <w:rsid w:val="0036439B"/>
    <w:rsid w:val="0036570F"/>
    <w:rsid w:val="00365956"/>
    <w:rsid w:val="00366489"/>
    <w:rsid w:val="00366497"/>
    <w:rsid w:val="00366848"/>
    <w:rsid w:val="00367EF1"/>
    <w:rsid w:val="00370F43"/>
    <w:rsid w:val="003710A6"/>
    <w:rsid w:val="003725AD"/>
    <w:rsid w:val="00372EF6"/>
    <w:rsid w:val="00373074"/>
    <w:rsid w:val="003752DE"/>
    <w:rsid w:val="00375593"/>
    <w:rsid w:val="00376B1D"/>
    <w:rsid w:val="00376EB1"/>
    <w:rsid w:val="00377122"/>
    <w:rsid w:val="00377470"/>
    <w:rsid w:val="00377C8C"/>
    <w:rsid w:val="00380219"/>
    <w:rsid w:val="00380449"/>
    <w:rsid w:val="003805C5"/>
    <w:rsid w:val="00381156"/>
    <w:rsid w:val="00381C87"/>
    <w:rsid w:val="00381D13"/>
    <w:rsid w:val="0038285E"/>
    <w:rsid w:val="00382C9D"/>
    <w:rsid w:val="00382E39"/>
    <w:rsid w:val="00383251"/>
    <w:rsid w:val="003833D0"/>
    <w:rsid w:val="00383BE9"/>
    <w:rsid w:val="00383DE4"/>
    <w:rsid w:val="0038445E"/>
    <w:rsid w:val="003848A4"/>
    <w:rsid w:val="00386F10"/>
    <w:rsid w:val="0038793C"/>
    <w:rsid w:val="003900E7"/>
    <w:rsid w:val="00390119"/>
    <w:rsid w:val="003909C8"/>
    <w:rsid w:val="00390CF5"/>
    <w:rsid w:val="00390DAD"/>
    <w:rsid w:val="00391788"/>
    <w:rsid w:val="0039196C"/>
    <w:rsid w:val="0039204C"/>
    <w:rsid w:val="00393AD5"/>
    <w:rsid w:val="00394F0E"/>
    <w:rsid w:val="00395DFD"/>
    <w:rsid w:val="00396308"/>
    <w:rsid w:val="003A1FCD"/>
    <w:rsid w:val="003A211A"/>
    <w:rsid w:val="003A2683"/>
    <w:rsid w:val="003A2F0D"/>
    <w:rsid w:val="003A465C"/>
    <w:rsid w:val="003A507B"/>
    <w:rsid w:val="003A586B"/>
    <w:rsid w:val="003A6499"/>
    <w:rsid w:val="003A64E9"/>
    <w:rsid w:val="003B0706"/>
    <w:rsid w:val="003B1465"/>
    <w:rsid w:val="003B187B"/>
    <w:rsid w:val="003B1B95"/>
    <w:rsid w:val="003B1C60"/>
    <w:rsid w:val="003B2D75"/>
    <w:rsid w:val="003B30CC"/>
    <w:rsid w:val="003B30D6"/>
    <w:rsid w:val="003B36EF"/>
    <w:rsid w:val="003B55DD"/>
    <w:rsid w:val="003B5F5C"/>
    <w:rsid w:val="003B64E8"/>
    <w:rsid w:val="003B6829"/>
    <w:rsid w:val="003B7344"/>
    <w:rsid w:val="003B7929"/>
    <w:rsid w:val="003B7B52"/>
    <w:rsid w:val="003C0062"/>
    <w:rsid w:val="003C0753"/>
    <w:rsid w:val="003C092B"/>
    <w:rsid w:val="003C0B76"/>
    <w:rsid w:val="003C1816"/>
    <w:rsid w:val="003C185E"/>
    <w:rsid w:val="003C2502"/>
    <w:rsid w:val="003C293B"/>
    <w:rsid w:val="003C36A0"/>
    <w:rsid w:val="003C4383"/>
    <w:rsid w:val="003C485E"/>
    <w:rsid w:val="003C5500"/>
    <w:rsid w:val="003C5FCD"/>
    <w:rsid w:val="003C6A69"/>
    <w:rsid w:val="003C6E7C"/>
    <w:rsid w:val="003C6F0F"/>
    <w:rsid w:val="003C6FE8"/>
    <w:rsid w:val="003C71DE"/>
    <w:rsid w:val="003C7F5B"/>
    <w:rsid w:val="003D03B1"/>
    <w:rsid w:val="003D0C8C"/>
    <w:rsid w:val="003D0F27"/>
    <w:rsid w:val="003D1321"/>
    <w:rsid w:val="003D1BCE"/>
    <w:rsid w:val="003D24A1"/>
    <w:rsid w:val="003D326D"/>
    <w:rsid w:val="003D3DAA"/>
    <w:rsid w:val="003D3DAD"/>
    <w:rsid w:val="003D4D9C"/>
    <w:rsid w:val="003D5FF1"/>
    <w:rsid w:val="003D6876"/>
    <w:rsid w:val="003D7385"/>
    <w:rsid w:val="003D7949"/>
    <w:rsid w:val="003E0585"/>
    <w:rsid w:val="003E134E"/>
    <w:rsid w:val="003E15F8"/>
    <w:rsid w:val="003E1AE6"/>
    <w:rsid w:val="003E2A8D"/>
    <w:rsid w:val="003E2E7B"/>
    <w:rsid w:val="003E3536"/>
    <w:rsid w:val="003E419B"/>
    <w:rsid w:val="003E485E"/>
    <w:rsid w:val="003E5315"/>
    <w:rsid w:val="003E5BA6"/>
    <w:rsid w:val="003E6960"/>
    <w:rsid w:val="003F0B0D"/>
    <w:rsid w:val="003F10AC"/>
    <w:rsid w:val="003F15B5"/>
    <w:rsid w:val="003F2CF0"/>
    <w:rsid w:val="003F337E"/>
    <w:rsid w:val="003F4096"/>
    <w:rsid w:val="003F53F0"/>
    <w:rsid w:val="003F5686"/>
    <w:rsid w:val="003F6BAB"/>
    <w:rsid w:val="003F6E48"/>
    <w:rsid w:val="003F7461"/>
    <w:rsid w:val="003F74A1"/>
    <w:rsid w:val="003F7A4E"/>
    <w:rsid w:val="003F7DD8"/>
    <w:rsid w:val="00400CA3"/>
    <w:rsid w:val="00402318"/>
    <w:rsid w:val="0040244C"/>
    <w:rsid w:val="00403134"/>
    <w:rsid w:val="00403C8C"/>
    <w:rsid w:val="0040410B"/>
    <w:rsid w:val="0040671B"/>
    <w:rsid w:val="00406834"/>
    <w:rsid w:val="00407D49"/>
    <w:rsid w:val="0041143C"/>
    <w:rsid w:val="00411DD9"/>
    <w:rsid w:val="00411F64"/>
    <w:rsid w:val="00412383"/>
    <w:rsid w:val="00412C50"/>
    <w:rsid w:val="0041321C"/>
    <w:rsid w:val="00413B41"/>
    <w:rsid w:val="00414225"/>
    <w:rsid w:val="00414BF1"/>
    <w:rsid w:val="00416270"/>
    <w:rsid w:val="0041633D"/>
    <w:rsid w:val="00416671"/>
    <w:rsid w:val="00416F54"/>
    <w:rsid w:val="00417200"/>
    <w:rsid w:val="004173D3"/>
    <w:rsid w:val="00417E4B"/>
    <w:rsid w:val="00420219"/>
    <w:rsid w:val="00420AF3"/>
    <w:rsid w:val="00421D7D"/>
    <w:rsid w:val="0042232B"/>
    <w:rsid w:val="004224B7"/>
    <w:rsid w:val="00422DAE"/>
    <w:rsid w:val="004230E1"/>
    <w:rsid w:val="00424A00"/>
    <w:rsid w:val="00424FFA"/>
    <w:rsid w:val="00425FA1"/>
    <w:rsid w:val="004264AF"/>
    <w:rsid w:val="00426696"/>
    <w:rsid w:val="004302ED"/>
    <w:rsid w:val="004329DA"/>
    <w:rsid w:val="004331C0"/>
    <w:rsid w:val="00433F08"/>
    <w:rsid w:val="00435134"/>
    <w:rsid w:val="00435183"/>
    <w:rsid w:val="00435341"/>
    <w:rsid w:val="00435B64"/>
    <w:rsid w:val="00436148"/>
    <w:rsid w:val="0044021D"/>
    <w:rsid w:val="00440DB2"/>
    <w:rsid w:val="004410F9"/>
    <w:rsid w:val="00441F42"/>
    <w:rsid w:val="0044299E"/>
    <w:rsid w:val="00443F4E"/>
    <w:rsid w:val="00444145"/>
    <w:rsid w:val="00444C3D"/>
    <w:rsid w:val="00445102"/>
    <w:rsid w:val="00445F35"/>
    <w:rsid w:val="00447161"/>
    <w:rsid w:val="00447ECA"/>
    <w:rsid w:val="00450065"/>
    <w:rsid w:val="0045183C"/>
    <w:rsid w:val="00451E30"/>
    <w:rsid w:val="004526E6"/>
    <w:rsid w:val="00452CB7"/>
    <w:rsid w:val="00452E1A"/>
    <w:rsid w:val="0045376B"/>
    <w:rsid w:val="0045392E"/>
    <w:rsid w:val="004541D0"/>
    <w:rsid w:val="00454761"/>
    <w:rsid w:val="00454C66"/>
    <w:rsid w:val="00455051"/>
    <w:rsid w:val="00455166"/>
    <w:rsid w:val="00455D69"/>
    <w:rsid w:val="00455F15"/>
    <w:rsid w:val="004564A8"/>
    <w:rsid w:val="00456ECB"/>
    <w:rsid w:val="00457194"/>
    <w:rsid w:val="004572DC"/>
    <w:rsid w:val="004603AB"/>
    <w:rsid w:val="00461CFB"/>
    <w:rsid w:val="00462C9F"/>
    <w:rsid w:val="00462D58"/>
    <w:rsid w:val="00463787"/>
    <w:rsid w:val="00463EFF"/>
    <w:rsid w:val="00464130"/>
    <w:rsid w:val="0046467E"/>
    <w:rsid w:val="00464E0A"/>
    <w:rsid w:val="00465DBB"/>
    <w:rsid w:val="00466C43"/>
    <w:rsid w:val="00467200"/>
    <w:rsid w:val="0046745C"/>
    <w:rsid w:val="0046777E"/>
    <w:rsid w:val="00467936"/>
    <w:rsid w:val="00467E1C"/>
    <w:rsid w:val="004707B3"/>
    <w:rsid w:val="00470A4A"/>
    <w:rsid w:val="00471EC0"/>
    <w:rsid w:val="004732A6"/>
    <w:rsid w:val="00473F00"/>
    <w:rsid w:val="00474EA9"/>
    <w:rsid w:val="00475A11"/>
    <w:rsid w:val="00475E9B"/>
    <w:rsid w:val="0047637E"/>
    <w:rsid w:val="004773B9"/>
    <w:rsid w:val="004779C3"/>
    <w:rsid w:val="00477ADF"/>
    <w:rsid w:val="0048237F"/>
    <w:rsid w:val="00482644"/>
    <w:rsid w:val="00486592"/>
    <w:rsid w:val="00487AAA"/>
    <w:rsid w:val="0049005C"/>
    <w:rsid w:val="0049098E"/>
    <w:rsid w:val="0049105E"/>
    <w:rsid w:val="004921C9"/>
    <w:rsid w:val="00493485"/>
    <w:rsid w:val="004935C1"/>
    <w:rsid w:val="00493D66"/>
    <w:rsid w:val="004943CC"/>
    <w:rsid w:val="00495A76"/>
    <w:rsid w:val="00495E30"/>
    <w:rsid w:val="0049700A"/>
    <w:rsid w:val="00497999"/>
    <w:rsid w:val="004A0103"/>
    <w:rsid w:val="004A0479"/>
    <w:rsid w:val="004A0CB2"/>
    <w:rsid w:val="004A1140"/>
    <w:rsid w:val="004A1855"/>
    <w:rsid w:val="004A1922"/>
    <w:rsid w:val="004A30F4"/>
    <w:rsid w:val="004A426D"/>
    <w:rsid w:val="004A4D97"/>
    <w:rsid w:val="004A5365"/>
    <w:rsid w:val="004A588B"/>
    <w:rsid w:val="004A5FF3"/>
    <w:rsid w:val="004A70D6"/>
    <w:rsid w:val="004A7774"/>
    <w:rsid w:val="004A7A2C"/>
    <w:rsid w:val="004B01AE"/>
    <w:rsid w:val="004B06C5"/>
    <w:rsid w:val="004B153D"/>
    <w:rsid w:val="004B1E6D"/>
    <w:rsid w:val="004B212D"/>
    <w:rsid w:val="004B28DF"/>
    <w:rsid w:val="004B3AFA"/>
    <w:rsid w:val="004B4170"/>
    <w:rsid w:val="004B45ED"/>
    <w:rsid w:val="004B4C4B"/>
    <w:rsid w:val="004B6449"/>
    <w:rsid w:val="004B6872"/>
    <w:rsid w:val="004B6AE0"/>
    <w:rsid w:val="004C0BE9"/>
    <w:rsid w:val="004C1807"/>
    <w:rsid w:val="004C1C10"/>
    <w:rsid w:val="004C2DCC"/>
    <w:rsid w:val="004C3A38"/>
    <w:rsid w:val="004C450B"/>
    <w:rsid w:val="004C4A87"/>
    <w:rsid w:val="004C6CB5"/>
    <w:rsid w:val="004C6CEC"/>
    <w:rsid w:val="004C76C7"/>
    <w:rsid w:val="004C77C8"/>
    <w:rsid w:val="004D01DC"/>
    <w:rsid w:val="004D0850"/>
    <w:rsid w:val="004D097F"/>
    <w:rsid w:val="004D0D6A"/>
    <w:rsid w:val="004D1B19"/>
    <w:rsid w:val="004D29D5"/>
    <w:rsid w:val="004D2A0D"/>
    <w:rsid w:val="004D3232"/>
    <w:rsid w:val="004D50CC"/>
    <w:rsid w:val="004D679F"/>
    <w:rsid w:val="004D72C0"/>
    <w:rsid w:val="004E06F8"/>
    <w:rsid w:val="004E0B16"/>
    <w:rsid w:val="004E21EE"/>
    <w:rsid w:val="004E40BD"/>
    <w:rsid w:val="004E4C5F"/>
    <w:rsid w:val="004E4CE3"/>
    <w:rsid w:val="004E4DF1"/>
    <w:rsid w:val="004E4FA1"/>
    <w:rsid w:val="004E6086"/>
    <w:rsid w:val="004E6178"/>
    <w:rsid w:val="004E7CBE"/>
    <w:rsid w:val="004F0850"/>
    <w:rsid w:val="004F167F"/>
    <w:rsid w:val="004F1B04"/>
    <w:rsid w:val="004F294A"/>
    <w:rsid w:val="004F3E12"/>
    <w:rsid w:val="004F3F4A"/>
    <w:rsid w:val="004F452F"/>
    <w:rsid w:val="004F4FA5"/>
    <w:rsid w:val="004F5C79"/>
    <w:rsid w:val="004F5E43"/>
    <w:rsid w:val="004F6195"/>
    <w:rsid w:val="004F6D49"/>
    <w:rsid w:val="004F7C83"/>
    <w:rsid w:val="00500B93"/>
    <w:rsid w:val="00500D5D"/>
    <w:rsid w:val="00501127"/>
    <w:rsid w:val="00501658"/>
    <w:rsid w:val="0050235C"/>
    <w:rsid w:val="00502DA7"/>
    <w:rsid w:val="005039D3"/>
    <w:rsid w:val="00503F63"/>
    <w:rsid w:val="00504009"/>
    <w:rsid w:val="005066A8"/>
    <w:rsid w:val="005071CD"/>
    <w:rsid w:val="005100EA"/>
    <w:rsid w:val="005104BB"/>
    <w:rsid w:val="00510D70"/>
    <w:rsid w:val="005118A8"/>
    <w:rsid w:val="005119C5"/>
    <w:rsid w:val="00511C41"/>
    <w:rsid w:val="00511E06"/>
    <w:rsid w:val="00512213"/>
    <w:rsid w:val="005131AA"/>
    <w:rsid w:val="005139D3"/>
    <w:rsid w:val="00514A9F"/>
    <w:rsid w:val="00514DE6"/>
    <w:rsid w:val="005151CA"/>
    <w:rsid w:val="00515999"/>
    <w:rsid w:val="005164A7"/>
    <w:rsid w:val="005168D3"/>
    <w:rsid w:val="00516AAF"/>
    <w:rsid w:val="00517597"/>
    <w:rsid w:val="0051771A"/>
    <w:rsid w:val="00517906"/>
    <w:rsid w:val="00520FCD"/>
    <w:rsid w:val="00521C5A"/>
    <w:rsid w:val="00521EE2"/>
    <w:rsid w:val="00522BBB"/>
    <w:rsid w:val="0052351D"/>
    <w:rsid w:val="00523CA8"/>
    <w:rsid w:val="005248B0"/>
    <w:rsid w:val="0052529E"/>
    <w:rsid w:val="005252D6"/>
    <w:rsid w:val="00525CC6"/>
    <w:rsid w:val="005279DF"/>
    <w:rsid w:val="00531229"/>
    <w:rsid w:val="005312BC"/>
    <w:rsid w:val="005319B0"/>
    <w:rsid w:val="00531D18"/>
    <w:rsid w:val="00531FEB"/>
    <w:rsid w:val="00532361"/>
    <w:rsid w:val="00532BD9"/>
    <w:rsid w:val="00533547"/>
    <w:rsid w:val="00534807"/>
    <w:rsid w:val="00535833"/>
    <w:rsid w:val="00535AD0"/>
    <w:rsid w:val="00536764"/>
    <w:rsid w:val="00536FCB"/>
    <w:rsid w:val="005379AB"/>
    <w:rsid w:val="00537B4E"/>
    <w:rsid w:val="00541419"/>
    <w:rsid w:val="005434F7"/>
    <w:rsid w:val="005440BE"/>
    <w:rsid w:val="0054437C"/>
    <w:rsid w:val="005454E8"/>
    <w:rsid w:val="00545F83"/>
    <w:rsid w:val="005461C2"/>
    <w:rsid w:val="00546943"/>
    <w:rsid w:val="00547D42"/>
    <w:rsid w:val="00550635"/>
    <w:rsid w:val="005512C3"/>
    <w:rsid w:val="00552125"/>
    <w:rsid w:val="005522FD"/>
    <w:rsid w:val="00553189"/>
    <w:rsid w:val="00553534"/>
    <w:rsid w:val="005537BE"/>
    <w:rsid w:val="005549EA"/>
    <w:rsid w:val="005573E3"/>
    <w:rsid w:val="00557A25"/>
    <w:rsid w:val="00557E08"/>
    <w:rsid w:val="005617F3"/>
    <w:rsid w:val="00561F09"/>
    <w:rsid w:val="005621A8"/>
    <w:rsid w:val="005626A8"/>
    <w:rsid w:val="0056284E"/>
    <w:rsid w:val="005636BA"/>
    <w:rsid w:val="00563EEA"/>
    <w:rsid w:val="005645A6"/>
    <w:rsid w:val="00565173"/>
    <w:rsid w:val="005654E0"/>
    <w:rsid w:val="00565F94"/>
    <w:rsid w:val="005717D6"/>
    <w:rsid w:val="00571D1A"/>
    <w:rsid w:val="00572C82"/>
    <w:rsid w:val="00573325"/>
    <w:rsid w:val="00573508"/>
    <w:rsid w:val="00573646"/>
    <w:rsid w:val="0057412F"/>
    <w:rsid w:val="00574409"/>
    <w:rsid w:val="005746DE"/>
    <w:rsid w:val="0057482D"/>
    <w:rsid w:val="005753DF"/>
    <w:rsid w:val="005757CE"/>
    <w:rsid w:val="00575B28"/>
    <w:rsid w:val="005764B4"/>
    <w:rsid w:val="00576C28"/>
    <w:rsid w:val="00576D3B"/>
    <w:rsid w:val="00577587"/>
    <w:rsid w:val="005802BD"/>
    <w:rsid w:val="00580823"/>
    <w:rsid w:val="0058124C"/>
    <w:rsid w:val="00581894"/>
    <w:rsid w:val="00581F5B"/>
    <w:rsid w:val="0058238B"/>
    <w:rsid w:val="00582553"/>
    <w:rsid w:val="00582CED"/>
    <w:rsid w:val="00583FFF"/>
    <w:rsid w:val="00584988"/>
    <w:rsid w:val="00584AD4"/>
    <w:rsid w:val="005857A8"/>
    <w:rsid w:val="00585C53"/>
    <w:rsid w:val="005865D2"/>
    <w:rsid w:val="0058730A"/>
    <w:rsid w:val="00587DD4"/>
    <w:rsid w:val="00590752"/>
    <w:rsid w:val="00592574"/>
    <w:rsid w:val="00592B08"/>
    <w:rsid w:val="00593638"/>
    <w:rsid w:val="00594500"/>
    <w:rsid w:val="00594B11"/>
    <w:rsid w:val="00594EA0"/>
    <w:rsid w:val="00594F3A"/>
    <w:rsid w:val="005952BA"/>
    <w:rsid w:val="0059597C"/>
    <w:rsid w:val="00596EFF"/>
    <w:rsid w:val="005972FF"/>
    <w:rsid w:val="005973E1"/>
    <w:rsid w:val="005979CD"/>
    <w:rsid w:val="00597EE8"/>
    <w:rsid w:val="005A173C"/>
    <w:rsid w:val="005A3E9A"/>
    <w:rsid w:val="005A3FD6"/>
    <w:rsid w:val="005A66CE"/>
    <w:rsid w:val="005A7D88"/>
    <w:rsid w:val="005B0868"/>
    <w:rsid w:val="005B1489"/>
    <w:rsid w:val="005B1A0B"/>
    <w:rsid w:val="005B1A53"/>
    <w:rsid w:val="005B1EC5"/>
    <w:rsid w:val="005B264E"/>
    <w:rsid w:val="005B309F"/>
    <w:rsid w:val="005B31D1"/>
    <w:rsid w:val="005B4F14"/>
    <w:rsid w:val="005B5469"/>
    <w:rsid w:val="005B54E5"/>
    <w:rsid w:val="005B5811"/>
    <w:rsid w:val="005B591C"/>
    <w:rsid w:val="005B5FDE"/>
    <w:rsid w:val="005B60CF"/>
    <w:rsid w:val="005B6219"/>
    <w:rsid w:val="005B6FF9"/>
    <w:rsid w:val="005B7674"/>
    <w:rsid w:val="005B79AE"/>
    <w:rsid w:val="005B7AF4"/>
    <w:rsid w:val="005B7FE9"/>
    <w:rsid w:val="005C11D4"/>
    <w:rsid w:val="005C1C14"/>
    <w:rsid w:val="005C4A66"/>
    <w:rsid w:val="005C5134"/>
    <w:rsid w:val="005C6444"/>
    <w:rsid w:val="005C73BC"/>
    <w:rsid w:val="005D0199"/>
    <w:rsid w:val="005D0BE6"/>
    <w:rsid w:val="005D117E"/>
    <w:rsid w:val="005D1BA7"/>
    <w:rsid w:val="005D1FF9"/>
    <w:rsid w:val="005D43FC"/>
    <w:rsid w:val="005D4EA6"/>
    <w:rsid w:val="005D57D8"/>
    <w:rsid w:val="005D6922"/>
    <w:rsid w:val="005D6A2A"/>
    <w:rsid w:val="005D7BFB"/>
    <w:rsid w:val="005E03E2"/>
    <w:rsid w:val="005E1E66"/>
    <w:rsid w:val="005E1FC7"/>
    <w:rsid w:val="005E210F"/>
    <w:rsid w:val="005E3791"/>
    <w:rsid w:val="005E3ECE"/>
    <w:rsid w:val="005E54C1"/>
    <w:rsid w:val="005E6B25"/>
    <w:rsid w:val="005E71A6"/>
    <w:rsid w:val="005E7391"/>
    <w:rsid w:val="005F0208"/>
    <w:rsid w:val="005F07F8"/>
    <w:rsid w:val="005F09B0"/>
    <w:rsid w:val="005F0EA0"/>
    <w:rsid w:val="005F1145"/>
    <w:rsid w:val="005F1417"/>
    <w:rsid w:val="005F254F"/>
    <w:rsid w:val="005F2703"/>
    <w:rsid w:val="005F316A"/>
    <w:rsid w:val="005F3439"/>
    <w:rsid w:val="005F49A5"/>
    <w:rsid w:val="005F63C9"/>
    <w:rsid w:val="005F6A5F"/>
    <w:rsid w:val="005F7550"/>
    <w:rsid w:val="006000C3"/>
    <w:rsid w:val="00600BC1"/>
    <w:rsid w:val="00603EC9"/>
    <w:rsid w:val="006051DD"/>
    <w:rsid w:val="006068E4"/>
    <w:rsid w:val="006075E9"/>
    <w:rsid w:val="00607C8E"/>
    <w:rsid w:val="0061075A"/>
    <w:rsid w:val="00610838"/>
    <w:rsid w:val="00611493"/>
    <w:rsid w:val="00611D87"/>
    <w:rsid w:val="00612B05"/>
    <w:rsid w:val="00612B69"/>
    <w:rsid w:val="00614638"/>
    <w:rsid w:val="006151F2"/>
    <w:rsid w:val="00615651"/>
    <w:rsid w:val="0061573F"/>
    <w:rsid w:val="00615A5A"/>
    <w:rsid w:val="00615D7D"/>
    <w:rsid w:val="0061710E"/>
    <w:rsid w:val="006177BF"/>
    <w:rsid w:val="00620448"/>
    <w:rsid w:val="006204B8"/>
    <w:rsid w:val="0062113D"/>
    <w:rsid w:val="00621468"/>
    <w:rsid w:val="006219CF"/>
    <w:rsid w:val="00621A30"/>
    <w:rsid w:val="00621B01"/>
    <w:rsid w:val="00621F5C"/>
    <w:rsid w:val="00622FA9"/>
    <w:rsid w:val="00623398"/>
    <w:rsid w:val="006233BE"/>
    <w:rsid w:val="00623FE4"/>
    <w:rsid w:val="00624792"/>
    <w:rsid w:val="00624CEF"/>
    <w:rsid w:val="006254F6"/>
    <w:rsid w:val="00625716"/>
    <w:rsid w:val="00625A5D"/>
    <w:rsid w:val="006265CA"/>
    <w:rsid w:val="006268B1"/>
    <w:rsid w:val="00627236"/>
    <w:rsid w:val="00627338"/>
    <w:rsid w:val="00627E1A"/>
    <w:rsid w:val="00627E94"/>
    <w:rsid w:val="00627E9D"/>
    <w:rsid w:val="006305F6"/>
    <w:rsid w:val="0063119F"/>
    <w:rsid w:val="006313FD"/>
    <w:rsid w:val="00631411"/>
    <w:rsid w:val="00632A90"/>
    <w:rsid w:val="006337C6"/>
    <w:rsid w:val="006340EA"/>
    <w:rsid w:val="006350B3"/>
    <w:rsid w:val="006356E0"/>
    <w:rsid w:val="0063679E"/>
    <w:rsid w:val="00636990"/>
    <w:rsid w:val="00636E7B"/>
    <w:rsid w:val="006377E6"/>
    <w:rsid w:val="00637DD3"/>
    <w:rsid w:val="006400E6"/>
    <w:rsid w:val="00640555"/>
    <w:rsid w:val="00641202"/>
    <w:rsid w:val="00641D6D"/>
    <w:rsid w:val="00642368"/>
    <w:rsid w:val="006462F5"/>
    <w:rsid w:val="00646490"/>
    <w:rsid w:val="006465FE"/>
    <w:rsid w:val="00646CF2"/>
    <w:rsid w:val="006502A4"/>
    <w:rsid w:val="00650A28"/>
    <w:rsid w:val="00651467"/>
    <w:rsid w:val="00651516"/>
    <w:rsid w:val="00651F9C"/>
    <w:rsid w:val="00651FE6"/>
    <w:rsid w:val="00653316"/>
    <w:rsid w:val="00653E1E"/>
    <w:rsid w:val="0065468A"/>
    <w:rsid w:val="00660A15"/>
    <w:rsid w:val="00660C12"/>
    <w:rsid w:val="00660E61"/>
    <w:rsid w:val="006611BC"/>
    <w:rsid w:val="006613A6"/>
    <w:rsid w:val="00662004"/>
    <w:rsid w:val="00664956"/>
    <w:rsid w:val="00664FDA"/>
    <w:rsid w:val="0066505A"/>
    <w:rsid w:val="006650D2"/>
    <w:rsid w:val="0066520B"/>
    <w:rsid w:val="00665A6C"/>
    <w:rsid w:val="00665F5E"/>
    <w:rsid w:val="00666239"/>
    <w:rsid w:val="00666506"/>
    <w:rsid w:val="006671A3"/>
    <w:rsid w:val="00667239"/>
    <w:rsid w:val="0066753D"/>
    <w:rsid w:val="006678EE"/>
    <w:rsid w:val="00667AA3"/>
    <w:rsid w:val="006700DE"/>
    <w:rsid w:val="006703EE"/>
    <w:rsid w:val="00670BFF"/>
    <w:rsid w:val="00671D16"/>
    <w:rsid w:val="0067219D"/>
    <w:rsid w:val="0067236C"/>
    <w:rsid w:val="00672C12"/>
    <w:rsid w:val="00673A1B"/>
    <w:rsid w:val="00673AF3"/>
    <w:rsid w:val="0067422D"/>
    <w:rsid w:val="00675403"/>
    <w:rsid w:val="00675B1C"/>
    <w:rsid w:val="00675FA2"/>
    <w:rsid w:val="00677002"/>
    <w:rsid w:val="006811BB"/>
    <w:rsid w:val="006816AE"/>
    <w:rsid w:val="00681E36"/>
    <w:rsid w:val="006855AB"/>
    <w:rsid w:val="0068686F"/>
    <w:rsid w:val="006874EF"/>
    <w:rsid w:val="006901E1"/>
    <w:rsid w:val="006905A1"/>
    <w:rsid w:val="00690729"/>
    <w:rsid w:val="00690A5B"/>
    <w:rsid w:val="00690B09"/>
    <w:rsid w:val="0069118C"/>
    <w:rsid w:val="00691DC8"/>
    <w:rsid w:val="006936A0"/>
    <w:rsid w:val="00693E09"/>
    <w:rsid w:val="00694B30"/>
    <w:rsid w:val="00695C5F"/>
    <w:rsid w:val="0069740A"/>
    <w:rsid w:val="00697537"/>
    <w:rsid w:val="006A11AF"/>
    <w:rsid w:val="006A141F"/>
    <w:rsid w:val="006A1873"/>
    <w:rsid w:val="006A37ED"/>
    <w:rsid w:val="006A390F"/>
    <w:rsid w:val="006A428A"/>
    <w:rsid w:val="006A4F91"/>
    <w:rsid w:val="006A511B"/>
    <w:rsid w:val="006A5605"/>
    <w:rsid w:val="006A64C0"/>
    <w:rsid w:val="006A66D3"/>
    <w:rsid w:val="006A7063"/>
    <w:rsid w:val="006B028A"/>
    <w:rsid w:val="006B0971"/>
    <w:rsid w:val="006B0E01"/>
    <w:rsid w:val="006B13D9"/>
    <w:rsid w:val="006B15F5"/>
    <w:rsid w:val="006B23D1"/>
    <w:rsid w:val="006B29A7"/>
    <w:rsid w:val="006B435B"/>
    <w:rsid w:val="006B4BCB"/>
    <w:rsid w:val="006B5009"/>
    <w:rsid w:val="006B5AC1"/>
    <w:rsid w:val="006B5AD2"/>
    <w:rsid w:val="006B62E9"/>
    <w:rsid w:val="006B6F2C"/>
    <w:rsid w:val="006C13BA"/>
    <w:rsid w:val="006C1519"/>
    <w:rsid w:val="006C1698"/>
    <w:rsid w:val="006C1E5D"/>
    <w:rsid w:val="006C2109"/>
    <w:rsid w:val="006C3CDD"/>
    <w:rsid w:val="006C4385"/>
    <w:rsid w:val="006C50BF"/>
    <w:rsid w:val="006C5595"/>
    <w:rsid w:val="006C5D23"/>
    <w:rsid w:val="006C7B52"/>
    <w:rsid w:val="006D1ED7"/>
    <w:rsid w:val="006D3233"/>
    <w:rsid w:val="006D45BD"/>
    <w:rsid w:val="006D4604"/>
    <w:rsid w:val="006D4FC3"/>
    <w:rsid w:val="006D53BF"/>
    <w:rsid w:val="006D5A3E"/>
    <w:rsid w:val="006D5B6E"/>
    <w:rsid w:val="006D5C51"/>
    <w:rsid w:val="006D66F6"/>
    <w:rsid w:val="006D7A8C"/>
    <w:rsid w:val="006D7D6A"/>
    <w:rsid w:val="006E1439"/>
    <w:rsid w:val="006E1E8C"/>
    <w:rsid w:val="006E3A66"/>
    <w:rsid w:val="006E3E54"/>
    <w:rsid w:val="006E5C5C"/>
    <w:rsid w:val="006E6C4F"/>
    <w:rsid w:val="006F098B"/>
    <w:rsid w:val="006F13E1"/>
    <w:rsid w:val="006F162D"/>
    <w:rsid w:val="006F1A1C"/>
    <w:rsid w:val="006F461D"/>
    <w:rsid w:val="006F55F9"/>
    <w:rsid w:val="006F70C4"/>
    <w:rsid w:val="006F7BE3"/>
    <w:rsid w:val="0070046A"/>
    <w:rsid w:val="0070084E"/>
    <w:rsid w:val="00701266"/>
    <w:rsid w:val="007013D9"/>
    <w:rsid w:val="00701433"/>
    <w:rsid w:val="0070151E"/>
    <w:rsid w:val="007020D2"/>
    <w:rsid w:val="00702411"/>
    <w:rsid w:val="00702B39"/>
    <w:rsid w:val="00702C3A"/>
    <w:rsid w:val="0070303D"/>
    <w:rsid w:val="00703367"/>
    <w:rsid w:val="00703AD8"/>
    <w:rsid w:val="007040D3"/>
    <w:rsid w:val="00704817"/>
    <w:rsid w:val="00704BBA"/>
    <w:rsid w:val="0070613D"/>
    <w:rsid w:val="00706203"/>
    <w:rsid w:val="00706445"/>
    <w:rsid w:val="00706BC0"/>
    <w:rsid w:val="00707E85"/>
    <w:rsid w:val="00710147"/>
    <w:rsid w:val="00711A23"/>
    <w:rsid w:val="00711C73"/>
    <w:rsid w:val="00712104"/>
    <w:rsid w:val="00712A3E"/>
    <w:rsid w:val="0071381A"/>
    <w:rsid w:val="00713981"/>
    <w:rsid w:val="00713D6A"/>
    <w:rsid w:val="00713F58"/>
    <w:rsid w:val="0071400C"/>
    <w:rsid w:val="00714570"/>
    <w:rsid w:val="00715E83"/>
    <w:rsid w:val="00715FDC"/>
    <w:rsid w:val="00720726"/>
    <w:rsid w:val="00720815"/>
    <w:rsid w:val="00720E51"/>
    <w:rsid w:val="00721235"/>
    <w:rsid w:val="007225DF"/>
    <w:rsid w:val="00722EE6"/>
    <w:rsid w:val="00723946"/>
    <w:rsid w:val="00724579"/>
    <w:rsid w:val="00724D6B"/>
    <w:rsid w:val="00725296"/>
    <w:rsid w:val="007253A9"/>
    <w:rsid w:val="00726731"/>
    <w:rsid w:val="007269A5"/>
    <w:rsid w:val="007315D1"/>
    <w:rsid w:val="00731A2E"/>
    <w:rsid w:val="00732B6E"/>
    <w:rsid w:val="00732C64"/>
    <w:rsid w:val="00733973"/>
    <w:rsid w:val="00733D5D"/>
    <w:rsid w:val="00734439"/>
    <w:rsid w:val="00734B7A"/>
    <w:rsid w:val="007370BE"/>
    <w:rsid w:val="00737161"/>
    <w:rsid w:val="0073731B"/>
    <w:rsid w:val="00740490"/>
    <w:rsid w:val="00740CD3"/>
    <w:rsid w:val="0074104E"/>
    <w:rsid w:val="00741312"/>
    <w:rsid w:val="00741605"/>
    <w:rsid w:val="007423A6"/>
    <w:rsid w:val="007427C7"/>
    <w:rsid w:val="007428A4"/>
    <w:rsid w:val="00744808"/>
    <w:rsid w:val="007451A4"/>
    <w:rsid w:val="007456A6"/>
    <w:rsid w:val="00745E69"/>
    <w:rsid w:val="007462A6"/>
    <w:rsid w:val="0074753C"/>
    <w:rsid w:val="0075000A"/>
    <w:rsid w:val="00750DE1"/>
    <w:rsid w:val="00750EE3"/>
    <w:rsid w:val="00751227"/>
    <w:rsid w:val="007517E8"/>
    <w:rsid w:val="00751840"/>
    <w:rsid w:val="00751D49"/>
    <w:rsid w:val="00751FFD"/>
    <w:rsid w:val="0075277C"/>
    <w:rsid w:val="00752B31"/>
    <w:rsid w:val="00753366"/>
    <w:rsid w:val="007546C0"/>
    <w:rsid w:val="0075473A"/>
    <w:rsid w:val="00754856"/>
    <w:rsid w:val="00755032"/>
    <w:rsid w:val="00755A21"/>
    <w:rsid w:val="00755FAA"/>
    <w:rsid w:val="00760131"/>
    <w:rsid w:val="00760215"/>
    <w:rsid w:val="00760A95"/>
    <w:rsid w:val="00760C90"/>
    <w:rsid w:val="00761314"/>
    <w:rsid w:val="00761336"/>
    <w:rsid w:val="007614AC"/>
    <w:rsid w:val="007644BF"/>
    <w:rsid w:val="00764612"/>
    <w:rsid w:val="00764796"/>
    <w:rsid w:val="00765FC1"/>
    <w:rsid w:val="0076685B"/>
    <w:rsid w:val="00766BE7"/>
    <w:rsid w:val="00770560"/>
    <w:rsid w:val="00770567"/>
    <w:rsid w:val="0077074D"/>
    <w:rsid w:val="007712BE"/>
    <w:rsid w:val="00771596"/>
    <w:rsid w:val="00771EF6"/>
    <w:rsid w:val="007738B9"/>
    <w:rsid w:val="00773B2F"/>
    <w:rsid w:val="00773D6E"/>
    <w:rsid w:val="00774849"/>
    <w:rsid w:val="007749EE"/>
    <w:rsid w:val="007757E1"/>
    <w:rsid w:val="00776EBF"/>
    <w:rsid w:val="007773D4"/>
    <w:rsid w:val="00777D31"/>
    <w:rsid w:val="0078054D"/>
    <w:rsid w:val="00780854"/>
    <w:rsid w:val="00781DB9"/>
    <w:rsid w:val="00781E8D"/>
    <w:rsid w:val="0078249C"/>
    <w:rsid w:val="007837AA"/>
    <w:rsid w:val="00783C85"/>
    <w:rsid w:val="00784D8C"/>
    <w:rsid w:val="00785D36"/>
    <w:rsid w:val="00786146"/>
    <w:rsid w:val="00786696"/>
    <w:rsid w:val="00787161"/>
    <w:rsid w:val="0078795F"/>
    <w:rsid w:val="0079099C"/>
    <w:rsid w:val="00790B1A"/>
    <w:rsid w:val="00790BC5"/>
    <w:rsid w:val="00790DE4"/>
    <w:rsid w:val="00790EE4"/>
    <w:rsid w:val="0079105D"/>
    <w:rsid w:val="00791A9C"/>
    <w:rsid w:val="007926A3"/>
    <w:rsid w:val="00792CC8"/>
    <w:rsid w:val="00792F24"/>
    <w:rsid w:val="007934A0"/>
    <w:rsid w:val="00793D6C"/>
    <w:rsid w:val="007946C3"/>
    <w:rsid w:val="00797026"/>
    <w:rsid w:val="007970B5"/>
    <w:rsid w:val="0079717E"/>
    <w:rsid w:val="007A07BB"/>
    <w:rsid w:val="007A263D"/>
    <w:rsid w:val="007A3670"/>
    <w:rsid w:val="007A3B50"/>
    <w:rsid w:val="007A4576"/>
    <w:rsid w:val="007A63D3"/>
    <w:rsid w:val="007A6921"/>
    <w:rsid w:val="007A6BD1"/>
    <w:rsid w:val="007A6F66"/>
    <w:rsid w:val="007A742C"/>
    <w:rsid w:val="007B03DF"/>
    <w:rsid w:val="007B0471"/>
    <w:rsid w:val="007B1232"/>
    <w:rsid w:val="007B1616"/>
    <w:rsid w:val="007B1722"/>
    <w:rsid w:val="007B3463"/>
    <w:rsid w:val="007B393B"/>
    <w:rsid w:val="007B4115"/>
    <w:rsid w:val="007B4318"/>
    <w:rsid w:val="007B48BD"/>
    <w:rsid w:val="007B4B65"/>
    <w:rsid w:val="007B4BCF"/>
    <w:rsid w:val="007B4EC4"/>
    <w:rsid w:val="007B5045"/>
    <w:rsid w:val="007B5987"/>
    <w:rsid w:val="007B6F4E"/>
    <w:rsid w:val="007C01B8"/>
    <w:rsid w:val="007C056E"/>
    <w:rsid w:val="007C2229"/>
    <w:rsid w:val="007C2C2D"/>
    <w:rsid w:val="007C2F60"/>
    <w:rsid w:val="007C31DD"/>
    <w:rsid w:val="007C343C"/>
    <w:rsid w:val="007C4A6D"/>
    <w:rsid w:val="007C51AC"/>
    <w:rsid w:val="007C622F"/>
    <w:rsid w:val="007C7113"/>
    <w:rsid w:val="007C73D1"/>
    <w:rsid w:val="007C76CE"/>
    <w:rsid w:val="007C7E0E"/>
    <w:rsid w:val="007D01E1"/>
    <w:rsid w:val="007D0239"/>
    <w:rsid w:val="007D0949"/>
    <w:rsid w:val="007D1BF9"/>
    <w:rsid w:val="007D200E"/>
    <w:rsid w:val="007D4B94"/>
    <w:rsid w:val="007D4CCC"/>
    <w:rsid w:val="007D5EB0"/>
    <w:rsid w:val="007D7CA6"/>
    <w:rsid w:val="007D7F0C"/>
    <w:rsid w:val="007E0182"/>
    <w:rsid w:val="007E0E16"/>
    <w:rsid w:val="007E1330"/>
    <w:rsid w:val="007E42B4"/>
    <w:rsid w:val="007E528B"/>
    <w:rsid w:val="007E58B2"/>
    <w:rsid w:val="007E5FD0"/>
    <w:rsid w:val="007E6927"/>
    <w:rsid w:val="007E7A34"/>
    <w:rsid w:val="007F0F41"/>
    <w:rsid w:val="007F1370"/>
    <w:rsid w:val="007F2064"/>
    <w:rsid w:val="007F2B3B"/>
    <w:rsid w:val="007F3563"/>
    <w:rsid w:val="007F3A9B"/>
    <w:rsid w:val="007F4799"/>
    <w:rsid w:val="007F4C4F"/>
    <w:rsid w:val="007F54EB"/>
    <w:rsid w:val="007F5900"/>
    <w:rsid w:val="007F5D1E"/>
    <w:rsid w:val="007F612C"/>
    <w:rsid w:val="007F619D"/>
    <w:rsid w:val="008003B5"/>
    <w:rsid w:val="00802E2E"/>
    <w:rsid w:val="0080380E"/>
    <w:rsid w:val="0080424E"/>
    <w:rsid w:val="00804401"/>
    <w:rsid w:val="00804C4B"/>
    <w:rsid w:val="00804FA8"/>
    <w:rsid w:val="0080504C"/>
    <w:rsid w:val="00805300"/>
    <w:rsid w:val="00805366"/>
    <w:rsid w:val="0080560D"/>
    <w:rsid w:val="00806650"/>
    <w:rsid w:val="0080665F"/>
    <w:rsid w:val="00807C9E"/>
    <w:rsid w:val="00812A40"/>
    <w:rsid w:val="00812EDC"/>
    <w:rsid w:val="008130D1"/>
    <w:rsid w:val="00813C68"/>
    <w:rsid w:val="00813DD6"/>
    <w:rsid w:val="0081469D"/>
    <w:rsid w:val="008153C4"/>
    <w:rsid w:val="00815E64"/>
    <w:rsid w:val="008164AE"/>
    <w:rsid w:val="00816C0C"/>
    <w:rsid w:val="00816CB0"/>
    <w:rsid w:val="00816D94"/>
    <w:rsid w:val="0082035C"/>
    <w:rsid w:val="0082038B"/>
    <w:rsid w:val="00820456"/>
    <w:rsid w:val="00820A42"/>
    <w:rsid w:val="00821199"/>
    <w:rsid w:val="008218C5"/>
    <w:rsid w:val="00821CD0"/>
    <w:rsid w:val="008225BB"/>
    <w:rsid w:val="00822B6E"/>
    <w:rsid w:val="00822E4E"/>
    <w:rsid w:val="00824214"/>
    <w:rsid w:val="008254A4"/>
    <w:rsid w:val="00825573"/>
    <w:rsid w:val="0082588C"/>
    <w:rsid w:val="00825C33"/>
    <w:rsid w:val="00826811"/>
    <w:rsid w:val="008269B6"/>
    <w:rsid w:val="0082732E"/>
    <w:rsid w:val="008307DB"/>
    <w:rsid w:val="00830C35"/>
    <w:rsid w:val="00830DCF"/>
    <w:rsid w:val="008315AF"/>
    <w:rsid w:val="0083181F"/>
    <w:rsid w:val="0083209A"/>
    <w:rsid w:val="00832C56"/>
    <w:rsid w:val="0083363B"/>
    <w:rsid w:val="008337D4"/>
    <w:rsid w:val="00834D28"/>
    <w:rsid w:val="00835335"/>
    <w:rsid w:val="00835C87"/>
    <w:rsid w:val="0083627A"/>
    <w:rsid w:val="008364AC"/>
    <w:rsid w:val="00836900"/>
    <w:rsid w:val="008379B6"/>
    <w:rsid w:val="008379D1"/>
    <w:rsid w:val="008402FE"/>
    <w:rsid w:val="00840BCF"/>
    <w:rsid w:val="008417B8"/>
    <w:rsid w:val="00842901"/>
    <w:rsid w:val="00842CBC"/>
    <w:rsid w:val="00842FBC"/>
    <w:rsid w:val="00843317"/>
    <w:rsid w:val="00844D71"/>
    <w:rsid w:val="00844DF3"/>
    <w:rsid w:val="00845468"/>
    <w:rsid w:val="008459B9"/>
    <w:rsid w:val="00845CC4"/>
    <w:rsid w:val="00846954"/>
    <w:rsid w:val="0084706A"/>
    <w:rsid w:val="008474A3"/>
    <w:rsid w:val="00847A38"/>
    <w:rsid w:val="00850143"/>
    <w:rsid w:val="00850CD1"/>
    <w:rsid w:val="00852617"/>
    <w:rsid w:val="00853386"/>
    <w:rsid w:val="0085533F"/>
    <w:rsid w:val="0085571F"/>
    <w:rsid w:val="00855DE1"/>
    <w:rsid w:val="00856060"/>
    <w:rsid w:val="00857221"/>
    <w:rsid w:val="00857321"/>
    <w:rsid w:val="0085796E"/>
    <w:rsid w:val="0086160A"/>
    <w:rsid w:val="008622E0"/>
    <w:rsid w:val="008629AE"/>
    <w:rsid w:val="00862B3B"/>
    <w:rsid w:val="008632DE"/>
    <w:rsid w:val="00863421"/>
    <w:rsid w:val="0086360D"/>
    <w:rsid w:val="00865416"/>
    <w:rsid w:val="008672A6"/>
    <w:rsid w:val="00870AC7"/>
    <w:rsid w:val="00871EC6"/>
    <w:rsid w:val="00872507"/>
    <w:rsid w:val="00872744"/>
    <w:rsid w:val="008728D9"/>
    <w:rsid w:val="00872E73"/>
    <w:rsid w:val="00873117"/>
    <w:rsid w:val="00875732"/>
    <w:rsid w:val="00875BD0"/>
    <w:rsid w:val="00875C12"/>
    <w:rsid w:val="00875EEF"/>
    <w:rsid w:val="008768F2"/>
    <w:rsid w:val="008768F7"/>
    <w:rsid w:val="00877140"/>
    <w:rsid w:val="00877191"/>
    <w:rsid w:val="0088027C"/>
    <w:rsid w:val="008807F8"/>
    <w:rsid w:val="00880954"/>
    <w:rsid w:val="00880974"/>
    <w:rsid w:val="00880A72"/>
    <w:rsid w:val="008814F3"/>
    <w:rsid w:val="0088179D"/>
    <w:rsid w:val="008817F7"/>
    <w:rsid w:val="00881E64"/>
    <w:rsid w:val="00882D10"/>
    <w:rsid w:val="008831C1"/>
    <w:rsid w:val="00883258"/>
    <w:rsid w:val="0088345F"/>
    <w:rsid w:val="00883C68"/>
    <w:rsid w:val="00885894"/>
    <w:rsid w:val="00885C4B"/>
    <w:rsid w:val="00886E49"/>
    <w:rsid w:val="008873A2"/>
    <w:rsid w:val="008877A2"/>
    <w:rsid w:val="00890E49"/>
    <w:rsid w:val="008910A2"/>
    <w:rsid w:val="0089167F"/>
    <w:rsid w:val="0089188B"/>
    <w:rsid w:val="00891DE4"/>
    <w:rsid w:val="008921D0"/>
    <w:rsid w:val="00893DCC"/>
    <w:rsid w:val="00894DCE"/>
    <w:rsid w:val="00895A7E"/>
    <w:rsid w:val="00897318"/>
    <w:rsid w:val="008A00D8"/>
    <w:rsid w:val="008A0315"/>
    <w:rsid w:val="008A0B9F"/>
    <w:rsid w:val="008A22B6"/>
    <w:rsid w:val="008A28C6"/>
    <w:rsid w:val="008A35EA"/>
    <w:rsid w:val="008A3D0B"/>
    <w:rsid w:val="008A4276"/>
    <w:rsid w:val="008A43E4"/>
    <w:rsid w:val="008A4EA0"/>
    <w:rsid w:val="008A5F88"/>
    <w:rsid w:val="008A65F1"/>
    <w:rsid w:val="008A6947"/>
    <w:rsid w:val="008A71D9"/>
    <w:rsid w:val="008B17BB"/>
    <w:rsid w:val="008B1F9A"/>
    <w:rsid w:val="008B1FDC"/>
    <w:rsid w:val="008B42F8"/>
    <w:rsid w:val="008B4E3D"/>
    <w:rsid w:val="008B5776"/>
    <w:rsid w:val="008B741D"/>
    <w:rsid w:val="008B7669"/>
    <w:rsid w:val="008B7C02"/>
    <w:rsid w:val="008C1122"/>
    <w:rsid w:val="008C1397"/>
    <w:rsid w:val="008C2BBB"/>
    <w:rsid w:val="008C35C0"/>
    <w:rsid w:val="008C36CF"/>
    <w:rsid w:val="008C5544"/>
    <w:rsid w:val="008C567D"/>
    <w:rsid w:val="008C582C"/>
    <w:rsid w:val="008C5957"/>
    <w:rsid w:val="008C5B55"/>
    <w:rsid w:val="008C650B"/>
    <w:rsid w:val="008C6C54"/>
    <w:rsid w:val="008C6DC3"/>
    <w:rsid w:val="008C6EF3"/>
    <w:rsid w:val="008C739F"/>
    <w:rsid w:val="008C7584"/>
    <w:rsid w:val="008D006E"/>
    <w:rsid w:val="008D25C5"/>
    <w:rsid w:val="008D3757"/>
    <w:rsid w:val="008D38C3"/>
    <w:rsid w:val="008D3B21"/>
    <w:rsid w:val="008D491F"/>
    <w:rsid w:val="008D54B7"/>
    <w:rsid w:val="008D5835"/>
    <w:rsid w:val="008D5880"/>
    <w:rsid w:val="008D60BE"/>
    <w:rsid w:val="008D6A62"/>
    <w:rsid w:val="008D7722"/>
    <w:rsid w:val="008D7B43"/>
    <w:rsid w:val="008D7FD9"/>
    <w:rsid w:val="008E15B9"/>
    <w:rsid w:val="008E2DB8"/>
    <w:rsid w:val="008E336A"/>
    <w:rsid w:val="008E4184"/>
    <w:rsid w:val="008E440F"/>
    <w:rsid w:val="008E4946"/>
    <w:rsid w:val="008E4C6C"/>
    <w:rsid w:val="008E4D2B"/>
    <w:rsid w:val="008E4DE8"/>
    <w:rsid w:val="008E4EC3"/>
    <w:rsid w:val="008E5D1E"/>
    <w:rsid w:val="008E5D48"/>
    <w:rsid w:val="008E664C"/>
    <w:rsid w:val="008E6C2F"/>
    <w:rsid w:val="008F06FC"/>
    <w:rsid w:val="008F1AB5"/>
    <w:rsid w:val="008F1AFD"/>
    <w:rsid w:val="008F2326"/>
    <w:rsid w:val="008F2624"/>
    <w:rsid w:val="008F28D1"/>
    <w:rsid w:val="008F3679"/>
    <w:rsid w:val="008F460B"/>
    <w:rsid w:val="008F5248"/>
    <w:rsid w:val="008F5914"/>
    <w:rsid w:val="008F661F"/>
    <w:rsid w:val="00900A88"/>
    <w:rsid w:val="00900C8B"/>
    <w:rsid w:val="00900D9B"/>
    <w:rsid w:val="0090257E"/>
    <w:rsid w:val="00903203"/>
    <w:rsid w:val="00903756"/>
    <w:rsid w:val="00905713"/>
    <w:rsid w:val="00906207"/>
    <w:rsid w:val="009062D3"/>
    <w:rsid w:val="009069A2"/>
    <w:rsid w:val="009069F2"/>
    <w:rsid w:val="00906ED2"/>
    <w:rsid w:val="00907C27"/>
    <w:rsid w:val="00907D7C"/>
    <w:rsid w:val="00907EE9"/>
    <w:rsid w:val="00907F68"/>
    <w:rsid w:val="00910DC7"/>
    <w:rsid w:val="0091147E"/>
    <w:rsid w:val="0091220D"/>
    <w:rsid w:val="0091224F"/>
    <w:rsid w:val="00912376"/>
    <w:rsid w:val="0091395B"/>
    <w:rsid w:val="009143F5"/>
    <w:rsid w:val="009147FB"/>
    <w:rsid w:val="00914E99"/>
    <w:rsid w:val="009163E0"/>
    <w:rsid w:val="00917C78"/>
    <w:rsid w:val="00920109"/>
    <w:rsid w:val="00920BBF"/>
    <w:rsid w:val="0092156E"/>
    <w:rsid w:val="00921DF5"/>
    <w:rsid w:val="00922464"/>
    <w:rsid w:val="00922C46"/>
    <w:rsid w:val="0092303C"/>
    <w:rsid w:val="00923D9F"/>
    <w:rsid w:val="0092427D"/>
    <w:rsid w:val="0092627A"/>
    <w:rsid w:val="009262D9"/>
    <w:rsid w:val="00927033"/>
    <w:rsid w:val="00927CD4"/>
    <w:rsid w:val="00930434"/>
    <w:rsid w:val="00931261"/>
    <w:rsid w:val="00931BB9"/>
    <w:rsid w:val="00931F81"/>
    <w:rsid w:val="0093258F"/>
    <w:rsid w:val="009330B6"/>
    <w:rsid w:val="00933C4B"/>
    <w:rsid w:val="0093740E"/>
    <w:rsid w:val="0093774F"/>
    <w:rsid w:val="00937D38"/>
    <w:rsid w:val="00937F52"/>
    <w:rsid w:val="00940515"/>
    <w:rsid w:val="00940DF0"/>
    <w:rsid w:val="009412A5"/>
    <w:rsid w:val="00941BE2"/>
    <w:rsid w:val="00942847"/>
    <w:rsid w:val="00942ACE"/>
    <w:rsid w:val="0094668D"/>
    <w:rsid w:val="0094786C"/>
    <w:rsid w:val="00950EB0"/>
    <w:rsid w:val="00950F8D"/>
    <w:rsid w:val="009510C8"/>
    <w:rsid w:val="00951121"/>
    <w:rsid w:val="00951214"/>
    <w:rsid w:val="00951843"/>
    <w:rsid w:val="00951A50"/>
    <w:rsid w:val="0095262D"/>
    <w:rsid w:val="00953AC3"/>
    <w:rsid w:val="009559C1"/>
    <w:rsid w:val="00956317"/>
    <w:rsid w:val="0095699E"/>
    <w:rsid w:val="00957483"/>
    <w:rsid w:val="00957858"/>
    <w:rsid w:val="009605F6"/>
    <w:rsid w:val="00960A3C"/>
    <w:rsid w:val="00960EFA"/>
    <w:rsid w:val="00962006"/>
    <w:rsid w:val="009623F5"/>
    <w:rsid w:val="00963192"/>
    <w:rsid w:val="00963F1D"/>
    <w:rsid w:val="009640D6"/>
    <w:rsid w:val="00964521"/>
    <w:rsid w:val="00964CA2"/>
    <w:rsid w:val="00966B31"/>
    <w:rsid w:val="00966E20"/>
    <w:rsid w:val="00970060"/>
    <w:rsid w:val="009701F1"/>
    <w:rsid w:val="00970BF8"/>
    <w:rsid w:val="00970D71"/>
    <w:rsid w:val="00971516"/>
    <w:rsid w:val="009719A2"/>
    <w:rsid w:val="00972357"/>
    <w:rsid w:val="00972FB9"/>
    <w:rsid w:val="0097328E"/>
    <w:rsid w:val="0097358B"/>
    <w:rsid w:val="00974AD1"/>
    <w:rsid w:val="00974C04"/>
    <w:rsid w:val="0097546C"/>
    <w:rsid w:val="00975960"/>
    <w:rsid w:val="00975B75"/>
    <w:rsid w:val="0097639D"/>
    <w:rsid w:val="00977750"/>
    <w:rsid w:val="00980961"/>
    <w:rsid w:val="009809B8"/>
    <w:rsid w:val="00981DF0"/>
    <w:rsid w:val="00981E4B"/>
    <w:rsid w:val="00982EDB"/>
    <w:rsid w:val="0098349E"/>
    <w:rsid w:val="00984C67"/>
    <w:rsid w:val="0098583A"/>
    <w:rsid w:val="00987317"/>
    <w:rsid w:val="00990B6A"/>
    <w:rsid w:val="00991A10"/>
    <w:rsid w:val="009923DD"/>
    <w:rsid w:val="00992E75"/>
    <w:rsid w:val="009933E3"/>
    <w:rsid w:val="009935C8"/>
    <w:rsid w:val="0099419D"/>
    <w:rsid w:val="00995EB0"/>
    <w:rsid w:val="009962F6"/>
    <w:rsid w:val="00996DD1"/>
    <w:rsid w:val="009A098D"/>
    <w:rsid w:val="009A11A4"/>
    <w:rsid w:val="009A2145"/>
    <w:rsid w:val="009A3AB6"/>
    <w:rsid w:val="009A4557"/>
    <w:rsid w:val="009A4669"/>
    <w:rsid w:val="009A4850"/>
    <w:rsid w:val="009A52D0"/>
    <w:rsid w:val="009A6162"/>
    <w:rsid w:val="009A6630"/>
    <w:rsid w:val="009A6C05"/>
    <w:rsid w:val="009B052F"/>
    <w:rsid w:val="009B08B7"/>
    <w:rsid w:val="009B0955"/>
    <w:rsid w:val="009B0F86"/>
    <w:rsid w:val="009B2CAC"/>
    <w:rsid w:val="009B2F9F"/>
    <w:rsid w:val="009B3600"/>
    <w:rsid w:val="009B38C9"/>
    <w:rsid w:val="009B4357"/>
    <w:rsid w:val="009B4E5C"/>
    <w:rsid w:val="009B5B3C"/>
    <w:rsid w:val="009B5C1D"/>
    <w:rsid w:val="009B5E11"/>
    <w:rsid w:val="009B6AEC"/>
    <w:rsid w:val="009B6EE9"/>
    <w:rsid w:val="009B728D"/>
    <w:rsid w:val="009B774A"/>
    <w:rsid w:val="009B7C71"/>
    <w:rsid w:val="009C067B"/>
    <w:rsid w:val="009C0E52"/>
    <w:rsid w:val="009C1B3C"/>
    <w:rsid w:val="009C23C9"/>
    <w:rsid w:val="009C2A20"/>
    <w:rsid w:val="009C4446"/>
    <w:rsid w:val="009C4BBD"/>
    <w:rsid w:val="009C6159"/>
    <w:rsid w:val="009C6D3E"/>
    <w:rsid w:val="009C7FC5"/>
    <w:rsid w:val="009D0174"/>
    <w:rsid w:val="009D0919"/>
    <w:rsid w:val="009D171A"/>
    <w:rsid w:val="009D2CBA"/>
    <w:rsid w:val="009D369D"/>
    <w:rsid w:val="009D36B6"/>
    <w:rsid w:val="009D3DFB"/>
    <w:rsid w:val="009D4DB4"/>
    <w:rsid w:val="009D5080"/>
    <w:rsid w:val="009D5BBA"/>
    <w:rsid w:val="009D607B"/>
    <w:rsid w:val="009D6686"/>
    <w:rsid w:val="009D6C1B"/>
    <w:rsid w:val="009D6E8A"/>
    <w:rsid w:val="009D72D9"/>
    <w:rsid w:val="009E0A4F"/>
    <w:rsid w:val="009E0CEE"/>
    <w:rsid w:val="009E24CE"/>
    <w:rsid w:val="009E3875"/>
    <w:rsid w:val="009E4B00"/>
    <w:rsid w:val="009E4D53"/>
    <w:rsid w:val="009E5702"/>
    <w:rsid w:val="009E78DF"/>
    <w:rsid w:val="009E7ABF"/>
    <w:rsid w:val="009F014F"/>
    <w:rsid w:val="009F0FCC"/>
    <w:rsid w:val="009F162F"/>
    <w:rsid w:val="009F1A4A"/>
    <w:rsid w:val="009F2711"/>
    <w:rsid w:val="009F2C96"/>
    <w:rsid w:val="009F31A0"/>
    <w:rsid w:val="009F378B"/>
    <w:rsid w:val="009F3AFE"/>
    <w:rsid w:val="009F4B8C"/>
    <w:rsid w:val="009F5773"/>
    <w:rsid w:val="009F5F87"/>
    <w:rsid w:val="009F67A5"/>
    <w:rsid w:val="009F6D64"/>
    <w:rsid w:val="009F7C74"/>
    <w:rsid w:val="00A00104"/>
    <w:rsid w:val="00A02515"/>
    <w:rsid w:val="00A0279D"/>
    <w:rsid w:val="00A02CEA"/>
    <w:rsid w:val="00A02E7B"/>
    <w:rsid w:val="00A02F81"/>
    <w:rsid w:val="00A030EA"/>
    <w:rsid w:val="00A044B0"/>
    <w:rsid w:val="00A04FEB"/>
    <w:rsid w:val="00A05D42"/>
    <w:rsid w:val="00A06D03"/>
    <w:rsid w:val="00A06F5F"/>
    <w:rsid w:val="00A07102"/>
    <w:rsid w:val="00A07280"/>
    <w:rsid w:val="00A074B2"/>
    <w:rsid w:val="00A10AA7"/>
    <w:rsid w:val="00A11CC3"/>
    <w:rsid w:val="00A11CE2"/>
    <w:rsid w:val="00A11F11"/>
    <w:rsid w:val="00A12C2D"/>
    <w:rsid w:val="00A12E36"/>
    <w:rsid w:val="00A133C5"/>
    <w:rsid w:val="00A1357A"/>
    <w:rsid w:val="00A13E56"/>
    <w:rsid w:val="00A140A7"/>
    <w:rsid w:val="00A14B88"/>
    <w:rsid w:val="00A14CD6"/>
    <w:rsid w:val="00A14CEF"/>
    <w:rsid w:val="00A152D6"/>
    <w:rsid w:val="00A1532A"/>
    <w:rsid w:val="00A16B12"/>
    <w:rsid w:val="00A17D85"/>
    <w:rsid w:val="00A210FC"/>
    <w:rsid w:val="00A2170D"/>
    <w:rsid w:val="00A219F5"/>
    <w:rsid w:val="00A22E2E"/>
    <w:rsid w:val="00A2326B"/>
    <w:rsid w:val="00A235F6"/>
    <w:rsid w:val="00A2377B"/>
    <w:rsid w:val="00A242FA"/>
    <w:rsid w:val="00A24D62"/>
    <w:rsid w:val="00A2574E"/>
    <w:rsid w:val="00A25B1D"/>
    <w:rsid w:val="00A25FFE"/>
    <w:rsid w:val="00A268AB"/>
    <w:rsid w:val="00A27500"/>
    <w:rsid w:val="00A27815"/>
    <w:rsid w:val="00A30C9B"/>
    <w:rsid w:val="00A31A99"/>
    <w:rsid w:val="00A321A1"/>
    <w:rsid w:val="00A32E5A"/>
    <w:rsid w:val="00A346CE"/>
    <w:rsid w:val="00A34A09"/>
    <w:rsid w:val="00A34ABC"/>
    <w:rsid w:val="00A34EC6"/>
    <w:rsid w:val="00A354B0"/>
    <w:rsid w:val="00A3578E"/>
    <w:rsid w:val="00A37ECD"/>
    <w:rsid w:val="00A402CB"/>
    <w:rsid w:val="00A403DC"/>
    <w:rsid w:val="00A40811"/>
    <w:rsid w:val="00A415C3"/>
    <w:rsid w:val="00A426D6"/>
    <w:rsid w:val="00A43975"/>
    <w:rsid w:val="00A441A7"/>
    <w:rsid w:val="00A44398"/>
    <w:rsid w:val="00A44760"/>
    <w:rsid w:val="00A447B0"/>
    <w:rsid w:val="00A44A2D"/>
    <w:rsid w:val="00A450E5"/>
    <w:rsid w:val="00A464B0"/>
    <w:rsid w:val="00A46C68"/>
    <w:rsid w:val="00A46D6D"/>
    <w:rsid w:val="00A47272"/>
    <w:rsid w:val="00A47A81"/>
    <w:rsid w:val="00A47B29"/>
    <w:rsid w:val="00A50602"/>
    <w:rsid w:val="00A51175"/>
    <w:rsid w:val="00A51644"/>
    <w:rsid w:val="00A5384C"/>
    <w:rsid w:val="00A54209"/>
    <w:rsid w:val="00A54619"/>
    <w:rsid w:val="00A54976"/>
    <w:rsid w:val="00A5508B"/>
    <w:rsid w:val="00A55A3A"/>
    <w:rsid w:val="00A55D14"/>
    <w:rsid w:val="00A5616E"/>
    <w:rsid w:val="00A566B5"/>
    <w:rsid w:val="00A60739"/>
    <w:rsid w:val="00A60937"/>
    <w:rsid w:val="00A60FB2"/>
    <w:rsid w:val="00A611EB"/>
    <w:rsid w:val="00A61B97"/>
    <w:rsid w:val="00A626F1"/>
    <w:rsid w:val="00A62E40"/>
    <w:rsid w:val="00A65331"/>
    <w:rsid w:val="00A66475"/>
    <w:rsid w:val="00A66C52"/>
    <w:rsid w:val="00A67097"/>
    <w:rsid w:val="00A67D8A"/>
    <w:rsid w:val="00A72ADA"/>
    <w:rsid w:val="00A73B70"/>
    <w:rsid w:val="00A74834"/>
    <w:rsid w:val="00A80490"/>
    <w:rsid w:val="00A80678"/>
    <w:rsid w:val="00A810B2"/>
    <w:rsid w:val="00A8310B"/>
    <w:rsid w:val="00A8337E"/>
    <w:rsid w:val="00A84371"/>
    <w:rsid w:val="00A84680"/>
    <w:rsid w:val="00A85031"/>
    <w:rsid w:val="00A8546A"/>
    <w:rsid w:val="00A85BBD"/>
    <w:rsid w:val="00A8656E"/>
    <w:rsid w:val="00A9051D"/>
    <w:rsid w:val="00A908A6"/>
    <w:rsid w:val="00A915F8"/>
    <w:rsid w:val="00A923E4"/>
    <w:rsid w:val="00A92ECA"/>
    <w:rsid w:val="00A95221"/>
    <w:rsid w:val="00A95C8B"/>
    <w:rsid w:val="00A95E53"/>
    <w:rsid w:val="00A96977"/>
    <w:rsid w:val="00AA016D"/>
    <w:rsid w:val="00AA0B88"/>
    <w:rsid w:val="00AA0B8E"/>
    <w:rsid w:val="00AA1E9F"/>
    <w:rsid w:val="00AA2504"/>
    <w:rsid w:val="00AA261D"/>
    <w:rsid w:val="00AA2A6E"/>
    <w:rsid w:val="00AA34DB"/>
    <w:rsid w:val="00AA3892"/>
    <w:rsid w:val="00AA4344"/>
    <w:rsid w:val="00AA4822"/>
    <w:rsid w:val="00AA5E68"/>
    <w:rsid w:val="00AA6017"/>
    <w:rsid w:val="00AA70E8"/>
    <w:rsid w:val="00AA733E"/>
    <w:rsid w:val="00AA7BB6"/>
    <w:rsid w:val="00AA7FF1"/>
    <w:rsid w:val="00AB00B3"/>
    <w:rsid w:val="00AB00C9"/>
    <w:rsid w:val="00AB0897"/>
    <w:rsid w:val="00AB0C50"/>
    <w:rsid w:val="00AB0C8B"/>
    <w:rsid w:val="00AB1204"/>
    <w:rsid w:val="00AB1EE1"/>
    <w:rsid w:val="00AB2CD1"/>
    <w:rsid w:val="00AB31F0"/>
    <w:rsid w:val="00AB3599"/>
    <w:rsid w:val="00AB35BA"/>
    <w:rsid w:val="00AB4DC7"/>
    <w:rsid w:val="00AB5818"/>
    <w:rsid w:val="00AB5836"/>
    <w:rsid w:val="00AB61B8"/>
    <w:rsid w:val="00AB62FA"/>
    <w:rsid w:val="00AB663F"/>
    <w:rsid w:val="00AB68C4"/>
    <w:rsid w:val="00AB79F9"/>
    <w:rsid w:val="00AC00CB"/>
    <w:rsid w:val="00AC011B"/>
    <w:rsid w:val="00AC14AF"/>
    <w:rsid w:val="00AC17D7"/>
    <w:rsid w:val="00AC19E1"/>
    <w:rsid w:val="00AC481A"/>
    <w:rsid w:val="00AC49E2"/>
    <w:rsid w:val="00AC5429"/>
    <w:rsid w:val="00AC57D4"/>
    <w:rsid w:val="00AC6E91"/>
    <w:rsid w:val="00AD08B4"/>
    <w:rsid w:val="00AD0FBE"/>
    <w:rsid w:val="00AD16B5"/>
    <w:rsid w:val="00AD19EA"/>
    <w:rsid w:val="00AD3F7E"/>
    <w:rsid w:val="00AD4D5B"/>
    <w:rsid w:val="00AD527E"/>
    <w:rsid w:val="00AD5D74"/>
    <w:rsid w:val="00AD5F94"/>
    <w:rsid w:val="00AD63A7"/>
    <w:rsid w:val="00AE0B45"/>
    <w:rsid w:val="00AE1004"/>
    <w:rsid w:val="00AE1E19"/>
    <w:rsid w:val="00AE2BB2"/>
    <w:rsid w:val="00AE2EB5"/>
    <w:rsid w:val="00AE3278"/>
    <w:rsid w:val="00AE3533"/>
    <w:rsid w:val="00AE39ED"/>
    <w:rsid w:val="00AE3C90"/>
    <w:rsid w:val="00AE3DDC"/>
    <w:rsid w:val="00AE5B9C"/>
    <w:rsid w:val="00AE5DEC"/>
    <w:rsid w:val="00AE6040"/>
    <w:rsid w:val="00AE6F01"/>
    <w:rsid w:val="00AF0185"/>
    <w:rsid w:val="00AF02E0"/>
    <w:rsid w:val="00AF1E33"/>
    <w:rsid w:val="00AF23B5"/>
    <w:rsid w:val="00AF26A8"/>
    <w:rsid w:val="00AF2DE0"/>
    <w:rsid w:val="00AF4643"/>
    <w:rsid w:val="00AF49BA"/>
    <w:rsid w:val="00AF4A15"/>
    <w:rsid w:val="00AF5C5E"/>
    <w:rsid w:val="00B0030F"/>
    <w:rsid w:val="00B02800"/>
    <w:rsid w:val="00B03AAE"/>
    <w:rsid w:val="00B03D39"/>
    <w:rsid w:val="00B03E67"/>
    <w:rsid w:val="00B04EAC"/>
    <w:rsid w:val="00B05143"/>
    <w:rsid w:val="00B057CB"/>
    <w:rsid w:val="00B05A26"/>
    <w:rsid w:val="00B06459"/>
    <w:rsid w:val="00B06B7D"/>
    <w:rsid w:val="00B06CE9"/>
    <w:rsid w:val="00B071E2"/>
    <w:rsid w:val="00B0742B"/>
    <w:rsid w:val="00B0770C"/>
    <w:rsid w:val="00B07861"/>
    <w:rsid w:val="00B1029F"/>
    <w:rsid w:val="00B10957"/>
    <w:rsid w:val="00B10D1B"/>
    <w:rsid w:val="00B11396"/>
    <w:rsid w:val="00B116D7"/>
    <w:rsid w:val="00B1190A"/>
    <w:rsid w:val="00B12EFA"/>
    <w:rsid w:val="00B12F70"/>
    <w:rsid w:val="00B1394F"/>
    <w:rsid w:val="00B145CA"/>
    <w:rsid w:val="00B148D2"/>
    <w:rsid w:val="00B15EDB"/>
    <w:rsid w:val="00B163E5"/>
    <w:rsid w:val="00B16633"/>
    <w:rsid w:val="00B16B2A"/>
    <w:rsid w:val="00B16C4F"/>
    <w:rsid w:val="00B1747D"/>
    <w:rsid w:val="00B203EC"/>
    <w:rsid w:val="00B20AC8"/>
    <w:rsid w:val="00B21A19"/>
    <w:rsid w:val="00B22470"/>
    <w:rsid w:val="00B256CF"/>
    <w:rsid w:val="00B26171"/>
    <w:rsid w:val="00B26525"/>
    <w:rsid w:val="00B26676"/>
    <w:rsid w:val="00B2694C"/>
    <w:rsid w:val="00B26B16"/>
    <w:rsid w:val="00B26EE7"/>
    <w:rsid w:val="00B27EBB"/>
    <w:rsid w:val="00B30402"/>
    <w:rsid w:val="00B31429"/>
    <w:rsid w:val="00B315EF"/>
    <w:rsid w:val="00B31E5D"/>
    <w:rsid w:val="00B34641"/>
    <w:rsid w:val="00B34DCF"/>
    <w:rsid w:val="00B34F4F"/>
    <w:rsid w:val="00B357DF"/>
    <w:rsid w:val="00B3586F"/>
    <w:rsid w:val="00B36AC4"/>
    <w:rsid w:val="00B400BA"/>
    <w:rsid w:val="00B4096F"/>
    <w:rsid w:val="00B40C30"/>
    <w:rsid w:val="00B40D1F"/>
    <w:rsid w:val="00B40F6C"/>
    <w:rsid w:val="00B4139D"/>
    <w:rsid w:val="00B41773"/>
    <w:rsid w:val="00B4188D"/>
    <w:rsid w:val="00B41DE9"/>
    <w:rsid w:val="00B41EAF"/>
    <w:rsid w:val="00B41EBA"/>
    <w:rsid w:val="00B42383"/>
    <w:rsid w:val="00B434C4"/>
    <w:rsid w:val="00B441E0"/>
    <w:rsid w:val="00B453A2"/>
    <w:rsid w:val="00B458E5"/>
    <w:rsid w:val="00B46C4C"/>
    <w:rsid w:val="00B46EA7"/>
    <w:rsid w:val="00B516EE"/>
    <w:rsid w:val="00B53CC6"/>
    <w:rsid w:val="00B53EF9"/>
    <w:rsid w:val="00B53FB2"/>
    <w:rsid w:val="00B540ED"/>
    <w:rsid w:val="00B57A14"/>
    <w:rsid w:val="00B62B10"/>
    <w:rsid w:val="00B62C5A"/>
    <w:rsid w:val="00B62C5D"/>
    <w:rsid w:val="00B62FE5"/>
    <w:rsid w:val="00B638D8"/>
    <w:rsid w:val="00B63D45"/>
    <w:rsid w:val="00B643D1"/>
    <w:rsid w:val="00B64DBD"/>
    <w:rsid w:val="00B64F05"/>
    <w:rsid w:val="00B6506A"/>
    <w:rsid w:val="00B65112"/>
    <w:rsid w:val="00B65544"/>
    <w:rsid w:val="00B65D12"/>
    <w:rsid w:val="00B662A3"/>
    <w:rsid w:val="00B66D61"/>
    <w:rsid w:val="00B66FC1"/>
    <w:rsid w:val="00B67ABB"/>
    <w:rsid w:val="00B67F1E"/>
    <w:rsid w:val="00B729AE"/>
    <w:rsid w:val="00B73559"/>
    <w:rsid w:val="00B74638"/>
    <w:rsid w:val="00B7488E"/>
    <w:rsid w:val="00B75098"/>
    <w:rsid w:val="00B75C34"/>
    <w:rsid w:val="00B76652"/>
    <w:rsid w:val="00B76A70"/>
    <w:rsid w:val="00B76B79"/>
    <w:rsid w:val="00B76EAB"/>
    <w:rsid w:val="00B772F6"/>
    <w:rsid w:val="00B7733F"/>
    <w:rsid w:val="00B7772D"/>
    <w:rsid w:val="00B77998"/>
    <w:rsid w:val="00B808D0"/>
    <w:rsid w:val="00B80B25"/>
    <w:rsid w:val="00B813C3"/>
    <w:rsid w:val="00B8295D"/>
    <w:rsid w:val="00B82A62"/>
    <w:rsid w:val="00B82EBB"/>
    <w:rsid w:val="00B82F85"/>
    <w:rsid w:val="00B834C6"/>
    <w:rsid w:val="00B83C42"/>
    <w:rsid w:val="00B862BE"/>
    <w:rsid w:val="00B868CD"/>
    <w:rsid w:val="00B87306"/>
    <w:rsid w:val="00B878BE"/>
    <w:rsid w:val="00B92072"/>
    <w:rsid w:val="00B928C9"/>
    <w:rsid w:val="00B93917"/>
    <w:rsid w:val="00B940B3"/>
    <w:rsid w:val="00B942A3"/>
    <w:rsid w:val="00B95707"/>
    <w:rsid w:val="00B958F7"/>
    <w:rsid w:val="00B95D4B"/>
    <w:rsid w:val="00BA064A"/>
    <w:rsid w:val="00BA198A"/>
    <w:rsid w:val="00BA1A24"/>
    <w:rsid w:val="00BA1F0D"/>
    <w:rsid w:val="00BA24DF"/>
    <w:rsid w:val="00BA2688"/>
    <w:rsid w:val="00BA2B52"/>
    <w:rsid w:val="00BA2D52"/>
    <w:rsid w:val="00BA38A1"/>
    <w:rsid w:val="00BA3F58"/>
    <w:rsid w:val="00BA586A"/>
    <w:rsid w:val="00BB04C0"/>
    <w:rsid w:val="00BB0919"/>
    <w:rsid w:val="00BB446A"/>
    <w:rsid w:val="00BB4BC0"/>
    <w:rsid w:val="00BB5B71"/>
    <w:rsid w:val="00BB5DA2"/>
    <w:rsid w:val="00BB6E43"/>
    <w:rsid w:val="00BB6F87"/>
    <w:rsid w:val="00BB6FDA"/>
    <w:rsid w:val="00BB7069"/>
    <w:rsid w:val="00BC0729"/>
    <w:rsid w:val="00BC1FE1"/>
    <w:rsid w:val="00BC2358"/>
    <w:rsid w:val="00BC23F1"/>
    <w:rsid w:val="00BC38D5"/>
    <w:rsid w:val="00BC5174"/>
    <w:rsid w:val="00BC6827"/>
    <w:rsid w:val="00BD1033"/>
    <w:rsid w:val="00BD18C4"/>
    <w:rsid w:val="00BD2821"/>
    <w:rsid w:val="00BD2B4B"/>
    <w:rsid w:val="00BD3C3D"/>
    <w:rsid w:val="00BD4002"/>
    <w:rsid w:val="00BD49FB"/>
    <w:rsid w:val="00BD562B"/>
    <w:rsid w:val="00BD698E"/>
    <w:rsid w:val="00BE00A4"/>
    <w:rsid w:val="00BE0513"/>
    <w:rsid w:val="00BE1978"/>
    <w:rsid w:val="00BE220C"/>
    <w:rsid w:val="00BE2F8A"/>
    <w:rsid w:val="00BE481D"/>
    <w:rsid w:val="00BE62AC"/>
    <w:rsid w:val="00BE6511"/>
    <w:rsid w:val="00BE6F6D"/>
    <w:rsid w:val="00BE7F6D"/>
    <w:rsid w:val="00BF0197"/>
    <w:rsid w:val="00BF0765"/>
    <w:rsid w:val="00BF26AD"/>
    <w:rsid w:val="00BF2822"/>
    <w:rsid w:val="00BF301D"/>
    <w:rsid w:val="00BF4FD2"/>
    <w:rsid w:val="00BF5829"/>
    <w:rsid w:val="00BF5840"/>
    <w:rsid w:val="00BF5D45"/>
    <w:rsid w:val="00BF66C9"/>
    <w:rsid w:val="00BF7BD6"/>
    <w:rsid w:val="00BF7C64"/>
    <w:rsid w:val="00BF7DF5"/>
    <w:rsid w:val="00BF7DFC"/>
    <w:rsid w:val="00C000EF"/>
    <w:rsid w:val="00C01C6F"/>
    <w:rsid w:val="00C02DDA"/>
    <w:rsid w:val="00C03232"/>
    <w:rsid w:val="00C03448"/>
    <w:rsid w:val="00C03780"/>
    <w:rsid w:val="00C044DE"/>
    <w:rsid w:val="00C04728"/>
    <w:rsid w:val="00C05125"/>
    <w:rsid w:val="00C058DE"/>
    <w:rsid w:val="00C06E66"/>
    <w:rsid w:val="00C0709A"/>
    <w:rsid w:val="00C076E2"/>
    <w:rsid w:val="00C07941"/>
    <w:rsid w:val="00C104C1"/>
    <w:rsid w:val="00C109B8"/>
    <w:rsid w:val="00C11ACB"/>
    <w:rsid w:val="00C131EB"/>
    <w:rsid w:val="00C133A4"/>
    <w:rsid w:val="00C135A7"/>
    <w:rsid w:val="00C13F57"/>
    <w:rsid w:val="00C149BD"/>
    <w:rsid w:val="00C14FF7"/>
    <w:rsid w:val="00C15B09"/>
    <w:rsid w:val="00C171BA"/>
    <w:rsid w:val="00C21122"/>
    <w:rsid w:val="00C21151"/>
    <w:rsid w:val="00C21775"/>
    <w:rsid w:val="00C2262E"/>
    <w:rsid w:val="00C23821"/>
    <w:rsid w:val="00C242C1"/>
    <w:rsid w:val="00C24FC1"/>
    <w:rsid w:val="00C24FDF"/>
    <w:rsid w:val="00C25814"/>
    <w:rsid w:val="00C26FF0"/>
    <w:rsid w:val="00C2733E"/>
    <w:rsid w:val="00C273F7"/>
    <w:rsid w:val="00C274EE"/>
    <w:rsid w:val="00C27756"/>
    <w:rsid w:val="00C278E9"/>
    <w:rsid w:val="00C27CC1"/>
    <w:rsid w:val="00C30143"/>
    <w:rsid w:val="00C304C3"/>
    <w:rsid w:val="00C30BD8"/>
    <w:rsid w:val="00C30E8F"/>
    <w:rsid w:val="00C31103"/>
    <w:rsid w:val="00C3123C"/>
    <w:rsid w:val="00C31833"/>
    <w:rsid w:val="00C31F8E"/>
    <w:rsid w:val="00C323C9"/>
    <w:rsid w:val="00C32994"/>
    <w:rsid w:val="00C32EA5"/>
    <w:rsid w:val="00C3446C"/>
    <w:rsid w:val="00C3520D"/>
    <w:rsid w:val="00C358B6"/>
    <w:rsid w:val="00C35B6F"/>
    <w:rsid w:val="00C3684D"/>
    <w:rsid w:val="00C36A47"/>
    <w:rsid w:val="00C375FB"/>
    <w:rsid w:val="00C404C3"/>
    <w:rsid w:val="00C413AF"/>
    <w:rsid w:val="00C423A2"/>
    <w:rsid w:val="00C42FDB"/>
    <w:rsid w:val="00C43EB6"/>
    <w:rsid w:val="00C43F4C"/>
    <w:rsid w:val="00C44268"/>
    <w:rsid w:val="00C44963"/>
    <w:rsid w:val="00C44DED"/>
    <w:rsid w:val="00C44E66"/>
    <w:rsid w:val="00C4563E"/>
    <w:rsid w:val="00C45739"/>
    <w:rsid w:val="00C45C70"/>
    <w:rsid w:val="00C47477"/>
    <w:rsid w:val="00C47E7A"/>
    <w:rsid w:val="00C53921"/>
    <w:rsid w:val="00C53D3F"/>
    <w:rsid w:val="00C53F34"/>
    <w:rsid w:val="00C54DEA"/>
    <w:rsid w:val="00C55EA5"/>
    <w:rsid w:val="00C56CED"/>
    <w:rsid w:val="00C56D08"/>
    <w:rsid w:val="00C56E75"/>
    <w:rsid w:val="00C57862"/>
    <w:rsid w:val="00C605D9"/>
    <w:rsid w:val="00C61556"/>
    <w:rsid w:val="00C61CDB"/>
    <w:rsid w:val="00C61DD9"/>
    <w:rsid w:val="00C61F79"/>
    <w:rsid w:val="00C64091"/>
    <w:rsid w:val="00C641F2"/>
    <w:rsid w:val="00C643FE"/>
    <w:rsid w:val="00C6465E"/>
    <w:rsid w:val="00C65271"/>
    <w:rsid w:val="00C653A8"/>
    <w:rsid w:val="00C65491"/>
    <w:rsid w:val="00C65E6A"/>
    <w:rsid w:val="00C672CF"/>
    <w:rsid w:val="00C67460"/>
    <w:rsid w:val="00C67801"/>
    <w:rsid w:val="00C701CE"/>
    <w:rsid w:val="00C70343"/>
    <w:rsid w:val="00C70409"/>
    <w:rsid w:val="00C7282D"/>
    <w:rsid w:val="00C73796"/>
    <w:rsid w:val="00C745E7"/>
    <w:rsid w:val="00C752A7"/>
    <w:rsid w:val="00C7551F"/>
    <w:rsid w:val="00C75B83"/>
    <w:rsid w:val="00C765F6"/>
    <w:rsid w:val="00C77BB0"/>
    <w:rsid w:val="00C80A28"/>
    <w:rsid w:val="00C80B01"/>
    <w:rsid w:val="00C81089"/>
    <w:rsid w:val="00C810C1"/>
    <w:rsid w:val="00C812E1"/>
    <w:rsid w:val="00C82679"/>
    <w:rsid w:val="00C831A4"/>
    <w:rsid w:val="00C83E7E"/>
    <w:rsid w:val="00C841F0"/>
    <w:rsid w:val="00C84797"/>
    <w:rsid w:val="00C85192"/>
    <w:rsid w:val="00C85C14"/>
    <w:rsid w:val="00C85E3B"/>
    <w:rsid w:val="00C8601F"/>
    <w:rsid w:val="00C865C3"/>
    <w:rsid w:val="00C86B5E"/>
    <w:rsid w:val="00C87A76"/>
    <w:rsid w:val="00C87AA4"/>
    <w:rsid w:val="00C87C2A"/>
    <w:rsid w:val="00C90591"/>
    <w:rsid w:val="00C9170A"/>
    <w:rsid w:val="00C921FE"/>
    <w:rsid w:val="00C9223D"/>
    <w:rsid w:val="00C92568"/>
    <w:rsid w:val="00C92CEA"/>
    <w:rsid w:val="00C95297"/>
    <w:rsid w:val="00C95328"/>
    <w:rsid w:val="00C9535E"/>
    <w:rsid w:val="00C9586A"/>
    <w:rsid w:val="00C9636F"/>
    <w:rsid w:val="00C96FB6"/>
    <w:rsid w:val="00C97710"/>
    <w:rsid w:val="00C977C1"/>
    <w:rsid w:val="00C979B8"/>
    <w:rsid w:val="00C97D5C"/>
    <w:rsid w:val="00C97EEC"/>
    <w:rsid w:val="00CA000F"/>
    <w:rsid w:val="00CA05C7"/>
    <w:rsid w:val="00CA0D31"/>
    <w:rsid w:val="00CA1188"/>
    <w:rsid w:val="00CA11D3"/>
    <w:rsid w:val="00CA241D"/>
    <w:rsid w:val="00CA2762"/>
    <w:rsid w:val="00CA3E91"/>
    <w:rsid w:val="00CA5244"/>
    <w:rsid w:val="00CA543A"/>
    <w:rsid w:val="00CA5475"/>
    <w:rsid w:val="00CA5E32"/>
    <w:rsid w:val="00CA635E"/>
    <w:rsid w:val="00CB0267"/>
    <w:rsid w:val="00CB098E"/>
    <w:rsid w:val="00CB31EC"/>
    <w:rsid w:val="00CB335B"/>
    <w:rsid w:val="00CB3945"/>
    <w:rsid w:val="00CB4006"/>
    <w:rsid w:val="00CB4A81"/>
    <w:rsid w:val="00CB4B02"/>
    <w:rsid w:val="00CB51CA"/>
    <w:rsid w:val="00CB566E"/>
    <w:rsid w:val="00CB62E8"/>
    <w:rsid w:val="00CB630E"/>
    <w:rsid w:val="00CB658C"/>
    <w:rsid w:val="00CB6ED6"/>
    <w:rsid w:val="00CB721A"/>
    <w:rsid w:val="00CB7791"/>
    <w:rsid w:val="00CB783C"/>
    <w:rsid w:val="00CC19C7"/>
    <w:rsid w:val="00CC2BFA"/>
    <w:rsid w:val="00CC444A"/>
    <w:rsid w:val="00CC58D4"/>
    <w:rsid w:val="00CC61D0"/>
    <w:rsid w:val="00CC65E3"/>
    <w:rsid w:val="00CC7328"/>
    <w:rsid w:val="00CC76E2"/>
    <w:rsid w:val="00CD0440"/>
    <w:rsid w:val="00CD08A2"/>
    <w:rsid w:val="00CD24B8"/>
    <w:rsid w:val="00CD3212"/>
    <w:rsid w:val="00CD3A0F"/>
    <w:rsid w:val="00CD3DEA"/>
    <w:rsid w:val="00CD51B2"/>
    <w:rsid w:val="00CD569A"/>
    <w:rsid w:val="00CD5E3E"/>
    <w:rsid w:val="00CD65FA"/>
    <w:rsid w:val="00CD6C13"/>
    <w:rsid w:val="00CD6DE4"/>
    <w:rsid w:val="00CE000B"/>
    <w:rsid w:val="00CE09E5"/>
    <w:rsid w:val="00CE0E46"/>
    <w:rsid w:val="00CE0F4F"/>
    <w:rsid w:val="00CE143F"/>
    <w:rsid w:val="00CE1C37"/>
    <w:rsid w:val="00CE1FE0"/>
    <w:rsid w:val="00CE260B"/>
    <w:rsid w:val="00CE3117"/>
    <w:rsid w:val="00CE3219"/>
    <w:rsid w:val="00CE3446"/>
    <w:rsid w:val="00CE36B9"/>
    <w:rsid w:val="00CE3A79"/>
    <w:rsid w:val="00CE43D2"/>
    <w:rsid w:val="00CE4B68"/>
    <w:rsid w:val="00CE4D15"/>
    <w:rsid w:val="00CE5AAC"/>
    <w:rsid w:val="00CE607B"/>
    <w:rsid w:val="00CE61C4"/>
    <w:rsid w:val="00CE61FF"/>
    <w:rsid w:val="00CE7F41"/>
    <w:rsid w:val="00CE7F97"/>
    <w:rsid w:val="00CF1C9E"/>
    <w:rsid w:val="00CF2108"/>
    <w:rsid w:val="00CF2560"/>
    <w:rsid w:val="00CF3CFC"/>
    <w:rsid w:val="00CF41B1"/>
    <w:rsid w:val="00CF4589"/>
    <w:rsid w:val="00CF48C5"/>
    <w:rsid w:val="00CF508F"/>
    <w:rsid w:val="00CF5331"/>
    <w:rsid w:val="00CF54E2"/>
    <w:rsid w:val="00CF637F"/>
    <w:rsid w:val="00CF7152"/>
    <w:rsid w:val="00D001A8"/>
    <w:rsid w:val="00D002B0"/>
    <w:rsid w:val="00D01420"/>
    <w:rsid w:val="00D017BE"/>
    <w:rsid w:val="00D01E26"/>
    <w:rsid w:val="00D0272D"/>
    <w:rsid w:val="00D029C5"/>
    <w:rsid w:val="00D03EAE"/>
    <w:rsid w:val="00D0402B"/>
    <w:rsid w:val="00D04914"/>
    <w:rsid w:val="00D04C8F"/>
    <w:rsid w:val="00D04F0C"/>
    <w:rsid w:val="00D05861"/>
    <w:rsid w:val="00D06480"/>
    <w:rsid w:val="00D06A2E"/>
    <w:rsid w:val="00D07D4F"/>
    <w:rsid w:val="00D10C8E"/>
    <w:rsid w:val="00D1183D"/>
    <w:rsid w:val="00D12C9A"/>
    <w:rsid w:val="00D13368"/>
    <w:rsid w:val="00D13629"/>
    <w:rsid w:val="00D14377"/>
    <w:rsid w:val="00D14527"/>
    <w:rsid w:val="00D15767"/>
    <w:rsid w:val="00D15A4B"/>
    <w:rsid w:val="00D16525"/>
    <w:rsid w:val="00D16652"/>
    <w:rsid w:val="00D17131"/>
    <w:rsid w:val="00D17226"/>
    <w:rsid w:val="00D17275"/>
    <w:rsid w:val="00D20CB0"/>
    <w:rsid w:val="00D20DFF"/>
    <w:rsid w:val="00D228FB"/>
    <w:rsid w:val="00D2346B"/>
    <w:rsid w:val="00D23BBD"/>
    <w:rsid w:val="00D24934"/>
    <w:rsid w:val="00D2586B"/>
    <w:rsid w:val="00D271A5"/>
    <w:rsid w:val="00D27356"/>
    <w:rsid w:val="00D27B3C"/>
    <w:rsid w:val="00D303C0"/>
    <w:rsid w:val="00D3094A"/>
    <w:rsid w:val="00D31836"/>
    <w:rsid w:val="00D328DE"/>
    <w:rsid w:val="00D32C12"/>
    <w:rsid w:val="00D3334F"/>
    <w:rsid w:val="00D34494"/>
    <w:rsid w:val="00D3547F"/>
    <w:rsid w:val="00D3696F"/>
    <w:rsid w:val="00D36DE8"/>
    <w:rsid w:val="00D3775D"/>
    <w:rsid w:val="00D37EC5"/>
    <w:rsid w:val="00D41551"/>
    <w:rsid w:val="00D43585"/>
    <w:rsid w:val="00D43DE6"/>
    <w:rsid w:val="00D43F0F"/>
    <w:rsid w:val="00D44933"/>
    <w:rsid w:val="00D45221"/>
    <w:rsid w:val="00D45424"/>
    <w:rsid w:val="00D45722"/>
    <w:rsid w:val="00D46342"/>
    <w:rsid w:val="00D46498"/>
    <w:rsid w:val="00D46B1F"/>
    <w:rsid w:val="00D475BC"/>
    <w:rsid w:val="00D47CB1"/>
    <w:rsid w:val="00D47D3D"/>
    <w:rsid w:val="00D50818"/>
    <w:rsid w:val="00D511D5"/>
    <w:rsid w:val="00D55086"/>
    <w:rsid w:val="00D5543D"/>
    <w:rsid w:val="00D561CC"/>
    <w:rsid w:val="00D57785"/>
    <w:rsid w:val="00D60C3C"/>
    <w:rsid w:val="00D60C3D"/>
    <w:rsid w:val="00D60D8A"/>
    <w:rsid w:val="00D6187D"/>
    <w:rsid w:val="00D61945"/>
    <w:rsid w:val="00D61DF5"/>
    <w:rsid w:val="00D62B4B"/>
    <w:rsid w:val="00D648DF"/>
    <w:rsid w:val="00D64E99"/>
    <w:rsid w:val="00D655B8"/>
    <w:rsid w:val="00D65962"/>
    <w:rsid w:val="00D6746D"/>
    <w:rsid w:val="00D67F13"/>
    <w:rsid w:val="00D701E9"/>
    <w:rsid w:val="00D704CE"/>
    <w:rsid w:val="00D70BD5"/>
    <w:rsid w:val="00D70D28"/>
    <w:rsid w:val="00D71DD7"/>
    <w:rsid w:val="00D72BA9"/>
    <w:rsid w:val="00D73079"/>
    <w:rsid w:val="00D733BD"/>
    <w:rsid w:val="00D7358F"/>
    <w:rsid w:val="00D736CE"/>
    <w:rsid w:val="00D73DBB"/>
    <w:rsid w:val="00D73DCA"/>
    <w:rsid w:val="00D74033"/>
    <w:rsid w:val="00D74856"/>
    <w:rsid w:val="00D7499A"/>
    <w:rsid w:val="00D749C3"/>
    <w:rsid w:val="00D7549F"/>
    <w:rsid w:val="00D758EA"/>
    <w:rsid w:val="00D75AB3"/>
    <w:rsid w:val="00D76032"/>
    <w:rsid w:val="00D76BCD"/>
    <w:rsid w:val="00D76F29"/>
    <w:rsid w:val="00D80022"/>
    <w:rsid w:val="00D818AC"/>
    <w:rsid w:val="00D82319"/>
    <w:rsid w:val="00D835B4"/>
    <w:rsid w:val="00D83726"/>
    <w:rsid w:val="00D84360"/>
    <w:rsid w:val="00D8507D"/>
    <w:rsid w:val="00D8555D"/>
    <w:rsid w:val="00D864F7"/>
    <w:rsid w:val="00D86E29"/>
    <w:rsid w:val="00D87618"/>
    <w:rsid w:val="00D87D07"/>
    <w:rsid w:val="00D9181D"/>
    <w:rsid w:val="00D91A78"/>
    <w:rsid w:val="00D91D38"/>
    <w:rsid w:val="00D91DD6"/>
    <w:rsid w:val="00D92C28"/>
    <w:rsid w:val="00D95432"/>
    <w:rsid w:val="00D95C64"/>
    <w:rsid w:val="00D97925"/>
    <w:rsid w:val="00DA06AE"/>
    <w:rsid w:val="00DA0D1B"/>
    <w:rsid w:val="00DA1529"/>
    <w:rsid w:val="00DA1547"/>
    <w:rsid w:val="00DA1DF9"/>
    <w:rsid w:val="00DA3CA0"/>
    <w:rsid w:val="00DA3D26"/>
    <w:rsid w:val="00DA3D44"/>
    <w:rsid w:val="00DA3E25"/>
    <w:rsid w:val="00DA4CB7"/>
    <w:rsid w:val="00DA59F5"/>
    <w:rsid w:val="00DA6BE5"/>
    <w:rsid w:val="00DB0827"/>
    <w:rsid w:val="00DB19E5"/>
    <w:rsid w:val="00DB272F"/>
    <w:rsid w:val="00DB298F"/>
    <w:rsid w:val="00DB29B7"/>
    <w:rsid w:val="00DB2AB2"/>
    <w:rsid w:val="00DB3A2E"/>
    <w:rsid w:val="00DB55C7"/>
    <w:rsid w:val="00DB5DC6"/>
    <w:rsid w:val="00DB5F25"/>
    <w:rsid w:val="00DB617E"/>
    <w:rsid w:val="00DC05AF"/>
    <w:rsid w:val="00DC0E76"/>
    <w:rsid w:val="00DC0FFF"/>
    <w:rsid w:val="00DC13BA"/>
    <w:rsid w:val="00DC1795"/>
    <w:rsid w:val="00DC185D"/>
    <w:rsid w:val="00DC1EDA"/>
    <w:rsid w:val="00DC2280"/>
    <w:rsid w:val="00DC2392"/>
    <w:rsid w:val="00DC2804"/>
    <w:rsid w:val="00DC2E1B"/>
    <w:rsid w:val="00DC442E"/>
    <w:rsid w:val="00DC54A5"/>
    <w:rsid w:val="00DC72BB"/>
    <w:rsid w:val="00DC744E"/>
    <w:rsid w:val="00DC786E"/>
    <w:rsid w:val="00DD09DE"/>
    <w:rsid w:val="00DD1574"/>
    <w:rsid w:val="00DD1C7A"/>
    <w:rsid w:val="00DD20D9"/>
    <w:rsid w:val="00DD2471"/>
    <w:rsid w:val="00DD35C1"/>
    <w:rsid w:val="00DD3D38"/>
    <w:rsid w:val="00DD4EC9"/>
    <w:rsid w:val="00DD503E"/>
    <w:rsid w:val="00DD5969"/>
    <w:rsid w:val="00DD6889"/>
    <w:rsid w:val="00DD7014"/>
    <w:rsid w:val="00DD73AF"/>
    <w:rsid w:val="00DD7492"/>
    <w:rsid w:val="00DE04BB"/>
    <w:rsid w:val="00DE0D00"/>
    <w:rsid w:val="00DE24ED"/>
    <w:rsid w:val="00DE2E42"/>
    <w:rsid w:val="00DE31F0"/>
    <w:rsid w:val="00DE3556"/>
    <w:rsid w:val="00DE3A4A"/>
    <w:rsid w:val="00DE50B3"/>
    <w:rsid w:val="00DE519E"/>
    <w:rsid w:val="00DE5726"/>
    <w:rsid w:val="00DE5EC3"/>
    <w:rsid w:val="00DE78E2"/>
    <w:rsid w:val="00DE7DDC"/>
    <w:rsid w:val="00DF05BB"/>
    <w:rsid w:val="00DF1501"/>
    <w:rsid w:val="00DF241C"/>
    <w:rsid w:val="00DF2E0A"/>
    <w:rsid w:val="00DF3638"/>
    <w:rsid w:val="00DF3833"/>
    <w:rsid w:val="00DF3C53"/>
    <w:rsid w:val="00DF5E66"/>
    <w:rsid w:val="00DF72A1"/>
    <w:rsid w:val="00DF74D4"/>
    <w:rsid w:val="00DF74E1"/>
    <w:rsid w:val="00DF75D3"/>
    <w:rsid w:val="00DF7E09"/>
    <w:rsid w:val="00E01558"/>
    <w:rsid w:val="00E015DC"/>
    <w:rsid w:val="00E01ED0"/>
    <w:rsid w:val="00E023CE"/>
    <w:rsid w:val="00E02E75"/>
    <w:rsid w:val="00E03F29"/>
    <w:rsid w:val="00E04A9E"/>
    <w:rsid w:val="00E04E98"/>
    <w:rsid w:val="00E0567F"/>
    <w:rsid w:val="00E056AB"/>
    <w:rsid w:val="00E06CCC"/>
    <w:rsid w:val="00E072C6"/>
    <w:rsid w:val="00E10800"/>
    <w:rsid w:val="00E11CED"/>
    <w:rsid w:val="00E126F7"/>
    <w:rsid w:val="00E13886"/>
    <w:rsid w:val="00E13A47"/>
    <w:rsid w:val="00E13D58"/>
    <w:rsid w:val="00E1500B"/>
    <w:rsid w:val="00E15018"/>
    <w:rsid w:val="00E16BF4"/>
    <w:rsid w:val="00E1702C"/>
    <w:rsid w:val="00E1733D"/>
    <w:rsid w:val="00E2035C"/>
    <w:rsid w:val="00E20A28"/>
    <w:rsid w:val="00E223D6"/>
    <w:rsid w:val="00E2267D"/>
    <w:rsid w:val="00E23099"/>
    <w:rsid w:val="00E2331F"/>
    <w:rsid w:val="00E23740"/>
    <w:rsid w:val="00E23B80"/>
    <w:rsid w:val="00E245E5"/>
    <w:rsid w:val="00E24AC2"/>
    <w:rsid w:val="00E24B38"/>
    <w:rsid w:val="00E24D95"/>
    <w:rsid w:val="00E3106A"/>
    <w:rsid w:val="00E32797"/>
    <w:rsid w:val="00E337AB"/>
    <w:rsid w:val="00E3384F"/>
    <w:rsid w:val="00E3406A"/>
    <w:rsid w:val="00E34BCE"/>
    <w:rsid w:val="00E34FED"/>
    <w:rsid w:val="00E35ADA"/>
    <w:rsid w:val="00E35F4B"/>
    <w:rsid w:val="00E36441"/>
    <w:rsid w:val="00E36555"/>
    <w:rsid w:val="00E37C19"/>
    <w:rsid w:val="00E37C70"/>
    <w:rsid w:val="00E40068"/>
    <w:rsid w:val="00E411AE"/>
    <w:rsid w:val="00E42705"/>
    <w:rsid w:val="00E43A43"/>
    <w:rsid w:val="00E44BCD"/>
    <w:rsid w:val="00E44EA9"/>
    <w:rsid w:val="00E4663B"/>
    <w:rsid w:val="00E47FB6"/>
    <w:rsid w:val="00E51755"/>
    <w:rsid w:val="00E52037"/>
    <w:rsid w:val="00E525B7"/>
    <w:rsid w:val="00E52B11"/>
    <w:rsid w:val="00E536C5"/>
    <w:rsid w:val="00E5400E"/>
    <w:rsid w:val="00E54AAC"/>
    <w:rsid w:val="00E54D3B"/>
    <w:rsid w:val="00E55E7B"/>
    <w:rsid w:val="00E569F3"/>
    <w:rsid w:val="00E56A3A"/>
    <w:rsid w:val="00E5708C"/>
    <w:rsid w:val="00E60213"/>
    <w:rsid w:val="00E60B9C"/>
    <w:rsid w:val="00E60FCE"/>
    <w:rsid w:val="00E61764"/>
    <w:rsid w:val="00E61A9A"/>
    <w:rsid w:val="00E62E51"/>
    <w:rsid w:val="00E6306E"/>
    <w:rsid w:val="00E633D2"/>
    <w:rsid w:val="00E65A82"/>
    <w:rsid w:val="00E65E71"/>
    <w:rsid w:val="00E67972"/>
    <w:rsid w:val="00E67F8B"/>
    <w:rsid w:val="00E70D14"/>
    <w:rsid w:val="00E70E3F"/>
    <w:rsid w:val="00E70F85"/>
    <w:rsid w:val="00E711DA"/>
    <w:rsid w:val="00E717DD"/>
    <w:rsid w:val="00E73BFF"/>
    <w:rsid w:val="00E743BD"/>
    <w:rsid w:val="00E746C9"/>
    <w:rsid w:val="00E74891"/>
    <w:rsid w:val="00E7527D"/>
    <w:rsid w:val="00E7543D"/>
    <w:rsid w:val="00E76543"/>
    <w:rsid w:val="00E769A0"/>
    <w:rsid w:val="00E77391"/>
    <w:rsid w:val="00E7781F"/>
    <w:rsid w:val="00E77955"/>
    <w:rsid w:val="00E801F3"/>
    <w:rsid w:val="00E80A2F"/>
    <w:rsid w:val="00E814CC"/>
    <w:rsid w:val="00E81C03"/>
    <w:rsid w:val="00E825AC"/>
    <w:rsid w:val="00E82885"/>
    <w:rsid w:val="00E82EE4"/>
    <w:rsid w:val="00E83A12"/>
    <w:rsid w:val="00E84EB0"/>
    <w:rsid w:val="00E856A9"/>
    <w:rsid w:val="00E859CA"/>
    <w:rsid w:val="00E85C09"/>
    <w:rsid w:val="00E8759E"/>
    <w:rsid w:val="00E87652"/>
    <w:rsid w:val="00E87DF4"/>
    <w:rsid w:val="00E90655"/>
    <w:rsid w:val="00E90B9A"/>
    <w:rsid w:val="00E91864"/>
    <w:rsid w:val="00E91D94"/>
    <w:rsid w:val="00E92A4C"/>
    <w:rsid w:val="00E92BFD"/>
    <w:rsid w:val="00E94176"/>
    <w:rsid w:val="00E941E8"/>
    <w:rsid w:val="00E947AA"/>
    <w:rsid w:val="00E953F3"/>
    <w:rsid w:val="00E95A20"/>
    <w:rsid w:val="00E95F5B"/>
    <w:rsid w:val="00E96207"/>
    <w:rsid w:val="00E96220"/>
    <w:rsid w:val="00E966B6"/>
    <w:rsid w:val="00E9732D"/>
    <w:rsid w:val="00EA091B"/>
    <w:rsid w:val="00EA1223"/>
    <w:rsid w:val="00EA13B7"/>
    <w:rsid w:val="00EA1A8D"/>
    <w:rsid w:val="00EA2B27"/>
    <w:rsid w:val="00EA2B68"/>
    <w:rsid w:val="00EA38F8"/>
    <w:rsid w:val="00EA432D"/>
    <w:rsid w:val="00EA4526"/>
    <w:rsid w:val="00EA45AD"/>
    <w:rsid w:val="00EA496E"/>
    <w:rsid w:val="00EA4DDE"/>
    <w:rsid w:val="00EA5293"/>
    <w:rsid w:val="00EA6144"/>
    <w:rsid w:val="00EA6477"/>
    <w:rsid w:val="00EA6FDA"/>
    <w:rsid w:val="00EA7344"/>
    <w:rsid w:val="00EA7475"/>
    <w:rsid w:val="00EA7E6B"/>
    <w:rsid w:val="00EA7ECD"/>
    <w:rsid w:val="00EB186C"/>
    <w:rsid w:val="00EB1D53"/>
    <w:rsid w:val="00EB1F56"/>
    <w:rsid w:val="00EB2F38"/>
    <w:rsid w:val="00EB3308"/>
    <w:rsid w:val="00EB4144"/>
    <w:rsid w:val="00EB4502"/>
    <w:rsid w:val="00EB4AE0"/>
    <w:rsid w:val="00EB6A93"/>
    <w:rsid w:val="00EB7A79"/>
    <w:rsid w:val="00EB7E99"/>
    <w:rsid w:val="00EC0375"/>
    <w:rsid w:val="00EC0CA3"/>
    <w:rsid w:val="00EC1BA3"/>
    <w:rsid w:val="00EC1D97"/>
    <w:rsid w:val="00EC2608"/>
    <w:rsid w:val="00EC28E4"/>
    <w:rsid w:val="00EC38A1"/>
    <w:rsid w:val="00EC4EC0"/>
    <w:rsid w:val="00EC5021"/>
    <w:rsid w:val="00EC514A"/>
    <w:rsid w:val="00EC5F84"/>
    <w:rsid w:val="00EC6180"/>
    <w:rsid w:val="00EC6542"/>
    <w:rsid w:val="00EC67DB"/>
    <w:rsid w:val="00EC6AB0"/>
    <w:rsid w:val="00ED10EC"/>
    <w:rsid w:val="00ED15A0"/>
    <w:rsid w:val="00ED2CE0"/>
    <w:rsid w:val="00ED32C7"/>
    <w:rsid w:val="00ED346C"/>
    <w:rsid w:val="00ED36C0"/>
    <w:rsid w:val="00ED3FF6"/>
    <w:rsid w:val="00ED4220"/>
    <w:rsid w:val="00ED491C"/>
    <w:rsid w:val="00ED4E03"/>
    <w:rsid w:val="00ED51FB"/>
    <w:rsid w:val="00ED57C3"/>
    <w:rsid w:val="00ED7173"/>
    <w:rsid w:val="00ED79F3"/>
    <w:rsid w:val="00EE160D"/>
    <w:rsid w:val="00EE30A9"/>
    <w:rsid w:val="00EE344F"/>
    <w:rsid w:val="00EE36D5"/>
    <w:rsid w:val="00EE3935"/>
    <w:rsid w:val="00EE4F58"/>
    <w:rsid w:val="00EE5332"/>
    <w:rsid w:val="00EE54E8"/>
    <w:rsid w:val="00EE5869"/>
    <w:rsid w:val="00EE5D0B"/>
    <w:rsid w:val="00EE71C3"/>
    <w:rsid w:val="00EE757A"/>
    <w:rsid w:val="00EE7AEB"/>
    <w:rsid w:val="00EE7C8A"/>
    <w:rsid w:val="00EF0064"/>
    <w:rsid w:val="00EF05BA"/>
    <w:rsid w:val="00EF08F1"/>
    <w:rsid w:val="00EF1F9B"/>
    <w:rsid w:val="00EF33A1"/>
    <w:rsid w:val="00EF36D7"/>
    <w:rsid w:val="00EF3FEF"/>
    <w:rsid w:val="00EF40B5"/>
    <w:rsid w:val="00EF4AC4"/>
    <w:rsid w:val="00EF4C79"/>
    <w:rsid w:val="00EF4C9D"/>
    <w:rsid w:val="00EF5121"/>
    <w:rsid w:val="00EF573D"/>
    <w:rsid w:val="00EF6543"/>
    <w:rsid w:val="00EF6A3E"/>
    <w:rsid w:val="00F00601"/>
    <w:rsid w:val="00F00A26"/>
    <w:rsid w:val="00F00B5A"/>
    <w:rsid w:val="00F02A73"/>
    <w:rsid w:val="00F0366D"/>
    <w:rsid w:val="00F036C8"/>
    <w:rsid w:val="00F04BE7"/>
    <w:rsid w:val="00F05A2B"/>
    <w:rsid w:val="00F06960"/>
    <w:rsid w:val="00F10FEA"/>
    <w:rsid w:val="00F11276"/>
    <w:rsid w:val="00F115B8"/>
    <w:rsid w:val="00F11E3D"/>
    <w:rsid w:val="00F11F0B"/>
    <w:rsid w:val="00F13F10"/>
    <w:rsid w:val="00F143EF"/>
    <w:rsid w:val="00F1497D"/>
    <w:rsid w:val="00F14A69"/>
    <w:rsid w:val="00F14ECF"/>
    <w:rsid w:val="00F15477"/>
    <w:rsid w:val="00F16766"/>
    <w:rsid w:val="00F16833"/>
    <w:rsid w:val="00F178D9"/>
    <w:rsid w:val="00F20A8B"/>
    <w:rsid w:val="00F20D9D"/>
    <w:rsid w:val="00F21A0D"/>
    <w:rsid w:val="00F222A1"/>
    <w:rsid w:val="00F22BBA"/>
    <w:rsid w:val="00F23EDF"/>
    <w:rsid w:val="00F23F88"/>
    <w:rsid w:val="00F24028"/>
    <w:rsid w:val="00F24657"/>
    <w:rsid w:val="00F24FF9"/>
    <w:rsid w:val="00F26B78"/>
    <w:rsid w:val="00F27328"/>
    <w:rsid w:val="00F27E7F"/>
    <w:rsid w:val="00F31A93"/>
    <w:rsid w:val="00F34470"/>
    <w:rsid w:val="00F34846"/>
    <w:rsid w:val="00F35D5D"/>
    <w:rsid w:val="00F360B4"/>
    <w:rsid w:val="00F36F3D"/>
    <w:rsid w:val="00F37003"/>
    <w:rsid w:val="00F3770F"/>
    <w:rsid w:val="00F37CA2"/>
    <w:rsid w:val="00F37D50"/>
    <w:rsid w:val="00F37F77"/>
    <w:rsid w:val="00F40FA6"/>
    <w:rsid w:val="00F42696"/>
    <w:rsid w:val="00F427C1"/>
    <w:rsid w:val="00F42AD8"/>
    <w:rsid w:val="00F43E0F"/>
    <w:rsid w:val="00F43E26"/>
    <w:rsid w:val="00F4452D"/>
    <w:rsid w:val="00F44819"/>
    <w:rsid w:val="00F455E5"/>
    <w:rsid w:val="00F45DB0"/>
    <w:rsid w:val="00F464A8"/>
    <w:rsid w:val="00F469D7"/>
    <w:rsid w:val="00F470CB"/>
    <w:rsid w:val="00F4736B"/>
    <w:rsid w:val="00F476C7"/>
    <w:rsid w:val="00F478DC"/>
    <w:rsid w:val="00F47BEC"/>
    <w:rsid w:val="00F5085E"/>
    <w:rsid w:val="00F50894"/>
    <w:rsid w:val="00F51B6E"/>
    <w:rsid w:val="00F51FDB"/>
    <w:rsid w:val="00F553D8"/>
    <w:rsid w:val="00F5572A"/>
    <w:rsid w:val="00F56BB2"/>
    <w:rsid w:val="00F60CE7"/>
    <w:rsid w:val="00F61559"/>
    <w:rsid w:val="00F61E45"/>
    <w:rsid w:val="00F62737"/>
    <w:rsid w:val="00F638E5"/>
    <w:rsid w:val="00F64355"/>
    <w:rsid w:val="00F64CA4"/>
    <w:rsid w:val="00F65D71"/>
    <w:rsid w:val="00F65F2A"/>
    <w:rsid w:val="00F6607F"/>
    <w:rsid w:val="00F66F16"/>
    <w:rsid w:val="00F6723D"/>
    <w:rsid w:val="00F67348"/>
    <w:rsid w:val="00F67CB0"/>
    <w:rsid w:val="00F70F9E"/>
    <w:rsid w:val="00F723E4"/>
    <w:rsid w:val="00F729AD"/>
    <w:rsid w:val="00F74340"/>
    <w:rsid w:val="00F744F7"/>
    <w:rsid w:val="00F74550"/>
    <w:rsid w:val="00F74915"/>
    <w:rsid w:val="00F769C8"/>
    <w:rsid w:val="00F76E5A"/>
    <w:rsid w:val="00F816FC"/>
    <w:rsid w:val="00F8251C"/>
    <w:rsid w:val="00F82CEB"/>
    <w:rsid w:val="00F83012"/>
    <w:rsid w:val="00F83602"/>
    <w:rsid w:val="00F8380A"/>
    <w:rsid w:val="00F83848"/>
    <w:rsid w:val="00F83CAE"/>
    <w:rsid w:val="00F84EF4"/>
    <w:rsid w:val="00F85216"/>
    <w:rsid w:val="00F868A2"/>
    <w:rsid w:val="00F86CD1"/>
    <w:rsid w:val="00F86E86"/>
    <w:rsid w:val="00F87113"/>
    <w:rsid w:val="00F874F2"/>
    <w:rsid w:val="00F90064"/>
    <w:rsid w:val="00F90460"/>
    <w:rsid w:val="00F90F7A"/>
    <w:rsid w:val="00F91442"/>
    <w:rsid w:val="00F91F18"/>
    <w:rsid w:val="00F91FE4"/>
    <w:rsid w:val="00F94EED"/>
    <w:rsid w:val="00F97243"/>
    <w:rsid w:val="00F9750E"/>
    <w:rsid w:val="00FA0CDE"/>
    <w:rsid w:val="00FA2090"/>
    <w:rsid w:val="00FA2411"/>
    <w:rsid w:val="00FA2912"/>
    <w:rsid w:val="00FA3894"/>
    <w:rsid w:val="00FA3B61"/>
    <w:rsid w:val="00FA45FE"/>
    <w:rsid w:val="00FA4B8B"/>
    <w:rsid w:val="00FA4C91"/>
    <w:rsid w:val="00FA5F38"/>
    <w:rsid w:val="00FA6B21"/>
    <w:rsid w:val="00FB02B5"/>
    <w:rsid w:val="00FB1828"/>
    <w:rsid w:val="00FB2F78"/>
    <w:rsid w:val="00FB3870"/>
    <w:rsid w:val="00FB4196"/>
    <w:rsid w:val="00FB4F58"/>
    <w:rsid w:val="00FB61DF"/>
    <w:rsid w:val="00FB6CC8"/>
    <w:rsid w:val="00FC0AFD"/>
    <w:rsid w:val="00FC14B1"/>
    <w:rsid w:val="00FC18C0"/>
    <w:rsid w:val="00FC2028"/>
    <w:rsid w:val="00FC220C"/>
    <w:rsid w:val="00FC28C4"/>
    <w:rsid w:val="00FC34F0"/>
    <w:rsid w:val="00FC36A9"/>
    <w:rsid w:val="00FC5752"/>
    <w:rsid w:val="00FC5B98"/>
    <w:rsid w:val="00FC5C99"/>
    <w:rsid w:val="00FC648E"/>
    <w:rsid w:val="00FC68B1"/>
    <w:rsid w:val="00FC742C"/>
    <w:rsid w:val="00FC7BCE"/>
    <w:rsid w:val="00FC7FA9"/>
    <w:rsid w:val="00FD1C7E"/>
    <w:rsid w:val="00FD1ED0"/>
    <w:rsid w:val="00FD2F1F"/>
    <w:rsid w:val="00FD383C"/>
    <w:rsid w:val="00FD38AD"/>
    <w:rsid w:val="00FD3E73"/>
    <w:rsid w:val="00FD45D5"/>
    <w:rsid w:val="00FD4BAF"/>
    <w:rsid w:val="00FD514B"/>
    <w:rsid w:val="00FD5F67"/>
    <w:rsid w:val="00FD62E1"/>
    <w:rsid w:val="00FD721D"/>
    <w:rsid w:val="00FD7712"/>
    <w:rsid w:val="00FE0083"/>
    <w:rsid w:val="00FE07E0"/>
    <w:rsid w:val="00FE0947"/>
    <w:rsid w:val="00FE19FE"/>
    <w:rsid w:val="00FE1BBC"/>
    <w:rsid w:val="00FE22F4"/>
    <w:rsid w:val="00FE446A"/>
    <w:rsid w:val="00FE4EAD"/>
    <w:rsid w:val="00FE5046"/>
    <w:rsid w:val="00FE5B7F"/>
    <w:rsid w:val="00FE6B1B"/>
    <w:rsid w:val="00FE7E4B"/>
    <w:rsid w:val="00FF006C"/>
    <w:rsid w:val="00FF027A"/>
    <w:rsid w:val="00FF09D1"/>
    <w:rsid w:val="00FF144E"/>
    <w:rsid w:val="00FF1A38"/>
    <w:rsid w:val="00FF21E5"/>
    <w:rsid w:val="00FF389C"/>
    <w:rsid w:val="00FF4E04"/>
    <w:rsid w:val="00FF54BA"/>
    <w:rsid w:val="00FF5CDA"/>
    <w:rsid w:val="00FF6625"/>
    <w:rsid w:val="00FF68C7"/>
    <w:rsid w:val="00FF6BCB"/>
    <w:rsid w:val="00FF7E28"/>
    <w:rsid w:val="02396613"/>
    <w:rsid w:val="040FE41D"/>
    <w:rsid w:val="0B55DA10"/>
    <w:rsid w:val="0E021521"/>
    <w:rsid w:val="0F2E4EF1"/>
    <w:rsid w:val="1223774E"/>
    <w:rsid w:val="2454D85A"/>
    <w:rsid w:val="24C3133B"/>
    <w:rsid w:val="27A1F7C0"/>
    <w:rsid w:val="2EFA9608"/>
    <w:rsid w:val="314EE93A"/>
    <w:rsid w:val="344E73EC"/>
    <w:rsid w:val="3BBF2765"/>
    <w:rsid w:val="3DB64CD2"/>
    <w:rsid w:val="3E944825"/>
    <w:rsid w:val="4208131A"/>
    <w:rsid w:val="42AA80E1"/>
    <w:rsid w:val="46D94E6C"/>
    <w:rsid w:val="47190930"/>
    <w:rsid w:val="4AD792A1"/>
    <w:rsid w:val="534D1113"/>
    <w:rsid w:val="5849C651"/>
    <w:rsid w:val="5940CC36"/>
    <w:rsid w:val="59D8EAA6"/>
    <w:rsid w:val="5B64F6DE"/>
    <w:rsid w:val="6151A092"/>
    <w:rsid w:val="63A14B37"/>
    <w:rsid w:val="66DA856C"/>
    <w:rsid w:val="72574743"/>
    <w:rsid w:val="7477C471"/>
    <w:rsid w:val="78822950"/>
    <w:rsid w:val="797013B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F9E0A0"/>
  <w15:docId w15:val="{C06FB517-D28F-499C-ACEB-22769DE4F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uiPriority="10"/>
    <w:lsdException w:name="heading 6" w:semiHidden="1" w:uiPriority="10"/>
    <w:lsdException w:name="heading 7" w:semiHidden="1" w:uiPriority="10"/>
    <w:lsdException w:name="heading 8" w:semiHidden="1" w:uiPriority="10"/>
    <w:lsdException w:name="heading 9" w:semiHidden="1" w:uiPriority="10"/>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uiPriority="0"/>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36A"/>
    <w:pPr>
      <w:spacing w:after="120"/>
      <w:jc w:val="both"/>
    </w:pPr>
    <w:rPr>
      <w:rFonts w:eastAsia="Times New Roman"/>
      <w:lang w:eastAsia="fr-BE"/>
    </w:rPr>
  </w:style>
  <w:style w:type="paragraph" w:styleId="Heading1">
    <w:name w:val="heading 1"/>
    <w:basedOn w:val="Normal"/>
    <w:next w:val="Point0number"/>
    <w:uiPriority w:val="10"/>
    <w:rsid w:val="008E336A"/>
    <w:pPr>
      <w:keepNext/>
      <w:numPr>
        <w:numId w:val="27"/>
      </w:numPr>
      <w:spacing w:before="360"/>
      <w:outlineLvl w:val="0"/>
    </w:pPr>
    <w:rPr>
      <w:b/>
      <w:smallCaps/>
    </w:rPr>
  </w:style>
  <w:style w:type="paragraph" w:styleId="Heading2">
    <w:name w:val="heading 2"/>
    <w:basedOn w:val="Normal"/>
    <w:next w:val="Point0number"/>
    <w:uiPriority w:val="10"/>
    <w:rsid w:val="008E336A"/>
    <w:pPr>
      <w:keepNext/>
      <w:numPr>
        <w:ilvl w:val="1"/>
        <w:numId w:val="27"/>
      </w:numPr>
      <w:spacing w:before="120"/>
      <w:outlineLvl w:val="1"/>
    </w:pPr>
    <w:rPr>
      <w:b/>
    </w:rPr>
  </w:style>
  <w:style w:type="paragraph" w:styleId="Heading3">
    <w:name w:val="heading 3"/>
    <w:basedOn w:val="Normal"/>
    <w:next w:val="Point0number"/>
    <w:link w:val="Heading3Char"/>
    <w:uiPriority w:val="10"/>
    <w:rsid w:val="008E336A"/>
    <w:pPr>
      <w:keepNext/>
      <w:numPr>
        <w:ilvl w:val="2"/>
        <w:numId w:val="27"/>
      </w:numPr>
      <w:spacing w:before="120"/>
      <w:outlineLvl w:val="2"/>
    </w:pPr>
    <w:rPr>
      <w:i/>
    </w:rPr>
  </w:style>
  <w:style w:type="paragraph" w:styleId="Heading4">
    <w:name w:val="heading 4"/>
    <w:basedOn w:val="Normal"/>
    <w:next w:val="Point0number"/>
    <w:link w:val="Heading4Char"/>
    <w:uiPriority w:val="10"/>
    <w:rsid w:val="008E336A"/>
    <w:pPr>
      <w:keepNext/>
      <w:numPr>
        <w:ilvl w:val="3"/>
        <w:numId w:val="27"/>
      </w:numPr>
      <w:spacing w:before="120"/>
      <w:outlineLvl w:val="3"/>
    </w:pPr>
  </w:style>
  <w:style w:type="paragraph" w:styleId="Heading5">
    <w:name w:val="heading 5"/>
    <w:basedOn w:val="Normal"/>
    <w:next w:val="Point0number"/>
    <w:uiPriority w:val="10"/>
    <w:rsid w:val="008E336A"/>
    <w:pPr>
      <w:keepNext/>
      <w:numPr>
        <w:ilvl w:val="4"/>
        <w:numId w:val="27"/>
      </w:numPr>
      <w:spacing w:before="120"/>
      <w:outlineLvl w:val="4"/>
    </w:pPr>
  </w:style>
  <w:style w:type="paragraph" w:styleId="Heading6">
    <w:name w:val="heading 6"/>
    <w:basedOn w:val="Normal"/>
    <w:next w:val="Point0number"/>
    <w:uiPriority w:val="10"/>
    <w:rsid w:val="008E336A"/>
    <w:pPr>
      <w:keepNext/>
      <w:numPr>
        <w:ilvl w:val="5"/>
        <w:numId w:val="27"/>
      </w:numPr>
      <w:spacing w:before="120"/>
      <w:outlineLvl w:val="5"/>
    </w:pPr>
  </w:style>
  <w:style w:type="paragraph" w:styleId="Heading7">
    <w:name w:val="heading 7"/>
    <w:basedOn w:val="Normal"/>
    <w:next w:val="Point0number"/>
    <w:uiPriority w:val="10"/>
    <w:rsid w:val="008E336A"/>
    <w:pPr>
      <w:keepNext/>
      <w:numPr>
        <w:ilvl w:val="6"/>
        <w:numId w:val="27"/>
      </w:numPr>
      <w:spacing w:before="120"/>
      <w:outlineLvl w:val="6"/>
    </w:pPr>
  </w:style>
  <w:style w:type="paragraph" w:styleId="Heading8">
    <w:name w:val="heading 8"/>
    <w:basedOn w:val="Normal"/>
    <w:next w:val="Point0number"/>
    <w:uiPriority w:val="10"/>
    <w:semiHidden/>
    <w:rsid w:val="008E336A"/>
    <w:pPr>
      <w:numPr>
        <w:ilvl w:val="7"/>
        <w:numId w:val="27"/>
      </w:numPr>
      <w:spacing w:before="120"/>
      <w:outlineLvl w:val="7"/>
    </w:pPr>
  </w:style>
  <w:style w:type="paragraph" w:styleId="Heading9">
    <w:name w:val="heading 9"/>
    <w:basedOn w:val="Normal"/>
    <w:next w:val="Point0number"/>
    <w:uiPriority w:val="10"/>
    <w:semiHidden/>
    <w:rsid w:val="008E336A"/>
    <w:pPr>
      <w:numPr>
        <w:ilvl w:val="8"/>
        <w:numId w:val="27"/>
      </w:numPr>
      <w:spacing w:before="12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sid w:val="008E336A"/>
    <w:rPr>
      <w:color w:val="3366CC"/>
    </w:rPr>
  </w:style>
  <w:style w:type="character" w:customStyle="1" w:styleId="CrossReference">
    <w:name w:val="Cross Reference"/>
    <w:basedOn w:val="DefaultParagraphFont"/>
    <w:semiHidden/>
    <w:rsid w:val="008E336A"/>
  </w:style>
  <w:style w:type="character" w:styleId="FootnoteReference">
    <w:name w:val="footnote reference"/>
    <w:aliases w:val="(NECG) Footnote Reference,fr,o,-E Fußnotenzeichen,Style 3,Appel note de bas de p,Style 17,FR,Style 13,Style 12,Style 124,callout,-E Funotenzeichen,Style 1,Footnote symbol,Voetnootverwijzing,Times 10 Point,Exposant 3 Point,note TESI"/>
    <w:link w:val="FootnotesymbolCarZchn"/>
    <w:uiPriority w:val="99"/>
    <w:qFormat/>
    <w:rsid w:val="008E336A"/>
    <w:rPr>
      <w:vertAlign w:val="superscript"/>
    </w:rPr>
  </w:style>
  <w:style w:type="character" w:customStyle="1" w:styleId="InstructionBlue">
    <w:name w:val="InstructionBlue"/>
    <w:semiHidden/>
    <w:rsid w:val="008E336A"/>
    <w:rPr>
      <w:i/>
      <w:color w:val="3366CC"/>
    </w:rPr>
  </w:style>
  <w:style w:type="character" w:customStyle="1" w:styleId="InstructionPlaceholder">
    <w:name w:val="InstructionPlaceholder"/>
    <w:semiHidden/>
    <w:rsid w:val="008E336A"/>
    <w:rPr>
      <w:color w:val="CB3535"/>
    </w:rPr>
  </w:style>
  <w:style w:type="character" w:customStyle="1" w:styleId="InstructionRed">
    <w:name w:val="InstructionRed"/>
    <w:semiHidden/>
    <w:rsid w:val="008E336A"/>
    <w:rPr>
      <w:i/>
      <w:color w:val="CB3535"/>
    </w:rPr>
  </w:style>
  <w:style w:type="character" w:customStyle="1" w:styleId="MarkingLabel">
    <w:name w:val="MarkingLabel"/>
    <w:semiHidden/>
    <w:rsid w:val="008E336A"/>
    <w:rPr>
      <w:b/>
      <w:caps/>
      <w:sz w:val="28"/>
    </w:rPr>
  </w:style>
  <w:style w:type="character" w:customStyle="1" w:styleId="MarkingText">
    <w:name w:val="MarkingText"/>
    <w:semiHidden/>
    <w:rsid w:val="008E336A"/>
    <w:rPr>
      <w:i/>
      <w:sz w:val="28"/>
    </w:rPr>
  </w:style>
  <w:style w:type="character" w:styleId="PlaceholderText">
    <w:name w:val="Placeholder Text"/>
    <w:basedOn w:val="DefaultParagraphFont"/>
    <w:semiHidden/>
    <w:rsid w:val="008E336A"/>
    <w:rPr>
      <w:color w:val="288061"/>
    </w:rPr>
  </w:style>
  <w:style w:type="paragraph" w:customStyle="1" w:styleId="AfterTable">
    <w:name w:val="After Table"/>
    <w:semiHidden/>
    <w:rsid w:val="008E336A"/>
    <w:pPr>
      <w:jc w:val="both"/>
    </w:pPr>
    <w:rPr>
      <w:rFonts w:eastAsia="Times New Roman"/>
      <w:sz w:val="4"/>
      <w:lang w:eastAsia="fr-BE"/>
    </w:rPr>
  </w:style>
  <w:style w:type="paragraph" w:customStyle="1" w:styleId="AnnexTitle">
    <w:name w:val="AnnexTitle"/>
    <w:basedOn w:val="Normal"/>
    <w:next w:val="Normal"/>
    <w:uiPriority w:val="45"/>
    <w:qFormat/>
    <w:pPr>
      <w:pageBreakBefore/>
      <w:numPr>
        <w:numId w:val="18"/>
      </w:numPr>
      <w:spacing w:after="480"/>
      <w:outlineLvl w:val="0"/>
    </w:pPr>
    <w:rPr>
      <w:b/>
      <w:sz w:val="32"/>
    </w:rPr>
  </w:style>
  <w:style w:type="paragraph" w:styleId="Caption">
    <w:name w:val="caption"/>
    <w:basedOn w:val="Normal"/>
    <w:next w:val="FigureBody"/>
    <w:uiPriority w:val="35"/>
    <w:unhideWhenUsed/>
    <w:qFormat/>
    <w:rsid w:val="008E336A"/>
    <w:pPr>
      <w:keepNext/>
      <w:spacing w:before="120"/>
    </w:pPr>
    <w:rPr>
      <w:b/>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rsid w:val="008E336A"/>
    <w:pPr>
      <w:spacing w:after="0"/>
      <w:jc w:val="center"/>
    </w:pPr>
    <w:rPr>
      <w:b/>
      <w:caps/>
      <w:sz w:val="32"/>
      <w:bdr w:val="single" w:sz="18" w:space="0" w:color="auto"/>
    </w:rPr>
  </w:style>
  <w:style w:type="paragraph" w:customStyle="1" w:styleId="Contact">
    <w:name w:val="Contact"/>
    <w:basedOn w:val="Normal"/>
    <w:semiHidden/>
    <w:rsid w:val="008E336A"/>
    <w:pPr>
      <w:spacing w:before="480" w:after="0"/>
      <w:ind w:left="567" w:hanging="567"/>
      <w:contextualSpacing/>
      <w:jc w:val="left"/>
    </w:pPr>
  </w:style>
  <w:style w:type="paragraph" w:customStyle="1" w:styleId="ContNum">
    <w:name w:val="ContNum"/>
    <w:basedOn w:val="Normal"/>
    <w:uiPriority w:val="20"/>
    <w:qFormat/>
    <w:pPr>
      <w:numPr>
        <w:numId w:val="17"/>
      </w:numPr>
    </w:pPr>
  </w:style>
  <w:style w:type="paragraph" w:customStyle="1" w:styleId="ContNumLevel2">
    <w:name w:val="ContNum (Level 2)"/>
    <w:basedOn w:val="Normal"/>
    <w:uiPriority w:val="20"/>
    <w:pPr>
      <w:numPr>
        <w:ilvl w:val="1"/>
        <w:numId w:val="17"/>
      </w:numPr>
    </w:pPr>
  </w:style>
  <w:style w:type="paragraph" w:customStyle="1" w:styleId="ContNumLevel3">
    <w:name w:val="ContNum (Level 3)"/>
    <w:basedOn w:val="Normal"/>
    <w:uiPriority w:val="20"/>
    <w:pPr>
      <w:numPr>
        <w:ilvl w:val="2"/>
        <w:numId w:val="17"/>
      </w:numPr>
    </w:pPr>
  </w:style>
  <w:style w:type="paragraph" w:styleId="Date">
    <w:name w:val="Date"/>
    <w:basedOn w:val="Normal"/>
    <w:next w:val="References"/>
    <w:semiHidden/>
    <w:rsid w:val="008E336A"/>
    <w:pPr>
      <w:spacing w:after="0"/>
      <w:ind w:left="5102" w:right="-567"/>
      <w:jc w:val="left"/>
    </w:pPr>
  </w:style>
  <w:style w:type="paragraph" w:customStyle="1" w:styleId="Designator">
    <w:name w:val="Designator"/>
    <w:basedOn w:val="Normal"/>
    <w:semiHidden/>
    <w:rsid w:val="008E336A"/>
    <w:pPr>
      <w:spacing w:after="0"/>
      <w:jc w:val="center"/>
    </w:pPr>
    <w:rPr>
      <w:b/>
      <w:caps/>
      <w:sz w:val="32"/>
    </w:rPr>
  </w:style>
  <w:style w:type="paragraph" w:customStyle="1" w:styleId="DoubSign">
    <w:name w:val="DoubSign"/>
    <w:basedOn w:val="Normal"/>
    <w:semiHidden/>
    <w:rsid w:val="008E336A"/>
    <w:pPr>
      <w:spacing w:before="600" w:after="0"/>
      <w:jc w:val="left"/>
    </w:pPr>
  </w:style>
  <w:style w:type="paragraph" w:customStyle="1" w:styleId="EmptyParagraph">
    <w:name w:val="Empty Paragraph"/>
    <w:basedOn w:val="Normal"/>
    <w:next w:val="Normal"/>
    <w:semiHidden/>
    <w:rsid w:val="008E336A"/>
    <w:pPr>
      <w:spacing w:before="240"/>
    </w:pPr>
  </w:style>
  <w:style w:type="paragraph" w:styleId="EndnoteText">
    <w:name w:val="endnote text"/>
    <w:basedOn w:val="Normal"/>
    <w:semiHidden/>
    <w:rsid w:val="008E336A"/>
    <w:pPr>
      <w:spacing w:after="0"/>
    </w:pPr>
    <w:rPr>
      <w:sz w:val="20"/>
    </w:rPr>
  </w:style>
  <w:style w:type="paragraph" w:customStyle="1" w:styleId="FigureBody">
    <w:name w:val="Figure Body"/>
    <w:basedOn w:val="Normal"/>
    <w:next w:val="Normal"/>
    <w:uiPriority w:val="99"/>
    <w:semiHidden/>
    <w:unhideWhenUsed/>
    <w:rsid w:val="008E336A"/>
    <w:pPr>
      <w:keepNext/>
      <w:spacing w:before="12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32"/>
    <w:unhideWhenUsed/>
    <w:qFormat/>
    <w:pPr>
      <w:keepNext/>
    </w:pPr>
    <w:rPr>
      <w:b/>
      <w:i/>
    </w:rPr>
  </w:style>
  <w:style w:type="paragraph" w:customStyle="1" w:styleId="FigureTitle1">
    <w:name w:val="Figure Title 1"/>
    <w:basedOn w:val="Text1"/>
    <w:next w:val="FigureBody1"/>
    <w:uiPriority w:val="99"/>
    <w:semiHidden/>
    <w:unhideWhenUsed/>
    <w:pPr>
      <w:keepNext/>
    </w:pPr>
    <w:rPr>
      <w:b/>
      <w:i/>
    </w:rPr>
  </w:style>
  <w:style w:type="paragraph" w:customStyle="1" w:styleId="FigureTitle2">
    <w:name w:val="Figure Title 2"/>
    <w:basedOn w:val="Text2"/>
    <w:next w:val="FigureBody2"/>
    <w:uiPriority w:val="99"/>
    <w:semiHidden/>
    <w:unhideWhenUsed/>
    <w:pPr>
      <w:keepNext/>
    </w:pPr>
    <w:rPr>
      <w:b/>
      <w:i/>
    </w:rPr>
  </w:style>
  <w:style w:type="paragraph" w:customStyle="1" w:styleId="FigureTitle3">
    <w:name w:val="Figure Title 3"/>
    <w:basedOn w:val="Text3"/>
    <w:next w:val="FigureBody3"/>
    <w:uiPriority w:val="99"/>
    <w:semiHidden/>
    <w:unhideWhenUsed/>
    <w:pPr>
      <w:keepNext/>
    </w:pPr>
    <w:rPr>
      <w:b/>
      <w:i/>
    </w:rPr>
  </w:style>
  <w:style w:type="paragraph" w:customStyle="1" w:styleId="FigureTitle4">
    <w:name w:val="Figure Title 4"/>
    <w:basedOn w:val="Text4"/>
    <w:next w:val="FigureBody4"/>
    <w:uiPriority w:val="99"/>
    <w:semiHidden/>
    <w:unhideWhenUsed/>
    <w:pPr>
      <w:keepNext/>
    </w:pPr>
    <w:rPr>
      <w:b/>
      <w:i/>
    </w:rPr>
  </w:style>
  <w:style w:type="paragraph" w:styleId="Footer">
    <w:name w:val="footer"/>
    <w:basedOn w:val="Normal"/>
    <w:semiHidden/>
    <w:rsid w:val="008E336A"/>
    <w:pPr>
      <w:spacing w:after="0"/>
      <w:ind w:right="-567"/>
      <w:jc w:val="left"/>
    </w:pPr>
    <w:rPr>
      <w:sz w:val="16"/>
    </w:rPr>
  </w:style>
  <w:style w:type="paragraph" w:customStyle="1" w:styleId="FooterLine">
    <w:name w:val="Footer Line"/>
    <w:basedOn w:val="Footer"/>
    <w:next w:val="Footer"/>
    <w:semiHidden/>
    <w:rsid w:val="008E336A"/>
    <w:pPr>
      <w:tabs>
        <w:tab w:val="right" w:pos="8646"/>
      </w:tabs>
      <w:spacing w:before="120"/>
      <w:ind w:right="0"/>
    </w:pPr>
  </w:style>
  <w:style w:type="paragraph" w:styleId="FootnoteText">
    <w:name w:val="footnote text"/>
    <w:aliases w:val="fn,Footnote Text Char Car,ALTS FOOTNOTE,Mod-Footnote Text,ALTS FOOTNOTE Char,Footnote Text Char1 Char,Footnote Text Char Char1 Char,ft Char Char Char,Footnote Text Char3 Char Char Char,Texto nota pie Car,Car,Footnote Text Char2,Fußnotentex"/>
    <w:basedOn w:val="Normal"/>
    <w:link w:val="FootnoteTextChar"/>
    <w:uiPriority w:val="99"/>
    <w:rsid w:val="008E336A"/>
    <w:pPr>
      <w:spacing w:after="0"/>
      <w:ind w:left="720" w:hanging="720"/>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6"/>
      </w:numPr>
      <w:spacing w:line="360" w:lineRule="auto"/>
    </w:pPr>
  </w:style>
  <w:style w:type="paragraph" w:customStyle="1" w:styleId="LegalNumPar2">
    <w:name w:val="LegalNumPar2"/>
    <w:basedOn w:val="Normal"/>
    <w:uiPriority w:val="20"/>
    <w:pPr>
      <w:numPr>
        <w:ilvl w:val="1"/>
        <w:numId w:val="16"/>
      </w:numPr>
      <w:spacing w:line="360" w:lineRule="auto"/>
    </w:pPr>
  </w:style>
  <w:style w:type="paragraph" w:customStyle="1" w:styleId="LegalNumPar3">
    <w:name w:val="LegalNumPar3"/>
    <w:basedOn w:val="Normal"/>
    <w:uiPriority w:val="20"/>
    <w:pPr>
      <w:numPr>
        <w:ilvl w:val="2"/>
        <w:numId w:val="16"/>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8E336A"/>
    <w:pPr>
      <w:ind w:left="5102" w:right="-680"/>
      <w:contextualSpacing/>
      <w:jc w:val="left"/>
    </w:pPr>
    <w:rPr>
      <w:sz w:val="28"/>
      <w:lang w:val="fr-BE"/>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rsid w:val="008E336A"/>
    <w:pPr>
      <w:spacing w:after="240"/>
      <w:ind w:left="5102" w:right="-567"/>
      <w:contextualSpacing/>
      <w:jc w:val="left"/>
    </w:pPr>
    <w:rPr>
      <w:sz w:val="20"/>
    </w:rPr>
  </w:style>
  <w:style w:type="paragraph" w:customStyle="1" w:styleId="Releasable">
    <w:name w:val="Releasable"/>
    <w:basedOn w:val="Normal"/>
    <w:semiHidden/>
    <w:rsid w:val="008E336A"/>
    <w:pPr>
      <w:spacing w:after="0"/>
      <w:jc w:val="center"/>
    </w:pPr>
    <w:rPr>
      <w:b/>
      <w:caps/>
      <w:sz w:val="32"/>
    </w:rPr>
  </w:style>
  <w:style w:type="paragraph" w:customStyle="1" w:styleId="RUE">
    <w:name w:val="RUE"/>
    <w:basedOn w:val="Normal"/>
    <w:semiHidden/>
    <w:rsid w:val="008E336A"/>
    <w:pPr>
      <w:spacing w:after="0"/>
      <w:jc w:val="center"/>
    </w:pPr>
    <w:rPr>
      <w:b/>
      <w:caps/>
      <w:sz w:val="32"/>
      <w:bdr w:val="single" w:sz="18" w:space="0" w:color="auto"/>
    </w:rPr>
  </w:style>
  <w:style w:type="paragraph" w:customStyle="1" w:styleId="SecretUE">
    <w:name w:val="Secret UE"/>
    <w:basedOn w:val="Normal"/>
    <w:semiHidden/>
    <w:rsid w:val="008E336A"/>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rsid w:val="008E336A"/>
    <w:pPr>
      <w:keepLines/>
      <w:spacing w:before="600" w:after="0"/>
      <w:ind w:left="5102"/>
      <w:jc w:val="left"/>
    </w:pPr>
  </w:style>
  <w:style w:type="paragraph" w:customStyle="1" w:styleId="SignatureL">
    <w:name w:val="SignatureL"/>
    <w:basedOn w:val="Normal"/>
    <w:semiHidden/>
    <w:rsid w:val="008E336A"/>
    <w:pPr>
      <w:keepLines/>
      <w:spacing w:before="6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rsid w:val="008E336A"/>
    <w:pPr>
      <w:numPr>
        <w:numId w:val="29"/>
      </w:numPr>
    </w:pPr>
  </w:style>
  <w:style w:type="paragraph" w:customStyle="1" w:styleId="TableListBulletLevel2">
    <w:name w:val="Table List Bullet (Level 2)"/>
    <w:basedOn w:val="TableText"/>
    <w:semiHidden/>
    <w:unhideWhenUsed/>
    <w:rsid w:val="008E336A"/>
    <w:pPr>
      <w:numPr>
        <w:ilvl w:val="1"/>
        <w:numId w:val="29"/>
      </w:numPr>
    </w:pPr>
  </w:style>
  <w:style w:type="paragraph" w:customStyle="1" w:styleId="TableListBulletLevel3">
    <w:name w:val="Table List Bullet (Level 3)"/>
    <w:basedOn w:val="TableText"/>
    <w:semiHidden/>
    <w:unhideWhenUsed/>
    <w:rsid w:val="008E336A"/>
    <w:pPr>
      <w:numPr>
        <w:ilvl w:val="2"/>
        <w:numId w:val="29"/>
      </w:numPr>
    </w:pPr>
  </w:style>
  <w:style w:type="paragraph" w:customStyle="1" w:styleId="TableListBulletLevel4">
    <w:name w:val="Table List Bullet (Level 4)"/>
    <w:basedOn w:val="TableText"/>
    <w:semiHidden/>
    <w:unhideWhenUsed/>
    <w:rsid w:val="008E336A"/>
    <w:pPr>
      <w:numPr>
        <w:ilvl w:val="3"/>
        <w:numId w:val="29"/>
      </w:numPr>
    </w:pPr>
  </w:style>
  <w:style w:type="paragraph" w:customStyle="1" w:styleId="TableListDash">
    <w:name w:val="Table List Dash"/>
    <w:basedOn w:val="TableText"/>
    <w:uiPriority w:val="55"/>
    <w:rsid w:val="008E336A"/>
    <w:pPr>
      <w:numPr>
        <w:numId w:val="30"/>
      </w:numPr>
    </w:pPr>
  </w:style>
  <w:style w:type="paragraph" w:customStyle="1" w:styleId="TableListDashLevel2">
    <w:name w:val="Table List Dash (Level 2)"/>
    <w:basedOn w:val="TableText"/>
    <w:semiHidden/>
    <w:unhideWhenUsed/>
    <w:rsid w:val="008E336A"/>
    <w:pPr>
      <w:numPr>
        <w:ilvl w:val="1"/>
        <w:numId w:val="30"/>
      </w:numPr>
    </w:pPr>
  </w:style>
  <w:style w:type="paragraph" w:customStyle="1" w:styleId="TableListDashLevel3">
    <w:name w:val="Table List Dash (Level 3)"/>
    <w:basedOn w:val="TableText"/>
    <w:semiHidden/>
    <w:unhideWhenUsed/>
    <w:rsid w:val="008E336A"/>
    <w:pPr>
      <w:numPr>
        <w:ilvl w:val="2"/>
        <w:numId w:val="30"/>
      </w:numPr>
    </w:pPr>
  </w:style>
  <w:style w:type="paragraph" w:customStyle="1" w:styleId="TableListDashLevel4">
    <w:name w:val="Table List Dash (Level 4)"/>
    <w:basedOn w:val="TableText"/>
    <w:semiHidden/>
    <w:unhideWhenUsed/>
    <w:rsid w:val="008E336A"/>
    <w:pPr>
      <w:numPr>
        <w:ilvl w:val="3"/>
        <w:numId w:val="30"/>
      </w:numPr>
    </w:pPr>
  </w:style>
  <w:style w:type="paragraph" w:customStyle="1" w:styleId="TableListNumber">
    <w:name w:val="Table List Number"/>
    <w:basedOn w:val="TableText"/>
    <w:uiPriority w:val="55"/>
    <w:rsid w:val="008E336A"/>
    <w:pPr>
      <w:numPr>
        <w:numId w:val="31"/>
      </w:numPr>
    </w:pPr>
  </w:style>
  <w:style w:type="paragraph" w:customStyle="1" w:styleId="TableListNumberLevel2">
    <w:name w:val="Table List Number (Level 2)"/>
    <w:basedOn w:val="TableText"/>
    <w:semiHidden/>
    <w:unhideWhenUsed/>
    <w:rsid w:val="008E336A"/>
    <w:pPr>
      <w:numPr>
        <w:ilvl w:val="1"/>
        <w:numId w:val="31"/>
      </w:numPr>
    </w:pPr>
  </w:style>
  <w:style w:type="paragraph" w:customStyle="1" w:styleId="TableListNumberLevel3">
    <w:name w:val="Table List Number (Level 3)"/>
    <w:basedOn w:val="TableText"/>
    <w:semiHidden/>
    <w:unhideWhenUsed/>
    <w:rsid w:val="008E336A"/>
    <w:pPr>
      <w:numPr>
        <w:ilvl w:val="2"/>
        <w:numId w:val="31"/>
      </w:numPr>
    </w:pPr>
  </w:style>
  <w:style w:type="paragraph" w:customStyle="1" w:styleId="TableListNumberLevel4">
    <w:name w:val="Table List Number (Level 4)"/>
    <w:basedOn w:val="TableText"/>
    <w:semiHidden/>
    <w:unhideWhenUsed/>
    <w:rsid w:val="008E336A"/>
    <w:pPr>
      <w:numPr>
        <w:ilvl w:val="3"/>
        <w:numId w:val="31"/>
      </w:numPr>
    </w:pPr>
  </w:style>
  <w:style w:type="paragraph" w:customStyle="1" w:styleId="TableSource">
    <w:name w:val="Table Source"/>
    <w:basedOn w:val="Normal"/>
    <w:next w:val="Normal"/>
    <w:uiPriority w:val="36"/>
    <w:unhideWhenUsed/>
    <w:qFormat/>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rsid w:val="008E336A"/>
    <w:pPr>
      <w:spacing w:before="60" w:after="60"/>
      <w:jc w:val="left"/>
    </w:pPr>
  </w:style>
  <w:style w:type="paragraph" w:customStyle="1" w:styleId="TableTitle">
    <w:name w:val="Table Title"/>
    <w:basedOn w:val="Normal"/>
    <w:uiPriority w:val="99"/>
    <w:unhideWhenUsed/>
    <w:rsid w:val="008E336A"/>
    <w:pPr>
      <w:keepNext/>
      <w:spacing w:before="120"/>
    </w:pPr>
    <w:rPr>
      <w:b/>
    </w:rPr>
  </w:style>
  <w:style w:type="paragraph" w:customStyle="1" w:styleId="TableTitle1">
    <w:name w:val="Table Title 1"/>
    <w:basedOn w:val="Text1"/>
    <w:uiPriority w:val="99"/>
    <w:semiHidden/>
    <w:unhideWhenUsed/>
    <w:pPr>
      <w:keepNext/>
    </w:pPr>
    <w:rPr>
      <w:b/>
      <w:i/>
    </w:rPr>
  </w:style>
  <w:style w:type="paragraph" w:customStyle="1" w:styleId="TableTitle2">
    <w:name w:val="Table Title 2"/>
    <w:basedOn w:val="Text2"/>
    <w:uiPriority w:val="99"/>
    <w:semiHidden/>
    <w:unhideWhenUsed/>
    <w:pPr>
      <w:keepNext/>
    </w:pPr>
    <w:rPr>
      <w:b/>
      <w:i/>
    </w:rPr>
  </w:style>
  <w:style w:type="paragraph" w:customStyle="1" w:styleId="TableTitle3">
    <w:name w:val="Table Title 3"/>
    <w:basedOn w:val="Text3"/>
    <w:uiPriority w:val="99"/>
    <w:semiHidden/>
    <w:unhideWhenUsed/>
    <w:pPr>
      <w:keepNext/>
    </w:pPr>
    <w:rPr>
      <w:b/>
      <w:i/>
    </w:rPr>
  </w:style>
  <w:style w:type="paragraph" w:customStyle="1" w:styleId="TableTitle4">
    <w:name w:val="Table Title 4"/>
    <w:basedOn w:val="Text4"/>
    <w:uiPriority w:val="99"/>
    <w:semiHidden/>
    <w:unhideWhenUsed/>
    <w:pPr>
      <w:keepNext/>
    </w:pPr>
    <w:rPr>
      <w:b/>
      <w:i/>
    </w:rPr>
  </w:style>
  <w:style w:type="paragraph" w:customStyle="1" w:styleId="Text1">
    <w:name w:val="Text 1"/>
    <w:basedOn w:val="Normal"/>
    <w:qFormat/>
    <w:rsid w:val="008E336A"/>
    <w:pPr>
      <w:ind w:left="850"/>
    </w:pPr>
  </w:style>
  <w:style w:type="paragraph" w:customStyle="1" w:styleId="Text2">
    <w:name w:val="Text 2"/>
    <w:basedOn w:val="Normal"/>
    <w:qFormat/>
    <w:rsid w:val="008E336A"/>
    <w:pPr>
      <w:ind w:left="1417"/>
    </w:pPr>
  </w:style>
  <w:style w:type="paragraph" w:customStyle="1" w:styleId="Text3">
    <w:name w:val="Text 3"/>
    <w:basedOn w:val="Normal"/>
    <w:qFormat/>
    <w:rsid w:val="008E336A"/>
    <w:pPr>
      <w:ind w:left="1984"/>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rsid w:val="008E336A"/>
    <w:pPr>
      <w:tabs>
        <w:tab w:val="right" w:leader="dot" w:pos="8640"/>
      </w:tabs>
      <w:spacing w:before="120"/>
      <w:ind w:left="482" w:right="720" w:hanging="482"/>
    </w:pPr>
  </w:style>
  <w:style w:type="paragraph" w:styleId="TOC2">
    <w:name w:val="toc 2"/>
    <w:basedOn w:val="Normal"/>
    <w:next w:val="Normal"/>
    <w:uiPriority w:val="39"/>
    <w:rsid w:val="008E336A"/>
    <w:pPr>
      <w:tabs>
        <w:tab w:val="right" w:leader="dot" w:pos="8640"/>
      </w:tabs>
      <w:spacing w:before="60" w:after="60"/>
      <w:ind w:left="1077" w:right="720" w:hanging="595"/>
    </w:pPr>
    <w:rPr>
      <w:noProof/>
    </w:rPr>
  </w:style>
  <w:style w:type="paragraph" w:styleId="TOC3">
    <w:name w:val="toc 3"/>
    <w:basedOn w:val="Normal"/>
    <w:next w:val="Normal"/>
    <w:uiPriority w:val="39"/>
    <w:rsid w:val="008E336A"/>
    <w:pPr>
      <w:tabs>
        <w:tab w:val="right" w:leader="dot" w:pos="8640"/>
      </w:tabs>
      <w:spacing w:before="60" w:after="60"/>
      <w:ind w:left="1916" w:right="720" w:hanging="839"/>
    </w:pPr>
  </w:style>
  <w:style w:type="paragraph" w:styleId="TOC4">
    <w:name w:val="toc 4"/>
    <w:basedOn w:val="Normal"/>
    <w:next w:val="Normal"/>
    <w:uiPriority w:val="39"/>
    <w:rsid w:val="008E336A"/>
    <w:pPr>
      <w:tabs>
        <w:tab w:val="right" w:leader="dot" w:pos="8640"/>
      </w:tabs>
      <w:spacing w:before="60" w:after="60"/>
      <w:ind w:left="2880" w:right="720" w:hanging="964"/>
    </w:pPr>
    <w:rPr>
      <w:noProof/>
    </w:rPr>
  </w:style>
  <w:style w:type="paragraph" w:styleId="TOC5">
    <w:name w:val="toc 5"/>
    <w:basedOn w:val="Normal"/>
    <w:next w:val="Normal"/>
    <w:uiPriority w:val="39"/>
    <w:rsid w:val="008E336A"/>
    <w:pPr>
      <w:tabs>
        <w:tab w:val="right" w:leader="dot" w:pos="8640"/>
      </w:tabs>
      <w:spacing w:before="240"/>
      <w:ind w:right="720"/>
    </w:pPr>
    <w:rPr>
      <w:caps/>
    </w:rPr>
  </w:style>
  <w:style w:type="paragraph" w:styleId="TOC6">
    <w:name w:val="toc 6"/>
    <w:basedOn w:val="Normal"/>
    <w:next w:val="Normal"/>
    <w:uiPriority w:val="39"/>
    <w:rsid w:val="008E336A"/>
    <w:pPr>
      <w:tabs>
        <w:tab w:val="right" w:leader="dot" w:pos="8640"/>
        <w:tab w:val="left" w:pos="2880"/>
      </w:tabs>
      <w:spacing w:before="120"/>
      <w:ind w:left="1916" w:right="720" w:hanging="1916"/>
    </w:pPr>
    <w:rPr>
      <w:caps/>
    </w:rPr>
  </w:style>
  <w:style w:type="paragraph" w:styleId="TOC7">
    <w:name w:val="toc 7"/>
    <w:basedOn w:val="Normal"/>
    <w:next w:val="Normal"/>
    <w:uiPriority w:val="39"/>
    <w:rsid w:val="008E336A"/>
    <w:pPr>
      <w:tabs>
        <w:tab w:val="left" w:pos="3685"/>
      </w:tabs>
      <w:spacing w:after="0"/>
      <w:ind w:left="2880" w:hanging="1349"/>
    </w:pPr>
  </w:style>
  <w:style w:type="paragraph" w:styleId="TOC8">
    <w:name w:val="toc 8"/>
    <w:basedOn w:val="Normal"/>
    <w:next w:val="Normal"/>
    <w:uiPriority w:val="39"/>
    <w:rsid w:val="008E336A"/>
    <w:pPr>
      <w:tabs>
        <w:tab w:val="right" w:leader="dot" w:pos="8640"/>
      </w:tabs>
    </w:pPr>
  </w:style>
  <w:style w:type="paragraph" w:styleId="TOC9">
    <w:name w:val="toc 9"/>
    <w:basedOn w:val="Normal"/>
    <w:next w:val="Normal"/>
    <w:uiPriority w:val="39"/>
    <w:rsid w:val="008E336A"/>
    <w:pPr>
      <w:tabs>
        <w:tab w:val="right" w:leader="dot" w:pos="8640"/>
      </w:tabs>
    </w:pPr>
  </w:style>
  <w:style w:type="paragraph" w:styleId="TOCHeading">
    <w:name w:val="TOC Heading"/>
    <w:basedOn w:val="Normal"/>
    <w:next w:val="Normal"/>
    <w:uiPriority w:val="39"/>
    <w:qFormat/>
    <w:rsid w:val="008E336A"/>
    <w:pPr>
      <w:spacing w:before="240" w:after="240"/>
      <w:jc w:val="center"/>
    </w:pPr>
    <w:rPr>
      <w:rFonts w:ascii="Times New Roman Bold" w:hAnsi="Times New Roman Bold"/>
      <w:b/>
      <w:caps/>
    </w:rPr>
  </w:style>
  <w:style w:type="paragraph" w:customStyle="1" w:styleId="TrsSecretUE">
    <w:name w:val="Très Secret UE"/>
    <w:basedOn w:val="Normal"/>
    <w:semiHidden/>
    <w:rsid w:val="008E336A"/>
    <w:pPr>
      <w:spacing w:after="0"/>
      <w:jc w:val="center"/>
    </w:pPr>
    <w:rPr>
      <w:b/>
      <w:caps/>
      <w:color w:val="FF0000"/>
      <w:sz w:val="32"/>
      <w:bdr w:val="single" w:sz="18" w:space="0" w:color="FF0000"/>
    </w:rPr>
  </w:style>
  <w:style w:type="paragraph" w:customStyle="1" w:styleId="ZCom">
    <w:name w:val="Z_Com"/>
    <w:basedOn w:val="Normal"/>
    <w:next w:val="ZDGName"/>
    <w:semiHidden/>
    <w:rsid w:val="008E336A"/>
    <w:pPr>
      <w:widowControl w:val="0"/>
      <w:spacing w:before="90" w:after="0"/>
      <w:ind w:right="85"/>
      <w:jc w:val="left"/>
    </w:pPr>
  </w:style>
  <w:style w:type="paragraph" w:customStyle="1" w:styleId="ZDGName">
    <w:name w:val="Z_DGName"/>
    <w:basedOn w:val="Normal"/>
    <w:semiHidden/>
    <w:rsid w:val="008E336A"/>
    <w:pPr>
      <w:widowControl w:val="0"/>
      <w:spacing w:after="0"/>
      <w:ind w:right="85"/>
      <w:jc w:val="left"/>
    </w:pPr>
    <w:rPr>
      <w:sz w:val="16"/>
    </w:rPr>
  </w:style>
  <w:style w:type="paragraph" w:customStyle="1" w:styleId="ZFlag">
    <w:name w:val="Z_Flag"/>
    <w:basedOn w:val="Normal"/>
    <w:next w:val="Normal"/>
    <w:semiHidden/>
    <w:rsid w:val="008E336A"/>
    <w:pPr>
      <w:widowControl w:val="0"/>
      <w:spacing w:after="0"/>
      <w:ind w:right="85"/>
    </w:pPr>
  </w:style>
  <w:style w:type="paragraph" w:styleId="Header">
    <w:name w:val="header"/>
    <w:basedOn w:val="Normal"/>
    <w:link w:val="HeaderChar"/>
    <w:semiHidden/>
    <w:rsid w:val="008E336A"/>
    <w:pPr>
      <w:tabs>
        <w:tab w:val="center" w:pos="4150"/>
        <w:tab w:val="right" w:pos="8306"/>
      </w:tabs>
      <w:spacing w:after="0"/>
    </w:pPr>
  </w:style>
  <w:style w:type="character" w:customStyle="1" w:styleId="HeaderChar">
    <w:name w:val="Header Char"/>
    <w:basedOn w:val="DefaultParagraphFont"/>
    <w:link w:val="Header"/>
    <w:semiHidden/>
    <w:rsid w:val="008E336A"/>
    <w:rPr>
      <w:rFonts w:eastAsia="Times New Roman"/>
      <w:lang w:eastAsia="fr-BE"/>
    </w:rPr>
  </w:style>
  <w:style w:type="table" w:customStyle="1" w:styleId="EurolookClassicBlue">
    <w:name w:val="Eurolook Classic Blue"/>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8E336A"/>
    <w:pPr>
      <w:spacing w:after="120"/>
      <w:jc w:val="both"/>
    </w:pPr>
    <w:rPr>
      <w:rFonts w:eastAsia="Times New Roman"/>
      <w:sz w:val="20"/>
      <w:lang w:val="en-IE" w:eastAsia="fr-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rsid w:val="008E336A"/>
    <w:pPr>
      <w:jc w:val="both"/>
    </w:pPr>
    <w:rPr>
      <w:rFonts w:eastAsia="Times New Roman"/>
      <w:lang w:eastAsia="fr-B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8E336A"/>
    <w:tblPr/>
  </w:style>
  <w:style w:type="table" w:styleId="TableGrid">
    <w:name w:val="Table Grid"/>
    <w:uiPriority w:val="59"/>
    <w:rsid w:val="008E336A"/>
    <w:pPr>
      <w:spacing w:after="120"/>
      <w:jc w:val="both"/>
    </w:pPr>
    <w:rPr>
      <w:rFonts w:eastAsia="Times New Roman"/>
      <w:lang w:eastAsia="fr-B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rsid w:val="008E336A"/>
    <w:pPr>
      <w:spacing w:after="120"/>
      <w:jc w:val="both"/>
    </w:pPr>
    <w:rPr>
      <w:rFonts w:eastAsia="Times New Roman"/>
      <w:lang w:eastAsia="fr-BE"/>
    </w:rPr>
    <w:tblPr>
      <w:tblCellMar>
        <w:left w:w="0" w:type="dxa"/>
        <w:bottom w:w="340" w:type="dxa"/>
        <w:right w:w="0" w:type="dxa"/>
      </w:tblCellMar>
    </w:tblPr>
  </w:style>
  <w:style w:type="paragraph" w:customStyle="1" w:styleId="Typedudocument">
    <w:name w:val="Type du document"/>
    <w:basedOn w:val="Normal"/>
    <w:next w:val="Normal"/>
    <w:rsid w:val="00B11396"/>
    <w:pPr>
      <w:spacing w:before="360" w:after="0"/>
      <w:jc w:val="center"/>
    </w:pPr>
    <w:rPr>
      <w:rFonts w:eastAsiaTheme="minorHAnsi"/>
      <w:b/>
      <w:szCs w:val="22"/>
      <w:lang w:eastAsia="en-US"/>
    </w:rPr>
  </w:style>
  <w:style w:type="paragraph" w:customStyle="1" w:styleId="Titreobjet">
    <w:name w:val="Titre objet"/>
    <w:basedOn w:val="Normal"/>
    <w:next w:val="Normal"/>
    <w:rsid w:val="00B11396"/>
    <w:pPr>
      <w:spacing w:before="360" w:after="360"/>
      <w:jc w:val="center"/>
    </w:pPr>
    <w:rPr>
      <w:rFonts w:eastAsiaTheme="minorHAnsi"/>
      <w:b/>
      <w:szCs w:val="22"/>
      <w:lang w:eastAsia="en-US"/>
    </w:rPr>
  </w:style>
  <w:style w:type="paragraph" w:styleId="ListParagraph">
    <w:name w:val="List Paragraph"/>
    <w:aliases w:val="Fiche List Paragraph,Normal bullet 2,Bullet list,List Paragraph1,Numbered List,1st level - Bullet List Paragraph,Lettre d'introduction,Paragrafo elenco,List Paragraph11,Normal bullet 21,List Paragraph111,Bullet list1,Dot pt,L,Task Body,EC"/>
    <w:basedOn w:val="Normal"/>
    <w:link w:val="ListParagraphChar"/>
    <w:qFormat/>
    <w:rsid w:val="00B11396"/>
    <w:pPr>
      <w:ind w:left="720"/>
      <w:contextualSpacing/>
    </w:pPr>
  </w:style>
  <w:style w:type="character" w:styleId="CommentReference">
    <w:name w:val="annotation reference"/>
    <w:basedOn w:val="DefaultParagraphFont"/>
    <w:uiPriority w:val="99"/>
    <w:semiHidden/>
    <w:rsid w:val="00701433"/>
    <w:rPr>
      <w:sz w:val="16"/>
      <w:szCs w:val="16"/>
    </w:rPr>
  </w:style>
  <w:style w:type="paragraph" w:styleId="CommentText">
    <w:name w:val="annotation text"/>
    <w:basedOn w:val="Normal"/>
    <w:link w:val="CommentTextChar"/>
    <w:uiPriority w:val="99"/>
    <w:rsid w:val="00701433"/>
    <w:rPr>
      <w:sz w:val="20"/>
    </w:rPr>
  </w:style>
  <w:style w:type="character" w:customStyle="1" w:styleId="CommentTextChar">
    <w:name w:val="Comment Text Char"/>
    <w:basedOn w:val="DefaultParagraphFont"/>
    <w:link w:val="CommentText"/>
    <w:uiPriority w:val="99"/>
    <w:rsid w:val="00701433"/>
    <w:rPr>
      <w:sz w:val="20"/>
    </w:rPr>
  </w:style>
  <w:style w:type="paragraph" w:styleId="CommentSubject">
    <w:name w:val="annotation subject"/>
    <w:basedOn w:val="CommentText"/>
    <w:next w:val="CommentText"/>
    <w:link w:val="CommentSubjectChar"/>
    <w:uiPriority w:val="99"/>
    <w:semiHidden/>
    <w:rsid w:val="00701433"/>
    <w:rPr>
      <w:b/>
      <w:bCs/>
    </w:rPr>
  </w:style>
  <w:style w:type="character" w:customStyle="1" w:styleId="CommentSubjectChar">
    <w:name w:val="Comment Subject Char"/>
    <w:basedOn w:val="CommentTextChar"/>
    <w:link w:val="CommentSubject"/>
    <w:uiPriority w:val="99"/>
    <w:semiHidden/>
    <w:rsid w:val="00701433"/>
    <w:rPr>
      <w:b/>
      <w:bCs/>
      <w:sz w:val="20"/>
    </w:rPr>
  </w:style>
  <w:style w:type="paragraph" w:customStyle="1" w:styleId="pf1">
    <w:name w:val="pf1"/>
    <w:basedOn w:val="Normal"/>
    <w:rsid w:val="00553534"/>
    <w:pPr>
      <w:spacing w:before="100" w:beforeAutospacing="1" w:after="100" w:afterAutospacing="1"/>
      <w:ind w:left="300"/>
      <w:jc w:val="left"/>
    </w:pPr>
    <w:rPr>
      <w:szCs w:val="24"/>
      <w:lang w:val="en-IE"/>
    </w:rPr>
  </w:style>
  <w:style w:type="paragraph" w:customStyle="1" w:styleId="pf0">
    <w:name w:val="pf0"/>
    <w:basedOn w:val="Normal"/>
    <w:rsid w:val="00553534"/>
    <w:pPr>
      <w:spacing w:before="100" w:beforeAutospacing="1" w:after="100" w:afterAutospacing="1"/>
      <w:jc w:val="left"/>
    </w:pPr>
    <w:rPr>
      <w:szCs w:val="24"/>
      <w:lang w:val="en-IE"/>
    </w:rPr>
  </w:style>
  <w:style w:type="character" w:customStyle="1" w:styleId="cf01">
    <w:name w:val="cf01"/>
    <w:basedOn w:val="DefaultParagraphFont"/>
    <w:rsid w:val="00553534"/>
    <w:rPr>
      <w:rFonts w:ascii="Segoe UI" w:hAnsi="Segoe UI" w:cs="Segoe UI" w:hint="default"/>
      <w:sz w:val="18"/>
      <w:szCs w:val="18"/>
    </w:rPr>
  </w:style>
  <w:style w:type="paragraph" w:styleId="Revision">
    <w:name w:val="Revision"/>
    <w:hidden/>
    <w:uiPriority w:val="99"/>
    <w:semiHidden/>
    <w:rsid w:val="008C35C0"/>
  </w:style>
  <w:style w:type="character" w:styleId="EndnoteReference">
    <w:name w:val="endnote reference"/>
    <w:basedOn w:val="DefaultParagraphFont"/>
    <w:uiPriority w:val="99"/>
    <w:semiHidden/>
    <w:rsid w:val="00051DE2"/>
    <w:rPr>
      <w:vertAlign w:val="superscript"/>
    </w:rPr>
  </w:style>
  <w:style w:type="paragraph" w:styleId="NormalWeb">
    <w:name w:val="Normal (Web)"/>
    <w:basedOn w:val="Normal"/>
    <w:uiPriority w:val="99"/>
    <w:unhideWhenUsed/>
    <w:rsid w:val="00E2035C"/>
    <w:pPr>
      <w:spacing w:before="100" w:beforeAutospacing="1" w:after="100" w:afterAutospacing="1"/>
      <w:jc w:val="left"/>
    </w:pPr>
    <w:rPr>
      <w:szCs w:val="24"/>
      <w:lang w:val="en-IE"/>
    </w:rPr>
  </w:style>
  <w:style w:type="character" w:customStyle="1" w:styleId="Heading3Char">
    <w:name w:val="Heading 3 Char"/>
    <w:basedOn w:val="DefaultParagraphFont"/>
    <w:link w:val="Heading3"/>
    <w:uiPriority w:val="10"/>
    <w:rsid w:val="00242109"/>
    <w:rPr>
      <w:rFonts w:eastAsia="Times New Roman"/>
      <w:i/>
      <w:lang w:eastAsia="fr-BE"/>
    </w:rPr>
  </w:style>
  <w:style w:type="character" w:styleId="Hyperlink">
    <w:name w:val="Hyperlink"/>
    <w:basedOn w:val="DefaultParagraphFont"/>
    <w:uiPriority w:val="99"/>
    <w:unhideWhenUsed/>
    <w:rsid w:val="008E336A"/>
    <w:rPr>
      <w:color w:val="467886" w:themeColor="hyperlink"/>
      <w:u w:val="single"/>
    </w:rPr>
  </w:style>
  <w:style w:type="character" w:customStyle="1" w:styleId="UnresolvedMention">
    <w:name w:val="Unresolved Mention"/>
    <w:basedOn w:val="DefaultParagraphFont"/>
    <w:uiPriority w:val="99"/>
    <w:semiHidden/>
    <w:unhideWhenUsed/>
    <w:rsid w:val="003E2A8D"/>
    <w:rPr>
      <w:color w:val="605E5C"/>
      <w:shd w:val="clear" w:color="auto" w:fill="E1DFDD"/>
    </w:rPr>
  </w:style>
  <w:style w:type="character" w:styleId="Strong">
    <w:name w:val="Strong"/>
    <w:basedOn w:val="DefaultParagraphFont"/>
    <w:uiPriority w:val="22"/>
    <w:qFormat/>
    <w:rsid w:val="008C6C54"/>
    <w:rPr>
      <w:b/>
      <w:bCs/>
    </w:rPr>
  </w:style>
  <w:style w:type="paragraph" w:customStyle="1" w:styleId="Point0letter">
    <w:name w:val="Point 0 (letter)"/>
    <w:basedOn w:val="Normal"/>
    <w:uiPriority w:val="20"/>
    <w:semiHidden/>
    <w:rsid w:val="008E336A"/>
    <w:pPr>
      <w:numPr>
        <w:ilvl w:val="1"/>
        <w:numId w:val="28"/>
      </w:numPr>
    </w:pPr>
  </w:style>
  <w:style w:type="paragraph" w:customStyle="1" w:styleId="Point0number">
    <w:name w:val="Point 0 (number)"/>
    <w:basedOn w:val="Normal"/>
    <w:uiPriority w:val="20"/>
    <w:rsid w:val="008E336A"/>
    <w:pPr>
      <w:numPr>
        <w:numId w:val="28"/>
      </w:numPr>
    </w:pPr>
  </w:style>
  <w:style w:type="paragraph" w:customStyle="1" w:styleId="Point1letter">
    <w:name w:val="Point 1 (letter)"/>
    <w:basedOn w:val="Normal"/>
    <w:uiPriority w:val="20"/>
    <w:rsid w:val="008E336A"/>
    <w:pPr>
      <w:numPr>
        <w:ilvl w:val="3"/>
        <w:numId w:val="28"/>
      </w:numPr>
    </w:pPr>
  </w:style>
  <w:style w:type="paragraph" w:customStyle="1" w:styleId="Point1number">
    <w:name w:val="Point 1 (number)"/>
    <w:basedOn w:val="Normal"/>
    <w:uiPriority w:val="20"/>
    <w:semiHidden/>
    <w:rsid w:val="008E336A"/>
    <w:pPr>
      <w:numPr>
        <w:ilvl w:val="2"/>
        <w:numId w:val="28"/>
      </w:numPr>
    </w:pPr>
  </w:style>
  <w:style w:type="paragraph" w:customStyle="1" w:styleId="Point2letter">
    <w:name w:val="Point 2 (letter)"/>
    <w:basedOn w:val="Normal"/>
    <w:uiPriority w:val="20"/>
    <w:semiHidden/>
    <w:rsid w:val="008E336A"/>
    <w:pPr>
      <w:numPr>
        <w:ilvl w:val="5"/>
        <w:numId w:val="28"/>
      </w:numPr>
    </w:pPr>
  </w:style>
  <w:style w:type="paragraph" w:customStyle="1" w:styleId="Point2number">
    <w:name w:val="Point 2 (number)"/>
    <w:basedOn w:val="Normal"/>
    <w:uiPriority w:val="20"/>
    <w:rsid w:val="008E336A"/>
    <w:pPr>
      <w:numPr>
        <w:ilvl w:val="4"/>
        <w:numId w:val="28"/>
      </w:numPr>
    </w:pPr>
  </w:style>
  <w:style w:type="paragraph" w:customStyle="1" w:styleId="Point3letter">
    <w:name w:val="Point 3 (letter)"/>
    <w:basedOn w:val="Normal"/>
    <w:uiPriority w:val="20"/>
    <w:semiHidden/>
    <w:rsid w:val="008E336A"/>
    <w:pPr>
      <w:numPr>
        <w:ilvl w:val="7"/>
        <w:numId w:val="28"/>
      </w:numPr>
    </w:pPr>
  </w:style>
  <w:style w:type="paragraph" w:customStyle="1" w:styleId="Point3number">
    <w:name w:val="Point 3 (number)"/>
    <w:basedOn w:val="Normal"/>
    <w:uiPriority w:val="20"/>
    <w:semiHidden/>
    <w:rsid w:val="008E336A"/>
    <w:pPr>
      <w:numPr>
        <w:ilvl w:val="6"/>
        <w:numId w:val="28"/>
      </w:numPr>
    </w:pPr>
  </w:style>
  <w:style w:type="paragraph" w:customStyle="1" w:styleId="Point4letter">
    <w:name w:val="Point 4 (letter)"/>
    <w:basedOn w:val="Normal"/>
    <w:uiPriority w:val="20"/>
    <w:semiHidden/>
    <w:rsid w:val="008E336A"/>
    <w:pPr>
      <w:numPr>
        <w:ilvl w:val="8"/>
        <w:numId w:val="28"/>
      </w:numPr>
    </w:pPr>
  </w:style>
  <w:style w:type="paragraph" w:customStyle="1" w:styleId="Tiret3">
    <w:name w:val="Tiret 3"/>
    <w:basedOn w:val="Point3"/>
    <w:semiHidden/>
    <w:rsid w:val="008E336A"/>
    <w:pPr>
      <w:numPr>
        <w:numId w:val="35"/>
      </w:numPr>
    </w:pPr>
  </w:style>
  <w:style w:type="character" w:customStyle="1" w:styleId="FootnoteTextChar">
    <w:name w:val="Footnote Text Char"/>
    <w:aliases w:val="fn Char,Footnote Text Char Car Char,ALTS FOOTNOTE Char1,Mod-Footnote Text Char,ALTS FOOTNOTE Char Char,Footnote Text Char1 Char Char,Footnote Text Char Char1 Char Char,ft Char Char Char Char,Footnote Text Char3 Char Char Char Char"/>
    <w:basedOn w:val="DefaultParagraphFont"/>
    <w:link w:val="FootnoteText"/>
    <w:uiPriority w:val="99"/>
    <w:rsid w:val="00907D7C"/>
    <w:rPr>
      <w:rFonts w:eastAsia="Times New Roman"/>
      <w:sz w:val="20"/>
      <w:lang w:eastAsia="fr-BE"/>
    </w:rPr>
  </w:style>
  <w:style w:type="character" w:customStyle="1" w:styleId="ListParagraphChar">
    <w:name w:val="List Paragraph Char"/>
    <w:aliases w:val="Fiche List Paragraph Char,Normal bullet 2 Char,Bullet list Char,List Paragraph1 Char,Numbered List Char,1st level - Bullet List Paragraph Char,Lettre d'introduction Char,Paragrafo elenco Char,List Paragraph11 Char,Bullet list1 Char"/>
    <w:link w:val="ListParagraph"/>
    <w:uiPriority w:val="34"/>
    <w:qFormat/>
    <w:locked/>
    <w:rsid w:val="009C23C9"/>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9C23C9"/>
    <w:pPr>
      <w:spacing w:after="160" w:line="240" w:lineRule="exact"/>
    </w:pPr>
    <w:rPr>
      <w:rFonts w:eastAsiaTheme="minorEastAsia"/>
      <w:vertAlign w:val="superscript"/>
      <w:lang w:eastAsia="en-IE"/>
    </w:rPr>
  </w:style>
  <w:style w:type="paragraph" w:customStyle="1" w:styleId="TableHeading">
    <w:name w:val="Table Heading"/>
    <w:basedOn w:val="TableText"/>
    <w:uiPriority w:val="34"/>
    <w:qFormat/>
    <w:rsid w:val="00E23B80"/>
    <w:pPr>
      <w:spacing w:before="0" w:after="0"/>
      <w:ind w:left="113"/>
    </w:pPr>
    <w:rPr>
      <w:rFonts w:ascii="Calibri" w:eastAsiaTheme="minorHAnsi" w:hAnsi="Calibri" w:cstheme="minorBidi"/>
      <w:b/>
      <w:color w:val="06357A"/>
      <w:sz w:val="20"/>
      <w:szCs w:val="22"/>
      <w:lang w:eastAsia="en-US"/>
    </w:rPr>
  </w:style>
  <w:style w:type="numbering" w:customStyle="1" w:styleId="NumbListTable">
    <w:name w:val="NumbListTable"/>
    <w:uiPriority w:val="99"/>
    <w:rsid w:val="00E23B80"/>
    <w:pPr>
      <w:numPr>
        <w:numId w:val="19"/>
      </w:numPr>
    </w:pPr>
  </w:style>
  <w:style w:type="numbering" w:customStyle="1" w:styleId="NumblistFigures">
    <w:name w:val="NumblistFigures"/>
    <w:uiPriority w:val="99"/>
    <w:rsid w:val="00E23B80"/>
    <w:pPr>
      <w:numPr>
        <w:numId w:val="20"/>
      </w:numPr>
    </w:pPr>
  </w:style>
  <w:style w:type="paragraph" w:customStyle="1" w:styleId="TableNote">
    <w:name w:val="Table Note"/>
    <w:basedOn w:val="TableSource"/>
    <w:next w:val="TableSource"/>
    <w:uiPriority w:val="35"/>
    <w:qFormat/>
    <w:rsid w:val="00E23B80"/>
    <w:pPr>
      <w:spacing w:after="60"/>
      <w:jc w:val="left"/>
    </w:pPr>
    <w:rPr>
      <w:rFonts w:ascii="Calibri" w:eastAsiaTheme="minorHAnsi" w:hAnsi="Calibri" w:cstheme="minorBidi"/>
      <w:sz w:val="16"/>
      <w:szCs w:val="22"/>
      <w:lang w:eastAsia="en-US"/>
    </w:rPr>
  </w:style>
  <w:style w:type="paragraph" w:customStyle="1" w:styleId="MinorBullet1">
    <w:name w:val="Minor Bullet 1"/>
    <w:basedOn w:val="Normal"/>
    <w:uiPriority w:val="8"/>
    <w:qFormat/>
    <w:rsid w:val="00E23B80"/>
    <w:pPr>
      <w:numPr>
        <w:numId w:val="21"/>
      </w:numPr>
      <w:spacing w:before="60" w:after="60"/>
    </w:pPr>
    <w:rPr>
      <w:rFonts w:ascii="Calibri" w:eastAsiaTheme="minorHAnsi" w:hAnsi="Calibri" w:cstheme="minorBidi"/>
      <w:sz w:val="22"/>
      <w:szCs w:val="22"/>
      <w:lang w:eastAsia="en-US"/>
    </w:rPr>
  </w:style>
  <w:style w:type="paragraph" w:customStyle="1" w:styleId="MinorBullet2">
    <w:name w:val="Minor Bullet 2"/>
    <w:basedOn w:val="Normal"/>
    <w:uiPriority w:val="8"/>
    <w:qFormat/>
    <w:rsid w:val="00E23B80"/>
    <w:pPr>
      <w:numPr>
        <w:ilvl w:val="1"/>
        <w:numId w:val="21"/>
      </w:numPr>
      <w:spacing w:before="60" w:after="60"/>
    </w:pPr>
    <w:rPr>
      <w:rFonts w:ascii="Calibri" w:eastAsiaTheme="minorHAnsi" w:hAnsi="Calibri" w:cstheme="minorBidi"/>
      <w:sz w:val="22"/>
      <w:szCs w:val="22"/>
      <w:lang w:eastAsia="en-US"/>
    </w:rPr>
  </w:style>
  <w:style w:type="paragraph" w:customStyle="1" w:styleId="MinorBullet3">
    <w:name w:val="Minor Bullet 3"/>
    <w:basedOn w:val="Normal"/>
    <w:uiPriority w:val="8"/>
    <w:qFormat/>
    <w:rsid w:val="00E23B80"/>
    <w:pPr>
      <w:numPr>
        <w:ilvl w:val="2"/>
        <w:numId w:val="21"/>
      </w:numPr>
      <w:spacing w:before="60" w:after="60"/>
    </w:pPr>
    <w:rPr>
      <w:rFonts w:ascii="Calibri" w:eastAsiaTheme="minorHAnsi" w:hAnsi="Calibri" w:cstheme="minorBidi"/>
      <w:sz w:val="22"/>
      <w:szCs w:val="22"/>
      <w:lang w:eastAsia="en-US"/>
    </w:rPr>
  </w:style>
  <w:style w:type="numbering" w:customStyle="1" w:styleId="NumbListMinorBullet">
    <w:name w:val="NumbList Minor Bullet"/>
    <w:uiPriority w:val="99"/>
    <w:rsid w:val="00E23B80"/>
    <w:pPr>
      <w:numPr>
        <w:numId w:val="21"/>
      </w:numPr>
    </w:pPr>
  </w:style>
  <w:style w:type="character" w:styleId="FollowedHyperlink">
    <w:name w:val="FollowedHyperlink"/>
    <w:basedOn w:val="DefaultParagraphFont"/>
    <w:uiPriority w:val="99"/>
    <w:semiHidden/>
    <w:rsid w:val="007B1616"/>
    <w:rPr>
      <w:color w:val="96607D" w:themeColor="followedHyperlink"/>
      <w:u w:val="single"/>
    </w:rPr>
  </w:style>
  <w:style w:type="table" w:styleId="ListTable3">
    <w:name w:val="List Table 3"/>
    <w:basedOn w:val="TableNormal"/>
    <w:uiPriority w:val="48"/>
    <w:rsid w:val="009933E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
    <w:name w:val="List Table 4"/>
    <w:basedOn w:val="TableNormal"/>
    <w:uiPriority w:val="49"/>
    <w:rsid w:val="009933E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ableofFigures">
    <w:name w:val="table of figures"/>
    <w:basedOn w:val="Normal"/>
    <w:next w:val="Normal"/>
    <w:uiPriority w:val="99"/>
    <w:rsid w:val="005461C2"/>
    <w:pPr>
      <w:spacing w:after="0"/>
    </w:pPr>
  </w:style>
  <w:style w:type="table" w:styleId="TableGridLight">
    <w:name w:val="Grid Table Light"/>
    <w:basedOn w:val="TableNormal"/>
    <w:uiPriority w:val="40"/>
    <w:rsid w:val="00BA064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ddress">
    <w:name w:val="Address"/>
    <w:basedOn w:val="Normal"/>
    <w:semiHidden/>
    <w:rsid w:val="008E336A"/>
    <w:pPr>
      <w:spacing w:after="0"/>
      <w:contextualSpacing/>
      <w:jc w:val="left"/>
    </w:pPr>
  </w:style>
  <w:style w:type="table" w:customStyle="1" w:styleId="AddressTableOfficial">
    <w:name w:val="Address Table Official"/>
    <w:basedOn w:val="HelperTableBase"/>
    <w:semiHidden/>
    <w:rsid w:val="008E336A"/>
    <w:tblPr>
      <w:tblCellMar>
        <w:top w:w="240" w:type="dxa"/>
      </w:tblCellMar>
    </w:tblPr>
  </w:style>
  <w:style w:type="table" w:customStyle="1" w:styleId="AddressTableTop">
    <w:name w:val="Address Table Top"/>
    <w:basedOn w:val="HelperTableBase"/>
    <w:semiHidden/>
    <w:rsid w:val="008E336A"/>
    <w:tblPr>
      <w:tblCellMar>
        <w:bottom w:w="794" w:type="dxa"/>
      </w:tblCellMar>
    </w:tblPr>
  </w:style>
  <w:style w:type="paragraph" w:customStyle="1" w:styleId="AddressTL">
    <w:name w:val="AddressTL"/>
    <w:basedOn w:val="Normal"/>
    <w:semiHidden/>
    <w:rsid w:val="008E336A"/>
    <w:pPr>
      <w:spacing w:after="840"/>
      <w:contextualSpacing/>
      <w:jc w:val="left"/>
    </w:pPr>
  </w:style>
  <w:style w:type="paragraph" w:customStyle="1" w:styleId="AddressTR">
    <w:name w:val="AddressTR"/>
    <w:basedOn w:val="Normal"/>
    <w:semiHidden/>
    <w:rsid w:val="008E336A"/>
    <w:pPr>
      <w:spacing w:after="840"/>
      <w:ind w:left="5102"/>
      <w:contextualSpacing/>
      <w:jc w:val="left"/>
    </w:pPr>
  </w:style>
  <w:style w:type="paragraph" w:customStyle="1" w:styleId="AnnexeTitre">
    <w:name w:val="Annexe Titre"/>
    <w:basedOn w:val="Normal"/>
    <w:next w:val="Normal"/>
    <w:uiPriority w:val="45"/>
    <w:semiHidden/>
    <w:unhideWhenUsed/>
    <w:qFormat/>
    <w:rsid w:val="008E336A"/>
    <w:pPr>
      <w:pageBreakBefore/>
      <w:spacing w:after="480"/>
      <w:jc w:val="center"/>
      <w:outlineLvl w:val="0"/>
    </w:pPr>
    <w:rPr>
      <w:b/>
      <w:caps/>
      <w:u w:val="single"/>
    </w:rPr>
  </w:style>
  <w:style w:type="paragraph" w:customStyle="1" w:styleId="Bullet0">
    <w:name w:val="Bullet 0"/>
    <w:basedOn w:val="Normal"/>
    <w:semiHidden/>
    <w:rsid w:val="008E336A"/>
    <w:pPr>
      <w:numPr>
        <w:numId w:val="22"/>
      </w:numPr>
    </w:pPr>
  </w:style>
  <w:style w:type="paragraph" w:customStyle="1" w:styleId="Bullet1">
    <w:name w:val="Bullet 1"/>
    <w:basedOn w:val="Normal"/>
    <w:uiPriority w:val="30"/>
    <w:rsid w:val="008E336A"/>
    <w:pPr>
      <w:numPr>
        <w:numId w:val="23"/>
      </w:numPr>
    </w:pPr>
  </w:style>
  <w:style w:type="paragraph" w:customStyle="1" w:styleId="Bullet2">
    <w:name w:val="Bullet 2"/>
    <w:basedOn w:val="Normal"/>
    <w:uiPriority w:val="30"/>
    <w:rsid w:val="008E336A"/>
    <w:pPr>
      <w:numPr>
        <w:numId w:val="24"/>
      </w:numPr>
    </w:pPr>
  </w:style>
  <w:style w:type="paragraph" w:customStyle="1" w:styleId="Bullet3">
    <w:name w:val="Bullet 3"/>
    <w:basedOn w:val="Normal"/>
    <w:semiHidden/>
    <w:rsid w:val="008E336A"/>
    <w:pPr>
      <w:numPr>
        <w:numId w:val="25"/>
      </w:numPr>
    </w:pPr>
  </w:style>
  <w:style w:type="paragraph" w:customStyle="1" w:styleId="Bullet4">
    <w:name w:val="Bullet 4"/>
    <w:basedOn w:val="Normal"/>
    <w:semiHidden/>
    <w:rsid w:val="008E336A"/>
    <w:pPr>
      <w:numPr>
        <w:numId w:val="26"/>
      </w:numPr>
    </w:pPr>
  </w:style>
  <w:style w:type="paragraph" w:styleId="Closing">
    <w:name w:val="Closing"/>
    <w:basedOn w:val="Normal"/>
    <w:next w:val="Signature"/>
    <w:link w:val="ClosingChar"/>
    <w:semiHidden/>
    <w:rsid w:val="008E336A"/>
    <w:pPr>
      <w:tabs>
        <w:tab w:val="left" w:pos="5102"/>
      </w:tabs>
      <w:spacing w:before="240"/>
      <w:ind w:left="5102"/>
      <w:jc w:val="left"/>
    </w:pPr>
  </w:style>
  <w:style w:type="character" w:customStyle="1" w:styleId="ClosingChar">
    <w:name w:val="Closing Char"/>
    <w:basedOn w:val="DefaultParagraphFont"/>
    <w:link w:val="Closing"/>
    <w:semiHidden/>
    <w:rsid w:val="008E336A"/>
    <w:rPr>
      <w:rFonts w:eastAsia="Times New Roman"/>
      <w:lang w:eastAsia="fr-BE"/>
    </w:rPr>
  </w:style>
  <w:style w:type="paragraph" w:customStyle="1" w:styleId="ClosingL">
    <w:name w:val="ClosingL"/>
    <w:basedOn w:val="Normal"/>
    <w:next w:val="Signature"/>
    <w:semiHidden/>
    <w:rsid w:val="008E336A"/>
    <w:pPr>
      <w:spacing w:before="240"/>
      <w:jc w:val="left"/>
    </w:pPr>
  </w:style>
  <w:style w:type="paragraph" w:customStyle="1" w:styleId="Copies">
    <w:name w:val="Copies"/>
    <w:basedOn w:val="Normal"/>
    <w:semiHidden/>
    <w:rsid w:val="008E336A"/>
    <w:pPr>
      <w:tabs>
        <w:tab w:val="left" w:pos="5669"/>
      </w:tabs>
      <w:spacing w:before="480" w:after="0"/>
      <w:ind w:left="1531" w:hanging="1531"/>
      <w:contextualSpacing/>
      <w:jc w:val="left"/>
    </w:pPr>
  </w:style>
  <w:style w:type="paragraph" w:customStyle="1" w:styleId="Enclosures">
    <w:name w:val="Enclosures"/>
    <w:basedOn w:val="Normal"/>
    <w:semiHidden/>
    <w:rsid w:val="008E336A"/>
    <w:pPr>
      <w:keepNext/>
      <w:keepLines/>
      <w:tabs>
        <w:tab w:val="left" w:pos="5669"/>
      </w:tabs>
      <w:spacing w:before="480" w:after="0"/>
      <w:ind w:left="1531" w:hanging="1531"/>
      <w:contextualSpacing/>
      <w:jc w:val="left"/>
    </w:pPr>
  </w:style>
  <w:style w:type="paragraph" w:customStyle="1" w:styleId="Figure">
    <w:name w:val="Figure"/>
    <w:unhideWhenUsed/>
    <w:rsid w:val="008E336A"/>
    <w:pPr>
      <w:keepNext/>
      <w:spacing w:before="120" w:after="120"/>
      <w:jc w:val="both"/>
    </w:pPr>
    <w:rPr>
      <w:rFonts w:eastAsia="Times New Roman"/>
      <w:lang w:eastAsia="fr-BE"/>
    </w:rPr>
  </w:style>
  <w:style w:type="character" w:customStyle="1" w:styleId="Marker2">
    <w:name w:val="Marker2"/>
    <w:basedOn w:val="PlaceholderText"/>
    <w:semiHidden/>
    <w:rsid w:val="008E336A"/>
    <w:rPr>
      <w:color w:val="FF0000"/>
    </w:rPr>
  </w:style>
  <w:style w:type="table" w:customStyle="1" w:styleId="NoteTable">
    <w:name w:val="Note Table"/>
    <w:basedOn w:val="HelperTableBase"/>
    <w:semiHidden/>
    <w:rsid w:val="008E336A"/>
    <w:tblPr>
      <w:tblCellMar>
        <w:left w:w="108" w:type="dxa"/>
        <w:right w:w="108" w:type="dxa"/>
      </w:tblCellMar>
    </w:tblPr>
  </w:style>
  <w:style w:type="paragraph" w:customStyle="1" w:styleId="NoteAddressee">
    <w:name w:val="NoteAddressee"/>
    <w:basedOn w:val="Normal"/>
    <w:semiHidden/>
    <w:rsid w:val="008E336A"/>
    <w:pPr>
      <w:spacing w:after="720"/>
      <w:contextualSpacing/>
      <w:jc w:val="center"/>
    </w:pPr>
    <w:rPr>
      <w:b/>
      <w:smallCaps/>
    </w:rPr>
  </w:style>
  <w:style w:type="paragraph" w:customStyle="1" w:styleId="NoteColumn">
    <w:name w:val="NoteColumn"/>
    <w:basedOn w:val="Normal"/>
    <w:semiHidden/>
    <w:rsid w:val="008E336A"/>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rsid w:val="008E336A"/>
    <w:pPr>
      <w:spacing w:before="720" w:after="720"/>
      <w:contextualSpacing/>
      <w:jc w:val="center"/>
    </w:pPr>
    <w:rPr>
      <w:b/>
      <w:smallCaps/>
    </w:rPr>
  </w:style>
  <w:style w:type="paragraph" w:customStyle="1" w:styleId="NoteList">
    <w:name w:val="NoteList"/>
    <w:basedOn w:val="Normal"/>
    <w:semiHidden/>
    <w:rsid w:val="008E336A"/>
    <w:pPr>
      <w:tabs>
        <w:tab w:val="left" w:pos="5822"/>
      </w:tabs>
      <w:spacing w:before="720" w:after="720"/>
      <w:ind w:left="5102" w:hanging="3118"/>
      <w:contextualSpacing/>
      <w:jc w:val="left"/>
    </w:pPr>
    <w:rPr>
      <w:b/>
      <w:smallCaps/>
    </w:rPr>
  </w:style>
  <w:style w:type="paragraph" w:customStyle="1" w:styleId="NoteTitle">
    <w:name w:val="NoteTitle"/>
    <w:basedOn w:val="Normal"/>
    <w:semiHidden/>
    <w:rsid w:val="008E336A"/>
    <w:pPr>
      <w:spacing w:before="720" w:after="360"/>
      <w:contextualSpacing/>
      <w:jc w:val="center"/>
    </w:pPr>
    <w:rPr>
      <w:b/>
      <w:smallCaps/>
    </w:rPr>
  </w:style>
  <w:style w:type="paragraph" w:customStyle="1" w:styleId="Opening">
    <w:name w:val="Opening"/>
    <w:basedOn w:val="Normal"/>
    <w:semiHidden/>
    <w:rsid w:val="008E336A"/>
    <w:pPr>
      <w:spacing w:before="480" w:after="480"/>
      <w:jc w:val="left"/>
    </w:pPr>
  </w:style>
  <w:style w:type="paragraph" w:customStyle="1" w:styleId="Participants">
    <w:name w:val="Participants"/>
    <w:basedOn w:val="Normal"/>
    <w:semiHidden/>
    <w:rsid w:val="008E336A"/>
    <w:pPr>
      <w:tabs>
        <w:tab w:val="left" w:pos="2551"/>
        <w:tab w:val="left" w:pos="2835"/>
        <w:tab w:val="left" w:pos="5669"/>
        <w:tab w:val="left" w:pos="6378"/>
        <w:tab w:val="left" w:pos="6803"/>
      </w:tabs>
      <w:spacing w:before="480" w:after="0"/>
      <w:ind w:left="1531" w:hanging="1531"/>
      <w:contextualSpacing/>
      <w:jc w:val="left"/>
    </w:pPr>
  </w:style>
  <w:style w:type="paragraph" w:customStyle="1" w:styleId="Point0">
    <w:name w:val="Point 0"/>
    <w:basedOn w:val="Normal"/>
    <w:uiPriority w:val="20"/>
    <w:semiHidden/>
    <w:rsid w:val="008E336A"/>
    <w:pPr>
      <w:ind w:left="567" w:hanging="567"/>
    </w:pPr>
  </w:style>
  <w:style w:type="paragraph" w:customStyle="1" w:styleId="Point1">
    <w:name w:val="Point 1"/>
    <w:basedOn w:val="Normal"/>
    <w:uiPriority w:val="20"/>
    <w:semiHidden/>
    <w:rsid w:val="008E336A"/>
    <w:pPr>
      <w:ind w:left="1417" w:hanging="567"/>
    </w:pPr>
  </w:style>
  <w:style w:type="paragraph" w:customStyle="1" w:styleId="Point2">
    <w:name w:val="Point 2"/>
    <w:basedOn w:val="Normal"/>
    <w:uiPriority w:val="20"/>
    <w:semiHidden/>
    <w:rsid w:val="008E336A"/>
    <w:pPr>
      <w:ind w:left="1984" w:hanging="567"/>
    </w:pPr>
  </w:style>
  <w:style w:type="paragraph" w:customStyle="1" w:styleId="Point3">
    <w:name w:val="Point 3"/>
    <w:basedOn w:val="Normal"/>
    <w:uiPriority w:val="20"/>
    <w:semiHidden/>
    <w:rsid w:val="008E336A"/>
    <w:pPr>
      <w:ind w:left="2551" w:hanging="567"/>
    </w:pPr>
  </w:style>
  <w:style w:type="paragraph" w:customStyle="1" w:styleId="Point4">
    <w:name w:val="Point 4"/>
    <w:basedOn w:val="Normal"/>
    <w:uiPriority w:val="20"/>
    <w:semiHidden/>
    <w:rsid w:val="008E336A"/>
    <w:pPr>
      <w:ind w:left="3118" w:hanging="567"/>
    </w:pPr>
  </w:style>
  <w:style w:type="paragraph" w:customStyle="1" w:styleId="Point5">
    <w:name w:val="Point 5"/>
    <w:basedOn w:val="Normal"/>
    <w:uiPriority w:val="20"/>
    <w:semiHidden/>
    <w:rsid w:val="008E336A"/>
    <w:pPr>
      <w:ind w:left="3685" w:hanging="567"/>
    </w:pPr>
  </w:style>
  <w:style w:type="paragraph" w:customStyle="1" w:styleId="Rfrenceinstitutionnelle">
    <w:name w:val="Référence institutionnelle"/>
    <w:basedOn w:val="Normal"/>
    <w:semiHidden/>
    <w:rsid w:val="008E336A"/>
    <w:pPr>
      <w:spacing w:after="360"/>
      <w:ind w:left="5102" w:right="-567"/>
      <w:jc w:val="left"/>
    </w:pPr>
  </w:style>
  <w:style w:type="paragraph" w:customStyle="1" w:styleId="RegisteredLetter">
    <w:name w:val="Registered Letter"/>
    <w:basedOn w:val="Normal"/>
    <w:semiHidden/>
    <w:rsid w:val="008E336A"/>
    <w:rPr>
      <w:u w:val="single"/>
    </w:rPr>
  </w:style>
  <w:style w:type="paragraph" w:customStyle="1" w:styleId="Source">
    <w:name w:val="Source"/>
    <w:basedOn w:val="Normal"/>
    <w:next w:val="Normal"/>
    <w:uiPriority w:val="99"/>
    <w:unhideWhenUsed/>
    <w:rsid w:val="008E336A"/>
    <w:pPr>
      <w:keepLines/>
      <w:spacing w:before="120"/>
    </w:pPr>
    <w:rPr>
      <w:i/>
      <w:sz w:val="20"/>
    </w:rPr>
  </w:style>
  <w:style w:type="paragraph" w:customStyle="1" w:styleId="Subject">
    <w:name w:val="Subject"/>
    <w:basedOn w:val="Normal"/>
    <w:semiHidden/>
    <w:rsid w:val="008E336A"/>
    <w:pPr>
      <w:spacing w:after="240"/>
      <w:ind w:left="1191" w:hanging="1191"/>
      <w:contextualSpacing/>
      <w:jc w:val="left"/>
    </w:pPr>
    <w:rPr>
      <w:b/>
    </w:rPr>
  </w:style>
  <w:style w:type="paragraph" w:customStyle="1" w:styleId="Tiret0">
    <w:name w:val="Tiret 0"/>
    <w:basedOn w:val="Point0"/>
    <w:uiPriority w:val="30"/>
    <w:semiHidden/>
    <w:rsid w:val="008E336A"/>
    <w:pPr>
      <w:numPr>
        <w:numId w:val="32"/>
      </w:numPr>
    </w:pPr>
  </w:style>
  <w:style w:type="paragraph" w:customStyle="1" w:styleId="Tiret1">
    <w:name w:val="Tiret 1"/>
    <w:basedOn w:val="Point1"/>
    <w:uiPriority w:val="30"/>
    <w:rsid w:val="008E336A"/>
    <w:pPr>
      <w:numPr>
        <w:numId w:val="33"/>
      </w:numPr>
    </w:pPr>
  </w:style>
  <w:style w:type="paragraph" w:customStyle="1" w:styleId="Tiret2">
    <w:name w:val="Tiret 2"/>
    <w:basedOn w:val="Point2"/>
    <w:uiPriority w:val="30"/>
    <w:rsid w:val="008E336A"/>
    <w:pPr>
      <w:numPr>
        <w:numId w:val="34"/>
      </w:numPr>
    </w:pPr>
  </w:style>
  <w:style w:type="paragraph" w:customStyle="1" w:styleId="Tiret4">
    <w:name w:val="Tiret 4"/>
    <w:basedOn w:val="Point4"/>
    <w:semiHidden/>
    <w:rsid w:val="008E336A"/>
    <w:pPr>
      <w:numPr>
        <w:numId w:val="36"/>
      </w:numPr>
    </w:pPr>
  </w:style>
  <w:style w:type="paragraph" w:customStyle="1" w:styleId="Tiret5">
    <w:name w:val="Tiret 5"/>
    <w:basedOn w:val="Point5"/>
    <w:semiHidden/>
    <w:rsid w:val="008E336A"/>
    <w:pPr>
      <w:numPr>
        <w:numId w:val="37"/>
      </w:numPr>
    </w:pPr>
  </w:style>
  <w:style w:type="paragraph" w:customStyle="1" w:styleId="YReferences">
    <w:name w:val="YReferences"/>
    <w:basedOn w:val="Normal"/>
    <w:semiHidden/>
    <w:rsid w:val="008E336A"/>
    <w:pPr>
      <w:spacing w:after="240"/>
      <w:ind w:left="1191" w:hanging="1191"/>
      <w:contextualSpacing/>
    </w:pPr>
  </w:style>
  <w:style w:type="character" w:customStyle="1" w:styleId="Marker">
    <w:name w:val="Marker"/>
    <w:basedOn w:val="DefaultParagraphFont"/>
    <w:rsid w:val="008E336A"/>
    <w:rPr>
      <w:color w:val="0000FF"/>
      <w:shd w:val="clear" w:color="auto" w:fill="auto"/>
    </w:rPr>
  </w:style>
  <w:style w:type="paragraph" w:customStyle="1" w:styleId="Pagedecouverture">
    <w:name w:val="Page de couverture"/>
    <w:basedOn w:val="Normal"/>
    <w:next w:val="Normal"/>
    <w:link w:val="PagedecouvertureChar"/>
    <w:rsid w:val="008E336A"/>
    <w:pPr>
      <w:spacing w:after="0"/>
    </w:pPr>
    <w:rPr>
      <w:rFonts w:eastAsiaTheme="minorHAnsi"/>
      <w:szCs w:val="22"/>
      <w:lang w:eastAsia="en-US"/>
    </w:rPr>
  </w:style>
  <w:style w:type="paragraph" w:customStyle="1" w:styleId="FooterCoverPage">
    <w:name w:val="Footer Cover Page"/>
    <w:basedOn w:val="Normal"/>
    <w:link w:val="FooterCoverPageChar"/>
    <w:rsid w:val="008E336A"/>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8E336A"/>
    <w:rPr>
      <w:rFonts w:eastAsiaTheme="minorHAnsi"/>
      <w:szCs w:val="22"/>
      <w:lang w:eastAsia="en-US"/>
    </w:rPr>
  </w:style>
  <w:style w:type="character" w:customStyle="1" w:styleId="FooterCoverPageChar">
    <w:name w:val="Footer Cover Page Char"/>
    <w:basedOn w:val="PagedecouvertureChar"/>
    <w:link w:val="FooterCoverPage"/>
    <w:rsid w:val="008E336A"/>
    <w:rPr>
      <w:rFonts w:eastAsia="Times New Roman"/>
      <w:szCs w:val="22"/>
      <w:lang w:eastAsia="fr-BE"/>
    </w:rPr>
  </w:style>
  <w:style w:type="paragraph" w:customStyle="1" w:styleId="FooterSensitivity">
    <w:name w:val="Footer Sensitivity"/>
    <w:basedOn w:val="Normal"/>
    <w:link w:val="FooterSensitivityChar"/>
    <w:rsid w:val="008E336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8E336A"/>
    <w:rPr>
      <w:rFonts w:eastAsia="Times New Roman"/>
      <w:b/>
      <w:sz w:val="32"/>
      <w:szCs w:val="22"/>
      <w:lang w:eastAsia="fr-BE"/>
    </w:rPr>
  </w:style>
  <w:style w:type="paragraph" w:customStyle="1" w:styleId="HeaderCoverPage">
    <w:name w:val="Header Cover Page"/>
    <w:basedOn w:val="Normal"/>
    <w:link w:val="HeaderCoverPageChar"/>
    <w:rsid w:val="008E336A"/>
    <w:pPr>
      <w:tabs>
        <w:tab w:val="center" w:pos="4535"/>
        <w:tab w:val="right" w:pos="9071"/>
      </w:tabs>
    </w:pPr>
  </w:style>
  <w:style w:type="character" w:customStyle="1" w:styleId="HeaderCoverPageChar">
    <w:name w:val="Header Cover Page Char"/>
    <w:basedOn w:val="PagedecouvertureChar"/>
    <w:link w:val="HeaderCoverPage"/>
    <w:rsid w:val="008E336A"/>
    <w:rPr>
      <w:rFonts w:eastAsia="Times New Roman"/>
      <w:szCs w:val="22"/>
      <w:lang w:eastAsia="fr-BE"/>
    </w:rPr>
  </w:style>
  <w:style w:type="paragraph" w:customStyle="1" w:styleId="HeaderSensitivity">
    <w:name w:val="Header Sensitivity"/>
    <w:basedOn w:val="Normal"/>
    <w:link w:val="HeaderSensitivityChar"/>
    <w:rsid w:val="008E336A"/>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PagedecouvertureChar"/>
    <w:link w:val="HeaderSensitivity"/>
    <w:rsid w:val="008E336A"/>
    <w:rPr>
      <w:rFonts w:eastAsia="Times New Roman"/>
      <w:b/>
      <w:sz w:val="32"/>
      <w:szCs w:val="22"/>
      <w:lang w:eastAsia="fr-BE"/>
    </w:rPr>
  </w:style>
  <w:style w:type="paragraph" w:customStyle="1" w:styleId="HeaderSensitivityRight">
    <w:name w:val="Header Sensitivity Right"/>
    <w:basedOn w:val="Normal"/>
    <w:link w:val="HeaderSensitivityRightChar"/>
    <w:rsid w:val="008E336A"/>
    <w:pPr>
      <w:jc w:val="right"/>
    </w:pPr>
    <w:rPr>
      <w:sz w:val="28"/>
    </w:rPr>
  </w:style>
  <w:style w:type="character" w:customStyle="1" w:styleId="HeaderSensitivityRightChar">
    <w:name w:val="Header Sensitivity Right Char"/>
    <w:basedOn w:val="PagedecouvertureChar"/>
    <w:link w:val="HeaderSensitivityRight"/>
    <w:rsid w:val="008E336A"/>
    <w:rPr>
      <w:rFonts w:eastAsia="Times New Roman"/>
      <w:sz w:val="28"/>
      <w:szCs w:val="22"/>
      <w:lang w:eastAsia="fr-BE"/>
    </w:rPr>
  </w:style>
  <w:style w:type="paragraph" w:customStyle="1" w:styleId="Table">
    <w:name w:val="Table"/>
    <w:basedOn w:val="TableHeading"/>
    <w:rsid w:val="00EA4DDE"/>
    <w:pPr>
      <w:jc w:val="center"/>
    </w:pPr>
    <w:rPr>
      <w:rFonts w:ascii="Times New Roman" w:hAnsi="Times New Roman" w:cs="Times New Roman"/>
      <w:b w:val="0"/>
      <w:color w:val="FFFFFF" w:themeColor="background1"/>
      <w:sz w:val="24"/>
      <w:szCs w:val="24"/>
    </w:rPr>
  </w:style>
  <w:style w:type="paragraph" w:styleId="List">
    <w:name w:val="List"/>
    <w:basedOn w:val="Normal"/>
    <w:uiPriority w:val="99"/>
    <w:semiHidden/>
    <w:rsid w:val="00EA4DDE"/>
    <w:pPr>
      <w:ind w:left="283" w:hanging="283"/>
      <w:contextualSpacing/>
    </w:pPr>
  </w:style>
  <w:style w:type="character" w:customStyle="1" w:styleId="Heading4Char">
    <w:name w:val="Heading 4 Char"/>
    <w:basedOn w:val="DefaultParagraphFont"/>
    <w:link w:val="Heading4"/>
    <w:uiPriority w:val="10"/>
    <w:rsid w:val="004E06F8"/>
    <w:rPr>
      <w:rFonts w:eastAsia="Times New Roman"/>
      <w:lang w:eastAsia="fr-BE"/>
    </w:rPr>
  </w:style>
  <w:style w:type="character" w:customStyle="1" w:styleId="Hyperlink1">
    <w:name w:val="Hyperlink1"/>
    <w:basedOn w:val="DefaultParagraphFont"/>
    <w:uiPriority w:val="99"/>
    <w:unhideWhenUsed/>
    <w:rsid w:val="00E801F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81829">
      <w:bodyDiv w:val="1"/>
      <w:marLeft w:val="0"/>
      <w:marRight w:val="0"/>
      <w:marTop w:val="0"/>
      <w:marBottom w:val="0"/>
      <w:divBdr>
        <w:top w:val="none" w:sz="0" w:space="0" w:color="auto"/>
        <w:left w:val="none" w:sz="0" w:space="0" w:color="auto"/>
        <w:bottom w:val="none" w:sz="0" w:space="0" w:color="auto"/>
        <w:right w:val="none" w:sz="0" w:space="0" w:color="auto"/>
      </w:divBdr>
    </w:div>
    <w:div w:id="105545508">
      <w:bodyDiv w:val="1"/>
      <w:marLeft w:val="0"/>
      <w:marRight w:val="0"/>
      <w:marTop w:val="0"/>
      <w:marBottom w:val="0"/>
      <w:divBdr>
        <w:top w:val="none" w:sz="0" w:space="0" w:color="auto"/>
        <w:left w:val="none" w:sz="0" w:space="0" w:color="auto"/>
        <w:bottom w:val="none" w:sz="0" w:space="0" w:color="auto"/>
        <w:right w:val="none" w:sz="0" w:space="0" w:color="auto"/>
      </w:divBdr>
    </w:div>
    <w:div w:id="116417065">
      <w:bodyDiv w:val="1"/>
      <w:marLeft w:val="0"/>
      <w:marRight w:val="0"/>
      <w:marTop w:val="0"/>
      <w:marBottom w:val="0"/>
      <w:divBdr>
        <w:top w:val="none" w:sz="0" w:space="0" w:color="auto"/>
        <w:left w:val="none" w:sz="0" w:space="0" w:color="auto"/>
        <w:bottom w:val="none" w:sz="0" w:space="0" w:color="auto"/>
        <w:right w:val="none" w:sz="0" w:space="0" w:color="auto"/>
      </w:divBdr>
      <w:divsChild>
        <w:div w:id="1023441018">
          <w:marLeft w:val="0"/>
          <w:marRight w:val="0"/>
          <w:marTop w:val="0"/>
          <w:marBottom w:val="0"/>
          <w:divBdr>
            <w:top w:val="none" w:sz="0" w:space="0" w:color="auto"/>
            <w:left w:val="none" w:sz="0" w:space="0" w:color="auto"/>
            <w:bottom w:val="none" w:sz="0" w:space="0" w:color="auto"/>
            <w:right w:val="none" w:sz="0" w:space="0" w:color="auto"/>
          </w:divBdr>
          <w:divsChild>
            <w:div w:id="1547176619">
              <w:marLeft w:val="0"/>
              <w:marRight w:val="0"/>
              <w:marTop w:val="0"/>
              <w:marBottom w:val="0"/>
              <w:divBdr>
                <w:top w:val="none" w:sz="0" w:space="0" w:color="auto"/>
                <w:left w:val="none" w:sz="0" w:space="0" w:color="auto"/>
                <w:bottom w:val="none" w:sz="0" w:space="0" w:color="auto"/>
                <w:right w:val="none" w:sz="0" w:space="0" w:color="auto"/>
              </w:divBdr>
              <w:divsChild>
                <w:div w:id="1387726334">
                  <w:marLeft w:val="0"/>
                  <w:marRight w:val="0"/>
                  <w:marTop w:val="0"/>
                  <w:marBottom w:val="0"/>
                  <w:divBdr>
                    <w:top w:val="none" w:sz="0" w:space="0" w:color="auto"/>
                    <w:left w:val="none" w:sz="0" w:space="0" w:color="auto"/>
                    <w:bottom w:val="none" w:sz="0" w:space="0" w:color="auto"/>
                    <w:right w:val="none" w:sz="0" w:space="0" w:color="auto"/>
                  </w:divBdr>
                  <w:divsChild>
                    <w:div w:id="1920942680">
                      <w:marLeft w:val="0"/>
                      <w:marRight w:val="0"/>
                      <w:marTop w:val="0"/>
                      <w:marBottom w:val="0"/>
                      <w:divBdr>
                        <w:top w:val="none" w:sz="0" w:space="0" w:color="auto"/>
                        <w:left w:val="none" w:sz="0" w:space="0" w:color="auto"/>
                        <w:bottom w:val="none" w:sz="0" w:space="0" w:color="auto"/>
                        <w:right w:val="none" w:sz="0" w:space="0" w:color="auto"/>
                      </w:divBdr>
                      <w:divsChild>
                        <w:div w:id="442696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6332659">
      <w:bodyDiv w:val="1"/>
      <w:marLeft w:val="0"/>
      <w:marRight w:val="0"/>
      <w:marTop w:val="0"/>
      <w:marBottom w:val="0"/>
      <w:divBdr>
        <w:top w:val="none" w:sz="0" w:space="0" w:color="auto"/>
        <w:left w:val="none" w:sz="0" w:space="0" w:color="auto"/>
        <w:bottom w:val="none" w:sz="0" w:space="0" w:color="auto"/>
        <w:right w:val="none" w:sz="0" w:space="0" w:color="auto"/>
      </w:divBdr>
    </w:div>
    <w:div w:id="254945499">
      <w:bodyDiv w:val="1"/>
      <w:marLeft w:val="0"/>
      <w:marRight w:val="0"/>
      <w:marTop w:val="0"/>
      <w:marBottom w:val="0"/>
      <w:divBdr>
        <w:top w:val="none" w:sz="0" w:space="0" w:color="auto"/>
        <w:left w:val="none" w:sz="0" w:space="0" w:color="auto"/>
        <w:bottom w:val="none" w:sz="0" w:space="0" w:color="auto"/>
        <w:right w:val="none" w:sz="0" w:space="0" w:color="auto"/>
      </w:divBdr>
    </w:div>
    <w:div w:id="259216243">
      <w:bodyDiv w:val="1"/>
      <w:marLeft w:val="0"/>
      <w:marRight w:val="0"/>
      <w:marTop w:val="0"/>
      <w:marBottom w:val="0"/>
      <w:divBdr>
        <w:top w:val="none" w:sz="0" w:space="0" w:color="auto"/>
        <w:left w:val="none" w:sz="0" w:space="0" w:color="auto"/>
        <w:bottom w:val="none" w:sz="0" w:space="0" w:color="auto"/>
        <w:right w:val="none" w:sz="0" w:space="0" w:color="auto"/>
      </w:divBdr>
      <w:divsChild>
        <w:div w:id="1230533318">
          <w:marLeft w:val="360"/>
          <w:marRight w:val="0"/>
          <w:marTop w:val="0"/>
          <w:marBottom w:val="360"/>
          <w:divBdr>
            <w:top w:val="none" w:sz="0" w:space="0" w:color="auto"/>
            <w:left w:val="none" w:sz="0" w:space="0" w:color="auto"/>
            <w:bottom w:val="none" w:sz="0" w:space="0" w:color="auto"/>
            <w:right w:val="none" w:sz="0" w:space="0" w:color="auto"/>
          </w:divBdr>
        </w:div>
        <w:div w:id="502747050">
          <w:marLeft w:val="360"/>
          <w:marRight w:val="0"/>
          <w:marTop w:val="0"/>
          <w:marBottom w:val="360"/>
          <w:divBdr>
            <w:top w:val="none" w:sz="0" w:space="0" w:color="auto"/>
            <w:left w:val="none" w:sz="0" w:space="0" w:color="auto"/>
            <w:bottom w:val="none" w:sz="0" w:space="0" w:color="auto"/>
            <w:right w:val="none" w:sz="0" w:space="0" w:color="auto"/>
          </w:divBdr>
        </w:div>
        <w:div w:id="1566063894">
          <w:marLeft w:val="360"/>
          <w:marRight w:val="0"/>
          <w:marTop w:val="0"/>
          <w:marBottom w:val="360"/>
          <w:divBdr>
            <w:top w:val="none" w:sz="0" w:space="0" w:color="auto"/>
            <w:left w:val="none" w:sz="0" w:space="0" w:color="auto"/>
            <w:bottom w:val="none" w:sz="0" w:space="0" w:color="auto"/>
            <w:right w:val="none" w:sz="0" w:space="0" w:color="auto"/>
          </w:divBdr>
        </w:div>
      </w:divsChild>
    </w:div>
    <w:div w:id="327637301">
      <w:bodyDiv w:val="1"/>
      <w:marLeft w:val="0"/>
      <w:marRight w:val="0"/>
      <w:marTop w:val="0"/>
      <w:marBottom w:val="0"/>
      <w:divBdr>
        <w:top w:val="none" w:sz="0" w:space="0" w:color="auto"/>
        <w:left w:val="none" w:sz="0" w:space="0" w:color="auto"/>
        <w:bottom w:val="none" w:sz="0" w:space="0" w:color="auto"/>
        <w:right w:val="none" w:sz="0" w:space="0" w:color="auto"/>
      </w:divBdr>
    </w:div>
    <w:div w:id="346493295">
      <w:bodyDiv w:val="1"/>
      <w:marLeft w:val="0"/>
      <w:marRight w:val="0"/>
      <w:marTop w:val="0"/>
      <w:marBottom w:val="0"/>
      <w:divBdr>
        <w:top w:val="none" w:sz="0" w:space="0" w:color="auto"/>
        <w:left w:val="none" w:sz="0" w:space="0" w:color="auto"/>
        <w:bottom w:val="none" w:sz="0" w:space="0" w:color="auto"/>
        <w:right w:val="none" w:sz="0" w:space="0" w:color="auto"/>
      </w:divBdr>
    </w:div>
    <w:div w:id="346906246">
      <w:bodyDiv w:val="1"/>
      <w:marLeft w:val="0"/>
      <w:marRight w:val="0"/>
      <w:marTop w:val="0"/>
      <w:marBottom w:val="0"/>
      <w:divBdr>
        <w:top w:val="none" w:sz="0" w:space="0" w:color="auto"/>
        <w:left w:val="none" w:sz="0" w:space="0" w:color="auto"/>
        <w:bottom w:val="none" w:sz="0" w:space="0" w:color="auto"/>
        <w:right w:val="none" w:sz="0" w:space="0" w:color="auto"/>
      </w:divBdr>
    </w:div>
    <w:div w:id="394398066">
      <w:bodyDiv w:val="1"/>
      <w:marLeft w:val="0"/>
      <w:marRight w:val="0"/>
      <w:marTop w:val="0"/>
      <w:marBottom w:val="0"/>
      <w:divBdr>
        <w:top w:val="none" w:sz="0" w:space="0" w:color="auto"/>
        <w:left w:val="none" w:sz="0" w:space="0" w:color="auto"/>
        <w:bottom w:val="none" w:sz="0" w:space="0" w:color="auto"/>
        <w:right w:val="none" w:sz="0" w:space="0" w:color="auto"/>
      </w:divBdr>
    </w:div>
    <w:div w:id="399452272">
      <w:bodyDiv w:val="1"/>
      <w:marLeft w:val="0"/>
      <w:marRight w:val="0"/>
      <w:marTop w:val="0"/>
      <w:marBottom w:val="0"/>
      <w:divBdr>
        <w:top w:val="none" w:sz="0" w:space="0" w:color="auto"/>
        <w:left w:val="none" w:sz="0" w:space="0" w:color="auto"/>
        <w:bottom w:val="none" w:sz="0" w:space="0" w:color="auto"/>
        <w:right w:val="none" w:sz="0" w:space="0" w:color="auto"/>
      </w:divBdr>
    </w:div>
    <w:div w:id="450783764">
      <w:bodyDiv w:val="1"/>
      <w:marLeft w:val="0"/>
      <w:marRight w:val="0"/>
      <w:marTop w:val="0"/>
      <w:marBottom w:val="0"/>
      <w:divBdr>
        <w:top w:val="none" w:sz="0" w:space="0" w:color="auto"/>
        <w:left w:val="none" w:sz="0" w:space="0" w:color="auto"/>
        <w:bottom w:val="none" w:sz="0" w:space="0" w:color="auto"/>
        <w:right w:val="none" w:sz="0" w:space="0" w:color="auto"/>
      </w:divBdr>
    </w:div>
    <w:div w:id="499540804">
      <w:bodyDiv w:val="1"/>
      <w:marLeft w:val="0"/>
      <w:marRight w:val="0"/>
      <w:marTop w:val="0"/>
      <w:marBottom w:val="0"/>
      <w:divBdr>
        <w:top w:val="none" w:sz="0" w:space="0" w:color="auto"/>
        <w:left w:val="none" w:sz="0" w:space="0" w:color="auto"/>
        <w:bottom w:val="none" w:sz="0" w:space="0" w:color="auto"/>
        <w:right w:val="none" w:sz="0" w:space="0" w:color="auto"/>
      </w:divBdr>
    </w:div>
    <w:div w:id="572471230">
      <w:bodyDiv w:val="1"/>
      <w:marLeft w:val="0"/>
      <w:marRight w:val="0"/>
      <w:marTop w:val="0"/>
      <w:marBottom w:val="0"/>
      <w:divBdr>
        <w:top w:val="none" w:sz="0" w:space="0" w:color="auto"/>
        <w:left w:val="none" w:sz="0" w:space="0" w:color="auto"/>
        <w:bottom w:val="none" w:sz="0" w:space="0" w:color="auto"/>
        <w:right w:val="none" w:sz="0" w:space="0" w:color="auto"/>
      </w:divBdr>
    </w:div>
    <w:div w:id="584654628">
      <w:bodyDiv w:val="1"/>
      <w:marLeft w:val="0"/>
      <w:marRight w:val="0"/>
      <w:marTop w:val="0"/>
      <w:marBottom w:val="0"/>
      <w:divBdr>
        <w:top w:val="none" w:sz="0" w:space="0" w:color="auto"/>
        <w:left w:val="none" w:sz="0" w:space="0" w:color="auto"/>
        <w:bottom w:val="none" w:sz="0" w:space="0" w:color="auto"/>
        <w:right w:val="none" w:sz="0" w:space="0" w:color="auto"/>
      </w:divBdr>
    </w:div>
    <w:div w:id="656344235">
      <w:bodyDiv w:val="1"/>
      <w:marLeft w:val="0"/>
      <w:marRight w:val="0"/>
      <w:marTop w:val="0"/>
      <w:marBottom w:val="0"/>
      <w:divBdr>
        <w:top w:val="none" w:sz="0" w:space="0" w:color="auto"/>
        <w:left w:val="none" w:sz="0" w:space="0" w:color="auto"/>
        <w:bottom w:val="none" w:sz="0" w:space="0" w:color="auto"/>
        <w:right w:val="none" w:sz="0" w:space="0" w:color="auto"/>
      </w:divBdr>
    </w:div>
    <w:div w:id="690953151">
      <w:bodyDiv w:val="1"/>
      <w:marLeft w:val="0"/>
      <w:marRight w:val="0"/>
      <w:marTop w:val="0"/>
      <w:marBottom w:val="0"/>
      <w:divBdr>
        <w:top w:val="none" w:sz="0" w:space="0" w:color="auto"/>
        <w:left w:val="none" w:sz="0" w:space="0" w:color="auto"/>
        <w:bottom w:val="none" w:sz="0" w:space="0" w:color="auto"/>
        <w:right w:val="none" w:sz="0" w:space="0" w:color="auto"/>
      </w:divBdr>
    </w:div>
    <w:div w:id="699279488">
      <w:bodyDiv w:val="1"/>
      <w:marLeft w:val="0"/>
      <w:marRight w:val="0"/>
      <w:marTop w:val="0"/>
      <w:marBottom w:val="0"/>
      <w:divBdr>
        <w:top w:val="none" w:sz="0" w:space="0" w:color="auto"/>
        <w:left w:val="none" w:sz="0" w:space="0" w:color="auto"/>
        <w:bottom w:val="none" w:sz="0" w:space="0" w:color="auto"/>
        <w:right w:val="none" w:sz="0" w:space="0" w:color="auto"/>
      </w:divBdr>
    </w:div>
    <w:div w:id="769549039">
      <w:bodyDiv w:val="1"/>
      <w:marLeft w:val="0"/>
      <w:marRight w:val="0"/>
      <w:marTop w:val="0"/>
      <w:marBottom w:val="0"/>
      <w:divBdr>
        <w:top w:val="none" w:sz="0" w:space="0" w:color="auto"/>
        <w:left w:val="none" w:sz="0" w:space="0" w:color="auto"/>
        <w:bottom w:val="none" w:sz="0" w:space="0" w:color="auto"/>
        <w:right w:val="none" w:sz="0" w:space="0" w:color="auto"/>
      </w:divBdr>
      <w:divsChild>
        <w:div w:id="297341121">
          <w:marLeft w:val="0"/>
          <w:marRight w:val="0"/>
          <w:marTop w:val="0"/>
          <w:marBottom w:val="0"/>
          <w:divBdr>
            <w:top w:val="none" w:sz="0" w:space="0" w:color="auto"/>
            <w:left w:val="none" w:sz="0" w:space="0" w:color="auto"/>
            <w:bottom w:val="none" w:sz="0" w:space="0" w:color="auto"/>
            <w:right w:val="none" w:sz="0" w:space="0" w:color="auto"/>
          </w:divBdr>
          <w:divsChild>
            <w:div w:id="808205673">
              <w:marLeft w:val="0"/>
              <w:marRight w:val="0"/>
              <w:marTop w:val="0"/>
              <w:marBottom w:val="0"/>
              <w:divBdr>
                <w:top w:val="none" w:sz="0" w:space="0" w:color="auto"/>
                <w:left w:val="none" w:sz="0" w:space="0" w:color="auto"/>
                <w:bottom w:val="none" w:sz="0" w:space="0" w:color="auto"/>
                <w:right w:val="none" w:sz="0" w:space="0" w:color="auto"/>
              </w:divBdr>
              <w:divsChild>
                <w:div w:id="39862308">
                  <w:marLeft w:val="0"/>
                  <w:marRight w:val="0"/>
                  <w:marTop w:val="0"/>
                  <w:marBottom w:val="0"/>
                  <w:divBdr>
                    <w:top w:val="none" w:sz="0" w:space="0" w:color="auto"/>
                    <w:left w:val="none" w:sz="0" w:space="0" w:color="auto"/>
                    <w:bottom w:val="none" w:sz="0" w:space="0" w:color="auto"/>
                    <w:right w:val="none" w:sz="0" w:space="0" w:color="auto"/>
                  </w:divBdr>
                  <w:divsChild>
                    <w:div w:id="24797156">
                      <w:marLeft w:val="0"/>
                      <w:marRight w:val="0"/>
                      <w:marTop w:val="0"/>
                      <w:marBottom w:val="0"/>
                      <w:divBdr>
                        <w:top w:val="none" w:sz="0" w:space="0" w:color="auto"/>
                        <w:left w:val="none" w:sz="0" w:space="0" w:color="auto"/>
                        <w:bottom w:val="none" w:sz="0" w:space="0" w:color="auto"/>
                        <w:right w:val="none" w:sz="0" w:space="0" w:color="auto"/>
                      </w:divBdr>
                      <w:divsChild>
                        <w:div w:id="784345558">
                          <w:marLeft w:val="0"/>
                          <w:marRight w:val="0"/>
                          <w:marTop w:val="0"/>
                          <w:marBottom w:val="0"/>
                          <w:divBdr>
                            <w:top w:val="none" w:sz="0" w:space="0" w:color="auto"/>
                            <w:left w:val="none" w:sz="0" w:space="0" w:color="auto"/>
                            <w:bottom w:val="none" w:sz="0" w:space="0" w:color="auto"/>
                            <w:right w:val="none" w:sz="0" w:space="0" w:color="auto"/>
                          </w:divBdr>
                        </w:div>
                      </w:divsChild>
                    </w:div>
                    <w:div w:id="1164008304">
                      <w:marLeft w:val="0"/>
                      <w:marRight w:val="0"/>
                      <w:marTop w:val="0"/>
                      <w:marBottom w:val="0"/>
                      <w:divBdr>
                        <w:top w:val="none" w:sz="0" w:space="0" w:color="auto"/>
                        <w:left w:val="none" w:sz="0" w:space="0" w:color="auto"/>
                        <w:bottom w:val="none" w:sz="0" w:space="0" w:color="auto"/>
                        <w:right w:val="none" w:sz="0" w:space="0" w:color="auto"/>
                      </w:divBdr>
                      <w:divsChild>
                        <w:div w:id="157798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895436">
              <w:marLeft w:val="0"/>
              <w:marRight w:val="0"/>
              <w:marTop w:val="0"/>
              <w:marBottom w:val="0"/>
              <w:divBdr>
                <w:top w:val="none" w:sz="0" w:space="0" w:color="auto"/>
                <w:left w:val="none" w:sz="0" w:space="0" w:color="auto"/>
                <w:bottom w:val="none" w:sz="0" w:space="0" w:color="auto"/>
                <w:right w:val="none" w:sz="0" w:space="0" w:color="auto"/>
              </w:divBdr>
              <w:divsChild>
                <w:div w:id="1257402095">
                  <w:marLeft w:val="0"/>
                  <w:marRight w:val="0"/>
                  <w:marTop w:val="0"/>
                  <w:marBottom w:val="0"/>
                  <w:divBdr>
                    <w:top w:val="none" w:sz="0" w:space="0" w:color="auto"/>
                    <w:left w:val="none" w:sz="0" w:space="0" w:color="auto"/>
                    <w:bottom w:val="none" w:sz="0" w:space="0" w:color="auto"/>
                    <w:right w:val="none" w:sz="0" w:space="0" w:color="auto"/>
                  </w:divBdr>
                  <w:divsChild>
                    <w:div w:id="68507819">
                      <w:marLeft w:val="0"/>
                      <w:marRight w:val="0"/>
                      <w:marTop w:val="0"/>
                      <w:marBottom w:val="0"/>
                      <w:divBdr>
                        <w:top w:val="none" w:sz="0" w:space="0" w:color="auto"/>
                        <w:left w:val="none" w:sz="0" w:space="0" w:color="auto"/>
                        <w:bottom w:val="none" w:sz="0" w:space="0" w:color="auto"/>
                        <w:right w:val="none" w:sz="0" w:space="0" w:color="auto"/>
                      </w:divBdr>
                      <w:divsChild>
                        <w:div w:id="30377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234925">
          <w:marLeft w:val="0"/>
          <w:marRight w:val="0"/>
          <w:marTop w:val="0"/>
          <w:marBottom w:val="0"/>
          <w:divBdr>
            <w:top w:val="none" w:sz="0" w:space="0" w:color="auto"/>
            <w:left w:val="none" w:sz="0" w:space="0" w:color="auto"/>
            <w:bottom w:val="none" w:sz="0" w:space="0" w:color="auto"/>
            <w:right w:val="none" w:sz="0" w:space="0" w:color="auto"/>
          </w:divBdr>
          <w:divsChild>
            <w:div w:id="1976986651">
              <w:marLeft w:val="0"/>
              <w:marRight w:val="0"/>
              <w:marTop w:val="0"/>
              <w:marBottom w:val="0"/>
              <w:divBdr>
                <w:top w:val="none" w:sz="0" w:space="0" w:color="auto"/>
                <w:left w:val="none" w:sz="0" w:space="0" w:color="auto"/>
                <w:bottom w:val="none" w:sz="0" w:space="0" w:color="auto"/>
                <w:right w:val="none" w:sz="0" w:space="0" w:color="auto"/>
              </w:divBdr>
              <w:divsChild>
                <w:div w:id="456603835">
                  <w:marLeft w:val="0"/>
                  <w:marRight w:val="0"/>
                  <w:marTop w:val="0"/>
                  <w:marBottom w:val="0"/>
                  <w:divBdr>
                    <w:top w:val="none" w:sz="0" w:space="0" w:color="auto"/>
                    <w:left w:val="none" w:sz="0" w:space="0" w:color="auto"/>
                    <w:bottom w:val="none" w:sz="0" w:space="0" w:color="auto"/>
                    <w:right w:val="none" w:sz="0" w:space="0" w:color="auto"/>
                  </w:divBdr>
                  <w:divsChild>
                    <w:div w:id="608664055">
                      <w:marLeft w:val="0"/>
                      <w:marRight w:val="0"/>
                      <w:marTop w:val="0"/>
                      <w:marBottom w:val="0"/>
                      <w:divBdr>
                        <w:top w:val="none" w:sz="0" w:space="0" w:color="auto"/>
                        <w:left w:val="none" w:sz="0" w:space="0" w:color="auto"/>
                        <w:bottom w:val="none" w:sz="0" w:space="0" w:color="auto"/>
                        <w:right w:val="none" w:sz="0" w:space="0" w:color="auto"/>
                      </w:divBdr>
                      <w:divsChild>
                        <w:div w:id="1000426235">
                          <w:marLeft w:val="0"/>
                          <w:marRight w:val="0"/>
                          <w:marTop w:val="0"/>
                          <w:marBottom w:val="0"/>
                          <w:divBdr>
                            <w:top w:val="none" w:sz="0" w:space="0" w:color="auto"/>
                            <w:left w:val="none" w:sz="0" w:space="0" w:color="auto"/>
                            <w:bottom w:val="none" w:sz="0" w:space="0" w:color="auto"/>
                            <w:right w:val="none" w:sz="0" w:space="0" w:color="auto"/>
                          </w:divBdr>
                          <w:divsChild>
                            <w:div w:id="1143736529">
                              <w:marLeft w:val="0"/>
                              <w:marRight w:val="0"/>
                              <w:marTop w:val="0"/>
                              <w:marBottom w:val="0"/>
                              <w:divBdr>
                                <w:top w:val="none" w:sz="0" w:space="0" w:color="auto"/>
                                <w:left w:val="none" w:sz="0" w:space="0" w:color="auto"/>
                                <w:bottom w:val="none" w:sz="0" w:space="0" w:color="auto"/>
                                <w:right w:val="none" w:sz="0" w:space="0" w:color="auto"/>
                              </w:divBdr>
                              <w:divsChild>
                                <w:div w:id="1662393571">
                                  <w:marLeft w:val="0"/>
                                  <w:marRight w:val="0"/>
                                  <w:marTop w:val="0"/>
                                  <w:marBottom w:val="0"/>
                                  <w:divBdr>
                                    <w:top w:val="none" w:sz="0" w:space="0" w:color="auto"/>
                                    <w:left w:val="none" w:sz="0" w:space="0" w:color="auto"/>
                                    <w:bottom w:val="none" w:sz="0" w:space="0" w:color="auto"/>
                                    <w:right w:val="none" w:sz="0" w:space="0" w:color="auto"/>
                                  </w:divBdr>
                                  <w:divsChild>
                                    <w:div w:id="114041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6050493">
      <w:bodyDiv w:val="1"/>
      <w:marLeft w:val="0"/>
      <w:marRight w:val="0"/>
      <w:marTop w:val="0"/>
      <w:marBottom w:val="0"/>
      <w:divBdr>
        <w:top w:val="none" w:sz="0" w:space="0" w:color="auto"/>
        <w:left w:val="none" w:sz="0" w:space="0" w:color="auto"/>
        <w:bottom w:val="none" w:sz="0" w:space="0" w:color="auto"/>
        <w:right w:val="none" w:sz="0" w:space="0" w:color="auto"/>
      </w:divBdr>
    </w:div>
    <w:div w:id="819230515">
      <w:bodyDiv w:val="1"/>
      <w:marLeft w:val="0"/>
      <w:marRight w:val="0"/>
      <w:marTop w:val="0"/>
      <w:marBottom w:val="0"/>
      <w:divBdr>
        <w:top w:val="none" w:sz="0" w:space="0" w:color="auto"/>
        <w:left w:val="none" w:sz="0" w:space="0" w:color="auto"/>
        <w:bottom w:val="none" w:sz="0" w:space="0" w:color="auto"/>
        <w:right w:val="none" w:sz="0" w:space="0" w:color="auto"/>
      </w:divBdr>
    </w:div>
    <w:div w:id="869033294">
      <w:bodyDiv w:val="1"/>
      <w:marLeft w:val="0"/>
      <w:marRight w:val="0"/>
      <w:marTop w:val="0"/>
      <w:marBottom w:val="0"/>
      <w:divBdr>
        <w:top w:val="none" w:sz="0" w:space="0" w:color="auto"/>
        <w:left w:val="none" w:sz="0" w:space="0" w:color="auto"/>
        <w:bottom w:val="none" w:sz="0" w:space="0" w:color="auto"/>
        <w:right w:val="none" w:sz="0" w:space="0" w:color="auto"/>
      </w:divBdr>
      <w:divsChild>
        <w:div w:id="1212426163">
          <w:marLeft w:val="360"/>
          <w:marRight w:val="0"/>
          <w:marTop w:val="0"/>
          <w:marBottom w:val="360"/>
          <w:divBdr>
            <w:top w:val="none" w:sz="0" w:space="0" w:color="auto"/>
            <w:left w:val="none" w:sz="0" w:space="0" w:color="auto"/>
            <w:bottom w:val="none" w:sz="0" w:space="0" w:color="auto"/>
            <w:right w:val="none" w:sz="0" w:space="0" w:color="auto"/>
          </w:divBdr>
        </w:div>
        <w:div w:id="1394886881">
          <w:marLeft w:val="360"/>
          <w:marRight w:val="0"/>
          <w:marTop w:val="0"/>
          <w:marBottom w:val="360"/>
          <w:divBdr>
            <w:top w:val="none" w:sz="0" w:space="0" w:color="auto"/>
            <w:left w:val="none" w:sz="0" w:space="0" w:color="auto"/>
            <w:bottom w:val="none" w:sz="0" w:space="0" w:color="auto"/>
            <w:right w:val="none" w:sz="0" w:space="0" w:color="auto"/>
          </w:divBdr>
        </w:div>
        <w:div w:id="276569291">
          <w:marLeft w:val="360"/>
          <w:marRight w:val="0"/>
          <w:marTop w:val="0"/>
          <w:marBottom w:val="360"/>
          <w:divBdr>
            <w:top w:val="none" w:sz="0" w:space="0" w:color="auto"/>
            <w:left w:val="none" w:sz="0" w:space="0" w:color="auto"/>
            <w:bottom w:val="none" w:sz="0" w:space="0" w:color="auto"/>
            <w:right w:val="none" w:sz="0" w:space="0" w:color="auto"/>
          </w:divBdr>
        </w:div>
      </w:divsChild>
    </w:div>
    <w:div w:id="880829336">
      <w:bodyDiv w:val="1"/>
      <w:marLeft w:val="0"/>
      <w:marRight w:val="0"/>
      <w:marTop w:val="0"/>
      <w:marBottom w:val="0"/>
      <w:divBdr>
        <w:top w:val="none" w:sz="0" w:space="0" w:color="auto"/>
        <w:left w:val="none" w:sz="0" w:space="0" w:color="auto"/>
        <w:bottom w:val="none" w:sz="0" w:space="0" w:color="auto"/>
        <w:right w:val="none" w:sz="0" w:space="0" w:color="auto"/>
      </w:divBdr>
    </w:div>
    <w:div w:id="886838524">
      <w:bodyDiv w:val="1"/>
      <w:marLeft w:val="0"/>
      <w:marRight w:val="0"/>
      <w:marTop w:val="0"/>
      <w:marBottom w:val="0"/>
      <w:divBdr>
        <w:top w:val="none" w:sz="0" w:space="0" w:color="auto"/>
        <w:left w:val="none" w:sz="0" w:space="0" w:color="auto"/>
        <w:bottom w:val="none" w:sz="0" w:space="0" w:color="auto"/>
        <w:right w:val="none" w:sz="0" w:space="0" w:color="auto"/>
      </w:divBdr>
    </w:div>
    <w:div w:id="904796391">
      <w:bodyDiv w:val="1"/>
      <w:marLeft w:val="0"/>
      <w:marRight w:val="0"/>
      <w:marTop w:val="0"/>
      <w:marBottom w:val="0"/>
      <w:divBdr>
        <w:top w:val="none" w:sz="0" w:space="0" w:color="auto"/>
        <w:left w:val="none" w:sz="0" w:space="0" w:color="auto"/>
        <w:bottom w:val="none" w:sz="0" w:space="0" w:color="auto"/>
        <w:right w:val="none" w:sz="0" w:space="0" w:color="auto"/>
      </w:divBdr>
    </w:div>
    <w:div w:id="926959138">
      <w:bodyDiv w:val="1"/>
      <w:marLeft w:val="0"/>
      <w:marRight w:val="0"/>
      <w:marTop w:val="0"/>
      <w:marBottom w:val="0"/>
      <w:divBdr>
        <w:top w:val="none" w:sz="0" w:space="0" w:color="auto"/>
        <w:left w:val="none" w:sz="0" w:space="0" w:color="auto"/>
        <w:bottom w:val="none" w:sz="0" w:space="0" w:color="auto"/>
        <w:right w:val="none" w:sz="0" w:space="0" w:color="auto"/>
      </w:divBdr>
    </w:div>
    <w:div w:id="940146060">
      <w:bodyDiv w:val="1"/>
      <w:marLeft w:val="0"/>
      <w:marRight w:val="0"/>
      <w:marTop w:val="0"/>
      <w:marBottom w:val="0"/>
      <w:divBdr>
        <w:top w:val="none" w:sz="0" w:space="0" w:color="auto"/>
        <w:left w:val="none" w:sz="0" w:space="0" w:color="auto"/>
        <w:bottom w:val="none" w:sz="0" w:space="0" w:color="auto"/>
        <w:right w:val="none" w:sz="0" w:space="0" w:color="auto"/>
      </w:divBdr>
      <w:divsChild>
        <w:div w:id="799372925">
          <w:marLeft w:val="0"/>
          <w:marRight w:val="0"/>
          <w:marTop w:val="0"/>
          <w:marBottom w:val="0"/>
          <w:divBdr>
            <w:top w:val="none" w:sz="0" w:space="0" w:color="auto"/>
            <w:left w:val="none" w:sz="0" w:space="0" w:color="auto"/>
            <w:bottom w:val="none" w:sz="0" w:space="0" w:color="auto"/>
            <w:right w:val="none" w:sz="0" w:space="0" w:color="auto"/>
          </w:divBdr>
          <w:divsChild>
            <w:div w:id="98066006">
              <w:marLeft w:val="0"/>
              <w:marRight w:val="0"/>
              <w:marTop w:val="0"/>
              <w:marBottom w:val="0"/>
              <w:divBdr>
                <w:top w:val="none" w:sz="0" w:space="0" w:color="auto"/>
                <w:left w:val="none" w:sz="0" w:space="0" w:color="auto"/>
                <w:bottom w:val="none" w:sz="0" w:space="0" w:color="auto"/>
                <w:right w:val="none" w:sz="0" w:space="0" w:color="auto"/>
              </w:divBdr>
              <w:divsChild>
                <w:div w:id="713122763">
                  <w:marLeft w:val="0"/>
                  <w:marRight w:val="0"/>
                  <w:marTop w:val="0"/>
                  <w:marBottom w:val="0"/>
                  <w:divBdr>
                    <w:top w:val="none" w:sz="0" w:space="0" w:color="auto"/>
                    <w:left w:val="none" w:sz="0" w:space="0" w:color="auto"/>
                    <w:bottom w:val="none" w:sz="0" w:space="0" w:color="auto"/>
                    <w:right w:val="none" w:sz="0" w:space="0" w:color="auto"/>
                  </w:divBdr>
                  <w:divsChild>
                    <w:div w:id="404299879">
                      <w:marLeft w:val="0"/>
                      <w:marRight w:val="0"/>
                      <w:marTop w:val="0"/>
                      <w:marBottom w:val="0"/>
                      <w:divBdr>
                        <w:top w:val="none" w:sz="0" w:space="0" w:color="auto"/>
                        <w:left w:val="none" w:sz="0" w:space="0" w:color="auto"/>
                        <w:bottom w:val="none" w:sz="0" w:space="0" w:color="auto"/>
                        <w:right w:val="none" w:sz="0" w:space="0" w:color="auto"/>
                      </w:divBdr>
                      <w:divsChild>
                        <w:div w:id="85346863">
                          <w:marLeft w:val="0"/>
                          <w:marRight w:val="0"/>
                          <w:marTop w:val="0"/>
                          <w:marBottom w:val="0"/>
                          <w:divBdr>
                            <w:top w:val="none" w:sz="0" w:space="0" w:color="auto"/>
                            <w:left w:val="none" w:sz="0" w:space="0" w:color="auto"/>
                            <w:bottom w:val="none" w:sz="0" w:space="0" w:color="auto"/>
                            <w:right w:val="none" w:sz="0" w:space="0" w:color="auto"/>
                          </w:divBdr>
                          <w:divsChild>
                            <w:div w:id="1158157460">
                              <w:marLeft w:val="0"/>
                              <w:marRight w:val="0"/>
                              <w:marTop w:val="0"/>
                              <w:marBottom w:val="0"/>
                              <w:divBdr>
                                <w:top w:val="none" w:sz="0" w:space="0" w:color="auto"/>
                                <w:left w:val="none" w:sz="0" w:space="0" w:color="auto"/>
                                <w:bottom w:val="none" w:sz="0" w:space="0" w:color="auto"/>
                                <w:right w:val="none" w:sz="0" w:space="0" w:color="auto"/>
                              </w:divBdr>
                              <w:divsChild>
                                <w:div w:id="653414247">
                                  <w:marLeft w:val="0"/>
                                  <w:marRight w:val="0"/>
                                  <w:marTop w:val="0"/>
                                  <w:marBottom w:val="0"/>
                                  <w:divBdr>
                                    <w:top w:val="none" w:sz="0" w:space="0" w:color="auto"/>
                                    <w:left w:val="none" w:sz="0" w:space="0" w:color="auto"/>
                                    <w:bottom w:val="none" w:sz="0" w:space="0" w:color="auto"/>
                                    <w:right w:val="none" w:sz="0" w:space="0" w:color="auto"/>
                                  </w:divBdr>
                                  <w:divsChild>
                                    <w:div w:id="559902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6470914">
      <w:bodyDiv w:val="1"/>
      <w:marLeft w:val="0"/>
      <w:marRight w:val="0"/>
      <w:marTop w:val="0"/>
      <w:marBottom w:val="0"/>
      <w:divBdr>
        <w:top w:val="none" w:sz="0" w:space="0" w:color="auto"/>
        <w:left w:val="none" w:sz="0" w:space="0" w:color="auto"/>
        <w:bottom w:val="none" w:sz="0" w:space="0" w:color="auto"/>
        <w:right w:val="none" w:sz="0" w:space="0" w:color="auto"/>
      </w:divBdr>
    </w:div>
    <w:div w:id="1029261509">
      <w:bodyDiv w:val="1"/>
      <w:marLeft w:val="0"/>
      <w:marRight w:val="0"/>
      <w:marTop w:val="0"/>
      <w:marBottom w:val="0"/>
      <w:divBdr>
        <w:top w:val="none" w:sz="0" w:space="0" w:color="auto"/>
        <w:left w:val="none" w:sz="0" w:space="0" w:color="auto"/>
        <w:bottom w:val="none" w:sz="0" w:space="0" w:color="auto"/>
        <w:right w:val="none" w:sz="0" w:space="0" w:color="auto"/>
      </w:divBdr>
    </w:div>
    <w:div w:id="1030717129">
      <w:bodyDiv w:val="1"/>
      <w:marLeft w:val="0"/>
      <w:marRight w:val="0"/>
      <w:marTop w:val="0"/>
      <w:marBottom w:val="0"/>
      <w:divBdr>
        <w:top w:val="none" w:sz="0" w:space="0" w:color="auto"/>
        <w:left w:val="none" w:sz="0" w:space="0" w:color="auto"/>
        <w:bottom w:val="none" w:sz="0" w:space="0" w:color="auto"/>
        <w:right w:val="none" w:sz="0" w:space="0" w:color="auto"/>
      </w:divBdr>
    </w:div>
    <w:div w:id="1040858730">
      <w:bodyDiv w:val="1"/>
      <w:marLeft w:val="0"/>
      <w:marRight w:val="0"/>
      <w:marTop w:val="0"/>
      <w:marBottom w:val="0"/>
      <w:divBdr>
        <w:top w:val="none" w:sz="0" w:space="0" w:color="auto"/>
        <w:left w:val="none" w:sz="0" w:space="0" w:color="auto"/>
        <w:bottom w:val="none" w:sz="0" w:space="0" w:color="auto"/>
        <w:right w:val="none" w:sz="0" w:space="0" w:color="auto"/>
      </w:divBdr>
      <w:divsChild>
        <w:div w:id="689647007">
          <w:marLeft w:val="0"/>
          <w:marRight w:val="0"/>
          <w:marTop w:val="0"/>
          <w:marBottom w:val="0"/>
          <w:divBdr>
            <w:top w:val="none" w:sz="0" w:space="0" w:color="auto"/>
            <w:left w:val="none" w:sz="0" w:space="0" w:color="auto"/>
            <w:bottom w:val="none" w:sz="0" w:space="0" w:color="auto"/>
            <w:right w:val="none" w:sz="0" w:space="0" w:color="auto"/>
          </w:divBdr>
          <w:divsChild>
            <w:div w:id="339545370">
              <w:marLeft w:val="0"/>
              <w:marRight w:val="0"/>
              <w:marTop w:val="0"/>
              <w:marBottom w:val="0"/>
              <w:divBdr>
                <w:top w:val="none" w:sz="0" w:space="0" w:color="auto"/>
                <w:left w:val="none" w:sz="0" w:space="0" w:color="auto"/>
                <w:bottom w:val="none" w:sz="0" w:space="0" w:color="auto"/>
                <w:right w:val="none" w:sz="0" w:space="0" w:color="auto"/>
              </w:divBdr>
              <w:divsChild>
                <w:div w:id="766121115">
                  <w:marLeft w:val="0"/>
                  <w:marRight w:val="0"/>
                  <w:marTop w:val="0"/>
                  <w:marBottom w:val="0"/>
                  <w:divBdr>
                    <w:top w:val="none" w:sz="0" w:space="0" w:color="auto"/>
                    <w:left w:val="none" w:sz="0" w:space="0" w:color="auto"/>
                    <w:bottom w:val="none" w:sz="0" w:space="0" w:color="auto"/>
                    <w:right w:val="none" w:sz="0" w:space="0" w:color="auto"/>
                  </w:divBdr>
                  <w:divsChild>
                    <w:div w:id="114719977">
                      <w:marLeft w:val="0"/>
                      <w:marRight w:val="0"/>
                      <w:marTop w:val="0"/>
                      <w:marBottom w:val="0"/>
                      <w:divBdr>
                        <w:top w:val="none" w:sz="0" w:space="0" w:color="auto"/>
                        <w:left w:val="none" w:sz="0" w:space="0" w:color="auto"/>
                        <w:bottom w:val="none" w:sz="0" w:space="0" w:color="auto"/>
                        <w:right w:val="none" w:sz="0" w:space="0" w:color="auto"/>
                      </w:divBdr>
                      <w:divsChild>
                        <w:div w:id="719204369">
                          <w:marLeft w:val="0"/>
                          <w:marRight w:val="0"/>
                          <w:marTop w:val="0"/>
                          <w:marBottom w:val="0"/>
                          <w:divBdr>
                            <w:top w:val="none" w:sz="0" w:space="0" w:color="auto"/>
                            <w:left w:val="none" w:sz="0" w:space="0" w:color="auto"/>
                            <w:bottom w:val="none" w:sz="0" w:space="0" w:color="auto"/>
                            <w:right w:val="none" w:sz="0" w:space="0" w:color="auto"/>
                          </w:divBdr>
                          <w:divsChild>
                            <w:div w:id="121265099">
                              <w:marLeft w:val="0"/>
                              <w:marRight w:val="0"/>
                              <w:marTop w:val="0"/>
                              <w:marBottom w:val="0"/>
                              <w:divBdr>
                                <w:top w:val="none" w:sz="0" w:space="0" w:color="auto"/>
                                <w:left w:val="none" w:sz="0" w:space="0" w:color="auto"/>
                                <w:bottom w:val="none" w:sz="0" w:space="0" w:color="auto"/>
                                <w:right w:val="none" w:sz="0" w:space="0" w:color="auto"/>
                              </w:divBdr>
                              <w:divsChild>
                                <w:div w:id="265694101">
                                  <w:marLeft w:val="0"/>
                                  <w:marRight w:val="0"/>
                                  <w:marTop w:val="0"/>
                                  <w:marBottom w:val="0"/>
                                  <w:divBdr>
                                    <w:top w:val="none" w:sz="0" w:space="0" w:color="auto"/>
                                    <w:left w:val="none" w:sz="0" w:space="0" w:color="auto"/>
                                    <w:bottom w:val="none" w:sz="0" w:space="0" w:color="auto"/>
                                    <w:right w:val="none" w:sz="0" w:space="0" w:color="auto"/>
                                  </w:divBdr>
                                  <w:divsChild>
                                    <w:div w:id="1233810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9350495">
      <w:bodyDiv w:val="1"/>
      <w:marLeft w:val="0"/>
      <w:marRight w:val="0"/>
      <w:marTop w:val="0"/>
      <w:marBottom w:val="0"/>
      <w:divBdr>
        <w:top w:val="none" w:sz="0" w:space="0" w:color="auto"/>
        <w:left w:val="none" w:sz="0" w:space="0" w:color="auto"/>
        <w:bottom w:val="none" w:sz="0" w:space="0" w:color="auto"/>
        <w:right w:val="none" w:sz="0" w:space="0" w:color="auto"/>
      </w:divBdr>
    </w:div>
    <w:div w:id="1165054878">
      <w:bodyDiv w:val="1"/>
      <w:marLeft w:val="0"/>
      <w:marRight w:val="0"/>
      <w:marTop w:val="0"/>
      <w:marBottom w:val="0"/>
      <w:divBdr>
        <w:top w:val="none" w:sz="0" w:space="0" w:color="auto"/>
        <w:left w:val="none" w:sz="0" w:space="0" w:color="auto"/>
        <w:bottom w:val="none" w:sz="0" w:space="0" w:color="auto"/>
        <w:right w:val="none" w:sz="0" w:space="0" w:color="auto"/>
      </w:divBdr>
      <w:divsChild>
        <w:div w:id="648942067">
          <w:marLeft w:val="0"/>
          <w:marRight w:val="0"/>
          <w:marTop w:val="0"/>
          <w:marBottom w:val="0"/>
          <w:divBdr>
            <w:top w:val="none" w:sz="0" w:space="0" w:color="auto"/>
            <w:left w:val="none" w:sz="0" w:space="0" w:color="auto"/>
            <w:bottom w:val="none" w:sz="0" w:space="0" w:color="auto"/>
            <w:right w:val="none" w:sz="0" w:space="0" w:color="auto"/>
          </w:divBdr>
          <w:divsChild>
            <w:div w:id="1326085443">
              <w:marLeft w:val="0"/>
              <w:marRight w:val="0"/>
              <w:marTop w:val="0"/>
              <w:marBottom w:val="0"/>
              <w:divBdr>
                <w:top w:val="none" w:sz="0" w:space="0" w:color="auto"/>
                <w:left w:val="none" w:sz="0" w:space="0" w:color="auto"/>
                <w:bottom w:val="none" w:sz="0" w:space="0" w:color="auto"/>
                <w:right w:val="none" w:sz="0" w:space="0" w:color="auto"/>
              </w:divBdr>
              <w:divsChild>
                <w:div w:id="688799533">
                  <w:marLeft w:val="0"/>
                  <w:marRight w:val="0"/>
                  <w:marTop w:val="0"/>
                  <w:marBottom w:val="0"/>
                  <w:divBdr>
                    <w:top w:val="none" w:sz="0" w:space="0" w:color="auto"/>
                    <w:left w:val="none" w:sz="0" w:space="0" w:color="auto"/>
                    <w:bottom w:val="none" w:sz="0" w:space="0" w:color="auto"/>
                    <w:right w:val="none" w:sz="0" w:space="0" w:color="auto"/>
                  </w:divBdr>
                  <w:divsChild>
                    <w:div w:id="399986436">
                      <w:marLeft w:val="0"/>
                      <w:marRight w:val="0"/>
                      <w:marTop w:val="0"/>
                      <w:marBottom w:val="0"/>
                      <w:divBdr>
                        <w:top w:val="none" w:sz="0" w:space="0" w:color="auto"/>
                        <w:left w:val="none" w:sz="0" w:space="0" w:color="auto"/>
                        <w:bottom w:val="none" w:sz="0" w:space="0" w:color="auto"/>
                        <w:right w:val="none" w:sz="0" w:space="0" w:color="auto"/>
                      </w:divBdr>
                      <w:divsChild>
                        <w:div w:id="104885433">
                          <w:marLeft w:val="0"/>
                          <w:marRight w:val="0"/>
                          <w:marTop w:val="0"/>
                          <w:marBottom w:val="0"/>
                          <w:divBdr>
                            <w:top w:val="none" w:sz="0" w:space="0" w:color="auto"/>
                            <w:left w:val="none" w:sz="0" w:space="0" w:color="auto"/>
                            <w:bottom w:val="none" w:sz="0" w:space="0" w:color="auto"/>
                            <w:right w:val="none" w:sz="0" w:space="0" w:color="auto"/>
                          </w:divBdr>
                        </w:div>
                      </w:divsChild>
                    </w:div>
                    <w:div w:id="1683124930">
                      <w:marLeft w:val="0"/>
                      <w:marRight w:val="0"/>
                      <w:marTop w:val="0"/>
                      <w:marBottom w:val="0"/>
                      <w:divBdr>
                        <w:top w:val="none" w:sz="0" w:space="0" w:color="auto"/>
                        <w:left w:val="none" w:sz="0" w:space="0" w:color="auto"/>
                        <w:bottom w:val="none" w:sz="0" w:space="0" w:color="auto"/>
                        <w:right w:val="none" w:sz="0" w:space="0" w:color="auto"/>
                      </w:divBdr>
                      <w:divsChild>
                        <w:div w:id="164164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731993">
              <w:marLeft w:val="0"/>
              <w:marRight w:val="0"/>
              <w:marTop w:val="0"/>
              <w:marBottom w:val="0"/>
              <w:divBdr>
                <w:top w:val="none" w:sz="0" w:space="0" w:color="auto"/>
                <w:left w:val="none" w:sz="0" w:space="0" w:color="auto"/>
                <w:bottom w:val="none" w:sz="0" w:space="0" w:color="auto"/>
                <w:right w:val="none" w:sz="0" w:space="0" w:color="auto"/>
              </w:divBdr>
              <w:divsChild>
                <w:div w:id="999575720">
                  <w:marLeft w:val="0"/>
                  <w:marRight w:val="0"/>
                  <w:marTop w:val="0"/>
                  <w:marBottom w:val="0"/>
                  <w:divBdr>
                    <w:top w:val="none" w:sz="0" w:space="0" w:color="auto"/>
                    <w:left w:val="none" w:sz="0" w:space="0" w:color="auto"/>
                    <w:bottom w:val="none" w:sz="0" w:space="0" w:color="auto"/>
                    <w:right w:val="none" w:sz="0" w:space="0" w:color="auto"/>
                  </w:divBdr>
                  <w:divsChild>
                    <w:div w:id="340548069">
                      <w:marLeft w:val="0"/>
                      <w:marRight w:val="0"/>
                      <w:marTop w:val="0"/>
                      <w:marBottom w:val="0"/>
                      <w:divBdr>
                        <w:top w:val="none" w:sz="0" w:space="0" w:color="auto"/>
                        <w:left w:val="none" w:sz="0" w:space="0" w:color="auto"/>
                        <w:bottom w:val="none" w:sz="0" w:space="0" w:color="auto"/>
                        <w:right w:val="none" w:sz="0" w:space="0" w:color="auto"/>
                      </w:divBdr>
                      <w:divsChild>
                        <w:div w:id="190988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591200">
          <w:marLeft w:val="0"/>
          <w:marRight w:val="0"/>
          <w:marTop w:val="0"/>
          <w:marBottom w:val="0"/>
          <w:divBdr>
            <w:top w:val="none" w:sz="0" w:space="0" w:color="auto"/>
            <w:left w:val="none" w:sz="0" w:space="0" w:color="auto"/>
            <w:bottom w:val="none" w:sz="0" w:space="0" w:color="auto"/>
            <w:right w:val="none" w:sz="0" w:space="0" w:color="auto"/>
          </w:divBdr>
          <w:divsChild>
            <w:div w:id="2086342031">
              <w:marLeft w:val="0"/>
              <w:marRight w:val="0"/>
              <w:marTop w:val="0"/>
              <w:marBottom w:val="0"/>
              <w:divBdr>
                <w:top w:val="none" w:sz="0" w:space="0" w:color="auto"/>
                <w:left w:val="none" w:sz="0" w:space="0" w:color="auto"/>
                <w:bottom w:val="none" w:sz="0" w:space="0" w:color="auto"/>
                <w:right w:val="none" w:sz="0" w:space="0" w:color="auto"/>
              </w:divBdr>
              <w:divsChild>
                <w:div w:id="495071999">
                  <w:marLeft w:val="0"/>
                  <w:marRight w:val="0"/>
                  <w:marTop w:val="0"/>
                  <w:marBottom w:val="0"/>
                  <w:divBdr>
                    <w:top w:val="none" w:sz="0" w:space="0" w:color="auto"/>
                    <w:left w:val="none" w:sz="0" w:space="0" w:color="auto"/>
                    <w:bottom w:val="none" w:sz="0" w:space="0" w:color="auto"/>
                    <w:right w:val="none" w:sz="0" w:space="0" w:color="auto"/>
                  </w:divBdr>
                  <w:divsChild>
                    <w:div w:id="269822956">
                      <w:marLeft w:val="0"/>
                      <w:marRight w:val="0"/>
                      <w:marTop w:val="0"/>
                      <w:marBottom w:val="0"/>
                      <w:divBdr>
                        <w:top w:val="none" w:sz="0" w:space="0" w:color="auto"/>
                        <w:left w:val="none" w:sz="0" w:space="0" w:color="auto"/>
                        <w:bottom w:val="none" w:sz="0" w:space="0" w:color="auto"/>
                        <w:right w:val="none" w:sz="0" w:space="0" w:color="auto"/>
                      </w:divBdr>
                      <w:divsChild>
                        <w:div w:id="1740899535">
                          <w:marLeft w:val="0"/>
                          <w:marRight w:val="0"/>
                          <w:marTop w:val="0"/>
                          <w:marBottom w:val="0"/>
                          <w:divBdr>
                            <w:top w:val="none" w:sz="0" w:space="0" w:color="auto"/>
                            <w:left w:val="none" w:sz="0" w:space="0" w:color="auto"/>
                            <w:bottom w:val="none" w:sz="0" w:space="0" w:color="auto"/>
                            <w:right w:val="none" w:sz="0" w:space="0" w:color="auto"/>
                          </w:divBdr>
                          <w:divsChild>
                            <w:div w:id="664670355">
                              <w:marLeft w:val="0"/>
                              <w:marRight w:val="0"/>
                              <w:marTop w:val="0"/>
                              <w:marBottom w:val="0"/>
                              <w:divBdr>
                                <w:top w:val="none" w:sz="0" w:space="0" w:color="auto"/>
                                <w:left w:val="none" w:sz="0" w:space="0" w:color="auto"/>
                                <w:bottom w:val="none" w:sz="0" w:space="0" w:color="auto"/>
                                <w:right w:val="none" w:sz="0" w:space="0" w:color="auto"/>
                              </w:divBdr>
                              <w:divsChild>
                                <w:div w:id="1323310146">
                                  <w:marLeft w:val="0"/>
                                  <w:marRight w:val="0"/>
                                  <w:marTop w:val="0"/>
                                  <w:marBottom w:val="0"/>
                                  <w:divBdr>
                                    <w:top w:val="none" w:sz="0" w:space="0" w:color="auto"/>
                                    <w:left w:val="none" w:sz="0" w:space="0" w:color="auto"/>
                                    <w:bottom w:val="none" w:sz="0" w:space="0" w:color="auto"/>
                                    <w:right w:val="none" w:sz="0" w:space="0" w:color="auto"/>
                                  </w:divBdr>
                                  <w:divsChild>
                                    <w:div w:id="38649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4195216">
      <w:bodyDiv w:val="1"/>
      <w:marLeft w:val="0"/>
      <w:marRight w:val="0"/>
      <w:marTop w:val="0"/>
      <w:marBottom w:val="0"/>
      <w:divBdr>
        <w:top w:val="none" w:sz="0" w:space="0" w:color="auto"/>
        <w:left w:val="none" w:sz="0" w:space="0" w:color="auto"/>
        <w:bottom w:val="none" w:sz="0" w:space="0" w:color="auto"/>
        <w:right w:val="none" w:sz="0" w:space="0" w:color="auto"/>
      </w:divBdr>
    </w:div>
    <w:div w:id="1401709772">
      <w:bodyDiv w:val="1"/>
      <w:marLeft w:val="0"/>
      <w:marRight w:val="0"/>
      <w:marTop w:val="0"/>
      <w:marBottom w:val="0"/>
      <w:divBdr>
        <w:top w:val="none" w:sz="0" w:space="0" w:color="auto"/>
        <w:left w:val="none" w:sz="0" w:space="0" w:color="auto"/>
        <w:bottom w:val="none" w:sz="0" w:space="0" w:color="auto"/>
        <w:right w:val="none" w:sz="0" w:space="0" w:color="auto"/>
      </w:divBdr>
    </w:div>
    <w:div w:id="1437822075">
      <w:bodyDiv w:val="1"/>
      <w:marLeft w:val="0"/>
      <w:marRight w:val="0"/>
      <w:marTop w:val="0"/>
      <w:marBottom w:val="0"/>
      <w:divBdr>
        <w:top w:val="none" w:sz="0" w:space="0" w:color="auto"/>
        <w:left w:val="none" w:sz="0" w:space="0" w:color="auto"/>
        <w:bottom w:val="none" w:sz="0" w:space="0" w:color="auto"/>
        <w:right w:val="none" w:sz="0" w:space="0" w:color="auto"/>
      </w:divBdr>
      <w:divsChild>
        <w:div w:id="1072585590">
          <w:marLeft w:val="0"/>
          <w:marRight w:val="0"/>
          <w:marTop w:val="0"/>
          <w:marBottom w:val="0"/>
          <w:divBdr>
            <w:top w:val="none" w:sz="0" w:space="0" w:color="auto"/>
            <w:left w:val="none" w:sz="0" w:space="0" w:color="auto"/>
            <w:bottom w:val="none" w:sz="0" w:space="0" w:color="auto"/>
            <w:right w:val="none" w:sz="0" w:space="0" w:color="auto"/>
          </w:divBdr>
        </w:div>
        <w:div w:id="1827282678">
          <w:marLeft w:val="0"/>
          <w:marRight w:val="0"/>
          <w:marTop w:val="0"/>
          <w:marBottom w:val="0"/>
          <w:divBdr>
            <w:top w:val="none" w:sz="0" w:space="0" w:color="auto"/>
            <w:left w:val="none" w:sz="0" w:space="0" w:color="auto"/>
            <w:bottom w:val="none" w:sz="0" w:space="0" w:color="auto"/>
            <w:right w:val="none" w:sz="0" w:space="0" w:color="auto"/>
          </w:divBdr>
        </w:div>
      </w:divsChild>
    </w:div>
    <w:div w:id="1478718837">
      <w:bodyDiv w:val="1"/>
      <w:marLeft w:val="0"/>
      <w:marRight w:val="0"/>
      <w:marTop w:val="0"/>
      <w:marBottom w:val="0"/>
      <w:divBdr>
        <w:top w:val="none" w:sz="0" w:space="0" w:color="auto"/>
        <w:left w:val="none" w:sz="0" w:space="0" w:color="auto"/>
        <w:bottom w:val="none" w:sz="0" w:space="0" w:color="auto"/>
        <w:right w:val="none" w:sz="0" w:space="0" w:color="auto"/>
      </w:divBdr>
      <w:divsChild>
        <w:div w:id="1984190519">
          <w:marLeft w:val="0"/>
          <w:marRight w:val="0"/>
          <w:marTop w:val="0"/>
          <w:marBottom w:val="0"/>
          <w:divBdr>
            <w:top w:val="none" w:sz="0" w:space="0" w:color="auto"/>
            <w:left w:val="none" w:sz="0" w:space="0" w:color="auto"/>
            <w:bottom w:val="none" w:sz="0" w:space="0" w:color="auto"/>
            <w:right w:val="none" w:sz="0" w:space="0" w:color="auto"/>
          </w:divBdr>
          <w:divsChild>
            <w:div w:id="1949964953">
              <w:marLeft w:val="0"/>
              <w:marRight w:val="0"/>
              <w:marTop w:val="0"/>
              <w:marBottom w:val="0"/>
              <w:divBdr>
                <w:top w:val="none" w:sz="0" w:space="0" w:color="auto"/>
                <w:left w:val="none" w:sz="0" w:space="0" w:color="auto"/>
                <w:bottom w:val="none" w:sz="0" w:space="0" w:color="auto"/>
                <w:right w:val="none" w:sz="0" w:space="0" w:color="auto"/>
              </w:divBdr>
              <w:divsChild>
                <w:div w:id="1026250267">
                  <w:marLeft w:val="0"/>
                  <w:marRight w:val="0"/>
                  <w:marTop w:val="0"/>
                  <w:marBottom w:val="0"/>
                  <w:divBdr>
                    <w:top w:val="none" w:sz="0" w:space="0" w:color="auto"/>
                    <w:left w:val="none" w:sz="0" w:space="0" w:color="auto"/>
                    <w:bottom w:val="none" w:sz="0" w:space="0" w:color="auto"/>
                    <w:right w:val="none" w:sz="0" w:space="0" w:color="auto"/>
                  </w:divBdr>
                  <w:divsChild>
                    <w:div w:id="1703357715">
                      <w:marLeft w:val="0"/>
                      <w:marRight w:val="0"/>
                      <w:marTop w:val="0"/>
                      <w:marBottom w:val="0"/>
                      <w:divBdr>
                        <w:top w:val="none" w:sz="0" w:space="0" w:color="auto"/>
                        <w:left w:val="none" w:sz="0" w:space="0" w:color="auto"/>
                        <w:bottom w:val="none" w:sz="0" w:space="0" w:color="auto"/>
                        <w:right w:val="none" w:sz="0" w:space="0" w:color="auto"/>
                      </w:divBdr>
                      <w:divsChild>
                        <w:div w:id="745302610">
                          <w:marLeft w:val="0"/>
                          <w:marRight w:val="0"/>
                          <w:marTop w:val="0"/>
                          <w:marBottom w:val="0"/>
                          <w:divBdr>
                            <w:top w:val="none" w:sz="0" w:space="0" w:color="auto"/>
                            <w:left w:val="none" w:sz="0" w:space="0" w:color="auto"/>
                            <w:bottom w:val="none" w:sz="0" w:space="0" w:color="auto"/>
                            <w:right w:val="none" w:sz="0" w:space="0" w:color="auto"/>
                          </w:divBdr>
                          <w:divsChild>
                            <w:div w:id="1913466340">
                              <w:marLeft w:val="0"/>
                              <w:marRight w:val="0"/>
                              <w:marTop w:val="0"/>
                              <w:marBottom w:val="0"/>
                              <w:divBdr>
                                <w:top w:val="none" w:sz="0" w:space="0" w:color="auto"/>
                                <w:left w:val="none" w:sz="0" w:space="0" w:color="auto"/>
                                <w:bottom w:val="none" w:sz="0" w:space="0" w:color="auto"/>
                                <w:right w:val="none" w:sz="0" w:space="0" w:color="auto"/>
                              </w:divBdr>
                              <w:divsChild>
                                <w:div w:id="338890222">
                                  <w:marLeft w:val="0"/>
                                  <w:marRight w:val="0"/>
                                  <w:marTop w:val="0"/>
                                  <w:marBottom w:val="0"/>
                                  <w:divBdr>
                                    <w:top w:val="none" w:sz="0" w:space="0" w:color="auto"/>
                                    <w:left w:val="none" w:sz="0" w:space="0" w:color="auto"/>
                                    <w:bottom w:val="none" w:sz="0" w:space="0" w:color="auto"/>
                                    <w:right w:val="none" w:sz="0" w:space="0" w:color="auto"/>
                                  </w:divBdr>
                                  <w:divsChild>
                                    <w:div w:id="1550607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8205777">
      <w:bodyDiv w:val="1"/>
      <w:marLeft w:val="0"/>
      <w:marRight w:val="0"/>
      <w:marTop w:val="0"/>
      <w:marBottom w:val="0"/>
      <w:divBdr>
        <w:top w:val="none" w:sz="0" w:space="0" w:color="auto"/>
        <w:left w:val="none" w:sz="0" w:space="0" w:color="auto"/>
        <w:bottom w:val="none" w:sz="0" w:space="0" w:color="auto"/>
        <w:right w:val="none" w:sz="0" w:space="0" w:color="auto"/>
      </w:divBdr>
      <w:divsChild>
        <w:div w:id="1504278622">
          <w:marLeft w:val="0"/>
          <w:marRight w:val="0"/>
          <w:marTop w:val="0"/>
          <w:marBottom w:val="0"/>
          <w:divBdr>
            <w:top w:val="none" w:sz="0" w:space="0" w:color="auto"/>
            <w:left w:val="none" w:sz="0" w:space="0" w:color="auto"/>
            <w:bottom w:val="none" w:sz="0" w:space="0" w:color="auto"/>
            <w:right w:val="none" w:sz="0" w:space="0" w:color="auto"/>
          </w:divBdr>
          <w:divsChild>
            <w:div w:id="630136880">
              <w:marLeft w:val="0"/>
              <w:marRight w:val="0"/>
              <w:marTop w:val="0"/>
              <w:marBottom w:val="0"/>
              <w:divBdr>
                <w:top w:val="none" w:sz="0" w:space="0" w:color="auto"/>
                <w:left w:val="none" w:sz="0" w:space="0" w:color="auto"/>
                <w:bottom w:val="none" w:sz="0" w:space="0" w:color="auto"/>
                <w:right w:val="none" w:sz="0" w:space="0" w:color="auto"/>
              </w:divBdr>
              <w:divsChild>
                <w:div w:id="1354189667">
                  <w:marLeft w:val="0"/>
                  <w:marRight w:val="0"/>
                  <w:marTop w:val="0"/>
                  <w:marBottom w:val="0"/>
                  <w:divBdr>
                    <w:top w:val="none" w:sz="0" w:space="0" w:color="auto"/>
                    <w:left w:val="none" w:sz="0" w:space="0" w:color="auto"/>
                    <w:bottom w:val="none" w:sz="0" w:space="0" w:color="auto"/>
                    <w:right w:val="none" w:sz="0" w:space="0" w:color="auto"/>
                  </w:divBdr>
                  <w:divsChild>
                    <w:div w:id="298726372">
                      <w:marLeft w:val="0"/>
                      <w:marRight w:val="0"/>
                      <w:marTop w:val="0"/>
                      <w:marBottom w:val="0"/>
                      <w:divBdr>
                        <w:top w:val="none" w:sz="0" w:space="0" w:color="auto"/>
                        <w:left w:val="none" w:sz="0" w:space="0" w:color="auto"/>
                        <w:bottom w:val="none" w:sz="0" w:space="0" w:color="auto"/>
                        <w:right w:val="none" w:sz="0" w:space="0" w:color="auto"/>
                      </w:divBdr>
                      <w:divsChild>
                        <w:div w:id="15514577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52903405">
      <w:bodyDiv w:val="1"/>
      <w:marLeft w:val="0"/>
      <w:marRight w:val="0"/>
      <w:marTop w:val="0"/>
      <w:marBottom w:val="0"/>
      <w:divBdr>
        <w:top w:val="none" w:sz="0" w:space="0" w:color="auto"/>
        <w:left w:val="none" w:sz="0" w:space="0" w:color="auto"/>
        <w:bottom w:val="none" w:sz="0" w:space="0" w:color="auto"/>
        <w:right w:val="none" w:sz="0" w:space="0" w:color="auto"/>
      </w:divBdr>
    </w:div>
    <w:div w:id="1784229404">
      <w:bodyDiv w:val="1"/>
      <w:marLeft w:val="0"/>
      <w:marRight w:val="0"/>
      <w:marTop w:val="0"/>
      <w:marBottom w:val="0"/>
      <w:divBdr>
        <w:top w:val="none" w:sz="0" w:space="0" w:color="auto"/>
        <w:left w:val="none" w:sz="0" w:space="0" w:color="auto"/>
        <w:bottom w:val="none" w:sz="0" w:space="0" w:color="auto"/>
        <w:right w:val="none" w:sz="0" w:space="0" w:color="auto"/>
      </w:divBdr>
    </w:div>
    <w:div w:id="1798183258">
      <w:bodyDiv w:val="1"/>
      <w:marLeft w:val="0"/>
      <w:marRight w:val="0"/>
      <w:marTop w:val="0"/>
      <w:marBottom w:val="0"/>
      <w:divBdr>
        <w:top w:val="none" w:sz="0" w:space="0" w:color="auto"/>
        <w:left w:val="none" w:sz="0" w:space="0" w:color="auto"/>
        <w:bottom w:val="none" w:sz="0" w:space="0" w:color="auto"/>
        <w:right w:val="none" w:sz="0" w:space="0" w:color="auto"/>
      </w:divBdr>
      <w:divsChild>
        <w:div w:id="872427499">
          <w:marLeft w:val="0"/>
          <w:marRight w:val="0"/>
          <w:marTop w:val="0"/>
          <w:marBottom w:val="0"/>
          <w:divBdr>
            <w:top w:val="none" w:sz="0" w:space="0" w:color="auto"/>
            <w:left w:val="none" w:sz="0" w:space="0" w:color="auto"/>
            <w:bottom w:val="none" w:sz="0" w:space="0" w:color="auto"/>
            <w:right w:val="none" w:sz="0" w:space="0" w:color="auto"/>
          </w:divBdr>
          <w:divsChild>
            <w:div w:id="1017855031">
              <w:marLeft w:val="0"/>
              <w:marRight w:val="0"/>
              <w:marTop w:val="0"/>
              <w:marBottom w:val="0"/>
              <w:divBdr>
                <w:top w:val="none" w:sz="0" w:space="0" w:color="auto"/>
                <w:left w:val="none" w:sz="0" w:space="0" w:color="auto"/>
                <w:bottom w:val="none" w:sz="0" w:space="0" w:color="auto"/>
                <w:right w:val="none" w:sz="0" w:space="0" w:color="auto"/>
              </w:divBdr>
              <w:divsChild>
                <w:div w:id="2140953745">
                  <w:marLeft w:val="0"/>
                  <w:marRight w:val="0"/>
                  <w:marTop w:val="0"/>
                  <w:marBottom w:val="0"/>
                  <w:divBdr>
                    <w:top w:val="none" w:sz="0" w:space="0" w:color="auto"/>
                    <w:left w:val="none" w:sz="0" w:space="0" w:color="auto"/>
                    <w:bottom w:val="none" w:sz="0" w:space="0" w:color="auto"/>
                    <w:right w:val="none" w:sz="0" w:space="0" w:color="auto"/>
                  </w:divBdr>
                  <w:divsChild>
                    <w:div w:id="589238003">
                      <w:marLeft w:val="0"/>
                      <w:marRight w:val="0"/>
                      <w:marTop w:val="0"/>
                      <w:marBottom w:val="0"/>
                      <w:divBdr>
                        <w:top w:val="none" w:sz="0" w:space="0" w:color="auto"/>
                        <w:left w:val="none" w:sz="0" w:space="0" w:color="auto"/>
                        <w:bottom w:val="none" w:sz="0" w:space="0" w:color="auto"/>
                        <w:right w:val="none" w:sz="0" w:space="0" w:color="auto"/>
                      </w:divBdr>
                      <w:divsChild>
                        <w:div w:id="1549144516">
                          <w:marLeft w:val="0"/>
                          <w:marRight w:val="0"/>
                          <w:marTop w:val="0"/>
                          <w:marBottom w:val="0"/>
                          <w:divBdr>
                            <w:top w:val="none" w:sz="0" w:space="0" w:color="auto"/>
                            <w:left w:val="none" w:sz="0" w:space="0" w:color="auto"/>
                            <w:bottom w:val="none" w:sz="0" w:space="0" w:color="auto"/>
                            <w:right w:val="none" w:sz="0" w:space="0" w:color="auto"/>
                          </w:divBdr>
                          <w:divsChild>
                            <w:div w:id="396125473">
                              <w:marLeft w:val="0"/>
                              <w:marRight w:val="0"/>
                              <w:marTop w:val="0"/>
                              <w:marBottom w:val="0"/>
                              <w:divBdr>
                                <w:top w:val="none" w:sz="0" w:space="0" w:color="auto"/>
                                <w:left w:val="none" w:sz="0" w:space="0" w:color="auto"/>
                                <w:bottom w:val="none" w:sz="0" w:space="0" w:color="auto"/>
                                <w:right w:val="none" w:sz="0" w:space="0" w:color="auto"/>
                              </w:divBdr>
                              <w:divsChild>
                                <w:div w:id="744298074">
                                  <w:marLeft w:val="0"/>
                                  <w:marRight w:val="0"/>
                                  <w:marTop w:val="0"/>
                                  <w:marBottom w:val="0"/>
                                  <w:divBdr>
                                    <w:top w:val="none" w:sz="0" w:space="0" w:color="auto"/>
                                    <w:left w:val="none" w:sz="0" w:space="0" w:color="auto"/>
                                    <w:bottom w:val="none" w:sz="0" w:space="0" w:color="auto"/>
                                    <w:right w:val="none" w:sz="0" w:space="0" w:color="auto"/>
                                  </w:divBdr>
                                  <w:divsChild>
                                    <w:div w:id="335961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5267335">
      <w:bodyDiv w:val="1"/>
      <w:marLeft w:val="0"/>
      <w:marRight w:val="0"/>
      <w:marTop w:val="0"/>
      <w:marBottom w:val="0"/>
      <w:divBdr>
        <w:top w:val="none" w:sz="0" w:space="0" w:color="auto"/>
        <w:left w:val="none" w:sz="0" w:space="0" w:color="auto"/>
        <w:bottom w:val="none" w:sz="0" w:space="0" w:color="auto"/>
        <w:right w:val="none" w:sz="0" w:space="0" w:color="auto"/>
      </w:divBdr>
    </w:div>
    <w:div w:id="1845240454">
      <w:bodyDiv w:val="1"/>
      <w:marLeft w:val="0"/>
      <w:marRight w:val="0"/>
      <w:marTop w:val="0"/>
      <w:marBottom w:val="0"/>
      <w:divBdr>
        <w:top w:val="none" w:sz="0" w:space="0" w:color="auto"/>
        <w:left w:val="none" w:sz="0" w:space="0" w:color="auto"/>
        <w:bottom w:val="none" w:sz="0" w:space="0" w:color="auto"/>
        <w:right w:val="none" w:sz="0" w:space="0" w:color="auto"/>
      </w:divBdr>
    </w:div>
    <w:div w:id="1850754261">
      <w:bodyDiv w:val="1"/>
      <w:marLeft w:val="0"/>
      <w:marRight w:val="0"/>
      <w:marTop w:val="0"/>
      <w:marBottom w:val="0"/>
      <w:divBdr>
        <w:top w:val="none" w:sz="0" w:space="0" w:color="auto"/>
        <w:left w:val="none" w:sz="0" w:space="0" w:color="auto"/>
        <w:bottom w:val="none" w:sz="0" w:space="0" w:color="auto"/>
        <w:right w:val="none" w:sz="0" w:space="0" w:color="auto"/>
      </w:divBdr>
    </w:div>
    <w:div w:id="1871796530">
      <w:bodyDiv w:val="1"/>
      <w:marLeft w:val="0"/>
      <w:marRight w:val="0"/>
      <w:marTop w:val="0"/>
      <w:marBottom w:val="0"/>
      <w:divBdr>
        <w:top w:val="none" w:sz="0" w:space="0" w:color="auto"/>
        <w:left w:val="none" w:sz="0" w:space="0" w:color="auto"/>
        <w:bottom w:val="none" w:sz="0" w:space="0" w:color="auto"/>
        <w:right w:val="none" w:sz="0" w:space="0" w:color="auto"/>
      </w:divBdr>
    </w:div>
    <w:div w:id="1873879937">
      <w:bodyDiv w:val="1"/>
      <w:marLeft w:val="0"/>
      <w:marRight w:val="0"/>
      <w:marTop w:val="0"/>
      <w:marBottom w:val="0"/>
      <w:divBdr>
        <w:top w:val="none" w:sz="0" w:space="0" w:color="auto"/>
        <w:left w:val="none" w:sz="0" w:space="0" w:color="auto"/>
        <w:bottom w:val="none" w:sz="0" w:space="0" w:color="auto"/>
        <w:right w:val="none" w:sz="0" w:space="0" w:color="auto"/>
      </w:divBdr>
    </w:div>
    <w:div w:id="1961568433">
      <w:bodyDiv w:val="1"/>
      <w:marLeft w:val="0"/>
      <w:marRight w:val="0"/>
      <w:marTop w:val="0"/>
      <w:marBottom w:val="0"/>
      <w:divBdr>
        <w:top w:val="none" w:sz="0" w:space="0" w:color="auto"/>
        <w:left w:val="none" w:sz="0" w:space="0" w:color="auto"/>
        <w:bottom w:val="none" w:sz="0" w:space="0" w:color="auto"/>
        <w:right w:val="none" w:sz="0" w:space="0" w:color="auto"/>
      </w:divBdr>
    </w:div>
    <w:div w:id="1984264537">
      <w:bodyDiv w:val="1"/>
      <w:marLeft w:val="0"/>
      <w:marRight w:val="0"/>
      <w:marTop w:val="0"/>
      <w:marBottom w:val="0"/>
      <w:divBdr>
        <w:top w:val="none" w:sz="0" w:space="0" w:color="auto"/>
        <w:left w:val="none" w:sz="0" w:space="0" w:color="auto"/>
        <w:bottom w:val="none" w:sz="0" w:space="0" w:color="auto"/>
        <w:right w:val="none" w:sz="0" w:space="0" w:color="auto"/>
      </w:divBdr>
      <w:divsChild>
        <w:div w:id="219945745">
          <w:marLeft w:val="0"/>
          <w:marRight w:val="0"/>
          <w:marTop w:val="0"/>
          <w:marBottom w:val="0"/>
          <w:divBdr>
            <w:top w:val="none" w:sz="0" w:space="0" w:color="auto"/>
            <w:left w:val="none" w:sz="0" w:space="0" w:color="auto"/>
            <w:bottom w:val="none" w:sz="0" w:space="0" w:color="auto"/>
            <w:right w:val="none" w:sz="0" w:space="0" w:color="auto"/>
          </w:divBdr>
        </w:div>
        <w:div w:id="1643387469">
          <w:marLeft w:val="0"/>
          <w:marRight w:val="0"/>
          <w:marTop w:val="0"/>
          <w:marBottom w:val="0"/>
          <w:divBdr>
            <w:top w:val="none" w:sz="0" w:space="0" w:color="auto"/>
            <w:left w:val="none" w:sz="0" w:space="0" w:color="auto"/>
            <w:bottom w:val="none" w:sz="0" w:space="0" w:color="auto"/>
            <w:right w:val="none" w:sz="0" w:space="0" w:color="auto"/>
          </w:divBdr>
        </w:div>
      </w:divsChild>
    </w:div>
    <w:div w:id="2047757154">
      <w:bodyDiv w:val="1"/>
      <w:marLeft w:val="0"/>
      <w:marRight w:val="0"/>
      <w:marTop w:val="0"/>
      <w:marBottom w:val="0"/>
      <w:divBdr>
        <w:top w:val="none" w:sz="0" w:space="0" w:color="auto"/>
        <w:left w:val="none" w:sz="0" w:space="0" w:color="auto"/>
        <w:bottom w:val="none" w:sz="0" w:space="0" w:color="auto"/>
        <w:right w:val="none" w:sz="0" w:space="0" w:color="auto"/>
      </w:divBdr>
    </w:div>
    <w:div w:id="2057388736">
      <w:bodyDiv w:val="1"/>
      <w:marLeft w:val="0"/>
      <w:marRight w:val="0"/>
      <w:marTop w:val="0"/>
      <w:marBottom w:val="0"/>
      <w:divBdr>
        <w:top w:val="none" w:sz="0" w:space="0" w:color="auto"/>
        <w:left w:val="none" w:sz="0" w:space="0" w:color="auto"/>
        <w:bottom w:val="none" w:sz="0" w:space="0" w:color="auto"/>
        <w:right w:val="none" w:sz="0" w:space="0" w:color="auto"/>
      </w:divBdr>
    </w:div>
    <w:div w:id="2093351662">
      <w:bodyDiv w:val="1"/>
      <w:marLeft w:val="0"/>
      <w:marRight w:val="0"/>
      <w:marTop w:val="0"/>
      <w:marBottom w:val="0"/>
      <w:divBdr>
        <w:top w:val="none" w:sz="0" w:space="0" w:color="auto"/>
        <w:left w:val="none" w:sz="0" w:space="0" w:color="auto"/>
        <w:bottom w:val="none" w:sz="0" w:space="0" w:color="auto"/>
        <w:right w:val="none" w:sz="0" w:space="0" w:color="auto"/>
      </w:divBdr>
    </w:div>
    <w:div w:id="2135295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competition-policy.ec.europa.eu/document/download/22197012-2036-4b1e-8b02-0eb8b2d6e666_en?filename=kdar24001enn_competition_FSR_brief_1_2024_100-days-of-FSR-notification-obligation.pdf" TargetMode="External"/><Relationship Id="rId13" Type="http://schemas.openxmlformats.org/officeDocument/2006/relationships/hyperlink" Target="http://data.europa.eu/eli/C/2024/4107/oj" TargetMode="External"/><Relationship Id="rId18" Type="http://schemas.openxmlformats.org/officeDocument/2006/relationships/hyperlink" Target="https://ted.europa.eu/en/" TargetMode="External"/><Relationship Id="rId3" Type="http://schemas.openxmlformats.org/officeDocument/2006/relationships/hyperlink" Target="https://ec.europa.eu/info/law/better-regulation/have-your-say/initiatives/14760-Foreign-subsidies-review-report/public-consultation_en" TargetMode="External"/><Relationship Id="rId7" Type="http://schemas.openxmlformats.org/officeDocument/2006/relationships/hyperlink" Target="https://competition-policy.ec.europa.eu/foreign-subsidies-regulation/legislation_en" TargetMode="External"/><Relationship Id="rId12" Type="http://schemas.openxmlformats.org/officeDocument/2006/relationships/hyperlink" Target="https://eur-lex.europa.eu/eli/C/2026/1120/oj" TargetMode="External"/><Relationship Id="rId17" Type="http://schemas.openxmlformats.org/officeDocument/2006/relationships/hyperlink" Target="https://competition-policy.ec.europa.eu/document/download/feaa6917-8fad-4fc4-bd3c-3baac1dc5297_en?filename=foreign_subsidies_impact_assessment_report.pdf" TargetMode="External"/><Relationship Id="rId2" Type="http://schemas.openxmlformats.org/officeDocument/2006/relationships/hyperlink" Target="https://ec.europa.eu/info/funding-tenders/opportunities/portal/screen/opportunities/tender-details/14538" TargetMode="External"/><Relationship Id="rId16" Type="http://schemas.openxmlformats.org/officeDocument/2006/relationships/hyperlink" Target="https://ec.europa.eu/competition/foreign_subsidies/cases/20266/FS_100156_2550.pdf" TargetMode="External"/><Relationship Id="rId1" Type="http://schemas.openxmlformats.org/officeDocument/2006/relationships/hyperlink" Target="http://data.europa.eu/eli/reg/2022/2560/oj" TargetMode="External"/><Relationship Id="rId6" Type="http://schemas.openxmlformats.org/officeDocument/2006/relationships/hyperlink" Target="https://single-market-economy.ec.europa.eu/single-market/public-procurement/foreign-subsidies-regulation/questions-and-answers_en" TargetMode="External"/><Relationship Id="rId11" Type="http://schemas.openxmlformats.org/officeDocument/2006/relationships/hyperlink" Target="https://eur-lex.europa.eu/eli/C/2026/545/oj" TargetMode="External"/><Relationship Id="rId5" Type="http://schemas.openxmlformats.org/officeDocument/2006/relationships/hyperlink" Target="https://competition-policy.ec.europa.eu/foreign-subsidies-regulation/questions-and-answers_en" TargetMode="External"/><Relationship Id="rId15" Type="http://schemas.openxmlformats.org/officeDocument/2006/relationships/hyperlink" Target="https://ec.europa.eu/competition/foreign_subsidies/cases/202540/FS_100011_1044.pdf" TargetMode="External"/><Relationship Id="rId10" Type="http://schemas.openxmlformats.org/officeDocument/2006/relationships/hyperlink" Target="https://op.europa.eu/en/publication-detail/-/publication/0abf578d-df43-11f0-8439-01aa75ed71a1" TargetMode="External"/><Relationship Id="rId4" Type="http://schemas.openxmlformats.org/officeDocument/2006/relationships/hyperlink" Target="https://competition-policy.ec.europa.eu/document/download/b4c8bb13-839b-4bfb-8863-78b188523d22_en?filename=20240726_SWD_clarifications_on_application_of_FSR.pdf" TargetMode="External"/><Relationship Id="rId9" Type="http://schemas.openxmlformats.org/officeDocument/2006/relationships/hyperlink" Target="https://competition-policy.ec.europa.eu/document/download/724e7651-dd40-4354-a2f3-bdc9d7166836_en?filename=kd0126006enn_FSR_brief_2026-1.pdf" TargetMode="External"/><Relationship Id="rId14" Type="http://schemas.openxmlformats.org/officeDocument/2006/relationships/hyperlink" Target="http://data.europa.eu/eli/C/2024/58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5D9168D219EF46BD84AD9B1F6859F9" ma:contentTypeVersion="9" ma:contentTypeDescription="Create a new document." ma:contentTypeScope="" ma:versionID="77712b61fc6d2eb670d9fee044a14b0c">
  <xsd:schema xmlns:xsd="http://www.w3.org/2001/XMLSchema" xmlns:xs="http://www.w3.org/2001/XMLSchema" xmlns:p="http://schemas.microsoft.com/office/2006/metadata/properties" xmlns:ns2="cf1f171b-54b5-4e09-afef-dde7471acbe6" xmlns:ns3="f3538e03-908c-4e24-aceb-8b5344120437" targetNamespace="http://schemas.microsoft.com/office/2006/metadata/properties" ma:root="true" ma:fieldsID="1a2b1d21e557ca7bd3642809954894db" ns2:_="" ns3:_="">
    <xsd:import namespace="cf1f171b-54b5-4e09-afef-dde7471acbe6"/>
    <xsd:import namespace="f3538e03-908c-4e24-aceb-8b5344120437"/>
    <xsd:element name="properties">
      <xsd:complexType>
        <xsd:sequence>
          <xsd:element name="documentManagement">
            <xsd:complexType>
              <xsd:all>
                <xsd:element ref="ns2:pdc5aaf555944b699ba22f587dc89ac9" minOccurs="0"/>
                <xsd:element ref="ns3:TaxCatchAll" minOccurs="0"/>
                <xsd:element ref="ns3:SharedWithUsers" minOccurs="0"/>
                <xsd:element ref="ns3:SharedWithDetails" minOccurs="0"/>
                <xsd:element ref="ns2:ActualModifiedBy" minOccurs="0"/>
                <xsd:element ref="ns2:ActualCreatedBy" minOccurs="0"/>
                <xsd:element ref="ns2:ActualModifiedOn" minOccurs="0"/>
                <xsd:element ref="ns2:ActualCreat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1f171b-54b5-4e09-afef-dde7471acbe6" elementFormDefault="qualified">
    <xsd:import namespace="http://schemas.microsoft.com/office/2006/documentManagement/types"/>
    <xsd:import namespace="http://schemas.microsoft.com/office/infopath/2007/PartnerControls"/>
    <xsd:element name="pdc5aaf555944b699ba22f587dc89ac9" ma:index="9" nillable="true" ma:taxonomy="true" ma:internalName="pdc5aaf555944b699ba22f587dc89ac9" ma:taxonomyFieldName="Language" ma:displayName="Language" ma:fieldId="{9dc5aaf5-5594-4b69-9ba2-2f587dc89ac9}" ma:sspId="89dcaa11-1713-4e9f-97e0-8c27459cd68b" ma:termSetId="c2641157-59b3-4f13-8ab0-85dbdae85c59" ma:anchorId="00000000-0000-0000-0000-000000000000" ma:open="false" ma:isKeyword="false">
      <xsd:complexType>
        <xsd:sequence>
          <xsd:element ref="pc:Terms" minOccurs="0" maxOccurs="1"/>
        </xsd:sequence>
      </xsd:complexType>
    </xsd:element>
    <xsd:element name="ActualModifiedBy" ma:index="13" nillable="true" ma:displayName="ActualModifiedBy" ma:internalName="ActualModifiedBy">
      <xsd:simpleType>
        <xsd:restriction base="dms:Text"/>
      </xsd:simpleType>
    </xsd:element>
    <xsd:element name="ActualCreatedBy" ma:index="14" nillable="true" ma:displayName="ActualCreatedBy" ma:internalName="ActualCreatedBy">
      <xsd:simpleType>
        <xsd:restriction base="dms:Text"/>
      </xsd:simpleType>
    </xsd:element>
    <xsd:element name="ActualModifiedOn" ma:index="15" nillable="true" ma:displayName="ActualModifiedOn" ma:format="DateTime" ma:internalName="ActualModifiedOn">
      <xsd:simpleType>
        <xsd:restriction base="dms:DateTime"/>
      </xsd:simpleType>
    </xsd:element>
    <xsd:element name="ActualCreatedOn" ma:index="16" nillable="true" ma:displayName="ActualCreatedOn" ma:format="DateTime" ma:internalName="ActualCreated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3538e03-908c-4e24-aceb-8b534412043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7ae29ab-a365-46e0-9104-29c4551fa4d2}" ma:internalName="TaxCatchAll" ma:showField="CatchAllData" ma:web="f3538e03-908c-4e24-aceb-8b5344120437">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10.0.47654.0</Version>
    <Date>2025-04-16T10:11:06</Date>
    <Language>EN</Language>
    <Note/>
  </Created>
  <Edited>
    <Version/>
    <Date/>
  </Edited>
  <DocumentModel>
    <Id>6cbda13a-4db2-46c6-876a-ef72275827ef</Id>
    <Name>Report</Name>
  </DocumentModel>
  <CustomTemplate>
    <Id/>
    <Name/>
  </CustomTemplate>
  <DocumentDate>2025-04-16T10:11:06</DocumentDate>
  <DocumentVersion>0.1</DocumentVersion>
  <CompatibilityMode>Eurolook10</CompatibilityMode>
  <DocumentMetadata>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istributionSensitive MetadataSerializationType="SimpleValue"/>
    <EC_SecurityDateMarking MetadataSerializationType="SimpleValue"/>
  </DocumentMetadata>
</EurolookProperties>
</file>

<file path=customXml/item4.xml><?xml version="1.0" encoding="utf-8"?>
<p:properties xmlns:p="http://schemas.microsoft.com/office/2006/metadata/properties" xmlns:xsi="http://www.w3.org/2001/XMLSchema-instance" xmlns:pc="http://schemas.microsoft.com/office/infopath/2007/PartnerControls">
  <documentManagement>
    <SharedWithUsers xmlns="f3538e03-908c-4e24-aceb-8b5344120437">
      <UserInfo>
        <DisplayName>ROMOLI Stefano</DisplayName>
        <AccountId>175</AccountId>
        <AccountType/>
      </UserInfo>
    </SharedWithUsers>
    <ActualModifiedBy xmlns="cf1f171b-54b5-4e09-afef-dde7471acbe6" xsi:nil="true"/>
    <ActualCreatedBy xmlns="cf1f171b-54b5-4e09-afef-dde7471acbe6" xsi:nil="true"/>
    <ActualModifiedOn xmlns="cf1f171b-54b5-4e09-afef-dde7471acbe6" xsi:nil="true"/>
    <ActualCreatedOn xmlns="cf1f171b-54b5-4e09-afef-dde7471acbe6" xsi:nil="true"/>
    <pdc5aaf555944b699ba22f587dc89ac9 xmlns="cf1f171b-54b5-4e09-afef-dde7471acbe6">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pdc5aaf555944b699ba22f587dc89ac9>
    <TaxCatchAll xmlns="f3538e03-908c-4e24-aceb-8b5344120437"/>
  </documentManagement>
</p:properties>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Author Role="Creator" AuthorRoleName="Writer" AuthorRoleId="a4fbaff4-b07c-48b4-a21e-e7b9eedf3796">
  <Id>c1494f65-11fa-4fb2-9267-c2cfcae22ece</Id>
  <Names>
    <Latin>
      <FirstName>Iveta</FirstName>
      <LastName>STOYANOVA</LastName>
    </Latin>
    <Greek>
      <FirstName/>
      <LastName/>
    </Greek>
    <Cyrillic>
      <FirstName/>
      <LastName/>
    </Cyrillic>
    <DocumentScript>
      <FirstName>Iveta</FirstName>
      <LastName>STOYANOVA</LastName>
      <FullName>Iveta STOYANOVA</FullName>
    </DocumentScript>
  </Names>
  <Initials>IS</Initials>
  <Gender>f</Gender>
  <Email/>
  <Service>COMP.K.2</Service>
  <Function ADCode="" ShowInSignature="true" ShowInHeader="false" HeaderText=""/>
  <WebAddress/>
  <FunctionalMailbox/>
  <InheritedWebAddress>WebAddress</InheritedWebAddress>
  <OrgaEntity1>
    <Id>b3bda33f-e94b-4892-a3f0-94c633b11b72</Id>
    <LogicalLevel>1</LogicalLevel>
    <Name>COMP</Name>
    <HeadLine1>Directorate-General for Competition</HeadLine1>
    <HeadLine2/>
    <PrimaryAddressId>f03b5801-04c9-4931-aa17-c6d6c70bc579</PrimaryAddressId>
    <SecondaryAddressId/>
    <WebAddress>WebAddress</WebAddress>
    <InheritedWebAddress>WebAddress</InheritedWebAddress>
    <ShowInHeader>true</ShowInHeader>
  </OrgaEntity1>
  <OrgaEntity2>
    <Id>f3eb5770-2954-43ce-8a2c-bbb4be547d51</Id>
    <LogicalLevel>2</LogicalLevel>
    <Name>COMP.K</Name>
    <HeadLine1>Foreign Subsidies</HeadLine1>
    <HeadLine2/>
    <PrimaryAddressId>f03b5801-04c9-4931-aa17-c6d6c70bc579</PrimaryAddressId>
    <SecondaryAddressId/>
    <WebAddress/>
    <InheritedWebAddress>WebAddress</InheritedWebAddress>
    <ShowInHeader>true</ShowInHeader>
  </OrgaEntity2>
  <OrgaEntity3>
    <Id>c8445f57-9116-4d79-8ad6-f869ff85cc21</Id>
    <LogicalLevel>3</LogicalLevel>
    <Name>COMP.K.2</Name>
    <HeadLine1/>
    <HeadLine2/>
    <PrimaryAddressId>f03b5801-04c9-4931-aa17-c6d6c70bc579</PrimaryAddressId>
    <SecondaryAddressId/>
    <WebAddress/>
    <InheritedWebAddress>WebAddress</InheritedWebAddress>
    <ShowInHeader>true</ShowInHeader>
  </OrgaEntity3>
  <Hierarchy>
    <OrgaEntity>
      <Id>b3bda33f-e94b-4892-a3f0-94c633b11b72</Id>
      <LogicalLevel>1</LogicalLevel>
      <Name>COMP</Name>
      <HeadLine1>Directorate-General for Competition</HeadLine1>
      <HeadLine2/>
      <PrimaryAddressId>f03b5801-04c9-4931-aa17-c6d6c70bc579</PrimaryAddressId>
      <SecondaryAddressId/>
      <WebAddress>WebAddress</WebAddress>
      <InheritedWebAddress>WebAddress</InheritedWebAddress>
      <ShowInHeader>true</ShowInHeader>
    </OrgaEntity>
    <OrgaEntity>
      <Id>f3eb5770-2954-43ce-8a2c-bbb4be547d51</Id>
      <LogicalLevel>2</LogicalLevel>
      <Name>COMP.K</Name>
      <HeadLine1>Foreign Subsidies</HeadLine1>
      <HeadLine2/>
      <PrimaryAddressId>f03b5801-04c9-4931-aa17-c6d6c70bc579</PrimaryAddressId>
      <SecondaryAddressId/>
      <WebAddress/>
      <InheritedWebAddress>WebAddress</InheritedWebAddress>
      <ShowInHeader>true</ShowInHeader>
    </OrgaEntity>
    <OrgaEntity>
      <Id>c8445f57-9116-4d79-8ad6-f869ff85cc21</Id>
      <LogicalLevel>3</LogicalLevel>
      <Name>COMP.K.2</Name>
      <HeadLine1>Foreign Subsidies II</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+32 229-64073</Phone>
    <Office>MADO 10/010</Office>
  </MainWorkplace>
  <Workplaces>
    <Workplace IsMain="true">
      <AddressId>f03b5801-04c9-4931-aa17-c6d6c70bc579</AddressId>
      <Fax/>
      <Phone>+32 229-64073</Phone>
      <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933FB-5927-4846-9652-550E98653822}">
  <ds:schemaRefs>
    <ds:schemaRef ds:uri="http://schemas.microsoft.com/sharepoint/v3/contenttype/forms"/>
  </ds:schemaRefs>
</ds:datastoreItem>
</file>

<file path=customXml/itemProps2.xml><?xml version="1.0" encoding="utf-8"?>
<ds:datastoreItem xmlns:ds="http://schemas.openxmlformats.org/officeDocument/2006/customXml" ds:itemID="{50C4BC26-DE19-422E-9FCC-1521C295F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1f171b-54b5-4e09-afef-dde7471acbe6"/>
    <ds:schemaRef ds:uri="f3538e03-908c-4e24-aceb-8b53441204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02C71C92-EAC2-4A04-8052-EE77CF751C78}">
  <ds:schemaRefs>
    <ds:schemaRef ds:uri="http://schemas.microsoft.com/office/2006/metadata/properties"/>
    <ds:schemaRef ds:uri="http://schemas.microsoft.com/office/infopath/2007/PartnerControls"/>
    <ds:schemaRef ds:uri="f3538e03-908c-4e24-aceb-8b5344120437"/>
    <ds:schemaRef ds:uri="cf1f171b-54b5-4e09-afef-dde7471acbe6"/>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5C5593B6-6557-4159-A068-6CE0EDD092A3}">
  <ds:schemaRefs/>
</ds:datastoreItem>
</file>

<file path=customXml/itemProps7.xml><?xml version="1.0" encoding="utf-8"?>
<ds:datastoreItem xmlns:ds="http://schemas.openxmlformats.org/officeDocument/2006/customXml" ds:itemID="{8EA64B81-010D-4FEE-A278-3DCEE91E1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5588</Words>
  <Characters>31857</Characters>
  <Application>Microsoft Office Word</Application>
  <DocSecurity>0</DocSecurity>
  <PresentationFormat>Microsoft Word 14.0</PresentationFormat>
  <Lines>265</Lines>
  <Paragraphs>74</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description/>
  <cp:lastModifiedBy>EC CoDe</cp:lastModifiedBy>
  <cp:revision>4</cp:revision>
  <cp:lastPrinted>2026-03-31T13:48:00Z</cp:lastPrinted>
  <dcterms:created xsi:type="dcterms:W3CDTF">2026-07-06T07:04:00Z</dcterms:created>
  <dcterms:modified xsi:type="dcterms:W3CDTF">2026-07-14T06:52:00Z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2025-04-16T08:37:47Z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8c16aa2f-c38c-4ba2-93dd-958c72b954e7</vt:lpwstr>
  </property>
  <property fmtid="{D5CDD505-2E9C-101B-9397-08002B2CF9AE}" pid="8" name="MSIP_Label_6bd9ddd1-4d20-43f6-abfa-fc3c07406f94_ContentBits">
    <vt:lpwstr>0</vt:lpwstr>
  </property>
  <property fmtid="{D5CDD505-2E9C-101B-9397-08002B2CF9AE}" pid="9" name="ContentTypeId">
    <vt:lpwstr>0x0101004C5D9168D219EF46BD84AD9B1F6859F9</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CP-006</vt:lpwstr>
  </property>
  <property fmtid="{D5CDD505-2E9C-101B-9397-08002B2CF9AE}" pid="15" name="Last edited using">
    <vt:lpwstr>LW 9.2, Build 20250828</vt:lpwstr>
  </property>
  <property fmtid="{D5CDD505-2E9C-101B-9397-08002B2CF9AE}" pid="16" name="Created using">
    <vt:lpwstr>LW 9.2, Build 20250828</vt:lpwstr>
  </property>
  <property fmtid="{D5CDD505-2E9C-101B-9397-08002B2CF9AE}" pid="17" name="DocStatus">
    <vt:lpwstr>Green</vt:lpwstr>
  </property>
</Properties>
</file>