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2D012" w14:textId="29CCFEEC" w:rsidR="008E336A" w:rsidRDefault="00B02272" w:rsidP="00B02272">
      <w:pPr>
        <w:pStyle w:val="Pagedecouverture"/>
        <w:rPr>
          <w:noProof/>
        </w:rPr>
      </w:pPr>
      <w:bookmarkStart w:id="0" w:name="LW_BM_COVERPAGE"/>
      <w:r>
        <w:rPr>
          <w:noProof/>
        </w:rPr>
        <w:pict w14:anchorId="7BE4A8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02C449-4CA3-4565-8C29-A4D97B68FE02" style="width:455.25pt;height:327.75pt">
            <v:imagedata r:id="rId14" o:title=""/>
          </v:shape>
        </w:pict>
      </w:r>
    </w:p>
    <w:bookmarkEnd w:id="0"/>
    <w:p w14:paraId="71B82096" w14:textId="77777777" w:rsidR="008E336A" w:rsidRDefault="008E336A" w:rsidP="008E336A">
      <w:pPr>
        <w:rPr>
          <w:noProof/>
        </w:rPr>
        <w:sectPr w:rsidR="008E336A" w:rsidSect="00B02272">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01F8DCE8" w14:textId="77777777" w:rsidR="00790BC5" w:rsidRPr="00375DD4" w:rsidRDefault="00790BC5" w:rsidP="00790BC5">
      <w:pPr>
        <w:pStyle w:val="Heading1"/>
        <w:rPr>
          <w:noProof/>
        </w:rPr>
      </w:pPr>
      <w:bookmarkStart w:id="1" w:name="_Toc228901691"/>
      <w:bookmarkStart w:id="2" w:name="_GoBack"/>
      <w:bookmarkEnd w:id="2"/>
      <w:r w:rsidRPr="00375DD4">
        <w:rPr>
          <w:noProof/>
        </w:rPr>
        <w:lastRenderedPageBreak/>
        <w:t>INTRODUCERE</w:t>
      </w:r>
      <w:bookmarkEnd w:id="1"/>
    </w:p>
    <w:p w14:paraId="48049E50" w14:textId="621FC196" w:rsidR="008C35C0" w:rsidRDefault="008C35C0" w:rsidP="004A1922">
      <w:pPr>
        <w:rPr>
          <w:noProof/>
        </w:rPr>
      </w:pPr>
      <w:r>
        <w:rPr>
          <w:noProof/>
        </w:rPr>
        <w:t xml:space="preserve">Regulamentul (UE) </w:t>
      </w:r>
      <w:r w:rsidRPr="00375DD4">
        <w:rPr>
          <w:noProof/>
        </w:rPr>
        <w:t>2022</w:t>
      </w:r>
      <w:r>
        <w:rPr>
          <w:noProof/>
        </w:rPr>
        <w:t>/</w:t>
      </w:r>
      <w:r w:rsidRPr="00375DD4">
        <w:rPr>
          <w:noProof/>
        </w:rPr>
        <w:t>2560</w:t>
      </w:r>
      <w:r>
        <w:rPr>
          <w:noProof/>
        </w:rPr>
        <w:t xml:space="preserve"> al Parlamentului European și al Consiliului din </w:t>
      </w:r>
      <w:r w:rsidRPr="00375DD4">
        <w:rPr>
          <w:noProof/>
        </w:rPr>
        <w:t>14</w:t>
      </w:r>
      <w:r>
        <w:rPr>
          <w:noProof/>
        </w:rPr>
        <w:t> decembrie </w:t>
      </w:r>
      <w:r w:rsidRPr="00375DD4">
        <w:rPr>
          <w:noProof/>
        </w:rPr>
        <w:t>2022</w:t>
      </w:r>
      <w:r>
        <w:rPr>
          <w:noProof/>
        </w:rPr>
        <w:t xml:space="preserve"> privind subvențiile străine care denaturează piața internă (</w:t>
      </w:r>
      <w:r>
        <w:rPr>
          <w:rStyle w:val="FootnoteReference"/>
          <w:noProof/>
        </w:rPr>
        <w:footnoteReference w:id="1"/>
      </w:r>
      <w:r>
        <w:rPr>
          <w:noProof/>
        </w:rPr>
        <w:t xml:space="preserve">) a fost adoptat pentru a aborda denaturările pieței interne cauzate de subvențiile acordate de țări terțe întreprinderilor care desfășoară activități economice în Uniunea Europeană („Uniunea”). Regulamentul (UE) </w:t>
      </w:r>
      <w:r w:rsidRPr="00375DD4">
        <w:rPr>
          <w:noProof/>
        </w:rPr>
        <w:t>2022</w:t>
      </w:r>
      <w:r>
        <w:rPr>
          <w:noProof/>
        </w:rPr>
        <w:t>/</w:t>
      </w:r>
      <w:r w:rsidRPr="00375DD4">
        <w:rPr>
          <w:noProof/>
        </w:rPr>
        <w:t>2560</w:t>
      </w:r>
      <w:r>
        <w:rPr>
          <w:noProof/>
        </w:rPr>
        <w:t xml:space="preserve"> urmărește să asigure condiții de concurență echitabile pe piața internă, permițând Comisiei Europene („Comisia”) să identifice, să evalueze și, dacă este necesar, să corecteze denaturarea cauzată de subvențiile străine. </w:t>
      </w:r>
    </w:p>
    <w:p w14:paraId="18169153" w14:textId="4FD504FD" w:rsidR="001E3372" w:rsidRPr="00FF7E28" w:rsidRDefault="00B0030F" w:rsidP="001E3372">
      <w:pPr>
        <w:rPr>
          <w:noProof/>
          <w:szCs w:val="24"/>
        </w:rPr>
      </w:pPr>
      <w:r>
        <w:rPr>
          <w:noProof/>
        </w:rPr>
        <w:t xml:space="preserve">Înainte de adoptarea Regulamentului (UE) </w:t>
      </w:r>
      <w:r w:rsidRPr="00375DD4">
        <w:rPr>
          <w:noProof/>
        </w:rPr>
        <w:t>2022</w:t>
      </w:r>
      <w:r>
        <w:rPr>
          <w:noProof/>
        </w:rPr>
        <w:t>/</w:t>
      </w:r>
      <w:r w:rsidRPr="00375DD4">
        <w:rPr>
          <w:noProof/>
        </w:rPr>
        <w:t>2560</w:t>
      </w:r>
      <w:r>
        <w:rPr>
          <w:noProof/>
        </w:rPr>
        <w:t xml:space="preserve">, întreprinderile care își desfășurau activitatea în Uniune erau în măsură să finanțeze activități economice pe piața internă prin subvenții acordate de țări terțe. Aceasta a vizat orice sector al economiei și a inclus, printre altele, participarea la proceduri de achiziții publice, achiziționarea de întreprinderi sau implicarea în orice alte activități economice în Uniune. Astfel de subvenții străine nu au făcut obiectul normelor Uniunii privind ajutoarele de stat. Cadrul juridic al Uniunii nu conținea niciun mecanism de combatere a denaturărilor cauzate pieței interne de aceste subvenții străine, întrucât mecanismele tradiționale de apărare comercială se aplică numai importurilor de bunuri comercializate. </w:t>
      </w:r>
      <w:bookmarkStart w:id="3" w:name="_Hlk229135565"/>
      <w:r>
        <w:rPr>
          <w:noProof/>
        </w:rPr>
        <w:t xml:space="preserve">Regulamentul (UE) </w:t>
      </w:r>
      <w:r w:rsidRPr="00375DD4">
        <w:rPr>
          <w:noProof/>
        </w:rPr>
        <w:t>2022</w:t>
      </w:r>
      <w:r>
        <w:rPr>
          <w:noProof/>
        </w:rPr>
        <w:t>/</w:t>
      </w:r>
      <w:r w:rsidRPr="00375DD4">
        <w:rPr>
          <w:noProof/>
        </w:rPr>
        <w:t>2560</w:t>
      </w:r>
      <w:r>
        <w:rPr>
          <w:noProof/>
        </w:rPr>
        <w:t xml:space="preserve"> a fost conceput ca un instrument orizontal care completează normele existente ale Uniunii în materie de concentrări economice, antitrust, ajutoare de stat, achiziții publice și politică comercială, cu obiectivul de a menține concurența loială și integritatea pieței interne. </w:t>
      </w:r>
    </w:p>
    <w:bookmarkEnd w:id="3"/>
    <w:p w14:paraId="05DE8E2B" w14:textId="54BC129A" w:rsidR="000C2908" w:rsidRDefault="000C2908" w:rsidP="001E3372">
      <w:pPr>
        <w:rPr>
          <w:noProof/>
        </w:rPr>
      </w:pPr>
      <w:r>
        <w:rPr>
          <w:noProof/>
        </w:rPr>
        <w:t xml:space="preserve">Regulamentul (UE) </w:t>
      </w:r>
      <w:r w:rsidRPr="00375DD4">
        <w:rPr>
          <w:noProof/>
        </w:rPr>
        <w:t>2022</w:t>
      </w:r>
      <w:r>
        <w:rPr>
          <w:noProof/>
        </w:rPr>
        <w:t>/</w:t>
      </w:r>
      <w:r w:rsidRPr="00375DD4">
        <w:rPr>
          <w:noProof/>
        </w:rPr>
        <w:t>2560</w:t>
      </w:r>
      <w:r>
        <w:rPr>
          <w:noProof/>
        </w:rPr>
        <w:t xml:space="preserve"> se bazează pe principii nediscriminatorii și pe criterii obiective. Acesta acoperă toate sectoarele și activitățile economice și vizează denaturările cauzate de orice subvenție străină pe piața internă. Regulamentul (UE) </w:t>
      </w:r>
      <w:r w:rsidRPr="00375DD4">
        <w:rPr>
          <w:noProof/>
        </w:rPr>
        <w:t>2022</w:t>
      </w:r>
      <w:r>
        <w:rPr>
          <w:noProof/>
        </w:rPr>
        <w:t>/</w:t>
      </w:r>
      <w:r w:rsidRPr="00375DD4">
        <w:rPr>
          <w:noProof/>
        </w:rPr>
        <w:t>2560</w:t>
      </w:r>
      <w:r>
        <w:rPr>
          <w:noProof/>
        </w:rPr>
        <w:t xml:space="preserve"> se aplică cu respectarea deplină a obligațiilor internaționale. Deși își menține angajamentul față de dialogul constructiv și cooperarea cu autoritățile și operatorii economici din țările terțe, Comisia va continua să utilizeze toate instrumentele de investigare și procedurale disponibile în temeiul Regulamentului (UE) </w:t>
      </w:r>
      <w:r w:rsidRPr="00375DD4">
        <w:rPr>
          <w:noProof/>
        </w:rPr>
        <w:t>2022</w:t>
      </w:r>
      <w:r>
        <w:rPr>
          <w:noProof/>
        </w:rPr>
        <w:t>/</w:t>
      </w:r>
      <w:r w:rsidRPr="00375DD4">
        <w:rPr>
          <w:noProof/>
        </w:rPr>
        <w:t>2560</w:t>
      </w:r>
      <w:r>
        <w:rPr>
          <w:noProof/>
        </w:rPr>
        <w:t xml:space="preserve"> pentru a asigura aplicarea sa eficace și pentru a proteja condițiile de concurență echitabile pe piața internă.</w:t>
      </w:r>
    </w:p>
    <w:p w14:paraId="5C519C81" w14:textId="77777777" w:rsidR="002150EA" w:rsidRDefault="008A65F1" w:rsidP="008A65F1">
      <w:pPr>
        <w:rPr>
          <w:noProof/>
        </w:rPr>
      </w:pPr>
      <w:r>
        <w:rPr>
          <w:noProof/>
        </w:rPr>
        <w:t xml:space="preserve">Scopul prezentului raport este de a prezenta Parlamentului European și Consiliului constatările primei analize a Regulamentului (UE) </w:t>
      </w:r>
      <w:r w:rsidRPr="00375DD4">
        <w:rPr>
          <w:noProof/>
        </w:rPr>
        <w:t>2022</w:t>
      </w:r>
      <w:r>
        <w:rPr>
          <w:noProof/>
        </w:rPr>
        <w:t>/</w:t>
      </w:r>
      <w:r w:rsidRPr="00375DD4">
        <w:rPr>
          <w:noProof/>
        </w:rPr>
        <w:t>2560</w:t>
      </w:r>
      <w:r>
        <w:rPr>
          <w:noProof/>
        </w:rPr>
        <w:t xml:space="preserve">. </w:t>
      </w:r>
    </w:p>
    <w:p w14:paraId="664B9FF8" w14:textId="7C4DF23A" w:rsidR="008A65F1" w:rsidRDefault="008A65F1" w:rsidP="008A65F1">
      <w:pPr>
        <w:rPr>
          <w:noProof/>
        </w:rPr>
      </w:pPr>
      <w:r>
        <w:rPr>
          <w:noProof/>
        </w:rPr>
        <w:t>Prezentul raport este elaborat în temeiul articolului </w:t>
      </w:r>
      <w:r w:rsidRPr="00375DD4">
        <w:rPr>
          <w:noProof/>
        </w:rPr>
        <w:t>52</w:t>
      </w:r>
      <w:r>
        <w:rPr>
          <w:noProof/>
        </w:rPr>
        <w:t xml:space="preserve"> alineatul (</w:t>
      </w:r>
      <w:r w:rsidRPr="00375DD4">
        <w:rPr>
          <w:noProof/>
        </w:rPr>
        <w:t>2</w:t>
      </w:r>
      <w:r>
        <w:rPr>
          <w:noProof/>
        </w:rPr>
        <w:t xml:space="preserve">) din Regulamentul (UE) </w:t>
      </w:r>
      <w:r w:rsidRPr="00375DD4">
        <w:rPr>
          <w:noProof/>
        </w:rPr>
        <w:t>2022</w:t>
      </w:r>
      <w:r>
        <w:rPr>
          <w:noProof/>
        </w:rPr>
        <w:t>/</w:t>
      </w:r>
      <w:r w:rsidRPr="00375DD4">
        <w:rPr>
          <w:noProof/>
        </w:rPr>
        <w:t>2560</w:t>
      </w:r>
      <w:r>
        <w:rPr>
          <w:noProof/>
        </w:rPr>
        <w:t xml:space="preserve">, care impune Comisiei să analizeze modul în care pune în aplicare și asigură respectarea regulamentului, în special aplicarea articolelor </w:t>
      </w:r>
      <w:r w:rsidRPr="00375DD4">
        <w:rPr>
          <w:noProof/>
        </w:rPr>
        <w:t>4</w:t>
      </w:r>
      <w:r>
        <w:rPr>
          <w:noProof/>
        </w:rPr>
        <w:t xml:space="preserve">, </w:t>
      </w:r>
      <w:r w:rsidRPr="00375DD4">
        <w:rPr>
          <w:noProof/>
        </w:rPr>
        <w:t>5</w:t>
      </w:r>
      <w:r>
        <w:rPr>
          <w:noProof/>
        </w:rPr>
        <w:t xml:space="preserve">, </w:t>
      </w:r>
      <w:r w:rsidRPr="00375DD4">
        <w:rPr>
          <w:noProof/>
        </w:rPr>
        <w:t>6</w:t>
      </w:r>
      <w:r>
        <w:rPr>
          <w:noProof/>
        </w:rPr>
        <w:t xml:space="preserve"> și </w:t>
      </w:r>
      <w:r w:rsidRPr="00375DD4">
        <w:rPr>
          <w:noProof/>
        </w:rPr>
        <w:t>9</w:t>
      </w:r>
      <w:r>
        <w:rPr>
          <w:noProof/>
        </w:rPr>
        <w:t>, precum și pragurile de notificare prevăzute la articolul </w:t>
      </w:r>
      <w:r w:rsidRPr="00375DD4">
        <w:rPr>
          <w:noProof/>
        </w:rPr>
        <w:t>20</w:t>
      </w:r>
      <w:r>
        <w:rPr>
          <w:noProof/>
        </w:rPr>
        <w:t xml:space="preserve"> alineatul (</w:t>
      </w:r>
      <w:r w:rsidRPr="00375DD4">
        <w:rPr>
          <w:noProof/>
        </w:rPr>
        <w:t>3</w:t>
      </w:r>
      <w:r>
        <w:rPr>
          <w:noProof/>
        </w:rPr>
        <w:t>) și la articolul </w:t>
      </w:r>
      <w:r w:rsidRPr="00375DD4">
        <w:rPr>
          <w:noProof/>
        </w:rPr>
        <w:t>28</w:t>
      </w:r>
      <w:r>
        <w:rPr>
          <w:noProof/>
        </w:rPr>
        <w:t xml:space="preserve"> alineatul (</w:t>
      </w:r>
      <w:r w:rsidRPr="00375DD4">
        <w:rPr>
          <w:noProof/>
        </w:rPr>
        <w:t>1</w:t>
      </w:r>
      <w:r>
        <w:rPr>
          <w:noProof/>
        </w:rPr>
        <w:t>) și alineatul</w:t>
      </w:r>
      <w:r w:rsidR="001415BF">
        <w:rPr>
          <w:noProof/>
        </w:rPr>
        <w:t> </w:t>
      </w:r>
      <w:r>
        <w:rPr>
          <w:noProof/>
        </w:rPr>
        <w:t>(</w:t>
      </w:r>
      <w:r w:rsidRPr="00375DD4">
        <w:rPr>
          <w:noProof/>
        </w:rPr>
        <w:t>2</w:t>
      </w:r>
      <w:r>
        <w:rPr>
          <w:noProof/>
        </w:rPr>
        <w:t>) din regulament. În contextul analizei sale, Comisia va raporta și cu privire la evoluția relațiilor internaționale în ceea ce privește sistemele de control al subvențiilor din țările terțe.</w:t>
      </w:r>
    </w:p>
    <w:p w14:paraId="0701DBA2" w14:textId="7D32DA93" w:rsidR="002150EA" w:rsidRDefault="002150EA" w:rsidP="002150EA">
      <w:pPr>
        <w:rPr>
          <w:noProof/>
        </w:rPr>
      </w:pPr>
      <w:r>
        <w:rPr>
          <w:noProof/>
        </w:rPr>
        <w:t xml:space="preserve">Regulamentul (UE) </w:t>
      </w:r>
      <w:r w:rsidRPr="00375DD4">
        <w:rPr>
          <w:noProof/>
        </w:rPr>
        <w:t>2022</w:t>
      </w:r>
      <w:r>
        <w:rPr>
          <w:noProof/>
        </w:rPr>
        <w:t>/</w:t>
      </w:r>
      <w:r w:rsidRPr="00375DD4">
        <w:rPr>
          <w:noProof/>
        </w:rPr>
        <w:t>2560</w:t>
      </w:r>
      <w:r>
        <w:rPr>
          <w:noProof/>
        </w:rPr>
        <w:t xml:space="preserve"> a intrat în vigoare la </w:t>
      </w:r>
      <w:r w:rsidRPr="00375DD4">
        <w:rPr>
          <w:noProof/>
        </w:rPr>
        <w:t>13</w:t>
      </w:r>
      <w:r>
        <w:rPr>
          <w:noProof/>
        </w:rPr>
        <w:t xml:space="preserve"> ianuarie </w:t>
      </w:r>
      <w:r w:rsidRPr="00375DD4">
        <w:rPr>
          <w:noProof/>
        </w:rPr>
        <w:t>2023</w:t>
      </w:r>
      <w:r>
        <w:rPr>
          <w:noProof/>
        </w:rPr>
        <w:t xml:space="preserve"> și a devenit aplicabil de la </w:t>
      </w:r>
      <w:r w:rsidRPr="00375DD4">
        <w:rPr>
          <w:noProof/>
        </w:rPr>
        <w:t>13</w:t>
      </w:r>
      <w:r>
        <w:rPr>
          <w:noProof/>
        </w:rPr>
        <w:t xml:space="preserve"> iulie </w:t>
      </w:r>
      <w:r w:rsidRPr="00375DD4">
        <w:rPr>
          <w:noProof/>
        </w:rPr>
        <w:t>2023</w:t>
      </w:r>
      <w:r>
        <w:rPr>
          <w:noProof/>
        </w:rPr>
        <w:t>. Obligația de notificare</w:t>
      </w:r>
      <w:r w:rsidRPr="00375DD4">
        <w:rPr>
          <w:i/>
          <w:noProof/>
        </w:rPr>
        <w:t xml:space="preserve"> ex ante </w:t>
      </w:r>
      <w:r>
        <w:rPr>
          <w:noProof/>
        </w:rPr>
        <w:t>a concentrărilor, în temeiul articolului </w:t>
      </w:r>
      <w:r w:rsidRPr="00375DD4">
        <w:rPr>
          <w:noProof/>
        </w:rPr>
        <w:t>21</w:t>
      </w:r>
      <w:r>
        <w:rPr>
          <w:noProof/>
        </w:rPr>
        <w:t xml:space="preserve"> din Regulamentul (UE) </w:t>
      </w:r>
      <w:r w:rsidRPr="00375DD4">
        <w:rPr>
          <w:noProof/>
        </w:rPr>
        <w:t>2022</w:t>
      </w:r>
      <w:r>
        <w:rPr>
          <w:noProof/>
        </w:rPr>
        <w:t>/</w:t>
      </w:r>
      <w:r w:rsidRPr="00375DD4">
        <w:rPr>
          <w:noProof/>
        </w:rPr>
        <w:t>2560</w:t>
      </w:r>
      <w:r>
        <w:rPr>
          <w:noProof/>
        </w:rPr>
        <w:t xml:space="preserve"> și al procedurilor de achiziții publice, în temeiul articolului </w:t>
      </w:r>
      <w:r w:rsidRPr="00375DD4">
        <w:rPr>
          <w:noProof/>
        </w:rPr>
        <w:t>28</w:t>
      </w:r>
      <w:r>
        <w:rPr>
          <w:noProof/>
        </w:rPr>
        <w:t xml:space="preserve"> din Regulamentul (UE) </w:t>
      </w:r>
      <w:r w:rsidRPr="00375DD4">
        <w:rPr>
          <w:noProof/>
        </w:rPr>
        <w:t>2022</w:t>
      </w:r>
      <w:r>
        <w:rPr>
          <w:noProof/>
        </w:rPr>
        <w:t>/</w:t>
      </w:r>
      <w:r w:rsidRPr="00375DD4">
        <w:rPr>
          <w:noProof/>
        </w:rPr>
        <w:t>2560</w:t>
      </w:r>
      <w:r>
        <w:rPr>
          <w:noProof/>
        </w:rPr>
        <w:t xml:space="preserve">, a devenit aplicabilă de la </w:t>
      </w:r>
      <w:r w:rsidRPr="00375DD4">
        <w:rPr>
          <w:noProof/>
        </w:rPr>
        <w:t>13</w:t>
      </w:r>
      <w:r w:rsidR="001415BF">
        <w:rPr>
          <w:noProof/>
        </w:rPr>
        <w:t> </w:t>
      </w:r>
      <w:r>
        <w:rPr>
          <w:noProof/>
        </w:rPr>
        <w:t>octombrie</w:t>
      </w:r>
      <w:r w:rsidR="001415BF">
        <w:rPr>
          <w:noProof/>
        </w:rPr>
        <w:t> </w:t>
      </w:r>
      <w:r w:rsidRPr="00375DD4">
        <w:rPr>
          <w:noProof/>
        </w:rPr>
        <w:t>2023</w:t>
      </w:r>
      <w:r>
        <w:rPr>
          <w:noProof/>
        </w:rPr>
        <w:t xml:space="preserve">. Prin urmare, prezentul raport acoperă perioada inițială de trei ani în ceea ce privește punerea în aplicare și asigurarea respectării Regulamentului (UE) </w:t>
      </w:r>
      <w:r w:rsidRPr="00375DD4">
        <w:rPr>
          <w:noProof/>
        </w:rPr>
        <w:t>2022</w:t>
      </w:r>
      <w:r>
        <w:rPr>
          <w:noProof/>
        </w:rPr>
        <w:t>/</w:t>
      </w:r>
      <w:r w:rsidRPr="00375DD4">
        <w:rPr>
          <w:noProof/>
        </w:rPr>
        <w:t>2560</w:t>
      </w:r>
      <w:r>
        <w:rPr>
          <w:noProof/>
        </w:rPr>
        <w:t>.</w:t>
      </w:r>
    </w:p>
    <w:p w14:paraId="5B4A5BD0" w14:textId="25907A9C" w:rsidR="002150EA" w:rsidRDefault="002150EA" w:rsidP="002150EA">
      <w:pPr>
        <w:rPr>
          <w:noProof/>
        </w:rPr>
      </w:pPr>
      <w:r>
        <w:rPr>
          <w:noProof/>
        </w:rPr>
        <w:t xml:space="preserve">Regulamentul (UE) </w:t>
      </w:r>
      <w:r w:rsidRPr="00375DD4">
        <w:rPr>
          <w:noProof/>
        </w:rPr>
        <w:t>2022</w:t>
      </w:r>
      <w:r>
        <w:rPr>
          <w:noProof/>
        </w:rPr>
        <w:t>/</w:t>
      </w:r>
      <w:r w:rsidRPr="00375DD4">
        <w:rPr>
          <w:noProof/>
        </w:rPr>
        <w:t>2560</w:t>
      </w:r>
      <w:r>
        <w:rPr>
          <w:noProof/>
        </w:rPr>
        <w:t xml:space="preserve"> este pus în aplicare exclusiv de către Comisie.</w:t>
      </w:r>
      <w:bookmarkStart w:id="4" w:name="_Hlk229135718"/>
      <w:r>
        <w:rPr>
          <w:noProof/>
        </w:rPr>
        <w:t xml:space="preserve"> DG</w:t>
      </w:r>
      <w:r w:rsidR="001415BF">
        <w:rPr>
          <w:noProof/>
        </w:rPr>
        <w:t> </w:t>
      </w:r>
      <w:r>
        <w:rPr>
          <w:noProof/>
        </w:rPr>
        <w:t xml:space="preserve">Concurență (DG COMP) este responsabilă de aplicarea Regulamentului (UE) </w:t>
      </w:r>
      <w:r w:rsidRPr="00375DD4">
        <w:rPr>
          <w:noProof/>
        </w:rPr>
        <w:t>2022</w:t>
      </w:r>
      <w:r>
        <w:rPr>
          <w:noProof/>
        </w:rPr>
        <w:t>/</w:t>
      </w:r>
      <w:r w:rsidRPr="00375DD4">
        <w:rPr>
          <w:noProof/>
        </w:rPr>
        <w:t>2560</w:t>
      </w:r>
      <w:r>
        <w:rPr>
          <w:noProof/>
        </w:rPr>
        <w:t xml:space="preserve"> în ceea ce privește concentrările economice și de utilizarea generală a mecanismului de investigare din oficiu. </w:t>
      </w:r>
      <w:bookmarkEnd w:id="4"/>
      <w:r>
        <w:rPr>
          <w:noProof/>
        </w:rPr>
        <w:t xml:space="preserve">DG Piață Internă, Industrie, Antreprenoriat și IMM-uri (DG GROW) este responsabilă de aplicarea Regulamentului (UE) </w:t>
      </w:r>
      <w:r w:rsidRPr="00375DD4">
        <w:rPr>
          <w:noProof/>
        </w:rPr>
        <w:t>2022</w:t>
      </w:r>
      <w:r>
        <w:rPr>
          <w:noProof/>
        </w:rPr>
        <w:t>/</w:t>
      </w:r>
      <w:r w:rsidRPr="00375DD4">
        <w:rPr>
          <w:noProof/>
        </w:rPr>
        <w:t>2560</w:t>
      </w:r>
      <w:r>
        <w:rPr>
          <w:noProof/>
        </w:rPr>
        <w:t xml:space="preserve"> în ceea ce privește procedurile de achiziții publice și de utilizarea mecanismului de investigare din oficiu legat de procedurile de achiziții publice și de alte forme similare de cheltuieli publice. Această repartizare a responsabilităților reflectă experiențele respective ale serviciilor în ceea ce privește asigurarea respectării normelor în materie de concurență și achizițiile publice și sprijină aplicarea coerentă a Regulamentului (UE) </w:t>
      </w:r>
      <w:r w:rsidRPr="00375DD4">
        <w:rPr>
          <w:noProof/>
        </w:rPr>
        <w:t>2022</w:t>
      </w:r>
      <w:r>
        <w:rPr>
          <w:noProof/>
        </w:rPr>
        <w:t>/</w:t>
      </w:r>
      <w:r w:rsidRPr="00375DD4">
        <w:rPr>
          <w:noProof/>
        </w:rPr>
        <w:t>2560</w:t>
      </w:r>
      <w:r>
        <w:rPr>
          <w:noProof/>
        </w:rPr>
        <w:t xml:space="preserve">. </w:t>
      </w:r>
    </w:p>
    <w:p w14:paraId="1F1C4D9E" w14:textId="039B8F78" w:rsidR="008629AE" w:rsidRDefault="008629AE" w:rsidP="008629AE">
      <w:pPr>
        <w:rPr>
          <w:noProof/>
        </w:rPr>
      </w:pPr>
      <w:r>
        <w:rPr>
          <w:noProof/>
        </w:rPr>
        <w:t xml:space="preserve">Analiza efectuată de către Comisie asupra primelor zile de punere în aplicare și de asigurare a respectării Regulamentului (UE) </w:t>
      </w:r>
      <w:r w:rsidRPr="00375DD4">
        <w:rPr>
          <w:noProof/>
        </w:rPr>
        <w:t>2022</w:t>
      </w:r>
      <w:r>
        <w:rPr>
          <w:noProof/>
        </w:rPr>
        <w:t>/</w:t>
      </w:r>
      <w:r w:rsidRPr="00375DD4">
        <w:rPr>
          <w:noProof/>
        </w:rPr>
        <w:t>2560</w:t>
      </w:r>
      <w:r>
        <w:rPr>
          <w:noProof/>
        </w:rPr>
        <w:t xml:space="preserve"> se bazează pe o combinație de dovezi calitative și cantitative, inclusiv pe informații obținute prin intermediul studiului de analiză a regulamentului, realizat de un contract extern (</w:t>
      </w:r>
      <w:r>
        <w:rPr>
          <w:rStyle w:val="FootnoteReference"/>
          <w:noProof/>
        </w:rPr>
        <w:footnoteReference w:id="2"/>
      </w:r>
      <w:r>
        <w:rPr>
          <w:noProof/>
        </w:rPr>
        <w:t>). Analiza ia în considerare, de asemenea, contribuțiile la exercițiul de consultare publică desfășurat de Comisie [o</w:t>
      </w:r>
      <w:r w:rsidR="001415BF">
        <w:rPr>
          <w:noProof/>
        </w:rPr>
        <w:t> </w:t>
      </w:r>
      <w:r>
        <w:rPr>
          <w:noProof/>
        </w:rPr>
        <w:t xml:space="preserve">consultare publică specifică, un chestionar public prin care se solicită feedback specific în legătură cu punerea în aplicare a Regulamentului (UE) </w:t>
      </w:r>
      <w:r w:rsidRPr="00375DD4">
        <w:rPr>
          <w:noProof/>
        </w:rPr>
        <w:t>2022</w:t>
      </w:r>
      <w:r>
        <w:rPr>
          <w:noProof/>
        </w:rPr>
        <w:t>/</w:t>
      </w:r>
      <w:r w:rsidRPr="00375DD4">
        <w:rPr>
          <w:noProof/>
        </w:rPr>
        <w:t>2560</w:t>
      </w:r>
      <w:r>
        <w:rPr>
          <w:noProof/>
        </w:rPr>
        <w:t xml:space="preserve"> și o cerere de contribuții] (</w:t>
      </w:r>
      <w:r>
        <w:rPr>
          <w:rStyle w:val="FootnoteReference"/>
          <w:noProof/>
        </w:rPr>
        <w:footnoteReference w:id="3"/>
      </w:r>
      <w:r>
        <w:rPr>
          <w:noProof/>
        </w:rPr>
        <w:t>), precum și analiza internă de către Comisie a practicii sale.</w:t>
      </w:r>
    </w:p>
    <w:p w14:paraId="372B0FCF" w14:textId="47CAFD29" w:rsidR="00AF4A15" w:rsidRPr="008A64CB" w:rsidRDefault="00366497" w:rsidP="00AF4A15">
      <w:pPr>
        <w:rPr>
          <w:noProof/>
        </w:rPr>
      </w:pPr>
      <w:r>
        <w:rPr>
          <w:noProof/>
        </w:rPr>
        <w:t xml:space="preserve">În general, primele zile de punere în aplicare și de asigurare a respectării Regulamentului (UE) </w:t>
      </w:r>
      <w:r w:rsidRPr="00375DD4">
        <w:rPr>
          <w:noProof/>
        </w:rPr>
        <w:t>2022</w:t>
      </w:r>
      <w:r>
        <w:rPr>
          <w:noProof/>
        </w:rPr>
        <w:t>/</w:t>
      </w:r>
      <w:r w:rsidRPr="00375DD4">
        <w:rPr>
          <w:noProof/>
        </w:rPr>
        <w:t>2560</w:t>
      </w:r>
      <w:r>
        <w:rPr>
          <w:noProof/>
        </w:rPr>
        <w:t xml:space="preserve"> arată că instrumentul este adecvat scopului și contribuie la obiectivul său de a menține condiții de concurență echitabile pe piața internă. În ceea ce privește notificările</w:t>
      </w:r>
      <w:r w:rsidRPr="00375DD4">
        <w:rPr>
          <w:i/>
          <w:noProof/>
        </w:rPr>
        <w:t xml:space="preserve"> ex ante</w:t>
      </w:r>
      <w:r>
        <w:rPr>
          <w:noProof/>
        </w:rPr>
        <w:t xml:space="preserve"> privind concentrările economice și achizițiile publice, Comisia a lansat deja mai multe investigații aprofundate în temeiul Regulamentului (UE) </w:t>
      </w:r>
      <w:r w:rsidRPr="00375DD4">
        <w:rPr>
          <w:noProof/>
        </w:rPr>
        <w:t>2022</w:t>
      </w:r>
      <w:r>
        <w:rPr>
          <w:noProof/>
        </w:rPr>
        <w:t>/</w:t>
      </w:r>
      <w:r w:rsidRPr="00375DD4">
        <w:rPr>
          <w:noProof/>
        </w:rPr>
        <w:t>2560</w:t>
      </w:r>
      <w:r>
        <w:rPr>
          <w:noProof/>
        </w:rPr>
        <w:t>, dintre care unele au fost încheiate cu angajamente oferite de părți pentru a aborda denaturările identificate ale pieței interne cauzate de subvențiile străine. În ceea ce privește analiza din oficiu, Comisia a lansat mai multe investigații aprofundate, care sunt în curs la momentul publicării, și a recurs, de asemenea, la competențele sale de inspecție și de revizuire a tranzacțiilor (</w:t>
      </w:r>
      <w:r w:rsidRPr="00375DD4">
        <w:rPr>
          <w:i/>
          <w:iCs/>
          <w:noProof/>
        </w:rPr>
        <w:t>call-in</w:t>
      </w:r>
      <w:r>
        <w:rPr>
          <w:noProof/>
        </w:rPr>
        <w:t xml:space="preserve">). Obiectivele Regulamentului (UE) </w:t>
      </w:r>
      <w:r w:rsidRPr="00375DD4">
        <w:rPr>
          <w:noProof/>
        </w:rPr>
        <w:t>2022</w:t>
      </w:r>
      <w:r>
        <w:rPr>
          <w:noProof/>
        </w:rPr>
        <w:t>/</w:t>
      </w:r>
      <w:r w:rsidRPr="00375DD4">
        <w:rPr>
          <w:noProof/>
        </w:rPr>
        <w:t>2560</w:t>
      </w:r>
      <w:r>
        <w:rPr>
          <w:noProof/>
        </w:rPr>
        <w:t xml:space="preserve"> sunt recunoscute și sprijinite pe scară largă în feedbackul primit de la părțile interesate. Părțile interesate au susținut, de asemenea, că Regulamentul (UE) </w:t>
      </w:r>
      <w:r w:rsidRPr="00375DD4">
        <w:rPr>
          <w:noProof/>
        </w:rPr>
        <w:t>2022</w:t>
      </w:r>
      <w:r>
        <w:rPr>
          <w:noProof/>
        </w:rPr>
        <w:t>/</w:t>
      </w:r>
      <w:r w:rsidRPr="00375DD4">
        <w:rPr>
          <w:noProof/>
        </w:rPr>
        <w:t>2560</w:t>
      </w:r>
      <w:r>
        <w:rPr>
          <w:noProof/>
        </w:rPr>
        <w:t xml:space="preserve"> creează costuri disproporționate, în special în contextul procedurilor de notificare </w:t>
      </w:r>
      <w:r w:rsidRPr="00375DD4">
        <w:rPr>
          <w:i/>
          <w:noProof/>
        </w:rPr>
        <w:t>ex ante</w:t>
      </w:r>
      <w:r>
        <w:rPr>
          <w:noProof/>
        </w:rPr>
        <w:t xml:space="preserve">. Părțile interesate au solicitat simplificarea normelor și sporirea securității juridice în ceea ce privește anumite concepte prevăzute de Regulamentul (UE) </w:t>
      </w:r>
      <w:r w:rsidRPr="00375DD4">
        <w:rPr>
          <w:noProof/>
        </w:rPr>
        <w:t>2022</w:t>
      </w:r>
      <w:r>
        <w:rPr>
          <w:noProof/>
        </w:rPr>
        <w:t>/</w:t>
      </w:r>
      <w:r w:rsidRPr="00375DD4">
        <w:rPr>
          <w:noProof/>
        </w:rPr>
        <w:t>2560</w:t>
      </w:r>
      <w:r>
        <w:rPr>
          <w:noProof/>
        </w:rPr>
        <w:t xml:space="preserve">. </w:t>
      </w:r>
    </w:p>
    <w:p w14:paraId="47787F78" w14:textId="0A46C0B8" w:rsidR="00AF4A15" w:rsidRDefault="00AF4A15" w:rsidP="008A65F1">
      <w:pPr>
        <w:rPr>
          <w:noProof/>
        </w:rPr>
      </w:pPr>
      <w:r>
        <w:rPr>
          <w:noProof/>
        </w:rPr>
        <w:t>Documentul de lucru însoțitor al serviciilor Comisiei conține detalii suplimentare din revizuire.</w:t>
      </w:r>
    </w:p>
    <w:p w14:paraId="309AEA69" w14:textId="0A755A13" w:rsidR="00D60C3C" w:rsidRPr="006F098B" w:rsidRDefault="00E01558" w:rsidP="00216FD2">
      <w:pPr>
        <w:pStyle w:val="Heading1"/>
        <w:rPr>
          <w:b w:val="0"/>
          <w:bCs/>
          <w:noProof/>
        </w:rPr>
      </w:pPr>
      <w:r w:rsidRPr="00375DD4">
        <w:rPr>
          <w:noProof/>
        </w:rPr>
        <w:t>CONCLUZIILE TRASE ÎN URMA ANALIZEI</w:t>
      </w:r>
      <w:r>
        <w:rPr>
          <w:b w:val="0"/>
          <w:noProof/>
        </w:rPr>
        <w:t xml:space="preserve"> </w:t>
      </w:r>
    </w:p>
    <w:p w14:paraId="42C54EB7" w14:textId="793E1086" w:rsidR="007B48BD" w:rsidRPr="00375DD4" w:rsidRDefault="00751FFD" w:rsidP="00D475BC">
      <w:pPr>
        <w:pStyle w:val="Heading2"/>
        <w:rPr>
          <w:noProof/>
        </w:rPr>
      </w:pPr>
      <w:bookmarkStart w:id="5" w:name="_Toc228901724"/>
      <w:r w:rsidRPr="00375DD4">
        <w:rPr>
          <w:noProof/>
        </w:rPr>
        <w:t xml:space="preserve">Punerea în aplicare în fază incipientă a Regulamentului (UE) 2022/2560 și acțiunile Comisiei de orientare a părților interesate </w:t>
      </w:r>
      <w:bookmarkEnd w:id="5"/>
    </w:p>
    <w:p w14:paraId="0736E4A3" w14:textId="19ACCB6C" w:rsidR="00877140" w:rsidRPr="00375DD4" w:rsidRDefault="00877140" w:rsidP="00DF75D3">
      <w:pPr>
        <w:pStyle w:val="Heading3"/>
        <w:ind w:left="851" w:hanging="851"/>
        <w:rPr>
          <w:bCs/>
          <w:noProof/>
        </w:rPr>
      </w:pPr>
      <w:r w:rsidRPr="00375DD4">
        <w:rPr>
          <w:noProof/>
        </w:rPr>
        <w:t>Acțiunile Comisiei</w:t>
      </w:r>
    </w:p>
    <w:p w14:paraId="22B7BDDC" w14:textId="4D388F14" w:rsidR="00D04C8F" w:rsidRDefault="00B942A3" w:rsidP="00DB29B7">
      <w:pPr>
        <w:rPr>
          <w:noProof/>
        </w:rPr>
      </w:pPr>
      <w:r>
        <w:rPr>
          <w:noProof/>
        </w:rPr>
        <w:t xml:space="preserve">La </w:t>
      </w:r>
      <w:r w:rsidRPr="00375DD4">
        <w:rPr>
          <w:noProof/>
        </w:rPr>
        <w:t>10</w:t>
      </w:r>
      <w:r>
        <w:rPr>
          <w:noProof/>
        </w:rPr>
        <w:t xml:space="preserve"> iulie </w:t>
      </w:r>
      <w:r w:rsidRPr="00375DD4">
        <w:rPr>
          <w:noProof/>
        </w:rPr>
        <w:t>2023</w:t>
      </w:r>
      <w:r>
        <w:rPr>
          <w:noProof/>
        </w:rPr>
        <w:t xml:space="preserve">, Comisia a adoptat Regulamentul de punere în aplicare (UE) </w:t>
      </w:r>
      <w:r w:rsidRPr="00375DD4">
        <w:rPr>
          <w:noProof/>
        </w:rPr>
        <w:t>2023</w:t>
      </w:r>
      <w:r>
        <w:rPr>
          <w:noProof/>
        </w:rPr>
        <w:t>/</w:t>
      </w:r>
      <w:r w:rsidRPr="00375DD4">
        <w:rPr>
          <w:noProof/>
        </w:rPr>
        <w:t>1441</w:t>
      </w:r>
      <w:r>
        <w:rPr>
          <w:noProof/>
        </w:rPr>
        <w:t xml:space="preserve"> privind modalitățile detaliate de desfășurare a procedurilor de către Comisie în temeiul Regulamentului (UE) </w:t>
      </w:r>
      <w:r w:rsidRPr="00375DD4">
        <w:rPr>
          <w:noProof/>
        </w:rPr>
        <w:t>2022</w:t>
      </w:r>
      <w:r>
        <w:rPr>
          <w:noProof/>
        </w:rPr>
        <w:t>/</w:t>
      </w:r>
      <w:r w:rsidRPr="00375DD4">
        <w:rPr>
          <w:noProof/>
        </w:rPr>
        <w:t>2560</w:t>
      </w:r>
      <w:r>
        <w:rPr>
          <w:noProof/>
        </w:rPr>
        <w:t xml:space="preserve">. Regulamentul (UE) </w:t>
      </w:r>
      <w:r w:rsidRPr="00375DD4">
        <w:rPr>
          <w:noProof/>
        </w:rPr>
        <w:t>2023</w:t>
      </w:r>
      <w:r>
        <w:rPr>
          <w:noProof/>
        </w:rPr>
        <w:t>/</w:t>
      </w:r>
      <w:r w:rsidRPr="00375DD4">
        <w:rPr>
          <w:noProof/>
        </w:rPr>
        <w:t>1441</w:t>
      </w:r>
      <w:r>
        <w:rPr>
          <w:noProof/>
        </w:rPr>
        <w:t xml:space="preserve"> stabilește, de asemenea, formularele însoțitoare pentru notificările </w:t>
      </w:r>
      <w:r w:rsidRPr="00375DD4">
        <w:rPr>
          <w:i/>
          <w:noProof/>
        </w:rPr>
        <w:t>ex ante</w:t>
      </w:r>
      <w:r>
        <w:rPr>
          <w:noProof/>
        </w:rPr>
        <w:t xml:space="preserve"> în temeiul Regulamentului (UE) </w:t>
      </w:r>
      <w:r w:rsidRPr="00375DD4">
        <w:rPr>
          <w:noProof/>
        </w:rPr>
        <w:t>2022</w:t>
      </w:r>
      <w:r>
        <w:rPr>
          <w:noProof/>
        </w:rPr>
        <w:t>/</w:t>
      </w:r>
      <w:r w:rsidRPr="00375DD4">
        <w:rPr>
          <w:noProof/>
        </w:rPr>
        <w:t>2560</w:t>
      </w:r>
      <w:r>
        <w:rPr>
          <w:noProof/>
        </w:rPr>
        <w:t xml:space="preserve"> către Comisie (</w:t>
      </w:r>
      <w:r>
        <w:rPr>
          <w:rStyle w:val="FootnoteReference"/>
          <w:noProof/>
        </w:rPr>
        <w:footnoteReference w:id="4"/>
      </w:r>
      <w:r>
        <w:rPr>
          <w:noProof/>
        </w:rPr>
        <w:t xml:space="preserve">). Regulamentul (UE) </w:t>
      </w:r>
      <w:r w:rsidRPr="00375DD4">
        <w:rPr>
          <w:noProof/>
        </w:rPr>
        <w:t>2023</w:t>
      </w:r>
      <w:r>
        <w:rPr>
          <w:noProof/>
        </w:rPr>
        <w:t>/</w:t>
      </w:r>
      <w:r w:rsidRPr="00375DD4">
        <w:rPr>
          <w:noProof/>
        </w:rPr>
        <w:t>1441</w:t>
      </w:r>
      <w:r>
        <w:rPr>
          <w:noProof/>
        </w:rPr>
        <w:t xml:space="preserve"> și formularele însoțitoare au făcut posibilă punerea rapidă în practică a procedurilor de executare bazate pe notificare. </w:t>
      </w:r>
    </w:p>
    <w:p w14:paraId="07843674" w14:textId="1D70D9D4" w:rsidR="003848A4" w:rsidRPr="00FB2F78" w:rsidRDefault="00A268AB" w:rsidP="003848A4">
      <w:pPr>
        <w:rPr>
          <w:noProof/>
        </w:rPr>
      </w:pPr>
      <w:r>
        <w:rPr>
          <w:noProof/>
        </w:rPr>
        <w:t xml:space="preserve">De la intrarea în vigoare a Regulamentului (UE) </w:t>
      </w:r>
      <w:r w:rsidRPr="00375DD4">
        <w:rPr>
          <w:noProof/>
        </w:rPr>
        <w:t>2022</w:t>
      </w:r>
      <w:r>
        <w:rPr>
          <w:noProof/>
        </w:rPr>
        <w:t>/</w:t>
      </w:r>
      <w:r w:rsidRPr="00375DD4">
        <w:rPr>
          <w:noProof/>
        </w:rPr>
        <w:t>2560</w:t>
      </w:r>
      <w:r>
        <w:rPr>
          <w:noProof/>
        </w:rPr>
        <w:t xml:space="preserve">, Comisia a luat mai multe măsuri pentru a oferi mai multă transparență și orientări părților interesate, astfel cum se prevede în termenii specifici de mai jos. </w:t>
      </w:r>
    </w:p>
    <w:p w14:paraId="22FB80B8" w14:textId="060DE93A" w:rsidR="003D5FF1" w:rsidRPr="00FB2F78" w:rsidRDefault="003848A4" w:rsidP="003D5FF1">
      <w:pPr>
        <w:rPr>
          <w:noProof/>
        </w:rPr>
      </w:pPr>
      <w:r>
        <w:rPr>
          <w:noProof/>
        </w:rPr>
        <w:t xml:space="preserve">În iulie </w:t>
      </w:r>
      <w:r w:rsidRPr="00375DD4">
        <w:rPr>
          <w:noProof/>
        </w:rPr>
        <w:t>2024</w:t>
      </w:r>
      <w:r>
        <w:rPr>
          <w:noProof/>
        </w:rPr>
        <w:t xml:space="preserve">, la un an de la începerea aplicării Regulamentului (UE) </w:t>
      </w:r>
      <w:r w:rsidRPr="00375DD4">
        <w:rPr>
          <w:noProof/>
        </w:rPr>
        <w:t>2022</w:t>
      </w:r>
      <w:r>
        <w:rPr>
          <w:noProof/>
        </w:rPr>
        <w:t>/</w:t>
      </w:r>
      <w:r w:rsidRPr="00375DD4">
        <w:rPr>
          <w:noProof/>
        </w:rPr>
        <w:t>2560</w:t>
      </w:r>
      <w:r>
        <w:rPr>
          <w:noProof/>
        </w:rPr>
        <w:t xml:space="preserve">, a fost publicat un document de lucru al serviciilor Comisiei care oferă clarificări inițiale cu privire la conceptele-cheie din cadrul Regulamentului (UE) </w:t>
      </w:r>
      <w:r w:rsidRPr="00375DD4">
        <w:rPr>
          <w:noProof/>
        </w:rPr>
        <w:t>2022</w:t>
      </w:r>
      <w:r>
        <w:rPr>
          <w:noProof/>
        </w:rPr>
        <w:t>/</w:t>
      </w:r>
      <w:r w:rsidRPr="00375DD4">
        <w:rPr>
          <w:noProof/>
        </w:rPr>
        <w:t>2560</w:t>
      </w:r>
      <w:r>
        <w:rPr>
          <w:noProof/>
        </w:rPr>
        <w:t> (</w:t>
      </w:r>
      <w:r>
        <w:rPr>
          <w:rStyle w:val="FootnoteReference"/>
          <w:noProof/>
        </w:rPr>
        <w:footnoteReference w:id="5"/>
      </w:r>
      <w:r>
        <w:rPr>
          <w:noProof/>
        </w:rPr>
        <w:t xml:space="preserve">). Printre caracteristicile documentului s-au numărat indicații inițiale privind interpretarea conceptelor de fond ale Regulamentului (UE) </w:t>
      </w:r>
      <w:r w:rsidRPr="00375DD4">
        <w:rPr>
          <w:noProof/>
        </w:rPr>
        <w:t>2022</w:t>
      </w:r>
      <w:r>
        <w:rPr>
          <w:noProof/>
        </w:rPr>
        <w:t>/</w:t>
      </w:r>
      <w:r w:rsidRPr="00375DD4">
        <w:rPr>
          <w:noProof/>
        </w:rPr>
        <w:t>2560</w:t>
      </w:r>
      <w:r>
        <w:rPr>
          <w:noProof/>
        </w:rPr>
        <w:t xml:space="preserve"> și, în special, factorii care trebuie luați în considerare pentru a evalua dacă există o denaturare, precum și metodologia aplicată în cadrul testului comparativ.</w:t>
      </w:r>
    </w:p>
    <w:p w14:paraId="17E24BCB" w14:textId="594A7ECC" w:rsidR="003D5FF1" w:rsidRDefault="00694B30" w:rsidP="003D5FF1">
      <w:pPr>
        <w:rPr>
          <w:noProof/>
        </w:rPr>
      </w:pPr>
      <w:r>
        <w:rPr>
          <w:noProof/>
        </w:rPr>
        <w:t xml:space="preserve">Serviciile Comisiei actualizează periodic un set de întrebări și răspunsuri specifice privind Regulamentul (UE) </w:t>
      </w:r>
      <w:r w:rsidRPr="00375DD4">
        <w:rPr>
          <w:noProof/>
        </w:rPr>
        <w:t>2022</w:t>
      </w:r>
      <w:r>
        <w:rPr>
          <w:noProof/>
        </w:rPr>
        <w:t>/</w:t>
      </w:r>
      <w:r w:rsidRPr="00375DD4">
        <w:rPr>
          <w:noProof/>
        </w:rPr>
        <w:t>2560</w:t>
      </w:r>
      <w:r>
        <w:rPr>
          <w:noProof/>
        </w:rPr>
        <w:t xml:space="preserve"> pe site-ul Comisiei (</w:t>
      </w:r>
      <w:r>
        <w:rPr>
          <w:rStyle w:val="FootnoteReference"/>
          <w:noProof/>
        </w:rPr>
        <w:footnoteReference w:id="6"/>
      </w:r>
      <w:r>
        <w:rPr>
          <w:noProof/>
        </w:rPr>
        <w:t xml:space="preserve">). Aceste actualizări abordează probleme recurente care apar în practică. Acestea oferă orientări suplimentare cu privire la o serie de subiecte, inclusiv aspecte procedurale și jurisdicționale [cum ar fi obligațiile de notificare, excepțiile în temeiul Regulamentului (UE) </w:t>
      </w:r>
      <w:r w:rsidRPr="00375DD4">
        <w:rPr>
          <w:noProof/>
        </w:rPr>
        <w:t>2023</w:t>
      </w:r>
      <w:r>
        <w:rPr>
          <w:noProof/>
        </w:rPr>
        <w:t>/</w:t>
      </w:r>
      <w:r w:rsidRPr="00375DD4">
        <w:rPr>
          <w:noProof/>
        </w:rPr>
        <w:t>1441</w:t>
      </w:r>
      <w:r>
        <w:rPr>
          <w:noProof/>
        </w:rPr>
        <w:t>, calcularea pragurilor și contribuțiile financiare străine].</w:t>
      </w:r>
    </w:p>
    <w:p w14:paraId="26F2878E" w14:textId="4C3977DE" w:rsidR="003D5FF1" w:rsidRDefault="00694B30" w:rsidP="003D5FF1">
      <w:pPr>
        <w:rPr>
          <w:noProof/>
        </w:rPr>
      </w:pPr>
      <w:r>
        <w:rPr>
          <w:noProof/>
        </w:rPr>
        <w:t xml:space="preserve">În ianuarie </w:t>
      </w:r>
      <w:r w:rsidRPr="00375DD4">
        <w:rPr>
          <w:noProof/>
        </w:rPr>
        <w:t>2026</w:t>
      </w:r>
      <w:r>
        <w:rPr>
          <w:noProof/>
        </w:rPr>
        <w:t xml:space="preserve">, Comisia a publicat Orientările privind Regulamentul (UE) </w:t>
      </w:r>
      <w:r w:rsidRPr="00375DD4">
        <w:rPr>
          <w:noProof/>
        </w:rPr>
        <w:t>2022</w:t>
      </w:r>
      <w:r>
        <w:rPr>
          <w:noProof/>
        </w:rPr>
        <w:t>/</w:t>
      </w:r>
      <w:r w:rsidRPr="00375DD4">
        <w:rPr>
          <w:noProof/>
        </w:rPr>
        <w:t>2560</w:t>
      </w:r>
      <w:r>
        <w:rPr>
          <w:noProof/>
        </w:rPr>
        <w:t>, marcând o etapă esențială în sporirea previzibilității și a transparenței pentru părțile interesate (</w:t>
      </w:r>
      <w:r>
        <w:rPr>
          <w:rStyle w:val="FootnoteReference"/>
          <w:noProof/>
        </w:rPr>
        <w:footnoteReference w:id="7"/>
      </w:r>
      <w:r>
        <w:rPr>
          <w:noProof/>
        </w:rPr>
        <w:t xml:space="preserve">). Orientările privind Regulamentul (UE) </w:t>
      </w:r>
      <w:r w:rsidRPr="00375DD4">
        <w:rPr>
          <w:noProof/>
        </w:rPr>
        <w:t>2022</w:t>
      </w:r>
      <w:r>
        <w:rPr>
          <w:noProof/>
        </w:rPr>
        <w:t>/</w:t>
      </w:r>
      <w:r w:rsidRPr="00375DD4">
        <w:rPr>
          <w:noProof/>
        </w:rPr>
        <w:t>2560</w:t>
      </w:r>
      <w:r>
        <w:rPr>
          <w:noProof/>
        </w:rPr>
        <w:t xml:space="preserve"> includ orientări pentru părțile interesate cu privire la evaluarea denaturării pieței interne cauzate de subvențiile străine, testul comparativ și competențele Comisiei de revizuire a tranzacțiilor pentru concentrările economice sau procedurile de achiziții publice care se situează sub pragurile stabilite.</w:t>
      </w:r>
    </w:p>
    <w:p w14:paraId="50049255" w14:textId="5EB911F0" w:rsidR="00694B30" w:rsidRDefault="00694B30" w:rsidP="00E70D14">
      <w:pPr>
        <w:rPr>
          <w:noProof/>
        </w:rPr>
      </w:pPr>
      <w:r>
        <w:rPr>
          <w:noProof/>
        </w:rPr>
        <w:t xml:space="preserve">În cele din urmă, Comisia publică periodic informații cu privire la cazuri, versiuni neconfidențiale ale deciziilor sale de încheiere a investigațiilor aprofundate în temeiul Regulamentului (UE) </w:t>
      </w:r>
      <w:r w:rsidRPr="00375DD4">
        <w:rPr>
          <w:noProof/>
        </w:rPr>
        <w:t>2022</w:t>
      </w:r>
      <w:r>
        <w:rPr>
          <w:noProof/>
        </w:rPr>
        <w:t>/</w:t>
      </w:r>
      <w:r w:rsidRPr="00375DD4">
        <w:rPr>
          <w:noProof/>
        </w:rPr>
        <w:t>2560</w:t>
      </w:r>
      <w:r>
        <w:rPr>
          <w:noProof/>
        </w:rPr>
        <w:t xml:space="preserve"> (precum și rezumatul deciziilor de deschidere a investigațiilor aprofundate) și note de informare specifice în temeiul Regulamentului (UE) </w:t>
      </w:r>
      <w:r w:rsidRPr="00375DD4">
        <w:rPr>
          <w:noProof/>
        </w:rPr>
        <w:t>2022</w:t>
      </w:r>
      <w:r>
        <w:rPr>
          <w:noProof/>
        </w:rPr>
        <w:t>/</w:t>
      </w:r>
      <w:r w:rsidRPr="00375DD4">
        <w:rPr>
          <w:noProof/>
        </w:rPr>
        <w:t>2560</w:t>
      </w:r>
      <w:r>
        <w:rPr>
          <w:noProof/>
        </w:rPr>
        <w:t xml:space="preserve"> cu privire la evoluțiile specifice în materie de politici [cum ar fi primele </w:t>
      </w:r>
      <w:r w:rsidRPr="00375DD4">
        <w:rPr>
          <w:noProof/>
        </w:rPr>
        <w:t>100</w:t>
      </w:r>
      <w:r>
        <w:rPr>
          <w:noProof/>
        </w:rPr>
        <w:t xml:space="preserve"> de zile de aplicare a Regulamentului (UE) </w:t>
      </w:r>
      <w:r w:rsidRPr="00375DD4">
        <w:rPr>
          <w:noProof/>
        </w:rPr>
        <w:t>2022</w:t>
      </w:r>
      <w:r>
        <w:rPr>
          <w:noProof/>
        </w:rPr>
        <w:t>/</w:t>
      </w:r>
      <w:r w:rsidRPr="00375DD4">
        <w:rPr>
          <w:noProof/>
        </w:rPr>
        <w:t>2560</w:t>
      </w:r>
      <w:r>
        <w:rPr>
          <w:noProof/>
        </w:rPr>
        <w:t> (</w:t>
      </w:r>
      <w:r>
        <w:rPr>
          <w:rStyle w:val="FootnoteReference"/>
          <w:noProof/>
        </w:rPr>
        <w:footnoteReference w:id="8"/>
      </w:r>
      <w:r>
        <w:rPr>
          <w:noProof/>
        </w:rPr>
        <w:t xml:space="preserve">), Orientările privind Regulamentul (UE) </w:t>
      </w:r>
      <w:r w:rsidRPr="00375DD4">
        <w:rPr>
          <w:noProof/>
        </w:rPr>
        <w:t>2022</w:t>
      </w:r>
      <w:r>
        <w:rPr>
          <w:noProof/>
        </w:rPr>
        <w:t>/</w:t>
      </w:r>
      <w:r w:rsidRPr="00375DD4">
        <w:rPr>
          <w:noProof/>
        </w:rPr>
        <w:t>2560</w:t>
      </w:r>
      <w:r>
        <w:rPr>
          <w:noProof/>
        </w:rPr>
        <w:t> (</w:t>
      </w:r>
      <w:r>
        <w:rPr>
          <w:rStyle w:val="FootnoteReference"/>
          <w:noProof/>
        </w:rPr>
        <w:footnoteReference w:id="9"/>
      </w:r>
      <w:r>
        <w:rPr>
          <w:noProof/>
        </w:rPr>
        <w:t xml:space="preserve">) și la practica sa decizională [cum ar fi nota de informare privind prima decizie finală cu angajamente adoptate în temeiul capitolului privind concentrarea din Regulamentul (UE) </w:t>
      </w:r>
      <w:r w:rsidRPr="00375DD4">
        <w:rPr>
          <w:noProof/>
        </w:rPr>
        <w:t>2022</w:t>
      </w:r>
      <w:r>
        <w:rPr>
          <w:noProof/>
        </w:rPr>
        <w:t>/</w:t>
      </w:r>
      <w:r w:rsidRPr="00375DD4">
        <w:rPr>
          <w:noProof/>
        </w:rPr>
        <w:t>2560</w:t>
      </w:r>
      <w:r>
        <w:rPr>
          <w:noProof/>
        </w:rPr>
        <w:t xml:space="preserve"> în cazul FS.</w:t>
      </w:r>
      <w:r w:rsidRPr="00375DD4">
        <w:rPr>
          <w:noProof/>
        </w:rPr>
        <w:t>100011</w:t>
      </w:r>
      <w:r>
        <w:rPr>
          <w:noProof/>
        </w:rPr>
        <w:t>] (</w:t>
      </w:r>
      <w:r>
        <w:rPr>
          <w:rStyle w:val="FootnoteReference"/>
          <w:noProof/>
        </w:rPr>
        <w:footnoteReference w:id="10"/>
      </w:r>
      <w:r>
        <w:rPr>
          <w:noProof/>
        </w:rPr>
        <w:t xml:space="preserve">). În plus, în ceea ce privește procedurile de concentrare, DG COMP dispune de un registru specific Regulamentului (UE) </w:t>
      </w:r>
      <w:r w:rsidRPr="00375DD4">
        <w:rPr>
          <w:noProof/>
        </w:rPr>
        <w:t>2022</w:t>
      </w:r>
      <w:r>
        <w:rPr>
          <w:noProof/>
        </w:rPr>
        <w:t>/</w:t>
      </w:r>
      <w:r w:rsidRPr="00375DD4">
        <w:rPr>
          <w:noProof/>
        </w:rPr>
        <w:t>2560</w:t>
      </w:r>
      <w:r>
        <w:rPr>
          <w:noProof/>
        </w:rPr>
        <w:t xml:space="preserve">, care sporește transparența și informează publicul cu privire la cazurile de concentrare în curs în temeiul Regulamentului (UE) </w:t>
      </w:r>
      <w:r w:rsidRPr="00375DD4">
        <w:rPr>
          <w:noProof/>
        </w:rPr>
        <w:t>2022</w:t>
      </w:r>
      <w:r>
        <w:rPr>
          <w:noProof/>
        </w:rPr>
        <w:t>/</w:t>
      </w:r>
      <w:r w:rsidRPr="00375DD4">
        <w:rPr>
          <w:noProof/>
        </w:rPr>
        <w:t>2560</w:t>
      </w:r>
      <w:r>
        <w:rPr>
          <w:noProof/>
        </w:rPr>
        <w:t>, în urma notificării lor oficiale (</w:t>
      </w:r>
      <w:r>
        <w:rPr>
          <w:rStyle w:val="FootnoteReference"/>
          <w:noProof/>
        </w:rPr>
        <w:footnoteReference w:id="11"/>
      </w:r>
      <w:r>
        <w:rPr>
          <w:noProof/>
        </w:rPr>
        <w:t xml:space="preserve">). </w:t>
      </w:r>
    </w:p>
    <w:p w14:paraId="3835F854" w14:textId="6EB89A66" w:rsidR="00E70D14" w:rsidRPr="00B76B79" w:rsidRDefault="00E70D14" w:rsidP="00E70D14">
      <w:pPr>
        <w:rPr>
          <w:noProof/>
        </w:rPr>
      </w:pPr>
      <w:r>
        <w:rPr>
          <w:noProof/>
        </w:rPr>
        <w:t xml:space="preserve">Serviciile Comisiei colaborează, de asemenea, cu statele membre prin intermediul unei rețele specifice de puncte de contact naționale și de grupuri de experți ale Comisiei, precum și cu părți interesate, cum ar fi practicienii din domeniul dreptului și asociațiile de întreprinderi, prin conferințe privind diverse aspecte legate de Regulamentul (UE) </w:t>
      </w:r>
      <w:r w:rsidRPr="00375DD4">
        <w:rPr>
          <w:noProof/>
        </w:rPr>
        <w:t>2022</w:t>
      </w:r>
      <w:r>
        <w:rPr>
          <w:noProof/>
        </w:rPr>
        <w:t>/</w:t>
      </w:r>
      <w:r w:rsidRPr="00375DD4">
        <w:rPr>
          <w:noProof/>
        </w:rPr>
        <w:t>2560</w:t>
      </w:r>
      <w:r>
        <w:rPr>
          <w:noProof/>
        </w:rPr>
        <w:t>, aducând mai multă claritate cu privire la practica sa.</w:t>
      </w:r>
    </w:p>
    <w:p w14:paraId="32DB2DD8" w14:textId="77777777" w:rsidR="00061396" w:rsidRPr="00375DD4" w:rsidRDefault="00061396" w:rsidP="00DF75D3">
      <w:pPr>
        <w:pStyle w:val="Heading3"/>
        <w:tabs>
          <w:tab w:val="clear" w:pos="850"/>
          <w:tab w:val="left" w:pos="851"/>
        </w:tabs>
        <w:ind w:left="851" w:hanging="851"/>
        <w:rPr>
          <w:noProof/>
        </w:rPr>
      </w:pPr>
      <w:r w:rsidRPr="00375DD4">
        <w:rPr>
          <w:noProof/>
        </w:rPr>
        <w:t>Rezultatele analizei</w:t>
      </w:r>
    </w:p>
    <w:p w14:paraId="6CCDFC4B" w14:textId="7CF2030B" w:rsidR="001E4812" w:rsidRPr="006419E4" w:rsidRDefault="00061396" w:rsidP="001E4812">
      <w:pPr>
        <w:rPr>
          <w:noProof/>
        </w:rPr>
      </w:pPr>
      <w:r>
        <w:rPr>
          <w:noProof/>
        </w:rPr>
        <w:t xml:space="preserve">Acțiunile Comisiei de a oferi orientări suplimentare cu privire la Regulamentul (UE) </w:t>
      </w:r>
      <w:r w:rsidRPr="00375DD4">
        <w:rPr>
          <w:noProof/>
        </w:rPr>
        <w:t>2022</w:t>
      </w:r>
      <w:r>
        <w:rPr>
          <w:noProof/>
        </w:rPr>
        <w:t>/</w:t>
      </w:r>
      <w:r w:rsidRPr="00375DD4">
        <w:rPr>
          <w:noProof/>
        </w:rPr>
        <w:t>2560</w:t>
      </w:r>
      <w:r>
        <w:rPr>
          <w:noProof/>
        </w:rPr>
        <w:t xml:space="preserve"> au fost salutate și considerate pozitive. Cu toate acestea, analiza evidențiază domeniile în care părțile interesate consideră că este necesară o mai mare securitate juridică, în special pentru o serie de concepte de fond ale Regulamentului privind subvențiile străine și pentru aplicarea cadrului analitic în cazuri individuale. Mai jos sunt prezentate câteva exemple specifice. </w:t>
      </w:r>
    </w:p>
    <w:p w14:paraId="21546C4A" w14:textId="4BF9BA9C" w:rsidR="002A6C59" w:rsidRDefault="002A6C59" w:rsidP="002A6C59">
      <w:pPr>
        <w:rPr>
          <w:noProof/>
        </w:rPr>
      </w:pPr>
      <w:r>
        <w:rPr>
          <w:noProof/>
        </w:rPr>
        <w:t>În ceea ce privește conceptul de contribuții financiare străine („FFC”) din partea autorităților din țări terțe în temeiul articolului </w:t>
      </w:r>
      <w:r w:rsidRPr="00375DD4">
        <w:rPr>
          <w:noProof/>
        </w:rPr>
        <w:t>3</w:t>
      </w:r>
      <w:r>
        <w:rPr>
          <w:noProof/>
        </w:rPr>
        <w:t xml:space="preserve"> din Regulamentul (UE) </w:t>
      </w:r>
      <w:r w:rsidRPr="00375DD4">
        <w:rPr>
          <w:noProof/>
        </w:rPr>
        <w:t>2022</w:t>
      </w:r>
      <w:r>
        <w:rPr>
          <w:noProof/>
        </w:rPr>
        <w:t>/</w:t>
      </w:r>
      <w:r w:rsidRPr="00375DD4">
        <w:rPr>
          <w:noProof/>
        </w:rPr>
        <w:t>2560</w:t>
      </w:r>
      <w:r>
        <w:rPr>
          <w:noProof/>
        </w:rPr>
        <w:t>, părțile interesate recunosc necesitatea unei definiții ample a FFC, care ar putea cuprinde o gamă largă de măsuri de detectare a subvențiilor cu potențial de denaturare. Cu toate acestea, feedbackul indică, de asemenea, că conceptul larg de FFC reprezintă o provocare atunci când întreprinderile trebuie să colecteze informațiile relevante privind FFC din mai multe jurisdicții și să stabilească domeniul de aplicare al raportării lor în scopul notificărilor lor</w:t>
      </w:r>
      <w:r w:rsidRPr="00375DD4">
        <w:rPr>
          <w:i/>
          <w:noProof/>
        </w:rPr>
        <w:t xml:space="preserve"> ex ante</w:t>
      </w:r>
      <w:r>
        <w:rPr>
          <w:noProof/>
        </w:rPr>
        <w:t xml:space="preserve"> în temeiul Regulamentului (UE) </w:t>
      </w:r>
      <w:r w:rsidRPr="00375DD4">
        <w:rPr>
          <w:noProof/>
        </w:rPr>
        <w:t>2022</w:t>
      </w:r>
      <w:r>
        <w:rPr>
          <w:noProof/>
        </w:rPr>
        <w:t>/</w:t>
      </w:r>
      <w:r w:rsidRPr="00375DD4">
        <w:rPr>
          <w:noProof/>
        </w:rPr>
        <w:t>2560</w:t>
      </w:r>
      <w:r>
        <w:rPr>
          <w:noProof/>
        </w:rPr>
        <w:t>.</w:t>
      </w:r>
    </w:p>
    <w:p w14:paraId="3ECB1BB7" w14:textId="4FF8A91B" w:rsidR="002A6C59" w:rsidRDefault="002A6C59" w:rsidP="002A6C59">
      <w:pPr>
        <w:rPr>
          <w:noProof/>
        </w:rPr>
      </w:pPr>
      <w:r>
        <w:rPr>
          <w:noProof/>
        </w:rPr>
        <w:t>În ceea ce privește evaluarea denaturării în temeiul articolului </w:t>
      </w:r>
      <w:r w:rsidRPr="00375DD4">
        <w:rPr>
          <w:noProof/>
        </w:rPr>
        <w:t>4</w:t>
      </w:r>
      <w:r>
        <w:rPr>
          <w:noProof/>
        </w:rPr>
        <w:t xml:space="preserve"> din Regulamentul (UE) </w:t>
      </w:r>
      <w:r w:rsidRPr="00375DD4">
        <w:rPr>
          <w:noProof/>
        </w:rPr>
        <w:t>2022</w:t>
      </w:r>
      <w:r>
        <w:rPr>
          <w:noProof/>
        </w:rPr>
        <w:t>/</w:t>
      </w:r>
      <w:r w:rsidRPr="00375DD4">
        <w:rPr>
          <w:noProof/>
        </w:rPr>
        <w:t>2560</w:t>
      </w:r>
      <w:r>
        <w:rPr>
          <w:noProof/>
        </w:rPr>
        <w:t>, părțile interesate raportează dificultăți în ceea ce privește anticiparea modului în care conceptul este aplicat în cazuri individuale. Seria limitată de practici decizionale ale Comisiei la momentul activităților de consultare pentru pregătirea raportului este citată ca un factor care contribuie la această incertitudine.</w:t>
      </w:r>
    </w:p>
    <w:p w14:paraId="10F3043D" w14:textId="6B890A63" w:rsidR="002A6C59" w:rsidRDefault="002A6C59" w:rsidP="002A6C59">
      <w:pPr>
        <w:rPr>
          <w:noProof/>
        </w:rPr>
      </w:pPr>
      <w:r>
        <w:rPr>
          <w:noProof/>
        </w:rPr>
        <w:t>În ceea ce privește subvențiile străine cel mai probabil să denatureze piața internă, în temeiul articolului </w:t>
      </w:r>
      <w:r w:rsidRPr="00375DD4">
        <w:rPr>
          <w:noProof/>
        </w:rPr>
        <w:t>5</w:t>
      </w:r>
      <w:r>
        <w:rPr>
          <w:noProof/>
        </w:rPr>
        <w:t xml:space="preserve"> din Regulamentul (UE) </w:t>
      </w:r>
      <w:r w:rsidRPr="00375DD4">
        <w:rPr>
          <w:noProof/>
        </w:rPr>
        <w:t>2022</w:t>
      </w:r>
      <w:r>
        <w:rPr>
          <w:noProof/>
        </w:rPr>
        <w:t>/</w:t>
      </w:r>
      <w:r w:rsidRPr="00375DD4">
        <w:rPr>
          <w:noProof/>
        </w:rPr>
        <w:t>2560</w:t>
      </w:r>
      <w:r>
        <w:rPr>
          <w:noProof/>
        </w:rPr>
        <w:t>, părțile interesate observă că, deși acestea sunt considerate un indicator util, persistă o anumită incertitudine cu privire la subvențiile care „</w:t>
      </w:r>
      <w:r w:rsidRPr="00375DD4">
        <w:rPr>
          <w:i/>
          <w:noProof/>
        </w:rPr>
        <w:t>facilitează în mod direct o concentrare</w:t>
      </w:r>
      <w:r>
        <w:rPr>
          <w:noProof/>
        </w:rPr>
        <w:t>” sau permit depunerea de „</w:t>
      </w:r>
      <w:r w:rsidRPr="00375DD4">
        <w:rPr>
          <w:i/>
          <w:noProof/>
        </w:rPr>
        <w:t>oferte anormal de avantajoase</w:t>
      </w:r>
      <w:r>
        <w:rPr>
          <w:noProof/>
        </w:rPr>
        <w:t>”.</w:t>
      </w:r>
    </w:p>
    <w:p w14:paraId="55F659F2" w14:textId="5D618947" w:rsidR="002A6C59" w:rsidRDefault="002A6C59" w:rsidP="002A6C59">
      <w:pPr>
        <w:rPr>
          <w:noProof/>
        </w:rPr>
      </w:pPr>
      <w:r>
        <w:rPr>
          <w:noProof/>
        </w:rPr>
        <w:t>În ceea ce privește testul comparativ prevăzut la articolul </w:t>
      </w:r>
      <w:r w:rsidRPr="00375DD4">
        <w:rPr>
          <w:noProof/>
        </w:rPr>
        <w:t>6</w:t>
      </w:r>
      <w:r>
        <w:rPr>
          <w:noProof/>
        </w:rPr>
        <w:t xml:space="preserve"> din Regulamentul (UE) </w:t>
      </w:r>
      <w:r w:rsidRPr="00375DD4">
        <w:rPr>
          <w:noProof/>
        </w:rPr>
        <w:t>2022</w:t>
      </w:r>
      <w:r>
        <w:rPr>
          <w:noProof/>
        </w:rPr>
        <w:t>/</w:t>
      </w:r>
      <w:r w:rsidRPr="00375DD4">
        <w:rPr>
          <w:noProof/>
        </w:rPr>
        <w:t>2560</w:t>
      </w:r>
      <w:r>
        <w:rPr>
          <w:noProof/>
        </w:rPr>
        <w:t>, părțile interesate salută posibilitatea de a avea acest exercițiu în temeiul regulamentului. Cu toate acestea, relevanța sa practică este considerată limitată, deoarece nu există încă exemple privind modul în care Comisia ar aplica testul în practică.</w:t>
      </w:r>
    </w:p>
    <w:p w14:paraId="6FABE390" w14:textId="29D1BCA9" w:rsidR="007C7E0E" w:rsidRDefault="007C7E0E" w:rsidP="007C7E0E">
      <w:pPr>
        <w:rPr>
          <w:noProof/>
        </w:rPr>
      </w:pPr>
      <w:bookmarkStart w:id="6" w:name="_Toc228901725"/>
    </w:p>
    <w:p w14:paraId="7EE1BA6D" w14:textId="40934EB6" w:rsidR="00B76652" w:rsidRPr="00375DD4" w:rsidRDefault="00B76652" w:rsidP="00B76652">
      <w:pPr>
        <w:pStyle w:val="Heading2"/>
        <w:rPr>
          <w:noProof/>
        </w:rPr>
      </w:pPr>
      <w:r w:rsidRPr="00375DD4">
        <w:rPr>
          <w:noProof/>
        </w:rPr>
        <w:t xml:space="preserve">Punerea în aplicare timpurie a Regulamentului (UE) 2022/2560 arată că instrumentul este adecvat scopului </w:t>
      </w:r>
    </w:p>
    <w:bookmarkEnd w:id="6"/>
    <w:p w14:paraId="10640C14" w14:textId="3793DDBF" w:rsidR="00612B69" w:rsidRDefault="00612B69" w:rsidP="00612B69">
      <w:pPr>
        <w:rPr>
          <w:noProof/>
        </w:rPr>
      </w:pPr>
      <w:r>
        <w:rPr>
          <w:noProof/>
        </w:rPr>
        <w:t xml:space="preserve">Comisia asigură respectarea Regulamentului (UE) </w:t>
      </w:r>
      <w:r w:rsidRPr="00375DD4">
        <w:rPr>
          <w:noProof/>
        </w:rPr>
        <w:t>2022</w:t>
      </w:r>
      <w:r>
        <w:rPr>
          <w:noProof/>
        </w:rPr>
        <w:t>/</w:t>
      </w:r>
      <w:r w:rsidRPr="00375DD4">
        <w:rPr>
          <w:noProof/>
        </w:rPr>
        <w:t>2560</w:t>
      </w:r>
      <w:r>
        <w:rPr>
          <w:noProof/>
        </w:rPr>
        <w:t xml:space="preserve"> prin intermediul a trei proceduri principale: </w:t>
      </w:r>
    </w:p>
    <w:p w14:paraId="3ED220F8" w14:textId="6C4D0D75" w:rsidR="00612B69" w:rsidRPr="00C044DE" w:rsidRDefault="00612B69" w:rsidP="002E0A1D">
      <w:pPr>
        <w:pStyle w:val="ListParagraph"/>
        <w:numPr>
          <w:ilvl w:val="0"/>
          <w:numId w:val="40"/>
        </w:numPr>
        <w:rPr>
          <w:noProof/>
        </w:rPr>
      </w:pPr>
      <w:r>
        <w:rPr>
          <w:noProof/>
        </w:rPr>
        <w:t xml:space="preserve">o </w:t>
      </w:r>
      <w:r w:rsidRPr="00375DD4">
        <w:rPr>
          <w:b/>
          <w:noProof/>
        </w:rPr>
        <w:t xml:space="preserve">notificare </w:t>
      </w:r>
      <w:r w:rsidRPr="00375DD4">
        <w:rPr>
          <w:b/>
          <w:i/>
          <w:iCs/>
          <w:noProof/>
        </w:rPr>
        <w:t>ex ante</w:t>
      </w:r>
      <w:r w:rsidRPr="00375DD4">
        <w:rPr>
          <w:b/>
          <w:noProof/>
        </w:rPr>
        <w:t xml:space="preserve"> de suspendare a concentrărilor</w:t>
      </w:r>
      <w:r>
        <w:rPr>
          <w:noProof/>
        </w:rPr>
        <w:t xml:space="preserve"> în care cel puțin una dintre întreprinderile care fuzionează, întreprinderea achiziționată sau societatea în comun este stabilită în Uniune și realizează în Uniune o cifră totală de afaceri de cel puțin </w:t>
      </w:r>
      <w:r w:rsidRPr="00375DD4">
        <w:rPr>
          <w:noProof/>
        </w:rPr>
        <w:t>500</w:t>
      </w:r>
      <w:r>
        <w:rPr>
          <w:noProof/>
        </w:rPr>
        <w:t xml:space="preserve"> de milioane EUR și părțile la concentrare au primit FFC în valoare totală de peste </w:t>
      </w:r>
      <w:r w:rsidRPr="00375DD4">
        <w:rPr>
          <w:noProof/>
        </w:rPr>
        <w:t>50</w:t>
      </w:r>
      <w:r>
        <w:rPr>
          <w:noProof/>
        </w:rPr>
        <w:t xml:space="preserve"> de milioane EUR în cursul ultimilor trei ani anteriori încheierii acordului, anunțării ofertei publice sau preluării unei participații de control; </w:t>
      </w:r>
    </w:p>
    <w:p w14:paraId="18A1DD95" w14:textId="77777777" w:rsidR="00612B69" w:rsidRPr="00FF3139" w:rsidRDefault="00612B69" w:rsidP="00C044DE">
      <w:pPr>
        <w:pStyle w:val="ListParagraph"/>
        <w:rPr>
          <w:noProof/>
        </w:rPr>
      </w:pPr>
    </w:p>
    <w:p w14:paraId="1F9C2918" w14:textId="2163785C" w:rsidR="00612B69" w:rsidRDefault="00612B69" w:rsidP="009D2CBA">
      <w:pPr>
        <w:pStyle w:val="ListParagraph"/>
        <w:numPr>
          <w:ilvl w:val="0"/>
          <w:numId w:val="40"/>
        </w:numPr>
        <w:rPr>
          <w:noProof/>
        </w:rPr>
      </w:pPr>
      <w:r>
        <w:rPr>
          <w:noProof/>
        </w:rPr>
        <w:t xml:space="preserve">o </w:t>
      </w:r>
      <w:r w:rsidRPr="00375DD4">
        <w:rPr>
          <w:b/>
          <w:noProof/>
        </w:rPr>
        <w:t xml:space="preserve">notificare </w:t>
      </w:r>
      <w:r w:rsidRPr="00375DD4">
        <w:rPr>
          <w:b/>
          <w:i/>
          <w:iCs/>
          <w:noProof/>
        </w:rPr>
        <w:t>ex ante</w:t>
      </w:r>
      <w:r w:rsidRPr="00375DD4">
        <w:rPr>
          <w:b/>
          <w:noProof/>
        </w:rPr>
        <w:t xml:space="preserve"> de suspendare a procedurilor de achiziții publice</w:t>
      </w:r>
      <w:r>
        <w:rPr>
          <w:noProof/>
        </w:rPr>
        <w:t xml:space="preserve"> în care valoarea estimată a contractului este egală cu sau mai mare de </w:t>
      </w:r>
      <w:r w:rsidRPr="00375DD4">
        <w:rPr>
          <w:noProof/>
        </w:rPr>
        <w:t>250</w:t>
      </w:r>
      <w:r>
        <w:rPr>
          <w:noProof/>
        </w:rPr>
        <w:t xml:space="preserve"> de milioane EUR – sau </w:t>
      </w:r>
      <w:r w:rsidRPr="00375DD4">
        <w:rPr>
          <w:noProof/>
        </w:rPr>
        <w:t>125</w:t>
      </w:r>
      <w:r>
        <w:rPr>
          <w:noProof/>
        </w:rPr>
        <w:t xml:space="preserve"> de milioane EUR pentru achizițiile publice împărțite în loturi, iar FFC-urile combinate ale părții ofertante și ale principalilor săi subcontractanți sau furnizori au fost de cel puțin </w:t>
      </w:r>
      <w:r w:rsidRPr="00375DD4">
        <w:rPr>
          <w:noProof/>
        </w:rPr>
        <w:t>4</w:t>
      </w:r>
      <w:r>
        <w:rPr>
          <w:noProof/>
        </w:rPr>
        <w:t xml:space="preserve"> milioane EUR în cei trei ani anteriori notificării. În cazurile în care părțile la achizițiile publice se situează sub pragul de </w:t>
      </w:r>
      <w:r w:rsidRPr="00375DD4">
        <w:rPr>
          <w:noProof/>
        </w:rPr>
        <w:t>4</w:t>
      </w:r>
      <w:r w:rsidR="00375DD4">
        <w:rPr>
          <w:noProof/>
        </w:rPr>
        <w:t> </w:t>
      </w:r>
      <w:r>
        <w:rPr>
          <w:noProof/>
        </w:rPr>
        <w:t>milioane</w:t>
      </w:r>
      <w:r w:rsidR="00375DD4">
        <w:rPr>
          <w:noProof/>
        </w:rPr>
        <w:t> </w:t>
      </w:r>
      <w:r>
        <w:rPr>
          <w:noProof/>
        </w:rPr>
        <w:t xml:space="preserve">EUR pentru FFC, părțile trebuie să depună în continuare o declarație. </w:t>
      </w:r>
    </w:p>
    <w:p w14:paraId="07DED506" w14:textId="77777777" w:rsidR="00844DF3" w:rsidRPr="00FF3139" w:rsidRDefault="00844DF3" w:rsidP="00844DF3">
      <w:pPr>
        <w:pStyle w:val="ListParagraph"/>
        <w:rPr>
          <w:noProof/>
        </w:rPr>
      </w:pPr>
    </w:p>
    <w:p w14:paraId="3BAE2D6A" w14:textId="2337E078" w:rsidR="00612B69" w:rsidRPr="00612B69" w:rsidRDefault="00A92806" w:rsidP="00C044DE">
      <w:pPr>
        <w:pStyle w:val="ListParagraph"/>
        <w:numPr>
          <w:ilvl w:val="0"/>
          <w:numId w:val="40"/>
        </w:numPr>
        <w:rPr>
          <w:noProof/>
        </w:rPr>
      </w:pPr>
      <w:r w:rsidRPr="00375DD4">
        <w:rPr>
          <w:b/>
          <w:noProof/>
        </w:rPr>
        <w:t>o</w:t>
      </w:r>
      <w:r w:rsidR="00612B69" w:rsidRPr="00375DD4">
        <w:rPr>
          <w:b/>
          <w:noProof/>
        </w:rPr>
        <w:t xml:space="preserve"> procedură din oficiu </w:t>
      </w:r>
      <w:r w:rsidR="00612B69">
        <w:rPr>
          <w:noProof/>
        </w:rPr>
        <w:t>pentru investigarea tuturor celorlalte situații de pe piață, în cadrul căreia Comisia poate începe o investigație din proprie inițiativă.</w:t>
      </w:r>
    </w:p>
    <w:p w14:paraId="6FE8BC64" w14:textId="2DDBFE0E" w:rsidR="007C343C" w:rsidRDefault="00612B69" w:rsidP="003D5FF1">
      <w:pPr>
        <w:rPr>
          <w:noProof/>
        </w:rPr>
      </w:pPr>
      <w:r>
        <w:rPr>
          <w:noProof/>
        </w:rPr>
        <w:t xml:space="preserve">În general, analiza punerii în aplicare timpurii a Regulamentului (UE) </w:t>
      </w:r>
      <w:r w:rsidRPr="00375DD4">
        <w:rPr>
          <w:noProof/>
        </w:rPr>
        <w:t>2022</w:t>
      </w:r>
      <w:r>
        <w:rPr>
          <w:noProof/>
        </w:rPr>
        <w:t>/</w:t>
      </w:r>
      <w:r w:rsidRPr="00375DD4">
        <w:rPr>
          <w:noProof/>
        </w:rPr>
        <w:t>2560</w:t>
      </w:r>
      <w:r>
        <w:rPr>
          <w:noProof/>
        </w:rPr>
        <w:t xml:space="preserve"> arată că instrumentul este adecvat scopului și funcționează bine în practică. Regulamentul este recunoscut ca fiind un instrument eficace care abordează lacunele în materie de reglementare care existau înainte de adoptarea sa. În plus, obiectivul de a asigura condiții de concurență echitabile pe piața internă este considerat legitim și proporțional. Asigurarea respectării Regulamentului (UE) </w:t>
      </w:r>
      <w:r w:rsidRPr="00375DD4">
        <w:rPr>
          <w:noProof/>
        </w:rPr>
        <w:t>2022</w:t>
      </w:r>
      <w:r>
        <w:rPr>
          <w:noProof/>
        </w:rPr>
        <w:t>/</w:t>
      </w:r>
      <w:r w:rsidRPr="00375DD4">
        <w:rPr>
          <w:noProof/>
        </w:rPr>
        <w:t>2560</w:t>
      </w:r>
      <w:r>
        <w:rPr>
          <w:noProof/>
        </w:rPr>
        <w:t xml:space="preserve"> a progresat constant de la începutul aplicării sale, Comisia dobândind o experiență valoroasă în aplicarea dispozițiilor sale de fond și procedurale. </w:t>
      </w:r>
    </w:p>
    <w:p w14:paraId="1EC77DB5" w14:textId="6249C2EB" w:rsidR="00AA34DB" w:rsidRPr="00375DD4" w:rsidRDefault="001E7AE9" w:rsidP="00DF75D3">
      <w:pPr>
        <w:pStyle w:val="Heading3"/>
        <w:ind w:left="851" w:hanging="851"/>
        <w:rPr>
          <w:noProof/>
        </w:rPr>
      </w:pPr>
      <w:r w:rsidRPr="00375DD4">
        <w:rPr>
          <w:noProof/>
        </w:rPr>
        <w:t>Investigații din oficiu în temeiul Regulamentului (UE) 2022/2560</w:t>
      </w:r>
    </w:p>
    <w:p w14:paraId="5A9D4BF0" w14:textId="35FCFB94" w:rsidR="00AA34DB" w:rsidRPr="00AA34DB" w:rsidRDefault="00AA34DB" w:rsidP="00AA34DB">
      <w:pPr>
        <w:pStyle w:val="Heading4"/>
        <w:rPr>
          <w:noProof/>
        </w:rPr>
      </w:pPr>
      <w:r>
        <w:rPr>
          <w:noProof/>
        </w:rPr>
        <w:t>Informații privind cazurile</w:t>
      </w:r>
    </w:p>
    <w:p w14:paraId="0DEDCD3A" w14:textId="11E25AC7" w:rsidR="002E0EA9" w:rsidRDefault="001F27EB" w:rsidP="002E0EA9">
      <w:pPr>
        <w:rPr>
          <w:noProof/>
        </w:rPr>
      </w:pPr>
      <w:r>
        <w:rPr>
          <w:noProof/>
        </w:rPr>
        <w:t>Comisia evaluează în permanență dacă există suficiente dovezi pentru a justifica lansarea unei investigații din oficiu, pe baza propriei analize, a informațiilor primite de la părțile interesate și a investigațiilor privind informațiile referitoare la piață, după caz.</w:t>
      </w:r>
    </w:p>
    <w:p w14:paraId="60508C54" w14:textId="6A44A060" w:rsidR="00271974" w:rsidRDefault="00271974" w:rsidP="004A1922">
      <w:pPr>
        <w:rPr>
          <w:noProof/>
        </w:rPr>
      </w:pPr>
      <w:r>
        <w:rPr>
          <w:noProof/>
        </w:rPr>
        <w:t>În două cazuri, la momentul publicării, Comisia a deschis investigații aprofundate, în temeiul articolului </w:t>
      </w:r>
      <w:r w:rsidRPr="00375DD4">
        <w:rPr>
          <w:noProof/>
        </w:rPr>
        <w:t>10</w:t>
      </w:r>
      <w:r>
        <w:rPr>
          <w:noProof/>
        </w:rPr>
        <w:t xml:space="preserve"> alineatul (</w:t>
      </w:r>
      <w:r w:rsidRPr="00375DD4">
        <w:rPr>
          <w:noProof/>
        </w:rPr>
        <w:t>3</w:t>
      </w:r>
      <w:r>
        <w:rPr>
          <w:noProof/>
        </w:rPr>
        <w:t xml:space="preserve">) din Regulamentul (UE) </w:t>
      </w:r>
      <w:r w:rsidRPr="00375DD4">
        <w:rPr>
          <w:noProof/>
        </w:rPr>
        <w:t>2022</w:t>
      </w:r>
      <w:r>
        <w:rPr>
          <w:noProof/>
        </w:rPr>
        <w:t>/</w:t>
      </w:r>
      <w:r w:rsidRPr="00375DD4">
        <w:rPr>
          <w:noProof/>
        </w:rPr>
        <w:t>2560</w:t>
      </w:r>
      <w:r>
        <w:rPr>
          <w:noProof/>
        </w:rPr>
        <w:t>:</w:t>
      </w:r>
    </w:p>
    <w:p w14:paraId="0D458B51" w14:textId="3281C827" w:rsidR="001418A3" w:rsidRDefault="00271974" w:rsidP="009B6EE9">
      <w:pPr>
        <w:pStyle w:val="ListParagraph"/>
        <w:numPr>
          <w:ilvl w:val="0"/>
          <w:numId w:val="58"/>
        </w:numPr>
        <w:rPr>
          <w:noProof/>
        </w:rPr>
      </w:pPr>
      <w:bookmarkStart w:id="7" w:name="_Ref227151708"/>
      <w:r w:rsidRPr="00375DD4">
        <w:rPr>
          <w:b/>
          <w:noProof/>
        </w:rPr>
        <w:t xml:space="preserve">cazul FS.100068 </w:t>
      </w:r>
      <w:r>
        <w:rPr>
          <w:noProof/>
        </w:rPr>
        <w:t>–</w:t>
      </w:r>
      <w:r w:rsidRPr="00375DD4">
        <w:rPr>
          <w:b/>
          <w:noProof/>
        </w:rPr>
        <w:t xml:space="preserve"> </w:t>
      </w:r>
      <w:bookmarkEnd w:id="7"/>
      <w:r w:rsidRPr="00375DD4">
        <w:rPr>
          <w:b/>
          <w:noProof/>
        </w:rPr>
        <w:t>Nuctech</w:t>
      </w:r>
      <w:r>
        <w:rPr>
          <w:noProof/>
        </w:rPr>
        <w:t xml:space="preserve"> – la </w:t>
      </w:r>
      <w:r w:rsidRPr="00375DD4">
        <w:rPr>
          <w:noProof/>
        </w:rPr>
        <w:t>11</w:t>
      </w:r>
      <w:r>
        <w:rPr>
          <w:noProof/>
        </w:rPr>
        <w:t xml:space="preserve"> decembrie </w:t>
      </w:r>
      <w:r w:rsidRPr="00375DD4">
        <w:rPr>
          <w:noProof/>
        </w:rPr>
        <w:t>2025</w:t>
      </w:r>
      <w:r>
        <w:rPr>
          <w:noProof/>
        </w:rPr>
        <w:t>, Comisia a deschis o investigație aprofundată pentru a evalua dacă activitățile Nuctech în producția și vânzarea de sisteme de detectare a amenințărilor și furnizarea de servicii conexe în Uniune au beneficiat de subvenții străine care ar putea denatura piața internă. Posibilele subvenții străine iau forma unor granturi și a unor măsuri fiscale și finanțări preferențiale, ceea ce este posibil să fi îmbunătățit poziția competitivă a Nuctech pe piața internă și să fi afectat în mod negativ concurența (</w:t>
      </w:r>
      <w:r>
        <w:rPr>
          <w:rStyle w:val="FootnoteReference"/>
          <w:noProof/>
        </w:rPr>
        <w:footnoteReference w:id="12"/>
      </w:r>
      <w:r>
        <w:rPr>
          <w:noProof/>
        </w:rPr>
        <w:t xml:space="preserve">). Cazul a fost inițiat în aprilie </w:t>
      </w:r>
      <w:r w:rsidRPr="00375DD4">
        <w:rPr>
          <w:noProof/>
        </w:rPr>
        <w:t>2024</w:t>
      </w:r>
      <w:r>
        <w:rPr>
          <w:noProof/>
        </w:rPr>
        <w:t xml:space="preserve"> prin adoptarea unei decizii prin care se solicita întreprinderii Nuctech să se supună inspecțiilor în temeiul articolului </w:t>
      </w:r>
      <w:r w:rsidRPr="00375DD4">
        <w:rPr>
          <w:noProof/>
        </w:rPr>
        <w:t>14</w:t>
      </w:r>
      <w:r>
        <w:rPr>
          <w:noProof/>
        </w:rPr>
        <w:t xml:space="preserve"> alineatul (</w:t>
      </w:r>
      <w:r w:rsidRPr="00375DD4">
        <w:rPr>
          <w:noProof/>
        </w:rPr>
        <w:t>3</w:t>
      </w:r>
      <w:r>
        <w:rPr>
          <w:noProof/>
        </w:rPr>
        <w:t xml:space="preserve">) din Regulamentul (UE) </w:t>
      </w:r>
      <w:r w:rsidRPr="00375DD4">
        <w:rPr>
          <w:noProof/>
        </w:rPr>
        <w:t>2022</w:t>
      </w:r>
      <w:r>
        <w:rPr>
          <w:noProof/>
        </w:rPr>
        <w:t>/</w:t>
      </w:r>
      <w:r w:rsidRPr="00375DD4">
        <w:rPr>
          <w:noProof/>
        </w:rPr>
        <w:t>2560</w:t>
      </w:r>
      <w:r>
        <w:rPr>
          <w:noProof/>
        </w:rPr>
        <w:t xml:space="preserve"> („decizia de dispunere a inspecției”);</w:t>
      </w:r>
    </w:p>
    <w:p w14:paraId="3398DD5C" w14:textId="77777777" w:rsidR="00ED2CE0" w:rsidRPr="00750DE1" w:rsidRDefault="00ED2CE0" w:rsidP="00ED2CE0">
      <w:pPr>
        <w:pStyle w:val="ListParagraph"/>
        <w:rPr>
          <w:noProof/>
        </w:rPr>
      </w:pPr>
    </w:p>
    <w:p w14:paraId="432ACDDE" w14:textId="32371731" w:rsidR="00EF08F1" w:rsidRDefault="003B30D6" w:rsidP="009B6EE9">
      <w:pPr>
        <w:pStyle w:val="ListParagraph"/>
        <w:numPr>
          <w:ilvl w:val="0"/>
          <w:numId w:val="58"/>
        </w:numPr>
        <w:rPr>
          <w:noProof/>
        </w:rPr>
      </w:pPr>
      <w:bookmarkStart w:id="8" w:name="_Ref227151711"/>
      <w:r w:rsidRPr="00375DD4">
        <w:rPr>
          <w:b/>
          <w:noProof/>
        </w:rPr>
        <w:t xml:space="preserve">cazul FS.100143 </w:t>
      </w:r>
      <w:r>
        <w:rPr>
          <w:noProof/>
        </w:rPr>
        <w:t>–</w:t>
      </w:r>
      <w:r w:rsidRPr="00375DD4">
        <w:rPr>
          <w:b/>
          <w:noProof/>
        </w:rPr>
        <w:t xml:space="preserve"> </w:t>
      </w:r>
      <w:bookmarkEnd w:id="8"/>
      <w:r w:rsidRPr="00375DD4">
        <w:rPr>
          <w:b/>
          <w:noProof/>
        </w:rPr>
        <w:t>Goldwind</w:t>
      </w:r>
      <w:r>
        <w:rPr>
          <w:noProof/>
        </w:rPr>
        <w:t xml:space="preserve"> – la </w:t>
      </w:r>
      <w:r w:rsidRPr="00375DD4">
        <w:rPr>
          <w:noProof/>
        </w:rPr>
        <w:t>3</w:t>
      </w:r>
      <w:r>
        <w:rPr>
          <w:noProof/>
        </w:rPr>
        <w:t xml:space="preserve"> februarie </w:t>
      </w:r>
      <w:r w:rsidRPr="00375DD4">
        <w:rPr>
          <w:noProof/>
        </w:rPr>
        <w:t>2026</w:t>
      </w:r>
      <w:r>
        <w:rPr>
          <w:noProof/>
        </w:rPr>
        <w:t>, Comisia a deschis o investigație aprofundată pentru a evalua activitățile întreprinderii Goldwind în ceea ce privește producția și vânzarea de turbine eoliene și furnizarea de servicii conexe în UE. Posibilele subvenții străine includ granturi, măsuri fiscale preferențiale și finanțare preferențială sub formă de împrumuturi. Comisia are preocupări preliminare cu privire la posibilitatea ca aceste subvenții străine să fi îmbunătățit poziția concurențială a Goldwind pe piața internă și să afecteze în mod negativ concurența (</w:t>
      </w:r>
      <w:r>
        <w:rPr>
          <w:rStyle w:val="FootnoteReference"/>
          <w:noProof/>
        </w:rPr>
        <w:footnoteReference w:id="13"/>
      </w:r>
      <w:r>
        <w:rPr>
          <w:noProof/>
        </w:rPr>
        <w:t>).</w:t>
      </w:r>
    </w:p>
    <w:p w14:paraId="743371B2" w14:textId="7727059A" w:rsidR="00765FC1" w:rsidRPr="00375DD4" w:rsidRDefault="00D736CE" w:rsidP="00812A40">
      <w:pPr>
        <w:pStyle w:val="Heading4"/>
        <w:rPr>
          <w:i/>
          <w:noProof/>
        </w:rPr>
      </w:pPr>
      <w:r w:rsidRPr="00375DD4">
        <w:rPr>
          <w:i/>
          <w:noProof/>
        </w:rPr>
        <w:t>Analiză efectuată de instanțele Uniunii</w:t>
      </w:r>
    </w:p>
    <w:p w14:paraId="4F8CA537" w14:textId="0667F048" w:rsidR="00765FC1" w:rsidRDefault="00765FC1" w:rsidP="00765FC1">
      <w:pPr>
        <w:rPr>
          <w:noProof/>
        </w:rPr>
      </w:pPr>
      <w:r>
        <w:rPr>
          <w:noProof/>
        </w:rPr>
        <w:t>În contextul investigațiilor din oficiu, unele acte de investigare ale Comisiei au făcut obiectul controlului instanțelor Uniunii:</w:t>
      </w:r>
    </w:p>
    <w:p w14:paraId="0D42897E" w14:textId="3177BBF0" w:rsidR="00765FC1" w:rsidRDefault="004F0850" w:rsidP="00765FC1">
      <w:pPr>
        <w:pStyle w:val="ListParagraph"/>
        <w:numPr>
          <w:ilvl w:val="0"/>
          <w:numId w:val="59"/>
        </w:numPr>
        <w:rPr>
          <w:noProof/>
        </w:rPr>
      </w:pPr>
      <w:r w:rsidRPr="00375DD4">
        <w:rPr>
          <w:b/>
          <w:noProof/>
        </w:rPr>
        <w:t>cauza T-284/24 – Nuctech</w:t>
      </w:r>
      <w:r>
        <w:rPr>
          <w:noProof/>
        </w:rPr>
        <w:t xml:space="preserve"> – în mai </w:t>
      </w:r>
      <w:r w:rsidRPr="00375DD4">
        <w:rPr>
          <w:noProof/>
        </w:rPr>
        <w:t>2024</w:t>
      </w:r>
      <w:r>
        <w:rPr>
          <w:noProof/>
        </w:rPr>
        <w:t>, Nuctech a introdus o acțiune în anulare în fața Tribunalului, contestând decizia de inspecție a Comisiei (</w:t>
      </w:r>
      <w:r>
        <w:rPr>
          <w:rStyle w:val="FootnoteReference"/>
          <w:noProof/>
          <w:lang w:val="en-IE"/>
        </w:rPr>
        <w:footnoteReference w:id="14"/>
      </w:r>
      <w:r>
        <w:rPr>
          <w:noProof/>
        </w:rPr>
        <w:t>). În același timp, Nuctech a solicitat de asemenea măsuri provizorii, solicitând suspendarea deciziei de inspecție a Comisiei până la soluționarea procedurii principale (</w:t>
      </w:r>
      <w:r>
        <w:rPr>
          <w:rStyle w:val="FootnoteReference"/>
          <w:noProof/>
          <w:lang w:val="en-IE"/>
        </w:rPr>
        <w:footnoteReference w:id="15"/>
      </w:r>
      <w:r>
        <w:rPr>
          <w:noProof/>
        </w:rPr>
        <w:t xml:space="preserve">). În luna august </w:t>
      </w:r>
      <w:r w:rsidRPr="00375DD4">
        <w:rPr>
          <w:noProof/>
        </w:rPr>
        <w:t>2024</w:t>
      </w:r>
      <w:r>
        <w:rPr>
          <w:noProof/>
        </w:rPr>
        <w:t>, președintele Tribunalului a respins cererea de măsuri provizorii (</w:t>
      </w:r>
      <w:r>
        <w:rPr>
          <w:rStyle w:val="FootnoteReference"/>
          <w:noProof/>
          <w:lang w:val="en-IE"/>
        </w:rPr>
        <w:footnoteReference w:id="16"/>
      </w:r>
      <w:r>
        <w:rPr>
          <w:noProof/>
        </w:rPr>
        <w:t xml:space="preserve">), confirmată în consecință în recurs de vicepreședintele Tribunalului în luna martie </w:t>
      </w:r>
      <w:r w:rsidRPr="00375DD4">
        <w:rPr>
          <w:noProof/>
        </w:rPr>
        <w:t>2025</w:t>
      </w:r>
      <w:r>
        <w:rPr>
          <w:noProof/>
        </w:rPr>
        <w:t> (</w:t>
      </w:r>
      <w:r>
        <w:rPr>
          <w:rStyle w:val="FootnoteReference"/>
          <w:noProof/>
          <w:lang w:val="en-IE"/>
        </w:rPr>
        <w:footnoteReference w:id="17"/>
      </w:r>
      <w:r>
        <w:rPr>
          <w:noProof/>
        </w:rPr>
        <w:t>). La momentul publicării prezentului raport, procedurile referitoare la acțiunea în anulare a deciziei de inspecție rămân în așteptare în fața Tribunalului;</w:t>
      </w:r>
    </w:p>
    <w:p w14:paraId="2D093582" w14:textId="77777777" w:rsidR="00765FC1" w:rsidRPr="00FF3139" w:rsidRDefault="00765FC1" w:rsidP="00812A40">
      <w:pPr>
        <w:pStyle w:val="ListParagraph"/>
        <w:rPr>
          <w:noProof/>
        </w:rPr>
      </w:pPr>
    </w:p>
    <w:p w14:paraId="11AD55A6" w14:textId="0C50E17D" w:rsidR="00765FC1" w:rsidRPr="006E3E54" w:rsidRDefault="00A92806" w:rsidP="00812A40">
      <w:pPr>
        <w:pStyle w:val="ListParagraph"/>
        <w:numPr>
          <w:ilvl w:val="0"/>
          <w:numId w:val="59"/>
        </w:numPr>
        <w:rPr>
          <w:noProof/>
        </w:rPr>
      </w:pPr>
      <w:r w:rsidRPr="00375DD4">
        <w:rPr>
          <w:b/>
          <w:noProof/>
        </w:rPr>
        <w:t>c</w:t>
      </w:r>
      <w:r w:rsidR="00F115B8" w:rsidRPr="00375DD4">
        <w:rPr>
          <w:b/>
          <w:noProof/>
        </w:rPr>
        <w:t>auza T-335/26</w:t>
      </w:r>
      <w:r w:rsidR="00F115B8">
        <w:rPr>
          <w:noProof/>
        </w:rPr>
        <w:t xml:space="preserve"> – </w:t>
      </w:r>
      <w:r w:rsidR="00F115B8" w:rsidRPr="00375DD4">
        <w:rPr>
          <w:b/>
          <w:noProof/>
        </w:rPr>
        <w:t>Goldwind</w:t>
      </w:r>
      <w:r w:rsidR="00F115B8">
        <w:rPr>
          <w:noProof/>
        </w:rPr>
        <w:t xml:space="preserve"> – în mai </w:t>
      </w:r>
      <w:r w:rsidR="00F115B8" w:rsidRPr="00375DD4">
        <w:rPr>
          <w:noProof/>
        </w:rPr>
        <w:t>2026</w:t>
      </w:r>
      <w:r w:rsidR="00F115B8">
        <w:rPr>
          <w:noProof/>
        </w:rPr>
        <w:t>, Goldwind a introdus o acțiune în anulare în fața Tribunalului, contestând solicitarea de informații a Comisiei (</w:t>
      </w:r>
      <w:r w:rsidR="00F115B8">
        <w:rPr>
          <w:rStyle w:val="FootnoteReference"/>
          <w:noProof/>
          <w:lang w:val="en-IE"/>
        </w:rPr>
        <w:footnoteReference w:id="18"/>
      </w:r>
      <w:r w:rsidR="00F115B8">
        <w:rPr>
          <w:noProof/>
        </w:rPr>
        <w:t>), și a solicitat măsuri provizorii pentru suspendarea acesteia (</w:t>
      </w:r>
      <w:r w:rsidR="00F115B8">
        <w:rPr>
          <w:rStyle w:val="FootnoteReference"/>
          <w:noProof/>
          <w:lang w:val="en-IE"/>
        </w:rPr>
        <w:footnoteReference w:id="19"/>
      </w:r>
      <w:r w:rsidR="00F115B8">
        <w:rPr>
          <w:noProof/>
        </w:rPr>
        <w:t>). Solicitarea de informații a fost trimisă ca parte a investigației aprofundate privind activitățile Goldwind în sectorul energiei eoliene din UE în cazul FS.</w:t>
      </w:r>
      <w:r w:rsidR="00F115B8" w:rsidRPr="00375DD4">
        <w:rPr>
          <w:noProof/>
        </w:rPr>
        <w:t>100143</w:t>
      </w:r>
      <w:r w:rsidR="00F115B8">
        <w:rPr>
          <w:noProof/>
        </w:rPr>
        <w:t>. La momentul publicării, procedurile referitoare la cele două cereri rămân pendinte în fața Tribunalului.</w:t>
      </w:r>
    </w:p>
    <w:p w14:paraId="328D17AC" w14:textId="2B69A9B7" w:rsidR="00AA34DB" w:rsidRPr="006E3E54" w:rsidRDefault="00AA34DB" w:rsidP="00AA34DB">
      <w:pPr>
        <w:pStyle w:val="Heading4"/>
        <w:rPr>
          <w:noProof/>
        </w:rPr>
      </w:pPr>
      <w:r>
        <w:rPr>
          <w:noProof/>
        </w:rPr>
        <w:t>Rezultatele analizei</w:t>
      </w:r>
    </w:p>
    <w:p w14:paraId="25626DD9" w14:textId="77792B39" w:rsidR="00E01558" w:rsidRPr="006E3E54" w:rsidRDefault="001F06E9" w:rsidP="004A1922">
      <w:pPr>
        <w:rPr>
          <w:noProof/>
        </w:rPr>
      </w:pPr>
      <w:r>
        <w:rPr>
          <w:noProof/>
        </w:rPr>
        <w:t xml:space="preserve">Procedura din oficiu permite Comisiei să evalueze și să abordeze subvențiile străine care pot cauza denaturări și care afectează orice situație de piață și activitate economică de pe piața internă. Rezultatele analizei indică faptul că mecanismul de investigare din oficiu funcționează astfel cum s-a preconizat și că dispozițiile relevante oferă un cadru eficace pentru urmărirea obiectivului Regulamentului (UE) </w:t>
      </w:r>
      <w:r w:rsidRPr="00375DD4">
        <w:rPr>
          <w:noProof/>
        </w:rPr>
        <w:t>2022</w:t>
      </w:r>
      <w:r>
        <w:rPr>
          <w:noProof/>
        </w:rPr>
        <w:t>/</w:t>
      </w:r>
      <w:r w:rsidRPr="00375DD4">
        <w:rPr>
          <w:noProof/>
        </w:rPr>
        <w:t>2560</w:t>
      </w:r>
      <w:r>
        <w:rPr>
          <w:noProof/>
        </w:rPr>
        <w:t xml:space="preserve"> de a asigura condiții de concurență echitabile pe piața internă.</w:t>
      </w:r>
    </w:p>
    <w:p w14:paraId="22790CAB" w14:textId="614B0BA8" w:rsidR="00F9750E" w:rsidRPr="006E3E54" w:rsidRDefault="001F06E9">
      <w:pPr>
        <w:rPr>
          <w:noProof/>
        </w:rPr>
      </w:pPr>
      <w:r>
        <w:rPr>
          <w:noProof/>
        </w:rPr>
        <w:t xml:space="preserve">Deși investigațiile în curs nu aduc atingere rezultatelor acestora, Regulamentul (UE) </w:t>
      </w:r>
      <w:r w:rsidRPr="00375DD4">
        <w:rPr>
          <w:noProof/>
        </w:rPr>
        <w:t>2022</w:t>
      </w:r>
      <w:r>
        <w:rPr>
          <w:noProof/>
        </w:rPr>
        <w:t>/</w:t>
      </w:r>
      <w:r w:rsidRPr="00375DD4">
        <w:rPr>
          <w:noProof/>
        </w:rPr>
        <w:t>2560</w:t>
      </w:r>
      <w:r>
        <w:rPr>
          <w:noProof/>
        </w:rPr>
        <w:t xml:space="preserve"> a permis Comisiei să acționeze pe baza unor indicii suficiente privind subvențiile străine care denaturează piața internă. În absența Regulamentului (UE) </w:t>
      </w:r>
      <w:r w:rsidRPr="00375DD4">
        <w:rPr>
          <w:noProof/>
        </w:rPr>
        <w:t>2022</w:t>
      </w:r>
      <w:r>
        <w:rPr>
          <w:noProof/>
        </w:rPr>
        <w:t>/</w:t>
      </w:r>
      <w:r w:rsidRPr="00375DD4">
        <w:rPr>
          <w:noProof/>
        </w:rPr>
        <w:t>2560</w:t>
      </w:r>
      <w:r>
        <w:rPr>
          <w:noProof/>
        </w:rPr>
        <w:t xml:space="preserve">, Comisia nu ar fi fost în măsură să efectueze aceste investigații și să evalueze dacă denaturările de pe piața internă au fost cauzate de subvenții străine. Feedbackul primit de la părțile interesate indică o incertitudine în ceea ce privește durata investigațiilor din oficiu. Cu toate acestea, experiența inițială în materie de asigurare a respectării Regulamentului (UE) </w:t>
      </w:r>
      <w:r w:rsidRPr="00375DD4">
        <w:rPr>
          <w:noProof/>
        </w:rPr>
        <w:t>2022</w:t>
      </w:r>
      <w:r>
        <w:rPr>
          <w:noProof/>
        </w:rPr>
        <w:t>/</w:t>
      </w:r>
      <w:r w:rsidRPr="00375DD4">
        <w:rPr>
          <w:noProof/>
        </w:rPr>
        <w:t>2560</w:t>
      </w:r>
      <w:r>
        <w:rPr>
          <w:noProof/>
        </w:rPr>
        <w:t xml:space="preserve"> indică faptul că durata variază și durează mai mult, în special în cazurile în care întreprinderile care fac obiectul investigației au nevoie de mai mult timp pentru a furniza informațiile solicitate. În unele cazuri, calendarul este, de asemenea, afectat de acțiunile introduse în fața instanțelor UE. </w:t>
      </w:r>
    </w:p>
    <w:p w14:paraId="617F85A4" w14:textId="1B7D7271" w:rsidR="00CC58D4" w:rsidRPr="00375DD4" w:rsidRDefault="001E7AE9" w:rsidP="00812A40">
      <w:pPr>
        <w:pStyle w:val="Heading3"/>
        <w:ind w:left="851" w:hanging="851"/>
        <w:rPr>
          <w:noProof/>
        </w:rPr>
      </w:pPr>
      <w:bookmarkStart w:id="9" w:name="_Ref227930622"/>
      <w:bookmarkStart w:id="10" w:name="_Toc228901733"/>
      <w:r w:rsidRPr="00375DD4">
        <w:rPr>
          <w:noProof/>
        </w:rPr>
        <w:t>Notificarea concentrărilor în temeiul Regulamentului (UE) 2022/2560</w:t>
      </w:r>
      <w:bookmarkEnd w:id="9"/>
      <w:bookmarkEnd w:id="10"/>
    </w:p>
    <w:p w14:paraId="62284340" w14:textId="77777777" w:rsidR="00AA34DB" w:rsidRPr="006E3E54" w:rsidRDefault="00AA34DB" w:rsidP="00AA34DB">
      <w:pPr>
        <w:pStyle w:val="Heading4"/>
        <w:rPr>
          <w:noProof/>
        </w:rPr>
      </w:pPr>
      <w:r>
        <w:rPr>
          <w:noProof/>
        </w:rPr>
        <w:t>Informații privind cazurile</w:t>
      </w:r>
    </w:p>
    <w:p w14:paraId="671F3F0A" w14:textId="12D30665" w:rsidR="00DB55C7" w:rsidRPr="006E3E54" w:rsidRDefault="00DB55C7" w:rsidP="00DB55C7">
      <w:pPr>
        <w:rPr>
          <w:noProof/>
        </w:rPr>
      </w:pPr>
      <w:bookmarkStart w:id="11" w:name="_Hlk229046427"/>
      <w:r>
        <w:rPr>
          <w:noProof/>
        </w:rPr>
        <w:t xml:space="preserve">Obligația de notificare </w:t>
      </w:r>
      <w:r w:rsidRPr="00375DD4">
        <w:rPr>
          <w:i/>
          <w:iCs/>
          <w:noProof/>
        </w:rPr>
        <w:t>ex ante</w:t>
      </w:r>
      <w:r>
        <w:rPr>
          <w:noProof/>
        </w:rPr>
        <w:t xml:space="preserve"> a concentrărilor a început la </w:t>
      </w:r>
      <w:r w:rsidRPr="00375DD4">
        <w:rPr>
          <w:noProof/>
        </w:rPr>
        <w:t>13</w:t>
      </w:r>
      <w:r>
        <w:rPr>
          <w:noProof/>
        </w:rPr>
        <w:t xml:space="preserve"> octombrie </w:t>
      </w:r>
      <w:r w:rsidRPr="00375DD4">
        <w:rPr>
          <w:noProof/>
        </w:rPr>
        <w:t>2023</w:t>
      </w:r>
      <w:r>
        <w:rPr>
          <w:noProof/>
        </w:rPr>
        <w:t xml:space="preserve"> și, până la </w:t>
      </w:r>
      <w:r w:rsidRPr="00375DD4">
        <w:rPr>
          <w:noProof/>
        </w:rPr>
        <w:t>31</w:t>
      </w:r>
      <w:r>
        <w:rPr>
          <w:noProof/>
        </w:rPr>
        <w:t xml:space="preserve"> mai </w:t>
      </w:r>
      <w:r w:rsidRPr="00375DD4">
        <w:rPr>
          <w:noProof/>
        </w:rPr>
        <w:t>2026</w:t>
      </w:r>
      <w:r>
        <w:rPr>
          <w:noProof/>
        </w:rPr>
        <w:t xml:space="preserve">, Comisia primise </w:t>
      </w:r>
      <w:r w:rsidRPr="00375DD4">
        <w:rPr>
          <w:noProof/>
        </w:rPr>
        <w:t>273</w:t>
      </w:r>
      <w:r>
        <w:rPr>
          <w:noProof/>
        </w:rPr>
        <w:t xml:space="preserve"> de notificări oficiale</w:t>
      </w:r>
      <w:bookmarkEnd w:id="11"/>
      <w:r>
        <w:rPr>
          <w:noProof/>
        </w:rPr>
        <w:t xml:space="preserve">. Dintre aceste cazuri, </w:t>
      </w:r>
      <w:r w:rsidRPr="00375DD4">
        <w:rPr>
          <w:noProof/>
        </w:rPr>
        <w:t>247</w:t>
      </w:r>
      <w:r>
        <w:rPr>
          <w:noProof/>
        </w:rPr>
        <w:t xml:space="preserve"> au fost închise după analiza preliminară, patru cazuri au fost retrase în etapa de analiză preliminară, iar pentru </w:t>
      </w:r>
      <w:r w:rsidRPr="00375DD4">
        <w:rPr>
          <w:noProof/>
        </w:rPr>
        <w:t>19</w:t>
      </w:r>
      <w:r>
        <w:rPr>
          <w:noProof/>
        </w:rPr>
        <w:t xml:space="preserve"> cazuri, analiza preliminară era încă în desfășurare.</w:t>
      </w:r>
    </w:p>
    <w:p w14:paraId="39BD4149" w14:textId="2249B209" w:rsidR="00BF5829" w:rsidRPr="006E3E54" w:rsidRDefault="001135DE" w:rsidP="004A1922">
      <w:pPr>
        <w:rPr>
          <w:noProof/>
        </w:rPr>
      </w:pPr>
      <w:r>
        <w:rPr>
          <w:noProof/>
        </w:rPr>
        <w:t xml:space="preserve">În trei cazuri, Comisia a inițiat investigații aprofundate: </w:t>
      </w:r>
    </w:p>
    <w:p w14:paraId="481EE63E" w14:textId="2C6E7438" w:rsidR="00280A2D" w:rsidRPr="006E3E54" w:rsidRDefault="000810BD" w:rsidP="00260174">
      <w:pPr>
        <w:pStyle w:val="ListParagraph"/>
        <w:numPr>
          <w:ilvl w:val="0"/>
          <w:numId w:val="45"/>
        </w:numPr>
        <w:rPr>
          <w:noProof/>
        </w:rPr>
      </w:pPr>
      <w:r w:rsidRPr="00375DD4">
        <w:rPr>
          <w:b/>
          <w:noProof/>
        </w:rPr>
        <w:t xml:space="preserve">cazul FS.100011 </w:t>
      </w:r>
      <w:r>
        <w:rPr>
          <w:noProof/>
        </w:rPr>
        <w:t>–</w:t>
      </w:r>
      <w:r w:rsidRPr="00375DD4">
        <w:rPr>
          <w:b/>
          <w:noProof/>
        </w:rPr>
        <w:t xml:space="preserve"> e&amp;/PPF Telecom</w:t>
      </w:r>
      <w:r>
        <w:rPr>
          <w:noProof/>
        </w:rPr>
        <w:t xml:space="preserve">: acest caz a implicat achiziționarea PPF Telecom Group (cu excepția activității sale din Cehia), un operator de telecomunicații din Cehia, Bulgaria, Ungaria, Serbia și Slovacia, de către Emirates Telecommunications Group (e&amp;), un operator cu sediul în Emiratele Arabe Unite. Comisia a identificat subvenții străine sub forma unei garanții de stat nelimitate, granturi și împrumuturi, despre care s-a constatat că </w:t>
      </w:r>
      <w:bookmarkStart w:id="12" w:name="_Hlk229051190"/>
      <w:r>
        <w:rPr>
          <w:noProof/>
        </w:rPr>
        <w:t>pot denatura concurența la nivelul entității rezultate în urma concentrării, după tranzacție. Pentru a răspunde acestor preocupări, părțile s-au angajat să elimine garanția de stat și să pună în aplicare obligații de separare a activităților întreprinderii e&amp; de activitățile UE ale întreprinderii-țintă</w:t>
      </w:r>
      <w:bookmarkEnd w:id="12"/>
      <w:r>
        <w:rPr>
          <w:noProof/>
        </w:rPr>
        <w:t>. Versiunea neconfidențială finală a deciziei privind angajamentele este publicată pe site-ul web DG COMP (</w:t>
      </w:r>
      <w:r>
        <w:rPr>
          <w:rStyle w:val="FootnoteReference"/>
          <w:noProof/>
          <w:lang w:val="en-IE"/>
        </w:rPr>
        <w:footnoteReference w:id="20"/>
      </w:r>
      <w:r>
        <w:rPr>
          <w:noProof/>
        </w:rPr>
        <w:t>);</w:t>
      </w:r>
    </w:p>
    <w:p w14:paraId="2AF83A31" w14:textId="77777777" w:rsidR="00ED2CE0" w:rsidRPr="006E3E54" w:rsidRDefault="00ED2CE0" w:rsidP="00ED2CE0">
      <w:pPr>
        <w:pStyle w:val="ListParagraph"/>
        <w:rPr>
          <w:noProof/>
          <w:lang w:val="en-IE"/>
        </w:rPr>
      </w:pPr>
    </w:p>
    <w:p w14:paraId="6489B80E" w14:textId="246D4018" w:rsidR="00FF144E" w:rsidRPr="006E3E54" w:rsidRDefault="002D2FF4" w:rsidP="00260174">
      <w:pPr>
        <w:pStyle w:val="ListParagraph"/>
        <w:numPr>
          <w:ilvl w:val="0"/>
          <w:numId w:val="45"/>
        </w:numPr>
        <w:rPr>
          <w:noProof/>
        </w:rPr>
      </w:pPr>
      <w:r w:rsidRPr="00375DD4">
        <w:rPr>
          <w:b/>
          <w:noProof/>
        </w:rPr>
        <w:t xml:space="preserve">cazul FS.100156 </w:t>
      </w:r>
      <w:r>
        <w:rPr>
          <w:noProof/>
        </w:rPr>
        <w:t>–</w:t>
      </w:r>
      <w:r w:rsidRPr="00375DD4">
        <w:rPr>
          <w:b/>
          <w:noProof/>
        </w:rPr>
        <w:t xml:space="preserve"> ADNOC/Covestro</w:t>
      </w:r>
      <w:r>
        <w:rPr>
          <w:noProof/>
        </w:rPr>
        <w:t>: acest caz a implicat achiziționarea Covestro, un producător german de produse chimice, de către Abu Dhabi National Oil Company (ADNOC). Comisia a constatat că subvențiile străine, inclusiv o garanție de stat nelimitată acordată ADNOC și o majorare de capital în favoarea Covestro, au creat denaturări atât în procesul de achiziție, cât și în activitățile ulterioare achiziției. Părțile s-au angajat să modifice statutul ADNOC pentru a elimina garanția de stat și pentru a acorda licențe participanților la piață pentru anumite brevete Covestro. O versiune neconfidențială provizorie a deciziei privind angajamentele este publicată pe site-ul web al DG COMP (</w:t>
      </w:r>
      <w:r>
        <w:rPr>
          <w:rStyle w:val="FootnoteReference"/>
          <w:noProof/>
          <w:lang w:val="en-IE"/>
        </w:rPr>
        <w:footnoteReference w:id="21"/>
      </w:r>
      <w:r>
        <w:rPr>
          <w:noProof/>
        </w:rPr>
        <w:t>);</w:t>
      </w:r>
    </w:p>
    <w:p w14:paraId="0DC97E47" w14:textId="77777777" w:rsidR="00C641F2" w:rsidRPr="006E3E54" w:rsidRDefault="00C641F2" w:rsidP="00812A40">
      <w:pPr>
        <w:pStyle w:val="ListParagraph"/>
        <w:rPr>
          <w:noProof/>
          <w:lang w:val="en-IE"/>
        </w:rPr>
      </w:pPr>
    </w:p>
    <w:p w14:paraId="4570A728" w14:textId="3D0424AB" w:rsidR="00C641F2" w:rsidRPr="002D2FF4" w:rsidRDefault="00B7733F" w:rsidP="00B7733F">
      <w:pPr>
        <w:pStyle w:val="ListParagraph"/>
        <w:numPr>
          <w:ilvl w:val="0"/>
          <w:numId w:val="45"/>
        </w:numPr>
        <w:rPr>
          <w:noProof/>
        </w:rPr>
      </w:pPr>
      <w:r w:rsidRPr="00375DD4">
        <w:rPr>
          <w:b/>
          <w:noProof/>
        </w:rPr>
        <w:t xml:space="preserve">FS.100253 </w:t>
      </w:r>
      <w:r>
        <w:rPr>
          <w:noProof/>
        </w:rPr>
        <w:t xml:space="preserve">– </w:t>
      </w:r>
      <w:r w:rsidRPr="00375DD4">
        <w:rPr>
          <w:b/>
          <w:noProof/>
        </w:rPr>
        <w:t>JD.COM/CECONOMY</w:t>
      </w:r>
      <w:r>
        <w:rPr>
          <w:noProof/>
        </w:rPr>
        <w:t xml:space="preserve">: acest caz implică achiziționarea CECONOMY AG, un comerciant cu amănuntul german specializat în domeniul produselor electronice de larg consum și al aparatelor electrocasnice, de către JD.com, o societate care aparține unui grup cu sediul în China care desfășoară o activitate de comerț cu amănuntul și o piață de comerț electronic online în China. În cursul investigației preliminare, Comisia a găsit suficiente indicii privind subvențiile străine care denaturează piața internă a UE și, la </w:t>
      </w:r>
      <w:r w:rsidRPr="00375DD4">
        <w:rPr>
          <w:noProof/>
        </w:rPr>
        <w:t>28</w:t>
      </w:r>
      <w:r>
        <w:rPr>
          <w:noProof/>
        </w:rPr>
        <w:t xml:space="preserve"> mai </w:t>
      </w:r>
      <w:r w:rsidRPr="00375DD4">
        <w:rPr>
          <w:noProof/>
        </w:rPr>
        <w:t>2026</w:t>
      </w:r>
      <w:r>
        <w:rPr>
          <w:noProof/>
        </w:rPr>
        <w:t xml:space="preserve">, a deschis o investigație aprofundată. La momentul publicării, investigația aprofundată era în desfășurare. </w:t>
      </w:r>
    </w:p>
    <w:p w14:paraId="7D60C8CE" w14:textId="62D6EAD6" w:rsidR="002D2FF4" w:rsidRDefault="00AA34DB" w:rsidP="002D2FF4">
      <w:pPr>
        <w:pStyle w:val="ContNumLevel2"/>
        <w:numPr>
          <w:ilvl w:val="1"/>
          <w:numId w:val="0"/>
        </w:numPr>
        <w:rPr>
          <w:noProof/>
        </w:rPr>
      </w:pPr>
      <w:r>
        <w:rPr>
          <w:noProof/>
        </w:rPr>
        <w:t>În cursul perioadei de analiză, Comisia nu și-a exercitat competențele în temeiul articolului </w:t>
      </w:r>
      <w:r w:rsidRPr="00375DD4">
        <w:rPr>
          <w:noProof/>
        </w:rPr>
        <w:t>21</w:t>
      </w:r>
      <w:r>
        <w:rPr>
          <w:noProof/>
        </w:rPr>
        <w:t xml:space="preserve"> alineatul (</w:t>
      </w:r>
      <w:r w:rsidRPr="00375DD4">
        <w:rPr>
          <w:noProof/>
        </w:rPr>
        <w:t>5</w:t>
      </w:r>
      <w:r>
        <w:rPr>
          <w:noProof/>
        </w:rPr>
        <w:t xml:space="preserve">) din Regulamentul (UE) </w:t>
      </w:r>
      <w:r w:rsidRPr="00375DD4">
        <w:rPr>
          <w:noProof/>
        </w:rPr>
        <w:t>2022</w:t>
      </w:r>
      <w:r>
        <w:rPr>
          <w:noProof/>
        </w:rPr>
        <w:t>/</w:t>
      </w:r>
      <w:r w:rsidRPr="00375DD4">
        <w:rPr>
          <w:noProof/>
        </w:rPr>
        <w:t>2560</w:t>
      </w:r>
      <w:r>
        <w:rPr>
          <w:noProof/>
        </w:rPr>
        <w:t xml:space="preserve"> pentru a revizui concentrări sub pragurile de competență.</w:t>
      </w:r>
    </w:p>
    <w:p w14:paraId="106F9C41" w14:textId="29ADF08C" w:rsidR="00AA34DB" w:rsidRDefault="00AA34DB" w:rsidP="00CA4F33">
      <w:pPr>
        <w:pStyle w:val="Heading4"/>
        <w:rPr>
          <w:noProof/>
        </w:rPr>
      </w:pPr>
      <w:r>
        <w:rPr>
          <w:noProof/>
        </w:rPr>
        <w:t>Rezultatele analizei</w:t>
      </w:r>
    </w:p>
    <w:p w14:paraId="0B7504BE" w14:textId="53FFB415" w:rsidR="00FE7E4B" w:rsidRDefault="001E7AE9" w:rsidP="001E7AE9">
      <w:pPr>
        <w:rPr>
          <w:noProof/>
        </w:rPr>
      </w:pPr>
      <w:bookmarkStart w:id="13" w:name="_Toc228901739"/>
      <w:bookmarkStart w:id="14" w:name="_Ref227930633"/>
      <w:r>
        <w:rPr>
          <w:noProof/>
        </w:rPr>
        <w:t xml:space="preserve">Experiența timpurie în ceea ce privește procedura de notificare în temeiul Regulamentului (UE) </w:t>
      </w:r>
      <w:r w:rsidRPr="00375DD4">
        <w:rPr>
          <w:noProof/>
        </w:rPr>
        <w:t>2022</w:t>
      </w:r>
      <w:r>
        <w:rPr>
          <w:noProof/>
        </w:rPr>
        <w:t>/</w:t>
      </w:r>
      <w:r w:rsidRPr="00375DD4">
        <w:rPr>
          <w:noProof/>
        </w:rPr>
        <w:t>2560</w:t>
      </w:r>
      <w:r>
        <w:rPr>
          <w:noProof/>
        </w:rPr>
        <w:t xml:space="preserve"> pentru concentrări arată că instrumentul este adecvat scopului. Principalele concluzii ale analizei sunt prezentate mai jos.</w:t>
      </w:r>
    </w:p>
    <w:p w14:paraId="484A02B2" w14:textId="0FA019EC" w:rsidR="00C45C70" w:rsidRDefault="001A1AD9" w:rsidP="0098583A">
      <w:pPr>
        <w:rPr>
          <w:noProof/>
        </w:rPr>
      </w:pPr>
      <w:r>
        <w:rPr>
          <w:noProof/>
        </w:rPr>
        <w:t xml:space="preserve">Numărul notificărilor (aproximativ </w:t>
      </w:r>
      <w:r w:rsidRPr="00375DD4">
        <w:rPr>
          <w:noProof/>
        </w:rPr>
        <w:t>100</w:t>
      </w:r>
      <w:r>
        <w:rPr>
          <w:noProof/>
        </w:rPr>
        <w:t xml:space="preserve"> pe an) a depășit previziunile inițiale ale Comisiei [</w:t>
      </w:r>
      <w:r w:rsidRPr="00375DD4">
        <w:rPr>
          <w:noProof/>
        </w:rPr>
        <w:t>30</w:t>
      </w:r>
      <w:r>
        <w:rPr>
          <w:noProof/>
        </w:rPr>
        <w:t>-</w:t>
      </w:r>
      <w:r w:rsidRPr="00375DD4">
        <w:rPr>
          <w:noProof/>
        </w:rPr>
        <w:t>40</w:t>
      </w:r>
      <w:r>
        <w:rPr>
          <w:noProof/>
        </w:rPr>
        <w:t xml:space="preserve"> pe an, astfel cum se estimează în evaluarea impactului care a însoțit propunerea de Regulament (UE) </w:t>
      </w:r>
      <w:r w:rsidRPr="00375DD4">
        <w:rPr>
          <w:noProof/>
        </w:rPr>
        <w:t>2022</w:t>
      </w:r>
      <w:r>
        <w:rPr>
          <w:noProof/>
        </w:rPr>
        <w:t>/</w:t>
      </w:r>
      <w:r w:rsidRPr="00375DD4">
        <w:rPr>
          <w:noProof/>
        </w:rPr>
        <w:t>2560</w:t>
      </w:r>
      <w:r>
        <w:rPr>
          <w:noProof/>
        </w:rPr>
        <w:t> (</w:t>
      </w:r>
      <w:r>
        <w:rPr>
          <w:rStyle w:val="FootnoteReference"/>
          <w:noProof/>
          <w:lang w:val="en-IE"/>
        </w:rPr>
        <w:footnoteReference w:id="22"/>
      </w:r>
      <w:r>
        <w:rPr>
          <w:noProof/>
        </w:rPr>
        <w:t xml:space="preserve">)]. Comisia a închis aproximativ </w:t>
      </w:r>
      <w:r w:rsidRPr="00375DD4">
        <w:rPr>
          <w:noProof/>
        </w:rPr>
        <w:t>97</w:t>
      </w:r>
      <w:r>
        <w:rPr>
          <w:noProof/>
        </w:rPr>
        <w:t> % din procedurile privind concentrările notificate după o analiză preliminară, fără a iniția o investigație aprofundată. Această cotă este în concordanță cu rezultatul cazurilor analizate și închise în etapa I în temeiul Regulamentului (CE) nr. </w:t>
      </w:r>
      <w:r w:rsidRPr="00375DD4">
        <w:rPr>
          <w:noProof/>
        </w:rPr>
        <w:t>139</w:t>
      </w:r>
      <w:r>
        <w:rPr>
          <w:noProof/>
        </w:rPr>
        <w:t>/</w:t>
      </w:r>
      <w:r w:rsidRPr="00375DD4">
        <w:rPr>
          <w:noProof/>
        </w:rPr>
        <w:t>2004</w:t>
      </w:r>
      <w:r>
        <w:rPr>
          <w:noProof/>
        </w:rPr>
        <w:t xml:space="preserve"> din </w:t>
      </w:r>
      <w:r w:rsidRPr="00375DD4">
        <w:rPr>
          <w:noProof/>
        </w:rPr>
        <w:t>20</w:t>
      </w:r>
      <w:r>
        <w:rPr>
          <w:noProof/>
        </w:rPr>
        <w:t xml:space="preserve"> ianuarie </w:t>
      </w:r>
      <w:r w:rsidRPr="00375DD4">
        <w:rPr>
          <w:noProof/>
        </w:rPr>
        <w:t>2004</w:t>
      </w:r>
      <w:r>
        <w:rPr>
          <w:noProof/>
        </w:rPr>
        <w:t xml:space="preserve"> privind controlul concentrărilor economice între întreprinderi (Regulamentul privind concentrările economice) (</w:t>
      </w:r>
      <w:r>
        <w:rPr>
          <w:rStyle w:val="FootnoteReference"/>
          <w:noProof/>
        </w:rPr>
        <w:footnoteReference w:id="23"/>
      </w:r>
      <w:r>
        <w:rPr>
          <w:noProof/>
        </w:rPr>
        <w:t>).</w:t>
      </w:r>
    </w:p>
    <w:p w14:paraId="6862698A" w14:textId="7226465B" w:rsidR="00804FA8" w:rsidRDefault="00233519" w:rsidP="0098583A">
      <w:pPr>
        <w:rPr>
          <w:noProof/>
        </w:rPr>
      </w:pPr>
      <w:r>
        <w:rPr>
          <w:noProof/>
        </w:rPr>
        <w:t xml:space="preserve">La momentul publicării, Comisia lansase trei investigații aprofundate cu privire la concentrări, dintre care două au fost aprobate condiționat după acceptarea angajamentelor părților care fac notificarea de a aborda potențialele denaturări ale pieței cauzate de subvențiile străine. Investigația aprofundată cu privire la o concentrare era încă în desfășurare. </w:t>
      </w:r>
    </w:p>
    <w:p w14:paraId="4E1C8770" w14:textId="2328BCE7" w:rsidR="0098583A" w:rsidRPr="00E309BF" w:rsidRDefault="00EC5F84" w:rsidP="0098583A">
      <w:pPr>
        <w:rPr>
          <w:noProof/>
        </w:rPr>
      </w:pPr>
      <w:r>
        <w:rPr>
          <w:noProof/>
        </w:rPr>
        <w:t xml:space="preserve">Regulamentul (UE) </w:t>
      </w:r>
      <w:r w:rsidRPr="00375DD4">
        <w:rPr>
          <w:noProof/>
        </w:rPr>
        <w:t>2022</w:t>
      </w:r>
      <w:r>
        <w:rPr>
          <w:noProof/>
        </w:rPr>
        <w:t>/</w:t>
      </w:r>
      <w:r w:rsidRPr="00375DD4">
        <w:rPr>
          <w:noProof/>
        </w:rPr>
        <w:t>2560</w:t>
      </w:r>
      <w:r>
        <w:rPr>
          <w:noProof/>
        </w:rPr>
        <w:t xml:space="preserve"> a permis Comisiei să examineze concentrările economice, să identifice dacă există subvenții străine în cadrul concentrărilor care ar putea cauza efectiv sau potențial denaturări pe piața internă și să le abordeze prin intermediul procesului de reglementare din Regulamentul (UE) </w:t>
      </w:r>
      <w:r w:rsidRPr="00375DD4">
        <w:rPr>
          <w:noProof/>
        </w:rPr>
        <w:t>2022</w:t>
      </w:r>
      <w:r>
        <w:rPr>
          <w:noProof/>
        </w:rPr>
        <w:t>/</w:t>
      </w:r>
      <w:r w:rsidRPr="00375DD4">
        <w:rPr>
          <w:noProof/>
        </w:rPr>
        <w:t>2560</w:t>
      </w:r>
      <w:r>
        <w:rPr>
          <w:noProof/>
        </w:rPr>
        <w:t xml:space="preserve">. Cele două cazuri finalizate cu angajamente ilustrează importanța Regulamentului (UE) </w:t>
      </w:r>
      <w:r w:rsidRPr="00375DD4">
        <w:rPr>
          <w:noProof/>
        </w:rPr>
        <w:t>2022</w:t>
      </w:r>
      <w:r>
        <w:rPr>
          <w:noProof/>
        </w:rPr>
        <w:t>/</w:t>
      </w:r>
      <w:r w:rsidRPr="00375DD4">
        <w:rPr>
          <w:noProof/>
        </w:rPr>
        <w:t>2560</w:t>
      </w:r>
      <w:r>
        <w:rPr>
          <w:noProof/>
        </w:rPr>
        <w:t xml:space="preserve"> în menținerea unor condiții de concurență echitabile și semnalează achizitorilor că, deși Uniunea rămâne deschisă investițiilor, astfel de investiții vor fi examinate din perspectiva prezenței subvențiilor străine pentru a se asigura că acestea nu denaturează piața internă.</w:t>
      </w:r>
    </w:p>
    <w:p w14:paraId="1A3DE47F" w14:textId="73345127" w:rsidR="001E7AE9" w:rsidRPr="0098583A" w:rsidRDefault="001E7AE9" w:rsidP="0098583A">
      <w:pPr>
        <w:rPr>
          <w:noProof/>
        </w:rPr>
      </w:pPr>
      <w:r>
        <w:rPr>
          <w:noProof/>
        </w:rPr>
        <w:t xml:space="preserve">Părțile interesate consideră că pragul cifrei de afaceri la nivelul UE este o măsură clară și adecvată pentru identificarea tranzacțiilor relevante. Acestea au salutat, de asemenea, abordarea Regulamentului (UE) </w:t>
      </w:r>
      <w:r w:rsidRPr="00375DD4">
        <w:rPr>
          <w:noProof/>
        </w:rPr>
        <w:t>2022</w:t>
      </w:r>
      <w:r>
        <w:rPr>
          <w:noProof/>
        </w:rPr>
        <w:t>/</w:t>
      </w:r>
      <w:r w:rsidRPr="00375DD4">
        <w:rPr>
          <w:noProof/>
        </w:rPr>
        <w:t>2560</w:t>
      </w:r>
      <w:r>
        <w:rPr>
          <w:noProof/>
        </w:rPr>
        <w:t xml:space="preserve"> în ceea ce privește societățile în comun, în care cifra de afaceri este calculată pe baza cifrei de afaceri a societății în comun în sine, mai degrabă decât pe baza cifrei de afaceri a societăților-mamă (</w:t>
      </w:r>
      <w:r>
        <w:rPr>
          <w:rStyle w:val="FootnoteReference"/>
          <w:noProof/>
          <w:lang w:val="en-IE"/>
        </w:rPr>
        <w:footnoteReference w:id="24"/>
      </w:r>
      <w:r>
        <w:rPr>
          <w:noProof/>
        </w:rPr>
        <w:t>) ale acesteia, ceea ce a condus la o reducere a tranzacțiilor care trebuie notificate în comparație cu Regulamentul privind concentrările economice.</w:t>
      </w:r>
    </w:p>
    <w:p w14:paraId="15505514" w14:textId="06AF4A2F" w:rsidR="001E7AE9" w:rsidRPr="00D1183D" w:rsidRDefault="001E7AE9" w:rsidP="001E7AE9">
      <w:pPr>
        <w:rPr>
          <w:noProof/>
        </w:rPr>
      </w:pPr>
      <w:r>
        <w:rPr>
          <w:noProof/>
        </w:rPr>
        <w:t xml:space="preserve">Punerea în aplicare timpurie evidențiază valoarea angajamentelor prealabile notificării cu echipele de caz ale Comisiei, pe care părțile care fac notificarea le utilizează și le sprijină pe scară largă. Părțile interesate au felicitat echipele de caz pentru capacitatea lor de reacție, îmbunătățind claritatea și eficiența procesului de notificare. Părțile interesate au salutat, de asemenea, excepțiile disponibile de la obligațiile de raportare în temeiul Regulamentului (UE) </w:t>
      </w:r>
      <w:r w:rsidRPr="00375DD4">
        <w:rPr>
          <w:noProof/>
        </w:rPr>
        <w:t>2023</w:t>
      </w:r>
      <w:r>
        <w:rPr>
          <w:noProof/>
        </w:rPr>
        <w:t>/</w:t>
      </w:r>
      <w:r w:rsidRPr="00375DD4">
        <w:rPr>
          <w:noProof/>
        </w:rPr>
        <w:t>1441</w:t>
      </w:r>
      <w:r>
        <w:rPr>
          <w:noProof/>
        </w:rPr>
        <w:t xml:space="preserve"> și posibilitatea de a solicita Comisiei derogări pentru anumite informații. </w:t>
      </w:r>
    </w:p>
    <w:p w14:paraId="45DC9B02" w14:textId="7F1506AA" w:rsidR="001E7AE9" w:rsidRDefault="001E7AE9" w:rsidP="001E7AE9">
      <w:pPr>
        <w:rPr>
          <w:noProof/>
        </w:rPr>
      </w:pPr>
      <w:r>
        <w:rPr>
          <w:noProof/>
        </w:rPr>
        <w:t>Rezultatele analizei evidențiază, de asemenea, două preocupări principale pentru părțile interesate. Prima se referă la colectarea de date FFC pe care întreprinderile trebuie să o efectueze înainte de o notificare, care este considerată de către părțile interesate ca fiind consumatoare de resurse și care cuprinde informații care, în opinia lor, ar putea să nu fie relevante pentru identificarea unui risc de denaturare. A doua preocupare se referă la o incertitudine percepută cu privire la competențele Comisiei de revizuire a tranzacțiilor, care este considerată ca fiind potențial perturbatoare pentru planificarea tranzacțiilor și evaluările riscurilor, în pofida obiectivului legitim al competenței de revizuire de a detecta concentrările sub pragul de competență ce ar putea implica subvenții străine cu efect de denaturare.</w:t>
      </w:r>
    </w:p>
    <w:p w14:paraId="57234A57" w14:textId="10E67889" w:rsidR="003B1B95" w:rsidRPr="00375DD4" w:rsidRDefault="001E7AE9" w:rsidP="00C31F8E">
      <w:pPr>
        <w:pStyle w:val="Heading3"/>
        <w:rPr>
          <w:noProof/>
        </w:rPr>
      </w:pPr>
      <w:r w:rsidRPr="00375DD4">
        <w:rPr>
          <w:noProof/>
        </w:rPr>
        <w:t>Depunerea de cereri în temeiul Regulamentului (UE) 2022/2560 în cadrul procedurilor de achiziții publice</w:t>
      </w:r>
      <w:bookmarkEnd w:id="13"/>
      <w:r w:rsidRPr="00375DD4">
        <w:rPr>
          <w:noProof/>
        </w:rPr>
        <w:t xml:space="preserve"> </w:t>
      </w:r>
      <w:bookmarkEnd w:id="14"/>
    </w:p>
    <w:p w14:paraId="3D8F50FC" w14:textId="77777777" w:rsidR="00AA34DB" w:rsidRPr="00AA34DB" w:rsidRDefault="00AA34DB" w:rsidP="00AA34DB">
      <w:pPr>
        <w:pStyle w:val="Heading4"/>
        <w:rPr>
          <w:noProof/>
        </w:rPr>
      </w:pPr>
      <w:r>
        <w:rPr>
          <w:noProof/>
        </w:rPr>
        <w:t>Informații privind cazurile</w:t>
      </w:r>
    </w:p>
    <w:p w14:paraId="70EE3ED2" w14:textId="394177E1" w:rsidR="002D2FF4" w:rsidRPr="002D2FF4" w:rsidRDefault="002D2FF4" w:rsidP="002D2FF4">
      <w:pPr>
        <w:rPr>
          <w:noProof/>
        </w:rPr>
      </w:pPr>
      <w:r>
        <w:rPr>
          <w:noProof/>
        </w:rPr>
        <w:t xml:space="preserve">În temeiul capitolului </w:t>
      </w:r>
      <w:r w:rsidRPr="00375DD4">
        <w:rPr>
          <w:noProof/>
        </w:rPr>
        <w:t>4</w:t>
      </w:r>
      <w:r>
        <w:rPr>
          <w:noProof/>
        </w:rPr>
        <w:t xml:space="preserve"> din Regulamentul (UE) </w:t>
      </w:r>
      <w:r w:rsidRPr="00375DD4">
        <w:rPr>
          <w:noProof/>
        </w:rPr>
        <w:t>2022</w:t>
      </w:r>
      <w:r>
        <w:rPr>
          <w:noProof/>
        </w:rPr>
        <w:t>/</w:t>
      </w:r>
      <w:r w:rsidRPr="00375DD4">
        <w:rPr>
          <w:noProof/>
        </w:rPr>
        <w:t>2560</w:t>
      </w:r>
      <w:r>
        <w:rPr>
          <w:noProof/>
        </w:rPr>
        <w:t xml:space="preserve">, operatorii economici au obligația de a notifica sau de a declara FFC atunci când participă la licitații publice de mari dimensiuni, în special în cazul în care valoarea estimată a contractului depășește </w:t>
      </w:r>
      <w:r w:rsidRPr="00375DD4">
        <w:rPr>
          <w:noProof/>
        </w:rPr>
        <w:t>250</w:t>
      </w:r>
      <w:r>
        <w:rPr>
          <w:noProof/>
        </w:rPr>
        <w:t xml:space="preserve"> de milioane EUR sau </w:t>
      </w:r>
      <w:r w:rsidRPr="00375DD4">
        <w:rPr>
          <w:noProof/>
        </w:rPr>
        <w:t>125</w:t>
      </w:r>
      <w:r>
        <w:rPr>
          <w:noProof/>
        </w:rPr>
        <w:t xml:space="preserve"> de milioane EUR pentru achizițiile publice împărțite în loturi, iar operatorul economic a primit FFC cumulate de cel puțin </w:t>
      </w:r>
      <w:r w:rsidRPr="00375DD4">
        <w:rPr>
          <w:noProof/>
        </w:rPr>
        <w:t>4</w:t>
      </w:r>
      <w:r>
        <w:rPr>
          <w:noProof/>
        </w:rPr>
        <w:t xml:space="preserve"> milioane EUR per țară terță în ultimii trei ani.</w:t>
      </w:r>
    </w:p>
    <w:p w14:paraId="3F00D601" w14:textId="2CA6150A" w:rsidR="00A14B88" w:rsidRPr="004A7774" w:rsidRDefault="002D2FF4" w:rsidP="00C31F8E">
      <w:pPr>
        <w:spacing w:after="240"/>
        <w:rPr>
          <w:noProof/>
          <w:color w:val="000000"/>
        </w:rPr>
      </w:pPr>
      <w:r>
        <w:rPr>
          <w:noProof/>
          <w:color w:val="000000"/>
        </w:rPr>
        <w:t xml:space="preserve">De la începutul obligației de notificare la </w:t>
      </w:r>
      <w:r w:rsidRPr="00375DD4">
        <w:rPr>
          <w:noProof/>
          <w:color w:val="000000"/>
        </w:rPr>
        <w:t>13</w:t>
      </w:r>
      <w:r>
        <w:rPr>
          <w:noProof/>
          <w:color w:val="000000"/>
        </w:rPr>
        <w:t xml:space="preserve"> octombrie </w:t>
      </w:r>
      <w:r w:rsidRPr="00375DD4">
        <w:rPr>
          <w:noProof/>
          <w:color w:val="000000"/>
        </w:rPr>
        <w:t>2023</w:t>
      </w:r>
      <w:r>
        <w:rPr>
          <w:noProof/>
          <w:color w:val="000000"/>
        </w:rPr>
        <w:t xml:space="preserve"> și până la </w:t>
      </w:r>
      <w:r w:rsidRPr="00375DD4">
        <w:rPr>
          <w:noProof/>
          <w:color w:val="000000"/>
        </w:rPr>
        <w:t>31</w:t>
      </w:r>
      <w:r>
        <w:rPr>
          <w:noProof/>
          <w:color w:val="000000"/>
        </w:rPr>
        <w:t xml:space="preserve"> mai </w:t>
      </w:r>
      <w:r w:rsidRPr="00375DD4">
        <w:rPr>
          <w:noProof/>
          <w:color w:val="000000"/>
        </w:rPr>
        <w:t>2026</w:t>
      </w:r>
      <w:r>
        <w:rPr>
          <w:noProof/>
          <w:color w:val="000000"/>
        </w:rPr>
        <w:t xml:space="preserve">, Comisia a primit </w:t>
      </w:r>
      <w:r w:rsidRPr="00375DD4">
        <w:rPr>
          <w:noProof/>
          <w:color w:val="000000"/>
        </w:rPr>
        <w:t>5</w:t>
      </w:r>
      <w:r>
        <w:rPr>
          <w:noProof/>
          <w:color w:val="000000"/>
        </w:rPr>
        <w:t> </w:t>
      </w:r>
      <w:r w:rsidRPr="00375DD4">
        <w:rPr>
          <w:noProof/>
          <w:color w:val="000000"/>
        </w:rPr>
        <w:t>150</w:t>
      </w:r>
      <w:r>
        <w:rPr>
          <w:noProof/>
          <w:color w:val="000000"/>
        </w:rPr>
        <w:t xml:space="preserve"> de contribuții din partea operatorilor economici în cadrul a </w:t>
      </w:r>
      <w:r w:rsidRPr="00375DD4">
        <w:rPr>
          <w:noProof/>
          <w:color w:val="000000"/>
        </w:rPr>
        <w:t>863</w:t>
      </w:r>
      <w:r>
        <w:rPr>
          <w:noProof/>
          <w:color w:val="000000"/>
        </w:rPr>
        <w:t xml:space="preserve"> de proceduri de achiziții publice, inclusiv </w:t>
      </w:r>
      <w:r w:rsidRPr="00375DD4">
        <w:rPr>
          <w:noProof/>
          <w:color w:val="000000"/>
        </w:rPr>
        <w:t>4</w:t>
      </w:r>
      <w:r>
        <w:rPr>
          <w:noProof/>
          <w:color w:val="000000"/>
        </w:rPr>
        <w:t> </w:t>
      </w:r>
      <w:r w:rsidRPr="00375DD4">
        <w:rPr>
          <w:noProof/>
          <w:color w:val="000000"/>
        </w:rPr>
        <w:t>293</w:t>
      </w:r>
      <w:r>
        <w:rPr>
          <w:noProof/>
          <w:color w:val="000000"/>
        </w:rPr>
        <w:t xml:space="preserve"> de declarații, </w:t>
      </w:r>
      <w:r w:rsidRPr="00375DD4">
        <w:rPr>
          <w:noProof/>
          <w:color w:val="000000"/>
        </w:rPr>
        <w:t>733</w:t>
      </w:r>
      <w:r>
        <w:rPr>
          <w:noProof/>
          <w:color w:val="000000"/>
        </w:rPr>
        <w:t xml:space="preserve"> de notificări și </w:t>
      </w:r>
      <w:r w:rsidRPr="00375DD4">
        <w:rPr>
          <w:noProof/>
          <w:color w:val="000000"/>
        </w:rPr>
        <w:t>124</w:t>
      </w:r>
      <w:r>
        <w:rPr>
          <w:noProof/>
          <w:color w:val="000000"/>
        </w:rPr>
        <w:t xml:space="preserve"> de notificări prealabile. Dintre aceste cazuri, Comisia a deschis patru investigații aprofundate, dintre care una a condus la o decizie finală privind angajamentele, în timp ce trei cazuri au fost închise în urma retragerii operatorilor economici din procedurile de achiziții publice: </w:t>
      </w:r>
    </w:p>
    <w:p w14:paraId="42C17C1B" w14:textId="1F182138" w:rsidR="002D2FF4" w:rsidRPr="002D2FF4" w:rsidRDefault="00C31F8E" w:rsidP="00260174">
      <w:pPr>
        <w:pStyle w:val="ListParagraph"/>
        <w:numPr>
          <w:ilvl w:val="0"/>
          <w:numId w:val="46"/>
        </w:numPr>
        <w:rPr>
          <w:rFonts w:eastAsiaTheme="minorEastAsia"/>
          <w:noProof/>
          <w:szCs w:val="24"/>
        </w:rPr>
      </w:pPr>
      <w:bookmarkStart w:id="15" w:name="_Toc228286485"/>
      <w:r w:rsidRPr="00375DD4">
        <w:rPr>
          <w:b/>
          <w:noProof/>
        </w:rPr>
        <w:t>cazul FSP.100147 – Furnizarea de material feroviar rulant în Bulgaria</w:t>
      </w:r>
      <w:bookmarkEnd w:id="15"/>
      <w:r>
        <w:rPr>
          <w:noProof/>
        </w:rPr>
        <w:t xml:space="preserve"> – Comisia a deschis o investigație aprofundată la </w:t>
      </w:r>
      <w:r w:rsidRPr="00375DD4">
        <w:rPr>
          <w:noProof/>
        </w:rPr>
        <w:t>16</w:t>
      </w:r>
      <w:r>
        <w:rPr>
          <w:noProof/>
        </w:rPr>
        <w:t xml:space="preserve"> februarie </w:t>
      </w:r>
      <w:r w:rsidRPr="00375DD4">
        <w:rPr>
          <w:noProof/>
        </w:rPr>
        <w:t>2024</w:t>
      </w:r>
      <w:r>
        <w:rPr>
          <w:noProof/>
        </w:rPr>
        <w:t xml:space="preserve"> pentru a evalua dacă CRRC Qingdao Sifang, care face parte din grupul CRRC, o întreprindere chineză deținută de stat, a primit subvenții străine care i-au permis să depună o ofertă anormal de avantajoasă pentru un proiect feroviar bulgar. La </w:t>
      </w:r>
      <w:r w:rsidRPr="00375DD4">
        <w:rPr>
          <w:noProof/>
        </w:rPr>
        <w:t>26</w:t>
      </w:r>
      <w:r>
        <w:rPr>
          <w:noProof/>
        </w:rPr>
        <w:t xml:space="preserve"> martie </w:t>
      </w:r>
      <w:r w:rsidRPr="00375DD4">
        <w:rPr>
          <w:noProof/>
        </w:rPr>
        <w:t>2024</w:t>
      </w:r>
      <w:r>
        <w:rPr>
          <w:noProof/>
        </w:rPr>
        <w:t>, cazul a fost închis fără adoptarea unei decizii finale în temeiul articolului </w:t>
      </w:r>
      <w:r w:rsidRPr="00375DD4">
        <w:rPr>
          <w:noProof/>
        </w:rPr>
        <w:t>31</w:t>
      </w:r>
      <w:r>
        <w:rPr>
          <w:noProof/>
        </w:rPr>
        <w:t xml:space="preserve"> din Regulamentul (UE) </w:t>
      </w:r>
      <w:r w:rsidRPr="00375DD4">
        <w:rPr>
          <w:noProof/>
        </w:rPr>
        <w:t>2022</w:t>
      </w:r>
      <w:r>
        <w:rPr>
          <w:noProof/>
        </w:rPr>
        <w:t>/</w:t>
      </w:r>
      <w:r w:rsidRPr="00375DD4">
        <w:rPr>
          <w:noProof/>
        </w:rPr>
        <w:t>2560</w:t>
      </w:r>
      <w:r>
        <w:rPr>
          <w:noProof/>
        </w:rPr>
        <w:t>, după ce operatorul economic s-a retras din procedura de achiziții publice;</w:t>
      </w:r>
    </w:p>
    <w:p w14:paraId="7F6F869D" w14:textId="13C2E98F" w:rsidR="002D2FF4" w:rsidRPr="002D2FF4" w:rsidRDefault="002D2FF4" w:rsidP="002D2FF4">
      <w:pPr>
        <w:pStyle w:val="ListParagraph"/>
        <w:rPr>
          <w:rFonts w:eastAsiaTheme="minorEastAsia"/>
          <w:noProof/>
          <w:lang w:eastAsia="en-IE"/>
        </w:rPr>
      </w:pPr>
    </w:p>
    <w:p w14:paraId="36AECFEF" w14:textId="2D993C84" w:rsidR="00C31F8E" w:rsidRPr="00576CBB" w:rsidRDefault="00C31F8E" w:rsidP="00260174">
      <w:pPr>
        <w:pStyle w:val="ListParagraph"/>
        <w:numPr>
          <w:ilvl w:val="0"/>
          <w:numId w:val="46"/>
        </w:numPr>
        <w:rPr>
          <w:rFonts w:eastAsiaTheme="minorEastAsia"/>
          <w:noProof/>
          <w:szCs w:val="24"/>
        </w:rPr>
      </w:pPr>
      <w:bookmarkStart w:id="16" w:name="_Ref227310450"/>
      <w:bookmarkStart w:id="17" w:name="_Toc228286486"/>
      <w:r w:rsidRPr="00375DD4">
        <w:rPr>
          <w:b/>
          <w:noProof/>
        </w:rPr>
        <w:t xml:space="preserve">cazurile FSP.100151 și FSP.100154 – </w:t>
      </w:r>
      <w:bookmarkEnd w:id="16"/>
      <w:r w:rsidRPr="00375DD4">
        <w:rPr>
          <w:b/>
          <w:noProof/>
        </w:rPr>
        <w:t>Proiectarea, construirea și exploatarea unui parc fotovoltaic în România</w:t>
      </w:r>
      <w:bookmarkEnd w:id="17"/>
      <w:r w:rsidRPr="00375DD4">
        <w:rPr>
          <w:b/>
          <w:noProof/>
        </w:rPr>
        <w:t xml:space="preserve"> </w:t>
      </w:r>
      <w:r>
        <w:rPr>
          <w:noProof/>
        </w:rPr>
        <w:t xml:space="preserve">– Comisia a deschis două investigații aprofundate la </w:t>
      </w:r>
      <w:r w:rsidRPr="00375DD4">
        <w:rPr>
          <w:noProof/>
        </w:rPr>
        <w:t>3</w:t>
      </w:r>
      <w:r>
        <w:rPr>
          <w:noProof/>
        </w:rPr>
        <w:t xml:space="preserve"> aprilie </w:t>
      </w:r>
      <w:r w:rsidRPr="00375DD4">
        <w:rPr>
          <w:noProof/>
        </w:rPr>
        <w:t>2025</w:t>
      </w:r>
      <w:r>
        <w:rPr>
          <w:noProof/>
        </w:rPr>
        <w:t xml:space="preserve"> pentru a evalua dacă (i) Shanghai Electric UK Ltd. și Shanghai Electric Hong Kong International Engineering Company și (ii) ENEVO Group – LONGi Solar Technologie Consortium au primit subvenții care pot cauza denaturări în cadrul procedurii deschise de achiziții publice pentru proiectarea, construirea și exploatarea unui parc fotovoltaic în România. La </w:t>
      </w:r>
      <w:r w:rsidRPr="00375DD4">
        <w:rPr>
          <w:noProof/>
        </w:rPr>
        <w:t>7</w:t>
      </w:r>
      <w:r>
        <w:rPr>
          <w:noProof/>
        </w:rPr>
        <w:t xml:space="preserve"> iunie </w:t>
      </w:r>
      <w:r w:rsidRPr="00375DD4">
        <w:rPr>
          <w:noProof/>
        </w:rPr>
        <w:t>2024</w:t>
      </w:r>
      <w:r>
        <w:rPr>
          <w:noProof/>
        </w:rPr>
        <w:t>, ambele cazuri au fost închise fără a se adopta o decizie finală în temeiul articolului </w:t>
      </w:r>
      <w:r w:rsidRPr="00375DD4">
        <w:rPr>
          <w:noProof/>
        </w:rPr>
        <w:t>31</w:t>
      </w:r>
      <w:r>
        <w:rPr>
          <w:noProof/>
        </w:rPr>
        <w:t xml:space="preserve"> din Regulamentul (UE) </w:t>
      </w:r>
      <w:r w:rsidRPr="00375DD4">
        <w:rPr>
          <w:noProof/>
        </w:rPr>
        <w:t>2022</w:t>
      </w:r>
      <w:r>
        <w:rPr>
          <w:noProof/>
        </w:rPr>
        <w:t>/</w:t>
      </w:r>
      <w:r w:rsidRPr="00375DD4">
        <w:rPr>
          <w:noProof/>
        </w:rPr>
        <w:t>2560</w:t>
      </w:r>
      <w:r>
        <w:rPr>
          <w:noProof/>
        </w:rPr>
        <w:t xml:space="preserve"> în urma retragerii operatorilor economici din procedura de achiziții publice; </w:t>
      </w:r>
    </w:p>
    <w:p w14:paraId="7F3DBCEF" w14:textId="7DF59408" w:rsidR="00C31F8E" w:rsidRPr="006E3E54" w:rsidRDefault="00C31F8E" w:rsidP="00260174">
      <w:pPr>
        <w:pStyle w:val="Text1"/>
        <w:numPr>
          <w:ilvl w:val="0"/>
          <w:numId w:val="46"/>
        </w:numPr>
        <w:rPr>
          <w:rFonts w:eastAsiaTheme="minorEastAsia"/>
          <w:noProof/>
          <w:szCs w:val="24"/>
        </w:rPr>
      </w:pPr>
      <w:bookmarkStart w:id="18" w:name="_Toc228286487"/>
      <w:r w:rsidRPr="00375DD4">
        <w:rPr>
          <w:b/>
          <w:noProof/>
        </w:rPr>
        <w:t>cazul FSP.103117 – Proiectare și construcție, achiziționare de vehicule și servicii de întreținere a liniei Violet a metroului din Lisabona în Portugalia</w:t>
      </w:r>
      <w:bookmarkEnd w:id="18"/>
      <w:r>
        <w:rPr>
          <w:noProof/>
        </w:rPr>
        <w:t xml:space="preserve"> – Licitația consorțiului condus de Mota-Engil Engenharia e Construção, S.A. („Mota-Engil”) a fost autorizată condiționat la </w:t>
      </w:r>
      <w:r w:rsidRPr="00375DD4">
        <w:rPr>
          <w:noProof/>
        </w:rPr>
        <w:t>21</w:t>
      </w:r>
      <w:r>
        <w:rPr>
          <w:noProof/>
        </w:rPr>
        <w:t xml:space="preserve"> aprilie </w:t>
      </w:r>
      <w:r w:rsidRPr="00375DD4">
        <w:rPr>
          <w:noProof/>
        </w:rPr>
        <w:t>2026</w:t>
      </w:r>
      <w:r>
        <w:rPr>
          <w:noProof/>
        </w:rPr>
        <w:t>. Procedura a vizat procedura deschisă de achiziții publice pentru „Proiectarea și construcția, achiziționarea de vehicule și servicii de întreținere pentru linia Violet a metroului din Lisabona”, care urma să fie atribuită de Metropolitano de Lisboa, E.P.E. Oferta depusă de Mota-Engil s-a bazat pe Portugal CRRC, o întreprindere care aparține grupului CRRC, în calitate de subcontractant principal pentru furnizarea de material rulant și servicii conexe. Comisia a găsit dovezi ale prezenței subvențiilor străine sub formă de granturi guvernamentale, măsuri fiscale și compensații din contracte de achiziții publice care depășesc cifra de afaceri care ar fi fost realizată în cadrul unei proceduri competitive, transparente și nediscriminatorii; aceste subvenții străine au permis întreprinderii Portugal CRRC să prezinte o ofertă avantajoasă consorțiului condus de Mota-Engil și, ulterior, au permis consorțiului să prezinte o ofertă anormal de avantajoasă, denaturând astfel concurența în cadrul procedurii de achiziții publice. Pentru a răspunde acestor preocupări, Mota-Engil s-a angajat să înlocuiască Portugal CRRC cu Polish Pojazdy Szynowe PESA Bydgoszcz Spółka Akcyjna („PESA”) din Polonia pe întreaga durată a perioadei de executare a contractului. La momentul publicării, versiunea neconfidențială finală a deciziei privind angajamentele nu era încă publicată.</w:t>
      </w:r>
    </w:p>
    <w:p w14:paraId="0EFB1A4E" w14:textId="5AFBF495" w:rsidR="002D2FF4" w:rsidRPr="006E3E54" w:rsidRDefault="002D2FF4" w:rsidP="002D2FF4">
      <w:pPr>
        <w:spacing w:after="160" w:line="259" w:lineRule="auto"/>
        <w:rPr>
          <w:rFonts w:eastAsiaTheme="minorEastAsia"/>
          <w:noProof/>
          <w:szCs w:val="24"/>
        </w:rPr>
      </w:pPr>
      <w:r>
        <w:rPr>
          <w:noProof/>
        </w:rPr>
        <w:t>Pe lângă aceste investigații aprofundate, Comisia a declarat două oferte neconforme din cauza depunerii incomplete a acestora:</w:t>
      </w:r>
    </w:p>
    <w:p w14:paraId="78D55591" w14:textId="031298EE" w:rsidR="00C31F8E" w:rsidRDefault="00C31F8E" w:rsidP="00260174">
      <w:pPr>
        <w:pStyle w:val="Text1"/>
        <w:numPr>
          <w:ilvl w:val="0"/>
          <w:numId w:val="47"/>
        </w:numPr>
        <w:rPr>
          <w:rFonts w:eastAsiaTheme="minorEastAsia"/>
          <w:noProof/>
          <w:szCs w:val="24"/>
        </w:rPr>
      </w:pPr>
      <w:bookmarkStart w:id="19" w:name="_Toc228286488"/>
      <w:r w:rsidRPr="00375DD4">
        <w:rPr>
          <w:b/>
          <w:noProof/>
        </w:rPr>
        <w:t>cazurile FSP.101606 și FSP.101626 – Decizii prin care o ofertă a fost declarată neconformă</w:t>
      </w:r>
      <w:r>
        <w:rPr>
          <w:noProof/>
        </w:rPr>
        <w:t xml:space="preserve"> – </w:t>
      </w:r>
      <w:bookmarkEnd w:id="19"/>
      <w:r>
        <w:rPr>
          <w:noProof/>
        </w:rPr>
        <w:t>Deciziile au vizat cazul FSP.</w:t>
      </w:r>
      <w:r w:rsidRPr="00375DD4">
        <w:rPr>
          <w:noProof/>
        </w:rPr>
        <w:t>101606</w:t>
      </w:r>
      <w:r>
        <w:rPr>
          <w:noProof/>
        </w:rPr>
        <w:t>, care a implicat o ofertă pentru construirea unui tunel de lung parcurs în cadrul unei licitații în Polonia, și cazul FSP.</w:t>
      </w:r>
      <w:r w:rsidRPr="00375DD4">
        <w:rPr>
          <w:noProof/>
        </w:rPr>
        <w:t>101626</w:t>
      </w:r>
      <w:r>
        <w:rPr>
          <w:noProof/>
        </w:rPr>
        <w:t xml:space="preserve">, care a implicat o ofertă pentru furnizarea de computere și stații de lucru în cadrul unei licitații în Franța. În ambele cazuri, Comisia a emis o decizie prin care a declarat informațiile transmise de operatorii economici respectivi incomplete și le-a solicitat să transmită o notificare completă în termen de </w:t>
      </w:r>
      <w:r w:rsidRPr="00375DD4">
        <w:rPr>
          <w:noProof/>
        </w:rPr>
        <w:t>10</w:t>
      </w:r>
      <w:r>
        <w:rPr>
          <w:noProof/>
        </w:rPr>
        <w:t xml:space="preserve"> zile lucrătoare. Întrucât notificările în ambele cazuri nu au fost finalizate până la termenul-limită, în martie </w:t>
      </w:r>
      <w:r w:rsidRPr="00375DD4">
        <w:rPr>
          <w:noProof/>
        </w:rPr>
        <w:t>2025</w:t>
      </w:r>
      <w:r>
        <w:rPr>
          <w:noProof/>
        </w:rPr>
        <w:t>, Comisia a emis decizii prin care a declarat ambele oferte neconforme. În cele din urmă, autoritățile contractante au respins ofertele neconforme și ambii operatori economici au fost excluși din procedurile de achiziții publice.</w:t>
      </w:r>
    </w:p>
    <w:p w14:paraId="21B76DB1" w14:textId="345F3581" w:rsidR="00DA3D26" w:rsidRPr="00CF7152" w:rsidRDefault="00DA3D26" w:rsidP="00A044B0">
      <w:pPr>
        <w:spacing w:after="160" w:line="259" w:lineRule="auto"/>
        <w:rPr>
          <w:rFonts w:eastAsia="Yu Gothic"/>
          <w:noProof/>
        </w:rPr>
      </w:pPr>
      <w:r>
        <w:rPr>
          <w:noProof/>
        </w:rPr>
        <w:t>De asemenea, Comisia are competența de a solicita notificarea prealabilă a FFC-urilor în cadrul unei proceduri de achiziții publice care nu atinge pragurile relevante, în temeiul articolului </w:t>
      </w:r>
      <w:r w:rsidRPr="00375DD4">
        <w:rPr>
          <w:noProof/>
        </w:rPr>
        <w:t>29</w:t>
      </w:r>
      <w:r>
        <w:rPr>
          <w:noProof/>
        </w:rPr>
        <w:t xml:space="preserve"> alineatul (</w:t>
      </w:r>
      <w:r w:rsidRPr="00375DD4">
        <w:rPr>
          <w:noProof/>
        </w:rPr>
        <w:t>8</w:t>
      </w:r>
      <w:r>
        <w:rPr>
          <w:noProof/>
        </w:rPr>
        <w:t xml:space="preserve">) din Regulamentul (UE) </w:t>
      </w:r>
      <w:r w:rsidRPr="00375DD4">
        <w:rPr>
          <w:noProof/>
        </w:rPr>
        <w:t>2022</w:t>
      </w:r>
      <w:r>
        <w:rPr>
          <w:noProof/>
        </w:rPr>
        <w:t>/</w:t>
      </w:r>
      <w:r w:rsidRPr="00375DD4">
        <w:rPr>
          <w:noProof/>
        </w:rPr>
        <w:t>2560</w:t>
      </w:r>
      <w:r>
        <w:rPr>
          <w:noProof/>
        </w:rPr>
        <w:t>. În cursul perioadei de analiză, Comisia și-a exercitat, pentru prima dată, competența;</w:t>
      </w:r>
    </w:p>
    <w:p w14:paraId="2EF7128B" w14:textId="4394533B" w:rsidR="00C31F8E" w:rsidRPr="00CF7152" w:rsidRDefault="00C31F8E" w:rsidP="00260174">
      <w:pPr>
        <w:pStyle w:val="Text1"/>
        <w:numPr>
          <w:ilvl w:val="0"/>
          <w:numId w:val="48"/>
        </w:numPr>
        <w:rPr>
          <w:rFonts w:eastAsiaTheme="minorEastAsia"/>
          <w:noProof/>
        </w:rPr>
      </w:pPr>
      <w:bookmarkStart w:id="20" w:name="_Toc228286489"/>
      <w:r w:rsidRPr="00375DD4">
        <w:rPr>
          <w:b/>
          <w:noProof/>
        </w:rPr>
        <w:t>cazul FSP.103175 – Cerere de notificare prealabilă</w:t>
      </w:r>
      <w:bookmarkEnd w:id="20"/>
      <w:r>
        <w:rPr>
          <w:noProof/>
        </w:rPr>
        <w:t xml:space="preserve"> – Această cerere a fost emisă în noiembrie </w:t>
      </w:r>
      <w:r w:rsidRPr="00375DD4">
        <w:rPr>
          <w:noProof/>
        </w:rPr>
        <w:t>2025</w:t>
      </w:r>
      <w:r>
        <w:rPr>
          <w:noProof/>
        </w:rPr>
        <w:t xml:space="preserve"> și a vizat două proceduri de achiziții publice lansate pentru construirea mai multor tronsoane ale unei autostrăzi în Croația. Întrucât operatorul economic care avea obligația de a transmite o notificare prealabilă nu a respectat obligația de raportare, autoritatea contractantă relevantă a adresat operatorului economic în cauză o cerere de transmitere a unei notificări lipsă în temeiul articolului </w:t>
      </w:r>
      <w:r w:rsidRPr="00375DD4">
        <w:rPr>
          <w:noProof/>
        </w:rPr>
        <w:t>29</w:t>
      </w:r>
      <w:r>
        <w:rPr>
          <w:noProof/>
        </w:rPr>
        <w:t xml:space="preserve"> alineatul (</w:t>
      </w:r>
      <w:r w:rsidRPr="00375DD4">
        <w:rPr>
          <w:noProof/>
        </w:rPr>
        <w:t>3</w:t>
      </w:r>
      <w:r>
        <w:rPr>
          <w:noProof/>
        </w:rPr>
        <w:t xml:space="preserve">) din Regulamentul (UE) </w:t>
      </w:r>
      <w:r w:rsidRPr="00375DD4">
        <w:rPr>
          <w:noProof/>
        </w:rPr>
        <w:t>2022</w:t>
      </w:r>
      <w:r>
        <w:rPr>
          <w:noProof/>
        </w:rPr>
        <w:t>/</w:t>
      </w:r>
      <w:r w:rsidRPr="00375DD4">
        <w:rPr>
          <w:noProof/>
        </w:rPr>
        <w:t>2560</w:t>
      </w:r>
      <w:r>
        <w:rPr>
          <w:noProof/>
        </w:rPr>
        <w:t>. În cele din urmă, autoritatea contractantă a considerat oferta „</w:t>
      </w:r>
      <w:r w:rsidRPr="00375DD4">
        <w:rPr>
          <w:i/>
          <w:noProof/>
        </w:rPr>
        <w:t>inadmisibilă, neadecvată și inacceptabilă din punct de vedere tehnic</w:t>
      </w:r>
      <w:r>
        <w:rPr>
          <w:noProof/>
        </w:rPr>
        <w:t xml:space="preserve">” și a exclus operatorul economic din procedură. </w:t>
      </w:r>
    </w:p>
    <w:p w14:paraId="07E98BA0" w14:textId="4F31ADFB" w:rsidR="00AA34DB" w:rsidRDefault="00AA34DB" w:rsidP="00AA34DB">
      <w:pPr>
        <w:pStyle w:val="Heading4"/>
        <w:rPr>
          <w:noProof/>
        </w:rPr>
      </w:pPr>
      <w:r>
        <w:rPr>
          <w:noProof/>
        </w:rPr>
        <w:t>Rezultatele analizei</w:t>
      </w:r>
    </w:p>
    <w:p w14:paraId="578F34E3" w14:textId="52486D25" w:rsidR="00C31F8E" w:rsidRDefault="00972FB9" w:rsidP="00C31F8E">
      <w:pPr>
        <w:spacing w:after="240"/>
        <w:rPr>
          <w:noProof/>
          <w:szCs w:val="24"/>
        </w:rPr>
      </w:pPr>
      <w:r>
        <w:rPr>
          <w:noProof/>
        </w:rPr>
        <w:t xml:space="preserve">Aplicarea timpurie de către Comisie a Regulamentului (UE) </w:t>
      </w:r>
      <w:r w:rsidRPr="00375DD4">
        <w:rPr>
          <w:noProof/>
        </w:rPr>
        <w:t>2022</w:t>
      </w:r>
      <w:r>
        <w:rPr>
          <w:noProof/>
        </w:rPr>
        <w:t>/</w:t>
      </w:r>
      <w:r w:rsidRPr="00375DD4">
        <w:rPr>
          <w:noProof/>
        </w:rPr>
        <w:t>2560</w:t>
      </w:r>
      <w:r>
        <w:rPr>
          <w:noProof/>
        </w:rPr>
        <w:t xml:space="preserve"> demonstrează că acest cadru este adecvat scopului și își îndeplinește obiectivele, în timp ce ar fi utilă o îmbunătățire suplimentară.</w:t>
      </w:r>
    </w:p>
    <w:p w14:paraId="52CD5814" w14:textId="269EF6C0" w:rsidR="009F5773" w:rsidRPr="00AA0B88" w:rsidRDefault="009F5773" w:rsidP="009F5773">
      <w:pPr>
        <w:spacing w:after="240"/>
        <w:rPr>
          <w:noProof/>
          <w:szCs w:val="24"/>
        </w:rPr>
      </w:pPr>
      <w:r>
        <w:rPr>
          <w:noProof/>
        </w:rPr>
        <w:t xml:space="preserve">Sistemul s-a dovedit a fi eficient, gestionând mai multe contribuții decât se anticipase și efectuând, în același timp, o analiză aprofundată doar într-un număr limitat de cazuri. Pe lângă investigațiile aprofundate, cazurile de nereguli și o cerere de notificare prealabilă, efectul disuasiv al Regulamentului (UE) </w:t>
      </w:r>
      <w:r w:rsidRPr="00375DD4">
        <w:rPr>
          <w:noProof/>
        </w:rPr>
        <w:t>2022</w:t>
      </w:r>
      <w:r>
        <w:rPr>
          <w:noProof/>
        </w:rPr>
        <w:t>/</w:t>
      </w:r>
      <w:r w:rsidRPr="00375DD4">
        <w:rPr>
          <w:noProof/>
        </w:rPr>
        <w:t>2560</w:t>
      </w:r>
      <w:r>
        <w:rPr>
          <w:noProof/>
        </w:rPr>
        <w:t xml:space="preserve"> este demonstrat în cazurile în care operatorii economici, reticenți în a face schimb de informații privind FFC primite, s-au retras din procedurile de achiziții publice, promovând astfel o concurență mai loială.</w:t>
      </w:r>
    </w:p>
    <w:p w14:paraId="2AB8DD8B" w14:textId="4937B934" w:rsidR="009F5773" w:rsidRPr="006B435B" w:rsidRDefault="008D006E" w:rsidP="009F5773">
      <w:pPr>
        <w:spacing w:after="240"/>
        <w:rPr>
          <w:noProof/>
          <w:szCs w:val="24"/>
        </w:rPr>
      </w:pPr>
      <w:r>
        <w:rPr>
          <w:noProof/>
        </w:rPr>
        <w:t xml:space="preserve">Comisia a respectat termene scurte și a finalizat evaluările preliminare în termen de </w:t>
      </w:r>
      <w:r w:rsidRPr="00375DD4">
        <w:rPr>
          <w:noProof/>
        </w:rPr>
        <w:t>20</w:t>
      </w:r>
      <w:r>
        <w:rPr>
          <w:noProof/>
        </w:rPr>
        <w:t xml:space="preserve"> de zile lucrătoare, în pofida complexității cadrului procedural. Acest lucru a fost primit în mod pozitiv de părțile interesate, deoarece a consolidat securitatea juridică pentru întreprinderi și a sprijinit buna desfășurare a procedurilor de achiziții publice. În plus, orientările consecvente ale Comisiei adresate statelor membre și colaborarea periodică și constructivă cu părțile interesate au fost salutate pe scară largă, promovând o mai mare claritate și cooperare în ceea ce privește punerea în aplicare a cadrului.</w:t>
      </w:r>
    </w:p>
    <w:p w14:paraId="2DF479C0" w14:textId="6A64A8A7" w:rsidR="006B435B" w:rsidRPr="006B435B" w:rsidRDefault="00DF75D3" w:rsidP="006B435B">
      <w:pPr>
        <w:spacing w:after="240"/>
        <w:rPr>
          <w:noProof/>
          <w:szCs w:val="24"/>
        </w:rPr>
      </w:pPr>
      <w:r>
        <w:rPr>
          <w:noProof/>
        </w:rPr>
        <w:t>Cu toate acestea, există în continuare provocări, în special în ceea ce privește lacunele în materie de conștientizare în rândul autorităților contractante și lipsa notificării de către operatorii economici. Comparația dintre procedurile de achiziții publice de mari dimensiuni publicate în Tenders Electronic Daily (TED) (</w:t>
      </w:r>
      <w:r>
        <w:rPr>
          <w:rStyle w:val="FootnoteReference"/>
          <w:noProof/>
          <w:szCs w:val="24"/>
          <w:lang w:val="en-IE"/>
        </w:rPr>
        <w:footnoteReference w:id="25"/>
      </w:r>
      <w:r>
        <w:rPr>
          <w:noProof/>
        </w:rPr>
        <w:t xml:space="preserve">) și cele cu cel puțin o depunere în temeiul Regulamentului (UE) </w:t>
      </w:r>
      <w:r w:rsidRPr="00375DD4">
        <w:rPr>
          <w:noProof/>
        </w:rPr>
        <w:t>2022</w:t>
      </w:r>
      <w:r>
        <w:rPr>
          <w:noProof/>
        </w:rPr>
        <w:t>/</w:t>
      </w:r>
      <w:r w:rsidRPr="00375DD4">
        <w:rPr>
          <w:noProof/>
        </w:rPr>
        <w:t>2560</w:t>
      </w:r>
      <w:r>
        <w:rPr>
          <w:noProof/>
        </w:rPr>
        <w:t xml:space="preserve"> sugerează o tendință de scădere a conformității de-a lungul timpului. În urma unei creșteri semnificative a notificărilor în temeiul Regulamentului (UE) </w:t>
      </w:r>
      <w:r w:rsidRPr="00375DD4">
        <w:rPr>
          <w:noProof/>
        </w:rPr>
        <w:t>2022</w:t>
      </w:r>
      <w:r>
        <w:rPr>
          <w:noProof/>
        </w:rPr>
        <w:t>/</w:t>
      </w:r>
      <w:r w:rsidRPr="00375DD4">
        <w:rPr>
          <w:noProof/>
        </w:rPr>
        <w:t>2560</w:t>
      </w:r>
      <w:r>
        <w:rPr>
          <w:noProof/>
        </w:rPr>
        <w:t xml:space="preserve"> de la </w:t>
      </w:r>
      <w:r w:rsidRPr="00375DD4">
        <w:rPr>
          <w:noProof/>
        </w:rPr>
        <w:t>40</w:t>
      </w:r>
      <w:r>
        <w:rPr>
          <w:noProof/>
        </w:rPr>
        <w:t xml:space="preserve"> % la </w:t>
      </w:r>
      <w:r w:rsidRPr="00375DD4">
        <w:rPr>
          <w:noProof/>
        </w:rPr>
        <w:t>70</w:t>
      </w:r>
      <w:r>
        <w:rPr>
          <w:noProof/>
        </w:rPr>
        <w:t xml:space="preserve"> % în primii doi ani de aplicare a legii, conformitatea a scăzut la </w:t>
      </w:r>
      <w:r w:rsidRPr="00375DD4">
        <w:rPr>
          <w:noProof/>
        </w:rPr>
        <w:t>45</w:t>
      </w:r>
      <w:r>
        <w:rPr>
          <w:noProof/>
        </w:rPr>
        <w:t xml:space="preserve"> % la sfârșitul anului </w:t>
      </w:r>
      <w:r w:rsidRPr="00375DD4">
        <w:rPr>
          <w:noProof/>
        </w:rPr>
        <w:t>2025</w:t>
      </w:r>
      <w:r>
        <w:rPr>
          <w:noProof/>
        </w:rPr>
        <w:t>.</w:t>
      </w:r>
    </w:p>
    <w:p w14:paraId="1FB8C9A9" w14:textId="11130337" w:rsidR="002671EF" w:rsidRPr="002671EF" w:rsidRDefault="00797026" w:rsidP="002671EF">
      <w:pPr>
        <w:spacing w:after="240"/>
        <w:rPr>
          <w:noProof/>
          <w:szCs w:val="24"/>
        </w:rPr>
      </w:pPr>
      <w:r>
        <w:rPr>
          <w:noProof/>
        </w:rPr>
        <w:t>În plus, printre principalele preocupări exprimate de părțile interesate se numără sarcina administrativă asupra operatorilor economici, determinată, în opinia acestora, de obligațiile generale de raportare, de pragurile complexe de raportare și de formularele de transmitere. Dificultățile în ceea ce privește identificarea și raportarea FFC-urilor conduc adesea la depuneri incomplete, ceea ce impune Comisiei să colecteze datele lipsă în cursul analizei preliminare. Termenele scurte sunt agravate de lipsa unor evaluări ale tensiunii mecanismului suspensiv, în special în cazurile complexe.</w:t>
      </w:r>
    </w:p>
    <w:p w14:paraId="651E90BB" w14:textId="38241208" w:rsidR="002671EF" w:rsidRPr="00CF7152" w:rsidRDefault="002671EF" w:rsidP="002671EF">
      <w:pPr>
        <w:spacing w:after="240"/>
        <w:rPr>
          <w:noProof/>
        </w:rPr>
      </w:pPr>
      <w:r>
        <w:rPr>
          <w:noProof/>
        </w:rPr>
        <w:t>Deși s-au înregistrat progrese în ceea ce privește furnizarea de orientări și îmbunătățirea transparenței, părțile interesate continuă să explice că sunt necesare îmbunătățiri și simplificări specifice ale cadrului actual, precum și o transparență sporită pentru a sprijini o aplicare mai consecventă și o mai mare previzibilitate.</w:t>
      </w:r>
    </w:p>
    <w:p w14:paraId="0ECDE324" w14:textId="26EE8848" w:rsidR="00C96FB6" w:rsidRPr="00375DD4" w:rsidRDefault="00C96FB6" w:rsidP="00C96FB6">
      <w:pPr>
        <w:pStyle w:val="Heading2"/>
        <w:rPr>
          <w:noProof/>
        </w:rPr>
      </w:pPr>
      <w:bookmarkStart w:id="21" w:name="_Toc228901747"/>
      <w:bookmarkStart w:id="22" w:name="_Hlk229157802"/>
      <w:r w:rsidRPr="00375DD4">
        <w:rPr>
          <w:noProof/>
        </w:rPr>
        <w:t>Evoluții ale sistemelor de control al subvențiilor din țările terțe</w:t>
      </w:r>
      <w:bookmarkEnd w:id="21"/>
    </w:p>
    <w:p w14:paraId="68575D84" w14:textId="00269A75" w:rsidR="00A46D6D" w:rsidRDefault="00C96FB6" w:rsidP="00C96FB6">
      <w:pPr>
        <w:rPr>
          <w:noProof/>
        </w:rPr>
      </w:pPr>
      <w:r>
        <w:rPr>
          <w:noProof/>
        </w:rPr>
        <w:t>În temeiul articolului </w:t>
      </w:r>
      <w:r w:rsidRPr="00375DD4">
        <w:rPr>
          <w:noProof/>
        </w:rPr>
        <w:t>52</w:t>
      </w:r>
      <w:r>
        <w:rPr>
          <w:noProof/>
        </w:rPr>
        <w:t xml:space="preserve"> alineatul (</w:t>
      </w:r>
      <w:r w:rsidRPr="00375DD4">
        <w:rPr>
          <w:noProof/>
        </w:rPr>
        <w:t>2</w:t>
      </w:r>
      <w:r>
        <w:rPr>
          <w:noProof/>
        </w:rPr>
        <w:t xml:space="preserve">) din Regulamentul (UE) </w:t>
      </w:r>
      <w:r w:rsidRPr="00375DD4">
        <w:rPr>
          <w:noProof/>
        </w:rPr>
        <w:t>2022</w:t>
      </w:r>
      <w:r>
        <w:rPr>
          <w:noProof/>
        </w:rPr>
        <w:t>/</w:t>
      </w:r>
      <w:r w:rsidRPr="00375DD4">
        <w:rPr>
          <w:noProof/>
        </w:rPr>
        <w:t>2560</w:t>
      </w:r>
      <w:r>
        <w:rPr>
          <w:noProof/>
        </w:rPr>
        <w:t xml:space="preserve">, în contextul revizuirii sale, Comisia are obligația de a raporta cu privire la evoluțiile relațiilor internaționale care implică sistemele de control al subvențiilor din țările terțe. </w:t>
      </w:r>
    </w:p>
    <w:p w14:paraId="2BB3D9A5" w14:textId="3A2EBDDC" w:rsidR="00C96FB6" w:rsidRDefault="00C32994" w:rsidP="00C96FB6">
      <w:pPr>
        <w:rPr>
          <w:noProof/>
        </w:rPr>
      </w:pPr>
      <w:r>
        <w:rPr>
          <w:noProof/>
        </w:rPr>
        <w:t xml:space="preserve">Prin urmare, studiul de analiză a Regulamentului (UE) </w:t>
      </w:r>
      <w:r w:rsidRPr="00375DD4">
        <w:rPr>
          <w:noProof/>
        </w:rPr>
        <w:t>2022</w:t>
      </w:r>
      <w:r>
        <w:rPr>
          <w:noProof/>
        </w:rPr>
        <w:t>/</w:t>
      </w:r>
      <w:r w:rsidRPr="00375DD4">
        <w:rPr>
          <w:noProof/>
        </w:rPr>
        <w:t>2560</w:t>
      </w:r>
      <w:r>
        <w:rPr>
          <w:noProof/>
        </w:rPr>
        <w:t xml:space="preserve"> a evaluat, de asemenea, evoluțiile relațiilor internaționale în ceea ce privește sistemele de control al subvențiilor din țările terțe. Constatările cu privire la această chestiune sunt prezentate mai detaliat în documentul de lucru însoțitor al serviciilor Comisiei. </w:t>
      </w:r>
    </w:p>
    <w:p w14:paraId="236EFDB4" w14:textId="1F06E21F" w:rsidR="00C45C70" w:rsidRDefault="00285C54" w:rsidP="00C96FB6">
      <w:pPr>
        <w:rPr>
          <w:noProof/>
        </w:rPr>
      </w:pPr>
      <w:r>
        <w:rPr>
          <w:noProof/>
        </w:rPr>
        <w:t xml:space="preserve">În concluzie, revizuirea acestor evoluții indică faptul că nu au existat evoluții semnificative ale sistemelor de control al subvențiilor din țările terțe de la adoptarea Regulamentului (UE) </w:t>
      </w:r>
      <w:r w:rsidRPr="00375DD4">
        <w:rPr>
          <w:noProof/>
        </w:rPr>
        <w:t>2022</w:t>
      </w:r>
      <w:r>
        <w:rPr>
          <w:noProof/>
        </w:rPr>
        <w:t>/</w:t>
      </w:r>
      <w:r w:rsidRPr="00375DD4">
        <w:rPr>
          <w:noProof/>
        </w:rPr>
        <w:t>2560</w:t>
      </w:r>
      <w:r>
        <w:rPr>
          <w:noProof/>
        </w:rPr>
        <w:t xml:space="preserve">. Prin urmare, Regulamentul (UE) </w:t>
      </w:r>
      <w:r w:rsidRPr="00375DD4">
        <w:rPr>
          <w:noProof/>
        </w:rPr>
        <w:t>2022</w:t>
      </w:r>
      <w:r>
        <w:rPr>
          <w:noProof/>
        </w:rPr>
        <w:t>/</w:t>
      </w:r>
      <w:r w:rsidRPr="00375DD4">
        <w:rPr>
          <w:noProof/>
        </w:rPr>
        <w:t>2560</w:t>
      </w:r>
      <w:r>
        <w:rPr>
          <w:noProof/>
        </w:rPr>
        <w:t xml:space="preserve"> rămâne relevant pentru a aborda denaturările de pe piața internă cauzate de subvențiile străine, care nu intră sub incidența mecanismelor tradiționale de apărare comercială ale Uniunii. </w:t>
      </w:r>
    </w:p>
    <w:p w14:paraId="2051ABEE" w14:textId="508BEF7A" w:rsidR="00C96FB6" w:rsidRDefault="00C96FB6" w:rsidP="00C96FB6">
      <w:pPr>
        <w:rPr>
          <w:noProof/>
        </w:rPr>
      </w:pPr>
      <w:r>
        <w:rPr>
          <w:noProof/>
        </w:rPr>
        <w:t xml:space="preserve">Cu toate acestea, monitorizarea continuă a acestor evoluții rămâne importantă, în special având în vedere evoluția politicilor industriale ale țărilor terțe și potențialele reforme viitoare la nivel internațional. </w:t>
      </w:r>
    </w:p>
    <w:bookmarkEnd w:id="22"/>
    <w:p w14:paraId="68BA6BEE" w14:textId="17B12EAB" w:rsidR="00F14ECF" w:rsidRPr="00375DD4" w:rsidRDefault="00D864F7" w:rsidP="00F14ECF">
      <w:pPr>
        <w:pStyle w:val="Heading1"/>
        <w:rPr>
          <w:noProof/>
        </w:rPr>
      </w:pPr>
      <w:r w:rsidRPr="00375DD4">
        <w:rPr>
          <w:noProof/>
        </w:rPr>
        <w:t xml:space="preserve">EVALUAREA EFICACITĂȚII REGULAMENTULUI (UE) 2022/2560 </w:t>
      </w:r>
    </w:p>
    <w:p w14:paraId="63B5D84D" w14:textId="05968E36" w:rsidR="00C9223D" w:rsidRPr="000E65E9" w:rsidRDefault="00A46D6D" w:rsidP="000E65E9">
      <w:pPr>
        <w:rPr>
          <w:noProof/>
          <w:szCs w:val="24"/>
        </w:rPr>
      </w:pPr>
      <w:r>
        <w:rPr>
          <w:noProof/>
        </w:rPr>
        <w:t xml:space="preserve">Pe baza constatărilor analizei, obiectivul general al Regulamentului (UE) </w:t>
      </w:r>
      <w:r w:rsidRPr="00375DD4">
        <w:rPr>
          <w:noProof/>
        </w:rPr>
        <w:t>2022</w:t>
      </w:r>
      <w:r>
        <w:rPr>
          <w:noProof/>
        </w:rPr>
        <w:t>/</w:t>
      </w:r>
      <w:r w:rsidRPr="00375DD4">
        <w:rPr>
          <w:noProof/>
        </w:rPr>
        <w:t>2560</w:t>
      </w:r>
      <w:r>
        <w:rPr>
          <w:noProof/>
        </w:rPr>
        <w:t xml:space="preserve"> rămâne valabil și este recunoscut pe scară largă faptul că regulamentul contribuie în mod pozitiv la menținerea unor condiții de concurență echitabile pe piața internă. </w:t>
      </w:r>
    </w:p>
    <w:p w14:paraId="551A9469" w14:textId="5B196280" w:rsidR="000C4B4D" w:rsidRPr="00D1183D" w:rsidRDefault="00A46D6D" w:rsidP="000C4B4D">
      <w:pPr>
        <w:rPr>
          <w:noProof/>
        </w:rPr>
      </w:pPr>
      <w:r>
        <w:rPr>
          <w:noProof/>
        </w:rPr>
        <w:t xml:space="preserve">În ceea ce privește conceptele de fond ale Regulamentului (UE) </w:t>
      </w:r>
      <w:r w:rsidRPr="00375DD4">
        <w:rPr>
          <w:noProof/>
        </w:rPr>
        <w:t>2022</w:t>
      </w:r>
      <w:r>
        <w:rPr>
          <w:noProof/>
        </w:rPr>
        <w:t>/</w:t>
      </w:r>
      <w:r w:rsidRPr="00375DD4">
        <w:rPr>
          <w:noProof/>
        </w:rPr>
        <w:t>2560</w:t>
      </w:r>
      <w:r>
        <w:rPr>
          <w:noProof/>
        </w:rPr>
        <w:t xml:space="preserve">, părțile interesate au raportat necesitatea unei mai mari securități și clarități juridice, care este asociată, de regulă, cu punerea în aplicare a unui nou cadru juridic. În acest sens, Comisia întreprinde o serie de inițiative pentru a clarifica conceptele Regulamentului (UE) </w:t>
      </w:r>
      <w:r w:rsidRPr="00375DD4">
        <w:rPr>
          <w:noProof/>
        </w:rPr>
        <w:t>2022</w:t>
      </w:r>
      <w:r>
        <w:rPr>
          <w:noProof/>
        </w:rPr>
        <w:t>/</w:t>
      </w:r>
      <w:r w:rsidRPr="00375DD4">
        <w:rPr>
          <w:noProof/>
        </w:rPr>
        <w:t>2560</w:t>
      </w:r>
      <w:r>
        <w:rPr>
          <w:noProof/>
        </w:rPr>
        <w:t xml:space="preserve">, inclusiv publicarea recentă a Orientărilor privind Regulamentul (UE) </w:t>
      </w:r>
      <w:r w:rsidRPr="00375DD4">
        <w:rPr>
          <w:noProof/>
        </w:rPr>
        <w:t>2022</w:t>
      </w:r>
      <w:r>
        <w:rPr>
          <w:noProof/>
        </w:rPr>
        <w:t>/</w:t>
      </w:r>
      <w:r w:rsidRPr="00375DD4">
        <w:rPr>
          <w:noProof/>
        </w:rPr>
        <w:t>2560</w:t>
      </w:r>
      <w:r>
        <w:rPr>
          <w:noProof/>
        </w:rPr>
        <w:t xml:space="preserve">, publicarea versiunilor neconfidențiale ale deciziilor finale adoptate de încheiere a investigațiilor sale aprofundate, actualizări periodice ale întrebărilor și răspunsurilor referitoare la Regulamentul (UE) </w:t>
      </w:r>
      <w:r w:rsidRPr="00375DD4">
        <w:rPr>
          <w:noProof/>
        </w:rPr>
        <w:t>2022</w:t>
      </w:r>
      <w:r>
        <w:rPr>
          <w:noProof/>
        </w:rPr>
        <w:t>/</w:t>
      </w:r>
      <w:r w:rsidRPr="00375DD4">
        <w:rPr>
          <w:noProof/>
        </w:rPr>
        <w:t>2560</w:t>
      </w:r>
      <w:r>
        <w:rPr>
          <w:noProof/>
        </w:rPr>
        <w:t xml:space="preserve"> și publicarea de note de informare privind Regulamentul (UE) </w:t>
      </w:r>
      <w:r w:rsidRPr="00375DD4">
        <w:rPr>
          <w:noProof/>
        </w:rPr>
        <w:t>2022</w:t>
      </w:r>
      <w:r>
        <w:rPr>
          <w:noProof/>
        </w:rPr>
        <w:t>/</w:t>
      </w:r>
      <w:r w:rsidRPr="00375DD4">
        <w:rPr>
          <w:noProof/>
        </w:rPr>
        <w:t>2560</w:t>
      </w:r>
      <w:r>
        <w:rPr>
          <w:noProof/>
        </w:rPr>
        <w:t xml:space="preserve">. Comisia își va menține angajamentul față de aceste practici pe viitor. Comisia se așteaptă, de asemenea, ca acumularea de practici în temeiul Regulamentului (UE) </w:t>
      </w:r>
      <w:r w:rsidRPr="00375DD4">
        <w:rPr>
          <w:noProof/>
        </w:rPr>
        <w:t>2022</w:t>
      </w:r>
      <w:r>
        <w:rPr>
          <w:noProof/>
        </w:rPr>
        <w:t>/</w:t>
      </w:r>
      <w:r w:rsidRPr="00375DD4">
        <w:rPr>
          <w:noProof/>
        </w:rPr>
        <w:t>2560</w:t>
      </w:r>
      <w:r>
        <w:rPr>
          <w:noProof/>
        </w:rPr>
        <w:t xml:space="preserve"> să aducă mai multă claritate părților interesate și să contribuie la o mai bună înțelegere a conceptelor specifice Regulamentului (UE) </w:t>
      </w:r>
      <w:r w:rsidRPr="00375DD4">
        <w:rPr>
          <w:noProof/>
        </w:rPr>
        <w:t>2022</w:t>
      </w:r>
      <w:r>
        <w:rPr>
          <w:noProof/>
        </w:rPr>
        <w:t>/</w:t>
      </w:r>
      <w:r w:rsidRPr="00375DD4">
        <w:rPr>
          <w:noProof/>
        </w:rPr>
        <w:t>2560</w:t>
      </w:r>
      <w:r>
        <w:rPr>
          <w:noProof/>
        </w:rPr>
        <w:t xml:space="preserve">. </w:t>
      </w:r>
    </w:p>
    <w:p w14:paraId="7B2A1862" w14:textId="5AFB834D" w:rsidR="00DB2AB2" w:rsidRDefault="000C4B4D" w:rsidP="000C4B4D">
      <w:pPr>
        <w:rPr>
          <w:noProof/>
        </w:rPr>
      </w:pPr>
      <w:r>
        <w:rPr>
          <w:noProof/>
        </w:rPr>
        <w:t xml:space="preserve">De asemenea, Comisia va continua să colaboreze cu părțile interesate și cu autoritățile statelor membre în ceea ce privește Regulamentul (UE) </w:t>
      </w:r>
      <w:r w:rsidRPr="00375DD4">
        <w:rPr>
          <w:noProof/>
        </w:rPr>
        <w:t>2022</w:t>
      </w:r>
      <w:r>
        <w:rPr>
          <w:noProof/>
        </w:rPr>
        <w:t>/</w:t>
      </w:r>
      <w:r w:rsidRPr="00375DD4">
        <w:rPr>
          <w:noProof/>
        </w:rPr>
        <w:t>2560</w:t>
      </w:r>
      <w:r>
        <w:rPr>
          <w:noProof/>
        </w:rPr>
        <w:t xml:space="preserve">. </w:t>
      </w:r>
    </w:p>
    <w:p w14:paraId="7A8DB6C5" w14:textId="77777777" w:rsidR="00475E9B" w:rsidRDefault="00B0742B" w:rsidP="00532BD9">
      <w:pPr>
        <w:rPr>
          <w:noProof/>
        </w:rPr>
      </w:pPr>
      <w:r>
        <w:rPr>
          <w:noProof/>
        </w:rPr>
        <w:t xml:space="preserve">Pe baza constatărilor analizei, nu se justifică modificări ale Regulamentului (UE) </w:t>
      </w:r>
      <w:r w:rsidRPr="00375DD4">
        <w:rPr>
          <w:noProof/>
        </w:rPr>
        <w:t>2022</w:t>
      </w:r>
      <w:r>
        <w:rPr>
          <w:noProof/>
        </w:rPr>
        <w:t>/</w:t>
      </w:r>
      <w:r w:rsidRPr="00375DD4">
        <w:rPr>
          <w:noProof/>
        </w:rPr>
        <w:t>2560</w:t>
      </w:r>
      <w:r>
        <w:rPr>
          <w:noProof/>
        </w:rPr>
        <w:t xml:space="preserve">. </w:t>
      </w:r>
    </w:p>
    <w:p w14:paraId="65B54694" w14:textId="09DF2016" w:rsidR="001B7D6A" w:rsidRPr="00D1183D" w:rsidRDefault="00475E9B" w:rsidP="00532BD9">
      <w:pPr>
        <w:rPr>
          <w:noProof/>
        </w:rPr>
      </w:pPr>
      <w:r>
        <w:rPr>
          <w:noProof/>
        </w:rPr>
        <w:t xml:space="preserve">În conformitate cu prioritățile Comisiei pentru perioada </w:t>
      </w:r>
      <w:r w:rsidRPr="00375DD4">
        <w:rPr>
          <w:noProof/>
        </w:rPr>
        <w:t>2024</w:t>
      </w:r>
      <w:r>
        <w:rPr>
          <w:noProof/>
        </w:rPr>
        <w:t>-</w:t>
      </w:r>
      <w:r w:rsidRPr="00375DD4">
        <w:rPr>
          <w:noProof/>
        </w:rPr>
        <w:t>2029</w:t>
      </w:r>
      <w:r>
        <w:rPr>
          <w:noProof/>
        </w:rPr>
        <w:t xml:space="preserve">, raportul va analiza, de asemenea, sarcinile administrative impuse întreprinderilor, inclusiv întreprinderilor mici și mijlocii, în procesul de punere în aplicare. </w:t>
      </w:r>
    </w:p>
    <w:p w14:paraId="1664BCBB" w14:textId="604DA209" w:rsidR="0023635D" w:rsidRPr="00375DD4" w:rsidRDefault="00FB4F58" w:rsidP="00EA4DDE">
      <w:pPr>
        <w:pStyle w:val="Heading2"/>
        <w:rPr>
          <w:noProof/>
        </w:rPr>
      </w:pPr>
      <w:bookmarkStart w:id="23" w:name="_Toc228901753"/>
      <w:r w:rsidRPr="00375DD4">
        <w:rPr>
          <w:noProof/>
        </w:rPr>
        <w:t>Referitor la procedura din oficiu prevăzută de Regulamentul (UE) 2022/2560</w:t>
      </w:r>
      <w:bookmarkEnd w:id="23"/>
    </w:p>
    <w:p w14:paraId="16E07404" w14:textId="2E9B663C" w:rsidR="00BF66C9" w:rsidRPr="00732B6E" w:rsidRDefault="00BF66C9" w:rsidP="004A1922">
      <w:pPr>
        <w:rPr>
          <w:noProof/>
        </w:rPr>
      </w:pPr>
      <w:r>
        <w:rPr>
          <w:noProof/>
        </w:rPr>
        <w:t xml:space="preserve">Pe baza analizei, rolul și obiectivul procedurii din oficiu în temeiul Regulamentului (UE) </w:t>
      </w:r>
      <w:r w:rsidRPr="00375DD4">
        <w:rPr>
          <w:noProof/>
        </w:rPr>
        <w:t>2022</w:t>
      </w:r>
      <w:r>
        <w:rPr>
          <w:noProof/>
        </w:rPr>
        <w:t>/</w:t>
      </w:r>
      <w:r w:rsidRPr="00375DD4">
        <w:rPr>
          <w:noProof/>
        </w:rPr>
        <w:t>2560</w:t>
      </w:r>
      <w:r>
        <w:rPr>
          <w:noProof/>
        </w:rPr>
        <w:t xml:space="preserve"> sunt recunoscute pe scară largă.</w:t>
      </w:r>
    </w:p>
    <w:p w14:paraId="222135A9" w14:textId="1AADC558" w:rsidR="00BF66C9" w:rsidRPr="00732B6E" w:rsidRDefault="00BF66C9" w:rsidP="004A1922">
      <w:pPr>
        <w:rPr>
          <w:noProof/>
        </w:rPr>
      </w:pPr>
      <w:r>
        <w:rPr>
          <w:noProof/>
        </w:rPr>
        <w:t>Evoluția recentă a două cauze din oficiu către o analiză aprofundată, în temeiul articolului </w:t>
      </w:r>
      <w:r w:rsidRPr="00375DD4">
        <w:rPr>
          <w:noProof/>
        </w:rPr>
        <w:t>10</w:t>
      </w:r>
      <w:r>
        <w:rPr>
          <w:noProof/>
        </w:rPr>
        <w:t xml:space="preserve"> alineatul (</w:t>
      </w:r>
      <w:r w:rsidRPr="00375DD4">
        <w:rPr>
          <w:noProof/>
        </w:rPr>
        <w:t>3</w:t>
      </w:r>
      <w:r>
        <w:rPr>
          <w:noProof/>
        </w:rPr>
        <w:t xml:space="preserve">) din Regulamentul (UE) </w:t>
      </w:r>
      <w:r w:rsidRPr="00375DD4">
        <w:rPr>
          <w:noProof/>
        </w:rPr>
        <w:t>2022</w:t>
      </w:r>
      <w:r>
        <w:rPr>
          <w:noProof/>
        </w:rPr>
        <w:t>/</w:t>
      </w:r>
      <w:r w:rsidRPr="00375DD4">
        <w:rPr>
          <w:noProof/>
        </w:rPr>
        <w:t>2560</w:t>
      </w:r>
      <w:r>
        <w:rPr>
          <w:noProof/>
        </w:rPr>
        <w:t xml:space="preserve">, oferă informații suplimentare cu privire la abordarea Comisiei atunci când evaluează subvențiile străine cu efecte potențiale de denaturare. </w:t>
      </w:r>
    </w:p>
    <w:p w14:paraId="10BB27D9" w14:textId="60D4A358" w:rsidR="00030521" w:rsidRPr="00D1183D" w:rsidRDefault="00030521" w:rsidP="004A1922">
      <w:pPr>
        <w:rPr>
          <w:noProof/>
        </w:rPr>
      </w:pPr>
      <w:r>
        <w:rPr>
          <w:noProof/>
        </w:rPr>
        <w:t xml:space="preserve">În ceea ce privește preocupările exprimate de părțile interesate cu privire la durata investigațiilor din oficiu, Comisia observă că acest lucru poate fi explicat în mare măsură prin nivelul de complexitate în cazuri individuale, prin provocările suplimentare aduse în fața instanțelor Uniunii, precum și prin gradul de cooperare a întreprinderilor care fac obiectul investigației. </w:t>
      </w:r>
    </w:p>
    <w:p w14:paraId="52B98A32" w14:textId="52C91FD4" w:rsidR="00C21775" w:rsidRPr="00D1183D" w:rsidRDefault="00030521" w:rsidP="004A1922">
      <w:pPr>
        <w:rPr>
          <w:noProof/>
        </w:rPr>
      </w:pPr>
      <w:r>
        <w:rPr>
          <w:noProof/>
        </w:rPr>
        <w:t xml:space="preserve">Având în vedere cele de mai sus, Comisia consideră că nu sunt necesare măsuri imediate în ceea ce privește procedura din oficiu. Comisia își menține angajamentul de a utiliza pe deplin aceste proceduri ori de câte ori este necesar pentru a se asigura că piața internă, competitivitatea și securitatea economică a UE nu sunt subminate de subvenții străine care denaturează concurența. Comisia își va continua eforturile de sporire a transparenței și de furnizare a unor informații suplimentare în abordarea sa pentru cazurile din oficiu, în conformitate cu practicile prezentate în prezentul raport și în documentul de lucru însoțitor al serviciilor Comisiei. </w:t>
      </w:r>
    </w:p>
    <w:p w14:paraId="3FBA3AD6" w14:textId="08D6FACF" w:rsidR="314EE93A" w:rsidRPr="00375DD4" w:rsidRDefault="001B05DA" w:rsidP="002D2FF4">
      <w:pPr>
        <w:pStyle w:val="Heading2"/>
        <w:rPr>
          <w:noProof/>
        </w:rPr>
      </w:pPr>
      <w:bookmarkStart w:id="24" w:name="_Toc228901754"/>
      <w:r w:rsidRPr="00375DD4">
        <w:rPr>
          <w:noProof/>
        </w:rPr>
        <w:t>Referitor la notificările în temeiul Regulamentului (UE) 2022/2560 pentru concentrări</w:t>
      </w:r>
      <w:bookmarkEnd w:id="24"/>
    </w:p>
    <w:p w14:paraId="741AC8CC" w14:textId="15B69EED" w:rsidR="002B7BF8" w:rsidRDefault="00ED10EC" w:rsidP="00713981">
      <w:pPr>
        <w:rPr>
          <w:noProof/>
        </w:rPr>
      </w:pPr>
      <w:bookmarkStart w:id="25" w:name="_Hlk229131622"/>
      <w:r>
        <w:rPr>
          <w:noProof/>
        </w:rPr>
        <w:t xml:space="preserve">Astfel cum s-a confirmat în cadrul analizei, procedura de notificare </w:t>
      </w:r>
      <w:r w:rsidRPr="00375DD4">
        <w:rPr>
          <w:i/>
          <w:noProof/>
        </w:rPr>
        <w:t>ex ante</w:t>
      </w:r>
      <w:r>
        <w:rPr>
          <w:noProof/>
        </w:rPr>
        <w:t xml:space="preserve"> pentru concentrări rămâne un instrument important de asigurare a respectării Regulamentului (UE) </w:t>
      </w:r>
      <w:r w:rsidRPr="00375DD4">
        <w:rPr>
          <w:noProof/>
        </w:rPr>
        <w:t>2022</w:t>
      </w:r>
      <w:r>
        <w:rPr>
          <w:noProof/>
        </w:rPr>
        <w:t>/</w:t>
      </w:r>
      <w:r w:rsidRPr="00375DD4">
        <w:rPr>
          <w:noProof/>
        </w:rPr>
        <w:t>2560</w:t>
      </w:r>
      <w:r>
        <w:rPr>
          <w:noProof/>
        </w:rPr>
        <w:t xml:space="preserve">, care permite Comisiei să identifice și să abordeze subvențiile străine care cauzează denaturări în contextul concentrărilor economice și înainte de punerea lor în aplicare. </w:t>
      </w:r>
    </w:p>
    <w:p w14:paraId="1B88A934" w14:textId="515EE14A" w:rsidR="00F729AD" w:rsidRDefault="008817F7" w:rsidP="00BB7069">
      <w:pPr>
        <w:rPr>
          <w:noProof/>
        </w:rPr>
      </w:pPr>
      <w:r>
        <w:rPr>
          <w:noProof/>
        </w:rPr>
        <w:t xml:space="preserve">În același timp, Comisia ia act de feedbackul părților interesate cu privire la sarcina administrativă asociată colectării datelor FFC în scopul notificărilor privind concentrările în temeiul Regulamentului (UE) </w:t>
      </w:r>
      <w:r w:rsidRPr="00375DD4">
        <w:rPr>
          <w:noProof/>
        </w:rPr>
        <w:t>2022</w:t>
      </w:r>
      <w:r>
        <w:rPr>
          <w:noProof/>
        </w:rPr>
        <w:t>/</w:t>
      </w:r>
      <w:r w:rsidRPr="00375DD4">
        <w:rPr>
          <w:noProof/>
        </w:rPr>
        <w:t>2560</w:t>
      </w:r>
      <w:r>
        <w:rPr>
          <w:noProof/>
        </w:rPr>
        <w:t xml:space="preserve">. Pentru a răspunde acestui feedback, Comisia poate lua în considerare posibile ajustări ale procedurii instituite pentru a reduce sarcina administrativă și a facilita conformitatea, menținând în același timp eficacitatea Regulamentului (UE) </w:t>
      </w:r>
      <w:r w:rsidRPr="00375DD4">
        <w:rPr>
          <w:noProof/>
        </w:rPr>
        <w:t>2022</w:t>
      </w:r>
      <w:r>
        <w:rPr>
          <w:noProof/>
        </w:rPr>
        <w:t>/</w:t>
      </w:r>
      <w:r w:rsidRPr="00375DD4">
        <w:rPr>
          <w:noProof/>
        </w:rPr>
        <w:t>2560</w:t>
      </w:r>
      <w:r>
        <w:rPr>
          <w:noProof/>
        </w:rPr>
        <w:t xml:space="preserve">. </w:t>
      </w:r>
    </w:p>
    <w:p w14:paraId="0DF18EE8" w14:textId="16AA9AB0" w:rsidR="00127467" w:rsidRPr="00375DD4" w:rsidRDefault="00127467" w:rsidP="00AA0B88">
      <w:pPr>
        <w:pStyle w:val="NormalWeb"/>
        <w:jc w:val="both"/>
        <w:rPr>
          <w:b/>
          <w:noProof/>
        </w:rPr>
      </w:pPr>
      <w:r>
        <w:rPr>
          <w:noProof/>
        </w:rPr>
        <w:t xml:space="preserve">În plus, </w:t>
      </w:r>
      <w:r>
        <w:rPr>
          <w:rStyle w:val="Strong"/>
          <w:b w:val="0"/>
          <w:noProof/>
        </w:rPr>
        <w:t xml:space="preserve">Comisia își va menține angajamentul de a asigura transparența în ceea ce privește asigurarea respectării Regulamentului (UE) </w:t>
      </w:r>
      <w:r w:rsidRPr="00375DD4">
        <w:rPr>
          <w:rStyle w:val="Strong"/>
          <w:b w:val="0"/>
          <w:noProof/>
        </w:rPr>
        <w:t>2022</w:t>
      </w:r>
      <w:r>
        <w:rPr>
          <w:rStyle w:val="Strong"/>
          <w:b w:val="0"/>
          <w:noProof/>
        </w:rPr>
        <w:t>/</w:t>
      </w:r>
      <w:r w:rsidRPr="00375DD4">
        <w:rPr>
          <w:rStyle w:val="Strong"/>
          <w:b w:val="0"/>
          <w:noProof/>
        </w:rPr>
        <w:t>2560</w:t>
      </w:r>
      <w:r>
        <w:rPr>
          <w:noProof/>
        </w:rPr>
        <w:t xml:space="preserve">, inclusiv actualizări ale întrebărilor și răspunsurilor, note de informare </w:t>
      </w:r>
      <w:r>
        <w:rPr>
          <w:rStyle w:val="Strong"/>
          <w:b w:val="0"/>
          <w:noProof/>
        </w:rPr>
        <w:t>suplimentare</w:t>
      </w:r>
      <w:r>
        <w:rPr>
          <w:noProof/>
        </w:rPr>
        <w:t xml:space="preserve"> privind Regulamentul (UE) </w:t>
      </w:r>
      <w:r w:rsidRPr="00375DD4">
        <w:rPr>
          <w:noProof/>
        </w:rPr>
        <w:t>2022</w:t>
      </w:r>
      <w:r>
        <w:rPr>
          <w:noProof/>
        </w:rPr>
        <w:t>/</w:t>
      </w:r>
      <w:r w:rsidRPr="00375DD4">
        <w:rPr>
          <w:noProof/>
        </w:rPr>
        <w:t>2560</w:t>
      </w:r>
      <w:r>
        <w:rPr>
          <w:noProof/>
        </w:rPr>
        <w:t xml:space="preserve"> cu privire la subiecte-cheie și publicarea în timp util a informațiilor legate de cauze.</w:t>
      </w:r>
    </w:p>
    <w:p w14:paraId="6026F4FA" w14:textId="610F5962" w:rsidR="00CB098E" w:rsidRPr="00375DD4" w:rsidRDefault="00972FB9" w:rsidP="0088345F">
      <w:pPr>
        <w:pStyle w:val="Heading2"/>
        <w:rPr>
          <w:noProof/>
        </w:rPr>
      </w:pPr>
      <w:bookmarkStart w:id="26" w:name="_Toc228901760"/>
      <w:bookmarkEnd w:id="25"/>
      <w:r w:rsidRPr="00375DD4">
        <w:rPr>
          <w:noProof/>
        </w:rPr>
        <w:t xml:space="preserve">Referitor la notificările în cadrul </w:t>
      </w:r>
      <w:bookmarkEnd w:id="26"/>
      <w:r w:rsidRPr="00375DD4">
        <w:rPr>
          <w:noProof/>
        </w:rPr>
        <w:t>procedurilor de achiziții publice</w:t>
      </w:r>
    </w:p>
    <w:p w14:paraId="4DC8B3B6" w14:textId="094D47BC" w:rsidR="007D7F0C" w:rsidRPr="00AA0B88" w:rsidRDefault="534D1113" w:rsidP="00804401">
      <w:pPr>
        <w:pStyle w:val="Text2"/>
        <w:ind w:left="0"/>
        <w:rPr>
          <w:noProof/>
        </w:rPr>
      </w:pPr>
      <w:r>
        <w:rPr>
          <w:noProof/>
        </w:rPr>
        <w:t xml:space="preserve">Astfel cum s-a confirmat în cadrul analizei, procedura de notificare </w:t>
      </w:r>
      <w:r w:rsidRPr="00375DD4">
        <w:rPr>
          <w:i/>
          <w:iCs/>
          <w:noProof/>
        </w:rPr>
        <w:t>ex ante</w:t>
      </w:r>
      <w:r>
        <w:rPr>
          <w:noProof/>
        </w:rPr>
        <w:t xml:space="preserve"> pentru achizițiile publice este o componentă importantă a cadrului Regulamentului (UE) </w:t>
      </w:r>
      <w:r w:rsidRPr="00375DD4">
        <w:rPr>
          <w:noProof/>
        </w:rPr>
        <w:t>2022</w:t>
      </w:r>
      <w:r>
        <w:rPr>
          <w:noProof/>
        </w:rPr>
        <w:t>/</w:t>
      </w:r>
      <w:r w:rsidRPr="00375DD4">
        <w:rPr>
          <w:noProof/>
        </w:rPr>
        <w:t>2560</w:t>
      </w:r>
      <w:r>
        <w:rPr>
          <w:noProof/>
        </w:rPr>
        <w:t xml:space="preserve">, care permite Comisiei să identifice și să abordeze subvențiile străine care cauzează denaturări și în cadrul procedurilor de achiziții publice cu valoare ridicată. În același timp, experiența timpurie în materie de asigurare a respectării legislației, împreună cu feedbackul părților interesate, par să indice că cerințele de depunere legate de raportarea FFC, în special pregătirea formularului FS-PP și procesul subiacent de colectare a informațiilor, pot genera o sarcină disproporționată pentru operatorii economici. </w:t>
      </w:r>
    </w:p>
    <w:p w14:paraId="7DD4EB7C" w14:textId="4C707B5B" w:rsidR="007D7F0C" w:rsidRDefault="0049005C" w:rsidP="00804401">
      <w:pPr>
        <w:pStyle w:val="Text2"/>
        <w:ind w:left="0"/>
        <w:rPr>
          <w:noProof/>
        </w:rPr>
      </w:pPr>
      <w:r>
        <w:rPr>
          <w:noProof/>
        </w:rPr>
        <w:t xml:space="preserve">Pentru a răspunde acestor preocupări, menținând în același timp eficacitatea Regulamentului (UE) </w:t>
      </w:r>
      <w:r w:rsidRPr="00375DD4">
        <w:rPr>
          <w:noProof/>
        </w:rPr>
        <w:t>2022</w:t>
      </w:r>
      <w:r>
        <w:rPr>
          <w:noProof/>
        </w:rPr>
        <w:t>/</w:t>
      </w:r>
      <w:r w:rsidRPr="00375DD4">
        <w:rPr>
          <w:noProof/>
        </w:rPr>
        <w:t>2560</w:t>
      </w:r>
      <w:r>
        <w:rPr>
          <w:noProof/>
        </w:rPr>
        <w:t xml:space="preserve">, Comisia poate lua în considerare posibile ajustări ale cadrului procedural pentru a reduce sarcina administrativă asupra întreprinderilor și pentru a facilita conformitatea. </w:t>
      </w:r>
    </w:p>
    <w:p w14:paraId="4D10C9BB" w14:textId="21FC498B" w:rsidR="007D7F0C" w:rsidRDefault="007D7F0C" w:rsidP="00804401">
      <w:pPr>
        <w:pStyle w:val="Text2"/>
        <w:ind w:left="0"/>
        <w:rPr>
          <w:noProof/>
        </w:rPr>
      </w:pPr>
      <w:r>
        <w:rPr>
          <w:noProof/>
        </w:rPr>
        <w:t xml:space="preserve">În paralel, Comisia își va continua eforturile de consolidare a sensibilizării și a conformității și de sporire a transparenței practicii sale de asigurare a respectării legislației, inclusiv prin activități de informare pentru autoritățile contractante, operatorii economici și practicieni. De asemenea, Comisia își va aprofunda în continuare dialogul cu statele membre prin schimburi periodice cu punctele naționale de contact și cu Grupul specific de experți în achiziții publice în domeniul Regulamentului (UE) </w:t>
      </w:r>
      <w:r w:rsidRPr="00375DD4">
        <w:rPr>
          <w:noProof/>
        </w:rPr>
        <w:t>2022</w:t>
      </w:r>
      <w:r>
        <w:rPr>
          <w:noProof/>
        </w:rPr>
        <w:t>/</w:t>
      </w:r>
      <w:r w:rsidRPr="00375DD4">
        <w:rPr>
          <w:noProof/>
        </w:rPr>
        <w:t>2560</w:t>
      </w:r>
      <w:r>
        <w:rPr>
          <w:noProof/>
        </w:rPr>
        <w:t xml:space="preserve">, cu scopul de a asigura o înțelegere coerentă a obligațiilor în temeiul Regulamentului (UE) </w:t>
      </w:r>
      <w:r w:rsidRPr="00375DD4">
        <w:rPr>
          <w:noProof/>
        </w:rPr>
        <w:t>2022</w:t>
      </w:r>
      <w:r>
        <w:rPr>
          <w:noProof/>
        </w:rPr>
        <w:t>/</w:t>
      </w:r>
      <w:r w:rsidRPr="00375DD4">
        <w:rPr>
          <w:noProof/>
        </w:rPr>
        <w:t>2560</w:t>
      </w:r>
      <w:r>
        <w:rPr>
          <w:noProof/>
        </w:rPr>
        <w:t xml:space="preserve"> în întreaga Uniune.</w:t>
      </w:r>
    </w:p>
    <w:p w14:paraId="7EDD76A4" w14:textId="52D99E62" w:rsidR="008C7584" w:rsidRPr="00375DD4" w:rsidRDefault="008C7584" w:rsidP="0088345F">
      <w:pPr>
        <w:pStyle w:val="Heading1"/>
        <w:rPr>
          <w:noProof/>
        </w:rPr>
      </w:pPr>
      <w:bookmarkStart w:id="27" w:name="_Toc228901765"/>
      <w:r w:rsidRPr="00375DD4">
        <w:rPr>
          <w:noProof/>
        </w:rPr>
        <w:t>CONCLUZIE</w:t>
      </w:r>
      <w:bookmarkEnd w:id="27"/>
      <w:r w:rsidRPr="00375DD4">
        <w:rPr>
          <w:noProof/>
        </w:rPr>
        <w:t xml:space="preserve"> </w:t>
      </w:r>
    </w:p>
    <w:p w14:paraId="36092B5B" w14:textId="6B0E642F" w:rsidR="0033096F" w:rsidRDefault="00DD2471" w:rsidP="0033096F">
      <w:pPr>
        <w:rPr>
          <w:noProof/>
        </w:rPr>
      </w:pPr>
      <w:r>
        <w:rPr>
          <w:noProof/>
        </w:rPr>
        <w:t xml:space="preserve">Regulamentul (UE) </w:t>
      </w:r>
      <w:r w:rsidRPr="00375DD4">
        <w:rPr>
          <w:noProof/>
        </w:rPr>
        <w:t>2022</w:t>
      </w:r>
      <w:r>
        <w:rPr>
          <w:noProof/>
        </w:rPr>
        <w:t>/</w:t>
      </w:r>
      <w:r w:rsidRPr="00375DD4">
        <w:rPr>
          <w:noProof/>
        </w:rPr>
        <w:t>2560</w:t>
      </w:r>
      <w:r>
        <w:rPr>
          <w:noProof/>
        </w:rPr>
        <w:t xml:space="preserve"> joacă un rol fundamental și central în eforturile Uniunii de a aborda denaturările de pe piața internă cauzate de subvențiile străine. Obiectivul general al Regulamentului (UE) </w:t>
      </w:r>
      <w:r w:rsidRPr="00375DD4">
        <w:rPr>
          <w:noProof/>
        </w:rPr>
        <w:t>2022</w:t>
      </w:r>
      <w:r>
        <w:rPr>
          <w:noProof/>
        </w:rPr>
        <w:t>/</w:t>
      </w:r>
      <w:r w:rsidRPr="00375DD4">
        <w:rPr>
          <w:noProof/>
        </w:rPr>
        <w:t>2560</w:t>
      </w:r>
      <w:r>
        <w:rPr>
          <w:noProof/>
        </w:rPr>
        <w:t xml:space="preserve">, care este de a preveni denaturările de pe piața internă cauzate de subvențiile străine, este recunoscut pe scară largă și rămâne foarte relevant. Constatările revizuirii evidențiază importanța Regulamentului (UE) </w:t>
      </w:r>
      <w:r w:rsidRPr="00375DD4">
        <w:rPr>
          <w:noProof/>
        </w:rPr>
        <w:t>2022</w:t>
      </w:r>
      <w:r>
        <w:rPr>
          <w:noProof/>
        </w:rPr>
        <w:t>/</w:t>
      </w:r>
      <w:r w:rsidRPr="00375DD4">
        <w:rPr>
          <w:noProof/>
        </w:rPr>
        <w:t>2560</w:t>
      </w:r>
      <w:r>
        <w:rPr>
          <w:noProof/>
        </w:rPr>
        <w:t xml:space="preserve"> și confirmă că regulamentul a reușit să detecteze concentrările și achizițiile publice cu grad ridicat de risc, astfel cum o demonstrează practica decizională a Comisiei și deciziile finale adoptate cu angajamente în temeiul capitolelor </w:t>
      </w:r>
      <w:r w:rsidRPr="00375DD4">
        <w:rPr>
          <w:noProof/>
        </w:rPr>
        <w:t>3</w:t>
      </w:r>
      <w:r>
        <w:rPr>
          <w:noProof/>
        </w:rPr>
        <w:t xml:space="preserve"> și </w:t>
      </w:r>
      <w:r w:rsidRPr="00375DD4">
        <w:rPr>
          <w:noProof/>
        </w:rPr>
        <w:t>4</w:t>
      </w:r>
      <w:r>
        <w:rPr>
          <w:noProof/>
        </w:rPr>
        <w:t xml:space="preserve"> din Regulamentul (UE) </w:t>
      </w:r>
      <w:r w:rsidRPr="00375DD4">
        <w:rPr>
          <w:noProof/>
        </w:rPr>
        <w:t>2022</w:t>
      </w:r>
      <w:r>
        <w:rPr>
          <w:noProof/>
        </w:rPr>
        <w:t>/</w:t>
      </w:r>
      <w:r w:rsidRPr="00375DD4">
        <w:rPr>
          <w:noProof/>
        </w:rPr>
        <w:t>2560</w:t>
      </w:r>
      <w:r>
        <w:rPr>
          <w:noProof/>
        </w:rPr>
        <w:t xml:space="preserve">, precum și investigațiile sale în curs, la momentul publicării, în cadrul procedurii din oficiu. </w:t>
      </w:r>
    </w:p>
    <w:p w14:paraId="7C520B72" w14:textId="04559C5E" w:rsidR="00DD2471" w:rsidRPr="009B4357" w:rsidRDefault="00EB6A93" w:rsidP="00EB6A93">
      <w:pPr>
        <w:rPr>
          <w:noProof/>
        </w:rPr>
      </w:pPr>
      <w:r>
        <w:rPr>
          <w:noProof/>
        </w:rPr>
        <w:t xml:space="preserve">Având în vedere feedbackul primit din partea părților interesate, Comisia poate avea în vedere posibile ajustări ale procedurilor prevăzute de Regulamentul (UE) </w:t>
      </w:r>
      <w:r w:rsidRPr="00375DD4">
        <w:rPr>
          <w:noProof/>
        </w:rPr>
        <w:t>2022</w:t>
      </w:r>
      <w:r>
        <w:rPr>
          <w:noProof/>
        </w:rPr>
        <w:t>/</w:t>
      </w:r>
      <w:r w:rsidRPr="00375DD4">
        <w:rPr>
          <w:noProof/>
        </w:rPr>
        <w:t>2560</w:t>
      </w:r>
      <w:bookmarkStart w:id="28" w:name="_Hlk232513662"/>
      <w:r>
        <w:rPr>
          <w:noProof/>
        </w:rPr>
        <w:t>, în scopul reducerii sarcinii administrative care revine întreprinderilor și al facilitării conformării la cerințele regulamentului, menținând totodată eficacitatea acestuia</w:t>
      </w:r>
      <w:bookmarkEnd w:id="28"/>
      <w:r>
        <w:rPr>
          <w:noProof/>
        </w:rPr>
        <w:t>.</w:t>
      </w:r>
    </w:p>
    <w:p w14:paraId="5644FE9B" w14:textId="2FB5B64B" w:rsidR="00A140A7" w:rsidRPr="00AA0B88" w:rsidRDefault="00CE4D15" w:rsidP="00DD2471">
      <w:pPr>
        <w:rPr>
          <w:noProof/>
        </w:rPr>
      </w:pPr>
      <w:r>
        <w:rPr>
          <w:noProof/>
        </w:rPr>
        <w:t xml:space="preserve">Comisia își menține angajamentul de a asigura respectarea Regulamentului (UE) </w:t>
      </w:r>
      <w:r w:rsidRPr="00375DD4">
        <w:rPr>
          <w:noProof/>
        </w:rPr>
        <w:t>2022</w:t>
      </w:r>
      <w:r>
        <w:rPr>
          <w:noProof/>
        </w:rPr>
        <w:t>/</w:t>
      </w:r>
      <w:r w:rsidRPr="00375DD4">
        <w:rPr>
          <w:noProof/>
        </w:rPr>
        <w:t>2560</w:t>
      </w:r>
      <w:r>
        <w:rPr>
          <w:noProof/>
        </w:rPr>
        <w:t xml:space="preserve"> ori de câte ori este necesar pentru a asigura condiții de concurență echitabile și pentru a proteja piața internă de subvențiile străine care denaturează concurența.</w:t>
      </w:r>
    </w:p>
    <w:sectPr w:rsidR="00A140A7" w:rsidRPr="00AA0B88" w:rsidSect="009A6162">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089F2" w14:textId="77777777" w:rsidR="00C977C1" w:rsidRDefault="00C977C1">
      <w:pPr>
        <w:spacing w:after="0"/>
      </w:pPr>
      <w:r>
        <w:separator/>
      </w:r>
    </w:p>
  </w:endnote>
  <w:endnote w:type="continuationSeparator" w:id="0">
    <w:p w14:paraId="743CED82" w14:textId="77777777" w:rsidR="00C977C1" w:rsidRDefault="00C977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4674E" w14:textId="0534577B" w:rsidR="00B02272" w:rsidRPr="00B02272" w:rsidRDefault="00B02272" w:rsidP="00B02272">
    <w:pPr>
      <w:pStyle w:val="FooterCoverPage"/>
      <w:rPr>
        <w:rFonts w:ascii="Arial" w:hAnsi="Arial" w:cs="Arial"/>
        <w:b/>
        <w:sz w:val="48"/>
      </w:rPr>
    </w:pPr>
    <w:r w:rsidRPr="00B02272">
      <w:rPr>
        <w:rFonts w:ascii="Arial" w:hAnsi="Arial" w:cs="Arial"/>
        <w:b/>
        <w:sz w:val="48"/>
      </w:rPr>
      <w:t>RO</w:t>
    </w:r>
    <w:r w:rsidRPr="00B02272">
      <w:rPr>
        <w:rFonts w:ascii="Arial" w:hAnsi="Arial" w:cs="Arial"/>
        <w:b/>
        <w:sz w:val="48"/>
      </w:rPr>
      <w:tab/>
    </w:r>
    <w:r w:rsidRPr="00B02272">
      <w:rPr>
        <w:rFonts w:ascii="Arial" w:hAnsi="Arial" w:cs="Arial"/>
        <w:b/>
        <w:sz w:val="48"/>
      </w:rPr>
      <w:tab/>
    </w:r>
    <w:r w:rsidRPr="00B02272">
      <w:tab/>
    </w:r>
    <w:r w:rsidRPr="00B0227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7EA39" w14:textId="5A7A8DDF" w:rsidR="00B02272" w:rsidRPr="00B02272" w:rsidRDefault="00B02272" w:rsidP="00B02272">
    <w:pPr>
      <w:pStyle w:val="FooterCoverPage"/>
      <w:rPr>
        <w:rFonts w:ascii="Arial" w:hAnsi="Arial" w:cs="Arial"/>
        <w:b/>
        <w:sz w:val="48"/>
      </w:rPr>
    </w:pPr>
    <w:r w:rsidRPr="00B02272">
      <w:rPr>
        <w:rFonts w:ascii="Arial" w:hAnsi="Arial" w:cs="Arial"/>
        <w:b/>
        <w:sz w:val="48"/>
      </w:rPr>
      <w:t>RO</w:t>
    </w:r>
    <w:r w:rsidRPr="00B02272">
      <w:rPr>
        <w:rFonts w:ascii="Arial" w:hAnsi="Arial" w:cs="Arial"/>
        <w:b/>
        <w:sz w:val="48"/>
      </w:rPr>
      <w:tab/>
    </w:r>
    <w:r w:rsidRPr="00B02272">
      <w:rPr>
        <w:rFonts w:ascii="Arial" w:hAnsi="Arial" w:cs="Arial"/>
        <w:b/>
        <w:sz w:val="48"/>
      </w:rPr>
      <w:tab/>
    </w:r>
    <w:r w:rsidRPr="00B02272">
      <w:tab/>
    </w:r>
    <w:r w:rsidRPr="00B0227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6399" w14:textId="77777777" w:rsidR="00B02272" w:rsidRPr="00B02272" w:rsidRDefault="00B02272" w:rsidP="00B022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C305" w14:textId="77777777" w:rsidR="008E336A" w:rsidRDefault="008E336A">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8236" w14:textId="1906FBA7" w:rsidR="008E336A" w:rsidRDefault="008E336A">
    <w:pPr>
      <w:pStyle w:val="FooterLine"/>
      <w:jc w:val="center"/>
    </w:pPr>
    <w:r>
      <w:fldChar w:fldCharType="begin"/>
    </w:r>
    <w:r>
      <w:instrText>PAGE   \* MERGEFORMAT</w:instrText>
    </w:r>
    <w:r>
      <w:fldChar w:fldCharType="separate"/>
    </w:r>
    <w:r w:rsidR="00B02272">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1F7D" w14:textId="32DAF27E" w:rsidR="008E336A" w:rsidRPr="00B26EE7" w:rsidRDefault="00B26EE7" w:rsidP="00B26EE7">
    <w:pPr>
      <w:pStyle w:val="Footer"/>
      <w:spacing w:before="120"/>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BE242" w14:textId="77777777" w:rsidR="00C977C1" w:rsidRDefault="00C977C1">
      <w:pPr>
        <w:spacing w:after="0"/>
      </w:pPr>
      <w:r>
        <w:separator/>
      </w:r>
    </w:p>
  </w:footnote>
  <w:footnote w:type="continuationSeparator" w:id="0">
    <w:p w14:paraId="601D0680" w14:textId="77777777" w:rsidR="00C977C1" w:rsidRDefault="00C977C1">
      <w:pPr>
        <w:spacing w:after="0"/>
      </w:pPr>
      <w:r>
        <w:continuationSeparator/>
      </w:r>
    </w:p>
  </w:footnote>
  <w:footnote w:id="1">
    <w:p w14:paraId="3B4383FD" w14:textId="257FFE1E" w:rsidR="00A16B12" w:rsidRPr="00A16B12" w:rsidRDefault="00A16B12">
      <w:pPr>
        <w:pStyle w:val="FootnoteText"/>
      </w:pPr>
      <w:r>
        <w:t>(</w:t>
      </w:r>
      <w:r>
        <w:rPr>
          <w:rStyle w:val="FootnoteReference"/>
        </w:rPr>
        <w:footnoteRef/>
      </w:r>
      <w:r>
        <w:t>)</w:t>
      </w:r>
      <w:r>
        <w:tab/>
        <w:t>Regulamentul (UE) </w:t>
      </w:r>
      <w:r w:rsidRPr="00375DD4">
        <w:t>2022</w:t>
      </w:r>
      <w:r>
        <w:t>/</w:t>
      </w:r>
      <w:r w:rsidRPr="00375DD4">
        <w:t>2560</w:t>
      </w:r>
      <w:r>
        <w:t xml:space="preserve"> al Parlamentului European și al Consiliului din </w:t>
      </w:r>
      <w:r w:rsidRPr="00375DD4">
        <w:t>14</w:t>
      </w:r>
      <w:r>
        <w:t> decembrie </w:t>
      </w:r>
      <w:r w:rsidRPr="00375DD4">
        <w:t>2022</w:t>
      </w:r>
      <w:r>
        <w:t xml:space="preserve"> privind subvențiile străine care denaturează piața internă, JO L </w:t>
      </w:r>
      <w:r w:rsidRPr="00375DD4">
        <w:t>330</w:t>
      </w:r>
      <w:r>
        <w:t xml:space="preserve">, </w:t>
      </w:r>
      <w:r w:rsidRPr="00375DD4">
        <w:t>23</w:t>
      </w:r>
      <w:r>
        <w:t>.</w:t>
      </w:r>
      <w:r w:rsidRPr="00375DD4">
        <w:t>12</w:t>
      </w:r>
      <w:r>
        <w:t>.</w:t>
      </w:r>
      <w:r w:rsidRPr="00375DD4">
        <w:t>2022</w:t>
      </w:r>
      <w:r>
        <w:t>, p. </w:t>
      </w:r>
      <w:r w:rsidRPr="00375DD4">
        <w:t>1</w:t>
      </w:r>
      <w:r>
        <w:t>, ELI: </w:t>
      </w:r>
      <w:hyperlink r:id="rId1" w:tooltip="Oferă acces la acest document prin identificatorul său uniform de resurse ELI." w:history="1">
        <w:r w:rsidRPr="00375DD4">
          <w:rPr>
            <w:rStyle w:val="Hyperlink"/>
          </w:rPr>
          <w:t>http://data.europa.eu/eli/reg/2022/2560/oj</w:t>
        </w:r>
      </w:hyperlink>
    </w:p>
  </w:footnote>
  <w:footnote w:id="2">
    <w:p w14:paraId="10B1D516" w14:textId="31E666AC" w:rsidR="00140999" w:rsidRPr="006419E4" w:rsidRDefault="00140999" w:rsidP="00140999">
      <w:pPr>
        <w:pStyle w:val="FootnoteText"/>
      </w:pPr>
      <w:r>
        <w:t>(</w:t>
      </w:r>
      <w:r>
        <w:rPr>
          <w:rStyle w:val="FootnoteReference"/>
        </w:rPr>
        <w:footnoteRef/>
      </w:r>
      <w:r>
        <w:t>)</w:t>
      </w:r>
      <w:r>
        <w:tab/>
      </w:r>
      <w:hyperlink r:id="rId2" w:history="1">
        <w:r w:rsidRPr="00375DD4">
          <w:rPr>
            <w:rStyle w:val="Hyperlink"/>
          </w:rPr>
          <w:t>Contract-cadru multiplu mixt pentru furnizarea de servicii și studii de expertiză în contextul investigațiilor și aplicării legii în legătură cu subvențiile externe)</w:t>
        </w:r>
      </w:hyperlink>
      <w:r>
        <w:t xml:space="preserve"> (COMP/</w:t>
      </w:r>
      <w:r w:rsidRPr="00375DD4">
        <w:t>2023</w:t>
      </w:r>
      <w:r>
        <w:t>/OP/</w:t>
      </w:r>
      <w:r w:rsidRPr="00375DD4">
        <w:t>0017</w:t>
      </w:r>
      <w:r>
        <w:t>).</w:t>
      </w:r>
    </w:p>
  </w:footnote>
  <w:footnote w:id="3">
    <w:p w14:paraId="236BCFE7" w14:textId="715941E3" w:rsidR="008629AE" w:rsidRPr="00B65535" w:rsidRDefault="008629AE" w:rsidP="008629AE">
      <w:pPr>
        <w:pStyle w:val="FootnoteText"/>
      </w:pPr>
      <w:r>
        <w:t>(</w:t>
      </w:r>
      <w:r>
        <w:rPr>
          <w:rStyle w:val="FootnoteReference"/>
        </w:rPr>
        <w:footnoteRef/>
      </w:r>
      <w:r>
        <w:t>)</w:t>
      </w:r>
      <w:r>
        <w:tab/>
        <w:t xml:space="preserve">Raport de sinteză privind consultarea publică referitoare la raportul de analiză a Regulamentului (UE) </w:t>
      </w:r>
      <w:r w:rsidRPr="00375DD4">
        <w:t>2022</w:t>
      </w:r>
      <w:r>
        <w:t>/</w:t>
      </w:r>
      <w:r w:rsidRPr="00375DD4">
        <w:t>2560</w:t>
      </w:r>
      <w:r>
        <w:t xml:space="preserve">, disponibil pe portalul Exprimați-vă părerea la </w:t>
      </w:r>
      <w:hyperlink r:id="rId3" w:history="1">
        <w:r w:rsidRPr="00375DD4">
          <w:rPr>
            <w:rStyle w:val="Hyperlink"/>
          </w:rPr>
          <w:t>Raportul de evaluare privind subvențiile străine – consultare publică</w:t>
        </w:r>
      </w:hyperlink>
      <w:r w:rsidRPr="00375DD4">
        <w:rPr>
          <w:u w:val="single"/>
        </w:rPr>
        <w:t>.</w:t>
      </w:r>
    </w:p>
  </w:footnote>
  <w:footnote w:id="4">
    <w:p w14:paraId="3AA9BBDE" w14:textId="321B62C2" w:rsidR="00B942A3" w:rsidRPr="00621E93" w:rsidRDefault="00B942A3" w:rsidP="00B942A3">
      <w:pPr>
        <w:pStyle w:val="FootnoteText"/>
      </w:pPr>
      <w:r>
        <w:t>(</w:t>
      </w:r>
      <w:r>
        <w:rPr>
          <w:rStyle w:val="FootnoteReference"/>
        </w:rPr>
        <w:footnoteRef/>
      </w:r>
      <w:r>
        <w:t>)</w:t>
      </w:r>
      <w:r>
        <w:tab/>
        <w:t xml:space="preserve">Anexa I la Regulamentul (UE) </w:t>
      </w:r>
      <w:r w:rsidRPr="00375DD4">
        <w:t>2023</w:t>
      </w:r>
      <w:r>
        <w:t>/</w:t>
      </w:r>
      <w:r w:rsidRPr="00375DD4">
        <w:t>1441</w:t>
      </w:r>
      <w:r>
        <w:t xml:space="preserve"> privește formularul FS-CO privind notificarea unei concentrări în temeiul Regulamentului (UE) </w:t>
      </w:r>
      <w:r w:rsidRPr="00375DD4">
        <w:t>2022</w:t>
      </w:r>
      <w:r>
        <w:t>/</w:t>
      </w:r>
      <w:r w:rsidRPr="00375DD4">
        <w:t>2560</w:t>
      </w:r>
      <w:r>
        <w:t xml:space="preserve">, iar anexa II la Regulamentul (UE) </w:t>
      </w:r>
      <w:r w:rsidRPr="00375DD4">
        <w:t>2023</w:t>
      </w:r>
      <w:r>
        <w:t>/</w:t>
      </w:r>
      <w:r w:rsidRPr="00375DD4">
        <w:t>1441</w:t>
      </w:r>
      <w:r>
        <w:t xml:space="preserve"> privește formularul FS-PP de notificare a contribuțiilor financiare în contextul procedurilor de achiziții publice în temeiul Regulamentului (UE) </w:t>
      </w:r>
      <w:r w:rsidRPr="00375DD4">
        <w:t>2022</w:t>
      </w:r>
      <w:r>
        <w:t>/</w:t>
      </w:r>
      <w:r w:rsidRPr="00375DD4">
        <w:t>2560</w:t>
      </w:r>
      <w:r>
        <w:t xml:space="preserve">. Regulamentul (UE) </w:t>
      </w:r>
      <w:r w:rsidRPr="00375DD4">
        <w:t>2023</w:t>
      </w:r>
      <w:r>
        <w:t>/</w:t>
      </w:r>
      <w:r w:rsidRPr="00375DD4">
        <w:t>1441</w:t>
      </w:r>
      <w:r>
        <w:t xml:space="preserve"> a vizat, de asemenea, normele privind accesul la dosar și tratamentul informațiilor confidențiale, cerințele de transparență, normele de calculare a termenelor și procesul de investigație al Comisiei, inclusiv detaliile procedurale pentru propunerea de angajamente de către întreprinderea care face obiectul investigației.</w:t>
      </w:r>
    </w:p>
  </w:footnote>
  <w:footnote w:id="5">
    <w:p w14:paraId="318F15A7" w14:textId="4AE4B946" w:rsidR="00557E08" w:rsidRPr="006419E4" w:rsidRDefault="00557E08" w:rsidP="00557E08">
      <w:pPr>
        <w:pStyle w:val="FootnoteText"/>
      </w:pPr>
      <w:r>
        <w:t>(</w:t>
      </w:r>
      <w:r>
        <w:rPr>
          <w:rStyle w:val="FootnoteReference"/>
        </w:rPr>
        <w:footnoteRef/>
      </w:r>
      <w:r>
        <w:t>)</w:t>
      </w:r>
      <w:r>
        <w:tab/>
        <w:t xml:space="preserve">Document de lucru al serviciilor Comisiei – </w:t>
      </w:r>
      <w:hyperlink r:id="rId4" w:history="1">
        <w:r w:rsidRPr="00375DD4">
          <w:rPr>
            <w:rStyle w:val="Hyperlink"/>
          </w:rPr>
          <w:t>Clarificări inițiale privind aplicarea articolului 4 alineatul (1), a articolului 6 și a articolului 27 alineatul (1) din Regulamentul (UE) 2022/2560 privind subvențiile străine care denaturează piața internă</w:t>
        </w:r>
      </w:hyperlink>
      <w:r>
        <w:t>, SWD(</w:t>
      </w:r>
      <w:r w:rsidRPr="00375DD4">
        <w:t>2024</w:t>
      </w:r>
      <w:r>
        <w:t xml:space="preserve">) </w:t>
      </w:r>
      <w:r w:rsidRPr="00375DD4">
        <w:t>201</w:t>
      </w:r>
      <w:r>
        <w:t xml:space="preserve"> final.</w:t>
      </w:r>
    </w:p>
  </w:footnote>
  <w:footnote w:id="6">
    <w:p w14:paraId="0BB3FE3F" w14:textId="4EE752E9" w:rsidR="00F83CAE" w:rsidRDefault="003D5FF1" w:rsidP="00F83CAE">
      <w:pPr>
        <w:pStyle w:val="FootnoteText"/>
      </w:pPr>
      <w:r>
        <w:t>(</w:t>
      </w:r>
      <w:r>
        <w:rPr>
          <w:rStyle w:val="FootnoteReference"/>
        </w:rPr>
        <w:footnoteRef/>
      </w:r>
      <w:r>
        <w:t>)</w:t>
      </w:r>
      <w:r>
        <w:tab/>
        <w:t xml:space="preserve">Site-ul web </w:t>
      </w:r>
      <w:r w:rsidR="00A92806">
        <w:t xml:space="preserve">al </w:t>
      </w:r>
      <w:r>
        <w:t xml:space="preserve">DG COMP – </w:t>
      </w:r>
      <w:hyperlink r:id="rId5" w:history="1">
        <w:r w:rsidRPr="00375DD4">
          <w:rPr>
            <w:rStyle w:val="Hyperlink"/>
          </w:rPr>
          <w:t>FSR Q&amp;As</w:t>
        </w:r>
      </w:hyperlink>
      <w:r>
        <w:t>.</w:t>
      </w:r>
    </w:p>
    <w:p w14:paraId="5E64129A" w14:textId="182C17A1" w:rsidR="003D5FF1" w:rsidRPr="00B729AE" w:rsidRDefault="00F83CAE" w:rsidP="00AA0B88">
      <w:pPr>
        <w:pStyle w:val="FootnoteText"/>
        <w:ind w:firstLine="0"/>
      </w:pPr>
      <w:r>
        <w:t xml:space="preserve">Site-ul web </w:t>
      </w:r>
      <w:r w:rsidR="00A92806">
        <w:t xml:space="preserve">al </w:t>
      </w:r>
      <w:r>
        <w:t xml:space="preserve">DG GROW – </w:t>
      </w:r>
      <w:hyperlink r:id="rId6" w:history="1">
        <w:r w:rsidRPr="00375DD4">
          <w:rPr>
            <w:rStyle w:val="Hyperlink"/>
          </w:rPr>
          <w:t>FSR Q&amp;As</w:t>
        </w:r>
      </w:hyperlink>
      <w:r>
        <w:t xml:space="preserve">. </w:t>
      </w:r>
    </w:p>
  </w:footnote>
  <w:footnote w:id="7">
    <w:p w14:paraId="5A87A207" w14:textId="64610694" w:rsidR="00640555" w:rsidRPr="003D5FF1" w:rsidRDefault="00640555" w:rsidP="00640555">
      <w:pPr>
        <w:pStyle w:val="FootnoteText"/>
      </w:pPr>
      <w:r>
        <w:t>(</w:t>
      </w:r>
      <w:r>
        <w:rPr>
          <w:rStyle w:val="FootnoteReference"/>
        </w:rPr>
        <w:footnoteRef/>
      </w:r>
      <w:r>
        <w:t>)</w:t>
      </w:r>
      <w:r>
        <w:tab/>
        <w:t xml:space="preserve">Comunicarea Comisiei – </w:t>
      </w:r>
      <w:hyperlink r:id="rId7" w:anchor="foreign-subsidies-regulation-guidelines-fsr-guidelines" w:history="1">
        <w:r w:rsidRPr="00375DD4">
          <w:rPr>
            <w:rStyle w:val="Hyperlink"/>
          </w:rPr>
          <w:t>Orientări privind aplicarea anumitor dispoziții ale Regulamentului (UE) 2022/2560 al Parlamentului European și al Consiliului privind subvențiile străine care denaturează piața internă</w:t>
        </w:r>
      </w:hyperlink>
      <w:r>
        <w:t>, C(</w:t>
      </w:r>
      <w:r w:rsidRPr="00375DD4">
        <w:t>2026</w:t>
      </w:r>
      <w:r>
        <w:t>) </w:t>
      </w:r>
      <w:r w:rsidRPr="00375DD4">
        <w:t>42</w:t>
      </w:r>
      <w:r>
        <w:t xml:space="preserve"> final. </w:t>
      </w:r>
    </w:p>
  </w:footnote>
  <w:footnote w:id="8">
    <w:p w14:paraId="09849000" w14:textId="7A4B174B" w:rsidR="00E70D14" w:rsidRPr="00222200" w:rsidRDefault="00E70D14" w:rsidP="00E70D14">
      <w:pPr>
        <w:pStyle w:val="FootnoteText"/>
      </w:pPr>
      <w:r>
        <w:t>(</w:t>
      </w:r>
      <w:r>
        <w:rPr>
          <w:rStyle w:val="FootnoteReference"/>
        </w:rPr>
        <w:footnoteRef/>
      </w:r>
      <w:r>
        <w:t>)</w:t>
      </w:r>
      <w:r>
        <w:tab/>
        <w:t xml:space="preserve">Buletin privind concurența în temeiul Regulamentului (UE) </w:t>
      </w:r>
      <w:r w:rsidRPr="00375DD4">
        <w:t>2022</w:t>
      </w:r>
      <w:r>
        <w:t>/</w:t>
      </w:r>
      <w:r w:rsidRPr="00375DD4">
        <w:t>2560</w:t>
      </w:r>
      <w:r>
        <w:t xml:space="preserve"> (numărul </w:t>
      </w:r>
      <w:r w:rsidRPr="00375DD4">
        <w:t>1</w:t>
      </w:r>
      <w:r>
        <w:t xml:space="preserve">, februarie </w:t>
      </w:r>
      <w:r w:rsidRPr="00375DD4">
        <w:t>2024</w:t>
      </w:r>
      <w:r>
        <w:t xml:space="preserve">) – </w:t>
      </w:r>
      <w:hyperlink r:id="rId8" w:history="1">
        <w:r w:rsidRPr="00375DD4">
          <w:rPr>
            <w:rStyle w:val="Hyperlink"/>
            <w:i/>
            <w:iCs/>
          </w:rPr>
          <w:t>The Foreign Subsidies Regulation – 100 days since the start of the notification obligation for concentrations</w:t>
        </w:r>
      </w:hyperlink>
      <w:r>
        <w:t xml:space="preserve"> (Regulamentul privind subvențiile străine – </w:t>
      </w:r>
      <w:r w:rsidRPr="00375DD4">
        <w:t>100</w:t>
      </w:r>
      <w:r>
        <w:t xml:space="preserve"> de zile de la intrarea în vigoare a obligației de notificare a concentrărilor economice). </w:t>
      </w:r>
    </w:p>
  </w:footnote>
  <w:footnote w:id="9">
    <w:p w14:paraId="3D950F8A" w14:textId="1CD4E8F3" w:rsidR="00E70D14" w:rsidRPr="00222200" w:rsidRDefault="00E70D14" w:rsidP="00E70D14">
      <w:pPr>
        <w:pStyle w:val="FootnoteText"/>
      </w:pPr>
      <w:r>
        <w:t>(</w:t>
      </w:r>
      <w:r>
        <w:rPr>
          <w:rStyle w:val="FootnoteReference"/>
        </w:rPr>
        <w:footnoteRef/>
      </w:r>
      <w:r>
        <w:t>)</w:t>
      </w:r>
      <w:r>
        <w:tab/>
        <w:t xml:space="preserve">Buletin privind concurența în temeiul Regulamentului (UE) </w:t>
      </w:r>
      <w:r w:rsidRPr="00375DD4">
        <w:t>2022</w:t>
      </w:r>
      <w:r>
        <w:t>/</w:t>
      </w:r>
      <w:r w:rsidRPr="00375DD4">
        <w:t>2560</w:t>
      </w:r>
      <w:r>
        <w:t xml:space="preserve"> (numărul </w:t>
      </w:r>
      <w:r w:rsidRPr="00375DD4">
        <w:t>1</w:t>
      </w:r>
      <w:r>
        <w:t xml:space="preserve">, martie </w:t>
      </w:r>
      <w:r w:rsidRPr="00375DD4">
        <w:t>2026</w:t>
      </w:r>
      <w:r>
        <w:t xml:space="preserve">) – </w:t>
      </w:r>
      <w:hyperlink r:id="rId9" w:history="1">
        <w:r w:rsidRPr="00375DD4">
          <w:rPr>
            <w:rStyle w:val="Hyperlink"/>
            <w:i/>
            <w:iCs/>
          </w:rPr>
          <w:t>Guidelines on the implementation of the Foreign Subsidies Regulation (‘FSR Guidelines') – Shedding light on key concept</w:t>
        </w:r>
        <w:r w:rsidRPr="00375DD4">
          <w:rPr>
            <w:rStyle w:val="Hyperlink"/>
          </w:rPr>
          <w:t>s</w:t>
        </w:r>
      </w:hyperlink>
      <w:r>
        <w:t xml:space="preserve"> (Orientări privind punerea în aplicare a Regulamentului privind subvențiile străine [„Orientările privind Regulamentul (UE) </w:t>
      </w:r>
      <w:r w:rsidRPr="00375DD4">
        <w:t>2022</w:t>
      </w:r>
      <w:r>
        <w:t>/</w:t>
      </w:r>
      <w:r w:rsidRPr="00375DD4">
        <w:t>2560</w:t>
      </w:r>
      <w:r>
        <w:t xml:space="preserve">”] – Clarificarea conceptelor esențiale). </w:t>
      </w:r>
    </w:p>
  </w:footnote>
  <w:footnote w:id="10">
    <w:p w14:paraId="3AB30FBE" w14:textId="60614FAB" w:rsidR="00E70D14" w:rsidRPr="00222200" w:rsidRDefault="00E70D14" w:rsidP="00E70D14">
      <w:pPr>
        <w:pStyle w:val="FootnoteText"/>
      </w:pPr>
      <w:r>
        <w:t>(</w:t>
      </w:r>
      <w:r>
        <w:rPr>
          <w:rStyle w:val="FootnoteReference"/>
        </w:rPr>
        <w:footnoteRef/>
      </w:r>
      <w:r>
        <w:t>)</w:t>
      </w:r>
      <w:r>
        <w:tab/>
        <w:t xml:space="preserve">Buletin privind concurența în temeiul Regulamentului (UE) </w:t>
      </w:r>
      <w:r w:rsidRPr="00375DD4">
        <w:t>2022</w:t>
      </w:r>
      <w:r>
        <w:t>/</w:t>
      </w:r>
      <w:r w:rsidRPr="00375DD4">
        <w:t>2560</w:t>
      </w:r>
      <w:r>
        <w:t xml:space="preserve"> (numărul </w:t>
      </w:r>
      <w:r w:rsidRPr="00375DD4">
        <w:t>1</w:t>
      </w:r>
      <w:r>
        <w:t>, decembrie</w:t>
      </w:r>
      <w:r w:rsidR="001415BF">
        <w:t> </w:t>
      </w:r>
      <w:r w:rsidRPr="00375DD4">
        <w:t>2025</w:t>
      </w:r>
      <w:r>
        <w:t xml:space="preserve">) – </w:t>
      </w:r>
      <w:hyperlink r:id="rId10" w:history="1">
        <w:r w:rsidRPr="00375DD4">
          <w:rPr>
            <w:rStyle w:val="Hyperlink"/>
            <w:i/>
            <w:iCs/>
          </w:rPr>
          <w:t>The e&amp;/PPF Telecom case – Interference on the foreign subsidies line to the EU</w:t>
        </w:r>
      </w:hyperlink>
      <w:r>
        <w:t xml:space="preserve"> (Cazul e&amp;/PPF Telecom – Interferențe pe linia subvențiilor străine către UE). </w:t>
      </w:r>
    </w:p>
  </w:footnote>
  <w:footnote w:id="11">
    <w:p w14:paraId="2A46487F" w14:textId="06B9B31A" w:rsidR="00D76BCD" w:rsidRPr="00812A40" w:rsidRDefault="00D76BCD">
      <w:pPr>
        <w:pStyle w:val="FootnoteText"/>
      </w:pPr>
      <w:r>
        <w:t>(</w:t>
      </w:r>
      <w:r>
        <w:rPr>
          <w:rStyle w:val="FootnoteReference"/>
        </w:rPr>
        <w:footnoteRef/>
      </w:r>
      <w:r>
        <w:t>)</w:t>
      </w:r>
      <w:r>
        <w:tab/>
        <w:t>DG GROW analizează în prezent posibilitățile de a spori transparența procedurilor de achiziții publice, asigurând în același timp confidențialitatea procedurilor naționale de achiziții publice.</w:t>
      </w:r>
    </w:p>
  </w:footnote>
  <w:footnote w:id="12">
    <w:p w14:paraId="2660FDD3" w14:textId="1E60F7CB" w:rsidR="00E56A3A" w:rsidRPr="00EA7ECD" w:rsidRDefault="00E56A3A" w:rsidP="00EA7ECD">
      <w:pPr>
        <w:pStyle w:val="FootnoteText"/>
      </w:pPr>
      <w:r>
        <w:t>(</w:t>
      </w:r>
      <w:r>
        <w:rPr>
          <w:rStyle w:val="FootnoteReference"/>
        </w:rPr>
        <w:footnoteRef/>
      </w:r>
      <w:r>
        <w:t>)</w:t>
      </w:r>
      <w:r>
        <w:tab/>
      </w:r>
      <w:hyperlink r:id="rId11" w:history="1">
        <w:r w:rsidRPr="00375DD4">
          <w:rPr>
            <w:rStyle w:val="Hyperlink"/>
          </w:rPr>
          <w:t>Rezumat al avizului privind inițierea unei investigații aprofundate în cazul FS.100068 – NUCTECH în temeiul articolului 10 alineatul (3) litera (d) din Regulamentul (UE) 2022/2560</w:t>
        </w:r>
      </w:hyperlink>
      <w:r>
        <w:t xml:space="preserve"> JOUE</w:t>
      </w:r>
      <w:r w:rsidR="00375DD4">
        <w:t> </w:t>
      </w:r>
      <w:r>
        <w:t>C/</w:t>
      </w:r>
      <w:r w:rsidRPr="00375DD4">
        <w:t>2026</w:t>
      </w:r>
      <w:r>
        <w:t>/</w:t>
      </w:r>
      <w:r w:rsidRPr="00375DD4">
        <w:t>545</w:t>
      </w:r>
      <w:r>
        <w:t xml:space="preserve">. </w:t>
      </w:r>
    </w:p>
  </w:footnote>
  <w:footnote w:id="13">
    <w:p w14:paraId="0B435334" w14:textId="1CE46B34" w:rsidR="00EA7ECD" w:rsidRPr="00EA7ECD" w:rsidRDefault="00EA7ECD" w:rsidP="00EA7ECD">
      <w:pPr>
        <w:pStyle w:val="FootnoteText"/>
      </w:pPr>
      <w:r>
        <w:t>(</w:t>
      </w:r>
      <w:r>
        <w:rPr>
          <w:rStyle w:val="FootnoteReference"/>
        </w:rPr>
        <w:footnoteRef/>
      </w:r>
      <w:r>
        <w:t>)</w:t>
      </w:r>
      <w:r>
        <w:tab/>
      </w:r>
      <w:hyperlink r:id="rId12" w:history="1">
        <w:r w:rsidRPr="00375DD4">
          <w:rPr>
            <w:rStyle w:val="Hyperlink"/>
          </w:rPr>
          <w:t>Rezumat al anunțului privind inițierea unei investigații aprofundate în cazul FS.100143 – Goldwind, în temeiul articolului 10 alineatul (3) litera (d) din Regulamentul (UE) 2022/2560</w:t>
        </w:r>
      </w:hyperlink>
      <w:r>
        <w:t xml:space="preserve"> JOUE</w:t>
      </w:r>
      <w:r w:rsidR="00375DD4">
        <w:t> </w:t>
      </w:r>
      <w:r>
        <w:t>C/</w:t>
      </w:r>
      <w:r w:rsidRPr="00375DD4">
        <w:t>2026</w:t>
      </w:r>
      <w:r>
        <w:t>/</w:t>
      </w:r>
      <w:r w:rsidRPr="00375DD4">
        <w:t>1120</w:t>
      </w:r>
      <w:r>
        <w:t xml:space="preserve">. </w:t>
      </w:r>
    </w:p>
  </w:footnote>
  <w:footnote w:id="14">
    <w:p w14:paraId="16CC58B3" w14:textId="501EB6BF" w:rsidR="00765FC1" w:rsidRPr="00F35D5D" w:rsidRDefault="00765FC1">
      <w:pPr>
        <w:pStyle w:val="FootnoteText"/>
      </w:pPr>
      <w:r>
        <w:t>(</w:t>
      </w:r>
      <w:r>
        <w:rPr>
          <w:rStyle w:val="FootnoteReference"/>
        </w:rPr>
        <w:footnoteRef/>
      </w:r>
      <w:r>
        <w:t>)</w:t>
      </w:r>
      <w:r>
        <w:tab/>
        <w:t>Cauza T-</w:t>
      </w:r>
      <w:r w:rsidRPr="00375DD4">
        <w:t>284</w:t>
      </w:r>
      <w:r>
        <w:t>/</w:t>
      </w:r>
      <w:r w:rsidRPr="00375DD4">
        <w:t>24</w:t>
      </w:r>
      <w:r>
        <w:t>, Nuctech Warsaw și Nuctech Netherlands/Comisia, JO C, C/</w:t>
      </w:r>
      <w:r w:rsidRPr="00375DD4">
        <w:t>2024</w:t>
      </w:r>
      <w:r>
        <w:t>/</w:t>
      </w:r>
      <w:r w:rsidRPr="00375DD4">
        <w:t>4107</w:t>
      </w:r>
      <w:r>
        <w:t>, ELI: </w:t>
      </w:r>
      <w:hyperlink r:id="rId13" w:tooltip="Oferă acces la acest document prin identificatorul său uniform de resurse ELI." w:history="1">
        <w:r w:rsidRPr="00375DD4">
          <w:rPr>
            <w:rStyle w:val="Hyperlink"/>
          </w:rPr>
          <w:t>http://data.europa.eu/eli/C/2024/4107/oj</w:t>
        </w:r>
      </w:hyperlink>
      <w:r>
        <w:t>.</w:t>
      </w:r>
    </w:p>
  </w:footnote>
  <w:footnote w:id="15">
    <w:p w14:paraId="5D11ACD2" w14:textId="3A448A95" w:rsidR="00765FC1" w:rsidRPr="00812A40" w:rsidRDefault="00765FC1">
      <w:pPr>
        <w:pStyle w:val="FootnoteText"/>
      </w:pPr>
      <w:r>
        <w:t>(</w:t>
      </w:r>
      <w:r>
        <w:rPr>
          <w:rStyle w:val="FootnoteReference"/>
        </w:rPr>
        <w:footnoteRef/>
      </w:r>
      <w:r>
        <w:t>)</w:t>
      </w:r>
      <w:r>
        <w:tab/>
        <w:t>Cauza T-</w:t>
      </w:r>
      <w:r w:rsidRPr="00375DD4">
        <w:t>284</w:t>
      </w:r>
      <w:r>
        <w:t>/</w:t>
      </w:r>
      <w:r w:rsidRPr="00375DD4">
        <w:t>24</w:t>
      </w:r>
      <w:r>
        <w:t xml:space="preserve"> R, Nuctech Warsaw Company Limited Sp. z o.o. și Nuctech Netherlands BV/Comisia, ECLI:EU:T:</w:t>
      </w:r>
      <w:r w:rsidRPr="00375DD4">
        <w:t>2024</w:t>
      </w:r>
      <w:r>
        <w:t>:</w:t>
      </w:r>
      <w:r w:rsidRPr="00375DD4">
        <w:t>564</w:t>
      </w:r>
      <w:r>
        <w:t>.</w:t>
      </w:r>
    </w:p>
  </w:footnote>
  <w:footnote w:id="16">
    <w:p w14:paraId="5E5D2887" w14:textId="4B29990B" w:rsidR="00765FC1" w:rsidRPr="00812A40" w:rsidRDefault="00765FC1">
      <w:pPr>
        <w:pStyle w:val="FootnoteText"/>
      </w:pPr>
      <w:r>
        <w:t>(</w:t>
      </w:r>
      <w:r>
        <w:rPr>
          <w:rStyle w:val="FootnoteReference"/>
        </w:rPr>
        <w:footnoteRef/>
      </w:r>
      <w:r>
        <w:t>)</w:t>
      </w:r>
      <w:r>
        <w:tab/>
        <w:t>Cauza T-</w:t>
      </w:r>
      <w:r w:rsidRPr="00375DD4">
        <w:t>284</w:t>
      </w:r>
      <w:r>
        <w:t>/</w:t>
      </w:r>
      <w:r w:rsidRPr="00375DD4">
        <w:t>24</w:t>
      </w:r>
      <w:r>
        <w:t xml:space="preserve"> R, Ordonanța președintelui Tribunalului din </w:t>
      </w:r>
      <w:r w:rsidRPr="00375DD4">
        <w:t>12</w:t>
      </w:r>
      <w:r>
        <w:t xml:space="preserve"> august </w:t>
      </w:r>
      <w:r w:rsidRPr="00375DD4">
        <w:t>2024</w:t>
      </w:r>
      <w:r>
        <w:t>, JO C, C/</w:t>
      </w:r>
      <w:r w:rsidRPr="00375DD4">
        <w:t>2024</w:t>
      </w:r>
      <w:r>
        <w:t>/</w:t>
      </w:r>
      <w:r w:rsidRPr="00375DD4">
        <w:t>5824</w:t>
      </w:r>
      <w:r>
        <w:t>, ELI: </w:t>
      </w:r>
      <w:hyperlink r:id="rId14" w:tooltip="Oferă acces la acest document prin identificatorul său uniform de resurse ELI." w:history="1">
        <w:r w:rsidRPr="00375DD4">
          <w:rPr>
            <w:rStyle w:val="Hyperlink"/>
          </w:rPr>
          <w:t>http://data.europa.eu/eli/C/2024/5824/oj</w:t>
        </w:r>
      </w:hyperlink>
      <w:r>
        <w:t>.</w:t>
      </w:r>
    </w:p>
  </w:footnote>
  <w:footnote w:id="17">
    <w:p w14:paraId="6234EFA6" w14:textId="70995F67" w:rsidR="00765FC1" w:rsidRPr="00812A40" w:rsidRDefault="00765FC1">
      <w:pPr>
        <w:pStyle w:val="FootnoteText"/>
      </w:pPr>
      <w:r>
        <w:t>(</w:t>
      </w:r>
      <w:r>
        <w:rPr>
          <w:rStyle w:val="FootnoteReference"/>
        </w:rPr>
        <w:footnoteRef/>
      </w:r>
      <w:r>
        <w:t>)</w:t>
      </w:r>
      <w:r>
        <w:tab/>
        <w:t>cauza C-</w:t>
      </w:r>
      <w:r w:rsidRPr="00375DD4">
        <w:t>720</w:t>
      </w:r>
      <w:r>
        <w:t>/</w:t>
      </w:r>
      <w:r w:rsidRPr="00375DD4">
        <w:t>24</w:t>
      </w:r>
      <w:r>
        <w:t xml:space="preserve"> P (R), Ordonanța vicepreședintelui Tribunalului din </w:t>
      </w:r>
      <w:r w:rsidRPr="00375DD4">
        <w:t>21</w:t>
      </w:r>
      <w:r>
        <w:t xml:space="preserve"> martie </w:t>
      </w:r>
      <w:r w:rsidRPr="00375DD4">
        <w:t>2025</w:t>
      </w:r>
      <w:r>
        <w:t>, ECLI:EU:C:</w:t>
      </w:r>
      <w:r w:rsidRPr="00375DD4">
        <w:t>2025</w:t>
      </w:r>
      <w:r>
        <w:t>:</w:t>
      </w:r>
      <w:r w:rsidRPr="00375DD4">
        <w:t>205</w:t>
      </w:r>
      <w:r>
        <w:t>.</w:t>
      </w:r>
    </w:p>
  </w:footnote>
  <w:footnote w:id="18">
    <w:p w14:paraId="463D2153" w14:textId="1617917B" w:rsidR="00283E74" w:rsidRPr="00AA0B88" w:rsidRDefault="00283E74">
      <w:pPr>
        <w:pStyle w:val="FootnoteText"/>
      </w:pPr>
      <w:r>
        <w:t>(</w:t>
      </w:r>
      <w:r>
        <w:rPr>
          <w:rStyle w:val="FootnoteReference"/>
        </w:rPr>
        <w:footnoteRef/>
      </w:r>
      <w:r>
        <w:t>)</w:t>
      </w:r>
      <w:r>
        <w:tab/>
        <w:t>Cauza T-</w:t>
      </w:r>
      <w:r w:rsidRPr="00375DD4">
        <w:t>335</w:t>
      </w:r>
      <w:r>
        <w:t>/</w:t>
      </w:r>
      <w:r w:rsidRPr="00375DD4">
        <w:t>26</w:t>
      </w:r>
      <w:r>
        <w:t xml:space="preserve">, Goldwind Science &amp; Technology/Comisia, litigiu principal, cerere depusă la </w:t>
      </w:r>
      <w:r w:rsidRPr="00375DD4">
        <w:t>29</w:t>
      </w:r>
      <w:r w:rsidR="00375DD4">
        <w:t> </w:t>
      </w:r>
      <w:r>
        <w:t xml:space="preserve">mai </w:t>
      </w:r>
      <w:r w:rsidRPr="00375DD4">
        <w:t>2026</w:t>
      </w:r>
      <w:r>
        <w:t>.</w:t>
      </w:r>
    </w:p>
  </w:footnote>
  <w:footnote w:id="19">
    <w:p w14:paraId="7D170C13" w14:textId="5199D45D" w:rsidR="00283E74" w:rsidRPr="00AA0B88" w:rsidRDefault="00283E74">
      <w:pPr>
        <w:pStyle w:val="FootnoteText"/>
      </w:pPr>
      <w:r>
        <w:t>(</w:t>
      </w:r>
      <w:r>
        <w:rPr>
          <w:rStyle w:val="FootnoteReference"/>
        </w:rPr>
        <w:footnoteRef/>
      </w:r>
      <w:r>
        <w:t>)</w:t>
      </w:r>
      <w:r>
        <w:tab/>
        <w:t>Cauza T-</w:t>
      </w:r>
      <w:r w:rsidRPr="00375DD4">
        <w:t>335</w:t>
      </w:r>
      <w:r>
        <w:t>/</w:t>
      </w:r>
      <w:r w:rsidRPr="00375DD4">
        <w:t>26</w:t>
      </w:r>
      <w:r>
        <w:t xml:space="preserve"> R, Goldwind Science &amp; Technology/Comisia, cerere de măsuri provizorii, depusă la </w:t>
      </w:r>
      <w:r w:rsidRPr="00375DD4">
        <w:t>29</w:t>
      </w:r>
      <w:r>
        <w:t xml:space="preserve"> mai </w:t>
      </w:r>
      <w:r w:rsidRPr="00375DD4">
        <w:t>2026</w:t>
      </w:r>
      <w:r>
        <w:t>.</w:t>
      </w:r>
    </w:p>
  </w:footnote>
  <w:footnote w:id="20">
    <w:p w14:paraId="48A4118B" w14:textId="0DA46A74" w:rsidR="00787161" w:rsidRPr="0033402F" w:rsidRDefault="00787161">
      <w:pPr>
        <w:pStyle w:val="FootnoteText"/>
      </w:pPr>
      <w:r>
        <w:t>(</w:t>
      </w:r>
      <w:r>
        <w:rPr>
          <w:rStyle w:val="FootnoteReference"/>
        </w:rPr>
        <w:footnoteRef/>
      </w:r>
      <w:r>
        <w:t>)</w:t>
      </w:r>
      <w:r>
        <w:tab/>
      </w:r>
      <w:hyperlink r:id="rId15" w:history="1">
        <w:r w:rsidRPr="00375DD4">
          <w:rPr>
            <w:rStyle w:val="Hyperlink"/>
          </w:rPr>
          <w:t>Decizia Comisiei din 24.9.2024 prin care se constată că, prin angajamentele obligatorii, subvențiile străine în cadrul concentrării nu denaturează piața internă (cazul FS.100011 – e&amp;/PPF Telecom Group)</w:t>
        </w:r>
      </w:hyperlink>
      <w:r>
        <w:t>, C(</w:t>
      </w:r>
      <w:r w:rsidRPr="00375DD4">
        <w:t>2024</w:t>
      </w:r>
      <w:r>
        <w:t>) </w:t>
      </w:r>
      <w:r w:rsidRPr="00375DD4">
        <w:t>6745</w:t>
      </w:r>
      <w:r>
        <w:t xml:space="preserve"> final.</w:t>
      </w:r>
    </w:p>
  </w:footnote>
  <w:footnote w:id="21">
    <w:p w14:paraId="32FAF679" w14:textId="1C4F85A4" w:rsidR="001241C4" w:rsidRPr="00E6306E" w:rsidRDefault="001241C4">
      <w:pPr>
        <w:pStyle w:val="FootnoteText"/>
      </w:pPr>
      <w:r>
        <w:t>(</w:t>
      </w:r>
      <w:r>
        <w:rPr>
          <w:rStyle w:val="FootnoteReference"/>
        </w:rPr>
        <w:footnoteRef/>
      </w:r>
      <w:r>
        <w:t>)</w:t>
      </w:r>
      <w:r>
        <w:tab/>
      </w:r>
      <w:hyperlink r:id="rId16" w:history="1">
        <w:r w:rsidRPr="00375DD4">
          <w:rPr>
            <w:rStyle w:val="Hyperlink"/>
          </w:rPr>
          <w:t>Versiunea neconfidențială provizorie a Deciziei Comisiei din 14.11.2025 privind constatarea că, prin angajamentele obligatorii, subvențiile străine în cadrul concentrării nu denaturează piața internă (cazul FS.100156 – ADNOC/COVESTRO)</w:t>
        </w:r>
      </w:hyperlink>
      <w:r>
        <w:t>, C(</w:t>
      </w:r>
      <w:r w:rsidRPr="00375DD4">
        <w:t>2025</w:t>
      </w:r>
      <w:r>
        <w:t>) </w:t>
      </w:r>
      <w:r w:rsidRPr="00375DD4">
        <w:t>7800</w:t>
      </w:r>
      <w:r>
        <w:t xml:space="preserve"> final/</w:t>
      </w:r>
      <w:r w:rsidRPr="00375DD4">
        <w:t>2</w:t>
      </w:r>
      <w:r>
        <w:t>.</w:t>
      </w:r>
    </w:p>
  </w:footnote>
  <w:footnote w:id="22">
    <w:p w14:paraId="4C651879" w14:textId="36C26FC4" w:rsidR="001111A8" w:rsidRPr="00AA0B88" w:rsidRDefault="001111A8">
      <w:pPr>
        <w:pStyle w:val="FootnoteText"/>
      </w:pPr>
      <w:r>
        <w:t>(</w:t>
      </w:r>
      <w:r>
        <w:rPr>
          <w:rStyle w:val="FootnoteReference"/>
        </w:rPr>
        <w:footnoteRef/>
      </w:r>
      <w:r>
        <w:t>)</w:t>
      </w:r>
      <w:r>
        <w:tab/>
      </w:r>
      <w:hyperlink r:id="rId17" w:history="1">
        <w:r w:rsidRPr="00375DD4">
          <w:rPr>
            <w:rStyle w:val="Hyperlink"/>
          </w:rPr>
          <w:t>Document de lucru al serviciilor Comisiei – Evaluarea impactului care însoțește propunerea de regulament al Parlamentului European și al Consiliului privind subvențiile străine care denaturează piața internă</w:t>
        </w:r>
      </w:hyperlink>
      <w:r>
        <w:t>.</w:t>
      </w:r>
    </w:p>
  </w:footnote>
  <w:footnote w:id="23">
    <w:p w14:paraId="4CA3390D" w14:textId="007F688F" w:rsidR="00C45C70" w:rsidRPr="00F21A0D" w:rsidRDefault="00C45C70" w:rsidP="00C45C70">
      <w:pPr>
        <w:pStyle w:val="FootnoteText"/>
      </w:pPr>
      <w:r>
        <w:t>(</w:t>
      </w:r>
      <w:r>
        <w:rPr>
          <w:rStyle w:val="FootnoteReference"/>
        </w:rPr>
        <w:footnoteRef/>
      </w:r>
      <w:r>
        <w:t>)</w:t>
      </w:r>
      <w:r>
        <w:tab/>
        <w:t>Proporția cazurilor considerate compatibile în conformitate cu articolul </w:t>
      </w:r>
      <w:r w:rsidRPr="00375DD4">
        <w:t>6</w:t>
      </w:r>
      <w:r>
        <w:t xml:space="preserve"> alineatul (</w:t>
      </w:r>
      <w:r w:rsidRPr="00375DD4">
        <w:t>1</w:t>
      </w:r>
      <w:r>
        <w:t xml:space="preserve">) litera (b) din Regulamentul privind concentrările economice fără angajamente în prima etapă a investigației în temeiul Regulamentului privind concentrările economice din ultimii </w:t>
      </w:r>
      <w:r w:rsidRPr="00375DD4">
        <w:t>5</w:t>
      </w:r>
      <w:r>
        <w:t xml:space="preserve"> ani variază între </w:t>
      </w:r>
      <w:r w:rsidRPr="00375DD4">
        <w:t>93</w:t>
      </w:r>
      <w:r>
        <w:t xml:space="preserve"> % și </w:t>
      </w:r>
      <w:r w:rsidRPr="00375DD4">
        <w:t>99</w:t>
      </w:r>
      <w:r>
        <w:t> % pe an, conform statisticilor oficiale publicate pe site-ul web al Comisiei.</w:t>
      </w:r>
    </w:p>
  </w:footnote>
  <w:footnote w:id="24">
    <w:p w14:paraId="491FA5B3" w14:textId="06BBC191" w:rsidR="00AD63A7" w:rsidRPr="00C044DE" w:rsidRDefault="00AD63A7">
      <w:pPr>
        <w:pStyle w:val="FootnoteText"/>
      </w:pPr>
      <w:r>
        <w:t>(</w:t>
      </w:r>
      <w:r>
        <w:rPr>
          <w:rStyle w:val="FootnoteReference"/>
        </w:rPr>
        <w:footnoteRef/>
      </w:r>
      <w:r>
        <w:t>)</w:t>
      </w:r>
      <w:r>
        <w:tab/>
        <w:t>Cifra de afaceri a societății în comun este considerată un indicator mai bun pentru activitatea economică de sine stătătoare, și nu doar pentru operațiunile auxiliare.</w:t>
      </w:r>
    </w:p>
  </w:footnote>
  <w:footnote w:id="25">
    <w:p w14:paraId="0E45EAD3" w14:textId="586C8A8E" w:rsidR="00797026" w:rsidRPr="00C044DE" w:rsidRDefault="00797026">
      <w:pPr>
        <w:pStyle w:val="FootnoteText"/>
      </w:pPr>
      <w:r>
        <w:t>(</w:t>
      </w:r>
      <w:r>
        <w:rPr>
          <w:rStyle w:val="FootnoteReference"/>
        </w:rPr>
        <w:footnoteRef/>
      </w:r>
      <w:r>
        <w:t>)</w:t>
      </w:r>
      <w:r>
        <w:tab/>
      </w:r>
      <w:hyperlink r:id="rId18" w:history="1">
        <w:r w:rsidRPr="00375DD4">
          <w:rPr>
            <w:rStyle w:val="Hyperlink"/>
          </w:rPr>
          <w:t>TED – Licitații UE, Suplimentul la Jurnalul Oficial – TED</w:t>
        </w:r>
      </w:hyperlink>
      <w:r w:rsidRPr="00375DD4">
        <w:rPr>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8E7E5" w14:textId="77777777" w:rsidR="00B02272" w:rsidRPr="00B02272" w:rsidRDefault="00B02272" w:rsidP="00B0227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6E5A" w14:textId="77777777" w:rsidR="00B02272" w:rsidRPr="00B02272" w:rsidRDefault="00B02272" w:rsidP="00B022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2A50" w14:textId="77777777" w:rsidR="00B02272" w:rsidRPr="00B02272" w:rsidRDefault="00B02272" w:rsidP="00B022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8B041" w14:textId="77777777" w:rsidR="008E336A" w:rsidRDefault="008E33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D1DA" w14:textId="77777777" w:rsidR="008E336A" w:rsidRDefault="008E33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49AA" w14:textId="77777777" w:rsidR="008E336A" w:rsidRDefault="008E3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5CF3"/>
    <w:multiLevelType w:val="hybridMultilevel"/>
    <w:tmpl w:val="2EE8ED04"/>
    <w:lvl w:ilvl="0" w:tplc="32A44022">
      <w:start w:val="1"/>
      <w:numFmt w:val="decimal"/>
      <w:lvlText w:val="%1)"/>
      <w:lvlJc w:val="left"/>
      <w:pPr>
        <w:ind w:left="1020" w:hanging="360"/>
      </w:pPr>
    </w:lvl>
    <w:lvl w:ilvl="1" w:tplc="AD843C9E">
      <w:start w:val="1"/>
      <w:numFmt w:val="decimal"/>
      <w:lvlText w:val="%2)"/>
      <w:lvlJc w:val="left"/>
      <w:pPr>
        <w:ind w:left="1020" w:hanging="360"/>
      </w:pPr>
    </w:lvl>
    <w:lvl w:ilvl="2" w:tplc="CDDADFD8">
      <w:start w:val="1"/>
      <w:numFmt w:val="decimal"/>
      <w:lvlText w:val="%3)"/>
      <w:lvlJc w:val="left"/>
      <w:pPr>
        <w:ind w:left="1020" w:hanging="360"/>
      </w:pPr>
    </w:lvl>
    <w:lvl w:ilvl="3" w:tplc="0A048E46">
      <w:start w:val="1"/>
      <w:numFmt w:val="decimal"/>
      <w:lvlText w:val="%4)"/>
      <w:lvlJc w:val="left"/>
      <w:pPr>
        <w:ind w:left="1020" w:hanging="360"/>
      </w:pPr>
    </w:lvl>
    <w:lvl w:ilvl="4" w:tplc="953EF9E8">
      <w:start w:val="1"/>
      <w:numFmt w:val="decimal"/>
      <w:lvlText w:val="%5)"/>
      <w:lvlJc w:val="left"/>
      <w:pPr>
        <w:ind w:left="1020" w:hanging="360"/>
      </w:pPr>
    </w:lvl>
    <w:lvl w:ilvl="5" w:tplc="EC844434">
      <w:start w:val="1"/>
      <w:numFmt w:val="decimal"/>
      <w:lvlText w:val="%6)"/>
      <w:lvlJc w:val="left"/>
      <w:pPr>
        <w:ind w:left="1020" w:hanging="360"/>
      </w:pPr>
    </w:lvl>
    <w:lvl w:ilvl="6" w:tplc="E4065278">
      <w:start w:val="1"/>
      <w:numFmt w:val="decimal"/>
      <w:lvlText w:val="%7)"/>
      <w:lvlJc w:val="left"/>
      <w:pPr>
        <w:ind w:left="1020" w:hanging="360"/>
      </w:pPr>
    </w:lvl>
    <w:lvl w:ilvl="7" w:tplc="41AE018C">
      <w:start w:val="1"/>
      <w:numFmt w:val="decimal"/>
      <w:lvlText w:val="%8)"/>
      <w:lvlJc w:val="left"/>
      <w:pPr>
        <w:ind w:left="1020" w:hanging="360"/>
      </w:pPr>
    </w:lvl>
    <w:lvl w:ilvl="8" w:tplc="9094F5C8">
      <w:start w:val="1"/>
      <w:numFmt w:val="decimal"/>
      <w:lvlText w:val="%9)"/>
      <w:lvlJc w:val="left"/>
      <w:pPr>
        <w:ind w:left="1020" w:hanging="360"/>
      </w:pPr>
    </w:lvl>
  </w:abstractNum>
  <w:abstractNum w:abstractNumId="1" w15:restartNumberingAfterBreak="0">
    <w:nsid w:val="01280939"/>
    <w:multiLevelType w:val="hybridMultilevel"/>
    <w:tmpl w:val="E70E96BE"/>
    <w:lvl w:ilvl="0" w:tplc="A77479B0">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83703"/>
    <w:multiLevelType w:val="hybridMultilevel"/>
    <w:tmpl w:val="70EC7246"/>
    <w:name w:val="Heading2"/>
    <w:lvl w:ilvl="0" w:tplc="4EBCEDE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8490207"/>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2900F7"/>
    <w:multiLevelType w:val="multilevel"/>
    <w:tmpl w:val="9696A7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E9518D3"/>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B7115"/>
    <w:multiLevelType w:val="multilevel"/>
    <w:tmpl w:val="83443D7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7201"/>
    <w:multiLevelType w:val="multilevel"/>
    <w:tmpl w:val="95DA557A"/>
    <w:lvl w:ilvl="0">
      <w:start w:val="1"/>
      <w:numFmt w:val="decimal"/>
      <w:pStyle w:val="ListNumber"/>
      <w:lvlText w:val="(%1)"/>
      <w:lvlJc w:val="left"/>
      <w:pPr>
        <w:tabs>
          <w:tab w:val="num" w:pos="709"/>
        </w:tabs>
        <w:ind w:left="709" w:hanging="709"/>
      </w:pPr>
      <w:rPr>
        <w:rFonts w:hint="default"/>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8" w15:restartNumberingAfterBreak="0">
    <w:nsid w:val="120B8345"/>
    <w:multiLevelType w:val="multilevel"/>
    <w:tmpl w:val="071C31C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EEF6FA8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43D0A16"/>
    <w:multiLevelType w:val="multilevel"/>
    <w:tmpl w:val="C4FA59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72F0AC5"/>
    <w:multiLevelType w:val="multilevel"/>
    <w:tmpl w:val="A43C017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3" w15:restartNumberingAfterBreak="0">
    <w:nsid w:val="1C7B624F"/>
    <w:multiLevelType w:val="multilevel"/>
    <w:tmpl w:val="DF88E34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C8003B0"/>
    <w:multiLevelType w:val="hybridMultilevel"/>
    <w:tmpl w:val="6B0062D0"/>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15" w15:restartNumberingAfterBreak="0">
    <w:nsid w:val="1EF8459F"/>
    <w:multiLevelType w:val="hybridMultilevel"/>
    <w:tmpl w:val="4CFE2C60"/>
    <w:lvl w:ilvl="0" w:tplc="6F5A5056">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F147327"/>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CD0038"/>
    <w:multiLevelType w:val="hybridMultilevel"/>
    <w:tmpl w:val="AB705262"/>
    <w:name w:val="EurolookHeading2"/>
    <w:lvl w:ilvl="0" w:tplc="F6525A74">
      <w:start w:val="1"/>
      <w:numFmt w:val="lowerLetter"/>
      <w:lvlText w:val="%1."/>
      <w:lvlJc w:val="left"/>
      <w:pPr>
        <w:ind w:left="228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8DFDF8"/>
    <w:multiLevelType w:val="multilevel"/>
    <w:tmpl w:val="975E6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20"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21" w15:restartNumberingAfterBreak="0">
    <w:nsid w:val="2D293CE3"/>
    <w:multiLevelType w:val="multilevel"/>
    <w:tmpl w:val="1B12EAE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17EAC17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3" w15:restartNumberingAfterBreak="0">
    <w:nsid w:val="343C27CE"/>
    <w:multiLevelType w:val="hybridMultilevel"/>
    <w:tmpl w:val="40FC5134"/>
    <w:lvl w:ilvl="0" w:tplc="CC94FF4A">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47E10A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5861FA3"/>
    <w:multiLevelType w:val="multilevel"/>
    <w:tmpl w:val="F3DE5430"/>
    <w:styleLink w:val="NumblistFigures"/>
    <w:lvl w:ilvl="0">
      <w:start w:val="1"/>
      <w:numFmt w:val="decimal"/>
      <w:lvlText w:val="Figure %1"/>
      <w:lvlJc w:val="left"/>
      <w:pPr>
        <w:tabs>
          <w:tab w:val="num" w:pos="1134"/>
        </w:tabs>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6324F1E"/>
    <w:multiLevelType w:val="multilevel"/>
    <w:tmpl w:val="3E98B49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7A443E2"/>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CB1E1C"/>
    <w:multiLevelType w:val="multilevel"/>
    <w:tmpl w:val="79DC777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A7730C4"/>
    <w:multiLevelType w:val="multilevel"/>
    <w:tmpl w:val="1EE818D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3BA32AFA"/>
    <w:multiLevelType w:val="hybridMultilevel"/>
    <w:tmpl w:val="441C5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D050AC"/>
    <w:multiLevelType w:val="multilevel"/>
    <w:tmpl w:val="4B3E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FB24D2"/>
    <w:multiLevelType w:val="multilevel"/>
    <w:tmpl w:val="7436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74476C"/>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35" w15:restartNumberingAfterBreak="0">
    <w:nsid w:val="429E662A"/>
    <w:multiLevelType w:val="multilevel"/>
    <w:tmpl w:val="98740E9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37"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38"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39" w15:restartNumberingAfterBreak="0">
    <w:nsid w:val="4E1A63DF"/>
    <w:multiLevelType w:val="multilevel"/>
    <w:tmpl w:val="888C076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4E1A982C"/>
    <w:multiLevelType w:val="multilevel"/>
    <w:tmpl w:val="D8E0A4C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5072619B"/>
    <w:multiLevelType w:val="multilevel"/>
    <w:tmpl w:val="12F0FC8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50729B52"/>
    <w:multiLevelType w:val="multilevel"/>
    <w:tmpl w:val="535C5E8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44" w15:restartNumberingAfterBreak="0">
    <w:nsid w:val="58E51C22"/>
    <w:multiLevelType w:val="hybridMultilevel"/>
    <w:tmpl w:val="AF34CA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395AAA"/>
    <w:multiLevelType w:val="singleLevel"/>
    <w:tmpl w:val="96D02E8A"/>
    <w:name w:val="Bullet 1"/>
    <w:lvl w:ilvl="0">
      <w:numFmt w:val="bullet"/>
      <w:pStyle w:val="Bullet1"/>
      <w:lvlText w:val=""/>
      <w:lvlJc w:val="left"/>
      <w:pPr>
        <w:tabs>
          <w:tab w:val="num" w:pos="1417"/>
        </w:tabs>
        <w:ind w:left="1417" w:hanging="567"/>
      </w:pPr>
      <w:rPr>
        <w:rFonts w:ascii="Symbol" w:hAnsi="Symbol"/>
      </w:rPr>
    </w:lvl>
  </w:abstractNum>
  <w:abstractNum w:abstractNumId="46" w15:restartNumberingAfterBreak="0">
    <w:nsid w:val="5C056EE5"/>
    <w:multiLevelType w:val="singleLevel"/>
    <w:tmpl w:val="3378D27C"/>
    <w:lvl w:ilvl="0">
      <w:numFmt w:val="bullet"/>
      <w:pStyle w:val="Bullet2"/>
      <w:lvlText w:val=""/>
      <w:lvlJc w:val="left"/>
      <w:pPr>
        <w:tabs>
          <w:tab w:val="num" w:pos="1984"/>
        </w:tabs>
        <w:ind w:left="1984" w:hanging="567"/>
      </w:pPr>
      <w:rPr>
        <w:rFonts w:ascii="Symbol" w:hAnsi="Symbol"/>
      </w:rPr>
    </w:lvl>
  </w:abstractNum>
  <w:abstractNum w:abstractNumId="47"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48" w15:restartNumberingAfterBreak="0">
    <w:nsid w:val="6056133D"/>
    <w:multiLevelType w:val="multilevel"/>
    <w:tmpl w:val="68A633E4"/>
    <w:styleLink w:val="NumbListMinorBullet"/>
    <w:lvl w:ilvl="0">
      <w:start w:val="1"/>
      <w:numFmt w:val="bullet"/>
      <w:pStyle w:val="MinorBullet1"/>
      <w:lvlText w:val=""/>
      <w:lvlJc w:val="left"/>
      <w:pPr>
        <w:tabs>
          <w:tab w:val="num" w:pos="794"/>
        </w:tabs>
        <w:ind w:left="794" w:hanging="363"/>
      </w:pPr>
      <w:rPr>
        <w:rFonts w:ascii="Wingdings 2" w:hAnsi="Wingdings 2" w:hint="default"/>
        <w:color w:val="0E2841" w:themeColor="text2"/>
        <w:sz w:val="12"/>
      </w:rPr>
    </w:lvl>
    <w:lvl w:ilvl="1">
      <w:start w:val="1"/>
      <w:numFmt w:val="bullet"/>
      <w:pStyle w:val="MinorBullet2"/>
      <w:lvlText w:val=""/>
      <w:lvlJc w:val="left"/>
      <w:pPr>
        <w:tabs>
          <w:tab w:val="num" w:pos="1157"/>
        </w:tabs>
        <w:ind w:left="1157" w:hanging="363"/>
      </w:pPr>
      <w:rPr>
        <w:rFonts w:ascii="Wingdings 2" w:hAnsi="Wingdings 2" w:hint="default"/>
        <w:color w:val="0E2841" w:themeColor="text2"/>
        <w:sz w:val="12"/>
      </w:rPr>
    </w:lvl>
    <w:lvl w:ilvl="2">
      <w:start w:val="1"/>
      <w:numFmt w:val="bullet"/>
      <w:pStyle w:val="MinorBullet3"/>
      <w:lvlText w:val="̶"/>
      <w:lvlJc w:val="left"/>
      <w:pPr>
        <w:tabs>
          <w:tab w:val="num" w:pos="1520"/>
        </w:tabs>
        <w:ind w:left="1520" w:hanging="363"/>
      </w:pPr>
      <w:rPr>
        <w:rFonts w:ascii="Calibri" w:hAnsi="Calibri" w:hint="default"/>
        <w:color w:val="0E2841" w:themeColor="text2"/>
        <w:sz w:val="12"/>
      </w:rPr>
    </w:lvl>
    <w:lvl w:ilvl="3">
      <w:start w:val="1"/>
      <w:numFmt w:val="none"/>
      <w:lvlText w:val=""/>
      <w:lvlJc w:val="left"/>
      <w:pPr>
        <w:tabs>
          <w:tab w:val="num" w:pos="1520"/>
        </w:tabs>
        <w:ind w:left="1520" w:firstLine="0"/>
      </w:pPr>
      <w:rPr>
        <w:rFonts w:hint="default"/>
      </w:rPr>
    </w:lvl>
    <w:lvl w:ilvl="4">
      <w:start w:val="1"/>
      <w:numFmt w:val="none"/>
      <w:lvlText w:val=""/>
      <w:lvlJc w:val="left"/>
      <w:pPr>
        <w:tabs>
          <w:tab w:val="num" w:pos="1520"/>
        </w:tabs>
        <w:ind w:left="1520" w:firstLine="0"/>
      </w:pPr>
      <w:rPr>
        <w:rFonts w:hint="default"/>
      </w:rPr>
    </w:lvl>
    <w:lvl w:ilvl="5">
      <w:start w:val="1"/>
      <w:numFmt w:val="none"/>
      <w:lvlText w:val=""/>
      <w:lvlJc w:val="left"/>
      <w:pPr>
        <w:tabs>
          <w:tab w:val="num" w:pos="1520"/>
        </w:tabs>
        <w:ind w:left="1520" w:firstLine="0"/>
      </w:pPr>
      <w:rPr>
        <w:rFonts w:hint="default"/>
      </w:rPr>
    </w:lvl>
    <w:lvl w:ilvl="6">
      <w:start w:val="1"/>
      <w:numFmt w:val="none"/>
      <w:lvlText w:val=""/>
      <w:lvlJc w:val="left"/>
      <w:pPr>
        <w:tabs>
          <w:tab w:val="num" w:pos="1520"/>
        </w:tabs>
        <w:ind w:left="1520" w:firstLine="0"/>
      </w:pPr>
      <w:rPr>
        <w:rFonts w:hint="default"/>
      </w:rPr>
    </w:lvl>
    <w:lvl w:ilvl="7">
      <w:start w:val="1"/>
      <w:numFmt w:val="none"/>
      <w:lvlText w:val=""/>
      <w:lvlJc w:val="left"/>
      <w:pPr>
        <w:tabs>
          <w:tab w:val="num" w:pos="1520"/>
        </w:tabs>
        <w:ind w:left="1520" w:firstLine="0"/>
      </w:pPr>
      <w:rPr>
        <w:rFonts w:hint="default"/>
      </w:rPr>
    </w:lvl>
    <w:lvl w:ilvl="8">
      <w:start w:val="1"/>
      <w:numFmt w:val="none"/>
      <w:lvlText w:val=""/>
      <w:lvlJc w:val="left"/>
      <w:pPr>
        <w:tabs>
          <w:tab w:val="num" w:pos="1520"/>
        </w:tabs>
        <w:ind w:left="1520" w:firstLine="0"/>
      </w:pPr>
      <w:rPr>
        <w:rFonts w:hint="default"/>
      </w:rPr>
    </w:lvl>
  </w:abstractNum>
  <w:abstractNum w:abstractNumId="49" w15:restartNumberingAfterBreak="0">
    <w:nsid w:val="64A12FA4"/>
    <w:multiLevelType w:val="multilevel"/>
    <w:tmpl w:val="428ECF3E"/>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50"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51" w15:restartNumberingAfterBreak="0">
    <w:nsid w:val="686715FF"/>
    <w:multiLevelType w:val="hybridMultilevel"/>
    <w:tmpl w:val="441C5ED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8961D1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8B4118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977472E"/>
    <w:multiLevelType w:val="multilevel"/>
    <w:tmpl w:val="F1B8DC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5" w15:restartNumberingAfterBreak="0">
    <w:nsid w:val="6DB517B7"/>
    <w:multiLevelType w:val="hybridMultilevel"/>
    <w:tmpl w:val="90ACA9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4885590"/>
    <w:multiLevelType w:val="multilevel"/>
    <w:tmpl w:val="211ECDC0"/>
    <w:styleLink w:val="NumbListTable"/>
    <w:lvl w:ilvl="0">
      <w:start w:val="1"/>
      <w:numFmt w:val="decimal"/>
      <w:lvlText w:val="Table %1"/>
      <w:lvlJc w:val="left"/>
      <w:pPr>
        <w:tabs>
          <w:tab w:val="num" w:pos="3827"/>
        </w:tabs>
        <w:ind w:left="2693" w:firstLine="0"/>
      </w:pPr>
      <w:rPr>
        <w:rFonts w:hint="default"/>
      </w:rPr>
    </w:lvl>
    <w:lvl w:ilvl="1">
      <w:start w:val="1"/>
      <w:numFmt w:val="none"/>
      <w:lvlRestart w:val="0"/>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7" w15:restartNumberingAfterBreak="0">
    <w:nsid w:val="79E925AB"/>
    <w:multiLevelType w:val="hybridMultilevel"/>
    <w:tmpl w:val="70B08C10"/>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65145E"/>
    <w:multiLevelType w:val="multilevel"/>
    <w:tmpl w:val="ED6855FE"/>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4213"/>
        </w:tabs>
        <w:ind w:left="3986"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5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0" w15:restartNumberingAfterBreak="0">
    <w:nsid w:val="7CBE4780"/>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26"/>
  </w:num>
  <w:num w:numId="3">
    <w:abstractNumId w:val="13"/>
  </w:num>
  <w:num w:numId="4">
    <w:abstractNumId w:val="28"/>
  </w:num>
  <w:num w:numId="5">
    <w:abstractNumId w:val="41"/>
  </w:num>
  <w:num w:numId="6">
    <w:abstractNumId w:val="54"/>
  </w:num>
  <w:num w:numId="7">
    <w:abstractNumId w:val="6"/>
  </w:num>
  <w:num w:numId="8">
    <w:abstractNumId w:val="11"/>
  </w:num>
  <w:num w:numId="9">
    <w:abstractNumId w:val="35"/>
  </w:num>
  <w:num w:numId="10">
    <w:abstractNumId w:val="7"/>
  </w:num>
  <w:num w:numId="11">
    <w:abstractNumId w:val="9"/>
  </w:num>
  <w:num w:numId="12">
    <w:abstractNumId w:val="10"/>
  </w:num>
  <w:num w:numId="13">
    <w:abstractNumId w:val="18"/>
  </w:num>
  <w:num w:numId="14">
    <w:abstractNumId w:val="29"/>
  </w:num>
  <w:num w:numId="15">
    <w:abstractNumId w:val="40"/>
  </w:num>
  <w:num w:numId="16">
    <w:abstractNumId w:val="21"/>
  </w:num>
  <w:num w:numId="17">
    <w:abstractNumId w:val="22"/>
  </w:num>
  <w:num w:numId="18">
    <w:abstractNumId w:val="59"/>
  </w:num>
  <w:num w:numId="19">
    <w:abstractNumId w:val="56"/>
  </w:num>
  <w:num w:numId="20">
    <w:abstractNumId w:val="25"/>
  </w:num>
  <w:num w:numId="21">
    <w:abstractNumId w:val="48"/>
  </w:num>
  <w:num w:numId="22">
    <w:abstractNumId w:val="38"/>
  </w:num>
  <w:num w:numId="23">
    <w:abstractNumId w:val="45"/>
  </w:num>
  <w:num w:numId="24">
    <w:abstractNumId w:val="46"/>
  </w:num>
  <w:num w:numId="25">
    <w:abstractNumId w:val="19"/>
  </w:num>
  <w:num w:numId="26">
    <w:abstractNumId w:val="43"/>
  </w:num>
  <w:num w:numId="27">
    <w:abstractNumId w:val="49"/>
  </w:num>
  <w:num w:numId="28">
    <w:abstractNumId w:val="12"/>
  </w:num>
  <w:num w:numId="29">
    <w:abstractNumId w:val="39"/>
  </w:num>
  <w:num w:numId="30">
    <w:abstractNumId w:val="42"/>
  </w:num>
  <w:num w:numId="31">
    <w:abstractNumId w:val="8"/>
  </w:num>
  <w:num w:numId="32">
    <w:abstractNumId w:val="47"/>
  </w:num>
  <w:num w:numId="33">
    <w:abstractNumId w:val="34"/>
  </w:num>
  <w:num w:numId="34">
    <w:abstractNumId w:val="50"/>
  </w:num>
  <w:num w:numId="35">
    <w:abstractNumId w:val="20"/>
  </w:num>
  <w:num w:numId="36">
    <w:abstractNumId w:val="36"/>
  </w:num>
  <w:num w:numId="37">
    <w:abstractNumId w:val="37"/>
  </w:num>
  <w:num w:numId="38">
    <w:abstractNumId w:val="14"/>
  </w:num>
  <w:num w:numId="39">
    <w:abstractNumId w:val="15"/>
  </w:num>
  <w:num w:numId="40">
    <w:abstractNumId w:val="30"/>
  </w:num>
  <w:num w:numId="41">
    <w:abstractNumId w:val="57"/>
  </w:num>
  <w:num w:numId="42">
    <w:abstractNumId w:val="51"/>
  </w:num>
  <w:num w:numId="43">
    <w:abstractNumId w:val="33"/>
  </w:num>
  <w:num w:numId="44">
    <w:abstractNumId w:val="5"/>
  </w:num>
  <w:num w:numId="45">
    <w:abstractNumId w:val="16"/>
  </w:num>
  <w:num w:numId="46">
    <w:abstractNumId w:val="3"/>
  </w:num>
  <w:num w:numId="47">
    <w:abstractNumId w:val="53"/>
  </w:num>
  <w:num w:numId="48">
    <w:abstractNumId w:val="24"/>
  </w:num>
  <w:num w:numId="49">
    <w:abstractNumId w:val="2"/>
  </w:num>
  <w:num w:numId="50">
    <w:abstractNumId w:val="60"/>
  </w:num>
  <w:num w:numId="51">
    <w:abstractNumId w:val="1"/>
  </w:num>
  <w:num w:numId="52">
    <w:abstractNumId w:val="44"/>
  </w:num>
  <w:num w:numId="53">
    <w:abstractNumId w:val="52"/>
  </w:num>
  <w:num w:numId="54">
    <w:abstractNumId w:val="32"/>
  </w:num>
  <w:num w:numId="55">
    <w:abstractNumId w:val="31"/>
  </w:num>
  <w:num w:numId="56">
    <w:abstractNumId w:val="23"/>
  </w:num>
  <w:num w:numId="57">
    <w:abstractNumId w:val="17"/>
  </w:num>
  <w:num w:numId="58">
    <w:abstractNumId w:val="27"/>
  </w:num>
  <w:num w:numId="59">
    <w:abstractNumId w:val="55"/>
  </w:num>
  <w:num w:numId="60">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202C449-4CA3-4565-8C29-A4D97B68FE02"/>
    <w:docVar w:name="LW_COVERPAGE_TYPE" w:val="1"/>
    <w:docVar w:name="LW_CROSSREFERENCE" w:val="{SWD(2026) 183 final}"/>
    <w:docVar w:name="LW_DocType" w:val="EUROLOOK"/>
    <w:docVar w:name="LW_EMISSION" w:val="14.7.2026"/>
    <w:docVar w:name="LW_EMISSION_ISODATE" w:val="2026-07-14"/>
    <w:docVar w:name="LW_EMISSION_LOCATION" w:val="BRX"/>
    <w:docVar w:name="LW_EMISSION_PREFIX" w:val="Bruxelles, "/>
    <w:docVar w:name="LW_EMISSION_SUFFIX" w:val=" "/>
    <w:docVar w:name="LW_ID_DOCTYPE_NONLW" w:val="CP-006"/>
    <w:docVar w:name="LW_INSERT_TITRE.ACTE_NOSECTION"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unerea în aplicare \u537?i controlul aplic\u259?rii Regulamentului (UE) 2022/2560 _x000b_din 14 decembrie 2022 privind subven\u539?iile str\u259?ine care denatureaz\u259? pia\u539?a intern\u259?, în conformitate cu articolul 52 alineatul (2) din regulamentul respectiv_x000d__x000d__x000d__x000d__x000d__x000b_"/>
    <w:docVar w:name="LW_TYPE.DOC.CP" w:val="RAPORT AL COMISIEI C\u258?TRE PARLAMENTUL EUROPEAN \u536?I CONSILIU"/>
    <w:docVar w:name="LwApiVersions" w:val="LW4CoDe 1.24.5.0; LW 9.2, Build 20251112"/>
  </w:docVars>
  <w:rsids>
    <w:rsidRoot w:val="00B11396"/>
    <w:rsid w:val="00000576"/>
    <w:rsid w:val="00000C63"/>
    <w:rsid w:val="00001211"/>
    <w:rsid w:val="00001995"/>
    <w:rsid w:val="0000272B"/>
    <w:rsid w:val="000029DC"/>
    <w:rsid w:val="000040ED"/>
    <w:rsid w:val="0000675A"/>
    <w:rsid w:val="000074DD"/>
    <w:rsid w:val="000077F0"/>
    <w:rsid w:val="00010A20"/>
    <w:rsid w:val="000118D7"/>
    <w:rsid w:val="000119C7"/>
    <w:rsid w:val="00011E99"/>
    <w:rsid w:val="00012446"/>
    <w:rsid w:val="000124F6"/>
    <w:rsid w:val="00013B98"/>
    <w:rsid w:val="00014340"/>
    <w:rsid w:val="00015087"/>
    <w:rsid w:val="0001665A"/>
    <w:rsid w:val="0001681E"/>
    <w:rsid w:val="00016B87"/>
    <w:rsid w:val="00016CDD"/>
    <w:rsid w:val="00017423"/>
    <w:rsid w:val="00017585"/>
    <w:rsid w:val="00017A3B"/>
    <w:rsid w:val="00020F56"/>
    <w:rsid w:val="00022791"/>
    <w:rsid w:val="00022C44"/>
    <w:rsid w:val="00022E2E"/>
    <w:rsid w:val="00023260"/>
    <w:rsid w:val="00023F2A"/>
    <w:rsid w:val="00024E4C"/>
    <w:rsid w:val="000263BA"/>
    <w:rsid w:val="000268D5"/>
    <w:rsid w:val="00026EF7"/>
    <w:rsid w:val="000276BB"/>
    <w:rsid w:val="00027D13"/>
    <w:rsid w:val="00030521"/>
    <w:rsid w:val="0003054D"/>
    <w:rsid w:val="00031D5F"/>
    <w:rsid w:val="000331DB"/>
    <w:rsid w:val="000336F3"/>
    <w:rsid w:val="00034E38"/>
    <w:rsid w:val="00035039"/>
    <w:rsid w:val="00040495"/>
    <w:rsid w:val="000404DF"/>
    <w:rsid w:val="0004089C"/>
    <w:rsid w:val="00040D83"/>
    <w:rsid w:val="00040D99"/>
    <w:rsid w:val="0004251B"/>
    <w:rsid w:val="00043BFC"/>
    <w:rsid w:val="000440C3"/>
    <w:rsid w:val="000441DE"/>
    <w:rsid w:val="00044204"/>
    <w:rsid w:val="0004424B"/>
    <w:rsid w:val="00044370"/>
    <w:rsid w:val="0004489D"/>
    <w:rsid w:val="000449AA"/>
    <w:rsid w:val="00044A7A"/>
    <w:rsid w:val="00044ECB"/>
    <w:rsid w:val="000458A0"/>
    <w:rsid w:val="00046109"/>
    <w:rsid w:val="0005032B"/>
    <w:rsid w:val="00050DBC"/>
    <w:rsid w:val="00051B09"/>
    <w:rsid w:val="00051DE2"/>
    <w:rsid w:val="00052090"/>
    <w:rsid w:val="0005277B"/>
    <w:rsid w:val="00052FCB"/>
    <w:rsid w:val="00054C58"/>
    <w:rsid w:val="00054CAC"/>
    <w:rsid w:val="00054E7C"/>
    <w:rsid w:val="000558E3"/>
    <w:rsid w:val="000560DF"/>
    <w:rsid w:val="0005617B"/>
    <w:rsid w:val="000569D4"/>
    <w:rsid w:val="00060DE5"/>
    <w:rsid w:val="00061091"/>
    <w:rsid w:val="00061396"/>
    <w:rsid w:val="00061738"/>
    <w:rsid w:val="00062685"/>
    <w:rsid w:val="00062960"/>
    <w:rsid w:val="00062B44"/>
    <w:rsid w:val="00062FFC"/>
    <w:rsid w:val="0006323B"/>
    <w:rsid w:val="00064101"/>
    <w:rsid w:val="00064EDD"/>
    <w:rsid w:val="000656E4"/>
    <w:rsid w:val="000656FD"/>
    <w:rsid w:val="00067331"/>
    <w:rsid w:val="00067571"/>
    <w:rsid w:val="00067959"/>
    <w:rsid w:val="00067BAF"/>
    <w:rsid w:val="00071688"/>
    <w:rsid w:val="00071EBA"/>
    <w:rsid w:val="00072C68"/>
    <w:rsid w:val="0007400C"/>
    <w:rsid w:val="00074CEE"/>
    <w:rsid w:val="00074F84"/>
    <w:rsid w:val="00075A58"/>
    <w:rsid w:val="00075CFD"/>
    <w:rsid w:val="0008046E"/>
    <w:rsid w:val="000808DB"/>
    <w:rsid w:val="000810BD"/>
    <w:rsid w:val="00081917"/>
    <w:rsid w:val="0008262F"/>
    <w:rsid w:val="00082CF7"/>
    <w:rsid w:val="00082DF5"/>
    <w:rsid w:val="0008614F"/>
    <w:rsid w:val="0008625D"/>
    <w:rsid w:val="000864DA"/>
    <w:rsid w:val="00087367"/>
    <w:rsid w:val="00087B59"/>
    <w:rsid w:val="00090FB1"/>
    <w:rsid w:val="00091292"/>
    <w:rsid w:val="00091F2F"/>
    <w:rsid w:val="00093BF9"/>
    <w:rsid w:val="000942EB"/>
    <w:rsid w:val="00096AC4"/>
    <w:rsid w:val="00096C07"/>
    <w:rsid w:val="000A0544"/>
    <w:rsid w:val="000A0B02"/>
    <w:rsid w:val="000A1422"/>
    <w:rsid w:val="000A17F1"/>
    <w:rsid w:val="000A222E"/>
    <w:rsid w:val="000A25A0"/>
    <w:rsid w:val="000A29D1"/>
    <w:rsid w:val="000A2C14"/>
    <w:rsid w:val="000A303B"/>
    <w:rsid w:val="000A37B5"/>
    <w:rsid w:val="000A6842"/>
    <w:rsid w:val="000A7324"/>
    <w:rsid w:val="000A74FC"/>
    <w:rsid w:val="000A76EA"/>
    <w:rsid w:val="000B0DB3"/>
    <w:rsid w:val="000B1152"/>
    <w:rsid w:val="000B25F3"/>
    <w:rsid w:val="000B31A1"/>
    <w:rsid w:val="000B3501"/>
    <w:rsid w:val="000B35A8"/>
    <w:rsid w:val="000B3676"/>
    <w:rsid w:val="000B4DEF"/>
    <w:rsid w:val="000B67B5"/>
    <w:rsid w:val="000B6C41"/>
    <w:rsid w:val="000B6F9B"/>
    <w:rsid w:val="000B73A5"/>
    <w:rsid w:val="000B792E"/>
    <w:rsid w:val="000C094F"/>
    <w:rsid w:val="000C1953"/>
    <w:rsid w:val="000C24F4"/>
    <w:rsid w:val="000C25F9"/>
    <w:rsid w:val="000C26DA"/>
    <w:rsid w:val="000C27D4"/>
    <w:rsid w:val="000C2908"/>
    <w:rsid w:val="000C31E2"/>
    <w:rsid w:val="000C4566"/>
    <w:rsid w:val="000C4A4D"/>
    <w:rsid w:val="000C4B4D"/>
    <w:rsid w:val="000C50E1"/>
    <w:rsid w:val="000C53AD"/>
    <w:rsid w:val="000C5B3C"/>
    <w:rsid w:val="000C5CA9"/>
    <w:rsid w:val="000C619A"/>
    <w:rsid w:val="000C68B8"/>
    <w:rsid w:val="000C70F9"/>
    <w:rsid w:val="000C74E5"/>
    <w:rsid w:val="000D010E"/>
    <w:rsid w:val="000D04CF"/>
    <w:rsid w:val="000D04D7"/>
    <w:rsid w:val="000D0D4B"/>
    <w:rsid w:val="000D0EE3"/>
    <w:rsid w:val="000D0EFC"/>
    <w:rsid w:val="000D1271"/>
    <w:rsid w:val="000D13DC"/>
    <w:rsid w:val="000D1D81"/>
    <w:rsid w:val="000D2011"/>
    <w:rsid w:val="000D323B"/>
    <w:rsid w:val="000D4EF7"/>
    <w:rsid w:val="000D5433"/>
    <w:rsid w:val="000D73FA"/>
    <w:rsid w:val="000E06A5"/>
    <w:rsid w:val="000E0955"/>
    <w:rsid w:val="000E0ECD"/>
    <w:rsid w:val="000E2371"/>
    <w:rsid w:val="000E38BE"/>
    <w:rsid w:val="000E39D9"/>
    <w:rsid w:val="000E4A41"/>
    <w:rsid w:val="000E4F5A"/>
    <w:rsid w:val="000E5D38"/>
    <w:rsid w:val="000E5EAE"/>
    <w:rsid w:val="000E65E9"/>
    <w:rsid w:val="000E6A76"/>
    <w:rsid w:val="000E7232"/>
    <w:rsid w:val="000E768A"/>
    <w:rsid w:val="000E79A0"/>
    <w:rsid w:val="000E7F5C"/>
    <w:rsid w:val="000F0312"/>
    <w:rsid w:val="000F0B57"/>
    <w:rsid w:val="000F2AEC"/>
    <w:rsid w:val="000F332A"/>
    <w:rsid w:val="000F3ADF"/>
    <w:rsid w:val="000F400D"/>
    <w:rsid w:val="000F45AB"/>
    <w:rsid w:val="000F5386"/>
    <w:rsid w:val="000F55A9"/>
    <w:rsid w:val="000F5869"/>
    <w:rsid w:val="000F764F"/>
    <w:rsid w:val="000F77D3"/>
    <w:rsid w:val="000F7827"/>
    <w:rsid w:val="00100454"/>
    <w:rsid w:val="00100AA6"/>
    <w:rsid w:val="00101FB0"/>
    <w:rsid w:val="00102046"/>
    <w:rsid w:val="0010461B"/>
    <w:rsid w:val="0010546C"/>
    <w:rsid w:val="0010567E"/>
    <w:rsid w:val="00105EC4"/>
    <w:rsid w:val="00105FD5"/>
    <w:rsid w:val="0010710F"/>
    <w:rsid w:val="00107BB7"/>
    <w:rsid w:val="00111010"/>
    <w:rsid w:val="001111A8"/>
    <w:rsid w:val="001115A0"/>
    <w:rsid w:val="00111DA3"/>
    <w:rsid w:val="00112338"/>
    <w:rsid w:val="00112A0C"/>
    <w:rsid w:val="001135DE"/>
    <w:rsid w:val="00114750"/>
    <w:rsid w:val="001150D4"/>
    <w:rsid w:val="00115B07"/>
    <w:rsid w:val="001169CA"/>
    <w:rsid w:val="001171F5"/>
    <w:rsid w:val="0011797E"/>
    <w:rsid w:val="00117A07"/>
    <w:rsid w:val="00120F65"/>
    <w:rsid w:val="00120F77"/>
    <w:rsid w:val="00121E2E"/>
    <w:rsid w:val="001224FB"/>
    <w:rsid w:val="001229A0"/>
    <w:rsid w:val="001237CF"/>
    <w:rsid w:val="00123ECD"/>
    <w:rsid w:val="001241C4"/>
    <w:rsid w:val="0012434A"/>
    <w:rsid w:val="00124BCB"/>
    <w:rsid w:val="00124C2A"/>
    <w:rsid w:val="001250CA"/>
    <w:rsid w:val="00125FD4"/>
    <w:rsid w:val="001265EF"/>
    <w:rsid w:val="001273BB"/>
    <w:rsid w:val="00127467"/>
    <w:rsid w:val="00127675"/>
    <w:rsid w:val="00127A8C"/>
    <w:rsid w:val="00127D0B"/>
    <w:rsid w:val="00130714"/>
    <w:rsid w:val="00130F4A"/>
    <w:rsid w:val="001316EA"/>
    <w:rsid w:val="0013224D"/>
    <w:rsid w:val="00132938"/>
    <w:rsid w:val="00133123"/>
    <w:rsid w:val="00133975"/>
    <w:rsid w:val="00136861"/>
    <w:rsid w:val="0013726D"/>
    <w:rsid w:val="00137966"/>
    <w:rsid w:val="001401CC"/>
    <w:rsid w:val="00140999"/>
    <w:rsid w:val="001415BF"/>
    <w:rsid w:val="001418A3"/>
    <w:rsid w:val="001418BB"/>
    <w:rsid w:val="00142057"/>
    <w:rsid w:val="0014217A"/>
    <w:rsid w:val="00142709"/>
    <w:rsid w:val="0014348A"/>
    <w:rsid w:val="001439DE"/>
    <w:rsid w:val="001453B2"/>
    <w:rsid w:val="00145FE1"/>
    <w:rsid w:val="00146202"/>
    <w:rsid w:val="00146AC3"/>
    <w:rsid w:val="00147712"/>
    <w:rsid w:val="00150A0D"/>
    <w:rsid w:val="00150DDC"/>
    <w:rsid w:val="001515D8"/>
    <w:rsid w:val="00151DCB"/>
    <w:rsid w:val="00151FF0"/>
    <w:rsid w:val="00152820"/>
    <w:rsid w:val="001531C5"/>
    <w:rsid w:val="00153606"/>
    <w:rsid w:val="001553A8"/>
    <w:rsid w:val="00155B8C"/>
    <w:rsid w:val="00155D15"/>
    <w:rsid w:val="00157422"/>
    <w:rsid w:val="001602D8"/>
    <w:rsid w:val="00160788"/>
    <w:rsid w:val="00163B2F"/>
    <w:rsid w:val="00163B5F"/>
    <w:rsid w:val="00165412"/>
    <w:rsid w:val="00166364"/>
    <w:rsid w:val="00166E14"/>
    <w:rsid w:val="00167906"/>
    <w:rsid w:val="00167F6A"/>
    <w:rsid w:val="00167F77"/>
    <w:rsid w:val="00170547"/>
    <w:rsid w:val="00170D15"/>
    <w:rsid w:val="00171F4C"/>
    <w:rsid w:val="0017245F"/>
    <w:rsid w:val="0017355A"/>
    <w:rsid w:val="00173C0A"/>
    <w:rsid w:val="00173EF4"/>
    <w:rsid w:val="001742DA"/>
    <w:rsid w:val="00174763"/>
    <w:rsid w:val="00176E0D"/>
    <w:rsid w:val="001777CE"/>
    <w:rsid w:val="001779D7"/>
    <w:rsid w:val="00177DFD"/>
    <w:rsid w:val="001804A1"/>
    <w:rsid w:val="001809D4"/>
    <w:rsid w:val="001815F1"/>
    <w:rsid w:val="00182871"/>
    <w:rsid w:val="001834D1"/>
    <w:rsid w:val="0018391E"/>
    <w:rsid w:val="00183C75"/>
    <w:rsid w:val="00184ADA"/>
    <w:rsid w:val="001858DE"/>
    <w:rsid w:val="00185B56"/>
    <w:rsid w:val="00185F59"/>
    <w:rsid w:val="00185FB5"/>
    <w:rsid w:val="00186005"/>
    <w:rsid w:val="00187D7A"/>
    <w:rsid w:val="00190F4D"/>
    <w:rsid w:val="00191C9F"/>
    <w:rsid w:val="00191EB7"/>
    <w:rsid w:val="001941A1"/>
    <w:rsid w:val="00194D8A"/>
    <w:rsid w:val="00194E8D"/>
    <w:rsid w:val="00195692"/>
    <w:rsid w:val="001957AD"/>
    <w:rsid w:val="0019585F"/>
    <w:rsid w:val="0019641A"/>
    <w:rsid w:val="00197736"/>
    <w:rsid w:val="00197903"/>
    <w:rsid w:val="00197C33"/>
    <w:rsid w:val="001A0970"/>
    <w:rsid w:val="001A1AD9"/>
    <w:rsid w:val="001A2625"/>
    <w:rsid w:val="001A2F51"/>
    <w:rsid w:val="001A42F8"/>
    <w:rsid w:val="001A54C8"/>
    <w:rsid w:val="001A574E"/>
    <w:rsid w:val="001A6FF1"/>
    <w:rsid w:val="001B042D"/>
    <w:rsid w:val="001B05DA"/>
    <w:rsid w:val="001B0743"/>
    <w:rsid w:val="001B08A8"/>
    <w:rsid w:val="001B14DB"/>
    <w:rsid w:val="001B1C06"/>
    <w:rsid w:val="001B38D2"/>
    <w:rsid w:val="001B3AAB"/>
    <w:rsid w:val="001B5000"/>
    <w:rsid w:val="001B5BD5"/>
    <w:rsid w:val="001B5EDA"/>
    <w:rsid w:val="001B68AD"/>
    <w:rsid w:val="001B6F97"/>
    <w:rsid w:val="001B7D6A"/>
    <w:rsid w:val="001B7EBC"/>
    <w:rsid w:val="001C0829"/>
    <w:rsid w:val="001C11E9"/>
    <w:rsid w:val="001C12E1"/>
    <w:rsid w:val="001C1472"/>
    <w:rsid w:val="001C17F6"/>
    <w:rsid w:val="001C22E6"/>
    <w:rsid w:val="001C2714"/>
    <w:rsid w:val="001C2EFA"/>
    <w:rsid w:val="001C30CA"/>
    <w:rsid w:val="001C348C"/>
    <w:rsid w:val="001C3549"/>
    <w:rsid w:val="001C3808"/>
    <w:rsid w:val="001C3B02"/>
    <w:rsid w:val="001C3B1E"/>
    <w:rsid w:val="001C3B98"/>
    <w:rsid w:val="001C4576"/>
    <w:rsid w:val="001C4FB7"/>
    <w:rsid w:val="001C52FC"/>
    <w:rsid w:val="001C57BB"/>
    <w:rsid w:val="001C5D0D"/>
    <w:rsid w:val="001D0540"/>
    <w:rsid w:val="001D1332"/>
    <w:rsid w:val="001D19E6"/>
    <w:rsid w:val="001D228F"/>
    <w:rsid w:val="001D2B3A"/>
    <w:rsid w:val="001D3D73"/>
    <w:rsid w:val="001D3E7D"/>
    <w:rsid w:val="001D454C"/>
    <w:rsid w:val="001D45B7"/>
    <w:rsid w:val="001D4B49"/>
    <w:rsid w:val="001D6600"/>
    <w:rsid w:val="001D6A54"/>
    <w:rsid w:val="001D7076"/>
    <w:rsid w:val="001D7D2D"/>
    <w:rsid w:val="001E0281"/>
    <w:rsid w:val="001E088C"/>
    <w:rsid w:val="001E1DE2"/>
    <w:rsid w:val="001E2B38"/>
    <w:rsid w:val="001E3372"/>
    <w:rsid w:val="001E33A9"/>
    <w:rsid w:val="001E3DD4"/>
    <w:rsid w:val="001E3F04"/>
    <w:rsid w:val="001E4812"/>
    <w:rsid w:val="001E5545"/>
    <w:rsid w:val="001E572D"/>
    <w:rsid w:val="001E59B1"/>
    <w:rsid w:val="001E5B09"/>
    <w:rsid w:val="001E6715"/>
    <w:rsid w:val="001E7046"/>
    <w:rsid w:val="001E7AE9"/>
    <w:rsid w:val="001F06E9"/>
    <w:rsid w:val="001F0B28"/>
    <w:rsid w:val="001F0E48"/>
    <w:rsid w:val="001F12AE"/>
    <w:rsid w:val="001F1948"/>
    <w:rsid w:val="001F1D33"/>
    <w:rsid w:val="001F27EB"/>
    <w:rsid w:val="001F3221"/>
    <w:rsid w:val="001F4FD3"/>
    <w:rsid w:val="001F60E4"/>
    <w:rsid w:val="001F624F"/>
    <w:rsid w:val="001F6642"/>
    <w:rsid w:val="001F6EEA"/>
    <w:rsid w:val="001F73AF"/>
    <w:rsid w:val="001F74D5"/>
    <w:rsid w:val="001F7A65"/>
    <w:rsid w:val="00202394"/>
    <w:rsid w:val="00202441"/>
    <w:rsid w:val="00202A43"/>
    <w:rsid w:val="00204CCC"/>
    <w:rsid w:val="002060CE"/>
    <w:rsid w:val="002115E8"/>
    <w:rsid w:val="002127B0"/>
    <w:rsid w:val="002139CD"/>
    <w:rsid w:val="0021480C"/>
    <w:rsid w:val="00214FF3"/>
    <w:rsid w:val="002150EA"/>
    <w:rsid w:val="00215E6F"/>
    <w:rsid w:val="00216FD2"/>
    <w:rsid w:val="002200F0"/>
    <w:rsid w:val="0022021C"/>
    <w:rsid w:val="002203BC"/>
    <w:rsid w:val="00220A6A"/>
    <w:rsid w:val="002219E8"/>
    <w:rsid w:val="00222955"/>
    <w:rsid w:val="00223838"/>
    <w:rsid w:val="00223A06"/>
    <w:rsid w:val="00223BD3"/>
    <w:rsid w:val="002245CF"/>
    <w:rsid w:val="0022526A"/>
    <w:rsid w:val="00225537"/>
    <w:rsid w:val="002260D4"/>
    <w:rsid w:val="0022619F"/>
    <w:rsid w:val="00227189"/>
    <w:rsid w:val="00227F92"/>
    <w:rsid w:val="00230AD6"/>
    <w:rsid w:val="00231902"/>
    <w:rsid w:val="00232F27"/>
    <w:rsid w:val="00232F5F"/>
    <w:rsid w:val="00233519"/>
    <w:rsid w:val="002336AC"/>
    <w:rsid w:val="00235122"/>
    <w:rsid w:val="002361DE"/>
    <w:rsid w:val="0023635D"/>
    <w:rsid w:val="00236926"/>
    <w:rsid w:val="0023745B"/>
    <w:rsid w:val="00237949"/>
    <w:rsid w:val="0024014B"/>
    <w:rsid w:val="0024042E"/>
    <w:rsid w:val="002418B6"/>
    <w:rsid w:val="00242109"/>
    <w:rsid w:val="00242478"/>
    <w:rsid w:val="002434A2"/>
    <w:rsid w:val="002438B5"/>
    <w:rsid w:val="0024450C"/>
    <w:rsid w:val="00245160"/>
    <w:rsid w:val="00246059"/>
    <w:rsid w:val="00246095"/>
    <w:rsid w:val="0024668D"/>
    <w:rsid w:val="00246D25"/>
    <w:rsid w:val="00247A50"/>
    <w:rsid w:val="00250047"/>
    <w:rsid w:val="0025033D"/>
    <w:rsid w:val="002504AF"/>
    <w:rsid w:val="0025055D"/>
    <w:rsid w:val="0025110D"/>
    <w:rsid w:val="002513D7"/>
    <w:rsid w:val="00252A5B"/>
    <w:rsid w:val="00253486"/>
    <w:rsid w:val="0025557E"/>
    <w:rsid w:val="002564E6"/>
    <w:rsid w:val="00257101"/>
    <w:rsid w:val="00257BC8"/>
    <w:rsid w:val="00260174"/>
    <w:rsid w:val="002609F1"/>
    <w:rsid w:val="0026124A"/>
    <w:rsid w:val="002614A4"/>
    <w:rsid w:val="002627F1"/>
    <w:rsid w:val="00265067"/>
    <w:rsid w:val="00265330"/>
    <w:rsid w:val="0026553B"/>
    <w:rsid w:val="00265C06"/>
    <w:rsid w:val="00265C57"/>
    <w:rsid w:val="00266358"/>
    <w:rsid w:val="00266675"/>
    <w:rsid w:val="00266E78"/>
    <w:rsid w:val="002671EF"/>
    <w:rsid w:val="00267236"/>
    <w:rsid w:val="002673C3"/>
    <w:rsid w:val="00267BAD"/>
    <w:rsid w:val="00267E72"/>
    <w:rsid w:val="002703F9"/>
    <w:rsid w:val="002710BB"/>
    <w:rsid w:val="00271974"/>
    <w:rsid w:val="0027212F"/>
    <w:rsid w:val="00272903"/>
    <w:rsid w:val="002737D4"/>
    <w:rsid w:val="00273B0C"/>
    <w:rsid w:val="00273E59"/>
    <w:rsid w:val="002741A2"/>
    <w:rsid w:val="002751C1"/>
    <w:rsid w:val="00275422"/>
    <w:rsid w:val="002754C7"/>
    <w:rsid w:val="00276C4F"/>
    <w:rsid w:val="00276D1E"/>
    <w:rsid w:val="002774FB"/>
    <w:rsid w:val="00277BDE"/>
    <w:rsid w:val="002806B4"/>
    <w:rsid w:val="00280A2D"/>
    <w:rsid w:val="00280B2C"/>
    <w:rsid w:val="00280E1E"/>
    <w:rsid w:val="00281C71"/>
    <w:rsid w:val="0028330E"/>
    <w:rsid w:val="0028334F"/>
    <w:rsid w:val="0028377D"/>
    <w:rsid w:val="00283E5E"/>
    <w:rsid w:val="00283E74"/>
    <w:rsid w:val="00284479"/>
    <w:rsid w:val="002849E8"/>
    <w:rsid w:val="002850F3"/>
    <w:rsid w:val="002855DF"/>
    <w:rsid w:val="00285C54"/>
    <w:rsid w:val="00286D8C"/>
    <w:rsid w:val="002871F6"/>
    <w:rsid w:val="00287ABA"/>
    <w:rsid w:val="0029229E"/>
    <w:rsid w:val="00292819"/>
    <w:rsid w:val="002931C3"/>
    <w:rsid w:val="0029358B"/>
    <w:rsid w:val="00294038"/>
    <w:rsid w:val="00294BD8"/>
    <w:rsid w:val="00294F2C"/>
    <w:rsid w:val="00297E57"/>
    <w:rsid w:val="002A026E"/>
    <w:rsid w:val="002A2B11"/>
    <w:rsid w:val="002A5A42"/>
    <w:rsid w:val="002A6C59"/>
    <w:rsid w:val="002A71F4"/>
    <w:rsid w:val="002A759D"/>
    <w:rsid w:val="002A7BC0"/>
    <w:rsid w:val="002B58E3"/>
    <w:rsid w:val="002B64AF"/>
    <w:rsid w:val="002B6EF6"/>
    <w:rsid w:val="002B70F9"/>
    <w:rsid w:val="002B7BF8"/>
    <w:rsid w:val="002C016B"/>
    <w:rsid w:val="002C0290"/>
    <w:rsid w:val="002C0316"/>
    <w:rsid w:val="002C2FE8"/>
    <w:rsid w:val="002C3275"/>
    <w:rsid w:val="002C32AE"/>
    <w:rsid w:val="002C39AB"/>
    <w:rsid w:val="002C3BC3"/>
    <w:rsid w:val="002C3F5C"/>
    <w:rsid w:val="002C6F3C"/>
    <w:rsid w:val="002C7BA6"/>
    <w:rsid w:val="002D0024"/>
    <w:rsid w:val="002D00C9"/>
    <w:rsid w:val="002D05C9"/>
    <w:rsid w:val="002D2D07"/>
    <w:rsid w:val="002D2FF4"/>
    <w:rsid w:val="002D34D2"/>
    <w:rsid w:val="002D37B1"/>
    <w:rsid w:val="002D3B6F"/>
    <w:rsid w:val="002D40D4"/>
    <w:rsid w:val="002D4170"/>
    <w:rsid w:val="002D5C61"/>
    <w:rsid w:val="002D64F5"/>
    <w:rsid w:val="002D6AE0"/>
    <w:rsid w:val="002D6AF2"/>
    <w:rsid w:val="002D71D9"/>
    <w:rsid w:val="002E0244"/>
    <w:rsid w:val="002E0EA9"/>
    <w:rsid w:val="002E362C"/>
    <w:rsid w:val="002E513D"/>
    <w:rsid w:val="002E5190"/>
    <w:rsid w:val="002E5E52"/>
    <w:rsid w:val="002E6FF7"/>
    <w:rsid w:val="002F078C"/>
    <w:rsid w:val="002F0A37"/>
    <w:rsid w:val="002F0A72"/>
    <w:rsid w:val="002F0FF7"/>
    <w:rsid w:val="002F16AF"/>
    <w:rsid w:val="002F1A2C"/>
    <w:rsid w:val="002F1BB5"/>
    <w:rsid w:val="002F2D27"/>
    <w:rsid w:val="002F2FF2"/>
    <w:rsid w:val="002F3BC8"/>
    <w:rsid w:val="002F3D08"/>
    <w:rsid w:val="002F3D25"/>
    <w:rsid w:val="002F4133"/>
    <w:rsid w:val="002F50C6"/>
    <w:rsid w:val="002F7B24"/>
    <w:rsid w:val="003005DD"/>
    <w:rsid w:val="00300CF5"/>
    <w:rsid w:val="00300EEA"/>
    <w:rsid w:val="003024B6"/>
    <w:rsid w:val="00303160"/>
    <w:rsid w:val="00303F8F"/>
    <w:rsid w:val="0030489A"/>
    <w:rsid w:val="00305B9E"/>
    <w:rsid w:val="00306467"/>
    <w:rsid w:val="00306804"/>
    <w:rsid w:val="00306E53"/>
    <w:rsid w:val="003103C2"/>
    <w:rsid w:val="00311350"/>
    <w:rsid w:val="003122B3"/>
    <w:rsid w:val="003138C4"/>
    <w:rsid w:val="003141F5"/>
    <w:rsid w:val="00314B22"/>
    <w:rsid w:val="00316856"/>
    <w:rsid w:val="00316DD4"/>
    <w:rsid w:val="003172EE"/>
    <w:rsid w:val="003175E8"/>
    <w:rsid w:val="0032024A"/>
    <w:rsid w:val="003215AD"/>
    <w:rsid w:val="00321B84"/>
    <w:rsid w:val="003226E9"/>
    <w:rsid w:val="00323097"/>
    <w:rsid w:val="0032328F"/>
    <w:rsid w:val="00324324"/>
    <w:rsid w:val="00324914"/>
    <w:rsid w:val="00325490"/>
    <w:rsid w:val="00325746"/>
    <w:rsid w:val="003259D3"/>
    <w:rsid w:val="003261F2"/>
    <w:rsid w:val="00327964"/>
    <w:rsid w:val="0033096F"/>
    <w:rsid w:val="0033228D"/>
    <w:rsid w:val="0033402F"/>
    <w:rsid w:val="003348B3"/>
    <w:rsid w:val="003352C0"/>
    <w:rsid w:val="003369C2"/>
    <w:rsid w:val="00336D4E"/>
    <w:rsid w:val="003372CF"/>
    <w:rsid w:val="003404BA"/>
    <w:rsid w:val="00341485"/>
    <w:rsid w:val="003417B1"/>
    <w:rsid w:val="00341E2C"/>
    <w:rsid w:val="00341F6C"/>
    <w:rsid w:val="0034228E"/>
    <w:rsid w:val="00342A24"/>
    <w:rsid w:val="00343855"/>
    <w:rsid w:val="003438BF"/>
    <w:rsid w:val="00343AE8"/>
    <w:rsid w:val="00343E3A"/>
    <w:rsid w:val="0034465D"/>
    <w:rsid w:val="0034486D"/>
    <w:rsid w:val="00344880"/>
    <w:rsid w:val="00344A21"/>
    <w:rsid w:val="00344C5C"/>
    <w:rsid w:val="00345561"/>
    <w:rsid w:val="003476BC"/>
    <w:rsid w:val="00347D13"/>
    <w:rsid w:val="003506B9"/>
    <w:rsid w:val="00351E96"/>
    <w:rsid w:val="00351F0D"/>
    <w:rsid w:val="00352125"/>
    <w:rsid w:val="00353BC5"/>
    <w:rsid w:val="00353C1A"/>
    <w:rsid w:val="00353FAB"/>
    <w:rsid w:val="0035466D"/>
    <w:rsid w:val="003552BB"/>
    <w:rsid w:val="00356C1B"/>
    <w:rsid w:val="00356CED"/>
    <w:rsid w:val="00356D3A"/>
    <w:rsid w:val="00361374"/>
    <w:rsid w:val="00361467"/>
    <w:rsid w:val="00361B7B"/>
    <w:rsid w:val="003626AF"/>
    <w:rsid w:val="00362E40"/>
    <w:rsid w:val="00363869"/>
    <w:rsid w:val="0036439B"/>
    <w:rsid w:val="0036570F"/>
    <w:rsid w:val="00365956"/>
    <w:rsid w:val="00366489"/>
    <w:rsid w:val="00366497"/>
    <w:rsid w:val="00366848"/>
    <w:rsid w:val="00367EF1"/>
    <w:rsid w:val="00370F43"/>
    <w:rsid w:val="003710A6"/>
    <w:rsid w:val="003725AD"/>
    <w:rsid w:val="00372EF6"/>
    <w:rsid w:val="00373074"/>
    <w:rsid w:val="003752DE"/>
    <w:rsid w:val="00375593"/>
    <w:rsid w:val="00375DD4"/>
    <w:rsid w:val="00376B1D"/>
    <w:rsid w:val="00376EB1"/>
    <w:rsid w:val="00377122"/>
    <w:rsid w:val="00377470"/>
    <w:rsid w:val="00377C8C"/>
    <w:rsid w:val="00380219"/>
    <w:rsid w:val="00380449"/>
    <w:rsid w:val="003805C5"/>
    <w:rsid w:val="00381156"/>
    <w:rsid w:val="00381C87"/>
    <w:rsid w:val="00381D13"/>
    <w:rsid w:val="0038285E"/>
    <w:rsid w:val="00382C9D"/>
    <w:rsid w:val="00382E39"/>
    <w:rsid w:val="00383251"/>
    <w:rsid w:val="003833D0"/>
    <w:rsid w:val="00383BE9"/>
    <w:rsid w:val="00383DE4"/>
    <w:rsid w:val="0038445E"/>
    <w:rsid w:val="003848A4"/>
    <w:rsid w:val="00386F10"/>
    <w:rsid w:val="0038793C"/>
    <w:rsid w:val="003900E7"/>
    <w:rsid w:val="00390119"/>
    <w:rsid w:val="003909C8"/>
    <w:rsid w:val="00390CF5"/>
    <w:rsid w:val="00390DAD"/>
    <w:rsid w:val="00391788"/>
    <w:rsid w:val="0039196C"/>
    <w:rsid w:val="0039204C"/>
    <w:rsid w:val="00393AD5"/>
    <w:rsid w:val="00394F0E"/>
    <w:rsid w:val="00395DFD"/>
    <w:rsid w:val="00396308"/>
    <w:rsid w:val="003A1FCD"/>
    <w:rsid w:val="003A211A"/>
    <w:rsid w:val="003A2683"/>
    <w:rsid w:val="003A2F0D"/>
    <w:rsid w:val="003A465C"/>
    <w:rsid w:val="003A507B"/>
    <w:rsid w:val="003A586B"/>
    <w:rsid w:val="003A6499"/>
    <w:rsid w:val="003A64E9"/>
    <w:rsid w:val="003B0706"/>
    <w:rsid w:val="003B1465"/>
    <w:rsid w:val="003B187B"/>
    <w:rsid w:val="003B1B95"/>
    <w:rsid w:val="003B1C60"/>
    <w:rsid w:val="003B2D75"/>
    <w:rsid w:val="003B30CC"/>
    <w:rsid w:val="003B30D6"/>
    <w:rsid w:val="003B36EF"/>
    <w:rsid w:val="003B55DD"/>
    <w:rsid w:val="003B5F5C"/>
    <w:rsid w:val="003B64E8"/>
    <w:rsid w:val="003B6829"/>
    <w:rsid w:val="003B7344"/>
    <w:rsid w:val="003B7929"/>
    <w:rsid w:val="003B7B52"/>
    <w:rsid w:val="003C0062"/>
    <w:rsid w:val="003C0753"/>
    <w:rsid w:val="003C092B"/>
    <w:rsid w:val="003C0B76"/>
    <w:rsid w:val="003C1816"/>
    <w:rsid w:val="003C185E"/>
    <w:rsid w:val="003C2502"/>
    <w:rsid w:val="003C293B"/>
    <w:rsid w:val="003C36A0"/>
    <w:rsid w:val="003C4383"/>
    <w:rsid w:val="003C485E"/>
    <w:rsid w:val="003C5500"/>
    <w:rsid w:val="003C5FCD"/>
    <w:rsid w:val="003C6A69"/>
    <w:rsid w:val="003C6E7C"/>
    <w:rsid w:val="003C6F0F"/>
    <w:rsid w:val="003C6FE8"/>
    <w:rsid w:val="003C71DE"/>
    <w:rsid w:val="003C7F5B"/>
    <w:rsid w:val="003D03B1"/>
    <w:rsid w:val="003D0C8C"/>
    <w:rsid w:val="003D0F27"/>
    <w:rsid w:val="003D1321"/>
    <w:rsid w:val="003D1BCE"/>
    <w:rsid w:val="003D24A1"/>
    <w:rsid w:val="003D326D"/>
    <w:rsid w:val="003D3DAA"/>
    <w:rsid w:val="003D3DAD"/>
    <w:rsid w:val="003D4D9C"/>
    <w:rsid w:val="003D5FF1"/>
    <w:rsid w:val="003D6876"/>
    <w:rsid w:val="003D7385"/>
    <w:rsid w:val="003D7949"/>
    <w:rsid w:val="003E0585"/>
    <w:rsid w:val="003E134E"/>
    <w:rsid w:val="003E15F8"/>
    <w:rsid w:val="003E1AE6"/>
    <w:rsid w:val="003E2A8D"/>
    <w:rsid w:val="003E2E7B"/>
    <w:rsid w:val="003E3536"/>
    <w:rsid w:val="003E419B"/>
    <w:rsid w:val="003E485E"/>
    <w:rsid w:val="003E5315"/>
    <w:rsid w:val="003E5BA6"/>
    <w:rsid w:val="003E6960"/>
    <w:rsid w:val="003F0B0D"/>
    <w:rsid w:val="003F10AC"/>
    <w:rsid w:val="003F15B5"/>
    <w:rsid w:val="003F2CF0"/>
    <w:rsid w:val="003F337E"/>
    <w:rsid w:val="003F4096"/>
    <w:rsid w:val="003F53F0"/>
    <w:rsid w:val="003F5686"/>
    <w:rsid w:val="003F6BAB"/>
    <w:rsid w:val="003F6E48"/>
    <w:rsid w:val="003F7461"/>
    <w:rsid w:val="003F74A1"/>
    <w:rsid w:val="003F7A4E"/>
    <w:rsid w:val="003F7DD8"/>
    <w:rsid w:val="00400CA3"/>
    <w:rsid w:val="00402318"/>
    <w:rsid w:val="0040244C"/>
    <w:rsid w:val="00403134"/>
    <w:rsid w:val="00403C8C"/>
    <w:rsid w:val="0040410B"/>
    <w:rsid w:val="0040671B"/>
    <w:rsid w:val="00406834"/>
    <w:rsid w:val="00407D49"/>
    <w:rsid w:val="0041143C"/>
    <w:rsid w:val="00411DD9"/>
    <w:rsid w:val="00411F64"/>
    <w:rsid w:val="00412383"/>
    <w:rsid w:val="00412C50"/>
    <w:rsid w:val="0041321C"/>
    <w:rsid w:val="00413B41"/>
    <w:rsid w:val="00414225"/>
    <w:rsid w:val="00414BF1"/>
    <w:rsid w:val="00416270"/>
    <w:rsid w:val="0041633D"/>
    <w:rsid w:val="00416671"/>
    <w:rsid w:val="00416F54"/>
    <w:rsid w:val="00417200"/>
    <w:rsid w:val="004173D3"/>
    <w:rsid w:val="00417E4B"/>
    <w:rsid w:val="00420219"/>
    <w:rsid w:val="00420AF3"/>
    <w:rsid w:val="00421D7D"/>
    <w:rsid w:val="0042232B"/>
    <w:rsid w:val="004224B7"/>
    <w:rsid w:val="00422DAE"/>
    <w:rsid w:val="004230E1"/>
    <w:rsid w:val="00424A00"/>
    <w:rsid w:val="00424FFA"/>
    <w:rsid w:val="00425FA1"/>
    <w:rsid w:val="004264AF"/>
    <w:rsid w:val="00426696"/>
    <w:rsid w:val="004302ED"/>
    <w:rsid w:val="004329DA"/>
    <w:rsid w:val="004331C0"/>
    <w:rsid w:val="00433F08"/>
    <w:rsid w:val="00435134"/>
    <w:rsid w:val="00435183"/>
    <w:rsid w:val="00435341"/>
    <w:rsid w:val="00435B64"/>
    <w:rsid w:val="00436148"/>
    <w:rsid w:val="0044021D"/>
    <w:rsid w:val="00440DB2"/>
    <w:rsid w:val="004410F9"/>
    <w:rsid w:val="00441F42"/>
    <w:rsid w:val="0044299E"/>
    <w:rsid w:val="00443F4E"/>
    <w:rsid w:val="00444145"/>
    <w:rsid w:val="00444C3D"/>
    <w:rsid w:val="00445102"/>
    <w:rsid w:val="00445F35"/>
    <w:rsid w:val="00447161"/>
    <w:rsid w:val="00447ECA"/>
    <w:rsid w:val="00450065"/>
    <w:rsid w:val="0045183C"/>
    <w:rsid w:val="00451E30"/>
    <w:rsid w:val="004526E6"/>
    <w:rsid w:val="00452CB7"/>
    <w:rsid w:val="00452E1A"/>
    <w:rsid w:val="0045376B"/>
    <w:rsid w:val="0045392E"/>
    <w:rsid w:val="004541D0"/>
    <w:rsid w:val="00454761"/>
    <w:rsid w:val="00454C66"/>
    <w:rsid w:val="00455051"/>
    <w:rsid w:val="00455166"/>
    <w:rsid w:val="00455D69"/>
    <w:rsid w:val="00455F15"/>
    <w:rsid w:val="004564A8"/>
    <w:rsid w:val="00456ECB"/>
    <w:rsid w:val="00457194"/>
    <w:rsid w:val="004572DC"/>
    <w:rsid w:val="004603AB"/>
    <w:rsid w:val="00461CFB"/>
    <w:rsid w:val="00462C9F"/>
    <w:rsid w:val="00462D58"/>
    <w:rsid w:val="00463787"/>
    <w:rsid w:val="00463EFF"/>
    <w:rsid w:val="00464130"/>
    <w:rsid w:val="0046467E"/>
    <w:rsid w:val="00464E0A"/>
    <w:rsid w:val="00465DBB"/>
    <w:rsid w:val="00466C43"/>
    <w:rsid w:val="00467200"/>
    <w:rsid w:val="0046745C"/>
    <w:rsid w:val="0046777E"/>
    <w:rsid w:val="00467936"/>
    <w:rsid w:val="00467E1C"/>
    <w:rsid w:val="004707B3"/>
    <w:rsid w:val="00470A4A"/>
    <w:rsid w:val="00471EC0"/>
    <w:rsid w:val="004732A6"/>
    <w:rsid w:val="00473F00"/>
    <w:rsid w:val="00474EA9"/>
    <w:rsid w:val="00475A11"/>
    <w:rsid w:val="00475E9B"/>
    <w:rsid w:val="0047637E"/>
    <w:rsid w:val="004773B9"/>
    <w:rsid w:val="004779C3"/>
    <w:rsid w:val="00477ADF"/>
    <w:rsid w:val="0048237F"/>
    <w:rsid w:val="00482644"/>
    <w:rsid w:val="00486592"/>
    <w:rsid w:val="00487AAA"/>
    <w:rsid w:val="0049005C"/>
    <w:rsid w:val="0049098E"/>
    <w:rsid w:val="0049105E"/>
    <w:rsid w:val="004921C9"/>
    <w:rsid w:val="00493485"/>
    <w:rsid w:val="004935C1"/>
    <w:rsid w:val="00493D66"/>
    <w:rsid w:val="004943CC"/>
    <w:rsid w:val="00495A76"/>
    <w:rsid w:val="00495E30"/>
    <w:rsid w:val="0049700A"/>
    <w:rsid w:val="00497999"/>
    <w:rsid w:val="004A0103"/>
    <w:rsid w:val="004A0479"/>
    <w:rsid w:val="004A0CB2"/>
    <w:rsid w:val="004A1140"/>
    <w:rsid w:val="004A1855"/>
    <w:rsid w:val="004A1922"/>
    <w:rsid w:val="004A30F4"/>
    <w:rsid w:val="004A426D"/>
    <w:rsid w:val="004A4D97"/>
    <w:rsid w:val="004A5365"/>
    <w:rsid w:val="004A588B"/>
    <w:rsid w:val="004A5FF3"/>
    <w:rsid w:val="004A70D6"/>
    <w:rsid w:val="004A7774"/>
    <w:rsid w:val="004A7A2C"/>
    <w:rsid w:val="004B01AE"/>
    <w:rsid w:val="004B06C5"/>
    <w:rsid w:val="004B153D"/>
    <w:rsid w:val="004B1E6D"/>
    <w:rsid w:val="004B212D"/>
    <w:rsid w:val="004B28DF"/>
    <w:rsid w:val="004B3AFA"/>
    <w:rsid w:val="004B4170"/>
    <w:rsid w:val="004B45ED"/>
    <w:rsid w:val="004B4C4B"/>
    <w:rsid w:val="004B6449"/>
    <w:rsid w:val="004B6872"/>
    <w:rsid w:val="004B6AE0"/>
    <w:rsid w:val="004C0BE9"/>
    <w:rsid w:val="004C1807"/>
    <w:rsid w:val="004C1C10"/>
    <w:rsid w:val="004C2DCC"/>
    <w:rsid w:val="004C3A38"/>
    <w:rsid w:val="004C450B"/>
    <w:rsid w:val="004C4A87"/>
    <w:rsid w:val="004C6CB5"/>
    <w:rsid w:val="004C6CEC"/>
    <w:rsid w:val="004C76C7"/>
    <w:rsid w:val="004C77C8"/>
    <w:rsid w:val="004D01DC"/>
    <w:rsid w:val="004D0850"/>
    <w:rsid w:val="004D097F"/>
    <w:rsid w:val="004D0D6A"/>
    <w:rsid w:val="004D1B19"/>
    <w:rsid w:val="004D29D5"/>
    <w:rsid w:val="004D2A0D"/>
    <w:rsid w:val="004D3232"/>
    <w:rsid w:val="004D50CC"/>
    <w:rsid w:val="004D679F"/>
    <w:rsid w:val="004D72C0"/>
    <w:rsid w:val="004E06F8"/>
    <w:rsid w:val="004E0B16"/>
    <w:rsid w:val="004E21EE"/>
    <w:rsid w:val="004E40BD"/>
    <w:rsid w:val="004E4C5F"/>
    <w:rsid w:val="004E4CE3"/>
    <w:rsid w:val="004E4DF1"/>
    <w:rsid w:val="004E4FA1"/>
    <w:rsid w:val="004E6086"/>
    <w:rsid w:val="004E6178"/>
    <w:rsid w:val="004E7CBE"/>
    <w:rsid w:val="004F0850"/>
    <w:rsid w:val="004F167F"/>
    <w:rsid w:val="004F1B04"/>
    <w:rsid w:val="004F294A"/>
    <w:rsid w:val="004F3E12"/>
    <w:rsid w:val="004F3F4A"/>
    <w:rsid w:val="004F452F"/>
    <w:rsid w:val="004F4FA5"/>
    <w:rsid w:val="004F5C79"/>
    <w:rsid w:val="004F5E43"/>
    <w:rsid w:val="004F6195"/>
    <w:rsid w:val="004F6D49"/>
    <w:rsid w:val="004F7C83"/>
    <w:rsid w:val="00500B93"/>
    <w:rsid w:val="00500D5D"/>
    <w:rsid w:val="00501127"/>
    <w:rsid w:val="00501658"/>
    <w:rsid w:val="0050235C"/>
    <w:rsid w:val="00502DA7"/>
    <w:rsid w:val="005039D3"/>
    <w:rsid w:val="00503F63"/>
    <w:rsid w:val="00504009"/>
    <w:rsid w:val="005066A8"/>
    <w:rsid w:val="005071CD"/>
    <w:rsid w:val="005100EA"/>
    <w:rsid w:val="005104BB"/>
    <w:rsid w:val="00510D70"/>
    <w:rsid w:val="005118A8"/>
    <w:rsid w:val="005119C5"/>
    <w:rsid w:val="00511C41"/>
    <w:rsid w:val="00511E06"/>
    <w:rsid w:val="00512213"/>
    <w:rsid w:val="005131AA"/>
    <w:rsid w:val="005139D3"/>
    <w:rsid w:val="00514A9F"/>
    <w:rsid w:val="00514DE6"/>
    <w:rsid w:val="005151CA"/>
    <w:rsid w:val="00515999"/>
    <w:rsid w:val="005164A7"/>
    <w:rsid w:val="005168D3"/>
    <w:rsid w:val="00516AAF"/>
    <w:rsid w:val="00517597"/>
    <w:rsid w:val="0051771A"/>
    <w:rsid w:val="00517906"/>
    <w:rsid w:val="00520FCD"/>
    <w:rsid w:val="00521C5A"/>
    <w:rsid w:val="00521EE2"/>
    <w:rsid w:val="00522BBB"/>
    <w:rsid w:val="0052351D"/>
    <w:rsid w:val="00523CA8"/>
    <w:rsid w:val="005248B0"/>
    <w:rsid w:val="0052529E"/>
    <w:rsid w:val="005252D6"/>
    <w:rsid w:val="00525CC6"/>
    <w:rsid w:val="005279DF"/>
    <w:rsid w:val="00531229"/>
    <w:rsid w:val="005312BC"/>
    <w:rsid w:val="005319B0"/>
    <w:rsid w:val="00531D18"/>
    <w:rsid w:val="00531FEB"/>
    <w:rsid w:val="00532361"/>
    <w:rsid w:val="00532BD9"/>
    <w:rsid w:val="00533547"/>
    <w:rsid w:val="00534807"/>
    <w:rsid w:val="00535833"/>
    <w:rsid w:val="00535AD0"/>
    <w:rsid w:val="00536764"/>
    <w:rsid w:val="00536FCB"/>
    <w:rsid w:val="005379AB"/>
    <w:rsid w:val="00537B4E"/>
    <w:rsid w:val="00541419"/>
    <w:rsid w:val="005434F7"/>
    <w:rsid w:val="005440BE"/>
    <w:rsid w:val="0054437C"/>
    <w:rsid w:val="005454E8"/>
    <w:rsid w:val="00545F83"/>
    <w:rsid w:val="005461C2"/>
    <w:rsid w:val="00546943"/>
    <w:rsid w:val="00547D42"/>
    <w:rsid w:val="00550635"/>
    <w:rsid w:val="005512C3"/>
    <w:rsid w:val="00552125"/>
    <w:rsid w:val="005522FD"/>
    <w:rsid w:val="00553189"/>
    <w:rsid w:val="00553534"/>
    <w:rsid w:val="005537BE"/>
    <w:rsid w:val="005549EA"/>
    <w:rsid w:val="005573E3"/>
    <w:rsid w:val="00557A25"/>
    <w:rsid w:val="00557E08"/>
    <w:rsid w:val="005617F3"/>
    <w:rsid w:val="00561F09"/>
    <w:rsid w:val="005621A8"/>
    <w:rsid w:val="005626A8"/>
    <w:rsid w:val="0056284E"/>
    <w:rsid w:val="005636BA"/>
    <w:rsid w:val="00563EEA"/>
    <w:rsid w:val="005645A6"/>
    <w:rsid w:val="00565173"/>
    <w:rsid w:val="005654E0"/>
    <w:rsid w:val="00565F94"/>
    <w:rsid w:val="005717D6"/>
    <w:rsid w:val="00571D1A"/>
    <w:rsid w:val="00572C82"/>
    <w:rsid w:val="00573325"/>
    <w:rsid w:val="00573508"/>
    <w:rsid w:val="00573646"/>
    <w:rsid w:val="0057412F"/>
    <w:rsid w:val="00574409"/>
    <w:rsid w:val="005746DE"/>
    <w:rsid w:val="0057482D"/>
    <w:rsid w:val="005753DF"/>
    <w:rsid w:val="005757CE"/>
    <w:rsid w:val="00575B28"/>
    <w:rsid w:val="005764B4"/>
    <w:rsid w:val="00576C28"/>
    <w:rsid w:val="00576D3B"/>
    <w:rsid w:val="00577587"/>
    <w:rsid w:val="005802BD"/>
    <w:rsid w:val="00580823"/>
    <w:rsid w:val="0058124C"/>
    <w:rsid w:val="00581894"/>
    <w:rsid w:val="00581F5B"/>
    <w:rsid w:val="0058238B"/>
    <w:rsid w:val="00582553"/>
    <w:rsid w:val="00582CED"/>
    <w:rsid w:val="00583FFF"/>
    <w:rsid w:val="00584988"/>
    <w:rsid w:val="00584AD4"/>
    <w:rsid w:val="005857A8"/>
    <w:rsid w:val="00585C53"/>
    <w:rsid w:val="005865D2"/>
    <w:rsid w:val="0058730A"/>
    <w:rsid w:val="00587DD4"/>
    <w:rsid w:val="00590752"/>
    <w:rsid w:val="00592574"/>
    <w:rsid w:val="00592B08"/>
    <w:rsid w:val="00593638"/>
    <w:rsid w:val="00594500"/>
    <w:rsid w:val="00594B11"/>
    <w:rsid w:val="00594EA0"/>
    <w:rsid w:val="00594F3A"/>
    <w:rsid w:val="005952BA"/>
    <w:rsid w:val="0059597C"/>
    <w:rsid w:val="00596EFF"/>
    <w:rsid w:val="005972FF"/>
    <w:rsid w:val="005973E1"/>
    <w:rsid w:val="005979CD"/>
    <w:rsid w:val="00597EE8"/>
    <w:rsid w:val="005A173C"/>
    <w:rsid w:val="005A3E9A"/>
    <w:rsid w:val="005A3FD6"/>
    <w:rsid w:val="005A66CE"/>
    <w:rsid w:val="005A7D88"/>
    <w:rsid w:val="005B0868"/>
    <w:rsid w:val="005B1489"/>
    <w:rsid w:val="005B1A0B"/>
    <w:rsid w:val="005B1A53"/>
    <w:rsid w:val="005B1EC5"/>
    <w:rsid w:val="005B264E"/>
    <w:rsid w:val="005B309F"/>
    <w:rsid w:val="005B31D1"/>
    <w:rsid w:val="005B4F14"/>
    <w:rsid w:val="005B5469"/>
    <w:rsid w:val="005B54E5"/>
    <w:rsid w:val="005B5811"/>
    <w:rsid w:val="005B591C"/>
    <w:rsid w:val="005B5FDE"/>
    <w:rsid w:val="005B60CF"/>
    <w:rsid w:val="005B6219"/>
    <w:rsid w:val="005B6FF9"/>
    <w:rsid w:val="005B7674"/>
    <w:rsid w:val="005B79AE"/>
    <w:rsid w:val="005B7AF4"/>
    <w:rsid w:val="005B7FE9"/>
    <w:rsid w:val="005C11D4"/>
    <w:rsid w:val="005C1C14"/>
    <w:rsid w:val="005C4A66"/>
    <w:rsid w:val="005C5134"/>
    <w:rsid w:val="005C6444"/>
    <w:rsid w:val="005C73BC"/>
    <w:rsid w:val="005D0199"/>
    <w:rsid w:val="005D0BE6"/>
    <w:rsid w:val="005D117E"/>
    <w:rsid w:val="005D1BA7"/>
    <w:rsid w:val="005D1FF9"/>
    <w:rsid w:val="005D43FC"/>
    <w:rsid w:val="005D4EA6"/>
    <w:rsid w:val="005D57D8"/>
    <w:rsid w:val="005D6922"/>
    <w:rsid w:val="005D6A2A"/>
    <w:rsid w:val="005D7BFB"/>
    <w:rsid w:val="005E03E2"/>
    <w:rsid w:val="005E1E66"/>
    <w:rsid w:val="005E1FC7"/>
    <w:rsid w:val="005E210F"/>
    <w:rsid w:val="005E3791"/>
    <w:rsid w:val="005E3ECE"/>
    <w:rsid w:val="005E54C1"/>
    <w:rsid w:val="005E6B25"/>
    <w:rsid w:val="005E71A6"/>
    <w:rsid w:val="005E7391"/>
    <w:rsid w:val="005F0208"/>
    <w:rsid w:val="005F07F8"/>
    <w:rsid w:val="005F09B0"/>
    <w:rsid w:val="005F0EA0"/>
    <w:rsid w:val="005F1145"/>
    <w:rsid w:val="005F1417"/>
    <w:rsid w:val="005F254F"/>
    <w:rsid w:val="005F2703"/>
    <w:rsid w:val="005F316A"/>
    <w:rsid w:val="005F3439"/>
    <w:rsid w:val="005F49A5"/>
    <w:rsid w:val="005F63C9"/>
    <w:rsid w:val="005F6A5F"/>
    <w:rsid w:val="005F7550"/>
    <w:rsid w:val="006000C3"/>
    <w:rsid w:val="00600BC1"/>
    <w:rsid w:val="00603EC9"/>
    <w:rsid w:val="006051DD"/>
    <w:rsid w:val="006068E4"/>
    <w:rsid w:val="006075E9"/>
    <w:rsid w:val="00607C8E"/>
    <w:rsid w:val="0061075A"/>
    <w:rsid w:val="00610838"/>
    <w:rsid w:val="00611493"/>
    <w:rsid w:val="00611D87"/>
    <w:rsid w:val="00612B05"/>
    <w:rsid w:val="00612B69"/>
    <w:rsid w:val="00614638"/>
    <w:rsid w:val="006151F2"/>
    <w:rsid w:val="00615651"/>
    <w:rsid w:val="0061573F"/>
    <w:rsid w:val="00615A5A"/>
    <w:rsid w:val="00615D7D"/>
    <w:rsid w:val="0061710E"/>
    <w:rsid w:val="006177BF"/>
    <w:rsid w:val="00620448"/>
    <w:rsid w:val="006204B8"/>
    <w:rsid w:val="0062113D"/>
    <w:rsid w:val="00621468"/>
    <w:rsid w:val="006219CF"/>
    <w:rsid w:val="00621A30"/>
    <w:rsid w:val="00621B01"/>
    <w:rsid w:val="00621F5C"/>
    <w:rsid w:val="00622FA9"/>
    <w:rsid w:val="00623398"/>
    <w:rsid w:val="006233BE"/>
    <w:rsid w:val="00623FE4"/>
    <w:rsid w:val="00624792"/>
    <w:rsid w:val="00624CEF"/>
    <w:rsid w:val="006254F6"/>
    <w:rsid w:val="00625716"/>
    <w:rsid w:val="00625A5D"/>
    <w:rsid w:val="006265CA"/>
    <w:rsid w:val="006268B1"/>
    <w:rsid w:val="00627236"/>
    <w:rsid w:val="00627338"/>
    <w:rsid w:val="00627E1A"/>
    <w:rsid w:val="00627E94"/>
    <w:rsid w:val="00627E9D"/>
    <w:rsid w:val="006305F6"/>
    <w:rsid w:val="0063119F"/>
    <w:rsid w:val="006313FD"/>
    <w:rsid w:val="00631411"/>
    <w:rsid w:val="00632A90"/>
    <w:rsid w:val="006337C6"/>
    <w:rsid w:val="006340EA"/>
    <w:rsid w:val="006350B3"/>
    <w:rsid w:val="006356E0"/>
    <w:rsid w:val="0063679E"/>
    <w:rsid w:val="00636990"/>
    <w:rsid w:val="00636E7B"/>
    <w:rsid w:val="006377E6"/>
    <w:rsid w:val="00637DD3"/>
    <w:rsid w:val="006400E6"/>
    <w:rsid w:val="00640555"/>
    <w:rsid w:val="00641202"/>
    <w:rsid w:val="00641D6D"/>
    <w:rsid w:val="00642368"/>
    <w:rsid w:val="006462F5"/>
    <w:rsid w:val="00646490"/>
    <w:rsid w:val="006465FE"/>
    <w:rsid w:val="00646CF2"/>
    <w:rsid w:val="006502A4"/>
    <w:rsid w:val="00650A28"/>
    <w:rsid w:val="00651467"/>
    <w:rsid w:val="00651516"/>
    <w:rsid w:val="00651F9C"/>
    <w:rsid w:val="00651FE6"/>
    <w:rsid w:val="00653316"/>
    <w:rsid w:val="00653E1E"/>
    <w:rsid w:val="0065468A"/>
    <w:rsid w:val="00660A15"/>
    <w:rsid w:val="00660C12"/>
    <w:rsid w:val="00660E61"/>
    <w:rsid w:val="006611BC"/>
    <w:rsid w:val="006613A6"/>
    <w:rsid w:val="00662004"/>
    <w:rsid w:val="00664956"/>
    <w:rsid w:val="00664FDA"/>
    <w:rsid w:val="0066505A"/>
    <w:rsid w:val="006650D2"/>
    <w:rsid w:val="0066520B"/>
    <w:rsid w:val="00665A6C"/>
    <w:rsid w:val="00665F5E"/>
    <w:rsid w:val="00666239"/>
    <w:rsid w:val="00666506"/>
    <w:rsid w:val="006671A3"/>
    <w:rsid w:val="00667239"/>
    <w:rsid w:val="0066753D"/>
    <w:rsid w:val="006678EE"/>
    <w:rsid w:val="00667AA3"/>
    <w:rsid w:val="006700DE"/>
    <w:rsid w:val="006703EE"/>
    <w:rsid w:val="00670BFF"/>
    <w:rsid w:val="00671D16"/>
    <w:rsid w:val="0067219D"/>
    <w:rsid w:val="0067236C"/>
    <w:rsid w:val="00672C12"/>
    <w:rsid w:val="00673A1B"/>
    <w:rsid w:val="00673AF3"/>
    <w:rsid w:val="0067422D"/>
    <w:rsid w:val="00675403"/>
    <w:rsid w:val="00675B1C"/>
    <w:rsid w:val="00675FA2"/>
    <w:rsid w:val="00677002"/>
    <w:rsid w:val="006811BB"/>
    <w:rsid w:val="006816AE"/>
    <w:rsid w:val="00681E36"/>
    <w:rsid w:val="006855AB"/>
    <w:rsid w:val="0068686F"/>
    <w:rsid w:val="006874EF"/>
    <w:rsid w:val="006901E1"/>
    <w:rsid w:val="006905A1"/>
    <w:rsid w:val="00690729"/>
    <w:rsid w:val="00690A5B"/>
    <w:rsid w:val="00690B09"/>
    <w:rsid w:val="0069118C"/>
    <w:rsid w:val="00691DC8"/>
    <w:rsid w:val="006936A0"/>
    <w:rsid w:val="00693E09"/>
    <w:rsid w:val="00694B30"/>
    <w:rsid w:val="00695C5F"/>
    <w:rsid w:val="0069740A"/>
    <w:rsid w:val="00697537"/>
    <w:rsid w:val="006A11AF"/>
    <w:rsid w:val="006A141F"/>
    <w:rsid w:val="006A1873"/>
    <w:rsid w:val="006A37ED"/>
    <w:rsid w:val="006A390F"/>
    <w:rsid w:val="006A428A"/>
    <w:rsid w:val="006A4F91"/>
    <w:rsid w:val="006A511B"/>
    <w:rsid w:val="006A5605"/>
    <w:rsid w:val="006A64C0"/>
    <w:rsid w:val="006A66D3"/>
    <w:rsid w:val="006A7063"/>
    <w:rsid w:val="006B028A"/>
    <w:rsid w:val="006B0971"/>
    <w:rsid w:val="006B0E01"/>
    <w:rsid w:val="006B13D9"/>
    <w:rsid w:val="006B15F5"/>
    <w:rsid w:val="006B23D1"/>
    <w:rsid w:val="006B29A7"/>
    <w:rsid w:val="006B435B"/>
    <w:rsid w:val="006B4BCB"/>
    <w:rsid w:val="006B5009"/>
    <w:rsid w:val="006B5AC1"/>
    <w:rsid w:val="006B5AD2"/>
    <w:rsid w:val="006B62E9"/>
    <w:rsid w:val="006B6F2C"/>
    <w:rsid w:val="006C13BA"/>
    <w:rsid w:val="006C1519"/>
    <w:rsid w:val="006C1698"/>
    <w:rsid w:val="006C1E5D"/>
    <w:rsid w:val="006C2109"/>
    <w:rsid w:val="006C3CDD"/>
    <w:rsid w:val="006C4385"/>
    <w:rsid w:val="006C50BF"/>
    <w:rsid w:val="006C5595"/>
    <w:rsid w:val="006C5D23"/>
    <w:rsid w:val="006C7B52"/>
    <w:rsid w:val="006D1ED7"/>
    <w:rsid w:val="006D3233"/>
    <w:rsid w:val="006D45BD"/>
    <w:rsid w:val="006D4604"/>
    <w:rsid w:val="006D4FC3"/>
    <w:rsid w:val="006D53BF"/>
    <w:rsid w:val="006D5A3E"/>
    <w:rsid w:val="006D5B6E"/>
    <w:rsid w:val="006D5C51"/>
    <w:rsid w:val="006D66F6"/>
    <w:rsid w:val="006D7A8C"/>
    <w:rsid w:val="006D7D6A"/>
    <w:rsid w:val="006E1439"/>
    <w:rsid w:val="006E1E8C"/>
    <w:rsid w:val="006E3A66"/>
    <w:rsid w:val="006E3E54"/>
    <w:rsid w:val="006E5C5C"/>
    <w:rsid w:val="006E6C4F"/>
    <w:rsid w:val="006F098B"/>
    <w:rsid w:val="006F13E1"/>
    <w:rsid w:val="006F162D"/>
    <w:rsid w:val="006F1A1C"/>
    <w:rsid w:val="006F461D"/>
    <w:rsid w:val="006F55F9"/>
    <w:rsid w:val="006F70C4"/>
    <w:rsid w:val="006F7BE3"/>
    <w:rsid w:val="0070046A"/>
    <w:rsid w:val="0070084E"/>
    <w:rsid w:val="00701266"/>
    <w:rsid w:val="007013D9"/>
    <w:rsid w:val="00701433"/>
    <w:rsid w:val="0070151E"/>
    <w:rsid w:val="007020D2"/>
    <w:rsid w:val="00702411"/>
    <w:rsid w:val="00702B39"/>
    <w:rsid w:val="00702C3A"/>
    <w:rsid w:val="0070303D"/>
    <w:rsid w:val="00703367"/>
    <w:rsid w:val="00703AD8"/>
    <w:rsid w:val="007040D3"/>
    <w:rsid w:val="00704817"/>
    <w:rsid w:val="00704BBA"/>
    <w:rsid w:val="0070613D"/>
    <w:rsid w:val="00706203"/>
    <w:rsid w:val="00706445"/>
    <w:rsid w:val="00706BC0"/>
    <w:rsid w:val="00707E85"/>
    <w:rsid w:val="00710147"/>
    <w:rsid w:val="00711A23"/>
    <w:rsid w:val="00711C73"/>
    <w:rsid w:val="00712104"/>
    <w:rsid w:val="00712A3E"/>
    <w:rsid w:val="0071381A"/>
    <w:rsid w:val="00713981"/>
    <w:rsid w:val="00713D6A"/>
    <w:rsid w:val="00713F58"/>
    <w:rsid w:val="0071400C"/>
    <w:rsid w:val="00714570"/>
    <w:rsid w:val="00715E83"/>
    <w:rsid w:val="00715FDC"/>
    <w:rsid w:val="00720726"/>
    <w:rsid w:val="00720815"/>
    <w:rsid w:val="00720E51"/>
    <w:rsid w:val="00721235"/>
    <w:rsid w:val="007225DF"/>
    <w:rsid w:val="00722EE6"/>
    <w:rsid w:val="00723946"/>
    <w:rsid w:val="00724579"/>
    <w:rsid w:val="00724D6B"/>
    <w:rsid w:val="00725296"/>
    <w:rsid w:val="007253A9"/>
    <w:rsid w:val="00726731"/>
    <w:rsid w:val="007269A5"/>
    <w:rsid w:val="007315D1"/>
    <w:rsid w:val="00731A2E"/>
    <w:rsid w:val="00732B6E"/>
    <w:rsid w:val="00732C64"/>
    <w:rsid w:val="00733973"/>
    <w:rsid w:val="00733D5D"/>
    <w:rsid w:val="00734439"/>
    <w:rsid w:val="00734B7A"/>
    <w:rsid w:val="007370BE"/>
    <w:rsid w:val="00737161"/>
    <w:rsid w:val="0073731B"/>
    <w:rsid w:val="00740490"/>
    <w:rsid w:val="00740CD3"/>
    <w:rsid w:val="0074104E"/>
    <w:rsid w:val="00741312"/>
    <w:rsid w:val="00741605"/>
    <w:rsid w:val="007423A6"/>
    <w:rsid w:val="007427C7"/>
    <w:rsid w:val="007428A4"/>
    <w:rsid w:val="00744808"/>
    <w:rsid w:val="007451A4"/>
    <w:rsid w:val="007456A6"/>
    <w:rsid w:val="00745E69"/>
    <w:rsid w:val="007462A6"/>
    <w:rsid w:val="0074753C"/>
    <w:rsid w:val="0075000A"/>
    <w:rsid w:val="00750DE1"/>
    <w:rsid w:val="00750EE3"/>
    <w:rsid w:val="00751227"/>
    <w:rsid w:val="007517E8"/>
    <w:rsid w:val="00751840"/>
    <w:rsid w:val="00751D49"/>
    <w:rsid w:val="00751FFD"/>
    <w:rsid w:val="0075277C"/>
    <w:rsid w:val="00752B31"/>
    <w:rsid w:val="00753366"/>
    <w:rsid w:val="007546C0"/>
    <w:rsid w:val="0075473A"/>
    <w:rsid w:val="00754856"/>
    <w:rsid w:val="00755032"/>
    <w:rsid w:val="00755A21"/>
    <w:rsid w:val="00755FAA"/>
    <w:rsid w:val="00760131"/>
    <w:rsid w:val="00760215"/>
    <w:rsid w:val="00760A95"/>
    <w:rsid w:val="00760C90"/>
    <w:rsid w:val="00761314"/>
    <w:rsid w:val="00761336"/>
    <w:rsid w:val="007614AC"/>
    <w:rsid w:val="007644BF"/>
    <w:rsid w:val="00764612"/>
    <w:rsid w:val="00764796"/>
    <w:rsid w:val="00765FC1"/>
    <w:rsid w:val="0076685B"/>
    <w:rsid w:val="00766BE7"/>
    <w:rsid w:val="00770560"/>
    <w:rsid w:val="00770567"/>
    <w:rsid w:val="0077074D"/>
    <w:rsid w:val="007712BE"/>
    <w:rsid w:val="00771596"/>
    <w:rsid w:val="00771EF6"/>
    <w:rsid w:val="007738B9"/>
    <w:rsid w:val="00773B2F"/>
    <w:rsid w:val="00773D6E"/>
    <w:rsid w:val="00774849"/>
    <w:rsid w:val="007749EE"/>
    <w:rsid w:val="007757E1"/>
    <w:rsid w:val="00776EBF"/>
    <w:rsid w:val="007773D4"/>
    <w:rsid w:val="00777D31"/>
    <w:rsid w:val="0078054D"/>
    <w:rsid w:val="00780854"/>
    <w:rsid w:val="00781DB9"/>
    <w:rsid w:val="00781E8D"/>
    <w:rsid w:val="0078249C"/>
    <w:rsid w:val="007837AA"/>
    <w:rsid w:val="00783C85"/>
    <w:rsid w:val="00784D8C"/>
    <w:rsid w:val="00785D36"/>
    <w:rsid w:val="00786146"/>
    <w:rsid w:val="00786696"/>
    <w:rsid w:val="00787161"/>
    <w:rsid w:val="0078795F"/>
    <w:rsid w:val="0079099C"/>
    <w:rsid w:val="00790B1A"/>
    <w:rsid w:val="00790BC5"/>
    <w:rsid w:val="00790DE4"/>
    <w:rsid w:val="00790EE4"/>
    <w:rsid w:val="0079105D"/>
    <w:rsid w:val="00791A9C"/>
    <w:rsid w:val="007926A3"/>
    <w:rsid w:val="00792CC8"/>
    <w:rsid w:val="00792F24"/>
    <w:rsid w:val="007934A0"/>
    <w:rsid w:val="00793D6C"/>
    <w:rsid w:val="007946C3"/>
    <w:rsid w:val="00797026"/>
    <w:rsid w:val="007970B5"/>
    <w:rsid w:val="0079717E"/>
    <w:rsid w:val="007A07BB"/>
    <w:rsid w:val="007A263D"/>
    <w:rsid w:val="007A3670"/>
    <w:rsid w:val="007A3B50"/>
    <w:rsid w:val="007A4576"/>
    <w:rsid w:val="007A63D3"/>
    <w:rsid w:val="007A6921"/>
    <w:rsid w:val="007A6BD1"/>
    <w:rsid w:val="007A6F66"/>
    <w:rsid w:val="007A742C"/>
    <w:rsid w:val="007B03DF"/>
    <w:rsid w:val="007B0471"/>
    <w:rsid w:val="007B1232"/>
    <w:rsid w:val="007B1616"/>
    <w:rsid w:val="007B1722"/>
    <w:rsid w:val="007B3463"/>
    <w:rsid w:val="007B393B"/>
    <w:rsid w:val="007B4115"/>
    <w:rsid w:val="007B4318"/>
    <w:rsid w:val="007B48BD"/>
    <w:rsid w:val="007B4B65"/>
    <w:rsid w:val="007B4BCF"/>
    <w:rsid w:val="007B4EC4"/>
    <w:rsid w:val="007B5045"/>
    <w:rsid w:val="007B5987"/>
    <w:rsid w:val="007B6F4E"/>
    <w:rsid w:val="007C01B8"/>
    <w:rsid w:val="007C056E"/>
    <w:rsid w:val="007C2229"/>
    <w:rsid w:val="007C2C2D"/>
    <w:rsid w:val="007C2F60"/>
    <w:rsid w:val="007C31DD"/>
    <w:rsid w:val="007C343C"/>
    <w:rsid w:val="007C4A6D"/>
    <w:rsid w:val="007C51AC"/>
    <w:rsid w:val="007C622F"/>
    <w:rsid w:val="007C7113"/>
    <w:rsid w:val="007C73D1"/>
    <w:rsid w:val="007C76CE"/>
    <w:rsid w:val="007C7E0E"/>
    <w:rsid w:val="007D01E1"/>
    <w:rsid w:val="007D0239"/>
    <w:rsid w:val="007D0949"/>
    <w:rsid w:val="007D1BF9"/>
    <w:rsid w:val="007D200E"/>
    <w:rsid w:val="007D4B94"/>
    <w:rsid w:val="007D4CCC"/>
    <w:rsid w:val="007D5EB0"/>
    <w:rsid w:val="007D7CA6"/>
    <w:rsid w:val="007D7F0C"/>
    <w:rsid w:val="007E0182"/>
    <w:rsid w:val="007E0E16"/>
    <w:rsid w:val="007E1330"/>
    <w:rsid w:val="007E42B4"/>
    <w:rsid w:val="007E528B"/>
    <w:rsid w:val="007E58B2"/>
    <w:rsid w:val="007E5FD0"/>
    <w:rsid w:val="007E6927"/>
    <w:rsid w:val="007E7A34"/>
    <w:rsid w:val="007F0F41"/>
    <w:rsid w:val="007F1370"/>
    <w:rsid w:val="007F2064"/>
    <w:rsid w:val="007F2B3B"/>
    <w:rsid w:val="007F3563"/>
    <w:rsid w:val="007F3A9B"/>
    <w:rsid w:val="007F4799"/>
    <w:rsid w:val="007F4C4F"/>
    <w:rsid w:val="007F54EB"/>
    <w:rsid w:val="007F5900"/>
    <w:rsid w:val="007F5D1E"/>
    <w:rsid w:val="007F612C"/>
    <w:rsid w:val="007F619D"/>
    <w:rsid w:val="008003B5"/>
    <w:rsid w:val="00802E2E"/>
    <w:rsid w:val="0080380E"/>
    <w:rsid w:val="0080424E"/>
    <w:rsid w:val="00804401"/>
    <w:rsid w:val="00804C4B"/>
    <w:rsid w:val="00804FA8"/>
    <w:rsid w:val="0080504C"/>
    <w:rsid w:val="00805300"/>
    <w:rsid w:val="00805366"/>
    <w:rsid w:val="0080560D"/>
    <w:rsid w:val="00806650"/>
    <w:rsid w:val="0080665F"/>
    <w:rsid w:val="00807C9E"/>
    <w:rsid w:val="00812A40"/>
    <w:rsid w:val="00812EDC"/>
    <w:rsid w:val="008130D1"/>
    <w:rsid w:val="00813C68"/>
    <w:rsid w:val="00813DD6"/>
    <w:rsid w:val="0081469D"/>
    <w:rsid w:val="008153C4"/>
    <w:rsid w:val="00815E64"/>
    <w:rsid w:val="008164AE"/>
    <w:rsid w:val="00816C0C"/>
    <w:rsid w:val="00816CB0"/>
    <w:rsid w:val="00816D94"/>
    <w:rsid w:val="0082035C"/>
    <w:rsid w:val="0082038B"/>
    <w:rsid w:val="00820456"/>
    <w:rsid w:val="00820A42"/>
    <w:rsid w:val="00821199"/>
    <w:rsid w:val="008218C5"/>
    <w:rsid w:val="00821CD0"/>
    <w:rsid w:val="008225BB"/>
    <w:rsid w:val="00822B6E"/>
    <w:rsid w:val="00822E4E"/>
    <w:rsid w:val="00824214"/>
    <w:rsid w:val="008254A4"/>
    <w:rsid w:val="00825573"/>
    <w:rsid w:val="0082588C"/>
    <w:rsid w:val="00825C33"/>
    <w:rsid w:val="00826811"/>
    <w:rsid w:val="008269B6"/>
    <w:rsid w:val="0082732E"/>
    <w:rsid w:val="008307DB"/>
    <w:rsid w:val="00830C35"/>
    <w:rsid w:val="00830DCF"/>
    <w:rsid w:val="008315AF"/>
    <w:rsid w:val="0083181F"/>
    <w:rsid w:val="0083209A"/>
    <w:rsid w:val="00832C56"/>
    <w:rsid w:val="0083363B"/>
    <w:rsid w:val="008337D4"/>
    <w:rsid w:val="00834D28"/>
    <w:rsid w:val="00835335"/>
    <w:rsid w:val="00835C87"/>
    <w:rsid w:val="0083627A"/>
    <w:rsid w:val="008364AC"/>
    <w:rsid w:val="00836900"/>
    <w:rsid w:val="008379B6"/>
    <w:rsid w:val="008379D1"/>
    <w:rsid w:val="008402FE"/>
    <w:rsid w:val="00840BCF"/>
    <w:rsid w:val="008417B8"/>
    <w:rsid w:val="00842901"/>
    <w:rsid w:val="00842CBC"/>
    <w:rsid w:val="00842FBC"/>
    <w:rsid w:val="00843317"/>
    <w:rsid w:val="00844D71"/>
    <w:rsid w:val="00844DF3"/>
    <w:rsid w:val="00845468"/>
    <w:rsid w:val="008459B9"/>
    <w:rsid w:val="00845CC4"/>
    <w:rsid w:val="00846954"/>
    <w:rsid w:val="0084706A"/>
    <w:rsid w:val="008474A3"/>
    <w:rsid w:val="00847A38"/>
    <w:rsid w:val="00850143"/>
    <w:rsid w:val="00850CD1"/>
    <w:rsid w:val="00852617"/>
    <w:rsid w:val="00853386"/>
    <w:rsid w:val="0085533F"/>
    <w:rsid w:val="0085571F"/>
    <w:rsid w:val="00855DE1"/>
    <w:rsid w:val="00856060"/>
    <w:rsid w:val="00857221"/>
    <w:rsid w:val="00857321"/>
    <w:rsid w:val="0085796E"/>
    <w:rsid w:val="0086160A"/>
    <w:rsid w:val="008622E0"/>
    <w:rsid w:val="008629AE"/>
    <w:rsid w:val="00862B3B"/>
    <w:rsid w:val="008632DE"/>
    <w:rsid w:val="00863421"/>
    <w:rsid w:val="0086360D"/>
    <w:rsid w:val="0086396B"/>
    <w:rsid w:val="00865416"/>
    <w:rsid w:val="008672A6"/>
    <w:rsid w:val="00870AC7"/>
    <w:rsid w:val="00871EC6"/>
    <w:rsid w:val="00872507"/>
    <w:rsid w:val="00872744"/>
    <w:rsid w:val="008728D9"/>
    <w:rsid w:val="00872E73"/>
    <w:rsid w:val="00873117"/>
    <w:rsid w:val="00875732"/>
    <w:rsid w:val="00875BD0"/>
    <w:rsid w:val="00875C12"/>
    <w:rsid w:val="00875EEF"/>
    <w:rsid w:val="008768F2"/>
    <w:rsid w:val="008768F7"/>
    <w:rsid w:val="00877140"/>
    <w:rsid w:val="00877191"/>
    <w:rsid w:val="0088027C"/>
    <w:rsid w:val="008807F8"/>
    <w:rsid w:val="00880954"/>
    <w:rsid w:val="00880974"/>
    <w:rsid w:val="00880A72"/>
    <w:rsid w:val="008814F3"/>
    <w:rsid w:val="0088179D"/>
    <w:rsid w:val="008817F7"/>
    <w:rsid w:val="00881E64"/>
    <w:rsid w:val="00882D10"/>
    <w:rsid w:val="008831C1"/>
    <w:rsid w:val="00883258"/>
    <w:rsid w:val="0088345F"/>
    <w:rsid w:val="00883C68"/>
    <w:rsid w:val="00885894"/>
    <w:rsid w:val="00885C4B"/>
    <w:rsid w:val="00886E49"/>
    <w:rsid w:val="008873A2"/>
    <w:rsid w:val="008877A2"/>
    <w:rsid w:val="00890E49"/>
    <w:rsid w:val="008910A2"/>
    <w:rsid w:val="0089167F"/>
    <w:rsid w:val="0089188B"/>
    <w:rsid w:val="00891DE4"/>
    <w:rsid w:val="008921D0"/>
    <w:rsid w:val="00893DCC"/>
    <w:rsid w:val="00894DCE"/>
    <w:rsid w:val="00895A7E"/>
    <w:rsid w:val="00897318"/>
    <w:rsid w:val="008A00D8"/>
    <w:rsid w:val="008A0315"/>
    <w:rsid w:val="008A0B9F"/>
    <w:rsid w:val="008A22B6"/>
    <w:rsid w:val="008A28C6"/>
    <w:rsid w:val="008A35EA"/>
    <w:rsid w:val="008A3D0B"/>
    <w:rsid w:val="008A4276"/>
    <w:rsid w:val="008A43E4"/>
    <w:rsid w:val="008A4EA0"/>
    <w:rsid w:val="008A5F88"/>
    <w:rsid w:val="008A65F1"/>
    <w:rsid w:val="008A6947"/>
    <w:rsid w:val="008A71D9"/>
    <w:rsid w:val="008B17BB"/>
    <w:rsid w:val="008B1F9A"/>
    <w:rsid w:val="008B1FDC"/>
    <w:rsid w:val="008B42F8"/>
    <w:rsid w:val="008B4E3D"/>
    <w:rsid w:val="008B5776"/>
    <w:rsid w:val="008B741D"/>
    <w:rsid w:val="008B7669"/>
    <w:rsid w:val="008B7C02"/>
    <w:rsid w:val="008C1122"/>
    <w:rsid w:val="008C1397"/>
    <w:rsid w:val="008C2BBB"/>
    <w:rsid w:val="008C35C0"/>
    <w:rsid w:val="008C36CF"/>
    <w:rsid w:val="008C5544"/>
    <w:rsid w:val="008C567D"/>
    <w:rsid w:val="008C582C"/>
    <w:rsid w:val="008C5957"/>
    <w:rsid w:val="008C5B55"/>
    <w:rsid w:val="008C650B"/>
    <w:rsid w:val="008C6C54"/>
    <w:rsid w:val="008C6DC3"/>
    <w:rsid w:val="008C6EF3"/>
    <w:rsid w:val="008C739F"/>
    <w:rsid w:val="008C7584"/>
    <w:rsid w:val="008D006E"/>
    <w:rsid w:val="008D25C5"/>
    <w:rsid w:val="008D3757"/>
    <w:rsid w:val="008D38C3"/>
    <w:rsid w:val="008D3B21"/>
    <w:rsid w:val="008D491F"/>
    <w:rsid w:val="008D54B7"/>
    <w:rsid w:val="008D5835"/>
    <w:rsid w:val="008D5880"/>
    <w:rsid w:val="008D60BE"/>
    <w:rsid w:val="008D6A62"/>
    <w:rsid w:val="008D7722"/>
    <w:rsid w:val="008D7B43"/>
    <w:rsid w:val="008D7FD9"/>
    <w:rsid w:val="008E15B9"/>
    <w:rsid w:val="008E2DB8"/>
    <w:rsid w:val="008E336A"/>
    <w:rsid w:val="008E4184"/>
    <w:rsid w:val="008E440F"/>
    <w:rsid w:val="008E4946"/>
    <w:rsid w:val="008E4C6C"/>
    <w:rsid w:val="008E4D2B"/>
    <w:rsid w:val="008E4DE8"/>
    <w:rsid w:val="008E4EC3"/>
    <w:rsid w:val="008E5D1E"/>
    <w:rsid w:val="008E5D48"/>
    <w:rsid w:val="008E664C"/>
    <w:rsid w:val="008E6C2F"/>
    <w:rsid w:val="008F06FC"/>
    <w:rsid w:val="008F1AB5"/>
    <w:rsid w:val="008F1AFD"/>
    <w:rsid w:val="008F2326"/>
    <w:rsid w:val="008F2624"/>
    <w:rsid w:val="008F28D1"/>
    <w:rsid w:val="008F3679"/>
    <w:rsid w:val="008F460B"/>
    <w:rsid w:val="008F5248"/>
    <w:rsid w:val="008F5914"/>
    <w:rsid w:val="008F661F"/>
    <w:rsid w:val="00900A88"/>
    <w:rsid w:val="00900C8B"/>
    <w:rsid w:val="00900D9B"/>
    <w:rsid w:val="0090257E"/>
    <w:rsid w:val="00903203"/>
    <w:rsid w:val="00903756"/>
    <w:rsid w:val="00905713"/>
    <w:rsid w:val="00906207"/>
    <w:rsid w:val="009062D3"/>
    <w:rsid w:val="009069A2"/>
    <w:rsid w:val="009069F2"/>
    <w:rsid w:val="00906ED2"/>
    <w:rsid w:val="00907C27"/>
    <w:rsid w:val="00907D7C"/>
    <w:rsid w:val="00907EE9"/>
    <w:rsid w:val="00907F68"/>
    <w:rsid w:val="00910DC7"/>
    <w:rsid w:val="0091147E"/>
    <w:rsid w:val="0091220D"/>
    <w:rsid w:val="0091224F"/>
    <w:rsid w:val="00912376"/>
    <w:rsid w:val="0091395B"/>
    <w:rsid w:val="009143F5"/>
    <w:rsid w:val="009147FB"/>
    <w:rsid w:val="00914E99"/>
    <w:rsid w:val="009163E0"/>
    <w:rsid w:val="00917C78"/>
    <w:rsid w:val="00920109"/>
    <w:rsid w:val="00920BBF"/>
    <w:rsid w:val="0092156E"/>
    <w:rsid w:val="00921DF5"/>
    <w:rsid w:val="00922464"/>
    <w:rsid w:val="00922C46"/>
    <w:rsid w:val="0092303C"/>
    <w:rsid w:val="00923D9F"/>
    <w:rsid w:val="0092427D"/>
    <w:rsid w:val="0092627A"/>
    <w:rsid w:val="009262D9"/>
    <w:rsid w:val="00927033"/>
    <w:rsid w:val="00927CD4"/>
    <w:rsid w:val="00930434"/>
    <w:rsid w:val="00931261"/>
    <w:rsid w:val="00931BB9"/>
    <w:rsid w:val="00931F81"/>
    <w:rsid w:val="0093258F"/>
    <w:rsid w:val="009330B6"/>
    <w:rsid w:val="00933C4B"/>
    <w:rsid w:val="0093740E"/>
    <w:rsid w:val="0093774F"/>
    <w:rsid w:val="00937D38"/>
    <w:rsid w:val="00937F52"/>
    <w:rsid w:val="00940515"/>
    <w:rsid w:val="00940DF0"/>
    <w:rsid w:val="009412A5"/>
    <w:rsid w:val="00941BE2"/>
    <w:rsid w:val="00942847"/>
    <w:rsid w:val="00942ACE"/>
    <w:rsid w:val="0094668D"/>
    <w:rsid w:val="0094786C"/>
    <w:rsid w:val="00950EB0"/>
    <w:rsid w:val="00950F8D"/>
    <w:rsid w:val="009510C8"/>
    <w:rsid w:val="00951121"/>
    <w:rsid w:val="00951214"/>
    <w:rsid w:val="00951843"/>
    <w:rsid w:val="00951A50"/>
    <w:rsid w:val="0095262D"/>
    <w:rsid w:val="00953AC3"/>
    <w:rsid w:val="009559C1"/>
    <w:rsid w:val="00956317"/>
    <w:rsid w:val="0095699E"/>
    <w:rsid w:val="00957483"/>
    <w:rsid w:val="00957858"/>
    <w:rsid w:val="009605F6"/>
    <w:rsid w:val="00960A3C"/>
    <w:rsid w:val="00960EFA"/>
    <w:rsid w:val="00962006"/>
    <w:rsid w:val="009623F5"/>
    <w:rsid w:val="00963192"/>
    <w:rsid w:val="00963F1D"/>
    <w:rsid w:val="009640D6"/>
    <w:rsid w:val="00964521"/>
    <w:rsid w:val="00964CA2"/>
    <w:rsid w:val="00966B31"/>
    <w:rsid w:val="00966E20"/>
    <w:rsid w:val="00970060"/>
    <w:rsid w:val="009701F1"/>
    <w:rsid w:val="00970BF8"/>
    <w:rsid w:val="00970D71"/>
    <w:rsid w:val="00971516"/>
    <w:rsid w:val="009719A2"/>
    <w:rsid w:val="00972357"/>
    <w:rsid w:val="00972FB9"/>
    <w:rsid w:val="0097328E"/>
    <w:rsid w:val="0097358B"/>
    <w:rsid w:val="00974AD1"/>
    <w:rsid w:val="00974C04"/>
    <w:rsid w:val="0097546C"/>
    <w:rsid w:val="00975960"/>
    <w:rsid w:val="00975B75"/>
    <w:rsid w:val="0097639D"/>
    <w:rsid w:val="00977750"/>
    <w:rsid w:val="00980961"/>
    <w:rsid w:val="009809B8"/>
    <w:rsid w:val="00981DF0"/>
    <w:rsid w:val="00981E4B"/>
    <w:rsid w:val="00982EDB"/>
    <w:rsid w:val="0098349E"/>
    <w:rsid w:val="00984C67"/>
    <w:rsid w:val="0098583A"/>
    <w:rsid w:val="00987317"/>
    <w:rsid w:val="00990B6A"/>
    <w:rsid w:val="00991A10"/>
    <w:rsid w:val="009923DD"/>
    <w:rsid w:val="00992E75"/>
    <w:rsid w:val="009933E3"/>
    <w:rsid w:val="009935C8"/>
    <w:rsid w:val="0099419D"/>
    <w:rsid w:val="00995EB0"/>
    <w:rsid w:val="009962F6"/>
    <w:rsid w:val="00996DD1"/>
    <w:rsid w:val="009A098D"/>
    <w:rsid w:val="009A11A4"/>
    <w:rsid w:val="009A2145"/>
    <w:rsid w:val="009A3AB6"/>
    <w:rsid w:val="009A4557"/>
    <w:rsid w:val="009A4669"/>
    <w:rsid w:val="009A4850"/>
    <w:rsid w:val="009A52D0"/>
    <w:rsid w:val="009A6162"/>
    <w:rsid w:val="009A6630"/>
    <w:rsid w:val="009A6C05"/>
    <w:rsid w:val="009B052F"/>
    <w:rsid w:val="009B08B7"/>
    <w:rsid w:val="009B0955"/>
    <w:rsid w:val="009B0F86"/>
    <w:rsid w:val="009B2CAC"/>
    <w:rsid w:val="009B2F9F"/>
    <w:rsid w:val="009B3600"/>
    <w:rsid w:val="009B38C9"/>
    <w:rsid w:val="009B4357"/>
    <w:rsid w:val="009B4E5C"/>
    <w:rsid w:val="009B5B3C"/>
    <w:rsid w:val="009B5C1D"/>
    <w:rsid w:val="009B5E11"/>
    <w:rsid w:val="009B6AEC"/>
    <w:rsid w:val="009B6EE9"/>
    <w:rsid w:val="009B728D"/>
    <w:rsid w:val="009B774A"/>
    <w:rsid w:val="009B7C71"/>
    <w:rsid w:val="009C067B"/>
    <w:rsid w:val="009C0E52"/>
    <w:rsid w:val="009C1B3C"/>
    <w:rsid w:val="009C23C9"/>
    <w:rsid w:val="009C2A20"/>
    <w:rsid w:val="009C4446"/>
    <w:rsid w:val="009C4BBD"/>
    <w:rsid w:val="009C6159"/>
    <w:rsid w:val="009C6D3E"/>
    <w:rsid w:val="009C7FC5"/>
    <w:rsid w:val="009D0174"/>
    <w:rsid w:val="009D0919"/>
    <w:rsid w:val="009D171A"/>
    <w:rsid w:val="009D2CBA"/>
    <w:rsid w:val="009D369D"/>
    <w:rsid w:val="009D36B6"/>
    <w:rsid w:val="009D3DFB"/>
    <w:rsid w:val="009D4DB4"/>
    <w:rsid w:val="009D5080"/>
    <w:rsid w:val="009D5BBA"/>
    <w:rsid w:val="009D607B"/>
    <w:rsid w:val="009D6686"/>
    <w:rsid w:val="009D6C1B"/>
    <w:rsid w:val="009D6E8A"/>
    <w:rsid w:val="009D72D9"/>
    <w:rsid w:val="009E0A4F"/>
    <w:rsid w:val="009E0CEE"/>
    <w:rsid w:val="009E24CE"/>
    <w:rsid w:val="009E3875"/>
    <w:rsid w:val="009E4B00"/>
    <w:rsid w:val="009E4D53"/>
    <w:rsid w:val="009E5702"/>
    <w:rsid w:val="009E78DF"/>
    <w:rsid w:val="009E7ABF"/>
    <w:rsid w:val="009F014F"/>
    <w:rsid w:val="009F0FCC"/>
    <w:rsid w:val="009F162F"/>
    <w:rsid w:val="009F1A4A"/>
    <w:rsid w:val="009F2711"/>
    <w:rsid w:val="009F2C96"/>
    <w:rsid w:val="009F31A0"/>
    <w:rsid w:val="009F378B"/>
    <w:rsid w:val="009F3AFE"/>
    <w:rsid w:val="009F4B8C"/>
    <w:rsid w:val="009F5773"/>
    <w:rsid w:val="009F5F87"/>
    <w:rsid w:val="009F67A5"/>
    <w:rsid w:val="009F6D64"/>
    <w:rsid w:val="009F7C74"/>
    <w:rsid w:val="00A00104"/>
    <w:rsid w:val="00A02515"/>
    <w:rsid w:val="00A0279D"/>
    <w:rsid w:val="00A02CEA"/>
    <w:rsid w:val="00A02E7B"/>
    <w:rsid w:val="00A02F81"/>
    <w:rsid w:val="00A030EA"/>
    <w:rsid w:val="00A044B0"/>
    <w:rsid w:val="00A04FEB"/>
    <w:rsid w:val="00A05D42"/>
    <w:rsid w:val="00A06D03"/>
    <w:rsid w:val="00A06F5F"/>
    <w:rsid w:val="00A07102"/>
    <w:rsid w:val="00A07280"/>
    <w:rsid w:val="00A074B2"/>
    <w:rsid w:val="00A10AA7"/>
    <w:rsid w:val="00A11CC3"/>
    <w:rsid w:val="00A11CE2"/>
    <w:rsid w:val="00A11F11"/>
    <w:rsid w:val="00A12C2D"/>
    <w:rsid w:val="00A12E36"/>
    <w:rsid w:val="00A133C5"/>
    <w:rsid w:val="00A1357A"/>
    <w:rsid w:val="00A13E56"/>
    <w:rsid w:val="00A140A7"/>
    <w:rsid w:val="00A14B88"/>
    <w:rsid w:val="00A14CD6"/>
    <w:rsid w:val="00A14CEF"/>
    <w:rsid w:val="00A152D6"/>
    <w:rsid w:val="00A1532A"/>
    <w:rsid w:val="00A16B12"/>
    <w:rsid w:val="00A17D85"/>
    <w:rsid w:val="00A210FC"/>
    <w:rsid w:val="00A2170D"/>
    <w:rsid w:val="00A219F5"/>
    <w:rsid w:val="00A22E2E"/>
    <w:rsid w:val="00A2326B"/>
    <w:rsid w:val="00A235F6"/>
    <w:rsid w:val="00A2377B"/>
    <w:rsid w:val="00A242FA"/>
    <w:rsid w:val="00A24D62"/>
    <w:rsid w:val="00A2574E"/>
    <w:rsid w:val="00A25B1D"/>
    <w:rsid w:val="00A25FFE"/>
    <w:rsid w:val="00A268AB"/>
    <w:rsid w:val="00A27500"/>
    <w:rsid w:val="00A27815"/>
    <w:rsid w:val="00A30C9B"/>
    <w:rsid w:val="00A31A99"/>
    <w:rsid w:val="00A321A1"/>
    <w:rsid w:val="00A32E5A"/>
    <w:rsid w:val="00A346CE"/>
    <w:rsid w:val="00A34A09"/>
    <w:rsid w:val="00A34ABC"/>
    <w:rsid w:val="00A34EC6"/>
    <w:rsid w:val="00A354B0"/>
    <w:rsid w:val="00A3578E"/>
    <w:rsid w:val="00A37ECD"/>
    <w:rsid w:val="00A402CB"/>
    <w:rsid w:val="00A403DC"/>
    <w:rsid w:val="00A40811"/>
    <w:rsid w:val="00A415C3"/>
    <w:rsid w:val="00A426D6"/>
    <w:rsid w:val="00A43975"/>
    <w:rsid w:val="00A441A7"/>
    <w:rsid w:val="00A44398"/>
    <w:rsid w:val="00A44760"/>
    <w:rsid w:val="00A447B0"/>
    <w:rsid w:val="00A44A2D"/>
    <w:rsid w:val="00A450E5"/>
    <w:rsid w:val="00A464B0"/>
    <w:rsid w:val="00A46C68"/>
    <w:rsid w:val="00A46D6D"/>
    <w:rsid w:val="00A47272"/>
    <w:rsid w:val="00A47A81"/>
    <w:rsid w:val="00A47B29"/>
    <w:rsid w:val="00A50602"/>
    <w:rsid w:val="00A51175"/>
    <w:rsid w:val="00A51644"/>
    <w:rsid w:val="00A5384C"/>
    <w:rsid w:val="00A54209"/>
    <w:rsid w:val="00A54619"/>
    <w:rsid w:val="00A54976"/>
    <w:rsid w:val="00A5508B"/>
    <w:rsid w:val="00A55A3A"/>
    <w:rsid w:val="00A55D14"/>
    <w:rsid w:val="00A5616E"/>
    <w:rsid w:val="00A566B5"/>
    <w:rsid w:val="00A60739"/>
    <w:rsid w:val="00A60937"/>
    <w:rsid w:val="00A60FB2"/>
    <w:rsid w:val="00A611EB"/>
    <w:rsid w:val="00A61B97"/>
    <w:rsid w:val="00A626F1"/>
    <w:rsid w:val="00A62E40"/>
    <w:rsid w:val="00A65331"/>
    <w:rsid w:val="00A66475"/>
    <w:rsid w:val="00A66C52"/>
    <w:rsid w:val="00A67097"/>
    <w:rsid w:val="00A67D8A"/>
    <w:rsid w:val="00A72ADA"/>
    <w:rsid w:val="00A73B70"/>
    <w:rsid w:val="00A74834"/>
    <w:rsid w:val="00A80490"/>
    <w:rsid w:val="00A80678"/>
    <w:rsid w:val="00A810B2"/>
    <w:rsid w:val="00A8310B"/>
    <w:rsid w:val="00A8337E"/>
    <w:rsid w:val="00A84371"/>
    <w:rsid w:val="00A84680"/>
    <w:rsid w:val="00A85031"/>
    <w:rsid w:val="00A8546A"/>
    <w:rsid w:val="00A85BBD"/>
    <w:rsid w:val="00A8656E"/>
    <w:rsid w:val="00A9051D"/>
    <w:rsid w:val="00A908A6"/>
    <w:rsid w:val="00A915F8"/>
    <w:rsid w:val="00A923E4"/>
    <w:rsid w:val="00A92806"/>
    <w:rsid w:val="00A92ECA"/>
    <w:rsid w:val="00A95221"/>
    <w:rsid w:val="00A95C8B"/>
    <w:rsid w:val="00A95E53"/>
    <w:rsid w:val="00A96977"/>
    <w:rsid w:val="00AA016D"/>
    <w:rsid w:val="00AA0B88"/>
    <w:rsid w:val="00AA0B8E"/>
    <w:rsid w:val="00AA1E9F"/>
    <w:rsid w:val="00AA2504"/>
    <w:rsid w:val="00AA261D"/>
    <w:rsid w:val="00AA2A6E"/>
    <w:rsid w:val="00AA34DB"/>
    <w:rsid w:val="00AA3892"/>
    <w:rsid w:val="00AA4344"/>
    <w:rsid w:val="00AA4822"/>
    <w:rsid w:val="00AA5E68"/>
    <w:rsid w:val="00AA6017"/>
    <w:rsid w:val="00AA70E8"/>
    <w:rsid w:val="00AA733E"/>
    <w:rsid w:val="00AA7BB6"/>
    <w:rsid w:val="00AA7FF1"/>
    <w:rsid w:val="00AB00B3"/>
    <w:rsid w:val="00AB00C9"/>
    <w:rsid w:val="00AB0897"/>
    <w:rsid w:val="00AB0C50"/>
    <w:rsid w:val="00AB0C8B"/>
    <w:rsid w:val="00AB1204"/>
    <w:rsid w:val="00AB1EE1"/>
    <w:rsid w:val="00AB2CD1"/>
    <w:rsid w:val="00AB31F0"/>
    <w:rsid w:val="00AB3599"/>
    <w:rsid w:val="00AB35BA"/>
    <w:rsid w:val="00AB4DC7"/>
    <w:rsid w:val="00AB5499"/>
    <w:rsid w:val="00AB5818"/>
    <w:rsid w:val="00AB5836"/>
    <w:rsid w:val="00AB61B8"/>
    <w:rsid w:val="00AB62FA"/>
    <w:rsid w:val="00AB663F"/>
    <w:rsid w:val="00AB68C4"/>
    <w:rsid w:val="00AB79F9"/>
    <w:rsid w:val="00AC00CB"/>
    <w:rsid w:val="00AC011B"/>
    <w:rsid w:val="00AC14AF"/>
    <w:rsid w:val="00AC17D7"/>
    <w:rsid w:val="00AC19E1"/>
    <w:rsid w:val="00AC481A"/>
    <w:rsid w:val="00AC49E2"/>
    <w:rsid w:val="00AC5429"/>
    <w:rsid w:val="00AC57D4"/>
    <w:rsid w:val="00AC6E91"/>
    <w:rsid w:val="00AD08B4"/>
    <w:rsid w:val="00AD0FBE"/>
    <w:rsid w:val="00AD16B5"/>
    <w:rsid w:val="00AD19EA"/>
    <w:rsid w:val="00AD3F7E"/>
    <w:rsid w:val="00AD4D5B"/>
    <w:rsid w:val="00AD527E"/>
    <w:rsid w:val="00AD5D74"/>
    <w:rsid w:val="00AD5F94"/>
    <w:rsid w:val="00AD63A7"/>
    <w:rsid w:val="00AE0B45"/>
    <w:rsid w:val="00AE1004"/>
    <w:rsid w:val="00AE1E19"/>
    <w:rsid w:val="00AE2BB2"/>
    <w:rsid w:val="00AE2EB5"/>
    <w:rsid w:val="00AE3278"/>
    <w:rsid w:val="00AE3533"/>
    <w:rsid w:val="00AE39ED"/>
    <w:rsid w:val="00AE3C90"/>
    <w:rsid w:val="00AE3DDC"/>
    <w:rsid w:val="00AE5B9C"/>
    <w:rsid w:val="00AE5DEC"/>
    <w:rsid w:val="00AE6040"/>
    <w:rsid w:val="00AE6F01"/>
    <w:rsid w:val="00AF0185"/>
    <w:rsid w:val="00AF02E0"/>
    <w:rsid w:val="00AF1E33"/>
    <w:rsid w:val="00AF23B5"/>
    <w:rsid w:val="00AF26A8"/>
    <w:rsid w:val="00AF2DE0"/>
    <w:rsid w:val="00AF4643"/>
    <w:rsid w:val="00AF49BA"/>
    <w:rsid w:val="00AF4A15"/>
    <w:rsid w:val="00AF5C5E"/>
    <w:rsid w:val="00B0030F"/>
    <w:rsid w:val="00B02272"/>
    <w:rsid w:val="00B02800"/>
    <w:rsid w:val="00B03AAE"/>
    <w:rsid w:val="00B03D39"/>
    <w:rsid w:val="00B03E67"/>
    <w:rsid w:val="00B04EAC"/>
    <w:rsid w:val="00B05143"/>
    <w:rsid w:val="00B057CB"/>
    <w:rsid w:val="00B05A26"/>
    <w:rsid w:val="00B06459"/>
    <w:rsid w:val="00B06B7D"/>
    <w:rsid w:val="00B06CE9"/>
    <w:rsid w:val="00B071E2"/>
    <w:rsid w:val="00B0742B"/>
    <w:rsid w:val="00B0770C"/>
    <w:rsid w:val="00B07861"/>
    <w:rsid w:val="00B1029F"/>
    <w:rsid w:val="00B10957"/>
    <w:rsid w:val="00B10D1B"/>
    <w:rsid w:val="00B11396"/>
    <w:rsid w:val="00B116D7"/>
    <w:rsid w:val="00B1190A"/>
    <w:rsid w:val="00B12EFA"/>
    <w:rsid w:val="00B12F70"/>
    <w:rsid w:val="00B1394F"/>
    <w:rsid w:val="00B145CA"/>
    <w:rsid w:val="00B148D2"/>
    <w:rsid w:val="00B15EDB"/>
    <w:rsid w:val="00B163E5"/>
    <w:rsid w:val="00B16633"/>
    <w:rsid w:val="00B16B2A"/>
    <w:rsid w:val="00B16C4F"/>
    <w:rsid w:val="00B1747D"/>
    <w:rsid w:val="00B203EC"/>
    <w:rsid w:val="00B20AC8"/>
    <w:rsid w:val="00B21A19"/>
    <w:rsid w:val="00B22470"/>
    <w:rsid w:val="00B256CF"/>
    <w:rsid w:val="00B26171"/>
    <w:rsid w:val="00B26525"/>
    <w:rsid w:val="00B26676"/>
    <w:rsid w:val="00B2694C"/>
    <w:rsid w:val="00B26B16"/>
    <w:rsid w:val="00B26EE7"/>
    <w:rsid w:val="00B27EBB"/>
    <w:rsid w:val="00B30402"/>
    <w:rsid w:val="00B31429"/>
    <w:rsid w:val="00B315EF"/>
    <w:rsid w:val="00B31E5D"/>
    <w:rsid w:val="00B34641"/>
    <w:rsid w:val="00B34DCF"/>
    <w:rsid w:val="00B34F4F"/>
    <w:rsid w:val="00B357DF"/>
    <w:rsid w:val="00B3586F"/>
    <w:rsid w:val="00B36AC4"/>
    <w:rsid w:val="00B400BA"/>
    <w:rsid w:val="00B4096F"/>
    <w:rsid w:val="00B40C30"/>
    <w:rsid w:val="00B40D1F"/>
    <w:rsid w:val="00B40F6C"/>
    <w:rsid w:val="00B4139D"/>
    <w:rsid w:val="00B41773"/>
    <w:rsid w:val="00B4188D"/>
    <w:rsid w:val="00B41DE9"/>
    <w:rsid w:val="00B41EAF"/>
    <w:rsid w:val="00B41EBA"/>
    <w:rsid w:val="00B42383"/>
    <w:rsid w:val="00B434C4"/>
    <w:rsid w:val="00B441E0"/>
    <w:rsid w:val="00B453A2"/>
    <w:rsid w:val="00B458E5"/>
    <w:rsid w:val="00B46C4C"/>
    <w:rsid w:val="00B46EA7"/>
    <w:rsid w:val="00B516EE"/>
    <w:rsid w:val="00B53CC6"/>
    <w:rsid w:val="00B53EF9"/>
    <w:rsid w:val="00B53FB2"/>
    <w:rsid w:val="00B540ED"/>
    <w:rsid w:val="00B57A14"/>
    <w:rsid w:val="00B62B10"/>
    <w:rsid w:val="00B62C5A"/>
    <w:rsid w:val="00B62C5D"/>
    <w:rsid w:val="00B62FE5"/>
    <w:rsid w:val="00B638D8"/>
    <w:rsid w:val="00B63D45"/>
    <w:rsid w:val="00B643D1"/>
    <w:rsid w:val="00B64DBD"/>
    <w:rsid w:val="00B64F05"/>
    <w:rsid w:val="00B6506A"/>
    <w:rsid w:val="00B65112"/>
    <w:rsid w:val="00B65544"/>
    <w:rsid w:val="00B65D12"/>
    <w:rsid w:val="00B662A3"/>
    <w:rsid w:val="00B66D61"/>
    <w:rsid w:val="00B66FC1"/>
    <w:rsid w:val="00B67ABB"/>
    <w:rsid w:val="00B67F1E"/>
    <w:rsid w:val="00B729AE"/>
    <w:rsid w:val="00B73559"/>
    <w:rsid w:val="00B74638"/>
    <w:rsid w:val="00B7488E"/>
    <w:rsid w:val="00B75098"/>
    <w:rsid w:val="00B75C34"/>
    <w:rsid w:val="00B76652"/>
    <w:rsid w:val="00B76A70"/>
    <w:rsid w:val="00B76B79"/>
    <w:rsid w:val="00B76EAB"/>
    <w:rsid w:val="00B772F6"/>
    <w:rsid w:val="00B7733F"/>
    <w:rsid w:val="00B7772D"/>
    <w:rsid w:val="00B77998"/>
    <w:rsid w:val="00B808D0"/>
    <w:rsid w:val="00B80B25"/>
    <w:rsid w:val="00B813C3"/>
    <w:rsid w:val="00B8295D"/>
    <w:rsid w:val="00B82A62"/>
    <w:rsid w:val="00B82EBB"/>
    <w:rsid w:val="00B82F85"/>
    <w:rsid w:val="00B834C6"/>
    <w:rsid w:val="00B83C42"/>
    <w:rsid w:val="00B862BE"/>
    <w:rsid w:val="00B868CD"/>
    <w:rsid w:val="00B87306"/>
    <w:rsid w:val="00B878BE"/>
    <w:rsid w:val="00B92072"/>
    <w:rsid w:val="00B928C9"/>
    <w:rsid w:val="00B93917"/>
    <w:rsid w:val="00B940B3"/>
    <w:rsid w:val="00B942A3"/>
    <w:rsid w:val="00B95707"/>
    <w:rsid w:val="00B958F7"/>
    <w:rsid w:val="00B95D4B"/>
    <w:rsid w:val="00BA064A"/>
    <w:rsid w:val="00BA198A"/>
    <w:rsid w:val="00BA1A24"/>
    <w:rsid w:val="00BA1F0D"/>
    <w:rsid w:val="00BA24DF"/>
    <w:rsid w:val="00BA2688"/>
    <w:rsid w:val="00BA2B52"/>
    <w:rsid w:val="00BA2D52"/>
    <w:rsid w:val="00BA38A1"/>
    <w:rsid w:val="00BA3F58"/>
    <w:rsid w:val="00BA586A"/>
    <w:rsid w:val="00BB04C0"/>
    <w:rsid w:val="00BB0919"/>
    <w:rsid w:val="00BB446A"/>
    <w:rsid w:val="00BB4BC0"/>
    <w:rsid w:val="00BB5B71"/>
    <w:rsid w:val="00BB5DA2"/>
    <w:rsid w:val="00BB6E43"/>
    <w:rsid w:val="00BB6F87"/>
    <w:rsid w:val="00BB6FDA"/>
    <w:rsid w:val="00BB7069"/>
    <w:rsid w:val="00BC0729"/>
    <w:rsid w:val="00BC1FE1"/>
    <w:rsid w:val="00BC2358"/>
    <w:rsid w:val="00BC23F1"/>
    <w:rsid w:val="00BC38D5"/>
    <w:rsid w:val="00BC5174"/>
    <w:rsid w:val="00BC6827"/>
    <w:rsid w:val="00BD1033"/>
    <w:rsid w:val="00BD18C4"/>
    <w:rsid w:val="00BD2821"/>
    <w:rsid w:val="00BD2B4B"/>
    <w:rsid w:val="00BD3C3D"/>
    <w:rsid w:val="00BD4002"/>
    <w:rsid w:val="00BD49FB"/>
    <w:rsid w:val="00BD562B"/>
    <w:rsid w:val="00BD698E"/>
    <w:rsid w:val="00BE00A4"/>
    <w:rsid w:val="00BE0513"/>
    <w:rsid w:val="00BE1978"/>
    <w:rsid w:val="00BE220C"/>
    <w:rsid w:val="00BE2F8A"/>
    <w:rsid w:val="00BE481D"/>
    <w:rsid w:val="00BE62AC"/>
    <w:rsid w:val="00BE6511"/>
    <w:rsid w:val="00BE6F6D"/>
    <w:rsid w:val="00BE7F6D"/>
    <w:rsid w:val="00BF0197"/>
    <w:rsid w:val="00BF0765"/>
    <w:rsid w:val="00BF26AD"/>
    <w:rsid w:val="00BF2822"/>
    <w:rsid w:val="00BF301D"/>
    <w:rsid w:val="00BF4FD2"/>
    <w:rsid w:val="00BF5829"/>
    <w:rsid w:val="00BF5840"/>
    <w:rsid w:val="00BF5D45"/>
    <w:rsid w:val="00BF66C9"/>
    <w:rsid w:val="00BF7BD6"/>
    <w:rsid w:val="00BF7DF5"/>
    <w:rsid w:val="00BF7DFC"/>
    <w:rsid w:val="00C000EF"/>
    <w:rsid w:val="00C01C6F"/>
    <w:rsid w:val="00C02DDA"/>
    <w:rsid w:val="00C03232"/>
    <w:rsid w:val="00C03448"/>
    <w:rsid w:val="00C03780"/>
    <w:rsid w:val="00C044DE"/>
    <w:rsid w:val="00C04728"/>
    <w:rsid w:val="00C05125"/>
    <w:rsid w:val="00C058DE"/>
    <w:rsid w:val="00C06E66"/>
    <w:rsid w:val="00C0709A"/>
    <w:rsid w:val="00C076E2"/>
    <w:rsid w:val="00C07941"/>
    <w:rsid w:val="00C104C1"/>
    <w:rsid w:val="00C109B8"/>
    <w:rsid w:val="00C11ACB"/>
    <w:rsid w:val="00C131EB"/>
    <w:rsid w:val="00C133A4"/>
    <w:rsid w:val="00C135A7"/>
    <w:rsid w:val="00C13F57"/>
    <w:rsid w:val="00C149BD"/>
    <w:rsid w:val="00C14FF7"/>
    <w:rsid w:val="00C15B09"/>
    <w:rsid w:val="00C171BA"/>
    <w:rsid w:val="00C21122"/>
    <w:rsid w:val="00C21151"/>
    <w:rsid w:val="00C21775"/>
    <w:rsid w:val="00C2262E"/>
    <w:rsid w:val="00C23821"/>
    <w:rsid w:val="00C242C1"/>
    <w:rsid w:val="00C24FC1"/>
    <w:rsid w:val="00C24FDF"/>
    <w:rsid w:val="00C25814"/>
    <w:rsid w:val="00C26FF0"/>
    <w:rsid w:val="00C2733E"/>
    <w:rsid w:val="00C273F7"/>
    <w:rsid w:val="00C274EE"/>
    <w:rsid w:val="00C27756"/>
    <w:rsid w:val="00C278E9"/>
    <w:rsid w:val="00C27CC1"/>
    <w:rsid w:val="00C30143"/>
    <w:rsid w:val="00C304C3"/>
    <w:rsid w:val="00C30BD8"/>
    <w:rsid w:val="00C30E8F"/>
    <w:rsid w:val="00C31103"/>
    <w:rsid w:val="00C3123C"/>
    <w:rsid w:val="00C31833"/>
    <w:rsid w:val="00C31F8E"/>
    <w:rsid w:val="00C323C9"/>
    <w:rsid w:val="00C32994"/>
    <w:rsid w:val="00C32EA5"/>
    <w:rsid w:val="00C3446C"/>
    <w:rsid w:val="00C3520D"/>
    <w:rsid w:val="00C358B6"/>
    <w:rsid w:val="00C35B6F"/>
    <w:rsid w:val="00C3684D"/>
    <w:rsid w:val="00C36A47"/>
    <w:rsid w:val="00C375FB"/>
    <w:rsid w:val="00C404C3"/>
    <w:rsid w:val="00C413AF"/>
    <w:rsid w:val="00C423A2"/>
    <w:rsid w:val="00C42FDB"/>
    <w:rsid w:val="00C43EB6"/>
    <w:rsid w:val="00C43F4C"/>
    <w:rsid w:val="00C44268"/>
    <w:rsid w:val="00C44963"/>
    <w:rsid w:val="00C44DED"/>
    <w:rsid w:val="00C44E66"/>
    <w:rsid w:val="00C4563E"/>
    <w:rsid w:val="00C45739"/>
    <w:rsid w:val="00C45C70"/>
    <w:rsid w:val="00C47477"/>
    <w:rsid w:val="00C47E7A"/>
    <w:rsid w:val="00C53921"/>
    <w:rsid w:val="00C53D3F"/>
    <w:rsid w:val="00C53F34"/>
    <w:rsid w:val="00C54DEA"/>
    <w:rsid w:val="00C55EA5"/>
    <w:rsid w:val="00C56CED"/>
    <w:rsid w:val="00C56D08"/>
    <w:rsid w:val="00C56E75"/>
    <w:rsid w:val="00C57862"/>
    <w:rsid w:val="00C605D9"/>
    <w:rsid w:val="00C61556"/>
    <w:rsid w:val="00C61CDB"/>
    <w:rsid w:val="00C61DD9"/>
    <w:rsid w:val="00C61F79"/>
    <w:rsid w:val="00C64091"/>
    <w:rsid w:val="00C641F2"/>
    <w:rsid w:val="00C643FE"/>
    <w:rsid w:val="00C6465E"/>
    <w:rsid w:val="00C65271"/>
    <w:rsid w:val="00C653A8"/>
    <w:rsid w:val="00C65491"/>
    <w:rsid w:val="00C65E6A"/>
    <w:rsid w:val="00C672CF"/>
    <w:rsid w:val="00C67460"/>
    <w:rsid w:val="00C67801"/>
    <w:rsid w:val="00C701CE"/>
    <w:rsid w:val="00C70343"/>
    <w:rsid w:val="00C70409"/>
    <w:rsid w:val="00C7282D"/>
    <w:rsid w:val="00C73796"/>
    <w:rsid w:val="00C745E7"/>
    <w:rsid w:val="00C752A7"/>
    <w:rsid w:val="00C7551F"/>
    <w:rsid w:val="00C75B83"/>
    <w:rsid w:val="00C765F6"/>
    <w:rsid w:val="00C77BB0"/>
    <w:rsid w:val="00C80A28"/>
    <w:rsid w:val="00C80B01"/>
    <w:rsid w:val="00C81089"/>
    <w:rsid w:val="00C810C1"/>
    <w:rsid w:val="00C812E1"/>
    <w:rsid w:val="00C82679"/>
    <w:rsid w:val="00C831A4"/>
    <w:rsid w:val="00C83E7E"/>
    <w:rsid w:val="00C841F0"/>
    <w:rsid w:val="00C84797"/>
    <w:rsid w:val="00C85192"/>
    <w:rsid w:val="00C85C14"/>
    <w:rsid w:val="00C85E3B"/>
    <w:rsid w:val="00C8601F"/>
    <w:rsid w:val="00C865C3"/>
    <w:rsid w:val="00C86B5E"/>
    <w:rsid w:val="00C87A76"/>
    <w:rsid w:val="00C87AA4"/>
    <w:rsid w:val="00C87C2A"/>
    <w:rsid w:val="00C90591"/>
    <w:rsid w:val="00C9170A"/>
    <w:rsid w:val="00C921FE"/>
    <w:rsid w:val="00C9223D"/>
    <w:rsid w:val="00C92568"/>
    <w:rsid w:val="00C92CEA"/>
    <w:rsid w:val="00C95297"/>
    <w:rsid w:val="00C95328"/>
    <w:rsid w:val="00C9535E"/>
    <w:rsid w:val="00C9586A"/>
    <w:rsid w:val="00C9636F"/>
    <w:rsid w:val="00C96FB6"/>
    <w:rsid w:val="00C97710"/>
    <w:rsid w:val="00C977C1"/>
    <w:rsid w:val="00C979B8"/>
    <w:rsid w:val="00C97D5C"/>
    <w:rsid w:val="00C97EEC"/>
    <w:rsid w:val="00CA000F"/>
    <w:rsid w:val="00CA05C7"/>
    <w:rsid w:val="00CA0D31"/>
    <w:rsid w:val="00CA1188"/>
    <w:rsid w:val="00CA11D3"/>
    <w:rsid w:val="00CA241D"/>
    <w:rsid w:val="00CA2762"/>
    <w:rsid w:val="00CA3E91"/>
    <w:rsid w:val="00CA5244"/>
    <w:rsid w:val="00CA543A"/>
    <w:rsid w:val="00CA5475"/>
    <w:rsid w:val="00CA5E32"/>
    <w:rsid w:val="00CA635E"/>
    <w:rsid w:val="00CB0267"/>
    <w:rsid w:val="00CB098E"/>
    <w:rsid w:val="00CB31EC"/>
    <w:rsid w:val="00CB335B"/>
    <w:rsid w:val="00CB3945"/>
    <w:rsid w:val="00CB4006"/>
    <w:rsid w:val="00CB4A81"/>
    <w:rsid w:val="00CB4B02"/>
    <w:rsid w:val="00CB51CA"/>
    <w:rsid w:val="00CB566E"/>
    <w:rsid w:val="00CB62E8"/>
    <w:rsid w:val="00CB630E"/>
    <w:rsid w:val="00CB658C"/>
    <w:rsid w:val="00CB6ED6"/>
    <w:rsid w:val="00CB721A"/>
    <w:rsid w:val="00CB7791"/>
    <w:rsid w:val="00CB783C"/>
    <w:rsid w:val="00CC19C7"/>
    <w:rsid w:val="00CC2BFA"/>
    <w:rsid w:val="00CC444A"/>
    <w:rsid w:val="00CC58D4"/>
    <w:rsid w:val="00CC61D0"/>
    <w:rsid w:val="00CC65E3"/>
    <w:rsid w:val="00CC7328"/>
    <w:rsid w:val="00CC76E2"/>
    <w:rsid w:val="00CD0440"/>
    <w:rsid w:val="00CD08A2"/>
    <w:rsid w:val="00CD24B8"/>
    <w:rsid w:val="00CD3212"/>
    <w:rsid w:val="00CD3A0F"/>
    <w:rsid w:val="00CD3DEA"/>
    <w:rsid w:val="00CD51B2"/>
    <w:rsid w:val="00CD569A"/>
    <w:rsid w:val="00CD5E3E"/>
    <w:rsid w:val="00CD65FA"/>
    <w:rsid w:val="00CD6C13"/>
    <w:rsid w:val="00CD6DE4"/>
    <w:rsid w:val="00CE000B"/>
    <w:rsid w:val="00CE09E5"/>
    <w:rsid w:val="00CE0E46"/>
    <w:rsid w:val="00CE0F4F"/>
    <w:rsid w:val="00CE143F"/>
    <w:rsid w:val="00CE1C37"/>
    <w:rsid w:val="00CE1FE0"/>
    <w:rsid w:val="00CE260B"/>
    <w:rsid w:val="00CE3117"/>
    <w:rsid w:val="00CE3219"/>
    <w:rsid w:val="00CE3446"/>
    <w:rsid w:val="00CE36B9"/>
    <w:rsid w:val="00CE3A79"/>
    <w:rsid w:val="00CE43D2"/>
    <w:rsid w:val="00CE4B68"/>
    <w:rsid w:val="00CE4D15"/>
    <w:rsid w:val="00CE5AAC"/>
    <w:rsid w:val="00CE607B"/>
    <w:rsid w:val="00CE61C4"/>
    <w:rsid w:val="00CE61FF"/>
    <w:rsid w:val="00CE7F41"/>
    <w:rsid w:val="00CE7F97"/>
    <w:rsid w:val="00CF1C9E"/>
    <w:rsid w:val="00CF2108"/>
    <w:rsid w:val="00CF2560"/>
    <w:rsid w:val="00CF3CFC"/>
    <w:rsid w:val="00CF41B1"/>
    <w:rsid w:val="00CF4589"/>
    <w:rsid w:val="00CF48C5"/>
    <w:rsid w:val="00CF508F"/>
    <w:rsid w:val="00CF5331"/>
    <w:rsid w:val="00CF54E2"/>
    <w:rsid w:val="00CF637F"/>
    <w:rsid w:val="00CF7152"/>
    <w:rsid w:val="00D001A8"/>
    <w:rsid w:val="00D002B0"/>
    <w:rsid w:val="00D01420"/>
    <w:rsid w:val="00D017BE"/>
    <w:rsid w:val="00D01E26"/>
    <w:rsid w:val="00D0272D"/>
    <w:rsid w:val="00D029C5"/>
    <w:rsid w:val="00D03EAE"/>
    <w:rsid w:val="00D0402B"/>
    <w:rsid w:val="00D04914"/>
    <w:rsid w:val="00D04C8F"/>
    <w:rsid w:val="00D04F0C"/>
    <w:rsid w:val="00D05861"/>
    <w:rsid w:val="00D06480"/>
    <w:rsid w:val="00D06A2E"/>
    <w:rsid w:val="00D07D4F"/>
    <w:rsid w:val="00D10C8E"/>
    <w:rsid w:val="00D1183D"/>
    <w:rsid w:val="00D12C9A"/>
    <w:rsid w:val="00D13368"/>
    <w:rsid w:val="00D13629"/>
    <w:rsid w:val="00D14377"/>
    <w:rsid w:val="00D14527"/>
    <w:rsid w:val="00D15767"/>
    <w:rsid w:val="00D15A4B"/>
    <w:rsid w:val="00D16525"/>
    <w:rsid w:val="00D16652"/>
    <w:rsid w:val="00D17131"/>
    <w:rsid w:val="00D17226"/>
    <w:rsid w:val="00D17275"/>
    <w:rsid w:val="00D20CB0"/>
    <w:rsid w:val="00D20DFF"/>
    <w:rsid w:val="00D228FB"/>
    <w:rsid w:val="00D2346B"/>
    <w:rsid w:val="00D23BBD"/>
    <w:rsid w:val="00D24934"/>
    <w:rsid w:val="00D2586B"/>
    <w:rsid w:val="00D271A5"/>
    <w:rsid w:val="00D27356"/>
    <w:rsid w:val="00D27B3C"/>
    <w:rsid w:val="00D303C0"/>
    <w:rsid w:val="00D3094A"/>
    <w:rsid w:val="00D31836"/>
    <w:rsid w:val="00D328DE"/>
    <w:rsid w:val="00D32C12"/>
    <w:rsid w:val="00D3334F"/>
    <w:rsid w:val="00D34494"/>
    <w:rsid w:val="00D3547F"/>
    <w:rsid w:val="00D3696F"/>
    <w:rsid w:val="00D36DE8"/>
    <w:rsid w:val="00D3775D"/>
    <w:rsid w:val="00D37EC5"/>
    <w:rsid w:val="00D41551"/>
    <w:rsid w:val="00D43585"/>
    <w:rsid w:val="00D43DE6"/>
    <w:rsid w:val="00D43F0F"/>
    <w:rsid w:val="00D44933"/>
    <w:rsid w:val="00D45221"/>
    <w:rsid w:val="00D45424"/>
    <w:rsid w:val="00D45722"/>
    <w:rsid w:val="00D46342"/>
    <w:rsid w:val="00D46498"/>
    <w:rsid w:val="00D46B1F"/>
    <w:rsid w:val="00D475BC"/>
    <w:rsid w:val="00D47CB1"/>
    <w:rsid w:val="00D47D3D"/>
    <w:rsid w:val="00D50818"/>
    <w:rsid w:val="00D511D5"/>
    <w:rsid w:val="00D55086"/>
    <w:rsid w:val="00D5543D"/>
    <w:rsid w:val="00D561CC"/>
    <w:rsid w:val="00D57785"/>
    <w:rsid w:val="00D60C3C"/>
    <w:rsid w:val="00D60C3D"/>
    <w:rsid w:val="00D60D8A"/>
    <w:rsid w:val="00D6187D"/>
    <w:rsid w:val="00D61945"/>
    <w:rsid w:val="00D61DF5"/>
    <w:rsid w:val="00D62B4B"/>
    <w:rsid w:val="00D648DF"/>
    <w:rsid w:val="00D64E99"/>
    <w:rsid w:val="00D655B8"/>
    <w:rsid w:val="00D65962"/>
    <w:rsid w:val="00D6746D"/>
    <w:rsid w:val="00D67F13"/>
    <w:rsid w:val="00D701E9"/>
    <w:rsid w:val="00D704CE"/>
    <w:rsid w:val="00D70BD5"/>
    <w:rsid w:val="00D70D28"/>
    <w:rsid w:val="00D71DD7"/>
    <w:rsid w:val="00D72BA9"/>
    <w:rsid w:val="00D73079"/>
    <w:rsid w:val="00D733BD"/>
    <w:rsid w:val="00D7358F"/>
    <w:rsid w:val="00D736CE"/>
    <w:rsid w:val="00D73DBB"/>
    <w:rsid w:val="00D73DCA"/>
    <w:rsid w:val="00D74033"/>
    <w:rsid w:val="00D74856"/>
    <w:rsid w:val="00D7499A"/>
    <w:rsid w:val="00D749C3"/>
    <w:rsid w:val="00D7549F"/>
    <w:rsid w:val="00D758EA"/>
    <w:rsid w:val="00D76032"/>
    <w:rsid w:val="00D76BCD"/>
    <w:rsid w:val="00D76F29"/>
    <w:rsid w:val="00D80022"/>
    <w:rsid w:val="00D818AC"/>
    <w:rsid w:val="00D82319"/>
    <w:rsid w:val="00D835B4"/>
    <w:rsid w:val="00D83726"/>
    <w:rsid w:val="00D84360"/>
    <w:rsid w:val="00D8507D"/>
    <w:rsid w:val="00D8555D"/>
    <w:rsid w:val="00D864F7"/>
    <w:rsid w:val="00D86E29"/>
    <w:rsid w:val="00D87618"/>
    <w:rsid w:val="00D87D07"/>
    <w:rsid w:val="00D9181D"/>
    <w:rsid w:val="00D91A78"/>
    <w:rsid w:val="00D91D38"/>
    <w:rsid w:val="00D91DD6"/>
    <w:rsid w:val="00D92C28"/>
    <w:rsid w:val="00D95432"/>
    <w:rsid w:val="00D95C64"/>
    <w:rsid w:val="00D97925"/>
    <w:rsid w:val="00DA06AE"/>
    <w:rsid w:val="00DA0D1B"/>
    <w:rsid w:val="00DA1529"/>
    <w:rsid w:val="00DA1547"/>
    <w:rsid w:val="00DA1DF9"/>
    <w:rsid w:val="00DA3CA0"/>
    <w:rsid w:val="00DA3D26"/>
    <w:rsid w:val="00DA3D44"/>
    <w:rsid w:val="00DA3E25"/>
    <w:rsid w:val="00DA4CB7"/>
    <w:rsid w:val="00DA59F5"/>
    <w:rsid w:val="00DA6BE5"/>
    <w:rsid w:val="00DB0827"/>
    <w:rsid w:val="00DB19E5"/>
    <w:rsid w:val="00DB272F"/>
    <w:rsid w:val="00DB298F"/>
    <w:rsid w:val="00DB29B7"/>
    <w:rsid w:val="00DB2AB2"/>
    <w:rsid w:val="00DB3A2E"/>
    <w:rsid w:val="00DB55C7"/>
    <w:rsid w:val="00DB5DC6"/>
    <w:rsid w:val="00DB5F25"/>
    <w:rsid w:val="00DB617E"/>
    <w:rsid w:val="00DC05AF"/>
    <w:rsid w:val="00DC0E76"/>
    <w:rsid w:val="00DC0FFF"/>
    <w:rsid w:val="00DC13BA"/>
    <w:rsid w:val="00DC1795"/>
    <w:rsid w:val="00DC185D"/>
    <w:rsid w:val="00DC1EDA"/>
    <w:rsid w:val="00DC2280"/>
    <w:rsid w:val="00DC2392"/>
    <w:rsid w:val="00DC2804"/>
    <w:rsid w:val="00DC2E1B"/>
    <w:rsid w:val="00DC442E"/>
    <w:rsid w:val="00DC54A5"/>
    <w:rsid w:val="00DC72BB"/>
    <w:rsid w:val="00DC744E"/>
    <w:rsid w:val="00DC786E"/>
    <w:rsid w:val="00DD09DE"/>
    <w:rsid w:val="00DD1574"/>
    <w:rsid w:val="00DD1C7A"/>
    <w:rsid w:val="00DD20D9"/>
    <w:rsid w:val="00DD2471"/>
    <w:rsid w:val="00DD35C1"/>
    <w:rsid w:val="00DD3D38"/>
    <w:rsid w:val="00DD4EC9"/>
    <w:rsid w:val="00DD503E"/>
    <w:rsid w:val="00DD5969"/>
    <w:rsid w:val="00DD6889"/>
    <w:rsid w:val="00DD7014"/>
    <w:rsid w:val="00DD73AF"/>
    <w:rsid w:val="00DD7492"/>
    <w:rsid w:val="00DE04BB"/>
    <w:rsid w:val="00DE0D00"/>
    <w:rsid w:val="00DE24ED"/>
    <w:rsid w:val="00DE2E42"/>
    <w:rsid w:val="00DE31F0"/>
    <w:rsid w:val="00DE3556"/>
    <w:rsid w:val="00DE3A4A"/>
    <w:rsid w:val="00DE50B3"/>
    <w:rsid w:val="00DE519E"/>
    <w:rsid w:val="00DE5726"/>
    <w:rsid w:val="00DE5EC3"/>
    <w:rsid w:val="00DE78E2"/>
    <w:rsid w:val="00DE7DDC"/>
    <w:rsid w:val="00DF05BB"/>
    <w:rsid w:val="00DF1501"/>
    <w:rsid w:val="00DF241C"/>
    <w:rsid w:val="00DF2E0A"/>
    <w:rsid w:val="00DF3638"/>
    <w:rsid w:val="00DF3833"/>
    <w:rsid w:val="00DF3C53"/>
    <w:rsid w:val="00DF5E66"/>
    <w:rsid w:val="00DF72A1"/>
    <w:rsid w:val="00DF74D4"/>
    <w:rsid w:val="00DF74E1"/>
    <w:rsid w:val="00DF75D3"/>
    <w:rsid w:val="00DF7E09"/>
    <w:rsid w:val="00E01558"/>
    <w:rsid w:val="00E015DC"/>
    <w:rsid w:val="00E01ED0"/>
    <w:rsid w:val="00E023CE"/>
    <w:rsid w:val="00E02E75"/>
    <w:rsid w:val="00E03F29"/>
    <w:rsid w:val="00E04A9E"/>
    <w:rsid w:val="00E04E98"/>
    <w:rsid w:val="00E0567F"/>
    <w:rsid w:val="00E056AB"/>
    <w:rsid w:val="00E06CCC"/>
    <w:rsid w:val="00E072C6"/>
    <w:rsid w:val="00E10800"/>
    <w:rsid w:val="00E11CED"/>
    <w:rsid w:val="00E126F7"/>
    <w:rsid w:val="00E13886"/>
    <w:rsid w:val="00E13A47"/>
    <w:rsid w:val="00E13D58"/>
    <w:rsid w:val="00E1500B"/>
    <w:rsid w:val="00E15018"/>
    <w:rsid w:val="00E16BF4"/>
    <w:rsid w:val="00E1702C"/>
    <w:rsid w:val="00E1733D"/>
    <w:rsid w:val="00E2035C"/>
    <w:rsid w:val="00E20A28"/>
    <w:rsid w:val="00E223D6"/>
    <w:rsid w:val="00E2267D"/>
    <w:rsid w:val="00E23099"/>
    <w:rsid w:val="00E2331F"/>
    <w:rsid w:val="00E23740"/>
    <w:rsid w:val="00E23B80"/>
    <w:rsid w:val="00E245E5"/>
    <w:rsid w:val="00E24AC2"/>
    <w:rsid w:val="00E24B38"/>
    <w:rsid w:val="00E24D95"/>
    <w:rsid w:val="00E3106A"/>
    <w:rsid w:val="00E32797"/>
    <w:rsid w:val="00E337AB"/>
    <w:rsid w:val="00E3384F"/>
    <w:rsid w:val="00E3406A"/>
    <w:rsid w:val="00E34BCE"/>
    <w:rsid w:val="00E34FED"/>
    <w:rsid w:val="00E35ADA"/>
    <w:rsid w:val="00E35F4B"/>
    <w:rsid w:val="00E36441"/>
    <w:rsid w:val="00E36555"/>
    <w:rsid w:val="00E37C19"/>
    <w:rsid w:val="00E37C70"/>
    <w:rsid w:val="00E40068"/>
    <w:rsid w:val="00E411AE"/>
    <w:rsid w:val="00E42705"/>
    <w:rsid w:val="00E43A43"/>
    <w:rsid w:val="00E44BCD"/>
    <w:rsid w:val="00E44EA9"/>
    <w:rsid w:val="00E4663B"/>
    <w:rsid w:val="00E47FB6"/>
    <w:rsid w:val="00E51755"/>
    <w:rsid w:val="00E52037"/>
    <w:rsid w:val="00E525B7"/>
    <w:rsid w:val="00E52B11"/>
    <w:rsid w:val="00E536C5"/>
    <w:rsid w:val="00E5400E"/>
    <w:rsid w:val="00E54AAC"/>
    <w:rsid w:val="00E54D3B"/>
    <w:rsid w:val="00E55E7B"/>
    <w:rsid w:val="00E569F3"/>
    <w:rsid w:val="00E56A3A"/>
    <w:rsid w:val="00E5708C"/>
    <w:rsid w:val="00E60213"/>
    <w:rsid w:val="00E60B9C"/>
    <w:rsid w:val="00E60FCE"/>
    <w:rsid w:val="00E61764"/>
    <w:rsid w:val="00E61A9A"/>
    <w:rsid w:val="00E62E51"/>
    <w:rsid w:val="00E6306E"/>
    <w:rsid w:val="00E633D2"/>
    <w:rsid w:val="00E65A82"/>
    <w:rsid w:val="00E65E71"/>
    <w:rsid w:val="00E67972"/>
    <w:rsid w:val="00E67F8B"/>
    <w:rsid w:val="00E70D14"/>
    <w:rsid w:val="00E70E3F"/>
    <w:rsid w:val="00E70F85"/>
    <w:rsid w:val="00E711DA"/>
    <w:rsid w:val="00E717DD"/>
    <w:rsid w:val="00E73BFF"/>
    <w:rsid w:val="00E743BD"/>
    <w:rsid w:val="00E746C9"/>
    <w:rsid w:val="00E74891"/>
    <w:rsid w:val="00E7527D"/>
    <w:rsid w:val="00E7543D"/>
    <w:rsid w:val="00E76543"/>
    <w:rsid w:val="00E769A0"/>
    <w:rsid w:val="00E77391"/>
    <w:rsid w:val="00E7781F"/>
    <w:rsid w:val="00E77955"/>
    <w:rsid w:val="00E801F3"/>
    <w:rsid w:val="00E80A2F"/>
    <w:rsid w:val="00E814CC"/>
    <w:rsid w:val="00E81C03"/>
    <w:rsid w:val="00E825AC"/>
    <w:rsid w:val="00E82885"/>
    <w:rsid w:val="00E82EE4"/>
    <w:rsid w:val="00E83A12"/>
    <w:rsid w:val="00E84EB0"/>
    <w:rsid w:val="00E856A9"/>
    <w:rsid w:val="00E859CA"/>
    <w:rsid w:val="00E85C09"/>
    <w:rsid w:val="00E8759E"/>
    <w:rsid w:val="00E87652"/>
    <w:rsid w:val="00E87DF4"/>
    <w:rsid w:val="00E90655"/>
    <w:rsid w:val="00E90B9A"/>
    <w:rsid w:val="00E91864"/>
    <w:rsid w:val="00E91D94"/>
    <w:rsid w:val="00E92A4C"/>
    <w:rsid w:val="00E92BFD"/>
    <w:rsid w:val="00E94176"/>
    <w:rsid w:val="00E941E8"/>
    <w:rsid w:val="00E947AA"/>
    <w:rsid w:val="00E953F3"/>
    <w:rsid w:val="00E95A20"/>
    <w:rsid w:val="00E95F5B"/>
    <w:rsid w:val="00E96207"/>
    <w:rsid w:val="00E96220"/>
    <w:rsid w:val="00E966B6"/>
    <w:rsid w:val="00E9732D"/>
    <w:rsid w:val="00EA091B"/>
    <w:rsid w:val="00EA1223"/>
    <w:rsid w:val="00EA13B7"/>
    <w:rsid w:val="00EA1A8D"/>
    <w:rsid w:val="00EA2B27"/>
    <w:rsid w:val="00EA2B68"/>
    <w:rsid w:val="00EA38F8"/>
    <w:rsid w:val="00EA432D"/>
    <w:rsid w:val="00EA4526"/>
    <w:rsid w:val="00EA45AD"/>
    <w:rsid w:val="00EA496E"/>
    <w:rsid w:val="00EA4DDE"/>
    <w:rsid w:val="00EA5293"/>
    <w:rsid w:val="00EA6144"/>
    <w:rsid w:val="00EA6477"/>
    <w:rsid w:val="00EA6FDA"/>
    <w:rsid w:val="00EA7344"/>
    <w:rsid w:val="00EA7475"/>
    <w:rsid w:val="00EA7E6B"/>
    <w:rsid w:val="00EA7ECD"/>
    <w:rsid w:val="00EB186C"/>
    <w:rsid w:val="00EB1D53"/>
    <w:rsid w:val="00EB1F56"/>
    <w:rsid w:val="00EB2F38"/>
    <w:rsid w:val="00EB3308"/>
    <w:rsid w:val="00EB4144"/>
    <w:rsid w:val="00EB4502"/>
    <w:rsid w:val="00EB4AE0"/>
    <w:rsid w:val="00EB6A93"/>
    <w:rsid w:val="00EB7A79"/>
    <w:rsid w:val="00EB7E99"/>
    <w:rsid w:val="00EC0375"/>
    <w:rsid w:val="00EC0CA3"/>
    <w:rsid w:val="00EC1BA3"/>
    <w:rsid w:val="00EC1D97"/>
    <w:rsid w:val="00EC2608"/>
    <w:rsid w:val="00EC28E4"/>
    <w:rsid w:val="00EC38A1"/>
    <w:rsid w:val="00EC4EC0"/>
    <w:rsid w:val="00EC5021"/>
    <w:rsid w:val="00EC514A"/>
    <w:rsid w:val="00EC5F84"/>
    <w:rsid w:val="00EC6180"/>
    <w:rsid w:val="00EC6542"/>
    <w:rsid w:val="00EC67DB"/>
    <w:rsid w:val="00EC6AB0"/>
    <w:rsid w:val="00ED10EC"/>
    <w:rsid w:val="00ED15A0"/>
    <w:rsid w:val="00ED2CE0"/>
    <w:rsid w:val="00ED32C7"/>
    <w:rsid w:val="00ED346C"/>
    <w:rsid w:val="00ED36C0"/>
    <w:rsid w:val="00ED3FF6"/>
    <w:rsid w:val="00ED4220"/>
    <w:rsid w:val="00ED491C"/>
    <w:rsid w:val="00ED4E03"/>
    <w:rsid w:val="00ED51FB"/>
    <w:rsid w:val="00ED57C3"/>
    <w:rsid w:val="00ED7173"/>
    <w:rsid w:val="00ED79F3"/>
    <w:rsid w:val="00EE160D"/>
    <w:rsid w:val="00EE30A9"/>
    <w:rsid w:val="00EE344F"/>
    <w:rsid w:val="00EE36D5"/>
    <w:rsid w:val="00EE3935"/>
    <w:rsid w:val="00EE4F58"/>
    <w:rsid w:val="00EE5332"/>
    <w:rsid w:val="00EE54E8"/>
    <w:rsid w:val="00EE5869"/>
    <w:rsid w:val="00EE5D0B"/>
    <w:rsid w:val="00EE71C3"/>
    <w:rsid w:val="00EE757A"/>
    <w:rsid w:val="00EE7AEB"/>
    <w:rsid w:val="00EE7C8A"/>
    <w:rsid w:val="00EF0064"/>
    <w:rsid w:val="00EF05BA"/>
    <w:rsid w:val="00EF08F1"/>
    <w:rsid w:val="00EF1F9B"/>
    <w:rsid w:val="00EF33A1"/>
    <w:rsid w:val="00EF36D7"/>
    <w:rsid w:val="00EF3FEF"/>
    <w:rsid w:val="00EF40B5"/>
    <w:rsid w:val="00EF4AC4"/>
    <w:rsid w:val="00EF4C79"/>
    <w:rsid w:val="00EF4C9D"/>
    <w:rsid w:val="00EF5121"/>
    <w:rsid w:val="00EF573D"/>
    <w:rsid w:val="00EF6543"/>
    <w:rsid w:val="00EF6A3E"/>
    <w:rsid w:val="00F00601"/>
    <w:rsid w:val="00F00A26"/>
    <w:rsid w:val="00F00B5A"/>
    <w:rsid w:val="00F02A73"/>
    <w:rsid w:val="00F0366D"/>
    <w:rsid w:val="00F036C8"/>
    <w:rsid w:val="00F04BE7"/>
    <w:rsid w:val="00F05A2B"/>
    <w:rsid w:val="00F06960"/>
    <w:rsid w:val="00F10FEA"/>
    <w:rsid w:val="00F11276"/>
    <w:rsid w:val="00F115B8"/>
    <w:rsid w:val="00F11E3D"/>
    <w:rsid w:val="00F11F0B"/>
    <w:rsid w:val="00F13F10"/>
    <w:rsid w:val="00F143EF"/>
    <w:rsid w:val="00F1497D"/>
    <w:rsid w:val="00F14A69"/>
    <w:rsid w:val="00F14ECF"/>
    <w:rsid w:val="00F15477"/>
    <w:rsid w:val="00F16766"/>
    <w:rsid w:val="00F16833"/>
    <w:rsid w:val="00F178D9"/>
    <w:rsid w:val="00F20A8B"/>
    <w:rsid w:val="00F20D9D"/>
    <w:rsid w:val="00F21A0D"/>
    <w:rsid w:val="00F222A1"/>
    <w:rsid w:val="00F22BBA"/>
    <w:rsid w:val="00F23EDF"/>
    <w:rsid w:val="00F23F88"/>
    <w:rsid w:val="00F24028"/>
    <w:rsid w:val="00F24657"/>
    <w:rsid w:val="00F24FF9"/>
    <w:rsid w:val="00F26B78"/>
    <w:rsid w:val="00F27328"/>
    <w:rsid w:val="00F27E7F"/>
    <w:rsid w:val="00F31A93"/>
    <w:rsid w:val="00F34470"/>
    <w:rsid w:val="00F34846"/>
    <w:rsid w:val="00F35D5D"/>
    <w:rsid w:val="00F360B4"/>
    <w:rsid w:val="00F36F3D"/>
    <w:rsid w:val="00F37003"/>
    <w:rsid w:val="00F3770F"/>
    <w:rsid w:val="00F37CA2"/>
    <w:rsid w:val="00F37D50"/>
    <w:rsid w:val="00F37F77"/>
    <w:rsid w:val="00F40FA6"/>
    <w:rsid w:val="00F42696"/>
    <w:rsid w:val="00F427C1"/>
    <w:rsid w:val="00F42AD8"/>
    <w:rsid w:val="00F43E0F"/>
    <w:rsid w:val="00F43E26"/>
    <w:rsid w:val="00F4452D"/>
    <w:rsid w:val="00F44819"/>
    <w:rsid w:val="00F455E5"/>
    <w:rsid w:val="00F45DB0"/>
    <w:rsid w:val="00F464A8"/>
    <w:rsid w:val="00F469D7"/>
    <w:rsid w:val="00F470CB"/>
    <w:rsid w:val="00F4736B"/>
    <w:rsid w:val="00F476C7"/>
    <w:rsid w:val="00F478DC"/>
    <w:rsid w:val="00F47BEC"/>
    <w:rsid w:val="00F5085E"/>
    <w:rsid w:val="00F50894"/>
    <w:rsid w:val="00F51B6E"/>
    <w:rsid w:val="00F51FDB"/>
    <w:rsid w:val="00F553D8"/>
    <w:rsid w:val="00F5572A"/>
    <w:rsid w:val="00F56BB2"/>
    <w:rsid w:val="00F60CE7"/>
    <w:rsid w:val="00F61559"/>
    <w:rsid w:val="00F61E45"/>
    <w:rsid w:val="00F62737"/>
    <w:rsid w:val="00F638E5"/>
    <w:rsid w:val="00F64355"/>
    <w:rsid w:val="00F64CA4"/>
    <w:rsid w:val="00F65D71"/>
    <w:rsid w:val="00F65F2A"/>
    <w:rsid w:val="00F6607F"/>
    <w:rsid w:val="00F66F16"/>
    <w:rsid w:val="00F6723D"/>
    <w:rsid w:val="00F67348"/>
    <w:rsid w:val="00F67CB0"/>
    <w:rsid w:val="00F70F9E"/>
    <w:rsid w:val="00F723E4"/>
    <w:rsid w:val="00F729AD"/>
    <w:rsid w:val="00F74340"/>
    <w:rsid w:val="00F744F7"/>
    <w:rsid w:val="00F74550"/>
    <w:rsid w:val="00F74915"/>
    <w:rsid w:val="00F769C8"/>
    <w:rsid w:val="00F76E5A"/>
    <w:rsid w:val="00F816FC"/>
    <w:rsid w:val="00F8251C"/>
    <w:rsid w:val="00F82CEB"/>
    <w:rsid w:val="00F83012"/>
    <w:rsid w:val="00F83602"/>
    <w:rsid w:val="00F8380A"/>
    <w:rsid w:val="00F83848"/>
    <w:rsid w:val="00F83CAE"/>
    <w:rsid w:val="00F84EF4"/>
    <w:rsid w:val="00F85216"/>
    <w:rsid w:val="00F868A2"/>
    <w:rsid w:val="00F86CD1"/>
    <w:rsid w:val="00F86E86"/>
    <w:rsid w:val="00F87113"/>
    <w:rsid w:val="00F874F2"/>
    <w:rsid w:val="00F90064"/>
    <w:rsid w:val="00F90460"/>
    <w:rsid w:val="00F90F7A"/>
    <w:rsid w:val="00F91442"/>
    <w:rsid w:val="00F91F18"/>
    <w:rsid w:val="00F91FE4"/>
    <w:rsid w:val="00F94EED"/>
    <w:rsid w:val="00F97243"/>
    <w:rsid w:val="00F9750E"/>
    <w:rsid w:val="00FA0CDE"/>
    <w:rsid w:val="00FA2090"/>
    <w:rsid w:val="00FA2411"/>
    <w:rsid w:val="00FA2912"/>
    <w:rsid w:val="00FA3894"/>
    <w:rsid w:val="00FA3B61"/>
    <w:rsid w:val="00FA45FE"/>
    <w:rsid w:val="00FA4B8B"/>
    <w:rsid w:val="00FA4C91"/>
    <w:rsid w:val="00FA5F38"/>
    <w:rsid w:val="00FA6B21"/>
    <w:rsid w:val="00FB02B5"/>
    <w:rsid w:val="00FB1828"/>
    <w:rsid w:val="00FB2F78"/>
    <w:rsid w:val="00FB3870"/>
    <w:rsid w:val="00FB4196"/>
    <w:rsid w:val="00FB4F58"/>
    <w:rsid w:val="00FB61DF"/>
    <w:rsid w:val="00FB6CC8"/>
    <w:rsid w:val="00FC0AFD"/>
    <w:rsid w:val="00FC14B1"/>
    <w:rsid w:val="00FC18C0"/>
    <w:rsid w:val="00FC2028"/>
    <w:rsid w:val="00FC220C"/>
    <w:rsid w:val="00FC28C4"/>
    <w:rsid w:val="00FC34F0"/>
    <w:rsid w:val="00FC36A9"/>
    <w:rsid w:val="00FC5752"/>
    <w:rsid w:val="00FC5B98"/>
    <w:rsid w:val="00FC5C99"/>
    <w:rsid w:val="00FC648E"/>
    <w:rsid w:val="00FC68B1"/>
    <w:rsid w:val="00FC742C"/>
    <w:rsid w:val="00FC7BCE"/>
    <w:rsid w:val="00FC7FA9"/>
    <w:rsid w:val="00FD1C7E"/>
    <w:rsid w:val="00FD1ED0"/>
    <w:rsid w:val="00FD2F1F"/>
    <w:rsid w:val="00FD383C"/>
    <w:rsid w:val="00FD38AD"/>
    <w:rsid w:val="00FD3E73"/>
    <w:rsid w:val="00FD45D5"/>
    <w:rsid w:val="00FD4BAF"/>
    <w:rsid w:val="00FD514B"/>
    <w:rsid w:val="00FD5F67"/>
    <w:rsid w:val="00FD62E1"/>
    <w:rsid w:val="00FD721D"/>
    <w:rsid w:val="00FD7712"/>
    <w:rsid w:val="00FE0083"/>
    <w:rsid w:val="00FE07E0"/>
    <w:rsid w:val="00FE0947"/>
    <w:rsid w:val="00FE19FE"/>
    <w:rsid w:val="00FE1BBC"/>
    <w:rsid w:val="00FE22F4"/>
    <w:rsid w:val="00FE446A"/>
    <w:rsid w:val="00FE4EAD"/>
    <w:rsid w:val="00FE5046"/>
    <w:rsid w:val="00FE5B7F"/>
    <w:rsid w:val="00FE6B1B"/>
    <w:rsid w:val="00FE7E4B"/>
    <w:rsid w:val="00FF006C"/>
    <w:rsid w:val="00FF027A"/>
    <w:rsid w:val="00FF09D1"/>
    <w:rsid w:val="00FF144E"/>
    <w:rsid w:val="00FF1A38"/>
    <w:rsid w:val="00FF21E5"/>
    <w:rsid w:val="00FF3139"/>
    <w:rsid w:val="00FF389C"/>
    <w:rsid w:val="00FF4E04"/>
    <w:rsid w:val="00FF54BA"/>
    <w:rsid w:val="00FF5CDA"/>
    <w:rsid w:val="00FF6625"/>
    <w:rsid w:val="00FF68C7"/>
    <w:rsid w:val="00FF6BCB"/>
    <w:rsid w:val="00FF7E28"/>
    <w:rsid w:val="02396613"/>
    <w:rsid w:val="040FE41D"/>
    <w:rsid w:val="0B55DA10"/>
    <w:rsid w:val="0E021521"/>
    <w:rsid w:val="0F2E4EF1"/>
    <w:rsid w:val="1223774E"/>
    <w:rsid w:val="2454D85A"/>
    <w:rsid w:val="24C3133B"/>
    <w:rsid w:val="27A1F7C0"/>
    <w:rsid w:val="2EFA9608"/>
    <w:rsid w:val="314EE93A"/>
    <w:rsid w:val="344E73EC"/>
    <w:rsid w:val="3BBF2765"/>
    <w:rsid w:val="3DB64CD2"/>
    <w:rsid w:val="3E944825"/>
    <w:rsid w:val="4208131A"/>
    <w:rsid w:val="42AA80E1"/>
    <w:rsid w:val="46D94E6C"/>
    <w:rsid w:val="47190930"/>
    <w:rsid w:val="4AD792A1"/>
    <w:rsid w:val="534D1113"/>
    <w:rsid w:val="5849C651"/>
    <w:rsid w:val="5940CC36"/>
    <w:rsid w:val="59D8EAA6"/>
    <w:rsid w:val="5B64F6DE"/>
    <w:rsid w:val="6151A092"/>
    <w:rsid w:val="63A14B37"/>
    <w:rsid w:val="66DA856C"/>
    <w:rsid w:val="72574743"/>
    <w:rsid w:val="7477C471"/>
    <w:rsid w:val="78822950"/>
    <w:rsid w:val="797013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9E0A0"/>
  <w15:docId w15:val="{C06FB517-D28F-499C-ACEB-22769DE4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10"/>
    <w:lsdException w:name="heading 6" w:semiHidden="1" w:uiPriority="10"/>
    <w:lsdException w:name="heading 7" w:semiHidden="1"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uiPriority="0"/>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36A"/>
    <w:pPr>
      <w:spacing w:after="120"/>
      <w:jc w:val="both"/>
    </w:pPr>
    <w:rPr>
      <w:rFonts w:eastAsia="Times New Roman"/>
      <w:lang w:eastAsia="fr-BE"/>
    </w:rPr>
  </w:style>
  <w:style w:type="paragraph" w:styleId="Heading1">
    <w:name w:val="heading 1"/>
    <w:basedOn w:val="Normal"/>
    <w:next w:val="Point0number"/>
    <w:uiPriority w:val="10"/>
    <w:rsid w:val="008E336A"/>
    <w:pPr>
      <w:keepNext/>
      <w:numPr>
        <w:numId w:val="27"/>
      </w:numPr>
      <w:spacing w:before="360"/>
      <w:outlineLvl w:val="0"/>
    </w:pPr>
    <w:rPr>
      <w:b/>
      <w:smallCaps/>
    </w:rPr>
  </w:style>
  <w:style w:type="paragraph" w:styleId="Heading2">
    <w:name w:val="heading 2"/>
    <w:basedOn w:val="Normal"/>
    <w:next w:val="Point0number"/>
    <w:uiPriority w:val="10"/>
    <w:rsid w:val="008E336A"/>
    <w:pPr>
      <w:keepNext/>
      <w:numPr>
        <w:ilvl w:val="1"/>
        <w:numId w:val="27"/>
      </w:numPr>
      <w:spacing w:before="120"/>
      <w:outlineLvl w:val="1"/>
    </w:pPr>
    <w:rPr>
      <w:b/>
    </w:rPr>
  </w:style>
  <w:style w:type="paragraph" w:styleId="Heading3">
    <w:name w:val="heading 3"/>
    <w:basedOn w:val="Normal"/>
    <w:next w:val="Point0number"/>
    <w:link w:val="Heading3Char"/>
    <w:uiPriority w:val="10"/>
    <w:rsid w:val="008E336A"/>
    <w:pPr>
      <w:keepNext/>
      <w:numPr>
        <w:ilvl w:val="2"/>
        <w:numId w:val="27"/>
      </w:numPr>
      <w:spacing w:before="120"/>
      <w:outlineLvl w:val="2"/>
    </w:pPr>
    <w:rPr>
      <w:i/>
    </w:rPr>
  </w:style>
  <w:style w:type="paragraph" w:styleId="Heading4">
    <w:name w:val="heading 4"/>
    <w:basedOn w:val="Normal"/>
    <w:next w:val="Point0number"/>
    <w:link w:val="Heading4Char"/>
    <w:uiPriority w:val="10"/>
    <w:rsid w:val="008E336A"/>
    <w:pPr>
      <w:keepNext/>
      <w:numPr>
        <w:ilvl w:val="3"/>
        <w:numId w:val="27"/>
      </w:numPr>
      <w:spacing w:before="120"/>
      <w:outlineLvl w:val="3"/>
    </w:pPr>
  </w:style>
  <w:style w:type="paragraph" w:styleId="Heading5">
    <w:name w:val="heading 5"/>
    <w:basedOn w:val="Normal"/>
    <w:next w:val="Point0number"/>
    <w:uiPriority w:val="10"/>
    <w:rsid w:val="008E336A"/>
    <w:pPr>
      <w:keepNext/>
      <w:numPr>
        <w:ilvl w:val="4"/>
        <w:numId w:val="27"/>
      </w:numPr>
      <w:spacing w:before="120"/>
      <w:outlineLvl w:val="4"/>
    </w:pPr>
  </w:style>
  <w:style w:type="paragraph" w:styleId="Heading6">
    <w:name w:val="heading 6"/>
    <w:basedOn w:val="Normal"/>
    <w:next w:val="Point0number"/>
    <w:uiPriority w:val="10"/>
    <w:rsid w:val="008E336A"/>
    <w:pPr>
      <w:keepNext/>
      <w:numPr>
        <w:ilvl w:val="5"/>
        <w:numId w:val="27"/>
      </w:numPr>
      <w:spacing w:before="120"/>
      <w:outlineLvl w:val="5"/>
    </w:pPr>
  </w:style>
  <w:style w:type="paragraph" w:styleId="Heading7">
    <w:name w:val="heading 7"/>
    <w:basedOn w:val="Normal"/>
    <w:next w:val="Point0number"/>
    <w:uiPriority w:val="10"/>
    <w:rsid w:val="008E336A"/>
    <w:pPr>
      <w:keepNext/>
      <w:numPr>
        <w:ilvl w:val="6"/>
        <w:numId w:val="27"/>
      </w:numPr>
      <w:spacing w:before="120"/>
      <w:outlineLvl w:val="6"/>
    </w:pPr>
  </w:style>
  <w:style w:type="paragraph" w:styleId="Heading8">
    <w:name w:val="heading 8"/>
    <w:basedOn w:val="Normal"/>
    <w:next w:val="Point0number"/>
    <w:uiPriority w:val="10"/>
    <w:semiHidden/>
    <w:rsid w:val="008E336A"/>
    <w:pPr>
      <w:numPr>
        <w:ilvl w:val="7"/>
        <w:numId w:val="27"/>
      </w:numPr>
      <w:spacing w:before="120"/>
      <w:outlineLvl w:val="7"/>
    </w:pPr>
  </w:style>
  <w:style w:type="paragraph" w:styleId="Heading9">
    <w:name w:val="heading 9"/>
    <w:basedOn w:val="Normal"/>
    <w:next w:val="Point0number"/>
    <w:uiPriority w:val="10"/>
    <w:semiHidden/>
    <w:rsid w:val="008E336A"/>
    <w:pPr>
      <w:numPr>
        <w:ilvl w:val="8"/>
        <w:numId w:val="27"/>
      </w:numPr>
      <w:spacing w:before="12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sid w:val="008E336A"/>
    <w:rPr>
      <w:color w:val="3366CC"/>
    </w:rPr>
  </w:style>
  <w:style w:type="character" w:customStyle="1" w:styleId="CrossReference">
    <w:name w:val="Cross Reference"/>
    <w:basedOn w:val="DefaultParagraphFont"/>
    <w:semiHidden/>
    <w:rsid w:val="008E336A"/>
  </w:style>
  <w:style w:type="character" w:styleId="FootnoteReference">
    <w:name w:val="footnote reference"/>
    <w:aliases w:val="(NECG) Footnote Reference,fr,o,-E Fußnotenzeichen,Style 3,Appel note de bas de p,Style 17,FR,Style 13,Style 12,Style 124,callout,-E Funotenzeichen,Style 1,Footnote symbol,Voetnootverwijzing,Times 10 Point,Exposant 3 Point,note TESI"/>
    <w:link w:val="FootnotesymbolCarZchn"/>
    <w:uiPriority w:val="99"/>
    <w:qFormat/>
    <w:rsid w:val="008E336A"/>
    <w:rPr>
      <w:vertAlign w:val="superscript"/>
    </w:rPr>
  </w:style>
  <w:style w:type="character" w:customStyle="1" w:styleId="InstructionBlue">
    <w:name w:val="InstructionBlue"/>
    <w:semiHidden/>
    <w:rsid w:val="008E336A"/>
    <w:rPr>
      <w:i/>
      <w:color w:val="3366CC"/>
    </w:rPr>
  </w:style>
  <w:style w:type="character" w:customStyle="1" w:styleId="InstructionPlaceholder">
    <w:name w:val="InstructionPlaceholder"/>
    <w:semiHidden/>
    <w:rsid w:val="008E336A"/>
    <w:rPr>
      <w:color w:val="CB3535"/>
    </w:rPr>
  </w:style>
  <w:style w:type="character" w:customStyle="1" w:styleId="InstructionRed">
    <w:name w:val="InstructionRed"/>
    <w:semiHidden/>
    <w:rsid w:val="008E336A"/>
    <w:rPr>
      <w:i/>
      <w:color w:val="CB3535"/>
    </w:rPr>
  </w:style>
  <w:style w:type="character" w:customStyle="1" w:styleId="MarkingLabel">
    <w:name w:val="MarkingLabel"/>
    <w:semiHidden/>
    <w:rsid w:val="008E336A"/>
    <w:rPr>
      <w:b/>
      <w:caps/>
      <w:sz w:val="28"/>
    </w:rPr>
  </w:style>
  <w:style w:type="character" w:customStyle="1" w:styleId="MarkingText">
    <w:name w:val="MarkingText"/>
    <w:semiHidden/>
    <w:rsid w:val="008E336A"/>
    <w:rPr>
      <w:i/>
      <w:sz w:val="28"/>
    </w:rPr>
  </w:style>
  <w:style w:type="character" w:styleId="PlaceholderText">
    <w:name w:val="Placeholder Text"/>
    <w:basedOn w:val="DefaultParagraphFont"/>
    <w:semiHidden/>
    <w:rsid w:val="008E336A"/>
    <w:rPr>
      <w:color w:val="288061"/>
    </w:rPr>
  </w:style>
  <w:style w:type="paragraph" w:customStyle="1" w:styleId="AfterTable">
    <w:name w:val="After Table"/>
    <w:semiHidden/>
    <w:rsid w:val="008E336A"/>
    <w:pPr>
      <w:jc w:val="both"/>
    </w:pPr>
    <w:rPr>
      <w:rFonts w:eastAsia="Times New Roman"/>
      <w:sz w:val="4"/>
      <w:lang w:eastAsia="fr-BE"/>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FigureBody"/>
    <w:uiPriority w:val="35"/>
    <w:unhideWhenUsed/>
    <w:qFormat/>
    <w:rsid w:val="008E336A"/>
    <w:pPr>
      <w:keepNext/>
      <w:spacing w:before="120"/>
    </w:pPr>
    <w:rPr>
      <w:b/>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rsid w:val="008E336A"/>
    <w:pPr>
      <w:spacing w:after="0"/>
      <w:jc w:val="center"/>
    </w:pPr>
    <w:rPr>
      <w:b/>
      <w:caps/>
      <w:sz w:val="32"/>
      <w:bdr w:val="single" w:sz="18" w:space="0" w:color="auto"/>
    </w:rPr>
  </w:style>
  <w:style w:type="paragraph" w:customStyle="1" w:styleId="Contact">
    <w:name w:val="Contact"/>
    <w:basedOn w:val="Normal"/>
    <w:semiHidden/>
    <w:rsid w:val="008E336A"/>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rsid w:val="008E336A"/>
    <w:pPr>
      <w:spacing w:after="0"/>
      <w:ind w:left="5102" w:right="-567"/>
      <w:jc w:val="left"/>
    </w:pPr>
  </w:style>
  <w:style w:type="paragraph" w:customStyle="1" w:styleId="Designator">
    <w:name w:val="Designator"/>
    <w:basedOn w:val="Normal"/>
    <w:semiHidden/>
    <w:rsid w:val="008E336A"/>
    <w:pPr>
      <w:spacing w:after="0"/>
      <w:jc w:val="center"/>
    </w:pPr>
    <w:rPr>
      <w:b/>
      <w:caps/>
      <w:sz w:val="32"/>
    </w:rPr>
  </w:style>
  <w:style w:type="paragraph" w:customStyle="1" w:styleId="DoubSign">
    <w:name w:val="DoubSign"/>
    <w:basedOn w:val="Normal"/>
    <w:semiHidden/>
    <w:rsid w:val="008E336A"/>
    <w:pPr>
      <w:spacing w:before="600" w:after="0"/>
      <w:jc w:val="left"/>
    </w:pPr>
  </w:style>
  <w:style w:type="paragraph" w:customStyle="1" w:styleId="EmptyParagraph">
    <w:name w:val="Empty Paragraph"/>
    <w:basedOn w:val="Normal"/>
    <w:next w:val="Normal"/>
    <w:semiHidden/>
    <w:rsid w:val="008E336A"/>
    <w:pPr>
      <w:spacing w:before="240"/>
    </w:pPr>
  </w:style>
  <w:style w:type="paragraph" w:styleId="EndnoteText">
    <w:name w:val="endnote text"/>
    <w:basedOn w:val="Normal"/>
    <w:semiHidden/>
    <w:rsid w:val="008E336A"/>
    <w:pPr>
      <w:spacing w:after="0"/>
    </w:pPr>
    <w:rPr>
      <w:sz w:val="20"/>
    </w:rPr>
  </w:style>
  <w:style w:type="paragraph" w:customStyle="1" w:styleId="FigureBody">
    <w:name w:val="Figure Body"/>
    <w:basedOn w:val="Normal"/>
    <w:next w:val="Normal"/>
    <w:uiPriority w:val="99"/>
    <w:semiHidden/>
    <w:unhideWhenUsed/>
    <w:rsid w:val="008E336A"/>
    <w:pPr>
      <w:keepNext/>
      <w:spacing w:before="12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32"/>
    <w:unhideWhenUsed/>
    <w:qFormat/>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semiHidden/>
    <w:rsid w:val="008E336A"/>
    <w:pPr>
      <w:spacing w:after="0"/>
      <w:ind w:right="-567"/>
      <w:jc w:val="left"/>
    </w:pPr>
    <w:rPr>
      <w:sz w:val="16"/>
    </w:rPr>
  </w:style>
  <w:style w:type="paragraph" w:customStyle="1" w:styleId="FooterLine">
    <w:name w:val="Footer Line"/>
    <w:basedOn w:val="Footer"/>
    <w:next w:val="Footer"/>
    <w:semiHidden/>
    <w:rsid w:val="008E336A"/>
    <w:pPr>
      <w:tabs>
        <w:tab w:val="right" w:pos="8646"/>
      </w:tabs>
      <w:spacing w:before="120"/>
      <w:ind w:right="0"/>
    </w:pPr>
  </w:style>
  <w:style w:type="paragraph" w:styleId="FootnoteText">
    <w:name w:val="footnote text"/>
    <w:aliases w:val="fn,Footnote Text Char Car,ALTS FOOTNOTE,Mod-Footnote Text,ALTS FOOTNOTE Char,Footnote Text Char1 Char,Footnote Text Char Char1 Char,ft Char Char Char,Footnote Text Char3 Char Char Char,Texto nota pie Car,Car,Footnote Text Char2,Fußnotentex"/>
    <w:basedOn w:val="Normal"/>
    <w:link w:val="FootnoteTextChar"/>
    <w:uiPriority w:val="99"/>
    <w:rsid w:val="008E336A"/>
    <w:pPr>
      <w:spacing w:after="0"/>
      <w:ind w:left="720" w:hanging="720"/>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8E336A"/>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rsid w:val="008E336A"/>
    <w:pPr>
      <w:spacing w:after="240"/>
      <w:ind w:left="5102" w:right="-567"/>
      <w:contextualSpacing/>
      <w:jc w:val="left"/>
    </w:pPr>
    <w:rPr>
      <w:sz w:val="20"/>
    </w:rPr>
  </w:style>
  <w:style w:type="paragraph" w:customStyle="1" w:styleId="Releasable">
    <w:name w:val="Releasable"/>
    <w:basedOn w:val="Normal"/>
    <w:semiHidden/>
    <w:rsid w:val="008E336A"/>
    <w:pPr>
      <w:spacing w:after="0"/>
      <w:jc w:val="center"/>
    </w:pPr>
    <w:rPr>
      <w:b/>
      <w:caps/>
      <w:sz w:val="32"/>
    </w:rPr>
  </w:style>
  <w:style w:type="paragraph" w:customStyle="1" w:styleId="RUE">
    <w:name w:val="RUE"/>
    <w:basedOn w:val="Normal"/>
    <w:semiHidden/>
    <w:rsid w:val="008E336A"/>
    <w:pPr>
      <w:spacing w:after="0"/>
      <w:jc w:val="center"/>
    </w:pPr>
    <w:rPr>
      <w:b/>
      <w:caps/>
      <w:sz w:val="32"/>
      <w:bdr w:val="single" w:sz="18" w:space="0" w:color="auto"/>
    </w:rPr>
  </w:style>
  <w:style w:type="paragraph" w:customStyle="1" w:styleId="SecretUE">
    <w:name w:val="Secret UE"/>
    <w:basedOn w:val="Normal"/>
    <w:semiHidden/>
    <w:rsid w:val="008E336A"/>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rsid w:val="008E336A"/>
    <w:pPr>
      <w:keepLines/>
      <w:spacing w:before="600" w:after="0"/>
      <w:ind w:left="5102"/>
      <w:jc w:val="left"/>
    </w:pPr>
  </w:style>
  <w:style w:type="paragraph" w:customStyle="1" w:styleId="SignatureL">
    <w:name w:val="SignatureL"/>
    <w:basedOn w:val="Normal"/>
    <w:semiHidden/>
    <w:rsid w:val="008E336A"/>
    <w:pPr>
      <w:keepLines/>
      <w:spacing w:before="6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8E336A"/>
    <w:pPr>
      <w:numPr>
        <w:numId w:val="29"/>
      </w:numPr>
    </w:pPr>
  </w:style>
  <w:style w:type="paragraph" w:customStyle="1" w:styleId="TableListBulletLevel2">
    <w:name w:val="Table List Bullet (Level 2)"/>
    <w:basedOn w:val="TableText"/>
    <w:semiHidden/>
    <w:unhideWhenUsed/>
    <w:rsid w:val="008E336A"/>
    <w:pPr>
      <w:numPr>
        <w:ilvl w:val="1"/>
        <w:numId w:val="29"/>
      </w:numPr>
    </w:pPr>
  </w:style>
  <w:style w:type="paragraph" w:customStyle="1" w:styleId="TableListBulletLevel3">
    <w:name w:val="Table List Bullet (Level 3)"/>
    <w:basedOn w:val="TableText"/>
    <w:semiHidden/>
    <w:unhideWhenUsed/>
    <w:rsid w:val="008E336A"/>
    <w:pPr>
      <w:numPr>
        <w:ilvl w:val="2"/>
        <w:numId w:val="29"/>
      </w:numPr>
    </w:pPr>
  </w:style>
  <w:style w:type="paragraph" w:customStyle="1" w:styleId="TableListBulletLevel4">
    <w:name w:val="Table List Bullet (Level 4)"/>
    <w:basedOn w:val="TableText"/>
    <w:semiHidden/>
    <w:unhideWhenUsed/>
    <w:rsid w:val="008E336A"/>
    <w:pPr>
      <w:numPr>
        <w:ilvl w:val="3"/>
        <w:numId w:val="29"/>
      </w:numPr>
    </w:pPr>
  </w:style>
  <w:style w:type="paragraph" w:customStyle="1" w:styleId="TableListDash">
    <w:name w:val="Table List Dash"/>
    <w:basedOn w:val="TableText"/>
    <w:uiPriority w:val="55"/>
    <w:rsid w:val="008E336A"/>
    <w:pPr>
      <w:numPr>
        <w:numId w:val="30"/>
      </w:numPr>
    </w:pPr>
  </w:style>
  <w:style w:type="paragraph" w:customStyle="1" w:styleId="TableListDashLevel2">
    <w:name w:val="Table List Dash (Level 2)"/>
    <w:basedOn w:val="TableText"/>
    <w:semiHidden/>
    <w:unhideWhenUsed/>
    <w:rsid w:val="008E336A"/>
    <w:pPr>
      <w:numPr>
        <w:ilvl w:val="1"/>
        <w:numId w:val="30"/>
      </w:numPr>
    </w:pPr>
  </w:style>
  <w:style w:type="paragraph" w:customStyle="1" w:styleId="TableListDashLevel3">
    <w:name w:val="Table List Dash (Level 3)"/>
    <w:basedOn w:val="TableText"/>
    <w:semiHidden/>
    <w:unhideWhenUsed/>
    <w:rsid w:val="008E336A"/>
    <w:pPr>
      <w:numPr>
        <w:ilvl w:val="2"/>
        <w:numId w:val="30"/>
      </w:numPr>
    </w:pPr>
  </w:style>
  <w:style w:type="paragraph" w:customStyle="1" w:styleId="TableListDashLevel4">
    <w:name w:val="Table List Dash (Level 4)"/>
    <w:basedOn w:val="TableText"/>
    <w:semiHidden/>
    <w:unhideWhenUsed/>
    <w:rsid w:val="008E336A"/>
    <w:pPr>
      <w:numPr>
        <w:ilvl w:val="3"/>
        <w:numId w:val="30"/>
      </w:numPr>
    </w:pPr>
  </w:style>
  <w:style w:type="paragraph" w:customStyle="1" w:styleId="TableListNumber">
    <w:name w:val="Table List Number"/>
    <w:basedOn w:val="TableText"/>
    <w:uiPriority w:val="55"/>
    <w:rsid w:val="008E336A"/>
    <w:pPr>
      <w:numPr>
        <w:numId w:val="31"/>
      </w:numPr>
    </w:pPr>
  </w:style>
  <w:style w:type="paragraph" w:customStyle="1" w:styleId="TableListNumberLevel2">
    <w:name w:val="Table List Number (Level 2)"/>
    <w:basedOn w:val="TableText"/>
    <w:semiHidden/>
    <w:unhideWhenUsed/>
    <w:rsid w:val="008E336A"/>
    <w:pPr>
      <w:numPr>
        <w:ilvl w:val="1"/>
        <w:numId w:val="31"/>
      </w:numPr>
    </w:pPr>
  </w:style>
  <w:style w:type="paragraph" w:customStyle="1" w:styleId="TableListNumberLevel3">
    <w:name w:val="Table List Number (Level 3)"/>
    <w:basedOn w:val="TableText"/>
    <w:semiHidden/>
    <w:unhideWhenUsed/>
    <w:rsid w:val="008E336A"/>
    <w:pPr>
      <w:numPr>
        <w:ilvl w:val="2"/>
        <w:numId w:val="31"/>
      </w:numPr>
    </w:pPr>
  </w:style>
  <w:style w:type="paragraph" w:customStyle="1" w:styleId="TableListNumberLevel4">
    <w:name w:val="Table List Number (Level 4)"/>
    <w:basedOn w:val="TableText"/>
    <w:semiHidden/>
    <w:unhideWhenUsed/>
    <w:rsid w:val="008E336A"/>
    <w:pPr>
      <w:numPr>
        <w:ilvl w:val="3"/>
        <w:numId w:val="31"/>
      </w:numPr>
    </w:pPr>
  </w:style>
  <w:style w:type="paragraph" w:customStyle="1" w:styleId="TableSource">
    <w:name w:val="Table Source"/>
    <w:basedOn w:val="Normal"/>
    <w:next w:val="Normal"/>
    <w:uiPriority w:val="36"/>
    <w:unhideWhenUsed/>
    <w:qFormat/>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8E336A"/>
    <w:pPr>
      <w:spacing w:before="60" w:after="60"/>
      <w:jc w:val="left"/>
    </w:pPr>
  </w:style>
  <w:style w:type="paragraph" w:customStyle="1" w:styleId="TableTitle">
    <w:name w:val="Table Title"/>
    <w:basedOn w:val="Normal"/>
    <w:uiPriority w:val="99"/>
    <w:unhideWhenUsed/>
    <w:rsid w:val="008E336A"/>
    <w:pPr>
      <w:keepNext/>
      <w:spacing w:before="120"/>
    </w:pPr>
    <w:rPr>
      <w:b/>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rsid w:val="008E336A"/>
    <w:pPr>
      <w:ind w:left="850"/>
    </w:pPr>
  </w:style>
  <w:style w:type="paragraph" w:customStyle="1" w:styleId="Text2">
    <w:name w:val="Text 2"/>
    <w:basedOn w:val="Normal"/>
    <w:qFormat/>
    <w:rsid w:val="008E336A"/>
    <w:pPr>
      <w:ind w:left="1417"/>
    </w:pPr>
  </w:style>
  <w:style w:type="paragraph" w:customStyle="1" w:styleId="Text3">
    <w:name w:val="Text 3"/>
    <w:basedOn w:val="Normal"/>
    <w:qFormat/>
    <w:rsid w:val="008E336A"/>
    <w:pPr>
      <w:ind w:left="1984"/>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rsid w:val="008E336A"/>
    <w:pPr>
      <w:tabs>
        <w:tab w:val="right" w:leader="dot" w:pos="8640"/>
      </w:tabs>
      <w:spacing w:before="120"/>
      <w:ind w:left="482" w:right="720" w:hanging="482"/>
    </w:pPr>
  </w:style>
  <w:style w:type="paragraph" w:styleId="TOC2">
    <w:name w:val="toc 2"/>
    <w:basedOn w:val="Normal"/>
    <w:next w:val="Normal"/>
    <w:uiPriority w:val="39"/>
    <w:rsid w:val="008E336A"/>
    <w:pPr>
      <w:tabs>
        <w:tab w:val="right" w:leader="dot" w:pos="8640"/>
      </w:tabs>
      <w:spacing w:before="60" w:after="60"/>
      <w:ind w:left="1077" w:right="720" w:hanging="595"/>
    </w:pPr>
    <w:rPr>
      <w:noProof/>
    </w:rPr>
  </w:style>
  <w:style w:type="paragraph" w:styleId="TOC3">
    <w:name w:val="toc 3"/>
    <w:basedOn w:val="Normal"/>
    <w:next w:val="Normal"/>
    <w:uiPriority w:val="39"/>
    <w:rsid w:val="008E336A"/>
    <w:pPr>
      <w:tabs>
        <w:tab w:val="right" w:leader="dot" w:pos="8640"/>
      </w:tabs>
      <w:spacing w:before="60" w:after="60"/>
      <w:ind w:left="1916" w:right="720" w:hanging="839"/>
    </w:pPr>
  </w:style>
  <w:style w:type="paragraph" w:styleId="TOC4">
    <w:name w:val="toc 4"/>
    <w:basedOn w:val="Normal"/>
    <w:next w:val="Normal"/>
    <w:uiPriority w:val="39"/>
    <w:rsid w:val="008E336A"/>
    <w:pPr>
      <w:tabs>
        <w:tab w:val="right" w:leader="dot" w:pos="8640"/>
      </w:tabs>
      <w:spacing w:before="60" w:after="60"/>
      <w:ind w:left="2880" w:right="720" w:hanging="964"/>
    </w:pPr>
    <w:rPr>
      <w:noProof/>
    </w:rPr>
  </w:style>
  <w:style w:type="paragraph" w:styleId="TOC5">
    <w:name w:val="toc 5"/>
    <w:basedOn w:val="Normal"/>
    <w:next w:val="Normal"/>
    <w:uiPriority w:val="39"/>
    <w:rsid w:val="008E336A"/>
    <w:pPr>
      <w:tabs>
        <w:tab w:val="right" w:leader="dot" w:pos="8640"/>
      </w:tabs>
      <w:spacing w:before="240"/>
      <w:ind w:right="720"/>
    </w:pPr>
    <w:rPr>
      <w:caps/>
    </w:rPr>
  </w:style>
  <w:style w:type="paragraph" w:styleId="TOC6">
    <w:name w:val="toc 6"/>
    <w:basedOn w:val="Normal"/>
    <w:next w:val="Normal"/>
    <w:uiPriority w:val="39"/>
    <w:rsid w:val="008E336A"/>
    <w:pPr>
      <w:tabs>
        <w:tab w:val="right" w:leader="dot" w:pos="8640"/>
        <w:tab w:val="left" w:pos="2880"/>
      </w:tabs>
      <w:spacing w:before="120"/>
      <w:ind w:left="1916" w:right="720" w:hanging="1916"/>
    </w:pPr>
    <w:rPr>
      <w:caps/>
    </w:rPr>
  </w:style>
  <w:style w:type="paragraph" w:styleId="TOC7">
    <w:name w:val="toc 7"/>
    <w:basedOn w:val="Normal"/>
    <w:next w:val="Normal"/>
    <w:uiPriority w:val="39"/>
    <w:rsid w:val="008E336A"/>
    <w:pPr>
      <w:tabs>
        <w:tab w:val="left" w:pos="3685"/>
      </w:tabs>
      <w:spacing w:after="0"/>
      <w:ind w:left="2880" w:hanging="1349"/>
    </w:pPr>
  </w:style>
  <w:style w:type="paragraph" w:styleId="TOC8">
    <w:name w:val="toc 8"/>
    <w:basedOn w:val="Normal"/>
    <w:next w:val="Normal"/>
    <w:uiPriority w:val="39"/>
    <w:rsid w:val="008E336A"/>
    <w:pPr>
      <w:tabs>
        <w:tab w:val="right" w:leader="dot" w:pos="8640"/>
      </w:tabs>
    </w:pPr>
  </w:style>
  <w:style w:type="paragraph" w:styleId="TOC9">
    <w:name w:val="toc 9"/>
    <w:basedOn w:val="Normal"/>
    <w:next w:val="Normal"/>
    <w:uiPriority w:val="39"/>
    <w:rsid w:val="008E336A"/>
    <w:pPr>
      <w:tabs>
        <w:tab w:val="right" w:leader="dot" w:pos="8640"/>
      </w:tabs>
    </w:pPr>
  </w:style>
  <w:style w:type="paragraph" w:styleId="TOCHeading">
    <w:name w:val="TOC Heading"/>
    <w:basedOn w:val="Normal"/>
    <w:next w:val="Normal"/>
    <w:uiPriority w:val="39"/>
    <w:qFormat/>
    <w:rsid w:val="008E336A"/>
    <w:pPr>
      <w:spacing w:before="240" w:after="240"/>
      <w:jc w:val="center"/>
    </w:pPr>
    <w:rPr>
      <w:rFonts w:ascii="Times New Roman Bold" w:hAnsi="Times New Roman Bold"/>
      <w:b/>
      <w:caps/>
    </w:rPr>
  </w:style>
  <w:style w:type="paragraph" w:customStyle="1" w:styleId="TrsSecretUE">
    <w:name w:val="Très Secret UE"/>
    <w:basedOn w:val="Normal"/>
    <w:semiHidden/>
    <w:rsid w:val="008E336A"/>
    <w:pPr>
      <w:spacing w:after="0"/>
      <w:jc w:val="center"/>
    </w:pPr>
    <w:rPr>
      <w:b/>
      <w:caps/>
      <w:color w:val="FF0000"/>
      <w:sz w:val="32"/>
      <w:bdr w:val="single" w:sz="18" w:space="0" w:color="FF0000"/>
    </w:rPr>
  </w:style>
  <w:style w:type="paragraph" w:customStyle="1" w:styleId="ZCom">
    <w:name w:val="Z_Com"/>
    <w:basedOn w:val="Normal"/>
    <w:next w:val="ZDGName"/>
    <w:semiHidden/>
    <w:rsid w:val="008E336A"/>
    <w:pPr>
      <w:widowControl w:val="0"/>
      <w:spacing w:before="90" w:after="0"/>
      <w:ind w:right="85"/>
      <w:jc w:val="left"/>
    </w:pPr>
  </w:style>
  <w:style w:type="paragraph" w:customStyle="1" w:styleId="ZDGName">
    <w:name w:val="Z_DGName"/>
    <w:basedOn w:val="Normal"/>
    <w:semiHidden/>
    <w:rsid w:val="008E336A"/>
    <w:pPr>
      <w:widowControl w:val="0"/>
      <w:spacing w:after="0"/>
      <w:ind w:right="85"/>
      <w:jc w:val="left"/>
    </w:pPr>
    <w:rPr>
      <w:sz w:val="16"/>
    </w:rPr>
  </w:style>
  <w:style w:type="paragraph" w:customStyle="1" w:styleId="ZFlag">
    <w:name w:val="Z_Flag"/>
    <w:basedOn w:val="Normal"/>
    <w:next w:val="Normal"/>
    <w:semiHidden/>
    <w:rsid w:val="008E336A"/>
    <w:pPr>
      <w:widowControl w:val="0"/>
      <w:spacing w:after="0"/>
      <w:ind w:right="85"/>
    </w:pPr>
  </w:style>
  <w:style w:type="paragraph" w:styleId="Header">
    <w:name w:val="header"/>
    <w:basedOn w:val="Normal"/>
    <w:link w:val="HeaderChar"/>
    <w:semiHidden/>
    <w:rsid w:val="008E336A"/>
    <w:pPr>
      <w:tabs>
        <w:tab w:val="center" w:pos="4150"/>
        <w:tab w:val="right" w:pos="8306"/>
      </w:tabs>
      <w:spacing w:after="0"/>
    </w:pPr>
  </w:style>
  <w:style w:type="character" w:customStyle="1" w:styleId="HeaderChar">
    <w:name w:val="Header Char"/>
    <w:basedOn w:val="DefaultParagraphFont"/>
    <w:link w:val="Header"/>
    <w:semiHidden/>
    <w:rsid w:val="008E336A"/>
    <w:rPr>
      <w:rFonts w:eastAsia="Times New Roman"/>
      <w:lang w:eastAsia="fr-BE"/>
    </w:rPr>
  </w:style>
  <w:style w:type="table" w:customStyle="1" w:styleId="EurolookClassicBlue">
    <w:name w:val="Eurolook Classic Blu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8E336A"/>
    <w:pPr>
      <w:spacing w:after="120"/>
      <w:jc w:val="both"/>
    </w:pPr>
    <w:rPr>
      <w:rFonts w:eastAsia="Times New Roman"/>
      <w:sz w:val="20"/>
      <w:lang w:val="en-IE"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rsid w:val="008E336A"/>
    <w:pPr>
      <w:jc w:val="both"/>
    </w:pPr>
    <w:rPr>
      <w:rFonts w:eastAsia="Times New Roman"/>
      <w:lang w:eastAsia="fr-B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8E336A"/>
    <w:tblPr/>
  </w:style>
  <w:style w:type="table" w:styleId="TableGrid">
    <w:name w:val="Table Grid"/>
    <w:uiPriority w:val="59"/>
    <w:rsid w:val="008E336A"/>
    <w:pPr>
      <w:spacing w:after="120"/>
      <w:jc w:val="both"/>
    </w:pPr>
    <w:rPr>
      <w:rFonts w:eastAsia="Times New Roman"/>
      <w:lang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8E336A"/>
    <w:pPr>
      <w:spacing w:after="120"/>
      <w:jc w:val="both"/>
    </w:pPr>
    <w:rPr>
      <w:rFonts w:eastAsia="Times New Roman"/>
      <w:lang w:eastAsia="fr-BE"/>
    </w:rPr>
    <w:tblPr>
      <w:tblCellMar>
        <w:left w:w="0" w:type="dxa"/>
        <w:bottom w:w="340" w:type="dxa"/>
        <w:right w:w="0" w:type="dxa"/>
      </w:tblCellMar>
    </w:tblPr>
  </w:style>
  <w:style w:type="paragraph" w:customStyle="1" w:styleId="Typedudocument">
    <w:name w:val="Type du document"/>
    <w:basedOn w:val="Normal"/>
    <w:next w:val="Normal"/>
    <w:rsid w:val="00B11396"/>
    <w:pPr>
      <w:spacing w:before="360" w:after="0"/>
      <w:jc w:val="center"/>
    </w:pPr>
    <w:rPr>
      <w:rFonts w:eastAsiaTheme="minorHAnsi"/>
      <w:b/>
      <w:szCs w:val="22"/>
      <w:lang w:eastAsia="en-US"/>
    </w:rPr>
  </w:style>
  <w:style w:type="paragraph" w:customStyle="1" w:styleId="Titreobjet">
    <w:name w:val="Titre objet"/>
    <w:basedOn w:val="Normal"/>
    <w:next w:val="Normal"/>
    <w:rsid w:val="00B11396"/>
    <w:pPr>
      <w:spacing w:before="360" w:after="360"/>
      <w:jc w:val="center"/>
    </w:pPr>
    <w:rPr>
      <w:rFonts w:eastAsiaTheme="minorHAnsi"/>
      <w:b/>
      <w:szCs w:val="22"/>
      <w:lang w:eastAsia="en-US"/>
    </w:rPr>
  </w:style>
  <w:style w:type="paragraph" w:styleId="ListParagraph">
    <w:name w:val="List Paragraph"/>
    <w:aliases w:val="Fiche List Paragraph,Normal bullet 2,Bullet list,List Paragraph1,Numbered List,1st level - Bullet List Paragraph,Lettre d'introduction,Paragrafo elenco,List Paragraph11,Normal bullet 21,List Paragraph111,Bullet list1,Dot pt,L,Task Body,EC"/>
    <w:basedOn w:val="Normal"/>
    <w:link w:val="ListParagraphChar"/>
    <w:qFormat/>
    <w:rsid w:val="00B11396"/>
    <w:pPr>
      <w:ind w:left="720"/>
      <w:contextualSpacing/>
    </w:pPr>
  </w:style>
  <w:style w:type="character" w:styleId="CommentReference">
    <w:name w:val="annotation reference"/>
    <w:basedOn w:val="DefaultParagraphFont"/>
    <w:uiPriority w:val="99"/>
    <w:semiHidden/>
    <w:rsid w:val="00701433"/>
    <w:rPr>
      <w:sz w:val="16"/>
      <w:szCs w:val="16"/>
    </w:rPr>
  </w:style>
  <w:style w:type="paragraph" w:styleId="CommentText">
    <w:name w:val="annotation text"/>
    <w:basedOn w:val="Normal"/>
    <w:link w:val="CommentTextChar"/>
    <w:uiPriority w:val="99"/>
    <w:rsid w:val="00701433"/>
    <w:rPr>
      <w:sz w:val="20"/>
    </w:rPr>
  </w:style>
  <w:style w:type="character" w:customStyle="1" w:styleId="CommentTextChar">
    <w:name w:val="Comment Text Char"/>
    <w:basedOn w:val="DefaultParagraphFont"/>
    <w:link w:val="CommentText"/>
    <w:uiPriority w:val="99"/>
    <w:rsid w:val="00701433"/>
    <w:rPr>
      <w:sz w:val="20"/>
    </w:rPr>
  </w:style>
  <w:style w:type="paragraph" w:styleId="CommentSubject">
    <w:name w:val="annotation subject"/>
    <w:basedOn w:val="CommentText"/>
    <w:next w:val="CommentText"/>
    <w:link w:val="CommentSubjectChar"/>
    <w:uiPriority w:val="99"/>
    <w:semiHidden/>
    <w:rsid w:val="00701433"/>
    <w:rPr>
      <w:b/>
      <w:bCs/>
    </w:rPr>
  </w:style>
  <w:style w:type="character" w:customStyle="1" w:styleId="CommentSubjectChar">
    <w:name w:val="Comment Subject Char"/>
    <w:basedOn w:val="CommentTextChar"/>
    <w:link w:val="CommentSubject"/>
    <w:uiPriority w:val="99"/>
    <w:semiHidden/>
    <w:rsid w:val="00701433"/>
    <w:rPr>
      <w:b/>
      <w:bCs/>
      <w:sz w:val="20"/>
    </w:rPr>
  </w:style>
  <w:style w:type="paragraph" w:customStyle="1" w:styleId="pf1">
    <w:name w:val="pf1"/>
    <w:basedOn w:val="Normal"/>
    <w:rsid w:val="00553534"/>
    <w:pPr>
      <w:spacing w:before="100" w:beforeAutospacing="1" w:after="100" w:afterAutospacing="1"/>
      <w:ind w:left="300"/>
      <w:jc w:val="left"/>
    </w:pPr>
    <w:rPr>
      <w:szCs w:val="24"/>
    </w:rPr>
  </w:style>
  <w:style w:type="paragraph" w:customStyle="1" w:styleId="pf0">
    <w:name w:val="pf0"/>
    <w:basedOn w:val="Normal"/>
    <w:rsid w:val="00553534"/>
    <w:pPr>
      <w:spacing w:before="100" w:beforeAutospacing="1" w:after="100" w:afterAutospacing="1"/>
      <w:jc w:val="left"/>
    </w:pPr>
    <w:rPr>
      <w:szCs w:val="24"/>
    </w:rPr>
  </w:style>
  <w:style w:type="character" w:customStyle="1" w:styleId="cf01">
    <w:name w:val="cf01"/>
    <w:basedOn w:val="DefaultParagraphFont"/>
    <w:rsid w:val="00553534"/>
    <w:rPr>
      <w:rFonts w:ascii="Segoe UI" w:hAnsi="Segoe UI" w:cs="Segoe UI" w:hint="default"/>
      <w:sz w:val="18"/>
      <w:szCs w:val="18"/>
    </w:rPr>
  </w:style>
  <w:style w:type="paragraph" w:styleId="Revision">
    <w:name w:val="Revision"/>
    <w:hidden/>
    <w:uiPriority w:val="99"/>
    <w:semiHidden/>
    <w:rsid w:val="008C35C0"/>
  </w:style>
  <w:style w:type="character" w:styleId="EndnoteReference">
    <w:name w:val="endnote reference"/>
    <w:basedOn w:val="DefaultParagraphFont"/>
    <w:uiPriority w:val="99"/>
    <w:semiHidden/>
    <w:rsid w:val="00051DE2"/>
    <w:rPr>
      <w:vertAlign w:val="superscript"/>
    </w:rPr>
  </w:style>
  <w:style w:type="paragraph" w:styleId="NormalWeb">
    <w:name w:val="Normal (Web)"/>
    <w:basedOn w:val="Normal"/>
    <w:uiPriority w:val="99"/>
    <w:unhideWhenUsed/>
    <w:rsid w:val="00E2035C"/>
    <w:pPr>
      <w:spacing w:before="100" w:beforeAutospacing="1" w:after="100" w:afterAutospacing="1"/>
      <w:jc w:val="left"/>
    </w:pPr>
    <w:rPr>
      <w:szCs w:val="24"/>
    </w:rPr>
  </w:style>
  <w:style w:type="character" w:customStyle="1" w:styleId="Heading3Char">
    <w:name w:val="Heading 3 Char"/>
    <w:basedOn w:val="DefaultParagraphFont"/>
    <w:link w:val="Heading3"/>
    <w:uiPriority w:val="10"/>
    <w:rsid w:val="00242109"/>
    <w:rPr>
      <w:rFonts w:eastAsia="Times New Roman"/>
      <w:i/>
      <w:lang w:eastAsia="fr-BE"/>
    </w:rPr>
  </w:style>
  <w:style w:type="character" w:styleId="Hyperlink">
    <w:name w:val="Hyperlink"/>
    <w:basedOn w:val="DefaultParagraphFont"/>
    <w:uiPriority w:val="99"/>
    <w:unhideWhenUsed/>
    <w:rsid w:val="008E336A"/>
    <w:rPr>
      <w:color w:val="467886" w:themeColor="hyperlink"/>
      <w:u w:val="single"/>
    </w:rPr>
  </w:style>
  <w:style w:type="character" w:customStyle="1" w:styleId="UnresolvedMention">
    <w:name w:val="Unresolved Mention"/>
    <w:basedOn w:val="DefaultParagraphFont"/>
    <w:uiPriority w:val="99"/>
    <w:semiHidden/>
    <w:unhideWhenUsed/>
    <w:rsid w:val="003E2A8D"/>
    <w:rPr>
      <w:color w:val="605E5C"/>
      <w:shd w:val="clear" w:color="auto" w:fill="E1DFDD"/>
    </w:rPr>
  </w:style>
  <w:style w:type="character" w:styleId="Strong">
    <w:name w:val="Strong"/>
    <w:basedOn w:val="DefaultParagraphFont"/>
    <w:uiPriority w:val="22"/>
    <w:qFormat/>
    <w:rsid w:val="008C6C54"/>
    <w:rPr>
      <w:b/>
      <w:bCs/>
    </w:rPr>
  </w:style>
  <w:style w:type="paragraph" w:customStyle="1" w:styleId="Point0letter">
    <w:name w:val="Point 0 (letter)"/>
    <w:basedOn w:val="Normal"/>
    <w:uiPriority w:val="20"/>
    <w:semiHidden/>
    <w:rsid w:val="008E336A"/>
    <w:pPr>
      <w:numPr>
        <w:ilvl w:val="1"/>
        <w:numId w:val="28"/>
      </w:numPr>
    </w:pPr>
  </w:style>
  <w:style w:type="paragraph" w:customStyle="1" w:styleId="Point0number">
    <w:name w:val="Point 0 (number)"/>
    <w:basedOn w:val="Normal"/>
    <w:uiPriority w:val="20"/>
    <w:rsid w:val="008E336A"/>
    <w:pPr>
      <w:numPr>
        <w:numId w:val="28"/>
      </w:numPr>
    </w:pPr>
  </w:style>
  <w:style w:type="paragraph" w:customStyle="1" w:styleId="Point1letter">
    <w:name w:val="Point 1 (letter)"/>
    <w:basedOn w:val="Normal"/>
    <w:uiPriority w:val="20"/>
    <w:rsid w:val="008E336A"/>
    <w:pPr>
      <w:numPr>
        <w:ilvl w:val="3"/>
        <w:numId w:val="28"/>
      </w:numPr>
    </w:pPr>
  </w:style>
  <w:style w:type="paragraph" w:customStyle="1" w:styleId="Point1number">
    <w:name w:val="Point 1 (number)"/>
    <w:basedOn w:val="Normal"/>
    <w:uiPriority w:val="20"/>
    <w:semiHidden/>
    <w:rsid w:val="008E336A"/>
    <w:pPr>
      <w:numPr>
        <w:ilvl w:val="2"/>
        <w:numId w:val="28"/>
      </w:numPr>
    </w:pPr>
  </w:style>
  <w:style w:type="paragraph" w:customStyle="1" w:styleId="Point2letter">
    <w:name w:val="Point 2 (letter)"/>
    <w:basedOn w:val="Normal"/>
    <w:uiPriority w:val="20"/>
    <w:semiHidden/>
    <w:rsid w:val="008E336A"/>
    <w:pPr>
      <w:numPr>
        <w:ilvl w:val="5"/>
        <w:numId w:val="28"/>
      </w:numPr>
    </w:pPr>
  </w:style>
  <w:style w:type="paragraph" w:customStyle="1" w:styleId="Point2number">
    <w:name w:val="Point 2 (number)"/>
    <w:basedOn w:val="Normal"/>
    <w:uiPriority w:val="20"/>
    <w:rsid w:val="008E336A"/>
    <w:pPr>
      <w:numPr>
        <w:ilvl w:val="4"/>
        <w:numId w:val="28"/>
      </w:numPr>
    </w:pPr>
  </w:style>
  <w:style w:type="paragraph" w:customStyle="1" w:styleId="Point3letter">
    <w:name w:val="Point 3 (letter)"/>
    <w:basedOn w:val="Normal"/>
    <w:uiPriority w:val="20"/>
    <w:semiHidden/>
    <w:rsid w:val="008E336A"/>
    <w:pPr>
      <w:numPr>
        <w:ilvl w:val="7"/>
        <w:numId w:val="28"/>
      </w:numPr>
    </w:pPr>
  </w:style>
  <w:style w:type="paragraph" w:customStyle="1" w:styleId="Point3number">
    <w:name w:val="Point 3 (number)"/>
    <w:basedOn w:val="Normal"/>
    <w:uiPriority w:val="20"/>
    <w:semiHidden/>
    <w:rsid w:val="008E336A"/>
    <w:pPr>
      <w:numPr>
        <w:ilvl w:val="6"/>
        <w:numId w:val="28"/>
      </w:numPr>
    </w:pPr>
  </w:style>
  <w:style w:type="paragraph" w:customStyle="1" w:styleId="Point4letter">
    <w:name w:val="Point 4 (letter)"/>
    <w:basedOn w:val="Normal"/>
    <w:uiPriority w:val="20"/>
    <w:semiHidden/>
    <w:rsid w:val="008E336A"/>
    <w:pPr>
      <w:numPr>
        <w:ilvl w:val="8"/>
        <w:numId w:val="28"/>
      </w:numPr>
    </w:pPr>
  </w:style>
  <w:style w:type="paragraph" w:customStyle="1" w:styleId="Tiret3">
    <w:name w:val="Tiret 3"/>
    <w:basedOn w:val="Point3"/>
    <w:semiHidden/>
    <w:rsid w:val="008E336A"/>
    <w:pPr>
      <w:numPr>
        <w:numId w:val="35"/>
      </w:numPr>
    </w:pPr>
  </w:style>
  <w:style w:type="character" w:customStyle="1" w:styleId="FootnoteTextChar">
    <w:name w:val="Footnote Text Char"/>
    <w:aliases w:val="fn Char,Footnote Text Char Car Char,ALTS FOOTNOTE Char1,Mod-Footnote Text Char,ALTS FOOTNOTE Char Char,Footnote Text Char1 Char Char,Footnote Text Char Char1 Char Char,ft Char Char Char Char,Footnote Text Char3 Char Char Char Char"/>
    <w:basedOn w:val="DefaultParagraphFont"/>
    <w:link w:val="FootnoteText"/>
    <w:uiPriority w:val="99"/>
    <w:rsid w:val="00907D7C"/>
    <w:rPr>
      <w:rFonts w:eastAsia="Times New Roman"/>
      <w:sz w:val="20"/>
      <w:lang w:eastAsia="fr-BE"/>
    </w:rPr>
  </w:style>
  <w:style w:type="character" w:customStyle="1" w:styleId="ListParagraphChar">
    <w:name w:val="List Paragraph Char"/>
    <w:aliases w:val="Fiche List Paragraph Char,Normal bullet 2 Char,Bullet list Char,List Paragraph1 Char,Numbered List Char,1st level - Bullet List Paragraph Char,Lettre d'introduction Char,Paragrafo elenco Char,List Paragraph11 Char,Bullet list1 Char"/>
    <w:link w:val="ListParagraph"/>
    <w:uiPriority w:val="34"/>
    <w:qFormat/>
    <w:locked/>
    <w:rsid w:val="009C23C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C23C9"/>
    <w:pPr>
      <w:spacing w:after="160" w:line="240" w:lineRule="exact"/>
    </w:pPr>
    <w:rPr>
      <w:rFonts w:eastAsiaTheme="minorEastAsia"/>
      <w:vertAlign w:val="superscript"/>
      <w:lang w:eastAsia="en-IE"/>
    </w:rPr>
  </w:style>
  <w:style w:type="paragraph" w:customStyle="1" w:styleId="TableHeading">
    <w:name w:val="Table Heading"/>
    <w:basedOn w:val="TableText"/>
    <w:uiPriority w:val="34"/>
    <w:qFormat/>
    <w:rsid w:val="00E23B80"/>
    <w:pPr>
      <w:spacing w:before="0" w:after="0"/>
      <w:ind w:left="113"/>
    </w:pPr>
    <w:rPr>
      <w:rFonts w:ascii="Calibri" w:eastAsiaTheme="minorHAnsi" w:hAnsi="Calibri" w:cstheme="minorBidi"/>
      <w:b/>
      <w:color w:val="06357A"/>
      <w:sz w:val="20"/>
      <w:szCs w:val="22"/>
      <w:lang w:eastAsia="en-US"/>
    </w:rPr>
  </w:style>
  <w:style w:type="numbering" w:customStyle="1" w:styleId="NumbListTable">
    <w:name w:val="NumbListTable"/>
    <w:uiPriority w:val="99"/>
    <w:rsid w:val="00E23B80"/>
    <w:pPr>
      <w:numPr>
        <w:numId w:val="19"/>
      </w:numPr>
    </w:pPr>
  </w:style>
  <w:style w:type="numbering" w:customStyle="1" w:styleId="NumblistFigures">
    <w:name w:val="NumblistFigures"/>
    <w:uiPriority w:val="99"/>
    <w:rsid w:val="00E23B80"/>
    <w:pPr>
      <w:numPr>
        <w:numId w:val="20"/>
      </w:numPr>
    </w:pPr>
  </w:style>
  <w:style w:type="paragraph" w:customStyle="1" w:styleId="TableNote">
    <w:name w:val="Table Note"/>
    <w:basedOn w:val="TableSource"/>
    <w:next w:val="TableSource"/>
    <w:uiPriority w:val="35"/>
    <w:qFormat/>
    <w:rsid w:val="00E23B80"/>
    <w:pPr>
      <w:spacing w:after="60"/>
      <w:jc w:val="left"/>
    </w:pPr>
    <w:rPr>
      <w:rFonts w:ascii="Calibri" w:eastAsiaTheme="minorHAnsi" w:hAnsi="Calibri" w:cstheme="minorBidi"/>
      <w:sz w:val="16"/>
      <w:szCs w:val="22"/>
      <w:lang w:eastAsia="en-US"/>
    </w:rPr>
  </w:style>
  <w:style w:type="paragraph" w:customStyle="1" w:styleId="MinorBullet1">
    <w:name w:val="Minor Bullet 1"/>
    <w:basedOn w:val="Normal"/>
    <w:uiPriority w:val="8"/>
    <w:qFormat/>
    <w:rsid w:val="00E23B80"/>
    <w:pPr>
      <w:numPr>
        <w:numId w:val="21"/>
      </w:numPr>
      <w:spacing w:before="60" w:after="60"/>
    </w:pPr>
    <w:rPr>
      <w:rFonts w:ascii="Calibri" w:eastAsiaTheme="minorHAnsi" w:hAnsi="Calibri" w:cstheme="minorBidi"/>
      <w:sz w:val="22"/>
      <w:szCs w:val="22"/>
      <w:lang w:eastAsia="en-US"/>
    </w:rPr>
  </w:style>
  <w:style w:type="paragraph" w:customStyle="1" w:styleId="MinorBullet2">
    <w:name w:val="Minor Bullet 2"/>
    <w:basedOn w:val="Normal"/>
    <w:uiPriority w:val="8"/>
    <w:qFormat/>
    <w:rsid w:val="00E23B80"/>
    <w:pPr>
      <w:numPr>
        <w:ilvl w:val="1"/>
        <w:numId w:val="21"/>
      </w:numPr>
      <w:spacing w:before="60" w:after="60"/>
    </w:pPr>
    <w:rPr>
      <w:rFonts w:ascii="Calibri" w:eastAsiaTheme="minorHAnsi" w:hAnsi="Calibri" w:cstheme="minorBidi"/>
      <w:sz w:val="22"/>
      <w:szCs w:val="22"/>
      <w:lang w:eastAsia="en-US"/>
    </w:rPr>
  </w:style>
  <w:style w:type="paragraph" w:customStyle="1" w:styleId="MinorBullet3">
    <w:name w:val="Minor Bullet 3"/>
    <w:basedOn w:val="Normal"/>
    <w:uiPriority w:val="8"/>
    <w:qFormat/>
    <w:rsid w:val="00E23B80"/>
    <w:pPr>
      <w:numPr>
        <w:ilvl w:val="2"/>
        <w:numId w:val="21"/>
      </w:numPr>
      <w:spacing w:before="60" w:after="60"/>
    </w:pPr>
    <w:rPr>
      <w:rFonts w:ascii="Calibri" w:eastAsiaTheme="minorHAnsi" w:hAnsi="Calibri" w:cstheme="minorBidi"/>
      <w:sz w:val="22"/>
      <w:szCs w:val="22"/>
      <w:lang w:eastAsia="en-US"/>
    </w:rPr>
  </w:style>
  <w:style w:type="numbering" w:customStyle="1" w:styleId="NumbListMinorBullet">
    <w:name w:val="NumbList Minor Bullet"/>
    <w:uiPriority w:val="99"/>
    <w:rsid w:val="00E23B80"/>
    <w:pPr>
      <w:numPr>
        <w:numId w:val="21"/>
      </w:numPr>
    </w:pPr>
  </w:style>
  <w:style w:type="character" w:styleId="FollowedHyperlink">
    <w:name w:val="FollowedHyperlink"/>
    <w:basedOn w:val="DefaultParagraphFont"/>
    <w:uiPriority w:val="99"/>
    <w:semiHidden/>
    <w:rsid w:val="007B1616"/>
    <w:rPr>
      <w:color w:val="96607D" w:themeColor="followedHyperlink"/>
      <w:u w:val="single"/>
    </w:rPr>
  </w:style>
  <w:style w:type="table" w:styleId="ListTable3">
    <w:name w:val="List Table 3"/>
    <w:basedOn w:val="TableNormal"/>
    <w:uiPriority w:val="48"/>
    <w:rsid w:val="009933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9933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99"/>
    <w:rsid w:val="005461C2"/>
    <w:pPr>
      <w:spacing w:after="0"/>
    </w:pPr>
  </w:style>
  <w:style w:type="table" w:styleId="TableGridLight">
    <w:name w:val="Grid Table Light"/>
    <w:basedOn w:val="TableNormal"/>
    <w:uiPriority w:val="40"/>
    <w:rsid w:val="00BA06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ddress">
    <w:name w:val="Address"/>
    <w:basedOn w:val="Normal"/>
    <w:semiHidden/>
    <w:rsid w:val="008E336A"/>
    <w:pPr>
      <w:spacing w:after="0"/>
      <w:contextualSpacing/>
      <w:jc w:val="left"/>
    </w:pPr>
  </w:style>
  <w:style w:type="table" w:customStyle="1" w:styleId="AddressTableOfficial">
    <w:name w:val="Address Table Official"/>
    <w:basedOn w:val="HelperTableBase"/>
    <w:semiHidden/>
    <w:rsid w:val="008E336A"/>
    <w:tblPr>
      <w:tblCellMar>
        <w:top w:w="240" w:type="dxa"/>
      </w:tblCellMar>
    </w:tblPr>
  </w:style>
  <w:style w:type="table" w:customStyle="1" w:styleId="AddressTableTop">
    <w:name w:val="Address Table Top"/>
    <w:basedOn w:val="HelperTableBase"/>
    <w:semiHidden/>
    <w:rsid w:val="008E336A"/>
    <w:tblPr>
      <w:tblCellMar>
        <w:bottom w:w="794" w:type="dxa"/>
      </w:tblCellMar>
    </w:tblPr>
  </w:style>
  <w:style w:type="paragraph" w:customStyle="1" w:styleId="AddressTL">
    <w:name w:val="AddressTL"/>
    <w:basedOn w:val="Normal"/>
    <w:semiHidden/>
    <w:rsid w:val="008E336A"/>
    <w:pPr>
      <w:spacing w:after="840"/>
      <w:contextualSpacing/>
      <w:jc w:val="left"/>
    </w:pPr>
  </w:style>
  <w:style w:type="paragraph" w:customStyle="1" w:styleId="AddressTR">
    <w:name w:val="AddressTR"/>
    <w:basedOn w:val="Normal"/>
    <w:semiHidden/>
    <w:rsid w:val="008E336A"/>
    <w:pPr>
      <w:spacing w:after="840"/>
      <w:ind w:left="5102"/>
      <w:contextualSpacing/>
      <w:jc w:val="left"/>
    </w:pPr>
  </w:style>
  <w:style w:type="paragraph" w:customStyle="1" w:styleId="AnnexeTitre">
    <w:name w:val="Annexe Titre"/>
    <w:basedOn w:val="Normal"/>
    <w:next w:val="Normal"/>
    <w:uiPriority w:val="45"/>
    <w:semiHidden/>
    <w:unhideWhenUsed/>
    <w:qFormat/>
    <w:rsid w:val="008E336A"/>
    <w:pPr>
      <w:pageBreakBefore/>
      <w:spacing w:after="480"/>
      <w:jc w:val="center"/>
      <w:outlineLvl w:val="0"/>
    </w:pPr>
    <w:rPr>
      <w:b/>
      <w:caps/>
      <w:u w:val="single"/>
    </w:rPr>
  </w:style>
  <w:style w:type="paragraph" w:customStyle="1" w:styleId="Bullet0">
    <w:name w:val="Bullet 0"/>
    <w:basedOn w:val="Normal"/>
    <w:semiHidden/>
    <w:rsid w:val="008E336A"/>
    <w:pPr>
      <w:numPr>
        <w:numId w:val="22"/>
      </w:numPr>
    </w:pPr>
  </w:style>
  <w:style w:type="paragraph" w:customStyle="1" w:styleId="Bullet1">
    <w:name w:val="Bullet 1"/>
    <w:basedOn w:val="Normal"/>
    <w:uiPriority w:val="30"/>
    <w:rsid w:val="008E336A"/>
    <w:pPr>
      <w:numPr>
        <w:numId w:val="23"/>
      </w:numPr>
    </w:pPr>
  </w:style>
  <w:style w:type="paragraph" w:customStyle="1" w:styleId="Bullet2">
    <w:name w:val="Bullet 2"/>
    <w:basedOn w:val="Normal"/>
    <w:uiPriority w:val="30"/>
    <w:rsid w:val="008E336A"/>
    <w:pPr>
      <w:numPr>
        <w:numId w:val="24"/>
      </w:numPr>
    </w:pPr>
  </w:style>
  <w:style w:type="paragraph" w:customStyle="1" w:styleId="Bullet3">
    <w:name w:val="Bullet 3"/>
    <w:basedOn w:val="Normal"/>
    <w:semiHidden/>
    <w:rsid w:val="008E336A"/>
    <w:pPr>
      <w:numPr>
        <w:numId w:val="25"/>
      </w:numPr>
    </w:pPr>
  </w:style>
  <w:style w:type="paragraph" w:customStyle="1" w:styleId="Bullet4">
    <w:name w:val="Bullet 4"/>
    <w:basedOn w:val="Normal"/>
    <w:semiHidden/>
    <w:rsid w:val="008E336A"/>
    <w:pPr>
      <w:numPr>
        <w:numId w:val="26"/>
      </w:numPr>
    </w:pPr>
  </w:style>
  <w:style w:type="paragraph" w:styleId="Closing">
    <w:name w:val="Closing"/>
    <w:basedOn w:val="Normal"/>
    <w:next w:val="Signature"/>
    <w:link w:val="ClosingChar"/>
    <w:semiHidden/>
    <w:rsid w:val="008E336A"/>
    <w:pPr>
      <w:tabs>
        <w:tab w:val="left" w:pos="5102"/>
      </w:tabs>
      <w:spacing w:before="240"/>
      <w:ind w:left="5102"/>
      <w:jc w:val="left"/>
    </w:pPr>
  </w:style>
  <w:style w:type="character" w:customStyle="1" w:styleId="ClosingChar">
    <w:name w:val="Closing Char"/>
    <w:basedOn w:val="DefaultParagraphFont"/>
    <w:link w:val="Closing"/>
    <w:semiHidden/>
    <w:rsid w:val="008E336A"/>
    <w:rPr>
      <w:rFonts w:eastAsia="Times New Roman"/>
      <w:lang w:eastAsia="fr-BE"/>
    </w:rPr>
  </w:style>
  <w:style w:type="paragraph" w:customStyle="1" w:styleId="ClosingL">
    <w:name w:val="ClosingL"/>
    <w:basedOn w:val="Normal"/>
    <w:next w:val="Signature"/>
    <w:semiHidden/>
    <w:rsid w:val="008E336A"/>
    <w:pPr>
      <w:spacing w:before="240"/>
      <w:jc w:val="left"/>
    </w:pPr>
  </w:style>
  <w:style w:type="paragraph" w:customStyle="1" w:styleId="Copies">
    <w:name w:val="Copies"/>
    <w:basedOn w:val="Normal"/>
    <w:semiHidden/>
    <w:rsid w:val="008E336A"/>
    <w:pPr>
      <w:tabs>
        <w:tab w:val="left" w:pos="5669"/>
      </w:tabs>
      <w:spacing w:before="480" w:after="0"/>
      <w:ind w:left="1531" w:hanging="1531"/>
      <w:contextualSpacing/>
      <w:jc w:val="left"/>
    </w:pPr>
  </w:style>
  <w:style w:type="paragraph" w:customStyle="1" w:styleId="Enclosures">
    <w:name w:val="Enclosures"/>
    <w:basedOn w:val="Normal"/>
    <w:semiHidden/>
    <w:rsid w:val="008E336A"/>
    <w:pPr>
      <w:keepNext/>
      <w:keepLines/>
      <w:tabs>
        <w:tab w:val="left" w:pos="5669"/>
      </w:tabs>
      <w:spacing w:before="480" w:after="0"/>
      <w:ind w:left="1531" w:hanging="1531"/>
      <w:contextualSpacing/>
      <w:jc w:val="left"/>
    </w:pPr>
  </w:style>
  <w:style w:type="paragraph" w:customStyle="1" w:styleId="Figure">
    <w:name w:val="Figure"/>
    <w:unhideWhenUsed/>
    <w:rsid w:val="008E336A"/>
    <w:pPr>
      <w:keepNext/>
      <w:spacing w:before="120" w:after="120"/>
      <w:jc w:val="both"/>
    </w:pPr>
    <w:rPr>
      <w:rFonts w:eastAsia="Times New Roman"/>
      <w:lang w:eastAsia="fr-BE"/>
    </w:rPr>
  </w:style>
  <w:style w:type="character" w:customStyle="1" w:styleId="Marker2">
    <w:name w:val="Marker2"/>
    <w:basedOn w:val="PlaceholderText"/>
    <w:semiHidden/>
    <w:rsid w:val="008E336A"/>
    <w:rPr>
      <w:color w:val="FF0000"/>
    </w:rPr>
  </w:style>
  <w:style w:type="table" w:customStyle="1" w:styleId="NoteTable">
    <w:name w:val="Note Table"/>
    <w:basedOn w:val="HelperTableBase"/>
    <w:semiHidden/>
    <w:rsid w:val="008E336A"/>
    <w:tblPr>
      <w:tblCellMar>
        <w:left w:w="108" w:type="dxa"/>
        <w:right w:w="108" w:type="dxa"/>
      </w:tblCellMar>
    </w:tblPr>
  </w:style>
  <w:style w:type="paragraph" w:customStyle="1" w:styleId="NoteAddressee">
    <w:name w:val="NoteAddressee"/>
    <w:basedOn w:val="Normal"/>
    <w:semiHidden/>
    <w:rsid w:val="008E336A"/>
    <w:pPr>
      <w:spacing w:after="720"/>
      <w:contextualSpacing/>
      <w:jc w:val="center"/>
    </w:pPr>
    <w:rPr>
      <w:b/>
      <w:smallCaps/>
    </w:rPr>
  </w:style>
  <w:style w:type="paragraph" w:customStyle="1" w:styleId="NoteColumn">
    <w:name w:val="NoteColumn"/>
    <w:basedOn w:val="Normal"/>
    <w:semiHidden/>
    <w:rsid w:val="008E336A"/>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rsid w:val="008E336A"/>
    <w:pPr>
      <w:spacing w:before="720" w:after="720"/>
      <w:contextualSpacing/>
      <w:jc w:val="center"/>
    </w:pPr>
    <w:rPr>
      <w:b/>
      <w:smallCaps/>
    </w:rPr>
  </w:style>
  <w:style w:type="paragraph" w:customStyle="1" w:styleId="NoteList">
    <w:name w:val="NoteList"/>
    <w:basedOn w:val="Normal"/>
    <w:semiHidden/>
    <w:rsid w:val="008E336A"/>
    <w:pPr>
      <w:tabs>
        <w:tab w:val="left" w:pos="5822"/>
      </w:tabs>
      <w:spacing w:before="720" w:after="720"/>
      <w:ind w:left="5102" w:hanging="3118"/>
      <w:contextualSpacing/>
      <w:jc w:val="left"/>
    </w:pPr>
    <w:rPr>
      <w:b/>
      <w:smallCaps/>
    </w:rPr>
  </w:style>
  <w:style w:type="paragraph" w:customStyle="1" w:styleId="NoteTitle">
    <w:name w:val="NoteTitle"/>
    <w:basedOn w:val="Normal"/>
    <w:semiHidden/>
    <w:rsid w:val="008E336A"/>
    <w:pPr>
      <w:spacing w:before="720" w:after="360"/>
      <w:contextualSpacing/>
      <w:jc w:val="center"/>
    </w:pPr>
    <w:rPr>
      <w:b/>
      <w:smallCaps/>
    </w:rPr>
  </w:style>
  <w:style w:type="paragraph" w:customStyle="1" w:styleId="Opening">
    <w:name w:val="Opening"/>
    <w:basedOn w:val="Normal"/>
    <w:semiHidden/>
    <w:rsid w:val="008E336A"/>
    <w:pPr>
      <w:spacing w:before="480" w:after="480"/>
      <w:jc w:val="left"/>
    </w:pPr>
  </w:style>
  <w:style w:type="paragraph" w:customStyle="1" w:styleId="Participants">
    <w:name w:val="Participants"/>
    <w:basedOn w:val="Normal"/>
    <w:semiHidden/>
    <w:rsid w:val="008E336A"/>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rsid w:val="008E336A"/>
    <w:pPr>
      <w:ind w:left="567" w:hanging="567"/>
    </w:pPr>
  </w:style>
  <w:style w:type="paragraph" w:customStyle="1" w:styleId="Point1">
    <w:name w:val="Point 1"/>
    <w:basedOn w:val="Normal"/>
    <w:uiPriority w:val="20"/>
    <w:semiHidden/>
    <w:rsid w:val="008E336A"/>
    <w:pPr>
      <w:ind w:left="1417" w:hanging="567"/>
    </w:pPr>
  </w:style>
  <w:style w:type="paragraph" w:customStyle="1" w:styleId="Point2">
    <w:name w:val="Point 2"/>
    <w:basedOn w:val="Normal"/>
    <w:uiPriority w:val="20"/>
    <w:semiHidden/>
    <w:rsid w:val="008E336A"/>
    <w:pPr>
      <w:ind w:left="1984" w:hanging="567"/>
    </w:pPr>
  </w:style>
  <w:style w:type="paragraph" w:customStyle="1" w:styleId="Point3">
    <w:name w:val="Point 3"/>
    <w:basedOn w:val="Normal"/>
    <w:uiPriority w:val="20"/>
    <w:semiHidden/>
    <w:rsid w:val="008E336A"/>
    <w:pPr>
      <w:ind w:left="2551" w:hanging="567"/>
    </w:pPr>
  </w:style>
  <w:style w:type="paragraph" w:customStyle="1" w:styleId="Point4">
    <w:name w:val="Point 4"/>
    <w:basedOn w:val="Normal"/>
    <w:uiPriority w:val="20"/>
    <w:semiHidden/>
    <w:rsid w:val="008E336A"/>
    <w:pPr>
      <w:ind w:left="3118" w:hanging="567"/>
    </w:pPr>
  </w:style>
  <w:style w:type="paragraph" w:customStyle="1" w:styleId="Point5">
    <w:name w:val="Point 5"/>
    <w:basedOn w:val="Normal"/>
    <w:uiPriority w:val="20"/>
    <w:semiHidden/>
    <w:rsid w:val="008E336A"/>
    <w:pPr>
      <w:ind w:left="3685" w:hanging="567"/>
    </w:pPr>
  </w:style>
  <w:style w:type="paragraph" w:customStyle="1" w:styleId="Rfrenceinstitutionnelle">
    <w:name w:val="Référence institutionnelle"/>
    <w:basedOn w:val="Normal"/>
    <w:semiHidden/>
    <w:rsid w:val="008E336A"/>
    <w:pPr>
      <w:spacing w:after="360"/>
      <w:ind w:left="5102" w:right="-567"/>
      <w:jc w:val="left"/>
    </w:pPr>
  </w:style>
  <w:style w:type="paragraph" w:customStyle="1" w:styleId="RegisteredLetter">
    <w:name w:val="Registered Letter"/>
    <w:basedOn w:val="Normal"/>
    <w:semiHidden/>
    <w:rsid w:val="008E336A"/>
    <w:rPr>
      <w:u w:val="single"/>
    </w:rPr>
  </w:style>
  <w:style w:type="paragraph" w:customStyle="1" w:styleId="Source">
    <w:name w:val="Source"/>
    <w:basedOn w:val="Normal"/>
    <w:next w:val="Normal"/>
    <w:uiPriority w:val="99"/>
    <w:unhideWhenUsed/>
    <w:rsid w:val="008E336A"/>
    <w:pPr>
      <w:keepLines/>
      <w:spacing w:before="120"/>
    </w:pPr>
    <w:rPr>
      <w:i/>
      <w:sz w:val="20"/>
    </w:rPr>
  </w:style>
  <w:style w:type="paragraph" w:customStyle="1" w:styleId="Subject">
    <w:name w:val="Subject"/>
    <w:basedOn w:val="Normal"/>
    <w:semiHidden/>
    <w:rsid w:val="008E336A"/>
    <w:pPr>
      <w:spacing w:after="240"/>
      <w:ind w:left="1191" w:hanging="1191"/>
      <w:contextualSpacing/>
      <w:jc w:val="left"/>
    </w:pPr>
    <w:rPr>
      <w:b/>
    </w:rPr>
  </w:style>
  <w:style w:type="paragraph" w:customStyle="1" w:styleId="Tiret0">
    <w:name w:val="Tiret 0"/>
    <w:basedOn w:val="Point0"/>
    <w:uiPriority w:val="30"/>
    <w:semiHidden/>
    <w:rsid w:val="008E336A"/>
    <w:pPr>
      <w:numPr>
        <w:numId w:val="32"/>
      </w:numPr>
    </w:pPr>
  </w:style>
  <w:style w:type="paragraph" w:customStyle="1" w:styleId="Tiret1">
    <w:name w:val="Tiret 1"/>
    <w:basedOn w:val="Point1"/>
    <w:uiPriority w:val="30"/>
    <w:rsid w:val="008E336A"/>
    <w:pPr>
      <w:numPr>
        <w:numId w:val="33"/>
      </w:numPr>
    </w:pPr>
  </w:style>
  <w:style w:type="paragraph" w:customStyle="1" w:styleId="Tiret2">
    <w:name w:val="Tiret 2"/>
    <w:basedOn w:val="Point2"/>
    <w:uiPriority w:val="30"/>
    <w:rsid w:val="008E336A"/>
    <w:pPr>
      <w:numPr>
        <w:numId w:val="34"/>
      </w:numPr>
    </w:pPr>
  </w:style>
  <w:style w:type="paragraph" w:customStyle="1" w:styleId="Tiret4">
    <w:name w:val="Tiret 4"/>
    <w:basedOn w:val="Point4"/>
    <w:semiHidden/>
    <w:rsid w:val="008E336A"/>
    <w:pPr>
      <w:numPr>
        <w:numId w:val="36"/>
      </w:numPr>
    </w:pPr>
  </w:style>
  <w:style w:type="paragraph" w:customStyle="1" w:styleId="Tiret5">
    <w:name w:val="Tiret 5"/>
    <w:basedOn w:val="Point5"/>
    <w:semiHidden/>
    <w:rsid w:val="008E336A"/>
    <w:pPr>
      <w:numPr>
        <w:numId w:val="37"/>
      </w:numPr>
    </w:pPr>
  </w:style>
  <w:style w:type="paragraph" w:customStyle="1" w:styleId="YReferences">
    <w:name w:val="YReferences"/>
    <w:basedOn w:val="Normal"/>
    <w:semiHidden/>
    <w:rsid w:val="008E336A"/>
    <w:pPr>
      <w:spacing w:after="240"/>
      <w:ind w:left="1191" w:hanging="1191"/>
      <w:contextualSpacing/>
    </w:pPr>
  </w:style>
  <w:style w:type="character" w:customStyle="1" w:styleId="Marker">
    <w:name w:val="Marker"/>
    <w:basedOn w:val="DefaultParagraphFont"/>
    <w:rsid w:val="008E336A"/>
    <w:rPr>
      <w:color w:val="0000FF"/>
      <w:shd w:val="clear" w:color="auto" w:fill="auto"/>
    </w:rPr>
  </w:style>
  <w:style w:type="paragraph" w:customStyle="1" w:styleId="Pagedecouverture">
    <w:name w:val="Page de couverture"/>
    <w:basedOn w:val="Normal"/>
    <w:next w:val="Normal"/>
    <w:link w:val="PagedecouvertureChar"/>
    <w:rsid w:val="008E336A"/>
    <w:pPr>
      <w:spacing w:after="0"/>
    </w:pPr>
    <w:rPr>
      <w:rFonts w:eastAsiaTheme="minorHAnsi"/>
      <w:szCs w:val="22"/>
      <w:lang w:eastAsia="en-US"/>
    </w:rPr>
  </w:style>
  <w:style w:type="paragraph" w:customStyle="1" w:styleId="FooterCoverPage">
    <w:name w:val="Footer Cover Page"/>
    <w:basedOn w:val="Normal"/>
    <w:link w:val="FooterCoverPageChar"/>
    <w:rsid w:val="008E336A"/>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E336A"/>
    <w:rPr>
      <w:rFonts w:eastAsiaTheme="minorHAnsi"/>
      <w:szCs w:val="22"/>
      <w:lang w:eastAsia="en-US"/>
    </w:rPr>
  </w:style>
  <w:style w:type="character" w:customStyle="1" w:styleId="FooterCoverPageChar">
    <w:name w:val="Footer Cover Page Char"/>
    <w:basedOn w:val="PagedecouvertureChar"/>
    <w:link w:val="FooterCoverPage"/>
    <w:rsid w:val="008E336A"/>
    <w:rPr>
      <w:rFonts w:eastAsia="Times New Roman"/>
      <w:szCs w:val="22"/>
      <w:lang w:eastAsia="fr-BE"/>
    </w:rPr>
  </w:style>
  <w:style w:type="paragraph" w:customStyle="1" w:styleId="FooterSensitivity">
    <w:name w:val="Footer Sensitivity"/>
    <w:basedOn w:val="Normal"/>
    <w:link w:val="FooterSensitivityChar"/>
    <w:rsid w:val="008E33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E336A"/>
    <w:rPr>
      <w:rFonts w:eastAsia="Times New Roman"/>
      <w:b/>
      <w:sz w:val="32"/>
      <w:szCs w:val="22"/>
      <w:lang w:eastAsia="fr-BE"/>
    </w:rPr>
  </w:style>
  <w:style w:type="paragraph" w:customStyle="1" w:styleId="HeaderCoverPage">
    <w:name w:val="Header Cover Page"/>
    <w:basedOn w:val="Normal"/>
    <w:link w:val="HeaderCoverPageChar"/>
    <w:rsid w:val="008E336A"/>
    <w:pPr>
      <w:tabs>
        <w:tab w:val="center" w:pos="4535"/>
        <w:tab w:val="right" w:pos="9071"/>
      </w:tabs>
    </w:pPr>
  </w:style>
  <w:style w:type="character" w:customStyle="1" w:styleId="HeaderCoverPageChar">
    <w:name w:val="Header Cover Page Char"/>
    <w:basedOn w:val="PagedecouvertureChar"/>
    <w:link w:val="HeaderCoverPage"/>
    <w:rsid w:val="008E336A"/>
    <w:rPr>
      <w:rFonts w:eastAsia="Times New Roman"/>
      <w:szCs w:val="22"/>
      <w:lang w:eastAsia="fr-BE"/>
    </w:rPr>
  </w:style>
  <w:style w:type="paragraph" w:customStyle="1" w:styleId="HeaderSensitivity">
    <w:name w:val="Header Sensitivity"/>
    <w:basedOn w:val="Normal"/>
    <w:link w:val="HeaderSensitivityChar"/>
    <w:rsid w:val="008E336A"/>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E336A"/>
    <w:rPr>
      <w:rFonts w:eastAsia="Times New Roman"/>
      <w:b/>
      <w:sz w:val="32"/>
      <w:szCs w:val="22"/>
      <w:lang w:eastAsia="fr-BE"/>
    </w:rPr>
  </w:style>
  <w:style w:type="paragraph" w:customStyle="1" w:styleId="HeaderSensitivityRight">
    <w:name w:val="Header Sensitivity Right"/>
    <w:basedOn w:val="Normal"/>
    <w:link w:val="HeaderSensitivityRightChar"/>
    <w:rsid w:val="008E336A"/>
    <w:pPr>
      <w:jc w:val="right"/>
    </w:pPr>
    <w:rPr>
      <w:sz w:val="28"/>
    </w:rPr>
  </w:style>
  <w:style w:type="character" w:customStyle="1" w:styleId="HeaderSensitivityRightChar">
    <w:name w:val="Header Sensitivity Right Char"/>
    <w:basedOn w:val="PagedecouvertureChar"/>
    <w:link w:val="HeaderSensitivityRight"/>
    <w:rsid w:val="008E336A"/>
    <w:rPr>
      <w:rFonts w:eastAsia="Times New Roman"/>
      <w:sz w:val="28"/>
      <w:szCs w:val="22"/>
      <w:lang w:eastAsia="fr-BE"/>
    </w:rPr>
  </w:style>
  <w:style w:type="paragraph" w:customStyle="1" w:styleId="Table">
    <w:name w:val="Table"/>
    <w:basedOn w:val="TableHeading"/>
    <w:rsid w:val="00EA4DDE"/>
    <w:pPr>
      <w:jc w:val="center"/>
    </w:pPr>
    <w:rPr>
      <w:rFonts w:ascii="Times New Roman" w:hAnsi="Times New Roman" w:cs="Times New Roman"/>
      <w:b w:val="0"/>
      <w:color w:val="FFFFFF" w:themeColor="background1"/>
      <w:sz w:val="24"/>
      <w:szCs w:val="24"/>
    </w:rPr>
  </w:style>
  <w:style w:type="paragraph" w:styleId="List">
    <w:name w:val="List"/>
    <w:basedOn w:val="Normal"/>
    <w:uiPriority w:val="99"/>
    <w:semiHidden/>
    <w:rsid w:val="00EA4DDE"/>
    <w:pPr>
      <w:ind w:left="283" w:hanging="283"/>
      <w:contextualSpacing/>
    </w:pPr>
  </w:style>
  <w:style w:type="character" w:customStyle="1" w:styleId="Heading4Char">
    <w:name w:val="Heading 4 Char"/>
    <w:basedOn w:val="DefaultParagraphFont"/>
    <w:link w:val="Heading4"/>
    <w:uiPriority w:val="10"/>
    <w:rsid w:val="004E06F8"/>
    <w:rPr>
      <w:rFonts w:eastAsia="Times New Roman"/>
      <w:lang w:eastAsia="fr-BE"/>
    </w:rPr>
  </w:style>
  <w:style w:type="character" w:customStyle="1" w:styleId="Hyperlink1">
    <w:name w:val="Hyperlink1"/>
    <w:basedOn w:val="DefaultParagraphFont"/>
    <w:uiPriority w:val="99"/>
    <w:unhideWhenUsed/>
    <w:rsid w:val="00E801F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1829">
      <w:bodyDiv w:val="1"/>
      <w:marLeft w:val="0"/>
      <w:marRight w:val="0"/>
      <w:marTop w:val="0"/>
      <w:marBottom w:val="0"/>
      <w:divBdr>
        <w:top w:val="none" w:sz="0" w:space="0" w:color="auto"/>
        <w:left w:val="none" w:sz="0" w:space="0" w:color="auto"/>
        <w:bottom w:val="none" w:sz="0" w:space="0" w:color="auto"/>
        <w:right w:val="none" w:sz="0" w:space="0" w:color="auto"/>
      </w:divBdr>
    </w:div>
    <w:div w:id="105545508">
      <w:bodyDiv w:val="1"/>
      <w:marLeft w:val="0"/>
      <w:marRight w:val="0"/>
      <w:marTop w:val="0"/>
      <w:marBottom w:val="0"/>
      <w:divBdr>
        <w:top w:val="none" w:sz="0" w:space="0" w:color="auto"/>
        <w:left w:val="none" w:sz="0" w:space="0" w:color="auto"/>
        <w:bottom w:val="none" w:sz="0" w:space="0" w:color="auto"/>
        <w:right w:val="none" w:sz="0" w:space="0" w:color="auto"/>
      </w:divBdr>
    </w:div>
    <w:div w:id="116417065">
      <w:bodyDiv w:val="1"/>
      <w:marLeft w:val="0"/>
      <w:marRight w:val="0"/>
      <w:marTop w:val="0"/>
      <w:marBottom w:val="0"/>
      <w:divBdr>
        <w:top w:val="none" w:sz="0" w:space="0" w:color="auto"/>
        <w:left w:val="none" w:sz="0" w:space="0" w:color="auto"/>
        <w:bottom w:val="none" w:sz="0" w:space="0" w:color="auto"/>
        <w:right w:val="none" w:sz="0" w:space="0" w:color="auto"/>
      </w:divBdr>
      <w:divsChild>
        <w:div w:id="1023441018">
          <w:marLeft w:val="0"/>
          <w:marRight w:val="0"/>
          <w:marTop w:val="0"/>
          <w:marBottom w:val="0"/>
          <w:divBdr>
            <w:top w:val="none" w:sz="0" w:space="0" w:color="auto"/>
            <w:left w:val="none" w:sz="0" w:space="0" w:color="auto"/>
            <w:bottom w:val="none" w:sz="0" w:space="0" w:color="auto"/>
            <w:right w:val="none" w:sz="0" w:space="0" w:color="auto"/>
          </w:divBdr>
          <w:divsChild>
            <w:div w:id="1547176619">
              <w:marLeft w:val="0"/>
              <w:marRight w:val="0"/>
              <w:marTop w:val="0"/>
              <w:marBottom w:val="0"/>
              <w:divBdr>
                <w:top w:val="none" w:sz="0" w:space="0" w:color="auto"/>
                <w:left w:val="none" w:sz="0" w:space="0" w:color="auto"/>
                <w:bottom w:val="none" w:sz="0" w:space="0" w:color="auto"/>
                <w:right w:val="none" w:sz="0" w:space="0" w:color="auto"/>
              </w:divBdr>
              <w:divsChild>
                <w:div w:id="1387726334">
                  <w:marLeft w:val="0"/>
                  <w:marRight w:val="0"/>
                  <w:marTop w:val="0"/>
                  <w:marBottom w:val="0"/>
                  <w:divBdr>
                    <w:top w:val="none" w:sz="0" w:space="0" w:color="auto"/>
                    <w:left w:val="none" w:sz="0" w:space="0" w:color="auto"/>
                    <w:bottom w:val="none" w:sz="0" w:space="0" w:color="auto"/>
                    <w:right w:val="none" w:sz="0" w:space="0" w:color="auto"/>
                  </w:divBdr>
                  <w:divsChild>
                    <w:div w:id="1920942680">
                      <w:marLeft w:val="0"/>
                      <w:marRight w:val="0"/>
                      <w:marTop w:val="0"/>
                      <w:marBottom w:val="0"/>
                      <w:divBdr>
                        <w:top w:val="none" w:sz="0" w:space="0" w:color="auto"/>
                        <w:left w:val="none" w:sz="0" w:space="0" w:color="auto"/>
                        <w:bottom w:val="none" w:sz="0" w:space="0" w:color="auto"/>
                        <w:right w:val="none" w:sz="0" w:space="0" w:color="auto"/>
                      </w:divBdr>
                      <w:divsChild>
                        <w:div w:id="442696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332659">
      <w:bodyDiv w:val="1"/>
      <w:marLeft w:val="0"/>
      <w:marRight w:val="0"/>
      <w:marTop w:val="0"/>
      <w:marBottom w:val="0"/>
      <w:divBdr>
        <w:top w:val="none" w:sz="0" w:space="0" w:color="auto"/>
        <w:left w:val="none" w:sz="0" w:space="0" w:color="auto"/>
        <w:bottom w:val="none" w:sz="0" w:space="0" w:color="auto"/>
        <w:right w:val="none" w:sz="0" w:space="0" w:color="auto"/>
      </w:divBdr>
    </w:div>
    <w:div w:id="254945499">
      <w:bodyDiv w:val="1"/>
      <w:marLeft w:val="0"/>
      <w:marRight w:val="0"/>
      <w:marTop w:val="0"/>
      <w:marBottom w:val="0"/>
      <w:divBdr>
        <w:top w:val="none" w:sz="0" w:space="0" w:color="auto"/>
        <w:left w:val="none" w:sz="0" w:space="0" w:color="auto"/>
        <w:bottom w:val="none" w:sz="0" w:space="0" w:color="auto"/>
        <w:right w:val="none" w:sz="0" w:space="0" w:color="auto"/>
      </w:divBdr>
    </w:div>
    <w:div w:id="259216243">
      <w:bodyDiv w:val="1"/>
      <w:marLeft w:val="0"/>
      <w:marRight w:val="0"/>
      <w:marTop w:val="0"/>
      <w:marBottom w:val="0"/>
      <w:divBdr>
        <w:top w:val="none" w:sz="0" w:space="0" w:color="auto"/>
        <w:left w:val="none" w:sz="0" w:space="0" w:color="auto"/>
        <w:bottom w:val="none" w:sz="0" w:space="0" w:color="auto"/>
        <w:right w:val="none" w:sz="0" w:space="0" w:color="auto"/>
      </w:divBdr>
      <w:divsChild>
        <w:div w:id="1230533318">
          <w:marLeft w:val="360"/>
          <w:marRight w:val="0"/>
          <w:marTop w:val="0"/>
          <w:marBottom w:val="360"/>
          <w:divBdr>
            <w:top w:val="none" w:sz="0" w:space="0" w:color="auto"/>
            <w:left w:val="none" w:sz="0" w:space="0" w:color="auto"/>
            <w:bottom w:val="none" w:sz="0" w:space="0" w:color="auto"/>
            <w:right w:val="none" w:sz="0" w:space="0" w:color="auto"/>
          </w:divBdr>
        </w:div>
        <w:div w:id="502747050">
          <w:marLeft w:val="360"/>
          <w:marRight w:val="0"/>
          <w:marTop w:val="0"/>
          <w:marBottom w:val="360"/>
          <w:divBdr>
            <w:top w:val="none" w:sz="0" w:space="0" w:color="auto"/>
            <w:left w:val="none" w:sz="0" w:space="0" w:color="auto"/>
            <w:bottom w:val="none" w:sz="0" w:space="0" w:color="auto"/>
            <w:right w:val="none" w:sz="0" w:space="0" w:color="auto"/>
          </w:divBdr>
        </w:div>
        <w:div w:id="1566063894">
          <w:marLeft w:val="360"/>
          <w:marRight w:val="0"/>
          <w:marTop w:val="0"/>
          <w:marBottom w:val="360"/>
          <w:divBdr>
            <w:top w:val="none" w:sz="0" w:space="0" w:color="auto"/>
            <w:left w:val="none" w:sz="0" w:space="0" w:color="auto"/>
            <w:bottom w:val="none" w:sz="0" w:space="0" w:color="auto"/>
            <w:right w:val="none" w:sz="0" w:space="0" w:color="auto"/>
          </w:divBdr>
        </w:div>
      </w:divsChild>
    </w:div>
    <w:div w:id="327637301">
      <w:bodyDiv w:val="1"/>
      <w:marLeft w:val="0"/>
      <w:marRight w:val="0"/>
      <w:marTop w:val="0"/>
      <w:marBottom w:val="0"/>
      <w:divBdr>
        <w:top w:val="none" w:sz="0" w:space="0" w:color="auto"/>
        <w:left w:val="none" w:sz="0" w:space="0" w:color="auto"/>
        <w:bottom w:val="none" w:sz="0" w:space="0" w:color="auto"/>
        <w:right w:val="none" w:sz="0" w:space="0" w:color="auto"/>
      </w:divBdr>
    </w:div>
    <w:div w:id="346493295">
      <w:bodyDiv w:val="1"/>
      <w:marLeft w:val="0"/>
      <w:marRight w:val="0"/>
      <w:marTop w:val="0"/>
      <w:marBottom w:val="0"/>
      <w:divBdr>
        <w:top w:val="none" w:sz="0" w:space="0" w:color="auto"/>
        <w:left w:val="none" w:sz="0" w:space="0" w:color="auto"/>
        <w:bottom w:val="none" w:sz="0" w:space="0" w:color="auto"/>
        <w:right w:val="none" w:sz="0" w:space="0" w:color="auto"/>
      </w:divBdr>
    </w:div>
    <w:div w:id="346906246">
      <w:bodyDiv w:val="1"/>
      <w:marLeft w:val="0"/>
      <w:marRight w:val="0"/>
      <w:marTop w:val="0"/>
      <w:marBottom w:val="0"/>
      <w:divBdr>
        <w:top w:val="none" w:sz="0" w:space="0" w:color="auto"/>
        <w:left w:val="none" w:sz="0" w:space="0" w:color="auto"/>
        <w:bottom w:val="none" w:sz="0" w:space="0" w:color="auto"/>
        <w:right w:val="none" w:sz="0" w:space="0" w:color="auto"/>
      </w:divBdr>
    </w:div>
    <w:div w:id="394398066">
      <w:bodyDiv w:val="1"/>
      <w:marLeft w:val="0"/>
      <w:marRight w:val="0"/>
      <w:marTop w:val="0"/>
      <w:marBottom w:val="0"/>
      <w:divBdr>
        <w:top w:val="none" w:sz="0" w:space="0" w:color="auto"/>
        <w:left w:val="none" w:sz="0" w:space="0" w:color="auto"/>
        <w:bottom w:val="none" w:sz="0" w:space="0" w:color="auto"/>
        <w:right w:val="none" w:sz="0" w:space="0" w:color="auto"/>
      </w:divBdr>
    </w:div>
    <w:div w:id="399452272">
      <w:bodyDiv w:val="1"/>
      <w:marLeft w:val="0"/>
      <w:marRight w:val="0"/>
      <w:marTop w:val="0"/>
      <w:marBottom w:val="0"/>
      <w:divBdr>
        <w:top w:val="none" w:sz="0" w:space="0" w:color="auto"/>
        <w:left w:val="none" w:sz="0" w:space="0" w:color="auto"/>
        <w:bottom w:val="none" w:sz="0" w:space="0" w:color="auto"/>
        <w:right w:val="none" w:sz="0" w:space="0" w:color="auto"/>
      </w:divBdr>
    </w:div>
    <w:div w:id="450783764">
      <w:bodyDiv w:val="1"/>
      <w:marLeft w:val="0"/>
      <w:marRight w:val="0"/>
      <w:marTop w:val="0"/>
      <w:marBottom w:val="0"/>
      <w:divBdr>
        <w:top w:val="none" w:sz="0" w:space="0" w:color="auto"/>
        <w:left w:val="none" w:sz="0" w:space="0" w:color="auto"/>
        <w:bottom w:val="none" w:sz="0" w:space="0" w:color="auto"/>
        <w:right w:val="none" w:sz="0" w:space="0" w:color="auto"/>
      </w:divBdr>
    </w:div>
    <w:div w:id="499540804">
      <w:bodyDiv w:val="1"/>
      <w:marLeft w:val="0"/>
      <w:marRight w:val="0"/>
      <w:marTop w:val="0"/>
      <w:marBottom w:val="0"/>
      <w:divBdr>
        <w:top w:val="none" w:sz="0" w:space="0" w:color="auto"/>
        <w:left w:val="none" w:sz="0" w:space="0" w:color="auto"/>
        <w:bottom w:val="none" w:sz="0" w:space="0" w:color="auto"/>
        <w:right w:val="none" w:sz="0" w:space="0" w:color="auto"/>
      </w:divBdr>
    </w:div>
    <w:div w:id="572471230">
      <w:bodyDiv w:val="1"/>
      <w:marLeft w:val="0"/>
      <w:marRight w:val="0"/>
      <w:marTop w:val="0"/>
      <w:marBottom w:val="0"/>
      <w:divBdr>
        <w:top w:val="none" w:sz="0" w:space="0" w:color="auto"/>
        <w:left w:val="none" w:sz="0" w:space="0" w:color="auto"/>
        <w:bottom w:val="none" w:sz="0" w:space="0" w:color="auto"/>
        <w:right w:val="none" w:sz="0" w:space="0" w:color="auto"/>
      </w:divBdr>
    </w:div>
    <w:div w:id="584654628">
      <w:bodyDiv w:val="1"/>
      <w:marLeft w:val="0"/>
      <w:marRight w:val="0"/>
      <w:marTop w:val="0"/>
      <w:marBottom w:val="0"/>
      <w:divBdr>
        <w:top w:val="none" w:sz="0" w:space="0" w:color="auto"/>
        <w:left w:val="none" w:sz="0" w:space="0" w:color="auto"/>
        <w:bottom w:val="none" w:sz="0" w:space="0" w:color="auto"/>
        <w:right w:val="none" w:sz="0" w:space="0" w:color="auto"/>
      </w:divBdr>
    </w:div>
    <w:div w:id="656344235">
      <w:bodyDiv w:val="1"/>
      <w:marLeft w:val="0"/>
      <w:marRight w:val="0"/>
      <w:marTop w:val="0"/>
      <w:marBottom w:val="0"/>
      <w:divBdr>
        <w:top w:val="none" w:sz="0" w:space="0" w:color="auto"/>
        <w:left w:val="none" w:sz="0" w:space="0" w:color="auto"/>
        <w:bottom w:val="none" w:sz="0" w:space="0" w:color="auto"/>
        <w:right w:val="none" w:sz="0" w:space="0" w:color="auto"/>
      </w:divBdr>
    </w:div>
    <w:div w:id="690953151">
      <w:bodyDiv w:val="1"/>
      <w:marLeft w:val="0"/>
      <w:marRight w:val="0"/>
      <w:marTop w:val="0"/>
      <w:marBottom w:val="0"/>
      <w:divBdr>
        <w:top w:val="none" w:sz="0" w:space="0" w:color="auto"/>
        <w:left w:val="none" w:sz="0" w:space="0" w:color="auto"/>
        <w:bottom w:val="none" w:sz="0" w:space="0" w:color="auto"/>
        <w:right w:val="none" w:sz="0" w:space="0" w:color="auto"/>
      </w:divBdr>
    </w:div>
    <w:div w:id="699279488">
      <w:bodyDiv w:val="1"/>
      <w:marLeft w:val="0"/>
      <w:marRight w:val="0"/>
      <w:marTop w:val="0"/>
      <w:marBottom w:val="0"/>
      <w:divBdr>
        <w:top w:val="none" w:sz="0" w:space="0" w:color="auto"/>
        <w:left w:val="none" w:sz="0" w:space="0" w:color="auto"/>
        <w:bottom w:val="none" w:sz="0" w:space="0" w:color="auto"/>
        <w:right w:val="none" w:sz="0" w:space="0" w:color="auto"/>
      </w:divBdr>
    </w:div>
    <w:div w:id="769549039">
      <w:bodyDiv w:val="1"/>
      <w:marLeft w:val="0"/>
      <w:marRight w:val="0"/>
      <w:marTop w:val="0"/>
      <w:marBottom w:val="0"/>
      <w:divBdr>
        <w:top w:val="none" w:sz="0" w:space="0" w:color="auto"/>
        <w:left w:val="none" w:sz="0" w:space="0" w:color="auto"/>
        <w:bottom w:val="none" w:sz="0" w:space="0" w:color="auto"/>
        <w:right w:val="none" w:sz="0" w:space="0" w:color="auto"/>
      </w:divBdr>
      <w:divsChild>
        <w:div w:id="297341121">
          <w:marLeft w:val="0"/>
          <w:marRight w:val="0"/>
          <w:marTop w:val="0"/>
          <w:marBottom w:val="0"/>
          <w:divBdr>
            <w:top w:val="none" w:sz="0" w:space="0" w:color="auto"/>
            <w:left w:val="none" w:sz="0" w:space="0" w:color="auto"/>
            <w:bottom w:val="none" w:sz="0" w:space="0" w:color="auto"/>
            <w:right w:val="none" w:sz="0" w:space="0" w:color="auto"/>
          </w:divBdr>
          <w:divsChild>
            <w:div w:id="808205673">
              <w:marLeft w:val="0"/>
              <w:marRight w:val="0"/>
              <w:marTop w:val="0"/>
              <w:marBottom w:val="0"/>
              <w:divBdr>
                <w:top w:val="none" w:sz="0" w:space="0" w:color="auto"/>
                <w:left w:val="none" w:sz="0" w:space="0" w:color="auto"/>
                <w:bottom w:val="none" w:sz="0" w:space="0" w:color="auto"/>
                <w:right w:val="none" w:sz="0" w:space="0" w:color="auto"/>
              </w:divBdr>
              <w:divsChild>
                <w:div w:id="39862308">
                  <w:marLeft w:val="0"/>
                  <w:marRight w:val="0"/>
                  <w:marTop w:val="0"/>
                  <w:marBottom w:val="0"/>
                  <w:divBdr>
                    <w:top w:val="none" w:sz="0" w:space="0" w:color="auto"/>
                    <w:left w:val="none" w:sz="0" w:space="0" w:color="auto"/>
                    <w:bottom w:val="none" w:sz="0" w:space="0" w:color="auto"/>
                    <w:right w:val="none" w:sz="0" w:space="0" w:color="auto"/>
                  </w:divBdr>
                  <w:divsChild>
                    <w:div w:id="24797156">
                      <w:marLeft w:val="0"/>
                      <w:marRight w:val="0"/>
                      <w:marTop w:val="0"/>
                      <w:marBottom w:val="0"/>
                      <w:divBdr>
                        <w:top w:val="none" w:sz="0" w:space="0" w:color="auto"/>
                        <w:left w:val="none" w:sz="0" w:space="0" w:color="auto"/>
                        <w:bottom w:val="none" w:sz="0" w:space="0" w:color="auto"/>
                        <w:right w:val="none" w:sz="0" w:space="0" w:color="auto"/>
                      </w:divBdr>
                      <w:divsChild>
                        <w:div w:id="784345558">
                          <w:marLeft w:val="0"/>
                          <w:marRight w:val="0"/>
                          <w:marTop w:val="0"/>
                          <w:marBottom w:val="0"/>
                          <w:divBdr>
                            <w:top w:val="none" w:sz="0" w:space="0" w:color="auto"/>
                            <w:left w:val="none" w:sz="0" w:space="0" w:color="auto"/>
                            <w:bottom w:val="none" w:sz="0" w:space="0" w:color="auto"/>
                            <w:right w:val="none" w:sz="0" w:space="0" w:color="auto"/>
                          </w:divBdr>
                        </w:div>
                      </w:divsChild>
                    </w:div>
                    <w:div w:id="1164008304">
                      <w:marLeft w:val="0"/>
                      <w:marRight w:val="0"/>
                      <w:marTop w:val="0"/>
                      <w:marBottom w:val="0"/>
                      <w:divBdr>
                        <w:top w:val="none" w:sz="0" w:space="0" w:color="auto"/>
                        <w:left w:val="none" w:sz="0" w:space="0" w:color="auto"/>
                        <w:bottom w:val="none" w:sz="0" w:space="0" w:color="auto"/>
                        <w:right w:val="none" w:sz="0" w:space="0" w:color="auto"/>
                      </w:divBdr>
                      <w:divsChild>
                        <w:div w:id="15779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5436">
              <w:marLeft w:val="0"/>
              <w:marRight w:val="0"/>
              <w:marTop w:val="0"/>
              <w:marBottom w:val="0"/>
              <w:divBdr>
                <w:top w:val="none" w:sz="0" w:space="0" w:color="auto"/>
                <w:left w:val="none" w:sz="0" w:space="0" w:color="auto"/>
                <w:bottom w:val="none" w:sz="0" w:space="0" w:color="auto"/>
                <w:right w:val="none" w:sz="0" w:space="0" w:color="auto"/>
              </w:divBdr>
              <w:divsChild>
                <w:div w:id="1257402095">
                  <w:marLeft w:val="0"/>
                  <w:marRight w:val="0"/>
                  <w:marTop w:val="0"/>
                  <w:marBottom w:val="0"/>
                  <w:divBdr>
                    <w:top w:val="none" w:sz="0" w:space="0" w:color="auto"/>
                    <w:left w:val="none" w:sz="0" w:space="0" w:color="auto"/>
                    <w:bottom w:val="none" w:sz="0" w:space="0" w:color="auto"/>
                    <w:right w:val="none" w:sz="0" w:space="0" w:color="auto"/>
                  </w:divBdr>
                  <w:divsChild>
                    <w:div w:id="68507819">
                      <w:marLeft w:val="0"/>
                      <w:marRight w:val="0"/>
                      <w:marTop w:val="0"/>
                      <w:marBottom w:val="0"/>
                      <w:divBdr>
                        <w:top w:val="none" w:sz="0" w:space="0" w:color="auto"/>
                        <w:left w:val="none" w:sz="0" w:space="0" w:color="auto"/>
                        <w:bottom w:val="none" w:sz="0" w:space="0" w:color="auto"/>
                        <w:right w:val="none" w:sz="0" w:space="0" w:color="auto"/>
                      </w:divBdr>
                      <w:divsChild>
                        <w:div w:id="30377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234925">
          <w:marLeft w:val="0"/>
          <w:marRight w:val="0"/>
          <w:marTop w:val="0"/>
          <w:marBottom w:val="0"/>
          <w:divBdr>
            <w:top w:val="none" w:sz="0" w:space="0" w:color="auto"/>
            <w:left w:val="none" w:sz="0" w:space="0" w:color="auto"/>
            <w:bottom w:val="none" w:sz="0" w:space="0" w:color="auto"/>
            <w:right w:val="none" w:sz="0" w:space="0" w:color="auto"/>
          </w:divBdr>
          <w:divsChild>
            <w:div w:id="1976986651">
              <w:marLeft w:val="0"/>
              <w:marRight w:val="0"/>
              <w:marTop w:val="0"/>
              <w:marBottom w:val="0"/>
              <w:divBdr>
                <w:top w:val="none" w:sz="0" w:space="0" w:color="auto"/>
                <w:left w:val="none" w:sz="0" w:space="0" w:color="auto"/>
                <w:bottom w:val="none" w:sz="0" w:space="0" w:color="auto"/>
                <w:right w:val="none" w:sz="0" w:space="0" w:color="auto"/>
              </w:divBdr>
              <w:divsChild>
                <w:div w:id="456603835">
                  <w:marLeft w:val="0"/>
                  <w:marRight w:val="0"/>
                  <w:marTop w:val="0"/>
                  <w:marBottom w:val="0"/>
                  <w:divBdr>
                    <w:top w:val="none" w:sz="0" w:space="0" w:color="auto"/>
                    <w:left w:val="none" w:sz="0" w:space="0" w:color="auto"/>
                    <w:bottom w:val="none" w:sz="0" w:space="0" w:color="auto"/>
                    <w:right w:val="none" w:sz="0" w:space="0" w:color="auto"/>
                  </w:divBdr>
                  <w:divsChild>
                    <w:div w:id="608664055">
                      <w:marLeft w:val="0"/>
                      <w:marRight w:val="0"/>
                      <w:marTop w:val="0"/>
                      <w:marBottom w:val="0"/>
                      <w:divBdr>
                        <w:top w:val="none" w:sz="0" w:space="0" w:color="auto"/>
                        <w:left w:val="none" w:sz="0" w:space="0" w:color="auto"/>
                        <w:bottom w:val="none" w:sz="0" w:space="0" w:color="auto"/>
                        <w:right w:val="none" w:sz="0" w:space="0" w:color="auto"/>
                      </w:divBdr>
                      <w:divsChild>
                        <w:div w:id="1000426235">
                          <w:marLeft w:val="0"/>
                          <w:marRight w:val="0"/>
                          <w:marTop w:val="0"/>
                          <w:marBottom w:val="0"/>
                          <w:divBdr>
                            <w:top w:val="none" w:sz="0" w:space="0" w:color="auto"/>
                            <w:left w:val="none" w:sz="0" w:space="0" w:color="auto"/>
                            <w:bottom w:val="none" w:sz="0" w:space="0" w:color="auto"/>
                            <w:right w:val="none" w:sz="0" w:space="0" w:color="auto"/>
                          </w:divBdr>
                          <w:divsChild>
                            <w:div w:id="1143736529">
                              <w:marLeft w:val="0"/>
                              <w:marRight w:val="0"/>
                              <w:marTop w:val="0"/>
                              <w:marBottom w:val="0"/>
                              <w:divBdr>
                                <w:top w:val="none" w:sz="0" w:space="0" w:color="auto"/>
                                <w:left w:val="none" w:sz="0" w:space="0" w:color="auto"/>
                                <w:bottom w:val="none" w:sz="0" w:space="0" w:color="auto"/>
                                <w:right w:val="none" w:sz="0" w:space="0" w:color="auto"/>
                              </w:divBdr>
                              <w:divsChild>
                                <w:div w:id="1662393571">
                                  <w:marLeft w:val="0"/>
                                  <w:marRight w:val="0"/>
                                  <w:marTop w:val="0"/>
                                  <w:marBottom w:val="0"/>
                                  <w:divBdr>
                                    <w:top w:val="none" w:sz="0" w:space="0" w:color="auto"/>
                                    <w:left w:val="none" w:sz="0" w:space="0" w:color="auto"/>
                                    <w:bottom w:val="none" w:sz="0" w:space="0" w:color="auto"/>
                                    <w:right w:val="none" w:sz="0" w:space="0" w:color="auto"/>
                                  </w:divBdr>
                                  <w:divsChild>
                                    <w:div w:id="114041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6050493">
      <w:bodyDiv w:val="1"/>
      <w:marLeft w:val="0"/>
      <w:marRight w:val="0"/>
      <w:marTop w:val="0"/>
      <w:marBottom w:val="0"/>
      <w:divBdr>
        <w:top w:val="none" w:sz="0" w:space="0" w:color="auto"/>
        <w:left w:val="none" w:sz="0" w:space="0" w:color="auto"/>
        <w:bottom w:val="none" w:sz="0" w:space="0" w:color="auto"/>
        <w:right w:val="none" w:sz="0" w:space="0" w:color="auto"/>
      </w:divBdr>
    </w:div>
    <w:div w:id="819230515">
      <w:bodyDiv w:val="1"/>
      <w:marLeft w:val="0"/>
      <w:marRight w:val="0"/>
      <w:marTop w:val="0"/>
      <w:marBottom w:val="0"/>
      <w:divBdr>
        <w:top w:val="none" w:sz="0" w:space="0" w:color="auto"/>
        <w:left w:val="none" w:sz="0" w:space="0" w:color="auto"/>
        <w:bottom w:val="none" w:sz="0" w:space="0" w:color="auto"/>
        <w:right w:val="none" w:sz="0" w:space="0" w:color="auto"/>
      </w:divBdr>
    </w:div>
    <w:div w:id="869033294">
      <w:bodyDiv w:val="1"/>
      <w:marLeft w:val="0"/>
      <w:marRight w:val="0"/>
      <w:marTop w:val="0"/>
      <w:marBottom w:val="0"/>
      <w:divBdr>
        <w:top w:val="none" w:sz="0" w:space="0" w:color="auto"/>
        <w:left w:val="none" w:sz="0" w:space="0" w:color="auto"/>
        <w:bottom w:val="none" w:sz="0" w:space="0" w:color="auto"/>
        <w:right w:val="none" w:sz="0" w:space="0" w:color="auto"/>
      </w:divBdr>
      <w:divsChild>
        <w:div w:id="1212426163">
          <w:marLeft w:val="360"/>
          <w:marRight w:val="0"/>
          <w:marTop w:val="0"/>
          <w:marBottom w:val="360"/>
          <w:divBdr>
            <w:top w:val="none" w:sz="0" w:space="0" w:color="auto"/>
            <w:left w:val="none" w:sz="0" w:space="0" w:color="auto"/>
            <w:bottom w:val="none" w:sz="0" w:space="0" w:color="auto"/>
            <w:right w:val="none" w:sz="0" w:space="0" w:color="auto"/>
          </w:divBdr>
        </w:div>
        <w:div w:id="1394886881">
          <w:marLeft w:val="360"/>
          <w:marRight w:val="0"/>
          <w:marTop w:val="0"/>
          <w:marBottom w:val="360"/>
          <w:divBdr>
            <w:top w:val="none" w:sz="0" w:space="0" w:color="auto"/>
            <w:left w:val="none" w:sz="0" w:space="0" w:color="auto"/>
            <w:bottom w:val="none" w:sz="0" w:space="0" w:color="auto"/>
            <w:right w:val="none" w:sz="0" w:space="0" w:color="auto"/>
          </w:divBdr>
        </w:div>
        <w:div w:id="276569291">
          <w:marLeft w:val="360"/>
          <w:marRight w:val="0"/>
          <w:marTop w:val="0"/>
          <w:marBottom w:val="360"/>
          <w:divBdr>
            <w:top w:val="none" w:sz="0" w:space="0" w:color="auto"/>
            <w:left w:val="none" w:sz="0" w:space="0" w:color="auto"/>
            <w:bottom w:val="none" w:sz="0" w:space="0" w:color="auto"/>
            <w:right w:val="none" w:sz="0" w:space="0" w:color="auto"/>
          </w:divBdr>
        </w:div>
      </w:divsChild>
    </w:div>
    <w:div w:id="880829336">
      <w:bodyDiv w:val="1"/>
      <w:marLeft w:val="0"/>
      <w:marRight w:val="0"/>
      <w:marTop w:val="0"/>
      <w:marBottom w:val="0"/>
      <w:divBdr>
        <w:top w:val="none" w:sz="0" w:space="0" w:color="auto"/>
        <w:left w:val="none" w:sz="0" w:space="0" w:color="auto"/>
        <w:bottom w:val="none" w:sz="0" w:space="0" w:color="auto"/>
        <w:right w:val="none" w:sz="0" w:space="0" w:color="auto"/>
      </w:divBdr>
    </w:div>
    <w:div w:id="886838524">
      <w:bodyDiv w:val="1"/>
      <w:marLeft w:val="0"/>
      <w:marRight w:val="0"/>
      <w:marTop w:val="0"/>
      <w:marBottom w:val="0"/>
      <w:divBdr>
        <w:top w:val="none" w:sz="0" w:space="0" w:color="auto"/>
        <w:left w:val="none" w:sz="0" w:space="0" w:color="auto"/>
        <w:bottom w:val="none" w:sz="0" w:space="0" w:color="auto"/>
        <w:right w:val="none" w:sz="0" w:space="0" w:color="auto"/>
      </w:divBdr>
    </w:div>
    <w:div w:id="904796391">
      <w:bodyDiv w:val="1"/>
      <w:marLeft w:val="0"/>
      <w:marRight w:val="0"/>
      <w:marTop w:val="0"/>
      <w:marBottom w:val="0"/>
      <w:divBdr>
        <w:top w:val="none" w:sz="0" w:space="0" w:color="auto"/>
        <w:left w:val="none" w:sz="0" w:space="0" w:color="auto"/>
        <w:bottom w:val="none" w:sz="0" w:space="0" w:color="auto"/>
        <w:right w:val="none" w:sz="0" w:space="0" w:color="auto"/>
      </w:divBdr>
    </w:div>
    <w:div w:id="926959138">
      <w:bodyDiv w:val="1"/>
      <w:marLeft w:val="0"/>
      <w:marRight w:val="0"/>
      <w:marTop w:val="0"/>
      <w:marBottom w:val="0"/>
      <w:divBdr>
        <w:top w:val="none" w:sz="0" w:space="0" w:color="auto"/>
        <w:left w:val="none" w:sz="0" w:space="0" w:color="auto"/>
        <w:bottom w:val="none" w:sz="0" w:space="0" w:color="auto"/>
        <w:right w:val="none" w:sz="0" w:space="0" w:color="auto"/>
      </w:divBdr>
    </w:div>
    <w:div w:id="940146060">
      <w:bodyDiv w:val="1"/>
      <w:marLeft w:val="0"/>
      <w:marRight w:val="0"/>
      <w:marTop w:val="0"/>
      <w:marBottom w:val="0"/>
      <w:divBdr>
        <w:top w:val="none" w:sz="0" w:space="0" w:color="auto"/>
        <w:left w:val="none" w:sz="0" w:space="0" w:color="auto"/>
        <w:bottom w:val="none" w:sz="0" w:space="0" w:color="auto"/>
        <w:right w:val="none" w:sz="0" w:space="0" w:color="auto"/>
      </w:divBdr>
      <w:divsChild>
        <w:div w:id="799372925">
          <w:marLeft w:val="0"/>
          <w:marRight w:val="0"/>
          <w:marTop w:val="0"/>
          <w:marBottom w:val="0"/>
          <w:divBdr>
            <w:top w:val="none" w:sz="0" w:space="0" w:color="auto"/>
            <w:left w:val="none" w:sz="0" w:space="0" w:color="auto"/>
            <w:bottom w:val="none" w:sz="0" w:space="0" w:color="auto"/>
            <w:right w:val="none" w:sz="0" w:space="0" w:color="auto"/>
          </w:divBdr>
          <w:divsChild>
            <w:div w:id="98066006">
              <w:marLeft w:val="0"/>
              <w:marRight w:val="0"/>
              <w:marTop w:val="0"/>
              <w:marBottom w:val="0"/>
              <w:divBdr>
                <w:top w:val="none" w:sz="0" w:space="0" w:color="auto"/>
                <w:left w:val="none" w:sz="0" w:space="0" w:color="auto"/>
                <w:bottom w:val="none" w:sz="0" w:space="0" w:color="auto"/>
                <w:right w:val="none" w:sz="0" w:space="0" w:color="auto"/>
              </w:divBdr>
              <w:divsChild>
                <w:div w:id="713122763">
                  <w:marLeft w:val="0"/>
                  <w:marRight w:val="0"/>
                  <w:marTop w:val="0"/>
                  <w:marBottom w:val="0"/>
                  <w:divBdr>
                    <w:top w:val="none" w:sz="0" w:space="0" w:color="auto"/>
                    <w:left w:val="none" w:sz="0" w:space="0" w:color="auto"/>
                    <w:bottom w:val="none" w:sz="0" w:space="0" w:color="auto"/>
                    <w:right w:val="none" w:sz="0" w:space="0" w:color="auto"/>
                  </w:divBdr>
                  <w:divsChild>
                    <w:div w:id="404299879">
                      <w:marLeft w:val="0"/>
                      <w:marRight w:val="0"/>
                      <w:marTop w:val="0"/>
                      <w:marBottom w:val="0"/>
                      <w:divBdr>
                        <w:top w:val="none" w:sz="0" w:space="0" w:color="auto"/>
                        <w:left w:val="none" w:sz="0" w:space="0" w:color="auto"/>
                        <w:bottom w:val="none" w:sz="0" w:space="0" w:color="auto"/>
                        <w:right w:val="none" w:sz="0" w:space="0" w:color="auto"/>
                      </w:divBdr>
                      <w:divsChild>
                        <w:div w:id="85346863">
                          <w:marLeft w:val="0"/>
                          <w:marRight w:val="0"/>
                          <w:marTop w:val="0"/>
                          <w:marBottom w:val="0"/>
                          <w:divBdr>
                            <w:top w:val="none" w:sz="0" w:space="0" w:color="auto"/>
                            <w:left w:val="none" w:sz="0" w:space="0" w:color="auto"/>
                            <w:bottom w:val="none" w:sz="0" w:space="0" w:color="auto"/>
                            <w:right w:val="none" w:sz="0" w:space="0" w:color="auto"/>
                          </w:divBdr>
                          <w:divsChild>
                            <w:div w:id="1158157460">
                              <w:marLeft w:val="0"/>
                              <w:marRight w:val="0"/>
                              <w:marTop w:val="0"/>
                              <w:marBottom w:val="0"/>
                              <w:divBdr>
                                <w:top w:val="none" w:sz="0" w:space="0" w:color="auto"/>
                                <w:left w:val="none" w:sz="0" w:space="0" w:color="auto"/>
                                <w:bottom w:val="none" w:sz="0" w:space="0" w:color="auto"/>
                                <w:right w:val="none" w:sz="0" w:space="0" w:color="auto"/>
                              </w:divBdr>
                              <w:divsChild>
                                <w:div w:id="653414247">
                                  <w:marLeft w:val="0"/>
                                  <w:marRight w:val="0"/>
                                  <w:marTop w:val="0"/>
                                  <w:marBottom w:val="0"/>
                                  <w:divBdr>
                                    <w:top w:val="none" w:sz="0" w:space="0" w:color="auto"/>
                                    <w:left w:val="none" w:sz="0" w:space="0" w:color="auto"/>
                                    <w:bottom w:val="none" w:sz="0" w:space="0" w:color="auto"/>
                                    <w:right w:val="none" w:sz="0" w:space="0" w:color="auto"/>
                                  </w:divBdr>
                                  <w:divsChild>
                                    <w:div w:id="559902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470914">
      <w:bodyDiv w:val="1"/>
      <w:marLeft w:val="0"/>
      <w:marRight w:val="0"/>
      <w:marTop w:val="0"/>
      <w:marBottom w:val="0"/>
      <w:divBdr>
        <w:top w:val="none" w:sz="0" w:space="0" w:color="auto"/>
        <w:left w:val="none" w:sz="0" w:space="0" w:color="auto"/>
        <w:bottom w:val="none" w:sz="0" w:space="0" w:color="auto"/>
        <w:right w:val="none" w:sz="0" w:space="0" w:color="auto"/>
      </w:divBdr>
    </w:div>
    <w:div w:id="1029261509">
      <w:bodyDiv w:val="1"/>
      <w:marLeft w:val="0"/>
      <w:marRight w:val="0"/>
      <w:marTop w:val="0"/>
      <w:marBottom w:val="0"/>
      <w:divBdr>
        <w:top w:val="none" w:sz="0" w:space="0" w:color="auto"/>
        <w:left w:val="none" w:sz="0" w:space="0" w:color="auto"/>
        <w:bottom w:val="none" w:sz="0" w:space="0" w:color="auto"/>
        <w:right w:val="none" w:sz="0" w:space="0" w:color="auto"/>
      </w:divBdr>
    </w:div>
    <w:div w:id="1030717129">
      <w:bodyDiv w:val="1"/>
      <w:marLeft w:val="0"/>
      <w:marRight w:val="0"/>
      <w:marTop w:val="0"/>
      <w:marBottom w:val="0"/>
      <w:divBdr>
        <w:top w:val="none" w:sz="0" w:space="0" w:color="auto"/>
        <w:left w:val="none" w:sz="0" w:space="0" w:color="auto"/>
        <w:bottom w:val="none" w:sz="0" w:space="0" w:color="auto"/>
        <w:right w:val="none" w:sz="0" w:space="0" w:color="auto"/>
      </w:divBdr>
    </w:div>
    <w:div w:id="1040858730">
      <w:bodyDiv w:val="1"/>
      <w:marLeft w:val="0"/>
      <w:marRight w:val="0"/>
      <w:marTop w:val="0"/>
      <w:marBottom w:val="0"/>
      <w:divBdr>
        <w:top w:val="none" w:sz="0" w:space="0" w:color="auto"/>
        <w:left w:val="none" w:sz="0" w:space="0" w:color="auto"/>
        <w:bottom w:val="none" w:sz="0" w:space="0" w:color="auto"/>
        <w:right w:val="none" w:sz="0" w:space="0" w:color="auto"/>
      </w:divBdr>
      <w:divsChild>
        <w:div w:id="689647007">
          <w:marLeft w:val="0"/>
          <w:marRight w:val="0"/>
          <w:marTop w:val="0"/>
          <w:marBottom w:val="0"/>
          <w:divBdr>
            <w:top w:val="none" w:sz="0" w:space="0" w:color="auto"/>
            <w:left w:val="none" w:sz="0" w:space="0" w:color="auto"/>
            <w:bottom w:val="none" w:sz="0" w:space="0" w:color="auto"/>
            <w:right w:val="none" w:sz="0" w:space="0" w:color="auto"/>
          </w:divBdr>
          <w:divsChild>
            <w:div w:id="339545370">
              <w:marLeft w:val="0"/>
              <w:marRight w:val="0"/>
              <w:marTop w:val="0"/>
              <w:marBottom w:val="0"/>
              <w:divBdr>
                <w:top w:val="none" w:sz="0" w:space="0" w:color="auto"/>
                <w:left w:val="none" w:sz="0" w:space="0" w:color="auto"/>
                <w:bottom w:val="none" w:sz="0" w:space="0" w:color="auto"/>
                <w:right w:val="none" w:sz="0" w:space="0" w:color="auto"/>
              </w:divBdr>
              <w:divsChild>
                <w:div w:id="766121115">
                  <w:marLeft w:val="0"/>
                  <w:marRight w:val="0"/>
                  <w:marTop w:val="0"/>
                  <w:marBottom w:val="0"/>
                  <w:divBdr>
                    <w:top w:val="none" w:sz="0" w:space="0" w:color="auto"/>
                    <w:left w:val="none" w:sz="0" w:space="0" w:color="auto"/>
                    <w:bottom w:val="none" w:sz="0" w:space="0" w:color="auto"/>
                    <w:right w:val="none" w:sz="0" w:space="0" w:color="auto"/>
                  </w:divBdr>
                  <w:divsChild>
                    <w:div w:id="114719977">
                      <w:marLeft w:val="0"/>
                      <w:marRight w:val="0"/>
                      <w:marTop w:val="0"/>
                      <w:marBottom w:val="0"/>
                      <w:divBdr>
                        <w:top w:val="none" w:sz="0" w:space="0" w:color="auto"/>
                        <w:left w:val="none" w:sz="0" w:space="0" w:color="auto"/>
                        <w:bottom w:val="none" w:sz="0" w:space="0" w:color="auto"/>
                        <w:right w:val="none" w:sz="0" w:space="0" w:color="auto"/>
                      </w:divBdr>
                      <w:divsChild>
                        <w:div w:id="719204369">
                          <w:marLeft w:val="0"/>
                          <w:marRight w:val="0"/>
                          <w:marTop w:val="0"/>
                          <w:marBottom w:val="0"/>
                          <w:divBdr>
                            <w:top w:val="none" w:sz="0" w:space="0" w:color="auto"/>
                            <w:left w:val="none" w:sz="0" w:space="0" w:color="auto"/>
                            <w:bottom w:val="none" w:sz="0" w:space="0" w:color="auto"/>
                            <w:right w:val="none" w:sz="0" w:space="0" w:color="auto"/>
                          </w:divBdr>
                          <w:divsChild>
                            <w:div w:id="121265099">
                              <w:marLeft w:val="0"/>
                              <w:marRight w:val="0"/>
                              <w:marTop w:val="0"/>
                              <w:marBottom w:val="0"/>
                              <w:divBdr>
                                <w:top w:val="none" w:sz="0" w:space="0" w:color="auto"/>
                                <w:left w:val="none" w:sz="0" w:space="0" w:color="auto"/>
                                <w:bottom w:val="none" w:sz="0" w:space="0" w:color="auto"/>
                                <w:right w:val="none" w:sz="0" w:space="0" w:color="auto"/>
                              </w:divBdr>
                              <w:divsChild>
                                <w:div w:id="265694101">
                                  <w:marLeft w:val="0"/>
                                  <w:marRight w:val="0"/>
                                  <w:marTop w:val="0"/>
                                  <w:marBottom w:val="0"/>
                                  <w:divBdr>
                                    <w:top w:val="none" w:sz="0" w:space="0" w:color="auto"/>
                                    <w:left w:val="none" w:sz="0" w:space="0" w:color="auto"/>
                                    <w:bottom w:val="none" w:sz="0" w:space="0" w:color="auto"/>
                                    <w:right w:val="none" w:sz="0" w:space="0" w:color="auto"/>
                                  </w:divBdr>
                                  <w:divsChild>
                                    <w:div w:id="1233810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350495">
      <w:bodyDiv w:val="1"/>
      <w:marLeft w:val="0"/>
      <w:marRight w:val="0"/>
      <w:marTop w:val="0"/>
      <w:marBottom w:val="0"/>
      <w:divBdr>
        <w:top w:val="none" w:sz="0" w:space="0" w:color="auto"/>
        <w:left w:val="none" w:sz="0" w:space="0" w:color="auto"/>
        <w:bottom w:val="none" w:sz="0" w:space="0" w:color="auto"/>
        <w:right w:val="none" w:sz="0" w:space="0" w:color="auto"/>
      </w:divBdr>
    </w:div>
    <w:div w:id="1165054878">
      <w:bodyDiv w:val="1"/>
      <w:marLeft w:val="0"/>
      <w:marRight w:val="0"/>
      <w:marTop w:val="0"/>
      <w:marBottom w:val="0"/>
      <w:divBdr>
        <w:top w:val="none" w:sz="0" w:space="0" w:color="auto"/>
        <w:left w:val="none" w:sz="0" w:space="0" w:color="auto"/>
        <w:bottom w:val="none" w:sz="0" w:space="0" w:color="auto"/>
        <w:right w:val="none" w:sz="0" w:space="0" w:color="auto"/>
      </w:divBdr>
      <w:divsChild>
        <w:div w:id="648942067">
          <w:marLeft w:val="0"/>
          <w:marRight w:val="0"/>
          <w:marTop w:val="0"/>
          <w:marBottom w:val="0"/>
          <w:divBdr>
            <w:top w:val="none" w:sz="0" w:space="0" w:color="auto"/>
            <w:left w:val="none" w:sz="0" w:space="0" w:color="auto"/>
            <w:bottom w:val="none" w:sz="0" w:space="0" w:color="auto"/>
            <w:right w:val="none" w:sz="0" w:space="0" w:color="auto"/>
          </w:divBdr>
          <w:divsChild>
            <w:div w:id="1326085443">
              <w:marLeft w:val="0"/>
              <w:marRight w:val="0"/>
              <w:marTop w:val="0"/>
              <w:marBottom w:val="0"/>
              <w:divBdr>
                <w:top w:val="none" w:sz="0" w:space="0" w:color="auto"/>
                <w:left w:val="none" w:sz="0" w:space="0" w:color="auto"/>
                <w:bottom w:val="none" w:sz="0" w:space="0" w:color="auto"/>
                <w:right w:val="none" w:sz="0" w:space="0" w:color="auto"/>
              </w:divBdr>
              <w:divsChild>
                <w:div w:id="688799533">
                  <w:marLeft w:val="0"/>
                  <w:marRight w:val="0"/>
                  <w:marTop w:val="0"/>
                  <w:marBottom w:val="0"/>
                  <w:divBdr>
                    <w:top w:val="none" w:sz="0" w:space="0" w:color="auto"/>
                    <w:left w:val="none" w:sz="0" w:space="0" w:color="auto"/>
                    <w:bottom w:val="none" w:sz="0" w:space="0" w:color="auto"/>
                    <w:right w:val="none" w:sz="0" w:space="0" w:color="auto"/>
                  </w:divBdr>
                  <w:divsChild>
                    <w:div w:id="399986436">
                      <w:marLeft w:val="0"/>
                      <w:marRight w:val="0"/>
                      <w:marTop w:val="0"/>
                      <w:marBottom w:val="0"/>
                      <w:divBdr>
                        <w:top w:val="none" w:sz="0" w:space="0" w:color="auto"/>
                        <w:left w:val="none" w:sz="0" w:space="0" w:color="auto"/>
                        <w:bottom w:val="none" w:sz="0" w:space="0" w:color="auto"/>
                        <w:right w:val="none" w:sz="0" w:space="0" w:color="auto"/>
                      </w:divBdr>
                      <w:divsChild>
                        <w:div w:id="104885433">
                          <w:marLeft w:val="0"/>
                          <w:marRight w:val="0"/>
                          <w:marTop w:val="0"/>
                          <w:marBottom w:val="0"/>
                          <w:divBdr>
                            <w:top w:val="none" w:sz="0" w:space="0" w:color="auto"/>
                            <w:left w:val="none" w:sz="0" w:space="0" w:color="auto"/>
                            <w:bottom w:val="none" w:sz="0" w:space="0" w:color="auto"/>
                            <w:right w:val="none" w:sz="0" w:space="0" w:color="auto"/>
                          </w:divBdr>
                        </w:div>
                      </w:divsChild>
                    </w:div>
                    <w:div w:id="1683124930">
                      <w:marLeft w:val="0"/>
                      <w:marRight w:val="0"/>
                      <w:marTop w:val="0"/>
                      <w:marBottom w:val="0"/>
                      <w:divBdr>
                        <w:top w:val="none" w:sz="0" w:space="0" w:color="auto"/>
                        <w:left w:val="none" w:sz="0" w:space="0" w:color="auto"/>
                        <w:bottom w:val="none" w:sz="0" w:space="0" w:color="auto"/>
                        <w:right w:val="none" w:sz="0" w:space="0" w:color="auto"/>
                      </w:divBdr>
                      <w:divsChild>
                        <w:div w:id="16416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731993">
              <w:marLeft w:val="0"/>
              <w:marRight w:val="0"/>
              <w:marTop w:val="0"/>
              <w:marBottom w:val="0"/>
              <w:divBdr>
                <w:top w:val="none" w:sz="0" w:space="0" w:color="auto"/>
                <w:left w:val="none" w:sz="0" w:space="0" w:color="auto"/>
                <w:bottom w:val="none" w:sz="0" w:space="0" w:color="auto"/>
                <w:right w:val="none" w:sz="0" w:space="0" w:color="auto"/>
              </w:divBdr>
              <w:divsChild>
                <w:div w:id="999575720">
                  <w:marLeft w:val="0"/>
                  <w:marRight w:val="0"/>
                  <w:marTop w:val="0"/>
                  <w:marBottom w:val="0"/>
                  <w:divBdr>
                    <w:top w:val="none" w:sz="0" w:space="0" w:color="auto"/>
                    <w:left w:val="none" w:sz="0" w:space="0" w:color="auto"/>
                    <w:bottom w:val="none" w:sz="0" w:space="0" w:color="auto"/>
                    <w:right w:val="none" w:sz="0" w:space="0" w:color="auto"/>
                  </w:divBdr>
                  <w:divsChild>
                    <w:div w:id="340548069">
                      <w:marLeft w:val="0"/>
                      <w:marRight w:val="0"/>
                      <w:marTop w:val="0"/>
                      <w:marBottom w:val="0"/>
                      <w:divBdr>
                        <w:top w:val="none" w:sz="0" w:space="0" w:color="auto"/>
                        <w:left w:val="none" w:sz="0" w:space="0" w:color="auto"/>
                        <w:bottom w:val="none" w:sz="0" w:space="0" w:color="auto"/>
                        <w:right w:val="none" w:sz="0" w:space="0" w:color="auto"/>
                      </w:divBdr>
                      <w:divsChild>
                        <w:div w:id="190988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91200">
          <w:marLeft w:val="0"/>
          <w:marRight w:val="0"/>
          <w:marTop w:val="0"/>
          <w:marBottom w:val="0"/>
          <w:divBdr>
            <w:top w:val="none" w:sz="0" w:space="0" w:color="auto"/>
            <w:left w:val="none" w:sz="0" w:space="0" w:color="auto"/>
            <w:bottom w:val="none" w:sz="0" w:space="0" w:color="auto"/>
            <w:right w:val="none" w:sz="0" w:space="0" w:color="auto"/>
          </w:divBdr>
          <w:divsChild>
            <w:div w:id="2086342031">
              <w:marLeft w:val="0"/>
              <w:marRight w:val="0"/>
              <w:marTop w:val="0"/>
              <w:marBottom w:val="0"/>
              <w:divBdr>
                <w:top w:val="none" w:sz="0" w:space="0" w:color="auto"/>
                <w:left w:val="none" w:sz="0" w:space="0" w:color="auto"/>
                <w:bottom w:val="none" w:sz="0" w:space="0" w:color="auto"/>
                <w:right w:val="none" w:sz="0" w:space="0" w:color="auto"/>
              </w:divBdr>
              <w:divsChild>
                <w:div w:id="495071999">
                  <w:marLeft w:val="0"/>
                  <w:marRight w:val="0"/>
                  <w:marTop w:val="0"/>
                  <w:marBottom w:val="0"/>
                  <w:divBdr>
                    <w:top w:val="none" w:sz="0" w:space="0" w:color="auto"/>
                    <w:left w:val="none" w:sz="0" w:space="0" w:color="auto"/>
                    <w:bottom w:val="none" w:sz="0" w:space="0" w:color="auto"/>
                    <w:right w:val="none" w:sz="0" w:space="0" w:color="auto"/>
                  </w:divBdr>
                  <w:divsChild>
                    <w:div w:id="269822956">
                      <w:marLeft w:val="0"/>
                      <w:marRight w:val="0"/>
                      <w:marTop w:val="0"/>
                      <w:marBottom w:val="0"/>
                      <w:divBdr>
                        <w:top w:val="none" w:sz="0" w:space="0" w:color="auto"/>
                        <w:left w:val="none" w:sz="0" w:space="0" w:color="auto"/>
                        <w:bottom w:val="none" w:sz="0" w:space="0" w:color="auto"/>
                        <w:right w:val="none" w:sz="0" w:space="0" w:color="auto"/>
                      </w:divBdr>
                      <w:divsChild>
                        <w:div w:id="1740899535">
                          <w:marLeft w:val="0"/>
                          <w:marRight w:val="0"/>
                          <w:marTop w:val="0"/>
                          <w:marBottom w:val="0"/>
                          <w:divBdr>
                            <w:top w:val="none" w:sz="0" w:space="0" w:color="auto"/>
                            <w:left w:val="none" w:sz="0" w:space="0" w:color="auto"/>
                            <w:bottom w:val="none" w:sz="0" w:space="0" w:color="auto"/>
                            <w:right w:val="none" w:sz="0" w:space="0" w:color="auto"/>
                          </w:divBdr>
                          <w:divsChild>
                            <w:div w:id="664670355">
                              <w:marLeft w:val="0"/>
                              <w:marRight w:val="0"/>
                              <w:marTop w:val="0"/>
                              <w:marBottom w:val="0"/>
                              <w:divBdr>
                                <w:top w:val="none" w:sz="0" w:space="0" w:color="auto"/>
                                <w:left w:val="none" w:sz="0" w:space="0" w:color="auto"/>
                                <w:bottom w:val="none" w:sz="0" w:space="0" w:color="auto"/>
                                <w:right w:val="none" w:sz="0" w:space="0" w:color="auto"/>
                              </w:divBdr>
                              <w:divsChild>
                                <w:div w:id="1323310146">
                                  <w:marLeft w:val="0"/>
                                  <w:marRight w:val="0"/>
                                  <w:marTop w:val="0"/>
                                  <w:marBottom w:val="0"/>
                                  <w:divBdr>
                                    <w:top w:val="none" w:sz="0" w:space="0" w:color="auto"/>
                                    <w:left w:val="none" w:sz="0" w:space="0" w:color="auto"/>
                                    <w:bottom w:val="none" w:sz="0" w:space="0" w:color="auto"/>
                                    <w:right w:val="none" w:sz="0" w:space="0" w:color="auto"/>
                                  </w:divBdr>
                                  <w:divsChild>
                                    <w:div w:id="3864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195216">
      <w:bodyDiv w:val="1"/>
      <w:marLeft w:val="0"/>
      <w:marRight w:val="0"/>
      <w:marTop w:val="0"/>
      <w:marBottom w:val="0"/>
      <w:divBdr>
        <w:top w:val="none" w:sz="0" w:space="0" w:color="auto"/>
        <w:left w:val="none" w:sz="0" w:space="0" w:color="auto"/>
        <w:bottom w:val="none" w:sz="0" w:space="0" w:color="auto"/>
        <w:right w:val="none" w:sz="0" w:space="0" w:color="auto"/>
      </w:divBdr>
    </w:div>
    <w:div w:id="1401709772">
      <w:bodyDiv w:val="1"/>
      <w:marLeft w:val="0"/>
      <w:marRight w:val="0"/>
      <w:marTop w:val="0"/>
      <w:marBottom w:val="0"/>
      <w:divBdr>
        <w:top w:val="none" w:sz="0" w:space="0" w:color="auto"/>
        <w:left w:val="none" w:sz="0" w:space="0" w:color="auto"/>
        <w:bottom w:val="none" w:sz="0" w:space="0" w:color="auto"/>
        <w:right w:val="none" w:sz="0" w:space="0" w:color="auto"/>
      </w:divBdr>
    </w:div>
    <w:div w:id="1437822075">
      <w:bodyDiv w:val="1"/>
      <w:marLeft w:val="0"/>
      <w:marRight w:val="0"/>
      <w:marTop w:val="0"/>
      <w:marBottom w:val="0"/>
      <w:divBdr>
        <w:top w:val="none" w:sz="0" w:space="0" w:color="auto"/>
        <w:left w:val="none" w:sz="0" w:space="0" w:color="auto"/>
        <w:bottom w:val="none" w:sz="0" w:space="0" w:color="auto"/>
        <w:right w:val="none" w:sz="0" w:space="0" w:color="auto"/>
      </w:divBdr>
      <w:divsChild>
        <w:div w:id="1072585590">
          <w:marLeft w:val="0"/>
          <w:marRight w:val="0"/>
          <w:marTop w:val="0"/>
          <w:marBottom w:val="0"/>
          <w:divBdr>
            <w:top w:val="none" w:sz="0" w:space="0" w:color="auto"/>
            <w:left w:val="none" w:sz="0" w:space="0" w:color="auto"/>
            <w:bottom w:val="none" w:sz="0" w:space="0" w:color="auto"/>
            <w:right w:val="none" w:sz="0" w:space="0" w:color="auto"/>
          </w:divBdr>
        </w:div>
        <w:div w:id="1827282678">
          <w:marLeft w:val="0"/>
          <w:marRight w:val="0"/>
          <w:marTop w:val="0"/>
          <w:marBottom w:val="0"/>
          <w:divBdr>
            <w:top w:val="none" w:sz="0" w:space="0" w:color="auto"/>
            <w:left w:val="none" w:sz="0" w:space="0" w:color="auto"/>
            <w:bottom w:val="none" w:sz="0" w:space="0" w:color="auto"/>
            <w:right w:val="none" w:sz="0" w:space="0" w:color="auto"/>
          </w:divBdr>
        </w:div>
      </w:divsChild>
    </w:div>
    <w:div w:id="1478718837">
      <w:bodyDiv w:val="1"/>
      <w:marLeft w:val="0"/>
      <w:marRight w:val="0"/>
      <w:marTop w:val="0"/>
      <w:marBottom w:val="0"/>
      <w:divBdr>
        <w:top w:val="none" w:sz="0" w:space="0" w:color="auto"/>
        <w:left w:val="none" w:sz="0" w:space="0" w:color="auto"/>
        <w:bottom w:val="none" w:sz="0" w:space="0" w:color="auto"/>
        <w:right w:val="none" w:sz="0" w:space="0" w:color="auto"/>
      </w:divBdr>
      <w:divsChild>
        <w:div w:id="1984190519">
          <w:marLeft w:val="0"/>
          <w:marRight w:val="0"/>
          <w:marTop w:val="0"/>
          <w:marBottom w:val="0"/>
          <w:divBdr>
            <w:top w:val="none" w:sz="0" w:space="0" w:color="auto"/>
            <w:left w:val="none" w:sz="0" w:space="0" w:color="auto"/>
            <w:bottom w:val="none" w:sz="0" w:space="0" w:color="auto"/>
            <w:right w:val="none" w:sz="0" w:space="0" w:color="auto"/>
          </w:divBdr>
          <w:divsChild>
            <w:div w:id="1949964953">
              <w:marLeft w:val="0"/>
              <w:marRight w:val="0"/>
              <w:marTop w:val="0"/>
              <w:marBottom w:val="0"/>
              <w:divBdr>
                <w:top w:val="none" w:sz="0" w:space="0" w:color="auto"/>
                <w:left w:val="none" w:sz="0" w:space="0" w:color="auto"/>
                <w:bottom w:val="none" w:sz="0" w:space="0" w:color="auto"/>
                <w:right w:val="none" w:sz="0" w:space="0" w:color="auto"/>
              </w:divBdr>
              <w:divsChild>
                <w:div w:id="1026250267">
                  <w:marLeft w:val="0"/>
                  <w:marRight w:val="0"/>
                  <w:marTop w:val="0"/>
                  <w:marBottom w:val="0"/>
                  <w:divBdr>
                    <w:top w:val="none" w:sz="0" w:space="0" w:color="auto"/>
                    <w:left w:val="none" w:sz="0" w:space="0" w:color="auto"/>
                    <w:bottom w:val="none" w:sz="0" w:space="0" w:color="auto"/>
                    <w:right w:val="none" w:sz="0" w:space="0" w:color="auto"/>
                  </w:divBdr>
                  <w:divsChild>
                    <w:div w:id="1703357715">
                      <w:marLeft w:val="0"/>
                      <w:marRight w:val="0"/>
                      <w:marTop w:val="0"/>
                      <w:marBottom w:val="0"/>
                      <w:divBdr>
                        <w:top w:val="none" w:sz="0" w:space="0" w:color="auto"/>
                        <w:left w:val="none" w:sz="0" w:space="0" w:color="auto"/>
                        <w:bottom w:val="none" w:sz="0" w:space="0" w:color="auto"/>
                        <w:right w:val="none" w:sz="0" w:space="0" w:color="auto"/>
                      </w:divBdr>
                      <w:divsChild>
                        <w:div w:id="745302610">
                          <w:marLeft w:val="0"/>
                          <w:marRight w:val="0"/>
                          <w:marTop w:val="0"/>
                          <w:marBottom w:val="0"/>
                          <w:divBdr>
                            <w:top w:val="none" w:sz="0" w:space="0" w:color="auto"/>
                            <w:left w:val="none" w:sz="0" w:space="0" w:color="auto"/>
                            <w:bottom w:val="none" w:sz="0" w:space="0" w:color="auto"/>
                            <w:right w:val="none" w:sz="0" w:space="0" w:color="auto"/>
                          </w:divBdr>
                          <w:divsChild>
                            <w:div w:id="1913466340">
                              <w:marLeft w:val="0"/>
                              <w:marRight w:val="0"/>
                              <w:marTop w:val="0"/>
                              <w:marBottom w:val="0"/>
                              <w:divBdr>
                                <w:top w:val="none" w:sz="0" w:space="0" w:color="auto"/>
                                <w:left w:val="none" w:sz="0" w:space="0" w:color="auto"/>
                                <w:bottom w:val="none" w:sz="0" w:space="0" w:color="auto"/>
                                <w:right w:val="none" w:sz="0" w:space="0" w:color="auto"/>
                              </w:divBdr>
                              <w:divsChild>
                                <w:div w:id="338890222">
                                  <w:marLeft w:val="0"/>
                                  <w:marRight w:val="0"/>
                                  <w:marTop w:val="0"/>
                                  <w:marBottom w:val="0"/>
                                  <w:divBdr>
                                    <w:top w:val="none" w:sz="0" w:space="0" w:color="auto"/>
                                    <w:left w:val="none" w:sz="0" w:space="0" w:color="auto"/>
                                    <w:bottom w:val="none" w:sz="0" w:space="0" w:color="auto"/>
                                    <w:right w:val="none" w:sz="0" w:space="0" w:color="auto"/>
                                  </w:divBdr>
                                  <w:divsChild>
                                    <w:div w:id="1550607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05777">
      <w:bodyDiv w:val="1"/>
      <w:marLeft w:val="0"/>
      <w:marRight w:val="0"/>
      <w:marTop w:val="0"/>
      <w:marBottom w:val="0"/>
      <w:divBdr>
        <w:top w:val="none" w:sz="0" w:space="0" w:color="auto"/>
        <w:left w:val="none" w:sz="0" w:space="0" w:color="auto"/>
        <w:bottom w:val="none" w:sz="0" w:space="0" w:color="auto"/>
        <w:right w:val="none" w:sz="0" w:space="0" w:color="auto"/>
      </w:divBdr>
      <w:divsChild>
        <w:div w:id="1504278622">
          <w:marLeft w:val="0"/>
          <w:marRight w:val="0"/>
          <w:marTop w:val="0"/>
          <w:marBottom w:val="0"/>
          <w:divBdr>
            <w:top w:val="none" w:sz="0" w:space="0" w:color="auto"/>
            <w:left w:val="none" w:sz="0" w:space="0" w:color="auto"/>
            <w:bottom w:val="none" w:sz="0" w:space="0" w:color="auto"/>
            <w:right w:val="none" w:sz="0" w:space="0" w:color="auto"/>
          </w:divBdr>
          <w:divsChild>
            <w:div w:id="630136880">
              <w:marLeft w:val="0"/>
              <w:marRight w:val="0"/>
              <w:marTop w:val="0"/>
              <w:marBottom w:val="0"/>
              <w:divBdr>
                <w:top w:val="none" w:sz="0" w:space="0" w:color="auto"/>
                <w:left w:val="none" w:sz="0" w:space="0" w:color="auto"/>
                <w:bottom w:val="none" w:sz="0" w:space="0" w:color="auto"/>
                <w:right w:val="none" w:sz="0" w:space="0" w:color="auto"/>
              </w:divBdr>
              <w:divsChild>
                <w:div w:id="1354189667">
                  <w:marLeft w:val="0"/>
                  <w:marRight w:val="0"/>
                  <w:marTop w:val="0"/>
                  <w:marBottom w:val="0"/>
                  <w:divBdr>
                    <w:top w:val="none" w:sz="0" w:space="0" w:color="auto"/>
                    <w:left w:val="none" w:sz="0" w:space="0" w:color="auto"/>
                    <w:bottom w:val="none" w:sz="0" w:space="0" w:color="auto"/>
                    <w:right w:val="none" w:sz="0" w:space="0" w:color="auto"/>
                  </w:divBdr>
                  <w:divsChild>
                    <w:div w:id="298726372">
                      <w:marLeft w:val="0"/>
                      <w:marRight w:val="0"/>
                      <w:marTop w:val="0"/>
                      <w:marBottom w:val="0"/>
                      <w:divBdr>
                        <w:top w:val="none" w:sz="0" w:space="0" w:color="auto"/>
                        <w:left w:val="none" w:sz="0" w:space="0" w:color="auto"/>
                        <w:bottom w:val="none" w:sz="0" w:space="0" w:color="auto"/>
                        <w:right w:val="none" w:sz="0" w:space="0" w:color="auto"/>
                      </w:divBdr>
                      <w:divsChild>
                        <w:div w:id="1551457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52903405">
      <w:bodyDiv w:val="1"/>
      <w:marLeft w:val="0"/>
      <w:marRight w:val="0"/>
      <w:marTop w:val="0"/>
      <w:marBottom w:val="0"/>
      <w:divBdr>
        <w:top w:val="none" w:sz="0" w:space="0" w:color="auto"/>
        <w:left w:val="none" w:sz="0" w:space="0" w:color="auto"/>
        <w:bottom w:val="none" w:sz="0" w:space="0" w:color="auto"/>
        <w:right w:val="none" w:sz="0" w:space="0" w:color="auto"/>
      </w:divBdr>
    </w:div>
    <w:div w:id="1784229404">
      <w:bodyDiv w:val="1"/>
      <w:marLeft w:val="0"/>
      <w:marRight w:val="0"/>
      <w:marTop w:val="0"/>
      <w:marBottom w:val="0"/>
      <w:divBdr>
        <w:top w:val="none" w:sz="0" w:space="0" w:color="auto"/>
        <w:left w:val="none" w:sz="0" w:space="0" w:color="auto"/>
        <w:bottom w:val="none" w:sz="0" w:space="0" w:color="auto"/>
        <w:right w:val="none" w:sz="0" w:space="0" w:color="auto"/>
      </w:divBdr>
    </w:div>
    <w:div w:id="1798183258">
      <w:bodyDiv w:val="1"/>
      <w:marLeft w:val="0"/>
      <w:marRight w:val="0"/>
      <w:marTop w:val="0"/>
      <w:marBottom w:val="0"/>
      <w:divBdr>
        <w:top w:val="none" w:sz="0" w:space="0" w:color="auto"/>
        <w:left w:val="none" w:sz="0" w:space="0" w:color="auto"/>
        <w:bottom w:val="none" w:sz="0" w:space="0" w:color="auto"/>
        <w:right w:val="none" w:sz="0" w:space="0" w:color="auto"/>
      </w:divBdr>
      <w:divsChild>
        <w:div w:id="872427499">
          <w:marLeft w:val="0"/>
          <w:marRight w:val="0"/>
          <w:marTop w:val="0"/>
          <w:marBottom w:val="0"/>
          <w:divBdr>
            <w:top w:val="none" w:sz="0" w:space="0" w:color="auto"/>
            <w:left w:val="none" w:sz="0" w:space="0" w:color="auto"/>
            <w:bottom w:val="none" w:sz="0" w:space="0" w:color="auto"/>
            <w:right w:val="none" w:sz="0" w:space="0" w:color="auto"/>
          </w:divBdr>
          <w:divsChild>
            <w:div w:id="1017855031">
              <w:marLeft w:val="0"/>
              <w:marRight w:val="0"/>
              <w:marTop w:val="0"/>
              <w:marBottom w:val="0"/>
              <w:divBdr>
                <w:top w:val="none" w:sz="0" w:space="0" w:color="auto"/>
                <w:left w:val="none" w:sz="0" w:space="0" w:color="auto"/>
                <w:bottom w:val="none" w:sz="0" w:space="0" w:color="auto"/>
                <w:right w:val="none" w:sz="0" w:space="0" w:color="auto"/>
              </w:divBdr>
              <w:divsChild>
                <w:div w:id="2140953745">
                  <w:marLeft w:val="0"/>
                  <w:marRight w:val="0"/>
                  <w:marTop w:val="0"/>
                  <w:marBottom w:val="0"/>
                  <w:divBdr>
                    <w:top w:val="none" w:sz="0" w:space="0" w:color="auto"/>
                    <w:left w:val="none" w:sz="0" w:space="0" w:color="auto"/>
                    <w:bottom w:val="none" w:sz="0" w:space="0" w:color="auto"/>
                    <w:right w:val="none" w:sz="0" w:space="0" w:color="auto"/>
                  </w:divBdr>
                  <w:divsChild>
                    <w:div w:id="589238003">
                      <w:marLeft w:val="0"/>
                      <w:marRight w:val="0"/>
                      <w:marTop w:val="0"/>
                      <w:marBottom w:val="0"/>
                      <w:divBdr>
                        <w:top w:val="none" w:sz="0" w:space="0" w:color="auto"/>
                        <w:left w:val="none" w:sz="0" w:space="0" w:color="auto"/>
                        <w:bottom w:val="none" w:sz="0" w:space="0" w:color="auto"/>
                        <w:right w:val="none" w:sz="0" w:space="0" w:color="auto"/>
                      </w:divBdr>
                      <w:divsChild>
                        <w:div w:id="1549144516">
                          <w:marLeft w:val="0"/>
                          <w:marRight w:val="0"/>
                          <w:marTop w:val="0"/>
                          <w:marBottom w:val="0"/>
                          <w:divBdr>
                            <w:top w:val="none" w:sz="0" w:space="0" w:color="auto"/>
                            <w:left w:val="none" w:sz="0" w:space="0" w:color="auto"/>
                            <w:bottom w:val="none" w:sz="0" w:space="0" w:color="auto"/>
                            <w:right w:val="none" w:sz="0" w:space="0" w:color="auto"/>
                          </w:divBdr>
                          <w:divsChild>
                            <w:div w:id="396125473">
                              <w:marLeft w:val="0"/>
                              <w:marRight w:val="0"/>
                              <w:marTop w:val="0"/>
                              <w:marBottom w:val="0"/>
                              <w:divBdr>
                                <w:top w:val="none" w:sz="0" w:space="0" w:color="auto"/>
                                <w:left w:val="none" w:sz="0" w:space="0" w:color="auto"/>
                                <w:bottom w:val="none" w:sz="0" w:space="0" w:color="auto"/>
                                <w:right w:val="none" w:sz="0" w:space="0" w:color="auto"/>
                              </w:divBdr>
                              <w:divsChild>
                                <w:div w:id="744298074">
                                  <w:marLeft w:val="0"/>
                                  <w:marRight w:val="0"/>
                                  <w:marTop w:val="0"/>
                                  <w:marBottom w:val="0"/>
                                  <w:divBdr>
                                    <w:top w:val="none" w:sz="0" w:space="0" w:color="auto"/>
                                    <w:left w:val="none" w:sz="0" w:space="0" w:color="auto"/>
                                    <w:bottom w:val="none" w:sz="0" w:space="0" w:color="auto"/>
                                    <w:right w:val="none" w:sz="0" w:space="0" w:color="auto"/>
                                  </w:divBdr>
                                  <w:divsChild>
                                    <w:div w:id="335961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267335">
      <w:bodyDiv w:val="1"/>
      <w:marLeft w:val="0"/>
      <w:marRight w:val="0"/>
      <w:marTop w:val="0"/>
      <w:marBottom w:val="0"/>
      <w:divBdr>
        <w:top w:val="none" w:sz="0" w:space="0" w:color="auto"/>
        <w:left w:val="none" w:sz="0" w:space="0" w:color="auto"/>
        <w:bottom w:val="none" w:sz="0" w:space="0" w:color="auto"/>
        <w:right w:val="none" w:sz="0" w:space="0" w:color="auto"/>
      </w:divBdr>
    </w:div>
    <w:div w:id="1845240454">
      <w:bodyDiv w:val="1"/>
      <w:marLeft w:val="0"/>
      <w:marRight w:val="0"/>
      <w:marTop w:val="0"/>
      <w:marBottom w:val="0"/>
      <w:divBdr>
        <w:top w:val="none" w:sz="0" w:space="0" w:color="auto"/>
        <w:left w:val="none" w:sz="0" w:space="0" w:color="auto"/>
        <w:bottom w:val="none" w:sz="0" w:space="0" w:color="auto"/>
        <w:right w:val="none" w:sz="0" w:space="0" w:color="auto"/>
      </w:divBdr>
    </w:div>
    <w:div w:id="1850754261">
      <w:bodyDiv w:val="1"/>
      <w:marLeft w:val="0"/>
      <w:marRight w:val="0"/>
      <w:marTop w:val="0"/>
      <w:marBottom w:val="0"/>
      <w:divBdr>
        <w:top w:val="none" w:sz="0" w:space="0" w:color="auto"/>
        <w:left w:val="none" w:sz="0" w:space="0" w:color="auto"/>
        <w:bottom w:val="none" w:sz="0" w:space="0" w:color="auto"/>
        <w:right w:val="none" w:sz="0" w:space="0" w:color="auto"/>
      </w:divBdr>
    </w:div>
    <w:div w:id="1871796530">
      <w:bodyDiv w:val="1"/>
      <w:marLeft w:val="0"/>
      <w:marRight w:val="0"/>
      <w:marTop w:val="0"/>
      <w:marBottom w:val="0"/>
      <w:divBdr>
        <w:top w:val="none" w:sz="0" w:space="0" w:color="auto"/>
        <w:left w:val="none" w:sz="0" w:space="0" w:color="auto"/>
        <w:bottom w:val="none" w:sz="0" w:space="0" w:color="auto"/>
        <w:right w:val="none" w:sz="0" w:space="0" w:color="auto"/>
      </w:divBdr>
    </w:div>
    <w:div w:id="1873879937">
      <w:bodyDiv w:val="1"/>
      <w:marLeft w:val="0"/>
      <w:marRight w:val="0"/>
      <w:marTop w:val="0"/>
      <w:marBottom w:val="0"/>
      <w:divBdr>
        <w:top w:val="none" w:sz="0" w:space="0" w:color="auto"/>
        <w:left w:val="none" w:sz="0" w:space="0" w:color="auto"/>
        <w:bottom w:val="none" w:sz="0" w:space="0" w:color="auto"/>
        <w:right w:val="none" w:sz="0" w:space="0" w:color="auto"/>
      </w:divBdr>
    </w:div>
    <w:div w:id="1961568433">
      <w:bodyDiv w:val="1"/>
      <w:marLeft w:val="0"/>
      <w:marRight w:val="0"/>
      <w:marTop w:val="0"/>
      <w:marBottom w:val="0"/>
      <w:divBdr>
        <w:top w:val="none" w:sz="0" w:space="0" w:color="auto"/>
        <w:left w:val="none" w:sz="0" w:space="0" w:color="auto"/>
        <w:bottom w:val="none" w:sz="0" w:space="0" w:color="auto"/>
        <w:right w:val="none" w:sz="0" w:space="0" w:color="auto"/>
      </w:divBdr>
    </w:div>
    <w:div w:id="1984264537">
      <w:bodyDiv w:val="1"/>
      <w:marLeft w:val="0"/>
      <w:marRight w:val="0"/>
      <w:marTop w:val="0"/>
      <w:marBottom w:val="0"/>
      <w:divBdr>
        <w:top w:val="none" w:sz="0" w:space="0" w:color="auto"/>
        <w:left w:val="none" w:sz="0" w:space="0" w:color="auto"/>
        <w:bottom w:val="none" w:sz="0" w:space="0" w:color="auto"/>
        <w:right w:val="none" w:sz="0" w:space="0" w:color="auto"/>
      </w:divBdr>
      <w:divsChild>
        <w:div w:id="219945745">
          <w:marLeft w:val="0"/>
          <w:marRight w:val="0"/>
          <w:marTop w:val="0"/>
          <w:marBottom w:val="0"/>
          <w:divBdr>
            <w:top w:val="none" w:sz="0" w:space="0" w:color="auto"/>
            <w:left w:val="none" w:sz="0" w:space="0" w:color="auto"/>
            <w:bottom w:val="none" w:sz="0" w:space="0" w:color="auto"/>
            <w:right w:val="none" w:sz="0" w:space="0" w:color="auto"/>
          </w:divBdr>
        </w:div>
        <w:div w:id="1643387469">
          <w:marLeft w:val="0"/>
          <w:marRight w:val="0"/>
          <w:marTop w:val="0"/>
          <w:marBottom w:val="0"/>
          <w:divBdr>
            <w:top w:val="none" w:sz="0" w:space="0" w:color="auto"/>
            <w:left w:val="none" w:sz="0" w:space="0" w:color="auto"/>
            <w:bottom w:val="none" w:sz="0" w:space="0" w:color="auto"/>
            <w:right w:val="none" w:sz="0" w:space="0" w:color="auto"/>
          </w:divBdr>
        </w:div>
      </w:divsChild>
    </w:div>
    <w:div w:id="2047757154">
      <w:bodyDiv w:val="1"/>
      <w:marLeft w:val="0"/>
      <w:marRight w:val="0"/>
      <w:marTop w:val="0"/>
      <w:marBottom w:val="0"/>
      <w:divBdr>
        <w:top w:val="none" w:sz="0" w:space="0" w:color="auto"/>
        <w:left w:val="none" w:sz="0" w:space="0" w:color="auto"/>
        <w:bottom w:val="none" w:sz="0" w:space="0" w:color="auto"/>
        <w:right w:val="none" w:sz="0" w:space="0" w:color="auto"/>
      </w:divBdr>
    </w:div>
    <w:div w:id="2057388736">
      <w:bodyDiv w:val="1"/>
      <w:marLeft w:val="0"/>
      <w:marRight w:val="0"/>
      <w:marTop w:val="0"/>
      <w:marBottom w:val="0"/>
      <w:divBdr>
        <w:top w:val="none" w:sz="0" w:space="0" w:color="auto"/>
        <w:left w:val="none" w:sz="0" w:space="0" w:color="auto"/>
        <w:bottom w:val="none" w:sz="0" w:space="0" w:color="auto"/>
        <w:right w:val="none" w:sz="0" w:space="0" w:color="auto"/>
      </w:divBdr>
    </w:div>
    <w:div w:id="2093351662">
      <w:bodyDiv w:val="1"/>
      <w:marLeft w:val="0"/>
      <w:marRight w:val="0"/>
      <w:marTop w:val="0"/>
      <w:marBottom w:val="0"/>
      <w:divBdr>
        <w:top w:val="none" w:sz="0" w:space="0" w:color="auto"/>
        <w:left w:val="none" w:sz="0" w:space="0" w:color="auto"/>
        <w:bottom w:val="none" w:sz="0" w:space="0" w:color="auto"/>
        <w:right w:val="none" w:sz="0" w:space="0" w:color="auto"/>
      </w:divBdr>
    </w:div>
    <w:div w:id="2135295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petition-policy.ec.europa.eu/document/download/22197012-2036-4b1e-8b02-0eb8b2d6e666_en?filename=kdar24001enn_competition_FSR_brief_1_2024_100-days-of-FSR-notification-obligation.pdf" TargetMode="External"/><Relationship Id="rId13" Type="http://schemas.openxmlformats.org/officeDocument/2006/relationships/hyperlink" Target="http://data.europa.eu/eli/C/2024/4107/oj" TargetMode="External"/><Relationship Id="rId18" Type="http://schemas.openxmlformats.org/officeDocument/2006/relationships/hyperlink" Target="https://ted.europa.eu/ro/" TargetMode="External"/><Relationship Id="rId3" Type="http://schemas.openxmlformats.org/officeDocument/2006/relationships/hyperlink" Target="https://ec.europa.eu/info/law/better-regulation/have-your-say/initiatives/14760-Foreign-subsidies-review-report/public-consultation_ro" TargetMode="External"/><Relationship Id="rId7" Type="http://schemas.openxmlformats.org/officeDocument/2006/relationships/hyperlink" Target="https://competition-policy.ec.europa.eu/foreign-subsidies-regulation/legislation_en" TargetMode="External"/><Relationship Id="rId12" Type="http://schemas.openxmlformats.org/officeDocument/2006/relationships/hyperlink" Target="https://eur-lex.europa.eu/eli/C/2026/1120/oj" TargetMode="External"/><Relationship Id="rId17" Type="http://schemas.openxmlformats.org/officeDocument/2006/relationships/hyperlink" Target="https://competition-policy.ec.europa.eu/document/download/feaa6917-8fad-4fc4-bd3c-3baac1dc5297_en?filename=foreign_subsidies_impact_assessment_report.pdf" TargetMode="External"/><Relationship Id="rId2" Type="http://schemas.openxmlformats.org/officeDocument/2006/relationships/hyperlink" Target="https://ec.europa.eu/info/funding-tenders/opportunities/portal/screen/opportunities/tender-details/14538" TargetMode="External"/><Relationship Id="rId16" Type="http://schemas.openxmlformats.org/officeDocument/2006/relationships/hyperlink" Target="https://ec.europa.eu/competition/foreign_subsidies/cases/20266/FS_100156_2550.pdf" TargetMode="External"/><Relationship Id="rId1" Type="http://schemas.openxmlformats.org/officeDocument/2006/relationships/hyperlink" Target="http://data.europa.eu/eli/reg/2022/2560/oj" TargetMode="External"/><Relationship Id="rId6" Type="http://schemas.openxmlformats.org/officeDocument/2006/relationships/hyperlink" Target="https://single-market-economy.ec.europa.eu/single-market/public-procurement/foreign-subsidies-regulation/questions-and-answers_en" TargetMode="External"/><Relationship Id="rId11" Type="http://schemas.openxmlformats.org/officeDocument/2006/relationships/hyperlink" Target="https://eur-lex.europa.eu/eli/C/2026/545/oj" TargetMode="External"/><Relationship Id="rId5" Type="http://schemas.openxmlformats.org/officeDocument/2006/relationships/hyperlink" Target="https://competition-policy.ec.europa.eu/foreign-subsidies-regulation/questions-and-answers_en" TargetMode="External"/><Relationship Id="rId15" Type="http://schemas.openxmlformats.org/officeDocument/2006/relationships/hyperlink" Target="https://ec.europa.eu/competition/foreign_subsidies/cases/202540/FS_100011_1044.pdf" TargetMode="External"/><Relationship Id="rId10" Type="http://schemas.openxmlformats.org/officeDocument/2006/relationships/hyperlink" Target="https://op.europa.eu/en/publication-detail/-/publication/0abf578d-df43-11f0-8439-01aa75ed71a1" TargetMode="External"/><Relationship Id="rId4" Type="http://schemas.openxmlformats.org/officeDocument/2006/relationships/hyperlink" Target="https://competition-policy.ec.europa.eu/document/download/b4c8bb13-839b-4bfb-8863-78b188523d22_en?filename=20240726_SWD_clarifications_on_application_of_FSR.pdf" TargetMode="External"/><Relationship Id="rId9" Type="http://schemas.openxmlformats.org/officeDocument/2006/relationships/hyperlink" Target="https://competition-policy.ec.europa.eu/document/download/724e7651-dd40-4354-a2f3-bdc9d7166836_en?filename=kd0126006enn_FSR_brief_2026-1.pdf" TargetMode="External"/><Relationship Id="rId14" Type="http://schemas.openxmlformats.org/officeDocument/2006/relationships/hyperlink" Target="http://data.europa.eu/eli/C/2024/58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3538e03-908c-4e24-aceb-8b5344120437">
      <UserInfo>
        <DisplayName>ROMOLI Stefano</DisplayName>
        <AccountId>175</AccountId>
        <AccountType/>
      </UserInfo>
    </SharedWithUsers>
    <ActualModifiedBy xmlns="cf1f171b-54b5-4e09-afef-dde7471acbe6" xsi:nil="true"/>
    <ActualCreatedBy xmlns="cf1f171b-54b5-4e09-afef-dde7471acbe6" xsi:nil="true"/>
    <ActualModifiedOn xmlns="cf1f171b-54b5-4e09-afef-dde7471acbe6" xsi:nil="true"/>
    <ActualCreatedOn xmlns="cf1f171b-54b5-4e09-afef-dde7471acbe6" xsi:nil="true"/>
    <pdc5aaf555944b699ba22f587dc89ac9 xmlns="cf1f171b-54b5-4e09-afef-dde7471acbe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dc5aaf555944b699ba22f587dc89ac9>
    <TaxCatchAll xmlns="f3538e03-908c-4e24-aceb-8b5344120437"/>
  </documentManagement>
</p:properties>
</file>

<file path=customXml/item3.xml><?xml version="1.0" encoding="utf-8"?>
<Author Role="Creator" AuthorRoleName="Writer" AuthorRoleId="a4fbaff4-b07c-48b4-a21e-e7b9eedf3796">
  <Id>c1494f65-11fa-4fb2-9267-c2cfcae22ece</Id>
  <Names>
    <Latin>
      <FirstName>Iveta</FirstName>
      <LastName>STOYANOVA</LastName>
    </Latin>
    <Greek>
      <FirstName/>
      <LastName/>
    </Greek>
    <Cyrillic>
      <FirstName/>
      <LastName/>
    </Cyrillic>
    <DocumentScript>
      <FirstName>Iveta</FirstName>
      <LastName>STOYANOVA</LastName>
      <FullName>Iveta STOYANOVA</FullName>
    </DocumentScript>
  </Names>
  <Initials>IS</Initials>
  <Gender>f</Gender>
  <Email/>
  <Service>COMP.K.2</Service>
  <Function ADCode="" ShowInSignature="true" ShowInHeader="false" HeaderText=""/>
  <WebAddress/>
  <FunctionalMailbox/>
  <InheritedWebAddress>WebAddress</InheritedWebAddress>
  <OrgaEntity1>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1>
  <OrgaEntity2>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2>
  <OrgaEntity3>
    <Id>c8445f57-9116-4d79-8ad6-f869ff85cc21</Id>
    <LogicalLevel>3</LogicalLevel>
    <Name>COMP.K.2</Name>
    <HeadLine1/>
    <HeadLine2/>
    <PrimaryAddressId>f03b5801-04c9-4931-aa17-c6d6c70bc579</PrimaryAddressId>
    <SecondaryAddressId/>
    <WebAddress/>
    <InheritedWebAddress>WebAddress</InheritedWebAddress>
    <ShowInHeader>true</ShowInHeader>
  </OrgaEntity3>
  <Hierarchy>
    <OrgaEntity>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
    <OrgaEntity>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
    <OrgaEntity>
      <Id>c8445f57-9116-4d79-8ad6-f869ff85cc21</Id>
      <LogicalLevel>3</LogicalLevel>
      <Name>COMP.K.2</Name>
      <HeadLine1>Foreign Subsidies II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+32 229-64073</Phone>
    <Office>MADO 10/010</Office>
  </MainWorkplace>
  <Workplaces>
    <Workplace IsMain="true">
      <AddressId>f03b5801-04c9-4931-aa17-c6d6c70bc579</AddressId>
      <Fax/>
      <Phone>+32 229-64073</Phone>
      <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ct:contentTypeSchema xmlns:ct="http://schemas.microsoft.com/office/2006/metadata/contentType" xmlns:ma="http://schemas.microsoft.com/office/2006/metadata/properties/metaAttributes" ct:_="" ma:_="" ma:contentTypeName="Document" ma:contentTypeID="0x0101004C5D9168D219EF46BD84AD9B1F6859F9" ma:contentTypeVersion="9" ma:contentTypeDescription="Create a new document." ma:contentTypeScope="" ma:versionID="77712b61fc6d2eb670d9fee044a14b0c">
  <xsd:schema xmlns:xsd="http://www.w3.org/2001/XMLSchema" xmlns:xs="http://www.w3.org/2001/XMLSchema" xmlns:p="http://schemas.microsoft.com/office/2006/metadata/properties" xmlns:ns2="cf1f171b-54b5-4e09-afef-dde7471acbe6" xmlns:ns3="f3538e03-908c-4e24-aceb-8b5344120437" targetNamespace="http://schemas.microsoft.com/office/2006/metadata/properties" ma:root="true" ma:fieldsID="1a2b1d21e557ca7bd3642809954894db" ns2:_="" ns3:_="">
    <xsd:import namespace="cf1f171b-54b5-4e09-afef-dde7471acbe6"/>
    <xsd:import namespace="f3538e03-908c-4e24-aceb-8b5344120437"/>
    <xsd:element name="properties">
      <xsd:complexType>
        <xsd:sequence>
          <xsd:element name="documentManagement">
            <xsd:complexType>
              <xsd:all>
                <xsd:element ref="ns2:pdc5aaf555944b699ba22f587dc89ac9" minOccurs="0"/>
                <xsd:element ref="ns3:TaxCatchAll" minOccurs="0"/>
                <xsd:element ref="ns3:SharedWithUsers" minOccurs="0"/>
                <xsd:element ref="ns3:SharedWithDetails" minOccurs="0"/>
                <xsd:element ref="ns2:ActualModifiedBy" minOccurs="0"/>
                <xsd:element ref="ns2:ActualCreatedBy" minOccurs="0"/>
                <xsd:element ref="ns2:ActualModifiedOn" minOccurs="0"/>
                <xsd:element ref="ns2:ActualCre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f171b-54b5-4e09-afef-dde7471acbe6" elementFormDefault="qualified">
    <xsd:import namespace="http://schemas.microsoft.com/office/2006/documentManagement/types"/>
    <xsd:import namespace="http://schemas.microsoft.com/office/infopath/2007/PartnerControls"/>
    <xsd:element name="pdc5aaf555944b699ba22f587dc89ac9" ma:index="9" nillable="true" ma:taxonomy="true" ma:internalName="pdc5aaf555944b699ba22f587dc89ac9" ma:taxonomyFieldName="Language" ma:displayName="Language" ma:fieldId="{9dc5aaf5-5594-4b69-9ba2-2f587dc89ac9}" ma:sspId="89dcaa11-1713-4e9f-97e0-8c27459cd68b" ma:termSetId="c2641157-59b3-4f13-8ab0-85dbdae85c59" ma:anchorId="00000000-0000-0000-0000-000000000000" ma:open="false" ma:isKeyword="false">
      <xsd:complexType>
        <xsd:sequence>
          <xsd:element ref="pc:Terms" minOccurs="0" maxOccurs="1"/>
        </xsd:sequence>
      </xsd:complexType>
    </xsd:element>
    <xsd:element name="ActualModifiedBy" ma:index="13" nillable="true" ma:displayName="ActualModifiedBy" ma:internalName="ActualModifiedBy">
      <xsd:simpleType>
        <xsd:restriction base="dms:Text"/>
      </xsd:simpleType>
    </xsd:element>
    <xsd:element name="ActualCreatedBy" ma:index="14" nillable="true" ma:displayName="ActualCreatedBy" ma:internalName="ActualCreatedBy">
      <xsd:simpleType>
        <xsd:restriction base="dms:Text"/>
      </xsd:simpleType>
    </xsd:element>
    <xsd:element name="ActualModifiedOn" ma:index="15" nillable="true" ma:displayName="ActualModifiedOn" ma:format="DateTime" ma:internalName="ActualModifiedOn">
      <xsd:simpleType>
        <xsd:restriction base="dms:DateTime"/>
      </xsd:simpleType>
    </xsd:element>
    <xsd:element name="ActualCreatedOn" ma:index="16" nillable="true" ma:displayName="ActualCreatedOn" ma:format="DateTime" ma:internalName="ActualCre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538e03-908c-4e24-aceb-8b53441204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ae29ab-a365-46e0-9104-29c4551fa4d2}" ma:internalName="TaxCatchAll" ma:showField="CatchAllData" ma:web="f3538e03-908c-4e24-aceb-8b5344120437">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10.0.47654.0</Version>
    <Date>2025-04-16T10:11:06</Date>
    <Language>EN</Language>
    <Note/>
  </Created>
  <Edited>
    <Version/>
    <Date/>
  </Edited>
  <DocumentModel>
    <Id>6cbda13a-4db2-46c6-876a-ef72275827ef</Id>
    <Name>Report</Name>
  </DocumentModel>
  <CustomTemplate>
    <Id/>
    <Name/>
  </CustomTemplate>
  <DocumentDate>2025-04-16T10:11:06</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933FB-5927-4846-9652-550E98653822}">
  <ds:schemaRefs>
    <ds:schemaRef ds:uri="http://schemas.microsoft.com/sharepoint/v3/contenttype/forms"/>
  </ds:schemaRefs>
</ds:datastoreItem>
</file>

<file path=customXml/itemProps2.xml><?xml version="1.0" encoding="utf-8"?>
<ds:datastoreItem xmlns:ds="http://schemas.openxmlformats.org/officeDocument/2006/customXml" ds:itemID="{02C71C92-EAC2-4A04-8052-EE77CF751C78}">
  <ds:schemaRefs>
    <ds:schemaRef ds:uri="http://schemas.microsoft.com/office/2006/metadata/properties"/>
    <ds:schemaRef ds:uri="http://schemas.microsoft.com/office/infopath/2007/PartnerControls"/>
    <ds:schemaRef ds:uri="f3538e03-908c-4e24-aceb-8b5344120437"/>
    <ds:schemaRef ds:uri="cf1f171b-54b5-4e09-afef-dde7471acbe6"/>
  </ds:schemaRefs>
</ds:datastoreItem>
</file>

<file path=customXml/itemProps3.xml><?xml version="1.0" encoding="utf-8"?>
<ds:datastoreItem xmlns:ds="http://schemas.openxmlformats.org/officeDocument/2006/customXml" ds:itemID="{5C5593B6-6557-4159-A068-6CE0EDD092A3}">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50C4BC26-DE19-422E-9FCC-1521C295F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f171b-54b5-4e09-afef-dde7471acbe6"/>
    <ds:schemaRef ds:uri="f3538e03-908c-4e24-aceb-8b5344120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8DDD963B-BCD6-48FB-BD73-871401EF1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6690</Words>
  <Characters>38133</Characters>
  <Application>Microsoft Office Word</Application>
  <DocSecurity>0</DocSecurity>
  <PresentationFormat>Microsoft Word 14.0</PresentationFormat>
  <Lines>317</Lines>
  <Paragraphs>89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description/>
  <cp:lastModifiedBy>EC CoDe</cp:lastModifiedBy>
  <cp:revision>6</cp:revision>
  <cp:lastPrinted>2026-03-31T13:48:00Z</cp:lastPrinted>
  <dcterms:created xsi:type="dcterms:W3CDTF">2026-07-06T07:04:00Z</dcterms:created>
  <dcterms:modified xsi:type="dcterms:W3CDTF">2026-07-14T06:53:00Z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2025-04-16T08:37:47Z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8c16aa2f-c38c-4ba2-93dd-958c72b954e7</vt:lpwstr>
  </property>
  <property fmtid="{D5CDD505-2E9C-101B-9397-08002B2CF9AE}" pid="8" name="MSIP_Label_6bd9ddd1-4d20-43f6-abfa-fc3c07406f94_ContentBits">
    <vt:lpwstr>0</vt:lpwstr>
  </property>
  <property fmtid="{D5CDD505-2E9C-101B-9397-08002B2CF9AE}" pid="9" name="ContentTypeId">
    <vt:lpwstr>0x0101004C5D9168D219EF46BD84AD9B1F6859F9</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DocStatus">
    <vt:lpwstr>Green</vt:lpwstr>
  </property>
</Properties>
</file>