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47917B21" w:rsidR="00CD6E84" w:rsidRPr="00526778" w:rsidRDefault="000A2FAB" w:rsidP="000A2FAB">
      <w:pPr>
        <w:pStyle w:val="Pagedecouverture"/>
        <w:rPr>
          <w:noProof/>
        </w:rPr>
      </w:pPr>
      <w:bookmarkStart w:id="0" w:name="LW_BM_COVERPAGE"/>
      <w:r>
        <w:rPr>
          <w:noProof/>
        </w:rPr>
        <w:pict w14:anchorId="4C9C16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EBB0756-E2B8-4852-8C68-6F6D2B364DCD" style="width:455.25pt;height:342pt">
            <v:imagedata r:id="rId11" o:title=""/>
          </v:shape>
        </w:pict>
      </w:r>
    </w:p>
    <w:bookmarkEnd w:id="0"/>
    <w:p w14:paraId="0A37501D" w14:textId="77777777" w:rsidR="00CD6E84" w:rsidRPr="00D937A1" w:rsidRDefault="00CD6E84" w:rsidP="00CD6E84">
      <w:pPr>
        <w:rPr>
          <w:rFonts w:ascii="Times New Roman" w:hAnsi="Times New Roman" w:cs="Times New Roman"/>
          <w:noProof/>
        </w:rPr>
        <w:sectPr w:rsidR="00CD6E84" w:rsidRPr="00D937A1" w:rsidSect="000A2FAB">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C8B4F07" w14:textId="6B8BA3A7" w:rsidR="74982C6C" w:rsidRPr="00526778" w:rsidRDefault="74982C6C" w:rsidP="00C27014">
      <w:pPr>
        <w:pStyle w:val="Style1"/>
        <w:rPr>
          <w:noProof/>
        </w:rPr>
      </w:pPr>
      <w:bookmarkStart w:id="1" w:name="_Toc109647466"/>
      <w:bookmarkStart w:id="2" w:name="_GoBack"/>
      <w:bookmarkEnd w:id="2"/>
      <w:r>
        <w:rPr>
          <w:noProof/>
        </w:rPr>
        <w:lastRenderedPageBreak/>
        <w:t>INTRODUCTION</w:t>
      </w:r>
      <w:bookmarkEnd w:id="1"/>
    </w:p>
    <w:p w14:paraId="0FB78278" w14:textId="77777777" w:rsidR="74982C6C" w:rsidRPr="00526778" w:rsidRDefault="74982C6C" w:rsidP="74982C6C">
      <w:pPr>
        <w:pStyle w:val="NormalTimesNewRoman"/>
        <w:rPr>
          <w:noProof/>
        </w:rPr>
      </w:pPr>
    </w:p>
    <w:p w14:paraId="75BD0B43" w14:textId="2C4964AB" w:rsidR="74982C6C" w:rsidRPr="00526778" w:rsidRDefault="00876C47" w:rsidP="00DB5257">
      <w:pPr>
        <w:pStyle w:val="NormalTimesNewRoman"/>
        <w:spacing w:line="276" w:lineRule="auto"/>
        <w:rPr>
          <w:noProof/>
        </w:rPr>
      </w:pPr>
      <w:r>
        <w:rPr>
          <w:noProof/>
        </w:rPr>
        <w:t>La directive (UE) 2018/2001</w:t>
      </w:r>
      <w:r>
        <w:rPr>
          <w:rStyle w:val="FootnoteReference"/>
          <w:noProof/>
          <w:lang w:val="en-GB"/>
        </w:rPr>
        <w:footnoteReference w:id="2"/>
      </w:r>
      <w:r>
        <w:rPr>
          <w:noProof/>
        </w:rPr>
        <w:t xml:space="preserve"> (directive sur les énergies renouvelables) introduit une approche ciblée en matière d’émissions liées aux changements indirects dans l’affectation des sols (CIAS) associés aux biocarburants classiques, bioliquides et combustibles issus de la biomasse. Elle fixe une limite pour les biocarburants, les bioliquides et les combustibles issus de la biomasse produits à partir de cultures destinées à l’alimentation humaine ou animale présentant un risque élevé d’induire des changements indirects dans l’affectation des sols (carburants à risque élevé de CIAS). Cette limite s’applique à la quantité de ces carburants qui peut être comptabilisée aux fins de la réalisation des objectifs en matière d’énergies renouvelables fixés dans la directive sur les énergies renouvelables. La limite doit progressivement être ramenée à zéro d’ici à 2030. Les biocarburants, les bioliquides et les combustibles issus de la biomasse qui sont certifiés comme présentant un faible risque d’induire des changements indirects dans l’affectation des sols («carburants à faible risque de CIAS») sont exemptés de cette limite.</w:t>
      </w:r>
    </w:p>
    <w:p w14:paraId="08574ED5" w14:textId="31A12BA5" w:rsidR="74982C6C" w:rsidRDefault="74982C6C" w:rsidP="67FE5085">
      <w:pPr>
        <w:pStyle w:val="NormalTimesNewRoman"/>
        <w:spacing w:line="276" w:lineRule="auto"/>
        <w:rPr>
          <w:noProof/>
        </w:rPr>
      </w:pPr>
      <w:r>
        <w:rPr>
          <w:noProof/>
        </w:rPr>
        <w:t>Le règlement délégué (UE) 2019/807</w:t>
      </w:r>
      <w:r>
        <w:rPr>
          <w:rStyle w:val="FootnoteReference"/>
          <w:noProof/>
          <w:lang w:val="en-GB"/>
        </w:rPr>
        <w:footnoteReference w:id="3"/>
      </w:r>
      <w:r>
        <w:rPr>
          <w:noProof/>
        </w:rPr>
        <w:t xml:space="preserve"> (le «règlement délégué CIAS») complète la directive sur les énergies renouvelables en établissant à la fois des critères permettant de déterminer si les matières premières destinées à la production de biocarburants, de bioliquides et de combustibles issus de la biomasse présentent un risque élevé de CIAS, et des règles pour la certification des carburants présentant un risque faible de CIAS (voir chapitre III). </w:t>
      </w:r>
    </w:p>
    <w:p w14:paraId="7051CF2D" w14:textId="1A29398B" w:rsidR="00354168" w:rsidRPr="00526778" w:rsidRDefault="00354168" w:rsidP="67FE5085">
      <w:pPr>
        <w:pStyle w:val="NormalTimesNewRoman"/>
        <w:spacing w:line="276" w:lineRule="auto"/>
        <w:rPr>
          <w:noProof/>
        </w:rPr>
      </w:pPr>
      <w:r>
        <w:rPr>
          <w:noProof/>
        </w:rPr>
        <w:t>L’article 3 du règlement délégué CIAS prévoit que, pour déterminer les matières premières présentant un risque élevé de CIAS, deux critères doivent s’appliquer cumulativement (voir l’encadré ci-dessous). Le premier critère est lié à l’expansion annuelle moyenne de la zone de production mondiale des matières premières depuis 2008. Pour qu’une matière première soit qualifiée comme présentant un risque élevé de CIAS, l’expansion annuelle moyenne doit être supérieure à 1 % et concerner plus de 100 000 hectares. Le deuxième critère concerne la part de cette expansion dans les terres présentant un important stock de carbone. Pour qu’une matière première soit qualifiée comme présentant un risque élevé de CIAS, cette part doit être supérieure à 10 %, calculée selon la formule ci-dessous.</w:t>
      </w:r>
    </w:p>
    <w:tbl>
      <w:tblPr>
        <w:tblStyle w:val="TableGrid"/>
        <w:tblW w:w="0" w:type="auto"/>
        <w:tblLook w:val="04A0" w:firstRow="1" w:lastRow="0" w:firstColumn="1" w:lastColumn="0" w:noHBand="0" w:noVBand="1"/>
      </w:tblPr>
      <w:tblGrid>
        <w:gridCol w:w="9016"/>
      </w:tblGrid>
      <w:tr w:rsidR="00C02ABB" w:rsidRPr="00526778" w14:paraId="0B99B491" w14:textId="77777777" w:rsidTr="00C02ABB">
        <w:tc>
          <w:tcPr>
            <w:tcW w:w="9350" w:type="dxa"/>
          </w:tcPr>
          <w:p w14:paraId="01066E90" w14:textId="77777777" w:rsidR="00C02ABB" w:rsidRPr="00526778" w:rsidRDefault="00C02ABB" w:rsidP="00C02ABB">
            <w:pPr>
              <w:jc w:val="both"/>
              <w:rPr>
                <w:rFonts w:ascii="Times New Roman" w:hAnsi="Times New Roman" w:cs="Times New Roman"/>
                <w:noProof/>
              </w:rPr>
            </w:pPr>
            <w:r>
              <w:rPr>
                <w:rFonts w:ascii="Times New Roman" w:hAnsi="Times New Roman"/>
                <w:noProof/>
              </w:rPr>
              <w:t>Afin de déterminer les matières premières qui présentent un risque élevé d’induire des changements indirects dans l’affectation des sols et dont la zone de production gagne nettement sur les terres présentant un important stock de carbone, les critères cumulatifs suivants s’appliquent:</w:t>
            </w:r>
          </w:p>
          <w:p w14:paraId="3EE8D249" w14:textId="77777777" w:rsidR="00C02ABB" w:rsidRPr="00526778" w:rsidRDefault="00C02ABB" w:rsidP="00C02ABB">
            <w:pPr>
              <w:jc w:val="both"/>
              <w:rPr>
                <w:rFonts w:ascii="Times New Roman" w:hAnsi="Times New Roman" w:cs="Times New Roman"/>
                <w:noProof/>
              </w:rPr>
            </w:pPr>
            <w:r>
              <w:rPr>
                <w:rFonts w:ascii="Times New Roman" w:hAnsi="Times New Roman"/>
                <w:noProof/>
              </w:rPr>
              <w:t xml:space="preserve">a) l’expansion annuelle moyenne de la zone de production mondiale des matières premières depuis 2008 est supérieure à 1 % et affecte plus de 100 000 hectares; </w:t>
            </w:r>
          </w:p>
          <w:p w14:paraId="47C1C27C" w14:textId="77777777" w:rsidR="00C02ABB" w:rsidRPr="00526778" w:rsidRDefault="00C02ABB" w:rsidP="00C02ABB">
            <w:pPr>
              <w:jc w:val="both"/>
              <w:rPr>
                <w:rFonts w:ascii="Times New Roman" w:hAnsi="Times New Roman" w:cs="Times New Roman"/>
                <w:noProof/>
              </w:rPr>
            </w:pPr>
            <w:r>
              <w:rPr>
                <w:rFonts w:ascii="Times New Roman" w:hAnsi="Times New Roman"/>
                <w:noProof/>
              </w:rPr>
              <w:t>b) la part de cette expansion sur des terres présentant un important stock de carbone est supérieure à 10 %, conformément à la formule suivante:</w:t>
            </w:r>
          </w:p>
          <w:p w14:paraId="1FC39945" w14:textId="77777777" w:rsidR="00C02ABB" w:rsidRPr="00526778" w:rsidRDefault="00C02ABB" w:rsidP="00C02ABB">
            <w:pPr>
              <w:rPr>
                <w:rFonts w:ascii="Times New Roman" w:hAnsi="Times New Roman" w:cs="Times New Roman"/>
                <w:noProof/>
              </w:rPr>
            </w:pPr>
          </w:p>
          <w:p w14:paraId="1E17DDFF" w14:textId="77777777" w:rsidR="00C02ABB" w:rsidRPr="00526778" w:rsidRDefault="000A2FAB" w:rsidP="00C02ABB">
            <w:pPr>
              <w:rPr>
                <w:rFonts w:ascii="Times New Roman" w:hAnsi="Times New Roman" w:cs="Times New Roman"/>
                <w:noProof/>
              </w:rPr>
            </w:pPr>
            <m:oMathPara>
              <m:oMathParaPr>
                <m:jc m:val="left"/>
              </m:oMathParaPr>
              <m:oMath>
                <m:sSub>
                  <m:sSubPr>
                    <m:ctrlPr>
                      <w:rPr>
                        <w:rFonts w:ascii="Cambria Math" w:hAnsi="Cambria Math" w:cs="Times New Roman"/>
                        <w:i/>
                        <w:noProof/>
                      </w:rPr>
                    </m:ctrlPr>
                  </m:sSubPr>
                  <m:e>
                    <m:r>
                      <w:rPr>
                        <w:rFonts w:ascii="Cambria Math" w:hAnsi="Cambria Math" w:cs="Times New Roman"/>
                        <w:noProof/>
                      </w:rPr>
                      <m:t>x</m:t>
                    </m:r>
                  </m:e>
                  <m:sub>
                    <m:r>
                      <w:rPr>
                        <w:rFonts w:ascii="Cambria Math" w:hAnsi="Cambria Math" w:cs="Times New Roman"/>
                        <w:noProof/>
                      </w:rPr>
                      <m:t>h</m:t>
                    </m:r>
                    <m:r>
                      <w:rPr>
                        <w:rFonts w:ascii="Cambria Math" w:hAnsi="Cambria Math" w:cs="Times New Roman"/>
                        <w:noProof/>
                      </w:rPr>
                      <m:t>cs</m:t>
                    </m:r>
                  </m:sub>
                </m:sSub>
                <m:r>
                  <w:rPr>
                    <w:rFonts w:ascii="Cambria Math" w:hAnsi="Cambria Math" w:cs="Times New Roman"/>
                    <w:noProof/>
                  </w:rPr>
                  <m:t xml:space="preserve">= </m:t>
                </m:r>
                <m:f>
                  <m:fPr>
                    <m:ctrlPr>
                      <w:rPr>
                        <w:rFonts w:ascii="Cambria Math" w:hAnsi="Cambria Math" w:cs="Times New Roman"/>
                        <w:i/>
                        <w:noProof/>
                      </w:rPr>
                    </m:ctrlPr>
                  </m:fPr>
                  <m:num>
                    <m:sSub>
                      <m:sSubPr>
                        <m:ctrlPr>
                          <w:rPr>
                            <w:rFonts w:ascii="Cambria Math" w:hAnsi="Cambria Math" w:cs="Times New Roman"/>
                            <w:i/>
                            <w:noProof/>
                          </w:rPr>
                        </m:ctrlPr>
                      </m:sSubPr>
                      <m:e>
                        <m:r>
                          <w:rPr>
                            <w:rFonts w:ascii="Cambria Math" w:hAnsi="Cambria Math" w:cs="Times New Roman"/>
                            <w:noProof/>
                          </w:rPr>
                          <m:t>x</m:t>
                        </m:r>
                      </m:e>
                      <m:sub>
                        <m:r>
                          <w:rPr>
                            <w:rFonts w:ascii="Cambria Math" w:hAnsi="Cambria Math" w:cs="Times New Roman"/>
                            <w:noProof/>
                          </w:rPr>
                          <m:t>f</m:t>
                        </m:r>
                      </m:sub>
                    </m:sSub>
                    <m:r>
                      <w:rPr>
                        <w:rFonts w:ascii="Cambria Math" w:hAnsi="Cambria Math" w:cs="Times New Roman"/>
                        <w:noProof/>
                      </w:rPr>
                      <m:t xml:space="preserve">+2,6 </m:t>
                    </m:r>
                    <m:sSub>
                      <m:sSubPr>
                        <m:ctrlPr>
                          <w:rPr>
                            <w:rFonts w:ascii="Cambria Math" w:hAnsi="Cambria Math" w:cs="Times New Roman"/>
                            <w:i/>
                            <w:noProof/>
                          </w:rPr>
                        </m:ctrlPr>
                      </m:sSubPr>
                      <m:e>
                        <m:r>
                          <w:rPr>
                            <w:rFonts w:ascii="Cambria Math" w:hAnsi="Cambria Math" w:cs="Times New Roman"/>
                            <w:noProof/>
                          </w:rPr>
                          <m:t>x</m:t>
                        </m:r>
                      </m:e>
                      <m:sub>
                        <m:r>
                          <w:rPr>
                            <w:rFonts w:ascii="Cambria Math" w:hAnsi="Cambria Math" w:cs="Times New Roman"/>
                            <w:noProof/>
                          </w:rPr>
                          <m:t>p</m:t>
                        </m:r>
                      </m:sub>
                    </m:sSub>
                  </m:num>
                  <m:den>
                    <m:r>
                      <w:rPr>
                        <w:rFonts w:ascii="Cambria Math" w:hAnsi="Cambria Math" w:cs="Times New Roman"/>
                        <w:noProof/>
                      </w:rPr>
                      <m:t>PF</m:t>
                    </m:r>
                  </m:den>
                </m:f>
              </m:oMath>
            </m:oMathPara>
          </w:p>
          <w:p w14:paraId="4F954D74" w14:textId="77777777" w:rsidR="00C02ABB" w:rsidRPr="00526778" w:rsidRDefault="00C02ABB" w:rsidP="00C02ABB">
            <w:pPr>
              <w:rPr>
                <w:rFonts w:ascii="Times New Roman" w:hAnsi="Times New Roman" w:cs="Times New Roman"/>
                <w:noProof/>
              </w:rPr>
            </w:pPr>
            <w:r>
              <w:rPr>
                <w:rFonts w:ascii="Times New Roman" w:hAnsi="Times New Roman"/>
                <w:noProof/>
              </w:rPr>
              <w:t>sachant que:</w:t>
            </w:r>
          </w:p>
          <w:p w14:paraId="6177643B" w14:textId="77777777" w:rsidR="00C02ABB" w:rsidRPr="00526778" w:rsidRDefault="00C02ABB" w:rsidP="00C02ABB">
            <w:pPr>
              <w:rPr>
                <w:rFonts w:ascii="Times New Roman" w:hAnsi="Times New Roman" w:cs="Times New Roman"/>
                <w:noProof/>
              </w:rPr>
            </w:pPr>
            <w:r>
              <w:rPr>
                <w:rFonts w:ascii="Times New Roman" w:hAnsi="Times New Roman"/>
                <w:i/>
                <w:noProof/>
              </w:rPr>
              <w:t>x</w:t>
            </w:r>
            <w:r>
              <w:rPr>
                <w:rFonts w:ascii="Times New Roman" w:hAnsi="Times New Roman"/>
                <w:i/>
                <w:noProof/>
                <w:vertAlign w:val="subscript"/>
              </w:rPr>
              <w:t>hcs</w:t>
            </w:r>
            <w:r>
              <w:rPr>
                <w:rFonts w:ascii="Times New Roman" w:hAnsi="Times New Roman"/>
                <w:noProof/>
              </w:rPr>
              <w:t xml:space="preserve"> = part de l’expansion sur des terres présentant un important stock de carbone;</w:t>
            </w:r>
          </w:p>
          <w:p w14:paraId="24CA688D" w14:textId="77777777" w:rsidR="00C02ABB" w:rsidRPr="00526778" w:rsidRDefault="00C02ABB" w:rsidP="00C02ABB">
            <w:pPr>
              <w:rPr>
                <w:rFonts w:ascii="Times New Roman" w:hAnsi="Times New Roman" w:cs="Times New Roman"/>
                <w:noProof/>
              </w:rPr>
            </w:pPr>
            <w:r>
              <w:rPr>
                <w:rFonts w:ascii="Times New Roman" w:hAnsi="Times New Roman"/>
                <w:i/>
                <w:noProof/>
              </w:rPr>
              <w:t>x</w:t>
            </w:r>
            <w:r>
              <w:rPr>
                <w:rFonts w:ascii="Times New Roman" w:hAnsi="Times New Roman"/>
                <w:i/>
                <w:noProof/>
                <w:vertAlign w:val="subscript"/>
              </w:rPr>
              <w:t>f</w:t>
            </w:r>
            <w:r>
              <w:rPr>
                <w:rFonts w:ascii="Times New Roman" w:hAnsi="Times New Roman"/>
                <w:noProof/>
              </w:rPr>
              <w:t xml:space="preserve"> = part de l’expansion sur des terres visées à l’article 29, paragraphe 4, points b) et c), de la directive (UE) 2018/2001;</w:t>
            </w:r>
          </w:p>
          <w:p w14:paraId="4A8A87F4" w14:textId="7B4E14F1" w:rsidR="00C02ABB" w:rsidRPr="00526778" w:rsidRDefault="00C02ABB" w:rsidP="00C02ABB">
            <w:pPr>
              <w:rPr>
                <w:rFonts w:ascii="Times New Roman" w:hAnsi="Times New Roman" w:cs="Times New Roman"/>
                <w:noProof/>
              </w:rPr>
            </w:pPr>
            <w:r>
              <w:rPr>
                <w:rFonts w:ascii="Times New Roman" w:hAnsi="Times New Roman"/>
                <w:i/>
                <w:noProof/>
              </w:rPr>
              <w:t>x</w:t>
            </w:r>
            <w:r>
              <w:rPr>
                <w:rFonts w:ascii="Times New Roman" w:hAnsi="Times New Roman"/>
                <w:i/>
                <w:noProof/>
                <w:vertAlign w:val="subscript"/>
              </w:rPr>
              <w:t>p</w:t>
            </w:r>
            <w:r>
              <w:rPr>
                <w:rFonts w:ascii="Times New Roman" w:hAnsi="Times New Roman"/>
                <w:noProof/>
              </w:rPr>
              <w:t xml:space="preserve"> = part de l’expansion sur des terres visées à l’article 29, paragraphe 4, point a), de la directive (UE) 2018/2001 y compris les tourbières;</w:t>
            </w:r>
          </w:p>
          <w:p w14:paraId="6F6DB723" w14:textId="77777777" w:rsidR="0061203C" w:rsidRDefault="00C02ABB" w:rsidP="00C02ABB">
            <w:pPr>
              <w:rPr>
                <w:rFonts w:ascii="Times New Roman" w:hAnsi="Times New Roman" w:cs="Times New Roman"/>
                <w:noProof/>
              </w:rPr>
            </w:pPr>
            <w:r>
              <w:rPr>
                <w:rFonts w:ascii="Times New Roman" w:hAnsi="Times New Roman"/>
                <w:b/>
                <w:i/>
                <w:noProof/>
              </w:rPr>
              <w:t>PF</w:t>
            </w:r>
            <w:r>
              <w:rPr>
                <w:rFonts w:ascii="Times New Roman" w:hAnsi="Times New Roman"/>
                <w:noProof/>
              </w:rPr>
              <w:t xml:space="preserve"> = facteur de productivité. </w:t>
            </w:r>
          </w:p>
          <w:p w14:paraId="0E160B6A" w14:textId="16506F41" w:rsidR="00C02ABB" w:rsidRPr="00526778" w:rsidRDefault="00C02ABB" w:rsidP="00C02ABB">
            <w:pPr>
              <w:rPr>
                <w:rFonts w:ascii="Times New Roman" w:hAnsi="Times New Roman" w:cs="Times New Roman"/>
                <w:noProof/>
              </w:rPr>
            </w:pPr>
            <w:r>
              <w:rPr>
                <w:rFonts w:ascii="Times New Roman" w:hAnsi="Times New Roman"/>
                <w:noProof/>
              </w:rPr>
              <w:t>PF est égal à 1,7 pour le maïs, 2,5 pour l’huile de palme, 3,2 pour la betterave sucrière, 2,2 pour la canne à sucre et 1 pour toutes les autres cultures.</w:t>
            </w:r>
          </w:p>
          <w:p w14:paraId="0562CB0E" w14:textId="1FD15E07" w:rsidR="00C02ABB" w:rsidRPr="00526778" w:rsidRDefault="00FD7137" w:rsidP="00ED004A">
            <w:pPr>
              <w:jc w:val="both"/>
              <w:rPr>
                <w:noProof/>
              </w:rPr>
            </w:pPr>
            <w:r>
              <w:rPr>
                <w:rFonts w:ascii="Times New Roman" w:hAnsi="Times New Roman"/>
                <w:noProof/>
              </w:rPr>
              <w:t>L’application des critères établis aux points a) et b) ci-dessus est fondée sur les informations figurant dans l’annexe, telle que révisée conformément à l’article 7.</w:t>
            </w:r>
          </w:p>
        </w:tc>
      </w:tr>
    </w:tbl>
    <w:p w14:paraId="37413708" w14:textId="5FF4A5C7" w:rsidR="74982C6C" w:rsidRPr="00526778" w:rsidRDefault="67FE5085" w:rsidP="72E8964A">
      <w:pPr>
        <w:pStyle w:val="NormalTimesNewRoman"/>
        <w:spacing w:line="276" w:lineRule="auto"/>
        <w:rPr>
          <w:i/>
          <w:iCs/>
          <w:noProof/>
          <w:sz w:val="20"/>
          <w:szCs w:val="20"/>
        </w:rPr>
      </w:pPr>
      <w:r>
        <w:rPr>
          <w:i/>
          <w:noProof/>
          <w:sz w:val="20"/>
        </w:rPr>
        <w:t>Article 3</w:t>
      </w:r>
      <w:r>
        <w:rPr>
          <w:noProof/>
          <w:sz w:val="20"/>
        </w:rPr>
        <w:t xml:space="preserve"> </w:t>
      </w:r>
      <w:r>
        <w:rPr>
          <w:i/>
          <w:noProof/>
          <w:sz w:val="20"/>
        </w:rPr>
        <w:t>du règlement délégué CIAS, qui établit les critères servant à déterminer les matières premières présentant un risque élevé d’induire des changements indirects dans l’affectation des sols.</w:t>
      </w:r>
    </w:p>
    <w:p w14:paraId="1FEDD15F" w14:textId="6D0F985C" w:rsidR="005D5178" w:rsidRPr="00526778" w:rsidRDefault="00E44E1E" w:rsidP="005D5178">
      <w:pPr>
        <w:pStyle w:val="NormalTimesNewRoman"/>
        <w:rPr>
          <w:noProof/>
        </w:rPr>
      </w:pPr>
      <w:r>
        <w:rPr>
          <w:noProof/>
        </w:rPr>
        <w:t>Le règlement délégué CIAS était accompagné d’un rapport de la Commission sur l’état de l’expansion, à l’échelle mondiale, de la production de certaines cultures destinées à l’alimentation humaine et animale (ci-après le «rapport CIAS 2019 de la Commission»)</w:t>
      </w:r>
      <w:r>
        <w:rPr>
          <w:rStyle w:val="FootnoteReference"/>
          <w:noProof/>
          <w:lang w:val="en-GB"/>
        </w:rPr>
        <w:footnoteReference w:id="4"/>
      </w:r>
      <w:r>
        <w:rPr>
          <w:noProof/>
        </w:rPr>
        <w:t>. Conformément à l’article 7 du règlement délégué CIAS, la Commission est tenue de réexaminer ce rapport, ce qui est l’objectif du présent rapport. L’article 26, paragraphe 2, cinquième alinéa, de la directive sur les énergies renouvelables impose en outre à la Commission de réexaminer les critères énoncés dans le règlement délégué CIAS et d’inclure une trajectoire pour la diminution progressive de la contribution des carburants présentant un risque élevé de CIAS à l’objectif global de l’Union et à la part minimale de 29 % d’énergies renouvelables ou à l’objectif de réduction de 14,5 % de l’intensité d’émission de gaz à effet de serre dans le secteur des transports, comme indiqué à l’article 25, paragraphe 1, premier alinéa, point a), de la directive sur les énergies renouvelables.</w:t>
      </w:r>
    </w:p>
    <w:p w14:paraId="34CE0A41" w14:textId="77777777" w:rsidR="005C0ABA" w:rsidRPr="00D937A1" w:rsidRDefault="005C0ABA" w:rsidP="005D5178">
      <w:pPr>
        <w:pStyle w:val="NormalTimesNewRoman"/>
        <w:spacing w:line="276" w:lineRule="auto"/>
        <w:rPr>
          <w:noProof/>
        </w:rPr>
      </w:pPr>
    </w:p>
    <w:p w14:paraId="4B07DC3F" w14:textId="77777777" w:rsidR="74982C6C" w:rsidRPr="00D937A1" w:rsidRDefault="67FE5085" w:rsidP="00C27014">
      <w:pPr>
        <w:pStyle w:val="Style1"/>
        <w:rPr>
          <w:rFonts w:eastAsiaTheme="minorEastAsia"/>
          <w:noProof/>
        </w:rPr>
      </w:pPr>
      <w:bookmarkStart w:id="3" w:name="_Toc109647467"/>
      <w:r>
        <w:rPr>
          <w:noProof/>
        </w:rPr>
        <w:t>MISE À JOUR ET ÉVALUATION DES DONNÉES SCIENTIFIQUES DISPONIBLES</w:t>
      </w:r>
      <w:bookmarkEnd w:id="3"/>
      <w:r>
        <w:rPr>
          <w:noProof/>
        </w:rPr>
        <w:t xml:space="preserve"> </w:t>
      </w:r>
    </w:p>
    <w:p w14:paraId="62EBF3C5" w14:textId="77777777" w:rsidR="74982C6C" w:rsidRPr="0045620A" w:rsidRDefault="74982C6C" w:rsidP="005D5178">
      <w:pPr>
        <w:rPr>
          <w:rFonts w:ascii="Times New Roman" w:hAnsi="Times New Roman" w:cs="Times New Roman"/>
          <w:noProof/>
          <w:lang w:val="fr-BE"/>
        </w:rPr>
      </w:pPr>
    </w:p>
    <w:p w14:paraId="7306AC22" w14:textId="385CAE1F" w:rsidR="007F2E51" w:rsidRPr="00526778" w:rsidRDefault="7C92C639" w:rsidP="00195800">
      <w:pPr>
        <w:pStyle w:val="NormalTimesNewRoman"/>
        <w:rPr>
          <w:noProof/>
        </w:rPr>
      </w:pPr>
      <w:r>
        <w:rPr>
          <w:noProof/>
        </w:rPr>
        <w:t>À l’appui du réexamen du rapport CIAS 2019 de la Commission, qui était fondé sur une évaluation effectuée par le Centre commun de recherche (JRC) de la Commission, une étude a été menée dans le but de mettre à jour les données sur l’expansion des matières premières, compte tenu de nouvelles données scientifiques. L’étude a été élaborée en deux phases et réalisée par un consortium dirigé par Guidehouse. Une analyse documentaire a été réalisée et les statistiques sur l’expansion mondiale des matières premières ont été mises à jour</w:t>
      </w:r>
      <w:r>
        <w:rPr>
          <w:rStyle w:val="FootnoteReference"/>
          <w:noProof/>
        </w:rPr>
        <w:footnoteReference w:id="5"/>
      </w:r>
      <w:r>
        <w:rPr>
          <w:noProof/>
        </w:rPr>
        <w:t xml:space="preserve">. L’examen de la littérature a confirmé l’évaluation de la Commission de 2019 selon laquelle la plupart des études se concentrent sur des régions et des cultures spécifiques plutôt que de fournir des résultats plus globaux. La littérature recensée couvre les régions d’Amérique latine, d’Asie du Sud-Est (principalement l’Indonésie et la Malaisie) et d’Afrique de l’Ouest, dont on sait qu’elles présentent un risque élevé de déforestation. Les principaux résultats de cet exercice sont résumés ci-dessous par matière première. </w:t>
      </w:r>
    </w:p>
    <w:p w14:paraId="4AB34B10" w14:textId="0417A8BC" w:rsidR="007B31D2" w:rsidRPr="00526778" w:rsidRDefault="00B6594E" w:rsidP="00195800">
      <w:pPr>
        <w:pStyle w:val="NormalTimesNewRoman"/>
        <w:rPr>
          <w:noProof/>
        </w:rPr>
      </w:pPr>
      <w:r>
        <w:rPr>
          <w:noProof/>
        </w:rPr>
        <w:t xml:space="preserve">En ce qui concerne le </w:t>
      </w:r>
      <w:r>
        <w:rPr>
          <w:b/>
          <w:noProof/>
        </w:rPr>
        <w:t>soja</w:t>
      </w:r>
      <w:r>
        <w:rPr>
          <w:noProof/>
        </w:rPr>
        <w:t>, la littérature scientifique se concentre principalement sur les pays d’Amérique du Sud. De nouvelles études évaluent le lien entre l’expansion du soja dans les pâturages et l’expansion consécutive des pâturages dans des terres présentant un important stock de carbone, ainsi que l’incidence de nouvelles politiques, telles que le moratoire sur le soja et le nouveau code forestier brésilien au Brésil. Une étude</w:t>
      </w:r>
      <w:r>
        <w:rPr>
          <w:rStyle w:val="FootnoteReference"/>
          <w:noProof/>
        </w:rPr>
        <w:footnoteReference w:id="6"/>
      </w:r>
      <w:r>
        <w:rPr>
          <w:noProof/>
        </w:rPr>
        <w:t xml:space="preserve"> a montré que les initiatives politiques ont permis de réduire les taux de déforestation, mais qu’elles ont orienté la production de soja vers d’anciennes zones converties, telles que les pâturages. Une autre étude</w:t>
      </w:r>
      <w:r>
        <w:rPr>
          <w:rStyle w:val="FootnoteReference"/>
          <w:noProof/>
        </w:rPr>
        <w:footnoteReference w:id="7"/>
      </w:r>
      <w:r>
        <w:rPr>
          <w:noProof/>
        </w:rPr>
        <w:t xml:space="preserve"> a également analysé le lien entre l’expansion du soja et celle des pâturages, concluant que l’expansion du soja a généralement lieu sur les pâturages, ce qui, à son tour, stimule l’expansion des pâturages et, partant, la conversion des terres présentant un important stock de carbone. Entre 2006 et 2017, les zones de production de soja du Mato Grosso sont passées de 5,8 à 9,3 Mha, soit une augmentation de 59,5 %. En outre, une autre étude</w:t>
      </w:r>
      <w:r>
        <w:rPr>
          <w:rStyle w:val="FootnoteReference"/>
          <w:noProof/>
          <w:lang w:val="en-GB"/>
        </w:rPr>
        <w:footnoteReference w:id="8"/>
      </w:r>
      <w:r>
        <w:rPr>
          <w:noProof/>
        </w:rPr>
        <w:t xml:space="preserve"> a révélé qu’entre 2000 et 2019, l’expansion annuelle du soja en Amérique du Sud est passée de 26,4 à 55,1 Mha, avec une croissance significative le long des «fronts de déforestation», provoquant indirectement la déforestation par le déplacement des pâturages. La production de soja en Amazonie brésilienne a connu l’expansion la plus rapide, passant de 0,4 Mha à 4,6 Mha au cours de la période. Une autre étude</w:t>
      </w:r>
      <w:r>
        <w:rPr>
          <w:rStyle w:val="FootnoteReference"/>
          <w:noProof/>
          <w:lang w:val="en-GB"/>
        </w:rPr>
        <w:footnoteReference w:id="9"/>
      </w:r>
      <w:r>
        <w:rPr>
          <w:noProof/>
        </w:rPr>
        <w:t xml:space="preserve"> a estimé qu’en moyenne, 19 % de l’expansion de la production de soja comporte un risque élevé d’induire des CIAS. </w:t>
      </w:r>
      <w:bookmarkStart w:id="4" w:name="_Hlk115690094"/>
    </w:p>
    <w:bookmarkEnd w:id="4"/>
    <w:p w14:paraId="419B1F60" w14:textId="06CD361D" w:rsidR="00C27014" w:rsidRPr="00526778" w:rsidRDefault="003467CE" w:rsidP="00195800">
      <w:pPr>
        <w:pStyle w:val="NormalTimesNewRoman"/>
        <w:rPr>
          <w:noProof/>
        </w:rPr>
      </w:pPr>
      <w:r>
        <w:rPr>
          <w:noProof/>
        </w:rPr>
        <w:t>En ce qui concerne l’</w:t>
      </w:r>
      <w:r>
        <w:rPr>
          <w:b/>
          <w:noProof/>
        </w:rPr>
        <w:t>huile de palme</w:t>
      </w:r>
      <w:r>
        <w:rPr>
          <w:noProof/>
        </w:rPr>
        <w:t>, des preuves scientifiques ont conduit à conclure qu’elle continuait de se développer, dans les forêts et dans les tourbières, en Malaisie, en Indonésie et en Thaïlande, et qu’elle émergeait dans des régions en croissance au Brésil, au Pérou et en Afrique. Des études montrent la dynamique complexe de la culture de l’huile de palme, révélant que si des mesures telles que le moratoire forestier indonésien et les programmes de production durable ont tenté de freiner la déforestation, d’importants changements environnementaux persistent. Il s’agit notamment de taux élevés de conversion  de forêts et de tourbières en plantations, avec des incidences variables</w:t>
      </w:r>
      <w:r>
        <w:rPr>
          <w:rStyle w:val="FootnoteReference"/>
          <w:noProof/>
          <w:lang w:val="en-GB"/>
        </w:rPr>
        <w:footnoteReference w:id="10"/>
      </w:r>
      <w:r>
        <w:rPr>
          <w:noProof/>
        </w:rPr>
        <w:t xml:space="preserve"> selon qu'il s'agit d'agroindustrie ou de petites exploitations. En Asie du Sud-Est (Indonésie, Malaisie, Thaïlande), des études</w:t>
      </w:r>
      <w:r>
        <w:rPr>
          <w:rStyle w:val="FootnoteReference"/>
          <w:noProof/>
          <w:lang w:val="en-GB"/>
        </w:rPr>
        <w:footnoteReference w:id="11"/>
      </w:r>
      <w:r>
        <w:rPr>
          <w:noProof/>
        </w:rPr>
        <w:t xml:space="preserve"> ont montré que l’expansion de l’huile de palme était importante, les plantations s’étendant sur les tourbières et les forêts naturelles. En Amérique du Sud, la culture de l’huile de palme au Brésil a principalement eu lieu sur des pâturages</w:t>
      </w:r>
      <w:r>
        <w:rPr>
          <w:rStyle w:val="FootnoteReference"/>
          <w:noProof/>
          <w:lang w:val="en-GB"/>
        </w:rPr>
        <w:footnoteReference w:id="12"/>
      </w:r>
      <w:r>
        <w:rPr>
          <w:noProof/>
        </w:rPr>
        <w:t>, tandis qu’au Pérou, les plantations industrielles se sont largement étendues aux forêts anciennes. Une étude menée au Pérou</w:t>
      </w:r>
      <w:r>
        <w:rPr>
          <w:rStyle w:val="FootnoteReference"/>
          <w:noProof/>
          <w:lang w:val="en-GB"/>
        </w:rPr>
        <w:footnoteReference w:id="13"/>
      </w:r>
      <w:r>
        <w:rPr>
          <w:noProof/>
        </w:rPr>
        <w:t xml:space="preserve"> a révélé que 26 % de l’expansion des petites plantations d’huile de palme se produisait dans des forêts anciennes, tandis que 70 % de l’expansion induite par des plantations industrielles avait lieu dans des forêts anciennes. En Afrique, la production d’huile de palme a considérablement augmenté, passant de 2 Mha dans les années 1980 à 5 Mha en 2018, principalement sous l’effet de l’expansion au Nigeria et en Côte d’Ivoire</w:t>
      </w:r>
      <w:r>
        <w:rPr>
          <w:rStyle w:val="FootnoteReference"/>
          <w:noProof/>
          <w:lang w:val="en-GB"/>
        </w:rPr>
        <w:footnoteReference w:id="14"/>
      </w:r>
      <w:r>
        <w:rPr>
          <w:noProof/>
        </w:rPr>
        <w:t xml:space="preserve">. </w:t>
      </w:r>
    </w:p>
    <w:p w14:paraId="720C9E21" w14:textId="1AB0E8D3" w:rsidR="00367727" w:rsidRPr="00526778" w:rsidRDefault="0080046C" w:rsidP="00195800">
      <w:pPr>
        <w:pStyle w:val="NormalTimesNewRoman"/>
        <w:rPr>
          <w:noProof/>
        </w:rPr>
      </w:pPr>
      <w:r>
        <w:rPr>
          <w:noProof/>
        </w:rPr>
        <w:t xml:space="preserve">En ce qui concerne la </w:t>
      </w:r>
      <w:r>
        <w:rPr>
          <w:b/>
          <w:noProof/>
        </w:rPr>
        <w:t>canne à sucre et le maïs</w:t>
      </w:r>
      <w:r>
        <w:rPr>
          <w:noProof/>
        </w:rPr>
        <w:t>, quelques études supplémentaires ont été recensées par rapport au rapport CIAS 2019 de la Commission. Pour les deux matières premières, les conclusions sont confirmées: une expansion a été constatée sur les pâturages ou les terres agricoles. En ce qui concerne la canne à sucre, des études</w:t>
      </w:r>
      <w:r>
        <w:rPr>
          <w:rStyle w:val="FootnoteReference"/>
          <w:noProof/>
          <w:lang w:val="en-GB"/>
        </w:rPr>
        <w:footnoteReference w:id="15"/>
      </w:r>
      <w:r>
        <w:rPr>
          <w:noProof/>
        </w:rPr>
        <w:t xml:space="preserve"> ont montré que, si l’expansion de la canne à sucre dans les forêts n’était pas importante, elle augmente, principalement au Brésil et principalement sur les pâturages. </w:t>
      </w:r>
    </w:p>
    <w:p w14:paraId="6D98A12B" w14:textId="07F443BD" w:rsidR="007F2E51" w:rsidRDefault="00367727" w:rsidP="007F2E51">
      <w:pPr>
        <w:pStyle w:val="NormalTimesNewRoman"/>
        <w:rPr>
          <w:b/>
          <w:bCs/>
          <w:noProof/>
        </w:rPr>
      </w:pPr>
      <w:r>
        <w:rPr>
          <w:noProof/>
        </w:rPr>
        <w:t xml:space="preserve">Pour les </w:t>
      </w:r>
      <w:r>
        <w:rPr>
          <w:b/>
          <w:noProof/>
        </w:rPr>
        <w:t>autres cultures</w:t>
      </w:r>
      <w:r>
        <w:rPr>
          <w:noProof/>
        </w:rPr>
        <w:t>, aucune étude supplémentaire n’a été trouvée.</w:t>
      </w:r>
      <w:r>
        <w:rPr>
          <w:b/>
          <w:noProof/>
        </w:rPr>
        <w:t xml:space="preserve"> </w:t>
      </w:r>
    </w:p>
    <w:p w14:paraId="34FD152C" w14:textId="77777777" w:rsidR="00922ED6" w:rsidRPr="0045620A" w:rsidRDefault="00922ED6" w:rsidP="007F2E51">
      <w:pPr>
        <w:pStyle w:val="NormalTimesNewRoman"/>
        <w:rPr>
          <w:noProof/>
          <w:lang w:val="fr-BE"/>
        </w:rPr>
      </w:pPr>
    </w:p>
    <w:p w14:paraId="21D6F452" w14:textId="455C37EE" w:rsidR="00922ED6" w:rsidRDefault="00922ED6" w:rsidP="00922ED6">
      <w:pPr>
        <w:pStyle w:val="Style1"/>
        <w:rPr>
          <w:noProof/>
        </w:rPr>
      </w:pPr>
      <w:bookmarkStart w:id="5" w:name="_Toc109647468"/>
      <w:r>
        <w:rPr>
          <w:noProof/>
        </w:rPr>
        <w:t>MISE À JOUR SUR L’EXPANSION MONDIALE DES MATIÈRES PREMIÈRE AGRICOLES</w:t>
      </w:r>
      <w:bookmarkEnd w:id="5"/>
      <w:r>
        <w:rPr>
          <w:noProof/>
        </w:rPr>
        <w:t xml:space="preserve"> </w:t>
      </w:r>
    </w:p>
    <w:p w14:paraId="31CB5E34" w14:textId="03CCBA1B" w:rsidR="00922ED6" w:rsidRPr="0005361D" w:rsidRDefault="00922ED6" w:rsidP="00A32704">
      <w:pPr>
        <w:pStyle w:val="Style1"/>
        <w:numPr>
          <w:ilvl w:val="0"/>
          <w:numId w:val="0"/>
        </w:numPr>
        <w:ind w:left="720"/>
        <w:rPr>
          <w:noProof/>
        </w:rPr>
      </w:pPr>
    </w:p>
    <w:p w14:paraId="3F5D64F0" w14:textId="08DC73FB" w:rsidR="00361E3C" w:rsidRDefault="00354168" w:rsidP="00457526">
      <w:pPr>
        <w:pStyle w:val="NormalTimesNewRoman"/>
        <w:rPr>
          <w:noProof/>
        </w:rPr>
      </w:pPr>
      <w:r>
        <w:rPr>
          <w:noProof/>
        </w:rPr>
        <w:t>L’analyse concernant les tendances de l’expansion de la production mondiale de matières premières pouvant être utilisées pour la production de combustibles a été mise à jour et contient désormais les dernières données disponibles de FAOstat</w:t>
      </w:r>
      <w:r>
        <w:rPr>
          <w:rStyle w:val="FootnoteReference"/>
          <w:noProof/>
          <w:lang w:val="en-GB"/>
        </w:rPr>
        <w:footnoteReference w:id="16"/>
      </w:r>
      <w:r>
        <w:rPr>
          <w:noProof/>
        </w:rPr>
        <w:t xml:space="preserve"> et de l’USDA</w:t>
      </w:r>
      <w:r>
        <w:rPr>
          <w:rStyle w:val="FootnoteReference"/>
          <w:noProof/>
          <w:lang w:val="en-GB"/>
        </w:rPr>
        <w:footnoteReference w:id="17"/>
      </w:r>
      <w:r>
        <w:rPr>
          <w:noProof/>
        </w:rPr>
        <w:t xml:space="preserve">, fondées sur des données de 2014 à 2021. Pour le maïs et le soja au Brésil, où la polyculture est répandue, et pour la production d’huile de palme en Indonésie et en Malaisie, les données sur la superficie récoltée de FAOStat ont été remplacées par des données sur la superficie plantée provenant des statistiques nationales afin de mieux mesurer la quantité de terres utilisées pour la production végétale. FAOstat ne fournit que des données sur les superficies récoltées, et non sur les superficies plantées, ce qui signifie que des pratiques telles que la polyculture ou la culture séquentielle sont enregistrées comme deux fois la quantité de terres cultivées et que, pour les palmiers, la superficie récoltée ne reflète pas avec précision l’utilisation des terres, car il faut plusieurs années pour que les palmiers arrivent à maturité avant d’être récoltés. Les résultats actualisés sont inclus dans le tableau 1. </w:t>
      </w:r>
    </w:p>
    <w:p w14:paraId="308B6346" w14:textId="77777777" w:rsidR="000B3318" w:rsidRPr="00526778" w:rsidRDefault="000B3318" w:rsidP="00361E3C">
      <w:pPr>
        <w:pStyle w:val="NormalTimesNewRoman"/>
        <w:rPr>
          <w:noProof/>
          <w:lang w:val="en-GB"/>
        </w:rPr>
      </w:pPr>
    </w:p>
    <w:tbl>
      <w:tblPr>
        <w:tblStyle w:val="ESIReport2"/>
        <w:tblW w:w="9026" w:type="dxa"/>
        <w:tblLayout w:type="fixed"/>
        <w:tblCellMar>
          <w:top w:w="57" w:type="dxa"/>
          <w:left w:w="57" w:type="dxa"/>
          <w:bottom w:w="57" w:type="dxa"/>
          <w:right w:w="57" w:type="dxa"/>
        </w:tblCellMar>
        <w:tblLook w:val="04A0" w:firstRow="1" w:lastRow="0" w:firstColumn="1" w:lastColumn="0" w:noHBand="0" w:noVBand="1"/>
      </w:tblPr>
      <w:tblGrid>
        <w:gridCol w:w="988"/>
        <w:gridCol w:w="992"/>
        <w:gridCol w:w="1276"/>
        <w:gridCol w:w="992"/>
        <w:gridCol w:w="954"/>
        <w:gridCol w:w="939"/>
        <w:gridCol w:w="939"/>
        <w:gridCol w:w="973"/>
        <w:gridCol w:w="973"/>
      </w:tblGrid>
      <w:tr w:rsidR="00BB5FB1" w:rsidRPr="00526778" w14:paraId="6787713D" w14:textId="77777777">
        <w:trPr>
          <w:cnfStyle w:val="100000000000" w:firstRow="1" w:lastRow="0" w:firstColumn="0" w:lastColumn="0" w:oddVBand="0" w:evenVBand="0" w:oddHBand="0" w:evenHBand="0" w:firstRowFirstColumn="0" w:firstRowLastColumn="0" w:lastRowFirstColumn="0" w:lastRowLastColumn="0"/>
          <w:trHeight w:val="723"/>
        </w:trPr>
        <w:tc>
          <w:tcPr>
            <w:tcW w:w="988" w:type="dxa"/>
            <w:hideMark/>
          </w:tcPr>
          <w:p w14:paraId="03BE662D" w14:textId="77777777" w:rsidR="00BB5FB1" w:rsidRPr="00D937A1" w:rsidRDefault="00BB5FB1">
            <w:pPr>
              <w:pStyle w:val="BodyText"/>
              <w:rPr>
                <w:rFonts w:ascii="Times New Roman" w:hAnsi="Times New Roman"/>
                <w:noProof/>
                <w:sz w:val="16"/>
                <w:szCs w:val="14"/>
              </w:rPr>
            </w:pPr>
            <w:r>
              <w:rPr>
                <w:rFonts w:ascii="Times New Roman" w:hAnsi="Times New Roman"/>
                <w:noProof/>
                <w:sz w:val="16"/>
              </w:rPr>
              <w:t>Culture</w:t>
            </w:r>
          </w:p>
        </w:tc>
        <w:tc>
          <w:tcPr>
            <w:tcW w:w="992" w:type="dxa"/>
            <w:hideMark/>
          </w:tcPr>
          <w:p w14:paraId="3A62866B" w14:textId="77777777" w:rsidR="00BB5FB1" w:rsidRPr="00D937A1" w:rsidRDefault="00BB5FB1">
            <w:pPr>
              <w:pStyle w:val="BodyText"/>
              <w:rPr>
                <w:rFonts w:ascii="Times New Roman" w:hAnsi="Times New Roman"/>
                <w:noProof/>
                <w:sz w:val="16"/>
                <w:szCs w:val="14"/>
              </w:rPr>
            </w:pPr>
            <w:r>
              <w:rPr>
                <w:rFonts w:ascii="Times New Roman" w:hAnsi="Times New Roman"/>
                <w:noProof/>
                <w:sz w:val="16"/>
              </w:rPr>
              <w:t>Production totale en 2014 (kt)</w:t>
            </w:r>
          </w:p>
        </w:tc>
        <w:tc>
          <w:tcPr>
            <w:tcW w:w="1276" w:type="dxa"/>
            <w:hideMark/>
          </w:tcPr>
          <w:p w14:paraId="70CB87F1" w14:textId="77777777" w:rsidR="00BB5FB1" w:rsidRPr="00D937A1" w:rsidRDefault="00BB5FB1">
            <w:pPr>
              <w:pStyle w:val="BodyText"/>
              <w:rPr>
                <w:rFonts w:ascii="Times New Roman" w:hAnsi="Times New Roman"/>
                <w:noProof/>
                <w:sz w:val="16"/>
                <w:szCs w:val="14"/>
              </w:rPr>
            </w:pPr>
            <w:r>
              <w:rPr>
                <w:rFonts w:ascii="Times New Roman" w:hAnsi="Times New Roman"/>
                <w:noProof/>
                <w:sz w:val="16"/>
              </w:rPr>
              <w:t>Augmentation annuelle nette de la production 2014-2021 (en %)</w:t>
            </w:r>
          </w:p>
        </w:tc>
        <w:tc>
          <w:tcPr>
            <w:tcW w:w="992" w:type="dxa"/>
            <w:hideMark/>
          </w:tcPr>
          <w:p w14:paraId="4B2B16EB" w14:textId="77777777" w:rsidR="00BB5FB1" w:rsidRPr="00D937A1" w:rsidRDefault="00BB5FB1">
            <w:pPr>
              <w:pStyle w:val="BodyText"/>
              <w:rPr>
                <w:rFonts w:ascii="Times New Roman" w:hAnsi="Times New Roman"/>
                <w:noProof/>
                <w:sz w:val="16"/>
                <w:szCs w:val="14"/>
              </w:rPr>
            </w:pPr>
            <w:r>
              <w:rPr>
                <w:rFonts w:ascii="Times New Roman" w:hAnsi="Times New Roman"/>
                <w:noProof/>
                <w:sz w:val="16"/>
              </w:rPr>
              <w:t>Superficie récoltée en 2014 (kha)</w:t>
            </w:r>
          </w:p>
        </w:tc>
        <w:tc>
          <w:tcPr>
            <w:tcW w:w="954" w:type="dxa"/>
          </w:tcPr>
          <w:p w14:paraId="4F1B24A4" w14:textId="77777777" w:rsidR="00BB5FB1" w:rsidRPr="00D937A1" w:rsidRDefault="00BB5FB1">
            <w:pPr>
              <w:pStyle w:val="BodyText"/>
              <w:rPr>
                <w:rFonts w:ascii="Times New Roman" w:hAnsi="Times New Roman"/>
                <w:noProof/>
                <w:sz w:val="16"/>
                <w:szCs w:val="14"/>
              </w:rPr>
            </w:pPr>
            <w:r>
              <w:rPr>
                <w:rFonts w:ascii="Times New Roman" w:hAnsi="Times New Roman"/>
                <w:noProof/>
                <w:sz w:val="16"/>
              </w:rPr>
              <w:t>Superficie récoltée en 2021 (kha)</w:t>
            </w:r>
          </w:p>
        </w:tc>
        <w:tc>
          <w:tcPr>
            <w:tcW w:w="939" w:type="dxa"/>
            <w:hideMark/>
          </w:tcPr>
          <w:p w14:paraId="5F59774D" w14:textId="77777777" w:rsidR="00BB5FB1" w:rsidRPr="00D937A1" w:rsidRDefault="00BB5FB1">
            <w:pPr>
              <w:pStyle w:val="BodyText"/>
              <w:rPr>
                <w:rFonts w:ascii="Times New Roman" w:hAnsi="Times New Roman"/>
                <w:noProof/>
                <w:sz w:val="16"/>
                <w:szCs w:val="14"/>
              </w:rPr>
            </w:pPr>
            <w:r>
              <w:rPr>
                <w:rFonts w:ascii="Times New Roman" w:hAnsi="Times New Roman"/>
                <w:noProof/>
                <w:sz w:val="16"/>
              </w:rPr>
              <w:t>Augmentation annuelle nette de la superficie récoltée 2014-2021 (kha)</w:t>
            </w:r>
          </w:p>
        </w:tc>
        <w:tc>
          <w:tcPr>
            <w:tcW w:w="939" w:type="dxa"/>
            <w:hideMark/>
          </w:tcPr>
          <w:p w14:paraId="0642A901" w14:textId="77777777" w:rsidR="00BB5FB1" w:rsidRPr="00D937A1" w:rsidRDefault="00BB5FB1">
            <w:pPr>
              <w:pStyle w:val="BodyText"/>
              <w:rPr>
                <w:rFonts w:ascii="Times New Roman" w:hAnsi="Times New Roman"/>
                <w:noProof/>
                <w:sz w:val="16"/>
                <w:szCs w:val="14"/>
              </w:rPr>
            </w:pPr>
            <w:r>
              <w:rPr>
                <w:rFonts w:ascii="Times New Roman" w:hAnsi="Times New Roman"/>
                <w:noProof/>
                <w:sz w:val="16"/>
              </w:rPr>
              <w:t>Augmentation annuelle nette de la superficie récoltée 2014-2021 (%)</w:t>
            </w:r>
          </w:p>
        </w:tc>
        <w:tc>
          <w:tcPr>
            <w:tcW w:w="973" w:type="dxa"/>
          </w:tcPr>
          <w:p w14:paraId="465A51A5" w14:textId="77777777" w:rsidR="00BB5FB1" w:rsidRPr="00D937A1" w:rsidRDefault="00BB5FB1">
            <w:pPr>
              <w:pStyle w:val="BodyText"/>
              <w:rPr>
                <w:rFonts w:ascii="Times New Roman" w:hAnsi="Times New Roman"/>
                <w:noProof/>
                <w:sz w:val="16"/>
                <w:szCs w:val="14"/>
              </w:rPr>
            </w:pPr>
            <w:r>
              <w:rPr>
                <w:rFonts w:ascii="Times New Roman" w:hAnsi="Times New Roman"/>
                <w:noProof/>
                <w:sz w:val="16"/>
              </w:rPr>
              <w:t>Expansion totale nette (kha)</w:t>
            </w:r>
          </w:p>
        </w:tc>
        <w:tc>
          <w:tcPr>
            <w:tcW w:w="973" w:type="dxa"/>
          </w:tcPr>
          <w:p w14:paraId="11FB0F52" w14:textId="77777777" w:rsidR="00BB5FB1" w:rsidRPr="00D937A1" w:rsidRDefault="00BB5FB1">
            <w:pPr>
              <w:pStyle w:val="BodyText"/>
              <w:rPr>
                <w:rFonts w:ascii="Times New Roman" w:hAnsi="Times New Roman"/>
                <w:noProof/>
                <w:sz w:val="16"/>
                <w:szCs w:val="14"/>
              </w:rPr>
            </w:pPr>
            <w:r>
              <w:rPr>
                <w:rFonts w:ascii="Times New Roman" w:hAnsi="Times New Roman"/>
                <w:noProof/>
                <w:sz w:val="16"/>
              </w:rPr>
              <w:t>Expansion totale brute (kha)</w:t>
            </w:r>
          </w:p>
        </w:tc>
      </w:tr>
      <w:tr w:rsidR="00BB5FB1" w:rsidRPr="00526778" w14:paraId="2B5AC7F5" w14:textId="77777777">
        <w:trPr>
          <w:trHeight w:val="210"/>
        </w:trPr>
        <w:tc>
          <w:tcPr>
            <w:tcW w:w="988" w:type="dxa"/>
            <w:noWrap/>
            <w:hideMark/>
          </w:tcPr>
          <w:p w14:paraId="521010B1"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Froment (blé)</w:t>
            </w:r>
          </w:p>
        </w:tc>
        <w:tc>
          <w:tcPr>
            <w:tcW w:w="992" w:type="dxa"/>
            <w:noWrap/>
            <w:hideMark/>
          </w:tcPr>
          <w:p w14:paraId="4D5D46D8"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728 758</w:t>
            </w:r>
          </w:p>
        </w:tc>
        <w:tc>
          <w:tcPr>
            <w:tcW w:w="1276" w:type="dxa"/>
            <w:noWrap/>
            <w:hideMark/>
          </w:tcPr>
          <w:p w14:paraId="0E739F91"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0,8 %</w:t>
            </w:r>
          </w:p>
        </w:tc>
        <w:tc>
          <w:tcPr>
            <w:tcW w:w="992" w:type="dxa"/>
            <w:noWrap/>
            <w:hideMark/>
          </w:tcPr>
          <w:p w14:paraId="04BD4204"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219 755</w:t>
            </w:r>
          </w:p>
        </w:tc>
        <w:tc>
          <w:tcPr>
            <w:tcW w:w="954" w:type="dxa"/>
          </w:tcPr>
          <w:p w14:paraId="6B9A39BD"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220 760</w:t>
            </w:r>
          </w:p>
        </w:tc>
        <w:tc>
          <w:tcPr>
            <w:tcW w:w="939" w:type="dxa"/>
            <w:noWrap/>
            <w:hideMark/>
          </w:tcPr>
          <w:p w14:paraId="16A600E6"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143</w:t>
            </w:r>
          </w:p>
        </w:tc>
        <w:tc>
          <w:tcPr>
            <w:tcW w:w="939" w:type="dxa"/>
            <w:noWrap/>
            <w:hideMark/>
          </w:tcPr>
          <w:p w14:paraId="797D2722"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0,1 %</w:t>
            </w:r>
          </w:p>
        </w:tc>
        <w:tc>
          <w:tcPr>
            <w:tcW w:w="973" w:type="dxa"/>
          </w:tcPr>
          <w:p w14:paraId="51532A4D"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1 004</w:t>
            </w:r>
          </w:p>
        </w:tc>
        <w:tc>
          <w:tcPr>
            <w:tcW w:w="973" w:type="dxa"/>
          </w:tcPr>
          <w:p w14:paraId="7E8ABBFD" w14:textId="77777777" w:rsidR="00BB5FB1" w:rsidRPr="00D937A1" w:rsidRDefault="00BB5FB1">
            <w:pPr>
              <w:pStyle w:val="BodyText"/>
              <w:spacing w:after="0"/>
              <w:jc w:val="center"/>
              <w:rPr>
                <w:rFonts w:ascii="Times New Roman" w:hAnsi="Times New Roman"/>
                <w:noProof/>
                <w:sz w:val="16"/>
                <w:szCs w:val="16"/>
              </w:rPr>
            </w:pPr>
            <w:r>
              <w:rPr>
                <w:rFonts w:ascii="Times New Roman" w:hAnsi="Times New Roman"/>
                <w:noProof/>
                <w:sz w:val="16"/>
              </w:rPr>
              <w:t>11 001</w:t>
            </w:r>
          </w:p>
        </w:tc>
      </w:tr>
      <w:tr w:rsidR="00BB5FB1" w:rsidRPr="00526778" w14:paraId="429C396C" w14:textId="77777777">
        <w:trPr>
          <w:trHeight w:val="210"/>
        </w:trPr>
        <w:tc>
          <w:tcPr>
            <w:tcW w:w="988" w:type="dxa"/>
            <w:noWrap/>
            <w:hideMark/>
          </w:tcPr>
          <w:p w14:paraId="54B5BCF9"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Maïs</w:t>
            </w:r>
          </w:p>
        </w:tc>
        <w:tc>
          <w:tcPr>
            <w:tcW w:w="992" w:type="dxa"/>
            <w:noWrap/>
            <w:hideMark/>
          </w:tcPr>
          <w:p w14:paraId="5B1F746C"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1 040 718</w:t>
            </w:r>
          </w:p>
        </w:tc>
        <w:tc>
          <w:tcPr>
            <w:tcW w:w="1276" w:type="dxa"/>
            <w:noWrap/>
            <w:hideMark/>
          </w:tcPr>
          <w:p w14:paraId="60C23683"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2,2 %</w:t>
            </w:r>
          </w:p>
        </w:tc>
        <w:tc>
          <w:tcPr>
            <w:tcW w:w="992" w:type="dxa"/>
            <w:noWrap/>
            <w:hideMark/>
          </w:tcPr>
          <w:p w14:paraId="15B23348"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177 675</w:t>
            </w:r>
          </w:p>
        </w:tc>
        <w:tc>
          <w:tcPr>
            <w:tcW w:w="954" w:type="dxa"/>
          </w:tcPr>
          <w:p w14:paraId="70661603"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191 193</w:t>
            </w:r>
          </w:p>
        </w:tc>
        <w:tc>
          <w:tcPr>
            <w:tcW w:w="939" w:type="dxa"/>
            <w:noWrap/>
            <w:hideMark/>
          </w:tcPr>
          <w:p w14:paraId="17676E86"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1 931</w:t>
            </w:r>
          </w:p>
        </w:tc>
        <w:tc>
          <w:tcPr>
            <w:tcW w:w="939" w:type="dxa"/>
            <w:noWrap/>
            <w:hideMark/>
          </w:tcPr>
          <w:p w14:paraId="7607C0DA"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1,1 %</w:t>
            </w:r>
          </w:p>
        </w:tc>
        <w:tc>
          <w:tcPr>
            <w:tcW w:w="973" w:type="dxa"/>
          </w:tcPr>
          <w:p w14:paraId="227E518D"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13 518</w:t>
            </w:r>
          </w:p>
        </w:tc>
        <w:tc>
          <w:tcPr>
            <w:tcW w:w="973" w:type="dxa"/>
          </w:tcPr>
          <w:p w14:paraId="630B467E" w14:textId="77777777" w:rsidR="00BB5FB1" w:rsidRPr="00D937A1" w:rsidRDefault="00BB5FB1">
            <w:pPr>
              <w:pStyle w:val="BodyText"/>
              <w:spacing w:after="0"/>
              <w:jc w:val="center"/>
              <w:rPr>
                <w:rFonts w:ascii="Times New Roman" w:hAnsi="Times New Roman"/>
                <w:noProof/>
                <w:sz w:val="16"/>
                <w:szCs w:val="16"/>
              </w:rPr>
            </w:pPr>
            <w:r>
              <w:rPr>
                <w:rFonts w:ascii="Times New Roman" w:hAnsi="Times New Roman"/>
                <w:noProof/>
                <w:sz w:val="16"/>
              </w:rPr>
              <w:t>18 096</w:t>
            </w:r>
          </w:p>
        </w:tc>
      </w:tr>
      <w:tr w:rsidR="00BB5FB1" w:rsidRPr="00526778" w14:paraId="24CF7FAF" w14:textId="77777777">
        <w:trPr>
          <w:trHeight w:val="210"/>
        </w:trPr>
        <w:tc>
          <w:tcPr>
            <w:tcW w:w="988" w:type="dxa"/>
            <w:noWrap/>
            <w:hideMark/>
          </w:tcPr>
          <w:p w14:paraId="7E53C26A"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Canne à sucre</w:t>
            </w:r>
          </w:p>
        </w:tc>
        <w:tc>
          <w:tcPr>
            <w:tcW w:w="992" w:type="dxa"/>
            <w:noWrap/>
            <w:hideMark/>
          </w:tcPr>
          <w:p w14:paraId="6E566912"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1 885 079</w:t>
            </w:r>
          </w:p>
        </w:tc>
        <w:tc>
          <w:tcPr>
            <w:tcW w:w="1276" w:type="dxa"/>
            <w:noWrap/>
            <w:hideMark/>
          </w:tcPr>
          <w:p w14:paraId="0409CE74"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-0,2 %</w:t>
            </w:r>
          </w:p>
        </w:tc>
        <w:tc>
          <w:tcPr>
            <w:tcW w:w="992" w:type="dxa"/>
            <w:noWrap/>
            <w:hideMark/>
          </w:tcPr>
          <w:p w14:paraId="0741F5CF"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27 069</w:t>
            </w:r>
          </w:p>
        </w:tc>
        <w:tc>
          <w:tcPr>
            <w:tcW w:w="954" w:type="dxa"/>
          </w:tcPr>
          <w:p w14:paraId="087FCC7C"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26 350</w:t>
            </w:r>
          </w:p>
        </w:tc>
        <w:tc>
          <w:tcPr>
            <w:tcW w:w="939" w:type="dxa"/>
            <w:noWrap/>
            <w:hideMark/>
          </w:tcPr>
          <w:p w14:paraId="29D4730F"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-103</w:t>
            </w:r>
          </w:p>
        </w:tc>
        <w:tc>
          <w:tcPr>
            <w:tcW w:w="939" w:type="dxa"/>
            <w:noWrap/>
            <w:hideMark/>
          </w:tcPr>
          <w:p w14:paraId="564EE143"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-0,4 %</w:t>
            </w:r>
          </w:p>
        </w:tc>
        <w:tc>
          <w:tcPr>
            <w:tcW w:w="973" w:type="dxa"/>
          </w:tcPr>
          <w:p w14:paraId="2B24A6E0"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-720</w:t>
            </w:r>
          </w:p>
        </w:tc>
        <w:tc>
          <w:tcPr>
            <w:tcW w:w="973" w:type="dxa"/>
          </w:tcPr>
          <w:p w14:paraId="3822A98E" w14:textId="77777777" w:rsidR="00BB5FB1" w:rsidRPr="00D937A1" w:rsidRDefault="00BB5FB1">
            <w:pPr>
              <w:pStyle w:val="BodyText"/>
              <w:spacing w:after="0"/>
              <w:jc w:val="center"/>
              <w:rPr>
                <w:rFonts w:ascii="Times New Roman" w:hAnsi="Times New Roman"/>
                <w:noProof/>
                <w:sz w:val="16"/>
                <w:szCs w:val="16"/>
              </w:rPr>
            </w:pPr>
            <w:r>
              <w:rPr>
                <w:rFonts w:ascii="Times New Roman" w:hAnsi="Times New Roman"/>
                <w:noProof/>
                <w:sz w:val="16"/>
              </w:rPr>
              <w:t>976</w:t>
            </w:r>
          </w:p>
        </w:tc>
      </w:tr>
      <w:tr w:rsidR="00BB5FB1" w:rsidRPr="00526778" w14:paraId="2E6BDCE6" w14:textId="77777777">
        <w:trPr>
          <w:trHeight w:val="210"/>
        </w:trPr>
        <w:tc>
          <w:tcPr>
            <w:tcW w:w="988" w:type="dxa"/>
            <w:noWrap/>
            <w:hideMark/>
          </w:tcPr>
          <w:p w14:paraId="476220E9"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Betterave à sucre</w:t>
            </w:r>
          </w:p>
        </w:tc>
        <w:tc>
          <w:tcPr>
            <w:tcW w:w="992" w:type="dxa"/>
            <w:noWrap/>
            <w:hideMark/>
          </w:tcPr>
          <w:p w14:paraId="1A95574C"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270 250</w:t>
            </w:r>
          </w:p>
        </w:tc>
        <w:tc>
          <w:tcPr>
            <w:tcW w:w="1276" w:type="dxa"/>
            <w:noWrap/>
            <w:hideMark/>
          </w:tcPr>
          <w:p w14:paraId="6E42D17A"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0,0 %</w:t>
            </w:r>
          </w:p>
        </w:tc>
        <w:tc>
          <w:tcPr>
            <w:tcW w:w="992" w:type="dxa"/>
            <w:noWrap/>
            <w:hideMark/>
          </w:tcPr>
          <w:p w14:paraId="146B317B"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4 469</w:t>
            </w:r>
          </w:p>
        </w:tc>
        <w:tc>
          <w:tcPr>
            <w:tcW w:w="954" w:type="dxa"/>
          </w:tcPr>
          <w:p w14:paraId="6F55EE68"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4 399</w:t>
            </w:r>
          </w:p>
        </w:tc>
        <w:tc>
          <w:tcPr>
            <w:tcW w:w="939" w:type="dxa"/>
            <w:noWrap/>
            <w:hideMark/>
          </w:tcPr>
          <w:p w14:paraId="4EA80ADC"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-10</w:t>
            </w:r>
          </w:p>
        </w:tc>
        <w:tc>
          <w:tcPr>
            <w:tcW w:w="939" w:type="dxa"/>
            <w:noWrap/>
            <w:hideMark/>
          </w:tcPr>
          <w:p w14:paraId="1FB57629"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-0,2 %</w:t>
            </w:r>
          </w:p>
        </w:tc>
        <w:tc>
          <w:tcPr>
            <w:tcW w:w="973" w:type="dxa"/>
          </w:tcPr>
          <w:p w14:paraId="0F82CD60"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-70</w:t>
            </w:r>
          </w:p>
        </w:tc>
        <w:tc>
          <w:tcPr>
            <w:tcW w:w="973" w:type="dxa"/>
          </w:tcPr>
          <w:p w14:paraId="280DA47B" w14:textId="77777777" w:rsidR="00BB5FB1" w:rsidRPr="00D937A1" w:rsidRDefault="00BB5FB1">
            <w:pPr>
              <w:pStyle w:val="BodyText"/>
              <w:spacing w:after="0"/>
              <w:jc w:val="center"/>
              <w:rPr>
                <w:rFonts w:ascii="Times New Roman" w:hAnsi="Times New Roman"/>
                <w:noProof/>
                <w:sz w:val="16"/>
                <w:szCs w:val="16"/>
              </w:rPr>
            </w:pPr>
            <w:r>
              <w:rPr>
                <w:rFonts w:ascii="Times New Roman" w:hAnsi="Times New Roman"/>
                <w:noProof/>
                <w:sz w:val="16"/>
              </w:rPr>
              <w:t>313</w:t>
            </w:r>
          </w:p>
        </w:tc>
      </w:tr>
      <w:tr w:rsidR="00BB5FB1" w:rsidRPr="00526778" w14:paraId="6384DE31" w14:textId="77777777">
        <w:trPr>
          <w:trHeight w:val="210"/>
        </w:trPr>
        <w:tc>
          <w:tcPr>
            <w:tcW w:w="988" w:type="dxa"/>
            <w:noWrap/>
            <w:hideMark/>
          </w:tcPr>
          <w:p w14:paraId="7B0631B4"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Colza</w:t>
            </w:r>
          </w:p>
        </w:tc>
        <w:tc>
          <w:tcPr>
            <w:tcW w:w="992" w:type="dxa"/>
            <w:noWrap/>
            <w:hideMark/>
          </w:tcPr>
          <w:p w14:paraId="37ADB18A"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74 509</w:t>
            </w:r>
          </w:p>
        </w:tc>
        <w:tc>
          <w:tcPr>
            <w:tcW w:w="1276" w:type="dxa"/>
            <w:noWrap/>
            <w:hideMark/>
          </w:tcPr>
          <w:p w14:paraId="1D80CB62"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-0,6 %</w:t>
            </w:r>
          </w:p>
        </w:tc>
        <w:tc>
          <w:tcPr>
            <w:tcW w:w="992" w:type="dxa"/>
            <w:noWrap/>
            <w:hideMark/>
          </w:tcPr>
          <w:p w14:paraId="710736AE"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36 460</w:t>
            </w:r>
          </w:p>
        </w:tc>
        <w:tc>
          <w:tcPr>
            <w:tcW w:w="954" w:type="dxa"/>
          </w:tcPr>
          <w:p w14:paraId="3CC9A760"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36 774</w:t>
            </w:r>
          </w:p>
        </w:tc>
        <w:tc>
          <w:tcPr>
            <w:tcW w:w="939" w:type="dxa"/>
            <w:noWrap/>
            <w:hideMark/>
          </w:tcPr>
          <w:p w14:paraId="1F26D296"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45</w:t>
            </w:r>
          </w:p>
        </w:tc>
        <w:tc>
          <w:tcPr>
            <w:tcW w:w="939" w:type="dxa"/>
            <w:noWrap/>
            <w:hideMark/>
          </w:tcPr>
          <w:p w14:paraId="2F698DA0"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0,1 %</w:t>
            </w:r>
          </w:p>
        </w:tc>
        <w:tc>
          <w:tcPr>
            <w:tcW w:w="973" w:type="dxa"/>
          </w:tcPr>
          <w:p w14:paraId="7F6AF163"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313</w:t>
            </w:r>
          </w:p>
        </w:tc>
        <w:tc>
          <w:tcPr>
            <w:tcW w:w="973" w:type="dxa"/>
          </w:tcPr>
          <w:p w14:paraId="44BB60FF" w14:textId="77777777" w:rsidR="00BB5FB1" w:rsidRPr="00D937A1" w:rsidRDefault="00BB5FB1">
            <w:pPr>
              <w:pStyle w:val="BodyText"/>
              <w:spacing w:after="0"/>
              <w:jc w:val="center"/>
              <w:rPr>
                <w:rFonts w:ascii="Times New Roman" w:hAnsi="Times New Roman"/>
                <w:noProof/>
                <w:sz w:val="16"/>
                <w:szCs w:val="16"/>
              </w:rPr>
            </w:pPr>
            <w:r>
              <w:rPr>
                <w:rFonts w:ascii="Times New Roman" w:hAnsi="Times New Roman"/>
                <w:noProof/>
                <w:sz w:val="16"/>
              </w:rPr>
              <w:t>3 494</w:t>
            </w:r>
          </w:p>
        </w:tc>
      </w:tr>
      <w:tr w:rsidR="00BB5FB1" w:rsidRPr="00526778" w14:paraId="519532B4" w14:textId="77777777">
        <w:trPr>
          <w:trHeight w:val="200"/>
        </w:trPr>
        <w:tc>
          <w:tcPr>
            <w:tcW w:w="988" w:type="dxa"/>
            <w:noWrap/>
            <w:hideMark/>
          </w:tcPr>
          <w:p w14:paraId="7B4CE98B"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Palmier à huile</w:t>
            </w:r>
          </w:p>
        </w:tc>
        <w:tc>
          <w:tcPr>
            <w:tcW w:w="992" w:type="dxa"/>
            <w:noWrap/>
            <w:hideMark/>
          </w:tcPr>
          <w:p w14:paraId="50A88157"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327 489</w:t>
            </w:r>
          </w:p>
        </w:tc>
        <w:tc>
          <w:tcPr>
            <w:tcW w:w="1276" w:type="dxa"/>
            <w:noWrap/>
            <w:hideMark/>
          </w:tcPr>
          <w:p w14:paraId="6B76CC95"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3,5 %</w:t>
            </w:r>
          </w:p>
        </w:tc>
        <w:tc>
          <w:tcPr>
            <w:tcW w:w="992" w:type="dxa"/>
            <w:noWrap/>
            <w:hideMark/>
          </w:tcPr>
          <w:p w14:paraId="47935223"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22 971</w:t>
            </w:r>
          </w:p>
        </w:tc>
        <w:tc>
          <w:tcPr>
            <w:tcW w:w="954" w:type="dxa"/>
          </w:tcPr>
          <w:p w14:paraId="79C2D2AA"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29 124</w:t>
            </w:r>
          </w:p>
        </w:tc>
        <w:tc>
          <w:tcPr>
            <w:tcW w:w="939" w:type="dxa"/>
            <w:noWrap/>
            <w:hideMark/>
          </w:tcPr>
          <w:p w14:paraId="4218CEAD"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879</w:t>
            </w:r>
          </w:p>
        </w:tc>
        <w:tc>
          <w:tcPr>
            <w:tcW w:w="939" w:type="dxa"/>
            <w:noWrap/>
            <w:hideMark/>
          </w:tcPr>
          <w:p w14:paraId="4CBD93B2"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3,4 %</w:t>
            </w:r>
          </w:p>
        </w:tc>
        <w:tc>
          <w:tcPr>
            <w:tcW w:w="973" w:type="dxa"/>
          </w:tcPr>
          <w:p w14:paraId="1FD7ED21"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6 153</w:t>
            </w:r>
          </w:p>
        </w:tc>
        <w:tc>
          <w:tcPr>
            <w:tcW w:w="973" w:type="dxa"/>
          </w:tcPr>
          <w:p w14:paraId="39B0E02F" w14:textId="77777777" w:rsidR="00BB5FB1" w:rsidRPr="00D937A1" w:rsidRDefault="00BB5FB1">
            <w:pPr>
              <w:pStyle w:val="BodyText"/>
              <w:spacing w:after="0"/>
              <w:jc w:val="center"/>
              <w:rPr>
                <w:rFonts w:ascii="Times New Roman" w:hAnsi="Times New Roman"/>
                <w:noProof/>
                <w:sz w:val="16"/>
                <w:szCs w:val="16"/>
              </w:rPr>
            </w:pPr>
            <w:r>
              <w:rPr>
                <w:rFonts w:ascii="Times New Roman" w:hAnsi="Times New Roman"/>
                <w:noProof/>
                <w:sz w:val="16"/>
              </w:rPr>
              <w:t>7 244</w:t>
            </w:r>
          </w:p>
        </w:tc>
      </w:tr>
      <w:tr w:rsidR="00BB5FB1" w:rsidRPr="00526778" w14:paraId="6FDE7C63" w14:textId="77777777">
        <w:trPr>
          <w:trHeight w:val="200"/>
        </w:trPr>
        <w:tc>
          <w:tcPr>
            <w:tcW w:w="988" w:type="dxa"/>
            <w:noWrap/>
            <w:hideMark/>
          </w:tcPr>
          <w:p w14:paraId="63C7161B"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Graines de soja</w:t>
            </w:r>
          </w:p>
        </w:tc>
        <w:tc>
          <w:tcPr>
            <w:tcW w:w="992" w:type="dxa"/>
            <w:noWrap/>
            <w:hideMark/>
          </w:tcPr>
          <w:p w14:paraId="67A7E72B"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306 301</w:t>
            </w:r>
          </w:p>
        </w:tc>
        <w:tc>
          <w:tcPr>
            <w:tcW w:w="1276" w:type="dxa"/>
            <w:noWrap/>
            <w:hideMark/>
          </w:tcPr>
          <w:p w14:paraId="2F5C42E6"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2,8 %</w:t>
            </w:r>
          </w:p>
        </w:tc>
        <w:tc>
          <w:tcPr>
            <w:tcW w:w="992" w:type="dxa"/>
            <w:noWrap/>
            <w:hideMark/>
          </w:tcPr>
          <w:p w14:paraId="017F4913"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117 633</w:t>
            </w:r>
          </w:p>
        </w:tc>
        <w:tc>
          <w:tcPr>
            <w:tcW w:w="954" w:type="dxa"/>
          </w:tcPr>
          <w:p w14:paraId="0B231760"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128 886</w:t>
            </w:r>
          </w:p>
        </w:tc>
        <w:tc>
          <w:tcPr>
            <w:tcW w:w="939" w:type="dxa"/>
            <w:noWrap/>
            <w:hideMark/>
          </w:tcPr>
          <w:p w14:paraId="5C447D90"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1 608</w:t>
            </w:r>
          </w:p>
        </w:tc>
        <w:tc>
          <w:tcPr>
            <w:tcW w:w="939" w:type="dxa"/>
            <w:noWrap/>
            <w:hideMark/>
          </w:tcPr>
          <w:p w14:paraId="4A91F1CA"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1,3 %</w:t>
            </w:r>
          </w:p>
        </w:tc>
        <w:tc>
          <w:tcPr>
            <w:tcW w:w="973" w:type="dxa"/>
          </w:tcPr>
          <w:p w14:paraId="5BF5A6E7"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11 253</w:t>
            </w:r>
          </w:p>
        </w:tc>
        <w:tc>
          <w:tcPr>
            <w:tcW w:w="973" w:type="dxa"/>
          </w:tcPr>
          <w:p w14:paraId="7A10C18F" w14:textId="77777777" w:rsidR="00BB5FB1" w:rsidRPr="00D937A1" w:rsidRDefault="00BB5FB1">
            <w:pPr>
              <w:pStyle w:val="BodyText"/>
              <w:spacing w:after="0"/>
              <w:jc w:val="center"/>
              <w:rPr>
                <w:rFonts w:ascii="Times New Roman" w:hAnsi="Times New Roman"/>
                <w:noProof/>
                <w:sz w:val="16"/>
                <w:szCs w:val="16"/>
              </w:rPr>
            </w:pPr>
            <w:r>
              <w:rPr>
                <w:rFonts w:ascii="Times New Roman" w:hAnsi="Times New Roman"/>
                <w:noProof/>
                <w:sz w:val="16"/>
              </w:rPr>
              <w:t>14 486</w:t>
            </w:r>
          </w:p>
        </w:tc>
      </w:tr>
      <w:tr w:rsidR="00BB5FB1" w:rsidRPr="00526778" w14:paraId="32B97A73" w14:textId="77777777">
        <w:trPr>
          <w:trHeight w:val="200"/>
        </w:trPr>
        <w:tc>
          <w:tcPr>
            <w:tcW w:w="988" w:type="dxa"/>
            <w:noWrap/>
            <w:hideMark/>
          </w:tcPr>
          <w:p w14:paraId="4556E278"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Graines de tournesol</w:t>
            </w:r>
          </w:p>
        </w:tc>
        <w:tc>
          <w:tcPr>
            <w:tcW w:w="992" w:type="dxa"/>
            <w:noWrap/>
            <w:hideMark/>
          </w:tcPr>
          <w:p w14:paraId="313ADCDA"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40 613</w:t>
            </w:r>
          </w:p>
        </w:tc>
        <w:tc>
          <w:tcPr>
            <w:tcW w:w="1276" w:type="dxa"/>
            <w:noWrap/>
            <w:hideMark/>
          </w:tcPr>
          <w:p w14:paraId="3A376712"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5,3 %</w:t>
            </w:r>
          </w:p>
        </w:tc>
        <w:tc>
          <w:tcPr>
            <w:tcW w:w="992" w:type="dxa"/>
            <w:noWrap/>
            <w:hideMark/>
          </w:tcPr>
          <w:p w14:paraId="7A79E923"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24 350</w:t>
            </w:r>
          </w:p>
        </w:tc>
        <w:tc>
          <w:tcPr>
            <w:tcW w:w="954" w:type="dxa"/>
          </w:tcPr>
          <w:p w14:paraId="31F1EE7C"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29 532</w:t>
            </w:r>
          </w:p>
        </w:tc>
        <w:tc>
          <w:tcPr>
            <w:tcW w:w="939" w:type="dxa"/>
            <w:noWrap/>
            <w:hideMark/>
          </w:tcPr>
          <w:p w14:paraId="2956CDCF"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740</w:t>
            </w:r>
          </w:p>
        </w:tc>
        <w:tc>
          <w:tcPr>
            <w:tcW w:w="939" w:type="dxa"/>
            <w:noWrap/>
            <w:hideMark/>
          </w:tcPr>
          <w:p w14:paraId="022251F9"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2,8 %</w:t>
            </w:r>
          </w:p>
        </w:tc>
        <w:tc>
          <w:tcPr>
            <w:tcW w:w="973" w:type="dxa"/>
          </w:tcPr>
          <w:p w14:paraId="79AF73C7" w14:textId="77777777" w:rsidR="00BB5FB1" w:rsidRPr="00D937A1" w:rsidRDefault="00BB5FB1">
            <w:pPr>
              <w:pStyle w:val="BodyText"/>
              <w:spacing w:after="0"/>
              <w:jc w:val="center"/>
              <w:rPr>
                <w:rFonts w:ascii="Times New Roman" w:hAnsi="Times New Roman"/>
                <w:noProof/>
                <w:sz w:val="16"/>
                <w:szCs w:val="14"/>
              </w:rPr>
            </w:pPr>
            <w:r>
              <w:rPr>
                <w:rFonts w:ascii="Times New Roman" w:hAnsi="Times New Roman"/>
                <w:noProof/>
                <w:sz w:val="16"/>
              </w:rPr>
              <w:t>5 182</w:t>
            </w:r>
          </w:p>
        </w:tc>
        <w:tc>
          <w:tcPr>
            <w:tcW w:w="973" w:type="dxa"/>
          </w:tcPr>
          <w:p w14:paraId="5AF98D95" w14:textId="77777777" w:rsidR="00BB5FB1" w:rsidRPr="00D937A1" w:rsidRDefault="00BB5FB1">
            <w:pPr>
              <w:pStyle w:val="BodyText"/>
              <w:spacing w:after="0"/>
              <w:jc w:val="center"/>
              <w:rPr>
                <w:rFonts w:ascii="Times New Roman" w:hAnsi="Times New Roman"/>
                <w:noProof/>
                <w:sz w:val="16"/>
                <w:szCs w:val="16"/>
              </w:rPr>
            </w:pPr>
            <w:r>
              <w:rPr>
                <w:rFonts w:ascii="Times New Roman" w:hAnsi="Times New Roman"/>
                <w:noProof/>
                <w:sz w:val="16"/>
              </w:rPr>
              <w:t>5 893</w:t>
            </w:r>
          </w:p>
        </w:tc>
      </w:tr>
    </w:tbl>
    <w:p w14:paraId="047B79ED" w14:textId="68BDDF1A" w:rsidR="00361E3C" w:rsidRPr="00526778" w:rsidRDefault="00361E3C" w:rsidP="00361E3C">
      <w:pPr>
        <w:pStyle w:val="NormalTimesNewRoman"/>
        <w:rPr>
          <w:noProof/>
          <w:sz w:val="20"/>
          <w:szCs w:val="20"/>
        </w:rPr>
      </w:pPr>
      <w:r>
        <w:rPr>
          <w:i/>
          <w:noProof/>
          <w:sz w:val="20"/>
        </w:rPr>
        <w:t>Tableau 1: Calculs de Guidehouse mettant à jour le tableau sur l’expansion de la production mondiale des principales matières premières pour biocarburants sur la base des données de FAOstat, USDA FAS (CONAB, 2022) pour le maïs et le soja au Brésil, Statistics Indonesia (Statistics Indonesia, 2022) pour les fruits de l’huile de palme en Indonésie, MPOB (Malaysian Palm Oil Board, 2022) et Gunarso et al. (Gunarso, Hartoyo, Agus, &amp; Killeen, 2013) pour le fruit de l’huile de palme en Malaisie.</w:t>
      </w:r>
    </w:p>
    <w:p w14:paraId="2946DB82" w14:textId="5D8D5FF2" w:rsidR="0080046C" w:rsidRPr="00526778" w:rsidRDefault="000A4298" w:rsidP="000A4298">
      <w:pPr>
        <w:pStyle w:val="NormalTimesNewRoman"/>
        <w:rPr>
          <w:noProof/>
        </w:rPr>
      </w:pPr>
      <w:r>
        <w:rPr>
          <w:noProof/>
        </w:rPr>
        <w:t>Sur la base des résultats figurant dans le tableau 1, au cours des années 2014-2021, la plus forte augmentation annuelle nette de la superficie récoltée</w:t>
      </w:r>
      <w:r>
        <w:rPr>
          <w:rStyle w:val="FootnoteReference"/>
          <w:noProof/>
          <w:lang w:val="en-GB"/>
        </w:rPr>
        <w:footnoteReference w:id="18"/>
      </w:r>
      <w:r>
        <w:rPr>
          <w:noProof/>
        </w:rPr>
        <w:t xml:space="preserve"> a été observée pour le palmier à huile (3,4 %), suivi par les graines de tournesol (2,8 %). Une augmentation a également été observée pour le soja (1,3 %) et le maïs (1,1 %). Alors que l’augmentation pour le blé et le colza a été minime (0,1 % chacun), la canne à sucre et la betterave sucrière sont les seules cultures pour lesquelles les résultats indiquent une valeur négative (respectivement -0,4 % et -0,2 %). </w:t>
      </w:r>
    </w:p>
    <w:p w14:paraId="649BF7FA" w14:textId="72C5FDDC" w:rsidR="007F2E51" w:rsidRPr="00FB170F" w:rsidRDefault="00922ED6" w:rsidP="00FB170F">
      <w:pPr>
        <w:pStyle w:val="Style1"/>
        <w:rPr>
          <w:noProof/>
        </w:rPr>
      </w:pPr>
      <w:bookmarkStart w:id="6" w:name="_Toc109647469"/>
      <w:r>
        <w:rPr>
          <w:noProof/>
        </w:rPr>
        <w:t>MISE À JOUR DE L’ÉVALUATION FONDÉE SUR LE SIG DE LA CARTOGRAPHIE MONDIALE ET DE L’ÉVALUATION DE LA CARTOGRAPHIE RÉGIONALE AFIN D’ESTIMER L’EXPANSION DES MATIÈRES PREMIÈRES SUR DES TERRES PRÉSENTANT UN IMPORTANT STOCK DE CARBONE</w:t>
      </w:r>
      <w:bookmarkEnd w:id="6"/>
      <w:r>
        <w:rPr>
          <w:noProof/>
        </w:rPr>
        <w:t xml:space="preserve"> </w:t>
      </w:r>
    </w:p>
    <w:p w14:paraId="12735A43" w14:textId="77777777" w:rsidR="00415E00" w:rsidRPr="0045620A" w:rsidRDefault="00415E00" w:rsidP="007E484F">
      <w:pPr>
        <w:pStyle w:val="NormalTimesNewRoman"/>
        <w:rPr>
          <w:i/>
          <w:noProof/>
          <w:lang w:val="fr-BE"/>
        </w:rPr>
      </w:pPr>
    </w:p>
    <w:p w14:paraId="23CBB6A2" w14:textId="48983699" w:rsidR="00D160BF" w:rsidRPr="00526778" w:rsidRDefault="00D160BF" w:rsidP="007E484F">
      <w:pPr>
        <w:pStyle w:val="NormalTimesNewRoman"/>
        <w:rPr>
          <w:i/>
          <w:noProof/>
        </w:rPr>
      </w:pPr>
      <w:r>
        <w:rPr>
          <w:i/>
          <w:noProof/>
        </w:rPr>
        <w:t xml:space="preserve">Cartographie mondiale </w:t>
      </w:r>
    </w:p>
    <w:p w14:paraId="50287DF7" w14:textId="2625F028" w:rsidR="00371F34" w:rsidRPr="00526778" w:rsidRDefault="00E46127" w:rsidP="007E484F">
      <w:pPr>
        <w:pStyle w:val="NormalTimesNewRoman"/>
        <w:rPr>
          <w:noProof/>
        </w:rPr>
      </w:pPr>
      <w:r>
        <w:rPr>
          <w:noProof/>
        </w:rPr>
        <w:t xml:space="preserve">Ces dernières années, la demande mondiale de matières premières agricoles a augmenté (pour les denrées alimentaires, les aliments pour animaux, la fibre ou l’énergie) et une partie de cette demande a été satisfaite par une expansion des terres agricoles à l’échelle mondiale. L’augmentation de la demande de biocarburants, de bioliquides et de combustibles issus de la biomasse a contribué à cette évolution. Si cette expansion a lieu sur des terres présentant un important stock de carbone, elle entraîne une forte augmentation des émissions de gaz à effet de serre et une perte de biodiversité. </w:t>
      </w:r>
    </w:p>
    <w:p w14:paraId="60050B88" w14:textId="0C5A2CCB" w:rsidR="002E265D" w:rsidRPr="00526778" w:rsidRDefault="00CC3F6F" w:rsidP="007E484F">
      <w:pPr>
        <w:pStyle w:val="NormalTimesNewRoman"/>
        <w:rPr>
          <w:noProof/>
        </w:rPr>
      </w:pPr>
      <w:r>
        <w:rPr>
          <w:noProof/>
        </w:rPr>
        <w:t xml:space="preserve">Afin de mettre à jour les données relatives à l’incidence des cultures sur la déforestation et de déterminer leur part d’expansion dans les terres présentant un important stock de carbone, un exercice de cartographie a été réalisé, lequel comprenait les huit principales cultures utilisées pour la production de biocarburants: maïs, palmier à huile, colza, soja, betterave sucrière, canne à sucre, tournesol et blé. La méthodologie utilisée était semblable à celle utilisée dans le rapport CIAS 2019 de la Commission, mais elle a apporté un certain nombre d’améliorations. </w:t>
      </w:r>
    </w:p>
    <w:p w14:paraId="43DB2F78" w14:textId="06AFA5AC" w:rsidR="00915F37" w:rsidRPr="00526778" w:rsidRDefault="00FE0F69" w:rsidP="006D0751">
      <w:pPr>
        <w:pStyle w:val="NormalTimesNewRoman"/>
        <w:rPr>
          <w:noProof/>
        </w:rPr>
      </w:pPr>
      <w:r>
        <w:rPr>
          <w:noProof/>
        </w:rPr>
        <w:t>Les principales améliorations apportées à la méthodologie étaient axées sur le raffinage des ensembles de données liés i) à la distribution des cultures et des prairies, ii) aux facteurs de déforestation et iii) à l’expansion des palmiers à huile dans les tourbières. Les ensembles de données sur les cultures et les prairies ont été améliorés grâce à l’intégration du produit MapSPAM 2010</w:t>
      </w:r>
      <w:r>
        <w:rPr>
          <w:rStyle w:val="FootnoteReference"/>
          <w:noProof/>
        </w:rPr>
        <w:footnoteReference w:id="19"/>
      </w:r>
      <w:r>
        <w:rPr>
          <w:noProof/>
        </w:rPr>
        <w:t xml:space="preserve"> mis à jour pour 2010 et à une carte mondiale précise du soja à partir de 2015, ce qui a permis un suivi plus précis. En ce qui concerne les facteurs de déforestation, une couche pour les facteurs tropicaux  de perte forestière (IIASA-TDFL v1) a été mise au point pour de représenter plus précisément la déforestation due aux matières premières agricoles. En outre, l’estimation de l’expansion des palmiers à huile sur les tourbières a été affinée grâce à la comparaison des cartes de 2007 et de 2017-2019, fournissant des informations sur les tendances en matière d’expansion. GRAS a fourni des cartes actualisées couvrant l’expansion du palmier à huile dans les tourbières en Indonésie et en Malaisie pour les mêmes années. En outre, la couche  pour la perte de couvert forestier a été mise à jour, incluant la perte de couvert forestier jusqu’en 2021.</w:t>
      </w:r>
    </w:p>
    <w:p w14:paraId="0384DE20" w14:textId="77777777" w:rsidR="00A31C04" w:rsidRPr="00AF18C2" w:rsidRDefault="00A31C04" w:rsidP="002E265D">
      <w:pPr>
        <w:pStyle w:val="NormalTimesNewRoman"/>
        <w:rPr>
          <w:noProof/>
        </w:rPr>
      </w:pPr>
    </w:p>
    <w:p w14:paraId="31C9348B" w14:textId="77777777" w:rsidR="00D160BF" w:rsidRPr="00526778" w:rsidRDefault="00D160BF" w:rsidP="007E484F">
      <w:pPr>
        <w:pStyle w:val="NormalTimesNewRoman"/>
        <w:rPr>
          <w:i/>
          <w:noProof/>
        </w:rPr>
      </w:pPr>
      <w:r>
        <w:rPr>
          <w:i/>
          <w:noProof/>
        </w:rPr>
        <w:t xml:space="preserve">Cartographie régionale </w:t>
      </w:r>
    </w:p>
    <w:p w14:paraId="723C2A43" w14:textId="12A02B54" w:rsidR="00917428" w:rsidRDefault="00C72BB9" w:rsidP="00301BA2">
      <w:pPr>
        <w:pStyle w:val="NormalTimesNewRoman"/>
        <w:rPr>
          <w:noProof/>
        </w:rPr>
      </w:pPr>
      <w:r>
        <w:rPr>
          <w:noProof/>
        </w:rPr>
        <w:t xml:space="preserve">Les résultats de la cartographie mondiale ont été complétés par une </w:t>
      </w:r>
      <w:r>
        <w:rPr>
          <w:b/>
          <w:i/>
          <w:noProof/>
        </w:rPr>
        <w:t>cartographie régionale plus précise, qui a permis une évaluation plus détaillée</w:t>
      </w:r>
      <w:r>
        <w:rPr>
          <w:noProof/>
        </w:rPr>
        <w:t xml:space="preserve"> de l’expansion des cultures sur les terres présentant un important stock de carbone dans des régions clés qui ont été recensées dans la littérature et les cartes de déforestation comme étant particulièrement pertinentes ou qui sont des régions de production clés pour les cultures liées à l’expansion. Aux fins de la cartographie régionale, la télédétection et l’imagerie par satellite ont été utilisées. Sur la base des critères susmentionnés, cinq régions ont été choisies: L’Indonésie pour le palmier à huile, la Malaisie pour le palmier à huile, le bassin amazonien et les États du Cerrado au Brésil pour le soja, le Cerrado et les parties méridionales au Brésil pour la canne à sucre et la région du Gran Chaco au Paraguay, en Bolivie et en Argentine pour le soja. Aux fins de la cartographie régionale, la télédétection et l’imagerie par satellite ont été utilisées. </w:t>
      </w:r>
    </w:p>
    <w:p w14:paraId="002CFA8E" w14:textId="77777777" w:rsidR="002B100E" w:rsidRPr="00E425A8" w:rsidRDefault="002B100E" w:rsidP="002B100E">
      <w:pPr>
        <w:pStyle w:val="NormalTimesNewRoman"/>
        <w:rPr>
          <w:rFonts w:eastAsiaTheme="minorEastAsia"/>
          <w:noProof/>
        </w:rPr>
      </w:pPr>
      <w:r>
        <w:rPr>
          <w:noProof/>
        </w:rPr>
        <w:t>Enfin, les différentes sources de données ont été intégrées dans l’ensemble de données cartographiques mondiales. Les données sur les cultures primaires proviennent de la résolution MapSPAM 2010 de 10x10 km, complétée par les résultats régionaux à une résolution de 30x30 m afin de déterminer avec précision les superficies d’huile de palme en Indonésie et en Malaisie et de canne à sucre au Brésil. En outre, la couche pour le soja GEOGLAM 5x5 km de 2015 a fourni une couverture mondiale complète, avec une cartographie régionale intégrée pour des pays d’Amérique du Sud tels que le Brésil, l’Argentine, le Paraguay et la Bolivie. Ces couches à haute résolution, associées aux couches mises à jour de la Hansen Global Forest Change</w:t>
      </w:r>
      <w:r>
        <w:rPr>
          <w:rFonts w:eastAsiaTheme="minorEastAsia"/>
          <w:noProof/>
          <w:vertAlign w:val="superscript"/>
        </w:rPr>
        <w:footnoteReference w:id="20"/>
      </w:r>
      <w:r>
        <w:rPr>
          <w:noProof/>
        </w:rPr>
        <w:t xml:space="preserve"> pour la perte de couverture forestière et aux données d’extension des tourbières de Miettinen</w:t>
      </w:r>
      <w:r>
        <w:rPr>
          <w:rFonts w:eastAsiaTheme="minorEastAsia"/>
          <w:noProof/>
          <w:vertAlign w:val="superscript"/>
        </w:rPr>
        <w:footnoteReference w:id="21"/>
      </w:r>
      <w:r>
        <w:rPr>
          <w:noProof/>
        </w:rPr>
        <w:t xml:space="preserve">, ont permis une évaluation détaillée des tendances d’expansion des cultures. </w:t>
      </w:r>
    </w:p>
    <w:p w14:paraId="2FD2B8F7" w14:textId="505C4D13" w:rsidR="00B27348" w:rsidRDefault="00922ED6" w:rsidP="009F16FB">
      <w:pPr>
        <w:pStyle w:val="Style1"/>
        <w:rPr>
          <w:noProof/>
        </w:rPr>
      </w:pPr>
      <w:bookmarkStart w:id="7" w:name="_Toc109647470"/>
      <w:r>
        <w:rPr>
          <w:noProof/>
        </w:rPr>
        <w:t>DÉTERMINATION DE L’«EXPANSION SIGNIFICATIVE» SUR DES TERRES PRÉSENTANT UN IMPORTANT STOCK DE CARBONE</w:t>
      </w:r>
      <w:bookmarkEnd w:id="7"/>
    </w:p>
    <w:p w14:paraId="4AEBC4ED" w14:textId="0B3B75FB" w:rsidR="009F16FB" w:rsidRPr="00885571" w:rsidRDefault="009F16FB" w:rsidP="00AB79C0">
      <w:pPr>
        <w:pStyle w:val="Style1"/>
        <w:numPr>
          <w:ilvl w:val="0"/>
          <w:numId w:val="0"/>
        </w:numPr>
        <w:rPr>
          <w:noProof/>
        </w:rPr>
      </w:pPr>
    </w:p>
    <w:p w14:paraId="1AFCAF86" w14:textId="6C4DD63F" w:rsidR="00AD16D0" w:rsidRDefault="00AD16D0" w:rsidP="006E112B">
      <w:pPr>
        <w:jc w:val="both"/>
        <w:rPr>
          <w:rFonts w:ascii="Times New Roman" w:hAnsi="Times New Roman" w:cs="Times New Roman"/>
          <w:i/>
          <w:iCs/>
          <w:noProof/>
          <w:sz w:val="24"/>
          <w:szCs w:val="24"/>
        </w:rPr>
      </w:pPr>
      <w:r>
        <w:rPr>
          <w:rFonts w:ascii="Times New Roman" w:hAnsi="Times New Roman"/>
          <w:i/>
          <w:noProof/>
          <w:sz w:val="24"/>
        </w:rPr>
        <w:t xml:space="preserve">Émissions de gaz à effet de serre liées à l’expansion des matières premières sur des terres présentant un important stock de carbone </w:t>
      </w:r>
    </w:p>
    <w:p w14:paraId="6D1F23CC" w14:textId="7A751B98" w:rsidR="002F4E5C" w:rsidRDefault="00AD16D0" w:rsidP="006E112B">
      <w:pPr>
        <w:jc w:val="both"/>
        <w:rPr>
          <w:rFonts w:ascii="Times New Roman" w:hAnsi="Times New Roman" w:cs="Times New Roman"/>
          <w:noProof/>
          <w:sz w:val="24"/>
          <w:szCs w:val="24"/>
        </w:rPr>
      </w:pPr>
      <w:r>
        <w:rPr>
          <w:rFonts w:ascii="Times New Roman" w:hAnsi="Times New Roman"/>
          <w:noProof/>
          <w:sz w:val="24"/>
        </w:rPr>
        <w:t xml:space="preserve">Dans l’évaluation des émissions de GES associées à l’expansion des matières premières sur des terres présentant un important stock de carbone, il a été constaté que le palmier à huile était la culture ayant la charge de GES la plus élevée entre 2014 et 2021, en grande partie en raison de l’expansion de la production d’huile de palme sur des tourbières, qui représentait environ 52 % de ses émissions. D’autres cultures, telles que le maïs, la canne à sucre et la betterave sucrière, ont également contribué à d’importantes émissions, principalement en raison de l’élimination de la biomasse vivante et des matières organiques mortes, qui représentaient plus de 85 % de leurs émissions. </w:t>
      </w:r>
    </w:p>
    <w:p w14:paraId="102618E3" w14:textId="7DFE98EB" w:rsidR="00323753" w:rsidRPr="00323753" w:rsidRDefault="006875E0" w:rsidP="00323753">
      <w:pPr>
        <w:jc w:val="both"/>
        <w:rPr>
          <w:rFonts w:ascii="Times New Roman" w:hAnsi="Times New Roman" w:cs="Times New Roman"/>
          <w:noProof/>
          <w:sz w:val="24"/>
          <w:szCs w:val="24"/>
        </w:rPr>
      </w:pPr>
      <w:r>
        <w:rPr>
          <w:rFonts w:ascii="Times New Roman" w:hAnsi="Times New Roman"/>
          <w:noProof/>
          <w:sz w:val="24"/>
        </w:rPr>
        <w:t xml:space="preserve">La moyenne pondérée sur la base de la superficie d’expansion des émissions de GES pour les huit cultures est de 25 tCO2/ha/an, ce qui est supérieur à la valeur de 19,6 tCO2/ha/an indiquée dans le rapport CIAS 2019 de la Commission. L’explication de cette augmentation est double. Premièrement, le calcul a utilisé des valeurs spécifiques de biomasse aérienne par zone climatique et d’hectares d’expansion par zone climatique. Il en résulte une valeur en moyenne plus élevée de perte nette de carbone par hectare pour toutes les cultures. Deuxièmement, les émissions de carbone provenant du sol, de la biomasse souterraine (racines) et des matières organiques mortes ont également été incluses. </w:t>
      </w:r>
    </w:p>
    <w:p w14:paraId="6EE0DA11" w14:textId="41E7F673" w:rsidR="00AD16D0" w:rsidRDefault="00D01117" w:rsidP="006E112B">
      <w:pPr>
        <w:jc w:val="both"/>
        <w:rPr>
          <w:rFonts w:ascii="Times New Roman" w:hAnsi="Times New Roman" w:cs="Times New Roman"/>
          <w:noProof/>
          <w:sz w:val="24"/>
          <w:szCs w:val="24"/>
        </w:rPr>
      </w:pPr>
      <w:r>
        <w:rPr>
          <w:rFonts w:ascii="Times New Roman" w:hAnsi="Times New Roman"/>
          <w:noProof/>
          <w:sz w:val="24"/>
        </w:rPr>
        <w:t>Les résultats en matière d’émissions de GES varient selon que les cultures sont supposées remplacer des forêts primaires ou des forêts secondaires, ce qui détermine le stock de carbone issu de la biomasse aérienne. Pour gérer cette variabilité, un facteur moyen de biomasse aérienne a été adopté pour les forêts tropicales humides de l’Indonésie et de la Malaisie sur la base de l’évaluation des ressources forestières mondiales</w:t>
      </w:r>
      <w:r>
        <w:rPr>
          <w:rStyle w:val="FootnoteReference"/>
          <w:rFonts w:ascii="Times New Roman" w:hAnsi="Times New Roman" w:cs="Times New Roman"/>
          <w:noProof/>
          <w:sz w:val="24"/>
          <w:szCs w:val="24"/>
          <w:lang w:val="en-GB"/>
        </w:rPr>
        <w:footnoteReference w:id="22"/>
      </w:r>
      <w:r>
        <w:rPr>
          <w:rFonts w:ascii="Times New Roman" w:hAnsi="Times New Roman"/>
          <w:noProof/>
          <w:sz w:val="24"/>
        </w:rPr>
        <w:t xml:space="preserve">. </w:t>
      </w:r>
    </w:p>
    <w:tbl>
      <w:tblPr>
        <w:tblStyle w:val="EnergyReportTable1"/>
        <w:tblW w:w="5000" w:type="pct"/>
        <w:jc w:val="center"/>
        <w:tblInd w:w="0" w:type="dxa"/>
        <w:tblLook w:val="04A0" w:firstRow="1" w:lastRow="0" w:firstColumn="1" w:lastColumn="0" w:noHBand="0" w:noVBand="1"/>
      </w:tblPr>
      <w:tblGrid>
        <w:gridCol w:w="2406"/>
        <w:gridCol w:w="3327"/>
        <w:gridCol w:w="3293"/>
      </w:tblGrid>
      <w:tr w:rsidR="00F165B3" w:rsidRPr="00F165B3" w14:paraId="18A6C028" w14:textId="77777777" w:rsidTr="00F165B3">
        <w:trPr>
          <w:cnfStyle w:val="100000000000" w:firstRow="1" w:lastRow="0" w:firstColumn="0" w:lastColumn="0" w:oddVBand="0" w:evenVBand="0" w:oddHBand="0" w:evenHBand="0" w:firstRowFirstColumn="0" w:firstRowLastColumn="0" w:lastRowFirstColumn="0" w:lastRowLastColumn="0"/>
          <w:cantSplit/>
          <w:trHeight w:val="428"/>
          <w:jc w:val="center"/>
        </w:trPr>
        <w:tc>
          <w:tcPr>
            <w:cnfStyle w:val="001000000000" w:firstRow="0" w:lastRow="0" w:firstColumn="1" w:lastColumn="0" w:oddVBand="0" w:evenVBand="0" w:oddHBand="0" w:evenHBand="0" w:firstRowFirstColumn="0" w:firstRowLastColumn="0" w:lastRowFirstColumn="0" w:lastRowLastColumn="0"/>
            <w:tcW w:w="1333" w:type="pct"/>
            <w:shd w:val="clear" w:color="auto" w:fill="93D500"/>
            <w:hideMark/>
          </w:tcPr>
          <w:p w14:paraId="3D9F67ED" w14:textId="77777777" w:rsidR="00F165B3" w:rsidRPr="00F165B3" w:rsidRDefault="00F165B3" w:rsidP="00F165B3">
            <w:pPr>
              <w:keepNext/>
              <w:keepLines/>
              <w:spacing w:after="0"/>
              <w:jc w:val="center"/>
              <w:rPr>
                <w:noProof/>
                <w:sz w:val="18"/>
              </w:rPr>
            </w:pPr>
            <w:r>
              <w:rPr>
                <w:noProof/>
                <w:sz w:val="18"/>
              </w:rPr>
              <w:t>Culture</w:t>
            </w:r>
          </w:p>
        </w:tc>
        <w:tc>
          <w:tcPr>
            <w:tcW w:w="1843" w:type="pct"/>
            <w:shd w:val="clear" w:color="auto" w:fill="93D500"/>
            <w:hideMark/>
          </w:tcPr>
          <w:p w14:paraId="2762C6FE" w14:textId="77777777" w:rsidR="00F165B3" w:rsidRPr="0083646E" w:rsidRDefault="00F165B3" w:rsidP="00F165B3">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rPr>
            </w:pPr>
            <w:r>
              <w:rPr>
                <w:noProof/>
                <w:sz w:val="18"/>
              </w:rPr>
              <w:t>Charge en GES [tCO</w:t>
            </w:r>
            <w:r>
              <w:rPr>
                <w:noProof/>
                <w:sz w:val="18"/>
                <w:vertAlign w:val="subscript"/>
              </w:rPr>
              <w:t>2</w:t>
            </w:r>
            <w:r>
              <w:rPr>
                <w:noProof/>
                <w:sz w:val="18"/>
              </w:rPr>
              <w:t>/an/ha]</w:t>
            </w:r>
          </w:p>
        </w:tc>
        <w:tc>
          <w:tcPr>
            <w:tcW w:w="1824" w:type="pct"/>
            <w:shd w:val="clear" w:color="auto" w:fill="93D500"/>
            <w:hideMark/>
          </w:tcPr>
          <w:p w14:paraId="1378B43A" w14:textId="77777777" w:rsidR="00F165B3" w:rsidRPr="00F165B3" w:rsidRDefault="00F165B3" w:rsidP="00F165B3">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rPr>
            </w:pPr>
            <w:r>
              <w:rPr>
                <w:noProof/>
                <w:sz w:val="18"/>
              </w:rPr>
              <w:t>Part de la superficie totale d’expansion de toutes les cultures [ha]</w:t>
            </w:r>
          </w:p>
        </w:tc>
      </w:tr>
      <w:tr w:rsidR="00F165B3" w:rsidRPr="00F165B3" w14:paraId="6C5023AA" w14:textId="77777777" w:rsidTr="00F165B3">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50268304" w14:textId="77777777" w:rsidR="00F165B3" w:rsidRPr="00F165B3" w:rsidRDefault="00F165B3" w:rsidP="00F165B3">
            <w:pPr>
              <w:keepNext/>
              <w:keepLines/>
              <w:spacing w:after="0"/>
              <w:rPr>
                <w:noProof/>
                <w:sz w:val="18"/>
              </w:rPr>
            </w:pPr>
            <w:r>
              <w:rPr>
                <w:noProof/>
                <w:sz w:val="18"/>
              </w:rPr>
              <w:t>Palmier à huile</w:t>
            </w:r>
          </w:p>
        </w:tc>
        <w:tc>
          <w:tcPr>
            <w:tcW w:w="1843" w:type="pct"/>
            <w:tcBorders>
              <w:top w:val="single" w:sz="4" w:space="0" w:color="DCDDDE"/>
              <w:left w:val="nil"/>
              <w:bottom w:val="single" w:sz="4" w:space="0" w:color="DCDDDE"/>
              <w:right w:val="nil"/>
            </w:tcBorders>
            <w:vAlign w:val="bottom"/>
            <w:hideMark/>
          </w:tcPr>
          <w:p w14:paraId="707D0B0A"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32,6</w:t>
            </w:r>
          </w:p>
        </w:tc>
        <w:tc>
          <w:tcPr>
            <w:tcW w:w="1824" w:type="pct"/>
            <w:tcBorders>
              <w:top w:val="single" w:sz="4" w:space="0" w:color="DCDDDE"/>
              <w:left w:val="nil"/>
              <w:bottom w:val="single" w:sz="4" w:space="0" w:color="DCDDDE"/>
              <w:right w:val="nil"/>
            </w:tcBorders>
            <w:vAlign w:val="bottom"/>
            <w:hideMark/>
          </w:tcPr>
          <w:p w14:paraId="081D6FA1"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39 %</w:t>
            </w:r>
          </w:p>
        </w:tc>
      </w:tr>
      <w:tr w:rsidR="00F165B3" w:rsidRPr="00F165B3" w14:paraId="08B94F0D" w14:textId="77777777" w:rsidTr="00F165B3">
        <w:trPr>
          <w:cnfStyle w:val="000000010000" w:firstRow="0" w:lastRow="0" w:firstColumn="0" w:lastColumn="0" w:oddVBand="0" w:evenVBand="0" w:oddHBand="0" w:evenHBand="1"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59752917" w14:textId="77777777" w:rsidR="00F165B3" w:rsidRPr="00F165B3" w:rsidRDefault="00F165B3" w:rsidP="00F165B3">
            <w:pPr>
              <w:keepNext/>
              <w:keepLines/>
              <w:spacing w:after="0"/>
              <w:rPr>
                <w:noProof/>
                <w:sz w:val="18"/>
              </w:rPr>
            </w:pPr>
            <w:r>
              <w:rPr>
                <w:noProof/>
                <w:sz w:val="18"/>
              </w:rPr>
              <w:t>Graines de soja</w:t>
            </w:r>
          </w:p>
        </w:tc>
        <w:tc>
          <w:tcPr>
            <w:tcW w:w="1843" w:type="pct"/>
            <w:tcBorders>
              <w:top w:val="single" w:sz="4" w:space="0" w:color="DCDDDE"/>
              <w:left w:val="nil"/>
              <w:bottom w:val="single" w:sz="4" w:space="0" w:color="DCDDDE"/>
              <w:right w:val="nil"/>
            </w:tcBorders>
            <w:vAlign w:val="bottom"/>
            <w:hideMark/>
          </w:tcPr>
          <w:p w14:paraId="7EB64CC4"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Pr>
                <w:noProof/>
                <w:sz w:val="18"/>
              </w:rPr>
              <w:t>19,9</w:t>
            </w:r>
          </w:p>
        </w:tc>
        <w:tc>
          <w:tcPr>
            <w:tcW w:w="1824" w:type="pct"/>
            <w:tcBorders>
              <w:top w:val="single" w:sz="4" w:space="0" w:color="DCDDDE"/>
              <w:left w:val="nil"/>
              <w:bottom w:val="single" w:sz="4" w:space="0" w:color="DCDDDE"/>
              <w:right w:val="nil"/>
            </w:tcBorders>
            <w:vAlign w:val="bottom"/>
            <w:hideMark/>
          </w:tcPr>
          <w:p w14:paraId="32ABED3F"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Pr>
                <w:noProof/>
                <w:sz w:val="18"/>
              </w:rPr>
              <w:t>33 %</w:t>
            </w:r>
          </w:p>
        </w:tc>
      </w:tr>
      <w:tr w:rsidR="00F165B3" w:rsidRPr="00F165B3" w14:paraId="75A65DB4" w14:textId="77777777" w:rsidTr="00F165B3">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481A4BF0" w14:textId="77777777" w:rsidR="00F165B3" w:rsidRPr="00F165B3" w:rsidRDefault="00F165B3" w:rsidP="00F165B3">
            <w:pPr>
              <w:keepNext/>
              <w:keepLines/>
              <w:spacing w:after="0"/>
              <w:rPr>
                <w:noProof/>
                <w:sz w:val="18"/>
              </w:rPr>
            </w:pPr>
            <w:r>
              <w:rPr>
                <w:noProof/>
                <w:sz w:val="18"/>
              </w:rPr>
              <w:t>Maïs</w:t>
            </w:r>
          </w:p>
        </w:tc>
        <w:tc>
          <w:tcPr>
            <w:tcW w:w="1843" w:type="pct"/>
            <w:tcBorders>
              <w:top w:val="single" w:sz="4" w:space="0" w:color="DCDDDE"/>
              <w:left w:val="nil"/>
              <w:bottom w:val="single" w:sz="4" w:space="0" w:color="DCDDDE"/>
              <w:right w:val="nil"/>
            </w:tcBorders>
            <w:vAlign w:val="bottom"/>
            <w:hideMark/>
          </w:tcPr>
          <w:p w14:paraId="33E00217"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22,5</w:t>
            </w:r>
          </w:p>
        </w:tc>
        <w:tc>
          <w:tcPr>
            <w:tcW w:w="1824" w:type="pct"/>
            <w:tcBorders>
              <w:top w:val="single" w:sz="4" w:space="0" w:color="DCDDDE"/>
              <w:left w:val="nil"/>
              <w:bottom w:val="single" w:sz="4" w:space="0" w:color="DCDDDE"/>
              <w:right w:val="nil"/>
            </w:tcBorders>
            <w:vAlign w:val="bottom"/>
            <w:hideMark/>
          </w:tcPr>
          <w:p w14:paraId="33BD0645"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21 %</w:t>
            </w:r>
          </w:p>
        </w:tc>
      </w:tr>
      <w:tr w:rsidR="00F165B3" w:rsidRPr="00F165B3" w14:paraId="20D68022" w14:textId="77777777" w:rsidTr="00F165B3">
        <w:trPr>
          <w:cnfStyle w:val="000000010000" w:firstRow="0" w:lastRow="0" w:firstColumn="0" w:lastColumn="0" w:oddVBand="0" w:evenVBand="0" w:oddHBand="0" w:evenHBand="1"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0A65BE07" w14:textId="77777777" w:rsidR="00F165B3" w:rsidRPr="00F165B3" w:rsidRDefault="00F165B3" w:rsidP="00F165B3">
            <w:pPr>
              <w:keepNext/>
              <w:keepLines/>
              <w:spacing w:after="0"/>
              <w:rPr>
                <w:noProof/>
                <w:sz w:val="18"/>
              </w:rPr>
            </w:pPr>
            <w:r>
              <w:rPr>
                <w:noProof/>
                <w:sz w:val="18"/>
              </w:rPr>
              <w:t>Canne à sucre</w:t>
            </w:r>
          </w:p>
        </w:tc>
        <w:tc>
          <w:tcPr>
            <w:tcW w:w="1843" w:type="pct"/>
            <w:tcBorders>
              <w:top w:val="single" w:sz="4" w:space="0" w:color="DCDDDE"/>
              <w:left w:val="nil"/>
              <w:bottom w:val="single" w:sz="4" w:space="0" w:color="DCDDDE"/>
              <w:right w:val="nil"/>
            </w:tcBorders>
            <w:vAlign w:val="bottom"/>
            <w:hideMark/>
          </w:tcPr>
          <w:p w14:paraId="7C37BAED"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Pr>
                <w:noProof/>
                <w:sz w:val="18"/>
              </w:rPr>
              <w:t>20,8</w:t>
            </w:r>
          </w:p>
        </w:tc>
        <w:tc>
          <w:tcPr>
            <w:tcW w:w="1824" w:type="pct"/>
            <w:tcBorders>
              <w:top w:val="single" w:sz="4" w:space="0" w:color="DCDDDE"/>
              <w:left w:val="nil"/>
              <w:bottom w:val="single" w:sz="4" w:space="0" w:color="DCDDDE"/>
              <w:right w:val="nil"/>
            </w:tcBorders>
            <w:vAlign w:val="bottom"/>
            <w:hideMark/>
          </w:tcPr>
          <w:p w14:paraId="010B12A2"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Pr>
                <w:noProof/>
                <w:sz w:val="18"/>
              </w:rPr>
              <w:t>3 %</w:t>
            </w:r>
          </w:p>
        </w:tc>
      </w:tr>
      <w:tr w:rsidR="00F165B3" w:rsidRPr="00F165B3" w14:paraId="7F3EF4C3" w14:textId="77777777" w:rsidTr="00F165B3">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5FFE636E" w14:textId="77777777" w:rsidR="00F165B3" w:rsidRPr="00F165B3" w:rsidRDefault="00F165B3" w:rsidP="00F165B3">
            <w:pPr>
              <w:keepNext/>
              <w:keepLines/>
              <w:spacing w:after="0"/>
              <w:rPr>
                <w:noProof/>
                <w:sz w:val="18"/>
              </w:rPr>
            </w:pPr>
            <w:r>
              <w:rPr>
                <w:noProof/>
                <w:sz w:val="18"/>
              </w:rPr>
              <w:t>Froment (blé)</w:t>
            </w:r>
          </w:p>
        </w:tc>
        <w:tc>
          <w:tcPr>
            <w:tcW w:w="1843" w:type="pct"/>
            <w:tcBorders>
              <w:top w:val="single" w:sz="4" w:space="0" w:color="DCDDDE"/>
              <w:left w:val="nil"/>
              <w:bottom w:val="single" w:sz="4" w:space="0" w:color="DCDDDE"/>
              <w:right w:val="nil"/>
            </w:tcBorders>
            <w:vAlign w:val="bottom"/>
            <w:hideMark/>
          </w:tcPr>
          <w:p w14:paraId="3D395874"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16,2</w:t>
            </w:r>
          </w:p>
        </w:tc>
        <w:tc>
          <w:tcPr>
            <w:tcW w:w="1824" w:type="pct"/>
            <w:tcBorders>
              <w:top w:val="single" w:sz="4" w:space="0" w:color="DCDDDE"/>
              <w:left w:val="nil"/>
              <w:bottom w:val="single" w:sz="4" w:space="0" w:color="DCDDDE"/>
              <w:right w:val="nil"/>
            </w:tcBorders>
            <w:vAlign w:val="bottom"/>
            <w:hideMark/>
          </w:tcPr>
          <w:p w14:paraId="5C032212"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3 %</w:t>
            </w:r>
          </w:p>
        </w:tc>
      </w:tr>
      <w:tr w:rsidR="00F165B3" w:rsidRPr="00F165B3" w14:paraId="3B2DC585" w14:textId="77777777" w:rsidTr="00F165B3">
        <w:trPr>
          <w:cnfStyle w:val="000000010000" w:firstRow="0" w:lastRow="0" w:firstColumn="0" w:lastColumn="0" w:oddVBand="0" w:evenVBand="0" w:oddHBand="0" w:evenHBand="1"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2D40D015" w14:textId="77777777" w:rsidR="00F165B3" w:rsidRPr="00F165B3" w:rsidRDefault="00F165B3" w:rsidP="00F165B3">
            <w:pPr>
              <w:keepNext/>
              <w:keepLines/>
              <w:spacing w:after="0"/>
              <w:rPr>
                <w:noProof/>
                <w:sz w:val="18"/>
              </w:rPr>
            </w:pPr>
            <w:r>
              <w:rPr>
                <w:noProof/>
                <w:sz w:val="18"/>
              </w:rPr>
              <w:t>Graines de tournesol</w:t>
            </w:r>
          </w:p>
        </w:tc>
        <w:tc>
          <w:tcPr>
            <w:tcW w:w="1843" w:type="pct"/>
            <w:tcBorders>
              <w:top w:val="single" w:sz="4" w:space="0" w:color="DCDDDE"/>
              <w:left w:val="nil"/>
              <w:bottom w:val="single" w:sz="4" w:space="0" w:color="DCDDDE"/>
              <w:right w:val="nil"/>
            </w:tcBorders>
            <w:vAlign w:val="bottom"/>
            <w:hideMark/>
          </w:tcPr>
          <w:p w14:paraId="2A7B7731"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Pr>
                <w:noProof/>
                <w:sz w:val="18"/>
              </w:rPr>
              <w:t>19,1</w:t>
            </w:r>
          </w:p>
        </w:tc>
        <w:tc>
          <w:tcPr>
            <w:tcW w:w="1824" w:type="pct"/>
            <w:tcBorders>
              <w:top w:val="single" w:sz="4" w:space="0" w:color="DCDDDE"/>
              <w:left w:val="nil"/>
              <w:bottom w:val="single" w:sz="4" w:space="0" w:color="DCDDDE"/>
              <w:right w:val="nil"/>
            </w:tcBorders>
            <w:vAlign w:val="bottom"/>
            <w:hideMark/>
          </w:tcPr>
          <w:p w14:paraId="5D986A2A"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Pr>
                <w:noProof/>
                <w:sz w:val="18"/>
              </w:rPr>
              <w:t>1 %</w:t>
            </w:r>
          </w:p>
        </w:tc>
      </w:tr>
      <w:tr w:rsidR="00F165B3" w:rsidRPr="00F165B3" w14:paraId="198A58EC" w14:textId="77777777" w:rsidTr="00F165B3">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65FF473F" w14:textId="77777777" w:rsidR="00F165B3" w:rsidRPr="00F165B3" w:rsidRDefault="00F165B3" w:rsidP="00F165B3">
            <w:pPr>
              <w:keepNext/>
              <w:keepLines/>
              <w:spacing w:after="0"/>
              <w:rPr>
                <w:noProof/>
                <w:sz w:val="18"/>
              </w:rPr>
            </w:pPr>
            <w:r>
              <w:rPr>
                <w:noProof/>
                <w:sz w:val="18"/>
              </w:rPr>
              <w:t>Colza</w:t>
            </w:r>
          </w:p>
        </w:tc>
        <w:tc>
          <w:tcPr>
            <w:tcW w:w="1843" w:type="pct"/>
            <w:tcBorders>
              <w:top w:val="single" w:sz="4" w:space="0" w:color="DCDDDE"/>
              <w:left w:val="nil"/>
              <w:bottom w:val="single" w:sz="4" w:space="0" w:color="DCDDDE"/>
              <w:right w:val="nil"/>
            </w:tcBorders>
            <w:vAlign w:val="bottom"/>
            <w:hideMark/>
          </w:tcPr>
          <w:p w14:paraId="0D5D241E"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15,5</w:t>
            </w:r>
          </w:p>
        </w:tc>
        <w:tc>
          <w:tcPr>
            <w:tcW w:w="1824" w:type="pct"/>
            <w:tcBorders>
              <w:top w:val="single" w:sz="4" w:space="0" w:color="DCDDDE"/>
              <w:left w:val="nil"/>
              <w:bottom w:val="single" w:sz="4" w:space="0" w:color="DCDDDE"/>
              <w:right w:val="nil"/>
            </w:tcBorders>
            <w:vAlign w:val="bottom"/>
            <w:hideMark/>
          </w:tcPr>
          <w:p w14:paraId="493F3969"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rPr>
              <w:t>1 %</w:t>
            </w:r>
          </w:p>
        </w:tc>
      </w:tr>
      <w:tr w:rsidR="00F165B3" w:rsidRPr="00F165B3" w14:paraId="6CC64502" w14:textId="77777777" w:rsidTr="00F165B3">
        <w:trPr>
          <w:cnfStyle w:val="000000010000" w:firstRow="0" w:lastRow="0" w:firstColumn="0" w:lastColumn="0" w:oddVBand="0" w:evenVBand="0" w:oddHBand="0" w:evenHBand="1" w:firstRowFirstColumn="0" w:firstRowLastColumn="0" w:lastRowFirstColumn="0" w:lastRowLastColumn="0"/>
          <w:cantSplit/>
          <w:trHeight w:val="60"/>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8" w:space="0" w:color="555759"/>
              <w:right w:val="nil"/>
            </w:tcBorders>
            <w:hideMark/>
          </w:tcPr>
          <w:p w14:paraId="6B821F29" w14:textId="77777777" w:rsidR="00F165B3" w:rsidRPr="00F165B3" w:rsidRDefault="00F165B3" w:rsidP="00F165B3">
            <w:pPr>
              <w:keepNext/>
              <w:keepLines/>
              <w:spacing w:after="0"/>
              <w:rPr>
                <w:noProof/>
                <w:sz w:val="18"/>
              </w:rPr>
            </w:pPr>
            <w:r>
              <w:rPr>
                <w:noProof/>
                <w:sz w:val="18"/>
              </w:rPr>
              <w:t>Betterave à sucre</w:t>
            </w:r>
          </w:p>
        </w:tc>
        <w:tc>
          <w:tcPr>
            <w:tcW w:w="1843" w:type="pct"/>
            <w:tcBorders>
              <w:top w:val="single" w:sz="4" w:space="0" w:color="DCDDDE"/>
              <w:left w:val="nil"/>
              <w:bottom w:val="single" w:sz="8" w:space="0" w:color="555759"/>
              <w:right w:val="nil"/>
            </w:tcBorders>
            <w:vAlign w:val="bottom"/>
            <w:hideMark/>
          </w:tcPr>
          <w:p w14:paraId="79F26865"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Pr>
                <w:noProof/>
                <w:sz w:val="18"/>
              </w:rPr>
              <w:t>20,8</w:t>
            </w:r>
          </w:p>
        </w:tc>
        <w:tc>
          <w:tcPr>
            <w:tcW w:w="1824" w:type="pct"/>
            <w:tcBorders>
              <w:top w:val="single" w:sz="4" w:space="0" w:color="DCDDDE"/>
              <w:left w:val="nil"/>
              <w:bottom w:val="single" w:sz="8" w:space="0" w:color="555759"/>
              <w:right w:val="nil"/>
            </w:tcBorders>
            <w:vAlign w:val="bottom"/>
            <w:hideMark/>
          </w:tcPr>
          <w:p w14:paraId="639BD84F"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Pr>
                <w:noProof/>
                <w:sz w:val="18"/>
              </w:rPr>
              <w:t>0,01 %</w:t>
            </w:r>
          </w:p>
        </w:tc>
      </w:tr>
    </w:tbl>
    <w:p w14:paraId="50CED9DA" w14:textId="72052A77" w:rsidR="00483105" w:rsidRDefault="00F165B3" w:rsidP="006E112B">
      <w:pPr>
        <w:jc w:val="both"/>
        <w:rPr>
          <w:rFonts w:ascii="Times New Roman" w:eastAsia="Times New Roman" w:hAnsi="Times New Roman" w:cs="Times New Roman"/>
          <w:i/>
          <w:noProof/>
          <w:sz w:val="20"/>
          <w:szCs w:val="20"/>
        </w:rPr>
      </w:pPr>
      <w:r>
        <w:rPr>
          <w:rFonts w:ascii="Times New Roman" w:hAnsi="Times New Roman"/>
          <w:i/>
          <w:noProof/>
          <w:sz w:val="20"/>
        </w:rPr>
        <w:t>Tableau 2 - Émissions de GES par culture et par hectare converti</w:t>
      </w:r>
    </w:p>
    <w:p w14:paraId="02DEB6C2" w14:textId="38A42CD4" w:rsidR="00483105" w:rsidRPr="00D937A1" w:rsidRDefault="00F13568" w:rsidP="006E112B">
      <w:pPr>
        <w:jc w:val="both"/>
        <w:rPr>
          <w:rFonts w:ascii="Times New Roman" w:eastAsia="Times New Roman" w:hAnsi="Times New Roman" w:cs="Times New Roman"/>
          <w:i/>
          <w:noProof/>
          <w:sz w:val="24"/>
          <w:szCs w:val="24"/>
        </w:rPr>
      </w:pPr>
      <w:r>
        <w:rPr>
          <w:rFonts w:ascii="Times New Roman" w:hAnsi="Times New Roman"/>
          <w:i/>
          <w:noProof/>
          <w:sz w:val="24"/>
        </w:rPr>
        <w:t xml:space="preserve">Seuil d’expansion </w:t>
      </w:r>
    </w:p>
    <w:p w14:paraId="2D479E93" w14:textId="7FDD052D" w:rsidR="00484E4C" w:rsidRDefault="00845DA4" w:rsidP="006E112B">
      <w:pPr>
        <w:jc w:val="both"/>
        <w:rPr>
          <w:rFonts w:ascii="Times New Roman" w:hAnsi="Times New Roman" w:cs="Times New Roman"/>
          <w:noProof/>
          <w:sz w:val="24"/>
          <w:szCs w:val="24"/>
        </w:rPr>
      </w:pPr>
      <w:r>
        <w:rPr>
          <w:rFonts w:ascii="Times New Roman" w:hAnsi="Times New Roman"/>
          <w:noProof/>
          <w:sz w:val="24"/>
        </w:rPr>
        <w:t>Le seuil d’expansion (%) est estimé au moyen de la réduction minimale par défaut des émissions de CO</w:t>
      </w:r>
      <w:r>
        <w:rPr>
          <w:rFonts w:ascii="Times New Roman" w:hAnsi="Times New Roman"/>
          <w:noProof/>
          <w:sz w:val="24"/>
          <w:vertAlign w:val="subscript"/>
        </w:rPr>
        <w:t>2</w:t>
      </w:r>
      <w:r>
        <w:rPr>
          <w:rFonts w:ascii="Times New Roman" w:hAnsi="Times New Roman"/>
          <w:noProof/>
          <w:sz w:val="24"/>
        </w:rPr>
        <w:t xml:space="preserve"> (en CO</w:t>
      </w:r>
      <w:r>
        <w:rPr>
          <w:rFonts w:ascii="Times New Roman" w:hAnsi="Times New Roman"/>
          <w:noProof/>
          <w:sz w:val="24"/>
          <w:vertAlign w:val="subscript"/>
        </w:rPr>
        <w:t>2</w:t>
      </w:r>
      <w:r>
        <w:rPr>
          <w:rFonts w:ascii="Times New Roman" w:hAnsi="Times New Roman"/>
          <w:noProof/>
          <w:sz w:val="24"/>
        </w:rPr>
        <w:t>/MJ) aux émissions indirectes de GES calculées (en CO</w:t>
      </w:r>
      <w:r>
        <w:rPr>
          <w:rFonts w:ascii="Times New Roman" w:hAnsi="Times New Roman"/>
          <w:noProof/>
          <w:sz w:val="24"/>
          <w:vertAlign w:val="subscript"/>
        </w:rPr>
        <w:t>2</w:t>
      </w:r>
      <w:r>
        <w:rPr>
          <w:rFonts w:ascii="Times New Roman" w:hAnsi="Times New Roman"/>
          <w:noProof/>
          <w:sz w:val="24"/>
        </w:rPr>
        <w:t xml:space="preserve">/MJ) dues à l’expansion des matières premières sur des terres présentant un important stock de carbone. Auparavant, un seuil d’expansion de 14 % avait été défini sur la base de réductions spécifiques des émissions de gaz à effet de serre et d’apports de rendement énergétique. Grâce à l’application d’un facteur d’actualisation de précaution de 30 %, ce seuil a été ramené à 10 %, comme le prévoit l’article 3 du règlement délégué CIAS. Ce seuil a été recalculé à l’aide d’apports actualisés, c’est-à-dire un taux moyen d’émission de GES plus élevé de 25 tCO2/ha/an et un rendement énergétique ajusté de 53,6 GJ/ha/an, ce qui a donné lieu à un nouveau seuil de 11,0 %, confirmant ainsi le choix du seuil de 10 %. </w:t>
      </w:r>
    </w:p>
    <w:p w14:paraId="4EE49651" w14:textId="2348A3F0" w:rsidR="005D36CE" w:rsidRPr="00D937A1" w:rsidRDefault="00484E4C" w:rsidP="006E112B">
      <w:pPr>
        <w:jc w:val="both"/>
        <w:rPr>
          <w:rFonts w:ascii="Times New Roman" w:eastAsia="Times New Roman" w:hAnsi="Times New Roman" w:cs="Times New Roman"/>
          <w:i/>
          <w:noProof/>
          <w:sz w:val="24"/>
          <w:szCs w:val="24"/>
        </w:rPr>
      </w:pPr>
      <w:bookmarkStart w:id="8" w:name="_Toc149826817"/>
      <w:r>
        <w:rPr>
          <w:rFonts w:ascii="Times New Roman" w:hAnsi="Times New Roman"/>
          <w:i/>
          <w:noProof/>
          <w:sz w:val="24"/>
        </w:rPr>
        <w:t xml:space="preserve">Rendement énergétique moyen par matière première </w:t>
      </w:r>
      <w:bookmarkEnd w:id="8"/>
    </w:p>
    <w:p w14:paraId="1B773E2B" w14:textId="69CEB719" w:rsidR="005D36CE" w:rsidRPr="00D937A1" w:rsidRDefault="003B55FD" w:rsidP="00D937A1">
      <w:pPr>
        <w:jc w:val="both"/>
        <w:rPr>
          <w:rFonts w:ascii="Times New Roman" w:hAnsi="Times New Roman" w:cs="Times New Roman"/>
          <w:noProof/>
          <w:sz w:val="24"/>
          <w:szCs w:val="24"/>
        </w:rPr>
      </w:pPr>
      <w:r>
        <w:rPr>
          <w:rFonts w:ascii="Times New Roman" w:hAnsi="Times New Roman"/>
          <w:noProof/>
          <w:sz w:val="24"/>
        </w:rPr>
        <w:t xml:space="preserve">Le rendement énergétique moyen de chaque culture de matière première a été calculé selon une approche en quatre étapes. Premièrement, les 10 principaux pays producteurs par matière première et par an ont été recensés et leurs pourcentages de contribution ont été déterminés. Ensuite, les données relatives au rendement de FAOstat ont fourni la base de calcul du rendement moyen des cultures pour ces 10 pays chaque année. Dans un troisième temps, sur la base de ce rendement, le rendement énergétique annuel unique a été calculé pour chaque culture. Enfin, le rendement énergétique moyen pour la période 2014-2021 a été calculé, comme le montre le tableau 3. </w:t>
      </w:r>
    </w:p>
    <w:p w14:paraId="4898C88B" w14:textId="520DF5BF" w:rsidR="005D36CE" w:rsidRPr="0045620A" w:rsidRDefault="005D36CE" w:rsidP="005D36CE">
      <w:pPr>
        <w:keepNext/>
        <w:keepLines/>
        <w:spacing w:after="120" w:line="240" w:lineRule="auto"/>
        <w:jc w:val="center"/>
        <w:rPr>
          <w:rFonts w:ascii="Arial" w:eastAsia="Times New Roman" w:hAnsi="Arial" w:cs="Arial"/>
          <w:b/>
          <w:bCs/>
          <w:noProof/>
          <w:szCs w:val="20"/>
          <w:lang w:val="fr-BE"/>
        </w:rPr>
      </w:pPr>
    </w:p>
    <w:tbl>
      <w:tblPr>
        <w:tblStyle w:val="EnergyReportTable2"/>
        <w:tblW w:w="5000" w:type="pct"/>
        <w:jc w:val="center"/>
        <w:tblInd w:w="0" w:type="dxa"/>
        <w:tblLook w:val="04A0" w:firstRow="1" w:lastRow="0" w:firstColumn="1" w:lastColumn="0" w:noHBand="0" w:noVBand="1"/>
      </w:tblPr>
      <w:tblGrid>
        <w:gridCol w:w="891"/>
        <w:gridCol w:w="950"/>
        <w:gridCol w:w="833"/>
        <w:gridCol w:w="930"/>
        <w:gridCol w:w="1145"/>
        <w:gridCol w:w="1064"/>
        <w:gridCol w:w="1032"/>
        <w:gridCol w:w="1064"/>
        <w:gridCol w:w="1117"/>
      </w:tblGrid>
      <w:tr w:rsidR="005D36CE" w:rsidRPr="005D36CE" w14:paraId="1DFD50C1" w14:textId="77777777" w:rsidTr="005D36CE">
        <w:trPr>
          <w:cnfStyle w:val="100000000000" w:firstRow="1" w:lastRow="0" w:firstColumn="0" w:lastColumn="0" w:oddVBand="0" w:evenVBand="0" w:oddHBand="0" w:evenHBand="0" w:firstRowFirstColumn="0" w:firstRowLastColumn="0" w:lastRowFirstColumn="0" w:lastRowLastColumn="0"/>
          <w:cantSplit/>
          <w:trHeight w:val="428"/>
          <w:jc w:val="center"/>
        </w:trPr>
        <w:tc>
          <w:tcPr>
            <w:cnfStyle w:val="001000000000" w:firstRow="0" w:lastRow="0" w:firstColumn="1" w:lastColumn="0" w:oddVBand="0" w:evenVBand="0" w:oddHBand="0" w:evenHBand="0" w:firstRowFirstColumn="0" w:firstRowLastColumn="0" w:lastRowFirstColumn="0" w:lastRowLastColumn="0"/>
            <w:tcW w:w="494" w:type="pct"/>
            <w:shd w:val="clear" w:color="auto" w:fill="93D500"/>
            <w:hideMark/>
          </w:tcPr>
          <w:p w14:paraId="28525CEE" w14:textId="77777777" w:rsidR="005D36CE" w:rsidRPr="005D36CE" w:rsidRDefault="005D36CE" w:rsidP="005D36CE">
            <w:pPr>
              <w:keepNext/>
              <w:keepLines/>
              <w:spacing w:after="0"/>
              <w:jc w:val="center"/>
              <w:rPr>
                <w:noProof/>
                <w:sz w:val="18"/>
                <w:szCs w:val="18"/>
              </w:rPr>
            </w:pPr>
            <w:r>
              <w:rPr>
                <w:noProof/>
                <w:sz w:val="18"/>
              </w:rPr>
              <w:t>Période</w:t>
            </w:r>
          </w:p>
        </w:tc>
        <w:tc>
          <w:tcPr>
            <w:tcW w:w="449" w:type="pct"/>
            <w:shd w:val="clear" w:color="auto" w:fill="93D500"/>
            <w:hideMark/>
          </w:tcPr>
          <w:p w14:paraId="7AC3E788"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rPr>
              <w:t>Froment (blé)</w:t>
            </w:r>
          </w:p>
        </w:tc>
        <w:tc>
          <w:tcPr>
            <w:tcW w:w="481" w:type="pct"/>
            <w:shd w:val="clear" w:color="auto" w:fill="93D500"/>
            <w:hideMark/>
          </w:tcPr>
          <w:p w14:paraId="48963AC7"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rPr>
              <w:t>Maïs</w:t>
            </w:r>
          </w:p>
        </w:tc>
        <w:tc>
          <w:tcPr>
            <w:tcW w:w="525" w:type="pct"/>
            <w:shd w:val="clear" w:color="auto" w:fill="93D500"/>
            <w:hideMark/>
          </w:tcPr>
          <w:p w14:paraId="4659AD33"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rPr>
              <w:t>Canne à sucre</w:t>
            </w:r>
          </w:p>
        </w:tc>
        <w:tc>
          <w:tcPr>
            <w:tcW w:w="644" w:type="pct"/>
            <w:shd w:val="clear" w:color="auto" w:fill="93D500"/>
            <w:hideMark/>
          </w:tcPr>
          <w:p w14:paraId="79564D3F"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rPr>
              <w:t>Betterave à sucre</w:t>
            </w:r>
          </w:p>
        </w:tc>
        <w:tc>
          <w:tcPr>
            <w:tcW w:w="599" w:type="pct"/>
            <w:shd w:val="clear" w:color="auto" w:fill="93D500"/>
            <w:hideMark/>
          </w:tcPr>
          <w:p w14:paraId="7EDE7447"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rPr>
              <w:t>Colza</w:t>
            </w:r>
          </w:p>
        </w:tc>
        <w:tc>
          <w:tcPr>
            <w:tcW w:w="581" w:type="pct"/>
            <w:shd w:val="clear" w:color="auto" w:fill="93D500"/>
            <w:hideMark/>
          </w:tcPr>
          <w:p w14:paraId="371FB484"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rPr>
              <w:t>Fruits du palmier à huile</w:t>
            </w:r>
          </w:p>
        </w:tc>
        <w:tc>
          <w:tcPr>
            <w:tcW w:w="599" w:type="pct"/>
            <w:shd w:val="clear" w:color="auto" w:fill="93D500"/>
            <w:hideMark/>
          </w:tcPr>
          <w:p w14:paraId="565CF502"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rPr>
              <w:t>Graines de soja</w:t>
            </w:r>
          </w:p>
        </w:tc>
        <w:tc>
          <w:tcPr>
            <w:tcW w:w="629" w:type="pct"/>
            <w:shd w:val="clear" w:color="auto" w:fill="93D500"/>
            <w:hideMark/>
          </w:tcPr>
          <w:p w14:paraId="47302B63"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Pr>
                <w:noProof/>
                <w:sz w:val="18"/>
              </w:rPr>
              <w:t>Graines de tournesol</w:t>
            </w:r>
          </w:p>
        </w:tc>
      </w:tr>
      <w:tr w:rsidR="005D36CE" w:rsidRPr="005D36CE" w14:paraId="264FA9CA" w14:textId="77777777" w:rsidTr="005D36CE">
        <w:trPr>
          <w:cnfStyle w:val="000000100000" w:firstRow="0" w:lastRow="0" w:firstColumn="0" w:lastColumn="0" w:oddVBand="0" w:evenVBand="0" w:oddHBand="1" w:evenHBand="0" w:firstRowFirstColumn="0" w:firstRowLastColumn="0" w:lastRowFirstColumn="0" w:lastRowLastColumn="0"/>
          <w:cantSplit/>
          <w:trHeight w:val="259"/>
          <w:jc w:val="center"/>
        </w:trPr>
        <w:tc>
          <w:tcPr>
            <w:cnfStyle w:val="001000000000" w:firstRow="0" w:lastRow="0" w:firstColumn="1" w:lastColumn="0" w:oddVBand="0" w:evenVBand="0" w:oddHBand="0" w:evenHBand="0" w:firstRowFirstColumn="0" w:firstRowLastColumn="0" w:lastRowFirstColumn="0" w:lastRowLastColumn="0"/>
            <w:tcW w:w="494" w:type="pct"/>
            <w:tcBorders>
              <w:top w:val="single" w:sz="4" w:space="0" w:color="DCDDDE"/>
              <w:left w:val="nil"/>
              <w:bottom w:val="single" w:sz="8" w:space="0" w:color="555759"/>
              <w:right w:val="nil"/>
            </w:tcBorders>
            <w:hideMark/>
          </w:tcPr>
          <w:p w14:paraId="1A0FC326" w14:textId="77777777" w:rsidR="005D36CE" w:rsidRPr="005D36CE" w:rsidRDefault="005D36CE" w:rsidP="005D36CE">
            <w:pPr>
              <w:keepNext/>
              <w:keepLines/>
              <w:spacing w:after="0"/>
              <w:rPr>
                <w:noProof/>
                <w:sz w:val="18"/>
                <w:szCs w:val="18"/>
              </w:rPr>
            </w:pPr>
            <w:r>
              <w:rPr>
                <w:noProof/>
                <w:sz w:val="18"/>
              </w:rPr>
              <w:t>2014-2021</w:t>
            </w:r>
          </w:p>
        </w:tc>
        <w:tc>
          <w:tcPr>
            <w:tcW w:w="449" w:type="pct"/>
            <w:tcBorders>
              <w:top w:val="single" w:sz="4" w:space="0" w:color="DCDDDE"/>
              <w:left w:val="nil"/>
              <w:bottom w:val="single" w:sz="8" w:space="0" w:color="555759"/>
              <w:right w:val="nil"/>
            </w:tcBorders>
            <w:hideMark/>
          </w:tcPr>
          <w:p w14:paraId="69BE43C5"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6"/>
              </w:rPr>
              <w:t>32</w:t>
            </w:r>
          </w:p>
        </w:tc>
        <w:tc>
          <w:tcPr>
            <w:tcW w:w="481" w:type="pct"/>
            <w:tcBorders>
              <w:top w:val="single" w:sz="4" w:space="0" w:color="DCDDDE"/>
              <w:left w:val="nil"/>
              <w:bottom w:val="single" w:sz="8" w:space="0" w:color="555759"/>
              <w:right w:val="nil"/>
            </w:tcBorders>
            <w:hideMark/>
          </w:tcPr>
          <w:p w14:paraId="433ADAE5"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6"/>
              </w:rPr>
              <w:t>62</w:t>
            </w:r>
          </w:p>
        </w:tc>
        <w:tc>
          <w:tcPr>
            <w:tcW w:w="525" w:type="pct"/>
            <w:tcBorders>
              <w:top w:val="single" w:sz="4" w:space="0" w:color="DCDDDE"/>
              <w:left w:val="nil"/>
              <w:bottom w:val="single" w:sz="8" w:space="0" w:color="555759"/>
              <w:right w:val="nil"/>
            </w:tcBorders>
            <w:hideMark/>
          </w:tcPr>
          <w:p w14:paraId="43EC6679"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6"/>
              </w:rPr>
              <w:t>144</w:t>
            </w:r>
          </w:p>
        </w:tc>
        <w:tc>
          <w:tcPr>
            <w:tcW w:w="644" w:type="pct"/>
            <w:tcBorders>
              <w:top w:val="single" w:sz="4" w:space="0" w:color="DCDDDE"/>
              <w:left w:val="nil"/>
              <w:bottom w:val="single" w:sz="8" w:space="0" w:color="555759"/>
              <w:right w:val="nil"/>
            </w:tcBorders>
            <w:hideMark/>
          </w:tcPr>
          <w:p w14:paraId="5F23FD48"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6"/>
              </w:rPr>
              <w:t>133</w:t>
            </w:r>
          </w:p>
        </w:tc>
        <w:tc>
          <w:tcPr>
            <w:tcW w:w="599" w:type="pct"/>
            <w:tcBorders>
              <w:top w:val="single" w:sz="4" w:space="0" w:color="DCDDDE"/>
              <w:left w:val="nil"/>
              <w:bottom w:val="single" w:sz="8" w:space="0" w:color="555759"/>
              <w:right w:val="nil"/>
            </w:tcBorders>
            <w:hideMark/>
          </w:tcPr>
          <w:p w14:paraId="02B89E62"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6"/>
              </w:rPr>
              <w:t>32</w:t>
            </w:r>
          </w:p>
        </w:tc>
        <w:tc>
          <w:tcPr>
            <w:tcW w:w="581" w:type="pct"/>
            <w:tcBorders>
              <w:top w:val="single" w:sz="4" w:space="0" w:color="DCDDDE"/>
              <w:left w:val="nil"/>
              <w:bottom w:val="single" w:sz="8" w:space="0" w:color="555759"/>
              <w:right w:val="nil"/>
            </w:tcBorders>
            <w:hideMark/>
          </w:tcPr>
          <w:p w14:paraId="7FA0C64D"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6"/>
              </w:rPr>
              <w:t>132</w:t>
            </w:r>
          </w:p>
        </w:tc>
        <w:tc>
          <w:tcPr>
            <w:tcW w:w="599" w:type="pct"/>
            <w:tcBorders>
              <w:top w:val="single" w:sz="4" w:space="0" w:color="DCDDDE"/>
              <w:left w:val="nil"/>
              <w:bottom w:val="single" w:sz="8" w:space="0" w:color="555759"/>
              <w:right w:val="nil"/>
            </w:tcBorders>
            <w:hideMark/>
          </w:tcPr>
          <w:p w14:paraId="55E47AB9"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6"/>
              </w:rPr>
              <w:t>19</w:t>
            </w:r>
          </w:p>
        </w:tc>
        <w:tc>
          <w:tcPr>
            <w:tcW w:w="629" w:type="pct"/>
            <w:tcBorders>
              <w:top w:val="single" w:sz="4" w:space="0" w:color="DCDDDE"/>
              <w:left w:val="nil"/>
              <w:bottom w:val="single" w:sz="8" w:space="0" w:color="555759"/>
              <w:right w:val="nil"/>
            </w:tcBorders>
            <w:hideMark/>
          </w:tcPr>
          <w:p w14:paraId="3944FAA0"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6"/>
              </w:rPr>
              <w:t>30</w:t>
            </w:r>
          </w:p>
        </w:tc>
      </w:tr>
    </w:tbl>
    <w:p w14:paraId="126E24B5" w14:textId="04A9504D" w:rsidR="005D36CE" w:rsidRPr="00D937A1" w:rsidRDefault="00484E4C" w:rsidP="006E112B">
      <w:pPr>
        <w:jc w:val="both"/>
        <w:rPr>
          <w:rFonts w:ascii="Times New Roman" w:eastAsia="Times New Roman" w:hAnsi="Times New Roman" w:cs="Times New Roman"/>
          <w:i/>
          <w:noProof/>
          <w:sz w:val="20"/>
          <w:szCs w:val="20"/>
        </w:rPr>
      </w:pPr>
      <w:r>
        <w:rPr>
          <w:rFonts w:ascii="Times New Roman" w:hAnsi="Times New Roman"/>
          <w:i/>
          <w:noProof/>
          <w:sz w:val="20"/>
        </w:rPr>
        <w:t>Tableau 3 - Rendement énergétique moyen par matière première en GJ/ha</w:t>
      </w:r>
    </w:p>
    <w:p w14:paraId="3FF77FA6" w14:textId="0B315442" w:rsidR="00F06A77" w:rsidRDefault="00F06A77" w:rsidP="006E112B">
      <w:pPr>
        <w:jc w:val="both"/>
        <w:rPr>
          <w:rFonts w:ascii="Times New Roman" w:hAnsi="Times New Roman" w:cs="Times New Roman"/>
          <w:i/>
          <w:iCs/>
          <w:noProof/>
          <w:sz w:val="24"/>
          <w:szCs w:val="24"/>
        </w:rPr>
      </w:pPr>
      <w:r>
        <w:rPr>
          <w:rFonts w:ascii="Times New Roman" w:hAnsi="Times New Roman"/>
          <w:i/>
          <w:noProof/>
          <w:sz w:val="24"/>
        </w:rPr>
        <w:t>Facteurs de productivité</w:t>
      </w:r>
    </w:p>
    <w:p w14:paraId="519F65E2" w14:textId="78B5327E" w:rsidR="00F06A77" w:rsidRDefault="00EB4080" w:rsidP="006E112B">
      <w:pPr>
        <w:jc w:val="both"/>
        <w:rPr>
          <w:rFonts w:ascii="Times New Roman" w:hAnsi="Times New Roman" w:cs="Times New Roman"/>
          <w:noProof/>
          <w:sz w:val="24"/>
          <w:szCs w:val="24"/>
        </w:rPr>
      </w:pPr>
      <w:r>
        <w:rPr>
          <w:rFonts w:ascii="Times New Roman" w:hAnsi="Times New Roman"/>
          <w:noProof/>
          <w:sz w:val="24"/>
        </w:rPr>
        <w:t xml:space="preserve">Les facteurs de productivité des différentes cultures ont été calculés, en premier lieu, en déterminant le rendement moyen par hectare pour chaque culture pour la période 2014-2021, exprimé en tonnes par hectare. Ensuite, l’énergie totale de toutes les matières allouées par unité de poids des cultures a été calculée, en tenant compte de tous les produits échangés, ainsi que des pertes éventuelles, telles que celles survenant pendant le transport. Ensuite, l’énergie de toutes les matières allouées a été calculée pour un hectare planté sur une période de 20 ans. Enfin, le facteur de productivité pour chaque culture a été calculé au moyen de l’indexation des valeurs énergétiques calculées à l’étape précédente. Les valeurs calculées dans le cadre de l’étude de Guidehouse ont suivi de près les valeurs fournies dans le rapport CIAS 2019 de la Commission. Il a été constaté que le maïs, la canne à sucre, la betterave sucrière et le palmier à huile avaient des rendements nettement plus élevés que les autres cultures, ce qui justifie le maintien de facteurs de productivité plus élevés pour ces cultures. </w:t>
      </w:r>
    </w:p>
    <w:tbl>
      <w:tblPr>
        <w:tblStyle w:val="EnergyReportTable3"/>
        <w:tblpPr w:leftFromText="180" w:rightFromText="180" w:vertAnchor="text" w:horzAnchor="margin" w:tblpY="351"/>
        <w:tblW w:w="3862" w:type="pct"/>
        <w:tblInd w:w="0" w:type="dxa"/>
        <w:tblLook w:val="04A0" w:firstRow="1" w:lastRow="0" w:firstColumn="1" w:lastColumn="0" w:noHBand="0" w:noVBand="1"/>
      </w:tblPr>
      <w:tblGrid>
        <w:gridCol w:w="2086"/>
        <w:gridCol w:w="2831"/>
        <w:gridCol w:w="2055"/>
      </w:tblGrid>
      <w:tr w:rsidR="00092F1B" w:rsidRPr="004B76D2" w14:paraId="682654B3" w14:textId="77777777" w:rsidTr="00092F1B">
        <w:trPr>
          <w:cnfStyle w:val="100000000000" w:firstRow="1" w:lastRow="0" w:firstColumn="0" w:lastColumn="0" w:oddVBand="0" w:evenVBand="0" w:oddHBand="0" w:evenHBand="0" w:firstRowFirstColumn="0" w:firstRowLastColumn="0" w:lastRowFirstColumn="0" w:lastRowLastColumn="0"/>
          <w:cantSplit/>
          <w:trHeight w:val="624"/>
        </w:trPr>
        <w:tc>
          <w:tcPr>
            <w:cnfStyle w:val="001000000000" w:firstRow="0" w:lastRow="0" w:firstColumn="1" w:lastColumn="0" w:oddVBand="0" w:evenVBand="0" w:oddHBand="0" w:evenHBand="0" w:firstRowFirstColumn="0" w:firstRowLastColumn="0" w:lastRowFirstColumn="0" w:lastRowLastColumn="0"/>
            <w:tcW w:w="1496" w:type="pct"/>
            <w:shd w:val="clear" w:color="auto" w:fill="93D500"/>
            <w:hideMark/>
          </w:tcPr>
          <w:p w14:paraId="65EBD9DC" w14:textId="77777777" w:rsidR="00092F1B" w:rsidRPr="004B76D2" w:rsidRDefault="00092F1B" w:rsidP="00092F1B">
            <w:pPr>
              <w:spacing w:after="0"/>
              <w:rPr>
                <w:noProof/>
                <w:sz w:val="18"/>
                <w:szCs w:val="16"/>
              </w:rPr>
            </w:pPr>
            <w:r>
              <w:rPr>
                <w:noProof/>
                <w:sz w:val="18"/>
              </w:rPr>
              <w:t>Culture</w:t>
            </w:r>
          </w:p>
        </w:tc>
        <w:tc>
          <w:tcPr>
            <w:tcW w:w="2030" w:type="pct"/>
            <w:shd w:val="clear" w:color="auto" w:fill="93D500"/>
            <w:hideMark/>
          </w:tcPr>
          <w:p w14:paraId="2411ADCE" w14:textId="77777777" w:rsidR="00092F1B" w:rsidRPr="004B76D2" w:rsidRDefault="00092F1B" w:rsidP="00092F1B">
            <w:pPr>
              <w:spacing w:after="0"/>
              <w:cnfStyle w:val="100000000000" w:firstRow="1" w:lastRow="0" w:firstColumn="0" w:lastColumn="0" w:oddVBand="0" w:evenVBand="0" w:oddHBand="0" w:evenHBand="0" w:firstRowFirstColumn="0" w:firstRowLastColumn="0" w:lastRowFirstColumn="0" w:lastRowLastColumn="0"/>
              <w:rPr>
                <w:noProof/>
                <w:sz w:val="18"/>
                <w:szCs w:val="16"/>
              </w:rPr>
            </w:pPr>
            <w:r>
              <w:rPr>
                <w:noProof/>
                <w:sz w:val="18"/>
              </w:rPr>
              <w:t>FP du rapport 2008-2017 sur l’expansion des matières premières</w:t>
            </w:r>
          </w:p>
        </w:tc>
        <w:tc>
          <w:tcPr>
            <w:tcW w:w="1474" w:type="pct"/>
            <w:shd w:val="clear" w:color="auto" w:fill="93D500"/>
            <w:hideMark/>
          </w:tcPr>
          <w:p w14:paraId="55458C5B" w14:textId="77777777" w:rsidR="00092F1B" w:rsidRPr="004B76D2" w:rsidRDefault="00092F1B" w:rsidP="00092F1B">
            <w:pPr>
              <w:spacing w:after="0"/>
              <w:cnfStyle w:val="100000000000" w:firstRow="1" w:lastRow="0" w:firstColumn="0" w:lastColumn="0" w:oddVBand="0" w:evenVBand="0" w:oddHBand="0" w:evenHBand="0" w:firstRowFirstColumn="0" w:firstRowLastColumn="0" w:lastRowFirstColumn="0" w:lastRowLastColumn="0"/>
              <w:rPr>
                <w:noProof/>
                <w:sz w:val="18"/>
                <w:szCs w:val="16"/>
              </w:rPr>
            </w:pPr>
            <w:r>
              <w:rPr>
                <w:noProof/>
                <w:sz w:val="18"/>
              </w:rPr>
              <w:t>FP de la présente analyse 2014-2021</w:t>
            </w:r>
          </w:p>
        </w:tc>
      </w:tr>
      <w:tr w:rsidR="00092F1B" w:rsidRPr="004B76D2" w14:paraId="41F84FCF"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218C4879" w14:textId="77777777" w:rsidR="00092F1B" w:rsidRPr="004B76D2" w:rsidRDefault="00092F1B" w:rsidP="00092F1B">
            <w:pPr>
              <w:spacing w:after="0"/>
              <w:rPr>
                <w:b/>
                <w:noProof/>
                <w:color w:val="3F4143"/>
                <w:sz w:val="18"/>
                <w:szCs w:val="16"/>
              </w:rPr>
            </w:pPr>
            <w:r>
              <w:rPr>
                <w:b/>
                <w:noProof/>
                <w:color w:val="3F4143"/>
                <w:sz w:val="18"/>
              </w:rPr>
              <w:t>Froment (blé)</w:t>
            </w:r>
          </w:p>
        </w:tc>
        <w:tc>
          <w:tcPr>
            <w:tcW w:w="2030" w:type="pct"/>
            <w:tcBorders>
              <w:top w:val="single" w:sz="4" w:space="0" w:color="DCDDDE"/>
              <w:left w:val="nil"/>
              <w:bottom w:val="single" w:sz="4" w:space="0" w:color="DCDDDE"/>
              <w:right w:val="nil"/>
            </w:tcBorders>
            <w:noWrap/>
            <w:hideMark/>
          </w:tcPr>
          <w:p w14:paraId="1DC4FD96"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Pr>
                <w:noProof/>
                <w:sz w:val="18"/>
              </w:rPr>
              <w:t>1</w:t>
            </w:r>
          </w:p>
        </w:tc>
        <w:tc>
          <w:tcPr>
            <w:tcW w:w="1474" w:type="pct"/>
            <w:tcBorders>
              <w:top w:val="single" w:sz="4" w:space="0" w:color="DCDDDE"/>
              <w:left w:val="nil"/>
              <w:bottom w:val="single" w:sz="4" w:space="0" w:color="DCDDDE"/>
              <w:right w:val="nil"/>
            </w:tcBorders>
            <w:noWrap/>
            <w:hideMark/>
          </w:tcPr>
          <w:p w14:paraId="29411CBD" w14:textId="5CE671B7" w:rsidR="00092F1B" w:rsidRPr="004B76D2" w:rsidRDefault="006F1A4D"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Pr>
                <w:noProof/>
                <w:sz w:val="18"/>
              </w:rPr>
              <w:t>0,9</w:t>
            </w:r>
          </w:p>
        </w:tc>
      </w:tr>
      <w:tr w:rsidR="00092F1B" w:rsidRPr="004B76D2" w14:paraId="36D15844"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6E1A872C" w14:textId="77777777" w:rsidR="00092F1B" w:rsidRPr="004B76D2" w:rsidRDefault="00092F1B" w:rsidP="00092F1B">
            <w:pPr>
              <w:spacing w:after="0"/>
              <w:rPr>
                <w:b/>
                <w:noProof/>
                <w:color w:val="3F4143"/>
                <w:sz w:val="18"/>
                <w:szCs w:val="16"/>
              </w:rPr>
            </w:pPr>
            <w:r>
              <w:rPr>
                <w:b/>
                <w:noProof/>
                <w:color w:val="3F4143"/>
                <w:sz w:val="18"/>
              </w:rPr>
              <w:t>Maïs</w:t>
            </w:r>
          </w:p>
        </w:tc>
        <w:tc>
          <w:tcPr>
            <w:tcW w:w="2030" w:type="pct"/>
            <w:tcBorders>
              <w:top w:val="single" w:sz="4" w:space="0" w:color="DCDDDE"/>
              <w:left w:val="nil"/>
              <w:bottom w:val="single" w:sz="4" w:space="0" w:color="DCDDDE"/>
              <w:right w:val="nil"/>
            </w:tcBorders>
            <w:noWrap/>
            <w:hideMark/>
          </w:tcPr>
          <w:p w14:paraId="0AC08E0F"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Pr>
                <w:noProof/>
                <w:sz w:val="18"/>
              </w:rPr>
              <w:t>1,7</w:t>
            </w:r>
          </w:p>
        </w:tc>
        <w:tc>
          <w:tcPr>
            <w:tcW w:w="1474" w:type="pct"/>
            <w:tcBorders>
              <w:top w:val="single" w:sz="4" w:space="0" w:color="DCDDDE"/>
              <w:left w:val="nil"/>
              <w:bottom w:val="single" w:sz="4" w:space="0" w:color="DCDDDE"/>
              <w:right w:val="nil"/>
            </w:tcBorders>
            <w:noWrap/>
            <w:hideMark/>
          </w:tcPr>
          <w:p w14:paraId="18169EA8"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Pr>
                <w:noProof/>
                <w:sz w:val="18"/>
              </w:rPr>
              <w:t>2,0</w:t>
            </w:r>
          </w:p>
        </w:tc>
      </w:tr>
      <w:tr w:rsidR="00092F1B" w:rsidRPr="004B76D2" w14:paraId="78B48F48"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1833FC40" w14:textId="77777777" w:rsidR="00092F1B" w:rsidRPr="004B76D2" w:rsidRDefault="00092F1B" w:rsidP="00092F1B">
            <w:pPr>
              <w:spacing w:after="0"/>
              <w:rPr>
                <w:b/>
                <w:noProof/>
                <w:color w:val="3F4143"/>
                <w:sz w:val="18"/>
                <w:szCs w:val="16"/>
              </w:rPr>
            </w:pPr>
            <w:r>
              <w:rPr>
                <w:b/>
                <w:noProof/>
                <w:color w:val="3F4143"/>
                <w:sz w:val="18"/>
              </w:rPr>
              <w:t>Canne à sucre</w:t>
            </w:r>
          </w:p>
        </w:tc>
        <w:tc>
          <w:tcPr>
            <w:tcW w:w="2030" w:type="pct"/>
            <w:tcBorders>
              <w:top w:val="single" w:sz="4" w:space="0" w:color="DCDDDE"/>
              <w:left w:val="nil"/>
              <w:bottom w:val="single" w:sz="4" w:space="0" w:color="DCDDDE"/>
              <w:right w:val="nil"/>
            </w:tcBorders>
            <w:noWrap/>
            <w:hideMark/>
          </w:tcPr>
          <w:p w14:paraId="1D60EB09"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Pr>
                <w:noProof/>
                <w:sz w:val="18"/>
              </w:rPr>
              <w:t>2,2</w:t>
            </w:r>
          </w:p>
        </w:tc>
        <w:tc>
          <w:tcPr>
            <w:tcW w:w="1474" w:type="pct"/>
            <w:tcBorders>
              <w:top w:val="single" w:sz="4" w:space="0" w:color="DCDDDE"/>
              <w:left w:val="nil"/>
              <w:bottom w:val="single" w:sz="4" w:space="0" w:color="DCDDDE"/>
              <w:right w:val="nil"/>
            </w:tcBorders>
            <w:noWrap/>
            <w:hideMark/>
          </w:tcPr>
          <w:p w14:paraId="2A256C32"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Pr>
                <w:noProof/>
                <w:sz w:val="18"/>
              </w:rPr>
              <w:t>1,9</w:t>
            </w:r>
          </w:p>
        </w:tc>
      </w:tr>
      <w:tr w:rsidR="00092F1B" w:rsidRPr="004B76D2" w14:paraId="389EF429"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41E9A42F" w14:textId="77777777" w:rsidR="00092F1B" w:rsidRPr="004B76D2" w:rsidRDefault="00092F1B" w:rsidP="00092F1B">
            <w:pPr>
              <w:spacing w:after="0"/>
              <w:rPr>
                <w:b/>
                <w:noProof/>
                <w:color w:val="3F4143"/>
                <w:sz w:val="18"/>
                <w:szCs w:val="16"/>
              </w:rPr>
            </w:pPr>
            <w:r>
              <w:rPr>
                <w:b/>
                <w:noProof/>
                <w:color w:val="3F4143"/>
                <w:sz w:val="18"/>
              </w:rPr>
              <w:t>Betterave à sucre</w:t>
            </w:r>
          </w:p>
        </w:tc>
        <w:tc>
          <w:tcPr>
            <w:tcW w:w="2030" w:type="pct"/>
            <w:tcBorders>
              <w:top w:val="single" w:sz="4" w:space="0" w:color="DCDDDE"/>
              <w:left w:val="nil"/>
              <w:bottom w:val="single" w:sz="4" w:space="0" w:color="DCDDDE"/>
              <w:right w:val="nil"/>
            </w:tcBorders>
            <w:noWrap/>
            <w:hideMark/>
          </w:tcPr>
          <w:p w14:paraId="3B4C6F9F"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Pr>
                <w:noProof/>
                <w:sz w:val="18"/>
              </w:rPr>
              <w:t>3,2</w:t>
            </w:r>
          </w:p>
        </w:tc>
        <w:tc>
          <w:tcPr>
            <w:tcW w:w="1474" w:type="pct"/>
            <w:tcBorders>
              <w:top w:val="single" w:sz="4" w:space="0" w:color="DCDDDE"/>
              <w:left w:val="nil"/>
              <w:bottom w:val="single" w:sz="4" w:space="0" w:color="DCDDDE"/>
              <w:right w:val="nil"/>
            </w:tcBorders>
            <w:noWrap/>
            <w:hideMark/>
          </w:tcPr>
          <w:p w14:paraId="7E630AB6"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Pr>
                <w:noProof/>
                <w:sz w:val="18"/>
              </w:rPr>
              <w:t>3,1</w:t>
            </w:r>
          </w:p>
        </w:tc>
      </w:tr>
      <w:tr w:rsidR="00092F1B" w:rsidRPr="004B76D2" w14:paraId="475A3426"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45098F1A" w14:textId="77777777" w:rsidR="00092F1B" w:rsidRPr="004B76D2" w:rsidRDefault="00092F1B" w:rsidP="00092F1B">
            <w:pPr>
              <w:spacing w:after="0"/>
              <w:rPr>
                <w:b/>
                <w:noProof/>
                <w:color w:val="3F4143"/>
                <w:sz w:val="18"/>
                <w:szCs w:val="16"/>
              </w:rPr>
            </w:pPr>
            <w:r>
              <w:rPr>
                <w:b/>
                <w:noProof/>
                <w:color w:val="3F4143"/>
                <w:sz w:val="18"/>
              </w:rPr>
              <w:t>Colza</w:t>
            </w:r>
          </w:p>
        </w:tc>
        <w:tc>
          <w:tcPr>
            <w:tcW w:w="2030" w:type="pct"/>
            <w:tcBorders>
              <w:top w:val="single" w:sz="4" w:space="0" w:color="DCDDDE"/>
              <w:left w:val="nil"/>
              <w:bottom w:val="single" w:sz="4" w:space="0" w:color="DCDDDE"/>
              <w:right w:val="nil"/>
            </w:tcBorders>
            <w:noWrap/>
            <w:hideMark/>
          </w:tcPr>
          <w:p w14:paraId="1AC3B9DB"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Pr>
                <w:noProof/>
                <w:sz w:val="18"/>
              </w:rPr>
              <w:t>1</w:t>
            </w:r>
          </w:p>
        </w:tc>
        <w:tc>
          <w:tcPr>
            <w:tcW w:w="1474" w:type="pct"/>
            <w:tcBorders>
              <w:top w:val="single" w:sz="4" w:space="0" w:color="DCDDDE"/>
              <w:left w:val="nil"/>
              <w:bottom w:val="single" w:sz="4" w:space="0" w:color="DCDDDE"/>
              <w:right w:val="nil"/>
            </w:tcBorders>
            <w:noWrap/>
            <w:hideMark/>
          </w:tcPr>
          <w:p w14:paraId="61BDBF21" w14:textId="00AD16F8" w:rsidR="00092F1B" w:rsidRPr="004B76D2" w:rsidRDefault="006F1A4D"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Pr>
                <w:noProof/>
                <w:sz w:val="18"/>
              </w:rPr>
              <w:t>0,9</w:t>
            </w:r>
          </w:p>
        </w:tc>
      </w:tr>
      <w:tr w:rsidR="00092F1B" w:rsidRPr="004B76D2" w14:paraId="24E790FA"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6A8F6381" w14:textId="77777777" w:rsidR="00092F1B" w:rsidRPr="004B76D2" w:rsidRDefault="00092F1B" w:rsidP="00092F1B">
            <w:pPr>
              <w:spacing w:after="0"/>
              <w:rPr>
                <w:b/>
                <w:noProof/>
                <w:color w:val="3F4143"/>
                <w:sz w:val="18"/>
                <w:szCs w:val="16"/>
              </w:rPr>
            </w:pPr>
            <w:r>
              <w:rPr>
                <w:b/>
                <w:noProof/>
                <w:color w:val="3F4143"/>
                <w:sz w:val="18"/>
              </w:rPr>
              <w:t>Palmier à huile</w:t>
            </w:r>
          </w:p>
        </w:tc>
        <w:tc>
          <w:tcPr>
            <w:tcW w:w="2030" w:type="pct"/>
            <w:tcBorders>
              <w:top w:val="single" w:sz="4" w:space="0" w:color="DCDDDE"/>
              <w:left w:val="nil"/>
              <w:bottom w:val="single" w:sz="4" w:space="0" w:color="DCDDDE"/>
              <w:right w:val="nil"/>
            </w:tcBorders>
            <w:noWrap/>
            <w:hideMark/>
          </w:tcPr>
          <w:p w14:paraId="19E93391"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Pr>
                <w:noProof/>
                <w:sz w:val="18"/>
              </w:rPr>
              <w:t>2,5</w:t>
            </w:r>
          </w:p>
        </w:tc>
        <w:tc>
          <w:tcPr>
            <w:tcW w:w="1474" w:type="pct"/>
            <w:tcBorders>
              <w:top w:val="single" w:sz="4" w:space="0" w:color="DCDDDE"/>
              <w:left w:val="nil"/>
              <w:bottom w:val="single" w:sz="4" w:space="0" w:color="DCDDDE"/>
              <w:right w:val="nil"/>
            </w:tcBorders>
            <w:noWrap/>
            <w:hideMark/>
          </w:tcPr>
          <w:p w14:paraId="226C0424"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Pr>
                <w:noProof/>
                <w:sz w:val="18"/>
              </w:rPr>
              <w:t>2,2</w:t>
            </w:r>
          </w:p>
        </w:tc>
      </w:tr>
      <w:tr w:rsidR="00092F1B" w:rsidRPr="004B76D2" w14:paraId="1ABCD367"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62B18DA0" w14:textId="77777777" w:rsidR="00092F1B" w:rsidRPr="004B76D2" w:rsidRDefault="00092F1B" w:rsidP="00092F1B">
            <w:pPr>
              <w:spacing w:after="0"/>
              <w:rPr>
                <w:b/>
                <w:noProof/>
                <w:color w:val="3F4143"/>
                <w:sz w:val="18"/>
                <w:szCs w:val="16"/>
              </w:rPr>
            </w:pPr>
            <w:r>
              <w:rPr>
                <w:b/>
                <w:noProof/>
                <w:color w:val="3F4143"/>
                <w:sz w:val="18"/>
              </w:rPr>
              <w:t>Graines de soja</w:t>
            </w:r>
          </w:p>
        </w:tc>
        <w:tc>
          <w:tcPr>
            <w:tcW w:w="2030" w:type="pct"/>
            <w:tcBorders>
              <w:top w:val="single" w:sz="4" w:space="0" w:color="DCDDDE"/>
              <w:left w:val="nil"/>
              <w:bottom w:val="single" w:sz="4" w:space="0" w:color="DCDDDE"/>
              <w:right w:val="nil"/>
            </w:tcBorders>
            <w:noWrap/>
            <w:hideMark/>
          </w:tcPr>
          <w:p w14:paraId="509325EA"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Pr>
                <w:noProof/>
                <w:sz w:val="18"/>
              </w:rPr>
              <w:t>1</w:t>
            </w:r>
          </w:p>
        </w:tc>
        <w:tc>
          <w:tcPr>
            <w:tcW w:w="1474" w:type="pct"/>
            <w:tcBorders>
              <w:top w:val="single" w:sz="4" w:space="0" w:color="DCDDDE"/>
              <w:left w:val="nil"/>
              <w:bottom w:val="single" w:sz="4" w:space="0" w:color="DCDDDE"/>
              <w:right w:val="nil"/>
            </w:tcBorders>
            <w:noWrap/>
            <w:hideMark/>
          </w:tcPr>
          <w:p w14:paraId="38226656"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Pr>
                <w:noProof/>
                <w:sz w:val="18"/>
              </w:rPr>
              <w:t>1,0</w:t>
            </w:r>
          </w:p>
        </w:tc>
      </w:tr>
      <w:tr w:rsidR="00092F1B" w:rsidRPr="004B76D2" w14:paraId="2F08EFE1"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8" w:space="0" w:color="555759"/>
              <w:right w:val="nil"/>
            </w:tcBorders>
            <w:noWrap/>
            <w:hideMark/>
          </w:tcPr>
          <w:p w14:paraId="5906C7F2" w14:textId="77777777" w:rsidR="00092F1B" w:rsidRPr="004B76D2" w:rsidRDefault="00092F1B" w:rsidP="00092F1B">
            <w:pPr>
              <w:spacing w:after="0"/>
              <w:rPr>
                <w:b/>
                <w:noProof/>
                <w:color w:val="3F4143"/>
                <w:sz w:val="18"/>
                <w:szCs w:val="16"/>
              </w:rPr>
            </w:pPr>
            <w:r>
              <w:rPr>
                <w:b/>
                <w:noProof/>
                <w:color w:val="3F4143"/>
                <w:sz w:val="18"/>
              </w:rPr>
              <w:t>Tournesol</w:t>
            </w:r>
          </w:p>
        </w:tc>
        <w:tc>
          <w:tcPr>
            <w:tcW w:w="2030" w:type="pct"/>
            <w:tcBorders>
              <w:top w:val="single" w:sz="4" w:space="0" w:color="DCDDDE"/>
              <w:left w:val="nil"/>
              <w:bottom w:val="single" w:sz="8" w:space="0" w:color="555759"/>
              <w:right w:val="nil"/>
            </w:tcBorders>
            <w:noWrap/>
            <w:hideMark/>
          </w:tcPr>
          <w:p w14:paraId="74316B39"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Pr>
                <w:noProof/>
                <w:sz w:val="18"/>
              </w:rPr>
              <w:t>1</w:t>
            </w:r>
          </w:p>
        </w:tc>
        <w:tc>
          <w:tcPr>
            <w:tcW w:w="1474" w:type="pct"/>
            <w:tcBorders>
              <w:top w:val="single" w:sz="4" w:space="0" w:color="DCDDDE"/>
              <w:left w:val="nil"/>
              <w:bottom w:val="single" w:sz="8" w:space="0" w:color="555759"/>
              <w:right w:val="nil"/>
            </w:tcBorders>
            <w:noWrap/>
            <w:hideMark/>
          </w:tcPr>
          <w:p w14:paraId="26EB6185" w14:textId="4F0F15CA" w:rsidR="00092F1B" w:rsidRPr="004B76D2" w:rsidRDefault="006F1A4D"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Pr>
                <w:noProof/>
                <w:sz w:val="18"/>
              </w:rPr>
              <w:t>0,8</w:t>
            </w:r>
          </w:p>
        </w:tc>
      </w:tr>
    </w:tbl>
    <w:p w14:paraId="2B896EEB" w14:textId="77777777" w:rsidR="00092F1B" w:rsidRPr="00F06A77" w:rsidRDefault="00092F1B" w:rsidP="006E112B">
      <w:pPr>
        <w:jc w:val="both"/>
        <w:rPr>
          <w:rFonts w:ascii="Times New Roman" w:hAnsi="Times New Roman" w:cs="Times New Roman"/>
          <w:noProof/>
          <w:sz w:val="24"/>
          <w:szCs w:val="24"/>
          <w:lang w:val="en-GB"/>
        </w:rPr>
      </w:pPr>
    </w:p>
    <w:p w14:paraId="316563DF" w14:textId="301A55CD" w:rsidR="78992165" w:rsidRDefault="78992165" w:rsidP="78992165">
      <w:pPr>
        <w:jc w:val="both"/>
        <w:rPr>
          <w:rFonts w:ascii="Times New Roman" w:hAnsi="Times New Roman" w:cs="Times New Roman"/>
          <w:noProof/>
          <w:sz w:val="24"/>
          <w:szCs w:val="24"/>
          <w:lang w:val="en-GB"/>
        </w:rPr>
      </w:pPr>
    </w:p>
    <w:p w14:paraId="1399E376" w14:textId="77777777" w:rsidR="00092F1B" w:rsidRDefault="00092F1B" w:rsidP="006E112B">
      <w:pPr>
        <w:jc w:val="both"/>
        <w:rPr>
          <w:rFonts w:ascii="Times New Roman" w:hAnsi="Times New Roman" w:cs="Times New Roman"/>
          <w:noProof/>
          <w:sz w:val="24"/>
          <w:szCs w:val="24"/>
          <w:lang w:val="en-GB"/>
        </w:rPr>
      </w:pPr>
    </w:p>
    <w:p w14:paraId="58FF49C3" w14:textId="77777777" w:rsidR="00092F1B" w:rsidRDefault="00092F1B" w:rsidP="006E112B">
      <w:pPr>
        <w:jc w:val="both"/>
        <w:rPr>
          <w:rFonts w:ascii="Times New Roman" w:hAnsi="Times New Roman" w:cs="Times New Roman"/>
          <w:noProof/>
          <w:sz w:val="24"/>
          <w:szCs w:val="24"/>
          <w:lang w:val="en-GB"/>
        </w:rPr>
      </w:pPr>
    </w:p>
    <w:p w14:paraId="0C89F0AF" w14:textId="5BDCF268" w:rsidR="00092F1B" w:rsidRDefault="00092F1B" w:rsidP="006E112B">
      <w:pPr>
        <w:jc w:val="both"/>
        <w:rPr>
          <w:rFonts w:ascii="Times New Roman" w:hAnsi="Times New Roman" w:cs="Times New Roman"/>
          <w:noProof/>
          <w:sz w:val="24"/>
          <w:szCs w:val="24"/>
          <w:lang w:val="en-GB"/>
        </w:rPr>
      </w:pPr>
    </w:p>
    <w:p w14:paraId="7C997C01" w14:textId="77777777" w:rsidR="00092F1B" w:rsidRDefault="00092F1B" w:rsidP="006E112B">
      <w:pPr>
        <w:jc w:val="both"/>
        <w:rPr>
          <w:rFonts w:ascii="Times New Roman" w:hAnsi="Times New Roman" w:cs="Times New Roman"/>
          <w:noProof/>
          <w:sz w:val="24"/>
          <w:szCs w:val="24"/>
          <w:lang w:val="en-GB"/>
        </w:rPr>
      </w:pPr>
    </w:p>
    <w:p w14:paraId="0C568DF2" w14:textId="77777777" w:rsidR="00092F1B" w:rsidRDefault="00092F1B" w:rsidP="006E112B">
      <w:pPr>
        <w:jc w:val="both"/>
        <w:rPr>
          <w:rFonts w:ascii="Times New Roman" w:hAnsi="Times New Roman" w:cs="Times New Roman"/>
          <w:noProof/>
          <w:sz w:val="24"/>
          <w:szCs w:val="24"/>
          <w:lang w:val="en-GB"/>
        </w:rPr>
      </w:pPr>
    </w:p>
    <w:p w14:paraId="46201E08" w14:textId="727B9C52" w:rsidR="00092F1B" w:rsidRPr="00D937A1" w:rsidRDefault="00092F1B" w:rsidP="006E112B">
      <w:pPr>
        <w:jc w:val="both"/>
        <w:rPr>
          <w:rFonts w:ascii="Times New Roman" w:eastAsia="Times New Roman" w:hAnsi="Times New Roman" w:cs="Times New Roman"/>
          <w:i/>
          <w:noProof/>
          <w:sz w:val="20"/>
          <w:szCs w:val="20"/>
        </w:rPr>
      </w:pPr>
      <w:r>
        <w:rPr>
          <w:rFonts w:ascii="Times New Roman" w:hAnsi="Times New Roman"/>
          <w:i/>
          <w:noProof/>
          <w:sz w:val="20"/>
        </w:rPr>
        <w:t>Tableau 4 - Facteurs de productivité par culture</w:t>
      </w:r>
    </w:p>
    <w:p w14:paraId="5A0B87E0" w14:textId="731165F0" w:rsidR="002B4DCD" w:rsidRPr="00D937A1" w:rsidRDefault="002B4DCD" w:rsidP="006E112B">
      <w:pPr>
        <w:jc w:val="both"/>
        <w:rPr>
          <w:rFonts w:ascii="Times New Roman" w:hAnsi="Times New Roman" w:cs="Times New Roman"/>
          <w:i/>
          <w:iCs/>
          <w:noProof/>
          <w:sz w:val="24"/>
          <w:szCs w:val="24"/>
        </w:rPr>
      </w:pPr>
      <w:r>
        <w:rPr>
          <w:rFonts w:ascii="Times New Roman" w:hAnsi="Times New Roman"/>
          <w:i/>
          <w:noProof/>
          <w:sz w:val="24"/>
        </w:rPr>
        <w:t>Résultats finaux</w:t>
      </w:r>
    </w:p>
    <w:p w14:paraId="2EC632B2" w14:textId="5A5F11F8" w:rsidR="007C1F5D" w:rsidRPr="00526778" w:rsidRDefault="007C1F5D" w:rsidP="006E112B">
      <w:pPr>
        <w:jc w:val="both"/>
        <w:rPr>
          <w:rFonts w:ascii="Times New Roman" w:hAnsi="Times New Roman" w:cs="Times New Roman"/>
          <w:noProof/>
          <w:sz w:val="24"/>
          <w:szCs w:val="24"/>
        </w:rPr>
      </w:pPr>
      <w:r>
        <w:rPr>
          <w:rFonts w:ascii="Times New Roman" w:hAnsi="Times New Roman"/>
          <w:noProof/>
          <w:sz w:val="24"/>
        </w:rPr>
        <w:t>Dans le rapport CIAS 2019 de la Commission, trois facteurs ont été jugés essentiels pour déterminer l’«importance» de l’expansion de la zone de production d’une culture spécifique sur des terres présentant un important stock de carbone aux fins de la directive sur les énergies renouvelables: a) l’ampleur absolue et relative de l’expansion des terres depuis une année de référence donnée par rapport à la zone de production totale de la culture concernée; b) la part de cette expansion sur des terres présentant un important stock de carbone; et c) le type de zone présentant un important stock de carbone. Ces facteurs, ainsi que les facteurs de productivité spécifiques à chaque groupe de cultures, ont été pris en considération lors de l’établissement des critères permettant de déterminer les matières premières présentant un risque de CIAS élevé dans le règlement délégué CIAS.</w:t>
      </w:r>
    </w:p>
    <w:p w14:paraId="158C7427" w14:textId="72960586" w:rsidR="00122A63" w:rsidRDefault="00AD2C26" w:rsidP="00C40EEF">
      <w:pPr>
        <w:jc w:val="both"/>
        <w:rPr>
          <w:rFonts w:ascii="Times New Roman" w:hAnsi="Times New Roman" w:cs="Times New Roman"/>
          <w:noProof/>
          <w:sz w:val="24"/>
          <w:szCs w:val="24"/>
        </w:rPr>
      </w:pPr>
      <w:r>
        <w:rPr>
          <w:rFonts w:ascii="Times New Roman" w:hAnsi="Times New Roman"/>
          <w:noProof/>
          <w:sz w:val="24"/>
        </w:rPr>
        <w:t xml:space="preserve">Les résultats de l’analyse mise à jour figurent dans le tableau ci-dessous: </w:t>
      </w:r>
    </w:p>
    <w:tbl>
      <w:tblPr>
        <w:tblW w:w="68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00"/>
        <w:gridCol w:w="1365"/>
        <w:gridCol w:w="1350"/>
        <w:gridCol w:w="1470"/>
        <w:gridCol w:w="1440"/>
      </w:tblGrid>
      <w:tr w:rsidR="009645C7" w:rsidRPr="00526778" w14:paraId="0A2931EB" w14:textId="77777777" w:rsidTr="3F6AB15B">
        <w:trPr>
          <w:trHeight w:val="780"/>
        </w:trPr>
        <w:tc>
          <w:tcPr>
            <w:tcW w:w="1200" w:type="dxa"/>
            <w:tcBorders>
              <w:top w:val="nil"/>
              <w:left w:val="nil"/>
              <w:bottom w:val="single" w:sz="12" w:space="0" w:color="95D600"/>
              <w:right w:val="nil"/>
            </w:tcBorders>
            <w:shd w:val="clear" w:color="auto" w:fill="93D500"/>
            <w:vAlign w:val="center"/>
            <w:hideMark/>
          </w:tcPr>
          <w:p w14:paraId="59D9D60C" w14:textId="77777777" w:rsidR="008012A6" w:rsidRPr="00D937A1" w:rsidRDefault="008012A6" w:rsidP="009909F5">
            <w:pPr>
              <w:spacing w:after="0" w:line="240" w:lineRule="auto"/>
              <w:textAlignment w:val="baseline"/>
              <w:rPr>
                <w:rFonts w:ascii="Times New Roman" w:eastAsia="Times New Roman" w:hAnsi="Times New Roman" w:cs="Times New Roman"/>
                <w:b/>
                <w:bCs/>
                <w:noProof/>
                <w:color w:val="FFFFFF"/>
                <w:sz w:val="18"/>
                <w:szCs w:val="18"/>
              </w:rPr>
            </w:pPr>
            <w:r>
              <w:rPr>
                <w:rFonts w:ascii="Times New Roman" w:hAnsi="Times New Roman"/>
                <w:b/>
                <w:noProof/>
                <w:sz w:val="18"/>
              </w:rPr>
              <w:t xml:space="preserve">Culture </w:t>
            </w:r>
          </w:p>
        </w:tc>
        <w:tc>
          <w:tcPr>
            <w:tcW w:w="1365" w:type="dxa"/>
            <w:tcBorders>
              <w:top w:val="nil"/>
              <w:left w:val="nil"/>
              <w:bottom w:val="single" w:sz="12" w:space="0" w:color="95D600"/>
              <w:right w:val="nil"/>
            </w:tcBorders>
            <w:shd w:val="clear" w:color="auto" w:fill="93D500"/>
            <w:vAlign w:val="center"/>
            <w:hideMark/>
          </w:tcPr>
          <w:p w14:paraId="14F567A6" w14:textId="77777777" w:rsidR="008012A6" w:rsidRPr="00D937A1" w:rsidRDefault="008012A6" w:rsidP="009909F5">
            <w:pPr>
              <w:spacing w:after="0" w:line="240" w:lineRule="auto"/>
              <w:textAlignment w:val="baseline"/>
              <w:rPr>
                <w:rFonts w:ascii="Times New Roman" w:eastAsia="Times New Roman" w:hAnsi="Times New Roman" w:cs="Times New Roman"/>
                <w:b/>
                <w:bCs/>
                <w:noProof/>
                <w:color w:val="FFFFFF"/>
                <w:sz w:val="18"/>
                <w:szCs w:val="18"/>
              </w:rPr>
            </w:pPr>
            <w:r>
              <w:rPr>
                <w:rFonts w:ascii="Times New Roman" w:hAnsi="Times New Roman"/>
                <w:b/>
                <w:noProof/>
                <w:sz w:val="18"/>
              </w:rPr>
              <w:t xml:space="preserve">Part des forêts d’expansion </w:t>
            </w:r>
          </w:p>
        </w:tc>
        <w:tc>
          <w:tcPr>
            <w:tcW w:w="1350" w:type="dxa"/>
            <w:tcBorders>
              <w:top w:val="nil"/>
              <w:left w:val="nil"/>
              <w:bottom w:val="single" w:sz="12" w:space="0" w:color="95D600"/>
              <w:right w:val="nil"/>
            </w:tcBorders>
            <w:shd w:val="clear" w:color="auto" w:fill="93D500"/>
            <w:vAlign w:val="center"/>
            <w:hideMark/>
          </w:tcPr>
          <w:p w14:paraId="25960441" w14:textId="77777777" w:rsidR="008012A6" w:rsidRPr="00D937A1" w:rsidRDefault="008012A6" w:rsidP="009909F5">
            <w:pPr>
              <w:spacing w:after="0" w:line="240" w:lineRule="auto"/>
              <w:textAlignment w:val="baseline"/>
              <w:rPr>
                <w:rFonts w:ascii="Times New Roman" w:eastAsia="Times New Roman" w:hAnsi="Times New Roman" w:cs="Times New Roman"/>
                <w:b/>
                <w:bCs/>
                <w:noProof/>
                <w:color w:val="FFFFFF"/>
                <w:sz w:val="18"/>
                <w:szCs w:val="18"/>
              </w:rPr>
            </w:pPr>
            <w:r>
              <w:rPr>
                <w:rFonts w:ascii="Times New Roman" w:hAnsi="Times New Roman"/>
                <w:b/>
                <w:noProof/>
                <w:sz w:val="18"/>
              </w:rPr>
              <w:t xml:space="preserve">Part de tourbières d’expansion </w:t>
            </w:r>
          </w:p>
        </w:tc>
        <w:tc>
          <w:tcPr>
            <w:tcW w:w="1470" w:type="dxa"/>
            <w:tcBorders>
              <w:top w:val="nil"/>
              <w:left w:val="nil"/>
              <w:bottom w:val="single" w:sz="12" w:space="0" w:color="95D600"/>
              <w:right w:val="nil"/>
            </w:tcBorders>
            <w:shd w:val="clear" w:color="auto" w:fill="93D500"/>
            <w:vAlign w:val="center"/>
            <w:hideMark/>
          </w:tcPr>
          <w:p w14:paraId="06FF71ED" w14:textId="77777777" w:rsidR="008012A6" w:rsidRPr="00D937A1" w:rsidRDefault="008012A6" w:rsidP="009909F5">
            <w:pPr>
              <w:spacing w:after="0" w:line="240" w:lineRule="auto"/>
              <w:textAlignment w:val="baseline"/>
              <w:rPr>
                <w:rFonts w:ascii="Times New Roman" w:eastAsia="Times New Roman" w:hAnsi="Times New Roman" w:cs="Times New Roman"/>
                <w:b/>
                <w:bCs/>
                <w:noProof/>
                <w:color w:val="FFFFFF"/>
                <w:sz w:val="18"/>
                <w:szCs w:val="18"/>
              </w:rPr>
            </w:pPr>
            <w:r>
              <w:rPr>
                <w:rFonts w:ascii="Times New Roman" w:hAnsi="Times New Roman"/>
                <w:b/>
                <w:noProof/>
                <w:sz w:val="18"/>
              </w:rPr>
              <w:t xml:space="preserve">Expansion annuelle moyenne (kha) </w:t>
            </w:r>
          </w:p>
        </w:tc>
        <w:tc>
          <w:tcPr>
            <w:tcW w:w="1440" w:type="dxa"/>
            <w:tcBorders>
              <w:top w:val="nil"/>
              <w:left w:val="nil"/>
              <w:bottom w:val="single" w:sz="12" w:space="0" w:color="95D600"/>
              <w:right w:val="nil"/>
            </w:tcBorders>
            <w:shd w:val="clear" w:color="auto" w:fill="93D500"/>
            <w:vAlign w:val="center"/>
            <w:hideMark/>
          </w:tcPr>
          <w:p w14:paraId="10C25450" w14:textId="77777777" w:rsidR="008012A6" w:rsidRPr="00D937A1" w:rsidRDefault="008012A6" w:rsidP="009909F5">
            <w:pPr>
              <w:spacing w:after="0" w:line="240" w:lineRule="auto"/>
              <w:textAlignment w:val="baseline"/>
              <w:rPr>
                <w:rFonts w:ascii="Times New Roman" w:eastAsia="Times New Roman" w:hAnsi="Times New Roman" w:cs="Times New Roman"/>
                <w:b/>
                <w:bCs/>
                <w:noProof/>
                <w:color w:val="FFFFFF"/>
                <w:sz w:val="18"/>
                <w:szCs w:val="18"/>
              </w:rPr>
            </w:pPr>
            <w:r>
              <w:rPr>
                <w:rFonts w:ascii="Times New Roman" w:hAnsi="Times New Roman"/>
                <w:b/>
                <w:noProof/>
                <w:sz w:val="18"/>
              </w:rPr>
              <w:t xml:space="preserve">Expansion annuelle moyenne (%) </w:t>
            </w:r>
          </w:p>
        </w:tc>
      </w:tr>
      <w:tr w:rsidR="00322DEE" w:rsidRPr="00526778" w14:paraId="02636E6C" w14:textId="77777777" w:rsidTr="00322DEE">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696CC854" w14:textId="77777777" w:rsidR="008012A6" w:rsidRPr="00D937A1" w:rsidRDefault="008012A6" w:rsidP="009909F5">
            <w:pPr>
              <w:spacing w:after="0" w:line="240" w:lineRule="auto"/>
              <w:textAlignment w:val="baseline"/>
              <w:rPr>
                <w:rFonts w:ascii="Times New Roman" w:eastAsia="Times New Roman" w:hAnsi="Times New Roman" w:cs="Times New Roman"/>
                <w:noProof/>
                <w:sz w:val="18"/>
                <w:szCs w:val="18"/>
              </w:rPr>
            </w:pPr>
            <w:r>
              <w:rPr>
                <w:rFonts w:ascii="Times New Roman" w:hAnsi="Times New Roman"/>
                <w:b/>
                <w:noProof/>
                <w:color w:val="3F4143"/>
                <w:sz w:val="18"/>
              </w:rPr>
              <w:t>Froment (blé)</w:t>
            </w:r>
            <w:r>
              <w:rPr>
                <w:rFonts w:ascii="Times New Roman" w:hAnsi="Times New Roman"/>
                <w:noProof/>
                <w:color w:val="3F4143"/>
                <w:sz w:val="18"/>
              </w:rPr>
              <w:t xml:space="preserve">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0D4E350E"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1,6 %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0C561B34"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0,0 %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61E7CB09"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-183 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14650452"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0,0 % </w:t>
            </w:r>
          </w:p>
        </w:tc>
      </w:tr>
      <w:tr w:rsidR="009645C7" w:rsidRPr="00526778" w14:paraId="109B0F31" w14:textId="77777777" w:rsidTr="3F6AB15B">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3B8FD44A" w14:textId="77777777" w:rsidR="008012A6" w:rsidRPr="00D937A1" w:rsidRDefault="008012A6" w:rsidP="009909F5">
            <w:pPr>
              <w:spacing w:after="0" w:line="240" w:lineRule="auto"/>
              <w:textAlignment w:val="baseline"/>
              <w:rPr>
                <w:rFonts w:ascii="Times New Roman" w:eastAsia="Times New Roman" w:hAnsi="Times New Roman" w:cs="Times New Roman"/>
                <w:noProof/>
                <w:sz w:val="18"/>
                <w:szCs w:val="18"/>
              </w:rPr>
            </w:pPr>
            <w:r>
              <w:rPr>
                <w:rFonts w:ascii="Times New Roman" w:hAnsi="Times New Roman"/>
                <w:b/>
                <w:noProof/>
                <w:color w:val="3F4143"/>
                <w:sz w:val="18"/>
              </w:rPr>
              <w:t>Maïs</w:t>
            </w:r>
            <w:r>
              <w:rPr>
                <w:rFonts w:ascii="Times New Roman" w:hAnsi="Times New Roman"/>
                <w:noProof/>
                <w:color w:val="3F4143"/>
                <w:sz w:val="18"/>
              </w:rPr>
              <w:t xml:space="preserve">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17CFF76D"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7,0 %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2053C13A"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0,0 %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5A14CEF2"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2 527 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6B540044"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1,4 % </w:t>
            </w:r>
          </w:p>
        </w:tc>
      </w:tr>
      <w:tr w:rsidR="009645C7" w:rsidRPr="00133FC9" w14:paraId="40499132" w14:textId="77777777" w:rsidTr="00133FC9">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27A2803A"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Pr>
                <w:rFonts w:ascii="Times New Roman" w:hAnsi="Times New Roman"/>
                <w:b/>
                <w:noProof/>
                <w:color w:val="3F4143"/>
                <w:sz w:val="18"/>
              </w:rPr>
              <w:t>Canne à sucre</w:t>
            </w:r>
            <w:r>
              <w:rPr>
                <w:rFonts w:ascii="Times New Roman" w:hAnsi="Times New Roman"/>
                <w:noProof/>
                <w:color w:val="3F4143"/>
                <w:sz w:val="18"/>
              </w:rPr>
              <w:t xml:space="preserve">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201DF81B"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16,1 %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38C3DEC7"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0,0 %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1D81D742"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215 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192BCC4E"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0,7 % </w:t>
            </w:r>
          </w:p>
        </w:tc>
      </w:tr>
      <w:tr w:rsidR="009645C7" w:rsidRPr="00133FC9" w14:paraId="0C9D8FA2" w14:textId="77777777" w:rsidTr="00133FC9">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6154023B"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Pr>
                <w:rFonts w:ascii="Times New Roman" w:hAnsi="Times New Roman"/>
                <w:b/>
                <w:noProof/>
                <w:color w:val="3F4143"/>
                <w:sz w:val="18"/>
              </w:rPr>
              <w:t>Betterave à sucre</w:t>
            </w:r>
            <w:r>
              <w:rPr>
                <w:rFonts w:ascii="Times New Roman" w:hAnsi="Times New Roman"/>
                <w:noProof/>
                <w:color w:val="3F4143"/>
                <w:sz w:val="18"/>
              </w:rPr>
              <w:t xml:space="preserve">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6EE66DD1"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0,2 %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190FE9B5"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0,0 %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2750AADD"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4 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5CB7A764"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0,4 % </w:t>
            </w:r>
          </w:p>
        </w:tc>
      </w:tr>
      <w:tr w:rsidR="009645C7" w:rsidRPr="00133FC9" w14:paraId="0D096919" w14:textId="77777777" w:rsidTr="00133FC9">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139BE756"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Pr>
                <w:rFonts w:ascii="Times New Roman" w:hAnsi="Times New Roman"/>
                <w:b/>
                <w:noProof/>
                <w:color w:val="3F4143"/>
                <w:sz w:val="18"/>
              </w:rPr>
              <w:t>Colza</w:t>
            </w:r>
            <w:r>
              <w:rPr>
                <w:rFonts w:ascii="Times New Roman" w:hAnsi="Times New Roman"/>
                <w:noProof/>
                <w:color w:val="3F4143"/>
                <w:sz w:val="18"/>
              </w:rPr>
              <w:t xml:space="preserve">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5F068B88"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1,0 %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1923D094"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0,0 %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015A8EC3"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363 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0A237342"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1,6 % </w:t>
            </w:r>
          </w:p>
        </w:tc>
      </w:tr>
      <w:tr w:rsidR="00133FC9" w:rsidRPr="00133FC9" w14:paraId="10CE4766" w14:textId="77777777" w:rsidTr="00133FC9">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3D1192F3"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Pr>
                <w:rFonts w:ascii="Times New Roman" w:hAnsi="Times New Roman"/>
                <w:b/>
                <w:noProof/>
                <w:color w:val="3F4143"/>
                <w:sz w:val="18"/>
              </w:rPr>
              <w:t>Palmier à huile</w:t>
            </w:r>
            <w:r>
              <w:rPr>
                <w:rFonts w:ascii="Times New Roman" w:hAnsi="Times New Roman"/>
                <w:noProof/>
                <w:color w:val="3F4143"/>
                <w:sz w:val="18"/>
              </w:rPr>
              <w:t xml:space="preserve">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663F5293"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27,1 %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264FAEEA"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13,7 %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508B0B32"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937 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01395DC0"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3,8 % </w:t>
            </w:r>
          </w:p>
        </w:tc>
      </w:tr>
      <w:tr w:rsidR="00133FC9" w:rsidRPr="00133FC9" w14:paraId="6B3F0C75" w14:textId="77777777" w:rsidTr="00133FC9">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5495D3D2"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Pr>
                <w:rFonts w:ascii="Times New Roman" w:hAnsi="Times New Roman"/>
                <w:b/>
                <w:noProof/>
                <w:color w:val="3F4143"/>
                <w:sz w:val="18"/>
              </w:rPr>
              <w:t>Graines de soja</w:t>
            </w:r>
            <w:r>
              <w:rPr>
                <w:rFonts w:ascii="Times New Roman" w:hAnsi="Times New Roman"/>
                <w:noProof/>
                <w:color w:val="3F4143"/>
                <w:sz w:val="18"/>
              </w:rPr>
              <w:t xml:space="preserve">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12EBF460"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14,1 %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010AB0D7"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0,0 %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290CC76D"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2 565 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6A4B711B"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2,2 % </w:t>
            </w:r>
          </w:p>
        </w:tc>
      </w:tr>
      <w:tr w:rsidR="0077755C" w:rsidRPr="00133FC9" w14:paraId="07A9FA54" w14:textId="77777777" w:rsidTr="00133FC9">
        <w:trPr>
          <w:trHeight w:val="34"/>
        </w:trPr>
        <w:tc>
          <w:tcPr>
            <w:tcW w:w="1200" w:type="dxa"/>
            <w:tcBorders>
              <w:top w:val="single" w:sz="6" w:space="0" w:color="DCDDDE"/>
              <w:left w:val="nil"/>
              <w:bottom w:val="single" w:sz="6" w:space="0" w:color="555759"/>
              <w:right w:val="nil"/>
            </w:tcBorders>
            <w:shd w:val="clear" w:color="auto" w:fill="FFFFFF" w:themeFill="background1"/>
            <w:vAlign w:val="center"/>
            <w:hideMark/>
          </w:tcPr>
          <w:p w14:paraId="6CCDDF62"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Pr>
                <w:rFonts w:ascii="Times New Roman" w:hAnsi="Times New Roman"/>
                <w:b/>
                <w:noProof/>
                <w:color w:val="3F4143"/>
                <w:sz w:val="18"/>
              </w:rPr>
              <w:t>Tournesol</w:t>
            </w:r>
            <w:r>
              <w:rPr>
                <w:rFonts w:ascii="Times New Roman" w:hAnsi="Times New Roman"/>
                <w:noProof/>
                <w:color w:val="3F4143"/>
                <w:sz w:val="18"/>
              </w:rPr>
              <w:t xml:space="preserve"> </w:t>
            </w:r>
          </w:p>
        </w:tc>
        <w:tc>
          <w:tcPr>
            <w:tcW w:w="1365" w:type="dxa"/>
            <w:tcBorders>
              <w:top w:val="single" w:sz="6" w:space="0" w:color="DCDDDE"/>
              <w:left w:val="nil"/>
              <w:bottom w:val="single" w:sz="6" w:space="0" w:color="555759"/>
              <w:right w:val="nil"/>
            </w:tcBorders>
            <w:shd w:val="clear" w:color="auto" w:fill="FFFFFF" w:themeFill="background1"/>
            <w:vAlign w:val="bottom"/>
            <w:hideMark/>
          </w:tcPr>
          <w:p w14:paraId="30FFAE9C"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1,0 % </w:t>
            </w:r>
          </w:p>
        </w:tc>
        <w:tc>
          <w:tcPr>
            <w:tcW w:w="1350" w:type="dxa"/>
            <w:tcBorders>
              <w:top w:val="single" w:sz="6" w:space="0" w:color="DCDDDE"/>
              <w:left w:val="nil"/>
              <w:bottom w:val="single" w:sz="6" w:space="0" w:color="555759"/>
              <w:right w:val="nil"/>
            </w:tcBorders>
            <w:shd w:val="clear" w:color="auto" w:fill="FFFFFF" w:themeFill="background1"/>
            <w:vAlign w:val="bottom"/>
            <w:hideMark/>
          </w:tcPr>
          <w:p w14:paraId="5BDA61D3"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0,0 % </w:t>
            </w:r>
          </w:p>
        </w:tc>
        <w:tc>
          <w:tcPr>
            <w:tcW w:w="1470" w:type="dxa"/>
            <w:tcBorders>
              <w:top w:val="single" w:sz="6" w:space="0" w:color="DCDDDE"/>
              <w:left w:val="nil"/>
              <w:bottom w:val="single" w:sz="6" w:space="0" w:color="555759"/>
              <w:right w:val="nil"/>
            </w:tcBorders>
            <w:shd w:val="clear" w:color="auto" w:fill="FFFFFF" w:themeFill="background1"/>
            <w:vAlign w:val="bottom"/>
            <w:hideMark/>
          </w:tcPr>
          <w:p w14:paraId="4C3B8829"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313  </w:t>
            </w:r>
          </w:p>
        </w:tc>
        <w:tc>
          <w:tcPr>
            <w:tcW w:w="1440" w:type="dxa"/>
            <w:tcBorders>
              <w:top w:val="single" w:sz="6" w:space="0" w:color="DCDDDE"/>
              <w:left w:val="nil"/>
              <w:bottom w:val="single" w:sz="6" w:space="0" w:color="555759"/>
              <w:right w:val="nil"/>
            </w:tcBorders>
            <w:shd w:val="clear" w:color="auto" w:fill="FFFFFF" w:themeFill="background1"/>
            <w:vAlign w:val="bottom"/>
            <w:hideMark/>
          </w:tcPr>
          <w:p w14:paraId="22E35E6B"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Pr>
                <w:rFonts w:ascii="Times New Roman" w:hAnsi="Times New Roman"/>
                <w:noProof/>
                <w:sz w:val="16"/>
              </w:rPr>
              <w:t xml:space="preserve">1,1 % </w:t>
            </w:r>
          </w:p>
        </w:tc>
      </w:tr>
    </w:tbl>
    <w:p w14:paraId="6CCB590D" w14:textId="18C96EC3" w:rsidR="00F22F37" w:rsidRDefault="008B5093" w:rsidP="00407BC7">
      <w:pPr>
        <w:shd w:val="clear" w:color="auto" w:fill="FFFFFF" w:themeFill="background1"/>
        <w:rPr>
          <w:rFonts w:ascii="Times New Roman" w:hAnsi="Times New Roman" w:cs="Times New Roman"/>
          <w:i/>
          <w:noProof/>
          <w:sz w:val="20"/>
          <w:szCs w:val="20"/>
        </w:rPr>
      </w:pPr>
      <w:r>
        <w:rPr>
          <w:rFonts w:ascii="Times New Roman" w:hAnsi="Times New Roman"/>
          <w:i/>
          <w:noProof/>
          <w:sz w:val="20"/>
        </w:rPr>
        <w:t>Tableau 5: Calculs de Guidehouse - Résultats finaux</w:t>
      </w:r>
      <w:r>
        <w:rPr>
          <w:rStyle w:val="FootnoteReference"/>
          <w:rFonts w:ascii="Times New Roman" w:hAnsi="Times New Roman" w:cs="Times New Roman"/>
          <w:i/>
          <w:noProof/>
          <w:sz w:val="20"/>
          <w:szCs w:val="20"/>
        </w:rPr>
        <w:footnoteReference w:id="23"/>
      </w:r>
      <w:r>
        <w:rPr>
          <w:rFonts w:ascii="Times New Roman" w:hAnsi="Times New Roman"/>
          <w:i/>
          <w:noProof/>
          <w:sz w:val="20"/>
        </w:rPr>
        <w:t xml:space="preserve"> </w:t>
      </w:r>
    </w:p>
    <w:p w14:paraId="2677B143" w14:textId="0C413D39" w:rsidR="00765D53" w:rsidRDefault="00C02A97" w:rsidP="5003CF81">
      <w:pPr>
        <w:pStyle w:val="NormalTimesNewRoman"/>
        <w:rPr>
          <w:noProof/>
        </w:rPr>
      </w:pPr>
      <w:r>
        <w:rPr>
          <w:noProof/>
        </w:rPr>
        <w:t xml:space="preserve">Comme expliqué au chapitre I, pour qu’une culture spécifique soit classée comme présentant un risque élevé de CIAS, les deux critères énoncés à l’article 3 du règlement délégué CIAS doivent être remplis de manière cumulative. Compte tenu de ces deux critères, et selon les données actualisées et les nouvelles données scientifiques, le </w:t>
      </w:r>
      <w:r>
        <w:rPr>
          <w:b/>
          <w:noProof/>
        </w:rPr>
        <w:t>palmier à huile reste</w:t>
      </w:r>
      <w:r>
        <w:rPr>
          <w:noProof/>
        </w:rPr>
        <w:t xml:space="preserve"> une matière première qui doit être classée comme présentant un risque élevé de CIAS. </w:t>
      </w:r>
      <w:r>
        <w:rPr>
          <w:b/>
          <w:noProof/>
        </w:rPr>
        <w:t>En outre, le soja</w:t>
      </w:r>
      <w:r>
        <w:rPr>
          <w:noProof/>
        </w:rPr>
        <w:t xml:space="preserve"> devrait être classé comme matière première présentant un risque élevé de CIAS, étant donné que les deux critères de l’article 3 du </w:t>
      </w:r>
      <w:r>
        <w:rPr>
          <w:noProof/>
          <w:color w:val="000000" w:themeColor="text1"/>
        </w:rPr>
        <w:t>règlement délégué CIAS</w:t>
      </w:r>
      <w:r>
        <w:rPr>
          <w:noProof/>
        </w:rPr>
        <w:t xml:space="preserve"> sont remplis. Cela signifie que l’expansion de la zone de production de l’huile de palme et du soja sur des terres présentant un important stock de carbone est si importante que les émissions de gaz à effet de serre résultant du changement d’affectation des terres annulent toutes les réductions des émissions de gaz à effet de serre des carburants provenant de ces matières premières, par rapport à l’utilisation de combustibles fossiles.</w:t>
      </w:r>
    </w:p>
    <w:p w14:paraId="2DC84204" w14:textId="77777777" w:rsidR="003A6E2A" w:rsidRPr="0045620A" w:rsidRDefault="003A6E2A" w:rsidP="5003CF81">
      <w:pPr>
        <w:pStyle w:val="NormalTimesNewRoman"/>
        <w:rPr>
          <w:noProof/>
          <w:lang w:val="fr-BE"/>
        </w:rPr>
      </w:pPr>
    </w:p>
    <w:p w14:paraId="59995CC3" w14:textId="08C1B909" w:rsidR="74982C6C" w:rsidRPr="00526778" w:rsidRDefault="67FE5085" w:rsidP="00725345">
      <w:pPr>
        <w:pStyle w:val="Style1"/>
        <w:rPr>
          <w:noProof/>
        </w:rPr>
      </w:pPr>
      <w:bookmarkStart w:id="10" w:name="_Toc109647471"/>
      <w:r>
        <w:rPr>
          <w:noProof/>
        </w:rPr>
        <w:t xml:space="preserve">MISE À JOUR SUR LA CERTIFICATION DES CARBURANTS PRÉSENTANT UN RISQUE FAIBLE DE CIAS </w:t>
      </w:r>
      <w:bookmarkEnd w:id="10"/>
    </w:p>
    <w:p w14:paraId="23DE523C" w14:textId="77777777" w:rsidR="74982C6C" w:rsidRPr="0045620A" w:rsidRDefault="74982C6C" w:rsidP="74982C6C">
      <w:pPr>
        <w:rPr>
          <w:rFonts w:ascii="Times New Roman" w:hAnsi="Times New Roman" w:cs="Times New Roman"/>
          <w:noProof/>
          <w:lang w:val="fr-BE"/>
        </w:rPr>
      </w:pPr>
    </w:p>
    <w:p w14:paraId="6140CEEB" w14:textId="41B5220E" w:rsidR="67FE5085" w:rsidRPr="00526778" w:rsidRDefault="67FE5085" w:rsidP="67FE5085">
      <w:pPr>
        <w:pStyle w:val="NormalTimesNewRoman"/>
        <w:rPr>
          <w:noProof/>
        </w:rPr>
      </w:pPr>
      <w:r>
        <w:rPr>
          <w:noProof/>
        </w:rPr>
        <w:t xml:space="preserve">Les biocarburants, bioliquides et combustibles issus de la biomasse présentant un faible risque d’induire des changements indirects dans l’affectation des sols sont définis à l’article 2, paragraphe 37, de la directive sur les énergies renouvelables comme a) ceux qui proviennent de matières premières pour lesquelles une amélioration du rendement sur les terres existantes a été observée, grâce à l’amélioration des pratiques agricoles, ou b) ceux qui sont cultivés sur des terres inutilisées. Ces deux options sont appelées «mesures d’additionnalité» dans le </w:t>
      </w:r>
      <w:r>
        <w:rPr>
          <w:noProof/>
          <w:color w:val="000000" w:themeColor="text1"/>
        </w:rPr>
        <w:t>règlement délégué CIAS</w:t>
      </w:r>
      <w:r>
        <w:rPr>
          <w:rStyle w:val="FootnoteReference"/>
          <w:noProof/>
          <w:color w:val="000000" w:themeColor="text1"/>
          <w:lang w:val="en-GB"/>
        </w:rPr>
        <w:footnoteReference w:id="24"/>
      </w:r>
      <w:r>
        <w:rPr>
          <w:noProof/>
        </w:rPr>
        <w:t xml:space="preserve">. L’article 4 du </w:t>
      </w:r>
      <w:r>
        <w:rPr>
          <w:noProof/>
          <w:color w:val="000000" w:themeColor="text1"/>
        </w:rPr>
        <w:t>règlement délégué CIAS</w:t>
      </w:r>
      <w:r>
        <w:rPr>
          <w:noProof/>
        </w:rPr>
        <w:t xml:space="preserve"> contient des critères généraux pour la certification des biocarburants, bioliquides et combustibles issus de la biomasse présentant un faible risque de CIAS, tandis que l’article 5 décrit plus en détail les mesures d’additionnalité. Les carburants présentant un faible risque de CIAS doivent être produits conformément aux critères de durabilité et de réduction des émissions de gaz à effet de serre énoncés à l’article 29 de la directive sur les énergies renouvelables.</w:t>
      </w:r>
    </w:p>
    <w:p w14:paraId="21A0EA25" w14:textId="48A03EDF" w:rsidR="00826FFE" w:rsidRDefault="67FE5085" w:rsidP="00826FFE">
      <w:pPr>
        <w:pStyle w:val="NormalTimesNewRoman"/>
        <w:rPr>
          <w:noProof/>
        </w:rPr>
      </w:pPr>
      <w:r>
        <w:rPr>
          <w:noProof/>
        </w:rPr>
        <w:t xml:space="preserve">L’article 5, paragraphe 1, du </w:t>
      </w:r>
      <w:r>
        <w:rPr>
          <w:noProof/>
          <w:color w:val="000000" w:themeColor="text1"/>
        </w:rPr>
        <w:t>règlement délégué CIAS</w:t>
      </w:r>
      <w:r>
        <w:rPr>
          <w:noProof/>
        </w:rPr>
        <w:t xml:space="preserve"> décrit les conditions qui doivent être remplies pour que les matières premières utilisées </w:t>
      </w:r>
      <w:bookmarkStart w:id="11" w:name="_Int_MYhAf1sC"/>
      <w:r>
        <w:rPr>
          <w:noProof/>
        </w:rPr>
        <w:t>pour la production</w:t>
      </w:r>
      <w:bookmarkEnd w:id="11"/>
      <w:r>
        <w:rPr>
          <w:noProof/>
        </w:rPr>
        <w:t xml:space="preserve"> de biocarburants, de bioliquides et de combustibles issus de la biomasse soient qualifiées d’</w:t>
      </w:r>
      <w:r>
        <w:rPr>
          <w:i/>
          <w:noProof/>
        </w:rPr>
        <w:t>additionnelles</w:t>
      </w:r>
      <w:r>
        <w:rPr>
          <w:noProof/>
        </w:rPr>
        <w:t xml:space="preserve"> et, partant, que le carburant produit puisse bénéficier d’une certification de risque faible de CIAS. Trois conditions différentes sont énumérées à l’article 5, paragraphe 1, point a), dont l’une au moins doit être remplie. L’attractivité financière est la première condition. Cela signifie que la mesure d’additionnalité rend le carburant éligible à la certification en tant que carburant présentant un faible risque de CIAS lorsque la mise en œuvre de la mesure est rendue financièrement attrayante parce que le carburant produit peut être comptabilisé aux fins de la réalisation des objectifs en matière d’énergies renouvelables, ou parce que d’autres obstacles qui empêcheraient autrement sa mise en œuvre sont supprimés parce qu’ils peuvent être comptabilisés aux fins de la réalisation de ces objectifs. Pour les deux autres conditions, à savoir la culture sur des terres abandonnées ou sévèrement dégradées et l’application des mesures d’additionnalité par les petits exploitants, l’additionnalité est présumée. Cette dernière condition vise à éviter toute charge administrative inutile. Cette exemption est justifiée et peut être maintenue parce que les petits exploitants sont confrontés à des obstacles qui entravent la mise en œuvre de mesures visant à accroître la productivité. </w:t>
      </w:r>
    </w:p>
    <w:p w14:paraId="75F88B29" w14:textId="0AABCA66" w:rsidR="00BF4564" w:rsidRPr="004B77F8" w:rsidRDefault="00BF2EB9" w:rsidP="00826FFE">
      <w:pPr>
        <w:pStyle w:val="NormalTimesNewRoman"/>
        <w:rPr>
          <w:noProof/>
        </w:rPr>
      </w:pPr>
      <w:r>
        <w:rPr>
          <w:noProof/>
        </w:rPr>
        <w:t xml:space="preserve">Afin de permettre aux opérateurs économiques de récupérer les coûts d’investissement tout en garantissant le maintien de l’efficacité du cadre, l’article 5, paragraphe 1, point b), du règlement délégué CIAS exige que les mesures d’additionnalité aient été prises au plus tard 10 ans avant la certification des biocarburants, bioliquides et combustibles issus de la biomasse comme présentant un risque faible de CIAS. Cette condition fonctionne bien pour les mesures d’additionnalité qui ont un effet immédiat. Toutefois, afin de mieux couvrir les cas dans lesquels un laps de temps important s’écoule jusqu’à ce qu’ils produisent des matières premières supplémentaires, il est justifié de déterminer la période de leur admissibilité sur la base du moment où la production de matières premières supplémentaires a commencé, plutôt que du moment de leur mise en œuvre. </w:t>
      </w:r>
    </w:p>
    <w:p w14:paraId="2289B772" w14:textId="580897AE" w:rsidR="00CC3046" w:rsidRPr="00CC3046" w:rsidRDefault="67FE5085" w:rsidP="00CC3046">
      <w:pPr>
        <w:pStyle w:val="NormalTimesNewRoman"/>
        <w:rPr>
          <w:noProof/>
        </w:rPr>
      </w:pPr>
      <w:r>
        <w:rPr>
          <w:noProof/>
        </w:rPr>
        <w:t>Le chapitre V du règlement d’exécution (UE) 2022/996</w:t>
      </w:r>
      <w:r>
        <w:rPr>
          <w:rFonts w:eastAsiaTheme="minorEastAsia"/>
          <w:noProof/>
          <w:vertAlign w:val="superscript"/>
        </w:rPr>
        <w:footnoteReference w:id="25"/>
      </w:r>
      <w:r>
        <w:rPr>
          <w:noProof/>
        </w:rPr>
        <w:t xml:space="preserve"> relatif aux règles de certification pour les systèmes volontaires donnent d’autres orientations sur la mise en œuvre de la certification du risque faible de CIAS. Ses articles 24 à 27 expliquent les exigences spécifiques concernant la certification du risque faible de CIAS et incluent les règles visant à prouver l’additionnalité, ainsi que des orientations détaillées afin de respecter les exigences relatives à la production sur des terres inexploitées ou abandonnées et de déterminer la biomasse supplémentaire nécessaire pour les mesures d’augmentation du rendement. Ces règles techniques visent à garantir l’application d’une approche harmonisée et solide par les organismes de certification. En ce qui concerne plus particulièrement les mesures d’additionnalité et la période d’éligibilité mentionnées ci-dessus, l’article 24, paragraphe 6, du règlement d’exécution (UE) 2022/996 a introduit la règle selon laquelle, pour les cultures pérennes, un opérateur économique peut choisir de retarder le début de la période de validité de 10 ans de 2 ans au maximum en cas de mesures d’additionnalité opérationnelles ou de 5 ans au maximum en cas de replantation.</w:t>
      </w:r>
    </w:p>
    <w:p w14:paraId="35DBCC75" w14:textId="3924B420" w:rsidR="001C9B45" w:rsidRPr="0045620A" w:rsidRDefault="001C9B45" w:rsidP="001C9B45">
      <w:pPr>
        <w:pStyle w:val="NormalTimesNewRoman"/>
        <w:rPr>
          <w:noProof/>
          <w:lang w:val="fr-BE"/>
        </w:rPr>
      </w:pPr>
    </w:p>
    <w:p w14:paraId="2E0BB16D" w14:textId="77777777" w:rsidR="74982C6C" w:rsidRPr="00526778" w:rsidRDefault="74982C6C" w:rsidP="00725345">
      <w:pPr>
        <w:pStyle w:val="Style1"/>
        <w:rPr>
          <w:noProof/>
        </w:rPr>
      </w:pPr>
      <w:bookmarkStart w:id="12" w:name="_Toc109647472"/>
      <w:r>
        <w:rPr>
          <w:noProof/>
        </w:rPr>
        <w:t>CONCLUSION</w:t>
      </w:r>
      <w:bookmarkEnd w:id="12"/>
    </w:p>
    <w:p w14:paraId="5043CB0F" w14:textId="77777777" w:rsidR="67FE5085" w:rsidRPr="00526778" w:rsidRDefault="67FE5085" w:rsidP="67FE5085">
      <w:pPr>
        <w:rPr>
          <w:rFonts w:ascii="Times New Roman" w:eastAsia="Times New Roman" w:hAnsi="Times New Roman" w:cs="Times New Roman"/>
          <w:noProof/>
          <w:sz w:val="24"/>
          <w:szCs w:val="24"/>
          <w:lang w:val="en-GB"/>
        </w:rPr>
      </w:pPr>
    </w:p>
    <w:p w14:paraId="07459315" w14:textId="5CAFC5E0" w:rsidR="008243A8" w:rsidRPr="00526778" w:rsidRDefault="00382EB9" w:rsidP="00D937A1">
      <w:pPr>
        <w:pStyle w:val="NormalTimesNewRoman"/>
        <w:rPr>
          <w:noProof/>
        </w:rPr>
      </w:pPr>
      <w:r>
        <w:rPr>
          <w:noProof/>
        </w:rPr>
        <w:t xml:space="preserve">Les conclusions de l’examen des preuves scientifiques figurant dans le présent rapport sont cohérentes avec les données figurant dans le rapport de 2019 sur les matières premières et </w:t>
      </w:r>
      <w:r>
        <w:rPr>
          <w:noProof/>
          <w:color w:val="000000" w:themeColor="text1"/>
        </w:rPr>
        <w:t>confirment l’approche adoptée dans le règlement délégué CIAS</w:t>
      </w:r>
      <w:r>
        <w:rPr>
          <w:noProof/>
        </w:rPr>
        <w:t xml:space="preserve">. Par conséquent, la Commission a l’intention de limiter le réexamen du </w:t>
      </w:r>
      <w:r>
        <w:rPr>
          <w:noProof/>
          <w:color w:val="000000" w:themeColor="text1"/>
        </w:rPr>
        <w:t>règlement délégué CIAS à des modifications mineures de la méthodologie ainsi qu’à une mise à jour des données sur l’expansion des matières premières et les facteurs de productivité. Selon les données actualisées, tant l’huile de palme que le soja</w:t>
      </w:r>
      <w:r>
        <w:rPr>
          <w:noProof/>
        </w:rPr>
        <w:t xml:space="preserve"> peuvent être considérés comme des matières premières présentant un risque élevé de CIAS. </w:t>
      </w:r>
    </w:p>
    <w:sectPr w:rsidR="008243A8" w:rsidRPr="00526778" w:rsidSect="00CD6E84">
      <w:headerReference w:type="even" r:id="rId18"/>
      <w:headerReference w:type="default" r:id="rId19"/>
      <w:footerReference w:type="even" r:id="rId20"/>
      <w:footerReference w:type="default" r:id="rId21"/>
      <w:headerReference w:type="first" r:id="rId22"/>
      <w:footerReference w:type="first" r:id="rId2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F07FC6" w14:textId="77777777" w:rsidR="00C26A7A" w:rsidRDefault="00C26A7A">
      <w:pPr>
        <w:spacing w:after="0" w:line="240" w:lineRule="auto"/>
      </w:pPr>
      <w:r>
        <w:separator/>
      </w:r>
    </w:p>
  </w:endnote>
  <w:endnote w:type="continuationSeparator" w:id="0">
    <w:p w14:paraId="3CE66249" w14:textId="77777777" w:rsidR="00C26A7A" w:rsidRDefault="00C26A7A">
      <w:pPr>
        <w:spacing w:after="0" w:line="240" w:lineRule="auto"/>
      </w:pPr>
      <w:r>
        <w:continuationSeparator/>
      </w:r>
    </w:p>
  </w:endnote>
  <w:endnote w:type="continuationNotice" w:id="1">
    <w:p w14:paraId="008A8881" w14:textId="77777777" w:rsidR="00C26A7A" w:rsidRDefault="00C26A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3E80A" w14:textId="341A2C7E" w:rsidR="000A2FAB" w:rsidRPr="000A2FAB" w:rsidRDefault="000A2FAB" w:rsidP="000A2FAB">
    <w:pPr>
      <w:pStyle w:val="FooterCoverPage"/>
      <w:rPr>
        <w:rFonts w:ascii="Arial" w:hAnsi="Arial" w:cs="Arial"/>
        <w:b/>
        <w:sz w:val="48"/>
      </w:rPr>
    </w:pPr>
    <w:r w:rsidRPr="000A2FAB">
      <w:rPr>
        <w:rFonts w:ascii="Arial" w:hAnsi="Arial" w:cs="Arial"/>
        <w:b/>
        <w:sz w:val="48"/>
      </w:rPr>
      <w:t>FR</w:t>
    </w:r>
    <w:r w:rsidRPr="000A2FAB">
      <w:rPr>
        <w:rFonts w:ascii="Arial" w:hAnsi="Arial" w:cs="Arial"/>
        <w:b/>
        <w:sz w:val="48"/>
      </w:rPr>
      <w:tab/>
    </w:r>
    <w:r w:rsidRPr="000A2FAB">
      <w:rPr>
        <w:rFonts w:ascii="Arial" w:hAnsi="Arial" w:cs="Arial"/>
        <w:b/>
        <w:sz w:val="48"/>
      </w:rPr>
      <w:tab/>
    </w:r>
    <w:r w:rsidRPr="000A2FAB">
      <w:tab/>
    </w:r>
    <w:r w:rsidRPr="000A2FA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F9F3D" w14:textId="3D62D41E" w:rsidR="000A2FAB" w:rsidRPr="000A2FAB" w:rsidRDefault="000A2FAB" w:rsidP="000A2FAB">
    <w:pPr>
      <w:pStyle w:val="FooterCoverPage"/>
      <w:rPr>
        <w:rFonts w:ascii="Arial" w:hAnsi="Arial" w:cs="Arial"/>
        <w:b/>
        <w:sz w:val="48"/>
      </w:rPr>
    </w:pPr>
    <w:r w:rsidRPr="000A2FAB">
      <w:rPr>
        <w:rFonts w:ascii="Arial" w:hAnsi="Arial" w:cs="Arial"/>
        <w:b/>
        <w:sz w:val="48"/>
      </w:rPr>
      <w:t>FR</w:t>
    </w:r>
    <w:r w:rsidRPr="000A2FAB">
      <w:rPr>
        <w:rFonts w:ascii="Arial" w:hAnsi="Arial" w:cs="Arial"/>
        <w:b/>
        <w:sz w:val="48"/>
      </w:rPr>
      <w:tab/>
    </w:r>
    <w:r w:rsidRPr="000A2FAB">
      <w:rPr>
        <w:rFonts w:ascii="Arial" w:hAnsi="Arial" w:cs="Arial"/>
        <w:b/>
        <w:sz w:val="48"/>
      </w:rPr>
      <w:tab/>
    </w:r>
    <w:r w:rsidRPr="000A2FAB">
      <w:tab/>
    </w:r>
    <w:r w:rsidRPr="000A2FA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5C5BF" w14:textId="77777777" w:rsidR="000A2FAB" w:rsidRPr="000A2FAB" w:rsidRDefault="000A2FAB" w:rsidP="000A2FA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A5D23" w14:textId="77777777" w:rsidR="00CD6E84" w:rsidRDefault="00CD6E8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1924244"/>
      <w:docPartObj>
        <w:docPartGallery w:val="Page Numbers (Bottom of Page)"/>
        <w:docPartUnique/>
      </w:docPartObj>
    </w:sdtPr>
    <w:sdtEndPr>
      <w:rPr>
        <w:noProof/>
      </w:rPr>
    </w:sdtEndPr>
    <w:sdtContent>
      <w:p w14:paraId="3D3D22A9" w14:textId="77E042CD" w:rsidR="00CD6E84" w:rsidRDefault="00CD6E84">
        <w:pPr>
          <w:pStyle w:val="Footer"/>
          <w:jc w:val="center"/>
        </w:pPr>
        <w:r>
          <w:fldChar w:fldCharType="begin"/>
        </w:r>
        <w:r>
          <w:instrText xml:space="preserve"> PAGE   \* MERGEFORMAT </w:instrText>
        </w:r>
        <w:r>
          <w:fldChar w:fldCharType="separate"/>
        </w:r>
        <w:r w:rsidR="000A2FAB">
          <w:rPr>
            <w:noProof/>
          </w:rPr>
          <w:t>1</w:t>
        </w:r>
        <w:r>
          <w:fldChar w:fldCharType="end"/>
        </w:r>
      </w:p>
    </w:sdtContent>
  </w:sdt>
  <w:p w14:paraId="6DFB9E20" w14:textId="77777777" w:rsidR="00CD6E84" w:rsidRDefault="00CD6E84" w:rsidP="74982C6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0AD66" w14:textId="77777777" w:rsidR="00CD6E84" w:rsidRDefault="00CD6E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8EB1E0" w14:textId="77777777" w:rsidR="00C26A7A" w:rsidRDefault="00C26A7A">
      <w:pPr>
        <w:spacing w:after="0" w:line="240" w:lineRule="auto"/>
      </w:pPr>
      <w:r>
        <w:separator/>
      </w:r>
    </w:p>
  </w:footnote>
  <w:footnote w:type="continuationSeparator" w:id="0">
    <w:p w14:paraId="3F79D900" w14:textId="77777777" w:rsidR="00C26A7A" w:rsidRDefault="00C26A7A">
      <w:pPr>
        <w:spacing w:after="0" w:line="240" w:lineRule="auto"/>
      </w:pPr>
      <w:r>
        <w:continuationSeparator/>
      </w:r>
    </w:p>
  </w:footnote>
  <w:footnote w:type="continuationNotice" w:id="1">
    <w:p w14:paraId="0761BD23" w14:textId="77777777" w:rsidR="00C26A7A" w:rsidRDefault="00C26A7A">
      <w:pPr>
        <w:spacing w:after="0" w:line="240" w:lineRule="auto"/>
      </w:pPr>
    </w:p>
  </w:footnote>
  <w:footnote w:id="2">
    <w:p w14:paraId="232E177B" w14:textId="25F6A85B" w:rsidR="004B465E" w:rsidRPr="009645C7" w:rsidRDefault="004B465E" w:rsidP="00D937A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Directive (UE) 2018/2001 du Parlement européen et du Conseil du 11 décembre 2018 relative à la promotion de l’utilisation de l’énergie produite à partir de sources renouvelables (JO L 328 du 21.12.2018, ELI: </w:t>
      </w:r>
      <w:hyperlink r:id="rId1" w:tooltip="Donne accès à ce document au moyen de son URI ELI." w:history="1">
        <w:r>
          <w:rPr>
            <w:rStyle w:val="Hyperlink"/>
            <w:rFonts w:ascii="Times New Roman" w:hAnsi="Times New Roman"/>
          </w:rPr>
          <w:t>http://data.europa.eu/eli/dir/2018/2001/oj</w:t>
        </w:r>
      </w:hyperlink>
      <w:r>
        <w:rPr>
          <w:rFonts w:ascii="Times New Roman" w:hAnsi="Times New Roman"/>
        </w:rPr>
        <w:t>), telle que modifiée par la directive (UE) 2023/2413 du Parlement européen et du Conseil du 18 octobre 2023 modifiant la directive (UE) 2018/2001, le règlement (UE) 2018/1999 et la directive 98/70/CE en ce qui concerne la promotion de l’énergie produite à partir de sources renouvelables, et abrogeant la directive (UE) 2015/652 du Conseil (JO L 2023/2413 du 31.10.2023, ELI:</w:t>
      </w:r>
      <w:r>
        <w:rPr>
          <w:rFonts w:ascii="Times New Roman" w:hAnsi="Times New Roman"/>
          <w:i/>
        </w:rPr>
        <w:t> </w:t>
      </w:r>
      <w:hyperlink r:id="rId2" w:tgtFrame="_blank" w:tooltip="Donne accès à ce document au moyen de son URI ELI." w:history="1">
        <w:r>
          <w:rPr>
            <w:rStyle w:val="Hyperlink"/>
            <w:rFonts w:ascii="Times New Roman" w:hAnsi="Times New Roman"/>
            <w:i/>
          </w:rPr>
          <w:t>http://data.europa.eu/eli/dir/2023/2413/oj</w:t>
        </w:r>
      </w:hyperlink>
      <w:r>
        <w:rPr>
          <w:rFonts w:ascii="Times New Roman" w:hAnsi="Times New Roman"/>
        </w:rPr>
        <w:t>)</w:t>
      </w:r>
      <w:r>
        <w:t>.</w:t>
      </w:r>
    </w:p>
  </w:footnote>
  <w:footnote w:id="3">
    <w:p w14:paraId="44AAE05E" w14:textId="77777777" w:rsidR="003F69F4" w:rsidRPr="009645C7" w:rsidRDefault="003F69F4" w:rsidP="006324E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délégué (UE) 2019/807 de la Commission du 13 mars 2019 complétant la directive (UE) 2018/2001 du Parlement européen et du Conseil en ce qui concerne, d’une part, la détermination des matières premières présentant un risque élevé d’induire des changements indirects dans l’affectation des sols dont la zone de production gagne nettement sur les terres présentant un important stock de carbone et, d’autre part, la certification des biocarburants, bioliquides et combustibles issus de la biomasse présentant un faible risque d’induire des changements indirects dans l’affectation des sols, JO L 133, 21.5.2019, p. 1.</w:t>
      </w:r>
    </w:p>
  </w:footnote>
  <w:footnote w:id="4">
    <w:p w14:paraId="473F21FD" w14:textId="3929D1CB" w:rsidR="00656CE7" w:rsidRPr="00412EF2" w:rsidRDefault="00656CE7" w:rsidP="00656CE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COM/2019/142 final - Rapport de la Commission au Parlement européen, au Conseil, au Comité économique et social européen et au Comité des régions sur l’état de l’expansion, à l’échelle mondiale, de la production de certaines cultures destinées à l’alimentation humaine et animale.</w:t>
      </w:r>
    </w:p>
  </w:footnote>
  <w:footnote w:id="5">
    <w:p w14:paraId="58CA19A0" w14:textId="1DEEA15C" w:rsidR="00830A7C" w:rsidRPr="002419DC" w:rsidRDefault="00830A7C">
      <w:pPr>
        <w:pStyle w:val="FootnoteText"/>
      </w:pPr>
      <w:r>
        <w:rPr>
          <w:rStyle w:val="FootnoteReference"/>
        </w:rPr>
        <w:footnoteRef/>
      </w:r>
      <w:r>
        <w:t>doi:10.2833/7401246.</w:t>
      </w:r>
    </w:p>
  </w:footnote>
  <w:footnote w:id="6">
    <w:p w14:paraId="282F2D3E" w14:textId="2ACBF33C" w:rsidR="00F45646" w:rsidRPr="00412EF2" w:rsidRDefault="00F4564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Amaral, D. F., De Souza Ferreira Filho, J. B., Chagas, A. L. S., &amp; Adami, M. (2021). Expansion of soybean farming into deforested areas in the amazon biome: the role and impact of the soy moratorium (Expansion de l’élevage de soja dans des zones déboisées dans le biome de l’Amazone: le rôle et l’impact du moratoire sur le soja). Sustainable Science, 16(4), 1295-1312. https://doi.org/10.1007/s11625-021-00942-x. </w:t>
      </w:r>
    </w:p>
  </w:footnote>
  <w:footnote w:id="7">
    <w:p w14:paraId="0380A12B" w14:textId="28E722F0" w:rsidR="003F1429" w:rsidRPr="00412EF2" w:rsidRDefault="003F1429" w:rsidP="00D937A1">
      <w:pPr>
        <w:pStyle w:val="FootnoteText"/>
        <w:jc w:val="both"/>
        <w:rPr>
          <w:rFonts w:ascii="Times New Roman" w:hAnsi="Times New Roman" w:cs="Times New Roman"/>
        </w:rPr>
      </w:pPr>
      <w:r>
        <w:rPr>
          <w:rFonts w:ascii="Times New Roman" w:hAnsi="Times New Roman" w:cs="Times New Roman"/>
        </w:rPr>
        <w:footnoteRef/>
      </w:r>
      <w:r>
        <w:rPr>
          <w:rFonts w:ascii="Times New Roman" w:hAnsi="Times New Roman"/>
        </w:rPr>
        <w:t xml:space="preserve">Picoli, M. C. A., Rorato, A. C., Leitão, P. J., Câmara, G., Maciel, A., Hostert, P., &amp; Sanches, I. D. (2020). Impacts of Public and Private Sector Policies on Soybean and Pasture Expansion in Mato Grosso - Brazil from 2001 to 2017 (Incidences des politiques des secteurs public et privé sur l’expansion du soja et des pâturages au Mato Grosso, Brésil de 2001 à 2017). Land, 9(1), 20. https://doi.org/10.3390/land9010020. </w:t>
      </w:r>
    </w:p>
  </w:footnote>
  <w:footnote w:id="8">
    <w:p w14:paraId="6D5B0430" w14:textId="68B9D1A9" w:rsidR="004D7E2C" w:rsidRPr="0045620A" w:rsidRDefault="004D7E2C" w:rsidP="00D937A1">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rPr>
        <w:t xml:space="preserve">Song, X., Hansen, M. C., Potapov, P., Adusei, B., Pickering, J., Adami, M., Lima, A., Zalles, V., Stehman, S. V., Di Bella, C. M., Conde, M. C., Copati, E. J., Fernandes, L. B., Hernández-Serna, A., Jantz, S. M., Pickens, A., Turubanova, S., &amp; Tyukavina, A. (2021). Massive soybean expansion in South America since 2000 and implications for conservation (Expansion massive du soja en Amérique du Sud depuis 2000 et conséquences pour la conservation). </w:t>
      </w:r>
      <w:r w:rsidRPr="0045620A">
        <w:rPr>
          <w:rFonts w:ascii="Times New Roman" w:hAnsi="Times New Roman"/>
          <w:lang w:val="en-IE"/>
        </w:rPr>
        <w:t>Nature Sustainability, 4(9), 784–792. https://doi.org/10.1038/s41893-021-00729-z.</w:t>
      </w:r>
    </w:p>
  </w:footnote>
  <w:footnote w:id="9">
    <w:p w14:paraId="0E76D42F" w14:textId="23BCD936" w:rsidR="006F57E9" w:rsidRPr="0045620A" w:rsidRDefault="006F57E9" w:rsidP="00D937A1">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45620A">
        <w:rPr>
          <w:rFonts w:ascii="Times New Roman" w:hAnsi="Times New Roman"/>
          <w:lang w:val="en-IE"/>
        </w:rPr>
        <w:t xml:space="preserve">Strapasson, A., Falcão, J. P., Rossberg, T., Buss, G., Woods, J., &amp; Peterson, S. (2019). </w:t>
      </w:r>
      <w:r>
        <w:rPr>
          <w:rFonts w:ascii="Times New Roman" w:hAnsi="Times New Roman"/>
        </w:rPr>
        <w:t xml:space="preserve">Land Use Change and the European Biofuels Policy: The expansion of oilseed feedstocks on lands with high carbon stocks (Le changement d’affectation des terres et la politique européenne en matière de biocarburants: l’expansion des matières premières oléagineuses sur des terres présentant un important stock de carbone). </w:t>
      </w:r>
      <w:r w:rsidRPr="0045620A">
        <w:rPr>
          <w:rFonts w:ascii="Times New Roman" w:hAnsi="Times New Roman"/>
          <w:lang w:val="en-IE"/>
        </w:rPr>
        <w:t>Oilseeds and Fats, Crops and Lipids, 26, 39. https://doi.org/10.1051/ocl/2019034.</w:t>
      </w:r>
    </w:p>
  </w:footnote>
  <w:footnote w:id="10">
    <w:p w14:paraId="7AAA1F2A" w14:textId="28830744" w:rsidR="004A7597" w:rsidRPr="0045620A" w:rsidRDefault="004A7597" w:rsidP="00D937A1">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45620A">
        <w:rPr>
          <w:rFonts w:ascii="Times New Roman" w:hAnsi="Times New Roman"/>
          <w:lang w:val="en-IE"/>
        </w:rPr>
        <w:t xml:space="preserve">Schoneveld, G., Ekowati, D., Andrianto, A., &amp; Van Der Haar, S. (2019). </w:t>
      </w:r>
      <w:r>
        <w:rPr>
          <w:rFonts w:ascii="Times New Roman" w:hAnsi="Times New Roman"/>
        </w:rPr>
        <w:t xml:space="preserve">Modeling peat- and forestland conversion by oil palm smallholders in Indonesian Borneo (Modélisation de la conversion des tourbières et des forêts par les petits exploitants de palmiers à huile dans le Bornéo indonésien). Environmental Research Letters, 14(1), 014006. https://doi.org/10.1088/1748-9326/aaf044 et Glinskis, E. A., &amp; Gutiérrez-Vélez, V. H. (2019). Quantifying and understanding land cover changes by large and small oil palm expansion regimes in the Peruvian Amazon (Quantifier et comprendre les changements d’occupation des sols dus aux régimes d’expansion des palmiers à huile de grande et de petite taille en Amazonie péruvienne). </w:t>
      </w:r>
      <w:r w:rsidRPr="0045620A">
        <w:rPr>
          <w:rFonts w:ascii="Times New Roman" w:hAnsi="Times New Roman"/>
          <w:lang w:val="en-IE"/>
        </w:rPr>
        <w:t>Land Use Policy, 80, 95–106. https://doi.org/10.1016/j.landusepol.2018.09.032. </w:t>
      </w:r>
    </w:p>
  </w:footnote>
  <w:footnote w:id="11">
    <w:p w14:paraId="4BC5EDF7" w14:textId="49885FD6" w:rsidR="00E53B6C" w:rsidRPr="001D037B" w:rsidRDefault="00E53B6C" w:rsidP="00D937A1">
      <w:pPr>
        <w:pStyle w:val="FootnoteText"/>
        <w:jc w:val="both"/>
        <w:rPr>
          <w:rFonts w:ascii="Times New Roman" w:hAnsi="Times New Roman" w:cs="Times New Roman"/>
        </w:rPr>
      </w:pPr>
      <w:r>
        <w:rPr>
          <w:rStyle w:val="FootnoteReference"/>
          <w:rFonts w:ascii="Times New Roman" w:hAnsi="Times New Roman" w:cs="Times New Roman"/>
        </w:rPr>
        <w:footnoteRef/>
      </w:r>
      <w:r w:rsidRPr="0045620A">
        <w:rPr>
          <w:rFonts w:ascii="Times New Roman" w:hAnsi="Times New Roman"/>
          <w:lang w:val="en-IE"/>
        </w:rPr>
        <w:t xml:space="preserve">Astuti, R., Miller, M. A., McGregor, A., Sukmara, M. D. P., Saputra, W., Sulistyanto, &amp; Taylor, D. (2022). </w:t>
      </w:r>
      <w:r>
        <w:rPr>
          <w:rFonts w:ascii="Times New Roman" w:hAnsi="Times New Roman"/>
        </w:rPr>
        <w:t xml:space="preserve">Making illegality visible: The governance dilemmas created by visualising illegal palm oil plantations in Central Kalimantan, Indonesia (Rendre visible l’illégalité: les dilemmes de gouvernance créés par la visualisation des plantations illégales d’huile de palme dans le Kalimantan central, Indonésie). </w:t>
      </w:r>
      <w:r w:rsidRPr="0045620A">
        <w:rPr>
          <w:rFonts w:ascii="Times New Roman" w:hAnsi="Times New Roman"/>
          <w:lang w:val="en-IE"/>
        </w:rPr>
        <w:t xml:space="preserve">Land Use Policy, 114, 105942. https://doi.org/10.1016/j.landusepol.2021.105942,​Jing, Z., Lee, J. S. H., Elmore, A. J., Fatimah, Y. A., Numata, I., Xin, Z., &amp; Cochrane, M. A. (2022). Spatial patterns and drivers of smallholder oil palm expansion within peat swamp forests of Riau, Indonesia (Schémas spatiaux et facteurs d’expansion des petits exploitants de palmiers à huile dans les forêts tourbeuses de Riau, Indonésie). Environmental Research Letters, 17(4), 044015. </w:t>
      </w:r>
      <w:hyperlink r:id="rId3" w:history="1">
        <w:r w:rsidRPr="0045620A">
          <w:rPr>
            <w:rFonts w:ascii="Times New Roman" w:hAnsi="Times New Roman"/>
            <w:lang w:val="en-IE"/>
          </w:rPr>
          <w:t>https://doi.org/10.1088/1748-9326/ac4dc6</w:t>
        </w:r>
      </w:hyperlink>
      <w:r w:rsidRPr="0045620A">
        <w:rPr>
          <w:rFonts w:ascii="Times New Roman" w:hAnsi="Times New Roman"/>
          <w:lang w:val="en-IE"/>
        </w:rPr>
        <w:t xml:space="preserve"> et Schoneveld, G., Ekowati, D., Andrianto, A., &amp; Van Der Haar, S. (2019). </w:t>
      </w:r>
      <w:r>
        <w:rPr>
          <w:rFonts w:ascii="Times New Roman" w:hAnsi="Times New Roman"/>
        </w:rPr>
        <w:t>Modeling peat- and forestland conversion by oil palm smallholders in Indonesian Borneo (Modélisation de la conversion des tourbières et des forêts par les petits exploitants de palmiers à huile dans le Bornéo indonésien). Environmental Research Letters, 14(1), 014006. https://doi.org/10.1088/1748-9326/aaf044. </w:t>
      </w:r>
    </w:p>
  </w:footnote>
  <w:footnote w:id="12">
    <w:p w14:paraId="4849DA9C" w14:textId="4B441638" w:rsidR="00E2437A" w:rsidRPr="001D037B" w:rsidRDefault="00E2437A" w:rsidP="00D937A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Benami, E., Curran, L. M., Cochrane, M. A., Venturieri, A., Franco, R. V., Kneipp, J. M., &amp; Swartos, A. (2018). Oil palm land conversion in Pará, Brazil, from 2006–2014: evaluating the 2010 Brazilian Sustainable Palm Oil Production Program (Conversion de terres de palmier à huile à Pará, Brésil, de 2006 à 2014: évaluation du programme brésilien de production durable d’huile de palme de 2010). Environmental Research Letters, 13(3), 034037. https://doi.org/10.1088/1748-9326/aaa270. </w:t>
      </w:r>
    </w:p>
  </w:footnote>
  <w:footnote w:id="13">
    <w:p w14:paraId="2CB30D4B" w14:textId="295005D1" w:rsidR="000B4015" w:rsidRPr="0045620A" w:rsidRDefault="000B4015" w:rsidP="00D937A1">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rPr>
        <w:t xml:space="preserve">Glinskis, E. A., &amp; Gutiérrez-Vélez, V. H. (2019). Quantifying and understanding land cover changes by large and small oil palm expansion regimes in the Peruvian Amazon (Quantifier et comprendre les changements d’occupation des sols dus aux régimes d’expansion des palmiers à huile de grande et de petite taille en Amazonie péruvienne). </w:t>
      </w:r>
      <w:r w:rsidRPr="0045620A">
        <w:rPr>
          <w:rFonts w:ascii="Times New Roman" w:hAnsi="Times New Roman"/>
          <w:lang w:val="en-IE"/>
        </w:rPr>
        <w:t>Land Use Policy, 80, 95–106. https://doi.org/10.1016/j.landusepol.2018.09.032.</w:t>
      </w:r>
    </w:p>
  </w:footnote>
  <w:footnote w:id="14">
    <w:p w14:paraId="7B6988EF" w14:textId="0D0CCD95" w:rsidR="00494115" w:rsidRPr="0045620A" w:rsidRDefault="00494115">
      <w:pPr>
        <w:pStyle w:val="FootnoteText"/>
        <w:rPr>
          <w:rFonts w:ascii="Times New Roman" w:hAnsi="Times New Roman" w:cs="Times New Roman"/>
          <w:lang w:val="en-IE"/>
        </w:rPr>
      </w:pPr>
      <w:r>
        <w:rPr>
          <w:rStyle w:val="FootnoteReference"/>
          <w:rFonts w:ascii="Times New Roman" w:hAnsi="Times New Roman" w:cs="Times New Roman"/>
        </w:rPr>
        <w:footnoteRef/>
      </w:r>
      <w:r w:rsidRPr="0045620A">
        <w:rPr>
          <w:rFonts w:ascii="Times New Roman" w:hAnsi="Times New Roman"/>
          <w:lang w:val="en-IE"/>
        </w:rPr>
        <w:t xml:space="preserve">Duguma LA, Muthee K, Minang PA, van Noordwijk M, Duba D, Bah A, Piabuo SM, Wainaina P. 2021. </w:t>
      </w:r>
      <w:r>
        <w:rPr>
          <w:rFonts w:ascii="Times New Roman" w:hAnsi="Times New Roman"/>
        </w:rPr>
        <w:t xml:space="preserve">The palm oil sector in Africa: the dynamics, challenges and pathways to sustainability (Le secteur de l’huile de palme en Afrique: la dynamique, les défis et les voies vers la durabilité). Chapitre 9. Dans: Minang PA, Duguma LA, van Noordwijk M, éd. Tree commodities and resilient green economies in Africa (Matières premières forestières et économies vertes résilientes en Afrique). </w:t>
      </w:r>
      <w:r w:rsidRPr="0045620A">
        <w:rPr>
          <w:rFonts w:ascii="Times New Roman" w:hAnsi="Times New Roman"/>
          <w:lang w:val="en-IE"/>
        </w:rPr>
        <w:t xml:space="preserve">Nairobi, Kenya: World Agroforestry (ICRAF). </w:t>
      </w:r>
    </w:p>
  </w:footnote>
  <w:footnote w:id="15">
    <w:p w14:paraId="34E19F36" w14:textId="641B3679" w:rsidR="007B6804" w:rsidRPr="001D037B" w:rsidRDefault="007B6804">
      <w:pPr>
        <w:pStyle w:val="FootnoteText"/>
        <w:rPr>
          <w:rFonts w:ascii="Times New Roman" w:hAnsi="Times New Roman" w:cs="Times New Roman"/>
        </w:rPr>
      </w:pPr>
      <w:r>
        <w:rPr>
          <w:rStyle w:val="FootnoteReference"/>
          <w:rFonts w:ascii="Times New Roman" w:hAnsi="Times New Roman" w:cs="Times New Roman"/>
        </w:rPr>
        <w:footnoteRef/>
      </w:r>
      <w:r w:rsidRPr="0045620A">
        <w:rPr>
          <w:rFonts w:ascii="Times New Roman" w:hAnsi="Times New Roman"/>
          <w:lang w:val="en-IE"/>
        </w:rPr>
        <w:t xml:space="preserve">Guarenghi, M. M., Garofalo, D. F. T., Seabra, J. E. A., Moreira, M. M. R., Novaes, R. M. L., Ramos, N. P., Nogueira, S. F., &amp; de Andrade, C. A. (2023). </w:t>
      </w:r>
      <w:r>
        <w:rPr>
          <w:rFonts w:ascii="Times New Roman" w:hAnsi="Times New Roman"/>
        </w:rPr>
        <w:t xml:space="preserve">Land use change net removals associated with sugarcane in Brazil (Absorptions nettes résultant du changement d’affectation des terres associées à la canne à sucre au Brésil). </w:t>
      </w:r>
      <w:r w:rsidRPr="0045620A">
        <w:rPr>
          <w:rFonts w:ascii="Times New Roman" w:hAnsi="Times New Roman"/>
          <w:lang w:val="en-IE"/>
        </w:rPr>
        <w:t xml:space="preserve">Land, 12(3), 584. </w:t>
      </w:r>
      <w:hyperlink r:id="rId4" w:history="1">
        <w:r w:rsidRPr="0045620A">
          <w:rPr>
            <w:rFonts w:ascii="Times New Roman" w:hAnsi="Times New Roman"/>
            <w:lang w:val="en-IE"/>
          </w:rPr>
          <w:t>https://doi.org/10.3390/land12030584</w:t>
        </w:r>
      </w:hyperlink>
      <w:r w:rsidRPr="0045620A">
        <w:rPr>
          <w:rFonts w:ascii="Times New Roman" w:hAnsi="Times New Roman"/>
          <w:lang w:val="en-IE"/>
        </w:rPr>
        <w:t xml:space="preserve">, Vera, I., Wicke, B., &amp; van der Hilst, F. (2020). </w:t>
      </w:r>
      <w:r>
        <w:rPr>
          <w:rFonts w:ascii="Times New Roman" w:hAnsi="Times New Roman"/>
        </w:rPr>
        <w:t xml:space="preserve">Spatial variation in environmental impacts of sugarcane expansion in Brazil (Variation spatiale des incidences environnementales de l’expansion de la canne à sucre au Brésil). Land, 9(10), 397. </w:t>
      </w:r>
      <w:hyperlink r:id="rId5" w:history="1">
        <w:r>
          <w:rPr>
            <w:rFonts w:ascii="Times New Roman" w:hAnsi="Times New Roman"/>
          </w:rPr>
          <w:t>https://doi.org/10.3390/land9100397</w:t>
        </w:r>
      </w:hyperlink>
      <w:r>
        <w:rPr>
          <w:rFonts w:ascii="Times New Roman" w:hAnsi="Times New Roman"/>
        </w:rPr>
        <w:t xml:space="preserve"> et Picoli, M. C. A., &amp; Machado, P. G. (2021). Land use change: The barrier for sugarcane sustainability (Changement d’affectation des terres: l’obstacle à la durabilité de la canne à sucre). Biofuels, Bioproducts and Biorefining, 15(6), 1591–1603. https://doi.org/10.1002/bbb.2270.</w:t>
      </w:r>
    </w:p>
  </w:footnote>
  <w:footnote w:id="16">
    <w:p w14:paraId="6AD624E9" w14:textId="77777777" w:rsidR="004D3E36" w:rsidRPr="001D037B" w:rsidRDefault="004D3E3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Organisation des Nations unies pour l’alimentation et l’agriculture - Statistiques.</w:t>
      </w:r>
    </w:p>
  </w:footnote>
  <w:footnote w:id="17">
    <w:p w14:paraId="41FD5961" w14:textId="77777777" w:rsidR="004D3E36" w:rsidRPr="001D037B" w:rsidRDefault="004D3E3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United States Department of Agriculture National Agricultural Statistics Service (service national de statistiques agricoles du ministère de l’Agriculture des États-Unis).</w:t>
      </w:r>
    </w:p>
  </w:footnote>
  <w:footnote w:id="18">
    <w:p w14:paraId="44EB5BF2" w14:textId="1C99B192" w:rsidR="00C515BC" w:rsidRPr="00237AD1" w:rsidRDefault="00C515B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La superficie récoltée comprend la superficie cultivée, à l’exclusion des superficies plantées, qui ne sont pas encore productives.</w:t>
      </w:r>
    </w:p>
  </w:footnote>
  <w:footnote w:id="19">
    <w:p w14:paraId="7243333A" w14:textId="6A586976" w:rsidR="00CA7301" w:rsidRPr="00237AD1" w:rsidRDefault="00CA730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MapSPAM 2010 V2R0.</w:t>
      </w:r>
    </w:p>
  </w:footnote>
  <w:footnote w:id="20">
    <w:p w14:paraId="0B36A5DE" w14:textId="77777777" w:rsidR="002B100E" w:rsidRPr="00237AD1" w:rsidRDefault="002B100E" w:rsidP="002B100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Hansen Global Forest Change Layers v1.7 a été utilisé dans la première phase de l’étude Guidehouse et v1.9 dans la deuxième phase, conformément à la méthodologie décrite dans Hansen, et al., 2013. </w:t>
      </w:r>
    </w:p>
  </w:footnote>
  <w:footnote w:id="21">
    <w:p w14:paraId="4A85FF9A" w14:textId="77777777" w:rsidR="002B100E" w:rsidRPr="00CF6F5F" w:rsidRDefault="002B100E" w:rsidP="002B100E">
      <w:pPr>
        <w:pStyle w:val="FootnoteText"/>
        <w:rPr>
          <w:rFonts w:ascii="Times New Roman" w:hAnsi="Times New Roman" w:cs="Times New Roman"/>
        </w:rPr>
      </w:pPr>
      <w:r>
        <w:rPr>
          <w:rStyle w:val="FootnoteReference"/>
          <w:rFonts w:ascii="Times New Roman" w:hAnsi="Times New Roman" w:cs="Times New Roman"/>
        </w:rPr>
        <w:footnoteRef/>
      </w:r>
      <w:r w:rsidRPr="0045620A">
        <w:rPr>
          <w:rFonts w:ascii="Times New Roman" w:hAnsi="Times New Roman"/>
          <w:lang w:val="en-IE"/>
        </w:rPr>
        <w:t xml:space="preserve">Miettinen, J., Shi, C., &amp; Liew, S. C. (2016). </w:t>
      </w:r>
      <w:r>
        <w:rPr>
          <w:rFonts w:ascii="Times New Roman" w:hAnsi="Times New Roman"/>
        </w:rPr>
        <w:t xml:space="preserve">Land cover distribution in the peatlands of Peninsular Malaysia, Sumatra and Borneo in 2015 with changes since 1990 (Distribution de l’occupation des sols dans les tourbières de Malaisie péninsulaire, Sumatra et Bornéo en 2015, avec les changements depuis 1990). Global Ecology and Conservation. </w:t>
      </w:r>
    </w:p>
  </w:footnote>
  <w:footnote w:id="22">
    <w:p w14:paraId="64C88F8B" w14:textId="32CF04BE" w:rsidR="00483105" w:rsidRPr="00237AD1" w:rsidRDefault="0048310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FaoSTAT, 2021.</w:t>
      </w:r>
    </w:p>
  </w:footnote>
  <w:footnote w:id="23">
    <w:p w14:paraId="38A5EDB5" w14:textId="28628060" w:rsidR="00802EC3" w:rsidRPr="00237AD1" w:rsidRDefault="00802EC3" w:rsidP="00380D1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bookmarkStart w:id="9" w:name="_Hlk119587085"/>
      <w:r>
        <w:rPr>
          <w:rFonts w:ascii="Times New Roman" w:hAnsi="Times New Roman"/>
        </w:rPr>
        <w:t>Les valeurs présentées dans ce tableau ont été calculées conformément à la formule figurant dans le règlement délégué (UE) 2019/807 (voir chapitre I). Pour le calcul, les résultats de l’analyse statistique actualisée et de la cartographie actualisée ont été combinés aux facteurs de productivité pour chaque groupe de cultures, comme suggéré par le JRC et comme indiqué dans l’acte délégué.</w:t>
      </w:r>
      <w:bookmarkEnd w:id="9"/>
    </w:p>
  </w:footnote>
  <w:footnote w:id="24">
    <w:p w14:paraId="67258CA5" w14:textId="09120072" w:rsidR="00F92FCA" w:rsidRPr="00F92FCA" w:rsidRDefault="00F92FCA">
      <w:pPr>
        <w:pStyle w:val="FootnoteText"/>
      </w:pPr>
      <w:r>
        <w:rPr>
          <w:rStyle w:val="FootnoteReference"/>
        </w:rPr>
        <w:footnoteRef/>
      </w:r>
      <w:r>
        <w:rPr>
          <w:rFonts w:ascii="Times New Roman" w:hAnsi="Times New Roman"/>
        </w:rPr>
        <w:t>Article 2, paragraphe 5.</w:t>
      </w:r>
    </w:p>
  </w:footnote>
  <w:footnote w:id="25">
    <w:p w14:paraId="7E03251B" w14:textId="5E471025" w:rsidR="003F69F4" w:rsidRPr="00237AD1" w:rsidRDefault="003F69F4" w:rsidP="00725345">
      <w:pPr>
        <w:pStyle w:val="FootnoteText"/>
        <w:jc w:val="both"/>
        <w:rPr>
          <w:rFonts w:ascii="Times New Roman" w:hAnsi="Times New Roman" w:cs="Times New Roman"/>
          <w:iCs/>
        </w:rPr>
      </w:pPr>
      <w:r>
        <w:rPr>
          <w:rStyle w:val="FootnoteReference"/>
          <w:rFonts w:ascii="Times New Roman" w:hAnsi="Times New Roman" w:cs="Times New Roman"/>
        </w:rPr>
        <w:footnoteRef/>
      </w:r>
      <w:r>
        <w:rPr>
          <w:rFonts w:ascii="Times New Roman" w:hAnsi="Times New Roman"/>
        </w:rPr>
        <w:t>Règlement d’exécution (UE) 2022/996 de la Commission du 14 juin 2022 concernant les règles relatives à la vérification du respect des critères de durabilité et de réduction des émissions de gaz à effet de serre et des critères relatifs au faible risque d’induire des changements indirects dans l’affectation des sols (JO L 168 du 27.6.2022,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06722" w14:textId="77777777" w:rsidR="000A2FAB" w:rsidRPr="000A2FAB" w:rsidRDefault="000A2FAB" w:rsidP="000A2FA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60440" w14:textId="77777777" w:rsidR="000A2FAB" w:rsidRPr="000A2FAB" w:rsidRDefault="000A2FAB" w:rsidP="000A2FA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F840C" w14:textId="77777777" w:rsidR="000A2FAB" w:rsidRPr="000A2FAB" w:rsidRDefault="000A2FAB" w:rsidP="000A2FA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4B5B7" w14:textId="77777777" w:rsidR="00CD6E84" w:rsidRDefault="00CD6E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CD6E84" w14:paraId="738610EB" w14:textId="77777777" w:rsidTr="74982C6C">
      <w:tc>
        <w:tcPr>
          <w:tcW w:w="3120" w:type="dxa"/>
        </w:tcPr>
        <w:p w14:paraId="637805D2" w14:textId="77777777" w:rsidR="00CD6E84" w:rsidRDefault="00CD6E84" w:rsidP="74982C6C">
          <w:pPr>
            <w:pStyle w:val="Header"/>
            <w:ind w:left="-115"/>
          </w:pPr>
        </w:p>
      </w:tc>
      <w:tc>
        <w:tcPr>
          <w:tcW w:w="3120" w:type="dxa"/>
        </w:tcPr>
        <w:p w14:paraId="463F29E8" w14:textId="77777777" w:rsidR="00CD6E84" w:rsidRDefault="00CD6E84" w:rsidP="74982C6C">
          <w:pPr>
            <w:pStyle w:val="Header"/>
            <w:jc w:val="center"/>
          </w:pPr>
        </w:p>
      </w:tc>
      <w:tc>
        <w:tcPr>
          <w:tcW w:w="3120" w:type="dxa"/>
        </w:tcPr>
        <w:p w14:paraId="3B7B4B86" w14:textId="77777777" w:rsidR="00CD6E84" w:rsidRDefault="00CD6E84" w:rsidP="74982C6C">
          <w:pPr>
            <w:pStyle w:val="Header"/>
            <w:ind w:right="-115"/>
            <w:jc w:val="right"/>
          </w:pPr>
        </w:p>
      </w:tc>
    </w:tr>
  </w:tbl>
  <w:p w14:paraId="3A0FF5F2" w14:textId="77777777" w:rsidR="00CD6E84" w:rsidRDefault="00CD6E84" w:rsidP="74982C6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F0D7D" w14:textId="77777777" w:rsidR="00CD6E84" w:rsidRDefault="00CD6E84">
    <w:pPr>
      <w:pStyle w:val="Header"/>
    </w:pPr>
  </w:p>
</w:hdr>
</file>

<file path=word/intelligence2.xml><?xml version="1.0" encoding="utf-8"?>
<int2:intelligence xmlns:int2="http://schemas.microsoft.com/office/intelligence/2020/intelligence" xmlns:oel="http://schemas.microsoft.com/office/2019/extlst">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BBFE1"/>
    <w:multiLevelType w:val="hybridMultilevel"/>
    <w:tmpl w:val="E59293B2"/>
    <w:lvl w:ilvl="0" w:tplc="8ED4E448">
      <w:start w:val="1"/>
      <w:numFmt w:val="upperRoman"/>
      <w:pStyle w:val="Style1"/>
      <w:lvlText w:val="%1."/>
      <w:lvlJc w:val="right"/>
      <w:pPr>
        <w:ind w:left="720" w:hanging="360"/>
      </w:pPr>
      <w:rPr>
        <w:rFonts w:ascii="Times New Roman" w:hAnsi="Times New Roman" w:cs="Times New Roman" w:hint="default"/>
      </w:rPr>
    </w:lvl>
    <w:lvl w:ilvl="1" w:tplc="A832F536">
      <w:start w:val="1"/>
      <w:numFmt w:val="lowerLetter"/>
      <w:lvlText w:val="%2."/>
      <w:lvlJc w:val="left"/>
      <w:pPr>
        <w:ind w:left="1440" w:hanging="360"/>
      </w:pPr>
    </w:lvl>
    <w:lvl w:ilvl="2" w:tplc="DE90CE2A">
      <w:start w:val="1"/>
      <w:numFmt w:val="lowerRoman"/>
      <w:lvlText w:val="%3."/>
      <w:lvlJc w:val="right"/>
      <w:pPr>
        <w:ind w:left="2160" w:hanging="180"/>
      </w:pPr>
    </w:lvl>
    <w:lvl w:ilvl="3" w:tplc="B598FBA6">
      <w:start w:val="1"/>
      <w:numFmt w:val="decimal"/>
      <w:lvlText w:val="%4."/>
      <w:lvlJc w:val="left"/>
      <w:pPr>
        <w:ind w:left="2880" w:hanging="360"/>
      </w:pPr>
    </w:lvl>
    <w:lvl w:ilvl="4" w:tplc="943E9CEE">
      <w:start w:val="1"/>
      <w:numFmt w:val="lowerLetter"/>
      <w:lvlText w:val="%5."/>
      <w:lvlJc w:val="left"/>
      <w:pPr>
        <w:ind w:left="3600" w:hanging="360"/>
      </w:pPr>
    </w:lvl>
    <w:lvl w:ilvl="5" w:tplc="E18C7634">
      <w:start w:val="1"/>
      <w:numFmt w:val="lowerRoman"/>
      <w:lvlText w:val="%6."/>
      <w:lvlJc w:val="right"/>
      <w:pPr>
        <w:ind w:left="4320" w:hanging="180"/>
      </w:pPr>
    </w:lvl>
    <w:lvl w:ilvl="6" w:tplc="1C0E9696">
      <w:start w:val="1"/>
      <w:numFmt w:val="decimal"/>
      <w:lvlText w:val="%7."/>
      <w:lvlJc w:val="left"/>
      <w:pPr>
        <w:ind w:left="5040" w:hanging="360"/>
      </w:pPr>
    </w:lvl>
    <w:lvl w:ilvl="7" w:tplc="711CBC4E">
      <w:start w:val="1"/>
      <w:numFmt w:val="lowerLetter"/>
      <w:lvlText w:val="%8."/>
      <w:lvlJc w:val="left"/>
      <w:pPr>
        <w:ind w:left="5760" w:hanging="360"/>
      </w:pPr>
    </w:lvl>
    <w:lvl w:ilvl="8" w:tplc="76C60900">
      <w:start w:val="1"/>
      <w:numFmt w:val="lowerRoman"/>
      <w:lvlText w:val="%9."/>
      <w:lvlJc w:val="right"/>
      <w:pPr>
        <w:ind w:left="6480" w:hanging="180"/>
      </w:pPr>
    </w:lvl>
  </w:abstractNum>
  <w:abstractNum w:abstractNumId="1" w15:restartNumberingAfterBreak="0">
    <w:nsid w:val="3CCBA1CE"/>
    <w:multiLevelType w:val="hybridMultilevel"/>
    <w:tmpl w:val="DBAE4F7C"/>
    <w:lvl w:ilvl="0" w:tplc="B7909148">
      <w:start w:val="1"/>
      <w:numFmt w:val="upperRoman"/>
      <w:lvlText w:val="%1."/>
      <w:lvlJc w:val="right"/>
      <w:pPr>
        <w:ind w:left="720" w:hanging="360"/>
      </w:pPr>
    </w:lvl>
    <w:lvl w:ilvl="1" w:tplc="FF12126C">
      <w:start w:val="1"/>
      <w:numFmt w:val="lowerLetter"/>
      <w:lvlText w:val="%2."/>
      <w:lvlJc w:val="left"/>
      <w:pPr>
        <w:ind w:left="1440" w:hanging="360"/>
      </w:pPr>
    </w:lvl>
    <w:lvl w:ilvl="2" w:tplc="FF4803C2">
      <w:start w:val="1"/>
      <w:numFmt w:val="lowerRoman"/>
      <w:lvlText w:val="%3."/>
      <w:lvlJc w:val="right"/>
      <w:pPr>
        <w:ind w:left="2160" w:hanging="180"/>
      </w:pPr>
    </w:lvl>
    <w:lvl w:ilvl="3" w:tplc="942ABD22">
      <w:start w:val="1"/>
      <w:numFmt w:val="decimal"/>
      <w:lvlText w:val="%4."/>
      <w:lvlJc w:val="left"/>
      <w:pPr>
        <w:ind w:left="2880" w:hanging="360"/>
      </w:pPr>
    </w:lvl>
    <w:lvl w:ilvl="4" w:tplc="30881F40">
      <w:start w:val="1"/>
      <w:numFmt w:val="lowerLetter"/>
      <w:lvlText w:val="%5."/>
      <w:lvlJc w:val="left"/>
      <w:pPr>
        <w:ind w:left="3600" w:hanging="360"/>
      </w:pPr>
    </w:lvl>
    <w:lvl w:ilvl="5" w:tplc="502C2164">
      <w:start w:val="1"/>
      <w:numFmt w:val="lowerRoman"/>
      <w:lvlText w:val="%6."/>
      <w:lvlJc w:val="right"/>
      <w:pPr>
        <w:ind w:left="4320" w:hanging="180"/>
      </w:pPr>
    </w:lvl>
    <w:lvl w:ilvl="6" w:tplc="815C2E9E">
      <w:start w:val="1"/>
      <w:numFmt w:val="decimal"/>
      <w:lvlText w:val="%7."/>
      <w:lvlJc w:val="left"/>
      <w:pPr>
        <w:ind w:left="5040" w:hanging="360"/>
      </w:pPr>
    </w:lvl>
    <w:lvl w:ilvl="7" w:tplc="C9B0FC76">
      <w:start w:val="1"/>
      <w:numFmt w:val="lowerLetter"/>
      <w:lvlText w:val="%8."/>
      <w:lvlJc w:val="left"/>
      <w:pPr>
        <w:ind w:left="5760" w:hanging="360"/>
      </w:pPr>
    </w:lvl>
    <w:lvl w:ilvl="8" w:tplc="EC421D40">
      <w:start w:val="1"/>
      <w:numFmt w:val="lowerRoman"/>
      <w:lvlText w:val="%9."/>
      <w:lvlJc w:val="right"/>
      <w:pPr>
        <w:ind w:left="6480" w:hanging="180"/>
      </w:pPr>
    </w:lvl>
  </w:abstractNum>
  <w:abstractNum w:abstractNumId="2" w15:restartNumberingAfterBreak="0">
    <w:nsid w:val="447468CB"/>
    <w:multiLevelType w:val="hybridMultilevel"/>
    <w:tmpl w:val="E55CBB12"/>
    <w:lvl w:ilvl="0" w:tplc="467A356A">
      <w:start w:val="1"/>
      <w:numFmt w:val="decimal"/>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00715B"/>
    <w:multiLevelType w:val="hybridMultilevel"/>
    <w:tmpl w:val="670A5C76"/>
    <w:lvl w:ilvl="0" w:tplc="7D721E3C">
      <w:start w:val="1"/>
      <w:numFmt w:val="upperRoman"/>
      <w:lvlText w:val="%1."/>
      <w:lvlJc w:val="right"/>
      <w:pPr>
        <w:ind w:left="720" w:hanging="360"/>
      </w:pPr>
      <w:rPr>
        <w:lang w:val="en-GB"/>
      </w:rPr>
    </w:lvl>
    <w:lvl w:ilvl="1" w:tplc="FF12126C">
      <w:start w:val="1"/>
      <w:numFmt w:val="lowerLetter"/>
      <w:lvlText w:val="%2."/>
      <w:lvlJc w:val="left"/>
      <w:pPr>
        <w:ind w:left="1440" w:hanging="360"/>
      </w:pPr>
    </w:lvl>
    <w:lvl w:ilvl="2" w:tplc="FF4803C2">
      <w:start w:val="1"/>
      <w:numFmt w:val="lowerRoman"/>
      <w:lvlText w:val="%3."/>
      <w:lvlJc w:val="right"/>
      <w:pPr>
        <w:ind w:left="2160" w:hanging="180"/>
      </w:pPr>
    </w:lvl>
    <w:lvl w:ilvl="3" w:tplc="942ABD22">
      <w:start w:val="1"/>
      <w:numFmt w:val="decimal"/>
      <w:lvlText w:val="%4."/>
      <w:lvlJc w:val="left"/>
      <w:pPr>
        <w:ind w:left="2880" w:hanging="360"/>
      </w:pPr>
    </w:lvl>
    <w:lvl w:ilvl="4" w:tplc="30881F40">
      <w:start w:val="1"/>
      <w:numFmt w:val="lowerLetter"/>
      <w:lvlText w:val="%5."/>
      <w:lvlJc w:val="left"/>
      <w:pPr>
        <w:ind w:left="3600" w:hanging="360"/>
      </w:pPr>
    </w:lvl>
    <w:lvl w:ilvl="5" w:tplc="502C2164">
      <w:start w:val="1"/>
      <w:numFmt w:val="lowerRoman"/>
      <w:lvlText w:val="%6."/>
      <w:lvlJc w:val="right"/>
      <w:pPr>
        <w:ind w:left="4320" w:hanging="180"/>
      </w:pPr>
    </w:lvl>
    <w:lvl w:ilvl="6" w:tplc="815C2E9E">
      <w:start w:val="1"/>
      <w:numFmt w:val="decimal"/>
      <w:lvlText w:val="%7."/>
      <w:lvlJc w:val="left"/>
      <w:pPr>
        <w:ind w:left="5040" w:hanging="360"/>
      </w:pPr>
    </w:lvl>
    <w:lvl w:ilvl="7" w:tplc="C9B0FC76">
      <w:start w:val="1"/>
      <w:numFmt w:val="lowerLetter"/>
      <w:lvlText w:val="%8."/>
      <w:lvlJc w:val="left"/>
      <w:pPr>
        <w:ind w:left="5760" w:hanging="360"/>
      </w:pPr>
    </w:lvl>
    <w:lvl w:ilvl="8" w:tplc="EC421D40">
      <w:start w:val="1"/>
      <w:numFmt w:val="lowerRoman"/>
      <w:lvlText w:val="%9."/>
      <w:lvlJc w:val="right"/>
      <w:pPr>
        <w:ind w:left="6480" w:hanging="180"/>
      </w:pPr>
    </w:lvl>
  </w:abstractNum>
  <w:abstractNum w:abstractNumId="4" w15:restartNumberingAfterBreak="0">
    <w:nsid w:val="4BEB804E"/>
    <w:multiLevelType w:val="hybridMultilevel"/>
    <w:tmpl w:val="632017B8"/>
    <w:lvl w:ilvl="0" w:tplc="4AB43EF2">
      <w:start w:val="1"/>
      <w:numFmt w:val="bullet"/>
      <w:lvlText w:val="·"/>
      <w:lvlJc w:val="left"/>
      <w:pPr>
        <w:ind w:left="720" w:hanging="360"/>
      </w:pPr>
      <w:rPr>
        <w:rFonts w:ascii="Symbol" w:hAnsi="Symbol" w:hint="default"/>
      </w:rPr>
    </w:lvl>
    <w:lvl w:ilvl="1" w:tplc="472CD62C">
      <w:start w:val="1"/>
      <w:numFmt w:val="bullet"/>
      <w:lvlText w:val="o"/>
      <w:lvlJc w:val="left"/>
      <w:pPr>
        <w:ind w:left="1440" w:hanging="360"/>
      </w:pPr>
      <w:rPr>
        <w:rFonts w:ascii="Courier New" w:hAnsi="Courier New" w:hint="default"/>
      </w:rPr>
    </w:lvl>
    <w:lvl w:ilvl="2" w:tplc="089EFBC0">
      <w:start w:val="1"/>
      <w:numFmt w:val="bullet"/>
      <w:lvlText w:val=""/>
      <w:lvlJc w:val="left"/>
      <w:pPr>
        <w:ind w:left="2160" w:hanging="360"/>
      </w:pPr>
      <w:rPr>
        <w:rFonts w:ascii="Wingdings" w:hAnsi="Wingdings" w:hint="default"/>
      </w:rPr>
    </w:lvl>
    <w:lvl w:ilvl="3" w:tplc="AA60A776">
      <w:start w:val="1"/>
      <w:numFmt w:val="bullet"/>
      <w:lvlText w:val=""/>
      <w:lvlJc w:val="left"/>
      <w:pPr>
        <w:ind w:left="2880" w:hanging="360"/>
      </w:pPr>
      <w:rPr>
        <w:rFonts w:ascii="Symbol" w:hAnsi="Symbol" w:hint="default"/>
      </w:rPr>
    </w:lvl>
    <w:lvl w:ilvl="4" w:tplc="E410F464">
      <w:start w:val="1"/>
      <w:numFmt w:val="bullet"/>
      <w:lvlText w:val="o"/>
      <w:lvlJc w:val="left"/>
      <w:pPr>
        <w:ind w:left="3600" w:hanging="360"/>
      </w:pPr>
      <w:rPr>
        <w:rFonts w:ascii="Courier New" w:hAnsi="Courier New" w:hint="default"/>
      </w:rPr>
    </w:lvl>
    <w:lvl w:ilvl="5" w:tplc="2E34C542">
      <w:start w:val="1"/>
      <w:numFmt w:val="bullet"/>
      <w:lvlText w:val=""/>
      <w:lvlJc w:val="left"/>
      <w:pPr>
        <w:ind w:left="4320" w:hanging="360"/>
      </w:pPr>
      <w:rPr>
        <w:rFonts w:ascii="Wingdings" w:hAnsi="Wingdings" w:hint="default"/>
      </w:rPr>
    </w:lvl>
    <w:lvl w:ilvl="6" w:tplc="1CFC5636">
      <w:start w:val="1"/>
      <w:numFmt w:val="bullet"/>
      <w:lvlText w:val=""/>
      <w:lvlJc w:val="left"/>
      <w:pPr>
        <w:ind w:left="5040" w:hanging="360"/>
      </w:pPr>
      <w:rPr>
        <w:rFonts w:ascii="Symbol" w:hAnsi="Symbol" w:hint="default"/>
      </w:rPr>
    </w:lvl>
    <w:lvl w:ilvl="7" w:tplc="A926A630">
      <w:start w:val="1"/>
      <w:numFmt w:val="bullet"/>
      <w:lvlText w:val="o"/>
      <w:lvlJc w:val="left"/>
      <w:pPr>
        <w:ind w:left="5760" w:hanging="360"/>
      </w:pPr>
      <w:rPr>
        <w:rFonts w:ascii="Courier New" w:hAnsi="Courier New" w:hint="default"/>
      </w:rPr>
    </w:lvl>
    <w:lvl w:ilvl="8" w:tplc="2154DDD6">
      <w:start w:val="1"/>
      <w:numFmt w:val="bullet"/>
      <w:lvlText w:val=""/>
      <w:lvlJc w:val="left"/>
      <w:pPr>
        <w:ind w:left="6480" w:hanging="360"/>
      </w:pPr>
      <w:rPr>
        <w:rFonts w:ascii="Wingdings" w:hAnsi="Wingdings" w:hint="default"/>
      </w:rPr>
    </w:lvl>
  </w:abstractNum>
  <w:abstractNum w:abstractNumId="5" w15:restartNumberingAfterBreak="0">
    <w:nsid w:val="695DBCF8"/>
    <w:multiLevelType w:val="hybridMultilevel"/>
    <w:tmpl w:val="9CE0E150"/>
    <w:lvl w:ilvl="0" w:tplc="497A4D1C">
      <w:start w:val="1"/>
      <w:numFmt w:val="upperRoman"/>
      <w:lvlText w:val="%1."/>
      <w:lvlJc w:val="right"/>
      <w:pPr>
        <w:ind w:left="720" w:hanging="360"/>
      </w:pPr>
    </w:lvl>
    <w:lvl w:ilvl="1" w:tplc="91607B22">
      <w:start w:val="1"/>
      <w:numFmt w:val="lowerLetter"/>
      <w:lvlText w:val="%2."/>
      <w:lvlJc w:val="left"/>
      <w:pPr>
        <w:ind w:left="1440" w:hanging="360"/>
      </w:pPr>
    </w:lvl>
    <w:lvl w:ilvl="2" w:tplc="3DCE8A1E">
      <w:start w:val="1"/>
      <w:numFmt w:val="lowerRoman"/>
      <w:lvlText w:val="%3."/>
      <w:lvlJc w:val="right"/>
      <w:pPr>
        <w:ind w:left="2160" w:hanging="180"/>
      </w:pPr>
    </w:lvl>
    <w:lvl w:ilvl="3" w:tplc="23C4959C">
      <w:start w:val="1"/>
      <w:numFmt w:val="decimal"/>
      <w:lvlText w:val="%4."/>
      <w:lvlJc w:val="left"/>
      <w:pPr>
        <w:ind w:left="2880" w:hanging="360"/>
      </w:pPr>
    </w:lvl>
    <w:lvl w:ilvl="4" w:tplc="14821CA8">
      <w:start w:val="1"/>
      <w:numFmt w:val="lowerLetter"/>
      <w:lvlText w:val="%5."/>
      <w:lvlJc w:val="left"/>
      <w:pPr>
        <w:ind w:left="3600" w:hanging="360"/>
      </w:pPr>
    </w:lvl>
    <w:lvl w:ilvl="5" w:tplc="CBA2A2DA">
      <w:start w:val="1"/>
      <w:numFmt w:val="lowerRoman"/>
      <w:lvlText w:val="%6."/>
      <w:lvlJc w:val="right"/>
      <w:pPr>
        <w:ind w:left="4320" w:hanging="180"/>
      </w:pPr>
    </w:lvl>
    <w:lvl w:ilvl="6" w:tplc="336285CC">
      <w:start w:val="1"/>
      <w:numFmt w:val="decimal"/>
      <w:lvlText w:val="%7."/>
      <w:lvlJc w:val="left"/>
      <w:pPr>
        <w:ind w:left="5040" w:hanging="360"/>
      </w:pPr>
    </w:lvl>
    <w:lvl w:ilvl="7" w:tplc="5E3446BE">
      <w:start w:val="1"/>
      <w:numFmt w:val="lowerLetter"/>
      <w:lvlText w:val="%8."/>
      <w:lvlJc w:val="left"/>
      <w:pPr>
        <w:ind w:left="5760" w:hanging="360"/>
      </w:pPr>
    </w:lvl>
    <w:lvl w:ilvl="8" w:tplc="442C984A">
      <w:start w:val="1"/>
      <w:numFmt w:val="lowerRoman"/>
      <w:lvlText w:val="%9."/>
      <w:lvlJc w:val="right"/>
      <w:pPr>
        <w:ind w:left="6480" w:hanging="180"/>
      </w:pPr>
    </w:lvl>
  </w:abstractNum>
  <w:num w:numId="1">
    <w:abstractNumId w:val="4"/>
  </w:num>
  <w:num w:numId="2">
    <w:abstractNumId w:val="1"/>
  </w:num>
  <w:num w:numId="3">
    <w:abstractNumId w:val="0"/>
  </w:num>
  <w:num w:numId="4">
    <w:abstractNumId w:val="5"/>
  </w:num>
  <w:num w:numId="5">
    <w:abstractNumId w:val="2"/>
  </w:num>
  <w:num w:numId="6">
    <w:abstractNumId w:val="3"/>
  </w:num>
  <w:num w:numId="7">
    <w:abstractNumId w:val="0"/>
  </w:num>
  <w:num w:numId="8">
    <w:abstractNumId w:val="0"/>
  </w:num>
  <w:num w:numId="9">
    <w:abstractNumId w:val="0"/>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EBB0756-E2B8-4852-8C68-6F6D2B364DCD"/>
    <w:docVar w:name="LW_COVERPAGE_TYPE" w:val="1"/>
    <w:docVar w:name="LW_CROSSREFERENCE" w:val="&lt;UNUSED&gt;"/>
    <w:docVar w:name="LW_DocType" w:val="NORMAL"/>
    <w:docVar w:name="LW_EMISSION" w:val="20.1.2026"/>
    <w:docVar w:name="LW_EMISSION_ISODATE" w:val="2026-01-20"/>
    <w:docVar w:name="LW_EMISSION_LOCATION" w:val="BRX"/>
    <w:docVar w:name="LW_EMISSION_PREFIX" w:val="Bruxelles, le "/>
    <w:docVar w:name="LW_EMISSION_SUFFIX" w:val=" "/>
    <w:docVar w:name="LW_ID_DOCTYPE_NONLW" w:val="CP-008"/>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u8217?expansion, à l\u8217?échelle mondiale, de la production des cultures destinées à l\u8217?alimentation humaine et animale concernées_x000d__x000b__x000d__x000d__x000d__x000d__x000d__x000d__x000d__x000b_"/>
    <w:docVar w:name="LW_TYPE.DOC.CP" w:val="RAPPORT DE LA COMMISSION AU PARLEMENT EUROPÉEN, AU CONSEIL, AU COMITÉ ÉCONOMIQUE ET SOCIAL EUROPÉEN ET AU COMITÉ DES RÉGIONS"/>
    <w:docVar w:name="LwApiVersions" w:val="LW4CoDe 1.24.5.0; LW 9.2, Build 20251112"/>
  </w:docVars>
  <w:rsids>
    <w:rsidRoot w:val="7ECD667B"/>
    <w:rsid w:val="000025EC"/>
    <w:rsid w:val="000028F5"/>
    <w:rsid w:val="0000308E"/>
    <w:rsid w:val="00003F9A"/>
    <w:rsid w:val="000049A7"/>
    <w:rsid w:val="00005FCB"/>
    <w:rsid w:val="0000725D"/>
    <w:rsid w:val="00007CB7"/>
    <w:rsid w:val="00010039"/>
    <w:rsid w:val="00010ECD"/>
    <w:rsid w:val="000119E1"/>
    <w:rsid w:val="00011EF2"/>
    <w:rsid w:val="00012207"/>
    <w:rsid w:val="000129EE"/>
    <w:rsid w:val="0001343F"/>
    <w:rsid w:val="000145D4"/>
    <w:rsid w:val="0001580D"/>
    <w:rsid w:val="00015F09"/>
    <w:rsid w:val="0001612B"/>
    <w:rsid w:val="00020FDC"/>
    <w:rsid w:val="00021A67"/>
    <w:rsid w:val="0002292F"/>
    <w:rsid w:val="00025AD0"/>
    <w:rsid w:val="00030D7D"/>
    <w:rsid w:val="00030DF8"/>
    <w:rsid w:val="0003197E"/>
    <w:rsid w:val="00032574"/>
    <w:rsid w:val="0003391C"/>
    <w:rsid w:val="00033B1E"/>
    <w:rsid w:val="00034E1C"/>
    <w:rsid w:val="000364DC"/>
    <w:rsid w:val="00036657"/>
    <w:rsid w:val="00043C6D"/>
    <w:rsid w:val="00044190"/>
    <w:rsid w:val="00044210"/>
    <w:rsid w:val="00044E24"/>
    <w:rsid w:val="00045BB5"/>
    <w:rsid w:val="00046537"/>
    <w:rsid w:val="000503A2"/>
    <w:rsid w:val="00051AD3"/>
    <w:rsid w:val="00051BA0"/>
    <w:rsid w:val="000527FB"/>
    <w:rsid w:val="0005361D"/>
    <w:rsid w:val="00053E7B"/>
    <w:rsid w:val="000540DB"/>
    <w:rsid w:val="00055745"/>
    <w:rsid w:val="00056667"/>
    <w:rsid w:val="0005712F"/>
    <w:rsid w:val="00057890"/>
    <w:rsid w:val="00060074"/>
    <w:rsid w:val="00060F10"/>
    <w:rsid w:val="000616AD"/>
    <w:rsid w:val="00063000"/>
    <w:rsid w:val="000640AD"/>
    <w:rsid w:val="0006458D"/>
    <w:rsid w:val="00064DC9"/>
    <w:rsid w:val="00065199"/>
    <w:rsid w:val="00066DE0"/>
    <w:rsid w:val="000707FE"/>
    <w:rsid w:val="00071727"/>
    <w:rsid w:val="00072FC1"/>
    <w:rsid w:val="00074D64"/>
    <w:rsid w:val="00075B66"/>
    <w:rsid w:val="00092B61"/>
    <w:rsid w:val="00092E41"/>
    <w:rsid w:val="00092F1B"/>
    <w:rsid w:val="00093440"/>
    <w:rsid w:val="0009418C"/>
    <w:rsid w:val="00094B08"/>
    <w:rsid w:val="000961B1"/>
    <w:rsid w:val="00097D16"/>
    <w:rsid w:val="000A1BD4"/>
    <w:rsid w:val="000A1E66"/>
    <w:rsid w:val="000A2FAB"/>
    <w:rsid w:val="000A31CA"/>
    <w:rsid w:val="000A4298"/>
    <w:rsid w:val="000A52BC"/>
    <w:rsid w:val="000A5674"/>
    <w:rsid w:val="000A5E35"/>
    <w:rsid w:val="000A6603"/>
    <w:rsid w:val="000B3292"/>
    <w:rsid w:val="000B3318"/>
    <w:rsid w:val="000B37A6"/>
    <w:rsid w:val="000B4015"/>
    <w:rsid w:val="000B5883"/>
    <w:rsid w:val="000B68AD"/>
    <w:rsid w:val="000B73F1"/>
    <w:rsid w:val="000B7BFF"/>
    <w:rsid w:val="000C181C"/>
    <w:rsid w:val="000C1A5E"/>
    <w:rsid w:val="000C278F"/>
    <w:rsid w:val="000C2AE9"/>
    <w:rsid w:val="000C2DCA"/>
    <w:rsid w:val="000C3D9E"/>
    <w:rsid w:val="000C4456"/>
    <w:rsid w:val="000C52A8"/>
    <w:rsid w:val="000C5418"/>
    <w:rsid w:val="000C6ACA"/>
    <w:rsid w:val="000D0396"/>
    <w:rsid w:val="000D186C"/>
    <w:rsid w:val="000D4174"/>
    <w:rsid w:val="000D41B1"/>
    <w:rsid w:val="000D4920"/>
    <w:rsid w:val="000D4D1E"/>
    <w:rsid w:val="000D6D8A"/>
    <w:rsid w:val="000D7D27"/>
    <w:rsid w:val="000E0B25"/>
    <w:rsid w:val="000E0B99"/>
    <w:rsid w:val="000E1931"/>
    <w:rsid w:val="000E23D5"/>
    <w:rsid w:val="000E2AE3"/>
    <w:rsid w:val="000E3063"/>
    <w:rsid w:val="000E5F25"/>
    <w:rsid w:val="000F093E"/>
    <w:rsid w:val="000F43C1"/>
    <w:rsid w:val="000F46BB"/>
    <w:rsid w:val="000F49FC"/>
    <w:rsid w:val="000F56AA"/>
    <w:rsid w:val="000F59E6"/>
    <w:rsid w:val="000F5E13"/>
    <w:rsid w:val="000F71DD"/>
    <w:rsid w:val="00101A7C"/>
    <w:rsid w:val="0010284D"/>
    <w:rsid w:val="00104887"/>
    <w:rsid w:val="00105E0F"/>
    <w:rsid w:val="00106901"/>
    <w:rsid w:val="00106D66"/>
    <w:rsid w:val="001103B1"/>
    <w:rsid w:val="001105DB"/>
    <w:rsid w:val="00110EAE"/>
    <w:rsid w:val="00111411"/>
    <w:rsid w:val="00112C16"/>
    <w:rsid w:val="0011357C"/>
    <w:rsid w:val="0011390A"/>
    <w:rsid w:val="00113C9F"/>
    <w:rsid w:val="0011636C"/>
    <w:rsid w:val="0011718F"/>
    <w:rsid w:val="001228E7"/>
    <w:rsid w:val="00122A63"/>
    <w:rsid w:val="00123732"/>
    <w:rsid w:val="00126FDC"/>
    <w:rsid w:val="00130B24"/>
    <w:rsid w:val="00130B59"/>
    <w:rsid w:val="001314E6"/>
    <w:rsid w:val="00133FC9"/>
    <w:rsid w:val="0013446C"/>
    <w:rsid w:val="001364A1"/>
    <w:rsid w:val="00137553"/>
    <w:rsid w:val="001404AC"/>
    <w:rsid w:val="00140571"/>
    <w:rsid w:val="00140B5B"/>
    <w:rsid w:val="00140CBE"/>
    <w:rsid w:val="001410EC"/>
    <w:rsid w:val="00141CB2"/>
    <w:rsid w:val="001429C6"/>
    <w:rsid w:val="001430D9"/>
    <w:rsid w:val="00144453"/>
    <w:rsid w:val="0014782B"/>
    <w:rsid w:val="00147B25"/>
    <w:rsid w:val="0015058B"/>
    <w:rsid w:val="0015182D"/>
    <w:rsid w:val="00151B79"/>
    <w:rsid w:val="00152E0F"/>
    <w:rsid w:val="00153D3C"/>
    <w:rsid w:val="00154565"/>
    <w:rsid w:val="00155B08"/>
    <w:rsid w:val="00155C60"/>
    <w:rsid w:val="00160500"/>
    <w:rsid w:val="0016090F"/>
    <w:rsid w:val="001618B0"/>
    <w:rsid w:val="00162793"/>
    <w:rsid w:val="00162CFD"/>
    <w:rsid w:val="00163320"/>
    <w:rsid w:val="001642F7"/>
    <w:rsid w:val="00164555"/>
    <w:rsid w:val="001657BB"/>
    <w:rsid w:val="00165D50"/>
    <w:rsid w:val="001663CC"/>
    <w:rsid w:val="0016CE55"/>
    <w:rsid w:val="001709E5"/>
    <w:rsid w:val="0017136D"/>
    <w:rsid w:val="00172F51"/>
    <w:rsid w:val="0017383B"/>
    <w:rsid w:val="00173A7B"/>
    <w:rsid w:val="0017424D"/>
    <w:rsid w:val="00174406"/>
    <w:rsid w:val="00174CA1"/>
    <w:rsid w:val="00175F05"/>
    <w:rsid w:val="00176F90"/>
    <w:rsid w:val="00177747"/>
    <w:rsid w:val="00181D60"/>
    <w:rsid w:val="0018240F"/>
    <w:rsid w:val="00182B20"/>
    <w:rsid w:val="00182B60"/>
    <w:rsid w:val="00182BF2"/>
    <w:rsid w:val="00186BB2"/>
    <w:rsid w:val="0018754A"/>
    <w:rsid w:val="0019029D"/>
    <w:rsid w:val="001905B6"/>
    <w:rsid w:val="001908CD"/>
    <w:rsid w:val="0019137B"/>
    <w:rsid w:val="00192877"/>
    <w:rsid w:val="00192AF1"/>
    <w:rsid w:val="0019375C"/>
    <w:rsid w:val="00194973"/>
    <w:rsid w:val="0019544D"/>
    <w:rsid w:val="00195800"/>
    <w:rsid w:val="00196247"/>
    <w:rsid w:val="00196A03"/>
    <w:rsid w:val="00197EF0"/>
    <w:rsid w:val="001A2F6F"/>
    <w:rsid w:val="001A34B9"/>
    <w:rsid w:val="001A4660"/>
    <w:rsid w:val="001A46EB"/>
    <w:rsid w:val="001A4C9E"/>
    <w:rsid w:val="001A5F6D"/>
    <w:rsid w:val="001B0D92"/>
    <w:rsid w:val="001B0E4B"/>
    <w:rsid w:val="001B18B8"/>
    <w:rsid w:val="001B5ADA"/>
    <w:rsid w:val="001B6838"/>
    <w:rsid w:val="001B7E5E"/>
    <w:rsid w:val="001C05FD"/>
    <w:rsid w:val="001C0C4E"/>
    <w:rsid w:val="001C3C2C"/>
    <w:rsid w:val="001C5335"/>
    <w:rsid w:val="001C564E"/>
    <w:rsid w:val="001C5DA2"/>
    <w:rsid w:val="001C6750"/>
    <w:rsid w:val="001C6E90"/>
    <w:rsid w:val="001C9B45"/>
    <w:rsid w:val="001D037B"/>
    <w:rsid w:val="001D08DA"/>
    <w:rsid w:val="001D3511"/>
    <w:rsid w:val="001D36F6"/>
    <w:rsid w:val="001D3D34"/>
    <w:rsid w:val="001D4583"/>
    <w:rsid w:val="001D4FD2"/>
    <w:rsid w:val="001D58E1"/>
    <w:rsid w:val="001D59C7"/>
    <w:rsid w:val="001D7A08"/>
    <w:rsid w:val="001E0E77"/>
    <w:rsid w:val="001E0F62"/>
    <w:rsid w:val="001E0FBA"/>
    <w:rsid w:val="001E13AA"/>
    <w:rsid w:val="001E1841"/>
    <w:rsid w:val="001E18C5"/>
    <w:rsid w:val="001E1C2B"/>
    <w:rsid w:val="001E2EF4"/>
    <w:rsid w:val="001E37F5"/>
    <w:rsid w:val="001E3EB6"/>
    <w:rsid w:val="001E519F"/>
    <w:rsid w:val="001E52A6"/>
    <w:rsid w:val="001E5727"/>
    <w:rsid w:val="001E5BC8"/>
    <w:rsid w:val="001E69CB"/>
    <w:rsid w:val="001F1B62"/>
    <w:rsid w:val="001F2B2D"/>
    <w:rsid w:val="001F4606"/>
    <w:rsid w:val="001F4A6C"/>
    <w:rsid w:val="001F5563"/>
    <w:rsid w:val="001F6E91"/>
    <w:rsid w:val="00200662"/>
    <w:rsid w:val="00200A34"/>
    <w:rsid w:val="00201666"/>
    <w:rsid w:val="00201A9F"/>
    <w:rsid w:val="00202FD8"/>
    <w:rsid w:val="002042BE"/>
    <w:rsid w:val="00204FCD"/>
    <w:rsid w:val="0020568A"/>
    <w:rsid w:val="00205ABE"/>
    <w:rsid w:val="00205D6F"/>
    <w:rsid w:val="0020679E"/>
    <w:rsid w:val="00206994"/>
    <w:rsid w:val="0021033B"/>
    <w:rsid w:val="002114AD"/>
    <w:rsid w:val="002119D1"/>
    <w:rsid w:val="002131BA"/>
    <w:rsid w:val="002133D6"/>
    <w:rsid w:val="0021444D"/>
    <w:rsid w:val="00217281"/>
    <w:rsid w:val="00220897"/>
    <w:rsid w:val="00221E08"/>
    <w:rsid w:val="00221E61"/>
    <w:rsid w:val="0022220A"/>
    <w:rsid w:val="00224E10"/>
    <w:rsid w:val="00224F31"/>
    <w:rsid w:val="00225851"/>
    <w:rsid w:val="002262A1"/>
    <w:rsid w:val="00227762"/>
    <w:rsid w:val="00227A85"/>
    <w:rsid w:val="00227BB3"/>
    <w:rsid w:val="002337B8"/>
    <w:rsid w:val="00237AD1"/>
    <w:rsid w:val="00237B33"/>
    <w:rsid w:val="00237ED8"/>
    <w:rsid w:val="002419DC"/>
    <w:rsid w:val="00243D66"/>
    <w:rsid w:val="002440DB"/>
    <w:rsid w:val="00245703"/>
    <w:rsid w:val="00245E3C"/>
    <w:rsid w:val="00245E46"/>
    <w:rsid w:val="00246E2D"/>
    <w:rsid w:val="002471FF"/>
    <w:rsid w:val="002508C0"/>
    <w:rsid w:val="00250B23"/>
    <w:rsid w:val="00250FEF"/>
    <w:rsid w:val="00251430"/>
    <w:rsid w:val="00251449"/>
    <w:rsid w:val="00251943"/>
    <w:rsid w:val="00252FA2"/>
    <w:rsid w:val="00253C82"/>
    <w:rsid w:val="00254105"/>
    <w:rsid w:val="0025459C"/>
    <w:rsid w:val="0025490E"/>
    <w:rsid w:val="00255BC7"/>
    <w:rsid w:val="0025609A"/>
    <w:rsid w:val="00257F64"/>
    <w:rsid w:val="002601D0"/>
    <w:rsid w:val="002603C1"/>
    <w:rsid w:val="002608DD"/>
    <w:rsid w:val="0026145D"/>
    <w:rsid w:val="00261E86"/>
    <w:rsid w:val="00262A27"/>
    <w:rsid w:val="0026343D"/>
    <w:rsid w:val="002635EC"/>
    <w:rsid w:val="00265CB2"/>
    <w:rsid w:val="00265FFE"/>
    <w:rsid w:val="00272C41"/>
    <w:rsid w:val="00274544"/>
    <w:rsid w:val="00274B5B"/>
    <w:rsid w:val="00275492"/>
    <w:rsid w:val="00276857"/>
    <w:rsid w:val="00277E1C"/>
    <w:rsid w:val="002802A3"/>
    <w:rsid w:val="0028135B"/>
    <w:rsid w:val="002816CF"/>
    <w:rsid w:val="00281813"/>
    <w:rsid w:val="00283FA7"/>
    <w:rsid w:val="0028419D"/>
    <w:rsid w:val="002852B8"/>
    <w:rsid w:val="00286E9C"/>
    <w:rsid w:val="002915A3"/>
    <w:rsid w:val="0029224D"/>
    <w:rsid w:val="002925F6"/>
    <w:rsid w:val="00293500"/>
    <w:rsid w:val="00293574"/>
    <w:rsid w:val="0029357F"/>
    <w:rsid w:val="0029473B"/>
    <w:rsid w:val="00294EB4"/>
    <w:rsid w:val="002A2A80"/>
    <w:rsid w:val="002A55FA"/>
    <w:rsid w:val="002B100E"/>
    <w:rsid w:val="002B1316"/>
    <w:rsid w:val="002B27AD"/>
    <w:rsid w:val="002B4273"/>
    <w:rsid w:val="002B4997"/>
    <w:rsid w:val="002B4B70"/>
    <w:rsid w:val="002B4DCD"/>
    <w:rsid w:val="002B651A"/>
    <w:rsid w:val="002B68D2"/>
    <w:rsid w:val="002B720E"/>
    <w:rsid w:val="002C008A"/>
    <w:rsid w:val="002C00FC"/>
    <w:rsid w:val="002C0F23"/>
    <w:rsid w:val="002C33CD"/>
    <w:rsid w:val="002C3CEA"/>
    <w:rsid w:val="002C5598"/>
    <w:rsid w:val="002C60E5"/>
    <w:rsid w:val="002C6CD5"/>
    <w:rsid w:val="002C6F04"/>
    <w:rsid w:val="002C6FFD"/>
    <w:rsid w:val="002C7492"/>
    <w:rsid w:val="002C792E"/>
    <w:rsid w:val="002D1949"/>
    <w:rsid w:val="002D3160"/>
    <w:rsid w:val="002D6B10"/>
    <w:rsid w:val="002E0CC3"/>
    <w:rsid w:val="002E2181"/>
    <w:rsid w:val="002E265D"/>
    <w:rsid w:val="002E32CC"/>
    <w:rsid w:val="002E6D75"/>
    <w:rsid w:val="002E7763"/>
    <w:rsid w:val="002E7C76"/>
    <w:rsid w:val="002F29AA"/>
    <w:rsid w:val="002F3899"/>
    <w:rsid w:val="002F4623"/>
    <w:rsid w:val="002F4E5C"/>
    <w:rsid w:val="002F7972"/>
    <w:rsid w:val="002F7DDD"/>
    <w:rsid w:val="00300B8C"/>
    <w:rsid w:val="00300ECE"/>
    <w:rsid w:val="00301BA2"/>
    <w:rsid w:val="00302AC6"/>
    <w:rsid w:val="00302D39"/>
    <w:rsid w:val="00304499"/>
    <w:rsid w:val="00304987"/>
    <w:rsid w:val="00304A9B"/>
    <w:rsid w:val="003069F5"/>
    <w:rsid w:val="00312C6D"/>
    <w:rsid w:val="00315D33"/>
    <w:rsid w:val="00316499"/>
    <w:rsid w:val="00317EB7"/>
    <w:rsid w:val="0032113E"/>
    <w:rsid w:val="00322DEE"/>
    <w:rsid w:val="0032337E"/>
    <w:rsid w:val="00323753"/>
    <w:rsid w:val="00323C35"/>
    <w:rsid w:val="003255F2"/>
    <w:rsid w:val="00325E20"/>
    <w:rsid w:val="00326ABB"/>
    <w:rsid w:val="00327117"/>
    <w:rsid w:val="0033068E"/>
    <w:rsid w:val="0033075F"/>
    <w:rsid w:val="003341FE"/>
    <w:rsid w:val="00335DDA"/>
    <w:rsid w:val="003369D0"/>
    <w:rsid w:val="00337486"/>
    <w:rsid w:val="00337789"/>
    <w:rsid w:val="003405A0"/>
    <w:rsid w:val="00340A67"/>
    <w:rsid w:val="0034164C"/>
    <w:rsid w:val="003429E0"/>
    <w:rsid w:val="00342A64"/>
    <w:rsid w:val="00343F92"/>
    <w:rsid w:val="0034521A"/>
    <w:rsid w:val="00346410"/>
    <w:rsid w:val="00346475"/>
    <w:rsid w:val="003467CE"/>
    <w:rsid w:val="0035066C"/>
    <w:rsid w:val="003517E9"/>
    <w:rsid w:val="00351AC7"/>
    <w:rsid w:val="0035247F"/>
    <w:rsid w:val="00352B70"/>
    <w:rsid w:val="00354168"/>
    <w:rsid w:val="003543BD"/>
    <w:rsid w:val="00354ED8"/>
    <w:rsid w:val="00355340"/>
    <w:rsid w:val="00355BE2"/>
    <w:rsid w:val="00355DCE"/>
    <w:rsid w:val="0035641C"/>
    <w:rsid w:val="003564AE"/>
    <w:rsid w:val="00360FBE"/>
    <w:rsid w:val="00361C1A"/>
    <w:rsid w:val="00361E05"/>
    <w:rsid w:val="00361E3C"/>
    <w:rsid w:val="003641AD"/>
    <w:rsid w:val="00364B94"/>
    <w:rsid w:val="00366DDC"/>
    <w:rsid w:val="003670B1"/>
    <w:rsid w:val="00367498"/>
    <w:rsid w:val="00367727"/>
    <w:rsid w:val="00367B22"/>
    <w:rsid w:val="00370172"/>
    <w:rsid w:val="00371E15"/>
    <w:rsid w:val="00371F34"/>
    <w:rsid w:val="00373A17"/>
    <w:rsid w:val="00373A55"/>
    <w:rsid w:val="00374274"/>
    <w:rsid w:val="00374BEC"/>
    <w:rsid w:val="003775CA"/>
    <w:rsid w:val="00377C5C"/>
    <w:rsid w:val="00380038"/>
    <w:rsid w:val="00380D19"/>
    <w:rsid w:val="0038154D"/>
    <w:rsid w:val="003819C3"/>
    <w:rsid w:val="00382921"/>
    <w:rsid w:val="00382A0F"/>
    <w:rsid w:val="00382AB3"/>
    <w:rsid w:val="00382EB9"/>
    <w:rsid w:val="003831E3"/>
    <w:rsid w:val="003848ED"/>
    <w:rsid w:val="00386A6A"/>
    <w:rsid w:val="00390001"/>
    <w:rsid w:val="0039415B"/>
    <w:rsid w:val="003967B3"/>
    <w:rsid w:val="00397C91"/>
    <w:rsid w:val="003A0F3B"/>
    <w:rsid w:val="003A137B"/>
    <w:rsid w:val="003A1AEE"/>
    <w:rsid w:val="003A237A"/>
    <w:rsid w:val="003A324D"/>
    <w:rsid w:val="003A53FD"/>
    <w:rsid w:val="003A6E2A"/>
    <w:rsid w:val="003B125F"/>
    <w:rsid w:val="003B20ED"/>
    <w:rsid w:val="003B24A5"/>
    <w:rsid w:val="003B3559"/>
    <w:rsid w:val="003B4CCF"/>
    <w:rsid w:val="003B4E67"/>
    <w:rsid w:val="003B55FD"/>
    <w:rsid w:val="003C035B"/>
    <w:rsid w:val="003C05B1"/>
    <w:rsid w:val="003C235C"/>
    <w:rsid w:val="003C31A5"/>
    <w:rsid w:val="003C31CB"/>
    <w:rsid w:val="003C3255"/>
    <w:rsid w:val="003C4E09"/>
    <w:rsid w:val="003C6483"/>
    <w:rsid w:val="003C7D9D"/>
    <w:rsid w:val="003D15A9"/>
    <w:rsid w:val="003D317F"/>
    <w:rsid w:val="003D4136"/>
    <w:rsid w:val="003D4289"/>
    <w:rsid w:val="003D4D4D"/>
    <w:rsid w:val="003D7E26"/>
    <w:rsid w:val="003E084F"/>
    <w:rsid w:val="003E087E"/>
    <w:rsid w:val="003E2AD1"/>
    <w:rsid w:val="003E64EE"/>
    <w:rsid w:val="003F1429"/>
    <w:rsid w:val="003F2A2C"/>
    <w:rsid w:val="003F4754"/>
    <w:rsid w:val="003F4FC7"/>
    <w:rsid w:val="003F5492"/>
    <w:rsid w:val="003F6334"/>
    <w:rsid w:val="003F6380"/>
    <w:rsid w:val="003F69F4"/>
    <w:rsid w:val="003F6E6E"/>
    <w:rsid w:val="003F7072"/>
    <w:rsid w:val="004001F6"/>
    <w:rsid w:val="00402C81"/>
    <w:rsid w:val="00402E6E"/>
    <w:rsid w:val="00404177"/>
    <w:rsid w:val="004065B2"/>
    <w:rsid w:val="00406A3B"/>
    <w:rsid w:val="00407794"/>
    <w:rsid w:val="00407B79"/>
    <w:rsid w:val="00407BC7"/>
    <w:rsid w:val="00407F57"/>
    <w:rsid w:val="0041120D"/>
    <w:rsid w:val="004113CB"/>
    <w:rsid w:val="00412BF3"/>
    <w:rsid w:val="00412EF2"/>
    <w:rsid w:val="004131A1"/>
    <w:rsid w:val="00413DCF"/>
    <w:rsid w:val="004144D2"/>
    <w:rsid w:val="00414623"/>
    <w:rsid w:val="004147DB"/>
    <w:rsid w:val="00415C2A"/>
    <w:rsid w:val="00415E00"/>
    <w:rsid w:val="0041626A"/>
    <w:rsid w:val="0041674E"/>
    <w:rsid w:val="0041683D"/>
    <w:rsid w:val="00420DCA"/>
    <w:rsid w:val="00420F42"/>
    <w:rsid w:val="00421714"/>
    <w:rsid w:val="0042333C"/>
    <w:rsid w:val="0042532D"/>
    <w:rsid w:val="00426FE7"/>
    <w:rsid w:val="00430497"/>
    <w:rsid w:val="00431214"/>
    <w:rsid w:val="0043141F"/>
    <w:rsid w:val="00435077"/>
    <w:rsid w:val="00435980"/>
    <w:rsid w:val="00435CDB"/>
    <w:rsid w:val="004364C8"/>
    <w:rsid w:val="00436B44"/>
    <w:rsid w:val="00441D56"/>
    <w:rsid w:val="004429D5"/>
    <w:rsid w:val="0044364E"/>
    <w:rsid w:val="00445336"/>
    <w:rsid w:val="00445EEB"/>
    <w:rsid w:val="00446C38"/>
    <w:rsid w:val="00447B39"/>
    <w:rsid w:val="00447F8E"/>
    <w:rsid w:val="00450934"/>
    <w:rsid w:val="00450BF8"/>
    <w:rsid w:val="00451D10"/>
    <w:rsid w:val="00452215"/>
    <w:rsid w:val="00452E0E"/>
    <w:rsid w:val="00452F3A"/>
    <w:rsid w:val="00454A44"/>
    <w:rsid w:val="00455288"/>
    <w:rsid w:val="0045546A"/>
    <w:rsid w:val="00455493"/>
    <w:rsid w:val="0045558B"/>
    <w:rsid w:val="0045620A"/>
    <w:rsid w:val="00457526"/>
    <w:rsid w:val="00457D10"/>
    <w:rsid w:val="00457E48"/>
    <w:rsid w:val="0046241A"/>
    <w:rsid w:val="00462485"/>
    <w:rsid w:val="00464E97"/>
    <w:rsid w:val="00465FD4"/>
    <w:rsid w:val="00466300"/>
    <w:rsid w:val="004675D7"/>
    <w:rsid w:val="004721C3"/>
    <w:rsid w:val="0047325F"/>
    <w:rsid w:val="00474FF4"/>
    <w:rsid w:val="0047541C"/>
    <w:rsid w:val="0047652E"/>
    <w:rsid w:val="0047766B"/>
    <w:rsid w:val="00477BA7"/>
    <w:rsid w:val="00481D02"/>
    <w:rsid w:val="00481F59"/>
    <w:rsid w:val="0048206B"/>
    <w:rsid w:val="00483105"/>
    <w:rsid w:val="0048362E"/>
    <w:rsid w:val="00483826"/>
    <w:rsid w:val="00484E4C"/>
    <w:rsid w:val="00485A20"/>
    <w:rsid w:val="00490E6F"/>
    <w:rsid w:val="00492D87"/>
    <w:rsid w:val="00492E72"/>
    <w:rsid w:val="00493D53"/>
    <w:rsid w:val="00493FCE"/>
    <w:rsid w:val="00494115"/>
    <w:rsid w:val="00494FF2"/>
    <w:rsid w:val="0049628A"/>
    <w:rsid w:val="00496E3A"/>
    <w:rsid w:val="004971D5"/>
    <w:rsid w:val="00497476"/>
    <w:rsid w:val="00497A09"/>
    <w:rsid w:val="004A1226"/>
    <w:rsid w:val="004A4A84"/>
    <w:rsid w:val="004A51BB"/>
    <w:rsid w:val="004A5EDC"/>
    <w:rsid w:val="004A62ED"/>
    <w:rsid w:val="004A6DF6"/>
    <w:rsid w:val="004A7597"/>
    <w:rsid w:val="004B098A"/>
    <w:rsid w:val="004B09E6"/>
    <w:rsid w:val="004B1277"/>
    <w:rsid w:val="004B15B0"/>
    <w:rsid w:val="004B230B"/>
    <w:rsid w:val="004B3A77"/>
    <w:rsid w:val="004B465E"/>
    <w:rsid w:val="004B49D5"/>
    <w:rsid w:val="004B4A45"/>
    <w:rsid w:val="004B7542"/>
    <w:rsid w:val="004B76D2"/>
    <w:rsid w:val="004B77F8"/>
    <w:rsid w:val="004B7AF0"/>
    <w:rsid w:val="004C037B"/>
    <w:rsid w:val="004C0670"/>
    <w:rsid w:val="004C0795"/>
    <w:rsid w:val="004C11CE"/>
    <w:rsid w:val="004C1316"/>
    <w:rsid w:val="004C17A6"/>
    <w:rsid w:val="004C180E"/>
    <w:rsid w:val="004C2944"/>
    <w:rsid w:val="004C3406"/>
    <w:rsid w:val="004C4AC6"/>
    <w:rsid w:val="004C5ADC"/>
    <w:rsid w:val="004C6424"/>
    <w:rsid w:val="004C6A5C"/>
    <w:rsid w:val="004D0208"/>
    <w:rsid w:val="004D0376"/>
    <w:rsid w:val="004D0C4E"/>
    <w:rsid w:val="004D1F68"/>
    <w:rsid w:val="004D27A2"/>
    <w:rsid w:val="004D3E36"/>
    <w:rsid w:val="004D4861"/>
    <w:rsid w:val="004D53C8"/>
    <w:rsid w:val="004D61BA"/>
    <w:rsid w:val="004D61DC"/>
    <w:rsid w:val="004D68C9"/>
    <w:rsid w:val="004D6C37"/>
    <w:rsid w:val="004D7020"/>
    <w:rsid w:val="004D7CA2"/>
    <w:rsid w:val="004D7E2C"/>
    <w:rsid w:val="004E0BF5"/>
    <w:rsid w:val="004E1F4D"/>
    <w:rsid w:val="004E3E18"/>
    <w:rsid w:val="004E5DD8"/>
    <w:rsid w:val="004F174B"/>
    <w:rsid w:val="004F18C1"/>
    <w:rsid w:val="004F2630"/>
    <w:rsid w:val="004F2FB6"/>
    <w:rsid w:val="004F37AC"/>
    <w:rsid w:val="004F4028"/>
    <w:rsid w:val="004F6A1B"/>
    <w:rsid w:val="004F7B63"/>
    <w:rsid w:val="00501333"/>
    <w:rsid w:val="005038FB"/>
    <w:rsid w:val="00503E8E"/>
    <w:rsid w:val="005048CA"/>
    <w:rsid w:val="00504A8C"/>
    <w:rsid w:val="005109CB"/>
    <w:rsid w:val="00510E66"/>
    <w:rsid w:val="00510F3A"/>
    <w:rsid w:val="00513F99"/>
    <w:rsid w:val="00514E99"/>
    <w:rsid w:val="0051508B"/>
    <w:rsid w:val="00515300"/>
    <w:rsid w:val="00516AC1"/>
    <w:rsid w:val="005232EF"/>
    <w:rsid w:val="0052516C"/>
    <w:rsid w:val="00525322"/>
    <w:rsid w:val="00525DB2"/>
    <w:rsid w:val="00526778"/>
    <w:rsid w:val="00526C1D"/>
    <w:rsid w:val="00526CB6"/>
    <w:rsid w:val="005312E1"/>
    <w:rsid w:val="0053235C"/>
    <w:rsid w:val="00532F2A"/>
    <w:rsid w:val="00533455"/>
    <w:rsid w:val="0053537E"/>
    <w:rsid w:val="005362A9"/>
    <w:rsid w:val="00537E31"/>
    <w:rsid w:val="0054045F"/>
    <w:rsid w:val="00540E2F"/>
    <w:rsid w:val="00541F0D"/>
    <w:rsid w:val="00542680"/>
    <w:rsid w:val="00544018"/>
    <w:rsid w:val="0054438B"/>
    <w:rsid w:val="00544496"/>
    <w:rsid w:val="00544685"/>
    <w:rsid w:val="00545B87"/>
    <w:rsid w:val="005462C4"/>
    <w:rsid w:val="0054730D"/>
    <w:rsid w:val="005477D5"/>
    <w:rsid w:val="0055009A"/>
    <w:rsid w:val="005507EB"/>
    <w:rsid w:val="00550C3F"/>
    <w:rsid w:val="005518BF"/>
    <w:rsid w:val="005524E8"/>
    <w:rsid w:val="00553199"/>
    <w:rsid w:val="00553486"/>
    <w:rsid w:val="00553915"/>
    <w:rsid w:val="005539E0"/>
    <w:rsid w:val="00554735"/>
    <w:rsid w:val="00554F9E"/>
    <w:rsid w:val="00556B79"/>
    <w:rsid w:val="00557129"/>
    <w:rsid w:val="005600D6"/>
    <w:rsid w:val="00560A01"/>
    <w:rsid w:val="0056268B"/>
    <w:rsid w:val="0056633F"/>
    <w:rsid w:val="00566B2D"/>
    <w:rsid w:val="00567A05"/>
    <w:rsid w:val="00567B3C"/>
    <w:rsid w:val="00570337"/>
    <w:rsid w:val="0057149D"/>
    <w:rsid w:val="00572E3F"/>
    <w:rsid w:val="00573431"/>
    <w:rsid w:val="0057787F"/>
    <w:rsid w:val="00580120"/>
    <w:rsid w:val="00580F01"/>
    <w:rsid w:val="00581EC3"/>
    <w:rsid w:val="005833F2"/>
    <w:rsid w:val="00583891"/>
    <w:rsid w:val="00583996"/>
    <w:rsid w:val="00583B93"/>
    <w:rsid w:val="00585095"/>
    <w:rsid w:val="005850DB"/>
    <w:rsid w:val="00585D38"/>
    <w:rsid w:val="00586660"/>
    <w:rsid w:val="00590C0D"/>
    <w:rsid w:val="00590C24"/>
    <w:rsid w:val="00590CA5"/>
    <w:rsid w:val="00592BF6"/>
    <w:rsid w:val="00592EC1"/>
    <w:rsid w:val="00593CF0"/>
    <w:rsid w:val="00593F50"/>
    <w:rsid w:val="005948DF"/>
    <w:rsid w:val="0059540C"/>
    <w:rsid w:val="0059715F"/>
    <w:rsid w:val="005A0CA0"/>
    <w:rsid w:val="005A3FEE"/>
    <w:rsid w:val="005A5B41"/>
    <w:rsid w:val="005A6B4C"/>
    <w:rsid w:val="005A7522"/>
    <w:rsid w:val="005A7EE5"/>
    <w:rsid w:val="005B0111"/>
    <w:rsid w:val="005B07DD"/>
    <w:rsid w:val="005B0D72"/>
    <w:rsid w:val="005B0FE5"/>
    <w:rsid w:val="005B1935"/>
    <w:rsid w:val="005B29A5"/>
    <w:rsid w:val="005B53CF"/>
    <w:rsid w:val="005B6880"/>
    <w:rsid w:val="005C0A83"/>
    <w:rsid w:val="005C0ABA"/>
    <w:rsid w:val="005C0EC1"/>
    <w:rsid w:val="005C11DB"/>
    <w:rsid w:val="005C1809"/>
    <w:rsid w:val="005C26ED"/>
    <w:rsid w:val="005C36A8"/>
    <w:rsid w:val="005C3B65"/>
    <w:rsid w:val="005C4C73"/>
    <w:rsid w:val="005C51F4"/>
    <w:rsid w:val="005C6A03"/>
    <w:rsid w:val="005C6E81"/>
    <w:rsid w:val="005C743D"/>
    <w:rsid w:val="005D07D4"/>
    <w:rsid w:val="005D0D57"/>
    <w:rsid w:val="005D30B3"/>
    <w:rsid w:val="005D36CE"/>
    <w:rsid w:val="005D5178"/>
    <w:rsid w:val="005E0A1C"/>
    <w:rsid w:val="005E2D74"/>
    <w:rsid w:val="005E2DC2"/>
    <w:rsid w:val="005E4342"/>
    <w:rsid w:val="005E4402"/>
    <w:rsid w:val="005E4E9D"/>
    <w:rsid w:val="005E56BF"/>
    <w:rsid w:val="005E7D28"/>
    <w:rsid w:val="005F053B"/>
    <w:rsid w:val="005F1656"/>
    <w:rsid w:val="005F1692"/>
    <w:rsid w:val="005F1A5F"/>
    <w:rsid w:val="005F34E8"/>
    <w:rsid w:val="005F5214"/>
    <w:rsid w:val="005F5A21"/>
    <w:rsid w:val="005F663F"/>
    <w:rsid w:val="005F71B9"/>
    <w:rsid w:val="006024EA"/>
    <w:rsid w:val="0060426C"/>
    <w:rsid w:val="00605217"/>
    <w:rsid w:val="00607829"/>
    <w:rsid w:val="00607B45"/>
    <w:rsid w:val="00610ED7"/>
    <w:rsid w:val="006112E3"/>
    <w:rsid w:val="0061203C"/>
    <w:rsid w:val="006137F2"/>
    <w:rsid w:val="006155B7"/>
    <w:rsid w:val="0061564A"/>
    <w:rsid w:val="0061651B"/>
    <w:rsid w:val="006201D6"/>
    <w:rsid w:val="006205BE"/>
    <w:rsid w:val="006209F9"/>
    <w:rsid w:val="00622F7C"/>
    <w:rsid w:val="006232FE"/>
    <w:rsid w:val="00623729"/>
    <w:rsid w:val="00626163"/>
    <w:rsid w:val="00626FA2"/>
    <w:rsid w:val="00627469"/>
    <w:rsid w:val="006309BA"/>
    <w:rsid w:val="00631FE8"/>
    <w:rsid w:val="006324EC"/>
    <w:rsid w:val="00632992"/>
    <w:rsid w:val="00632DD1"/>
    <w:rsid w:val="00633726"/>
    <w:rsid w:val="00633A2E"/>
    <w:rsid w:val="00634374"/>
    <w:rsid w:val="00640987"/>
    <w:rsid w:val="00640E7D"/>
    <w:rsid w:val="00642570"/>
    <w:rsid w:val="00642C4C"/>
    <w:rsid w:val="00645733"/>
    <w:rsid w:val="00645A2F"/>
    <w:rsid w:val="00645F45"/>
    <w:rsid w:val="00647B99"/>
    <w:rsid w:val="006521A2"/>
    <w:rsid w:val="00653A4E"/>
    <w:rsid w:val="00654B43"/>
    <w:rsid w:val="00655705"/>
    <w:rsid w:val="0065670B"/>
    <w:rsid w:val="00656C1B"/>
    <w:rsid w:val="00656CE7"/>
    <w:rsid w:val="00656E29"/>
    <w:rsid w:val="00657961"/>
    <w:rsid w:val="0066238B"/>
    <w:rsid w:val="00664211"/>
    <w:rsid w:val="00664E0B"/>
    <w:rsid w:val="00665271"/>
    <w:rsid w:val="006652E0"/>
    <w:rsid w:val="00667920"/>
    <w:rsid w:val="00667C68"/>
    <w:rsid w:val="00674902"/>
    <w:rsid w:val="00674EF1"/>
    <w:rsid w:val="0067597E"/>
    <w:rsid w:val="00675F4E"/>
    <w:rsid w:val="00675FEE"/>
    <w:rsid w:val="006823B9"/>
    <w:rsid w:val="00682BB7"/>
    <w:rsid w:val="006830BA"/>
    <w:rsid w:val="00683AFC"/>
    <w:rsid w:val="00683F8F"/>
    <w:rsid w:val="00684B4C"/>
    <w:rsid w:val="00684DE8"/>
    <w:rsid w:val="006861AE"/>
    <w:rsid w:val="00687404"/>
    <w:rsid w:val="006875E0"/>
    <w:rsid w:val="00690D71"/>
    <w:rsid w:val="006916F2"/>
    <w:rsid w:val="0069198F"/>
    <w:rsid w:val="00692F6D"/>
    <w:rsid w:val="00693BA0"/>
    <w:rsid w:val="006942F0"/>
    <w:rsid w:val="00695899"/>
    <w:rsid w:val="006972A1"/>
    <w:rsid w:val="00697DA0"/>
    <w:rsid w:val="006A0367"/>
    <w:rsid w:val="006A1664"/>
    <w:rsid w:val="006A2263"/>
    <w:rsid w:val="006A37DF"/>
    <w:rsid w:val="006A39A7"/>
    <w:rsid w:val="006A415F"/>
    <w:rsid w:val="006A48CB"/>
    <w:rsid w:val="006A4B97"/>
    <w:rsid w:val="006A5D9E"/>
    <w:rsid w:val="006A6138"/>
    <w:rsid w:val="006A6279"/>
    <w:rsid w:val="006A65C6"/>
    <w:rsid w:val="006A6B64"/>
    <w:rsid w:val="006A7771"/>
    <w:rsid w:val="006A793B"/>
    <w:rsid w:val="006B1737"/>
    <w:rsid w:val="006B1EDC"/>
    <w:rsid w:val="006B200F"/>
    <w:rsid w:val="006B2530"/>
    <w:rsid w:val="006B58D2"/>
    <w:rsid w:val="006B59DC"/>
    <w:rsid w:val="006B7555"/>
    <w:rsid w:val="006B7965"/>
    <w:rsid w:val="006C1F3B"/>
    <w:rsid w:val="006C361F"/>
    <w:rsid w:val="006C7462"/>
    <w:rsid w:val="006C74D4"/>
    <w:rsid w:val="006C7B0B"/>
    <w:rsid w:val="006D0751"/>
    <w:rsid w:val="006D1B4A"/>
    <w:rsid w:val="006D214B"/>
    <w:rsid w:val="006D4C0D"/>
    <w:rsid w:val="006D4F87"/>
    <w:rsid w:val="006D58B0"/>
    <w:rsid w:val="006D5BC8"/>
    <w:rsid w:val="006D643B"/>
    <w:rsid w:val="006E0322"/>
    <w:rsid w:val="006E112B"/>
    <w:rsid w:val="006E227E"/>
    <w:rsid w:val="006E34E8"/>
    <w:rsid w:val="006E38E6"/>
    <w:rsid w:val="006E3D5F"/>
    <w:rsid w:val="006E425C"/>
    <w:rsid w:val="006E4A13"/>
    <w:rsid w:val="006E51E4"/>
    <w:rsid w:val="006E61B7"/>
    <w:rsid w:val="006E7032"/>
    <w:rsid w:val="006E7EF4"/>
    <w:rsid w:val="006F0225"/>
    <w:rsid w:val="006F1A4D"/>
    <w:rsid w:val="006F2D39"/>
    <w:rsid w:val="006F36EE"/>
    <w:rsid w:val="006F40F5"/>
    <w:rsid w:val="006F57E9"/>
    <w:rsid w:val="00700A87"/>
    <w:rsid w:val="007011F2"/>
    <w:rsid w:val="00702F06"/>
    <w:rsid w:val="00703EB7"/>
    <w:rsid w:val="00704BDF"/>
    <w:rsid w:val="00704FDB"/>
    <w:rsid w:val="007063A0"/>
    <w:rsid w:val="007073DE"/>
    <w:rsid w:val="00707AC6"/>
    <w:rsid w:val="00707F23"/>
    <w:rsid w:val="0071068A"/>
    <w:rsid w:val="00711270"/>
    <w:rsid w:val="007119D2"/>
    <w:rsid w:val="00712376"/>
    <w:rsid w:val="00713315"/>
    <w:rsid w:val="007139F2"/>
    <w:rsid w:val="007156C9"/>
    <w:rsid w:val="00716418"/>
    <w:rsid w:val="00716524"/>
    <w:rsid w:val="00717827"/>
    <w:rsid w:val="007200DD"/>
    <w:rsid w:val="00720607"/>
    <w:rsid w:val="00722EC3"/>
    <w:rsid w:val="00723172"/>
    <w:rsid w:val="00724098"/>
    <w:rsid w:val="00724AD4"/>
    <w:rsid w:val="00725345"/>
    <w:rsid w:val="0072776E"/>
    <w:rsid w:val="0073007A"/>
    <w:rsid w:val="0073025B"/>
    <w:rsid w:val="00730C53"/>
    <w:rsid w:val="00731E05"/>
    <w:rsid w:val="00732398"/>
    <w:rsid w:val="00733942"/>
    <w:rsid w:val="00734869"/>
    <w:rsid w:val="00735A9E"/>
    <w:rsid w:val="0073604C"/>
    <w:rsid w:val="007360E2"/>
    <w:rsid w:val="007373FA"/>
    <w:rsid w:val="0074097F"/>
    <w:rsid w:val="007421A0"/>
    <w:rsid w:val="007421A3"/>
    <w:rsid w:val="007432DA"/>
    <w:rsid w:val="00746BE3"/>
    <w:rsid w:val="00746E15"/>
    <w:rsid w:val="00750505"/>
    <w:rsid w:val="00753219"/>
    <w:rsid w:val="00753684"/>
    <w:rsid w:val="007547AC"/>
    <w:rsid w:val="00754F80"/>
    <w:rsid w:val="0075589F"/>
    <w:rsid w:val="00755B46"/>
    <w:rsid w:val="00755D36"/>
    <w:rsid w:val="00756F62"/>
    <w:rsid w:val="00757822"/>
    <w:rsid w:val="007608F0"/>
    <w:rsid w:val="0076135C"/>
    <w:rsid w:val="00761AF2"/>
    <w:rsid w:val="0076327E"/>
    <w:rsid w:val="00765D53"/>
    <w:rsid w:val="00767B00"/>
    <w:rsid w:val="00767BA1"/>
    <w:rsid w:val="007702C4"/>
    <w:rsid w:val="007718CA"/>
    <w:rsid w:val="00771C31"/>
    <w:rsid w:val="00772C4D"/>
    <w:rsid w:val="0077383C"/>
    <w:rsid w:val="0077447F"/>
    <w:rsid w:val="0077755C"/>
    <w:rsid w:val="007779E4"/>
    <w:rsid w:val="007779E5"/>
    <w:rsid w:val="00780B51"/>
    <w:rsid w:val="00783197"/>
    <w:rsid w:val="007835E4"/>
    <w:rsid w:val="00784F80"/>
    <w:rsid w:val="007854FE"/>
    <w:rsid w:val="00785A38"/>
    <w:rsid w:val="00786FBA"/>
    <w:rsid w:val="00787303"/>
    <w:rsid w:val="007875EE"/>
    <w:rsid w:val="00792DB2"/>
    <w:rsid w:val="007939EA"/>
    <w:rsid w:val="0079636F"/>
    <w:rsid w:val="0079702C"/>
    <w:rsid w:val="0079770F"/>
    <w:rsid w:val="00797CA0"/>
    <w:rsid w:val="007A01B9"/>
    <w:rsid w:val="007A0271"/>
    <w:rsid w:val="007A07F2"/>
    <w:rsid w:val="007A0964"/>
    <w:rsid w:val="007A5561"/>
    <w:rsid w:val="007A6035"/>
    <w:rsid w:val="007A6432"/>
    <w:rsid w:val="007A6AEF"/>
    <w:rsid w:val="007A6BC6"/>
    <w:rsid w:val="007A6F31"/>
    <w:rsid w:val="007B147D"/>
    <w:rsid w:val="007B2343"/>
    <w:rsid w:val="007B2415"/>
    <w:rsid w:val="007B31D2"/>
    <w:rsid w:val="007B31D7"/>
    <w:rsid w:val="007B46A9"/>
    <w:rsid w:val="007B5B57"/>
    <w:rsid w:val="007B625E"/>
    <w:rsid w:val="007B6804"/>
    <w:rsid w:val="007B6C55"/>
    <w:rsid w:val="007C0ECF"/>
    <w:rsid w:val="007C1F5D"/>
    <w:rsid w:val="007C249C"/>
    <w:rsid w:val="007C26D6"/>
    <w:rsid w:val="007C415F"/>
    <w:rsid w:val="007C4AD9"/>
    <w:rsid w:val="007C6726"/>
    <w:rsid w:val="007C70C8"/>
    <w:rsid w:val="007C7EA8"/>
    <w:rsid w:val="007C7EE2"/>
    <w:rsid w:val="007D04B8"/>
    <w:rsid w:val="007D05FD"/>
    <w:rsid w:val="007D2DDA"/>
    <w:rsid w:val="007D2DED"/>
    <w:rsid w:val="007D369B"/>
    <w:rsid w:val="007D4625"/>
    <w:rsid w:val="007D4904"/>
    <w:rsid w:val="007D4D16"/>
    <w:rsid w:val="007D5A0B"/>
    <w:rsid w:val="007D626D"/>
    <w:rsid w:val="007D6498"/>
    <w:rsid w:val="007D66AB"/>
    <w:rsid w:val="007D7229"/>
    <w:rsid w:val="007D7F09"/>
    <w:rsid w:val="007E01DA"/>
    <w:rsid w:val="007E30E9"/>
    <w:rsid w:val="007E484F"/>
    <w:rsid w:val="007E4C20"/>
    <w:rsid w:val="007E559E"/>
    <w:rsid w:val="007E582B"/>
    <w:rsid w:val="007E6B34"/>
    <w:rsid w:val="007E7195"/>
    <w:rsid w:val="007E74C5"/>
    <w:rsid w:val="007E793D"/>
    <w:rsid w:val="007F171C"/>
    <w:rsid w:val="007F255C"/>
    <w:rsid w:val="007F2E51"/>
    <w:rsid w:val="007F2EE0"/>
    <w:rsid w:val="007F4A35"/>
    <w:rsid w:val="007F57F9"/>
    <w:rsid w:val="007F5FB7"/>
    <w:rsid w:val="007F6281"/>
    <w:rsid w:val="0080043C"/>
    <w:rsid w:val="0080046C"/>
    <w:rsid w:val="008012A6"/>
    <w:rsid w:val="00801E3C"/>
    <w:rsid w:val="00802119"/>
    <w:rsid w:val="008026F9"/>
    <w:rsid w:val="00802EC3"/>
    <w:rsid w:val="00803C34"/>
    <w:rsid w:val="008048A0"/>
    <w:rsid w:val="00804935"/>
    <w:rsid w:val="00805063"/>
    <w:rsid w:val="0080773E"/>
    <w:rsid w:val="008127E4"/>
    <w:rsid w:val="0081434C"/>
    <w:rsid w:val="00815A4D"/>
    <w:rsid w:val="00815AA5"/>
    <w:rsid w:val="00817028"/>
    <w:rsid w:val="00817EA0"/>
    <w:rsid w:val="00820AA2"/>
    <w:rsid w:val="00820FB8"/>
    <w:rsid w:val="00821699"/>
    <w:rsid w:val="0082211C"/>
    <w:rsid w:val="0082249E"/>
    <w:rsid w:val="008243A8"/>
    <w:rsid w:val="00824FC3"/>
    <w:rsid w:val="00825662"/>
    <w:rsid w:val="00826FFE"/>
    <w:rsid w:val="0082789F"/>
    <w:rsid w:val="0083094A"/>
    <w:rsid w:val="00830986"/>
    <w:rsid w:val="00830A7C"/>
    <w:rsid w:val="008320E7"/>
    <w:rsid w:val="00832228"/>
    <w:rsid w:val="0083566E"/>
    <w:rsid w:val="00835839"/>
    <w:rsid w:val="0083646E"/>
    <w:rsid w:val="0083701F"/>
    <w:rsid w:val="00837315"/>
    <w:rsid w:val="00837557"/>
    <w:rsid w:val="00837FB9"/>
    <w:rsid w:val="00840648"/>
    <w:rsid w:val="00840D7B"/>
    <w:rsid w:val="00845849"/>
    <w:rsid w:val="00845DA4"/>
    <w:rsid w:val="00851288"/>
    <w:rsid w:val="00852632"/>
    <w:rsid w:val="0085287D"/>
    <w:rsid w:val="00853FFF"/>
    <w:rsid w:val="00855792"/>
    <w:rsid w:val="00860C9D"/>
    <w:rsid w:val="00861112"/>
    <w:rsid w:val="0086269C"/>
    <w:rsid w:val="00863575"/>
    <w:rsid w:val="00863AA8"/>
    <w:rsid w:val="0086544E"/>
    <w:rsid w:val="00866413"/>
    <w:rsid w:val="00867D15"/>
    <w:rsid w:val="00871F48"/>
    <w:rsid w:val="00875DA9"/>
    <w:rsid w:val="00876A8C"/>
    <w:rsid w:val="00876C47"/>
    <w:rsid w:val="00881FF6"/>
    <w:rsid w:val="008846B6"/>
    <w:rsid w:val="008847C1"/>
    <w:rsid w:val="00885571"/>
    <w:rsid w:val="008866DE"/>
    <w:rsid w:val="0088697B"/>
    <w:rsid w:val="00886AC9"/>
    <w:rsid w:val="00886AEF"/>
    <w:rsid w:val="00886B9B"/>
    <w:rsid w:val="00887044"/>
    <w:rsid w:val="008900A4"/>
    <w:rsid w:val="008935ED"/>
    <w:rsid w:val="00894AF9"/>
    <w:rsid w:val="0089609C"/>
    <w:rsid w:val="0089619A"/>
    <w:rsid w:val="00896CE4"/>
    <w:rsid w:val="008A2CF9"/>
    <w:rsid w:val="008A61F1"/>
    <w:rsid w:val="008B0E22"/>
    <w:rsid w:val="008B2710"/>
    <w:rsid w:val="008B38F7"/>
    <w:rsid w:val="008B5093"/>
    <w:rsid w:val="008C019F"/>
    <w:rsid w:val="008C08E9"/>
    <w:rsid w:val="008C0A5F"/>
    <w:rsid w:val="008C1FD9"/>
    <w:rsid w:val="008C4404"/>
    <w:rsid w:val="008C4D19"/>
    <w:rsid w:val="008C4E1B"/>
    <w:rsid w:val="008C5146"/>
    <w:rsid w:val="008C6271"/>
    <w:rsid w:val="008C6285"/>
    <w:rsid w:val="008C734D"/>
    <w:rsid w:val="008D0F4E"/>
    <w:rsid w:val="008D1630"/>
    <w:rsid w:val="008D2648"/>
    <w:rsid w:val="008D2879"/>
    <w:rsid w:val="008D4FF6"/>
    <w:rsid w:val="008D525C"/>
    <w:rsid w:val="008D73E7"/>
    <w:rsid w:val="008E03EE"/>
    <w:rsid w:val="008E0A3D"/>
    <w:rsid w:val="008E6FB3"/>
    <w:rsid w:val="008F0024"/>
    <w:rsid w:val="008F0972"/>
    <w:rsid w:val="008F16F2"/>
    <w:rsid w:val="008F2A54"/>
    <w:rsid w:val="008F68FF"/>
    <w:rsid w:val="00900CCD"/>
    <w:rsid w:val="00903FDA"/>
    <w:rsid w:val="00905A5C"/>
    <w:rsid w:val="00911E4E"/>
    <w:rsid w:val="009127B0"/>
    <w:rsid w:val="009127EC"/>
    <w:rsid w:val="009135AD"/>
    <w:rsid w:val="0091418F"/>
    <w:rsid w:val="00914BB0"/>
    <w:rsid w:val="00915012"/>
    <w:rsid w:val="00915353"/>
    <w:rsid w:val="00915F37"/>
    <w:rsid w:val="00917414"/>
    <w:rsid w:val="00917428"/>
    <w:rsid w:val="00922042"/>
    <w:rsid w:val="00922ED6"/>
    <w:rsid w:val="00926436"/>
    <w:rsid w:val="00930171"/>
    <w:rsid w:val="00930D8C"/>
    <w:rsid w:val="0093255D"/>
    <w:rsid w:val="00933781"/>
    <w:rsid w:val="00933FD8"/>
    <w:rsid w:val="009341B1"/>
    <w:rsid w:val="00934FAE"/>
    <w:rsid w:val="0093508B"/>
    <w:rsid w:val="0093533D"/>
    <w:rsid w:val="00935ECE"/>
    <w:rsid w:val="00937F1A"/>
    <w:rsid w:val="009435DE"/>
    <w:rsid w:val="00944628"/>
    <w:rsid w:val="0094476A"/>
    <w:rsid w:val="00944942"/>
    <w:rsid w:val="00944B07"/>
    <w:rsid w:val="00944BD5"/>
    <w:rsid w:val="00944D42"/>
    <w:rsid w:val="009460D4"/>
    <w:rsid w:val="009476F1"/>
    <w:rsid w:val="00950178"/>
    <w:rsid w:val="00952AB4"/>
    <w:rsid w:val="00952F1B"/>
    <w:rsid w:val="00953C6D"/>
    <w:rsid w:val="00954215"/>
    <w:rsid w:val="0095632D"/>
    <w:rsid w:val="0095633F"/>
    <w:rsid w:val="009600EC"/>
    <w:rsid w:val="00960704"/>
    <w:rsid w:val="00960D88"/>
    <w:rsid w:val="00961EEB"/>
    <w:rsid w:val="00962233"/>
    <w:rsid w:val="009625C2"/>
    <w:rsid w:val="00962EED"/>
    <w:rsid w:val="009645C7"/>
    <w:rsid w:val="0096523D"/>
    <w:rsid w:val="00965E80"/>
    <w:rsid w:val="0096645A"/>
    <w:rsid w:val="00970016"/>
    <w:rsid w:val="00971BC9"/>
    <w:rsid w:val="009721FA"/>
    <w:rsid w:val="00972377"/>
    <w:rsid w:val="00975448"/>
    <w:rsid w:val="0097603D"/>
    <w:rsid w:val="00976947"/>
    <w:rsid w:val="00976AA0"/>
    <w:rsid w:val="00980338"/>
    <w:rsid w:val="009818A2"/>
    <w:rsid w:val="0098276D"/>
    <w:rsid w:val="009836E6"/>
    <w:rsid w:val="00983F0F"/>
    <w:rsid w:val="009863EE"/>
    <w:rsid w:val="0098683C"/>
    <w:rsid w:val="00990038"/>
    <w:rsid w:val="009909F5"/>
    <w:rsid w:val="00992DC5"/>
    <w:rsid w:val="00993AE7"/>
    <w:rsid w:val="009943AA"/>
    <w:rsid w:val="00994A9B"/>
    <w:rsid w:val="00994F5B"/>
    <w:rsid w:val="00996147"/>
    <w:rsid w:val="009973ED"/>
    <w:rsid w:val="00997803"/>
    <w:rsid w:val="00997CA4"/>
    <w:rsid w:val="009A1087"/>
    <w:rsid w:val="009A1682"/>
    <w:rsid w:val="009A1957"/>
    <w:rsid w:val="009A1A29"/>
    <w:rsid w:val="009A209F"/>
    <w:rsid w:val="009A24F6"/>
    <w:rsid w:val="009A2AE1"/>
    <w:rsid w:val="009A448C"/>
    <w:rsid w:val="009A6561"/>
    <w:rsid w:val="009A6750"/>
    <w:rsid w:val="009A7CD9"/>
    <w:rsid w:val="009B0256"/>
    <w:rsid w:val="009B14A3"/>
    <w:rsid w:val="009B17CF"/>
    <w:rsid w:val="009B2765"/>
    <w:rsid w:val="009B2B36"/>
    <w:rsid w:val="009B2FCF"/>
    <w:rsid w:val="009B3AD6"/>
    <w:rsid w:val="009B3DAB"/>
    <w:rsid w:val="009B452D"/>
    <w:rsid w:val="009B5A6C"/>
    <w:rsid w:val="009B5F92"/>
    <w:rsid w:val="009B6615"/>
    <w:rsid w:val="009B68AD"/>
    <w:rsid w:val="009B6BBF"/>
    <w:rsid w:val="009B6E63"/>
    <w:rsid w:val="009B763E"/>
    <w:rsid w:val="009B7F2C"/>
    <w:rsid w:val="009C0705"/>
    <w:rsid w:val="009C143B"/>
    <w:rsid w:val="009C268D"/>
    <w:rsid w:val="009C37DB"/>
    <w:rsid w:val="009C398C"/>
    <w:rsid w:val="009C3C23"/>
    <w:rsid w:val="009C6A72"/>
    <w:rsid w:val="009D15D1"/>
    <w:rsid w:val="009D1C09"/>
    <w:rsid w:val="009D2456"/>
    <w:rsid w:val="009D5DF1"/>
    <w:rsid w:val="009D6E59"/>
    <w:rsid w:val="009E2243"/>
    <w:rsid w:val="009E291C"/>
    <w:rsid w:val="009E58AD"/>
    <w:rsid w:val="009F0EB6"/>
    <w:rsid w:val="009F137C"/>
    <w:rsid w:val="009F16FB"/>
    <w:rsid w:val="009F1CFC"/>
    <w:rsid w:val="009F1E0C"/>
    <w:rsid w:val="009F72A3"/>
    <w:rsid w:val="00A00C08"/>
    <w:rsid w:val="00A0277D"/>
    <w:rsid w:val="00A02B42"/>
    <w:rsid w:val="00A02F80"/>
    <w:rsid w:val="00A050E1"/>
    <w:rsid w:val="00A05170"/>
    <w:rsid w:val="00A05AC3"/>
    <w:rsid w:val="00A06812"/>
    <w:rsid w:val="00A06F23"/>
    <w:rsid w:val="00A06FE4"/>
    <w:rsid w:val="00A0753B"/>
    <w:rsid w:val="00A0763A"/>
    <w:rsid w:val="00A1155F"/>
    <w:rsid w:val="00A1194B"/>
    <w:rsid w:val="00A121D7"/>
    <w:rsid w:val="00A12B0F"/>
    <w:rsid w:val="00A142BF"/>
    <w:rsid w:val="00A14E21"/>
    <w:rsid w:val="00A155D7"/>
    <w:rsid w:val="00A16A73"/>
    <w:rsid w:val="00A20783"/>
    <w:rsid w:val="00A208A2"/>
    <w:rsid w:val="00A20979"/>
    <w:rsid w:val="00A21A21"/>
    <w:rsid w:val="00A21E3B"/>
    <w:rsid w:val="00A232F2"/>
    <w:rsid w:val="00A23F37"/>
    <w:rsid w:val="00A23F3C"/>
    <w:rsid w:val="00A24213"/>
    <w:rsid w:val="00A25056"/>
    <w:rsid w:val="00A306ED"/>
    <w:rsid w:val="00A3091D"/>
    <w:rsid w:val="00A31C04"/>
    <w:rsid w:val="00A32704"/>
    <w:rsid w:val="00A330F3"/>
    <w:rsid w:val="00A33E98"/>
    <w:rsid w:val="00A34FAD"/>
    <w:rsid w:val="00A40928"/>
    <w:rsid w:val="00A40F04"/>
    <w:rsid w:val="00A42D95"/>
    <w:rsid w:val="00A43275"/>
    <w:rsid w:val="00A43F08"/>
    <w:rsid w:val="00A4518B"/>
    <w:rsid w:val="00A46822"/>
    <w:rsid w:val="00A471D9"/>
    <w:rsid w:val="00A50A87"/>
    <w:rsid w:val="00A512DE"/>
    <w:rsid w:val="00A53925"/>
    <w:rsid w:val="00A54424"/>
    <w:rsid w:val="00A578FB"/>
    <w:rsid w:val="00A60A4E"/>
    <w:rsid w:val="00A62524"/>
    <w:rsid w:val="00A65E56"/>
    <w:rsid w:val="00A65E8D"/>
    <w:rsid w:val="00A661C4"/>
    <w:rsid w:val="00A66FDD"/>
    <w:rsid w:val="00A71385"/>
    <w:rsid w:val="00A71D82"/>
    <w:rsid w:val="00A737B8"/>
    <w:rsid w:val="00A73B45"/>
    <w:rsid w:val="00A73F09"/>
    <w:rsid w:val="00A74612"/>
    <w:rsid w:val="00A74847"/>
    <w:rsid w:val="00A74E1D"/>
    <w:rsid w:val="00A76618"/>
    <w:rsid w:val="00A76B25"/>
    <w:rsid w:val="00A77833"/>
    <w:rsid w:val="00A80C91"/>
    <w:rsid w:val="00A8172F"/>
    <w:rsid w:val="00A81ADE"/>
    <w:rsid w:val="00A82D1E"/>
    <w:rsid w:val="00A843DC"/>
    <w:rsid w:val="00A85C81"/>
    <w:rsid w:val="00A87619"/>
    <w:rsid w:val="00A8793E"/>
    <w:rsid w:val="00A907FD"/>
    <w:rsid w:val="00A921F8"/>
    <w:rsid w:val="00A92666"/>
    <w:rsid w:val="00A92947"/>
    <w:rsid w:val="00A9430B"/>
    <w:rsid w:val="00A97062"/>
    <w:rsid w:val="00A97E04"/>
    <w:rsid w:val="00AA21F3"/>
    <w:rsid w:val="00AA2394"/>
    <w:rsid w:val="00AA3B5B"/>
    <w:rsid w:val="00AA3C93"/>
    <w:rsid w:val="00AA44CC"/>
    <w:rsid w:val="00AA5C55"/>
    <w:rsid w:val="00AA60AA"/>
    <w:rsid w:val="00AB0992"/>
    <w:rsid w:val="00AB0E32"/>
    <w:rsid w:val="00AB460B"/>
    <w:rsid w:val="00AB4D3F"/>
    <w:rsid w:val="00AB58BB"/>
    <w:rsid w:val="00AB79C0"/>
    <w:rsid w:val="00AB7A07"/>
    <w:rsid w:val="00AC073E"/>
    <w:rsid w:val="00AC0C3F"/>
    <w:rsid w:val="00AC0C46"/>
    <w:rsid w:val="00AC23DA"/>
    <w:rsid w:val="00AC2C7E"/>
    <w:rsid w:val="00AC3154"/>
    <w:rsid w:val="00AC40C0"/>
    <w:rsid w:val="00AC4A8D"/>
    <w:rsid w:val="00AC4D92"/>
    <w:rsid w:val="00AC4DEE"/>
    <w:rsid w:val="00AC5D87"/>
    <w:rsid w:val="00AC7BC1"/>
    <w:rsid w:val="00AD02C3"/>
    <w:rsid w:val="00AD16D0"/>
    <w:rsid w:val="00AD2C26"/>
    <w:rsid w:val="00AD38CA"/>
    <w:rsid w:val="00AD5720"/>
    <w:rsid w:val="00AD783E"/>
    <w:rsid w:val="00AE2920"/>
    <w:rsid w:val="00AE3E8D"/>
    <w:rsid w:val="00AE469D"/>
    <w:rsid w:val="00AE472B"/>
    <w:rsid w:val="00AE6189"/>
    <w:rsid w:val="00AE6424"/>
    <w:rsid w:val="00AE6728"/>
    <w:rsid w:val="00AF18C2"/>
    <w:rsid w:val="00AF1C42"/>
    <w:rsid w:val="00AF3A17"/>
    <w:rsid w:val="00AF3CD7"/>
    <w:rsid w:val="00AF5690"/>
    <w:rsid w:val="00B0034C"/>
    <w:rsid w:val="00B01AFE"/>
    <w:rsid w:val="00B02C18"/>
    <w:rsid w:val="00B03A4C"/>
    <w:rsid w:val="00B0463C"/>
    <w:rsid w:val="00B06178"/>
    <w:rsid w:val="00B06E40"/>
    <w:rsid w:val="00B07B10"/>
    <w:rsid w:val="00B07EB9"/>
    <w:rsid w:val="00B07EEF"/>
    <w:rsid w:val="00B113B5"/>
    <w:rsid w:val="00B11EAB"/>
    <w:rsid w:val="00B1250E"/>
    <w:rsid w:val="00B12BB6"/>
    <w:rsid w:val="00B13040"/>
    <w:rsid w:val="00B131C5"/>
    <w:rsid w:val="00B13B58"/>
    <w:rsid w:val="00B13FB4"/>
    <w:rsid w:val="00B15745"/>
    <w:rsid w:val="00B15901"/>
    <w:rsid w:val="00B15EC3"/>
    <w:rsid w:val="00B20093"/>
    <w:rsid w:val="00B22DA1"/>
    <w:rsid w:val="00B23752"/>
    <w:rsid w:val="00B2563F"/>
    <w:rsid w:val="00B25BC3"/>
    <w:rsid w:val="00B27348"/>
    <w:rsid w:val="00B27416"/>
    <w:rsid w:val="00B274C4"/>
    <w:rsid w:val="00B278FD"/>
    <w:rsid w:val="00B320C9"/>
    <w:rsid w:val="00B321BD"/>
    <w:rsid w:val="00B32D39"/>
    <w:rsid w:val="00B33AF4"/>
    <w:rsid w:val="00B33C7D"/>
    <w:rsid w:val="00B3543A"/>
    <w:rsid w:val="00B36055"/>
    <w:rsid w:val="00B36B7B"/>
    <w:rsid w:val="00B41081"/>
    <w:rsid w:val="00B414B3"/>
    <w:rsid w:val="00B44F4C"/>
    <w:rsid w:val="00B474D4"/>
    <w:rsid w:val="00B476C3"/>
    <w:rsid w:val="00B478DB"/>
    <w:rsid w:val="00B50963"/>
    <w:rsid w:val="00B51088"/>
    <w:rsid w:val="00B52B55"/>
    <w:rsid w:val="00B52C6A"/>
    <w:rsid w:val="00B53170"/>
    <w:rsid w:val="00B560CC"/>
    <w:rsid w:val="00B56EFF"/>
    <w:rsid w:val="00B57E74"/>
    <w:rsid w:val="00B60E42"/>
    <w:rsid w:val="00B6594E"/>
    <w:rsid w:val="00B66408"/>
    <w:rsid w:val="00B7050F"/>
    <w:rsid w:val="00B74093"/>
    <w:rsid w:val="00B74F94"/>
    <w:rsid w:val="00B74FB0"/>
    <w:rsid w:val="00B766D5"/>
    <w:rsid w:val="00B77357"/>
    <w:rsid w:val="00B80898"/>
    <w:rsid w:val="00B82192"/>
    <w:rsid w:val="00B825A1"/>
    <w:rsid w:val="00B825D4"/>
    <w:rsid w:val="00B826BE"/>
    <w:rsid w:val="00B8324D"/>
    <w:rsid w:val="00B83B8E"/>
    <w:rsid w:val="00B906EE"/>
    <w:rsid w:val="00B91512"/>
    <w:rsid w:val="00B92A11"/>
    <w:rsid w:val="00B92B24"/>
    <w:rsid w:val="00B93DD0"/>
    <w:rsid w:val="00B95A9E"/>
    <w:rsid w:val="00B97F04"/>
    <w:rsid w:val="00BA1C37"/>
    <w:rsid w:val="00BA213B"/>
    <w:rsid w:val="00BA49AE"/>
    <w:rsid w:val="00BA5771"/>
    <w:rsid w:val="00BA5F28"/>
    <w:rsid w:val="00BB146C"/>
    <w:rsid w:val="00BB22F2"/>
    <w:rsid w:val="00BB3CA1"/>
    <w:rsid w:val="00BB468F"/>
    <w:rsid w:val="00BB487E"/>
    <w:rsid w:val="00BB5FB1"/>
    <w:rsid w:val="00BB5FFC"/>
    <w:rsid w:val="00BC28B0"/>
    <w:rsid w:val="00BC344F"/>
    <w:rsid w:val="00BC4F14"/>
    <w:rsid w:val="00BC5A80"/>
    <w:rsid w:val="00BD0220"/>
    <w:rsid w:val="00BD1D72"/>
    <w:rsid w:val="00BD2422"/>
    <w:rsid w:val="00BD4B07"/>
    <w:rsid w:val="00BD518D"/>
    <w:rsid w:val="00BD73AA"/>
    <w:rsid w:val="00BD73EE"/>
    <w:rsid w:val="00BE2369"/>
    <w:rsid w:val="00BE2A35"/>
    <w:rsid w:val="00BE47A8"/>
    <w:rsid w:val="00BE4917"/>
    <w:rsid w:val="00BE4A74"/>
    <w:rsid w:val="00BE5903"/>
    <w:rsid w:val="00BE7253"/>
    <w:rsid w:val="00BE7C6F"/>
    <w:rsid w:val="00BF041D"/>
    <w:rsid w:val="00BF057E"/>
    <w:rsid w:val="00BF090C"/>
    <w:rsid w:val="00BF14D2"/>
    <w:rsid w:val="00BF1C95"/>
    <w:rsid w:val="00BF2A3E"/>
    <w:rsid w:val="00BF2EB9"/>
    <w:rsid w:val="00BF4228"/>
    <w:rsid w:val="00BF4564"/>
    <w:rsid w:val="00BF4954"/>
    <w:rsid w:val="00BF6649"/>
    <w:rsid w:val="00BF744A"/>
    <w:rsid w:val="00C010B4"/>
    <w:rsid w:val="00C02A97"/>
    <w:rsid w:val="00C02ABB"/>
    <w:rsid w:val="00C02E98"/>
    <w:rsid w:val="00C03DE7"/>
    <w:rsid w:val="00C042D3"/>
    <w:rsid w:val="00C04800"/>
    <w:rsid w:val="00C05142"/>
    <w:rsid w:val="00C060F8"/>
    <w:rsid w:val="00C0616C"/>
    <w:rsid w:val="00C069A4"/>
    <w:rsid w:val="00C07766"/>
    <w:rsid w:val="00C10E65"/>
    <w:rsid w:val="00C1275D"/>
    <w:rsid w:val="00C12798"/>
    <w:rsid w:val="00C13294"/>
    <w:rsid w:val="00C148E8"/>
    <w:rsid w:val="00C15A08"/>
    <w:rsid w:val="00C15AE3"/>
    <w:rsid w:val="00C16599"/>
    <w:rsid w:val="00C1749F"/>
    <w:rsid w:val="00C17A7A"/>
    <w:rsid w:val="00C20D13"/>
    <w:rsid w:val="00C2199E"/>
    <w:rsid w:val="00C2348F"/>
    <w:rsid w:val="00C249A9"/>
    <w:rsid w:val="00C24B1C"/>
    <w:rsid w:val="00C251D9"/>
    <w:rsid w:val="00C26A7A"/>
    <w:rsid w:val="00C27014"/>
    <w:rsid w:val="00C30956"/>
    <w:rsid w:val="00C30E7C"/>
    <w:rsid w:val="00C32013"/>
    <w:rsid w:val="00C32373"/>
    <w:rsid w:val="00C32DEA"/>
    <w:rsid w:val="00C33D5F"/>
    <w:rsid w:val="00C345ED"/>
    <w:rsid w:val="00C34DBB"/>
    <w:rsid w:val="00C34E1A"/>
    <w:rsid w:val="00C35103"/>
    <w:rsid w:val="00C35305"/>
    <w:rsid w:val="00C366B0"/>
    <w:rsid w:val="00C376A6"/>
    <w:rsid w:val="00C40EEF"/>
    <w:rsid w:val="00C41662"/>
    <w:rsid w:val="00C41C7C"/>
    <w:rsid w:val="00C42B60"/>
    <w:rsid w:val="00C42EDD"/>
    <w:rsid w:val="00C43CE5"/>
    <w:rsid w:val="00C478DE"/>
    <w:rsid w:val="00C47F39"/>
    <w:rsid w:val="00C510CB"/>
    <w:rsid w:val="00C515BC"/>
    <w:rsid w:val="00C51C64"/>
    <w:rsid w:val="00C53510"/>
    <w:rsid w:val="00C538F0"/>
    <w:rsid w:val="00C53E2A"/>
    <w:rsid w:val="00C5424B"/>
    <w:rsid w:val="00C5432F"/>
    <w:rsid w:val="00C55829"/>
    <w:rsid w:val="00C5719F"/>
    <w:rsid w:val="00C63146"/>
    <w:rsid w:val="00C63940"/>
    <w:rsid w:val="00C66E06"/>
    <w:rsid w:val="00C70094"/>
    <w:rsid w:val="00C71D75"/>
    <w:rsid w:val="00C72BB9"/>
    <w:rsid w:val="00C73E57"/>
    <w:rsid w:val="00C749F9"/>
    <w:rsid w:val="00C751BA"/>
    <w:rsid w:val="00C81975"/>
    <w:rsid w:val="00C82EBC"/>
    <w:rsid w:val="00C85A4A"/>
    <w:rsid w:val="00C86588"/>
    <w:rsid w:val="00C87966"/>
    <w:rsid w:val="00C92788"/>
    <w:rsid w:val="00C93EED"/>
    <w:rsid w:val="00C93F28"/>
    <w:rsid w:val="00C94549"/>
    <w:rsid w:val="00C96C2C"/>
    <w:rsid w:val="00CA0694"/>
    <w:rsid w:val="00CA0B4D"/>
    <w:rsid w:val="00CA1D4C"/>
    <w:rsid w:val="00CA4148"/>
    <w:rsid w:val="00CA4593"/>
    <w:rsid w:val="00CA47D8"/>
    <w:rsid w:val="00CA5D4C"/>
    <w:rsid w:val="00CA643D"/>
    <w:rsid w:val="00CA675A"/>
    <w:rsid w:val="00CA7301"/>
    <w:rsid w:val="00CB186E"/>
    <w:rsid w:val="00CB1ED7"/>
    <w:rsid w:val="00CB3A38"/>
    <w:rsid w:val="00CB462A"/>
    <w:rsid w:val="00CB4E49"/>
    <w:rsid w:val="00CB621D"/>
    <w:rsid w:val="00CB7768"/>
    <w:rsid w:val="00CC00C5"/>
    <w:rsid w:val="00CC0B1B"/>
    <w:rsid w:val="00CC19C8"/>
    <w:rsid w:val="00CC1A25"/>
    <w:rsid w:val="00CC2879"/>
    <w:rsid w:val="00CC3046"/>
    <w:rsid w:val="00CC3F34"/>
    <w:rsid w:val="00CC3F6F"/>
    <w:rsid w:val="00CC40CB"/>
    <w:rsid w:val="00CC475C"/>
    <w:rsid w:val="00CC4A71"/>
    <w:rsid w:val="00CC4CF0"/>
    <w:rsid w:val="00CC6041"/>
    <w:rsid w:val="00CC6145"/>
    <w:rsid w:val="00CD0713"/>
    <w:rsid w:val="00CD15D9"/>
    <w:rsid w:val="00CD24F4"/>
    <w:rsid w:val="00CD27B1"/>
    <w:rsid w:val="00CD34CB"/>
    <w:rsid w:val="00CD351F"/>
    <w:rsid w:val="00CD60FB"/>
    <w:rsid w:val="00CD6E84"/>
    <w:rsid w:val="00CD7350"/>
    <w:rsid w:val="00CE0F61"/>
    <w:rsid w:val="00CE1683"/>
    <w:rsid w:val="00CE4451"/>
    <w:rsid w:val="00CE5E29"/>
    <w:rsid w:val="00CE6746"/>
    <w:rsid w:val="00CE68F0"/>
    <w:rsid w:val="00CF01E6"/>
    <w:rsid w:val="00CF0EAD"/>
    <w:rsid w:val="00CF1FA0"/>
    <w:rsid w:val="00CF2E05"/>
    <w:rsid w:val="00CF3E49"/>
    <w:rsid w:val="00CF66DB"/>
    <w:rsid w:val="00CF6C97"/>
    <w:rsid w:val="00D001B6"/>
    <w:rsid w:val="00D00201"/>
    <w:rsid w:val="00D00261"/>
    <w:rsid w:val="00D00592"/>
    <w:rsid w:val="00D00CF5"/>
    <w:rsid w:val="00D01117"/>
    <w:rsid w:val="00D018D3"/>
    <w:rsid w:val="00D021A0"/>
    <w:rsid w:val="00D039E0"/>
    <w:rsid w:val="00D04179"/>
    <w:rsid w:val="00D06258"/>
    <w:rsid w:val="00D06854"/>
    <w:rsid w:val="00D10FCD"/>
    <w:rsid w:val="00D11488"/>
    <w:rsid w:val="00D11867"/>
    <w:rsid w:val="00D12699"/>
    <w:rsid w:val="00D1567B"/>
    <w:rsid w:val="00D1590E"/>
    <w:rsid w:val="00D15E13"/>
    <w:rsid w:val="00D160BF"/>
    <w:rsid w:val="00D162F2"/>
    <w:rsid w:val="00D2257B"/>
    <w:rsid w:val="00D23534"/>
    <w:rsid w:val="00D24FC6"/>
    <w:rsid w:val="00D25021"/>
    <w:rsid w:val="00D26CEA"/>
    <w:rsid w:val="00D2758D"/>
    <w:rsid w:val="00D27EFC"/>
    <w:rsid w:val="00D27F10"/>
    <w:rsid w:val="00D318F0"/>
    <w:rsid w:val="00D32652"/>
    <w:rsid w:val="00D3322E"/>
    <w:rsid w:val="00D3355D"/>
    <w:rsid w:val="00D35E4C"/>
    <w:rsid w:val="00D37C1D"/>
    <w:rsid w:val="00D417AE"/>
    <w:rsid w:val="00D4412C"/>
    <w:rsid w:val="00D46D26"/>
    <w:rsid w:val="00D47024"/>
    <w:rsid w:val="00D47C7B"/>
    <w:rsid w:val="00D505A3"/>
    <w:rsid w:val="00D524E3"/>
    <w:rsid w:val="00D53B3D"/>
    <w:rsid w:val="00D54095"/>
    <w:rsid w:val="00D54127"/>
    <w:rsid w:val="00D55975"/>
    <w:rsid w:val="00D55C17"/>
    <w:rsid w:val="00D55EC3"/>
    <w:rsid w:val="00D57E9A"/>
    <w:rsid w:val="00D60B6B"/>
    <w:rsid w:val="00D60BB2"/>
    <w:rsid w:val="00D61600"/>
    <w:rsid w:val="00D6192F"/>
    <w:rsid w:val="00D62E75"/>
    <w:rsid w:val="00D6332D"/>
    <w:rsid w:val="00D63550"/>
    <w:rsid w:val="00D64477"/>
    <w:rsid w:val="00D64BB4"/>
    <w:rsid w:val="00D65FB6"/>
    <w:rsid w:val="00D663B3"/>
    <w:rsid w:val="00D66F91"/>
    <w:rsid w:val="00D67769"/>
    <w:rsid w:val="00D677F2"/>
    <w:rsid w:val="00D679C7"/>
    <w:rsid w:val="00D67A46"/>
    <w:rsid w:val="00D67AB8"/>
    <w:rsid w:val="00D70C64"/>
    <w:rsid w:val="00D72463"/>
    <w:rsid w:val="00D744E2"/>
    <w:rsid w:val="00D75805"/>
    <w:rsid w:val="00D815A0"/>
    <w:rsid w:val="00D81AA5"/>
    <w:rsid w:val="00D82617"/>
    <w:rsid w:val="00D834E5"/>
    <w:rsid w:val="00D83889"/>
    <w:rsid w:val="00D83CC4"/>
    <w:rsid w:val="00D84E45"/>
    <w:rsid w:val="00D87689"/>
    <w:rsid w:val="00D87988"/>
    <w:rsid w:val="00D90504"/>
    <w:rsid w:val="00D909F6"/>
    <w:rsid w:val="00D9262F"/>
    <w:rsid w:val="00D92E1C"/>
    <w:rsid w:val="00D9322D"/>
    <w:rsid w:val="00D937A1"/>
    <w:rsid w:val="00D937C7"/>
    <w:rsid w:val="00D953F0"/>
    <w:rsid w:val="00D95BAF"/>
    <w:rsid w:val="00D95C05"/>
    <w:rsid w:val="00D95D31"/>
    <w:rsid w:val="00D95E54"/>
    <w:rsid w:val="00D95F48"/>
    <w:rsid w:val="00D96C12"/>
    <w:rsid w:val="00D96D9B"/>
    <w:rsid w:val="00DA0125"/>
    <w:rsid w:val="00DA1B65"/>
    <w:rsid w:val="00DA1B8D"/>
    <w:rsid w:val="00DA1B94"/>
    <w:rsid w:val="00DA2E1E"/>
    <w:rsid w:val="00DA3CB2"/>
    <w:rsid w:val="00DA60B3"/>
    <w:rsid w:val="00DA6F57"/>
    <w:rsid w:val="00DA75E5"/>
    <w:rsid w:val="00DA77CA"/>
    <w:rsid w:val="00DA7B46"/>
    <w:rsid w:val="00DB03D3"/>
    <w:rsid w:val="00DB059C"/>
    <w:rsid w:val="00DB2004"/>
    <w:rsid w:val="00DB5257"/>
    <w:rsid w:val="00DB6D87"/>
    <w:rsid w:val="00DB7DA0"/>
    <w:rsid w:val="00DC059C"/>
    <w:rsid w:val="00DC48F5"/>
    <w:rsid w:val="00DC6278"/>
    <w:rsid w:val="00DD20FA"/>
    <w:rsid w:val="00DD238D"/>
    <w:rsid w:val="00DD3258"/>
    <w:rsid w:val="00DD48E7"/>
    <w:rsid w:val="00DD5AE6"/>
    <w:rsid w:val="00DD6BC3"/>
    <w:rsid w:val="00DD6FC0"/>
    <w:rsid w:val="00DE0E98"/>
    <w:rsid w:val="00DE1D4F"/>
    <w:rsid w:val="00DE3B69"/>
    <w:rsid w:val="00DE4D20"/>
    <w:rsid w:val="00DE6B68"/>
    <w:rsid w:val="00DE77C8"/>
    <w:rsid w:val="00DF00CD"/>
    <w:rsid w:val="00DF3460"/>
    <w:rsid w:val="00DF3E43"/>
    <w:rsid w:val="00DF5401"/>
    <w:rsid w:val="00DF5A04"/>
    <w:rsid w:val="00DF5F79"/>
    <w:rsid w:val="00DF6795"/>
    <w:rsid w:val="00DF6B8C"/>
    <w:rsid w:val="00DF6D2E"/>
    <w:rsid w:val="00DF75B2"/>
    <w:rsid w:val="00DF7B3B"/>
    <w:rsid w:val="00E00094"/>
    <w:rsid w:val="00E00681"/>
    <w:rsid w:val="00E01938"/>
    <w:rsid w:val="00E02EE6"/>
    <w:rsid w:val="00E065D9"/>
    <w:rsid w:val="00E066CF"/>
    <w:rsid w:val="00E073EB"/>
    <w:rsid w:val="00E07598"/>
    <w:rsid w:val="00E07631"/>
    <w:rsid w:val="00E103E5"/>
    <w:rsid w:val="00E11E25"/>
    <w:rsid w:val="00E120A7"/>
    <w:rsid w:val="00E13491"/>
    <w:rsid w:val="00E13B57"/>
    <w:rsid w:val="00E14326"/>
    <w:rsid w:val="00E144D1"/>
    <w:rsid w:val="00E14714"/>
    <w:rsid w:val="00E14AC7"/>
    <w:rsid w:val="00E1560C"/>
    <w:rsid w:val="00E1565A"/>
    <w:rsid w:val="00E173B6"/>
    <w:rsid w:val="00E1751B"/>
    <w:rsid w:val="00E2215B"/>
    <w:rsid w:val="00E22A85"/>
    <w:rsid w:val="00E22CBD"/>
    <w:rsid w:val="00E2437A"/>
    <w:rsid w:val="00E254AC"/>
    <w:rsid w:val="00E25B17"/>
    <w:rsid w:val="00E268B2"/>
    <w:rsid w:val="00E27821"/>
    <w:rsid w:val="00E31C77"/>
    <w:rsid w:val="00E335F3"/>
    <w:rsid w:val="00E33668"/>
    <w:rsid w:val="00E425A8"/>
    <w:rsid w:val="00E43B4C"/>
    <w:rsid w:val="00E44E1E"/>
    <w:rsid w:val="00E46127"/>
    <w:rsid w:val="00E465D5"/>
    <w:rsid w:val="00E468AE"/>
    <w:rsid w:val="00E50D8A"/>
    <w:rsid w:val="00E52E01"/>
    <w:rsid w:val="00E53578"/>
    <w:rsid w:val="00E53651"/>
    <w:rsid w:val="00E53B6C"/>
    <w:rsid w:val="00E54046"/>
    <w:rsid w:val="00E54893"/>
    <w:rsid w:val="00E56394"/>
    <w:rsid w:val="00E573F9"/>
    <w:rsid w:val="00E61715"/>
    <w:rsid w:val="00E61D8D"/>
    <w:rsid w:val="00E6318E"/>
    <w:rsid w:val="00E64F6D"/>
    <w:rsid w:val="00E65E00"/>
    <w:rsid w:val="00E66C2C"/>
    <w:rsid w:val="00E705EF"/>
    <w:rsid w:val="00E71807"/>
    <w:rsid w:val="00E7232E"/>
    <w:rsid w:val="00E74843"/>
    <w:rsid w:val="00E74E61"/>
    <w:rsid w:val="00E76CAE"/>
    <w:rsid w:val="00E805C9"/>
    <w:rsid w:val="00E8345F"/>
    <w:rsid w:val="00E85DE5"/>
    <w:rsid w:val="00E86682"/>
    <w:rsid w:val="00E869E2"/>
    <w:rsid w:val="00E8739A"/>
    <w:rsid w:val="00E873DE"/>
    <w:rsid w:val="00E87E1D"/>
    <w:rsid w:val="00E90238"/>
    <w:rsid w:val="00E90543"/>
    <w:rsid w:val="00E908CB"/>
    <w:rsid w:val="00E9090A"/>
    <w:rsid w:val="00E91023"/>
    <w:rsid w:val="00E911A6"/>
    <w:rsid w:val="00E9137E"/>
    <w:rsid w:val="00E91ACE"/>
    <w:rsid w:val="00E91CD3"/>
    <w:rsid w:val="00E92461"/>
    <w:rsid w:val="00E92A69"/>
    <w:rsid w:val="00E9446E"/>
    <w:rsid w:val="00E94619"/>
    <w:rsid w:val="00E94A37"/>
    <w:rsid w:val="00E956F8"/>
    <w:rsid w:val="00E96200"/>
    <w:rsid w:val="00E96FAC"/>
    <w:rsid w:val="00EA0381"/>
    <w:rsid w:val="00EA2710"/>
    <w:rsid w:val="00EA4472"/>
    <w:rsid w:val="00EA55DE"/>
    <w:rsid w:val="00EA7307"/>
    <w:rsid w:val="00EA74F6"/>
    <w:rsid w:val="00EB0F3D"/>
    <w:rsid w:val="00EB113A"/>
    <w:rsid w:val="00EB1196"/>
    <w:rsid w:val="00EB19CB"/>
    <w:rsid w:val="00EB1C50"/>
    <w:rsid w:val="00EB2607"/>
    <w:rsid w:val="00EB271A"/>
    <w:rsid w:val="00EB37A4"/>
    <w:rsid w:val="00EB4080"/>
    <w:rsid w:val="00EB4196"/>
    <w:rsid w:val="00EB4344"/>
    <w:rsid w:val="00EB463B"/>
    <w:rsid w:val="00EB6207"/>
    <w:rsid w:val="00EB639C"/>
    <w:rsid w:val="00EB6950"/>
    <w:rsid w:val="00EC135C"/>
    <w:rsid w:val="00EC1C5D"/>
    <w:rsid w:val="00EC2C33"/>
    <w:rsid w:val="00EC2D4D"/>
    <w:rsid w:val="00EC59CB"/>
    <w:rsid w:val="00EC62E2"/>
    <w:rsid w:val="00EC6BAF"/>
    <w:rsid w:val="00EC740F"/>
    <w:rsid w:val="00EC7827"/>
    <w:rsid w:val="00EC7F34"/>
    <w:rsid w:val="00ED004A"/>
    <w:rsid w:val="00ED2135"/>
    <w:rsid w:val="00ED2422"/>
    <w:rsid w:val="00ED24C1"/>
    <w:rsid w:val="00ED26E3"/>
    <w:rsid w:val="00ED2C4E"/>
    <w:rsid w:val="00ED2EA2"/>
    <w:rsid w:val="00ED396E"/>
    <w:rsid w:val="00ED424C"/>
    <w:rsid w:val="00ED730F"/>
    <w:rsid w:val="00EE0584"/>
    <w:rsid w:val="00EE269A"/>
    <w:rsid w:val="00EE3144"/>
    <w:rsid w:val="00EE7A55"/>
    <w:rsid w:val="00EE7CE6"/>
    <w:rsid w:val="00EF0FA0"/>
    <w:rsid w:val="00EF1444"/>
    <w:rsid w:val="00EF214C"/>
    <w:rsid w:val="00EF2BA7"/>
    <w:rsid w:val="00EF2EC2"/>
    <w:rsid w:val="00EF3577"/>
    <w:rsid w:val="00EF40D7"/>
    <w:rsid w:val="00EF4200"/>
    <w:rsid w:val="00EF4CE0"/>
    <w:rsid w:val="00EF54B1"/>
    <w:rsid w:val="00EF5534"/>
    <w:rsid w:val="00EF572B"/>
    <w:rsid w:val="00EF7406"/>
    <w:rsid w:val="00EF7A69"/>
    <w:rsid w:val="00F001B9"/>
    <w:rsid w:val="00F01F4D"/>
    <w:rsid w:val="00F05311"/>
    <w:rsid w:val="00F05663"/>
    <w:rsid w:val="00F05CFF"/>
    <w:rsid w:val="00F06A77"/>
    <w:rsid w:val="00F06BDB"/>
    <w:rsid w:val="00F07532"/>
    <w:rsid w:val="00F07BBC"/>
    <w:rsid w:val="00F10E7A"/>
    <w:rsid w:val="00F12678"/>
    <w:rsid w:val="00F12B44"/>
    <w:rsid w:val="00F13568"/>
    <w:rsid w:val="00F139FE"/>
    <w:rsid w:val="00F165B3"/>
    <w:rsid w:val="00F1697F"/>
    <w:rsid w:val="00F171EA"/>
    <w:rsid w:val="00F21B6E"/>
    <w:rsid w:val="00F21CF8"/>
    <w:rsid w:val="00F22F37"/>
    <w:rsid w:val="00F240FB"/>
    <w:rsid w:val="00F254A4"/>
    <w:rsid w:val="00F255F4"/>
    <w:rsid w:val="00F257BD"/>
    <w:rsid w:val="00F268E1"/>
    <w:rsid w:val="00F26B21"/>
    <w:rsid w:val="00F30B77"/>
    <w:rsid w:val="00F31637"/>
    <w:rsid w:val="00F32C87"/>
    <w:rsid w:val="00F332AB"/>
    <w:rsid w:val="00F33F48"/>
    <w:rsid w:val="00F348C3"/>
    <w:rsid w:val="00F34B68"/>
    <w:rsid w:val="00F36D46"/>
    <w:rsid w:val="00F401D8"/>
    <w:rsid w:val="00F40436"/>
    <w:rsid w:val="00F40EB9"/>
    <w:rsid w:val="00F415BE"/>
    <w:rsid w:val="00F416D1"/>
    <w:rsid w:val="00F417E5"/>
    <w:rsid w:val="00F42AAE"/>
    <w:rsid w:val="00F43384"/>
    <w:rsid w:val="00F443B5"/>
    <w:rsid w:val="00F445E3"/>
    <w:rsid w:val="00F44977"/>
    <w:rsid w:val="00F45646"/>
    <w:rsid w:val="00F461AE"/>
    <w:rsid w:val="00F478A8"/>
    <w:rsid w:val="00F505E8"/>
    <w:rsid w:val="00F52C89"/>
    <w:rsid w:val="00F538C9"/>
    <w:rsid w:val="00F55101"/>
    <w:rsid w:val="00F56426"/>
    <w:rsid w:val="00F57BA2"/>
    <w:rsid w:val="00F601EC"/>
    <w:rsid w:val="00F64B02"/>
    <w:rsid w:val="00F70857"/>
    <w:rsid w:val="00F70A7A"/>
    <w:rsid w:val="00F710ED"/>
    <w:rsid w:val="00F74B34"/>
    <w:rsid w:val="00F75044"/>
    <w:rsid w:val="00F757BD"/>
    <w:rsid w:val="00F7693F"/>
    <w:rsid w:val="00F76DED"/>
    <w:rsid w:val="00F77D43"/>
    <w:rsid w:val="00F81D5B"/>
    <w:rsid w:val="00F826B4"/>
    <w:rsid w:val="00F84279"/>
    <w:rsid w:val="00F860CA"/>
    <w:rsid w:val="00F91EFF"/>
    <w:rsid w:val="00F92FCA"/>
    <w:rsid w:val="00F930CA"/>
    <w:rsid w:val="00F9440C"/>
    <w:rsid w:val="00F969AC"/>
    <w:rsid w:val="00F974DD"/>
    <w:rsid w:val="00FA33B8"/>
    <w:rsid w:val="00FA3DCE"/>
    <w:rsid w:val="00FA4F26"/>
    <w:rsid w:val="00FA6A5B"/>
    <w:rsid w:val="00FB170F"/>
    <w:rsid w:val="00FB1CD4"/>
    <w:rsid w:val="00FB2A93"/>
    <w:rsid w:val="00FB66EE"/>
    <w:rsid w:val="00FB7EBE"/>
    <w:rsid w:val="00FC04A7"/>
    <w:rsid w:val="00FC3033"/>
    <w:rsid w:val="00FC51CB"/>
    <w:rsid w:val="00FC6962"/>
    <w:rsid w:val="00FCB9F9"/>
    <w:rsid w:val="00FD063C"/>
    <w:rsid w:val="00FD0C1F"/>
    <w:rsid w:val="00FD230B"/>
    <w:rsid w:val="00FD3D13"/>
    <w:rsid w:val="00FD4122"/>
    <w:rsid w:val="00FD5CC9"/>
    <w:rsid w:val="00FD6781"/>
    <w:rsid w:val="00FD7137"/>
    <w:rsid w:val="00FD79F5"/>
    <w:rsid w:val="00FE05E9"/>
    <w:rsid w:val="00FE0CB0"/>
    <w:rsid w:val="00FE0F69"/>
    <w:rsid w:val="00FE18F6"/>
    <w:rsid w:val="00FE1BE9"/>
    <w:rsid w:val="00FE22D8"/>
    <w:rsid w:val="00FE2739"/>
    <w:rsid w:val="00FE2EA3"/>
    <w:rsid w:val="00FE3C17"/>
    <w:rsid w:val="00FE49A0"/>
    <w:rsid w:val="00FE5BA1"/>
    <w:rsid w:val="00FE61EB"/>
    <w:rsid w:val="00FE6775"/>
    <w:rsid w:val="00FE6B06"/>
    <w:rsid w:val="00FE764A"/>
    <w:rsid w:val="00FE7DB1"/>
    <w:rsid w:val="00FF2852"/>
    <w:rsid w:val="00FF3B05"/>
    <w:rsid w:val="00FF405C"/>
    <w:rsid w:val="00FF5084"/>
    <w:rsid w:val="00FF771A"/>
    <w:rsid w:val="00FF7FBB"/>
    <w:rsid w:val="010047E9"/>
    <w:rsid w:val="0133C4DC"/>
    <w:rsid w:val="01397DD3"/>
    <w:rsid w:val="015ACC4A"/>
    <w:rsid w:val="0187AD94"/>
    <w:rsid w:val="01EC11B2"/>
    <w:rsid w:val="0218A112"/>
    <w:rsid w:val="029885C7"/>
    <w:rsid w:val="02B573C6"/>
    <w:rsid w:val="02CF59E7"/>
    <w:rsid w:val="02D54E34"/>
    <w:rsid w:val="0300E716"/>
    <w:rsid w:val="03045BDA"/>
    <w:rsid w:val="0437E8AB"/>
    <w:rsid w:val="04405187"/>
    <w:rsid w:val="04436217"/>
    <w:rsid w:val="046B2A48"/>
    <w:rsid w:val="04790C1B"/>
    <w:rsid w:val="048B2121"/>
    <w:rsid w:val="04A023F1"/>
    <w:rsid w:val="04BEEBF7"/>
    <w:rsid w:val="04D10B8D"/>
    <w:rsid w:val="04D8E5B4"/>
    <w:rsid w:val="04E5B7AE"/>
    <w:rsid w:val="050399AB"/>
    <w:rsid w:val="055041D4"/>
    <w:rsid w:val="055FCB62"/>
    <w:rsid w:val="058844C9"/>
    <w:rsid w:val="05A3D6D8"/>
    <w:rsid w:val="06758981"/>
    <w:rsid w:val="06B74886"/>
    <w:rsid w:val="070379EB"/>
    <w:rsid w:val="075996C9"/>
    <w:rsid w:val="077B02D9"/>
    <w:rsid w:val="0783289A"/>
    <w:rsid w:val="078A4F17"/>
    <w:rsid w:val="07A2CB0A"/>
    <w:rsid w:val="084300DF"/>
    <w:rsid w:val="086A2D99"/>
    <w:rsid w:val="08F73CFF"/>
    <w:rsid w:val="09073456"/>
    <w:rsid w:val="0921C552"/>
    <w:rsid w:val="0926C64E"/>
    <w:rsid w:val="09517192"/>
    <w:rsid w:val="09E3126C"/>
    <w:rsid w:val="09F1439D"/>
    <w:rsid w:val="0A0BEC5B"/>
    <w:rsid w:val="0A13AE14"/>
    <w:rsid w:val="0A2E7B8D"/>
    <w:rsid w:val="0A2F2045"/>
    <w:rsid w:val="0A66B8E0"/>
    <w:rsid w:val="0AC55A6E"/>
    <w:rsid w:val="0ADA6BCC"/>
    <w:rsid w:val="0AFD489C"/>
    <w:rsid w:val="0B1B92EF"/>
    <w:rsid w:val="0BE64DF4"/>
    <w:rsid w:val="0C383393"/>
    <w:rsid w:val="0C53EDBD"/>
    <w:rsid w:val="0C638542"/>
    <w:rsid w:val="0C7DD8BB"/>
    <w:rsid w:val="0C841E00"/>
    <w:rsid w:val="0CA5B48A"/>
    <w:rsid w:val="0CDC2900"/>
    <w:rsid w:val="0CF0C97A"/>
    <w:rsid w:val="0CF58333"/>
    <w:rsid w:val="0D04CA70"/>
    <w:rsid w:val="0D215AF7"/>
    <w:rsid w:val="0D4094B7"/>
    <w:rsid w:val="0D4D7D79"/>
    <w:rsid w:val="0D60B2DA"/>
    <w:rsid w:val="0D809378"/>
    <w:rsid w:val="0DA2254D"/>
    <w:rsid w:val="0E004F31"/>
    <w:rsid w:val="0E043971"/>
    <w:rsid w:val="0E1FEE61"/>
    <w:rsid w:val="0E2C2B75"/>
    <w:rsid w:val="0E4F0F52"/>
    <w:rsid w:val="0E8C99DB"/>
    <w:rsid w:val="0EAA0E46"/>
    <w:rsid w:val="0EBBB5D2"/>
    <w:rsid w:val="0EDC6518"/>
    <w:rsid w:val="0F0A2D94"/>
    <w:rsid w:val="0F32413D"/>
    <w:rsid w:val="0F5A76E5"/>
    <w:rsid w:val="0FBBBEC2"/>
    <w:rsid w:val="0FC66D8E"/>
    <w:rsid w:val="1098AF83"/>
    <w:rsid w:val="10A63BA3"/>
    <w:rsid w:val="10BAC83F"/>
    <w:rsid w:val="10D15C97"/>
    <w:rsid w:val="10DE7421"/>
    <w:rsid w:val="10F855D9"/>
    <w:rsid w:val="114CF408"/>
    <w:rsid w:val="11778988"/>
    <w:rsid w:val="1217A81D"/>
    <w:rsid w:val="1235F77C"/>
    <w:rsid w:val="1294263A"/>
    <w:rsid w:val="12CF0623"/>
    <w:rsid w:val="13797ABA"/>
    <w:rsid w:val="1382C7CF"/>
    <w:rsid w:val="13F4FEA5"/>
    <w:rsid w:val="13F60814"/>
    <w:rsid w:val="14400757"/>
    <w:rsid w:val="148F2FE5"/>
    <w:rsid w:val="14DE2667"/>
    <w:rsid w:val="15009518"/>
    <w:rsid w:val="1572B7E4"/>
    <w:rsid w:val="15EC9DB0"/>
    <w:rsid w:val="16056996"/>
    <w:rsid w:val="160E3D2D"/>
    <w:rsid w:val="1644FDF1"/>
    <w:rsid w:val="1647CC42"/>
    <w:rsid w:val="167AAD8B"/>
    <w:rsid w:val="169EC1DD"/>
    <w:rsid w:val="16AD4848"/>
    <w:rsid w:val="16EA8F33"/>
    <w:rsid w:val="172CEFD5"/>
    <w:rsid w:val="172FDF36"/>
    <w:rsid w:val="1742E5B7"/>
    <w:rsid w:val="1755F046"/>
    <w:rsid w:val="17759A1D"/>
    <w:rsid w:val="17D97AE5"/>
    <w:rsid w:val="17F21CB3"/>
    <w:rsid w:val="188E912A"/>
    <w:rsid w:val="18960633"/>
    <w:rsid w:val="18A5F3E6"/>
    <w:rsid w:val="194243BD"/>
    <w:rsid w:val="1945DDEF"/>
    <w:rsid w:val="198706A7"/>
    <w:rsid w:val="198DED14"/>
    <w:rsid w:val="1A40BEAF"/>
    <w:rsid w:val="1A5E647D"/>
    <w:rsid w:val="1A677FF8"/>
    <w:rsid w:val="1A74D4EB"/>
    <w:rsid w:val="1A91A67E"/>
    <w:rsid w:val="1AA1620D"/>
    <w:rsid w:val="1AC2B6E4"/>
    <w:rsid w:val="1B3092E0"/>
    <w:rsid w:val="1B91A944"/>
    <w:rsid w:val="1BFBDC42"/>
    <w:rsid w:val="1C02D467"/>
    <w:rsid w:val="1C0F9844"/>
    <w:rsid w:val="1C8A07EE"/>
    <w:rsid w:val="1CB04D4B"/>
    <w:rsid w:val="1CB7CA97"/>
    <w:rsid w:val="1D0CEC42"/>
    <w:rsid w:val="1D2B0B1A"/>
    <w:rsid w:val="1D9F20BA"/>
    <w:rsid w:val="1DA93233"/>
    <w:rsid w:val="1DB240CD"/>
    <w:rsid w:val="1DCDC140"/>
    <w:rsid w:val="1DF57320"/>
    <w:rsid w:val="1DF8D113"/>
    <w:rsid w:val="1E3C67CB"/>
    <w:rsid w:val="1E539AF8"/>
    <w:rsid w:val="1EAAC1B6"/>
    <w:rsid w:val="1EC94A06"/>
    <w:rsid w:val="1EF0A8EA"/>
    <w:rsid w:val="1F035B81"/>
    <w:rsid w:val="1F3AF11B"/>
    <w:rsid w:val="1F68AC33"/>
    <w:rsid w:val="1FEF6B59"/>
    <w:rsid w:val="1FF937F7"/>
    <w:rsid w:val="2015A3CA"/>
    <w:rsid w:val="20274D06"/>
    <w:rsid w:val="203C1C48"/>
    <w:rsid w:val="205748E7"/>
    <w:rsid w:val="20883CC1"/>
    <w:rsid w:val="208ED2D4"/>
    <w:rsid w:val="20D6458A"/>
    <w:rsid w:val="213D4C17"/>
    <w:rsid w:val="213EA90D"/>
    <w:rsid w:val="2147786B"/>
    <w:rsid w:val="216401B1"/>
    <w:rsid w:val="2174088D"/>
    <w:rsid w:val="217A18FA"/>
    <w:rsid w:val="217C17F6"/>
    <w:rsid w:val="219FD5B4"/>
    <w:rsid w:val="21C31D67"/>
    <w:rsid w:val="21D15845"/>
    <w:rsid w:val="2265F20E"/>
    <w:rsid w:val="22710E7C"/>
    <w:rsid w:val="22CDE4FD"/>
    <w:rsid w:val="22E9621E"/>
    <w:rsid w:val="2302F743"/>
    <w:rsid w:val="23147329"/>
    <w:rsid w:val="235EEDC8"/>
    <w:rsid w:val="2373BD0A"/>
    <w:rsid w:val="23DDC202"/>
    <w:rsid w:val="240DE64C"/>
    <w:rsid w:val="24363F1B"/>
    <w:rsid w:val="243EBCD7"/>
    <w:rsid w:val="24566E9B"/>
    <w:rsid w:val="249EC7A4"/>
    <w:rsid w:val="24DA06FD"/>
    <w:rsid w:val="251ED6C2"/>
    <w:rsid w:val="252AAE06"/>
    <w:rsid w:val="25D8D325"/>
    <w:rsid w:val="261002FB"/>
    <w:rsid w:val="263A9805"/>
    <w:rsid w:val="26BA76C9"/>
    <w:rsid w:val="2737E2A4"/>
    <w:rsid w:val="274E7508"/>
    <w:rsid w:val="27D66866"/>
    <w:rsid w:val="27F6098E"/>
    <w:rsid w:val="281A499F"/>
    <w:rsid w:val="281A7773"/>
    <w:rsid w:val="284CCC74"/>
    <w:rsid w:val="28E1576F"/>
    <w:rsid w:val="294ED15F"/>
    <w:rsid w:val="2970ECAC"/>
    <w:rsid w:val="2992B584"/>
    <w:rsid w:val="2A03516C"/>
    <w:rsid w:val="2A30E974"/>
    <w:rsid w:val="2A34356A"/>
    <w:rsid w:val="2A535F68"/>
    <w:rsid w:val="2A74E444"/>
    <w:rsid w:val="2A7D27D0"/>
    <w:rsid w:val="2AA5809F"/>
    <w:rsid w:val="2AD48D46"/>
    <w:rsid w:val="2ADFB93D"/>
    <w:rsid w:val="2AE0E468"/>
    <w:rsid w:val="2B1D1929"/>
    <w:rsid w:val="2B56EBB3"/>
    <w:rsid w:val="2BA1539C"/>
    <w:rsid w:val="2BA3DAFD"/>
    <w:rsid w:val="2C10B4A5"/>
    <w:rsid w:val="2C18F831"/>
    <w:rsid w:val="2C3EAB38"/>
    <w:rsid w:val="2C6726D2"/>
    <w:rsid w:val="2C72CC73"/>
    <w:rsid w:val="2CA9D989"/>
    <w:rsid w:val="2CBF3010"/>
    <w:rsid w:val="2D5D43AC"/>
    <w:rsid w:val="2D9274B1"/>
    <w:rsid w:val="2DB4C892"/>
    <w:rsid w:val="2DC8ECF0"/>
    <w:rsid w:val="2DDE5C22"/>
    <w:rsid w:val="2E18852A"/>
    <w:rsid w:val="2E6A2369"/>
    <w:rsid w:val="2E6ACDF9"/>
    <w:rsid w:val="2EC8F6CE"/>
    <w:rsid w:val="2EFC47BB"/>
    <w:rsid w:val="2F129C82"/>
    <w:rsid w:val="2F395CA6"/>
    <w:rsid w:val="30157D58"/>
    <w:rsid w:val="30B7EC2F"/>
    <w:rsid w:val="30F4D2CC"/>
    <w:rsid w:val="312D75F6"/>
    <w:rsid w:val="31717202"/>
    <w:rsid w:val="31A023B6"/>
    <w:rsid w:val="31B14DB9"/>
    <w:rsid w:val="31D37964"/>
    <w:rsid w:val="320ABC00"/>
    <w:rsid w:val="32A70D3F"/>
    <w:rsid w:val="32C97C79"/>
    <w:rsid w:val="32D232E4"/>
    <w:rsid w:val="3308B318"/>
    <w:rsid w:val="338F9BC0"/>
    <w:rsid w:val="340A2FB6"/>
    <w:rsid w:val="345650D7"/>
    <w:rsid w:val="34586319"/>
    <w:rsid w:val="345F982E"/>
    <w:rsid w:val="34648390"/>
    <w:rsid w:val="346E0345"/>
    <w:rsid w:val="348D733F"/>
    <w:rsid w:val="34D3329F"/>
    <w:rsid w:val="3508001E"/>
    <w:rsid w:val="350CBE05"/>
    <w:rsid w:val="3523DB60"/>
    <w:rsid w:val="354187D7"/>
    <w:rsid w:val="356B7172"/>
    <w:rsid w:val="35B062F6"/>
    <w:rsid w:val="35CEA46E"/>
    <w:rsid w:val="35DA95F5"/>
    <w:rsid w:val="35DC4594"/>
    <w:rsid w:val="35F6E475"/>
    <w:rsid w:val="35FA6B00"/>
    <w:rsid w:val="362C2E51"/>
    <w:rsid w:val="365A3FBE"/>
    <w:rsid w:val="366718E9"/>
    <w:rsid w:val="36762AE7"/>
    <w:rsid w:val="36945801"/>
    <w:rsid w:val="36CF9272"/>
    <w:rsid w:val="36D3F05E"/>
    <w:rsid w:val="36DF8429"/>
    <w:rsid w:val="36ED6850"/>
    <w:rsid w:val="370F50E0"/>
    <w:rsid w:val="37209153"/>
    <w:rsid w:val="3728AEBA"/>
    <w:rsid w:val="372BEE23"/>
    <w:rsid w:val="38096ACA"/>
    <w:rsid w:val="38177E73"/>
    <w:rsid w:val="383B6F72"/>
    <w:rsid w:val="387B548A"/>
    <w:rsid w:val="38A31234"/>
    <w:rsid w:val="38A57014"/>
    <w:rsid w:val="38DA18DE"/>
    <w:rsid w:val="3902BBF1"/>
    <w:rsid w:val="39424BD1"/>
    <w:rsid w:val="3984CF34"/>
    <w:rsid w:val="39A40E9A"/>
    <w:rsid w:val="39C01D38"/>
    <w:rsid w:val="39D73FD3"/>
    <w:rsid w:val="39F0583D"/>
    <w:rsid w:val="3A04CDB1"/>
    <w:rsid w:val="3A2DBDA3"/>
    <w:rsid w:val="3A7F6031"/>
    <w:rsid w:val="3AE5F6E4"/>
    <w:rsid w:val="3AFD438D"/>
    <w:rsid w:val="3B1EB3ED"/>
    <w:rsid w:val="3B59C2FF"/>
    <w:rsid w:val="3BC98E04"/>
    <w:rsid w:val="3BCDBAF6"/>
    <w:rsid w:val="3C061A4A"/>
    <w:rsid w:val="3C17D8FD"/>
    <w:rsid w:val="3CC5E279"/>
    <w:rsid w:val="3D1332A0"/>
    <w:rsid w:val="3D224121"/>
    <w:rsid w:val="3DB362C4"/>
    <w:rsid w:val="3DED5217"/>
    <w:rsid w:val="3E07EB14"/>
    <w:rsid w:val="3E1F4CC3"/>
    <w:rsid w:val="3E5533D5"/>
    <w:rsid w:val="3E6E6BFD"/>
    <w:rsid w:val="3E764F88"/>
    <w:rsid w:val="3ECDDFC1"/>
    <w:rsid w:val="3ED27AE7"/>
    <w:rsid w:val="3F20B9BC"/>
    <w:rsid w:val="3F3F58F3"/>
    <w:rsid w:val="3F6085AC"/>
    <w:rsid w:val="3F6AB15B"/>
    <w:rsid w:val="3FAC4E78"/>
    <w:rsid w:val="3FB18D55"/>
    <w:rsid w:val="3FBB1D24"/>
    <w:rsid w:val="3FE6C6E4"/>
    <w:rsid w:val="4013D0FA"/>
    <w:rsid w:val="403284F4"/>
    <w:rsid w:val="40415753"/>
    <w:rsid w:val="40DB2954"/>
    <w:rsid w:val="41158AC0"/>
    <w:rsid w:val="4134F20D"/>
    <w:rsid w:val="415E1F0D"/>
    <w:rsid w:val="417AD466"/>
    <w:rsid w:val="418529AE"/>
    <w:rsid w:val="41A2EE78"/>
    <w:rsid w:val="41BEAABB"/>
    <w:rsid w:val="41CE5555"/>
    <w:rsid w:val="4262B91E"/>
    <w:rsid w:val="42A10265"/>
    <w:rsid w:val="42B87841"/>
    <w:rsid w:val="42C2A190"/>
    <w:rsid w:val="42C84E1D"/>
    <w:rsid w:val="4307AC99"/>
    <w:rsid w:val="43247BE0"/>
    <w:rsid w:val="436B28C5"/>
    <w:rsid w:val="437BFDCD"/>
    <w:rsid w:val="43922D43"/>
    <w:rsid w:val="43CD517D"/>
    <w:rsid w:val="43F899D8"/>
    <w:rsid w:val="4465339D"/>
    <w:rsid w:val="4471E50C"/>
    <w:rsid w:val="4495BFCF"/>
    <w:rsid w:val="4499D0B7"/>
    <w:rsid w:val="44B1D3DA"/>
    <w:rsid w:val="44C1D54F"/>
    <w:rsid w:val="4578850E"/>
    <w:rsid w:val="457C98C5"/>
    <w:rsid w:val="457DEB02"/>
    <w:rsid w:val="45D61549"/>
    <w:rsid w:val="45E9D35B"/>
    <w:rsid w:val="462D4F04"/>
    <w:rsid w:val="468E4051"/>
    <w:rsid w:val="472BA1B1"/>
    <w:rsid w:val="4738D487"/>
    <w:rsid w:val="475FE1C8"/>
    <w:rsid w:val="478ED663"/>
    <w:rsid w:val="47ADAD6A"/>
    <w:rsid w:val="47AE0E69"/>
    <w:rsid w:val="484C6938"/>
    <w:rsid w:val="48853981"/>
    <w:rsid w:val="48998D29"/>
    <w:rsid w:val="48B025D0"/>
    <w:rsid w:val="48E83B5A"/>
    <w:rsid w:val="48F956FE"/>
    <w:rsid w:val="491F2509"/>
    <w:rsid w:val="495B3007"/>
    <w:rsid w:val="49659188"/>
    <w:rsid w:val="49853B47"/>
    <w:rsid w:val="4990B4B3"/>
    <w:rsid w:val="49AF56D1"/>
    <w:rsid w:val="49D48B53"/>
    <w:rsid w:val="4A28B313"/>
    <w:rsid w:val="4A791AF1"/>
    <w:rsid w:val="4A93FA8F"/>
    <w:rsid w:val="4A95F98B"/>
    <w:rsid w:val="4AB9C58C"/>
    <w:rsid w:val="4B33142D"/>
    <w:rsid w:val="4B448574"/>
    <w:rsid w:val="4B66A79F"/>
    <w:rsid w:val="4B69ED1E"/>
    <w:rsid w:val="4B705BB4"/>
    <w:rsid w:val="4B8409FA"/>
    <w:rsid w:val="4BE7C692"/>
    <w:rsid w:val="4C31C9EC"/>
    <w:rsid w:val="4C5E7F59"/>
    <w:rsid w:val="4C742DAE"/>
    <w:rsid w:val="4C7EC993"/>
    <w:rsid w:val="4C8C8488"/>
    <w:rsid w:val="4CBA1E1A"/>
    <w:rsid w:val="4CF01DA6"/>
    <w:rsid w:val="4CFC6793"/>
    <w:rsid w:val="4D0C2C15"/>
    <w:rsid w:val="4D1FDA5B"/>
    <w:rsid w:val="4D799F6D"/>
    <w:rsid w:val="4D836FB5"/>
    <w:rsid w:val="4D9B6EEB"/>
    <w:rsid w:val="4DA2703C"/>
    <w:rsid w:val="4DCD9A4D"/>
    <w:rsid w:val="4E1B2FCA"/>
    <w:rsid w:val="4E2854E9"/>
    <w:rsid w:val="4E3D192C"/>
    <w:rsid w:val="4E3F840D"/>
    <w:rsid w:val="4E9837F4"/>
    <w:rsid w:val="4EA646F7"/>
    <w:rsid w:val="4ED5D9D0"/>
    <w:rsid w:val="4F1F6754"/>
    <w:rsid w:val="4F74C52D"/>
    <w:rsid w:val="5003CF81"/>
    <w:rsid w:val="5022903E"/>
    <w:rsid w:val="50549466"/>
    <w:rsid w:val="507DAB11"/>
    <w:rsid w:val="508E851B"/>
    <w:rsid w:val="50C729DB"/>
    <w:rsid w:val="51033C13"/>
    <w:rsid w:val="515D9D26"/>
    <w:rsid w:val="51846C11"/>
    <w:rsid w:val="51B2F757"/>
    <w:rsid w:val="51CA9EBF"/>
    <w:rsid w:val="51D9711E"/>
    <w:rsid w:val="522A557C"/>
    <w:rsid w:val="52690159"/>
    <w:rsid w:val="527D389B"/>
    <w:rsid w:val="52C92B4F"/>
    <w:rsid w:val="52C9747C"/>
    <w:rsid w:val="52F76539"/>
    <w:rsid w:val="531F688F"/>
    <w:rsid w:val="5321DDD3"/>
    <w:rsid w:val="533414C9"/>
    <w:rsid w:val="533D2C3E"/>
    <w:rsid w:val="536DAFF6"/>
    <w:rsid w:val="53B54BD3"/>
    <w:rsid w:val="53C55C28"/>
    <w:rsid w:val="53F6DE2B"/>
    <w:rsid w:val="5416C423"/>
    <w:rsid w:val="5457BDDE"/>
    <w:rsid w:val="5464FBB0"/>
    <w:rsid w:val="548D4C0C"/>
    <w:rsid w:val="54B2F572"/>
    <w:rsid w:val="55006205"/>
    <w:rsid w:val="550D993C"/>
    <w:rsid w:val="551700D7"/>
    <w:rsid w:val="55511C34"/>
    <w:rsid w:val="555B3295"/>
    <w:rsid w:val="55707DFB"/>
    <w:rsid w:val="557A7691"/>
    <w:rsid w:val="55F38E3F"/>
    <w:rsid w:val="5600CC11"/>
    <w:rsid w:val="566BB58B"/>
    <w:rsid w:val="567A3EE8"/>
    <w:rsid w:val="56A95A46"/>
    <w:rsid w:val="56E3CE6B"/>
    <w:rsid w:val="56ECEC95"/>
    <w:rsid w:val="570C4E5C"/>
    <w:rsid w:val="5731E33A"/>
    <w:rsid w:val="5750A160"/>
    <w:rsid w:val="5812F5A2"/>
    <w:rsid w:val="582789C3"/>
    <w:rsid w:val="583CF20D"/>
    <w:rsid w:val="5851522B"/>
    <w:rsid w:val="58783AF6"/>
    <w:rsid w:val="58CFD37E"/>
    <w:rsid w:val="5902EE5C"/>
    <w:rsid w:val="592B2F01"/>
    <w:rsid w:val="59AEC603"/>
    <w:rsid w:val="59C35A24"/>
    <w:rsid w:val="59CD1D6F"/>
    <w:rsid w:val="59DC8281"/>
    <w:rsid w:val="59DD9DB4"/>
    <w:rsid w:val="5A492DFB"/>
    <w:rsid w:val="5A52BDCA"/>
    <w:rsid w:val="5AC3728C"/>
    <w:rsid w:val="5AFEB5E1"/>
    <w:rsid w:val="5B04A356"/>
    <w:rsid w:val="5B1FAB49"/>
    <w:rsid w:val="5B5F2A85"/>
    <w:rsid w:val="5B96FDCE"/>
    <w:rsid w:val="5BA8AA1D"/>
    <w:rsid w:val="5BBA24EF"/>
    <w:rsid w:val="5BCA7419"/>
    <w:rsid w:val="5BD5530B"/>
    <w:rsid w:val="5BF17E87"/>
    <w:rsid w:val="5C32FCA2"/>
    <w:rsid w:val="5C465070"/>
    <w:rsid w:val="5C47EF5F"/>
    <w:rsid w:val="5C63681D"/>
    <w:rsid w:val="5C738B9B"/>
    <w:rsid w:val="5CB65B80"/>
    <w:rsid w:val="5CCE6A31"/>
    <w:rsid w:val="5CFAFAE6"/>
    <w:rsid w:val="5D05A9B2"/>
    <w:rsid w:val="5D66447A"/>
    <w:rsid w:val="5D8D4EE8"/>
    <w:rsid w:val="5DCF4951"/>
    <w:rsid w:val="5DFF387E"/>
    <w:rsid w:val="5E4B2A33"/>
    <w:rsid w:val="5E733834"/>
    <w:rsid w:val="5ED19438"/>
    <w:rsid w:val="5EFFB4FC"/>
    <w:rsid w:val="5F0504D8"/>
    <w:rsid w:val="5F2B9ABC"/>
    <w:rsid w:val="5F798ADB"/>
    <w:rsid w:val="5F89F92C"/>
    <w:rsid w:val="5F9B08DF"/>
    <w:rsid w:val="5FA26339"/>
    <w:rsid w:val="5FC7D915"/>
    <w:rsid w:val="603BB1AA"/>
    <w:rsid w:val="60517E42"/>
    <w:rsid w:val="605C99EF"/>
    <w:rsid w:val="6094AE3C"/>
    <w:rsid w:val="60C1E3BD"/>
    <w:rsid w:val="60C23A81"/>
    <w:rsid w:val="60F9CC7E"/>
    <w:rsid w:val="6175739B"/>
    <w:rsid w:val="61A9C772"/>
    <w:rsid w:val="61C3D0EE"/>
    <w:rsid w:val="61F3FA73"/>
    <w:rsid w:val="621F3A11"/>
    <w:rsid w:val="622A48BD"/>
    <w:rsid w:val="6239B59D"/>
    <w:rsid w:val="6239B6D6"/>
    <w:rsid w:val="6240B363"/>
    <w:rsid w:val="6250DB83"/>
    <w:rsid w:val="639352CF"/>
    <w:rsid w:val="63CE7468"/>
    <w:rsid w:val="645C06D9"/>
    <w:rsid w:val="646D87E9"/>
    <w:rsid w:val="64925D3F"/>
    <w:rsid w:val="64A60A33"/>
    <w:rsid w:val="64A8330E"/>
    <w:rsid w:val="6515A0C4"/>
    <w:rsid w:val="6526DFB6"/>
    <w:rsid w:val="652B9B35"/>
    <w:rsid w:val="652F2330"/>
    <w:rsid w:val="6538ABA8"/>
    <w:rsid w:val="6589770A"/>
    <w:rsid w:val="65F2C54D"/>
    <w:rsid w:val="66119F8F"/>
    <w:rsid w:val="666ACCEF"/>
    <w:rsid w:val="67187479"/>
    <w:rsid w:val="6796242B"/>
    <w:rsid w:val="67B05A2D"/>
    <w:rsid w:val="67B77B01"/>
    <w:rsid w:val="67FE5085"/>
    <w:rsid w:val="68EA0DC5"/>
    <w:rsid w:val="68FBC67C"/>
    <w:rsid w:val="691764D0"/>
    <w:rsid w:val="6920D838"/>
    <w:rsid w:val="695C6897"/>
    <w:rsid w:val="697BA431"/>
    <w:rsid w:val="69C8F9F0"/>
    <w:rsid w:val="69FACC65"/>
    <w:rsid w:val="6A292B33"/>
    <w:rsid w:val="6A6E2B08"/>
    <w:rsid w:val="6A70CF1A"/>
    <w:rsid w:val="6A7F6873"/>
    <w:rsid w:val="6A990CDB"/>
    <w:rsid w:val="6A9FE0BB"/>
    <w:rsid w:val="6AAA9E46"/>
    <w:rsid w:val="6B0DA0D1"/>
    <w:rsid w:val="6B56DE0F"/>
    <w:rsid w:val="6B57A66E"/>
    <w:rsid w:val="6B754E4F"/>
    <w:rsid w:val="6BDF9031"/>
    <w:rsid w:val="6BEE6F32"/>
    <w:rsid w:val="6C030FAC"/>
    <w:rsid w:val="6C23FFCE"/>
    <w:rsid w:val="6C2A2C2D"/>
    <w:rsid w:val="6C5B2F6F"/>
    <w:rsid w:val="6C8100C7"/>
    <w:rsid w:val="6C924721"/>
    <w:rsid w:val="6CE36232"/>
    <w:rsid w:val="6D111EB0"/>
    <w:rsid w:val="6D2D5395"/>
    <w:rsid w:val="6D2E8BFD"/>
    <w:rsid w:val="6D3BC459"/>
    <w:rsid w:val="6D3C6ABC"/>
    <w:rsid w:val="6D766F1B"/>
    <w:rsid w:val="6D77DF48"/>
    <w:rsid w:val="6D98FA4B"/>
    <w:rsid w:val="6DCBB56F"/>
    <w:rsid w:val="6E305642"/>
    <w:rsid w:val="6E43ECE9"/>
    <w:rsid w:val="6E702C70"/>
    <w:rsid w:val="6ED3D0C2"/>
    <w:rsid w:val="6F4FF616"/>
    <w:rsid w:val="6F92D031"/>
    <w:rsid w:val="6F970272"/>
    <w:rsid w:val="6F9C8977"/>
    <w:rsid w:val="6FAD07F3"/>
    <w:rsid w:val="6FB1520F"/>
    <w:rsid w:val="7036BF87"/>
    <w:rsid w:val="705B5BC4"/>
    <w:rsid w:val="707AD21D"/>
    <w:rsid w:val="70E0109E"/>
    <w:rsid w:val="71004908"/>
    <w:rsid w:val="717ECB3D"/>
    <w:rsid w:val="7191308D"/>
    <w:rsid w:val="71EAE573"/>
    <w:rsid w:val="725DE28C"/>
    <w:rsid w:val="727BF99C"/>
    <w:rsid w:val="72B3AE2F"/>
    <w:rsid w:val="72C41EBD"/>
    <w:rsid w:val="72E8964A"/>
    <w:rsid w:val="73EA99F0"/>
    <w:rsid w:val="73F5EF6C"/>
    <w:rsid w:val="742F7FDC"/>
    <w:rsid w:val="7434D51C"/>
    <w:rsid w:val="744F7E90"/>
    <w:rsid w:val="746D44EC"/>
    <w:rsid w:val="7495A803"/>
    <w:rsid w:val="74982C6C"/>
    <w:rsid w:val="74A3753D"/>
    <w:rsid w:val="74AD1C01"/>
    <w:rsid w:val="74AF398B"/>
    <w:rsid w:val="74AF3D6E"/>
    <w:rsid w:val="74C53906"/>
    <w:rsid w:val="74EB0F80"/>
    <w:rsid w:val="74F5A0E0"/>
    <w:rsid w:val="751D7F8F"/>
    <w:rsid w:val="755BF4FB"/>
    <w:rsid w:val="75BA0751"/>
    <w:rsid w:val="75CB6EEC"/>
    <w:rsid w:val="760EBAB0"/>
    <w:rsid w:val="76161A60"/>
    <w:rsid w:val="766E23A2"/>
    <w:rsid w:val="76CACAEE"/>
    <w:rsid w:val="7706BECF"/>
    <w:rsid w:val="771A629C"/>
    <w:rsid w:val="7739CD0C"/>
    <w:rsid w:val="7749F082"/>
    <w:rsid w:val="7759589E"/>
    <w:rsid w:val="7778369E"/>
    <w:rsid w:val="77BC63F4"/>
    <w:rsid w:val="77C676ED"/>
    <w:rsid w:val="77ED131E"/>
    <w:rsid w:val="77FDE520"/>
    <w:rsid w:val="7837925F"/>
    <w:rsid w:val="78992165"/>
    <w:rsid w:val="78ADB378"/>
    <w:rsid w:val="78B3C9DD"/>
    <w:rsid w:val="78DD53CD"/>
    <w:rsid w:val="78F1B9A5"/>
    <w:rsid w:val="79251E56"/>
    <w:rsid w:val="796D5665"/>
    <w:rsid w:val="799C5EDD"/>
    <w:rsid w:val="79C2AAF4"/>
    <w:rsid w:val="79D8507B"/>
    <w:rsid w:val="79ECF423"/>
    <w:rsid w:val="7A2C1536"/>
    <w:rsid w:val="7A32A985"/>
    <w:rsid w:val="7A38E95F"/>
    <w:rsid w:val="7A4F9A3E"/>
    <w:rsid w:val="7A79242E"/>
    <w:rsid w:val="7ABC3746"/>
    <w:rsid w:val="7AEE33FB"/>
    <w:rsid w:val="7B1C5D85"/>
    <w:rsid w:val="7B342655"/>
    <w:rsid w:val="7BD21178"/>
    <w:rsid w:val="7BEB6A9F"/>
    <w:rsid w:val="7BF8D5A3"/>
    <w:rsid w:val="7C4C499A"/>
    <w:rsid w:val="7C92C639"/>
    <w:rsid w:val="7C954F2E"/>
    <w:rsid w:val="7CB166EC"/>
    <w:rsid w:val="7CCEDD22"/>
    <w:rsid w:val="7CE3147D"/>
    <w:rsid w:val="7CE48B8C"/>
    <w:rsid w:val="7D6A69A7"/>
    <w:rsid w:val="7D86D0F3"/>
    <w:rsid w:val="7DA452E3"/>
    <w:rsid w:val="7DA7FDC4"/>
    <w:rsid w:val="7DF6B48F"/>
    <w:rsid w:val="7E2BEF94"/>
    <w:rsid w:val="7E52A603"/>
    <w:rsid w:val="7E95B479"/>
    <w:rsid w:val="7ECD667B"/>
    <w:rsid w:val="7F1FA5BB"/>
    <w:rsid w:val="7F239011"/>
    <w:rsid w:val="7F312AC7"/>
    <w:rsid w:val="7F4F15C2"/>
    <w:rsid w:val="7FC0EE59"/>
    <w:rsid w:val="7FE8A8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ECD667B"/>
  <w15:chartTrackingRefBased/>
  <w15:docId w15:val="{CF123935-7550-4880-A3AA-927F2789F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2F1B"/>
  </w:style>
  <w:style w:type="paragraph" w:styleId="Heading2">
    <w:name w:val="heading 2"/>
    <w:basedOn w:val="Normal"/>
    <w:next w:val="Normal"/>
    <w:link w:val="Heading2Char"/>
    <w:uiPriority w:val="9"/>
    <w:unhideWhenUsed/>
    <w:qFormat/>
    <w:rsid w:val="002471FF"/>
    <w:pPr>
      <w:keepNext/>
      <w:keepLines/>
      <w:numPr>
        <w:numId w:val="5"/>
      </w:numPr>
      <w:spacing w:before="40" w:after="0"/>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uiPriority w:val="9"/>
    <w:unhideWhenUsed/>
    <w:qFormat/>
    <w:rsid w:val="002471F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imesNewRoman">
    <w:name w:val="Normal Times New Roman"/>
    <w:basedOn w:val="Normal"/>
    <w:link w:val="NormalTimesNewRomanChar"/>
    <w:qFormat/>
    <w:rsid w:val="74982C6C"/>
    <w:pPr>
      <w:jc w:val="both"/>
    </w:pPr>
    <w:rPr>
      <w:rFonts w:ascii="Times New Roman" w:eastAsia="Times New Roman" w:hAnsi="Times New Roman" w:cs="Times New Roman"/>
      <w:sz w:val="24"/>
      <w:szCs w:val="24"/>
    </w:rPr>
  </w:style>
  <w:style w:type="paragraph" w:customStyle="1" w:styleId="Style1">
    <w:name w:val="Style1"/>
    <w:basedOn w:val="Normal"/>
    <w:link w:val="Style1Char"/>
    <w:qFormat/>
    <w:rsid w:val="74982C6C"/>
    <w:pPr>
      <w:keepNext/>
      <w:numPr>
        <w:numId w:val="3"/>
      </w:numPr>
      <w:spacing w:before="240" w:after="0"/>
      <w:outlineLvl w:val="0"/>
    </w:pPr>
    <w:rPr>
      <w:rFonts w:ascii="Times New Roman" w:eastAsia="Times New Roman" w:hAnsi="Times New Roman" w:cs="Times New Roman"/>
      <w:b/>
      <w:bCs/>
      <w:sz w:val="24"/>
      <w:szCs w:val="24"/>
    </w:rPr>
  </w:style>
  <w:style w:type="character" w:customStyle="1" w:styleId="Style1Char">
    <w:name w:val="Style1 Char"/>
    <w:basedOn w:val="DefaultParagraphFont"/>
    <w:link w:val="Style1"/>
    <w:rsid w:val="74982C6C"/>
    <w:rPr>
      <w:rFonts w:ascii="Times New Roman" w:eastAsia="Times New Roman" w:hAnsi="Times New Roman" w:cs="Times New Roman"/>
      <w:b/>
      <w:bCs/>
      <w:sz w:val="24"/>
      <w:szCs w:val="24"/>
    </w:rPr>
  </w:style>
  <w:style w:type="character" w:customStyle="1" w:styleId="NormalTimesNewRomanChar">
    <w:name w:val="Normal Times New Roman Char"/>
    <w:basedOn w:val="DefaultParagraphFont"/>
    <w:link w:val="NormalTimesNewRoman"/>
    <w:rsid w:val="74982C6C"/>
    <w:rPr>
      <w:rFonts w:ascii="Times New Roman" w:eastAsia="Times New Roman" w:hAnsi="Times New Roman" w:cs="Times New Roman"/>
      <w:noProof w:val="0"/>
      <w:sz w:val="24"/>
      <w:szCs w:val="24"/>
      <w:lang w:val="fr-FR"/>
    </w:rPr>
  </w:style>
  <w:style w:type="character" w:styleId="Hyperlink">
    <w:name w:val="Hyperlink"/>
    <w:basedOn w:val="DefaultParagraphFont"/>
    <w:uiPriority w:val="99"/>
    <w:unhideWhenUsed/>
    <w:rPr>
      <w:color w:val="0563C1" w:themeColor="hyperlink"/>
      <w:u w:val="single"/>
    </w:rPr>
  </w:style>
  <w:style w:type="paragraph" w:styleId="TOC1">
    <w:name w:val="toc 1"/>
    <w:basedOn w:val="Normal"/>
    <w:next w:val="Normal"/>
    <w:autoRedefine/>
    <w:uiPriority w:val="39"/>
    <w:unhideWhenUsed/>
    <w:pPr>
      <w:spacing w:after="100"/>
    </w:p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noteTextChar">
    <w:name w:val="Footnote Text Char"/>
    <w:basedOn w:val="DefaultParagraphFont"/>
    <w:link w:val="FootnoteText"/>
    <w:uiPriority w:val="99"/>
    <w:rPr>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02A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2AB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DF7B3B"/>
    <w:rPr>
      <w:b/>
      <w:bCs/>
    </w:rPr>
  </w:style>
  <w:style w:type="character" w:customStyle="1" w:styleId="CommentSubjectChar">
    <w:name w:val="Comment Subject Char"/>
    <w:basedOn w:val="CommentTextChar"/>
    <w:link w:val="CommentSubject"/>
    <w:uiPriority w:val="99"/>
    <w:semiHidden/>
    <w:rsid w:val="00DF7B3B"/>
    <w:rPr>
      <w:b/>
      <w:bCs/>
      <w:sz w:val="20"/>
      <w:szCs w:val="20"/>
    </w:rPr>
  </w:style>
  <w:style w:type="character" w:customStyle="1" w:styleId="Heading2Char">
    <w:name w:val="Heading 2 Char"/>
    <w:basedOn w:val="DefaultParagraphFont"/>
    <w:link w:val="Heading2"/>
    <w:uiPriority w:val="9"/>
    <w:rsid w:val="002471FF"/>
    <w:rPr>
      <w:rFonts w:ascii="Times New Roman" w:eastAsiaTheme="majorEastAsia" w:hAnsi="Times New Roman" w:cstheme="majorBidi"/>
      <w:b/>
      <w:color w:val="000000" w:themeColor="text1"/>
      <w:sz w:val="24"/>
      <w:szCs w:val="26"/>
    </w:rPr>
  </w:style>
  <w:style w:type="paragraph" w:styleId="TOC2">
    <w:name w:val="toc 2"/>
    <w:basedOn w:val="Normal"/>
    <w:next w:val="Normal"/>
    <w:autoRedefine/>
    <w:uiPriority w:val="39"/>
    <w:unhideWhenUsed/>
    <w:rsid w:val="002471FF"/>
    <w:pPr>
      <w:spacing w:after="100"/>
      <w:ind w:left="220"/>
    </w:pPr>
  </w:style>
  <w:style w:type="character" w:customStyle="1" w:styleId="Heading3Char">
    <w:name w:val="Heading 3 Char"/>
    <w:basedOn w:val="DefaultParagraphFont"/>
    <w:link w:val="Heading3"/>
    <w:uiPriority w:val="9"/>
    <w:rsid w:val="002471FF"/>
    <w:rPr>
      <w:rFonts w:asciiTheme="majorHAnsi" w:eastAsiaTheme="majorEastAsia" w:hAnsiTheme="majorHAnsi" w:cstheme="majorBidi"/>
      <w:color w:val="1F3763" w:themeColor="accent1" w:themeShade="7F"/>
      <w:sz w:val="24"/>
      <w:szCs w:val="24"/>
    </w:rPr>
  </w:style>
  <w:style w:type="table" w:customStyle="1" w:styleId="EnergyReportTable">
    <w:name w:val="Energy Report Table"/>
    <w:basedOn w:val="TableNormal"/>
    <w:uiPriority w:val="99"/>
    <w:qFormat/>
    <w:rsid w:val="00361E3C"/>
    <w:pPr>
      <w:spacing w:before="40" w:after="40" w:line="240" w:lineRule="auto"/>
    </w:pPr>
    <w:rPr>
      <w:rFonts w:ascii="Arial" w:eastAsia="Times New Roman" w:hAnsi="Arial" w:cs="Times New Roman"/>
      <w:sz w:val="20"/>
      <w:szCs w:val="20"/>
    </w:rPr>
    <w:tblPr>
      <w:tblStyleRowBandSize w:val="1"/>
      <w:jc w:val="center"/>
      <w:tblBorders>
        <w:bottom w:val="single" w:sz="8" w:space="0" w:color="555759"/>
        <w:insideH w:val="single" w:sz="4" w:space="0" w:color="DCDDDE"/>
      </w:tblBorders>
      <w:tblCellMar>
        <w:left w:w="115" w:type="dxa"/>
        <w:right w:w="115" w:type="dxa"/>
      </w:tblCellMar>
    </w:tblPr>
    <w:trPr>
      <w:cantSplit/>
      <w:jc w:val="center"/>
    </w:trPr>
    <w:tcPr>
      <w:vAlign w:val="center"/>
    </w:tcPr>
    <w:tblStylePr w:type="firstRow">
      <w:pPr>
        <w:jc w:val="left"/>
      </w:pPr>
      <w:rPr>
        <w:rFonts w:ascii="Arial" w:hAnsi="Arial"/>
        <w:b/>
        <w:color w:val="FFFFFF"/>
        <w:sz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hAnsi="Roboto"/>
        <w:b/>
      </w:rPr>
      <w:tblPr/>
      <w:tcPr>
        <w:tcBorders>
          <w:top w:val="double" w:sz="4" w:space="0" w:color="545759"/>
          <w:bottom w:val="single" w:sz="4" w:space="0" w:color="545759"/>
        </w:tcBorders>
      </w:tcPr>
    </w:tblStylePr>
    <w:tblStylePr w:type="firstCol">
      <w:pPr>
        <w:jc w:val="left"/>
      </w:pPr>
      <w:rPr>
        <w:rFonts w:ascii="Arial" w:hAnsi="Arial"/>
        <w:b w:val="0"/>
        <w:color w:val="auto"/>
        <w:sz w:val="20"/>
      </w:rPr>
    </w:tblStylePr>
    <w:tblStylePr w:type="band1Horz">
      <w:pPr>
        <w:jc w:val="left"/>
      </w:pPr>
    </w:tblStylePr>
    <w:tblStylePr w:type="band2Horz">
      <w:pPr>
        <w:jc w:val="left"/>
      </w:pPr>
      <w:tblPr/>
      <w:tcPr>
        <w:shd w:val="clear" w:color="auto" w:fill="FFFFFF"/>
      </w:tcPr>
    </w:tblStylePr>
  </w:style>
  <w:style w:type="table" w:styleId="ListTable6Colorful-Accent3">
    <w:name w:val="List Table 6 Colorful Accent 3"/>
    <w:basedOn w:val="TableNormal"/>
    <w:uiPriority w:val="51"/>
    <w:rsid w:val="00361E3C"/>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
    <w:name w:val="List Table 4"/>
    <w:basedOn w:val="TableNormal"/>
    <w:uiPriority w:val="49"/>
    <w:rsid w:val="00361E3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unhideWhenUsed/>
    <w:qFormat/>
    <w:rsid w:val="007E484F"/>
    <w:pPr>
      <w:spacing w:after="240" w:line="240" w:lineRule="auto"/>
    </w:pPr>
    <w:rPr>
      <w:rFonts w:ascii="Arial" w:eastAsia="Times New Roman" w:hAnsi="Arial" w:cs="Times New Roman"/>
      <w:szCs w:val="20"/>
    </w:rPr>
  </w:style>
  <w:style w:type="character" w:customStyle="1" w:styleId="BodyTextChar">
    <w:name w:val="Body Text Char"/>
    <w:basedOn w:val="DefaultParagraphFont"/>
    <w:link w:val="BodyText"/>
    <w:rsid w:val="007E484F"/>
    <w:rPr>
      <w:rFonts w:ascii="Arial" w:eastAsia="Times New Roman" w:hAnsi="Arial" w:cs="Times New Roman"/>
      <w:szCs w:val="20"/>
    </w:rPr>
  </w:style>
  <w:style w:type="table" w:styleId="GridTable4">
    <w:name w:val="Grid Table 4"/>
    <w:basedOn w:val="TableNormal"/>
    <w:uiPriority w:val="49"/>
    <w:rsid w:val="006261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62616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5">
    <w:name w:val="Plain Table 5"/>
    <w:basedOn w:val="TableNormal"/>
    <w:uiPriority w:val="45"/>
    <w:rsid w:val="00245E3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0B73F1"/>
    <w:pPr>
      <w:spacing w:after="0" w:line="240" w:lineRule="auto"/>
    </w:pPr>
  </w:style>
  <w:style w:type="character" w:customStyle="1" w:styleId="Marker">
    <w:name w:val="Marker"/>
    <w:basedOn w:val="DefaultParagraphFont"/>
    <w:rsid w:val="00CD6E84"/>
    <w:rPr>
      <w:color w:val="0000FF"/>
      <w:shd w:val="clear" w:color="auto" w:fill="auto"/>
    </w:rPr>
  </w:style>
  <w:style w:type="paragraph" w:customStyle="1" w:styleId="Pagedecouverture">
    <w:name w:val="Page de couverture"/>
    <w:basedOn w:val="Normal"/>
    <w:next w:val="Normal"/>
    <w:rsid w:val="00CD6E84"/>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D6E8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D6E84"/>
    <w:rPr>
      <w:rFonts w:ascii="Times New Roman" w:hAnsi="Times New Roman" w:cs="Times New Roman"/>
      <w:sz w:val="24"/>
    </w:rPr>
  </w:style>
  <w:style w:type="paragraph" w:customStyle="1" w:styleId="FooterSensitivity">
    <w:name w:val="Footer Sensitivity"/>
    <w:basedOn w:val="Normal"/>
    <w:link w:val="FooterSensitivityChar"/>
    <w:rsid w:val="00CD6E8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D6E84"/>
    <w:rPr>
      <w:rFonts w:ascii="Times New Roman" w:hAnsi="Times New Roman" w:cs="Times New Roman"/>
      <w:b/>
      <w:sz w:val="32"/>
    </w:rPr>
  </w:style>
  <w:style w:type="paragraph" w:customStyle="1" w:styleId="HeaderCoverPage">
    <w:name w:val="Header Cover Page"/>
    <w:basedOn w:val="Normal"/>
    <w:link w:val="HeaderCoverPageChar"/>
    <w:rsid w:val="00CD6E8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D6E84"/>
    <w:rPr>
      <w:rFonts w:ascii="Times New Roman" w:hAnsi="Times New Roman" w:cs="Times New Roman"/>
      <w:sz w:val="24"/>
    </w:rPr>
  </w:style>
  <w:style w:type="paragraph" w:customStyle="1" w:styleId="HeaderSensitivity">
    <w:name w:val="Header Sensitivity"/>
    <w:basedOn w:val="Normal"/>
    <w:link w:val="HeaderSensitivityChar"/>
    <w:rsid w:val="00CD6E8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D6E84"/>
    <w:rPr>
      <w:rFonts w:ascii="Times New Roman" w:hAnsi="Times New Roman" w:cs="Times New Roman"/>
      <w:b/>
      <w:sz w:val="32"/>
    </w:rPr>
  </w:style>
  <w:style w:type="paragraph" w:customStyle="1" w:styleId="HeaderSensitivityRight">
    <w:name w:val="Header Sensitivity Right"/>
    <w:basedOn w:val="Normal"/>
    <w:link w:val="HeaderSensitivityRightChar"/>
    <w:rsid w:val="00CD6E8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D6E84"/>
    <w:rPr>
      <w:rFonts w:ascii="Times New Roman" w:hAnsi="Times New Roman" w:cs="Times New Roman"/>
      <w:sz w:val="28"/>
    </w:rPr>
  </w:style>
  <w:style w:type="table" w:customStyle="1" w:styleId="ESIReport2">
    <w:name w:val="ESI Report 2"/>
    <w:basedOn w:val="TableNormal"/>
    <w:uiPriority w:val="99"/>
    <w:rsid w:val="00BB5FB1"/>
    <w:pPr>
      <w:spacing w:before="40" w:after="40" w:line="240" w:lineRule="auto"/>
    </w:pPr>
    <w:rPr>
      <w:rFonts w:ascii="Arial" w:eastAsia="Times New Roman" w:hAnsi="Arial" w:cs="Times New Roman"/>
      <w:sz w:val="20"/>
      <w:szCs w:val="20"/>
    </w:rPr>
    <w:tblPr>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rPr>
      <w:jc w:val="center"/>
    </w:trPr>
    <w:tcPr>
      <w:vAlign w:val="center"/>
    </w:tcPr>
    <w:tblStylePr w:type="firstRow">
      <w:rPr>
        <w:b/>
        <w:color w:val="auto"/>
      </w:rPr>
      <w:tblPr/>
      <w:tcPr>
        <w:tcBorders>
          <w:top w:val="single" w:sz="4" w:space="0" w:color="7F7F7F"/>
          <w:left w:val="single" w:sz="4" w:space="0" w:color="7F7F7F"/>
          <w:bottom w:val="single" w:sz="4" w:space="0" w:color="7F7F7F"/>
          <w:right w:val="single" w:sz="4" w:space="0" w:color="7F7F7F"/>
          <w:insideH w:val="single" w:sz="4" w:space="0" w:color="7F7F7F"/>
          <w:insideV w:val="single" w:sz="4" w:space="0" w:color="7F7F7F"/>
          <w:tl2br w:val="nil"/>
          <w:tr2bl w:val="nil"/>
        </w:tcBorders>
        <w:shd w:val="clear" w:color="auto" w:fill="93D500"/>
      </w:tcPr>
    </w:tblStylePr>
    <w:tblStylePr w:type="lastRow">
      <w:rPr>
        <w:b/>
      </w:rPr>
      <w:tblPr/>
      <w:tcPr>
        <w:tcBorders>
          <w:top w:val="double" w:sz="4" w:space="0" w:color="7F7F7F"/>
          <w:left w:val="single" w:sz="4" w:space="0" w:color="7F7F7F"/>
          <w:bottom w:val="single" w:sz="8" w:space="0" w:color="7F7F7F"/>
          <w:right w:val="single" w:sz="4" w:space="0" w:color="7F7F7F"/>
          <w:insideH w:val="nil"/>
          <w:insideV w:val="single" w:sz="4" w:space="0" w:color="7F7F7F"/>
          <w:tl2br w:val="nil"/>
          <w:tr2bl w:val="nil"/>
        </w:tcBorders>
      </w:tcPr>
    </w:tblStylePr>
  </w:style>
  <w:style w:type="paragraph" w:customStyle="1" w:styleId="paragraph">
    <w:name w:val="paragraph"/>
    <w:basedOn w:val="Normal"/>
    <w:rsid w:val="009909F5"/>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9909F5"/>
  </w:style>
  <w:style w:type="character" w:customStyle="1" w:styleId="eop">
    <w:name w:val="eop"/>
    <w:basedOn w:val="DefaultParagraphFont"/>
    <w:rsid w:val="009909F5"/>
  </w:style>
  <w:style w:type="paragraph" w:customStyle="1" w:styleId="Languesfaisantfoi">
    <w:name w:val="Langues faisant foi"/>
    <w:basedOn w:val="Normal"/>
    <w:next w:val="Normal"/>
    <w:rsid w:val="007718CA"/>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7718CA"/>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7718CA"/>
    <w:pPr>
      <w:spacing w:after="0"/>
    </w:pPr>
  </w:style>
  <w:style w:type="paragraph" w:customStyle="1" w:styleId="IntrtEEEPagedecouverture">
    <w:name w:val="Intérêt EEE (Page de couverture)"/>
    <w:basedOn w:val="IntrtEEE"/>
    <w:next w:val="Normal"/>
    <w:rsid w:val="007718CA"/>
  </w:style>
  <w:style w:type="character" w:customStyle="1" w:styleId="UnresolvedMention">
    <w:name w:val="Unresolved Mention"/>
    <w:basedOn w:val="DefaultParagraphFont"/>
    <w:uiPriority w:val="99"/>
    <w:semiHidden/>
    <w:unhideWhenUsed/>
    <w:rsid w:val="007F57F9"/>
    <w:rPr>
      <w:color w:val="605E5C"/>
      <w:shd w:val="clear" w:color="auto" w:fill="E1DFDD"/>
    </w:rPr>
  </w:style>
  <w:style w:type="table" w:customStyle="1" w:styleId="EnergyReportTable1">
    <w:name w:val="Energy Report Table1"/>
    <w:basedOn w:val="TableNormal"/>
    <w:uiPriority w:val="99"/>
    <w:qFormat/>
    <w:rsid w:val="00F165B3"/>
    <w:pPr>
      <w:spacing w:before="40" w:after="40" w:line="240" w:lineRule="auto"/>
    </w:pPr>
    <w:rPr>
      <w:rFonts w:ascii="Arial" w:eastAsia="Times New Roman" w:hAnsi="Arial" w:cs="Times New Roman"/>
      <w:sz w:val="20"/>
      <w:szCs w:val="20"/>
    </w:rPr>
    <w:tblPr>
      <w:tblStyleRowBandSize w:val="1"/>
      <w:tblInd w:w="0" w:type="nil"/>
      <w:tblBorders>
        <w:bottom w:val="single" w:sz="8" w:space="0" w:color="555759"/>
        <w:insideH w:val="single" w:sz="4" w:space="0" w:color="DCDDDE"/>
      </w:tblBorders>
      <w:tblCellMar>
        <w:left w:w="115" w:type="dxa"/>
        <w:right w:w="115" w:type="dxa"/>
      </w:tblCellMar>
    </w:tblPr>
    <w:tcPr>
      <w:vAlign w:val="center"/>
    </w:tcPr>
    <w:tblStylePr w:type="firstRow">
      <w:pPr>
        <w:jc w:val="left"/>
      </w:pPr>
      <w:rPr>
        <w:rFonts w:ascii="Arial" w:hAnsi="Arial" w:cs="Arial" w:hint="default"/>
        <w:b/>
        <w:color w:val="FFFFFF"/>
        <w:sz w:val="20"/>
        <w:szCs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eastAsia="Roboto" w:hAnsi="Roboto" w:hint="eastAsia"/>
        <w:b/>
      </w:rPr>
      <w:tblPr/>
      <w:tcPr>
        <w:tcBorders>
          <w:top w:val="double" w:sz="4" w:space="0" w:color="545759"/>
          <w:bottom w:val="single" w:sz="4" w:space="0" w:color="545759"/>
        </w:tcBorders>
      </w:tcPr>
    </w:tblStylePr>
    <w:tblStylePr w:type="firstCol">
      <w:pPr>
        <w:jc w:val="left"/>
      </w:pPr>
      <w:rPr>
        <w:rFonts w:ascii="Arial" w:hAnsi="Arial" w:cs="Arial" w:hint="default"/>
        <w:b w:val="0"/>
        <w:color w:val="auto"/>
        <w:sz w:val="20"/>
        <w:szCs w:val="20"/>
      </w:rPr>
    </w:tblStylePr>
    <w:tblStylePr w:type="band1Horz">
      <w:pPr>
        <w:jc w:val="left"/>
      </w:pPr>
    </w:tblStylePr>
    <w:tblStylePr w:type="band2Horz">
      <w:pPr>
        <w:jc w:val="left"/>
      </w:pPr>
      <w:tblPr/>
      <w:tcPr>
        <w:shd w:val="clear" w:color="auto" w:fill="FFFFFF"/>
      </w:tcPr>
    </w:tblStylePr>
  </w:style>
  <w:style w:type="table" w:customStyle="1" w:styleId="EnergyReportTable2">
    <w:name w:val="Energy Report Table2"/>
    <w:basedOn w:val="TableNormal"/>
    <w:uiPriority w:val="99"/>
    <w:qFormat/>
    <w:rsid w:val="005D36CE"/>
    <w:pPr>
      <w:spacing w:before="40" w:after="40" w:line="240" w:lineRule="auto"/>
    </w:pPr>
    <w:rPr>
      <w:rFonts w:ascii="Arial" w:eastAsia="Times New Roman" w:hAnsi="Arial" w:cs="Times New Roman"/>
      <w:sz w:val="20"/>
      <w:szCs w:val="20"/>
    </w:rPr>
    <w:tblPr>
      <w:tblStyleRowBandSize w:val="1"/>
      <w:tblInd w:w="0" w:type="nil"/>
      <w:tblBorders>
        <w:bottom w:val="single" w:sz="8" w:space="0" w:color="555759"/>
        <w:insideH w:val="single" w:sz="4" w:space="0" w:color="DCDDDE"/>
      </w:tblBorders>
      <w:tblCellMar>
        <w:left w:w="115" w:type="dxa"/>
        <w:right w:w="115" w:type="dxa"/>
      </w:tblCellMar>
    </w:tblPr>
    <w:tcPr>
      <w:vAlign w:val="center"/>
    </w:tcPr>
    <w:tblStylePr w:type="firstRow">
      <w:pPr>
        <w:jc w:val="left"/>
      </w:pPr>
      <w:rPr>
        <w:rFonts w:ascii="Arial" w:hAnsi="Arial" w:cs="Arial" w:hint="default"/>
        <w:b/>
        <w:color w:val="FFFFFF"/>
        <w:sz w:val="20"/>
        <w:szCs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eastAsia="Roboto" w:hAnsi="Roboto" w:hint="eastAsia"/>
        <w:b/>
      </w:rPr>
      <w:tblPr/>
      <w:tcPr>
        <w:tcBorders>
          <w:top w:val="double" w:sz="4" w:space="0" w:color="545759"/>
          <w:bottom w:val="single" w:sz="4" w:space="0" w:color="545759"/>
        </w:tcBorders>
      </w:tcPr>
    </w:tblStylePr>
    <w:tblStylePr w:type="firstCol">
      <w:pPr>
        <w:jc w:val="left"/>
      </w:pPr>
      <w:rPr>
        <w:rFonts w:ascii="Arial" w:hAnsi="Arial" w:cs="Arial" w:hint="default"/>
        <w:b w:val="0"/>
        <w:color w:val="auto"/>
        <w:sz w:val="20"/>
        <w:szCs w:val="20"/>
      </w:rPr>
    </w:tblStylePr>
    <w:tblStylePr w:type="band1Horz">
      <w:pPr>
        <w:jc w:val="left"/>
      </w:pPr>
    </w:tblStylePr>
    <w:tblStylePr w:type="band2Horz">
      <w:pPr>
        <w:jc w:val="left"/>
      </w:pPr>
      <w:tblPr/>
      <w:tcPr>
        <w:shd w:val="clear" w:color="auto" w:fill="FFFFFF"/>
      </w:tcPr>
    </w:tblStylePr>
  </w:style>
  <w:style w:type="table" w:customStyle="1" w:styleId="EnergyReportTable3">
    <w:name w:val="Energy Report Table3"/>
    <w:basedOn w:val="TableNormal"/>
    <w:uiPriority w:val="99"/>
    <w:qFormat/>
    <w:rsid w:val="004B76D2"/>
    <w:pPr>
      <w:spacing w:before="40" w:after="40" w:line="240" w:lineRule="auto"/>
    </w:pPr>
    <w:rPr>
      <w:rFonts w:ascii="Arial" w:eastAsia="Times New Roman" w:hAnsi="Arial" w:cs="Times New Roman"/>
      <w:sz w:val="20"/>
      <w:szCs w:val="20"/>
    </w:rPr>
    <w:tblPr>
      <w:tblStyleRowBandSize w:val="1"/>
      <w:tblInd w:w="0" w:type="nil"/>
      <w:tblBorders>
        <w:bottom w:val="single" w:sz="8" w:space="0" w:color="555759"/>
        <w:insideH w:val="single" w:sz="4" w:space="0" w:color="DCDDDE"/>
      </w:tblBorders>
      <w:tblCellMar>
        <w:left w:w="115" w:type="dxa"/>
        <w:right w:w="115" w:type="dxa"/>
      </w:tblCellMar>
    </w:tblPr>
    <w:tcPr>
      <w:vAlign w:val="center"/>
    </w:tcPr>
    <w:tblStylePr w:type="firstRow">
      <w:pPr>
        <w:jc w:val="left"/>
      </w:pPr>
      <w:rPr>
        <w:rFonts w:ascii="Arial" w:hAnsi="Arial" w:cs="Arial" w:hint="default"/>
        <w:b/>
        <w:color w:val="FFFFFF"/>
        <w:sz w:val="20"/>
        <w:szCs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eastAsia="Roboto" w:hAnsi="Roboto" w:hint="eastAsia"/>
        <w:b/>
      </w:rPr>
      <w:tblPr/>
      <w:tcPr>
        <w:tcBorders>
          <w:top w:val="double" w:sz="4" w:space="0" w:color="545759"/>
          <w:bottom w:val="single" w:sz="4" w:space="0" w:color="545759"/>
        </w:tcBorders>
      </w:tcPr>
    </w:tblStylePr>
    <w:tblStylePr w:type="firstCol">
      <w:pPr>
        <w:jc w:val="left"/>
      </w:pPr>
      <w:rPr>
        <w:rFonts w:ascii="Arial" w:hAnsi="Arial" w:cs="Arial" w:hint="default"/>
        <w:b w:val="0"/>
        <w:color w:val="auto"/>
        <w:sz w:val="20"/>
        <w:szCs w:val="20"/>
      </w:rPr>
    </w:tblStylePr>
    <w:tblStylePr w:type="band1Horz">
      <w:pPr>
        <w:jc w:val="left"/>
      </w:pPr>
    </w:tblStylePr>
    <w:tblStylePr w:type="band2Horz">
      <w:pPr>
        <w:jc w:val="left"/>
      </w:pPr>
      <w:tblPr/>
      <w:tcPr>
        <w:shd w:val="clear" w:color="auto" w:fill="FFFFFF"/>
      </w:tcPr>
    </w:tblStylePr>
  </w:style>
  <w:style w:type="character" w:customStyle="1" w:styleId="Mention">
    <w:name w:val="Mention"/>
    <w:basedOn w:val="DefaultParagraphFont"/>
    <w:uiPriority w:val="99"/>
    <w:unhideWhenUsed/>
    <w:rsid w:val="00A471D9"/>
    <w:rPr>
      <w:color w:val="2B579A"/>
      <w:shd w:val="clear" w:color="auto" w:fill="E1DFDD"/>
    </w:rPr>
  </w:style>
  <w:style w:type="paragraph" w:styleId="NormalWeb">
    <w:name w:val="Normal (Web)"/>
    <w:basedOn w:val="Normal"/>
    <w:uiPriority w:val="99"/>
    <w:semiHidden/>
    <w:unhideWhenUsed/>
    <w:rsid w:val="00481F5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53122">
      <w:bodyDiv w:val="1"/>
      <w:marLeft w:val="0"/>
      <w:marRight w:val="0"/>
      <w:marTop w:val="0"/>
      <w:marBottom w:val="0"/>
      <w:divBdr>
        <w:top w:val="none" w:sz="0" w:space="0" w:color="auto"/>
        <w:left w:val="none" w:sz="0" w:space="0" w:color="auto"/>
        <w:bottom w:val="none" w:sz="0" w:space="0" w:color="auto"/>
        <w:right w:val="none" w:sz="0" w:space="0" w:color="auto"/>
      </w:divBdr>
      <w:divsChild>
        <w:div w:id="31199418">
          <w:marLeft w:val="0"/>
          <w:marRight w:val="0"/>
          <w:marTop w:val="0"/>
          <w:marBottom w:val="0"/>
          <w:divBdr>
            <w:top w:val="none" w:sz="0" w:space="0" w:color="auto"/>
            <w:left w:val="none" w:sz="0" w:space="0" w:color="auto"/>
            <w:bottom w:val="none" w:sz="0" w:space="0" w:color="auto"/>
            <w:right w:val="none" w:sz="0" w:space="0" w:color="auto"/>
          </w:divBdr>
          <w:divsChild>
            <w:div w:id="2084835849">
              <w:marLeft w:val="0"/>
              <w:marRight w:val="0"/>
              <w:marTop w:val="0"/>
              <w:marBottom w:val="0"/>
              <w:divBdr>
                <w:top w:val="none" w:sz="0" w:space="0" w:color="auto"/>
                <w:left w:val="none" w:sz="0" w:space="0" w:color="auto"/>
                <w:bottom w:val="none" w:sz="0" w:space="0" w:color="auto"/>
                <w:right w:val="none" w:sz="0" w:space="0" w:color="auto"/>
              </w:divBdr>
            </w:div>
          </w:divsChild>
        </w:div>
        <w:div w:id="45836125">
          <w:marLeft w:val="0"/>
          <w:marRight w:val="0"/>
          <w:marTop w:val="0"/>
          <w:marBottom w:val="0"/>
          <w:divBdr>
            <w:top w:val="none" w:sz="0" w:space="0" w:color="auto"/>
            <w:left w:val="none" w:sz="0" w:space="0" w:color="auto"/>
            <w:bottom w:val="none" w:sz="0" w:space="0" w:color="auto"/>
            <w:right w:val="none" w:sz="0" w:space="0" w:color="auto"/>
          </w:divBdr>
          <w:divsChild>
            <w:div w:id="1413041224">
              <w:marLeft w:val="0"/>
              <w:marRight w:val="0"/>
              <w:marTop w:val="0"/>
              <w:marBottom w:val="0"/>
              <w:divBdr>
                <w:top w:val="none" w:sz="0" w:space="0" w:color="auto"/>
                <w:left w:val="none" w:sz="0" w:space="0" w:color="auto"/>
                <w:bottom w:val="none" w:sz="0" w:space="0" w:color="auto"/>
                <w:right w:val="none" w:sz="0" w:space="0" w:color="auto"/>
              </w:divBdr>
            </w:div>
          </w:divsChild>
        </w:div>
        <w:div w:id="61801059">
          <w:marLeft w:val="0"/>
          <w:marRight w:val="0"/>
          <w:marTop w:val="0"/>
          <w:marBottom w:val="0"/>
          <w:divBdr>
            <w:top w:val="none" w:sz="0" w:space="0" w:color="auto"/>
            <w:left w:val="none" w:sz="0" w:space="0" w:color="auto"/>
            <w:bottom w:val="none" w:sz="0" w:space="0" w:color="auto"/>
            <w:right w:val="none" w:sz="0" w:space="0" w:color="auto"/>
          </w:divBdr>
          <w:divsChild>
            <w:div w:id="833033254">
              <w:marLeft w:val="0"/>
              <w:marRight w:val="0"/>
              <w:marTop w:val="0"/>
              <w:marBottom w:val="0"/>
              <w:divBdr>
                <w:top w:val="none" w:sz="0" w:space="0" w:color="auto"/>
                <w:left w:val="none" w:sz="0" w:space="0" w:color="auto"/>
                <w:bottom w:val="none" w:sz="0" w:space="0" w:color="auto"/>
                <w:right w:val="none" w:sz="0" w:space="0" w:color="auto"/>
              </w:divBdr>
            </w:div>
          </w:divsChild>
        </w:div>
        <w:div w:id="79181745">
          <w:marLeft w:val="0"/>
          <w:marRight w:val="0"/>
          <w:marTop w:val="0"/>
          <w:marBottom w:val="0"/>
          <w:divBdr>
            <w:top w:val="none" w:sz="0" w:space="0" w:color="auto"/>
            <w:left w:val="none" w:sz="0" w:space="0" w:color="auto"/>
            <w:bottom w:val="none" w:sz="0" w:space="0" w:color="auto"/>
            <w:right w:val="none" w:sz="0" w:space="0" w:color="auto"/>
          </w:divBdr>
          <w:divsChild>
            <w:div w:id="1891377928">
              <w:marLeft w:val="0"/>
              <w:marRight w:val="0"/>
              <w:marTop w:val="0"/>
              <w:marBottom w:val="0"/>
              <w:divBdr>
                <w:top w:val="none" w:sz="0" w:space="0" w:color="auto"/>
                <w:left w:val="none" w:sz="0" w:space="0" w:color="auto"/>
                <w:bottom w:val="none" w:sz="0" w:space="0" w:color="auto"/>
                <w:right w:val="none" w:sz="0" w:space="0" w:color="auto"/>
              </w:divBdr>
            </w:div>
          </w:divsChild>
        </w:div>
        <w:div w:id="80377046">
          <w:marLeft w:val="0"/>
          <w:marRight w:val="0"/>
          <w:marTop w:val="0"/>
          <w:marBottom w:val="0"/>
          <w:divBdr>
            <w:top w:val="none" w:sz="0" w:space="0" w:color="auto"/>
            <w:left w:val="none" w:sz="0" w:space="0" w:color="auto"/>
            <w:bottom w:val="none" w:sz="0" w:space="0" w:color="auto"/>
            <w:right w:val="none" w:sz="0" w:space="0" w:color="auto"/>
          </w:divBdr>
          <w:divsChild>
            <w:div w:id="348289590">
              <w:marLeft w:val="0"/>
              <w:marRight w:val="0"/>
              <w:marTop w:val="0"/>
              <w:marBottom w:val="0"/>
              <w:divBdr>
                <w:top w:val="none" w:sz="0" w:space="0" w:color="auto"/>
                <w:left w:val="none" w:sz="0" w:space="0" w:color="auto"/>
                <w:bottom w:val="none" w:sz="0" w:space="0" w:color="auto"/>
                <w:right w:val="none" w:sz="0" w:space="0" w:color="auto"/>
              </w:divBdr>
            </w:div>
          </w:divsChild>
        </w:div>
        <w:div w:id="91515408">
          <w:marLeft w:val="0"/>
          <w:marRight w:val="0"/>
          <w:marTop w:val="0"/>
          <w:marBottom w:val="0"/>
          <w:divBdr>
            <w:top w:val="none" w:sz="0" w:space="0" w:color="auto"/>
            <w:left w:val="none" w:sz="0" w:space="0" w:color="auto"/>
            <w:bottom w:val="none" w:sz="0" w:space="0" w:color="auto"/>
            <w:right w:val="none" w:sz="0" w:space="0" w:color="auto"/>
          </w:divBdr>
          <w:divsChild>
            <w:div w:id="593053818">
              <w:marLeft w:val="0"/>
              <w:marRight w:val="0"/>
              <w:marTop w:val="0"/>
              <w:marBottom w:val="0"/>
              <w:divBdr>
                <w:top w:val="none" w:sz="0" w:space="0" w:color="auto"/>
                <w:left w:val="none" w:sz="0" w:space="0" w:color="auto"/>
                <w:bottom w:val="none" w:sz="0" w:space="0" w:color="auto"/>
                <w:right w:val="none" w:sz="0" w:space="0" w:color="auto"/>
              </w:divBdr>
            </w:div>
          </w:divsChild>
        </w:div>
        <w:div w:id="92943687">
          <w:marLeft w:val="0"/>
          <w:marRight w:val="0"/>
          <w:marTop w:val="0"/>
          <w:marBottom w:val="0"/>
          <w:divBdr>
            <w:top w:val="none" w:sz="0" w:space="0" w:color="auto"/>
            <w:left w:val="none" w:sz="0" w:space="0" w:color="auto"/>
            <w:bottom w:val="none" w:sz="0" w:space="0" w:color="auto"/>
            <w:right w:val="none" w:sz="0" w:space="0" w:color="auto"/>
          </w:divBdr>
          <w:divsChild>
            <w:div w:id="1693022653">
              <w:marLeft w:val="0"/>
              <w:marRight w:val="0"/>
              <w:marTop w:val="0"/>
              <w:marBottom w:val="0"/>
              <w:divBdr>
                <w:top w:val="none" w:sz="0" w:space="0" w:color="auto"/>
                <w:left w:val="none" w:sz="0" w:space="0" w:color="auto"/>
                <w:bottom w:val="none" w:sz="0" w:space="0" w:color="auto"/>
                <w:right w:val="none" w:sz="0" w:space="0" w:color="auto"/>
              </w:divBdr>
            </w:div>
          </w:divsChild>
        </w:div>
        <w:div w:id="103618458">
          <w:marLeft w:val="0"/>
          <w:marRight w:val="0"/>
          <w:marTop w:val="0"/>
          <w:marBottom w:val="0"/>
          <w:divBdr>
            <w:top w:val="none" w:sz="0" w:space="0" w:color="auto"/>
            <w:left w:val="none" w:sz="0" w:space="0" w:color="auto"/>
            <w:bottom w:val="none" w:sz="0" w:space="0" w:color="auto"/>
            <w:right w:val="none" w:sz="0" w:space="0" w:color="auto"/>
          </w:divBdr>
          <w:divsChild>
            <w:div w:id="578446443">
              <w:marLeft w:val="0"/>
              <w:marRight w:val="0"/>
              <w:marTop w:val="0"/>
              <w:marBottom w:val="0"/>
              <w:divBdr>
                <w:top w:val="none" w:sz="0" w:space="0" w:color="auto"/>
                <w:left w:val="none" w:sz="0" w:space="0" w:color="auto"/>
                <w:bottom w:val="none" w:sz="0" w:space="0" w:color="auto"/>
                <w:right w:val="none" w:sz="0" w:space="0" w:color="auto"/>
              </w:divBdr>
            </w:div>
          </w:divsChild>
        </w:div>
        <w:div w:id="111485793">
          <w:marLeft w:val="0"/>
          <w:marRight w:val="0"/>
          <w:marTop w:val="0"/>
          <w:marBottom w:val="0"/>
          <w:divBdr>
            <w:top w:val="none" w:sz="0" w:space="0" w:color="auto"/>
            <w:left w:val="none" w:sz="0" w:space="0" w:color="auto"/>
            <w:bottom w:val="none" w:sz="0" w:space="0" w:color="auto"/>
            <w:right w:val="none" w:sz="0" w:space="0" w:color="auto"/>
          </w:divBdr>
          <w:divsChild>
            <w:div w:id="1870408887">
              <w:marLeft w:val="0"/>
              <w:marRight w:val="0"/>
              <w:marTop w:val="0"/>
              <w:marBottom w:val="0"/>
              <w:divBdr>
                <w:top w:val="none" w:sz="0" w:space="0" w:color="auto"/>
                <w:left w:val="none" w:sz="0" w:space="0" w:color="auto"/>
                <w:bottom w:val="none" w:sz="0" w:space="0" w:color="auto"/>
                <w:right w:val="none" w:sz="0" w:space="0" w:color="auto"/>
              </w:divBdr>
            </w:div>
          </w:divsChild>
        </w:div>
        <w:div w:id="139078630">
          <w:marLeft w:val="0"/>
          <w:marRight w:val="0"/>
          <w:marTop w:val="0"/>
          <w:marBottom w:val="0"/>
          <w:divBdr>
            <w:top w:val="none" w:sz="0" w:space="0" w:color="auto"/>
            <w:left w:val="none" w:sz="0" w:space="0" w:color="auto"/>
            <w:bottom w:val="none" w:sz="0" w:space="0" w:color="auto"/>
            <w:right w:val="none" w:sz="0" w:space="0" w:color="auto"/>
          </w:divBdr>
          <w:divsChild>
            <w:div w:id="1125467204">
              <w:marLeft w:val="0"/>
              <w:marRight w:val="0"/>
              <w:marTop w:val="0"/>
              <w:marBottom w:val="0"/>
              <w:divBdr>
                <w:top w:val="none" w:sz="0" w:space="0" w:color="auto"/>
                <w:left w:val="none" w:sz="0" w:space="0" w:color="auto"/>
                <w:bottom w:val="none" w:sz="0" w:space="0" w:color="auto"/>
                <w:right w:val="none" w:sz="0" w:space="0" w:color="auto"/>
              </w:divBdr>
            </w:div>
          </w:divsChild>
        </w:div>
        <w:div w:id="146869359">
          <w:marLeft w:val="0"/>
          <w:marRight w:val="0"/>
          <w:marTop w:val="0"/>
          <w:marBottom w:val="0"/>
          <w:divBdr>
            <w:top w:val="none" w:sz="0" w:space="0" w:color="auto"/>
            <w:left w:val="none" w:sz="0" w:space="0" w:color="auto"/>
            <w:bottom w:val="none" w:sz="0" w:space="0" w:color="auto"/>
            <w:right w:val="none" w:sz="0" w:space="0" w:color="auto"/>
          </w:divBdr>
          <w:divsChild>
            <w:div w:id="1091463132">
              <w:marLeft w:val="0"/>
              <w:marRight w:val="0"/>
              <w:marTop w:val="0"/>
              <w:marBottom w:val="0"/>
              <w:divBdr>
                <w:top w:val="none" w:sz="0" w:space="0" w:color="auto"/>
                <w:left w:val="none" w:sz="0" w:space="0" w:color="auto"/>
                <w:bottom w:val="none" w:sz="0" w:space="0" w:color="auto"/>
                <w:right w:val="none" w:sz="0" w:space="0" w:color="auto"/>
              </w:divBdr>
            </w:div>
          </w:divsChild>
        </w:div>
        <w:div w:id="211045574">
          <w:marLeft w:val="0"/>
          <w:marRight w:val="0"/>
          <w:marTop w:val="0"/>
          <w:marBottom w:val="0"/>
          <w:divBdr>
            <w:top w:val="none" w:sz="0" w:space="0" w:color="auto"/>
            <w:left w:val="none" w:sz="0" w:space="0" w:color="auto"/>
            <w:bottom w:val="none" w:sz="0" w:space="0" w:color="auto"/>
            <w:right w:val="none" w:sz="0" w:space="0" w:color="auto"/>
          </w:divBdr>
          <w:divsChild>
            <w:div w:id="696856166">
              <w:marLeft w:val="0"/>
              <w:marRight w:val="0"/>
              <w:marTop w:val="0"/>
              <w:marBottom w:val="0"/>
              <w:divBdr>
                <w:top w:val="none" w:sz="0" w:space="0" w:color="auto"/>
                <w:left w:val="none" w:sz="0" w:space="0" w:color="auto"/>
                <w:bottom w:val="none" w:sz="0" w:space="0" w:color="auto"/>
                <w:right w:val="none" w:sz="0" w:space="0" w:color="auto"/>
              </w:divBdr>
            </w:div>
          </w:divsChild>
        </w:div>
        <w:div w:id="238058730">
          <w:marLeft w:val="0"/>
          <w:marRight w:val="0"/>
          <w:marTop w:val="0"/>
          <w:marBottom w:val="0"/>
          <w:divBdr>
            <w:top w:val="none" w:sz="0" w:space="0" w:color="auto"/>
            <w:left w:val="none" w:sz="0" w:space="0" w:color="auto"/>
            <w:bottom w:val="none" w:sz="0" w:space="0" w:color="auto"/>
            <w:right w:val="none" w:sz="0" w:space="0" w:color="auto"/>
          </w:divBdr>
          <w:divsChild>
            <w:div w:id="992875905">
              <w:marLeft w:val="0"/>
              <w:marRight w:val="0"/>
              <w:marTop w:val="0"/>
              <w:marBottom w:val="0"/>
              <w:divBdr>
                <w:top w:val="none" w:sz="0" w:space="0" w:color="auto"/>
                <w:left w:val="none" w:sz="0" w:space="0" w:color="auto"/>
                <w:bottom w:val="none" w:sz="0" w:space="0" w:color="auto"/>
                <w:right w:val="none" w:sz="0" w:space="0" w:color="auto"/>
              </w:divBdr>
            </w:div>
          </w:divsChild>
        </w:div>
        <w:div w:id="443812835">
          <w:marLeft w:val="0"/>
          <w:marRight w:val="0"/>
          <w:marTop w:val="0"/>
          <w:marBottom w:val="0"/>
          <w:divBdr>
            <w:top w:val="none" w:sz="0" w:space="0" w:color="auto"/>
            <w:left w:val="none" w:sz="0" w:space="0" w:color="auto"/>
            <w:bottom w:val="none" w:sz="0" w:space="0" w:color="auto"/>
            <w:right w:val="none" w:sz="0" w:space="0" w:color="auto"/>
          </w:divBdr>
          <w:divsChild>
            <w:div w:id="1364670502">
              <w:marLeft w:val="0"/>
              <w:marRight w:val="0"/>
              <w:marTop w:val="0"/>
              <w:marBottom w:val="0"/>
              <w:divBdr>
                <w:top w:val="none" w:sz="0" w:space="0" w:color="auto"/>
                <w:left w:val="none" w:sz="0" w:space="0" w:color="auto"/>
                <w:bottom w:val="none" w:sz="0" w:space="0" w:color="auto"/>
                <w:right w:val="none" w:sz="0" w:space="0" w:color="auto"/>
              </w:divBdr>
            </w:div>
          </w:divsChild>
        </w:div>
        <w:div w:id="499542172">
          <w:marLeft w:val="0"/>
          <w:marRight w:val="0"/>
          <w:marTop w:val="0"/>
          <w:marBottom w:val="0"/>
          <w:divBdr>
            <w:top w:val="none" w:sz="0" w:space="0" w:color="auto"/>
            <w:left w:val="none" w:sz="0" w:space="0" w:color="auto"/>
            <w:bottom w:val="none" w:sz="0" w:space="0" w:color="auto"/>
            <w:right w:val="none" w:sz="0" w:space="0" w:color="auto"/>
          </w:divBdr>
          <w:divsChild>
            <w:div w:id="1167524154">
              <w:marLeft w:val="0"/>
              <w:marRight w:val="0"/>
              <w:marTop w:val="0"/>
              <w:marBottom w:val="0"/>
              <w:divBdr>
                <w:top w:val="none" w:sz="0" w:space="0" w:color="auto"/>
                <w:left w:val="none" w:sz="0" w:space="0" w:color="auto"/>
                <w:bottom w:val="none" w:sz="0" w:space="0" w:color="auto"/>
                <w:right w:val="none" w:sz="0" w:space="0" w:color="auto"/>
              </w:divBdr>
            </w:div>
          </w:divsChild>
        </w:div>
        <w:div w:id="639112366">
          <w:marLeft w:val="0"/>
          <w:marRight w:val="0"/>
          <w:marTop w:val="0"/>
          <w:marBottom w:val="0"/>
          <w:divBdr>
            <w:top w:val="none" w:sz="0" w:space="0" w:color="auto"/>
            <w:left w:val="none" w:sz="0" w:space="0" w:color="auto"/>
            <w:bottom w:val="none" w:sz="0" w:space="0" w:color="auto"/>
            <w:right w:val="none" w:sz="0" w:space="0" w:color="auto"/>
          </w:divBdr>
          <w:divsChild>
            <w:div w:id="486479621">
              <w:marLeft w:val="0"/>
              <w:marRight w:val="0"/>
              <w:marTop w:val="0"/>
              <w:marBottom w:val="0"/>
              <w:divBdr>
                <w:top w:val="none" w:sz="0" w:space="0" w:color="auto"/>
                <w:left w:val="none" w:sz="0" w:space="0" w:color="auto"/>
                <w:bottom w:val="none" w:sz="0" w:space="0" w:color="auto"/>
                <w:right w:val="none" w:sz="0" w:space="0" w:color="auto"/>
              </w:divBdr>
            </w:div>
          </w:divsChild>
        </w:div>
        <w:div w:id="700861209">
          <w:marLeft w:val="0"/>
          <w:marRight w:val="0"/>
          <w:marTop w:val="0"/>
          <w:marBottom w:val="0"/>
          <w:divBdr>
            <w:top w:val="none" w:sz="0" w:space="0" w:color="auto"/>
            <w:left w:val="none" w:sz="0" w:space="0" w:color="auto"/>
            <w:bottom w:val="none" w:sz="0" w:space="0" w:color="auto"/>
            <w:right w:val="none" w:sz="0" w:space="0" w:color="auto"/>
          </w:divBdr>
          <w:divsChild>
            <w:div w:id="30766159">
              <w:marLeft w:val="0"/>
              <w:marRight w:val="0"/>
              <w:marTop w:val="0"/>
              <w:marBottom w:val="0"/>
              <w:divBdr>
                <w:top w:val="none" w:sz="0" w:space="0" w:color="auto"/>
                <w:left w:val="none" w:sz="0" w:space="0" w:color="auto"/>
                <w:bottom w:val="none" w:sz="0" w:space="0" w:color="auto"/>
                <w:right w:val="none" w:sz="0" w:space="0" w:color="auto"/>
              </w:divBdr>
            </w:div>
          </w:divsChild>
        </w:div>
        <w:div w:id="705981568">
          <w:marLeft w:val="0"/>
          <w:marRight w:val="0"/>
          <w:marTop w:val="0"/>
          <w:marBottom w:val="0"/>
          <w:divBdr>
            <w:top w:val="none" w:sz="0" w:space="0" w:color="auto"/>
            <w:left w:val="none" w:sz="0" w:space="0" w:color="auto"/>
            <w:bottom w:val="none" w:sz="0" w:space="0" w:color="auto"/>
            <w:right w:val="none" w:sz="0" w:space="0" w:color="auto"/>
          </w:divBdr>
          <w:divsChild>
            <w:div w:id="468599213">
              <w:marLeft w:val="0"/>
              <w:marRight w:val="0"/>
              <w:marTop w:val="0"/>
              <w:marBottom w:val="0"/>
              <w:divBdr>
                <w:top w:val="none" w:sz="0" w:space="0" w:color="auto"/>
                <w:left w:val="none" w:sz="0" w:space="0" w:color="auto"/>
                <w:bottom w:val="none" w:sz="0" w:space="0" w:color="auto"/>
                <w:right w:val="none" w:sz="0" w:space="0" w:color="auto"/>
              </w:divBdr>
            </w:div>
          </w:divsChild>
        </w:div>
        <w:div w:id="706838441">
          <w:marLeft w:val="0"/>
          <w:marRight w:val="0"/>
          <w:marTop w:val="0"/>
          <w:marBottom w:val="0"/>
          <w:divBdr>
            <w:top w:val="none" w:sz="0" w:space="0" w:color="auto"/>
            <w:left w:val="none" w:sz="0" w:space="0" w:color="auto"/>
            <w:bottom w:val="none" w:sz="0" w:space="0" w:color="auto"/>
            <w:right w:val="none" w:sz="0" w:space="0" w:color="auto"/>
          </w:divBdr>
          <w:divsChild>
            <w:div w:id="1370763382">
              <w:marLeft w:val="0"/>
              <w:marRight w:val="0"/>
              <w:marTop w:val="0"/>
              <w:marBottom w:val="0"/>
              <w:divBdr>
                <w:top w:val="none" w:sz="0" w:space="0" w:color="auto"/>
                <w:left w:val="none" w:sz="0" w:space="0" w:color="auto"/>
                <w:bottom w:val="none" w:sz="0" w:space="0" w:color="auto"/>
                <w:right w:val="none" w:sz="0" w:space="0" w:color="auto"/>
              </w:divBdr>
            </w:div>
          </w:divsChild>
        </w:div>
        <w:div w:id="707876730">
          <w:marLeft w:val="0"/>
          <w:marRight w:val="0"/>
          <w:marTop w:val="0"/>
          <w:marBottom w:val="0"/>
          <w:divBdr>
            <w:top w:val="none" w:sz="0" w:space="0" w:color="auto"/>
            <w:left w:val="none" w:sz="0" w:space="0" w:color="auto"/>
            <w:bottom w:val="none" w:sz="0" w:space="0" w:color="auto"/>
            <w:right w:val="none" w:sz="0" w:space="0" w:color="auto"/>
          </w:divBdr>
          <w:divsChild>
            <w:div w:id="72436976">
              <w:marLeft w:val="0"/>
              <w:marRight w:val="0"/>
              <w:marTop w:val="0"/>
              <w:marBottom w:val="0"/>
              <w:divBdr>
                <w:top w:val="none" w:sz="0" w:space="0" w:color="auto"/>
                <w:left w:val="none" w:sz="0" w:space="0" w:color="auto"/>
                <w:bottom w:val="none" w:sz="0" w:space="0" w:color="auto"/>
                <w:right w:val="none" w:sz="0" w:space="0" w:color="auto"/>
              </w:divBdr>
            </w:div>
          </w:divsChild>
        </w:div>
        <w:div w:id="738870957">
          <w:marLeft w:val="0"/>
          <w:marRight w:val="0"/>
          <w:marTop w:val="0"/>
          <w:marBottom w:val="0"/>
          <w:divBdr>
            <w:top w:val="none" w:sz="0" w:space="0" w:color="auto"/>
            <w:left w:val="none" w:sz="0" w:space="0" w:color="auto"/>
            <w:bottom w:val="none" w:sz="0" w:space="0" w:color="auto"/>
            <w:right w:val="none" w:sz="0" w:space="0" w:color="auto"/>
          </w:divBdr>
          <w:divsChild>
            <w:div w:id="1551962451">
              <w:marLeft w:val="0"/>
              <w:marRight w:val="0"/>
              <w:marTop w:val="0"/>
              <w:marBottom w:val="0"/>
              <w:divBdr>
                <w:top w:val="none" w:sz="0" w:space="0" w:color="auto"/>
                <w:left w:val="none" w:sz="0" w:space="0" w:color="auto"/>
                <w:bottom w:val="none" w:sz="0" w:space="0" w:color="auto"/>
                <w:right w:val="none" w:sz="0" w:space="0" w:color="auto"/>
              </w:divBdr>
            </w:div>
          </w:divsChild>
        </w:div>
        <w:div w:id="755975174">
          <w:marLeft w:val="0"/>
          <w:marRight w:val="0"/>
          <w:marTop w:val="0"/>
          <w:marBottom w:val="0"/>
          <w:divBdr>
            <w:top w:val="none" w:sz="0" w:space="0" w:color="auto"/>
            <w:left w:val="none" w:sz="0" w:space="0" w:color="auto"/>
            <w:bottom w:val="none" w:sz="0" w:space="0" w:color="auto"/>
            <w:right w:val="none" w:sz="0" w:space="0" w:color="auto"/>
          </w:divBdr>
          <w:divsChild>
            <w:div w:id="1947734258">
              <w:marLeft w:val="0"/>
              <w:marRight w:val="0"/>
              <w:marTop w:val="0"/>
              <w:marBottom w:val="0"/>
              <w:divBdr>
                <w:top w:val="none" w:sz="0" w:space="0" w:color="auto"/>
                <w:left w:val="none" w:sz="0" w:space="0" w:color="auto"/>
                <w:bottom w:val="none" w:sz="0" w:space="0" w:color="auto"/>
                <w:right w:val="none" w:sz="0" w:space="0" w:color="auto"/>
              </w:divBdr>
            </w:div>
          </w:divsChild>
        </w:div>
        <w:div w:id="765076208">
          <w:marLeft w:val="0"/>
          <w:marRight w:val="0"/>
          <w:marTop w:val="0"/>
          <w:marBottom w:val="0"/>
          <w:divBdr>
            <w:top w:val="none" w:sz="0" w:space="0" w:color="auto"/>
            <w:left w:val="none" w:sz="0" w:space="0" w:color="auto"/>
            <w:bottom w:val="none" w:sz="0" w:space="0" w:color="auto"/>
            <w:right w:val="none" w:sz="0" w:space="0" w:color="auto"/>
          </w:divBdr>
          <w:divsChild>
            <w:div w:id="80413070">
              <w:marLeft w:val="0"/>
              <w:marRight w:val="0"/>
              <w:marTop w:val="0"/>
              <w:marBottom w:val="0"/>
              <w:divBdr>
                <w:top w:val="none" w:sz="0" w:space="0" w:color="auto"/>
                <w:left w:val="none" w:sz="0" w:space="0" w:color="auto"/>
                <w:bottom w:val="none" w:sz="0" w:space="0" w:color="auto"/>
                <w:right w:val="none" w:sz="0" w:space="0" w:color="auto"/>
              </w:divBdr>
            </w:div>
          </w:divsChild>
        </w:div>
        <w:div w:id="813912181">
          <w:marLeft w:val="0"/>
          <w:marRight w:val="0"/>
          <w:marTop w:val="0"/>
          <w:marBottom w:val="0"/>
          <w:divBdr>
            <w:top w:val="none" w:sz="0" w:space="0" w:color="auto"/>
            <w:left w:val="none" w:sz="0" w:space="0" w:color="auto"/>
            <w:bottom w:val="none" w:sz="0" w:space="0" w:color="auto"/>
            <w:right w:val="none" w:sz="0" w:space="0" w:color="auto"/>
          </w:divBdr>
          <w:divsChild>
            <w:div w:id="2128349139">
              <w:marLeft w:val="0"/>
              <w:marRight w:val="0"/>
              <w:marTop w:val="0"/>
              <w:marBottom w:val="0"/>
              <w:divBdr>
                <w:top w:val="none" w:sz="0" w:space="0" w:color="auto"/>
                <w:left w:val="none" w:sz="0" w:space="0" w:color="auto"/>
                <w:bottom w:val="none" w:sz="0" w:space="0" w:color="auto"/>
                <w:right w:val="none" w:sz="0" w:space="0" w:color="auto"/>
              </w:divBdr>
            </w:div>
          </w:divsChild>
        </w:div>
        <w:div w:id="958027284">
          <w:marLeft w:val="0"/>
          <w:marRight w:val="0"/>
          <w:marTop w:val="0"/>
          <w:marBottom w:val="0"/>
          <w:divBdr>
            <w:top w:val="none" w:sz="0" w:space="0" w:color="auto"/>
            <w:left w:val="none" w:sz="0" w:space="0" w:color="auto"/>
            <w:bottom w:val="none" w:sz="0" w:space="0" w:color="auto"/>
            <w:right w:val="none" w:sz="0" w:space="0" w:color="auto"/>
          </w:divBdr>
          <w:divsChild>
            <w:div w:id="1934244189">
              <w:marLeft w:val="0"/>
              <w:marRight w:val="0"/>
              <w:marTop w:val="0"/>
              <w:marBottom w:val="0"/>
              <w:divBdr>
                <w:top w:val="none" w:sz="0" w:space="0" w:color="auto"/>
                <w:left w:val="none" w:sz="0" w:space="0" w:color="auto"/>
                <w:bottom w:val="none" w:sz="0" w:space="0" w:color="auto"/>
                <w:right w:val="none" w:sz="0" w:space="0" w:color="auto"/>
              </w:divBdr>
            </w:div>
          </w:divsChild>
        </w:div>
        <w:div w:id="1033337036">
          <w:marLeft w:val="0"/>
          <w:marRight w:val="0"/>
          <w:marTop w:val="0"/>
          <w:marBottom w:val="0"/>
          <w:divBdr>
            <w:top w:val="none" w:sz="0" w:space="0" w:color="auto"/>
            <w:left w:val="none" w:sz="0" w:space="0" w:color="auto"/>
            <w:bottom w:val="none" w:sz="0" w:space="0" w:color="auto"/>
            <w:right w:val="none" w:sz="0" w:space="0" w:color="auto"/>
          </w:divBdr>
          <w:divsChild>
            <w:div w:id="26491443">
              <w:marLeft w:val="0"/>
              <w:marRight w:val="0"/>
              <w:marTop w:val="0"/>
              <w:marBottom w:val="0"/>
              <w:divBdr>
                <w:top w:val="none" w:sz="0" w:space="0" w:color="auto"/>
                <w:left w:val="none" w:sz="0" w:space="0" w:color="auto"/>
                <w:bottom w:val="none" w:sz="0" w:space="0" w:color="auto"/>
                <w:right w:val="none" w:sz="0" w:space="0" w:color="auto"/>
              </w:divBdr>
            </w:div>
          </w:divsChild>
        </w:div>
        <w:div w:id="1035235848">
          <w:marLeft w:val="0"/>
          <w:marRight w:val="0"/>
          <w:marTop w:val="0"/>
          <w:marBottom w:val="0"/>
          <w:divBdr>
            <w:top w:val="none" w:sz="0" w:space="0" w:color="auto"/>
            <w:left w:val="none" w:sz="0" w:space="0" w:color="auto"/>
            <w:bottom w:val="none" w:sz="0" w:space="0" w:color="auto"/>
            <w:right w:val="none" w:sz="0" w:space="0" w:color="auto"/>
          </w:divBdr>
          <w:divsChild>
            <w:div w:id="1988513799">
              <w:marLeft w:val="0"/>
              <w:marRight w:val="0"/>
              <w:marTop w:val="0"/>
              <w:marBottom w:val="0"/>
              <w:divBdr>
                <w:top w:val="none" w:sz="0" w:space="0" w:color="auto"/>
                <w:left w:val="none" w:sz="0" w:space="0" w:color="auto"/>
                <w:bottom w:val="none" w:sz="0" w:space="0" w:color="auto"/>
                <w:right w:val="none" w:sz="0" w:space="0" w:color="auto"/>
              </w:divBdr>
            </w:div>
          </w:divsChild>
        </w:div>
        <w:div w:id="1193687525">
          <w:marLeft w:val="0"/>
          <w:marRight w:val="0"/>
          <w:marTop w:val="0"/>
          <w:marBottom w:val="0"/>
          <w:divBdr>
            <w:top w:val="none" w:sz="0" w:space="0" w:color="auto"/>
            <w:left w:val="none" w:sz="0" w:space="0" w:color="auto"/>
            <w:bottom w:val="none" w:sz="0" w:space="0" w:color="auto"/>
            <w:right w:val="none" w:sz="0" w:space="0" w:color="auto"/>
          </w:divBdr>
          <w:divsChild>
            <w:div w:id="583689812">
              <w:marLeft w:val="0"/>
              <w:marRight w:val="0"/>
              <w:marTop w:val="0"/>
              <w:marBottom w:val="0"/>
              <w:divBdr>
                <w:top w:val="none" w:sz="0" w:space="0" w:color="auto"/>
                <w:left w:val="none" w:sz="0" w:space="0" w:color="auto"/>
                <w:bottom w:val="none" w:sz="0" w:space="0" w:color="auto"/>
                <w:right w:val="none" w:sz="0" w:space="0" w:color="auto"/>
              </w:divBdr>
            </w:div>
          </w:divsChild>
        </w:div>
        <w:div w:id="1221672396">
          <w:marLeft w:val="0"/>
          <w:marRight w:val="0"/>
          <w:marTop w:val="0"/>
          <w:marBottom w:val="0"/>
          <w:divBdr>
            <w:top w:val="none" w:sz="0" w:space="0" w:color="auto"/>
            <w:left w:val="none" w:sz="0" w:space="0" w:color="auto"/>
            <w:bottom w:val="none" w:sz="0" w:space="0" w:color="auto"/>
            <w:right w:val="none" w:sz="0" w:space="0" w:color="auto"/>
          </w:divBdr>
          <w:divsChild>
            <w:div w:id="1915623104">
              <w:marLeft w:val="0"/>
              <w:marRight w:val="0"/>
              <w:marTop w:val="0"/>
              <w:marBottom w:val="0"/>
              <w:divBdr>
                <w:top w:val="none" w:sz="0" w:space="0" w:color="auto"/>
                <w:left w:val="none" w:sz="0" w:space="0" w:color="auto"/>
                <w:bottom w:val="none" w:sz="0" w:space="0" w:color="auto"/>
                <w:right w:val="none" w:sz="0" w:space="0" w:color="auto"/>
              </w:divBdr>
            </w:div>
          </w:divsChild>
        </w:div>
        <w:div w:id="1254120100">
          <w:marLeft w:val="0"/>
          <w:marRight w:val="0"/>
          <w:marTop w:val="0"/>
          <w:marBottom w:val="0"/>
          <w:divBdr>
            <w:top w:val="none" w:sz="0" w:space="0" w:color="auto"/>
            <w:left w:val="none" w:sz="0" w:space="0" w:color="auto"/>
            <w:bottom w:val="none" w:sz="0" w:space="0" w:color="auto"/>
            <w:right w:val="none" w:sz="0" w:space="0" w:color="auto"/>
          </w:divBdr>
          <w:divsChild>
            <w:div w:id="575940679">
              <w:marLeft w:val="0"/>
              <w:marRight w:val="0"/>
              <w:marTop w:val="0"/>
              <w:marBottom w:val="0"/>
              <w:divBdr>
                <w:top w:val="none" w:sz="0" w:space="0" w:color="auto"/>
                <w:left w:val="none" w:sz="0" w:space="0" w:color="auto"/>
                <w:bottom w:val="none" w:sz="0" w:space="0" w:color="auto"/>
                <w:right w:val="none" w:sz="0" w:space="0" w:color="auto"/>
              </w:divBdr>
            </w:div>
          </w:divsChild>
        </w:div>
        <w:div w:id="1285842381">
          <w:marLeft w:val="0"/>
          <w:marRight w:val="0"/>
          <w:marTop w:val="0"/>
          <w:marBottom w:val="0"/>
          <w:divBdr>
            <w:top w:val="none" w:sz="0" w:space="0" w:color="auto"/>
            <w:left w:val="none" w:sz="0" w:space="0" w:color="auto"/>
            <w:bottom w:val="none" w:sz="0" w:space="0" w:color="auto"/>
            <w:right w:val="none" w:sz="0" w:space="0" w:color="auto"/>
          </w:divBdr>
          <w:divsChild>
            <w:div w:id="42825535">
              <w:marLeft w:val="0"/>
              <w:marRight w:val="0"/>
              <w:marTop w:val="0"/>
              <w:marBottom w:val="0"/>
              <w:divBdr>
                <w:top w:val="none" w:sz="0" w:space="0" w:color="auto"/>
                <w:left w:val="none" w:sz="0" w:space="0" w:color="auto"/>
                <w:bottom w:val="none" w:sz="0" w:space="0" w:color="auto"/>
                <w:right w:val="none" w:sz="0" w:space="0" w:color="auto"/>
              </w:divBdr>
            </w:div>
          </w:divsChild>
        </w:div>
        <w:div w:id="1287467920">
          <w:marLeft w:val="0"/>
          <w:marRight w:val="0"/>
          <w:marTop w:val="0"/>
          <w:marBottom w:val="0"/>
          <w:divBdr>
            <w:top w:val="none" w:sz="0" w:space="0" w:color="auto"/>
            <w:left w:val="none" w:sz="0" w:space="0" w:color="auto"/>
            <w:bottom w:val="none" w:sz="0" w:space="0" w:color="auto"/>
            <w:right w:val="none" w:sz="0" w:space="0" w:color="auto"/>
          </w:divBdr>
          <w:divsChild>
            <w:div w:id="798186314">
              <w:marLeft w:val="0"/>
              <w:marRight w:val="0"/>
              <w:marTop w:val="0"/>
              <w:marBottom w:val="0"/>
              <w:divBdr>
                <w:top w:val="none" w:sz="0" w:space="0" w:color="auto"/>
                <w:left w:val="none" w:sz="0" w:space="0" w:color="auto"/>
                <w:bottom w:val="none" w:sz="0" w:space="0" w:color="auto"/>
                <w:right w:val="none" w:sz="0" w:space="0" w:color="auto"/>
              </w:divBdr>
            </w:div>
          </w:divsChild>
        </w:div>
        <w:div w:id="1340622483">
          <w:marLeft w:val="0"/>
          <w:marRight w:val="0"/>
          <w:marTop w:val="0"/>
          <w:marBottom w:val="0"/>
          <w:divBdr>
            <w:top w:val="none" w:sz="0" w:space="0" w:color="auto"/>
            <w:left w:val="none" w:sz="0" w:space="0" w:color="auto"/>
            <w:bottom w:val="none" w:sz="0" w:space="0" w:color="auto"/>
            <w:right w:val="none" w:sz="0" w:space="0" w:color="auto"/>
          </w:divBdr>
          <w:divsChild>
            <w:div w:id="33389872">
              <w:marLeft w:val="0"/>
              <w:marRight w:val="0"/>
              <w:marTop w:val="0"/>
              <w:marBottom w:val="0"/>
              <w:divBdr>
                <w:top w:val="none" w:sz="0" w:space="0" w:color="auto"/>
                <w:left w:val="none" w:sz="0" w:space="0" w:color="auto"/>
                <w:bottom w:val="none" w:sz="0" w:space="0" w:color="auto"/>
                <w:right w:val="none" w:sz="0" w:space="0" w:color="auto"/>
              </w:divBdr>
            </w:div>
          </w:divsChild>
        </w:div>
        <w:div w:id="1349602248">
          <w:marLeft w:val="0"/>
          <w:marRight w:val="0"/>
          <w:marTop w:val="0"/>
          <w:marBottom w:val="0"/>
          <w:divBdr>
            <w:top w:val="none" w:sz="0" w:space="0" w:color="auto"/>
            <w:left w:val="none" w:sz="0" w:space="0" w:color="auto"/>
            <w:bottom w:val="none" w:sz="0" w:space="0" w:color="auto"/>
            <w:right w:val="none" w:sz="0" w:space="0" w:color="auto"/>
          </w:divBdr>
          <w:divsChild>
            <w:div w:id="633607685">
              <w:marLeft w:val="0"/>
              <w:marRight w:val="0"/>
              <w:marTop w:val="0"/>
              <w:marBottom w:val="0"/>
              <w:divBdr>
                <w:top w:val="none" w:sz="0" w:space="0" w:color="auto"/>
                <w:left w:val="none" w:sz="0" w:space="0" w:color="auto"/>
                <w:bottom w:val="none" w:sz="0" w:space="0" w:color="auto"/>
                <w:right w:val="none" w:sz="0" w:space="0" w:color="auto"/>
              </w:divBdr>
            </w:div>
          </w:divsChild>
        </w:div>
        <w:div w:id="1350840374">
          <w:marLeft w:val="0"/>
          <w:marRight w:val="0"/>
          <w:marTop w:val="0"/>
          <w:marBottom w:val="0"/>
          <w:divBdr>
            <w:top w:val="none" w:sz="0" w:space="0" w:color="auto"/>
            <w:left w:val="none" w:sz="0" w:space="0" w:color="auto"/>
            <w:bottom w:val="none" w:sz="0" w:space="0" w:color="auto"/>
            <w:right w:val="none" w:sz="0" w:space="0" w:color="auto"/>
          </w:divBdr>
          <w:divsChild>
            <w:div w:id="124129366">
              <w:marLeft w:val="0"/>
              <w:marRight w:val="0"/>
              <w:marTop w:val="0"/>
              <w:marBottom w:val="0"/>
              <w:divBdr>
                <w:top w:val="none" w:sz="0" w:space="0" w:color="auto"/>
                <w:left w:val="none" w:sz="0" w:space="0" w:color="auto"/>
                <w:bottom w:val="none" w:sz="0" w:space="0" w:color="auto"/>
                <w:right w:val="none" w:sz="0" w:space="0" w:color="auto"/>
              </w:divBdr>
            </w:div>
          </w:divsChild>
        </w:div>
        <w:div w:id="1419908064">
          <w:marLeft w:val="0"/>
          <w:marRight w:val="0"/>
          <w:marTop w:val="0"/>
          <w:marBottom w:val="0"/>
          <w:divBdr>
            <w:top w:val="none" w:sz="0" w:space="0" w:color="auto"/>
            <w:left w:val="none" w:sz="0" w:space="0" w:color="auto"/>
            <w:bottom w:val="none" w:sz="0" w:space="0" w:color="auto"/>
            <w:right w:val="none" w:sz="0" w:space="0" w:color="auto"/>
          </w:divBdr>
          <w:divsChild>
            <w:div w:id="1998608876">
              <w:marLeft w:val="0"/>
              <w:marRight w:val="0"/>
              <w:marTop w:val="0"/>
              <w:marBottom w:val="0"/>
              <w:divBdr>
                <w:top w:val="none" w:sz="0" w:space="0" w:color="auto"/>
                <w:left w:val="none" w:sz="0" w:space="0" w:color="auto"/>
                <w:bottom w:val="none" w:sz="0" w:space="0" w:color="auto"/>
                <w:right w:val="none" w:sz="0" w:space="0" w:color="auto"/>
              </w:divBdr>
            </w:div>
          </w:divsChild>
        </w:div>
        <w:div w:id="1422331078">
          <w:marLeft w:val="0"/>
          <w:marRight w:val="0"/>
          <w:marTop w:val="0"/>
          <w:marBottom w:val="0"/>
          <w:divBdr>
            <w:top w:val="none" w:sz="0" w:space="0" w:color="auto"/>
            <w:left w:val="none" w:sz="0" w:space="0" w:color="auto"/>
            <w:bottom w:val="none" w:sz="0" w:space="0" w:color="auto"/>
            <w:right w:val="none" w:sz="0" w:space="0" w:color="auto"/>
          </w:divBdr>
          <w:divsChild>
            <w:div w:id="1517957773">
              <w:marLeft w:val="0"/>
              <w:marRight w:val="0"/>
              <w:marTop w:val="0"/>
              <w:marBottom w:val="0"/>
              <w:divBdr>
                <w:top w:val="none" w:sz="0" w:space="0" w:color="auto"/>
                <w:left w:val="none" w:sz="0" w:space="0" w:color="auto"/>
                <w:bottom w:val="none" w:sz="0" w:space="0" w:color="auto"/>
                <w:right w:val="none" w:sz="0" w:space="0" w:color="auto"/>
              </w:divBdr>
            </w:div>
          </w:divsChild>
        </w:div>
        <w:div w:id="1438600744">
          <w:marLeft w:val="0"/>
          <w:marRight w:val="0"/>
          <w:marTop w:val="0"/>
          <w:marBottom w:val="0"/>
          <w:divBdr>
            <w:top w:val="none" w:sz="0" w:space="0" w:color="auto"/>
            <w:left w:val="none" w:sz="0" w:space="0" w:color="auto"/>
            <w:bottom w:val="none" w:sz="0" w:space="0" w:color="auto"/>
            <w:right w:val="none" w:sz="0" w:space="0" w:color="auto"/>
          </w:divBdr>
          <w:divsChild>
            <w:div w:id="754933665">
              <w:marLeft w:val="0"/>
              <w:marRight w:val="0"/>
              <w:marTop w:val="0"/>
              <w:marBottom w:val="0"/>
              <w:divBdr>
                <w:top w:val="none" w:sz="0" w:space="0" w:color="auto"/>
                <w:left w:val="none" w:sz="0" w:space="0" w:color="auto"/>
                <w:bottom w:val="none" w:sz="0" w:space="0" w:color="auto"/>
                <w:right w:val="none" w:sz="0" w:space="0" w:color="auto"/>
              </w:divBdr>
            </w:div>
          </w:divsChild>
        </w:div>
        <w:div w:id="1439716619">
          <w:marLeft w:val="0"/>
          <w:marRight w:val="0"/>
          <w:marTop w:val="0"/>
          <w:marBottom w:val="0"/>
          <w:divBdr>
            <w:top w:val="none" w:sz="0" w:space="0" w:color="auto"/>
            <w:left w:val="none" w:sz="0" w:space="0" w:color="auto"/>
            <w:bottom w:val="none" w:sz="0" w:space="0" w:color="auto"/>
            <w:right w:val="none" w:sz="0" w:space="0" w:color="auto"/>
          </w:divBdr>
          <w:divsChild>
            <w:div w:id="95753483">
              <w:marLeft w:val="0"/>
              <w:marRight w:val="0"/>
              <w:marTop w:val="0"/>
              <w:marBottom w:val="0"/>
              <w:divBdr>
                <w:top w:val="none" w:sz="0" w:space="0" w:color="auto"/>
                <w:left w:val="none" w:sz="0" w:space="0" w:color="auto"/>
                <w:bottom w:val="none" w:sz="0" w:space="0" w:color="auto"/>
                <w:right w:val="none" w:sz="0" w:space="0" w:color="auto"/>
              </w:divBdr>
            </w:div>
          </w:divsChild>
        </w:div>
        <w:div w:id="1446268561">
          <w:marLeft w:val="0"/>
          <w:marRight w:val="0"/>
          <w:marTop w:val="0"/>
          <w:marBottom w:val="0"/>
          <w:divBdr>
            <w:top w:val="none" w:sz="0" w:space="0" w:color="auto"/>
            <w:left w:val="none" w:sz="0" w:space="0" w:color="auto"/>
            <w:bottom w:val="none" w:sz="0" w:space="0" w:color="auto"/>
            <w:right w:val="none" w:sz="0" w:space="0" w:color="auto"/>
          </w:divBdr>
          <w:divsChild>
            <w:div w:id="1174764441">
              <w:marLeft w:val="0"/>
              <w:marRight w:val="0"/>
              <w:marTop w:val="0"/>
              <w:marBottom w:val="0"/>
              <w:divBdr>
                <w:top w:val="none" w:sz="0" w:space="0" w:color="auto"/>
                <w:left w:val="none" w:sz="0" w:space="0" w:color="auto"/>
                <w:bottom w:val="none" w:sz="0" w:space="0" w:color="auto"/>
                <w:right w:val="none" w:sz="0" w:space="0" w:color="auto"/>
              </w:divBdr>
            </w:div>
          </w:divsChild>
        </w:div>
        <w:div w:id="1476727357">
          <w:marLeft w:val="0"/>
          <w:marRight w:val="0"/>
          <w:marTop w:val="0"/>
          <w:marBottom w:val="0"/>
          <w:divBdr>
            <w:top w:val="none" w:sz="0" w:space="0" w:color="auto"/>
            <w:left w:val="none" w:sz="0" w:space="0" w:color="auto"/>
            <w:bottom w:val="none" w:sz="0" w:space="0" w:color="auto"/>
            <w:right w:val="none" w:sz="0" w:space="0" w:color="auto"/>
          </w:divBdr>
          <w:divsChild>
            <w:div w:id="1233926640">
              <w:marLeft w:val="0"/>
              <w:marRight w:val="0"/>
              <w:marTop w:val="0"/>
              <w:marBottom w:val="0"/>
              <w:divBdr>
                <w:top w:val="none" w:sz="0" w:space="0" w:color="auto"/>
                <w:left w:val="none" w:sz="0" w:space="0" w:color="auto"/>
                <w:bottom w:val="none" w:sz="0" w:space="0" w:color="auto"/>
                <w:right w:val="none" w:sz="0" w:space="0" w:color="auto"/>
              </w:divBdr>
            </w:div>
          </w:divsChild>
        </w:div>
        <w:div w:id="1581988474">
          <w:marLeft w:val="0"/>
          <w:marRight w:val="0"/>
          <w:marTop w:val="0"/>
          <w:marBottom w:val="0"/>
          <w:divBdr>
            <w:top w:val="none" w:sz="0" w:space="0" w:color="auto"/>
            <w:left w:val="none" w:sz="0" w:space="0" w:color="auto"/>
            <w:bottom w:val="none" w:sz="0" w:space="0" w:color="auto"/>
            <w:right w:val="none" w:sz="0" w:space="0" w:color="auto"/>
          </w:divBdr>
          <w:divsChild>
            <w:div w:id="1329093981">
              <w:marLeft w:val="0"/>
              <w:marRight w:val="0"/>
              <w:marTop w:val="0"/>
              <w:marBottom w:val="0"/>
              <w:divBdr>
                <w:top w:val="none" w:sz="0" w:space="0" w:color="auto"/>
                <w:left w:val="none" w:sz="0" w:space="0" w:color="auto"/>
                <w:bottom w:val="none" w:sz="0" w:space="0" w:color="auto"/>
                <w:right w:val="none" w:sz="0" w:space="0" w:color="auto"/>
              </w:divBdr>
            </w:div>
          </w:divsChild>
        </w:div>
        <w:div w:id="1592349384">
          <w:marLeft w:val="0"/>
          <w:marRight w:val="0"/>
          <w:marTop w:val="0"/>
          <w:marBottom w:val="0"/>
          <w:divBdr>
            <w:top w:val="none" w:sz="0" w:space="0" w:color="auto"/>
            <w:left w:val="none" w:sz="0" w:space="0" w:color="auto"/>
            <w:bottom w:val="none" w:sz="0" w:space="0" w:color="auto"/>
            <w:right w:val="none" w:sz="0" w:space="0" w:color="auto"/>
          </w:divBdr>
          <w:divsChild>
            <w:div w:id="245304593">
              <w:marLeft w:val="0"/>
              <w:marRight w:val="0"/>
              <w:marTop w:val="0"/>
              <w:marBottom w:val="0"/>
              <w:divBdr>
                <w:top w:val="none" w:sz="0" w:space="0" w:color="auto"/>
                <w:left w:val="none" w:sz="0" w:space="0" w:color="auto"/>
                <w:bottom w:val="none" w:sz="0" w:space="0" w:color="auto"/>
                <w:right w:val="none" w:sz="0" w:space="0" w:color="auto"/>
              </w:divBdr>
            </w:div>
          </w:divsChild>
        </w:div>
        <w:div w:id="1604611441">
          <w:marLeft w:val="0"/>
          <w:marRight w:val="0"/>
          <w:marTop w:val="0"/>
          <w:marBottom w:val="0"/>
          <w:divBdr>
            <w:top w:val="none" w:sz="0" w:space="0" w:color="auto"/>
            <w:left w:val="none" w:sz="0" w:space="0" w:color="auto"/>
            <w:bottom w:val="none" w:sz="0" w:space="0" w:color="auto"/>
            <w:right w:val="none" w:sz="0" w:space="0" w:color="auto"/>
          </w:divBdr>
          <w:divsChild>
            <w:div w:id="1861313305">
              <w:marLeft w:val="0"/>
              <w:marRight w:val="0"/>
              <w:marTop w:val="0"/>
              <w:marBottom w:val="0"/>
              <w:divBdr>
                <w:top w:val="none" w:sz="0" w:space="0" w:color="auto"/>
                <w:left w:val="none" w:sz="0" w:space="0" w:color="auto"/>
                <w:bottom w:val="none" w:sz="0" w:space="0" w:color="auto"/>
                <w:right w:val="none" w:sz="0" w:space="0" w:color="auto"/>
              </w:divBdr>
            </w:div>
          </w:divsChild>
        </w:div>
        <w:div w:id="1702826772">
          <w:marLeft w:val="0"/>
          <w:marRight w:val="0"/>
          <w:marTop w:val="0"/>
          <w:marBottom w:val="0"/>
          <w:divBdr>
            <w:top w:val="none" w:sz="0" w:space="0" w:color="auto"/>
            <w:left w:val="none" w:sz="0" w:space="0" w:color="auto"/>
            <w:bottom w:val="none" w:sz="0" w:space="0" w:color="auto"/>
            <w:right w:val="none" w:sz="0" w:space="0" w:color="auto"/>
          </w:divBdr>
          <w:divsChild>
            <w:div w:id="1399130525">
              <w:marLeft w:val="0"/>
              <w:marRight w:val="0"/>
              <w:marTop w:val="0"/>
              <w:marBottom w:val="0"/>
              <w:divBdr>
                <w:top w:val="none" w:sz="0" w:space="0" w:color="auto"/>
                <w:left w:val="none" w:sz="0" w:space="0" w:color="auto"/>
                <w:bottom w:val="none" w:sz="0" w:space="0" w:color="auto"/>
                <w:right w:val="none" w:sz="0" w:space="0" w:color="auto"/>
              </w:divBdr>
            </w:div>
          </w:divsChild>
        </w:div>
        <w:div w:id="1756512318">
          <w:marLeft w:val="0"/>
          <w:marRight w:val="0"/>
          <w:marTop w:val="0"/>
          <w:marBottom w:val="0"/>
          <w:divBdr>
            <w:top w:val="none" w:sz="0" w:space="0" w:color="auto"/>
            <w:left w:val="none" w:sz="0" w:space="0" w:color="auto"/>
            <w:bottom w:val="none" w:sz="0" w:space="0" w:color="auto"/>
            <w:right w:val="none" w:sz="0" w:space="0" w:color="auto"/>
          </w:divBdr>
          <w:divsChild>
            <w:div w:id="1797674877">
              <w:marLeft w:val="0"/>
              <w:marRight w:val="0"/>
              <w:marTop w:val="0"/>
              <w:marBottom w:val="0"/>
              <w:divBdr>
                <w:top w:val="none" w:sz="0" w:space="0" w:color="auto"/>
                <w:left w:val="none" w:sz="0" w:space="0" w:color="auto"/>
                <w:bottom w:val="none" w:sz="0" w:space="0" w:color="auto"/>
                <w:right w:val="none" w:sz="0" w:space="0" w:color="auto"/>
              </w:divBdr>
            </w:div>
          </w:divsChild>
        </w:div>
        <w:div w:id="1821919292">
          <w:marLeft w:val="0"/>
          <w:marRight w:val="0"/>
          <w:marTop w:val="0"/>
          <w:marBottom w:val="0"/>
          <w:divBdr>
            <w:top w:val="none" w:sz="0" w:space="0" w:color="auto"/>
            <w:left w:val="none" w:sz="0" w:space="0" w:color="auto"/>
            <w:bottom w:val="none" w:sz="0" w:space="0" w:color="auto"/>
            <w:right w:val="none" w:sz="0" w:space="0" w:color="auto"/>
          </w:divBdr>
          <w:divsChild>
            <w:div w:id="670985453">
              <w:marLeft w:val="0"/>
              <w:marRight w:val="0"/>
              <w:marTop w:val="0"/>
              <w:marBottom w:val="0"/>
              <w:divBdr>
                <w:top w:val="none" w:sz="0" w:space="0" w:color="auto"/>
                <w:left w:val="none" w:sz="0" w:space="0" w:color="auto"/>
                <w:bottom w:val="none" w:sz="0" w:space="0" w:color="auto"/>
                <w:right w:val="none" w:sz="0" w:space="0" w:color="auto"/>
              </w:divBdr>
            </w:div>
          </w:divsChild>
        </w:div>
        <w:div w:id="1861702258">
          <w:marLeft w:val="0"/>
          <w:marRight w:val="0"/>
          <w:marTop w:val="0"/>
          <w:marBottom w:val="0"/>
          <w:divBdr>
            <w:top w:val="none" w:sz="0" w:space="0" w:color="auto"/>
            <w:left w:val="none" w:sz="0" w:space="0" w:color="auto"/>
            <w:bottom w:val="none" w:sz="0" w:space="0" w:color="auto"/>
            <w:right w:val="none" w:sz="0" w:space="0" w:color="auto"/>
          </w:divBdr>
          <w:divsChild>
            <w:div w:id="975138987">
              <w:marLeft w:val="0"/>
              <w:marRight w:val="0"/>
              <w:marTop w:val="0"/>
              <w:marBottom w:val="0"/>
              <w:divBdr>
                <w:top w:val="none" w:sz="0" w:space="0" w:color="auto"/>
                <w:left w:val="none" w:sz="0" w:space="0" w:color="auto"/>
                <w:bottom w:val="none" w:sz="0" w:space="0" w:color="auto"/>
                <w:right w:val="none" w:sz="0" w:space="0" w:color="auto"/>
              </w:divBdr>
            </w:div>
          </w:divsChild>
        </w:div>
        <w:div w:id="1861777580">
          <w:marLeft w:val="0"/>
          <w:marRight w:val="0"/>
          <w:marTop w:val="0"/>
          <w:marBottom w:val="0"/>
          <w:divBdr>
            <w:top w:val="none" w:sz="0" w:space="0" w:color="auto"/>
            <w:left w:val="none" w:sz="0" w:space="0" w:color="auto"/>
            <w:bottom w:val="none" w:sz="0" w:space="0" w:color="auto"/>
            <w:right w:val="none" w:sz="0" w:space="0" w:color="auto"/>
          </w:divBdr>
          <w:divsChild>
            <w:div w:id="493256539">
              <w:marLeft w:val="0"/>
              <w:marRight w:val="0"/>
              <w:marTop w:val="0"/>
              <w:marBottom w:val="0"/>
              <w:divBdr>
                <w:top w:val="none" w:sz="0" w:space="0" w:color="auto"/>
                <w:left w:val="none" w:sz="0" w:space="0" w:color="auto"/>
                <w:bottom w:val="none" w:sz="0" w:space="0" w:color="auto"/>
                <w:right w:val="none" w:sz="0" w:space="0" w:color="auto"/>
              </w:divBdr>
            </w:div>
          </w:divsChild>
        </w:div>
        <w:div w:id="1924946936">
          <w:marLeft w:val="0"/>
          <w:marRight w:val="0"/>
          <w:marTop w:val="0"/>
          <w:marBottom w:val="0"/>
          <w:divBdr>
            <w:top w:val="none" w:sz="0" w:space="0" w:color="auto"/>
            <w:left w:val="none" w:sz="0" w:space="0" w:color="auto"/>
            <w:bottom w:val="none" w:sz="0" w:space="0" w:color="auto"/>
            <w:right w:val="none" w:sz="0" w:space="0" w:color="auto"/>
          </w:divBdr>
          <w:divsChild>
            <w:div w:id="1914968099">
              <w:marLeft w:val="0"/>
              <w:marRight w:val="0"/>
              <w:marTop w:val="0"/>
              <w:marBottom w:val="0"/>
              <w:divBdr>
                <w:top w:val="none" w:sz="0" w:space="0" w:color="auto"/>
                <w:left w:val="none" w:sz="0" w:space="0" w:color="auto"/>
                <w:bottom w:val="none" w:sz="0" w:space="0" w:color="auto"/>
                <w:right w:val="none" w:sz="0" w:space="0" w:color="auto"/>
              </w:divBdr>
            </w:div>
          </w:divsChild>
        </w:div>
        <w:div w:id="1948734963">
          <w:marLeft w:val="0"/>
          <w:marRight w:val="0"/>
          <w:marTop w:val="0"/>
          <w:marBottom w:val="0"/>
          <w:divBdr>
            <w:top w:val="none" w:sz="0" w:space="0" w:color="auto"/>
            <w:left w:val="none" w:sz="0" w:space="0" w:color="auto"/>
            <w:bottom w:val="none" w:sz="0" w:space="0" w:color="auto"/>
            <w:right w:val="none" w:sz="0" w:space="0" w:color="auto"/>
          </w:divBdr>
          <w:divsChild>
            <w:div w:id="1406107256">
              <w:marLeft w:val="0"/>
              <w:marRight w:val="0"/>
              <w:marTop w:val="0"/>
              <w:marBottom w:val="0"/>
              <w:divBdr>
                <w:top w:val="none" w:sz="0" w:space="0" w:color="auto"/>
                <w:left w:val="none" w:sz="0" w:space="0" w:color="auto"/>
                <w:bottom w:val="none" w:sz="0" w:space="0" w:color="auto"/>
                <w:right w:val="none" w:sz="0" w:space="0" w:color="auto"/>
              </w:divBdr>
            </w:div>
          </w:divsChild>
        </w:div>
        <w:div w:id="2053460441">
          <w:marLeft w:val="0"/>
          <w:marRight w:val="0"/>
          <w:marTop w:val="0"/>
          <w:marBottom w:val="0"/>
          <w:divBdr>
            <w:top w:val="none" w:sz="0" w:space="0" w:color="auto"/>
            <w:left w:val="none" w:sz="0" w:space="0" w:color="auto"/>
            <w:bottom w:val="none" w:sz="0" w:space="0" w:color="auto"/>
            <w:right w:val="none" w:sz="0" w:space="0" w:color="auto"/>
          </w:divBdr>
          <w:divsChild>
            <w:div w:id="1581600243">
              <w:marLeft w:val="0"/>
              <w:marRight w:val="0"/>
              <w:marTop w:val="0"/>
              <w:marBottom w:val="0"/>
              <w:divBdr>
                <w:top w:val="none" w:sz="0" w:space="0" w:color="auto"/>
                <w:left w:val="none" w:sz="0" w:space="0" w:color="auto"/>
                <w:bottom w:val="none" w:sz="0" w:space="0" w:color="auto"/>
                <w:right w:val="none" w:sz="0" w:space="0" w:color="auto"/>
              </w:divBdr>
            </w:div>
          </w:divsChild>
        </w:div>
        <w:div w:id="2060274759">
          <w:marLeft w:val="0"/>
          <w:marRight w:val="0"/>
          <w:marTop w:val="0"/>
          <w:marBottom w:val="0"/>
          <w:divBdr>
            <w:top w:val="none" w:sz="0" w:space="0" w:color="auto"/>
            <w:left w:val="none" w:sz="0" w:space="0" w:color="auto"/>
            <w:bottom w:val="none" w:sz="0" w:space="0" w:color="auto"/>
            <w:right w:val="none" w:sz="0" w:space="0" w:color="auto"/>
          </w:divBdr>
          <w:divsChild>
            <w:div w:id="376778602">
              <w:marLeft w:val="0"/>
              <w:marRight w:val="0"/>
              <w:marTop w:val="0"/>
              <w:marBottom w:val="0"/>
              <w:divBdr>
                <w:top w:val="none" w:sz="0" w:space="0" w:color="auto"/>
                <w:left w:val="none" w:sz="0" w:space="0" w:color="auto"/>
                <w:bottom w:val="none" w:sz="0" w:space="0" w:color="auto"/>
                <w:right w:val="none" w:sz="0" w:space="0" w:color="auto"/>
              </w:divBdr>
            </w:div>
          </w:divsChild>
        </w:div>
        <w:div w:id="2124374065">
          <w:marLeft w:val="0"/>
          <w:marRight w:val="0"/>
          <w:marTop w:val="0"/>
          <w:marBottom w:val="0"/>
          <w:divBdr>
            <w:top w:val="none" w:sz="0" w:space="0" w:color="auto"/>
            <w:left w:val="none" w:sz="0" w:space="0" w:color="auto"/>
            <w:bottom w:val="none" w:sz="0" w:space="0" w:color="auto"/>
            <w:right w:val="none" w:sz="0" w:space="0" w:color="auto"/>
          </w:divBdr>
          <w:divsChild>
            <w:div w:id="194210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8473">
      <w:bodyDiv w:val="1"/>
      <w:marLeft w:val="0"/>
      <w:marRight w:val="0"/>
      <w:marTop w:val="0"/>
      <w:marBottom w:val="0"/>
      <w:divBdr>
        <w:top w:val="none" w:sz="0" w:space="0" w:color="auto"/>
        <w:left w:val="none" w:sz="0" w:space="0" w:color="auto"/>
        <w:bottom w:val="none" w:sz="0" w:space="0" w:color="auto"/>
        <w:right w:val="none" w:sz="0" w:space="0" w:color="auto"/>
      </w:divBdr>
    </w:div>
    <w:div w:id="132331904">
      <w:bodyDiv w:val="1"/>
      <w:marLeft w:val="0"/>
      <w:marRight w:val="0"/>
      <w:marTop w:val="0"/>
      <w:marBottom w:val="0"/>
      <w:divBdr>
        <w:top w:val="none" w:sz="0" w:space="0" w:color="auto"/>
        <w:left w:val="none" w:sz="0" w:space="0" w:color="auto"/>
        <w:bottom w:val="none" w:sz="0" w:space="0" w:color="auto"/>
        <w:right w:val="none" w:sz="0" w:space="0" w:color="auto"/>
      </w:divBdr>
    </w:div>
    <w:div w:id="174536125">
      <w:bodyDiv w:val="1"/>
      <w:marLeft w:val="0"/>
      <w:marRight w:val="0"/>
      <w:marTop w:val="0"/>
      <w:marBottom w:val="0"/>
      <w:divBdr>
        <w:top w:val="none" w:sz="0" w:space="0" w:color="auto"/>
        <w:left w:val="none" w:sz="0" w:space="0" w:color="auto"/>
        <w:bottom w:val="none" w:sz="0" w:space="0" w:color="auto"/>
        <w:right w:val="none" w:sz="0" w:space="0" w:color="auto"/>
      </w:divBdr>
    </w:div>
    <w:div w:id="214318195">
      <w:bodyDiv w:val="1"/>
      <w:marLeft w:val="0"/>
      <w:marRight w:val="0"/>
      <w:marTop w:val="0"/>
      <w:marBottom w:val="0"/>
      <w:divBdr>
        <w:top w:val="none" w:sz="0" w:space="0" w:color="auto"/>
        <w:left w:val="none" w:sz="0" w:space="0" w:color="auto"/>
        <w:bottom w:val="none" w:sz="0" w:space="0" w:color="auto"/>
        <w:right w:val="none" w:sz="0" w:space="0" w:color="auto"/>
      </w:divBdr>
    </w:div>
    <w:div w:id="365714362">
      <w:bodyDiv w:val="1"/>
      <w:marLeft w:val="0"/>
      <w:marRight w:val="0"/>
      <w:marTop w:val="0"/>
      <w:marBottom w:val="0"/>
      <w:divBdr>
        <w:top w:val="none" w:sz="0" w:space="0" w:color="auto"/>
        <w:left w:val="none" w:sz="0" w:space="0" w:color="auto"/>
        <w:bottom w:val="none" w:sz="0" w:space="0" w:color="auto"/>
        <w:right w:val="none" w:sz="0" w:space="0" w:color="auto"/>
      </w:divBdr>
    </w:div>
    <w:div w:id="365764703">
      <w:bodyDiv w:val="1"/>
      <w:marLeft w:val="0"/>
      <w:marRight w:val="0"/>
      <w:marTop w:val="0"/>
      <w:marBottom w:val="0"/>
      <w:divBdr>
        <w:top w:val="none" w:sz="0" w:space="0" w:color="auto"/>
        <w:left w:val="none" w:sz="0" w:space="0" w:color="auto"/>
        <w:bottom w:val="none" w:sz="0" w:space="0" w:color="auto"/>
        <w:right w:val="none" w:sz="0" w:space="0" w:color="auto"/>
      </w:divBdr>
    </w:div>
    <w:div w:id="402796607">
      <w:bodyDiv w:val="1"/>
      <w:marLeft w:val="0"/>
      <w:marRight w:val="0"/>
      <w:marTop w:val="0"/>
      <w:marBottom w:val="0"/>
      <w:divBdr>
        <w:top w:val="none" w:sz="0" w:space="0" w:color="auto"/>
        <w:left w:val="none" w:sz="0" w:space="0" w:color="auto"/>
        <w:bottom w:val="none" w:sz="0" w:space="0" w:color="auto"/>
        <w:right w:val="none" w:sz="0" w:space="0" w:color="auto"/>
      </w:divBdr>
    </w:div>
    <w:div w:id="411244397">
      <w:bodyDiv w:val="1"/>
      <w:marLeft w:val="0"/>
      <w:marRight w:val="0"/>
      <w:marTop w:val="0"/>
      <w:marBottom w:val="0"/>
      <w:divBdr>
        <w:top w:val="none" w:sz="0" w:space="0" w:color="auto"/>
        <w:left w:val="none" w:sz="0" w:space="0" w:color="auto"/>
        <w:bottom w:val="none" w:sz="0" w:space="0" w:color="auto"/>
        <w:right w:val="none" w:sz="0" w:space="0" w:color="auto"/>
      </w:divBdr>
    </w:div>
    <w:div w:id="854002003">
      <w:bodyDiv w:val="1"/>
      <w:marLeft w:val="0"/>
      <w:marRight w:val="0"/>
      <w:marTop w:val="0"/>
      <w:marBottom w:val="0"/>
      <w:divBdr>
        <w:top w:val="none" w:sz="0" w:space="0" w:color="auto"/>
        <w:left w:val="none" w:sz="0" w:space="0" w:color="auto"/>
        <w:bottom w:val="none" w:sz="0" w:space="0" w:color="auto"/>
        <w:right w:val="none" w:sz="0" w:space="0" w:color="auto"/>
      </w:divBdr>
    </w:div>
    <w:div w:id="924614201">
      <w:bodyDiv w:val="1"/>
      <w:marLeft w:val="0"/>
      <w:marRight w:val="0"/>
      <w:marTop w:val="0"/>
      <w:marBottom w:val="0"/>
      <w:divBdr>
        <w:top w:val="none" w:sz="0" w:space="0" w:color="auto"/>
        <w:left w:val="none" w:sz="0" w:space="0" w:color="auto"/>
        <w:bottom w:val="none" w:sz="0" w:space="0" w:color="auto"/>
        <w:right w:val="none" w:sz="0" w:space="0" w:color="auto"/>
      </w:divBdr>
    </w:div>
    <w:div w:id="1012295271">
      <w:bodyDiv w:val="1"/>
      <w:marLeft w:val="0"/>
      <w:marRight w:val="0"/>
      <w:marTop w:val="0"/>
      <w:marBottom w:val="0"/>
      <w:divBdr>
        <w:top w:val="none" w:sz="0" w:space="0" w:color="auto"/>
        <w:left w:val="none" w:sz="0" w:space="0" w:color="auto"/>
        <w:bottom w:val="none" w:sz="0" w:space="0" w:color="auto"/>
        <w:right w:val="none" w:sz="0" w:space="0" w:color="auto"/>
      </w:divBdr>
    </w:div>
    <w:div w:id="1122263527">
      <w:bodyDiv w:val="1"/>
      <w:marLeft w:val="0"/>
      <w:marRight w:val="0"/>
      <w:marTop w:val="0"/>
      <w:marBottom w:val="0"/>
      <w:divBdr>
        <w:top w:val="none" w:sz="0" w:space="0" w:color="auto"/>
        <w:left w:val="none" w:sz="0" w:space="0" w:color="auto"/>
        <w:bottom w:val="none" w:sz="0" w:space="0" w:color="auto"/>
        <w:right w:val="none" w:sz="0" w:space="0" w:color="auto"/>
      </w:divBdr>
    </w:div>
    <w:div w:id="1168600432">
      <w:bodyDiv w:val="1"/>
      <w:marLeft w:val="0"/>
      <w:marRight w:val="0"/>
      <w:marTop w:val="0"/>
      <w:marBottom w:val="0"/>
      <w:divBdr>
        <w:top w:val="none" w:sz="0" w:space="0" w:color="auto"/>
        <w:left w:val="none" w:sz="0" w:space="0" w:color="auto"/>
        <w:bottom w:val="none" w:sz="0" w:space="0" w:color="auto"/>
        <w:right w:val="none" w:sz="0" w:space="0" w:color="auto"/>
      </w:divBdr>
    </w:div>
    <w:div w:id="1176847594">
      <w:bodyDiv w:val="1"/>
      <w:marLeft w:val="0"/>
      <w:marRight w:val="0"/>
      <w:marTop w:val="0"/>
      <w:marBottom w:val="0"/>
      <w:divBdr>
        <w:top w:val="none" w:sz="0" w:space="0" w:color="auto"/>
        <w:left w:val="none" w:sz="0" w:space="0" w:color="auto"/>
        <w:bottom w:val="none" w:sz="0" w:space="0" w:color="auto"/>
        <w:right w:val="none" w:sz="0" w:space="0" w:color="auto"/>
      </w:divBdr>
    </w:div>
    <w:div w:id="1234507636">
      <w:bodyDiv w:val="1"/>
      <w:marLeft w:val="0"/>
      <w:marRight w:val="0"/>
      <w:marTop w:val="0"/>
      <w:marBottom w:val="0"/>
      <w:divBdr>
        <w:top w:val="none" w:sz="0" w:space="0" w:color="auto"/>
        <w:left w:val="none" w:sz="0" w:space="0" w:color="auto"/>
        <w:bottom w:val="none" w:sz="0" w:space="0" w:color="auto"/>
        <w:right w:val="none" w:sz="0" w:space="0" w:color="auto"/>
      </w:divBdr>
    </w:div>
    <w:div w:id="1605188288">
      <w:bodyDiv w:val="1"/>
      <w:marLeft w:val="0"/>
      <w:marRight w:val="0"/>
      <w:marTop w:val="0"/>
      <w:marBottom w:val="0"/>
      <w:divBdr>
        <w:top w:val="none" w:sz="0" w:space="0" w:color="auto"/>
        <w:left w:val="none" w:sz="0" w:space="0" w:color="auto"/>
        <w:bottom w:val="none" w:sz="0" w:space="0" w:color="auto"/>
        <w:right w:val="none" w:sz="0" w:space="0" w:color="auto"/>
      </w:divBdr>
    </w:div>
    <w:div w:id="1688631080">
      <w:bodyDiv w:val="1"/>
      <w:marLeft w:val="0"/>
      <w:marRight w:val="0"/>
      <w:marTop w:val="0"/>
      <w:marBottom w:val="0"/>
      <w:divBdr>
        <w:top w:val="none" w:sz="0" w:space="0" w:color="auto"/>
        <w:left w:val="none" w:sz="0" w:space="0" w:color="auto"/>
        <w:bottom w:val="none" w:sz="0" w:space="0" w:color="auto"/>
        <w:right w:val="none" w:sz="0" w:space="0" w:color="auto"/>
      </w:divBdr>
    </w:div>
    <w:div w:id="1780176198">
      <w:bodyDiv w:val="1"/>
      <w:marLeft w:val="0"/>
      <w:marRight w:val="0"/>
      <w:marTop w:val="0"/>
      <w:marBottom w:val="0"/>
      <w:divBdr>
        <w:top w:val="none" w:sz="0" w:space="0" w:color="auto"/>
        <w:left w:val="none" w:sz="0" w:space="0" w:color="auto"/>
        <w:bottom w:val="none" w:sz="0" w:space="0" w:color="auto"/>
        <w:right w:val="none" w:sz="0" w:space="0" w:color="auto"/>
      </w:divBdr>
    </w:div>
    <w:div w:id="1903100586">
      <w:bodyDiv w:val="1"/>
      <w:marLeft w:val="0"/>
      <w:marRight w:val="0"/>
      <w:marTop w:val="0"/>
      <w:marBottom w:val="0"/>
      <w:divBdr>
        <w:top w:val="none" w:sz="0" w:space="0" w:color="auto"/>
        <w:left w:val="none" w:sz="0" w:space="0" w:color="auto"/>
        <w:bottom w:val="none" w:sz="0" w:space="0" w:color="auto"/>
        <w:right w:val="none" w:sz="0" w:space="0" w:color="auto"/>
      </w:divBdr>
    </w:div>
    <w:div w:id="1984314312">
      <w:bodyDiv w:val="1"/>
      <w:marLeft w:val="0"/>
      <w:marRight w:val="0"/>
      <w:marTop w:val="0"/>
      <w:marBottom w:val="0"/>
      <w:divBdr>
        <w:top w:val="none" w:sz="0" w:space="0" w:color="auto"/>
        <w:left w:val="none" w:sz="0" w:space="0" w:color="auto"/>
        <w:bottom w:val="none" w:sz="0" w:space="0" w:color="auto"/>
        <w:right w:val="none" w:sz="0" w:space="0" w:color="auto"/>
      </w:divBdr>
      <w:divsChild>
        <w:div w:id="20713301">
          <w:marLeft w:val="0"/>
          <w:marRight w:val="0"/>
          <w:marTop w:val="0"/>
          <w:marBottom w:val="0"/>
          <w:divBdr>
            <w:top w:val="none" w:sz="0" w:space="0" w:color="auto"/>
            <w:left w:val="none" w:sz="0" w:space="0" w:color="auto"/>
            <w:bottom w:val="none" w:sz="0" w:space="0" w:color="auto"/>
            <w:right w:val="none" w:sz="0" w:space="0" w:color="auto"/>
          </w:divBdr>
          <w:divsChild>
            <w:div w:id="724910188">
              <w:marLeft w:val="0"/>
              <w:marRight w:val="0"/>
              <w:marTop w:val="0"/>
              <w:marBottom w:val="0"/>
              <w:divBdr>
                <w:top w:val="none" w:sz="0" w:space="0" w:color="auto"/>
                <w:left w:val="none" w:sz="0" w:space="0" w:color="auto"/>
                <w:bottom w:val="none" w:sz="0" w:space="0" w:color="auto"/>
                <w:right w:val="none" w:sz="0" w:space="0" w:color="auto"/>
              </w:divBdr>
            </w:div>
          </w:divsChild>
        </w:div>
        <w:div w:id="76826114">
          <w:marLeft w:val="0"/>
          <w:marRight w:val="0"/>
          <w:marTop w:val="0"/>
          <w:marBottom w:val="0"/>
          <w:divBdr>
            <w:top w:val="none" w:sz="0" w:space="0" w:color="auto"/>
            <w:left w:val="none" w:sz="0" w:space="0" w:color="auto"/>
            <w:bottom w:val="none" w:sz="0" w:space="0" w:color="auto"/>
            <w:right w:val="none" w:sz="0" w:space="0" w:color="auto"/>
          </w:divBdr>
          <w:divsChild>
            <w:div w:id="980962883">
              <w:marLeft w:val="0"/>
              <w:marRight w:val="0"/>
              <w:marTop w:val="0"/>
              <w:marBottom w:val="0"/>
              <w:divBdr>
                <w:top w:val="none" w:sz="0" w:space="0" w:color="auto"/>
                <w:left w:val="none" w:sz="0" w:space="0" w:color="auto"/>
                <w:bottom w:val="none" w:sz="0" w:space="0" w:color="auto"/>
                <w:right w:val="none" w:sz="0" w:space="0" w:color="auto"/>
              </w:divBdr>
            </w:div>
          </w:divsChild>
        </w:div>
        <w:div w:id="80103190">
          <w:marLeft w:val="0"/>
          <w:marRight w:val="0"/>
          <w:marTop w:val="0"/>
          <w:marBottom w:val="0"/>
          <w:divBdr>
            <w:top w:val="none" w:sz="0" w:space="0" w:color="auto"/>
            <w:left w:val="none" w:sz="0" w:space="0" w:color="auto"/>
            <w:bottom w:val="none" w:sz="0" w:space="0" w:color="auto"/>
            <w:right w:val="none" w:sz="0" w:space="0" w:color="auto"/>
          </w:divBdr>
          <w:divsChild>
            <w:div w:id="330645118">
              <w:marLeft w:val="0"/>
              <w:marRight w:val="0"/>
              <w:marTop w:val="0"/>
              <w:marBottom w:val="0"/>
              <w:divBdr>
                <w:top w:val="none" w:sz="0" w:space="0" w:color="auto"/>
                <w:left w:val="none" w:sz="0" w:space="0" w:color="auto"/>
                <w:bottom w:val="none" w:sz="0" w:space="0" w:color="auto"/>
                <w:right w:val="none" w:sz="0" w:space="0" w:color="auto"/>
              </w:divBdr>
            </w:div>
          </w:divsChild>
        </w:div>
        <w:div w:id="89662993">
          <w:marLeft w:val="0"/>
          <w:marRight w:val="0"/>
          <w:marTop w:val="0"/>
          <w:marBottom w:val="0"/>
          <w:divBdr>
            <w:top w:val="none" w:sz="0" w:space="0" w:color="auto"/>
            <w:left w:val="none" w:sz="0" w:space="0" w:color="auto"/>
            <w:bottom w:val="none" w:sz="0" w:space="0" w:color="auto"/>
            <w:right w:val="none" w:sz="0" w:space="0" w:color="auto"/>
          </w:divBdr>
          <w:divsChild>
            <w:div w:id="1807046342">
              <w:marLeft w:val="0"/>
              <w:marRight w:val="0"/>
              <w:marTop w:val="0"/>
              <w:marBottom w:val="0"/>
              <w:divBdr>
                <w:top w:val="none" w:sz="0" w:space="0" w:color="auto"/>
                <w:left w:val="none" w:sz="0" w:space="0" w:color="auto"/>
                <w:bottom w:val="none" w:sz="0" w:space="0" w:color="auto"/>
                <w:right w:val="none" w:sz="0" w:space="0" w:color="auto"/>
              </w:divBdr>
            </w:div>
          </w:divsChild>
        </w:div>
        <w:div w:id="249896248">
          <w:marLeft w:val="0"/>
          <w:marRight w:val="0"/>
          <w:marTop w:val="0"/>
          <w:marBottom w:val="0"/>
          <w:divBdr>
            <w:top w:val="none" w:sz="0" w:space="0" w:color="auto"/>
            <w:left w:val="none" w:sz="0" w:space="0" w:color="auto"/>
            <w:bottom w:val="none" w:sz="0" w:space="0" w:color="auto"/>
            <w:right w:val="none" w:sz="0" w:space="0" w:color="auto"/>
          </w:divBdr>
          <w:divsChild>
            <w:div w:id="1869220862">
              <w:marLeft w:val="0"/>
              <w:marRight w:val="0"/>
              <w:marTop w:val="0"/>
              <w:marBottom w:val="0"/>
              <w:divBdr>
                <w:top w:val="none" w:sz="0" w:space="0" w:color="auto"/>
                <w:left w:val="none" w:sz="0" w:space="0" w:color="auto"/>
                <w:bottom w:val="none" w:sz="0" w:space="0" w:color="auto"/>
                <w:right w:val="none" w:sz="0" w:space="0" w:color="auto"/>
              </w:divBdr>
            </w:div>
          </w:divsChild>
        </w:div>
        <w:div w:id="328676045">
          <w:marLeft w:val="0"/>
          <w:marRight w:val="0"/>
          <w:marTop w:val="0"/>
          <w:marBottom w:val="0"/>
          <w:divBdr>
            <w:top w:val="none" w:sz="0" w:space="0" w:color="auto"/>
            <w:left w:val="none" w:sz="0" w:space="0" w:color="auto"/>
            <w:bottom w:val="none" w:sz="0" w:space="0" w:color="auto"/>
            <w:right w:val="none" w:sz="0" w:space="0" w:color="auto"/>
          </w:divBdr>
          <w:divsChild>
            <w:div w:id="183639946">
              <w:marLeft w:val="0"/>
              <w:marRight w:val="0"/>
              <w:marTop w:val="0"/>
              <w:marBottom w:val="0"/>
              <w:divBdr>
                <w:top w:val="none" w:sz="0" w:space="0" w:color="auto"/>
                <w:left w:val="none" w:sz="0" w:space="0" w:color="auto"/>
                <w:bottom w:val="none" w:sz="0" w:space="0" w:color="auto"/>
                <w:right w:val="none" w:sz="0" w:space="0" w:color="auto"/>
              </w:divBdr>
            </w:div>
          </w:divsChild>
        </w:div>
        <w:div w:id="345596134">
          <w:marLeft w:val="0"/>
          <w:marRight w:val="0"/>
          <w:marTop w:val="0"/>
          <w:marBottom w:val="0"/>
          <w:divBdr>
            <w:top w:val="none" w:sz="0" w:space="0" w:color="auto"/>
            <w:left w:val="none" w:sz="0" w:space="0" w:color="auto"/>
            <w:bottom w:val="none" w:sz="0" w:space="0" w:color="auto"/>
            <w:right w:val="none" w:sz="0" w:space="0" w:color="auto"/>
          </w:divBdr>
          <w:divsChild>
            <w:div w:id="896014408">
              <w:marLeft w:val="0"/>
              <w:marRight w:val="0"/>
              <w:marTop w:val="0"/>
              <w:marBottom w:val="0"/>
              <w:divBdr>
                <w:top w:val="none" w:sz="0" w:space="0" w:color="auto"/>
                <w:left w:val="none" w:sz="0" w:space="0" w:color="auto"/>
                <w:bottom w:val="none" w:sz="0" w:space="0" w:color="auto"/>
                <w:right w:val="none" w:sz="0" w:space="0" w:color="auto"/>
              </w:divBdr>
            </w:div>
          </w:divsChild>
        </w:div>
        <w:div w:id="348795357">
          <w:marLeft w:val="0"/>
          <w:marRight w:val="0"/>
          <w:marTop w:val="0"/>
          <w:marBottom w:val="0"/>
          <w:divBdr>
            <w:top w:val="none" w:sz="0" w:space="0" w:color="auto"/>
            <w:left w:val="none" w:sz="0" w:space="0" w:color="auto"/>
            <w:bottom w:val="none" w:sz="0" w:space="0" w:color="auto"/>
            <w:right w:val="none" w:sz="0" w:space="0" w:color="auto"/>
          </w:divBdr>
          <w:divsChild>
            <w:div w:id="789056677">
              <w:marLeft w:val="0"/>
              <w:marRight w:val="0"/>
              <w:marTop w:val="0"/>
              <w:marBottom w:val="0"/>
              <w:divBdr>
                <w:top w:val="none" w:sz="0" w:space="0" w:color="auto"/>
                <w:left w:val="none" w:sz="0" w:space="0" w:color="auto"/>
                <w:bottom w:val="none" w:sz="0" w:space="0" w:color="auto"/>
                <w:right w:val="none" w:sz="0" w:space="0" w:color="auto"/>
              </w:divBdr>
            </w:div>
          </w:divsChild>
        </w:div>
        <w:div w:id="454251189">
          <w:marLeft w:val="0"/>
          <w:marRight w:val="0"/>
          <w:marTop w:val="0"/>
          <w:marBottom w:val="0"/>
          <w:divBdr>
            <w:top w:val="none" w:sz="0" w:space="0" w:color="auto"/>
            <w:left w:val="none" w:sz="0" w:space="0" w:color="auto"/>
            <w:bottom w:val="none" w:sz="0" w:space="0" w:color="auto"/>
            <w:right w:val="none" w:sz="0" w:space="0" w:color="auto"/>
          </w:divBdr>
          <w:divsChild>
            <w:div w:id="1307853516">
              <w:marLeft w:val="0"/>
              <w:marRight w:val="0"/>
              <w:marTop w:val="0"/>
              <w:marBottom w:val="0"/>
              <w:divBdr>
                <w:top w:val="none" w:sz="0" w:space="0" w:color="auto"/>
                <w:left w:val="none" w:sz="0" w:space="0" w:color="auto"/>
                <w:bottom w:val="none" w:sz="0" w:space="0" w:color="auto"/>
                <w:right w:val="none" w:sz="0" w:space="0" w:color="auto"/>
              </w:divBdr>
            </w:div>
          </w:divsChild>
        </w:div>
        <w:div w:id="525824763">
          <w:marLeft w:val="0"/>
          <w:marRight w:val="0"/>
          <w:marTop w:val="0"/>
          <w:marBottom w:val="0"/>
          <w:divBdr>
            <w:top w:val="none" w:sz="0" w:space="0" w:color="auto"/>
            <w:left w:val="none" w:sz="0" w:space="0" w:color="auto"/>
            <w:bottom w:val="none" w:sz="0" w:space="0" w:color="auto"/>
            <w:right w:val="none" w:sz="0" w:space="0" w:color="auto"/>
          </w:divBdr>
          <w:divsChild>
            <w:div w:id="1336567262">
              <w:marLeft w:val="0"/>
              <w:marRight w:val="0"/>
              <w:marTop w:val="0"/>
              <w:marBottom w:val="0"/>
              <w:divBdr>
                <w:top w:val="none" w:sz="0" w:space="0" w:color="auto"/>
                <w:left w:val="none" w:sz="0" w:space="0" w:color="auto"/>
                <w:bottom w:val="none" w:sz="0" w:space="0" w:color="auto"/>
                <w:right w:val="none" w:sz="0" w:space="0" w:color="auto"/>
              </w:divBdr>
            </w:div>
          </w:divsChild>
        </w:div>
        <w:div w:id="540048063">
          <w:marLeft w:val="0"/>
          <w:marRight w:val="0"/>
          <w:marTop w:val="0"/>
          <w:marBottom w:val="0"/>
          <w:divBdr>
            <w:top w:val="none" w:sz="0" w:space="0" w:color="auto"/>
            <w:left w:val="none" w:sz="0" w:space="0" w:color="auto"/>
            <w:bottom w:val="none" w:sz="0" w:space="0" w:color="auto"/>
            <w:right w:val="none" w:sz="0" w:space="0" w:color="auto"/>
          </w:divBdr>
          <w:divsChild>
            <w:div w:id="26493841">
              <w:marLeft w:val="0"/>
              <w:marRight w:val="0"/>
              <w:marTop w:val="0"/>
              <w:marBottom w:val="0"/>
              <w:divBdr>
                <w:top w:val="none" w:sz="0" w:space="0" w:color="auto"/>
                <w:left w:val="none" w:sz="0" w:space="0" w:color="auto"/>
                <w:bottom w:val="none" w:sz="0" w:space="0" w:color="auto"/>
                <w:right w:val="none" w:sz="0" w:space="0" w:color="auto"/>
              </w:divBdr>
            </w:div>
          </w:divsChild>
        </w:div>
        <w:div w:id="613100182">
          <w:marLeft w:val="0"/>
          <w:marRight w:val="0"/>
          <w:marTop w:val="0"/>
          <w:marBottom w:val="0"/>
          <w:divBdr>
            <w:top w:val="none" w:sz="0" w:space="0" w:color="auto"/>
            <w:left w:val="none" w:sz="0" w:space="0" w:color="auto"/>
            <w:bottom w:val="none" w:sz="0" w:space="0" w:color="auto"/>
            <w:right w:val="none" w:sz="0" w:space="0" w:color="auto"/>
          </w:divBdr>
          <w:divsChild>
            <w:div w:id="1146357124">
              <w:marLeft w:val="0"/>
              <w:marRight w:val="0"/>
              <w:marTop w:val="0"/>
              <w:marBottom w:val="0"/>
              <w:divBdr>
                <w:top w:val="none" w:sz="0" w:space="0" w:color="auto"/>
                <w:left w:val="none" w:sz="0" w:space="0" w:color="auto"/>
                <w:bottom w:val="none" w:sz="0" w:space="0" w:color="auto"/>
                <w:right w:val="none" w:sz="0" w:space="0" w:color="auto"/>
              </w:divBdr>
            </w:div>
          </w:divsChild>
        </w:div>
        <w:div w:id="662586475">
          <w:marLeft w:val="0"/>
          <w:marRight w:val="0"/>
          <w:marTop w:val="0"/>
          <w:marBottom w:val="0"/>
          <w:divBdr>
            <w:top w:val="none" w:sz="0" w:space="0" w:color="auto"/>
            <w:left w:val="none" w:sz="0" w:space="0" w:color="auto"/>
            <w:bottom w:val="none" w:sz="0" w:space="0" w:color="auto"/>
            <w:right w:val="none" w:sz="0" w:space="0" w:color="auto"/>
          </w:divBdr>
          <w:divsChild>
            <w:div w:id="2072339868">
              <w:marLeft w:val="0"/>
              <w:marRight w:val="0"/>
              <w:marTop w:val="0"/>
              <w:marBottom w:val="0"/>
              <w:divBdr>
                <w:top w:val="none" w:sz="0" w:space="0" w:color="auto"/>
                <w:left w:val="none" w:sz="0" w:space="0" w:color="auto"/>
                <w:bottom w:val="none" w:sz="0" w:space="0" w:color="auto"/>
                <w:right w:val="none" w:sz="0" w:space="0" w:color="auto"/>
              </w:divBdr>
            </w:div>
          </w:divsChild>
        </w:div>
        <w:div w:id="665212412">
          <w:marLeft w:val="0"/>
          <w:marRight w:val="0"/>
          <w:marTop w:val="0"/>
          <w:marBottom w:val="0"/>
          <w:divBdr>
            <w:top w:val="none" w:sz="0" w:space="0" w:color="auto"/>
            <w:left w:val="none" w:sz="0" w:space="0" w:color="auto"/>
            <w:bottom w:val="none" w:sz="0" w:space="0" w:color="auto"/>
            <w:right w:val="none" w:sz="0" w:space="0" w:color="auto"/>
          </w:divBdr>
          <w:divsChild>
            <w:div w:id="423498367">
              <w:marLeft w:val="0"/>
              <w:marRight w:val="0"/>
              <w:marTop w:val="0"/>
              <w:marBottom w:val="0"/>
              <w:divBdr>
                <w:top w:val="none" w:sz="0" w:space="0" w:color="auto"/>
                <w:left w:val="none" w:sz="0" w:space="0" w:color="auto"/>
                <w:bottom w:val="none" w:sz="0" w:space="0" w:color="auto"/>
                <w:right w:val="none" w:sz="0" w:space="0" w:color="auto"/>
              </w:divBdr>
            </w:div>
          </w:divsChild>
        </w:div>
        <w:div w:id="686293388">
          <w:marLeft w:val="0"/>
          <w:marRight w:val="0"/>
          <w:marTop w:val="0"/>
          <w:marBottom w:val="0"/>
          <w:divBdr>
            <w:top w:val="none" w:sz="0" w:space="0" w:color="auto"/>
            <w:left w:val="none" w:sz="0" w:space="0" w:color="auto"/>
            <w:bottom w:val="none" w:sz="0" w:space="0" w:color="auto"/>
            <w:right w:val="none" w:sz="0" w:space="0" w:color="auto"/>
          </w:divBdr>
          <w:divsChild>
            <w:div w:id="598492866">
              <w:marLeft w:val="0"/>
              <w:marRight w:val="0"/>
              <w:marTop w:val="0"/>
              <w:marBottom w:val="0"/>
              <w:divBdr>
                <w:top w:val="none" w:sz="0" w:space="0" w:color="auto"/>
                <w:left w:val="none" w:sz="0" w:space="0" w:color="auto"/>
                <w:bottom w:val="none" w:sz="0" w:space="0" w:color="auto"/>
                <w:right w:val="none" w:sz="0" w:space="0" w:color="auto"/>
              </w:divBdr>
            </w:div>
          </w:divsChild>
        </w:div>
        <w:div w:id="732893906">
          <w:marLeft w:val="0"/>
          <w:marRight w:val="0"/>
          <w:marTop w:val="0"/>
          <w:marBottom w:val="0"/>
          <w:divBdr>
            <w:top w:val="none" w:sz="0" w:space="0" w:color="auto"/>
            <w:left w:val="none" w:sz="0" w:space="0" w:color="auto"/>
            <w:bottom w:val="none" w:sz="0" w:space="0" w:color="auto"/>
            <w:right w:val="none" w:sz="0" w:space="0" w:color="auto"/>
          </w:divBdr>
          <w:divsChild>
            <w:div w:id="1432630387">
              <w:marLeft w:val="0"/>
              <w:marRight w:val="0"/>
              <w:marTop w:val="0"/>
              <w:marBottom w:val="0"/>
              <w:divBdr>
                <w:top w:val="none" w:sz="0" w:space="0" w:color="auto"/>
                <w:left w:val="none" w:sz="0" w:space="0" w:color="auto"/>
                <w:bottom w:val="none" w:sz="0" w:space="0" w:color="auto"/>
                <w:right w:val="none" w:sz="0" w:space="0" w:color="auto"/>
              </w:divBdr>
            </w:div>
          </w:divsChild>
        </w:div>
        <w:div w:id="868570496">
          <w:marLeft w:val="0"/>
          <w:marRight w:val="0"/>
          <w:marTop w:val="0"/>
          <w:marBottom w:val="0"/>
          <w:divBdr>
            <w:top w:val="none" w:sz="0" w:space="0" w:color="auto"/>
            <w:left w:val="none" w:sz="0" w:space="0" w:color="auto"/>
            <w:bottom w:val="none" w:sz="0" w:space="0" w:color="auto"/>
            <w:right w:val="none" w:sz="0" w:space="0" w:color="auto"/>
          </w:divBdr>
          <w:divsChild>
            <w:div w:id="2124300687">
              <w:marLeft w:val="0"/>
              <w:marRight w:val="0"/>
              <w:marTop w:val="0"/>
              <w:marBottom w:val="0"/>
              <w:divBdr>
                <w:top w:val="none" w:sz="0" w:space="0" w:color="auto"/>
                <w:left w:val="none" w:sz="0" w:space="0" w:color="auto"/>
                <w:bottom w:val="none" w:sz="0" w:space="0" w:color="auto"/>
                <w:right w:val="none" w:sz="0" w:space="0" w:color="auto"/>
              </w:divBdr>
            </w:div>
          </w:divsChild>
        </w:div>
        <w:div w:id="916355443">
          <w:marLeft w:val="0"/>
          <w:marRight w:val="0"/>
          <w:marTop w:val="0"/>
          <w:marBottom w:val="0"/>
          <w:divBdr>
            <w:top w:val="none" w:sz="0" w:space="0" w:color="auto"/>
            <w:left w:val="none" w:sz="0" w:space="0" w:color="auto"/>
            <w:bottom w:val="none" w:sz="0" w:space="0" w:color="auto"/>
            <w:right w:val="none" w:sz="0" w:space="0" w:color="auto"/>
          </w:divBdr>
          <w:divsChild>
            <w:div w:id="910651204">
              <w:marLeft w:val="0"/>
              <w:marRight w:val="0"/>
              <w:marTop w:val="0"/>
              <w:marBottom w:val="0"/>
              <w:divBdr>
                <w:top w:val="none" w:sz="0" w:space="0" w:color="auto"/>
                <w:left w:val="none" w:sz="0" w:space="0" w:color="auto"/>
                <w:bottom w:val="none" w:sz="0" w:space="0" w:color="auto"/>
                <w:right w:val="none" w:sz="0" w:space="0" w:color="auto"/>
              </w:divBdr>
            </w:div>
          </w:divsChild>
        </w:div>
        <w:div w:id="936862607">
          <w:marLeft w:val="0"/>
          <w:marRight w:val="0"/>
          <w:marTop w:val="0"/>
          <w:marBottom w:val="0"/>
          <w:divBdr>
            <w:top w:val="none" w:sz="0" w:space="0" w:color="auto"/>
            <w:left w:val="none" w:sz="0" w:space="0" w:color="auto"/>
            <w:bottom w:val="none" w:sz="0" w:space="0" w:color="auto"/>
            <w:right w:val="none" w:sz="0" w:space="0" w:color="auto"/>
          </w:divBdr>
          <w:divsChild>
            <w:div w:id="1150900348">
              <w:marLeft w:val="0"/>
              <w:marRight w:val="0"/>
              <w:marTop w:val="0"/>
              <w:marBottom w:val="0"/>
              <w:divBdr>
                <w:top w:val="none" w:sz="0" w:space="0" w:color="auto"/>
                <w:left w:val="none" w:sz="0" w:space="0" w:color="auto"/>
                <w:bottom w:val="none" w:sz="0" w:space="0" w:color="auto"/>
                <w:right w:val="none" w:sz="0" w:space="0" w:color="auto"/>
              </w:divBdr>
            </w:div>
          </w:divsChild>
        </w:div>
        <w:div w:id="963852046">
          <w:marLeft w:val="0"/>
          <w:marRight w:val="0"/>
          <w:marTop w:val="0"/>
          <w:marBottom w:val="0"/>
          <w:divBdr>
            <w:top w:val="none" w:sz="0" w:space="0" w:color="auto"/>
            <w:left w:val="none" w:sz="0" w:space="0" w:color="auto"/>
            <w:bottom w:val="none" w:sz="0" w:space="0" w:color="auto"/>
            <w:right w:val="none" w:sz="0" w:space="0" w:color="auto"/>
          </w:divBdr>
          <w:divsChild>
            <w:div w:id="2058891035">
              <w:marLeft w:val="0"/>
              <w:marRight w:val="0"/>
              <w:marTop w:val="0"/>
              <w:marBottom w:val="0"/>
              <w:divBdr>
                <w:top w:val="none" w:sz="0" w:space="0" w:color="auto"/>
                <w:left w:val="none" w:sz="0" w:space="0" w:color="auto"/>
                <w:bottom w:val="none" w:sz="0" w:space="0" w:color="auto"/>
                <w:right w:val="none" w:sz="0" w:space="0" w:color="auto"/>
              </w:divBdr>
            </w:div>
          </w:divsChild>
        </w:div>
        <w:div w:id="1012102595">
          <w:marLeft w:val="0"/>
          <w:marRight w:val="0"/>
          <w:marTop w:val="0"/>
          <w:marBottom w:val="0"/>
          <w:divBdr>
            <w:top w:val="none" w:sz="0" w:space="0" w:color="auto"/>
            <w:left w:val="none" w:sz="0" w:space="0" w:color="auto"/>
            <w:bottom w:val="none" w:sz="0" w:space="0" w:color="auto"/>
            <w:right w:val="none" w:sz="0" w:space="0" w:color="auto"/>
          </w:divBdr>
          <w:divsChild>
            <w:div w:id="247037075">
              <w:marLeft w:val="0"/>
              <w:marRight w:val="0"/>
              <w:marTop w:val="0"/>
              <w:marBottom w:val="0"/>
              <w:divBdr>
                <w:top w:val="none" w:sz="0" w:space="0" w:color="auto"/>
                <w:left w:val="none" w:sz="0" w:space="0" w:color="auto"/>
                <w:bottom w:val="none" w:sz="0" w:space="0" w:color="auto"/>
                <w:right w:val="none" w:sz="0" w:space="0" w:color="auto"/>
              </w:divBdr>
            </w:div>
          </w:divsChild>
        </w:div>
        <w:div w:id="1018120158">
          <w:marLeft w:val="0"/>
          <w:marRight w:val="0"/>
          <w:marTop w:val="0"/>
          <w:marBottom w:val="0"/>
          <w:divBdr>
            <w:top w:val="none" w:sz="0" w:space="0" w:color="auto"/>
            <w:left w:val="none" w:sz="0" w:space="0" w:color="auto"/>
            <w:bottom w:val="none" w:sz="0" w:space="0" w:color="auto"/>
            <w:right w:val="none" w:sz="0" w:space="0" w:color="auto"/>
          </w:divBdr>
          <w:divsChild>
            <w:div w:id="1540971731">
              <w:marLeft w:val="0"/>
              <w:marRight w:val="0"/>
              <w:marTop w:val="0"/>
              <w:marBottom w:val="0"/>
              <w:divBdr>
                <w:top w:val="none" w:sz="0" w:space="0" w:color="auto"/>
                <w:left w:val="none" w:sz="0" w:space="0" w:color="auto"/>
                <w:bottom w:val="none" w:sz="0" w:space="0" w:color="auto"/>
                <w:right w:val="none" w:sz="0" w:space="0" w:color="auto"/>
              </w:divBdr>
            </w:div>
          </w:divsChild>
        </w:div>
        <w:div w:id="1028532033">
          <w:marLeft w:val="0"/>
          <w:marRight w:val="0"/>
          <w:marTop w:val="0"/>
          <w:marBottom w:val="0"/>
          <w:divBdr>
            <w:top w:val="none" w:sz="0" w:space="0" w:color="auto"/>
            <w:left w:val="none" w:sz="0" w:space="0" w:color="auto"/>
            <w:bottom w:val="none" w:sz="0" w:space="0" w:color="auto"/>
            <w:right w:val="none" w:sz="0" w:space="0" w:color="auto"/>
          </w:divBdr>
          <w:divsChild>
            <w:div w:id="1404372430">
              <w:marLeft w:val="0"/>
              <w:marRight w:val="0"/>
              <w:marTop w:val="0"/>
              <w:marBottom w:val="0"/>
              <w:divBdr>
                <w:top w:val="none" w:sz="0" w:space="0" w:color="auto"/>
                <w:left w:val="none" w:sz="0" w:space="0" w:color="auto"/>
                <w:bottom w:val="none" w:sz="0" w:space="0" w:color="auto"/>
                <w:right w:val="none" w:sz="0" w:space="0" w:color="auto"/>
              </w:divBdr>
            </w:div>
          </w:divsChild>
        </w:div>
        <w:div w:id="1069498085">
          <w:marLeft w:val="0"/>
          <w:marRight w:val="0"/>
          <w:marTop w:val="0"/>
          <w:marBottom w:val="0"/>
          <w:divBdr>
            <w:top w:val="none" w:sz="0" w:space="0" w:color="auto"/>
            <w:left w:val="none" w:sz="0" w:space="0" w:color="auto"/>
            <w:bottom w:val="none" w:sz="0" w:space="0" w:color="auto"/>
            <w:right w:val="none" w:sz="0" w:space="0" w:color="auto"/>
          </w:divBdr>
          <w:divsChild>
            <w:div w:id="1541362482">
              <w:marLeft w:val="0"/>
              <w:marRight w:val="0"/>
              <w:marTop w:val="0"/>
              <w:marBottom w:val="0"/>
              <w:divBdr>
                <w:top w:val="none" w:sz="0" w:space="0" w:color="auto"/>
                <w:left w:val="none" w:sz="0" w:space="0" w:color="auto"/>
                <w:bottom w:val="none" w:sz="0" w:space="0" w:color="auto"/>
                <w:right w:val="none" w:sz="0" w:space="0" w:color="auto"/>
              </w:divBdr>
            </w:div>
          </w:divsChild>
        </w:div>
        <w:div w:id="1077097826">
          <w:marLeft w:val="0"/>
          <w:marRight w:val="0"/>
          <w:marTop w:val="0"/>
          <w:marBottom w:val="0"/>
          <w:divBdr>
            <w:top w:val="none" w:sz="0" w:space="0" w:color="auto"/>
            <w:left w:val="none" w:sz="0" w:space="0" w:color="auto"/>
            <w:bottom w:val="none" w:sz="0" w:space="0" w:color="auto"/>
            <w:right w:val="none" w:sz="0" w:space="0" w:color="auto"/>
          </w:divBdr>
          <w:divsChild>
            <w:div w:id="1319770095">
              <w:marLeft w:val="0"/>
              <w:marRight w:val="0"/>
              <w:marTop w:val="0"/>
              <w:marBottom w:val="0"/>
              <w:divBdr>
                <w:top w:val="none" w:sz="0" w:space="0" w:color="auto"/>
                <w:left w:val="none" w:sz="0" w:space="0" w:color="auto"/>
                <w:bottom w:val="none" w:sz="0" w:space="0" w:color="auto"/>
                <w:right w:val="none" w:sz="0" w:space="0" w:color="auto"/>
              </w:divBdr>
            </w:div>
          </w:divsChild>
        </w:div>
        <w:div w:id="1089275136">
          <w:marLeft w:val="0"/>
          <w:marRight w:val="0"/>
          <w:marTop w:val="0"/>
          <w:marBottom w:val="0"/>
          <w:divBdr>
            <w:top w:val="none" w:sz="0" w:space="0" w:color="auto"/>
            <w:left w:val="none" w:sz="0" w:space="0" w:color="auto"/>
            <w:bottom w:val="none" w:sz="0" w:space="0" w:color="auto"/>
            <w:right w:val="none" w:sz="0" w:space="0" w:color="auto"/>
          </w:divBdr>
          <w:divsChild>
            <w:div w:id="1781291596">
              <w:marLeft w:val="0"/>
              <w:marRight w:val="0"/>
              <w:marTop w:val="0"/>
              <w:marBottom w:val="0"/>
              <w:divBdr>
                <w:top w:val="none" w:sz="0" w:space="0" w:color="auto"/>
                <w:left w:val="none" w:sz="0" w:space="0" w:color="auto"/>
                <w:bottom w:val="none" w:sz="0" w:space="0" w:color="auto"/>
                <w:right w:val="none" w:sz="0" w:space="0" w:color="auto"/>
              </w:divBdr>
            </w:div>
          </w:divsChild>
        </w:div>
        <w:div w:id="1103650886">
          <w:marLeft w:val="0"/>
          <w:marRight w:val="0"/>
          <w:marTop w:val="0"/>
          <w:marBottom w:val="0"/>
          <w:divBdr>
            <w:top w:val="none" w:sz="0" w:space="0" w:color="auto"/>
            <w:left w:val="none" w:sz="0" w:space="0" w:color="auto"/>
            <w:bottom w:val="none" w:sz="0" w:space="0" w:color="auto"/>
            <w:right w:val="none" w:sz="0" w:space="0" w:color="auto"/>
          </w:divBdr>
          <w:divsChild>
            <w:div w:id="1043793095">
              <w:marLeft w:val="0"/>
              <w:marRight w:val="0"/>
              <w:marTop w:val="0"/>
              <w:marBottom w:val="0"/>
              <w:divBdr>
                <w:top w:val="none" w:sz="0" w:space="0" w:color="auto"/>
                <w:left w:val="none" w:sz="0" w:space="0" w:color="auto"/>
                <w:bottom w:val="none" w:sz="0" w:space="0" w:color="auto"/>
                <w:right w:val="none" w:sz="0" w:space="0" w:color="auto"/>
              </w:divBdr>
            </w:div>
          </w:divsChild>
        </w:div>
        <w:div w:id="1136794820">
          <w:marLeft w:val="0"/>
          <w:marRight w:val="0"/>
          <w:marTop w:val="0"/>
          <w:marBottom w:val="0"/>
          <w:divBdr>
            <w:top w:val="none" w:sz="0" w:space="0" w:color="auto"/>
            <w:left w:val="none" w:sz="0" w:space="0" w:color="auto"/>
            <w:bottom w:val="none" w:sz="0" w:space="0" w:color="auto"/>
            <w:right w:val="none" w:sz="0" w:space="0" w:color="auto"/>
          </w:divBdr>
          <w:divsChild>
            <w:div w:id="850337579">
              <w:marLeft w:val="0"/>
              <w:marRight w:val="0"/>
              <w:marTop w:val="0"/>
              <w:marBottom w:val="0"/>
              <w:divBdr>
                <w:top w:val="none" w:sz="0" w:space="0" w:color="auto"/>
                <w:left w:val="none" w:sz="0" w:space="0" w:color="auto"/>
                <w:bottom w:val="none" w:sz="0" w:space="0" w:color="auto"/>
                <w:right w:val="none" w:sz="0" w:space="0" w:color="auto"/>
              </w:divBdr>
            </w:div>
          </w:divsChild>
        </w:div>
        <w:div w:id="1188518246">
          <w:marLeft w:val="0"/>
          <w:marRight w:val="0"/>
          <w:marTop w:val="0"/>
          <w:marBottom w:val="0"/>
          <w:divBdr>
            <w:top w:val="none" w:sz="0" w:space="0" w:color="auto"/>
            <w:left w:val="none" w:sz="0" w:space="0" w:color="auto"/>
            <w:bottom w:val="none" w:sz="0" w:space="0" w:color="auto"/>
            <w:right w:val="none" w:sz="0" w:space="0" w:color="auto"/>
          </w:divBdr>
          <w:divsChild>
            <w:div w:id="285696159">
              <w:marLeft w:val="0"/>
              <w:marRight w:val="0"/>
              <w:marTop w:val="0"/>
              <w:marBottom w:val="0"/>
              <w:divBdr>
                <w:top w:val="none" w:sz="0" w:space="0" w:color="auto"/>
                <w:left w:val="none" w:sz="0" w:space="0" w:color="auto"/>
                <w:bottom w:val="none" w:sz="0" w:space="0" w:color="auto"/>
                <w:right w:val="none" w:sz="0" w:space="0" w:color="auto"/>
              </w:divBdr>
            </w:div>
          </w:divsChild>
        </w:div>
        <w:div w:id="1228879416">
          <w:marLeft w:val="0"/>
          <w:marRight w:val="0"/>
          <w:marTop w:val="0"/>
          <w:marBottom w:val="0"/>
          <w:divBdr>
            <w:top w:val="none" w:sz="0" w:space="0" w:color="auto"/>
            <w:left w:val="none" w:sz="0" w:space="0" w:color="auto"/>
            <w:bottom w:val="none" w:sz="0" w:space="0" w:color="auto"/>
            <w:right w:val="none" w:sz="0" w:space="0" w:color="auto"/>
          </w:divBdr>
          <w:divsChild>
            <w:div w:id="1871068600">
              <w:marLeft w:val="0"/>
              <w:marRight w:val="0"/>
              <w:marTop w:val="0"/>
              <w:marBottom w:val="0"/>
              <w:divBdr>
                <w:top w:val="none" w:sz="0" w:space="0" w:color="auto"/>
                <w:left w:val="none" w:sz="0" w:space="0" w:color="auto"/>
                <w:bottom w:val="none" w:sz="0" w:space="0" w:color="auto"/>
                <w:right w:val="none" w:sz="0" w:space="0" w:color="auto"/>
              </w:divBdr>
            </w:div>
          </w:divsChild>
        </w:div>
        <w:div w:id="1242980539">
          <w:marLeft w:val="0"/>
          <w:marRight w:val="0"/>
          <w:marTop w:val="0"/>
          <w:marBottom w:val="0"/>
          <w:divBdr>
            <w:top w:val="none" w:sz="0" w:space="0" w:color="auto"/>
            <w:left w:val="none" w:sz="0" w:space="0" w:color="auto"/>
            <w:bottom w:val="none" w:sz="0" w:space="0" w:color="auto"/>
            <w:right w:val="none" w:sz="0" w:space="0" w:color="auto"/>
          </w:divBdr>
          <w:divsChild>
            <w:div w:id="533810166">
              <w:marLeft w:val="0"/>
              <w:marRight w:val="0"/>
              <w:marTop w:val="0"/>
              <w:marBottom w:val="0"/>
              <w:divBdr>
                <w:top w:val="none" w:sz="0" w:space="0" w:color="auto"/>
                <w:left w:val="none" w:sz="0" w:space="0" w:color="auto"/>
                <w:bottom w:val="none" w:sz="0" w:space="0" w:color="auto"/>
                <w:right w:val="none" w:sz="0" w:space="0" w:color="auto"/>
              </w:divBdr>
            </w:div>
          </w:divsChild>
        </w:div>
        <w:div w:id="1245071013">
          <w:marLeft w:val="0"/>
          <w:marRight w:val="0"/>
          <w:marTop w:val="0"/>
          <w:marBottom w:val="0"/>
          <w:divBdr>
            <w:top w:val="none" w:sz="0" w:space="0" w:color="auto"/>
            <w:left w:val="none" w:sz="0" w:space="0" w:color="auto"/>
            <w:bottom w:val="none" w:sz="0" w:space="0" w:color="auto"/>
            <w:right w:val="none" w:sz="0" w:space="0" w:color="auto"/>
          </w:divBdr>
          <w:divsChild>
            <w:div w:id="1973899235">
              <w:marLeft w:val="0"/>
              <w:marRight w:val="0"/>
              <w:marTop w:val="0"/>
              <w:marBottom w:val="0"/>
              <w:divBdr>
                <w:top w:val="none" w:sz="0" w:space="0" w:color="auto"/>
                <w:left w:val="none" w:sz="0" w:space="0" w:color="auto"/>
                <w:bottom w:val="none" w:sz="0" w:space="0" w:color="auto"/>
                <w:right w:val="none" w:sz="0" w:space="0" w:color="auto"/>
              </w:divBdr>
            </w:div>
          </w:divsChild>
        </w:div>
        <w:div w:id="1314675813">
          <w:marLeft w:val="0"/>
          <w:marRight w:val="0"/>
          <w:marTop w:val="0"/>
          <w:marBottom w:val="0"/>
          <w:divBdr>
            <w:top w:val="none" w:sz="0" w:space="0" w:color="auto"/>
            <w:left w:val="none" w:sz="0" w:space="0" w:color="auto"/>
            <w:bottom w:val="none" w:sz="0" w:space="0" w:color="auto"/>
            <w:right w:val="none" w:sz="0" w:space="0" w:color="auto"/>
          </w:divBdr>
          <w:divsChild>
            <w:div w:id="615451674">
              <w:marLeft w:val="0"/>
              <w:marRight w:val="0"/>
              <w:marTop w:val="0"/>
              <w:marBottom w:val="0"/>
              <w:divBdr>
                <w:top w:val="none" w:sz="0" w:space="0" w:color="auto"/>
                <w:left w:val="none" w:sz="0" w:space="0" w:color="auto"/>
                <w:bottom w:val="none" w:sz="0" w:space="0" w:color="auto"/>
                <w:right w:val="none" w:sz="0" w:space="0" w:color="auto"/>
              </w:divBdr>
            </w:div>
          </w:divsChild>
        </w:div>
        <w:div w:id="1390421621">
          <w:marLeft w:val="0"/>
          <w:marRight w:val="0"/>
          <w:marTop w:val="0"/>
          <w:marBottom w:val="0"/>
          <w:divBdr>
            <w:top w:val="none" w:sz="0" w:space="0" w:color="auto"/>
            <w:left w:val="none" w:sz="0" w:space="0" w:color="auto"/>
            <w:bottom w:val="none" w:sz="0" w:space="0" w:color="auto"/>
            <w:right w:val="none" w:sz="0" w:space="0" w:color="auto"/>
          </w:divBdr>
          <w:divsChild>
            <w:div w:id="1803495312">
              <w:marLeft w:val="0"/>
              <w:marRight w:val="0"/>
              <w:marTop w:val="0"/>
              <w:marBottom w:val="0"/>
              <w:divBdr>
                <w:top w:val="none" w:sz="0" w:space="0" w:color="auto"/>
                <w:left w:val="none" w:sz="0" w:space="0" w:color="auto"/>
                <w:bottom w:val="none" w:sz="0" w:space="0" w:color="auto"/>
                <w:right w:val="none" w:sz="0" w:space="0" w:color="auto"/>
              </w:divBdr>
            </w:div>
          </w:divsChild>
        </w:div>
        <w:div w:id="1488786538">
          <w:marLeft w:val="0"/>
          <w:marRight w:val="0"/>
          <w:marTop w:val="0"/>
          <w:marBottom w:val="0"/>
          <w:divBdr>
            <w:top w:val="none" w:sz="0" w:space="0" w:color="auto"/>
            <w:left w:val="none" w:sz="0" w:space="0" w:color="auto"/>
            <w:bottom w:val="none" w:sz="0" w:space="0" w:color="auto"/>
            <w:right w:val="none" w:sz="0" w:space="0" w:color="auto"/>
          </w:divBdr>
          <w:divsChild>
            <w:div w:id="1242637207">
              <w:marLeft w:val="0"/>
              <w:marRight w:val="0"/>
              <w:marTop w:val="0"/>
              <w:marBottom w:val="0"/>
              <w:divBdr>
                <w:top w:val="none" w:sz="0" w:space="0" w:color="auto"/>
                <w:left w:val="none" w:sz="0" w:space="0" w:color="auto"/>
                <w:bottom w:val="none" w:sz="0" w:space="0" w:color="auto"/>
                <w:right w:val="none" w:sz="0" w:space="0" w:color="auto"/>
              </w:divBdr>
            </w:div>
          </w:divsChild>
        </w:div>
        <w:div w:id="1499930586">
          <w:marLeft w:val="0"/>
          <w:marRight w:val="0"/>
          <w:marTop w:val="0"/>
          <w:marBottom w:val="0"/>
          <w:divBdr>
            <w:top w:val="none" w:sz="0" w:space="0" w:color="auto"/>
            <w:left w:val="none" w:sz="0" w:space="0" w:color="auto"/>
            <w:bottom w:val="none" w:sz="0" w:space="0" w:color="auto"/>
            <w:right w:val="none" w:sz="0" w:space="0" w:color="auto"/>
          </w:divBdr>
          <w:divsChild>
            <w:div w:id="1344549864">
              <w:marLeft w:val="0"/>
              <w:marRight w:val="0"/>
              <w:marTop w:val="0"/>
              <w:marBottom w:val="0"/>
              <w:divBdr>
                <w:top w:val="none" w:sz="0" w:space="0" w:color="auto"/>
                <w:left w:val="none" w:sz="0" w:space="0" w:color="auto"/>
                <w:bottom w:val="none" w:sz="0" w:space="0" w:color="auto"/>
                <w:right w:val="none" w:sz="0" w:space="0" w:color="auto"/>
              </w:divBdr>
            </w:div>
          </w:divsChild>
        </w:div>
        <w:div w:id="1502430883">
          <w:marLeft w:val="0"/>
          <w:marRight w:val="0"/>
          <w:marTop w:val="0"/>
          <w:marBottom w:val="0"/>
          <w:divBdr>
            <w:top w:val="none" w:sz="0" w:space="0" w:color="auto"/>
            <w:left w:val="none" w:sz="0" w:space="0" w:color="auto"/>
            <w:bottom w:val="none" w:sz="0" w:space="0" w:color="auto"/>
            <w:right w:val="none" w:sz="0" w:space="0" w:color="auto"/>
          </w:divBdr>
          <w:divsChild>
            <w:div w:id="1702320293">
              <w:marLeft w:val="0"/>
              <w:marRight w:val="0"/>
              <w:marTop w:val="0"/>
              <w:marBottom w:val="0"/>
              <w:divBdr>
                <w:top w:val="none" w:sz="0" w:space="0" w:color="auto"/>
                <w:left w:val="none" w:sz="0" w:space="0" w:color="auto"/>
                <w:bottom w:val="none" w:sz="0" w:space="0" w:color="auto"/>
                <w:right w:val="none" w:sz="0" w:space="0" w:color="auto"/>
              </w:divBdr>
            </w:div>
          </w:divsChild>
        </w:div>
        <w:div w:id="1523396497">
          <w:marLeft w:val="0"/>
          <w:marRight w:val="0"/>
          <w:marTop w:val="0"/>
          <w:marBottom w:val="0"/>
          <w:divBdr>
            <w:top w:val="none" w:sz="0" w:space="0" w:color="auto"/>
            <w:left w:val="none" w:sz="0" w:space="0" w:color="auto"/>
            <w:bottom w:val="none" w:sz="0" w:space="0" w:color="auto"/>
            <w:right w:val="none" w:sz="0" w:space="0" w:color="auto"/>
          </w:divBdr>
          <w:divsChild>
            <w:div w:id="1957977804">
              <w:marLeft w:val="0"/>
              <w:marRight w:val="0"/>
              <w:marTop w:val="0"/>
              <w:marBottom w:val="0"/>
              <w:divBdr>
                <w:top w:val="none" w:sz="0" w:space="0" w:color="auto"/>
                <w:left w:val="none" w:sz="0" w:space="0" w:color="auto"/>
                <w:bottom w:val="none" w:sz="0" w:space="0" w:color="auto"/>
                <w:right w:val="none" w:sz="0" w:space="0" w:color="auto"/>
              </w:divBdr>
            </w:div>
          </w:divsChild>
        </w:div>
        <w:div w:id="1524660791">
          <w:marLeft w:val="0"/>
          <w:marRight w:val="0"/>
          <w:marTop w:val="0"/>
          <w:marBottom w:val="0"/>
          <w:divBdr>
            <w:top w:val="none" w:sz="0" w:space="0" w:color="auto"/>
            <w:left w:val="none" w:sz="0" w:space="0" w:color="auto"/>
            <w:bottom w:val="none" w:sz="0" w:space="0" w:color="auto"/>
            <w:right w:val="none" w:sz="0" w:space="0" w:color="auto"/>
          </w:divBdr>
          <w:divsChild>
            <w:div w:id="1982268055">
              <w:marLeft w:val="0"/>
              <w:marRight w:val="0"/>
              <w:marTop w:val="0"/>
              <w:marBottom w:val="0"/>
              <w:divBdr>
                <w:top w:val="none" w:sz="0" w:space="0" w:color="auto"/>
                <w:left w:val="none" w:sz="0" w:space="0" w:color="auto"/>
                <w:bottom w:val="none" w:sz="0" w:space="0" w:color="auto"/>
                <w:right w:val="none" w:sz="0" w:space="0" w:color="auto"/>
              </w:divBdr>
            </w:div>
          </w:divsChild>
        </w:div>
        <w:div w:id="1570265641">
          <w:marLeft w:val="0"/>
          <w:marRight w:val="0"/>
          <w:marTop w:val="0"/>
          <w:marBottom w:val="0"/>
          <w:divBdr>
            <w:top w:val="none" w:sz="0" w:space="0" w:color="auto"/>
            <w:left w:val="none" w:sz="0" w:space="0" w:color="auto"/>
            <w:bottom w:val="none" w:sz="0" w:space="0" w:color="auto"/>
            <w:right w:val="none" w:sz="0" w:space="0" w:color="auto"/>
          </w:divBdr>
          <w:divsChild>
            <w:div w:id="1159611980">
              <w:marLeft w:val="0"/>
              <w:marRight w:val="0"/>
              <w:marTop w:val="0"/>
              <w:marBottom w:val="0"/>
              <w:divBdr>
                <w:top w:val="none" w:sz="0" w:space="0" w:color="auto"/>
                <w:left w:val="none" w:sz="0" w:space="0" w:color="auto"/>
                <w:bottom w:val="none" w:sz="0" w:space="0" w:color="auto"/>
                <w:right w:val="none" w:sz="0" w:space="0" w:color="auto"/>
              </w:divBdr>
            </w:div>
          </w:divsChild>
        </w:div>
        <w:div w:id="1587035221">
          <w:marLeft w:val="0"/>
          <w:marRight w:val="0"/>
          <w:marTop w:val="0"/>
          <w:marBottom w:val="0"/>
          <w:divBdr>
            <w:top w:val="none" w:sz="0" w:space="0" w:color="auto"/>
            <w:left w:val="none" w:sz="0" w:space="0" w:color="auto"/>
            <w:bottom w:val="none" w:sz="0" w:space="0" w:color="auto"/>
            <w:right w:val="none" w:sz="0" w:space="0" w:color="auto"/>
          </w:divBdr>
          <w:divsChild>
            <w:div w:id="1075053270">
              <w:marLeft w:val="0"/>
              <w:marRight w:val="0"/>
              <w:marTop w:val="0"/>
              <w:marBottom w:val="0"/>
              <w:divBdr>
                <w:top w:val="none" w:sz="0" w:space="0" w:color="auto"/>
                <w:left w:val="none" w:sz="0" w:space="0" w:color="auto"/>
                <w:bottom w:val="none" w:sz="0" w:space="0" w:color="auto"/>
                <w:right w:val="none" w:sz="0" w:space="0" w:color="auto"/>
              </w:divBdr>
            </w:div>
          </w:divsChild>
        </w:div>
        <w:div w:id="1618023590">
          <w:marLeft w:val="0"/>
          <w:marRight w:val="0"/>
          <w:marTop w:val="0"/>
          <w:marBottom w:val="0"/>
          <w:divBdr>
            <w:top w:val="none" w:sz="0" w:space="0" w:color="auto"/>
            <w:left w:val="none" w:sz="0" w:space="0" w:color="auto"/>
            <w:bottom w:val="none" w:sz="0" w:space="0" w:color="auto"/>
            <w:right w:val="none" w:sz="0" w:space="0" w:color="auto"/>
          </w:divBdr>
          <w:divsChild>
            <w:div w:id="1862433359">
              <w:marLeft w:val="0"/>
              <w:marRight w:val="0"/>
              <w:marTop w:val="0"/>
              <w:marBottom w:val="0"/>
              <w:divBdr>
                <w:top w:val="none" w:sz="0" w:space="0" w:color="auto"/>
                <w:left w:val="none" w:sz="0" w:space="0" w:color="auto"/>
                <w:bottom w:val="none" w:sz="0" w:space="0" w:color="auto"/>
                <w:right w:val="none" w:sz="0" w:space="0" w:color="auto"/>
              </w:divBdr>
            </w:div>
          </w:divsChild>
        </w:div>
        <w:div w:id="1618633664">
          <w:marLeft w:val="0"/>
          <w:marRight w:val="0"/>
          <w:marTop w:val="0"/>
          <w:marBottom w:val="0"/>
          <w:divBdr>
            <w:top w:val="none" w:sz="0" w:space="0" w:color="auto"/>
            <w:left w:val="none" w:sz="0" w:space="0" w:color="auto"/>
            <w:bottom w:val="none" w:sz="0" w:space="0" w:color="auto"/>
            <w:right w:val="none" w:sz="0" w:space="0" w:color="auto"/>
          </w:divBdr>
          <w:divsChild>
            <w:div w:id="1530412389">
              <w:marLeft w:val="0"/>
              <w:marRight w:val="0"/>
              <w:marTop w:val="0"/>
              <w:marBottom w:val="0"/>
              <w:divBdr>
                <w:top w:val="none" w:sz="0" w:space="0" w:color="auto"/>
                <w:left w:val="none" w:sz="0" w:space="0" w:color="auto"/>
                <w:bottom w:val="none" w:sz="0" w:space="0" w:color="auto"/>
                <w:right w:val="none" w:sz="0" w:space="0" w:color="auto"/>
              </w:divBdr>
            </w:div>
          </w:divsChild>
        </w:div>
        <w:div w:id="1698508165">
          <w:marLeft w:val="0"/>
          <w:marRight w:val="0"/>
          <w:marTop w:val="0"/>
          <w:marBottom w:val="0"/>
          <w:divBdr>
            <w:top w:val="none" w:sz="0" w:space="0" w:color="auto"/>
            <w:left w:val="none" w:sz="0" w:space="0" w:color="auto"/>
            <w:bottom w:val="none" w:sz="0" w:space="0" w:color="auto"/>
            <w:right w:val="none" w:sz="0" w:space="0" w:color="auto"/>
          </w:divBdr>
          <w:divsChild>
            <w:div w:id="1289968415">
              <w:marLeft w:val="0"/>
              <w:marRight w:val="0"/>
              <w:marTop w:val="0"/>
              <w:marBottom w:val="0"/>
              <w:divBdr>
                <w:top w:val="none" w:sz="0" w:space="0" w:color="auto"/>
                <w:left w:val="none" w:sz="0" w:space="0" w:color="auto"/>
                <w:bottom w:val="none" w:sz="0" w:space="0" w:color="auto"/>
                <w:right w:val="none" w:sz="0" w:space="0" w:color="auto"/>
              </w:divBdr>
            </w:div>
          </w:divsChild>
        </w:div>
        <w:div w:id="1703435165">
          <w:marLeft w:val="0"/>
          <w:marRight w:val="0"/>
          <w:marTop w:val="0"/>
          <w:marBottom w:val="0"/>
          <w:divBdr>
            <w:top w:val="none" w:sz="0" w:space="0" w:color="auto"/>
            <w:left w:val="none" w:sz="0" w:space="0" w:color="auto"/>
            <w:bottom w:val="none" w:sz="0" w:space="0" w:color="auto"/>
            <w:right w:val="none" w:sz="0" w:space="0" w:color="auto"/>
          </w:divBdr>
          <w:divsChild>
            <w:div w:id="759568305">
              <w:marLeft w:val="0"/>
              <w:marRight w:val="0"/>
              <w:marTop w:val="0"/>
              <w:marBottom w:val="0"/>
              <w:divBdr>
                <w:top w:val="none" w:sz="0" w:space="0" w:color="auto"/>
                <w:left w:val="none" w:sz="0" w:space="0" w:color="auto"/>
                <w:bottom w:val="none" w:sz="0" w:space="0" w:color="auto"/>
                <w:right w:val="none" w:sz="0" w:space="0" w:color="auto"/>
              </w:divBdr>
            </w:div>
          </w:divsChild>
        </w:div>
        <w:div w:id="1742799063">
          <w:marLeft w:val="0"/>
          <w:marRight w:val="0"/>
          <w:marTop w:val="0"/>
          <w:marBottom w:val="0"/>
          <w:divBdr>
            <w:top w:val="none" w:sz="0" w:space="0" w:color="auto"/>
            <w:left w:val="none" w:sz="0" w:space="0" w:color="auto"/>
            <w:bottom w:val="none" w:sz="0" w:space="0" w:color="auto"/>
            <w:right w:val="none" w:sz="0" w:space="0" w:color="auto"/>
          </w:divBdr>
          <w:divsChild>
            <w:div w:id="1131971">
              <w:marLeft w:val="0"/>
              <w:marRight w:val="0"/>
              <w:marTop w:val="0"/>
              <w:marBottom w:val="0"/>
              <w:divBdr>
                <w:top w:val="none" w:sz="0" w:space="0" w:color="auto"/>
                <w:left w:val="none" w:sz="0" w:space="0" w:color="auto"/>
                <w:bottom w:val="none" w:sz="0" w:space="0" w:color="auto"/>
                <w:right w:val="none" w:sz="0" w:space="0" w:color="auto"/>
              </w:divBdr>
            </w:div>
          </w:divsChild>
        </w:div>
        <w:div w:id="1790707410">
          <w:marLeft w:val="0"/>
          <w:marRight w:val="0"/>
          <w:marTop w:val="0"/>
          <w:marBottom w:val="0"/>
          <w:divBdr>
            <w:top w:val="none" w:sz="0" w:space="0" w:color="auto"/>
            <w:left w:val="none" w:sz="0" w:space="0" w:color="auto"/>
            <w:bottom w:val="none" w:sz="0" w:space="0" w:color="auto"/>
            <w:right w:val="none" w:sz="0" w:space="0" w:color="auto"/>
          </w:divBdr>
          <w:divsChild>
            <w:div w:id="1410344615">
              <w:marLeft w:val="0"/>
              <w:marRight w:val="0"/>
              <w:marTop w:val="0"/>
              <w:marBottom w:val="0"/>
              <w:divBdr>
                <w:top w:val="none" w:sz="0" w:space="0" w:color="auto"/>
                <w:left w:val="none" w:sz="0" w:space="0" w:color="auto"/>
                <w:bottom w:val="none" w:sz="0" w:space="0" w:color="auto"/>
                <w:right w:val="none" w:sz="0" w:space="0" w:color="auto"/>
              </w:divBdr>
            </w:div>
          </w:divsChild>
        </w:div>
        <w:div w:id="1819033249">
          <w:marLeft w:val="0"/>
          <w:marRight w:val="0"/>
          <w:marTop w:val="0"/>
          <w:marBottom w:val="0"/>
          <w:divBdr>
            <w:top w:val="none" w:sz="0" w:space="0" w:color="auto"/>
            <w:left w:val="none" w:sz="0" w:space="0" w:color="auto"/>
            <w:bottom w:val="none" w:sz="0" w:space="0" w:color="auto"/>
            <w:right w:val="none" w:sz="0" w:space="0" w:color="auto"/>
          </w:divBdr>
          <w:divsChild>
            <w:div w:id="621301832">
              <w:marLeft w:val="0"/>
              <w:marRight w:val="0"/>
              <w:marTop w:val="0"/>
              <w:marBottom w:val="0"/>
              <w:divBdr>
                <w:top w:val="none" w:sz="0" w:space="0" w:color="auto"/>
                <w:left w:val="none" w:sz="0" w:space="0" w:color="auto"/>
                <w:bottom w:val="none" w:sz="0" w:space="0" w:color="auto"/>
                <w:right w:val="none" w:sz="0" w:space="0" w:color="auto"/>
              </w:divBdr>
            </w:div>
          </w:divsChild>
        </w:div>
        <w:div w:id="1920410222">
          <w:marLeft w:val="0"/>
          <w:marRight w:val="0"/>
          <w:marTop w:val="0"/>
          <w:marBottom w:val="0"/>
          <w:divBdr>
            <w:top w:val="none" w:sz="0" w:space="0" w:color="auto"/>
            <w:left w:val="none" w:sz="0" w:space="0" w:color="auto"/>
            <w:bottom w:val="none" w:sz="0" w:space="0" w:color="auto"/>
            <w:right w:val="none" w:sz="0" w:space="0" w:color="auto"/>
          </w:divBdr>
          <w:divsChild>
            <w:div w:id="1405831546">
              <w:marLeft w:val="0"/>
              <w:marRight w:val="0"/>
              <w:marTop w:val="0"/>
              <w:marBottom w:val="0"/>
              <w:divBdr>
                <w:top w:val="none" w:sz="0" w:space="0" w:color="auto"/>
                <w:left w:val="none" w:sz="0" w:space="0" w:color="auto"/>
                <w:bottom w:val="none" w:sz="0" w:space="0" w:color="auto"/>
                <w:right w:val="none" w:sz="0" w:space="0" w:color="auto"/>
              </w:divBdr>
            </w:div>
          </w:divsChild>
        </w:div>
        <w:div w:id="2010592970">
          <w:marLeft w:val="0"/>
          <w:marRight w:val="0"/>
          <w:marTop w:val="0"/>
          <w:marBottom w:val="0"/>
          <w:divBdr>
            <w:top w:val="none" w:sz="0" w:space="0" w:color="auto"/>
            <w:left w:val="none" w:sz="0" w:space="0" w:color="auto"/>
            <w:bottom w:val="none" w:sz="0" w:space="0" w:color="auto"/>
            <w:right w:val="none" w:sz="0" w:space="0" w:color="auto"/>
          </w:divBdr>
          <w:divsChild>
            <w:div w:id="312105263">
              <w:marLeft w:val="0"/>
              <w:marRight w:val="0"/>
              <w:marTop w:val="0"/>
              <w:marBottom w:val="0"/>
              <w:divBdr>
                <w:top w:val="none" w:sz="0" w:space="0" w:color="auto"/>
                <w:left w:val="none" w:sz="0" w:space="0" w:color="auto"/>
                <w:bottom w:val="none" w:sz="0" w:space="0" w:color="auto"/>
                <w:right w:val="none" w:sz="0" w:space="0" w:color="auto"/>
              </w:divBdr>
            </w:div>
          </w:divsChild>
        </w:div>
        <w:div w:id="2012365418">
          <w:marLeft w:val="0"/>
          <w:marRight w:val="0"/>
          <w:marTop w:val="0"/>
          <w:marBottom w:val="0"/>
          <w:divBdr>
            <w:top w:val="none" w:sz="0" w:space="0" w:color="auto"/>
            <w:left w:val="none" w:sz="0" w:space="0" w:color="auto"/>
            <w:bottom w:val="none" w:sz="0" w:space="0" w:color="auto"/>
            <w:right w:val="none" w:sz="0" w:space="0" w:color="auto"/>
          </w:divBdr>
          <w:divsChild>
            <w:div w:id="32656406">
              <w:marLeft w:val="0"/>
              <w:marRight w:val="0"/>
              <w:marTop w:val="0"/>
              <w:marBottom w:val="0"/>
              <w:divBdr>
                <w:top w:val="none" w:sz="0" w:space="0" w:color="auto"/>
                <w:left w:val="none" w:sz="0" w:space="0" w:color="auto"/>
                <w:bottom w:val="none" w:sz="0" w:space="0" w:color="auto"/>
                <w:right w:val="none" w:sz="0" w:space="0" w:color="auto"/>
              </w:divBdr>
            </w:div>
          </w:divsChild>
        </w:div>
        <w:div w:id="2031295855">
          <w:marLeft w:val="0"/>
          <w:marRight w:val="0"/>
          <w:marTop w:val="0"/>
          <w:marBottom w:val="0"/>
          <w:divBdr>
            <w:top w:val="none" w:sz="0" w:space="0" w:color="auto"/>
            <w:left w:val="none" w:sz="0" w:space="0" w:color="auto"/>
            <w:bottom w:val="none" w:sz="0" w:space="0" w:color="auto"/>
            <w:right w:val="none" w:sz="0" w:space="0" w:color="auto"/>
          </w:divBdr>
          <w:divsChild>
            <w:div w:id="916986298">
              <w:marLeft w:val="0"/>
              <w:marRight w:val="0"/>
              <w:marTop w:val="0"/>
              <w:marBottom w:val="0"/>
              <w:divBdr>
                <w:top w:val="none" w:sz="0" w:space="0" w:color="auto"/>
                <w:left w:val="none" w:sz="0" w:space="0" w:color="auto"/>
                <w:bottom w:val="none" w:sz="0" w:space="0" w:color="auto"/>
                <w:right w:val="none" w:sz="0" w:space="0" w:color="auto"/>
              </w:divBdr>
            </w:div>
          </w:divsChild>
        </w:div>
        <w:div w:id="2099521308">
          <w:marLeft w:val="0"/>
          <w:marRight w:val="0"/>
          <w:marTop w:val="0"/>
          <w:marBottom w:val="0"/>
          <w:divBdr>
            <w:top w:val="none" w:sz="0" w:space="0" w:color="auto"/>
            <w:left w:val="none" w:sz="0" w:space="0" w:color="auto"/>
            <w:bottom w:val="none" w:sz="0" w:space="0" w:color="auto"/>
            <w:right w:val="none" w:sz="0" w:space="0" w:color="auto"/>
          </w:divBdr>
          <w:divsChild>
            <w:div w:id="1667511163">
              <w:marLeft w:val="0"/>
              <w:marRight w:val="0"/>
              <w:marTop w:val="0"/>
              <w:marBottom w:val="0"/>
              <w:divBdr>
                <w:top w:val="none" w:sz="0" w:space="0" w:color="auto"/>
                <w:left w:val="none" w:sz="0" w:space="0" w:color="auto"/>
                <w:bottom w:val="none" w:sz="0" w:space="0" w:color="auto"/>
                <w:right w:val="none" w:sz="0" w:space="0" w:color="auto"/>
              </w:divBdr>
            </w:div>
          </w:divsChild>
        </w:div>
        <w:div w:id="2146851217">
          <w:marLeft w:val="0"/>
          <w:marRight w:val="0"/>
          <w:marTop w:val="0"/>
          <w:marBottom w:val="0"/>
          <w:divBdr>
            <w:top w:val="none" w:sz="0" w:space="0" w:color="auto"/>
            <w:left w:val="none" w:sz="0" w:space="0" w:color="auto"/>
            <w:bottom w:val="none" w:sz="0" w:space="0" w:color="auto"/>
            <w:right w:val="none" w:sz="0" w:space="0" w:color="auto"/>
          </w:divBdr>
          <w:divsChild>
            <w:div w:id="204894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576054">
      <w:bodyDiv w:val="1"/>
      <w:marLeft w:val="0"/>
      <w:marRight w:val="0"/>
      <w:marTop w:val="0"/>
      <w:marBottom w:val="0"/>
      <w:divBdr>
        <w:top w:val="none" w:sz="0" w:space="0" w:color="auto"/>
        <w:left w:val="none" w:sz="0" w:space="0" w:color="auto"/>
        <w:bottom w:val="none" w:sz="0" w:space="0" w:color="auto"/>
        <w:right w:val="none" w:sz="0" w:space="0" w:color="auto"/>
      </w:divBdr>
    </w:div>
    <w:div w:id="207037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88/1748-9326/ac4dc6" TargetMode="External"/><Relationship Id="rId2" Type="http://schemas.openxmlformats.org/officeDocument/2006/relationships/hyperlink" Target="http://data.europa.eu/eli/dir/2023/2413/oj" TargetMode="External"/><Relationship Id="rId1" Type="http://schemas.openxmlformats.org/officeDocument/2006/relationships/hyperlink" Target="http://data.europa.eu/eli/dir/2018/2001/oj" TargetMode="External"/><Relationship Id="rId5" Type="http://schemas.openxmlformats.org/officeDocument/2006/relationships/hyperlink" Target="https://doi.org/10.3390/land9100397" TargetMode="External"/><Relationship Id="rId4" Type="http://schemas.openxmlformats.org/officeDocument/2006/relationships/hyperlink" Target="https://doi.org/10.3390/land120305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23373B94E5924D9AB8E247F07DDCE5" ma:contentTypeVersion="4" ma:contentTypeDescription="Create a new document." ma:contentTypeScope="" ma:versionID="65e9f4479c57b41e3d892e5dd9a8df17">
  <xsd:schema xmlns:xsd="http://www.w3.org/2001/XMLSchema" xmlns:xs="http://www.w3.org/2001/XMLSchema" xmlns:p="http://schemas.microsoft.com/office/2006/metadata/properties" xmlns:ns2="43eb9028-f615-416e-ab95-1f973838ac88" targetNamespace="http://schemas.microsoft.com/office/2006/metadata/properties" ma:root="true" ma:fieldsID="e1ffaba0c8aad635a05b0e0ffd522ae6" ns2:_="">
    <xsd:import namespace="43eb9028-f615-416e-ab95-1f973838ac8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b9028-f615-416e-ab95-1f973838ac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CON20</b:Tag>
    <b:SourceType>InternetSite</b:SourceType>
    <b:Guid>{273E1EE0-5756-429B-9454-452A81CDAADC}</b:Guid>
    <b:Author>
      <b:Author>
        <b:NameList>
          <b:Person>
            <b:Last>CONAB</b:Last>
          </b:Person>
        </b:NameList>
      </b:Author>
    </b:Author>
    <b:Title>Historical yield data series</b:Title>
    <b:Year>2022</b:Year>
    <b:YearAccessed>2020</b:YearAccessed>
    <b:MonthAccessed>June</b:MonthAccessed>
    <b:URL>https://www.conab.gov.br/info-agro/safras/serie-historica-das-safras?start=20</b:URL>
    <b:RefOrder>3</b:RefOrder>
  </b:Source>
  <b:Source>
    <b:Tag>Sta20</b:Tag>
    <b:SourceType>DocumentFromInternetSite</b:SourceType>
    <b:Guid>{316B6474-F200-47E8-B95C-83D4168A9704}</b:Guid>
    <b:Title>Statistics Indonesia</b:Title>
    <b:Author>
      <b:Author>
        <b:Corporate>Statistics Indonesia</b:Corporate>
      </b:Author>
    </b:Author>
    <b:YearAccessed>2020</b:YearAccessed>
    <b:MonthAccessed>June</b:MonthAccessed>
    <b:DayAccessed>06</b:DayAccessed>
    <b:URL>https://www.bps.go.id/subject/54/perkebunan.html#subjekViewTab4</b:URL>
    <b:Year>2022</b:Year>
    <b:RefOrder>6</b:RefOrder>
  </b:Source>
  <b:Source>
    <b:Tag>Mal20</b:Tag>
    <b:SourceType>DocumentFromInternetSite</b:SourceType>
    <b:Guid>{D94A437D-954A-4C6D-A4FC-47FE68079383}</b:Guid>
    <b:Author>
      <b:Author>
        <b:Corporate>Malaysian Palm Oil Board</b:Corporate>
      </b:Author>
    </b:Author>
    <b:Title>Malaysian Palm Oil Board (MPOB)</b:Title>
    <b:YearAccessed>2020</b:YearAccessed>
    <b:MonthAccessed>June</b:MonthAccessed>
    <b:DayAccessed>06</b:DayAccessed>
    <b:URL>http://bepi.mpob.gov.my/index.php/en/?option=com_content&amp;view=category&amp;id=115</b:URL>
    <b:Year>2022</b:Year>
    <b:RefOrder>7</b:RefOrder>
  </b:Source>
  <b:Source>
    <b:Tag>Gun13</b:Tag>
    <b:SourceType>JournalArticle</b:SourceType>
    <b:Guid>{B1DC75AB-4542-4C39-B152-C8DB082EC98D}</b:Guid>
    <b:Author>
      <b:Author>
        <b:NameList>
          <b:Person>
            <b:Last>Gunarso</b:Last>
            <b:First>P.</b:First>
          </b:Person>
          <b:Person>
            <b:Last>Hartoyo</b:Last>
            <b:First>M.</b:First>
          </b:Person>
          <b:Person>
            <b:Last>Agus</b:Last>
            <b:First>F.</b:First>
          </b:Person>
          <b:Person>
            <b:Last>Killeen</b:Last>
            <b:First>T.</b:First>
          </b:Person>
        </b:NameList>
      </b:Author>
    </b:Author>
    <b:Title>Oil palm and land use change in Indonesia, Malaysia and Papua New Guinea Reports from the Technical Panels of the 2nd greenhouse gas working Group of the Roundtable on Sustainable Palm Oil (RSPO), Roundtable on Sustainable Palm Oil Kuala Lumpur</b:Title>
    <b:Year>2013</b:Year>
    <b:Pages>29-64</b:Pages>
    <b:RefOrder>8</b:RefOrder>
  </b:Source>
</b:Sources>
</file>

<file path=customXml/itemProps1.xml><?xml version="1.0" encoding="utf-8"?>
<ds:datastoreItem xmlns:ds="http://schemas.openxmlformats.org/officeDocument/2006/customXml" ds:itemID="{3561CB9B-3A56-4FDC-911F-D50CE9A51577}">
  <ds:schemaRefs>
    <ds:schemaRef ds:uri="http://schemas.microsoft.com/sharepoint/v3/contenttype/forms"/>
  </ds:schemaRefs>
</ds:datastoreItem>
</file>

<file path=customXml/itemProps2.xml><?xml version="1.0" encoding="utf-8"?>
<ds:datastoreItem xmlns:ds="http://schemas.openxmlformats.org/officeDocument/2006/customXml" ds:itemID="{51279351-40EC-4B9A-9F4C-B722DF7947F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BA53716-AC6F-4D0E-9932-37AA919F9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eb9028-f615-416e-ab95-1f973838a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45573F-C3C8-49C8-BAFA-1E4D61C2A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5</Pages>
  <Words>4711</Words>
  <Characters>26859</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2026-01-12T16:40:00Z</dcterms:created>
  <dcterms:modified xsi:type="dcterms:W3CDTF">2026-02-06T14:17:00Z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2022-09-19T14:11:07Z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d7543c63-420e-4d3b-ad80-aaeb9e02c837</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CP-008</vt:lpwstr>
  </property>
  <property fmtid="{D5CDD505-2E9C-101B-9397-08002B2CF9AE}" pid="14" name="Last edited using">
    <vt:lpwstr>LW 9.2, Build 20250828</vt:lpwstr>
  </property>
  <property fmtid="{D5CDD505-2E9C-101B-9397-08002B2CF9AE}" pid="15" name="Created using">
    <vt:lpwstr>LW 8.1, Build 20220902</vt:lpwstr>
  </property>
  <property fmtid="{D5CDD505-2E9C-101B-9397-08002B2CF9AE}" pid="16" name="ContentTypeId">
    <vt:lpwstr>0x0101001C23373B94E5924D9AB8E247F07DDCE5</vt:lpwstr>
  </property>
</Properties>
</file>